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8.xml" ContentType="application/vnd.openxmlformats-officedocument.wordprocessingml.header+xml"/>
  <Override PartName="/word/footer31.xml" ContentType="application/vnd.openxmlformats-officedocument.wordprocessingml.footer+xml"/>
  <Override PartName="/word/header2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3.xml" ContentType="application/vnd.openxmlformats-officedocument.wordprocessingml.header+xml"/>
  <Override PartName="/word/footer3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7.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6.xml" ContentType="application/vnd.openxmlformats-officedocument.wordprocessingml.footer+xml"/>
  <Override PartName="/word/header40.xml" ContentType="application/vnd.openxmlformats-officedocument.wordprocessingml.header+xml"/>
  <Override PartName="/word/footer47.xml" ContentType="application/vnd.openxmlformats-officedocument.wordprocessingml.footer+xml"/>
  <Override PartName="/word/header41.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BCF7D" w14:textId="11FA630A" w:rsidR="00F366BB" w:rsidRPr="00B3051F" w:rsidRDefault="00E057F5" w:rsidP="00FB4558">
      <w:pPr>
        <w:pStyle w:val="ARpublicationtitle"/>
        <w:rPr>
          <w:rStyle w:val="Strong"/>
          <w:rFonts w:asciiTheme="minorHAnsi" w:eastAsiaTheme="minorHAnsi" w:hAnsiTheme="minorHAnsi"/>
          <w:b w:val="0"/>
          <w:bCs w:val="0"/>
          <w:color w:val="auto"/>
          <w:sz w:val="22"/>
          <w:szCs w:val="22"/>
        </w:rPr>
      </w:pPr>
      <w:bookmarkStart w:id="0" w:name="_Toc81926195"/>
      <w:bookmarkStart w:id="1" w:name="_Toc82006183"/>
      <w:bookmarkStart w:id="2" w:name="_Ref85114122"/>
      <w:bookmarkStart w:id="3" w:name="_Toc21682715"/>
      <w:bookmarkStart w:id="4" w:name="_Toc54690762"/>
      <w:bookmarkStart w:id="5" w:name="_Toc520974733"/>
      <w:bookmarkStart w:id="6" w:name="_Toc524788314"/>
      <w:bookmarkStart w:id="7" w:name="_Ref525047369"/>
      <w:bookmarkStart w:id="8" w:name="_Ref21862080"/>
      <w:bookmarkStart w:id="9" w:name="_Toc50996881"/>
      <w:bookmarkStart w:id="10" w:name="_Toc50998471"/>
      <w:bookmarkStart w:id="11" w:name="_Toc54690825"/>
      <w:bookmarkStart w:id="12" w:name="_Toc82006219"/>
      <w:bookmarkStart w:id="13" w:name="_Toc431639278"/>
      <w:bookmarkStart w:id="14" w:name="_Toc462577213"/>
      <w:bookmarkStart w:id="15" w:name="_Toc463776641"/>
      <w:bookmarkStart w:id="16" w:name="_Ref492895417"/>
      <w:bookmarkStart w:id="17" w:name="_Toc520974737"/>
      <w:r>
        <w:rPr>
          <w:noProof/>
        </w:rPr>
        <w:drawing>
          <wp:anchor distT="0" distB="0" distL="114300" distR="114300" simplePos="0" relativeHeight="251658241" behindDoc="0" locked="1" layoutInCell="1" allowOverlap="1" wp14:anchorId="4DB64143" wp14:editId="70D6B121">
            <wp:simplePos x="0" y="0"/>
            <wp:positionH relativeFrom="page">
              <wp:align>left</wp:align>
            </wp:positionH>
            <wp:positionV relativeFrom="page">
              <wp:align>top</wp:align>
            </wp:positionV>
            <wp:extent cx="7560000" cy="10688400"/>
            <wp:effectExtent l="0" t="0" r="3175" b="0"/>
            <wp:wrapNone/>
            <wp:docPr id="1121912394" name="Picture 2" descr="Department of Families, Fairness and Housing Annual Report 2023-24 (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12394" name="Picture 2" descr="Department of Families, Fairness and Housing Annual Report 2023-24 (Victoria State Government Families, Fairness and Housing)"/>
                    <pic:cNvPicPr/>
                  </pic:nvPicPr>
                  <pic:blipFill>
                    <a:blip r:embed="rId1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00161D92" w:rsidRPr="00161D92">
        <w:t>Department of Families, Fairness and Housing Annual Report 202</w:t>
      </w:r>
      <w:r w:rsidR="00161D92">
        <w:t>3</w:t>
      </w:r>
      <w:r w:rsidR="00161D92" w:rsidRPr="00161D92">
        <w:t>–2</w:t>
      </w:r>
      <w:r w:rsidR="00754F85">
        <w:t>4</w:t>
      </w:r>
      <w:r w:rsidR="00F366BB" w:rsidRPr="00B3051F">
        <w:rPr>
          <w:rStyle w:val="Strong"/>
          <w:b w:val="0"/>
          <w:bCs w:val="0"/>
        </w:rPr>
        <w:br w:type="page"/>
      </w:r>
    </w:p>
    <w:p w14:paraId="09E3D08B" w14:textId="7C82FBA5" w:rsidR="006D0898" w:rsidRPr="002029AF" w:rsidRDefault="006D0898" w:rsidP="006D0898">
      <w:pPr>
        <w:pStyle w:val="ARbody"/>
        <w:rPr>
          <w:rStyle w:val="Strong"/>
        </w:rPr>
      </w:pPr>
      <w:bookmarkStart w:id="18" w:name="Page2"/>
      <w:r w:rsidRPr="002029AF">
        <w:rPr>
          <w:rStyle w:val="Strong"/>
        </w:rPr>
        <w:lastRenderedPageBreak/>
        <w:t xml:space="preserve">The department </w:t>
      </w:r>
      <w:bookmarkEnd w:id="18"/>
      <w:r w:rsidRPr="002029AF">
        <w:rPr>
          <w:rStyle w:val="Strong"/>
        </w:rPr>
        <w:t>proudly acknowledges Victoria</w:t>
      </w:r>
      <w:r w:rsidR="00711AE6">
        <w:rPr>
          <w:rStyle w:val="Strong"/>
        </w:rPr>
        <w:t>’</w:t>
      </w:r>
      <w:r w:rsidRPr="002029AF">
        <w:rPr>
          <w:rStyle w:val="Strong"/>
        </w:rPr>
        <w:t>s Aboriginal communities and their rich culture and</w:t>
      </w:r>
      <w:r>
        <w:rPr>
          <w:rStyle w:val="Strong"/>
        </w:rPr>
        <w:t> </w:t>
      </w:r>
      <w:r w:rsidRPr="002029AF">
        <w:rPr>
          <w:rStyle w:val="Strong"/>
        </w:rPr>
        <w:t>pays respect to their Elders past and present.</w:t>
      </w:r>
    </w:p>
    <w:p w14:paraId="03C42709" w14:textId="7C383FFC" w:rsidR="006D0898" w:rsidRPr="002029AF" w:rsidRDefault="006D0898" w:rsidP="006D0898">
      <w:pPr>
        <w:pStyle w:val="ARbody"/>
        <w:rPr>
          <w:rStyle w:val="Strong"/>
        </w:rPr>
      </w:pPr>
      <w:r w:rsidRPr="002029AF">
        <w:rPr>
          <w:rStyle w:val="Strong"/>
        </w:rPr>
        <w:t>We acknowledge Aboriginal people as Australia</w:t>
      </w:r>
      <w:r w:rsidR="00711AE6">
        <w:rPr>
          <w:rStyle w:val="Strong"/>
        </w:rPr>
        <w:t>’</w:t>
      </w:r>
      <w:r w:rsidRPr="002029AF">
        <w:rPr>
          <w:rStyle w:val="Strong"/>
        </w:rPr>
        <w:t xml:space="preserve">s </w:t>
      </w:r>
      <w:r>
        <w:rPr>
          <w:rStyle w:val="Strong"/>
        </w:rPr>
        <w:t>F</w:t>
      </w:r>
      <w:r w:rsidRPr="002029AF">
        <w:rPr>
          <w:rStyle w:val="Strong"/>
        </w:rPr>
        <w:t xml:space="preserve">irst </w:t>
      </w:r>
      <w:r>
        <w:rPr>
          <w:rStyle w:val="Strong"/>
        </w:rPr>
        <w:t>P</w:t>
      </w:r>
      <w:r w:rsidRPr="002029AF">
        <w:rPr>
          <w:rStyle w:val="Strong"/>
        </w:rPr>
        <w:t>eoples and as the Traditional Owners and</w:t>
      </w:r>
      <w:r>
        <w:rPr>
          <w:rStyle w:val="Strong"/>
        </w:rPr>
        <w:t> </w:t>
      </w:r>
      <w:r w:rsidRPr="002029AF">
        <w:rPr>
          <w:rStyle w:val="Strong"/>
        </w:rPr>
        <w:t>custodians of the land and water on which we rely.</w:t>
      </w:r>
    </w:p>
    <w:p w14:paraId="171A4323" w14:textId="77777777" w:rsidR="006D0898" w:rsidRPr="002029AF" w:rsidRDefault="006D0898" w:rsidP="006D0898">
      <w:pPr>
        <w:pStyle w:val="ARbody"/>
        <w:rPr>
          <w:rStyle w:val="Strong"/>
        </w:rPr>
      </w:pPr>
      <w:r w:rsidRPr="002029AF">
        <w:rPr>
          <w:rStyle w:val="Strong"/>
        </w:rPr>
        <w:t>We recognise and value the ongoing contribution of Aboriginal people and communities to Victorian</w:t>
      </w:r>
      <w:r>
        <w:rPr>
          <w:rStyle w:val="Strong"/>
        </w:rPr>
        <w:t> </w:t>
      </w:r>
      <w:r w:rsidRPr="002029AF">
        <w:rPr>
          <w:rStyle w:val="Strong"/>
        </w:rPr>
        <w:t>life and how this enriches us.</w:t>
      </w:r>
    </w:p>
    <w:p w14:paraId="658E5866" w14:textId="77777777" w:rsidR="006D0898" w:rsidRDefault="006D0898" w:rsidP="00705DEA">
      <w:pPr>
        <w:pStyle w:val="ARbody"/>
        <w:spacing w:after="4920"/>
        <w:rPr>
          <w:rStyle w:val="Strong"/>
        </w:rPr>
      </w:pPr>
      <w:r w:rsidRPr="002029AF">
        <w:rPr>
          <w:rStyle w:val="Strong"/>
        </w:rPr>
        <w:t>We embrace the spirit of reconciliation, working towards the equality of outcomes and ensuring an</w:t>
      </w:r>
      <w:r>
        <w:rPr>
          <w:rStyle w:val="Strong"/>
        </w:rPr>
        <w:t> </w:t>
      </w:r>
      <w:r w:rsidRPr="002029AF">
        <w:rPr>
          <w:rStyle w:val="Strong"/>
        </w:rPr>
        <w:t>equal voice.</w:t>
      </w:r>
    </w:p>
    <w:p w14:paraId="20E23439" w14:textId="77777777" w:rsidR="006D0898" w:rsidRPr="00682011" w:rsidRDefault="006D0898" w:rsidP="006D0898">
      <w:pPr>
        <w:pStyle w:val="ARbody"/>
      </w:pPr>
      <w:r w:rsidRPr="00682011">
        <w:t xml:space="preserve">To receive this publication in an accessible format, email </w:t>
      </w:r>
      <w:hyperlink r:id="rId12" w:history="1">
        <w:r w:rsidRPr="00682011">
          <w:rPr>
            <w:rStyle w:val="Hyperlink"/>
          </w:rPr>
          <w:t>DFFHcorporate.reporting@dffh.vic.gov.au</w:t>
        </w:r>
      </w:hyperlink>
      <w:r w:rsidRPr="00682011">
        <w:t>.</w:t>
      </w:r>
    </w:p>
    <w:p w14:paraId="20FA2927" w14:textId="77777777" w:rsidR="006D0898" w:rsidRPr="00682011" w:rsidRDefault="006D0898" w:rsidP="006D0898">
      <w:pPr>
        <w:pStyle w:val="ARbody"/>
      </w:pPr>
      <w:r w:rsidRPr="00682011">
        <w:t>Authorised and published by the Victorian Government, 1 Treasury Place, Melbourne.</w:t>
      </w:r>
    </w:p>
    <w:p w14:paraId="38098AB8" w14:textId="77777777" w:rsidR="006D0898" w:rsidRPr="00682011" w:rsidRDefault="006D0898" w:rsidP="006D0898">
      <w:pPr>
        <w:pStyle w:val="ARbody"/>
      </w:pPr>
      <w:r w:rsidRPr="00682011">
        <w:t>© State of Victoria, Australia (Department of Family, Fairness and Housing), October 2024.</w:t>
      </w:r>
    </w:p>
    <w:p w14:paraId="611B8E9B" w14:textId="77777777" w:rsidR="006D0898" w:rsidRPr="000953CE" w:rsidRDefault="006D0898" w:rsidP="006D0898">
      <w:pPr>
        <w:pStyle w:val="ARbody"/>
        <w:rPr>
          <w:highlight w:val="cyan"/>
        </w:rPr>
      </w:pPr>
      <w:r w:rsidRPr="000953CE">
        <w:rPr>
          <w:noProof/>
          <w:highlight w:val="cyan"/>
          <w:lang w:eastAsia="en-AU" w:bidi="as-IN"/>
        </w:rPr>
        <w:drawing>
          <wp:inline distT="0" distB="0" distL="0" distR="0" wp14:anchorId="65AB35D6" wp14:editId="104C2CE9">
            <wp:extent cx="1233170" cy="425450"/>
            <wp:effectExtent l="0" t="0" r="5080" b="0"/>
            <wp:docPr id="1095398416"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cstate="screen">
                      <a:extLst>
                        <a:ext uri="{28A0092B-C50C-407E-A947-70E740481C1C}">
                          <a14:useLocalDpi xmlns:a14="http://schemas.microsoft.com/office/drawing/2010/main"/>
                        </a:ext>
                      </a:extLst>
                    </a:blip>
                    <a:stretch>
                      <a:fillRect/>
                    </a:stretch>
                  </pic:blipFill>
                  <pic:spPr>
                    <a:xfrm>
                      <a:off x="0" y="0"/>
                      <a:ext cx="1233170" cy="425450"/>
                    </a:xfrm>
                    <a:prstGeom prst="rect">
                      <a:avLst/>
                    </a:prstGeom>
                  </pic:spPr>
                </pic:pic>
              </a:graphicData>
            </a:graphic>
          </wp:inline>
        </w:drawing>
      </w:r>
    </w:p>
    <w:p w14:paraId="793AC15F" w14:textId="77777777" w:rsidR="006D0898" w:rsidRPr="00682011" w:rsidRDefault="006D0898" w:rsidP="006D0898">
      <w:pPr>
        <w:pStyle w:val="ARbody"/>
      </w:pPr>
      <w:r w:rsidRPr="00682011">
        <w:t>With the exception of any images, photographs or branding (including, but not limited to the Victorian Coat of Arms, the Victorian Government logo or the Department of Families, Fairness and Housing logo), this work,</w:t>
      </w:r>
      <w:r w:rsidRPr="00837B0B">
        <w:rPr>
          <w:rStyle w:val="Emphasis"/>
        </w:rPr>
        <w:t xml:space="preserve"> Department of Families, Fairness and Housing Annual Report 2023–24</w:t>
      </w:r>
      <w:r w:rsidRPr="00682011">
        <w:t>, is licensed under a Creative Commons Attribution 4.0 licence.</w:t>
      </w:r>
    </w:p>
    <w:p w14:paraId="5E195D62" w14:textId="77777777" w:rsidR="006D0898" w:rsidRPr="007A0AF0" w:rsidRDefault="006D0898" w:rsidP="006D0898">
      <w:pPr>
        <w:pStyle w:val="ARbody"/>
        <w:rPr>
          <w:highlight w:val="cyan"/>
        </w:rPr>
      </w:pPr>
      <w:r w:rsidRPr="00533C1C">
        <w:t xml:space="preserve">The terms and conditions of this licence, including disclaimer of warranties and limitation of liability are available at </w:t>
      </w:r>
      <w:hyperlink r:id="rId14" w:history="1">
        <w:r w:rsidRPr="00533C1C">
          <w:rPr>
            <w:rStyle w:val="Hyperlink"/>
          </w:rPr>
          <w:t>Creative Commons Attribution 4.0 International</w:t>
        </w:r>
      </w:hyperlink>
      <w:r w:rsidRPr="00533C1C">
        <w:t xml:space="preserve"> &lt;creativecommons.org/licenses/by/4.0/legalcode&gt;.</w:t>
      </w:r>
    </w:p>
    <w:p w14:paraId="0E206CD2" w14:textId="77777777" w:rsidR="006D0898" w:rsidRPr="00B77473" w:rsidRDefault="006D0898" w:rsidP="006D0898">
      <w:pPr>
        <w:pStyle w:val="ARbody"/>
      </w:pPr>
      <w:r w:rsidRPr="00B77473">
        <w:t>You are free to reuse the work under that licence, on the condition that you credit the State of Victoria, Australia (Department of Families, Fairness and Housing) as the author and/or owner of the work, indicate if any changes have been made to the work and comply with the other licence terms.</w:t>
      </w:r>
    </w:p>
    <w:p w14:paraId="0CFB5D34" w14:textId="1BCDA892" w:rsidR="006D0898" w:rsidRPr="00B77473" w:rsidRDefault="006D0898" w:rsidP="006D0898">
      <w:pPr>
        <w:pStyle w:val="ARbody"/>
      </w:pPr>
      <w:r w:rsidRPr="00B77473">
        <w:t xml:space="preserve">In this document, </w:t>
      </w:r>
      <w:r w:rsidR="00711AE6">
        <w:t>‘</w:t>
      </w:r>
      <w:r w:rsidRPr="00B77473">
        <w:t>Aboriginal</w:t>
      </w:r>
      <w:r w:rsidR="00711AE6">
        <w:t>’</w:t>
      </w:r>
      <w:r w:rsidRPr="00B77473">
        <w:t xml:space="preserve"> refers to both Aboriginal and Torres Strait Islander people. </w:t>
      </w:r>
      <w:r w:rsidR="00711AE6">
        <w:t>‘</w:t>
      </w:r>
      <w:r w:rsidRPr="00B77473">
        <w:t>Indigenous</w:t>
      </w:r>
      <w:r w:rsidR="00711AE6">
        <w:t>’</w:t>
      </w:r>
      <w:r w:rsidRPr="00B77473">
        <w:t xml:space="preserve"> or </w:t>
      </w:r>
      <w:r w:rsidR="006943E3">
        <w:t>‘</w:t>
      </w:r>
      <w:r w:rsidRPr="00B77473">
        <w:t>Koori/Koorie</w:t>
      </w:r>
      <w:r w:rsidR="00711AE6">
        <w:t>’</w:t>
      </w:r>
      <w:r w:rsidRPr="00B77473">
        <w:t xml:space="preserve"> is retained when part of the title of a report, program or quotation.</w:t>
      </w:r>
    </w:p>
    <w:p w14:paraId="22334E1D" w14:textId="77777777" w:rsidR="006D0898" w:rsidRPr="00153849" w:rsidRDefault="006D0898" w:rsidP="006D0898">
      <w:pPr>
        <w:pStyle w:val="ARbody"/>
      </w:pPr>
      <w:r w:rsidRPr="00153849">
        <w:t xml:space="preserve">ISSN 2653-1976 – Online (pdf/word) </w:t>
      </w:r>
      <w:r w:rsidRPr="00153849">
        <w:rPr>
          <w:szCs w:val="20"/>
        </w:rPr>
        <w:t>(2107071)</w:t>
      </w:r>
    </w:p>
    <w:p w14:paraId="433E0237" w14:textId="77777777" w:rsidR="00AA61CC" w:rsidRDefault="006D0898" w:rsidP="00AA61CC">
      <w:pPr>
        <w:pStyle w:val="ARbody"/>
      </w:pPr>
      <w:r w:rsidRPr="00B77473">
        <w:rPr>
          <w:szCs w:val="19"/>
        </w:rPr>
        <w:t xml:space="preserve">Available at </w:t>
      </w:r>
      <w:hyperlink r:id="rId15" w:history="1">
        <w:r w:rsidRPr="00B77473">
          <w:rPr>
            <w:rStyle w:val="Hyperlink"/>
          </w:rPr>
          <w:t>Department of Families, Fairness and Housing Services annual reports</w:t>
        </w:r>
      </w:hyperlink>
      <w:r w:rsidRPr="00B77473">
        <w:rPr>
          <w:szCs w:val="19"/>
        </w:rPr>
        <w:t xml:space="preserve"> &lt;</w:t>
      </w:r>
      <w:r w:rsidRPr="00B77473">
        <w:t>www.dffh.vic.gov.au/publications/annual-reports-department-families-fairness-housing&gt;.</w:t>
      </w:r>
    </w:p>
    <w:p w14:paraId="23A2F6E4" w14:textId="77777777" w:rsidR="00AA61CC" w:rsidRDefault="00AA61CC" w:rsidP="00AA61CC">
      <w:pPr>
        <w:pStyle w:val="ARbody"/>
      </w:pPr>
    </w:p>
    <w:p w14:paraId="5DA90AB7" w14:textId="302B2993" w:rsidR="00AA61CC" w:rsidRDefault="00AA61CC" w:rsidP="00AA61CC">
      <w:pPr>
        <w:pStyle w:val="ARbody"/>
        <w:rPr>
          <w:highlight w:val="green"/>
        </w:rPr>
        <w:sectPr w:rsidR="00AA61CC" w:rsidSect="005936D2">
          <w:headerReference w:type="default" r:id="rId16"/>
          <w:footnotePr>
            <w:numFmt w:val="lowerRoman"/>
            <w:numRestart w:val="eachPage"/>
          </w:footnotePr>
          <w:endnotePr>
            <w:numFmt w:val="decimal"/>
          </w:endnotePr>
          <w:pgSz w:w="11900" w:h="16840" w:code="9"/>
          <w:pgMar w:top="1701" w:right="1134" w:bottom="851" w:left="1134" w:header="510" w:footer="340" w:gutter="0"/>
          <w:cols w:space="454"/>
        </w:sectPr>
      </w:pPr>
    </w:p>
    <w:p w14:paraId="7850BCC8" w14:textId="08C2A57C" w:rsidR="0081234A" w:rsidRPr="00AA126F" w:rsidRDefault="0081234A" w:rsidP="00A742C2">
      <w:pPr>
        <w:pStyle w:val="Heading1"/>
        <w:rPr>
          <w:iCs/>
        </w:rPr>
      </w:pPr>
      <w:bookmarkStart w:id="19" w:name="_Ref178664362"/>
      <w:bookmarkStart w:id="20" w:name="_Toc181101476"/>
      <w:r w:rsidRPr="00AA126F">
        <w:t>Responsible body</w:t>
      </w:r>
      <w:r w:rsidR="00711AE6">
        <w:t>’</w:t>
      </w:r>
      <w:r w:rsidRPr="00AA126F">
        <w:t>s declaration</w:t>
      </w:r>
      <w:bookmarkEnd w:id="0"/>
      <w:bookmarkEnd w:id="1"/>
      <w:bookmarkEnd w:id="2"/>
      <w:bookmarkEnd w:id="19"/>
      <w:bookmarkEnd w:id="20"/>
    </w:p>
    <w:bookmarkEnd w:id="3"/>
    <w:bookmarkEnd w:id="4"/>
    <w:p w14:paraId="57A5E6AD" w14:textId="21E05CA5" w:rsidR="009B3C48" w:rsidRPr="00391625" w:rsidRDefault="009B3C48" w:rsidP="009B3C48">
      <w:pPr>
        <w:pStyle w:val="ARbodynospace"/>
        <w:rPr>
          <w:b/>
          <w:bCs/>
        </w:rPr>
      </w:pPr>
      <w:r w:rsidRPr="00391625">
        <w:rPr>
          <w:b/>
          <w:bCs/>
        </w:rPr>
        <w:t>Hon Lizzie Blandthorn MP</w:t>
      </w:r>
    </w:p>
    <w:p w14:paraId="128F4DCC" w14:textId="77777777" w:rsidR="009B3C48" w:rsidRPr="00391625" w:rsidRDefault="009B3C48" w:rsidP="009B3C48">
      <w:pPr>
        <w:pStyle w:val="ARbody"/>
        <w:spacing w:after="0"/>
      </w:pPr>
      <w:r w:rsidRPr="00391625">
        <w:t xml:space="preserve">Minister for Children (Coordinating Minister) </w:t>
      </w:r>
    </w:p>
    <w:p w14:paraId="1EA84182" w14:textId="77777777" w:rsidR="009B3C48" w:rsidRPr="00391625" w:rsidRDefault="009B3C48" w:rsidP="009B3C48">
      <w:pPr>
        <w:pStyle w:val="ARbody"/>
        <w:spacing w:after="0"/>
      </w:pPr>
      <w:r w:rsidRPr="00391625">
        <w:t>Minister for Disability</w:t>
      </w:r>
    </w:p>
    <w:p w14:paraId="37E5ED1F" w14:textId="7B7B4960" w:rsidR="009B3C48" w:rsidRPr="00391625" w:rsidRDefault="009B3C48" w:rsidP="009B3C48">
      <w:pPr>
        <w:pStyle w:val="ARbodynospace"/>
        <w:spacing w:before="240"/>
        <w:rPr>
          <w:b/>
          <w:bCs/>
        </w:rPr>
      </w:pPr>
      <w:r w:rsidRPr="00391625">
        <w:rPr>
          <w:b/>
          <w:bCs/>
        </w:rPr>
        <w:t>The Hon Harriet Shing MP</w:t>
      </w:r>
    </w:p>
    <w:p w14:paraId="0AC69063" w14:textId="77777777" w:rsidR="009B3C48" w:rsidRPr="00391625" w:rsidRDefault="009B3C48" w:rsidP="009B3C48">
      <w:pPr>
        <w:pStyle w:val="ARbody"/>
        <w:spacing w:after="0"/>
      </w:pPr>
      <w:r w:rsidRPr="00391625">
        <w:t xml:space="preserve">Minister for Equality </w:t>
      </w:r>
    </w:p>
    <w:p w14:paraId="7E9DDC6F" w14:textId="77777777" w:rsidR="009B3C48" w:rsidRPr="00391625" w:rsidRDefault="009B3C48" w:rsidP="009B3C48">
      <w:pPr>
        <w:pStyle w:val="ARbody"/>
        <w:spacing w:after="0"/>
      </w:pPr>
      <w:r w:rsidRPr="00391625">
        <w:t>Minister for Housing</w:t>
      </w:r>
    </w:p>
    <w:p w14:paraId="091E908E" w14:textId="3602D47E" w:rsidR="009B3C48" w:rsidRPr="00DA0A37" w:rsidRDefault="009B3C48" w:rsidP="009B3C48">
      <w:pPr>
        <w:pStyle w:val="ARbodynospace"/>
        <w:spacing w:before="240"/>
        <w:rPr>
          <w:b/>
          <w:bCs/>
        </w:rPr>
      </w:pPr>
      <w:r w:rsidRPr="00391625">
        <w:rPr>
          <w:b/>
          <w:bCs/>
        </w:rPr>
        <w:t>Ingrid Stitt MP</w:t>
      </w:r>
    </w:p>
    <w:p w14:paraId="749C3F5F" w14:textId="77777777" w:rsidR="009B3C48" w:rsidRPr="00391625" w:rsidRDefault="009B3C48" w:rsidP="009B3C48">
      <w:pPr>
        <w:pStyle w:val="ARbody"/>
        <w:spacing w:after="0"/>
      </w:pPr>
      <w:r w:rsidRPr="00391625">
        <w:t>Minister for Ageing</w:t>
      </w:r>
    </w:p>
    <w:p w14:paraId="29380AA9" w14:textId="6B3B34F7" w:rsidR="009B3C48" w:rsidRPr="00391625" w:rsidRDefault="009B3C48" w:rsidP="009B3C48">
      <w:pPr>
        <w:pStyle w:val="ARbodynospace"/>
        <w:spacing w:before="240"/>
        <w:rPr>
          <w:b/>
          <w:bCs/>
        </w:rPr>
      </w:pPr>
      <w:r w:rsidRPr="00391625">
        <w:rPr>
          <w:b/>
          <w:bCs/>
        </w:rPr>
        <w:t>The Hon Natalie Hutchins MP</w:t>
      </w:r>
    </w:p>
    <w:p w14:paraId="65FDC5A4" w14:textId="77777777" w:rsidR="009B3C48" w:rsidRPr="00391625" w:rsidRDefault="009B3C48" w:rsidP="009B3C48">
      <w:pPr>
        <w:pStyle w:val="ARbody"/>
      </w:pPr>
      <w:r w:rsidRPr="00391625">
        <w:t>Minister for Women</w:t>
      </w:r>
    </w:p>
    <w:p w14:paraId="53941306" w14:textId="35EF4AB8" w:rsidR="009B3C48" w:rsidRPr="00391625" w:rsidRDefault="009B3C48" w:rsidP="009B3C48">
      <w:pPr>
        <w:pStyle w:val="ARbodynospace"/>
        <w:spacing w:before="240"/>
        <w:rPr>
          <w:b/>
          <w:bCs/>
        </w:rPr>
      </w:pPr>
      <w:r w:rsidRPr="00391625">
        <w:rPr>
          <w:b/>
          <w:bCs/>
        </w:rPr>
        <w:t>The Hon Natalie Suleyman MP</w:t>
      </w:r>
    </w:p>
    <w:p w14:paraId="72AA9CFA" w14:textId="77777777" w:rsidR="009B3C48" w:rsidRPr="00391625" w:rsidRDefault="009B3C48" w:rsidP="009B3C48">
      <w:pPr>
        <w:pStyle w:val="ARbody"/>
        <w:spacing w:after="0"/>
      </w:pPr>
      <w:r w:rsidRPr="00391625">
        <w:t>Minister for Veterans</w:t>
      </w:r>
    </w:p>
    <w:p w14:paraId="16550DD2" w14:textId="77777777" w:rsidR="009B3C48" w:rsidRPr="00391625" w:rsidRDefault="009B3C48" w:rsidP="009B3C48">
      <w:pPr>
        <w:pStyle w:val="ARbody"/>
        <w:spacing w:after="0"/>
      </w:pPr>
      <w:r w:rsidRPr="00391625">
        <w:t>Minister for Youth</w:t>
      </w:r>
    </w:p>
    <w:p w14:paraId="57FFF373" w14:textId="4651034E" w:rsidR="009B3C48" w:rsidRPr="00391625" w:rsidRDefault="009B3C48" w:rsidP="009B3C48">
      <w:pPr>
        <w:pStyle w:val="ARbodynospace"/>
        <w:spacing w:before="240"/>
        <w:rPr>
          <w:b/>
          <w:bCs/>
        </w:rPr>
      </w:pPr>
      <w:r w:rsidRPr="00391625">
        <w:rPr>
          <w:b/>
          <w:bCs/>
        </w:rPr>
        <w:t>The Hon Ros Spence MP</w:t>
      </w:r>
    </w:p>
    <w:p w14:paraId="112B6B88" w14:textId="77777777" w:rsidR="009B3C48" w:rsidRPr="00391625" w:rsidRDefault="009B3C48" w:rsidP="009B3C48">
      <w:pPr>
        <w:pStyle w:val="ARbodynospace"/>
      </w:pPr>
      <w:r w:rsidRPr="00391625">
        <w:t>Minister for Carers and Volunteers</w:t>
      </w:r>
    </w:p>
    <w:p w14:paraId="49C8F156" w14:textId="7C9823F6" w:rsidR="009B3C48" w:rsidRPr="00391625" w:rsidRDefault="009B3C48" w:rsidP="009B3C48">
      <w:pPr>
        <w:pStyle w:val="ARbodynospace"/>
        <w:spacing w:before="240"/>
        <w:rPr>
          <w:b/>
          <w:bCs/>
        </w:rPr>
      </w:pPr>
      <w:r w:rsidRPr="00391625">
        <w:rPr>
          <w:b/>
          <w:bCs/>
        </w:rPr>
        <w:t>The Hon Vicki Ward MP</w:t>
      </w:r>
    </w:p>
    <w:p w14:paraId="2E2805DC" w14:textId="35E1B40A" w:rsidR="00E6791D" w:rsidRPr="00C86F88" w:rsidRDefault="009B3C48" w:rsidP="00AA126F">
      <w:pPr>
        <w:pStyle w:val="ARbullet1"/>
        <w:numPr>
          <w:ilvl w:val="0"/>
          <w:numId w:val="0"/>
        </w:numPr>
        <w:spacing w:after="0"/>
      </w:pPr>
      <w:r w:rsidRPr="00391625">
        <w:t>Minister for Prevention of Family Violence</w:t>
      </w:r>
    </w:p>
    <w:p w14:paraId="70C5E81E" w14:textId="77777777" w:rsidR="009B3C48" w:rsidRDefault="009B3C48" w:rsidP="00C86F88">
      <w:pPr>
        <w:pStyle w:val="ARbodyaftertable"/>
        <w:spacing w:before="960"/>
      </w:pPr>
      <w:r w:rsidRPr="00391625">
        <w:t>Dear Ministers</w:t>
      </w:r>
    </w:p>
    <w:p w14:paraId="7366BDA8" w14:textId="77777777" w:rsidR="009B3C48" w:rsidRDefault="009B3C48" w:rsidP="009B3C48">
      <w:pPr>
        <w:pStyle w:val="ARbody"/>
      </w:pPr>
      <w:r>
        <w:t xml:space="preserve">In accordance with the </w:t>
      </w:r>
      <w:r w:rsidRPr="00837B0B">
        <w:rPr>
          <w:rStyle w:val="Emphasis"/>
        </w:rPr>
        <w:t xml:space="preserve">Financial Management Act 1994, </w:t>
      </w:r>
      <w:r>
        <w:t>I am pleased to present the Department of Families, Fairness and Housing Annual Report for the year ending 30 June 2024.</w:t>
      </w:r>
    </w:p>
    <w:p w14:paraId="1A45D403" w14:textId="483BF9FE" w:rsidR="009B3C48" w:rsidRDefault="00B77497" w:rsidP="00C86F88">
      <w:pPr>
        <w:pStyle w:val="ARbodyaftertable"/>
        <w:spacing w:before="1080"/>
      </w:pPr>
      <w:r w:rsidRPr="00532DAE">
        <w:rPr>
          <w:noProof/>
        </w:rPr>
        <w:drawing>
          <wp:inline distT="0" distB="0" distL="0" distR="0" wp14:anchorId="3FF258D2" wp14:editId="2A179316">
            <wp:extent cx="1845277" cy="570368"/>
            <wp:effectExtent l="0" t="0" r="3175" b="1270"/>
            <wp:docPr id="16" name="Picture 16" descr="Signature&#10;Peta McCammon&#10;Secretary&#10;Department of Families, Fairness and Hou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ignature&#10;Peta McCammon&#10;Secretary&#10;Department of Families, Fairness and Housing&#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03E33F53" w14:textId="77777777" w:rsidR="009B3C48" w:rsidRPr="00053290" w:rsidRDefault="009B3C48" w:rsidP="009B3C48">
      <w:pPr>
        <w:pStyle w:val="ARbodynospace"/>
        <w:rPr>
          <w:b/>
          <w:bCs/>
        </w:rPr>
      </w:pPr>
      <w:r>
        <w:rPr>
          <w:b/>
          <w:bCs/>
        </w:rPr>
        <w:t>Peta McCammon</w:t>
      </w:r>
    </w:p>
    <w:p w14:paraId="40010A86" w14:textId="77777777" w:rsidR="009B3C48" w:rsidRDefault="009B3C48" w:rsidP="009B3C48">
      <w:pPr>
        <w:pStyle w:val="ARbodynospace"/>
      </w:pPr>
      <w:r>
        <w:t>Secretary</w:t>
      </w:r>
    </w:p>
    <w:p w14:paraId="02FD9970" w14:textId="77777777" w:rsidR="009B3C48" w:rsidRPr="00B07EE7" w:rsidRDefault="009B3C48" w:rsidP="009B3C48">
      <w:pPr>
        <w:pStyle w:val="ARbody"/>
      </w:pPr>
      <w:r w:rsidRPr="00B07EE7">
        <w:t>Department of Families, Fairness and Housing</w:t>
      </w:r>
    </w:p>
    <w:p w14:paraId="40FE784E" w14:textId="7AA5D2F4" w:rsidR="0081234A" w:rsidRPr="00AB4292" w:rsidRDefault="00DE6583" w:rsidP="00AB4292">
      <w:pPr>
        <w:pStyle w:val="ARbody"/>
      </w:pPr>
      <w:r w:rsidRPr="00AB4292">
        <w:t>16</w:t>
      </w:r>
      <w:r w:rsidR="009B3C48" w:rsidRPr="00AB4292">
        <w:t xml:space="preserve"> October 2024</w:t>
      </w:r>
    </w:p>
    <w:p w14:paraId="7D5A1283" w14:textId="77777777" w:rsidR="0081234A" w:rsidRPr="00BA7805" w:rsidRDefault="0081234A" w:rsidP="0081234A">
      <w:pPr>
        <w:pStyle w:val="ARbody"/>
        <w:rPr>
          <w:highlight w:val="green"/>
        </w:rPr>
      </w:pPr>
      <w:r w:rsidRPr="00BA7805">
        <w:rPr>
          <w:highlight w:val="green"/>
        </w:rPr>
        <w:br w:type="page"/>
      </w:r>
    </w:p>
    <w:p w14:paraId="0385250D" w14:textId="530E1F41" w:rsidR="0081234A" w:rsidRPr="008E49CD" w:rsidRDefault="0081234A" w:rsidP="00A742C2">
      <w:pPr>
        <w:pStyle w:val="ARTOCheading"/>
        <w:rPr>
          <w:lang w:val="en-AU"/>
        </w:rPr>
      </w:pPr>
      <w:r w:rsidRPr="008E49CD">
        <w:t>Content</w:t>
      </w:r>
      <w:r w:rsidR="004469E4">
        <w:t>s</w:t>
      </w:r>
    </w:p>
    <w:p w14:paraId="30A4FD91" w14:textId="2B93B293" w:rsidR="00D26760" w:rsidRDefault="0081234A">
      <w:pPr>
        <w:pStyle w:val="TOC1"/>
        <w:rPr>
          <w:rFonts w:asciiTheme="minorHAnsi" w:hAnsiTheme="minorHAnsi"/>
          <w:kern w:val="2"/>
          <w:sz w:val="24"/>
          <w:szCs w:val="24"/>
          <w:lang w:val="en-US"/>
          <w14:ligatures w14:val="standardContextual"/>
        </w:rPr>
      </w:pPr>
      <w:r w:rsidRPr="00BA7805">
        <w:rPr>
          <w:highlight w:val="green"/>
        </w:rPr>
        <w:fldChar w:fldCharType="begin"/>
      </w:r>
      <w:r w:rsidRPr="00BA7805">
        <w:rPr>
          <w:highlight w:val="green"/>
        </w:rPr>
        <w:instrText xml:space="preserve"> TOC \h \z \t "Heading 1,1,Heading 2,2" </w:instrText>
      </w:r>
      <w:r w:rsidRPr="00BA7805">
        <w:rPr>
          <w:highlight w:val="green"/>
        </w:rPr>
        <w:fldChar w:fldCharType="separate"/>
      </w:r>
      <w:hyperlink w:anchor="_Toc181101476" w:history="1">
        <w:r w:rsidR="00D26760" w:rsidRPr="009A04DE">
          <w:rPr>
            <w:rStyle w:val="Hyperlink"/>
          </w:rPr>
          <w:t>Responsible body’s declaration</w:t>
        </w:r>
        <w:r w:rsidR="00D26760">
          <w:rPr>
            <w:webHidden/>
          </w:rPr>
          <w:tab/>
        </w:r>
        <w:r w:rsidR="00D26760">
          <w:rPr>
            <w:webHidden/>
          </w:rPr>
          <w:fldChar w:fldCharType="begin"/>
        </w:r>
        <w:r w:rsidR="00D26760">
          <w:rPr>
            <w:webHidden/>
          </w:rPr>
          <w:instrText xml:space="preserve"> PAGEREF _Toc181101476 \h </w:instrText>
        </w:r>
        <w:r w:rsidR="00D26760">
          <w:rPr>
            <w:webHidden/>
          </w:rPr>
        </w:r>
        <w:r w:rsidR="00D26760">
          <w:rPr>
            <w:webHidden/>
          </w:rPr>
          <w:fldChar w:fldCharType="separate"/>
        </w:r>
        <w:r w:rsidR="002F3676">
          <w:rPr>
            <w:webHidden/>
          </w:rPr>
          <w:t>3</w:t>
        </w:r>
        <w:r w:rsidR="00D26760">
          <w:rPr>
            <w:webHidden/>
          </w:rPr>
          <w:fldChar w:fldCharType="end"/>
        </w:r>
      </w:hyperlink>
    </w:p>
    <w:p w14:paraId="44A07439" w14:textId="690583A3" w:rsidR="00D26760" w:rsidRDefault="00D26760">
      <w:pPr>
        <w:pStyle w:val="TOC1"/>
        <w:rPr>
          <w:rFonts w:asciiTheme="minorHAnsi" w:hAnsiTheme="minorHAnsi"/>
          <w:kern w:val="2"/>
          <w:sz w:val="24"/>
          <w:szCs w:val="24"/>
          <w:lang w:val="en-US"/>
          <w14:ligatures w14:val="standardContextual"/>
        </w:rPr>
      </w:pPr>
      <w:hyperlink w:anchor="_Toc181101477" w:history="1">
        <w:r w:rsidRPr="009A04DE">
          <w:rPr>
            <w:rStyle w:val="Hyperlink"/>
          </w:rPr>
          <w:t>Section 1: About the department</w:t>
        </w:r>
        <w:r>
          <w:rPr>
            <w:webHidden/>
          </w:rPr>
          <w:tab/>
        </w:r>
        <w:r>
          <w:rPr>
            <w:webHidden/>
          </w:rPr>
          <w:fldChar w:fldCharType="begin"/>
        </w:r>
        <w:r>
          <w:rPr>
            <w:webHidden/>
          </w:rPr>
          <w:instrText xml:space="preserve"> PAGEREF _Toc181101477 \h </w:instrText>
        </w:r>
        <w:r>
          <w:rPr>
            <w:webHidden/>
          </w:rPr>
        </w:r>
        <w:r>
          <w:rPr>
            <w:webHidden/>
          </w:rPr>
          <w:fldChar w:fldCharType="separate"/>
        </w:r>
        <w:r w:rsidR="002F3676">
          <w:rPr>
            <w:webHidden/>
          </w:rPr>
          <w:t>6</w:t>
        </w:r>
        <w:r>
          <w:rPr>
            <w:webHidden/>
          </w:rPr>
          <w:fldChar w:fldCharType="end"/>
        </w:r>
      </w:hyperlink>
    </w:p>
    <w:p w14:paraId="5A9792A9" w14:textId="464258D5" w:rsidR="00D26760" w:rsidRDefault="00D26760">
      <w:pPr>
        <w:pStyle w:val="TOC2"/>
        <w:rPr>
          <w:rFonts w:asciiTheme="minorHAnsi" w:hAnsiTheme="minorHAnsi"/>
          <w:kern w:val="2"/>
          <w:sz w:val="24"/>
          <w:lang w:val="en-US"/>
          <w14:ligatures w14:val="standardContextual"/>
        </w:rPr>
      </w:pPr>
      <w:hyperlink w:anchor="_Toc181101478" w:history="1">
        <w:r w:rsidRPr="009A04DE">
          <w:rPr>
            <w:rStyle w:val="Hyperlink"/>
          </w:rPr>
          <w:t>Secretary’s foreword</w:t>
        </w:r>
        <w:r>
          <w:rPr>
            <w:webHidden/>
          </w:rPr>
          <w:tab/>
        </w:r>
        <w:r>
          <w:rPr>
            <w:webHidden/>
          </w:rPr>
          <w:fldChar w:fldCharType="begin"/>
        </w:r>
        <w:r>
          <w:rPr>
            <w:webHidden/>
          </w:rPr>
          <w:instrText xml:space="preserve"> PAGEREF _Toc181101478 \h </w:instrText>
        </w:r>
        <w:r>
          <w:rPr>
            <w:webHidden/>
          </w:rPr>
        </w:r>
        <w:r>
          <w:rPr>
            <w:webHidden/>
          </w:rPr>
          <w:fldChar w:fldCharType="separate"/>
        </w:r>
        <w:r w:rsidR="002F3676">
          <w:rPr>
            <w:webHidden/>
          </w:rPr>
          <w:t>6</w:t>
        </w:r>
        <w:r>
          <w:rPr>
            <w:webHidden/>
          </w:rPr>
          <w:fldChar w:fldCharType="end"/>
        </w:r>
      </w:hyperlink>
    </w:p>
    <w:p w14:paraId="03E24314" w14:textId="6D4F7762" w:rsidR="00D26760" w:rsidRDefault="00D26760">
      <w:pPr>
        <w:pStyle w:val="TOC2"/>
        <w:rPr>
          <w:rFonts w:asciiTheme="minorHAnsi" w:hAnsiTheme="minorHAnsi"/>
          <w:kern w:val="2"/>
          <w:sz w:val="24"/>
          <w:lang w:val="en-US"/>
          <w14:ligatures w14:val="standardContextual"/>
        </w:rPr>
      </w:pPr>
      <w:hyperlink w:anchor="_Toc181101479" w:history="1">
        <w:r w:rsidRPr="009A04DE">
          <w:rPr>
            <w:rStyle w:val="Hyperlink"/>
          </w:rPr>
          <w:t>Acknowledgement of First Peoples</w:t>
        </w:r>
        <w:r>
          <w:rPr>
            <w:webHidden/>
          </w:rPr>
          <w:tab/>
        </w:r>
        <w:r>
          <w:rPr>
            <w:webHidden/>
          </w:rPr>
          <w:fldChar w:fldCharType="begin"/>
        </w:r>
        <w:r>
          <w:rPr>
            <w:webHidden/>
          </w:rPr>
          <w:instrText xml:space="preserve"> PAGEREF _Toc181101479 \h </w:instrText>
        </w:r>
        <w:r>
          <w:rPr>
            <w:webHidden/>
          </w:rPr>
        </w:r>
        <w:r>
          <w:rPr>
            <w:webHidden/>
          </w:rPr>
          <w:fldChar w:fldCharType="separate"/>
        </w:r>
        <w:r w:rsidR="002F3676">
          <w:rPr>
            <w:webHidden/>
          </w:rPr>
          <w:t>8</w:t>
        </w:r>
        <w:r>
          <w:rPr>
            <w:webHidden/>
          </w:rPr>
          <w:fldChar w:fldCharType="end"/>
        </w:r>
      </w:hyperlink>
    </w:p>
    <w:p w14:paraId="1A33F60A" w14:textId="5574099A" w:rsidR="00D26760" w:rsidRDefault="00D26760">
      <w:pPr>
        <w:pStyle w:val="TOC2"/>
        <w:rPr>
          <w:rFonts w:asciiTheme="minorHAnsi" w:hAnsiTheme="minorHAnsi"/>
          <w:kern w:val="2"/>
          <w:sz w:val="24"/>
          <w:lang w:val="en-US"/>
          <w14:ligatures w14:val="standardContextual"/>
        </w:rPr>
      </w:pPr>
      <w:hyperlink w:anchor="_Toc181101480" w:history="1">
        <w:r w:rsidRPr="009A04DE">
          <w:rPr>
            <w:rStyle w:val="Hyperlink"/>
          </w:rPr>
          <w:t>Our vision</w:t>
        </w:r>
        <w:r>
          <w:rPr>
            <w:webHidden/>
          </w:rPr>
          <w:tab/>
        </w:r>
        <w:r>
          <w:rPr>
            <w:webHidden/>
          </w:rPr>
          <w:fldChar w:fldCharType="begin"/>
        </w:r>
        <w:r>
          <w:rPr>
            <w:webHidden/>
          </w:rPr>
          <w:instrText xml:space="preserve"> PAGEREF _Toc181101480 \h </w:instrText>
        </w:r>
        <w:r>
          <w:rPr>
            <w:webHidden/>
          </w:rPr>
        </w:r>
        <w:r>
          <w:rPr>
            <w:webHidden/>
          </w:rPr>
          <w:fldChar w:fldCharType="separate"/>
        </w:r>
        <w:r w:rsidR="002F3676">
          <w:rPr>
            <w:webHidden/>
          </w:rPr>
          <w:t>9</w:t>
        </w:r>
        <w:r>
          <w:rPr>
            <w:webHidden/>
          </w:rPr>
          <w:fldChar w:fldCharType="end"/>
        </w:r>
      </w:hyperlink>
    </w:p>
    <w:p w14:paraId="567291B5" w14:textId="47D2676C" w:rsidR="00D26760" w:rsidRDefault="00D26760">
      <w:pPr>
        <w:pStyle w:val="TOC2"/>
        <w:rPr>
          <w:rFonts w:asciiTheme="minorHAnsi" w:hAnsiTheme="minorHAnsi"/>
          <w:kern w:val="2"/>
          <w:sz w:val="24"/>
          <w:lang w:val="en-US"/>
          <w14:ligatures w14:val="standardContextual"/>
        </w:rPr>
      </w:pPr>
      <w:hyperlink w:anchor="_Toc181101481" w:history="1">
        <w:r w:rsidRPr="009A04DE">
          <w:rPr>
            <w:rStyle w:val="Hyperlink"/>
          </w:rPr>
          <w:t>How we will achieve it</w:t>
        </w:r>
        <w:r>
          <w:rPr>
            <w:webHidden/>
          </w:rPr>
          <w:tab/>
        </w:r>
        <w:r>
          <w:rPr>
            <w:webHidden/>
          </w:rPr>
          <w:fldChar w:fldCharType="begin"/>
        </w:r>
        <w:r>
          <w:rPr>
            <w:webHidden/>
          </w:rPr>
          <w:instrText xml:space="preserve"> PAGEREF _Toc181101481 \h </w:instrText>
        </w:r>
        <w:r>
          <w:rPr>
            <w:webHidden/>
          </w:rPr>
        </w:r>
        <w:r>
          <w:rPr>
            <w:webHidden/>
          </w:rPr>
          <w:fldChar w:fldCharType="separate"/>
        </w:r>
        <w:r w:rsidR="002F3676">
          <w:rPr>
            <w:webHidden/>
          </w:rPr>
          <w:t>9</w:t>
        </w:r>
        <w:r>
          <w:rPr>
            <w:webHidden/>
          </w:rPr>
          <w:fldChar w:fldCharType="end"/>
        </w:r>
      </w:hyperlink>
    </w:p>
    <w:p w14:paraId="044CAFD0" w14:textId="5715EFBD" w:rsidR="00D26760" w:rsidRDefault="00D26760">
      <w:pPr>
        <w:pStyle w:val="TOC2"/>
        <w:rPr>
          <w:rFonts w:asciiTheme="minorHAnsi" w:hAnsiTheme="minorHAnsi"/>
          <w:kern w:val="2"/>
          <w:sz w:val="24"/>
          <w:lang w:val="en-US"/>
          <w14:ligatures w14:val="standardContextual"/>
        </w:rPr>
      </w:pPr>
      <w:hyperlink w:anchor="_Toc181101482" w:history="1">
        <w:r w:rsidRPr="009A04DE">
          <w:rPr>
            <w:rStyle w:val="Hyperlink"/>
          </w:rPr>
          <w:t>Our outcomes</w:t>
        </w:r>
        <w:r>
          <w:rPr>
            <w:webHidden/>
          </w:rPr>
          <w:tab/>
        </w:r>
        <w:r>
          <w:rPr>
            <w:webHidden/>
          </w:rPr>
          <w:fldChar w:fldCharType="begin"/>
        </w:r>
        <w:r>
          <w:rPr>
            <w:webHidden/>
          </w:rPr>
          <w:instrText xml:space="preserve"> PAGEREF _Toc181101482 \h </w:instrText>
        </w:r>
        <w:r>
          <w:rPr>
            <w:webHidden/>
          </w:rPr>
        </w:r>
        <w:r>
          <w:rPr>
            <w:webHidden/>
          </w:rPr>
          <w:fldChar w:fldCharType="separate"/>
        </w:r>
        <w:r w:rsidR="002F3676">
          <w:rPr>
            <w:webHidden/>
          </w:rPr>
          <w:t>9</w:t>
        </w:r>
        <w:r>
          <w:rPr>
            <w:webHidden/>
          </w:rPr>
          <w:fldChar w:fldCharType="end"/>
        </w:r>
      </w:hyperlink>
    </w:p>
    <w:p w14:paraId="0D0176FD" w14:textId="78096604" w:rsidR="00D26760" w:rsidRDefault="00D26760">
      <w:pPr>
        <w:pStyle w:val="TOC2"/>
        <w:rPr>
          <w:rFonts w:asciiTheme="minorHAnsi" w:hAnsiTheme="minorHAnsi"/>
          <w:kern w:val="2"/>
          <w:sz w:val="24"/>
          <w:lang w:val="en-US"/>
          <w14:ligatures w14:val="standardContextual"/>
        </w:rPr>
      </w:pPr>
      <w:hyperlink w:anchor="_Toc181101483" w:history="1">
        <w:r w:rsidRPr="009A04DE">
          <w:rPr>
            <w:rStyle w:val="Hyperlink"/>
          </w:rPr>
          <w:t>Our values</w:t>
        </w:r>
        <w:r>
          <w:rPr>
            <w:webHidden/>
          </w:rPr>
          <w:tab/>
        </w:r>
        <w:r>
          <w:rPr>
            <w:webHidden/>
          </w:rPr>
          <w:fldChar w:fldCharType="begin"/>
        </w:r>
        <w:r>
          <w:rPr>
            <w:webHidden/>
          </w:rPr>
          <w:instrText xml:space="preserve"> PAGEREF _Toc181101483 \h </w:instrText>
        </w:r>
        <w:r>
          <w:rPr>
            <w:webHidden/>
          </w:rPr>
        </w:r>
        <w:r>
          <w:rPr>
            <w:webHidden/>
          </w:rPr>
          <w:fldChar w:fldCharType="separate"/>
        </w:r>
        <w:r w:rsidR="002F3676">
          <w:rPr>
            <w:webHidden/>
          </w:rPr>
          <w:t>9</w:t>
        </w:r>
        <w:r>
          <w:rPr>
            <w:webHidden/>
          </w:rPr>
          <w:fldChar w:fldCharType="end"/>
        </w:r>
      </w:hyperlink>
    </w:p>
    <w:p w14:paraId="0C3E72C6" w14:textId="39C154B7" w:rsidR="00D26760" w:rsidRDefault="00D26760">
      <w:pPr>
        <w:pStyle w:val="TOC2"/>
        <w:rPr>
          <w:rFonts w:asciiTheme="minorHAnsi" w:hAnsiTheme="minorHAnsi"/>
          <w:kern w:val="2"/>
          <w:sz w:val="24"/>
          <w:lang w:val="en-US"/>
          <w14:ligatures w14:val="standardContextual"/>
        </w:rPr>
      </w:pPr>
      <w:hyperlink w:anchor="_Toc181101484" w:history="1">
        <w:r w:rsidRPr="009A04DE">
          <w:rPr>
            <w:rStyle w:val="Hyperlink"/>
          </w:rPr>
          <w:t>Purpose and functions</w:t>
        </w:r>
        <w:r>
          <w:rPr>
            <w:webHidden/>
          </w:rPr>
          <w:tab/>
        </w:r>
        <w:r>
          <w:rPr>
            <w:webHidden/>
          </w:rPr>
          <w:fldChar w:fldCharType="begin"/>
        </w:r>
        <w:r>
          <w:rPr>
            <w:webHidden/>
          </w:rPr>
          <w:instrText xml:space="preserve"> PAGEREF _Toc181101484 \h </w:instrText>
        </w:r>
        <w:r>
          <w:rPr>
            <w:webHidden/>
          </w:rPr>
        </w:r>
        <w:r>
          <w:rPr>
            <w:webHidden/>
          </w:rPr>
          <w:fldChar w:fldCharType="separate"/>
        </w:r>
        <w:r w:rsidR="002F3676">
          <w:rPr>
            <w:webHidden/>
          </w:rPr>
          <w:t>10</w:t>
        </w:r>
        <w:r>
          <w:rPr>
            <w:webHidden/>
          </w:rPr>
          <w:fldChar w:fldCharType="end"/>
        </w:r>
      </w:hyperlink>
    </w:p>
    <w:p w14:paraId="52C5C582" w14:textId="31F92874" w:rsidR="00D26760" w:rsidRDefault="00D26760">
      <w:pPr>
        <w:pStyle w:val="TOC2"/>
        <w:rPr>
          <w:rFonts w:asciiTheme="minorHAnsi" w:hAnsiTheme="minorHAnsi"/>
          <w:kern w:val="2"/>
          <w:sz w:val="24"/>
          <w:lang w:val="en-US"/>
          <w14:ligatures w14:val="standardContextual"/>
        </w:rPr>
      </w:pPr>
      <w:hyperlink w:anchor="_Toc181101485" w:history="1">
        <w:r w:rsidRPr="009A04DE">
          <w:rPr>
            <w:rStyle w:val="Hyperlink"/>
          </w:rPr>
          <w:t>The department’s ministers</w:t>
        </w:r>
        <w:r>
          <w:rPr>
            <w:webHidden/>
          </w:rPr>
          <w:tab/>
        </w:r>
        <w:r>
          <w:rPr>
            <w:webHidden/>
          </w:rPr>
          <w:fldChar w:fldCharType="begin"/>
        </w:r>
        <w:r>
          <w:rPr>
            <w:webHidden/>
          </w:rPr>
          <w:instrText xml:space="preserve"> PAGEREF _Toc181101485 \h </w:instrText>
        </w:r>
        <w:r>
          <w:rPr>
            <w:webHidden/>
          </w:rPr>
        </w:r>
        <w:r>
          <w:rPr>
            <w:webHidden/>
          </w:rPr>
          <w:fldChar w:fldCharType="separate"/>
        </w:r>
        <w:r w:rsidR="002F3676">
          <w:rPr>
            <w:webHidden/>
          </w:rPr>
          <w:t>14</w:t>
        </w:r>
        <w:r>
          <w:rPr>
            <w:webHidden/>
          </w:rPr>
          <w:fldChar w:fldCharType="end"/>
        </w:r>
      </w:hyperlink>
    </w:p>
    <w:p w14:paraId="0836F32F" w14:textId="79C79DF7" w:rsidR="00D26760" w:rsidRDefault="00D26760">
      <w:pPr>
        <w:pStyle w:val="TOC2"/>
        <w:rPr>
          <w:rFonts w:asciiTheme="minorHAnsi" w:hAnsiTheme="minorHAnsi"/>
          <w:kern w:val="2"/>
          <w:sz w:val="24"/>
          <w:lang w:val="en-US"/>
          <w14:ligatures w14:val="standardContextual"/>
        </w:rPr>
      </w:pPr>
      <w:hyperlink w:anchor="_Toc181101486" w:history="1">
        <w:r w:rsidRPr="009A04DE">
          <w:rPr>
            <w:rStyle w:val="Hyperlink"/>
          </w:rPr>
          <w:t>The department’s senior executives</w:t>
        </w:r>
        <w:r>
          <w:rPr>
            <w:webHidden/>
          </w:rPr>
          <w:tab/>
        </w:r>
        <w:r>
          <w:rPr>
            <w:webHidden/>
          </w:rPr>
          <w:fldChar w:fldCharType="begin"/>
        </w:r>
        <w:r>
          <w:rPr>
            <w:webHidden/>
          </w:rPr>
          <w:instrText xml:space="preserve"> PAGEREF _Toc181101486 \h </w:instrText>
        </w:r>
        <w:r>
          <w:rPr>
            <w:webHidden/>
          </w:rPr>
        </w:r>
        <w:r>
          <w:rPr>
            <w:webHidden/>
          </w:rPr>
          <w:fldChar w:fldCharType="separate"/>
        </w:r>
        <w:r w:rsidR="002F3676">
          <w:rPr>
            <w:webHidden/>
          </w:rPr>
          <w:t>16</w:t>
        </w:r>
        <w:r>
          <w:rPr>
            <w:webHidden/>
          </w:rPr>
          <w:fldChar w:fldCharType="end"/>
        </w:r>
      </w:hyperlink>
    </w:p>
    <w:p w14:paraId="3F1BF537" w14:textId="05324406" w:rsidR="00D26760" w:rsidRDefault="00D26760">
      <w:pPr>
        <w:pStyle w:val="TOC2"/>
        <w:rPr>
          <w:rFonts w:asciiTheme="minorHAnsi" w:hAnsiTheme="minorHAnsi"/>
          <w:kern w:val="2"/>
          <w:sz w:val="24"/>
          <w:lang w:val="en-US"/>
          <w14:ligatures w14:val="standardContextual"/>
        </w:rPr>
      </w:pPr>
      <w:hyperlink w:anchor="_Toc181101487" w:history="1">
        <w:r w:rsidRPr="009A04DE">
          <w:rPr>
            <w:rStyle w:val="Hyperlink"/>
          </w:rPr>
          <w:t>Leadership charter</w:t>
        </w:r>
        <w:r>
          <w:rPr>
            <w:webHidden/>
          </w:rPr>
          <w:tab/>
        </w:r>
        <w:r>
          <w:rPr>
            <w:webHidden/>
          </w:rPr>
          <w:fldChar w:fldCharType="begin"/>
        </w:r>
        <w:r>
          <w:rPr>
            <w:webHidden/>
          </w:rPr>
          <w:instrText xml:space="preserve"> PAGEREF _Toc181101487 \h </w:instrText>
        </w:r>
        <w:r>
          <w:rPr>
            <w:webHidden/>
          </w:rPr>
        </w:r>
        <w:r>
          <w:rPr>
            <w:webHidden/>
          </w:rPr>
          <w:fldChar w:fldCharType="separate"/>
        </w:r>
        <w:r w:rsidR="002F3676">
          <w:rPr>
            <w:webHidden/>
          </w:rPr>
          <w:t>19</w:t>
        </w:r>
        <w:r>
          <w:rPr>
            <w:webHidden/>
          </w:rPr>
          <w:fldChar w:fldCharType="end"/>
        </w:r>
      </w:hyperlink>
    </w:p>
    <w:p w14:paraId="2E9B2017" w14:textId="62C25D52" w:rsidR="00D26760" w:rsidRDefault="00D26760">
      <w:pPr>
        <w:pStyle w:val="TOC2"/>
        <w:rPr>
          <w:rFonts w:asciiTheme="minorHAnsi" w:hAnsiTheme="minorHAnsi"/>
          <w:kern w:val="2"/>
          <w:sz w:val="24"/>
          <w:lang w:val="en-US"/>
          <w14:ligatures w14:val="standardContextual"/>
        </w:rPr>
      </w:pPr>
      <w:hyperlink w:anchor="_Toc181101488" w:history="1">
        <w:r w:rsidRPr="009A04DE">
          <w:rPr>
            <w:rStyle w:val="Hyperlink"/>
          </w:rPr>
          <w:t>Organisational structure as at 30 June 2024</w:t>
        </w:r>
        <w:r>
          <w:rPr>
            <w:webHidden/>
          </w:rPr>
          <w:tab/>
        </w:r>
        <w:r>
          <w:rPr>
            <w:webHidden/>
          </w:rPr>
          <w:fldChar w:fldCharType="begin"/>
        </w:r>
        <w:r>
          <w:rPr>
            <w:webHidden/>
          </w:rPr>
          <w:instrText xml:space="preserve"> PAGEREF _Toc181101488 \h </w:instrText>
        </w:r>
        <w:r>
          <w:rPr>
            <w:webHidden/>
          </w:rPr>
        </w:r>
        <w:r>
          <w:rPr>
            <w:webHidden/>
          </w:rPr>
          <w:fldChar w:fldCharType="separate"/>
        </w:r>
        <w:r w:rsidR="002F3676">
          <w:rPr>
            <w:webHidden/>
          </w:rPr>
          <w:t>20</w:t>
        </w:r>
        <w:r>
          <w:rPr>
            <w:webHidden/>
          </w:rPr>
          <w:fldChar w:fldCharType="end"/>
        </w:r>
      </w:hyperlink>
    </w:p>
    <w:p w14:paraId="102AD56B" w14:textId="1B2FA8FD" w:rsidR="00D26760" w:rsidRDefault="00D26760">
      <w:pPr>
        <w:pStyle w:val="TOC2"/>
        <w:rPr>
          <w:rFonts w:asciiTheme="minorHAnsi" w:hAnsiTheme="minorHAnsi"/>
          <w:kern w:val="2"/>
          <w:sz w:val="24"/>
          <w:lang w:val="en-US"/>
          <w14:ligatures w14:val="standardContextual"/>
        </w:rPr>
      </w:pPr>
      <w:hyperlink w:anchor="_Toc181101489" w:history="1">
        <w:r w:rsidRPr="009A04DE">
          <w:rPr>
            <w:rStyle w:val="Hyperlink"/>
          </w:rPr>
          <w:t>Committee structure</w:t>
        </w:r>
        <w:r>
          <w:rPr>
            <w:webHidden/>
          </w:rPr>
          <w:tab/>
        </w:r>
        <w:r>
          <w:rPr>
            <w:webHidden/>
          </w:rPr>
          <w:fldChar w:fldCharType="begin"/>
        </w:r>
        <w:r>
          <w:rPr>
            <w:webHidden/>
          </w:rPr>
          <w:instrText xml:space="preserve"> PAGEREF _Toc181101489 \h </w:instrText>
        </w:r>
        <w:r>
          <w:rPr>
            <w:webHidden/>
          </w:rPr>
        </w:r>
        <w:r>
          <w:rPr>
            <w:webHidden/>
          </w:rPr>
          <w:fldChar w:fldCharType="separate"/>
        </w:r>
        <w:r w:rsidR="002F3676">
          <w:rPr>
            <w:webHidden/>
          </w:rPr>
          <w:t>22</w:t>
        </w:r>
        <w:r>
          <w:rPr>
            <w:webHidden/>
          </w:rPr>
          <w:fldChar w:fldCharType="end"/>
        </w:r>
      </w:hyperlink>
    </w:p>
    <w:p w14:paraId="564A3326" w14:textId="63392ADA" w:rsidR="00D26760" w:rsidRDefault="00D26760">
      <w:pPr>
        <w:pStyle w:val="TOC1"/>
        <w:rPr>
          <w:rFonts w:asciiTheme="minorHAnsi" w:hAnsiTheme="minorHAnsi"/>
          <w:kern w:val="2"/>
          <w:sz w:val="24"/>
          <w:szCs w:val="24"/>
          <w:lang w:val="en-US"/>
          <w14:ligatures w14:val="standardContextual"/>
        </w:rPr>
      </w:pPr>
      <w:hyperlink w:anchor="_Toc181101490" w:history="1">
        <w:r w:rsidRPr="009A04DE">
          <w:rPr>
            <w:rStyle w:val="Hyperlink"/>
          </w:rPr>
          <w:t>Section 2: Year in review</w:t>
        </w:r>
        <w:r>
          <w:rPr>
            <w:webHidden/>
          </w:rPr>
          <w:tab/>
        </w:r>
        <w:r>
          <w:rPr>
            <w:webHidden/>
          </w:rPr>
          <w:fldChar w:fldCharType="begin"/>
        </w:r>
        <w:r>
          <w:rPr>
            <w:webHidden/>
          </w:rPr>
          <w:instrText xml:space="preserve"> PAGEREF _Toc181101490 \h </w:instrText>
        </w:r>
        <w:r>
          <w:rPr>
            <w:webHidden/>
          </w:rPr>
        </w:r>
        <w:r>
          <w:rPr>
            <w:webHidden/>
          </w:rPr>
          <w:fldChar w:fldCharType="separate"/>
        </w:r>
        <w:r w:rsidR="002F3676">
          <w:rPr>
            <w:webHidden/>
          </w:rPr>
          <w:t>23</w:t>
        </w:r>
        <w:r>
          <w:rPr>
            <w:webHidden/>
          </w:rPr>
          <w:fldChar w:fldCharType="end"/>
        </w:r>
      </w:hyperlink>
    </w:p>
    <w:p w14:paraId="77992B5E" w14:textId="33BFB650" w:rsidR="00D26760" w:rsidRDefault="00D26760">
      <w:pPr>
        <w:pStyle w:val="TOC2"/>
        <w:rPr>
          <w:rFonts w:asciiTheme="minorHAnsi" w:hAnsiTheme="minorHAnsi"/>
          <w:kern w:val="2"/>
          <w:sz w:val="24"/>
          <w:lang w:val="en-US"/>
          <w14:ligatures w14:val="standardContextual"/>
        </w:rPr>
      </w:pPr>
      <w:hyperlink w:anchor="_Toc181101491" w:history="1">
        <w:r w:rsidRPr="009A04DE">
          <w:rPr>
            <w:rStyle w:val="Hyperlink"/>
          </w:rPr>
          <w:t>Departmental objectives, outputs and indicators</w:t>
        </w:r>
        <w:r>
          <w:rPr>
            <w:webHidden/>
          </w:rPr>
          <w:tab/>
        </w:r>
        <w:r>
          <w:rPr>
            <w:webHidden/>
          </w:rPr>
          <w:fldChar w:fldCharType="begin"/>
        </w:r>
        <w:r>
          <w:rPr>
            <w:webHidden/>
          </w:rPr>
          <w:instrText xml:space="preserve"> PAGEREF _Toc181101491 \h </w:instrText>
        </w:r>
        <w:r>
          <w:rPr>
            <w:webHidden/>
          </w:rPr>
        </w:r>
        <w:r>
          <w:rPr>
            <w:webHidden/>
          </w:rPr>
          <w:fldChar w:fldCharType="separate"/>
        </w:r>
        <w:r w:rsidR="002F3676">
          <w:rPr>
            <w:webHidden/>
          </w:rPr>
          <w:t>23</w:t>
        </w:r>
        <w:r>
          <w:rPr>
            <w:webHidden/>
          </w:rPr>
          <w:fldChar w:fldCharType="end"/>
        </w:r>
      </w:hyperlink>
    </w:p>
    <w:p w14:paraId="4A21AAEF" w14:textId="18A64A8A" w:rsidR="00D26760" w:rsidRDefault="00D26760">
      <w:pPr>
        <w:pStyle w:val="TOC2"/>
        <w:rPr>
          <w:rFonts w:asciiTheme="minorHAnsi" w:hAnsiTheme="minorHAnsi"/>
          <w:kern w:val="2"/>
          <w:sz w:val="24"/>
          <w:lang w:val="en-US"/>
          <w14:ligatures w14:val="standardContextual"/>
        </w:rPr>
      </w:pPr>
      <w:hyperlink w:anchor="_Toc181101492" w:history="1">
        <w:r w:rsidRPr="009A04DE">
          <w:rPr>
            <w:rStyle w:val="Hyperlink"/>
          </w:rPr>
          <w:t>Changes to the department during 2023–24</w:t>
        </w:r>
        <w:r>
          <w:rPr>
            <w:webHidden/>
          </w:rPr>
          <w:tab/>
        </w:r>
        <w:r>
          <w:rPr>
            <w:webHidden/>
          </w:rPr>
          <w:fldChar w:fldCharType="begin"/>
        </w:r>
        <w:r>
          <w:rPr>
            <w:webHidden/>
          </w:rPr>
          <w:instrText xml:space="preserve"> PAGEREF _Toc181101492 \h </w:instrText>
        </w:r>
        <w:r>
          <w:rPr>
            <w:webHidden/>
          </w:rPr>
        </w:r>
        <w:r>
          <w:rPr>
            <w:webHidden/>
          </w:rPr>
          <w:fldChar w:fldCharType="separate"/>
        </w:r>
        <w:r w:rsidR="002F3676">
          <w:rPr>
            <w:webHidden/>
          </w:rPr>
          <w:t>24</w:t>
        </w:r>
        <w:r>
          <w:rPr>
            <w:webHidden/>
          </w:rPr>
          <w:fldChar w:fldCharType="end"/>
        </w:r>
      </w:hyperlink>
    </w:p>
    <w:p w14:paraId="08A78159" w14:textId="428E6A4E" w:rsidR="00D26760" w:rsidRDefault="00D26760">
      <w:pPr>
        <w:pStyle w:val="TOC2"/>
        <w:rPr>
          <w:rFonts w:asciiTheme="minorHAnsi" w:hAnsiTheme="minorHAnsi"/>
          <w:kern w:val="2"/>
          <w:sz w:val="24"/>
          <w:lang w:val="en-US"/>
          <w14:ligatures w14:val="standardContextual"/>
        </w:rPr>
      </w:pPr>
      <w:hyperlink w:anchor="_Toc181101493" w:history="1">
        <w:r w:rsidRPr="009A04DE">
          <w:rPr>
            <w:rStyle w:val="Hyperlink"/>
          </w:rPr>
          <w:t>Direct costs attributable to Machinery of Government changes</w:t>
        </w:r>
        <w:r>
          <w:rPr>
            <w:webHidden/>
          </w:rPr>
          <w:tab/>
        </w:r>
        <w:r>
          <w:rPr>
            <w:webHidden/>
          </w:rPr>
          <w:fldChar w:fldCharType="begin"/>
        </w:r>
        <w:r>
          <w:rPr>
            <w:webHidden/>
          </w:rPr>
          <w:instrText xml:space="preserve"> PAGEREF _Toc181101493 \h </w:instrText>
        </w:r>
        <w:r>
          <w:rPr>
            <w:webHidden/>
          </w:rPr>
        </w:r>
        <w:r>
          <w:rPr>
            <w:webHidden/>
          </w:rPr>
          <w:fldChar w:fldCharType="separate"/>
        </w:r>
        <w:r w:rsidR="002F3676">
          <w:rPr>
            <w:webHidden/>
          </w:rPr>
          <w:t>25</w:t>
        </w:r>
        <w:r>
          <w:rPr>
            <w:webHidden/>
          </w:rPr>
          <w:fldChar w:fldCharType="end"/>
        </w:r>
      </w:hyperlink>
    </w:p>
    <w:p w14:paraId="1D19E3BD" w14:textId="14BD9E50" w:rsidR="00D26760" w:rsidRDefault="00D26760">
      <w:pPr>
        <w:pStyle w:val="TOC2"/>
        <w:rPr>
          <w:rFonts w:asciiTheme="minorHAnsi" w:hAnsiTheme="minorHAnsi"/>
          <w:kern w:val="2"/>
          <w:sz w:val="24"/>
          <w:lang w:val="en-US"/>
          <w14:ligatures w14:val="standardContextual"/>
        </w:rPr>
      </w:pPr>
      <w:hyperlink w:anchor="_Toc181101494" w:history="1">
        <w:r w:rsidRPr="009A04DE">
          <w:rPr>
            <w:rStyle w:val="Hyperlink"/>
          </w:rPr>
          <w:t>Progress towards achieving departmental objectives</w:t>
        </w:r>
        <w:r>
          <w:rPr>
            <w:webHidden/>
          </w:rPr>
          <w:tab/>
        </w:r>
        <w:r>
          <w:rPr>
            <w:webHidden/>
          </w:rPr>
          <w:fldChar w:fldCharType="begin"/>
        </w:r>
        <w:r>
          <w:rPr>
            <w:webHidden/>
          </w:rPr>
          <w:instrText xml:space="preserve"> PAGEREF _Toc181101494 \h </w:instrText>
        </w:r>
        <w:r>
          <w:rPr>
            <w:webHidden/>
          </w:rPr>
        </w:r>
        <w:r>
          <w:rPr>
            <w:webHidden/>
          </w:rPr>
          <w:fldChar w:fldCharType="separate"/>
        </w:r>
        <w:r w:rsidR="002F3676">
          <w:rPr>
            <w:webHidden/>
          </w:rPr>
          <w:t>25</w:t>
        </w:r>
        <w:r>
          <w:rPr>
            <w:webHidden/>
          </w:rPr>
          <w:fldChar w:fldCharType="end"/>
        </w:r>
      </w:hyperlink>
    </w:p>
    <w:p w14:paraId="05428A2D" w14:textId="4935D5F9" w:rsidR="00D26760" w:rsidRDefault="00D26760">
      <w:pPr>
        <w:pStyle w:val="TOC2"/>
        <w:rPr>
          <w:rFonts w:asciiTheme="minorHAnsi" w:hAnsiTheme="minorHAnsi"/>
          <w:kern w:val="2"/>
          <w:sz w:val="24"/>
          <w:lang w:val="en-US"/>
          <w14:ligatures w14:val="standardContextual"/>
        </w:rPr>
      </w:pPr>
      <w:hyperlink w:anchor="_Toc181101495" w:history="1">
        <w:r w:rsidRPr="009A04DE">
          <w:rPr>
            <w:rStyle w:val="Hyperlink"/>
          </w:rPr>
          <w:t>Departmental objectives, indicators and outputs</w:t>
        </w:r>
        <w:r>
          <w:rPr>
            <w:webHidden/>
          </w:rPr>
          <w:tab/>
        </w:r>
        <w:r>
          <w:rPr>
            <w:webHidden/>
          </w:rPr>
          <w:fldChar w:fldCharType="begin"/>
        </w:r>
        <w:r>
          <w:rPr>
            <w:webHidden/>
          </w:rPr>
          <w:instrText xml:space="preserve"> PAGEREF _Toc181101495 \h </w:instrText>
        </w:r>
        <w:r>
          <w:rPr>
            <w:webHidden/>
          </w:rPr>
        </w:r>
        <w:r>
          <w:rPr>
            <w:webHidden/>
          </w:rPr>
          <w:fldChar w:fldCharType="separate"/>
        </w:r>
        <w:r w:rsidR="002F3676">
          <w:rPr>
            <w:webHidden/>
          </w:rPr>
          <w:t>25</w:t>
        </w:r>
        <w:r>
          <w:rPr>
            <w:webHidden/>
          </w:rPr>
          <w:fldChar w:fldCharType="end"/>
        </w:r>
      </w:hyperlink>
    </w:p>
    <w:p w14:paraId="64BBA2E2" w14:textId="1282FAC0" w:rsidR="00D26760" w:rsidRDefault="00D26760">
      <w:pPr>
        <w:pStyle w:val="TOC2"/>
        <w:rPr>
          <w:rFonts w:asciiTheme="minorHAnsi" w:hAnsiTheme="minorHAnsi"/>
          <w:kern w:val="2"/>
          <w:sz w:val="24"/>
          <w:lang w:val="en-US"/>
          <w14:ligatures w14:val="standardContextual"/>
        </w:rPr>
      </w:pPr>
      <w:hyperlink w:anchor="_Toc181101496" w:history="1">
        <w:r w:rsidRPr="009A04DE">
          <w:rPr>
            <w:rStyle w:val="Hyperlink"/>
          </w:rPr>
          <w:t>Performance against output performance measures</w:t>
        </w:r>
        <w:r>
          <w:rPr>
            <w:webHidden/>
          </w:rPr>
          <w:tab/>
        </w:r>
        <w:r>
          <w:rPr>
            <w:webHidden/>
          </w:rPr>
          <w:fldChar w:fldCharType="begin"/>
        </w:r>
        <w:r>
          <w:rPr>
            <w:webHidden/>
          </w:rPr>
          <w:instrText xml:space="preserve"> PAGEREF _Toc181101496 \h </w:instrText>
        </w:r>
        <w:r>
          <w:rPr>
            <w:webHidden/>
          </w:rPr>
        </w:r>
        <w:r>
          <w:rPr>
            <w:webHidden/>
          </w:rPr>
          <w:fldChar w:fldCharType="separate"/>
        </w:r>
        <w:r w:rsidR="002F3676">
          <w:rPr>
            <w:webHidden/>
          </w:rPr>
          <w:t>57</w:t>
        </w:r>
        <w:r>
          <w:rPr>
            <w:webHidden/>
          </w:rPr>
          <w:fldChar w:fldCharType="end"/>
        </w:r>
      </w:hyperlink>
    </w:p>
    <w:p w14:paraId="0D649D55" w14:textId="6495A9F2" w:rsidR="00D26760" w:rsidRDefault="00D26760">
      <w:pPr>
        <w:pStyle w:val="TOC2"/>
        <w:rPr>
          <w:rFonts w:asciiTheme="minorHAnsi" w:hAnsiTheme="minorHAnsi"/>
          <w:kern w:val="2"/>
          <w:sz w:val="24"/>
          <w:lang w:val="en-US"/>
          <w14:ligatures w14:val="standardContextual"/>
        </w:rPr>
      </w:pPr>
      <w:hyperlink w:anchor="_Toc181101497" w:history="1">
        <w:r w:rsidRPr="009A04DE">
          <w:rPr>
            <w:rStyle w:val="Hyperlink"/>
          </w:rPr>
          <w:t>Discontinued output performance measures</w:t>
        </w:r>
        <w:r>
          <w:rPr>
            <w:webHidden/>
          </w:rPr>
          <w:tab/>
        </w:r>
        <w:r>
          <w:rPr>
            <w:webHidden/>
          </w:rPr>
          <w:fldChar w:fldCharType="begin"/>
        </w:r>
        <w:r>
          <w:rPr>
            <w:webHidden/>
          </w:rPr>
          <w:instrText xml:space="preserve"> PAGEREF _Toc181101497 \h </w:instrText>
        </w:r>
        <w:r>
          <w:rPr>
            <w:webHidden/>
          </w:rPr>
        </w:r>
        <w:r>
          <w:rPr>
            <w:webHidden/>
          </w:rPr>
          <w:fldChar w:fldCharType="separate"/>
        </w:r>
        <w:r w:rsidR="002F3676">
          <w:rPr>
            <w:webHidden/>
          </w:rPr>
          <w:t>70</w:t>
        </w:r>
        <w:r>
          <w:rPr>
            <w:webHidden/>
          </w:rPr>
          <w:fldChar w:fldCharType="end"/>
        </w:r>
      </w:hyperlink>
    </w:p>
    <w:p w14:paraId="67F48890" w14:textId="55DDA90A" w:rsidR="00D26760" w:rsidRDefault="00D26760">
      <w:pPr>
        <w:pStyle w:val="TOC2"/>
        <w:rPr>
          <w:rFonts w:asciiTheme="minorHAnsi" w:hAnsiTheme="minorHAnsi"/>
          <w:kern w:val="2"/>
          <w:sz w:val="24"/>
          <w:lang w:val="en-US"/>
          <w14:ligatures w14:val="standardContextual"/>
        </w:rPr>
      </w:pPr>
      <w:hyperlink w:anchor="_Toc181101498" w:history="1">
        <w:r w:rsidRPr="009A04DE">
          <w:rPr>
            <w:rStyle w:val="Hyperlink"/>
          </w:rPr>
          <w:t>Departmental financial summary</w:t>
        </w:r>
        <w:r>
          <w:rPr>
            <w:webHidden/>
          </w:rPr>
          <w:tab/>
        </w:r>
        <w:r>
          <w:rPr>
            <w:webHidden/>
          </w:rPr>
          <w:fldChar w:fldCharType="begin"/>
        </w:r>
        <w:r>
          <w:rPr>
            <w:webHidden/>
          </w:rPr>
          <w:instrText xml:space="preserve"> PAGEREF _Toc181101498 \h </w:instrText>
        </w:r>
        <w:r>
          <w:rPr>
            <w:webHidden/>
          </w:rPr>
        </w:r>
        <w:r>
          <w:rPr>
            <w:webHidden/>
          </w:rPr>
          <w:fldChar w:fldCharType="separate"/>
        </w:r>
        <w:r w:rsidR="002F3676">
          <w:rPr>
            <w:webHidden/>
          </w:rPr>
          <w:t>70</w:t>
        </w:r>
        <w:r>
          <w:rPr>
            <w:webHidden/>
          </w:rPr>
          <w:fldChar w:fldCharType="end"/>
        </w:r>
      </w:hyperlink>
    </w:p>
    <w:p w14:paraId="2B27EF7B" w14:textId="3C9E487C" w:rsidR="00D26760" w:rsidRDefault="00D26760">
      <w:pPr>
        <w:pStyle w:val="TOC2"/>
        <w:rPr>
          <w:rFonts w:asciiTheme="minorHAnsi" w:hAnsiTheme="minorHAnsi"/>
          <w:kern w:val="2"/>
          <w:sz w:val="24"/>
          <w:lang w:val="en-US"/>
          <w14:ligatures w14:val="standardContextual"/>
        </w:rPr>
      </w:pPr>
      <w:hyperlink w:anchor="_Toc181101499" w:history="1">
        <w:r w:rsidRPr="009A04DE">
          <w:rPr>
            <w:rStyle w:val="Hyperlink"/>
          </w:rPr>
          <w:t>Current year financial summary</w:t>
        </w:r>
        <w:r>
          <w:rPr>
            <w:webHidden/>
          </w:rPr>
          <w:tab/>
        </w:r>
        <w:r>
          <w:rPr>
            <w:webHidden/>
          </w:rPr>
          <w:fldChar w:fldCharType="begin"/>
        </w:r>
        <w:r>
          <w:rPr>
            <w:webHidden/>
          </w:rPr>
          <w:instrText xml:space="preserve"> PAGEREF _Toc181101499 \h </w:instrText>
        </w:r>
        <w:r>
          <w:rPr>
            <w:webHidden/>
          </w:rPr>
        </w:r>
        <w:r>
          <w:rPr>
            <w:webHidden/>
          </w:rPr>
          <w:fldChar w:fldCharType="separate"/>
        </w:r>
        <w:r w:rsidR="002F3676">
          <w:rPr>
            <w:webHidden/>
          </w:rPr>
          <w:t>71</w:t>
        </w:r>
        <w:r>
          <w:rPr>
            <w:webHidden/>
          </w:rPr>
          <w:fldChar w:fldCharType="end"/>
        </w:r>
      </w:hyperlink>
    </w:p>
    <w:p w14:paraId="361AFC21" w14:textId="4C538904" w:rsidR="00D26760" w:rsidRDefault="00D26760">
      <w:pPr>
        <w:pStyle w:val="TOC2"/>
        <w:rPr>
          <w:rFonts w:asciiTheme="minorHAnsi" w:hAnsiTheme="minorHAnsi"/>
          <w:kern w:val="2"/>
          <w:sz w:val="24"/>
          <w:lang w:val="en-US"/>
          <w14:ligatures w14:val="standardContextual"/>
        </w:rPr>
      </w:pPr>
      <w:hyperlink w:anchor="_Toc181101500" w:history="1">
        <w:r w:rsidRPr="009A04DE">
          <w:rPr>
            <w:rStyle w:val="Hyperlink"/>
          </w:rPr>
          <w:t>Budget portfolio outcomes</w:t>
        </w:r>
        <w:r>
          <w:rPr>
            <w:webHidden/>
          </w:rPr>
          <w:tab/>
        </w:r>
        <w:r>
          <w:rPr>
            <w:webHidden/>
          </w:rPr>
          <w:fldChar w:fldCharType="begin"/>
        </w:r>
        <w:r>
          <w:rPr>
            <w:webHidden/>
          </w:rPr>
          <w:instrText xml:space="preserve"> PAGEREF _Toc181101500 \h </w:instrText>
        </w:r>
        <w:r>
          <w:rPr>
            <w:webHidden/>
          </w:rPr>
        </w:r>
        <w:r>
          <w:rPr>
            <w:webHidden/>
          </w:rPr>
          <w:fldChar w:fldCharType="separate"/>
        </w:r>
        <w:r w:rsidR="002F3676">
          <w:rPr>
            <w:webHidden/>
          </w:rPr>
          <w:t>72</w:t>
        </w:r>
        <w:r>
          <w:rPr>
            <w:webHidden/>
          </w:rPr>
          <w:fldChar w:fldCharType="end"/>
        </w:r>
      </w:hyperlink>
    </w:p>
    <w:p w14:paraId="44474B8A" w14:textId="3D587779" w:rsidR="00D26760" w:rsidRDefault="00D26760">
      <w:pPr>
        <w:pStyle w:val="TOC2"/>
        <w:rPr>
          <w:rFonts w:asciiTheme="minorHAnsi" w:hAnsiTheme="minorHAnsi"/>
          <w:kern w:val="2"/>
          <w:sz w:val="24"/>
          <w:lang w:val="en-US"/>
          <w14:ligatures w14:val="standardContextual"/>
        </w:rPr>
      </w:pPr>
      <w:hyperlink w:anchor="_Toc181101501" w:history="1">
        <w:r w:rsidRPr="009A04DE">
          <w:rPr>
            <w:rStyle w:val="Hyperlink"/>
          </w:rPr>
          <w:t>Capital projects/asset investment programs</w:t>
        </w:r>
        <w:r>
          <w:rPr>
            <w:webHidden/>
          </w:rPr>
          <w:tab/>
        </w:r>
        <w:r>
          <w:rPr>
            <w:webHidden/>
          </w:rPr>
          <w:fldChar w:fldCharType="begin"/>
        </w:r>
        <w:r>
          <w:rPr>
            <w:webHidden/>
          </w:rPr>
          <w:instrText xml:space="preserve"> PAGEREF _Toc181101501 \h </w:instrText>
        </w:r>
        <w:r>
          <w:rPr>
            <w:webHidden/>
          </w:rPr>
        </w:r>
        <w:r>
          <w:rPr>
            <w:webHidden/>
          </w:rPr>
          <w:fldChar w:fldCharType="separate"/>
        </w:r>
        <w:r w:rsidR="002F3676">
          <w:rPr>
            <w:webHidden/>
          </w:rPr>
          <w:t>73</w:t>
        </w:r>
        <w:r>
          <w:rPr>
            <w:webHidden/>
          </w:rPr>
          <w:fldChar w:fldCharType="end"/>
        </w:r>
      </w:hyperlink>
    </w:p>
    <w:p w14:paraId="7E29C6E5" w14:textId="507DD31C" w:rsidR="00D26760" w:rsidRDefault="00D26760">
      <w:pPr>
        <w:pStyle w:val="TOC1"/>
        <w:rPr>
          <w:rFonts w:asciiTheme="minorHAnsi" w:hAnsiTheme="minorHAnsi"/>
          <w:kern w:val="2"/>
          <w:sz w:val="24"/>
          <w:szCs w:val="24"/>
          <w:lang w:val="en-US"/>
          <w14:ligatures w14:val="standardContextual"/>
        </w:rPr>
      </w:pPr>
      <w:hyperlink w:anchor="_Toc181101502" w:history="1">
        <w:r w:rsidRPr="009A04DE">
          <w:rPr>
            <w:rStyle w:val="Hyperlink"/>
          </w:rPr>
          <w:t>Section 3: Our workforce</w:t>
        </w:r>
        <w:r>
          <w:rPr>
            <w:webHidden/>
          </w:rPr>
          <w:tab/>
        </w:r>
        <w:r>
          <w:rPr>
            <w:webHidden/>
          </w:rPr>
          <w:fldChar w:fldCharType="begin"/>
        </w:r>
        <w:r>
          <w:rPr>
            <w:webHidden/>
          </w:rPr>
          <w:instrText xml:space="preserve"> PAGEREF _Toc181101502 \h </w:instrText>
        </w:r>
        <w:r>
          <w:rPr>
            <w:webHidden/>
          </w:rPr>
        </w:r>
        <w:r>
          <w:rPr>
            <w:webHidden/>
          </w:rPr>
          <w:fldChar w:fldCharType="separate"/>
        </w:r>
        <w:r w:rsidR="002F3676">
          <w:rPr>
            <w:webHidden/>
          </w:rPr>
          <w:t>74</w:t>
        </w:r>
        <w:r>
          <w:rPr>
            <w:webHidden/>
          </w:rPr>
          <w:fldChar w:fldCharType="end"/>
        </w:r>
      </w:hyperlink>
    </w:p>
    <w:p w14:paraId="23C03043" w14:textId="7ECBB269" w:rsidR="00D26760" w:rsidRDefault="00D26760">
      <w:pPr>
        <w:pStyle w:val="TOC2"/>
        <w:rPr>
          <w:rFonts w:asciiTheme="minorHAnsi" w:hAnsiTheme="minorHAnsi"/>
          <w:kern w:val="2"/>
          <w:sz w:val="24"/>
          <w:lang w:val="en-US"/>
          <w14:ligatures w14:val="standardContextual"/>
        </w:rPr>
      </w:pPr>
      <w:hyperlink w:anchor="_Toc181101503" w:history="1">
        <w:r w:rsidRPr="009A04DE">
          <w:rPr>
            <w:rStyle w:val="Hyperlink"/>
          </w:rPr>
          <w:t>Public sector values and employment principles</w:t>
        </w:r>
        <w:r>
          <w:rPr>
            <w:webHidden/>
          </w:rPr>
          <w:tab/>
        </w:r>
        <w:r>
          <w:rPr>
            <w:webHidden/>
          </w:rPr>
          <w:fldChar w:fldCharType="begin"/>
        </w:r>
        <w:r>
          <w:rPr>
            <w:webHidden/>
          </w:rPr>
          <w:instrText xml:space="preserve"> PAGEREF _Toc181101503 \h </w:instrText>
        </w:r>
        <w:r>
          <w:rPr>
            <w:webHidden/>
          </w:rPr>
        </w:r>
        <w:r>
          <w:rPr>
            <w:webHidden/>
          </w:rPr>
          <w:fldChar w:fldCharType="separate"/>
        </w:r>
        <w:r w:rsidR="002F3676">
          <w:rPr>
            <w:webHidden/>
          </w:rPr>
          <w:t>74</w:t>
        </w:r>
        <w:r>
          <w:rPr>
            <w:webHidden/>
          </w:rPr>
          <w:fldChar w:fldCharType="end"/>
        </w:r>
      </w:hyperlink>
    </w:p>
    <w:p w14:paraId="1F083190" w14:textId="76697A79" w:rsidR="00D26760" w:rsidRDefault="00D26760">
      <w:pPr>
        <w:pStyle w:val="TOC2"/>
        <w:rPr>
          <w:rFonts w:asciiTheme="minorHAnsi" w:hAnsiTheme="minorHAnsi"/>
          <w:kern w:val="2"/>
          <w:sz w:val="24"/>
          <w:lang w:val="en-US"/>
          <w14:ligatures w14:val="standardContextual"/>
        </w:rPr>
      </w:pPr>
      <w:hyperlink w:anchor="_Toc181101504" w:history="1">
        <w:r w:rsidRPr="009A04DE">
          <w:rPr>
            <w:rStyle w:val="Hyperlink"/>
          </w:rPr>
          <w:t>Workforce inclusion policy</w:t>
        </w:r>
        <w:r>
          <w:rPr>
            <w:webHidden/>
          </w:rPr>
          <w:tab/>
        </w:r>
        <w:r>
          <w:rPr>
            <w:webHidden/>
          </w:rPr>
          <w:fldChar w:fldCharType="begin"/>
        </w:r>
        <w:r>
          <w:rPr>
            <w:webHidden/>
          </w:rPr>
          <w:instrText xml:space="preserve"> PAGEREF _Toc181101504 \h </w:instrText>
        </w:r>
        <w:r>
          <w:rPr>
            <w:webHidden/>
          </w:rPr>
        </w:r>
        <w:r>
          <w:rPr>
            <w:webHidden/>
          </w:rPr>
          <w:fldChar w:fldCharType="separate"/>
        </w:r>
        <w:r w:rsidR="002F3676">
          <w:rPr>
            <w:webHidden/>
          </w:rPr>
          <w:t>76</w:t>
        </w:r>
        <w:r>
          <w:rPr>
            <w:webHidden/>
          </w:rPr>
          <w:fldChar w:fldCharType="end"/>
        </w:r>
      </w:hyperlink>
    </w:p>
    <w:p w14:paraId="18623622" w14:textId="714B8655" w:rsidR="00D26760" w:rsidRDefault="00D26760">
      <w:pPr>
        <w:pStyle w:val="TOC2"/>
        <w:rPr>
          <w:rFonts w:asciiTheme="minorHAnsi" w:hAnsiTheme="minorHAnsi"/>
          <w:kern w:val="2"/>
          <w:sz w:val="24"/>
          <w:lang w:val="en-US"/>
          <w14:ligatures w14:val="standardContextual"/>
        </w:rPr>
      </w:pPr>
      <w:hyperlink w:anchor="_Toc181101505" w:history="1">
        <w:r w:rsidRPr="009A04DE">
          <w:rPr>
            <w:rStyle w:val="Hyperlink"/>
          </w:rPr>
          <w:t>Comparative workforce data</w:t>
        </w:r>
        <w:r>
          <w:rPr>
            <w:webHidden/>
          </w:rPr>
          <w:tab/>
        </w:r>
        <w:r>
          <w:rPr>
            <w:webHidden/>
          </w:rPr>
          <w:fldChar w:fldCharType="begin"/>
        </w:r>
        <w:r>
          <w:rPr>
            <w:webHidden/>
          </w:rPr>
          <w:instrText xml:space="preserve"> PAGEREF _Toc181101505 \h </w:instrText>
        </w:r>
        <w:r>
          <w:rPr>
            <w:webHidden/>
          </w:rPr>
        </w:r>
        <w:r>
          <w:rPr>
            <w:webHidden/>
          </w:rPr>
          <w:fldChar w:fldCharType="separate"/>
        </w:r>
        <w:r w:rsidR="002F3676">
          <w:rPr>
            <w:webHidden/>
          </w:rPr>
          <w:t>82</w:t>
        </w:r>
        <w:r>
          <w:rPr>
            <w:webHidden/>
          </w:rPr>
          <w:fldChar w:fldCharType="end"/>
        </w:r>
      </w:hyperlink>
    </w:p>
    <w:p w14:paraId="0AC38182" w14:textId="74560619" w:rsidR="00D26760" w:rsidRDefault="00D26760">
      <w:pPr>
        <w:pStyle w:val="TOC2"/>
        <w:rPr>
          <w:rFonts w:asciiTheme="minorHAnsi" w:hAnsiTheme="minorHAnsi"/>
          <w:kern w:val="2"/>
          <w:sz w:val="24"/>
          <w:lang w:val="en-US"/>
          <w14:ligatures w14:val="standardContextual"/>
        </w:rPr>
      </w:pPr>
      <w:hyperlink w:anchor="_Toc181101506" w:history="1">
        <w:r w:rsidRPr="009A04DE">
          <w:rPr>
            <w:rStyle w:val="Hyperlink"/>
          </w:rPr>
          <w:t>Executive data</w:t>
        </w:r>
        <w:r>
          <w:rPr>
            <w:webHidden/>
          </w:rPr>
          <w:tab/>
        </w:r>
        <w:r>
          <w:rPr>
            <w:webHidden/>
          </w:rPr>
          <w:fldChar w:fldCharType="begin"/>
        </w:r>
        <w:r>
          <w:rPr>
            <w:webHidden/>
          </w:rPr>
          <w:instrText xml:space="preserve"> PAGEREF _Toc181101506 \h </w:instrText>
        </w:r>
        <w:r>
          <w:rPr>
            <w:webHidden/>
          </w:rPr>
        </w:r>
        <w:r>
          <w:rPr>
            <w:webHidden/>
          </w:rPr>
          <w:fldChar w:fldCharType="separate"/>
        </w:r>
        <w:r w:rsidR="002F3676">
          <w:rPr>
            <w:webHidden/>
          </w:rPr>
          <w:t>87</w:t>
        </w:r>
        <w:r>
          <w:rPr>
            <w:webHidden/>
          </w:rPr>
          <w:fldChar w:fldCharType="end"/>
        </w:r>
      </w:hyperlink>
    </w:p>
    <w:p w14:paraId="094C12D3" w14:textId="3CC58634" w:rsidR="00D26760" w:rsidRDefault="00D26760">
      <w:pPr>
        <w:pStyle w:val="TOC2"/>
        <w:rPr>
          <w:rFonts w:asciiTheme="minorHAnsi" w:hAnsiTheme="minorHAnsi"/>
          <w:kern w:val="2"/>
          <w:sz w:val="24"/>
          <w:lang w:val="en-US"/>
          <w14:ligatures w14:val="standardContextual"/>
        </w:rPr>
      </w:pPr>
      <w:hyperlink w:anchor="_Toc181101507" w:history="1">
        <w:r w:rsidRPr="009A04DE">
          <w:rPr>
            <w:rStyle w:val="Hyperlink"/>
          </w:rPr>
          <w:t>Employee health, safety and wellbeing</w:t>
        </w:r>
        <w:r>
          <w:rPr>
            <w:webHidden/>
          </w:rPr>
          <w:tab/>
        </w:r>
        <w:r>
          <w:rPr>
            <w:webHidden/>
          </w:rPr>
          <w:fldChar w:fldCharType="begin"/>
        </w:r>
        <w:r>
          <w:rPr>
            <w:webHidden/>
          </w:rPr>
          <w:instrText xml:space="preserve"> PAGEREF _Toc181101507 \h </w:instrText>
        </w:r>
        <w:r>
          <w:rPr>
            <w:webHidden/>
          </w:rPr>
        </w:r>
        <w:r>
          <w:rPr>
            <w:webHidden/>
          </w:rPr>
          <w:fldChar w:fldCharType="separate"/>
        </w:r>
        <w:r w:rsidR="002F3676">
          <w:rPr>
            <w:webHidden/>
          </w:rPr>
          <w:t>89</w:t>
        </w:r>
        <w:r>
          <w:rPr>
            <w:webHidden/>
          </w:rPr>
          <w:fldChar w:fldCharType="end"/>
        </w:r>
      </w:hyperlink>
    </w:p>
    <w:p w14:paraId="467ADDC7" w14:textId="06104C9A" w:rsidR="00D26760" w:rsidRDefault="00D26760">
      <w:pPr>
        <w:pStyle w:val="TOC1"/>
        <w:rPr>
          <w:rFonts w:asciiTheme="minorHAnsi" w:hAnsiTheme="minorHAnsi"/>
          <w:kern w:val="2"/>
          <w:sz w:val="24"/>
          <w:szCs w:val="24"/>
          <w:lang w:val="en-US"/>
          <w14:ligatures w14:val="standardContextual"/>
        </w:rPr>
      </w:pPr>
      <w:hyperlink w:anchor="_Toc181101508" w:history="1">
        <w:r w:rsidRPr="009A04DE">
          <w:rPr>
            <w:rStyle w:val="Hyperlink"/>
          </w:rPr>
          <w:t>Section 4: Other disclosures</w:t>
        </w:r>
        <w:r>
          <w:rPr>
            <w:webHidden/>
          </w:rPr>
          <w:tab/>
        </w:r>
        <w:r>
          <w:rPr>
            <w:webHidden/>
          </w:rPr>
          <w:fldChar w:fldCharType="begin"/>
        </w:r>
        <w:r>
          <w:rPr>
            <w:webHidden/>
          </w:rPr>
          <w:instrText xml:space="preserve"> PAGEREF _Toc181101508 \h </w:instrText>
        </w:r>
        <w:r>
          <w:rPr>
            <w:webHidden/>
          </w:rPr>
        </w:r>
        <w:r>
          <w:rPr>
            <w:webHidden/>
          </w:rPr>
          <w:fldChar w:fldCharType="separate"/>
        </w:r>
        <w:r w:rsidR="002F3676">
          <w:rPr>
            <w:webHidden/>
          </w:rPr>
          <w:t>93</w:t>
        </w:r>
        <w:r>
          <w:rPr>
            <w:webHidden/>
          </w:rPr>
          <w:fldChar w:fldCharType="end"/>
        </w:r>
      </w:hyperlink>
    </w:p>
    <w:p w14:paraId="729AECD0" w14:textId="463D5B84" w:rsidR="00D26760" w:rsidRDefault="00D26760">
      <w:pPr>
        <w:pStyle w:val="TOC2"/>
        <w:rPr>
          <w:rFonts w:asciiTheme="minorHAnsi" w:hAnsiTheme="minorHAnsi"/>
          <w:kern w:val="2"/>
          <w:sz w:val="24"/>
          <w:lang w:val="en-US"/>
          <w14:ligatures w14:val="standardContextual"/>
        </w:rPr>
      </w:pPr>
      <w:hyperlink w:anchor="_Toc181101509" w:history="1">
        <w:r w:rsidRPr="009A04DE">
          <w:rPr>
            <w:rStyle w:val="Hyperlink"/>
          </w:rPr>
          <w:t>Local Jobs First</w:t>
        </w:r>
        <w:r>
          <w:rPr>
            <w:webHidden/>
          </w:rPr>
          <w:tab/>
        </w:r>
        <w:r>
          <w:rPr>
            <w:webHidden/>
          </w:rPr>
          <w:fldChar w:fldCharType="begin"/>
        </w:r>
        <w:r>
          <w:rPr>
            <w:webHidden/>
          </w:rPr>
          <w:instrText xml:space="preserve"> PAGEREF _Toc181101509 \h </w:instrText>
        </w:r>
        <w:r>
          <w:rPr>
            <w:webHidden/>
          </w:rPr>
        </w:r>
        <w:r>
          <w:rPr>
            <w:webHidden/>
          </w:rPr>
          <w:fldChar w:fldCharType="separate"/>
        </w:r>
        <w:r w:rsidR="002F3676">
          <w:rPr>
            <w:webHidden/>
          </w:rPr>
          <w:t>93</w:t>
        </w:r>
        <w:r>
          <w:rPr>
            <w:webHidden/>
          </w:rPr>
          <w:fldChar w:fldCharType="end"/>
        </w:r>
      </w:hyperlink>
    </w:p>
    <w:p w14:paraId="3C7BD961" w14:textId="2316A6A3" w:rsidR="00D26760" w:rsidRDefault="00D26760">
      <w:pPr>
        <w:pStyle w:val="TOC2"/>
        <w:rPr>
          <w:rFonts w:asciiTheme="minorHAnsi" w:hAnsiTheme="minorHAnsi"/>
          <w:kern w:val="2"/>
          <w:sz w:val="24"/>
          <w:lang w:val="en-US"/>
          <w14:ligatures w14:val="standardContextual"/>
        </w:rPr>
      </w:pPr>
      <w:hyperlink w:anchor="_Toc181101510" w:history="1">
        <w:r w:rsidRPr="009A04DE">
          <w:rPr>
            <w:rStyle w:val="Hyperlink"/>
          </w:rPr>
          <w:t>Competitive neutrality policy</w:t>
        </w:r>
        <w:r>
          <w:rPr>
            <w:webHidden/>
          </w:rPr>
          <w:tab/>
        </w:r>
        <w:r>
          <w:rPr>
            <w:webHidden/>
          </w:rPr>
          <w:fldChar w:fldCharType="begin"/>
        </w:r>
        <w:r>
          <w:rPr>
            <w:webHidden/>
          </w:rPr>
          <w:instrText xml:space="preserve"> PAGEREF _Toc181101510 \h </w:instrText>
        </w:r>
        <w:r>
          <w:rPr>
            <w:webHidden/>
          </w:rPr>
        </w:r>
        <w:r>
          <w:rPr>
            <w:webHidden/>
          </w:rPr>
          <w:fldChar w:fldCharType="separate"/>
        </w:r>
        <w:r w:rsidR="002F3676">
          <w:rPr>
            <w:webHidden/>
          </w:rPr>
          <w:t>94</w:t>
        </w:r>
        <w:r>
          <w:rPr>
            <w:webHidden/>
          </w:rPr>
          <w:fldChar w:fldCharType="end"/>
        </w:r>
      </w:hyperlink>
    </w:p>
    <w:p w14:paraId="764F34C7" w14:textId="1F1B3007" w:rsidR="00D26760" w:rsidRDefault="00D26760">
      <w:pPr>
        <w:pStyle w:val="TOC2"/>
        <w:rPr>
          <w:rFonts w:asciiTheme="minorHAnsi" w:hAnsiTheme="minorHAnsi"/>
          <w:kern w:val="2"/>
          <w:sz w:val="24"/>
          <w:lang w:val="en-US"/>
          <w14:ligatures w14:val="standardContextual"/>
        </w:rPr>
      </w:pPr>
      <w:hyperlink w:anchor="_Toc181101511" w:history="1">
        <w:r w:rsidRPr="009A04DE">
          <w:rPr>
            <w:rStyle w:val="Hyperlink"/>
          </w:rPr>
          <w:t>Government advertising expenditure</w:t>
        </w:r>
        <w:r>
          <w:rPr>
            <w:webHidden/>
          </w:rPr>
          <w:tab/>
        </w:r>
        <w:r>
          <w:rPr>
            <w:webHidden/>
          </w:rPr>
          <w:fldChar w:fldCharType="begin"/>
        </w:r>
        <w:r>
          <w:rPr>
            <w:webHidden/>
          </w:rPr>
          <w:instrText xml:space="preserve"> PAGEREF _Toc181101511 \h </w:instrText>
        </w:r>
        <w:r>
          <w:rPr>
            <w:webHidden/>
          </w:rPr>
        </w:r>
        <w:r>
          <w:rPr>
            <w:webHidden/>
          </w:rPr>
          <w:fldChar w:fldCharType="separate"/>
        </w:r>
        <w:r w:rsidR="002F3676">
          <w:rPr>
            <w:webHidden/>
          </w:rPr>
          <w:t>95</w:t>
        </w:r>
        <w:r>
          <w:rPr>
            <w:webHidden/>
          </w:rPr>
          <w:fldChar w:fldCharType="end"/>
        </w:r>
      </w:hyperlink>
    </w:p>
    <w:p w14:paraId="57A8AEA0" w14:textId="4B65BE2F" w:rsidR="00D26760" w:rsidRDefault="00D26760">
      <w:pPr>
        <w:pStyle w:val="TOC2"/>
        <w:rPr>
          <w:rFonts w:asciiTheme="minorHAnsi" w:hAnsiTheme="minorHAnsi"/>
          <w:kern w:val="2"/>
          <w:sz w:val="24"/>
          <w:lang w:val="en-US"/>
          <w14:ligatures w14:val="standardContextual"/>
        </w:rPr>
      </w:pPr>
      <w:hyperlink w:anchor="_Toc181101512" w:history="1">
        <w:r w:rsidRPr="009A04DE">
          <w:rPr>
            <w:rStyle w:val="Hyperlink"/>
          </w:rPr>
          <w:t>Consultancy expenditure</w:t>
        </w:r>
        <w:r>
          <w:rPr>
            <w:webHidden/>
          </w:rPr>
          <w:tab/>
        </w:r>
        <w:r>
          <w:rPr>
            <w:webHidden/>
          </w:rPr>
          <w:fldChar w:fldCharType="begin"/>
        </w:r>
        <w:r>
          <w:rPr>
            <w:webHidden/>
          </w:rPr>
          <w:instrText xml:space="preserve"> PAGEREF _Toc181101512 \h </w:instrText>
        </w:r>
        <w:r>
          <w:rPr>
            <w:webHidden/>
          </w:rPr>
        </w:r>
        <w:r>
          <w:rPr>
            <w:webHidden/>
          </w:rPr>
          <w:fldChar w:fldCharType="separate"/>
        </w:r>
        <w:r w:rsidR="002F3676">
          <w:rPr>
            <w:webHidden/>
          </w:rPr>
          <w:t>96</w:t>
        </w:r>
        <w:r>
          <w:rPr>
            <w:webHidden/>
          </w:rPr>
          <w:fldChar w:fldCharType="end"/>
        </w:r>
      </w:hyperlink>
    </w:p>
    <w:p w14:paraId="7D402589" w14:textId="757B7AEC" w:rsidR="00D26760" w:rsidRDefault="00D26760">
      <w:pPr>
        <w:pStyle w:val="TOC2"/>
        <w:rPr>
          <w:rFonts w:asciiTheme="minorHAnsi" w:hAnsiTheme="minorHAnsi"/>
          <w:kern w:val="2"/>
          <w:sz w:val="24"/>
          <w:lang w:val="en-US"/>
          <w14:ligatures w14:val="standardContextual"/>
        </w:rPr>
      </w:pPr>
      <w:hyperlink w:anchor="_Toc181101513" w:history="1">
        <w:r w:rsidRPr="009A04DE">
          <w:rPr>
            <w:rStyle w:val="Hyperlink"/>
          </w:rPr>
          <w:t>Information and communication technology expenditure</w:t>
        </w:r>
        <w:r>
          <w:rPr>
            <w:webHidden/>
          </w:rPr>
          <w:tab/>
        </w:r>
        <w:r>
          <w:rPr>
            <w:webHidden/>
          </w:rPr>
          <w:fldChar w:fldCharType="begin"/>
        </w:r>
        <w:r>
          <w:rPr>
            <w:webHidden/>
          </w:rPr>
          <w:instrText xml:space="preserve"> PAGEREF _Toc181101513 \h </w:instrText>
        </w:r>
        <w:r>
          <w:rPr>
            <w:webHidden/>
          </w:rPr>
        </w:r>
        <w:r>
          <w:rPr>
            <w:webHidden/>
          </w:rPr>
          <w:fldChar w:fldCharType="separate"/>
        </w:r>
        <w:r w:rsidR="002F3676">
          <w:rPr>
            <w:webHidden/>
          </w:rPr>
          <w:t>100</w:t>
        </w:r>
        <w:r>
          <w:rPr>
            <w:webHidden/>
          </w:rPr>
          <w:fldChar w:fldCharType="end"/>
        </w:r>
      </w:hyperlink>
    </w:p>
    <w:p w14:paraId="20ECEAD0" w14:textId="1381BF5F" w:rsidR="00D26760" w:rsidRDefault="00D26760">
      <w:pPr>
        <w:pStyle w:val="TOC2"/>
        <w:rPr>
          <w:rFonts w:asciiTheme="minorHAnsi" w:hAnsiTheme="minorHAnsi"/>
          <w:kern w:val="2"/>
          <w:sz w:val="24"/>
          <w:lang w:val="en-US"/>
          <w14:ligatures w14:val="standardContextual"/>
        </w:rPr>
      </w:pPr>
      <w:hyperlink w:anchor="_Toc181101514" w:history="1">
        <w:r w:rsidRPr="009A04DE">
          <w:rPr>
            <w:rStyle w:val="Hyperlink"/>
          </w:rPr>
          <w:t>Review and study expenditure</w:t>
        </w:r>
        <w:r>
          <w:rPr>
            <w:webHidden/>
          </w:rPr>
          <w:tab/>
        </w:r>
        <w:r>
          <w:rPr>
            <w:webHidden/>
          </w:rPr>
          <w:fldChar w:fldCharType="begin"/>
        </w:r>
        <w:r>
          <w:rPr>
            <w:webHidden/>
          </w:rPr>
          <w:instrText xml:space="preserve"> PAGEREF _Toc181101514 \h </w:instrText>
        </w:r>
        <w:r>
          <w:rPr>
            <w:webHidden/>
          </w:rPr>
        </w:r>
        <w:r>
          <w:rPr>
            <w:webHidden/>
          </w:rPr>
          <w:fldChar w:fldCharType="separate"/>
        </w:r>
        <w:r w:rsidR="002F3676">
          <w:rPr>
            <w:webHidden/>
          </w:rPr>
          <w:t>101</w:t>
        </w:r>
        <w:r>
          <w:rPr>
            <w:webHidden/>
          </w:rPr>
          <w:fldChar w:fldCharType="end"/>
        </w:r>
      </w:hyperlink>
    </w:p>
    <w:p w14:paraId="3BF8F2B9" w14:textId="12CFBDA0" w:rsidR="00D26760" w:rsidRDefault="00D26760">
      <w:pPr>
        <w:pStyle w:val="TOC2"/>
        <w:rPr>
          <w:rFonts w:asciiTheme="minorHAnsi" w:hAnsiTheme="minorHAnsi"/>
          <w:kern w:val="2"/>
          <w:sz w:val="24"/>
          <w:lang w:val="en-US"/>
          <w14:ligatures w14:val="standardContextual"/>
        </w:rPr>
      </w:pPr>
      <w:hyperlink w:anchor="_Toc181101515" w:history="1">
        <w:r w:rsidRPr="009A04DE">
          <w:rPr>
            <w:rStyle w:val="Hyperlink"/>
          </w:rPr>
          <w:t>Disclosure of major contracts</w:t>
        </w:r>
        <w:r>
          <w:rPr>
            <w:webHidden/>
          </w:rPr>
          <w:tab/>
        </w:r>
        <w:r>
          <w:rPr>
            <w:webHidden/>
          </w:rPr>
          <w:fldChar w:fldCharType="begin"/>
        </w:r>
        <w:r>
          <w:rPr>
            <w:webHidden/>
          </w:rPr>
          <w:instrText xml:space="preserve"> PAGEREF _Toc181101515 \h </w:instrText>
        </w:r>
        <w:r>
          <w:rPr>
            <w:webHidden/>
          </w:rPr>
        </w:r>
        <w:r>
          <w:rPr>
            <w:webHidden/>
          </w:rPr>
          <w:fldChar w:fldCharType="separate"/>
        </w:r>
        <w:r w:rsidR="002F3676">
          <w:rPr>
            <w:webHidden/>
          </w:rPr>
          <w:t>114</w:t>
        </w:r>
        <w:r>
          <w:rPr>
            <w:webHidden/>
          </w:rPr>
          <w:fldChar w:fldCharType="end"/>
        </w:r>
      </w:hyperlink>
    </w:p>
    <w:p w14:paraId="58846FC8" w14:textId="0E9E3112" w:rsidR="00D26760" w:rsidRDefault="00D26760">
      <w:pPr>
        <w:pStyle w:val="TOC2"/>
        <w:rPr>
          <w:rFonts w:asciiTheme="minorHAnsi" w:hAnsiTheme="minorHAnsi"/>
          <w:kern w:val="2"/>
          <w:sz w:val="24"/>
          <w:lang w:val="en-US"/>
          <w14:ligatures w14:val="standardContextual"/>
        </w:rPr>
      </w:pPr>
      <w:hyperlink w:anchor="_Toc181101516" w:history="1">
        <w:r w:rsidRPr="009A04DE">
          <w:rPr>
            <w:rStyle w:val="Hyperlink"/>
          </w:rPr>
          <w:t>Disclosure of grants and transfer payments</w:t>
        </w:r>
        <w:r>
          <w:rPr>
            <w:webHidden/>
          </w:rPr>
          <w:tab/>
        </w:r>
        <w:r>
          <w:rPr>
            <w:webHidden/>
          </w:rPr>
          <w:fldChar w:fldCharType="begin"/>
        </w:r>
        <w:r>
          <w:rPr>
            <w:webHidden/>
          </w:rPr>
          <w:instrText xml:space="preserve"> PAGEREF _Toc181101516 \h </w:instrText>
        </w:r>
        <w:r>
          <w:rPr>
            <w:webHidden/>
          </w:rPr>
        </w:r>
        <w:r>
          <w:rPr>
            <w:webHidden/>
          </w:rPr>
          <w:fldChar w:fldCharType="separate"/>
        </w:r>
        <w:r w:rsidR="002F3676">
          <w:rPr>
            <w:webHidden/>
          </w:rPr>
          <w:t>114</w:t>
        </w:r>
        <w:r>
          <w:rPr>
            <w:webHidden/>
          </w:rPr>
          <w:fldChar w:fldCharType="end"/>
        </w:r>
      </w:hyperlink>
    </w:p>
    <w:p w14:paraId="6BC13DEB" w14:textId="0D16A786" w:rsidR="00D26760" w:rsidRDefault="00D26760">
      <w:pPr>
        <w:pStyle w:val="TOC2"/>
        <w:rPr>
          <w:rFonts w:asciiTheme="minorHAnsi" w:hAnsiTheme="minorHAnsi"/>
          <w:kern w:val="2"/>
          <w:sz w:val="24"/>
          <w:lang w:val="en-US"/>
          <w14:ligatures w14:val="standardContextual"/>
        </w:rPr>
      </w:pPr>
      <w:hyperlink w:anchor="_Toc181101517" w:history="1">
        <w:r w:rsidRPr="009A04DE">
          <w:rPr>
            <w:rStyle w:val="Hyperlink"/>
          </w:rPr>
          <w:t>Social procurement framework</w:t>
        </w:r>
        <w:r>
          <w:rPr>
            <w:webHidden/>
          </w:rPr>
          <w:tab/>
        </w:r>
        <w:r>
          <w:rPr>
            <w:webHidden/>
          </w:rPr>
          <w:fldChar w:fldCharType="begin"/>
        </w:r>
        <w:r>
          <w:rPr>
            <w:webHidden/>
          </w:rPr>
          <w:instrText xml:space="preserve"> PAGEREF _Toc181101517 \h </w:instrText>
        </w:r>
        <w:r>
          <w:rPr>
            <w:webHidden/>
          </w:rPr>
        </w:r>
        <w:r>
          <w:rPr>
            <w:webHidden/>
          </w:rPr>
          <w:fldChar w:fldCharType="separate"/>
        </w:r>
        <w:r w:rsidR="002F3676">
          <w:rPr>
            <w:webHidden/>
          </w:rPr>
          <w:t>114</w:t>
        </w:r>
        <w:r>
          <w:rPr>
            <w:webHidden/>
          </w:rPr>
          <w:fldChar w:fldCharType="end"/>
        </w:r>
      </w:hyperlink>
    </w:p>
    <w:p w14:paraId="6F7160A5" w14:textId="6DC80B4D" w:rsidR="00D26760" w:rsidRDefault="00D26760">
      <w:pPr>
        <w:pStyle w:val="TOC2"/>
        <w:rPr>
          <w:rFonts w:asciiTheme="minorHAnsi" w:hAnsiTheme="minorHAnsi"/>
          <w:kern w:val="2"/>
          <w:sz w:val="24"/>
          <w:lang w:val="en-US"/>
          <w14:ligatures w14:val="standardContextual"/>
        </w:rPr>
      </w:pPr>
      <w:hyperlink w:anchor="_Toc181101518" w:history="1">
        <w:r w:rsidRPr="009A04DE">
          <w:rPr>
            <w:rStyle w:val="Hyperlink"/>
          </w:rPr>
          <w:t>Compliance with the Building Act</w:t>
        </w:r>
        <w:r>
          <w:rPr>
            <w:webHidden/>
          </w:rPr>
          <w:tab/>
        </w:r>
        <w:r>
          <w:rPr>
            <w:webHidden/>
          </w:rPr>
          <w:fldChar w:fldCharType="begin"/>
        </w:r>
        <w:r>
          <w:rPr>
            <w:webHidden/>
          </w:rPr>
          <w:instrText xml:space="preserve"> PAGEREF _Toc181101518 \h </w:instrText>
        </w:r>
        <w:r>
          <w:rPr>
            <w:webHidden/>
          </w:rPr>
        </w:r>
        <w:r>
          <w:rPr>
            <w:webHidden/>
          </w:rPr>
          <w:fldChar w:fldCharType="separate"/>
        </w:r>
        <w:r w:rsidR="002F3676">
          <w:rPr>
            <w:webHidden/>
          </w:rPr>
          <w:t>115</w:t>
        </w:r>
        <w:r>
          <w:rPr>
            <w:webHidden/>
          </w:rPr>
          <w:fldChar w:fldCharType="end"/>
        </w:r>
      </w:hyperlink>
    </w:p>
    <w:p w14:paraId="6B9598F1" w14:textId="2F448E1D" w:rsidR="00D26760" w:rsidRDefault="00D26760">
      <w:pPr>
        <w:pStyle w:val="TOC2"/>
        <w:rPr>
          <w:rFonts w:asciiTheme="minorHAnsi" w:hAnsiTheme="minorHAnsi"/>
          <w:kern w:val="2"/>
          <w:sz w:val="24"/>
          <w:lang w:val="en-US"/>
          <w14:ligatures w14:val="standardContextual"/>
        </w:rPr>
      </w:pPr>
      <w:hyperlink w:anchor="_Toc181101519" w:history="1">
        <w:r w:rsidRPr="009A04DE">
          <w:rPr>
            <w:rStyle w:val="Hyperlink"/>
          </w:rPr>
          <w:t>Compliance with the Public Interest Disclosures Act</w:t>
        </w:r>
        <w:r>
          <w:rPr>
            <w:webHidden/>
          </w:rPr>
          <w:tab/>
        </w:r>
        <w:r>
          <w:rPr>
            <w:webHidden/>
          </w:rPr>
          <w:fldChar w:fldCharType="begin"/>
        </w:r>
        <w:r>
          <w:rPr>
            <w:webHidden/>
          </w:rPr>
          <w:instrText xml:space="preserve"> PAGEREF _Toc181101519 \h </w:instrText>
        </w:r>
        <w:r>
          <w:rPr>
            <w:webHidden/>
          </w:rPr>
        </w:r>
        <w:r>
          <w:rPr>
            <w:webHidden/>
          </w:rPr>
          <w:fldChar w:fldCharType="separate"/>
        </w:r>
        <w:r w:rsidR="002F3676">
          <w:rPr>
            <w:webHidden/>
          </w:rPr>
          <w:t>116</w:t>
        </w:r>
        <w:r>
          <w:rPr>
            <w:webHidden/>
          </w:rPr>
          <w:fldChar w:fldCharType="end"/>
        </w:r>
      </w:hyperlink>
    </w:p>
    <w:p w14:paraId="65195141" w14:textId="25CF6652" w:rsidR="00D26760" w:rsidRDefault="00D26760">
      <w:pPr>
        <w:pStyle w:val="TOC2"/>
        <w:rPr>
          <w:rFonts w:asciiTheme="minorHAnsi" w:hAnsiTheme="minorHAnsi"/>
          <w:kern w:val="2"/>
          <w:sz w:val="24"/>
          <w:lang w:val="en-US"/>
          <w14:ligatures w14:val="standardContextual"/>
        </w:rPr>
      </w:pPr>
      <w:hyperlink w:anchor="_Toc181101520" w:history="1">
        <w:r w:rsidRPr="009A04DE">
          <w:rPr>
            <w:rStyle w:val="Hyperlink"/>
          </w:rPr>
          <w:t>Compliance with the Carers Recognition Act</w:t>
        </w:r>
        <w:r>
          <w:rPr>
            <w:webHidden/>
          </w:rPr>
          <w:tab/>
        </w:r>
        <w:r>
          <w:rPr>
            <w:webHidden/>
          </w:rPr>
          <w:fldChar w:fldCharType="begin"/>
        </w:r>
        <w:r>
          <w:rPr>
            <w:webHidden/>
          </w:rPr>
          <w:instrText xml:space="preserve"> PAGEREF _Toc181101520 \h </w:instrText>
        </w:r>
        <w:r>
          <w:rPr>
            <w:webHidden/>
          </w:rPr>
        </w:r>
        <w:r>
          <w:rPr>
            <w:webHidden/>
          </w:rPr>
          <w:fldChar w:fldCharType="separate"/>
        </w:r>
        <w:r w:rsidR="002F3676">
          <w:rPr>
            <w:webHidden/>
          </w:rPr>
          <w:t>117</w:t>
        </w:r>
        <w:r>
          <w:rPr>
            <w:webHidden/>
          </w:rPr>
          <w:fldChar w:fldCharType="end"/>
        </w:r>
      </w:hyperlink>
    </w:p>
    <w:p w14:paraId="174F269F" w14:textId="14D1D3DB" w:rsidR="00D26760" w:rsidRDefault="00D26760">
      <w:pPr>
        <w:pStyle w:val="TOC2"/>
        <w:rPr>
          <w:rFonts w:asciiTheme="minorHAnsi" w:hAnsiTheme="minorHAnsi"/>
          <w:kern w:val="2"/>
          <w:sz w:val="24"/>
          <w:lang w:val="en-US"/>
          <w14:ligatures w14:val="standardContextual"/>
        </w:rPr>
      </w:pPr>
      <w:hyperlink w:anchor="_Toc181101521" w:history="1">
        <w:r w:rsidRPr="009A04DE">
          <w:rPr>
            <w:rStyle w:val="Hyperlink"/>
          </w:rPr>
          <w:t>Compliance with the Disability Act and the Children, Youth and Families Act</w:t>
        </w:r>
        <w:r>
          <w:rPr>
            <w:webHidden/>
          </w:rPr>
          <w:tab/>
        </w:r>
        <w:r>
          <w:rPr>
            <w:webHidden/>
          </w:rPr>
          <w:fldChar w:fldCharType="begin"/>
        </w:r>
        <w:r>
          <w:rPr>
            <w:webHidden/>
          </w:rPr>
          <w:instrText xml:space="preserve"> PAGEREF _Toc181101521 \h </w:instrText>
        </w:r>
        <w:r>
          <w:rPr>
            <w:webHidden/>
          </w:rPr>
        </w:r>
        <w:r>
          <w:rPr>
            <w:webHidden/>
          </w:rPr>
          <w:fldChar w:fldCharType="separate"/>
        </w:r>
        <w:r w:rsidR="002F3676">
          <w:rPr>
            <w:webHidden/>
          </w:rPr>
          <w:t>118</w:t>
        </w:r>
        <w:r>
          <w:rPr>
            <w:webHidden/>
          </w:rPr>
          <w:fldChar w:fldCharType="end"/>
        </w:r>
      </w:hyperlink>
    </w:p>
    <w:p w14:paraId="52896CD7" w14:textId="6BDDDB4D" w:rsidR="00D26760" w:rsidRDefault="00D26760">
      <w:pPr>
        <w:pStyle w:val="TOC2"/>
        <w:rPr>
          <w:rFonts w:asciiTheme="minorHAnsi" w:hAnsiTheme="minorHAnsi"/>
          <w:kern w:val="2"/>
          <w:sz w:val="24"/>
          <w:lang w:val="en-US"/>
          <w14:ligatures w14:val="standardContextual"/>
        </w:rPr>
      </w:pPr>
      <w:hyperlink w:anchor="_Toc181101522" w:history="1">
        <w:r w:rsidRPr="009A04DE">
          <w:rPr>
            <w:rStyle w:val="Hyperlink"/>
          </w:rPr>
          <w:t>Disclosure of emergency procurement</w:t>
        </w:r>
        <w:r>
          <w:rPr>
            <w:webHidden/>
          </w:rPr>
          <w:tab/>
        </w:r>
        <w:r>
          <w:rPr>
            <w:webHidden/>
          </w:rPr>
          <w:fldChar w:fldCharType="begin"/>
        </w:r>
        <w:r>
          <w:rPr>
            <w:webHidden/>
          </w:rPr>
          <w:instrText xml:space="preserve"> PAGEREF _Toc181101522 \h </w:instrText>
        </w:r>
        <w:r>
          <w:rPr>
            <w:webHidden/>
          </w:rPr>
        </w:r>
        <w:r>
          <w:rPr>
            <w:webHidden/>
          </w:rPr>
          <w:fldChar w:fldCharType="separate"/>
        </w:r>
        <w:r w:rsidR="002F3676">
          <w:rPr>
            <w:webHidden/>
          </w:rPr>
          <w:t>120</w:t>
        </w:r>
        <w:r>
          <w:rPr>
            <w:webHidden/>
          </w:rPr>
          <w:fldChar w:fldCharType="end"/>
        </w:r>
      </w:hyperlink>
    </w:p>
    <w:p w14:paraId="7D214E17" w14:textId="74715219" w:rsidR="00D26760" w:rsidRDefault="00D26760">
      <w:pPr>
        <w:pStyle w:val="TOC2"/>
        <w:rPr>
          <w:rFonts w:asciiTheme="minorHAnsi" w:hAnsiTheme="minorHAnsi"/>
          <w:kern w:val="2"/>
          <w:sz w:val="24"/>
          <w:lang w:val="en-US"/>
          <w14:ligatures w14:val="standardContextual"/>
        </w:rPr>
      </w:pPr>
      <w:hyperlink w:anchor="_Toc181101523" w:history="1">
        <w:r w:rsidRPr="009A04DE">
          <w:rPr>
            <w:rStyle w:val="Hyperlink"/>
          </w:rPr>
          <w:t>Disclosure of procurement complaints</w:t>
        </w:r>
        <w:r>
          <w:rPr>
            <w:webHidden/>
          </w:rPr>
          <w:tab/>
        </w:r>
        <w:r>
          <w:rPr>
            <w:webHidden/>
          </w:rPr>
          <w:fldChar w:fldCharType="begin"/>
        </w:r>
        <w:r>
          <w:rPr>
            <w:webHidden/>
          </w:rPr>
          <w:instrText xml:space="preserve"> PAGEREF _Toc181101523 \h </w:instrText>
        </w:r>
        <w:r>
          <w:rPr>
            <w:webHidden/>
          </w:rPr>
        </w:r>
        <w:r>
          <w:rPr>
            <w:webHidden/>
          </w:rPr>
          <w:fldChar w:fldCharType="separate"/>
        </w:r>
        <w:r w:rsidR="002F3676">
          <w:rPr>
            <w:webHidden/>
          </w:rPr>
          <w:t>120</w:t>
        </w:r>
        <w:r>
          <w:rPr>
            <w:webHidden/>
          </w:rPr>
          <w:fldChar w:fldCharType="end"/>
        </w:r>
      </w:hyperlink>
    </w:p>
    <w:p w14:paraId="01BDCE55" w14:textId="2E7844F5" w:rsidR="00D26760" w:rsidRDefault="00D26760">
      <w:pPr>
        <w:pStyle w:val="TOC2"/>
        <w:rPr>
          <w:rFonts w:asciiTheme="minorHAnsi" w:hAnsiTheme="minorHAnsi"/>
          <w:kern w:val="2"/>
          <w:sz w:val="24"/>
          <w:lang w:val="en-US"/>
          <w14:ligatures w14:val="standardContextual"/>
        </w:rPr>
      </w:pPr>
      <w:hyperlink w:anchor="_Toc181101524" w:history="1">
        <w:r w:rsidRPr="009A04DE">
          <w:rPr>
            <w:rStyle w:val="Hyperlink"/>
          </w:rPr>
          <w:t xml:space="preserve">Compliance with </w:t>
        </w:r>
        <w:r w:rsidRPr="009A04DE">
          <w:rPr>
            <w:rStyle w:val="Hyperlink"/>
            <w:i/>
          </w:rPr>
          <w:t>DataVic access policy</w:t>
        </w:r>
        <w:r>
          <w:rPr>
            <w:webHidden/>
          </w:rPr>
          <w:tab/>
        </w:r>
        <w:r>
          <w:rPr>
            <w:webHidden/>
          </w:rPr>
          <w:fldChar w:fldCharType="begin"/>
        </w:r>
        <w:r>
          <w:rPr>
            <w:webHidden/>
          </w:rPr>
          <w:instrText xml:space="preserve"> PAGEREF _Toc181101524 \h </w:instrText>
        </w:r>
        <w:r>
          <w:rPr>
            <w:webHidden/>
          </w:rPr>
        </w:r>
        <w:r>
          <w:rPr>
            <w:webHidden/>
          </w:rPr>
          <w:fldChar w:fldCharType="separate"/>
        </w:r>
        <w:r w:rsidR="002F3676">
          <w:rPr>
            <w:webHidden/>
          </w:rPr>
          <w:t>120</w:t>
        </w:r>
        <w:r>
          <w:rPr>
            <w:webHidden/>
          </w:rPr>
          <w:fldChar w:fldCharType="end"/>
        </w:r>
      </w:hyperlink>
    </w:p>
    <w:p w14:paraId="69A13DA9" w14:textId="59E8075F" w:rsidR="00D26760" w:rsidRDefault="00D26760">
      <w:pPr>
        <w:pStyle w:val="TOC2"/>
        <w:rPr>
          <w:rFonts w:asciiTheme="minorHAnsi" w:hAnsiTheme="minorHAnsi"/>
          <w:kern w:val="2"/>
          <w:sz w:val="24"/>
          <w:lang w:val="en-US"/>
          <w14:ligatures w14:val="standardContextual"/>
        </w:rPr>
      </w:pPr>
      <w:hyperlink w:anchor="_Toc181101525" w:history="1">
        <w:r w:rsidRPr="009A04DE">
          <w:rPr>
            <w:rStyle w:val="Hyperlink"/>
          </w:rPr>
          <w:t>Social housing dwelling stock</w:t>
        </w:r>
        <w:r>
          <w:rPr>
            <w:webHidden/>
          </w:rPr>
          <w:tab/>
        </w:r>
        <w:r>
          <w:rPr>
            <w:webHidden/>
          </w:rPr>
          <w:fldChar w:fldCharType="begin"/>
        </w:r>
        <w:r>
          <w:rPr>
            <w:webHidden/>
          </w:rPr>
          <w:instrText xml:space="preserve"> PAGEREF _Toc181101525 \h </w:instrText>
        </w:r>
        <w:r>
          <w:rPr>
            <w:webHidden/>
          </w:rPr>
        </w:r>
        <w:r>
          <w:rPr>
            <w:webHidden/>
          </w:rPr>
          <w:fldChar w:fldCharType="separate"/>
        </w:r>
        <w:r w:rsidR="002F3676">
          <w:rPr>
            <w:webHidden/>
          </w:rPr>
          <w:t>121</w:t>
        </w:r>
        <w:r>
          <w:rPr>
            <w:webHidden/>
          </w:rPr>
          <w:fldChar w:fldCharType="end"/>
        </w:r>
      </w:hyperlink>
    </w:p>
    <w:p w14:paraId="69C771BB" w14:textId="1A6D7EC1" w:rsidR="00D26760" w:rsidRDefault="00D26760">
      <w:pPr>
        <w:pStyle w:val="TOC2"/>
        <w:rPr>
          <w:rFonts w:asciiTheme="minorHAnsi" w:hAnsiTheme="minorHAnsi"/>
          <w:kern w:val="2"/>
          <w:sz w:val="24"/>
          <w:lang w:val="en-US"/>
          <w14:ligatures w14:val="standardContextual"/>
        </w:rPr>
      </w:pPr>
      <w:hyperlink w:anchor="_Toc181101526" w:history="1">
        <w:r w:rsidRPr="009A04DE">
          <w:rPr>
            <w:rStyle w:val="Hyperlink"/>
          </w:rPr>
          <w:t>Freedom of information</w:t>
        </w:r>
        <w:r>
          <w:rPr>
            <w:webHidden/>
          </w:rPr>
          <w:tab/>
        </w:r>
        <w:r>
          <w:rPr>
            <w:webHidden/>
          </w:rPr>
          <w:fldChar w:fldCharType="begin"/>
        </w:r>
        <w:r>
          <w:rPr>
            <w:webHidden/>
          </w:rPr>
          <w:instrText xml:space="preserve"> PAGEREF _Toc181101526 \h </w:instrText>
        </w:r>
        <w:r>
          <w:rPr>
            <w:webHidden/>
          </w:rPr>
        </w:r>
        <w:r>
          <w:rPr>
            <w:webHidden/>
          </w:rPr>
          <w:fldChar w:fldCharType="separate"/>
        </w:r>
        <w:r w:rsidR="002F3676">
          <w:rPr>
            <w:webHidden/>
          </w:rPr>
          <w:t>121</w:t>
        </w:r>
        <w:r>
          <w:rPr>
            <w:webHidden/>
          </w:rPr>
          <w:fldChar w:fldCharType="end"/>
        </w:r>
      </w:hyperlink>
    </w:p>
    <w:p w14:paraId="23631503" w14:textId="3E6FC850" w:rsidR="00D26760" w:rsidRDefault="00D26760">
      <w:pPr>
        <w:pStyle w:val="TOC2"/>
        <w:rPr>
          <w:rFonts w:asciiTheme="minorHAnsi" w:hAnsiTheme="minorHAnsi"/>
          <w:kern w:val="2"/>
          <w:sz w:val="24"/>
          <w:lang w:val="en-US"/>
          <w14:ligatures w14:val="standardContextual"/>
        </w:rPr>
      </w:pPr>
      <w:hyperlink w:anchor="_Toc181101527" w:history="1">
        <w:r w:rsidRPr="009A04DE">
          <w:rPr>
            <w:rStyle w:val="Hyperlink"/>
          </w:rPr>
          <w:t>Asset Management Accountability Framework (AMAF) maturity assessment</w:t>
        </w:r>
        <w:r>
          <w:rPr>
            <w:webHidden/>
          </w:rPr>
          <w:tab/>
        </w:r>
        <w:r>
          <w:rPr>
            <w:webHidden/>
          </w:rPr>
          <w:fldChar w:fldCharType="begin"/>
        </w:r>
        <w:r>
          <w:rPr>
            <w:webHidden/>
          </w:rPr>
          <w:instrText xml:space="preserve"> PAGEREF _Toc181101527 \h </w:instrText>
        </w:r>
        <w:r>
          <w:rPr>
            <w:webHidden/>
          </w:rPr>
        </w:r>
        <w:r>
          <w:rPr>
            <w:webHidden/>
          </w:rPr>
          <w:fldChar w:fldCharType="separate"/>
        </w:r>
        <w:r w:rsidR="002F3676">
          <w:rPr>
            <w:webHidden/>
          </w:rPr>
          <w:t>123</w:t>
        </w:r>
        <w:r>
          <w:rPr>
            <w:webHidden/>
          </w:rPr>
          <w:fldChar w:fldCharType="end"/>
        </w:r>
      </w:hyperlink>
    </w:p>
    <w:p w14:paraId="2B29D428" w14:textId="673177EA" w:rsidR="00D26760" w:rsidRDefault="00D26760">
      <w:pPr>
        <w:pStyle w:val="TOC2"/>
        <w:rPr>
          <w:rFonts w:asciiTheme="minorHAnsi" w:hAnsiTheme="minorHAnsi"/>
          <w:kern w:val="2"/>
          <w:sz w:val="24"/>
          <w:lang w:val="en-US"/>
          <w14:ligatures w14:val="standardContextual"/>
        </w:rPr>
      </w:pPr>
      <w:hyperlink w:anchor="_Toc181101528" w:history="1">
        <w:r w:rsidRPr="009A04DE">
          <w:rPr>
            <w:rStyle w:val="Hyperlink"/>
          </w:rPr>
          <w:t>Environmental performance and impacts</w:t>
        </w:r>
        <w:r>
          <w:rPr>
            <w:webHidden/>
          </w:rPr>
          <w:tab/>
        </w:r>
        <w:r>
          <w:rPr>
            <w:webHidden/>
          </w:rPr>
          <w:fldChar w:fldCharType="begin"/>
        </w:r>
        <w:r>
          <w:rPr>
            <w:webHidden/>
          </w:rPr>
          <w:instrText xml:space="preserve"> PAGEREF _Toc181101528 \h </w:instrText>
        </w:r>
        <w:r>
          <w:rPr>
            <w:webHidden/>
          </w:rPr>
        </w:r>
        <w:r>
          <w:rPr>
            <w:webHidden/>
          </w:rPr>
          <w:fldChar w:fldCharType="separate"/>
        </w:r>
        <w:r w:rsidR="002F3676">
          <w:rPr>
            <w:webHidden/>
          </w:rPr>
          <w:t>124</w:t>
        </w:r>
        <w:r>
          <w:rPr>
            <w:webHidden/>
          </w:rPr>
          <w:fldChar w:fldCharType="end"/>
        </w:r>
      </w:hyperlink>
    </w:p>
    <w:p w14:paraId="7EBCC19E" w14:textId="714F8A76" w:rsidR="00D26760" w:rsidRDefault="00D26760">
      <w:pPr>
        <w:pStyle w:val="TOC2"/>
        <w:rPr>
          <w:rFonts w:asciiTheme="minorHAnsi" w:hAnsiTheme="minorHAnsi"/>
          <w:kern w:val="2"/>
          <w:sz w:val="24"/>
          <w:lang w:val="en-US"/>
          <w14:ligatures w14:val="standardContextual"/>
        </w:rPr>
      </w:pPr>
      <w:hyperlink w:anchor="_Toc181101529" w:history="1">
        <w:r w:rsidRPr="009A04DE">
          <w:rPr>
            <w:rStyle w:val="Hyperlink"/>
          </w:rPr>
          <w:t>Financial Management Compliance Attestation Statement</w:t>
        </w:r>
        <w:r>
          <w:rPr>
            <w:webHidden/>
          </w:rPr>
          <w:tab/>
        </w:r>
        <w:r>
          <w:rPr>
            <w:webHidden/>
          </w:rPr>
          <w:fldChar w:fldCharType="begin"/>
        </w:r>
        <w:r>
          <w:rPr>
            <w:webHidden/>
          </w:rPr>
          <w:instrText xml:space="preserve"> PAGEREF _Toc181101529 \h </w:instrText>
        </w:r>
        <w:r>
          <w:rPr>
            <w:webHidden/>
          </w:rPr>
        </w:r>
        <w:r>
          <w:rPr>
            <w:webHidden/>
          </w:rPr>
          <w:fldChar w:fldCharType="separate"/>
        </w:r>
        <w:r w:rsidR="002F3676">
          <w:rPr>
            <w:webHidden/>
          </w:rPr>
          <w:t>136</w:t>
        </w:r>
        <w:r>
          <w:rPr>
            <w:webHidden/>
          </w:rPr>
          <w:fldChar w:fldCharType="end"/>
        </w:r>
      </w:hyperlink>
    </w:p>
    <w:p w14:paraId="2A5CC85B" w14:textId="256E205D" w:rsidR="00D26760" w:rsidRDefault="00D26760">
      <w:pPr>
        <w:pStyle w:val="TOC1"/>
        <w:rPr>
          <w:rFonts w:asciiTheme="minorHAnsi" w:hAnsiTheme="minorHAnsi"/>
          <w:kern w:val="2"/>
          <w:sz w:val="24"/>
          <w:szCs w:val="24"/>
          <w:lang w:val="en-US"/>
          <w14:ligatures w14:val="standardContextual"/>
        </w:rPr>
      </w:pPr>
      <w:hyperlink w:anchor="_Toc181101530" w:history="1">
        <w:r w:rsidRPr="009A04DE">
          <w:rPr>
            <w:rStyle w:val="Hyperlink"/>
          </w:rPr>
          <w:t>Section 5: Financial statements for the financial year ended 30 June 2024</w:t>
        </w:r>
        <w:r>
          <w:rPr>
            <w:webHidden/>
          </w:rPr>
          <w:tab/>
        </w:r>
        <w:r>
          <w:rPr>
            <w:webHidden/>
          </w:rPr>
          <w:fldChar w:fldCharType="begin"/>
        </w:r>
        <w:r>
          <w:rPr>
            <w:webHidden/>
          </w:rPr>
          <w:instrText xml:space="preserve"> PAGEREF _Toc181101530 \h </w:instrText>
        </w:r>
        <w:r>
          <w:rPr>
            <w:webHidden/>
          </w:rPr>
        </w:r>
        <w:r>
          <w:rPr>
            <w:webHidden/>
          </w:rPr>
          <w:fldChar w:fldCharType="separate"/>
        </w:r>
        <w:r w:rsidR="002F3676">
          <w:rPr>
            <w:webHidden/>
          </w:rPr>
          <w:t>137</w:t>
        </w:r>
        <w:r>
          <w:rPr>
            <w:webHidden/>
          </w:rPr>
          <w:fldChar w:fldCharType="end"/>
        </w:r>
      </w:hyperlink>
    </w:p>
    <w:p w14:paraId="447F0B92" w14:textId="7A9CC108" w:rsidR="00D26760" w:rsidRDefault="00D26760">
      <w:pPr>
        <w:pStyle w:val="TOC1"/>
        <w:rPr>
          <w:rFonts w:asciiTheme="minorHAnsi" w:hAnsiTheme="minorHAnsi"/>
          <w:kern w:val="2"/>
          <w:sz w:val="24"/>
          <w:szCs w:val="24"/>
          <w:lang w:val="en-US"/>
          <w14:ligatures w14:val="standardContextual"/>
        </w:rPr>
      </w:pPr>
      <w:hyperlink w:anchor="_Toc181101531" w:history="1">
        <w:r w:rsidRPr="009A04DE">
          <w:rPr>
            <w:rStyle w:val="Hyperlink"/>
          </w:rPr>
          <w:t>Section 6: Appendices</w:t>
        </w:r>
        <w:r>
          <w:rPr>
            <w:webHidden/>
          </w:rPr>
          <w:tab/>
        </w:r>
        <w:r>
          <w:rPr>
            <w:webHidden/>
          </w:rPr>
          <w:fldChar w:fldCharType="begin"/>
        </w:r>
        <w:r>
          <w:rPr>
            <w:webHidden/>
          </w:rPr>
          <w:instrText xml:space="preserve"> PAGEREF _Toc181101531 \h </w:instrText>
        </w:r>
        <w:r>
          <w:rPr>
            <w:webHidden/>
          </w:rPr>
        </w:r>
        <w:r>
          <w:rPr>
            <w:webHidden/>
          </w:rPr>
          <w:fldChar w:fldCharType="separate"/>
        </w:r>
        <w:r w:rsidR="002F3676">
          <w:rPr>
            <w:webHidden/>
          </w:rPr>
          <w:t>217</w:t>
        </w:r>
        <w:r>
          <w:rPr>
            <w:webHidden/>
          </w:rPr>
          <w:fldChar w:fldCharType="end"/>
        </w:r>
      </w:hyperlink>
    </w:p>
    <w:p w14:paraId="58EBC8F0" w14:textId="09AF7019" w:rsidR="00D26760" w:rsidRDefault="00D26760">
      <w:pPr>
        <w:pStyle w:val="TOC2"/>
        <w:rPr>
          <w:rFonts w:asciiTheme="minorHAnsi" w:hAnsiTheme="minorHAnsi"/>
          <w:kern w:val="2"/>
          <w:sz w:val="24"/>
          <w:lang w:val="en-US"/>
          <w14:ligatures w14:val="standardContextual"/>
        </w:rPr>
      </w:pPr>
      <w:hyperlink w:anchor="_Toc181101532" w:history="1">
        <w:r w:rsidRPr="009A04DE">
          <w:rPr>
            <w:rStyle w:val="Hyperlink"/>
          </w:rPr>
          <w:t>Appendix 1: Budget portfolio outcomes</w:t>
        </w:r>
        <w:r>
          <w:rPr>
            <w:webHidden/>
          </w:rPr>
          <w:tab/>
        </w:r>
        <w:r>
          <w:rPr>
            <w:webHidden/>
          </w:rPr>
          <w:fldChar w:fldCharType="begin"/>
        </w:r>
        <w:r>
          <w:rPr>
            <w:webHidden/>
          </w:rPr>
          <w:instrText xml:space="preserve"> PAGEREF _Toc181101532 \h </w:instrText>
        </w:r>
        <w:r>
          <w:rPr>
            <w:webHidden/>
          </w:rPr>
        </w:r>
        <w:r>
          <w:rPr>
            <w:webHidden/>
          </w:rPr>
          <w:fldChar w:fldCharType="separate"/>
        </w:r>
        <w:r w:rsidR="002F3676">
          <w:rPr>
            <w:webHidden/>
          </w:rPr>
          <w:t>217</w:t>
        </w:r>
        <w:r>
          <w:rPr>
            <w:webHidden/>
          </w:rPr>
          <w:fldChar w:fldCharType="end"/>
        </w:r>
      </w:hyperlink>
    </w:p>
    <w:p w14:paraId="6888846A" w14:textId="10BBC208" w:rsidR="00D26760" w:rsidRDefault="00D26760">
      <w:pPr>
        <w:pStyle w:val="TOC2"/>
        <w:rPr>
          <w:rFonts w:asciiTheme="minorHAnsi" w:hAnsiTheme="minorHAnsi"/>
          <w:kern w:val="2"/>
          <w:sz w:val="24"/>
          <w:lang w:val="en-US"/>
          <w14:ligatures w14:val="standardContextual"/>
        </w:rPr>
      </w:pPr>
      <w:hyperlink w:anchor="_Toc181101533" w:history="1">
        <w:r w:rsidRPr="009A04DE">
          <w:rPr>
            <w:rStyle w:val="Hyperlink"/>
          </w:rPr>
          <w:t>Appendix 2: Homes Victoria</w:t>
        </w:r>
        <w:r>
          <w:rPr>
            <w:webHidden/>
          </w:rPr>
          <w:tab/>
        </w:r>
        <w:r>
          <w:rPr>
            <w:webHidden/>
          </w:rPr>
          <w:fldChar w:fldCharType="begin"/>
        </w:r>
        <w:r>
          <w:rPr>
            <w:webHidden/>
          </w:rPr>
          <w:instrText xml:space="preserve"> PAGEREF _Toc181101533 \h </w:instrText>
        </w:r>
        <w:r>
          <w:rPr>
            <w:webHidden/>
          </w:rPr>
        </w:r>
        <w:r>
          <w:rPr>
            <w:webHidden/>
          </w:rPr>
          <w:fldChar w:fldCharType="separate"/>
        </w:r>
        <w:r w:rsidR="002F3676">
          <w:rPr>
            <w:webHidden/>
          </w:rPr>
          <w:t>222</w:t>
        </w:r>
        <w:r>
          <w:rPr>
            <w:webHidden/>
          </w:rPr>
          <w:fldChar w:fldCharType="end"/>
        </w:r>
      </w:hyperlink>
    </w:p>
    <w:p w14:paraId="584CBF8E" w14:textId="7EC64336" w:rsidR="00D26760" w:rsidRDefault="00D26760">
      <w:pPr>
        <w:pStyle w:val="TOC2"/>
        <w:rPr>
          <w:rFonts w:asciiTheme="minorHAnsi" w:hAnsiTheme="minorHAnsi"/>
          <w:kern w:val="2"/>
          <w:sz w:val="24"/>
          <w:lang w:val="en-US"/>
          <w14:ligatures w14:val="standardContextual"/>
        </w:rPr>
      </w:pPr>
      <w:hyperlink w:anchor="_Toc181101534" w:history="1">
        <w:r w:rsidRPr="009A04DE">
          <w:rPr>
            <w:rStyle w:val="Hyperlink"/>
          </w:rPr>
          <w:t>Appendix 3: Grants and transfer payments</w:t>
        </w:r>
        <w:r>
          <w:rPr>
            <w:webHidden/>
          </w:rPr>
          <w:tab/>
        </w:r>
        <w:r>
          <w:rPr>
            <w:webHidden/>
          </w:rPr>
          <w:fldChar w:fldCharType="begin"/>
        </w:r>
        <w:r>
          <w:rPr>
            <w:webHidden/>
          </w:rPr>
          <w:instrText xml:space="preserve"> PAGEREF _Toc181101534 \h </w:instrText>
        </w:r>
        <w:r>
          <w:rPr>
            <w:webHidden/>
          </w:rPr>
        </w:r>
        <w:r>
          <w:rPr>
            <w:webHidden/>
          </w:rPr>
          <w:fldChar w:fldCharType="separate"/>
        </w:r>
        <w:r w:rsidR="002F3676">
          <w:rPr>
            <w:webHidden/>
          </w:rPr>
          <w:t>226</w:t>
        </w:r>
        <w:r>
          <w:rPr>
            <w:webHidden/>
          </w:rPr>
          <w:fldChar w:fldCharType="end"/>
        </w:r>
      </w:hyperlink>
    </w:p>
    <w:p w14:paraId="135D9DC1" w14:textId="7713FA9F" w:rsidR="00D26760" w:rsidRDefault="00D26760">
      <w:pPr>
        <w:pStyle w:val="TOC2"/>
        <w:rPr>
          <w:rFonts w:asciiTheme="minorHAnsi" w:hAnsiTheme="minorHAnsi"/>
          <w:kern w:val="2"/>
          <w:sz w:val="24"/>
          <w:lang w:val="en-US"/>
          <w14:ligatures w14:val="standardContextual"/>
        </w:rPr>
      </w:pPr>
      <w:hyperlink w:anchor="_Toc181101535" w:history="1">
        <w:r w:rsidRPr="009A04DE">
          <w:rPr>
            <w:rStyle w:val="Hyperlink"/>
          </w:rPr>
          <w:t>Additional departmental information available on request</w:t>
        </w:r>
        <w:r>
          <w:rPr>
            <w:webHidden/>
          </w:rPr>
          <w:tab/>
        </w:r>
        <w:r>
          <w:rPr>
            <w:webHidden/>
          </w:rPr>
          <w:fldChar w:fldCharType="begin"/>
        </w:r>
        <w:r>
          <w:rPr>
            <w:webHidden/>
          </w:rPr>
          <w:instrText xml:space="preserve"> PAGEREF _Toc181101535 \h </w:instrText>
        </w:r>
        <w:r>
          <w:rPr>
            <w:webHidden/>
          </w:rPr>
        </w:r>
        <w:r>
          <w:rPr>
            <w:webHidden/>
          </w:rPr>
          <w:fldChar w:fldCharType="separate"/>
        </w:r>
        <w:r w:rsidR="002F3676">
          <w:rPr>
            <w:webHidden/>
          </w:rPr>
          <w:t>235</w:t>
        </w:r>
        <w:r>
          <w:rPr>
            <w:webHidden/>
          </w:rPr>
          <w:fldChar w:fldCharType="end"/>
        </w:r>
      </w:hyperlink>
    </w:p>
    <w:p w14:paraId="0979AF90" w14:textId="2F8B1011" w:rsidR="00D26760" w:rsidRDefault="00D26760">
      <w:pPr>
        <w:pStyle w:val="TOC2"/>
        <w:rPr>
          <w:rFonts w:asciiTheme="minorHAnsi" w:hAnsiTheme="minorHAnsi"/>
          <w:kern w:val="2"/>
          <w:sz w:val="24"/>
          <w:lang w:val="en-US"/>
          <w14:ligatures w14:val="standardContextual"/>
        </w:rPr>
      </w:pPr>
      <w:hyperlink w:anchor="_Toc181101536" w:history="1">
        <w:r w:rsidRPr="009A04DE">
          <w:rPr>
            <w:rStyle w:val="Hyperlink"/>
          </w:rPr>
          <w:t>Disclosure index</w:t>
        </w:r>
        <w:r>
          <w:rPr>
            <w:webHidden/>
          </w:rPr>
          <w:tab/>
        </w:r>
        <w:r>
          <w:rPr>
            <w:webHidden/>
          </w:rPr>
          <w:fldChar w:fldCharType="begin"/>
        </w:r>
        <w:r>
          <w:rPr>
            <w:webHidden/>
          </w:rPr>
          <w:instrText xml:space="preserve"> PAGEREF _Toc181101536 \h </w:instrText>
        </w:r>
        <w:r>
          <w:rPr>
            <w:webHidden/>
          </w:rPr>
        </w:r>
        <w:r>
          <w:rPr>
            <w:webHidden/>
          </w:rPr>
          <w:fldChar w:fldCharType="separate"/>
        </w:r>
        <w:r w:rsidR="002F3676">
          <w:rPr>
            <w:webHidden/>
          </w:rPr>
          <w:t>236</w:t>
        </w:r>
        <w:r>
          <w:rPr>
            <w:webHidden/>
          </w:rPr>
          <w:fldChar w:fldCharType="end"/>
        </w:r>
      </w:hyperlink>
    </w:p>
    <w:p w14:paraId="09FE1FC3" w14:textId="1C50CE81" w:rsidR="0081234A" w:rsidRPr="00BA7805" w:rsidRDefault="0081234A" w:rsidP="0081234A">
      <w:pPr>
        <w:pStyle w:val="ARbody"/>
        <w:rPr>
          <w:highlight w:val="green"/>
        </w:rPr>
      </w:pPr>
      <w:r w:rsidRPr="00BA7805">
        <w:rPr>
          <w:highlight w:val="green"/>
        </w:rPr>
        <w:fldChar w:fldCharType="end"/>
      </w:r>
    </w:p>
    <w:p w14:paraId="062F21DA" w14:textId="2D6158C9" w:rsidR="00AD7FE0" w:rsidRPr="0001030A" w:rsidRDefault="00AD7FE0" w:rsidP="00BA6631">
      <w:pPr>
        <w:pStyle w:val="ARbody"/>
      </w:pPr>
      <w:bookmarkStart w:id="21" w:name="_Toc114491178"/>
      <w:r>
        <w:br w:type="page"/>
      </w:r>
    </w:p>
    <w:p w14:paraId="5932547A" w14:textId="77777777" w:rsidR="00AD7FE0" w:rsidRPr="00466CD5" w:rsidRDefault="00AD7FE0" w:rsidP="00A742C2">
      <w:pPr>
        <w:pStyle w:val="Heading1"/>
      </w:pPr>
      <w:bookmarkStart w:id="22" w:name="_Ref178172802"/>
      <w:bookmarkStart w:id="23" w:name="_Toc181101477"/>
      <w:r w:rsidRPr="00466CD5">
        <w:t xml:space="preserve">Section 1: About the </w:t>
      </w:r>
      <w:r w:rsidRPr="000F2E68">
        <w:t>department</w:t>
      </w:r>
      <w:bookmarkEnd w:id="22"/>
      <w:bookmarkEnd w:id="23"/>
    </w:p>
    <w:p w14:paraId="7ADFB391" w14:textId="45F048FF" w:rsidR="00AD7FE0" w:rsidRPr="00E23337" w:rsidRDefault="00AD7FE0">
      <w:pPr>
        <w:pStyle w:val="Heading2"/>
      </w:pPr>
      <w:bookmarkStart w:id="24" w:name="_Toc181101478"/>
      <w:r w:rsidRPr="00E23337">
        <w:t>Secretary</w:t>
      </w:r>
      <w:r w:rsidR="00711AE6">
        <w:t>’</w:t>
      </w:r>
      <w:r w:rsidRPr="00E23337">
        <w:t>s foreword</w:t>
      </w:r>
      <w:bookmarkEnd w:id="24"/>
    </w:p>
    <w:p w14:paraId="72F8CD6A" w14:textId="77777777" w:rsidR="00AD7FE0" w:rsidRPr="00F87F36" w:rsidRDefault="00AD7FE0" w:rsidP="00E1592B">
      <w:pPr>
        <w:pStyle w:val="ARbody"/>
        <w:rPr>
          <w:highlight w:val="yellow"/>
        </w:rPr>
      </w:pPr>
      <w:r w:rsidRPr="00E1592B">
        <w:rPr>
          <w:noProof/>
        </w:rPr>
        <w:drawing>
          <wp:inline distT="0" distB="0" distL="0" distR="0" wp14:anchorId="13A30D4B" wp14:editId="04C941C0">
            <wp:extent cx="878400" cy="1166400"/>
            <wp:effectExtent l="0" t="0" r="0" b="0"/>
            <wp:docPr id="1545147816" name="Picture 1545147816" descr="Peta McCammon, Secretary,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ta McCammon, Secretary, Department of Families, Fairness and Housing"/>
                    <pic:cNvPicPr/>
                  </pic:nvPicPr>
                  <pic:blipFill rotWithShape="1">
                    <a:blip r:embed="rId18">
                      <a:extLst>
                        <a:ext uri="{BEBA8EAE-BF5A-486C-A8C5-ECC9F3942E4B}">
                          <a14:imgProps xmlns:a14="http://schemas.microsoft.com/office/drawing/2010/main">
                            <a14:imgLayer r:embed="rId19">
                              <a14:imgEffect>
                                <a14:backgroundRemoval t="9774" b="97368" l="10000" r="90000">
                                  <a14:foregroundMark x1="27750" y1="90602" x2="72000" y2="97368"/>
                                  <a14:foregroundMark x1="72000" y1="97368" x2="47000" y2="87970"/>
                                  <a14:foregroundMark x1="47000" y1="87970" x2="28250" y2="89850"/>
                                </a14:backgroundRemoval>
                              </a14:imgEffect>
                            </a14:imgLayer>
                          </a14:imgProps>
                        </a:ext>
                        <a:ext uri="{28A0092B-C50C-407E-A947-70E740481C1C}">
                          <a14:useLocalDpi xmlns:a14="http://schemas.microsoft.com/office/drawing/2010/main" val="0"/>
                        </a:ext>
                      </a:extLst>
                    </a:blip>
                    <a:srcRect l="24944" r="25067"/>
                    <a:stretch/>
                  </pic:blipFill>
                  <pic:spPr bwMode="auto">
                    <a:xfrm>
                      <a:off x="0" y="0"/>
                      <a:ext cx="878400" cy="1166400"/>
                    </a:xfrm>
                    <a:prstGeom prst="rect">
                      <a:avLst/>
                    </a:prstGeom>
                    <a:ln>
                      <a:noFill/>
                    </a:ln>
                    <a:extLst>
                      <a:ext uri="{53640926-AAD7-44D8-BBD7-CCE9431645EC}">
                        <a14:shadowObscured xmlns:a14="http://schemas.microsoft.com/office/drawing/2010/main"/>
                      </a:ext>
                    </a:extLst>
                  </pic:spPr>
                </pic:pic>
              </a:graphicData>
            </a:graphic>
          </wp:inline>
        </w:drawing>
      </w:r>
    </w:p>
    <w:p w14:paraId="4DED5291" w14:textId="77777777" w:rsidR="00AD7FE0" w:rsidRPr="00E1592B" w:rsidRDefault="00AD7FE0" w:rsidP="00E1592B">
      <w:pPr>
        <w:pStyle w:val="ARbodyaftertable"/>
        <w:rPr>
          <w:rStyle w:val="Strong"/>
        </w:rPr>
      </w:pPr>
      <w:r w:rsidRPr="00E1592B">
        <w:rPr>
          <w:rStyle w:val="Strong"/>
        </w:rPr>
        <w:t>I acknowledge the Traditional Owners of the lands across Victoria and pay my respects to all First Peoples, including their Elders past and present.</w:t>
      </w:r>
    </w:p>
    <w:p w14:paraId="248576A5" w14:textId="77777777" w:rsidR="00AD7FE0" w:rsidRPr="00254E77" w:rsidRDefault="00AD7FE0" w:rsidP="00B77497">
      <w:pPr>
        <w:pStyle w:val="ARbody"/>
        <w:spacing w:after="80"/>
      </w:pPr>
      <w:r>
        <w:t xml:space="preserve">On behalf of the Department of Families, Fairness and Housing, I am proud to present the </w:t>
      </w:r>
      <w:r>
        <w:br/>
        <w:t>2023–24 annual report.</w:t>
      </w:r>
    </w:p>
    <w:p w14:paraId="2F2555FC" w14:textId="77777777" w:rsidR="00AD7FE0" w:rsidRDefault="00AD7FE0" w:rsidP="00B77497">
      <w:pPr>
        <w:pStyle w:val="ARbody"/>
        <w:spacing w:after="80"/>
      </w:pPr>
      <w:r>
        <w:t>Our department does critical work to improve the lives of</w:t>
      </w:r>
      <w:r w:rsidRPr="006F14AB">
        <w:t xml:space="preserve"> children, young people</w:t>
      </w:r>
      <w:r>
        <w:t xml:space="preserve">, </w:t>
      </w:r>
      <w:r w:rsidRPr="006F14AB">
        <w:t xml:space="preserve">families </w:t>
      </w:r>
      <w:r>
        <w:t>and people with disability. This work supports the safety and inclusion of all Victorians. In doing so, we serve some of the most at-risk people in our community by listening to and engaging with them.</w:t>
      </w:r>
    </w:p>
    <w:p w14:paraId="4660674F" w14:textId="5D196EC8" w:rsidR="00AD7FE0" w:rsidRPr="00C97148" w:rsidRDefault="00AD7FE0" w:rsidP="00B77497">
      <w:pPr>
        <w:pStyle w:val="ARbody"/>
        <w:spacing w:after="80"/>
      </w:pPr>
      <w:r>
        <w:t>We know that Victorian laws, policies, systems and structures have, over time, had negative impacts on Aboriginal Victorians. This has led to entrenched systemic and structural racism. We are committed to transforming our systems, services and policies to create lasting change and practical outcomes for First Peoples. Our dedicated Aboriginal Self-Determination and Outcomes Division continues to drive critical work to improve outcomes for Aboriginal Victorians.</w:t>
      </w:r>
    </w:p>
    <w:p w14:paraId="7B681577" w14:textId="2E2D3A80" w:rsidR="00AD7FE0" w:rsidRPr="00C97148" w:rsidRDefault="00AD7FE0" w:rsidP="00B77497">
      <w:pPr>
        <w:pStyle w:val="ARbody"/>
        <w:spacing w:after="80"/>
      </w:pPr>
      <w:r>
        <w:t>Embedding self-determination in all our work is key to this transformation – and we know that First Peoples are best placed to make decisions over matters that affect their lives. We also remain committed to supporting the Yoorrook Justice Commission</w:t>
      </w:r>
      <w:r w:rsidR="00711AE6">
        <w:t>’</w:t>
      </w:r>
      <w:r>
        <w:t>s work and the upcoming Treaty process.</w:t>
      </w:r>
    </w:p>
    <w:p w14:paraId="630C7947" w14:textId="792F035A" w:rsidR="00AD7FE0" w:rsidRPr="00061A39" w:rsidRDefault="00AD7FE0" w:rsidP="00B77497">
      <w:pPr>
        <w:pStyle w:val="ARbody"/>
        <w:spacing w:after="80"/>
        <w:rPr>
          <w:rFonts w:eastAsia="Arial"/>
          <w:color w:val="000000" w:themeColor="text1"/>
          <w:szCs w:val="20"/>
        </w:rPr>
      </w:pPr>
      <w:r>
        <w:t>As a department, we know we still have a lot of work ahead of us, and we are committed to being open about where we need to improve. At the same time, there are many examples in this report of how our dedicated workforce continues to improve the lives of Victorians. In 2023</w:t>
      </w:r>
      <w:r w:rsidR="006E2F2E">
        <w:t>–</w:t>
      </w:r>
      <w:r>
        <w:t>24, we have:</w:t>
      </w:r>
    </w:p>
    <w:p w14:paraId="70958D27" w14:textId="4E4AD3E7" w:rsidR="00AD7FE0" w:rsidRDefault="00CD7B1F" w:rsidP="00B77497">
      <w:pPr>
        <w:pStyle w:val="ARbullet1"/>
        <w:spacing w:line="240" w:lineRule="atLeast"/>
        <w:rPr>
          <w:rFonts w:eastAsia="Arial"/>
          <w:color w:val="000000" w:themeColor="text1"/>
          <w:szCs w:val="20"/>
        </w:rPr>
      </w:pPr>
      <w:r>
        <w:rPr>
          <w:rFonts w:eastAsia="Arial"/>
          <w:color w:val="000000" w:themeColor="text1"/>
          <w:sz w:val="19"/>
          <w:szCs w:val="19"/>
        </w:rPr>
        <w:t>d</w:t>
      </w:r>
      <w:r w:rsidRPr="63273B53">
        <w:rPr>
          <w:rFonts w:eastAsia="Arial"/>
          <w:color w:val="000000" w:themeColor="text1"/>
          <w:sz w:val="19"/>
          <w:szCs w:val="19"/>
        </w:rPr>
        <w:t>eliver</w:t>
      </w:r>
      <w:r>
        <w:rPr>
          <w:rFonts w:eastAsia="Arial"/>
          <w:color w:val="000000" w:themeColor="text1"/>
          <w:sz w:val="19"/>
          <w:szCs w:val="19"/>
        </w:rPr>
        <w:t>ed</w:t>
      </w:r>
      <w:r w:rsidRPr="63273B53">
        <w:rPr>
          <w:rFonts w:eastAsia="Arial"/>
          <w:color w:val="000000" w:themeColor="text1"/>
          <w:sz w:val="19"/>
          <w:szCs w:val="19"/>
        </w:rPr>
        <w:t xml:space="preserve"> </w:t>
      </w:r>
      <w:r w:rsidR="00AD7FE0" w:rsidRPr="63273B53">
        <w:rPr>
          <w:rFonts w:eastAsia="Arial"/>
          <w:color w:val="000000" w:themeColor="text1"/>
          <w:sz w:val="19"/>
          <w:szCs w:val="19"/>
        </w:rPr>
        <w:t xml:space="preserve">more homes for Victorians, as part of the landmark $5.3 billion Big Housing Build, with </w:t>
      </w:r>
      <w:r w:rsidR="00FE5799">
        <w:rPr>
          <w:rFonts w:eastAsia="Arial"/>
          <w:color w:val="000000" w:themeColor="text1"/>
          <w:sz w:val="19"/>
          <w:szCs w:val="19"/>
        </w:rPr>
        <w:t>more than</w:t>
      </w:r>
      <w:r w:rsidR="00AD7FE0" w:rsidRPr="63273B53">
        <w:rPr>
          <w:rFonts w:eastAsia="Arial"/>
          <w:color w:val="000000" w:themeColor="text1"/>
          <w:sz w:val="19"/>
          <w:szCs w:val="19"/>
        </w:rPr>
        <w:t xml:space="preserve"> </w:t>
      </w:r>
      <w:r w:rsidR="00AD7FE0" w:rsidRPr="63273B53">
        <w:rPr>
          <w:rFonts w:eastAsia="Arial"/>
          <w:color w:val="000000" w:themeColor="text1"/>
          <w:szCs w:val="20"/>
        </w:rPr>
        <w:t>9,600 homes completed or underway, representing 80</w:t>
      </w:r>
      <w:r w:rsidR="00AD7FE0">
        <w:rPr>
          <w:rFonts w:eastAsia="Arial"/>
          <w:color w:val="000000" w:themeColor="text1"/>
          <w:szCs w:val="20"/>
        </w:rPr>
        <w:t>%</w:t>
      </w:r>
      <w:r w:rsidR="008B7236">
        <w:rPr>
          <w:rFonts w:eastAsia="Arial"/>
          <w:color w:val="000000" w:themeColor="text1"/>
          <w:szCs w:val="20"/>
        </w:rPr>
        <w:t xml:space="preserve"> </w:t>
      </w:r>
      <w:r w:rsidR="00AD7FE0" w:rsidRPr="63273B53">
        <w:rPr>
          <w:rFonts w:eastAsia="Arial"/>
          <w:color w:val="000000" w:themeColor="text1"/>
          <w:szCs w:val="20"/>
        </w:rPr>
        <w:t>of the target for 12,000 new social and affordable homes</w:t>
      </w:r>
      <w:r w:rsidR="00783E1C">
        <w:rPr>
          <w:rFonts w:eastAsia="Arial"/>
          <w:color w:val="000000" w:themeColor="text1"/>
          <w:szCs w:val="20"/>
        </w:rPr>
        <w:t xml:space="preserve"> as of 30 June 2024</w:t>
      </w:r>
    </w:p>
    <w:p w14:paraId="680D5611" w14:textId="76B2F067" w:rsidR="00FC0370" w:rsidRDefault="00CD7B1F" w:rsidP="00B77497">
      <w:pPr>
        <w:pStyle w:val="ARbullet1"/>
        <w:spacing w:line="240" w:lineRule="atLeast"/>
        <w:rPr>
          <w:rFonts w:eastAsia="Arial"/>
          <w:color w:val="000000" w:themeColor="text1"/>
          <w:szCs w:val="20"/>
        </w:rPr>
      </w:pPr>
      <w:r>
        <w:rPr>
          <w:rFonts w:eastAsia="Arial"/>
          <w:color w:val="000000" w:themeColor="text1"/>
          <w:szCs w:val="20"/>
        </w:rPr>
        <w:t>i</w:t>
      </w:r>
      <w:r w:rsidRPr="00AA126F">
        <w:rPr>
          <w:rFonts w:eastAsia="Arial"/>
          <w:color w:val="000000" w:themeColor="text1"/>
          <w:szCs w:val="20"/>
        </w:rPr>
        <w:t xml:space="preserve">ncreased </w:t>
      </w:r>
      <w:r w:rsidR="00FC0370" w:rsidRPr="00AA126F">
        <w:rPr>
          <w:rFonts w:eastAsia="Arial"/>
          <w:color w:val="000000" w:themeColor="text1"/>
          <w:szCs w:val="20"/>
        </w:rPr>
        <w:t xml:space="preserve">investment to address homelessness among First Peoples, with the establishment of </w:t>
      </w:r>
      <w:r w:rsidR="007F22AE" w:rsidRPr="00AA126F">
        <w:rPr>
          <w:rFonts w:eastAsia="Arial"/>
          <w:color w:val="000000" w:themeColor="text1"/>
          <w:szCs w:val="20"/>
        </w:rPr>
        <w:t>2</w:t>
      </w:r>
      <w:r w:rsidR="007F22AE">
        <w:rPr>
          <w:rFonts w:eastAsia="Arial"/>
          <w:color w:val="000000" w:themeColor="text1"/>
          <w:szCs w:val="20"/>
        </w:rPr>
        <w:t> </w:t>
      </w:r>
      <w:r w:rsidR="00FC0370" w:rsidRPr="00AA126F">
        <w:rPr>
          <w:rFonts w:eastAsia="Arial"/>
          <w:color w:val="000000" w:themeColor="text1"/>
          <w:szCs w:val="20"/>
        </w:rPr>
        <w:t xml:space="preserve">Aboriginal-specific entry points and multidisciplinary teams by Ngwala Wilumbong and Wathaurong Aboriginal Co-operative </w:t>
      </w:r>
    </w:p>
    <w:p w14:paraId="345514BE" w14:textId="49BD9235" w:rsidR="00AD7FE0" w:rsidRDefault="00CD7B1F" w:rsidP="00B77497">
      <w:pPr>
        <w:pStyle w:val="ARbullet1"/>
        <w:spacing w:line="240" w:lineRule="atLeast"/>
        <w:rPr>
          <w:rFonts w:eastAsia="Arial"/>
          <w:color w:val="000000" w:themeColor="text1"/>
          <w:sz w:val="19"/>
          <w:szCs w:val="19"/>
        </w:rPr>
      </w:pPr>
      <w:r>
        <w:rPr>
          <w:szCs w:val="20"/>
        </w:rPr>
        <w:t>i</w:t>
      </w:r>
      <w:r w:rsidRPr="003C6301">
        <w:rPr>
          <w:szCs w:val="20"/>
        </w:rPr>
        <w:t xml:space="preserve">mproved </w:t>
      </w:r>
      <w:r w:rsidR="00AD7FE0" w:rsidRPr="003C6301">
        <w:rPr>
          <w:szCs w:val="20"/>
        </w:rPr>
        <w:t>job readiness</w:t>
      </w:r>
      <w:r w:rsidR="00AD7FE0" w:rsidRPr="63273B53">
        <w:t xml:space="preserve"> and workforce capability in the child and family services sector through the</w:t>
      </w:r>
      <w:r w:rsidR="00AD7FE0">
        <w:t xml:space="preserve"> </w:t>
      </w:r>
      <w:r w:rsidR="00AD7FE0" w:rsidRPr="001048C7">
        <w:rPr>
          <w:rStyle w:val="Emphasis"/>
        </w:rPr>
        <w:t xml:space="preserve">Switch to Social Work </w:t>
      </w:r>
      <w:r w:rsidR="00AD7FE0" w:rsidRPr="63273B53">
        <w:t>program, in partnership with the Centre for Excellence in Child and Family Welfare and La Trobe University</w:t>
      </w:r>
      <w:r w:rsidR="00AD7FE0">
        <w:t xml:space="preserve"> </w:t>
      </w:r>
    </w:p>
    <w:p w14:paraId="3F09955D" w14:textId="28460175" w:rsidR="00AD7FE0" w:rsidRDefault="00CD7B1F" w:rsidP="00B77497">
      <w:pPr>
        <w:pStyle w:val="ARbullet1"/>
        <w:spacing w:line="240" w:lineRule="atLeast"/>
        <w:rPr>
          <w:rFonts w:eastAsia="Arial"/>
          <w:color w:val="000000" w:themeColor="text1"/>
          <w:lang w:val="en-US"/>
        </w:rPr>
      </w:pPr>
      <w:r>
        <w:rPr>
          <w:rFonts w:eastAsia="Arial"/>
          <w:color w:val="000000" w:themeColor="text1"/>
        </w:rPr>
        <w:t>p</w:t>
      </w:r>
      <w:r w:rsidRPr="39AA8CDD">
        <w:rPr>
          <w:rFonts w:eastAsia="Arial"/>
          <w:color w:val="000000" w:themeColor="text1"/>
        </w:rPr>
        <w:t>repar</w:t>
      </w:r>
      <w:r>
        <w:rPr>
          <w:rFonts w:eastAsia="Arial"/>
          <w:color w:val="000000" w:themeColor="text1"/>
        </w:rPr>
        <w:t>ed</w:t>
      </w:r>
      <w:r w:rsidRPr="39AA8CDD">
        <w:rPr>
          <w:rFonts w:eastAsia="Arial"/>
          <w:color w:val="000000" w:themeColor="text1"/>
        </w:rPr>
        <w:t xml:space="preserve"> </w:t>
      </w:r>
      <w:r w:rsidR="00AD7FE0" w:rsidRPr="39AA8CDD">
        <w:rPr>
          <w:rFonts w:eastAsia="Arial"/>
          <w:color w:val="000000" w:themeColor="text1"/>
        </w:rPr>
        <w:t xml:space="preserve">for the implementation of </w:t>
      </w:r>
      <w:r w:rsidR="00696098" w:rsidRPr="004B1745">
        <w:rPr>
          <w:rStyle w:val="Emphasis"/>
          <w:i w:val="0"/>
          <w:iCs w:val="0"/>
        </w:rPr>
        <w:t>t</w:t>
      </w:r>
      <w:r w:rsidR="00AD7FE0" w:rsidRPr="004B1745">
        <w:rPr>
          <w:rStyle w:val="Emphasis"/>
          <w:i w:val="0"/>
          <w:iCs w:val="0"/>
        </w:rPr>
        <w:t>he</w:t>
      </w:r>
      <w:r w:rsidR="00AD7FE0" w:rsidRPr="001048C7">
        <w:rPr>
          <w:rStyle w:val="Emphasis"/>
        </w:rPr>
        <w:t xml:space="preserve"> Children and Health Legislation Amendment (Statement of Recognition, Aboriginal Self-determination and Other Matters) Act 2023, </w:t>
      </w:r>
      <w:r w:rsidR="00AD7FE0" w:rsidRPr="39AA8CDD">
        <w:rPr>
          <w:rFonts w:eastAsia="Arial"/>
          <w:color w:val="000000" w:themeColor="text1"/>
        </w:rPr>
        <w:t>recognising</w:t>
      </w:r>
      <w:r w:rsidR="00AD7FE0" w:rsidRPr="39AA8CDD">
        <w:rPr>
          <w:rFonts w:eastAsia="Arial"/>
          <w:color w:val="000000" w:themeColor="text1"/>
          <w:lang w:val="en-US"/>
        </w:rPr>
        <w:t xml:space="preserve"> that Aboriginal people are best placed to make decisions and deliver services </w:t>
      </w:r>
      <w:r w:rsidR="007F22AE">
        <w:rPr>
          <w:rFonts w:eastAsia="Arial"/>
          <w:color w:val="000000" w:themeColor="text1"/>
          <w:lang w:val="en-US"/>
        </w:rPr>
        <w:t>that</w:t>
      </w:r>
      <w:r w:rsidR="007F22AE" w:rsidRPr="39AA8CDD">
        <w:rPr>
          <w:rFonts w:eastAsia="Arial"/>
          <w:color w:val="000000" w:themeColor="text1"/>
          <w:lang w:val="en-US"/>
        </w:rPr>
        <w:t xml:space="preserve"> </w:t>
      </w:r>
      <w:r w:rsidR="00AD7FE0" w:rsidRPr="39AA8CDD">
        <w:rPr>
          <w:rFonts w:eastAsia="Arial"/>
          <w:color w:val="000000" w:themeColor="text1"/>
          <w:lang w:val="en-US"/>
        </w:rPr>
        <w:t xml:space="preserve">protect the best interests of Aboriginal children, through the Statement of Recognition </w:t>
      </w:r>
    </w:p>
    <w:p w14:paraId="6DB3F08B" w14:textId="062E1421" w:rsidR="00AD7FE0" w:rsidRDefault="00CD7B1F" w:rsidP="00B77497">
      <w:pPr>
        <w:pStyle w:val="ARbullet1"/>
        <w:spacing w:line="240" w:lineRule="atLeast"/>
        <w:rPr>
          <w:sz w:val="19"/>
          <w:szCs w:val="19"/>
        </w:rPr>
      </w:pPr>
      <w:r>
        <w:t>c</w:t>
      </w:r>
      <w:r w:rsidRPr="001048C7">
        <w:t>ommenced</w:t>
      </w:r>
      <w:r w:rsidRPr="63273B53">
        <w:t xml:space="preserve"> </w:t>
      </w:r>
      <w:r w:rsidR="00AD7FE0" w:rsidRPr="63273B53">
        <w:t xml:space="preserve">implementation of the recommendations from </w:t>
      </w:r>
      <w:r w:rsidR="00AD7FE0" w:rsidRPr="001048C7">
        <w:rPr>
          <w:rStyle w:val="Emphasis"/>
        </w:rPr>
        <w:t xml:space="preserve">Yoorrook for </w:t>
      </w:r>
      <w:r w:rsidR="007F22AE">
        <w:rPr>
          <w:rStyle w:val="Emphasis"/>
        </w:rPr>
        <w:t>j</w:t>
      </w:r>
      <w:r w:rsidR="007F22AE" w:rsidRPr="001048C7">
        <w:rPr>
          <w:rStyle w:val="Emphasis"/>
        </w:rPr>
        <w:t>ustice</w:t>
      </w:r>
      <w:r w:rsidR="00AD7FE0" w:rsidRPr="001048C7">
        <w:rPr>
          <w:rStyle w:val="Emphasis"/>
        </w:rPr>
        <w:t xml:space="preserve">: </w:t>
      </w:r>
      <w:r w:rsidR="007F22AE">
        <w:rPr>
          <w:rStyle w:val="Emphasis"/>
        </w:rPr>
        <w:t>r</w:t>
      </w:r>
      <w:r w:rsidR="00AD7FE0" w:rsidRPr="001048C7">
        <w:rPr>
          <w:rStyle w:val="Emphasis"/>
        </w:rPr>
        <w:t>eport into Victoria</w:t>
      </w:r>
      <w:r w:rsidR="00711AE6">
        <w:rPr>
          <w:rStyle w:val="Emphasis"/>
        </w:rPr>
        <w:t>’</w:t>
      </w:r>
      <w:r w:rsidR="00AD7FE0" w:rsidRPr="001048C7">
        <w:rPr>
          <w:rStyle w:val="Emphasis"/>
        </w:rPr>
        <w:t xml:space="preserve">s Child </w:t>
      </w:r>
      <w:r w:rsidR="007F22AE">
        <w:rPr>
          <w:rStyle w:val="Emphasis"/>
        </w:rPr>
        <w:t>p</w:t>
      </w:r>
      <w:r w:rsidR="007F22AE" w:rsidRPr="001048C7">
        <w:rPr>
          <w:rStyle w:val="Emphasis"/>
        </w:rPr>
        <w:t xml:space="preserve">rotection </w:t>
      </w:r>
      <w:r w:rsidR="00AD7FE0" w:rsidRPr="001048C7">
        <w:rPr>
          <w:rStyle w:val="Emphasis"/>
        </w:rPr>
        <w:t xml:space="preserve">and </w:t>
      </w:r>
      <w:r w:rsidR="007F22AE">
        <w:rPr>
          <w:rStyle w:val="Emphasis"/>
        </w:rPr>
        <w:t>c</w:t>
      </w:r>
      <w:r w:rsidR="00AD7FE0" w:rsidRPr="001048C7">
        <w:rPr>
          <w:rStyle w:val="Emphasis"/>
        </w:rPr>
        <w:t xml:space="preserve">riminal </w:t>
      </w:r>
      <w:r w:rsidR="007F22AE">
        <w:rPr>
          <w:rStyle w:val="Emphasis"/>
        </w:rPr>
        <w:t>j</w:t>
      </w:r>
      <w:r w:rsidR="00AD7FE0" w:rsidRPr="001048C7">
        <w:rPr>
          <w:rStyle w:val="Emphasis"/>
        </w:rPr>
        <w:t xml:space="preserve">ustice </w:t>
      </w:r>
      <w:r w:rsidR="007F22AE">
        <w:rPr>
          <w:rStyle w:val="Emphasis"/>
        </w:rPr>
        <w:t>s</w:t>
      </w:r>
      <w:r w:rsidR="007F22AE" w:rsidRPr="001048C7">
        <w:rPr>
          <w:rStyle w:val="Emphasis"/>
        </w:rPr>
        <w:t xml:space="preserve">ystems </w:t>
      </w:r>
      <w:r w:rsidR="00AD7FE0" w:rsidRPr="00233486">
        <w:rPr>
          <w:rStyle w:val="Emphasis"/>
          <w:i w:val="0"/>
          <w:iCs w:val="0"/>
        </w:rPr>
        <w:t>and</w:t>
      </w:r>
      <w:r w:rsidR="00AD7FE0" w:rsidRPr="63273B53">
        <w:rPr>
          <w:rFonts w:eastAsia="Arial"/>
          <w:color w:val="000000" w:themeColor="text1"/>
          <w:szCs w:val="20"/>
        </w:rPr>
        <w:t xml:space="preserve"> educating staff at all levels of the department about Treaty and the Treaty process</w:t>
      </w:r>
    </w:p>
    <w:p w14:paraId="2B1FE395" w14:textId="30C6F7ED" w:rsidR="00AD7FE0" w:rsidRDefault="00CD7B1F" w:rsidP="00B77497">
      <w:pPr>
        <w:pStyle w:val="ARbullet1"/>
        <w:spacing w:line="240" w:lineRule="atLeast"/>
      </w:pPr>
      <w:r>
        <w:t xml:space="preserve">supported </w:t>
      </w:r>
      <w:r w:rsidR="00096423">
        <w:t>young people in residential care to access therapeutic supports. As of 1 January 2024, 75% of non-therapeutic residential care homes have received increased funding to provide access to therapeutic supports, to support young people to recover from abuse and trauma and to develop while in care</w:t>
      </w:r>
      <w:r w:rsidR="00B04C06">
        <w:t xml:space="preserve"> </w:t>
      </w:r>
    </w:p>
    <w:p w14:paraId="016A91F1" w14:textId="0C4A2812" w:rsidR="00AD7FE0" w:rsidRDefault="00CD7B1F" w:rsidP="00B77497">
      <w:pPr>
        <w:pStyle w:val="ARbullet1"/>
        <w:spacing w:line="240" w:lineRule="atLeast"/>
        <w:rPr>
          <w:rFonts w:eastAsia="Arial"/>
          <w:color w:val="000000" w:themeColor="text1"/>
          <w:szCs w:val="20"/>
        </w:rPr>
      </w:pPr>
      <w:r>
        <w:t>c</w:t>
      </w:r>
      <w:r w:rsidRPr="0056517B">
        <w:t>ontributed</w:t>
      </w:r>
      <w:r w:rsidRPr="63273B53">
        <w:rPr>
          <w:rFonts w:eastAsia="Arial"/>
          <w:color w:val="000000" w:themeColor="text1"/>
          <w:szCs w:val="20"/>
        </w:rPr>
        <w:t xml:space="preserve"> </w:t>
      </w:r>
      <w:r w:rsidR="00AD7FE0" w:rsidRPr="63273B53">
        <w:rPr>
          <w:rFonts w:eastAsia="Arial"/>
          <w:color w:val="000000" w:themeColor="text1"/>
          <w:szCs w:val="20"/>
        </w:rPr>
        <w:t xml:space="preserve">to the </w:t>
      </w:r>
      <w:r w:rsidR="00AD7FE0">
        <w:rPr>
          <w:rFonts w:eastAsia="Arial"/>
          <w:color w:val="000000" w:themeColor="text1"/>
          <w:szCs w:val="20"/>
        </w:rPr>
        <w:t>g</w:t>
      </w:r>
      <w:r w:rsidR="00AD7FE0" w:rsidRPr="63273B53">
        <w:rPr>
          <w:rFonts w:eastAsia="Arial"/>
          <w:color w:val="000000" w:themeColor="text1"/>
          <w:szCs w:val="20"/>
        </w:rPr>
        <w:t>overnment</w:t>
      </w:r>
      <w:r w:rsidR="00711AE6">
        <w:rPr>
          <w:rFonts w:eastAsia="Arial"/>
          <w:color w:val="000000" w:themeColor="text1"/>
          <w:szCs w:val="20"/>
        </w:rPr>
        <w:t>’</w:t>
      </w:r>
      <w:r w:rsidR="00AD7FE0" w:rsidRPr="63273B53">
        <w:rPr>
          <w:rFonts w:eastAsia="Arial"/>
          <w:color w:val="000000" w:themeColor="text1"/>
          <w:szCs w:val="20"/>
        </w:rPr>
        <w:t>s r</w:t>
      </w:r>
      <w:r w:rsidR="00AD7FE0" w:rsidRPr="00F923BC">
        <w:rPr>
          <w:rFonts w:eastAsia="Arial"/>
          <w:color w:val="000000" w:themeColor="text1"/>
          <w:szCs w:val="20"/>
        </w:rPr>
        <w:t xml:space="preserve">esponse to the </w:t>
      </w:r>
      <w:r w:rsidR="00AD7FE0" w:rsidRPr="00233486">
        <w:rPr>
          <w:rStyle w:val="Emphasis"/>
          <w:i w:val="0"/>
          <w:iCs w:val="0"/>
        </w:rPr>
        <w:t>Royal Commission into Violence, Abuse, Neglect and Exploitation of People with Disability (Disability Royal Commission</w:t>
      </w:r>
      <w:r w:rsidR="00AD7FE0" w:rsidRPr="001048C7">
        <w:rPr>
          <w:rStyle w:val="Emphasis"/>
        </w:rPr>
        <w:t>)</w:t>
      </w:r>
      <w:r w:rsidR="00AD7FE0" w:rsidRPr="00F923BC">
        <w:rPr>
          <w:rFonts w:eastAsia="Arial"/>
          <w:color w:val="000000" w:themeColor="text1"/>
          <w:szCs w:val="20"/>
        </w:rPr>
        <w:t xml:space="preserve">. </w:t>
      </w:r>
      <w:r w:rsidR="00AD7FE0" w:rsidRPr="63273B53">
        <w:rPr>
          <w:rFonts w:eastAsia="Arial"/>
          <w:color w:val="000000" w:themeColor="text1"/>
          <w:szCs w:val="20"/>
        </w:rPr>
        <w:t>As the lead department responsible for coordinating the Victorian Government response, working with Victorian Government departments and</w:t>
      </w:r>
      <w:r w:rsidR="005E5B81">
        <w:rPr>
          <w:rFonts w:eastAsia="Arial"/>
          <w:color w:val="000000" w:themeColor="text1"/>
          <w:szCs w:val="20"/>
        </w:rPr>
        <w:t> </w:t>
      </w:r>
      <w:r w:rsidR="00AD7FE0" w:rsidRPr="63273B53">
        <w:rPr>
          <w:rFonts w:eastAsia="Arial"/>
          <w:color w:val="000000" w:themeColor="text1"/>
          <w:szCs w:val="20"/>
        </w:rPr>
        <w:t>other jurisdictions to develop positions and responses to the report</w:t>
      </w:r>
      <w:r w:rsidR="00711AE6">
        <w:rPr>
          <w:rFonts w:eastAsia="Arial"/>
          <w:color w:val="000000" w:themeColor="text1"/>
          <w:szCs w:val="20"/>
        </w:rPr>
        <w:t>’</w:t>
      </w:r>
      <w:r w:rsidR="00AD7FE0" w:rsidRPr="63273B53">
        <w:rPr>
          <w:rFonts w:eastAsia="Arial"/>
          <w:color w:val="000000" w:themeColor="text1"/>
          <w:szCs w:val="20"/>
        </w:rPr>
        <w:t>s 222 recommendations</w:t>
      </w:r>
    </w:p>
    <w:p w14:paraId="706D709D" w14:textId="766862AD" w:rsidR="00AD7FE0" w:rsidRDefault="00CD7B1F" w:rsidP="00B77497">
      <w:pPr>
        <w:pStyle w:val="ARbullet1"/>
        <w:spacing w:line="240" w:lineRule="atLeast"/>
      </w:pPr>
      <w:r>
        <w:t>i</w:t>
      </w:r>
      <w:r w:rsidRPr="0056517B">
        <w:t>mplemented</w:t>
      </w:r>
      <w:r w:rsidRPr="63273B53">
        <w:t xml:space="preserve"> </w:t>
      </w:r>
      <w:r w:rsidR="00AD7FE0" w:rsidRPr="63273B53">
        <w:t xml:space="preserve">the </w:t>
      </w:r>
      <w:r w:rsidR="00AD7FE0" w:rsidRPr="001048C7">
        <w:rPr>
          <w:rStyle w:val="Emphasis"/>
        </w:rPr>
        <w:t xml:space="preserve">Disability and Social Services Regulation Amendment Act 2023 </w:t>
      </w:r>
      <w:r w:rsidR="00AD7FE0" w:rsidRPr="63273B53">
        <w:t>(the Act) to strengthen protections, safeguards and residential rights for people with disability in Victoria</w:t>
      </w:r>
    </w:p>
    <w:p w14:paraId="31861B5E" w14:textId="1D9E6B54" w:rsidR="00AD7FE0" w:rsidRPr="001048C7" w:rsidRDefault="00CD7B1F" w:rsidP="00B77497">
      <w:pPr>
        <w:pStyle w:val="ARbullet1"/>
        <w:spacing w:line="240" w:lineRule="atLeast"/>
        <w:rPr>
          <w:rStyle w:val="Emphasis"/>
        </w:rPr>
      </w:pPr>
      <w:r>
        <w:rPr>
          <w:rFonts w:eastAsia="Arial"/>
          <w:color w:val="000000" w:themeColor="text1"/>
        </w:rPr>
        <w:t>i</w:t>
      </w:r>
      <w:r w:rsidR="00AD7FE0" w:rsidRPr="4F38F6D7">
        <w:rPr>
          <w:rFonts w:eastAsia="Arial"/>
          <w:color w:val="000000" w:themeColor="text1"/>
        </w:rPr>
        <w:t xml:space="preserve">nvested in public autism assessments and Disability Liaison Officers to improve access to essential health services for people with disability, under the </w:t>
      </w:r>
      <w:r w:rsidR="00AD7FE0" w:rsidRPr="001048C7">
        <w:rPr>
          <w:rStyle w:val="Emphasis"/>
        </w:rPr>
        <w:t>Inclusive Victoria: state disability plan 2022–2026</w:t>
      </w:r>
    </w:p>
    <w:p w14:paraId="00D4AC8F" w14:textId="42F20368" w:rsidR="00AD7FE0" w:rsidRDefault="00CD7B1F" w:rsidP="00B77497">
      <w:pPr>
        <w:pStyle w:val="ARbullet1"/>
        <w:spacing w:line="240" w:lineRule="atLeast"/>
      </w:pPr>
      <w:r>
        <w:t xml:space="preserve">continued </w:t>
      </w:r>
      <w:r w:rsidR="00AD7FE0">
        <w:t xml:space="preserve">to deliver </w:t>
      </w:r>
      <w:r w:rsidR="00AD7FE0" w:rsidRPr="001048C7">
        <w:rPr>
          <w:rStyle w:val="Emphasis"/>
        </w:rPr>
        <w:t>Pride in our future: Victoria</w:t>
      </w:r>
      <w:r w:rsidR="00711AE6">
        <w:rPr>
          <w:rStyle w:val="Emphasis"/>
        </w:rPr>
        <w:t>’</w:t>
      </w:r>
      <w:r w:rsidR="00AD7FE0" w:rsidRPr="001048C7">
        <w:rPr>
          <w:rStyle w:val="Emphasis"/>
        </w:rPr>
        <w:t>s LGBTIQA+ strategy 2022–32</w:t>
      </w:r>
      <w:r w:rsidR="00AD7FE0">
        <w:t>,</w:t>
      </w:r>
      <w:r w:rsidR="003406D9">
        <w:t xml:space="preserve"> </w:t>
      </w:r>
      <w:r w:rsidR="00AD7FE0">
        <w:t>and providing grants for</w:t>
      </w:r>
      <w:r w:rsidR="005E5B81">
        <w:t> </w:t>
      </w:r>
      <w:r w:rsidR="00AD7FE0">
        <w:t xml:space="preserve">58 projects through its </w:t>
      </w:r>
      <w:r w:rsidR="009D641C">
        <w:t>3</w:t>
      </w:r>
      <w:r w:rsidR="00AD7FE0">
        <w:t xml:space="preserve"> competitive grants programs: the Pride Events and Festivals Fund, the LGBTIQA+ Organisational Development program, and the new LGBTIQA+ Sector Strengthening program</w:t>
      </w:r>
    </w:p>
    <w:p w14:paraId="7C083C75" w14:textId="597985B8" w:rsidR="003406D9" w:rsidRDefault="00CD7B1F" w:rsidP="00B77497">
      <w:pPr>
        <w:pStyle w:val="ARbullet1"/>
        <w:spacing w:line="240" w:lineRule="atLeast"/>
      </w:pPr>
      <w:r>
        <w:t xml:space="preserve">received </w:t>
      </w:r>
      <w:r w:rsidR="003406D9">
        <w:t xml:space="preserve">over 168,000 referrals to The Orange Door and provided a response to more than 206,000 people, including over </w:t>
      </w:r>
      <w:r w:rsidR="008D72AC">
        <w:t>116,000 adults and 90,000 children and young people</w:t>
      </w:r>
    </w:p>
    <w:p w14:paraId="79ECA165" w14:textId="260BD4FD" w:rsidR="00AD7FE0" w:rsidRPr="0056517B" w:rsidRDefault="00CD7B1F" w:rsidP="00B77497">
      <w:pPr>
        <w:pStyle w:val="ARbullet1"/>
        <w:spacing w:line="240" w:lineRule="atLeast"/>
      </w:pPr>
      <w:r>
        <w:t>t</w:t>
      </w:r>
      <w:r w:rsidRPr="0056517B">
        <w:t xml:space="preserve">rained </w:t>
      </w:r>
      <w:r w:rsidR="00AD7FE0" w:rsidRPr="0056517B">
        <w:t>more than 16,000 professionals to use the Family Violence Multi-Agency Risk Assessment and</w:t>
      </w:r>
      <w:r w:rsidR="005E5B81">
        <w:t> </w:t>
      </w:r>
      <w:r w:rsidR="00AD7FE0" w:rsidRPr="0056517B">
        <w:t>Management (MARAM) Framework and the Family Violence Information Sharing (FVIS) scheme to</w:t>
      </w:r>
      <w:r w:rsidR="005E5B81">
        <w:t> </w:t>
      </w:r>
      <w:r w:rsidR="00AD7FE0" w:rsidRPr="0056517B">
        <w:t>strengthen information sharing and family violence risk assessments</w:t>
      </w:r>
    </w:p>
    <w:p w14:paraId="05F8896C" w14:textId="2EF6AC07" w:rsidR="00AD7FE0" w:rsidRPr="0056517B" w:rsidRDefault="00CD7B1F" w:rsidP="00B77497">
      <w:pPr>
        <w:pStyle w:val="ARbullet1"/>
        <w:spacing w:line="240" w:lineRule="atLeast"/>
      </w:pPr>
      <w:r>
        <w:t>s</w:t>
      </w:r>
      <w:r w:rsidRPr="0056517B">
        <w:t xml:space="preserve">upported </w:t>
      </w:r>
      <w:r w:rsidR="00AD7FE0" w:rsidRPr="0056517B">
        <w:t xml:space="preserve">1,040 children and young people and their families to reduce violence in the home and increase the safety of impacted family members, through the </w:t>
      </w:r>
      <w:r w:rsidR="00AD7FE0" w:rsidRPr="00233486">
        <w:rPr>
          <w:rStyle w:val="Emphasis"/>
          <w:i w:val="0"/>
          <w:iCs w:val="0"/>
        </w:rPr>
        <w:t>Adolescent Family Violence in the Home</w:t>
      </w:r>
      <w:r w:rsidR="00AD7FE0" w:rsidRPr="00233486">
        <w:rPr>
          <w:i/>
        </w:rPr>
        <w:t> </w:t>
      </w:r>
      <w:r w:rsidR="00AD7FE0" w:rsidRPr="0056517B">
        <w:t>program</w:t>
      </w:r>
    </w:p>
    <w:p w14:paraId="2ABC9847" w14:textId="4D8B1714" w:rsidR="00AD7FE0" w:rsidRPr="0056517B" w:rsidRDefault="00CD7B1F" w:rsidP="00B77497">
      <w:pPr>
        <w:pStyle w:val="ARbullet1"/>
        <w:spacing w:line="240" w:lineRule="atLeast"/>
      </w:pPr>
      <w:r>
        <w:t>p</w:t>
      </w:r>
      <w:r w:rsidRPr="0056517B">
        <w:t xml:space="preserve">rovided </w:t>
      </w:r>
      <w:r w:rsidR="00AD7FE0" w:rsidRPr="0056517B">
        <w:t>54 community organisations with funding to support local community and volunteer-led organisations, helping address short</w:t>
      </w:r>
      <w:r w:rsidR="00D850C9">
        <w:t>-</w:t>
      </w:r>
      <w:r w:rsidR="00AD7FE0" w:rsidRPr="0056517B">
        <w:t xml:space="preserve">term needs following recent emergencies as well as higher living costs, through the </w:t>
      </w:r>
      <w:r w:rsidR="00AD7FE0" w:rsidRPr="00233486">
        <w:rPr>
          <w:rStyle w:val="Emphasis"/>
          <w:i w:val="0"/>
          <w:iCs w:val="0"/>
        </w:rPr>
        <w:t>Community Participation and Support</w:t>
      </w:r>
      <w:r w:rsidR="00AD7FE0" w:rsidRPr="0056517B">
        <w:rPr>
          <w:rStyle w:val="Emphasis"/>
        </w:rPr>
        <w:t xml:space="preserve"> </w:t>
      </w:r>
      <w:r w:rsidR="00AD7FE0" w:rsidRPr="0056517B">
        <w:t>initiative</w:t>
      </w:r>
    </w:p>
    <w:p w14:paraId="202A9D6F" w14:textId="6C013753" w:rsidR="00AD7FE0" w:rsidRDefault="00CD7B1F" w:rsidP="00B77497">
      <w:pPr>
        <w:pStyle w:val="ARbullet1"/>
        <w:spacing w:line="240" w:lineRule="atLeast"/>
      </w:pPr>
      <w:r>
        <w:t>p</w:t>
      </w:r>
      <w:r w:rsidRPr="0056517B">
        <w:t xml:space="preserve">rovided </w:t>
      </w:r>
      <w:r w:rsidR="00AD7FE0" w:rsidRPr="0056517B">
        <w:t>hardship payments after the December 2023</w:t>
      </w:r>
      <w:r w:rsidR="006E2F2E">
        <w:t>–</w:t>
      </w:r>
      <w:r w:rsidR="00AD7FE0" w:rsidRPr="0056517B">
        <w:t>January 2024 floods and storms and the</w:t>
      </w:r>
      <w:r w:rsidR="005E5B81">
        <w:t> </w:t>
      </w:r>
      <w:r w:rsidR="00AD7FE0" w:rsidRPr="0056517B">
        <w:t>February</w:t>
      </w:r>
      <w:r w:rsidR="005E5B81">
        <w:t> </w:t>
      </w:r>
      <w:r w:rsidR="00AD7FE0" w:rsidRPr="0056517B">
        <w:t>2024 bushfires and storms</w:t>
      </w:r>
    </w:p>
    <w:p w14:paraId="1DE6634C" w14:textId="05B45BEC" w:rsidR="00AD7FE0" w:rsidRPr="002357FF" w:rsidRDefault="00CD7B1F" w:rsidP="00B77497">
      <w:pPr>
        <w:pStyle w:val="ARbullet1"/>
        <w:spacing w:line="240" w:lineRule="atLeast"/>
      </w:pPr>
      <w:r>
        <w:t>l</w:t>
      </w:r>
      <w:r w:rsidRPr="002357FF">
        <w:t xml:space="preserve">aunched </w:t>
      </w:r>
      <w:r w:rsidR="002D3995">
        <w:t>the Victorian Veterans Card</w:t>
      </w:r>
      <w:r w:rsidR="00523F13">
        <w:t xml:space="preserve"> – an </w:t>
      </w:r>
      <w:r w:rsidR="00AD7FE0" w:rsidRPr="002357FF">
        <w:t>Australia</w:t>
      </w:r>
      <w:r w:rsidR="00523F13">
        <w:t>n</w:t>
      </w:r>
      <w:r w:rsidR="00AD7FE0" w:rsidRPr="002357FF">
        <w:t xml:space="preserve"> first</w:t>
      </w:r>
    </w:p>
    <w:p w14:paraId="2A7C2863" w14:textId="73372E72" w:rsidR="00AD7FE0" w:rsidRPr="002357FF" w:rsidRDefault="00CD7B1F" w:rsidP="00B77497">
      <w:pPr>
        <w:pStyle w:val="ARbullet1"/>
        <w:spacing w:line="240" w:lineRule="atLeast"/>
      </w:pPr>
      <w:r>
        <w:t>d</w:t>
      </w:r>
      <w:r w:rsidRPr="002357FF">
        <w:t xml:space="preserve">elivered </w:t>
      </w:r>
      <w:r w:rsidR="00AD7FE0" w:rsidRPr="002357FF">
        <w:t>initiatives engaging and boosting opportunities for Victorian young people, including through Community Support Groups, Le Mana Pasifika Project, Living Learning program and expanding local youth infrastructure such as youth hubs and Scout halls</w:t>
      </w:r>
    </w:p>
    <w:p w14:paraId="78262644" w14:textId="26FDB0B8" w:rsidR="00AD7FE0" w:rsidRPr="002357FF" w:rsidRDefault="00CD7B1F" w:rsidP="00B77497">
      <w:pPr>
        <w:pStyle w:val="ARbullet1"/>
        <w:spacing w:line="240" w:lineRule="atLeast"/>
      </w:pPr>
      <w:r>
        <w:t>d</w:t>
      </w:r>
      <w:r w:rsidRPr="002357FF">
        <w:t xml:space="preserve">elivered </w:t>
      </w:r>
      <w:r w:rsidR="00AD7FE0" w:rsidRPr="002357FF">
        <w:t>over 3,000 low-cost or free events, in partnership with local councils, libraries and community organisations, across the state for older Victorians to enjoy as part of the Seniors Festival celebrations in</w:t>
      </w:r>
      <w:r w:rsidR="005E5B81">
        <w:t> </w:t>
      </w:r>
      <w:r w:rsidR="00AD7FE0" w:rsidRPr="002357FF">
        <w:t>October 2023</w:t>
      </w:r>
    </w:p>
    <w:p w14:paraId="6A9709C5" w14:textId="2E90932F" w:rsidR="00AD7FE0" w:rsidRPr="0056517B" w:rsidRDefault="00CD7B1F" w:rsidP="00B77497">
      <w:pPr>
        <w:pStyle w:val="ARbullet1"/>
        <w:spacing w:line="240" w:lineRule="atLeast"/>
      </w:pPr>
      <w:r>
        <w:t>r</w:t>
      </w:r>
      <w:r w:rsidRPr="0056517B">
        <w:t xml:space="preserve">eleased </w:t>
      </w:r>
      <w:r w:rsidR="00AD7FE0" w:rsidRPr="0056517B">
        <w:rPr>
          <w:rStyle w:val="Emphasis"/>
        </w:rPr>
        <w:t>Our equal state: Victoria</w:t>
      </w:r>
      <w:r w:rsidR="00711AE6">
        <w:rPr>
          <w:rStyle w:val="Emphasis"/>
        </w:rPr>
        <w:t>’</w:t>
      </w:r>
      <w:r w:rsidR="00AD7FE0" w:rsidRPr="0056517B">
        <w:rPr>
          <w:rStyle w:val="Emphasis"/>
        </w:rPr>
        <w:t xml:space="preserve">s gender equality strategy and action plan 2023– 2027, </w:t>
      </w:r>
      <w:r w:rsidR="00AD7FE0" w:rsidRPr="0056517B">
        <w:t>including 110</w:t>
      </w:r>
      <w:r w:rsidR="005E5B81">
        <w:t> </w:t>
      </w:r>
      <w:r w:rsidR="00AD7FE0" w:rsidRPr="0056517B">
        <w:t>whole-of-government and portfolio-specific actions to embed a shared responsibility for gender equality across government</w:t>
      </w:r>
    </w:p>
    <w:p w14:paraId="3F5EA934" w14:textId="7B6B2D0A" w:rsidR="00AD7FE0" w:rsidRPr="001048C7" w:rsidRDefault="00CD7B1F" w:rsidP="00B77497">
      <w:pPr>
        <w:pStyle w:val="ARbullet1"/>
        <w:spacing w:line="240" w:lineRule="atLeast"/>
        <w:rPr>
          <w:rStyle w:val="Emphasis"/>
        </w:rPr>
      </w:pPr>
      <w:r>
        <w:t>p</w:t>
      </w:r>
      <w:r w:rsidRPr="0056517B">
        <w:t xml:space="preserve">romoted </w:t>
      </w:r>
      <w:r w:rsidR="00AD7FE0" w:rsidRPr="0056517B">
        <w:t>social inclusion and community connection, with funding provided to around 400 neighbourhood</w:t>
      </w:r>
      <w:r w:rsidR="00AD7FE0" w:rsidRPr="63273B53">
        <w:t xml:space="preserve"> houses, 16 networks and Neighbourhood Houses Victoria, as part of the </w:t>
      </w:r>
      <w:r w:rsidR="00AD7FE0" w:rsidRPr="00233486">
        <w:rPr>
          <w:rStyle w:val="Emphasis"/>
          <w:i w:val="0"/>
          <w:iCs w:val="0"/>
        </w:rPr>
        <w:t>Neighbourhood</w:t>
      </w:r>
      <w:r w:rsidR="005E5B81" w:rsidRPr="00233486">
        <w:rPr>
          <w:rStyle w:val="Emphasis"/>
          <w:i w:val="0"/>
          <w:iCs w:val="0"/>
        </w:rPr>
        <w:t> </w:t>
      </w:r>
      <w:r w:rsidR="00AD7FE0" w:rsidRPr="00233486">
        <w:rPr>
          <w:rStyle w:val="Emphasis"/>
          <w:i w:val="0"/>
          <w:iCs w:val="0"/>
        </w:rPr>
        <w:t>House Coordination Program</w:t>
      </w:r>
      <w:r w:rsidR="00AD7FE0" w:rsidRPr="001048C7">
        <w:rPr>
          <w:rStyle w:val="Emphasis"/>
        </w:rPr>
        <w:t>.</w:t>
      </w:r>
    </w:p>
    <w:p w14:paraId="2D8DF32D" w14:textId="77777777" w:rsidR="00AD7FE0" w:rsidRDefault="00AD7FE0" w:rsidP="0056517B">
      <w:pPr>
        <w:pStyle w:val="ARbodyafterbullets"/>
      </w:pPr>
      <w:r>
        <w:t xml:space="preserve">We are proud of the work we have done to improve the lives of so many Victorians. We know there is still more </w:t>
      </w:r>
      <w:r w:rsidRPr="0056517B">
        <w:t>to</w:t>
      </w:r>
      <w:r>
        <w:t xml:space="preserve"> do to make our state a positive, fair and inclusive place for all. </w:t>
      </w:r>
    </w:p>
    <w:p w14:paraId="39B6E389" w14:textId="77777777" w:rsidR="00AD7FE0" w:rsidRDefault="00AD7FE0" w:rsidP="0056517B">
      <w:pPr>
        <w:pStyle w:val="ARbody"/>
      </w:pPr>
      <w:r>
        <w:t xml:space="preserve">I am constantly impressed with the hard work, passion and dedication of the people who work in our department, and our partners who help us deliver critical services and support to people in our community. </w:t>
      </w:r>
    </w:p>
    <w:p w14:paraId="3843BE9C" w14:textId="77777777" w:rsidR="00AD7FE0" w:rsidRDefault="00AD7FE0" w:rsidP="0056517B">
      <w:pPr>
        <w:pStyle w:val="ARbody"/>
      </w:pPr>
      <w:r>
        <w:t>Over the next 12 months, we commit to continuing to build on these partnerships and work together to address inequality and create a fairer and safer Victoria.</w:t>
      </w:r>
    </w:p>
    <w:p w14:paraId="19F43739" w14:textId="3EFCC340" w:rsidR="00AD7FE0" w:rsidRDefault="00B77497">
      <w:pPr>
        <w:pStyle w:val="ARbody"/>
        <w:spacing w:before="240"/>
      </w:pPr>
      <w:r w:rsidRPr="00532DAE">
        <w:rPr>
          <w:noProof/>
        </w:rPr>
        <w:drawing>
          <wp:inline distT="0" distB="0" distL="0" distR="0" wp14:anchorId="01DB4D1D" wp14:editId="76A2D846">
            <wp:extent cx="1845277" cy="570368"/>
            <wp:effectExtent l="0" t="0" r="3175" b="1270"/>
            <wp:docPr id="1149670236" name="Picture 1149670236" descr="Signature&#10;Peta McCammon&#10;Secretary&#10;Department of Families, Fairness and Hou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70236" name="Picture 1149670236" descr="Signature&#10;Peta McCammon&#10;Secretary&#10;Department of Families, Fairness and Housing&#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48F7434C" w14:textId="77777777" w:rsidR="00AD7FE0" w:rsidRPr="0056517B" w:rsidRDefault="00AD7FE0" w:rsidP="0056517B">
      <w:pPr>
        <w:pStyle w:val="ARbodynospace"/>
        <w:rPr>
          <w:rStyle w:val="Strong"/>
        </w:rPr>
      </w:pPr>
      <w:r w:rsidRPr="0056517B">
        <w:rPr>
          <w:rStyle w:val="Strong"/>
        </w:rPr>
        <w:t>Peta McCammon</w:t>
      </w:r>
    </w:p>
    <w:p w14:paraId="50DDA049" w14:textId="77777777" w:rsidR="00AD7FE0" w:rsidRDefault="00AD7FE0">
      <w:pPr>
        <w:pStyle w:val="ARbodynospace"/>
      </w:pPr>
      <w:r>
        <w:t>Secretary</w:t>
      </w:r>
    </w:p>
    <w:p w14:paraId="615AFD04" w14:textId="77777777" w:rsidR="00AD7FE0" w:rsidRDefault="00AD7FE0" w:rsidP="0056517B">
      <w:pPr>
        <w:pStyle w:val="ARbody"/>
      </w:pPr>
      <w:r>
        <w:t xml:space="preserve">Department </w:t>
      </w:r>
      <w:r w:rsidRPr="0056517B">
        <w:t>of</w:t>
      </w:r>
      <w:r>
        <w:t xml:space="preserve"> Families, Fairness and Housing</w:t>
      </w:r>
    </w:p>
    <w:p w14:paraId="7AA95CE3" w14:textId="77777777" w:rsidR="00AD7FE0" w:rsidRDefault="00AD7FE0">
      <w:pPr>
        <w:pStyle w:val="ARbody"/>
        <w:sectPr w:rsidR="00AD7FE0" w:rsidSect="005936D2">
          <w:headerReference w:type="even" r:id="rId20"/>
          <w:footerReference w:type="even" r:id="rId21"/>
          <w:footerReference w:type="default" r:id="rId22"/>
          <w:headerReference w:type="first" r:id="rId23"/>
          <w:footerReference w:type="first" r:id="rId24"/>
          <w:footnotePr>
            <w:numFmt w:val="lowerRoman"/>
            <w:numRestart w:val="eachPage"/>
          </w:footnotePr>
          <w:endnotePr>
            <w:numFmt w:val="decimal"/>
          </w:endnotePr>
          <w:type w:val="continuous"/>
          <w:pgSz w:w="11900" w:h="16840" w:code="9"/>
          <w:pgMar w:top="1701" w:right="1134" w:bottom="851" w:left="1134" w:header="510" w:footer="340" w:gutter="0"/>
          <w:cols w:space="454"/>
        </w:sectPr>
      </w:pPr>
    </w:p>
    <w:p w14:paraId="4E5D79E2" w14:textId="77777777" w:rsidR="00AD7FE0" w:rsidRDefault="00AD7FE0">
      <w:pPr>
        <w:pStyle w:val="Heading2"/>
        <w:sectPr w:rsidR="00AD7FE0" w:rsidSect="005936D2">
          <w:headerReference w:type="even" r:id="rId25"/>
          <w:footerReference w:type="even" r:id="rId26"/>
          <w:footerReference w:type="default" r:id="rId27"/>
          <w:headerReference w:type="first" r:id="rId28"/>
          <w:footerReference w:type="first" r:id="rId29"/>
          <w:footnotePr>
            <w:numFmt w:val="lowerRoman"/>
            <w:numRestart w:val="eachPage"/>
          </w:footnotePr>
          <w:endnotePr>
            <w:numFmt w:val="decimal"/>
          </w:endnotePr>
          <w:pgSz w:w="11900" w:h="16840" w:code="9"/>
          <w:pgMar w:top="1701" w:right="1134" w:bottom="851" w:left="1134" w:header="510" w:footer="340" w:gutter="0"/>
          <w:cols w:space="454"/>
        </w:sectPr>
      </w:pPr>
      <w:bookmarkStart w:id="25" w:name="_Toc181101479"/>
      <w:bookmarkStart w:id="26" w:name="_Toc114491180"/>
      <w:r>
        <w:t>Acknowledgement of First Peoples</w:t>
      </w:r>
      <w:bookmarkEnd w:id="25"/>
    </w:p>
    <w:p w14:paraId="7319B208" w14:textId="30627ECC" w:rsidR="00AD7FE0" w:rsidRDefault="00AD7FE0" w:rsidP="0056517B">
      <w:pPr>
        <w:pStyle w:val="ARbody"/>
      </w:pPr>
      <w:r w:rsidRPr="00753110">
        <w:t>We acknowledge the Traditional Owners of the lands and waters on which we live</w:t>
      </w:r>
      <w:r>
        <w:t xml:space="preserve"> and</w:t>
      </w:r>
      <w:r w:rsidRPr="00753110" w:rsidDel="00ED4803">
        <w:t xml:space="preserve"> </w:t>
      </w:r>
      <w:r w:rsidRPr="00753110">
        <w:t>work.</w:t>
      </w:r>
      <w:r w:rsidRPr="00753110" w:rsidDel="001B223F">
        <w:t xml:space="preserve"> </w:t>
      </w:r>
      <w:r w:rsidRPr="00753110">
        <w:t>We pay respect to and recognise the contributions of their Elders past and present</w:t>
      </w:r>
      <w:r w:rsidRPr="00753110" w:rsidDel="001B7F23">
        <w:t xml:space="preserve"> </w:t>
      </w:r>
      <w:r w:rsidRPr="00753110">
        <w:t xml:space="preserve">who have fought tirelessly for the rights of their </w:t>
      </w:r>
      <w:r w:rsidRPr="0056517B">
        <w:t>communities</w:t>
      </w:r>
      <w:r w:rsidRPr="00753110">
        <w:t xml:space="preserve">. The sovereignty of </w:t>
      </w:r>
      <w:r>
        <w:t>Victoria</w:t>
      </w:r>
      <w:r w:rsidR="00711AE6">
        <w:t>’</w:t>
      </w:r>
      <w:r>
        <w:t xml:space="preserve">s </w:t>
      </w:r>
      <w:r w:rsidRPr="00753110">
        <w:t>First Peoples has never been ceded. Their strength and resilience as the world</w:t>
      </w:r>
      <w:r w:rsidR="00711AE6">
        <w:t>’</w:t>
      </w:r>
      <w:r w:rsidRPr="00753110">
        <w:t>s oldest living culture is enduring.</w:t>
      </w:r>
    </w:p>
    <w:p w14:paraId="3BCFE26E" w14:textId="45DBD195" w:rsidR="00AD7FE0" w:rsidRDefault="00AD7FE0" w:rsidP="00333387">
      <w:pPr>
        <w:pStyle w:val="Heading3"/>
      </w:pPr>
      <w:r>
        <w:t xml:space="preserve">Commitment to </w:t>
      </w:r>
      <w:r w:rsidR="008B2342">
        <w:br/>
      </w:r>
      <w:r>
        <w:t>self-determination</w:t>
      </w:r>
    </w:p>
    <w:p w14:paraId="312E63D0" w14:textId="226AA67E" w:rsidR="00AD7FE0" w:rsidRPr="00544F8A" w:rsidRDefault="00AD7FE0" w:rsidP="0056517B">
      <w:pPr>
        <w:pStyle w:val="ARbody"/>
      </w:pPr>
      <w:r w:rsidRPr="4F38F6D7">
        <w:t>We recognise self-determination is critical to achieving positive outcomes for Victoria</w:t>
      </w:r>
      <w:r w:rsidR="00711AE6">
        <w:t>’</w:t>
      </w:r>
      <w:r w:rsidRPr="4F38F6D7">
        <w:t>s First Peoples. As a department, we are committed to enabling self-determination in accordance with the Victorian Aboriginal Affairs Framework and striving to achieve outcomes along the self-determination continuum, continue to live with the intergenerational effects of dispossession, child removal and other discriminatory government policies. We acknowledge that the impacts of colonisation continue to influence the department</w:t>
      </w:r>
      <w:r w:rsidR="00711AE6">
        <w:t>’</w:t>
      </w:r>
      <w:r w:rsidRPr="4F38F6D7">
        <w:t>s systems and structures.</w:t>
      </w:r>
    </w:p>
    <w:p w14:paraId="5BB7F1D6" w14:textId="70820796" w:rsidR="00AD7FE0" w:rsidRPr="00544F8A" w:rsidRDefault="00AD7FE0" w:rsidP="0056517B">
      <w:pPr>
        <w:pStyle w:val="ARbody"/>
      </w:pPr>
      <w:r w:rsidRPr="00544F8A">
        <w:t xml:space="preserve">We are deeply committed to addressing these impacts by embedding cultural safety and </w:t>
      </w:r>
      <w:r w:rsidR="006E2F2E">
        <w:br/>
      </w:r>
      <w:r w:rsidRPr="00544F8A">
        <w:t>self-determination principles in all we do. Aboriginal</w:t>
      </w:r>
      <w:r w:rsidR="006E2F2E">
        <w:t> </w:t>
      </w:r>
      <w:r w:rsidRPr="00544F8A">
        <w:t xml:space="preserve">self-determination means different things to different people. But we know that the right for First Peoples to freely determine their political status, and to pursue social, cultural and economic development based on their values and ways of life, is enshrined in the United Nations Declaration on the Rights of Indigenous Peoples. We must listen to </w:t>
      </w:r>
      <w:r>
        <w:t>First Peoples</w:t>
      </w:r>
      <w:r w:rsidRPr="00544F8A" w:rsidDel="00BD6209">
        <w:t xml:space="preserve"> </w:t>
      </w:r>
      <w:r w:rsidRPr="00544F8A">
        <w:t>across the state when they tell us what they need for themselves, their families and their communities to thrive. We will hold ourselves accountable to their decisions on matters that affect their lives and communities. This includes through Victoria</w:t>
      </w:r>
      <w:r w:rsidR="00711AE6">
        <w:t>’</w:t>
      </w:r>
      <w:r w:rsidRPr="00544F8A">
        <w:t>s contributions to the National Agreement on Closing the Gap.</w:t>
      </w:r>
    </w:p>
    <w:p w14:paraId="3AC57F53" w14:textId="77777777" w:rsidR="00AD7FE0" w:rsidRDefault="00AD7FE0" w:rsidP="0056517B">
      <w:pPr>
        <w:pStyle w:val="ARbody"/>
      </w:pPr>
      <w:r w:rsidRPr="4F38F6D7">
        <w:t xml:space="preserve">We also continue our commitment to the truth and Treaty processes including responding to the Yoorrook Justice Commission and being ready to participate in the Treaty process. </w:t>
      </w:r>
    </w:p>
    <w:p w14:paraId="45B27229" w14:textId="77777777" w:rsidR="00AD7FE0" w:rsidRDefault="00AD7FE0" w:rsidP="006B4F00">
      <w:pPr>
        <w:pStyle w:val="Heading3"/>
        <w:spacing w:before="0"/>
      </w:pPr>
      <w:r>
        <w:br w:type="column"/>
        <w:t>Aboriginal voice</w:t>
      </w:r>
    </w:p>
    <w:p w14:paraId="69D27505" w14:textId="77777777" w:rsidR="00AD7FE0" w:rsidRPr="00DC2188" w:rsidRDefault="00AD7FE0" w:rsidP="0056517B">
      <w:pPr>
        <w:pStyle w:val="ARbody"/>
      </w:pPr>
      <w:r>
        <w:t>In support of our</w:t>
      </w:r>
      <w:r w:rsidRPr="00DC2188">
        <w:t xml:space="preserve"> ongoing commitment to advancing Aboriginal self-determination</w:t>
      </w:r>
      <w:r>
        <w:t>, o</w:t>
      </w:r>
      <w:r w:rsidRPr="00DC2188">
        <w:t>ur Aboriginal policy, legislation and system reform work is driven by Aboriginal voice, knowledge and cultural leadership. This work not only supports Victorian communities, but also staff within our department. </w:t>
      </w:r>
    </w:p>
    <w:p w14:paraId="49E030C2" w14:textId="48BCD72C" w:rsidR="00AD7FE0" w:rsidRPr="00595A7E" w:rsidRDefault="00AD7FE0" w:rsidP="0056517B">
      <w:pPr>
        <w:pStyle w:val="ARbody"/>
      </w:pPr>
      <w:r w:rsidRPr="00DC2188">
        <w:t>The department uses Aboriginal governance structures to elevate the voice of local Aboriginal communities and inform the direction setting of</w:t>
      </w:r>
      <w:r w:rsidR="004B7FF4">
        <w:t> </w:t>
      </w:r>
      <w:r w:rsidRPr="00DC2188">
        <w:t>policies, programs and service delivery. These</w:t>
      </w:r>
      <w:r w:rsidR="004B7FF4">
        <w:t> </w:t>
      </w:r>
      <w:r w:rsidRPr="00DC2188">
        <w:t>structures cover the department</w:t>
      </w:r>
      <w:r w:rsidR="00711AE6">
        <w:t>’</w:t>
      </w:r>
      <w:r w:rsidRPr="00DC2188">
        <w:t>s full portfolio of responsibilities and oversee the implementation of its key Aboriginal strategies and</w:t>
      </w:r>
      <w:r w:rsidR="004B7FF4">
        <w:t> </w:t>
      </w:r>
      <w:r w:rsidRPr="00DC2188">
        <w:t xml:space="preserve">frameworks including </w:t>
      </w:r>
      <w:r w:rsidRPr="001048C7">
        <w:rPr>
          <w:rStyle w:val="Emphasis"/>
        </w:rPr>
        <w:t>Korin Korin Balit-Djak, Dhelk Dja: Safe Our Way, Wungurilwil Gapgapduir</w:t>
      </w:r>
      <w:r w:rsidRPr="00DC2188">
        <w:rPr>
          <w:u w:val="single"/>
        </w:rPr>
        <w:t>,</w:t>
      </w:r>
      <w:r w:rsidRPr="00DC2188">
        <w:t xml:space="preserve"> and </w:t>
      </w:r>
      <w:r w:rsidRPr="001048C7">
        <w:rPr>
          <w:rStyle w:val="Emphasis"/>
        </w:rPr>
        <w:t>Mana-na woorn-tyeen maar-takoort</w:t>
      </w:r>
      <w:r w:rsidRPr="00DC2188">
        <w:t>. </w:t>
      </w:r>
    </w:p>
    <w:p w14:paraId="38BB6A8D" w14:textId="77777777" w:rsidR="00AD7FE0" w:rsidRDefault="00AD7FE0" w:rsidP="00333387">
      <w:pPr>
        <w:pStyle w:val="Heading3"/>
      </w:pPr>
      <w:r>
        <w:t>Closing the gap</w:t>
      </w:r>
    </w:p>
    <w:p w14:paraId="08F38888" w14:textId="0F977E11" w:rsidR="00AD7FE0" w:rsidRPr="00DC2188" w:rsidRDefault="00AD7FE0" w:rsidP="0056517B">
      <w:pPr>
        <w:pStyle w:val="ARbody"/>
      </w:pPr>
      <w:r w:rsidRPr="00DC2188">
        <w:t>The department</w:t>
      </w:r>
      <w:r w:rsidR="00711AE6">
        <w:t>’</w:t>
      </w:r>
      <w:r w:rsidRPr="00DC2188">
        <w:t xml:space="preserve">s work to support Aboriginal </w:t>
      </w:r>
      <w:r w:rsidR="006E2F2E">
        <w:br/>
      </w:r>
      <w:r w:rsidRPr="00DC2188">
        <w:t>self-determination includes acquitting our commitments under the National Agreement on Closing the Gap (National Agreement).</w:t>
      </w:r>
    </w:p>
    <w:p w14:paraId="01C96CB4" w14:textId="6AB81A29" w:rsidR="00AD7FE0" w:rsidRPr="00DC2188" w:rsidRDefault="00AD7FE0" w:rsidP="0056517B">
      <w:pPr>
        <w:pStyle w:val="ARbody"/>
      </w:pPr>
      <w:r w:rsidRPr="00DC2188">
        <w:t xml:space="preserve">At the centre of the National Agreement are </w:t>
      </w:r>
      <w:r w:rsidR="009D641C">
        <w:t>4</w:t>
      </w:r>
      <w:r w:rsidR="004B7FF4">
        <w:t> </w:t>
      </w:r>
      <w:r w:rsidR="00966CF2">
        <w:t>p</w:t>
      </w:r>
      <w:r w:rsidR="00966CF2" w:rsidRPr="00DC2188">
        <w:t xml:space="preserve">riority </w:t>
      </w:r>
      <w:r w:rsidR="00966CF2">
        <w:t>r</w:t>
      </w:r>
      <w:r w:rsidR="00966CF2" w:rsidRPr="00DC2188">
        <w:t xml:space="preserve">eforms </w:t>
      </w:r>
      <w:r w:rsidRPr="00DC2188">
        <w:t>that focus on changing the way</w:t>
      </w:r>
      <w:r w:rsidR="00865962">
        <w:t> </w:t>
      </w:r>
      <w:r w:rsidRPr="00DC2188">
        <w:t xml:space="preserve">governments work with Aboriginal and Torres Strait Islander people. The </w:t>
      </w:r>
      <w:r w:rsidRPr="00233486">
        <w:rPr>
          <w:i/>
          <w:iCs/>
        </w:rPr>
        <w:t xml:space="preserve">Victorian Closing the Gap </w:t>
      </w:r>
      <w:r w:rsidR="00966CF2">
        <w:rPr>
          <w:i/>
          <w:iCs/>
        </w:rPr>
        <w:t>i</w:t>
      </w:r>
      <w:r w:rsidR="00966CF2" w:rsidRPr="00233486">
        <w:rPr>
          <w:i/>
          <w:iCs/>
        </w:rPr>
        <w:t xml:space="preserve">mplementation </w:t>
      </w:r>
      <w:r w:rsidR="00966CF2">
        <w:rPr>
          <w:i/>
          <w:iCs/>
        </w:rPr>
        <w:t>p</w:t>
      </w:r>
      <w:r w:rsidR="00966CF2" w:rsidRPr="00233486">
        <w:rPr>
          <w:i/>
          <w:iCs/>
        </w:rPr>
        <w:t xml:space="preserve">lan </w:t>
      </w:r>
      <w:r w:rsidRPr="00233486">
        <w:rPr>
          <w:i/>
          <w:iCs/>
        </w:rPr>
        <w:t>2021</w:t>
      </w:r>
      <w:r w:rsidR="006E2F2E" w:rsidRPr="00233486">
        <w:rPr>
          <w:i/>
          <w:iCs/>
        </w:rPr>
        <w:t>–</w:t>
      </w:r>
      <w:r w:rsidRPr="00233486">
        <w:rPr>
          <w:i/>
          <w:iCs/>
        </w:rPr>
        <w:t>2023</w:t>
      </w:r>
      <w:r w:rsidRPr="00DC2188">
        <w:t xml:space="preserve"> (the </w:t>
      </w:r>
      <w:r w:rsidR="00966CF2">
        <w:t>i</w:t>
      </w:r>
      <w:r w:rsidR="00966CF2" w:rsidRPr="00DC2188">
        <w:t xml:space="preserve">mplementation </w:t>
      </w:r>
      <w:r w:rsidR="00966CF2">
        <w:t>p</w:t>
      </w:r>
      <w:r w:rsidR="00966CF2" w:rsidRPr="00DC2188">
        <w:t>lan</w:t>
      </w:r>
      <w:r w:rsidRPr="00DC2188">
        <w:t>) outlines the actions Victoria will undertake to achieve the objectives of the National Agreement.</w:t>
      </w:r>
    </w:p>
    <w:p w14:paraId="275BD7B6" w14:textId="75095DFB" w:rsidR="00AD7FE0" w:rsidRDefault="00AD7FE0" w:rsidP="0056517B">
      <w:pPr>
        <w:pStyle w:val="ARbody"/>
      </w:pPr>
      <w:r w:rsidRPr="00DC2188">
        <w:t xml:space="preserve">The </w:t>
      </w:r>
      <w:r w:rsidR="00966CF2">
        <w:t>i</w:t>
      </w:r>
      <w:r w:rsidRPr="00DC2188">
        <w:t xml:space="preserve">mplementation </w:t>
      </w:r>
      <w:r w:rsidR="00966CF2">
        <w:t>p</w:t>
      </w:r>
      <w:r w:rsidR="00966CF2" w:rsidRPr="00DC2188">
        <w:t xml:space="preserve">lan </w:t>
      </w:r>
      <w:r w:rsidRPr="00DC2188">
        <w:t xml:space="preserve">focuses on embedding key priority reform enablers across the Victorian Government. The </w:t>
      </w:r>
      <w:r w:rsidR="00966CF2">
        <w:t>p</w:t>
      </w:r>
      <w:r w:rsidR="00966CF2" w:rsidRPr="00DC2188">
        <w:t xml:space="preserve">riority </w:t>
      </w:r>
      <w:r w:rsidR="00966CF2">
        <w:t>r</w:t>
      </w:r>
      <w:r w:rsidR="00966CF2" w:rsidRPr="00DC2188">
        <w:t xml:space="preserve">eforms </w:t>
      </w:r>
      <w:r w:rsidRPr="00DC2188">
        <w:t>are interconnected and all are needed to achieve the</w:t>
      </w:r>
      <w:r w:rsidR="00865962">
        <w:t> </w:t>
      </w:r>
      <w:r w:rsidRPr="00DC2188">
        <w:t>objectives of the National Agreement, and support practical outcomes for First Nations communities in</w:t>
      </w:r>
      <w:r w:rsidR="00FD2860">
        <w:t> </w:t>
      </w:r>
      <w:r w:rsidRPr="00DC2188">
        <w:t>Victoria.</w:t>
      </w:r>
    </w:p>
    <w:p w14:paraId="096F1BF1" w14:textId="77777777" w:rsidR="00AD7FE0" w:rsidRPr="00ED4803" w:rsidRDefault="00AD7FE0" w:rsidP="00333387">
      <w:pPr>
        <w:pStyle w:val="Heading3"/>
        <w:rPr>
          <w:i/>
        </w:rPr>
      </w:pPr>
      <w:r w:rsidRPr="00333387">
        <w:t>Cultural</w:t>
      </w:r>
      <w:r w:rsidRPr="00ED4803">
        <w:t xml:space="preserve"> </w:t>
      </w:r>
      <w:r w:rsidRPr="004E56BD">
        <w:t>Safety</w:t>
      </w:r>
    </w:p>
    <w:p w14:paraId="068FA739" w14:textId="1150CBA4" w:rsidR="00AD7FE0" w:rsidRDefault="00AD7FE0" w:rsidP="0056517B">
      <w:pPr>
        <w:pStyle w:val="ARbody"/>
      </w:pPr>
      <w:r w:rsidRPr="00B1400C">
        <w:t>The department continue</w:t>
      </w:r>
      <w:r>
        <w:t>s</w:t>
      </w:r>
      <w:r w:rsidRPr="00B1400C">
        <w:t xml:space="preserve"> to focus on improving cultural safety and competence internally and </w:t>
      </w:r>
      <w:r w:rsidRPr="00626214">
        <w:t xml:space="preserve">across the funded </w:t>
      </w:r>
      <w:r w:rsidRPr="0056517B">
        <w:t>sector</w:t>
      </w:r>
      <w:r w:rsidRPr="00626214">
        <w:t>. This work aims to build service quality and outcomes for Aboriginal staff, clients, and communities. This work remains a</w:t>
      </w:r>
      <w:r w:rsidR="00865962">
        <w:t> </w:t>
      </w:r>
      <w:r w:rsidRPr="00626214">
        <w:t>priority for the department in exploring the implementation of the Aboriginal cultural safety framework to funded agencies</w:t>
      </w:r>
      <w:r>
        <w:t>.</w:t>
      </w:r>
    </w:p>
    <w:p w14:paraId="2263E734" w14:textId="77777777" w:rsidR="00AD7FE0" w:rsidRPr="002029AF" w:rsidRDefault="00AD7FE0" w:rsidP="00595CC6">
      <w:pPr>
        <w:pStyle w:val="Heading2"/>
        <w:spacing w:after="120"/>
      </w:pPr>
      <w:bookmarkStart w:id="27" w:name="_Ref178172833"/>
      <w:bookmarkStart w:id="28" w:name="_Ref178173379"/>
      <w:bookmarkStart w:id="29" w:name="_Toc181101480"/>
      <w:r w:rsidRPr="002029AF">
        <w:t>Our vision</w:t>
      </w:r>
      <w:bookmarkEnd w:id="26"/>
      <w:bookmarkEnd w:id="27"/>
      <w:bookmarkEnd w:id="28"/>
      <w:bookmarkEnd w:id="29"/>
    </w:p>
    <w:p w14:paraId="6DA988D5" w14:textId="5E6504F2" w:rsidR="00AD7FE0" w:rsidRDefault="00AD7FE0">
      <w:pPr>
        <w:pStyle w:val="ARbody"/>
        <w:rPr>
          <w:lang w:eastAsia="en-AU"/>
        </w:rPr>
      </w:pPr>
      <w:r>
        <w:rPr>
          <w:lang w:eastAsia="en-AU"/>
        </w:rPr>
        <w:t>Safe and supported children and families, in stable homes and strong communities.</w:t>
      </w:r>
    </w:p>
    <w:p w14:paraId="1BF35682" w14:textId="77777777" w:rsidR="00AD7FE0" w:rsidRPr="00C3352F" w:rsidRDefault="00AD7FE0" w:rsidP="00595CC6">
      <w:pPr>
        <w:pStyle w:val="Heading2"/>
        <w:spacing w:before="240" w:after="120"/>
      </w:pPr>
      <w:bookmarkStart w:id="30" w:name="_Toc181101481"/>
      <w:r>
        <w:t>How we will achieve it</w:t>
      </w:r>
      <w:bookmarkEnd w:id="30"/>
    </w:p>
    <w:p w14:paraId="614A67E8" w14:textId="77777777" w:rsidR="00AD7FE0" w:rsidRDefault="00AD7FE0">
      <w:pPr>
        <w:pStyle w:val="ARbody"/>
        <w:rPr>
          <w:lang w:eastAsia="en-AU"/>
        </w:rPr>
      </w:pPr>
      <w:r>
        <w:rPr>
          <w:lang w:eastAsia="en-AU"/>
        </w:rPr>
        <w:t>Standing up for inclusion and equality, preventing harm and discrimination, and delivering social and housing support to Victorians who need it</w:t>
      </w:r>
      <w:r w:rsidRPr="00C3352F">
        <w:rPr>
          <w:lang w:eastAsia="en-AU"/>
        </w:rPr>
        <w:t>.</w:t>
      </w:r>
    </w:p>
    <w:p w14:paraId="7E810F56" w14:textId="77777777" w:rsidR="00AD7FE0" w:rsidRPr="00C3352F" w:rsidRDefault="00AD7FE0" w:rsidP="00595CC6">
      <w:pPr>
        <w:pStyle w:val="Heading2"/>
        <w:spacing w:before="240" w:after="120"/>
      </w:pPr>
      <w:bookmarkStart w:id="31" w:name="_Toc181101482"/>
      <w:r w:rsidRPr="00C3352F">
        <w:t xml:space="preserve">Our </w:t>
      </w:r>
      <w:r>
        <w:t>outcomes</w:t>
      </w:r>
      <w:bookmarkEnd w:id="31"/>
    </w:p>
    <w:p w14:paraId="38365133" w14:textId="77777777" w:rsidR="00AD7FE0" w:rsidRPr="00257230" w:rsidRDefault="00AD7FE0" w:rsidP="004E56BD">
      <w:pPr>
        <w:pStyle w:val="ARbody"/>
      </w:pPr>
      <w:r>
        <w:t>Our outcomes describe what we aim to achieve.</w:t>
      </w:r>
    </w:p>
    <w:p w14:paraId="16D5EE37" w14:textId="3A65F69E" w:rsidR="00AD7FE0" w:rsidRDefault="00AD7FE0">
      <w:pPr>
        <w:pStyle w:val="ARbullet1"/>
      </w:pPr>
      <w:r>
        <w:t>Aboriginal voice, knowledge and cultural leadership drive Aboriginal policy, legislation and system reform</w:t>
      </w:r>
      <w:r w:rsidR="001178AF">
        <w:t>.</w:t>
      </w:r>
    </w:p>
    <w:p w14:paraId="282081E8" w14:textId="28072777" w:rsidR="00AD7FE0" w:rsidRDefault="00AD7FE0">
      <w:pPr>
        <w:pStyle w:val="ARbullet1"/>
      </w:pPr>
      <w:r>
        <w:t>Children, young people and families are safe, strong and supported</w:t>
      </w:r>
      <w:r w:rsidR="001178AF">
        <w:t>.</w:t>
      </w:r>
    </w:p>
    <w:p w14:paraId="02247787" w14:textId="7A75B29D" w:rsidR="00AD7FE0" w:rsidRDefault="00AD7FE0">
      <w:pPr>
        <w:pStyle w:val="ARbullet1"/>
      </w:pPr>
      <w:r>
        <w:t>Victorian communities are safe, fair, inclusive and resilient</w:t>
      </w:r>
      <w:r w:rsidR="001178AF">
        <w:t>.</w:t>
      </w:r>
    </w:p>
    <w:p w14:paraId="4C0A2C24" w14:textId="1F34E2E0" w:rsidR="00AD7FE0" w:rsidRDefault="00AD7FE0">
      <w:pPr>
        <w:pStyle w:val="ARbullet1"/>
      </w:pPr>
      <w:r>
        <w:t>All Victorians have stable, affordable and appropriate housing</w:t>
      </w:r>
      <w:r w:rsidR="001178AF">
        <w:t>.</w:t>
      </w:r>
    </w:p>
    <w:p w14:paraId="3D4C4077" w14:textId="77777777" w:rsidR="00AD7FE0" w:rsidRPr="00C3352F" w:rsidRDefault="00AD7FE0">
      <w:pPr>
        <w:pStyle w:val="ARbullet1"/>
      </w:pPr>
      <w:r>
        <w:t>Our social services system is integrated, effective, person-centred and sustainable.</w:t>
      </w:r>
    </w:p>
    <w:p w14:paraId="3151E87A" w14:textId="77777777" w:rsidR="00AD7FE0" w:rsidRPr="003C5481" w:rsidRDefault="00AD7FE0" w:rsidP="00595CC6">
      <w:pPr>
        <w:pStyle w:val="Heading2"/>
        <w:spacing w:before="240" w:after="120"/>
      </w:pPr>
      <w:bookmarkStart w:id="32" w:name="_Toc114491182"/>
      <w:bookmarkStart w:id="33" w:name="_Toc181101483"/>
      <w:r w:rsidRPr="003C5481">
        <w:t>Our values</w:t>
      </w:r>
      <w:bookmarkEnd w:id="32"/>
      <w:bookmarkEnd w:id="33"/>
    </w:p>
    <w:p w14:paraId="2E506298" w14:textId="77777777" w:rsidR="00AD7FE0" w:rsidRPr="003C5481" w:rsidRDefault="00AD7FE0">
      <w:pPr>
        <w:pStyle w:val="ARbody"/>
      </w:pPr>
      <w:r w:rsidRPr="003C5481">
        <w:t xml:space="preserve">Our values describe what we stand for </w:t>
      </w:r>
      <w:r>
        <w:t xml:space="preserve">as a </w:t>
      </w:r>
      <w:r w:rsidRPr="003C5481">
        <w:t>department, how we want to make decisions and how we expect each other to behave.</w:t>
      </w:r>
    </w:p>
    <w:p w14:paraId="5CE325A0" w14:textId="77777777" w:rsidR="00AD7FE0" w:rsidRPr="003C5481" w:rsidRDefault="00AD7FE0">
      <w:pPr>
        <w:pStyle w:val="Heading3Values"/>
      </w:pPr>
      <w:r>
        <w:rPr>
          <w:noProof/>
        </w:rPr>
        <w:drawing>
          <wp:inline distT="0" distB="0" distL="0" distR="0" wp14:anchorId="11D52595" wp14:editId="18AC7D65">
            <wp:extent cx="360000" cy="360000"/>
            <wp:effectExtent l="0" t="0" r="2540" b="2540"/>
            <wp:docPr id="1705422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2223" name="Picture 2">
                      <a:extLst>
                        <a:ext uri="{C183D7F6-B498-43B3-948B-1728B52AA6E4}">
                          <adec:decorative xmlns:adec="http://schemas.microsoft.com/office/drawing/2017/decorative" val="1"/>
                        </a:ext>
                      </a:extLst>
                    </pic:cNvPr>
                    <pic:cNvPicPr/>
                  </pic:nvPicPr>
                  <pic:blipFill>
                    <a:blip r:embed="rId30" cstate="screen">
                      <a:extLst>
                        <a:ext uri="{28A0092B-C50C-407E-A947-70E740481C1C}">
                          <a14:useLocalDpi xmlns:a14="http://schemas.microsoft.com/office/drawing/2010/main"/>
                        </a:ext>
                      </a:extLst>
                    </a:blip>
                    <a:stretch>
                      <a:fillRect/>
                    </a:stretch>
                  </pic:blipFill>
                  <pic:spPr>
                    <a:xfrm>
                      <a:off x="0" y="0"/>
                      <a:ext cx="360000" cy="360000"/>
                    </a:xfrm>
                    <a:prstGeom prst="rect">
                      <a:avLst/>
                    </a:prstGeom>
                  </pic:spPr>
                </pic:pic>
              </a:graphicData>
            </a:graphic>
          </wp:inline>
        </w:drawing>
      </w:r>
      <w:r w:rsidRPr="003C5481">
        <w:tab/>
      </w:r>
      <w:r w:rsidRPr="003C5481">
        <w:rPr>
          <w:rStyle w:val="ARraisedby10pt"/>
        </w:rPr>
        <w:t xml:space="preserve">We are </w:t>
      </w:r>
      <w:r w:rsidRPr="00FC1717">
        <w:rPr>
          <w:rStyle w:val="ARraisedby10pt"/>
        </w:rPr>
        <w:t>responsive</w:t>
      </w:r>
    </w:p>
    <w:p w14:paraId="1127651D" w14:textId="73BD0C81" w:rsidR="00AD7FE0" w:rsidRPr="003C5481" w:rsidRDefault="00AD7FE0" w:rsidP="00595CC6">
      <w:pPr>
        <w:pStyle w:val="ARbullet1"/>
        <w:spacing w:after="20"/>
      </w:pPr>
      <w:r w:rsidRPr="003C5481">
        <w:t xml:space="preserve">We provide frank, impartial and </w:t>
      </w:r>
      <w:r w:rsidRPr="003C5481">
        <w:br/>
        <w:t>timely advice to the Victorian Government</w:t>
      </w:r>
    </w:p>
    <w:p w14:paraId="2F5EB1EC" w14:textId="37627CD6" w:rsidR="00AD7FE0" w:rsidRPr="003C5481" w:rsidRDefault="00AD7FE0" w:rsidP="00595CC6">
      <w:pPr>
        <w:pStyle w:val="ARbullet1"/>
        <w:spacing w:after="20"/>
      </w:pPr>
      <w:r w:rsidRPr="003C5481">
        <w:t>We provide high-quality services</w:t>
      </w:r>
      <w:r w:rsidR="001178AF">
        <w:t>.</w:t>
      </w:r>
      <w:r w:rsidRPr="003C5481">
        <w:t xml:space="preserve"> </w:t>
      </w:r>
      <w:r w:rsidRPr="003C5481">
        <w:br/>
        <w:t>to the Victorian community</w:t>
      </w:r>
      <w:r w:rsidR="001178AF">
        <w:t>.</w:t>
      </w:r>
    </w:p>
    <w:p w14:paraId="5EDC80E6" w14:textId="77777777" w:rsidR="00AD7FE0" w:rsidRDefault="00AD7FE0" w:rsidP="00595CC6">
      <w:pPr>
        <w:pStyle w:val="ARbullet1"/>
        <w:spacing w:after="20"/>
      </w:pPr>
      <w:r w:rsidRPr="003C5481">
        <w:t>We identify and promote best practice</w:t>
      </w:r>
      <w:r>
        <w:t>.</w:t>
      </w:r>
    </w:p>
    <w:p w14:paraId="4C49F369" w14:textId="77777777" w:rsidR="00AD7FE0" w:rsidRPr="00FC1717" w:rsidRDefault="00AD7FE0" w:rsidP="00FC1717">
      <w:pPr>
        <w:pStyle w:val="Heading3Values"/>
        <w:rPr>
          <w:rStyle w:val="ARraisedby10pt"/>
        </w:rPr>
      </w:pPr>
      <w:r>
        <w:rPr>
          <w:noProof/>
        </w:rPr>
        <w:drawing>
          <wp:inline distT="0" distB="0" distL="0" distR="0" wp14:anchorId="244D248E" wp14:editId="3E803101">
            <wp:extent cx="360000" cy="360000"/>
            <wp:effectExtent l="0" t="0" r="2540" b="2540"/>
            <wp:docPr id="127120521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05218" name="Picture 3">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FC1717">
        <w:tab/>
      </w:r>
      <w:r w:rsidRPr="00FC1717">
        <w:rPr>
          <w:rStyle w:val="ARraisedby10pt"/>
        </w:rPr>
        <w:t>We have integrity</w:t>
      </w:r>
    </w:p>
    <w:p w14:paraId="4C0BE6A6" w14:textId="637D244D" w:rsidR="00AD7FE0" w:rsidRPr="003C5481" w:rsidRDefault="00AD7FE0" w:rsidP="00595CC6">
      <w:pPr>
        <w:pStyle w:val="ARbullet1"/>
        <w:spacing w:after="20"/>
      </w:pPr>
      <w:r w:rsidRPr="003C5481">
        <w:t xml:space="preserve">We are honest, open and transparent </w:t>
      </w:r>
      <w:r w:rsidRPr="003C5481">
        <w:br/>
        <w:t>in our dealings</w:t>
      </w:r>
      <w:r w:rsidR="001178AF">
        <w:t>.</w:t>
      </w:r>
    </w:p>
    <w:p w14:paraId="7F9C5088" w14:textId="6D447D85" w:rsidR="00AD7FE0" w:rsidRPr="003C5481" w:rsidRDefault="00AD7FE0" w:rsidP="00595CC6">
      <w:pPr>
        <w:pStyle w:val="ARbullet1"/>
        <w:spacing w:after="20"/>
      </w:pPr>
      <w:r w:rsidRPr="003C5481">
        <w:t>We use powers responsibly</w:t>
      </w:r>
      <w:r w:rsidR="001178AF">
        <w:t>.</w:t>
      </w:r>
    </w:p>
    <w:p w14:paraId="2ACA76A1" w14:textId="57796DDD" w:rsidR="00AD7FE0" w:rsidRPr="003C5481" w:rsidRDefault="00AD7FE0" w:rsidP="00595CC6">
      <w:pPr>
        <w:pStyle w:val="ARbullet1"/>
        <w:spacing w:after="20"/>
      </w:pPr>
      <w:r w:rsidRPr="003C5481">
        <w:t>We report improper conduct</w:t>
      </w:r>
      <w:r w:rsidR="001178AF">
        <w:t>.</w:t>
      </w:r>
    </w:p>
    <w:p w14:paraId="3435D6D4" w14:textId="35BA42C7" w:rsidR="00AD7FE0" w:rsidRPr="003C5481" w:rsidRDefault="00AD7FE0" w:rsidP="00595CC6">
      <w:pPr>
        <w:pStyle w:val="ARbullet1"/>
        <w:spacing w:after="20"/>
      </w:pPr>
      <w:r w:rsidRPr="003C5481">
        <w:t>We avoid any real or apparent conflicts of</w:t>
      </w:r>
      <w:r w:rsidR="00FD2860">
        <w:t> </w:t>
      </w:r>
      <w:r w:rsidRPr="003C5481">
        <w:t>interest</w:t>
      </w:r>
      <w:r w:rsidR="001178AF">
        <w:t>.</w:t>
      </w:r>
    </w:p>
    <w:p w14:paraId="107F62C7" w14:textId="77777777" w:rsidR="00AD7FE0" w:rsidRPr="003C5481" w:rsidRDefault="00AD7FE0" w:rsidP="00595CC6">
      <w:pPr>
        <w:pStyle w:val="ARbullet1"/>
        <w:spacing w:after="20"/>
      </w:pPr>
      <w:r w:rsidRPr="003C5481">
        <w:t>We strive to earn and sustain public trust</w:t>
      </w:r>
      <w:r>
        <w:t>.</w:t>
      </w:r>
    </w:p>
    <w:p w14:paraId="01FD2505" w14:textId="77777777" w:rsidR="00AD7FE0" w:rsidRPr="003C5481" w:rsidRDefault="00AD7FE0">
      <w:pPr>
        <w:pStyle w:val="Heading3Values"/>
      </w:pPr>
      <w:r>
        <w:rPr>
          <w:noProof/>
        </w:rPr>
        <w:drawing>
          <wp:inline distT="0" distB="0" distL="0" distR="0" wp14:anchorId="56E4CFE6" wp14:editId="046B3562">
            <wp:extent cx="360000" cy="360000"/>
            <wp:effectExtent l="0" t="0" r="2540" b="2540"/>
            <wp:docPr id="60661901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19019" name="Picture 4">
                      <a:extLst>
                        <a:ext uri="{C183D7F6-B498-43B3-948B-1728B52AA6E4}">
                          <adec:decorative xmlns:adec="http://schemas.microsoft.com/office/drawing/2017/decorative" val="1"/>
                        </a:ext>
                      </a:extLst>
                    </pic:cNvPr>
                    <pic:cNvPicPr/>
                  </pic:nvPicPr>
                  <pic:blipFill>
                    <a:blip r:embed="rId32" cstate="screen">
                      <a:extLst>
                        <a:ext uri="{28A0092B-C50C-407E-A947-70E740481C1C}">
                          <a14:useLocalDpi xmlns:a14="http://schemas.microsoft.com/office/drawing/2010/main"/>
                        </a:ext>
                      </a:extLst>
                    </a:blip>
                    <a:stretch>
                      <a:fillRect/>
                    </a:stretch>
                  </pic:blipFill>
                  <pic:spPr>
                    <a:xfrm>
                      <a:off x="0" y="0"/>
                      <a:ext cx="360000" cy="360000"/>
                    </a:xfrm>
                    <a:prstGeom prst="rect">
                      <a:avLst/>
                    </a:prstGeom>
                  </pic:spPr>
                </pic:pic>
              </a:graphicData>
            </a:graphic>
          </wp:inline>
        </w:drawing>
      </w:r>
      <w:r w:rsidRPr="003C5481">
        <w:tab/>
      </w:r>
      <w:r w:rsidRPr="003C5481">
        <w:rPr>
          <w:rStyle w:val="ARraisedby10pt"/>
        </w:rPr>
        <w:t>We are impartial</w:t>
      </w:r>
    </w:p>
    <w:p w14:paraId="6781D12F" w14:textId="6DC58CF6" w:rsidR="00AD7FE0" w:rsidRPr="003C5481" w:rsidRDefault="00AD7FE0">
      <w:pPr>
        <w:pStyle w:val="ARbullet1"/>
      </w:pPr>
      <w:r w:rsidRPr="003C5481">
        <w:t>We make decisions and provide advice on</w:t>
      </w:r>
      <w:r>
        <w:t xml:space="preserve"> </w:t>
      </w:r>
      <w:r w:rsidRPr="003C5481">
        <w:t>merit</w:t>
      </w:r>
      <w:r w:rsidR="00FD2860">
        <w:t> </w:t>
      </w:r>
      <w:r w:rsidRPr="003C5481">
        <w:t>and without bias, caprice, favouritism</w:t>
      </w:r>
      <w:r>
        <w:t xml:space="preserve"> </w:t>
      </w:r>
      <w:r w:rsidR="00FD2860">
        <w:br/>
      </w:r>
      <w:r w:rsidRPr="003C5481">
        <w:t>or</w:t>
      </w:r>
      <w:r w:rsidR="00FD2860">
        <w:t> </w:t>
      </w:r>
      <w:r w:rsidRPr="003C5481">
        <w:t>self-interest</w:t>
      </w:r>
      <w:r w:rsidR="001178AF">
        <w:t>.</w:t>
      </w:r>
    </w:p>
    <w:p w14:paraId="7A42E3E5" w14:textId="6B4A6953" w:rsidR="00AD7FE0" w:rsidRPr="003C5481" w:rsidRDefault="00AD7FE0">
      <w:pPr>
        <w:pStyle w:val="ARbullet1"/>
      </w:pPr>
      <w:r w:rsidRPr="003C5481">
        <w:t>We act fairly by objectively considering all</w:t>
      </w:r>
      <w:r>
        <w:t xml:space="preserve"> </w:t>
      </w:r>
      <w:r w:rsidRPr="003C5481">
        <w:t>relevant facts and fair criteria</w:t>
      </w:r>
      <w:r w:rsidR="001178AF">
        <w:t>.</w:t>
      </w:r>
    </w:p>
    <w:p w14:paraId="732DC7A4" w14:textId="77777777" w:rsidR="00AD7FE0" w:rsidRPr="003C5481" w:rsidRDefault="00AD7FE0">
      <w:pPr>
        <w:pStyle w:val="ARbullet1"/>
      </w:pPr>
      <w:r w:rsidRPr="003C5481">
        <w:t>We implement Victorian Government policies</w:t>
      </w:r>
      <w:r>
        <w:t xml:space="preserve"> </w:t>
      </w:r>
      <w:r w:rsidRPr="003C5481">
        <w:t>and programs equitably</w:t>
      </w:r>
      <w:r>
        <w:t>.</w:t>
      </w:r>
    </w:p>
    <w:p w14:paraId="3E50DDBB" w14:textId="77777777" w:rsidR="00AD7FE0" w:rsidRPr="003C5481" w:rsidRDefault="00AD7FE0">
      <w:pPr>
        <w:pStyle w:val="Heading3Values"/>
      </w:pPr>
      <w:r>
        <w:rPr>
          <w:noProof/>
        </w:rPr>
        <w:drawing>
          <wp:inline distT="0" distB="0" distL="0" distR="0" wp14:anchorId="1AABF2C5" wp14:editId="1FEBAEF2">
            <wp:extent cx="360000" cy="360000"/>
            <wp:effectExtent l="0" t="0" r="2540" b="2540"/>
            <wp:docPr id="63033591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35918" name="Picture 5">
                      <a:extLst>
                        <a:ext uri="{C183D7F6-B498-43B3-948B-1728B52AA6E4}">
                          <adec:decorative xmlns:adec="http://schemas.microsoft.com/office/drawing/2017/decorative" val="1"/>
                        </a:ext>
                      </a:extLst>
                    </pic:cNvPr>
                    <pic:cNvPicPr/>
                  </pic:nvPicPr>
                  <pic:blipFill>
                    <a:blip r:embed="rId33" cstate="screen">
                      <a:extLst>
                        <a:ext uri="{28A0092B-C50C-407E-A947-70E740481C1C}">
                          <a14:useLocalDpi xmlns:a14="http://schemas.microsoft.com/office/drawing/2010/main"/>
                        </a:ext>
                      </a:extLst>
                    </a:blip>
                    <a:stretch>
                      <a:fillRect/>
                    </a:stretch>
                  </pic:blipFill>
                  <pic:spPr>
                    <a:xfrm>
                      <a:off x="0" y="0"/>
                      <a:ext cx="360000" cy="360000"/>
                    </a:xfrm>
                    <a:prstGeom prst="rect">
                      <a:avLst/>
                    </a:prstGeom>
                  </pic:spPr>
                </pic:pic>
              </a:graphicData>
            </a:graphic>
          </wp:inline>
        </w:drawing>
      </w:r>
      <w:r w:rsidRPr="003C5481">
        <w:rPr>
          <w:rStyle w:val="ARraisedby10pt"/>
        </w:rPr>
        <w:tab/>
        <w:t>We show respect</w:t>
      </w:r>
    </w:p>
    <w:p w14:paraId="3F573237" w14:textId="3D024ABD" w:rsidR="00AD7FE0" w:rsidRPr="003C5481" w:rsidRDefault="00AD7FE0">
      <w:pPr>
        <w:pStyle w:val="ARbullet1"/>
      </w:pPr>
      <w:r w:rsidRPr="003C5481">
        <w:t>We show respect for colleagues, other public</w:t>
      </w:r>
      <w:r w:rsidR="00FD2860">
        <w:t> </w:t>
      </w:r>
      <w:r w:rsidRPr="003C5481">
        <w:t>officials and members of the Victorian</w:t>
      </w:r>
      <w:r w:rsidR="00FD2860">
        <w:t> </w:t>
      </w:r>
      <w:r w:rsidRPr="003C5481">
        <w:t>community</w:t>
      </w:r>
      <w:r w:rsidR="001178AF">
        <w:t>.</w:t>
      </w:r>
    </w:p>
    <w:p w14:paraId="0F2E354F" w14:textId="5A15575A" w:rsidR="00AD7FE0" w:rsidRPr="003C5481" w:rsidRDefault="00AD7FE0">
      <w:pPr>
        <w:pStyle w:val="ARbullet1"/>
      </w:pPr>
      <w:r w:rsidRPr="003C5481">
        <w:t>We treat our colleagues, other public officials</w:t>
      </w:r>
      <w:r>
        <w:t xml:space="preserve"> </w:t>
      </w:r>
      <w:r w:rsidRPr="003C5481">
        <w:t>and members of the Victorian community fairly and objectively</w:t>
      </w:r>
      <w:r w:rsidR="001178AF">
        <w:t>.</w:t>
      </w:r>
    </w:p>
    <w:p w14:paraId="7ABFDC8E" w14:textId="2E3B9599" w:rsidR="00AD7FE0" w:rsidRPr="003C5481" w:rsidRDefault="00AD7FE0">
      <w:pPr>
        <w:pStyle w:val="ARbullet1"/>
      </w:pPr>
      <w:r w:rsidRPr="003C5481">
        <w:t>We ensure freedom from discrimination, harassment and bullying</w:t>
      </w:r>
      <w:r w:rsidR="001178AF">
        <w:t>.</w:t>
      </w:r>
    </w:p>
    <w:p w14:paraId="2D7D3104" w14:textId="49BC5ED9" w:rsidR="00AD7FE0" w:rsidRPr="003C5481" w:rsidRDefault="00AD7FE0">
      <w:pPr>
        <w:pStyle w:val="ARbullet1"/>
      </w:pPr>
      <w:r w:rsidRPr="003C5481">
        <w:t xml:space="preserve">We use </w:t>
      </w:r>
      <w:r>
        <w:t xml:space="preserve">the views of </w:t>
      </w:r>
      <w:r w:rsidRPr="003C5481">
        <w:t>colleagues, other public officials</w:t>
      </w:r>
      <w:r>
        <w:t xml:space="preserve"> </w:t>
      </w:r>
      <w:r w:rsidRPr="003C5481">
        <w:t>and members of the Victorian community</w:t>
      </w:r>
      <w:r>
        <w:t xml:space="preserve"> </w:t>
      </w:r>
      <w:r w:rsidRPr="003C5481">
        <w:t>to improve outcomes on an</w:t>
      </w:r>
      <w:r w:rsidR="005E5B81">
        <w:t> </w:t>
      </w:r>
      <w:r w:rsidRPr="003C5481">
        <w:t>ongoing</w:t>
      </w:r>
      <w:r w:rsidR="00FD2860">
        <w:t> </w:t>
      </w:r>
      <w:r w:rsidRPr="003C5481">
        <w:t>basis.</w:t>
      </w:r>
    </w:p>
    <w:p w14:paraId="36CE42FE" w14:textId="77777777" w:rsidR="00AD7FE0" w:rsidRPr="003C5481" w:rsidRDefault="00AD7FE0">
      <w:pPr>
        <w:pStyle w:val="Heading3Values"/>
      </w:pPr>
      <w:r>
        <w:rPr>
          <w:noProof/>
        </w:rPr>
        <w:drawing>
          <wp:inline distT="0" distB="0" distL="0" distR="0" wp14:anchorId="2ECE0B70" wp14:editId="2FA33230">
            <wp:extent cx="360000" cy="360000"/>
            <wp:effectExtent l="0" t="0" r="2540" b="2540"/>
            <wp:docPr id="21423692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6925" name="Picture 6">
                      <a:extLst>
                        <a:ext uri="{C183D7F6-B498-43B3-948B-1728B52AA6E4}">
                          <adec:decorative xmlns:adec="http://schemas.microsoft.com/office/drawing/2017/decorative" val="1"/>
                        </a:ext>
                      </a:extLst>
                    </pic:cNvPr>
                    <pic:cNvPicPr/>
                  </pic:nvPicPr>
                  <pic:blipFill>
                    <a:blip r:embed="rId34" cstate="screen">
                      <a:extLst>
                        <a:ext uri="{28A0092B-C50C-407E-A947-70E740481C1C}">
                          <a14:useLocalDpi xmlns:a14="http://schemas.microsoft.com/office/drawing/2010/main"/>
                        </a:ext>
                      </a:extLst>
                    </a:blip>
                    <a:stretch>
                      <a:fillRect/>
                    </a:stretch>
                  </pic:blipFill>
                  <pic:spPr>
                    <a:xfrm>
                      <a:off x="0" y="0"/>
                      <a:ext cx="360000" cy="360000"/>
                    </a:xfrm>
                    <a:prstGeom prst="rect">
                      <a:avLst/>
                    </a:prstGeom>
                  </pic:spPr>
                </pic:pic>
              </a:graphicData>
            </a:graphic>
          </wp:inline>
        </w:drawing>
      </w:r>
      <w:r w:rsidRPr="003C5481">
        <w:rPr>
          <w:rFonts w:asciiTheme="minorHAnsi" w:eastAsiaTheme="minorHAnsi" w:hAnsiTheme="minorHAnsi" w:cstheme="minorBidi"/>
          <w:szCs w:val="22"/>
        </w:rPr>
        <w:tab/>
      </w:r>
      <w:r w:rsidRPr="003C5481">
        <w:rPr>
          <w:rStyle w:val="ARraisedby10pt"/>
        </w:rPr>
        <w:t>We are accountable</w:t>
      </w:r>
    </w:p>
    <w:p w14:paraId="21ECCA44" w14:textId="6D1ED865" w:rsidR="00AD7FE0" w:rsidRPr="003C5481" w:rsidRDefault="00AD7FE0">
      <w:pPr>
        <w:pStyle w:val="ARbullet1"/>
      </w:pPr>
      <w:r w:rsidRPr="003C5481">
        <w:t>We work to</w:t>
      </w:r>
      <w:r>
        <w:t>wards</w:t>
      </w:r>
      <w:r w:rsidRPr="003C5481">
        <w:t xml:space="preserve"> clear objectives in</w:t>
      </w:r>
      <w:r w:rsidR="005E5B81">
        <w:t> </w:t>
      </w:r>
      <w:r w:rsidRPr="003C5481">
        <w:t>a</w:t>
      </w:r>
      <w:r w:rsidR="005E5B81">
        <w:t> </w:t>
      </w:r>
      <w:r w:rsidRPr="003C5481">
        <w:t>transparent</w:t>
      </w:r>
      <w:r>
        <w:t xml:space="preserve"> </w:t>
      </w:r>
      <w:r w:rsidRPr="003C5481">
        <w:t>manner</w:t>
      </w:r>
      <w:r w:rsidR="001178AF">
        <w:t>.</w:t>
      </w:r>
    </w:p>
    <w:p w14:paraId="14184AD4" w14:textId="4814E4FA" w:rsidR="00AD7FE0" w:rsidRPr="003C5481" w:rsidRDefault="00AD7FE0">
      <w:pPr>
        <w:pStyle w:val="ARbullet1"/>
      </w:pPr>
      <w:r w:rsidRPr="003C5481">
        <w:t>We accept responsibility for our decisions and</w:t>
      </w:r>
      <w:r w:rsidR="00FD2860">
        <w:t> </w:t>
      </w:r>
      <w:r w:rsidRPr="003C5481">
        <w:t>actions</w:t>
      </w:r>
      <w:r w:rsidR="001178AF">
        <w:t>.</w:t>
      </w:r>
    </w:p>
    <w:p w14:paraId="02FB5C5E" w14:textId="76040B45" w:rsidR="00AD7FE0" w:rsidRPr="003C5481" w:rsidRDefault="00AD7FE0">
      <w:pPr>
        <w:pStyle w:val="ARbullet1"/>
      </w:pPr>
      <w:r w:rsidRPr="003C5481">
        <w:t>We seek to achieve the best use of resources</w:t>
      </w:r>
      <w:r w:rsidR="001178AF">
        <w:t>.</w:t>
      </w:r>
    </w:p>
    <w:p w14:paraId="00134237" w14:textId="77777777" w:rsidR="00AD7FE0" w:rsidRPr="003C5481" w:rsidRDefault="00AD7FE0">
      <w:pPr>
        <w:pStyle w:val="ARbullet1"/>
      </w:pPr>
      <w:r w:rsidRPr="003C5481">
        <w:t>We submit ourselves to appropriate scrutiny</w:t>
      </w:r>
      <w:r>
        <w:t>.</w:t>
      </w:r>
    </w:p>
    <w:p w14:paraId="7DDFF712" w14:textId="77777777" w:rsidR="00AD7FE0" w:rsidRPr="003C5481" w:rsidRDefault="00AD7FE0">
      <w:pPr>
        <w:pStyle w:val="Heading3Values"/>
      </w:pPr>
      <w:r>
        <w:rPr>
          <w:noProof/>
        </w:rPr>
        <w:drawing>
          <wp:inline distT="0" distB="0" distL="0" distR="0" wp14:anchorId="69D457E2" wp14:editId="22C91EBA">
            <wp:extent cx="360000" cy="360000"/>
            <wp:effectExtent l="0" t="0" r="2540" b="2540"/>
            <wp:docPr id="1832371873"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71873" name="Picture 7">
                      <a:extLst>
                        <a:ext uri="{C183D7F6-B498-43B3-948B-1728B52AA6E4}">
                          <adec:decorative xmlns:adec="http://schemas.microsoft.com/office/drawing/2017/decorative" val="1"/>
                        </a:ext>
                      </a:extLst>
                    </pic:cNvPr>
                    <pic:cNvPicPr/>
                  </pic:nvPicPr>
                  <pic:blipFill>
                    <a:blip r:embed="rId35" cstate="screen">
                      <a:extLst>
                        <a:ext uri="{28A0092B-C50C-407E-A947-70E740481C1C}">
                          <a14:useLocalDpi xmlns:a14="http://schemas.microsoft.com/office/drawing/2010/main"/>
                        </a:ext>
                      </a:extLst>
                    </a:blip>
                    <a:stretch>
                      <a:fillRect/>
                    </a:stretch>
                  </pic:blipFill>
                  <pic:spPr>
                    <a:xfrm>
                      <a:off x="0" y="0"/>
                      <a:ext cx="360000" cy="360000"/>
                    </a:xfrm>
                    <a:prstGeom prst="rect">
                      <a:avLst/>
                    </a:prstGeom>
                  </pic:spPr>
                </pic:pic>
              </a:graphicData>
            </a:graphic>
          </wp:inline>
        </w:drawing>
      </w:r>
      <w:r w:rsidRPr="003C5481">
        <w:rPr>
          <w:rFonts w:asciiTheme="minorHAnsi" w:eastAsiaTheme="minorHAnsi" w:hAnsiTheme="minorHAnsi" w:cstheme="minorBidi"/>
          <w:szCs w:val="22"/>
        </w:rPr>
        <w:tab/>
      </w:r>
      <w:r w:rsidRPr="003C5481">
        <w:rPr>
          <w:rStyle w:val="ARraisedby10pt"/>
        </w:rPr>
        <w:t>We lead</w:t>
      </w:r>
    </w:p>
    <w:p w14:paraId="14165C21" w14:textId="77777777" w:rsidR="00AD7FE0" w:rsidRPr="003C5481" w:rsidRDefault="00AD7FE0">
      <w:pPr>
        <w:pStyle w:val="ARbullet1"/>
      </w:pPr>
      <w:r w:rsidRPr="003C5481">
        <w:t>We actively implement, promote and support</w:t>
      </w:r>
      <w:r>
        <w:t xml:space="preserve"> </w:t>
      </w:r>
      <w:r w:rsidRPr="003C5481">
        <w:t>these values</w:t>
      </w:r>
      <w:r>
        <w:t>.</w:t>
      </w:r>
    </w:p>
    <w:p w14:paraId="38D92ACA" w14:textId="77777777" w:rsidR="00AD7FE0" w:rsidRPr="003C5481" w:rsidRDefault="00AD7FE0">
      <w:pPr>
        <w:pStyle w:val="Heading3Values"/>
      </w:pPr>
      <w:r>
        <w:rPr>
          <w:noProof/>
        </w:rPr>
        <w:drawing>
          <wp:inline distT="0" distB="0" distL="0" distR="0" wp14:anchorId="313802DA" wp14:editId="4CD2282E">
            <wp:extent cx="360000" cy="360000"/>
            <wp:effectExtent l="0" t="0" r="2540" b="2540"/>
            <wp:docPr id="190053911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39119" name="Picture 8">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3C5481">
        <w:rPr>
          <w:rFonts w:asciiTheme="minorHAnsi" w:eastAsiaTheme="minorHAnsi" w:hAnsiTheme="minorHAnsi" w:cstheme="minorBidi"/>
          <w:szCs w:val="22"/>
        </w:rPr>
        <w:tab/>
      </w:r>
      <w:r w:rsidRPr="003C5481">
        <w:rPr>
          <w:rStyle w:val="ARraisedby10pt"/>
        </w:rPr>
        <w:t>We respect human rights</w:t>
      </w:r>
    </w:p>
    <w:p w14:paraId="7E4B6830" w14:textId="0D88B0D4" w:rsidR="00AD7FE0" w:rsidRPr="003C5481" w:rsidRDefault="00AD7FE0">
      <w:pPr>
        <w:pStyle w:val="ARbullet1"/>
      </w:pPr>
      <w:r w:rsidRPr="003C5481">
        <w:t xml:space="preserve">We respect and promote the human rights set out in the Victorian </w:t>
      </w:r>
      <w:r w:rsidRPr="001048C7">
        <w:rPr>
          <w:rStyle w:val="Emphasis"/>
        </w:rPr>
        <w:t>Charter of Human Rights and Responsibilities Act</w:t>
      </w:r>
      <w:r w:rsidRPr="00C73A40">
        <w:t xml:space="preserve"> </w:t>
      </w:r>
      <w:r w:rsidRPr="00233486">
        <w:rPr>
          <w:i/>
          <w:iCs/>
        </w:rPr>
        <w:t>2006</w:t>
      </w:r>
      <w:r w:rsidR="001178AF">
        <w:rPr>
          <w:i/>
          <w:iCs/>
        </w:rPr>
        <w:t>.</w:t>
      </w:r>
    </w:p>
    <w:p w14:paraId="2DE8ED5A" w14:textId="7F701537" w:rsidR="00AD7FE0" w:rsidRPr="003C5481" w:rsidRDefault="00AD7FE0">
      <w:pPr>
        <w:pStyle w:val="ARbullet1"/>
      </w:pPr>
      <w:r w:rsidRPr="003C5481">
        <w:t>We make decisions and provide advice consistent with human rights</w:t>
      </w:r>
      <w:r w:rsidR="001178AF">
        <w:t>.</w:t>
      </w:r>
    </w:p>
    <w:p w14:paraId="5BE66F88" w14:textId="77777777" w:rsidR="00AD7FE0" w:rsidRPr="003C5481" w:rsidRDefault="00AD7FE0">
      <w:pPr>
        <w:pStyle w:val="ARbullet1"/>
      </w:pPr>
      <w:r w:rsidRPr="003C5481">
        <w:t>We actively implement, promote and support human rights</w:t>
      </w:r>
      <w:r>
        <w:t>.</w:t>
      </w:r>
    </w:p>
    <w:p w14:paraId="3251AC71" w14:textId="77777777" w:rsidR="00AD7FE0" w:rsidRDefault="00AD7FE0">
      <w:pPr>
        <w:pStyle w:val="ARbullet1"/>
        <w:numPr>
          <w:ilvl w:val="0"/>
          <w:numId w:val="0"/>
        </w:numPr>
        <w:ind w:left="284" w:hanging="284"/>
      </w:pPr>
    </w:p>
    <w:p w14:paraId="02514472" w14:textId="77777777" w:rsidR="00AD7FE0" w:rsidRDefault="00AD7FE0">
      <w:pPr>
        <w:pStyle w:val="ARbullet1"/>
        <w:numPr>
          <w:ilvl w:val="0"/>
          <w:numId w:val="0"/>
        </w:numPr>
        <w:ind w:left="284" w:hanging="284"/>
        <w:sectPr w:rsidR="00AD7FE0"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02BB7148" w14:textId="77777777" w:rsidR="00AD7FE0" w:rsidRDefault="00AD7FE0" w:rsidP="009D58CC">
      <w:pPr>
        <w:pStyle w:val="Heading2"/>
        <w:sectPr w:rsidR="00AD7FE0" w:rsidSect="005936D2">
          <w:headerReference w:type="default" r:id="rId37"/>
          <w:footnotePr>
            <w:numFmt w:val="lowerRoman"/>
            <w:numRestart w:val="eachPage"/>
          </w:footnotePr>
          <w:endnotePr>
            <w:numFmt w:val="decimal"/>
          </w:endnotePr>
          <w:pgSz w:w="11900" w:h="16840" w:code="9"/>
          <w:pgMar w:top="1701" w:right="1134" w:bottom="851" w:left="1134" w:header="510" w:footer="340" w:gutter="0"/>
          <w:cols w:space="708"/>
        </w:sectPr>
      </w:pPr>
      <w:bookmarkStart w:id="34" w:name="_Ref85025311"/>
      <w:bookmarkStart w:id="35" w:name="_Toc114491183"/>
      <w:bookmarkStart w:id="36" w:name="_Toc181101484"/>
      <w:r w:rsidRPr="002029AF">
        <w:t>Purpose and functions</w:t>
      </w:r>
      <w:bookmarkEnd w:id="34"/>
      <w:bookmarkEnd w:id="35"/>
      <w:bookmarkEnd w:id="36"/>
    </w:p>
    <w:p w14:paraId="6BF57C8C" w14:textId="77777777" w:rsidR="00AD7FE0" w:rsidRDefault="00AD7FE0" w:rsidP="00333387">
      <w:pPr>
        <w:pStyle w:val="Heading3"/>
      </w:pPr>
      <w:r>
        <w:t xml:space="preserve">Our </w:t>
      </w:r>
      <w:r w:rsidRPr="00B053BE">
        <w:t>purpose</w:t>
      </w:r>
    </w:p>
    <w:p w14:paraId="43B7E9D6" w14:textId="77777777" w:rsidR="00AD7FE0" w:rsidRDefault="00AD7FE0">
      <w:pPr>
        <w:pStyle w:val="ARbodynospace"/>
      </w:pPr>
      <w:r w:rsidRPr="006C0DF8">
        <w:t>The department is responsible for leading within the Victorian Government on child protection and</w:t>
      </w:r>
      <w:r>
        <w:t xml:space="preserve"> </w:t>
      </w:r>
      <w:r w:rsidRPr="006C0DF8">
        <w:t>family services, prevention of family violence, housing and homelessness, disability, seniors, carers, LGBTIQA+ equality, veterans, women and</w:t>
      </w:r>
      <w:r>
        <w:t xml:space="preserve"> </w:t>
      </w:r>
      <w:r w:rsidRPr="006C0DF8">
        <w:t>youth</w:t>
      </w:r>
      <w:r>
        <w:t>.</w:t>
      </w:r>
    </w:p>
    <w:p w14:paraId="019286FF" w14:textId="77777777" w:rsidR="00AD7FE0" w:rsidRPr="006F7557" w:rsidRDefault="00AD7FE0" w:rsidP="00B053BE">
      <w:pPr>
        <w:pStyle w:val="Heading4"/>
        <w:rPr>
          <w:b w:val="0"/>
          <w:bCs w:val="0"/>
          <w:caps/>
        </w:rPr>
      </w:pPr>
      <w:r w:rsidRPr="00B053BE">
        <w:t>Ageing</w:t>
      </w:r>
    </w:p>
    <w:p w14:paraId="6D51865A" w14:textId="036753A8" w:rsidR="00AD7FE0" w:rsidRDefault="00AD7FE0" w:rsidP="004B1745">
      <w:pPr>
        <w:pStyle w:val="ARbody"/>
      </w:pPr>
      <w:r>
        <w:t>The department supports older Victorians and their carers to live happy, healthy lives. We provide advice and funding for seniors</w:t>
      </w:r>
      <w:r w:rsidR="00711AE6">
        <w:t>’</w:t>
      </w:r>
      <w:r>
        <w:t xml:space="preserve"> programs and participation. We deliver the Seniors Card, Companion Card, and Carer Card programs. </w:t>
      </w:r>
    </w:p>
    <w:p w14:paraId="6B9C20DB" w14:textId="2E01160B" w:rsidR="00AD7FE0" w:rsidRDefault="00AD7FE0" w:rsidP="004B1745">
      <w:pPr>
        <w:pStyle w:val="ARbody"/>
      </w:pPr>
      <w:r>
        <w:t>Each year, we deliver the Victorian Seniors Festival, in partnership with Victoria</w:t>
      </w:r>
      <w:r w:rsidR="00711AE6">
        <w:t>’</w:t>
      </w:r>
      <w:r>
        <w:t>s 79 local councils. In October 2023, the Seniors Festival delivered more than 3,000 events across the state. As part of the Seniors Festival, the department delivers the Victorian Senior of the Year Awards to</w:t>
      </w:r>
      <w:r w:rsidR="005E5B81">
        <w:t> </w:t>
      </w:r>
      <w:r>
        <w:t xml:space="preserve">recognise and celebrate senior Victorians who contribute to the Victorian community through volunteering. </w:t>
      </w:r>
    </w:p>
    <w:p w14:paraId="5FA5682B" w14:textId="35DCBC00" w:rsidR="00AD7FE0" w:rsidRPr="009224BA" w:rsidRDefault="00AD7FE0" w:rsidP="008B54BB">
      <w:pPr>
        <w:pStyle w:val="ARbody"/>
      </w:pPr>
      <w:r w:rsidRPr="009D59D2">
        <w:t xml:space="preserve">The </w:t>
      </w:r>
      <w:r>
        <w:t xml:space="preserve">department </w:t>
      </w:r>
      <w:r w:rsidRPr="009D59D2">
        <w:t>works across government</w:t>
      </w:r>
      <w:r>
        <w:t xml:space="preserve"> actively collaborating</w:t>
      </w:r>
      <w:r w:rsidRPr="009D59D2">
        <w:t xml:space="preserve"> to </w:t>
      </w:r>
      <w:r>
        <w:t xml:space="preserve">put </w:t>
      </w:r>
      <w:r w:rsidRPr="009D59D2">
        <w:t>Victoria</w:t>
      </w:r>
      <w:r w:rsidR="00711AE6">
        <w:t>’</w:t>
      </w:r>
      <w:r w:rsidRPr="009D59D2">
        <w:t xml:space="preserve">s </w:t>
      </w:r>
      <w:r w:rsidRPr="001048C7">
        <w:rPr>
          <w:rStyle w:val="Emphasis"/>
        </w:rPr>
        <w:t xml:space="preserve">Ageing </w:t>
      </w:r>
      <w:r w:rsidR="001178AF">
        <w:rPr>
          <w:rStyle w:val="Emphasis"/>
        </w:rPr>
        <w:t>w</w:t>
      </w:r>
      <w:r w:rsidR="001178AF" w:rsidRPr="001048C7">
        <w:rPr>
          <w:rStyle w:val="Emphasis"/>
        </w:rPr>
        <w:t xml:space="preserve">ell </w:t>
      </w:r>
      <w:r w:rsidR="001178AF">
        <w:rPr>
          <w:rStyle w:val="Emphasis"/>
        </w:rPr>
        <w:t>a</w:t>
      </w:r>
      <w:r w:rsidR="001178AF" w:rsidRPr="001048C7">
        <w:rPr>
          <w:rStyle w:val="Emphasis"/>
        </w:rPr>
        <w:t xml:space="preserve">ction </w:t>
      </w:r>
      <w:r w:rsidR="001178AF">
        <w:rPr>
          <w:rStyle w:val="Emphasis"/>
        </w:rPr>
        <w:t>p</w:t>
      </w:r>
      <w:r w:rsidR="001178AF" w:rsidRPr="001048C7">
        <w:rPr>
          <w:rStyle w:val="Emphasis"/>
        </w:rPr>
        <w:t xml:space="preserve">lan </w:t>
      </w:r>
      <w:r w:rsidRPr="001048C7">
        <w:rPr>
          <w:rStyle w:val="Emphasis"/>
        </w:rPr>
        <w:t>2022</w:t>
      </w:r>
      <w:r w:rsidR="006E2F2E">
        <w:rPr>
          <w:rStyle w:val="Emphasis"/>
        </w:rPr>
        <w:t>–</w:t>
      </w:r>
      <w:r w:rsidRPr="001048C7">
        <w:rPr>
          <w:rStyle w:val="Emphasis"/>
        </w:rPr>
        <w:t>2026</w:t>
      </w:r>
      <w:r>
        <w:t xml:space="preserve"> into practice</w:t>
      </w:r>
      <w:r w:rsidDel="00AF4A5F">
        <w:t>.</w:t>
      </w:r>
      <w:r w:rsidRPr="009D59D2">
        <w:t xml:space="preserve"> The </w:t>
      </w:r>
      <w:r>
        <w:t>p</w:t>
      </w:r>
      <w:r w:rsidRPr="009D59D2">
        <w:t xml:space="preserve">lan encourages all levels of government and the community sector to adopt an </w:t>
      </w:r>
      <w:r w:rsidR="00711AE6">
        <w:t>‘</w:t>
      </w:r>
      <w:r w:rsidRPr="009D59D2">
        <w:t>ageing well</w:t>
      </w:r>
      <w:r w:rsidR="00711AE6">
        <w:t>’</w:t>
      </w:r>
      <w:r w:rsidRPr="009D59D2">
        <w:t xml:space="preserve"> lens when designing policies and programs that affect older people.</w:t>
      </w:r>
      <w:r>
        <w:t xml:space="preserve"> </w:t>
      </w:r>
      <w:r w:rsidRPr="00596E1E">
        <w:t xml:space="preserve">We </w:t>
      </w:r>
      <w:r>
        <w:t>also fund several</w:t>
      </w:r>
      <w:r w:rsidRPr="00596E1E">
        <w:t xml:space="preserve"> non-government organisations to </w:t>
      </w:r>
      <w:r>
        <w:t xml:space="preserve">deliver </w:t>
      </w:r>
      <w:r w:rsidRPr="00596E1E">
        <w:t xml:space="preserve">work aligned with the </w:t>
      </w:r>
      <w:r>
        <w:t>action plan.</w:t>
      </w:r>
    </w:p>
    <w:p w14:paraId="679A2823" w14:textId="68ACC8CD" w:rsidR="00AD7FE0" w:rsidRDefault="00AD7FE0" w:rsidP="000461AE">
      <w:pPr>
        <w:pStyle w:val="ARbody"/>
      </w:pPr>
      <w:r>
        <w:t>The department also supports elder abuse prevention and response. This helps us to understand, identify and address elder abuse, and</w:t>
      </w:r>
      <w:r w:rsidR="005E5B81">
        <w:t> </w:t>
      </w:r>
      <w:r>
        <w:t>it also supports local place-based action to</w:t>
      </w:r>
      <w:r w:rsidR="005E5B81">
        <w:t> </w:t>
      </w:r>
      <w:r>
        <w:t>raise awareness of elder abuse and stop it</w:t>
      </w:r>
      <w:r w:rsidR="005E5B81">
        <w:t> </w:t>
      </w:r>
      <w:r>
        <w:t>from happening.</w:t>
      </w:r>
    </w:p>
    <w:p w14:paraId="2002C3D9" w14:textId="77777777" w:rsidR="00AD7FE0" w:rsidRPr="006F7557" w:rsidRDefault="00AD7FE0" w:rsidP="00B053BE">
      <w:pPr>
        <w:pStyle w:val="Heading4"/>
        <w:rPr>
          <w:caps/>
        </w:rPr>
      </w:pPr>
      <w:bookmarkStart w:id="37" w:name="_Ref85055987"/>
      <w:r w:rsidRPr="006F7557">
        <w:t>Carers</w:t>
      </w:r>
      <w:bookmarkEnd w:id="37"/>
      <w:r w:rsidRPr="006F7557">
        <w:t xml:space="preserve"> and Volunteers</w:t>
      </w:r>
    </w:p>
    <w:p w14:paraId="25201C59" w14:textId="70252A1B" w:rsidR="00AD7FE0" w:rsidRPr="00483527" w:rsidRDefault="00AD7FE0">
      <w:pPr>
        <w:pStyle w:val="ARbody"/>
      </w:pPr>
      <w:r w:rsidRPr="00483527">
        <w:t>The department helps Victoria</w:t>
      </w:r>
      <w:r>
        <w:t>ns feel included in</w:t>
      </w:r>
      <w:r w:rsidR="005E5B81">
        <w:t> </w:t>
      </w:r>
      <w:r w:rsidRPr="00483527">
        <w:t>their communities</w:t>
      </w:r>
      <w:r>
        <w:t>. We do this by</w:t>
      </w:r>
      <w:r w:rsidRPr="00483527" w:rsidDel="00573EF1">
        <w:t xml:space="preserve"> </w:t>
      </w:r>
      <w:r>
        <w:t xml:space="preserve">encouraging </w:t>
      </w:r>
      <w:r w:rsidRPr="00483527">
        <w:t xml:space="preserve">people to </w:t>
      </w:r>
      <w:r>
        <w:t>get involved</w:t>
      </w:r>
      <w:r w:rsidRPr="00483527">
        <w:t xml:space="preserve"> </w:t>
      </w:r>
      <w:r>
        <w:t>in</w:t>
      </w:r>
      <w:r w:rsidRPr="00483527">
        <w:t xml:space="preserve"> volunteering and being part of community places like </w:t>
      </w:r>
      <w:r>
        <w:t>Neighbourhood H</w:t>
      </w:r>
      <w:r w:rsidRPr="00483527">
        <w:t>ouses</w:t>
      </w:r>
      <w:r>
        <w:t xml:space="preserve"> </w:t>
      </w:r>
      <w:r w:rsidRPr="00483527">
        <w:t xml:space="preserve">and </w:t>
      </w:r>
      <w:r>
        <w:t>Men</w:t>
      </w:r>
      <w:r w:rsidR="00711AE6">
        <w:t>’</w:t>
      </w:r>
      <w:r>
        <w:t>s S</w:t>
      </w:r>
      <w:r w:rsidRPr="00483527">
        <w:t>heds.</w:t>
      </w:r>
    </w:p>
    <w:p w14:paraId="5BEC44DE" w14:textId="77777777" w:rsidR="00AD7FE0" w:rsidRDefault="00AD7FE0">
      <w:pPr>
        <w:pStyle w:val="ARbody"/>
      </w:pPr>
      <w:r>
        <w:t>Our p</w:t>
      </w:r>
      <w:r w:rsidRPr="00D36AFC">
        <w:t xml:space="preserve">rograms provide support for </w:t>
      </w:r>
      <w:r>
        <w:t xml:space="preserve">people </w:t>
      </w:r>
      <w:r w:rsidRPr="00D36AFC">
        <w:t xml:space="preserve">experiencing </w:t>
      </w:r>
      <w:r w:rsidRPr="00C52733">
        <w:t>economic exclusion</w:t>
      </w:r>
      <w:r>
        <w:t xml:space="preserve"> and hardship, including </w:t>
      </w:r>
      <w:r w:rsidRPr="00C52733">
        <w:t>financial capability</w:t>
      </w:r>
      <w:r>
        <w:t xml:space="preserve"> </w:t>
      </w:r>
      <w:r w:rsidRPr="00C52733">
        <w:t>programs</w:t>
      </w:r>
      <w:r>
        <w:t xml:space="preserve">. </w:t>
      </w:r>
    </w:p>
    <w:p w14:paraId="121ADDE1" w14:textId="6AC40B7D" w:rsidR="00AD7FE0" w:rsidRDefault="005E5B81">
      <w:pPr>
        <w:pStyle w:val="ARbody"/>
      </w:pPr>
      <w:r>
        <w:br w:type="column"/>
      </w:r>
      <w:r w:rsidR="00AD7FE0">
        <w:t xml:space="preserve">We also partner with </w:t>
      </w:r>
      <w:r w:rsidR="00AD7FE0" w:rsidRPr="00051995">
        <w:t xml:space="preserve">organisations </w:t>
      </w:r>
      <w:r w:rsidR="00AD7FE0">
        <w:t xml:space="preserve">across the state including Foodbank Victoria, regional Food Shares and local community organisations </w:t>
      </w:r>
      <w:r w:rsidR="00AD7FE0" w:rsidRPr="00051995">
        <w:t xml:space="preserve">to strengthen </w:t>
      </w:r>
      <w:r w:rsidR="00AD7FE0">
        <w:t>food security across Victoria and help more people to put food on the table</w:t>
      </w:r>
      <w:r w:rsidR="00AD7FE0" w:rsidRPr="00051995">
        <w:t>.</w:t>
      </w:r>
    </w:p>
    <w:p w14:paraId="2BBEC36D" w14:textId="4C059186" w:rsidR="00AD7FE0" w:rsidRPr="00051995" w:rsidRDefault="00AD7FE0">
      <w:pPr>
        <w:pStyle w:val="ARbody"/>
      </w:pPr>
      <w:r>
        <w:t xml:space="preserve">Under </w:t>
      </w:r>
      <w:r w:rsidRPr="004B1745">
        <w:rPr>
          <w:rStyle w:val="Emphasis"/>
          <w:i w:val="0"/>
          <w:iCs w:val="0"/>
        </w:rPr>
        <w:t>the</w:t>
      </w:r>
      <w:r w:rsidRPr="001048C7">
        <w:rPr>
          <w:rStyle w:val="Emphasis"/>
        </w:rPr>
        <w:t xml:space="preserve"> Victorian </w:t>
      </w:r>
      <w:r w:rsidR="001178AF">
        <w:rPr>
          <w:rStyle w:val="Emphasis"/>
        </w:rPr>
        <w:t>c</w:t>
      </w:r>
      <w:r w:rsidR="001178AF" w:rsidRPr="001048C7">
        <w:rPr>
          <w:rStyle w:val="Emphasis"/>
        </w:rPr>
        <w:t xml:space="preserve">arer </w:t>
      </w:r>
      <w:r w:rsidR="001178AF">
        <w:rPr>
          <w:rStyle w:val="Emphasis"/>
        </w:rPr>
        <w:t>s</w:t>
      </w:r>
      <w:r w:rsidR="001178AF" w:rsidRPr="001048C7">
        <w:rPr>
          <w:rStyle w:val="Emphasis"/>
        </w:rPr>
        <w:t>trategy</w:t>
      </w:r>
      <w:r>
        <w:t xml:space="preserve">, the department supports </w:t>
      </w:r>
      <w:r w:rsidRPr="00C52733">
        <w:t>unpaid carers</w:t>
      </w:r>
      <w:r>
        <w:t xml:space="preserve">. This includes </w:t>
      </w:r>
      <w:r w:rsidDel="003B7377">
        <w:t>the</w:t>
      </w:r>
      <w:r>
        <w:t xml:space="preserve"> Support for Carers program and Additional Respite for Carers initiative, as well as benefits provided to</w:t>
      </w:r>
      <w:r w:rsidR="005E5B81">
        <w:t> </w:t>
      </w:r>
      <w:r>
        <w:t>Victorian Carer Card holders</w:t>
      </w:r>
      <w:r w:rsidDel="00086871">
        <w:t xml:space="preserve">. </w:t>
      </w:r>
    </w:p>
    <w:p w14:paraId="505BF966" w14:textId="77777777" w:rsidR="00AD7FE0" w:rsidRPr="006F7557" w:rsidRDefault="00AD7FE0" w:rsidP="00B053BE">
      <w:pPr>
        <w:pStyle w:val="Heading4"/>
        <w:rPr>
          <w:b w:val="0"/>
          <w:bCs w:val="0"/>
          <w:caps/>
        </w:rPr>
      </w:pPr>
      <w:r w:rsidRPr="00B053BE">
        <w:t>Children</w:t>
      </w:r>
    </w:p>
    <w:p w14:paraId="737B9EDC" w14:textId="20D5FB24" w:rsidR="00AD7FE0" w:rsidRPr="006F14AB" w:rsidRDefault="00AD7FE0" w:rsidP="00D050FE">
      <w:pPr>
        <w:pStyle w:val="ARbody"/>
      </w:pPr>
      <w:r w:rsidRPr="006F14AB">
        <w:t>The department is responsible for the delivery and</w:t>
      </w:r>
      <w:r w:rsidR="005E5B81">
        <w:t> </w:t>
      </w:r>
      <w:r w:rsidRPr="006F14AB">
        <w:t>oversight of the children and families service system that helps children, young people and families have better lives. This includes the direct delivery of statutory child protection services, family support and parenting services, care services and specialist support services,</w:t>
      </w:r>
      <w:r>
        <w:t xml:space="preserve"> to</w:t>
      </w:r>
      <w:r w:rsidRPr="006F14AB">
        <w:t xml:space="preserve"> young people leaving care and Aboriginal children and families.</w:t>
      </w:r>
      <w:r>
        <w:t xml:space="preserve"> These services form part of the Children portfolio, along with early years services supported by the Department of Education and the Department of Health.</w:t>
      </w:r>
    </w:p>
    <w:p w14:paraId="688A51D5" w14:textId="77777777" w:rsidR="00AD7FE0" w:rsidRDefault="00AD7FE0">
      <w:pPr>
        <w:pStyle w:val="ARbody"/>
        <w:rPr>
          <w:szCs w:val="21"/>
        </w:rPr>
      </w:pPr>
      <w:r>
        <w:t>We support the Children portfolio</w:t>
      </w:r>
      <w:r w:rsidRPr="006F14AB">
        <w:t xml:space="preserve"> through the design and implementation of legislation, policies, programs and practical advice</w:t>
      </w:r>
      <w:r>
        <w:t xml:space="preserve">. We </w:t>
      </w:r>
      <w:r w:rsidRPr="006F14AB">
        <w:t xml:space="preserve">provide stewardship and oversight of the children and families system. </w:t>
      </w:r>
      <w:r w:rsidRPr="006F14AB">
        <w:rPr>
          <w:szCs w:val="21"/>
        </w:rPr>
        <w:t>We</w:t>
      </w:r>
      <w:r>
        <w:rPr>
          <w:szCs w:val="21"/>
        </w:rPr>
        <w:t xml:space="preserve"> </w:t>
      </w:r>
      <w:r w:rsidRPr="006F14AB">
        <w:rPr>
          <w:szCs w:val="21"/>
        </w:rPr>
        <w:t>work with communities, the child and family services sector,</w:t>
      </w:r>
      <w:r>
        <w:rPr>
          <w:szCs w:val="21"/>
        </w:rPr>
        <w:t xml:space="preserve"> </w:t>
      </w:r>
      <w:r w:rsidRPr="006F14AB">
        <w:rPr>
          <w:szCs w:val="21"/>
        </w:rPr>
        <w:t>people with lived experience and across government to achieve real</w:t>
      </w:r>
      <w:r>
        <w:rPr>
          <w:szCs w:val="21"/>
        </w:rPr>
        <w:t> </w:t>
      </w:r>
      <w:r w:rsidRPr="006F14AB">
        <w:rPr>
          <w:szCs w:val="21"/>
        </w:rPr>
        <w:t>change</w:t>
      </w:r>
      <w:r>
        <w:rPr>
          <w:szCs w:val="21"/>
        </w:rPr>
        <w:t>.</w:t>
      </w:r>
    </w:p>
    <w:p w14:paraId="1D725895" w14:textId="493D746E" w:rsidR="00AD7FE0" w:rsidRPr="006F14AB" w:rsidRDefault="00AD7FE0">
      <w:pPr>
        <w:pStyle w:val="ARbody"/>
        <w:rPr>
          <w:szCs w:val="21"/>
        </w:rPr>
      </w:pPr>
      <w:r w:rsidRPr="006F14AB">
        <w:rPr>
          <w:szCs w:val="21"/>
        </w:rPr>
        <w:t xml:space="preserve">We have </w:t>
      </w:r>
      <w:r w:rsidR="009D641C">
        <w:rPr>
          <w:szCs w:val="21"/>
        </w:rPr>
        <w:t>4</w:t>
      </w:r>
      <w:r w:rsidRPr="006F14AB">
        <w:rPr>
          <w:szCs w:val="21"/>
        </w:rPr>
        <w:t xml:space="preserve"> main goals:</w:t>
      </w:r>
    </w:p>
    <w:p w14:paraId="46BD1DCD" w14:textId="681FDEB8" w:rsidR="00AD7FE0" w:rsidRPr="006F14AB" w:rsidRDefault="00AD7FE0">
      <w:pPr>
        <w:pStyle w:val="ARbullet1"/>
      </w:pPr>
      <w:r w:rsidRPr="006F14AB">
        <w:t xml:space="preserve">Aboriginal children and families are no </w:t>
      </w:r>
      <w:r w:rsidR="009812C9">
        <w:t>longer</w:t>
      </w:r>
      <w:r w:rsidRPr="006F14AB">
        <w:t xml:space="preserve"> over</w:t>
      </w:r>
      <w:r w:rsidR="005673C6">
        <w:t>-</w:t>
      </w:r>
      <w:r w:rsidRPr="006F14AB">
        <w:t>represented in child protection and care</w:t>
      </w:r>
      <w:r w:rsidR="00F92FB8">
        <w:t> </w:t>
      </w:r>
      <w:r w:rsidRPr="006F14AB">
        <w:t>services</w:t>
      </w:r>
    </w:p>
    <w:p w14:paraId="602D1ADC" w14:textId="407CBCE6" w:rsidR="00AD7FE0" w:rsidRPr="000E22FE" w:rsidRDefault="001C0D90" w:rsidP="000E22FE">
      <w:pPr>
        <w:pStyle w:val="ARbullet1"/>
      </w:pPr>
      <w:r>
        <w:t xml:space="preserve">implement early intervention and prevention programs so </w:t>
      </w:r>
      <w:r w:rsidR="00AD7FE0" w:rsidRPr="006F14AB">
        <w:t xml:space="preserve">fewer children are reported and </w:t>
      </w:r>
      <w:r w:rsidR="009C5FDF">
        <w:br/>
      </w:r>
      <w:r w:rsidR="00AD7FE0" w:rsidRPr="006F14AB">
        <w:t>re-reported to child protection</w:t>
      </w:r>
    </w:p>
    <w:p w14:paraId="3D6C5E83" w14:textId="1D282626" w:rsidR="00AD7FE0" w:rsidRPr="006F14AB" w:rsidRDefault="001C0D90">
      <w:pPr>
        <w:pStyle w:val="ARbullet1"/>
      </w:pPr>
      <w:r>
        <w:t xml:space="preserve">reduce </w:t>
      </w:r>
      <w:r w:rsidR="00AD7FE0" w:rsidRPr="006F14AB">
        <w:t>children need</w:t>
      </w:r>
      <w:r>
        <w:t>ing</w:t>
      </w:r>
      <w:r w:rsidR="00AD7FE0" w:rsidRPr="006F14AB">
        <w:t xml:space="preserve"> to go into care, especially Aboriginal children and young</w:t>
      </w:r>
      <w:r w:rsidR="00AD7FE0">
        <w:t> </w:t>
      </w:r>
      <w:r w:rsidR="00AD7FE0" w:rsidRPr="006F14AB">
        <w:t>people</w:t>
      </w:r>
    </w:p>
    <w:p w14:paraId="01729359" w14:textId="48347937" w:rsidR="00AD7FE0" w:rsidRPr="006F14AB" w:rsidRDefault="001C0D90">
      <w:pPr>
        <w:pStyle w:val="ARbullet1"/>
      </w:pPr>
      <w:r>
        <w:t xml:space="preserve">support an Aboriginal-led approach to </w:t>
      </w:r>
      <w:r w:rsidR="00AD7FE0" w:rsidRPr="006F14AB">
        <w:t xml:space="preserve">better </w:t>
      </w:r>
      <w:r>
        <w:t xml:space="preserve">support </w:t>
      </w:r>
      <w:r w:rsidR="00AD7FE0" w:rsidRPr="006F14AB">
        <w:t xml:space="preserve">overall </w:t>
      </w:r>
      <w:r>
        <w:t xml:space="preserve">cultural needs </w:t>
      </w:r>
      <w:r w:rsidR="00AD7FE0" w:rsidRPr="006F14AB">
        <w:t>for children, young people, families and carers.</w:t>
      </w:r>
    </w:p>
    <w:p w14:paraId="238B62F3" w14:textId="0CACAC3B" w:rsidR="00B053BE" w:rsidRDefault="00AD7FE0" w:rsidP="0088621E">
      <w:pPr>
        <w:pStyle w:val="ARbodyafterbullets"/>
        <w:spacing w:line="240" w:lineRule="atLeast"/>
      </w:pPr>
      <w:r w:rsidRPr="006F14AB">
        <w:t>The department is also listening to the people who</w:t>
      </w:r>
      <w:r>
        <w:t xml:space="preserve"> </w:t>
      </w:r>
      <w:r w:rsidRPr="006F14AB">
        <w:t xml:space="preserve">use our services through the </w:t>
      </w:r>
      <w:r w:rsidRPr="001048C7">
        <w:rPr>
          <w:rStyle w:val="Emphasis"/>
        </w:rPr>
        <w:t>Client voice framework</w:t>
      </w:r>
      <w:r w:rsidRPr="006F14AB">
        <w:t>. We want to make sure everyone</w:t>
      </w:r>
      <w:r w:rsidR="00711AE6">
        <w:t>’</w:t>
      </w:r>
      <w:r w:rsidRPr="006F14AB">
        <w:t>s voice is heard and that the changes we make are really helping the people who use our</w:t>
      </w:r>
      <w:r>
        <w:t xml:space="preserve"> </w:t>
      </w:r>
      <w:r w:rsidRPr="006F14AB">
        <w:t>services.</w:t>
      </w:r>
      <w:r w:rsidR="00B053BE">
        <w:br w:type="page"/>
      </w:r>
    </w:p>
    <w:p w14:paraId="355FBECC" w14:textId="518719FA" w:rsidR="00AD7FE0" w:rsidRDefault="00AD7FE0" w:rsidP="00B05B5B">
      <w:pPr>
        <w:pStyle w:val="ARbody"/>
      </w:pPr>
      <w:r w:rsidRPr="006F14AB">
        <w:t>We are fully committed to</w:t>
      </w:r>
      <w:r>
        <w:t xml:space="preserve"> advancing Aboriginal </w:t>
      </w:r>
      <w:r w:rsidR="004B46AD">
        <w:t>self-</w:t>
      </w:r>
      <w:r>
        <w:t>determination</w:t>
      </w:r>
      <w:r w:rsidR="001418BB">
        <w:t xml:space="preserve"> </w:t>
      </w:r>
      <w:r>
        <w:t xml:space="preserve">– including supporting the development of the next </w:t>
      </w:r>
      <w:r w:rsidRPr="001048C7">
        <w:rPr>
          <w:rStyle w:val="Emphasis"/>
        </w:rPr>
        <w:t>Wungurilwil Gapgapduir: Aboriginal Children and Families Strategic Action plan.</w:t>
      </w:r>
      <w:r>
        <w:t xml:space="preserve"> We are also</w:t>
      </w:r>
      <w:r w:rsidDel="00B70880">
        <w:t xml:space="preserve"> </w:t>
      </w:r>
      <w:r>
        <w:t xml:space="preserve">building on current work and recommendations of the Yoorrook for Justice Report </w:t>
      </w:r>
      <w:r w:rsidRPr="002F424E">
        <w:t xml:space="preserve">to progress towards a more </w:t>
      </w:r>
      <w:r w:rsidR="006E2F2E">
        <w:br/>
      </w:r>
      <w:r w:rsidRPr="002F424E">
        <w:t>self-determined Aboriginal child and family service system that can reduce over-representation of Aboriginal children in statutory</w:t>
      </w:r>
      <w:r>
        <w:t xml:space="preserve"> </w:t>
      </w:r>
      <w:r w:rsidRPr="002F424E">
        <w:t>care.</w:t>
      </w:r>
    </w:p>
    <w:p w14:paraId="35277822" w14:textId="77777777" w:rsidR="00AD7FE0" w:rsidRPr="006F7557" w:rsidRDefault="00AD7FE0">
      <w:pPr>
        <w:pStyle w:val="Heading4"/>
        <w:rPr>
          <w:b w:val="0"/>
          <w:bCs w:val="0"/>
          <w:caps/>
        </w:rPr>
      </w:pPr>
      <w:r w:rsidRPr="006F7557">
        <w:t>Concessions</w:t>
      </w:r>
    </w:p>
    <w:p w14:paraId="46386E48" w14:textId="48D144A8" w:rsidR="00AD7FE0" w:rsidRDefault="00AD7FE0">
      <w:pPr>
        <w:pStyle w:val="ARbody"/>
      </w:pPr>
      <w:r>
        <w:t>The department delivers the Household Concessions Program which provides support to Victorians on low incomes or experiencing financial hardship, who need help meeting the rising cost of</w:t>
      </w:r>
      <w:r w:rsidR="0049012B">
        <w:t> </w:t>
      </w:r>
      <w:r>
        <w:t xml:space="preserve">living. The program delivers concessions to help eligible low-income households pay for energy, water and municipal rates. </w:t>
      </w:r>
    </w:p>
    <w:p w14:paraId="7DEB8BA5" w14:textId="77777777" w:rsidR="00AD7FE0" w:rsidRPr="006F7557" w:rsidRDefault="00AD7FE0" w:rsidP="00B053BE">
      <w:pPr>
        <w:pStyle w:val="Heading4"/>
        <w:rPr>
          <w:caps/>
        </w:rPr>
      </w:pPr>
      <w:r w:rsidRPr="006F7557">
        <w:t xml:space="preserve">Disability </w:t>
      </w:r>
    </w:p>
    <w:p w14:paraId="50592609" w14:textId="307DBE14" w:rsidR="00AD7FE0" w:rsidRDefault="00AD7FE0" w:rsidP="00B05B5B">
      <w:pPr>
        <w:pStyle w:val="ARbody"/>
      </w:pPr>
      <w:r>
        <w:t>The department works closely with people</w:t>
      </w:r>
      <w:r w:rsidR="000D638F">
        <w:t xml:space="preserve"> </w:t>
      </w:r>
      <w:r>
        <w:t xml:space="preserve">with disability, their families and carers to make sure everyone is included and can do the things they want to. We team up with the Victorian Disability Advisory Council and other groups to ensure government </w:t>
      </w:r>
      <w:r w:rsidRPr="00B05B5B">
        <w:t>policies</w:t>
      </w:r>
      <w:r>
        <w:t>, programs and services include everyone.</w:t>
      </w:r>
    </w:p>
    <w:p w14:paraId="07151318" w14:textId="77777777" w:rsidR="00AD7FE0" w:rsidRPr="00771FAB" w:rsidRDefault="00AD7FE0">
      <w:pPr>
        <w:pStyle w:val="ARbody"/>
      </w:pPr>
      <w:r>
        <w:t xml:space="preserve">We are responsible for executing </w:t>
      </w:r>
      <w:r w:rsidRPr="001048C7">
        <w:rPr>
          <w:rStyle w:val="Emphasis"/>
        </w:rPr>
        <w:t>Inclusive Victoria: state disability plan 2022–2026</w:t>
      </w:r>
      <w:r>
        <w:t>. We developed this plan together with people with disability, including the Victorian Disability Advisory Council.</w:t>
      </w:r>
    </w:p>
    <w:p w14:paraId="4E8A41CE" w14:textId="004C16B9" w:rsidR="00AD7FE0" w:rsidRPr="00771FAB" w:rsidRDefault="00AD7FE0">
      <w:pPr>
        <w:pStyle w:val="ARbody"/>
      </w:pPr>
      <w:r>
        <w:t xml:space="preserve">The plan sets out 6 systemic reforms and </w:t>
      </w:r>
      <w:r w:rsidR="00B91090">
        <w:t>175 </w:t>
      </w:r>
      <w:r>
        <w:t>actions. The actions aim to improve life for people with disability, including their health, mental</w:t>
      </w:r>
      <w:r w:rsidR="0049012B">
        <w:t> </w:t>
      </w:r>
      <w:r>
        <w:t>health and wellbeing, housing, community and online participation, education, employment and</w:t>
      </w:r>
      <w:r w:rsidR="0049012B">
        <w:t> </w:t>
      </w:r>
      <w:r>
        <w:t>safety.</w:t>
      </w:r>
    </w:p>
    <w:p w14:paraId="290B5D9E" w14:textId="77777777" w:rsidR="00AD7FE0" w:rsidRPr="00771FAB" w:rsidRDefault="00AD7FE0">
      <w:pPr>
        <w:pStyle w:val="ARbody"/>
      </w:pPr>
      <w:r>
        <w:t xml:space="preserve">We foster whole-of-government collaboration to implement the </w:t>
      </w:r>
      <w:r w:rsidRPr="001048C7">
        <w:rPr>
          <w:rStyle w:val="Emphasis"/>
        </w:rPr>
        <w:t>Victorian autism plan</w:t>
      </w:r>
      <w:r>
        <w:t>.</w:t>
      </w:r>
      <w:r w:rsidRPr="3A0609CE">
        <w:rPr>
          <w:i/>
          <w:iCs/>
        </w:rPr>
        <w:t xml:space="preserve"> </w:t>
      </w:r>
      <w:r>
        <w:t>This plan was released in December 2019 in response to the Parliamentary Inquiry into Services for People with Autism Spectrum Disorder.</w:t>
      </w:r>
    </w:p>
    <w:p w14:paraId="6436631D" w14:textId="1AAFE140" w:rsidR="00AD7FE0" w:rsidRDefault="00AD7FE0">
      <w:pPr>
        <w:pStyle w:val="ARbody"/>
      </w:pPr>
      <w:r>
        <w:t>We deliver the Victorian Disability Advocacy Program. This program helps people with disabilities advocate for themselves and for systemic change. We also contribute to the National Disability Insurance Scheme (NDIS), which helps people with disabilities get the support</w:t>
      </w:r>
      <w:r w:rsidR="005E5B81">
        <w:t> </w:t>
      </w:r>
      <w:r>
        <w:t>they need.</w:t>
      </w:r>
      <w:r w:rsidR="005E5B81">
        <w:br w:type="column"/>
      </w:r>
      <w:r>
        <w:t xml:space="preserve">We deliver the Forensic Disability Program under the </w:t>
      </w:r>
      <w:r w:rsidRPr="001048C7">
        <w:rPr>
          <w:rStyle w:val="Emphasis"/>
        </w:rPr>
        <w:t>Disability Act 2006</w:t>
      </w:r>
      <w:r>
        <w:t>. This program helps people with cognitive disability who are in the criminal justice system. It helps them get the support they need so they can be part of the community and stay safe.</w:t>
      </w:r>
    </w:p>
    <w:p w14:paraId="1585457A" w14:textId="579327B7" w:rsidR="00AD7FE0" w:rsidRDefault="00AD7FE0">
      <w:pPr>
        <w:pStyle w:val="ARbody"/>
      </w:pPr>
      <w:r>
        <w:t>The Senior Practitioner is responsible for ensuring that the rights of people with disability who are subject to restrictive practices and compulsory treatment are protected, as well as promoting the</w:t>
      </w:r>
      <w:r w:rsidR="0049012B">
        <w:t> </w:t>
      </w:r>
      <w:r>
        <w:t>reduction and elimination of the use of</w:t>
      </w:r>
      <w:r w:rsidR="0049012B">
        <w:t> </w:t>
      </w:r>
      <w:r>
        <w:t>restrictive practices.</w:t>
      </w:r>
    </w:p>
    <w:p w14:paraId="34C7090D" w14:textId="68BD16EA" w:rsidR="00AD7FE0" w:rsidRDefault="00AD7FE0">
      <w:pPr>
        <w:pStyle w:val="ARbody"/>
      </w:pPr>
      <w:r>
        <w:t>We operate Victoria</w:t>
      </w:r>
      <w:r w:rsidR="00711AE6">
        <w:t>’</w:t>
      </w:r>
      <w:r>
        <w:t>s largest portfolio of Specialist Disability Accommodation providing homes to nearly 3,000 Victorians with disability.</w:t>
      </w:r>
    </w:p>
    <w:p w14:paraId="52B3063F" w14:textId="77777777" w:rsidR="00AD7FE0" w:rsidRPr="006F7557" w:rsidRDefault="00AD7FE0">
      <w:pPr>
        <w:pStyle w:val="Heading4"/>
        <w:rPr>
          <w:b w:val="0"/>
          <w:bCs w:val="0"/>
          <w:caps/>
        </w:rPr>
      </w:pPr>
      <w:r w:rsidRPr="006F7557">
        <w:t>Emergency management</w:t>
      </w:r>
    </w:p>
    <w:p w14:paraId="13F9E6B0" w14:textId="29680CA1" w:rsidR="00AD7FE0" w:rsidRDefault="00AD7FE0" w:rsidP="00B05B5B">
      <w:pPr>
        <w:pStyle w:val="ARbody"/>
      </w:pPr>
      <w:r>
        <w:t xml:space="preserve">The department helps Victorians respond to and recover from </w:t>
      </w:r>
      <w:r w:rsidRPr="00087256">
        <w:t>emergencies, especially Victorians who face greater risk.</w:t>
      </w:r>
      <w:r>
        <w:t xml:space="preserve"> We have specific roles and responsibilities under the State Emergency Management Plan including</w:t>
      </w:r>
      <w:r w:rsidR="00152281">
        <w:t xml:space="preserve"> to coordinate the delivery of emergency and temporary accommodation, Emergency Relief Payments, Emergency Re-establishment Assistance, and psychological supports to </w:t>
      </w:r>
      <w:r w:rsidR="00152281" w:rsidRPr="00B05B5B">
        <w:t>impacted</w:t>
      </w:r>
      <w:r w:rsidR="00152281">
        <w:t xml:space="preserve"> Victorians.</w:t>
      </w:r>
      <w:r w:rsidR="00152281" w:rsidRPr="00771FAB" w:rsidDel="00152281">
        <w:t xml:space="preserve"> </w:t>
      </w:r>
    </w:p>
    <w:p w14:paraId="7513B711" w14:textId="77777777" w:rsidR="00AD7FE0" w:rsidRPr="006F7557" w:rsidRDefault="00AD7FE0">
      <w:pPr>
        <w:pStyle w:val="Heading4"/>
        <w:rPr>
          <w:b w:val="0"/>
          <w:bCs w:val="0"/>
          <w:caps/>
        </w:rPr>
      </w:pPr>
      <w:bookmarkStart w:id="38" w:name="_Ref146703631"/>
      <w:r w:rsidRPr="006F7557">
        <w:t>LGBTIQA+ equality</w:t>
      </w:r>
    </w:p>
    <w:p w14:paraId="1062EBCF" w14:textId="745BD279" w:rsidR="00AD7FE0" w:rsidRPr="00F7000C" w:rsidRDefault="00AD7FE0">
      <w:pPr>
        <w:pStyle w:val="ARbody"/>
        <w:rPr>
          <w:b/>
          <w:szCs w:val="20"/>
        </w:rPr>
      </w:pPr>
      <w:r w:rsidRPr="00F7000C">
        <w:rPr>
          <w:szCs w:val="20"/>
        </w:rPr>
        <w:t>Th</w:t>
      </w:r>
      <w:r>
        <w:rPr>
          <w:szCs w:val="20"/>
        </w:rPr>
        <w:t>rough the government</w:t>
      </w:r>
      <w:r w:rsidR="00711AE6">
        <w:rPr>
          <w:szCs w:val="20"/>
        </w:rPr>
        <w:t>’</w:t>
      </w:r>
      <w:r>
        <w:rPr>
          <w:szCs w:val="20"/>
        </w:rPr>
        <w:t xml:space="preserve">s 10-year LGBTIQA+ strategy, </w:t>
      </w:r>
      <w:r w:rsidRPr="001048C7">
        <w:rPr>
          <w:rStyle w:val="Emphasis"/>
        </w:rPr>
        <w:t>Pride in our future 2022</w:t>
      </w:r>
      <w:r w:rsidR="006E2F2E">
        <w:rPr>
          <w:rStyle w:val="Emphasis"/>
        </w:rPr>
        <w:t>–</w:t>
      </w:r>
      <w:r w:rsidRPr="001048C7">
        <w:rPr>
          <w:rStyle w:val="Emphasis"/>
        </w:rPr>
        <w:t>2032</w:t>
      </w:r>
      <w:r>
        <w:rPr>
          <w:szCs w:val="20"/>
        </w:rPr>
        <w:t>, th</w:t>
      </w:r>
      <w:r w:rsidRPr="00F7000C">
        <w:rPr>
          <w:szCs w:val="20"/>
        </w:rPr>
        <w:t>e department drives Victoria</w:t>
      </w:r>
      <w:r w:rsidR="00711AE6">
        <w:rPr>
          <w:szCs w:val="20"/>
        </w:rPr>
        <w:t>’</w:t>
      </w:r>
      <w:r w:rsidRPr="00F7000C">
        <w:rPr>
          <w:szCs w:val="20"/>
        </w:rPr>
        <w:t>s nation-leading work to</w:t>
      </w:r>
      <w:r w:rsidR="005E5B81">
        <w:rPr>
          <w:szCs w:val="20"/>
        </w:rPr>
        <w:t> </w:t>
      </w:r>
      <w:r w:rsidRPr="00F7000C">
        <w:rPr>
          <w:szCs w:val="20"/>
        </w:rPr>
        <w:t>create a more inclusive and cohesive state for</w:t>
      </w:r>
      <w:r w:rsidR="0049012B">
        <w:rPr>
          <w:szCs w:val="20"/>
        </w:rPr>
        <w:t> </w:t>
      </w:r>
      <w:r>
        <w:rPr>
          <w:szCs w:val="20"/>
        </w:rPr>
        <w:t>all</w:t>
      </w:r>
      <w:r w:rsidR="005E5B81">
        <w:rPr>
          <w:szCs w:val="20"/>
        </w:rPr>
        <w:t> </w:t>
      </w:r>
      <w:r w:rsidRPr="00F7000C">
        <w:rPr>
          <w:szCs w:val="20"/>
        </w:rPr>
        <w:t>LGBTIQA+ Victorians</w:t>
      </w:r>
      <w:r>
        <w:rPr>
          <w:szCs w:val="20"/>
        </w:rPr>
        <w:t xml:space="preserve"> to live as their authentic selves</w:t>
      </w:r>
      <w:r w:rsidRPr="00F7000C">
        <w:rPr>
          <w:szCs w:val="20"/>
        </w:rPr>
        <w:t xml:space="preserve">. </w:t>
      </w:r>
    </w:p>
    <w:p w14:paraId="3DFD1594" w14:textId="65D7E345" w:rsidR="00AD7FE0" w:rsidRDefault="00AD7FE0">
      <w:pPr>
        <w:pStyle w:val="ARbody"/>
        <w:rPr>
          <w:szCs w:val="20"/>
        </w:rPr>
      </w:pPr>
      <w:r w:rsidRPr="00F7000C">
        <w:rPr>
          <w:szCs w:val="20"/>
        </w:rPr>
        <w:t xml:space="preserve">We do this by </w:t>
      </w:r>
      <w:r>
        <w:rPr>
          <w:szCs w:val="20"/>
        </w:rPr>
        <w:t>listening to and elevating</w:t>
      </w:r>
      <w:r w:rsidRPr="00F7000C">
        <w:rPr>
          <w:szCs w:val="20"/>
        </w:rPr>
        <w:t xml:space="preserve"> the voices of LGBTIQA+ Victorians across all government departments</w:t>
      </w:r>
      <w:r>
        <w:rPr>
          <w:szCs w:val="20"/>
        </w:rPr>
        <w:t>. We ensure</w:t>
      </w:r>
      <w:r w:rsidRPr="00F7000C">
        <w:rPr>
          <w:szCs w:val="20"/>
        </w:rPr>
        <w:t xml:space="preserve"> policies and programs support</w:t>
      </w:r>
      <w:r>
        <w:rPr>
          <w:szCs w:val="20"/>
        </w:rPr>
        <w:t xml:space="preserve"> and celebrate</w:t>
      </w:r>
      <w:r w:rsidRPr="00F7000C">
        <w:rPr>
          <w:szCs w:val="20"/>
        </w:rPr>
        <w:t xml:space="preserve"> the diversity of </w:t>
      </w:r>
      <w:r>
        <w:rPr>
          <w:szCs w:val="20"/>
        </w:rPr>
        <w:t>Victoria</w:t>
      </w:r>
      <w:r w:rsidR="00711AE6">
        <w:rPr>
          <w:szCs w:val="20"/>
        </w:rPr>
        <w:t>’</w:t>
      </w:r>
      <w:r>
        <w:rPr>
          <w:szCs w:val="20"/>
        </w:rPr>
        <w:t xml:space="preserve">s </w:t>
      </w:r>
      <w:r w:rsidRPr="00F7000C">
        <w:rPr>
          <w:szCs w:val="20"/>
        </w:rPr>
        <w:t>LGBTIQA+ communities.</w:t>
      </w:r>
    </w:p>
    <w:bookmarkEnd w:id="38"/>
    <w:p w14:paraId="31319D24" w14:textId="77777777" w:rsidR="00AD7FE0" w:rsidRPr="00F7000C" w:rsidRDefault="00AD7FE0">
      <w:pPr>
        <w:pStyle w:val="ARbody"/>
        <w:rPr>
          <w:szCs w:val="20"/>
        </w:rPr>
      </w:pPr>
      <w:r w:rsidRPr="00F7000C">
        <w:rPr>
          <w:szCs w:val="20"/>
        </w:rPr>
        <w:t xml:space="preserve">We </w:t>
      </w:r>
      <w:r>
        <w:rPr>
          <w:szCs w:val="20"/>
        </w:rPr>
        <w:t>boost the capacity of</w:t>
      </w:r>
      <w:r w:rsidRPr="00F7000C">
        <w:rPr>
          <w:szCs w:val="20"/>
        </w:rPr>
        <w:t xml:space="preserve"> LGBTIQA+ organisations, services and events</w:t>
      </w:r>
      <w:r>
        <w:rPr>
          <w:szCs w:val="20"/>
        </w:rPr>
        <w:t xml:space="preserve"> to increase visibility, resilience and capability, ensuring LGBTIQA+ communities are safe and strong.</w:t>
      </w:r>
    </w:p>
    <w:p w14:paraId="3A5FFB24" w14:textId="77777777" w:rsidR="002D62CB" w:rsidRDefault="002D62CB">
      <w:pPr>
        <w:rPr>
          <w:rFonts w:ascii="Arial" w:eastAsia="MS Mincho" w:hAnsi="Arial" w:cs="Arial"/>
          <w:b/>
          <w:bCs/>
          <w:color w:val="53565A" w:themeColor="accent2"/>
          <w:sz w:val="24"/>
          <w:szCs w:val="24"/>
        </w:rPr>
      </w:pPr>
      <w:r>
        <w:br w:type="page"/>
      </w:r>
    </w:p>
    <w:p w14:paraId="576647C4" w14:textId="17B94A31" w:rsidR="00AD7FE0" w:rsidRPr="006F7557" w:rsidRDefault="00AD7FE0">
      <w:pPr>
        <w:pStyle w:val="Heading4"/>
        <w:rPr>
          <w:b w:val="0"/>
          <w:bCs w:val="0"/>
          <w:caps/>
        </w:rPr>
      </w:pPr>
      <w:bookmarkStart w:id="39" w:name="_Ref178173424"/>
      <w:r w:rsidRPr="006F7557">
        <w:t>Housing</w:t>
      </w:r>
      <w:bookmarkEnd w:id="39"/>
      <w:r w:rsidRPr="006F7557">
        <w:t xml:space="preserve"> </w:t>
      </w:r>
    </w:p>
    <w:p w14:paraId="09DC144E" w14:textId="77777777" w:rsidR="00AD7FE0" w:rsidRDefault="00AD7FE0">
      <w:pPr>
        <w:pStyle w:val="ARbody"/>
      </w:pPr>
      <w:r>
        <w:t xml:space="preserve">The department is delivering </w:t>
      </w:r>
      <w:r w:rsidRPr="0028618A">
        <w:t>more and better homes for more Victorians.</w:t>
      </w:r>
    </w:p>
    <w:p w14:paraId="5B03AF9A" w14:textId="2636AAAE" w:rsidR="00AD7FE0" w:rsidRDefault="00AD7FE0">
      <w:pPr>
        <w:pStyle w:val="ARbody"/>
      </w:pPr>
      <w:r>
        <w:t>W</w:t>
      </w:r>
      <w:r w:rsidRPr="0028618A">
        <w:t>e</w:t>
      </w:r>
      <w:r>
        <w:t xml:space="preserve"> are focusing on the fundamentals:</w:t>
      </w:r>
      <w:r w:rsidRPr="00917468">
        <w:t xml:space="preserve"> </w:t>
      </w:r>
    </w:p>
    <w:p w14:paraId="37749AC9" w14:textId="62F1D43D" w:rsidR="00AD7FE0" w:rsidRDefault="00AD7FE0">
      <w:pPr>
        <w:pStyle w:val="ARbullet1"/>
      </w:pPr>
      <w:r>
        <w:t>p</w:t>
      </w:r>
      <w:r w:rsidRPr="004926ED">
        <w:t>roviding</w:t>
      </w:r>
      <w:r w:rsidRPr="00917468">
        <w:t xml:space="preserve"> housing and support</w:t>
      </w:r>
      <w:r w:rsidRPr="004926ED">
        <w:t xml:space="preserve"> to break the cycle of homelessness and make it rare, brief and non-recurring</w:t>
      </w:r>
      <w:r w:rsidRPr="00917468">
        <w:t xml:space="preserve"> </w:t>
      </w:r>
    </w:p>
    <w:p w14:paraId="0F62E3D2" w14:textId="7268133B" w:rsidR="00AD7FE0" w:rsidRDefault="00AD7FE0">
      <w:pPr>
        <w:pStyle w:val="ARbullet1"/>
      </w:pPr>
      <w:r w:rsidRPr="00917468">
        <w:t xml:space="preserve">enabling Aboriginal self-determination </w:t>
      </w:r>
    </w:p>
    <w:p w14:paraId="5FCA97C0" w14:textId="45D05182" w:rsidR="00AD7FE0" w:rsidRDefault="00AD7FE0">
      <w:pPr>
        <w:pStyle w:val="ARbullet1"/>
      </w:pPr>
      <w:r w:rsidRPr="00917468">
        <w:t>delivering more social and affordable</w:t>
      </w:r>
      <w:r>
        <w:t xml:space="preserve"> </w:t>
      </w:r>
      <w:r w:rsidRPr="00917468">
        <w:t>housing</w:t>
      </w:r>
    </w:p>
    <w:p w14:paraId="7A2C7DE2" w14:textId="77777777" w:rsidR="00AD7FE0" w:rsidRDefault="00AD7FE0">
      <w:pPr>
        <w:pStyle w:val="ARbullet1"/>
      </w:pPr>
      <w:r w:rsidRPr="00917468">
        <w:t>delivering better and more comfortable public</w:t>
      </w:r>
      <w:r>
        <w:t> </w:t>
      </w:r>
      <w:r w:rsidRPr="00917468">
        <w:t>housing.</w:t>
      </w:r>
    </w:p>
    <w:p w14:paraId="17E63ED7" w14:textId="1A3E9C2C" w:rsidR="00AD7FE0" w:rsidRDefault="00AD7FE0">
      <w:pPr>
        <w:pStyle w:val="ARbodyafterbullets"/>
      </w:pPr>
      <w:r>
        <w:t xml:space="preserve">The department does this </w:t>
      </w:r>
      <w:r w:rsidR="007843EE">
        <w:t>by</w:t>
      </w:r>
      <w:r>
        <w:t>:</w:t>
      </w:r>
    </w:p>
    <w:p w14:paraId="77057BC5" w14:textId="77777777" w:rsidR="00AD7FE0" w:rsidRPr="008F2925" w:rsidRDefault="00AD7FE0">
      <w:pPr>
        <w:pStyle w:val="ARbullet1"/>
      </w:pPr>
      <w:r w:rsidRPr="008F2925">
        <w:t>support</w:t>
      </w:r>
      <w:r>
        <w:t>ing</w:t>
      </w:r>
      <w:r w:rsidRPr="008F2925">
        <w:t xml:space="preserve"> Victorians who are finding it difficult to secure stable and affordable</w:t>
      </w:r>
      <w:r>
        <w:t xml:space="preserve"> </w:t>
      </w:r>
      <w:r w:rsidRPr="008F2925">
        <w:t>housing</w:t>
      </w:r>
    </w:p>
    <w:p w14:paraId="286A2137" w14:textId="6EF9F7FB" w:rsidR="00AD7FE0" w:rsidRPr="008F2925" w:rsidRDefault="00AD7FE0">
      <w:pPr>
        <w:pStyle w:val="ARbullet1"/>
      </w:pPr>
      <w:r w:rsidRPr="008F2925">
        <w:t>manag</w:t>
      </w:r>
      <w:r>
        <w:t>ing</w:t>
      </w:r>
      <w:r w:rsidRPr="008F2925">
        <w:t xml:space="preserve"> the government</w:t>
      </w:r>
      <w:r w:rsidR="00711AE6">
        <w:t>’</w:t>
      </w:r>
      <w:r w:rsidRPr="008F2925">
        <w:t>s social housing assets that currently house more than 116,000</w:t>
      </w:r>
      <w:r>
        <w:t> </w:t>
      </w:r>
      <w:r w:rsidRPr="008F2925">
        <w:t>Victorians</w:t>
      </w:r>
    </w:p>
    <w:p w14:paraId="0A88FD25" w14:textId="06AB5AA3" w:rsidR="00AD7FE0" w:rsidRPr="008F2925" w:rsidRDefault="00AD7FE0">
      <w:pPr>
        <w:pStyle w:val="ARbullet1"/>
      </w:pPr>
      <w:r>
        <w:t>delivering more houses through the Victorian Government</w:t>
      </w:r>
      <w:r w:rsidR="00711AE6">
        <w:t>’</w:t>
      </w:r>
      <w:r>
        <w:t xml:space="preserve">s $5.3 billion investment in the Big Housing Build, and other large capital programs including the $1 billion </w:t>
      </w:r>
      <w:r w:rsidR="002315DD">
        <w:t>R</w:t>
      </w:r>
      <w:r>
        <w:t xml:space="preserve">egional </w:t>
      </w:r>
      <w:r w:rsidR="002315DD">
        <w:t>H</w:t>
      </w:r>
      <w:r>
        <w:t xml:space="preserve">ousing </w:t>
      </w:r>
      <w:r w:rsidR="002315DD">
        <w:t>F</w:t>
      </w:r>
      <w:r>
        <w:t>und</w:t>
      </w:r>
    </w:p>
    <w:p w14:paraId="446436D4" w14:textId="77777777" w:rsidR="00AD7FE0" w:rsidRPr="008F2925" w:rsidRDefault="00AD7FE0">
      <w:pPr>
        <w:pStyle w:val="ARbullet1"/>
      </w:pPr>
      <w:r>
        <w:t>managing around 64,000 public housing tenancies, including support for high-risk tenancies and property maintenance</w:t>
      </w:r>
    </w:p>
    <w:p w14:paraId="53983A4E" w14:textId="76C0DBD4" w:rsidR="00AD7FE0" w:rsidRPr="008F2925" w:rsidRDefault="00AD7FE0">
      <w:pPr>
        <w:pStyle w:val="ARbullet1"/>
      </w:pPr>
      <w:r w:rsidRPr="008F2925">
        <w:t>redevelop</w:t>
      </w:r>
      <w:r>
        <w:t>ing</w:t>
      </w:r>
      <w:r w:rsidRPr="008F2925">
        <w:t xml:space="preserve"> the 44 older-style public housing towers across Melbourne as part of the Victorian Government</w:t>
      </w:r>
      <w:r w:rsidR="00711AE6">
        <w:t>’</w:t>
      </w:r>
      <w:r w:rsidRPr="008F2925">
        <w:t>s Housing</w:t>
      </w:r>
      <w:r>
        <w:t xml:space="preserve"> </w:t>
      </w:r>
      <w:r w:rsidRPr="008F2925">
        <w:t>Statement</w:t>
      </w:r>
    </w:p>
    <w:p w14:paraId="1201B3A1" w14:textId="77777777" w:rsidR="00AD7FE0" w:rsidRPr="008F2925" w:rsidRDefault="00AD7FE0">
      <w:pPr>
        <w:pStyle w:val="ARbullet1"/>
      </w:pPr>
      <w:r>
        <w:t>managing the operations of the Victorian Housing Register so people can access social housing in a fair and transparent way</w:t>
      </w:r>
    </w:p>
    <w:p w14:paraId="6654F38A" w14:textId="27DC27EF" w:rsidR="00AD7FE0" w:rsidRPr="008F2925" w:rsidRDefault="00AD7FE0">
      <w:pPr>
        <w:pStyle w:val="ARbullet1"/>
      </w:pPr>
      <w:r w:rsidRPr="008F2925">
        <w:t>transform</w:t>
      </w:r>
      <w:r>
        <w:t>ing</w:t>
      </w:r>
      <w:r w:rsidRPr="008F2925">
        <w:t xml:space="preserve"> Victoria</w:t>
      </w:r>
      <w:r w:rsidR="00711AE6">
        <w:t>’</w:t>
      </w:r>
      <w:r w:rsidRPr="008F2925">
        <w:t xml:space="preserve">s </w:t>
      </w:r>
      <w:r w:rsidR="00451DF1">
        <w:t xml:space="preserve">social </w:t>
      </w:r>
      <w:r w:rsidRPr="008F2925">
        <w:t xml:space="preserve">housing system </w:t>
      </w:r>
      <w:r>
        <w:t>so</w:t>
      </w:r>
      <w:r w:rsidR="0049012B">
        <w:t> </w:t>
      </w:r>
      <w:r w:rsidRPr="008F2925">
        <w:t>it is sustainable in the long-term and can deliver for generations to come</w:t>
      </w:r>
      <w:r>
        <w:t>.</w:t>
      </w:r>
    </w:p>
    <w:p w14:paraId="640FDCFB" w14:textId="10FDEB90" w:rsidR="00AD7FE0" w:rsidRDefault="00AD7FE0" w:rsidP="000461AE">
      <w:pPr>
        <w:pStyle w:val="ARbodyafterbullets"/>
      </w:pPr>
      <w:r w:rsidRPr="04B48E7F">
        <w:t xml:space="preserve">The </w:t>
      </w:r>
      <w:r w:rsidRPr="000461AE">
        <w:t>department</w:t>
      </w:r>
      <w:r w:rsidRPr="04B48E7F">
        <w:t xml:space="preserve"> </w:t>
      </w:r>
      <w:r>
        <w:t>works closely with</w:t>
      </w:r>
      <w:r w:rsidDel="000A44A3">
        <w:t xml:space="preserve"> </w:t>
      </w:r>
      <w:r>
        <w:t xml:space="preserve">government, industry and the housing </w:t>
      </w:r>
      <w:r w:rsidR="00C83028">
        <w:t>and homelessness</w:t>
      </w:r>
      <w:r>
        <w:t xml:space="preserve"> sector</w:t>
      </w:r>
      <w:r w:rsidR="00C83028">
        <w:t>s</w:t>
      </w:r>
      <w:r>
        <w:t xml:space="preserve"> to manage, deliver</w:t>
      </w:r>
      <w:r w:rsidR="00433041">
        <w:t xml:space="preserve"> </w:t>
      </w:r>
      <w:r>
        <w:t>and grow social and affordable housing across Victoria, while listening to the view of people in homes and Victorians who have experienced</w:t>
      </w:r>
      <w:r w:rsidR="00433041">
        <w:t xml:space="preserve"> </w:t>
      </w:r>
      <w:r>
        <w:t>homelessness.</w:t>
      </w:r>
    </w:p>
    <w:p w14:paraId="4F9D7FF2" w14:textId="77777777" w:rsidR="00AD7FE0" w:rsidRPr="006F7557" w:rsidRDefault="00AD7FE0">
      <w:pPr>
        <w:pStyle w:val="Heading4"/>
        <w:rPr>
          <w:b w:val="0"/>
          <w:bCs w:val="0"/>
          <w:caps/>
        </w:rPr>
      </w:pPr>
      <w:r w:rsidRPr="006F7557">
        <w:t>Prevention of family violence</w:t>
      </w:r>
    </w:p>
    <w:p w14:paraId="68423CEE" w14:textId="17CC2B39" w:rsidR="00AD7FE0" w:rsidRDefault="00AD7FE0">
      <w:pPr>
        <w:pStyle w:val="ARbody"/>
      </w:pPr>
      <w:r>
        <w:t xml:space="preserve">The department is working towards a Victoria free from family violence, as outlined in </w:t>
      </w:r>
      <w:r w:rsidRPr="001048C7">
        <w:rPr>
          <w:rStyle w:val="Emphasis"/>
        </w:rPr>
        <w:t xml:space="preserve">Ending </w:t>
      </w:r>
      <w:r w:rsidR="007843EE">
        <w:rPr>
          <w:rStyle w:val="Emphasis"/>
        </w:rPr>
        <w:t>f</w:t>
      </w:r>
      <w:r w:rsidR="007843EE" w:rsidRPr="001048C7">
        <w:rPr>
          <w:rStyle w:val="Emphasis"/>
        </w:rPr>
        <w:t xml:space="preserve">amily </w:t>
      </w:r>
      <w:r w:rsidR="007843EE">
        <w:rPr>
          <w:rStyle w:val="Emphasis"/>
        </w:rPr>
        <w:t>v</w:t>
      </w:r>
      <w:r w:rsidR="007843EE" w:rsidRPr="001048C7">
        <w:rPr>
          <w:rStyle w:val="Emphasis"/>
        </w:rPr>
        <w:t>iolence</w:t>
      </w:r>
      <w:r w:rsidRPr="001048C7">
        <w:rPr>
          <w:rStyle w:val="Emphasis"/>
        </w:rPr>
        <w:t>: Victoria</w:t>
      </w:r>
      <w:r w:rsidR="00711AE6">
        <w:rPr>
          <w:rStyle w:val="Emphasis"/>
        </w:rPr>
        <w:t>’</w:t>
      </w:r>
      <w:r w:rsidRPr="001048C7">
        <w:rPr>
          <w:rStyle w:val="Emphasis"/>
        </w:rPr>
        <w:t>s 10-year plan for</w:t>
      </w:r>
      <w:r>
        <w:rPr>
          <w:rStyle w:val="Emphasis"/>
        </w:rPr>
        <w:t xml:space="preserve"> </w:t>
      </w:r>
      <w:r w:rsidRPr="001048C7">
        <w:rPr>
          <w:rStyle w:val="Emphasis"/>
        </w:rPr>
        <w:t>change</w:t>
      </w:r>
      <w:r>
        <w:t xml:space="preserve">. </w:t>
      </w:r>
    </w:p>
    <w:p w14:paraId="50286461" w14:textId="3DAC6791" w:rsidR="00AD7FE0" w:rsidRDefault="00AD7FE0">
      <w:pPr>
        <w:pStyle w:val="ARbody"/>
      </w:pPr>
      <w:r>
        <w:t>Lived experience is central to our approach. Our</w:t>
      </w:r>
      <w:r w:rsidR="0049012B">
        <w:t> </w:t>
      </w:r>
      <w:r>
        <w:t>work is informed by the expertise of victim survivors, including the Victim Survivors Advisory Council.</w:t>
      </w:r>
    </w:p>
    <w:p w14:paraId="389FC8FC" w14:textId="3B662399" w:rsidR="00AD7FE0" w:rsidRDefault="00AD7FE0">
      <w:pPr>
        <w:pStyle w:val="ARbody"/>
      </w:pPr>
      <w:r>
        <w:t xml:space="preserve">Consistent with self-determination, we partner with Aboriginal Community-Controlled Organisations through the </w:t>
      </w:r>
      <w:r w:rsidRPr="001048C7">
        <w:rPr>
          <w:rStyle w:val="Emphasis"/>
        </w:rPr>
        <w:t>Dhelk Dja: Safe our way</w:t>
      </w:r>
      <w:r>
        <w:t xml:space="preserve"> partnership agreement to prevent and respond to family violence against Aboriginal people.</w:t>
      </w:r>
    </w:p>
    <w:p w14:paraId="64EE4D07" w14:textId="77777777" w:rsidR="00AD7FE0" w:rsidRDefault="00AD7FE0">
      <w:pPr>
        <w:pStyle w:val="ARbody"/>
      </w:pPr>
      <w:r>
        <w:t>We work to prevent family violence and violence against women through innovative community-level primary prevention programs in places where Victorians live, work, learn, and socialise. In partnership with Respect Victoria, we deliver population-wide campaigns and collaborate with diverse community organisations to build evidence on effective prevention strategies.</w:t>
      </w:r>
    </w:p>
    <w:p w14:paraId="250DEB73" w14:textId="77777777" w:rsidR="00AD7FE0" w:rsidRDefault="00AD7FE0">
      <w:pPr>
        <w:pStyle w:val="ARbody"/>
      </w:pPr>
      <w:r>
        <w:t>We continue to strengthen our statewide service delivery response through The Orange Door network, 24/7 crisis support, case management, crisis accommodation, therapeutic services, and flexible support for victim survivors.</w:t>
      </w:r>
    </w:p>
    <w:p w14:paraId="220E4F74" w14:textId="77777777" w:rsidR="00AD7FE0" w:rsidRDefault="00AD7FE0">
      <w:pPr>
        <w:pStyle w:val="ARbody"/>
      </w:pPr>
      <w:r>
        <w:t xml:space="preserve">We are enhancing the </w:t>
      </w:r>
      <w:r w:rsidRPr="006D2223">
        <w:t xml:space="preserve">Multi-Agency Risk Assessment and Management </w:t>
      </w:r>
      <w:r>
        <w:t>(MARAM) Framework. This will ensure professionals across health, education, justice and social services sectors are equipped to identify signs of family violence, assess risk, and take appropriate actions to keep victim survivors safe.</w:t>
      </w:r>
    </w:p>
    <w:p w14:paraId="1A0AE338" w14:textId="4C53153B" w:rsidR="00AD7FE0" w:rsidRDefault="00AD7FE0">
      <w:pPr>
        <w:pStyle w:val="ARbody"/>
      </w:pPr>
      <w:r w:rsidRPr="0096354B">
        <w:t>When people use family violence, we work with the</w:t>
      </w:r>
      <w:r w:rsidR="00C159BC">
        <w:t> </w:t>
      </w:r>
      <w:r w:rsidRPr="0096354B">
        <w:t>justice system to hold them accountable and support them to change their behaviour. The Central Information Point enables key information about people using violence to be shared to keep victim survivors</w:t>
      </w:r>
      <w:r>
        <w:t xml:space="preserve"> </w:t>
      </w:r>
      <w:r w:rsidRPr="0096354B">
        <w:t>safe.</w:t>
      </w:r>
    </w:p>
    <w:p w14:paraId="2EBB9929" w14:textId="0F32568B" w:rsidR="00AD7FE0" w:rsidRPr="006F7557" w:rsidRDefault="00AD7FE0" w:rsidP="000461AE">
      <w:pPr>
        <w:pStyle w:val="ARbody"/>
        <w:rPr>
          <w:rFonts w:eastAsia="MS Mincho"/>
          <w:b/>
          <w:bCs/>
          <w:caps/>
          <w:color w:val="53565A"/>
          <w:sz w:val="24"/>
        </w:rPr>
      </w:pPr>
      <w:r w:rsidRPr="006F7557">
        <w:rPr>
          <w:rFonts w:eastAsia="MS Mincho"/>
          <w:b/>
          <w:bCs/>
          <w:color w:val="53565A"/>
          <w:sz w:val="24"/>
        </w:rPr>
        <w:t>Veterans</w:t>
      </w:r>
    </w:p>
    <w:p w14:paraId="6DEF8E1D" w14:textId="1542F95F" w:rsidR="00AD7FE0" w:rsidRPr="00956976" w:rsidRDefault="00AD7FE0">
      <w:pPr>
        <w:pStyle w:val="ARbody"/>
      </w:pPr>
      <w:r w:rsidRPr="00956976">
        <w:t xml:space="preserve">The department </w:t>
      </w:r>
      <w:r>
        <w:t>leads Victoria</w:t>
      </w:r>
      <w:r w:rsidR="00711AE6">
        <w:t>’</w:t>
      </w:r>
      <w:r>
        <w:t xml:space="preserve">s work to </w:t>
      </w:r>
      <w:r w:rsidRPr="00956976">
        <w:t>honour the</w:t>
      </w:r>
      <w:r w:rsidR="0049012B">
        <w:t> </w:t>
      </w:r>
      <w:r w:rsidRPr="00956976">
        <w:t xml:space="preserve">contribution of </w:t>
      </w:r>
      <w:r>
        <w:t xml:space="preserve">veterans. We also </w:t>
      </w:r>
      <w:r w:rsidRPr="00956976">
        <w:t>support service organisations that help veterans and their</w:t>
      </w:r>
      <w:r w:rsidR="0049012B">
        <w:t> </w:t>
      </w:r>
      <w:r w:rsidRPr="00956976">
        <w:t>families.</w:t>
      </w:r>
    </w:p>
    <w:p w14:paraId="1A2BCEAC" w14:textId="77777777" w:rsidR="00AD7FE0" w:rsidRDefault="00AD7FE0">
      <w:pPr>
        <w:pStyle w:val="ARbody"/>
      </w:pPr>
      <w:r w:rsidRPr="00956976">
        <w:t xml:space="preserve">We work closely with the Shrine of Remembrance and ex-service organisations to deliver major commemorative and education </w:t>
      </w:r>
      <w:r>
        <w:t xml:space="preserve">events, and provide </w:t>
      </w:r>
      <w:r w:rsidRPr="00956976">
        <w:t>grants to community organisations for capital works, commemoration and education projects, war</w:t>
      </w:r>
      <w:r>
        <w:t> </w:t>
      </w:r>
      <w:r w:rsidRPr="00956976">
        <w:t xml:space="preserve">memorial restoration and programs that </w:t>
      </w:r>
      <w:r>
        <w:t>deliver</w:t>
      </w:r>
      <w:r w:rsidRPr="00956976">
        <w:t xml:space="preserve"> welfare support for veterans and their</w:t>
      </w:r>
      <w:r>
        <w:t xml:space="preserve"> </w:t>
      </w:r>
      <w:r w:rsidRPr="00956976">
        <w:t>families.</w:t>
      </w:r>
    </w:p>
    <w:p w14:paraId="1DA451C3" w14:textId="19AFFE61" w:rsidR="00AD7FE0" w:rsidRPr="00956976" w:rsidRDefault="00AD7FE0">
      <w:pPr>
        <w:pStyle w:val="ARbody"/>
      </w:pPr>
      <w:r>
        <w:t xml:space="preserve">We </w:t>
      </w:r>
      <w:r w:rsidRPr="00956976">
        <w:t xml:space="preserve">work across </w:t>
      </w:r>
      <w:r>
        <w:t>portfolios</w:t>
      </w:r>
      <w:r w:rsidRPr="00956976">
        <w:t xml:space="preserve"> to </w:t>
      </w:r>
      <w:r>
        <w:t>coordinate Victoria</w:t>
      </w:r>
      <w:r w:rsidR="00711AE6">
        <w:t>’</w:t>
      </w:r>
      <w:r>
        <w:t>s engagement with the Royal Commission into Defence and Veteran Suicide. We ensure policies and programs meet the needs of</w:t>
      </w:r>
      <w:r w:rsidRPr="00956976">
        <w:t xml:space="preserve"> veterans </w:t>
      </w:r>
      <w:r>
        <w:t>and recognise their service including through initiatives such as the Veterans Card – Victoria</w:t>
      </w:r>
      <w:r w:rsidR="007843EE">
        <w:t>.</w:t>
      </w:r>
    </w:p>
    <w:p w14:paraId="43E15EEF" w14:textId="77777777" w:rsidR="00AD7FE0" w:rsidRPr="00532DAE" w:rsidRDefault="00AD7FE0">
      <w:pPr>
        <w:pStyle w:val="ARbody"/>
        <w:keepLines/>
      </w:pPr>
      <w:r w:rsidRPr="00956976">
        <w:t xml:space="preserve">We </w:t>
      </w:r>
      <w:r>
        <w:t xml:space="preserve">also </w:t>
      </w:r>
      <w:r w:rsidRPr="00956976">
        <w:t>support the Victorian Veterans</w:t>
      </w:r>
      <w:r>
        <w:t> </w:t>
      </w:r>
      <w:r w:rsidRPr="00956976">
        <w:t>Council</w:t>
      </w:r>
      <w:r>
        <w:t>.</w:t>
      </w:r>
    </w:p>
    <w:p w14:paraId="3803E066" w14:textId="77777777" w:rsidR="00AD7FE0" w:rsidRPr="000A1E66" w:rsidRDefault="00AD7FE0">
      <w:pPr>
        <w:pStyle w:val="Heading4"/>
        <w:rPr>
          <w:b w:val="0"/>
          <w:bCs w:val="0"/>
          <w:caps/>
        </w:rPr>
      </w:pPr>
      <w:r w:rsidRPr="000A1E66">
        <w:t>Women</w:t>
      </w:r>
    </w:p>
    <w:p w14:paraId="07C48046" w14:textId="77777777" w:rsidR="00AD7FE0" w:rsidRDefault="00AD7FE0">
      <w:pPr>
        <w:pStyle w:val="ARbody"/>
      </w:pPr>
      <w:r w:rsidRPr="009238BA">
        <w:t xml:space="preserve">The department </w:t>
      </w:r>
      <w:r>
        <w:t xml:space="preserve">works towards gender equality. Gender equality gives everyone more choices and opportunities to reach their potential and live safe, equal and fulfilled lives. </w:t>
      </w:r>
    </w:p>
    <w:p w14:paraId="1879C164" w14:textId="19E32114" w:rsidR="00AD7FE0" w:rsidRDefault="00AD7FE0">
      <w:pPr>
        <w:pStyle w:val="ARbody"/>
      </w:pPr>
      <w:r>
        <w:t xml:space="preserve">We deliver </w:t>
      </w:r>
      <w:r w:rsidRPr="001048C7">
        <w:rPr>
          <w:rStyle w:val="Emphasis"/>
        </w:rPr>
        <w:t>Our equal state</w:t>
      </w:r>
      <w:r>
        <w:t xml:space="preserve">: </w:t>
      </w:r>
      <w:r w:rsidRPr="001048C7">
        <w:rPr>
          <w:rStyle w:val="Emphasis"/>
        </w:rPr>
        <w:t>Victoria</w:t>
      </w:r>
      <w:r w:rsidR="00711AE6">
        <w:rPr>
          <w:rStyle w:val="Emphasis"/>
        </w:rPr>
        <w:t>’</w:t>
      </w:r>
      <w:r w:rsidRPr="001048C7">
        <w:rPr>
          <w:rStyle w:val="Emphasis"/>
        </w:rPr>
        <w:t>s gender equality strategy and action plan 2023</w:t>
      </w:r>
      <w:r w:rsidR="006E2F2E">
        <w:rPr>
          <w:rStyle w:val="Emphasis"/>
        </w:rPr>
        <w:t>–</w:t>
      </w:r>
      <w:r w:rsidRPr="001048C7">
        <w:rPr>
          <w:rStyle w:val="Emphasis"/>
        </w:rPr>
        <w:t>2027</w:t>
      </w:r>
      <w:r>
        <w:t>. This strategy and action plan will guide the Victorian Government</w:t>
      </w:r>
      <w:r w:rsidR="00711AE6">
        <w:t>’</w:t>
      </w:r>
      <w:r>
        <w:t xml:space="preserve">s effort and investment in gender equality over the next 4 years. </w:t>
      </w:r>
    </w:p>
    <w:p w14:paraId="11FCE981" w14:textId="77777777" w:rsidR="00AD7FE0" w:rsidRDefault="00AD7FE0">
      <w:pPr>
        <w:pStyle w:val="ARbody"/>
      </w:pPr>
      <w:r>
        <w:t xml:space="preserve">A reference group, made up of gender equality experts with a deep understanding of intersectionality (including people with lived experience), will </w:t>
      </w:r>
      <w:r w:rsidRPr="000B124D">
        <w:t xml:space="preserve">provide strategic advice on the implementation of </w:t>
      </w:r>
      <w:r>
        <w:t>the strategy. They will</w:t>
      </w:r>
      <w:r w:rsidRPr="000B124D">
        <w:t xml:space="preserve"> </w:t>
      </w:r>
      <w:r>
        <w:t>focus</w:t>
      </w:r>
      <w:r w:rsidRPr="000B124D">
        <w:t xml:space="preserve"> on opportunities to use policy, programs and services to progress gender equality across government</w:t>
      </w:r>
      <w:r>
        <w:t xml:space="preserve"> and the community</w:t>
      </w:r>
      <w:r w:rsidRPr="000B124D">
        <w:t>.</w:t>
      </w:r>
    </w:p>
    <w:p w14:paraId="2E96BAFA" w14:textId="77777777" w:rsidR="00AD7FE0" w:rsidRDefault="00AD7FE0">
      <w:pPr>
        <w:pStyle w:val="ARbody"/>
      </w:pPr>
      <w:r>
        <w:t xml:space="preserve">The department: </w:t>
      </w:r>
    </w:p>
    <w:p w14:paraId="678FDCBD" w14:textId="3978BF1A" w:rsidR="00AD7FE0" w:rsidRDefault="00AD7FE0">
      <w:pPr>
        <w:pStyle w:val="ARbullet1"/>
      </w:pPr>
      <w:r>
        <w:t>leads structural policy and system reforms to improve women</w:t>
      </w:r>
      <w:r w:rsidR="00711AE6">
        <w:t>’</w:t>
      </w:r>
      <w:r>
        <w:t xml:space="preserve">s economic participation, health, wellbeing and safety (including the </w:t>
      </w:r>
      <w:r w:rsidRPr="00404A7E">
        <w:t>Free Pads and Tampons in Public Places program</w:t>
      </w:r>
      <w:r>
        <w:t xml:space="preserve"> and the </w:t>
      </w:r>
      <w:r w:rsidRPr="00A36938">
        <w:t>ShEqual Gender Equality in</w:t>
      </w:r>
      <w:r>
        <w:t xml:space="preserve"> </w:t>
      </w:r>
      <w:r w:rsidRPr="00A36938">
        <w:t>Advertising</w:t>
      </w:r>
      <w:r>
        <w:t> </w:t>
      </w:r>
      <w:r w:rsidRPr="00A36938">
        <w:t>Projec</w:t>
      </w:r>
      <w:r>
        <w:t xml:space="preserve">t) </w:t>
      </w:r>
    </w:p>
    <w:p w14:paraId="56CA372C" w14:textId="77777777" w:rsidR="005E5B81" w:rsidRDefault="00AD7FE0" w:rsidP="005E5B81">
      <w:pPr>
        <w:pStyle w:val="ARbullet1"/>
      </w:pPr>
      <w:r>
        <w:t>provides grant funding to community organisations (including</w:t>
      </w:r>
      <w:r w:rsidRPr="00C534B1">
        <w:t xml:space="preserve"> SisterWorks, Ngarrimili, AfriAus iLEAC</w:t>
      </w:r>
      <w:r>
        <w:t xml:space="preserve"> and</w:t>
      </w:r>
      <w:r w:rsidRPr="00C534B1">
        <w:t xml:space="preserve"> Fitted for Work</w:t>
      </w:r>
      <w:r>
        <w:t xml:space="preserve">) to promote gender equality </w:t>
      </w:r>
    </w:p>
    <w:p w14:paraId="41809B34" w14:textId="327A9AA4" w:rsidR="00AD7FE0" w:rsidRDefault="00AD7FE0" w:rsidP="005E5B81">
      <w:pPr>
        <w:pStyle w:val="ARbullet1"/>
      </w:pPr>
      <w:r>
        <w:t>delivers programs to increase women</w:t>
      </w:r>
      <w:r w:rsidR="00711AE6">
        <w:t>’</w:t>
      </w:r>
      <w:r>
        <w:t xml:space="preserve">s leadership and recognition (including the Victorian Honour Roll of Women, </w:t>
      </w:r>
      <w:r w:rsidRPr="008362AF">
        <w:t>Women of</w:t>
      </w:r>
      <w:r>
        <w:t xml:space="preserve"> </w:t>
      </w:r>
      <w:r w:rsidRPr="008362AF">
        <w:t>Colour Executive Leadership Program,</w:t>
      </w:r>
      <w:r>
        <w:t xml:space="preserve"> and </w:t>
      </w:r>
      <w:r w:rsidRPr="008362AF">
        <w:t>the</w:t>
      </w:r>
      <w:r>
        <w:t xml:space="preserve"> </w:t>
      </w:r>
      <w:r w:rsidRPr="008362AF">
        <w:t>ECHO First Nations Women</w:t>
      </w:r>
      <w:r w:rsidR="00711AE6">
        <w:t>’</w:t>
      </w:r>
      <w:r w:rsidRPr="008362AF">
        <w:t>s Leadership</w:t>
      </w:r>
      <w:r w:rsidR="00B053BE">
        <w:t> </w:t>
      </w:r>
      <w:r w:rsidRPr="008362AF">
        <w:t>Program</w:t>
      </w:r>
      <w:r>
        <w:t>).</w:t>
      </w:r>
    </w:p>
    <w:p w14:paraId="7DCEF0E1" w14:textId="6164A393" w:rsidR="00AD7FE0" w:rsidRDefault="00AD7FE0" w:rsidP="000461AE">
      <w:pPr>
        <w:pStyle w:val="ARbodyafterbullets"/>
      </w:pPr>
      <w:r>
        <w:t xml:space="preserve">We work closely with the Commissioner for Gender Equality in the Public Sector. The Commissioner oversees the implementation of the </w:t>
      </w:r>
      <w:r w:rsidRPr="00233486">
        <w:rPr>
          <w:i/>
          <w:iCs/>
        </w:rPr>
        <w:t>Gender Equality Act 2020</w:t>
      </w:r>
      <w:r>
        <w:t xml:space="preserve"> and plays a key leadership role in</w:t>
      </w:r>
      <w:r w:rsidR="006B4F00">
        <w:t> </w:t>
      </w:r>
      <w:r>
        <w:t>promoting gender equality in the Victorian community and workplaces. Together, we take a</w:t>
      </w:r>
      <w:r w:rsidR="006B4F00">
        <w:t> </w:t>
      </w:r>
      <w:r>
        <w:t>coordinated, whole-of-government approach to</w:t>
      </w:r>
      <w:r w:rsidR="006B4F00">
        <w:t> </w:t>
      </w:r>
      <w:r>
        <w:t>advancing gender equality.</w:t>
      </w:r>
    </w:p>
    <w:p w14:paraId="06FBE386" w14:textId="13FDB0AB" w:rsidR="00AD7FE0" w:rsidRPr="000A1E66" w:rsidRDefault="002D62CB" w:rsidP="00DE1A62">
      <w:pPr>
        <w:pStyle w:val="Heading4"/>
        <w:rPr>
          <w:caps/>
        </w:rPr>
      </w:pPr>
      <w:r>
        <w:br w:type="column"/>
      </w:r>
      <w:bookmarkStart w:id="40" w:name="_Ref178615708"/>
      <w:r w:rsidR="00AD7FE0" w:rsidRPr="000A1E66">
        <w:t>Youth</w:t>
      </w:r>
      <w:bookmarkEnd w:id="40"/>
    </w:p>
    <w:p w14:paraId="085441DB" w14:textId="1A55D3CE" w:rsidR="00AD7FE0" w:rsidRPr="00E64F29" w:rsidRDefault="00AD7FE0">
      <w:pPr>
        <w:pStyle w:val="ARbody"/>
      </w:pPr>
      <w:r w:rsidRPr="00E64F29">
        <w:t>The department shapes policies, programs and</w:t>
      </w:r>
      <w:r w:rsidR="005E5B81">
        <w:t> </w:t>
      </w:r>
      <w:r w:rsidRPr="00E64F29">
        <w:t xml:space="preserve">services for young Victorians aged 12–25. </w:t>
      </w:r>
      <w:r>
        <w:t>We</w:t>
      </w:r>
      <w:r w:rsidR="005E5B81">
        <w:t> </w:t>
      </w:r>
      <w:r w:rsidRPr="00E64F29">
        <w:t>aim</w:t>
      </w:r>
      <w:r w:rsidR="005E5B81">
        <w:t> </w:t>
      </w:r>
      <w:r w:rsidRPr="00E64F29">
        <w:t>to give them a say about the things that</w:t>
      </w:r>
      <w:r w:rsidR="005E5B81">
        <w:t> </w:t>
      </w:r>
      <w:r w:rsidRPr="00E64F29">
        <w:t>are</w:t>
      </w:r>
      <w:r w:rsidR="005E5B81">
        <w:t> </w:t>
      </w:r>
      <w:r w:rsidRPr="00E64F29">
        <w:t>important to them and their futures.</w:t>
      </w:r>
    </w:p>
    <w:p w14:paraId="236F2E8D" w14:textId="77777777" w:rsidR="00AD7FE0" w:rsidRPr="00E64F29" w:rsidRDefault="00AD7FE0" w:rsidP="000461AE">
      <w:pPr>
        <w:pStyle w:val="ARbody"/>
      </w:pPr>
      <w:r w:rsidRPr="00E64F29">
        <w:t xml:space="preserve">We work </w:t>
      </w:r>
      <w:r w:rsidRPr="000461AE">
        <w:t>closely</w:t>
      </w:r>
      <w:r w:rsidRPr="00E64F29">
        <w:t xml:space="preserve"> with other portfolios to:</w:t>
      </w:r>
    </w:p>
    <w:p w14:paraId="7B598F57" w14:textId="248B53E1" w:rsidR="00AD7FE0" w:rsidRPr="00E64F29" w:rsidRDefault="00AD7FE0">
      <w:pPr>
        <w:pStyle w:val="ARbullet1"/>
      </w:pPr>
      <w:r w:rsidRPr="00E64F29">
        <w:t>improve young people</w:t>
      </w:r>
      <w:r w:rsidR="00711AE6">
        <w:t>’</w:t>
      </w:r>
      <w:r w:rsidRPr="00E64F29">
        <w:t>s health and wellbeing, education, training, skills development and career pathways</w:t>
      </w:r>
    </w:p>
    <w:p w14:paraId="35DCFEAF" w14:textId="101DB176" w:rsidR="00AD7FE0" w:rsidRPr="00E64F29" w:rsidRDefault="00AD7FE0">
      <w:pPr>
        <w:pStyle w:val="ARbullet1"/>
      </w:pPr>
      <w:r w:rsidRPr="00E64F29">
        <w:t>boost young people</w:t>
      </w:r>
      <w:r w:rsidR="00711AE6">
        <w:t>’</w:t>
      </w:r>
      <w:r w:rsidRPr="00E64F29">
        <w:t>s participation in community and civic life</w:t>
      </w:r>
    </w:p>
    <w:p w14:paraId="7A233FA2" w14:textId="69EA9669" w:rsidR="00AD7FE0" w:rsidRPr="00E64F29" w:rsidRDefault="00AD7FE0">
      <w:pPr>
        <w:pStyle w:val="ARbullet1"/>
      </w:pPr>
      <w:r w:rsidRPr="00E64F29">
        <w:t>address youth disengagement from family, education and training, employment and</w:t>
      </w:r>
      <w:r w:rsidR="005E5B81">
        <w:t> </w:t>
      </w:r>
      <w:r w:rsidRPr="00E64F29">
        <w:t>community.</w:t>
      </w:r>
    </w:p>
    <w:p w14:paraId="354D35AB" w14:textId="77777777" w:rsidR="00AD7FE0" w:rsidRPr="00E64F29" w:rsidRDefault="00AD7FE0">
      <w:pPr>
        <w:pStyle w:val="ARbodyafterbullets"/>
      </w:pPr>
      <w:r w:rsidRPr="00E64F29">
        <w:t xml:space="preserve">Our work with young people is designed with and led by young people, including the Victorian Youth Congress. This includes universal programs to empower and protect young people, and targeted programs for young people </w:t>
      </w:r>
      <w:r>
        <w:t>experiencing disengagement or disadvantage</w:t>
      </w:r>
      <w:r w:rsidRPr="00E64F29">
        <w:t>.</w:t>
      </w:r>
    </w:p>
    <w:p w14:paraId="6E10B8DC" w14:textId="77777777" w:rsidR="00AD7FE0" w:rsidRDefault="00AD7FE0">
      <w:pPr>
        <w:pStyle w:val="ARbodyafterbullets"/>
      </w:pPr>
      <w:r w:rsidRPr="00E64F29">
        <w:t xml:space="preserve">We also </w:t>
      </w:r>
      <w:r>
        <w:t>work</w:t>
      </w:r>
      <w:r w:rsidRPr="00E64F29">
        <w:t xml:space="preserve"> to influence policy, program and service delivery and investment in the things that are important for</w:t>
      </w:r>
      <w:r>
        <w:t xml:space="preserve"> </w:t>
      </w:r>
      <w:r w:rsidRPr="00E64F29">
        <w:t>young people.</w:t>
      </w:r>
    </w:p>
    <w:p w14:paraId="1290C4AA" w14:textId="77777777" w:rsidR="00AD7FE0" w:rsidRDefault="00AD7FE0">
      <w:pPr>
        <w:pStyle w:val="ARbodyafterbullets"/>
        <w:sectPr w:rsidR="00AD7FE0"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56D5613C" w14:textId="5E2DC3B9" w:rsidR="00AD7FE0" w:rsidRDefault="00AD7FE0" w:rsidP="005E5B81">
      <w:pPr>
        <w:pStyle w:val="Heading2"/>
      </w:pPr>
      <w:bookmarkStart w:id="41" w:name="_Toc82006192"/>
      <w:bookmarkStart w:id="42" w:name="_Ref178615097"/>
      <w:bookmarkStart w:id="43" w:name="_Toc181101485"/>
      <w:r w:rsidRPr="00174116">
        <w:t xml:space="preserve">The </w:t>
      </w:r>
      <w:r w:rsidRPr="005E5B81">
        <w:t>department</w:t>
      </w:r>
      <w:r w:rsidR="00711AE6">
        <w:t>’</w:t>
      </w:r>
      <w:r w:rsidRPr="005E5B81">
        <w:t>s</w:t>
      </w:r>
      <w:r w:rsidRPr="00174116">
        <w:t xml:space="preserve"> </w:t>
      </w:r>
      <w:r>
        <w:t>m</w:t>
      </w:r>
      <w:r w:rsidRPr="00174116">
        <w:t>inisters</w:t>
      </w:r>
      <w:bookmarkEnd w:id="41"/>
      <w:bookmarkEnd w:id="42"/>
      <w:bookmarkEnd w:id="43"/>
      <w:r>
        <w:t xml:space="preserve"> </w:t>
      </w:r>
    </w:p>
    <w:p w14:paraId="53000C78" w14:textId="77777777" w:rsidR="00AD7FE0" w:rsidRDefault="00AD7FE0">
      <w:pPr>
        <w:pStyle w:val="Heading2"/>
        <w:sectPr w:rsidR="00AD7FE0" w:rsidSect="005936D2">
          <w:footnotePr>
            <w:numFmt w:val="lowerRoman"/>
            <w:numRestart w:val="eachPage"/>
          </w:footnotePr>
          <w:endnotePr>
            <w:numFmt w:val="decimal"/>
          </w:endnotePr>
          <w:pgSz w:w="11900" w:h="16840" w:code="9"/>
          <w:pgMar w:top="1701" w:right="1134" w:bottom="851" w:left="1134" w:header="510" w:footer="340" w:gutter="0"/>
          <w:cols w:space="708"/>
        </w:sectPr>
      </w:pPr>
    </w:p>
    <w:p w14:paraId="43EB30FC" w14:textId="77777777" w:rsidR="00AD7FE0" w:rsidRDefault="00AD7FE0" w:rsidP="00AA126F">
      <w:pPr>
        <w:pStyle w:val="ARbody"/>
      </w:pPr>
      <w:r w:rsidRPr="00532DAE">
        <w:rPr>
          <w:noProof/>
        </w:rPr>
        <w:drawing>
          <wp:inline distT="0" distB="0" distL="0" distR="0" wp14:anchorId="355C5563" wp14:editId="1912D6A5">
            <wp:extent cx="1019810" cy="1085971"/>
            <wp:effectExtent l="0" t="0" r="8890" b="0"/>
            <wp:docPr id="1412330382" name="Picture 1412330382" descr="The Hon. Lizzie Blandt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25930" name="Picture 1" descr="The Hon. Lizzie Blandthorn"/>
                    <pic:cNvPicPr/>
                  </pic:nvPicPr>
                  <pic:blipFill rotWithShape="1">
                    <a:blip r:embed="rId38" cstate="screen">
                      <a:extLst>
                        <a:ext uri="{28A0092B-C50C-407E-A947-70E740481C1C}">
                          <a14:useLocalDpi xmlns:a14="http://schemas.microsoft.com/office/drawing/2010/main"/>
                        </a:ext>
                      </a:extLst>
                    </a:blip>
                    <a:srcRect t="-6501"/>
                    <a:stretch/>
                  </pic:blipFill>
                  <pic:spPr bwMode="auto">
                    <a:xfrm>
                      <a:off x="0" y="0"/>
                      <a:ext cx="1021348" cy="1087609"/>
                    </a:xfrm>
                    <a:prstGeom prst="rect">
                      <a:avLst/>
                    </a:prstGeom>
                    <a:ln>
                      <a:noFill/>
                    </a:ln>
                    <a:extLst>
                      <a:ext uri="{53640926-AAD7-44D8-BBD7-CCE9431645EC}">
                        <a14:shadowObscured xmlns:a14="http://schemas.microsoft.com/office/drawing/2010/main"/>
                      </a:ext>
                    </a:extLst>
                  </pic:spPr>
                </pic:pic>
              </a:graphicData>
            </a:graphic>
          </wp:inline>
        </w:drawing>
      </w:r>
    </w:p>
    <w:p w14:paraId="30C301C6" w14:textId="5DFBC9CB" w:rsidR="00AD7FE0" w:rsidRPr="002029AF" w:rsidRDefault="00AD7FE0" w:rsidP="00B05B5B">
      <w:pPr>
        <w:pStyle w:val="Heading3Ministers"/>
      </w:pPr>
      <w:r w:rsidRPr="00B05B5B">
        <w:t>Hon</w:t>
      </w:r>
      <w:r w:rsidRPr="00CE479B">
        <w:t xml:space="preserve"> Lizzie </w:t>
      </w:r>
      <w:r w:rsidRPr="006F5B48">
        <w:t>Blandthorn</w:t>
      </w:r>
      <w:r>
        <w:t xml:space="preserve"> MP</w:t>
      </w:r>
    </w:p>
    <w:p w14:paraId="4427D4AF" w14:textId="62782215" w:rsidR="00AD7FE0" w:rsidRPr="00E51CC9" w:rsidRDefault="00AD7FE0">
      <w:pPr>
        <w:pStyle w:val="ARbody"/>
        <w:spacing w:after="40"/>
        <w:rPr>
          <w:rStyle w:val="Strong"/>
        </w:rPr>
      </w:pPr>
      <w:r w:rsidRPr="00E51CC9">
        <w:rPr>
          <w:rStyle w:val="Strong"/>
        </w:rPr>
        <w:t>Coordinating Minister for the Department of</w:t>
      </w:r>
      <w:r w:rsidR="00246F69">
        <w:rPr>
          <w:rStyle w:val="Strong"/>
        </w:rPr>
        <w:t> </w:t>
      </w:r>
      <w:r w:rsidRPr="00E51CC9">
        <w:rPr>
          <w:rStyle w:val="Strong"/>
        </w:rPr>
        <w:t>Families, Fairness and Housing</w:t>
      </w:r>
    </w:p>
    <w:p w14:paraId="4717098D" w14:textId="77777777" w:rsidR="00AD7FE0" w:rsidRPr="00E51CC9" w:rsidRDefault="00AD7FE0">
      <w:pPr>
        <w:pStyle w:val="ARbody"/>
        <w:spacing w:after="40"/>
        <w:rPr>
          <w:rStyle w:val="Strong"/>
        </w:rPr>
      </w:pPr>
      <w:r w:rsidRPr="00E51CC9">
        <w:rPr>
          <w:rStyle w:val="Strong"/>
        </w:rPr>
        <w:t>Minister for Children</w:t>
      </w:r>
    </w:p>
    <w:p w14:paraId="59D6471B" w14:textId="77777777" w:rsidR="00AD7FE0" w:rsidRPr="00E51CC9" w:rsidRDefault="00AD7FE0">
      <w:pPr>
        <w:pStyle w:val="ARbody"/>
        <w:rPr>
          <w:rStyle w:val="Strong"/>
        </w:rPr>
      </w:pPr>
      <w:r w:rsidRPr="00E51CC9">
        <w:rPr>
          <w:rStyle w:val="Strong"/>
        </w:rPr>
        <w:t>Minister for Disability</w:t>
      </w:r>
    </w:p>
    <w:p w14:paraId="0C72AB55" w14:textId="77777777" w:rsidR="00AD7FE0" w:rsidRPr="00B43BD7" w:rsidRDefault="00AD7FE0">
      <w:pPr>
        <w:pStyle w:val="ARbody"/>
        <w:rPr>
          <w:rFonts w:eastAsia="Times New Roman"/>
          <w:color w:val="323130"/>
          <w:szCs w:val="20"/>
          <w:lang w:val="en-US" w:eastAsia="en-AU"/>
        </w:rPr>
      </w:pPr>
      <w:r w:rsidRPr="00B43BD7">
        <w:rPr>
          <w:rFonts w:eastAsia="Times New Roman"/>
          <w:color w:val="323130"/>
          <w:szCs w:val="20"/>
          <w:lang w:val="en-US" w:eastAsia="en-AU"/>
        </w:rPr>
        <w:t xml:space="preserve">Minister Blandthorn has held the positions of Minister for Children and Minister for Disability since October 2023. </w:t>
      </w:r>
    </w:p>
    <w:p w14:paraId="26238B29" w14:textId="379FB33B" w:rsidR="00AD7FE0" w:rsidRDefault="00AD7FE0" w:rsidP="000461AE">
      <w:pPr>
        <w:pStyle w:val="ARbodybeforetable"/>
        <w:rPr>
          <w:lang w:val="en-US"/>
        </w:rPr>
      </w:pPr>
      <w:r w:rsidRPr="00B43BD7">
        <w:rPr>
          <w:lang w:val="en-US"/>
        </w:rPr>
        <w:t>Minister Blandthorn previously held the position of Minister for Child Protection and Family Services</w:t>
      </w:r>
      <w:r w:rsidRPr="00AA0ECC">
        <w:rPr>
          <w:lang w:val="en-US"/>
        </w:rPr>
        <w:t xml:space="preserve"> </w:t>
      </w:r>
      <w:r>
        <w:rPr>
          <w:lang w:val="en-US"/>
        </w:rPr>
        <w:t xml:space="preserve">and </w:t>
      </w:r>
      <w:r w:rsidRPr="00AA0ECC">
        <w:rPr>
          <w:lang w:val="en-US"/>
        </w:rPr>
        <w:t xml:space="preserve">Minister for Disability, Ageing and Carers December 2022 </w:t>
      </w:r>
      <w:r w:rsidR="007843EE">
        <w:rPr>
          <w:lang w:val="en-US"/>
        </w:rPr>
        <w:t>to</w:t>
      </w:r>
      <w:r w:rsidR="007843EE" w:rsidRPr="00AA0ECC">
        <w:rPr>
          <w:lang w:val="en-US"/>
        </w:rPr>
        <w:t xml:space="preserve"> </w:t>
      </w:r>
      <w:r w:rsidRPr="00AA0ECC">
        <w:rPr>
          <w:lang w:val="en-US"/>
        </w:rPr>
        <w:t>October 2023</w:t>
      </w:r>
      <w:r>
        <w:rPr>
          <w:lang w:val="en-US"/>
        </w:rPr>
        <w:t>.</w:t>
      </w:r>
    </w:p>
    <w:p w14:paraId="3C9E6EF9" w14:textId="77777777" w:rsidR="00AD7FE0" w:rsidRDefault="00AD7FE0">
      <w:pPr>
        <w:pStyle w:val="ARbody"/>
        <w:rPr>
          <w:noProof/>
        </w:rPr>
      </w:pPr>
      <w:r>
        <w:rPr>
          <w:noProof/>
        </w:rPr>
        <w:drawing>
          <wp:inline distT="0" distB="0" distL="0" distR="0" wp14:anchorId="0A06F0F0" wp14:editId="2EE3B181">
            <wp:extent cx="1104900" cy="1104900"/>
            <wp:effectExtent l="0" t="0" r="0" b="0"/>
            <wp:docPr id="1192226066" name="Picture 7" descr="Ingrid Stitt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26066" name="Picture 7" descr="Ingrid Stitt MP"/>
                    <pic:cNvPicPr>
                      <a:picLocks noChangeAspect="1" noChangeArrowheads="1"/>
                    </pic:cNvPicPr>
                  </pic:nvPicPr>
                  <pic:blipFill>
                    <a:blip r:embed="rId39" cstate="screen">
                      <a:extLst>
                        <a:ext uri="{BEBA8EAE-BF5A-486C-A8C5-ECC9F3942E4B}">
                          <a14:imgProps xmlns:a14="http://schemas.microsoft.com/office/drawing/2010/main">
                            <a14:imgLayer r:embed="rId40">
                              <a14:imgEffect>
                                <a14:backgroundRemoval t="8582" b="97388" l="1866" r="99627">
                                  <a14:foregroundMark x1="2888" y1="75000" x2="2985" y2="74627"/>
                                  <a14:foregroundMark x1="1437" y1="80597" x2="2888" y2="75000"/>
                                  <a14:foregroundMark x1="953" y1="82463" x2="1437" y2="80597"/>
                                  <a14:foregroundMark x1="373" y1="84701" x2="953" y2="82463"/>
                                  <a14:foregroundMark x1="2985" y1="74627" x2="11567" y2="67537"/>
                                  <a14:foregroundMark x1="11567" y1="67537" x2="22388" y2="66045"/>
                                  <a14:foregroundMark x1="22388" y1="66045" x2="34328" y2="85075"/>
                                  <a14:foregroundMark x1="34328" y1="85075" x2="34328" y2="86567"/>
                                  <a14:foregroundMark x1="33582" y1="86194" x2="43657" y2="89925"/>
                                  <a14:foregroundMark x1="43657" y1="89925" x2="54104" y2="88806"/>
                                  <a14:foregroundMark x1="54104" y1="88806" x2="60075" y2="80597"/>
                                  <a14:foregroundMark x1="60075" y1="80597" x2="69403" y2="73507"/>
                                  <a14:foregroundMark x1="69403" y1="73507" x2="74254" y2="63060"/>
                                  <a14:foregroundMark x1="74254" y1="63060" x2="86194" y2="62687"/>
                                  <a14:foregroundMark x1="90372" y1="64179" x2="96642" y2="66418"/>
                                  <a14:foregroundMark x1="89328" y1="63806" x2="90372" y2="64179"/>
                                  <a14:foregroundMark x1="88283" y1="63433" x2="89328" y2="63806"/>
                                  <a14:foregroundMark x1="87239" y1="63060" x2="88283" y2="63433"/>
                                  <a14:foregroundMark x1="86194" y1="62687" x2="87239" y2="63060"/>
                                  <a14:foregroundMark x1="96642" y1="66418" x2="98881" y2="94030"/>
                                  <a14:foregroundMark x1="98881" y1="94030" x2="6343" y2="98507"/>
                                  <a14:foregroundMark x1="6343" y1="98507" x2="746" y2="89179"/>
                                  <a14:foregroundMark x1="1527" y1="80597" x2="1866" y2="76866"/>
                                  <a14:foregroundMark x1="1357" y1="82463" x2="1527" y2="80597"/>
                                  <a14:foregroundMark x1="746" y1="89179" x2="1357" y2="82463"/>
                                  <a14:foregroundMark x1="4194" y1="74627" x2="11567" y2="67537"/>
                                  <a14:foregroundMark x1="3806" y1="75000" x2="4194" y2="74627"/>
                                  <a14:foregroundMark x1="1866" y1="76866" x2="3806" y2="75000"/>
                                  <a14:foregroundMark x1="11567" y1="67537" x2="22388" y2="67537"/>
                                  <a14:foregroundMark x1="22388" y1="67537" x2="33955" y2="86567"/>
                                  <a14:foregroundMark x1="16045" y1="80224" x2="6716" y2="84328"/>
                                  <a14:foregroundMark x1="6716" y1="84328" x2="2239" y2="97761"/>
                                  <a14:foregroundMark x1="2239" y1="97761" x2="29851" y2="97761"/>
                                  <a14:foregroundMark x1="29851" y1="97761" x2="39552" y2="84328"/>
                                  <a14:foregroundMark x1="39552" y1="84328" x2="17910" y2="76119"/>
                                  <a14:foregroundMark x1="17910" y1="76119" x2="13060" y2="76119"/>
                                  <a14:foregroundMark x1="55224" y1="86940" x2="70896" y2="68284"/>
                                  <a14:foregroundMark x1="70896" y1="68284" x2="92164" y2="64925"/>
                                  <a14:foregroundMark x1="92164" y1="64925" x2="99627" y2="90672"/>
                                  <a14:foregroundMark x1="99627" y1="90672" x2="85821" y2="97388"/>
                                  <a14:foregroundMark x1="85821" y1="97388" x2="60821" y2="86940"/>
                                  <a14:foregroundMark x1="60821" y1="86940" x2="56343" y2="83209"/>
                                  <a14:backgroundMark x1="746" y1="80597" x2="746" y2="80597"/>
                                  <a14:backgroundMark x1="373" y1="82463" x2="373" y2="82463"/>
                                  <a14:backgroundMark x1="2612" y1="75000" x2="2612" y2="75000"/>
                                  <a14:backgroundMark x1="2612" y1="74627" x2="2612" y2="74627"/>
                                  <a14:backgroundMark x1="83955" y1="62687" x2="83955" y2="62687"/>
                                  <a14:backgroundMark x1="85821" y1="62687" x2="85821" y2="62687"/>
                                  <a14:backgroundMark x1="87687" y1="63433" x2="87687" y2="63433"/>
                                  <a14:backgroundMark x1="88806" y1="63433" x2="88806" y2="63433"/>
                                  <a14:backgroundMark x1="90299" y1="63806" x2="90299" y2="63806"/>
                                  <a14:backgroundMark x1="92537" y1="64179" x2="92537" y2="64179"/>
                                  <a14:backgroundMark x1="82836" y1="62687" x2="82836" y2="62687"/>
                                  <a14:backgroundMark x1="81716" y1="62687" x2="81716" y2="62687"/>
                                  <a14:backgroundMark x1="80970" y1="62687" x2="80970" y2="62687"/>
                                  <a14:backgroundMark x1="82463" y1="62687" x2="82463" y2="62687"/>
                                  <a14:backgroundMark x1="85075" y1="62687" x2="85075" y2="62687"/>
                                  <a14:backgroundMark x1="86940" y1="63060" x2="86940" y2="63060"/>
                                  <a14:backgroundMark x1="91418" y1="64179" x2="91418" y2="64179"/>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1118426" cy="1118426"/>
                    </a:xfrm>
                    <a:prstGeom prst="rect">
                      <a:avLst/>
                    </a:prstGeom>
                    <a:noFill/>
                  </pic:spPr>
                </pic:pic>
              </a:graphicData>
            </a:graphic>
          </wp:inline>
        </w:drawing>
      </w:r>
    </w:p>
    <w:p w14:paraId="25142073" w14:textId="77777777" w:rsidR="00AD7FE0" w:rsidRDefault="00AD7FE0">
      <w:pPr>
        <w:pStyle w:val="Heading3Ministers"/>
      </w:pPr>
      <w:r w:rsidRPr="00593BE4">
        <w:t>Ingrid Stitt MP</w:t>
      </w:r>
    </w:p>
    <w:p w14:paraId="102D9507" w14:textId="77777777" w:rsidR="00AD7FE0" w:rsidRPr="00E51CC9" w:rsidRDefault="00AD7FE0">
      <w:pPr>
        <w:pStyle w:val="ARbody"/>
        <w:rPr>
          <w:rStyle w:val="Strong"/>
        </w:rPr>
      </w:pPr>
      <w:r w:rsidRPr="00E51CC9">
        <w:rPr>
          <w:rStyle w:val="Strong"/>
        </w:rPr>
        <w:t>Minister for Ageing</w:t>
      </w:r>
    </w:p>
    <w:p w14:paraId="3FBAD854" w14:textId="77777777" w:rsidR="00AD7FE0" w:rsidRPr="0007291E" w:rsidRDefault="00AD7FE0">
      <w:pPr>
        <w:pStyle w:val="ARbody"/>
        <w:rPr>
          <w:rFonts w:eastAsia="Times New Roman"/>
          <w:color w:val="323130"/>
          <w:szCs w:val="20"/>
          <w:lang w:val="en-US" w:eastAsia="en-AU"/>
        </w:rPr>
      </w:pPr>
      <w:r w:rsidRPr="0007291E">
        <w:rPr>
          <w:rFonts w:eastAsia="Times New Roman"/>
          <w:color w:val="323130"/>
          <w:szCs w:val="20"/>
          <w:lang w:val="en-US" w:eastAsia="en-AU"/>
        </w:rPr>
        <w:t>Minister Stitt has held the position of Minister for Ageing since 2 October 2023. Minister Stitt is also the Minister for Mental Health and Minister for Multicultural Affairs.</w:t>
      </w:r>
    </w:p>
    <w:p w14:paraId="7E09DD7D" w14:textId="77777777" w:rsidR="00AD7FE0" w:rsidRPr="0007291E" w:rsidRDefault="00AD7FE0">
      <w:pPr>
        <w:pStyle w:val="ARbody"/>
        <w:rPr>
          <w:rFonts w:eastAsia="Times New Roman"/>
          <w:color w:val="323130"/>
          <w:szCs w:val="20"/>
          <w:lang w:val="en-US" w:eastAsia="en-AU"/>
        </w:rPr>
      </w:pPr>
      <w:r w:rsidRPr="0007291E">
        <w:rPr>
          <w:rFonts w:eastAsia="Times New Roman"/>
          <w:color w:val="323130"/>
          <w:szCs w:val="20"/>
          <w:lang w:val="en-US" w:eastAsia="en-AU"/>
        </w:rPr>
        <w:t>She is passionate about ensuring that older Victorians are supported to age with dignity, stay</w:t>
      </w:r>
      <w:r>
        <w:rPr>
          <w:rFonts w:eastAsia="Times New Roman"/>
          <w:color w:val="323130"/>
          <w:szCs w:val="20"/>
          <w:lang w:val="en-US" w:eastAsia="en-AU"/>
        </w:rPr>
        <w:t xml:space="preserve"> </w:t>
      </w:r>
      <w:r w:rsidRPr="0007291E">
        <w:rPr>
          <w:rFonts w:eastAsia="Times New Roman"/>
          <w:color w:val="323130"/>
          <w:szCs w:val="20"/>
          <w:lang w:val="en-US" w:eastAsia="en-AU"/>
        </w:rPr>
        <w:t>connected with their community and get the</w:t>
      </w:r>
      <w:r>
        <w:rPr>
          <w:rFonts w:eastAsia="Times New Roman"/>
          <w:color w:val="323130"/>
          <w:szCs w:val="20"/>
          <w:lang w:val="en-US" w:eastAsia="en-AU"/>
        </w:rPr>
        <w:t xml:space="preserve"> </w:t>
      </w:r>
      <w:r w:rsidRPr="0007291E">
        <w:rPr>
          <w:rFonts w:eastAsia="Times New Roman"/>
          <w:color w:val="323130"/>
          <w:szCs w:val="20"/>
          <w:lang w:val="en-US" w:eastAsia="en-AU"/>
        </w:rPr>
        <w:t>most out of their senior years.</w:t>
      </w:r>
    </w:p>
    <w:p w14:paraId="5B82EF7B" w14:textId="77777777" w:rsidR="00AD7FE0" w:rsidRPr="0007291E" w:rsidRDefault="00AD7FE0">
      <w:pPr>
        <w:pStyle w:val="ARbody"/>
        <w:rPr>
          <w:rFonts w:eastAsia="Times New Roman"/>
          <w:color w:val="323130"/>
          <w:szCs w:val="20"/>
          <w:lang w:val="en-US" w:eastAsia="en-AU"/>
        </w:rPr>
      </w:pPr>
      <w:r w:rsidRPr="0007291E">
        <w:rPr>
          <w:rFonts w:eastAsia="Times New Roman"/>
          <w:color w:val="323130"/>
          <w:szCs w:val="20"/>
          <w:lang w:val="en-US" w:eastAsia="en-AU"/>
        </w:rPr>
        <w:t>Minister Stitt previously held the positions of Minister for Workplace Safety, Minister for Environment and Minister for Early Childhood and</w:t>
      </w:r>
      <w:r>
        <w:rPr>
          <w:rFonts w:eastAsia="Times New Roman"/>
          <w:color w:val="323130"/>
          <w:szCs w:val="20"/>
          <w:lang w:val="en-US" w:eastAsia="en-AU"/>
        </w:rPr>
        <w:t> </w:t>
      </w:r>
      <w:r w:rsidRPr="0007291E">
        <w:rPr>
          <w:rFonts w:eastAsia="Times New Roman"/>
          <w:color w:val="323130"/>
          <w:szCs w:val="20"/>
          <w:lang w:val="en-US" w:eastAsia="en-AU"/>
        </w:rPr>
        <w:t>Pre-Prep.</w:t>
      </w:r>
    </w:p>
    <w:p w14:paraId="492A3140" w14:textId="4711B1E9" w:rsidR="00AD7FE0" w:rsidRDefault="007843EE">
      <w:pPr>
        <w:pStyle w:val="ARbody"/>
        <w:rPr>
          <w:noProof/>
        </w:rPr>
      </w:pPr>
      <w:r>
        <w:rPr>
          <w:rFonts w:eastAsia="Times New Roman"/>
          <w:color w:val="323130"/>
          <w:szCs w:val="20"/>
          <w:lang w:val="en-US" w:eastAsia="en-AU"/>
        </w:rPr>
        <w:t>From</w:t>
      </w:r>
      <w:r w:rsidRPr="0007291E">
        <w:rPr>
          <w:rFonts w:eastAsia="Times New Roman"/>
          <w:color w:val="323130"/>
          <w:szCs w:val="20"/>
          <w:lang w:val="en-US" w:eastAsia="en-AU"/>
        </w:rPr>
        <w:t xml:space="preserve"> </w:t>
      </w:r>
      <w:r w:rsidR="00AD7FE0" w:rsidRPr="0007291E">
        <w:rPr>
          <w:rFonts w:eastAsia="Times New Roman"/>
          <w:color w:val="323130"/>
          <w:szCs w:val="20"/>
          <w:lang w:val="en-US" w:eastAsia="en-AU"/>
        </w:rPr>
        <w:t xml:space="preserve">1 July 2023 </w:t>
      </w:r>
      <w:r>
        <w:rPr>
          <w:rFonts w:eastAsia="Times New Roman"/>
          <w:color w:val="323130"/>
          <w:szCs w:val="20"/>
          <w:lang w:val="en-US" w:eastAsia="en-AU"/>
        </w:rPr>
        <w:t>to</w:t>
      </w:r>
      <w:r w:rsidR="00AD7FE0" w:rsidRPr="0007291E">
        <w:rPr>
          <w:rFonts w:eastAsia="Times New Roman"/>
          <w:color w:val="323130"/>
          <w:szCs w:val="20"/>
          <w:lang w:val="en-US" w:eastAsia="en-AU"/>
        </w:rPr>
        <w:t xml:space="preserve"> 1 October 2023, the Hon Lizzie Blandthorn was the Minister for Disability, Ageing and Carers</w:t>
      </w:r>
      <w:r w:rsidR="00AD7FE0">
        <w:rPr>
          <w:rFonts w:eastAsia="Times New Roman"/>
          <w:color w:val="323130"/>
          <w:szCs w:val="20"/>
          <w:lang w:val="en-US" w:eastAsia="en-AU"/>
        </w:rPr>
        <w:t>.</w:t>
      </w:r>
    </w:p>
    <w:p w14:paraId="72B04FD8" w14:textId="77777777" w:rsidR="00AD7FE0" w:rsidRDefault="00AD7FE0">
      <w:pPr>
        <w:pStyle w:val="ARbodynospace"/>
        <w:rPr>
          <w:noProof/>
        </w:rPr>
      </w:pPr>
      <w:r w:rsidRPr="00532DAE">
        <w:rPr>
          <w:noProof/>
        </w:rPr>
        <w:drawing>
          <wp:inline distT="0" distB="0" distL="0" distR="0" wp14:anchorId="419335DF" wp14:editId="102B811A">
            <wp:extent cx="1015153" cy="1071114"/>
            <wp:effectExtent l="0" t="0" r="0" b="0"/>
            <wp:docPr id="2126038034" name="Picture 2126038034" descr="The Hon. Ros Spenc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descr="The Hon. Ros Spence MP"/>
                    <pic:cNvPicPr/>
                  </pic:nvPicPr>
                  <pic:blipFill rotWithShape="1">
                    <a:blip r:embed="rId41" cstate="screen">
                      <a:extLst>
                        <a:ext uri="{28A0092B-C50C-407E-A947-70E740481C1C}">
                          <a14:useLocalDpi xmlns:a14="http://schemas.microsoft.com/office/drawing/2010/main"/>
                        </a:ext>
                      </a:extLst>
                    </a:blip>
                    <a:srcRect t="-10344" b="-1"/>
                    <a:stretch/>
                  </pic:blipFill>
                  <pic:spPr bwMode="auto">
                    <a:xfrm>
                      <a:off x="0" y="0"/>
                      <a:ext cx="1015460" cy="1071438"/>
                    </a:xfrm>
                    <a:prstGeom prst="rect">
                      <a:avLst/>
                    </a:prstGeom>
                    <a:ln>
                      <a:noFill/>
                    </a:ln>
                    <a:extLst>
                      <a:ext uri="{53640926-AAD7-44D8-BBD7-CCE9431645EC}">
                        <a14:shadowObscured xmlns:a14="http://schemas.microsoft.com/office/drawing/2010/main"/>
                      </a:ext>
                    </a:extLst>
                  </pic:spPr>
                </pic:pic>
              </a:graphicData>
            </a:graphic>
          </wp:inline>
        </w:drawing>
      </w:r>
    </w:p>
    <w:p w14:paraId="70F40B60" w14:textId="77777777" w:rsidR="00AD7FE0" w:rsidRPr="002029AF" w:rsidRDefault="00AD7FE0">
      <w:pPr>
        <w:pStyle w:val="Heading3Ministers"/>
      </w:pPr>
      <w:r>
        <w:t>The Hon Ros Spence MP</w:t>
      </w:r>
    </w:p>
    <w:p w14:paraId="5D655018" w14:textId="77777777" w:rsidR="00AD7FE0" w:rsidRPr="00E51CC9" w:rsidRDefault="00AD7FE0">
      <w:pPr>
        <w:pStyle w:val="ARbody"/>
        <w:rPr>
          <w:rStyle w:val="Strong"/>
        </w:rPr>
      </w:pPr>
      <w:r w:rsidRPr="00E51CC9">
        <w:rPr>
          <w:rStyle w:val="Strong"/>
        </w:rPr>
        <w:t>Minister for Carers and Volunteers</w:t>
      </w:r>
    </w:p>
    <w:p w14:paraId="12BE8A0E" w14:textId="77777777" w:rsidR="00AD7FE0" w:rsidRDefault="00AD7FE0">
      <w:pPr>
        <w:pStyle w:val="ARbody"/>
        <w:rPr>
          <w:noProof/>
        </w:rPr>
      </w:pPr>
      <w:r w:rsidRPr="00482BD6">
        <w:rPr>
          <w:noProof/>
        </w:rPr>
        <w:t xml:space="preserve">Minister </w:t>
      </w:r>
      <w:r>
        <w:rPr>
          <w:noProof/>
        </w:rPr>
        <w:t xml:space="preserve">Spence has held the position of Minister for </w:t>
      </w:r>
      <w:r w:rsidRPr="00482BD6">
        <w:rPr>
          <w:noProof/>
        </w:rPr>
        <w:t>Carers and Volunteers since October 2023</w:t>
      </w:r>
      <w:r>
        <w:rPr>
          <w:noProof/>
        </w:rPr>
        <w:t xml:space="preserve">. </w:t>
      </w:r>
    </w:p>
    <w:p w14:paraId="32C2ECB1" w14:textId="531408E0" w:rsidR="00AD7FE0" w:rsidRDefault="00AD7FE0" w:rsidP="00B05B5B">
      <w:pPr>
        <w:pStyle w:val="ARbody"/>
        <w:rPr>
          <w:noProof/>
          <w:highlight w:val="cyan"/>
        </w:rPr>
      </w:pPr>
      <w:r>
        <w:rPr>
          <w:noProof/>
        </w:rPr>
        <w:t xml:space="preserve">The Minister for Carers and Volunteers was previously </w:t>
      </w:r>
      <w:r w:rsidR="0047489C">
        <w:rPr>
          <w:noProof/>
        </w:rPr>
        <w:t xml:space="preserve">the </w:t>
      </w:r>
      <w:r>
        <w:rPr>
          <w:noProof/>
        </w:rPr>
        <w:t>Hon Lizzie Blandthorn MP as part of the Disability, Ageing and Carers portfolio.</w:t>
      </w:r>
    </w:p>
    <w:p w14:paraId="7AFEFF37" w14:textId="77777777" w:rsidR="00AD7FE0" w:rsidRDefault="00AD7FE0">
      <w:pPr>
        <w:pStyle w:val="ARbody"/>
        <w:rPr>
          <w:noProof/>
        </w:rPr>
      </w:pPr>
      <w:r w:rsidRPr="007B10BA">
        <w:rPr>
          <w:noProof/>
        </w:rPr>
        <w:t>Minister Spence is also the Minister for Community Sport and the Minister for Agriculture.</w:t>
      </w:r>
    </w:p>
    <w:p w14:paraId="2391D4AC" w14:textId="77777777" w:rsidR="00AD7FE0" w:rsidRDefault="00AD7FE0" w:rsidP="000461AE">
      <w:pPr>
        <w:pStyle w:val="ARbodybeforetable"/>
        <w:rPr>
          <w:noProof/>
        </w:rPr>
      </w:pPr>
      <w:r>
        <w:rPr>
          <w:noProof/>
        </w:rPr>
        <w:t>Minister</w:t>
      </w:r>
      <w:r w:rsidRPr="007B10BA">
        <w:rPr>
          <w:noProof/>
        </w:rPr>
        <w:t xml:space="preserve"> Spence </w:t>
      </w:r>
      <w:r>
        <w:rPr>
          <w:noProof/>
        </w:rPr>
        <w:t xml:space="preserve">previously held </w:t>
      </w:r>
      <w:r w:rsidRPr="007B10BA">
        <w:rPr>
          <w:noProof/>
        </w:rPr>
        <w:t>the positions of Minister for Prevention of Family Violence between June 2022 and October 2023 and Minister for</w:t>
      </w:r>
      <w:r w:rsidRPr="00FA0096">
        <w:rPr>
          <w:noProof/>
        </w:rPr>
        <w:t xml:space="preserve"> Suburban Development </w:t>
      </w:r>
      <w:r>
        <w:rPr>
          <w:noProof/>
        </w:rPr>
        <w:t xml:space="preserve">between </w:t>
      </w:r>
      <w:r w:rsidRPr="00FA0096">
        <w:rPr>
          <w:noProof/>
        </w:rPr>
        <w:t xml:space="preserve">December 2022 </w:t>
      </w:r>
      <w:r>
        <w:rPr>
          <w:noProof/>
        </w:rPr>
        <w:t>and</w:t>
      </w:r>
      <w:r w:rsidRPr="00FA0096">
        <w:rPr>
          <w:noProof/>
        </w:rPr>
        <w:t xml:space="preserve"> October 2023</w:t>
      </w:r>
      <w:r>
        <w:rPr>
          <w:noProof/>
        </w:rPr>
        <w:t>.</w:t>
      </w:r>
      <w:r w:rsidRPr="00E47F7D">
        <w:rPr>
          <w:noProof/>
          <w:highlight w:val="cyan"/>
        </w:rPr>
        <w:t xml:space="preserve"> </w:t>
      </w:r>
    </w:p>
    <w:p w14:paraId="2C988F58" w14:textId="77777777" w:rsidR="00AD7FE0" w:rsidRDefault="00AD7FE0">
      <w:pPr>
        <w:pStyle w:val="ARbody"/>
        <w:spacing w:line="240" w:lineRule="auto"/>
        <w:rPr>
          <w:noProof/>
        </w:rPr>
      </w:pPr>
      <w:bookmarkStart w:id="44" w:name="_Hlk172650245"/>
      <w:r>
        <w:rPr>
          <w:rFonts w:eastAsia="Times New Roman"/>
          <w:noProof/>
          <w:color w:val="323130"/>
          <w:szCs w:val="20"/>
          <w:lang w:val="en-US" w:eastAsia="en-AU"/>
        </w:rPr>
        <w:drawing>
          <wp:inline distT="0" distB="0" distL="0" distR="0" wp14:anchorId="10761A9A" wp14:editId="701D6991">
            <wp:extent cx="1048559" cy="1048559"/>
            <wp:effectExtent l="0" t="0" r="0" b="0"/>
            <wp:docPr id="1798230140" name="Picture 1" descr="The Hon Harriet Shing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30140" name="Picture 1" descr="The Hon Harriet Shing MP"/>
                    <pic:cNvPicPr>
                      <a:picLocks noChangeAspect="1" noChangeArrowheads="1"/>
                    </pic:cNvPicPr>
                  </pic:nvPicPr>
                  <pic:blipFill>
                    <a:blip r:embed="rId42" cstate="screen">
                      <a:extLst>
                        <a:ext uri="{BEBA8EAE-BF5A-486C-A8C5-ECC9F3942E4B}">
                          <a14:imgProps xmlns:a14="http://schemas.microsoft.com/office/drawing/2010/main">
                            <a14:imgLayer r:embed="rId43">
                              <a14:imgEffect>
                                <a14:backgroundRemoval t="10000" b="99583" l="1250" r="99792">
                                  <a14:foregroundMark x1="40417" y1="10208" x2="58542" y2="10000"/>
                                  <a14:foregroundMark x1="58542" y1="10000" x2="71458" y2="27292"/>
                                  <a14:foregroundMark x1="71458" y1="27292" x2="77059" y2="55002"/>
                                  <a14:foregroundMark x1="69583" y1="59583" x2="62292" y2="76458"/>
                                  <a14:foregroundMark x1="62292" y1="76458" x2="48125" y2="88958"/>
                                  <a14:foregroundMark x1="48125" y1="88958" x2="30417" y2="88958"/>
                                  <a14:foregroundMark x1="30417" y1="88958" x2="17210" y2="83571"/>
                                  <a14:foregroundMark x1="13921" y1="83244" x2="4623" y2="93683"/>
                                  <a14:foregroundMark x1="92292" y1="99583" x2="99792" y2="93958"/>
                                  <a14:backgroundMark x1="77917" y1="54792" x2="80833" y2="66458"/>
                                  <a14:backgroundMark x1="79583" y1="66250" x2="89792" y2="71875"/>
                                  <a14:backgroundMark x1="88750" y1="71667" x2="99792" y2="78333"/>
                                  <a14:backgroundMark x1="99167" y1="77708" x2="99792" y2="78750"/>
                                  <a14:backgroundMark x1="83542" y1="69583" x2="79792" y2="66458"/>
                                  <a14:backgroundMark x1="83542" y1="69792" x2="76667" y2="57083"/>
                                  <a14:backgroundMark x1="15000" y1="81667" x2="13542" y2="82917"/>
                                  <a14:backgroundMark x1="3958" y1="93333" x2="208" y2="99792"/>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1066472" cy="1066472"/>
                    </a:xfrm>
                    <a:prstGeom prst="rect">
                      <a:avLst/>
                    </a:prstGeom>
                    <a:noFill/>
                    <a:ln>
                      <a:noFill/>
                    </a:ln>
                  </pic:spPr>
                </pic:pic>
              </a:graphicData>
            </a:graphic>
          </wp:inline>
        </w:drawing>
      </w:r>
    </w:p>
    <w:p w14:paraId="73BFFA08" w14:textId="77777777" w:rsidR="00AD7FE0" w:rsidRPr="002029AF" w:rsidRDefault="00AD7FE0">
      <w:pPr>
        <w:pStyle w:val="Heading3Ministers"/>
      </w:pPr>
      <w:r>
        <w:t>The Hon Harriet Shing MP</w:t>
      </w:r>
    </w:p>
    <w:p w14:paraId="26E807A8" w14:textId="77777777" w:rsidR="00AD7FE0" w:rsidRPr="00E51CC9" w:rsidRDefault="00AD7FE0" w:rsidP="00E51CC9">
      <w:pPr>
        <w:pStyle w:val="ARbodynospace"/>
        <w:rPr>
          <w:rStyle w:val="Strong"/>
        </w:rPr>
      </w:pPr>
      <w:r w:rsidRPr="00E51CC9">
        <w:rPr>
          <w:rStyle w:val="Strong"/>
        </w:rPr>
        <w:t>Minister for Housing</w:t>
      </w:r>
    </w:p>
    <w:p w14:paraId="2E7A9086" w14:textId="77777777" w:rsidR="00AD7FE0" w:rsidRPr="00E51CC9" w:rsidRDefault="00AD7FE0">
      <w:pPr>
        <w:pStyle w:val="ARbody"/>
        <w:rPr>
          <w:rStyle w:val="Strong"/>
        </w:rPr>
      </w:pPr>
      <w:r w:rsidRPr="00E51CC9">
        <w:rPr>
          <w:rStyle w:val="Strong"/>
        </w:rPr>
        <w:t>Minister for Equality</w:t>
      </w:r>
    </w:p>
    <w:p w14:paraId="2F072C03" w14:textId="77777777" w:rsidR="00AD7FE0" w:rsidRPr="00184780" w:rsidRDefault="00AD7FE0">
      <w:pPr>
        <w:pStyle w:val="ARbody"/>
        <w:rPr>
          <w:rFonts w:eastAsia="Times New Roman"/>
          <w:color w:val="323130"/>
          <w:szCs w:val="20"/>
          <w:lang w:val="en-US" w:eastAsia="en-AU"/>
        </w:rPr>
      </w:pPr>
      <w:r w:rsidRPr="00184780">
        <w:rPr>
          <w:rFonts w:eastAsia="Times New Roman"/>
          <w:color w:val="323130"/>
          <w:szCs w:val="20"/>
          <w:lang w:val="en-US" w:eastAsia="en-AU"/>
        </w:rPr>
        <w:t xml:space="preserve">Minister Shing has held the position of Minister for Equality since </w:t>
      </w:r>
      <w:r>
        <w:rPr>
          <w:rFonts w:eastAsia="Times New Roman"/>
          <w:color w:val="323130"/>
          <w:szCs w:val="20"/>
          <w:lang w:val="en-US" w:eastAsia="en-AU"/>
        </w:rPr>
        <w:t>June</w:t>
      </w:r>
      <w:r w:rsidRPr="00184780">
        <w:rPr>
          <w:rFonts w:eastAsia="Times New Roman"/>
          <w:color w:val="323130"/>
          <w:szCs w:val="20"/>
          <w:lang w:val="en-US" w:eastAsia="en-AU"/>
        </w:rPr>
        <w:t xml:space="preserve"> 2022. </w:t>
      </w:r>
      <w:r>
        <w:rPr>
          <w:rFonts w:eastAsia="Times New Roman"/>
          <w:color w:val="323130"/>
          <w:szCs w:val="20"/>
          <w:lang w:val="en-US" w:eastAsia="en-AU"/>
        </w:rPr>
        <w:t xml:space="preserve">Minister Shing has held the position of Minister for Housing since October 2023. </w:t>
      </w:r>
      <w:r w:rsidRPr="00184780">
        <w:rPr>
          <w:rFonts w:eastAsia="Times New Roman"/>
          <w:color w:val="323130"/>
          <w:szCs w:val="20"/>
          <w:lang w:val="en-US" w:eastAsia="en-AU"/>
        </w:rPr>
        <w:t>Minister Shing is also the Minister for Water</w:t>
      </w:r>
      <w:r>
        <w:rPr>
          <w:rFonts w:eastAsia="Times New Roman"/>
          <w:color w:val="323130"/>
          <w:szCs w:val="20"/>
          <w:lang w:val="en-US" w:eastAsia="en-AU"/>
        </w:rPr>
        <w:t>.</w:t>
      </w:r>
      <w:r w:rsidRPr="00184780">
        <w:rPr>
          <w:rFonts w:eastAsia="Times New Roman"/>
          <w:color w:val="323130"/>
          <w:szCs w:val="20"/>
          <w:lang w:val="en-US" w:eastAsia="en-AU"/>
        </w:rPr>
        <w:t xml:space="preserve"> </w:t>
      </w:r>
    </w:p>
    <w:p w14:paraId="413045EF" w14:textId="77777777" w:rsidR="00AD7FE0" w:rsidRDefault="00AD7FE0">
      <w:pPr>
        <w:pStyle w:val="ARbody"/>
        <w:rPr>
          <w:rFonts w:eastAsia="Times New Roman"/>
          <w:color w:val="323130"/>
          <w:szCs w:val="20"/>
          <w:lang w:val="en-US" w:eastAsia="en-AU"/>
        </w:rPr>
      </w:pPr>
      <w:r w:rsidRPr="00184780">
        <w:rPr>
          <w:rFonts w:eastAsia="Times New Roman"/>
          <w:color w:val="323130"/>
          <w:szCs w:val="20"/>
          <w:lang w:val="en-US" w:eastAsia="en-AU"/>
        </w:rPr>
        <w:t>Minister Shing previously held the position of Minister for Regional Development December 2022 and October 2023.</w:t>
      </w:r>
    </w:p>
    <w:p w14:paraId="73F7A94E" w14:textId="77777777" w:rsidR="00AD7FE0" w:rsidRPr="00B3051F" w:rsidRDefault="00AD7FE0" w:rsidP="00B3051F">
      <w:pPr>
        <w:pStyle w:val="ARbody"/>
      </w:pPr>
      <w:r w:rsidRPr="00B3051F">
        <w:br w:type="page"/>
      </w:r>
    </w:p>
    <w:p w14:paraId="7F26FA1C" w14:textId="77777777" w:rsidR="00AD7FE0" w:rsidRDefault="00AD7FE0">
      <w:pPr>
        <w:pStyle w:val="ARbody"/>
        <w:rPr>
          <w:noProof/>
        </w:rPr>
      </w:pPr>
      <w:r>
        <w:rPr>
          <w:noProof/>
        </w:rPr>
        <w:drawing>
          <wp:inline distT="0" distB="0" distL="0" distR="0" wp14:anchorId="4A78D712" wp14:editId="320A77AA">
            <wp:extent cx="1057275" cy="1057275"/>
            <wp:effectExtent l="0" t="0" r="9525" b="9525"/>
            <wp:docPr id="1609102687" name="Picture 6" descr="The Hon Vicki Ward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02687" name="Picture 6" descr="The Hon Vicki Ward MP"/>
                    <pic:cNvPicPr>
                      <a:picLocks noChangeAspect="1" noChangeArrowheads="1"/>
                    </pic:cNvPicPr>
                  </pic:nvPicPr>
                  <pic:blipFill>
                    <a:blip r:embed="rId44" cstate="screen">
                      <a:extLst>
                        <a:ext uri="{BEBA8EAE-BF5A-486C-A8C5-ECC9F3942E4B}">
                          <a14:imgProps xmlns:a14="http://schemas.microsoft.com/office/drawing/2010/main">
                            <a14:imgLayer r:embed="rId45">
                              <a14:imgEffect>
                                <a14:backgroundRemoval t="9579" b="99617" l="9962" r="99617">
                                  <a14:foregroundMark x1="60153" y1="11877" x2="48276" y2="7663"/>
                                  <a14:foregroundMark x1="48276" y1="7663" x2="37165" y2="9579"/>
                                  <a14:foregroundMark x1="37165" y1="9579" x2="35249" y2="10728"/>
                                  <a14:foregroundMark x1="71648" y1="73180" x2="81930" y2="78477"/>
                                  <a14:foregroundMark x1="92724" y1="87742" x2="60153" y2="99617"/>
                                  <a14:foregroundMark x1="60153" y1="99617" x2="10728" y2="99617"/>
                                  <a14:foregroundMark x1="10728" y1="99617" x2="20690" y2="89655"/>
                                  <a14:foregroundMark x1="20690" y1="89655" x2="38314" y2="80077"/>
                                  <a14:foregroundMark x1="33333" y1="86207" x2="30268" y2="98467"/>
                                  <a14:foregroundMark x1="30268" y1="98467" x2="26820" y2="99617"/>
                                  <a14:foregroundMark x1="23755" y1="77395" x2="32950" y2="78927"/>
                                  <a14:foregroundMark x1="23372" y1="77778" x2="25287" y2="78544"/>
                                  <a14:foregroundMark x1="35249" y1="77778" x2="36398" y2="77395"/>
                                  <a14:foregroundMark x1="35249" y1="78544" x2="36398" y2="79310"/>
                                  <a14:foregroundMark x1="78544" y1="42146" x2="78927" y2="45594"/>
                                  <a14:foregroundMark x1="80460" y1="59387" x2="81609" y2="62069"/>
                                  <a14:foregroundMark x1="82375" y1="72031" x2="82375" y2="77011"/>
                                  <a14:foregroundMark x1="19540" y1="39847" x2="21456" y2="50958"/>
                                  <a14:foregroundMark x1="19157" y1="30268" x2="18391" y2="37548"/>
                                  <a14:foregroundMark x1="17625" y1="37548" x2="18391" y2="39847"/>
                                  <a14:backgroundMark x1="98084" y1="86973" x2="83525" y2="77778"/>
                                  <a14:backgroundMark x1="85441" y1="80460" x2="81609" y2="77778"/>
                                </a14:backgroundRemoval>
                              </a14:imgEffect>
                            </a14:imgLayer>
                          </a14:imgProps>
                        </a:ext>
                        <a:ext uri="{28A0092B-C50C-407E-A947-70E740481C1C}">
                          <a14:useLocalDpi xmlns:a14="http://schemas.microsoft.com/office/drawing/2010/main"/>
                        </a:ext>
                      </a:extLst>
                    </a:blip>
                    <a:srcRect/>
                    <a:stretch>
                      <a:fillRect/>
                    </a:stretch>
                  </pic:blipFill>
                  <pic:spPr bwMode="auto">
                    <a:xfrm>
                      <a:off x="0" y="0"/>
                      <a:ext cx="1075757" cy="1075757"/>
                    </a:xfrm>
                    <a:prstGeom prst="rect">
                      <a:avLst/>
                    </a:prstGeom>
                    <a:noFill/>
                  </pic:spPr>
                </pic:pic>
              </a:graphicData>
            </a:graphic>
          </wp:inline>
        </w:drawing>
      </w:r>
    </w:p>
    <w:p w14:paraId="15561037" w14:textId="77777777" w:rsidR="00AD7FE0" w:rsidRDefault="00AD7FE0">
      <w:pPr>
        <w:pStyle w:val="Heading3Ministers"/>
      </w:pPr>
      <w:bookmarkStart w:id="45" w:name="VickiWardMP"/>
      <w:r w:rsidRPr="00B2082E">
        <w:t>The Hon Vicki Ward MP</w:t>
      </w:r>
    </w:p>
    <w:bookmarkEnd w:id="45"/>
    <w:p w14:paraId="21B8D431" w14:textId="77777777" w:rsidR="00AD7FE0" w:rsidRPr="00E51CC9" w:rsidRDefault="00AD7FE0">
      <w:pPr>
        <w:pStyle w:val="ARbody"/>
        <w:rPr>
          <w:rStyle w:val="Strong"/>
        </w:rPr>
      </w:pPr>
      <w:r w:rsidRPr="00E51CC9">
        <w:rPr>
          <w:rStyle w:val="Strong"/>
        </w:rPr>
        <w:t>Minister for Prevention of Family Violence</w:t>
      </w:r>
    </w:p>
    <w:p w14:paraId="4AB116D8" w14:textId="0A0E029A" w:rsidR="00AD7FE0" w:rsidRPr="005357FE" w:rsidRDefault="00AD7FE0" w:rsidP="00B05B5B">
      <w:pPr>
        <w:pStyle w:val="ARbody"/>
        <w:rPr>
          <w:lang w:val="en-US" w:eastAsia="en-AU"/>
        </w:rPr>
      </w:pPr>
      <w:r w:rsidRPr="00A862BC">
        <w:rPr>
          <w:lang w:val="en-US" w:eastAsia="en-AU"/>
        </w:rPr>
        <w:t xml:space="preserve">Minister </w:t>
      </w:r>
      <w:r>
        <w:rPr>
          <w:lang w:val="en-US" w:eastAsia="en-AU"/>
        </w:rPr>
        <w:t>Ward</w:t>
      </w:r>
      <w:r w:rsidRPr="00A862BC">
        <w:rPr>
          <w:lang w:val="en-US" w:eastAsia="en-AU"/>
        </w:rPr>
        <w:t xml:space="preserve"> has held the position of Minister for </w:t>
      </w:r>
      <w:r w:rsidRPr="002E5AAA">
        <w:rPr>
          <w:lang w:val="en-US" w:eastAsia="en-AU"/>
        </w:rPr>
        <w:t>Prevention of Family Violence</w:t>
      </w:r>
      <w:r>
        <w:rPr>
          <w:lang w:val="en-US" w:eastAsia="en-AU"/>
        </w:rPr>
        <w:t xml:space="preserve"> </w:t>
      </w:r>
      <w:r w:rsidRPr="00A862BC">
        <w:rPr>
          <w:lang w:val="en-US" w:eastAsia="en-AU"/>
        </w:rPr>
        <w:t xml:space="preserve">since </w:t>
      </w:r>
      <w:r>
        <w:rPr>
          <w:lang w:val="en-US" w:eastAsia="en-AU"/>
        </w:rPr>
        <w:t>October</w:t>
      </w:r>
      <w:r w:rsidRPr="00A862BC">
        <w:rPr>
          <w:lang w:val="en-US" w:eastAsia="en-AU"/>
        </w:rPr>
        <w:t xml:space="preserve"> 202</w:t>
      </w:r>
      <w:r>
        <w:rPr>
          <w:lang w:val="en-US" w:eastAsia="en-AU"/>
        </w:rPr>
        <w:t xml:space="preserve">3. </w:t>
      </w:r>
      <w:r>
        <w:rPr>
          <w:noProof/>
        </w:rPr>
        <w:t xml:space="preserve">Minister Ward is also the </w:t>
      </w:r>
      <w:r w:rsidRPr="00B05B5B">
        <w:t>Min</w:t>
      </w:r>
      <w:r w:rsidR="005861AC" w:rsidRPr="00B05B5B">
        <w:t>i</w:t>
      </w:r>
      <w:r w:rsidRPr="00B05B5B">
        <w:t>ster</w:t>
      </w:r>
      <w:r>
        <w:rPr>
          <w:noProof/>
        </w:rPr>
        <w:t xml:space="preserve"> for Employment.</w:t>
      </w:r>
    </w:p>
    <w:bookmarkEnd w:id="44"/>
    <w:p w14:paraId="06C63B68" w14:textId="77777777" w:rsidR="00AD7FE0" w:rsidRDefault="00AD7FE0">
      <w:pPr>
        <w:pStyle w:val="ARbody"/>
        <w:rPr>
          <w:noProof/>
        </w:rPr>
      </w:pPr>
      <w:r w:rsidRPr="00532DAE">
        <w:rPr>
          <w:noProof/>
        </w:rPr>
        <w:drawing>
          <wp:inline distT="0" distB="0" distL="0" distR="0" wp14:anchorId="56E2E8E2" wp14:editId="569D750C">
            <wp:extent cx="1203907" cy="1027430"/>
            <wp:effectExtent l="0" t="0" r="8572" b="8573"/>
            <wp:docPr id="400200292" name="Picture 400200292" descr="The Hon. Natalie Hutchin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The Hon. Natalie Hutchins MP"/>
                    <pic:cNvPicPr/>
                  </pic:nvPicPr>
                  <pic:blipFill rotWithShape="1">
                    <a:blip r:embed="rId46" cstate="print">
                      <a:extLst>
                        <a:ext uri="{BEBA8EAE-BF5A-486C-A8C5-ECC9F3942E4B}">
                          <a14:imgProps xmlns:a14="http://schemas.microsoft.com/office/drawing/2010/main">
                            <a14:imgLayer r:embed="rId47">
                              <a14:imgEffect>
                                <a14:backgroundRemoval t="0" b="97143" l="635" r="91746">
                                  <a14:foregroundMark x1="60635" y1="41429" x2="37460" y2="1905"/>
                                  <a14:foregroundMark x1="56190" y1="42857" x2="22222" y2="0"/>
                                  <a14:foregroundMark x1="16347" y1="13810" x2="12698" y2="9524"/>
                                  <a14:foregroundMark x1="46349" y1="49048" x2="16347" y2="13810"/>
                                  <a14:foregroundMark x1="33016" y1="43333" x2="8571" y2="24762"/>
                                  <a14:foregroundMark x1="35873" y1="50000" x2="4444" y2="60476"/>
                                  <a14:foregroundMark x1="4582" y1="13810" x2="6667" y2="78571"/>
                                  <a14:foregroundMark x1="4444" y1="9524" x2="4582" y2="13810"/>
                                  <a14:foregroundMark x1="6667" y1="78571" x2="6349" y2="94286"/>
                                  <a14:foregroundMark x1="1270" y1="5238" x2="3175" y2="73810"/>
                                  <a14:foregroundMark x1="3175" y1="73810" x2="3175" y2="96190"/>
                                  <a14:foregroundMark x1="952" y1="97143" x2="32698" y2="97619"/>
                                  <a14:foregroundMark x1="70671" y1="68526" x2="79365" y2="65238"/>
                                  <a14:foregroundMark x1="5079" y1="93333" x2="70629" y2="68542"/>
                                  <a14:foregroundMark x1="79365" y1="65238" x2="89841" y2="52381"/>
                                  <a14:foregroundMark x1="88254" y1="49048" x2="71327" y2="74438"/>
                                  <a14:foregroundMark x1="71787" y1="72899" x2="72381" y2="72857"/>
                                  <a14:foregroundMark x1="69567" y1="73055" x2="70799" y2="72968"/>
                                  <a14:foregroundMark x1="52063" y1="74286" x2="69335" y2="73071"/>
                                  <a14:foregroundMark x1="71256" y1="74675" x2="78413" y2="73333"/>
                                  <a14:foregroundMark x1="69073" y1="75084" x2="69285" y2="75044"/>
                                  <a14:foregroundMark x1="55556" y1="77619" x2="68742" y2="75147"/>
                                  <a14:foregroundMark x1="55556" y1="78095" x2="45079" y2="90476"/>
                                  <a14:foregroundMark x1="70790" y1="68036" x2="91111" y2="53333"/>
                                  <a14:foregroundMark x1="64127" y1="72857" x2="70769" y2="68051"/>
                                  <a14:foregroundMark x1="58007" y1="25172" x2="52381" y2="21905"/>
                                  <a14:foregroundMark x1="91746" y1="44762" x2="68892" y2="31492"/>
                                  <a14:foregroundMark x1="52381" y1="21905" x2="46496" y2="8806"/>
                                  <a14:foregroundMark x1="37143" y1="2381" x2="40317" y2="3333"/>
                                  <a14:foregroundMark x1="35238" y1="16190" x2="40952" y2="2381"/>
                                  <a14:foregroundMark x1="38095" y1="13810" x2="42540" y2="3810"/>
                                  <a14:foregroundMark x1="39365" y1="7619" x2="41587" y2="1905"/>
                                  <a14:foregroundMark x1="40317" y1="7619" x2="41270" y2="1429"/>
                                  <a14:foregroundMark x1="40635" y1="7619" x2="40952" y2="1905"/>
                                  <a14:backgroundMark x1="65714" y1="87143" x2="68571" y2="77143"/>
                                  <a14:backgroundMark x1="66667" y1="83810" x2="69524" y2="80476"/>
                                  <a14:backgroundMark x1="66032" y1="20952" x2="62540" y2="27143"/>
                                  <a14:backgroundMark x1="63175" y1="25238" x2="59683" y2="26190"/>
                                  <a14:backgroundMark x1="62540" y1="21905" x2="57778" y2="24762"/>
                                  <a14:backgroundMark x1="60317" y1="20000" x2="57778" y2="24762"/>
                                  <a14:backgroundMark x1="9841" y1="13810" x2="9841" y2="13810"/>
                                  <a14:backgroundMark x1="42151" y1="794" x2="41843" y2="901"/>
                                  <a14:backgroundMark x1="44444" y1="0" x2="43444" y2="346"/>
                                </a14:backgroundRemoval>
                              </a14:imgEffect>
                            </a14:imgLayer>
                          </a14:imgProps>
                        </a:ext>
                        <a:ext uri="{28A0092B-C50C-407E-A947-70E740481C1C}">
                          <a14:useLocalDpi xmlns:a14="http://schemas.microsoft.com/office/drawing/2010/main" val="0"/>
                        </a:ext>
                      </a:extLst>
                    </a:blip>
                    <a:srcRect l="29269" t="3952" r="-6431" b="-4594"/>
                    <a:stretch/>
                  </pic:blipFill>
                  <pic:spPr bwMode="auto">
                    <a:xfrm rot="16200000">
                      <a:off x="0" y="0"/>
                      <a:ext cx="1238150" cy="1056653"/>
                    </a:xfrm>
                    <a:prstGeom prst="rect">
                      <a:avLst/>
                    </a:prstGeom>
                    <a:ln>
                      <a:noFill/>
                    </a:ln>
                    <a:extLst>
                      <a:ext uri="{53640926-AAD7-44D8-BBD7-CCE9431645EC}">
                        <a14:shadowObscured xmlns:a14="http://schemas.microsoft.com/office/drawing/2010/main"/>
                      </a:ext>
                    </a:extLst>
                  </pic:spPr>
                </pic:pic>
              </a:graphicData>
            </a:graphic>
          </wp:inline>
        </w:drawing>
      </w:r>
    </w:p>
    <w:p w14:paraId="7DE1BD93" w14:textId="77777777" w:rsidR="00AD7FE0" w:rsidRPr="002029AF" w:rsidRDefault="00AD7FE0">
      <w:pPr>
        <w:pStyle w:val="Heading3Ministers"/>
      </w:pPr>
      <w:r>
        <w:t>The Hon Natalie Hutchins MP</w:t>
      </w:r>
    </w:p>
    <w:p w14:paraId="5832A477" w14:textId="77777777" w:rsidR="00AD7FE0" w:rsidRPr="00F30755" w:rsidRDefault="00AD7FE0">
      <w:pPr>
        <w:pStyle w:val="ARbody"/>
        <w:rPr>
          <w:b/>
          <w:bCs/>
          <w:lang w:eastAsia="en-AU"/>
        </w:rPr>
      </w:pPr>
      <w:r w:rsidRPr="00F30755">
        <w:rPr>
          <w:b/>
          <w:bCs/>
          <w:lang w:eastAsia="en-AU"/>
        </w:rPr>
        <w:t>Minister for Women</w:t>
      </w:r>
    </w:p>
    <w:p w14:paraId="29DC5102" w14:textId="3420F8D7" w:rsidR="00AD7FE0" w:rsidRPr="00A862BC" w:rsidRDefault="00AD7FE0">
      <w:pPr>
        <w:pStyle w:val="ARbody"/>
        <w:rPr>
          <w:rFonts w:eastAsia="Times New Roman"/>
          <w:color w:val="323130"/>
          <w:szCs w:val="20"/>
          <w:lang w:val="en-US" w:eastAsia="en-AU"/>
        </w:rPr>
      </w:pPr>
      <w:bookmarkStart w:id="46" w:name="_Hlk110889098"/>
      <w:r w:rsidRPr="00A862BC">
        <w:rPr>
          <w:rFonts w:eastAsia="Times New Roman"/>
          <w:color w:val="323130"/>
          <w:szCs w:val="20"/>
          <w:lang w:val="en-US" w:eastAsia="en-AU"/>
        </w:rPr>
        <w:t xml:space="preserve">Minister Hutchins has held the position of Minister for Women since July 2022. </w:t>
      </w:r>
      <w:bookmarkEnd w:id="46"/>
      <w:r w:rsidRPr="00A862BC">
        <w:rPr>
          <w:rFonts w:eastAsia="Times New Roman"/>
          <w:color w:val="323130"/>
          <w:szCs w:val="20"/>
          <w:lang w:val="en-US" w:eastAsia="en-AU"/>
        </w:rPr>
        <w:t>Minister Hutchins also serves as the Minister for Jobs and Industry and Minister for Treaty and First Peoples</w:t>
      </w:r>
      <w:r w:rsidR="00246F69">
        <w:rPr>
          <w:rFonts w:eastAsia="Times New Roman"/>
          <w:color w:val="323130"/>
          <w:szCs w:val="20"/>
          <w:lang w:val="en-US" w:eastAsia="en-AU"/>
        </w:rPr>
        <w:t>.</w:t>
      </w:r>
    </w:p>
    <w:p w14:paraId="041C8329" w14:textId="77777777" w:rsidR="00AD7FE0" w:rsidRDefault="00AD7FE0">
      <w:pPr>
        <w:pStyle w:val="ARbody"/>
        <w:rPr>
          <w:rFonts w:eastAsia="Times New Roman"/>
          <w:color w:val="323130"/>
          <w:szCs w:val="20"/>
          <w:lang w:val="en-US" w:eastAsia="en-AU"/>
        </w:rPr>
      </w:pPr>
      <w:r w:rsidRPr="00A862BC">
        <w:rPr>
          <w:rFonts w:eastAsia="Times New Roman"/>
          <w:color w:val="323130"/>
          <w:szCs w:val="20"/>
          <w:lang w:val="en-US" w:eastAsia="en-AU"/>
        </w:rPr>
        <w:t>Minister Hutchins held the position of Minister for Education between June 2022 and October 2023</w:t>
      </w:r>
      <w:r>
        <w:rPr>
          <w:rFonts w:eastAsia="Times New Roman"/>
          <w:color w:val="323130"/>
          <w:szCs w:val="20"/>
          <w:lang w:val="en-US" w:eastAsia="en-AU"/>
        </w:rPr>
        <w:t>.</w:t>
      </w:r>
    </w:p>
    <w:p w14:paraId="54E06FAB" w14:textId="1E9F9044" w:rsidR="00AD7FE0" w:rsidRPr="00183BA9" w:rsidRDefault="00AD7FE0">
      <w:pPr>
        <w:pStyle w:val="ARbody"/>
      </w:pPr>
      <w:r>
        <w:rPr>
          <w:rFonts w:eastAsia="Times New Roman"/>
          <w:color w:val="323130"/>
          <w:szCs w:val="20"/>
          <w:lang w:val="en-US" w:eastAsia="en-AU"/>
        </w:rPr>
        <w:br w:type="column"/>
      </w:r>
      <w:r w:rsidR="00D145D8">
        <w:rPr>
          <w:noProof/>
        </w:rPr>
        <w:drawing>
          <wp:inline distT="0" distB="0" distL="0" distR="0" wp14:anchorId="36046C5D" wp14:editId="1DA2ADFC">
            <wp:extent cx="1296884" cy="1057275"/>
            <wp:effectExtent l="0" t="0" r="0" b="0"/>
            <wp:docPr id="814563421" name="Picture 2" descr="The Hon Natalie Suley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63421" name="Picture 2" descr="The Hon Natalie Suleyman"/>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17600" cy="1074164"/>
                    </a:xfrm>
                    <a:prstGeom prst="rect">
                      <a:avLst/>
                    </a:prstGeom>
                  </pic:spPr>
                </pic:pic>
              </a:graphicData>
            </a:graphic>
          </wp:inline>
        </w:drawing>
      </w:r>
    </w:p>
    <w:p w14:paraId="4128E0AB" w14:textId="77777777" w:rsidR="00AD7FE0" w:rsidRPr="002029AF" w:rsidRDefault="00AD7FE0">
      <w:pPr>
        <w:pStyle w:val="Heading3Ministers"/>
      </w:pPr>
      <w:r w:rsidRPr="004F21CA">
        <w:t>The Hon Natalie Suleyman</w:t>
      </w:r>
    </w:p>
    <w:p w14:paraId="583FC906" w14:textId="77777777" w:rsidR="00AD7FE0" w:rsidRPr="00E51CC9" w:rsidRDefault="00AD7FE0" w:rsidP="00E51CC9">
      <w:pPr>
        <w:pStyle w:val="ARbodynospace"/>
        <w:rPr>
          <w:rStyle w:val="Strong"/>
        </w:rPr>
      </w:pPr>
      <w:r w:rsidRPr="00E51CC9">
        <w:rPr>
          <w:rStyle w:val="Strong"/>
        </w:rPr>
        <w:t>Minister for Veterans</w:t>
      </w:r>
    </w:p>
    <w:p w14:paraId="220FE145" w14:textId="77777777" w:rsidR="00AD7FE0" w:rsidRPr="00E51CC9" w:rsidRDefault="00AD7FE0" w:rsidP="00E51CC9">
      <w:pPr>
        <w:pStyle w:val="ARbody"/>
        <w:rPr>
          <w:rStyle w:val="Strong"/>
          <w:b w:val="0"/>
          <w:bCs w:val="0"/>
        </w:rPr>
      </w:pPr>
      <w:r w:rsidRPr="00E51CC9">
        <w:rPr>
          <w:rStyle w:val="Strong"/>
        </w:rPr>
        <w:t>Minister for Youth</w:t>
      </w:r>
    </w:p>
    <w:p w14:paraId="5641D1BB" w14:textId="77777777" w:rsidR="00AD7FE0" w:rsidRDefault="00AD7FE0" w:rsidP="00E51CC9">
      <w:pPr>
        <w:pStyle w:val="ARbody"/>
      </w:pPr>
      <w:r w:rsidRPr="00E51CC9">
        <w:t>Minister</w:t>
      </w:r>
      <w:r w:rsidRPr="00706B60">
        <w:t xml:space="preserve"> Suleyman has held the positions of Minister</w:t>
      </w:r>
      <w:r>
        <w:t xml:space="preserve"> </w:t>
      </w:r>
      <w:r w:rsidRPr="00706B60">
        <w:t>for</w:t>
      </w:r>
      <w:r>
        <w:t xml:space="preserve"> </w:t>
      </w:r>
      <w:r w:rsidRPr="00706B60">
        <w:t xml:space="preserve">Veterans and Minister for Youth since December 2022. </w:t>
      </w:r>
      <w:r>
        <w:t>Minister Suleyman is also the Minister for Small Business.</w:t>
      </w:r>
    </w:p>
    <w:p w14:paraId="3617DF95" w14:textId="77777777" w:rsidR="00AD7FE0" w:rsidRPr="00CA7959" w:rsidRDefault="00AD7FE0" w:rsidP="00CA7959">
      <w:pPr>
        <w:pStyle w:val="ARbody"/>
      </w:pPr>
    </w:p>
    <w:p w14:paraId="4CE91924" w14:textId="77777777" w:rsidR="00AD7FE0" w:rsidRDefault="00AD7FE0">
      <w:pPr>
        <w:pStyle w:val="ARbody"/>
        <w:rPr>
          <w:noProof/>
        </w:rPr>
        <w:sectPr w:rsidR="00AD7FE0"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257654E5" w14:textId="0CE30007" w:rsidR="00AD7FE0" w:rsidRDefault="00AD7FE0" w:rsidP="00980435">
      <w:pPr>
        <w:pStyle w:val="Heading2"/>
      </w:pPr>
      <w:bookmarkStart w:id="47" w:name="_Toc114491185"/>
      <w:bookmarkStart w:id="48" w:name="_Toc181101486"/>
      <w:r w:rsidRPr="002029AF">
        <w:t>The department</w:t>
      </w:r>
      <w:r w:rsidR="00711AE6">
        <w:t>’</w:t>
      </w:r>
      <w:r w:rsidRPr="002029AF">
        <w:t xml:space="preserve">s </w:t>
      </w:r>
      <w:r w:rsidRPr="00980435">
        <w:t>senior</w:t>
      </w:r>
      <w:r w:rsidRPr="002029AF">
        <w:t xml:space="preserve"> executive</w:t>
      </w:r>
      <w:r>
        <w:t>s</w:t>
      </w:r>
      <w:bookmarkEnd w:id="47"/>
      <w:bookmarkEnd w:id="48"/>
    </w:p>
    <w:p w14:paraId="47A38E5D" w14:textId="77777777" w:rsidR="00AD7FE0" w:rsidRDefault="00AD7FE0" w:rsidP="00333387">
      <w:pPr>
        <w:pStyle w:val="Heading3"/>
        <w:sectPr w:rsidR="00AD7FE0" w:rsidSect="005936D2">
          <w:headerReference w:type="even" r:id="rId49"/>
          <w:footerReference w:type="even" r:id="rId50"/>
          <w:footerReference w:type="default" r:id="rId51"/>
          <w:headerReference w:type="first" r:id="rId52"/>
          <w:footerReference w:type="first" r:id="rId53"/>
          <w:footnotePr>
            <w:numFmt w:val="lowerRoman"/>
            <w:numRestart w:val="eachPage"/>
          </w:footnotePr>
          <w:endnotePr>
            <w:numFmt w:val="decimal"/>
          </w:endnotePr>
          <w:type w:val="continuous"/>
          <w:pgSz w:w="11906" w:h="16838" w:code="9"/>
          <w:pgMar w:top="1701" w:right="1134" w:bottom="851" w:left="1134" w:header="510" w:footer="340" w:gutter="0"/>
          <w:cols w:space="454"/>
          <w:docGrid w:linePitch="360"/>
        </w:sectPr>
      </w:pPr>
    </w:p>
    <w:p w14:paraId="68994FF6" w14:textId="77777777" w:rsidR="00AD7FE0" w:rsidRPr="005F491A" w:rsidRDefault="00AD7FE0" w:rsidP="00333387">
      <w:pPr>
        <w:pStyle w:val="Heading3"/>
      </w:pPr>
      <w:r w:rsidRPr="005F491A">
        <w:t xml:space="preserve">Peta </w:t>
      </w:r>
      <w:r w:rsidRPr="00980435">
        <w:t>McCammon</w:t>
      </w:r>
    </w:p>
    <w:p w14:paraId="5C9D89D3" w14:textId="77777777" w:rsidR="00AD7FE0" w:rsidRPr="00E51CC9" w:rsidRDefault="00AD7FE0">
      <w:pPr>
        <w:pStyle w:val="ARbody"/>
        <w:rPr>
          <w:rStyle w:val="Strong"/>
        </w:rPr>
      </w:pPr>
      <w:r w:rsidRPr="00E51CC9">
        <w:rPr>
          <w:rStyle w:val="Strong"/>
        </w:rPr>
        <w:t>Secretary</w:t>
      </w:r>
    </w:p>
    <w:p w14:paraId="22BD4E5A" w14:textId="621F68C9" w:rsidR="00AD7FE0" w:rsidRPr="00D1580A" w:rsidRDefault="00AD7FE0" w:rsidP="00E51CC9">
      <w:pPr>
        <w:pStyle w:val="ARbody"/>
      </w:pPr>
      <w:r w:rsidRPr="00DF2B7E">
        <w:rPr>
          <w:spacing w:val="-4"/>
        </w:rPr>
        <w:t>Peta has built a successful career over the last 20</w:t>
      </w:r>
      <w:r w:rsidR="00DF2B7E" w:rsidRPr="00DF2B7E">
        <w:rPr>
          <w:spacing w:val="-4"/>
        </w:rPr>
        <w:t> </w:t>
      </w:r>
      <w:r w:rsidRPr="00DF2B7E">
        <w:rPr>
          <w:spacing w:val="-4"/>
        </w:rPr>
        <w:t>years in the Victorian Public Service. Currently</w:t>
      </w:r>
      <w:r w:rsidR="00DF2B7E" w:rsidRPr="00DF2B7E">
        <w:rPr>
          <w:spacing w:val="-4"/>
        </w:rPr>
        <w:t> </w:t>
      </w:r>
      <w:r w:rsidRPr="00DF2B7E">
        <w:rPr>
          <w:spacing w:val="-4"/>
        </w:rPr>
        <w:t>the</w:t>
      </w:r>
      <w:r w:rsidR="00DF2B7E">
        <w:rPr>
          <w:spacing w:val="-4"/>
        </w:rPr>
        <w:t> </w:t>
      </w:r>
      <w:r w:rsidRPr="00DF2B7E">
        <w:rPr>
          <w:spacing w:val="-4"/>
        </w:rPr>
        <w:t>Secretary at the Department of</w:t>
      </w:r>
      <w:r w:rsidR="00DF2B7E" w:rsidRPr="00DF2B7E">
        <w:rPr>
          <w:spacing w:val="-4"/>
        </w:rPr>
        <w:t> </w:t>
      </w:r>
      <w:r w:rsidRPr="00DF2B7E">
        <w:rPr>
          <w:spacing w:val="-4"/>
        </w:rPr>
        <w:t>Families, Fairness and Housing, Peta was previously Associate Secretary at the Department of Justice and Community Safety, responsible for</w:t>
      </w:r>
      <w:r w:rsidR="00DF2B7E" w:rsidRPr="00DF2B7E">
        <w:rPr>
          <w:spacing w:val="-4"/>
        </w:rPr>
        <w:t> </w:t>
      </w:r>
      <w:r w:rsidRPr="00DF2B7E">
        <w:rPr>
          <w:spacing w:val="-4"/>
        </w:rPr>
        <w:t>policy areas such as Youth Justice and service delivery reform, as well as other key internal functions</w:t>
      </w:r>
      <w:r w:rsidRPr="00D1580A">
        <w:t>.</w:t>
      </w:r>
    </w:p>
    <w:p w14:paraId="53739F59" w14:textId="7E10A370" w:rsidR="00AD7FE0" w:rsidRPr="00D1580A" w:rsidRDefault="00AD7FE0" w:rsidP="00E51CC9">
      <w:pPr>
        <w:pStyle w:val="ARbody"/>
      </w:pPr>
      <w:r w:rsidRPr="00D1580A">
        <w:t>Previous to this, Peta was Deputy Secretary of</w:t>
      </w:r>
      <w:r w:rsidR="00D60DD6">
        <w:t> </w:t>
      </w:r>
      <w:r w:rsidRPr="00D1580A">
        <w:t>Service Delivery Reform, Coordination and Workplace Safety Division. Her Victorian Public Service career has also included senior roles at</w:t>
      </w:r>
      <w:r w:rsidR="00D60DD6">
        <w:t> </w:t>
      </w:r>
      <w:r w:rsidRPr="00D1580A">
        <w:t>the</w:t>
      </w:r>
      <w:r w:rsidR="00D60DD6">
        <w:t> </w:t>
      </w:r>
      <w:r w:rsidRPr="00D1580A">
        <w:t>Department of Premier and Cabinet, the</w:t>
      </w:r>
      <w:r>
        <w:t xml:space="preserve"> </w:t>
      </w:r>
      <w:r w:rsidRPr="00D1580A">
        <w:t>Department of Treasury and Finance and the</w:t>
      </w:r>
      <w:r>
        <w:t xml:space="preserve"> </w:t>
      </w:r>
      <w:r w:rsidRPr="00D1580A">
        <w:t>then</w:t>
      </w:r>
      <w:r w:rsidR="00D60DD6">
        <w:t> </w:t>
      </w:r>
      <w:r w:rsidRPr="00D1580A">
        <w:t>Department of Human Services.</w:t>
      </w:r>
    </w:p>
    <w:p w14:paraId="15B4EC35" w14:textId="41A1995E" w:rsidR="00AD7FE0" w:rsidRPr="00D1580A" w:rsidRDefault="00AD7FE0" w:rsidP="00E51CC9">
      <w:pPr>
        <w:pStyle w:val="ARbody"/>
      </w:pPr>
      <w:r w:rsidRPr="00D1580A">
        <w:t>Peta is committed to social policy reform and has</w:t>
      </w:r>
      <w:r w:rsidR="00D60DD6">
        <w:t> </w:t>
      </w:r>
      <w:r w:rsidRPr="00D1580A">
        <w:t>led reforms in family violence and the implementation of the 227 Royal Commission recommendations, mental health, and the National</w:t>
      </w:r>
      <w:r>
        <w:t xml:space="preserve"> </w:t>
      </w:r>
      <w:r w:rsidRPr="00D1580A">
        <w:t>Disability Insurance Scheme.</w:t>
      </w:r>
    </w:p>
    <w:p w14:paraId="58D65CAF" w14:textId="77777777" w:rsidR="00AD7FE0" w:rsidRPr="00B0143C" w:rsidRDefault="00AD7FE0" w:rsidP="00333387">
      <w:pPr>
        <w:pStyle w:val="Heading3"/>
      </w:pPr>
      <w:r w:rsidRPr="00B0143C">
        <w:t>Raylene Harradine</w:t>
      </w:r>
    </w:p>
    <w:p w14:paraId="32AE7E97" w14:textId="77777777" w:rsidR="00AD7FE0" w:rsidRPr="00E51CC9" w:rsidRDefault="00AD7FE0">
      <w:pPr>
        <w:pStyle w:val="ARbody"/>
        <w:rPr>
          <w:rStyle w:val="Strong"/>
        </w:rPr>
      </w:pPr>
      <w:r w:rsidRPr="00E51CC9">
        <w:rPr>
          <w:rStyle w:val="Strong"/>
        </w:rPr>
        <w:t xml:space="preserve">Deputy Secretary – Aboriginal </w:t>
      </w:r>
      <w:r w:rsidRPr="00E51CC9">
        <w:rPr>
          <w:rStyle w:val="Strong"/>
        </w:rPr>
        <w:br/>
        <w:t>Self-Determination and Outcomes</w:t>
      </w:r>
    </w:p>
    <w:p w14:paraId="6B3B389A" w14:textId="77777777" w:rsidR="00AD7FE0" w:rsidRPr="00D05DFF" w:rsidRDefault="00AD7FE0" w:rsidP="00E51CC9">
      <w:pPr>
        <w:pStyle w:val="ARbody"/>
        <w:rPr>
          <w:sz w:val="16"/>
        </w:rPr>
      </w:pPr>
      <w:r w:rsidRPr="00D05DFF">
        <w:t>Raylene is the Deputy Secretary of the Aboriginal Self-determination and Outcomes Division</w:t>
      </w:r>
      <w:r>
        <w:t xml:space="preserve"> (ASDO)</w:t>
      </w:r>
      <w:r w:rsidRPr="00D05DFF">
        <w:t>. Raylene is a proud Wotjabulluk, Latje Latje and Djaara woman who has worked in senior leadership positions within Aboriginal communities for over 20</w:t>
      </w:r>
      <w:r>
        <w:t> </w:t>
      </w:r>
      <w:r w:rsidRPr="00D05DFF">
        <w:t>years.</w:t>
      </w:r>
    </w:p>
    <w:p w14:paraId="59F74C4D" w14:textId="77777777" w:rsidR="00AD7FE0" w:rsidRPr="00D05DFF" w:rsidRDefault="00AD7FE0" w:rsidP="00E51CC9">
      <w:pPr>
        <w:pStyle w:val="ARbody"/>
        <w:rPr>
          <w:sz w:val="16"/>
        </w:rPr>
      </w:pPr>
      <w:r w:rsidRPr="005E5B81">
        <w:rPr>
          <w:spacing w:val="-4"/>
        </w:rPr>
        <w:t>Prior to joining ASDO in late 2022, Raylene came from the Bendigo &amp; District Aboriginal Cooperative, as the Chief Executive Officer. Her previous roles include positions in the Department of Justice and Regulation, as well as the health and education sectors</w:t>
      </w:r>
      <w:r w:rsidRPr="00D05DFF">
        <w:t>.</w:t>
      </w:r>
    </w:p>
    <w:p w14:paraId="7F371696" w14:textId="77777777" w:rsidR="00AD7FE0" w:rsidRDefault="00AD7FE0" w:rsidP="00E51CC9">
      <w:pPr>
        <w:pStyle w:val="ARbody"/>
        <w:rPr>
          <w:rStyle w:val="Emphasis"/>
        </w:rPr>
      </w:pPr>
      <w:r w:rsidRPr="00D05DFF">
        <w:t xml:space="preserve">Raylene played a key role in the first rural Victorian Authorisation of Children in Out of Home Care under Section 18 of the </w:t>
      </w:r>
      <w:r w:rsidRPr="001048C7">
        <w:rPr>
          <w:rStyle w:val="Emphasis"/>
        </w:rPr>
        <w:t>Child, Youth and Family Act</w:t>
      </w:r>
      <w:r>
        <w:rPr>
          <w:rStyle w:val="Emphasis"/>
        </w:rPr>
        <w:t> </w:t>
      </w:r>
      <w:r w:rsidRPr="001048C7">
        <w:rPr>
          <w:rStyle w:val="Emphasis"/>
        </w:rPr>
        <w:t>2005.</w:t>
      </w:r>
    </w:p>
    <w:p w14:paraId="7F6A78EA" w14:textId="3BE6CC34" w:rsidR="00AD7FE0" w:rsidRPr="00D05DFF" w:rsidRDefault="00AD7FE0" w:rsidP="00E51CC9">
      <w:pPr>
        <w:pStyle w:val="ARbody"/>
        <w:rPr>
          <w:sz w:val="16"/>
          <w:szCs w:val="20"/>
        </w:rPr>
      </w:pPr>
      <w:r w:rsidRPr="00D05DFF">
        <w:rPr>
          <w:szCs w:val="20"/>
        </w:rPr>
        <w:t>In 2006, she received the Public Service Medal for her outstanding work with Aboriginal communities.</w:t>
      </w:r>
    </w:p>
    <w:p w14:paraId="32ADB619" w14:textId="7B84D1D9" w:rsidR="00AD7FE0" w:rsidRPr="00D05DFF" w:rsidRDefault="00AD7FE0" w:rsidP="00E51CC9">
      <w:pPr>
        <w:pStyle w:val="ARbody"/>
        <w:rPr>
          <w:sz w:val="16"/>
        </w:rPr>
      </w:pPr>
      <w:r w:rsidRPr="00D05DFF">
        <w:t>Raylene was an active member of the First Peoples</w:t>
      </w:r>
      <w:r w:rsidR="00711AE6">
        <w:t>’</w:t>
      </w:r>
      <w:r w:rsidRPr="00D05DFF">
        <w:t xml:space="preserve"> Assembly Victoria and working towards culturally inclusive practices and equity for all. </w:t>
      </w:r>
    </w:p>
    <w:p w14:paraId="4D2FB81F" w14:textId="77777777" w:rsidR="00AD7FE0" w:rsidRPr="008E0C39" w:rsidRDefault="00AD7FE0" w:rsidP="00333387">
      <w:pPr>
        <w:pStyle w:val="Heading3"/>
      </w:pPr>
      <w:r w:rsidRPr="008E0C39">
        <w:t>Annette Lancy</w:t>
      </w:r>
    </w:p>
    <w:p w14:paraId="3AB74B56" w14:textId="77777777" w:rsidR="00AD7FE0" w:rsidRPr="00E51CC9" w:rsidRDefault="00AD7FE0">
      <w:pPr>
        <w:pStyle w:val="ARbody"/>
        <w:rPr>
          <w:rStyle w:val="Strong"/>
        </w:rPr>
      </w:pPr>
      <w:r w:rsidRPr="00E51CC9">
        <w:rPr>
          <w:rStyle w:val="Strong"/>
        </w:rPr>
        <w:t>Deputy Secretary – Children and Families</w:t>
      </w:r>
    </w:p>
    <w:p w14:paraId="24D2066C" w14:textId="317372B6" w:rsidR="00AD7FE0" w:rsidRPr="008857B4" w:rsidRDefault="00AD7FE0">
      <w:pPr>
        <w:pStyle w:val="ARbody"/>
        <w:rPr>
          <w:shd w:val="clear" w:color="auto" w:fill="FFFFFF"/>
        </w:rPr>
      </w:pPr>
      <w:r w:rsidRPr="008857B4">
        <w:rPr>
          <w:shd w:val="clear" w:color="auto" w:fill="FFFFFF"/>
        </w:rPr>
        <w:t>Annette oversees the design and implementation of</w:t>
      </w:r>
      <w:r w:rsidR="00B05B5B">
        <w:rPr>
          <w:shd w:val="clear" w:color="auto" w:fill="FFFFFF"/>
        </w:rPr>
        <w:t> </w:t>
      </w:r>
      <w:r w:rsidRPr="008857B4">
        <w:rPr>
          <w:shd w:val="clear" w:color="auto" w:fill="FFFFFF"/>
        </w:rPr>
        <w:t>legislation, policies, programs and reforms across the department</w:t>
      </w:r>
      <w:r w:rsidR="00711AE6">
        <w:rPr>
          <w:shd w:val="clear" w:color="auto" w:fill="FFFFFF"/>
        </w:rPr>
        <w:t>’</w:t>
      </w:r>
      <w:r w:rsidRPr="008857B4">
        <w:rPr>
          <w:shd w:val="clear" w:color="auto" w:fill="FFFFFF"/>
        </w:rPr>
        <w:t>s services relevant to the</w:t>
      </w:r>
      <w:r w:rsidR="00B05B5B">
        <w:rPr>
          <w:shd w:val="clear" w:color="auto" w:fill="FFFFFF"/>
        </w:rPr>
        <w:t> </w:t>
      </w:r>
      <w:r w:rsidRPr="008857B4">
        <w:rPr>
          <w:shd w:val="clear" w:color="auto" w:fill="FFFFFF"/>
        </w:rPr>
        <w:t>Children</w:t>
      </w:r>
      <w:r>
        <w:rPr>
          <w:shd w:val="clear" w:color="auto" w:fill="FFFFFF"/>
        </w:rPr>
        <w:t> </w:t>
      </w:r>
      <w:r w:rsidRPr="008857B4">
        <w:rPr>
          <w:shd w:val="clear" w:color="auto" w:fill="FFFFFF"/>
        </w:rPr>
        <w:t xml:space="preserve">portfolio. </w:t>
      </w:r>
    </w:p>
    <w:p w14:paraId="284D3175" w14:textId="0F060043" w:rsidR="00AD7FE0" w:rsidRPr="008857B4" w:rsidRDefault="00AD7FE0">
      <w:pPr>
        <w:pStyle w:val="ARbody"/>
        <w:rPr>
          <w:shd w:val="clear" w:color="auto" w:fill="FFFFFF"/>
        </w:rPr>
      </w:pPr>
      <w:r>
        <w:rPr>
          <w:shd w:val="clear" w:color="auto" w:fill="FFFFFF"/>
        </w:rPr>
        <w:t>The Children and Families Division, under Annette</w:t>
      </w:r>
      <w:r w:rsidR="00711AE6">
        <w:rPr>
          <w:shd w:val="clear" w:color="auto" w:fill="FFFFFF"/>
        </w:rPr>
        <w:t>’</w:t>
      </w:r>
      <w:r>
        <w:rPr>
          <w:shd w:val="clear" w:color="auto" w:fill="FFFFFF"/>
        </w:rPr>
        <w:t xml:space="preserve">s leadership supports </w:t>
      </w:r>
      <w:r>
        <w:t>the Children portfolio through the provision of policy and strategic advice, program design and management, and reform delivery. This includes the policy design and funding of statutory child protection services, family support and parenting services, care services and specialist support services, including for young people leaving care, and initiatives supporting Aboriginal children and families. A key focus is</w:t>
      </w:r>
      <w:r w:rsidR="0049012B">
        <w:t> </w:t>
      </w:r>
      <w:r>
        <w:t>supporting and delivering programs for people seeking redress and restorative services due to</w:t>
      </w:r>
      <w:r w:rsidR="0049012B">
        <w:t> </w:t>
      </w:r>
      <w:r>
        <w:t>abuse or neglect experienced in institutional care</w:t>
      </w:r>
      <w:r w:rsidR="00B053BE">
        <w:t> </w:t>
      </w:r>
      <w:r>
        <w:t>settings.</w:t>
      </w:r>
    </w:p>
    <w:p w14:paraId="23A9CBFE" w14:textId="06DA73F6" w:rsidR="00AD7FE0" w:rsidRDefault="00AD7FE0" w:rsidP="00AA126F">
      <w:pPr>
        <w:pStyle w:val="ARbody"/>
        <w:rPr>
          <w:shd w:val="clear" w:color="auto" w:fill="FFFFFF"/>
        </w:rPr>
      </w:pPr>
      <w:r w:rsidRPr="008857B4">
        <w:rPr>
          <w:shd w:val="clear" w:color="auto" w:fill="FFFFFF"/>
        </w:rPr>
        <w:t>Annette was appointed Deputy Secretary in</w:t>
      </w:r>
      <w:r>
        <w:rPr>
          <w:shd w:val="clear" w:color="auto" w:fill="FFFFFF"/>
        </w:rPr>
        <w:t xml:space="preserve"> </w:t>
      </w:r>
      <w:r w:rsidRPr="00E51CC9">
        <w:t>August</w:t>
      </w:r>
      <w:r w:rsidRPr="008857B4">
        <w:rPr>
          <w:shd w:val="clear" w:color="auto" w:fill="FFFFFF"/>
        </w:rPr>
        <w:t> 2023.</w:t>
      </w:r>
      <w:r>
        <w:rPr>
          <w:shd w:val="clear" w:color="auto" w:fill="FFFFFF"/>
        </w:rPr>
        <w:t xml:space="preserve"> </w:t>
      </w:r>
      <w:r w:rsidRPr="008857B4">
        <w:rPr>
          <w:shd w:val="clear" w:color="auto" w:fill="FFFFFF"/>
        </w:rPr>
        <w:t>Annette has previously</w:t>
      </w:r>
      <w:r w:rsidRPr="001048C7">
        <w:t xml:space="preserve"> </w:t>
      </w:r>
      <w:r w:rsidRPr="008857B4">
        <w:rPr>
          <w:shd w:val="clear" w:color="auto" w:fill="FFFFFF"/>
        </w:rPr>
        <w:t>led design and implementation of family violence system reform at Family Safety Victoria before leading the</w:t>
      </w:r>
      <w:r>
        <w:rPr>
          <w:shd w:val="clear" w:color="auto" w:fill="FFFFFF"/>
        </w:rPr>
        <w:t xml:space="preserve"> </w:t>
      </w:r>
      <w:r w:rsidRPr="008857B4">
        <w:rPr>
          <w:shd w:val="clear" w:color="auto" w:fill="FFFFFF"/>
        </w:rPr>
        <w:t>department</w:t>
      </w:r>
      <w:r w:rsidR="00711AE6">
        <w:rPr>
          <w:shd w:val="clear" w:color="auto" w:fill="FFFFFF"/>
        </w:rPr>
        <w:t>’</w:t>
      </w:r>
      <w:r w:rsidRPr="008857B4">
        <w:rPr>
          <w:shd w:val="clear" w:color="auto" w:fill="FFFFFF"/>
        </w:rPr>
        <w:t>s COVID-19 preparedness and response work for the community services sector</w:t>
      </w:r>
      <w:r>
        <w:rPr>
          <w:shd w:val="clear" w:color="auto" w:fill="FFFFFF"/>
        </w:rPr>
        <w:t>.</w:t>
      </w:r>
    </w:p>
    <w:p w14:paraId="4403A7C4" w14:textId="059F4F9B" w:rsidR="00AD7FE0" w:rsidRPr="001F3C73" w:rsidRDefault="00AD7FE0" w:rsidP="00333387">
      <w:pPr>
        <w:pStyle w:val="Heading3"/>
      </w:pPr>
      <w:r w:rsidRPr="001F3C73">
        <w:t>Danny O</w:t>
      </w:r>
      <w:r w:rsidR="00711AE6">
        <w:t>’</w:t>
      </w:r>
      <w:r w:rsidRPr="001F3C73">
        <w:t>Kelly</w:t>
      </w:r>
    </w:p>
    <w:p w14:paraId="5B47D189" w14:textId="566B0133" w:rsidR="00AD7FE0" w:rsidRPr="00E51CC9" w:rsidRDefault="00AD7FE0">
      <w:pPr>
        <w:pStyle w:val="ARbody"/>
        <w:rPr>
          <w:rStyle w:val="Strong"/>
        </w:rPr>
      </w:pPr>
      <w:r w:rsidRPr="00E51CC9">
        <w:rPr>
          <w:rStyle w:val="Strong"/>
        </w:rPr>
        <w:t>Deputy Secretary – Community Operations and</w:t>
      </w:r>
      <w:r w:rsidR="007A53EF">
        <w:rPr>
          <w:rStyle w:val="Strong"/>
        </w:rPr>
        <w:t> </w:t>
      </w:r>
      <w:r w:rsidRPr="00E51CC9">
        <w:rPr>
          <w:rStyle w:val="Strong"/>
        </w:rPr>
        <w:t>Practice Leadership</w:t>
      </w:r>
    </w:p>
    <w:p w14:paraId="6D3E4B9C" w14:textId="77777777" w:rsidR="00AD7FE0" w:rsidRPr="006B2DB0" w:rsidRDefault="00AD7FE0" w:rsidP="0088621E">
      <w:pPr>
        <w:pStyle w:val="ARbody"/>
      </w:pPr>
      <w:r w:rsidRPr="006B2DB0">
        <w:t>Danny was appointed Deputy Secretary, Community Operations and Practice Leadership in</w:t>
      </w:r>
      <w:r>
        <w:t> </w:t>
      </w:r>
      <w:r w:rsidRPr="006B2DB0">
        <w:t>July 2022.</w:t>
      </w:r>
    </w:p>
    <w:p w14:paraId="09E78D85" w14:textId="728915F9" w:rsidR="00AD7FE0" w:rsidRPr="006B2DB0" w:rsidRDefault="00AD7FE0" w:rsidP="00B05B5B">
      <w:pPr>
        <w:pStyle w:val="ARbody"/>
      </w:pPr>
      <w:r w:rsidRPr="006B2DB0">
        <w:t xml:space="preserve">Danny oversees the delivery of critical services for the Victorian community including child protection, public housing and forensic disability services; and stewards the funded services sector. The Community Operations and Practice Leadership Division delivers services across Victoria through </w:t>
      </w:r>
      <w:r w:rsidR="009D641C">
        <w:t>4</w:t>
      </w:r>
      <w:r w:rsidR="00B05B5B">
        <w:t> </w:t>
      </w:r>
      <w:r w:rsidRPr="00B05B5B">
        <w:t>divisions</w:t>
      </w:r>
      <w:r w:rsidRPr="006B2DB0">
        <w:t xml:space="preserve"> and 17 areas and statewide services and </w:t>
      </w:r>
      <w:r w:rsidR="009D641C">
        <w:t>3</w:t>
      </w:r>
      <w:r w:rsidR="00B05B5B">
        <w:t> </w:t>
      </w:r>
      <w:r w:rsidRPr="006B2DB0">
        <w:t>support branches.</w:t>
      </w:r>
    </w:p>
    <w:p w14:paraId="132CE5E2" w14:textId="6C6A7A3D" w:rsidR="005E5B81" w:rsidRDefault="00AD7FE0" w:rsidP="0088621E">
      <w:pPr>
        <w:pStyle w:val="ARbody"/>
      </w:pPr>
      <w:r w:rsidRPr="006B2DB0">
        <w:t>Danny also oversees practice leadership including management of critical incidents and child safety, and monitoring of statewide service delivery standards and performance.</w:t>
      </w:r>
    </w:p>
    <w:p w14:paraId="4BE0764A" w14:textId="77777777" w:rsidR="005E5B81" w:rsidRDefault="005E5B81">
      <w:pPr>
        <w:rPr>
          <w:rFonts w:ascii="Arial" w:eastAsia="Times" w:hAnsi="Arial" w:cs="Arial"/>
          <w:sz w:val="20"/>
          <w:szCs w:val="24"/>
        </w:rPr>
      </w:pPr>
      <w:r>
        <w:br w:type="page"/>
      </w:r>
    </w:p>
    <w:p w14:paraId="3C7BDC47" w14:textId="55FD3B39" w:rsidR="00AD7FE0" w:rsidRPr="009871CE" w:rsidRDefault="00AD7FE0" w:rsidP="0088621E">
      <w:pPr>
        <w:pStyle w:val="ARbody"/>
      </w:pPr>
      <w:r w:rsidRPr="006B2DB0">
        <w:t>Bringing extensive senior leadership to this role and 30 years of experience in the public sector, Danny provides leadership and oversight for significant statewide operational programs and complex change management processes including implementing large systems reform programs and</w:t>
      </w:r>
      <w:r w:rsidR="007A53EF">
        <w:t> </w:t>
      </w:r>
      <w:r w:rsidRPr="006B2DB0">
        <w:t>redevelopment initiatives.</w:t>
      </w:r>
      <w:r w:rsidRPr="009871CE">
        <w:t xml:space="preserve"> </w:t>
      </w:r>
    </w:p>
    <w:p w14:paraId="76BE6D13" w14:textId="77777777" w:rsidR="00AD7FE0" w:rsidRPr="001F3C73" w:rsidRDefault="00AD7FE0" w:rsidP="00333387">
      <w:pPr>
        <w:pStyle w:val="Heading3"/>
      </w:pPr>
      <w:r w:rsidRPr="001F3C73">
        <w:t>Anne Congleton</w:t>
      </w:r>
    </w:p>
    <w:p w14:paraId="026B7794" w14:textId="77777777" w:rsidR="00AD7FE0" w:rsidRPr="00E51CC9" w:rsidRDefault="00AD7FE0">
      <w:pPr>
        <w:pStyle w:val="ARbody"/>
        <w:rPr>
          <w:rStyle w:val="Strong"/>
        </w:rPr>
      </w:pPr>
      <w:r w:rsidRPr="00E51CC9">
        <w:rPr>
          <w:rStyle w:val="Strong"/>
        </w:rPr>
        <w:t>Deputy Secretary – North Division</w:t>
      </w:r>
    </w:p>
    <w:p w14:paraId="6FD71E09" w14:textId="77777777" w:rsidR="00AD7FE0" w:rsidRPr="001F3C73" w:rsidRDefault="00AD7FE0">
      <w:pPr>
        <w:pStyle w:val="ARbody"/>
      </w:pPr>
      <w:r w:rsidRPr="001F3C73">
        <w:t>Anne was appointed Deputy Secretary North Division in late 2018. Anne has held senior executive roles across operational service delivery, central office policy and program areas and corporate resource management.</w:t>
      </w:r>
    </w:p>
    <w:p w14:paraId="2AA84518" w14:textId="43B17D7F" w:rsidR="00AD7FE0" w:rsidRDefault="00AD7FE0">
      <w:pPr>
        <w:pStyle w:val="ARbody"/>
      </w:pPr>
      <w:r w:rsidRPr="001F3C73">
        <w:t xml:space="preserve">Anne oversees </w:t>
      </w:r>
      <w:r>
        <w:t xml:space="preserve">4 </w:t>
      </w:r>
      <w:r w:rsidRPr="001F3C73">
        <w:t>areas (North East Melbourne, Hume</w:t>
      </w:r>
      <w:r w:rsidR="00981E3A">
        <w:t>–</w:t>
      </w:r>
      <w:r w:rsidRPr="001F3C73">
        <w:t xml:space="preserve">Merribek, Loddon and Mallee) and </w:t>
      </w:r>
      <w:r w:rsidR="00D82999">
        <w:t>2 </w:t>
      </w:r>
      <w:r w:rsidRPr="001F3C73">
        <w:t>branches that deliver services through child protection, housing, emergency management, disability and other services and stewards the broader funded community services sector.</w:t>
      </w:r>
    </w:p>
    <w:p w14:paraId="146F8403" w14:textId="3DF37A6E" w:rsidR="00AD7FE0" w:rsidRPr="001F3C73" w:rsidRDefault="00AD7FE0" w:rsidP="00333387">
      <w:pPr>
        <w:pStyle w:val="Heading3"/>
      </w:pPr>
      <w:r w:rsidRPr="001F3C73">
        <w:t>Kathleen Alonso</w:t>
      </w:r>
    </w:p>
    <w:p w14:paraId="152815D9" w14:textId="77777777" w:rsidR="00AD7FE0" w:rsidRPr="00E51CC9" w:rsidRDefault="00AD7FE0">
      <w:pPr>
        <w:pStyle w:val="ARbody"/>
        <w:rPr>
          <w:rStyle w:val="Strong"/>
        </w:rPr>
      </w:pPr>
      <w:r w:rsidRPr="00E51CC9">
        <w:rPr>
          <w:rStyle w:val="Strong"/>
        </w:rPr>
        <w:t>Deputy Secretary – South Division</w:t>
      </w:r>
    </w:p>
    <w:p w14:paraId="3DDAE67F" w14:textId="77777777" w:rsidR="00AD7FE0" w:rsidRPr="001F3C73" w:rsidRDefault="00AD7FE0">
      <w:pPr>
        <w:pStyle w:val="ARbody"/>
      </w:pPr>
      <w:r w:rsidRPr="001F3C73">
        <w:t xml:space="preserve">Kathleen was appointed Deputy Secretary South Division in November 2022, following </w:t>
      </w:r>
      <w:r>
        <w:t xml:space="preserve">7 </w:t>
      </w:r>
      <w:r w:rsidRPr="001F3C73">
        <w:t>years as Executive Director overseeing an operational Area.</w:t>
      </w:r>
    </w:p>
    <w:p w14:paraId="11C9669D" w14:textId="175D2BBA" w:rsidR="00AD7FE0" w:rsidRPr="001F3C73" w:rsidRDefault="00AD7FE0">
      <w:pPr>
        <w:pStyle w:val="ARbody"/>
      </w:pPr>
      <w:r w:rsidRPr="001F3C73">
        <w:t xml:space="preserve">Kathleen oversees the </w:t>
      </w:r>
      <w:r w:rsidR="009D641C">
        <w:t>4</w:t>
      </w:r>
      <w:r w:rsidRPr="001F3C73">
        <w:t xml:space="preserve"> diverse areas in the South (Bayside Peninsula, Southern Melbourne, Inner Gippsland and Outer Gippsland). Each of these has</w:t>
      </w:r>
      <w:r w:rsidR="00C159BC">
        <w:t> </w:t>
      </w:r>
      <w:r w:rsidRPr="001F3C73">
        <w:t>unique demography, geography and communities, including many First Nations</w:t>
      </w:r>
      <w:r>
        <w:t> </w:t>
      </w:r>
      <w:r w:rsidRPr="001F3C73">
        <w:t>communities.</w:t>
      </w:r>
    </w:p>
    <w:p w14:paraId="76724BA8" w14:textId="0571CB40" w:rsidR="00AD7FE0" w:rsidRPr="001F3C73" w:rsidRDefault="00AD7FE0" w:rsidP="00333387">
      <w:pPr>
        <w:pStyle w:val="Heading3"/>
      </w:pPr>
      <w:r w:rsidRPr="001F3C73">
        <w:t xml:space="preserve">Jenny </w:t>
      </w:r>
      <w:r w:rsidR="009E429E" w:rsidRPr="001F3C73">
        <w:t>Litsas</w:t>
      </w:r>
    </w:p>
    <w:p w14:paraId="19CD55D5" w14:textId="77777777" w:rsidR="00AD7FE0" w:rsidRPr="00E51CC9" w:rsidRDefault="00AD7FE0">
      <w:pPr>
        <w:pStyle w:val="ARbody"/>
        <w:rPr>
          <w:rStyle w:val="Strong"/>
        </w:rPr>
      </w:pPr>
      <w:r w:rsidRPr="00E51CC9">
        <w:rPr>
          <w:rStyle w:val="Strong"/>
        </w:rPr>
        <w:t>Deputy Secretary – East Division</w:t>
      </w:r>
    </w:p>
    <w:p w14:paraId="75629222" w14:textId="77777777" w:rsidR="00AD7FE0" w:rsidRPr="001F3C73" w:rsidRDefault="00AD7FE0">
      <w:pPr>
        <w:pStyle w:val="ARbody"/>
      </w:pPr>
      <w:r w:rsidRPr="001F3C73">
        <w:t xml:space="preserve">Jenny was appointed Deputy Secretary East Division in November 2022. Jenny is responsible for the delivery of services including child protection, housing, emergency management, as well as the broader funded community services section within </w:t>
      </w:r>
      <w:r>
        <w:t xml:space="preserve">4 </w:t>
      </w:r>
      <w:r w:rsidRPr="001F3C73">
        <w:t>geographical areas across the north-east of Victoria.</w:t>
      </w:r>
    </w:p>
    <w:p w14:paraId="618D26AC" w14:textId="77777777" w:rsidR="00AD7FE0" w:rsidRDefault="00AD7FE0">
      <w:pPr>
        <w:pStyle w:val="ARbody"/>
      </w:pPr>
      <w:r w:rsidRPr="001F3C73">
        <w:t>Before her appointment as Deputy Secretary, Jenny was Executive Director for the Southern Melbourne Area. She also held senior executive roles across the department in housing and homelessness programs and leading significant</w:t>
      </w:r>
      <w:r>
        <w:t> </w:t>
      </w:r>
      <w:r w:rsidRPr="001F3C73">
        <w:t>reform</w:t>
      </w:r>
      <w:r w:rsidRPr="003A4DD8">
        <w:t>.</w:t>
      </w:r>
    </w:p>
    <w:p w14:paraId="7F118C4B" w14:textId="77777777" w:rsidR="00AD7FE0" w:rsidRPr="001F3C73" w:rsidRDefault="00AD7FE0" w:rsidP="00333387">
      <w:pPr>
        <w:pStyle w:val="Heading3"/>
      </w:pPr>
      <w:r w:rsidRPr="001F3C73">
        <w:t>Kelly Stanton</w:t>
      </w:r>
    </w:p>
    <w:p w14:paraId="5F400418" w14:textId="77777777" w:rsidR="00AD7FE0" w:rsidRPr="00E51CC9" w:rsidRDefault="00AD7FE0">
      <w:pPr>
        <w:pStyle w:val="ARbody"/>
        <w:rPr>
          <w:rStyle w:val="Strong"/>
        </w:rPr>
      </w:pPr>
      <w:r w:rsidRPr="00E51CC9">
        <w:rPr>
          <w:rStyle w:val="Strong"/>
        </w:rPr>
        <w:t xml:space="preserve">Deputy Secretary – West Division </w:t>
      </w:r>
    </w:p>
    <w:p w14:paraId="35E9E775" w14:textId="77777777" w:rsidR="00AD7FE0" w:rsidRPr="00BF3290" w:rsidRDefault="00AD7FE0">
      <w:pPr>
        <w:pStyle w:val="ARbody"/>
      </w:pPr>
      <w:r w:rsidRPr="00703466" w:rsidDel="00F03FB8">
        <w:rPr>
          <w:rFonts w:eastAsia="Arial"/>
          <w:szCs w:val="20"/>
        </w:rPr>
        <w:t xml:space="preserve">Kelly was appointed </w:t>
      </w:r>
      <w:r w:rsidRPr="00703466" w:rsidDel="00CC2367">
        <w:rPr>
          <w:rFonts w:eastAsia="Arial"/>
          <w:szCs w:val="20"/>
        </w:rPr>
        <w:t>Deputy Secretary</w:t>
      </w:r>
      <w:r w:rsidRPr="00703466">
        <w:rPr>
          <w:rFonts w:eastAsia="Arial"/>
          <w:szCs w:val="20"/>
        </w:rPr>
        <w:t>,</w:t>
      </w:r>
      <w:r w:rsidRPr="00703466" w:rsidDel="00CC2367">
        <w:rPr>
          <w:rFonts w:eastAsia="Arial"/>
          <w:szCs w:val="20"/>
        </w:rPr>
        <w:t xml:space="preserve"> West Division</w:t>
      </w:r>
      <w:r w:rsidRPr="00703466">
        <w:rPr>
          <w:rFonts w:eastAsia="Arial"/>
          <w:szCs w:val="20"/>
        </w:rPr>
        <w:t>,</w:t>
      </w:r>
      <w:r w:rsidRPr="00703466" w:rsidDel="00CC2367">
        <w:rPr>
          <w:rFonts w:eastAsia="Arial"/>
          <w:szCs w:val="20"/>
        </w:rPr>
        <w:t xml:space="preserve"> </w:t>
      </w:r>
      <w:r w:rsidRPr="00BF3290" w:rsidDel="00CC2367">
        <w:t>in</w:t>
      </w:r>
      <w:r w:rsidRPr="00BF3290" w:rsidDel="00F27649">
        <w:t xml:space="preserve"> January 2024</w:t>
      </w:r>
      <w:r w:rsidRPr="00BF3290" w:rsidDel="00860EB6">
        <w:t xml:space="preserve">. </w:t>
      </w:r>
      <w:r w:rsidRPr="00BF3290">
        <w:t>Kelly has held senior executive roles in operational service delivery, central office policy and in the community services</w:t>
      </w:r>
      <w:r>
        <w:t> </w:t>
      </w:r>
      <w:r w:rsidRPr="00BF3290">
        <w:t xml:space="preserve">sector. </w:t>
      </w:r>
    </w:p>
    <w:p w14:paraId="69614C11" w14:textId="40ACA1F5" w:rsidR="00AD7FE0" w:rsidRDefault="00AD7FE0">
      <w:pPr>
        <w:pStyle w:val="ARbody"/>
        <w:rPr>
          <w:rFonts w:eastAsia="Arial"/>
          <w:szCs w:val="20"/>
        </w:rPr>
      </w:pPr>
      <w:r w:rsidRPr="00BF3290">
        <w:t xml:space="preserve">Kelly oversees and provides system stewardship across </w:t>
      </w:r>
      <w:r>
        <w:t xml:space="preserve">5 </w:t>
      </w:r>
      <w:r w:rsidRPr="00BF3290">
        <w:t>diverse areas (Barwon, Brimbank, Central Highlands, Western</w:t>
      </w:r>
      <w:r w:rsidRPr="00703466">
        <w:rPr>
          <w:rFonts w:eastAsia="Arial"/>
          <w:szCs w:val="20"/>
        </w:rPr>
        <w:t xml:space="preserve"> Melbourne and Wimmera South West) delivering child protection, housing, emergency management and care services, while stewarding the broader funded community services</w:t>
      </w:r>
      <w:r>
        <w:rPr>
          <w:rFonts w:eastAsia="Arial"/>
          <w:szCs w:val="20"/>
        </w:rPr>
        <w:t> </w:t>
      </w:r>
      <w:r w:rsidRPr="00703466">
        <w:rPr>
          <w:rFonts w:eastAsia="Arial"/>
          <w:szCs w:val="20"/>
        </w:rPr>
        <w:t>sector.</w:t>
      </w:r>
    </w:p>
    <w:p w14:paraId="54B01CD7" w14:textId="77777777" w:rsidR="00AD7FE0" w:rsidRPr="0009327E" w:rsidRDefault="00AD7FE0" w:rsidP="00333387">
      <w:pPr>
        <w:pStyle w:val="Heading3"/>
      </w:pPr>
      <w:r w:rsidRPr="0009327E">
        <w:t>Nicola Quin</w:t>
      </w:r>
    </w:p>
    <w:p w14:paraId="034F36D5" w14:textId="1DEA7EF9" w:rsidR="00AD7FE0" w:rsidRPr="00E51CC9" w:rsidRDefault="00AD7FE0">
      <w:pPr>
        <w:pStyle w:val="ARbody"/>
        <w:rPr>
          <w:rStyle w:val="Strong"/>
        </w:rPr>
      </w:pPr>
      <w:r w:rsidRPr="00E51CC9">
        <w:rPr>
          <w:rStyle w:val="Strong"/>
        </w:rPr>
        <w:t>Deputy Secretary – Corporate and</w:t>
      </w:r>
      <w:r w:rsidR="007A53EF">
        <w:rPr>
          <w:rStyle w:val="Strong"/>
        </w:rPr>
        <w:t> </w:t>
      </w:r>
      <w:r w:rsidRPr="00E51CC9">
        <w:rPr>
          <w:rStyle w:val="Strong"/>
        </w:rPr>
        <w:t>Delivery</w:t>
      </w:r>
      <w:r>
        <w:rPr>
          <w:rStyle w:val="Strong"/>
        </w:rPr>
        <w:t> </w:t>
      </w:r>
      <w:r w:rsidRPr="00E51CC9">
        <w:rPr>
          <w:rStyle w:val="Strong"/>
        </w:rPr>
        <w:t>Services</w:t>
      </w:r>
    </w:p>
    <w:p w14:paraId="10F72AE0" w14:textId="77777777" w:rsidR="00AD7FE0" w:rsidRPr="0009327E" w:rsidRDefault="00AD7FE0">
      <w:pPr>
        <w:pStyle w:val="ARbody"/>
      </w:pPr>
      <w:r w:rsidRPr="0009327E">
        <w:t xml:space="preserve">Nicola was appointed Deputy Secretary Corporate and Delivery Services in December 2022. Nicola oversees the delivery of key enabling services across the department and ministerial offices, including finance, </w:t>
      </w:r>
      <w:r>
        <w:t>people and culture</w:t>
      </w:r>
      <w:r w:rsidRPr="0009327E">
        <w:t xml:space="preserve">, legal services, information technology, </w:t>
      </w:r>
      <w:r>
        <w:t xml:space="preserve">shared services, </w:t>
      </w:r>
      <w:r w:rsidRPr="0009327E">
        <w:t>accommodation as well as Cabinet and executive</w:t>
      </w:r>
      <w:r>
        <w:t> </w:t>
      </w:r>
      <w:r w:rsidRPr="0009327E">
        <w:t>services.</w:t>
      </w:r>
    </w:p>
    <w:p w14:paraId="75348E45" w14:textId="77777777" w:rsidR="00AD7FE0" w:rsidRDefault="00AD7FE0">
      <w:pPr>
        <w:pStyle w:val="ARbody"/>
      </w:pPr>
      <w:r w:rsidRPr="0009327E">
        <w:t>Nicola is an experienced executive in both government and not-for-profit sectors. She has overseen complex service delivery, project management and significant policy reform.</w:t>
      </w:r>
    </w:p>
    <w:p w14:paraId="7C42D510" w14:textId="77777777" w:rsidR="00AD7FE0" w:rsidRDefault="00AD7FE0" w:rsidP="00333387">
      <w:pPr>
        <w:pStyle w:val="Heading3"/>
      </w:pPr>
      <w:r>
        <w:t>Argiri Alisandratos</w:t>
      </w:r>
    </w:p>
    <w:p w14:paraId="2AF4CB83" w14:textId="066C6D73" w:rsidR="00AD7FE0" w:rsidRPr="00E51CC9" w:rsidRDefault="00AD7FE0">
      <w:pPr>
        <w:pStyle w:val="ARbody"/>
        <w:rPr>
          <w:rStyle w:val="Strong"/>
        </w:rPr>
      </w:pPr>
      <w:r w:rsidRPr="00E51CC9">
        <w:rPr>
          <w:rStyle w:val="Strong"/>
        </w:rPr>
        <w:t>Deputy Secretary – Disability, Fairness and</w:t>
      </w:r>
      <w:r w:rsidR="007A53EF">
        <w:rPr>
          <w:rStyle w:val="Strong"/>
        </w:rPr>
        <w:t> </w:t>
      </w:r>
      <w:r w:rsidRPr="00E51CC9">
        <w:rPr>
          <w:rStyle w:val="Strong"/>
        </w:rPr>
        <w:t>Emergency Management</w:t>
      </w:r>
    </w:p>
    <w:p w14:paraId="0C302E72" w14:textId="21A66374" w:rsidR="00C159BC" w:rsidRDefault="00AD7FE0">
      <w:pPr>
        <w:pStyle w:val="ARbody"/>
      </w:pPr>
      <w:r>
        <w:t>Argiri is a highly experienced executive leader having held numerous senior leadership roles over</w:t>
      </w:r>
      <w:r w:rsidR="007A53EF">
        <w:t> </w:t>
      </w:r>
      <w:r>
        <w:t>his long career with the department and VPS. His</w:t>
      </w:r>
      <w:r w:rsidR="007A53EF">
        <w:t> </w:t>
      </w:r>
      <w:r>
        <w:t xml:space="preserve">most recent roles include, acting as the </w:t>
      </w:r>
      <w:r w:rsidR="00E3343D">
        <w:t>d</w:t>
      </w:r>
      <w:r>
        <w:t>epartment</w:t>
      </w:r>
      <w:r w:rsidR="00711AE6">
        <w:t>’</w:t>
      </w:r>
      <w:r>
        <w:t>s Associate Secretary, Deputy Secretary Disability, Complex Needs and Emergency Management, Deputy Secretary Children and Families, Deputy Secretary South Division, and Chief Operations Transformation Officer.</w:t>
      </w:r>
    </w:p>
    <w:p w14:paraId="46DBE548" w14:textId="77777777" w:rsidR="00C159BC" w:rsidRDefault="00C159BC">
      <w:pPr>
        <w:rPr>
          <w:rFonts w:ascii="Arial" w:eastAsia="Times" w:hAnsi="Arial" w:cs="Arial"/>
          <w:sz w:val="20"/>
          <w:szCs w:val="24"/>
        </w:rPr>
      </w:pPr>
      <w:r>
        <w:br w:type="page"/>
      </w:r>
    </w:p>
    <w:p w14:paraId="2F727454" w14:textId="3F61BC95" w:rsidR="00AD7FE0" w:rsidRDefault="00AD7FE0">
      <w:pPr>
        <w:pStyle w:val="ARbody"/>
      </w:pPr>
      <w:r>
        <w:t>Under Argiri</w:t>
      </w:r>
      <w:r w:rsidR="00711AE6">
        <w:t>’</w:t>
      </w:r>
      <w:r>
        <w:t>s leadership, the department has embarked on significant reforms in the state</w:t>
      </w:r>
      <w:r w:rsidR="00711AE6">
        <w:t>’</w:t>
      </w:r>
      <w:r>
        <w:t>s child and family services system under the Victorian Government</w:t>
      </w:r>
      <w:r w:rsidR="00711AE6">
        <w:t>’</w:t>
      </w:r>
      <w:r>
        <w:t>s Roadmap for Reform agenda, led Disability Inclusion and system reforms on behalf of the state and has also played a key leadership role in the implementation and resourcing of a range of community-based service and support infrastructure focused on community support, inclusion, equity and resilience.</w:t>
      </w:r>
    </w:p>
    <w:p w14:paraId="54E574BC" w14:textId="39CDFF3C" w:rsidR="00AD7FE0" w:rsidRDefault="00AD7FE0" w:rsidP="00333387">
      <w:pPr>
        <w:pStyle w:val="Heading3"/>
      </w:pPr>
      <w:r>
        <w:t xml:space="preserve">Louise </w:t>
      </w:r>
      <w:r w:rsidRPr="00323261">
        <w:t>Perry</w:t>
      </w:r>
    </w:p>
    <w:p w14:paraId="01BC2F4F" w14:textId="41C08466" w:rsidR="00AD7FE0" w:rsidRPr="00395CAB" w:rsidRDefault="00AD7FE0">
      <w:pPr>
        <w:pStyle w:val="ARbody"/>
        <w:rPr>
          <w:rStyle w:val="Strong"/>
        </w:rPr>
      </w:pPr>
      <w:r w:rsidRPr="00395CAB">
        <w:rPr>
          <w:rStyle w:val="Strong"/>
        </w:rPr>
        <w:t>Deputy Secretary – Fairer Victoria and</w:t>
      </w:r>
      <w:r w:rsidR="000A3EA1">
        <w:rPr>
          <w:rStyle w:val="Strong"/>
        </w:rPr>
        <w:t> </w:t>
      </w:r>
      <w:r w:rsidRPr="00395CAB">
        <w:rPr>
          <w:rStyle w:val="Strong"/>
        </w:rPr>
        <w:t>Engagement</w:t>
      </w:r>
    </w:p>
    <w:p w14:paraId="2B6FA977" w14:textId="5C5EF3E2" w:rsidR="00AD7FE0" w:rsidRPr="005D245A" w:rsidRDefault="00AD7FE0">
      <w:pPr>
        <w:pStyle w:val="ARbody"/>
      </w:pPr>
      <w:r w:rsidRPr="005D245A">
        <w:t xml:space="preserve">Louise </w:t>
      </w:r>
      <w:r>
        <w:t>oversaw</w:t>
      </w:r>
      <w:r w:rsidRPr="005D245A">
        <w:t xml:space="preserve"> the delivery of policy and programs in the LGBTIQA+ equality, seniors, veterans, women, youth and carers and volunteers portfolios. Louise also </w:t>
      </w:r>
      <w:r>
        <w:t>oversaw</w:t>
      </w:r>
      <w:r w:rsidRPr="005D245A">
        <w:t xml:space="preserve"> public and stakeholder engagement, communications and a</w:t>
      </w:r>
      <w:r>
        <w:t xml:space="preserve"> </w:t>
      </w:r>
      <w:r w:rsidRPr="005D245A">
        <w:t>range of</w:t>
      </w:r>
      <w:r w:rsidR="00B053BE">
        <w:t> </w:t>
      </w:r>
      <w:r w:rsidRPr="005D245A">
        <w:t>strategy and coordination functions for</w:t>
      </w:r>
      <w:r>
        <w:t xml:space="preserve"> </w:t>
      </w:r>
      <w:r w:rsidRPr="005D245A">
        <w:t>the</w:t>
      </w:r>
      <w:r>
        <w:t> </w:t>
      </w:r>
      <w:r w:rsidRPr="005D245A">
        <w:t>department.</w:t>
      </w:r>
    </w:p>
    <w:p w14:paraId="75C503CF" w14:textId="238C8582" w:rsidR="00AD7FE0" w:rsidRPr="005D245A" w:rsidRDefault="00AD7FE0">
      <w:pPr>
        <w:pStyle w:val="ARbody"/>
      </w:pPr>
      <w:r w:rsidRPr="005D245A">
        <w:t xml:space="preserve">Multicultural Affairs </w:t>
      </w:r>
      <w:r>
        <w:t xml:space="preserve">was part of </w:t>
      </w:r>
      <w:r w:rsidRPr="005D245A">
        <w:t>Louise</w:t>
      </w:r>
      <w:r w:rsidR="00711AE6">
        <w:t>’</w:t>
      </w:r>
      <w:r w:rsidRPr="005D245A">
        <w:t xml:space="preserve">s responsibilities until </w:t>
      </w:r>
      <w:r>
        <w:t xml:space="preserve">1 </w:t>
      </w:r>
      <w:r w:rsidRPr="005D245A">
        <w:t xml:space="preserve">February 2024 </w:t>
      </w:r>
      <w:r>
        <w:t>when the</w:t>
      </w:r>
      <w:r w:rsidR="00BD0B0B">
        <w:t> </w:t>
      </w:r>
      <w:r>
        <w:t>portfolio</w:t>
      </w:r>
      <w:r w:rsidRPr="005D245A">
        <w:t xml:space="preserve"> moved to the Department of Premier</w:t>
      </w:r>
      <w:r w:rsidR="00BD0B0B">
        <w:t> </w:t>
      </w:r>
      <w:r w:rsidRPr="005D245A">
        <w:t>and</w:t>
      </w:r>
      <w:r w:rsidR="00BD0B0B">
        <w:t> </w:t>
      </w:r>
      <w:r w:rsidRPr="005D245A">
        <w:t>Cabinet.</w:t>
      </w:r>
    </w:p>
    <w:p w14:paraId="22301B48" w14:textId="70FB79EC" w:rsidR="00AD7FE0" w:rsidRPr="005D245A" w:rsidRDefault="00AD7FE0">
      <w:pPr>
        <w:pStyle w:val="ARbody"/>
      </w:pPr>
      <w:r w:rsidRPr="005D245A">
        <w:t>Louise is an experienced executive in both the government and not-for-profit sectors with a background in equity policy development, inclusion and diversity, program and project management and delivery,</w:t>
      </w:r>
      <w:r>
        <w:t xml:space="preserve"> </w:t>
      </w:r>
      <w:r w:rsidRPr="005D245A">
        <w:t>international aid and development, communications and large-scale organisational change across both the economic development and</w:t>
      </w:r>
      <w:r w:rsidR="00C159BC">
        <w:t> </w:t>
      </w:r>
      <w:r w:rsidRPr="005D245A">
        <w:t>human services parts of government.</w:t>
      </w:r>
    </w:p>
    <w:p w14:paraId="2A934F08" w14:textId="60EA9CD9" w:rsidR="00AD7FE0" w:rsidRPr="00563EAD" w:rsidRDefault="00AD7FE0">
      <w:pPr>
        <w:pStyle w:val="ARbody"/>
      </w:pPr>
      <w:r w:rsidRPr="005D245A">
        <w:t>Friday 5 July 2024 was Louise</w:t>
      </w:r>
      <w:r w:rsidR="00711AE6">
        <w:t>’</w:t>
      </w:r>
      <w:r w:rsidRPr="005D245A">
        <w:t>s last day at the Department of Families, Fairness and Housing.</w:t>
      </w:r>
    </w:p>
    <w:p w14:paraId="704BB062" w14:textId="77777777" w:rsidR="00AD7FE0" w:rsidRDefault="00AD7FE0" w:rsidP="00333387">
      <w:pPr>
        <w:pStyle w:val="Heading3"/>
      </w:pPr>
      <w:r>
        <w:t xml:space="preserve">Dr </w:t>
      </w:r>
      <w:r w:rsidRPr="00323261">
        <w:t>Melanie</w:t>
      </w:r>
      <w:r>
        <w:t xml:space="preserve"> Heenan</w:t>
      </w:r>
    </w:p>
    <w:p w14:paraId="22BA8E93" w14:textId="77777777" w:rsidR="00AD7FE0" w:rsidRPr="00395CAB" w:rsidRDefault="00AD7FE0">
      <w:pPr>
        <w:pStyle w:val="ARbody"/>
        <w:rPr>
          <w:rStyle w:val="Strong"/>
        </w:rPr>
      </w:pPr>
      <w:r w:rsidRPr="00395CAB">
        <w:rPr>
          <w:rStyle w:val="Strong"/>
        </w:rPr>
        <w:t>Deputy Secretary – Family Safety Victoria</w:t>
      </w:r>
    </w:p>
    <w:p w14:paraId="69FC5153" w14:textId="4AA01DAA" w:rsidR="00AD7FE0" w:rsidRPr="00643200" w:rsidRDefault="00AD7FE0">
      <w:pPr>
        <w:pStyle w:val="ARbody"/>
      </w:pPr>
      <w:r w:rsidRPr="00643200">
        <w:t>Melanie is an established leader with extensive experience in family violence and sexual assault research, policy, practice and system reform</w:t>
      </w:r>
      <w:r>
        <w:t>. This</w:t>
      </w:r>
      <w:r w:rsidR="00C159BC">
        <w:t> </w:t>
      </w:r>
      <w:r w:rsidRPr="00643200">
        <w:t>includ</w:t>
      </w:r>
      <w:r>
        <w:t xml:space="preserve">es </w:t>
      </w:r>
      <w:r w:rsidRPr="00643200">
        <w:t>leadership roles with the Australian Institute of Family Studies and the Victorian Law Reform Commission. She commenced as Deputy Secretary in September 2023.</w:t>
      </w:r>
    </w:p>
    <w:p w14:paraId="0FC8D8A3" w14:textId="77777777" w:rsidR="00AD7FE0" w:rsidRDefault="00AD7FE0">
      <w:pPr>
        <w:pStyle w:val="ARbody"/>
      </w:pPr>
      <w:r w:rsidRPr="00643200">
        <w:t>Melanie is deeply committed to and motivated by preventing all forms of family violence and sexual assault and ensuring that victim survivors, including children and young people, receive the services and support they need.</w:t>
      </w:r>
    </w:p>
    <w:p w14:paraId="272BA5E1" w14:textId="6A859CAB" w:rsidR="00AD7FE0" w:rsidRDefault="001B0C07">
      <w:pPr>
        <w:pStyle w:val="ARbody"/>
      </w:pPr>
      <w:r>
        <w:br w:type="column"/>
      </w:r>
      <w:r w:rsidR="00AD7FE0" w:rsidRPr="00643200">
        <w:t xml:space="preserve">Melanie is also currently </w:t>
      </w:r>
      <w:r w:rsidR="00AD7FE0">
        <w:t>a</w:t>
      </w:r>
      <w:r w:rsidR="00AD7FE0" w:rsidRPr="00643200">
        <w:t xml:space="preserve"> Director on the Board of</w:t>
      </w:r>
      <w:r w:rsidR="00C159BC">
        <w:t> </w:t>
      </w:r>
      <w:r w:rsidR="00AD7FE0" w:rsidRPr="00643200">
        <w:t>Australia</w:t>
      </w:r>
      <w:r w:rsidR="00711AE6">
        <w:t>’</w:t>
      </w:r>
      <w:r w:rsidR="00AD7FE0" w:rsidRPr="00643200">
        <w:t>s National Research Organisation for Women</w:t>
      </w:r>
      <w:r w:rsidR="00711AE6">
        <w:t>’</w:t>
      </w:r>
      <w:r w:rsidR="00AD7FE0" w:rsidRPr="00643200">
        <w:t>s Safety (ANROWS)</w:t>
      </w:r>
      <w:r w:rsidR="00AD7FE0">
        <w:t>, as the Victorian jurisdictional representative</w:t>
      </w:r>
      <w:r w:rsidR="00AD7FE0" w:rsidRPr="00643200">
        <w:t xml:space="preserve">. Melanie has previously held executive roles with the Department of Justice and Community Safety and Court Network. </w:t>
      </w:r>
    </w:p>
    <w:p w14:paraId="50877936" w14:textId="77777777" w:rsidR="00AD7FE0" w:rsidRDefault="00AD7FE0">
      <w:pPr>
        <w:pStyle w:val="ARbody"/>
        <w:rPr>
          <w:lang w:val="en-US"/>
        </w:rPr>
      </w:pPr>
      <w:r w:rsidRPr="00643200">
        <w:t>She has also played a lead role in pioneering primary prevention initiatives in collaboration with local councils, sporting clubs, workplaces, and schools to address the underlying causes of gender-based violence.</w:t>
      </w:r>
    </w:p>
    <w:p w14:paraId="7841E99A" w14:textId="77777777" w:rsidR="00AD7FE0" w:rsidRPr="00813770" w:rsidRDefault="00AD7FE0" w:rsidP="00333387">
      <w:pPr>
        <w:pStyle w:val="Heading3"/>
      </w:pPr>
      <w:r w:rsidRPr="00813770">
        <w:t>Simon Newport</w:t>
      </w:r>
    </w:p>
    <w:p w14:paraId="13ABA2BF" w14:textId="77777777" w:rsidR="00AD7FE0" w:rsidRPr="00395CAB" w:rsidRDefault="00AD7FE0">
      <w:pPr>
        <w:pStyle w:val="ARbody"/>
        <w:rPr>
          <w:rStyle w:val="Strong"/>
        </w:rPr>
      </w:pPr>
      <w:r w:rsidRPr="00395CAB">
        <w:rPr>
          <w:rStyle w:val="Strong"/>
        </w:rPr>
        <w:t>Chief Executive Officer, Homes Victoria</w:t>
      </w:r>
    </w:p>
    <w:p w14:paraId="3A8F3F25" w14:textId="77777777" w:rsidR="00AD7FE0" w:rsidRDefault="00AD7FE0" w:rsidP="00AA126F">
      <w:pPr>
        <w:pStyle w:val="ARbody"/>
        <w:rPr>
          <w:lang w:eastAsia="en-AU"/>
        </w:rPr>
      </w:pPr>
      <w:r w:rsidRPr="00204048">
        <w:rPr>
          <w:lang w:eastAsia="en-AU"/>
        </w:rPr>
        <w:t xml:space="preserve">Simon was appointed the Chief Executive Officer (CEO) of Homes Victoria in July 2023. </w:t>
      </w:r>
    </w:p>
    <w:p w14:paraId="24764C67" w14:textId="22D838FE" w:rsidR="00AD7FE0" w:rsidRDefault="00AD7FE0" w:rsidP="0061705D">
      <w:pPr>
        <w:pStyle w:val="ARbody"/>
        <w:rPr>
          <w:szCs w:val="20"/>
          <w:lang w:eastAsia="en-AU"/>
        </w:rPr>
      </w:pPr>
      <w:r>
        <w:rPr>
          <w:szCs w:val="20"/>
          <w:lang w:eastAsia="en-AU"/>
        </w:rPr>
        <w:t xml:space="preserve">In this statutory role, </w:t>
      </w:r>
      <w:r w:rsidRPr="01D491F4">
        <w:rPr>
          <w:szCs w:val="20"/>
          <w:lang w:eastAsia="en-AU"/>
        </w:rPr>
        <w:t>Simon</w:t>
      </w:r>
      <w:r>
        <w:rPr>
          <w:szCs w:val="20"/>
          <w:lang w:eastAsia="en-AU"/>
        </w:rPr>
        <w:t xml:space="preserve"> </w:t>
      </w:r>
      <w:r w:rsidRPr="00006F0A">
        <w:rPr>
          <w:szCs w:val="20"/>
          <w:lang w:eastAsia="en-AU"/>
        </w:rPr>
        <w:t>is the steward of Victoria</w:t>
      </w:r>
      <w:r w:rsidR="00711AE6">
        <w:rPr>
          <w:szCs w:val="20"/>
          <w:lang w:eastAsia="en-AU"/>
        </w:rPr>
        <w:t>’</w:t>
      </w:r>
      <w:r w:rsidRPr="00006F0A">
        <w:rPr>
          <w:szCs w:val="20"/>
          <w:lang w:eastAsia="en-AU"/>
        </w:rPr>
        <w:t>s social housing and homelessness system.</w:t>
      </w:r>
      <w:r>
        <w:rPr>
          <w:szCs w:val="20"/>
          <w:lang w:eastAsia="en-AU"/>
        </w:rPr>
        <w:t xml:space="preserve"> He</w:t>
      </w:r>
      <w:r w:rsidRPr="01D491F4">
        <w:rPr>
          <w:szCs w:val="20"/>
          <w:lang w:eastAsia="en-AU"/>
        </w:rPr>
        <w:t xml:space="preserve"> oversees the delivery of new social and</w:t>
      </w:r>
      <w:r w:rsidR="00C159BC">
        <w:rPr>
          <w:szCs w:val="20"/>
          <w:lang w:eastAsia="en-AU"/>
        </w:rPr>
        <w:t> </w:t>
      </w:r>
      <w:r w:rsidRPr="01D491F4">
        <w:rPr>
          <w:szCs w:val="20"/>
          <w:lang w:eastAsia="en-AU"/>
        </w:rPr>
        <w:t xml:space="preserve">affordable housing, quality asset management, </w:t>
      </w:r>
      <w:r>
        <w:rPr>
          <w:szCs w:val="20"/>
          <w:lang w:eastAsia="en-AU"/>
        </w:rPr>
        <w:t xml:space="preserve">and </w:t>
      </w:r>
      <w:r w:rsidRPr="01D491F4">
        <w:rPr>
          <w:szCs w:val="20"/>
          <w:lang w:eastAsia="en-AU"/>
        </w:rPr>
        <w:t>housing governance</w:t>
      </w:r>
      <w:r>
        <w:rPr>
          <w:szCs w:val="20"/>
          <w:lang w:eastAsia="en-AU"/>
        </w:rPr>
        <w:t>.</w:t>
      </w:r>
    </w:p>
    <w:p w14:paraId="695DDCB7" w14:textId="5C0F3F30" w:rsidR="00AD7FE0" w:rsidRPr="00204048" w:rsidRDefault="00AD7FE0" w:rsidP="0061705D">
      <w:pPr>
        <w:pStyle w:val="ARbody"/>
        <w:rPr>
          <w:lang w:eastAsia="en-AU"/>
        </w:rPr>
      </w:pPr>
      <w:r>
        <w:rPr>
          <w:lang w:eastAsia="en-AU"/>
        </w:rPr>
        <w:t xml:space="preserve">Simon has an </w:t>
      </w:r>
      <w:r w:rsidRPr="00204048">
        <w:rPr>
          <w:lang w:eastAsia="en-AU"/>
        </w:rPr>
        <w:t>extensive</w:t>
      </w:r>
      <w:r>
        <w:rPr>
          <w:lang w:eastAsia="en-AU"/>
        </w:rPr>
        <w:t xml:space="preserve"> executive</w:t>
      </w:r>
      <w:r w:rsidRPr="00204048">
        <w:rPr>
          <w:lang w:eastAsia="en-AU"/>
        </w:rPr>
        <w:t xml:space="preserve"> career in </w:t>
      </w:r>
      <w:r w:rsidR="00DB5EB7">
        <w:rPr>
          <w:lang w:eastAsia="en-AU"/>
        </w:rPr>
        <w:t xml:space="preserve">both the government and private sectors in </w:t>
      </w:r>
      <w:r w:rsidRPr="00204048">
        <w:rPr>
          <w:lang w:eastAsia="en-AU"/>
        </w:rPr>
        <w:t>housing, construction, and manufacturing</w:t>
      </w:r>
      <w:r>
        <w:rPr>
          <w:lang w:eastAsia="en-AU"/>
        </w:rPr>
        <w:t xml:space="preserve">, including previously </w:t>
      </w:r>
      <w:r w:rsidRPr="00204048">
        <w:rPr>
          <w:lang w:eastAsia="en-AU"/>
        </w:rPr>
        <w:t>manag</w:t>
      </w:r>
      <w:r>
        <w:rPr>
          <w:lang w:eastAsia="en-AU"/>
        </w:rPr>
        <w:t>ing</w:t>
      </w:r>
      <w:r w:rsidRPr="00204048">
        <w:rPr>
          <w:lang w:eastAsia="en-AU"/>
        </w:rPr>
        <w:t xml:space="preserve"> Australia</w:t>
      </w:r>
      <w:r w:rsidR="00711AE6">
        <w:rPr>
          <w:lang w:eastAsia="en-AU"/>
        </w:rPr>
        <w:t>’</w:t>
      </w:r>
      <w:r w:rsidRPr="00204048">
        <w:rPr>
          <w:lang w:eastAsia="en-AU"/>
        </w:rPr>
        <w:t>s largest social housing portfolio</w:t>
      </w:r>
      <w:r>
        <w:rPr>
          <w:lang w:eastAsia="en-AU"/>
        </w:rPr>
        <w:t>.</w:t>
      </w:r>
      <w:r w:rsidRPr="00204048">
        <w:rPr>
          <w:lang w:eastAsia="en-AU"/>
        </w:rPr>
        <w:t xml:space="preserve"> </w:t>
      </w:r>
    </w:p>
    <w:p w14:paraId="50E93564" w14:textId="77777777" w:rsidR="00AD7FE0" w:rsidRPr="00813770" w:rsidRDefault="00AD7FE0" w:rsidP="00333387">
      <w:pPr>
        <w:pStyle w:val="Heading3"/>
      </w:pPr>
      <w:r w:rsidRPr="00813770">
        <w:t>Dan</w:t>
      </w:r>
      <w:r>
        <w:t>n</w:t>
      </w:r>
      <w:r w:rsidRPr="00813770">
        <w:t>i</w:t>
      </w:r>
      <w:r>
        <w:t>i</w:t>
      </w:r>
      <w:r w:rsidRPr="00813770">
        <w:t xml:space="preserve"> de Kretser</w:t>
      </w:r>
    </w:p>
    <w:p w14:paraId="1DB22029" w14:textId="77777777" w:rsidR="00AD7FE0" w:rsidRPr="00395CAB" w:rsidRDefault="00AD7FE0">
      <w:pPr>
        <w:pStyle w:val="ARbody"/>
        <w:rPr>
          <w:rStyle w:val="Strong"/>
        </w:rPr>
      </w:pPr>
      <w:r w:rsidRPr="00395CAB">
        <w:rPr>
          <w:rStyle w:val="Strong"/>
        </w:rPr>
        <w:t>Deputy Chief Executive Officer, Homes Victoria</w:t>
      </w:r>
    </w:p>
    <w:p w14:paraId="55888EC6" w14:textId="77777777" w:rsidR="00AD7FE0" w:rsidRDefault="00AD7FE0">
      <w:pPr>
        <w:pStyle w:val="ARbody"/>
        <w:rPr>
          <w:lang w:eastAsia="en-AU"/>
        </w:rPr>
      </w:pPr>
      <w:r w:rsidRPr="002075B3">
        <w:rPr>
          <w:lang w:eastAsia="en-AU"/>
        </w:rPr>
        <w:t>Da</w:t>
      </w:r>
      <w:r>
        <w:rPr>
          <w:lang w:eastAsia="en-AU"/>
        </w:rPr>
        <w:t>n</w:t>
      </w:r>
      <w:r w:rsidRPr="002075B3">
        <w:rPr>
          <w:lang w:eastAsia="en-AU"/>
        </w:rPr>
        <w:t>ni</w:t>
      </w:r>
      <w:r>
        <w:rPr>
          <w:lang w:eastAsia="en-AU"/>
        </w:rPr>
        <w:t>i</w:t>
      </w:r>
      <w:r w:rsidRPr="002075B3">
        <w:rPr>
          <w:lang w:eastAsia="en-AU"/>
        </w:rPr>
        <w:t xml:space="preserve"> </w:t>
      </w:r>
      <w:r>
        <w:rPr>
          <w:lang w:eastAsia="en-AU"/>
        </w:rPr>
        <w:t>was appointed</w:t>
      </w:r>
      <w:r w:rsidRPr="002075B3">
        <w:rPr>
          <w:lang w:eastAsia="en-AU"/>
        </w:rPr>
        <w:t xml:space="preserve"> Deputy Chief Executive Officer of Homes Victoria in July 2023. </w:t>
      </w:r>
    </w:p>
    <w:p w14:paraId="72DA1F83" w14:textId="7987BCE8" w:rsidR="00AD7FE0" w:rsidRPr="002075B3" w:rsidRDefault="00AD7FE0">
      <w:pPr>
        <w:pStyle w:val="ARbody"/>
        <w:rPr>
          <w:lang w:eastAsia="en-AU"/>
        </w:rPr>
      </w:pPr>
      <w:r w:rsidRPr="002075B3">
        <w:rPr>
          <w:lang w:eastAsia="en-AU"/>
        </w:rPr>
        <w:t>Da</w:t>
      </w:r>
      <w:r>
        <w:rPr>
          <w:lang w:eastAsia="en-AU"/>
        </w:rPr>
        <w:t>n</w:t>
      </w:r>
      <w:r w:rsidRPr="002075B3">
        <w:rPr>
          <w:lang w:eastAsia="en-AU"/>
        </w:rPr>
        <w:t>ni</w:t>
      </w:r>
      <w:r>
        <w:rPr>
          <w:lang w:eastAsia="en-AU"/>
        </w:rPr>
        <w:t>i</w:t>
      </w:r>
      <w:r w:rsidRPr="002075B3">
        <w:rPr>
          <w:lang w:eastAsia="en-AU"/>
        </w:rPr>
        <w:t xml:space="preserve"> support</w:t>
      </w:r>
      <w:r>
        <w:rPr>
          <w:lang w:eastAsia="en-AU"/>
        </w:rPr>
        <w:t>s</w:t>
      </w:r>
      <w:r w:rsidRPr="002075B3">
        <w:rPr>
          <w:lang w:eastAsia="en-AU"/>
        </w:rPr>
        <w:t xml:space="preserve"> the CEO to deliver Homes Victoria</w:t>
      </w:r>
      <w:r w:rsidR="00711AE6">
        <w:rPr>
          <w:lang w:eastAsia="en-AU"/>
        </w:rPr>
        <w:t>’</w:t>
      </w:r>
      <w:r w:rsidRPr="002075B3">
        <w:rPr>
          <w:lang w:eastAsia="en-AU"/>
        </w:rPr>
        <w:t xml:space="preserve">s key priorities, </w:t>
      </w:r>
      <w:r w:rsidRPr="4F87D307">
        <w:rPr>
          <w:lang w:eastAsia="en-AU"/>
        </w:rPr>
        <w:t xml:space="preserve">and supports policy and program settings for </w:t>
      </w:r>
      <w:r w:rsidRPr="002075B3">
        <w:rPr>
          <w:lang w:eastAsia="en-AU"/>
        </w:rPr>
        <w:t>public housing</w:t>
      </w:r>
      <w:r w:rsidRPr="4F87D307">
        <w:rPr>
          <w:lang w:eastAsia="en-AU"/>
        </w:rPr>
        <w:t>, the growth and stewardship of community housing, and the policy and program settings for</w:t>
      </w:r>
      <w:r w:rsidRPr="002075B3">
        <w:rPr>
          <w:lang w:eastAsia="en-AU"/>
        </w:rPr>
        <w:t xml:space="preserve"> homelessness and housing support</w:t>
      </w:r>
      <w:r w:rsidRPr="4F87D307">
        <w:rPr>
          <w:lang w:eastAsia="en-AU"/>
        </w:rPr>
        <w:t xml:space="preserve"> services. In 2023</w:t>
      </w:r>
      <w:r w:rsidR="00FD4256">
        <w:rPr>
          <w:lang w:eastAsia="en-AU"/>
        </w:rPr>
        <w:t>–</w:t>
      </w:r>
      <w:r w:rsidRPr="4F87D307">
        <w:rPr>
          <w:lang w:eastAsia="en-AU"/>
        </w:rPr>
        <w:t xml:space="preserve">24 Dannii also held responsibility </w:t>
      </w:r>
      <w:r>
        <w:rPr>
          <w:lang w:eastAsia="en-AU"/>
        </w:rPr>
        <w:t xml:space="preserve">for </w:t>
      </w:r>
      <w:r w:rsidRPr="4F87D307">
        <w:rPr>
          <w:lang w:eastAsia="en-AU"/>
        </w:rPr>
        <w:t>Disability Homes</w:t>
      </w:r>
      <w:r w:rsidRPr="002075B3">
        <w:rPr>
          <w:lang w:eastAsia="en-AU"/>
        </w:rPr>
        <w:t xml:space="preserve"> Victoria.</w:t>
      </w:r>
    </w:p>
    <w:p w14:paraId="34F7DFC6" w14:textId="6D32D87C" w:rsidR="00CB6A28" w:rsidRDefault="00AD7FE0">
      <w:pPr>
        <w:pStyle w:val="ARbody"/>
        <w:rPr>
          <w:lang w:eastAsia="en-AU"/>
        </w:rPr>
      </w:pPr>
      <w:r w:rsidRPr="002075B3">
        <w:rPr>
          <w:lang w:eastAsia="en-AU"/>
        </w:rPr>
        <w:t>Dan</w:t>
      </w:r>
      <w:r>
        <w:rPr>
          <w:lang w:eastAsia="en-AU"/>
        </w:rPr>
        <w:t>nii</w:t>
      </w:r>
      <w:r w:rsidRPr="002075B3">
        <w:rPr>
          <w:lang w:eastAsia="en-AU"/>
        </w:rPr>
        <w:t xml:space="preserve"> </w:t>
      </w:r>
      <w:r>
        <w:rPr>
          <w:lang w:eastAsia="en-AU"/>
        </w:rPr>
        <w:t>is an experienced executive in</w:t>
      </w:r>
      <w:r w:rsidRPr="002075B3">
        <w:rPr>
          <w:lang w:eastAsia="en-AU"/>
        </w:rPr>
        <w:t xml:space="preserve"> complex social policy contexts across housing, community services</w:t>
      </w:r>
      <w:r>
        <w:rPr>
          <w:lang w:eastAsia="en-AU"/>
        </w:rPr>
        <w:t>, justice</w:t>
      </w:r>
      <w:r w:rsidRPr="002075B3">
        <w:rPr>
          <w:lang w:eastAsia="en-AU"/>
        </w:rPr>
        <w:t xml:space="preserve"> and education.</w:t>
      </w:r>
      <w:r w:rsidR="00CB6A28">
        <w:rPr>
          <w:lang w:eastAsia="en-AU"/>
        </w:rPr>
        <w:br w:type="page"/>
      </w:r>
    </w:p>
    <w:p w14:paraId="24507A16" w14:textId="1800460F" w:rsidR="00AD7FE0" w:rsidRPr="00392C6C" w:rsidRDefault="00AD7FE0" w:rsidP="00333387">
      <w:pPr>
        <w:pStyle w:val="Heading3"/>
      </w:pPr>
      <w:r w:rsidRPr="00392C6C">
        <w:t>Drew Warne-Smith</w:t>
      </w:r>
    </w:p>
    <w:p w14:paraId="3E685896" w14:textId="77777777" w:rsidR="00AD7FE0" w:rsidRPr="00395CAB" w:rsidRDefault="00AD7FE0">
      <w:pPr>
        <w:pStyle w:val="ARbody"/>
        <w:rPr>
          <w:rStyle w:val="Strong"/>
        </w:rPr>
      </w:pPr>
      <w:r w:rsidRPr="00395CAB">
        <w:rPr>
          <w:rStyle w:val="Strong"/>
        </w:rPr>
        <w:t>Deputy Secretary – System Reform, Workforce and Engagement</w:t>
      </w:r>
    </w:p>
    <w:p w14:paraId="441B4DFB" w14:textId="77777777" w:rsidR="00AD7FE0" w:rsidRPr="00261B89" w:rsidRDefault="00AD7FE0" w:rsidP="00E51CC9">
      <w:pPr>
        <w:pStyle w:val="ARbody"/>
        <w:rPr>
          <w:lang w:eastAsia="en-AU"/>
        </w:rPr>
      </w:pPr>
      <w:r w:rsidRPr="007C7E8D">
        <w:rPr>
          <w:lang w:eastAsia="en-AU"/>
        </w:rPr>
        <w:t>Drew</w:t>
      </w:r>
      <w:r>
        <w:rPr>
          <w:lang w:eastAsia="en-AU"/>
        </w:rPr>
        <w:t xml:space="preserve"> was Acting Deputy </w:t>
      </w:r>
      <w:r w:rsidRPr="00261B89">
        <w:rPr>
          <w:lang w:eastAsia="en-AU"/>
        </w:rPr>
        <w:t>Secretary of the System Reform, Workforce and Engagement Division since December 2023</w:t>
      </w:r>
      <w:r>
        <w:rPr>
          <w:lang w:eastAsia="en-AU"/>
        </w:rPr>
        <w:t>, and was appointed to the role in June 2024.</w:t>
      </w:r>
    </w:p>
    <w:p w14:paraId="668B67B4" w14:textId="77777777" w:rsidR="00AD7FE0" w:rsidRPr="00261B89" w:rsidRDefault="00AD7FE0" w:rsidP="00E51CC9">
      <w:pPr>
        <w:pStyle w:val="ARbody"/>
        <w:rPr>
          <w:lang w:eastAsia="en-AU"/>
        </w:rPr>
      </w:pPr>
      <w:r w:rsidRPr="00261B89">
        <w:rPr>
          <w:color w:val="000000"/>
          <w:szCs w:val="20"/>
          <w:shd w:val="clear" w:color="auto" w:fill="FFFFFF"/>
        </w:rPr>
        <w:t>The division brings together strategic cross-cutting functions to drive whole of system improvements.</w:t>
      </w:r>
    </w:p>
    <w:p w14:paraId="0D165636" w14:textId="77777777" w:rsidR="00AD7FE0" w:rsidRPr="00261B89" w:rsidRDefault="00AD7FE0" w:rsidP="00E51CC9">
      <w:pPr>
        <w:pStyle w:val="ARbody"/>
        <w:rPr>
          <w:lang w:eastAsia="en-AU"/>
        </w:rPr>
      </w:pPr>
      <w:r w:rsidRPr="00261B89">
        <w:rPr>
          <w:lang w:eastAsia="en-AU"/>
        </w:rPr>
        <w:t>Drew has extensive expertise in government and public policy, strategic communications, public relations and journalism.</w:t>
      </w:r>
    </w:p>
    <w:p w14:paraId="2CF605B9" w14:textId="77777777" w:rsidR="00AD7FE0" w:rsidRDefault="00AD7FE0" w:rsidP="00E51CC9">
      <w:pPr>
        <w:pStyle w:val="ARbody"/>
        <w:rPr>
          <w:lang w:eastAsia="en-AU"/>
        </w:rPr>
      </w:pPr>
      <w:r w:rsidRPr="00261B89">
        <w:rPr>
          <w:lang w:eastAsia="en-AU"/>
        </w:rPr>
        <w:t>Prior to December 2023, Camille</w:t>
      </w:r>
      <w:r>
        <w:rPr>
          <w:lang w:eastAsia="en-AU"/>
        </w:rPr>
        <w:t xml:space="preserve"> Kingston was Deputy Secretary of the Division.</w:t>
      </w:r>
    </w:p>
    <w:p w14:paraId="75465535" w14:textId="671E9BC9" w:rsidR="00AD7FE0" w:rsidRPr="004F542E" w:rsidRDefault="00DF478E" w:rsidP="0088621E">
      <w:pPr>
        <w:pStyle w:val="Heading2"/>
        <w:spacing w:before="600"/>
      </w:pPr>
      <w:r>
        <w:br w:type="column"/>
      </w:r>
      <w:bookmarkStart w:id="49" w:name="_Toc181101487"/>
      <w:r w:rsidR="00AD7FE0" w:rsidRPr="004F542E">
        <w:t xml:space="preserve">Leadership </w:t>
      </w:r>
      <w:r w:rsidR="00AD7FE0" w:rsidRPr="006439F4">
        <w:t>charter</w:t>
      </w:r>
      <w:bookmarkEnd w:id="49"/>
    </w:p>
    <w:p w14:paraId="263FCBA4" w14:textId="6766F642" w:rsidR="00AD7FE0" w:rsidRPr="004F542E" w:rsidRDefault="00AD7FE0">
      <w:pPr>
        <w:pStyle w:val="ARbody"/>
      </w:pPr>
      <w:r w:rsidRPr="004F542E">
        <w:t>Our department</w:t>
      </w:r>
      <w:r w:rsidR="00711AE6">
        <w:t>’</w:t>
      </w:r>
      <w:r w:rsidRPr="004F542E">
        <w:t>s leadership charter is an important part of shaping our culture.</w:t>
      </w:r>
    </w:p>
    <w:p w14:paraId="78740FF1" w14:textId="7402240E" w:rsidR="00AD7FE0" w:rsidRPr="004F542E" w:rsidRDefault="00AD7FE0" w:rsidP="000E3C44">
      <w:pPr>
        <w:pStyle w:val="ARbody"/>
      </w:pPr>
      <w:r w:rsidRPr="004F542E">
        <w:t>It outlines the leadership behaviours our staff and</w:t>
      </w:r>
      <w:r w:rsidR="00CE4F4B">
        <w:t> </w:t>
      </w:r>
      <w:r w:rsidRPr="004F542E">
        <w:t>stakeholders can expect of the executive leadership group and positions the department as a great place to work. It represents how the department</w:t>
      </w:r>
      <w:r w:rsidR="00711AE6">
        <w:t>’</w:t>
      </w:r>
      <w:r w:rsidRPr="004F542E">
        <w:t>s executive leadership group wish to be known and to relate to each other and to our</w:t>
      </w:r>
      <w:r>
        <w:t> </w:t>
      </w:r>
      <w:r w:rsidRPr="004F542E">
        <w:t xml:space="preserve">stakeholders. </w:t>
      </w:r>
    </w:p>
    <w:p w14:paraId="179487B1" w14:textId="112E2460" w:rsidR="00AD7FE0" w:rsidRPr="004F542E" w:rsidRDefault="00AD7FE0">
      <w:pPr>
        <w:pStyle w:val="ARbody"/>
      </w:pPr>
      <w:r w:rsidRPr="004F542E">
        <w:t>The charter commits the executive leadership group to lead by example and ensure their behaviours and the way they approach their work embody the department</w:t>
      </w:r>
      <w:r w:rsidR="00711AE6">
        <w:t>’</w:t>
      </w:r>
      <w:r w:rsidRPr="004F542E">
        <w:t>s values. For example, executives are committed to being accountable for their actions and outcomes, sharing information with staff when it should be shared, and seeking out and valuing other perspectives.</w:t>
      </w:r>
    </w:p>
    <w:p w14:paraId="38263D96" w14:textId="77777777" w:rsidR="00AD7FE0" w:rsidRDefault="00AD7FE0">
      <w:pPr>
        <w:pStyle w:val="ARbody"/>
      </w:pPr>
      <w:r w:rsidRPr="004F542E">
        <w:t xml:space="preserve">Read our </w:t>
      </w:r>
      <w:hyperlink r:id="rId54" w:history="1">
        <w:r w:rsidRPr="004F542E">
          <w:rPr>
            <w:rStyle w:val="Hyperlink"/>
            <w:szCs w:val="20"/>
          </w:rPr>
          <w:t>leadership charter</w:t>
        </w:r>
      </w:hyperlink>
      <w:r w:rsidRPr="004F542E">
        <w:t xml:space="preserve"> &lt;www.dffh.vic.gov.au/our-leadership-charter&gt;.</w:t>
      </w:r>
    </w:p>
    <w:p w14:paraId="2E156462" w14:textId="77777777" w:rsidR="00AD7FE0" w:rsidRDefault="00AD7FE0">
      <w:pPr>
        <w:pStyle w:val="ARbody"/>
        <w:sectPr w:rsidR="00AD7FE0" w:rsidSect="005936D2">
          <w:footnotePr>
            <w:numFmt w:val="lowerRoman"/>
            <w:numRestart w:val="eachPage"/>
          </w:footnotePr>
          <w:endnotePr>
            <w:numFmt w:val="decimal"/>
          </w:endnotePr>
          <w:type w:val="continuous"/>
          <w:pgSz w:w="11906" w:h="16838" w:code="9"/>
          <w:pgMar w:top="1701" w:right="1134" w:bottom="851" w:left="1134" w:header="510" w:footer="340" w:gutter="0"/>
          <w:cols w:num="2" w:space="454"/>
          <w:docGrid w:linePitch="360"/>
        </w:sectPr>
      </w:pPr>
    </w:p>
    <w:p w14:paraId="05B8C29F" w14:textId="77777777" w:rsidR="00AD7FE0" w:rsidRDefault="00AD7FE0">
      <w:pPr>
        <w:pStyle w:val="ARbody"/>
      </w:pPr>
    </w:p>
    <w:p w14:paraId="1C0EF806" w14:textId="77777777" w:rsidR="00AD7FE0" w:rsidRPr="00B3051F" w:rsidRDefault="00AD7FE0" w:rsidP="00B3051F">
      <w:pPr>
        <w:pStyle w:val="ARbody"/>
        <w:sectPr w:rsidR="00AD7FE0" w:rsidRPr="00B3051F" w:rsidSect="005936D2">
          <w:headerReference w:type="default" r:id="rId55"/>
          <w:type w:val="continuous"/>
          <w:pgSz w:w="11906" w:h="16838"/>
          <w:pgMar w:top="1701" w:right="1134" w:bottom="851" w:left="1134" w:header="708" w:footer="708" w:gutter="0"/>
          <w:cols w:space="708"/>
          <w:docGrid w:linePitch="360"/>
        </w:sectPr>
      </w:pPr>
    </w:p>
    <w:p w14:paraId="054DC2BE" w14:textId="77777777" w:rsidR="00AD7FE0" w:rsidRDefault="00AD7FE0">
      <w:pPr>
        <w:pStyle w:val="Heading2"/>
      </w:pPr>
      <w:bookmarkStart w:id="50" w:name="_Toc114491187"/>
      <w:bookmarkStart w:id="51" w:name="_Ref178173537"/>
      <w:bookmarkStart w:id="52" w:name="_Toc181101488"/>
      <w:r>
        <w:t>Organisational structure as at 30 June 202</w:t>
      </w:r>
      <w:bookmarkEnd w:id="50"/>
      <w:r>
        <w:t>4</w:t>
      </w:r>
      <w:bookmarkEnd w:id="51"/>
      <w:bookmarkEnd w:id="52"/>
    </w:p>
    <w:p w14:paraId="44B3573B" w14:textId="63A49A30" w:rsidR="00B05B5B" w:rsidRPr="00B05B5B" w:rsidRDefault="006962B7" w:rsidP="00B05B5B">
      <w:pPr>
        <w:pStyle w:val="ARbody"/>
      </w:pPr>
      <w:r>
        <w:rPr>
          <w:noProof/>
        </w:rPr>
        <w:drawing>
          <wp:inline distT="0" distB="0" distL="0" distR="0" wp14:anchorId="3CBC163A" wp14:editId="1BC510DF">
            <wp:extent cx="8890890" cy="5690336"/>
            <wp:effectExtent l="0" t="0" r="5715" b="5715"/>
            <wp:docPr id="661615485" name="Picture 3" descr="Organisation structure, image 1 of 2. To receive the organisation structure as at 30 June 2024 in accessible format, please email corporate reporting &lt;DFFHcorporate.reporting@dffh.vic.gov.au&gt;. &#10;To see the  department’s current structure, visit the DFFH About webpage &lt;https://www.dffh.vic.gov.au/abou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15485" name="Picture 3" descr="Organisation structure, image 1 of 2. To receive the organisation structure as at 30 June 2024 in accessible format, please email corporate reporting &lt;DFFHcorporate.reporting@dffh.vic.gov.au&gt;. &#10;To see the  department’s current structure, visit the DFFH About webpage &lt;https://www.dffh.vic.gov.au/about&gt;."/>
                    <pic:cNvPicPr/>
                  </pic:nvPicPr>
                  <pic:blipFill>
                    <a:blip r:embed="rId56">
                      <a:extLst>
                        <a:ext uri="{28A0092B-C50C-407E-A947-70E740481C1C}">
                          <a14:useLocalDpi xmlns:a14="http://schemas.microsoft.com/office/drawing/2010/main" val="0"/>
                        </a:ext>
                      </a:extLst>
                    </a:blip>
                    <a:stretch>
                      <a:fillRect/>
                    </a:stretch>
                  </pic:blipFill>
                  <pic:spPr>
                    <a:xfrm>
                      <a:off x="0" y="0"/>
                      <a:ext cx="8890890" cy="5690336"/>
                    </a:xfrm>
                    <a:prstGeom prst="rect">
                      <a:avLst/>
                    </a:prstGeom>
                  </pic:spPr>
                </pic:pic>
              </a:graphicData>
            </a:graphic>
          </wp:inline>
        </w:drawing>
      </w:r>
    </w:p>
    <w:p w14:paraId="670C60D9" w14:textId="22C882E5" w:rsidR="00AD7FE0" w:rsidRDefault="00BD65F7">
      <w:pPr>
        <w:pStyle w:val="ARbody"/>
        <w:rPr>
          <w:noProof/>
        </w:rPr>
      </w:pPr>
      <w:bookmarkStart w:id="53" w:name="orgchart2"/>
      <w:r>
        <w:rPr>
          <w:noProof/>
        </w:rPr>
        <w:drawing>
          <wp:inline distT="0" distB="0" distL="0" distR="0" wp14:anchorId="01523DD9" wp14:editId="4FD43A15">
            <wp:extent cx="8890890" cy="5690336"/>
            <wp:effectExtent l="0" t="0" r="5715" b="0"/>
            <wp:docPr id="1265771258" name="Picture 4" descr="Organisation structure, image 2 of 2. To receive the organisation structure as at 30 June 2024 in accessible format, please email corporate reporting &lt;DFFHcorporate.reporting@dffh.vic.gov.au&gt;. &#10;To see the  department’s current structure, visit the DFFH About webpage &lt;https://www.dffh.vic.gov.au/abou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71258" name="Picture 4" descr="Organisation structure, image 2 of 2. To receive the organisation structure as at 30 June 2024 in accessible format, please email corporate reporting &lt;DFFHcorporate.reporting@dffh.vic.gov.au&gt;. &#10;To see the  department’s current structure, visit the DFFH About webpage &lt;https://www.dffh.vic.gov.au/about&gt;"/>
                    <pic:cNvPicPr/>
                  </pic:nvPicPr>
                  <pic:blipFill>
                    <a:blip r:embed="rId57">
                      <a:extLst>
                        <a:ext uri="{28A0092B-C50C-407E-A947-70E740481C1C}">
                          <a14:useLocalDpi xmlns:a14="http://schemas.microsoft.com/office/drawing/2010/main" val="0"/>
                        </a:ext>
                      </a:extLst>
                    </a:blip>
                    <a:stretch>
                      <a:fillRect/>
                    </a:stretch>
                  </pic:blipFill>
                  <pic:spPr>
                    <a:xfrm>
                      <a:off x="0" y="0"/>
                      <a:ext cx="8890890" cy="5690336"/>
                    </a:xfrm>
                    <a:prstGeom prst="rect">
                      <a:avLst/>
                    </a:prstGeom>
                  </pic:spPr>
                </pic:pic>
              </a:graphicData>
            </a:graphic>
          </wp:inline>
        </w:drawing>
      </w:r>
      <w:bookmarkEnd w:id="53"/>
    </w:p>
    <w:p w14:paraId="60EC621C" w14:textId="71951A44" w:rsidR="00AD7FE0" w:rsidRDefault="00AD7FE0">
      <w:pPr>
        <w:pStyle w:val="ARbody"/>
        <w:rPr>
          <w:noProof/>
        </w:rPr>
      </w:pPr>
    </w:p>
    <w:p w14:paraId="677CC0FC" w14:textId="77777777" w:rsidR="00AD7FE0" w:rsidRDefault="00AD7FE0">
      <w:pPr>
        <w:pStyle w:val="ARbody"/>
        <w:rPr>
          <w:noProof/>
        </w:rPr>
        <w:sectPr w:rsidR="00AD7FE0" w:rsidSect="006B4F00">
          <w:footnotePr>
            <w:numFmt w:val="lowerRoman"/>
            <w:numRestart w:val="eachPage"/>
          </w:footnotePr>
          <w:endnotePr>
            <w:numFmt w:val="decimal"/>
          </w:endnotePr>
          <w:pgSz w:w="16838" w:h="11906" w:orient="landscape" w:code="9"/>
          <w:pgMar w:top="1134" w:right="1134" w:bottom="851" w:left="1134" w:header="510" w:footer="340" w:gutter="0"/>
          <w:cols w:space="454"/>
          <w:docGrid w:linePitch="360"/>
        </w:sectPr>
      </w:pPr>
    </w:p>
    <w:p w14:paraId="38046435" w14:textId="77777777" w:rsidR="00AD7FE0" w:rsidRDefault="00AD7FE0" w:rsidP="0088621E">
      <w:pPr>
        <w:pStyle w:val="Heading2"/>
        <w:sectPr w:rsidR="00AD7FE0" w:rsidSect="005936D2">
          <w:headerReference w:type="even" r:id="rId58"/>
          <w:footerReference w:type="even" r:id="rId59"/>
          <w:headerReference w:type="first" r:id="rId60"/>
          <w:footerReference w:type="first" r:id="rId61"/>
          <w:footnotePr>
            <w:numFmt w:val="lowerRoman"/>
            <w:numRestart w:val="eachPage"/>
          </w:footnotePr>
          <w:endnotePr>
            <w:numFmt w:val="decimal"/>
          </w:endnotePr>
          <w:pgSz w:w="11900" w:h="16840" w:code="9"/>
          <w:pgMar w:top="1701" w:right="1134" w:bottom="851" w:left="1134" w:header="510" w:footer="340" w:gutter="0"/>
          <w:cols w:num="2" w:space="720"/>
        </w:sectPr>
      </w:pPr>
      <w:bookmarkStart w:id="54" w:name="_Toc181101489"/>
      <w:r w:rsidRPr="002029AF">
        <w:t xml:space="preserve">Committee </w:t>
      </w:r>
      <w:r>
        <w:t>s</w:t>
      </w:r>
      <w:r w:rsidRPr="002029AF">
        <w:t>tructure</w:t>
      </w:r>
      <w:bookmarkEnd w:id="54"/>
    </w:p>
    <w:p w14:paraId="1B8504DF" w14:textId="77777777" w:rsidR="00AD7FE0" w:rsidRPr="00557B5C" w:rsidRDefault="00AD7FE0" w:rsidP="00333387">
      <w:pPr>
        <w:pStyle w:val="Heading3"/>
      </w:pPr>
      <w:r w:rsidRPr="00557B5C">
        <w:t xml:space="preserve">Executive </w:t>
      </w:r>
      <w:r w:rsidRPr="00323261">
        <w:t>Directions</w:t>
      </w:r>
      <w:r w:rsidRPr="00557B5C">
        <w:t xml:space="preserve"> Board</w:t>
      </w:r>
    </w:p>
    <w:p w14:paraId="59189AA7" w14:textId="640084FC" w:rsidR="00AD7FE0" w:rsidRPr="00557B5C" w:rsidRDefault="00AD7FE0">
      <w:pPr>
        <w:pStyle w:val="ARbody"/>
      </w:pPr>
      <w:r w:rsidRPr="00557B5C">
        <w:t>The Executive Directions Board supports the Secretary in providing whole-of-department oversight and direction on the department</w:t>
      </w:r>
      <w:r w:rsidR="00711AE6">
        <w:t>’</w:t>
      </w:r>
      <w:r w:rsidRPr="00557B5C">
        <w:t>s strategy</w:t>
      </w:r>
      <w:r>
        <w:t>. This includes</w:t>
      </w:r>
      <w:r w:rsidRPr="00557B5C" w:rsidDel="001A173A">
        <w:t xml:space="preserve"> </w:t>
      </w:r>
      <w:r w:rsidRPr="00557B5C">
        <w:t>forward planning and priority-setting for policy, program and service delivery, culture and workforce management, budget strategy and prioritisation, integration of Aboriginal agency, control and self-governance, and stewardship of the department</w:t>
      </w:r>
      <w:r w:rsidR="00711AE6">
        <w:t>’</w:t>
      </w:r>
      <w:r w:rsidRPr="00557B5C">
        <w:t>s brand and</w:t>
      </w:r>
      <w:r>
        <w:t> </w:t>
      </w:r>
      <w:r w:rsidRPr="00557B5C">
        <w:t>integrity.</w:t>
      </w:r>
    </w:p>
    <w:p w14:paraId="1FF1E8FD" w14:textId="61D45376" w:rsidR="00AD7FE0" w:rsidRPr="00557B5C" w:rsidRDefault="00AD7FE0">
      <w:pPr>
        <w:pStyle w:val="ARbody"/>
      </w:pPr>
      <w:r w:rsidRPr="00557B5C">
        <w:t>The Executive Board comprises the Secretary, Deputy Secretaries, Chief Executive Officer and Deputy Chief Executive Officer Homes Victoria and</w:t>
      </w:r>
      <w:r w:rsidR="001B0C07">
        <w:t> </w:t>
      </w:r>
      <w:r w:rsidRPr="00557B5C">
        <w:t>the Chief Practitioner.</w:t>
      </w:r>
    </w:p>
    <w:p w14:paraId="1E83F01A" w14:textId="77777777" w:rsidR="00AD7FE0" w:rsidRDefault="00AD7FE0" w:rsidP="00333387">
      <w:pPr>
        <w:pStyle w:val="Heading3"/>
      </w:pPr>
      <w:r w:rsidRPr="005E7CB4">
        <w:t xml:space="preserve">Board of </w:t>
      </w:r>
      <w:r w:rsidRPr="00323261">
        <w:t>Management</w:t>
      </w:r>
    </w:p>
    <w:p w14:paraId="469EE625" w14:textId="02FAA5EC" w:rsidR="00AD7FE0" w:rsidRDefault="00AD7FE0">
      <w:pPr>
        <w:pStyle w:val="ARbody"/>
        <w:rPr>
          <w:lang w:eastAsia="en-AU"/>
        </w:rPr>
      </w:pPr>
      <w:r w:rsidRPr="000657D1">
        <w:rPr>
          <w:lang w:eastAsia="en-AU"/>
        </w:rPr>
        <w:t>The Board of Management supports the Secretary in providing whole-of-department oversight and direction on the department</w:t>
      </w:r>
      <w:r w:rsidR="00711AE6">
        <w:rPr>
          <w:lang w:eastAsia="en-AU"/>
        </w:rPr>
        <w:t>’</w:t>
      </w:r>
      <w:r w:rsidRPr="000657D1">
        <w:rPr>
          <w:lang w:eastAsia="en-AU"/>
        </w:rPr>
        <w:t>s governance, people and culture, budget and financial management, performance monitoring, critical risk management and compliance, including relating to financial, legislative and regulatory obligations.</w:t>
      </w:r>
    </w:p>
    <w:p w14:paraId="58EFE4F8" w14:textId="64BBF133" w:rsidR="00AD7FE0" w:rsidRDefault="00AD7FE0">
      <w:pPr>
        <w:pStyle w:val="ARbody"/>
      </w:pPr>
      <w:r w:rsidRPr="00557B5C">
        <w:t xml:space="preserve">The Board </w:t>
      </w:r>
      <w:r>
        <w:t xml:space="preserve">of Management </w:t>
      </w:r>
      <w:r w:rsidRPr="00557B5C">
        <w:t>comprises the Secretary, Deputy Secretaries</w:t>
      </w:r>
      <w:r>
        <w:t xml:space="preserve"> and</w:t>
      </w:r>
      <w:r w:rsidRPr="00557B5C">
        <w:t xml:space="preserve"> Chief Executive Officer Homes Victoria</w:t>
      </w:r>
      <w:r>
        <w:t>.</w:t>
      </w:r>
      <w:r w:rsidRPr="0012430E">
        <w:t xml:space="preserve"> </w:t>
      </w:r>
      <w:r w:rsidRPr="00557B5C">
        <w:t>The Board is supported by a</w:t>
      </w:r>
      <w:r>
        <w:t xml:space="preserve"> </w:t>
      </w:r>
      <w:r w:rsidRPr="00557B5C">
        <w:t>range of committees to drive the organisation</w:t>
      </w:r>
      <w:r w:rsidR="00711AE6">
        <w:t>’</w:t>
      </w:r>
      <w:r>
        <w:t>s</w:t>
      </w:r>
      <w:r w:rsidRPr="00557B5C">
        <w:t xml:space="preserve"> governance and strategic direction</w:t>
      </w:r>
      <w:r>
        <w:t>.</w:t>
      </w:r>
    </w:p>
    <w:p w14:paraId="062FDB88" w14:textId="77777777" w:rsidR="00AD7FE0" w:rsidRPr="008644CB" w:rsidRDefault="00AD7FE0" w:rsidP="00333387">
      <w:pPr>
        <w:pStyle w:val="Heading3"/>
      </w:pPr>
      <w:r w:rsidRPr="00323261">
        <w:t>Subcommittees</w:t>
      </w:r>
    </w:p>
    <w:p w14:paraId="7505B749" w14:textId="77777777" w:rsidR="00AD7FE0" w:rsidRPr="00AA4AE7" w:rsidRDefault="00AD7FE0" w:rsidP="009117B6">
      <w:pPr>
        <w:pStyle w:val="Heading4"/>
      </w:pPr>
      <w:r w:rsidRPr="00AA4AE7">
        <w:t>Aboriginal Truth and Treaty</w:t>
      </w:r>
    </w:p>
    <w:p w14:paraId="77556546" w14:textId="192120A7" w:rsidR="00AD7FE0" w:rsidRPr="00F15A98" w:rsidRDefault="00AD7FE0">
      <w:pPr>
        <w:pStyle w:val="ARbody"/>
      </w:pPr>
      <w:r>
        <w:t>This committee provides</w:t>
      </w:r>
      <w:r w:rsidRPr="26960D81">
        <w:rPr>
          <w:rFonts w:eastAsia="Arial"/>
          <w:color w:val="000000" w:themeColor="text1"/>
          <w:szCs w:val="20"/>
        </w:rPr>
        <w:t xml:space="preserve"> oversight, strategic direction, and advice on the department</w:t>
      </w:r>
      <w:r w:rsidR="00711AE6">
        <w:rPr>
          <w:rFonts w:eastAsia="Arial"/>
          <w:color w:val="000000" w:themeColor="text1"/>
          <w:szCs w:val="20"/>
        </w:rPr>
        <w:t>’</w:t>
      </w:r>
      <w:r w:rsidRPr="26960D81">
        <w:rPr>
          <w:rFonts w:eastAsia="Arial"/>
          <w:color w:val="000000" w:themeColor="text1"/>
          <w:szCs w:val="20"/>
        </w:rPr>
        <w:t>s responses to the Yoorrook Justice Commission and work to support the Treaty process</w:t>
      </w:r>
      <w:r>
        <w:t>.</w:t>
      </w:r>
    </w:p>
    <w:p w14:paraId="221B3514" w14:textId="77777777" w:rsidR="00AD7FE0" w:rsidRPr="00AA4AE7" w:rsidRDefault="00AD7FE0" w:rsidP="009117B6">
      <w:pPr>
        <w:pStyle w:val="Heading4"/>
      </w:pPr>
      <w:r w:rsidRPr="00AA4AE7">
        <w:t>Budget and Financial Management</w:t>
      </w:r>
    </w:p>
    <w:p w14:paraId="08D0037B" w14:textId="26EE5919" w:rsidR="00AD7FE0" w:rsidRPr="00B36DBC" w:rsidRDefault="00AD7FE0">
      <w:pPr>
        <w:pStyle w:val="ARbody"/>
      </w:pPr>
      <w:r w:rsidRPr="00B36DBC">
        <w:t>This committee provides oversight, direction and advice on the department</w:t>
      </w:r>
      <w:r w:rsidR="00711AE6">
        <w:t>’</w:t>
      </w:r>
      <w:r w:rsidRPr="00B36DBC">
        <w:t>s budget and financial management and reporting, strategic allocation of financial resources, and strategies to improve financial sustainability, to ensure the department complies with financial accountability</w:t>
      </w:r>
      <w:r>
        <w:t> </w:t>
      </w:r>
      <w:r w:rsidRPr="00B36DBC">
        <w:t>requirements.</w:t>
      </w:r>
    </w:p>
    <w:p w14:paraId="2F22368A" w14:textId="77777777" w:rsidR="00AD7FE0" w:rsidRPr="00C41A57" w:rsidRDefault="00AD7FE0">
      <w:pPr>
        <w:pStyle w:val="Heading4"/>
      </w:pPr>
      <w:r w:rsidRPr="00AA4AE7">
        <w:t>Information and Communications Technology (ICT</w:t>
      </w:r>
      <w:r w:rsidRPr="00C41A57">
        <w:t>)</w:t>
      </w:r>
    </w:p>
    <w:p w14:paraId="4E931018" w14:textId="20DCD0ED" w:rsidR="00AD7FE0" w:rsidRPr="00C41A57" w:rsidRDefault="00AD7FE0">
      <w:pPr>
        <w:pStyle w:val="ARbody"/>
        <w:keepNext/>
      </w:pPr>
      <w:r w:rsidRPr="00C41A57">
        <w:t>Provides oversight, direction and advice on the department</w:t>
      </w:r>
      <w:r w:rsidR="00711AE6">
        <w:t>’</w:t>
      </w:r>
      <w:r w:rsidRPr="00C41A57">
        <w:t>s technology strategy, investment, performance and risks. </w:t>
      </w:r>
    </w:p>
    <w:p w14:paraId="7ADD38E4" w14:textId="77777777" w:rsidR="00AD7FE0" w:rsidRPr="00AA4AE7" w:rsidRDefault="00AD7FE0" w:rsidP="009117B6">
      <w:pPr>
        <w:pStyle w:val="Heading4"/>
      </w:pPr>
      <w:r w:rsidRPr="00AA4AE7">
        <w:t>Operational Strategy and Performance</w:t>
      </w:r>
    </w:p>
    <w:p w14:paraId="13DC6A4F" w14:textId="5247DA74" w:rsidR="00AD7FE0" w:rsidRDefault="00AD7FE0">
      <w:pPr>
        <w:pStyle w:val="ARbody"/>
        <w:rPr>
          <w:highlight w:val="cyan"/>
        </w:rPr>
      </w:pPr>
      <w:r>
        <w:t>This committee p</w:t>
      </w:r>
      <w:r w:rsidRPr="007A2DAE">
        <w:t>rovides oversight, direction and advice on the department</w:t>
      </w:r>
      <w:r w:rsidR="00711AE6">
        <w:t>’</w:t>
      </w:r>
      <w:r w:rsidRPr="007A2DAE">
        <w:t>s operational strategy, workforce and operating models, and performance and delivery against critical objectives and targets</w:t>
      </w:r>
      <w:r>
        <w:t>. This includes</w:t>
      </w:r>
      <w:r w:rsidRPr="007A2DAE">
        <w:t xml:space="preserve"> </w:t>
      </w:r>
      <w:r>
        <w:t xml:space="preserve">meeting </w:t>
      </w:r>
      <w:r w:rsidRPr="007A2DAE">
        <w:t>service delivery requirements and regulations, improv</w:t>
      </w:r>
      <w:r>
        <w:t>ing</w:t>
      </w:r>
      <w:r w:rsidRPr="007A2DAE">
        <w:t xml:space="preserve"> service and system integration, and address</w:t>
      </w:r>
      <w:r>
        <w:t>ing</w:t>
      </w:r>
      <w:r w:rsidRPr="007A2DAE">
        <w:t xml:space="preserve"> recommendations from oversight</w:t>
      </w:r>
      <w:r>
        <w:t> </w:t>
      </w:r>
      <w:r w:rsidRPr="007A2DAE">
        <w:t>bodies.</w:t>
      </w:r>
    </w:p>
    <w:p w14:paraId="09E70656" w14:textId="77777777" w:rsidR="00AD7FE0" w:rsidRPr="008644CB" w:rsidRDefault="00AD7FE0" w:rsidP="00333387">
      <w:pPr>
        <w:pStyle w:val="Heading3"/>
      </w:pPr>
      <w:r w:rsidRPr="00323261">
        <w:t>Statutory</w:t>
      </w:r>
      <w:r w:rsidRPr="008644CB">
        <w:t xml:space="preserve"> committees</w:t>
      </w:r>
    </w:p>
    <w:p w14:paraId="7EEAB61A" w14:textId="77777777" w:rsidR="00AD7FE0" w:rsidRPr="00A666AA" w:rsidRDefault="00AD7FE0" w:rsidP="009117B6">
      <w:pPr>
        <w:pStyle w:val="Heading4"/>
      </w:pPr>
      <w:r w:rsidRPr="00A666AA">
        <w:t>Audit and Risk Management</w:t>
      </w:r>
    </w:p>
    <w:p w14:paraId="0D5911BD" w14:textId="77777777" w:rsidR="00AD7FE0" w:rsidRPr="008644CB" w:rsidRDefault="00AD7FE0">
      <w:pPr>
        <w:pStyle w:val="ARbody"/>
      </w:pPr>
      <w:r w:rsidRPr="008644CB">
        <w:t xml:space="preserve">The Audit and Risk Management Committee is an independent </w:t>
      </w:r>
      <w:r>
        <w:t xml:space="preserve">advisory </w:t>
      </w:r>
      <w:r w:rsidRPr="008644CB">
        <w:t xml:space="preserve">committee established in accordance with the </w:t>
      </w:r>
      <w:r w:rsidRPr="00F64CF1">
        <w:rPr>
          <w:rStyle w:val="Emphasis"/>
        </w:rPr>
        <w:t xml:space="preserve">Financial Management Act 1994 </w:t>
      </w:r>
      <w:r w:rsidRPr="008644CB">
        <w:t xml:space="preserve">and the Standing Directions </w:t>
      </w:r>
      <w:r>
        <w:t>2018 issued by</w:t>
      </w:r>
      <w:r w:rsidRPr="008644CB">
        <w:t xml:space="preserve"> the Minister for Finance.</w:t>
      </w:r>
    </w:p>
    <w:p w14:paraId="2D0A30BD" w14:textId="2994837C" w:rsidR="00AD7FE0" w:rsidRDefault="00AD7FE0">
      <w:pPr>
        <w:pStyle w:val="ARbody"/>
      </w:pPr>
      <w:r>
        <w:t>Accountable</w:t>
      </w:r>
      <w:r w:rsidRPr="008644CB">
        <w:t xml:space="preserve"> to the Secretary, </w:t>
      </w:r>
      <w:r>
        <w:t xml:space="preserve">it </w:t>
      </w:r>
      <w:r w:rsidRPr="008644CB">
        <w:t>provides independent oversight, direction and advice on the department</w:t>
      </w:r>
      <w:r w:rsidR="00711AE6">
        <w:t>’</w:t>
      </w:r>
      <w:r w:rsidRPr="008644CB">
        <w:t>s governance, risk, control and compliance frameworks</w:t>
      </w:r>
      <w:r>
        <w:t>, including on</w:t>
      </w:r>
      <w:r w:rsidRPr="008644CB">
        <w:t xml:space="preserve"> internal</w:t>
      </w:r>
      <w:r>
        <w:t xml:space="preserve"> and external</w:t>
      </w:r>
      <w:r w:rsidRPr="008644CB">
        <w:t xml:space="preserve"> audit activities, financial</w:t>
      </w:r>
      <w:r>
        <w:t xml:space="preserve"> and performance </w:t>
      </w:r>
      <w:r w:rsidRPr="008644CB">
        <w:t>reporting</w:t>
      </w:r>
      <w:r>
        <w:t>, risk management, integrity, fraud and corruption controls, legislative and policy compliance</w:t>
      </w:r>
      <w:r w:rsidRPr="008644CB">
        <w:t>.</w:t>
      </w:r>
    </w:p>
    <w:p w14:paraId="7AFC9B86" w14:textId="77777777" w:rsidR="00AD7FE0" w:rsidRPr="00A666AA" w:rsidRDefault="00AD7FE0" w:rsidP="009117B6">
      <w:pPr>
        <w:pStyle w:val="Heading4"/>
      </w:pPr>
      <w:r w:rsidRPr="00A666AA">
        <w:t>Executive Remuneration</w:t>
      </w:r>
    </w:p>
    <w:p w14:paraId="47E74DDA" w14:textId="77777777" w:rsidR="00AD7FE0" w:rsidRPr="008644CB" w:rsidRDefault="00AD7FE0">
      <w:pPr>
        <w:pStyle w:val="ARbody"/>
        <w:rPr>
          <w:bdr w:val="none" w:sz="0" w:space="0" w:color="auto" w:frame="1"/>
          <w:lang w:eastAsia="en-AU" w:bidi="th-TH"/>
        </w:rPr>
      </w:pPr>
      <w:r w:rsidRPr="008644CB">
        <w:t xml:space="preserve">This committee provides oversight, direction and advice to ensure a consistent and rigorous approach to creating </w:t>
      </w:r>
      <w:r>
        <w:t xml:space="preserve">and </w:t>
      </w:r>
      <w:r w:rsidRPr="008644CB">
        <w:t xml:space="preserve">advertising </w:t>
      </w:r>
      <w:r>
        <w:t xml:space="preserve">executive roles, </w:t>
      </w:r>
      <w:r w:rsidRPr="008644CB">
        <w:t xml:space="preserve">appointing to </w:t>
      </w:r>
      <w:r>
        <w:t>r</w:t>
      </w:r>
      <w:r w:rsidRPr="008644CB">
        <w:t>oles, and setting remuneration levels for executive staff.</w:t>
      </w:r>
    </w:p>
    <w:p w14:paraId="0FA28CE0" w14:textId="77777777" w:rsidR="00AD7FE0" w:rsidRPr="00A666AA" w:rsidRDefault="00AD7FE0" w:rsidP="009117B6">
      <w:pPr>
        <w:pStyle w:val="Heading4"/>
      </w:pPr>
      <w:r w:rsidRPr="00A666AA">
        <w:t xml:space="preserve">People and Culture </w:t>
      </w:r>
    </w:p>
    <w:p w14:paraId="6A031755" w14:textId="418502BD" w:rsidR="00AD7FE0" w:rsidRPr="008644CB" w:rsidRDefault="00AD7FE0">
      <w:pPr>
        <w:pStyle w:val="ARbody"/>
        <w:rPr>
          <w:bdr w:val="none" w:sz="0" w:space="0" w:color="auto" w:frame="1"/>
          <w:lang w:eastAsia="en-AU" w:bidi="th-TH"/>
        </w:rPr>
      </w:pPr>
      <w:r w:rsidRPr="008644CB">
        <w:rPr>
          <w:bdr w:val="none" w:sz="0" w:space="0" w:color="auto" w:frame="1"/>
          <w:lang w:eastAsia="en-AU" w:bidi="th-TH"/>
        </w:rPr>
        <w:t>This committee provides oversight, direction and advice on the department</w:t>
      </w:r>
      <w:r w:rsidR="00711AE6">
        <w:rPr>
          <w:bdr w:val="none" w:sz="0" w:space="0" w:color="auto" w:frame="1"/>
          <w:lang w:eastAsia="en-AU" w:bidi="th-TH"/>
        </w:rPr>
        <w:t>’</w:t>
      </w:r>
      <w:r w:rsidRPr="008644CB">
        <w:rPr>
          <w:bdr w:val="none" w:sz="0" w:space="0" w:color="auto" w:frame="1"/>
          <w:lang w:eastAsia="en-AU" w:bidi="th-TH"/>
        </w:rPr>
        <w:t xml:space="preserve">s health, safety and wellbeing risks, compliance and prevention strategies, </w:t>
      </w:r>
      <w:r>
        <w:rPr>
          <w:bdr w:val="none" w:sz="0" w:space="0" w:color="auto" w:frame="1"/>
          <w:lang w:eastAsia="en-AU" w:bidi="th-TH"/>
        </w:rPr>
        <w:t>industrial relations, integrity, culture, diversity and inclusion</w:t>
      </w:r>
      <w:r w:rsidRPr="008644CB">
        <w:rPr>
          <w:bdr w:val="none" w:sz="0" w:space="0" w:color="auto" w:frame="1"/>
          <w:lang w:eastAsia="en-AU" w:bidi="th-TH"/>
        </w:rPr>
        <w:t>.</w:t>
      </w:r>
    </w:p>
    <w:bookmarkEnd w:id="21"/>
    <w:p w14:paraId="6CAA1501" w14:textId="470BB5C6" w:rsidR="0081234A" w:rsidRPr="005F6A6B" w:rsidRDefault="0081234A" w:rsidP="0081234A">
      <w:pPr>
        <w:pStyle w:val="ARbody"/>
        <w:rPr>
          <w:highlight w:val="yellow"/>
        </w:rPr>
      </w:pPr>
    </w:p>
    <w:p w14:paraId="40B452EB" w14:textId="77777777" w:rsidR="0081234A" w:rsidRPr="005F6A6B" w:rsidRDefault="0081234A" w:rsidP="0081234A">
      <w:pPr>
        <w:pStyle w:val="ARbody"/>
        <w:rPr>
          <w:highlight w:val="yellow"/>
        </w:rPr>
        <w:sectPr w:rsidR="0081234A" w:rsidRPr="005F6A6B" w:rsidSect="005936D2">
          <w:headerReference w:type="even" r:id="rId62"/>
          <w:footerReference w:type="even" r:id="rId63"/>
          <w:footerReference w:type="default" r:id="rId64"/>
          <w:headerReference w:type="first" r:id="rId65"/>
          <w:footerReference w:type="first" r:id="rId66"/>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616E6A40" w14:textId="77777777" w:rsidR="000E38BD" w:rsidRPr="002664AD" w:rsidRDefault="000E38BD" w:rsidP="00A742C2">
      <w:pPr>
        <w:pStyle w:val="Heading1"/>
      </w:pPr>
      <w:bookmarkStart w:id="55" w:name="_Toc114491189"/>
      <w:bookmarkStart w:id="56" w:name="_Ref178173218"/>
      <w:bookmarkStart w:id="57" w:name="_Toc181101490"/>
      <w:bookmarkStart w:id="58" w:name="_Toc82006191"/>
      <w:r w:rsidRPr="000E38BD">
        <w:t>Section</w:t>
      </w:r>
      <w:r w:rsidRPr="002664AD">
        <w:t xml:space="preserve"> 2: Year in review</w:t>
      </w:r>
      <w:bookmarkEnd w:id="55"/>
      <w:bookmarkEnd w:id="56"/>
      <w:bookmarkEnd w:id="57"/>
    </w:p>
    <w:p w14:paraId="63EF14CE" w14:textId="77777777" w:rsidR="000E38BD" w:rsidRPr="00644504" w:rsidRDefault="000E38BD" w:rsidP="000E38BD">
      <w:pPr>
        <w:pStyle w:val="Heading2"/>
      </w:pPr>
      <w:bookmarkStart w:id="59" w:name="_Toc181101491"/>
      <w:r w:rsidRPr="00644504">
        <w:t>Departmental objectives, outputs and indicators</w:t>
      </w:r>
      <w:bookmarkEnd w:id="59"/>
    </w:p>
    <w:p w14:paraId="65FE10D4" w14:textId="5E0DCA1A" w:rsidR="000E38BD" w:rsidRPr="00DC1D06" w:rsidRDefault="000E38BD" w:rsidP="000E38BD">
      <w:pPr>
        <w:pStyle w:val="ARbodybeforetable"/>
      </w:pPr>
      <w:r w:rsidRPr="00DC1D06">
        <w:t xml:space="preserve">The </w:t>
      </w:r>
      <w:r>
        <w:t>department</w:t>
      </w:r>
      <w:r w:rsidR="00711AE6">
        <w:t>’</w:t>
      </w:r>
      <w:r>
        <w:t>s objectives (or outcomes)</w:t>
      </w:r>
      <w:r w:rsidRPr="00DC1D06" w:rsidDel="00E531F4">
        <w:t xml:space="preserve"> </w:t>
      </w:r>
      <w:r>
        <w:t>and</w:t>
      </w:r>
      <w:r w:rsidRPr="00DC1D06">
        <w:t xml:space="preserve"> indicators </w:t>
      </w:r>
      <w:r>
        <w:t xml:space="preserve">are set out in </w:t>
      </w:r>
      <w:r w:rsidRPr="00F64CF1">
        <w:rPr>
          <w:rStyle w:val="Emphasis"/>
        </w:rPr>
        <w:t>Budget Paper No. 3, Service Delivery</w:t>
      </w:r>
      <w:r>
        <w:t xml:space="preserve"> along with </w:t>
      </w:r>
      <w:r w:rsidRPr="00DC1D06">
        <w:t xml:space="preserve">outputs </w:t>
      </w:r>
      <w:r>
        <w:t>relating to each objective.</w:t>
      </w:r>
      <w:r>
        <w:rPr>
          <w:rStyle w:val="FootnoteReference"/>
        </w:rPr>
        <w:footnoteReference w:id="2"/>
      </w:r>
    </w:p>
    <w:tbl>
      <w:tblPr>
        <w:tblStyle w:val="TableGrid"/>
        <w:tblW w:w="5000" w:type="pct"/>
        <w:tblLook w:val="06E0" w:firstRow="1" w:lastRow="1" w:firstColumn="1" w:lastColumn="0" w:noHBand="1" w:noVBand="1"/>
      </w:tblPr>
      <w:tblGrid>
        <w:gridCol w:w="2405"/>
        <w:gridCol w:w="4394"/>
        <w:gridCol w:w="2823"/>
      </w:tblGrid>
      <w:tr w:rsidR="000E38BD" w:rsidRPr="00A839BE" w14:paraId="307B8132" w14:textId="77777777" w:rsidTr="00007894">
        <w:trPr>
          <w:cnfStyle w:val="100000000000" w:firstRow="1" w:lastRow="0" w:firstColumn="0" w:lastColumn="0" w:oddVBand="0" w:evenVBand="0" w:oddHBand="0" w:evenHBand="0" w:firstRowFirstColumn="0" w:firstRowLastColumn="0" w:lastRowFirstColumn="0" w:lastRowLastColumn="0"/>
          <w:tblHeader/>
        </w:trPr>
        <w:tc>
          <w:tcPr>
            <w:tcW w:w="2405" w:type="dxa"/>
            <w:hideMark/>
          </w:tcPr>
          <w:p w14:paraId="5ED887BB" w14:textId="77777777" w:rsidR="000E38BD" w:rsidRPr="000E38BD" w:rsidRDefault="000E38BD" w:rsidP="000E38BD">
            <w:pPr>
              <w:pStyle w:val="ARtablecolhead"/>
            </w:pPr>
            <w:r w:rsidRPr="000E38BD">
              <w:t>Departmental objectives</w:t>
            </w:r>
          </w:p>
        </w:tc>
        <w:tc>
          <w:tcPr>
            <w:tcW w:w="4394" w:type="dxa"/>
            <w:hideMark/>
          </w:tcPr>
          <w:p w14:paraId="33DBEE4C" w14:textId="77777777" w:rsidR="000E38BD" w:rsidRPr="000E38BD" w:rsidRDefault="000E38BD" w:rsidP="000E38BD">
            <w:pPr>
              <w:pStyle w:val="ARtablecolhead"/>
            </w:pPr>
            <w:r w:rsidRPr="000E38BD">
              <w:t>Indicators</w:t>
            </w:r>
          </w:p>
        </w:tc>
        <w:tc>
          <w:tcPr>
            <w:tcW w:w="2823" w:type="dxa"/>
            <w:hideMark/>
          </w:tcPr>
          <w:p w14:paraId="17519987" w14:textId="77777777" w:rsidR="000E38BD" w:rsidRPr="000E38BD" w:rsidRDefault="000E38BD" w:rsidP="000E38BD">
            <w:pPr>
              <w:pStyle w:val="ARtablecolhead"/>
            </w:pPr>
            <w:r w:rsidRPr="000E38BD">
              <w:t>Outputs</w:t>
            </w:r>
          </w:p>
        </w:tc>
      </w:tr>
      <w:tr w:rsidR="000E38BD" w:rsidRPr="00A839BE" w14:paraId="69AC161C" w14:textId="77777777" w:rsidTr="00007894">
        <w:tc>
          <w:tcPr>
            <w:tcW w:w="2405" w:type="dxa"/>
            <w:hideMark/>
          </w:tcPr>
          <w:p w14:paraId="0D183B00" w14:textId="7D2C50F3" w:rsidR="000E38BD" w:rsidRPr="000E38BD" w:rsidRDefault="000E38BD" w:rsidP="000E38BD">
            <w:pPr>
              <w:pStyle w:val="ARtabletext"/>
              <w:rPr>
                <w:highlight w:val="cyan"/>
              </w:rPr>
            </w:pPr>
            <w:r w:rsidRPr="000E38BD">
              <w:t>Children, young people and families are safe, strong and</w:t>
            </w:r>
            <w:r w:rsidR="00B053BE">
              <w:t> </w:t>
            </w:r>
            <w:r w:rsidRPr="000E38BD">
              <w:t>supported</w:t>
            </w:r>
          </w:p>
        </w:tc>
        <w:tc>
          <w:tcPr>
            <w:tcW w:w="4394" w:type="dxa"/>
            <w:hideMark/>
          </w:tcPr>
          <w:p w14:paraId="759C2EB0" w14:textId="023C0054" w:rsidR="000E38BD" w:rsidRPr="000E38BD" w:rsidRDefault="000E38BD" w:rsidP="000E38BD">
            <w:pPr>
              <w:pStyle w:val="ARtabletext"/>
            </w:pPr>
            <w:r w:rsidRPr="000E38BD">
              <w:t>Reduce abuse and neglect of children and young</w:t>
            </w:r>
            <w:r w:rsidR="00B053BE">
              <w:t> </w:t>
            </w:r>
            <w:r w:rsidRPr="000E38BD">
              <w:t>people</w:t>
            </w:r>
          </w:p>
          <w:p w14:paraId="03B7FEEB" w14:textId="77777777" w:rsidR="000E38BD" w:rsidRPr="000E38BD" w:rsidRDefault="000E38BD" w:rsidP="000E38BD">
            <w:pPr>
              <w:pStyle w:val="ARtabletext"/>
            </w:pPr>
            <w:r w:rsidRPr="000E38BD">
              <w:t>Increase safe, respectful family relationships</w:t>
            </w:r>
          </w:p>
          <w:p w14:paraId="44BB1CEA" w14:textId="77777777" w:rsidR="000E38BD" w:rsidRPr="000E38BD" w:rsidRDefault="000E38BD" w:rsidP="000E38BD">
            <w:pPr>
              <w:pStyle w:val="ARtabletext"/>
            </w:pPr>
            <w:r w:rsidRPr="000E38BD">
              <w:t>Improve development and wellbeing for children and young people</w:t>
            </w:r>
          </w:p>
          <w:p w14:paraId="595128E7" w14:textId="77777777" w:rsidR="000E38BD" w:rsidRPr="000E38BD" w:rsidRDefault="000E38BD" w:rsidP="000E38BD">
            <w:pPr>
              <w:pStyle w:val="ARtabletext"/>
            </w:pPr>
            <w:r w:rsidRPr="000E38BD">
              <w:t>Increase stability of care services placements</w:t>
            </w:r>
          </w:p>
          <w:p w14:paraId="199B1557" w14:textId="77777777" w:rsidR="000E38BD" w:rsidRPr="000E38BD" w:rsidRDefault="000E38BD" w:rsidP="000E38BD">
            <w:pPr>
              <w:pStyle w:val="ARtabletext"/>
            </w:pPr>
            <w:r w:rsidRPr="000E38BD">
              <w:t>Increase connections to culture, family and kinship systems for Aboriginal families including for Aboriginal children in care</w:t>
            </w:r>
          </w:p>
          <w:p w14:paraId="6D8E61E6" w14:textId="77777777" w:rsidR="000E38BD" w:rsidRPr="000E38BD" w:rsidRDefault="000E38BD" w:rsidP="000E38BD">
            <w:pPr>
              <w:pStyle w:val="ARtabletext"/>
            </w:pPr>
            <w:r w:rsidRPr="000E38BD">
              <w:t>Reduce over-representation of Aboriginal children and young people in care services</w:t>
            </w:r>
          </w:p>
          <w:p w14:paraId="0A4EB6B5" w14:textId="77777777" w:rsidR="000E38BD" w:rsidRPr="000E38BD" w:rsidRDefault="000E38BD" w:rsidP="000E38BD">
            <w:pPr>
              <w:pStyle w:val="ARtabletext"/>
            </w:pPr>
            <w:r w:rsidRPr="000E38BD">
              <w:t>Reduce the incidence and impact of family violence affecting Aboriginal families</w:t>
            </w:r>
          </w:p>
          <w:p w14:paraId="08C404DD" w14:textId="77777777" w:rsidR="000E38BD" w:rsidRPr="000E38BD" w:rsidRDefault="000E38BD" w:rsidP="000E38BD">
            <w:pPr>
              <w:pStyle w:val="ARtabletext"/>
            </w:pPr>
            <w:r w:rsidRPr="000E38BD">
              <w:t>Increase safety for victim survivors of family violence</w:t>
            </w:r>
          </w:p>
          <w:p w14:paraId="62FB5438" w14:textId="77777777" w:rsidR="000E38BD" w:rsidRPr="000E38BD" w:rsidRDefault="000E38BD" w:rsidP="000E38BD">
            <w:pPr>
              <w:pStyle w:val="ARtabletext"/>
            </w:pPr>
            <w:r w:rsidRPr="000E38BD">
              <w:t>Reduce family violence</w:t>
            </w:r>
          </w:p>
        </w:tc>
        <w:tc>
          <w:tcPr>
            <w:tcW w:w="2823" w:type="dxa"/>
            <w:hideMark/>
          </w:tcPr>
          <w:p w14:paraId="5EDAE28D" w14:textId="4214FE48" w:rsidR="000E38BD" w:rsidRPr="000E38BD" w:rsidRDefault="000E38BD" w:rsidP="000E38BD">
            <w:pPr>
              <w:pStyle w:val="ARtabletext"/>
            </w:pPr>
            <w:r w:rsidRPr="000E38BD">
              <w:t>Child protection and family</w:t>
            </w:r>
            <w:r w:rsidR="00B053BE">
              <w:t> </w:t>
            </w:r>
            <w:r w:rsidRPr="000E38BD">
              <w:t>services</w:t>
            </w:r>
          </w:p>
          <w:p w14:paraId="0E321EE1" w14:textId="78DE58EE" w:rsidR="000E38BD" w:rsidRPr="000E38BD" w:rsidRDefault="000E38BD" w:rsidP="000E38BD">
            <w:pPr>
              <w:pStyle w:val="ARtabletext"/>
            </w:pPr>
            <w:r w:rsidRPr="000E38BD">
              <w:t>Primary prevention of</w:t>
            </w:r>
            <w:r w:rsidR="00C159BC">
              <w:t> </w:t>
            </w:r>
            <w:r w:rsidRPr="000E38BD">
              <w:t>family</w:t>
            </w:r>
            <w:r w:rsidR="00B053BE">
              <w:t> </w:t>
            </w:r>
            <w:r w:rsidRPr="000E38BD">
              <w:t>violence</w:t>
            </w:r>
          </w:p>
          <w:p w14:paraId="33D7678B" w14:textId="77777777" w:rsidR="000E38BD" w:rsidRPr="000E38BD" w:rsidRDefault="000E38BD" w:rsidP="000E38BD">
            <w:pPr>
              <w:pStyle w:val="ARtabletext"/>
            </w:pPr>
            <w:r w:rsidRPr="000E38BD">
              <w:t>Family violence service delivery</w:t>
            </w:r>
          </w:p>
        </w:tc>
      </w:tr>
      <w:tr w:rsidR="000E38BD" w:rsidRPr="00A839BE" w14:paraId="4F5B5CC5" w14:textId="77777777" w:rsidTr="00007894">
        <w:tc>
          <w:tcPr>
            <w:tcW w:w="2405" w:type="dxa"/>
            <w:hideMark/>
          </w:tcPr>
          <w:p w14:paraId="09D92F7B" w14:textId="11FE20B4" w:rsidR="000E38BD" w:rsidRPr="000E38BD" w:rsidRDefault="000E38BD" w:rsidP="000E38BD">
            <w:pPr>
              <w:pStyle w:val="ARtabletext"/>
              <w:rPr>
                <w:highlight w:val="cyan"/>
              </w:rPr>
            </w:pPr>
            <w:r w:rsidRPr="000E38BD">
              <w:t>Victorian communities are safe, fair, inclusive and</w:t>
            </w:r>
            <w:r w:rsidR="00B053BE">
              <w:t> </w:t>
            </w:r>
            <w:r w:rsidRPr="000E38BD">
              <w:t>resilient</w:t>
            </w:r>
          </w:p>
        </w:tc>
        <w:tc>
          <w:tcPr>
            <w:tcW w:w="4394" w:type="dxa"/>
            <w:hideMark/>
          </w:tcPr>
          <w:p w14:paraId="6BFF2619" w14:textId="77777777" w:rsidR="000E38BD" w:rsidRPr="000E38BD" w:rsidRDefault="000E38BD" w:rsidP="000E38BD">
            <w:pPr>
              <w:pStyle w:val="ARtabletext"/>
            </w:pPr>
            <w:r w:rsidRPr="000E38BD">
              <w:t>Increase economic inclusion and participation</w:t>
            </w:r>
          </w:p>
          <w:p w14:paraId="36657190" w14:textId="59AB79AD" w:rsidR="000E38BD" w:rsidRPr="000E38BD" w:rsidRDefault="000E38BD" w:rsidP="000E38BD">
            <w:pPr>
              <w:pStyle w:val="ARtabletext"/>
            </w:pPr>
            <w:r w:rsidRPr="000E38BD">
              <w:t>Increase community participation, inclusion and</w:t>
            </w:r>
            <w:r w:rsidR="00B053BE">
              <w:t> </w:t>
            </w:r>
            <w:r w:rsidRPr="000E38BD">
              <w:t>connectedness</w:t>
            </w:r>
          </w:p>
          <w:p w14:paraId="6CC26B1D" w14:textId="77777777" w:rsidR="000E38BD" w:rsidRPr="000E38BD" w:rsidRDefault="000E38BD" w:rsidP="000E38BD">
            <w:pPr>
              <w:pStyle w:val="ARtabletext"/>
            </w:pPr>
            <w:r w:rsidRPr="000E38BD">
              <w:t>Decrease experiences of discrimination</w:t>
            </w:r>
          </w:p>
          <w:p w14:paraId="79943483" w14:textId="77777777" w:rsidR="000E38BD" w:rsidRPr="000E38BD" w:rsidRDefault="000E38BD" w:rsidP="000E38BD">
            <w:pPr>
              <w:pStyle w:val="ARtabletext"/>
            </w:pPr>
            <w:r w:rsidRPr="000E38BD">
              <w:t>Increase safety where people live, work, learn and play</w:t>
            </w:r>
          </w:p>
          <w:p w14:paraId="45AF84E5" w14:textId="77777777" w:rsidR="000E38BD" w:rsidRPr="000E38BD" w:rsidRDefault="000E38BD" w:rsidP="000E38BD">
            <w:pPr>
              <w:pStyle w:val="ARtabletext"/>
            </w:pPr>
            <w:r w:rsidRPr="000E38BD">
              <w:t>Increase wellbeing for Aboriginal Victorians, including safety to connect with and express culture</w:t>
            </w:r>
          </w:p>
          <w:p w14:paraId="798A100B" w14:textId="77777777" w:rsidR="000E38BD" w:rsidRPr="000E38BD" w:rsidRDefault="000E38BD" w:rsidP="000E38BD">
            <w:pPr>
              <w:pStyle w:val="ARtabletext"/>
            </w:pPr>
            <w:r w:rsidRPr="000E38BD">
              <w:t>Increase capacity for senior Victorians to age well</w:t>
            </w:r>
          </w:p>
          <w:p w14:paraId="40966172" w14:textId="77777777" w:rsidR="000E38BD" w:rsidRPr="000E38BD" w:rsidRDefault="000E38BD" w:rsidP="000E38BD">
            <w:pPr>
              <w:pStyle w:val="ARtabletext"/>
            </w:pPr>
            <w:r w:rsidRPr="000E38BD">
              <w:t>Improve supports for people with complex needs</w:t>
            </w:r>
          </w:p>
          <w:p w14:paraId="6425182C" w14:textId="77777777" w:rsidR="000E38BD" w:rsidRPr="000E38BD" w:rsidRDefault="000E38BD" w:rsidP="000E38BD">
            <w:pPr>
              <w:pStyle w:val="ARtabletext"/>
            </w:pPr>
            <w:r w:rsidRPr="000E38BD">
              <w:t>Increase community resilience</w:t>
            </w:r>
          </w:p>
          <w:p w14:paraId="7E1D2DF1" w14:textId="77777777" w:rsidR="000E38BD" w:rsidRPr="000E38BD" w:rsidRDefault="000E38BD" w:rsidP="000E38BD">
            <w:pPr>
              <w:pStyle w:val="ARtabletext"/>
            </w:pPr>
            <w:r w:rsidRPr="000E38BD">
              <w:t>Improve social recovery following emergencies</w:t>
            </w:r>
          </w:p>
          <w:p w14:paraId="40786E36" w14:textId="77777777" w:rsidR="000E38BD" w:rsidRPr="000E38BD" w:rsidRDefault="000E38BD" w:rsidP="000E38BD">
            <w:pPr>
              <w:pStyle w:val="ARtabletext"/>
            </w:pPr>
            <w:r w:rsidRPr="000E38BD">
              <w:t>Reduce sexual violence</w:t>
            </w:r>
          </w:p>
        </w:tc>
        <w:tc>
          <w:tcPr>
            <w:tcW w:w="2823" w:type="dxa"/>
            <w:hideMark/>
          </w:tcPr>
          <w:p w14:paraId="6728EA9A" w14:textId="77777777" w:rsidR="000E38BD" w:rsidRPr="000E38BD" w:rsidRDefault="000E38BD" w:rsidP="000E38BD">
            <w:pPr>
              <w:pStyle w:val="ARtabletext"/>
            </w:pPr>
            <w:r w:rsidRPr="000E38BD">
              <w:t>Community participation</w:t>
            </w:r>
          </w:p>
          <w:p w14:paraId="27BCFFBF" w14:textId="77777777" w:rsidR="000E38BD" w:rsidRPr="000E38BD" w:rsidRDefault="000E38BD" w:rsidP="000E38BD">
            <w:pPr>
              <w:pStyle w:val="ARtabletext"/>
            </w:pPr>
            <w:r w:rsidRPr="000E38BD">
              <w:t>Disability services</w:t>
            </w:r>
          </w:p>
          <w:p w14:paraId="18AC0826" w14:textId="206B45FC" w:rsidR="000E38BD" w:rsidRPr="000E38BD" w:rsidRDefault="000E38BD" w:rsidP="002B4497">
            <w:pPr>
              <w:pStyle w:val="ARtabletext"/>
              <w:tabs>
                <w:tab w:val="left" w:pos="2027"/>
              </w:tabs>
            </w:pPr>
            <w:r w:rsidRPr="000E38BD">
              <w:t>Office for Disability</w:t>
            </w:r>
          </w:p>
          <w:p w14:paraId="1AC15167" w14:textId="69C38F20" w:rsidR="000E38BD" w:rsidRPr="000E38BD" w:rsidRDefault="000E38BD" w:rsidP="000E38BD">
            <w:pPr>
              <w:pStyle w:val="ARtabletext"/>
            </w:pPr>
            <w:r w:rsidRPr="000E38BD">
              <w:t>Seniors programs and</w:t>
            </w:r>
            <w:r w:rsidR="00C159BC">
              <w:t> </w:t>
            </w:r>
            <w:r w:rsidRPr="000E38BD">
              <w:t>participation</w:t>
            </w:r>
          </w:p>
          <w:p w14:paraId="055CADB8" w14:textId="77777777" w:rsidR="000E38BD" w:rsidRPr="000E38BD" w:rsidRDefault="000E38BD" w:rsidP="000E38BD">
            <w:pPr>
              <w:pStyle w:val="ARtabletext"/>
            </w:pPr>
            <w:r w:rsidRPr="000E38BD">
              <w:t>Support to veterans in Victoria</w:t>
            </w:r>
          </w:p>
          <w:p w14:paraId="4F812264" w14:textId="77777777" w:rsidR="000E38BD" w:rsidRPr="000E38BD" w:rsidRDefault="000E38BD" w:rsidP="000E38BD">
            <w:pPr>
              <w:pStyle w:val="ARtabletext"/>
            </w:pPr>
            <w:r w:rsidRPr="000E38BD">
              <w:t>LGBTIQA+ equality policy and programs</w:t>
            </w:r>
          </w:p>
          <w:p w14:paraId="28113929" w14:textId="520F3703" w:rsidR="000E38BD" w:rsidRPr="000E38BD" w:rsidRDefault="000E38BD" w:rsidP="000E38BD">
            <w:pPr>
              <w:pStyle w:val="ARtabletext"/>
            </w:pPr>
            <w:r w:rsidRPr="000E38BD">
              <w:t>Women</w:t>
            </w:r>
            <w:r w:rsidR="00711AE6">
              <w:t>’</w:t>
            </w:r>
            <w:r w:rsidRPr="000E38BD">
              <w:t>s policy</w:t>
            </w:r>
          </w:p>
          <w:p w14:paraId="37CAA3C6" w14:textId="77777777" w:rsidR="000E38BD" w:rsidRPr="000E38BD" w:rsidRDefault="000E38BD" w:rsidP="000E38BD">
            <w:pPr>
              <w:pStyle w:val="ARtabletext"/>
            </w:pPr>
            <w:r w:rsidRPr="000E38BD">
              <w:t>Youth</w:t>
            </w:r>
          </w:p>
          <w:p w14:paraId="73F9C083" w14:textId="77777777" w:rsidR="000E38BD" w:rsidRPr="000E38BD" w:rsidRDefault="000E38BD" w:rsidP="000E38BD">
            <w:pPr>
              <w:pStyle w:val="ARtabletext"/>
            </w:pPr>
            <w:r w:rsidRPr="000E38BD">
              <w:t>Multicultural affairs policy and programs</w:t>
            </w:r>
          </w:p>
        </w:tc>
      </w:tr>
      <w:tr w:rsidR="000E38BD" w:rsidRPr="00A839BE" w14:paraId="4DB81A08" w14:textId="77777777" w:rsidTr="00007894">
        <w:tc>
          <w:tcPr>
            <w:tcW w:w="2405" w:type="dxa"/>
            <w:hideMark/>
          </w:tcPr>
          <w:p w14:paraId="7F02E314" w14:textId="368B92F2" w:rsidR="000E38BD" w:rsidRPr="000E38BD" w:rsidRDefault="000E38BD" w:rsidP="000E38BD">
            <w:pPr>
              <w:pStyle w:val="ARtabletext"/>
              <w:rPr>
                <w:highlight w:val="cyan"/>
              </w:rPr>
            </w:pPr>
            <w:r w:rsidRPr="000E38BD">
              <w:t>All Victorians have stable, affordable and appropriate</w:t>
            </w:r>
            <w:r w:rsidR="00B053BE">
              <w:t> </w:t>
            </w:r>
            <w:r w:rsidRPr="000E38BD">
              <w:t>housing</w:t>
            </w:r>
          </w:p>
        </w:tc>
        <w:tc>
          <w:tcPr>
            <w:tcW w:w="4394" w:type="dxa"/>
            <w:hideMark/>
          </w:tcPr>
          <w:p w14:paraId="2CCE7D96" w14:textId="77777777" w:rsidR="000E38BD" w:rsidRPr="000E38BD" w:rsidRDefault="000E38BD" w:rsidP="000E38BD">
            <w:pPr>
              <w:pStyle w:val="ARtabletext"/>
            </w:pPr>
            <w:r w:rsidRPr="000E38BD">
              <w:t>Increase the supply and availability of affordable, appropriate and accessible housing</w:t>
            </w:r>
          </w:p>
          <w:p w14:paraId="08B4BF22" w14:textId="2CBE59B0" w:rsidR="000E38BD" w:rsidRPr="000E38BD" w:rsidRDefault="000E38BD" w:rsidP="000E38BD">
            <w:pPr>
              <w:pStyle w:val="ARtabletext"/>
            </w:pPr>
            <w:r w:rsidRPr="000E38BD">
              <w:t>Increase access to housing that is suitable for the household</w:t>
            </w:r>
            <w:r w:rsidR="00711AE6">
              <w:t>’</w:t>
            </w:r>
            <w:r w:rsidRPr="000E38BD">
              <w:t>s needs</w:t>
            </w:r>
          </w:p>
          <w:p w14:paraId="19153473" w14:textId="01363980" w:rsidR="000E38BD" w:rsidRPr="000E38BD" w:rsidRDefault="000E38BD" w:rsidP="000E38BD">
            <w:pPr>
              <w:pStyle w:val="ARtabletext"/>
            </w:pPr>
            <w:r w:rsidRPr="000E38BD">
              <w:t>Improve the environmental sustainability of social</w:t>
            </w:r>
            <w:r w:rsidR="00B053BE">
              <w:t> </w:t>
            </w:r>
            <w:r w:rsidRPr="000E38BD">
              <w:t>housing</w:t>
            </w:r>
          </w:p>
          <w:p w14:paraId="5D89E2FD" w14:textId="77777777" w:rsidR="000E38BD" w:rsidRPr="000E38BD" w:rsidRDefault="000E38BD" w:rsidP="000E38BD">
            <w:pPr>
              <w:pStyle w:val="ARtabletext"/>
            </w:pPr>
            <w:r w:rsidRPr="000E38BD">
              <w:t>Increase housing stability for people experiencing or at risk of rough sleeping, homelessness, and other insecure housing arrangements</w:t>
            </w:r>
          </w:p>
          <w:p w14:paraId="0DD5DB21" w14:textId="77777777" w:rsidR="000E38BD" w:rsidRPr="000E38BD" w:rsidRDefault="000E38BD" w:rsidP="000E38BD">
            <w:pPr>
              <w:pStyle w:val="ARtabletext"/>
            </w:pPr>
            <w:r w:rsidRPr="000E38BD">
              <w:t>Increase financial ability to access and maintain housing and utility services</w:t>
            </w:r>
          </w:p>
          <w:p w14:paraId="604444F2" w14:textId="77777777" w:rsidR="000E38BD" w:rsidRPr="000E38BD" w:rsidRDefault="000E38BD" w:rsidP="000E38BD">
            <w:pPr>
              <w:pStyle w:val="ARtabletext"/>
            </w:pPr>
            <w:r w:rsidRPr="000E38BD">
              <w:t>Increase the proportion of Aboriginal people living in appropriately sized (not overcrowded) housing</w:t>
            </w:r>
          </w:p>
          <w:p w14:paraId="3615EE74" w14:textId="77777777" w:rsidR="000E38BD" w:rsidRPr="000E38BD" w:rsidRDefault="000E38BD" w:rsidP="000E38BD">
            <w:pPr>
              <w:pStyle w:val="ARtabletext"/>
              <w:rPr>
                <w:highlight w:val="cyan"/>
              </w:rPr>
            </w:pPr>
            <w:r w:rsidRPr="000E38BD">
              <w:t>Improve transitions to independent living</w:t>
            </w:r>
          </w:p>
        </w:tc>
        <w:tc>
          <w:tcPr>
            <w:tcW w:w="2823" w:type="dxa"/>
            <w:hideMark/>
          </w:tcPr>
          <w:p w14:paraId="02699942" w14:textId="77777777" w:rsidR="000E38BD" w:rsidRPr="000E38BD" w:rsidRDefault="000E38BD" w:rsidP="000E38BD">
            <w:pPr>
              <w:pStyle w:val="ARtabletext"/>
            </w:pPr>
            <w:r w:rsidRPr="000E38BD">
              <w:t>Housing assistance</w:t>
            </w:r>
          </w:p>
          <w:p w14:paraId="28292689" w14:textId="77777777" w:rsidR="000E38BD" w:rsidRPr="000E38BD" w:rsidRDefault="000E38BD" w:rsidP="000E38BD">
            <w:pPr>
              <w:pStyle w:val="ARtabletext"/>
              <w:rPr>
                <w:highlight w:val="cyan"/>
              </w:rPr>
            </w:pPr>
            <w:r w:rsidRPr="000E38BD">
              <w:t>Concessions to pensioners and beneficiaries</w:t>
            </w:r>
          </w:p>
        </w:tc>
      </w:tr>
      <w:tr w:rsidR="000E38BD" w:rsidRPr="00A839BE" w14:paraId="0FECD50A" w14:textId="77777777" w:rsidTr="00007894">
        <w:tc>
          <w:tcPr>
            <w:tcW w:w="2405" w:type="dxa"/>
          </w:tcPr>
          <w:p w14:paraId="2ACB8198" w14:textId="344AA131" w:rsidR="000E38BD" w:rsidRPr="000E38BD" w:rsidRDefault="000E38BD" w:rsidP="000E38BD">
            <w:pPr>
              <w:pStyle w:val="ARtabletext"/>
            </w:pPr>
            <w:r w:rsidRPr="000E38BD">
              <w:t>Our social services system is integrated, effective, person-centred and</w:t>
            </w:r>
            <w:r w:rsidR="00B053BE">
              <w:t> </w:t>
            </w:r>
            <w:r w:rsidRPr="000E38BD">
              <w:t>sustainable</w:t>
            </w:r>
          </w:p>
        </w:tc>
        <w:tc>
          <w:tcPr>
            <w:tcW w:w="4394" w:type="dxa"/>
          </w:tcPr>
          <w:p w14:paraId="5C377225" w14:textId="77777777" w:rsidR="000E38BD" w:rsidRPr="000E38BD" w:rsidRDefault="000E38BD" w:rsidP="000E38BD">
            <w:pPr>
              <w:pStyle w:val="ARtabletext"/>
              <w:rPr>
                <w:highlight w:val="yellow"/>
              </w:rPr>
            </w:pPr>
            <w:r w:rsidRPr="000E38BD">
              <w:t>Not applicable</w:t>
            </w:r>
          </w:p>
        </w:tc>
        <w:tc>
          <w:tcPr>
            <w:tcW w:w="2823" w:type="dxa"/>
          </w:tcPr>
          <w:p w14:paraId="5622CBAF" w14:textId="77777777" w:rsidR="000E38BD" w:rsidRPr="000E38BD" w:rsidRDefault="000E38BD" w:rsidP="000E38BD">
            <w:pPr>
              <w:pStyle w:val="ARtabletext"/>
            </w:pPr>
            <w:r w:rsidRPr="000E38BD">
              <w:t>All departmental outputs</w:t>
            </w:r>
          </w:p>
        </w:tc>
      </w:tr>
      <w:tr w:rsidR="000E38BD" w:rsidRPr="00A839BE" w14:paraId="43922F27" w14:textId="77777777" w:rsidTr="00007894">
        <w:tc>
          <w:tcPr>
            <w:tcW w:w="2405" w:type="dxa"/>
          </w:tcPr>
          <w:p w14:paraId="0BB599A8" w14:textId="77777777" w:rsidR="000E38BD" w:rsidRPr="000E38BD" w:rsidRDefault="000E38BD" w:rsidP="000E38BD">
            <w:pPr>
              <w:pStyle w:val="ARtabletext"/>
            </w:pPr>
            <w:r w:rsidRPr="000E38BD">
              <w:t>Aboriginal voice, knowledge and cultural leadership drive Aboriginal policy, legislation and system reform</w:t>
            </w:r>
          </w:p>
        </w:tc>
        <w:tc>
          <w:tcPr>
            <w:tcW w:w="4394" w:type="dxa"/>
          </w:tcPr>
          <w:p w14:paraId="50D47E46" w14:textId="1B31601D" w:rsidR="000E38BD" w:rsidRPr="000E38BD" w:rsidRDefault="000E38BD" w:rsidP="000E38BD">
            <w:pPr>
              <w:pStyle w:val="ARtabletext"/>
              <w:rPr>
                <w:highlight w:val="yellow"/>
              </w:rPr>
            </w:pPr>
            <w:r w:rsidRPr="000E38BD">
              <w:t>Indicators under development in 2023</w:t>
            </w:r>
            <w:r w:rsidR="002B4497">
              <w:t>–</w:t>
            </w:r>
            <w:r w:rsidRPr="000E38BD">
              <w:t>24</w:t>
            </w:r>
          </w:p>
        </w:tc>
        <w:tc>
          <w:tcPr>
            <w:tcW w:w="2823" w:type="dxa"/>
          </w:tcPr>
          <w:p w14:paraId="02FD1EC5" w14:textId="77777777" w:rsidR="000E38BD" w:rsidRPr="000E38BD" w:rsidRDefault="000E38BD" w:rsidP="000E38BD">
            <w:pPr>
              <w:pStyle w:val="ARtabletext"/>
            </w:pPr>
            <w:r w:rsidRPr="000E38BD">
              <w:t>All departmental outputs</w:t>
            </w:r>
          </w:p>
        </w:tc>
      </w:tr>
    </w:tbl>
    <w:p w14:paraId="5A27BEDD" w14:textId="7F23F8B3" w:rsidR="000E38BD" w:rsidRPr="00791555" w:rsidRDefault="000E38BD" w:rsidP="005A07E0">
      <w:pPr>
        <w:pStyle w:val="Heading2"/>
        <w:spacing w:before="480"/>
      </w:pPr>
      <w:bookmarkStart w:id="60" w:name="_Toc181101492"/>
      <w:r w:rsidRPr="00791555">
        <w:t>Changes to the department during 2023–24</w:t>
      </w:r>
      <w:bookmarkEnd w:id="60"/>
    </w:p>
    <w:p w14:paraId="41D21102" w14:textId="77777777" w:rsidR="000E38BD" w:rsidRPr="00687B2A" w:rsidRDefault="000E38BD" w:rsidP="00F64CF1">
      <w:pPr>
        <w:pStyle w:val="ARbodybeforetable"/>
      </w:pPr>
      <w:r w:rsidRPr="00687B2A">
        <w:t xml:space="preserve">The </w:t>
      </w:r>
      <w:r w:rsidRPr="00F64CF1">
        <w:t>department</w:t>
      </w:r>
      <w:r w:rsidRPr="00687B2A">
        <w:t xml:space="preserve"> has made changes to its output structure for </w:t>
      </w:r>
      <w:bookmarkStart w:id="61" w:name="_Hlk109312987"/>
      <w:r w:rsidRPr="00687B2A">
        <w:t xml:space="preserve">2023–24 </w:t>
      </w:r>
      <w:bookmarkEnd w:id="61"/>
      <w:r w:rsidRPr="00687B2A">
        <w:t>as shown in the table below.</w:t>
      </w:r>
    </w:p>
    <w:tbl>
      <w:tblPr>
        <w:tblStyle w:val="TableGrid"/>
        <w:tblW w:w="9639" w:type="dxa"/>
        <w:tblLook w:val="06E0" w:firstRow="1" w:lastRow="1" w:firstColumn="1" w:lastColumn="0" w:noHBand="1" w:noVBand="1"/>
      </w:tblPr>
      <w:tblGrid>
        <w:gridCol w:w="2834"/>
        <w:gridCol w:w="2836"/>
        <w:gridCol w:w="3969"/>
      </w:tblGrid>
      <w:tr w:rsidR="000E38BD" w:rsidRPr="00A839BE" w14:paraId="3457A7D0" w14:textId="77777777" w:rsidTr="00007894">
        <w:trPr>
          <w:cnfStyle w:val="100000000000" w:firstRow="1" w:lastRow="0" w:firstColumn="0" w:lastColumn="0" w:oddVBand="0" w:evenVBand="0" w:oddHBand="0" w:evenHBand="0" w:firstRowFirstColumn="0" w:firstRowLastColumn="0" w:lastRowFirstColumn="0" w:lastRowLastColumn="0"/>
          <w:tblHeader/>
        </w:trPr>
        <w:tc>
          <w:tcPr>
            <w:tcW w:w="2834" w:type="dxa"/>
          </w:tcPr>
          <w:p w14:paraId="32E342B5" w14:textId="77777777" w:rsidR="000E38BD" w:rsidRPr="00F64CF1" w:rsidRDefault="000E38BD" w:rsidP="00F64CF1">
            <w:pPr>
              <w:pStyle w:val="ARtablecolhead"/>
              <w:rPr>
                <w:highlight w:val="cyan"/>
              </w:rPr>
            </w:pPr>
            <w:r w:rsidRPr="00F64CF1">
              <w:t>2022–23 outputs</w:t>
            </w:r>
          </w:p>
        </w:tc>
        <w:tc>
          <w:tcPr>
            <w:tcW w:w="2836" w:type="dxa"/>
          </w:tcPr>
          <w:p w14:paraId="5382F072" w14:textId="77777777" w:rsidR="000E38BD" w:rsidRPr="00F64CF1" w:rsidRDefault="000E38BD" w:rsidP="00F64CF1">
            <w:pPr>
              <w:pStyle w:val="ARtablecolhead"/>
              <w:rPr>
                <w:highlight w:val="cyan"/>
              </w:rPr>
            </w:pPr>
            <w:r w:rsidRPr="00F64CF1">
              <w:t>2023–24 outputs</w:t>
            </w:r>
          </w:p>
        </w:tc>
        <w:tc>
          <w:tcPr>
            <w:tcW w:w="3969" w:type="dxa"/>
          </w:tcPr>
          <w:p w14:paraId="614F2552" w14:textId="77777777" w:rsidR="000E38BD" w:rsidRPr="00F64CF1" w:rsidRDefault="000E38BD" w:rsidP="00F64CF1">
            <w:pPr>
              <w:pStyle w:val="ARtablecolhead"/>
              <w:rPr>
                <w:highlight w:val="cyan"/>
              </w:rPr>
            </w:pPr>
            <w:r w:rsidRPr="00F64CF1">
              <w:t>Reason</w:t>
            </w:r>
          </w:p>
        </w:tc>
      </w:tr>
      <w:tr w:rsidR="000E38BD" w:rsidRPr="00A839BE" w14:paraId="3618CB9A" w14:textId="77777777" w:rsidTr="00007894">
        <w:tc>
          <w:tcPr>
            <w:tcW w:w="2834" w:type="dxa"/>
          </w:tcPr>
          <w:p w14:paraId="21CD950E" w14:textId="2DE3AE23" w:rsidR="000E38BD" w:rsidRPr="00F64CF1" w:rsidRDefault="000E38BD" w:rsidP="00F64CF1">
            <w:pPr>
              <w:pStyle w:val="ARtabletext"/>
              <w:rPr>
                <w:highlight w:val="cyan"/>
              </w:rPr>
            </w:pPr>
            <w:r w:rsidRPr="00F64CF1">
              <w:t>Multicultural affairs policy and</w:t>
            </w:r>
            <w:r w:rsidR="00B053BE">
              <w:t> </w:t>
            </w:r>
            <w:r w:rsidRPr="00F64CF1">
              <w:t>programs</w:t>
            </w:r>
          </w:p>
        </w:tc>
        <w:tc>
          <w:tcPr>
            <w:tcW w:w="2836" w:type="dxa"/>
          </w:tcPr>
          <w:p w14:paraId="66DC004B" w14:textId="77777777" w:rsidR="000E38BD" w:rsidRPr="00F64CF1" w:rsidRDefault="000E38BD" w:rsidP="00F64CF1">
            <w:pPr>
              <w:pStyle w:val="ARtabletext"/>
            </w:pPr>
            <w:r w:rsidRPr="00F64CF1">
              <w:t>n/a</w:t>
            </w:r>
          </w:p>
        </w:tc>
        <w:tc>
          <w:tcPr>
            <w:tcW w:w="3969" w:type="dxa"/>
          </w:tcPr>
          <w:p w14:paraId="21041EA8" w14:textId="009B58F3" w:rsidR="000E38BD" w:rsidRPr="00F64CF1" w:rsidRDefault="000E38BD" w:rsidP="00F64CF1">
            <w:pPr>
              <w:pStyle w:val="ARtabletext"/>
              <w:rPr>
                <w:highlight w:val="cyan"/>
              </w:rPr>
            </w:pPr>
            <w:r w:rsidRPr="00F64CF1">
              <w:t xml:space="preserve">Output transferred to Department of Premier and Cabinet due to Machinery of Government changes on 1 February 2024. </w:t>
            </w:r>
          </w:p>
        </w:tc>
      </w:tr>
    </w:tbl>
    <w:p w14:paraId="7047B21A" w14:textId="77777777" w:rsidR="000E38BD" w:rsidRPr="00E23223" w:rsidRDefault="000E38BD" w:rsidP="00333387">
      <w:pPr>
        <w:pStyle w:val="Heading3"/>
      </w:pPr>
      <w:bookmarkStart w:id="62" w:name="_Ref178660962"/>
      <w:r w:rsidRPr="00F64CF1">
        <w:t>Subsequent</w:t>
      </w:r>
      <w:r w:rsidRPr="00E23223">
        <w:t xml:space="preserve"> events</w:t>
      </w:r>
      <w:bookmarkEnd w:id="62"/>
    </w:p>
    <w:p w14:paraId="09888383" w14:textId="5A17C4D4" w:rsidR="000E38BD" w:rsidRDefault="000E38BD" w:rsidP="00F64CF1">
      <w:pPr>
        <w:pStyle w:val="ARbody"/>
      </w:pPr>
      <w:r w:rsidRPr="001854F2">
        <w:t>As announced in the 2023</w:t>
      </w:r>
      <w:r w:rsidR="002B4497">
        <w:t>–</w:t>
      </w:r>
      <w:r w:rsidRPr="001854F2">
        <w:t xml:space="preserve">24 </w:t>
      </w:r>
      <w:r>
        <w:t>S</w:t>
      </w:r>
      <w:r w:rsidRPr="001854F2">
        <w:t xml:space="preserve">tate </w:t>
      </w:r>
      <w:r>
        <w:t>B</w:t>
      </w:r>
      <w:r w:rsidRPr="001854F2">
        <w:t>udget, the department was required to deliver savings as part of the state</w:t>
      </w:r>
      <w:r w:rsidR="00711AE6">
        <w:t>’</w:t>
      </w:r>
      <w:r w:rsidRPr="001854F2">
        <w:t xml:space="preserve">s </w:t>
      </w:r>
      <w:r w:rsidRPr="00F64CF1">
        <w:t>COVID</w:t>
      </w:r>
      <w:r w:rsidRPr="001854F2">
        <w:t xml:space="preserve"> debt repayment plan.</w:t>
      </w:r>
      <w:r>
        <w:t xml:space="preserve"> Savings were primarily achieved through reducing the number of staff employed by the department. This reduction was designed to avoid impacting frontline services. The change process was conducted consistent with clause 11 of the Victorian Public Service Enterprise Bargaining Agreement 2020, with the department</w:t>
      </w:r>
      <w:r w:rsidR="00711AE6">
        <w:t>’</w:t>
      </w:r>
      <w:r>
        <w:t xml:space="preserve">s new structure operational from 18 December 2023. Overall, this drove a </w:t>
      </w:r>
      <w:r w:rsidRPr="003861A1">
        <w:t>200</w:t>
      </w:r>
      <w:r>
        <w:t xml:space="preserve"> FTE reduction in VPS employees from 30 June 2023 to 30 June 2024.</w:t>
      </w:r>
    </w:p>
    <w:p w14:paraId="5F04A6D6" w14:textId="77777777" w:rsidR="005A07E0" w:rsidRPr="00A154B3" w:rsidRDefault="005A07E0" w:rsidP="00A154B3">
      <w:pPr>
        <w:pStyle w:val="ARbody"/>
      </w:pPr>
      <w:r>
        <w:br w:type="page"/>
      </w:r>
    </w:p>
    <w:p w14:paraId="3BDF62E3" w14:textId="76D14D8D" w:rsidR="000E38BD" w:rsidRDefault="000E38BD" w:rsidP="00007894">
      <w:pPr>
        <w:pStyle w:val="Heading2"/>
      </w:pPr>
      <w:bookmarkStart w:id="63" w:name="_Toc181101493"/>
      <w:r w:rsidRPr="00945C79">
        <w:t xml:space="preserve">Direct costs </w:t>
      </w:r>
      <w:r w:rsidRPr="00007894">
        <w:t>attributable</w:t>
      </w:r>
      <w:r w:rsidRPr="00945C79">
        <w:t xml:space="preserve"> to </w:t>
      </w:r>
      <w:r w:rsidR="000E594E">
        <w:t>M</w:t>
      </w:r>
      <w:r w:rsidRPr="00945C79">
        <w:t xml:space="preserve">achinery of </w:t>
      </w:r>
      <w:r w:rsidR="000E594E">
        <w:t>G</w:t>
      </w:r>
      <w:r w:rsidRPr="00F64CF1">
        <w:t>overnment</w:t>
      </w:r>
      <w:r w:rsidRPr="00945C79">
        <w:t xml:space="preserve"> changes</w:t>
      </w:r>
      <w:bookmarkEnd w:id="63"/>
    </w:p>
    <w:p w14:paraId="397B6C9A" w14:textId="6A63465F" w:rsidR="009E2800" w:rsidRPr="009E2800" w:rsidRDefault="009E2800" w:rsidP="009E2800">
      <w:pPr>
        <w:pStyle w:val="ARbody"/>
        <w:rPr>
          <w:lang w:eastAsia="en-AU"/>
        </w:rPr>
      </w:pPr>
      <w:r w:rsidRPr="009E2800">
        <w:rPr>
          <w:lang w:eastAsia="en-AU"/>
        </w:rPr>
        <w:t xml:space="preserve">In November 2023, the government issued an administrative order restructuring some of its activities via </w:t>
      </w:r>
      <w:r w:rsidR="000E594E">
        <w:rPr>
          <w:lang w:eastAsia="en-AU"/>
        </w:rPr>
        <w:t>M</w:t>
      </w:r>
      <w:r w:rsidRPr="009E2800">
        <w:rPr>
          <w:lang w:eastAsia="en-AU"/>
        </w:rPr>
        <w:t xml:space="preserve">achinery of </w:t>
      </w:r>
      <w:r w:rsidR="000E594E">
        <w:rPr>
          <w:lang w:eastAsia="en-AU"/>
        </w:rPr>
        <w:t>G</w:t>
      </w:r>
      <w:r w:rsidRPr="009E2800">
        <w:rPr>
          <w:lang w:eastAsia="en-AU"/>
        </w:rPr>
        <w:t>overnment (MoG) changes, taking effect from 1 February 2024. The Department of Families, Fairness and Housing (as transferor) transferred the Multicultural Affairs functions to</w:t>
      </w:r>
      <w:r>
        <w:rPr>
          <w:lang w:eastAsia="en-AU"/>
        </w:rPr>
        <w:t xml:space="preserve"> </w:t>
      </w:r>
      <w:r w:rsidRPr="009E2800">
        <w:rPr>
          <w:lang w:eastAsia="en-AU"/>
        </w:rPr>
        <w:t>the</w:t>
      </w:r>
      <w:r>
        <w:rPr>
          <w:lang w:eastAsia="en-AU"/>
        </w:rPr>
        <w:t xml:space="preserve"> </w:t>
      </w:r>
      <w:r w:rsidRPr="009E2800">
        <w:rPr>
          <w:lang w:eastAsia="en-AU"/>
        </w:rPr>
        <w:t>Department of Premier and Cabinet (as transferee) as part of the MoG. There were no direct costs that can be attributable solely to the MoG change that are incurred over and above business-as-usual (BAU).</w:t>
      </w:r>
    </w:p>
    <w:p w14:paraId="6CACC9F8" w14:textId="6674F5D3" w:rsidR="000E38BD" w:rsidRPr="00E63753" w:rsidRDefault="000E38BD" w:rsidP="005B39AF">
      <w:pPr>
        <w:pStyle w:val="Heading2"/>
        <w:spacing w:before="360"/>
        <w:rPr>
          <w:bCs w:val="0"/>
          <w:iCs w:val="0"/>
        </w:rPr>
      </w:pPr>
      <w:bookmarkStart w:id="64" w:name="_Ref178173301"/>
      <w:bookmarkStart w:id="65" w:name="_Toc181101494"/>
      <w:r w:rsidRPr="00E63753">
        <w:t>Progress towards achieving departmental</w:t>
      </w:r>
      <w:r w:rsidR="00F64CF1">
        <w:t> </w:t>
      </w:r>
      <w:r w:rsidRPr="00E63753">
        <w:t>objectives</w:t>
      </w:r>
      <w:bookmarkEnd w:id="64"/>
      <w:bookmarkEnd w:id="65"/>
    </w:p>
    <w:p w14:paraId="3BCD2C60" w14:textId="46F68DC9" w:rsidR="000E38BD" w:rsidRPr="00CC4E4F" w:rsidRDefault="000E38BD" w:rsidP="0088621E">
      <w:pPr>
        <w:pStyle w:val="ARbody"/>
        <w:rPr>
          <w:spacing w:val="-4"/>
        </w:rPr>
      </w:pPr>
      <w:r w:rsidRPr="00CC4E4F">
        <w:rPr>
          <w:spacing w:val="-4"/>
        </w:rPr>
        <w:t>The department works to create a more inclusive society, one in which people feel safe and can take part</w:t>
      </w:r>
      <w:r w:rsidR="00F64CF1" w:rsidRPr="00CC4E4F">
        <w:rPr>
          <w:spacing w:val="-4"/>
        </w:rPr>
        <w:t> </w:t>
      </w:r>
      <w:r w:rsidRPr="00CC4E4F">
        <w:rPr>
          <w:spacing w:val="-4"/>
        </w:rPr>
        <w:t>equally.</w:t>
      </w:r>
    </w:p>
    <w:p w14:paraId="3ED3A9CF" w14:textId="5CE6D34E" w:rsidR="00F64CF1" w:rsidRDefault="000E38BD" w:rsidP="00F64CF1">
      <w:pPr>
        <w:pStyle w:val="ARbody"/>
      </w:pPr>
      <w:r w:rsidRPr="00E63753">
        <w:t>This section reports the department</w:t>
      </w:r>
      <w:r w:rsidR="00711AE6">
        <w:t>’</w:t>
      </w:r>
      <w:r w:rsidRPr="00E63753">
        <w:t>s progress on its departmental objectives through indicators and outlines just some of the key initiatives and projects the department has dedicated itself to in the past year.</w:t>
      </w:r>
    </w:p>
    <w:p w14:paraId="5926502D" w14:textId="77777777" w:rsidR="000E38BD" w:rsidRDefault="000E38BD" w:rsidP="005B39AF">
      <w:pPr>
        <w:pStyle w:val="Heading2"/>
        <w:spacing w:before="360"/>
        <w:sectPr w:rsidR="000E38BD" w:rsidSect="005936D2">
          <w:headerReference w:type="even" r:id="rId67"/>
          <w:footerReference w:type="even" r:id="rId68"/>
          <w:footerReference w:type="default" r:id="rId69"/>
          <w:headerReference w:type="first" r:id="rId70"/>
          <w:footerReference w:type="first" r:id="rId71"/>
          <w:footnotePr>
            <w:numFmt w:val="lowerRoman"/>
            <w:numRestart w:val="eachPage"/>
          </w:footnotePr>
          <w:endnotePr>
            <w:numFmt w:val="decimal"/>
          </w:endnotePr>
          <w:pgSz w:w="11900" w:h="16840" w:code="9"/>
          <w:pgMar w:top="1701" w:right="1134" w:bottom="851" w:left="1134" w:header="510" w:footer="340" w:gutter="0"/>
          <w:cols w:space="448"/>
          <w:docGrid w:linePitch="299"/>
        </w:sectPr>
      </w:pPr>
      <w:bookmarkStart w:id="66" w:name="_Toc173830386"/>
      <w:bookmarkStart w:id="67" w:name="_Toc181101495"/>
      <w:bookmarkStart w:id="68" w:name="_Toc114491191"/>
      <w:r w:rsidRPr="00E53931">
        <w:t>Departmental objectives, indicators and outputs</w:t>
      </w:r>
      <w:bookmarkEnd w:id="66"/>
      <w:bookmarkEnd w:id="67"/>
      <w:r w:rsidRPr="00E53931">
        <w:t xml:space="preserve"> </w:t>
      </w:r>
      <w:bookmarkStart w:id="69" w:name="_Toc173830387"/>
      <w:bookmarkEnd w:id="68"/>
    </w:p>
    <w:p w14:paraId="2DDEB05B" w14:textId="77777777" w:rsidR="000E38BD" w:rsidRPr="00D526BC" w:rsidRDefault="000E38BD" w:rsidP="00333387">
      <w:pPr>
        <w:pStyle w:val="Heading3"/>
      </w:pPr>
      <w:r w:rsidRPr="004B4085">
        <w:t>Objective</w:t>
      </w:r>
      <w:r>
        <w:t xml:space="preserve"> </w:t>
      </w:r>
      <w:bookmarkStart w:id="70" w:name="_Toc173830425"/>
      <w:bookmarkEnd w:id="69"/>
      <w:r>
        <w:t>–</w:t>
      </w:r>
      <w:r w:rsidRPr="00D526BC">
        <w:t xml:space="preserve"> Children, young people and families are safe,</w:t>
      </w:r>
      <w:r>
        <w:t xml:space="preserve"> strong and supported</w:t>
      </w:r>
      <w:bookmarkEnd w:id="70"/>
    </w:p>
    <w:p w14:paraId="53205D03" w14:textId="77777777" w:rsidR="000E38BD" w:rsidRDefault="000E38BD" w:rsidP="00F64CF1">
      <w:pPr>
        <w:pStyle w:val="ARbody"/>
      </w:pPr>
      <w:r w:rsidRPr="00D526BC">
        <w:t>This objective aims to ensure that Victorian families, carers and individuals have supportive and respectful relationships and are safe from harm, fear and neglect in their homes. This includes addressing the compounding effects of abuse and violence; improving support and recovery for both victim survivors and perpetrators; and ensuring the wellbeing of children and young people in care.</w:t>
      </w:r>
    </w:p>
    <w:p w14:paraId="75FA2AA3" w14:textId="77777777" w:rsidR="000E38BD" w:rsidRPr="00EB6021" w:rsidRDefault="000E38BD" w:rsidP="0088621E">
      <w:pPr>
        <w:pStyle w:val="Heading4"/>
      </w:pPr>
      <w:bookmarkStart w:id="71" w:name="_Toc173830426"/>
      <w:r w:rsidRPr="00EB6021">
        <w:t>Indicator results</w:t>
      </w:r>
      <w:bookmarkEnd w:id="71"/>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E0" w:firstRow="1" w:lastRow="1" w:firstColumn="1" w:lastColumn="0" w:noHBand="1" w:noVBand="1"/>
      </w:tblPr>
      <w:tblGrid>
        <w:gridCol w:w="6230"/>
        <w:gridCol w:w="1134"/>
        <w:gridCol w:w="1134"/>
        <w:gridCol w:w="1134"/>
      </w:tblGrid>
      <w:tr w:rsidR="000E38BD" w:rsidRPr="00532DAE" w14:paraId="4D38E293" w14:textId="77777777" w:rsidTr="005B39AF">
        <w:trPr>
          <w:cantSplit/>
          <w:trHeight w:val="157"/>
          <w:tblHeader/>
        </w:trPr>
        <w:tc>
          <w:tcPr>
            <w:tcW w:w="6237" w:type="dxa"/>
            <w:tcBorders>
              <w:top w:val="nil"/>
              <w:left w:val="nil"/>
              <w:bottom w:val="single" w:sz="4" w:space="0" w:color="auto"/>
              <w:right w:val="nil"/>
            </w:tcBorders>
            <w:vAlign w:val="bottom"/>
          </w:tcPr>
          <w:p w14:paraId="1942A11C" w14:textId="77777777" w:rsidR="000E38BD" w:rsidRPr="0078715C" w:rsidRDefault="000E38BD" w:rsidP="00470AF7">
            <w:pPr>
              <w:pStyle w:val="ARtablecolhead"/>
            </w:pPr>
          </w:p>
        </w:tc>
        <w:tc>
          <w:tcPr>
            <w:tcW w:w="1134" w:type="dxa"/>
            <w:tcBorders>
              <w:top w:val="nil"/>
              <w:left w:val="nil"/>
              <w:bottom w:val="single" w:sz="4" w:space="0" w:color="auto"/>
              <w:right w:val="nil"/>
            </w:tcBorders>
            <w:vAlign w:val="bottom"/>
          </w:tcPr>
          <w:p w14:paraId="2C2B663F" w14:textId="77777777" w:rsidR="000E38BD" w:rsidRPr="0078715C" w:rsidRDefault="000E38BD" w:rsidP="00470AF7">
            <w:pPr>
              <w:pStyle w:val="ARtablecolheadright"/>
            </w:pPr>
            <w:r w:rsidRPr="00470AF7">
              <w:t>2021</w:t>
            </w:r>
            <w:r w:rsidRPr="0078715C">
              <w:t>–22</w:t>
            </w:r>
          </w:p>
        </w:tc>
        <w:tc>
          <w:tcPr>
            <w:tcW w:w="1134" w:type="dxa"/>
            <w:tcBorders>
              <w:top w:val="nil"/>
              <w:left w:val="nil"/>
              <w:bottom w:val="single" w:sz="4" w:space="0" w:color="auto"/>
              <w:right w:val="nil"/>
            </w:tcBorders>
          </w:tcPr>
          <w:p w14:paraId="17FE45C6" w14:textId="77777777" w:rsidR="000E38BD" w:rsidRPr="0078715C" w:rsidRDefault="000E38BD" w:rsidP="00470AF7">
            <w:pPr>
              <w:pStyle w:val="ARtablecolheadright"/>
            </w:pPr>
            <w:r w:rsidRPr="0078715C">
              <w:t>2022–23</w:t>
            </w:r>
          </w:p>
        </w:tc>
        <w:tc>
          <w:tcPr>
            <w:tcW w:w="1134" w:type="dxa"/>
            <w:tcBorders>
              <w:top w:val="nil"/>
              <w:left w:val="nil"/>
              <w:bottom w:val="single" w:sz="4" w:space="0" w:color="auto"/>
              <w:right w:val="nil"/>
            </w:tcBorders>
          </w:tcPr>
          <w:p w14:paraId="10C769F7" w14:textId="77777777" w:rsidR="000E38BD" w:rsidRPr="00462404" w:rsidRDefault="000E38BD" w:rsidP="00470AF7">
            <w:pPr>
              <w:pStyle w:val="ARtablecolheadright"/>
              <w:rPr>
                <w:highlight w:val="cyan"/>
              </w:rPr>
            </w:pPr>
            <w:r w:rsidRPr="00FF3D34">
              <w:t>2023–24</w:t>
            </w:r>
          </w:p>
        </w:tc>
      </w:tr>
      <w:tr w:rsidR="000E38BD" w:rsidRPr="00532DAE" w14:paraId="47B0F51E" w14:textId="77777777" w:rsidTr="005B39AF">
        <w:trPr>
          <w:cantSplit/>
        </w:trPr>
        <w:tc>
          <w:tcPr>
            <w:tcW w:w="6237" w:type="dxa"/>
            <w:tcBorders>
              <w:top w:val="single" w:sz="4" w:space="0" w:color="A5A59D" w:themeColor="background2" w:themeShade="BF"/>
              <w:left w:val="nil"/>
              <w:bottom w:val="nil"/>
              <w:right w:val="nil"/>
            </w:tcBorders>
            <w:hideMark/>
          </w:tcPr>
          <w:p w14:paraId="1A5903F0" w14:textId="77777777" w:rsidR="000E38BD" w:rsidRPr="0078715C" w:rsidRDefault="000E38BD" w:rsidP="0088621E">
            <w:pPr>
              <w:pStyle w:val="ARtabletext"/>
              <w:ind w:right="170"/>
              <w:rPr>
                <w:i/>
              </w:rPr>
            </w:pPr>
            <w:r w:rsidRPr="0078715C">
              <w:t>Reports to Child Protection services about the wellbeing and safety of children</w:t>
            </w:r>
          </w:p>
        </w:tc>
        <w:tc>
          <w:tcPr>
            <w:tcW w:w="1134" w:type="dxa"/>
            <w:tcBorders>
              <w:top w:val="single" w:sz="4" w:space="0" w:color="A5A59D" w:themeColor="background2" w:themeShade="BF"/>
              <w:left w:val="nil"/>
              <w:bottom w:val="nil"/>
              <w:right w:val="nil"/>
            </w:tcBorders>
          </w:tcPr>
          <w:p w14:paraId="63F8BC31" w14:textId="77777777" w:rsidR="000E38BD" w:rsidRPr="0078715C" w:rsidRDefault="000E38BD" w:rsidP="00F64CF1">
            <w:pPr>
              <w:pStyle w:val="ARtabletextright"/>
            </w:pPr>
            <w:r w:rsidRPr="0078715C">
              <w:t>118,096</w:t>
            </w:r>
          </w:p>
        </w:tc>
        <w:tc>
          <w:tcPr>
            <w:tcW w:w="1134" w:type="dxa"/>
            <w:tcBorders>
              <w:top w:val="single" w:sz="4" w:space="0" w:color="A5A59D" w:themeColor="background2" w:themeShade="BF"/>
              <w:left w:val="nil"/>
              <w:bottom w:val="nil"/>
              <w:right w:val="nil"/>
            </w:tcBorders>
          </w:tcPr>
          <w:p w14:paraId="585891DF" w14:textId="77777777" w:rsidR="000E38BD" w:rsidRPr="0078715C" w:rsidRDefault="000E38BD" w:rsidP="00F64CF1">
            <w:pPr>
              <w:pStyle w:val="ARtabletextright"/>
            </w:pPr>
            <w:r w:rsidRPr="0078715C">
              <w:t>128,705</w:t>
            </w:r>
          </w:p>
        </w:tc>
        <w:tc>
          <w:tcPr>
            <w:tcW w:w="1134" w:type="dxa"/>
            <w:tcBorders>
              <w:top w:val="single" w:sz="4" w:space="0" w:color="A5A59D" w:themeColor="background2" w:themeShade="BF"/>
              <w:left w:val="nil"/>
              <w:bottom w:val="nil"/>
              <w:right w:val="nil"/>
            </w:tcBorders>
          </w:tcPr>
          <w:p w14:paraId="58E0EB55" w14:textId="77777777" w:rsidR="000E38BD" w:rsidRPr="00462404" w:rsidRDefault="000E38BD" w:rsidP="00F64CF1">
            <w:pPr>
              <w:pStyle w:val="ARtabletextright"/>
              <w:rPr>
                <w:highlight w:val="cyan"/>
              </w:rPr>
            </w:pPr>
            <w:r w:rsidRPr="00C32CAE">
              <w:t>139,612</w:t>
            </w:r>
          </w:p>
        </w:tc>
      </w:tr>
      <w:tr w:rsidR="000E38BD" w:rsidRPr="00532DAE" w14:paraId="28807919" w14:textId="77777777" w:rsidTr="005B39AF">
        <w:trPr>
          <w:cantSplit/>
        </w:trPr>
        <w:tc>
          <w:tcPr>
            <w:tcW w:w="6237" w:type="dxa"/>
            <w:tcBorders>
              <w:top w:val="single" w:sz="4" w:space="0" w:color="A5A59D" w:themeColor="background2" w:themeShade="BF"/>
              <w:left w:val="nil"/>
              <w:bottom w:val="single" w:sz="4" w:space="0" w:color="A6A6A6"/>
              <w:right w:val="nil"/>
            </w:tcBorders>
          </w:tcPr>
          <w:p w14:paraId="6AB8668C" w14:textId="77777777" w:rsidR="000E38BD" w:rsidRPr="0078715C" w:rsidRDefault="000E38BD" w:rsidP="0088621E">
            <w:pPr>
              <w:pStyle w:val="ARtabletext"/>
              <w:ind w:right="170"/>
            </w:pPr>
            <w:r w:rsidRPr="0078715C">
              <w:t>Daily average number of children in care placements</w:t>
            </w:r>
          </w:p>
        </w:tc>
        <w:tc>
          <w:tcPr>
            <w:tcW w:w="1134" w:type="dxa"/>
            <w:tcBorders>
              <w:top w:val="single" w:sz="4" w:space="0" w:color="A5A59D" w:themeColor="background2" w:themeShade="BF"/>
              <w:left w:val="nil"/>
              <w:bottom w:val="single" w:sz="4" w:space="0" w:color="A6A6A6"/>
              <w:right w:val="nil"/>
            </w:tcBorders>
          </w:tcPr>
          <w:p w14:paraId="3F430338" w14:textId="77777777" w:rsidR="000E38BD" w:rsidRPr="0078715C" w:rsidRDefault="000E38BD" w:rsidP="00F64CF1">
            <w:pPr>
              <w:pStyle w:val="ARtabletextright"/>
            </w:pPr>
            <w:r w:rsidRPr="0078715C">
              <w:t>9,618</w:t>
            </w:r>
          </w:p>
        </w:tc>
        <w:tc>
          <w:tcPr>
            <w:tcW w:w="1134" w:type="dxa"/>
            <w:tcBorders>
              <w:top w:val="single" w:sz="4" w:space="0" w:color="A5A59D" w:themeColor="background2" w:themeShade="BF"/>
              <w:left w:val="nil"/>
              <w:bottom w:val="single" w:sz="4" w:space="0" w:color="A6A6A6"/>
              <w:right w:val="nil"/>
            </w:tcBorders>
          </w:tcPr>
          <w:p w14:paraId="08DF4693" w14:textId="77777777" w:rsidR="000E38BD" w:rsidRPr="0078715C" w:rsidRDefault="000E38BD" w:rsidP="00F64CF1">
            <w:pPr>
              <w:pStyle w:val="ARtabletextright"/>
            </w:pPr>
            <w:r w:rsidRPr="0078715C">
              <w:t>9,366</w:t>
            </w:r>
          </w:p>
        </w:tc>
        <w:tc>
          <w:tcPr>
            <w:tcW w:w="1134" w:type="dxa"/>
            <w:tcBorders>
              <w:top w:val="single" w:sz="4" w:space="0" w:color="A5A59D" w:themeColor="background2" w:themeShade="BF"/>
              <w:left w:val="nil"/>
              <w:bottom w:val="single" w:sz="4" w:space="0" w:color="A6A6A6"/>
              <w:right w:val="nil"/>
            </w:tcBorders>
          </w:tcPr>
          <w:p w14:paraId="78A336F6" w14:textId="77777777" w:rsidR="000E38BD" w:rsidRPr="00462404" w:rsidRDefault="000E38BD" w:rsidP="00F64CF1">
            <w:pPr>
              <w:pStyle w:val="ARtabletextright"/>
              <w:rPr>
                <w:highlight w:val="cyan"/>
              </w:rPr>
            </w:pPr>
            <w:r w:rsidRPr="006C5DC1">
              <w:t>9,316</w:t>
            </w:r>
          </w:p>
        </w:tc>
      </w:tr>
      <w:tr w:rsidR="000E38BD" w:rsidRPr="00532DAE" w14:paraId="7E5CA1FE" w14:textId="77777777" w:rsidTr="005B39AF">
        <w:trPr>
          <w:cantSplit/>
        </w:trPr>
        <w:tc>
          <w:tcPr>
            <w:tcW w:w="6237" w:type="dxa"/>
            <w:tcBorders>
              <w:top w:val="single" w:sz="4" w:space="0" w:color="A5A59D" w:themeColor="background2" w:themeShade="BF"/>
              <w:left w:val="nil"/>
              <w:bottom w:val="single" w:sz="4" w:space="0" w:color="A5A59D" w:themeColor="background2" w:themeShade="BF"/>
              <w:right w:val="nil"/>
            </w:tcBorders>
            <w:hideMark/>
          </w:tcPr>
          <w:p w14:paraId="63B28620" w14:textId="77777777" w:rsidR="000E38BD" w:rsidRPr="0078715C" w:rsidRDefault="000E38BD" w:rsidP="0088621E">
            <w:pPr>
              <w:pStyle w:val="ARtabletext"/>
              <w:ind w:right="170"/>
              <w:rPr>
                <w:i/>
              </w:rPr>
            </w:pPr>
            <w:r w:rsidRPr="0078715C">
              <w:t xml:space="preserve">Children and young people in care who have had </w:t>
            </w:r>
            <w:r>
              <w:t>2</w:t>
            </w:r>
            <w:r w:rsidRPr="0078715C">
              <w:t xml:space="preserve"> or </w:t>
            </w:r>
            <w:r>
              <w:t xml:space="preserve">less </w:t>
            </w:r>
            <w:r w:rsidRPr="0078715C">
              <w:t xml:space="preserve">placements in the past 12 months (not including </w:t>
            </w:r>
            <w:r w:rsidRPr="0078715C" w:rsidDel="001B5D9E">
              <w:t xml:space="preserve">placements </w:t>
            </w:r>
            <w:r w:rsidRPr="0078715C">
              <w:t>at home)</w:t>
            </w:r>
          </w:p>
        </w:tc>
        <w:tc>
          <w:tcPr>
            <w:tcW w:w="1134" w:type="dxa"/>
            <w:tcBorders>
              <w:top w:val="single" w:sz="4" w:space="0" w:color="A5A59D" w:themeColor="background2" w:themeShade="BF"/>
              <w:left w:val="nil"/>
              <w:bottom w:val="single" w:sz="4" w:space="0" w:color="A5A59D" w:themeColor="background2" w:themeShade="BF"/>
              <w:right w:val="nil"/>
            </w:tcBorders>
          </w:tcPr>
          <w:p w14:paraId="52D075DB" w14:textId="77777777" w:rsidR="000E38BD" w:rsidRPr="0078715C" w:rsidRDefault="000E38BD" w:rsidP="00F64CF1">
            <w:pPr>
              <w:pStyle w:val="ARtabletextright"/>
            </w:pPr>
            <w:r w:rsidRPr="0078715C">
              <w:t>92.9%</w:t>
            </w:r>
          </w:p>
        </w:tc>
        <w:tc>
          <w:tcPr>
            <w:tcW w:w="1134" w:type="dxa"/>
            <w:tcBorders>
              <w:top w:val="single" w:sz="4" w:space="0" w:color="A5A59D" w:themeColor="background2" w:themeShade="BF"/>
              <w:left w:val="nil"/>
              <w:bottom w:val="single" w:sz="4" w:space="0" w:color="A5A59D" w:themeColor="background2" w:themeShade="BF"/>
              <w:right w:val="nil"/>
            </w:tcBorders>
          </w:tcPr>
          <w:p w14:paraId="2246328B" w14:textId="77777777" w:rsidR="000E38BD" w:rsidRPr="0078715C" w:rsidRDefault="000E38BD" w:rsidP="00F64CF1">
            <w:pPr>
              <w:pStyle w:val="ARtabletextright"/>
            </w:pPr>
            <w:r w:rsidRPr="0078715C">
              <w:t>93.1%</w:t>
            </w:r>
          </w:p>
        </w:tc>
        <w:tc>
          <w:tcPr>
            <w:tcW w:w="1134" w:type="dxa"/>
            <w:tcBorders>
              <w:top w:val="single" w:sz="4" w:space="0" w:color="A5A59D" w:themeColor="background2" w:themeShade="BF"/>
              <w:left w:val="nil"/>
              <w:bottom w:val="single" w:sz="4" w:space="0" w:color="A5A59D" w:themeColor="background2" w:themeShade="BF"/>
              <w:right w:val="nil"/>
            </w:tcBorders>
          </w:tcPr>
          <w:p w14:paraId="7A0DCC1E" w14:textId="77777777" w:rsidR="000E38BD" w:rsidRPr="00462404" w:rsidRDefault="000E38BD" w:rsidP="00F64CF1">
            <w:pPr>
              <w:pStyle w:val="ARtabletextright"/>
              <w:rPr>
                <w:highlight w:val="cyan"/>
              </w:rPr>
            </w:pPr>
            <w:r w:rsidRPr="00F60295">
              <w:t>94%</w:t>
            </w:r>
          </w:p>
        </w:tc>
      </w:tr>
      <w:tr w:rsidR="000E38BD" w:rsidRPr="00532DAE" w14:paraId="6F57D709" w14:textId="77777777" w:rsidTr="005B39AF">
        <w:trPr>
          <w:cantSplit/>
        </w:trPr>
        <w:tc>
          <w:tcPr>
            <w:tcW w:w="6237" w:type="dxa"/>
            <w:tcBorders>
              <w:top w:val="single" w:sz="4" w:space="0" w:color="BFBFBF" w:themeColor="background1" w:themeShade="BF"/>
              <w:left w:val="nil"/>
              <w:bottom w:val="nil"/>
              <w:right w:val="nil"/>
            </w:tcBorders>
            <w:vAlign w:val="center"/>
            <w:hideMark/>
          </w:tcPr>
          <w:p w14:paraId="42BF7A4B" w14:textId="77777777" w:rsidR="000E38BD" w:rsidRPr="0078715C" w:rsidRDefault="000E38BD" w:rsidP="0088621E">
            <w:pPr>
              <w:pStyle w:val="ARtabletext"/>
              <w:ind w:right="170"/>
              <w:rPr>
                <w:i/>
              </w:rPr>
            </w:pPr>
            <w:r w:rsidRPr="0078715C">
              <w:t>Children and young people who were the subject of a substantiated report within 12 months of the closure of a previous substantiated report</w:t>
            </w:r>
          </w:p>
        </w:tc>
        <w:tc>
          <w:tcPr>
            <w:tcW w:w="1134" w:type="dxa"/>
            <w:tcBorders>
              <w:top w:val="single" w:sz="4" w:space="0" w:color="BFBFBF" w:themeColor="background1" w:themeShade="BF"/>
              <w:left w:val="nil"/>
              <w:bottom w:val="nil"/>
              <w:right w:val="nil"/>
            </w:tcBorders>
          </w:tcPr>
          <w:p w14:paraId="46C3742D" w14:textId="77777777" w:rsidR="000E38BD" w:rsidRPr="0078715C" w:rsidRDefault="000E38BD" w:rsidP="00F64CF1">
            <w:pPr>
              <w:pStyle w:val="ARtabletextright"/>
            </w:pPr>
            <w:r w:rsidRPr="0078715C">
              <w:t>16.5%</w:t>
            </w:r>
          </w:p>
        </w:tc>
        <w:tc>
          <w:tcPr>
            <w:tcW w:w="1134" w:type="dxa"/>
            <w:tcBorders>
              <w:top w:val="single" w:sz="4" w:space="0" w:color="BFBFBF" w:themeColor="background1" w:themeShade="BF"/>
              <w:left w:val="nil"/>
              <w:bottom w:val="nil"/>
              <w:right w:val="nil"/>
            </w:tcBorders>
          </w:tcPr>
          <w:p w14:paraId="534CAF86" w14:textId="77777777" w:rsidR="000E38BD" w:rsidRPr="0078715C" w:rsidRDefault="000E38BD" w:rsidP="00F64CF1">
            <w:pPr>
              <w:pStyle w:val="ARtabletextright"/>
            </w:pPr>
            <w:r w:rsidRPr="0078715C">
              <w:t>16.1%</w:t>
            </w:r>
          </w:p>
        </w:tc>
        <w:tc>
          <w:tcPr>
            <w:tcW w:w="1134" w:type="dxa"/>
            <w:tcBorders>
              <w:top w:val="single" w:sz="4" w:space="0" w:color="BFBFBF" w:themeColor="background1" w:themeShade="BF"/>
              <w:left w:val="nil"/>
              <w:bottom w:val="nil"/>
              <w:right w:val="nil"/>
            </w:tcBorders>
          </w:tcPr>
          <w:p w14:paraId="3FF684F7" w14:textId="77777777" w:rsidR="000E38BD" w:rsidRPr="00462404" w:rsidRDefault="000E38BD" w:rsidP="00F64CF1">
            <w:pPr>
              <w:pStyle w:val="ARtabletextright"/>
              <w:rPr>
                <w:highlight w:val="cyan"/>
              </w:rPr>
            </w:pPr>
            <w:r w:rsidRPr="00025582">
              <w:t>19.3%</w:t>
            </w:r>
          </w:p>
        </w:tc>
      </w:tr>
      <w:tr w:rsidR="000E38BD" w:rsidRPr="00532DAE" w14:paraId="1B41958B" w14:textId="77777777" w:rsidTr="005B39AF">
        <w:trPr>
          <w:cantSplit/>
        </w:trPr>
        <w:tc>
          <w:tcPr>
            <w:tcW w:w="6237" w:type="dxa"/>
            <w:tcBorders>
              <w:top w:val="single" w:sz="4" w:space="0" w:color="A6A6A6"/>
              <w:left w:val="nil"/>
              <w:bottom w:val="single" w:sz="4" w:space="0" w:color="A5A59D" w:themeColor="background2" w:themeShade="BF"/>
              <w:right w:val="nil"/>
            </w:tcBorders>
          </w:tcPr>
          <w:p w14:paraId="17E17646" w14:textId="77777777" w:rsidR="000E38BD" w:rsidRPr="0078715C" w:rsidRDefault="000E38BD" w:rsidP="0088621E">
            <w:pPr>
              <w:pStyle w:val="ARtabletext"/>
              <w:ind w:right="170"/>
            </w:pPr>
            <w:r w:rsidRPr="0078715C">
              <w:t>Total assessments undertaken at the Support and Safety Hubs</w:t>
            </w:r>
          </w:p>
        </w:tc>
        <w:tc>
          <w:tcPr>
            <w:tcW w:w="1134" w:type="dxa"/>
            <w:tcBorders>
              <w:top w:val="single" w:sz="4" w:space="0" w:color="A6A6A6"/>
              <w:left w:val="nil"/>
              <w:bottom w:val="single" w:sz="4" w:space="0" w:color="A5A59D" w:themeColor="background2" w:themeShade="BF"/>
              <w:right w:val="nil"/>
            </w:tcBorders>
          </w:tcPr>
          <w:p w14:paraId="3F83149A" w14:textId="77777777" w:rsidR="000E38BD" w:rsidRPr="0078715C" w:rsidRDefault="000E38BD" w:rsidP="00F64CF1">
            <w:pPr>
              <w:pStyle w:val="ARtabletextright"/>
            </w:pPr>
            <w:r w:rsidRPr="0078715C">
              <w:t>67,480</w:t>
            </w:r>
          </w:p>
        </w:tc>
        <w:tc>
          <w:tcPr>
            <w:tcW w:w="1134" w:type="dxa"/>
            <w:tcBorders>
              <w:top w:val="single" w:sz="4" w:space="0" w:color="A6A6A6"/>
              <w:left w:val="nil"/>
              <w:bottom w:val="single" w:sz="4" w:space="0" w:color="A5A59D" w:themeColor="background2" w:themeShade="BF"/>
              <w:right w:val="nil"/>
            </w:tcBorders>
          </w:tcPr>
          <w:p w14:paraId="22BA2220" w14:textId="77777777" w:rsidR="000E38BD" w:rsidRPr="0078715C" w:rsidRDefault="000E38BD" w:rsidP="00F64CF1">
            <w:pPr>
              <w:pStyle w:val="ARtabletextright"/>
            </w:pPr>
            <w:r w:rsidRPr="0078715C">
              <w:t>122,229</w:t>
            </w:r>
          </w:p>
        </w:tc>
        <w:tc>
          <w:tcPr>
            <w:tcW w:w="1134" w:type="dxa"/>
            <w:tcBorders>
              <w:top w:val="single" w:sz="4" w:space="0" w:color="A6A6A6"/>
              <w:left w:val="nil"/>
              <w:bottom w:val="single" w:sz="4" w:space="0" w:color="A5A59D" w:themeColor="background2" w:themeShade="BF"/>
              <w:right w:val="nil"/>
            </w:tcBorders>
          </w:tcPr>
          <w:p w14:paraId="59BBF8B8" w14:textId="77777777" w:rsidR="000E38BD" w:rsidRPr="00462404" w:rsidRDefault="000E38BD" w:rsidP="00F64CF1">
            <w:pPr>
              <w:pStyle w:val="ARtabletextright"/>
              <w:rPr>
                <w:highlight w:val="cyan"/>
              </w:rPr>
            </w:pPr>
            <w:r w:rsidRPr="001F5312">
              <w:t>176,012</w:t>
            </w:r>
          </w:p>
        </w:tc>
      </w:tr>
      <w:tr w:rsidR="000E38BD" w:rsidRPr="00532DAE" w14:paraId="7649FCD5" w14:textId="77777777" w:rsidTr="005B39AF">
        <w:trPr>
          <w:cantSplit/>
        </w:trPr>
        <w:tc>
          <w:tcPr>
            <w:tcW w:w="6237" w:type="dxa"/>
            <w:tcBorders>
              <w:top w:val="single" w:sz="4" w:space="0" w:color="A5A59D" w:themeColor="background2" w:themeShade="BF"/>
              <w:left w:val="nil"/>
              <w:bottom w:val="nil"/>
              <w:right w:val="nil"/>
            </w:tcBorders>
          </w:tcPr>
          <w:p w14:paraId="3E12C226" w14:textId="77777777" w:rsidR="000E38BD" w:rsidRPr="0078715C" w:rsidRDefault="000E38BD" w:rsidP="0088621E">
            <w:pPr>
              <w:pStyle w:val="ARtabletext"/>
              <w:ind w:right="170"/>
            </w:pPr>
            <w:r w:rsidRPr="0078715C">
              <w:t xml:space="preserve">Total assessments undertaken for children in the Support and </w:t>
            </w:r>
            <w:r w:rsidRPr="0078715C">
              <w:br/>
              <w:t>Safety Hubs / The Orange Door</w:t>
            </w:r>
          </w:p>
        </w:tc>
        <w:tc>
          <w:tcPr>
            <w:tcW w:w="1134" w:type="dxa"/>
            <w:tcBorders>
              <w:top w:val="single" w:sz="4" w:space="0" w:color="A5A59D" w:themeColor="background2" w:themeShade="BF"/>
              <w:left w:val="nil"/>
              <w:bottom w:val="nil"/>
              <w:right w:val="nil"/>
            </w:tcBorders>
          </w:tcPr>
          <w:p w14:paraId="70AEFEAC" w14:textId="77777777" w:rsidR="000E38BD" w:rsidRPr="0078715C" w:rsidRDefault="000E38BD" w:rsidP="00F64CF1">
            <w:pPr>
              <w:pStyle w:val="ARtabletextright"/>
            </w:pPr>
            <w:r w:rsidRPr="0078715C">
              <w:t>42,690</w:t>
            </w:r>
          </w:p>
        </w:tc>
        <w:tc>
          <w:tcPr>
            <w:tcW w:w="1134" w:type="dxa"/>
            <w:tcBorders>
              <w:top w:val="single" w:sz="4" w:space="0" w:color="A5A59D" w:themeColor="background2" w:themeShade="BF"/>
              <w:left w:val="nil"/>
              <w:bottom w:val="nil"/>
              <w:right w:val="nil"/>
            </w:tcBorders>
          </w:tcPr>
          <w:p w14:paraId="046D08A5" w14:textId="77777777" w:rsidR="000E38BD" w:rsidRPr="0078715C" w:rsidRDefault="000E38BD" w:rsidP="00F64CF1">
            <w:pPr>
              <w:pStyle w:val="ARtabletextright"/>
            </w:pPr>
            <w:r w:rsidRPr="0078715C">
              <w:t>91,067</w:t>
            </w:r>
          </w:p>
        </w:tc>
        <w:tc>
          <w:tcPr>
            <w:tcW w:w="1134" w:type="dxa"/>
            <w:tcBorders>
              <w:top w:val="single" w:sz="4" w:space="0" w:color="A5A59D" w:themeColor="background2" w:themeShade="BF"/>
              <w:left w:val="nil"/>
              <w:bottom w:val="nil"/>
              <w:right w:val="nil"/>
            </w:tcBorders>
          </w:tcPr>
          <w:p w14:paraId="65F154AA" w14:textId="77777777" w:rsidR="000E38BD" w:rsidRPr="00462404" w:rsidRDefault="000E38BD" w:rsidP="00F64CF1">
            <w:pPr>
              <w:pStyle w:val="ARtabletextright"/>
              <w:rPr>
                <w:highlight w:val="cyan"/>
              </w:rPr>
            </w:pPr>
            <w:r w:rsidRPr="00C67711">
              <w:t>99,722</w:t>
            </w:r>
          </w:p>
        </w:tc>
      </w:tr>
      <w:tr w:rsidR="000E38BD" w:rsidRPr="00532DAE" w14:paraId="0EDF1E5B" w14:textId="77777777" w:rsidTr="005B39AF">
        <w:trPr>
          <w:cantSplit/>
        </w:trPr>
        <w:tc>
          <w:tcPr>
            <w:tcW w:w="6237" w:type="dxa"/>
            <w:tcBorders>
              <w:top w:val="single" w:sz="4" w:space="0" w:color="A5A59D" w:themeColor="background2" w:themeShade="BF"/>
              <w:left w:val="nil"/>
              <w:bottom w:val="single" w:sz="4" w:space="0" w:color="A5A59D" w:themeColor="background2" w:themeShade="BF"/>
              <w:right w:val="nil"/>
            </w:tcBorders>
          </w:tcPr>
          <w:p w14:paraId="0F7579FB" w14:textId="1E452C75" w:rsidR="000E38BD" w:rsidRPr="0078715C" w:rsidRDefault="000E38BD" w:rsidP="0088621E">
            <w:pPr>
              <w:pStyle w:val="ARtabletext"/>
              <w:ind w:right="170"/>
            </w:pPr>
            <w:r w:rsidRPr="0078715C">
              <w:t>Number of men participating in the Men</w:t>
            </w:r>
            <w:r w:rsidR="00711AE6">
              <w:t>’</w:t>
            </w:r>
            <w:r w:rsidRPr="0078715C">
              <w:t>s Behaviour Change program</w:t>
            </w:r>
          </w:p>
        </w:tc>
        <w:tc>
          <w:tcPr>
            <w:tcW w:w="1134" w:type="dxa"/>
            <w:tcBorders>
              <w:top w:val="single" w:sz="4" w:space="0" w:color="A5A59D" w:themeColor="background2" w:themeShade="BF"/>
              <w:left w:val="nil"/>
              <w:bottom w:val="single" w:sz="4" w:space="0" w:color="A5A59D" w:themeColor="background2" w:themeShade="BF"/>
              <w:right w:val="nil"/>
            </w:tcBorders>
          </w:tcPr>
          <w:p w14:paraId="28D55CBD" w14:textId="77777777" w:rsidR="000E38BD" w:rsidRPr="0078715C" w:rsidRDefault="000E38BD" w:rsidP="00F64CF1">
            <w:pPr>
              <w:pStyle w:val="ARtabletextright"/>
            </w:pPr>
            <w:r w:rsidRPr="0078715C">
              <w:t>4,101</w:t>
            </w:r>
          </w:p>
        </w:tc>
        <w:tc>
          <w:tcPr>
            <w:tcW w:w="1134" w:type="dxa"/>
            <w:tcBorders>
              <w:top w:val="single" w:sz="4" w:space="0" w:color="A5A59D" w:themeColor="background2" w:themeShade="BF"/>
              <w:left w:val="nil"/>
              <w:bottom w:val="single" w:sz="4" w:space="0" w:color="A5A59D" w:themeColor="background2" w:themeShade="BF"/>
              <w:right w:val="nil"/>
            </w:tcBorders>
          </w:tcPr>
          <w:p w14:paraId="1C538E3D" w14:textId="77777777" w:rsidR="000E38BD" w:rsidRPr="0078715C" w:rsidRDefault="000E38BD" w:rsidP="00F64CF1">
            <w:pPr>
              <w:pStyle w:val="ARtabletextright"/>
            </w:pPr>
            <w:r w:rsidRPr="0078715C">
              <w:t>2,906</w:t>
            </w:r>
          </w:p>
        </w:tc>
        <w:tc>
          <w:tcPr>
            <w:tcW w:w="1134" w:type="dxa"/>
            <w:tcBorders>
              <w:top w:val="single" w:sz="4" w:space="0" w:color="A5A59D" w:themeColor="background2" w:themeShade="BF"/>
              <w:left w:val="nil"/>
              <w:bottom w:val="single" w:sz="4" w:space="0" w:color="A5A59D" w:themeColor="background2" w:themeShade="BF"/>
              <w:right w:val="nil"/>
            </w:tcBorders>
          </w:tcPr>
          <w:p w14:paraId="4C8469E4" w14:textId="77777777" w:rsidR="000E38BD" w:rsidRPr="00462404" w:rsidRDefault="000E38BD" w:rsidP="00F64CF1">
            <w:pPr>
              <w:pStyle w:val="ARtabletextright"/>
              <w:rPr>
                <w:highlight w:val="cyan"/>
              </w:rPr>
            </w:pPr>
            <w:r w:rsidRPr="004D1C31">
              <w:t>3110</w:t>
            </w:r>
          </w:p>
        </w:tc>
      </w:tr>
      <w:tr w:rsidR="000E38BD" w:rsidRPr="00532DAE" w14:paraId="0D77A572" w14:textId="77777777" w:rsidTr="005B39AF">
        <w:trPr>
          <w:cantSplit/>
        </w:trPr>
        <w:tc>
          <w:tcPr>
            <w:tcW w:w="6237" w:type="dxa"/>
            <w:tcBorders>
              <w:top w:val="single" w:sz="4" w:space="0" w:color="A5A59D" w:themeColor="background2" w:themeShade="BF"/>
              <w:left w:val="nil"/>
              <w:bottom w:val="single" w:sz="4" w:space="0" w:color="A5A59D" w:themeColor="background2" w:themeShade="BF"/>
              <w:right w:val="nil"/>
            </w:tcBorders>
          </w:tcPr>
          <w:p w14:paraId="209C4A53" w14:textId="77777777" w:rsidR="000E38BD" w:rsidRPr="0078715C" w:rsidRDefault="000E38BD" w:rsidP="0088621E">
            <w:pPr>
              <w:pStyle w:val="ARtabletext"/>
              <w:ind w:right="170"/>
            </w:pPr>
            <w:r w:rsidRPr="0078715C">
              <w:t>Number of case management responses provided to perpetrators of family violence including those that require individualised support</w:t>
            </w:r>
          </w:p>
        </w:tc>
        <w:tc>
          <w:tcPr>
            <w:tcW w:w="1134" w:type="dxa"/>
            <w:tcBorders>
              <w:top w:val="single" w:sz="4" w:space="0" w:color="A5A59D" w:themeColor="background2" w:themeShade="BF"/>
              <w:left w:val="nil"/>
              <w:bottom w:val="single" w:sz="4" w:space="0" w:color="A5A59D" w:themeColor="background2" w:themeShade="BF"/>
              <w:right w:val="nil"/>
            </w:tcBorders>
          </w:tcPr>
          <w:p w14:paraId="26DC0DA6" w14:textId="77777777" w:rsidR="000E38BD" w:rsidRPr="0078715C" w:rsidRDefault="000E38BD" w:rsidP="00F64CF1">
            <w:pPr>
              <w:pStyle w:val="ARtabletextright"/>
            </w:pPr>
            <w:r w:rsidRPr="0078715C">
              <w:t>1,998</w:t>
            </w:r>
          </w:p>
        </w:tc>
        <w:tc>
          <w:tcPr>
            <w:tcW w:w="1134" w:type="dxa"/>
            <w:tcBorders>
              <w:top w:val="single" w:sz="4" w:space="0" w:color="A5A59D" w:themeColor="background2" w:themeShade="BF"/>
              <w:left w:val="nil"/>
              <w:bottom w:val="single" w:sz="4" w:space="0" w:color="A5A59D" w:themeColor="background2" w:themeShade="BF"/>
              <w:right w:val="nil"/>
            </w:tcBorders>
          </w:tcPr>
          <w:p w14:paraId="63045552" w14:textId="77777777" w:rsidR="000E38BD" w:rsidRPr="0078715C" w:rsidRDefault="000E38BD" w:rsidP="00F64CF1">
            <w:pPr>
              <w:pStyle w:val="ARtabletextright"/>
            </w:pPr>
            <w:r w:rsidRPr="0078715C">
              <w:t>1,748</w:t>
            </w:r>
          </w:p>
        </w:tc>
        <w:tc>
          <w:tcPr>
            <w:tcW w:w="1134" w:type="dxa"/>
            <w:tcBorders>
              <w:top w:val="single" w:sz="4" w:space="0" w:color="A5A59D" w:themeColor="background2" w:themeShade="BF"/>
              <w:left w:val="nil"/>
              <w:bottom w:val="single" w:sz="4" w:space="0" w:color="A5A59D" w:themeColor="background2" w:themeShade="BF"/>
              <w:right w:val="nil"/>
            </w:tcBorders>
          </w:tcPr>
          <w:p w14:paraId="384A1796" w14:textId="77777777" w:rsidR="000E38BD" w:rsidRPr="00462404" w:rsidRDefault="000E38BD" w:rsidP="00F64CF1">
            <w:pPr>
              <w:pStyle w:val="ARtabletextright"/>
              <w:rPr>
                <w:highlight w:val="cyan"/>
              </w:rPr>
            </w:pPr>
            <w:r w:rsidRPr="004D1C31">
              <w:t>2,849</w:t>
            </w:r>
          </w:p>
        </w:tc>
      </w:tr>
      <w:tr w:rsidR="000E38BD" w:rsidRPr="00532DAE" w14:paraId="25F7330C" w14:textId="77777777" w:rsidTr="005B39AF">
        <w:trPr>
          <w:cantSplit/>
        </w:trPr>
        <w:tc>
          <w:tcPr>
            <w:tcW w:w="6237" w:type="dxa"/>
            <w:tcBorders>
              <w:top w:val="single" w:sz="4" w:space="0" w:color="A5A59D" w:themeColor="background2" w:themeShade="BF"/>
              <w:left w:val="nil"/>
              <w:bottom w:val="single" w:sz="4" w:space="0" w:color="A6A6A6"/>
              <w:right w:val="nil"/>
            </w:tcBorders>
          </w:tcPr>
          <w:p w14:paraId="4212B29F" w14:textId="77777777" w:rsidR="000E38BD" w:rsidRPr="0078715C" w:rsidRDefault="000E38BD" w:rsidP="0088621E">
            <w:pPr>
              <w:pStyle w:val="ARtabletext"/>
              <w:ind w:right="170"/>
            </w:pPr>
            <w:r w:rsidRPr="0078715C">
              <w:t>Prevention of family violence projects and programs delivered on time</w:t>
            </w:r>
          </w:p>
        </w:tc>
        <w:tc>
          <w:tcPr>
            <w:tcW w:w="1134" w:type="dxa"/>
            <w:tcBorders>
              <w:top w:val="single" w:sz="4" w:space="0" w:color="A5A59D" w:themeColor="background2" w:themeShade="BF"/>
              <w:left w:val="nil"/>
              <w:bottom w:val="single" w:sz="4" w:space="0" w:color="A6A6A6"/>
              <w:right w:val="nil"/>
            </w:tcBorders>
          </w:tcPr>
          <w:p w14:paraId="625B5E0B" w14:textId="77777777" w:rsidR="000E38BD" w:rsidRPr="0078715C" w:rsidRDefault="000E38BD" w:rsidP="00F64CF1">
            <w:pPr>
              <w:pStyle w:val="ARtabletextright"/>
            </w:pPr>
            <w:r w:rsidRPr="0078715C">
              <w:t>99%</w:t>
            </w:r>
          </w:p>
        </w:tc>
        <w:tc>
          <w:tcPr>
            <w:tcW w:w="1134" w:type="dxa"/>
            <w:tcBorders>
              <w:top w:val="single" w:sz="4" w:space="0" w:color="A5A59D" w:themeColor="background2" w:themeShade="BF"/>
              <w:left w:val="nil"/>
              <w:bottom w:val="single" w:sz="4" w:space="0" w:color="A6A6A6"/>
              <w:right w:val="nil"/>
            </w:tcBorders>
          </w:tcPr>
          <w:p w14:paraId="6633B57E" w14:textId="77777777" w:rsidR="000E38BD" w:rsidRPr="0078715C" w:rsidRDefault="000E38BD" w:rsidP="00F64CF1">
            <w:pPr>
              <w:pStyle w:val="ARtabletextright"/>
            </w:pPr>
            <w:r w:rsidRPr="0078715C">
              <w:t>100%</w:t>
            </w:r>
          </w:p>
        </w:tc>
        <w:tc>
          <w:tcPr>
            <w:tcW w:w="1134" w:type="dxa"/>
            <w:tcBorders>
              <w:top w:val="single" w:sz="4" w:space="0" w:color="A5A59D" w:themeColor="background2" w:themeShade="BF"/>
              <w:left w:val="nil"/>
              <w:bottom w:val="single" w:sz="4" w:space="0" w:color="A6A6A6"/>
              <w:right w:val="nil"/>
            </w:tcBorders>
          </w:tcPr>
          <w:p w14:paraId="68C69962" w14:textId="77777777" w:rsidR="000E38BD" w:rsidRPr="00462404" w:rsidRDefault="000E38BD" w:rsidP="00F64CF1">
            <w:pPr>
              <w:pStyle w:val="ARtabletextright"/>
              <w:rPr>
                <w:highlight w:val="cyan"/>
              </w:rPr>
            </w:pPr>
            <w:r w:rsidRPr="00FF3D34">
              <w:t>100%</w:t>
            </w:r>
          </w:p>
        </w:tc>
      </w:tr>
    </w:tbl>
    <w:p w14:paraId="26103661" w14:textId="77777777" w:rsidR="0009569C" w:rsidRDefault="0009569C" w:rsidP="00A154B3">
      <w:pPr>
        <w:pStyle w:val="ARbody"/>
        <w:sectPr w:rsidR="0009569C" w:rsidSect="0009569C">
          <w:headerReference w:type="default" r:id="rId72"/>
          <w:footnotePr>
            <w:numFmt w:val="lowerRoman"/>
            <w:numRestart w:val="eachPage"/>
          </w:footnotePr>
          <w:endnotePr>
            <w:numFmt w:val="decimal"/>
          </w:endnotePr>
          <w:type w:val="continuous"/>
          <w:pgSz w:w="11900" w:h="16840" w:code="9"/>
          <w:pgMar w:top="1701" w:right="1134" w:bottom="851" w:left="1134" w:header="510" w:footer="340" w:gutter="0"/>
          <w:cols w:space="454"/>
        </w:sectPr>
      </w:pPr>
    </w:p>
    <w:p w14:paraId="7747A087" w14:textId="65CC3BA3" w:rsidR="000E38BD" w:rsidRDefault="000E38BD" w:rsidP="00D90552">
      <w:pPr>
        <w:pStyle w:val="Heading4"/>
      </w:pPr>
      <w:r w:rsidRPr="00532DAE">
        <w:t xml:space="preserve">Key initiatives </w:t>
      </w:r>
      <w:r w:rsidRPr="00D90552">
        <w:t>and</w:t>
      </w:r>
      <w:r w:rsidRPr="00532DAE">
        <w:t xml:space="preserve"> projects</w:t>
      </w:r>
    </w:p>
    <w:p w14:paraId="11E64392" w14:textId="77777777" w:rsidR="000E38BD" w:rsidRPr="00AF331D" w:rsidRDefault="000E38BD" w:rsidP="00207901">
      <w:pPr>
        <w:pStyle w:val="Heading5"/>
        <w:rPr>
          <w:rFonts w:eastAsia="MS Mincho"/>
        </w:rPr>
      </w:pPr>
      <w:r w:rsidRPr="00AF331D">
        <w:rPr>
          <w:rFonts w:eastAsia="MS Mincho"/>
        </w:rPr>
        <w:t>Driving legislative reform for children, young people and families</w:t>
      </w:r>
    </w:p>
    <w:p w14:paraId="49BAFA80" w14:textId="55E79DF3" w:rsidR="000E38BD" w:rsidRPr="00F64CF1" w:rsidRDefault="000E38BD" w:rsidP="0043605B">
      <w:pPr>
        <w:pStyle w:val="ARbody"/>
        <w:spacing w:after="80" w:line="240" w:lineRule="exact"/>
        <w:rPr>
          <w:rStyle w:val="Emphasis"/>
        </w:rPr>
      </w:pPr>
      <w:r>
        <w:t>We undertook dedicated work</w:t>
      </w:r>
      <w:r w:rsidRPr="4E367694">
        <w:t xml:space="preserve"> to implement </w:t>
      </w:r>
      <w:r w:rsidR="00872BD9">
        <w:t>t</w:t>
      </w:r>
      <w:r w:rsidRPr="004B1745">
        <w:rPr>
          <w:rStyle w:val="Emphasis"/>
          <w:i w:val="0"/>
          <w:iCs w:val="0"/>
        </w:rPr>
        <w:t>he</w:t>
      </w:r>
      <w:r w:rsidR="0009569C">
        <w:rPr>
          <w:rStyle w:val="Emphasis"/>
          <w:i w:val="0"/>
          <w:iCs w:val="0"/>
        </w:rPr>
        <w:t> </w:t>
      </w:r>
      <w:r w:rsidRPr="00F64CF1">
        <w:rPr>
          <w:rStyle w:val="Emphasis"/>
        </w:rPr>
        <w:t xml:space="preserve">Children and Health Legislation Amendment (Statement of Recognition, Aboriginal </w:t>
      </w:r>
      <w:r w:rsidR="006E2F2E">
        <w:rPr>
          <w:rStyle w:val="Emphasis"/>
        </w:rPr>
        <w:br/>
      </w:r>
      <w:r w:rsidRPr="00F64CF1">
        <w:rPr>
          <w:rStyle w:val="Emphasis"/>
        </w:rPr>
        <w:t>Self-determination and Other Matters) Act 2023.</w:t>
      </w:r>
      <w:r w:rsidR="00D90552">
        <w:rPr>
          <w:rStyle w:val="Emphasis"/>
        </w:rPr>
        <w:t xml:space="preserve"> </w:t>
      </w:r>
    </w:p>
    <w:p w14:paraId="2528DEC3" w14:textId="77777777" w:rsidR="000E38BD" w:rsidRDefault="000E38BD" w:rsidP="0043605B">
      <w:pPr>
        <w:pStyle w:val="ARbody"/>
        <w:spacing w:after="80" w:line="240" w:lineRule="exact"/>
        <w:rPr>
          <w:lang w:val="en-US"/>
        </w:rPr>
      </w:pPr>
      <w:r w:rsidRPr="00207901">
        <w:t>T</w:t>
      </w:r>
      <w:r>
        <w:rPr>
          <w:lang w:val="en-US"/>
        </w:rPr>
        <w:t xml:space="preserve">he Act introduces several amendments to the </w:t>
      </w:r>
      <w:r w:rsidRPr="00F64CF1">
        <w:rPr>
          <w:rStyle w:val="Emphasis"/>
        </w:rPr>
        <w:t xml:space="preserve">Children, Youth and Families Act 2005 </w:t>
      </w:r>
      <w:r>
        <w:rPr>
          <w:lang w:val="en-US"/>
        </w:rPr>
        <w:t xml:space="preserve">to </w:t>
      </w:r>
      <w:r w:rsidRPr="00E84A25">
        <w:rPr>
          <w:lang w:val="en-US"/>
        </w:rPr>
        <w:t xml:space="preserve">recognise </w:t>
      </w:r>
      <w:r>
        <w:rPr>
          <w:lang w:val="en-US"/>
        </w:rPr>
        <w:t xml:space="preserve">that </w:t>
      </w:r>
      <w:r w:rsidRPr="00E84A25">
        <w:rPr>
          <w:lang w:val="en-US"/>
        </w:rPr>
        <w:t>Aboriginal people are best placed to make decisions and deliver services which protect the best interests of Aboriginal children</w:t>
      </w:r>
      <w:r>
        <w:rPr>
          <w:lang w:val="en-US"/>
        </w:rPr>
        <w:t>.</w:t>
      </w:r>
    </w:p>
    <w:p w14:paraId="2BF6A5A6" w14:textId="77777777" w:rsidR="000E38BD" w:rsidRDefault="000E38BD" w:rsidP="0043605B">
      <w:pPr>
        <w:pStyle w:val="ARbody"/>
        <w:spacing w:after="80" w:line="240" w:lineRule="exact"/>
        <w:rPr>
          <w:lang w:val="en-US"/>
        </w:rPr>
      </w:pPr>
      <w:r>
        <w:rPr>
          <w:lang w:val="en-US"/>
        </w:rPr>
        <w:t xml:space="preserve">This includes a Statement of Recognition and accompanying binding principles that require decision makers in the child protection system to have regard to Aboriginal self-determination when working with Aboriginal children and families. </w:t>
      </w:r>
    </w:p>
    <w:p w14:paraId="303D9DBC" w14:textId="77777777" w:rsidR="000E38BD" w:rsidRDefault="000E38BD" w:rsidP="0043605B">
      <w:pPr>
        <w:pStyle w:val="ARbody"/>
        <w:spacing w:after="80" w:line="240" w:lineRule="exact"/>
        <w:rPr>
          <w:bCs/>
          <w:lang w:val="en-US"/>
        </w:rPr>
      </w:pPr>
      <w:r w:rsidRPr="00BE7C67">
        <w:rPr>
          <w:bCs/>
          <w:lang w:val="en-US"/>
        </w:rPr>
        <w:t>The Act c</w:t>
      </w:r>
      <w:r>
        <w:rPr>
          <w:bCs/>
          <w:lang w:val="en-US"/>
        </w:rPr>
        <w:t>a</w:t>
      </w:r>
      <w:r w:rsidRPr="00BE7C67">
        <w:rPr>
          <w:bCs/>
          <w:lang w:val="en-US"/>
        </w:rPr>
        <w:t xml:space="preserve">me into effect </w:t>
      </w:r>
      <w:r>
        <w:rPr>
          <w:bCs/>
          <w:lang w:val="en-US"/>
        </w:rPr>
        <w:t xml:space="preserve">on </w:t>
      </w:r>
      <w:r w:rsidRPr="00BE7C67">
        <w:rPr>
          <w:bCs/>
          <w:lang w:val="en-US"/>
        </w:rPr>
        <w:t>1 July 2024.</w:t>
      </w:r>
    </w:p>
    <w:p w14:paraId="46D8F343" w14:textId="77777777" w:rsidR="000E38BD" w:rsidRPr="008C4FDE" w:rsidRDefault="000E38BD" w:rsidP="00207901">
      <w:pPr>
        <w:pStyle w:val="Heading5"/>
      </w:pPr>
      <w:r w:rsidRPr="008C4FDE">
        <w:t>Aboriginal Children and Aboriginal Care and Community Protecting Boorais</w:t>
      </w:r>
    </w:p>
    <w:p w14:paraId="0BF93380" w14:textId="419F586D" w:rsidR="000E38BD" w:rsidRDefault="000E38BD" w:rsidP="0088621E">
      <w:pPr>
        <w:pStyle w:val="ARbody"/>
      </w:pPr>
      <w:r w:rsidRPr="02A028CD">
        <w:t>Aboriginal Children in Aboriginal Care</w:t>
      </w:r>
      <w:r>
        <w:t xml:space="preserve"> (ACAC)</w:t>
      </w:r>
      <w:r w:rsidRPr="02A028CD">
        <w:t xml:space="preserve"> is a program for Aboriginal children and families involved with the child protection system where authorised </w:t>
      </w:r>
      <w:r w:rsidR="00841CAA" w:rsidRPr="00EA3E9D">
        <w:t xml:space="preserve">Aboriginal </w:t>
      </w:r>
      <w:r w:rsidR="006320EA">
        <w:t>C</w:t>
      </w:r>
      <w:r w:rsidR="00841CAA" w:rsidRPr="00EA3E9D">
        <w:t>ommunity-</w:t>
      </w:r>
      <w:r w:rsidR="006320EA">
        <w:t>C</w:t>
      </w:r>
      <w:r w:rsidR="00841CAA" w:rsidRPr="00EA3E9D">
        <w:t xml:space="preserve">ontrolled </w:t>
      </w:r>
      <w:r w:rsidR="006320EA">
        <w:t>O</w:t>
      </w:r>
      <w:r w:rsidR="00841CAA" w:rsidRPr="00EA3E9D">
        <w:t xml:space="preserve">rganisations </w:t>
      </w:r>
      <w:r w:rsidR="00841CAA">
        <w:t>(</w:t>
      </w:r>
      <w:r>
        <w:t>ACCOs</w:t>
      </w:r>
      <w:r w:rsidR="00841CAA">
        <w:t>)</w:t>
      </w:r>
      <w:r>
        <w:t xml:space="preserve"> </w:t>
      </w:r>
      <w:r w:rsidRPr="02A028CD">
        <w:t>provide vital child safety services, instead of the Department of Families, Fairness and Housing.</w:t>
      </w:r>
    </w:p>
    <w:p w14:paraId="72396706" w14:textId="5EC7452A" w:rsidR="00207901" w:rsidRDefault="000E38BD" w:rsidP="0088621E">
      <w:pPr>
        <w:pStyle w:val="ARbody"/>
      </w:pPr>
      <w:r w:rsidRPr="02A028CD">
        <w:t>The ACAC program gives authorised ACCOs – under s</w:t>
      </w:r>
      <w:r>
        <w:t>.</w:t>
      </w:r>
      <w:r w:rsidRPr="02A028CD">
        <w:t xml:space="preserve">18 of the </w:t>
      </w:r>
      <w:r w:rsidRPr="00F64CF1">
        <w:rPr>
          <w:rStyle w:val="Emphasis"/>
        </w:rPr>
        <w:t xml:space="preserve">Children, Youth and Families Act 2005 </w:t>
      </w:r>
      <w:r w:rsidRPr="02A028CD">
        <w:t>– legal responsibility for Aboriginal children or</w:t>
      </w:r>
      <w:r w:rsidR="005B39AF">
        <w:t> </w:t>
      </w:r>
      <w:r w:rsidRPr="02A028CD">
        <w:t>young people who have been placed on a</w:t>
      </w:r>
      <w:r w:rsidR="005B39AF">
        <w:t> </w:t>
      </w:r>
      <w:r w:rsidRPr="02A028CD">
        <w:t>Children</w:t>
      </w:r>
      <w:r w:rsidR="00711AE6">
        <w:t>’</w:t>
      </w:r>
      <w:r w:rsidRPr="02A028CD">
        <w:t>s Court protection order.</w:t>
      </w:r>
    </w:p>
    <w:p w14:paraId="1F3253DB" w14:textId="04B485DA" w:rsidR="000E38BD" w:rsidRDefault="000E38BD" w:rsidP="0088621E">
      <w:pPr>
        <w:pStyle w:val="ARbody"/>
      </w:pPr>
      <w:r w:rsidRPr="02A028CD">
        <w:t>In 2023</w:t>
      </w:r>
      <w:r w:rsidR="002B4497">
        <w:t>–</w:t>
      </w:r>
      <w:r w:rsidRPr="02A028CD">
        <w:t>24</w:t>
      </w:r>
      <w:r w:rsidR="001D446B">
        <w:t>,</w:t>
      </w:r>
      <w:r w:rsidRPr="02A028CD">
        <w:t xml:space="preserve"> the </w:t>
      </w:r>
      <w:r>
        <w:t>ACAC program</w:t>
      </w:r>
      <w:r w:rsidRPr="02A028CD">
        <w:t xml:space="preserve"> has:</w:t>
      </w:r>
    </w:p>
    <w:p w14:paraId="68C7CA01" w14:textId="1DB55319" w:rsidR="000E38BD" w:rsidRPr="00207901" w:rsidRDefault="000E38BD" w:rsidP="00207901">
      <w:pPr>
        <w:pStyle w:val="ARbullet1"/>
      </w:pPr>
      <w:r w:rsidRPr="00F64CF1">
        <w:t xml:space="preserve">allocated an additional 3 teams across the state, </w:t>
      </w:r>
      <w:r w:rsidRPr="00207901">
        <w:t>increasing its capacity to provide services for an additional 108 children</w:t>
      </w:r>
    </w:p>
    <w:p w14:paraId="539D7336" w14:textId="00258F32" w:rsidR="000E38BD" w:rsidRPr="00207901" w:rsidRDefault="000E38BD" w:rsidP="00207901">
      <w:pPr>
        <w:pStyle w:val="ARbullet1"/>
      </w:pPr>
      <w:r w:rsidRPr="00207901">
        <w:t xml:space="preserve">commenced service provision in </w:t>
      </w:r>
      <w:r w:rsidR="009D641C">
        <w:t>3</w:t>
      </w:r>
      <w:r w:rsidRPr="00207901">
        <w:t xml:space="preserve"> new Areas: the Western Melbourne Area, Brimbank</w:t>
      </w:r>
      <w:r w:rsidR="00436A17">
        <w:t>–</w:t>
      </w:r>
      <w:r w:rsidRPr="00207901">
        <w:t>Melton Area and Ovens Murray</w:t>
      </w:r>
    </w:p>
    <w:p w14:paraId="5A59B934" w14:textId="3BF3108F" w:rsidR="000E38BD" w:rsidRPr="00207901" w:rsidRDefault="000E38BD" w:rsidP="00207901">
      <w:pPr>
        <w:pStyle w:val="ARbullet1"/>
      </w:pPr>
      <w:r w:rsidRPr="00207901">
        <w:t>seen the Ballarat and District Aboriginal Cooperative become the third ACCO to be authorised to deliver ACAC in the Central Highlands Area</w:t>
      </w:r>
    </w:p>
    <w:p w14:paraId="3F22F0E2" w14:textId="0BCA80CE" w:rsidR="000E38BD" w:rsidRDefault="000E38BD" w:rsidP="00207901">
      <w:pPr>
        <w:pStyle w:val="ARbullet1"/>
      </w:pPr>
      <w:r w:rsidRPr="00207901">
        <w:t>seen the Rumbalara Aboriginal Cooperative and Njernda Aboriginal</w:t>
      </w:r>
      <w:r w:rsidRPr="02A028CD">
        <w:t xml:space="preserve"> Cooperative engage in early service provision to support their </w:t>
      </w:r>
      <w:r w:rsidR="006E2F2E">
        <w:br/>
      </w:r>
      <w:r>
        <w:t xml:space="preserve">pre-authorisation </w:t>
      </w:r>
      <w:r w:rsidRPr="02A028CD">
        <w:t xml:space="preserve">delivery of </w:t>
      </w:r>
      <w:r>
        <w:t xml:space="preserve">ACAC. </w:t>
      </w:r>
    </w:p>
    <w:p w14:paraId="3A7FE4A5" w14:textId="2CD82AF5" w:rsidR="000E38BD" w:rsidRDefault="0009569C" w:rsidP="0009569C">
      <w:pPr>
        <w:pStyle w:val="ARbody"/>
      </w:pPr>
      <w:r>
        <w:br w:type="column"/>
      </w:r>
      <w:r w:rsidR="000E38BD" w:rsidRPr="02A028CD">
        <w:t xml:space="preserve">The </w:t>
      </w:r>
      <w:r w:rsidR="000E38BD" w:rsidRPr="00207901">
        <w:t>Community</w:t>
      </w:r>
      <w:r w:rsidR="000E38BD" w:rsidRPr="02A028CD">
        <w:t xml:space="preserve"> Protecting Boorais pilot is an Australian</w:t>
      </w:r>
      <w:r w:rsidR="000E38BD">
        <w:t>-</w:t>
      </w:r>
      <w:r w:rsidR="000E38BD" w:rsidRPr="02A028CD">
        <w:t>first program</w:t>
      </w:r>
      <w:r w:rsidR="000E38BD">
        <w:t>. It</w:t>
      </w:r>
      <w:r w:rsidR="000E38BD" w:rsidRPr="02A028CD">
        <w:t xml:space="preserve"> expands the scope of</w:t>
      </w:r>
      <w:r w:rsidR="00C159BC">
        <w:t> </w:t>
      </w:r>
      <w:r w:rsidR="000E38BD" w:rsidRPr="02A028CD">
        <w:t xml:space="preserve">the </w:t>
      </w:r>
      <w:r w:rsidR="000E38BD">
        <w:t>ACAC program</w:t>
      </w:r>
      <w:r w:rsidR="000E38BD" w:rsidRPr="02A028CD">
        <w:t xml:space="preserve"> to include the ability for ACCOs to respond to child protection reports with</w:t>
      </w:r>
      <w:r w:rsidR="0049012B">
        <w:t> </w:t>
      </w:r>
      <w:r w:rsidR="000E38BD" w:rsidRPr="02A028CD">
        <w:t>the aim of diverting Aboriginal families from the</w:t>
      </w:r>
      <w:r w:rsidR="0049012B">
        <w:t> </w:t>
      </w:r>
      <w:r w:rsidR="000E38BD" w:rsidRPr="02A028CD">
        <w:t>child protection system. The pilot commenced in October</w:t>
      </w:r>
      <w:r w:rsidR="00C159BC">
        <w:t> </w:t>
      </w:r>
      <w:r w:rsidR="000E38BD" w:rsidRPr="02A028CD">
        <w:t xml:space="preserve">2023 with </w:t>
      </w:r>
      <w:r w:rsidR="000E38BD">
        <w:t>t</w:t>
      </w:r>
      <w:r w:rsidR="000E38BD" w:rsidRPr="00CE128C">
        <w:t xml:space="preserve">he Victorian Aboriginal Child and Community </w:t>
      </w:r>
      <w:r w:rsidR="000E38BD">
        <w:t xml:space="preserve">Agency </w:t>
      </w:r>
      <w:r w:rsidR="000E38BD" w:rsidRPr="02A028CD">
        <w:t xml:space="preserve">(VACCA) in North Metropolitan Areas and </w:t>
      </w:r>
      <w:r w:rsidR="000E38BD">
        <w:t xml:space="preserve">the </w:t>
      </w:r>
      <w:r w:rsidR="000E38BD" w:rsidRPr="02A028CD">
        <w:t>Bendigo and District Aboriginal Cooperative (BDAC) in Loddon.</w:t>
      </w:r>
    </w:p>
    <w:p w14:paraId="57735FE9" w14:textId="77777777" w:rsidR="000E38BD" w:rsidRPr="0027266A" w:rsidRDefault="000E38BD" w:rsidP="00207901">
      <w:pPr>
        <w:pStyle w:val="Heading5"/>
      </w:pPr>
      <w:r w:rsidRPr="0027266A">
        <w:t>Continuing to support children, young people and families through the Roadmap for Reform</w:t>
      </w:r>
    </w:p>
    <w:p w14:paraId="003362E9" w14:textId="77777777" w:rsidR="000E38BD" w:rsidRPr="00532DAE" w:rsidRDefault="000E38BD" w:rsidP="0088621E">
      <w:pPr>
        <w:pStyle w:val="ARbody"/>
      </w:pPr>
      <w:r w:rsidRPr="00532DAE">
        <w:t xml:space="preserve">The department </w:t>
      </w:r>
      <w:r>
        <w:t xml:space="preserve">has </w:t>
      </w:r>
      <w:r w:rsidRPr="00532DAE">
        <w:t xml:space="preserve">continued to </w:t>
      </w:r>
      <w:r>
        <w:t xml:space="preserve">support children and young people through the delivery of the </w:t>
      </w:r>
      <w:r w:rsidRPr="00F64CF1">
        <w:rPr>
          <w:rStyle w:val="Emphasis"/>
        </w:rPr>
        <w:t>Roadmap for Reform.</w:t>
      </w:r>
      <w:r w:rsidRPr="00532DAE">
        <w:t xml:space="preserve"> This included working with communities, the child and family services sector and people with lived experience.</w:t>
      </w:r>
    </w:p>
    <w:p w14:paraId="4E664263" w14:textId="77777777" w:rsidR="000E38BD" w:rsidRDefault="000E38BD" w:rsidP="0088621E">
      <w:pPr>
        <w:pStyle w:val="ARbody"/>
      </w:pPr>
      <w:r>
        <w:t>A growing number of earlier intervention service models continue to be delivered, increasing participation in universal services and improving family functioning, parental confidence and community connectedness.</w:t>
      </w:r>
    </w:p>
    <w:p w14:paraId="291F815B" w14:textId="6D5DD60D" w:rsidR="00207901" w:rsidRDefault="000E38BD" w:rsidP="00207901">
      <w:pPr>
        <w:pStyle w:val="ARbody"/>
      </w:pPr>
      <w:r>
        <w:t>Programs also continue to support recovery and healing and improve outcomes for children and young people in care. This includes implementing access to therapeutic supports for all children in residential care by 2025</w:t>
      </w:r>
      <w:r w:rsidR="002B4497">
        <w:t>–</w:t>
      </w:r>
      <w:r>
        <w:t>26.</w:t>
      </w:r>
    </w:p>
    <w:p w14:paraId="0E9D9263" w14:textId="76CF1BE8" w:rsidR="000E38BD" w:rsidRPr="00A068D9" w:rsidRDefault="000E38BD" w:rsidP="00207901">
      <w:pPr>
        <w:pStyle w:val="Heading5"/>
        <w:rPr>
          <w:rFonts w:eastAsia="MS Mincho"/>
        </w:rPr>
      </w:pPr>
      <w:r w:rsidRPr="00A068D9">
        <w:rPr>
          <w:rFonts w:eastAsia="MS Mincho"/>
        </w:rPr>
        <w:t>Premier</w:t>
      </w:r>
      <w:r w:rsidR="00711AE6">
        <w:rPr>
          <w:rFonts w:eastAsia="MS Mincho"/>
        </w:rPr>
        <w:t>’</w:t>
      </w:r>
      <w:r w:rsidRPr="00A068D9">
        <w:rPr>
          <w:rFonts w:eastAsia="MS Mincho"/>
        </w:rPr>
        <w:t xml:space="preserve">s apology to forgotten Australians and care </w:t>
      </w:r>
      <w:r w:rsidRPr="00F64CF1">
        <w:rPr>
          <w:rFonts w:eastAsia="MS Mincho"/>
        </w:rPr>
        <w:t>leavers</w:t>
      </w:r>
      <w:r w:rsidRPr="00A068D9">
        <w:rPr>
          <w:rFonts w:eastAsia="MS Mincho"/>
        </w:rPr>
        <w:t xml:space="preserve"> pre-1990</w:t>
      </w:r>
    </w:p>
    <w:p w14:paraId="4E058EF2" w14:textId="026E9955" w:rsidR="000E38BD" w:rsidRPr="00207901" w:rsidRDefault="000E38BD" w:rsidP="00207901">
      <w:pPr>
        <w:pStyle w:val="ARbody"/>
      </w:pPr>
      <w:r>
        <w:t>The historic</w:t>
      </w:r>
      <w:r w:rsidRPr="00E375CF">
        <w:t xml:space="preserve"> </w:t>
      </w:r>
      <w:r>
        <w:t>Premier</w:t>
      </w:r>
      <w:r w:rsidR="00711AE6">
        <w:t>’</w:t>
      </w:r>
      <w:r>
        <w:t>s</w:t>
      </w:r>
      <w:r w:rsidRPr="00E375CF">
        <w:t xml:space="preserve"> Parliamentary Apology to Victorians who experienced historical abuse and neglect as children in institutional care</w:t>
      </w:r>
      <w:r>
        <w:t xml:space="preserve"> took place on </w:t>
      </w:r>
      <w:r w:rsidRPr="00207901">
        <w:t>Thursday 8 February 2024.</w:t>
      </w:r>
    </w:p>
    <w:p w14:paraId="4649AF7B" w14:textId="77777777" w:rsidR="000E38BD" w:rsidRPr="00207901" w:rsidRDefault="000E38BD" w:rsidP="00207901">
      <w:pPr>
        <w:pStyle w:val="ARbody"/>
      </w:pPr>
      <w:r w:rsidRPr="00207901">
        <w:t xml:space="preserve">Six events were hosted across the state in addition to the Apology being live streamed on the Parliament of Victoria website. </w:t>
      </w:r>
    </w:p>
    <w:p w14:paraId="13DDEC29" w14:textId="6116521E" w:rsidR="000E38BD" w:rsidRPr="00207901" w:rsidRDefault="000E38BD" w:rsidP="00207901">
      <w:pPr>
        <w:pStyle w:val="ARbody"/>
      </w:pPr>
      <w:r w:rsidRPr="00207901">
        <w:t>Community organisations received an allocation of</w:t>
      </w:r>
      <w:r w:rsidR="00C159BC">
        <w:t> </w:t>
      </w:r>
      <w:r w:rsidRPr="00207901">
        <w:t>invitations to circulate to members to attend the 250-person event at Parliament House.</w:t>
      </w:r>
    </w:p>
    <w:p w14:paraId="43B998A4" w14:textId="79E4DEAA" w:rsidR="00207901" w:rsidRDefault="000E38BD" w:rsidP="00207901">
      <w:pPr>
        <w:pStyle w:val="ARbody"/>
      </w:pPr>
      <w:r w:rsidRPr="00207901">
        <w:t xml:space="preserve">Regional gatherings were also hosted in Geelong, Ballarat and Sale, as well as </w:t>
      </w:r>
      <w:r w:rsidR="00F95AC7">
        <w:t>2</w:t>
      </w:r>
      <w:r w:rsidRPr="00207901">
        <w:t xml:space="preserve"> Melbourne CBD live</w:t>
      </w:r>
      <w:r w:rsidR="0049012B">
        <w:t> </w:t>
      </w:r>
      <w:r w:rsidRPr="00207901">
        <w:t xml:space="preserve">stream locations. </w:t>
      </w:r>
    </w:p>
    <w:p w14:paraId="4221AAD0" w14:textId="685CA9E5" w:rsidR="0009569C" w:rsidRDefault="000E38BD" w:rsidP="00207901">
      <w:pPr>
        <w:pStyle w:val="ARbody"/>
      </w:pPr>
      <w:r w:rsidRPr="00207901">
        <w:t>Attendees were provided with a pin and printed copy</w:t>
      </w:r>
      <w:r>
        <w:t xml:space="preserve"> of the Apology to commemorate the day. The</w:t>
      </w:r>
      <w:r w:rsidR="00C159BC">
        <w:t> </w:t>
      </w:r>
      <w:r>
        <w:t xml:space="preserve">Premier also hand signed copies of the Apology at the Parliament House event. </w:t>
      </w:r>
      <w:r w:rsidR="0009569C">
        <w:br w:type="page"/>
      </w:r>
    </w:p>
    <w:p w14:paraId="20A2C23C" w14:textId="133A9170" w:rsidR="000E38BD" w:rsidRDefault="000E38BD" w:rsidP="0088621E">
      <w:pPr>
        <w:pStyle w:val="ARbody"/>
      </w:pPr>
      <w:r>
        <w:t>T</w:t>
      </w:r>
      <w:r w:rsidRPr="00047183">
        <w:t xml:space="preserve">he Victorian Government acknowledges the impact of historical abuse and neglect </w:t>
      </w:r>
      <w:r>
        <w:t>on</w:t>
      </w:r>
      <w:r w:rsidRPr="00047183">
        <w:t xml:space="preserve"> too many Victorian children while placed in institutional care</w:t>
      </w:r>
      <w:r>
        <w:t>.</w:t>
      </w:r>
      <w:r w:rsidRPr="00926298">
        <w:t xml:space="preserve"> </w:t>
      </w:r>
      <w:r w:rsidRPr="00047183">
        <w:t xml:space="preserve">The Victorian Government is committed to providing ongoing support to </w:t>
      </w:r>
      <w:r>
        <w:t xml:space="preserve">these Victorians, </w:t>
      </w:r>
      <w:r w:rsidRPr="00047183">
        <w:t>and</w:t>
      </w:r>
      <w:r w:rsidR="00207901">
        <w:t> </w:t>
      </w:r>
      <w:r w:rsidRPr="00047183">
        <w:t>their families</w:t>
      </w:r>
      <w:r>
        <w:t>,</w:t>
      </w:r>
      <w:r w:rsidRPr="00047183">
        <w:t xml:space="preserve"> to address the impact of past</w:t>
      </w:r>
      <w:r w:rsidR="00207901">
        <w:t> </w:t>
      </w:r>
      <w:r w:rsidRPr="00047183">
        <w:t>practices.</w:t>
      </w:r>
    </w:p>
    <w:p w14:paraId="1F023504" w14:textId="77777777" w:rsidR="000E38BD" w:rsidRPr="0027266A" w:rsidRDefault="000E38BD" w:rsidP="00207901">
      <w:pPr>
        <w:pStyle w:val="Heading5"/>
      </w:pPr>
      <w:r w:rsidRPr="0027266A">
        <w:t xml:space="preserve">Victorian redress for historical abuse and neglect in </w:t>
      </w:r>
      <w:r w:rsidRPr="00207901">
        <w:t>institutional</w:t>
      </w:r>
      <w:r w:rsidRPr="0027266A">
        <w:t xml:space="preserve"> care and National Redress Scheme</w:t>
      </w:r>
    </w:p>
    <w:p w14:paraId="32B89D4A" w14:textId="67FD03B4" w:rsidR="000E38BD" w:rsidRPr="00207901" w:rsidRDefault="000E38BD" w:rsidP="00207901">
      <w:pPr>
        <w:pStyle w:val="ARbody"/>
      </w:pPr>
      <w:r w:rsidRPr="00532DAE">
        <w:t xml:space="preserve">In October 2022, the Victorian Government announced actions to support Victorians placed in </w:t>
      </w:r>
      <w:r w:rsidRPr="00207901">
        <w:t>orphanages, children</w:t>
      </w:r>
      <w:r w:rsidR="00711AE6">
        <w:t>’</w:t>
      </w:r>
      <w:r w:rsidRPr="00207901">
        <w:t xml:space="preserve">s homes, and missions before 1990. On 8 February 2024, the Premier delivered an apology in Parliament for the physical, psychological, and emotional abuse and neglect they experienced. </w:t>
      </w:r>
    </w:p>
    <w:p w14:paraId="6F76FA9E" w14:textId="116F829A" w:rsidR="000E38BD" w:rsidRPr="00207901" w:rsidRDefault="000E38BD" w:rsidP="00207901">
      <w:pPr>
        <w:pStyle w:val="ARbody"/>
      </w:pPr>
      <w:r w:rsidRPr="00207901">
        <w:t>In November 2023, Advance Redress Payments were established to offer a one-off payment to</w:t>
      </w:r>
      <w:r w:rsidR="00C159BC">
        <w:t> </w:t>
      </w:r>
      <w:r w:rsidRPr="00207901">
        <w:t>people who were physically, psychologically, or</w:t>
      </w:r>
      <w:r w:rsidR="00C159BC">
        <w:t> </w:t>
      </w:r>
      <w:r w:rsidRPr="00207901">
        <w:t>emotionally abused or neglected as children in</w:t>
      </w:r>
      <w:r w:rsidR="00C159BC">
        <w:t> </w:t>
      </w:r>
      <w:r w:rsidRPr="00207901">
        <w:t>institutional settings before 1990 and are now terminally or critically ill. The aim of these payments is to provide redress to people who are unlikely to</w:t>
      </w:r>
      <w:r w:rsidR="00C159BC">
        <w:t> </w:t>
      </w:r>
      <w:r w:rsidRPr="00207901">
        <w:t xml:space="preserve">benefit from redress when it starts. </w:t>
      </w:r>
    </w:p>
    <w:p w14:paraId="42797E54" w14:textId="28105515" w:rsidR="000E38BD" w:rsidRPr="00207901" w:rsidRDefault="000E38BD" w:rsidP="0030635B">
      <w:pPr>
        <w:pStyle w:val="ARbody"/>
      </w:pPr>
      <w:r w:rsidRPr="00207901">
        <w:t>The 2024</w:t>
      </w:r>
      <w:r w:rsidR="002B4497">
        <w:t>–</w:t>
      </w:r>
      <w:r w:rsidRPr="00207901">
        <w:t>25 State Budget committed $165 million to deliver redress.</w:t>
      </w:r>
      <w:r w:rsidR="00D90552">
        <w:t xml:space="preserve"> </w:t>
      </w:r>
    </w:p>
    <w:p w14:paraId="49F02AF7" w14:textId="0E46299F" w:rsidR="000E38BD" w:rsidRPr="00207901" w:rsidRDefault="000E38BD" w:rsidP="0030635B">
      <w:pPr>
        <w:pStyle w:val="ARbody"/>
      </w:pPr>
      <w:r w:rsidRPr="00207901">
        <w:t xml:space="preserve">Following a co-design and consultation process with people with lived and living experience and key stakeholder organisations, the department is now preparing to implement redress in </w:t>
      </w:r>
      <w:r w:rsidR="00C12A78">
        <w:t>December</w:t>
      </w:r>
      <w:r w:rsidR="00C12A78" w:rsidRPr="00207901">
        <w:t xml:space="preserve"> </w:t>
      </w:r>
      <w:r w:rsidRPr="00207901">
        <w:t>2024.</w:t>
      </w:r>
    </w:p>
    <w:p w14:paraId="1DAD2664" w14:textId="70840893" w:rsidR="000E38BD" w:rsidRDefault="000E38BD" w:rsidP="00207901">
      <w:pPr>
        <w:pStyle w:val="ARbody"/>
      </w:pPr>
      <w:r w:rsidRPr="00207901">
        <w:t>In November 2023, the department commenced the National Redress Counselling and Psychological Care Service</w:t>
      </w:r>
      <w:r w:rsidR="004F561D">
        <w:t xml:space="preserve"> </w:t>
      </w:r>
      <w:r w:rsidRPr="00207901">
        <w:t>Victoria which was previously delivered by the Restore consortium. The new service includes expanded service eligibility and offerings such as alternative therapies. The department continues to lead the implementation of the Victorian</w:t>
      </w:r>
      <w:r>
        <w:t xml:space="preserve"> Government Direct Personal Response Program as part of the National Redress</w:t>
      </w:r>
      <w:r w:rsidR="00C73993">
        <w:t> </w:t>
      </w:r>
      <w:r>
        <w:t>Scheme.</w:t>
      </w:r>
    </w:p>
    <w:p w14:paraId="16A689F2" w14:textId="6DE56A78" w:rsidR="000E38BD" w:rsidRPr="0027266A" w:rsidRDefault="0009569C" w:rsidP="0009569C">
      <w:pPr>
        <w:pStyle w:val="Heading5"/>
      </w:pPr>
      <w:r>
        <w:br w:type="column"/>
      </w:r>
      <w:bookmarkStart w:id="72" w:name="_Toc173830442"/>
      <w:r w:rsidR="000E38BD" w:rsidRPr="0027266A">
        <w:t>Improving outcomes for children and</w:t>
      </w:r>
      <w:r w:rsidR="00107A36">
        <w:t> </w:t>
      </w:r>
      <w:r w:rsidR="000E38BD" w:rsidRPr="0027266A">
        <w:t xml:space="preserve">young </w:t>
      </w:r>
      <w:r w:rsidR="000E38BD" w:rsidRPr="00207901">
        <w:t>people</w:t>
      </w:r>
      <w:r w:rsidR="000E38BD" w:rsidRPr="0027266A">
        <w:t xml:space="preserve"> in c</w:t>
      </w:r>
      <w:r w:rsidR="000E38BD" w:rsidRPr="0027266A" w:rsidDel="00DF5819">
        <w:t xml:space="preserve">are </w:t>
      </w:r>
    </w:p>
    <w:p w14:paraId="0E06C48F" w14:textId="77777777" w:rsidR="000E38BD" w:rsidRPr="00A068D9" w:rsidRDefault="000E38BD" w:rsidP="00207901">
      <w:pPr>
        <w:pStyle w:val="Heading6"/>
        <w:rPr>
          <w:rFonts w:eastAsia="Times"/>
          <w:b w:val="0"/>
          <w:bCs w:val="0"/>
          <w:i/>
          <w:iCs/>
        </w:rPr>
      </w:pPr>
      <w:bookmarkStart w:id="73" w:name="_Toc173830452"/>
      <w:r w:rsidRPr="00207901">
        <w:rPr>
          <w:rFonts w:eastAsia="Times"/>
        </w:rPr>
        <w:t>Education</w:t>
      </w:r>
      <w:r w:rsidRPr="00A068D9">
        <w:rPr>
          <w:rFonts w:eastAsia="Times"/>
        </w:rPr>
        <w:t xml:space="preserve"> support for children in care</w:t>
      </w:r>
      <w:bookmarkEnd w:id="73"/>
    </w:p>
    <w:p w14:paraId="34AF6BE8" w14:textId="3AE5D57A" w:rsidR="000E38BD" w:rsidRPr="0030635B" w:rsidRDefault="000E38BD" w:rsidP="0030635B">
      <w:pPr>
        <w:pStyle w:val="ARbody"/>
      </w:pPr>
      <w:r w:rsidRPr="00413A1D">
        <w:t xml:space="preserve">In </w:t>
      </w:r>
      <w:r>
        <w:t>2023</w:t>
      </w:r>
      <w:r w:rsidR="002B4497">
        <w:t>–</w:t>
      </w:r>
      <w:r>
        <w:t>24</w:t>
      </w:r>
      <w:r w:rsidRPr="00413A1D">
        <w:t xml:space="preserve">, the </w:t>
      </w:r>
      <w:r>
        <w:t>g</w:t>
      </w:r>
      <w:r w:rsidRPr="00413A1D">
        <w:t xml:space="preserve">overnment invested </w:t>
      </w:r>
      <w:r>
        <w:t xml:space="preserve">$10.7 million to support 500 children and young people in care with their education. </w:t>
      </w:r>
      <w:r w:rsidRPr="00413A1D">
        <w:t>Education Supports for Children in Care</w:t>
      </w:r>
      <w:r w:rsidRPr="00316FFB">
        <w:t xml:space="preserve"> will provide one-on-one tutoring support</w:t>
      </w:r>
      <w:r>
        <w:t xml:space="preserve"> by</w:t>
      </w:r>
      <w:r w:rsidRPr="00316FFB">
        <w:t xml:space="preserve"> a qualified teacher to children and young people in care who are disengaged or at risk of disengaging from education. </w:t>
      </w:r>
    </w:p>
    <w:p w14:paraId="48CB6179" w14:textId="3B60DE99" w:rsidR="000E38BD" w:rsidRPr="007E0BDB" w:rsidRDefault="000E38BD" w:rsidP="0030635B">
      <w:pPr>
        <w:pStyle w:val="ARbody"/>
      </w:pPr>
      <w:r>
        <w:t xml:space="preserve">It is proposed to be delivered in </w:t>
      </w:r>
      <w:r w:rsidR="009D641C">
        <w:t>4</w:t>
      </w:r>
      <w:r>
        <w:t xml:space="preserve"> areas: Central Highlands, North Eastern Melbourne, Outer Eastern Melbourne and </w:t>
      </w:r>
      <w:r w:rsidRPr="0030635B">
        <w:t>Inner</w:t>
      </w:r>
      <w:r>
        <w:t xml:space="preserve"> Gippsland. The program </w:t>
      </w:r>
      <w:r w:rsidRPr="007E0BDB">
        <w:t xml:space="preserve">will commence in </w:t>
      </w:r>
      <w:r>
        <w:t xml:space="preserve">the second half of 2024. </w:t>
      </w:r>
    </w:p>
    <w:p w14:paraId="46CF5D28" w14:textId="3DA713F6" w:rsidR="000B6925" w:rsidRPr="007E0BDB" w:rsidRDefault="000B6925" w:rsidP="00C73993">
      <w:pPr>
        <w:pStyle w:val="ARbody"/>
      </w:pPr>
      <w:r>
        <w:t xml:space="preserve">This initiative is being </w:t>
      </w:r>
      <w:r w:rsidR="000417AF">
        <w:t>delivered in collaboration with the Department of Education.</w:t>
      </w:r>
    </w:p>
    <w:p w14:paraId="3D672FA8" w14:textId="473D26EB" w:rsidR="000E38BD" w:rsidRPr="00A068D9" w:rsidRDefault="000E38BD" w:rsidP="004E6CBF">
      <w:pPr>
        <w:pStyle w:val="Heading6"/>
      </w:pPr>
      <w:bookmarkStart w:id="74" w:name="_Toc173830453"/>
      <w:r w:rsidRPr="00207901">
        <w:t>Pathways</w:t>
      </w:r>
      <w:r w:rsidRPr="0003121C">
        <w:t xml:space="preserve"> to Good Health</w:t>
      </w:r>
      <w:bookmarkEnd w:id="74"/>
    </w:p>
    <w:p w14:paraId="2A877940" w14:textId="5007F084" w:rsidR="003C5F34" w:rsidRPr="0030635B" w:rsidRDefault="000E38BD" w:rsidP="0030635B">
      <w:pPr>
        <w:pStyle w:val="ARbody"/>
      </w:pPr>
      <w:r w:rsidRPr="55AAE12A">
        <w:t xml:space="preserve">The </w:t>
      </w:r>
      <w:r w:rsidRPr="00F64CF1">
        <w:rPr>
          <w:rStyle w:val="Emphasis"/>
        </w:rPr>
        <w:t>2023</w:t>
      </w:r>
      <w:r w:rsidR="002B4497">
        <w:rPr>
          <w:rStyle w:val="Emphasis"/>
        </w:rPr>
        <w:t>–</w:t>
      </w:r>
      <w:r w:rsidRPr="00F64CF1">
        <w:rPr>
          <w:rStyle w:val="Emphasis"/>
        </w:rPr>
        <w:t xml:space="preserve">24 State Budget </w:t>
      </w:r>
      <w:r w:rsidRPr="55AAE12A">
        <w:t xml:space="preserve">committed $37.7 million over </w:t>
      </w:r>
      <w:r>
        <w:t>4</w:t>
      </w:r>
      <w:r w:rsidRPr="55AAE12A">
        <w:t xml:space="preserve"> years for the Pathway </w:t>
      </w:r>
      <w:r w:rsidRPr="355138F7">
        <w:t>to</w:t>
      </w:r>
      <w:r w:rsidRPr="55AAE12A">
        <w:t xml:space="preserve"> Good Health program. It will deliver health screening, assessments and health plans for all children and young people entering statutory care across all 17 </w:t>
      </w:r>
      <w:r>
        <w:t>d</w:t>
      </w:r>
      <w:r w:rsidRPr="55AAE12A">
        <w:t xml:space="preserve">epartment </w:t>
      </w:r>
      <w:r>
        <w:t>A</w:t>
      </w:r>
      <w:r w:rsidRPr="55AAE12A">
        <w:t xml:space="preserve">reas by </w:t>
      </w:r>
      <w:r w:rsidRPr="355138F7">
        <w:t>2026.</w:t>
      </w:r>
      <w:r w:rsidRPr="55AAE12A">
        <w:t xml:space="preserve"> Implementation will be phased </w:t>
      </w:r>
      <w:r>
        <w:t>– with service</w:t>
      </w:r>
      <w:r w:rsidRPr="55AAE12A">
        <w:t xml:space="preserve"> in </w:t>
      </w:r>
      <w:r>
        <w:t>7</w:t>
      </w:r>
      <w:r w:rsidRPr="55AAE12A">
        <w:t xml:space="preserve"> areas </w:t>
      </w:r>
      <w:r>
        <w:t>already underway.</w:t>
      </w:r>
    </w:p>
    <w:p w14:paraId="3A9C0B8F" w14:textId="5AD7F965" w:rsidR="000E38BD" w:rsidRPr="00CC2100" w:rsidRDefault="00284E8A" w:rsidP="00C73993">
      <w:pPr>
        <w:pStyle w:val="ARbody"/>
      </w:pPr>
      <w:r>
        <w:t>This init</w:t>
      </w:r>
      <w:r w:rsidR="00C67CE2">
        <w:t xml:space="preserve">iative </w:t>
      </w:r>
      <w:r w:rsidR="00EA1263">
        <w:t>is being delivered in collaboration with the Department of Health.</w:t>
      </w:r>
    </w:p>
    <w:p w14:paraId="0F744A63" w14:textId="77777777" w:rsidR="000E38BD" w:rsidRPr="00466B64" w:rsidRDefault="000E38BD" w:rsidP="00207901">
      <w:pPr>
        <w:pStyle w:val="Heading5"/>
        <w:rPr>
          <w:bCs/>
        </w:rPr>
      </w:pPr>
      <w:bookmarkStart w:id="75" w:name="_Toc173830454"/>
      <w:r w:rsidRPr="00207901">
        <w:rPr>
          <w:rFonts w:hint="eastAsia"/>
        </w:rPr>
        <w:t>Addressing</w:t>
      </w:r>
      <w:r w:rsidRPr="0003121C">
        <w:rPr>
          <w:rFonts w:hint="eastAsia"/>
        </w:rPr>
        <w:t xml:space="preserve"> sexual exploitation</w:t>
      </w:r>
      <w:bookmarkEnd w:id="75"/>
    </w:p>
    <w:p w14:paraId="7B567ED8" w14:textId="1E708F46" w:rsidR="000E38BD" w:rsidRDefault="000E38BD" w:rsidP="00F64CF1">
      <w:pPr>
        <w:pStyle w:val="ARbody"/>
      </w:pPr>
      <w:r w:rsidRPr="00222EDB">
        <w:t>The 2023</w:t>
      </w:r>
      <w:r w:rsidR="002B4497">
        <w:t>–</w:t>
      </w:r>
      <w:r w:rsidRPr="00222EDB">
        <w:t xml:space="preserve">24 State Budget allocated </w:t>
      </w:r>
      <w:r w:rsidRPr="00B0358E">
        <w:t>$</w:t>
      </w:r>
      <w:r w:rsidRPr="0003121C">
        <w:t>13.4 million over 4 years</w:t>
      </w:r>
      <w:r w:rsidRPr="00222EDB">
        <w:rPr>
          <w:b/>
          <w:bCs/>
        </w:rPr>
        <w:t xml:space="preserve"> </w:t>
      </w:r>
      <w:r w:rsidRPr="00222EDB">
        <w:t>to target child sexual exploitation</w:t>
      </w:r>
      <w:r w:rsidRPr="5B26BEA7">
        <w:t>.</w:t>
      </w:r>
    </w:p>
    <w:p w14:paraId="404D1E3A" w14:textId="72BC293D" w:rsidR="000E38BD" w:rsidRDefault="000E38BD" w:rsidP="00F64CF1">
      <w:pPr>
        <w:pStyle w:val="ARbody"/>
      </w:pPr>
      <w:r>
        <w:t>This investment helped establish a dedicated team within the department for child sexual exploitation intelligence gathering and analysis and to enhance information technology capabilities with Victoria Police to better detect and respond to child sexual</w:t>
      </w:r>
      <w:r w:rsidR="00C73993">
        <w:t> </w:t>
      </w:r>
      <w:r>
        <w:t>exploitation.</w:t>
      </w:r>
    </w:p>
    <w:p w14:paraId="7328A131" w14:textId="4BBC38EF" w:rsidR="000E38BD" w:rsidRDefault="000E38BD" w:rsidP="00F64CF1">
      <w:pPr>
        <w:pStyle w:val="ARbody"/>
      </w:pPr>
      <w:r>
        <w:t>It also has enabled the department to increase focus on practice leadership by increasing the number of Sexual Exploitation Practice Leaders from 11 to 19. This expansion allows for one specialist Sexual Exploitation Practice Leader in</w:t>
      </w:r>
      <w:r w:rsidR="00C159BC">
        <w:t> </w:t>
      </w:r>
      <w:r>
        <w:t xml:space="preserve">each of the 17 areas, and </w:t>
      </w:r>
      <w:r w:rsidR="00F95AC7">
        <w:t>2</w:t>
      </w:r>
      <w:r>
        <w:t xml:space="preserve"> dedicated positions in the metropolitan and rural after-hours services, to</w:t>
      </w:r>
      <w:r w:rsidR="00D90552">
        <w:t> </w:t>
      </w:r>
      <w:r>
        <w:t>better detect and respond at night and over the</w:t>
      </w:r>
      <w:r w:rsidR="00D90552">
        <w:t> </w:t>
      </w:r>
      <w:r>
        <w:t xml:space="preserve">weekend. </w:t>
      </w:r>
    </w:p>
    <w:p w14:paraId="78BCCB69" w14:textId="77777777" w:rsidR="000E38BD" w:rsidRDefault="000E38BD" w:rsidP="00F64CF1">
      <w:pPr>
        <w:pStyle w:val="ARbody"/>
      </w:pPr>
      <w:r w:rsidRPr="00C54257">
        <w:t>Sexual Exploitation Practice Leaders play a critical role in the collaborative efforts with Victoria Police to identify perpetrators and disrupt their contact with vulnerable children.</w:t>
      </w:r>
    </w:p>
    <w:p w14:paraId="7DD469A9" w14:textId="77777777" w:rsidR="000E38BD" w:rsidRPr="00466B64" w:rsidRDefault="000E38BD" w:rsidP="00207901">
      <w:pPr>
        <w:pStyle w:val="Heading5"/>
        <w:rPr>
          <w:rFonts w:eastAsia="MS Mincho"/>
        </w:rPr>
      </w:pPr>
      <w:bookmarkStart w:id="76" w:name="_Toc173830443"/>
      <w:r w:rsidRPr="00466B64">
        <w:rPr>
          <w:rFonts w:eastAsia="MS Mincho"/>
        </w:rPr>
        <w:t>Supporting wellbeing and engagement for culturally diverse young people</w:t>
      </w:r>
      <w:bookmarkEnd w:id="76"/>
    </w:p>
    <w:p w14:paraId="58E67599" w14:textId="77777777" w:rsidR="000E38BD" w:rsidRDefault="000E38BD" w:rsidP="0088621E">
      <w:pPr>
        <w:pStyle w:val="ARbody"/>
      </w:pPr>
      <w:r>
        <w:t xml:space="preserve">The department continued to support young people from multicultural communities, where they face additional challenges to achieve the social, economic, education and economic outcomes of their peers. </w:t>
      </w:r>
    </w:p>
    <w:p w14:paraId="1C3A5C81" w14:textId="5338A09B" w:rsidR="000E38BD" w:rsidRPr="007C751A" w:rsidRDefault="000E38BD" w:rsidP="0088621E">
      <w:pPr>
        <w:pStyle w:val="ARbody"/>
      </w:pPr>
      <w:r>
        <w:t xml:space="preserve">The </w:t>
      </w:r>
      <w:r w:rsidRPr="00233486">
        <w:rPr>
          <w:rStyle w:val="Emphasis"/>
          <w:i w:val="0"/>
          <w:iCs w:val="0"/>
        </w:rPr>
        <w:t>2023</w:t>
      </w:r>
      <w:r w:rsidR="002B4497" w:rsidRPr="00233486">
        <w:rPr>
          <w:rStyle w:val="Emphasis"/>
          <w:i w:val="0"/>
          <w:iCs w:val="0"/>
        </w:rPr>
        <w:t>–</w:t>
      </w:r>
      <w:r w:rsidRPr="00233486">
        <w:rPr>
          <w:rStyle w:val="Emphasis"/>
          <w:i w:val="0"/>
          <w:iCs w:val="0"/>
        </w:rPr>
        <w:t>24 State Budget</w:t>
      </w:r>
      <w:r w:rsidRPr="00F64CF1">
        <w:rPr>
          <w:rStyle w:val="Emphasis"/>
        </w:rPr>
        <w:t xml:space="preserve"> p</w:t>
      </w:r>
      <w:r>
        <w:t>rovided</w:t>
      </w:r>
      <w:r w:rsidRPr="5477A707">
        <w:rPr>
          <w:b/>
          <w:bCs/>
        </w:rPr>
        <w:t xml:space="preserve"> </w:t>
      </w:r>
      <w:r>
        <w:t>$23.4 million</w:t>
      </w:r>
      <w:r w:rsidRPr="5477A707">
        <w:rPr>
          <w:b/>
          <w:bCs/>
        </w:rPr>
        <w:t xml:space="preserve"> </w:t>
      </w:r>
      <w:r>
        <w:t xml:space="preserve">over 4 years through the </w:t>
      </w:r>
      <w:r w:rsidRPr="00F64CF1">
        <w:rPr>
          <w:rStyle w:val="Emphasis"/>
        </w:rPr>
        <w:t xml:space="preserve">Investing early where it matters </w:t>
      </w:r>
      <w:r>
        <w:t>package for a range of prevention and early intervention initiatives supporting South Sudanese, Somali, Afghan and Pasifika young people and their</w:t>
      </w:r>
      <w:r w:rsidR="00C73993">
        <w:t> </w:t>
      </w:r>
      <w:r>
        <w:t>families:</w:t>
      </w:r>
    </w:p>
    <w:p w14:paraId="05FB8640" w14:textId="613512A4" w:rsidR="000E38BD" w:rsidRDefault="000E38BD" w:rsidP="00FB080C">
      <w:pPr>
        <w:pStyle w:val="ARbullet1"/>
      </w:pPr>
      <w:r>
        <w:t xml:space="preserve">Six Community Support Groups have continued to </w:t>
      </w:r>
      <w:r w:rsidRPr="00FB080C">
        <w:t>provide</w:t>
      </w:r>
      <w:r>
        <w:t xml:space="preserve"> individual supports for more than </w:t>
      </w:r>
      <w:r w:rsidRPr="007B6551">
        <w:t>2,500</w:t>
      </w:r>
      <w:r>
        <w:t xml:space="preserve"> young people and their families in </w:t>
      </w:r>
      <w:r w:rsidR="002B4497">
        <w:br/>
      </w:r>
      <w:r>
        <w:t>2023</w:t>
      </w:r>
      <w:r w:rsidR="002B4497">
        <w:t>–</w:t>
      </w:r>
      <w:r>
        <w:t>24, providing support and referrals in areas such as youth justice, mental health and</w:t>
      </w:r>
      <w:r w:rsidR="002B4497">
        <w:t> </w:t>
      </w:r>
      <w:r>
        <w:t>employment, as well as cultural and community activities fostering engagement and</w:t>
      </w:r>
      <w:r w:rsidR="002B4497">
        <w:t> </w:t>
      </w:r>
      <w:r>
        <w:t xml:space="preserve">participation. </w:t>
      </w:r>
    </w:p>
    <w:p w14:paraId="1D5A005F" w14:textId="684172BA" w:rsidR="000E38BD" w:rsidRDefault="000E38BD" w:rsidP="00FB080C">
      <w:pPr>
        <w:pStyle w:val="ARbullet1"/>
      </w:pPr>
      <w:r>
        <w:t xml:space="preserve">The Le Mana Pasifika Project continued to provide targeted supports to connect at-risk Pasifika young people </w:t>
      </w:r>
      <w:r w:rsidRPr="00FB080C">
        <w:t>with</w:t>
      </w:r>
      <w:r>
        <w:t xml:space="preserve"> education, employment, their families, community and support services. The program has supported more than 1,000 Pasifika young people in </w:t>
      </w:r>
      <w:r w:rsidR="002B4497">
        <w:br/>
      </w:r>
      <w:r>
        <w:t>2023</w:t>
      </w:r>
      <w:r w:rsidR="002B4497">
        <w:t>–</w:t>
      </w:r>
      <w:r>
        <w:t>24, partnering with local organisations to</w:t>
      </w:r>
      <w:r w:rsidR="002B4497">
        <w:t> </w:t>
      </w:r>
      <w:r>
        <w:t>deliver in-school programs, cultural capacity building, employment support and family and community</w:t>
      </w:r>
      <w:r w:rsidR="00C73993">
        <w:t> </w:t>
      </w:r>
      <w:r>
        <w:t>connection.</w:t>
      </w:r>
    </w:p>
    <w:p w14:paraId="20CCFC0E" w14:textId="2F5CCCAA" w:rsidR="000E38BD" w:rsidRPr="00466B64" w:rsidRDefault="000E38BD" w:rsidP="00FB080C">
      <w:pPr>
        <w:pStyle w:val="Heading5"/>
        <w:rPr>
          <w:rFonts w:eastAsia="MS Mincho"/>
        </w:rPr>
      </w:pPr>
      <w:r w:rsidRPr="00466B64">
        <w:rPr>
          <w:rFonts w:eastAsia="MS Mincho"/>
        </w:rPr>
        <w:t>Supporting engagement in education for</w:t>
      </w:r>
      <w:r w:rsidR="00C73993">
        <w:rPr>
          <w:rFonts w:eastAsia="MS Mincho"/>
        </w:rPr>
        <w:t> </w:t>
      </w:r>
      <w:r w:rsidRPr="00466B64">
        <w:rPr>
          <w:rFonts w:eastAsia="MS Mincho"/>
        </w:rPr>
        <w:t>young people with mental health</w:t>
      </w:r>
      <w:r w:rsidR="00C73993">
        <w:rPr>
          <w:rFonts w:eastAsia="MS Mincho"/>
        </w:rPr>
        <w:t> </w:t>
      </w:r>
      <w:r w:rsidRPr="00466B64">
        <w:rPr>
          <w:rFonts w:eastAsia="MS Mincho"/>
        </w:rPr>
        <w:t>challenges</w:t>
      </w:r>
      <w:bookmarkEnd w:id="72"/>
    </w:p>
    <w:p w14:paraId="72EE59C2" w14:textId="7A37504E" w:rsidR="000E38BD" w:rsidRPr="007C751A" w:rsidRDefault="000E38BD" w:rsidP="0088621E">
      <w:pPr>
        <w:pStyle w:val="ARbody"/>
      </w:pPr>
      <w:r w:rsidRPr="007C751A">
        <w:t xml:space="preserve">The department continued </w:t>
      </w:r>
      <w:r>
        <w:t xml:space="preserve">to </w:t>
      </w:r>
      <w:r w:rsidRPr="007C751A">
        <w:t xml:space="preserve">support </w:t>
      </w:r>
      <w:r>
        <w:t>youth</w:t>
      </w:r>
      <w:r w:rsidRPr="007C751A">
        <w:t xml:space="preserve"> engagement through the Living Learning Partnership Addressing Disadvantage. Up to </w:t>
      </w:r>
      <w:r w:rsidR="002D5E39">
        <w:br/>
      </w:r>
      <w:r w:rsidRPr="007C751A">
        <w:t>$15 million is invested in the program to support 144 early school leavers aged 15–21 years who experience mental health conditions and are not engaged in education, employment or training, to re-engage in education.</w:t>
      </w:r>
    </w:p>
    <w:p w14:paraId="3CF65BEA" w14:textId="22DC3863" w:rsidR="000E38BD" w:rsidRPr="007C751A" w:rsidRDefault="000E38BD" w:rsidP="0088621E">
      <w:pPr>
        <w:pStyle w:val="ARbody"/>
      </w:pPr>
      <w:r w:rsidRPr="007C751A">
        <w:t xml:space="preserve">The program is delivered at the Hester Hornbrook Academy, an independent school run by Melbourne City Mission. The program provides wrap-around mental health and specialist supports to assist students in their education. In </w:t>
      </w:r>
      <w:r>
        <w:t>December 2023, the</w:t>
      </w:r>
      <w:r w:rsidR="004672B4">
        <w:t> </w:t>
      </w:r>
      <w:r>
        <w:t>first cohort of 48 students completed the 3-year program, with over 83% moving on to further education, training or employment</w:t>
      </w:r>
      <w:r w:rsidRPr="007C751A">
        <w:t>.</w:t>
      </w:r>
    </w:p>
    <w:p w14:paraId="52310456" w14:textId="1449EDBC" w:rsidR="000E38BD" w:rsidRDefault="000E38BD" w:rsidP="0088621E">
      <w:pPr>
        <w:pStyle w:val="ARbody"/>
      </w:pPr>
      <w:r w:rsidRPr="007C751A">
        <w:t>Program evaluations found the program has improved young people</w:t>
      </w:r>
      <w:r w:rsidR="00711AE6">
        <w:t>’</w:t>
      </w:r>
      <w:r w:rsidRPr="007C751A">
        <w:t>s mental and physical health, confidence, self-efficacy and engagement in education.</w:t>
      </w:r>
    </w:p>
    <w:p w14:paraId="3D803966" w14:textId="77777777" w:rsidR="000E38BD" w:rsidRPr="0027266A" w:rsidRDefault="000E38BD" w:rsidP="00C73993">
      <w:pPr>
        <w:pStyle w:val="Heading5"/>
      </w:pPr>
      <w:r w:rsidRPr="0027266A">
        <w:t>Building strong families through the Family Preservation and Reunification Response</w:t>
      </w:r>
    </w:p>
    <w:p w14:paraId="7B26D5F1" w14:textId="4D87D77C" w:rsidR="000E38BD" w:rsidRPr="00532DAE" w:rsidRDefault="000E38BD" w:rsidP="0088621E">
      <w:pPr>
        <w:pStyle w:val="ARbody"/>
      </w:pPr>
      <w:r>
        <w:t>T</w:t>
      </w:r>
      <w:r w:rsidRPr="00532DAE">
        <w:t>he Family Preservation and Reunification Response</w:t>
      </w:r>
      <w:r>
        <w:t xml:space="preserve"> (the response) is an </w:t>
      </w:r>
      <w:r w:rsidRPr="002D7420">
        <w:t xml:space="preserve">intensive, </w:t>
      </w:r>
      <w:r w:rsidR="006E2F2E">
        <w:br/>
      </w:r>
      <w:r>
        <w:t>evidence-informed</w:t>
      </w:r>
      <w:r w:rsidRPr="002D7420">
        <w:t xml:space="preserve"> service model for children and</w:t>
      </w:r>
      <w:r w:rsidR="004672B4">
        <w:t> </w:t>
      </w:r>
      <w:r w:rsidRPr="002D7420">
        <w:t>their families with multiple, complex needs</w:t>
      </w:r>
      <w:r w:rsidRPr="00532DAE" w:rsidDel="00650DE7">
        <w:t>.</w:t>
      </w:r>
    </w:p>
    <w:p w14:paraId="1BEA813A" w14:textId="77777777" w:rsidR="000E38BD" w:rsidRPr="00532DAE" w:rsidRDefault="000E38BD" w:rsidP="0088621E">
      <w:pPr>
        <w:pStyle w:val="ARbody"/>
      </w:pPr>
      <w:r>
        <w:t>The response</w:t>
      </w:r>
      <w:r w:rsidRPr="00532DAE">
        <w:t xml:space="preserve"> </w:t>
      </w:r>
      <w:r>
        <w:t>has demonstrated effectiveness in supporting</w:t>
      </w:r>
      <w:r w:rsidRPr="00532DAE">
        <w:t xml:space="preserve"> families </w:t>
      </w:r>
      <w:r>
        <w:t>to stay</w:t>
      </w:r>
      <w:r w:rsidDel="0081234A">
        <w:t xml:space="preserve"> </w:t>
      </w:r>
      <w:r w:rsidRPr="00532DAE">
        <w:t>together where possible</w:t>
      </w:r>
      <w:r>
        <w:t xml:space="preserve">, and in enabling </w:t>
      </w:r>
      <w:r w:rsidRPr="00532DAE">
        <w:t>children in care to return home safely. The response is delivered by 2</w:t>
      </w:r>
      <w:r>
        <w:t>0</w:t>
      </w:r>
      <w:r w:rsidRPr="00532DAE">
        <w:t xml:space="preserve"> community service organisations and 12 ACCOs, in partnership with Child Protection.</w:t>
      </w:r>
    </w:p>
    <w:p w14:paraId="5EEE6814" w14:textId="1AD249EC" w:rsidR="000E38BD" w:rsidRPr="004E2DDB" w:rsidRDefault="000E38BD" w:rsidP="00207901">
      <w:pPr>
        <w:pStyle w:val="Heading5"/>
        <w:rPr>
          <w:rFonts w:eastAsia="MS Mincho"/>
        </w:rPr>
      </w:pPr>
      <w:r w:rsidRPr="004E2DDB">
        <w:rPr>
          <w:rFonts w:eastAsia="MS Mincho"/>
        </w:rPr>
        <w:t>Putting Families First to help vulnerable</w:t>
      </w:r>
      <w:r w:rsidR="00FB080C">
        <w:rPr>
          <w:rFonts w:eastAsia="MS Mincho"/>
        </w:rPr>
        <w:t> </w:t>
      </w:r>
      <w:r w:rsidRPr="004E2DDB">
        <w:rPr>
          <w:rFonts w:eastAsia="MS Mincho"/>
        </w:rPr>
        <w:t>families</w:t>
      </w:r>
    </w:p>
    <w:p w14:paraId="7B1BBCE6" w14:textId="77777777" w:rsidR="000E38BD" w:rsidRPr="00781639" w:rsidRDefault="000E38BD" w:rsidP="00781639">
      <w:pPr>
        <w:pStyle w:val="ARbody"/>
      </w:pPr>
      <w:r w:rsidRPr="002C2576">
        <w:rPr>
          <w:szCs w:val="20"/>
          <w:shd w:val="clear" w:color="auto" w:fill="FFFFFF"/>
        </w:rPr>
        <w:t xml:space="preserve">Putting Families First is an intensive, whole-of-family service response, designed for families </w:t>
      </w:r>
      <w:r w:rsidRPr="00781639">
        <w:t>engaged with the justice system who need multiple supports across health, social and justice services.</w:t>
      </w:r>
    </w:p>
    <w:p w14:paraId="722ACA7F" w14:textId="7332025C" w:rsidR="000E38BD" w:rsidRPr="00781639" w:rsidRDefault="000E38BD" w:rsidP="00781639">
      <w:pPr>
        <w:pStyle w:val="ARbody"/>
      </w:pPr>
      <w:r w:rsidRPr="00781639">
        <w:t>Interdisciplinary teams, led by a family practitioner (including Aboriginal and ethno-specific responses) deliver coordinated assessments and integrated supports that aim to divert families from long</w:t>
      </w:r>
      <w:r w:rsidR="002232D6">
        <w:t>-</w:t>
      </w:r>
      <w:r w:rsidRPr="00781639">
        <w:t xml:space="preserve">term, acute and statutory service usage. </w:t>
      </w:r>
    </w:p>
    <w:p w14:paraId="6EA76F95" w14:textId="6091850C" w:rsidR="000E38BD" w:rsidRPr="00847D47" w:rsidRDefault="000E38BD" w:rsidP="00781639">
      <w:pPr>
        <w:pStyle w:val="ARbody"/>
        <w:rPr>
          <w:szCs w:val="20"/>
          <w:shd w:val="clear" w:color="auto" w:fill="FFFFFF"/>
        </w:rPr>
      </w:pPr>
      <w:r w:rsidRPr="00781639">
        <w:t>Putting Families First is being trialled in Brimbank</w:t>
      </w:r>
      <w:r w:rsidR="00436A17">
        <w:t>–</w:t>
      </w:r>
      <w:r w:rsidRPr="00781639">
        <w:t>Melton and Goulburn Areas, with up to 72 families across both</w:t>
      </w:r>
      <w:r w:rsidRPr="0002264A">
        <w:rPr>
          <w:szCs w:val="20"/>
          <w:shd w:val="clear" w:color="auto" w:fill="FFFFFF"/>
        </w:rPr>
        <w:t xml:space="preserve"> sites.</w:t>
      </w:r>
      <w:r w:rsidRPr="00847D47">
        <w:t> </w:t>
      </w:r>
    </w:p>
    <w:p w14:paraId="2870944D" w14:textId="77777777" w:rsidR="000E38BD" w:rsidRPr="0027266A" w:rsidRDefault="000E38BD" w:rsidP="000A3B89">
      <w:pPr>
        <w:pStyle w:val="Heading5"/>
      </w:pPr>
      <w:r w:rsidRPr="0027266A">
        <w:t>Early Help Family Services</w:t>
      </w:r>
    </w:p>
    <w:p w14:paraId="01F61A7B" w14:textId="49AA007D" w:rsidR="000E38BD" w:rsidRPr="00781639" w:rsidRDefault="000E38BD" w:rsidP="00781639">
      <w:pPr>
        <w:pStyle w:val="ARbody"/>
      </w:pPr>
      <w:r w:rsidRPr="00532DAE">
        <w:t xml:space="preserve">Early Help Family Services supports families with </w:t>
      </w:r>
      <w:r w:rsidRPr="00781639">
        <w:t>emerging needs. The program works to improve parents</w:t>
      </w:r>
      <w:r w:rsidR="00711AE6">
        <w:t>’</w:t>
      </w:r>
      <w:r w:rsidRPr="00781639">
        <w:t xml:space="preserve"> competence and build social and community connection. Practitioners are embedded in universal settings, making evidence-based parenting supports available to families earlier </w:t>
      </w:r>
      <w:r w:rsidRPr="00C159BC">
        <w:t>to</w:t>
      </w:r>
      <w:r w:rsidR="00C159BC">
        <w:t> </w:t>
      </w:r>
      <w:r w:rsidRPr="00C159BC">
        <w:t>divert</w:t>
      </w:r>
      <w:r w:rsidRPr="00781639">
        <w:t xml:space="preserve"> them from more intensive services while also improving outcomes for children. </w:t>
      </w:r>
    </w:p>
    <w:p w14:paraId="59627F41" w14:textId="6B6F27CD" w:rsidR="000E38BD" w:rsidRPr="00532DAE" w:rsidRDefault="000E38BD" w:rsidP="00781639">
      <w:pPr>
        <w:pStyle w:val="ARbody"/>
      </w:pPr>
      <w:r w:rsidRPr="00781639">
        <w:t>More than 3,500 families each year can access support through the program which is demonstrating effectiveness in diverting families from more intensive services and improving parenting</w:t>
      </w:r>
      <w:r w:rsidRPr="008D45AD">
        <w:t xml:space="preserve"> skills and confidence, leading to better outcomes for children.</w:t>
      </w:r>
      <w:r>
        <w:t xml:space="preserve"> The program was extended for a further year in the 2024</w:t>
      </w:r>
      <w:r w:rsidR="002B4497">
        <w:t>–</w:t>
      </w:r>
      <w:r>
        <w:t>25 Victorian State</w:t>
      </w:r>
      <w:r w:rsidR="000A3B89">
        <w:t> </w:t>
      </w:r>
      <w:r>
        <w:t>budget.</w:t>
      </w:r>
      <w:r w:rsidRPr="00532DAE">
        <w:t xml:space="preserve"> </w:t>
      </w:r>
    </w:p>
    <w:p w14:paraId="32B8BEA7" w14:textId="77777777" w:rsidR="000E38BD" w:rsidRPr="0027266A" w:rsidRDefault="000E38BD" w:rsidP="000A3B89">
      <w:pPr>
        <w:pStyle w:val="Heading5"/>
      </w:pPr>
      <w:r w:rsidRPr="0027266A">
        <w:t>Family Group Conferencing pilot</w:t>
      </w:r>
    </w:p>
    <w:p w14:paraId="7476D592" w14:textId="5378D86D" w:rsidR="000E38BD" w:rsidRPr="00BB6BFD" w:rsidRDefault="000E38BD" w:rsidP="0088621E">
      <w:pPr>
        <w:pStyle w:val="ARbody"/>
      </w:pPr>
      <w:r w:rsidRPr="004C7321">
        <w:rPr>
          <w:rFonts w:eastAsia="Arial"/>
          <w:szCs w:val="20"/>
        </w:rPr>
        <w:t xml:space="preserve">The Family Group Conferencing </w:t>
      </w:r>
      <w:r w:rsidRPr="004C7321">
        <w:rPr>
          <w:rFonts w:eastAsia="VIC"/>
          <w:szCs w:val="20"/>
        </w:rPr>
        <w:t xml:space="preserve">pilot continued </w:t>
      </w:r>
      <w:r w:rsidRPr="00C159BC">
        <w:t>in</w:t>
      </w:r>
      <w:r w:rsidR="00C159BC">
        <w:t> </w:t>
      </w:r>
      <w:r w:rsidRPr="00C159BC">
        <w:t>2023</w:t>
      </w:r>
      <w:r w:rsidR="002B4497">
        <w:rPr>
          <w:rFonts w:eastAsia="Arial"/>
          <w:szCs w:val="20"/>
        </w:rPr>
        <w:t>–</w:t>
      </w:r>
      <w:r w:rsidRPr="7224C4FB">
        <w:rPr>
          <w:rFonts w:eastAsia="Arial"/>
          <w:szCs w:val="20"/>
        </w:rPr>
        <w:t xml:space="preserve">24, </w:t>
      </w:r>
      <w:r w:rsidRPr="004C7321">
        <w:rPr>
          <w:rFonts w:eastAsia="Arial"/>
          <w:szCs w:val="20"/>
        </w:rPr>
        <w:t>having commenced in June 2022</w:t>
      </w:r>
      <w:r>
        <w:rPr>
          <w:rFonts w:eastAsia="Arial"/>
          <w:szCs w:val="20"/>
        </w:rPr>
        <w:t>, operating across</w:t>
      </w:r>
      <w:r w:rsidRPr="004C7321">
        <w:rPr>
          <w:rFonts w:eastAsia="Arial"/>
          <w:szCs w:val="20"/>
        </w:rPr>
        <w:t xml:space="preserve"> Bayside Peninsula, Southern Melbourne, Inner and Outer Eastern Melbourne, and </w:t>
      </w:r>
      <w:r w:rsidRPr="00BB6BFD">
        <w:t>Statewide Services.</w:t>
      </w:r>
    </w:p>
    <w:p w14:paraId="0DEC3821" w14:textId="77777777" w:rsidR="000E38BD" w:rsidRPr="00BB6BFD" w:rsidRDefault="000E38BD" w:rsidP="0088621E">
      <w:pPr>
        <w:pStyle w:val="ARbody"/>
      </w:pPr>
      <w:r w:rsidRPr="00BB6BFD">
        <w:t xml:space="preserve">Aboriginal children and families continued to be within scope of the pilot unless they could access Aboriginal Family Led Decision Making. </w:t>
      </w:r>
    </w:p>
    <w:p w14:paraId="3A3207A8" w14:textId="3364615A" w:rsidR="000E38BD" w:rsidRDefault="000E38BD" w:rsidP="0088621E">
      <w:pPr>
        <w:pStyle w:val="ARbody"/>
        <w:rPr>
          <w:rFonts w:eastAsia="Arial"/>
          <w:szCs w:val="20"/>
        </w:rPr>
      </w:pPr>
      <w:r w:rsidRPr="00BB6BFD">
        <w:t>The 2024</w:t>
      </w:r>
      <w:r w:rsidR="002B4497">
        <w:t>–</w:t>
      </w:r>
      <w:r w:rsidRPr="00BB6BFD">
        <w:t>25 State Budget included investment of</w:t>
      </w:r>
      <w:r w:rsidR="00C159BC">
        <w:t> </w:t>
      </w:r>
      <w:r w:rsidRPr="00BB6BFD">
        <w:t>$8.01</w:t>
      </w:r>
      <w:r w:rsidRPr="007E0BDB">
        <w:rPr>
          <w:rFonts w:eastAsia="Arial"/>
          <w:szCs w:val="20"/>
        </w:rPr>
        <w:t xml:space="preserve"> million </w:t>
      </w:r>
      <w:r>
        <w:rPr>
          <w:rFonts w:eastAsia="Arial"/>
          <w:szCs w:val="20"/>
        </w:rPr>
        <w:t>to continue the pilot for</w:t>
      </w:r>
      <w:r w:rsidRPr="001F01C6">
        <w:rPr>
          <w:rFonts w:eastAsia="Arial"/>
          <w:szCs w:val="20"/>
        </w:rPr>
        <w:t xml:space="preserve"> a further 12</w:t>
      </w:r>
      <w:r w:rsidR="00BC2EA2">
        <w:rPr>
          <w:rFonts w:eastAsia="Arial"/>
          <w:szCs w:val="20"/>
        </w:rPr>
        <w:t> </w:t>
      </w:r>
      <w:r w:rsidRPr="001F01C6">
        <w:rPr>
          <w:rFonts w:eastAsia="Arial"/>
          <w:szCs w:val="20"/>
        </w:rPr>
        <w:t xml:space="preserve">months </w:t>
      </w:r>
      <w:r>
        <w:rPr>
          <w:rFonts w:eastAsia="Arial"/>
          <w:szCs w:val="20"/>
        </w:rPr>
        <w:t xml:space="preserve">to </w:t>
      </w:r>
      <w:r w:rsidRPr="00316FFB">
        <w:rPr>
          <w:rFonts w:eastAsia="Arial"/>
          <w:szCs w:val="20"/>
        </w:rPr>
        <w:t>June 2025.</w:t>
      </w:r>
    </w:p>
    <w:p w14:paraId="2C5C7E51" w14:textId="7D8F9F0A" w:rsidR="000E38BD" w:rsidRPr="0027266A" w:rsidRDefault="000E38BD" w:rsidP="000A3B89">
      <w:pPr>
        <w:pStyle w:val="Heading5"/>
      </w:pPr>
      <w:r w:rsidRPr="0027266A">
        <w:t>Sexually Abusive Behaviours Treatment</w:t>
      </w:r>
      <w:r w:rsidR="00781639">
        <w:t> </w:t>
      </w:r>
      <w:r w:rsidRPr="0027266A">
        <w:t>Services</w:t>
      </w:r>
    </w:p>
    <w:p w14:paraId="7366AB6F" w14:textId="77777777" w:rsidR="000E38BD" w:rsidRDefault="000E38BD" w:rsidP="0088621E">
      <w:pPr>
        <w:pStyle w:val="ARbody"/>
      </w:pPr>
      <w:r>
        <w:t xml:space="preserve">Sexually abusive behaviour treatment services provide developmentally appropriate therapeutic responses to children and young people who use harmful sexual behaviours. </w:t>
      </w:r>
    </w:p>
    <w:p w14:paraId="44CBC280" w14:textId="2EECB713" w:rsidR="000E38BD" w:rsidRPr="00532DAE" w:rsidRDefault="000E38BD" w:rsidP="0088621E">
      <w:pPr>
        <w:pStyle w:val="ARbody"/>
      </w:pPr>
      <w:r>
        <w:t xml:space="preserve">In </w:t>
      </w:r>
      <w:r w:rsidRPr="00532DAE">
        <w:t>2022</w:t>
      </w:r>
      <w:r w:rsidR="002B4497">
        <w:t>–</w:t>
      </w:r>
      <w:r>
        <w:t>23,</w:t>
      </w:r>
      <w:r w:rsidRPr="00532DAE">
        <w:t xml:space="preserve"> 1,357 young people received a</w:t>
      </w:r>
      <w:r w:rsidR="00C159BC">
        <w:t> </w:t>
      </w:r>
      <w:r w:rsidRPr="00532DAE">
        <w:t>Sexually Abusive Behaviour Treatment Service</w:t>
      </w:r>
      <w:r w:rsidR="00781639">
        <w:t> </w:t>
      </w:r>
      <w:r w:rsidRPr="00532DAE">
        <w:t>response.</w:t>
      </w:r>
    </w:p>
    <w:p w14:paraId="57F18808" w14:textId="77777777" w:rsidR="000E38BD" w:rsidRPr="0027266A" w:rsidRDefault="000E38BD" w:rsidP="000A3B89">
      <w:pPr>
        <w:pStyle w:val="Heading5"/>
      </w:pPr>
      <w:r w:rsidRPr="0027266A">
        <w:t>Therapeutic supports for all young people in residential care</w:t>
      </w:r>
    </w:p>
    <w:p w14:paraId="3FE3374D" w14:textId="77777777" w:rsidR="0009569C" w:rsidRDefault="000E38BD" w:rsidP="005B39AF">
      <w:pPr>
        <w:pStyle w:val="ARbody"/>
      </w:pPr>
      <w:r>
        <w:t xml:space="preserve">The </w:t>
      </w:r>
      <w:r w:rsidRPr="00F64CF1">
        <w:rPr>
          <w:rStyle w:val="Emphasis"/>
        </w:rPr>
        <w:t>2023</w:t>
      </w:r>
      <w:r w:rsidR="002B4497">
        <w:rPr>
          <w:rStyle w:val="Emphasis"/>
        </w:rPr>
        <w:t>–</w:t>
      </w:r>
      <w:r w:rsidRPr="00F64CF1">
        <w:rPr>
          <w:rStyle w:val="Emphasis"/>
        </w:rPr>
        <w:t>24 State Budget p</w:t>
      </w:r>
      <w:r>
        <w:t>rovided $548 million to improve outcomes for young people in residential care, the biggest single investment in care services in over a decade.</w:t>
      </w:r>
    </w:p>
    <w:p w14:paraId="5E7E8DDF" w14:textId="0ACD48F0" w:rsidR="000E38BD" w:rsidRPr="00532DAE" w:rsidRDefault="000E38BD" w:rsidP="005B39AF">
      <w:pPr>
        <w:pStyle w:val="ARbody"/>
      </w:pPr>
      <w:r>
        <w:t>This includes investment to enable all young people in residential care to access therapeutic supports by 2025</w:t>
      </w:r>
      <w:r w:rsidR="002B4497">
        <w:t>–</w:t>
      </w:r>
      <w:r>
        <w:t xml:space="preserve">26. As of 1 January 2024, 75% of </w:t>
      </w:r>
      <w:r w:rsidR="006E2F2E">
        <w:br/>
      </w:r>
      <w:r>
        <w:t>non-therapeutic residential care homes have received increased funding to provide access to therapeutic supports, to support young people to recover from abuse and trauma and to develop while in care.</w:t>
      </w:r>
    </w:p>
    <w:p w14:paraId="38158EB6" w14:textId="77777777" w:rsidR="000E38BD" w:rsidRPr="0027266A" w:rsidRDefault="000E38BD" w:rsidP="00781639">
      <w:pPr>
        <w:pStyle w:val="Heading5"/>
      </w:pPr>
      <w:r w:rsidRPr="0027266A">
        <w:t>Understanding what works for children and</w:t>
      </w:r>
      <w:r>
        <w:t xml:space="preserve"> </w:t>
      </w:r>
      <w:r w:rsidRPr="0027266A">
        <w:t>families – Menu of Evidence for Children and Families</w:t>
      </w:r>
    </w:p>
    <w:p w14:paraId="2E10A8C5" w14:textId="7FF0955B" w:rsidR="000E38BD" w:rsidRPr="00781639" w:rsidRDefault="000E38BD" w:rsidP="00781639">
      <w:pPr>
        <w:pStyle w:val="ARbody"/>
      </w:pPr>
      <w:r w:rsidRPr="00781639">
        <w:t xml:space="preserve">In March 2023, the department released the </w:t>
      </w:r>
      <w:hyperlink r:id="rId73" w:history="1">
        <w:r w:rsidRPr="0049017B">
          <w:rPr>
            <w:rStyle w:val="Hyperlink"/>
          </w:rPr>
          <w:t>Menu of Evidence for Children and Families</w:t>
        </w:r>
      </w:hyperlink>
      <w:r w:rsidRPr="00781639">
        <w:t xml:space="preserve"> </w:t>
      </w:r>
      <w:r w:rsidR="0049017B">
        <w:t>&lt;</w:t>
      </w:r>
      <w:r w:rsidR="0049017B" w:rsidRPr="00233486">
        <w:t>https://menu.dffh.vic.gov.au/&gt;</w:t>
      </w:r>
      <w:r w:rsidRPr="00781639">
        <w:t>. This searchable online database provides the best available evidence of what works in programs for children and families.</w:t>
      </w:r>
    </w:p>
    <w:p w14:paraId="50276070" w14:textId="16245BBE" w:rsidR="00781639" w:rsidRDefault="000E38BD" w:rsidP="00781639">
      <w:pPr>
        <w:pStyle w:val="ARbody"/>
      </w:pPr>
      <w:r w:rsidRPr="00781639">
        <w:t>Since its release, more than 12,000 users have used the platform</w:t>
      </w:r>
      <w:r w:rsidRPr="00532DAE">
        <w:t xml:space="preserve">. In addition to other sources such as Aboriginal knowledge and client voice, the </w:t>
      </w:r>
      <w:r>
        <w:t>m</w:t>
      </w:r>
      <w:r w:rsidRPr="00532DAE">
        <w:t>enu helps us provide safe and effective services.</w:t>
      </w:r>
    </w:p>
    <w:p w14:paraId="11AB7E7C" w14:textId="77777777" w:rsidR="000E38BD" w:rsidRPr="0027266A" w:rsidRDefault="000E38BD" w:rsidP="00781639">
      <w:pPr>
        <w:pStyle w:val="Heading5"/>
      </w:pPr>
      <w:r w:rsidRPr="0027266A">
        <w:t>Growing the evidence base through the Outcomes, Practice and Evidence Network</w:t>
      </w:r>
    </w:p>
    <w:p w14:paraId="7B200DB2" w14:textId="77777777" w:rsidR="000E38BD" w:rsidRPr="00781639" w:rsidRDefault="000E38BD" w:rsidP="00781639">
      <w:pPr>
        <w:pStyle w:val="ARbody"/>
      </w:pPr>
      <w:r w:rsidRPr="00532DAE">
        <w:t>The Outcomes, Practice and Evidence Network (OPEN</w:t>
      </w:r>
      <w:r w:rsidRPr="00781639">
        <w:t>) is coordinated by the Centre for Excellence in Child and Family Welfare. It fosters a collaborative approach to delivering evidence-based services for children and families.</w:t>
      </w:r>
    </w:p>
    <w:p w14:paraId="17BA5DC7" w14:textId="7D744153" w:rsidR="000E38BD" w:rsidRPr="00532DAE" w:rsidRDefault="000E38BD" w:rsidP="00781639">
      <w:pPr>
        <w:pStyle w:val="ARbody"/>
      </w:pPr>
      <w:r w:rsidRPr="00781639">
        <w:t>OPEN has over 3,398 members who are practitioners</w:t>
      </w:r>
      <w:r>
        <w:t>, policy makers and researchers to</w:t>
      </w:r>
      <w:r w:rsidR="00C159BC">
        <w:t> </w:t>
      </w:r>
      <w:r>
        <w:t>drive practice-based research and build the evidence base. Through a calendar of annual learning events, training and communities of</w:t>
      </w:r>
      <w:r w:rsidR="00D75856">
        <w:t> </w:t>
      </w:r>
      <w:r>
        <w:t>practice, OPEN promotes professional development and sharing of best practice and</w:t>
      </w:r>
      <w:r w:rsidR="00781639">
        <w:t> </w:t>
      </w:r>
      <w:r>
        <w:t>innovation.</w:t>
      </w:r>
    </w:p>
    <w:p w14:paraId="63AC555C" w14:textId="77777777" w:rsidR="000E38BD" w:rsidRPr="0027266A" w:rsidRDefault="000E38BD" w:rsidP="00781639">
      <w:pPr>
        <w:pStyle w:val="Heading5"/>
      </w:pPr>
      <w:r w:rsidRPr="0027266A">
        <w:t>Client Incident Management System Review</w:t>
      </w:r>
    </w:p>
    <w:p w14:paraId="5EB6110C" w14:textId="44E3EC90" w:rsidR="000E38BD" w:rsidRPr="00532DAE" w:rsidRDefault="000E38BD" w:rsidP="00781639">
      <w:pPr>
        <w:pStyle w:val="ARbody"/>
      </w:pPr>
      <w:r>
        <w:t xml:space="preserve">The Client Incident Management System (CIMS) is an incident management policy and IT system that helps safeguard clients by providing timely and effective responses to incidents which harm them during service delivery. This in turn enables service providers to enhance their service delivery by learning from incidents. </w:t>
      </w:r>
    </w:p>
    <w:p w14:paraId="09B8E2A3" w14:textId="77777777" w:rsidR="000E38BD" w:rsidRPr="0027266A" w:rsidRDefault="000E38BD" w:rsidP="00781639">
      <w:pPr>
        <w:pStyle w:val="Heading5"/>
      </w:pPr>
      <w:r w:rsidRPr="0027266A">
        <w:t>Court Services Victoria</w:t>
      </w:r>
      <w:r>
        <w:t xml:space="preserve"> – C</w:t>
      </w:r>
      <w:r w:rsidRPr="0027266A">
        <w:t>ase</w:t>
      </w:r>
      <w:r>
        <w:t xml:space="preserve"> </w:t>
      </w:r>
      <w:r w:rsidRPr="0027266A">
        <w:t>Management</w:t>
      </w:r>
      <w:r>
        <w:t xml:space="preserve"> </w:t>
      </w:r>
      <w:r w:rsidRPr="0027266A">
        <w:t>Portal</w:t>
      </w:r>
    </w:p>
    <w:p w14:paraId="0864C937" w14:textId="77777777" w:rsidR="00E22A42" w:rsidRDefault="000E38BD" w:rsidP="00781639">
      <w:pPr>
        <w:pStyle w:val="ARbody"/>
      </w:pPr>
      <w:r w:rsidRPr="00532DAE">
        <w:t xml:space="preserve">Court Services Victoria </w:t>
      </w:r>
      <w:r>
        <w:t>(CSV) has</w:t>
      </w:r>
      <w:r w:rsidRPr="00532DAE">
        <w:t xml:space="preserve"> develop</w:t>
      </w:r>
      <w:r>
        <w:t>ed an</w:t>
      </w:r>
      <w:r w:rsidR="00D75856">
        <w:t> </w:t>
      </w:r>
      <w:r w:rsidRPr="00781639">
        <w:t>online Case Management System (CMS) that includes purpose-built portals to securely exchange digital documents with key organisations such as</w:t>
      </w:r>
      <w:r w:rsidR="005B39AF">
        <w:t> </w:t>
      </w:r>
      <w:r w:rsidRPr="00781639">
        <w:t>courts, Victoria Police, Corrections and Child</w:t>
      </w:r>
      <w:r w:rsidR="005B39AF">
        <w:t> </w:t>
      </w:r>
      <w:r w:rsidRPr="00781639">
        <w:t>Protection.</w:t>
      </w:r>
      <w:r w:rsidR="00E22A42">
        <w:t xml:space="preserve"> </w:t>
      </w:r>
    </w:p>
    <w:p w14:paraId="3A953C65" w14:textId="58F69FFE" w:rsidR="000E38BD" w:rsidRPr="00781639" w:rsidRDefault="000E38BD" w:rsidP="00781639">
      <w:pPr>
        <w:pStyle w:val="ARbody"/>
      </w:pPr>
      <w:r w:rsidRPr="00781639">
        <w:t>This work follows recommendations by the Royal Commission into Family Violence to improve information sharing between key government</w:t>
      </w:r>
      <w:r w:rsidR="005B39AF">
        <w:t> </w:t>
      </w:r>
      <w:r w:rsidRPr="00781639">
        <w:t>organisations.</w:t>
      </w:r>
    </w:p>
    <w:p w14:paraId="0A3ABD5F" w14:textId="664C9E43" w:rsidR="00E83959" w:rsidRDefault="000E38BD" w:rsidP="00781639">
      <w:pPr>
        <w:pStyle w:val="ARbody"/>
      </w:pPr>
      <w:r w:rsidRPr="00781639">
        <w:t>On 23 October 2023, the CMS portal for Child Protection went live. The department worked closely with</w:t>
      </w:r>
      <w:r>
        <w:t xml:space="preserve"> CSV to ensure the CMS portal met business requirements and to train and onboard the thousands of staff that make up the child protection workforce, </w:t>
      </w:r>
      <w:r w:rsidRPr="00532DAE">
        <w:t>Aboriginal Children</w:t>
      </w:r>
      <w:r>
        <w:t xml:space="preserve"> </w:t>
      </w:r>
      <w:r w:rsidRPr="00532DAE">
        <w:t>in Aboriginal Care program providers</w:t>
      </w:r>
      <w:r>
        <w:t xml:space="preserve"> and the </w:t>
      </w:r>
      <w:r w:rsidRPr="00532DAE">
        <w:t>Child</w:t>
      </w:r>
      <w:r>
        <w:t xml:space="preserve"> </w:t>
      </w:r>
      <w:r w:rsidRPr="00532DAE">
        <w:t>Protection Litigation Office</w:t>
      </w:r>
      <w:r>
        <w:t>.</w:t>
      </w:r>
    </w:p>
    <w:p w14:paraId="24605C8A" w14:textId="77777777" w:rsidR="00E83959" w:rsidRDefault="00E83959">
      <w:pPr>
        <w:rPr>
          <w:rFonts w:ascii="Arial" w:eastAsia="Times" w:hAnsi="Arial" w:cs="Arial"/>
          <w:sz w:val="20"/>
          <w:szCs w:val="24"/>
        </w:rPr>
      </w:pPr>
      <w:r>
        <w:br w:type="page"/>
      </w:r>
    </w:p>
    <w:p w14:paraId="0A7F8E5A" w14:textId="77777777" w:rsidR="000E38BD" w:rsidRPr="002D27DB" w:rsidRDefault="000E38BD" w:rsidP="00207901">
      <w:pPr>
        <w:pStyle w:val="Heading5"/>
        <w:rPr>
          <w:rFonts w:eastAsia="MS Mincho"/>
        </w:rPr>
      </w:pPr>
      <w:bookmarkStart w:id="77" w:name="_Toc173830437"/>
      <w:r w:rsidRPr="002D27DB">
        <w:rPr>
          <w:rFonts w:eastAsia="MS Mincho"/>
        </w:rPr>
        <w:t>Reforming information sharing and family violence risk assessment through the Family Violence Multi-Agency Risk Assessment and Management Framework</w:t>
      </w:r>
      <w:bookmarkEnd w:id="77"/>
    </w:p>
    <w:p w14:paraId="5A84C5F2" w14:textId="569238F8" w:rsidR="000E38BD" w:rsidRPr="00781639" w:rsidRDefault="000E38BD" w:rsidP="00781639">
      <w:pPr>
        <w:pStyle w:val="ARbody"/>
      </w:pPr>
      <w:r w:rsidRPr="005022D9">
        <w:t xml:space="preserve">A $97 million investment in the </w:t>
      </w:r>
      <w:r w:rsidRPr="00613B0D">
        <w:t>2021</w:t>
      </w:r>
      <w:r w:rsidR="002B4497">
        <w:t>–</w:t>
      </w:r>
      <w:r w:rsidRPr="00613B0D">
        <w:t xml:space="preserve">22 State </w:t>
      </w:r>
      <w:r w:rsidRPr="00781639">
        <w:t>Budget is supporting implementation of the Family Violence Multi-Agency Risk Assessment and Management (MARAM) Framework, Family Violence Information Sharing (FVIS) and Child Information Sharing Scheme reforms across the</w:t>
      </w:r>
      <w:r w:rsidR="00C159BC">
        <w:t> </w:t>
      </w:r>
      <w:r w:rsidRPr="00781639">
        <w:t>service system.</w:t>
      </w:r>
    </w:p>
    <w:p w14:paraId="32AAB80C" w14:textId="611E6A35" w:rsidR="000E38BD" w:rsidRPr="00781639" w:rsidRDefault="000E38BD" w:rsidP="00781639">
      <w:pPr>
        <w:pStyle w:val="ARbody"/>
      </w:pPr>
      <w:r w:rsidRPr="00781639">
        <w:t>In 2023–24, the department trained more than 16,000 professionals in MARAM and the FVIS Scheme, with a 96</w:t>
      </w:r>
      <w:r w:rsidR="00B616DA">
        <w:t>%</w:t>
      </w:r>
      <w:r w:rsidRPr="00781639">
        <w:t xml:space="preserve"> satisfaction rate. This includes delivery of the adults using family violence MARAM training to more than 2,700 professionals in the first</w:t>
      </w:r>
      <w:r w:rsidR="00C159BC">
        <w:t> </w:t>
      </w:r>
      <w:r w:rsidRPr="00781639">
        <w:t>6 months.</w:t>
      </w:r>
    </w:p>
    <w:p w14:paraId="5A6363BF" w14:textId="058B579A" w:rsidR="000E38BD" w:rsidRPr="00781639" w:rsidRDefault="000E38BD" w:rsidP="00781639">
      <w:pPr>
        <w:pStyle w:val="ARbody"/>
      </w:pPr>
      <w:r w:rsidRPr="00781639">
        <w:t>During 2023–24, the department also commenced redevelopment of the victim survivor MARAM training packages, delivered MARAM financial abuse training and commenced delivery of Leading</w:t>
      </w:r>
      <w:r w:rsidR="005B39AF">
        <w:t> </w:t>
      </w:r>
      <w:r w:rsidRPr="00781639">
        <w:t>Alignment training for Leaders and organisational</w:t>
      </w:r>
      <w:r w:rsidR="00781639">
        <w:t> </w:t>
      </w:r>
      <w:r w:rsidRPr="00781639">
        <w:t>managers.</w:t>
      </w:r>
    </w:p>
    <w:p w14:paraId="31F689DA" w14:textId="5AEF204A" w:rsidR="000E38BD" w:rsidRPr="004E5D0E" w:rsidRDefault="000E38BD" w:rsidP="00781639">
      <w:pPr>
        <w:pStyle w:val="ARbody"/>
        <w:rPr>
          <w:highlight w:val="cyan"/>
        </w:rPr>
      </w:pPr>
      <w:r w:rsidRPr="00781639">
        <w:t xml:space="preserve">In addition, Allen and Clarke Consulting undertook the first </w:t>
      </w:r>
      <w:r w:rsidR="009D641C">
        <w:t>5</w:t>
      </w:r>
      <w:r w:rsidRPr="00781639">
        <w:t>-yearly evidence review of the MARAM Framework</w:t>
      </w:r>
      <w:r>
        <w:t>. The review found that MARAM supports a shared understanding of family violence, risk assessment and management practices and has had a significant positive impact in promoting more integrated service responses by improving</w:t>
      </w:r>
      <w:r w:rsidR="00781639">
        <w:t> </w:t>
      </w:r>
      <w:r>
        <w:t>consistency.</w:t>
      </w:r>
    </w:p>
    <w:p w14:paraId="5A134683" w14:textId="77777777" w:rsidR="000E38BD" w:rsidRPr="00E8774B" w:rsidRDefault="000E38BD" w:rsidP="00207901">
      <w:pPr>
        <w:pStyle w:val="Heading5"/>
        <w:rPr>
          <w:rFonts w:eastAsia="MS Mincho"/>
        </w:rPr>
      </w:pPr>
      <w:bookmarkStart w:id="78" w:name="_Toc173830438"/>
      <w:r w:rsidRPr="00E8774B">
        <w:rPr>
          <w:rFonts w:eastAsia="MS Mincho"/>
        </w:rPr>
        <w:t>Progressing The Orange Door network</w:t>
      </w:r>
      <w:bookmarkStart w:id="79" w:name="_Hlk109383399"/>
      <w:bookmarkEnd w:id="78"/>
    </w:p>
    <w:bookmarkEnd w:id="79"/>
    <w:p w14:paraId="43E81834" w14:textId="77777777" w:rsidR="00E83959" w:rsidRDefault="000E38BD" w:rsidP="00781639">
      <w:pPr>
        <w:pStyle w:val="ARbody"/>
      </w:pPr>
      <w:r>
        <w:t>In 2023</w:t>
      </w:r>
      <w:r w:rsidR="002B4497">
        <w:t>–</w:t>
      </w:r>
      <w:r>
        <w:t>24, The Orange Door received more than 168</w:t>
      </w:r>
      <w:r w:rsidRPr="00781639">
        <w:t>,000 referrals and provided support to more than 200,000 people including more than 90,000</w:t>
      </w:r>
      <w:r w:rsidR="00781639" w:rsidRPr="00781639">
        <w:t> </w:t>
      </w:r>
      <w:r w:rsidRPr="00781639">
        <w:t xml:space="preserve">children. </w:t>
      </w:r>
    </w:p>
    <w:p w14:paraId="6EA1E1D0" w14:textId="77777777" w:rsidR="001D5AA9" w:rsidRDefault="000E38BD" w:rsidP="001D5AA9">
      <w:pPr>
        <w:pStyle w:val="ARbody"/>
      </w:pPr>
      <w:r w:rsidRPr="00781639">
        <w:t>In 2023</w:t>
      </w:r>
      <w:r w:rsidR="002B4497">
        <w:t>–</w:t>
      </w:r>
      <w:r w:rsidRPr="00781639">
        <w:t>24, the department funded the Centre for Excellence in Child and Family Welfare to launch The Child Young Person Wellbeing Project in The Orange Door. This project helps practitioners apply</w:t>
      </w:r>
      <w:r w:rsidR="008D72AC">
        <w:t xml:space="preserve"> </w:t>
      </w:r>
      <w:r w:rsidRPr="00781639">
        <w:t>a child-focused perspective, promotes the engagement of children and young people, and establishes</w:t>
      </w:r>
      <w:r w:rsidR="00D90552">
        <w:t xml:space="preserve"> </w:t>
      </w:r>
      <w:r>
        <w:t>integrated approaches to meet the safety and wellbeing needs of children and young</w:t>
      </w:r>
      <w:r w:rsidR="00781639">
        <w:t> </w:t>
      </w:r>
      <w:r>
        <w:t>people.</w:t>
      </w:r>
    </w:p>
    <w:p w14:paraId="00CCFC40" w14:textId="583B1BAF" w:rsidR="000E38BD" w:rsidRPr="00F4342E" w:rsidRDefault="00E83959" w:rsidP="001D5AA9">
      <w:pPr>
        <w:pStyle w:val="Heading5"/>
        <w:rPr>
          <w:rFonts w:eastAsia="MS Mincho"/>
        </w:rPr>
      </w:pPr>
      <w:r>
        <w:br w:type="column"/>
      </w:r>
      <w:bookmarkStart w:id="80" w:name="_Toc173830439"/>
      <w:r w:rsidR="000E38BD" w:rsidRPr="00F4342E">
        <w:rPr>
          <w:rFonts w:eastAsia="MS Mincho"/>
        </w:rPr>
        <w:t>Supporting victim survivors of family</w:t>
      </w:r>
      <w:r w:rsidR="000E38BD">
        <w:rPr>
          <w:rFonts w:eastAsia="MS Mincho"/>
        </w:rPr>
        <w:t xml:space="preserve"> </w:t>
      </w:r>
      <w:r w:rsidR="000E38BD" w:rsidRPr="00F4342E">
        <w:rPr>
          <w:rFonts w:eastAsia="MS Mincho"/>
        </w:rPr>
        <w:t>violence and sexual assault</w:t>
      </w:r>
      <w:bookmarkEnd w:id="80"/>
    </w:p>
    <w:p w14:paraId="52F5D4C7" w14:textId="4B9EC0BD" w:rsidR="000E38BD" w:rsidRPr="00781639" w:rsidRDefault="000E38BD" w:rsidP="00781639">
      <w:pPr>
        <w:pStyle w:val="ARbody"/>
      </w:pPr>
      <w:r w:rsidRPr="00BF3747">
        <w:t>In 2023</w:t>
      </w:r>
      <w:r w:rsidR="002B4497">
        <w:t>–</w:t>
      </w:r>
      <w:r>
        <w:t>24</w:t>
      </w:r>
      <w:r w:rsidRPr="00BF3747">
        <w:t xml:space="preserve">, </w:t>
      </w:r>
      <w:r>
        <w:t>the department</w:t>
      </w:r>
      <w:r w:rsidRPr="00BF3747">
        <w:t xml:space="preserve"> supported Safe Steps to implement the Sanctuary Pilot Program, reducing the reliance on motels by providing short-term </w:t>
      </w:r>
      <w:r w:rsidRPr="00781639">
        <w:t>supported crisis accommodation to victim</w:t>
      </w:r>
      <w:r w:rsidR="00AD2060">
        <w:t xml:space="preserve"> </w:t>
      </w:r>
      <w:r w:rsidRPr="00781639">
        <w:t>survivors (adults and children) until they can transition into other accommodation.</w:t>
      </w:r>
      <w:r w:rsidR="008D72AC">
        <w:t xml:space="preserve"> We also completed a new core and cluster family violence refuge, bringing the total number of redeveloped refuges to 15 since the Royal Commission into Family Violence. </w:t>
      </w:r>
    </w:p>
    <w:p w14:paraId="12FE26E2" w14:textId="77777777" w:rsidR="00576FC6" w:rsidRDefault="000E38BD" w:rsidP="00781639">
      <w:pPr>
        <w:pStyle w:val="ARbody"/>
      </w:pPr>
      <w:r w:rsidRPr="00781639">
        <w:t>In 2023</w:t>
      </w:r>
      <w:r w:rsidR="002B4497">
        <w:t>–</w:t>
      </w:r>
      <w:r w:rsidRPr="00781639">
        <w:t>24, the Adolescent Family Violence in the Home program met its target of providing support to 1,040</w:t>
      </w:r>
      <w:r w:rsidRPr="00D918BF">
        <w:t xml:space="preserve"> children and young people, and their families</w:t>
      </w:r>
      <w:r>
        <w:t xml:space="preserve">. </w:t>
      </w:r>
      <w:r w:rsidRPr="00D918BF">
        <w:t>The program</w:t>
      </w:r>
      <w:r w:rsidRPr="0046231C">
        <w:t xml:space="preserve"> works to reduce violence in the home and increase the safety of impacted family members.</w:t>
      </w:r>
      <w:r>
        <w:t xml:space="preserve"> Increasing community awareness of sexual assault services continues to drive strong demand across the system. </w:t>
      </w:r>
    </w:p>
    <w:p w14:paraId="3BF0B29B" w14:textId="2D96F33D" w:rsidR="000E38BD" w:rsidRPr="001976DD" w:rsidRDefault="000E38BD" w:rsidP="00781639">
      <w:pPr>
        <w:pStyle w:val="ARbody"/>
      </w:pPr>
      <w:r>
        <w:t>In 2023–24, 18,691 adults, children and young people received a sexual assault support service response. This includes counselling, immediate crisis support, brokerage, liaison with police, forensic, medical and other services and support to navigate the legal</w:t>
      </w:r>
      <w:r w:rsidR="00781639">
        <w:t> </w:t>
      </w:r>
      <w:r>
        <w:t>system.</w:t>
      </w:r>
    </w:p>
    <w:p w14:paraId="1C00C139" w14:textId="77777777" w:rsidR="000E38BD" w:rsidRPr="00F4342E" w:rsidRDefault="000E38BD" w:rsidP="00207901">
      <w:pPr>
        <w:pStyle w:val="Heading5"/>
        <w:rPr>
          <w:rFonts w:eastAsia="MS Mincho"/>
        </w:rPr>
      </w:pPr>
      <w:bookmarkStart w:id="81" w:name="_Toc173830440"/>
      <w:r w:rsidRPr="00F4342E">
        <w:rPr>
          <w:rFonts w:eastAsia="MS Mincho"/>
        </w:rPr>
        <w:t>Keeping families safe and supported by</w:t>
      </w:r>
      <w:r>
        <w:rPr>
          <w:rFonts w:eastAsia="MS Mincho"/>
        </w:rPr>
        <w:t xml:space="preserve"> </w:t>
      </w:r>
      <w:r w:rsidRPr="00F4342E">
        <w:rPr>
          <w:rFonts w:eastAsia="MS Mincho"/>
        </w:rPr>
        <w:t>keeping perpetrators accountable</w:t>
      </w:r>
      <w:bookmarkEnd w:id="81"/>
    </w:p>
    <w:p w14:paraId="6401642C" w14:textId="21493F94" w:rsidR="000E38BD" w:rsidRDefault="000E38BD" w:rsidP="0088621E">
      <w:pPr>
        <w:pStyle w:val="ARbody"/>
      </w:pPr>
      <w:r>
        <w:t>In 2023</w:t>
      </w:r>
      <w:r w:rsidR="002B4497">
        <w:t>–</w:t>
      </w:r>
      <w:r>
        <w:t>24, the department continued to fund a</w:t>
      </w:r>
      <w:r w:rsidR="00C159BC">
        <w:t> </w:t>
      </w:r>
      <w:r>
        <w:t>range of initiatives to support people who use family violence to change their harmful behaviour and to keep women, children and families safe. These programs and initiatives include:</w:t>
      </w:r>
    </w:p>
    <w:p w14:paraId="246CDC3B" w14:textId="04418D49" w:rsidR="000E38BD" w:rsidRPr="00781639" w:rsidRDefault="000E38BD" w:rsidP="00781639">
      <w:pPr>
        <w:pStyle w:val="ARbullet1"/>
      </w:pPr>
      <w:r>
        <w:t xml:space="preserve">Men’s Behaviour Change Programs, which are </w:t>
      </w:r>
      <w:r w:rsidRPr="00781639">
        <w:t>available statewide and continue to be a core strategy to assist people who use family violence to gain insight into the impact of their</w:t>
      </w:r>
      <w:r w:rsidR="00781639">
        <w:t> </w:t>
      </w:r>
      <w:r w:rsidRPr="00781639">
        <w:t>behaviour</w:t>
      </w:r>
    </w:p>
    <w:p w14:paraId="7F497AA7" w14:textId="2454F618" w:rsidR="000E38BD" w:rsidRPr="00781639" w:rsidRDefault="0049017B" w:rsidP="00781639">
      <w:pPr>
        <w:pStyle w:val="ARbullet1"/>
      </w:pPr>
      <w:r>
        <w:t>c</w:t>
      </w:r>
      <w:r w:rsidRPr="00781639">
        <w:t xml:space="preserve">ase </w:t>
      </w:r>
      <w:r w:rsidR="000E38BD" w:rsidRPr="00781639">
        <w:t>management support for people who use family violence experiencing complex needs, such as housing, mental health or substance</w:t>
      </w:r>
      <w:r w:rsidR="00781639">
        <w:t> </w:t>
      </w:r>
      <w:r w:rsidR="000E38BD" w:rsidRPr="00781639">
        <w:t xml:space="preserve">usage </w:t>
      </w:r>
    </w:p>
    <w:p w14:paraId="40F353DA" w14:textId="6A71AB9E" w:rsidR="000E38BD" w:rsidRPr="00781639" w:rsidRDefault="0049017B" w:rsidP="00781639">
      <w:pPr>
        <w:pStyle w:val="ARbullet1"/>
      </w:pPr>
      <w:r>
        <w:t>a</w:t>
      </w:r>
      <w:r w:rsidRPr="00781639">
        <w:t>ccommodation</w:t>
      </w:r>
      <w:r w:rsidR="000E38BD" w:rsidRPr="00781639">
        <w:t>-based services that provide support and counselling for people excluded from the home due to their use of family</w:t>
      </w:r>
      <w:r w:rsidR="00781639">
        <w:t> </w:t>
      </w:r>
      <w:r w:rsidR="000E38BD" w:rsidRPr="00781639">
        <w:t xml:space="preserve">violence </w:t>
      </w:r>
    </w:p>
    <w:p w14:paraId="51E49D59" w14:textId="7841F40D" w:rsidR="001D5AA9" w:rsidRDefault="0049017B" w:rsidP="00781639">
      <w:pPr>
        <w:pStyle w:val="ARbullet1"/>
      </w:pPr>
      <w:r>
        <w:t>c</w:t>
      </w:r>
      <w:r w:rsidRPr="00781639">
        <w:t xml:space="preserve">ulturally </w:t>
      </w:r>
      <w:r w:rsidR="000E38BD" w:rsidRPr="00781639">
        <w:t>safe programs designed with and for Aboriginal communities to support people who use violence to</w:t>
      </w:r>
      <w:r w:rsidR="000E38BD">
        <w:t xml:space="preserve"> heal whil</w:t>
      </w:r>
      <w:r w:rsidR="00E729CE">
        <w:t>e</w:t>
      </w:r>
      <w:r w:rsidR="000E38BD">
        <w:t xml:space="preserve"> ensuring families are</w:t>
      </w:r>
      <w:r w:rsidR="00781639">
        <w:t> </w:t>
      </w:r>
      <w:r w:rsidR="000E38BD">
        <w:t xml:space="preserve">safe </w:t>
      </w:r>
      <w:r w:rsidR="001D5AA9">
        <w:br w:type="page"/>
      </w:r>
    </w:p>
    <w:p w14:paraId="4A75404A" w14:textId="4FCA5B9A" w:rsidR="000E38BD" w:rsidRDefault="0049017B" w:rsidP="00781639">
      <w:pPr>
        <w:pStyle w:val="ARbullet1"/>
      </w:pPr>
      <w:r>
        <w:t>s</w:t>
      </w:r>
      <w:r w:rsidRPr="004A76AE">
        <w:t xml:space="preserve">pecialised </w:t>
      </w:r>
      <w:r w:rsidR="000E38BD" w:rsidRPr="004A76AE">
        <w:t>intervention programs for people who use violence from across diverse cohorts</w:t>
      </w:r>
      <w:r w:rsidR="000E38BD">
        <w:t xml:space="preserve">, including </w:t>
      </w:r>
      <w:r w:rsidR="000E38BD" w:rsidRPr="00781639">
        <w:t>men</w:t>
      </w:r>
      <w:r w:rsidR="000E38BD" w:rsidRPr="004A76AE">
        <w:t xml:space="preserve"> from culturally and linguistically diverse communities, women who use force, men with cognitive impairment and people from the LGBTIQA+ community.</w:t>
      </w:r>
    </w:p>
    <w:p w14:paraId="0F303260" w14:textId="3FFFF3F4" w:rsidR="000E38BD" w:rsidRDefault="000E38BD" w:rsidP="00781639">
      <w:pPr>
        <w:pStyle w:val="ARbodyafterbullets"/>
      </w:pPr>
      <w:bookmarkStart w:id="82" w:name="_Hlk173174449"/>
      <w:r>
        <w:t>To further support the management of serious risk, the</w:t>
      </w:r>
      <w:r w:rsidRPr="00BA670B">
        <w:t xml:space="preserve"> </w:t>
      </w:r>
      <w:r>
        <w:t>2</w:t>
      </w:r>
      <w:r w:rsidRPr="00BA670B">
        <w:t xml:space="preserve">-year </w:t>
      </w:r>
      <w:r>
        <w:t xml:space="preserve">Changing Ways </w:t>
      </w:r>
      <w:r w:rsidRPr="00BA670B">
        <w:t xml:space="preserve">pilot </w:t>
      </w:r>
      <w:r>
        <w:t xml:space="preserve">continued. The Changing Ways program is focused on </w:t>
      </w:r>
      <w:r w:rsidRPr="00BA670B">
        <w:t xml:space="preserve">serious </w:t>
      </w:r>
      <w:r>
        <w:t xml:space="preserve">family </w:t>
      </w:r>
      <w:r w:rsidRPr="00BA670B">
        <w:t>violence risk</w:t>
      </w:r>
      <w:r>
        <w:t>. It supports</w:t>
      </w:r>
      <w:r w:rsidRPr="00532785">
        <w:t xml:space="preserve"> the safety of victim survivors by increasing focus on the person </w:t>
      </w:r>
      <w:r>
        <w:t>using</w:t>
      </w:r>
      <w:r w:rsidRPr="00532785">
        <w:t xml:space="preserve"> violence</w:t>
      </w:r>
      <w:r w:rsidRPr="00BA670B">
        <w:t xml:space="preserve">. </w:t>
      </w:r>
      <w:r>
        <w:t>The pilot program</w:t>
      </w:r>
      <w:r w:rsidRPr="00BA670B">
        <w:t xml:space="preserve"> commenced </w:t>
      </w:r>
      <w:r>
        <w:t>in</w:t>
      </w:r>
      <w:r w:rsidRPr="00BA670B">
        <w:t xml:space="preserve"> </w:t>
      </w:r>
      <w:r>
        <w:t>November 2023</w:t>
      </w:r>
      <w:r w:rsidRPr="00BA670B">
        <w:t xml:space="preserve"> in </w:t>
      </w:r>
      <w:r>
        <w:t xml:space="preserve">the </w:t>
      </w:r>
      <w:r w:rsidRPr="00BA670B">
        <w:t xml:space="preserve">Barwon </w:t>
      </w:r>
      <w:r>
        <w:t xml:space="preserve">Area </w:t>
      </w:r>
      <w:r w:rsidRPr="00BA670B">
        <w:t xml:space="preserve">and </w:t>
      </w:r>
      <w:r>
        <w:t>in April</w:t>
      </w:r>
      <w:r w:rsidR="002B4497">
        <w:t> </w:t>
      </w:r>
      <w:r>
        <w:t xml:space="preserve">2024 in </w:t>
      </w:r>
      <w:r w:rsidRPr="00BA670B">
        <w:t>Bayside Peninsula</w:t>
      </w:r>
      <w:r>
        <w:t xml:space="preserve"> Area. A third </w:t>
      </w:r>
      <w:r w:rsidR="002B4497">
        <w:br/>
      </w:r>
      <w:r>
        <w:t xml:space="preserve">Aboriginal-led pilot also commenced across </w:t>
      </w:r>
      <w:r w:rsidR="006E2F2E">
        <w:br/>
      </w:r>
      <w:r>
        <w:t>North-Eastern and Southern Metropolitan Areas in</w:t>
      </w:r>
      <w:r w:rsidR="006E2F2E">
        <w:t> </w:t>
      </w:r>
      <w:r>
        <w:t>May</w:t>
      </w:r>
      <w:r w:rsidR="002B4497">
        <w:t> </w:t>
      </w:r>
      <w:r>
        <w:t>2024.</w:t>
      </w:r>
    </w:p>
    <w:p w14:paraId="47093809" w14:textId="77777777" w:rsidR="000E38BD" w:rsidRPr="00781639" w:rsidRDefault="000E38BD" w:rsidP="00781639">
      <w:pPr>
        <w:pStyle w:val="Heading5"/>
        <w:rPr>
          <w:rFonts w:eastAsia="MS Mincho"/>
        </w:rPr>
      </w:pPr>
      <w:bookmarkStart w:id="83" w:name="_Toc173830441"/>
      <w:bookmarkEnd w:id="82"/>
      <w:r w:rsidRPr="00F4342E">
        <w:rPr>
          <w:rFonts w:eastAsia="MS Mincho"/>
        </w:rPr>
        <w:t>Engaging Victorians in key settings and diverse communities to prevent family and sexual violence</w:t>
      </w:r>
      <w:bookmarkEnd w:id="83"/>
      <w:r w:rsidRPr="00F4342E">
        <w:rPr>
          <w:rFonts w:eastAsia="MS Mincho"/>
        </w:rPr>
        <w:t xml:space="preserve"> </w:t>
      </w:r>
    </w:p>
    <w:p w14:paraId="47B77CB9" w14:textId="3A613071" w:rsidR="000E38BD" w:rsidRPr="00781639" w:rsidRDefault="000E38BD" w:rsidP="00781639">
      <w:pPr>
        <w:pStyle w:val="ARbody"/>
      </w:pPr>
      <w:r w:rsidRPr="00696C38">
        <w:t xml:space="preserve">In 2023–24, the department delivered 17 primary prevention grant programs, totalling 107 individual projects across multiple settings and communities. Programs </w:t>
      </w:r>
      <w:r>
        <w:t>took place</w:t>
      </w:r>
      <w:r w:rsidRPr="00696C38">
        <w:t xml:space="preserve"> in local councils, sport settings, and perinatal and early childhood settings to embed whole-of-institution approaches to</w:t>
      </w:r>
      <w:r w:rsidR="00D75856">
        <w:t> </w:t>
      </w:r>
      <w:r w:rsidRPr="00781639">
        <w:t xml:space="preserve">prevention, </w:t>
      </w:r>
      <w:bookmarkStart w:id="84" w:name="_Hlk172888256"/>
      <w:r w:rsidRPr="00781639">
        <w:t>and approaches were tailored to</w:t>
      </w:r>
      <w:r w:rsidR="00D75856">
        <w:t> </w:t>
      </w:r>
      <w:r w:rsidRPr="00781639">
        <w:t>include LGBTIQA+, multicultural communities and</w:t>
      </w:r>
      <w:r w:rsidR="00D75856">
        <w:t> </w:t>
      </w:r>
      <w:r w:rsidRPr="00781639">
        <w:t xml:space="preserve">people with disabilities. </w:t>
      </w:r>
      <w:bookmarkEnd w:id="84"/>
    </w:p>
    <w:p w14:paraId="65389BAC" w14:textId="5E2FAD89" w:rsidR="000E38BD" w:rsidRPr="00781639" w:rsidRDefault="000E38BD" w:rsidP="00781639">
      <w:pPr>
        <w:pStyle w:val="ARbody"/>
      </w:pPr>
      <w:r w:rsidRPr="00781639">
        <w:t>For</w:t>
      </w:r>
      <w:r w:rsidR="00B1171E">
        <w:t xml:space="preserve"> </w:t>
      </w:r>
      <w:r w:rsidRPr="00781639">
        <w:t>example, the 33 funded projects of the Supporting Multicultural and Faith Communities to</w:t>
      </w:r>
      <w:r w:rsidR="00C159BC">
        <w:t> </w:t>
      </w:r>
      <w:r w:rsidRPr="00781639">
        <w:t xml:space="preserve">Prevent Family Violence program strengthened the capacity of multicultural and faith-based organisations across the state to deliver innovative, culturally appropriate prevention and early intervention activities. </w:t>
      </w:r>
    </w:p>
    <w:p w14:paraId="47B906DA" w14:textId="39993554" w:rsidR="000E38BD" w:rsidRDefault="000E38BD" w:rsidP="00781639">
      <w:pPr>
        <w:pStyle w:val="ARbody"/>
      </w:pPr>
      <w:r w:rsidRPr="00781639">
        <w:t>The Free from Violence Local Government Program 2024</w:t>
      </w:r>
      <w:r w:rsidR="002B4497">
        <w:t>–</w:t>
      </w:r>
      <w:r w:rsidRPr="00781639">
        <w:t>27, launched in February 2024, is</w:t>
      </w:r>
      <w:r w:rsidR="00C159BC">
        <w:t> </w:t>
      </w:r>
      <w:r w:rsidRPr="00781639">
        <w:t>funding 12 councils to deliver activities that engage their communities in primary prevention. The department</w:t>
      </w:r>
      <w:r w:rsidRPr="00696C38">
        <w:t xml:space="preserve"> also funded local organisations and specialist services to deliver 12 projects supporting young people to understand affirmative</w:t>
      </w:r>
      <w:r w:rsidR="00C159BC">
        <w:t> </w:t>
      </w:r>
      <w:r w:rsidRPr="00696C38">
        <w:t>consent.</w:t>
      </w:r>
    </w:p>
    <w:p w14:paraId="2048AC38" w14:textId="0F4DC0E4" w:rsidR="000E38BD" w:rsidRPr="006166BD" w:rsidRDefault="001D5AA9" w:rsidP="001D5AA9">
      <w:pPr>
        <w:pStyle w:val="Heading5"/>
        <w:rPr>
          <w:rFonts w:eastAsia="MS Mincho"/>
        </w:rPr>
      </w:pPr>
      <w:r>
        <w:br w:type="column"/>
      </w:r>
      <w:bookmarkStart w:id="85" w:name="_Toc173830435"/>
      <w:bookmarkStart w:id="86" w:name="_Toc173830428"/>
      <w:r w:rsidR="000E38BD" w:rsidRPr="006166BD">
        <w:rPr>
          <w:rFonts w:eastAsia="MS Mincho"/>
        </w:rPr>
        <w:t>Aboriginal Workforce Fund</w:t>
      </w:r>
      <w:bookmarkEnd w:id="85"/>
    </w:p>
    <w:p w14:paraId="1F039DB6" w14:textId="3F2D3820" w:rsidR="000E38BD" w:rsidRPr="00C51C3D" w:rsidRDefault="000E38BD" w:rsidP="00737B06">
      <w:pPr>
        <w:pStyle w:val="ARbody"/>
        <w:spacing w:line="240" w:lineRule="atLeast"/>
        <w:rPr>
          <w:sz w:val="14"/>
          <w:szCs w:val="14"/>
        </w:rPr>
      </w:pPr>
      <w:r w:rsidRPr="00EA3E9D">
        <w:t>Since 2020</w:t>
      </w:r>
      <w:r>
        <w:t>,</w:t>
      </w:r>
      <w:r w:rsidRPr="00EA3E9D">
        <w:t xml:space="preserve"> </w:t>
      </w:r>
      <w:r>
        <w:t>the department</w:t>
      </w:r>
      <w:r w:rsidRPr="00EA3E9D">
        <w:t xml:space="preserve"> has administered Aboriginal Workforce Funds (AWF) to ACCOs to boost workforce development and capacity to serve their communities. AWF has supported ACCOs to:</w:t>
      </w:r>
    </w:p>
    <w:p w14:paraId="68C61FE3" w14:textId="77777777" w:rsidR="000E38BD" w:rsidRPr="00EA3E9D" w:rsidRDefault="000E38BD" w:rsidP="0088621E">
      <w:pPr>
        <w:pStyle w:val="ARbullet1"/>
      </w:pPr>
      <w:r w:rsidRPr="00EA3E9D">
        <w:t>grow, retain and develop their workforce   </w:t>
      </w:r>
    </w:p>
    <w:p w14:paraId="13C24054" w14:textId="77777777" w:rsidR="000E38BD" w:rsidRPr="00566DAA" w:rsidRDefault="000E38BD" w:rsidP="00566DAA">
      <w:pPr>
        <w:pStyle w:val="ARbullet1"/>
      </w:pPr>
      <w:r w:rsidRPr="00566DAA">
        <w:t>advance Aboriginal governance and leadership  </w:t>
      </w:r>
    </w:p>
    <w:p w14:paraId="1E2A8978" w14:textId="77777777" w:rsidR="000E38BD" w:rsidRPr="00566DAA" w:rsidRDefault="000E38BD" w:rsidP="00566DAA">
      <w:pPr>
        <w:pStyle w:val="ARbullet1"/>
      </w:pPr>
      <w:r w:rsidRPr="00566DAA">
        <w:t>improve social and emotional wellbeing of Aboriginal workers and clients </w:t>
      </w:r>
    </w:p>
    <w:p w14:paraId="60E887D9" w14:textId="7DC11082" w:rsidR="000E38BD" w:rsidRPr="00C51C3D" w:rsidRDefault="000E38BD" w:rsidP="00566DAA">
      <w:pPr>
        <w:pStyle w:val="ARbullet1"/>
        <w:rPr>
          <w:sz w:val="14"/>
          <w:szCs w:val="14"/>
        </w:rPr>
      </w:pPr>
      <w:r w:rsidRPr="00566DAA">
        <w:t>enhance organisational capability and system reform</w:t>
      </w:r>
      <w:r w:rsidRPr="00EA3E9D">
        <w:t xml:space="preserve"> to advance self-determination outcomes for Aboriginal Victorians.</w:t>
      </w:r>
    </w:p>
    <w:p w14:paraId="53B08611" w14:textId="593EB73F" w:rsidR="000E38BD" w:rsidRPr="00C51C3D" w:rsidRDefault="000E38BD" w:rsidP="00737B06">
      <w:pPr>
        <w:pStyle w:val="ARbodyafterbullets"/>
        <w:spacing w:line="240" w:lineRule="atLeast"/>
        <w:rPr>
          <w:sz w:val="14"/>
          <w:szCs w:val="14"/>
        </w:rPr>
      </w:pPr>
      <w:r w:rsidRPr="00EA3E9D">
        <w:t>In 2023</w:t>
      </w:r>
      <w:r w:rsidR="002B4497">
        <w:t>–</w:t>
      </w:r>
      <w:r w:rsidRPr="00EA3E9D">
        <w:t>24, a further allocation of $4.95 million was administered across 40 ACCOs in the final tranche of AWF. In</w:t>
      </w:r>
      <w:r>
        <w:t xml:space="preserve"> </w:t>
      </w:r>
      <w:r w:rsidRPr="00EA3E9D">
        <w:t>line with Aboriginal self-determination, a</w:t>
      </w:r>
      <w:r w:rsidR="00236437">
        <w:t> </w:t>
      </w:r>
      <w:r>
        <w:t>s</w:t>
      </w:r>
      <w:r w:rsidRPr="00EA3E9D">
        <w:t xml:space="preserve">teering </w:t>
      </w:r>
      <w:r>
        <w:t>c</w:t>
      </w:r>
      <w:r w:rsidRPr="00EA3E9D">
        <w:t xml:space="preserve">ommittee made up of Aboriginal community representatives governed the process, ensuring a self-determined, fair and equitable allocation to eligible </w:t>
      </w:r>
      <w:r w:rsidR="00175C62">
        <w:t>department</w:t>
      </w:r>
      <w:r>
        <w:t>-</w:t>
      </w:r>
      <w:r w:rsidRPr="00EA3E9D">
        <w:t>funded ACCOs.  </w:t>
      </w:r>
    </w:p>
    <w:p w14:paraId="36142C25" w14:textId="77777777" w:rsidR="000E38BD" w:rsidRDefault="000E38BD" w:rsidP="00737B06">
      <w:pPr>
        <w:pStyle w:val="ARbody"/>
        <w:spacing w:line="240" w:lineRule="atLeast"/>
      </w:pPr>
      <w:r w:rsidRPr="00EA3E9D">
        <w:t xml:space="preserve">An </w:t>
      </w:r>
      <w:r w:rsidRPr="00566DAA">
        <w:t>evaluation</w:t>
      </w:r>
      <w:r w:rsidRPr="00EA3E9D">
        <w:t xml:space="preserve"> of the AWF demonstrated the success of the fund and the importance of enabling Aboriginal self-determination, highlighting the need for government to relinquish control and address structural barriers to self-determination. </w:t>
      </w:r>
    </w:p>
    <w:p w14:paraId="3EEE457C" w14:textId="77777777" w:rsidR="000E38BD" w:rsidRPr="006166BD" w:rsidRDefault="000E38BD" w:rsidP="00566DAA">
      <w:pPr>
        <w:pStyle w:val="Heading5"/>
        <w:rPr>
          <w:rFonts w:eastAsia="MS Mincho"/>
        </w:rPr>
      </w:pPr>
      <w:r w:rsidRPr="006166BD">
        <w:rPr>
          <w:rFonts w:eastAsia="MS Mincho"/>
        </w:rPr>
        <w:t xml:space="preserve">Trialling alternate </w:t>
      </w:r>
      <w:r w:rsidRPr="00566DAA">
        <w:rPr>
          <w:rFonts w:eastAsia="MS Mincho"/>
        </w:rPr>
        <w:t>pathways</w:t>
      </w:r>
      <w:r w:rsidRPr="006166BD">
        <w:rPr>
          <w:rFonts w:eastAsia="MS Mincho"/>
        </w:rPr>
        <w:t xml:space="preserve"> into the children and families workforce</w:t>
      </w:r>
      <w:bookmarkEnd w:id="86"/>
    </w:p>
    <w:p w14:paraId="55EC68CF" w14:textId="77777777" w:rsidR="000E38BD" w:rsidRPr="00566DAA" w:rsidRDefault="000E38BD" w:rsidP="00737B06">
      <w:pPr>
        <w:pStyle w:val="ARbody"/>
        <w:spacing w:line="240" w:lineRule="atLeast"/>
      </w:pPr>
      <w:r>
        <w:rPr>
          <w:lang w:val="en-US"/>
        </w:rPr>
        <w:t xml:space="preserve">Delivered in partnership with the Centre for Excellence in Child and Family Welfare and La Trobe University, the $13.5 million Switch to Social </w:t>
      </w:r>
      <w:r w:rsidRPr="00566DAA">
        <w:t>Work program aims to improve job readiness and workforce capability by supporting career changers with the right attributes to move into the child and family services sector.</w:t>
      </w:r>
    </w:p>
    <w:p w14:paraId="697DA0F8" w14:textId="77777777" w:rsidR="000E38BD" w:rsidRPr="00566DAA" w:rsidRDefault="000E38BD" w:rsidP="00737B06">
      <w:pPr>
        <w:pStyle w:val="ARbody"/>
        <w:spacing w:line="240" w:lineRule="atLeast"/>
      </w:pPr>
      <w:r w:rsidRPr="00566DAA">
        <w:t>In this trial program, participants undertake work experience and employment with child and family community service organisations and child protection, while being financially supported to study a professionally qualifying Master of Social Work (Child and Family Practice) over 2 years, enabling them to apply what they learn in a workplace setting. Applications for participants closed in November 2023.</w:t>
      </w:r>
    </w:p>
    <w:p w14:paraId="139526C8" w14:textId="3E630A6A" w:rsidR="000E38BD" w:rsidRDefault="000E38BD" w:rsidP="00737B06">
      <w:pPr>
        <w:pStyle w:val="ARbody"/>
        <w:spacing w:line="240" w:lineRule="atLeast"/>
      </w:pPr>
      <w:r w:rsidRPr="00566DAA">
        <w:t>Program participants are matched with a community</w:t>
      </w:r>
      <w:r>
        <w:t xml:space="preserve"> services organisation to undertake an</w:t>
      </w:r>
      <w:r w:rsidR="00236437">
        <w:t> </w:t>
      </w:r>
      <w:r>
        <w:t>internship one day per week in their first year. In</w:t>
      </w:r>
      <w:r w:rsidR="00236437">
        <w:t> </w:t>
      </w:r>
      <w:r>
        <w:t xml:space="preserve">their second year, participants </w:t>
      </w:r>
      <w:r w:rsidRPr="00043EE1">
        <w:t xml:space="preserve">undertake </w:t>
      </w:r>
      <w:r w:rsidR="000F2EE3">
        <w:br/>
      </w:r>
      <w:r w:rsidRPr="00043EE1">
        <w:t>a</w:t>
      </w:r>
      <w:r w:rsidR="000F2EE3">
        <w:t> </w:t>
      </w:r>
      <w:r>
        <w:t>12</w:t>
      </w:r>
      <w:r w:rsidRPr="00043EE1">
        <w:t>-month employment contract with</w:t>
      </w:r>
      <w:r>
        <w:t xml:space="preserve"> their host</w:t>
      </w:r>
      <w:r w:rsidR="000F2EE3">
        <w:t> </w:t>
      </w:r>
      <w:r>
        <w:t xml:space="preserve">organisation. </w:t>
      </w:r>
    </w:p>
    <w:p w14:paraId="5BFD9495" w14:textId="67DF0BD0" w:rsidR="000E38BD" w:rsidRDefault="000E38BD" w:rsidP="00737B06">
      <w:pPr>
        <w:pStyle w:val="ARbody"/>
        <w:spacing w:line="240" w:lineRule="atLeast"/>
        <w:rPr>
          <w:lang w:val="en-US"/>
        </w:rPr>
      </w:pPr>
      <w:r>
        <w:t xml:space="preserve">The program was supported with a </w:t>
      </w:r>
      <w:r w:rsidRPr="00566DAA">
        <w:t>paid</w:t>
      </w:r>
      <w:r>
        <w:t xml:space="preserve"> advertising campaign that ran across social media (Facebook and Instagram), LinkedIn, and reached targeted Victorian communities via the Melbourne Mums Facebook group.</w:t>
      </w:r>
    </w:p>
    <w:p w14:paraId="2A39EE5F" w14:textId="068A22E7" w:rsidR="000E38BD" w:rsidRPr="006166BD" w:rsidRDefault="000E38BD" w:rsidP="00566DAA">
      <w:pPr>
        <w:pStyle w:val="Heading5"/>
        <w:rPr>
          <w:rFonts w:eastAsia="MS Mincho"/>
        </w:rPr>
      </w:pPr>
      <w:bookmarkStart w:id="87" w:name="_Toc173830429"/>
      <w:r w:rsidRPr="006166BD">
        <w:rPr>
          <w:rFonts w:eastAsia="MS Mincho"/>
        </w:rPr>
        <w:t>Training qualified</w:t>
      </w:r>
      <w:r w:rsidR="00B1171E">
        <w:rPr>
          <w:rFonts w:eastAsia="MS Mincho"/>
        </w:rPr>
        <w:t xml:space="preserve"> </w:t>
      </w:r>
      <w:r w:rsidRPr="006166BD">
        <w:rPr>
          <w:rFonts w:eastAsia="MS Mincho"/>
        </w:rPr>
        <w:t xml:space="preserve">career switchers for advanced </w:t>
      </w:r>
      <w:r w:rsidRPr="00566DAA">
        <w:rPr>
          <w:rFonts w:eastAsia="MS Mincho"/>
        </w:rPr>
        <w:t>child</w:t>
      </w:r>
      <w:r w:rsidRPr="006166BD">
        <w:rPr>
          <w:rFonts w:eastAsia="MS Mincho"/>
        </w:rPr>
        <w:t xml:space="preserve"> </w:t>
      </w:r>
      <w:r>
        <w:rPr>
          <w:rFonts w:eastAsia="MS Mincho"/>
        </w:rPr>
        <w:t>p</w:t>
      </w:r>
      <w:r w:rsidRPr="006166BD">
        <w:rPr>
          <w:rFonts w:eastAsia="MS Mincho"/>
        </w:rPr>
        <w:t xml:space="preserve">rotection </w:t>
      </w:r>
      <w:r>
        <w:rPr>
          <w:rFonts w:eastAsia="MS Mincho"/>
        </w:rPr>
        <w:t>p</w:t>
      </w:r>
      <w:r w:rsidRPr="006166BD">
        <w:rPr>
          <w:rFonts w:eastAsia="MS Mincho"/>
        </w:rPr>
        <w:t>ractitioner roles</w:t>
      </w:r>
      <w:bookmarkEnd w:id="87"/>
      <w:r w:rsidRPr="006166BD">
        <w:rPr>
          <w:rFonts w:eastAsia="MS Mincho"/>
        </w:rPr>
        <w:t xml:space="preserve"> </w:t>
      </w:r>
    </w:p>
    <w:p w14:paraId="0B7A8EFA" w14:textId="65081D19" w:rsidR="000E38BD" w:rsidRPr="00566DAA" w:rsidRDefault="000E38BD" w:rsidP="00566DAA">
      <w:pPr>
        <w:pStyle w:val="ARbody"/>
      </w:pPr>
      <w:r w:rsidRPr="00566DAA">
        <w:t xml:space="preserve">The Switch to Child Protection program </w:t>
      </w:r>
      <w:r w:rsidR="003C6B91">
        <w:t xml:space="preserve">is a trial </w:t>
      </w:r>
      <w:r w:rsidR="00C20405">
        <w:t xml:space="preserve">that </w:t>
      </w:r>
      <w:r w:rsidRPr="00566DAA">
        <w:t xml:space="preserve">aims to increase the supply of experienced and appropriately qualified professionals for Advanced Child Protection Practitioner roles through an earn and learn approach. The model combines a new Graduate Certificate in Child Protection with an attractive employment and support package for career switchers who have relevant qualifications and experience in allied professions. </w:t>
      </w:r>
    </w:p>
    <w:p w14:paraId="77CBC5D6" w14:textId="5608E365" w:rsidR="000E38BD" w:rsidRDefault="000E38BD" w:rsidP="00566DAA">
      <w:pPr>
        <w:pStyle w:val="ARbody"/>
      </w:pPr>
      <w:r w:rsidRPr="00566DAA">
        <w:t>Commencing in March 2024, the program has enabled</w:t>
      </w:r>
      <w:r w:rsidRPr="00B24F8E">
        <w:t xml:space="preserve"> </w:t>
      </w:r>
      <w:r>
        <w:t>10</w:t>
      </w:r>
      <w:r w:rsidRPr="00B24F8E">
        <w:t xml:space="preserve"> participants to complete a postgraduate certificate at the La Trobe Bundoora campus, while </w:t>
      </w:r>
      <w:r>
        <w:t xml:space="preserve">they are </w:t>
      </w:r>
      <w:r w:rsidRPr="00B24F8E">
        <w:t>employed by the department in Child Protection. The first cohort is expected to complete the program in October 2024.</w:t>
      </w:r>
    </w:p>
    <w:p w14:paraId="5F71ABB6" w14:textId="0A00FDA2" w:rsidR="000E38BD" w:rsidRPr="006166BD" w:rsidRDefault="000E38BD" w:rsidP="00566DAA">
      <w:pPr>
        <w:pStyle w:val="Heading5"/>
        <w:rPr>
          <w:rFonts w:eastAsia="MS Mincho"/>
        </w:rPr>
      </w:pPr>
      <w:bookmarkStart w:id="88" w:name="_Toc173830436"/>
      <w:r w:rsidRPr="006166BD">
        <w:rPr>
          <w:rFonts w:eastAsia="MS Mincho"/>
        </w:rPr>
        <w:t>Strengthening the child protection </w:t>
      </w:r>
      <w:r w:rsidRPr="00566DAA">
        <w:rPr>
          <w:rFonts w:eastAsia="MS Mincho"/>
        </w:rPr>
        <w:t>workforce</w:t>
      </w:r>
      <w:bookmarkEnd w:id="88"/>
    </w:p>
    <w:p w14:paraId="26D54075" w14:textId="2A59E1AB" w:rsidR="000E38BD" w:rsidRPr="003D1E23" w:rsidRDefault="000E38BD" w:rsidP="0088621E">
      <w:pPr>
        <w:pStyle w:val="ARbody"/>
      </w:pPr>
      <w:r w:rsidRPr="003D1E23">
        <w:t xml:space="preserve">The </w:t>
      </w:r>
      <w:r w:rsidRPr="00F64CF1">
        <w:rPr>
          <w:rStyle w:val="Emphasis"/>
        </w:rPr>
        <w:t xml:space="preserve">Child protection workforce strategy 2021–2024 </w:t>
      </w:r>
      <w:r w:rsidRPr="003D1E23">
        <w:t>aims to attract and retain a quality child protection</w:t>
      </w:r>
      <w:r w:rsidR="00D90552">
        <w:t> </w:t>
      </w:r>
      <w:r w:rsidRPr="003D1E23">
        <w:t>workforce.</w:t>
      </w:r>
    </w:p>
    <w:p w14:paraId="5E168C16" w14:textId="77777777" w:rsidR="000E38BD" w:rsidRPr="003D1E23" w:rsidRDefault="000E38BD" w:rsidP="00566DAA">
      <w:pPr>
        <w:pStyle w:val="ARbody"/>
      </w:pPr>
      <w:r w:rsidRPr="003D1E23">
        <w:t xml:space="preserve">In </w:t>
      </w:r>
      <w:r w:rsidRPr="00566DAA">
        <w:t>2023</w:t>
      </w:r>
      <w:r w:rsidRPr="003D1E23">
        <w:t>–24, we:</w:t>
      </w:r>
    </w:p>
    <w:p w14:paraId="2209220D" w14:textId="77777777" w:rsidR="000E38BD" w:rsidRPr="00566DAA" w:rsidRDefault="000E38BD" w:rsidP="00566DAA">
      <w:pPr>
        <w:pStyle w:val="ARbullet1"/>
      </w:pPr>
      <w:r w:rsidRPr="00566DAA">
        <w:t>recruited to 7 Aboriginal Cultural Support and Awareness Adviser positions. These positions enable Aboriginal children to remain connected to community</w:t>
      </w:r>
    </w:p>
    <w:p w14:paraId="536C2271" w14:textId="2E088F08" w:rsidR="000E38BD" w:rsidRPr="00566DAA" w:rsidRDefault="000E38BD" w:rsidP="00566DAA">
      <w:pPr>
        <w:pStyle w:val="ARbullet1"/>
      </w:pPr>
      <w:r w:rsidRPr="00566DAA">
        <w:t>delivered a targeted Go Where You</w:t>
      </w:r>
      <w:r w:rsidR="00711AE6">
        <w:t>’</w:t>
      </w:r>
      <w:r w:rsidRPr="00566DAA">
        <w:t>re Needed recruitment campaign</w:t>
      </w:r>
    </w:p>
    <w:p w14:paraId="76721B18" w14:textId="77777777" w:rsidR="000E38BD" w:rsidRPr="00566DAA" w:rsidRDefault="000E38BD" w:rsidP="00566DAA">
      <w:pPr>
        <w:pStyle w:val="ARbullet1"/>
      </w:pPr>
      <w:r w:rsidRPr="00566DAA">
        <w:t>grew the workforce supply pipeline with the commencement of 123 Child Protection</w:t>
      </w:r>
      <w:r w:rsidRPr="00566DAA" w:rsidDel="00384D10">
        <w:t xml:space="preserve"> </w:t>
      </w:r>
      <w:r w:rsidRPr="00566DAA">
        <w:t>Employment Program (CPEP) participants in 2024. CPEP participants are provided with a customised 2-day orientation, access to child protection training and wellbeing programs and ongoing engagement with child protection professionals and the CPEP project team during and after the program</w:t>
      </w:r>
    </w:p>
    <w:p w14:paraId="128663F4" w14:textId="2A18B7AC" w:rsidR="000E38BD" w:rsidRPr="00566DAA" w:rsidRDefault="000E38BD" w:rsidP="00566DAA">
      <w:pPr>
        <w:pStyle w:val="ARbullet1"/>
      </w:pPr>
      <w:r w:rsidRPr="00566DAA">
        <w:t xml:space="preserve">recruited 47 </w:t>
      </w:r>
      <w:r w:rsidR="00CD76A0">
        <w:t>C</w:t>
      </w:r>
      <w:r w:rsidRPr="00566DAA">
        <w:t xml:space="preserve">hild </w:t>
      </w:r>
      <w:r w:rsidR="00CD76A0">
        <w:t>P</w:t>
      </w:r>
      <w:r w:rsidRPr="00566DAA">
        <w:t xml:space="preserve">rotection </w:t>
      </w:r>
      <w:r w:rsidR="00CD76A0">
        <w:t>P</w:t>
      </w:r>
      <w:r w:rsidRPr="00566DAA">
        <w:t>ractitioners as part of the international recruitment program</w:t>
      </w:r>
    </w:p>
    <w:p w14:paraId="48B54169" w14:textId="77777777" w:rsidR="000E38BD" w:rsidRPr="003D1E23" w:rsidRDefault="000E38BD" w:rsidP="00566DAA">
      <w:pPr>
        <w:pStyle w:val="ARbullet1"/>
      </w:pPr>
      <w:r w:rsidRPr="00566DAA">
        <w:t>recruited to</w:t>
      </w:r>
      <w:r w:rsidRPr="003D1E23">
        <w:t xml:space="preserve"> the new child protection positions funded in the Stat</w:t>
      </w:r>
      <w:r w:rsidRPr="00F64CF1">
        <w:rPr>
          <w:rStyle w:val="Emphasis"/>
        </w:rPr>
        <w:t>e Budget 2021–22.</w:t>
      </w:r>
    </w:p>
    <w:p w14:paraId="6C9B34B4" w14:textId="1D30C426" w:rsidR="000E38BD" w:rsidRPr="003D1E23" w:rsidRDefault="000E38BD" w:rsidP="00566DAA">
      <w:pPr>
        <w:pStyle w:val="ARbodyafterbullets"/>
      </w:pPr>
      <w:r w:rsidRPr="003D1E23">
        <w:t xml:space="preserve">The $26.7 million Child Protection Reinforcement package provided immediate support for the increasing </w:t>
      </w:r>
      <w:r w:rsidRPr="00566DAA">
        <w:t>demands</w:t>
      </w:r>
      <w:r w:rsidRPr="003D1E23">
        <w:t xml:space="preserve"> on the Child Protection program. It was delivered over </w:t>
      </w:r>
      <w:r>
        <w:t>2</w:t>
      </w:r>
      <w:r w:rsidRPr="003D1E23">
        <w:t xml:space="preserve"> years, concluding </w:t>
      </w:r>
      <w:r>
        <w:t xml:space="preserve">in </w:t>
      </w:r>
      <w:r w:rsidRPr="003D1E23">
        <w:t>June 2024.</w:t>
      </w:r>
    </w:p>
    <w:p w14:paraId="1941DC3F" w14:textId="77777777" w:rsidR="000E38BD" w:rsidRPr="003D1E23" w:rsidRDefault="000E38BD" w:rsidP="00566DAA">
      <w:pPr>
        <w:pStyle w:val="ARbody"/>
      </w:pPr>
      <w:r w:rsidRPr="00566DAA">
        <w:t>In</w:t>
      </w:r>
      <w:r w:rsidRPr="003D1E23">
        <w:t xml:space="preserve"> 2023–24, we:</w:t>
      </w:r>
    </w:p>
    <w:p w14:paraId="0EAB244C" w14:textId="77777777" w:rsidR="000E38BD" w:rsidRPr="00566DAA" w:rsidRDefault="000E38BD" w:rsidP="00566DAA">
      <w:pPr>
        <w:pStyle w:val="ARbullet1"/>
      </w:pPr>
      <w:r w:rsidRPr="003D1E23">
        <w:t xml:space="preserve">recruited additional case support practitioners (CPP2) to undertake supervised contact, </w:t>
      </w:r>
      <w:r w:rsidRPr="00566DAA">
        <w:t>transport and other case-related tasks</w:t>
      </w:r>
    </w:p>
    <w:p w14:paraId="569C2F0E" w14:textId="77777777" w:rsidR="000E38BD" w:rsidRPr="00566DAA" w:rsidRDefault="000E38BD" w:rsidP="00566DAA">
      <w:pPr>
        <w:pStyle w:val="ARbullet1"/>
      </w:pPr>
      <w:r w:rsidRPr="00566DAA">
        <w:t>continued the Court Practice Advice and Support team to support practitioners with complex court matters</w:t>
      </w:r>
    </w:p>
    <w:p w14:paraId="40C615CF" w14:textId="77777777" w:rsidR="000E38BD" w:rsidRPr="00566DAA" w:rsidRDefault="000E38BD" w:rsidP="00566DAA">
      <w:pPr>
        <w:pStyle w:val="ARbullet1"/>
      </w:pPr>
      <w:r w:rsidRPr="00566DAA">
        <w:t>maintained 5 child protection workforce support teams across the state to assist existing central recruitment and wellbeing efforts by providing local support and coordination</w:t>
      </w:r>
    </w:p>
    <w:p w14:paraId="0A3F8B5B" w14:textId="3E54A1FA" w:rsidR="000E38BD" w:rsidRDefault="000E38BD" w:rsidP="00566DAA">
      <w:pPr>
        <w:pStyle w:val="ARbullet1"/>
      </w:pPr>
      <w:r w:rsidRPr="00566DAA">
        <w:t>maintained</w:t>
      </w:r>
      <w:r w:rsidRPr="003D1E23">
        <w:t xml:space="preserve"> the case management of up to 200 additional children in kinship placements transferred to ACCOs and community service</w:t>
      </w:r>
      <w:r w:rsidR="00B410AD">
        <w:t> </w:t>
      </w:r>
      <w:r w:rsidRPr="003D1E23">
        <w:t>organisation</w:t>
      </w:r>
      <w:r>
        <w:t>.</w:t>
      </w:r>
    </w:p>
    <w:p w14:paraId="42D1DDC7" w14:textId="77777777" w:rsidR="000E38BD" w:rsidRPr="0066618F" w:rsidRDefault="000E38BD" w:rsidP="00566DAA">
      <w:pPr>
        <w:pStyle w:val="Heading5"/>
        <w:rPr>
          <w:rFonts w:eastAsia="MS Mincho"/>
        </w:rPr>
      </w:pPr>
      <w:bookmarkStart w:id="89" w:name="_Toc173830431"/>
      <w:r w:rsidRPr="0066618F">
        <w:rPr>
          <w:rFonts w:eastAsia="MS Mincho"/>
        </w:rPr>
        <w:t>Supporting rural and regional students seeking a career in the disability sector</w:t>
      </w:r>
      <w:bookmarkEnd w:id="89"/>
    </w:p>
    <w:p w14:paraId="0835EC38" w14:textId="114B1927" w:rsidR="000E38BD" w:rsidRDefault="000E38BD" w:rsidP="00566DAA">
      <w:pPr>
        <w:pStyle w:val="ARbody"/>
      </w:pPr>
      <w:r>
        <w:t xml:space="preserve">In line with the 2022 </w:t>
      </w:r>
      <w:r w:rsidRPr="00F64CF1">
        <w:rPr>
          <w:rStyle w:val="Emphasis"/>
        </w:rPr>
        <w:t xml:space="preserve">Fighting for Students with Disability and their Families </w:t>
      </w:r>
      <w:r>
        <w:t xml:space="preserve">election commitment, the </w:t>
      </w:r>
      <w:r w:rsidRPr="00A113AE">
        <w:t>Disability Workforce Scholarship Program</w:t>
      </w:r>
      <w:r>
        <w:t xml:space="preserve"> will seek to attract and upskill disability workers across Victoria</w:t>
      </w:r>
      <w:r w:rsidR="00711AE6">
        <w:t>’</w:t>
      </w:r>
      <w:r>
        <w:t xml:space="preserve">s rural and regional areas. The department is working with the vocational education and training sector to </w:t>
      </w:r>
      <w:r w:rsidRPr="00566DAA">
        <w:t>deliver</w:t>
      </w:r>
      <w:r>
        <w:t xml:space="preserve"> this initiative across the</w:t>
      </w:r>
      <w:r w:rsidR="002B4497">
        <w:t> </w:t>
      </w:r>
      <w:r>
        <w:t xml:space="preserve">next </w:t>
      </w:r>
      <w:r w:rsidR="009D641C">
        <w:t>3</w:t>
      </w:r>
      <w:r>
        <w:t xml:space="preserve"> financial years.</w:t>
      </w:r>
      <w:bookmarkStart w:id="90" w:name="_Toc173830432"/>
    </w:p>
    <w:p w14:paraId="17B3DA6A" w14:textId="1522225F" w:rsidR="000E38BD" w:rsidRPr="0066618F" w:rsidRDefault="000E38BD" w:rsidP="00207901">
      <w:pPr>
        <w:pStyle w:val="Heading5"/>
        <w:rPr>
          <w:rFonts w:eastAsia="MS Mincho"/>
          <w:bCs/>
        </w:rPr>
      </w:pPr>
      <w:r w:rsidRPr="0066618F">
        <w:rPr>
          <w:rFonts w:eastAsia="MS Mincho"/>
        </w:rPr>
        <w:t>Testing entry level opportunities into the family violence and sexual assault sector</w:t>
      </w:r>
      <w:bookmarkEnd w:id="90"/>
      <w:r w:rsidRPr="0066618F">
        <w:rPr>
          <w:rFonts w:eastAsia="MS Mincho"/>
        </w:rPr>
        <w:t xml:space="preserve"> </w:t>
      </w:r>
    </w:p>
    <w:p w14:paraId="69CEE594" w14:textId="4326FF65" w:rsidR="00E27A6E" w:rsidRDefault="000E38BD" w:rsidP="0088621E">
      <w:pPr>
        <w:pStyle w:val="ARbody"/>
      </w:pPr>
      <w:r>
        <w:t xml:space="preserve">The </w:t>
      </w:r>
      <w:r w:rsidRPr="005A3DFA">
        <w:t>Family Violence and Sexual Assault Graduate Program</w:t>
      </w:r>
      <w:r>
        <w:t xml:space="preserve"> was delivered statewide from 2021 to 2023 to attract and recruit high-quality graduates to</w:t>
      </w:r>
      <w:r w:rsidR="00236437">
        <w:t> </w:t>
      </w:r>
      <w:r>
        <w:t>meet the current and future demand for skilled and qualified workers. The program provided a</w:t>
      </w:r>
      <w:r w:rsidR="00E27A6E">
        <w:t> </w:t>
      </w:r>
      <w:r>
        <w:t xml:space="preserve">dedicated pathway for 141 new and recent graduates to enter the family violence, sexual assault and primary prevention workforce. Supported by supervision, this program provided graduates with the opportunity to gain the experience, practical skills, knowledge </w:t>
      </w:r>
      <w:r w:rsidR="000B05C3">
        <w:t xml:space="preserve">while </w:t>
      </w:r>
      <w:r>
        <w:t>receiving additional training and professional</w:t>
      </w:r>
      <w:r w:rsidR="006E2F2E">
        <w:t> </w:t>
      </w:r>
      <w:r>
        <w:t>development.</w:t>
      </w:r>
    </w:p>
    <w:p w14:paraId="4A20A812" w14:textId="77777777" w:rsidR="00E27A6E" w:rsidRDefault="00E27A6E">
      <w:pPr>
        <w:rPr>
          <w:rFonts w:ascii="Arial" w:eastAsia="Times" w:hAnsi="Arial" w:cs="Arial"/>
          <w:sz w:val="20"/>
          <w:szCs w:val="24"/>
        </w:rPr>
      </w:pPr>
      <w:r>
        <w:br w:type="page"/>
      </w:r>
    </w:p>
    <w:p w14:paraId="414A4D23" w14:textId="41FECAC5" w:rsidR="000E38BD" w:rsidRPr="0066618F" w:rsidRDefault="000E38BD" w:rsidP="00207901">
      <w:pPr>
        <w:pStyle w:val="Heading5"/>
        <w:rPr>
          <w:rFonts w:eastAsia="MS Mincho"/>
        </w:rPr>
      </w:pPr>
      <w:bookmarkStart w:id="91" w:name="_Toc173830434"/>
      <w:r w:rsidRPr="0066618F">
        <w:rPr>
          <w:rFonts w:eastAsia="MS Mincho"/>
        </w:rPr>
        <w:t>Offering opportunities for entry level and mid-career skills development to meet workforce challenges</w:t>
      </w:r>
      <w:bookmarkEnd w:id="91"/>
    </w:p>
    <w:p w14:paraId="5A7E008B" w14:textId="77777777" w:rsidR="000E38BD" w:rsidRDefault="000E38BD" w:rsidP="0088621E">
      <w:pPr>
        <w:pStyle w:val="ARbody"/>
      </w:pPr>
      <w:r>
        <w:t xml:space="preserve">The Family Violence and Sexual Assault Traineeship program was developed to provide an entry level pathway into family violence and sexual assault work and to support the development of existing workers. The program proved to be most successful in improving access to upskilling opportunities that strengthened the capability of the sectors and enhanced retention of existing workers. </w:t>
      </w:r>
    </w:p>
    <w:p w14:paraId="2DC70CDD" w14:textId="63C18657" w:rsidR="00E710ED" w:rsidRDefault="002B5363" w:rsidP="0088621E">
      <w:pPr>
        <w:pStyle w:val="ARbody"/>
      </w:pPr>
      <w:r>
        <w:br w:type="column"/>
      </w:r>
      <w:r w:rsidR="000E38BD">
        <w:t>The flexible program gave organisations a range of</w:t>
      </w:r>
      <w:r w:rsidR="00236437">
        <w:t> </w:t>
      </w:r>
      <w:r w:rsidR="000E38BD">
        <w:t xml:space="preserve">entry level and </w:t>
      </w:r>
      <w:r w:rsidR="00711AE6">
        <w:t>‘</w:t>
      </w:r>
      <w:r w:rsidR="000E38BD">
        <w:t>earn and learn</w:t>
      </w:r>
      <w:r w:rsidR="00711AE6">
        <w:t>’</w:t>
      </w:r>
      <w:r w:rsidR="000E38BD">
        <w:t xml:space="preserve"> options to meet the needs of their workforce. Forty-eight organisations participated in the program and supported 318 trainees to</w:t>
      </w:r>
      <w:r w:rsidR="000E38BD" w:rsidDel="00374EF5">
        <w:t xml:space="preserve"> </w:t>
      </w:r>
      <w:r w:rsidR="000E38BD">
        <w:t>complete accredited training, higher education degrees and professional development.</w:t>
      </w:r>
    </w:p>
    <w:p w14:paraId="255C31D5" w14:textId="77777777" w:rsidR="002B5363" w:rsidRDefault="002B5363" w:rsidP="0088621E">
      <w:pPr>
        <w:pStyle w:val="ARbody"/>
        <w:sectPr w:rsidR="002B5363" w:rsidSect="002B5363">
          <w:footnotePr>
            <w:numFmt w:val="lowerRoman"/>
            <w:numRestart w:val="eachPage"/>
          </w:footnotePr>
          <w:endnotePr>
            <w:numFmt w:val="decimal"/>
          </w:endnotePr>
          <w:pgSz w:w="11900" w:h="16840" w:code="9"/>
          <w:pgMar w:top="1701" w:right="1134" w:bottom="851" w:left="1134" w:header="510" w:footer="340" w:gutter="0"/>
          <w:cols w:num="2" w:space="454"/>
        </w:sectPr>
      </w:pPr>
    </w:p>
    <w:p w14:paraId="2271CCDE" w14:textId="77777777" w:rsidR="000E38BD" w:rsidRPr="00BC3B28" w:rsidRDefault="000E38BD" w:rsidP="007F6058">
      <w:pPr>
        <w:pStyle w:val="Heading3"/>
        <w:spacing w:before="0"/>
      </w:pPr>
      <w:bookmarkStart w:id="92" w:name="_Toc173832697"/>
      <w:r w:rsidRPr="00B410AD">
        <w:t>Objective</w:t>
      </w:r>
      <w:r>
        <w:t xml:space="preserve"> – </w:t>
      </w:r>
      <w:r w:rsidRPr="00BC3B28">
        <w:t>Victorian communities are safe, fair, inclusive and </w:t>
      </w:r>
      <w:r w:rsidRPr="007F6058">
        <w:t>resilient</w:t>
      </w:r>
      <w:bookmarkEnd w:id="92"/>
    </w:p>
    <w:p w14:paraId="13C5BC0E" w14:textId="2EEE4068" w:rsidR="000E38BD" w:rsidRDefault="000E38BD" w:rsidP="0088621E">
      <w:pPr>
        <w:pStyle w:val="ARbody"/>
      </w:pPr>
      <w:r w:rsidRPr="00BC3B28">
        <w:t xml:space="preserve">This objective aims to ensure Victorians are socially connected to their community win a way that enhances their safety and wellbeing. Strong communities are critical in fostering social inclusion and participation, and ensuring that Victorians from intersectional communities can safely identify with their culture, express their identity and build support networks with people they trust. </w:t>
      </w:r>
    </w:p>
    <w:p w14:paraId="23CC1A84" w14:textId="77777777" w:rsidR="000E38BD" w:rsidRPr="001316E3" w:rsidRDefault="000E38BD" w:rsidP="00B410AD">
      <w:pPr>
        <w:pStyle w:val="Heading4"/>
      </w:pPr>
      <w:bookmarkStart w:id="93" w:name="_Toc173832698"/>
      <w:r w:rsidRPr="001316E3">
        <w:t xml:space="preserve">Indicator </w:t>
      </w:r>
      <w:r w:rsidRPr="00B410AD">
        <w:t>results</w:t>
      </w:r>
      <w:bookmarkEnd w:id="93"/>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E0" w:firstRow="1" w:lastRow="1" w:firstColumn="1" w:lastColumn="0" w:noHBand="1" w:noVBand="1"/>
      </w:tblPr>
      <w:tblGrid>
        <w:gridCol w:w="6226"/>
        <w:gridCol w:w="1132"/>
        <w:gridCol w:w="1132"/>
        <w:gridCol w:w="1132"/>
      </w:tblGrid>
      <w:tr w:rsidR="000E38BD" w:rsidRPr="00FE32C7" w14:paraId="72806409" w14:textId="77777777" w:rsidTr="005B39AF">
        <w:trPr>
          <w:cantSplit/>
          <w:tblHeader/>
        </w:trPr>
        <w:tc>
          <w:tcPr>
            <w:tcW w:w="6237" w:type="dxa"/>
            <w:tcBorders>
              <w:top w:val="nil"/>
              <w:left w:val="single" w:sz="4" w:space="0" w:color="FFFFFF"/>
              <w:bottom w:val="single" w:sz="4" w:space="0" w:color="auto"/>
              <w:right w:val="single" w:sz="4" w:space="0" w:color="FFFFFF"/>
            </w:tcBorders>
            <w:vAlign w:val="bottom"/>
          </w:tcPr>
          <w:p w14:paraId="6821F19F" w14:textId="77777777" w:rsidR="000E38BD" w:rsidRPr="00FE32C7" w:rsidRDefault="000E38BD" w:rsidP="0088621E">
            <w:pPr>
              <w:pStyle w:val="ARtablecolhead"/>
              <w:rPr>
                <w:highlight w:val="cyan"/>
              </w:rPr>
            </w:pPr>
          </w:p>
        </w:tc>
        <w:tc>
          <w:tcPr>
            <w:tcW w:w="1134" w:type="dxa"/>
            <w:tcBorders>
              <w:top w:val="nil"/>
              <w:left w:val="single" w:sz="4" w:space="0" w:color="FFFFFF"/>
              <w:bottom w:val="single" w:sz="4" w:space="0" w:color="auto"/>
              <w:right w:val="single" w:sz="4" w:space="0" w:color="FFFFFF"/>
            </w:tcBorders>
            <w:vAlign w:val="bottom"/>
          </w:tcPr>
          <w:p w14:paraId="793F5F63" w14:textId="77777777" w:rsidR="000E38BD" w:rsidRPr="00837B0B" w:rsidRDefault="000E38BD" w:rsidP="00837B0B">
            <w:pPr>
              <w:pStyle w:val="ARtablecolheadright"/>
              <w:rPr>
                <w:rStyle w:val="Emphasis"/>
              </w:rPr>
            </w:pPr>
            <w:r w:rsidRPr="00837B0B">
              <w:rPr>
                <w:rStyle w:val="Emphasis"/>
              </w:rPr>
              <w:t>2021–22</w:t>
            </w:r>
          </w:p>
        </w:tc>
        <w:tc>
          <w:tcPr>
            <w:tcW w:w="1134" w:type="dxa"/>
            <w:tcBorders>
              <w:top w:val="nil"/>
              <w:left w:val="single" w:sz="4" w:space="0" w:color="FFFFFF"/>
              <w:bottom w:val="single" w:sz="4" w:space="0" w:color="auto"/>
              <w:right w:val="single" w:sz="4" w:space="0" w:color="FFFFFF"/>
            </w:tcBorders>
          </w:tcPr>
          <w:p w14:paraId="0F3B581F" w14:textId="77777777" w:rsidR="000E38BD" w:rsidRPr="000322A1" w:rsidRDefault="000E38BD" w:rsidP="00B410AD">
            <w:pPr>
              <w:pStyle w:val="ARtablecolheadright"/>
            </w:pPr>
            <w:r w:rsidRPr="000322A1">
              <w:t>2022–23</w:t>
            </w:r>
          </w:p>
        </w:tc>
        <w:tc>
          <w:tcPr>
            <w:tcW w:w="1134" w:type="dxa"/>
            <w:tcBorders>
              <w:top w:val="nil"/>
              <w:left w:val="single" w:sz="4" w:space="0" w:color="FFFFFF"/>
              <w:bottom w:val="single" w:sz="4" w:space="0" w:color="auto"/>
              <w:right w:val="single" w:sz="4" w:space="0" w:color="FFFFFF"/>
            </w:tcBorders>
          </w:tcPr>
          <w:p w14:paraId="72B05A2D" w14:textId="082613F1" w:rsidR="000E38BD" w:rsidRPr="007B6551" w:rsidRDefault="000E38BD" w:rsidP="00B410AD">
            <w:pPr>
              <w:pStyle w:val="ARtablecolheadright"/>
            </w:pPr>
            <w:r w:rsidRPr="007B6551">
              <w:t>2023</w:t>
            </w:r>
            <w:r w:rsidR="000F2EE3" w:rsidRPr="007B6551">
              <w:t>–</w:t>
            </w:r>
            <w:r w:rsidRPr="007B6551">
              <w:t>24</w:t>
            </w:r>
          </w:p>
        </w:tc>
      </w:tr>
      <w:tr w:rsidR="000E38BD" w:rsidRPr="00FE32C7" w14:paraId="46585E5E" w14:textId="77777777" w:rsidTr="005B39AF">
        <w:trPr>
          <w:cantSplit/>
        </w:trPr>
        <w:tc>
          <w:tcPr>
            <w:tcW w:w="6237" w:type="dxa"/>
            <w:tcBorders>
              <w:top w:val="single" w:sz="4" w:space="0" w:color="auto"/>
              <w:left w:val="single" w:sz="4" w:space="0" w:color="FFFFFF"/>
              <w:bottom w:val="single" w:sz="4" w:space="0" w:color="BFBFBF"/>
              <w:right w:val="single" w:sz="4" w:space="0" w:color="FFFFFF"/>
            </w:tcBorders>
            <w:vAlign w:val="center"/>
          </w:tcPr>
          <w:p w14:paraId="428A987E" w14:textId="77777777" w:rsidR="000E38BD" w:rsidRPr="00E0026F" w:rsidRDefault="000E38BD" w:rsidP="00B410AD">
            <w:pPr>
              <w:pStyle w:val="ARtabletext"/>
            </w:pPr>
            <w:r w:rsidRPr="00E0026F">
              <w:t>Hours of coordination funding provided to Neighbourhood Houses</w:t>
            </w:r>
          </w:p>
        </w:tc>
        <w:tc>
          <w:tcPr>
            <w:tcW w:w="1134" w:type="dxa"/>
            <w:tcBorders>
              <w:top w:val="single" w:sz="4" w:space="0" w:color="auto"/>
              <w:left w:val="single" w:sz="4" w:space="0" w:color="FFFFFF"/>
              <w:bottom w:val="single" w:sz="4" w:space="0" w:color="BFBFBF"/>
              <w:right w:val="single" w:sz="4" w:space="0" w:color="FFFFFF"/>
            </w:tcBorders>
          </w:tcPr>
          <w:p w14:paraId="5A08F0EA" w14:textId="77777777" w:rsidR="000E38BD" w:rsidRPr="004B1745" w:rsidRDefault="000E38BD" w:rsidP="00837B0B">
            <w:pPr>
              <w:pStyle w:val="ARtabletextright"/>
              <w:rPr>
                <w:rStyle w:val="Emphasis"/>
                <w:i w:val="0"/>
                <w:iCs w:val="0"/>
              </w:rPr>
            </w:pPr>
            <w:r w:rsidRPr="004B1745">
              <w:rPr>
                <w:rStyle w:val="Emphasis"/>
                <w:i w:val="0"/>
                <w:iCs w:val="0"/>
              </w:rPr>
              <w:t>588,778</w:t>
            </w:r>
          </w:p>
        </w:tc>
        <w:tc>
          <w:tcPr>
            <w:tcW w:w="1134" w:type="dxa"/>
            <w:tcBorders>
              <w:top w:val="single" w:sz="4" w:space="0" w:color="auto"/>
              <w:left w:val="single" w:sz="4" w:space="0" w:color="FFFFFF"/>
              <w:bottom w:val="single" w:sz="4" w:space="0" w:color="BFBFBF"/>
              <w:right w:val="single" w:sz="4" w:space="0" w:color="FFFFFF"/>
            </w:tcBorders>
          </w:tcPr>
          <w:p w14:paraId="240F245D" w14:textId="77777777" w:rsidR="000E38BD" w:rsidRPr="00532113" w:rsidRDefault="000E38BD" w:rsidP="00B410AD">
            <w:pPr>
              <w:pStyle w:val="ARtabletextright"/>
            </w:pPr>
            <w:r w:rsidRPr="00532113">
              <w:t>561,320</w:t>
            </w:r>
          </w:p>
        </w:tc>
        <w:tc>
          <w:tcPr>
            <w:tcW w:w="1134" w:type="dxa"/>
            <w:tcBorders>
              <w:top w:val="single" w:sz="4" w:space="0" w:color="auto"/>
              <w:left w:val="single" w:sz="4" w:space="0" w:color="FFFFFF"/>
              <w:bottom w:val="single" w:sz="4" w:space="0" w:color="BFBFBF"/>
              <w:right w:val="single" w:sz="4" w:space="0" w:color="FFFFFF"/>
            </w:tcBorders>
          </w:tcPr>
          <w:p w14:paraId="73F2D814" w14:textId="77777777" w:rsidR="000E38BD" w:rsidRPr="00532113" w:rsidRDefault="000E38BD" w:rsidP="00B410AD">
            <w:pPr>
              <w:pStyle w:val="ARtabletextright"/>
            </w:pPr>
            <w:r w:rsidRPr="00532113">
              <w:t>561,106</w:t>
            </w:r>
          </w:p>
        </w:tc>
      </w:tr>
      <w:tr w:rsidR="000E38BD" w:rsidRPr="00FE32C7" w14:paraId="62BD2170"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hideMark/>
          </w:tcPr>
          <w:p w14:paraId="47291397" w14:textId="77777777" w:rsidR="000E38BD" w:rsidRPr="00E0026F" w:rsidRDefault="000E38BD" w:rsidP="00B410AD">
            <w:pPr>
              <w:pStyle w:val="ARtabletext"/>
            </w:pPr>
            <w:r w:rsidRPr="00E0026F">
              <w:t>Number of Disability Advocacy clients</w:t>
            </w:r>
          </w:p>
        </w:tc>
        <w:tc>
          <w:tcPr>
            <w:tcW w:w="1134" w:type="dxa"/>
            <w:tcBorders>
              <w:top w:val="single" w:sz="4" w:space="0" w:color="BFBFBF"/>
              <w:left w:val="single" w:sz="4" w:space="0" w:color="FFFFFF"/>
              <w:bottom w:val="single" w:sz="4" w:space="0" w:color="BFBFBF"/>
              <w:right w:val="single" w:sz="4" w:space="0" w:color="FFFFFF"/>
            </w:tcBorders>
          </w:tcPr>
          <w:p w14:paraId="0DE160B9" w14:textId="77777777" w:rsidR="000E38BD" w:rsidRPr="004B1745" w:rsidRDefault="000E38BD" w:rsidP="00B410AD">
            <w:pPr>
              <w:pStyle w:val="ARtabletextright"/>
              <w:rPr>
                <w:rStyle w:val="Emphasis"/>
                <w:i w:val="0"/>
                <w:iCs w:val="0"/>
              </w:rPr>
            </w:pPr>
            <w:r w:rsidRPr="004B1745">
              <w:rPr>
                <w:rStyle w:val="Emphasis"/>
                <w:i w:val="0"/>
                <w:iCs w:val="0"/>
              </w:rPr>
              <w:t>2,766</w:t>
            </w:r>
          </w:p>
        </w:tc>
        <w:tc>
          <w:tcPr>
            <w:tcW w:w="1134" w:type="dxa"/>
            <w:tcBorders>
              <w:top w:val="single" w:sz="4" w:space="0" w:color="BFBFBF"/>
              <w:left w:val="single" w:sz="4" w:space="0" w:color="FFFFFF"/>
              <w:bottom w:val="single" w:sz="4" w:space="0" w:color="BFBFBF"/>
              <w:right w:val="single" w:sz="4" w:space="0" w:color="FFFFFF"/>
            </w:tcBorders>
          </w:tcPr>
          <w:p w14:paraId="1A485D05" w14:textId="77777777" w:rsidR="000E38BD" w:rsidRPr="00532113" w:rsidRDefault="000E38BD" w:rsidP="00B410AD">
            <w:pPr>
              <w:pStyle w:val="ARtabletextright"/>
            </w:pPr>
            <w:r w:rsidRPr="00532113">
              <w:t>2,782</w:t>
            </w:r>
          </w:p>
        </w:tc>
        <w:tc>
          <w:tcPr>
            <w:tcW w:w="1134" w:type="dxa"/>
            <w:tcBorders>
              <w:top w:val="single" w:sz="4" w:space="0" w:color="BFBFBF"/>
              <w:left w:val="single" w:sz="4" w:space="0" w:color="FFFFFF"/>
              <w:bottom w:val="single" w:sz="4" w:space="0" w:color="BFBFBF"/>
              <w:right w:val="single" w:sz="4" w:space="0" w:color="FFFFFF"/>
            </w:tcBorders>
          </w:tcPr>
          <w:p w14:paraId="65254B0D" w14:textId="5F79E73C" w:rsidR="000E38BD" w:rsidRPr="00532113" w:rsidRDefault="002D7F88" w:rsidP="00B410AD">
            <w:pPr>
              <w:pStyle w:val="ARtabletextright"/>
            </w:pPr>
            <w:r w:rsidRPr="00532113">
              <w:t>2,821</w:t>
            </w:r>
          </w:p>
        </w:tc>
      </w:tr>
      <w:tr w:rsidR="000E38BD" w:rsidRPr="00FE32C7" w14:paraId="1B61BA13"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bottom"/>
          </w:tcPr>
          <w:p w14:paraId="0CB8BF3A" w14:textId="337A8BBF" w:rsidR="000E38BD" w:rsidRPr="00E0026F" w:rsidRDefault="000E38BD" w:rsidP="00B410AD">
            <w:pPr>
              <w:pStyle w:val="ARtabletext"/>
            </w:pPr>
            <w:r w:rsidRPr="00E0026F">
              <w:t>Forensic disability residents participating in community reintegration</w:t>
            </w:r>
            <w:r w:rsidR="00A94B63" w:rsidRPr="00E0026F">
              <w:t> </w:t>
            </w:r>
            <w:r w:rsidRPr="00E0026F">
              <w:t>activities</w:t>
            </w:r>
          </w:p>
        </w:tc>
        <w:tc>
          <w:tcPr>
            <w:tcW w:w="1134" w:type="dxa"/>
            <w:tcBorders>
              <w:top w:val="single" w:sz="4" w:space="0" w:color="BFBFBF"/>
              <w:left w:val="single" w:sz="4" w:space="0" w:color="FFFFFF"/>
              <w:bottom w:val="single" w:sz="4" w:space="0" w:color="BFBFBF"/>
              <w:right w:val="single" w:sz="4" w:space="0" w:color="FFFFFF"/>
            </w:tcBorders>
          </w:tcPr>
          <w:p w14:paraId="268CB903" w14:textId="77777777" w:rsidR="000E38BD" w:rsidRPr="004B1745" w:rsidRDefault="000E38BD" w:rsidP="00B410AD">
            <w:pPr>
              <w:pStyle w:val="ARtabletextright"/>
              <w:rPr>
                <w:rStyle w:val="Emphasis"/>
                <w:i w:val="0"/>
                <w:iCs w:val="0"/>
              </w:rPr>
            </w:pPr>
            <w:r w:rsidRPr="004B1745">
              <w:rPr>
                <w:rStyle w:val="Emphasis"/>
                <w:i w:val="0"/>
                <w:iCs w:val="0"/>
              </w:rPr>
              <w:t>95%</w:t>
            </w:r>
          </w:p>
        </w:tc>
        <w:tc>
          <w:tcPr>
            <w:tcW w:w="1134" w:type="dxa"/>
            <w:tcBorders>
              <w:top w:val="single" w:sz="4" w:space="0" w:color="BFBFBF"/>
              <w:left w:val="single" w:sz="4" w:space="0" w:color="FFFFFF"/>
              <w:bottom w:val="single" w:sz="4" w:space="0" w:color="BFBFBF"/>
              <w:right w:val="single" w:sz="4" w:space="0" w:color="FFFFFF"/>
            </w:tcBorders>
          </w:tcPr>
          <w:p w14:paraId="7FA2709E" w14:textId="77777777" w:rsidR="000E38BD" w:rsidRPr="00532113" w:rsidRDefault="000E38BD" w:rsidP="00B410AD">
            <w:pPr>
              <w:pStyle w:val="ARtabletextright"/>
            </w:pPr>
            <w:r w:rsidRPr="00532113">
              <w:t>86%</w:t>
            </w:r>
          </w:p>
        </w:tc>
        <w:tc>
          <w:tcPr>
            <w:tcW w:w="1134" w:type="dxa"/>
            <w:tcBorders>
              <w:top w:val="single" w:sz="4" w:space="0" w:color="BFBFBF"/>
              <w:left w:val="single" w:sz="4" w:space="0" w:color="FFFFFF"/>
              <w:bottom w:val="single" w:sz="4" w:space="0" w:color="BFBFBF"/>
              <w:right w:val="single" w:sz="4" w:space="0" w:color="FFFFFF"/>
            </w:tcBorders>
          </w:tcPr>
          <w:p w14:paraId="15C75703" w14:textId="1F1F20B7" w:rsidR="000E38BD" w:rsidRPr="00532113" w:rsidRDefault="000E38BD" w:rsidP="00B410AD">
            <w:pPr>
              <w:pStyle w:val="ARtabletextright"/>
            </w:pPr>
            <w:r w:rsidRPr="00532113">
              <w:t>9</w:t>
            </w:r>
            <w:r w:rsidR="003B515F" w:rsidRPr="00532113">
              <w:t>7</w:t>
            </w:r>
            <w:r w:rsidRPr="00532113">
              <w:t>%</w:t>
            </w:r>
          </w:p>
        </w:tc>
      </w:tr>
      <w:tr w:rsidR="000E38BD" w:rsidRPr="00FE32C7" w14:paraId="1A9E819A"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0F2C3649" w14:textId="77777777" w:rsidR="000E38BD" w:rsidRPr="00E0026F" w:rsidRDefault="000E38BD" w:rsidP="00B410AD">
            <w:pPr>
              <w:pStyle w:val="ARtabletext"/>
            </w:pPr>
            <w:r w:rsidRPr="00E0026F">
              <w:t>Senior satisfaction with Victorian Seniors Festival events</w:t>
            </w:r>
          </w:p>
        </w:tc>
        <w:tc>
          <w:tcPr>
            <w:tcW w:w="1134" w:type="dxa"/>
            <w:tcBorders>
              <w:top w:val="single" w:sz="4" w:space="0" w:color="BFBFBF"/>
              <w:left w:val="single" w:sz="4" w:space="0" w:color="FFFFFF"/>
              <w:bottom w:val="single" w:sz="4" w:space="0" w:color="BFBFBF"/>
              <w:right w:val="single" w:sz="4" w:space="0" w:color="FFFFFF"/>
            </w:tcBorders>
          </w:tcPr>
          <w:p w14:paraId="2E2B37A8" w14:textId="77777777" w:rsidR="000E38BD" w:rsidRPr="004B1745" w:rsidRDefault="000E38BD" w:rsidP="00B410AD">
            <w:pPr>
              <w:pStyle w:val="ARtabletextright"/>
              <w:rPr>
                <w:rStyle w:val="Emphasis"/>
                <w:i w:val="0"/>
                <w:iCs w:val="0"/>
              </w:rPr>
            </w:pPr>
            <w:r w:rsidRPr="004B1745">
              <w:rPr>
                <w:rStyle w:val="Emphasis"/>
                <w:i w:val="0"/>
                <w:iCs w:val="0"/>
              </w:rPr>
              <w:t>90%</w:t>
            </w:r>
          </w:p>
        </w:tc>
        <w:tc>
          <w:tcPr>
            <w:tcW w:w="1134" w:type="dxa"/>
            <w:tcBorders>
              <w:top w:val="single" w:sz="4" w:space="0" w:color="BFBFBF"/>
              <w:left w:val="single" w:sz="4" w:space="0" w:color="FFFFFF"/>
              <w:bottom w:val="single" w:sz="4" w:space="0" w:color="BFBFBF"/>
              <w:right w:val="single" w:sz="4" w:space="0" w:color="FFFFFF"/>
            </w:tcBorders>
          </w:tcPr>
          <w:p w14:paraId="4B02F728" w14:textId="77777777" w:rsidR="000E38BD" w:rsidRPr="00532113" w:rsidRDefault="000E38BD" w:rsidP="00B410AD">
            <w:pPr>
              <w:pStyle w:val="ARtabletextright"/>
            </w:pPr>
            <w:r w:rsidRPr="00532113">
              <w:t>96%</w:t>
            </w:r>
          </w:p>
        </w:tc>
        <w:tc>
          <w:tcPr>
            <w:tcW w:w="1134" w:type="dxa"/>
            <w:tcBorders>
              <w:top w:val="single" w:sz="4" w:space="0" w:color="BFBFBF"/>
              <w:left w:val="single" w:sz="4" w:space="0" w:color="FFFFFF"/>
              <w:bottom w:val="single" w:sz="4" w:space="0" w:color="BFBFBF"/>
              <w:right w:val="single" w:sz="4" w:space="0" w:color="FFFFFF"/>
            </w:tcBorders>
          </w:tcPr>
          <w:p w14:paraId="4BD08C2D" w14:textId="77777777" w:rsidR="000E38BD" w:rsidRPr="00532113" w:rsidRDefault="000E38BD" w:rsidP="00B410AD">
            <w:pPr>
              <w:pStyle w:val="ARtabletextright"/>
            </w:pPr>
            <w:r w:rsidRPr="00532113">
              <w:t>90%</w:t>
            </w:r>
          </w:p>
        </w:tc>
      </w:tr>
      <w:tr w:rsidR="000E38BD" w:rsidRPr="00FE32C7" w14:paraId="27846DA4"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4DDEAFF6" w14:textId="77777777" w:rsidR="000E38BD" w:rsidRPr="00E0026F" w:rsidRDefault="000E38BD" w:rsidP="00B410AD">
            <w:pPr>
              <w:pStyle w:val="ARtabletext"/>
            </w:pPr>
            <w:r w:rsidRPr="00E0026F">
              <w:t>Community engagement – Shrine ceremonial activities, public and student education programs, tours and general visitation</w:t>
            </w:r>
          </w:p>
        </w:tc>
        <w:tc>
          <w:tcPr>
            <w:tcW w:w="1134" w:type="dxa"/>
            <w:tcBorders>
              <w:top w:val="single" w:sz="4" w:space="0" w:color="BFBFBF"/>
              <w:left w:val="single" w:sz="4" w:space="0" w:color="FFFFFF"/>
              <w:bottom w:val="single" w:sz="4" w:space="0" w:color="BFBFBF"/>
              <w:right w:val="single" w:sz="4" w:space="0" w:color="FFFFFF"/>
            </w:tcBorders>
          </w:tcPr>
          <w:p w14:paraId="731140FD" w14:textId="77777777" w:rsidR="000E38BD" w:rsidRPr="004B1745" w:rsidRDefault="000E38BD" w:rsidP="00837B0B">
            <w:pPr>
              <w:pStyle w:val="ARtabletextright"/>
              <w:rPr>
                <w:rStyle w:val="Emphasis"/>
                <w:i w:val="0"/>
                <w:iCs w:val="0"/>
              </w:rPr>
            </w:pPr>
            <w:r w:rsidRPr="004B1745">
              <w:rPr>
                <w:rStyle w:val="Emphasis"/>
                <w:i w:val="0"/>
                <w:iCs w:val="0"/>
              </w:rPr>
              <w:t>930,125</w:t>
            </w:r>
          </w:p>
        </w:tc>
        <w:tc>
          <w:tcPr>
            <w:tcW w:w="1134" w:type="dxa"/>
            <w:tcBorders>
              <w:top w:val="single" w:sz="4" w:space="0" w:color="BFBFBF"/>
              <w:left w:val="single" w:sz="4" w:space="0" w:color="FFFFFF"/>
              <w:bottom w:val="single" w:sz="4" w:space="0" w:color="BFBFBF"/>
              <w:right w:val="single" w:sz="4" w:space="0" w:color="FFFFFF"/>
            </w:tcBorders>
          </w:tcPr>
          <w:p w14:paraId="77F714D4" w14:textId="77777777" w:rsidR="000E38BD" w:rsidRPr="00532113" w:rsidRDefault="000E38BD" w:rsidP="00B410AD">
            <w:pPr>
              <w:pStyle w:val="ARtabletextright"/>
            </w:pPr>
            <w:r w:rsidRPr="00532113">
              <w:t>1,201,664</w:t>
            </w:r>
          </w:p>
        </w:tc>
        <w:tc>
          <w:tcPr>
            <w:tcW w:w="1134" w:type="dxa"/>
            <w:tcBorders>
              <w:top w:val="single" w:sz="4" w:space="0" w:color="BFBFBF"/>
              <w:left w:val="single" w:sz="4" w:space="0" w:color="FFFFFF"/>
              <w:bottom w:val="single" w:sz="4" w:space="0" w:color="BFBFBF"/>
              <w:right w:val="single" w:sz="4" w:space="0" w:color="FFFFFF"/>
            </w:tcBorders>
          </w:tcPr>
          <w:p w14:paraId="5CE71102" w14:textId="77777777" w:rsidR="000E38BD" w:rsidRPr="00532113" w:rsidRDefault="000E38BD" w:rsidP="00B410AD">
            <w:pPr>
              <w:pStyle w:val="ARtabletextright"/>
            </w:pPr>
            <w:r w:rsidRPr="00532113">
              <w:t>1,777,590</w:t>
            </w:r>
          </w:p>
        </w:tc>
      </w:tr>
      <w:tr w:rsidR="000E38BD" w:rsidRPr="00FE32C7" w14:paraId="28CCC1B0"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1E6F0658" w14:textId="65580682" w:rsidR="000E38BD" w:rsidRPr="00E0026F" w:rsidRDefault="000E38BD" w:rsidP="00B410AD">
            <w:pPr>
              <w:pStyle w:val="ARtabletext"/>
            </w:pPr>
            <w:r w:rsidRPr="00E0026F">
              <w:t>Proportion of LGBTIQ</w:t>
            </w:r>
            <w:r w:rsidR="00851763" w:rsidRPr="00E0026F">
              <w:t>A</w:t>
            </w:r>
            <w:r w:rsidRPr="00E0026F">
              <w:t>+ grant program recipients located in regional and rural</w:t>
            </w:r>
            <w:r w:rsidR="00A94B63" w:rsidRPr="00E0026F">
              <w:t> </w:t>
            </w:r>
            <w:r w:rsidRPr="00E0026F">
              <w:t>areas</w:t>
            </w:r>
          </w:p>
        </w:tc>
        <w:tc>
          <w:tcPr>
            <w:tcW w:w="1134" w:type="dxa"/>
            <w:tcBorders>
              <w:top w:val="single" w:sz="4" w:space="0" w:color="BFBFBF"/>
              <w:left w:val="single" w:sz="4" w:space="0" w:color="FFFFFF"/>
              <w:bottom w:val="single" w:sz="4" w:space="0" w:color="BFBFBF"/>
              <w:right w:val="single" w:sz="4" w:space="0" w:color="FFFFFF"/>
            </w:tcBorders>
          </w:tcPr>
          <w:p w14:paraId="245328AD" w14:textId="77777777" w:rsidR="000E38BD" w:rsidRPr="004B1745" w:rsidRDefault="000E38BD" w:rsidP="00B410AD">
            <w:pPr>
              <w:pStyle w:val="ARtabletextright"/>
              <w:rPr>
                <w:rStyle w:val="Emphasis"/>
                <w:i w:val="0"/>
                <w:iCs w:val="0"/>
              </w:rPr>
            </w:pPr>
            <w:r w:rsidRPr="004B1745">
              <w:rPr>
                <w:rStyle w:val="Emphasis"/>
                <w:i w:val="0"/>
                <w:iCs w:val="0"/>
              </w:rPr>
              <w:t>35%</w:t>
            </w:r>
          </w:p>
        </w:tc>
        <w:tc>
          <w:tcPr>
            <w:tcW w:w="1134" w:type="dxa"/>
            <w:tcBorders>
              <w:top w:val="single" w:sz="4" w:space="0" w:color="BFBFBF"/>
              <w:left w:val="single" w:sz="4" w:space="0" w:color="FFFFFF"/>
              <w:bottom w:val="single" w:sz="4" w:space="0" w:color="BFBFBF"/>
              <w:right w:val="single" w:sz="4" w:space="0" w:color="FFFFFF"/>
            </w:tcBorders>
          </w:tcPr>
          <w:p w14:paraId="254C2BFF" w14:textId="77777777" w:rsidR="000E38BD" w:rsidRPr="00532113" w:rsidRDefault="000E38BD" w:rsidP="00B410AD">
            <w:pPr>
              <w:pStyle w:val="ARtabletextright"/>
            </w:pPr>
            <w:r w:rsidRPr="00532113">
              <w:t>52%</w:t>
            </w:r>
          </w:p>
        </w:tc>
        <w:tc>
          <w:tcPr>
            <w:tcW w:w="1134" w:type="dxa"/>
            <w:tcBorders>
              <w:top w:val="single" w:sz="4" w:space="0" w:color="BFBFBF"/>
              <w:left w:val="single" w:sz="4" w:space="0" w:color="FFFFFF"/>
              <w:bottom w:val="single" w:sz="4" w:space="0" w:color="BFBFBF"/>
              <w:right w:val="single" w:sz="4" w:space="0" w:color="FFFFFF"/>
            </w:tcBorders>
          </w:tcPr>
          <w:p w14:paraId="7640A37C" w14:textId="77777777" w:rsidR="000E38BD" w:rsidRPr="00532113" w:rsidRDefault="000E38BD" w:rsidP="00B410AD">
            <w:pPr>
              <w:pStyle w:val="ARtabletextright"/>
            </w:pPr>
            <w:r w:rsidRPr="00532113">
              <w:t>39.7%</w:t>
            </w:r>
          </w:p>
        </w:tc>
      </w:tr>
      <w:tr w:rsidR="000E38BD" w:rsidRPr="00FE32C7" w14:paraId="4965C10E"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522F374E" w14:textId="77777777" w:rsidR="000E38BD" w:rsidRPr="00E0026F" w:rsidRDefault="000E38BD" w:rsidP="00B410AD">
            <w:pPr>
              <w:pStyle w:val="ARtabletext"/>
            </w:pPr>
            <w:r w:rsidRPr="00E0026F">
              <w:t>Participation by young people in programs that provide opportunities to be involved in social and economic life in their communities</w:t>
            </w:r>
          </w:p>
        </w:tc>
        <w:tc>
          <w:tcPr>
            <w:tcW w:w="1134" w:type="dxa"/>
            <w:tcBorders>
              <w:top w:val="single" w:sz="4" w:space="0" w:color="BFBFBF"/>
              <w:left w:val="single" w:sz="4" w:space="0" w:color="FFFFFF"/>
              <w:bottom w:val="single" w:sz="4" w:space="0" w:color="BFBFBF"/>
              <w:right w:val="single" w:sz="4" w:space="0" w:color="FFFFFF"/>
            </w:tcBorders>
          </w:tcPr>
          <w:p w14:paraId="78699847" w14:textId="77777777" w:rsidR="000E38BD" w:rsidRPr="004B1745" w:rsidRDefault="000E38BD" w:rsidP="00B410AD">
            <w:pPr>
              <w:pStyle w:val="ARtabletextright"/>
              <w:rPr>
                <w:rStyle w:val="Emphasis"/>
                <w:i w:val="0"/>
                <w:iCs w:val="0"/>
              </w:rPr>
            </w:pPr>
            <w:r w:rsidRPr="004B1745">
              <w:rPr>
                <w:rStyle w:val="Emphasis"/>
                <w:i w:val="0"/>
                <w:iCs w:val="0"/>
              </w:rPr>
              <w:t>239,788</w:t>
            </w:r>
          </w:p>
        </w:tc>
        <w:tc>
          <w:tcPr>
            <w:tcW w:w="1134" w:type="dxa"/>
            <w:tcBorders>
              <w:top w:val="single" w:sz="4" w:space="0" w:color="BFBFBF"/>
              <w:left w:val="single" w:sz="4" w:space="0" w:color="FFFFFF"/>
              <w:bottom w:val="single" w:sz="4" w:space="0" w:color="BFBFBF"/>
              <w:right w:val="single" w:sz="4" w:space="0" w:color="FFFFFF"/>
            </w:tcBorders>
          </w:tcPr>
          <w:p w14:paraId="0603E00C" w14:textId="77777777" w:rsidR="000E38BD" w:rsidRPr="00532113" w:rsidRDefault="000E38BD" w:rsidP="00B410AD">
            <w:pPr>
              <w:pStyle w:val="ARtabletextright"/>
              <w:rPr>
                <w:szCs w:val="21"/>
              </w:rPr>
            </w:pPr>
            <w:r w:rsidRPr="00532113">
              <w:rPr>
                <w:szCs w:val="21"/>
              </w:rPr>
              <w:t>305,608</w:t>
            </w:r>
          </w:p>
        </w:tc>
        <w:tc>
          <w:tcPr>
            <w:tcW w:w="1134" w:type="dxa"/>
            <w:tcBorders>
              <w:top w:val="single" w:sz="4" w:space="0" w:color="BFBFBF"/>
              <w:left w:val="single" w:sz="4" w:space="0" w:color="FFFFFF"/>
              <w:bottom w:val="single" w:sz="4" w:space="0" w:color="BFBFBF"/>
              <w:right w:val="single" w:sz="4" w:space="0" w:color="FFFFFF"/>
            </w:tcBorders>
          </w:tcPr>
          <w:p w14:paraId="5DB6D066" w14:textId="28F1A6EE" w:rsidR="000E38BD" w:rsidRPr="00532113" w:rsidRDefault="000E38BD" w:rsidP="00B410AD">
            <w:pPr>
              <w:pStyle w:val="ARtabletextright"/>
              <w:rPr>
                <w:szCs w:val="21"/>
              </w:rPr>
            </w:pPr>
            <w:r w:rsidRPr="00532113">
              <w:t>3</w:t>
            </w:r>
            <w:r w:rsidR="003A019F" w:rsidRPr="00532113">
              <w:t>89,619</w:t>
            </w:r>
          </w:p>
        </w:tc>
      </w:tr>
      <w:tr w:rsidR="000E38BD" w:rsidRPr="00FE32C7" w14:paraId="30082454"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5FAC146B" w14:textId="77777777" w:rsidR="000E38BD" w:rsidRPr="00E0026F" w:rsidRDefault="000E38BD" w:rsidP="00B410AD">
            <w:pPr>
              <w:pStyle w:val="ARtabletext"/>
            </w:pPr>
            <w:r w:rsidRPr="00E0026F">
              <w:t>Participation by young people in programs that support young people to be involved in decision making in their community</w:t>
            </w:r>
          </w:p>
        </w:tc>
        <w:tc>
          <w:tcPr>
            <w:tcW w:w="1134" w:type="dxa"/>
            <w:tcBorders>
              <w:top w:val="single" w:sz="4" w:space="0" w:color="BFBFBF"/>
              <w:left w:val="single" w:sz="4" w:space="0" w:color="FFFFFF"/>
              <w:bottom w:val="single" w:sz="4" w:space="0" w:color="BFBFBF"/>
              <w:right w:val="single" w:sz="4" w:space="0" w:color="FFFFFF"/>
            </w:tcBorders>
          </w:tcPr>
          <w:p w14:paraId="67984102" w14:textId="77777777" w:rsidR="000E38BD" w:rsidRPr="004B1745" w:rsidRDefault="000E38BD" w:rsidP="00B410AD">
            <w:pPr>
              <w:pStyle w:val="ARtabletextright"/>
              <w:rPr>
                <w:rStyle w:val="Emphasis"/>
                <w:i w:val="0"/>
                <w:iCs w:val="0"/>
              </w:rPr>
            </w:pPr>
            <w:r w:rsidRPr="004B1745">
              <w:rPr>
                <w:rStyle w:val="Emphasis"/>
                <w:i w:val="0"/>
                <w:iCs w:val="0"/>
              </w:rPr>
              <w:t>3,181</w:t>
            </w:r>
          </w:p>
        </w:tc>
        <w:tc>
          <w:tcPr>
            <w:tcW w:w="1134" w:type="dxa"/>
            <w:tcBorders>
              <w:top w:val="single" w:sz="4" w:space="0" w:color="BFBFBF"/>
              <w:left w:val="single" w:sz="4" w:space="0" w:color="FFFFFF"/>
              <w:bottom w:val="single" w:sz="4" w:space="0" w:color="BFBFBF"/>
              <w:right w:val="single" w:sz="4" w:space="0" w:color="FFFFFF"/>
            </w:tcBorders>
          </w:tcPr>
          <w:p w14:paraId="5702D865" w14:textId="77777777" w:rsidR="000E38BD" w:rsidRPr="00532113" w:rsidRDefault="000E38BD" w:rsidP="00B410AD">
            <w:pPr>
              <w:pStyle w:val="ARtabletextright"/>
            </w:pPr>
            <w:r w:rsidRPr="00532113">
              <w:t>3,631</w:t>
            </w:r>
          </w:p>
        </w:tc>
        <w:tc>
          <w:tcPr>
            <w:tcW w:w="1134" w:type="dxa"/>
            <w:tcBorders>
              <w:top w:val="single" w:sz="4" w:space="0" w:color="BFBFBF"/>
              <w:left w:val="single" w:sz="4" w:space="0" w:color="FFFFFF"/>
              <w:bottom w:val="single" w:sz="4" w:space="0" w:color="BFBFBF"/>
              <w:right w:val="single" w:sz="4" w:space="0" w:color="FFFFFF"/>
            </w:tcBorders>
          </w:tcPr>
          <w:p w14:paraId="23347F66" w14:textId="3BF71CBA" w:rsidR="000E38BD" w:rsidRPr="00532113" w:rsidRDefault="000E38BD" w:rsidP="00B410AD">
            <w:pPr>
              <w:pStyle w:val="ARtabletextright"/>
            </w:pPr>
            <w:r w:rsidRPr="00532113">
              <w:t>4,</w:t>
            </w:r>
            <w:r w:rsidR="00A40A68" w:rsidRPr="00532113">
              <w:t>449</w:t>
            </w:r>
          </w:p>
        </w:tc>
      </w:tr>
      <w:tr w:rsidR="000E38BD" w:rsidRPr="00FE32C7" w14:paraId="5C09BFEC"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43666DCD" w14:textId="77777777" w:rsidR="000E38BD" w:rsidRPr="00E0026F" w:rsidRDefault="000E38BD" w:rsidP="00B410AD">
            <w:pPr>
              <w:pStyle w:val="ARtabletext"/>
            </w:pPr>
            <w:r w:rsidRPr="00E0026F">
              <w:t>Participants reporting development of transferrable skills supporting positive outcomes for young people</w:t>
            </w:r>
          </w:p>
        </w:tc>
        <w:tc>
          <w:tcPr>
            <w:tcW w:w="1134" w:type="dxa"/>
            <w:tcBorders>
              <w:top w:val="single" w:sz="4" w:space="0" w:color="BFBFBF"/>
              <w:left w:val="single" w:sz="4" w:space="0" w:color="FFFFFF"/>
              <w:bottom w:val="single" w:sz="4" w:space="0" w:color="BFBFBF"/>
              <w:right w:val="single" w:sz="4" w:space="0" w:color="FFFFFF"/>
            </w:tcBorders>
          </w:tcPr>
          <w:p w14:paraId="4B8F2FA8" w14:textId="77777777" w:rsidR="000E38BD" w:rsidRPr="004B1745" w:rsidRDefault="000E38BD" w:rsidP="00B410AD">
            <w:pPr>
              <w:pStyle w:val="ARtabletextright"/>
              <w:rPr>
                <w:rStyle w:val="Emphasis"/>
                <w:i w:val="0"/>
                <w:iCs w:val="0"/>
              </w:rPr>
            </w:pPr>
            <w:r w:rsidRPr="004B1745">
              <w:rPr>
                <w:rStyle w:val="Emphasis"/>
                <w:i w:val="0"/>
                <w:iCs w:val="0"/>
              </w:rPr>
              <w:t>88.76%</w:t>
            </w:r>
          </w:p>
        </w:tc>
        <w:tc>
          <w:tcPr>
            <w:tcW w:w="1134" w:type="dxa"/>
            <w:tcBorders>
              <w:top w:val="single" w:sz="4" w:space="0" w:color="BFBFBF"/>
              <w:left w:val="single" w:sz="4" w:space="0" w:color="FFFFFF"/>
              <w:bottom w:val="single" w:sz="4" w:space="0" w:color="BFBFBF"/>
              <w:right w:val="single" w:sz="4" w:space="0" w:color="FFFFFF"/>
            </w:tcBorders>
          </w:tcPr>
          <w:p w14:paraId="4F24263C" w14:textId="77777777" w:rsidR="000E38BD" w:rsidRPr="00532113" w:rsidRDefault="000E38BD" w:rsidP="00B410AD">
            <w:pPr>
              <w:pStyle w:val="ARtabletextright"/>
            </w:pPr>
            <w:r w:rsidRPr="00532113">
              <w:t>77%</w:t>
            </w:r>
          </w:p>
        </w:tc>
        <w:tc>
          <w:tcPr>
            <w:tcW w:w="1134" w:type="dxa"/>
            <w:tcBorders>
              <w:top w:val="single" w:sz="4" w:space="0" w:color="BFBFBF"/>
              <w:left w:val="single" w:sz="4" w:space="0" w:color="FFFFFF"/>
              <w:bottom w:val="single" w:sz="4" w:space="0" w:color="BFBFBF"/>
              <w:right w:val="single" w:sz="4" w:space="0" w:color="FFFFFF"/>
            </w:tcBorders>
          </w:tcPr>
          <w:p w14:paraId="38DB9C58" w14:textId="77777777" w:rsidR="000E38BD" w:rsidRPr="00532113" w:rsidRDefault="000E38BD" w:rsidP="00B410AD">
            <w:pPr>
              <w:pStyle w:val="ARtabletextright"/>
            </w:pPr>
            <w:r w:rsidRPr="00532113">
              <w:t>77%</w:t>
            </w:r>
          </w:p>
        </w:tc>
      </w:tr>
      <w:tr w:rsidR="000E38BD" w:rsidRPr="00FE32C7" w14:paraId="037C9204" w14:textId="77777777" w:rsidTr="005B39AF">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7D14A669" w14:textId="77777777" w:rsidR="000E38BD" w:rsidRPr="00E0026F" w:rsidRDefault="000E38BD" w:rsidP="00B410AD">
            <w:pPr>
              <w:pStyle w:val="ARtabletext"/>
            </w:pPr>
            <w:r w:rsidRPr="00E0026F">
              <w:t>Number of people participating in funded gender equality programs</w:t>
            </w:r>
          </w:p>
        </w:tc>
        <w:tc>
          <w:tcPr>
            <w:tcW w:w="1134" w:type="dxa"/>
            <w:tcBorders>
              <w:top w:val="single" w:sz="4" w:space="0" w:color="BFBFBF"/>
              <w:left w:val="single" w:sz="4" w:space="0" w:color="FFFFFF"/>
              <w:bottom w:val="single" w:sz="4" w:space="0" w:color="BFBFBF"/>
              <w:right w:val="single" w:sz="4" w:space="0" w:color="FFFFFF"/>
            </w:tcBorders>
          </w:tcPr>
          <w:p w14:paraId="1C40F6A5" w14:textId="77777777" w:rsidR="000E38BD" w:rsidRPr="004B1745" w:rsidRDefault="000E38BD" w:rsidP="00B410AD">
            <w:pPr>
              <w:pStyle w:val="ARtabletextright"/>
              <w:rPr>
                <w:rStyle w:val="Emphasis"/>
                <w:i w:val="0"/>
                <w:iCs w:val="0"/>
              </w:rPr>
            </w:pPr>
            <w:r w:rsidRPr="004B1745">
              <w:rPr>
                <w:rStyle w:val="Emphasis"/>
                <w:i w:val="0"/>
                <w:iCs w:val="0"/>
              </w:rPr>
              <w:t>22,267</w:t>
            </w:r>
          </w:p>
        </w:tc>
        <w:tc>
          <w:tcPr>
            <w:tcW w:w="1134" w:type="dxa"/>
            <w:tcBorders>
              <w:top w:val="single" w:sz="4" w:space="0" w:color="BFBFBF"/>
              <w:left w:val="single" w:sz="4" w:space="0" w:color="FFFFFF"/>
              <w:bottom w:val="single" w:sz="4" w:space="0" w:color="BFBFBF"/>
              <w:right w:val="single" w:sz="4" w:space="0" w:color="FFFFFF"/>
            </w:tcBorders>
          </w:tcPr>
          <w:p w14:paraId="0342CC05" w14:textId="77777777" w:rsidR="000E38BD" w:rsidRPr="00532113" w:rsidRDefault="000E38BD" w:rsidP="00B410AD">
            <w:pPr>
              <w:pStyle w:val="ARtabletextright"/>
            </w:pPr>
            <w:r w:rsidRPr="00532113">
              <w:t>10,713</w:t>
            </w:r>
          </w:p>
        </w:tc>
        <w:tc>
          <w:tcPr>
            <w:tcW w:w="1134" w:type="dxa"/>
            <w:tcBorders>
              <w:top w:val="single" w:sz="4" w:space="0" w:color="BFBFBF"/>
              <w:left w:val="single" w:sz="4" w:space="0" w:color="FFFFFF"/>
              <w:bottom w:val="single" w:sz="4" w:space="0" w:color="BFBFBF"/>
              <w:right w:val="single" w:sz="4" w:space="0" w:color="FFFFFF"/>
            </w:tcBorders>
          </w:tcPr>
          <w:p w14:paraId="34999882" w14:textId="77777777" w:rsidR="000E38BD" w:rsidRPr="00532113" w:rsidRDefault="000E38BD" w:rsidP="00B410AD">
            <w:pPr>
              <w:pStyle w:val="ARtabletextright"/>
            </w:pPr>
            <w:r w:rsidRPr="00532113">
              <w:t>17,278</w:t>
            </w:r>
          </w:p>
        </w:tc>
      </w:tr>
      <w:tr w:rsidR="000E38BD" w:rsidRPr="00532DAE" w14:paraId="5F108FD9" w14:textId="77777777" w:rsidTr="005B39AF">
        <w:trPr>
          <w:cantSplit/>
        </w:trPr>
        <w:tc>
          <w:tcPr>
            <w:tcW w:w="6237" w:type="dxa"/>
            <w:tcBorders>
              <w:top w:val="single" w:sz="4" w:space="0" w:color="BFBFBF"/>
              <w:left w:val="single" w:sz="4" w:space="0" w:color="FFFFFF"/>
              <w:bottom w:val="single" w:sz="4" w:space="0" w:color="auto"/>
              <w:right w:val="single" w:sz="4" w:space="0" w:color="FFFFFF"/>
            </w:tcBorders>
            <w:vAlign w:val="center"/>
          </w:tcPr>
          <w:p w14:paraId="5CFA6550" w14:textId="77777777" w:rsidR="000E38BD" w:rsidRPr="00E0026F" w:rsidRDefault="000E38BD" w:rsidP="00B410AD">
            <w:pPr>
              <w:pStyle w:val="ARtabletext"/>
            </w:pPr>
            <w:r w:rsidRPr="00E0026F">
              <w:t>Percentage of women on Victorian Government boards</w:t>
            </w:r>
          </w:p>
        </w:tc>
        <w:tc>
          <w:tcPr>
            <w:tcW w:w="1134" w:type="dxa"/>
            <w:tcBorders>
              <w:top w:val="single" w:sz="4" w:space="0" w:color="BFBFBF"/>
              <w:left w:val="single" w:sz="4" w:space="0" w:color="FFFFFF"/>
              <w:bottom w:val="single" w:sz="4" w:space="0" w:color="auto"/>
              <w:right w:val="single" w:sz="4" w:space="0" w:color="FFFFFF"/>
            </w:tcBorders>
          </w:tcPr>
          <w:p w14:paraId="0D0DA14E" w14:textId="77777777" w:rsidR="000E38BD" w:rsidRPr="004B1745" w:rsidRDefault="000E38BD" w:rsidP="00B410AD">
            <w:pPr>
              <w:pStyle w:val="ARtabletextright"/>
              <w:rPr>
                <w:rStyle w:val="Emphasis"/>
                <w:i w:val="0"/>
                <w:iCs w:val="0"/>
              </w:rPr>
            </w:pPr>
            <w:r w:rsidRPr="004B1745">
              <w:rPr>
                <w:rStyle w:val="Emphasis"/>
                <w:i w:val="0"/>
                <w:iCs w:val="0"/>
              </w:rPr>
              <w:t>52%</w:t>
            </w:r>
          </w:p>
        </w:tc>
        <w:tc>
          <w:tcPr>
            <w:tcW w:w="1134" w:type="dxa"/>
            <w:tcBorders>
              <w:top w:val="single" w:sz="4" w:space="0" w:color="BFBFBF"/>
              <w:left w:val="single" w:sz="4" w:space="0" w:color="FFFFFF"/>
              <w:bottom w:val="single" w:sz="4" w:space="0" w:color="auto"/>
              <w:right w:val="single" w:sz="4" w:space="0" w:color="FFFFFF"/>
            </w:tcBorders>
          </w:tcPr>
          <w:p w14:paraId="5EF1EEBF" w14:textId="77777777" w:rsidR="000E38BD" w:rsidRPr="00532113" w:rsidRDefault="000E38BD" w:rsidP="00B410AD">
            <w:pPr>
              <w:pStyle w:val="ARtabletextright"/>
            </w:pPr>
            <w:r w:rsidRPr="00532113">
              <w:t>53%</w:t>
            </w:r>
          </w:p>
        </w:tc>
        <w:tc>
          <w:tcPr>
            <w:tcW w:w="1134" w:type="dxa"/>
            <w:tcBorders>
              <w:top w:val="single" w:sz="4" w:space="0" w:color="BFBFBF"/>
              <w:left w:val="single" w:sz="4" w:space="0" w:color="FFFFFF"/>
              <w:bottom w:val="single" w:sz="4" w:space="0" w:color="auto"/>
              <w:right w:val="single" w:sz="4" w:space="0" w:color="FFFFFF"/>
            </w:tcBorders>
          </w:tcPr>
          <w:p w14:paraId="0261052F" w14:textId="77777777" w:rsidR="000E38BD" w:rsidRPr="00532113" w:rsidRDefault="000E38BD" w:rsidP="00B410AD">
            <w:pPr>
              <w:pStyle w:val="ARtabletextright"/>
            </w:pPr>
            <w:r w:rsidRPr="00532113">
              <w:t>53%</w:t>
            </w:r>
          </w:p>
        </w:tc>
      </w:tr>
    </w:tbl>
    <w:p w14:paraId="196B6562" w14:textId="77777777" w:rsidR="000E38BD" w:rsidRPr="00737B06" w:rsidRDefault="000E38BD" w:rsidP="00737B06">
      <w:pPr>
        <w:pStyle w:val="ARbody"/>
        <w:sectPr w:rsidR="000E38BD" w:rsidRPr="00737B06" w:rsidSect="002B5363">
          <w:footnotePr>
            <w:numFmt w:val="lowerRoman"/>
            <w:numRestart w:val="eachPage"/>
          </w:footnotePr>
          <w:endnotePr>
            <w:numFmt w:val="decimal"/>
          </w:endnotePr>
          <w:type w:val="continuous"/>
          <w:pgSz w:w="11900" w:h="16840" w:code="9"/>
          <w:pgMar w:top="1701" w:right="1134" w:bottom="851" w:left="1134" w:header="510" w:footer="340" w:gutter="0"/>
          <w:cols w:space="454"/>
        </w:sectPr>
      </w:pPr>
    </w:p>
    <w:p w14:paraId="11CA9B2D" w14:textId="08AA0C1E" w:rsidR="002B5363" w:rsidRDefault="002B5363" w:rsidP="00737B06">
      <w:pPr>
        <w:pStyle w:val="ARbody"/>
      </w:pPr>
      <w:bookmarkStart w:id="94" w:name="_Toc173832699"/>
      <w:r>
        <w:br w:type="page"/>
      </w:r>
    </w:p>
    <w:p w14:paraId="481D1A25" w14:textId="5CF0827B" w:rsidR="000E38BD" w:rsidRDefault="000E38BD" w:rsidP="00A92400">
      <w:pPr>
        <w:pStyle w:val="Heading4"/>
        <w:spacing w:before="0"/>
      </w:pPr>
      <w:r w:rsidRPr="00532DAE">
        <w:t>Key initiatives and projects</w:t>
      </w:r>
      <w:bookmarkEnd w:id="94"/>
    </w:p>
    <w:p w14:paraId="1F80EA77" w14:textId="77777777" w:rsidR="000E38BD" w:rsidRPr="0066618F" w:rsidRDefault="000E38BD" w:rsidP="00207901">
      <w:pPr>
        <w:pStyle w:val="Heading5"/>
        <w:rPr>
          <w:rFonts w:eastAsia="MS Mincho"/>
        </w:rPr>
      </w:pPr>
      <w:bookmarkStart w:id="95" w:name="_Toc173832730"/>
      <w:bookmarkStart w:id="96" w:name="_Toc173832729"/>
      <w:r w:rsidRPr="0066618F">
        <w:rPr>
          <w:rFonts w:eastAsia="MS Mincho"/>
        </w:rPr>
        <w:t>Delivering the state disability plan to improve access and inclusion for Victorians with disability</w:t>
      </w:r>
      <w:bookmarkEnd w:id="95"/>
    </w:p>
    <w:p w14:paraId="3EBA5F74" w14:textId="77777777" w:rsidR="00C24BF2" w:rsidRDefault="000E38BD" w:rsidP="0088621E">
      <w:pPr>
        <w:pStyle w:val="ARbody"/>
        <w:spacing w:after="60"/>
      </w:pPr>
      <w:r w:rsidRPr="002B44AE">
        <w:t xml:space="preserve">The department is implementing </w:t>
      </w:r>
      <w:r w:rsidRPr="00F64CF1">
        <w:rPr>
          <w:rStyle w:val="Emphasis"/>
        </w:rPr>
        <w:t xml:space="preserve">Inclusive Victoria: state disability plan 2022–2026, </w:t>
      </w:r>
      <w:r w:rsidRPr="002B44AE">
        <w:t xml:space="preserve">released in March 2022. This whole-of-government plan outlines our commitment to building a more inclusive and accessible community. The plan </w:t>
      </w:r>
      <w:r>
        <w:t>outlines</w:t>
      </w:r>
      <w:r w:rsidRPr="002B44AE">
        <w:t xml:space="preserve"> an ambitious reform agenda that aims to transform the way government works. </w:t>
      </w:r>
    </w:p>
    <w:p w14:paraId="2FAF95B9" w14:textId="4B3363C2" w:rsidR="000E38BD" w:rsidRPr="002B44AE" w:rsidRDefault="000E38BD" w:rsidP="0088621E">
      <w:pPr>
        <w:pStyle w:val="ARbody"/>
        <w:spacing w:after="60"/>
      </w:pPr>
      <w:r w:rsidRPr="002B44AE">
        <w:t xml:space="preserve">It sets out </w:t>
      </w:r>
      <w:r>
        <w:t>6</w:t>
      </w:r>
      <w:r w:rsidR="00BC2EA2">
        <w:t> </w:t>
      </w:r>
      <w:r w:rsidRPr="002B44AE">
        <w:t>systemic</w:t>
      </w:r>
      <w:r w:rsidR="00B410AD">
        <w:t> </w:t>
      </w:r>
      <w:r w:rsidRPr="002B44AE">
        <w:t>reforms:</w:t>
      </w:r>
    </w:p>
    <w:p w14:paraId="7E0FA069" w14:textId="77777777" w:rsidR="000E38BD" w:rsidRPr="00B410AD" w:rsidRDefault="000E38BD" w:rsidP="00B410AD">
      <w:pPr>
        <w:pStyle w:val="ARbullet1"/>
      </w:pPr>
      <w:r w:rsidRPr="002B44AE">
        <w:t>co-</w:t>
      </w:r>
      <w:r w:rsidRPr="00B410AD">
        <w:t>design with people with disability</w:t>
      </w:r>
    </w:p>
    <w:p w14:paraId="3889E3EA" w14:textId="77777777" w:rsidR="000E38BD" w:rsidRPr="00B410AD" w:rsidRDefault="000E38BD" w:rsidP="00B410AD">
      <w:pPr>
        <w:pStyle w:val="ARbullet1"/>
      </w:pPr>
      <w:r w:rsidRPr="00B410AD">
        <w:t>Aboriginal self-determination</w:t>
      </w:r>
    </w:p>
    <w:p w14:paraId="1CF966F2" w14:textId="77777777" w:rsidR="000E38BD" w:rsidRPr="00B410AD" w:rsidRDefault="000E38BD" w:rsidP="00B410AD">
      <w:pPr>
        <w:pStyle w:val="ARbullet1"/>
      </w:pPr>
      <w:r w:rsidRPr="00B410AD">
        <w:t>intersectional approaches</w:t>
      </w:r>
    </w:p>
    <w:p w14:paraId="26EF0AB6" w14:textId="3D487747" w:rsidR="000E38BD" w:rsidRPr="00B410AD" w:rsidRDefault="000E38BD" w:rsidP="00B410AD">
      <w:pPr>
        <w:pStyle w:val="ARbullet1"/>
      </w:pPr>
      <w:r w:rsidRPr="00B410AD">
        <w:t>universal design and accessible</w:t>
      </w:r>
      <w:r w:rsidR="00A92400">
        <w:t> </w:t>
      </w:r>
      <w:r w:rsidRPr="00B410AD">
        <w:t>communications</w:t>
      </w:r>
    </w:p>
    <w:p w14:paraId="3B7AB5D2" w14:textId="124B9CC3" w:rsidR="000E38BD" w:rsidRPr="00B410AD" w:rsidRDefault="000E38BD" w:rsidP="00B410AD">
      <w:pPr>
        <w:pStyle w:val="ARbullet1"/>
      </w:pPr>
      <w:r w:rsidRPr="00B410AD">
        <w:t>disability</w:t>
      </w:r>
      <w:r w:rsidR="009D311D">
        <w:t>-</w:t>
      </w:r>
      <w:r w:rsidRPr="00B410AD">
        <w:t>confident and inclusive workforces</w:t>
      </w:r>
    </w:p>
    <w:p w14:paraId="6D9DFAA0" w14:textId="77777777" w:rsidR="000E38BD" w:rsidRPr="002B44AE" w:rsidRDefault="000E38BD" w:rsidP="00B410AD">
      <w:pPr>
        <w:pStyle w:val="ARbullet1"/>
      </w:pPr>
      <w:r w:rsidRPr="00B410AD">
        <w:t>effective</w:t>
      </w:r>
      <w:r w:rsidRPr="002B44AE">
        <w:t xml:space="preserve"> data and outcomes reporting.</w:t>
      </w:r>
    </w:p>
    <w:p w14:paraId="60A4B4F3" w14:textId="0F16E0B6" w:rsidR="000E38BD" w:rsidRPr="003B27CE" w:rsidRDefault="000E38BD" w:rsidP="00B410AD">
      <w:pPr>
        <w:pStyle w:val="ARbodyafterbullets"/>
      </w:pPr>
      <w:r w:rsidRPr="003B27CE">
        <w:t xml:space="preserve">In 2023–24, </w:t>
      </w:r>
      <w:r>
        <w:t xml:space="preserve">investments in initiatives under </w:t>
      </w:r>
      <w:r w:rsidRPr="003B27CE">
        <w:t>the</w:t>
      </w:r>
      <w:r w:rsidR="00236437">
        <w:t> </w:t>
      </w:r>
      <w:r w:rsidRPr="003B27CE">
        <w:t xml:space="preserve">state disability plan </w:t>
      </w:r>
      <w:r>
        <w:t>included</w:t>
      </w:r>
      <w:r w:rsidRPr="003B27CE">
        <w:t>:</w:t>
      </w:r>
    </w:p>
    <w:p w14:paraId="29BEAC9D" w14:textId="5804391D" w:rsidR="000E38BD" w:rsidRPr="00B410AD" w:rsidRDefault="000E38BD" w:rsidP="00B410AD">
      <w:pPr>
        <w:pStyle w:val="ARbullet1"/>
      </w:pPr>
      <w:r w:rsidRPr="003B27CE">
        <w:t xml:space="preserve">public </w:t>
      </w:r>
      <w:r w:rsidRPr="00B410AD">
        <w:t>autism assessments ($2.2 million over</w:t>
      </w:r>
      <w:r w:rsidR="00A92400">
        <w:t> </w:t>
      </w:r>
      <w:r w:rsidRPr="00B410AD">
        <w:t>2023</w:t>
      </w:r>
      <w:r w:rsidR="000F2EE3">
        <w:t>–</w:t>
      </w:r>
      <w:r w:rsidRPr="00B410AD">
        <w:t>24)</w:t>
      </w:r>
    </w:p>
    <w:p w14:paraId="12F0D0D0" w14:textId="69EC5230" w:rsidR="000E38BD" w:rsidRPr="00F61C99" w:rsidRDefault="000E38BD" w:rsidP="00B410AD">
      <w:pPr>
        <w:pStyle w:val="ARbullet1"/>
      </w:pPr>
      <w:r w:rsidRPr="00B410AD">
        <w:t>Disability Liaison Officers in health services to</w:t>
      </w:r>
      <w:r w:rsidR="005B39AF">
        <w:t> </w:t>
      </w:r>
      <w:r w:rsidRPr="00B410AD">
        <w:t>improve access to essential health services for people with disability</w:t>
      </w:r>
      <w:r>
        <w:t xml:space="preserve"> ($1.9 million </w:t>
      </w:r>
      <w:r w:rsidR="00B410AD">
        <w:br/>
      </w:r>
      <w:r>
        <w:t>over</w:t>
      </w:r>
      <w:r w:rsidR="00B410AD">
        <w:t> </w:t>
      </w:r>
      <w:r>
        <w:t>2023</w:t>
      </w:r>
      <w:r w:rsidR="006E2F2E">
        <w:t>–</w:t>
      </w:r>
      <w:r>
        <w:t>24)</w:t>
      </w:r>
      <w:r w:rsidRPr="003B27CE">
        <w:t>.</w:t>
      </w:r>
    </w:p>
    <w:p w14:paraId="3B8783DE" w14:textId="6820028F" w:rsidR="000E38BD" w:rsidRPr="002B44AE" w:rsidRDefault="000E38BD" w:rsidP="00B410AD">
      <w:pPr>
        <w:pStyle w:val="ARbodyafterbullets"/>
      </w:pPr>
      <w:r>
        <w:t>A report will be published in 2024</w:t>
      </w:r>
      <w:r w:rsidR="000F2EE3">
        <w:t>–</w:t>
      </w:r>
      <w:r>
        <w:t>25 that summarises the progress of implementation of the state disability plan and identifies additional actions for the final 2 years of the plan.</w:t>
      </w:r>
    </w:p>
    <w:p w14:paraId="58DAC05A" w14:textId="77777777" w:rsidR="000E38BD" w:rsidRPr="0066618F" w:rsidRDefault="000E38BD" w:rsidP="00A94B63">
      <w:pPr>
        <w:pStyle w:val="Heading5"/>
        <w:rPr>
          <w:rFonts w:eastAsia="MS Mincho"/>
        </w:rPr>
      </w:pPr>
      <w:bookmarkStart w:id="97" w:name="_Toc173832731"/>
      <w:r w:rsidRPr="0066618F">
        <w:rPr>
          <w:rFonts w:eastAsia="MS Mincho"/>
        </w:rPr>
        <w:t>Review of the Disability Act 2006</w:t>
      </w:r>
      <w:bookmarkEnd w:id="97"/>
    </w:p>
    <w:p w14:paraId="5B121B54" w14:textId="77777777" w:rsidR="000E38BD" w:rsidRPr="00D034FA" w:rsidRDefault="000E38BD" w:rsidP="004B1745">
      <w:pPr>
        <w:pStyle w:val="ARbody"/>
      </w:pPr>
      <w:r w:rsidRPr="00D034FA">
        <w:t xml:space="preserve">The department led implementation of the </w:t>
      </w:r>
      <w:r w:rsidRPr="00F64CF1">
        <w:rPr>
          <w:rStyle w:val="Emphasis"/>
        </w:rPr>
        <w:t>Disability and Social Services Regulation Amendment Act 2023</w:t>
      </w:r>
      <w:r w:rsidRPr="00233486">
        <w:rPr>
          <w:rStyle w:val="Emphasis"/>
          <w:i w:val="0"/>
          <w:iCs w:val="0"/>
        </w:rPr>
        <w:t xml:space="preserve"> (</w:t>
      </w:r>
      <w:r w:rsidRPr="006A45A4">
        <w:t>the Act)</w:t>
      </w:r>
      <w:r w:rsidRPr="00D034FA">
        <w:t xml:space="preserve">. The Act made changes to the </w:t>
      </w:r>
      <w:r w:rsidRPr="00F64CF1">
        <w:rPr>
          <w:rStyle w:val="Emphasis"/>
        </w:rPr>
        <w:t>Disability Act 2006</w:t>
      </w:r>
      <w:r w:rsidRPr="00233486">
        <w:rPr>
          <w:rStyle w:val="Emphasis"/>
          <w:i w:val="0"/>
          <w:iCs w:val="0"/>
        </w:rPr>
        <w:t>,</w:t>
      </w:r>
      <w:r w:rsidRPr="00233486">
        <w:rPr>
          <w:i/>
        </w:rPr>
        <w:t xml:space="preserve"> </w:t>
      </w:r>
      <w:r w:rsidRPr="00F64CF1">
        <w:rPr>
          <w:rStyle w:val="Emphasis"/>
        </w:rPr>
        <w:t xml:space="preserve">Residential Tenancies Act 1997 </w:t>
      </w:r>
      <w:r w:rsidRPr="00D034FA">
        <w:t xml:space="preserve">and </w:t>
      </w:r>
      <w:r w:rsidRPr="00F64CF1">
        <w:rPr>
          <w:rStyle w:val="Emphasis"/>
        </w:rPr>
        <w:t xml:space="preserve">Disability Service Safeguards Act 2018 </w:t>
      </w:r>
      <w:r w:rsidRPr="00D034FA">
        <w:t xml:space="preserve">to strengthen protections, safeguards and residential rights for people with disability in Victoria. The Act also made changes to the </w:t>
      </w:r>
      <w:r w:rsidRPr="00F64CF1">
        <w:rPr>
          <w:rStyle w:val="Emphasis"/>
        </w:rPr>
        <w:t>Social Services Regulation Act 2021.</w:t>
      </w:r>
    </w:p>
    <w:p w14:paraId="60AF4F2A" w14:textId="77777777" w:rsidR="000E38BD" w:rsidRPr="00D034FA" w:rsidRDefault="000E38BD" w:rsidP="004B1745">
      <w:pPr>
        <w:pStyle w:val="ARbody"/>
      </w:pPr>
      <w:r w:rsidRPr="00D034FA">
        <w:t xml:space="preserve">Implementation of the Act was supported by </w:t>
      </w:r>
      <w:r>
        <w:t xml:space="preserve">close </w:t>
      </w:r>
      <w:r w:rsidRPr="00E711E6">
        <w:t>engagement with public and disability sector stakeholders</w:t>
      </w:r>
      <w:r>
        <w:t xml:space="preserve">, </w:t>
      </w:r>
      <w:r w:rsidRPr="00D034FA">
        <w:t>factsheets, public communications</w:t>
      </w:r>
      <w:r>
        <w:t xml:space="preserve"> </w:t>
      </w:r>
      <w:r w:rsidRPr="00D034FA">
        <w:t>and workshops to support the sector to understand the changes.</w:t>
      </w:r>
    </w:p>
    <w:p w14:paraId="1121C142" w14:textId="77777777" w:rsidR="000E38BD" w:rsidRPr="0066618F" w:rsidRDefault="000E38BD" w:rsidP="00B410AD">
      <w:pPr>
        <w:pStyle w:val="Heading5"/>
        <w:rPr>
          <w:rFonts w:eastAsia="MS Mincho"/>
        </w:rPr>
      </w:pPr>
      <w:bookmarkStart w:id="98" w:name="_Toc173832732"/>
      <w:r w:rsidRPr="0066618F">
        <w:rPr>
          <w:rFonts w:eastAsia="MS Mincho"/>
        </w:rPr>
        <w:t xml:space="preserve">Supporting organisations through the Victorian Disability </w:t>
      </w:r>
      <w:r w:rsidRPr="00B410AD">
        <w:rPr>
          <w:rFonts w:eastAsia="MS Mincho"/>
        </w:rPr>
        <w:t>Advocacy</w:t>
      </w:r>
      <w:r w:rsidRPr="0066618F">
        <w:rPr>
          <w:rFonts w:eastAsia="MS Mincho"/>
        </w:rPr>
        <w:t xml:space="preserve"> Program</w:t>
      </w:r>
      <w:bookmarkEnd w:id="98"/>
    </w:p>
    <w:p w14:paraId="56FFAB29" w14:textId="79C9A08E" w:rsidR="000E38BD" w:rsidRPr="00B410AD" w:rsidRDefault="000E38BD" w:rsidP="00A94B63">
      <w:pPr>
        <w:pStyle w:val="ARbody"/>
      </w:pPr>
      <w:r w:rsidRPr="00CE1128">
        <w:t>Victoria</w:t>
      </w:r>
      <w:r w:rsidR="00711AE6">
        <w:t>’</w:t>
      </w:r>
      <w:r w:rsidRPr="00CE1128">
        <w:t>s disability advocacy organisations help</w:t>
      </w:r>
      <w:r w:rsidR="00D90552">
        <w:t xml:space="preserve"> </w:t>
      </w:r>
      <w:r w:rsidRPr="00A94B63">
        <w:t>create</w:t>
      </w:r>
      <w:r w:rsidRPr="00CE1128">
        <w:t xml:space="preserve"> a safer and fairer Victoria through individual, self and </w:t>
      </w:r>
      <w:r w:rsidRPr="00B410AD">
        <w:t>systemic advocacy.</w:t>
      </w:r>
    </w:p>
    <w:p w14:paraId="295627DA" w14:textId="6E206FEA" w:rsidR="000E38BD" w:rsidRPr="00CE1128" w:rsidRDefault="000E38BD" w:rsidP="00A94B63">
      <w:pPr>
        <w:pStyle w:val="ARbody"/>
      </w:pPr>
      <w:r w:rsidRPr="00B410AD">
        <w:t xml:space="preserve">The Victorian Disability Advocacy Program receives $3.6 million in core </w:t>
      </w:r>
      <w:r w:rsidRPr="00A94B63">
        <w:t>funding</w:t>
      </w:r>
      <w:r w:rsidRPr="00B410AD">
        <w:t xml:space="preserve"> each year. In 2023</w:t>
      </w:r>
      <w:r w:rsidR="000F2EE3">
        <w:t>–</w:t>
      </w:r>
      <w:r w:rsidRPr="00B410AD">
        <w:t>24 a further $1.8 million</w:t>
      </w:r>
      <w:r w:rsidRPr="00CE1128">
        <w:t xml:space="preserve"> in non-recurrent funding </w:t>
      </w:r>
      <w:r>
        <w:t xml:space="preserve">has been allocated </w:t>
      </w:r>
      <w:r w:rsidRPr="00CE1128">
        <w:t xml:space="preserve">for all program agencies </w:t>
      </w:r>
      <w:r>
        <w:t>in recognition for</w:t>
      </w:r>
      <w:r w:rsidRPr="00CE1128">
        <w:t xml:space="preserve"> the demand for disability advocacy</w:t>
      </w:r>
      <w:r w:rsidR="00B410AD">
        <w:t> </w:t>
      </w:r>
      <w:r w:rsidRPr="00CE1128">
        <w:t>support.</w:t>
      </w:r>
    </w:p>
    <w:p w14:paraId="69439582" w14:textId="49A1907F" w:rsidR="000E38BD" w:rsidRPr="00CE1128" w:rsidDel="00BD1EDD" w:rsidRDefault="000E38BD" w:rsidP="00A94B63">
      <w:pPr>
        <w:pStyle w:val="ARbody"/>
      </w:pPr>
      <w:r w:rsidRPr="00CE1128">
        <w:t>Th</w:t>
      </w:r>
      <w:r>
        <w:t>e</w:t>
      </w:r>
      <w:r w:rsidRPr="00CE1128">
        <w:t xml:space="preserve"> funding boost allowed organisations to assist an </w:t>
      </w:r>
      <w:r w:rsidRPr="00A94B63">
        <w:t>additional</w:t>
      </w:r>
      <w:r w:rsidRPr="00CE1128">
        <w:t xml:space="preserve"> </w:t>
      </w:r>
      <w:r w:rsidRPr="009072CB">
        <w:t>800</w:t>
      </w:r>
      <w:r w:rsidRPr="00CE1128">
        <w:t xml:space="preserve"> Victorians with disability in </w:t>
      </w:r>
      <w:r w:rsidR="002B5363">
        <w:br/>
      </w:r>
      <w:r w:rsidRPr="00CE1128">
        <w:t xml:space="preserve">2023–24. Organisations exceeded the annual target of assisting </w:t>
      </w:r>
      <w:r w:rsidRPr="009D7395">
        <w:t>2,</w:t>
      </w:r>
      <w:r w:rsidR="009D7395" w:rsidRPr="009D7395">
        <w:t>4</w:t>
      </w:r>
      <w:r w:rsidRPr="009D7395">
        <w:t>00</w:t>
      </w:r>
      <w:r w:rsidRPr="00CE1128">
        <w:t xml:space="preserve"> people by June 2023, with a total of </w:t>
      </w:r>
      <w:r w:rsidR="009D7395">
        <w:t>2,821</w:t>
      </w:r>
      <w:r w:rsidRPr="00CE1128">
        <w:t xml:space="preserve"> people assisted.</w:t>
      </w:r>
    </w:p>
    <w:p w14:paraId="60CB88B9" w14:textId="6A3D2A37" w:rsidR="000E38BD" w:rsidRPr="00B410AD" w:rsidDel="00BD1EDD" w:rsidRDefault="000E38BD" w:rsidP="00A94B63">
      <w:pPr>
        <w:pStyle w:val="Heading5"/>
        <w:rPr>
          <w:rFonts w:eastAsia="MS Mincho"/>
        </w:rPr>
      </w:pPr>
      <w:bookmarkStart w:id="99" w:name="_Toc173832733"/>
      <w:r w:rsidRPr="0066618F">
        <w:rPr>
          <w:rFonts w:eastAsia="MS Mincho"/>
        </w:rPr>
        <w:t>Royal Commission into Violence, Abuse,</w:t>
      </w:r>
      <w:r>
        <w:rPr>
          <w:rFonts w:eastAsia="MS Mincho"/>
        </w:rPr>
        <w:t xml:space="preserve"> </w:t>
      </w:r>
      <w:r w:rsidRPr="0066618F">
        <w:rPr>
          <w:rFonts w:eastAsia="MS Mincho"/>
        </w:rPr>
        <w:t>Neglect and Exploitation of</w:t>
      </w:r>
      <w:r>
        <w:rPr>
          <w:rFonts w:eastAsia="MS Mincho"/>
        </w:rPr>
        <w:t xml:space="preserve"> </w:t>
      </w:r>
      <w:r w:rsidRPr="0066618F">
        <w:rPr>
          <w:rFonts w:eastAsia="MS Mincho"/>
        </w:rPr>
        <w:t>People</w:t>
      </w:r>
      <w:r>
        <w:rPr>
          <w:rFonts w:eastAsia="MS Mincho"/>
        </w:rPr>
        <w:t xml:space="preserve"> </w:t>
      </w:r>
      <w:r w:rsidRPr="0066618F">
        <w:rPr>
          <w:rFonts w:eastAsia="MS Mincho"/>
        </w:rPr>
        <w:t>with</w:t>
      </w:r>
      <w:r w:rsidR="00B410AD">
        <w:rPr>
          <w:rFonts w:eastAsia="MS Mincho"/>
        </w:rPr>
        <w:t> </w:t>
      </w:r>
      <w:r w:rsidRPr="00A94B63">
        <w:rPr>
          <w:rFonts w:eastAsia="MS Mincho"/>
        </w:rPr>
        <w:t>Disability</w:t>
      </w:r>
      <w:bookmarkEnd w:id="99"/>
    </w:p>
    <w:p w14:paraId="011F8284" w14:textId="47215EDF" w:rsidR="00EE475E" w:rsidRDefault="000E38BD" w:rsidP="00A94B63">
      <w:pPr>
        <w:pStyle w:val="ARbody"/>
      </w:pPr>
      <w:r>
        <w:t xml:space="preserve">The </w:t>
      </w:r>
      <w:r w:rsidRPr="00B410AD">
        <w:t xml:space="preserve">Victorian Government published its response to the Royal Commission into Violence, Abuse, </w:t>
      </w:r>
      <w:r w:rsidRPr="00A94B63">
        <w:t>Neglect and Exploitation of People with Disability (Disability Royal Commission) on 31 July 2024. A</w:t>
      </w:r>
      <w:r w:rsidR="000F2EE3">
        <w:t> </w:t>
      </w:r>
      <w:r w:rsidRPr="00A94B63">
        <w:t>joint response to the 85 joint Commonwealth, state and territory recommendations was also published by the Commonwealth on the same date. Victoria</w:t>
      </w:r>
      <w:r w:rsidR="00711AE6">
        <w:t>’</w:t>
      </w:r>
      <w:r w:rsidRPr="00A94B63">
        <w:t xml:space="preserve">s response builds on the joint response. </w:t>
      </w:r>
    </w:p>
    <w:p w14:paraId="39EACBFF" w14:textId="26F43199" w:rsidR="000E38BD" w:rsidRPr="00A94B63" w:rsidDel="00FA47EC" w:rsidRDefault="000E38BD" w:rsidP="00A94B63">
      <w:pPr>
        <w:pStyle w:val="ARbody"/>
      </w:pPr>
      <w:r w:rsidRPr="00A94B63">
        <w:t>The department, as the lead department responsible for coordinating the Victorian Government response, worked collaboratively with</w:t>
      </w:r>
      <w:r w:rsidR="000F2EE3">
        <w:t> </w:t>
      </w:r>
      <w:r w:rsidRPr="00A94B63">
        <w:t>Victorian Government departments and other jurisdictions to develop positions and responses to</w:t>
      </w:r>
      <w:r w:rsidR="000F2EE3">
        <w:t> </w:t>
      </w:r>
      <w:r w:rsidRPr="00A94B63">
        <w:t>the 222 recommendations outlined in the final report. Implementation planning has commenced.</w:t>
      </w:r>
    </w:p>
    <w:p w14:paraId="1D8BF442" w14:textId="66417171" w:rsidR="00A47EB2" w:rsidRDefault="000E38BD" w:rsidP="00A47EB2">
      <w:pPr>
        <w:pStyle w:val="ARbody"/>
      </w:pPr>
      <w:r w:rsidRPr="00A94B63">
        <w:t>The Victorian Government is committed to transparent and robust reporting on the 130</w:t>
      </w:r>
      <w:r w:rsidR="00236437">
        <w:t> </w:t>
      </w:r>
      <w:r w:rsidRPr="00A94B63">
        <w:t>recommendations within its remit. This includes providing biannual reporting on the implementation of the recommendations</w:t>
      </w:r>
      <w:r w:rsidRPr="00B410AD">
        <w:t xml:space="preserve"> to the Disability Reform Ministerial Council, as the key mechanism for overseeing the implementation of the</w:t>
      </w:r>
      <w:r w:rsidR="00B410AD">
        <w:t> </w:t>
      </w:r>
      <w:r w:rsidRPr="00B410AD">
        <w:t xml:space="preserve">recommendations. </w:t>
      </w:r>
      <w:r w:rsidR="00A47EB2">
        <w:br w:type="page"/>
      </w:r>
    </w:p>
    <w:p w14:paraId="5807C432" w14:textId="77777777" w:rsidR="000E38BD" w:rsidRPr="0066618F" w:rsidRDefault="000E38BD" w:rsidP="00A94B63">
      <w:pPr>
        <w:pStyle w:val="Heading5"/>
        <w:rPr>
          <w:rFonts w:eastAsia="MS Mincho"/>
        </w:rPr>
      </w:pPr>
      <w:bookmarkStart w:id="100" w:name="_Toc173832734"/>
      <w:r w:rsidRPr="0066618F">
        <w:rPr>
          <w:rFonts w:eastAsia="MS Mincho"/>
        </w:rPr>
        <w:t xml:space="preserve">NDIS </w:t>
      </w:r>
      <w:r w:rsidRPr="00A94B63">
        <w:rPr>
          <w:rFonts w:eastAsia="MS Mincho"/>
        </w:rPr>
        <w:t>Review</w:t>
      </w:r>
      <w:r w:rsidRPr="0066618F">
        <w:rPr>
          <w:rFonts w:eastAsia="MS Mincho"/>
        </w:rPr>
        <w:t xml:space="preserve"> and Foundational Supports</w:t>
      </w:r>
      <w:bookmarkEnd w:id="100"/>
    </w:p>
    <w:p w14:paraId="3CFEA661" w14:textId="77A9F37C" w:rsidR="000E38BD" w:rsidRPr="00CE1128" w:rsidRDefault="000E38BD" w:rsidP="004B1745">
      <w:pPr>
        <w:pStyle w:val="ARbody"/>
      </w:pPr>
      <w:r w:rsidRPr="00CE1128">
        <w:t>The department is leading engagement with the Commonwealth and other states and territories to consider the findings</w:t>
      </w:r>
      <w:r w:rsidRPr="67B6BD96">
        <w:t xml:space="preserve"> and recommendations</w:t>
      </w:r>
      <w:r w:rsidRPr="00CE1128">
        <w:t xml:space="preserve"> of the Independent Review of the NDIS Review (NDIS Review)</w:t>
      </w:r>
      <w:r>
        <w:t xml:space="preserve">, </w:t>
      </w:r>
      <w:r w:rsidRPr="00213084">
        <w:t>recogni</w:t>
      </w:r>
      <w:r>
        <w:t>sing states and territories</w:t>
      </w:r>
      <w:r w:rsidR="00711AE6">
        <w:t>’</w:t>
      </w:r>
      <w:r>
        <w:t xml:space="preserve"> role as</w:t>
      </w:r>
      <w:r w:rsidR="00236437">
        <w:t> </w:t>
      </w:r>
      <w:r>
        <w:t>co-governors of the NDIS.</w:t>
      </w:r>
    </w:p>
    <w:p w14:paraId="1041A684" w14:textId="4DEECA6A" w:rsidR="000E38BD" w:rsidRDefault="000E38BD" w:rsidP="004B1745">
      <w:pPr>
        <w:pStyle w:val="ARbody"/>
      </w:pPr>
      <w:r w:rsidRPr="00CE1128">
        <w:t>At the June 2024 Disability Reform Ministerial Council meeting, Disability Ministers agreed to</w:t>
      </w:r>
      <w:r w:rsidR="00D90552">
        <w:t xml:space="preserve"> </w:t>
      </w:r>
      <w:r w:rsidRPr="00CE1128">
        <w:t>respon</w:t>
      </w:r>
      <w:r>
        <w:t>d</w:t>
      </w:r>
      <w:r w:rsidRPr="00CE1128">
        <w:t xml:space="preserve"> to the NDIS Review before the end of </w:t>
      </w:r>
      <w:r>
        <w:t>2024, which will be 12 months since the report</w:t>
      </w:r>
      <w:r w:rsidR="00711AE6">
        <w:t>’</w:t>
      </w:r>
      <w:r>
        <w:t>s</w:t>
      </w:r>
      <w:r w:rsidR="00B410AD">
        <w:t> </w:t>
      </w:r>
      <w:r>
        <w:t>release</w:t>
      </w:r>
      <w:r w:rsidRPr="00963EB5">
        <w:t>.</w:t>
      </w:r>
    </w:p>
    <w:p w14:paraId="419DD02C" w14:textId="5DFD627B" w:rsidR="000E38BD" w:rsidRPr="009A76D8" w:rsidRDefault="000E38BD" w:rsidP="004B1745">
      <w:pPr>
        <w:pStyle w:val="ARbody"/>
        <w:rPr>
          <w:bCs/>
        </w:rPr>
      </w:pPr>
      <w:r w:rsidRPr="009A76D8">
        <w:rPr>
          <w:bCs/>
        </w:rPr>
        <w:t>In December 2023, National Cabinet agreed to implement legislative changes to the NDIS and to jointly design and commission Foundational Supports outside of the scheme. Foundational Supports will provide supports for people with disability who do not have access to the NDIS</w:t>
      </w:r>
      <w:r w:rsidR="00E50135">
        <w:rPr>
          <w:bCs/>
        </w:rPr>
        <w:t xml:space="preserve">. They will also </w:t>
      </w:r>
      <w:r w:rsidRPr="009A76D8">
        <w:rPr>
          <w:bCs/>
        </w:rPr>
        <w:t>increase the sustainability of the NDIS. The</w:t>
      </w:r>
      <w:r w:rsidR="00236437">
        <w:rPr>
          <w:bCs/>
        </w:rPr>
        <w:t> </w:t>
      </w:r>
      <w:r w:rsidRPr="009A76D8">
        <w:rPr>
          <w:bCs/>
        </w:rPr>
        <w:t>department has been actively collaborating across Victorian government and with the Commonwealth Government and other states and</w:t>
      </w:r>
      <w:r w:rsidR="00236437">
        <w:rPr>
          <w:bCs/>
        </w:rPr>
        <w:t> </w:t>
      </w:r>
      <w:r w:rsidRPr="009A76D8">
        <w:rPr>
          <w:bCs/>
        </w:rPr>
        <w:t>territories to develop a Foundational Supports</w:t>
      </w:r>
      <w:r w:rsidR="00236437">
        <w:rPr>
          <w:bCs/>
        </w:rPr>
        <w:t> </w:t>
      </w:r>
      <w:r>
        <w:rPr>
          <w:bCs/>
        </w:rPr>
        <w:t>s</w:t>
      </w:r>
      <w:r w:rsidRPr="009A76D8">
        <w:rPr>
          <w:bCs/>
        </w:rPr>
        <w:t>trategy.</w:t>
      </w:r>
    </w:p>
    <w:p w14:paraId="5E4806FE" w14:textId="77777777" w:rsidR="000E38BD" w:rsidRPr="0066618F" w:rsidRDefault="000E38BD" w:rsidP="00207901">
      <w:pPr>
        <w:pStyle w:val="Heading5"/>
        <w:rPr>
          <w:rFonts w:eastAsia="MS Mincho"/>
        </w:rPr>
      </w:pPr>
      <w:r w:rsidRPr="0066618F">
        <w:rPr>
          <w:rFonts w:eastAsia="MS Mincho"/>
        </w:rPr>
        <w:t>Providing relief and social recovery programs after emergencies</w:t>
      </w:r>
      <w:bookmarkEnd w:id="96"/>
    </w:p>
    <w:p w14:paraId="0C412467" w14:textId="690B6389" w:rsidR="000E38BD" w:rsidRPr="00C77FFA" w:rsidRDefault="000E38BD" w:rsidP="00A94B63">
      <w:pPr>
        <w:pStyle w:val="ARbody"/>
      </w:pPr>
      <w:r w:rsidRPr="00C77FFA">
        <w:t>The department works to mitigate the impact of</w:t>
      </w:r>
      <w:r w:rsidR="00236437">
        <w:t> </w:t>
      </w:r>
      <w:r w:rsidRPr="00C77FFA">
        <w:t>emergencies on communities and individuals, especially Victorians who face greater risk in</w:t>
      </w:r>
      <w:r w:rsidR="00B410AD">
        <w:t> </w:t>
      </w:r>
      <w:r w:rsidRPr="00C77FFA">
        <w:t>emergencies.</w:t>
      </w:r>
    </w:p>
    <w:p w14:paraId="3A1E4D00" w14:textId="11BC9289" w:rsidR="000E38BD" w:rsidRPr="00C77FFA" w:rsidRDefault="000E38BD" w:rsidP="00A94B63">
      <w:pPr>
        <w:pStyle w:val="ARbody"/>
      </w:pPr>
      <w:r w:rsidRPr="00C77FFA">
        <w:t>Following the December 2023</w:t>
      </w:r>
      <w:r>
        <w:t xml:space="preserve"> to </w:t>
      </w:r>
      <w:r w:rsidRPr="00C77FFA">
        <w:t>January 2024 floods and storms, the department secured $200,000 to deliver psychosocial support to affected communities. This included producing a</w:t>
      </w:r>
      <w:r w:rsidR="00236437">
        <w:t> </w:t>
      </w:r>
      <w:r w:rsidRPr="00C77FFA">
        <w:t xml:space="preserve">podcast, </w:t>
      </w:r>
      <w:r w:rsidR="00711AE6">
        <w:t>‘</w:t>
      </w:r>
      <w:r w:rsidRPr="00C77FFA">
        <w:t xml:space="preserve">Road to </w:t>
      </w:r>
      <w:r>
        <w:t>r</w:t>
      </w:r>
      <w:r w:rsidRPr="00C77FFA">
        <w:t>esilience</w:t>
      </w:r>
      <w:r w:rsidR="00711AE6">
        <w:t>’</w:t>
      </w:r>
      <w:r w:rsidRPr="00C77FFA">
        <w:t>, with the department</w:t>
      </w:r>
      <w:r w:rsidR="00711AE6">
        <w:t>’</w:t>
      </w:r>
      <w:r w:rsidRPr="00C77FFA">
        <w:t>s Emergency Management Psychosocial Services Panel</w:t>
      </w:r>
      <w:r>
        <w:t>. The podcast examined</w:t>
      </w:r>
      <w:r w:rsidRPr="00C77FFA">
        <w:t xml:space="preserve"> ways to build resilience, informed by</w:t>
      </w:r>
      <w:r w:rsidR="00236437">
        <w:t> </w:t>
      </w:r>
      <w:r w:rsidRPr="00C77FFA">
        <w:t xml:space="preserve">lived experiences. </w:t>
      </w:r>
    </w:p>
    <w:p w14:paraId="377CBAB7" w14:textId="77777777" w:rsidR="000E38BD" w:rsidRPr="00C77FFA" w:rsidRDefault="000E38BD" w:rsidP="00A94B63">
      <w:pPr>
        <w:pStyle w:val="ARbody"/>
      </w:pPr>
      <w:r w:rsidRPr="00C77FFA">
        <w:t>Additionally, the Personal Hardship Assistance Program provided</w:t>
      </w:r>
      <w:r w:rsidRPr="00C77FFA" w:rsidDel="006322E7">
        <w:t xml:space="preserve"> payments </w:t>
      </w:r>
      <w:r w:rsidRPr="00C77FFA">
        <w:t>for immediate relief needs and re-establish uninsured homes following these major emergencies. As of 30 June 2024, the department had processed hardship payment applications totalling $2,645,433, including:</w:t>
      </w:r>
    </w:p>
    <w:p w14:paraId="4713BD6C" w14:textId="7FB0EF7B" w:rsidR="000E38BD" w:rsidRPr="00B02E14" w:rsidRDefault="000E38BD" w:rsidP="00A94B63">
      <w:pPr>
        <w:pStyle w:val="ARbullet1"/>
      </w:pPr>
      <w:r w:rsidRPr="00C77FFA">
        <w:rPr>
          <w:color w:val="000000" w:themeColor="text1"/>
          <w:szCs w:val="20"/>
        </w:rPr>
        <w:t>$</w:t>
      </w:r>
      <w:r w:rsidRPr="00B02E14">
        <w:t>554,</w:t>
      </w:r>
      <w:r w:rsidRPr="00A94B63">
        <w:t>140</w:t>
      </w:r>
      <w:r w:rsidRPr="00B02E14">
        <w:t xml:space="preserve"> </w:t>
      </w:r>
      <w:r w:rsidR="00DC6759" w:rsidRPr="00DC6759">
        <w:t>–</w:t>
      </w:r>
      <w:r w:rsidRPr="00B02E14">
        <w:t xml:space="preserve"> December 2023</w:t>
      </w:r>
      <w:r w:rsidR="00B04C06">
        <w:t xml:space="preserve"> </w:t>
      </w:r>
      <w:r w:rsidR="00D002D3">
        <w:t xml:space="preserve">to </w:t>
      </w:r>
      <w:r w:rsidRPr="00B02E14">
        <w:t>January 2024 floods and storms</w:t>
      </w:r>
    </w:p>
    <w:p w14:paraId="5B56A1E3" w14:textId="0352B730" w:rsidR="000E38BD" w:rsidRPr="00C77FFA" w:rsidRDefault="000E38BD" w:rsidP="00A94B63">
      <w:pPr>
        <w:pStyle w:val="ARbullet1"/>
      </w:pPr>
      <w:r w:rsidRPr="00B02E14">
        <w:t>$2,</w:t>
      </w:r>
      <w:r w:rsidRPr="00C77FFA">
        <w:t xml:space="preserve">091,293 </w:t>
      </w:r>
      <w:r w:rsidR="00DC6759" w:rsidRPr="00DC6759">
        <w:t>–</w:t>
      </w:r>
      <w:r w:rsidRPr="00C77FFA">
        <w:t xml:space="preserve"> February 2024 bushfires and</w:t>
      </w:r>
      <w:r w:rsidR="00B410AD">
        <w:t> </w:t>
      </w:r>
      <w:r w:rsidRPr="00C77FFA">
        <w:t>storms.</w:t>
      </w:r>
    </w:p>
    <w:p w14:paraId="258D7083" w14:textId="634FCE6F" w:rsidR="000E38BD" w:rsidRDefault="00A47EB2" w:rsidP="00E27A6E">
      <w:pPr>
        <w:pStyle w:val="ARbodyafterbullets"/>
        <w:spacing w:line="240" w:lineRule="atLeast"/>
        <w:rPr>
          <w:lang w:eastAsia="en-AU"/>
        </w:rPr>
      </w:pPr>
      <w:r>
        <w:rPr>
          <w:lang w:eastAsia="en-AU"/>
        </w:rPr>
        <w:br w:type="column"/>
      </w:r>
      <w:r w:rsidR="000E38BD">
        <w:rPr>
          <w:lang w:eastAsia="en-AU"/>
        </w:rPr>
        <w:t>ASDO teams have been on the ground assisting ACCOs to meet the needs of Aboriginal communities affected by extreme weather and storm damage in February 2024 and the floods in</w:t>
      </w:r>
      <w:r w:rsidR="00B410AD">
        <w:rPr>
          <w:lang w:eastAsia="en-AU"/>
        </w:rPr>
        <w:t> </w:t>
      </w:r>
      <w:r w:rsidR="000E38BD">
        <w:rPr>
          <w:lang w:eastAsia="en-AU"/>
        </w:rPr>
        <w:t>2022.</w:t>
      </w:r>
    </w:p>
    <w:p w14:paraId="3E220C69" w14:textId="41E02E68" w:rsidR="000E38BD" w:rsidRPr="001A2D20" w:rsidRDefault="000E38BD" w:rsidP="00E27A6E">
      <w:pPr>
        <w:pStyle w:val="ARbody"/>
        <w:spacing w:line="240" w:lineRule="atLeast"/>
        <w:rPr>
          <w:lang w:eastAsia="en-AU"/>
        </w:rPr>
      </w:pPr>
      <w:r w:rsidRPr="001A2D20">
        <w:rPr>
          <w:lang w:eastAsia="en-AU"/>
        </w:rPr>
        <w:t>The division has provided $1.7 million in emergency relief and recovery and disaster preparedness funding to ACCOs in the North and Eastern regions of Victoria. The division has also contributed to statewide policy and advice through the Aboriginal Cultural and Wellbeing group facilitated by Emergency Recovery Victoria.</w:t>
      </w:r>
    </w:p>
    <w:p w14:paraId="3B42E22D" w14:textId="67B38768" w:rsidR="000E38BD" w:rsidRPr="0066618F" w:rsidRDefault="000E38BD" w:rsidP="00207901">
      <w:pPr>
        <w:pStyle w:val="Heading5"/>
        <w:rPr>
          <w:rFonts w:eastAsia="MS Mincho"/>
        </w:rPr>
      </w:pPr>
      <w:bookmarkStart w:id="101" w:name="_Toc173832701"/>
      <w:r w:rsidRPr="0066618F">
        <w:rPr>
          <w:rFonts w:eastAsia="MS Mincho"/>
        </w:rPr>
        <w:t>Preventing family violence and all forms</w:t>
      </w:r>
      <w:r>
        <w:rPr>
          <w:rFonts w:eastAsia="MS Mincho"/>
        </w:rPr>
        <w:t xml:space="preserve"> </w:t>
      </w:r>
      <w:r w:rsidRPr="0066618F">
        <w:rPr>
          <w:rFonts w:eastAsia="MS Mincho"/>
        </w:rPr>
        <w:t>o</w:t>
      </w:r>
      <w:r>
        <w:rPr>
          <w:rFonts w:eastAsia="MS Mincho"/>
        </w:rPr>
        <w:t>f</w:t>
      </w:r>
      <w:r w:rsidR="00DC2236">
        <w:rPr>
          <w:rFonts w:eastAsia="MS Mincho"/>
        </w:rPr>
        <w:t> </w:t>
      </w:r>
      <w:r w:rsidRPr="0066618F">
        <w:rPr>
          <w:rFonts w:eastAsia="MS Mincho"/>
        </w:rPr>
        <w:t>violence against women</w:t>
      </w:r>
      <w:bookmarkEnd w:id="101"/>
    </w:p>
    <w:p w14:paraId="0FEB9D82" w14:textId="37693367" w:rsidR="000E38BD" w:rsidRPr="00696C38" w:rsidRDefault="000E38BD" w:rsidP="00E27A6E">
      <w:pPr>
        <w:pStyle w:val="ARbody"/>
        <w:spacing w:line="240" w:lineRule="atLeast"/>
      </w:pPr>
      <w:r w:rsidRPr="00696C38">
        <w:t>Victoria</w:t>
      </w:r>
      <w:r w:rsidR="00711AE6">
        <w:t>’</w:t>
      </w:r>
      <w:r w:rsidRPr="00696C38">
        <w:t xml:space="preserve">s approach to preventing family violence and violence against women is driven by the </w:t>
      </w:r>
      <w:r w:rsidR="00E837F9">
        <w:br/>
      </w:r>
      <w:r w:rsidRPr="00696C38">
        <w:t xml:space="preserve">10-year </w:t>
      </w:r>
      <w:r w:rsidRPr="00F64CF1">
        <w:rPr>
          <w:rStyle w:val="Emphasis"/>
        </w:rPr>
        <w:t xml:space="preserve">Free from </w:t>
      </w:r>
      <w:r w:rsidR="0012287A">
        <w:rPr>
          <w:rStyle w:val="Emphasis"/>
        </w:rPr>
        <w:t>v</w:t>
      </w:r>
      <w:r w:rsidR="0012287A" w:rsidRPr="00F64CF1">
        <w:rPr>
          <w:rStyle w:val="Emphasis"/>
        </w:rPr>
        <w:t xml:space="preserve">iolence </w:t>
      </w:r>
      <w:r w:rsidRPr="00696C38">
        <w:t xml:space="preserve">strategy. The department is on track in its delivery of the </w:t>
      </w:r>
      <w:r w:rsidRPr="00F64CF1">
        <w:rPr>
          <w:rStyle w:val="Emphasis"/>
        </w:rPr>
        <w:t>Free from violence: second action plan 2022–2025,</w:t>
      </w:r>
      <w:r w:rsidRPr="00696C38">
        <w:t xml:space="preserve"> which aims to strengthen and scale-</w:t>
      </w:r>
      <w:r w:rsidRPr="00ED5984">
        <w:t>up</w:t>
      </w:r>
      <w:r w:rsidRPr="00696C38">
        <w:t xml:space="preserve"> innovative, evidence-informed work to prevent family and sexual violence in Victoria.</w:t>
      </w:r>
    </w:p>
    <w:p w14:paraId="5D0650CD" w14:textId="2B6F903A" w:rsidR="000E38BD" w:rsidRDefault="000E38BD" w:rsidP="00E27A6E">
      <w:pPr>
        <w:pStyle w:val="ARbody"/>
        <w:spacing w:line="240" w:lineRule="atLeast"/>
      </w:pPr>
      <w:r w:rsidRPr="00696C38">
        <w:t>In 2023</w:t>
      </w:r>
      <w:r w:rsidR="00E837F9">
        <w:t>–</w:t>
      </w:r>
      <w:r w:rsidRPr="00696C38">
        <w:t>24, the department supported projects</w:t>
      </w:r>
      <w:r w:rsidR="00E837F9">
        <w:t> </w:t>
      </w:r>
      <w:r w:rsidRPr="00696C38">
        <w:t>that</w:t>
      </w:r>
      <w:r>
        <w:t>:</w:t>
      </w:r>
    </w:p>
    <w:p w14:paraId="5656BABD" w14:textId="77777777" w:rsidR="000E38BD" w:rsidRDefault="000E38BD" w:rsidP="00ED5984">
      <w:pPr>
        <w:pStyle w:val="ARbullet1"/>
      </w:pPr>
      <w:r>
        <w:t xml:space="preserve">engage </w:t>
      </w:r>
      <w:r w:rsidRPr="00696C38">
        <w:t xml:space="preserve">men and boys </w:t>
      </w:r>
      <w:r>
        <w:t>in preventing violence</w:t>
      </w:r>
    </w:p>
    <w:p w14:paraId="5846BE93" w14:textId="77777777" w:rsidR="000E38BD" w:rsidRDefault="000E38BD" w:rsidP="00ED5984">
      <w:pPr>
        <w:pStyle w:val="ARbullet1"/>
      </w:pPr>
      <w:r>
        <w:t xml:space="preserve">build understanding of affirmative consent among </w:t>
      </w:r>
      <w:r w:rsidRPr="00ED5984">
        <w:t>young</w:t>
      </w:r>
      <w:r>
        <w:t xml:space="preserve"> people</w:t>
      </w:r>
    </w:p>
    <w:p w14:paraId="2D09E60B" w14:textId="77777777" w:rsidR="000E38BD" w:rsidRPr="00696C38" w:rsidRDefault="000E38BD" w:rsidP="00ED5984">
      <w:pPr>
        <w:pStyle w:val="ARbullet1"/>
      </w:pPr>
      <w:r>
        <w:t xml:space="preserve">deliver tailored prevention activities in local, </w:t>
      </w:r>
      <w:r w:rsidRPr="00ED5984">
        <w:t>multicultural</w:t>
      </w:r>
      <w:r>
        <w:t xml:space="preserve"> and faith communities.</w:t>
      </w:r>
      <w:r w:rsidRPr="00696C38">
        <w:t xml:space="preserve"> </w:t>
      </w:r>
    </w:p>
    <w:p w14:paraId="6FCB0943" w14:textId="5A553E46" w:rsidR="000E38BD" w:rsidRPr="00696C38" w:rsidRDefault="000E38BD" w:rsidP="00ED5984">
      <w:pPr>
        <w:pStyle w:val="ARbodyafterbullets"/>
      </w:pPr>
      <w:r w:rsidRPr="00696C38">
        <w:t xml:space="preserve">The department is working across government and the sector to </w:t>
      </w:r>
      <w:r w:rsidRPr="00ED5984">
        <w:t>deliver</w:t>
      </w:r>
      <w:r w:rsidRPr="00696C38">
        <w:t xml:space="preserve"> coordinated prevention activity, with Respect Victoria as a key partner. Respect Victoria has delivered </w:t>
      </w:r>
      <w:r w:rsidR="00C41E2B">
        <w:t>statewide</w:t>
      </w:r>
      <w:r w:rsidRPr="00696C38">
        <w:t xml:space="preserve"> campaigns to build community awareness of the drivers and forms of </w:t>
      </w:r>
      <w:r>
        <w:t xml:space="preserve">violence against women and </w:t>
      </w:r>
      <w:r w:rsidRPr="00696C38">
        <w:t>family violence</w:t>
      </w:r>
      <w:r>
        <w:t>. It</w:t>
      </w:r>
      <w:r w:rsidR="00E27A6E">
        <w:t> </w:t>
      </w:r>
      <w:r>
        <w:t>also leads</w:t>
      </w:r>
      <w:r w:rsidRPr="00696C38">
        <w:t xml:space="preserve"> research and evaluation to</w:t>
      </w:r>
      <w:r w:rsidR="00236437">
        <w:t> </w:t>
      </w:r>
      <w:r w:rsidRPr="00696C38">
        <w:t xml:space="preserve">build the evidence of what works to prevent </w:t>
      </w:r>
      <w:r>
        <w:t>such</w:t>
      </w:r>
      <w:r w:rsidR="00B410AD">
        <w:t> </w:t>
      </w:r>
      <w:r w:rsidRPr="00696C38">
        <w:t>violence.</w:t>
      </w:r>
    </w:p>
    <w:p w14:paraId="5B2F444D" w14:textId="77777777" w:rsidR="000E38BD" w:rsidRPr="0066618F" w:rsidRDefault="000E38BD" w:rsidP="00207901">
      <w:pPr>
        <w:pStyle w:val="Heading5"/>
        <w:rPr>
          <w:rFonts w:eastAsia="MS Mincho"/>
        </w:rPr>
      </w:pPr>
      <w:bookmarkStart w:id="102" w:name="_Toc173832702"/>
      <w:r w:rsidRPr="0066618F">
        <w:rPr>
          <w:rFonts w:eastAsia="MS Mincho"/>
        </w:rPr>
        <w:t>Delivering the Neighbourhood House Coordination Program</w:t>
      </w:r>
      <w:bookmarkEnd w:id="102"/>
    </w:p>
    <w:p w14:paraId="3F5C2CA4" w14:textId="642D2AA6" w:rsidR="00ED5984" w:rsidRDefault="000E38BD" w:rsidP="00ED5984">
      <w:pPr>
        <w:pStyle w:val="ARbody"/>
      </w:pPr>
      <w:r w:rsidRPr="00B410AD">
        <w:t>In 2023</w:t>
      </w:r>
      <w:r w:rsidR="00E837F9">
        <w:t>–</w:t>
      </w:r>
      <w:r w:rsidRPr="00B410AD">
        <w:t>24, the department continued to deliver the</w:t>
      </w:r>
      <w:r w:rsidR="00E27A6E">
        <w:t> </w:t>
      </w:r>
      <w:r w:rsidRPr="00B410AD">
        <w:t xml:space="preserve">Neighbourhood </w:t>
      </w:r>
      <w:r w:rsidRPr="00ED5984">
        <w:t>House</w:t>
      </w:r>
      <w:r w:rsidRPr="00B410AD">
        <w:t xml:space="preserve"> Coordination Program. The program provides $43 million annually to around 400 neighbourhood houses, 16 networks and the peak body, Neighbourhood Houses</w:t>
      </w:r>
      <w:r w:rsidR="00E27A6E">
        <w:t> </w:t>
      </w:r>
      <w:r w:rsidRPr="00B410AD">
        <w:t>Victoria.</w:t>
      </w:r>
    </w:p>
    <w:p w14:paraId="4E297448" w14:textId="77777777" w:rsidR="000E38BD" w:rsidRDefault="000E38BD" w:rsidP="00ED5984">
      <w:pPr>
        <w:pStyle w:val="ARbody"/>
      </w:pPr>
      <w:r w:rsidRPr="00B410AD">
        <w:t>Neighbourhood Houses support social inclusion and community</w:t>
      </w:r>
      <w:r>
        <w:t xml:space="preserve"> connection. They </w:t>
      </w:r>
      <w:r w:rsidRPr="00ED5984">
        <w:t>are</w:t>
      </w:r>
      <w:r>
        <w:t xml:space="preserve"> led by communities and respond to local </w:t>
      </w:r>
      <w:r w:rsidRPr="001008CC">
        <w:t>needs</w:t>
      </w:r>
      <w:r>
        <w:t>, including by providing</w:t>
      </w:r>
      <w:r w:rsidRPr="001008CC">
        <w:t xml:space="preserve"> childcare, employment, education, social and volunteering opportunities.</w:t>
      </w:r>
    </w:p>
    <w:p w14:paraId="275ECCCB" w14:textId="60BE0249" w:rsidR="000E38BD" w:rsidRPr="00B410AD" w:rsidRDefault="000E38BD" w:rsidP="00B410AD">
      <w:pPr>
        <w:pStyle w:val="ARbody"/>
      </w:pPr>
      <w:r w:rsidRPr="00611C4A">
        <w:t xml:space="preserve">In 2023, </w:t>
      </w:r>
      <w:r>
        <w:t>N</w:t>
      </w:r>
      <w:r w:rsidRPr="00611C4A">
        <w:t xml:space="preserve">eighbourhood </w:t>
      </w:r>
      <w:r>
        <w:t>H</w:t>
      </w:r>
      <w:r w:rsidRPr="00611C4A">
        <w:t xml:space="preserve">ouses </w:t>
      </w:r>
      <w:r>
        <w:t>across Victoria</w:t>
      </w:r>
      <w:r w:rsidRPr="00611C4A">
        <w:t xml:space="preserve"> </w:t>
      </w:r>
      <w:r w:rsidRPr="00B410AD">
        <w:t>reported over 9 million visits and 426,000 activity sessions. These led to better health and wellbeing for Victorians.</w:t>
      </w:r>
    </w:p>
    <w:p w14:paraId="7AE34B07" w14:textId="4885609C" w:rsidR="000E38BD" w:rsidRDefault="000E38BD" w:rsidP="00B410AD">
      <w:pPr>
        <w:pStyle w:val="ARbody"/>
      </w:pPr>
      <w:r w:rsidRPr="00B410AD">
        <w:t>In 2023</w:t>
      </w:r>
      <w:r w:rsidR="00E837F9">
        <w:t>–</w:t>
      </w:r>
      <w:r w:rsidRPr="00B410AD">
        <w:t>24, the department committed a further $150,000 to Neighbourhood Houses Victoria for a</w:t>
      </w:r>
      <w:r w:rsidR="00DC2236">
        <w:t> </w:t>
      </w:r>
      <w:r w:rsidRPr="00B410AD">
        <w:t>Neighbourhood House participation survey. The</w:t>
      </w:r>
      <w:r w:rsidR="00DC2236">
        <w:t> </w:t>
      </w:r>
      <w:r w:rsidRPr="00B410AD">
        <w:t>survey will provide valuable insights on the</w:t>
      </w:r>
      <w:r w:rsidR="00DC2236">
        <w:t> </w:t>
      </w:r>
      <w:r w:rsidRPr="00B410AD">
        <w:t>ways Victorians benefit</w:t>
      </w:r>
      <w:r w:rsidRPr="00463DD4">
        <w:t xml:space="preserve"> from </w:t>
      </w:r>
      <w:r>
        <w:t>N</w:t>
      </w:r>
      <w:r w:rsidRPr="00463DD4">
        <w:t xml:space="preserve">eighbourhood </w:t>
      </w:r>
      <w:r>
        <w:t>H</w:t>
      </w:r>
      <w:r w:rsidRPr="00463DD4">
        <w:t>ouses</w:t>
      </w:r>
      <w:r>
        <w:t xml:space="preserve"> and </w:t>
      </w:r>
      <w:r w:rsidRPr="00A217F1">
        <w:t xml:space="preserve">inform </w:t>
      </w:r>
      <w:r>
        <w:t>ongoing sector engagement and priorities. The survey will be completed and results published on the Neighbourhood Houses Victoria website in mid-2025.</w:t>
      </w:r>
    </w:p>
    <w:p w14:paraId="7CC25016" w14:textId="77777777" w:rsidR="000E38BD" w:rsidRPr="0066618F" w:rsidRDefault="000E38BD" w:rsidP="00207901">
      <w:pPr>
        <w:pStyle w:val="Heading5"/>
        <w:rPr>
          <w:rFonts w:eastAsia="MS Mincho"/>
        </w:rPr>
      </w:pPr>
      <w:bookmarkStart w:id="103" w:name="_Toc173832703"/>
      <w:r w:rsidRPr="0066618F">
        <w:rPr>
          <w:rFonts w:eastAsia="MS Mincho"/>
        </w:rPr>
        <w:t>Delivering the Community Participation and Support initiative</w:t>
      </w:r>
      <w:bookmarkEnd w:id="103"/>
      <w:r w:rsidRPr="0066618F">
        <w:rPr>
          <w:rFonts w:eastAsia="MS Mincho"/>
        </w:rPr>
        <w:t xml:space="preserve"> </w:t>
      </w:r>
    </w:p>
    <w:p w14:paraId="458768A2" w14:textId="746A8BD9" w:rsidR="000E38BD" w:rsidRPr="00B410AD" w:rsidRDefault="000E38BD" w:rsidP="00B410AD">
      <w:pPr>
        <w:pStyle w:val="ARbody"/>
      </w:pPr>
      <w:r w:rsidRPr="00751E70">
        <w:t>In 2023</w:t>
      </w:r>
      <w:r w:rsidR="00E837F9">
        <w:t>–</w:t>
      </w:r>
      <w:r w:rsidRPr="00751E70">
        <w:t>24, the department delivered on the Victorian Government</w:t>
      </w:r>
      <w:r w:rsidR="00711AE6">
        <w:t>’</w:t>
      </w:r>
      <w:r w:rsidRPr="00751E70">
        <w:t xml:space="preserve">s </w:t>
      </w:r>
      <w:r>
        <w:t xml:space="preserve">2022 election commitments through the </w:t>
      </w:r>
      <w:r w:rsidRPr="00751E70">
        <w:t xml:space="preserve">Community Participation and Support </w:t>
      </w:r>
      <w:r w:rsidRPr="00B410AD">
        <w:t>initiative. In 2023</w:t>
      </w:r>
      <w:r w:rsidR="00E837F9">
        <w:t>–</w:t>
      </w:r>
      <w:r w:rsidRPr="00B410AD">
        <w:t>24, the department provided 54 community organisations a total of $6.245 million.</w:t>
      </w:r>
    </w:p>
    <w:p w14:paraId="76C5E671" w14:textId="36840229" w:rsidR="000E38BD" w:rsidRPr="00B410AD" w:rsidRDefault="000E38BD" w:rsidP="00B410AD">
      <w:pPr>
        <w:pStyle w:val="ARbody"/>
      </w:pPr>
      <w:r w:rsidRPr="00B410AD">
        <w:t>These commitments directly supported local community and volunteer-led organisations, helping</w:t>
      </w:r>
      <w:r w:rsidR="00DC2236">
        <w:t> </w:t>
      </w:r>
      <w:r w:rsidRPr="00B410AD">
        <w:t>address short</w:t>
      </w:r>
      <w:r w:rsidR="00D850C9">
        <w:t>-</w:t>
      </w:r>
      <w:r w:rsidRPr="00B410AD">
        <w:t>term needs following recent</w:t>
      </w:r>
      <w:r w:rsidR="00DC2236">
        <w:t> </w:t>
      </w:r>
      <w:r w:rsidRPr="00B410AD">
        <w:t xml:space="preserve">emergencies as well as higher living costs. </w:t>
      </w:r>
    </w:p>
    <w:p w14:paraId="212663DB" w14:textId="5E6BE21B" w:rsidR="005B39AF" w:rsidRDefault="000E38BD" w:rsidP="00B410AD">
      <w:pPr>
        <w:pStyle w:val="ARbody"/>
      </w:pPr>
      <w:r w:rsidRPr="00B410AD">
        <w:t>Funding supported the provision of food relief and the strengthening of volunteer networks and community participation. For example, the initiative provided $2.2 million to FareShare for kitchen facility upgrades and $350,000 was provided to Helping Hands for construction of a new food relief facility, contributing</w:t>
      </w:r>
      <w:r>
        <w:t xml:space="preserve"> to feeding more than 3,000 people every week.</w:t>
      </w:r>
    </w:p>
    <w:p w14:paraId="58D18420" w14:textId="77777777" w:rsidR="000E38BD" w:rsidRPr="0066618F" w:rsidRDefault="000E38BD" w:rsidP="00207901">
      <w:pPr>
        <w:pStyle w:val="Heading5"/>
        <w:rPr>
          <w:rFonts w:eastAsia="MS Mincho"/>
        </w:rPr>
      </w:pPr>
      <w:bookmarkStart w:id="104" w:name="_Toc173832704"/>
      <w:r w:rsidRPr="0066618F">
        <w:rPr>
          <w:rFonts w:eastAsia="MS Mincho"/>
        </w:rPr>
        <w:t>Delivering food relief to Victorians</w:t>
      </w:r>
      <w:bookmarkEnd w:id="104"/>
    </w:p>
    <w:p w14:paraId="78C6A8F9" w14:textId="0552C56B" w:rsidR="000E38BD" w:rsidRDefault="000E38BD" w:rsidP="00B410AD">
      <w:pPr>
        <w:pStyle w:val="ARbody"/>
      </w:pPr>
      <w:r>
        <w:t>In addition to food relief projects funded through the Community Participation and Support initiative, the department provided $1.3 million</w:t>
      </w:r>
      <w:r w:rsidRPr="00BF673D">
        <w:t xml:space="preserve"> </w:t>
      </w:r>
      <w:r>
        <w:t>in 2023</w:t>
      </w:r>
      <w:r w:rsidR="00E837F9">
        <w:t>–</w:t>
      </w:r>
      <w:r>
        <w:t xml:space="preserve">24 </w:t>
      </w:r>
      <w:r w:rsidRPr="00B410AD">
        <w:t xml:space="preserve">through the </w:t>
      </w:r>
      <w:r w:rsidR="00C41E2B">
        <w:t>government</w:t>
      </w:r>
      <w:r w:rsidR="00711AE6">
        <w:t>’</w:t>
      </w:r>
      <w:r w:rsidRPr="00B410AD">
        <w:t>s Community Support Fund to continue operational funding to 6 Regional Food Relief Hubs and shared services through the Regional Food Security Alliance, promoting efficiency across the regional food relief system.</w:t>
      </w:r>
    </w:p>
    <w:p w14:paraId="784D4121" w14:textId="536C567D" w:rsidR="000E38BD" w:rsidRDefault="000E38BD" w:rsidP="00B410AD">
      <w:pPr>
        <w:pStyle w:val="ARbody"/>
      </w:pPr>
      <w:r w:rsidRPr="00B410AD">
        <w:t>This is part of a suite of initiatives to address food insecurity, which also includes annual recurrent funding to</w:t>
      </w:r>
      <w:r>
        <w:t xml:space="preserve"> Foodbank Victoria of $3.3 million, and a further $10 million invested in the construction of Foodbank</w:t>
      </w:r>
      <w:r w:rsidR="00711AE6">
        <w:t>’</w:t>
      </w:r>
      <w:r>
        <w:t>s new Community Food Centres</w:t>
      </w:r>
      <w:r w:rsidRPr="00E6502D">
        <w:t xml:space="preserve"> in Morwell and Ballarat </w:t>
      </w:r>
      <w:r>
        <w:t>which opened in 2023</w:t>
      </w:r>
      <w:r w:rsidR="00E837F9">
        <w:t>–</w:t>
      </w:r>
      <w:r>
        <w:t xml:space="preserve">24. </w:t>
      </w:r>
    </w:p>
    <w:p w14:paraId="46C885C0" w14:textId="77777777" w:rsidR="000E38BD" w:rsidRPr="0066618F" w:rsidRDefault="000E38BD" w:rsidP="00207901">
      <w:pPr>
        <w:pStyle w:val="Heading5"/>
        <w:rPr>
          <w:rFonts w:eastAsia="MS Mincho"/>
        </w:rPr>
      </w:pPr>
      <w:bookmarkStart w:id="105" w:name="_Toc173832705"/>
      <w:r w:rsidRPr="0066618F">
        <w:rPr>
          <w:rFonts w:eastAsia="MS Mincho"/>
        </w:rPr>
        <w:t>Delivering the Good Money and No Interest Loans Scheme (NILS)</w:t>
      </w:r>
      <w:bookmarkEnd w:id="105"/>
    </w:p>
    <w:p w14:paraId="15BFECD8" w14:textId="060BE968" w:rsidR="000E38BD" w:rsidRPr="00B410AD" w:rsidRDefault="000E38BD" w:rsidP="00B410AD">
      <w:pPr>
        <w:pStyle w:val="ARbody"/>
      </w:pPr>
      <w:r>
        <w:t xml:space="preserve">The department continued to support the Good </w:t>
      </w:r>
      <w:r w:rsidRPr="00B410AD">
        <w:t>Money program in 2023</w:t>
      </w:r>
      <w:r w:rsidR="006E2F2E">
        <w:t>–</w:t>
      </w:r>
      <w:r w:rsidRPr="00B410AD">
        <w:t xml:space="preserve">24. The program provides Victorians facing financial stress with access to </w:t>
      </w:r>
      <w:r w:rsidR="00E837F9">
        <w:br/>
      </w:r>
      <w:r w:rsidRPr="00B410AD">
        <w:t>no-interest loans, budgeting advice and referrals to</w:t>
      </w:r>
      <w:r w:rsidR="00E837F9">
        <w:t> </w:t>
      </w:r>
      <w:r w:rsidRPr="00B410AD">
        <w:t xml:space="preserve">other supports. </w:t>
      </w:r>
    </w:p>
    <w:p w14:paraId="7EEDE8FD" w14:textId="7E3EDCB8" w:rsidR="000E38BD" w:rsidRPr="00B410AD" w:rsidRDefault="000E38BD" w:rsidP="00B410AD">
      <w:pPr>
        <w:pStyle w:val="ARbody"/>
      </w:pPr>
      <w:r w:rsidRPr="00B410AD">
        <w:t xml:space="preserve">Good Money is delivered by Good Shepherd Australia New Zealand, through </w:t>
      </w:r>
      <w:r w:rsidR="009D641C">
        <w:t>4</w:t>
      </w:r>
      <w:r w:rsidRPr="00B410AD">
        <w:t xml:space="preserve"> shop fronts in Dandenong, Collingwood, Morwell, and Geelong. Between July 2023 and June 2024, Good Money received 9,259 enquiries and approved 3,493 no interest loans. </w:t>
      </w:r>
    </w:p>
    <w:p w14:paraId="08103FE7" w14:textId="0BD7874D" w:rsidR="000E38BD" w:rsidRDefault="000E38BD" w:rsidP="00B410AD">
      <w:pPr>
        <w:pStyle w:val="ARbody"/>
      </w:pPr>
      <w:r w:rsidRPr="00B410AD">
        <w:t>Clients can use their loans to purchase essential goods and services and other health and education-related expenses. The 2021</w:t>
      </w:r>
      <w:r w:rsidR="00E837F9">
        <w:t>–</w:t>
      </w:r>
      <w:r w:rsidRPr="00B410AD">
        <w:t>22 State Budget allocated $14.55 million over 4 years, including $3.11 million to deliver phone and digital services. The pilot of the online application process for repeat</w:t>
      </w:r>
      <w:r>
        <w:t xml:space="preserve"> borrowers launched in December 2023.</w:t>
      </w:r>
    </w:p>
    <w:p w14:paraId="72703C7C" w14:textId="2DAACECC" w:rsidR="000E38BD" w:rsidRPr="00631745" w:rsidRDefault="000E38BD" w:rsidP="00B410AD">
      <w:pPr>
        <w:pStyle w:val="ARbody"/>
      </w:pPr>
      <w:r>
        <w:t>In 2023</w:t>
      </w:r>
      <w:r w:rsidR="00E837F9">
        <w:t>–</w:t>
      </w:r>
      <w:r>
        <w:t>24, the department provided an additional $500,</w:t>
      </w:r>
      <w:r w:rsidRPr="00B410AD">
        <w:t>000</w:t>
      </w:r>
      <w:r>
        <w:t xml:space="preserve"> to Good Shepherd to increase accessibility of the program across Victoria.</w:t>
      </w:r>
    </w:p>
    <w:p w14:paraId="56CD4A65" w14:textId="1644D600" w:rsidR="000E38BD" w:rsidRPr="0066618F" w:rsidRDefault="000E38BD" w:rsidP="00207901">
      <w:pPr>
        <w:pStyle w:val="Heading5"/>
        <w:rPr>
          <w:rFonts w:eastAsia="MS Mincho"/>
        </w:rPr>
      </w:pPr>
      <w:bookmarkStart w:id="106" w:name="_Toc173832706"/>
      <w:r w:rsidRPr="0066618F">
        <w:rPr>
          <w:rFonts w:eastAsia="MS Mincho"/>
        </w:rPr>
        <w:t>Delivering the 41st Victorian Seniors</w:t>
      </w:r>
      <w:r w:rsidR="00B410AD">
        <w:rPr>
          <w:rFonts w:eastAsia="MS Mincho"/>
        </w:rPr>
        <w:t> </w:t>
      </w:r>
      <w:r w:rsidRPr="0066618F">
        <w:rPr>
          <w:rFonts w:eastAsia="MS Mincho"/>
        </w:rPr>
        <w:t>Festival</w:t>
      </w:r>
      <w:bookmarkEnd w:id="106"/>
    </w:p>
    <w:p w14:paraId="1CABED85" w14:textId="27BD88FA" w:rsidR="00ED5984" w:rsidRDefault="000E38BD" w:rsidP="00B410AD">
      <w:pPr>
        <w:pStyle w:val="ARbody"/>
      </w:pPr>
      <w:r w:rsidRPr="007A00B3">
        <w:t>In 2023–24, the department hosted the 4</w:t>
      </w:r>
      <w:r>
        <w:t>1st</w:t>
      </w:r>
      <w:r w:rsidRPr="007A00B3">
        <w:t xml:space="preserve"> Victorian Seniors Festival. During October 2023, 128,286 people attended </w:t>
      </w:r>
      <w:r>
        <w:t>more than</w:t>
      </w:r>
      <w:r w:rsidRPr="007A00B3">
        <w:t xml:space="preserve"> 3,000 free or low</w:t>
      </w:r>
      <w:r w:rsidRPr="00B410AD">
        <w:t>-cost events across the state. Events were delivered by the department, community organisations and local councils across the state. Local councils offered or supported the delivery of 2,360 of these events, representing 78</w:t>
      </w:r>
      <w:r w:rsidR="00212403">
        <w:t>%</w:t>
      </w:r>
      <w:r w:rsidRPr="00B410AD">
        <w:t xml:space="preserve"> of all events offered, and attended by 87,476 people. The festival opened on Celebration Day at Federation Square and with more than 13,000 people attending. Seniors Card holders received </w:t>
      </w:r>
      <w:r w:rsidRPr="00E85173">
        <w:t>8</w:t>
      </w:r>
      <w:r w:rsidR="00D56ABA">
        <w:t> </w:t>
      </w:r>
      <w:r w:rsidRPr="00E85173">
        <w:t>days</w:t>
      </w:r>
      <w:r w:rsidRPr="00B410AD">
        <w:t xml:space="preserve"> of free public transport to encourage attendance at festival events.</w:t>
      </w:r>
    </w:p>
    <w:p w14:paraId="0AC3BF37" w14:textId="77777777" w:rsidR="000E38BD" w:rsidRPr="00B410AD" w:rsidRDefault="000E38BD" w:rsidP="00B410AD">
      <w:pPr>
        <w:pStyle w:val="ARbody"/>
      </w:pPr>
      <w:r w:rsidRPr="00B410AD">
        <w:t>As part of the 2023 festival, 5,874 people attended 21 Country Concerts across the state. The Victorian Seniors Festival Aged Care Tour continued to deliver magic, music, and entertainment to more than 1,300 senior Victorians living in 36 aged care facilities.</w:t>
      </w:r>
    </w:p>
    <w:p w14:paraId="128B67CA" w14:textId="05ECBA50" w:rsidR="000E38BD" w:rsidRDefault="000E38BD" w:rsidP="00B410AD">
      <w:pPr>
        <w:pStyle w:val="ARbody"/>
      </w:pPr>
      <w:r w:rsidRPr="00B410AD">
        <w:t>On 11 October 2023, the Victorian Senior of the Year Awards</w:t>
      </w:r>
      <w:r w:rsidRPr="002909AB">
        <w:t xml:space="preserve"> </w:t>
      </w:r>
      <w:r>
        <w:t>recognised 19 senior Victorians</w:t>
      </w:r>
      <w:r w:rsidRPr="002909AB">
        <w:t xml:space="preserve"> at Government House</w:t>
      </w:r>
      <w:r>
        <w:t xml:space="preserve">. The event was hosted by </w:t>
      </w:r>
      <w:r w:rsidRPr="002909AB">
        <w:t>Her Excellency Professor the Honourable Margaret Gardner AC</w:t>
      </w:r>
      <w:r>
        <w:t xml:space="preserve">, </w:t>
      </w:r>
      <w:r w:rsidRPr="002909AB">
        <w:t>Governor of Victoria</w:t>
      </w:r>
      <w:r>
        <w:t>.</w:t>
      </w:r>
      <w:r w:rsidR="00D90552">
        <w:t xml:space="preserve"> </w:t>
      </w:r>
    </w:p>
    <w:p w14:paraId="09197CD0" w14:textId="585C1AF8" w:rsidR="000E38BD" w:rsidRPr="007A00B3" w:rsidRDefault="000E38BD" w:rsidP="0088621E">
      <w:pPr>
        <w:pStyle w:val="ARbody"/>
      </w:pPr>
      <w:r>
        <w:t>On 17 June 2024, the department opened nominations for the 2024 Victorian Senior of the</w:t>
      </w:r>
      <w:r w:rsidR="00183D4A">
        <w:t> </w:t>
      </w:r>
      <w:r>
        <w:t>Year Awards. These awards recognise and celebrate Victorian seniors who contribute to their</w:t>
      </w:r>
      <w:r w:rsidR="00183D4A">
        <w:t> </w:t>
      </w:r>
      <w:r>
        <w:t>community through volunteering.</w:t>
      </w:r>
      <w:r w:rsidR="00D90552">
        <w:t xml:space="preserve"> </w:t>
      </w:r>
    </w:p>
    <w:p w14:paraId="31D5F588" w14:textId="1127C2DF" w:rsidR="000E38BD" w:rsidRPr="0066618F" w:rsidRDefault="000E38BD" w:rsidP="00207901">
      <w:pPr>
        <w:pStyle w:val="Heading5"/>
        <w:rPr>
          <w:rFonts w:eastAsia="MS Mincho"/>
        </w:rPr>
      </w:pPr>
      <w:bookmarkStart w:id="107" w:name="_Toc173832707"/>
      <w:r w:rsidRPr="0066618F">
        <w:rPr>
          <w:rFonts w:eastAsia="MS Mincho"/>
        </w:rPr>
        <w:t>Supporting carers through the</w:t>
      </w:r>
      <w:r>
        <w:rPr>
          <w:rFonts w:eastAsia="MS Mincho"/>
        </w:rPr>
        <w:t xml:space="preserve"> </w:t>
      </w:r>
      <w:r w:rsidRPr="0066618F">
        <w:rPr>
          <w:rFonts w:eastAsia="MS Mincho"/>
        </w:rPr>
        <w:t>Victorian carer strategy</w:t>
      </w:r>
      <w:bookmarkEnd w:id="107"/>
    </w:p>
    <w:p w14:paraId="78391E32" w14:textId="4CA68198" w:rsidR="000E38BD" w:rsidRPr="001467A7" w:rsidRDefault="000E38BD" w:rsidP="0088621E">
      <w:pPr>
        <w:pStyle w:val="ARbody"/>
      </w:pPr>
      <w:r>
        <w:t xml:space="preserve">In 2023–24, the department continued delivering against the priorities of the whole-of-government </w:t>
      </w:r>
      <w:r w:rsidRPr="00F64CF1">
        <w:rPr>
          <w:rStyle w:val="Emphasis"/>
        </w:rPr>
        <w:t>Victorian carer strategy 2018</w:t>
      </w:r>
      <w:r w:rsidR="00E837F9">
        <w:rPr>
          <w:rStyle w:val="Emphasis"/>
        </w:rPr>
        <w:t>–</w:t>
      </w:r>
      <w:r w:rsidRPr="00F64CF1">
        <w:rPr>
          <w:rStyle w:val="Emphasis"/>
        </w:rPr>
        <w:t xml:space="preserve">22, </w:t>
      </w:r>
      <w:r w:rsidRPr="00837B0B">
        <w:t>wh</w:t>
      </w:r>
      <w:r w:rsidRPr="097BFAC6">
        <w:t>ich was</w:t>
      </w:r>
      <w:r w:rsidRPr="00837B0B">
        <w:t xml:space="preserve"> </w:t>
      </w:r>
      <w:r w:rsidRPr="097BFAC6">
        <w:t xml:space="preserve">extended to </w:t>
      </w:r>
      <w:r w:rsidRPr="00837B0B">
        <w:t>2023. Work</w:t>
      </w:r>
      <w:r>
        <w:t xml:space="preserve"> is underway to refresh the strategy, informed by carers</w:t>
      </w:r>
      <w:r w:rsidR="00711AE6">
        <w:t>’</w:t>
      </w:r>
      <w:r>
        <w:t xml:space="preserve"> lived experience. </w:t>
      </w:r>
    </w:p>
    <w:p w14:paraId="4248626B" w14:textId="2AC67CB6" w:rsidR="000E38BD" w:rsidRDefault="000E38BD" w:rsidP="0088621E">
      <w:pPr>
        <w:pStyle w:val="ARbody"/>
      </w:pPr>
      <w:r w:rsidRPr="001467A7">
        <w:t xml:space="preserve">The </w:t>
      </w:r>
      <w:r>
        <w:t>department</w:t>
      </w:r>
      <w:r w:rsidRPr="001467A7">
        <w:t xml:space="preserve"> provides Carers Victoria</w:t>
      </w:r>
      <w:r>
        <w:t>, the</w:t>
      </w:r>
      <w:r w:rsidRPr="001467A7">
        <w:t xml:space="preserve"> peak body </w:t>
      </w:r>
      <w:r>
        <w:t>for carers, with</w:t>
      </w:r>
      <w:r w:rsidRPr="001467A7">
        <w:t xml:space="preserve"> funding of $2.5 million annually. This supports carers across the state to access information, advocacy and help with navigating services, based on their individual needs. Carers Victoria also provides advice to government </w:t>
      </w:r>
      <w:r>
        <w:t>on</w:t>
      </w:r>
      <w:r w:rsidRPr="001467A7">
        <w:t xml:space="preserve"> matters of importance for Victoria</w:t>
      </w:r>
      <w:r w:rsidR="00711AE6">
        <w:t>’</w:t>
      </w:r>
      <w:r w:rsidRPr="001467A7">
        <w:t>s</w:t>
      </w:r>
      <w:r w:rsidR="00B410AD">
        <w:t> </w:t>
      </w:r>
      <w:r w:rsidRPr="001467A7">
        <w:t>carers.</w:t>
      </w:r>
    </w:p>
    <w:p w14:paraId="6DF47F41" w14:textId="0DFC279F" w:rsidR="005B39AF" w:rsidRDefault="000E38BD" w:rsidP="0088621E">
      <w:pPr>
        <w:pStyle w:val="ARbody"/>
      </w:pPr>
      <w:r>
        <w:t>The department funded Carers Victoria to deliver the Connecting Carers in their Community grants program. This 12-month program delivered $900,000 in grants for projects supporting carers in</w:t>
      </w:r>
      <w:r w:rsidR="006B428F">
        <w:t> </w:t>
      </w:r>
      <w:r>
        <w:t>their local communities. Twenty-five organisations received grants of up to $40,000, with</w:t>
      </w:r>
      <w:r w:rsidR="006B428F">
        <w:t> </w:t>
      </w:r>
      <w:r>
        <w:t>projects supporting carers from diverse backgrounds, First</w:t>
      </w:r>
      <w:r w:rsidR="006B428F">
        <w:t> </w:t>
      </w:r>
      <w:r>
        <w:t>Nations communities and those</w:t>
      </w:r>
      <w:r w:rsidR="006B428F">
        <w:t> </w:t>
      </w:r>
      <w:r>
        <w:t>living in flood</w:t>
      </w:r>
      <w:r w:rsidR="006B428F">
        <w:t> </w:t>
      </w:r>
      <w:r>
        <w:t>affected regions.</w:t>
      </w:r>
      <w:r w:rsidR="00D90552">
        <w:t xml:space="preserve"> </w:t>
      </w:r>
    </w:p>
    <w:p w14:paraId="57C2DF64" w14:textId="77777777" w:rsidR="000E38BD" w:rsidRPr="0066618F" w:rsidRDefault="000E38BD" w:rsidP="00207901">
      <w:pPr>
        <w:pStyle w:val="Heading5"/>
        <w:rPr>
          <w:rFonts w:eastAsia="MS Mincho"/>
        </w:rPr>
      </w:pPr>
      <w:bookmarkStart w:id="108" w:name="_Toc173832708"/>
      <w:r w:rsidRPr="0066618F">
        <w:rPr>
          <w:rFonts w:eastAsia="MS Mincho"/>
        </w:rPr>
        <w:t>Delivering support and respite for carers</w:t>
      </w:r>
      <w:bookmarkEnd w:id="108"/>
      <w:r w:rsidRPr="0066618F">
        <w:rPr>
          <w:rFonts w:eastAsia="MS Mincho"/>
        </w:rPr>
        <w:t xml:space="preserve"> </w:t>
      </w:r>
    </w:p>
    <w:p w14:paraId="6A00E60D" w14:textId="77777777" w:rsidR="000E38BD" w:rsidRPr="006668F1" w:rsidRDefault="000E38BD" w:rsidP="0088621E">
      <w:pPr>
        <w:pStyle w:val="ARbody"/>
      </w:pPr>
      <w:r w:rsidRPr="006668F1">
        <w:t xml:space="preserve">The department </w:t>
      </w:r>
      <w:r>
        <w:t>continued to administer</w:t>
      </w:r>
      <w:r w:rsidRPr="006668F1">
        <w:t xml:space="preserve"> the Victorian Support for Carers Program, </w:t>
      </w:r>
      <w:r>
        <w:t>with</w:t>
      </w:r>
      <w:r w:rsidRPr="006668F1">
        <w:t xml:space="preserve"> more than $22 million </w:t>
      </w:r>
      <w:r>
        <w:t>invested annually</w:t>
      </w:r>
      <w:r w:rsidRPr="006668F1">
        <w:t xml:space="preserve">. </w:t>
      </w:r>
    </w:p>
    <w:p w14:paraId="3F86820D" w14:textId="1D88C63F" w:rsidR="000E38BD" w:rsidRDefault="000E38BD" w:rsidP="0088621E">
      <w:pPr>
        <w:pStyle w:val="ARbody"/>
      </w:pPr>
      <w:r w:rsidRPr="006668F1">
        <w:t xml:space="preserve">The program </w:t>
      </w:r>
      <w:r>
        <w:t>operates</w:t>
      </w:r>
      <w:r w:rsidRPr="006668F1">
        <w:t xml:space="preserve"> through 63 providers across the state</w:t>
      </w:r>
      <w:r>
        <w:t>.</w:t>
      </w:r>
      <w:r w:rsidRPr="006668F1">
        <w:t xml:space="preserve"> It offers one-to-one support, counselling, support groups, information and respite options tailored to the needs of Victoria</w:t>
      </w:r>
      <w:r w:rsidR="00711AE6">
        <w:t>’</w:t>
      </w:r>
      <w:r w:rsidRPr="006668F1">
        <w:t xml:space="preserve">s unpaid </w:t>
      </w:r>
      <w:r w:rsidRPr="006668F1" w:rsidDel="00320C96">
        <w:t>carers</w:t>
      </w:r>
      <w:r w:rsidRPr="006668F1">
        <w:t xml:space="preserve">. Some 8,250 carers are supported annually through </w:t>
      </w:r>
      <w:r>
        <w:t>approximately</w:t>
      </w:r>
      <w:r w:rsidRPr="006668F1">
        <w:t xml:space="preserve"> 161,250 hours of support. </w:t>
      </w:r>
    </w:p>
    <w:p w14:paraId="2637F3D5" w14:textId="318841CF" w:rsidR="000E38BD" w:rsidRDefault="000E38BD" w:rsidP="0088621E">
      <w:pPr>
        <w:pStyle w:val="ARbody"/>
      </w:pPr>
      <w:r w:rsidRPr="00191D1F">
        <w:t xml:space="preserve">In the </w:t>
      </w:r>
      <w:r w:rsidRPr="002A00A8">
        <w:t>2022</w:t>
      </w:r>
      <w:r w:rsidR="00E837F9">
        <w:t>–</w:t>
      </w:r>
      <w:r w:rsidRPr="002A00A8">
        <w:t>23 State Budget</w:t>
      </w:r>
      <w:r w:rsidRPr="00191D1F">
        <w:t xml:space="preserve">, a further $38 million </w:t>
      </w:r>
      <w:r>
        <w:t xml:space="preserve">was invested </w:t>
      </w:r>
      <w:r w:rsidRPr="00191D1F">
        <w:t xml:space="preserve">over </w:t>
      </w:r>
      <w:r>
        <w:t>4</w:t>
      </w:r>
      <w:r w:rsidRPr="00191D1F">
        <w:t xml:space="preserve"> years to provide additional respite for carers. This</w:t>
      </w:r>
      <w:r w:rsidRPr="00191D1F" w:rsidDel="00FE4BC9">
        <w:t xml:space="preserve"> </w:t>
      </w:r>
      <w:r w:rsidRPr="00191D1F">
        <w:t>enables 5,000 more Victorian carers to access an additional 100,000 hours of respite each year</w:t>
      </w:r>
      <w:r>
        <w:t xml:space="preserve">, including </w:t>
      </w:r>
      <w:r w:rsidRPr="00191D1F">
        <w:t>carers in regional and rural Victoria and carers from diverse</w:t>
      </w:r>
      <w:r w:rsidR="00B410AD">
        <w:t> </w:t>
      </w:r>
      <w:r w:rsidRPr="00191D1F">
        <w:t>communities.</w:t>
      </w:r>
    </w:p>
    <w:p w14:paraId="4B91F451" w14:textId="07AF64AD" w:rsidR="000E38BD" w:rsidRDefault="00A47EB2" w:rsidP="0088621E">
      <w:pPr>
        <w:pStyle w:val="ARbody"/>
      </w:pPr>
      <w:r>
        <w:br w:type="column"/>
      </w:r>
      <w:r w:rsidR="000E38BD">
        <w:t>I</w:t>
      </w:r>
      <w:r w:rsidR="000E38BD" w:rsidRPr="00191D1F">
        <w:t>n 2023</w:t>
      </w:r>
      <w:r w:rsidR="00E837F9">
        <w:t>–</w:t>
      </w:r>
      <w:r w:rsidR="000E38BD" w:rsidRPr="00191D1F">
        <w:t>24</w:t>
      </w:r>
      <w:r w:rsidR="000E38BD">
        <w:t>,</w:t>
      </w:r>
      <w:r w:rsidR="000E38BD" w:rsidRPr="00191D1F">
        <w:t xml:space="preserve"> the combined Support for Carers Program and additional </w:t>
      </w:r>
      <w:r w:rsidR="000E38BD" w:rsidRPr="009E68A0">
        <w:t xml:space="preserve">respite funding exceeded targets, providing support to more than </w:t>
      </w:r>
      <w:r w:rsidR="00035367" w:rsidRPr="009E68A0">
        <w:t>2</w:t>
      </w:r>
      <w:r w:rsidR="000E38BD" w:rsidRPr="009E68A0">
        <w:t>0,000 carers through more than 2</w:t>
      </w:r>
      <w:r w:rsidR="009E68A0" w:rsidRPr="009E68A0">
        <w:t>85</w:t>
      </w:r>
      <w:r w:rsidR="000E38BD" w:rsidRPr="009E68A0">
        <w:t>,000 hours of carer respite and support, including through</w:t>
      </w:r>
      <w:r w:rsidR="000E38BD">
        <w:t xml:space="preserve"> flexible online engagement options</w:t>
      </w:r>
      <w:r w:rsidR="000E38BD" w:rsidRPr="00191D1F">
        <w:t>.</w:t>
      </w:r>
    </w:p>
    <w:p w14:paraId="39569B45" w14:textId="77777777" w:rsidR="000E38BD" w:rsidRPr="0066618F" w:rsidRDefault="000E38BD" w:rsidP="00207901">
      <w:pPr>
        <w:pStyle w:val="Heading5"/>
        <w:rPr>
          <w:rFonts w:eastAsia="MS Mincho"/>
        </w:rPr>
      </w:pPr>
      <w:bookmarkStart w:id="109" w:name="_Toc173832709"/>
      <w:r w:rsidRPr="0066618F">
        <w:rPr>
          <w:rFonts w:eastAsia="MS Mincho"/>
        </w:rPr>
        <w:t>Employment pathways support for carers</w:t>
      </w:r>
      <w:bookmarkEnd w:id="109"/>
    </w:p>
    <w:p w14:paraId="4A8F89B9" w14:textId="232A1D4E" w:rsidR="000E38BD" w:rsidRPr="001467A7" w:rsidRDefault="000E38BD" w:rsidP="0088621E">
      <w:pPr>
        <w:pStyle w:val="ARbody"/>
      </w:pPr>
      <w:r w:rsidRPr="006668F1">
        <w:t xml:space="preserve">The Career Pathways into Employment for Unpaid Carers initiative </w:t>
      </w:r>
      <w:r>
        <w:t>ran through until</w:t>
      </w:r>
      <w:r w:rsidRPr="006668F1">
        <w:t xml:space="preserve"> December 2023, delivering</w:t>
      </w:r>
      <w:r w:rsidRPr="006668F1" w:rsidDel="00FA0025">
        <w:t xml:space="preserve"> </w:t>
      </w:r>
      <w:r w:rsidRPr="006668F1">
        <w:t>tailored employment support and mentoring to more than 2,000 unpaid carers across Victoria. This helped</w:t>
      </w:r>
      <w:r w:rsidRPr="006668F1" w:rsidDel="0081234A">
        <w:t xml:space="preserve"> </w:t>
      </w:r>
      <w:r w:rsidRPr="006668F1">
        <w:t>build carers</w:t>
      </w:r>
      <w:r w:rsidR="00711AE6">
        <w:t>’</w:t>
      </w:r>
      <w:r w:rsidRPr="006668F1">
        <w:t xml:space="preserve"> confidence and work readiness, assisting </w:t>
      </w:r>
      <w:r>
        <w:t>more than</w:t>
      </w:r>
      <w:r w:rsidRPr="006668F1">
        <w:t xml:space="preserve"> 500 </w:t>
      </w:r>
      <w:r>
        <w:t xml:space="preserve">carers </w:t>
      </w:r>
      <w:r w:rsidRPr="006668F1">
        <w:t>to enter paid employment or vocational training.</w:t>
      </w:r>
      <w:r w:rsidR="00D90552">
        <w:t xml:space="preserve"> </w:t>
      </w:r>
    </w:p>
    <w:p w14:paraId="7FA34802" w14:textId="21B2F894" w:rsidR="000E38BD" w:rsidRPr="00237C51" w:rsidRDefault="000E38BD" w:rsidP="0088621E">
      <w:pPr>
        <w:pStyle w:val="ARbody"/>
      </w:pPr>
      <w:r>
        <w:t>T</w:t>
      </w:r>
      <w:r w:rsidRPr="001467A7">
        <w:t xml:space="preserve">he department is delivering </w:t>
      </w:r>
      <w:r>
        <w:t>2</w:t>
      </w:r>
      <w:r w:rsidRPr="001467A7">
        <w:t xml:space="preserve"> </w:t>
      </w:r>
      <w:r>
        <w:t xml:space="preserve">additional carer employment support </w:t>
      </w:r>
      <w:r w:rsidRPr="001467A7">
        <w:t xml:space="preserve">projects </w:t>
      </w:r>
      <w:r>
        <w:t>in partnership with care support provider Different Journeys. These</w:t>
      </w:r>
      <w:r w:rsidR="003710CC">
        <w:t> </w:t>
      </w:r>
      <w:r>
        <w:t>projects will help inform enhancements to</w:t>
      </w:r>
      <w:r w:rsidR="003710CC">
        <w:t> </w:t>
      </w:r>
      <w:r>
        <w:t>the department</w:t>
      </w:r>
      <w:r w:rsidR="00711AE6">
        <w:t>’</w:t>
      </w:r>
      <w:r>
        <w:t>s carer support programs, and</w:t>
      </w:r>
      <w:r w:rsidR="003710CC">
        <w:t> </w:t>
      </w:r>
      <w:r>
        <w:t>broader government employment support</w:t>
      </w:r>
      <w:r w:rsidR="003710CC">
        <w:t> </w:t>
      </w:r>
      <w:r>
        <w:t>initiatives.</w:t>
      </w:r>
    </w:p>
    <w:p w14:paraId="360E71B5" w14:textId="77777777" w:rsidR="000E38BD" w:rsidRPr="0066618F" w:rsidRDefault="000E38BD" w:rsidP="00207901">
      <w:pPr>
        <w:pStyle w:val="Heading5"/>
        <w:rPr>
          <w:rFonts w:eastAsia="MS Mincho"/>
        </w:rPr>
      </w:pPr>
      <w:bookmarkStart w:id="110" w:name="_Toc173832710"/>
      <w:r w:rsidRPr="0066618F">
        <w:rPr>
          <w:rFonts w:eastAsia="MS Mincho"/>
        </w:rPr>
        <w:t>Continuing elder abuse initiatives to address family violence for older Victorians</w:t>
      </w:r>
      <w:bookmarkEnd w:id="110"/>
    </w:p>
    <w:p w14:paraId="08FEC493" w14:textId="77777777" w:rsidR="00413A72" w:rsidRDefault="000E38BD" w:rsidP="0088621E">
      <w:pPr>
        <w:pStyle w:val="ARbody"/>
      </w:pPr>
      <w:r>
        <w:t>The department continued to deliver primary prevention, early intervention and response initiatives that address elder abuse.</w:t>
      </w:r>
    </w:p>
    <w:p w14:paraId="51404871" w14:textId="5803130D" w:rsidR="000E38BD" w:rsidRPr="001503CC" w:rsidRDefault="000E38BD" w:rsidP="0088621E">
      <w:pPr>
        <w:pStyle w:val="ARbody"/>
      </w:pPr>
      <w:r>
        <w:t>These initiatives included:</w:t>
      </w:r>
    </w:p>
    <w:p w14:paraId="2A27FB88" w14:textId="77777777" w:rsidR="000E38BD" w:rsidRPr="00B410AD" w:rsidRDefault="000E38BD" w:rsidP="00B410AD">
      <w:pPr>
        <w:pStyle w:val="ARbullet1"/>
      </w:pPr>
      <w:r>
        <w:t xml:space="preserve">supporting a statewide elder abuse helpline that </w:t>
      </w:r>
      <w:r w:rsidRPr="00B410AD">
        <w:t>includes information, advocacy, legal casework, education and referral</w:t>
      </w:r>
    </w:p>
    <w:p w14:paraId="5AE95A22" w14:textId="77777777" w:rsidR="000E38BD" w:rsidRPr="00B410AD" w:rsidRDefault="000E38BD" w:rsidP="00B410AD">
      <w:pPr>
        <w:pStyle w:val="ARbullet1"/>
      </w:pPr>
      <w:r w:rsidRPr="00B410AD">
        <w:t>Elder Abuse Prevention Networks delivering local action to stop abuse from occurring in the first place using a primary prevention approach</w:t>
      </w:r>
    </w:p>
    <w:p w14:paraId="4533C05D" w14:textId="445403C9" w:rsidR="000E38BD" w:rsidRPr="00B410AD" w:rsidRDefault="000E38BD" w:rsidP="00B410AD">
      <w:pPr>
        <w:pStyle w:val="ARbullet1"/>
      </w:pPr>
      <w:r w:rsidRPr="00B410AD">
        <w:t>a counselling and mediation service at select The Orange Door networks, providing therapeutic options for older people seeking</w:t>
      </w:r>
      <w:r w:rsidR="007C18CD">
        <w:t> </w:t>
      </w:r>
      <w:r w:rsidRPr="00B410AD">
        <w:t>assistance</w:t>
      </w:r>
    </w:p>
    <w:p w14:paraId="6D678CD8" w14:textId="77777777" w:rsidR="000E38BD" w:rsidRPr="00B410AD" w:rsidRDefault="000E38BD" w:rsidP="00B410AD">
      <w:pPr>
        <w:pStyle w:val="ARbullet1"/>
      </w:pPr>
      <w:r w:rsidRPr="00B410AD">
        <w:t>a targeted project with ethnic communities that raises awareness of elder abuse and available support services</w:t>
      </w:r>
    </w:p>
    <w:p w14:paraId="38932B3D" w14:textId="44797493" w:rsidR="000E38BD" w:rsidRPr="001503CC" w:rsidRDefault="000E38BD" w:rsidP="00B410AD">
      <w:pPr>
        <w:pStyle w:val="ARbullet1"/>
      </w:pPr>
      <w:r w:rsidRPr="00B410AD">
        <w:t>an Elder Abuse Learning Hub for professionals working with</w:t>
      </w:r>
      <w:r>
        <w:t xml:space="preserve"> older people to understand, identify and know how to respond to elder abuse, and a</w:t>
      </w:r>
      <w:r w:rsidR="007C18CD">
        <w:t> </w:t>
      </w:r>
      <w:r>
        <w:t>public awareness campaign and events.</w:t>
      </w:r>
    </w:p>
    <w:p w14:paraId="00EE84E0" w14:textId="77777777" w:rsidR="000E38BD" w:rsidRPr="001503CC" w:rsidRDefault="000E38BD" w:rsidP="00B410AD">
      <w:pPr>
        <w:pStyle w:val="ARbodyafterbullets"/>
      </w:pPr>
      <w:r>
        <w:t xml:space="preserve">These efforts </w:t>
      </w:r>
      <w:r w:rsidRPr="00B410AD">
        <w:t>also</w:t>
      </w:r>
      <w:r>
        <w:t xml:space="preserve"> ensured the department met its obligations under the </w:t>
      </w:r>
      <w:r w:rsidRPr="00F64CF1">
        <w:rPr>
          <w:rStyle w:val="Emphasis"/>
        </w:rPr>
        <w:t>National plan to respond to the abuse of older Australians 2019–2023.</w:t>
      </w:r>
    </w:p>
    <w:p w14:paraId="596C4450" w14:textId="77777777" w:rsidR="000E38BD" w:rsidRPr="0066618F" w:rsidRDefault="000E38BD" w:rsidP="00207901">
      <w:pPr>
        <w:pStyle w:val="Heading5"/>
        <w:rPr>
          <w:rFonts w:eastAsia="MS Mincho"/>
        </w:rPr>
      </w:pPr>
      <w:bookmarkStart w:id="111" w:name="_Toc173832711"/>
      <w:r w:rsidRPr="0066618F">
        <w:rPr>
          <w:rFonts w:eastAsia="MS Mincho"/>
        </w:rPr>
        <w:t>Delivering the gender equality strategy</w:t>
      </w:r>
      <w:r>
        <w:rPr>
          <w:rFonts w:eastAsia="MS Mincho"/>
        </w:rPr>
        <w:t xml:space="preserve"> </w:t>
      </w:r>
      <w:r w:rsidRPr="0066618F">
        <w:rPr>
          <w:rFonts w:eastAsia="MS Mincho"/>
        </w:rPr>
        <w:t>and action plan</w:t>
      </w:r>
      <w:bookmarkEnd w:id="111"/>
    </w:p>
    <w:p w14:paraId="2985A115" w14:textId="69F704EE" w:rsidR="000E38BD" w:rsidRDefault="000E38BD" w:rsidP="0088621E">
      <w:pPr>
        <w:pStyle w:val="ARbody"/>
      </w:pPr>
      <w:r w:rsidRPr="00404A7E">
        <w:t xml:space="preserve">The department released </w:t>
      </w:r>
      <w:r w:rsidRPr="00F64CF1">
        <w:rPr>
          <w:rStyle w:val="Emphasis"/>
        </w:rPr>
        <w:t>Our equal state: Victoria</w:t>
      </w:r>
      <w:r w:rsidR="00711AE6">
        <w:rPr>
          <w:rStyle w:val="Emphasis"/>
        </w:rPr>
        <w:t>’</w:t>
      </w:r>
      <w:r w:rsidRPr="00F64CF1">
        <w:rPr>
          <w:rStyle w:val="Emphasis"/>
        </w:rPr>
        <w:t xml:space="preserve">s gender equality strategy and action plan 2023–2027 </w:t>
      </w:r>
      <w:r w:rsidRPr="00404A7E">
        <w:t xml:space="preserve">in August 2023. The strategy includes </w:t>
      </w:r>
      <w:r>
        <w:t>110</w:t>
      </w:r>
      <w:r w:rsidRPr="00404A7E">
        <w:t xml:space="preserve"> whole-of-government and portfolio-specific actions </w:t>
      </w:r>
      <w:r>
        <w:t>to</w:t>
      </w:r>
      <w:r w:rsidRPr="00404A7E">
        <w:t xml:space="preserve"> embed a shared responsibility for gender equality across government. It will guide effort and</w:t>
      </w:r>
      <w:r w:rsidR="003710CC">
        <w:t> </w:t>
      </w:r>
      <w:r w:rsidRPr="00404A7E">
        <w:t xml:space="preserve">investment over </w:t>
      </w:r>
      <w:r>
        <w:t>4</w:t>
      </w:r>
      <w:r w:rsidRPr="00404A7E">
        <w:t xml:space="preserve"> years.</w:t>
      </w:r>
      <w:r w:rsidRPr="00A56349">
        <w:t xml:space="preserve"> </w:t>
      </w:r>
    </w:p>
    <w:p w14:paraId="068176C7" w14:textId="2200F9E1" w:rsidR="000E38BD" w:rsidRDefault="000E38BD" w:rsidP="0088621E">
      <w:pPr>
        <w:pStyle w:val="ARbody"/>
      </w:pPr>
      <w:r>
        <w:t xml:space="preserve">A </w:t>
      </w:r>
      <w:r w:rsidR="009A5C87">
        <w:t>r</w:t>
      </w:r>
      <w:r>
        <w:t xml:space="preserve">eference </w:t>
      </w:r>
      <w:r w:rsidR="009A5C87">
        <w:t xml:space="preserve">group </w:t>
      </w:r>
      <w:r w:rsidRPr="003B608F">
        <w:t xml:space="preserve">made up of members </w:t>
      </w:r>
      <w:r>
        <w:t xml:space="preserve">with </w:t>
      </w:r>
      <w:r w:rsidRPr="00E17388">
        <w:t>gender equality expertise</w:t>
      </w:r>
      <w:r>
        <w:t xml:space="preserve"> and a deep understanding of intersectionality will provide strategic advice on the implementation of </w:t>
      </w:r>
      <w:r w:rsidRPr="00F64CF1">
        <w:rPr>
          <w:rStyle w:val="Emphasis"/>
        </w:rPr>
        <w:t xml:space="preserve">Our equal state </w:t>
      </w:r>
      <w:r w:rsidRPr="00DA5416">
        <w:t>and emerging issues</w:t>
      </w:r>
      <w:r>
        <w:t xml:space="preserve">. The </w:t>
      </w:r>
      <w:r w:rsidR="009A5C87">
        <w:t>r</w:t>
      </w:r>
      <w:r>
        <w:t xml:space="preserve">eference </w:t>
      </w:r>
      <w:r w:rsidR="009A5C87">
        <w:t>g</w:t>
      </w:r>
      <w:r>
        <w:t>roup will</w:t>
      </w:r>
      <w:r w:rsidRPr="00DA5416">
        <w:t xml:space="preserve"> focus on opportunities to use policy, programs and services to progress gender equality across government</w:t>
      </w:r>
      <w:r>
        <w:t xml:space="preserve"> and the community.</w:t>
      </w:r>
    </w:p>
    <w:p w14:paraId="2FB66318" w14:textId="1A7F00CF" w:rsidR="000E38BD" w:rsidRPr="00404A7E" w:rsidRDefault="000E38BD" w:rsidP="0088621E">
      <w:pPr>
        <w:pStyle w:val="ARbody"/>
      </w:pPr>
      <w:r w:rsidRPr="00404A7E">
        <w:t xml:space="preserve">The strategy will fulfil the requirements of the </w:t>
      </w:r>
      <w:r w:rsidR="009A5C87">
        <w:t>gender equality action plan</w:t>
      </w:r>
      <w:r>
        <w:t>.</w:t>
      </w:r>
      <w:r w:rsidRPr="00404A7E">
        <w:t xml:space="preserve"> This will provide a legislative mechanism for government to elevate and prioritise gender equality across all portfolios, using the </w:t>
      </w:r>
      <w:r w:rsidRPr="00F64CF1">
        <w:rPr>
          <w:rStyle w:val="Emphasis"/>
        </w:rPr>
        <w:t xml:space="preserve">Gender Equality Act 2020 </w:t>
      </w:r>
      <w:r w:rsidRPr="00404A7E">
        <w:t>to make real and meaningful change.</w:t>
      </w:r>
    </w:p>
    <w:p w14:paraId="03046F68" w14:textId="3D5BDBB6" w:rsidR="00C25806" w:rsidRDefault="000E38BD" w:rsidP="0088621E">
      <w:pPr>
        <w:pStyle w:val="ARbody"/>
      </w:pPr>
      <w:r w:rsidRPr="00404A7E">
        <w:t>In the first year of the strategy, we took significant steps to lay the groundwork for a more equal</w:t>
      </w:r>
      <w:r w:rsidR="00B410AD">
        <w:t> </w:t>
      </w:r>
      <w:r w:rsidRPr="00404A7E">
        <w:t>Victoria.</w:t>
      </w:r>
    </w:p>
    <w:p w14:paraId="5C329A88" w14:textId="77777777" w:rsidR="000E38BD" w:rsidRPr="0066618F" w:rsidRDefault="000E38BD" w:rsidP="00207901">
      <w:pPr>
        <w:pStyle w:val="Heading5"/>
        <w:rPr>
          <w:rFonts w:eastAsia="MS Mincho"/>
        </w:rPr>
      </w:pPr>
      <w:bookmarkStart w:id="112" w:name="_Toc173832712"/>
      <w:r w:rsidRPr="0066618F">
        <w:rPr>
          <w:rFonts w:eastAsia="MS Mincho"/>
        </w:rPr>
        <w:t xml:space="preserve">Advancing gender equality by implementing the </w:t>
      </w:r>
      <w:r w:rsidRPr="00233486">
        <w:rPr>
          <w:rFonts w:eastAsia="MS Mincho"/>
          <w:i/>
          <w:iCs/>
        </w:rPr>
        <w:t>Gender Equality Act 2020</w:t>
      </w:r>
      <w:bookmarkEnd w:id="112"/>
    </w:p>
    <w:p w14:paraId="1C5F44A1" w14:textId="77777777" w:rsidR="000E38BD" w:rsidRPr="00404A7E" w:rsidRDefault="000E38BD" w:rsidP="0088621E">
      <w:pPr>
        <w:pStyle w:val="ARbody"/>
      </w:pPr>
      <w:r w:rsidRPr="00404A7E">
        <w:t xml:space="preserve">The </w:t>
      </w:r>
      <w:r w:rsidRPr="00F64CF1">
        <w:rPr>
          <w:rStyle w:val="Emphasis"/>
        </w:rPr>
        <w:t xml:space="preserve">Gender Equality Act 2020 </w:t>
      </w:r>
      <w:r w:rsidRPr="00404A7E">
        <w:t>sets a clear framework for action for Victorian public sector organisations, universities and local councils to play their part in improving gender equality.</w:t>
      </w:r>
    </w:p>
    <w:p w14:paraId="0DD88A37" w14:textId="154ED766" w:rsidR="000E38BD" w:rsidRPr="00404A7E" w:rsidRDefault="000E38BD" w:rsidP="0088621E">
      <w:pPr>
        <w:pStyle w:val="ARbody"/>
      </w:pPr>
      <w:r w:rsidRPr="00404A7E">
        <w:t>The first reporting cycle under the Act achieved 100</w:t>
      </w:r>
      <w:r>
        <w:t>%</w:t>
      </w:r>
      <w:r w:rsidRPr="00404A7E">
        <w:t xml:space="preserve"> submission and compliance from all required organisations. All gender equality action plans, and the results of workplace gender audits, are publicly available and searchable on the Commission for Gender Equality in the Public Sector</w:t>
      </w:r>
      <w:r w:rsidR="00711AE6">
        <w:t>’</w:t>
      </w:r>
      <w:r w:rsidRPr="00404A7E">
        <w:t>s Insights</w:t>
      </w:r>
      <w:r w:rsidR="00B410AD">
        <w:t> </w:t>
      </w:r>
      <w:r w:rsidRPr="00404A7E">
        <w:t>Portal.</w:t>
      </w:r>
    </w:p>
    <w:p w14:paraId="473B1C86" w14:textId="0CAA2180" w:rsidR="000E38BD" w:rsidRDefault="000E38BD" w:rsidP="0088621E">
      <w:pPr>
        <w:pStyle w:val="ARbody"/>
      </w:pPr>
      <w:r w:rsidRPr="00404A7E">
        <w:t>The</w:t>
      </w:r>
      <w:r w:rsidR="009A5C87">
        <w:t xml:space="preserve"> 2022–23</w:t>
      </w:r>
      <w:r w:rsidRPr="00404A7E">
        <w:t xml:space="preserve"> </w:t>
      </w:r>
      <w:r w:rsidRPr="00233486">
        <w:rPr>
          <w:rStyle w:val="Emphasis"/>
          <w:i w:val="0"/>
          <w:iCs w:val="0"/>
        </w:rPr>
        <w:t>State Budget</w:t>
      </w:r>
      <w:r w:rsidRPr="00F64CF1">
        <w:rPr>
          <w:rStyle w:val="Emphasis"/>
        </w:rPr>
        <w:t xml:space="preserve"> </w:t>
      </w:r>
      <w:r w:rsidRPr="00404A7E">
        <w:t xml:space="preserve">invested $5.1 million over </w:t>
      </w:r>
      <w:r>
        <w:t>3</w:t>
      </w:r>
      <w:r w:rsidRPr="00404A7E">
        <w:t xml:space="preserve"> years to implement the Gender Equality Act. This investment funded an upgrade to the reporting platform, as well as training, education and resources to conduct gender impact assessments across government.</w:t>
      </w:r>
    </w:p>
    <w:p w14:paraId="41C21187" w14:textId="75D3DCE0" w:rsidR="000E38BD" w:rsidRPr="00A47EB2" w:rsidRDefault="00A47EB2" w:rsidP="00A47EB2">
      <w:pPr>
        <w:pStyle w:val="Heading5"/>
        <w:rPr>
          <w:rFonts w:eastAsia="Times"/>
        </w:rPr>
      </w:pPr>
      <w:r>
        <w:br w:type="column"/>
      </w:r>
      <w:bookmarkStart w:id="113" w:name="_Toc173832713"/>
      <w:r w:rsidR="000E38BD" w:rsidRPr="0066618F">
        <w:rPr>
          <w:rFonts w:eastAsia="MS Mincho"/>
        </w:rPr>
        <w:t>Advancing women</w:t>
      </w:r>
      <w:r w:rsidR="00711AE6">
        <w:rPr>
          <w:rFonts w:eastAsia="MS Mincho"/>
        </w:rPr>
        <w:t>’</w:t>
      </w:r>
      <w:r w:rsidR="000E38BD" w:rsidRPr="0066618F">
        <w:rPr>
          <w:rFonts w:eastAsia="MS Mincho"/>
        </w:rPr>
        <w:t>s leadership and</w:t>
      </w:r>
      <w:r w:rsidR="00B410AD">
        <w:rPr>
          <w:rFonts w:eastAsia="MS Mincho"/>
        </w:rPr>
        <w:t> </w:t>
      </w:r>
      <w:r w:rsidR="000E38BD" w:rsidRPr="0066618F">
        <w:rPr>
          <w:rFonts w:eastAsia="MS Mincho"/>
        </w:rPr>
        <w:t>representation</w:t>
      </w:r>
      <w:bookmarkEnd w:id="113"/>
    </w:p>
    <w:p w14:paraId="4D274182" w14:textId="1E64C277" w:rsidR="000E38BD" w:rsidRPr="00404A7E" w:rsidRDefault="000E38BD" w:rsidP="0088621E">
      <w:pPr>
        <w:pStyle w:val="ARbody"/>
      </w:pPr>
      <w:r w:rsidRPr="00404A7E">
        <w:t>The department continued to fund programs to</w:t>
      </w:r>
      <w:r w:rsidR="003710CC">
        <w:t> </w:t>
      </w:r>
      <w:r w:rsidRPr="00404A7E">
        <w:t>increase leadership opportunities for Victorian women and reduce the barriers they often encounter in progressing into leadership roles in the workforce and community.</w:t>
      </w:r>
    </w:p>
    <w:p w14:paraId="7608ED6B" w14:textId="77777777" w:rsidR="000E38BD" w:rsidRDefault="000E38BD" w:rsidP="0088621E">
      <w:pPr>
        <w:pStyle w:val="ARbody"/>
      </w:pPr>
      <w:r>
        <w:t>The department</w:t>
      </w:r>
      <w:r w:rsidRPr="00404A7E">
        <w:t xml:space="preserve"> supported more than 300 women through programs including</w:t>
      </w:r>
      <w:r>
        <w:t>:</w:t>
      </w:r>
      <w:r w:rsidRPr="00404A7E">
        <w:t xml:space="preserve"> </w:t>
      </w:r>
    </w:p>
    <w:p w14:paraId="4F890FDD" w14:textId="77777777" w:rsidR="000E38BD" w:rsidRDefault="000E38BD" w:rsidP="0088621E">
      <w:pPr>
        <w:pStyle w:val="ARbullet1"/>
      </w:pPr>
      <w:r w:rsidRPr="00404A7E">
        <w:t xml:space="preserve">Women of Colour Executive Leadership </w:t>
      </w:r>
    </w:p>
    <w:p w14:paraId="58328400" w14:textId="5BCD721D" w:rsidR="000E38BD" w:rsidRDefault="000E38BD" w:rsidP="0088621E">
      <w:pPr>
        <w:pStyle w:val="ARbullet1"/>
      </w:pPr>
      <w:r w:rsidRPr="00404A7E">
        <w:t>ECHO First Nations Women</w:t>
      </w:r>
      <w:r w:rsidR="00711AE6">
        <w:t>’</w:t>
      </w:r>
      <w:r w:rsidRPr="00404A7E">
        <w:t xml:space="preserve">s Leadership </w:t>
      </w:r>
    </w:p>
    <w:p w14:paraId="24FED15D" w14:textId="739F9C5F" w:rsidR="000E38BD" w:rsidRDefault="000E38BD" w:rsidP="0088621E">
      <w:pPr>
        <w:pStyle w:val="ARbullet1"/>
      </w:pPr>
      <w:r w:rsidRPr="00404A7E">
        <w:t>Women</w:t>
      </w:r>
      <w:r w:rsidR="00711AE6">
        <w:t>’</w:t>
      </w:r>
      <w:r w:rsidRPr="00404A7E">
        <w:t xml:space="preserve">s Board Leadership </w:t>
      </w:r>
    </w:p>
    <w:p w14:paraId="5EB29CB3" w14:textId="77777777" w:rsidR="000E38BD" w:rsidRDefault="000E38BD" w:rsidP="0088621E">
      <w:pPr>
        <w:pStyle w:val="ARbullet1"/>
      </w:pPr>
      <w:r w:rsidRPr="00404A7E">
        <w:t>Joan Kirner Emerging Leaders</w:t>
      </w:r>
    </w:p>
    <w:p w14:paraId="0532568C" w14:textId="77777777" w:rsidR="000E38BD" w:rsidRPr="00404A7E" w:rsidRDefault="000E38BD" w:rsidP="0088621E">
      <w:pPr>
        <w:pStyle w:val="ARbullet1"/>
      </w:pPr>
      <w:r w:rsidRPr="00404A7E">
        <w:t>Executive Sponsor Mentoring.</w:t>
      </w:r>
    </w:p>
    <w:p w14:paraId="772EF254" w14:textId="6FB04D2B" w:rsidR="000E38BD" w:rsidRPr="00404A7E" w:rsidDel="00BD1EDD" w:rsidRDefault="000E38BD" w:rsidP="00B410AD">
      <w:pPr>
        <w:pStyle w:val="ARbodyafterbullets"/>
      </w:pPr>
      <w:r w:rsidRPr="00404A7E">
        <w:t>The department hosted the annual Victorian Honour Roll of Women, which saw the outstanding contributions of 22 Victorian women elevated and</w:t>
      </w:r>
      <w:r w:rsidR="0092762E">
        <w:t> </w:t>
      </w:r>
      <w:r w:rsidRPr="00404A7E">
        <w:t>celebrated.</w:t>
      </w:r>
    </w:p>
    <w:p w14:paraId="5F136691" w14:textId="00393467" w:rsidR="000E38BD" w:rsidRPr="00404A7E" w:rsidRDefault="000E38BD" w:rsidP="0088621E">
      <w:pPr>
        <w:pStyle w:val="ARbody"/>
      </w:pPr>
      <w:r w:rsidRPr="00404A7E">
        <w:t>We also launched a second round of the Victorian Women</w:t>
      </w:r>
      <w:r w:rsidR="00711AE6">
        <w:t>’</w:t>
      </w:r>
      <w:r w:rsidRPr="00404A7E">
        <w:t xml:space="preserve">s Public Art Program. The $1.2 million grant program will fund the development of </w:t>
      </w:r>
      <w:r>
        <w:t>6</w:t>
      </w:r>
      <w:r w:rsidRPr="00404A7E">
        <w:t xml:space="preserve"> new permanent public artworks to recognise the Victorian women who have shaped our state. The</w:t>
      </w:r>
      <w:r w:rsidR="003710CC">
        <w:t> </w:t>
      </w:r>
      <w:r w:rsidRPr="00404A7E">
        <w:t xml:space="preserve">new artworks will build on the success of the </w:t>
      </w:r>
      <w:r>
        <w:t>6</w:t>
      </w:r>
      <w:r w:rsidR="003710CC">
        <w:t> </w:t>
      </w:r>
      <w:r w:rsidRPr="00404A7E">
        <w:t>artworks launched in 2023 and continue to pay tribute to women who have made a lasting impact on Victoria</w:t>
      </w:r>
      <w:r w:rsidR="00711AE6">
        <w:t>’</w:t>
      </w:r>
      <w:r w:rsidRPr="00404A7E">
        <w:t>s culture, history and development.</w:t>
      </w:r>
    </w:p>
    <w:p w14:paraId="0652B1CE" w14:textId="561A6CDB" w:rsidR="000E38BD" w:rsidRPr="0066618F" w:rsidRDefault="000E38BD" w:rsidP="00207901">
      <w:pPr>
        <w:pStyle w:val="Heading5"/>
        <w:rPr>
          <w:rFonts w:eastAsia="MS Mincho"/>
        </w:rPr>
      </w:pPr>
      <w:bookmarkStart w:id="114" w:name="_Toc173832714"/>
      <w:r w:rsidRPr="0066618F">
        <w:rPr>
          <w:rFonts w:eastAsia="MS Mincho"/>
        </w:rPr>
        <w:t>Strengthening Victoria</w:t>
      </w:r>
      <w:r w:rsidR="00711AE6">
        <w:rPr>
          <w:rFonts w:eastAsia="MS Mincho"/>
        </w:rPr>
        <w:t>’</w:t>
      </w:r>
      <w:r w:rsidRPr="0066618F">
        <w:rPr>
          <w:rFonts w:eastAsia="MS Mincho"/>
        </w:rPr>
        <w:t>s economic recovery through women</w:t>
      </w:r>
      <w:r w:rsidR="00711AE6">
        <w:rPr>
          <w:rFonts w:eastAsia="MS Mincho"/>
        </w:rPr>
        <w:t>’</w:t>
      </w:r>
      <w:r w:rsidRPr="0066618F">
        <w:rPr>
          <w:rFonts w:eastAsia="MS Mincho"/>
        </w:rPr>
        <w:t>s participation</w:t>
      </w:r>
      <w:bookmarkEnd w:id="114"/>
    </w:p>
    <w:p w14:paraId="2D7BD93E" w14:textId="552F1C2A" w:rsidR="000E38BD" w:rsidRDefault="000E38BD" w:rsidP="0088621E">
      <w:pPr>
        <w:pStyle w:val="ARbody"/>
      </w:pPr>
      <w:r w:rsidRPr="00404A7E">
        <w:t xml:space="preserve">Through </w:t>
      </w:r>
      <w:r w:rsidR="00F95AC7">
        <w:t>2</w:t>
      </w:r>
      <w:r w:rsidRPr="00404A7E">
        <w:t xml:space="preserve"> years of funding allocated in the </w:t>
      </w:r>
      <w:r w:rsidRPr="00F64CF1">
        <w:rPr>
          <w:rStyle w:val="Emphasis"/>
        </w:rPr>
        <w:t>State Budget 2021–22,</w:t>
      </w:r>
      <w:r w:rsidRPr="00404A7E">
        <w:t xml:space="preserve"> </w:t>
      </w:r>
      <w:r>
        <w:t>the department enabled</w:t>
      </w:r>
      <w:r w:rsidRPr="00404A7E">
        <w:t xml:space="preserve"> community partners to support the economic security of marginalised women. Partners included</w:t>
      </w:r>
      <w:r>
        <w:t>:</w:t>
      </w:r>
      <w:r w:rsidRPr="00404A7E">
        <w:t xml:space="preserve"> </w:t>
      </w:r>
    </w:p>
    <w:p w14:paraId="0349FC37" w14:textId="77777777" w:rsidR="000E38BD" w:rsidRPr="00ED5984" w:rsidRDefault="000E38BD" w:rsidP="00ED5984">
      <w:pPr>
        <w:pStyle w:val="ARbullet1"/>
      </w:pPr>
      <w:r w:rsidRPr="00ED5984">
        <w:t>SisterWorks</w:t>
      </w:r>
    </w:p>
    <w:p w14:paraId="485D718B" w14:textId="77777777" w:rsidR="000E38BD" w:rsidRPr="00ED5984" w:rsidRDefault="000E38BD" w:rsidP="00ED5984">
      <w:pPr>
        <w:pStyle w:val="ARbullet1"/>
      </w:pPr>
      <w:r w:rsidRPr="00ED5984">
        <w:t>Ngarrimili</w:t>
      </w:r>
    </w:p>
    <w:p w14:paraId="43D9B7BE" w14:textId="77777777" w:rsidR="000E38BD" w:rsidRPr="00ED5984" w:rsidRDefault="000E38BD" w:rsidP="00ED5984">
      <w:pPr>
        <w:pStyle w:val="ARbullet1"/>
      </w:pPr>
      <w:r w:rsidRPr="00ED5984">
        <w:t>AfriAus iLEAC</w:t>
      </w:r>
    </w:p>
    <w:p w14:paraId="126AC121" w14:textId="77777777" w:rsidR="000E38BD" w:rsidRPr="00ED5984" w:rsidRDefault="000E38BD" w:rsidP="00ED5984">
      <w:pPr>
        <w:pStyle w:val="ARbullet1"/>
      </w:pPr>
      <w:r w:rsidRPr="00ED5984">
        <w:t>Fitted for Work</w:t>
      </w:r>
    </w:p>
    <w:p w14:paraId="247FBEF2" w14:textId="4ECEE8AC" w:rsidR="000E38BD" w:rsidRPr="00ED5984" w:rsidRDefault="000E38BD" w:rsidP="00ED5984">
      <w:pPr>
        <w:pStyle w:val="ARbullet1"/>
      </w:pPr>
      <w:r w:rsidRPr="00ED5984">
        <w:t>Women</w:t>
      </w:r>
      <w:r w:rsidR="00711AE6">
        <w:t>’</w:t>
      </w:r>
      <w:r w:rsidRPr="00ED5984">
        <w:t xml:space="preserve">s Information and Referral Exchange </w:t>
      </w:r>
    </w:p>
    <w:p w14:paraId="53CD06FB" w14:textId="77777777" w:rsidR="000E38BD" w:rsidRPr="00ED5984" w:rsidRDefault="000E38BD" w:rsidP="00ED5984">
      <w:pPr>
        <w:pStyle w:val="ARbullet1"/>
      </w:pPr>
      <w:r w:rsidRPr="00ED5984">
        <w:t xml:space="preserve">Migrant Women in Business </w:t>
      </w:r>
    </w:p>
    <w:p w14:paraId="7B91A671" w14:textId="77777777" w:rsidR="000E38BD" w:rsidRDefault="000E38BD" w:rsidP="00ED5984">
      <w:pPr>
        <w:pStyle w:val="ARbullet1"/>
      </w:pPr>
      <w:r w:rsidRPr="00ED5984">
        <w:t>Brotherhood</w:t>
      </w:r>
      <w:r w:rsidRPr="00404A7E">
        <w:t xml:space="preserve"> of St Laurence. </w:t>
      </w:r>
    </w:p>
    <w:p w14:paraId="1DAB4666" w14:textId="72C0E386" w:rsidR="00A47EB2" w:rsidRDefault="000E38BD" w:rsidP="00ED5984">
      <w:pPr>
        <w:pStyle w:val="ARbodyafterbullets"/>
      </w:pPr>
      <w:r w:rsidRPr="00ED5984">
        <w:t>Funding</w:t>
      </w:r>
      <w:r w:rsidRPr="00724E2C">
        <w:t xml:space="preserve"> for women</w:t>
      </w:r>
      <w:r w:rsidR="00711AE6">
        <w:t>’</w:t>
      </w:r>
      <w:r w:rsidRPr="00724E2C">
        <w:t>s economic security programs was boosted in 2022</w:t>
      </w:r>
      <w:r w:rsidR="00E837F9">
        <w:t>–</w:t>
      </w:r>
      <w:r w:rsidRPr="00724E2C">
        <w:t xml:space="preserve">23, bringing the total investment to $2.85 million. </w:t>
      </w:r>
      <w:r w:rsidR="00A47EB2">
        <w:br w:type="page"/>
      </w:r>
    </w:p>
    <w:p w14:paraId="4EB86895" w14:textId="2A21C11E" w:rsidR="000E38BD" w:rsidRDefault="000E38BD" w:rsidP="0088621E">
      <w:pPr>
        <w:pStyle w:val="ARbody"/>
        <w:rPr>
          <w:strike/>
        </w:rPr>
      </w:pPr>
      <w:r w:rsidRPr="0033131A">
        <w:t xml:space="preserve">This funding supported an innovative suite of </w:t>
      </w:r>
      <w:r>
        <w:t xml:space="preserve">tailored and community-led </w:t>
      </w:r>
      <w:r w:rsidRPr="0033131A">
        <w:t xml:space="preserve">programs </w:t>
      </w:r>
      <w:r>
        <w:t>with an</w:t>
      </w:r>
      <w:r w:rsidRPr="0033131A">
        <w:t xml:space="preserve"> approach to supporting economic equity for First Nations women, multicultural, migrant and refugee women, women over the age of 50 and women facing complex barriers to employment.</w:t>
      </w:r>
      <w:r>
        <w:t xml:space="preserve"> Together, funded programs supported more than 1,000</w:t>
      </w:r>
      <w:r w:rsidR="00B410AD">
        <w:t> </w:t>
      </w:r>
      <w:r>
        <w:t xml:space="preserve">women. </w:t>
      </w:r>
    </w:p>
    <w:p w14:paraId="1390F872" w14:textId="77777777" w:rsidR="000E38BD" w:rsidRPr="0066618F" w:rsidRDefault="000E38BD" w:rsidP="00207901">
      <w:pPr>
        <w:pStyle w:val="Heading5"/>
        <w:rPr>
          <w:rFonts w:eastAsia="MS Mincho"/>
        </w:rPr>
      </w:pPr>
      <w:bookmarkStart w:id="115" w:name="_Toc173832715"/>
      <w:r w:rsidRPr="0066618F">
        <w:rPr>
          <w:rFonts w:eastAsia="MS Mincho"/>
        </w:rPr>
        <w:t>Responding to the Inquiry into Economic</w:t>
      </w:r>
      <w:r>
        <w:rPr>
          <w:rFonts w:eastAsia="MS Mincho"/>
        </w:rPr>
        <w:t xml:space="preserve"> </w:t>
      </w:r>
      <w:r w:rsidRPr="0066618F">
        <w:rPr>
          <w:rFonts w:eastAsia="MS Mincho"/>
        </w:rPr>
        <w:t>Equity for Victorian Women</w:t>
      </w:r>
      <w:bookmarkEnd w:id="115"/>
    </w:p>
    <w:p w14:paraId="3B97D880" w14:textId="47D147ED" w:rsidR="000E38BD" w:rsidRDefault="000E38BD" w:rsidP="0088621E">
      <w:pPr>
        <w:pStyle w:val="ARbody"/>
      </w:pPr>
      <w:r>
        <w:t>The department has continued to deliver a $3</w:t>
      </w:r>
      <w:r w:rsidR="00AC77CC">
        <w:t> </w:t>
      </w:r>
      <w:r>
        <w:t>million investment to implement the recommendations of the Inquiry into Economic Equity for Victorian Women.</w:t>
      </w:r>
    </w:p>
    <w:p w14:paraId="4B596AFC" w14:textId="6CE59219" w:rsidR="000E38BD" w:rsidRDefault="000E38BD" w:rsidP="0088621E">
      <w:pPr>
        <w:pStyle w:val="ARbody"/>
      </w:pPr>
      <w:r>
        <w:t>In July 2021, the Victorian Government commissioned an independent inquiry to address longstanding systemic inequality and develop solutions to problems like unequal pay and workplace barriers to women</w:t>
      </w:r>
      <w:r w:rsidR="00711AE6">
        <w:t>’</w:t>
      </w:r>
      <w:r>
        <w:t xml:space="preserve">s success. In 2022, the Inquiry provided its final report to the Treasurer and Minister for Women, with 31 recommendations for government. </w:t>
      </w:r>
    </w:p>
    <w:p w14:paraId="406A2023" w14:textId="3E22C431" w:rsidR="00C25806" w:rsidRDefault="000E38BD" w:rsidP="0088621E">
      <w:pPr>
        <w:pStyle w:val="ARbody"/>
      </w:pPr>
      <w:r>
        <w:t>The report found that women are paid less, take on</w:t>
      </w:r>
      <w:r w:rsidR="00811374">
        <w:t> </w:t>
      </w:r>
      <w:r>
        <w:t>more unpaid care, are limited by harmful gender norms and stereotypes, and face higher rates of gendered violence at home, at work and in public. The Victorian Government welcomed the inquiry</w:t>
      </w:r>
      <w:r w:rsidR="00711AE6">
        <w:t>’</w:t>
      </w:r>
      <w:r>
        <w:t>s</w:t>
      </w:r>
      <w:r w:rsidR="00A47EB2">
        <w:t> </w:t>
      </w:r>
      <w:r>
        <w:t>final report, accepting 28 of the 31</w:t>
      </w:r>
      <w:r w:rsidR="00A47EB2">
        <w:t> </w:t>
      </w:r>
      <w:r>
        <w:t xml:space="preserve">recommendations, with the remaining </w:t>
      </w:r>
      <w:r w:rsidR="009D641C">
        <w:t>3</w:t>
      </w:r>
      <w:r w:rsidR="00A47EB2">
        <w:t> </w:t>
      </w:r>
      <w:r>
        <w:t>under</w:t>
      </w:r>
      <w:r w:rsidR="0092762E">
        <w:t> </w:t>
      </w:r>
      <w:r>
        <w:t>consideration.</w:t>
      </w:r>
    </w:p>
    <w:p w14:paraId="425FA958" w14:textId="1376FB52" w:rsidR="000E38BD" w:rsidRDefault="000E38BD" w:rsidP="0088621E">
      <w:pPr>
        <w:pStyle w:val="ARbody"/>
      </w:pPr>
      <w:r>
        <w:t>As part of its response to the inquiry</w:t>
      </w:r>
      <w:r w:rsidR="00711AE6">
        <w:t>’</w:t>
      </w:r>
      <w:r>
        <w:t>s findings, the</w:t>
      </w:r>
      <w:r w:rsidR="003710CC">
        <w:t> </w:t>
      </w:r>
      <w:r>
        <w:t xml:space="preserve">government committed to delivering targeted industry strategies for the fast-growing and historically male dominated manufacturing and energy sectors. The </w:t>
      </w:r>
      <w:r w:rsidRPr="00F64CF1">
        <w:rPr>
          <w:rStyle w:val="Emphasis"/>
        </w:rPr>
        <w:t xml:space="preserve">Women and </w:t>
      </w:r>
      <w:r w:rsidR="009A5C87">
        <w:rPr>
          <w:rStyle w:val="Emphasis"/>
        </w:rPr>
        <w:t>m</w:t>
      </w:r>
      <w:r w:rsidR="009A5C87" w:rsidRPr="00F64CF1">
        <w:rPr>
          <w:rStyle w:val="Emphasis"/>
        </w:rPr>
        <w:t xml:space="preserve">anufacturing </w:t>
      </w:r>
      <w:r w:rsidR="009A5C87">
        <w:rPr>
          <w:rStyle w:val="Emphasis"/>
        </w:rPr>
        <w:t>s</w:t>
      </w:r>
      <w:r w:rsidR="009A5C87" w:rsidRPr="00F64CF1">
        <w:rPr>
          <w:rStyle w:val="Emphasis"/>
        </w:rPr>
        <w:t xml:space="preserve">trategy </w:t>
      </w:r>
      <w:r>
        <w:t xml:space="preserve">is planned for release in late 2024, while the </w:t>
      </w:r>
      <w:r w:rsidRPr="00F64CF1">
        <w:rPr>
          <w:rStyle w:val="Emphasis"/>
        </w:rPr>
        <w:t xml:space="preserve">Women in </w:t>
      </w:r>
      <w:r w:rsidR="009A5C87">
        <w:rPr>
          <w:rStyle w:val="Emphasis"/>
        </w:rPr>
        <w:t>e</w:t>
      </w:r>
      <w:r w:rsidR="009A5C87" w:rsidRPr="00F64CF1">
        <w:rPr>
          <w:rStyle w:val="Emphasis"/>
        </w:rPr>
        <w:t xml:space="preserve">nergy </w:t>
      </w:r>
      <w:r w:rsidR="009A5C87">
        <w:rPr>
          <w:rStyle w:val="Emphasis"/>
        </w:rPr>
        <w:t>s</w:t>
      </w:r>
      <w:r w:rsidR="009A5C87" w:rsidRPr="00F64CF1">
        <w:rPr>
          <w:rStyle w:val="Emphasis"/>
        </w:rPr>
        <w:t xml:space="preserve">trategy </w:t>
      </w:r>
      <w:r>
        <w:t>has been handed over to the Department of Energy, Environment and</w:t>
      </w:r>
      <w:r w:rsidR="003710CC">
        <w:t> </w:t>
      </w:r>
      <w:r>
        <w:t xml:space="preserve">Climate Action to incorporate into the upcoming Victorian Energy Jobs Plan. </w:t>
      </w:r>
    </w:p>
    <w:p w14:paraId="6AF06B82" w14:textId="7F849600" w:rsidR="000E38BD" w:rsidRDefault="000E38BD" w:rsidP="0088621E">
      <w:pPr>
        <w:pStyle w:val="ARbody"/>
      </w:pPr>
      <w:r>
        <w:t>The g</w:t>
      </w:r>
      <w:r w:rsidRPr="00404A7E">
        <w:t>overnment</w:t>
      </w:r>
      <w:r w:rsidR="00711AE6">
        <w:t>’</w:t>
      </w:r>
      <w:r w:rsidRPr="00404A7E">
        <w:t>s</w:t>
      </w:r>
      <w:r>
        <w:t xml:space="preserve"> response to the inquir</w:t>
      </w:r>
      <w:r w:rsidR="00CE6F12">
        <w:t>y</w:t>
      </w:r>
      <w:r>
        <w:t xml:space="preserve"> also invested $400,000 over 2 years to support Women with Disabilities Victoria</w:t>
      </w:r>
      <w:r w:rsidR="00711AE6">
        <w:t>’</w:t>
      </w:r>
      <w:r>
        <w:t xml:space="preserve">s </w:t>
      </w:r>
      <w:r w:rsidRPr="00233486">
        <w:rPr>
          <w:rStyle w:val="Emphasis"/>
          <w:i w:val="0"/>
          <w:iCs w:val="0"/>
        </w:rPr>
        <w:t xml:space="preserve">Sharing </w:t>
      </w:r>
      <w:r w:rsidR="009A5C87">
        <w:rPr>
          <w:rStyle w:val="Emphasis"/>
          <w:i w:val="0"/>
          <w:iCs w:val="0"/>
        </w:rPr>
        <w:t>O</w:t>
      </w:r>
      <w:r w:rsidRPr="00233486">
        <w:rPr>
          <w:rStyle w:val="Emphasis"/>
          <w:i w:val="0"/>
          <w:iCs w:val="0"/>
        </w:rPr>
        <w:t>ur Expertise</w:t>
      </w:r>
      <w:r w:rsidRPr="00F64CF1">
        <w:rPr>
          <w:rStyle w:val="Emphasis"/>
        </w:rPr>
        <w:t xml:space="preserve"> </w:t>
      </w:r>
      <w:r>
        <w:t>project, which works with employers in the health, social and disability sectors to remove barriers for</w:t>
      </w:r>
      <w:r w:rsidR="003710CC">
        <w:t> </w:t>
      </w:r>
      <w:r>
        <w:t xml:space="preserve">women with disabilities to safe, secure and meaningful employment in their organisations. </w:t>
      </w:r>
    </w:p>
    <w:p w14:paraId="24595290" w14:textId="1C7B8ACB" w:rsidR="000E38BD" w:rsidRPr="0066618F" w:rsidRDefault="00A47EB2" w:rsidP="00A47EB2">
      <w:pPr>
        <w:pStyle w:val="Heading5"/>
        <w:rPr>
          <w:rFonts w:eastAsia="MS Mincho"/>
        </w:rPr>
      </w:pPr>
      <w:r>
        <w:br w:type="column"/>
      </w:r>
      <w:bookmarkStart w:id="116" w:name="_Toc173832716"/>
      <w:r w:rsidR="000E38BD" w:rsidRPr="0066618F">
        <w:rPr>
          <w:rFonts w:eastAsia="MS Mincho"/>
        </w:rPr>
        <w:t>Supporting women</w:t>
      </w:r>
      <w:r w:rsidR="00711AE6">
        <w:rPr>
          <w:rFonts w:eastAsia="MS Mincho"/>
        </w:rPr>
        <w:t>’</w:t>
      </w:r>
      <w:r w:rsidR="000E38BD" w:rsidRPr="0066618F">
        <w:rPr>
          <w:rFonts w:eastAsia="MS Mincho"/>
        </w:rPr>
        <w:t>s health and wellbeing</w:t>
      </w:r>
      <w:bookmarkEnd w:id="116"/>
    </w:p>
    <w:p w14:paraId="11C12D5D" w14:textId="4A884CE9" w:rsidR="000E38BD" w:rsidRDefault="000E38BD" w:rsidP="0088621E">
      <w:pPr>
        <w:pStyle w:val="ARbody"/>
      </w:pPr>
      <w:r>
        <w:t>The</w:t>
      </w:r>
      <w:r w:rsidRPr="00404A7E">
        <w:t xml:space="preserve"> department continued its support of Women</w:t>
      </w:r>
      <w:r w:rsidR="00711AE6">
        <w:t>’</w:t>
      </w:r>
      <w:r w:rsidRPr="00404A7E">
        <w:t xml:space="preserve">s Health Victoria through its ShEqual Gender Equality in Advertising Project. </w:t>
      </w:r>
      <w:r>
        <w:t>This work aims to</w:t>
      </w:r>
      <w:r w:rsidR="003710CC">
        <w:t> </w:t>
      </w:r>
      <w:r>
        <w:t>reduce sexism and the objectification of women in advertising with capacity building events for the advertising industry, the development of a creative campaign, and education and training.</w:t>
      </w:r>
    </w:p>
    <w:p w14:paraId="3AF61477" w14:textId="3E70EDE5" w:rsidR="000E38BD" w:rsidRPr="00404A7E" w:rsidRDefault="000E38BD" w:rsidP="0088621E">
      <w:pPr>
        <w:pStyle w:val="ARbody"/>
      </w:pPr>
      <w:r w:rsidRPr="00404A7E">
        <w:t xml:space="preserve">The </w:t>
      </w:r>
      <w:r>
        <w:t>department</w:t>
      </w:r>
      <w:r w:rsidRPr="00404A7E">
        <w:t xml:space="preserve"> is </w:t>
      </w:r>
      <w:r>
        <w:t xml:space="preserve">also </w:t>
      </w:r>
      <w:r w:rsidRPr="00404A7E">
        <w:t>continuing to implement the Free Pads and Tampons in Public Places program. This program will provide free pads and tampons in</w:t>
      </w:r>
      <w:r w:rsidR="003710CC">
        <w:t> </w:t>
      </w:r>
      <w:r w:rsidRPr="00404A7E">
        <w:t>vending machines at up to 700 public sites across Victoria, including hospitals, TAFEs, major cultural institutions, public libraries, courts and train</w:t>
      </w:r>
      <w:r w:rsidR="00C93036">
        <w:t> </w:t>
      </w:r>
      <w:r w:rsidRPr="00404A7E">
        <w:t>stations.</w:t>
      </w:r>
    </w:p>
    <w:p w14:paraId="0D7BDE3E" w14:textId="76170355" w:rsidR="000E38BD" w:rsidRPr="0066618F" w:rsidRDefault="000E38BD" w:rsidP="00207901">
      <w:pPr>
        <w:pStyle w:val="Heading5"/>
        <w:rPr>
          <w:rFonts w:eastAsia="MS Mincho"/>
        </w:rPr>
      </w:pPr>
      <w:bookmarkStart w:id="117" w:name="_Toc173832717"/>
      <w:r w:rsidRPr="0066618F">
        <w:rPr>
          <w:rFonts w:eastAsia="MS Mincho"/>
        </w:rPr>
        <w:t>Supporting grassroots gender equality</w:t>
      </w:r>
      <w:r w:rsidR="00C93036">
        <w:rPr>
          <w:rFonts w:eastAsia="MS Mincho"/>
        </w:rPr>
        <w:t> </w:t>
      </w:r>
      <w:r w:rsidRPr="0066618F">
        <w:rPr>
          <w:rFonts w:eastAsia="MS Mincho"/>
        </w:rPr>
        <w:t>work</w:t>
      </w:r>
      <w:bookmarkEnd w:id="117"/>
      <w:r w:rsidRPr="0066618F">
        <w:rPr>
          <w:rFonts w:eastAsia="MS Mincho"/>
        </w:rPr>
        <w:t xml:space="preserve"> </w:t>
      </w:r>
    </w:p>
    <w:p w14:paraId="6409AF29" w14:textId="77777777" w:rsidR="000E38BD" w:rsidRDefault="000E38BD" w:rsidP="0088621E">
      <w:pPr>
        <w:pStyle w:val="ARbody"/>
      </w:pPr>
      <w:r>
        <w:t>No matter where they live, women, girls and gender diverse people across Victoria continue to face major barriers to gender equality. From stereotypes and unequal pay to violence and discrimination, these barriers are many and varied.</w:t>
      </w:r>
    </w:p>
    <w:p w14:paraId="6291B267" w14:textId="69FB6534" w:rsidR="000E38BD" w:rsidRPr="00404A7E" w:rsidRDefault="000E38BD" w:rsidP="0088621E">
      <w:pPr>
        <w:pStyle w:val="ARbody"/>
      </w:pPr>
      <w:r>
        <w:t>The department</w:t>
      </w:r>
      <w:r w:rsidR="00711AE6">
        <w:t>’</w:t>
      </w:r>
      <w:r>
        <w:t xml:space="preserve">s </w:t>
      </w:r>
      <w:r w:rsidRPr="5FC7C9E3">
        <w:t>Investing in Women Grassroots Grant Program</w:t>
      </w:r>
      <w:r>
        <w:t xml:space="preserve"> offered grants of up to $10,000 to</w:t>
      </w:r>
      <w:r w:rsidR="003710CC">
        <w:t> </w:t>
      </w:r>
      <w:r>
        <w:t>support local organisations of all kinds to join our</w:t>
      </w:r>
      <w:r w:rsidR="003710CC">
        <w:t> </w:t>
      </w:r>
      <w:r>
        <w:t>efforts towards gender equality in Victoria. The</w:t>
      </w:r>
      <w:r w:rsidR="003710CC">
        <w:t> </w:t>
      </w:r>
      <w:r>
        <w:t>program recognised that these organisations offer unique perspectives on the issues impacting women and gender diverse people in their communities that can be used to design gender equality projects aligned with the objectives of</w:t>
      </w:r>
      <w:r w:rsidR="003710CC">
        <w:t> </w:t>
      </w:r>
      <w:r w:rsidRPr="00233486">
        <w:rPr>
          <w:i/>
          <w:iCs/>
        </w:rPr>
        <w:t>Our</w:t>
      </w:r>
      <w:r w:rsidR="00C22CA1" w:rsidRPr="00233486">
        <w:rPr>
          <w:i/>
          <w:iCs/>
        </w:rPr>
        <w:t> </w:t>
      </w:r>
      <w:r w:rsidRPr="00233486">
        <w:rPr>
          <w:i/>
          <w:iCs/>
        </w:rPr>
        <w:t>equal state</w:t>
      </w:r>
      <w:r w:rsidRPr="5FC7C9E3">
        <w:t>.</w:t>
      </w:r>
    </w:p>
    <w:p w14:paraId="0A75F296" w14:textId="6C665E92" w:rsidR="000E38BD" w:rsidRPr="0066618F" w:rsidRDefault="000E38BD" w:rsidP="00207901">
      <w:pPr>
        <w:pStyle w:val="Heading5"/>
        <w:rPr>
          <w:rFonts w:eastAsia="MS Mincho"/>
        </w:rPr>
      </w:pPr>
      <w:bookmarkStart w:id="118" w:name="_Toc173832718"/>
      <w:r w:rsidRPr="0066618F">
        <w:rPr>
          <w:rFonts w:eastAsia="MS Mincho"/>
        </w:rPr>
        <w:t>Championing equality by delivering Victoria</w:t>
      </w:r>
      <w:r w:rsidR="00711AE6">
        <w:rPr>
          <w:rFonts w:eastAsia="MS Mincho"/>
        </w:rPr>
        <w:t>’</w:t>
      </w:r>
      <w:r w:rsidRPr="0066618F">
        <w:rPr>
          <w:rFonts w:eastAsia="MS Mincho"/>
        </w:rPr>
        <w:t>s LGBTIQA+ strategy</w:t>
      </w:r>
      <w:bookmarkEnd w:id="118"/>
    </w:p>
    <w:p w14:paraId="69E81DCF" w14:textId="7172BACB" w:rsidR="000E38BD" w:rsidRPr="00326740" w:rsidRDefault="000E38BD" w:rsidP="0088621E">
      <w:pPr>
        <w:pStyle w:val="ARbody"/>
      </w:pPr>
      <w:r w:rsidRPr="00326740">
        <w:t xml:space="preserve">The </w:t>
      </w:r>
      <w:r>
        <w:t>department</w:t>
      </w:r>
      <w:r w:rsidRPr="00326740">
        <w:t xml:space="preserve"> </w:t>
      </w:r>
      <w:r>
        <w:t>continues to</w:t>
      </w:r>
      <w:r w:rsidRPr="00326740">
        <w:t xml:space="preserve"> deliver the Victorian Government</w:t>
      </w:r>
      <w:r w:rsidR="00711AE6">
        <w:t>’</w:t>
      </w:r>
      <w:r w:rsidRPr="00326740">
        <w:t xml:space="preserve">s first long-term reform vision for LGBTIQA+ communities, </w:t>
      </w:r>
      <w:r w:rsidRPr="00F64CF1">
        <w:rPr>
          <w:rStyle w:val="Emphasis"/>
        </w:rPr>
        <w:t>Pride in our future: Victoria</w:t>
      </w:r>
      <w:r w:rsidR="00711AE6">
        <w:rPr>
          <w:rStyle w:val="Emphasis"/>
        </w:rPr>
        <w:t>’</w:t>
      </w:r>
      <w:r w:rsidRPr="00F64CF1">
        <w:rPr>
          <w:rStyle w:val="Emphasis"/>
        </w:rPr>
        <w:t>s LGBTIQA+ strategy 2022–32.</w:t>
      </w:r>
    </w:p>
    <w:p w14:paraId="08CC8CAF" w14:textId="5974F82D" w:rsidR="00A47EB2" w:rsidRDefault="000E38BD" w:rsidP="00C93036">
      <w:pPr>
        <w:pStyle w:val="ARbody"/>
      </w:pPr>
      <w:r>
        <w:t>In the strategy</w:t>
      </w:r>
      <w:r w:rsidR="00711AE6">
        <w:t>’</w:t>
      </w:r>
      <w:r>
        <w:t>s second year of implementation, the</w:t>
      </w:r>
      <w:r w:rsidR="00C25806">
        <w:t> </w:t>
      </w:r>
      <w:r>
        <w:t xml:space="preserve">department has focused </w:t>
      </w:r>
      <w:r w:rsidRPr="00C93036">
        <w:t>on</w:t>
      </w:r>
      <w:r>
        <w:t xml:space="preserve"> championing equitable, inclusive and accessible policy and programs across the whole of the Victorian government. The department has worked closely with other departments to address community safety concerns amidst rising vilification targeting LGBTIQA+ and other Victorians.</w:t>
      </w:r>
      <w:r w:rsidR="00A47EB2">
        <w:br w:type="page"/>
      </w:r>
    </w:p>
    <w:p w14:paraId="2A3DBA11" w14:textId="77777777" w:rsidR="000E38BD" w:rsidRDefault="000E38BD" w:rsidP="00C93036">
      <w:pPr>
        <w:pStyle w:val="ARbody"/>
      </w:pPr>
      <w:r w:rsidRPr="00326740">
        <w:t>The implementation of the strategy is informed by the voices of LGBTIQ</w:t>
      </w:r>
      <w:r>
        <w:t>A</w:t>
      </w:r>
      <w:r w:rsidRPr="00326740">
        <w:t>+ communities through the Ministerial LGBTIQ</w:t>
      </w:r>
      <w:r>
        <w:t>A</w:t>
      </w:r>
      <w:r w:rsidRPr="00326740">
        <w:t>+ Taskforce and the Justice and </w:t>
      </w:r>
      <w:r w:rsidRPr="00C93036">
        <w:t>Health</w:t>
      </w:r>
      <w:r w:rsidRPr="00326740">
        <w:t xml:space="preserve"> and Wellbeing Working Groups and overseen by the Interdepartmental Steering Group.</w:t>
      </w:r>
    </w:p>
    <w:p w14:paraId="1D17E343" w14:textId="77777777" w:rsidR="000E38BD" w:rsidRPr="00326740" w:rsidRDefault="000E38BD" w:rsidP="00C93036">
      <w:pPr>
        <w:pStyle w:val="ARbody"/>
      </w:pPr>
      <w:r>
        <w:t>I</w:t>
      </w:r>
      <w:r w:rsidRPr="00C93036">
        <w:t>n implementing the strategy, the department has made flagship investments, including $4.5 million for the Switchboard to deliver the Pride in Ageing program which helps older LGBTIQA+ Victorians feel connected, safe and proud to live as their authentic selves.</w:t>
      </w:r>
    </w:p>
    <w:p w14:paraId="387646F3" w14:textId="397847BF" w:rsidR="000E38BD" w:rsidRPr="0066618F" w:rsidRDefault="000E38BD" w:rsidP="00207901">
      <w:pPr>
        <w:pStyle w:val="Heading5"/>
        <w:rPr>
          <w:rFonts w:eastAsia="MS Mincho"/>
        </w:rPr>
      </w:pPr>
      <w:bookmarkStart w:id="119" w:name="_Toc173832719"/>
      <w:r w:rsidRPr="0066618F">
        <w:rPr>
          <w:rFonts w:eastAsia="MS Mincho"/>
        </w:rPr>
        <w:t xml:space="preserve">Supporting LGBTIQA+ Victorians </w:t>
      </w:r>
      <w:r w:rsidRPr="00C93036">
        <w:rPr>
          <w:rFonts w:eastAsia="MS Mincho"/>
        </w:rPr>
        <w:t>through</w:t>
      </w:r>
      <w:r w:rsidR="00AC77CC">
        <w:rPr>
          <w:rFonts w:eastAsia="MS Mincho"/>
        </w:rPr>
        <w:t> </w:t>
      </w:r>
      <w:r w:rsidRPr="00C93036">
        <w:rPr>
          <w:rFonts w:eastAsia="MS Mincho"/>
        </w:rPr>
        <w:t>grants</w:t>
      </w:r>
      <w:bookmarkEnd w:id="119"/>
    </w:p>
    <w:p w14:paraId="2C8CA84D" w14:textId="4DDD96B4" w:rsidR="000E38BD" w:rsidRPr="000C2ABF" w:rsidRDefault="000E38BD" w:rsidP="00C93036">
      <w:pPr>
        <w:pStyle w:val="ARbody"/>
      </w:pPr>
      <w:r>
        <w:t xml:space="preserve">The </w:t>
      </w:r>
      <w:r w:rsidRPr="00C93036">
        <w:t>Victorian</w:t>
      </w:r>
      <w:r>
        <w:t xml:space="preserve"> Government is committed to supporting equitable, inclusive and accessible services for LGBTIQA+ Victorians. Through its grant programs, the </w:t>
      </w:r>
      <w:r w:rsidRPr="000C2ABF">
        <w:t>department</w:t>
      </w:r>
      <w:r>
        <w:t> supports</w:t>
      </w:r>
      <w:r w:rsidR="00D90552">
        <w:t xml:space="preserve"> </w:t>
      </w:r>
      <w:r>
        <w:t>to organisations across the state to ensure LGBTIQA+ communities are visible, celebrated and receive the</w:t>
      </w:r>
      <w:r w:rsidR="00C25806">
        <w:t> </w:t>
      </w:r>
      <w:r>
        <w:t>support that they require.</w:t>
      </w:r>
    </w:p>
    <w:p w14:paraId="2B216B83" w14:textId="1EDDCCAE" w:rsidR="000E38BD" w:rsidRDefault="000E38BD" w:rsidP="00C93036">
      <w:pPr>
        <w:pStyle w:val="ARbody"/>
      </w:pPr>
      <w:r w:rsidRPr="000C2ABF">
        <w:t>In 2023</w:t>
      </w:r>
      <w:r w:rsidR="00E837F9">
        <w:t>–</w:t>
      </w:r>
      <w:r w:rsidRPr="000C2ABF">
        <w:t xml:space="preserve">24, the </w:t>
      </w:r>
      <w:r>
        <w:t>department</w:t>
      </w:r>
      <w:r w:rsidRPr="00C05616">
        <w:t xml:space="preserve"> provided $1.6 million to</w:t>
      </w:r>
      <w:r w:rsidR="00C93036">
        <w:t> </w:t>
      </w:r>
      <w:r w:rsidRPr="00C05616">
        <w:t xml:space="preserve">58 </w:t>
      </w:r>
      <w:r w:rsidRPr="00C93036">
        <w:t>projects</w:t>
      </w:r>
      <w:r w:rsidRPr="00C05616">
        <w:t xml:space="preserve"> through its </w:t>
      </w:r>
      <w:r>
        <w:t>3</w:t>
      </w:r>
      <w:r w:rsidRPr="00C05616">
        <w:t xml:space="preserve"> competitive grants</w:t>
      </w:r>
      <w:r w:rsidR="00C93036">
        <w:t> </w:t>
      </w:r>
      <w:r w:rsidRPr="00C05616">
        <w:t>programs</w:t>
      </w:r>
      <w:r>
        <w:t>:</w:t>
      </w:r>
      <w:r w:rsidRPr="00C05616">
        <w:t xml:space="preserve"> </w:t>
      </w:r>
    </w:p>
    <w:p w14:paraId="3C265CC1" w14:textId="7AA5BB5B" w:rsidR="000E38BD" w:rsidRPr="009E5D70" w:rsidRDefault="000E38BD" w:rsidP="009E5D70">
      <w:pPr>
        <w:pStyle w:val="ARbullet1"/>
      </w:pPr>
      <w:r w:rsidRPr="009E5D70">
        <w:t>the Pride Events and Festivals Fund</w:t>
      </w:r>
    </w:p>
    <w:p w14:paraId="26C11BA0" w14:textId="15853C5D" w:rsidR="000E38BD" w:rsidRPr="009E5D70" w:rsidRDefault="000E38BD" w:rsidP="009E5D70">
      <w:pPr>
        <w:pStyle w:val="ARbullet1"/>
      </w:pPr>
      <w:r w:rsidRPr="009E5D70">
        <w:t>the LGBTIQA+ Organisational Development</w:t>
      </w:r>
      <w:r w:rsidR="00ED5984">
        <w:t> </w:t>
      </w:r>
      <w:r w:rsidRPr="009E5D70">
        <w:t>program</w:t>
      </w:r>
    </w:p>
    <w:p w14:paraId="594D95DA" w14:textId="7628487F" w:rsidR="000E38BD" w:rsidRPr="00C05616" w:rsidRDefault="000E38BD" w:rsidP="009E5D70">
      <w:pPr>
        <w:pStyle w:val="ARbullet1"/>
      </w:pPr>
      <w:r w:rsidRPr="009E5D70">
        <w:t>the new LGBTIQA+ Sector Strengthening</w:t>
      </w:r>
      <w:r w:rsidR="00ED5984">
        <w:t> </w:t>
      </w:r>
      <w:r w:rsidRPr="009E5D70">
        <w:t>program</w:t>
      </w:r>
      <w:r w:rsidRPr="00C05616">
        <w:t>.</w:t>
      </w:r>
    </w:p>
    <w:p w14:paraId="107AA60A" w14:textId="6E609680" w:rsidR="000E38BD" w:rsidRDefault="000E38BD" w:rsidP="009E5D70">
      <w:pPr>
        <w:pStyle w:val="ARbodyafterbullets"/>
      </w:pPr>
      <w:r w:rsidRPr="00C05616">
        <w:t xml:space="preserve">Funded projects </w:t>
      </w:r>
      <w:r w:rsidRPr="009E5D70">
        <w:t>include</w:t>
      </w:r>
      <w:r>
        <w:t>:</w:t>
      </w:r>
      <w:r w:rsidRPr="00C05616">
        <w:t xml:space="preserve"> </w:t>
      </w:r>
    </w:p>
    <w:p w14:paraId="4C4078F1" w14:textId="5D18EA84" w:rsidR="000E38BD" w:rsidRPr="009E5D70" w:rsidRDefault="000E38BD" w:rsidP="009E5D70">
      <w:pPr>
        <w:pStyle w:val="ARbullet1"/>
      </w:pPr>
      <w:r w:rsidRPr="00C05616">
        <w:t xml:space="preserve">community-facing events that celebrate </w:t>
      </w:r>
      <w:r w:rsidRPr="009E5D70">
        <w:t>LGBTIQA+ people, their families and</w:t>
      </w:r>
      <w:r w:rsidR="00ED5984">
        <w:t> </w:t>
      </w:r>
      <w:r w:rsidRPr="009E5D70">
        <w:t>communities</w:t>
      </w:r>
    </w:p>
    <w:p w14:paraId="606C8EF0" w14:textId="77777777" w:rsidR="000E38BD" w:rsidRPr="009E5D70" w:rsidRDefault="000E38BD" w:rsidP="009E5D70">
      <w:pPr>
        <w:pStyle w:val="ARbullet1"/>
      </w:pPr>
      <w:r w:rsidRPr="009E5D70">
        <w:t>projects that enhance and strengthen LGBTIQA+ groups and organisations</w:t>
      </w:r>
    </w:p>
    <w:p w14:paraId="3FB481C7" w14:textId="7761CF0E" w:rsidR="000E38BD" w:rsidRDefault="000E38BD" w:rsidP="009E5D70">
      <w:pPr>
        <w:pStyle w:val="ARbullet1"/>
      </w:pPr>
      <w:r w:rsidRPr="009E5D70">
        <w:t>projects to provide supports and services for LGBTIQ</w:t>
      </w:r>
      <w:r w:rsidRPr="00C05616">
        <w:t xml:space="preserve">A+ communities </w:t>
      </w:r>
      <w:r>
        <w:t>while promoting organisational sustainability.</w:t>
      </w:r>
    </w:p>
    <w:p w14:paraId="0AE37B0D" w14:textId="05A68BC9" w:rsidR="000E38BD" w:rsidRPr="0066618F" w:rsidRDefault="000E38BD" w:rsidP="009E5D70">
      <w:pPr>
        <w:pStyle w:val="Heading5"/>
        <w:rPr>
          <w:rFonts w:eastAsia="MS Mincho"/>
        </w:rPr>
      </w:pPr>
      <w:bookmarkStart w:id="120" w:name="_Toc173832720"/>
      <w:r w:rsidRPr="0066618F">
        <w:rPr>
          <w:rFonts w:eastAsia="MS Mincho"/>
        </w:rPr>
        <w:t>Progressing LGBTIQA+ inclusion in</w:t>
      </w:r>
      <w:r>
        <w:rPr>
          <w:rFonts w:eastAsia="MS Mincho"/>
        </w:rPr>
        <w:t xml:space="preserve"> </w:t>
      </w:r>
      <w:r w:rsidRPr="0066618F">
        <w:rPr>
          <w:rFonts w:eastAsia="MS Mincho"/>
        </w:rPr>
        <w:t>regional</w:t>
      </w:r>
      <w:r>
        <w:rPr>
          <w:rFonts w:eastAsia="MS Mincho"/>
        </w:rPr>
        <w:t xml:space="preserve"> </w:t>
      </w:r>
      <w:r w:rsidRPr="0066618F">
        <w:rPr>
          <w:rFonts w:eastAsia="MS Mincho"/>
        </w:rPr>
        <w:t xml:space="preserve">and </w:t>
      </w:r>
      <w:r w:rsidRPr="009E5D70">
        <w:rPr>
          <w:rFonts w:eastAsia="MS Mincho"/>
        </w:rPr>
        <w:t>rural</w:t>
      </w:r>
      <w:r w:rsidRPr="0066618F">
        <w:rPr>
          <w:rFonts w:eastAsia="MS Mincho"/>
        </w:rPr>
        <w:t xml:space="preserve"> communities</w:t>
      </w:r>
      <w:bookmarkEnd w:id="120"/>
    </w:p>
    <w:p w14:paraId="53F44756" w14:textId="77777777" w:rsidR="000E38BD" w:rsidRPr="009E5D70" w:rsidRDefault="000E38BD" w:rsidP="009E5D70">
      <w:pPr>
        <w:pStyle w:val="ARbody"/>
      </w:pPr>
      <w:r w:rsidRPr="00C05616">
        <w:t xml:space="preserve">LGBTIQA+ people living in regional and rural areas face </w:t>
      </w:r>
      <w:r w:rsidRPr="009E5D70">
        <w:t xml:space="preserve">unique and compounding barriers to accessing adequate and safe services and supports. </w:t>
      </w:r>
    </w:p>
    <w:p w14:paraId="5D618F1F" w14:textId="73E4AA88" w:rsidR="000E38BD" w:rsidRDefault="000E38BD" w:rsidP="009E5D70">
      <w:pPr>
        <w:pStyle w:val="ARbody"/>
      </w:pPr>
      <w:r w:rsidRPr="009E5D70">
        <w:t>In recognition of these additional challenges, the department</w:t>
      </w:r>
      <w:r w:rsidR="00711AE6">
        <w:t>’</w:t>
      </w:r>
      <w:r w:rsidRPr="009E5D70">
        <w:t xml:space="preserve">s Equality grant programs prioritise the needs of rural and regional communities. </w:t>
      </w:r>
      <w:r w:rsidR="009A5C87" w:rsidRPr="009E5D70">
        <w:t>In</w:t>
      </w:r>
      <w:r w:rsidR="009A5C87">
        <w:t xml:space="preserve"> </w:t>
      </w:r>
      <w:r w:rsidR="009A5C87">
        <w:br/>
      </w:r>
      <w:r w:rsidRPr="009E5D70">
        <w:t>2023</w:t>
      </w:r>
      <w:r w:rsidR="00E837F9">
        <w:t>–</w:t>
      </w:r>
      <w:r w:rsidRPr="009E5D70">
        <w:t>24, 39.</w:t>
      </w:r>
      <w:r w:rsidRPr="00C05616">
        <w:t>7</w:t>
      </w:r>
      <w:r>
        <w:t>%</w:t>
      </w:r>
      <w:r w:rsidRPr="00C05616">
        <w:t xml:space="preserve"> of projects and organisations funded through the Equality portfolio</w:t>
      </w:r>
      <w:r w:rsidR="00711AE6">
        <w:t>’</w:t>
      </w:r>
      <w:r w:rsidRPr="00C05616">
        <w:t xml:space="preserve">s </w:t>
      </w:r>
      <w:r w:rsidR="009A5C87">
        <w:t>3 </w:t>
      </w:r>
      <w:r w:rsidRPr="00C05616">
        <w:t>competitive grant programs were based in or directly supporting rural and regional communities</w:t>
      </w:r>
      <w:r>
        <w:t xml:space="preserve">. </w:t>
      </w:r>
    </w:p>
    <w:p w14:paraId="02BC9326" w14:textId="266F0A23" w:rsidR="000E38BD" w:rsidRPr="006C671F" w:rsidRDefault="000E38BD" w:rsidP="009E5D70">
      <w:pPr>
        <w:pStyle w:val="Heading5"/>
        <w:rPr>
          <w:rFonts w:eastAsia="MS Mincho"/>
        </w:rPr>
      </w:pPr>
      <w:r w:rsidRPr="006C671F">
        <w:rPr>
          <w:rFonts w:eastAsia="MS Mincho"/>
        </w:rPr>
        <w:t>QHubs: Creating Safe Spaces for Western Victoria</w:t>
      </w:r>
      <w:r w:rsidR="00711AE6">
        <w:rPr>
          <w:rFonts w:eastAsia="MS Mincho"/>
        </w:rPr>
        <w:t>’</w:t>
      </w:r>
      <w:r w:rsidRPr="006C671F">
        <w:rPr>
          <w:rFonts w:eastAsia="MS Mincho"/>
        </w:rPr>
        <w:t xml:space="preserve">s </w:t>
      </w:r>
      <w:r w:rsidRPr="009E5D70">
        <w:rPr>
          <w:rFonts w:eastAsia="MS Mincho"/>
        </w:rPr>
        <w:t>LGBTIQA</w:t>
      </w:r>
      <w:r w:rsidRPr="006C671F">
        <w:rPr>
          <w:rFonts w:eastAsia="MS Mincho"/>
        </w:rPr>
        <w:t xml:space="preserve">+ young people </w:t>
      </w:r>
    </w:p>
    <w:p w14:paraId="1765C816" w14:textId="1205ECFD" w:rsidR="000E38BD" w:rsidRPr="009E5D70" w:rsidRDefault="000E38BD" w:rsidP="009E5D70">
      <w:pPr>
        <w:pStyle w:val="ARbody"/>
      </w:pPr>
      <w:r>
        <w:t xml:space="preserve">In 2023, the department established a trial of Safe </w:t>
      </w:r>
      <w:r w:rsidRPr="009E5D70">
        <w:t xml:space="preserve">Spaces in Western Victoria, providing a </w:t>
      </w:r>
      <w:r w:rsidR="006E2F2E">
        <w:br/>
      </w:r>
      <w:r w:rsidRPr="009E5D70">
        <w:t xml:space="preserve">place-based response to increase access to mental health support and foster social connection for LGBTIQA+ young people and their families. </w:t>
      </w:r>
    </w:p>
    <w:p w14:paraId="36B9BF13" w14:textId="7B28D7EE" w:rsidR="000E38BD" w:rsidRPr="009E5D70" w:rsidRDefault="000E38BD" w:rsidP="009E5D70">
      <w:pPr>
        <w:pStyle w:val="ARbody"/>
      </w:pPr>
      <w:r w:rsidRPr="009E5D70">
        <w:t>Two physical sites are in full operation in Ballarat and Geelong, with outreach to the Surf Coast area and online.</w:t>
      </w:r>
      <w:r w:rsidR="00D90552" w:rsidRPr="009E5D70">
        <w:t xml:space="preserve"> </w:t>
      </w:r>
    </w:p>
    <w:p w14:paraId="0EE40689" w14:textId="29FE86E9" w:rsidR="000E38BD" w:rsidRPr="001503CC" w:rsidRDefault="000E38BD" w:rsidP="009E5D70">
      <w:pPr>
        <w:pStyle w:val="ARbody"/>
      </w:pPr>
      <w:r w:rsidRPr="009E5D70">
        <w:t xml:space="preserve">Delivered by a consortium of </w:t>
      </w:r>
      <w:r w:rsidR="009D641C">
        <w:t>3</w:t>
      </w:r>
      <w:r w:rsidRPr="009E5D70">
        <w:t xml:space="preserve"> community organisations, LGBTIQA+ young people up to the age of 25</w:t>
      </w:r>
      <w:r>
        <w:t xml:space="preserve"> can access affirming and inclusive support as well as build connection with peers and older members of the rainbow community. </w:t>
      </w:r>
    </w:p>
    <w:p w14:paraId="5CDB65F2" w14:textId="0CE49565" w:rsidR="000E38BD" w:rsidRPr="0066618F" w:rsidRDefault="000E38BD" w:rsidP="00207901">
      <w:pPr>
        <w:pStyle w:val="Heading5"/>
        <w:rPr>
          <w:rFonts w:eastAsia="MS Mincho"/>
        </w:rPr>
      </w:pPr>
      <w:bookmarkStart w:id="121" w:name="_Toc173832721"/>
      <w:r w:rsidRPr="0066618F">
        <w:rPr>
          <w:rFonts w:eastAsia="MS Mincho"/>
        </w:rPr>
        <w:t>Victoria</w:t>
      </w:r>
      <w:r w:rsidR="00711AE6">
        <w:rPr>
          <w:rFonts w:eastAsia="MS Mincho"/>
        </w:rPr>
        <w:t>’</w:t>
      </w:r>
      <w:r w:rsidRPr="0066618F">
        <w:rPr>
          <w:rFonts w:eastAsia="MS Mincho"/>
        </w:rPr>
        <w:t>s Pride: a road to pride</w:t>
      </w:r>
      <w:bookmarkEnd w:id="121"/>
    </w:p>
    <w:p w14:paraId="67E2ED3F" w14:textId="3843EB67" w:rsidR="000E38BD" w:rsidRPr="009E5D70" w:rsidRDefault="000E38BD" w:rsidP="009E5D70">
      <w:pPr>
        <w:pStyle w:val="ARbody"/>
      </w:pPr>
      <w:r w:rsidRPr="00C05616">
        <w:t>The Victoria</w:t>
      </w:r>
      <w:r w:rsidR="00711AE6">
        <w:t>’</w:t>
      </w:r>
      <w:r w:rsidRPr="00C05616">
        <w:t xml:space="preserve">s Pride Street Party and Regional </w:t>
      </w:r>
      <w:r w:rsidRPr="009E5D70">
        <w:t>Activations Program, delivered by premier queer arts and cultural organisation Midsumma, continued to celebrate and show support for LGBTIQA+ communities for the third time in 2023</w:t>
      </w:r>
      <w:r w:rsidR="00E837F9">
        <w:t>–</w:t>
      </w:r>
      <w:r w:rsidRPr="009E5D70">
        <w:t xml:space="preserve">24. </w:t>
      </w:r>
    </w:p>
    <w:p w14:paraId="07B47F27" w14:textId="20AAB299" w:rsidR="000E38BD" w:rsidRPr="009E5D70" w:rsidRDefault="000E38BD" w:rsidP="009E5D70">
      <w:pPr>
        <w:pStyle w:val="ARbody"/>
      </w:pPr>
      <w:r w:rsidRPr="009E5D70">
        <w:t>The department provided $1.7 million for events across the state, including 14 regionally based projects across 27 events that culminated at the Victoria</w:t>
      </w:r>
      <w:r w:rsidR="00711AE6">
        <w:t>’</w:t>
      </w:r>
      <w:r w:rsidRPr="009E5D70">
        <w:t>s Pride Street Party in Fitzroy on Sunday, 11 February.</w:t>
      </w:r>
    </w:p>
    <w:p w14:paraId="327EB8E9" w14:textId="4F926BCD" w:rsidR="000E38BD" w:rsidRPr="001503CC" w:rsidRDefault="000E38BD" w:rsidP="009E5D70">
      <w:pPr>
        <w:pStyle w:val="ARbody"/>
      </w:pPr>
      <w:r w:rsidRPr="009E5D70">
        <w:t>More than 52,000 people attended the free Street Party, a 7%</w:t>
      </w:r>
      <w:r w:rsidRPr="00C93036">
        <w:t xml:space="preserve"> increase in attendance from 2023. Combined</w:t>
      </w:r>
      <w:r>
        <w:t xml:space="preserve"> with the over 34,000 people who attended the regional activities held across the state, more than 86,000 participated in Victoria</w:t>
      </w:r>
      <w:r w:rsidR="00711AE6">
        <w:t>’</w:t>
      </w:r>
      <w:r>
        <w:t>s Pride in 2023</w:t>
      </w:r>
      <w:r w:rsidR="00E837F9">
        <w:t>–</w:t>
      </w:r>
      <w:r>
        <w:t>24.</w:t>
      </w:r>
    </w:p>
    <w:p w14:paraId="42888FE5" w14:textId="77777777" w:rsidR="000E38BD" w:rsidRPr="0066618F" w:rsidRDefault="000E38BD" w:rsidP="00207901">
      <w:pPr>
        <w:pStyle w:val="Heading5"/>
        <w:rPr>
          <w:rFonts w:eastAsia="MS Mincho"/>
        </w:rPr>
      </w:pPr>
      <w:bookmarkStart w:id="122" w:name="_Toc173832722"/>
      <w:r w:rsidRPr="0066618F">
        <w:rPr>
          <w:rFonts w:eastAsia="MS Mincho"/>
        </w:rPr>
        <w:t>The Unsaid Says a Lot: Trans and Gender Diverse Awareness Campaign</w:t>
      </w:r>
      <w:bookmarkEnd w:id="122"/>
    </w:p>
    <w:p w14:paraId="0C052873" w14:textId="614E5380" w:rsidR="000E38BD" w:rsidRPr="009E5D70" w:rsidRDefault="000E38BD" w:rsidP="009E5D70">
      <w:pPr>
        <w:pStyle w:val="ARbody"/>
      </w:pPr>
      <w:r w:rsidRPr="09CBF918">
        <w:t xml:space="preserve">In an Australian first, a group of community leaders and members of the trans and gender diverse </w:t>
      </w:r>
      <w:r w:rsidRPr="009E5D70">
        <w:t>communities came together with the department to</w:t>
      </w:r>
      <w:r w:rsidR="00C25806">
        <w:t> </w:t>
      </w:r>
      <w:r w:rsidRPr="009E5D70">
        <w:t xml:space="preserve">develop </w:t>
      </w:r>
      <w:r w:rsidR="009A5C87">
        <w:t>The</w:t>
      </w:r>
      <w:r w:rsidR="009A5C87" w:rsidRPr="009E5D70">
        <w:t xml:space="preserve"> </w:t>
      </w:r>
      <w:r w:rsidRPr="009E5D70">
        <w:t>Unsaid Says A Lot</w:t>
      </w:r>
      <w:r w:rsidR="009A5C87">
        <w:t xml:space="preserve"> campaign</w:t>
      </w:r>
      <w:r w:rsidRPr="009E5D70">
        <w:t xml:space="preserve">. </w:t>
      </w:r>
    </w:p>
    <w:p w14:paraId="3CED789A" w14:textId="79C678E5" w:rsidR="000E38BD" w:rsidRPr="009E5D70" w:rsidRDefault="000E38BD" w:rsidP="009E5D70">
      <w:pPr>
        <w:pStyle w:val="ARbody"/>
      </w:pPr>
      <w:r w:rsidRPr="009E5D70">
        <w:t xml:space="preserve">The campaign launched in June 2024 and brought public attention to discrimination that trans and gender diverse communities face </w:t>
      </w:r>
      <w:r w:rsidR="00E837F9">
        <w:t>–</w:t>
      </w:r>
      <w:r w:rsidRPr="009E5D70">
        <w:t xml:space="preserve"> with 3 in 4 trans and gender diverse people being treated unfairly because of their gender identity.</w:t>
      </w:r>
    </w:p>
    <w:p w14:paraId="7D3887F4" w14:textId="14E64333" w:rsidR="000E38BD" w:rsidRPr="009E5D70" w:rsidRDefault="000E38BD" w:rsidP="009E5D70">
      <w:pPr>
        <w:pStyle w:val="ARbody"/>
      </w:pPr>
      <w:r w:rsidRPr="009E5D70">
        <w:t>As part of its first whole-of-government LGBTIQA+ strategy, this statewide campaign focuses on the experiences of trans and gender diverse communities in Victoria and how we can be an ally.</w:t>
      </w:r>
    </w:p>
    <w:p w14:paraId="7CC49DF0" w14:textId="60ACAC01" w:rsidR="000E38BD" w:rsidRDefault="000E38BD" w:rsidP="009E5D70">
      <w:pPr>
        <w:pStyle w:val="ARbody"/>
      </w:pPr>
      <w:r w:rsidRPr="009E5D70">
        <w:t>This campaign</w:t>
      </w:r>
      <w:r w:rsidRPr="79895D31">
        <w:t xml:space="preserve"> is a priority action under the </w:t>
      </w:r>
      <w:r w:rsidRPr="00F64CF1">
        <w:rPr>
          <w:rStyle w:val="Emphasis"/>
        </w:rPr>
        <w:t>Pride in our future</w:t>
      </w:r>
      <w:r w:rsidR="009A5C87">
        <w:rPr>
          <w:rStyle w:val="Emphasis"/>
        </w:rPr>
        <w:t>:</w:t>
      </w:r>
      <w:r w:rsidRPr="00F64CF1">
        <w:rPr>
          <w:rStyle w:val="Emphasis"/>
        </w:rPr>
        <w:t xml:space="preserve"> 10-year LGBTIQA+ strategy 2022</w:t>
      </w:r>
      <w:r w:rsidR="00E837F9">
        <w:rPr>
          <w:rStyle w:val="Emphasis"/>
        </w:rPr>
        <w:t>–</w:t>
      </w:r>
      <w:r w:rsidRPr="00F64CF1">
        <w:rPr>
          <w:rStyle w:val="Emphasis"/>
        </w:rPr>
        <w:t xml:space="preserve">2032 </w:t>
      </w:r>
      <w:r w:rsidRPr="79895D31">
        <w:t xml:space="preserve">to </w:t>
      </w:r>
      <w:r w:rsidRPr="12FDBEFC">
        <w:t>promote inclusion</w:t>
      </w:r>
      <w:r w:rsidRPr="79895D31">
        <w:t xml:space="preserve"> and </w:t>
      </w:r>
      <w:r w:rsidRPr="12FDBEFC">
        <w:t>equality for LGBTIQA+ Victorians.</w:t>
      </w:r>
      <w:r w:rsidRPr="79895D31">
        <w:t xml:space="preserve"> The aim is that these efforts will lead to greater acceptance and reduce discrimination towards Victoria</w:t>
      </w:r>
      <w:r w:rsidR="00711AE6">
        <w:t>’</w:t>
      </w:r>
      <w:r w:rsidRPr="79895D31">
        <w:t>s trans and gender diverse</w:t>
      </w:r>
      <w:r w:rsidR="00ED5984">
        <w:t> </w:t>
      </w:r>
      <w:r w:rsidRPr="79895D31">
        <w:t>communities.</w:t>
      </w:r>
    </w:p>
    <w:p w14:paraId="1DEBFB99" w14:textId="77777777" w:rsidR="000E38BD" w:rsidRPr="0066618F" w:rsidRDefault="000E38BD" w:rsidP="00207901">
      <w:pPr>
        <w:pStyle w:val="Heading5"/>
        <w:rPr>
          <w:rFonts w:eastAsia="MS Mincho"/>
        </w:rPr>
      </w:pPr>
      <w:bookmarkStart w:id="123" w:name="_Toc173832723"/>
      <w:r w:rsidRPr="0066618F">
        <w:rPr>
          <w:rFonts w:eastAsia="MS Mincho"/>
        </w:rPr>
        <w:t>Delivering youth infrastructure projects</w:t>
      </w:r>
      <w:bookmarkEnd w:id="123"/>
    </w:p>
    <w:p w14:paraId="011FD65B" w14:textId="165C2609" w:rsidR="000E38BD" w:rsidRDefault="000E38BD" w:rsidP="0088621E">
      <w:pPr>
        <w:pStyle w:val="ARbody"/>
      </w:pPr>
      <w:r w:rsidRPr="007C751A">
        <w:t xml:space="preserve">The department </w:t>
      </w:r>
      <w:r>
        <w:t xml:space="preserve">continues to partner with </w:t>
      </w:r>
      <w:r w:rsidRPr="00564DA5">
        <w:t>Scouts Victoria</w:t>
      </w:r>
      <w:r w:rsidR="009A5C87">
        <w:t>,</w:t>
      </w:r>
      <w:r w:rsidRPr="00564DA5">
        <w:t xml:space="preserve"> </w:t>
      </w:r>
      <w:r w:rsidR="009A5C87">
        <w:t>which has</w:t>
      </w:r>
      <w:r w:rsidRPr="00564DA5">
        <w:t xml:space="preserve"> been working with young people in Victoria for over 100 years</w:t>
      </w:r>
      <w:r>
        <w:t xml:space="preserve">. </w:t>
      </w:r>
      <w:r w:rsidRPr="00EB6368">
        <w:t>Through this partnership</w:t>
      </w:r>
      <w:r>
        <w:t xml:space="preserve">, the department has </w:t>
      </w:r>
      <w:r w:rsidRPr="00EB6368">
        <w:t xml:space="preserve">delivered 22 new and upgraded Scout halls in the last </w:t>
      </w:r>
      <w:r>
        <w:t>4</w:t>
      </w:r>
      <w:r w:rsidRPr="00EB6368">
        <w:t xml:space="preserve"> years, with a</w:t>
      </w:r>
      <w:r w:rsidR="003710CC">
        <w:t> </w:t>
      </w:r>
      <w:r w:rsidRPr="00EB6368">
        <w:t xml:space="preserve">further </w:t>
      </w:r>
      <w:r>
        <w:t>7</w:t>
      </w:r>
      <w:r w:rsidRPr="00EB6368">
        <w:t xml:space="preserve"> </w:t>
      </w:r>
      <w:r>
        <w:t xml:space="preserve">funded and </w:t>
      </w:r>
      <w:r w:rsidRPr="00EB6368">
        <w:t>due to be completed in coming years</w:t>
      </w:r>
      <w:r>
        <w:t>. This infrastructure enables Scouts Victoria to bring young people together, supporting their mental and physical wellbeing, building their social networks, and strengthening engagement with the</w:t>
      </w:r>
      <w:r w:rsidR="009E5D70">
        <w:t> </w:t>
      </w:r>
      <w:r>
        <w:t xml:space="preserve">community. </w:t>
      </w:r>
    </w:p>
    <w:p w14:paraId="3D6F1642" w14:textId="682BE682" w:rsidR="000E38BD" w:rsidRDefault="000E38BD" w:rsidP="009E5D70">
      <w:pPr>
        <w:pStyle w:val="ARbody"/>
      </w:pPr>
      <w:r w:rsidRPr="00927DAE">
        <w:t xml:space="preserve">The department </w:t>
      </w:r>
      <w:r>
        <w:t xml:space="preserve">is also partnering with local </w:t>
      </w:r>
      <w:r w:rsidRPr="009E5D70">
        <w:t>governments</w:t>
      </w:r>
      <w:r>
        <w:t xml:space="preserve"> to r</w:t>
      </w:r>
      <w:r w:rsidRPr="00927DAE">
        <w:t xml:space="preserve">oll out to new or upgraded youth hubs </w:t>
      </w:r>
      <w:r>
        <w:t xml:space="preserve">in Geelong, Nillumbik and Wyndham under </w:t>
      </w:r>
      <w:r w:rsidRPr="00F64CF1">
        <w:rPr>
          <w:rStyle w:val="Emphasis"/>
        </w:rPr>
        <w:t>Our promise, your future: Victoria</w:t>
      </w:r>
      <w:r w:rsidR="00711AE6">
        <w:rPr>
          <w:rStyle w:val="Emphasis"/>
        </w:rPr>
        <w:t>’</w:t>
      </w:r>
      <w:r w:rsidRPr="00F64CF1">
        <w:rPr>
          <w:rStyle w:val="Emphasis"/>
        </w:rPr>
        <w:t>s youth strategy 2022</w:t>
      </w:r>
      <w:r w:rsidR="006E2F2E">
        <w:rPr>
          <w:rStyle w:val="Emphasis"/>
        </w:rPr>
        <w:t>–</w:t>
      </w:r>
      <w:r w:rsidRPr="00F64CF1">
        <w:rPr>
          <w:rStyle w:val="Emphasis"/>
        </w:rPr>
        <w:t>2027.</w:t>
      </w:r>
      <w:r w:rsidRPr="00045AA2">
        <w:t xml:space="preserve"> </w:t>
      </w:r>
      <w:r>
        <w:t>These hubs have been co-designed with local young people and will make tailored local services more accessible. The first of these youth hubs opened in Wyndham in March 2024.</w:t>
      </w:r>
    </w:p>
    <w:p w14:paraId="69B5BA77" w14:textId="614D41AF" w:rsidR="000E38BD" w:rsidRPr="004006B6" w:rsidRDefault="000E38BD" w:rsidP="00ED5984">
      <w:pPr>
        <w:pStyle w:val="Heading5"/>
      </w:pPr>
      <w:r w:rsidRPr="004006B6">
        <w:t>Strengthening statewide youth participation and connection</w:t>
      </w:r>
    </w:p>
    <w:p w14:paraId="7BBF6063" w14:textId="7736EEC0" w:rsidR="000E38BD" w:rsidRPr="002B6B65" w:rsidRDefault="000E38BD" w:rsidP="009E5D70">
      <w:pPr>
        <w:pStyle w:val="ARbody"/>
      </w:pPr>
      <w:r w:rsidRPr="009E5D70">
        <w:t>The</w:t>
      </w:r>
      <w:r w:rsidRPr="002B6B65">
        <w:t xml:space="preserve"> department continued to support young people to participate in their communities, develop skills and build relationships with community members through a range of statewide programs</w:t>
      </w:r>
      <w:r>
        <w:t xml:space="preserve"> and initiatives which centre youth leadership and voice.</w:t>
      </w:r>
    </w:p>
    <w:p w14:paraId="77E1AB26" w14:textId="347079D0" w:rsidR="000E38BD" w:rsidRPr="002B6B65" w:rsidRDefault="000E38BD" w:rsidP="0088621E">
      <w:pPr>
        <w:pStyle w:val="ARbody"/>
        <w:rPr>
          <w:rFonts w:eastAsia="Arial"/>
        </w:rPr>
      </w:pPr>
      <w:r w:rsidRPr="002B6B65">
        <w:rPr>
          <w:rFonts w:eastAsia="Arial"/>
        </w:rPr>
        <w:t xml:space="preserve">Engage! grants supported 100 organisations to </w:t>
      </w:r>
      <w:r w:rsidR="00E837F9">
        <w:rPr>
          <w:rFonts w:eastAsia="Arial"/>
        </w:rPr>
        <w:br/>
      </w:r>
      <w:r w:rsidRPr="002B6B65">
        <w:rPr>
          <w:rFonts w:eastAsia="Arial"/>
        </w:rPr>
        <w:t>co-design and deliver a broad range of activities with young people including mentoring, building life</w:t>
      </w:r>
      <w:r w:rsidR="00E837F9">
        <w:rPr>
          <w:rFonts w:eastAsia="Arial"/>
        </w:rPr>
        <w:t> </w:t>
      </w:r>
      <w:r w:rsidRPr="002B6B65">
        <w:rPr>
          <w:rFonts w:eastAsia="Arial"/>
        </w:rPr>
        <w:t>skills and showcasing creativity and talents. The</w:t>
      </w:r>
      <w:r w:rsidR="00E837F9">
        <w:rPr>
          <w:rFonts w:eastAsia="Arial"/>
        </w:rPr>
        <w:t> </w:t>
      </w:r>
      <w:r w:rsidRPr="002B6B65">
        <w:rPr>
          <w:rFonts w:eastAsia="Arial"/>
        </w:rPr>
        <w:t xml:space="preserve">program supported more than 70,000 young people in 2023 to develop new skills through vocational training workshops, mentoring and advisory groups. </w:t>
      </w:r>
    </w:p>
    <w:p w14:paraId="083085C9" w14:textId="117240AD" w:rsidR="000E38BD" w:rsidRPr="00F64CF1" w:rsidRDefault="000E38BD" w:rsidP="009E5D70">
      <w:pPr>
        <w:pStyle w:val="ARbody"/>
        <w:rPr>
          <w:rStyle w:val="Emphasis"/>
        </w:rPr>
      </w:pPr>
      <w:r w:rsidRPr="002B6B65">
        <w:rPr>
          <w:rFonts w:eastAsia="Arial"/>
        </w:rPr>
        <w:t xml:space="preserve">FReeZA grants supported the delivery of </w:t>
      </w:r>
      <w:r w:rsidRPr="6F355A47">
        <w:rPr>
          <w:rFonts w:eastAsia="Arial"/>
        </w:rPr>
        <w:t>more than</w:t>
      </w:r>
      <w:r w:rsidR="00D94E56">
        <w:rPr>
          <w:rFonts w:eastAsia="Arial"/>
        </w:rPr>
        <w:t> </w:t>
      </w:r>
      <w:r w:rsidRPr="6F355A47">
        <w:rPr>
          <w:rFonts w:eastAsia="Arial"/>
        </w:rPr>
        <w:t xml:space="preserve">640 </w:t>
      </w:r>
      <w:r w:rsidRPr="002B6B65">
        <w:rPr>
          <w:rFonts w:eastAsia="Arial"/>
        </w:rPr>
        <w:t>youth-</w:t>
      </w:r>
      <w:r w:rsidRPr="4ABA7012">
        <w:rPr>
          <w:rFonts w:eastAsia="Arial"/>
        </w:rPr>
        <w:t xml:space="preserve">led </w:t>
      </w:r>
      <w:r w:rsidRPr="002B6B65">
        <w:rPr>
          <w:rFonts w:eastAsia="Arial"/>
        </w:rPr>
        <w:t>events across the state in environments that are drug, alcohol and smoke-free</w:t>
      </w:r>
      <w:r>
        <w:rPr>
          <w:rFonts w:eastAsia="Arial"/>
        </w:rPr>
        <w:t xml:space="preserve"> and organised with young people at the helm.</w:t>
      </w:r>
      <w:r w:rsidR="00A47EB2">
        <w:rPr>
          <w:rFonts w:eastAsia="Arial"/>
        </w:rPr>
        <w:br w:type="column"/>
      </w:r>
      <w:r w:rsidRPr="002B6B65">
        <w:t>The Victorian Youth Congress continue</w:t>
      </w:r>
      <w:r>
        <w:t>d</w:t>
      </w:r>
      <w:r w:rsidRPr="002B6B65">
        <w:t xml:space="preserve"> to lead the</w:t>
      </w:r>
      <w:r w:rsidR="003710CC">
        <w:t> </w:t>
      </w:r>
      <w:r w:rsidRPr="002B6B65">
        <w:t>way in advising on issues important to young people</w:t>
      </w:r>
      <w:r>
        <w:t xml:space="preserve"> across the state</w:t>
      </w:r>
      <w:r w:rsidRPr="002B6B65">
        <w:t xml:space="preserve">, including </w:t>
      </w:r>
      <w:r>
        <w:t>informing</w:t>
      </w:r>
      <w:r w:rsidRPr="002B6B65">
        <w:t xml:space="preserve"> the </w:t>
      </w:r>
      <w:r w:rsidRPr="009E5D70">
        <w:t>implementation</w:t>
      </w:r>
      <w:r w:rsidRPr="002B6B65">
        <w:t xml:space="preserve"> of initiatives under </w:t>
      </w:r>
      <w:r w:rsidRPr="00F64CF1">
        <w:rPr>
          <w:rStyle w:val="Emphasis"/>
        </w:rPr>
        <w:t>Our promise, your future: Victoria</w:t>
      </w:r>
      <w:r w:rsidR="00711AE6">
        <w:rPr>
          <w:rStyle w:val="Emphasis"/>
        </w:rPr>
        <w:t>’</w:t>
      </w:r>
      <w:r w:rsidRPr="00F64CF1">
        <w:rPr>
          <w:rStyle w:val="Emphasis"/>
        </w:rPr>
        <w:t>s youth strategy 2022–2027.</w:t>
      </w:r>
    </w:p>
    <w:p w14:paraId="48893481" w14:textId="6727E950" w:rsidR="000E38BD" w:rsidRPr="0066618F" w:rsidRDefault="000E38BD" w:rsidP="00207901">
      <w:pPr>
        <w:pStyle w:val="Heading5"/>
        <w:rPr>
          <w:rFonts w:eastAsia="MS Mincho"/>
        </w:rPr>
      </w:pPr>
      <w:bookmarkStart w:id="124" w:name="_Toc173832724"/>
      <w:r w:rsidRPr="0066618F">
        <w:rPr>
          <w:rFonts w:eastAsia="MS Mincho"/>
        </w:rPr>
        <w:t>Acknowledging veterans</w:t>
      </w:r>
      <w:r w:rsidR="00711AE6">
        <w:rPr>
          <w:rFonts w:eastAsia="MS Mincho"/>
        </w:rPr>
        <w:t>’</w:t>
      </w:r>
      <w:r w:rsidRPr="0066618F">
        <w:rPr>
          <w:rFonts w:eastAsia="MS Mincho"/>
        </w:rPr>
        <w:t xml:space="preserve"> service through the Veterans Card – Victoria</w:t>
      </w:r>
      <w:bookmarkEnd w:id="124"/>
    </w:p>
    <w:p w14:paraId="52B01373" w14:textId="012E924F" w:rsidR="000E38BD" w:rsidRDefault="000E38BD" w:rsidP="009E5D70">
      <w:pPr>
        <w:pStyle w:val="ARbody"/>
      </w:pPr>
      <w:r>
        <w:t>In partnership with Service Victoria, t</w:t>
      </w:r>
      <w:r w:rsidRPr="00402C9D">
        <w:t>he department launch</w:t>
      </w:r>
      <w:r>
        <w:t>ed</w:t>
      </w:r>
      <w:r w:rsidRPr="00402C9D">
        <w:t xml:space="preserve"> the </w:t>
      </w:r>
      <w:r>
        <w:t xml:space="preserve">digital </w:t>
      </w:r>
      <w:r w:rsidRPr="00402C9D">
        <w:t xml:space="preserve">Veterans Card </w:t>
      </w:r>
      <w:r>
        <w:t>– Victoria in Jul</w:t>
      </w:r>
      <w:r w:rsidR="00D94E56">
        <w:t>y </w:t>
      </w:r>
      <w:r>
        <w:t>2023, delivering upon the Victorian Government</w:t>
      </w:r>
      <w:r w:rsidR="00711AE6">
        <w:t>’</w:t>
      </w:r>
      <w:r>
        <w:t>s 2022 election commitment.</w:t>
      </w:r>
    </w:p>
    <w:p w14:paraId="47E713C5" w14:textId="77777777" w:rsidR="000E38BD" w:rsidRDefault="000E38BD" w:rsidP="009E5D70">
      <w:pPr>
        <w:pStyle w:val="ARbody"/>
      </w:pPr>
      <w:r w:rsidRPr="00402C9D">
        <w:t>The Veterans Card is</w:t>
      </w:r>
      <w:r>
        <w:t xml:space="preserve"> a groundbreaking </w:t>
      </w:r>
      <w:r w:rsidRPr="00402C9D">
        <w:t xml:space="preserve">Australian first. It </w:t>
      </w:r>
      <w:r w:rsidRPr="009E5D70">
        <w:t>acknowledges</w:t>
      </w:r>
      <w:r w:rsidRPr="00402C9D">
        <w:t xml:space="preserve"> and thanks our veterans for their service and sacrifice while also providing a convenient pathway to access veteran-specific savings and services</w:t>
      </w:r>
      <w:r w:rsidRPr="00322991">
        <w:t xml:space="preserve"> and targeted employment programs and supports.</w:t>
      </w:r>
    </w:p>
    <w:p w14:paraId="06EE431D" w14:textId="6BDDC218" w:rsidR="00ED5984" w:rsidRDefault="000E38BD" w:rsidP="009E5D70">
      <w:pPr>
        <w:pStyle w:val="ARbody"/>
      </w:pPr>
      <w:r w:rsidRPr="00322991">
        <w:t xml:space="preserve">As </w:t>
      </w:r>
      <w:r>
        <w:t>of</w:t>
      </w:r>
      <w:r w:rsidRPr="00322991">
        <w:t xml:space="preserve"> 30 June 2024, more than</w:t>
      </w:r>
      <w:r>
        <w:t xml:space="preserve"> 16,</w:t>
      </w:r>
      <w:r w:rsidRPr="001E0FA8">
        <w:t>400</w:t>
      </w:r>
      <w:r>
        <w:t xml:space="preserve"> Victorian </w:t>
      </w:r>
      <w:r w:rsidRPr="009E5D70">
        <w:t>veterans</w:t>
      </w:r>
      <w:r>
        <w:t xml:space="preserve"> </w:t>
      </w:r>
      <w:r w:rsidRPr="00322991">
        <w:t>had</w:t>
      </w:r>
      <w:r>
        <w:t xml:space="preserve"> signed up for Veterans Card.</w:t>
      </w:r>
    </w:p>
    <w:p w14:paraId="7D915B24" w14:textId="56D2B814" w:rsidR="000E38BD" w:rsidRPr="0066618F" w:rsidRDefault="000E38BD" w:rsidP="00207901">
      <w:pPr>
        <w:pStyle w:val="Heading5"/>
        <w:rPr>
          <w:rFonts w:eastAsia="MS Mincho"/>
        </w:rPr>
      </w:pPr>
      <w:bookmarkStart w:id="125" w:name="_Toc173832725"/>
      <w:r w:rsidRPr="0066618F">
        <w:rPr>
          <w:rFonts w:eastAsia="MS Mincho"/>
        </w:rPr>
        <w:t>Supporting veterans transition to civilian life through employment and recognition of</w:t>
      </w:r>
      <w:r w:rsidR="00CC3AEB">
        <w:rPr>
          <w:rFonts w:eastAsia="MS Mincho"/>
        </w:rPr>
        <w:t> </w:t>
      </w:r>
      <w:r w:rsidRPr="0066618F">
        <w:rPr>
          <w:rFonts w:eastAsia="MS Mincho"/>
        </w:rPr>
        <w:t>prior learning</w:t>
      </w:r>
      <w:bookmarkEnd w:id="125"/>
    </w:p>
    <w:p w14:paraId="767012C8" w14:textId="72AF97EB" w:rsidR="000E38BD" w:rsidRDefault="000E38BD" w:rsidP="009E5D70">
      <w:pPr>
        <w:pStyle w:val="ARbody"/>
      </w:pPr>
      <w:r w:rsidRPr="007F7427">
        <w:t xml:space="preserve">Through the Public Sector Veteran Employment </w:t>
      </w:r>
      <w:r w:rsidRPr="009E5D70">
        <w:t>Strategy</w:t>
      </w:r>
      <w:r w:rsidRPr="007F7427">
        <w:t xml:space="preserve">, </w:t>
      </w:r>
      <w:r w:rsidRPr="00322991">
        <w:t>more than</w:t>
      </w:r>
      <w:r>
        <w:t xml:space="preserve"> 1,600 veterans have been employed in the </w:t>
      </w:r>
      <w:r w:rsidRPr="009620D6">
        <w:t>Victorian</w:t>
      </w:r>
      <w:r>
        <w:t xml:space="preserve"> public sector between July 2017 and June 2024. We met the initial target to employ 1,500 veterans a</w:t>
      </w:r>
      <w:r w:rsidR="0088420A">
        <w:t> </w:t>
      </w:r>
      <w:r>
        <w:t xml:space="preserve">year in </w:t>
      </w:r>
      <w:r w:rsidRPr="009E5D70">
        <w:t>advance</w:t>
      </w:r>
      <w:r>
        <w:t>. The</w:t>
      </w:r>
      <w:r w:rsidR="003710CC">
        <w:t> </w:t>
      </w:r>
      <w:r>
        <w:t>target was increased in April 2024</w:t>
      </w:r>
      <w:r w:rsidDel="00951E3E">
        <w:t xml:space="preserve"> </w:t>
      </w:r>
      <w:r>
        <w:t>to employ 1,800</w:t>
      </w:r>
      <w:r w:rsidR="003710CC">
        <w:t> </w:t>
      </w:r>
      <w:r>
        <w:t>veterans by June 2025 as part of Victoria</w:t>
      </w:r>
      <w:r w:rsidR="00711AE6">
        <w:t>’</w:t>
      </w:r>
      <w:r>
        <w:t xml:space="preserve">s commitment to supporting veterans as they transition out of service. </w:t>
      </w:r>
    </w:p>
    <w:p w14:paraId="448D7D3D" w14:textId="55640D8E" w:rsidR="000E38BD" w:rsidRDefault="000E38BD" w:rsidP="009E5D70">
      <w:pPr>
        <w:pStyle w:val="ARbody"/>
      </w:pPr>
      <w:r>
        <w:t xml:space="preserve">The strategy is designed to assist veterans with employment through a range of initiatives, including workshops, the Veteran Employment Network and Mentor program, pairing current and former </w:t>
      </w:r>
      <w:r w:rsidR="009A5C87">
        <w:t xml:space="preserve">Australian Defence Forces </w:t>
      </w:r>
      <w:r>
        <w:t xml:space="preserve">members with mentors to help with job applications and career advancement. </w:t>
      </w:r>
    </w:p>
    <w:p w14:paraId="030A6D4C" w14:textId="2503D3F4" w:rsidR="00A47EB2" w:rsidRDefault="000E38BD" w:rsidP="009E5D70">
      <w:pPr>
        <w:pStyle w:val="ARbody"/>
      </w:pPr>
      <w:r>
        <w:t xml:space="preserve">The department also supports a Recognition of Prior </w:t>
      </w:r>
      <w:r w:rsidRPr="009E5D70">
        <w:t>Learning</w:t>
      </w:r>
      <w:r>
        <w:t xml:space="preserve"> for Veterans pilot program, delivered by Wodonga TAFE. This aims to ensure that the skills and knowledge gained by veterans during military service are reflected in nationally recognised civilian qualifications, without which a veteran can face significant barriers to employment.</w:t>
      </w:r>
      <w:r w:rsidR="00A47EB2">
        <w:br w:type="page"/>
      </w:r>
    </w:p>
    <w:p w14:paraId="420FB1CF" w14:textId="7A68D746" w:rsidR="000E38BD" w:rsidRPr="0066618F" w:rsidRDefault="000E38BD" w:rsidP="00207901">
      <w:pPr>
        <w:pStyle w:val="Heading5"/>
        <w:rPr>
          <w:rFonts w:eastAsia="MS Mincho"/>
        </w:rPr>
      </w:pPr>
      <w:bookmarkStart w:id="126" w:name="_Toc173832726"/>
      <w:r w:rsidRPr="0066618F">
        <w:rPr>
          <w:rFonts w:eastAsia="MS Mincho"/>
        </w:rPr>
        <w:t>Delivering grant programs to support veterans</w:t>
      </w:r>
      <w:r w:rsidR="00711AE6">
        <w:rPr>
          <w:rFonts w:eastAsia="MS Mincho"/>
        </w:rPr>
        <w:t>’</w:t>
      </w:r>
      <w:r w:rsidRPr="0066618F">
        <w:rPr>
          <w:rFonts w:eastAsia="MS Mincho"/>
        </w:rPr>
        <w:t xml:space="preserve"> infrastructure and welfare</w:t>
      </w:r>
      <w:bookmarkEnd w:id="126"/>
    </w:p>
    <w:p w14:paraId="6F252AB0" w14:textId="40975F5F" w:rsidR="000E38BD" w:rsidRPr="007F7427" w:rsidRDefault="000E38BD" w:rsidP="009E5D70">
      <w:pPr>
        <w:pStyle w:val="ARbody"/>
      </w:pPr>
      <w:r w:rsidRPr="007F7427">
        <w:t xml:space="preserve">The </w:t>
      </w:r>
      <w:r>
        <w:t>department</w:t>
      </w:r>
      <w:r w:rsidRPr="007F7427">
        <w:t xml:space="preserve"> </w:t>
      </w:r>
      <w:r>
        <w:t>continued to provide</w:t>
      </w:r>
      <w:r w:rsidRPr="007F7427">
        <w:t xml:space="preserve"> grants to</w:t>
      </w:r>
      <w:r w:rsidR="0088420A">
        <w:t> </w:t>
      </w:r>
      <w:r w:rsidRPr="009E5D70">
        <w:t>community</w:t>
      </w:r>
      <w:r w:rsidRPr="007F7427">
        <w:t xml:space="preserve"> organisations for capital works, commemoration and education projects, war memorial restoration and programs that </w:t>
      </w:r>
      <w:r>
        <w:t>deliver</w:t>
      </w:r>
      <w:r w:rsidRPr="007F7427">
        <w:t xml:space="preserve"> welfare support for veterans and their families.</w:t>
      </w:r>
    </w:p>
    <w:p w14:paraId="7FE3A6A2" w14:textId="56A01B43" w:rsidR="000E38BD" w:rsidRDefault="000E38BD" w:rsidP="00ED5984">
      <w:pPr>
        <w:pStyle w:val="ARbody"/>
      </w:pPr>
      <w:r w:rsidRPr="007F7427">
        <w:t xml:space="preserve">The </w:t>
      </w:r>
      <w:r>
        <w:t>department</w:t>
      </w:r>
      <w:r w:rsidRPr="007F7427">
        <w:t xml:space="preserve"> </w:t>
      </w:r>
      <w:r w:rsidRPr="00ED5984">
        <w:t>delivers</w:t>
      </w:r>
      <w:r w:rsidRPr="007F7427">
        <w:t xml:space="preserve"> funding to the veteran and ex-service community through </w:t>
      </w:r>
      <w:r>
        <w:t>4 annual grant</w:t>
      </w:r>
      <w:r w:rsidRPr="007F7427">
        <w:t xml:space="preserve"> programs</w:t>
      </w:r>
      <w:r>
        <w:t>. In 2023</w:t>
      </w:r>
      <w:r w:rsidR="00E837F9">
        <w:t>–</w:t>
      </w:r>
      <w:r>
        <w:t>24, the department allocated a</w:t>
      </w:r>
      <w:r w:rsidR="0088420A">
        <w:t> </w:t>
      </w:r>
      <w:r>
        <w:t>total of $2.03 million across 80 projects:</w:t>
      </w:r>
    </w:p>
    <w:p w14:paraId="5B7C8910" w14:textId="77777777" w:rsidR="000E38BD" w:rsidRPr="009E5D70" w:rsidRDefault="000E38BD" w:rsidP="009E5D70">
      <w:pPr>
        <w:pStyle w:val="ARbullet1"/>
      </w:pPr>
      <w:r>
        <w:t xml:space="preserve">the Veterans Capital Works program supported 20 </w:t>
      </w:r>
      <w:r w:rsidRPr="009E5D70">
        <w:t>local infrastructure projects with grants totalling $690,000</w:t>
      </w:r>
    </w:p>
    <w:p w14:paraId="53A32086" w14:textId="0B6B26BB" w:rsidR="000E38BD" w:rsidRPr="009E5D70" w:rsidRDefault="000E38BD" w:rsidP="009E5D70">
      <w:pPr>
        <w:pStyle w:val="ARbullet1"/>
      </w:pPr>
      <w:r w:rsidRPr="009E5D70">
        <w:t>the Anzac Day Proceeds Fund contributed $679,902 to 19 veteran welfare and wellbeing</w:t>
      </w:r>
      <w:r w:rsidR="009E5D70">
        <w:t> </w:t>
      </w:r>
      <w:r w:rsidRPr="009E5D70">
        <w:t>initiatives</w:t>
      </w:r>
    </w:p>
    <w:p w14:paraId="34239C3B" w14:textId="77777777" w:rsidR="000E38BD" w:rsidRPr="009E5D70" w:rsidRDefault="000E38BD" w:rsidP="009E5D70">
      <w:pPr>
        <w:pStyle w:val="ARbullet1"/>
      </w:pPr>
      <w:r w:rsidRPr="009E5D70">
        <w:t>Victoria Remembers funded 27 commemorative and educational projects totalling $456,704</w:t>
      </w:r>
    </w:p>
    <w:p w14:paraId="552D5E52" w14:textId="77777777" w:rsidR="000E38BD" w:rsidRDefault="000E38BD" w:rsidP="009E5D70">
      <w:pPr>
        <w:pStyle w:val="ARbullet1"/>
      </w:pPr>
      <w:r w:rsidRPr="009E5D70">
        <w:t>the Restoring Community War Memorials and Avenues of Honour</w:t>
      </w:r>
      <w:r>
        <w:t xml:space="preserve"> grant program allocated $200,000 across 14 projects.</w:t>
      </w:r>
    </w:p>
    <w:p w14:paraId="4888564A" w14:textId="05A0F504" w:rsidR="00D94E56" w:rsidRDefault="000E38BD" w:rsidP="00ED5984">
      <w:pPr>
        <w:pStyle w:val="ARbodyafterbullets"/>
      </w:pPr>
      <w:r>
        <w:t xml:space="preserve">The department also continued its support for the Veterans Family </w:t>
      </w:r>
      <w:r w:rsidRPr="00ED5984">
        <w:t>Adventure</w:t>
      </w:r>
      <w:r>
        <w:t xml:space="preserve"> Therapy program following its extension. This nature-based intervention aims to assist veterans and their families to overcome mental health challenges. </w:t>
      </w:r>
    </w:p>
    <w:p w14:paraId="3163414E" w14:textId="23179EB4" w:rsidR="000E38BD" w:rsidRPr="0066618F" w:rsidRDefault="000E38BD" w:rsidP="00207901">
      <w:pPr>
        <w:pStyle w:val="Heading5"/>
        <w:rPr>
          <w:rFonts w:eastAsia="MS Mincho"/>
        </w:rPr>
      </w:pPr>
      <w:bookmarkStart w:id="127" w:name="_Toc173832727"/>
      <w:r w:rsidRPr="0066618F">
        <w:rPr>
          <w:rFonts w:eastAsia="MS Mincho"/>
        </w:rPr>
        <w:t>Encouraging students to learn and appreciate our nation</w:t>
      </w:r>
      <w:r w:rsidR="00711AE6">
        <w:rPr>
          <w:rFonts w:eastAsia="MS Mincho"/>
        </w:rPr>
        <w:t>’</w:t>
      </w:r>
      <w:r w:rsidRPr="0066618F">
        <w:rPr>
          <w:rFonts w:eastAsia="MS Mincho"/>
        </w:rPr>
        <w:t>s Anzac Spirit</w:t>
      </w:r>
      <w:bookmarkEnd w:id="127"/>
    </w:p>
    <w:p w14:paraId="47CD20CE" w14:textId="658D2730" w:rsidR="000E38BD" w:rsidRDefault="000E38BD" w:rsidP="009E5D70">
      <w:pPr>
        <w:pStyle w:val="ARbody"/>
      </w:pPr>
      <w:r>
        <w:t>The Premier</w:t>
      </w:r>
      <w:r w:rsidR="00711AE6">
        <w:t>’</w:t>
      </w:r>
      <w:r>
        <w:t xml:space="preserve">s Spirit of Anzac Price was revitalised in 2023, </w:t>
      </w:r>
      <w:r w:rsidRPr="009E5D70">
        <w:t>delivering</w:t>
      </w:r>
      <w:r>
        <w:t xml:space="preserve"> upon the Victorian Government</w:t>
      </w:r>
      <w:r w:rsidR="00711AE6">
        <w:t>’</w:t>
      </w:r>
      <w:r>
        <w:t>s 2022 election commitment. This</w:t>
      </w:r>
      <w:r w:rsidR="00D94E56">
        <w:t> </w:t>
      </w:r>
      <w:r>
        <w:t>prize is a unique education program that gives young Victorians the opportunity to experience and learn of Australia</w:t>
      </w:r>
      <w:r w:rsidR="00711AE6">
        <w:t>’</w:t>
      </w:r>
      <w:r>
        <w:t xml:space="preserve">s wartime and peacekeeping history by visiting sites such as Gallipoli. </w:t>
      </w:r>
    </w:p>
    <w:p w14:paraId="23706604" w14:textId="77777777" w:rsidR="000E38BD" w:rsidRDefault="000E38BD" w:rsidP="009620D6">
      <w:pPr>
        <w:pStyle w:val="ARbody"/>
      </w:pPr>
      <w:r>
        <w:t xml:space="preserve">The annual competition is open to Victorian students enrolled in Years 9 to 12, with prize recipients receiving a fully funded overseas study tour to Türkiye. </w:t>
      </w:r>
    </w:p>
    <w:p w14:paraId="48DB8A88" w14:textId="77777777" w:rsidR="00A47EB2" w:rsidRDefault="000E38BD" w:rsidP="00A47EB2">
      <w:pPr>
        <w:pStyle w:val="ARbody"/>
      </w:pPr>
      <w:r>
        <w:t>The 2023 prize recipients travelled to Türkiye during the Victorian winter school holidays and the 2024 recipients will travel to Türkiye during the September 2024 school holidays.</w:t>
      </w:r>
    </w:p>
    <w:p w14:paraId="518A863E" w14:textId="3004F298" w:rsidR="000E38BD" w:rsidRPr="00512900" w:rsidRDefault="00A47EB2" w:rsidP="00A47EB2">
      <w:pPr>
        <w:pStyle w:val="Heading5"/>
        <w:rPr>
          <w:rFonts w:eastAsia="Times"/>
        </w:rPr>
      </w:pPr>
      <w:r>
        <w:br w:type="column"/>
      </w:r>
      <w:bookmarkStart w:id="128" w:name="_Toc173832728"/>
      <w:r w:rsidR="000E38BD" w:rsidRPr="0066618F">
        <w:rPr>
          <w:rFonts w:eastAsia="MS Mincho"/>
        </w:rPr>
        <w:t>Royal Commission into Defence and</w:t>
      </w:r>
      <w:r w:rsidR="00811374">
        <w:rPr>
          <w:rFonts w:eastAsia="MS Mincho"/>
        </w:rPr>
        <w:t> </w:t>
      </w:r>
      <w:r w:rsidR="000E38BD" w:rsidRPr="0066618F">
        <w:rPr>
          <w:rFonts w:eastAsia="MS Mincho"/>
        </w:rPr>
        <w:t>Veteran Suicide</w:t>
      </w:r>
      <w:bookmarkEnd w:id="128"/>
    </w:p>
    <w:p w14:paraId="4A4CE312" w14:textId="73253DD7" w:rsidR="000E38BD" w:rsidRDefault="000E38BD" w:rsidP="00470AF7">
      <w:pPr>
        <w:pStyle w:val="ARbody"/>
      </w:pPr>
      <w:r w:rsidRPr="160102C5">
        <w:rPr>
          <w:szCs w:val="20"/>
        </w:rPr>
        <w:t>The Royal Commission into Defence and Veteran Suicide was established in July 2021 and Victoria</w:t>
      </w:r>
      <w:r w:rsidR="00711AE6">
        <w:rPr>
          <w:szCs w:val="20"/>
        </w:rPr>
        <w:t>’</w:t>
      </w:r>
      <w:r w:rsidRPr="160102C5">
        <w:rPr>
          <w:szCs w:val="20"/>
        </w:rPr>
        <w:t>s own Letters Patent were gazetted in December 2021. Since November 2021, the Victorian Government has responded to more than 30</w:t>
      </w:r>
      <w:r w:rsidR="00A47EB2">
        <w:rPr>
          <w:szCs w:val="20"/>
        </w:rPr>
        <w:t> </w:t>
      </w:r>
      <w:r w:rsidRPr="160102C5">
        <w:rPr>
          <w:szCs w:val="20"/>
        </w:rPr>
        <w:t xml:space="preserve">compulsory </w:t>
      </w:r>
      <w:r>
        <w:rPr>
          <w:szCs w:val="20"/>
        </w:rPr>
        <w:t>n</w:t>
      </w:r>
      <w:r w:rsidRPr="160102C5">
        <w:rPr>
          <w:szCs w:val="20"/>
        </w:rPr>
        <w:t xml:space="preserve">otices from the </w:t>
      </w:r>
      <w:r w:rsidR="00A47EB2">
        <w:rPr>
          <w:szCs w:val="20"/>
        </w:rPr>
        <w:br/>
      </w:r>
      <w:r w:rsidRPr="160102C5">
        <w:rPr>
          <w:szCs w:val="20"/>
        </w:rPr>
        <w:t xml:space="preserve">Royal Commission. </w:t>
      </w:r>
    </w:p>
    <w:p w14:paraId="02B00E9F" w14:textId="76C26666" w:rsidR="000E38BD" w:rsidRDefault="000E38BD" w:rsidP="009620D6">
      <w:pPr>
        <w:pStyle w:val="ARbody"/>
      </w:pPr>
      <w:r w:rsidRPr="160102C5">
        <w:t>The department also coordinated a whole of government submission, supported the then Premier of Victoria and a senior departmental executive to provide evidence in August 2023, and</w:t>
      </w:r>
      <w:r w:rsidR="00A47EB2">
        <w:t> </w:t>
      </w:r>
      <w:r w:rsidRPr="160102C5">
        <w:t>supplied feedback on propositions that are expected to inform the Royal Commission</w:t>
      </w:r>
      <w:r w:rsidR="00711AE6">
        <w:t>’</w:t>
      </w:r>
      <w:r w:rsidRPr="160102C5">
        <w:t>s final</w:t>
      </w:r>
      <w:r w:rsidR="00A47EB2">
        <w:t> </w:t>
      </w:r>
      <w:r w:rsidRPr="160102C5">
        <w:t xml:space="preserve">recommendations. </w:t>
      </w:r>
    </w:p>
    <w:p w14:paraId="372D9E83" w14:textId="05F2476A" w:rsidR="000E38BD" w:rsidRDefault="000E38BD" w:rsidP="009620D6">
      <w:pPr>
        <w:pStyle w:val="ARbody"/>
      </w:pPr>
      <w:r w:rsidRPr="160102C5">
        <w:t>The Royal Commission</w:t>
      </w:r>
      <w:r w:rsidR="00711AE6">
        <w:t>’</w:t>
      </w:r>
      <w:r w:rsidRPr="160102C5">
        <w:t xml:space="preserve">s final report is due no later than 9 September 2024 and the department will support the </w:t>
      </w:r>
      <w:r w:rsidR="00C41E2B">
        <w:t>government</w:t>
      </w:r>
      <w:r w:rsidRPr="160102C5">
        <w:t xml:space="preserve"> in responding to the findings and recommendations.</w:t>
      </w:r>
    </w:p>
    <w:p w14:paraId="02E5C579" w14:textId="77777777" w:rsidR="009E5D70" w:rsidRPr="00B3051F" w:rsidRDefault="009E5D70" w:rsidP="00B3051F">
      <w:pPr>
        <w:pStyle w:val="ARbody"/>
      </w:pPr>
    </w:p>
    <w:p w14:paraId="2046C641" w14:textId="77777777" w:rsidR="00567A1C" w:rsidRPr="00B3051F" w:rsidRDefault="00567A1C" w:rsidP="00B3051F">
      <w:pPr>
        <w:pStyle w:val="ARbody"/>
        <w:sectPr w:rsidR="00567A1C" w:rsidRPr="00B3051F"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2C0F230B" w14:textId="39DBB869" w:rsidR="000E38BD" w:rsidRPr="00CD1B69" w:rsidRDefault="000E38BD" w:rsidP="00C24BF2">
      <w:pPr>
        <w:pStyle w:val="Heading3"/>
        <w:spacing w:before="0"/>
      </w:pPr>
      <w:bookmarkStart w:id="129" w:name="_Toc173830619"/>
      <w:bookmarkStart w:id="130" w:name="_Toc173832284"/>
      <w:r w:rsidRPr="00CD1B69">
        <w:t>Objective</w:t>
      </w:r>
      <w:r>
        <w:t xml:space="preserve"> – </w:t>
      </w:r>
      <w:r w:rsidRPr="00CD1B69">
        <w:t xml:space="preserve">All Victorians </w:t>
      </w:r>
      <w:r w:rsidRPr="00F9790A">
        <w:t>have</w:t>
      </w:r>
      <w:r w:rsidRPr="00CD1B69">
        <w:t xml:space="preserve"> stable, affordable and</w:t>
      </w:r>
      <w:r w:rsidR="00E556FC">
        <w:t> </w:t>
      </w:r>
      <w:r w:rsidRPr="00CD1B69">
        <w:t>appropriate housing</w:t>
      </w:r>
      <w:bookmarkEnd w:id="129"/>
      <w:bookmarkEnd w:id="130"/>
    </w:p>
    <w:p w14:paraId="5BC0364F" w14:textId="533E5D58" w:rsidR="000E38BD" w:rsidRDefault="000E38BD" w:rsidP="00F9790A">
      <w:pPr>
        <w:pStyle w:val="ARbody"/>
      </w:pPr>
      <w:r w:rsidRPr="00CD1B69">
        <w:t xml:space="preserve">This objective aims to ensure Victorians have safe homes that provide emotional and physical sanctuary. </w:t>
      </w:r>
      <w:r>
        <w:t>We</w:t>
      </w:r>
      <w:r w:rsidR="00824706">
        <w:t> </w:t>
      </w:r>
      <w:r>
        <w:t xml:space="preserve">want </w:t>
      </w:r>
      <w:r w:rsidRPr="00F9790A">
        <w:t>Victorians</w:t>
      </w:r>
      <w:r w:rsidRPr="00CD1B69">
        <w:t xml:space="preserve"> have security of tenure in housing that is suitable to their needs, including </w:t>
      </w:r>
      <w:r>
        <w:t xml:space="preserve">housing that </w:t>
      </w:r>
      <w:r w:rsidRPr="00CD1B69">
        <w:t>is</w:t>
      </w:r>
      <w:r w:rsidR="00CC3AEB">
        <w:t> </w:t>
      </w:r>
      <w:r w:rsidRPr="00CD1B69">
        <w:t>accessible, high quality, affordable and tailored to them. This outcome includes supports to address and reduce housing insecurity and homelessness, to enable suitable housing for all.</w:t>
      </w:r>
    </w:p>
    <w:p w14:paraId="5BF8B3A9" w14:textId="77777777" w:rsidR="000E38BD" w:rsidRPr="00CD1B69" w:rsidRDefault="000E38BD" w:rsidP="00F9790A">
      <w:pPr>
        <w:pStyle w:val="Heading4"/>
      </w:pPr>
      <w:bookmarkStart w:id="131" w:name="_Toc173830620"/>
      <w:bookmarkStart w:id="132" w:name="_Toc173832285"/>
      <w:r w:rsidRPr="00CD1B69">
        <w:t xml:space="preserve">Indicator </w:t>
      </w:r>
      <w:r w:rsidRPr="00F9790A">
        <w:t>results</w:t>
      </w:r>
      <w:bookmarkEnd w:id="131"/>
      <w:bookmarkEnd w:id="132"/>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6230"/>
        <w:gridCol w:w="1134"/>
        <w:gridCol w:w="1134"/>
        <w:gridCol w:w="1134"/>
      </w:tblGrid>
      <w:tr w:rsidR="000E38BD" w:rsidRPr="00B82E6C" w14:paraId="3F017F2B" w14:textId="77777777" w:rsidTr="00F50887">
        <w:trPr>
          <w:cantSplit/>
          <w:tblHeader/>
        </w:trPr>
        <w:tc>
          <w:tcPr>
            <w:tcW w:w="6236" w:type="dxa"/>
            <w:tcBorders>
              <w:top w:val="nil"/>
              <w:left w:val="nil"/>
              <w:bottom w:val="single" w:sz="4" w:space="0" w:color="auto"/>
              <w:right w:val="nil"/>
            </w:tcBorders>
            <w:vAlign w:val="bottom"/>
          </w:tcPr>
          <w:p w14:paraId="6F114C82" w14:textId="77777777" w:rsidR="000E38BD" w:rsidRPr="00582A68" w:rsidRDefault="000E38BD" w:rsidP="0088621E">
            <w:pPr>
              <w:pStyle w:val="ARtablecolhead"/>
            </w:pPr>
          </w:p>
        </w:tc>
        <w:tc>
          <w:tcPr>
            <w:tcW w:w="1134" w:type="dxa"/>
            <w:tcBorders>
              <w:top w:val="nil"/>
              <w:left w:val="nil"/>
              <w:bottom w:val="single" w:sz="4" w:space="0" w:color="auto"/>
              <w:right w:val="nil"/>
            </w:tcBorders>
            <w:vAlign w:val="bottom"/>
          </w:tcPr>
          <w:p w14:paraId="05B10992" w14:textId="77777777" w:rsidR="000E38BD" w:rsidRPr="00582A68" w:rsidRDefault="000E38BD" w:rsidP="00F9790A">
            <w:pPr>
              <w:pStyle w:val="ARtablecolheadright"/>
            </w:pPr>
            <w:r w:rsidRPr="00582A68">
              <w:t>2021–22</w:t>
            </w:r>
          </w:p>
        </w:tc>
        <w:tc>
          <w:tcPr>
            <w:tcW w:w="1134" w:type="dxa"/>
            <w:tcBorders>
              <w:top w:val="nil"/>
              <w:left w:val="nil"/>
              <w:bottom w:val="single" w:sz="4" w:space="0" w:color="auto"/>
              <w:right w:val="nil"/>
            </w:tcBorders>
          </w:tcPr>
          <w:p w14:paraId="73C8E0B5" w14:textId="77777777" w:rsidR="000E38BD" w:rsidRPr="00582A68" w:rsidRDefault="000E38BD" w:rsidP="00F9790A">
            <w:pPr>
              <w:pStyle w:val="ARtablecolheadright"/>
            </w:pPr>
            <w:r w:rsidRPr="00582A68">
              <w:t>2022–23</w:t>
            </w:r>
          </w:p>
        </w:tc>
        <w:tc>
          <w:tcPr>
            <w:tcW w:w="1134" w:type="dxa"/>
            <w:tcBorders>
              <w:top w:val="nil"/>
              <w:left w:val="nil"/>
              <w:bottom w:val="single" w:sz="4" w:space="0" w:color="auto"/>
              <w:right w:val="nil"/>
            </w:tcBorders>
          </w:tcPr>
          <w:p w14:paraId="7C616235" w14:textId="64E8726A" w:rsidR="000E38BD" w:rsidRPr="006D6EE8" w:rsidRDefault="000E38BD" w:rsidP="00F9790A">
            <w:pPr>
              <w:pStyle w:val="ARtablecolheadright"/>
              <w:rPr>
                <w:highlight w:val="cyan"/>
              </w:rPr>
            </w:pPr>
            <w:r w:rsidRPr="005B0D3E">
              <w:t>2023</w:t>
            </w:r>
            <w:r w:rsidR="00E837F9" w:rsidRPr="005B0D3E">
              <w:t>–</w:t>
            </w:r>
            <w:r w:rsidRPr="005B0D3E">
              <w:t>24</w:t>
            </w:r>
          </w:p>
        </w:tc>
      </w:tr>
      <w:tr w:rsidR="000E38BD" w:rsidRPr="00B82E6C" w14:paraId="77D7F708" w14:textId="77777777" w:rsidTr="00F50887">
        <w:trPr>
          <w:cantSplit/>
        </w:trPr>
        <w:tc>
          <w:tcPr>
            <w:tcW w:w="6236" w:type="dxa"/>
            <w:tcBorders>
              <w:top w:val="single" w:sz="4" w:space="0" w:color="A5A59D" w:themeColor="background2" w:themeShade="BF"/>
              <w:left w:val="nil"/>
              <w:bottom w:val="nil"/>
              <w:right w:val="nil"/>
            </w:tcBorders>
            <w:vAlign w:val="center"/>
            <w:hideMark/>
          </w:tcPr>
          <w:p w14:paraId="37786E76" w14:textId="77777777" w:rsidR="000E38BD" w:rsidRPr="00F9790A" w:rsidRDefault="000E38BD" w:rsidP="00F9790A">
            <w:pPr>
              <w:pStyle w:val="ARtabletext"/>
            </w:pPr>
            <w:r w:rsidRPr="00F9790A">
              <w:t>Number of clients assisted to address and prevent homelessness</w:t>
            </w:r>
          </w:p>
        </w:tc>
        <w:tc>
          <w:tcPr>
            <w:tcW w:w="1134" w:type="dxa"/>
            <w:tcBorders>
              <w:top w:val="single" w:sz="4" w:space="0" w:color="A5A59D" w:themeColor="background2" w:themeShade="BF"/>
              <w:left w:val="nil"/>
              <w:bottom w:val="nil"/>
              <w:right w:val="nil"/>
            </w:tcBorders>
          </w:tcPr>
          <w:p w14:paraId="2232768B" w14:textId="77777777" w:rsidR="000E38BD" w:rsidRPr="00582A68" w:rsidRDefault="000E38BD" w:rsidP="00F9790A">
            <w:pPr>
              <w:pStyle w:val="ARtabletextright"/>
            </w:pPr>
            <w:r w:rsidRPr="00582A68">
              <w:t>101,627</w:t>
            </w:r>
          </w:p>
        </w:tc>
        <w:tc>
          <w:tcPr>
            <w:tcW w:w="1134" w:type="dxa"/>
            <w:tcBorders>
              <w:top w:val="single" w:sz="4" w:space="0" w:color="A5A59D" w:themeColor="background2" w:themeShade="BF"/>
              <w:left w:val="nil"/>
              <w:bottom w:val="nil"/>
              <w:right w:val="nil"/>
            </w:tcBorders>
          </w:tcPr>
          <w:p w14:paraId="04FA6587" w14:textId="77777777" w:rsidR="000E38BD" w:rsidRPr="00582A68" w:rsidRDefault="000E38BD" w:rsidP="00F9790A">
            <w:pPr>
              <w:pStyle w:val="ARtabletextright"/>
            </w:pPr>
            <w:r w:rsidRPr="00582A68">
              <w:t>98,333</w:t>
            </w:r>
          </w:p>
        </w:tc>
        <w:tc>
          <w:tcPr>
            <w:tcW w:w="1134" w:type="dxa"/>
            <w:tcBorders>
              <w:top w:val="single" w:sz="4" w:space="0" w:color="A5A59D" w:themeColor="background2" w:themeShade="BF"/>
              <w:left w:val="nil"/>
              <w:bottom w:val="nil"/>
              <w:right w:val="nil"/>
            </w:tcBorders>
          </w:tcPr>
          <w:p w14:paraId="151593E8" w14:textId="77777777" w:rsidR="000E38BD" w:rsidRPr="00CB1468" w:rsidRDefault="000E38BD" w:rsidP="00F9790A">
            <w:pPr>
              <w:pStyle w:val="ARtabletextright"/>
            </w:pPr>
            <w:r w:rsidRPr="00CB1468">
              <w:t>101,804</w:t>
            </w:r>
          </w:p>
        </w:tc>
      </w:tr>
      <w:tr w:rsidR="000E38BD" w:rsidRPr="00B82E6C" w14:paraId="29ACF4B3" w14:textId="77777777" w:rsidTr="00F50887">
        <w:trPr>
          <w:cantSplit/>
        </w:trPr>
        <w:tc>
          <w:tcPr>
            <w:tcW w:w="6236" w:type="dxa"/>
            <w:tcBorders>
              <w:top w:val="single" w:sz="4" w:space="0" w:color="A5A59D" w:themeColor="background2" w:themeShade="BF"/>
              <w:left w:val="nil"/>
              <w:bottom w:val="single" w:sz="4" w:space="0" w:color="A5A59D" w:themeColor="background2" w:themeShade="BF"/>
              <w:right w:val="nil"/>
            </w:tcBorders>
            <w:vAlign w:val="center"/>
          </w:tcPr>
          <w:p w14:paraId="332CE03F" w14:textId="77777777" w:rsidR="000E38BD" w:rsidRPr="00F9790A" w:rsidRDefault="000E38BD" w:rsidP="00F9790A">
            <w:pPr>
              <w:pStyle w:val="ARtabletext"/>
            </w:pPr>
            <w:r w:rsidRPr="00F9790A">
              <w:t>Number of clients provided with accommodation</w:t>
            </w:r>
          </w:p>
        </w:tc>
        <w:tc>
          <w:tcPr>
            <w:tcW w:w="1134" w:type="dxa"/>
            <w:tcBorders>
              <w:top w:val="single" w:sz="4" w:space="0" w:color="A5A59D" w:themeColor="background2" w:themeShade="BF"/>
              <w:left w:val="nil"/>
              <w:bottom w:val="single" w:sz="4" w:space="0" w:color="A5A59D" w:themeColor="background2" w:themeShade="BF"/>
              <w:right w:val="nil"/>
            </w:tcBorders>
          </w:tcPr>
          <w:p w14:paraId="5BA3B1EB" w14:textId="77777777" w:rsidR="000E38BD" w:rsidRPr="00582A68" w:rsidRDefault="000E38BD" w:rsidP="00F9790A">
            <w:pPr>
              <w:pStyle w:val="ARtabletextright"/>
            </w:pPr>
            <w:r w:rsidRPr="00582A68">
              <w:t>30,866</w:t>
            </w:r>
          </w:p>
        </w:tc>
        <w:tc>
          <w:tcPr>
            <w:tcW w:w="1134" w:type="dxa"/>
            <w:tcBorders>
              <w:top w:val="single" w:sz="4" w:space="0" w:color="A5A59D" w:themeColor="background2" w:themeShade="BF"/>
              <w:left w:val="nil"/>
              <w:bottom w:val="single" w:sz="4" w:space="0" w:color="A5A59D" w:themeColor="background2" w:themeShade="BF"/>
              <w:right w:val="nil"/>
            </w:tcBorders>
          </w:tcPr>
          <w:p w14:paraId="31ED66D4" w14:textId="77777777" w:rsidR="000E38BD" w:rsidRPr="00582A68" w:rsidRDefault="000E38BD" w:rsidP="00F9790A">
            <w:pPr>
              <w:pStyle w:val="ARtabletextright"/>
            </w:pPr>
            <w:r w:rsidRPr="00582A68">
              <w:t>29,050</w:t>
            </w:r>
          </w:p>
        </w:tc>
        <w:tc>
          <w:tcPr>
            <w:tcW w:w="1134" w:type="dxa"/>
            <w:tcBorders>
              <w:top w:val="single" w:sz="4" w:space="0" w:color="A5A59D" w:themeColor="background2" w:themeShade="BF"/>
              <w:left w:val="nil"/>
              <w:bottom w:val="single" w:sz="4" w:space="0" w:color="A5A59D" w:themeColor="background2" w:themeShade="BF"/>
              <w:right w:val="nil"/>
            </w:tcBorders>
          </w:tcPr>
          <w:p w14:paraId="7B8EA06A" w14:textId="77777777" w:rsidR="000E38BD" w:rsidRPr="0003414F" w:rsidRDefault="000E38BD" w:rsidP="00F9790A">
            <w:pPr>
              <w:pStyle w:val="ARtabletextright"/>
            </w:pPr>
            <w:r w:rsidRPr="0003414F">
              <w:t>27,882</w:t>
            </w:r>
          </w:p>
        </w:tc>
      </w:tr>
      <w:tr w:rsidR="000E38BD" w:rsidRPr="00B82E6C" w14:paraId="081313C7" w14:textId="77777777" w:rsidTr="00F50887">
        <w:trPr>
          <w:cantSplit/>
        </w:trPr>
        <w:tc>
          <w:tcPr>
            <w:tcW w:w="6236" w:type="dxa"/>
            <w:tcBorders>
              <w:top w:val="single" w:sz="4" w:space="0" w:color="A5A59D" w:themeColor="background2" w:themeShade="BF"/>
              <w:left w:val="nil"/>
              <w:bottom w:val="nil"/>
              <w:right w:val="nil"/>
            </w:tcBorders>
            <w:vAlign w:val="center"/>
          </w:tcPr>
          <w:p w14:paraId="6B3449F8" w14:textId="77777777" w:rsidR="000E38BD" w:rsidRPr="00F9790A" w:rsidRDefault="000E38BD" w:rsidP="00F9790A">
            <w:pPr>
              <w:pStyle w:val="ARtabletext"/>
            </w:pPr>
            <w:r w:rsidRPr="00F9790A">
              <w:t>Number of family violence victims who receive a refuge response</w:t>
            </w:r>
          </w:p>
        </w:tc>
        <w:tc>
          <w:tcPr>
            <w:tcW w:w="1134" w:type="dxa"/>
            <w:tcBorders>
              <w:top w:val="single" w:sz="4" w:space="0" w:color="A5A59D" w:themeColor="background2" w:themeShade="BF"/>
              <w:left w:val="nil"/>
              <w:bottom w:val="nil"/>
              <w:right w:val="nil"/>
            </w:tcBorders>
          </w:tcPr>
          <w:p w14:paraId="5006B238" w14:textId="77777777" w:rsidR="000E38BD" w:rsidRPr="00582A68" w:rsidRDefault="000E38BD" w:rsidP="00F9790A">
            <w:pPr>
              <w:pStyle w:val="ARtabletextright"/>
            </w:pPr>
            <w:r w:rsidRPr="00582A68">
              <w:t>734</w:t>
            </w:r>
          </w:p>
        </w:tc>
        <w:tc>
          <w:tcPr>
            <w:tcW w:w="1134" w:type="dxa"/>
            <w:tcBorders>
              <w:top w:val="single" w:sz="4" w:space="0" w:color="A5A59D" w:themeColor="background2" w:themeShade="BF"/>
              <w:left w:val="nil"/>
              <w:bottom w:val="nil"/>
              <w:right w:val="nil"/>
            </w:tcBorders>
          </w:tcPr>
          <w:p w14:paraId="2BEFE364" w14:textId="77777777" w:rsidR="000E38BD" w:rsidRPr="00582A68" w:rsidRDefault="000E38BD" w:rsidP="00F9790A">
            <w:pPr>
              <w:pStyle w:val="ARtabletextright"/>
            </w:pPr>
            <w:r w:rsidRPr="00582A68">
              <w:t>943</w:t>
            </w:r>
          </w:p>
        </w:tc>
        <w:tc>
          <w:tcPr>
            <w:tcW w:w="1134" w:type="dxa"/>
            <w:tcBorders>
              <w:top w:val="single" w:sz="4" w:space="0" w:color="A5A59D" w:themeColor="background2" w:themeShade="BF"/>
              <w:left w:val="nil"/>
              <w:bottom w:val="nil"/>
              <w:right w:val="nil"/>
            </w:tcBorders>
          </w:tcPr>
          <w:p w14:paraId="2CF32D06" w14:textId="77777777" w:rsidR="000E38BD" w:rsidRPr="006D6EE8" w:rsidRDefault="000E38BD" w:rsidP="00F9790A">
            <w:pPr>
              <w:pStyle w:val="ARtabletextright"/>
              <w:rPr>
                <w:highlight w:val="cyan"/>
              </w:rPr>
            </w:pPr>
            <w:r w:rsidRPr="00F65E03">
              <w:t>969</w:t>
            </w:r>
          </w:p>
        </w:tc>
      </w:tr>
      <w:tr w:rsidR="000E38BD" w:rsidRPr="00B82E6C" w14:paraId="57D97F2E" w14:textId="77777777" w:rsidTr="00F50887">
        <w:trPr>
          <w:cantSplit/>
        </w:trPr>
        <w:tc>
          <w:tcPr>
            <w:tcW w:w="6236" w:type="dxa"/>
            <w:tcBorders>
              <w:top w:val="single" w:sz="4" w:space="0" w:color="A5A59D" w:themeColor="background2" w:themeShade="BF"/>
              <w:left w:val="nil"/>
              <w:bottom w:val="single" w:sz="4" w:space="0" w:color="A5A59D" w:themeColor="background2" w:themeShade="BF"/>
              <w:right w:val="nil"/>
            </w:tcBorders>
            <w:vAlign w:val="center"/>
          </w:tcPr>
          <w:p w14:paraId="5EEA6F8A" w14:textId="77777777" w:rsidR="000E38BD" w:rsidRPr="00F9790A" w:rsidRDefault="000E38BD" w:rsidP="00F9790A">
            <w:pPr>
              <w:pStyle w:val="ARtabletext"/>
            </w:pPr>
            <w:r w:rsidRPr="00F9790A">
              <w:t>Number of clients assisted to address and prevent homelessness due to family violence</w:t>
            </w:r>
          </w:p>
        </w:tc>
        <w:tc>
          <w:tcPr>
            <w:tcW w:w="1134" w:type="dxa"/>
            <w:tcBorders>
              <w:top w:val="single" w:sz="4" w:space="0" w:color="A5A59D" w:themeColor="background2" w:themeShade="BF"/>
              <w:left w:val="nil"/>
              <w:bottom w:val="single" w:sz="4" w:space="0" w:color="A5A59D" w:themeColor="background2" w:themeShade="BF"/>
              <w:right w:val="nil"/>
            </w:tcBorders>
          </w:tcPr>
          <w:p w14:paraId="62C5EE74" w14:textId="77777777" w:rsidR="000E38BD" w:rsidRPr="00582A68" w:rsidRDefault="000E38BD" w:rsidP="00F9790A">
            <w:pPr>
              <w:pStyle w:val="ARtabletextright"/>
            </w:pPr>
            <w:r w:rsidRPr="00582A68">
              <w:t>46,045</w:t>
            </w:r>
          </w:p>
        </w:tc>
        <w:tc>
          <w:tcPr>
            <w:tcW w:w="1134" w:type="dxa"/>
            <w:tcBorders>
              <w:top w:val="single" w:sz="4" w:space="0" w:color="A5A59D" w:themeColor="background2" w:themeShade="BF"/>
              <w:left w:val="nil"/>
              <w:bottom w:val="single" w:sz="4" w:space="0" w:color="A5A59D" w:themeColor="background2" w:themeShade="BF"/>
              <w:right w:val="nil"/>
            </w:tcBorders>
          </w:tcPr>
          <w:p w14:paraId="5E59B281" w14:textId="77777777" w:rsidR="000E38BD" w:rsidRPr="00582A68" w:rsidRDefault="000E38BD" w:rsidP="00F9790A">
            <w:pPr>
              <w:pStyle w:val="ARtabletextright"/>
            </w:pPr>
            <w:r w:rsidRPr="00582A68">
              <w:t>40,998</w:t>
            </w:r>
          </w:p>
        </w:tc>
        <w:tc>
          <w:tcPr>
            <w:tcW w:w="1134" w:type="dxa"/>
            <w:tcBorders>
              <w:top w:val="single" w:sz="4" w:space="0" w:color="A5A59D" w:themeColor="background2" w:themeShade="BF"/>
              <w:left w:val="nil"/>
              <w:bottom w:val="single" w:sz="4" w:space="0" w:color="A5A59D" w:themeColor="background2" w:themeShade="BF"/>
              <w:right w:val="nil"/>
            </w:tcBorders>
          </w:tcPr>
          <w:p w14:paraId="3221DAF4" w14:textId="77777777" w:rsidR="000E38BD" w:rsidRPr="008E6637" w:rsidRDefault="000E38BD" w:rsidP="00F9790A">
            <w:pPr>
              <w:pStyle w:val="ARtabletextright"/>
            </w:pPr>
            <w:r w:rsidRPr="008E6637">
              <w:t>43,778</w:t>
            </w:r>
          </w:p>
        </w:tc>
      </w:tr>
      <w:tr w:rsidR="000E38BD" w:rsidRPr="00B82E6C" w14:paraId="0325F676" w14:textId="77777777" w:rsidTr="00F50887">
        <w:trPr>
          <w:cantSplit/>
        </w:trPr>
        <w:tc>
          <w:tcPr>
            <w:tcW w:w="6236" w:type="dxa"/>
            <w:tcBorders>
              <w:top w:val="single" w:sz="4" w:space="0" w:color="A5A59D" w:themeColor="background2" w:themeShade="BF"/>
              <w:left w:val="nil"/>
              <w:bottom w:val="nil"/>
              <w:right w:val="nil"/>
            </w:tcBorders>
            <w:vAlign w:val="center"/>
            <w:hideMark/>
          </w:tcPr>
          <w:p w14:paraId="4DF0FEEC" w14:textId="77777777" w:rsidR="000E38BD" w:rsidRPr="00F9790A" w:rsidRDefault="000E38BD" w:rsidP="00F9790A">
            <w:pPr>
              <w:pStyle w:val="ARtabletext"/>
            </w:pPr>
            <w:r w:rsidRPr="00F9790A">
              <w:t>Number of bonds issued to low-income Victorians to assist access to the private rental market</w:t>
            </w:r>
          </w:p>
        </w:tc>
        <w:tc>
          <w:tcPr>
            <w:tcW w:w="1134" w:type="dxa"/>
            <w:tcBorders>
              <w:top w:val="single" w:sz="4" w:space="0" w:color="A5A59D" w:themeColor="background2" w:themeShade="BF"/>
              <w:left w:val="nil"/>
              <w:bottom w:val="nil"/>
              <w:right w:val="nil"/>
            </w:tcBorders>
          </w:tcPr>
          <w:p w14:paraId="31707D33" w14:textId="77777777" w:rsidR="000E38BD" w:rsidRPr="00582A68" w:rsidRDefault="000E38BD" w:rsidP="00F9790A">
            <w:pPr>
              <w:pStyle w:val="ARtabletextright"/>
            </w:pPr>
            <w:r w:rsidRPr="00582A68">
              <w:t>7,437</w:t>
            </w:r>
          </w:p>
        </w:tc>
        <w:tc>
          <w:tcPr>
            <w:tcW w:w="1134" w:type="dxa"/>
            <w:tcBorders>
              <w:top w:val="single" w:sz="4" w:space="0" w:color="A5A59D" w:themeColor="background2" w:themeShade="BF"/>
              <w:left w:val="nil"/>
              <w:bottom w:val="nil"/>
              <w:right w:val="nil"/>
            </w:tcBorders>
          </w:tcPr>
          <w:p w14:paraId="437FE2B9" w14:textId="77777777" w:rsidR="000E38BD" w:rsidRPr="00582A68" w:rsidRDefault="000E38BD" w:rsidP="00F9790A">
            <w:pPr>
              <w:pStyle w:val="ARtabletextright"/>
            </w:pPr>
            <w:r w:rsidRPr="00582A68">
              <w:t>7,011</w:t>
            </w:r>
          </w:p>
        </w:tc>
        <w:tc>
          <w:tcPr>
            <w:tcW w:w="1134" w:type="dxa"/>
            <w:tcBorders>
              <w:top w:val="single" w:sz="4" w:space="0" w:color="A5A59D" w:themeColor="background2" w:themeShade="BF"/>
              <w:left w:val="nil"/>
              <w:bottom w:val="nil"/>
              <w:right w:val="nil"/>
            </w:tcBorders>
          </w:tcPr>
          <w:p w14:paraId="1C299AD7" w14:textId="77777777" w:rsidR="000E38BD" w:rsidRPr="008E6637" w:rsidRDefault="000E38BD" w:rsidP="00F9790A">
            <w:pPr>
              <w:pStyle w:val="ARtabletextright"/>
            </w:pPr>
            <w:r w:rsidRPr="008E6637">
              <w:t>6,932</w:t>
            </w:r>
          </w:p>
        </w:tc>
      </w:tr>
      <w:tr w:rsidR="000E38BD" w:rsidRPr="00B82E6C" w14:paraId="297950C9" w14:textId="77777777" w:rsidTr="00F50887">
        <w:trPr>
          <w:cantSplit/>
        </w:trPr>
        <w:tc>
          <w:tcPr>
            <w:tcW w:w="6236" w:type="dxa"/>
            <w:tcBorders>
              <w:top w:val="single" w:sz="4" w:space="0" w:color="A5A59D" w:themeColor="background2" w:themeShade="BF"/>
              <w:left w:val="nil"/>
              <w:bottom w:val="single" w:sz="4" w:space="0" w:color="A5A59D" w:themeColor="background2" w:themeShade="BF"/>
              <w:right w:val="nil"/>
            </w:tcBorders>
            <w:vAlign w:val="center"/>
          </w:tcPr>
          <w:p w14:paraId="626CC3DD" w14:textId="77777777" w:rsidR="000E38BD" w:rsidRPr="00F9790A" w:rsidRDefault="000E38BD" w:rsidP="00F9790A">
            <w:pPr>
              <w:pStyle w:val="ARtabletext"/>
            </w:pPr>
            <w:r w:rsidRPr="00F9790A">
              <w:t>Average waiting time for public rental housing for those clients who have received priority access housing allocation or a priority transfer</w:t>
            </w:r>
          </w:p>
        </w:tc>
        <w:tc>
          <w:tcPr>
            <w:tcW w:w="1134" w:type="dxa"/>
            <w:tcBorders>
              <w:top w:val="single" w:sz="4" w:space="0" w:color="A5A59D" w:themeColor="background2" w:themeShade="BF"/>
              <w:left w:val="nil"/>
              <w:bottom w:val="single" w:sz="4" w:space="0" w:color="A5A59D" w:themeColor="background2" w:themeShade="BF"/>
              <w:right w:val="nil"/>
            </w:tcBorders>
          </w:tcPr>
          <w:p w14:paraId="01A2DB92" w14:textId="77777777" w:rsidR="000E38BD" w:rsidRPr="00582A68" w:rsidRDefault="000E38BD" w:rsidP="00F9790A">
            <w:pPr>
              <w:pStyle w:val="ARtabletextright"/>
            </w:pPr>
            <w:r w:rsidRPr="00582A68">
              <w:t>15.2 months</w:t>
            </w:r>
          </w:p>
        </w:tc>
        <w:tc>
          <w:tcPr>
            <w:tcW w:w="1134" w:type="dxa"/>
            <w:tcBorders>
              <w:top w:val="single" w:sz="4" w:space="0" w:color="A5A59D" w:themeColor="background2" w:themeShade="BF"/>
              <w:left w:val="nil"/>
              <w:bottom w:val="single" w:sz="4" w:space="0" w:color="A5A59D" w:themeColor="background2" w:themeShade="BF"/>
              <w:right w:val="nil"/>
            </w:tcBorders>
          </w:tcPr>
          <w:p w14:paraId="5FCE11D5" w14:textId="77777777" w:rsidR="000E38BD" w:rsidRPr="00582A68" w:rsidRDefault="000E38BD" w:rsidP="00F9790A">
            <w:pPr>
              <w:pStyle w:val="ARtabletextright"/>
            </w:pPr>
            <w:r w:rsidRPr="00582A68">
              <w:t>18.1 months</w:t>
            </w:r>
          </w:p>
        </w:tc>
        <w:tc>
          <w:tcPr>
            <w:tcW w:w="1134" w:type="dxa"/>
            <w:tcBorders>
              <w:top w:val="single" w:sz="4" w:space="0" w:color="A5A59D" w:themeColor="background2" w:themeShade="BF"/>
              <w:left w:val="nil"/>
              <w:bottom w:val="single" w:sz="4" w:space="0" w:color="A5A59D" w:themeColor="background2" w:themeShade="BF"/>
              <w:right w:val="nil"/>
            </w:tcBorders>
          </w:tcPr>
          <w:p w14:paraId="7F8EEF25" w14:textId="77777777" w:rsidR="000E38BD" w:rsidRPr="00E65579" w:rsidRDefault="000E38BD" w:rsidP="00F9790A">
            <w:pPr>
              <w:pStyle w:val="ARtabletextright"/>
            </w:pPr>
            <w:r w:rsidRPr="00E65579">
              <w:t>19.8 months</w:t>
            </w:r>
          </w:p>
        </w:tc>
      </w:tr>
      <w:tr w:rsidR="000E38BD" w:rsidRPr="00B82E6C" w14:paraId="58BB14CE" w14:textId="77777777" w:rsidTr="00F50887">
        <w:trPr>
          <w:cantSplit/>
        </w:trPr>
        <w:tc>
          <w:tcPr>
            <w:tcW w:w="6236" w:type="dxa"/>
            <w:tcBorders>
              <w:top w:val="single" w:sz="4" w:space="0" w:color="A5A59D" w:themeColor="background2" w:themeShade="BF"/>
              <w:left w:val="nil"/>
              <w:bottom w:val="single" w:sz="4" w:space="0" w:color="A5A59D" w:themeColor="background2" w:themeShade="BF"/>
              <w:right w:val="nil"/>
            </w:tcBorders>
            <w:vAlign w:val="center"/>
          </w:tcPr>
          <w:p w14:paraId="2E1CE9B1" w14:textId="77777777" w:rsidR="000E38BD" w:rsidRPr="00F9790A" w:rsidRDefault="000E38BD" w:rsidP="00F9790A">
            <w:pPr>
              <w:pStyle w:val="ARtabletext"/>
            </w:pPr>
            <w:r w:rsidRPr="00F9790A">
              <w:t>Average waiting time for public rental housing for clients who have received a priority access housing or priority transfer allocation due to family violence</w:t>
            </w:r>
          </w:p>
        </w:tc>
        <w:tc>
          <w:tcPr>
            <w:tcW w:w="1134" w:type="dxa"/>
            <w:tcBorders>
              <w:top w:val="single" w:sz="4" w:space="0" w:color="A5A59D" w:themeColor="background2" w:themeShade="BF"/>
              <w:left w:val="nil"/>
              <w:bottom w:val="single" w:sz="4" w:space="0" w:color="A5A59D" w:themeColor="background2" w:themeShade="BF"/>
              <w:right w:val="nil"/>
            </w:tcBorders>
          </w:tcPr>
          <w:p w14:paraId="263DE765" w14:textId="77777777" w:rsidR="000E38BD" w:rsidRPr="00582A68" w:rsidRDefault="000E38BD" w:rsidP="00F9790A">
            <w:pPr>
              <w:pStyle w:val="ARtabletextright"/>
            </w:pPr>
            <w:r w:rsidRPr="00582A68">
              <w:t>17.1 months</w:t>
            </w:r>
          </w:p>
        </w:tc>
        <w:tc>
          <w:tcPr>
            <w:tcW w:w="1134" w:type="dxa"/>
            <w:tcBorders>
              <w:top w:val="single" w:sz="4" w:space="0" w:color="A5A59D" w:themeColor="background2" w:themeShade="BF"/>
              <w:left w:val="nil"/>
              <w:bottom w:val="single" w:sz="4" w:space="0" w:color="A5A59D" w:themeColor="background2" w:themeShade="BF"/>
              <w:right w:val="nil"/>
            </w:tcBorders>
          </w:tcPr>
          <w:p w14:paraId="2FE2DB18" w14:textId="77777777" w:rsidR="000E38BD" w:rsidRPr="00582A68" w:rsidRDefault="000E38BD" w:rsidP="00F9790A">
            <w:pPr>
              <w:pStyle w:val="ARtabletextright"/>
            </w:pPr>
            <w:r w:rsidRPr="00582A68">
              <w:t>23.6 months</w:t>
            </w:r>
          </w:p>
        </w:tc>
        <w:tc>
          <w:tcPr>
            <w:tcW w:w="1134" w:type="dxa"/>
            <w:tcBorders>
              <w:top w:val="single" w:sz="4" w:space="0" w:color="A5A59D" w:themeColor="background2" w:themeShade="BF"/>
              <w:left w:val="nil"/>
              <w:bottom w:val="single" w:sz="4" w:space="0" w:color="A5A59D" w:themeColor="background2" w:themeShade="BF"/>
              <w:right w:val="nil"/>
            </w:tcBorders>
          </w:tcPr>
          <w:p w14:paraId="2CFBF38C" w14:textId="77777777" w:rsidR="000E38BD" w:rsidRPr="00E65579" w:rsidRDefault="000E38BD" w:rsidP="00F9790A">
            <w:pPr>
              <w:pStyle w:val="ARtabletextright"/>
            </w:pPr>
            <w:r w:rsidRPr="00E65579">
              <w:t>19.5 month</w:t>
            </w:r>
          </w:p>
        </w:tc>
      </w:tr>
      <w:tr w:rsidR="000E38BD" w:rsidRPr="009D085C" w14:paraId="2CD60254" w14:textId="77777777" w:rsidTr="00F50887">
        <w:trPr>
          <w:cantSplit/>
        </w:trPr>
        <w:tc>
          <w:tcPr>
            <w:tcW w:w="6236" w:type="dxa"/>
            <w:tcBorders>
              <w:top w:val="single" w:sz="4" w:space="0" w:color="A5A59D" w:themeColor="background2" w:themeShade="BF"/>
              <w:left w:val="nil"/>
              <w:bottom w:val="single" w:sz="4" w:space="0" w:color="auto"/>
              <w:right w:val="nil"/>
            </w:tcBorders>
            <w:vAlign w:val="center"/>
          </w:tcPr>
          <w:p w14:paraId="1C19FF9A" w14:textId="77777777" w:rsidR="000E38BD" w:rsidRPr="00F9790A" w:rsidRDefault="000E38BD" w:rsidP="00F9790A">
            <w:pPr>
              <w:pStyle w:val="ARtabletext"/>
            </w:pPr>
            <w:r w:rsidRPr="00F9790A">
              <w:t>Number of Utility Relief Grants granted to households</w:t>
            </w:r>
          </w:p>
        </w:tc>
        <w:tc>
          <w:tcPr>
            <w:tcW w:w="1134" w:type="dxa"/>
            <w:tcBorders>
              <w:top w:val="single" w:sz="4" w:space="0" w:color="A5A59D" w:themeColor="background2" w:themeShade="BF"/>
              <w:left w:val="nil"/>
              <w:bottom w:val="single" w:sz="4" w:space="0" w:color="auto"/>
              <w:right w:val="nil"/>
            </w:tcBorders>
          </w:tcPr>
          <w:p w14:paraId="2C6F657A" w14:textId="77777777" w:rsidR="000E38BD" w:rsidRPr="00582A68" w:rsidRDefault="000E38BD" w:rsidP="00F9790A">
            <w:pPr>
              <w:pStyle w:val="ARtabletextright"/>
            </w:pPr>
            <w:r w:rsidRPr="00582A68">
              <w:t>84,220</w:t>
            </w:r>
          </w:p>
        </w:tc>
        <w:tc>
          <w:tcPr>
            <w:tcW w:w="1134" w:type="dxa"/>
            <w:tcBorders>
              <w:top w:val="single" w:sz="4" w:space="0" w:color="A5A59D" w:themeColor="background2" w:themeShade="BF"/>
              <w:left w:val="nil"/>
              <w:bottom w:val="single" w:sz="4" w:space="0" w:color="auto"/>
              <w:right w:val="nil"/>
            </w:tcBorders>
          </w:tcPr>
          <w:p w14:paraId="4894CB71" w14:textId="77777777" w:rsidR="000E38BD" w:rsidRPr="00582A68" w:rsidRDefault="000E38BD" w:rsidP="00F9790A">
            <w:pPr>
              <w:pStyle w:val="ARtabletextright"/>
            </w:pPr>
            <w:r w:rsidRPr="00582A68">
              <w:t>94,382</w:t>
            </w:r>
          </w:p>
        </w:tc>
        <w:tc>
          <w:tcPr>
            <w:tcW w:w="1134" w:type="dxa"/>
            <w:tcBorders>
              <w:top w:val="single" w:sz="4" w:space="0" w:color="A5A59D" w:themeColor="background2" w:themeShade="BF"/>
              <w:left w:val="nil"/>
              <w:bottom w:val="single" w:sz="4" w:space="0" w:color="auto"/>
              <w:right w:val="nil"/>
            </w:tcBorders>
          </w:tcPr>
          <w:p w14:paraId="0F4D8AE4" w14:textId="77777777" w:rsidR="000E38BD" w:rsidRPr="009D085C" w:rsidRDefault="000E38BD" w:rsidP="00F9790A">
            <w:pPr>
              <w:pStyle w:val="ARtabletextright"/>
              <w:rPr>
                <w:highlight w:val="cyan"/>
              </w:rPr>
            </w:pPr>
            <w:r w:rsidRPr="00A236E8">
              <w:t>108,487</w:t>
            </w:r>
          </w:p>
        </w:tc>
      </w:tr>
    </w:tbl>
    <w:p w14:paraId="29241E85" w14:textId="77777777" w:rsidR="000E38BD" w:rsidRDefault="000E38BD" w:rsidP="00E556FC">
      <w:pPr>
        <w:pStyle w:val="Heading4"/>
        <w:spacing w:before="480"/>
      </w:pPr>
      <w:bookmarkStart w:id="133" w:name="_Toc173830621"/>
      <w:bookmarkStart w:id="134" w:name="_Toc173832286"/>
      <w:r w:rsidRPr="00532DAE">
        <w:t>Key initiatives and projects</w:t>
      </w:r>
      <w:bookmarkEnd w:id="133"/>
      <w:bookmarkEnd w:id="134"/>
    </w:p>
    <w:p w14:paraId="69B38B29" w14:textId="77777777" w:rsidR="000E38BD" w:rsidRDefault="000E38BD" w:rsidP="00207901">
      <w:pPr>
        <w:pStyle w:val="Heading5"/>
        <w:sectPr w:rsidR="000E38BD" w:rsidSect="005936D2">
          <w:footnotePr>
            <w:numFmt w:val="lowerRoman"/>
            <w:numRestart w:val="eachPage"/>
          </w:footnotePr>
          <w:endnotePr>
            <w:numFmt w:val="decimal"/>
          </w:endnotePr>
          <w:pgSz w:w="11900" w:h="16840" w:code="9"/>
          <w:pgMar w:top="1701" w:right="1134" w:bottom="851" w:left="1134" w:header="510" w:footer="340" w:gutter="0"/>
          <w:cols w:space="448"/>
        </w:sectPr>
      </w:pPr>
    </w:p>
    <w:p w14:paraId="27EEA29A" w14:textId="77777777" w:rsidR="000E38BD" w:rsidRPr="0027266A" w:rsidRDefault="000E38BD" w:rsidP="00E556FC">
      <w:pPr>
        <w:pStyle w:val="Heading5"/>
        <w:spacing w:before="0"/>
      </w:pPr>
      <w:bookmarkStart w:id="135" w:name="_Toc173832287"/>
      <w:r w:rsidRPr="0027266A">
        <w:t xml:space="preserve">Supporting young </w:t>
      </w:r>
      <w:r w:rsidRPr="00ED5984">
        <w:t>Victorians</w:t>
      </w:r>
      <w:r w:rsidRPr="0027266A">
        <w:t xml:space="preserve"> experiencing, or at risk of, homelessness</w:t>
      </w:r>
    </w:p>
    <w:p w14:paraId="08E0A758" w14:textId="77777777" w:rsidR="000E38BD" w:rsidRPr="00F9790A" w:rsidRDefault="000E38BD" w:rsidP="00F9790A">
      <w:pPr>
        <w:pStyle w:val="ARbody"/>
      </w:pPr>
      <w:r w:rsidRPr="00F9790A">
        <w:t>The department continues to fund specialist homelessness services sector to support young people experiencing and at risk of homelessness.</w:t>
      </w:r>
    </w:p>
    <w:p w14:paraId="2D8093B1" w14:textId="37D87861" w:rsidR="000E38BD" w:rsidRDefault="000E38BD" w:rsidP="00512900">
      <w:pPr>
        <w:pStyle w:val="ARbody"/>
      </w:pPr>
      <w:r w:rsidRPr="00F9790A">
        <w:t>We commi</w:t>
      </w:r>
      <w:r w:rsidR="00B17DF5">
        <w:t>t</w:t>
      </w:r>
      <w:r w:rsidRPr="00F9790A">
        <w:t>t</w:t>
      </w:r>
      <w:r w:rsidR="002B1C0E">
        <w:t>ed</w:t>
      </w:r>
      <w:r w:rsidRPr="00F9790A">
        <w:t xml:space="preserve"> more than $80 million </w:t>
      </w:r>
      <w:r w:rsidR="00354620">
        <w:t>in 2023</w:t>
      </w:r>
      <w:r w:rsidR="00522275">
        <w:t>–</w:t>
      </w:r>
      <w:r w:rsidR="00354620">
        <w:t>24</w:t>
      </w:r>
      <w:r w:rsidRPr="00F9790A">
        <w:t xml:space="preserve"> for youth homelessness services that intervene early to prevent homelessness and support young people to stay connected with their families. These services promote links with education, employment, community and family </w:t>
      </w:r>
      <w:r w:rsidRPr="00512900">
        <w:t>reconciliation</w:t>
      </w:r>
      <w:r w:rsidRPr="00F9790A">
        <w:t xml:space="preserve">. This funding provides more than 430 supported housing beds across 22 youth refuges, 13 youth foyers including </w:t>
      </w:r>
      <w:r w:rsidR="009D641C">
        <w:t>3</w:t>
      </w:r>
      <w:r w:rsidRPr="00F9790A">
        <w:t xml:space="preserve"> Education First Youth Foyers, as well as a youth-specific homelessness entry point, case management support and brokerage for emergency</w:t>
      </w:r>
      <w:r w:rsidR="00606C9E">
        <w:t xml:space="preserve"> </w:t>
      </w:r>
      <w:r w:rsidRPr="00F9790A">
        <w:t>accommodation.</w:t>
      </w:r>
      <w:r w:rsidR="00354620">
        <w:t xml:space="preserve"> The number of young people presenting alone (aged 16</w:t>
      </w:r>
      <w:r w:rsidR="00262C61">
        <w:t>–</w:t>
      </w:r>
      <w:r w:rsidR="00354620">
        <w:t>24)</w:t>
      </w:r>
      <w:r w:rsidR="00732621">
        <w:t xml:space="preserve"> to specialist homelessness services has dropped by 25</w:t>
      </w:r>
      <w:r w:rsidR="00212403">
        <w:t>%</w:t>
      </w:r>
      <w:r w:rsidR="007A4326">
        <w:t>, from around 15,600 in 2015</w:t>
      </w:r>
      <w:r w:rsidR="006E2F2E">
        <w:t>–</w:t>
      </w:r>
      <w:r w:rsidR="007A4326">
        <w:t>16 to 11,600 in 2023</w:t>
      </w:r>
      <w:r w:rsidR="006E2F2E">
        <w:t>–</w:t>
      </w:r>
      <w:r w:rsidR="007A4326">
        <w:t xml:space="preserve">24. </w:t>
      </w:r>
    </w:p>
    <w:p w14:paraId="38AEB409" w14:textId="40E1405F" w:rsidR="000E38BD" w:rsidRPr="00532DAE" w:rsidRDefault="00512900" w:rsidP="00F9790A">
      <w:pPr>
        <w:pStyle w:val="ARbody"/>
        <w:rPr>
          <w:lang w:eastAsia="en-AU"/>
        </w:rPr>
      </w:pPr>
      <w:r>
        <w:br w:type="column"/>
      </w:r>
      <w:r w:rsidR="00934E12">
        <w:t xml:space="preserve">The department committed $50.06 million in Youth </w:t>
      </w:r>
      <w:r w:rsidR="0098259C">
        <w:t>Capital Grants in 2022</w:t>
      </w:r>
      <w:r w:rsidR="006E2F2E">
        <w:t>–</w:t>
      </w:r>
      <w:r w:rsidR="0098259C">
        <w:t xml:space="preserve">23 to deliver </w:t>
      </w:r>
      <w:r w:rsidR="009D641C">
        <w:t>10</w:t>
      </w:r>
      <w:r w:rsidR="0098259C">
        <w:t xml:space="preserve"> projects that will provide accommodation and support for 139 young people. The first site opened in February 2024 and will provide </w:t>
      </w:r>
      <w:r w:rsidR="009D641C">
        <w:t>4</w:t>
      </w:r>
      <w:r w:rsidR="000F7452">
        <w:t xml:space="preserve"> years of support for up to </w:t>
      </w:r>
      <w:r w:rsidR="00F95AC7">
        <w:t>6</w:t>
      </w:r>
      <w:r w:rsidR="006A5BDD">
        <w:t xml:space="preserve"> </w:t>
      </w:r>
      <w:r w:rsidR="00C43A25">
        <w:t>young people. The remaining sites are due for completion by the end of 2025.</w:t>
      </w:r>
      <w:r w:rsidR="00934E12">
        <w:t xml:space="preserve"> </w:t>
      </w:r>
    </w:p>
    <w:p w14:paraId="19D2B90F" w14:textId="3673DDBD" w:rsidR="00F9790A" w:rsidRDefault="000E38BD" w:rsidP="00512900">
      <w:pPr>
        <w:pStyle w:val="ARbody"/>
      </w:pPr>
      <w:r w:rsidRPr="00CD2FED">
        <w:t xml:space="preserve">The </w:t>
      </w:r>
      <w:r w:rsidRPr="00233486">
        <w:rPr>
          <w:rStyle w:val="Emphasis"/>
          <w:i w:val="0"/>
          <w:iCs w:val="0"/>
        </w:rPr>
        <w:t>2023</w:t>
      </w:r>
      <w:r w:rsidR="00E837F9" w:rsidRPr="00233486">
        <w:rPr>
          <w:rStyle w:val="Emphasis"/>
          <w:i w:val="0"/>
          <w:iCs w:val="0"/>
        </w:rPr>
        <w:t>–</w:t>
      </w:r>
      <w:r w:rsidRPr="00233486">
        <w:rPr>
          <w:rStyle w:val="Emphasis"/>
          <w:i w:val="0"/>
          <w:iCs w:val="0"/>
        </w:rPr>
        <w:t>24 State Budget</w:t>
      </w:r>
      <w:r w:rsidRPr="00F64CF1">
        <w:rPr>
          <w:rStyle w:val="Emphasis"/>
        </w:rPr>
        <w:t xml:space="preserve"> </w:t>
      </w:r>
      <w:r w:rsidRPr="00645AD0">
        <w:t>al</w:t>
      </w:r>
      <w:r>
        <w:t>so i</w:t>
      </w:r>
      <w:r w:rsidRPr="00CD2FED">
        <w:t>ncluded $32.</w:t>
      </w:r>
      <w:r w:rsidR="00262C61" w:rsidRPr="00CD2FED">
        <w:t>6</w:t>
      </w:r>
      <w:r w:rsidR="00262C61">
        <w:t> </w:t>
      </w:r>
      <w:r w:rsidRPr="00CD2FED">
        <w:t xml:space="preserve">million over </w:t>
      </w:r>
      <w:r>
        <w:t>4</w:t>
      </w:r>
      <w:r w:rsidRPr="00CD2FED">
        <w:t xml:space="preserve"> years for the Housing First initiative</w:t>
      </w:r>
      <w:r>
        <w:t xml:space="preserve"> for young people leaving care. This </w:t>
      </w:r>
      <w:r w:rsidRPr="00CD2FED">
        <w:t>will support 225 young people leaving residential care and other settings with guaranteed housing and wrap</w:t>
      </w:r>
      <w:r w:rsidR="002873E8">
        <w:t>-</w:t>
      </w:r>
      <w:r w:rsidRPr="00CD2FED">
        <w:t xml:space="preserve">around supports as part of their transition from care to independent living. </w:t>
      </w:r>
    </w:p>
    <w:p w14:paraId="4FCD0205" w14:textId="77777777" w:rsidR="000E38BD" w:rsidRDefault="000E38BD" w:rsidP="00F9790A">
      <w:pPr>
        <w:pStyle w:val="ARbody"/>
      </w:pPr>
      <w:r w:rsidRPr="00CD2FED">
        <w:t xml:space="preserve">Supports include individualised case work to build independent living skills, and assist young people to access education, employment, and training opportunities. Specialised tenancy support assists each young person participating in the program to maintain their housing and helps with creating and finding opportunities for stable housing at the end of the program. </w:t>
      </w:r>
      <w:r>
        <w:t>Service delivery will commence from late 2024.</w:t>
      </w:r>
    </w:p>
    <w:bookmarkEnd w:id="135"/>
    <w:p w14:paraId="06D35B9A" w14:textId="77777777" w:rsidR="000E38BD" w:rsidRPr="006D66AA" w:rsidRDefault="000E38BD" w:rsidP="00C24BF2">
      <w:pPr>
        <w:pStyle w:val="Heading5"/>
        <w:spacing w:before="120"/>
      </w:pPr>
      <w:r w:rsidRPr="006D66AA">
        <w:t>More and better social and affordable housing for more Victorians</w:t>
      </w:r>
    </w:p>
    <w:p w14:paraId="756DD7FE" w14:textId="3594C839" w:rsidR="000E38BD" w:rsidRDefault="000E38BD" w:rsidP="00512900">
      <w:pPr>
        <w:pStyle w:val="ARbody"/>
      </w:pPr>
      <w:r>
        <w:t>In 2023</w:t>
      </w:r>
      <w:r w:rsidR="00E837F9">
        <w:t>–</w:t>
      </w:r>
      <w:r>
        <w:t>24, we delivered 2,938 new social homes, the largest number of new social housing in the last 10 years. This included delivering more and better homes through the funding programs outlined</w:t>
      </w:r>
      <w:r w:rsidR="00F9790A">
        <w:t> </w:t>
      </w:r>
      <w:r>
        <w:t>below.</w:t>
      </w:r>
      <w:r w:rsidR="00D90552">
        <w:t xml:space="preserve"> </w:t>
      </w:r>
    </w:p>
    <w:p w14:paraId="12041C32" w14:textId="6C16A5E2" w:rsidR="000E38BD" w:rsidRPr="00645AD0" w:rsidRDefault="000E38BD" w:rsidP="00F9790A">
      <w:pPr>
        <w:pStyle w:val="Heading6"/>
      </w:pPr>
      <w:r w:rsidRPr="003B3527">
        <w:rPr>
          <w:lang w:val="en-US"/>
        </w:rPr>
        <w:t xml:space="preserve">More homes for Victorians through the Big Housing </w:t>
      </w:r>
      <w:r w:rsidRPr="00F9790A">
        <w:t>Build</w:t>
      </w:r>
    </w:p>
    <w:p w14:paraId="42BA5373" w14:textId="77777777" w:rsidR="000E38BD" w:rsidRDefault="000E38BD" w:rsidP="0088621E">
      <w:pPr>
        <w:pStyle w:val="ARbody"/>
      </w:pPr>
      <w:r>
        <w:t>At the end of June 2024:</w:t>
      </w:r>
    </w:p>
    <w:p w14:paraId="01203FD8" w14:textId="785327F2" w:rsidR="000E38BD" w:rsidRPr="00F9790A" w:rsidRDefault="000E38BD" w:rsidP="00F9790A">
      <w:pPr>
        <w:pStyle w:val="ARbullet1"/>
      </w:pPr>
      <w:r w:rsidRPr="00F9790A">
        <w:t>more than 9,600 homes were completed or underway, which is 80% of the Big Housing Build target of 12,000 new social and affordable</w:t>
      </w:r>
      <w:r w:rsidR="006E2F2E">
        <w:t> </w:t>
      </w:r>
      <w:r w:rsidRPr="00F9790A">
        <w:t>homes</w:t>
      </w:r>
    </w:p>
    <w:p w14:paraId="4D3DE582" w14:textId="160E7BB9" w:rsidR="000E38BD" w:rsidRPr="00F9790A" w:rsidRDefault="000E38BD" w:rsidP="00F9790A">
      <w:pPr>
        <w:pStyle w:val="ARbullet1"/>
      </w:pPr>
      <w:r w:rsidRPr="00F9790A">
        <w:t>more than 4,400 households had either moved in or were getting ready to move into brand</w:t>
      </w:r>
      <w:r w:rsidR="00640AEF">
        <w:t>-</w:t>
      </w:r>
      <w:r w:rsidRPr="00F9790A">
        <w:t>new energy-efficient homes</w:t>
      </w:r>
    </w:p>
    <w:p w14:paraId="5A9A943A" w14:textId="4BDE5B3A" w:rsidR="000E38BD" w:rsidRPr="00F9790A" w:rsidRDefault="00F901E3" w:rsidP="00F9790A">
      <w:pPr>
        <w:pStyle w:val="ARbullet1"/>
      </w:pPr>
      <w:r>
        <w:t xml:space="preserve">more than </w:t>
      </w:r>
      <w:r w:rsidR="000E38BD" w:rsidRPr="00F9790A">
        <w:t xml:space="preserve">3,150 homes were completed or underway in regional Victoria with </w:t>
      </w:r>
      <w:r w:rsidR="000E38BD" w:rsidRPr="00F9790A" w:rsidDel="009E3F21">
        <w:t xml:space="preserve">more than </w:t>
      </w:r>
      <w:r w:rsidR="000E38BD" w:rsidRPr="00F9790A">
        <w:t xml:space="preserve">$1.1 billion invested </w:t>
      </w:r>
    </w:p>
    <w:p w14:paraId="77355EDE" w14:textId="43B051CC" w:rsidR="000E38BD" w:rsidRPr="00F9790A" w:rsidRDefault="00F901E3" w:rsidP="00F9790A">
      <w:pPr>
        <w:pStyle w:val="ARbullet1"/>
      </w:pPr>
      <w:r>
        <w:t xml:space="preserve">more than </w:t>
      </w:r>
      <w:r w:rsidR="004B5B43">
        <w:t>590</w:t>
      </w:r>
      <w:r>
        <w:t xml:space="preserve"> </w:t>
      </w:r>
      <w:r w:rsidR="000E38BD" w:rsidRPr="00F9790A">
        <w:t>dedicated homes for Aboriginal Victorians were completed or underway, with more on the way</w:t>
      </w:r>
      <w:r w:rsidR="00F042F4">
        <w:t xml:space="preserve"> (towards the 820 new home</w:t>
      </w:r>
      <w:r w:rsidR="006E2F2E">
        <w:t> </w:t>
      </w:r>
      <w:r w:rsidR="00F042F4">
        <w:t>target)</w:t>
      </w:r>
    </w:p>
    <w:p w14:paraId="558556C5" w14:textId="53B4B4B4" w:rsidR="000E38BD" w:rsidRPr="00F9790A" w:rsidRDefault="001B0218" w:rsidP="00F9790A">
      <w:pPr>
        <w:pStyle w:val="ARbullet1"/>
      </w:pPr>
      <w:r>
        <w:t xml:space="preserve">over </w:t>
      </w:r>
      <w:r w:rsidR="000E38BD" w:rsidRPr="00F9790A">
        <w:t>670 victim survivors of family violence had moved into safe secure and stable homes</w:t>
      </w:r>
      <w:r w:rsidR="007532B4">
        <w:t xml:space="preserve">, which is </w:t>
      </w:r>
      <w:r w:rsidR="000E38BD" w:rsidRPr="00F9790A">
        <w:t xml:space="preserve">two-thirds of </w:t>
      </w:r>
      <w:r w:rsidR="00E0681A">
        <w:t>the</w:t>
      </w:r>
      <w:r w:rsidR="000E38BD" w:rsidRPr="00F9790A">
        <w:t xml:space="preserve"> 1,000 homes</w:t>
      </w:r>
      <w:r w:rsidR="00E0681A">
        <w:t xml:space="preserve"> target</w:t>
      </w:r>
    </w:p>
    <w:p w14:paraId="775EA199" w14:textId="5B482AD7" w:rsidR="000E38BD" w:rsidRPr="001C6670" w:rsidRDefault="000E38BD" w:rsidP="00F9790A">
      <w:pPr>
        <w:pStyle w:val="ARbullet1"/>
        <w:rPr>
          <w:spacing w:val="-4"/>
        </w:rPr>
      </w:pPr>
      <w:r w:rsidRPr="001C6670">
        <w:rPr>
          <w:spacing w:val="-4"/>
        </w:rPr>
        <w:t>more than 39,000 jobs ha</w:t>
      </w:r>
      <w:r w:rsidR="00874BED" w:rsidRPr="001C6670">
        <w:rPr>
          <w:spacing w:val="-4"/>
        </w:rPr>
        <w:t>d</w:t>
      </w:r>
      <w:r w:rsidRPr="001C6670">
        <w:rPr>
          <w:spacing w:val="-4"/>
        </w:rPr>
        <w:t xml:space="preserve"> been created, boosting the economy and improving the lives and livelihoods of local and regional</w:t>
      </w:r>
      <w:r w:rsidR="006E2F2E" w:rsidRPr="001C6670">
        <w:rPr>
          <w:spacing w:val="-4"/>
        </w:rPr>
        <w:t> </w:t>
      </w:r>
      <w:r w:rsidRPr="001C6670">
        <w:rPr>
          <w:spacing w:val="-4"/>
        </w:rPr>
        <w:t>communities.</w:t>
      </w:r>
    </w:p>
    <w:p w14:paraId="046A6937" w14:textId="70B599CD" w:rsidR="000E38BD" w:rsidRDefault="00874BED" w:rsidP="00167CD0">
      <w:pPr>
        <w:pStyle w:val="ARbodyafterbullets"/>
        <w:spacing w:line="250" w:lineRule="atLeast"/>
      </w:pPr>
      <w:r>
        <w:t>The department continued to</w:t>
      </w:r>
      <w:r w:rsidR="000E38BD">
        <w:t xml:space="preserve"> deliver large-scale Big Housing Build </w:t>
      </w:r>
      <w:r w:rsidR="00A24A97">
        <w:t xml:space="preserve">projects, including </w:t>
      </w:r>
      <w:r w:rsidR="000E38BD">
        <w:t>Tarakan Street, Heidelberg West (130 apartments and townhouses) and Bills Street, Hawthorn (206 apartments). These homes give more Victorians a great place to live – close to shops, transport and services</w:t>
      </w:r>
      <w:r w:rsidR="00724610">
        <w:t>.</w:t>
      </w:r>
      <w:r w:rsidR="000E38BD">
        <w:t xml:space="preserve"> During the year, construction work also progressed at Elizabeth Street, North Richmond (144 apartments) with completion due in 2025. Planning approval was received for Ormond Road, Geelong East (54</w:t>
      </w:r>
      <w:r w:rsidR="00BB2ABC">
        <w:t> </w:t>
      </w:r>
      <w:r w:rsidR="000E38BD">
        <w:t>apartments) in March 2024.</w:t>
      </w:r>
    </w:p>
    <w:p w14:paraId="3079D0BA" w14:textId="77777777" w:rsidR="0008513E" w:rsidRDefault="000651BD" w:rsidP="000651BD">
      <w:pPr>
        <w:pStyle w:val="Heading6"/>
      </w:pPr>
      <w:r>
        <w:t>Growing Social Housing through the Social Housing Growth Fund</w:t>
      </w:r>
    </w:p>
    <w:p w14:paraId="6A5F64AD" w14:textId="18F9030E" w:rsidR="00430100" w:rsidRDefault="00430100" w:rsidP="00167CD0">
      <w:pPr>
        <w:pStyle w:val="ARbody"/>
        <w:spacing w:line="250" w:lineRule="atLeast"/>
      </w:pPr>
      <w:r>
        <w:t>Established in 2018, the Social Housing Growth Fund allows Homes Victoria to create a pipeline of</w:t>
      </w:r>
      <w:r w:rsidR="00167CD0">
        <w:t> </w:t>
      </w:r>
      <w:r>
        <w:t>new housing delivered in partnership with the community housing sector. The Victorian Government</w:t>
      </w:r>
      <w:r w:rsidR="008C6BC5">
        <w:t xml:space="preserve"> </w:t>
      </w:r>
      <w:r w:rsidR="00703452">
        <w:t>is committed to working with community housing providers to expand and diversify the housing available for low and very low</w:t>
      </w:r>
      <w:r w:rsidR="00167CD0">
        <w:t> </w:t>
      </w:r>
      <w:r w:rsidR="00703452">
        <w:t>income Victorians.</w:t>
      </w:r>
    </w:p>
    <w:p w14:paraId="55773902" w14:textId="4F5C28A6" w:rsidR="00430100" w:rsidRDefault="00430100" w:rsidP="00643135">
      <w:pPr>
        <w:pStyle w:val="ARbody"/>
      </w:pPr>
      <w:r>
        <w:t xml:space="preserve">At 30 June 2024, the Social Housing Growth Fund, has delivered more than 1,900 homes. </w:t>
      </w:r>
    </w:p>
    <w:p w14:paraId="25EA7861" w14:textId="448A8931" w:rsidR="000B58AC" w:rsidRPr="00167CD0" w:rsidRDefault="000A61CB" w:rsidP="00167CD0">
      <w:pPr>
        <w:pStyle w:val="ARbody"/>
      </w:pPr>
      <w:r w:rsidRPr="00167CD0">
        <w:t xml:space="preserve">In 2023-24, this included </w:t>
      </w:r>
      <w:r w:rsidR="00691535" w:rsidRPr="00167CD0">
        <w:t>housing in regional Victoria, homes designed specifically for Victorians living with mental illness and new homes for Aboriginal</w:t>
      </w:r>
      <w:r w:rsidR="00167CD0" w:rsidRPr="00167CD0">
        <w:t xml:space="preserve"> </w:t>
      </w:r>
      <w:r w:rsidR="00691535" w:rsidRPr="00167CD0">
        <w:t xml:space="preserve">Victorians. </w:t>
      </w:r>
    </w:p>
    <w:p w14:paraId="01531590" w14:textId="70602E75" w:rsidR="000E38BD" w:rsidRPr="00ED5984" w:rsidRDefault="009E30AD" w:rsidP="000B58AC">
      <w:pPr>
        <w:pStyle w:val="Heading6"/>
      </w:pPr>
      <w:r>
        <w:t xml:space="preserve">All Victorian community housing organisations share a purpose to provide accommodation for people experiencing disadvantage. Victoria’s regulatory system provides strong oversight over the government’s investment and holds agencies to performance standards to support positive outcomes for community housing renters. </w:t>
      </w:r>
      <w:r w:rsidR="000E38BD" w:rsidRPr="00A12111">
        <w:t xml:space="preserve">Building </w:t>
      </w:r>
      <w:r w:rsidR="00A87A06">
        <w:t xml:space="preserve">a </w:t>
      </w:r>
      <w:r w:rsidR="000E38BD" w:rsidRPr="00A12111">
        <w:t xml:space="preserve">better </w:t>
      </w:r>
      <w:r w:rsidR="00A87A06">
        <w:t>Victoria</w:t>
      </w:r>
      <w:r w:rsidR="000E38BD" w:rsidRPr="00A12111">
        <w:t xml:space="preserve"> – redeveloping our high-rise towers</w:t>
      </w:r>
    </w:p>
    <w:p w14:paraId="6B6ED9BA" w14:textId="44AD1670" w:rsidR="000E38BD" w:rsidRDefault="000E38BD" w:rsidP="00F9790A">
      <w:pPr>
        <w:pStyle w:val="ARbody"/>
      </w:pPr>
      <w:r>
        <w:t>As part of Victoria</w:t>
      </w:r>
      <w:r w:rsidR="00711AE6">
        <w:t>’</w:t>
      </w:r>
      <w:r>
        <w:t xml:space="preserve">s Housing Statement, all 44 older-style public housing high-rise towers </w:t>
      </w:r>
      <w:r w:rsidR="000E4CE7">
        <w:t xml:space="preserve">were announced to be </w:t>
      </w:r>
      <w:r>
        <w:t xml:space="preserve">redeveloped by 2051. The high-rise towers are reaching the end of their operational lives and are no longer fit for modern </w:t>
      </w:r>
      <w:r w:rsidRPr="006C550A">
        <w:t xml:space="preserve">living. </w:t>
      </w:r>
      <w:r>
        <w:t xml:space="preserve">Once complete the </w:t>
      </w:r>
      <w:r w:rsidRPr="00F9790A">
        <w:t>redevelopment</w:t>
      </w:r>
      <w:r>
        <w:t xml:space="preserve"> will increase housing on tower sites from 10,000 to approximately 30,000. This will boost the overall number of social dwellings by 10%</w:t>
      </w:r>
      <w:r w:rsidR="000E4CE7">
        <w:t xml:space="preserve">, </w:t>
      </w:r>
      <w:r w:rsidR="006C6C4C">
        <w:t>so</w:t>
      </w:r>
      <w:r>
        <w:t xml:space="preserve"> more Victorians have the safety and security of a home. </w:t>
      </w:r>
    </w:p>
    <w:p w14:paraId="16A3990E" w14:textId="0D6AD19C" w:rsidR="000E38BD" w:rsidRDefault="000E38BD" w:rsidP="00F9790A">
      <w:pPr>
        <w:pStyle w:val="ARbody"/>
      </w:pPr>
      <w:r>
        <w:t xml:space="preserve">As part of the project commencement, the </w:t>
      </w:r>
      <w:r w:rsidRPr="00F9790A">
        <w:t>department</w:t>
      </w:r>
      <w:r>
        <w:t xml:space="preserve"> connected with every household in</w:t>
      </w:r>
      <w:r w:rsidR="00167CD0">
        <w:t> </w:t>
      </w:r>
      <w:r>
        <w:t>42</w:t>
      </w:r>
      <w:r w:rsidR="00B55E7F">
        <w:t> </w:t>
      </w:r>
      <w:r>
        <w:t>occupied towers through a mixture of home visits, on-site pop-ups, town-hall style meetings and</w:t>
      </w:r>
      <w:r w:rsidR="00B55E7F">
        <w:t> </w:t>
      </w:r>
      <w:r>
        <w:t>in writing – including in language information.</w:t>
      </w:r>
    </w:p>
    <w:p w14:paraId="1D335D12" w14:textId="63406311" w:rsidR="000E38BD" w:rsidRPr="00B87326" w:rsidRDefault="000E38BD" w:rsidP="00F9790A">
      <w:pPr>
        <w:pStyle w:val="ARbody"/>
      </w:pPr>
      <w:r>
        <w:t xml:space="preserve">As at 30 June 2024, 94.8% households from the first </w:t>
      </w:r>
      <w:r w:rsidRPr="00F9790A">
        <w:t>tranche</w:t>
      </w:r>
      <w:r>
        <w:t xml:space="preserve"> of towers in North Melbourne and Flemington have</w:t>
      </w:r>
      <w:r w:rsidRPr="00A81EDC">
        <w:t xml:space="preserve"> submitted a housing application to</w:t>
      </w:r>
      <w:r w:rsidR="00B55E7F">
        <w:t> </w:t>
      </w:r>
      <w:r w:rsidRPr="00A81EDC">
        <w:t>outline their housing needs</w:t>
      </w:r>
      <w:r>
        <w:t xml:space="preserve"> and preferences.</w:t>
      </w:r>
      <w:r w:rsidR="00D90552">
        <w:t xml:space="preserve"> </w:t>
      </w:r>
    </w:p>
    <w:p w14:paraId="56862ABE" w14:textId="2733F643" w:rsidR="000E38BD" w:rsidRPr="00B87326" w:rsidRDefault="000E38BD" w:rsidP="00F9790A">
      <w:pPr>
        <w:pStyle w:val="ARbody"/>
      </w:pPr>
      <w:r>
        <w:t xml:space="preserve">The redevelopment of the vacant </w:t>
      </w:r>
      <w:r w:rsidR="00711AE6">
        <w:t>‘</w:t>
      </w:r>
      <w:r>
        <w:t>Red Brick</w:t>
      </w:r>
      <w:r w:rsidR="00711AE6">
        <w:t>’</w:t>
      </w:r>
      <w:r>
        <w:t xml:space="preserve"> towers</w:t>
      </w:r>
      <w:r w:rsidR="00167CD0">
        <w:t> </w:t>
      </w:r>
      <w:r>
        <w:t>in Carlto</w:t>
      </w:r>
      <w:r w:rsidRPr="00DA1192">
        <w:t>n</w:t>
      </w:r>
      <w:r w:rsidR="006C6C4C">
        <w:t>,</w:t>
      </w:r>
      <w:r w:rsidRPr="00DA1192">
        <w:t xml:space="preserve"> which will replace 196 outdated, uninhabitable dwellings built in the 1960s with </w:t>
      </w:r>
      <w:r w:rsidR="00B80E88">
        <w:t xml:space="preserve">at least </w:t>
      </w:r>
      <w:r w:rsidRPr="00DA1192">
        <w:t>231 modern, energy</w:t>
      </w:r>
      <w:r w:rsidR="001D6CA7">
        <w:t>-</w:t>
      </w:r>
      <w:r w:rsidRPr="00DA1192">
        <w:t>efficient homes</w:t>
      </w:r>
      <w:r w:rsidR="00B80E88">
        <w:t>,</w:t>
      </w:r>
      <w:r w:rsidRPr="00DA1192">
        <w:t xml:space="preserve"> has also </w:t>
      </w:r>
      <w:r w:rsidRPr="00F9790A">
        <w:t>commenced</w:t>
      </w:r>
      <w:r w:rsidRPr="00DA1192">
        <w:t>. An architect has been commissioned to c</w:t>
      </w:r>
      <w:r>
        <w:t>ommence the design of the new buildings and renter and community engagement is underway.</w:t>
      </w:r>
    </w:p>
    <w:p w14:paraId="7422A57E" w14:textId="1BC90E26" w:rsidR="00D72D1E" w:rsidRDefault="000E38BD" w:rsidP="00F9790A">
      <w:pPr>
        <w:pStyle w:val="ARbody"/>
      </w:pPr>
      <w:r w:rsidRPr="00B87326">
        <w:t xml:space="preserve">Through </w:t>
      </w:r>
      <w:r w:rsidRPr="00F64CF1">
        <w:rPr>
          <w:rStyle w:val="Emphasis"/>
        </w:rPr>
        <w:t>Our Communities: Our Values</w:t>
      </w:r>
      <w:r>
        <w:t>,</w:t>
      </w:r>
      <w:r w:rsidRPr="00B87326">
        <w:t xml:space="preserve"> Homes Victoria </w:t>
      </w:r>
      <w:r>
        <w:t>has engaged with</w:t>
      </w:r>
      <w:r w:rsidRPr="00B87326">
        <w:t xml:space="preserve"> renters to develop the </w:t>
      </w:r>
      <w:r w:rsidRPr="00F9790A">
        <w:t>principles</w:t>
      </w:r>
      <w:r w:rsidRPr="00B87326">
        <w:t xml:space="preserve"> that will guide how we work with them </w:t>
      </w:r>
      <w:r>
        <w:t>throughout the high-rise redevelopment. Over</w:t>
      </w:r>
      <w:r w:rsidRPr="10D23D05">
        <w:t xml:space="preserve"> 700 renters </w:t>
      </w:r>
      <w:r>
        <w:t>have participated in engagement activities and provided valuable input, insights and ideas that will contribute to positive housing outcomes.</w:t>
      </w:r>
      <w:r w:rsidR="00D72D1E">
        <w:br w:type="page"/>
      </w:r>
    </w:p>
    <w:p w14:paraId="7033D73E" w14:textId="77777777" w:rsidR="000E38BD" w:rsidRDefault="000E38BD" w:rsidP="00F9790A">
      <w:pPr>
        <w:pStyle w:val="Heading6"/>
      </w:pPr>
      <w:r w:rsidRPr="5E0D8133">
        <w:t xml:space="preserve">Delivering </w:t>
      </w:r>
      <w:r w:rsidRPr="47D79A71">
        <w:t xml:space="preserve">more </w:t>
      </w:r>
      <w:r w:rsidRPr="62646A4F">
        <w:t xml:space="preserve">and better homes </w:t>
      </w:r>
      <w:r w:rsidRPr="073A2232">
        <w:t>sooner</w:t>
      </w:r>
      <w:r w:rsidRPr="2EB4ACA1">
        <w:t xml:space="preserve"> </w:t>
      </w:r>
    </w:p>
    <w:p w14:paraId="0FD56B20" w14:textId="3D306DE4" w:rsidR="00F9790A" w:rsidRDefault="000E38BD" w:rsidP="00B90B71">
      <w:pPr>
        <w:pStyle w:val="ARbody"/>
      </w:pPr>
      <w:r w:rsidRPr="00E23B61">
        <w:t>As part of the Commonwealth Government</w:t>
      </w:r>
      <w:r w:rsidR="00711AE6">
        <w:t>’</w:t>
      </w:r>
      <w:r w:rsidRPr="00E23B61">
        <w:t>s $2</w:t>
      </w:r>
      <w:r w:rsidR="006E2F2E">
        <w:t> </w:t>
      </w:r>
      <w:r w:rsidRPr="00F9790A">
        <w:t>billion</w:t>
      </w:r>
      <w:r w:rsidRPr="00E23B61">
        <w:t xml:space="preserve"> Social Housing Accelerator Program, </w:t>
      </w:r>
      <w:r>
        <w:t>work started on delivering</w:t>
      </w:r>
      <w:r w:rsidRPr="00F85A85">
        <w:t xml:space="preserve"> 769 new social homes</w:t>
      </w:r>
      <w:r w:rsidR="0024557C">
        <w:t>, which</w:t>
      </w:r>
      <w:r w:rsidR="006E2F2E">
        <w:t> </w:t>
      </w:r>
      <w:r w:rsidR="0024557C">
        <w:t>include</w:t>
      </w:r>
      <w:r w:rsidRPr="00F85A85">
        <w:t xml:space="preserve"> low density developments on Homes</w:t>
      </w:r>
      <w:r w:rsidR="006E2F2E">
        <w:t> </w:t>
      </w:r>
      <w:r w:rsidRPr="00F85A85">
        <w:t xml:space="preserve">Victoria owned land and medium and </w:t>
      </w:r>
      <w:r w:rsidR="006E2F2E">
        <w:br/>
      </w:r>
      <w:r w:rsidRPr="00F85A85">
        <w:t>high</w:t>
      </w:r>
      <w:r w:rsidRPr="00E23B61">
        <w:t>-</w:t>
      </w:r>
      <w:r w:rsidRPr="00F85A85">
        <w:t xml:space="preserve">density developments on Victorian </w:t>
      </w:r>
      <w:r w:rsidR="006E2F2E">
        <w:br/>
      </w:r>
      <w:r w:rsidRPr="00F85A85">
        <w:t>Government</w:t>
      </w:r>
      <w:r>
        <w:t>-</w:t>
      </w:r>
      <w:r w:rsidRPr="00F85A85">
        <w:t xml:space="preserve">owned land. </w:t>
      </w:r>
    </w:p>
    <w:p w14:paraId="097B5902" w14:textId="31315075" w:rsidR="000E38BD" w:rsidRDefault="000E38BD" w:rsidP="00F9790A">
      <w:pPr>
        <w:pStyle w:val="ARbody"/>
      </w:pPr>
      <w:r w:rsidRPr="00F85A85">
        <w:t xml:space="preserve">The first </w:t>
      </w:r>
      <w:r w:rsidR="009D641C">
        <w:t>3</w:t>
      </w:r>
      <w:r>
        <w:t xml:space="preserve"> funded projects include:</w:t>
      </w:r>
    </w:p>
    <w:p w14:paraId="5C1265E9" w14:textId="05F48E50" w:rsidR="000E38BD" w:rsidRDefault="000E38BD" w:rsidP="0088621E">
      <w:pPr>
        <w:pStyle w:val="ARbullet1"/>
      </w:pPr>
      <w:r>
        <w:t>120 modern, accessible and energy</w:t>
      </w:r>
      <w:r w:rsidR="001D6CA7">
        <w:t>-</w:t>
      </w:r>
      <w:r>
        <w:t>efficient homes developed on an underutilised site at</w:t>
      </w:r>
      <w:r w:rsidR="00D53AF2">
        <w:t> </w:t>
      </w:r>
      <w:r>
        <w:t>Banksia Gardens (joint funded with the Big Housing Build). Construction is forecast to commence later in 2024</w:t>
      </w:r>
    </w:p>
    <w:p w14:paraId="10E820EA" w14:textId="080094EA" w:rsidR="00DE41B5" w:rsidRDefault="00FC3855">
      <w:pPr>
        <w:pStyle w:val="ARbullet1"/>
      </w:pPr>
      <w:r>
        <w:t>106 new social homes at Bell Bardia, West</w:t>
      </w:r>
      <w:r w:rsidR="009329ED">
        <w:t> </w:t>
      </w:r>
      <w:r>
        <w:t>Heidelberg (joint funded with the Big Housing</w:t>
      </w:r>
      <w:r w:rsidR="009329ED">
        <w:t> </w:t>
      </w:r>
      <w:r>
        <w:t>Build)</w:t>
      </w:r>
    </w:p>
    <w:p w14:paraId="48DC80B9" w14:textId="0DEB4254" w:rsidR="000E38BD" w:rsidRDefault="007106F8" w:rsidP="0088621E">
      <w:pPr>
        <w:pStyle w:val="ARbullet1"/>
      </w:pPr>
      <w:r>
        <w:t xml:space="preserve">redevelopment of the </w:t>
      </w:r>
      <w:r w:rsidR="000E38BD">
        <w:t>Carlton Red Brick site</w:t>
      </w:r>
      <w:r w:rsidR="00661B33">
        <w:t>.</w:t>
      </w:r>
    </w:p>
    <w:p w14:paraId="7E6F62D4" w14:textId="1204354F" w:rsidR="000E38BD" w:rsidRPr="00F85A85" w:rsidRDefault="000E38BD" w:rsidP="00F9790A">
      <w:pPr>
        <w:pStyle w:val="ARbodyafterbullets"/>
      </w:pPr>
      <w:r>
        <w:t>As part of the Social Housing Accelerator program, a further 86 modern, accessible and energy</w:t>
      </w:r>
      <w:r w:rsidR="001D6CA7">
        <w:t>-</w:t>
      </w:r>
      <w:r>
        <w:t xml:space="preserve">efficient homes are in sketch design, 108 in planning and 16 in construction under the </w:t>
      </w:r>
      <w:r w:rsidR="00E837F9">
        <w:br/>
      </w:r>
      <w:r>
        <w:t>low-density development program. The program aims to deliver an overall dwelling uplift from one to</w:t>
      </w:r>
      <w:r w:rsidR="00E837F9">
        <w:t> </w:t>
      </w:r>
      <w:r w:rsidR="009D641C">
        <w:t>3</w:t>
      </w:r>
      <w:r>
        <w:t xml:space="preserve"> homes per lot.</w:t>
      </w:r>
    </w:p>
    <w:p w14:paraId="122F6571" w14:textId="77777777" w:rsidR="000E38BD" w:rsidRPr="00F85A85" w:rsidRDefault="000E38BD" w:rsidP="00ED5984">
      <w:pPr>
        <w:pStyle w:val="Heading6"/>
      </w:pPr>
      <w:r w:rsidRPr="00ED5984">
        <w:t>Regional</w:t>
      </w:r>
      <w:r>
        <w:t xml:space="preserve"> Housing Fund</w:t>
      </w:r>
      <w:r w:rsidRPr="005A1A5E">
        <w:t xml:space="preserve"> delivering </w:t>
      </w:r>
      <w:r w:rsidRPr="00C94A5E">
        <w:t>more than 1,300 new homes</w:t>
      </w:r>
    </w:p>
    <w:p w14:paraId="3F534E6F" w14:textId="62F6AE5F" w:rsidR="000E38BD" w:rsidRPr="00E23B61" w:rsidRDefault="000E38BD" w:rsidP="0088621E">
      <w:pPr>
        <w:pStyle w:val="ARbody"/>
      </w:pPr>
      <w:r w:rsidRPr="00E23B61">
        <w:t>The Victorian Government</w:t>
      </w:r>
      <w:r w:rsidR="00711AE6">
        <w:t>’</w:t>
      </w:r>
      <w:r w:rsidRPr="00E23B61">
        <w:t xml:space="preserve">s new $1 billion Regional Housing Fund </w:t>
      </w:r>
      <w:r>
        <w:t>is delivering</w:t>
      </w:r>
      <w:r w:rsidRPr="00E23B61">
        <w:t xml:space="preserve"> more than 1,300 new homes across regional Victoria. The new homes will include a mix of social and affordable housing</w:t>
      </w:r>
      <w:r w:rsidRPr="001E3AFE">
        <w:t xml:space="preserve"> to ensure regions</w:t>
      </w:r>
      <w:r w:rsidR="00711AE6">
        <w:t>’</w:t>
      </w:r>
      <w:r w:rsidRPr="001E3AFE">
        <w:t xml:space="preserve"> needs are met. Regional partnerships, including councils and local representatives, informed the implementation of </w:t>
      </w:r>
      <w:r w:rsidR="00095E09">
        <w:t xml:space="preserve">the </w:t>
      </w:r>
      <w:r w:rsidRPr="001E3AFE">
        <w:t>Regional Housing fund</w:t>
      </w:r>
      <w:r w:rsidRPr="00E23B61">
        <w:t>.</w:t>
      </w:r>
    </w:p>
    <w:p w14:paraId="79F4BC81" w14:textId="69650DD6" w:rsidR="000E38BD" w:rsidRDefault="000E38BD" w:rsidP="0088621E">
      <w:pPr>
        <w:pStyle w:val="ARbody"/>
      </w:pPr>
      <w:r>
        <w:t>At least 130 homes under the Regional Housing Fund will be delivered for First Nations Victorians – representing a 10% commitment to Aboriginal</w:t>
      </w:r>
      <w:r w:rsidR="00F9790A">
        <w:t> </w:t>
      </w:r>
      <w:r>
        <w:t>housing.</w:t>
      </w:r>
    </w:p>
    <w:p w14:paraId="780F0785" w14:textId="00712B51" w:rsidR="000E38BD" w:rsidRPr="00F85A85" w:rsidRDefault="000E38BD" w:rsidP="00A47EB2">
      <w:pPr>
        <w:pStyle w:val="ARbody"/>
      </w:pPr>
      <w:r w:rsidRPr="00E23B61">
        <w:t xml:space="preserve">This is on top of </w:t>
      </w:r>
      <w:r w:rsidRPr="00F85A85">
        <w:t xml:space="preserve">the $1.25 billion </w:t>
      </w:r>
      <w:r w:rsidRPr="00E23B61">
        <w:t xml:space="preserve">the Victorian Government is </w:t>
      </w:r>
      <w:r w:rsidRPr="00F85A85">
        <w:t>already investing in our regions through the Big Housing Build.</w:t>
      </w:r>
      <w:r w:rsidR="009329ED">
        <w:br w:type="column"/>
      </w:r>
      <w:r w:rsidR="009F4C47">
        <w:t>Under the fund, the department has already delivered 49 transitional homes through acquisition, and upgrades to 117 public housing homes, with a</w:t>
      </w:r>
      <w:r w:rsidR="006734B7">
        <w:t xml:space="preserve"> </w:t>
      </w:r>
      <w:r w:rsidR="009F4C47">
        <w:t xml:space="preserve">further 23 properties nearing completion. </w:t>
      </w:r>
      <w:r w:rsidR="00F0003C">
        <w:t>W</w:t>
      </w:r>
      <w:r w:rsidRPr="00F85A85">
        <w:t xml:space="preserve">ork is progressing on a number of projects announced under the </w:t>
      </w:r>
      <w:r w:rsidRPr="00A47EB2">
        <w:t>fund</w:t>
      </w:r>
      <w:r>
        <w:t>, including</w:t>
      </w:r>
      <w:r w:rsidR="00C21C5C">
        <w:t xml:space="preserve"> at end June 2024</w:t>
      </w:r>
      <w:r>
        <w:t>:</w:t>
      </w:r>
    </w:p>
    <w:p w14:paraId="73A07BB0" w14:textId="32A1441D" w:rsidR="000E38BD" w:rsidRPr="00F9790A" w:rsidRDefault="000E38BD" w:rsidP="00F9790A">
      <w:pPr>
        <w:pStyle w:val="ARbullet1"/>
      </w:pPr>
      <w:r w:rsidRPr="00F9790A">
        <w:t xml:space="preserve">more than 50 social and affordable homes in Colac and </w:t>
      </w:r>
      <w:r w:rsidR="00ED7936">
        <w:t xml:space="preserve">over </w:t>
      </w:r>
      <w:r w:rsidR="00780D16">
        <w:t xml:space="preserve">40 homes in </w:t>
      </w:r>
      <w:r w:rsidRPr="00F9790A">
        <w:t xml:space="preserve">Wodonga </w:t>
      </w:r>
    </w:p>
    <w:p w14:paraId="59C02634" w14:textId="2654218B" w:rsidR="000E38BD" w:rsidRPr="00F85A85" w:rsidRDefault="00780D16" w:rsidP="00F9790A">
      <w:pPr>
        <w:pStyle w:val="ARbullet1"/>
      </w:pPr>
      <w:r>
        <w:t>5</w:t>
      </w:r>
      <w:r w:rsidRPr="00F9790A">
        <w:t>0</w:t>
      </w:r>
      <w:r w:rsidR="000E38BD" w:rsidRPr="00F9790A">
        <w:t xml:space="preserve"> new homes in Shepparton, Seymour and Rochester, to provide social housing for people impacted by the 2022 floods, of which 17 homes have commenced</w:t>
      </w:r>
      <w:r w:rsidR="008F2BA3">
        <w:t>.</w:t>
      </w:r>
    </w:p>
    <w:p w14:paraId="3B867906" w14:textId="5CD088C9" w:rsidR="000E38BD" w:rsidRPr="00E23B61" w:rsidRDefault="000E38BD" w:rsidP="009329ED">
      <w:pPr>
        <w:pStyle w:val="ARbodyafterbullets"/>
      </w:pPr>
      <w:r w:rsidRPr="00F85A85">
        <w:t xml:space="preserve">Further work is underway on </w:t>
      </w:r>
      <w:r w:rsidR="0077261E">
        <w:t xml:space="preserve">the </w:t>
      </w:r>
      <w:r w:rsidRPr="00F85A85">
        <w:t>redevelopment of</w:t>
      </w:r>
      <w:r w:rsidR="009C6847">
        <w:t> </w:t>
      </w:r>
      <w:r w:rsidRPr="00F85A85">
        <w:t xml:space="preserve">public housing sites to provide more housing and ensure homes are fit for purpose. </w:t>
      </w:r>
    </w:p>
    <w:p w14:paraId="30DDB6BE" w14:textId="2B76D326" w:rsidR="000E38BD" w:rsidRPr="00F85A85" w:rsidRDefault="000E38BD" w:rsidP="00F9790A">
      <w:pPr>
        <w:pStyle w:val="ARbody"/>
      </w:pPr>
      <w:r w:rsidRPr="00F85A85">
        <w:t xml:space="preserve">In partnership </w:t>
      </w:r>
      <w:r w:rsidRPr="00F9790A">
        <w:t>with</w:t>
      </w:r>
      <w:r w:rsidRPr="00F85A85">
        <w:t xml:space="preserve"> the community housing sector, the </w:t>
      </w:r>
      <w:r w:rsidR="0077261E">
        <w:t xml:space="preserve">Regional Housing </w:t>
      </w:r>
      <w:r w:rsidRPr="00F85A85">
        <w:t>Fund will support around 270</w:t>
      </w:r>
      <w:r w:rsidR="009C6847">
        <w:t> </w:t>
      </w:r>
      <w:r w:rsidRPr="00F85A85">
        <w:t>affordable housing homes to be delivered across regional</w:t>
      </w:r>
      <w:r w:rsidR="00F9790A">
        <w:t> </w:t>
      </w:r>
      <w:r w:rsidRPr="00F85A85">
        <w:t>Victoria.</w:t>
      </w:r>
    </w:p>
    <w:p w14:paraId="44B86F84" w14:textId="72D96286" w:rsidR="000E38BD" w:rsidRPr="00645AD0" w:rsidRDefault="000E38BD" w:rsidP="00F9790A">
      <w:pPr>
        <w:pStyle w:val="Heading6"/>
      </w:pPr>
      <w:r w:rsidRPr="00827C1D">
        <w:t xml:space="preserve">Innovative </w:t>
      </w:r>
      <w:r w:rsidRPr="00F9790A">
        <w:t>delivery</w:t>
      </w:r>
      <w:r w:rsidRPr="00827C1D" w:rsidDel="0009102D">
        <w:rPr>
          <w:rFonts w:eastAsia="Times"/>
        </w:rPr>
        <w:t xml:space="preserve"> through </w:t>
      </w:r>
      <w:r w:rsidRPr="00827C1D">
        <w:t>the Ground Lease</w:t>
      </w:r>
      <w:r w:rsidR="00F9790A">
        <w:t> </w:t>
      </w:r>
      <w:r w:rsidRPr="00827C1D">
        <w:t>Model</w:t>
      </w:r>
    </w:p>
    <w:p w14:paraId="729AE248" w14:textId="77777777" w:rsidR="000E38BD" w:rsidRPr="00F9790A" w:rsidRDefault="000E38BD" w:rsidP="00F9790A">
      <w:pPr>
        <w:pStyle w:val="ARbody"/>
      </w:pPr>
      <w:r>
        <w:t xml:space="preserve">Through Homes Victoria, the department is </w:t>
      </w:r>
      <w:r w:rsidRPr="00F9790A">
        <w:t>delivering 2,740 new homes through the innovative Ground Lease Model. Under the model, Homes Victoria retains ownership of land, and partners with not-for-profit groups who finance, plan, design, build and manage homes for 40 years before handing all dwellings back to Homes Victoria.</w:t>
      </w:r>
    </w:p>
    <w:p w14:paraId="3AE7E15D" w14:textId="23E3F79A" w:rsidR="000E38BD" w:rsidRPr="00F9790A" w:rsidRDefault="000E38BD" w:rsidP="00F9790A">
      <w:pPr>
        <w:pStyle w:val="ARbody"/>
      </w:pPr>
      <w:r w:rsidRPr="00F9790A" w:rsidDel="7E93E5A4">
        <w:t>The sites deliver</w:t>
      </w:r>
      <w:r w:rsidRPr="00F9790A">
        <w:t xml:space="preserve"> vibrant mixed-tenure housing that includes</w:t>
      </w:r>
      <w:r w:rsidRPr="00F9790A" w:rsidDel="7E93E5A4">
        <w:t xml:space="preserve"> social, affordable, specialist disability and market rental homes that are welcoming, secure and meet modern design and accessibility</w:t>
      </w:r>
      <w:r w:rsidR="00ED5984">
        <w:t> </w:t>
      </w:r>
      <w:r w:rsidRPr="00F9790A" w:rsidDel="7E93E5A4">
        <w:t>standards.</w:t>
      </w:r>
    </w:p>
    <w:p w14:paraId="6CBD7457" w14:textId="773AE542" w:rsidR="000E38BD" w:rsidRDefault="000E38BD" w:rsidP="00F9790A">
      <w:pPr>
        <w:pStyle w:val="ARbody"/>
      </w:pPr>
      <w:r w:rsidRPr="00F9790A">
        <w:t>The first Ground</w:t>
      </w:r>
      <w:r w:rsidRPr="00736DCD">
        <w:t xml:space="preserve"> Lease Model project was completed in early 2024, delivering </w:t>
      </w:r>
      <w:r w:rsidR="0077261E">
        <w:t xml:space="preserve">a total of </w:t>
      </w:r>
      <w:r w:rsidRPr="00736DCD">
        <w:t>1,084</w:t>
      </w:r>
      <w:r w:rsidR="009C6847">
        <w:t> </w:t>
      </w:r>
      <w:r w:rsidRPr="00736DCD">
        <w:t>new social, affordable and market rental homes</w:t>
      </w:r>
      <w:r w:rsidR="009329ED">
        <w:t> </w:t>
      </w:r>
      <w:r>
        <w:t>in</w:t>
      </w:r>
      <w:r w:rsidR="00750104">
        <w:t>cluding</w:t>
      </w:r>
      <w:r>
        <w:t>:</w:t>
      </w:r>
    </w:p>
    <w:p w14:paraId="3B25195A" w14:textId="61826E52" w:rsidR="000E38BD" w:rsidRPr="00F9790A" w:rsidRDefault="000E38BD" w:rsidP="00F9790A">
      <w:pPr>
        <w:pStyle w:val="ARbullet1"/>
      </w:pPr>
      <w:r w:rsidRPr="00F9790A">
        <w:t>240 social and 119 affordable homes</w:t>
      </w:r>
      <w:r w:rsidR="004A3D1C">
        <w:t xml:space="preserve"> in</w:t>
      </w:r>
      <w:r w:rsidR="009329ED">
        <w:t> </w:t>
      </w:r>
      <w:r w:rsidR="004A3D1C">
        <w:t>Flemington</w:t>
      </w:r>
    </w:p>
    <w:p w14:paraId="194A7354" w14:textId="1E390315" w:rsidR="000E38BD" w:rsidRPr="00F9790A" w:rsidRDefault="000E38BD" w:rsidP="00F9790A">
      <w:pPr>
        <w:pStyle w:val="ARbullet1"/>
      </w:pPr>
      <w:r w:rsidRPr="00F9790A">
        <w:t>151 social and 140 market rental homes</w:t>
      </w:r>
      <w:r w:rsidR="00E106F1">
        <w:t xml:space="preserve"> in</w:t>
      </w:r>
      <w:r w:rsidR="005D6022">
        <w:t> </w:t>
      </w:r>
      <w:r w:rsidR="00E106F1">
        <w:t>Brighton</w:t>
      </w:r>
    </w:p>
    <w:p w14:paraId="58372AFE" w14:textId="29520B10" w:rsidR="000E38BD" w:rsidRPr="009B530A" w:rsidRDefault="000E38BD" w:rsidP="00F9790A">
      <w:pPr>
        <w:pStyle w:val="ARbullet1"/>
      </w:pPr>
      <w:r w:rsidRPr="00F9790A">
        <w:t>228 social</w:t>
      </w:r>
      <w:r w:rsidR="00E106F1">
        <w:t xml:space="preserve"> </w:t>
      </w:r>
      <w:r w:rsidRPr="00F9790A">
        <w:t xml:space="preserve">and 206 market rental </w:t>
      </w:r>
      <w:r w:rsidRPr="00736DCD">
        <w:t>homes</w:t>
      </w:r>
      <w:r w:rsidR="0051413D">
        <w:t xml:space="preserve"> in</w:t>
      </w:r>
      <w:r w:rsidR="005D6022">
        <w:t> </w:t>
      </w:r>
      <w:r w:rsidR="0051413D">
        <w:t>Prahran.</w:t>
      </w:r>
      <w:r w:rsidRPr="00736DCD">
        <w:t xml:space="preserve"> </w:t>
      </w:r>
    </w:p>
    <w:p w14:paraId="57792511" w14:textId="44F26486" w:rsidR="000E38BD" w:rsidRPr="009B530A" w:rsidRDefault="000E38BD" w:rsidP="00F9790A">
      <w:pPr>
        <w:pStyle w:val="ARbodyafterbullets"/>
      </w:pPr>
      <w:r w:rsidRPr="00736DCD">
        <w:t>Early works to deliver an additional 286 social and affordable rental homes at the Flemington (Stage 2) site are nearing completion</w:t>
      </w:r>
      <w:r>
        <w:t>.</w:t>
      </w:r>
      <w:r w:rsidRPr="00736DCD">
        <w:t xml:space="preserve"> </w:t>
      </w:r>
      <w:r>
        <w:t>C</w:t>
      </w:r>
      <w:r w:rsidRPr="00736DCD">
        <w:t xml:space="preserve">onstruction </w:t>
      </w:r>
      <w:r>
        <w:t>will start</w:t>
      </w:r>
      <w:r w:rsidRPr="00736DCD">
        <w:t xml:space="preserve"> in late 2024 </w:t>
      </w:r>
      <w:r>
        <w:t xml:space="preserve">and </w:t>
      </w:r>
      <w:r w:rsidR="008B4851">
        <w:t xml:space="preserve">is </w:t>
      </w:r>
      <w:r w:rsidRPr="00736DCD">
        <w:t xml:space="preserve">scheduled for </w:t>
      </w:r>
      <w:r>
        <w:t xml:space="preserve">completion in </w:t>
      </w:r>
      <w:r w:rsidRPr="00736DCD">
        <w:t>late</w:t>
      </w:r>
      <w:r w:rsidR="00F9790A">
        <w:t> </w:t>
      </w:r>
      <w:r w:rsidRPr="00736DCD">
        <w:t>2026.</w:t>
      </w:r>
    </w:p>
    <w:p w14:paraId="5D8FF25D" w14:textId="56036B85" w:rsidR="000E38BD" w:rsidRPr="009B530A" w:rsidRDefault="000E38BD" w:rsidP="0088621E">
      <w:pPr>
        <w:pStyle w:val="ARbody"/>
      </w:pPr>
      <w:r w:rsidRPr="00736DCD">
        <w:t xml:space="preserve">In November 2023, </w:t>
      </w:r>
      <w:r w:rsidR="00431901">
        <w:t>Homes Victoria</w:t>
      </w:r>
      <w:r>
        <w:t xml:space="preserve"> reached </w:t>
      </w:r>
      <w:r w:rsidRPr="00736DCD">
        <w:t>financial close for the early</w:t>
      </w:r>
      <w:r w:rsidRPr="00736DCD" w:rsidDel="7E93E5A4">
        <w:t xml:space="preserve"> works and demolition works at the </w:t>
      </w:r>
      <w:r w:rsidRPr="00736DCD">
        <w:t xml:space="preserve">second Ground Lease Model project sites in South Yarra, Prahran, Hampton East and Port Melbourne. This project will deliver a further 1,370 new social, affordable, market and Specialist Disability Accommodation homes by late 2026. Demolition works have been completed, planning approval has been received and early works are progressing well across all sites to prepare for main construction works in late 2024. </w:t>
      </w:r>
    </w:p>
    <w:p w14:paraId="7651B6EB" w14:textId="77777777" w:rsidR="000E38BD" w:rsidRPr="00645AD0" w:rsidRDefault="000E38BD" w:rsidP="00F9790A">
      <w:pPr>
        <w:pStyle w:val="Heading6"/>
      </w:pPr>
      <w:r w:rsidRPr="00521D9A">
        <w:t xml:space="preserve">Completed the Building New Homes to Fight </w:t>
      </w:r>
      <w:r w:rsidRPr="00F9790A">
        <w:t>Homelessness</w:t>
      </w:r>
      <w:r w:rsidRPr="00521D9A">
        <w:t xml:space="preserve"> program (1,000 Homes)</w:t>
      </w:r>
    </w:p>
    <w:p w14:paraId="37E34D1B" w14:textId="2C8C5DA9" w:rsidR="000E38BD" w:rsidRPr="00532DAE" w:rsidRDefault="000E38BD" w:rsidP="00F9790A">
      <w:pPr>
        <w:pStyle w:val="ARbody"/>
      </w:pPr>
      <w:r>
        <w:t xml:space="preserve">The </w:t>
      </w:r>
      <w:r w:rsidRPr="00736DCD">
        <w:t xml:space="preserve">department successfully delivered the </w:t>
      </w:r>
      <w:r>
        <w:t xml:space="preserve">Victorian </w:t>
      </w:r>
      <w:r w:rsidRPr="00736DCD">
        <w:t>Government</w:t>
      </w:r>
      <w:r w:rsidR="00711AE6">
        <w:t>’</w:t>
      </w:r>
      <w:r w:rsidRPr="00736DCD">
        <w:t>s $469 million commitment</w:t>
      </w:r>
      <w:r>
        <w:t xml:space="preserve"> to build 1,000 new public housing homes for 1,800 Victorians across the state who are fleeing family violence or experiencing homelessness through the 1,000 Homes Program.</w:t>
      </w:r>
    </w:p>
    <w:p w14:paraId="2611E8D7" w14:textId="53D8CF9A" w:rsidR="000E38BD" w:rsidRPr="004842BC" w:rsidRDefault="000E38BD" w:rsidP="00F9790A">
      <w:pPr>
        <w:pStyle w:val="ARbody"/>
      </w:pPr>
      <w:r w:rsidRPr="00736DCD">
        <w:t>Delivered</w:t>
      </w:r>
      <w:r w:rsidRPr="004842BC">
        <w:t xml:space="preserve"> as part of the Big</w:t>
      </w:r>
      <w:r>
        <w:t xml:space="preserve"> </w:t>
      </w:r>
      <w:r w:rsidRPr="004842BC">
        <w:t>Housing Build</w:t>
      </w:r>
      <w:r w:rsidRPr="00736DCD">
        <w:t xml:space="preserve">, </w:t>
      </w:r>
      <w:r w:rsidR="006A0E1B">
        <w:t>the program </w:t>
      </w:r>
      <w:r w:rsidRPr="00736DCD">
        <w:t>generated</w:t>
      </w:r>
      <w:r w:rsidRPr="004842BC">
        <w:t xml:space="preserve"> </w:t>
      </w:r>
      <w:r w:rsidR="00702C20">
        <w:t>close to 1,500 more</w:t>
      </w:r>
      <w:r w:rsidRPr="004842BC">
        <w:t xml:space="preserve"> new public </w:t>
      </w:r>
      <w:r w:rsidRPr="00F9790A">
        <w:t>housing</w:t>
      </w:r>
      <w:r w:rsidRPr="004842BC">
        <w:t xml:space="preserve"> properties than</w:t>
      </w:r>
      <w:r w:rsidR="00E837F9">
        <w:t> </w:t>
      </w:r>
      <w:r w:rsidRPr="004842BC">
        <w:t>previously existed on underutilised government-owned sites.</w:t>
      </w:r>
    </w:p>
    <w:p w14:paraId="3FBCBB77" w14:textId="75844BA4" w:rsidR="000E38BD" w:rsidRPr="00651427" w:rsidRDefault="000E38BD" w:rsidP="00F9790A">
      <w:pPr>
        <w:pStyle w:val="Heading6"/>
        <w:rPr>
          <w:b w:val="0"/>
          <w:bCs w:val="0"/>
          <w:i/>
          <w:iCs/>
        </w:rPr>
      </w:pPr>
      <w:r w:rsidRPr="00F9790A">
        <w:t>Buying</w:t>
      </w:r>
      <w:r w:rsidRPr="00651427">
        <w:t xml:space="preserve"> new homes through the </w:t>
      </w:r>
      <w:r w:rsidRPr="00651427">
        <w:rPr>
          <w:lang w:val="en-US"/>
        </w:rPr>
        <w:t>Acquisition</w:t>
      </w:r>
      <w:r w:rsidR="00F9790A">
        <w:rPr>
          <w:lang w:val="en-US"/>
        </w:rPr>
        <w:t> </w:t>
      </w:r>
      <w:r w:rsidRPr="00651427">
        <w:rPr>
          <w:lang w:val="en-US"/>
        </w:rPr>
        <w:t>program</w:t>
      </w:r>
    </w:p>
    <w:p w14:paraId="46708891" w14:textId="77777777" w:rsidR="000E38BD" w:rsidRPr="00B55E7F" w:rsidRDefault="000E38BD" w:rsidP="00B55E7F">
      <w:pPr>
        <w:pStyle w:val="ARbody"/>
      </w:pPr>
      <w:r w:rsidRPr="00532DAE">
        <w:t>The Victorian Government</w:t>
      </w:r>
      <w:r w:rsidRPr="00532DAE" w:rsidDel="00692323">
        <w:t xml:space="preserve"> </w:t>
      </w:r>
      <w:r w:rsidRPr="00532DAE">
        <w:t>committed $948</w:t>
      </w:r>
      <w:r>
        <w:t xml:space="preserve"> </w:t>
      </w:r>
      <w:r w:rsidRPr="00532DAE">
        <w:t xml:space="preserve">million </w:t>
      </w:r>
      <w:r>
        <w:t xml:space="preserve">under the Big Housing Build </w:t>
      </w:r>
      <w:r w:rsidRPr="00532DAE">
        <w:t xml:space="preserve">to </w:t>
      </w:r>
      <w:r>
        <w:t>acquire</w:t>
      </w:r>
      <w:r w:rsidRPr="00532DAE">
        <w:t xml:space="preserve"> properties and buy new homes in construction projects that are </w:t>
      </w:r>
      <w:r w:rsidRPr="00F9790A">
        <w:t>either</w:t>
      </w:r>
      <w:r w:rsidRPr="00532DAE">
        <w:t xml:space="preserve"> in progress or ready to build. This funding will </w:t>
      </w:r>
      <w:r w:rsidRPr="00B55E7F">
        <w:t>secure over 1,800 social and affordable housing properties – ensuring more Victorians have the safety and security of a home sooner.</w:t>
      </w:r>
    </w:p>
    <w:p w14:paraId="6633EF53" w14:textId="77777777" w:rsidR="000E38BD" w:rsidRPr="00B55E7F" w:rsidRDefault="000E38BD" w:rsidP="00B55E7F">
      <w:pPr>
        <w:pStyle w:val="ARbody"/>
      </w:pPr>
      <w:r w:rsidRPr="00B55E7F">
        <w:t>The spot-purchase component of the purchase program has been successfully completed with all properties tenanted.</w:t>
      </w:r>
    </w:p>
    <w:p w14:paraId="71713C62" w14:textId="44C4630C" w:rsidR="000E38BD" w:rsidRPr="00532DAE" w:rsidRDefault="000E38BD" w:rsidP="00B55E7F">
      <w:pPr>
        <w:pStyle w:val="ARbody"/>
      </w:pPr>
      <w:r w:rsidRPr="00B55E7F">
        <w:t xml:space="preserve">More than </w:t>
      </w:r>
      <w:r w:rsidR="0019307E" w:rsidRPr="00B55E7F">
        <w:t>1,</w:t>
      </w:r>
      <w:r w:rsidR="0019307E">
        <w:t>000</w:t>
      </w:r>
      <w:r w:rsidRPr="00532DAE">
        <w:t xml:space="preserve"> homes have been completed and handed over for tenancy management as part of the In Progress and Ready to Build component of</w:t>
      </w:r>
      <w:r w:rsidR="00F9790A">
        <w:t> </w:t>
      </w:r>
      <w:r w:rsidRPr="00532DAE">
        <w:t>the program</w:t>
      </w:r>
      <w:r>
        <w:t xml:space="preserve">, with </w:t>
      </w:r>
      <w:r w:rsidR="0019307E">
        <w:t xml:space="preserve">over 600 additional </w:t>
      </w:r>
      <w:r w:rsidR="007E24EA">
        <w:t xml:space="preserve">homes </w:t>
      </w:r>
      <w:r w:rsidRPr="00532DAE">
        <w:t>in</w:t>
      </w:r>
      <w:r w:rsidR="00F9790A">
        <w:t> </w:t>
      </w:r>
      <w:r w:rsidRPr="00532DAE">
        <w:t xml:space="preserve">progress. </w:t>
      </w:r>
    </w:p>
    <w:p w14:paraId="202677C3" w14:textId="77777777" w:rsidR="000E38BD" w:rsidRPr="00645AD0" w:rsidRDefault="000E38BD" w:rsidP="00F9790A">
      <w:pPr>
        <w:pStyle w:val="Heading6"/>
      </w:pPr>
      <w:r w:rsidRPr="00651427">
        <w:t xml:space="preserve">Transforming Public Housing with the Public Housing </w:t>
      </w:r>
      <w:r w:rsidRPr="00F9790A">
        <w:t>Renewal</w:t>
      </w:r>
      <w:r w:rsidRPr="00651427">
        <w:t xml:space="preserve"> Program</w:t>
      </w:r>
    </w:p>
    <w:p w14:paraId="1F4D6165" w14:textId="1970DE6D" w:rsidR="000E38BD" w:rsidRPr="00532DAE" w:rsidRDefault="000E38BD" w:rsidP="00F9790A">
      <w:pPr>
        <w:pStyle w:val="ARbody"/>
      </w:pPr>
      <w:r>
        <w:t xml:space="preserve">The Public Housing Renewal Program </w:t>
      </w:r>
      <w:r w:rsidR="003B5E3F">
        <w:t>continues</w:t>
      </w:r>
      <w:r w:rsidR="00471DF2">
        <w:t xml:space="preserve"> to</w:t>
      </w:r>
      <w:r w:rsidR="003B5E3F">
        <w:t xml:space="preserve"> </w:t>
      </w:r>
      <w:r>
        <w:t xml:space="preserve">transform some of the oldest public housing estates in metropolitan Melbourne to deliver vibrant, </w:t>
      </w:r>
      <w:r w:rsidR="006E2F2E">
        <w:br/>
      </w:r>
      <w:r>
        <w:t xml:space="preserve">well-connected communities. </w:t>
      </w:r>
      <w:r w:rsidR="00A47EB2">
        <w:br w:type="column"/>
      </w:r>
      <w:r w:rsidR="001313B8">
        <w:t>T</w:t>
      </w:r>
      <w:r w:rsidRPr="00532DAE">
        <w:t xml:space="preserve">he program will deliver approximately 1,300 </w:t>
      </w:r>
      <w:r w:rsidR="005F4CC9">
        <w:t>social and</w:t>
      </w:r>
      <w:r w:rsidRPr="00532DAE">
        <w:t xml:space="preserve"> market homes </w:t>
      </w:r>
      <w:r w:rsidR="00A3248B">
        <w:t xml:space="preserve">that are modern, accessible and energy efficient </w:t>
      </w:r>
      <w:r w:rsidRPr="00532DAE">
        <w:t xml:space="preserve">at sites in North Melbourne, Northcote, Preston and Brunswick West. This will increase the number of social homes at these locations by </w:t>
      </w:r>
      <w:r w:rsidRPr="00532DAE" w:rsidDel="00B653A7">
        <w:t>more than 50</w:t>
      </w:r>
      <w:r>
        <w:t>%</w:t>
      </w:r>
      <w:r w:rsidRPr="00532DAE">
        <w:t>.</w:t>
      </w:r>
    </w:p>
    <w:p w14:paraId="769E1590" w14:textId="0E441F6C" w:rsidR="000E38BD" w:rsidRDefault="000E38BD" w:rsidP="00F9790A">
      <w:pPr>
        <w:pStyle w:val="ARbody"/>
      </w:pPr>
      <w:r>
        <w:t xml:space="preserve">The social homes at Preston were completed in March 2024 and homes at Brunswick West sites </w:t>
      </w:r>
      <w:r w:rsidRPr="00F9790A">
        <w:t>completed</w:t>
      </w:r>
      <w:r>
        <w:t xml:space="preserve"> in July 2024. Construction works are progressing well at Northcote and North Melbourne.</w:t>
      </w:r>
    </w:p>
    <w:p w14:paraId="29AE2628" w14:textId="4B77384A" w:rsidR="000E38BD" w:rsidRPr="00645AD0" w:rsidRDefault="000E38BD" w:rsidP="00F9790A">
      <w:pPr>
        <w:pStyle w:val="Heading6"/>
      </w:pPr>
      <w:r w:rsidRPr="00651427">
        <w:t>Addressing affordability and supply through the</w:t>
      </w:r>
      <w:r w:rsidR="009C6847">
        <w:t> </w:t>
      </w:r>
      <w:r w:rsidRPr="00651427">
        <w:t xml:space="preserve">Affordable </w:t>
      </w:r>
      <w:r w:rsidRPr="00F9790A">
        <w:t>Housing</w:t>
      </w:r>
      <w:r w:rsidRPr="00651427">
        <w:t xml:space="preserve"> Rental Scheme</w:t>
      </w:r>
    </w:p>
    <w:p w14:paraId="7ACCF070" w14:textId="77777777" w:rsidR="004A7723" w:rsidRDefault="00B86D8A" w:rsidP="00F9790A">
      <w:pPr>
        <w:pStyle w:val="ARbody"/>
      </w:pPr>
      <w:r>
        <w:t xml:space="preserve">As at 30 June 2024, </w:t>
      </w:r>
      <w:r w:rsidR="008A07EC">
        <w:t xml:space="preserve">407 affordable properties had been delivered at Kensington, Ascot Vale, Ashburton, Blackburn, Cheltenham, West Heidelberg, Hawthorn and Mallacoota. </w:t>
      </w:r>
    </w:p>
    <w:p w14:paraId="603DF9AB" w14:textId="103EA0C3" w:rsidR="000E38BD" w:rsidRPr="00F9790A" w:rsidRDefault="0000062B" w:rsidP="00F9790A">
      <w:pPr>
        <w:pStyle w:val="ARbody"/>
      </w:pPr>
      <w:r>
        <w:t>T</w:t>
      </w:r>
      <w:r w:rsidRPr="00F9790A">
        <w:t xml:space="preserve">he </w:t>
      </w:r>
      <w:r>
        <w:t>Affordable Housing Rental S</w:t>
      </w:r>
      <w:r w:rsidRPr="00F9790A">
        <w:t>cheme</w:t>
      </w:r>
      <w:r w:rsidR="00BB25EE">
        <w:t xml:space="preserve"> provides tenancy security for </w:t>
      </w:r>
      <w:r w:rsidR="009D641C">
        <w:t>3</w:t>
      </w:r>
      <w:r w:rsidR="000E38BD" w:rsidRPr="00F9790A">
        <w:t xml:space="preserve"> years </w:t>
      </w:r>
      <w:r w:rsidR="003655C0">
        <w:t>and is</w:t>
      </w:r>
      <w:r w:rsidR="000E38BD" w:rsidRPr="00F9790A">
        <w:t xml:space="preserve"> available for eligible low to moderate income households. This includes</w:t>
      </w:r>
      <w:r w:rsidR="00621983">
        <w:t xml:space="preserve"> casual and </w:t>
      </w:r>
      <w:r w:rsidR="000E38BD" w:rsidRPr="00F9790A">
        <w:t xml:space="preserve">essential workers who are experiencing rental stress. The scheme </w:t>
      </w:r>
      <w:r w:rsidR="005F13D3">
        <w:t>provides</w:t>
      </w:r>
      <w:r w:rsidR="000E38BD" w:rsidRPr="00F9790A">
        <w:t xml:space="preserve"> households </w:t>
      </w:r>
      <w:r w:rsidR="00405649">
        <w:t>with</w:t>
      </w:r>
      <w:r w:rsidR="000E38BD" w:rsidRPr="00F9790A">
        <w:t xml:space="preserve"> access to modern and affordable</w:t>
      </w:r>
      <w:r w:rsidR="00405649">
        <w:t xml:space="preserve"> </w:t>
      </w:r>
      <w:r w:rsidR="000E38BD" w:rsidRPr="00F9790A">
        <w:t>homes conveniently located in key suburbs close to</w:t>
      </w:r>
      <w:r w:rsidR="00B55E7F">
        <w:t> </w:t>
      </w:r>
      <w:r w:rsidR="000E38BD" w:rsidRPr="00F9790A">
        <w:t>shops, transport and</w:t>
      </w:r>
      <w:r w:rsidR="00E466CA">
        <w:t> </w:t>
      </w:r>
      <w:r w:rsidR="000E38BD" w:rsidRPr="00F9790A">
        <w:t xml:space="preserve">workplaces. </w:t>
      </w:r>
    </w:p>
    <w:p w14:paraId="4962453A" w14:textId="4A806681" w:rsidR="000E38BD" w:rsidRPr="00645AD0" w:rsidRDefault="000E38BD" w:rsidP="00F9790A">
      <w:pPr>
        <w:pStyle w:val="Heading6"/>
      </w:pPr>
      <w:r w:rsidRPr="00651427">
        <w:t xml:space="preserve">Safe and secure </w:t>
      </w:r>
      <w:r w:rsidRPr="00F9790A">
        <w:t>housing</w:t>
      </w:r>
      <w:r w:rsidRPr="00651427">
        <w:t xml:space="preserve"> for victim survivors of</w:t>
      </w:r>
      <w:r w:rsidR="004F3B69">
        <w:t> </w:t>
      </w:r>
      <w:r w:rsidRPr="00651427">
        <w:t xml:space="preserve">family violence </w:t>
      </w:r>
    </w:p>
    <w:p w14:paraId="5A068B20" w14:textId="1F0A7E49" w:rsidR="000E38BD" w:rsidRPr="00532DAE" w:rsidRDefault="000E38BD" w:rsidP="0088621E">
      <w:pPr>
        <w:pStyle w:val="ARbody"/>
      </w:pPr>
      <w:r>
        <w:t>T</w:t>
      </w:r>
      <w:r w:rsidRPr="00532DAE">
        <w:t xml:space="preserve">he department </w:t>
      </w:r>
      <w:r>
        <w:t xml:space="preserve">has </w:t>
      </w:r>
      <w:r w:rsidR="000F69DE">
        <w:t xml:space="preserve">continued to make </w:t>
      </w:r>
      <w:r>
        <w:t xml:space="preserve">progress on </w:t>
      </w:r>
      <w:r w:rsidRPr="00532DAE">
        <w:t xml:space="preserve">the Refuge Redevelopment Program to replace 17 communal refuges with </w:t>
      </w:r>
      <w:r w:rsidR="00711AE6">
        <w:t>‘</w:t>
      </w:r>
      <w:r w:rsidRPr="00532DAE">
        <w:t>core and cluster</w:t>
      </w:r>
      <w:r w:rsidR="00711AE6">
        <w:t>’</w:t>
      </w:r>
      <w:r w:rsidRPr="00532DAE">
        <w:t xml:space="preserve"> designs, and the construction of </w:t>
      </w:r>
      <w:r>
        <w:t>3</w:t>
      </w:r>
      <w:r w:rsidRPr="00532DAE">
        <w:t xml:space="preserve"> new Aboriginal refuges. </w:t>
      </w:r>
      <w:r>
        <w:t>As of 30 June 2024</w:t>
      </w:r>
      <w:r w:rsidRPr="00532DAE">
        <w:t xml:space="preserve">, </w:t>
      </w:r>
      <w:r>
        <w:t>15</w:t>
      </w:r>
      <w:r w:rsidRPr="00532DAE">
        <w:t xml:space="preserve"> refuges </w:t>
      </w:r>
      <w:r>
        <w:t>were</w:t>
      </w:r>
      <w:r w:rsidRPr="00532DAE">
        <w:t xml:space="preserve"> complete</w:t>
      </w:r>
      <w:r w:rsidR="00D21E6D">
        <w:t>d</w:t>
      </w:r>
      <w:r w:rsidRPr="00532DAE">
        <w:t xml:space="preserve"> with a further </w:t>
      </w:r>
      <w:r>
        <w:t>5</w:t>
      </w:r>
      <w:r w:rsidR="009A736F">
        <w:t xml:space="preserve"> </w:t>
      </w:r>
      <w:r w:rsidRPr="00532DAE">
        <w:t xml:space="preserve">in redevelopment, </w:t>
      </w:r>
      <w:r>
        <w:t>2</w:t>
      </w:r>
      <w:r w:rsidR="00B55E7F">
        <w:t> </w:t>
      </w:r>
      <w:r w:rsidRPr="00532DAE">
        <w:t>of</w:t>
      </w:r>
      <w:r w:rsidR="00B55E7F">
        <w:t> </w:t>
      </w:r>
      <w:r w:rsidRPr="00532DAE">
        <w:t xml:space="preserve">which are expected to be completed </w:t>
      </w:r>
      <w:r>
        <w:t>by 30</w:t>
      </w:r>
      <w:r w:rsidR="00B55E7F">
        <w:t> </w:t>
      </w:r>
      <w:r>
        <w:t>June</w:t>
      </w:r>
      <w:r w:rsidR="00F9790A">
        <w:t> </w:t>
      </w:r>
      <w:r>
        <w:t>2025</w:t>
      </w:r>
      <w:r w:rsidRPr="00532DAE">
        <w:t>.</w:t>
      </w:r>
    </w:p>
    <w:p w14:paraId="48142849" w14:textId="3FD0928A" w:rsidR="000E38BD" w:rsidRDefault="000E38BD" w:rsidP="0088621E">
      <w:pPr>
        <w:pStyle w:val="ARbody"/>
      </w:pPr>
      <w:r w:rsidRPr="00532DAE">
        <w:t xml:space="preserve">The core and cluster refuges </w:t>
      </w:r>
      <w:r w:rsidR="00D51901">
        <w:t>provide</w:t>
      </w:r>
      <w:r w:rsidRPr="00532DAE">
        <w:t xml:space="preserve"> separate units that give victim survivors more privacy while still providing stable, safe and secure accommodation. </w:t>
      </w:r>
      <w:r w:rsidR="00954CDB">
        <w:t xml:space="preserve">These units are accessible and appropriate for diverse cohorts including LGBTIQA+ communities and people with disabilities, and provide </w:t>
      </w:r>
      <w:r w:rsidR="0000062B">
        <w:t>on</w:t>
      </w:r>
      <w:r w:rsidR="0000062B" w:rsidRPr="00532DAE">
        <w:t>-site</w:t>
      </w:r>
      <w:r w:rsidRPr="00532DAE">
        <w:t xml:space="preserve"> </w:t>
      </w:r>
      <w:r>
        <w:t>staff</w:t>
      </w:r>
      <w:r w:rsidR="005A0443">
        <w:t>ing</w:t>
      </w:r>
      <w:r w:rsidRPr="00532DAE">
        <w:t xml:space="preserve"> support 24 hours a day, </w:t>
      </w:r>
      <w:r>
        <w:t>7</w:t>
      </w:r>
      <w:r w:rsidRPr="00532DAE">
        <w:t xml:space="preserve"> days a week. </w:t>
      </w:r>
    </w:p>
    <w:p w14:paraId="485A544E" w14:textId="77777777" w:rsidR="000E38BD" w:rsidRPr="00645AD0" w:rsidRDefault="000E38BD" w:rsidP="00B55E7F">
      <w:pPr>
        <w:pStyle w:val="Heading6"/>
        <w:rPr>
          <w:rFonts w:eastAsia="Times"/>
        </w:rPr>
      </w:pPr>
      <w:r w:rsidRPr="007A7F3F">
        <w:rPr>
          <w:rFonts w:eastAsia="Times"/>
        </w:rPr>
        <w:t xml:space="preserve">Delivering contemporary and innovative </w:t>
      </w:r>
      <w:r w:rsidRPr="00B55E7F">
        <w:rPr>
          <w:rFonts w:eastAsia="Times"/>
        </w:rPr>
        <w:t>Specialist</w:t>
      </w:r>
      <w:r w:rsidRPr="007A7F3F">
        <w:rPr>
          <w:rFonts w:eastAsia="Times"/>
        </w:rPr>
        <w:t xml:space="preserve"> Disability Accommodation</w:t>
      </w:r>
    </w:p>
    <w:p w14:paraId="18B8D65F" w14:textId="68F4CBED" w:rsidR="00207577" w:rsidRDefault="000E38BD">
      <w:pPr>
        <w:pStyle w:val="ARbody"/>
      </w:pPr>
      <w:r w:rsidRPr="00652491">
        <w:t xml:space="preserve">The department has </w:t>
      </w:r>
      <w:r>
        <w:t>started</w:t>
      </w:r>
      <w:r w:rsidRPr="00652491">
        <w:t xml:space="preserve"> a $14.9 million pilot program to build new and innovative Specialist Disability Accommodation. New homes built by the department are an alternative to the group home model and are delivered in partnership with a group of residents, their families and support providers. </w:t>
      </w:r>
    </w:p>
    <w:p w14:paraId="4C6121BB" w14:textId="2A52FF4B" w:rsidR="000E38BD" w:rsidRPr="00532DAE" w:rsidRDefault="000E38BD" w:rsidP="0088621E">
      <w:pPr>
        <w:pStyle w:val="ARbody"/>
      </w:pPr>
      <w:r w:rsidRPr="00652491">
        <w:t>In 2023</w:t>
      </w:r>
      <w:r w:rsidR="00E837F9">
        <w:t>–</w:t>
      </w:r>
      <w:r w:rsidRPr="00652491">
        <w:t>24, 12 new homes were completed for 21</w:t>
      </w:r>
      <w:r w:rsidR="00B55E7F">
        <w:t> </w:t>
      </w:r>
      <w:r w:rsidRPr="00652491">
        <w:t xml:space="preserve">residents, with another </w:t>
      </w:r>
      <w:r w:rsidR="009D641C">
        <w:t>4</w:t>
      </w:r>
      <w:r w:rsidRPr="00652491">
        <w:t xml:space="preserve"> homes to be started in</w:t>
      </w:r>
      <w:r w:rsidR="00B55E7F">
        <w:t> </w:t>
      </w:r>
      <w:r w:rsidRPr="00652491">
        <w:t>2024</w:t>
      </w:r>
      <w:r w:rsidR="00E837F9">
        <w:t>–</w:t>
      </w:r>
      <w:r w:rsidRPr="00652491">
        <w:t>25.</w:t>
      </w:r>
    </w:p>
    <w:p w14:paraId="4557E444" w14:textId="77777777" w:rsidR="000E38BD" w:rsidRPr="006D66AA" w:rsidRDefault="000E38BD" w:rsidP="00C24BF2">
      <w:pPr>
        <w:pStyle w:val="Heading5"/>
        <w:spacing w:before="120"/>
      </w:pPr>
      <w:r w:rsidRPr="006D66AA" w:rsidDel="000F1F04">
        <w:t>Continuing</w:t>
      </w:r>
      <w:r w:rsidRPr="006D66AA" w:rsidDel="0009102D">
        <w:t xml:space="preserve"> </w:t>
      </w:r>
      <w:r w:rsidRPr="00F9790A" w:rsidDel="0009102D">
        <w:t>to</w:t>
      </w:r>
      <w:r w:rsidRPr="006D66AA" w:rsidDel="0009102D">
        <w:t xml:space="preserve"> improve our </w:t>
      </w:r>
      <w:r w:rsidRPr="006D66AA">
        <w:t>housing</w:t>
      </w:r>
    </w:p>
    <w:p w14:paraId="57DCDCAB" w14:textId="36F4A312" w:rsidR="000E38BD" w:rsidRPr="007B6466" w:rsidRDefault="000E38BD" w:rsidP="00F9790A">
      <w:pPr>
        <w:pStyle w:val="Heading6"/>
      </w:pPr>
      <w:r w:rsidRPr="653A650F">
        <w:rPr>
          <w:lang w:val="en-AU"/>
        </w:rPr>
        <w:t>Delivering high-quality, safe and sustainable housing via the Building Works Infrastructure</w:t>
      </w:r>
      <w:r w:rsidR="0085545B" w:rsidRPr="653A650F">
        <w:rPr>
          <w:lang w:val="en-AU"/>
        </w:rPr>
        <w:t> </w:t>
      </w:r>
      <w:r w:rsidRPr="653A650F">
        <w:rPr>
          <w:lang w:val="en-AU"/>
        </w:rPr>
        <w:t>Package</w:t>
      </w:r>
    </w:p>
    <w:p w14:paraId="4F0A6F67" w14:textId="202F10BC" w:rsidR="000E38BD" w:rsidRPr="00532DAE" w:rsidRDefault="000E38BD" w:rsidP="00F9790A">
      <w:pPr>
        <w:pStyle w:val="ARbody"/>
      </w:pPr>
      <w:r w:rsidRPr="00532DAE">
        <w:t>Th</w:t>
      </w:r>
      <w:r w:rsidR="00255EEC">
        <w:t>e</w:t>
      </w:r>
      <w:r w:rsidRPr="00532DAE">
        <w:t xml:space="preserve"> $</w:t>
      </w:r>
      <w:r>
        <w:t>528</w:t>
      </w:r>
      <w:r w:rsidRPr="00532DAE">
        <w:t xml:space="preserve"> million </w:t>
      </w:r>
      <w:r w:rsidR="00255EEC">
        <w:t>Building Works Package</w:t>
      </w:r>
      <w:r w:rsidR="008211DD">
        <w:t>,</w:t>
      </w:r>
      <w:r w:rsidR="00255EEC">
        <w:t xml:space="preserve"> announced in 2020, </w:t>
      </w:r>
      <w:r w:rsidR="0088384E">
        <w:t xml:space="preserve">has funded </w:t>
      </w:r>
      <w:r w:rsidRPr="00532DAE">
        <w:t>the maintenance and upgrade of 23,000 social housing properties across Victoria. The Building Works Package is nearing completion</w:t>
      </w:r>
      <w:r w:rsidR="008609B6">
        <w:t xml:space="preserve">, with </w:t>
      </w:r>
      <w:r w:rsidR="00E600BD">
        <w:t>m</w:t>
      </w:r>
      <w:r w:rsidRPr="00532DAE">
        <w:t>ore than 24,</w:t>
      </w:r>
      <w:r w:rsidR="00020036">
        <w:t>5</w:t>
      </w:r>
      <w:r w:rsidRPr="00532DAE">
        <w:t>00 public and community housing properties hav</w:t>
      </w:r>
      <w:r w:rsidR="006623D5">
        <w:t>ing</w:t>
      </w:r>
      <w:r w:rsidRPr="00532DAE">
        <w:t xml:space="preserve"> maintenance or upgrade works completed.</w:t>
      </w:r>
    </w:p>
    <w:p w14:paraId="3977573F" w14:textId="1153FEE6" w:rsidR="000E38BD" w:rsidRPr="00F9790A" w:rsidDel="00401280" w:rsidRDefault="00EF36DD" w:rsidP="00F9790A">
      <w:pPr>
        <w:pStyle w:val="ARbody"/>
      </w:pPr>
      <w:r>
        <w:t>M</w:t>
      </w:r>
      <w:r w:rsidR="000E38BD" w:rsidRPr="00532DAE">
        <w:t>ore than 5,500 upgrades</w:t>
      </w:r>
      <w:r w:rsidR="000E38BD">
        <w:t xml:space="preserve"> </w:t>
      </w:r>
      <w:r w:rsidR="000E38BD" w:rsidRPr="00532DAE">
        <w:t xml:space="preserve">were made to </w:t>
      </w:r>
      <w:r w:rsidR="000E38BD">
        <w:t>more than</w:t>
      </w:r>
      <w:r w:rsidR="000E38BD" w:rsidRPr="00532DAE">
        <w:t xml:space="preserve"> 2,000 properties owned by </w:t>
      </w:r>
      <w:r w:rsidR="000E38BD" w:rsidRPr="00F9790A">
        <w:t>Aboriginal</w:t>
      </w:r>
      <w:r w:rsidR="000E38BD" w:rsidRPr="00532DAE">
        <w:t xml:space="preserve"> Housing Victoria and </w:t>
      </w:r>
      <w:r w:rsidR="001C316E">
        <w:t>Aboriginal</w:t>
      </w:r>
      <w:r w:rsidR="00A16458">
        <w:t>-</w:t>
      </w:r>
      <w:r w:rsidR="001C316E">
        <w:t>Community Controlled Organisations</w:t>
      </w:r>
      <w:r w:rsidR="000E38BD">
        <w:t>.</w:t>
      </w:r>
      <w:r w:rsidR="000E38BD" w:rsidRPr="00532DAE">
        <w:t xml:space="preserve"> Additionally, </w:t>
      </w:r>
      <w:r w:rsidR="000E38BD">
        <w:t>445</w:t>
      </w:r>
      <w:r w:rsidR="000E38BD" w:rsidRPr="00532DAE">
        <w:t xml:space="preserve"> new homes were built and a further </w:t>
      </w:r>
      <w:r w:rsidR="000E38BD">
        <w:t>82</w:t>
      </w:r>
      <w:r w:rsidR="000E38BD" w:rsidRPr="00532DAE">
        <w:t xml:space="preserve"> new homes ha</w:t>
      </w:r>
      <w:r w:rsidR="00942260">
        <w:t>d</w:t>
      </w:r>
      <w:r w:rsidR="000E38BD" w:rsidRPr="00532DAE">
        <w:t xml:space="preserve"> commenced</w:t>
      </w:r>
      <w:r w:rsidR="004C4435">
        <w:t> </w:t>
      </w:r>
      <w:r w:rsidR="000E38BD" w:rsidRPr="00532DAE">
        <w:t xml:space="preserve">construction. </w:t>
      </w:r>
    </w:p>
    <w:p w14:paraId="325AE2F4" w14:textId="385F6275" w:rsidR="000E38BD" w:rsidRPr="00CF1ECA" w:rsidRDefault="000E38BD" w:rsidP="00F9790A">
      <w:pPr>
        <w:pStyle w:val="ARbody"/>
      </w:pPr>
      <w:r w:rsidRPr="00F9790A">
        <w:t>The department is also improving maintenance service delivery for renters as part of the</w:t>
      </w:r>
      <w:r w:rsidR="00D90552" w:rsidRPr="00F9790A">
        <w:t xml:space="preserve"> </w:t>
      </w:r>
      <w:r w:rsidRPr="00F9790A">
        <w:t xml:space="preserve">maintenance modernisation program. We are delivering </w:t>
      </w:r>
      <w:r w:rsidRPr="000246D1">
        <w:t xml:space="preserve">process and system improvements to support renters and contractors at key points in the responsive maintenance process. </w:t>
      </w:r>
      <w:r>
        <w:t>Improvements will</w:t>
      </w:r>
      <w:r w:rsidRPr="000246D1">
        <w:t xml:space="preserve"> enable renters to raise </w:t>
      </w:r>
      <w:r>
        <w:t>electronic maintenance requests</w:t>
      </w:r>
      <w:r w:rsidRPr="000246D1">
        <w:t xml:space="preserve">, attach photographs and </w:t>
      </w:r>
      <w:r>
        <w:t xml:space="preserve">track </w:t>
      </w:r>
      <w:r w:rsidRPr="000246D1">
        <w:t>the progress of the</w:t>
      </w:r>
      <w:r>
        <w:t>ir</w:t>
      </w:r>
      <w:r w:rsidRPr="000246D1">
        <w:t xml:space="preserve"> </w:t>
      </w:r>
      <w:r>
        <w:t>request</w:t>
      </w:r>
      <w:r w:rsidRPr="000246D1">
        <w:t xml:space="preserve">. </w:t>
      </w:r>
      <w:r>
        <w:t>It</w:t>
      </w:r>
      <w:r w:rsidRPr="000246D1">
        <w:t xml:space="preserve"> will provide contractors with better information </w:t>
      </w:r>
      <w:r>
        <w:t>about</w:t>
      </w:r>
      <w:r w:rsidRPr="000246D1">
        <w:t xml:space="preserve"> the jobs before they arrive</w:t>
      </w:r>
      <w:r>
        <w:t xml:space="preserve"> on-site, enabling them</w:t>
      </w:r>
      <w:r w:rsidRPr="000246D1">
        <w:t xml:space="preserve"> to complete more jobs in full in a single visit and provide renters with surety of when work will get</w:t>
      </w:r>
      <w:r w:rsidR="00F9790A">
        <w:t> </w:t>
      </w:r>
      <w:r w:rsidRPr="000246D1">
        <w:t xml:space="preserve">done. </w:t>
      </w:r>
    </w:p>
    <w:p w14:paraId="1265EFF6" w14:textId="77777777" w:rsidR="000E38BD" w:rsidRPr="00C94A5E" w:rsidRDefault="000E38BD" w:rsidP="00F9790A">
      <w:pPr>
        <w:pStyle w:val="Heading6"/>
      </w:pPr>
      <w:r w:rsidRPr="00FF6832">
        <w:t xml:space="preserve">Continuing to deliver the </w:t>
      </w:r>
      <w:r w:rsidRPr="00C94A5E">
        <w:t>Energy Efficiency in Social Housing Program</w:t>
      </w:r>
    </w:p>
    <w:p w14:paraId="6BB370BA" w14:textId="14F9306A" w:rsidR="000E38BD" w:rsidRPr="00A37B9F" w:rsidRDefault="00CE7615" w:rsidP="00F9790A">
      <w:pPr>
        <w:pStyle w:val="ARbody"/>
        <w:rPr>
          <w:szCs w:val="20"/>
        </w:rPr>
      </w:pPr>
      <w:r>
        <w:t xml:space="preserve">The department, through </w:t>
      </w:r>
      <w:r w:rsidR="000E38BD" w:rsidRPr="000246D1">
        <w:t>Homes Victoria</w:t>
      </w:r>
      <w:r w:rsidR="00E16F37">
        <w:t>,</w:t>
      </w:r>
      <w:r w:rsidR="000E38BD" w:rsidRPr="000246D1">
        <w:t xml:space="preserve"> continues to deliver the Energy Efficiency in Social Housing Program, providing energy </w:t>
      </w:r>
      <w:r w:rsidR="000E38BD" w:rsidRPr="00F9790A">
        <w:t>efficiency</w:t>
      </w:r>
      <w:r w:rsidR="000E38BD" w:rsidRPr="000246D1">
        <w:t xml:space="preserve"> upgrades in social housing across Victoria</w:t>
      </w:r>
      <w:r w:rsidR="000E38BD">
        <w:t xml:space="preserve"> and</w:t>
      </w:r>
      <w:r w:rsidR="000E38BD" w:rsidRPr="000246D1">
        <w:t xml:space="preserve"> reducing energy bills for </w:t>
      </w:r>
      <w:r w:rsidR="00D57B10" w:rsidRPr="000246D1">
        <w:t>low</w:t>
      </w:r>
      <w:r w:rsidR="00D57B10">
        <w:t>-</w:t>
      </w:r>
      <w:r w:rsidR="000E38BD" w:rsidRPr="000246D1">
        <w:t>income households.</w:t>
      </w:r>
      <w:r w:rsidR="00D90552">
        <w:t xml:space="preserve"> </w:t>
      </w:r>
      <w:r w:rsidR="000E38BD" w:rsidRPr="000246D1">
        <w:t xml:space="preserve">This year, the </w:t>
      </w:r>
      <w:r w:rsidR="000E38BD">
        <w:t>p</w:t>
      </w:r>
      <w:r w:rsidR="000E38BD" w:rsidRPr="000246D1">
        <w:t xml:space="preserve">rogram has been rescoped and received an additional $46 million in matched funding from the Commonwealth </w:t>
      </w:r>
      <w:r w:rsidR="000E38BD">
        <w:t>G</w:t>
      </w:r>
      <w:r w:rsidR="000E38BD" w:rsidRPr="000246D1">
        <w:t>overnment, expanding the total investment from $112 million to $158 mil</w:t>
      </w:r>
      <w:r w:rsidR="000E38BD" w:rsidRPr="00A37B9F">
        <w:rPr>
          <w:szCs w:val="20"/>
        </w:rPr>
        <w:t xml:space="preserve">lion. Since launching in 2020, </w:t>
      </w:r>
      <w:r w:rsidR="000E38BD">
        <w:rPr>
          <w:szCs w:val="20"/>
        </w:rPr>
        <w:t>this</w:t>
      </w:r>
      <w:r w:rsidR="000E38BD" w:rsidRPr="00A37B9F">
        <w:rPr>
          <w:szCs w:val="20"/>
        </w:rPr>
        <w:t xml:space="preserve"> program has upgraded 18,542 social housing homes, including activities such as installing high efficiency reverse-cycle air</w:t>
      </w:r>
      <w:r w:rsidR="004B4454">
        <w:rPr>
          <w:szCs w:val="20"/>
        </w:rPr>
        <w:t>-</w:t>
      </w:r>
      <w:r w:rsidR="000E38BD" w:rsidRPr="00A37B9F">
        <w:rPr>
          <w:szCs w:val="20"/>
        </w:rPr>
        <w:t>conditioning systems, draught sealing and ceiling</w:t>
      </w:r>
      <w:r w:rsidR="00F9790A">
        <w:rPr>
          <w:szCs w:val="20"/>
        </w:rPr>
        <w:t> </w:t>
      </w:r>
      <w:r w:rsidR="000E38BD" w:rsidRPr="00A37B9F">
        <w:rPr>
          <w:szCs w:val="20"/>
        </w:rPr>
        <w:t>insulation.</w:t>
      </w:r>
    </w:p>
    <w:p w14:paraId="5DF890E5" w14:textId="03678440" w:rsidR="00F9790A" w:rsidRDefault="000E38BD" w:rsidP="0088621E">
      <w:pPr>
        <w:pStyle w:val="ARbody"/>
      </w:pPr>
      <w:r w:rsidRPr="00CF1ECA">
        <w:t xml:space="preserve">The revised </w:t>
      </w:r>
      <w:r>
        <w:t>p</w:t>
      </w:r>
      <w:r w:rsidRPr="00CF1ECA">
        <w:t>rogram will deliver more than 45,000</w:t>
      </w:r>
      <w:r w:rsidR="009C6847">
        <w:t> </w:t>
      </w:r>
      <w:r w:rsidRPr="00CF1ECA">
        <w:t xml:space="preserve">upgrades </w:t>
      </w:r>
      <w:r>
        <w:t>for</w:t>
      </w:r>
      <w:r w:rsidRPr="00CF1ECA">
        <w:t xml:space="preserve"> approximately 25,000 homes, with 5,000 of these homes to be fully</w:t>
      </w:r>
      <w:r w:rsidR="00F9790A">
        <w:t> </w:t>
      </w:r>
      <w:r w:rsidRPr="00CF1ECA">
        <w:t>electrified.</w:t>
      </w:r>
    </w:p>
    <w:p w14:paraId="23DB8ED0" w14:textId="448FF076" w:rsidR="000E38BD" w:rsidRPr="00645AD0" w:rsidRDefault="000E38BD" w:rsidP="0088621E">
      <w:pPr>
        <w:pStyle w:val="Heading6"/>
      </w:pPr>
      <w:r w:rsidRPr="00CD667C" w:rsidDel="00571677">
        <w:rPr>
          <w:lang w:val="en-US"/>
        </w:rPr>
        <w:t>D</w:t>
      </w:r>
      <w:r w:rsidRPr="00CD667C" w:rsidDel="004A2B3D">
        <w:rPr>
          <w:lang w:val="en-US"/>
        </w:rPr>
        <w:t>eliver</w:t>
      </w:r>
      <w:r w:rsidRPr="00CD667C" w:rsidDel="00571677">
        <w:rPr>
          <w:lang w:val="en-US"/>
        </w:rPr>
        <w:t xml:space="preserve">ing </w:t>
      </w:r>
      <w:r w:rsidRPr="00CD667C" w:rsidDel="004A2B3D">
        <w:rPr>
          <w:lang w:val="en-US"/>
        </w:rPr>
        <w:t>environmentally sustainable</w:t>
      </w:r>
      <w:r w:rsidRPr="00CD667C">
        <w:rPr>
          <w:lang w:val="en-US"/>
        </w:rPr>
        <w:t xml:space="preserve"> </w:t>
      </w:r>
      <w:r w:rsidRPr="00CD667C" w:rsidDel="004A2B3D">
        <w:rPr>
          <w:lang w:val="en-US"/>
        </w:rPr>
        <w:t>social</w:t>
      </w:r>
      <w:r w:rsidR="00F9790A">
        <w:rPr>
          <w:lang w:val="en-US"/>
        </w:rPr>
        <w:t> </w:t>
      </w:r>
      <w:r w:rsidRPr="00CD667C" w:rsidDel="004A2B3D">
        <w:rPr>
          <w:lang w:val="en-US"/>
        </w:rPr>
        <w:t>housing</w:t>
      </w:r>
    </w:p>
    <w:p w14:paraId="39029170" w14:textId="368992E0" w:rsidR="000E38BD" w:rsidRPr="00A37B9F" w:rsidRDefault="000E38BD" w:rsidP="00F9790A">
      <w:pPr>
        <w:pStyle w:val="ARbody"/>
      </w:pPr>
      <w:r w:rsidRPr="000246D1">
        <w:t>All new homes being currently built by Homes Victoria have a 7-star</w:t>
      </w:r>
      <w:r w:rsidRPr="00E179E0">
        <w:t xml:space="preserve"> rating under the Nationwide House </w:t>
      </w:r>
      <w:r w:rsidRPr="00A37B9F">
        <w:t>Energy Rating Scheme (NatHERS).</w:t>
      </w:r>
      <w:r w:rsidR="00D90552">
        <w:t xml:space="preserve"> </w:t>
      </w:r>
      <w:r w:rsidRPr="00A37B9F">
        <w:t>In line with the Victorian Government</w:t>
      </w:r>
      <w:r w:rsidR="00711AE6">
        <w:t>’</w:t>
      </w:r>
      <w:r w:rsidRPr="00A37B9F">
        <w:t>s ambitious target of</w:t>
      </w:r>
      <w:r w:rsidR="004C4435">
        <w:t> </w:t>
      </w:r>
      <w:r w:rsidRPr="00A37B9F">
        <w:t xml:space="preserve">net </w:t>
      </w:r>
      <w:r w:rsidRPr="00F9790A">
        <w:t>zero</w:t>
      </w:r>
      <w:r w:rsidRPr="00A37B9F">
        <w:t xml:space="preserve"> by 2050, these developments are set up</w:t>
      </w:r>
      <w:r w:rsidR="00F057DE">
        <w:t> </w:t>
      </w:r>
      <w:r w:rsidRPr="00A37B9F">
        <w:t>to</w:t>
      </w:r>
      <w:r w:rsidR="004C4435">
        <w:t> </w:t>
      </w:r>
      <w:r w:rsidRPr="00A37B9F">
        <w:t>be net zero-ready with all-electric specification and solar photovoltaic systems. </w:t>
      </w:r>
    </w:p>
    <w:p w14:paraId="3292414B" w14:textId="0CF7ADFD" w:rsidR="000E38BD" w:rsidRPr="00A37B9F" w:rsidRDefault="000E38BD" w:rsidP="0088621E">
      <w:pPr>
        <w:pStyle w:val="ARbody"/>
        <w:rPr>
          <w:szCs w:val="20"/>
        </w:rPr>
      </w:pPr>
      <w:r>
        <w:t>Of the</w:t>
      </w:r>
      <w:r w:rsidRPr="000246D1">
        <w:t xml:space="preserve"> </w:t>
      </w:r>
      <w:r>
        <w:t xml:space="preserve">5 </w:t>
      </w:r>
      <w:r w:rsidRPr="00A37B9F">
        <w:rPr>
          <w:szCs w:val="20"/>
        </w:rPr>
        <w:t xml:space="preserve">new apartment developments </w:t>
      </w:r>
      <w:r>
        <w:rPr>
          <w:szCs w:val="20"/>
        </w:rPr>
        <w:t>identified to</w:t>
      </w:r>
      <w:r w:rsidR="004C4435">
        <w:rPr>
          <w:szCs w:val="20"/>
        </w:rPr>
        <w:t> </w:t>
      </w:r>
      <w:r>
        <w:rPr>
          <w:szCs w:val="20"/>
        </w:rPr>
        <w:t>have</w:t>
      </w:r>
      <w:r w:rsidRPr="00A37B9F">
        <w:rPr>
          <w:szCs w:val="20"/>
        </w:rPr>
        <w:t xml:space="preserve"> Local Energy Networks, </w:t>
      </w:r>
      <w:r>
        <w:rPr>
          <w:szCs w:val="20"/>
        </w:rPr>
        <w:t>4</w:t>
      </w:r>
      <w:r w:rsidRPr="00246454">
        <w:rPr>
          <w:szCs w:val="20"/>
        </w:rPr>
        <w:t xml:space="preserve"> of these are now operating in Ascot Vale, Ashburton</w:t>
      </w:r>
      <w:r>
        <w:rPr>
          <w:szCs w:val="20"/>
        </w:rPr>
        <w:t xml:space="preserve">, </w:t>
      </w:r>
      <w:r w:rsidRPr="00246454">
        <w:rPr>
          <w:szCs w:val="20"/>
        </w:rPr>
        <w:t>Heidelberg West</w:t>
      </w:r>
      <w:r>
        <w:rPr>
          <w:szCs w:val="20"/>
        </w:rPr>
        <w:t xml:space="preserve"> and Hawthorn.</w:t>
      </w:r>
      <w:r w:rsidR="00D90552">
        <w:rPr>
          <w:szCs w:val="20"/>
        </w:rPr>
        <w:t xml:space="preserve"> </w:t>
      </w:r>
      <w:r>
        <w:rPr>
          <w:szCs w:val="20"/>
        </w:rPr>
        <w:t>These Local Energy Networks</w:t>
      </w:r>
      <w:r w:rsidRPr="00246454">
        <w:rPr>
          <w:szCs w:val="20"/>
        </w:rPr>
        <w:t xml:space="preserve"> </w:t>
      </w:r>
      <w:r w:rsidRPr="00A37B9F">
        <w:rPr>
          <w:szCs w:val="20"/>
        </w:rPr>
        <w:t>integrate large solar photovoltaic systems and guarantee a rate of electricity for renters in those buildings which is at least equal to the best available on the market. Investigations are underway for the potential expansion of this initiative to other new buildings. This initiative is</w:t>
      </w:r>
      <w:r w:rsidR="004C4435">
        <w:rPr>
          <w:szCs w:val="20"/>
        </w:rPr>
        <w:t> </w:t>
      </w:r>
      <w:r w:rsidRPr="00A37B9F">
        <w:rPr>
          <w:szCs w:val="20"/>
        </w:rPr>
        <w:t>reducing the cost of living for renters in those buildings and reducing emissions for the state of</w:t>
      </w:r>
      <w:r w:rsidR="00F9790A">
        <w:rPr>
          <w:szCs w:val="20"/>
        </w:rPr>
        <w:t> </w:t>
      </w:r>
      <w:r w:rsidRPr="00A37B9F">
        <w:rPr>
          <w:szCs w:val="20"/>
        </w:rPr>
        <w:t>Victoria.</w:t>
      </w:r>
    </w:p>
    <w:p w14:paraId="2FDF984A" w14:textId="7BB413CE" w:rsidR="000E38BD" w:rsidRPr="00CF1ECA" w:rsidRDefault="000E38BD" w:rsidP="00F9790A">
      <w:pPr>
        <w:pStyle w:val="ARbody"/>
      </w:pPr>
      <w:r w:rsidRPr="00CF1ECA">
        <w:t>Homes Victoria</w:t>
      </w:r>
      <w:r w:rsidR="00711AE6">
        <w:t>’</w:t>
      </w:r>
      <w:r w:rsidRPr="00CF1ECA">
        <w:t>s High-Rise Cooling Program is delivering air</w:t>
      </w:r>
      <w:r w:rsidR="004B4454">
        <w:t>-</w:t>
      </w:r>
      <w:r w:rsidRPr="00CF1ECA">
        <w:t>conditioning to older-style towers within the portfolio, and preparatory works commenced in early 2024, with installations due to</w:t>
      </w:r>
      <w:r w:rsidR="004C4435">
        <w:t> </w:t>
      </w:r>
      <w:r w:rsidRPr="00CF1ECA">
        <w:t xml:space="preserve">commence </w:t>
      </w:r>
      <w:r w:rsidR="008A3047">
        <w:t>by the end of</w:t>
      </w:r>
      <w:r w:rsidRPr="00CF1ECA">
        <w:t xml:space="preserve"> 2024. This initiative will provide residents with relief from summer heat while buildings in the portfolio await their scheduled</w:t>
      </w:r>
      <w:r w:rsidR="00F9790A">
        <w:t> </w:t>
      </w:r>
      <w:r w:rsidRPr="00CF1ECA">
        <w:t xml:space="preserve">retirement. </w:t>
      </w:r>
    </w:p>
    <w:p w14:paraId="2FE211A5" w14:textId="4668B4CE" w:rsidR="000E38BD" w:rsidRPr="00F9790A" w:rsidRDefault="000E38BD" w:rsidP="00F9790A">
      <w:pPr>
        <w:pStyle w:val="Heading5"/>
        <w:rPr>
          <w:rFonts w:eastAsia="MS Mincho"/>
        </w:rPr>
      </w:pPr>
      <w:r w:rsidRPr="00454EDF" w:rsidDel="00546F17">
        <w:rPr>
          <w:rFonts w:eastAsia="MS Mincho"/>
        </w:rPr>
        <w:t>Strengthening Victoria</w:t>
      </w:r>
      <w:r w:rsidR="00711AE6">
        <w:rPr>
          <w:rFonts w:eastAsia="MS Mincho"/>
        </w:rPr>
        <w:t>’</w:t>
      </w:r>
      <w:r w:rsidRPr="00454EDF" w:rsidDel="00546F17">
        <w:rPr>
          <w:rFonts w:eastAsia="MS Mincho"/>
        </w:rPr>
        <w:t>s homelessness</w:t>
      </w:r>
      <w:r w:rsidR="00F9790A">
        <w:rPr>
          <w:rFonts w:eastAsia="MS Mincho"/>
        </w:rPr>
        <w:t> </w:t>
      </w:r>
      <w:r w:rsidRPr="00454EDF" w:rsidDel="00546F17">
        <w:rPr>
          <w:rFonts w:eastAsia="MS Mincho"/>
        </w:rPr>
        <w:t>response</w:t>
      </w:r>
    </w:p>
    <w:p w14:paraId="0ECBBAB7" w14:textId="40EF6073" w:rsidR="000E38BD" w:rsidRDefault="000E38BD" w:rsidP="0088621E">
      <w:pPr>
        <w:pStyle w:val="ARbody"/>
      </w:pPr>
      <w:r>
        <w:t>Investments in the specialist homelessness system have enabled homelessness services to assist 101,804 clients to address and prevent homelessness. Of these, 27,882 clients were provided with accommodation in 2023</w:t>
      </w:r>
      <w:r w:rsidR="00E837F9">
        <w:t>–</w:t>
      </w:r>
      <w:r>
        <w:t xml:space="preserve">24. </w:t>
      </w:r>
    </w:p>
    <w:p w14:paraId="38C6B4CE" w14:textId="0BEF6415" w:rsidR="004C4435" w:rsidRDefault="000E38BD" w:rsidP="0088621E">
      <w:pPr>
        <w:pStyle w:val="ARbody"/>
      </w:pPr>
      <w:r w:rsidRPr="00073B67">
        <w:t>The 202</w:t>
      </w:r>
      <w:r>
        <w:t>3</w:t>
      </w:r>
      <w:r w:rsidR="00E837F9">
        <w:t>–</w:t>
      </w:r>
      <w:r w:rsidRPr="00073B67">
        <w:t>2</w:t>
      </w:r>
      <w:r>
        <w:t>4</w:t>
      </w:r>
      <w:r w:rsidRPr="00073B67">
        <w:t xml:space="preserve"> State Budget </w:t>
      </w:r>
      <w:r>
        <w:t>provided further</w:t>
      </w:r>
      <w:r w:rsidRPr="00073B67">
        <w:t xml:space="preserve"> investment </w:t>
      </w:r>
      <w:r w:rsidR="00FC477C">
        <w:t xml:space="preserve">of </w:t>
      </w:r>
      <w:r w:rsidRPr="00073B67">
        <w:t xml:space="preserve">$134 million </w:t>
      </w:r>
      <w:r>
        <w:t xml:space="preserve">over 4 </w:t>
      </w:r>
      <w:r w:rsidRPr="00073B67">
        <w:t>years</w:t>
      </w:r>
      <w:r w:rsidRPr="00073B67" w:rsidDel="00050B71">
        <w:t xml:space="preserve"> to</w:t>
      </w:r>
      <w:r w:rsidRPr="00073B67">
        <w:t xml:space="preserve"> break the</w:t>
      </w:r>
      <w:r w:rsidR="009C6847">
        <w:t> </w:t>
      </w:r>
      <w:r w:rsidRPr="00073B67">
        <w:t xml:space="preserve">cycle of homelessness, including $67.6 </w:t>
      </w:r>
      <w:r>
        <w:t xml:space="preserve">million </w:t>
      </w:r>
      <w:r w:rsidRPr="00073B67">
        <w:t xml:space="preserve">for Housing First responses and supports </w:t>
      </w:r>
      <w:r>
        <w:t>for</w:t>
      </w:r>
      <w:r w:rsidRPr="00073B67">
        <w:t xml:space="preserve"> people sleeping rough.</w:t>
      </w:r>
    </w:p>
    <w:p w14:paraId="360FA070" w14:textId="77777777" w:rsidR="004C4435" w:rsidRDefault="004C4435">
      <w:pPr>
        <w:rPr>
          <w:rFonts w:ascii="Arial" w:eastAsia="Times" w:hAnsi="Arial" w:cs="Arial"/>
          <w:sz w:val="20"/>
          <w:szCs w:val="24"/>
        </w:rPr>
      </w:pPr>
      <w:r>
        <w:br w:type="page"/>
      </w:r>
    </w:p>
    <w:p w14:paraId="3A1310C3" w14:textId="658184B5" w:rsidR="000E38BD" w:rsidRPr="00C94A5E" w:rsidRDefault="000E38BD" w:rsidP="00F9790A">
      <w:pPr>
        <w:pStyle w:val="Heading6"/>
      </w:pPr>
      <w:r w:rsidRPr="00C94A5E">
        <w:t xml:space="preserve">Investing in </w:t>
      </w:r>
      <w:r>
        <w:t>s</w:t>
      </w:r>
      <w:r w:rsidRPr="00C94A5E">
        <w:t xml:space="preserve">upportive </w:t>
      </w:r>
      <w:r>
        <w:t>h</w:t>
      </w:r>
      <w:r w:rsidRPr="00C94A5E">
        <w:t>ousing</w:t>
      </w:r>
    </w:p>
    <w:p w14:paraId="0876DF16" w14:textId="76D3F8EA" w:rsidR="000E38BD" w:rsidRDefault="000E38BD" w:rsidP="00F9790A">
      <w:pPr>
        <w:pStyle w:val="ARbody"/>
      </w:pPr>
      <w:r>
        <w:t>The</w:t>
      </w:r>
      <w:r w:rsidDel="00546F17">
        <w:t xml:space="preserve"> </w:t>
      </w:r>
      <w:r>
        <w:t>2022</w:t>
      </w:r>
      <w:r w:rsidR="00E837F9">
        <w:t>–</w:t>
      </w:r>
      <w:r>
        <w:t xml:space="preserve">23 </w:t>
      </w:r>
      <w:r w:rsidRPr="00015E41" w:rsidDel="00546F17">
        <w:t>State Budget</w:t>
      </w:r>
      <w:r w:rsidDel="00546F17">
        <w:t xml:space="preserve"> included capital funding to deliver </w:t>
      </w:r>
      <w:r>
        <w:t>2</w:t>
      </w:r>
      <w:r w:rsidDel="00546F17">
        <w:t xml:space="preserve"> supportive housing </w:t>
      </w:r>
      <w:r w:rsidRPr="00073B67">
        <w:t>sites</w:t>
      </w:r>
      <w:r w:rsidDel="00546F17">
        <w:t xml:space="preserve"> in regional Victoria. </w:t>
      </w:r>
      <w:r w:rsidRPr="00073B67" w:rsidDel="00546F17">
        <w:t xml:space="preserve">This builds on </w:t>
      </w:r>
      <w:r w:rsidRPr="00073B67">
        <w:t xml:space="preserve">the </w:t>
      </w:r>
      <w:r>
        <w:t>4</w:t>
      </w:r>
      <w:r w:rsidRPr="00073B67" w:rsidDel="00546F17">
        <w:t xml:space="preserve"> support</w:t>
      </w:r>
      <w:r w:rsidRPr="00073B67">
        <w:t>ive</w:t>
      </w:r>
      <w:r w:rsidRPr="00073B67" w:rsidDel="00546F17">
        <w:t xml:space="preserve"> housing </w:t>
      </w:r>
      <w:r w:rsidRPr="00073B67">
        <w:t>sites</w:t>
      </w:r>
      <w:r w:rsidRPr="00073B67" w:rsidDel="00546F17">
        <w:t xml:space="preserve"> currently </w:t>
      </w:r>
      <w:r w:rsidRPr="00073B67">
        <w:t xml:space="preserve">in </w:t>
      </w:r>
      <w:r w:rsidRPr="00073B67" w:rsidDel="00546F17">
        <w:t>operation</w:t>
      </w:r>
      <w:r w:rsidRPr="00073B67">
        <w:t xml:space="preserve"> and a further </w:t>
      </w:r>
      <w:r>
        <w:t>2</w:t>
      </w:r>
      <w:r w:rsidRPr="00073B67">
        <w:t xml:space="preserve"> sites in</w:t>
      </w:r>
      <w:r w:rsidR="004C4435">
        <w:t> </w:t>
      </w:r>
      <w:r w:rsidRPr="00073B67">
        <w:t xml:space="preserve">metropolitan Melbourne due for completion </w:t>
      </w:r>
      <w:r>
        <w:t>in</w:t>
      </w:r>
      <w:r w:rsidR="004C4435">
        <w:t> </w:t>
      </w:r>
      <w:r>
        <w:t>2024</w:t>
      </w:r>
      <w:r w:rsidR="00E837F9">
        <w:t>–</w:t>
      </w:r>
      <w:r>
        <w:t>25</w:t>
      </w:r>
      <w:r w:rsidRPr="00073B67">
        <w:t>, to deliver Housing First responses for</w:t>
      </w:r>
      <w:r w:rsidR="004C4435">
        <w:t> </w:t>
      </w:r>
      <w:r w:rsidRPr="00073B67">
        <w:t xml:space="preserve">people </w:t>
      </w:r>
      <w:r w:rsidRPr="00073B67">
        <w:rPr>
          <w:color w:val="000000" w:themeColor="text1"/>
        </w:rPr>
        <w:t>experiencing chronic homelessness. These investments will grow the number of supportive housing beds from 180 in 2022</w:t>
      </w:r>
      <w:r w:rsidR="00E837F9">
        <w:rPr>
          <w:color w:val="000000" w:themeColor="text1"/>
        </w:rPr>
        <w:t>–</w:t>
      </w:r>
      <w:r w:rsidRPr="00073B67">
        <w:rPr>
          <w:color w:val="000000" w:themeColor="text1"/>
        </w:rPr>
        <w:t>23 to</w:t>
      </w:r>
      <w:r w:rsidR="004C4435">
        <w:rPr>
          <w:color w:val="000000" w:themeColor="text1"/>
        </w:rPr>
        <w:t> </w:t>
      </w:r>
      <w:r>
        <w:rPr>
          <w:color w:val="000000" w:themeColor="text1"/>
        </w:rPr>
        <w:t>more than</w:t>
      </w:r>
      <w:r w:rsidRPr="00073B67">
        <w:rPr>
          <w:color w:val="000000" w:themeColor="text1"/>
        </w:rPr>
        <w:t xml:space="preserve"> 360 in 2025</w:t>
      </w:r>
      <w:r w:rsidR="00E837F9">
        <w:rPr>
          <w:color w:val="000000" w:themeColor="text1"/>
        </w:rPr>
        <w:t>–</w:t>
      </w:r>
      <w:r w:rsidRPr="00073B67">
        <w:rPr>
          <w:color w:val="000000" w:themeColor="text1"/>
        </w:rPr>
        <w:t>26.</w:t>
      </w:r>
    </w:p>
    <w:p w14:paraId="192522BE" w14:textId="39ED1D20" w:rsidR="000E38BD" w:rsidRDefault="000E38BD" w:rsidP="00F9790A">
      <w:pPr>
        <w:pStyle w:val="ARbody"/>
        <w:rPr>
          <w:color w:val="000000" w:themeColor="text1"/>
        </w:rPr>
      </w:pPr>
      <w:r w:rsidRPr="68CCF5A4">
        <w:t xml:space="preserve">Supportive </w:t>
      </w:r>
      <w:r w:rsidRPr="00073B67">
        <w:t>housing</w:t>
      </w:r>
      <w:r w:rsidRPr="68CCF5A4">
        <w:t xml:space="preserve"> provides people experiencing chronic homelessness </w:t>
      </w:r>
      <w:r>
        <w:t xml:space="preserve">with </w:t>
      </w:r>
      <w:r w:rsidRPr="68CCF5A4">
        <w:t xml:space="preserve">safe and stable </w:t>
      </w:r>
      <w:r w:rsidR="00E837F9">
        <w:br/>
      </w:r>
      <w:r w:rsidRPr="68CCF5A4">
        <w:t xml:space="preserve">long-term </w:t>
      </w:r>
      <w:r w:rsidRPr="00F9790A">
        <w:t>housing</w:t>
      </w:r>
      <w:r w:rsidRPr="68CCF5A4">
        <w:t xml:space="preserve"> with on</w:t>
      </w:r>
      <w:r w:rsidR="00D41AFE">
        <w:t>-</w:t>
      </w:r>
      <w:r w:rsidRPr="68CCF5A4">
        <w:t>site multidisciplinary and</w:t>
      </w:r>
      <w:r w:rsidR="00E837F9">
        <w:t> </w:t>
      </w:r>
      <w:r w:rsidRPr="68CCF5A4">
        <w:t xml:space="preserve">tailored supports to help stabilise their lives. This may include general and mental health services, case management and tenancy support. </w:t>
      </w:r>
    </w:p>
    <w:p w14:paraId="40B28F44" w14:textId="06C3885F" w:rsidR="000E38BD" w:rsidRPr="00645AD0" w:rsidRDefault="000E38BD" w:rsidP="00F9790A">
      <w:pPr>
        <w:pStyle w:val="Heading6"/>
      </w:pPr>
      <w:r w:rsidRPr="00304FC0">
        <w:rPr>
          <w:lang w:val="en-US"/>
        </w:rPr>
        <w:t xml:space="preserve">Addressing homelessness through </w:t>
      </w:r>
      <w:r w:rsidRPr="00304FC0" w:rsidDel="00A845B1">
        <w:rPr>
          <w:lang w:val="en-US"/>
        </w:rPr>
        <w:t xml:space="preserve">Partnerships </w:t>
      </w:r>
      <w:r w:rsidRPr="00F9790A" w:rsidDel="00A845B1">
        <w:t>Addressing</w:t>
      </w:r>
      <w:r w:rsidRPr="00304FC0" w:rsidDel="00A845B1">
        <w:rPr>
          <w:lang w:val="en-US"/>
        </w:rPr>
        <w:t xml:space="preserve"> Disadvantage</w:t>
      </w:r>
      <w:r w:rsidR="00F9790A">
        <w:rPr>
          <w:lang w:val="en-US"/>
        </w:rPr>
        <w:t> </w:t>
      </w:r>
      <w:r w:rsidRPr="00304FC0" w:rsidDel="00A845B1">
        <w:rPr>
          <w:lang w:val="en-US"/>
        </w:rPr>
        <w:t>programs</w:t>
      </w:r>
    </w:p>
    <w:p w14:paraId="1D2EFF0B" w14:textId="0896D433" w:rsidR="000E38BD" w:rsidRPr="00073B67" w:rsidDel="00A845B1" w:rsidRDefault="000E38BD" w:rsidP="0088621E">
      <w:pPr>
        <w:pStyle w:val="ARbody"/>
      </w:pPr>
      <w:r w:rsidRPr="00073B67" w:rsidDel="00A845B1">
        <w:t>In 202</w:t>
      </w:r>
      <w:r w:rsidRPr="00073B67">
        <w:t>3</w:t>
      </w:r>
      <w:r w:rsidR="006E2F2E">
        <w:t>–</w:t>
      </w:r>
      <w:r w:rsidRPr="00073B67" w:rsidDel="00A845B1">
        <w:t>2</w:t>
      </w:r>
      <w:r w:rsidRPr="00073B67">
        <w:t>4</w:t>
      </w:r>
      <w:r w:rsidRPr="00073B67" w:rsidDel="00A845B1">
        <w:t xml:space="preserve">, the department </w:t>
      </w:r>
      <w:r w:rsidRPr="00073B67">
        <w:t>continued delivering</w:t>
      </w:r>
      <w:r w:rsidR="00E466CA">
        <w:t> </w:t>
      </w:r>
      <w:r w:rsidRPr="00073B67" w:rsidDel="00A845B1">
        <w:t>the Victorian Government</w:t>
      </w:r>
      <w:r w:rsidR="00711AE6">
        <w:t>’</w:t>
      </w:r>
      <w:r w:rsidRPr="00073B67" w:rsidDel="00A845B1">
        <w:t>s investment in</w:t>
      </w:r>
      <w:r w:rsidR="00E466CA">
        <w:t> </w:t>
      </w:r>
      <w:r w:rsidRPr="00073B67" w:rsidDel="00A845B1">
        <w:t>innovative, outcomes-driven homelessness services through Partnerships Addressing Disadvantage programs</w:t>
      </w:r>
      <w:r>
        <w:t>. This includes</w:t>
      </w:r>
      <w:r w:rsidRPr="00073B67">
        <w:t xml:space="preserve"> the Journey</w:t>
      </w:r>
      <w:r w:rsidR="00E466CA">
        <w:t> </w:t>
      </w:r>
      <w:r w:rsidRPr="00073B67">
        <w:t>to Social Inclusion program</w:t>
      </w:r>
      <w:r w:rsidRPr="00073B67" w:rsidDel="00A845B1">
        <w:t>, which assists</w:t>
      </w:r>
      <w:r w:rsidR="00E466CA">
        <w:t> </w:t>
      </w:r>
      <w:r w:rsidRPr="00073B67" w:rsidDel="00A845B1">
        <w:t>Victorians previously experiencing chronic</w:t>
      </w:r>
      <w:r w:rsidR="00E466CA">
        <w:t> </w:t>
      </w:r>
      <w:r w:rsidRPr="00073B67" w:rsidDel="00A845B1">
        <w:t>homelessness to maintain stable housing,</w:t>
      </w:r>
      <w:r w:rsidR="00E466CA">
        <w:t> </w:t>
      </w:r>
      <w:r w:rsidRPr="00073B67" w:rsidDel="00A845B1">
        <w:t>health</w:t>
      </w:r>
      <w:r w:rsidR="00E466CA">
        <w:t> </w:t>
      </w:r>
      <w:r w:rsidRPr="00073B67" w:rsidDel="00A845B1">
        <w:t>and wellbeing and prevents a return to</w:t>
      </w:r>
      <w:r w:rsidR="00E466CA">
        <w:t> </w:t>
      </w:r>
      <w:r w:rsidRPr="00073B67" w:rsidDel="00A845B1">
        <w:t>homelessness</w:t>
      </w:r>
      <w:r w:rsidRPr="00073B67">
        <w:t>.</w:t>
      </w:r>
    </w:p>
    <w:p w14:paraId="2EFB0C95" w14:textId="3BEA1E9B" w:rsidR="00F9790A" w:rsidRDefault="000E38BD" w:rsidP="00F9790A">
      <w:pPr>
        <w:pStyle w:val="ARbody"/>
      </w:pPr>
      <w:r>
        <w:t xml:space="preserve">The department has also continued support for existing From Homelessness to a Home clients. </w:t>
      </w:r>
      <w:r w:rsidRPr="00073B67">
        <w:t>As</w:t>
      </w:r>
      <w:r w:rsidR="00870126">
        <w:t> </w:t>
      </w:r>
      <w:r w:rsidRPr="00073B67">
        <w:t xml:space="preserve">of 30 </w:t>
      </w:r>
      <w:r w:rsidRPr="00F9790A">
        <w:t>June</w:t>
      </w:r>
      <w:r w:rsidRPr="00073B67">
        <w:t xml:space="preserve"> 202</w:t>
      </w:r>
      <w:r>
        <w:t>4,</w:t>
      </w:r>
      <w:r w:rsidRPr="00073B67">
        <w:t xml:space="preserve"> Victoria</w:t>
      </w:r>
      <w:r w:rsidR="00711AE6">
        <w:t>’</w:t>
      </w:r>
      <w:r w:rsidRPr="00073B67">
        <w:t xml:space="preserve">s </w:t>
      </w:r>
      <w:r>
        <w:t xml:space="preserve">From Homelessness to a Home and Homes for Families </w:t>
      </w:r>
      <w:r w:rsidRPr="00073B67">
        <w:t>programs represent</w:t>
      </w:r>
      <w:r w:rsidR="006949CF">
        <w:t>ed</w:t>
      </w:r>
      <w:r w:rsidRPr="00073B67">
        <w:t xml:space="preserve"> the nation</w:t>
      </w:r>
      <w:r w:rsidR="00711AE6">
        <w:t>’</w:t>
      </w:r>
      <w:r w:rsidRPr="00073B67">
        <w:t>s largest housing first responses and have supported more than 2,000 households into stable housing with tailored and flexible support.</w:t>
      </w:r>
      <w:r>
        <w:t xml:space="preserve"> </w:t>
      </w:r>
      <w:r w:rsidRPr="00073B67">
        <w:t>Building on the success of this program, an improved service model, known as Homes First, has been designed and will commence in 2024</w:t>
      </w:r>
      <w:r w:rsidR="00E837F9">
        <w:t>–</w:t>
      </w:r>
      <w:r w:rsidRPr="00073B67">
        <w:t>25.</w:t>
      </w:r>
    </w:p>
    <w:p w14:paraId="3C56C467" w14:textId="69AE2803" w:rsidR="00CC5CB4" w:rsidRDefault="000E38BD" w:rsidP="00CC5CB4">
      <w:pPr>
        <w:pStyle w:val="ARbody"/>
      </w:pPr>
      <w:r>
        <w:t xml:space="preserve">Program evaluations of the From Homelessness </w:t>
      </w:r>
      <w:r w:rsidR="00D57B10">
        <w:t xml:space="preserve">to a </w:t>
      </w:r>
      <w:r>
        <w:t>Home and Journey to Social Inclusion programs have shown that they deliver outcomes for clients and for government with over 90</w:t>
      </w:r>
      <w:r w:rsidR="00212403">
        <w:t>%</w:t>
      </w:r>
      <w:r>
        <w:t xml:space="preserve"> of clients remaining housed, reducing their use of acute hospital services and reporting improved wellbeing and feelings of being connected with their</w:t>
      </w:r>
      <w:r w:rsidR="00E466CA">
        <w:t> </w:t>
      </w:r>
      <w:r>
        <w:t>community.</w:t>
      </w:r>
      <w:r w:rsidRPr="00073B67">
        <w:t xml:space="preserve"> </w:t>
      </w:r>
      <w:r w:rsidR="004C4435">
        <w:br w:type="column"/>
      </w:r>
      <w:r w:rsidR="00CC5CB4">
        <w:t xml:space="preserve">The Arc Partnership Addressing Disadvantage program also commenced taking referrals in </w:t>
      </w:r>
      <w:r w:rsidR="004C4435">
        <w:br/>
      </w:r>
      <w:r w:rsidR="00CC5CB4">
        <w:t>2023–24. Through integrated housing and case management support, the Arc program seeks to</w:t>
      </w:r>
      <w:r w:rsidR="009C6847">
        <w:t> </w:t>
      </w:r>
      <w:r w:rsidR="00CC5CB4">
        <w:t>reduce homelessness and recidivism among people exiting prison, and deliver improved housing, justice and health outcomes for</w:t>
      </w:r>
      <w:r w:rsidR="004C4435">
        <w:t> </w:t>
      </w:r>
      <w:r w:rsidR="00CC5CB4">
        <w:t xml:space="preserve">participants. </w:t>
      </w:r>
    </w:p>
    <w:p w14:paraId="1B919D93" w14:textId="32332C90" w:rsidR="00CC5CB4" w:rsidRDefault="00CC5CB4" w:rsidP="00CC5CB4">
      <w:pPr>
        <w:pStyle w:val="ARbody"/>
      </w:pPr>
      <w:r>
        <w:t>The COMPASS program, which commenced referrals in late 2018, saw the last young people complete the program in 2023–24. The</w:t>
      </w:r>
      <w:r w:rsidR="004C4435">
        <w:t> </w:t>
      </w:r>
      <w:r>
        <w:t xml:space="preserve">COMPASS program supported young people to successfully transition from </w:t>
      </w:r>
      <w:r w:rsidR="00D57B10">
        <w:t>out-</w:t>
      </w:r>
      <w:r>
        <w:t>of</w:t>
      </w:r>
      <w:r w:rsidR="00D57B10">
        <w:t>-home c</w:t>
      </w:r>
      <w:r>
        <w:t>are towards independence</w:t>
      </w:r>
      <w:r w:rsidRPr="00682959">
        <w:t xml:space="preserve">, including </w:t>
      </w:r>
      <w:r>
        <w:t xml:space="preserve">by </w:t>
      </w:r>
      <w:r w:rsidRPr="00682959">
        <w:t>establishing safe, stable and secure housing if required</w:t>
      </w:r>
      <w:r>
        <w:t>.</w:t>
      </w:r>
    </w:p>
    <w:p w14:paraId="5DB40B5E" w14:textId="38773AE9" w:rsidR="000E38BD" w:rsidRPr="00645AD0" w:rsidRDefault="000E38BD" w:rsidP="0088621E">
      <w:pPr>
        <w:pStyle w:val="Heading6"/>
      </w:pPr>
      <w:r w:rsidRPr="00304FC0">
        <w:rPr>
          <w:lang w:val="en-US"/>
        </w:rPr>
        <w:t>Targeted housing and support to meet critical</w:t>
      </w:r>
      <w:r w:rsidR="00F9790A">
        <w:rPr>
          <w:lang w:val="en-US"/>
        </w:rPr>
        <w:t> </w:t>
      </w:r>
      <w:r w:rsidRPr="00304FC0">
        <w:rPr>
          <w:lang w:val="en-US"/>
        </w:rPr>
        <w:t>demand</w:t>
      </w:r>
    </w:p>
    <w:p w14:paraId="5F250D8E" w14:textId="68D00399" w:rsidR="000E38BD" w:rsidRDefault="000E38BD" w:rsidP="0088621E">
      <w:pPr>
        <w:pStyle w:val="ARbody"/>
        <w:rPr>
          <w:rFonts w:eastAsia="Arial"/>
        </w:rPr>
      </w:pPr>
      <w:r w:rsidRPr="456C64D4">
        <w:rPr>
          <w:rFonts w:eastAsia="Arial"/>
        </w:rPr>
        <w:t>Funding was also provided for targeted housing and support to meet critical demand and continue providing programs to people experiencing or at risk of homelessness. This included</w:t>
      </w:r>
      <w:r w:rsidR="00564BDA">
        <w:rPr>
          <w:rFonts w:eastAsia="Arial"/>
        </w:rPr>
        <w:t xml:space="preserve"> funding for</w:t>
      </w:r>
      <w:r>
        <w:rPr>
          <w:rFonts w:eastAsia="Arial"/>
        </w:rPr>
        <w:t>:</w:t>
      </w:r>
    </w:p>
    <w:p w14:paraId="2B85FCD2" w14:textId="591CEC51" w:rsidR="000E38BD" w:rsidRDefault="000E38BD" w:rsidP="0088621E">
      <w:pPr>
        <w:pStyle w:val="ARbullet1"/>
      </w:pPr>
      <w:r w:rsidRPr="456C64D4">
        <w:t>congregate crisis accommodation and housing</w:t>
      </w:r>
      <w:r w:rsidR="00C91B7E">
        <w:t> </w:t>
      </w:r>
      <w:r w:rsidRPr="456C64D4">
        <w:t>facilities</w:t>
      </w:r>
    </w:p>
    <w:p w14:paraId="4E40BDE9" w14:textId="70416521" w:rsidR="000E38BD" w:rsidRDefault="000E38BD" w:rsidP="0088621E">
      <w:pPr>
        <w:pStyle w:val="ARbullet1"/>
      </w:pPr>
      <w:r w:rsidRPr="456C64D4">
        <w:t>women-specific congregate housing sites</w:t>
      </w:r>
      <w:r>
        <w:t xml:space="preserve"> at </w:t>
      </w:r>
      <w:r w:rsidRPr="000F2A60">
        <w:t>McAuley House Ballarat, Marrageil Baggarrook, Audrey Rainsford and Viv</w:t>
      </w:r>
      <w:r w:rsidR="00711AE6">
        <w:t>’</w:t>
      </w:r>
      <w:r w:rsidRPr="000F2A60">
        <w:t>s Place</w:t>
      </w:r>
    </w:p>
    <w:p w14:paraId="24C26146" w14:textId="17D19482" w:rsidR="000E38BD" w:rsidRDefault="000E38BD" w:rsidP="0088621E">
      <w:pPr>
        <w:pStyle w:val="ARbullet1"/>
      </w:pPr>
      <w:r w:rsidRPr="456C64D4">
        <w:t>youth</w:t>
      </w:r>
      <w:r w:rsidR="00E86A70">
        <w:t>-</w:t>
      </w:r>
      <w:r w:rsidRPr="456C64D4">
        <w:t>specific accommodation and support</w:t>
      </w:r>
      <w:r w:rsidR="00C91B7E">
        <w:t> </w:t>
      </w:r>
      <w:r w:rsidRPr="456C64D4">
        <w:t>services</w:t>
      </w:r>
    </w:p>
    <w:p w14:paraId="501A74CC" w14:textId="77777777" w:rsidR="000E38BD" w:rsidRDefault="000E38BD" w:rsidP="0088621E">
      <w:pPr>
        <w:pStyle w:val="ARbullet1"/>
      </w:pPr>
      <w:r w:rsidRPr="456C64D4">
        <w:t xml:space="preserve">integrated </w:t>
      </w:r>
      <w:r w:rsidRPr="2FC08509">
        <w:t xml:space="preserve">homelessness support for the Wyndham growth corridor </w:t>
      </w:r>
    </w:p>
    <w:p w14:paraId="21FFA30F" w14:textId="48343911" w:rsidR="000E38BD" w:rsidRPr="00532DAE" w:rsidDel="00050B71" w:rsidRDefault="000E38BD" w:rsidP="0088621E">
      <w:pPr>
        <w:pStyle w:val="ARbullet1"/>
      </w:pPr>
      <w:r w:rsidRPr="2FC08509">
        <w:t>housing support for people exiting prison to</w:t>
      </w:r>
      <w:r w:rsidR="00C22CA1">
        <w:t> </w:t>
      </w:r>
      <w:r w:rsidRPr="2FC08509">
        <w:t xml:space="preserve">reduce </w:t>
      </w:r>
      <w:r w:rsidRPr="4ACA77DE">
        <w:t xml:space="preserve">the cycle of </w:t>
      </w:r>
      <w:r w:rsidRPr="2FC08509">
        <w:t>homelessness and</w:t>
      </w:r>
      <w:r w:rsidR="00C91B7E">
        <w:t> </w:t>
      </w:r>
      <w:r w:rsidRPr="4ACA77DE">
        <w:t>recidivism</w:t>
      </w:r>
      <w:r>
        <w:t xml:space="preserve">. </w:t>
      </w:r>
    </w:p>
    <w:p w14:paraId="671F2DF8" w14:textId="5E3AF9E5" w:rsidR="000E38BD" w:rsidRDefault="000E38BD" w:rsidP="00F9790A">
      <w:pPr>
        <w:pStyle w:val="ARbodyafterbullets"/>
      </w:pPr>
      <w:r w:rsidRPr="000753A4">
        <w:t>The</w:t>
      </w:r>
      <w:r>
        <w:t>se</w:t>
      </w:r>
      <w:r w:rsidRPr="000753A4">
        <w:t xml:space="preserve"> investments align with directions set out in</w:t>
      </w:r>
      <w:r w:rsidR="00C22CA1">
        <w:t> </w:t>
      </w:r>
      <w:r w:rsidRPr="000753A4">
        <w:t xml:space="preserve">the </w:t>
      </w:r>
      <w:r>
        <w:t xml:space="preserve">recommendations from </w:t>
      </w:r>
      <w:r w:rsidRPr="00316FC7">
        <w:t>Legislative Council Legal and Social Issues Committee</w:t>
      </w:r>
      <w:r w:rsidR="00711AE6">
        <w:t>’</w:t>
      </w:r>
      <w:r w:rsidRPr="00316FC7">
        <w:t xml:space="preserve">s Inquiry into Homelessness in Victoria. </w:t>
      </w:r>
      <w:r w:rsidRPr="000753A4">
        <w:t>The whole</w:t>
      </w:r>
      <w:r>
        <w:t>-</w:t>
      </w:r>
      <w:r w:rsidRPr="000753A4">
        <w:t>of</w:t>
      </w:r>
      <w:r>
        <w:t>-</w:t>
      </w:r>
      <w:r w:rsidRPr="000753A4">
        <w:t>Victorian</w:t>
      </w:r>
      <w:r>
        <w:t>-</w:t>
      </w:r>
      <w:r w:rsidRPr="000753A4">
        <w:t xml:space="preserve"> Government response to the </w:t>
      </w:r>
      <w:r>
        <w:t>I</w:t>
      </w:r>
      <w:r w:rsidRPr="000753A4">
        <w:t>nquiry was tabled i</w:t>
      </w:r>
      <w:r w:rsidRPr="00316FC7">
        <w:t>n February 2024</w:t>
      </w:r>
      <w:r w:rsidRPr="000753A4">
        <w:t>.</w:t>
      </w:r>
    </w:p>
    <w:p w14:paraId="323373C9" w14:textId="77777777" w:rsidR="000E38BD" w:rsidRPr="00645AD0" w:rsidRDefault="000E38BD" w:rsidP="00F9790A">
      <w:pPr>
        <w:pStyle w:val="Heading6"/>
      </w:pPr>
      <w:r w:rsidRPr="00B13646">
        <w:t>Established the Lived Experience Grou</w:t>
      </w:r>
      <w:r w:rsidRPr="00B13646">
        <w:rPr>
          <w:lang w:val="en-US"/>
        </w:rPr>
        <w:t xml:space="preserve">p and </w:t>
      </w:r>
      <w:r w:rsidRPr="00F9790A">
        <w:t>progressed</w:t>
      </w:r>
      <w:r w:rsidRPr="00B13646">
        <w:rPr>
          <w:lang w:val="en-US"/>
        </w:rPr>
        <w:t xml:space="preserve"> the Ministerial Homelessness Reform Advisory Group</w:t>
      </w:r>
    </w:p>
    <w:p w14:paraId="7AEDC70C" w14:textId="35DC1B0E" w:rsidR="004C4435" w:rsidRDefault="000E38BD" w:rsidP="0088621E">
      <w:pPr>
        <w:pStyle w:val="ARbody"/>
      </w:pPr>
      <w:r>
        <w:t>The department also progressed work with the sector and people with lived experience of homelessness to continue to better structure and deliver homelessness services.</w:t>
      </w:r>
      <w:r w:rsidR="004C4435">
        <w:br w:type="page"/>
      </w:r>
    </w:p>
    <w:p w14:paraId="0EFA202F" w14:textId="4AB85C3C" w:rsidR="000E38BD" w:rsidRPr="00C34E18" w:rsidRDefault="000E38BD" w:rsidP="0088621E">
      <w:pPr>
        <w:pStyle w:val="ARbody"/>
      </w:pPr>
      <w:r w:rsidRPr="00697091">
        <w:t>The Minister for Housing established the Ministerial Homelessness Reform Advisory Group in November 2023, with their current term running to</w:t>
      </w:r>
      <w:r w:rsidR="00EC0E71">
        <w:t> </w:t>
      </w:r>
      <w:r w:rsidRPr="00697091">
        <w:t xml:space="preserve">May 2025. The </w:t>
      </w:r>
      <w:r>
        <w:t>advisory g</w:t>
      </w:r>
      <w:r w:rsidRPr="00697091">
        <w:t xml:space="preserve">roup includes senior representatives from a range of sectors that represent the diverse cohorts </w:t>
      </w:r>
      <w:r w:rsidR="00776DD1">
        <w:t>of people</w:t>
      </w:r>
      <w:r w:rsidRPr="00697091">
        <w:t xml:space="preserve"> that access homelessness services, including young people, victim survivors of family violence and older Victorians. The </w:t>
      </w:r>
      <w:r>
        <w:t>a</w:t>
      </w:r>
      <w:r w:rsidRPr="00697091">
        <w:t xml:space="preserve">dvisory </w:t>
      </w:r>
      <w:r>
        <w:t>g</w:t>
      </w:r>
      <w:r w:rsidRPr="00697091">
        <w:t>roup also includes representatives with a lived experience of</w:t>
      </w:r>
      <w:r w:rsidR="00E466CA">
        <w:t> </w:t>
      </w:r>
      <w:r w:rsidRPr="00697091">
        <w:t xml:space="preserve">homelessness. </w:t>
      </w:r>
    </w:p>
    <w:p w14:paraId="2CB15243" w14:textId="1CD6B73E" w:rsidR="000E38BD" w:rsidRDefault="000E38BD" w:rsidP="00F9790A">
      <w:pPr>
        <w:pStyle w:val="ARbody"/>
      </w:pPr>
      <w:r w:rsidRPr="00697091">
        <w:t xml:space="preserve">The </w:t>
      </w:r>
      <w:r>
        <w:t>advisory g</w:t>
      </w:r>
      <w:r w:rsidRPr="00697091">
        <w:t xml:space="preserve">roup met </w:t>
      </w:r>
      <w:r w:rsidR="009D641C">
        <w:t>3</w:t>
      </w:r>
      <w:r w:rsidRPr="00697091">
        <w:t xml:space="preserve"> times in 2023</w:t>
      </w:r>
      <w:r w:rsidR="00E837F9">
        <w:t>–</w:t>
      </w:r>
      <w:r w:rsidRPr="00697091">
        <w:t xml:space="preserve">24 with their discussions focused on examining data and sharing case studies to gain insights to what is working, </w:t>
      </w:r>
      <w:r w:rsidRPr="00F9790A">
        <w:t>challenges</w:t>
      </w:r>
      <w:r w:rsidRPr="00697091">
        <w:t xml:space="preserve"> and opportunities as well as</w:t>
      </w:r>
      <w:r w:rsidR="00476F58">
        <w:t> </w:t>
      </w:r>
      <w:r w:rsidRPr="00697091">
        <w:t>immediate actions and priority reform areas to</w:t>
      </w:r>
      <w:r w:rsidR="00476F58">
        <w:t> </w:t>
      </w:r>
      <w:r w:rsidRPr="00697091">
        <w:t>address challenges. Overall, advice provided by</w:t>
      </w:r>
      <w:r w:rsidR="00476F58">
        <w:t> </w:t>
      </w:r>
      <w:r w:rsidRPr="00697091">
        <w:t xml:space="preserve">the </w:t>
      </w:r>
      <w:r>
        <w:t>advisory group</w:t>
      </w:r>
      <w:r w:rsidRPr="00697091">
        <w:t xml:space="preserve"> </w:t>
      </w:r>
      <w:r w:rsidR="006F77C6">
        <w:t>is shaping</w:t>
      </w:r>
      <w:r w:rsidRPr="00697091">
        <w:t xml:space="preserve"> homelessness system reform, strengthen</w:t>
      </w:r>
      <w:r w:rsidR="00BB1F29">
        <w:t>ing</w:t>
      </w:r>
      <w:r w:rsidRPr="00697091">
        <w:t xml:space="preserve"> sector capacity and capability and guid</w:t>
      </w:r>
      <w:r w:rsidR="00BB1F29">
        <w:t>ing</w:t>
      </w:r>
      <w:r w:rsidRPr="00697091">
        <w:t xml:space="preserve"> best practice evidence-based approaches to make homelessness rare, br</w:t>
      </w:r>
      <w:r w:rsidRPr="000246D1">
        <w:t>i</w:t>
      </w:r>
      <w:r w:rsidRPr="00697091">
        <w:t>ef and</w:t>
      </w:r>
      <w:r w:rsidR="009C6847">
        <w:t> </w:t>
      </w:r>
      <w:r w:rsidRPr="00697091">
        <w:t>non-recurring.</w:t>
      </w:r>
    </w:p>
    <w:p w14:paraId="29ADAE1B" w14:textId="58B6E815" w:rsidR="000E38BD" w:rsidRPr="000246D1" w:rsidRDefault="000E38BD" w:rsidP="00F9790A">
      <w:pPr>
        <w:pStyle w:val="ARbody"/>
      </w:pPr>
      <w:r w:rsidRPr="000246D1">
        <w:t>Homes Victoria also established its inaugural Homelessness Lived Experience Reference Group.</w:t>
      </w:r>
      <w:r w:rsidR="00D90552">
        <w:t xml:space="preserve"> </w:t>
      </w:r>
      <w:r w:rsidRPr="000246D1">
        <w:t xml:space="preserve">The </w:t>
      </w:r>
      <w:r>
        <w:t>r</w:t>
      </w:r>
      <w:r w:rsidRPr="000246D1">
        <w:t xml:space="preserve">eference </w:t>
      </w:r>
      <w:r>
        <w:t>g</w:t>
      </w:r>
      <w:r w:rsidRPr="000246D1">
        <w:t>roup</w:t>
      </w:r>
      <w:r>
        <w:t>,</w:t>
      </w:r>
      <w:r w:rsidRPr="000246D1">
        <w:t xml:space="preserve"> established with </w:t>
      </w:r>
      <w:r>
        <w:t>6</w:t>
      </w:r>
      <w:r w:rsidRPr="000246D1">
        <w:t xml:space="preserve"> members with lived experience</w:t>
      </w:r>
      <w:r>
        <w:t xml:space="preserve">, </w:t>
      </w:r>
      <w:r w:rsidRPr="000246D1">
        <w:t>provid</w:t>
      </w:r>
      <w:r>
        <w:t>e</w:t>
      </w:r>
      <w:r w:rsidR="00AE643C">
        <w:t>s</w:t>
      </w:r>
      <w:r w:rsidRPr="000246D1">
        <w:t xml:space="preserve"> advice on policy and the design of homelessness services.</w:t>
      </w:r>
    </w:p>
    <w:p w14:paraId="06FD0C84" w14:textId="77777777" w:rsidR="000E38BD" w:rsidRDefault="000E38BD" w:rsidP="00F9790A">
      <w:pPr>
        <w:pStyle w:val="Heading6"/>
      </w:pPr>
      <w:bookmarkStart w:id="136" w:name="_Ref178615860"/>
      <w:r w:rsidRPr="00597BFE">
        <w:t>Enabling Aboriginal self-determination</w:t>
      </w:r>
      <w:r w:rsidRPr="00597BFE" w:rsidDel="00310DFB">
        <w:t xml:space="preserve"> in the housing and homelessness system</w:t>
      </w:r>
      <w:bookmarkEnd w:id="136"/>
      <w:r>
        <w:t xml:space="preserve"> </w:t>
      </w:r>
    </w:p>
    <w:p w14:paraId="34D5DB1A" w14:textId="49FFB5B5" w:rsidR="000E38BD" w:rsidRPr="009F3BE6" w:rsidRDefault="000E38BD" w:rsidP="000E4B9B">
      <w:pPr>
        <w:pStyle w:val="ARbody"/>
        <w:rPr>
          <w:lang w:eastAsia="en-AU"/>
        </w:rPr>
      </w:pPr>
      <w:r>
        <w:t>In 2023–24, Homes Victoria established 2</w:t>
      </w:r>
      <w:r w:rsidR="00C22CA1">
        <w:t> </w:t>
      </w:r>
      <w:r w:rsidRPr="00F9790A">
        <w:t>Aboriginal</w:t>
      </w:r>
      <w:r>
        <w:t xml:space="preserve">-specific entry points, providing </w:t>
      </w:r>
      <w:r w:rsidRPr="71B7C7D8">
        <w:rPr>
          <w:rFonts w:eastAsiaTheme="majorEastAsia"/>
          <w:color w:val="000000" w:themeColor="text1"/>
        </w:rPr>
        <w:t xml:space="preserve">brokerage and Housing First multidisciplinary teams service delivery. </w:t>
      </w:r>
      <w:r>
        <w:rPr>
          <w:color w:val="000000" w:themeColor="text1"/>
        </w:rPr>
        <w:t xml:space="preserve">Operating in 2 sites, the </w:t>
      </w:r>
      <w:r w:rsidRPr="000E4B9B">
        <w:t>pilot</w:t>
      </w:r>
      <w:r w:rsidRPr="71B7C7D8">
        <w:rPr>
          <w:color w:val="000000" w:themeColor="text1"/>
        </w:rPr>
        <w:t xml:space="preserve"> commenced in early 2024,</w:t>
      </w:r>
      <w:r>
        <w:t xml:space="preserve"> providing culturally appropriate responses to Aboriginal people</w:t>
      </w:r>
      <w:r w:rsidR="00711AE6">
        <w:t>’</w:t>
      </w:r>
      <w:r>
        <w:t>s homelessness needs and multidisciplinary support to maintain their housing. Ngwala Wilumbong provides services in the Bayside and Melbourne CBD and Wathaurong Aboriginal Co-oper</w:t>
      </w:r>
      <w:r w:rsidRPr="71B7C7D8">
        <w:rPr>
          <w:rFonts w:eastAsia="Times New Roman"/>
          <w:lang w:eastAsia="en-AU"/>
        </w:rPr>
        <w:t>ative in</w:t>
      </w:r>
      <w:r w:rsidR="006E2F2E">
        <w:rPr>
          <w:rFonts w:eastAsia="Times New Roman"/>
          <w:lang w:eastAsia="en-AU"/>
        </w:rPr>
        <w:t> </w:t>
      </w:r>
      <w:r w:rsidRPr="71B7C7D8">
        <w:rPr>
          <w:rFonts w:eastAsia="Times New Roman"/>
          <w:lang w:eastAsia="en-AU"/>
        </w:rPr>
        <w:t>the Barwon</w:t>
      </w:r>
      <w:r w:rsidR="00F9790A">
        <w:rPr>
          <w:rFonts w:eastAsia="Times New Roman"/>
          <w:lang w:eastAsia="en-AU"/>
        </w:rPr>
        <w:t> </w:t>
      </w:r>
      <w:r w:rsidRPr="71B7C7D8">
        <w:rPr>
          <w:rFonts w:eastAsia="Times New Roman"/>
          <w:lang w:eastAsia="en-AU"/>
        </w:rPr>
        <w:t>Region.</w:t>
      </w:r>
    </w:p>
    <w:p w14:paraId="0B43424D" w14:textId="016680D1" w:rsidR="000E38BD" w:rsidRDefault="000E38BD" w:rsidP="000E4B9B">
      <w:pPr>
        <w:pStyle w:val="ARbody"/>
      </w:pPr>
      <w:r>
        <w:t>The establishment of the Aboriginal-specific entry points is a key deliverable of the Blueprint for an</w:t>
      </w:r>
      <w:r w:rsidR="00EC0E71">
        <w:t> </w:t>
      </w:r>
      <w:r>
        <w:t>Aboriginal</w:t>
      </w:r>
      <w:r w:rsidR="007066C6">
        <w:t>-</w:t>
      </w:r>
      <w:r>
        <w:t>specific homelessness system in</w:t>
      </w:r>
      <w:r w:rsidR="00C91B7E">
        <w:t> </w:t>
      </w:r>
      <w:r>
        <w:t>Victoria.</w:t>
      </w:r>
    </w:p>
    <w:p w14:paraId="2E532CE3" w14:textId="5F98071A" w:rsidR="000E38BD" w:rsidRPr="003D73BC" w:rsidRDefault="004C4435" w:rsidP="004C4435">
      <w:pPr>
        <w:pStyle w:val="Heading6"/>
      </w:pPr>
      <w:r>
        <w:br w:type="column"/>
      </w:r>
      <w:r w:rsidR="000E38BD" w:rsidRPr="00B43A3E">
        <w:t>Aboriginal Private Rental Assistance Program</w:t>
      </w:r>
      <w:r w:rsidR="000E38BD">
        <w:t xml:space="preserve"> </w:t>
      </w:r>
    </w:p>
    <w:p w14:paraId="47EDBAAF" w14:textId="7191E6E8" w:rsidR="00F9790A" w:rsidRDefault="000E38BD" w:rsidP="00F9790A">
      <w:pPr>
        <w:pStyle w:val="ARbody"/>
      </w:pPr>
      <w:r>
        <w:t xml:space="preserve">The Victorian Government has expanded the </w:t>
      </w:r>
      <w:r w:rsidRPr="00F9790A">
        <w:t>Aboriginal</w:t>
      </w:r>
      <w:r>
        <w:t xml:space="preserve"> Private Rental Assistance Program to a</w:t>
      </w:r>
      <w:r w:rsidR="00C22CA1">
        <w:t> </w:t>
      </w:r>
      <w:r>
        <w:t>further 5 sites determined through the Victorian Aboriginal Housing and Homelessness Forum. The</w:t>
      </w:r>
      <w:r w:rsidR="00C22CA1">
        <w:t> </w:t>
      </w:r>
      <w:r>
        <w:t>program is now available at 10 sites delivered by 8</w:t>
      </w:r>
      <w:r w:rsidR="00C22CA1">
        <w:t> </w:t>
      </w:r>
      <w:r>
        <w:t>ACCOs across Barwon, Bayside Peninsula, Brimbank–Melton, Northeast Melbourne, Western Melbourne, Goulburn, Loddon, Mallee and Inner and Outer Gippsland.</w:t>
      </w:r>
    </w:p>
    <w:p w14:paraId="061FAA96" w14:textId="525DF471" w:rsidR="000E38BD" w:rsidRPr="00B43A3E" w:rsidRDefault="000E38BD" w:rsidP="00F9790A">
      <w:pPr>
        <w:pStyle w:val="Heading6"/>
      </w:pPr>
      <w:r w:rsidRPr="00B43A3E">
        <w:t>The Aboriginal Corrections Housing Pathways</w:t>
      </w:r>
      <w:r w:rsidR="00F9790A">
        <w:t> </w:t>
      </w:r>
      <w:r w:rsidRPr="00B43A3E">
        <w:t>Initiative</w:t>
      </w:r>
    </w:p>
    <w:p w14:paraId="07DFFC43" w14:textId="3623EDBB" w:rsidR="000E38BD" w:rsidRDefault="000E38BD" w:rsidP="0088621E">
      <w:pPr>
        <w:pStyle w:val="ARbody"/>
      </w:pPr>
      <w:r>
        <w:t>The Aboriginal Corrections Housing Pathways Initiative pilot will support Aboriginal Victorians to</w:t>
      </w:r>
      <w:r w:rsidR="00C22CA1">
        <w:t> </w:t>
      </w:r>
      <w:r>
        <w:t>secure housing when exiting prison, with initial assessment and planning and case management in</w:t>
      </w:r>
      <w:r w:rsidR="00C22CA1">
        <w:t> </w:t>
      </w:r>
      <w:r>
        <w:t>one hybrid program. The pilot will be delivered in</w:t>
      </w:r>
      <w:r w:rsidR="00C22CA1">
        <w:t> </w:t>
      </w:r>
      <w:r>
        <w:t>one metropolitan area and one regional area. In</w:t>
      </w:r>
      <w:r w:rsidR="00C22CA1">
        <w:t> </w:t>
      </w:r>
      <w:r>
        <w:t>North-East Melbourne it will be delivered by Victorian Aboriginal Community Services Association Ltd (VACSAL) and in the Mallee area, it</w:t>
      </w:r>
      <w:r w:rsidR="00C22CA1">
        <w:t> </w:t>
      </w:r>
      <w:r>
        <w:t xml:space="preserve">will be delivered by Mallee District Aboriginal Services (MDAS). </w:t>
      </w:r>
    </w:p>
    <w:p w14:paraId="36DD398F" w14:textId="77777777" w:rsidR="000E38BD" w:rsidRDefault="000E38BD" w:rsidP="00F9790A">
      <w:pPr>
        <w:pStyle w:val="Heading6"/>
      </w:pPr>
      <w:r w:rsidRPr="009F3BE6">
        <w:t xml:space="preserve">Victorian Government </w:t>
      </w:r>
      <w:r>
        <w:t>s</w:t>
      </w:r>
      <w:r w:rsidRPr="009F3BE6">
        <w:t xml:space="preserve">trengthens Aboriginal </w:t>
      </w:r>
      <w:r>
        <w:t>h</w:t>
      </w:r>
      <w:r w:rsidRPr="009F3BE6">
        <w:t xml:space="preserve">ousing </w:t>
      </w:r>
      <w:r>
        <w:t>f</w:t>
      </w:r>
      <w:r w:rsidRPr="009F3BE6">
        <w:t xml:space="preserve">ramework and </w:t>
      </w:r>
      <w:r>
        <w:t>b</w:t>
      </w:r>
      <w:r w:rsidRPr="009F3BE6">
        <w:t>lueprint</w:t>
      </w:r>
    </w:p>
    <w:p w14:paraId="5FF5E4A9" w14:textId="3130C0B3" w:rsidR="000E38BD" w:rsidRDefault="000E38BD" w:rsidP="00F9790A">
      <w:pPr>
        <w:pStyle w:val="ARbody"/>
      </w:pPr>
      <w:r w:rsidRPr="00D53F53">
        <w:t xml:space="preserve">The Victorian Aboriginal community provided the Victorian Government </w:t>
      </w:r>
      <w:r w:rsidRPr="00F64CF1">
        <w:rPr>
          <w:rStyle w:val="Emphasis"/>
        </w:rPr>
        <w:t xml:space="preserve">with Mana-na woorn-tyeen maar-takoort: Every Aboriginal person has a home </w:t>
      </w:r>
      <w:r w:rsidRPr="000246D1">
        <w:t xml:space="preserve">– the Victorian Aboriginal housing and homelessness framework </w:t>
      </w:r>
      <w:r w:rsidRPr="00D53F53">
        <w:t xml:space="preserve">and </w:t>
      </w:r>
      <w:r w:rsidRPr="000246D1">
        <w:t xml:space="preserve">the </w:t>
      </w:r>
      <w:r>
        <w:t>b</w:t>
      </w:r>
      <w:r w:rsidRPr="00D53F53">
        <w:t>lueprint for an</w:t>
      </w:r>
      <w:r w:rsidR="00C22CA1">
        <w:t> </w:t>
      </w:r>
      <w:r w:rsidRPr="00D53F53">
        <w:t>Aboriginal-specific homelessness system</w:t>
      </w:r>
      <w:r>
        <w:t>. These</w:t>
      </w:r>
      <w:r w:rsidR="00C22CA1">
        <w:t> </w:t>
      </w:r>
      <w:r w:rsidR="00B66E8C">
        <w:t>seminal documents</w:t>
      </w:r>
      <w:r w:rsidRPr="00D53F53">
        <w:t xml:space="preserve"> guide </w:t>
      </w:r>
      <w:r w:rsidRPr="00F9790A">
        <w:t>how</w:t>
      </w:r>
      <w:r w:rsidRPr="00D53F53">
        <w:t xml:space="preserve"> government and community can collaborate to achieve quality housing outcomes for Aboriginal Victorians, including addressing the over</w:t>
      </w:r>
      <w:r w:rsidR="005673C6">
        <w:t>-</w:t>
      </w:r>
      <w:r w:rsidRPr="00D53F53">
        <w:t>representation of</w:t>
      </w:r>
      <w:r w:rsidR="00C22CA1">
        <w:t> </w:t>
      </w:r>
      <w:r w:rsidRPr="00D53F53">
        <w:t>Aboriginal people experiencing homelessness</w:t>
      </w:r>
      <w:r>
        <w:t>.</w:t>
      </w:r>
    </w:p>
    <w:p w14:paraId="77520CB2" w14:textId="52EBA313" w:rsidR="000E38BD" w:rsidRPr="000246D1" w:rsidRDefault="000E38BD" w:rsidP="00F9790A">
      <w:pPr>
        <w:pStyle w:val="ARbody"/>
      </w:pPr>
      <w:r w:rsidRPr="000246D1">
        <w:t xml:space="preserve">The framework and the </w:t>
      </w:r>
      <w:r>
        <w:t>b</w:t>
      </w:r>
      <w:r w:rsidRPr="000246D1">
        <w:t>lueprint provide the vehicle to deliver Aboriginal self-determination by</w:t>
      </w:r>
      <w:r w:rsidR="00C22CA1">
        <w:t> </w:t>
      </w:r>
      <w:r w:rsidRPr="000246D1">
        <w:t>transitioning power and responsibility over to</w:t>
      </w:r>
      <w:r w:rsidR="00C22CA1">
        <w:t> </w:t>
      </w:r>
      <w:r w:rsidRPr="000246D1">
        <w:t>community to determine the approach required to address their local community</w:t>
      </w:r>
      <w:r w:rsidR="00711AE6">
        <w:t>’</w:t>
      </w:r>
      <w:r w:rsidRPr="000246D1">
        <w:t>s housing and homelessness needs</w:t>
      </w:r>
      <w:r w:rsidRPr="000246D1" w:rsidDel="00A04C25">
        <w:t>.</w:t>
      </w:r>
      <w:r w:rsidRPr="000246D1">
        <w:t xml:space="preserve"> In the third</w:t>
      </w:r>
      <w:r w:rsidRPr="000246D1" w:rsidDel="005F143C">
        <w:t xml:space="preserve"> </w:t>
      </w:r>
      <w:r w:rsidRPr="000246D1">
        <w:t>year of implementation, the department continues to</w:t>
      </w:r>
      <w:r w:rsidR="00C22CA1">
        <w:t> </w:t>
      </w:r>
      <w:r w:rsidRPr="000246D1">
        <w:t>demonstrate its commitment to the strategic goals and objectives of the framework</w:t>
      </w:r>
      <w:r>
        <w:t>.</w:t>
      </w:r>
      <w:r w:rsidRPr="000246D1">
        <w:t xml:space="preserve"> through the</w:t>
      </w:r>
      <w:r w:rsidR="00C22CA1">
        <w:t> </w:t>
      </w:r>
      <w:r w:rsidRPr="000246D1">
        <w:t>delivery of the following priorities:</w:t>
      </w:r>
    </w:p>
    <w:p w14:paraId="6C5F84E5" w14:textId="593C9614" w:rsidR="005145C4" w:rsidRDefault="005145C4" w:rsidP="00F9790A">
      <w:pPr>
        <w:pStyle w:val="ARbullet1"/>
      </w:pPr>
      <w:r>
        <w:t>1,023 homes set to be delivered un the Big</w:t>
      </w:r>
      <w:r w:rsidR="00EC0E71">
        <w:t> </w:t>
      </w:r>
      <w:r>
        <w:t>Housing Build (BHB) and other capital programs. This includes investments from both the Regional Housing Fund and Commonwealth Social Housing Accelerator Programs</w:t>
      </w:r>
    </w:p>
    <w:p w14:paraId="21BDF8AF" w14:textId="34DBECBD" w:rsidR="000E38BD" w:rsidRPr="00EA0F22" w:rsidRDefault="000E38BD" w:rsidP="004C4435">
      <w:pPr>
        <w:pStyle w:val="ARbullet1"/>
      </w:pPr>
      <w:r w:rsidRPr="00F9790A">
        <w:t>supporting</w:t>
      </w:r>
      <w:r w:rsidRPr="00EA0F22">
        <w:t xml:space="preserve"> the framework</w:t>
      </w:r>
      <w:r w:rsidR="00711AE6">
        <w:t>’</w:t>
      </w:r>
      <w:r w:rsidRPr="00EA0F22">
        <w:t xml:space="preserve">s 20-year vision and sector-strengthening approach, including an </w:t>
      </w:r>
      <w:r w:rsidR="00E837F9">
        <w:br/>
      </w:r>
      <w:r w:rsidRPr="00EA0F22">
        <w:t xml:space="preserve">in-principle commitment to the </w:t>
      </w:r>
      <w:r w:rsidRPr="00F64CF1">
        <w:rPr>
          <w:rStyle w:val="Emphasis"/>
        </w:rPr>
        <w:t>Aboriginal Housing Summit Report w</w:t>
      </w:r>
      <w:r w:rsidRPr="00EA0F22">
        <w:t>hich includes 154 key recommendations. These recommendations will guide the next phase of implementation of</w:t>
      </w:r>
      <w:r w:rsidR="006E2F2E">
        <w:t> </w:t>
      </w:r>
      <w:r w:rsidRPr="00EA0F22">
        <w:t xml:space="preserve">the framework through a </w:t>
      </w:r>
      <w:r w:rsidR="00DF39D9">
        <w:t>5</w:t>
      </w:r>
      <w:r w:rsidRPr="00EA0F22">
        <w:t>-year implementation</w:t>
      </w:r>
      <w:r w:rsidR="006E2F2E">
        <w:t> </w:t>
      </w:r>
      <w:r w:rsidRPr="00EA0F22">
        <w:t xml:space="preserve">plan </w:t>
      </w:r>
    </w:p>
    <w:p w14:paraId="0FFA1A55" w14:textId="342D1467" w:rsidR="000E38BD" w:rsidRPr="00EA0F22" w:rsidRDefault="000E38BD" w:rsidP="00C91B7E">
      <w:pPr>
        <w:pStyle w:val="ARbullet1"/>
      </w:pPr>
      <w:r w:rsidRPr="00EA0F22">
        <w:t>empowering the Aboriginal community to direct the government on how best to deliver on the objectives of the framework. Aboriginal Housing Victoria provides a system steward role in supporting the implementation of the framework elevating the voice of the Aboriginal</w:t>
      </w:r>
      <w:r w:rsidR="000E4B9B">
        <w:t> </w:t>
      </w:r>
      <w:r w:rsidRPr="00EA0F22">
        <w:t>community</w:t>
      </w:r>
    </w:p>
    <w:p w14:paraId="08D0F0AB" w14:textId="77777777" w:rsidR="000E38BD" w:rsidRPr="00EA0F22" w:rsidRDefault="000E38BD" w:rsidP="00C91B7E">
      <w:pPr>
        <w:pStyle w:val="ARbullet1"/>
      </w:pPr>
      <w:r w:rsidRPr="00EA0F22">
        <w:t>delivering maintenance, refurbishment and upgrades to properties benefiting Aboriginal communities through the Building Works Stimulus Package, completed in 2023 at a cost of $35 million delivered by Aboriginal Housing Victoria in partnership with 19 ACCOs</w:t>
      </w:r>
    </w:p>
    <w:p w14:paraId="52AD9607" w14:textId="77777777" w:rsidR="000E38BD" w:rsidRPr="00EA0F22" w:rsidRDefault="000E38BD" w:rsidP="00F9790A">
      <w:pPr>
        <w:pStyle w:val="ARbullet1"/>
      </w:pPr>
      <w:r w:rsidRPr="00EA0F22">
        <w:t xml:space="preserve">committing to cultural safety by implementing the cultural safety framework and working to increase greater cultural safety in the Victorian Housing Register, through implementing recommendations from the 2022 Victorian Housing Register evaluation, including increased ACCO representation on the Victorian Housing Register Senior Leadership Group </w:t>
      </w:r>
    </w:p>
    <w:p w14:paraId="68617670" w14:textId="23C5B7EA" w:rsidR="000E38BD" w:rsidRPr="00EA0F22" w:rsidRDefault="000E38BD" w:rsidP="0088621E">
      <w:pPr>
        <w:pStyle w:val="ARbullet1"/>
        <w:rPr>
          <w:szCs w:val="20"/>
        </w:rPr>
      </w:pPr>
      <w:r w:rsidRPr="00EA0F22">
        <w:rPr>
          <w:rFonts w:eastAsiaTheme="minorHAnsi"/>
          <w:szCs w:val="20"/>
        </w:rPr>
        <w:t>increasing the uptake of private</w:t>
      </w:r>
      <w:r w:rsidRPr="00EA0F22">
        <w:rPr>
          <w:szCs w:val="20"/>
        </w:rPr>
        <w:t xml:space="preserve"> rental through the expansion of the Aboriginal Private Rental Assistance Program and the development of the</w:t>
      </w:r>
      <w:r w:rsidR="00C22CA1">
        <w:rPr>
          <w:szCs w:val="20"/>
        </w:rPr>
        <w:t> </w:t>
      </w:r>
      <w:r w:rsidRPr="00EA0F22">
        <w:rPr>
          <w:szCs w:val="20"/>
        </w:rPr>
        <w:t>Aboriginal Public Housing Tenancy Management Transfer Pilot</w:t>
      </w:r>
      <w:r w:rsidR="00B17383">
        <w:rPr>
          <w:szCs w:val="20"/>
        </w:rPr>
        <w:t>.</w:t>
      </w:r>
    </w:p>
    <w:p w14:paraId="50D06778" w14:textId="77777777" w:rsidR="000E38BD" w:rsidRPr="00645AD0" w:rsidRDefault="000E38BD" w:rsidP="00F9790A">
      <w:pPr>
        <w:pStyle w:val="Heading6"/>
      </w:pPr>
      <w:r w:rsidRPr="00E943E9">
        <w:t>Aboriginal Public Housing Tenancy Management Transfer Pilot</w:t>
      </w:r>
    </w:p>
    <w:p w14:paraId="661E4287" w14:textId="653D8A92" w:rsidR="000E38BD" w:rsidRPr="00EA0F22" w:rsidRDefault="000E38BD" w:rsidP="00F9790A">
      <w:pPr>
        <w:pStyle w:val="ARbody"/>
      </w:pPr>
      <w:r w:rsidRPr="00EA0F22">
        <w:t xml:space="preserve">The Aboriginal Public Housing Tenancy </w:t>
      </w:r>
      <w:r w:rsidRPr="00F9790A">
        <w:t>Management</w:t>
      </w:r>
      <w:r w:rsidRPr="00EA0F22">
        <w:t xml:space="preserve"> Transfer Pilot will trial </w:t>
      </w:r>
      <w:r>
        <w:t>the</w:t>
      </w:r>
      <w:r w:rsidR="00D90552">
        <w:t xml:space="preserve"> </w:t>
      </w:r>
      <w:r w:rsidRPr="00EA0F22">
        <w:t>transfer of</w:t>
      </w:r>
      <w:r w:rsidR="000E4B9B">
        <w:t> </w:t>
      </w:r>
      <w:r w:rsidRPr="00EA0F22">
        <w:t>public housing tenancy management responsibility from the department to an Aboriginal housing</w:t>
      </w:r>
      <w:r w:rsidR="000E4B9B">
        <w:t> </w:t>
      </w:r>
      <w:r w:rsidRPr="00EA0F22">
        <w:t>organisation.</w:t>
      </w:r>
    </w:p>
    <w:p w14:paraId="31EB3060" w14:textId="77777777" w:rsidR="000E38BD" w:rsidRPr="00F9790A" w:rsidRDefault="000E38BD" w:rsidP="00F9790A">
      <w:pPr>
        <w:pStyle w:val="ARbody"/>
      </w:pPr>
      <w:r w:rsidRPr="00EA0F22">
        <w:t xml:space="preserve">The pilot will deliver culturally safe service </w:t>
      </w:r>
      <w:r w:rsidRPr="00F9790A">
        <w:t xml:space="preserve">provision, greater choice, flexibility and support Aboriginal renters to have control over who manages their tenancy. </w:t>
      </w:r>
    </w:p>
    <w:p w14:paraId="26ABABF7" w14:textId="54FD7342" w:rsidR="00F9790A" w:rsidRDefault="00B17383" w:rsidP="00F9790A">
      <w:pPr>
        <w:pStyle w:val="ARbody"/>
      </w:pPr>
      <w:r>
        <w:t>The department</w:t>
      </w:r>
      <w:r w:rsidR="000E38BD" w:rsidRPr="00F9790A">
        <w:t xml:space="preserve"> is currently working with the Aboriginal Housing and Homelessness Forum to finalise the proposed approach and proceed to a call for</w:t>
      </w:r>
      <w:r w:rsidR="000E38BD">
        <w:t xml:space="preserve"> submission before commencing implementation of the pilot model. </w:t>
      </w:r>
    </w:p>
    <w:p w14:paraId="22F0FB73" w14:textId="42BDCB17" w:rsidR="000E38BD" w:rsidRDefault="000E38BD" w:rsidP="000E4B9B">
      <w:pPr>
        <w:pStyle w:val="Heading6"/>
      </w:pPr>
      <w:r w:rsidRPr="006A0F63">
        <w:t xml:space="preserve">Homes Victoria </w:t>
      </w:r>
      <w:r>
        <w:t>d</w:t>
      </w:r>
      <w:r w:rsidRPr="006A0F63">
        <w:t xml:space="preserve">ata </w:t>
      </w:r>
      <w:r>
        <w:t>s</w:t>
      </w:r>
      <w:r w:rsidRPr="006A0F63">
        <w:t xml:space="preserve">haring </w:t>
      </w:r>
      <w:r>
        <w:t>p</w:t>
      </w:r>
      <w:r w:rsidRPr="006A0F63">
        <w:t>olicy</w:t>
      </w:r>
      <w:r w:rsidR="00D90552">
        <w:t xml:space="preserve"> </w:t>
      </w:r>
    </w:p>
    <w:p w14:paraId="11EB20A7" w14:textId="04813D1B" w:rsidR="000E38BD" w:rsidRPr="00F9790A" w:rsidRDefault="000E38BD" w:rsidP="00F9790A">
      <w:pPr>
        <w:pStyle w:val="ARbody"/>
      </w:pPr>
      <w:r>
        <w:t xml:space="preserve">At the September 2023 Aboriginal Housing and </w:t>
      </w:r>
      <w:r w:rsidRPr="00F9790A">
        <w:t xml:space="preserve">Homelessness Forum, </w:t>
      </w:r>
      <w:r w:rsidR="00B17383">
        <w:t>the department, through</w:t>
      </w:r>
      <w:r w:rsidRPr="00F9790A">
        <w:t xml:space="preserve"> Homes Victoria</w:t>
      </w:r>
      <w:r w:rsidR="00B17383">
        <w:t>,</w:t>
      </w:r>
      <w:r w:rsidRPr="00F9790A">
        <w:t xml:space="preserve"> committed to providing members with a quarterly housing data presentation to</w:t>
      </w:r>
      <w:r w:rsidR="004C4435">
        <w:t> </w:t>
      </w:r>
      <w:r w:rsidRPr="00F9790A">
        <w:t>support the progression of Aboriginal data</w:t>
      </w:r>
      <w:r w:rsidR="004C4435">
        <w:t> </w:t>
      </w:r>
      <w:r w:rsidRPr="00F9790A">
        <w:t>sovereignty.</w:t>
      </w:r>
    </w:p>
    <w:p w14:paraId="04507127" w14:textId="07EDA98E" w:rsidR="000E38BD" w:rsidRDefault="000E38BD" w:rsidP="00F9790A">
      <w:pPr>
        <w:pStyle w:val="ARbody"/>
      </w:pPr>
      <w:r w:rsidRPr="00F9790A">
        <w:t>The</w:t>
      </w:r>
      <w:r>
        <w:t xml:space="preserve"> content is guided by Aboriginal </w:t>
      </w:r>
      <w:r w:rsidR="00E837F9">
        <w:br/>
      </w:r>
      <w:r>
        <w:t>self-determination, with Homes Victoria seeking to</w:t>
      </w:r>
      <w:r w:rsidR="00E837F9">
        <w:t> </w:t>
      </w:r>
      <w:r>
        <w:t>align each presentation against data items requested from forum members. Data presentations typically</w:t>
      </w:r>
      <w:r w:rsidR="00F9790A">
        <w:t> </w:t>
      </w:r>
      <w:r>
        <w:t>include:</w:t>
      </w:r>
    </w:p>
    <w:p w14:paraId="1D11876A" w14:textId="77777777" w:rsidR="000E38BD" w:rsidRDefault="000E38BD" w:rsidP="0088621E">
      <w:pPr>
        <w:pStyle w:val="ARbullet1"/>
      </w:pPr>
      <w:r>
        <w:t>Victorian Housing Register overview including Family Violence new and priority applications and details of allocations into public and community housing</w:t>
      </w:r>
    </w:p>
    <w:p w14:paraId="4484A15C" w14:textId="77777777" w:rsidR="000E38BD" w:rsidRPr="00532DAE" w:rsidRDefault="000E38BD" w:rsidP="0088621E">
      <w:pPr>
        <w:pStyle w:val="ARbullet1"/>
      </w:pPr>
      <w:r>
        <w:t>public housing tenancies and allocations overtime overview</w:t>
      </w:r>
    </w:p>
    <w:p w14:paraId="2F2F1493" w14:textId="77777777" w:rsidR="000E38BD" w:rsidRDefault="000E38BD" w:rsidP="0088621E">
      <w:pPr>
        <w:pStyle w:val="ARbullet1"/>
      </w:pPr>
      <w:r>
        <w:t>community housing tenancies and allocations overtime overview.</w:t>
      </w:r>
    </w:p>
    <w:p w14:paraId="3C351030" w14:textId="77777777" w:rsidR="000E38BD" w:rsidRPr="006A0F63" w:rsidRDefault="000E38BD" w:rsidP="000E4B9B">
      <w:pPr>
        <w:pStyle w:val="Heading6"/>
      </w:pPr>
      <w:r w:rsidRPr="653A650F">
        <w:rPr>
          <w:lang w:val="en-AU"/>
        </w:rPr>
        <w:t xml:space="preserve">Sector capacity building – Community Housing Sector Development Fund </w:t>
      </w:r>
    </w:p>
    <w:p w14:paraId="4C055547" w14:textId="7415EA85" w:rsidR="000E38BD" w:rsidRDefault="000E38BD" w:rsidP="00F9790A">
      <w:pPr>
        <w:pStyle w:val="ARbody"/>
      </w:pPr>
      <w:r w:rsidRPr="006F12AF">
        <w:t>The Community Housing Sector Development Fund build</w:t>
      </w:r>
      <w:r>
        <w:t>s the</w:t>
      </w:r>
      <w:r w:rsidRPr="006F12AF">
        <w:t xml:space="preserve"> capacity of not-for-profit community housing providers to assist with the growth of social and affordable housing under the Big Housing Build. The </w:t>
      </w:r>
      <w:r>
        <w:t>f</w:t>
      </w:r>
      <w:r w:rsidRPr="006F12AF">
        <w:t>und was established in 2020 with $6</w:t>
      </w:r>
      <w:r w:rsidR="00D57B10">
        <w:t> </w:t>
      </w:r>
      <w:r w:rsidRPr="006F12AF">
        <w:t>million funding</w:t>
      </w:r>
      <w:r>
        <w:t>.</w:t>
      </w:r>
      <w:r w:rsidRPr="006F12AF">
        <w:t xml:space="preserve"> </w:t>
      </w:r>
      <w:r w:rsidR="002C2CCF">
        <w:t>A total of 5</w:t>
      </w:r>
      <w:r>
        <w:t xml:space="preserve"> projects received </w:t>
      </w:r>
      <w:r w:rsidRPr="006F12AF">
        <w:t>$2</w:t>
      </w:r>
      <w:r>
        <w:t>.9 million</w:t>
      </w:r>
      <w:r w:rsidRPr="006F12AF">
        <w:t xml:space="preserve"> </w:t>
      </w:r>
      <w:r>
        <w:t xml:space="preserve">funding for projects </w:t>
      </w:r>
      <w:r w:rsidRPr="006F12AF">
        <w:t>focused on building the capacity of the First Peoples housing sector.</w:t>
      </w:r>
      <w:r w:rsidR="007B3347">
        <w:t xml:space="preserve"> </w:t>
      </w:r>
      <w:r>
        <w:t>These</w:t>
      </w:r>
      <w:r w:rsidR="00A668EC">
        <w:t> </w:t>
      </w:r>
      <w:r>
        <w:t xml:space="preserve">include: </w:t>
      </w:r>
    </w:p>
    <w:p w14:paraId="03A55CD6" w14:textId="7D095759" w:rsidR="000E38BD" w:rsidRDefault="000E38BD" w:rsidP="0088621E">
      <w:pPr>
        <w:pStyle w:val="ARbullet1"/>
      </w:pPr>
      <w:r>
        <w:t xml:space="preserve">Breaking Down Barriers </w:t>
      </w:r>
      <w:r w:rsidR="00E837F9">
        <w:t>–</w:t>
      </w:r>
      <w:r>
        <w:t xml:space="preserve"> t</w:t>
      </w:r>
      <w:r w:rsidRPr="0061680B">
        <w:t>he project support</w:t>
      </w:r>
      <w:r>
        <w:t>s</w:t>
      </w:r>
      <w:r w:rsidRPr="0061680B">
        <w:t xml:space="preserve"> the sector participating in the Big Housing Build program and increase the number of ACCOs and Traditional Owners seeking to deliver social housing by procuring a consultant for a </w:t>
      </w:r>
      <w:r w:rsidR="00E837F9">
        <w:br/>
      </w:r>
      <w:r w:rsidRPr="0061680B">
        <w:t>long-term, sustainable registered housing model, property development expertise and feasibility</w:t>
      </w:r>
      <w:r w:rsidR="00F9790A">
        <w:t> </w:t>
      </w:r>
      <w:r w:rsidRPr="0061680B">
        <w:t>assessments </w:t>
      </w:r>
    </w:p>
    <w:p w14:paraId="79E741A0" w14:textId="55211C72" w:rsidR="000E38BD" w:rsidRDefault="000E38BD" w:rsidP="0088621E">
      <w:pPr>
        <w:pStyle w:val="ARbullet1"/>
      </w:pPr>
      <w:r>
        <w:t xml:space="preserve">Supporting Aboriginal Registration </w:t>
      </w:r>
      <w:r w:rsidR="00E837F9">
        <w:t>–</w:t>
      </w:r>
      <w:r>
        <w:t xml:space="preserve"> </w:t>
      </w:r>
      <w:r w:rsidRPr="0061680B">
        <w:t>The project support</w:t>
      </w:r>
      <w:r>
        <w:t>s</w:t>
      </w:r>
      <w:r w:rsidRPr="0061680B">
        <w:t xml:space="preserve"> and increase the number of Aboriginal housing providers. This support will be complemented by a $500,000 grants program to support ACCOs and Traditional Owners develop and implement their registration action plans </w:t>
      </w:r>
    </w:p>
    <w:p w14:paraId="37CD86B2" w14:textId="77777777" w:rsidR="000E38BD" w:rsidRDefault="000E38BD" w:rsidP="0088621E">
      <w:pPr>
        <w:pStyle w:val="ARbullet1"/>
      </w:pPr>
      <w:r>
        <w:t xml:space="preserve">Community Partnerships Brokerage – </w:t>
      </w:r>
      <w:r w:rsidRPr="0061680B">
        <w:t>The Community Partnerships brokerage role, engage</w:t>
      </w:r>
      <w:r>
        <w:t>s</w:t>
      </w:r>
      <w:r w:rsidRPr="0061680B">
        <w:t xml:space="preserve"> directly with the Aboriginal community sector to determine options for Aboriginal organisations to participate in the B</w:t>
      </w:r>
      <w:r>
        <w:t xml:space="preserve">ig </w:t>
      </w:r>
      <w:r w:rsidRPr="0061680B">
        <w:t>H</w:t>
      </w:r>
      <w:r>
        <w:t xml:space="preserve">ousing </w:t>
      </w:r>
      <w:r w:rsidRPr="0061680B">
        <w:t>B</w:t>
      </w:r>
      <w:r>
        <w:t>uild</w:t>
      </w:r>
      <w:r w:rsidRPr="0061680B">
        <w:t xml:space="preserve"> Aboriginal program of works </w:t>
      </w:r>
    </w:p>
    <w:p w14:paraId="62B51FF9" w14:textId="27FFC00E" w:rsidR="000E38BD" w:rsidRPr="00532DAE" w:rsidRDefault="000E38BD" w:rsidP="00470AF7">
      <w:pPr>
        <w:pStyle w:val="ARbullet1"/>
      </w:pPr>
      <w:r>
        <w:t xml:space="preserve">Local Government Partnerships – </w:t>
      </w:r>
      <w:r w:rsidRPr="0061680B">
        <w:t>A</w:t>
      </w:r>
      <w:r>
        <w:t xml:space="preserve">boriginal </w:t>
      </w:r>
      <w:r w:rsidRPr="0061680B">
        <w:t>H</w:t>
      </w:r>
      <w:r>
        <w:t xml:space="preserve">ousing </w:t>
      </w:r>
      <w:r w:rsidRPr="0061680B">
        <w:t>V</w:t>
      </w:r>
      <w:r>
        <w:t>ictoria were awarded</w:t>
      </w:r>
      <w:r w:rsidRPr="0061680B">
        <w:t xml:space="preserve"> funding to develop a</w:t>
      </w:r>
      <w:r>
        <w:t xml:space="preserve">n approach </w:t>
      </w:r>
      <w:r w:rsidRPr="0061680B">
        <w:t xml:space="preserve">to increase the understanding of the housing needs of Aboriginal people in selected </w:t>
      </w:r>
      <w:r w:rsidR="00C41E2B">
        <w:t>l</w:t>
      </w:r>
      <w:r w:rsidR="00C41E2B" w:rsidRPr="0061680B">
        <w:t xml:space="preserve">ocal </w:t>
      </w:r>
      <w:r w:rsidR="00C41E2B">
        <w:t>g</w:t>
      </w:r>
      <w:r w:rsidR="00C41E2B" w:rsidRPr="00470AF7">
        <w:t>overnment</w:t>
      </w:r>
      <w:r w:rsidR="00C41E2B">
        <w:t> a</w:t>
      </w:r>
      <w:r w:rsidR="00C41E2B" w:rsidRPr="0061680B">
        <w:t>reas</w:t>
      </w:r>
      <w:r w:rsidRPr="0061680B">
        <w:t>.</w:t>
      </w:r>
    </w:p>
    <w:p w14:paraId="59986DF8" w14:textId="77777777" w:rsidR="000E38BD" w:rsidRPr="00645AD0" w:rsidRDefault="000E38BD" w:rsidP="000E4B9B">
      <w:pPr>
        <w:pStyle w:val="Heading6"/>
      </w:pPr>
      <w:r w:rsidRPr="00E2595D">
        <w:t>Targeting 10</w:t>
      </w:r>
      <w:r>
        <w:t>%</w:t>
      </w:r>
      <w:r w:rsidRPr="00E2595D">
        <w:t xml:space="preserve"> of net new social housing</w:t>
      </w:r>
      <w:r w:rsidRPr="00E2595D">
        <w:rPr>
          <w:lang w:val="en-US"/>
        </w:rPr>
        <w:t xml:space="preserve"> </w:t>
      </w:r>
      <w:r w:rsidRPr="00E2595D">
        <w:t>for Aboriginal Victorians in</w:t>
      </w:r>
      <w:r w:rsidRPr="00E2595D">
        <w:rPr>
          <w:lang w:val="en-US"/>
        </w:rPr>
        <w:t xml:space="preserve"> </w:t>
      </w:r>
      <w:r w:rsidRPr="00E2595D">
        <w:t>the</w:t>
      </w:r>
      <w:r w:rsidRPr="00E2595D">
        <w:rPr>
          <w:lang w:val="en-US"/>
        </w:rPr>
        <w:t xml:space="preserve"> </w:t>
      </w:r>
      <w:r w:rsidRPr="00E2595D">
        <w:t>Big</w:t>
      </w:r>
      <w:r w:rsidRPr="00E2595D">
        <w:rPr>
          <w:lang w:val="en-US"/>
        </w:rPr>
        <w:t xml:space="preserve"> </w:t>
      </w:r>
      <w:r w:rsidRPr="00E2595D">
        <w:t>Housing Build</w:t>
      </w:r>
    </w:p>
    <w:p w14:paraId="47BFAD1E" w14:textId="56B61212" w:rsidR="000E38BD" w:rsidRPr="00532DAE" w:rsidRDefault="000E38BD" w:rsidP="000E4B9B">
      <w:pPr>
        <w:pStyle w:val="ARbody"/>
      </w:pPr>
      <w:r>
        <w:t>Under the Big Housing Build, 10%</w:t>
      </w:r>
      <w:r w:rsidR="00D90552">
        <w:t xml:space="preserve"> </w:t>
      </w:r>
      <w:r w:rsidRPr="00532DAE">
        <w:t>of all net new social housing properties built will</w:t>
      </w:r>
      <w:r>
        <w:t xml:space="preserve"> </w:t>
      </w:r>
      <w:r w:rsidRPr="00532DAE">
        <w:t>be</w:t>
      </w:r>
      <w:r>
        <w:t xml:space="preserve"> </w:t>
      </w:r>
      <w:r w:rsidRPr="00532DAE">
        <w:t>for Aboriginal</w:t>
      </w:r>
      <w:r w:rsidR="00F9790A">
        <w:t> </w:t>
      </w:r>
      <w:r w:rsidRPr="00532DAE">
        <w:t>Victorians.</w:t>
      </w:r>
    </w:p>
    <w:p w14:paraId="1F613290" w14:textId="2F080EBF" w:rsidR="000E38BD" w:rsidRPr="00532DAE" w:rsidRDefault="000E38BD" w:rsidP="0088621E">
      <w:pPr>
        <w:pStyle w:val="ARbody"/>
      </w:pPr>
      <w:r w:rsidRPr="00532DAE">
        <w:t xml:space="preserve">The delivery approach is being guided by Aboriginal self-determination principles. </w:t>
      </w:r>
      <w:r>
        <w:t>As of 30</w:t>
      </w:r>
      <w:r w:rsidR="00C22CA1">
        <w:t> </w:t>
      </w:r>
      <w:r>
        <w:t>June 2024</w:t>
      </w:r>
      <w:r w:rsidRPr="00532DAE">
        <w:t xml:space="preserve">, </w:t>
      </w:r>
      <w:r w:rsidR="008B7495">
        <w:t>523</w:t>
      </w:r>
      <w:r w:rsidR="008B7495" w:rsidRPr="00532DAE">
        <w:t xml:space="preserve"> </w:t>
      </w:r>
      <w:r w:rsidRPr="00532DAE">
        <w:t xml:space="preserve">Aboriginal households have been housed and </w:t>
      </w:r>
      <w:r w:rsidR="008B7495">
        <w:t>115</w:t>
      </w:r>
      <w:r w:rsidR="008B7495" w:rsidRPr="00532DAE">
        <w:t xml:space="preserve"> </w:t>
      </w:r>
      <w:r w:rsidRPr="00532DAE">
        <w:t xml:space="preserve">of these households are in homes managed by Aboriginal Housing Victoria. Hundreds </w:t>
      </w:r>
      <w:r w:rsidR="008A2739">
        <w:t>of</w:t>
      </w:r>
      <w:r w:rsidRPr="00532DAE">
        <w:t xml:space="preserve"> more homes are in planning and construction.</w:t>
      </w:r>
      <w:r>
        <w:t xml:space="preserve"> </w:t>
      </w:r>
      <w:r w:rsidRPr="00532DAE">
        <w:t>Evaluation is continuing for requests for proposals through the Social Housing Growth Fund – Homes for Aboriginal Victorians grant round. This will deliver new homes for Aboriginal</w:t>
      </w:r>
      <w:r w:rsidR="000E4B9B">
        <w:t> </w:t>
      </w:r>
      <w:r w:rsidRPr="00532DAE">
        <w:t>Victorians</w:t>
      </w:r>
      <w:r w:rsidRPr="00645AD0">
        <w:t>.</w:t>
      </w:r>
    </w:p>
    <w:p w14:paraId="6EDD8FE8" w14:textId="2932F332" w:rsidR="000E38BD" w:rsidRPr="00532DAE" w:rsidRDefault="000E38BD" w:rsidP="000E4B9B">
      <w:pPr>
        <w:pStyle w:val="ARbody"/>
      </w:pPr>
      <w:r>
        <w:t>Funding of $811,000 has been invested as part of t</w:t>
      </w:r>
      <w:r w:rsidRPr="00532DAE">
        <w:t>he Community Housing Sector Development Fund</w:t>
      </w:r>
      <w:r>
        <w:t>, with</w:t>
      </w:r>
      <w:r w:rsidRPr="00532DAE">
        <w:t xml:space="preserve"> Aboriginal projects progressing to support and build the capacity of the Aboriginal housing sector. This </w:t>
      </w:r>
      <w:r w:rsidRPr="000E4B9B">
        <w:t>will</w:t>
      </w:r>
      <w:r w:rsidRPr="00532DAE">
        <w:t xml:space="preserve"> increase their ability to participate in the Big Housing Build </w:t>
      </w:r>
      <w:r w:rsidRPr="00FD5D62">
        <w:t>delivery</w:t>
      </w:r>
      <w:r w:rsidR="005D0813">
        <w:t>.</w:t>
      </w:r>
    </w:p>
    <w:p w14:paraId="32B8ACF3" w14:textId="77777777" w:rsidR="000E38BD" w:rsidRPr="00F9790A" w:rsidRDefault="000E38BD" w:rsidP="00F9790A">
      <w:pPr>
        <w:pStyle w:val="Heading6"/>
        <w:rPr>
          <w:rFonts w:eastAsia="Times"/>
        </w:rPr>
      </w:pPr>
      <w:r w:rsidRPr="00633D20">
        <w:rPr>
          <w:rFonts w:eastAsia="Times"/>
        </w:rPr>
        <w:t>Cultural Safety</w:t>
      </w:r>
    </w:p>
    <w:p w14:paraId="71CFB579" w14:textId="7768A605" w:rsidR="000E38BD" w:rsidRDefault="000E38BD" w:rsidP="00F9790A">
      <w:pPr>
        <w:pStyle w:val="ARbody"/>
      </w:pPr>
      <w:r w:rsidRPr="00B1400C">
        <w:t>The department continue</w:t>
      </w:r>
      <w:r>
        <w:t>s</w:t>
      </w:r>
      <w:r w:rsidRPr="00B1400C">
        <w:t xml:space="preserve"> to focus on improving cultural safety and competence internally and </w:t>
      </w:r>
      <w:r w:rsidRPr="2FE5AAB4">
        <w:t xml:space="preserve">across the funded </w:t>
      </w:r>
      <w:r>
        <w:t xml:space="preserve">housing </w:t>
      </w:r>
      <w:r w:rsidRPr="2FE5AAB4">
        <w:t xml:space="preserve">sector. This work aims to build service quality and outcomes for Aboriginal staff, clients, and communities. This work remains a priority for </w:t>
      </w:r>
      <w:r>
        <w:t>the department</w:t>
      </w:r>
      <w:r w:rsidRPr="2FE5AAB4">
        <w:t xml:space="preserve"> in </w:t>
      </w:r>
      <w:r>
        <w:t>exploring</w:t>
      </w:r>
      <w:r w:rsidRPr="2FE5AAB4">
        <w:t xml:space="preserve"> the implementation of the Aboriginal cultural safety framework to funded agencies</w:t>
      </w:r>
      <w:r w:rsidRPr="00645AD0">
        <w:t>.</w:t>
      </w:r>
    </w:p>
    <w:p w14:paraId="4871E2EF" w14:textId="4880EBE6" w:rsidR="000E38BD" w:rsidRPr="008C56FC" w:rsidRDefault="008C56FC" w:rsidP="008C56FC">
      <w:pPr>
        <w:pStyle w:val="Heading5"/>
        <w:rPr>
          <w:rFonts w:eastAsia="Times"/>
        </w:rPr>
      </w:pPr>
      <w:r>
        <w:br w:type="column"/>
      </w:r>
      <w:bookmarkStart w:id="137" w:name="_Ref178173855"/>
      <w:r w:rsidR="000E38BD" w:rsidRPr="00615D20">
        <w:rPr>
          <w:rFonts w:eastAsia="MS Mincho"/>
        </w:rPr>
        <w:t>Integrating the voice of renters into the design and delivery of housing services and programs</w:t>
      </w:r>
      <w:bookmarkEnd w:id="137"/>
    </w:p>
    <w:p w14:paraId="541BCDF4" w14:textId="72D0F539" w:rsidR="000E38BD" w:rsidRDefault="000E38BD" w:rsidP="00F9790A">
      <w:pPr>
        <w:pStyle w:val="ARbody"/>
      </w:pPr>
      <w:r>
        <w:t>The Paving the Way Forward program launched in</w:t>
      </w:r>
      <w:r w:rsidR="00C22CA1">
        <w:t> </w:t>
      </w:r>
      <w:r>
        <w:t xml:space="preserve">2021 with a commitment to renters to incorporate the voice of lived experience into decisions that impact their homes, neighbourhoods and services. </w:t>
      </w:r>
    </w:p>
    <w:p w14:paraId="49B8EF65" w14:textId="1977922F" w:rsidR="000E38BD" w:rsidRDefault="000E38BD" w:rsidP="00F9790A">
      <w:pPr>
        <w:pStyle w:val="ARbody"/>
      </w:pPr>
      <w:r>
        <w:t xml:space="preserve">Over the </w:t>
      </w:r>
      <w:r w:rsidR="00BC551E">
        <w:t>p</w:t>
      </w:r>
      <w:r>
        <w:t xml:space="preserve">ast </w:t>
      </w:r>
      <w:r w:rsidR="00DA3D9E">
        <w:t>year</w:t>
      </w:r>
      <w:r>
        <w:t xml:space="preserve">, the Public Housing Renters </w:t>
      </w:r>
      <w:r w:rsidRPr="00F9790A">
        <w:t>Consultative</w:t>
      </w:r>
      <w:r>
        <w:t xml:space="preserve"> Committee has engaged in and provided feedback on a range of housing policy and program initiatives. This has included feedback on the Energy Efficiency program and environmental sustainability options and improving the maintenance service. </w:t>
      </w:r>
      <w:r w:rsidRPr="00684691">
        <w:t>As a result of discussions</w:t>
      </w:r>
      <w:r>
        <w:t xml:space="preserve">, </w:t>
      </w:r>
      <w:r w:rsidRPr="00684691">
        <w:t xml:space="preserve">public housing renters </w:t>
      </w:r>
      <w:r>
        <w:t xml:space="preserve">will be part of the </w:t>
      </w:r>
      <w:r w:rsidRPr="00684691">
        <w:t xml:space="preserve">evaluation process for the selection of contractors who provide maintenance services to each of them and their communities. </w:t>
      </w:r>
      <w:r>
        <w:t>Using feedback from the committee, the department is changing the way it engages with renters about safety checks in their homes to help resolve property access issues.</w:t>
      </w:r>
    </w:p>
    <w:p w14:paraId="56C4C2CB" w14:textId="709D739F" w:rsidR="000E38BD" w:rsidRDefault="000E38BD" w:rsidP="0088621E">
      <w:pPr>
        <w:pStyle w:val="ARbody"/>
        <w:spacing w:line="276" w:lineRule="auto"/>
      </w:pPr>
      <w:r>
        <w:t xml:space="preserve">Review and Improve Panels are another way that renter voice is being incorporated into the delivery of housing services. These are panels of renters that meet over an 8-week period to provide feedback on renter experiences and suggestions for improvement on specific topics. Feedback from these panels has helped shape the renter relocations communication process for the </w:t>
      </w:r>
      <w:r w:rsidR="00F9790A">
        <w:br/>
      </w:r>
      <w:r>
        <w:t>high-rise</w:t>
      </w:r>
      <w:r w:rsidR="00F9790A">
        <w:t> </w:t>
      </w:r>
      <w:r>
        <w:t>redevelopment.</w:t>
      </w:r>
      <w:bookmarkStart w:id="138" w:name="_Hlk172900059"/>
      <w:r w:rsidR="0002294F">
        <w:t xml:space="preserve"> </w:t>
      </w:r>
    </w:p>
    <w:bookmarkEnd w:id="138"/>
    <w:p w14:paraId="5571BC10" w14:textId="3B7A4A84" w:rsidR="000E38BD" w:rsidRPr="00615D20" w:rsidRDefault="000E38BD" w:rsidP="000E4B9B">
      <w:pPr>
        <w:pStyle w:val="Heading5"/>
        <w:rPr>
          <w:rFonts w:eastAsia="MS Mincho"/>
        </w:rPr>
      </w:pPr>
      <w:r w:rsidRPr="000E4B9B">
        <w:rPr>
          <w:rFonts w:eastAsia="MS Mincho"/>
        </w:rPr>
        <w:t>Delivering</w:t>
      </w:r>
      <w:r w:rsidRPr="00615D20">
        <w:rPr>
          <w:rFonts w:eastAsia="MS Mincho"/>
        </w:rPr>
        <w:t xml:space="preserve"> employment solutions for</w:t>
      </w:r>
      <w:r>
        <w:rPr>
          <w:rFonts w:eastAsia="MS Mincho"/>
        </w:rPr>
        <w:t xml:space="preserve"> </w:t>
      </w:r>
      <w:r w:rsidRPr="00615D20">
        <w:rPr>
          <w:rFonts w:eastAsia="MS Mincho"/>
        </w:rPr>
        <w:t>social</w:t>
      </w:r>
      <w:r>
        <w:rPr>
          <w:rFonts w:eastAsia="MS Mincho"/>
        </w:rPr>
        <w:t xml:space="preserve"> </w:t>
      </w:r>
      <w:r w:rsidRPr="00615D20">
        <w:rPr>
          <w:rFonts w:eastAsia="MS Mincho"/>
        </w:rPr>
        <w:t>housing residents</w:t>
      </w:r>
    </w:p>
    <w:p w14:paraId="0748953F" w14:textId="77777777" w:rsidR="000E38BD" w:rsidRPr="00532DAE" w:rsidRDefault="000E38BD" w:rsidP="0088621E">
      <w:pPr>
        <w:pStyle w:val="ARbody"/>
      </w:pPr>
      <w:r w:rsidRPr="00532DAE">
        <w:t>In May 2022, the Victorian Government invested $3</w:t>
      </w:r>
      <w:r>
        <w:t> </w:t>
      </w:r>
      <w:r w:rsidRPr="00532DAE">
        <w:t xml:space="preserve">million in the Social Housing Employment Program (SHEP) through the Jobs Victoria Fund. </w:t>
      </w:r>
    </w:p>
    <w:p w14:paraId="069246CA" w14:textId="02BB8BC5" w:rsidR="000E38BD" w:rsidRPr="00532DAE" w:rsidRDefault="000E38BD" w:rsidP="0088621E">
      <w:pPr>
        <w:pStyle w:val="ARbody"/>
      </w:pPr>
      <w:r>
        <w:t>Targeting</w:t>
      </w:r>
      <w:r w:rsidRPr="00532DAE">
        <w:t xml:space="preserve"> social housing renters and</w:t>
      </w:r>
      <w:r>
        <w:t xml:space="preserve"> </w:t>
      </w:r>
      <w:r w:rsidRPr="00532DAE">
        <w:t>others at risk of long-term unemployment</w:t>
      </w:r>
      <w:r>
        <w:t>, the program enables participants</w:t>
      </w:r>
      <w:r w:rsidRPr="00532DAE">
        <w:t xml:space="preserve"> to work and get paid while they complete an industry-related qualification and receive on-the-job training to build skills and</w:t>
      </w:r>
      <w:r w:rsidR="00F9790A">
        <w:t> </w:t>
      </w:r>
      <w:r w:rsidRPr="00532DAE">
        <w:t>capabilities.</w:t>
      </w:r>
    </w:p>
    <w:p w14:paraId="34B27000" w14:textId="103C9B38" w:rsidR="000E38BD" w:rsidRDefault="000E38BD" w:rsidP="0088621E">
      <w:pPr>
        <w:pStyle w:val="ARbody"/>
      </w:pPr>
      <w:r>
        <w:t>Rolled</w:t>
      </w:r>
      <w:r w:rsidRPr="00532DAE">
        <w:t xml:space="preserve"> out by Qualify in Gippsland and Uniting in</w:t>
      </w:r>
      <w:r w:rsidR="00C22CA1">
        <w:t> </w:t>
      </w:r>
      <w:r w:rsidRPr="00532DAE">
        <w:t>metropolitan Melbourne, the program has successfully placed 108</w:t>
      </w:r>
      <w:r>
        <w:t xml:space="preserve"> </w:t>
      </w:r>
      <w:r w:rsidRPr="00532DAE">
        <w:t>jobseekers from metropolitan Melbourne and</w:t>
      </w:r>
      <w:r>
        <w:t xml:space="preserve"> </w:t>
      </w:r>
      <w:r w:rsidRPr="00532DAE">
        <w:t>141 jobseekers from</w:t>
      </w:r>
      <w:r w:rsidR="00C22CA1">
        <w:t> </w:t>
      </w:r>
      <w:r w:rsidRPr="00532DAE">
        <w:t>Gippsland into employment.</w:t>
      </w:r>
    </w:p>
    <w:p w14:paraId="65D1A0B6" w14:textId="77777777" w:rsidR="000E38BD" w:rsidRDefault="000E38BD" w:rsidP="00B3051F">
      <w:pPr>
        <w:pStyle w:val="ARbody"/>
      </w:pPr>
    </w:p>
    <w:p w14:paraId="5804E514" w14:textId="77777777" w:rsidR="001532E8" w:rsidRDefault="001532E8" w:rsidP="00B3051F">
      <w:pPr>
        <w:pStyle w:val="ARbody"/>
        <w:sectPr w:rsidR="001532E8"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67B756A2" w14:textId="77777777" w:rsidR="000E38BD" w:rsidRPr="00A57FC9" w:rsidRDefault="000E38BD" w:rsidP="00C24BF2">
      <w:pPr>
        <w:pStyle w:val="Heading3"/>
        <w:spacing w:before="0"/>
      </w:pPr>
      <w:bookmarkStart w:id="139" w:name="_Toc173832375"/>
      <w:r w:rsidRPr="00A57FC9">
        <w:t>Objective</w:t>
      </w:r>
      <w:r>
        <w:t xml:space="preserve"> –</w:t>
      </w:r>
      <w:r w:rsidRPr="00A57FC9">
        <w:t xml:space="preserve"> Our social services system is integrated, effective, person-centred and sustainable</w:t>
      </w:r>
      <w:bookmarkEnd w:id="139"/>
      <w:r w:rsidRPr="00A57FC9">
        <w:t xml:space="preserve"> </w:t>
      </w:r>
    </w:p>
    <w:p w14:paraId="7F836F52" w14:textId="63E09C2B" w:rsidR="000E38BD" w:rsidRDefault="000E38BD" w:rsidP="0088621E">
      <w:pPr>
        <w:pStyle w:val="ARbody"/>
      </w:pPr>
      <w:r>
        <w:t>The social services system is joined up and provides safe, effective and appropriate services that respond to</w:t>
      </w:r>
      <w:r w:rsidR="00A5366E">
        <w:t> </w:t>
      </w:r>
      <w:r>
        <w:t xml:space="preserve">the needs, preferences and circumstances of Victorians. Our corporate functions and IT systems facilitate efficient service delivery, administration and oversight, and our workforce is sustainable and highly skilled. </w:t>
      </w:r>
    </w:p>
    <w:p w14:paraId="7052A142" w14:textId="41B61EBA" w:rsidR="000E38BD" w:rsidRDefault="000E38BD" w:rsidP="0088621E">
      <w:pPr>
        <w:pStyle w:val="ARbody"/>
      </w:pPr>
      <w:r>
        <w:t>We nurture strong partnerships with funded agencies, and we deploy data and evidence to</w:t>
      </w:r>
      <w:r w:rsidR="009C6847">
        <w:t> </w:t>
      </w:r>
      <w:r>
        <w:t>continuously</w:t>
      </w:r>
      <w:r w:rsidR="0085545B">
        <w:t> </w:t>
      </w:r>
      <w:r>
        <w:t xml:space="preserve">improve. </w:t>
      </w:r>
    </w:p>
    <w:p w14:paraId="2D016693" w14:textId="77777777" w:rsidR="000E38BD" w:rsidRDefault="000E38BD" w:rsidP="00D51DB3">
      <w:pPr>
        <w:pStyle w:val="Heading4"/>
        <w:sectPr w:rsidR="000E38BD" w:rsidSect="005936D2">
          <w:pgSz w:w="11906" w:h="16838"/>
          <w:pgMar w:top="1701" w:right="1134" w:bottom="851" w:left="1134" w:header="709" w:footer="709" w:gutter="0"/>
          <w:cols w:space="708"/>
          <w:docGrid w:linePitch="360"/>
        </w:sectPr>
      </w:pPr>
      <w:bookmarkStart w:id="140" w:name="_Toc173832377"/>
      <w:r w:rsidRPr="00532DAE">
        <w:t xml:space="preserve">Key initiatives </w:t>
      </w:r>
      <w:r w:rsidRPr="00D51DB3">
        <w:t>and</w:t>
      </w:r>
      <w:r w:rsidRPr="00532DAE">
        <w:t xml:space="preserve"> projects</w:t>
      </w:r>
      <w:bookmarkEnd w:id="140"/>
    </w:p>
    <w:p w14:paraId="29C8EA26" w14:textId="77777777" w:rsidR="000E38BD" w:rsidRPr="00AB1278" w:rsidRDefault="000E38BD" w:rsidP="000E4B9B">
      <w:pPr>
        <w:pStyle w:val="Heading5"/>
      </w:pPr>
      <w:bookmarkStart w:id="141" w:name="_Toc173832378"/>
      <w:r w:rsidRPr="00AB1278">
        <w:t>Establishing the Social Services Regulatory scheme</w:t>
      </w:r>
      <w:bookmarkEnd w:id="141"/>
    </w:p>
    <w:p w14:paraId="1BCB77FE" w14:textId="1603DCCB" w:rsidR="000E38BD" w:rsidRPr="00D23489" w:rsidRDefault="000E38BD" w:rsidP="0088621E">
      <w:pPr>
        <w:pStyle w:val="ARbody"/>
      </w:pPr>
      <w:r>
        <w:t>During 2023</w:t>
      </w:r>
      <w:r w:rsidR="00E837F9">
        <w:t>–</w:t>
      </w:r>
      <w:r>
        <w:t>24, the department prepared for the commencement of the new Social Services Regulator on 1 July 2024.</w:t>
      </w:r>
    </w:p>
    <w:p w14:paraId="67C709FC" w14:textId="1B2FD84A" w:rsidR="000E38BD" w:rsidRDefault="000E38BD" w:rsidP="00D51DB3">
      <w:pPr>
        <w:pStyle w:val="ARbody"/>
      </w:pPr>
      <w:r>
        <w:t xml:space="preserve">In 2021, the government passed the Social Services Regulation Act to create a single </w:t>
      </w:r>
      <w:r w:rsidRPr="00D51DB3">
        <w:t>comprehensive</w:t>
      </w:r>
      <w:r>
        <w:t xml:space="preserve"> new regulatory scheme to keep Victoria</w:t>
      </w:r>
      <w:r w:rsidR="00711AE6">
        <w:t>’</w:t>
      </w:r>
      <w:r>
        <w:t xml:space="preserve">s social services users safe. </w:t>
      </w:r>
      <w:r w:rsidR="00E837F9">
        <w:br/>
      </w:r>
      <w:r>
        <w:t>During 2023</w:t>
      </w:r>
      <w:r w:rsidR="00E837F9">
        <w:t>–</w:t>
      </w:r>
      <w:r>
        <w:t xml:space="preserve">2024, </w:t>
      </w:r>
      <w:r w:rsidRPr="00F82833">
        <w:t>the department developed the</w:t>
      </w:r>
      <w:r w:rsidR="00E837F9" w:rsidRPr="00F82833">
        <w:t> </w:t>
      </w:r>
      <w:r w:rsidRPr="00F82833">
        <w:t>Social Services Regulations 2023 and the Social Services (Supported Residential Services) Regulations 2024 to operationalise the scheme</w:t>
      </w:r>
      <w:r>
        <w:t>.</w:t>
      </w:r>
    </w:p>
    <w:p w14:paraId="59D70A06" w14:textId="72E2C35A" w:rsidR="000E38BD" w:rsidRPr="00D23489" w:rsidRDefault="000E38BD" w:rsidP="00D51DB3">
      <w:pPr>
        <w:pStyle w:val="ARbody"/>
      </w:pPr>
      <w:r>
        <w:t xml:space="preserve">The department consulted widely with the sector to develop the regulations, including via a Regulatory </w:t>
      </w:r>
      <w:r w:rsidRPr="00D51DB3">
        <w:t>Impact</w:t>
      </w:r>
      <w:r>
        <w:t xml:space="preserve"> Statement. The Social Services Regulation Taskforce, comprising peak bodies, service user and provider representatives and a regulatory expert, also provided significant input. The Parliamentary Secretary for Disability and an independent expert co-chaired the</w:t>
      </w:r>
      <w:r w:rsidR="00A5366E">
        <w:t> </w:t>
      </w:r>
      <w:r>
        <w:t>Taskforce.</w:t>
      </w:r>
    </w:p>
    <w:p w14:paraId="29A85D3A" w14:textId="77777777" w:rsidR="000E38BD" w:rsidRDefault="000E38BD" w:rsidP="0088621E">
      <w:pPr>
        <w:pStyle w:val="ARbody"/>
      </w:pPr>
      <w:r>
        <w:t>The department continued to focus on improving cultural safety across the social services sector, working with the sector to develop cultural safety service requirements that Victorian social services must meet as part of their obligations to comply with the relevant standards.</w:t>
      </w:r>
    </w:p>
    <w:p w14:paraId="3B0D33C4" w14:textId="6DEDC777" w:rsidR="000E38BD" w:rsidRDefault="000E38BD" w:rsidP="00D51DB3">
      <w:pPr>
        <w:pStyle w:val="ARbody"/>
      </w:pPr>
      <w:r w:rsidRPr="00396CAB">
        <w:t xml:space="preserve">Jonathan Kaplan was appointed as the inaugural </w:t>
      </w:r>
      <w:r>
        <w:t>r</w:t>
      </w:r>
      <w:r w:rsidRPr="00396CAB">
        <w:t xml:space="preserve">egulator, and the </w:t>
      </w:r>
      <w:r>
        <w:t>d</w:t>
      </w:r>
      <w:r w:rsidRPr="00396CAB">
        <w:t>epartment worked with Mr Kaplan to prepare information and guidance for the social services sector, and to establish the Social Services Regulator as a new independent statutory entit</w:t>
      </w:r>
      <w:r>
        <w:t xml:space="preserve">y. </w:t>
      </w:r>
    </w:p>
    <w:p w14:paraId="0487BACD" w14:textId="486EAEBA" w:rsidR="000E38BD" w:rsidRPr="0066618F" w:rsidRDefault="00E837F9" w:rsidP="00D51DB3">
      <w:pPr>
        <w:pStyle w:val="Heading5"/>
        <w:rPr>
          <w:rFonts w:eastAsia="MS Mincho"/>
        </w:rPr>
      </w:pPr>
      <w:r>
        <w:rPr>
          <w:rFonts w:eastAsia="MS Mincho"/>
        </w:rPr>
        <w:br w:type="column"/>
      </w:r>
      <w:r w:rsidR="000E38BD" w:rsidRPr="0066618F">
        <w:rPr>
          <w:rFonts w:eastAsia="MS Mincho"/>
        </w:rPr>
        <w:t xml:space="preserve">Investment to support </w:t>
      </w:r>
      <w:r w:rsidR="000E38BD" w:rsidRPr="00D51DB3">
        <w:rPr>
          <w:rFonts w:eastAsia="MS Mincho"/>
        </w:rPr>
        <w:t>our</w:t>
      </w:r>
      <w:r w:rsidR="000E38BD" w:rsidRPr="0066618F">
        <w:rPr>
          <w:rFonts w:eastAsia="MS Mincho"/>
        </w:rPr>
        <w:t xml:space="preserve"> skilled community services workforce</w:t>
      </w:r>
    </w:p>
    <w:p w14:paraId="661600B8" w14:textId="66C6912C" w:rsidR="000E38BD" w:rsidRPr="00CF0A7A" w:rsidRDefault="000E38BD" w:rsidP="00D51DB3">
      <w:pPr>
        <w:pStyle w:val="ARbody"/>
      </w:pPr>
      <w:r w:rsidRPr="00CF0A7A">
        <w:t>The department continues to support the community and social services sector on recruitment and retention strategies and activities. The community services workforce provides essential support to Victoria</w:t>
      </w:r>
      <w:r>
        <w:t>n</w:t>
      </w:r>
      <w:r w:rsidR="00D51DB3">
        <w:t> </w:t>
      </w:r>
      <w:r>
        <w:t>communities</w:t>
      </w:r>
      <w:r w:rsidRPr="00CF0A7A">
        <w:t xml:space="preserve">. </w:t>
      </w:r>
    </w:p>
    <w:p w14:paraId="75268029" w14:textId="15893FBD" w:rsidR="000E38BD" w:rsidRPr="00CF0A7A" w:rsidRDefault="000E38BD" w:rsidP="00D51DB3">
      <w:pPr>
        <w:pStyle w:val="ARbody"/>
      </w:pPr>
      <w:r w:rsidRPr="00CF0A7A">
        <w:t>The department support</w:t>
      </w:r>
      <w:r>
        <w:t>s</w:t>
      </w:r>
      <w:r w:rsidRPr="00CF0A7A">
        <w:t xml:space="preserve"> the sector through large-scale recruitment campaigns such as Jobs that Matter, Go Where You</w:t>
      </w:r>
      <w:r w:rsidR="00711AE6">
        <w:t>’</w:t>
      </w:r>
      <w:r w:rsidRPr="00CF0A7A">
        <w:t xml:space="preserve">re Needed, and the inaugural Community and Social Services Graduate Program. </w:t>
      </w:r>
    </w:p>
    <w:p w14:paraId="610FA59F" w14:textId="77777777" w:rsidR="000E38BD" w:rsidRDefault="000E38BD" w:rsidP="00E466CA">
      <w:pPr>
        <w:pStyle w:val="Heading6"/>
        <w:rPr>
          <w:rFonts w:cs="Arial"/>
          <w:szCs w:val="20"/>
        </w:rPr>
      </w:pPr>
      <w:r w:rsidRPr="00D51DB3">
        <w:rPr>
          <w:rFonts w:eastAsia="MS Gothic"/>
        </w:rPr>
        <w:t xml:space="preserve">Jobs that </w:t>
      </w:r>
      <w:r w:rsidRPr="00E466CA">
        <w:rPr>
          <w:rFonts w:eastAsia="MS Gothic"/>
        </w:rPr>
        <w:t>Matter</w:t>
      </w:r>
      <w:r w:rsidRPr="00E41616">
        <w:rPr>
          <w:rFonts w:cs="Arial"/>
          <w:szCs w:val="20"/>
        </w:rPr>
        <w:t xml:space="preserve"> </w:t>
      </w:r>
    </w:p>
    <w:p w14:paraId="3051A100" w14:textId="4F9B18EF" w:rsidR="000E38BD" w:rsidRPr="00E41616" w:rsidRDefault="000E38BD" w:rsidP="00D51DB3">
      <w:pPr>
        <w:pStyle w:val="ARbody"/>
      </w:pPr>
      <w:r>
        <w:t>Jobs that Matter</w:t>
      </w:r>
      <w:r w:rsidRPr="00E41616">
        <w:t xml:space="preserve"> is the department</w:t>
      </w:r>
      <w:r w:rsidR="00711AE6">
        <w:t>’</w:t>
      </w:r>
      <w:r w:rsidRPr="00E41616">
        <w:t>s whole</w:t>
      </w:r>
      <w:r>
        <w:t>-</w:t>
      </w:r>
      <w:r w:rsidRPr="00E41616">
        <w:t>of</w:t>
      </w:r>
      <w:r>
        <w:t>-</w:t>
      </w:r>
      <w:r w:rsidRPr="00E41616">
        <w:t xml:space="preserve">sector recruitment campaign </w:t>
      </w:r>
      <w:r>
        <w:t>to recruit</w:t>
      </w:r>
      <w:r w:rsidRPr="00E41616">
        <w:t xml:space="preserve"> more people into community and social services roles across the state. This includes roles in child protection, children and families, housing and homelessness, family violence and </w:t>
      </w:r>
      <w:r w:rsidRPr="0AC301F7">
        <w:t xml:space="preserve">sexual </w:t>
      </w:r>
      <w:r w:rsidRPr="757775B0">
        <w:t>assault, and</w:t>
      </w:r>
      <w:r w:rsidRPr="5DF3E350">
        <w:t xml:space="preserve"> </w:t>
      </w:r>
      <w:r w:rsidRPr="00E41616">
        <w:t>disability support</w:t>
      </w:r>
      <w:r>
        <w:t xml:space="preserve"> sectors</w:t>
      </w:r>
      <w:r w:rsidRPr="00E41616">
        <w:t xml:space="preserve">. </w:t>
      </w:r>
    </w:p>
    <w:p w14:paraId="469A477B" w14:textId="4745CACF" w:rsidR="000E38BD" w:rsidRPr="00E41616" w:rsidRDefault="000E38BD" w:rsidP="00470AF7">
      <w:pPr>
        <w:pStyle w:val="ARbody"/>
      </w:pPr>
      <w:r w:rsidRPr="00E316D6">
        <w:rPr>
          <w:szCs w:val="20"/>
        </w:rPr>
        <w:t>The Victorian Government partnered with community</w:t>
      </w:r>
      <w:r w:rsidRPr="00E41616">
        <w:rPr>
          <w:szCs w:val="20"/>
        </w:rPr>
        <w:t xml:space="preserve"> </w:t>
      </w:r>
      <w:r w:rsidRPr="00E316D6">
        <w:rPr>
          <w:szCs w:val="20"/>
        </w:rPr>
        <w:t>services organisations to help recruit</w:t>
      </w:r>
      <w:r w:rsidR="00C22CA1">
        <w:rPr>
          <w:szCs w:val="20"/>
        </w:rPr>
        <w:t> </w:t>
      </w:r>
      <w:r w:rsidRPr="00E316D6">
        <w:rPr>
          <w:szCs w:val="20"/>
        </w:rPr>
        <w:t>the right people for the</w:t>
      </w:r>
      <w:r w:rsidRPr="00E41616">
        <w:rPr>
          <w:szCs w:val="20"/>
        </w:rPr>
        <w:t xml:space="preserve"> thousands of</w:t>
      </w:r>
      <w:r w:rsidR="00C22CA1">
        <w:rPr>
          <w:szCs w:val="20"/>
        </w:rPr>
        <w:t> </w:t>
      </w:r>
      <w:r w:rsidRPr="00E41616">
        <w:rPr>
          <w:szCs w:val="20"/>
        </w:rPr>
        <w:t>jobs</w:t>
      </w:r>
      <w:r w:rsidR="00C22CA1">
        <w:rPr>
          <w:szCs w:val="20"/>
        </w:rPr>
        <w:t> </w:t>
      </w:r>
      <w:r w:rsidRPr="00E41616">
        <w:rPr>
          <w:szCs w:val="20"/>
        </w:rPr>
        <w:t xml:space="preserve">available across the sector. </w:t>
      </w:r>
    </w:p>
    <w:p w14:paraId="27B5024A" w14:textId="2AB6CE74" w:rsidR="000E38BD" w:rsidRPr="00E41616" w:rsidRDefault="000E38BD" w:rsidP="00A47EB2">
      <w:pPr>
        <w:pStyle w:val="ARbody"/>
      </w:pPr>
      <w:r w:rsidRPr="00E41616">
        <w:t xml:space="preserve">The campaign ran with the </w:t>
      </w:r>
      <w:r w:rsidR="001C3E80">
        <w:t>tagline</w:t>
      </w:r>
      <w:r w:rsidR="001C3E80" w:rsidRPr="00E41616">
        <w:t xml:space="preserve"> </w:t>
      </w:r>
      <w:r w:rsidR="00711AE6">
        <w:rPr>
          <w:rStyle w:val="Emphasis"/>
          <w:i w:val="0"/>
          <w:iCs w:val="0"/>
        </w:rPr>
        <w:t>‘</w:t>
      </w:r>
      <w:r w:rsidRPr="00233486">
        <w:rPr>
          <w:rStyle w:val="Emphasis"/>
          <w:i w:val="0"/>
          <w:iCs w:val="0"/>
        </w:rPr>
        <w:t xml:space="preserve">Make a difference. Do a </w:t>
      </w:r>
      <w:r w:rsidR="00BC551E">
        <w:rPr>
          <w:rStyle w:val="Emphasis"/>
          <w:i w:val="0"/>
          <w:iCs w:val="0"/>
        </w:rPr>
        <w:t>j</w:t>
      </w:r>
      <w:r w:rsidR="00BC551E" w:rsidRPr="00233486">
        <w:rPr>
          <w:rStyle w:val="Emphasis"/>
          <w:i w:val="0"/>
          <w:iCs w:val="0"/>
        </w:rPr>
        <w:t xml:space="preserve">ob </w:t>
      </w:r>
      <w:r w:rsidRPr="00233486">
        <w:rPr>
          <w:rStyle w:val="Emphasis"/>
          <w:i w:val="0"/>
          <w:iCs w:val="0"/>
        </w:rPr>
        <w:t xml:space="preserve">that </w:t>
      </w:r>
      <w:r w:rsidR="00BC551E">
        <w:rPr>
          <w:rStyle w:val="Emphasis"/>
          <w:i w:val="0"/>
          <w:iCs w:val="0"/>
        </w:rPr>
        <w:t>m</w:t>
      </w:r>
      <w:r w:rsidR="00BC551E" w:rsidRPr="00233486">
        <w:rPr>
          <w:rStyle w:val="Emphasis"/>
          <w:i w:val="0"/>
          <w:iCs w:val="0"/>
        </w:rPr>
        <w:t>atters</w:t>
      </w:r>
      <w:r w:rsidR="00711AE6">
        <w:rPr>
          <w:rStyle w:val="Emphasis"/>
          <w:i w:val="0"/>
          <w:iCs w:val="0"/>
        </w:rPr>
        <w:t>’</w:t>
      </w:r>
      <w:r w:rsidR="00BC551E" w:rsidRPr="00233486">
        <w:rPr>
          <w:rStyle w:val="Emphasis"/>
          <w:i w:val="0"/>
          <w:iCs w:val="0"/>
        </w:rPr>
        <w:t xml:space="preserve"> </w:t>
      </w:r>
      <w:r w:rsidRPr="00E41616">
        <w:t xml:space="preserve">across the following channels: television, radio, regional newspapers, billboards and digital outdoor advertising, Spotify, cinema, YouTube, Weibo, Facebook, Instagram and Google search. </w:t>
      </w:r>
    </w:p>
    <w:p w14:paraId="6625AB18" w14:textId="20885EA5" w:rsidR="00E837F9" w:rsidRDefault="000E38BD" w:rsidP="00D51DB3">
      <w:pPr>
        <w:pStyle w:val="ARbody"/>
      </w:pPr>
      <w:r w:rsidRPr="00E41616">
        <w:t xml:space="preserve">The campaign roll-out included strategic communications </w:t>
      </w:r>
      <w:r w:rsidR="00711AE6">
        <w:t>‘</w:t>
      </w:r>
      <w:r w:rsidRPr="00E41616">
        <w:t>below-the-line</w:t>
      </w:r>
      <w:r w:rsidR="00711AE6">
        <w:t>’</w:t>
      </w:r>
      <w:r w:rsidRPr="00E41616">
        <w:t xml:space="preserve"> activities and was supported by recruitment events across</w:t>
      </w:r>
      <w:r w:rsidR="00D51DB3">
        <w:t> </w:t>
      </w:r>
      <w:r w:rsidRPr="00E41616">
        <w:t xml:space="preserve">Victoria. </w:t>
      </w:r>
      <w:r w:rsidR="00E837F9">
        <w:br w:type="page"/>
      </w:r>
    </w:p>
    <w:p w14:paraId="4E21AC3B" w14:textId="2AA3B55C" w:rsidR="000E38BD" w:rsidRDefault="000E38BD" w:rsidP="653A650F">
      <w:pPr>
        <w:pStyle w:val="Heading6"/>
        <w:rPr>
          <w:rFonts w:cs="Arial"/>
          <w:lang w:val="en-AU"/>
        </w:rPr>
      </w:pPr>
      <w:r w:rsidRPr="653A650F">
        <w:rPr>
          <w:rFonts w:eastAsia="MS Gothic"/>
          <w:lang w:val="en-AU"/>
        </w:rPr>
        <w:t>Go Where You</w:t>
      </w:r>
      <w:r w:rsidR="00711AE6">
        <w:rPr>
          <w:rFonts w:eastAsia="MS Gothic"/>
          <w:lang w:val="en-AU"/>
        </w:rPr>
        <w:t>’</w:t>
      </w:r>
      <w:r w:rsidRPr="653A650F">
        <w:rPr>
          <w:rFonts w:eastAsia="MS Gothic"/>
          <w:lang w:val="en-AU"/>
        </w:rPr>
        <w:t>re Needed</w:t>
      </w:r>
      <w:r w:rsidRPr="653A650F">
        <w:rPr>
          <w:rFonts w:cs="Arial"/>
          <w:lang w:val="en-AU"/>
        </w:rPr>
        <w:t xml:space="preserve"> </w:t>
      </w:r>
    </w:p>
    <w:p w14:paraId="7CD93E94" w14:textId="657166F5" w:rsidR="000E38BD" w:rsidRPr="00E41616" w:rsidRDefault="000E38BD" w:rsidP="00D51DB3">
      <w:pPr>
        <w:pStyle w:val="ARbody"/>
      </w:pPr>
      <w:r>
        <w:t>Go Where You</w:t>
      </w:r>
      <w:r w:rsidR="00711AE6">
        <w:t>’</w:t>
      </w:r>
      <w:r>
        <w:t>re Needed</w:t>
      </w:r>
      <w:r w:rsidRPr="00E41616">
        <w:t xml:space="preserve"> is an offshoot of the</w:t>
      </w:r>
      <w:r w:rsidR="00360EEA">
        <w:t> </w:t>
      </w:r>
      <w:r w:rsidRPr="00E41616">
        <w:t>Jobs that Matter campaign focusing solely on</w:t>
      </w:r>
      <w:r w:rsidR="00360EEA">
        <w:t> </w:t>
      </w:r>
      <w:r w:rsidRPr="00E41616">
        <w:t xml:space="preserve">recruitment into child protection roles. </w:t>
      </w:r>
    </w:p>
    <w:p w14:paraId="3542AA3A" w14:textId="4A87AB5B" w:rsidR="000E38BD" w:rsidRPr="00E41616" w:rsidRDefault="000E38BD" w:rsidP="00D51DB3">
      <w:pPr>
        <w:pStyle w:val="ARbody"/>
      </w:pPr>
      <w:r w:rsidRPr="00E41616">
        <w:t>The workforce campaign raises awareness of the positive difference people working for Victoria</w:t>
      </w:r>
      <w:r w:rsidR="00711AE6">
        <w:t>’</w:t>
      </w:r>
      <w:r w:rsidRPr="00E41616">
        <w:t>s Child Protection Service make to the lives of Victorian families every day.</w:t>
      </w:r>
    </w:p>
    <w:p w14:paraId="598953A7" w14:textId="1FC9C6F5" w:rsidR="000E38BD" w:rsidRPr="00E41616" w:rsidRDefault="000E38BD" w:rsidP="00D51DB3">
      <w:pPr>
        <w:pStyle w:val="ARbody"/>
      </w:pPr>
      <w:r w:rsidRPr="00E41616">
        <w:t xml:space="preserve">The campaign ran </w:t>
      </w:r>
      <w:r w:rsidR="00632A9F">
        <w:t xml:space="preserve">with the tagline ‘Go where you’re needed: Do a job that matters’ </w:t>
      </w:r>
      <w:r w:rsidRPr="00645AD0">
        <w:t>ac</w:t>
      </w:r>
      <w:r w:rsidRPr="00E41616">
        <w:t>ross the following channels: radio, regional newspapers, billboards and digital outdoor advertising, digital audio including Spotify, online job boards such as</w:t>
      </w:r>
      <w:r w:rsidR="009C6847">
        <w:t> </w:t>
      </w:r>
      <w:r w:rsidRPr="00E41616">
        <w:t xml:space="preserve">Seek, Weibo, Facebook, Instagram, LinkedIn, YouTube and Google search. </w:t>
      </w:r>
    </w:p>
    <w:p w14:paraId="045B0CAE" w14:textId="4C4E06F0" w:rsidR="000E38BD" w:rsidRPr="00E41616" w:rsidRDefault="000E38BD" w:rsidP="00D51DB3">
      <w:pPr>
        <w:pStyle w:val="ARbody"/>
      </w:pPr>
      <w:r w:rsidRPr="00E41616">
        <w:t>The campaign focused on regional locations to</w:t>
      </w:r>
      <w:r w:rsidR="00F82833">
        <w:t> </w:t>
      </w:r>
      <w:r w:rsidRPr="00E41616">
        <w:t xml:space="preserve">ensure advertising focused on locations with the highest vacancy rates. Localised campaign creative was rolled out across several regional locations including: Gippsland, the Mallee, Warrnambool, Mildura, Wodonga and the Goulburn Valley. </w:t>
      </w:r>
    </w:p>
    <w:p w14:paraId="34022EFA" w14:textId="77777777" w:rsidR="000E38BD" w:rsidRPr="00E41616" w:rsidRDefault="000E38BD" w:rsidP="00D51DB3">
      <w:pPr>
        <w:pStyle w:val="ARbody"/>
      </w:pPr>
      <w:r w:rsidRPr="00E41616">
        <w:t xml:space="preserve">To </w:t>
      </w:r>
      <w:r w:rsidRPr="00D51DB3">
        <w:t>address</w:t>
      </w:r>
      <w:r w:rsidRPr="00E41616">
        <w:t xml:space="preserve"> large workforce vacancies in </w:t>
      </w:r>
      <w:r w:rsidRPr="00D51DB3">
        <w:t>Gippsland</w:t>
      </w:r>
      <w:r w:rsidRPr="00E41616">
        <w:t xml:space="preserve">, the department also ran a localised recruitment campaign in Gippsland. </w:t>
      </w:r>
    </w:p>
    <w:p w14:paraId="35898F22" w14:textId="1BCD7D90" w:rsidR="000E38BD" w:rsidRDefault="000E38BD" w:rsidP="00D51DB3">
      <w:pPr>
        <w:pStyle w:val="Heading6"/>
        <w:rPr>
          <w:rFonts w:cs="Arial"/>
          <w:szCs w:val="20"/>
        </w:rPr>
      </w:pPr>
      <w:r w:rsidRPr="00D51DB3">
        <w:rPr>
          <w:rFonts w:eastAsia="MS Gothic"/>
        </w:rPr>
        <w:t>The Community and Social Services Graduate</w:t>
      </w:r>
      <w:r w:rsidR="00E837F9">
        <w:rPr>
          <w:rFonts w:eastAsia="MS Gothic"/>
        </w:rPr>
        <w:t> </w:t>
      </w:r>
      <w:r w:rsidRPr="00D51DB3">
        <w:rPr>
          <w:rFonts w:eastAsia="MS Gothic"/>
        </w:rPr>
        <w:t>Program</w:t>
      </w:r>
      <w:r w:rsidRPr="00E41616">
        <w:rPr>
          <w:rFonts w:cs="Arial"/>
          <w:szCs w:val="20"/>
        </w:rPr>
        <w:t xml:space="preserve"> </w:t>
      </w:r>
    </w:p>
    <w:p w14:paraId="5F1168E6" w14:textId="257AF121" w:rsidR="000E38BD" w:rsidRPr="00E41616" w:rsidRDefault="000E38BD" w:rsidP="00D51DB3">
      <w:pPr>
        <w:pStyle w:val="ARbody"/>
      </w:pPr>
      <w:r>
        <w:t xml:space="preserve">This program </w:t>
      </w:r>
      <w:r w:rsidRPr="00E41616">
        <w:t>provides a pathway for new graduates to begin work in the Victorian communication and social services sector. The</w:t>
      </w:r>
      <w:r w:rsidR="00FD5D62">
        <w:t> </w:t>
      </w:r>
      <w:r w:rsidRPr="00E41616">
        <w:t>program aims to increase the number of</w:t>
      </w:r>
      <w:r w:rsidR="00C22CA1">
        <w:t> </w:t>
      </w:r>
      <w:r w:rsidRPr="00E41616">
        <w:t>graduates entering and staying employed in</w:t>
      </w:r>
      <w:r w:rsidR="00C22CA1">
        <w:t> </w:t>
      </w:r>
      <w:r w:rsidRPr="00E41616">
        <w:t>the</w:t>
      </w:r>
      <w:r w:rsidR="00E837F9">
        <w:t> </w:t>
      </w:r>
      <w:r w:rsidRPr="00E41616">
        <w:t>sector.</w:t>
      </w:r>
      <w:r w:rsidR="008C56FC">
        <w:br w:type="column"/>
      </w:r>
      <w:r w:rsidRPr="00E41616">
        <w:t xml:space="preserve">The program is a learning and development opportunity for graduates from a range of </w:t>
      </w:r>
      <w:r>
        <w:t>d</w:t>
      </w:r>
      <w:r w:rsidRPr="00E41616">
        <w:t xml:space="preserve">iploma, </w:t>
      </w:r>
      <w:r>
        <w:t>b</w:t>
      </w:r>
      <w:r w:rsidRPr="00E41616">
        <w:t xml:space="preserve">achelor and </w:t>
      </w:r>
      <w:r>
        <w:t>m</w:t>
      </w:r>
      <w:r w:rsidRPr="00E41616">
        <w:t>asters qualifications in the field of</w:t>
      </w:r>
      <w:r w:rsidR="009C6847">
        <w:t> </w:t>
      </w:r>
      <w:r w:rsidRPr="00E41616">
        <w:t>community and social services.</w:t>
      </w:r>
      <w:r w:rsidR="00D90552">
        <w:t xml:space="preserve"> </w:t>
      </w:r>
    </w:p>
    <w:p w14:paraId="39F22EAD" w14:textId="2ADE86B1" w:rsidR="000E38BD" w:rsidRPr="00E41616" w:rsidRDefault="000E38BD" w:rsidP="00D51DB3">
      <w:pPr>
        <w:pStyle w:val="ARbody"/>
      </w:pPr>
      <w:r w:rsidRPr="00E41616">
        <w:t xml:space="preserve">The program was developed by the </w:t>
      </w:r>
      <w:r>
        <w:t>d</w:t>
      </w:r>
      <w:r w:rsidRPr="00E41616">
        <w:t>epartment in</w:t>
      </w:r>
      <w:r w:rsidR="00360EEA">
        <w:t> </w:t>
      </w:r>
      <w:r w:rsidRPr="00E41616">
        <w:t>consultation with the social and community services sector peak bodies and employers as</w:t>
      </w:r>
      <w:r w:rsidR="00360EEA">
        <w:t> </w:t>
      </w:r>
      <w:r w:rsidRPr="00E41616">
        <w:t>well as the university and TAFE</w:t>
      </w:r>
      <w:r w:rsidR="00FD5D62">
        <w:t> </w:t>
      </w:r>
      <w:r w:rsidRPr="00E41616">
        <w:t>sector.</w:t>
      </w:r>
    </w:p>
    <w:p w14:paraId="1AF564A3" w14:textId="5B6882BA" w:rsidR="000E38BD" w:rsidRPr="00E41616" w:rsidRDefault="000E38BD" w:rsidP="00FD5D62">
      <w:pPr>
        <w:pStyle w:val="ARbody"/>
      </w:pPr>
      <w:r w:rsidRPr="00E41616">
        <w:t>Graduates are matched with paid roles with community and social services organisations across Victoria. Participants are supported in their</w:t>
      </w:r>
      <w:r w:rsidR="00360EEA">
        <w:t> </w:t>
      </w:r>
      <w:r w:rsidRPr="00E41616">
        <w:t>employment with 12</w:t>
      </w:r>
      <w:r>
        <w:t xml:space="preserve"> </w:t>
      </w:r>
      <w:r w:rsidRPr="00E41616">
        <w:t>months of learning and</w:t>
      </w:r>
      <w:r w:rsidR="00360EEA">
        <w:t> </w:t>
      </w:r>
      <w:r w:rsidRPr="00E41616">
        <w:t>professional development provided by</w:t>
      </w:r>
      <w:r w:rsidR="00360EEA">
        <w:t> </w:t>
      </w:r>
      <w:r w:rsidRPr="00E41616">
        <w:t>the</w:t>
      </w:r>
      <w:r w:rsidR="00FD5D62">
        <w:t> </w:t>
      </w:r>
      <w:r w:rsidRPr="00E41616">
        <w:t xml:space="preserve">program. </w:t>
      </w:r>
    </w:p>
    <w:p w14:paraId="5322871F" w14:textId="5EB89EF2" w:rsidR="000E38BD" w:rsidRDefault="000E38BD" w:rsidP="00FD5D62">
      <w:pPr>
        <w:pStyle w:val="ARbody"/>
        <w:rPr>
          <w:szCs w:val="20"/>
        </w:rPr>
      </w:pPr>
      <w:r w:rsidRPr="00E41616">
        <w:t>Applications for the first intake opened Monday 3</w:t>
      </w:r>
      <w:r w:rsidR="00E837F9">
        <w:t> </w:t>
      </w:r>
      <w:r w:rsidRPr="00E41616">
        <w:t xml:space="preserve">June 2024 and </w:t>
      </w:r>
      <w:r w:rsidRPr="00FD5D62">
        <w:t>closed</w:t>
      </w:r>
      <w:r w:rsidRPr="00E41616">
        <w:t xml:space="preserve"> Friday 12 July 2024. A</w:t>
      </w:r>
      <w:r w:rsidR="00E837F9">
        <w:t> </w:t>
      </w:r>
      <w:r w:rsidRPr="00E41616">
        <w:t>second intake round is scheduled for late</w:t>
      </w:r>
      <w:r w:rsidR="00FD5D62">
        <w:t> </w:t>
      </w:r>
      <w:r w:rsidRPr="00E41616">
        <w:t>2024.</w:t>
      </w:r>
    </w:p>
    <w:p w14:paraId="6EA69C28" w14:textId="2DBB5D2E" w:rsidR="000E38BD" w:rsidRPr="0066618F" w:rsidRDefault="000E38BD" w:rsidP="00FD5D62">
      <w:pPr>
        <w:pStyle w:val="Heading5"/>
        <w:rPr>
          <w:rFonts w:eastAsia="MS Mincho"/>
        </w:rPr>
      </w:pPr>
      <w:r w:rsidRPr="0066618F">
        <w:rPr>
          <w:rFonts w:eastAsia="MS Mincho"/>
        </w:rPr>
        <w:t>Supporting students seeking a career in</w:t>
      </w:r>
      <w:r w:rsidR="00C22CA1">
        <w:rPr>
          <w:rFonts w:eastAsia="MS Mincho"/>
        </w:rPr>
        <w:t> </w:t>
      </w:r>
      <w:r w:rsidRPr="0066618F">
        <w:rPr>
          <w:rFonts w:eastAsia="MS Mincho"/>
        </w:rPr>
        <w:t xml:space="preserve">social </w:t>
      </w:r>
      <w:r w:rsidRPr="00FD5D62">
        <w:rPr>
          <w:rFonts w:eastAsia="MS Mincho"/>
        </w:rPr>
        <w:t>work</w:t>
      </w:r>
    </w:p>
    <w:p w14:paraId="08C199F4" w14:textId="67864A2F" w:rsidR="000E38BD" w:rsidRDefault="000E38BD" w:rsidP="00FD5D62">
      <w:pPr>
        <w:pStyle w:val="ARbody"/>
      </w:pPr>
      <w:r>
        <w:t>The Inclusion Scholarships for Social Work Placements Program provides scholarships (grants) of $7,500 for Bachelor or Master of Social Work students undertaking mandatory practical field placements through Victorian</w:t>
      </w:r>
      <w:r w:rsidR="00E466CA">
        <w:t> </w:t>
      </w:r>
      <w:r>
        <w:t xml:space="preserve">universities. </w:t>
      </w:r>
    </w:p>
    <w:p w14:paraId="063BDD04" w14:textId="16DA8D0F" w:rsidR="000E38BD" w:rsidRDefault="000E38BD" w:rsidP="00FD5D62">
      <w:pPr>
        <w:pStyle w:val="ARbody"/>
        <w:sectPr w:rsidR="000E38BD" w:rsidSect="005936D2">
          <w:type w:val="continuous"/>
          <w:pgSz w:w="11906" w:h="16838"/>
          <w:pgMar w:top="1701" w:right="1134" w:bottom="851" w:left="1134" w:header="709" w:footer="709" w:gutter="0"/>
          <w:cols w:num="2" w:space="708"/>
          <w:docGrid w:linePitch="360"/>
        </w:sectPr>
      </w:pPr>
      <w:r>
        <w:t>Scholarships are targeted at providing support for</w:t>
      </w:r>
      <w:r w:rsidR="00360EEA">
        <w:t> </w:t>
      </w:r>
      <w:r>
        <w:t>students who face greater barriers to degree completion, including students from key demographic cohorts, are financially disadvantaged, and/or have lived experience of</w:t>
      </w:r>
      <w:r w:rsidR="00F82833">
        <w:t> </w:t>
      </w:r>
      <w:r>
        <w:t>using community services. There have been 290</w:t>
      </w:r>
      <w:r w:rsidR="00F82833">
        <w:t> </w:t>
      </w:r>
      <w:r>
        <w:t>scholarships approved across rounds 1</w:t>
      </w:r>
      <w:r w:rsidR="00F82833">
        <w:t> </w:t>
      </w:r>
      <w:r>
        <w:t>and</w:t>
      </w:r>
      <w:r w:rsidR="00F82833">
        <w:t> </w:t>
      </w:r>
      <w:r>
        <w:t>2.</w:t>
      </w:r>
    </w:p>
    <w:p w14:paraId="419A9ED8" w14:textId="77777777" w:rsidR="000E38BD" w:rsidRPr="001E2448" w:rsidRDefault="000E38BD" w:rsidP="00C24BF2">
      <w:pPr>
        <w:pStyle w:val="Heading3"/>
        <w:spacing w:before="0"/>
      </w:pPr>
      <w:r w:rsidRPr="004B4085">
        <w:t xml:space="preserve">Objective </w:t>
      </w:r>
      <w:r>
        <w:t xml:space="preserve">– </w:t>
      </w:r>
      <w:r w:rsidRPr="002C5A03">
        <w:t>Aboriginal</w:t>
      </w:r>
      <w:r w:rsidRPr="004B4085">
        <w:t xml:space="preserve"> voice, knowledge and cultural leadership drive Aboriginal policy, legislation and system reform</w:t>
      </w:r>
      <w:r>
        <w:t xml:space="preserve"> </w:t>
      </w:r>
    </w:p>
    <w:p w14:paraId="63CCADBE" w14:textId="6BB69CA0" w:rsidR="000E38BD" w:rsidRDefault="000E38BD" w:rsidP="00FD5D62">
      <w:pPr>
        <w:pStyle w:val="ARbody"/>
      </w:pPr>
      <w:r>
        <w:t>Self-d</w:t>
      </w:r>
      <w:r w:rsidRPr="00D0359C">
        <w:t xml:space="preserve">etermination enables </w:t>
      </w:r>
      <w:r>
        <w:t xml:space="preserve">the wellbeing of Aboriginal Victorians. Systems and structures that inhibit </w:t>
      </w:r>
      <w:r w:rsidR="00E837F9">
        <w:br/>
      </w:r>
      <w:r>
        <w:t xml:space="preserve">self-determination are actively addressed with </w:t>
      </w:r>
      <w:r w:rsidRPr="00FD5D62">
        <w:t>the</w:t>
      </w:r>
      <w:r>
        <w:t xml:space="preserve"> partnership and leadership of the Victorian Aboriginal</w:t>
      </w:r>
      <w:r w:rsidR="00FD5D62">
        <w:t> </w:t>
      </w:r>
      <w:r>
        <w:t>community.</w:t>
      </w:r>
    </w:p>
    <w:p w14:paraId="3E3233BB" w14:textId="77777777" w:rsidR="000E38BD" w:rsidRDefault="000E38BD" w:rsidP="00FD5D62">
      <w:pPr>
        <w:pStyle w:val="Heading4"/>
      </w:pPr>
      <w:r w:rsidRPr="00532DAE">
        <w:t xml:space="preserve">Key initiatives and </w:t>
      </w:r>
      <w:r w:rsidRPr="00FD5D62">
        <w:t>projects</w:t>
      </w:r>
    </w:p>
    <w:p w14:paraId="26F76161" w14:textId="77777777" w:rsidR="000E38BD" w:rsidRDefault="000E38BD" w:rsidP="0088621E">
      <w:pPr>
        <w:pStyle w:val="ARbody"/>
        <w:sectPr w:rsidR="000E38BD" w:rsidSect="005936D2">
          <w:headerReference w:type="even" r:id="rId74"/>
          <w:footerReference w:type="even" r:id="rId75"/>
          <w:footerReference w:type="default" r:id="rId76"/>
          <w:headerReference w:type="first" r:id="rId77"/>
          <w:footerReference w:type="first" r:id="rId78"/>
          <w:footnotePr>
            <w:numFmt w:val="lowerRoman"/>
            <w:numRestart w:val="eachPage"/>
          </w:footnotePr>
          <w:endnotePr>
            <w:numFmt w:val="decimal"/>
          </w:endnotePr>
          <w:pgSz w:w="11900" w:h="16840" w:code="9"/>
          <w:pgMar w:top="1701" w:right="1134" w:bottom="851" w:left="1134" w:header="510" w:footer="340" w:gutter="0"/>
          <w:cols w:space="720"/>
        </w:sectPr>
      </w:pPr>
    </w:p>
    <w:p w14:paraId="7B5F94E9" w14:textId="77777777" w:rsidR="000E38BD" w:rsidRPr="004B7EF9" w:rsidRDefault="000E38BD" w:rsidP="00FD5D62">
      <w:pPr>
        <w:pStyle w:val="Heading5"/>
        <w:rPr>
          <w:rFonts w:eastAsia="MS Mincho"/>
        </w:rPr>
      </w:pPr>
      <w:r w:rsidRPr="004B7EF9">
        <w:rPr>
          <w:rFonts w:eastAsia="MS Mincho"/>
        </w:rPr>
        <w:t xml:space="preserve">Aboriginal Self-determination and Outcomes </w:t>
      </w:r>
      <w:r w:rsidRPr="00FD5D62">
        <w:rPr>
          <w:rFonts w:eastAsia="MS Mincho"/>
        </w:rPr>
        <w:t>Division</w:t>
      </w:r>
      <w:r w:rsidRPr="004B7EF9">
        <w:rPr>
          <w:rFonts w:eastAsia="MS Mincho"/>
        </w:rPr>
        <w:t> </w:t>
      </w:r>
    </w:p>
    <w:p w14:paraId="1CE0A436" w14:textId="198D61D6" w:rsidR="000E38BD" w:rsidRPr="00DC2188" w:rsidRDefault="000E38BD" w:rsidP="00FD5D62">
      <w:pPr>
        <w:pStyle w:val="ARbody"/>
      </w:pPr>
      <w:r w:rsidRPr="00DC2188">
        <w:t>The Aboriginal Self-determination and Outcomes</w:t>
      </w:r>
      <w:r>
        <w:t xml:space="preserve"> (ASDO)</w:t>
      </w:r>
      <w:r w:rsidRPr="00DC2188">
        <w:t xml:space="preserve"> Division provides a lens of Aboriginal ways of knowing, being and doing, to department-wide policy development and service delivery. It is an Aboriginal-led division, with an Aboriginal Deputy Secretary, </w:t>
      </w:r>
      <w:r w:rsidR="009D641C">
        <w:t>3</w:t>
      </w:r>
      <w:r w:rsidRPr="00DC2188">
        <w:t xml:space="preserve"> Aboriginal Executive Directors and </w:t>
      </w:r>
      <w:r w:rsidR="00F95AC7">
        <w:t>7</w:t>
      </w:r>
      <w:r w:rsidR="00D21498">
        <w:t> </w:t>
      </w:r>
      <w:r w:rsidRPr="00DC2188">
        <w:t>Aboriginal Directors. </w:t>
      </w:r>
    </w:p>
    <w:p w14:paraId="71085EF1" w14:textId="13EEF074" w:rsidR="000E38BD" w:rsidRPr="00DC2188" w:rsidRDefault="000E38BD" w:rsidP="00FD5D62">
      <w:pPr>
        <w:pStyle w:val="ARbody"/>
      </w:pPr>
      <w:r w:rsidRPr="00DC2188">
        <w:t>The division supports connection, collaboration, and advocacy across all divisions and program areas of the department.</w:t>
      </w:r>
    </w:p>
    <w:p w14:paraId="692F2DA6" w14:textId="08C19AAF" w:rsidR="000E38BD" w:rsidRPr="00DC2188" w:rsidRDefault="000E38BD" w:rsidP="00FD5D62">
      <w:pPr>
        <w:pStyle w:val="ARbody"/>
      </w:pPr>
      <w:r w:rsidRPr="00DC2188">
        <w:t>The division is a critical interface between operational and policy areas of the department, translating policy to support successful implementation in the community. The division works in partnership with Aboriginal organisations and community service organisations to improve responsive service delivery in the community. This includes a focus on local solutions, and embedding self-determination in place-based decision-making and in the implementation of key state and national Aboriginal frameworks.</w:t>
      </w:r>
    </w:p>
    <w:p w14:paraId="51F71AEF" w14:textId="131801F3" w:rsidR="000E38BD" w:rsidRDefault="000E38BD" w:rsidP="00FD5D62">
      <w:pPr>
        <w:pStyle w:val="ARbody"/>
      </w:pPr>
      <w:r w:rsidRPr="00DC2188">
        <w:t>The division also supports the department</w:t>
      </w:r>
      <w:r w:rsidR="00711AE6">
        <w:t>’</w:t>
      </w:r>
      <w:r w:rsidRPr="00DC2188">
        <w:t>s participation and response to the Yoorrook Justice Commission and in its preparation for upcoming Treaty negotiations.</w:t>
      </w:r>
    </w:p>
    <w:p w14:paraId="0FD136AB" w14:textId="77777777" w:rsidR="000E38BD" w:rsidRPr="004B7EF9" w:rsidRDefault="000E38BD" w:rsidP="00207901">
      <w:pPr>
        <w:pStyle w:val="Heading5"/>
        <w:rPr>
          <w:rFonts w:eastAsia="MS Mincho"/>
        </w:rPr>
      </w:pPr>
      <w:r w:rsidRPr="004B7EF9">
        <w:rPr>
          <w:rFonts w:eastAsia="MS Mincho"/>
        </w:rPr>
        <w:t>Korin Korin Balit-Djak</w:t>
      </w:r>
    </w:p>
    <w:p w14:paraId="682AEA8D" w14:textId="1B0F7AAE" w:rsidR="000E38BD" w:rsidRDefault="000E38BD" w:rsidP="00FD5D62">
      <w:pPr>
        <w:pStyle w:val="ARbody"/>
      </w:pPr>
      <w:r w:rsidRPr="00F64CF1">
        <w:rPr>
          <w:rStyle w:val="Emphasis"/>
        </w:rPr>
        <w:t>Korin Korin Balit-Djak i</w:t>
      </w:r>
      <w:r w:rsidRPr="00BF4433">
        <w:t xml:space="preserve">s the </w:t>
      </w:r>
      <w:r>
        <w:t>d</w:t>
      </w:r>
      <w:r w:rsidRPr="00BF4433">
        <w:t>epartment</w:t>
      </w:r>
      <w:r w:rsidR="00711AE6">
        <w:t>’</w:t>
      </w:r>
      <w:r>
        <w:t>s</w:t>
      </w:r>
      <w:r w:rsidRPr="00BF4433">
        <w:t xml:space="preserve"> overarching Aboriginal strategy that provides the systems transformation architecture to bring alignment across national and state policy frameworks including</w:t>
      </w:r>
      <w:r>
        <w:t>:</w:t>
      </w:r>
    </w:p>
    <w:p w14:paraId="51751869" w14:textId="3BE22FEA" w:rsidR="000E38BD" w:rsidRDefault="000E38BD" w:rsidP="00FD5D62">
      <w:pPr>
        <w:pStyle w:val="ARbullet1"/>
      </w:pPr>
      <w:r w:rsidRPr="00BF4433">
        <w:t xml:space="preserve">the </w:t>
      </w:r>
      <w:r w:rsidRPr="00FD5D62">
        <w:t>Closing</w:t>
      </w:r>
      <w:r w:rsidRPr="00BF4433">
        <w:t xml:space="preserve"> the Gap Agreement</w:t>
      </w:r>
    </w:p>
    <w:p w14:paraId="14365149" w14:textId="6F550184" w:rsidR="000E38BD" w:rsidRDefault="000E38BD" w:rsidP="0088621E">
      <w:pPr>
        <w:pStyle w:val="ARbullet1"/>
      </w:pPr>
      <w:r w:rsidRPr="00BF4433">
        <w:t>Victorian Self-Determination Reform</w:t>
      </w:r>
      <w:r w:rsidR="00B45A17">
        <w:t> </w:t>
      </w:r>
      <w:r w:rsidRPr="00BF4433">
        <w:t>Framework</w:t>
      </w:r>
    </w:p>
    <w:p w14:paraId="02D90888" w14:textId="2B28192B" w:rsidR="000E38BD" w:rsidRDefault="000E38BD" w:rsidP="0088621E">
      <w:pPr>
        <w:pStyle w:val="ARbullet1"/>
      </w:pPr>
      <w:r w:rsidRPr="00BF4433">
        <w:t>Victorian Aboriginal Affairs Framework</w:t>
      </w:r>
    </w:p>
    <w:p w14:paraId="5B2906EC" w14:textId="3C5A55F9" w:rsidR="000E38BD" w:rsidRPr="00233486" w:rsidRDefault="000E38BD" w:rsidP="0088621E">
      <w:pPr>
        <w:pStyle w:val="ARbullet1"/>
        <w:rPr>
          <w:i/>
          <w:iCs/>
        </w:rPr>
      </w:pPr>
      <w:r w:rsidRPr="00233486">
        <w:rPr>
          <w:i/>
          <w:iCs/>
        </w:rPr>
        <w:t>Wungurilwil Gapgapduir</w:t>
      </w:r>
    </w:p>
    <w:p w14:paraId="4FFB6A72" w14:textId="70A0F2A4" w:rsidR="000E38BD" w:rsidRPr="00233486" w:rsidRDefault="000E38BD" w:rsidP="0088621E">
      <w:pPr>
        <w:pStyle w:val="ARbullet1"/>
        <w:rPr>
          <w:i/>
          <w:iCs/>
        </w:rPr>
      </w:pPr>
      <w:r w:rsidRPr="00233486">
        <w:rPr>
          <w:i/>
          <w:iCs/>
        </w:rPr>
        <w:t xml:space="preserve">Mana-na-worn-tyeen maar-takoort </w:t>
      </w:r>
    </w:p>
    <w:p w14:paraId="7B2F78AB" w14:textId="1AFAAEBE" w:rsidR="000E38BD" w:rsidRPr="00233486" w:rsidRDefault="000E38BD" w:rsidP="00FD5D62">
      <w:pPr>
        <w:pStyle w:val="ARbullet1"/>
        <w:rPr>
          <w:i/>
          <w:iCs/>
        </w:rPr>
      </w:pPr>
      <w:r w:rsidRPr="00233486">
        <w:rPr>
          <w:i/>
          <w:iCs/>
        </w:rPr>
        <w:t>Dhelk Dja: Safe Our Way.</w:t>
      </w:r>
      <w:r w:rsidR="00D90552" w:rsidRPr="00233486">
        <w:rPr>
          <w:i/>
          <w:iCs/>
        </w:rPr>
        <w:t xml:space="preserve"> </w:t>
      </w:r>
    </w:p>
    <w:p w14:paraId="67352F7B" w14:textId="27FCC4A6" w:rsidR="000E38BD" w:rsidRPr="00BF4433" w:rsidRDefault="000E38BD" w:rsidP="00FD5D62">
      <w:pPr>
        <w:pStyle w:val="ARbody"/>
      </w:pPr>
      <w:r w:rsidRPr="00F64CF1">
        <w:rPr>
          <w:rStyle w:val="Emphasis"/>
        </w:rPr>
        <w:t xml:space="preserve">Korin Korin Balit-Djak </w:t>
      </w:r>
      <w:r w:rsidRPr="00BF4433">
        <w:t xml:space="preserve">has </w:t>
      </w:r>
      <w:r>
        <w:t>5</w:t>
      </w:r>
      <w:r w:rsidRPr="00BF4433">
        <w:t xml:space="preserve"> reform areas </w:t>
      </w:r>
      <w:r w:rsidRPr="00FD5D62">
        <w:t>that</w:t>
      </w:r>
      <w:r w:rsidRPr="00BF4433">
        <w:t xml:space="preserve"> aim to transform the service system for Aboriginal people including:</w:t>
      </w:r>
      <w:r w:rsidR="00D90552">
        <w:t xml:space="preserve"> </w:t>
      </w:r>
    </w:p>
    <w:p w14:paraId="7E6B6928" w14:textId="4DC3C7AD" w:rsidR="000E38BD" w:rsidRPr="00BF4433" w:rsidRDefault="000E38BD" w:rsidP="0088621E">
      <w:pPr>
        <w:pStyle w:val="ARbullet1"/>
      </w:pPr>
      <w:r>
        <w:t>g</w:t>
      </w:r>
      <w:r w:rsidRPr="00BF4433">
        <w:t>overnance and self-determination</w:t>
      </w:r>
      <w:r w:rsidR="00D90552">
        <w:t xml:space="preserve"> </w:t>
      </w:r>
    </w:p>
    <w:p w14:paraId="79AE1DD0" w14:textId="4BA7FA15" w:rsidR="000E38BD" w:rsidRPr="00BF4433" w:rsidRDefault="000E38BD" w:rsidP="0088621E">
      <w:pPr>
        <w:pStyle w:val="ARbullet1"/>
      </w:pPr>
      <w:r>
        <w:t>l</w:t>
      </w:r>
      <w:r w:rsidRPr="00BF4433">
        <w:t>eadership and workforce</w:t>
      </w:r>
      <w:r w:rsidR="00D90552">
        <w:t xml:space="preserve"> </w:t>
      </w:r>
    </w:p>
    <w:p w14:paraId="27BA9F30" w14:textId="4190EB01" w:rsidR="000E38BD" w:rsidRPr="0047700C" w:rsidRDefault="000E38BD" w:rsidP="0088621E">
      <w:pPr>
        <w:pStyle w:val="ARbullet1"/>
      </w:pPr>
      <w:r>
        <w:t>d</w:t>
      </w:r>
      <w:r w:rsidRPr="0047700C">
        <w:t>ata and knowledge</w:t>
      </w:r>
      <w:r w:rsidR="00D90552">
        <w:t xml:space="preserve"> </w:t>
      </w:r>
    </w:p>
    <w:p w14:paraId="3D79BA32" w14:textId="2BE10ADF" w:rsidR="000E38BD" w:rsidRPr="0047700C" w:rsidRDefault="000E38BD" w:rsidP="0088621E">
      <w:pPr>
        <w:pStyle w:val="ARbullet1"/>
      </w:pPr>
      <w:r>
        <w:t>f</w:t>
      </w:r>
      <w:r w:rsidRPr="0047700C">
        <w:t>unding and commissioning</w:t>
      </w:r>
      <w:r w:rsidR="00D90552">
        <w:t xml:space="preserve"> </w:t>
      </w:r>
    </w:p>
    <w:p w14:paraId="01E8EE21" w14:textId="660797CC" w:rsidR="000E38BD" w:rsidRPr="00A15771" w:rsidRDefault="000E38BD" w:rsidP="0088621E">
      <w:pPr>
        <w:pStyle w:val="ARbullet1"/>
      </w:pPr>
      <w:r>
        <w:t>c</w:t>
      </w:r>
      <w:r w:rsidRPr="0047700C">
        <w:t>ultural competency and safety.</w:t>
      </w:r>
      <w:r w:rsidR="00D90552">
        <w:t xml:space="preserve"> </w:t>
      </w:r>
    </w:p>
    <w:p w14:paraId="600412EC" w14:textId="69897ED4" w:rsidR="000E38BD" w:rsidRDefault="000E38BD" w:rsidP="00FD5D62">
      <w:pPr>
        <w:pStyle w:val="ARbodyafterbullets"/>
      </w:pPr>
      <w:r w:rsidRPr="002F6830">
        <w:t>The Aboriginal Strategic Governance Forum is</w:t>
      </w:r>
      <w:r w:rsidR="00C22CA1">
        <w:t> </w:t>
      </w:r>
      <w:r w:rsidRPr="002F6830">
        <w:t>the</w:t>
      </w:r>
      <w:r w:rsidR="00C22CA1">
        <w:t> </w:t>
      </w:r>
      <w:r w:rsidRPr="002F6830">
        <w:t>department</w:t>
      </w:r>
      <w:r w:rsidR="00711AE6">
        <w:t>’</w:t>
      </w:r>
      <w:r w:rsidRPr="002F6830">
        <w:t>s overarching Aboriginal</w:t>
      </w:r>
      <w:r>
        <w:t>-</w:t>
      </w:r>
      <w:r w:rsidRPr="002F6830">
        <w:t>led governance structure. It sets and oversees strategic direction in the context of system transformation that cuts across the departmental portfolio areas of</w:t>
      </w:r>
      <w:r w:rsidR="00C22CA1">
        <w:t> </w:t>
      </w:r>
      <w:r w:rsidRPr="002F6830">
        <w:t>child protection, family violence and housing.</w:t>
      </w:r>
    </w:p>
    <w:p w14:paraId="1756C4A7" w14:textId="77777777" w:rsidR="000E38BD" w:rsidRPr="000874D0" w:rsidRDefault="000E38BD" w:rsidP="00207901">
      <w:pPr>
        <w:pStyle w:val="Heading5"/>
        <w:rPr>
          <w:rFonts w:eastAsia="MS Mincho"/>
        </w:rPr>
      </w:pPr>
      <w:r w:rsidRPr="000874D0">
        <w:rPr>
          <w:rFonts w:eastAsia="MS Mincho"/>
        </w:rPr>
        <w:t>Response to Yoorrook Justice Commission </w:t>
      </w:r>
    </w:p>
    <w:p w14:paraId="76C2E7C6" w14:textId="5AD37197" w:rsidR="000E38BD" w:rsidRPr="00177A14" w:rsidRDefault="000E38BD" w:rsidP="00FD5D62">
      <w:pPr>
        <w:pStyle w:val="ARbody"/>
      </w:pPr>
      <w:r w:rsidRPr="00177A14">
        <w:t>The Yoorrook Justice Commission (the commission) is the nation</w:t>
      </w:r>
      <w:r w:rsidR="00711AE6">
        <w:t>’</w:t>
      </w:r>
      <w:r w:rsidRPr="00177A14">
        <w:t xml:space="preserve">s first formal truth-telling process to </w:t>
      </w:r>
      <w:r w:rsidRPr="00FD5D62">
        <w:t>investigate</w:t>
      </w:r>
      <w:r w:rsidRPr="00177A14">
        <w:t xml:space="preserve"> historical and ongoing injustices experienced by First Peoples in Victoria since colonisation. It was established in May 2021 and has the same powers as any Royal</w:t>
      </w:r>
      <w:r w:rsidR="00FD5D62">
        <w:t> </w:t>
      </w:r>
      <w:r w:rsidRPr="00177A14">
        <w:t>Commission. </w:t>
      </w:r>
    </w:p>
    <w:p w14:paraId="2E427E1B" w14:textId="1F81E206" w:rsidR="000E38BD" w:rsidRDefault="000E38BD" w:rsidP="00FD5D62">
      <w:pPr>
        <w:pStyle w:val="ARbody"/>
        <w:rPr>
          <w:szCs w:val="20"/>
        </w:rPr>
      </w:pPr>
      <w:r>
        <w:t>On 4 September</w:t>
      </w:r>
      <w:r w:rsidRPr="00177A14">
        <w:t xml:space="preserve"> 2023, the </w:t>
      </w:r>
      <w:r>
        <w:t>C</w:t>
      </w:r>
      <w:r w:rsidRPr="00177A14">
        <w:t xml:space="preserve">ommission released </w:t>
      </w:r>
      <w:r w:rsidRPr="00F64CF1">
        <w:rPr>
          <w:rStyle w:val="Emphasis"/>
        </w:rPr>
        <w:t xml:space="preserve">Yoorrook for </w:t>
      </w:r>
      <w:r w:rsidR="005552DD">
        <w:rPr>
          <w:rStyle w:val="Emphasis"/>
        </w:rPr>
        <w:t>j</w:t>
      </w:r>
      <w:r w:rsidRPr="00F64CF1">
        <w:rPr>
          <w:rStyle w:val="Emphasis"/>
        </w:rPr>
        <w:t xml:space="preserve">ustice: </w:t>
      </w:r>
      <w:r w:rsidR="005552DD">
        <w:rPr>
          <w:rStyle w:val="Emphasis"/>
        </w:rPr>
        <w:t>r</w:t>
      </w:r>
      <w:r w:rsidRPr="00F64CF1">
        <w:rPr>
          <w:rStyle w:val="Emphasis"/>
        </w:rPr>
        <w:t>eport into Victoria</w:t>
      </w:r>
      <w:r w:rsidR="00711AE6">
        <w:rPr>
          <w:rStyle w:val="Emphasis"/>
        </w:rPr>
        <w:t>’</w:t>
      </w:r>
      <w:r w:rsidRPr="00F64CF1">
        <w:rPr>
          <w:rStyle w:val="Emphasis"/>
        </w:rPr>
        <w:t xml:space="preserve">s </w:t>
      </w:r>
      <w:r w:rsidR="005552DD">
        <w:rPr>
          <w:rStyle w:val="Emphasis"/>
        </w:rPr>
        <w:t>c</w:t>
      </w:r>
      <w:r w:rsidR="005552DD" w:rsidRPr="00F64CF1">
        <w:rPr>
          <w:rStyle w:val="Emphasis"/>
        </w:rPr>
        <w:t xml:space="preserve">hild </w:t>
      </w:r>
      <w:r w:rsidR="005552DD">
        <w:rPr>
          <w:rStyle w:val="Emphasis"/>
        </w:rPr>
        <w:t>p</w:t>
      </w:r>
      <w:r w:rsidR="005552DD" w:rsidRPr="00F64CF1">
        <w:rPr>
          <w:rStyle w:val="Emphasis"/>
        </w:rPr>
        <w:t xml:space="preserve">rotection </w:t>
      </w:r>
      <w:r w:rsidRPr="00F64CF1">
        <w:rPr>
          <w:rStyle w:val="Emphasis"/>
        </w:rPr>
        <w:t xml:space="preserve">and </w:t>
      </w:r>
      <w:r w:rsidR="005552DD">
        <w:rPr>
          <w:rStyle w:val="Emphasis"/>
        </w:rPr>
        <w:t>c</w:t>
      </w:r>
      <w:r w:rsidR="005552DD" w:rsidRPr="00F64CF1">
        <w:rPr>
          <w:rStyle w:val="Emphasis"/>
        </w:rPr>
        <w:t xml:space="preserve">riminal </w:t>
      </w:r>
      <w:r w:rsidR="005552DD">
        <w:rPr>
          <w:rStyle w:val="Emphasis"/>
        </w:rPr>
        <w:t>j</w:t>
      </w:r>
      <w:r w:rsidRPr="00F64CF1">
        <w:rPr>
          <w:rStyle w:val="Emphasis"/>
        </w:rPr>
        <w:t xml:space="preserve">ustice </w:t>
      </w:r>
      <w:r w:rsidR="005552DD">
        <w:rPr>
          <w:rStyle w:val="Emphasis"/>
        </w:rPr>
        <w:t>s</w:t>
      </w:r>
      <w:r w:rsidRPr="00F64CF1">
        <w:rPr>
          <w:rStyle w:val="Emphasis"/>
        </w:rPr>
        <w:t>ystems</w:t>
      </w:r>
      <w:r w:rsidR="00210A8F">
        <w:rPr>
          <w:szCs w:val="20"/>
        </w:rPr>
        <w:t>.</w:t>
      </w:r>
      <w:r>
        <w:t xml:space="preserve"> The report </w:t>
      </w:r>
      <w:r>
        <w:rPr>
          <w:szCs w:val="20"/>
        </w:rPr>
        <w:t xml:space="preserve">details the Truth Telling of what First Peoples have experienced and continue to experience in the child </w:t>
      </w:r>
      <w:r w:rsidRPr="00FD5D62">
        <w:t>protection</w:t>
      </w:r>
      <w:r>
        <w:rPr>
          <w:szCs w:val="20"/>
        </w:rPr>
        <w:t xml:space="preserve"> and criminal justice systems. </w:t>
      </w:r>
    </w:p>
    <w:p w14:paraId="47ECB04B" w14:textId="668946F8" w:rsidR="00C24BF2" w:rsidRDefault="000E38BD" w:rsidP="000E4B9B">
      <w:pPr>
        <w:pStyle w:val="ARbody"/>
      </w:pPr>
      <w:r w:rsidRPr="00177A14">
        <w:t>The department contributed to the Victorian Government response to the</w:t>
      </w:r>
      <w:r>
        <w:t xml:space="preserve"> 46 recommendations outlined in the</w:t>
      </w:r>
      <w:r w:rsidRPr="00177A14">
        <w:t xml:space="preserve"> report.</w:t>
      </w:r>
      <w:r>
        <w:t xml:space="preserve"> The </w:t>
      </w:r>
      <w:r w:rsidRPr="00FD5D62">
        <w:t>Victorian</w:t>
      </w:r>
      <w:r>
        <w:t xml:space="preserve"> Government has committed to support or support in principle 12</w:t>
      </w:r>
      <w:r w:rsidR="0055093D">
        <w:t> </w:t>
      </w:r>
      <w:r>
        <w:t>of the 19 recommendations directed to the</w:t>
      </w:r>
      <w:r w:rsidR="00FD5D62">
        <w:t> </w:t>
      </w:r>
      <w:r>
        <w:t>department.</w:t>
      </w:r>
      <w:r w:rsidR="00C24BF2">
        <w:br w:type="page"/>
      </w:r>
    </w:p>
    <w:p w14:paraId="5E3408F5" w14:textId="77777777" w:rsidR="000E38BD" w:rsidRPr="00B404DA" w:rsidRDefault="000E38BD" w:rsidP="000E4B9B">
      <w:pPr>
        <w:pStyle w:val="ARbody"/>
      </w:pPr>
      <w:r w:rsidRPr="00B404DA">
        <w:t xml:space="preserve">This includes a commitment to </w:t>
      </w:r>
      <w:r w:rsidRPr="000E4B9B">
        <w:t>progressing</w:t>
      </w:r>
      <w:r w:rsidRPr="00B404DA">
        <w:t>:</w:t>
      </w:r>
    </w:p>
    <w:p w14:paraId="0D48856F" w14:textId="77777777" w:rsidR="000E38BD" w:rsidRPr="00F64CF1" w:rsidRDefault="000E38BD" w:rsidP="0088621E">
      <w:pPr>
        <w:pStyle w:val="ARbullet1"/>
        <w:rPr>
          <w:rStyle w:val="Emphasis"/>
        </w:rPr>
      </w:pPr>
      <w:r>
        <w:t>a</w:t>
      </w:r>
      <w:r w:rsidRPr="00B404DA">
        <w:t>n analysis of opportunities to improve the operation of the permanency provisions in the</w:t>
      </w:r>
      <w:r w:rsidRPr="00583808">
        <w:t xml:space="preserve"> </w:t>
      </w:r>
      <w:r w:rsidRPr="00F64CF1">
        <w:rPr>
          <w:rStyle w:val="Emphasis"/>
        </w:rPr>
        <w:t>Children, Youth and Families Act 2005</w:t>
      </w:r>
    </w:p>
    <w:p w14:paraId="3233B26A" w14:textId="77777777" w:rsidR="000E38BD" w:rsidRDefault="000E38BD" w:rsidP="0088621E">
      <w:pPr>
        <w:pStyle w:val="ARbullet1"/>
      </w:pPr>
      <w:r>
        <w:t>r</w:t>
      </w:r>
      <w:r w:rsidRPr="00B404DA">
        <w:t>eferrals and wrap-around supports for expecting Aboriginal mothers</w:t>
      </w:r>
    </w:p>
    <w:p w14:paraId="0450641A" w14:textId="77777777" w:rsidR="000E38BD" w:rsidRPr="00B404DA" w:rsidRDefault="000E38BD" w:rsidP="0088621E">
      <w:pPr>
        <w:pStyle w:val="ARbullet1"/>
      </w:pPr>
      <w:r>
        <w:t>i</w:t>
      </w:r>
      <w:r w:rsidRPr="00B404DA">
        <w:t>ncreased cultural plan compliance</w:t>
      </w:r>
    </w:p>
    <w:p w14:paraId="1B1CF9E3" w14:textId="77777777" w:rsidR="000E38BD" w:rsidRPr="00F64CF1" w:rsidRDefault="000E38BD" w:rsidP="0088621E">
      <w:pPr>
        <w:pStyle w:val="ARbullet1"/>
        <w:rPr>
          <w:rStyle w:val="Emphasis"/>
        </w:rPr>
      </w:pPr>
      <w:r>
        <w:t>i</w:t>
      </w:r>
      <w:r w:rsidRPr="00B404DA">
        <w:t xml:space="preserve">mplementation of the </w:t>
      </w:r>
      <w:r w:rsidRPr="00F64CF1">
        <w:rPr>
          <w:rStyle w:val="Emphasis"/>
        </w:rPr>
        <w:t xml:space="preserve">Statement of Recognition Act 2023 </w:t>
      </w:r>
    </w:p>
    <w:p w14:paraId="41AB3508" w14:textId="5D3A681D" w:rsidR="000E38BD" w:rsidRPr="00B404DA" w:rsidRDefault="000E38BD" w:rsidP="00FD5D62">
      <w:pPr>
        <w:pStyle w:val="ARbullet1"/>
      </w:pPr>
      <w:r w:rsidRPr="00645AD0">
        <w:t>w</w:t>
      </w:r>
      <w:r w:rsidRPr="00B404DA">
        <w:t xml:space="preserve">ork to upskill the cultural competency of the child </w:t>
      </w:r>
      <w:r w:rsidRPr="00FD5D62">
        <w:t>protection</w:t>
      </w:r>
      <w:r w:rsidRPr="00B404DA">
        <w:t xml:space="preserve"> workforce, including through a</w:t>
      </w:r>
      <w:r w:rsidR="0055093D">
        <w:t> </w:t>
      </w:r>
      <w:r w:rsidRPr="00B404DA">
        <w:t>review and refresh of the risk assessment frameworks, guidelines and tools used by this</w:t>
      </w:r>
      <w:r w:rsidR="00FD5D62">
        <w:t> </w:t>
      </w:r>
      <w:r w:rsidRPr="00B404DA">
        <w:t>workforce.</w:t>
      </w:r>
    </w:p>
    <w:p w14:paraId="601E5D41" w14:textId="77777777" w:rsidR="000E38BD" w:rsidRPr="00B404DA" w:rsidRDefault="000E38BD" w:rsidP="00FD5D62">
      <w:pPr>
        <w:pStyle w:val="ARbodyafterbullets"/>
      </w:pPr>
      <w:r>
        <w:t xml:space="preserve">The department </w:t>
      </w:r>
      <w:r w:rsidRPr="00B404DA">
        <w:t xml:space="preserve">has already made a start on several recommendations: </w:t>
      </w:r>
    </w:p>
    <w:p w14:paraId="07EC6F4B" w14:textId="734DD9E7" w:rsidR="000E38BD" w:rsidRPr="00FD5D62" w:rsidRDefault="000E38BD" w:rsidP="00FD5D62">
      <w:pPr>
        <w:pStyle w:val="ARbullet1"/>
      </w:pPr>
      <w:r w:rsidRPr="00B404DA">
        <w:t>In line with recommendations 11 and 12, policy scoping is underway in partnership with the</w:t>
      </w:r>
      <w:r>
        <w:t xml:space="preserve"> </w:t>
      </w:r>
      <w:r w:rsidRPr="00FD5D62">
        <w:t>Department of Justice and Community Safety and relevant Aboriginal Community</w:t>
      </w:r>
      <w:r w:rsidR="00A16458">
        <w:t>-</w:t>
      </w:r>
      <w:r w:rsidRPr="00FD5D62">
        <w:t>Controlled Organisations (ACCOs) on a consent-based child protection notification scheme for unborn</w:t>
      </w:r>
      <w:r w:rsidR="00FD5D62">
        <w:t> </w:t>
      </w:r>
      <w:r w:rsidRPr="00FD5D62">
        <w:t>reports.</w:t>
      </w:r>
    </w:p>
    <w:p w14:paraId="14763A35" w14:textId="66BD8E4E" w:rsidR="000E38BD" w:rsidRPr="00FD5D62" w:rsidRDefault="000E38BD" w:rsidP="00FD5D62">
      <w:pPr>
        <w:pStyle w:val="ARbullet1"/>
      </w:pPr>
      <w:r w:rsidRPr="00FD5D62">
        <w:t>In accordance with recommendation 13, an</w:t>
      </w:r>
      <w:r w:rsidR="0055093D">
        <w:t> </w:t>
      </w:r>
      <w:r w:rsidRPr="00FD5D62">
        <w:t>evaluation of the child protection risk assessment framework (SAFER) is currently being progressed, with a final evaluation report anticipated in February 2026.</w:t>
      </w:r>
    </w:p>
    <w:p w14:paraId="16A3D24E" w14:textId="77777777" w:rsidR="000E38BD" w:rsidRPr="00FD5D62" w:rsidRDefault="000E38BD" w:rsidP="00FD5D62">
      <w:pPr>
        <w:pStyle w:val="ARbullet1"/>
      </w:pPr>
      <w:r w:rsidRPr="00FD5D62">
        <w:t>Work is underway to review and refresh department-wide cultural safety training in line with recommendation 14. A pilot of the refreshed Aboriginal Cultural Safety Training for all staff and managers will be delivered by 31 July 2024.</w:t>
      </w:r>
    </w:p>
    <w:p w14:paraId="25C7C604" w14:textId="31261971" w:rsidR="000E38BD" w:rsidRPr="00FD5D62" w:rsidRDefault="000E38BD" w:rsidP="00FD5D62">
      <w:pPr>
        <w:pStyle w:val="ARbullet1"/>
      </w:pPr>
      <w:r w:rsidRPr="00FD5D62">
        <w:t>The department</w:t>
      </w:r>
      <w:r w:rsidR="00711AE6">
        <w:t>’</w:t>
      </w:r>
      <w:r w:rsidRPr="00FD5D62">
        <w:t xml:space="preserve">s child protection training has also recently been refreshed. A new Child Protection Practice Induction Program has replaced the existing Beginning Practice program from 28 May 2024. </w:t>
      </w:r>
    </w:p>
    <w:p w14:paraId="7C044C75" w14:textId="77777777" w:rsidR="000E38BD" w:rsidRPr="00A81D5C" w:rsidRDefault="000E38BD" w:rsidP="00FD5D62">
      <w:pPr>
        <w:pStyle w:val="ARbullet1"/>
      </w:pPr>
      <w:r w:rsidRPr="00FD5D62">
        <w:t>Recommendation</w:t>
      </w:r>
      <w:r>
        <w:t xml:space="preserve"> 25 is also being progressed through a current review of permanency amendments under the </w:t>
      </w:r>
      <w:r w:rsidRPr="00F64CF1">
        <w:rPr>
          <w:rStyle w:val="Emphasis"/>
        </w:rPr>
        <w:t xml:space="preserve">Children, Youth and Families Act 2005. </w:t>
      </w:r>
    </w:p>
    <w:p w14:paraId="3E975228" w14:textId="1DAAC551" w:rsidR="000E38BD" w:rsidRPr="00177A14" w:rsidRDefault="000E38BD" w:rsidP="00360EEA">
      <w:pPr>
        <w:pStyle w:val="ARbodyafterbullets"/>
      </w:pPr>
      <w:r w:rsidRPr="549FC339">
        <w:t xml:space="preserve">To ensure an Aboriginal-led and self-determined approach, </w:t>
      </w:r>
      <w:r>
        <w:t>the department</w:t>
      </w:r>
      <w:r w:rsidRPr="549FC339">
        <w:t xml:space="preserve"> will continue to work in</w:t>
      </w:r>
      <w:r w:rsidR="00C24BF2">
        <w:t> </w:t>
      </w:r>
      <w:r w:rsidRPr="549FC339">
        <w:t>partnership with the A</w:t>
      </w:r>
      <w:r>
        <w:t>boriginal Children</w:t>
      </w:r>
      <w:r w:rsidR="00711AE6">
        <w:t>’</w:t>
      </w:r>
      <w:r>
        <w:t>s Forum</w:t>
      </w:r>
      <w:r w:rsidR="00C24BF2">
        <w:t> </w:t>
      </w:r>
      <w:r w:rsidRPr="549FC339">
        <w:t>and ACCOs within the child protection and</w:t>
      </w:r>
      <w:r w:rsidR="00C24BF2">
        <w:t> </w:t>
      </w:r>
      <w:r w:rsidRPr="549FC339">
        <w:t>family services system on the more detailed</w:t>
      </w:r>
      <w:r w:rsidR="00C24BF2">
        <w:t> </w:t>
      </w:r>
      <w:r w:rsidRPr="549FC339">
        <w:t>implementation planning for delivering</w:t>
      </w:r>
      <w:r w:rsidR="00FD5D62">
        <w:t> </w:t>
      </w:r>
      <w:r w:rsidRPr="549FC339">
        <w:t>recommendations.</w:t>
      </w:r>
      <w:r w:rsidR="00C24BF2">
        <w:br w:type="column"/>
      </w:r>
      <w:r w:rsidRPr="00177A14">
        <w:t xml:space="preserve">In </w:t>
      </w:r>
      <w:r w:rsidRPr="00FD5D62">
        <w:t>2024</w:t>
      </w:r>
      <w:r w:rsidRPr="00177A14">
        <w:t xml:space="preserve">, the </w:t>
      </w:r>
      <w:r>
        <w:t>c</w:t>
      </w:r>
      <w:r w:rsidRPr="00177A14">
        <w:t>ommission focused on land injustice and social injustice, including housing. The department provided evidence and engaged in</w:t>
      </w:r>
      <w:r w:rsidR="00C22CA1">
        <w:t> </w:t>
      </w:r>
      <w:r w:rsidRPr="00177A14">
        <w:t>public hearings relating to the housing and prevention of family violence portfolios. </w:t>
      </w:r>
    </w:p>
    <w:p w14:paraId="4E37A1B2" w14:textId="63AAD2F4" w:rsidR="000E38BD" w:rsidRPr="008E2C5D" w:rsidRDefault="000E38BD" w:rsidP="0088621E">
      <w:pPr>
        <w:pStyle w:val="ARbody"/>
      </w:pPr>
      <w:r w:rsidRPr="00177A14">
        <w:t xml:space="preserve">The department is committed to the truth-telling process and to supporting the </w:t>
      </w:r>
      <w:r>
        <w:t>c</w:t>
      </w:r>
      <w:r w:rsidRPr="00177A14">
        <w:t>ommission to</w:t>
      </w:r>
      <w:r w:rsidR="00C22CA1">
        <w:t> </w:t>
      </w:r>
      <w:r w:rsidRPr="00177A14">
        <w:t>achieve its objectives. </w:t>
      </w:r>
    </w:p>
    <w:p w14:paraId="47430959" w14:textId="4F827952" w:rsidR="000E38BD" w:rsidRPr="000874D0" w:rsidRDefault="000E38BD" w:rsidP="00FD5D62">
      <w:pPr>
        <w:pStyle w:val="Heading5"/>
        <w:rPr>
          <w:rFonts w:eastAsia="MS Mincho"/>
        </w:rPr>
      </w:pPr>
      <w:r w:rsidRPr="000874D0">
        <w:rPr>
          <w:rFonts w:eastAsia="MS Mincho"/>
        </w:rPr>
        <w:t>Truth and Treaty</w:t>
      </w:r>
      <w:r w:rsidR="00D90552">
        <w:rPr>
          <w:rFonts w:eastAsia="MS Mincho"/>
        </w:rPr>
        <w:t xml:space="preserve"> </w:t>
      </w:r>
    </w:p>
    <w:p w14:paraId="71CA7372" w14:textId="7100FDDA" w:rsidR="000E38BD" w:rsidRPr="00356CED" w:rsidRDefault="000E38BD" w:rsidP="00FD5D62">
      <w:pPr>
        <w:pStyle w:val="ARbody"/>
        <w:rPr>
          <w:lang w:eastAsia="en-AU"/>
        </w:rPr>
      </w:pPr>
      <w:r w:rsidRPr="00356CED">
        <w:rPr>
          <w:lang w:eastAsia="en-AU"/>
        </w:rPr>
        <w:t xml:space="preserve">Through </w:t>
      </w:r>
      <w:r>
        <w:rPr>
          <w:lang w:eastAsia="en-AU"/>
        </w:rPr>
        <w:t xml:space="preserve">the </w:t>
      </w:r>
      <w:r w:rsidRPr="00356CED">
        <w:rPr>
          <w:lang w:eastAsia="en-AU"/>
        </w:rPr>
        <w:t>ASDO leadership, the department has</w:t>
      </w:r>
      <w:r w:rsidR="00C22CA1">
        <w:rPr>
          <w:lang w:eastAsia="en-AU"/>
        </w:rPr>
        <w:t> </w:t>
      </w:r>
      <w:r w:rsidRPr="00356CED">
        <w:rPr>
          <w:lang w:eastAsia="en-AU"/>
        </w:rPr>
        <w:t xml:space="preserve">established senior internal governance and operational structures to strengthen accountability and oversee our commitment to </w:t>
      </w:r>
      <w:r>
        <w:rPr>
          <w:lang w:eastAsia="en-AU"/>
        </w:rPr>
        <w:t>T</w:t>
      </w:r>
      <w:r w:rsidRPr="00356CED">
        <w:rPr>
          <w:lang w:eastAsia="en-AU"/>
        </w:rPr>
        <w:t xml:space="preserve">ruth and </w:t>
      </w:r>
      <w:r>
        <w:rPr>
          <w:lang w:eastAsia="en-AU"/>
        </w:rPr>
        <w:t>T</w:t>
      </w:r>
      <w:r w:rsidRPr="00356CED">
        <w:rPr>
          <w:lang w:eastAsia="en-AU"/>
        </w:rPr>
        <w:t xml:space="preserve">reaty and </w:t>
      </w:r>
      <w:r>
        <w:rPr>
          <w:lang w:eastAsia="en-AU"/>
        </w:rPr>
        <w:t>C</w:t>
      </w:r>
      <w:r w:rsidRPr="00356CED">
        <w:rPr>
          <w:lang w:eastAsia="en-AU"/>
        </w:rPr>
        <w:t xml:space="preserve">losing the </w:t>
      </w:r>
      <w:r>
        <w:rPr>
          <w:lang w:eastAsia="en-AU"/>
        </w:rPr>
        <w:t>G</w:t>
      </w:r>
      <w:r w:rsidRPr="00356CED">
        <w:rPr>
          <w:lang w:eastAsia="en-AU"/>
        </w:rPr>
        <w:t>ap.</w:t>
      </w:r>
      <w:r w:rsidR="00D90552">
        <w:rPr>
          <w:lang w:eastAsia="en-AU"/>
        </w:rPr>
        <w:t xml:space="preserve"> </w:t>
      </w:r>
    </w:p>
    <w:p w14:paraId="7EBBCDA1" w14:textId="3B606FEB" w:rsidR="000E38BD" w:rsidRPr="00356CED" w:rsidRDefault="000E38BD" w:rsidP="00FD5D62">
      <w:pPr>
        <w:pStyle w:val="ARbody"/>
        <w:rPr>
          <w:lang w:eastAsia="en-AU"/>
        </w:rPr>
      </w:pPr>
      <w:r w:rsidRPr="00356CED">
        <w:rPr>
          <w:lang w:eastAsia="en-AU"/>
        </w:rPr>
        <w:t xml:space="preserve">ASDO also leads and </w:t>
      </w:r>
      <w:r w:rsidRPr="00FD5D62">
        <w:t>coordinates</w:t>
      </w:r>
      <w:r w:rsidRPr="00356CED">
        <w:rPr>
          <w:lang w:eastAsia="en-AU"/>
        </w:rPr>
        <w:t xml:space="preserve"> the department</w:t>
      </w:r>
      <w:r w:rsidR="00711AE6">
        <w:rPr>
          <w:lang w:eastAsia="en-AU"/>
        </w:rPr>
        <w:t>’</w:t>
      </w:r>
      <w:r w:rsidRPr="00356CED">
        <w:rPr>
          <w:lang w:eastAsia="en-AU"/>
        </w:rPr>
        <w:t>s response to the Yoorrook Justice Commission, and</w:t>
      </w:r>
      <w:r w:rsidR="00C22CA1">
        <w:rPr>
          <w:lang w:eastAsia="en-AU"/>
        </w:rPr>
        <w:t> </w:t>
      </w:r>
      <w:r w:rsidRPr="00356CED">
        <w:rPr>
          <w:lang w:eastAsia="en-AU"/>
        </w:rPr>
        <w:t>all necessary work to ensure the department is</w:t>
      </w:r>
      <w:r w:rsidR="00C22CA1">
        <w:rPr>
          <w:lang w:eastAsia="en-AU"/>
        </w:rPr>
        <w:t> </w:t>
      </w:r>
      <w:r>
        <w:rPr>
          <w:lang w:eastAsia="en-AU"/>
        </w:rPr>
        <w:t>T</w:t>
      </w:r>
      <w:r w:rsidRPr="00356CED">
        <w:rPr>
          <w:lang w:eastAsia="en-AU"/>
        </w:rPr>
        <w:t>reaty ready.</w:t>
      </w:r>
    </w:p>
    <w:p w14:paraId="05CC8504" w14:textId="7A701970" w:rsidR="000E38BD" w:rsidRPr="00FD5D62" w:rsidRDefault="000E38BD" w:rsidP="00FD5D62">
      <w:pPr>
        <w:pStyle w:val="Heading5"/>
        <w:rPr>
          <w:rFonts w:eastAsia="MS Mincho"/>
        </w:rPr>
      </w:pPr>
      <w:r w:rsidRPr="000874D0">
        <w:rPr>
          <w:rFonts w:eastAsia="MS Mincho"/>
        </w:rPr>
        <w:t>Treaty</w:t>
      </w:r>
    </w:p>
    <w:p w14:paraId="121790BF" w14:textId="406F6952" w:rsidR="000E38BD" w:rsidRPr="00177A14" w:rsidRDefault="000E38BD" w:rsidP="00B60D16">
      <w:pPr>
        <w:pStyle w:val="ARbody"/>
        <w:spacing w:line="240" w:lineRule="atLeast"/>
      </w:pPr>
      <w:r w:rsidRPr="00177A14">
        <w:t xml:space="preserve">As part of the Victorian Government, the department is committed to working towards </w:t>
      </w:r>
      <w:r w:rsidR="00B60D16">
        <w:br/>
      </w:r>
      <w:r w:rsidRPr="00177A14">
        <w:t>a</w:t>
      </w:r>
      <w:r w:rsidR="00C22CA1">
        <w:t> </w:t>
      </w:r>
      <w:r w:rsidRPr="00177A14">
        <w:t>well-supported, well-planned and transparent Treaty process that delivers meaningful outcomes for First</w:t>
      </w:r>
      <w:r w:rsidR="000E4B9B">
        <w:t> </w:t>
      </w:r>
      <w:r w:rsidRPr="00177A14">
        <w:t>Peoples.</w:t>
      </w:r>
    </w:p>
    <w:p w14:paraId="2D189BE5" w14:textId="77777777" w:rsidR="000E38BD" w:rsidRPr="00177A14" w:rsidRDefault="000E38BD" w:rsidP="00B60D16">
      <w:pPr>
        <w:pStyle w:val="ARbody"/>
        <w:spacing w:line="240" w:lineRule="atLeast"/>
      </w:pPr>
      <w:r w:rsidRPr="00177A14">
        <w:t>The department has a responsibility to ensure all staff are prepared and familiar with Treaty concepts and processes. The department continues to progress work to educate staff at all levels of the department about Treaty and the Treaty process, including leadership groups, operational staff and staff who contribute to reform and policy initiatives. </w:t>
      </w:r>
    </w:p>
    <w:p w14:paraId="242175FC" w14:textId="7DB26CC0" w:rsidR="000E38BD" w:rsidRPr="00177A14" w:rsidRDefault="000E38BD" w:rsidP="00B60D16">
      <w:pPr>
        <w:pStyle w:val="ARbody"/>
        <w:spacing w:line="240" w:lineRule="atLeast"/>
      </w:pPr>
      <w:r w:rsidRPr="00177A14">
        <w:t xml:space="preserve">The department works closely with the Department of Premier and Cabinet to ensure all Treaty-related work </w:t>
      </w:r>
      <w:r w:rsidRPr="00FD5D62">
        <w:t>aligns</w:t>
      </w:r>
      <w:r w:rsidRPr="00177A14">
        <w:t xml:space="preserve"> with </w:t>
      </w:r>
      <w:r w:rsidR="00AC72B2">
        <w:t>w</w:t>
      </w:r>
      <w:r w:rsidRPr="00177A14">
        <w:t>hole-of-Victorian-Government best practice guidance.</w:t>
      </w:r>
    </w:p>
    <w:p w14:paraId="32B81D90" w14:textId="649F5CCA" w:rsidR="000E38BD" w:rsidRPr="000874D0" w:rsidRDefault="000E38BD" w:rsidP="00207901">
      <w:pPr>
        <w:pStyle w:val="Heading5"/>
        <w:rPr>
          <w:rFonts w:eastAsia="MS Mincho"/>
        </w:rPr>
      </w:pPr>
      <w:r w:rsidRPr="000874D0">
        <w:rPr>
          <w:rFonts w:eastAsia="MS Mincho"/>
        </w:rPr>
        <w:t>Aboriginal Policy reform</w:t>
      </w:r>
      <w:r w:rsidR="00D90552">
        <w:rPr>
          <w:rFonts w:eastAsia="MS Mincho"/>
        </w:rPr>
        <w:t xml:space="preserve"> </w:t>
      </w:r>
    </w:p>
    <w:p w14:paraId="5C52EF0F" w14:textId="4102EE8C" w:rsidR="000E38BD" w:rsidRPr="00356CED" w:rsidRDefault="000E38BD" w:rsidP="00FD5D62">
      <w:pPr>
        <w:pStyle w:val="ARbody"/>
        <w:rPr>
          <w:lang w:eastAsia="en-AU"/>
        </w:rPr>
      </w:pPr>
      <w:r w:rsidRPr="00356CED">
        <w:rPr>
          <w:lang w:eastAsia="en-AU"/>
        </w:rPr>
        <w:t>Similar to the department</w:t>
      </w:r>
      <w:r w:rsidR="00711AE6">
        <w:rPr>
          <w:lang w:eastAsia="en-AU"/>
        </w:rPr>
        <w:t>’</w:t>
      </w:r>
      <w:r w:rsidRPr="00356CED">
        <w:rPr>
          <w:lang w:eastAsia="en-AU"/>
        </w:rPr>
        <w:t xml:space="preserve">s approach to truth and treaty, ASDO is working to establish the most </w:t>
      </w:r>
      <w:r w:rsidRPr="00FD5D62">
        <w:t>appropriate</w:t>
      </w:r>
      <w:r w:rsidRPr="00356CED">
        <w:rPr>
          <w:lang w:eastAsia="en-AU"/>
        </w:rPr>
        <w:t xml:space="preserve"> and effective approach to strengthening accountability, and monitoring progress against Closing the Gap and Aboriginal </w:t>
      </w:r>
      <w:r w:rsidR="00E837F9">
        <w:rPr>
          <w:lang w:eastAsia="en-AU"/>
        </w:rPr>
        <w:br/>
      </w:r>
      <w:r w:rsidRPr="00356CED">
        <w:rPr>
          <w:lang w:eastAsia="en-AU"/>
        </w:rPr>
        <w:t>self-determination</w:t>
      </w:r>
      <w:r w:rsidR="00FD5D62">
        <w:rPr>
          <w:lang w:eastAsia="en-AU"/>
        </w:rPr>
        <w:t> </w:t>
      </w:r>
      <w:r w:rsidRPr="00356CED">
        <w:rPr>
          <w:lang w:eastAsia="en-AU"/>
        </w:rPr>
        <w:t>commitments.</w:t>
      </w:r>
      <w:r w:rsidR="00D90552">
        <w:rPr>
          <w:lang w:eastAsia="en-AU"/>
        </w:rPr>
        <w:t xml:space="preserve"> </w:t>
      </w:r>
    </w:p>
    <w:p w14:paraId="7A83C221" w14:textId="288640CF" w:rsidR="009E3730" w:rsidRDefault="000E38BD" w:rsidP="00FD5D62">
      <w:pPr>
        <w:pStyle w:val="ARbody"/>
        <w:rPr>
          <w:lang w:eastAsia="en-AU"/>
        </w:rPr>
      </w:pPr>
      <w:r w:rsidRPr="00356CED">
        <w:rPr>
          <w:lang w:eastAsia="en-AU"/>
        </w:rPr>
        <w:t xml:space="preserve">This includes </w:t>
      </w:r>
      <w:r w:rsidRPr="00FD5D62">
        <w:t>working</w:t>
      </w:r>
      <w:r w:rsidRPr="00356CED">
        <w:rPr>
          <w:lang w:eastAsia="en-AU"/>
        </w:rPr>
        <w:t xml:space="preserve"> in partnership with the Koorie Caucus of the Aboriginal Strategic Governance Forum to embed self-determination and share decision</w:t>
      </w:r>
      <w:r w:rsidR="00AC72B2">
        <w:rPr>
          <w:lang w:eastAsia="en-AU"/>
        </w:rPr>
        <w:t>-</w:t>
      </w:r>
      <w:r w:rsidRPr="00356CED">
        <w:rPr>
          <w:lang w:eastAsia="en-AU"/>
        </w:rPr>
        <w:t>making.</w:t>
      </w:r>
      <w:r w:rsidR="00D90552">
        <w:rPr>
          <w:lang w:eastAsia="en-AU"/>
        </w:rPr>
        <w:t xml:space="preserve"> </w:t>
      </w:r>
      <w:r w:rsidR="009E3730">
        <w:rPr>
          <w:lang w:eastAsia="en-AU"/>
        </w:rPr>
        <w:br w:type="page"/>
      </w:r>
    </w:p>
    <w:p w14:paraId="36D4B94E" w14:textId="2AA9C0DA" w:rsidR="000E38BD" w:rsidRPr="00434FA8" w:rsidRDefault="000E38BD" w:rsidP="00FD5D62">
      <w:pPr>
        <w:pStyle w:val="ARbody"/>
        <w:rPr>
          <w:lang w:eastAsia="en-AU"/>
        </w:rPr>
      </w:pPr>
      <w:r w:rsidRPr="00356CED">
        <w:rPr>
          <w:lang w:eastAsia="en-AU"/>
        </w:rPr>
        <w:t xml:space="preserve">ASDO has established an </w:t>
      </w:r>
      <w:r>
        <w:rPr>
          <w:lang w:eastAsia="en-AU"/>
        </w:rPr>
        <w:t>i</w:t>
      </w:r>
      <w:r w:rsidRPr="00356CED">
        <w:rPr>
          <w:lang w:eastAsia="en-AU"/>
        </w:rPr>
        <w:t xml:space="preserve">ntradepartmental </w:t>
      </w:r>
      <w:r>
        <w:rPr>
          <w:lang w:eastAsia="en-AU"/>
        </w:rPr>
        <w:t>c</w:t>
      </w:r>
      <w:r w:rsidRPr="00356CED">
        <w:rPr>
          <w:lang w:eastAsia="en-AU"/>
        </w:rPr>
        <w:t>ommittee to formally strengthen coordination of effort against our Closing the Gap commitments across all of the department</w:t>
      </w:r>
      <w:r w:rsidR="00711AE6">
        <w:rPr>
          <w:lang w:eastAsia="en-AU"/>
        </w:rPr>
        <w:t>’</w:t>
      </w:r>
      <w:r w:rsidRPr="00356CED">
        <w:rPr>
          <w:lang w:eastAsia="en-AU"/>
        </w:rPr>
        <w:t>s Aboriginal strategies and is having dedicated workshops with relevant divisions across the department to enhance our understanding of our collective commitments and responsibilities and develop effective and efficient ways of working.</w:t>
      </w:r>
    </w:p>
    <w:p w14:paraId="19D5B18A" w14:textId="77777777" w:rsidR="000E38BD" w:rsidRPr="000874D0" w:rsidRDefault="000E38BD" w:rsidP="00207901">
      <w:pPr>
        <w:pStyle w:val="Heading5"/>
        <w:rPr>
          <w:rFonts w:eastAsia="MS Mincho"/>
        </w:rPr>
      </w:pPr>
      <w:r w:rsidRPr="000874D0">
        <w:rPr>
          <w:rFonts w:eastAsia="MS Mincho"/>
        </w:rPr>
        <w:t>Aboriginal Partnerships and Practice </w:t>
      </w:r>
    </w:p>
    <w:p w14:paraId="3608CA8F" w14:textId="77777777" w:rsidR="000E38BD" w:rsidRPr="006D031D" w:rsidRDefault="000E38BD" w:rsidP="0088621E">
      <w:pPr>
        <w:pStyle w:val="ARbody"/>
        <w:rPr>
          <w:lang w:eastAsia="en-AU"/>
        </w:rPr>
      </w:pPr>
      <w:r w:rsidRPr="006D031D">
        <w:rPr>
          <w:lang w:eastAsia="en-AU"/>
        </w:rPr>
        <w:t>At a more granular level, ASDO has worked to deliver and support the delivery of programs and policies on the ground. </w:t>
      </w:r>
    </w:p>
    <w:p w14:paraId="0A4F981C" w14:textId="77777777" w:rsidR="000E38BD" w:rsidRPr="006D031D" w:rsidRDefault="000E38BD" w:rsidP="0088621E">
      <w:pPr>
        <w:pStyle w:val="ARbody"/>
        <w:rPr>
          <w:lang w:eastAsia="en-AU"/>
        </w:rPr>
      </w:pPr>
      <w:r w:rsidRPr="006D031D">
        <w:rPr>
          <w:lang w:eastAsia="en-AU"/>
        </w:rPr>
        <w:t>This includes administering grants to ACCOs affected by extreme weather events, Korin Korin Balit</w:t>
      </w:r>
      <w:r>
        <w:rPr>
          <w:lang w:eastAsia="en-AU"/>
        </w:rPr>
        <w:t>-</w:t>
      </w:r>
      <w:r w:rsidRPr="006D031D">
        <w:rPr>
          <w:lang w:eastAsia="en-AU"/>
        </w:rPr>
        <w:t>Djak funding, the continued support to implement localised and regional Aboriginal governance structures, supporting compliance and regulation matters, and advising on practice issues within relevant portfolios. </w:t>
      </w:r>
    </w:p>
    <w:p w14:paraId="2A8B1A94" w14:textId="4D582E55" w:rsidR="000E38BD" w:rsidRPr="0055401D" w:rsidRDefault="000E38BD" w:rsidP="00207901">
      <w:pPr>
        <w:pStyle w:val="Heading5"/>
        <w:rPr>
          <w:rFonts w:eastAsia="MS Mincho"/>
        </w:rPr>
      </w:pPr>
      <w:r w:rsidRPr="0055401D">
        <w:rPr>
          <w:rFonts w:eastAsia="MS Mincho"/>
        </w:rPr>
        <w:t>Supporting place</w:t>
      </w:r>
      <w:r w:rsidR="00526A0B">
        <w:rPr>
          <w:rFonts w:eastAsia="MS Mincho"/>
        </w:rPr>
        <w:t>-</w:t>
      </w:r>
      <w:r w:rsidRPr="0055401D">
        <w:rPr>
          <w:rFonts w:eastAsia="MS Mincho"/>
        </w:rPr>
        <w:t xml:space="preserve">based Aboriginal </w:t>
      </w:r>
      <w:r w:rsidR="000E4B9B">
        <w:rPr>
          <w:rFonts w:eastAsia="MS Mincho"/>
        </w:rPr>
        <w:br/>
      </w:r>
      <w:r w:rsidRPr="0055401D">
        <w:rPr>
          <w:rFonts w:eastAsia="MS Mincho"/>
        </w:rPr>
        <w:t>self-determination</w:t>
      </w:r>
      <w:r w:rsidR="00D90552">
        <w:rPr>
          <w:rFonts w:eastAsia="MS Mincho"/>
        </w:rPr>
        <w:t xml:space="preserve"> </w:t>
      </w:r>
    </w:p>
    <w:p w14:paraId="35876048" w14:textId="73A0124A" w:rsidR="000E38BD" w:rsidRPr="006D031D" w:rsidRDefault="000E38BD" w:rsidP="0088621E">
      <w:pPr>
        <w:pStyle w:val="ARbody"/>
        <w:rPr>
          <w:lang w:eastAsia="en-AU"/>
        </w:rPr>
      </w:pPr>
      <w:r w:rsidRPr="006D031D">
        <w:rPr>
          <w:lang w:eastAsia="en-AU"/>
        </w:rPr>
        <w:t>The division has supported the establishment of the Western Districts Aboriginal Collective including funding for an independent secretariat. Further work has been undertaken to establish a western metropolitan Aboriginal governance group.</w:t>
      </w:r>
      <w:r w:rsidR="00D90552">
        <w:rPr>
          <w:lang w:eastAsia="en-AU"/>
        </w:rPr>
        <w:t xml:space="preserve"> </w:t>
      </w:r>
    </w:p>
    <w:p w14:paraId="25856CB2" w14:textId="77777777" w:rsidR="000E38BD" w:rsidRPr="006D031D" w:rsidRDefault="000E38BD" w:rsidP="0088621E">
      <w:pPr>
        <w:pStyle w:val="ARbody"/>
        <w:rPr>
          <w:lang w:eastAsia="en-AU"/>
        </w:rPr>
      </w:pPr>
      <w:r w:rsidRPr="006D031D">
        <w:rPr>
          <w:lang w:eastAsia="en-AU"/>
        </w:rPr>
        <w:t>The division is also facilitating conversations and workshops on self-determined models for regional governance with Aboriginal community members in: </w:t>
      </w:r>
    </w:p>
    <w:p w14:paraId="0AA7A788" w14:textId="77777777" w:rsidR="000E38BD" w:rsidRPr="00FD5D62" w:rsidRDefault="000E38BD" w:rsidP="00FD5D62">
      <w:pPr>
        <w:pStyle w:val="ARbullet1"/>
      </w:pPr>
      <w:r w:rsidRPr="00FD5D62">
        <w:t>Goulburn </w:t>
      </w:r>
    </w:p>
    <w:p w14:paraId="5CD2CF17" w14:textId="689A6D1A" w:rsidR="000E38BD" w:rsidRPr="00FD5D62" w:rsidRDefault="000E38BD" w:rsidP="00FD5D62">
      <w:pPr>
        <w:pStyle w:val="ARbullet1"/>
      </w:pPr>
      <w:r w:rsidRPr="00FD5D62">
        <w:t>Ovens Murray</w:t>
      </w:r>
      <w:r w:rsidR="00D90552" w:rsidRPr="00FD5D62">
        <w:t xml:space="preserve"> </w:t>
      </w:r>
    </w:p>
    <w:p w14:paraId="1E5F9886" w14:textId="77777777" w:rsidR="000E38BD" w:rsidRPr="00FD5D62" w:rsidRDefault="000E38BD" w:rsidP="00FD5D62">
      <w:pPr>
        <w:pStyle w:val="ARbullet1"/>
      </w:pPr>
      <w:r w:rsidRPr="00FD5D62">
        <w:t xml:space="preserve">South Metropolitan </w:t>
      </w:r>
    </w:p>
    <w:p w14:paraId="546B071F" w14:textId="77777777" w:rsidR="000E38BD" w:rsidRPr="006D031D" w:rsidRDefault="000E38BD" w:rsidP="00FD5D62">
      <w:pPr>
        <w:pStyle w:val="ARbullet1"/>
        <w:rPr>
          <w:lang w:eastAsia="en-AU"/>
        </w:rPr>
      </w:pPr>
      <w:r w:rsidRPr="00FD5D62">
        <w:t>Gippsland</w:t>
      </w:r>
      <w:r>
        <w:rPr>
          <w:lang w:eastAsia="en-AU"/>
        </w:rPr>
        <w:t>.</w:t>
      </w:r>
    </w:p>
    <w:p w14:paraId="0A531672" w14:textId="77777777" w:rsidR="00FD5D62" w:rsidRDefault="000E38BD" w:rsidP="000E4B9B">
      <w:pPr>
        <w:pStyle w:val="Heading6"/>
        <w:rPr>
          <w:rFonts w:eastAsia="MS Mincho"/>
        </w:rPr>
      </w:pPr>
      <w:r w:rsidRPr="000E4B9B">
        <w:rPr>
          <w:rFonts w:eastAsia="MS Mincho"/>
        </w:rPr>
        <w:t>Strengthening</w:t>
      </w:r>
      <w:r w:rsidRPr="003079BB">
        <w:rPr>
          <w:rFonts w:eastAsia="MS Mincho"/>
        </w:rPr>
        <w:t xml:space="preserve"> the ACCO sector</w:t>
      </w:r>
      <w:r w:rsidR="00D90552">
        <w:rPr>
          <w:rFonts w:eastAsia="MS Mincho"/>
        </w:rPr>
        <w:t xml:space="preserve"> </w:t>
      </w:r>
    </w:p>
    <w:p w14:paraId="28FD242D" w14:textId="3DFACB1F" w:rsidR="000E38BD" w:rsidRDefault="000E38BD" w:rsidP="00A306CE">
      <w:pPr>
        <w:pStyle w:val="ARbody"/>
        <w:rPr>
          <w:lang w:eastAsia="en-AU"/>
        </w:rPr>
      </w:pPr>
      <w:r>
        <w:rPr>
          <w:lang w:eastAsia="en-AU"/>
        </w:rPr>
        <w:t>The department</w:t>
      </w:r>
      <w:r w:rsidRPr="006D031D">
        <w:rPr>
          <w:lang w:eastAsia="en-AU"/>
        </w:rPr>
        <w:t xml:space="preserve"> has provided an additional $1</w:t>
      </w:r>
      <w:r w:rsidR="009803D7">
        <w:rPr>
          <w:lang w:eastAsia="en-AU"/>
        </w:rPr>
        <w:t> </w:t>
      </w:r>
      <w:r w:rsidRPr="006D031D">
        <w:rPr>
          <w:lang w:eastAsia="en-AU"/>
        </w:rPr>
        <w:t>million in 2023</w:t>
      </w:r>
      <w:r w:rsidR="00E837F9">
        <w:rPr>
          <w:lang w:eastAsia="en-AU"/>
        </w:rPr>
        <w:t>–</w:t>
      </w:r>
      <w:r w:rsidRPr="006D031D">
        <w:rPr>
          <w:lang w:eastAsia="en-AU"/>
        </w:rPr>
        <w:t>24 to ACCOs throughout the</w:t>
      </w:r>
      <w:r w:rsidR="00B60D16">
        <w:rPr>
          <w:lang w:eastAsia="en-AU"/>
        </w:rPr>
        <w:t> </w:t>
      </w:r>
      <w:r w:rsidRPr="006D031D">
        <w:rPr>
          <w:lang w:eastAsia="en-AU"/>
        </w:rPr>
        <w:t xml:space="preserve">state for projects that further the </w:t>
      </w:r>
      <w:r w:rsidR="009D641C">
        <w:rPr>
          <w:lang w:eastAsia="en-AU"/>
        </w:rPr>
        <w:t>5</w:t>
      </w:r>
      <w:r w:rsidRPr="006D031D">
        <w:rPr>
          <w:lang w:eastAsia="en-AU"/>
        </w:rPr>
        <w:t xml:space="preserve"> pillars of</w:t>
      </w:r>
      <w:r w:rsidR="00B60D16">
        <w:rPr>
          <w:lang w:eastAsia="en-AU"/>
        </w:rPr>
        <w:t> </w:t>
      </w:r>
      <w:r w:rsidRPr="006D031D">
        <w:rPr>
          <w:lang w:eastAsia="en-AU"/>
        </w:rPr>
        <w:t>the</w:t>
      </w:r>
      <w:r w:rsidR="00EC5080">
        <w:rPr>
          <w:lang w:eastAsia="en-AU"/>
        </w:rPr>
        <w:t> </w:t>
      </w:r>
      <w:r w:rsidRPr="006D031D">
        <w:rPr>
          <w:lang w:eastAsia="en-AU"/>
        </w:rPr>
        <w:t>Korin Korin Balit</w:t>
      </w:r>
      <w:r>
        <w:rPr>
          <w:lang w:eastAsia="en-AU"/>
        </w:rPr>
        <w:t>-</w:t>
      </w:r>
      <w:r w:rsidRPr="006D031D">
        <w:rPr>
          <w:lang w:eastAsia="en-AU"/>
        </w:rPr>
        <w:t>Djak strategy.</w:t>
      </w:r>
    </w:p>
    <w:p w14:paraId="71E8626F" w14:textId="0409A6B7" w:rsidR="00FD5D62" w:rsidRPr="00FD5D62" w:rsidRDefault="000E38BD" w:rsidP="00360EEA">
      <w:pPr>
        <w:pStyle w:val="Heading6"/>
        <w:rPr>
          <w:rFonts w:eastAsia="MS Mincho"/>
        </w:rPr>
      </w:pPr>
      <w:r w:rsidRPr="00141717">
        <w:rPr>
          <w:rFonts w:eastAsia="MS Mincho"/>
        </w:rPr>
        <w:t>Elevating Aboriginal voice</w:t>
      </w:r>
      <w:r w:rsidR="00D90552">
        <w:rPr>
          <w:rFonts w:eastAsia="MS Mincho"/>
        </w:rPr>
        <w:t xml:space="preserve"> </w:t>
      </w:r>
    </w:p>
    <w:p w14:paraId="1261AC1D" w14:textId="4371D53F" w:rsidR="000E38BD" w:rsidRPr="006D031D" w:rsidRDefault="000E38BD" w:rsidP="000E4B9B">
      <w:pPr>
        <w:pStyle w:val="ARbody"/>
        <w:rPr>
          <w:lang w:eastAsia="en-AU"/>
        </w:rPr>
      </w:pPr>
      <w:r w:rsidRPr="006D031D">
        <w:rPr>
          <w:lang w:eastAsia="en-AU"/>
        </w:rPr>
        <w:t xml:space="preserve">The division has elevated </w:t>
      </w:r>
      <w:r w:rsidRPr="000E4B9B">
        <w:t>Aboriginal</w:t>
      </w:r>
      <w:r w:rsidRPr="006D031D">
        <w:rPr>
          <w:lang w:eastAsia="en-AU"/>
        </w:rPr>
        <w:t xml:space="preserve"> voice from a</w:t>
      </w:r>
      <w:r w:rsidR="00B60D16">
        <w:rPr>
          <w:lang w:eastAsia="en-AU"/>
        </w:rPr>
        <w:t> </w:t>
      </w:r>
      <w:r w:rsidRPr="006D031D">
        <w:rPr>
          <w:lang w:eastAsia="en-AU"/>
        </w:rPr>
        <w:t>regional perspective through participating in the</w:t>
      </w:r>
      <w:r w:rsidR="00B60D16">
        <w:rPr>
          <w:lang w:eastAsia="en-AU"/>
        </w:rPr>
        <w:t> </w:t>
      </w:r>
      <w:r w:rsidRPr="006D031D">
        <w:rPr>
          <w:lang w:eastAsia="en-AU"/>
        </w:rPr>
        <w:t>following forums: </w:t>
      </w:r>
    </w:p>
    <w:p w14:paraId="48149F3D" w14:textId="77777777" w:rsidR="000E38BD" w:rsidRPr="000E4B9B" w:rsidRDefault="000E38BD" w:rsidP="000E4B9B">
      <w:pPr>
        <w:pStyle w:val="ARbullet1"/>
      </w:pPr>
      <w:r w:rsidRPr="000E4B9B">
        <w:t>Aboriginal Justice Forums (July, October 2023 and March, July 2024) </w:t>
      </w:r>
    </w:p>
    <w:p w14:paraId="5A2DC4AB" w14:textId="77777777" w:rsidR="000E38BD" w:rsidRPr="000E4B9B" w:rsidRDefault="000E38BD" w:rsidP="000E4B9B">
      <w:pPr>
        <w:pStyle w:val="ARbullet1"/>
      </w:pPr>
      <w:r w:rsidRPr="000E4B9B">
        <w:t>Dhelk Dja Partnership Forums (July, November 2023 and April, July 2024) </w:t>
      </w:r>
    </w:p>
    <w:p w14:paraId="28DEC856" w14:textId="4AF64320" w:rsidR="000E38BD" w:rsidRPr="000E4B9B" w:rsidRDefault="000E38BD" w:rsidP="000E4B9B">
      <w:pPr>
        <w:pStyle w:val="ARbullet1"/>
      </w:pPr>
      <w:r w:rsidRPr="000E4B9B">
        <w:t>Aboriginal Children</w:t>
      </w:r>
      <w:r w:rsidR="00711AE6">
        <w:t>’</w:t>
      </w:r>
      <w:r w:rsidRPr="000E4B9B">
        <w:t>s Forums (June, September 2023 and May 2024) </w:t>
      </w:r>
    </w:p>
    <w:p w14:paraId="05B85A85" w14:textId="647A1111" w:rsidR="000E38BD" w:rsidRPr="006D031D" w:rsidRDefault="000E38BD" w:rsidP="000E4B9B">
      <w:pPr>
        <w:pStyle w:val="ARbullet1"/>
        <w:rPr>
          <w:lang w:eastAsia="en-AU"/>
        </w:rPr>
      </w:pPr>
      <w:r w:rsidRPr="000E4B9B">
        <w:t>Aboriginal Housing and Homelessness Forums (September</w:t>
      </w:r>
      <w:r w:rsidRPr="006D031D">
        <w:rPr>
          <w:lang w:eastAsia="en-AU"/>
        </w:rPr>
        <w:t>, December 2023 and March and June 2024)</w:t>
      </w:r>
      <w:r w:rsidR="00AC72B2">
        <w:rPr>
          <w:lang w:eastAsia="en-AU"/>
        </w:rPr>
        <w:t>.</w:t>
      </w:r>
    </w:p>
    <w:p w14:paraId="0C755A8A" w14:textId="77777777" w:rsidR="000E38BD" w:rsidRPr="000874D0" w:rsidRDefault="000E38BD" w:rsidP="00FD5D62">
      <w:pPr>
        <w:pStyle w:val="Heading5"/>
        <w:rPr>
          <w:rFonts w:eastAsia="MS Mincho"/>
        </w:rPr>
      </w:pPr>
      <w:r w:rsidRPr="000874D0">
        <w:rPr>
          <w:rFonts w:eastAsia="MS Mincho"/>
        </w:rPr>
        <w:t>Supporting representation and participation of First Nations young people</w:t>
      </w:r>
    </w:p>
    <w:p w14:paraId="0D1F18C8" w14:textId="2D3786DC" w:rsidR="000E38BD" w:rsidRPr="0013141D" w:rsidRDefault="000E38BD" w:rsidP="00FD5D62">
      <w:pPr>
        <w:pStyle w:val="ARbody"/>
      </w:pPr>
      <w:r w:rsidRPr="0013141D">
        <w:t xml:space="preserve">The department continued to support </w:t>
      </w:r>
      <w:r>
        <w:t>First Nations</w:t>
      </w:r>
      <w:r w:rsidRPr="0013141D">
        <w:t xml:space="preserve"> young people to achieve their goals and to grow and remain </w:t>
      </w:r>
      <w:r w:rsidRPr="00FD5D62">
        <w:t>strong</w:t>
      </w:r>
      <w:r w:rsidRPr="0013141D">
        <w:t xml:space="preserve"> in their cultural identity.</w:t>
      </w:r>
      <w:r w:rsidR="00D90552">
        <w:t xml:space="preserve"> </w:t>
      </w:r>
    </w:p>
    <w:p w14:paraId="7D06706B" w14:textId="77777777" w:rsidR="000E38BD" w:rsidRDefault="000E38BD" w:rsidP="00FD5D62">
      <w:pPr>
        <w:pStyle w:val="ARbody"/>
      </w:pPr>
      <w:r w:rsidRPr="0013141D">
        <w:t xml:space="preserve">The </w:t>
      </w:r>
      <w:r>
        <w:t>department</w:t>
      </w:r>
      <w:r w:rsidRPr="0013141D">
        <w:t xml:space="preserve"> </w:t>
      </w:r>
      <w:r>
        <w:t>maintained</w:t>
      </w:r>
      <w:r w:rsidRPr="0013141D">
        <w:t xml:space="preserve"> the Koorie Youth Council</w:t>
      </w:r>
      <w:r>
        <w:t xml:space="preserve">, the peak body representing </w:t>
      </w:r>
      <w:r w:rsidRPr="00C04756">
        <w:t xml:space="preserve">Aboriginal young people in Victoria, as a principal partner of </w:t>
      </w:r>
      <w:r>
        <w:t>government and the youth sector</w:t>
      </w:r>
      <w:r w:rsidRPr="00C04756">
        <w:t>. </w:t>
      </w:r>
      <w:r w:rsidRPr="00127537">
        <w:t xml:space="preserve">This investment takes a broad, strengths-based, prevention approach to ensure that government and other </w:t>
      </w:r>
      <w:r w:rsidRPr="00FD5D62">
        <w:t>organisations</w:t>
      </w:r>
      <w:r w:rsidRPr="00127537">
        <w:t xml:space="preserve"> meaningfully engage with </w:t>
      </w:r>
      <w:r>
        <w:t>First Nations</w:t>
      </w:r>
      <w:r w:rsidRPr="00127537">
        <w:t xml:space="preserve"> young people and allows for culturally tailored solutions that address their unique interests, circumstances and needs.</w:t>
      </w:r>
    </w:p>
    <w:p w14:paraId="11F34804" w14:textId="77777777" w:rsidR="00B60D16" w:rsidRDefault="000E38BD" w:rsidP="00FD5D62">
      <w:pPr>
        <w:pStyle w:val="ARbody"/>
      </w:pPr>
      <w:r w:rsidRPr="00D7278A">
        <w:t xml:space="preserve">The </w:t>
      </w:r>
      <w:r w:rsidRPr="00233486">
        <w:rPr>
          <w:rStyle w:val="Emphasis"/>
          <w:i w:val="0"/>
          <w:iCs w:val="0"/>
        </w:rPr>
        <w:t>2023</w:t>
      </w:r>
      <w:r w:rsidR="00E837F9" w:rsidRPr="00233486">
        <w:rPr>
          <w:rStyle w:val="Emphasis"/>
          <w:i w:val="0"/>
          <w:iCs w:val="0"/>
        </w:rPr>
        <w:t>–</w:t>
      </w:r>
      <w:r w:rsidRPr="00233486">
        <w:rPr>
          <w:rStyle w:val="Emphasis"/>
          <w:i w:val="0"/>
          <w:iCs w:val="0"/>
        </w:rPr>
        <w:t>24 State Budget</w:t>
      </w:r>
      <w:r w:rsidRPr="00F64CF1">
        <w:rPr>
          <w:rStyle w:val="Emphasis"/>
        </w:rPr>
        <w:t xml:space="preserve"> </w:t>
      </w:r>
      <w:r>
        <w:t>extended funding for</w:t>
      </w:r>
      <w:r w:rsidRPr="00D7278A">
        <w:t xml:space="preserve"> the Marram Nganyin Aboriginal Youth Mentoring Program. Marram Nganyin </w:t>
      </w:r>
      <w:r>
        <w:t xml:space="preserve">is </w:t>
      </w:r>
      <w:r w:rsidRPr="00D7278A">
        <w:t xml:space="preserve">delivered in partnership with the Koorie Youth Council and </w:t>
      </w:r>
      <w:r>
        <w:t>5</w:t>
      </w:r>
      <w:r w:rsidR="00B60D16">
        <w:t> </w:t>
      </w:r>
      <w:r w:rsidRPr="00D7278A">
        <w:t xml:space="preserve">local </w:t>
      </w:r>
      <w:r w:rsidRPr="00FD5D62">
        <w:t>Aboriginal</w:t>
      </w:r>
      <w:r w:rsidRPr="00D7278A">
        <w:t xml:space="preserve"> community organisations</w:t>
      </w:r>
      <w:r w:rsidRPr="00426649">
        <w:t>. The</w:t>
      </w:r>
      <w:r w:rsidR="00B60D16">
        <w:t> </w:t>
      </w:r>
      <w:r w:rsidRPr="00426649">
        <w:t xml:space="preserve">program </w:t>
      </w:r>
      <w:r>
        <w:t>builds protective factors around</w:t>
      </w:r>
      <w:r w:rsidRPr="00426649">
        <w:t xml:space="preserve"> </w:t>
      </w:r>
      <w:r>
        <w:t>First Nations</w:t>
      </w:r>
      <w:r w:rsidRPr="00426649">
        <w:t xml:space="preserve"> young people </w:t>
      </w:r>
      <w:r>
        <w:t xml:space="preserve">by enhancing </w:t>
      </w:r>
      <w:r w:rsidRPr="00426649">
        <w:t>connection to</w:t>
      </w:r>
      <w:r w:rsidR="00B60D16">
        <w:t xml:space="preserve"> </w:t>
      </w:r>
      <w:r w:rsidRPr="00426649">
        <w:t xml:space="preserve">culture and community, </w:t>
      </w:r>
      <w:r>
        <w:t>strengthening</w:t>
      </w:r>
      <w:r w:rsidRPr="00426649">
        <w:t xml:space="preserve"> life skills, wellbeing and strengthen education, and provid</w:t>
      </w:r>
      <w:r>
        <w:t>ing</w:t>
      </w:r>
      <w:r w:rsidRPr="00426649">
        <w:t xml:space="preserve"> training and employment pathways.</w:t>
      </w:r>
    </w:p>
    <w:p w14:paraId="3C401BCA" w14:textId="6DEB03B2" w:rsidR="000E38BD" w:rsidRPr="003E2493" w:rsidRDefault="000E38BD" w:rsidP="00BD4796">
      <w:pPr>
        <w:pStyle w:val="Heading5"/>
        <w:rPr>
          <w:rFonts w:eastAsia="MS Mincho"/>
        </w:rPr>
      </w:pPr>
      <w:r w:rsidRPr="00141717">
        <w:rPr>
          <w:rFonts w:eastAsia="MS Mincho"/>
        </w:rPr>
        <w:t>Wungurilwil Gapgapduir and Aboriginal Children</w:t>
      </w:r>
      <w:r w:rsidR="00981E3A">
        <w:rPr>
          <w:rFonts w:eastAsia="MS Mincho"/>
        </w:rPr>
        <w:t>’</w:t>
      </w:r>
      <w:r w:rsidRPr="00141717">
        <w:rPr>
          <w:rFonts w:eastAsia="MS Mincho"/>
        </w:rPr>
        <w:t xml:space="preserve">s Forum </w:t>
      </w:r>
      <w:r w:rsidR="00D330F3">
        <w:rPr>
          <w:rFonts w:eastAsia="MS Mincho"/>
        </w:rPr>
        <w:t>(ACF)</w:t>
      </w:r>
    </w:p>
    <w:p w14:paraId="0276E157" w14:textId="43B339A7" w:rsidR="000E38BD" w:rsidRPr="00C31735" w:rsidRDefault="000E38BD" w:rsidP="009E3730">
      <w:pPr>
        <w:pStyle w:val="ARbody"/>
        <w:spacing w:line="240" w:lineRule="atLeast"/>
        <w:rPr>
          <w:rFonts w:ascii="Segoe UI" w:hAnsi="Segoe UI" w:cs="Segoe UI"/>
          <w:sz w:val="18"/>
          <w:szCs w:val="18"/>
        </w:rPr>
      </w:pPr>
      <w:r w:rsidRPr="00EF70F7">
        <w:t>The</w:t>
      </w:r>
      <w:r w:rsidRPr="00F64CF1">
        <w:rPr>
          <w:rStyle w:val="Emphasis"/>
        </w:rPr>
        <w:t xml:space="preserve"> </w:t>
      </w:r>
      <w:r w:rsidRPr="00233486">
        <w:rPr>
          <w:rStyle w:val="Emphasis"/>
          <w:i w:val="0"/>
          <w:iCs w:val="0"/>
        </w:rPr>
        <w:t>Wungurilwil Gapgapduir:</w:t>
      </w:r>
      <w:r w:rsidRPr="00233486">
        <w:rPr>
          <w:i/>
        </w:rPr>
        <w:t xml:space="preserve"> </w:t>
      </w:r>
      <w:r w:rsidRPr="00233486">
        <w:rPr>
          <w:rStyle w:val="Emphasis"/>
          <w:i w:val="0"/>
          <w:iCs w:val="0"/>
        </w:rPr>
        <w:t>Aboriginal Children and Families Agreement</w:t>
      </w:r>
      <w:r w:rsidRPr="00F64CF1">
        <w:rPr>
          <w:rStyle w:val="Emphasis"/>
        </w:rPr>
        <w:t xml:space="preserve"> </w:t>
      </w:r>
      <w:r>
        <w:t>offers a systemic approach to improving outcomes for Aboriginal children, young people and families in Victoria and outlines our collective responsibility to developing a strong service system.</w:t>
      </w:r>
    </w:p>
    <w:p w14:paraId="554D876F" w14:textId="3392126E" w:rsidR="000E38BD" w:rsidRDefault="000E38BD" w:rsidP="009E3730">
      <w:pPr>
        <w:pStyle w:val="ARbody"/>
        <w:spacing w:line="240" w:lineRule="atLeast"/>
      </w:pPr>
      <w:r w:rsidRPr="00EF5B64">
        <w:t xml:space="preserve">Throughout 2024, the ACF and ACCO caucus have refreshed the </w:t>
      </w:r>
      <w:r w:rsidRPr="00233486">
        <w:rPr>
          <w:i/>
          <w:iCs/>
        </w:rPr>
        <w:t>Wungurilwil Gapgapduir Strategic Action Plan</w:t>
      </w:r>
      <w:r w:rsidRPr="00EF5B64">
        <w:t xml:space="preserve"> for the years 2024 </w:t>
      </w:r>
      <w:r>
        <w:t>to</w:t>
      </w:r>
      <w:r w:rsidRPr="00EF5B64">
        <w:t xml:space="preserve"> 2028.</w:t>
      </w:r>
    </w:p>
    <w:p w14:paraId="48477F10" w14:textId="7C7566B2" w:rsidR="00FD5D62" w:rsidRDefault="00C804B3" w:rsidP="009E3730">
      <w:pPr>
        <w:pStyle w:val="ARbody"/>
        <w:spacing w:line="240" w:lineRule="atLeast"/>
        <w:sectPr w:rsidR="00FD5D62"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48"/>
        </w:sectPr>
      </w:pPr>
      <w:r>
        <w:t xml:space="preserve">The refresh has been undertaken to ensure alignment with national and state initiatives and reporting. </w:t>
      </w:r>
      <w:r w:rsidR="000E38BD">
        <w:t xml:space="preserve">The ACF is the </w:t>
      </w:r>
      <w:r>
        <w:t xml:space="preserve">mechanism to oversight progress of the </w:t>
      </w:r>
      <w:r w:rsidRPr="00233486">
        <w:rPr>
          <w:i/>
          <w:iCs/>
        </w:rPr>
        <w:t>Wungurilwil Gapgapduir Strat</w:t>
      </w:r>
      <w:r w:rsidR="00661485" w:rsidRPr="00233486">
        <w:rPr>
          <w:i/>
          <w:iCs/>
        </w:rPr>
        <w:t xml:space="preserve">egic Action </w:t>
      </w:r>
      <w:r w:rsidR="007227F8" w:rsidRPr="00233486">
        <w:rPr>
          <w:i/>
          <w:iCs/>
        </w:rPr>
        <w:t>Plan</w:t>
      </w:r>
      <w:r w:rsidR="007227F8">
        <w:t xml:space="preserve"> </w:t>
      </w:r>
      <w:r w:rsidR="00661485">
        <w:t>and support accordingly.</w:t>
      </w:r>
    </w:p>
    <w:p w14:paraId="7D2EAF7E" w14:textId="1932A8D0" w:rsidR="000E38BD" w:rsidRPr="00532DAE" w:rsidRDefault="000E38BD" w:rsidP="00FD5D62">
      <w:pPr>
        <w:pStyle w:val="Heading2"/>
      </w:pPr>
      <w:bookmarkStart w:id="142" w:name="_Ref178176961"/>
      <w:bookmarkStart w:id="143" w:name="_Toc181101496"/>
      <w:r w:rsidRPr="00FD5D62">
        <w:t>Performance</w:t>
      </w:r>
      <w:r w:rsidRPr="00532DAE">
        <w:t xml:space="preserve"> against output performance</w:t>
      </w:r>
      <w:r w:rsidR="00FD5D62">
        <w:t> </w:t>
      </w:r>
      <w:r w:rsidRPr="00532DAE">
        <w:t>measures</w:t>
      </w:r>
      <w:bookmarkEnd w:id="142"/>
      <w:bookmarkEnd w:id="143"/>
    </w:p>
    <w:p w14:paraId="030F6698" w14:textId="39EDAF57" w:rsidR="000E38BD" w:rsidRPr="00532DAE" w:rsidRDefault="000E38BD" w:rsidP="0088621E">
      <w:pPr>
        <w:pStyle w:val="ARbody"/>
      </w:pPr>
      <w:r w:rsidRPr="00532DAE">
        <w:t>This section provides information about the department</w:t>
      </w:r>
      <w:r w:rsidR="00711AE6">
        <w:t>’</w:t>
      </w:r>
      <w:r w:rsidRPr="00532DAE">
        <w:t>s performance against output performance</w:t>
      </w:r>
      <w:r w:rsidR="00FD5D62">
        <w:t> </w:t>
      </w:r>
      <w:r w:rsidRPr="00532DAE">
        <w:t>measures</w:t>
      </w:r>
      <w:r w:rsidRPr="00645AD0">
        <w:t>.</w:t>
      </w:r>
    </w:p>
    <w:p w14:paraId="00DF8567" w14:textId="77777777" w:rsidR="000E38BD" w:rsidRPr="00532DAE" w:rsidRDefault="000E38BD" w:rsidP="0088621E">
      <w:pPr>
        <w:pStyle w:val="ARbody"/>
      </w:pPr>
      <w:r w:rsidRPr="00532DAE">
        <w:t>Results in the tables below are coded according to:</w:t>
      </w:r>
    </w:p>
    <w:p w14:paraId="1A0D6C08" w14:textId="77777777" w:rsidR="000E38BD" w:rsidRPr="00532DAE" w:rsidRDefault="000E38BD" w:rsidP="0088621E">
      <w:pPr>
        <w:pStyle w:val="ARbody"/>
        <w:ind w:left="397" w:hanging="397"/>
      </w:pPr>
      <w:r w:rsidRPr="00532DAE">
        <w:rPr>
          <w:rFonts w:ascii="Wingdings" w:eastAsia="Wingdings" w:hAnsi="Wingdings" w:cs="Wingdings"/>
        </w:rPr>
        <w:t></w:t>
      </w:r>
      <w:r w:rsidRPr="00532DAE">
        <w:tab/>
        <w:t>Performance target achieved or exceeded</w:t>
      </w:r>
    </w:p>
    <w:p w14:paraId="0FF62E71" w14:textId="2C474640" w:rsidR="000E38BD" w:rsidRPr="00532DAE" w:rsidRDefault="000E38BD" w:rsidP="0088621E">
      <w:pPr>
        <w:pStyle w:val="ARbody"/>
        <w:ind w:left="397" w:hanging="397"/>
      </w:pPr>
      <w:r w:rsidRPr="00532DAE">
        <w:rPr>
          <w:rFonts w:ascii="Wingdings" w:hAnsi="Wingdings"/>
        </w:rPr>
        <w:t>□</w:t>
      </w:r>
      <w:r w:rsidRPr="00532DAE">
        <w:tab/>
        <w:t xml:space="preserve">Performance target not achieved – within </w:t>
      </w:r>
      <w:r w:rsidR="009D641C">
        <w:t>5</w:t>
      </w:r>
      <w:r w:rsidR="00F95AC7">
        <w:t>%</w:t>
      </w:r>
      <w:r w:rsidRPr="00532DAE">
        <w:t xml:space="preserve"> variance</w:t>
      </w:r>
    </w:p>
    <w:p w14:paraId="72606CF6" w14:textId="1970109D" w:rsidR="000E38BD" w:rsidRPr="00532DAE" w:rsidRDefault="000E38BD" w:rsidP="0088621E">
      <w:pPr>
        <w:pStyle w:val="ARbody"/>
        <w:ind w:left="397" w:hanging="397"/>
      </w:pPr>
      <w:r w:rsidRPr="00532DAE">
        <w:rPr>
          <w:rFonts w:ascii="Wingdings" w:eastAsia="Wingdings" w:hAnsi="Wingdings" w:cs="Wingdings"/>
        </w:rPr>
        <w:t></w:t>
      </w:r>
      <w:r w:rsidRPr="00532DAE">
        <w:tab/>
        <w:t xml:space="preserve">Performance target not achieved – exceeds </w:t>
      </w:r>
      <w:r w:rsidR="009D641C">
        <w:t>5</w:t>
      </w:r>
      <w:r w:rsidR="00F95AC7">
        <w:t>%</w:t>
      </w:r>
      <w:r w:rsidRPr="00532DAE">
        <w:t xml:space="preserve"> variance</w:t>
      </w:r>
    </w:p>
    <w:p w14:paraId="78410970" w14:textId="77777777" w:rsidR="000E38BD" w:rsidRPr="00532DAE" w:rsidRDefault="000E38BD" w:rsidP="00FD5D62">
      <w:pPr>
        <w:pStyle w:val="ARbodyafterbullets"/>
      </w:pPr>
      <w:r w:rsidRPr="00532DAE">
        <w:t>Note: There may be slight discrepancies in the variation percentage figures due to decimal point rounding.</w:t>
      </w:r>
    </w:p>
    <w:p w14:paraId="72140BA4" w14:textId="77777777" w:rsidR="000E38BD" w:rsidRPr="00532DAE" w:rsidRDefault="000E38BD" w:rsidP="00333387">
      <w:pPr>
        <w:pStyle w:val="Heading3"/>
      </w:pPr>
      <w:r w:rsidRPr="00532DAE">
        <w:t xml:space="preserve">Child </w:t>
      </w:r>
      <w:r w:rsidRPr="00FD5D62">
        <w:t>protection</w:t>
      </w:r>
      <w:r w:rsidRPr="00532DAE">
        <w:t xml:space="preserve"> and family services</w:t>
      </w:r>
    </w:p>
    <w:p w14:paraId="060F7975" w14:textId="6E6C613D" w:rsidR="000E38BD" w:rsidRDefault="000E38BD" w:rsidP="00D0613D">
      <w:pPr>
        <w:pStyle w:val="ARbodybeforetable"/>
      </w:pPr>
      <w:r w:rsidRPr="00561C66">
        <w:t xml:space="preserve">Through the funding of statutory child protection services, family support and parenting services, and placement care services and specialist support services, this output aims to ensure the safety and wellbeing of adolescents and children at risk of harm, abuse and </w:t>
      </w:r>
      <w:r w:rsidRPr="00D0613D">
        <w:t>neglect</w:t>
      </w:r>
      <w:r w:rsidRPr="00561C66">
        <w:t xml:space="preserve">. This output aims to make a positive difference to Victorians experiencing disadvantage by </w:t>
      </w:r>
      <w:r w:rsidRPr="00FD5D62">
        <w:t>providing</w:t>
      </w:r>
      <w:r w:rsidRPr="00561C66">
        <w:t xml:space="preserve"> excellent community services to meet clients</w:t>
      </w:r>
      <w:r w:rsidR="00711AE6">
        <w:t>’</w:t>
      </w:r>
      <w:r w:rsidRPr="00561C66">
        <w:t xml:space="preserve"> needs.</w:t>
      </w:r>
    </w:p>
    <w:tbl>
      <w:tblPr>
        <w:tblW w:w="5000" w:type="pct"/>
        <w:tblLayout w:type="fixed"/>
        <w:tblCellMar>
          <w:left w:w="0" w:type="dxa"/>
        </w:tblCellMar>
        <w:tblLook w:val="06A0" w:firstRow="1" w:lastRow="0" w:firstColumn="1" w:lastColumn="0" w:noHBand="1" w:noVBand="1"/>
      </w:tblPr>
      <w:tblGrid>
        <w:gridCol w:w="4742"/>
        <w:gridCol w:w="1019"/>
        <w:gridCol w:w="1021"/>
        <w:gridCol w:w="1022"/>
        <w:gridCol w:w="1024"/>
        <w:gridCol w:w="795"/>
        <w:gridCol w:w="9"/>
      </w:tblGrid>
      <w:tr w:rsidR="000E38BD" w:rsidRPr="00446050" w14:paraId="73E55FF4" w14:textId="77777777" w:rsidTr="009F799A">
        <w:trPr>
          <w:cantSplit/>
          <w:tblHeader/>
        </w:trPr>
        <w:tc>
          <w:tcPr>
            <w:tcW w:w="4742" w:type="dxa"/>
            <w:tcBorders>
              <w:top w:val="nil"/>
              <w:left w:val="nil"/>
              <w:bottom w:val="single" w:sz="4" w:space="0" w:color="auto"/>
              <w:right w:val="nil"/>
            </w:tcBorders>
            <w:shd w:val="clear" w:color="auto" w:fill="auto"/>
            <w:vAlign w:val="bottom"/>
            <w:hideMark/>
          </w:tcPr>
          <w:p w14:paraId="1AB3401E" w14:textId="77777777" w:rsidR="000E38BD" w:rsidRPr="00446050" w:rsidRDefault="000E38BD" w:rsidP="00FD5D62">
            <w:pPr>
              <w:pStyle w:val="ARtablecolhead"/>
            </w:pPr>
            <w:r w:rsidRPr="00446050">
              <w:t xml:space="preserve">Performance </w:t>
            </w:r>
            <w:r w:rsidRPr="00FD5D62">
              <w:t>measures</w:t>
            </w:r>
          </w:p>
        </w:tc>
        <w:tc>
          <w:tcPr>
            <w:tcW w:w="1019" w:type="dxa"/>
            <w:tcBorders>
              <w:top w:val="nil"/>
              <w:left w:val="nil"/>
              <w:bottom w:val="single" w:sz="4" w:space="0" w:color="auto"/>
              <w:right w:val="nil"/>
            </w:tcBorders>
            <w:shd w:val="clear" w:color="auto" w:fill="auto"/>
            <w:vAlign w:val="bottom"/>
            <w:hideMark/>
          </w:tcPr>
          <w:p w14:paraId="69AF84BB" w14:textId="77777777" w:rsidR="000E38BD" w:rsidRPr="00446050" w:rsidRDefault="000E38BD">
            <w:pPr>
              <w:pStyle w:val="ARtablecolhead"/>
            </w:pPr>
            <w:r w:rsidRPr="00446050">
              <w:t>Unit of measure</w:t>
            </w:r>
          </w:p>
        </w:tc>
        <w:tc>
          <w:tcPr>
            <w:tcW w:w="1021" w:type="dxa"/>
            <w:tcBorders>
              <w:top w:val="nil"/>
              <w:left w:val="nil"/>
              <w:bottom w:val="single" w:sz="4" w:space="0" w:color="auto"/>
              <w:right w:val="nil"/>
            </w:tcBorders>
            <w:shd w:val="clear" w:color="auto" w:fill="auto"/>
            <w:vAlign w:val="bottom"/>
            <w:hideMark/>
          </w:tcPr>
          <w:p w14:paraId="0D83DEDE" w14:textId="77777777" w:rsidR="000E38BD" w:rsidRPr="00446050" w:rsidRDefault="000E38BD">
            <w:pPr>
              <w:pStyle w:val="ARtablecolheadright"/>
            </w:pPr>
            <w:r w:rsidRPr="00446050">
              <w:t>2023–24 target</w:t>
            </w:r>
          </w:p>
        </w:tc>
        <w:tc>
          <w:tcPr>
            <w:tcW w:w="1022" w:type="dxa"/>
            <w:tcBorders>
              <w:top w:val="nil"/>
              <w:left w:val="nil"/>
              <w:bottom w:val="single" w:sz="4" w:space="0" w:color="auto"/>
              <w:right w:val="nil"/>
            </w:tcBorders>
            <w:shd w:val="clear" w:color="auto" w:fill="auto"/>
            <w:vAlign w:val="bottom"/>
            <w:hideMark/>
          </w:tcPr>
          <w:p w14:paraId="17099177" w14:textId="77777777" w:rsidR="000E38BD" w:rsidRPr="00446050" w:rsidRDefault="000E38BD">
            <w:pPr>
              <w:pStyle w:val="ARtablecolheadright"/>
            </w:pPr>
            <w:r w:rsidRPr="00446050">
              <w:t>2023–24 actual</w:t>
            </w:r>
          </w:p>
        </w:tc>
        <w:tc>
          <w:tcPr>
            <w:tcW w:w="1024" w:type="dxa"/>
            <w:tcBorders>
              <w:top w:val="nil"/>
              <w:left w:val="nil"/>
              <w:bottom w:val="single" w:sz="4" w:space="0" w:color="auto"/>
              <w:right w:val="nil"/>
            </w:tcBorders>
            <w:shd w:val="clear" w:color="auto" w:fill="auto"/>
            <w:vAlign w:val="bottom"/>
            <w:hideMark/>
          </w:tcPr>
          <w:p w14:paraId="651E3927" w14:textId="77777777" w:rsidR="000E38BD" w:rsidRPr="00446050" w:rsidRDefault="000E38BD">
            <w:pPr>
              <w:pStyle w:val="ARtablecolheadright"/>
            </w:pPr>
            <w:r w:rsidRPr="00446050">
              <w:t xml:space="preserve">Variation </w:t>
            </w:r>
          </w:p>
        </w:tc>
        <w:tc>
          <w:tcPr>
            <w:tcW w:w="804" w:type="dxa"/>
            <w:gridSpan w:val="2"/>
            <w:tcBorders>
              <w:top w:val="nil"/>
              <w:left w:val="nil"/>
              <w:bottom w:val="single" w:sz="4" w:space="0" w:color="auto"/>
              <w:right w:val="nil"/>
            </w:tcBorders>
            <w:shd w:val="clear" w:color="auto" w:fill="auto"/>
            <w:vAlign w:val="bottom"/>
            <w:hideMark/>
          </w:tcPr>
          <w:p w14:paraId="53836C7A" w14:textId="77777777" w:rsidR="000E38BD" w:rsidRPr="00446050" w:rsidRDefault="000E38BD" w:rsidP="008457D3">
            <w:pPr>
              <w:pStyle w:val="ARtablecolheadright"/>
            </w:pPr>
            <w:r w:rsidRPr="00446050">
              <w:t>Result</w:t>
            </w:r>
          </w:p>
        </w:tc>
      </w:tr>
      <w:tr w:rsidR="000E38BD" w:rsidRPr="00446050" w14:paraId="0FA0AD98" w14:textId="77777777" w:rsidTr="009F799A">
        <w:trPr>
          <w:cantSplit/>
        </w:trPr>
        <w:tc>
          <w:tcPr>
            <w:tcW w:w="9632" w:type="dxa"/>
            <w:gridSpan w:val="7"/>
            <w:tcBorders>
              <w:top w:val="single" w:sz="4" w:space="0" w:color="auto"/>
              <w:left w:val="nil"/>
              <w:right w:val="nil"/>
            </w:tcBorders>
            <w:shd w:val="clear" w:color="auto" w:fill="auto"/>
            <w:hideMark/>
          </w:tcPr>
          <w:p w14:paraId="419F1976" w14:textId="77777777" w:rsidR="000E38BD" w:rsidRPr="00A274A7" w:rsidRDefault="000E38BD" w:rsidP="009F799A">
            <w:pPr>
              <w:pStyle w:val="ARtablegreybold"/>
            </w:pPr>
            <w:r w:rsidRPr="009F799A">
              <w:t>Quantity</w:t>
            </w:r>
          </w:p>
        </w:tc>
      </w:tr>
      <w:tr w:rsidR="000E38BD" w:rsidRPr="00446050" w14:paraId="33432BF4" w14:textId="77777777" w:rsidTr="009F799A">
        <w:trPr>
          <w:gridAfter w:val="1"/>
          <w:wAfter w:w="9" w:type="dxa"/>
          <w:cantSplit/>
        </w:trPr>
        <w:tc>
          <w:tcPr>
            <w:tcW w:w="4742" w:type="dxa"/>
            <w:shd w:val="clear" w:color="auto" w:fill="auto"/>
            <w:hideMark/>
          </w:tcPr>
          <w:p w14:paraId="22305F03" w14:textId="77777777" w:rsidR="000E38BD" w:rsidRPr="00446050" w:rsidRDefault="000E38BD">
            <w:pPr>
              <w:pStyle w:val="ARtabletext"/>
            </w:pPr>
            <w:r w:rsidRPr="00446050">
              <w:t>Daily average number of children in care placements</w:t>
            </w:r>
          </w:p>
        </w:tc>
        <w:tc>
          <w:tcPr>
            <w:tcW w:w="1019" w:type="dxa"/>
            <w:shd w:val="clear" w:color="auto" w:fill="auto"/>
            <w:hideMark/>
          </w:tcPr>
          <w:p w14:paraId="34B9B1CF" w14:textId="77777777" w:rsidR="000E38BD" w:rsidRPr="00446050" w:rsidRDefault="000E38BD">
            <w:pPr>
              <w:pStyle w:val="ARtabletext"/>
            </w:pPr>
            <w:r w:rsidRPr="00446050">
              <w:t>number</w:t>
            </w:r>
          </w:p>
        </w:tc>
        <w:tc>
          <w:tcPr>
            <w:tcW w:w="1021" w:type="dxa"/>
            <w:shd w:val="clear" w:color="auto" w:fill="auto"/>
          </w:tcPr>
          <w:p w14:paraId="52E7231F" w14:textId="77777777" w:rsidR="000E38BD" w:rsidRPr="00446050" w:rsidRDefault="000E38BD">
            <w:pPr>
              <w:pStyle w:val="ARtabletextright"/>
            </w:pPr>
            <w:r w:rsidRPr="00446050">
              <w:t>10,641</w:t>
            </w:r>
          </w:p>
        </w:tc>
        <w:tc>
          <w:tcPr>
            <w:tcW w:w="1022" w:type="dxa"/>
            <w:shd w:val="clear" w:color="auto" w:fill="auto"/>
          </w:tcPr>
          <w:p w14:paraId="083B3CB3" w14:textId="77777777" w:rsidR="000E38BD" w:rsidRPr="00446050" w:rsidRDefault="000E38BD">
            <w:pPr>
              <w:pStyle w:val="ARtabletextright"/>
            </w:pPr>
            <w:r w:rsidRPr="00446050">
              <w:t>9,316</w:t>
            </w:r>
          </w:p>
        </w:tc>
        <w:tc>
          <w:tcPr>
            <w:tcW w:w="1024" w:type="dxa"/>
            <w:shd w:val="clear" w:color="auto" w:fill="auto"/>
          </w:tcPr>
          <w:p w14:paraId="639449BC" w14:textId="77777777" w:rsidR="000E38BD" w:rsidRPr="00446050" w:rsidRDefault="000E38BD">
            <w:pPr>
              <w:pStyle w:val="ARtabletextright"/>
            </w:pPr>
            <w:r w:rsidRPr="00446050">
              <w:t>-12.5%</w:t>
            </w:r>
          </w:p>
        </w:tc>
        <w:tc>
          <w:tcPr>
            <w:tcW w:w="795" w:type="dxa"/>
            <w:shd w:val="clear" w:color="auto" w:fill="auto"/>
          </w:tcPr>
          <w:p w14:paraId="4ADD9FAA" w14:textId="77777777" w:rsidR="000E38BD" w:rsidRPr="00AA126F" w:rsidRDefault="000E38BD">
            <w:pPr>
              <w:pStyle w:val="ARtableperformancesymbol"/>
              <w:rPr>
                <w:rFonts w:hint="eastAsia"/>
                <w:sz w:val="20"/>
                <w:szCs w:val="20"/>
              </w:rPr>
            </w:pPr>
            <w:r w:rsidRPr="00AA126F">
              <w:rPr>
                <w:sz w:val="20"/>
                <w:szCs w:val="20"/>
              </w:rPr>
              <w:t></w:t>
            </w:r>
          </w:p>
        </w:tc>
      </w:tr>
      <w:tr w:rsidR="000E38BD" w:rsidRPr="00446050" w14:paraId="3ABB22D8" w14:textId="77777777" w:rsidTr="009F799A">
        <w:trPr>
          <w:cantSplit/>
        </w:trPr>
        <w:tc>
          <w:tcPr>
            <w:tcW w:w="9632" w:type="dxa"/>
            <w:gridSpan w:val="7"/>
            <w:tcBorders>
              <w:bottom w:val="single" w:sz="4" w:space="0" w:color="BFBFBF"/>
            </w:tcBorders>
            <w:shd w:val="clear" w:color="auto" w:fill="auto"/>
          </w:tcPr>
          <w:p w14:paraId="32F9F866" w14:textId="59A0E656" w:rsidR="000E38BD" w:rsidRPr="00446050" w:rsidRDefault="000E38BD" w:rsidP="008D6776">
            <w:pPr>
              <w:pStyle w:val="ARtablenoteindent"/>
            </w:pPr>
            <w:r w:rsidRPr="00446050">
              <w:t>The 2023</w:t>
            </w:r>
            <w:r w:rsidR="00E837F9">
              <w:t>–</w:t>
            </w:r>
            <w:r w:rsidRPr="00446050">
              <w:t>24 result is lower than the 2023</w:t>
            </w:r>
            <w:r w:rsidR="00E837F9">
              <w:t>–</w:t>
            </w:r>
            <w:r w:rsidRPr="00446050">
              <w:t xml:space="preserve">24 target, reflecting demand for services. A lower result signifies that fewer care </w:t>
            </w:r>
            <w:r w:rsidRPr="00FD5D62">
              <w:t>placements</w:t>
            </w:r>
            <w:r w:rsidRPr="00446050">
              <w:t xml:space="preserve"> are being required (</w:t>
            </w:r>
            <w:r w:rsidRPr="008D6776">
              <w:t>potentially</w:t>
            </w:r>
            <w:r w:rsidRPr="00446050">
              <w:t xml:space="preserve"> reflecting impacts of early intervention initiatives).</w:t>
            </w:r>
          </w:p>
        </w:tc>
      </w:tr>
      <w:tr w:rsidR="000E38BD" w:rsidRPr="00446050" w14:paraId="7350D8DF" w14:textId="77777777" w:rsidTr="009F799A">
        <w:trPr>
          <w:gridAfter w:val="1"/>
          <w:wAfter w:w="9" w:type="dxa"/>
          <w:cantSplit/>
        </w:trPr>
        <w:tc>
          <w:tcPr>
            <w:tcW w:w="4742" w:type="dxa"/>
            <w:tcBorders>
              <w:top w:val="single" w:sz="4" w:space="0" w:color="BFBFBF"/>
            </w:tcBorders>
            <w:shd w:val="clear" w:color="auto" w:fill="auto"/>
          </w:tcPr>
          <w:p w14:paraId="38347E61" w14:textId="51D67D9B" w:rsidR="000E38BD" w:rsidRPr="00446050" w:rsidRDefault="000E38BD">
            <w:pPr>
              <w:pStyle w:val="ARtabletext"/>
            </w:pPr>
            <w:r w:rsidRPr="00446050">
              <w:t>Daily average number of children in foster care</w:t>
            </w:r>
            <w:r w:rsidR="00C77AA3">
              <w:t> </w:t>
            </w:r>
            <w:r w:rsidRPr="00446050">
              <w:t>placements</w:t>
            </w:r>
          </w:p>
        </w:tc>
        <w:tc>
          <w:tcPr>
            <w:tcW w:w="1019" w:type="dxa"/>
            <w:tcBorders>
              <w:top w:val="single" w:sz="4" w:space="0" w:color="BFBFBF"/>
            </w:tcBorders>
            <w:shd w:val="clear" w:color="auto" w:fill="auto"/>
          </w:tcPr>
          <w:p w14:paraId="50E114C5"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tcPr>
          <w:p w14:paraId="65E6B8FC" w14:textId="77777777" w:rsidR="000E38BD" w:rsidRPr="00446050" w:rsidRDefault="000E38BD">
            <w:pPr>
              <w:pStyle w:val="ARtabletextright"/>
            </w:pPr>
            <w:r w:rsidRPr="00446050">
              <w:t>1,773</w:t>
            </w:r>
          </w:p>
        </w:tc>
        <w:tc>
          <w:tcPr>
            <w:tcW w:w="1022" w:type="dxa"/>
            <w:tcBorders>
              <w:top w:val="single" w:sz="4" w:space="0" w:color="BFBFBF"/>
            </w:tcBorders>
            <w:shd w:val="clear" w:color="auto" w:fill="auto"/>
          </w:tcPr>
          <w:p w14:paraId="5F537935" w14:textId="77777777" w:rsidR="000E38BD" w:rsidRPr="00446050" w:rsidRDefault="000E38BD">
            <w:pPr>
              <w:pStyle w:val="ARtabletextright"/>
            </w:pPr>
            <w:r w:rsidRPr="00446050">
              <w:t>1,391</w:t>
            </w:r>
          </w:p>
        </w:tc>
        <w:tc>
          <w:tcPr>
            <w:tcW w:w="1024" w:type="dxa"/>
            <w:tcBorders>
              <w:top w:val="single" w:sz="4" w:space="0" w:color="BFBFBF"/>
            </w:tcBorders>
            <w:shd w:val="clear" w:color="auto" w:fill="auto"/>
          </w:tcPr>
          <w:p w14:paraId="205DC20B" w14:textId="77777777" w:rsidR="000E38BD" w:rsidRPr="00446050" w:rsidRDefault="000E38BD">
            <w:pPr>
              <w:pStyle w:val="ARtabletextright"/>
            </w:pPr>
            <w:r w:rsidRPr="00446050">
              <w:t>-21.5%</w:t>
            </w:r>
          </w:p>
        </w:tc>
        <w:tc>
          <w:tcPr>
            <w:tcW w:w="795" w:type="dxa"/>
            <w:tcBorders>
              <w:top w:val="single" w:sz="4" w:space="0" w:color="BFBFBF"/>
            </w:tcBorders>
            <w:shd w:val="clear" w:color="auto" w:fill="auto"/>
          </w:tcPr>
          <w:p w14:paraId="47E9E707" w14:textId="77777777" w:rsidR="000E38BD" w:rsidRPr="00446050" w:rsidRDefault="000E38BD">
            <w:pPr>
              <w:pStyle w:val="ARtableperformancesymbol"/>
              <w:rPr>
                <w:rStyle w:val="CommentReference"/>
                <w:rFonts w:asciiTheme="minorHAnsi" w:hAnsiTheme="minorHAnsi"/>
              </w:rPr>
            </w:pPr>
            <w:r w:rsidRPr="00446050">
              <w:t></w:t>
            </w:r>
          </w:p>
        </w:tc>
      </w:tr>
      <w:tr w:rsidR="000E38BD" w:rsidRPr="00446050" w14:paraId="407DAA09" w14:textId="77777777" w:rsidTr="009F799A">
        <w:trPr>
          <w:cantSplit/>
        </w:trPr>
        <w:tc>
          <w:tcPr>
            <w:tcW w:w="9632" w:type="dxa"/>
            <w:gridSpan w:val="7"/>
            <w:tcBorders>
              <w:bottom w:val="single" w:sz="4" w:space="0" w:color="BFBFBF"/>
            </w:tcBorders>
            <w:shd w:val="clear" w:color="auto" w:fill="auto"/>
          </w:tcPr>
          <w:p w14:paraId="7F9CE156" w14:textId="16CC1C6D" w:rsidR="000E38BD" w:rsidRPr="00446050" w:rsidRDefault="000E38BD">
            <w:pPr>
              <w:pStyle w:val="ARtablenoteindent"/>
            </w:pPr>
            <w:r w:rsidRPr="00446050">
              <w:t>The 2023</w:t>
            </w:r>
            <w:r w:rsidR="00E837F9">
              <w:t>–</w:t>
            </w:r>
            <w:r w:rsidRPr="00446050">
              <w:t>24 result is less than the 2023</w:t>
            </w:r>
            <w:r w:rsidR="00E837F9">
              <w:t>–</w:t>
            </w:r>
            <w:r w:rsidRPr="00446050">
              <w:t>24 target, potentially reflecting overall care placements trend.</w:t>
            </w:r>
          </w:p>
        </w:tc>
      </w:tr>
      <w:tr w:rsidR="000E38BD" w:rsidRPr="00446050" w14:paraId="66ACBB11" w14:textId="77777777" w:rsidTr="009F799A">
        <w:trPr>
          <w:cantSplit/>
        </w:trPr>
        <w:tc>
          <w:tcPr>
            <w:tcW w:w="4742" w:type="dxa"/>
            <w:tcBorders>
              <w:top w:val="single" w:sz="4" w:space="0" w:color="BFBFBF"/>
            </w:tcBorders>
            <w:shd w:val="clear" w:color="auto" w:fill="auto"/>
          </w:tcPr>
          <w:p w14:paraId="2FF0F69C" w14:textId="760D367A" w:rsidR="000E38BD" w:rsidRPr="00446050" w:rsidRDefault="000E38BD">
            <w:pPr>
              <w:pStyle w:val="ARtabletext"/>
            </w:pPr>
            <w:r w:rsidRPr="00446050">
              <w:t>Daily average number of children in kinship care</w:t>
            </w:r>
            <w:r w:rsidR="00C77AA3">
              <w:t> </w:t>
            </w:r>
            <w:r w:rsidRPr="00446050">
              <w:t>placements</w:t>
            </w:r>
          </w:p>
        </w:tc>
        <w:tc>
          <w:tcPr>
            <w:tcW w:w="1019" w:type="dxa"/>
            <w:tcBorders>
              <w:top w:val="single" w:sz="4" w:space="0" w:color="BFBFBF"/>
            </w:tcBorders>
            <w:shd w:val="clear" w:color="auto" w:fill="auto"/>
          </w:tcPr>
          <w:p w14:paraId="4A318242"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tcPr>
          <w:p w14:paraId="685EF1AB" w14:textId="77777777" w:rsidR="000E38BD" w:rsidRPr="00446050" w:rsidRDefault="000E38BD">
            <w:pPr>
              <w:pStyle w:val="ARtabletextright"/>
            </w:pPr>
            <w:r w:rsidRPr="00446050">
              <w:t>8,338</w:t>
            </w:r>
          </w:p>
        </w:tc>
        <w:tc>
          <w:tcPr>
            <w:tcW w:w="1022" w:type="dxa"/>
            <w:tcBorders>
              <w:top w:val="single" w:sz="4" w:space="0" w:color="BFBFBF"/>
            </w:tcBorders>
            <w:shd w:val="clear" w:color="auto" w:fill="auto"/>
          </w:tcPr>
          <w:p w14:paraId="1D6A2934" w14:textId="77777777" w:rsidR="000E38BD" w:rsidRPr="00446050" w:rsidRDefault="000E38BD">
            <w:pPr>
              <w:pStyle w:val="ARtabletextright"/>
            </w:pPr>
            <w:r w:rsidRPr="00446050">
              <w:t>7,425</w:t>
            </w:r>
          </w:p>
        </w:tc>
        <w:tc>
          <w:tcPr>
            <w:tcW w:w="1024" w:type="dxa"/>
            <w:tcBorders>
              <w:top w:val="single" w:sz="4" w:space="0" w:color="BFBFBF"/>
            </w:tcBorders>
            <w:shd w:val="clear" w:color="auto" w:fill="auto"/>
          </w:tcPr>
          <w:p w14:paraId="0CBB81F1" w14:textId="77777777" w:rsidR="000E38BD" w:rsidRPr="00446050" w:rsidRDefault="000E38BD">
            <w:pPr>
              <w:pStyle w:val="ARtabletextright"/>
            </w:pPr>
            <w:r w:rsidRPr="00446050">
              <w:t>-10.9%</w:t>
            </w:r>
          </w:p>
        </w:tc>
        <w:tc>
          <w:tcPr>
            <w:tcW w:w="804" w:type="dxa"/>
            <w:gridSpan w:val="2"/>
            <w:tcBorders>
              <w:top w:val="single" w:sz="4" w:space="0" w:color="BFBFBF"/>
            </w:tcBorders>
            <w:shd w:val="clear" w:color="auto" w:fill="auto"/>
          </w:tcPr>
          <w:p w14:paraId="1074AA0F" w14:textId="77777777" w:rsidR="000E38BD" w:rsidRPr="00446050" w:rsidRDefault="000E38BD">
            <w:pPr>
              <w:pStyle w:val="ARtableperformancesymbol"/>
              <w:rPr>
                <w:rStyle w:val="CommentReference"/>
                <w:rFonts w:asciiTheme="minorHAnsi" w:hAnsiTheme="minorHAnsi"/>
              </w:rPr>
            </w:pPr>
            <w:r w:rsidRPr="00446050">
              <w:t></w:t>
            </w:r>
          </w:p>
        </w:tc>
      </w:tr>
      <w:tr w:rsidR="000E38BD" w:rsidRPr="00446050" w14:paraId="65627EFD" w14:textId="77777777" w:rsidTr="009F799A">
        <w:trPr>
          <w:cantSplit/>
        </w:trPr>
        <w:tc>
          <w:tcPr>
            <w:tcW w:w="9632" w:type="dxa"/>
            <w:gridSpan w:val="7"/>
            <w:tcBorders>
              <w:bottom w:val="single" w:sz="4" w:space="0" w:color="BFBFBF"/>
            </w:tcBorders>
            <w:shd w:val="clear" w:color="auto" w:fill="auto"/>
          </w:tcPr>
          <w:p w14:paraId="0B916F2B" w14:textId="5568A12E" w:rsidR="000E38BD" w:rsidRPr="00446050" w:rsidRDefault="000E38BD">
            <w:pPr>
              <w:pStyle w:val="ARtablenoteindent"/>
            </w:pPr>
            <w:r w:rsidRPr="00446050">
              <w:t>The 2023</w:t>
            </w:r>
            <w:r w:rsidR="00E837F9">
              <w:t>–</w:t>
            </w:r>
            <w:r w:rsidRPr="00446050">
              <w:t>24 result is less than the 2023</w:t>
            </w:r>
            <w:r w:rsidR="00E837F9">
              <w:t>–</w:t>
            </w:r>
            <w:r w:rsidRPr="00446050">
              <w:t>24 target, potentially reflecting overall care placements trend.</w:t>
            </w:r>
          </w:p>
        </w:tc>
      </w:tr>
      <w:tr w:rsidR="000E38BD" w:rsidRPr="00446050" w14:paraId="1535E363" w14:textId="77777777" w:rsidTr="009F799A">
        <w:trPr>
          <w:cantSplit/>
        </w:trPr>
        <w:tc>
          <w:tcPr>
            <w:tcW w:w="4742" w:type="dxa"/>
            <w:tcBorders>
              <w:top w:val="single" w:sz="4" w:space="0" w:color="BFBFBF"/>
            </w:tcBorders>
            <w:shd w:val="clear" w:color="auto" w:fill="auto"/>
          </w:tcPr>
          <w:p w14:paraId="0EAE9CDC" w14:textId="0E1A6E85" w:rsidR="000E38BD" w:rsidRPr="00446050" w:rsidRDefault="000E38BD">
            <w:pPr>
              <w:pStyle w:val="ARtabletext"/>
            </w:pPr>
            <w:bookmarkStart w:id="144" w:name="_Hlk174698553"/>
            <w:r w:rsidRPr="00446050">
              <w:t>Daily average number of children in residential care</w:t>
            </w:r>
            <w:r w:rsidR="00C77AA3">
              <w:t> </w:t>
            </w:r>
            <w:r w:rsidRPr="00446050">
              <w:t>placements</w:t>
            </w:r>
          </w:p>
        </w:tc>
        <w:tc>
          <w:tcPr>
            <w:tcW w:w="1019" w:type="dxa"/>
            <w:tcBorders>
              <w:top w:val="single" w:sz="4" w:space="0" w:color="BFBFBF"/>
            </w:tcBorders>
            <w:shd w:val="clear" w:color="auto" w:fill="auto"/>
          </w:tcPr>
          <w:p w14:paraId="5BC45B71"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tcPr>
          <w:p w14:paraId="16F4EEBF" w14:textId="77777777" w:rsidR="000E38BD" w:rsidRPr="00446050" w:rsidRDefault="000E38BD">
            <w:pPr>
              <w:pStyle w:val="ARtabletextright"/>
            </w:pPr>
            <w:r w:rsidRPr="00446050">
              <w:t>529</w:t>
            </w:r>
          </w:p>
        </w:tc>
        <w:tc>
          <w:tcPr>
            <w:tcW w:w="1022" w:type="dxa"/>
            <w:tcBorders>
              <w:top w:val="single" w:sz="4" w:space="0" w:color="BFBFBF"/>
            </w:tcBorders>
            <w:shd w:val="clear" w:color="auto" w:fill="auto"/>
          </w:tcPr>
          <w:p w14:paraId="4D77D00E" w14:textId="77777777" w:rsidR="000E38BD" w:rsidRPr="00446050" w:rsidRDefault="000E38BD">
            <w:pPr>
              <w:pStyle w:val="ARtabletextright"/>
            </w:pPr>
            <w:r w:rsidRPr="00446050">
              <w:t>472</w:t>
            </w:r>
          </w:p>
        </w:tc>
        <w:tc>
          <w:tcPr>
            <w:tcW w:w="1024" w:type="dxa"/>
            <w:tcBorders>
              <w:top w:val="single" w:sz="4" w:space="0" w:color="BFBFBF"/>
            </w:tcBorders>
            <w:shd w:val="clear" w:color="auto" w:fill="auto"/>
          </w:tcPr>
          <w:p w14:paraId="08758B8C" w14:textId="77777777" w:rsidR="000E38BD" w:rsidRPr="00446050" w:rsidRDefault="000E38BD">
            <w:pPr>
              <w:pStyle w:val="ARtabletextright"/>
            </w:pPr>
            <w:r w:rsidRPr="00446050">
              <w:t>-10.7%</w:t>
            </w:r>
          </w:p>
        </w:tc>
        <w:tc>
          <w:tcPr>
            <w:tcW w:w="804" w:type="dxa"/>
            <w:gridSpan w:val="2"/>
            <w:tcBorders>
              <w:top w:val="single" w:sz="4" w:space="0" w:color="BFBFBF"/>
            </w:tcBorders>
            <w:shd w:val="clear" w:color="auto" w:fill="auto"/>
          </w:tcPr>
          <w:p w14:paraId="207720E6" w14:textId="77777777" w:rsidR="000E38BD" w:rsidRPr="00446050" w:rsidRDefault="000E38BD">
            <w:pPr>
              <w:pStyle w:val="ARtableperformancesymbol"/>
              <w:rPr>
                <w:rStyle w:val="CommentReference"/>
                <w:rFonts w:asciiTheme="minorHAnsi" w:hAnsiTheme="minorHAnsi"/>
              </w:rPr>
            </w:pPr>
            <w:r w:rsidRPr="00446050">
              <w:t></w:t>
            </w:r>
          </w:p>
        </w:tc>
      </w:tr>
      <w:tr w:rsidR="000E38BD" w:rsidRPr="00446050" w14:paraId="56524C9F" w14:textId="77777777" w:rsidTr="009F799A">
        <w:trPr>
          <w:cantSplit/>
        </w:trPr>
        <w:tc>
          <w:tcPr>
            <w:tcW w:w="9632" w:type="dxa"/>
            <w:gridSpan w:val="7"/>
            <w:tcBorders>
              <w:bottom w:val="single" w:sz="4" w:space="0" w:color="BFBFBF"/>
            </w:tcBorders>
            <w:shd w:val="clear" w:color="auto" w:fill="auto"/>
          </w:tcPr>
          <w:p w14:paraId="4F60F98C" w14:textId="6AF8A4E4" w:rsidR="000E38BD" w:rsidRPr="00446050" w:rsidRDefault="000E38BD">
            <w:pPr>
              <w:pStyle w:val="ARtablenoteindent"/>
            </w:pPr>
            <w:r w:rsidRPr="00446050">
              <w:t>The 2023</w:t>
            </w:r>
            <w:r w:rsidR="00E837F9">
              <w:t>–</w:t>
            </w:r>
            <w:r w:rsidRPr="00446050">
              <w:t>24 result is less than the 2023</w:t>
            </w:r>
            <w:r w:rsidR="00E837F9">
              <w:t>–</w:t>
            </w:r>
            <w:r w:rsidRPr="00446050">
              <w:t>24 target, potentially reflecting overall care placements trend.</w:t>
            </w:r>
          </w:p>
        </w:tc>
      </w:tr>
      <w:bookmarkEnd w:id="144"/>
      <w:tr w:rsidR="000E38BD" w:rsidRPr="00446050" w14:paraId="23DEA1E0" w14:textId="77777777" w:rsidTr="009F799A">
        <w:trPr>
          <w:cantSplit/>
        </w:trPr>
        <w:tc>
          <w:tcPr>
            <w:tcW w:w="4742" w:type="dxa"/>
            <w:tcBorders>
              <w:top w:val="single" w:sz="4" w:space="0" w:color="BFBFBF"/>
            </w:tcBorders>
            <w:shd w:val="clear" w:color="auto" w:fill="auto"/>
          </w:tcPr>
          <w:p w14:paraId="2E5244A8" w14:textId="77777777" w:rsidR="000E38BD" w:rsidRPr="00446050" w:rsidRDefault="000E38BD">
            <w:pPr>
              <w:pStyle w:val="ARtabletext"/>
            </w:pPr>
            <w:r w:rsidRPr="00446050">
              <w:t>Daily average number of children subject to permanent care orders</w:t>
            </w:r>
          </w:p>
        </w:tc>
        <w:tc>
          <w:tcPr>
            <w:tcW w:w="1019" w:type="dxa"/>
            <w:tcBorders>
              <w:top w:val="single" w:sz="4" w:space="0" w:color="BFBFBF"/>
            </w:tcBorders>
            <w:shd w:val="clear" w:color="auto" w:fill="auto"/>
          </w:tcPr>
          <w:p w14:paraId="2520B328"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tcPr>
          <w:p w14:paraId="7285BC00" w14:textId="77777777" w:rsidR="000E38BD" w:rsidRPr="00446050" w:rsidRDefault="000E38BD">
            <w:pPr>
              <w:pStyle w:val="ARtabletextright"/>
            </w:pPr>
            <w:r w:rsidRPr="00446050">
              <w:t>3,555</w:t>
            </w:r>
          </w:p>
        </w:tc>
        <w:tc>
          <w:tcPr>
            <w:tcW w:w="1022" w:type="dxa"/>
            <w:tcBorders>
              <w:top w:val="single" w:sz="4" w:space="0" w:color="BFBFBF"/>
            </w:tcBorders>
            <w:shd w:val="clear" w:color="auto" w:fill="auto"/>
          </w:tcPr>
          <w:p w14:paraId="0F8A4E3B" w14:textId="77777777" w:rsidR="000E38BD" w:rsidRPr="00446050" w:rsidRDefault="000E38BD">
            <w:pPr>
              <w:pStyle w:val="ARtabletextright"/>
            </w:pPr>
            <w:r w:rsidRPr="00446050">
              <w:t>3,874</w:t>
            </w:r>
          </w:p>
        </w:tc>
        <w:tc>
          <w:tcPr>
            <w:tcW w:w="1024" w:type="dxa"/>
            <w:tcBorders>
              <w:top w:val="single" w:sz="4" w:space="0" w:color="BFBFBF"/>
            </w:tcBorders>
            <w:shd w:val="clear" w:color="auto" w:fill="auto"/>
          </w:tcPr>
          <w:p w14:paraId="47E7D538" w14:textId="77777777" w:rsidR="000E38BD" w:rsidRPr="00446050" w:rsidRDefault="000E38BD">
            <w:pPr>
              <w:pStyle w:val="ARtabletextright"/>
            </w:pPr>
            <w:r w:rsidRPr="00446050">
              <w:t>9.0%</w:t>
            </w:r>
          </w:p>
        </w:tc>
        <w:tc>
          <w:tcPr>
            <w:tcW w:w="804" w:type="dxa"/>
            <w:gridSpan w:val="2"/>
            <w:tcBorders>
              <w:top w:val="single" w:sz="4" w:space="0" w:color="BFBFBF"/>
            </w:tcBorders>
            <w:shd w:val="clear" w:color="auto" w:fill="auto"/>
          </w:tcPr>
          <w:p w14:paraId="23EBB07E" w14:textId="77777777" w:rsidR="000E38BD" w:rsidRPr="00446050" w:rsidRDefault="000E38BD">
            <w:pPr>
              <w:pStyle w:val="ARtableperformancesymbol"/>
              <w:rPr>
                <w:rStyle w:val="CommentReference"/>
                <w:rFonts w:asciiTheme="minorHAnsi" w:hAnsiTheme="minorHAnsi"/>
              </w:rPr>
            </w:pPr>
            <w:r w:rsidRPr="00446050">
              <w:rPr>
                <w:rFonts w:eastAsia="Wingdings" w:cs="Wingdings"/>
              </w:rPr>
              <w:t></w:t>
            </w:r>
          </w:p>
        </w:tc>
      </w:tr>
      <w:tr w:rsidR="000E38BD" w:rsidRPr="00446050" w14:paraId="7FBD6E5B" w14:textId="77777777" w:rsidTr="009F799A">
        <w:trPr>
          <w:cantSplit/>
        </w:trPr>
        <w:tc>
          <w:tcPr>
            <w:tcW w:w="9632" w:type="dxa"/>
            <w:gridSpan w:val="7"/>
            <w:tcBorders>
              <w:bottom w:val="single" w:sz="4" w:space="0" w:color="BFBFBF"/>
            </w:tcBorders>
            <w:shd w:val="clear" w:color="auto" w:fill="auto"/>
          </w:tcPr>
          <w:p w14:paraId="2EF4C885" w14:textId="06FF1EC3" w:rsidR="000E38BD" w:rsidRPr="00446050" w:rsidRDefault="000E38BD">
            <w:pPr>
              <w:pStyle w:val="ARtablenoteindent"/>
            </w:pPr>
            <w:r w:rsidRPr="00446050">
              <w:t>The 2023</w:t>
            </w:r>
            <w:r w:rsidR="00E837F9">
              <w:t>–</w:t>
            </w:r>
            <w:r w:rsidRPr="00446050">
              <w:t>24 result is higher than the 2023</w:t>
            </w:r>
            <w:r w:rsidR="00E837F9">
              <w:t>–</w:t>
            </w:r>
            <w:r w:rsidRPr="00446050">
              <w:t>24 target, reflecting a change in counting methodology.</w:t>
            </w:r>
          </w:p>
        </w:tc>
      </w:tr>
      <w:tr w:rsidR="000E38BD" w:rsidRPr="00446050" w14:paraId="197206A5" w14:textId="77777777" w:rsidTr="009F799A">
        <w:trPr>
          <w:cantSplit/>
        </w:trPr>
        <w:tc>
          <w:tcPr>
            <w:tcW w:w="9632" w:type="dxa"/>
            <w:gridSpan w:val="7"/>
            <w:tcBorders>
              <w:bottom w:val="single" w:sz="4" w:space="0" w:color="BFBFBF"/>
            </w:tcBorders>
            <w:shd w:val="clear" w:color="auto" w:fill="auto"/>
          </w:tcPr>
          <w:tbl>
            <w:tblPr>
              <w:tblW w:w="9639" w:type="dxa"/>
              <w:tblLayout w:type="fixed"/>
              <w:tblCellMar>
                <w:left w:w="0" w:type="dxa"/>
              </w:tblCellMar>
              <w:tblLook w:val="06A0" w:firstRow="1" w:lastRow="0" w:firstColumn="1" w:lastColumn="0" w:noHBand="1" w:noVBand="1"/>
            </w:tblPr>
            <w:tblGrid>
              <w:gridCol w:w="4745"/>
              <w:gridCol w:w="1019"/>
              <w:gridCol w:w="1022"/>
              <w:gridCol w:w="1023"/>
              <w:gridCol w:w="1025"/>
              <w:gridCol w:w="805"/>
            </w:tblGrid>
            <w:tr w:rsidR="000E38BD" w:rsidRPr="00446050" w14:paraId="4D6B0858" w14:textId="77777777">
              <w:trPr>
                <w:cantSplit/>
              </w:trPr>
              <w:tc>
                <w:tcPr>
                  <w:tcW w:w="4745" w:type="dxa"/>
                  <w:tcBorders>
                    <w:top w:val="single" w:sz="4" w:space="0" w:color="BFBFBF"/>
                  </w:tcBorders>
                  <w:shd w:val="clear" w:color="auto" w:fill="auto"/>
                </w:tcPr>
                <w:p w14:paraId="213F834F" w14:textId="77777777" w:rsidR="000E38BD" w:rsidRPr="00446050" w:rsidRDefault="000E38BD">
                  <w:pPr>
                    <w:pStyle w:val="ARtabletext"/>
                  </w:pPr>
                  <w:r w:rsidRPr="00446050">
                    <w:t>Number of children authorised to an Aboriginal agency under the Aboriginal Children in Aboriginal Care program</w:t>
                  </w:r>
                </w:p>
              </w:tc>
              <w:tc>
                <w:tcPr>
                  <w:tcW w:w="1019" w:type="dxa"/>
                  <w:tcBorders>
                    <w:top w:val="single" w:sz="4" w:space="0" w:color="BFBFBF"/>
                  </w:tcBorders>
                  <w:shd w:val="clear" w:color="auto" w:fill="auto"/>
                </w:tcPr>
                <w:p w14:paraId="1C9D370E" w14:textId="77777777" w:rsidR="000E38BD" w:rsidRPr="00446050" w:rsidRDefault="000E38BD">
                  <w:pPr>
                    <w:pStyle w:val="ARtabletext"/>
                  </w:pPr>
                  <w:r w:rsidRPr="00446050">
                    <w:t>number</w:t>
                  </w:r>
                </w:p>
              </w:tc>
              <w:tc>
                <w:tcPr>
                  <w:tcW w:w="1022" w:type="dxa"/>
                  <w:tcBorders>
                    <w:top w:val="single" w:sz="4" w:space="0" w:color="BFBFBF"/>
                  </w:tcBorders>
                  <w:shd w:val="clear" w:color="auto" w:fill="auto"/>
                </w:tcPr>
                <w:p w14:paraId="5655E741" w14:textId="77777777" w:rsidR="000E38BD" w:rsidRPr="00446050" w:rsidRDefault="000E38BD">
                  <w:pPr>
                    <w:pStyle w:val="ARtabletextright"/>
                  </w:pPr>
                  <w:r w:rsidRPr="00446050">
                    <w:t>250</w:t>
                  </w:r>
                </w:p>
              </w:tc>
              <w:tc>
                <w:tcPr>
                  <w:tcW w:w="1023" w:type="dxa"/>
                  <w:tcBorders>
                    <w:top w:val="single" w:sz="4" w:space="0" w:color="BFBFBF"/>
                  </w:tcBorders>
                  <w:shd w:val="clear" w:color="auto" w:fill="auto"/>
                </w:tcPr>
                <w:p w14:paraId="38959A48" w14:textId="77777777" w:rsidR="000E38BD" w:rsidRPr="00446050" w:rsidRDefault="000E38BD">
                  <w:pPr>
                    <w:pStyle w:val="ARtabletextright"/>
                  </w:pPr>
                  <w:r w:rsidRPr="00446050">
                    <w:t>258</w:t>
                  </w:r>
                </w:p>
              </w:tc>
              <w:tc>
                <w:tcPr>
                  <w:tcW w:w="1025" w:type="dxa"/>
                  <w:tcBorders>
                    <w:top w:val="single" w:sz="4" w:space="0" w:color="BFBFBF"/>
                  </w:tcBorders>
                  <w:shd w:val="clear" w:color="auto" w:fill="auto"/>
                </w:tcPr>
                <w:p w14:paraId="5E4C84AF" w14:textId="77777777" w:rsidR="000E38BD" w:rsidRPr="00446050" w:rsidRDefault="000E38BD">
                  <w:pPr>
                    <w:pStyle w:val="ARtabletextright"/>
                  </w:pPr>
                  <w:r w:rsidRPr="00446050">
                    <w:t>3.2%</w:t>
                  </w:r>
                </w:p>
              </w:tc>
              <w:tc>
                <w:tcPr>
                  <w:tcW w:w="805" w:type="dxa"/>
                  <w:tcBorders>
                    <w:top w:val="single" w:sz="4" w:space="0" w:color="BFBFBF"/>
                  </w:tcBorders>
                  <w:shd w:val="clear" w:color="auto" w:fill="auto"/>
                </w:tcPr>
                <w:p w14:paraId="388B272F" w14:textId="77777777" w:rsidR="000E38BD" w:rsidRPr="00446050" w:rsidRDefault="000E38BD">
                  <w:pPr>
                    <w:pStyle w:val="ARtableperformancesymbol"/>
                    <w:rPr>
                      <w:rStyle w:val="CommentReference"/>
                      <w:rFonts w:asciiTheme="minorHAnsi" w:hAnsiTheme="minorHAnsi"/>
                    </w:rPr>
                  </w:pPr>
                  <w:r w:rsidRPr="00446050">
                    <w:rPr>
                      <w:rFonts w:eastAsia="Wingdings" w:cs="Wingdings"/>
                    </w:rPr>
                    <w:t></w:t>
                  </w:r>
                </w:p>
              </w:tc>
            </w:tr>
          </w:tbl>
          <w:p w14:paraId="1E2C02BE" w14:textId="77777777" w:rsidR="000E38BD" w:rsidRPr="00446050" w:rsidRDefault="000E38BD">
            <w:pPr>
              <w:pStyle w:val="ARtablenoteindent"/>
            </w:pPr>
          </w:p>
        </w:tc>
      </w:tr>
      <w:tr w:rsidR="000E38BD" w:rsidRPr="00446050" w14:paraId="1FAE5DEB" w14:textId="77777777" w:rsidTr="009F799A">
        <w:trPr>
          <w:cantSplit/>
        </w:trPr>
        <w:tc>
          <w:tcPr>
            <w:tcW w:w="4742" w:type="dxa"/>
            <w:shd w:val="clear" w:color="auto" w:fill="auto"/>
            <w:hideMark/>
          </w:tcPr>
          <w:p w14:paraId="4675B6B1" w14:textId="77777777" w:rsidR="000E38BD" w:rsidRPr="00446050" w:rsidRDefault="000E38BD">
            <w:pPr>
              <w:pStyle w:val="ARtabletext"/>
            </w:pPr>
            <w:r w:rsidRPr="00446050">
              <w:t>Number of families receiving an intensive support service</w:t>
            </w:r>
          </w:p>
        </w:tc>
        <w:tc>
          <w:tcPr>
            <w:tcW w:w="1019" w:type="dxa"/>
            <w:shd w:val="clear" w:color="auto" w:fill="auto"/>
            <w:hideMark/>
          </w:tcPr>
          <w:p w14:paraId="2CEE7A78" w14:textId="77777777" w:rsidR="000E38BD" w:rsidRPr="00446050" w:rsidRDefault="000E38BD">
            <w:pPr>
              <w:pStyle w:val="ARtabletext"/>
            </w:pPr>
            <w:r w:rsidRPr="00446050">
              <w:t>number</w:t>
            </w:r>
          </w:p>
        </w:tc>
        <w:tc>
          <w:tcPr>
            <w:tcW w:w="1021" w:type="dxa"/>
            <w:shd w:val="clear" w:color="auto" w:fill="auto"/>
          </w:tcPr>
          <w:p w14:paraId="53DD2316" w14:textId="77777777" w:rsidR="000E38BD" w:rsidRPr="00446050" w:rsidRDefault="000E38BD">
            <w:pPr>
              <w:pStyle w:val="ARtabletextright"/>
            </w:pPr>
            <w:r w:rsidRPr="00446050">
              <w:t>3,107</w:t>
            </w:r>
          </w:p>
        </w:tc>
        <w:tc>
          <w:tcPr>
            <w:tcW w:w="1022" w:type="dxa"/>
            <w:shd w:val="clear" w:color="auto" w:fill="auto"/>
          </w:tcPr>
          <w:p w14:paraId="6597E67F" w14:textId="77777777" w:rsidR="000E38BD" w:rsidRPr="00446050" w:rsidRDefault="000E38BD">
            <w:pPr>
              <w:pStyle w:val="ARtabletextright"/>
            </w:pPr>
            <w:r w:rsidRPr="00446050">
              <w:t>2,951</w:t>
            </w:r>
          </w:p>
        </w:tc>
        <w:tc>
          <w:tcPr>
            <w:tcW w:w="1024" w:type="dxa"/>
            <w:shd w:val="clear" w:color="auto" w:fill="auto"/>
          </w:tcPr>
          <w:p w14:paraId="0F72785F" w14:textId="77777777" w:rsidR="000E38BD" w:rsidRPr="00446050" w:rsidRDefault="000E38BD">
            <w:pPr>
              <w:pStyle w:val="ARtabletextright"/>
            </w:pPr>
            <w:r w:rsidRPr="00446050">
              <w:t>-5.0%</w:t>
            </w:r>
          </w:p>
        </w:tc>
        <w:tc>
          <w:tcPr>
            <w:tcW w:w="804" w:type="dxa"/>
            <w:gridSpan w:val="2"/>
            <w:shd w:val="clear" w:color="auto" w:fill="auto"/>
          </w:tcPr>
          <w:p w14:paraId="35808D02" w14:textId="77777777" w:rsidR="000E38BD" w:rsidRPr="00446050" w:rsidRDefault="000E38BD">
            <w:pPr>
              <w:pStyle w:val="ARtableperformancesymbol"/>
              <w:rPr>
                <w:rFonts w:hint="eastAsia"/>
              </w:rPr>
            </w:pPr>
            <w:r w:rsidRPr="00446050">
              <w:t></w:t>
            </w:r>
          </w:p>
        </w:tc>
      </w:tr>
      <w:tr w:rsidR="000E38BD" w:rsidRPr="00446050" w14:paraId="1A6D8921" w14:textId="77777777" w:rsidTr="009F799A">
        <w:trPr>
          <w:cantSplit/>
        </w:trPr>
        <w:tc>
          <w:tcPr>
            <w:tcW w:w="9632" w:type="dxa"/>
            <w:gridSpan w:val="7"/>
            <w:tcBorders>
              <w:bottom w:val="single" w:sz="4" w:space="0" w:color="BFBFBF"/>
            </w:tcBorders>
            <w:shd w:val="clear" w:color="auto" w:fill="auto"/>
            <w:noWrap/>
          </w:tcPr>
          <w:p w14:paraId="7F55D230" w14:textId="6D208FF7" w:rsidR="000E38BD" w:rsidRPr="00446050" w:rsidRDefault="000E38BD">
            <w:pPr>
              <w:pStyle w:val="ARtablenoteindent"/>
            </w:pPr>
            <w:r w:rsidRPr="00446050">
              <w:t>The 2023</w:t>
            </w:r>
            <w:r w:rsidR="00E837F9">
              <w:t>–</w:t>
            </w:r>
            <w:r w:rsidRPr="00446050">
              <w:t>24 expected outcome is lower than the target due to data collection and categorisation issues that result in some under-reporting of intensive services.</w:t>
            </w:r>
          </w:p>
        </w:tc>
      </w:tr>
      <w:tr w:rsidR="000E38BD" w:rsidRPr="00446050" w14:paraId="336EF2E9" w14:textId="77777777" w:rsidTr="009F799A">
        <w:trPr>
          <w:cantSplit/>
        </w:trPr>
        <w:tc>
          <w:tcPr>
            <w:tcW w:w="4742" w:type="dxa"/>
            <w:tcBorders>
              <w:top w:val="single" w:sz="4" w:space="0" w:color="A6A6A6"/>
            </w:tcBorders>
            <w:shd w:val="clear" w:color="auto" w:fill="auto"/>
            <w:hideMark/>
          </w:tcPr>
          <w:p w14:paraId="77327D0B" w14:textId="35E5E133" w:rsidR="000E38BD" w:rsidRPr="00446050" w:rsidRDefault="000E38BD">
            <w:pPr>
              <w:pStyle w:val="ARtabletext"/>
              <w:keepNext/>
            </w:pPr>
            <w:r w:rsidRPr="00446050">
              <w:t>Number of family services cases provided to Aboriginal</w:t>
            </w:r>
            <w:r w:rsidR="00B60F95">
              <w:t> </w:t>
            </w:r>
            <w:r w:rsidRPr="00446050">
              <w:t>families</w:t>
            </w:r>
          </w:p>
        </w:tc>
        <w:tc>
          <w:tcPr>
            <w:tcW w:w="1019" w:type="dxa"/>
            <w:tcBorders>
              <w:top w:val="single" w:sz="4" w:space="0" w:color="A6A6A6"/>
            </w:tcBorders>
            <w:shd w:val="clear" w:color="auto" w:fill="auto"/>
            <w:hideMark/>
          </w:tcPr>
          <w:p w14:paraId="66F408D4" w14:textId="77777777" w:rsidR="000E38BD" w:rsidRPr="00446050" w:rsidRDefault="000E38BD">
            <w:pPr>
              <w:pStyle w:val="ARtabletext"/>
            </w:pPr>
            <w:r w:rsidRPr="00446050">
              <w:t>number</w:t>
            </w:r>
          </w:p>
        </w:tc>
        <w:tc>
          <w:tcPr>
            <w:tcW w:w="1021" w:type="dxa"/>
            <w:tcBorders>
              <w:top w:val="single" w:sz="4" w:space="0" w:color="A6A6A6"/>
            </w:tcBorders>
            <w:shd w:val="clear" w:color="auto" w:fill="auto"/>
          </w:tcPr>
          <w:p w14:paraId="3B039458" w14:textId="77777777" w:rsidR="000E38BD" w:rsidRPr="00446050" w:rsidRDefault="000E38BD">
            <w:pPr>
              <w:pStyle w:val="ARtabletextright"/>
            </w:pPr>
            <w:r w:rsidRPr="00446050">
              <w:t>1,983</w:t>
            </w:r>
          </w:p>
        </w:tc>
        <w:tc>
          <w:tcPr>
            <w:tcW w:w="1022" w:type="dxa"/>
            <w:tcBorders>
              <w:top w:val="single" w:sz="4" w:space="0" w:color="A6A6A6"/>
            </w:tcBorders>
            <w:shd w:val="clear" w:color="auto" w:fill="auto"/>
          </w:tcPr>
          <w:p w14:paraId="135EB9F4" w14:textId="0006E63A" w:rsidR="000E38BD" w:rsidRPr="001F263A" w:rsidRDefault="00BC2867">
            <w:pPr>
              <w:pStyle w:val="ARtabletextright"/>
            </w:pPr>
            <w:r w:rsidRPr="001F263A">
              <w:t>2,716</w:t>
            </w:r>
          </w:p>
        </w:tc>
        <w:tc>
          <w:tcPr>
            <w:tcW w:w="1024" w:type="dxa"/>
            <w:tcBorders>
              <w:top w:val="single" w:sz="4" w:space="0" w:color="A6A6A6"/>
            </w:tcBorders>
            <w:shd w:val="clear" w:color="auto" w:fill="auto"/>
          </w:tcPr>
          <w:p w14:paraId="34109225" w14:textId="5556BDC6" w:rsidR="000E38BD" w:rsidRPr="001F263A" w:rsidRDefault="008B74AD">
            <w:pPr>
              <w:pStyle w:val="ARtabletextright"/>
            </w:pPr>
            <w:r w:rsidRPr="001F263A">
              <w:t>37</w:t>
            </w:r>
            <w:r w:rsidR="000E38BD" w:rsidRPr="001F263A">
              <w:t>%</w:t>
            </w:r>
          </w:p>
        </w:tc>
        <w:tc>
          <w:tcPr>
            <w:tcW w:w="804" w:type="dxa"/>
            <w:gridSpan w:val="2"/>
            <w:tcBorders>
              <w:top w:val="single" w:sz="4" w:space="0" w:color="A6A6A6"/>
            </w:tcBorders>
            <w:shd w:val="clear" w:color="auto" w:fill="auto"/>
          </w:tcPr>
          <w:p w14:paraId="7AC35A5F" w14:textId="58A2F773" w:rsidR="000E38BD" w:rsidRPr="00446050" w:rsidRDefault="009C2E09">
            <w:pPr>
              <w:pStyle w:val="ARtableperformancesymbol"/>
              <w:rPr>
                <w:rFonts w:hint="eastAsia"/>
                <w:lang w:val="en-AU"/>
              </w:rPr>
            </w:pPr>
            <w:r w:rsidRPr="00446050">
              <w:rPr>
                <w:rFonts w:eastAsia="Wingdings" w:cs="Wingdings"/>
              </w:rPr>
              <w:t></w:t>
            </w:r>
          </w:p>
        </w:tc>
      </w:tr>
      <w:tr w:rsidR="000E38BD" w:rsidRPr="00446050" w14:paraId="7DA3D26B" w14:textId="77777777" w:rsidTr="009F799A">
        <w:trPr>
          <w:cantSplit/>
        </w:trPr>
        <w:tc>
          <w:tcPr>
            <w:tcW w:w="9632" w:type="dxa"/>
            <w:gridSpan w:val="7"/>
            <w:tcBorders>
              <w:bottom w:val="single" w:sz="4" w:space="0" w:color="BFBFBF"/>
            </w:tcBorders>
            <w:shd w:val="clear" w:color="auto" w:fill="auto"/>
          </w:tcPr>
          <w:p w14:paraId="6B1E1F4E" w14:textId="4DA6A766" w:rsidR="000E38BD" w:rsidRPr="00446050" w:rsidRDefault="000E38BD" w:rsidP="00FC77E6">
            <w:pPr>
              <w:pStyle w:val="ARtablenoteindent"/>
              <w:rPr>
                <w:rFonts w:eastAsia="Wingdings" w:cs="Arial"/>
              </w:rPr>
            </w:pPr>
            <w:r w:rsidRPr="00446050">
              <w:rPr>
                <w:rFonts w:cs="Arial"/>
              </w:rPr>
              <w:t>The 2023</w:t>
            </w:r>
            <w:r w:rsidR="00E837F9">
              <w:rPr>
                <w:rFonts w:cs="Arial"/>
              </w:rPr>
              <w:t>–</w:t>
            </w:r>
            <w:r w:rsidRPr="00446050">
              <w:rPr>
                <w:rFonts w:cs="Arial"/>
              </w:rPr>
              <w:t>24 result is higher than the 2023</w:t>
            </w:r>
            <w:r w:rsidR="00E837F9">
              <w:rPr>
                <w:rFonts w:cs="Arial"/>
              </w:rPr>
              <w:t>–</w:t>
            </w:r>
            <w:r w:rsidRPr="00446050">
              <w:rPr>
                <w:rFonts w:cs="Arial"/>
              </w:rPr>
              <w:t>24 target due to a high number of Aboriginal families receiving a family service.</w:t>
            </w:r>
            <w:r w:rsidR="00FC77E6">
              <w:rPr>
                <w:rFonts w:eastAsia="Wingdings" w:cs="Arial"/>
              </w:rPr>
              <w:t xml:space="preserve"> </w:t>
            </w:r>
            <w:r w:rsidRPr="00446050">
              <w:rPr>
                <w:rFonts w:eastAsia="Wingdings" w:cs="Arial"/>
              </w:rPr>
              <w:t>This performance measure is proposed to be discontinued in the 2024</w:t>
            </w:r>
            <w:r w:rsidR="00E837F9">
              <w:rPr>
                <w:rFonts w:eastAsia="Wingdings" w:cs="Arial"/>
              </w:rPr>
              <w:t>–</w:t>
            </w:r>
            <w:r w:rsidRPr="00446050">
              <w:rPr>
                <w:rFonts w:eastAsia="Wingdings" w:cs="Arial"/>
              </w:rPr>
              <w:t>25 Budget. It is being replaced by the 2024</w:t>
            </w:r>
            <w:r w:rsidR="00E837F9">
              <w:rPr>
                <w:rFonts w:eastAsia="Wingdings" w:cs="Arial"/>
              </w:rPr>
              <w:t>–</w:t>
            </w:r>
            <w:r w:rsidRPr="00446050">
              <w:rPr>
                <w:rFonts w:eastAsia="Wingdings" w:cs="Arial"/>
              </w:rPr>
              <w:t xml:space="preserve">25 performance measure </w:t>
            </w:r>
            <w:r w:rsidR="00711AE6">
              <w:rPr>
                <w:rFonts w:eastAsia="Wingdings" w:cs="Arial"/>
              </w:rPr>
              <w:t>‘</w:t>
            </w:r>
            <w:r w:rsidRPr="00446050">
              <w:rPr>
                <w:rFonts w:eastAsia="Wingdings" w:cs="Arial"/>
              </w:rPr>
              <w:t>Total family service cases commencing for Aboriginal families</w:t>
            </w:r>
            <w:r w:rsidR="00711AE6">
              <w:rPr>
                <w:rFonts w:eastAsia="Wingdings" w:cs="Arial"/>
              </w:rPr>
              <w:t>’</w:t>
            </w:r>
            <w:r w:rsidRPr="00446050">
              <w:rPr>
                <w:rFonts w:eastAsia="Wingdings" w:cs="Arial"/>
              </w:rPr>
              <w:t>.</w:t>
            </w:r>
          </w:p>
        </w:tc>
      </w:tr>
      <w:tr w:rsidR="000E38BD" w:rsidRPr="00446050" w14:paraId="49F530C6" w14:textId="77777777" w:rsidTr="009F799A">
        <w:trPr>
          <w:gridAfter w:val="1"/>
          <w:wAfter w:w="9" w:type="dxa"/>
          <w:cantSplit/>
        </w:trPr>
        <w:tc>
          <w:tcPr>
            <w:tcW w:w="4742" w:type="dxa"/>
            <w:tcBorders>
              <w:top w:val="single" w:sz="4" w:space="0" w:color="BFBFBF"/>
            </w:tcBorders>
            <w:shd w:val="clear" w:color="auto" w:fill="auto"/>
            <w:hideMark/>
          </w:tcPr>
          <w:p w14:paraId="10CC400B" w14:textId="77777777" w:rsidR="000E38BD" w:rsidRPr="00446050" w:rsidRDefault="000E38BD">
            <w:pPr>
              <w:pStyle w:val="ARtabletext"/>
              <w:keepNext/>
            </w:pPr>
            <w:bookmarkStart w:id="145" w:name="_Hlk174699466"/>
            <w:r w:rsidRPr="00446050">
              <w:t>Number of intensive support services provided to Aboriginal families</w:t>
            </w:r>
          </w:p>
        </w:tc>
        <w:tc>
          <w:tcPr>
            <w:tcW w:w="1019" w:type="dxa"/>
            <w:tcBorders>
              <w:top w:val="single" w:sz="4" w:space="0" w:color="BFBFBF"/>
            </w:tcBorders>
            <w:shd w:val="clear" w:color="auto" w:fill="auto"/>
            <w:hideMark/>
          </w:tcPr>
          <w:p w14:paraId="06C1B280"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hideMark/>
          </w:tcPr>
          <w:p w14:paraId="4FE99D6F" w14:textId="77777777" w:rsidR="000E38BD" w:rsidRPr="00446050" w:rsidRDefault="000E38BD">
            <w:pPr>
              <w:pStyle w:val="ARtabletextright"/>
            </w:pPr>
            <w:r w:rsidRPr="00446050">
              <w:t>925</w:t>
            </w:r>
          </w:p>
        </w:tc>
        <w:tc>
          <w:tcPr>
            <w:tcW w:w="1022" w:type="dxa"/>
            <w:tcBorders>
              <w:top w:val="single" w:sz="4" w:space="0" w:color="BFBFBF"/>
            </w:tcBorders>
            <w:shd w:val="clear" w:color="auto" w:fill="auto"/>
          </w:tcPr>
          <w:p w14:paraId="5049895C" w14:textId="77777777" w:rsidR="000E38BD" w:rsidRPr="00446050" w:rsidRDefault="000E38BD">
            <w:pPr>
              <w:pStyle w:val="ARtabletextright"/>
            </w:pPr>
            <w:r w:rsidRPr="00446050">
              <w:t>709</w:t>
            </w:r>
          </w:p>
        </w:tc>
        <w:tc>
          <w:tcPr>
            <w:tcW w:w="1024" w:type="dxa"/>
            <w:tcBorders>
              <w:top w:val="single" w:sz="4" w:space="0" w:color="BFBFBF"/>
            </w:tcBorders>
            <w:shd w:val="clear" w:color="auto" w:fill="auto"/>
          </w:tcPr>
          <w:p w14:paraId="302766B0" w14:textId="77777777" w:rsidR="000E38BD" w:rsidRPr="00446050" w:rsidRDefault="000E38BD">
            <w:pPr>
              <w:pStyle w:val="ARtabletextright"/>
            </w:pPr>
            <w:r w:rsidRPr="00446050">
              <w:t>-23.4%</w:t>
            </w:r>
          </w:p>
        </w:tc>
        <w:tc>
          <w:tcPr>
            <w:tcW w:w="795" w:type="dxa"/>
            <w:tcBorders>
              <w:top w:val="single" w:sz="4" w:space="0" w:color="BFBFBF"/>
            </w:tcBorders>
            <w:shd w:val="clear" w:color="auto" w:fill="auto"/>
          </w:tcPr>
          <w:p w14:paraId="729B46BA"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3221B7A6" w14:textId="77777777" w:rsidTr="009F799A">
        <w:trPr>
          <w:gridAfter w:val="1"/>
          <w:wAfter w:w="9" w:type="dxa"/>
          <w:cantSplit/>
        </w:trPr>
        <w:tc>
          <w:tcPr>
            <w:tcW w:w="9623" w:type="dxa"/>
            <w:gridSpan w:val="6"/>
            <w:tcBorders>
              <w:bottom w:val="single" w:sz="4" w:space="0" w:color="BFBFBF"/>
            </w:tcBorders>
            <w:shd w:val="clear" w:color="auto" w:fill="auto"/>
            <w:noWrap/>
            <w:hideMark/>
          </w:tcPr>
          <w:p w14:paraId="5E5D08A6" w14:textId="263661C7" w:rsidR="000E38BD" w:rsidRPr="00446050" w:rsidRDefault="000E38BD">
            <w:pPr>
              <w:pStyle w:val="ARtablenoteindent"/>
            </w:pPr>
            <w:r w:rsidRPr="00446050">
              <w:t>The 2023</w:t>
            </w:r>
            <w:r w:rsidR="00E837F9">
              <w:t>–</w:t>
            </w:r>
            <w:r w:rsidRPr="00446050">
              <w:t>24 expected outcome is lower than the target due to data collection and categorisation issues that result in some under-reporting of intensive services.</w:t>
            </w:r>
          </w:p>
        </w:tc>
      </w:tr>
      <w:bookmarkEnd w:id="145"/>
      <w:tr w:rsidR="000E38BD" w:rsidRPr="00446050" w14:paraId="7DCEC25E" w14:textId="77777777" w:rsidTr="009F799A">
        <w:trPr>
          <w:cantSplit/>
        </w:trPr>
        <w:tc>
          <w:tcPr>
            <w:tcW w:w="4742" w:type="dxa"/>
            <w:tcBorders>
              <w:top w:val="single" w:sz="4" w:space="0" w:color="BFBFBF"/>
            </w:tcBorders>
            <w:shd w:val="clear" w:color="auto" w:fill="auto"/>
            <w:hideMark/>
          </w:tcPr>
          <w:p w14:paraId="528F31FF" w14:textId="77777777" w:rsidR="000E38BD" w:rsidRPr="00446050" w:rsidRDefault="000E38BD">
            <w:pPr>
              <w:pStyle w:val="ARtabletext"/>
              <w:keepNext/>
            </w:pPr>
            <w:r w:rsidRPr="00446050">
              <w:t>Number of investigations from reports to Child Protection Services about the wellbeing and safety of children</w:t>
            </w:r>
          </w:p>
        </w:tc>
        <w:tc>
          <w:tcPr>
            <w:tcW w:w="1019" w:type="dxa"/>
            <w:tcBorders>
              <w:top w:val="single" w:sz="4" w:space="0" w:color="BFBFBF"/>
            </w:tcBorders>
            <w:shd w:val="clear" w:color="auto" w:fill="auto"/>
            <w:hideMark/>
          </w:tcPr>
          <w:p w14:paraId="5A7DE38B"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hideMark/>
          </w:tcPr>
          <w:p w14:paraId="2A8F3885" w14:textId="77777777" w:rsidR="000E38BD" w:rsidRPr="00446050" w:rsidRDefault="000E38BD">
            <w:pPr>
              <w:pStyle w:val="ARtabletextright"/>
            </w:pPr>
            <w:r w:rsidRPr="00446050">
              <w:t>39,100</w:t>
            </w:r>
          </w:p>
        </w:tc>
        <w:tc>
          <w:tcPr>
            <w:tcW w:w="1022" w:type="dxa"/>
            <w:tcBorders>
              <w:top w:val="single" w:sz="4" w:space="0" w:color="BFBFBF"/>
            </w:tcBorders>
            <w:shd w:val="clear" w:color="auto" w:fill="auto"/>
          </w:tcPr>
          <w:p w14:paraId="537804CE" w14:textId="77777777" w:rsidR="000E38BD" w:rsidRPr="00446050" w:rsidRDefault="000E38BD">
            <w:pPr>
              <w:pStyle w:val="ARtabletextright"/>
            </w:pPr>
            <w:r w:rsidRPr="00446050">
              <w:t>41,140</w:t>
            </w:r>
          </w:p>
        </w:tc>
        <w:tc>
          <w:tcPr>
            <w:tcW w:w="1024" w:type="dxa"/>
            <w:tcBorders>
              <w:top w:val="single" w:sz="4" w:space="0" w:color="BFBFBF"/>
            </w:tcBorders>
            <w:shd w:val="clear" w:color="auto" w:fill="auto"/>
          </w:tcPr>
          <w:p w14:paraId="3E5D3F68" w14:textId="77777777" w:rsidR="000E38BD" w:rsidRPr="00446050" w:rsidRDefault="000E38BD">
            <w:pPr>
              <w:pStyle w:val="ARtabletextright"/>
            </w:pPr>
            <w:r w:rsidRPr="00446050">
              <w:t>5.2%</w:t>
            </w:r>
          </w:p>
        </w:tc>
        <w:tc>
          <w:tcPr>
            <w:tcW w:w="804" w:type="dxa"/>
            <w:gridSpan w:val="2"/>
            <w:tcBorders>
              <w:top w:val="single" w:sz="4" w:space="0" w:color="BFBFBF"/>
            </w:tcBorders>
            <w:shd w:val="clear" w:color="auto" w:fill="auto"/>
          </w:tcPr>
          <w:p w14:paraId="1A565A31"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2491B556" w14:textId="77777777" w:rsidTr="009F799A">
        <w:trPr>
          <w:cantSplit/>
        </w:trPr>
        <w:tc>
          <w:tcPr>
            <w:tcW w:w="9632" w:type="dxa"/>
            <w:gridSpan w:val="7"/>
            <w:tcBorders>
              <w:bottom w:val="single" w:sz="4" w:space="0" w:color="BFBFBF"/>
            </w:tcBorders>
            <w:shd w:val="clear" w:color="auto" w:fill="auto"/>
            <w:noWrap/>
            <w:hideMark/>
          </w:tcPr>
          <w:p w14:paraId="000395AD" w14:textId="4F256BAD" w:rsidR="000E38BD" w:rsidRPr="00446050" w:rsidRDefault="000E38BD">
            <w:pPr>
              <w:pStyle w:val="ARtablenoteindent"/>
            </w:pPr>
            <w:r w:rsidRPr="00446050">
              <w:t>The increased 2023</w:t>
            </w:r>
            <w:r w:rsidR="00E837F9">
              <w:t>–</w:t>
            </w:r>
            <w:r w:rsidRPr="00446050">
              <w:t>24 result reflects increased demand, not performance and is consistent with an increase in reports to Child</w:t>
            </w:r>
            <w:r w:rsidR="00A274A7">
              <w:t> </w:t>
            </w:r>
            <w:r w:rsidRPr="00446050">
              <w:t>Protection.</w:t>
            </w:r>
          </w:p>
        </w:tc>
      </w:tr>
      <w:tr w:rsidR="000E38BD" w:rsidRPr="00446050" w14:paraId="0CF4CAC2" w14:textId="77777777" w:rsidTr="009F799A">
        <w:trPr>
          <w:cantSplit/>
        </w:trPr>
        <w:tc>
          <w:tcPr>
            <w:tcW w:w="4742" w:type="dxa"/>
            <w:tcBorders>
              <w:top w:val="single" w:sz="4" w:space="0" w:color="BFBFBF"/>
            </w:tcBorders>
            <w:shd w:val="clear" w:color="auto" w:fill="auto"/>
            <w:hideMark/>
          </w:tcPr>
          <w:p w14:paraId="04E67386" w14:textId="78F29B29" w:rsidR="000E38BD" w:rsidRPr="00446050" w:rsidRDefault="000E38BD">
            <w:pPr>
              <w:pStyle w:val="ARtabletext"/>
              <w:keepNext/>
            </w:pPr>
            <w:r w:rsidRPr="00446050">
              <w:t>Number of parents/carers enrolled in Supported</w:t>
            </w:r>
            <w:r w:rsidR="00B60F95">
              <w:t> </w:t>
            </w:r>
            <w:r w:rsidRPr="00446050">
              <w:t>Playgroups</w:t>
            </w:r>
          </w:p>
        </w:tc>
        <w:tc>
          <w:tcPr>
            <w:tcW w:w="1019" w:type="dxa"/>
            <w:tcBorders>
              <w:top w:val="single" w:sz="4" w:space="0" w:color="BFBFBF"/>
            </w:tcBorders>
            <w:shd w:val="clear" w:color="auto" w:fill="auto"/>
            <w:hideMark/>
          </w:tcPr>
          <w:p w14:paraId="17EA7D5D"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tcPr>
          <w:p w14:paraId="19D811EC" w14:textId="249D7280" w:rsidR="000E38BD" w:rsidRPr="00446050" w:rsidRDefault="000E38BD">
            <w:pPr>
              <w:pStyle w:val="ARtabletextright"/>
            </w:pPr>
            <w:r w:rsidRPr="00446050">
              <w:t>12,280</w:t>
            </w:r>
          </w:p>
        </w:tc>
        <w:tc>
          <w:tcPr>
            <w:tcW w:w="1022" w:type="dxa"/>
            <w:tcBorders>
              <w:top w:val="single" w:sz="4" w:space="0" w:color="BFBFBF"/>
            </w:tcBorders>
            <w:shd w:val="clear" w:color="auto" w:fill="auto"/>
          </w:tcPr>
          <w:p w14:paraId="11343E40" w14:textId="77777777" w:rsidR="000E38BD" w:rsidRPr="00446050" w:rsidRDefault="000E38BD">
            <w:pPr>
              <w:pStyle w:val="ARtabletextright"/>
            </w:pPr>
            <w:r w:rsidRPr="00446050">
              <w:t>14,514</w:t>
            </w:r>
          </w:p>
        </w:tc>
        <w:tc>
          <w:tcPr>
            <w:tcW w:w="1024" w:type="dxa"/>
            <w:tcBorders>
              <w:top w:val="single" w:sz="4" w:space="0" w:color="BFBFBF"/>
            </w:tcBorders>
            <w:shd w:val="clear" w:color="auto" w:fill="auto"/>
          </w:tcPr>
          <w:p w14:paraId="1C44DF3A" w14:textId="77777777" w:rsidR="000E38BD" w:rsidRPr="00446050" w:rsidRDefault="000E38BD">
            <w:pPr>
              <w:pStyle w:val="ARtabletextright"/>
            </w:pPr>
            <w:r w:rsidRPr="00446050">
              <w:t>18.2%</w:t>
            </w:r>
          </w:p>
        </w:tc>
        <w:tc>
          <w:tcPr>
            <w:tcW w:w="804" w:type="dxa"/>
            <w:gridSpan w:val="2"/>
            <w:tcBorders>
              <w:top w:val="single" w:sz="4" w:space="0" w:color="BFBFBF"/>
            </w:tcBorders>
            <w:shd w:val="clear" w:color="auto" w:fill="auto"/>
          </w:tcPr>
          <w:p w14:paraId="19347838"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4B505673" w14:textId="77777777" w:rsidTr="009F799A">
        <w:trPr>
          <w:cantSplit/>
        </w:trPr>
        <w:tc>
          <w:tcPr>
            <w:tcW w:w="9632" w:type="dxa"/>
            <w:gridSpan w:val="7"/>
            <w:tcBorders>
              <w:bottom w:val="single" w:sz="4" w:space="0" w:color="BFBFBF"/>
            </w:tcBorders>
            <w:shd w:val="clear" w:color="auto" w:fill="auto"/>
            <w:noWrap/>
            <w:hideMark/>
          </w:tcPr>
          <w:p w14:paraId="26133E78" w14:textId="27292E5D" w:rsidR="000E38BD" w:rsidRPr="00446050" w:rsidRDefault="000E38BD">
            <w:pPr>
              <w:pStyle w:val="ARtablenoteindent"/>
            </w:pPr>
            <w:r w:rsidRPr="00446050">
              <w:t>The 2023</w:t>
            </w:r>
            <w:r w:rsidR="00E837F9">
              <w:t>–</w:t>
            </w:r>
            <w:r w:rsidRPr="00446050">
              <w:t>24 result is higher than the 2023</w:t>
            </w:r>
            <w:r w:rsidR="00E837F9">
              <w:t>–</w:t>
            </w:r>
            <w:r w:rsidRPr="00446050">
              <w:t>24 target due to more families attending Supported Playgroups.</w:t>
            </w:r>
          </w:p>
        </w:tc>
      </w:tr>
      <w:tr w:rsidR="000E38BD" w:rsidRPr="00446050" w14:paraId="6E7961AB" w14:textId="77777777" w:rsidTr="009F799A">
        <w:trPr>
          <w:gridAfter w:val="1"/>
          <w:wAfter w:w="9" w:type="dxa"/>
          <w:cantSplit/>
        </w:trPr>
        <w:tc>
          <w:tcPr>
            <w:tcW w:w="4742" w:type="dxa"/>
            <w:tcBorders>
              <w:top w:val="single" w:sz="4" w:space="0" w:color="BFBFBF"/>
            </w:tcBorders>
            <w:shd w:val="clear" w:color="auto" w:fill="auto"/>
            <w:hideMark/>
          </w:tcPr>
          <w:p w14:paraId="64115B98" w14:textId="77777777" w:rsidR="000E38BD" w:rsidRPr="00446050" w:rsidRDefault="000E38BD">
            <w:pPr>
              <w:pStyle w:val="ARtabletext"/>
            </w:pPr>
            <w:r w:rsidRPr="00446050">
              <w:t>Reports to Child Protection Services about the wellbeing and safety of children</w:t>
            </w:r>
          </w:p>
        </w:tc>
        <w:tc>
          <w:tcPr>
            <w:tcW w:w="1019" w:type="dxa"/>
            <w:tcBorders>
              <w:top w:val="single" w:sz="4" w:space="0" w:color="BFBFBF"/>
            </w:tcBorders>
            <w:shd w:val="clear" w:color="auto" w:fill="auto"/>
            <w:hideMark/>
          </w:tcPr>
          <w:p w14:paraId="08F3C843"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tcPr>
          <w:p w14:paraId="0B56775A" w14:textId="77777777" w:rsidR="000E38BD" w:rsidRPr="00446050" w:rsidRDefault="000E38BD">
            <w:pPr>
              <w:pStyle w:val="ARtabletextright"/>
            </w:pPr>
            <w:r w:rsidRPr="00446050">
              <w:t>136,677</w:t>
            </w:r>
          </w:p>
        </w:tc>
        <w:tc>
          <w:tcPr>
            <w:tcW w:w="1022" w:type="dxa"/>
            <w:tcBorders>
              <w:top w:val="single" w:sz="4" w:space="0" w:color="BFBFBF"/>
            </w:tcBorders>
            <w:shd w:val="clear" w:color="auto" w:fill="auto"/>
          </w:tcPr>
          <w:p w14:paraId="0F2D7657" w14:textId="77777777" w:rsidR="000E38BD" w:rsidRPr="00446050" w:rsidRDefault="000E38BD">
            <w:pPr>
              <w:pStyle w:val="ARtabletextright"/>
            </w:pPr>
            <w:r w:rsidRPr="00446050">
              <w:t>139,612</w:t>
            </w:r>
          </w:p>
        </w:tc>
        <w:tc>
          <w:tcPr>
            <w:tcW w:w="1024" w:type="dxa"/>
            <w:tcBorders>
              <w:top w:val="single" w:sz="4" w:space="0" w:color="BFBFBF"/>
            </w:tcBorders>
            <w:shd w:val="clear" w:color="auto" w:fill="auto"/>
          </w:tcPr>
          <w:p w14:paraId="5E219563" w14:textId="77777777" w:rsidR="000E38BD" w:rsidRPr="00446050" w:rsidRDefault="000E38BD">
            <w:pPr>
              <w:pStyle w:val="ARtabletextright"/>
            </w:pPr>
            <w:r w:rsidRPr="00446050">
              <w:t>2.1%</w:t>
            </w:r>
          </w:p>
        </w:tc>
        <w:tc>
          <w:tcPr>
            <w:tcW w:w="795" w:type="dxa"/>
            <w:tcBorders>
              <w:top w:val="single" w:sz="4" w:space="0" w:color="BFBFBF"/>
            </w:tcBorders>
            <w:shd w:val="clear" w:color="auto" w:fill="auto"/>
          </w:tcPr>
          <w:p w14:paraId="496CD021"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0EE3BBF8" w14:textId="77777777" w:rsidTr="009F799A">
        <w:trPr>
          <w:gridAfter w:val="1"/>
          <w:wAfter w:w="9" w:type="dxa"/>
          <w:cantSplit/>
        </w:trPr>
        <w:tc>
          <w:tcPr>
            <w:tcW w:w="4742" w:type="dxa"/>
            <w:tcBorders>
              <w:top w:val="single" w:sz="4" w:space="0" w:color="BFBFBF"/>
            </w:tcBorders>
            <w:shd w:val="clear" w:color="auto" w:fill="auto"/>
            <w:hideMark/>
          </w:tcPr>
          <w:p w14:paraId="41A4DB9A" w14:textId="77777777" w:rsidR="000E38BD" w:rsidRPr="00446050" w:rsidRDefault="000E38BD">
            <w:pPr>
              <w:pStyle w:val="ARtabletext"/>
            </w:pPr>
            <w:r w:rsidRPr="00446050">
              <w:t>Total number of family services cases provided</w:t>
            </w:r>
          </w:p>
        </w:tc>
        <w:tc>
          <w:tcPr>
            <w:tcW w:w="1019" w:type="dxa"/>
            <w:tcBorders>
              <w:top w:val="single" w:sz="4" w:space="0" w:color="BFBFBF"/>
            </w:tcBorders>
            <w:shd w:val="clear" w:color="auto" w:fill="auto"/>
            <w:hideMark/>
          </w:tcPr>
          <w:p w14:paraId="6C896DCC" w14:textId="77777777" w:rsidR="000E38BD" w:rsidRPr="00446050" w:rsidRDefault="000E38BD">
            <w:pPr>
              <w:pStyle w:val="ARtabletext"/>
            </w:pPr>
            <w:r w:rsidRPr="00446050">
              <w:t>number</w:t>
            </w:r>
          </w:p>
        </w:tc>
        <w:tc>
          <w:tcPr>
            <w:tcW w:w="1021" w:type="dxa"/>
            <w:tcBorders>
              <w:top w:val="single" w:sz="4" w:space="0" w:color="BFBFBF"/>
            </w:tcBorders>
            <w:shd w:val="clear" w:color="auto" w:fill="auto"/>
          </w:tcPr>
          <w:p w14:paraId="6F46168E" w14:textId="77777777" w:rsidR="000E38BD" w:rsidRPr="00446050" w:rsidRDefault="000E38BD">
            <w:pPr>
              <w:pStyle w:val="ARtabletextright"/>
            </w:pPr>
            <w:r w:rsidRPr="00446050">
              <w:t>22,692</w:t>
            </w:r>
          </w:p>
        </w:tc>
        <w:tc>
          <w:tcPr>
            <w:tcW w:w="1022" w:type="dxa"/>
            <w:tcBorders>
              <w:top w:val="single" w:sz="4" w:space="0" w:color="BFBFBF"/>
            </w:tcBorders>
            <w:shd w:val="clear" w:color="auto" w:fill="auto"/>
          </w:tcPr>
          <w:p w14:paraId="6EDC31B4" w14:textId="77777777" w:rsidR="000E38BD" w:rsidRPr="00446050" w:rsidRDefault="000E38BD">
            <w:pPr>
              <w:pStyle w:val="ARtabletextright"/>
            </w:pPr>
            <w:r w:rsidRPr="00446050">
              <w:t>19,811</w:t>
            </w:r>
          </w:p>
        </w:tc>
        <w:tc>
          <w:tcPr>
            <w:tcW w:w="1024" w:type="dxa"/>
            <w:tcBorders>
              <w:top w:val="single" w:sz="4" w:space="0" w:color="BFBFBF"/>
            </w:tcBorders>
            <w:shd w:val="clear" w:color="auto" w:fill="auto"/>
          </w:tcPr>
          <w:p w14:paraId="106BCACB" w14:textId="77777777" w:rsidR="000E38BD" w:rsidRPr="00446050" w:rsidRDefault="000E38BD">
            <w:pPr>
              <w:pStyle w:val="ARtabletextright"/>
            </w:pPr>
            <w:r w:rsidRPr="00446050">
              <w:t>-12.7%</w:t>
            </w:r>
          </w:p>
        </w:tc>
        <w:tc>
          <w:tcPr>
            <w:tcW w:w="795" w:type="dxa"/>
            <w:tcBorders>
              <w:top w:val="single" w:sz="4" w:space="0" w:color="BFBFBF"/>
            </w:tcBorders>
            <w:shd w:val="clear" w:color="auto" w:fill="auto"/>
          </w:tcPr>
          <w:p w14:paraId="124F7FBA" w14:textId="77777777" w:rsidR="000E38BD" w:rsidRPr="00446050" w:rsidRDefault="000E38BD">
            <w:pPr>
              <w:pStyle w:val="ARtableperformancesymbol"/>
              <w:rPr>
                <w:rFonts w:hint="eastAsia"/>
              </w:rPr>
            </w:pPr>
            <w:r w:rsidRPr="00446050">
              <w:t></w:t>
            </w:r>
          </w:p>
        </w:tc>
      </w:tr>
      <w:tr w:rsidR="000E38BD" w:rsidRPr="00446050" w14:paraId="2749E9DB" w14:textId="77777777" w:rsidTr="009F799A">
        <w:trPr>
          <w:cantSplit/>
        </w:trPr>
        <w:tc>
          <w:tcPr>
            <w:tcW w:w="9632" w:type="dxa"/>
            <w:gridSpan w:val="7"/>
            <w:tcBorders>
              <w:bottom w:val="single" w:sz="4" w:space="0" w:color="auto"/>
            </w:tcBorders>
            <w:shd w:val="clear" w:color="auto" w:fill="auto"/>
          </w:tcPr>
          <w:p w14:paraId="51AED1D0" w14:textId="473E6035" w:rsidR="000E38BD" w:rsidRPr="00446050" w:rsidRDefault="000E38BD">
            <w:pPr>
              <w:pStyle w:val="ARtablenoteindent"/>
            </w:pPr>
            <w:r w:rsidRPr="00446050">
              <w:t>The 2023</w:t>
            </w:r>
            <w:r w:rsidR="00E837F9">
              <w:t>–</w:t>
            </w:r>
            <w:r w:rsidRPr="00446050">
              <w:t>24 result is lower than the 2023</w:t>
            </w:r>
            <w:r w:rsidR="00E837F9">
              <w:t>–</w:t>
            </w:r>
            <w:r w:rsidRPr="00446050">
              <w:t>24 target due to data collection issues that result in under-counting.</w:t>
            </w:r>
            <w:r w:rsidR="00D90552">
              <w:t xml:space="preserve"> </w:t>
            </w:r>
          </w:p>
          <w:p w14:paraId="3AB405A9" w14:textId="3C41343C" w:rsidR="000E38BD" w:rsidRPr="00446050" w:rsidRDefault="000E38BD" w:rsidP="00B60F95">
            <w:pPr>
              <w:pStyle w:val="ARtablenoteindent"/>
            </w:pPr>
            <w:r w:rsidRPr="00446050">
              <w:t>This performance measure is proposed to be discontinued in the 2024</w:t>
            </w:r>
            <w:r w:rsidR="00E837F9">
              <w:t>–</w:t>
            </w:r>
            <w:r w:rsidRPr="00446050">
              <w:t>25 Budget, and a replacement measure has been introduced:</w:t>
            </w:r>
            <w:r w:rsidR="00B60F95">
              <w:t xml:space="preserve"> </w:t>
            </w:r>
            <w:r w:rsidR="00711AE6">
              <w:t>‘</w:t>
            </w:r>
            <w:r w:rsidRPr="00446050">
              <w:t>Total family services cases commencing</w:t>
            </w:r>
            <w:r w:rsidR="00711AE6">
              <w:t>’</w:t>
            </w:r>
            <w:r w:rsidRPr="00446050">
              <w:t>.</w:t>
            </w:r>
          </w:p>
        </w:tc>
      </w:tr>
      <w:tr w:rsidR="000E38BD" w:rsidRPr="00446050" w14:paraId="7F92F3B8" w14:textId="77777777" w:rsidTr="009F799A">
        <w:trPr>
          <w:cantSplit/>
        </w:trPr>
        <w:tc>
          <w:tcPr>
            <w:tcW w:w="9632" w:type="dxa"/>
            <w:gridSpan w:val="7"/>
            <w:tcBorders>
              <w:top w:val="single" w:sz="4" w:space="0" w:color="auto"/>
              <w:left w:val="nil"/>
              <w:bottom w:val="nil"/>
              <w:right w:val="nil"/>
            </w:tcBorders>
            <w:shd w:val="clear" w:color="auto" w:fill="auto"/>
            <w:hideMark/>
          </w:tcPr>
          <w:p w14:paraId="599D38A5" w14:textId="77777777" w:rsidR="000E38BD" w:rsidRPr="00446050" w:rsidRDefault="000E38BD" w:rsidP="00A274A7">
            <w:pPr>
              <w:pStyle w:val="ARtablegreybold"/>
            </w:pPr>
            <w:r w:rsidRPr="00A274A7">
              <w:t>Quality</w:t>
            </w:r>
          </w:p>
        </w:tc>
      </w:tr>
      <w:tr w:rsidR="000E38BD" w:rsidRPr="00446050" w14:paraId="2ED67711" w14:textId="77777777" w:rsidTr="009F799A">
        <w:trPr>
          <w:gridAfter w:val="1"/>
          <w:wAfter w:w="9" w:type="dxa"/>
          <w:cantSplit/>
        </w:trPr>
        <w:tc>
          <w:tcPr>
            <w:tcW w:w="4742" w:type="dxa"/>
            <w:tcBorders>
              <w:bottom w:val="single" w:sz="4" w:space="0" w:color="BFBFBF"/>
            </w:tcBorders>
            <w:shd w:val="clear" w:color="auto" w:fill="auto"/>
            <w:hideMark/>
          </w:tcPr>
          <w:p w14:paraId="439CDB9F" w14:textId="270381D2" w:rsidR="000E38BD" w:rsidRPr="00446050" w:rsidRDefault="000E38BD" w:rsidP="00A306CE">
            <w:pPr>
              <w:pStyle w:val="ARtabletext"/>
            </w:pPr>
            <w:r w:rsidRPr="00446050">
              <w:t xml:space="preserve">Children and young people in care who have had </w:t>
            </w:r>
            <w:r w:rsidR="00F95AC7">
              <w:t>2</w:t>
            </w:r>
            <w:r w:rsidR="00F95AC7" w:rsidRPr="00446050">
              <w:t xml:space="preserve"> </w:t>
            </w:r>
            <w:r w:rsidRPr="00446050">
              <w:t xml:space="preserve">or </w:t>
            </w:r>
            <w:r w:rsidR="00F95AC7">
              <w:t>fewer</w:t>
            </w:r>
            <w:r w:rsidR="00F95AC7" w:rsidRPr="00446050">
              <w:t xml:space="preserve"> </w:t>
            </w:r>
            <w:r w:rsidRPr="00446050">
              <w:t>placements in the past 12 months (not including time at home in parental care)</w:t>
            </w:r>
          </w:p>
        </w:tc>
        <w:tc>
          <w:tcPr>
            <w:tcW w:w="1019" w:type="dxa"/>
            <w:tcBorders>
              <w:bottom w:val="single" w:sz="4" w:space="0" w:color="BFBFBF"/>
            </w:tcBorders>
            <w:shd w:val="clear" w:color="auto" w:fill="auto"/>
            <w:hideMark/>
          </w:tcPr>
          <w:p w14:paraId="73A22D50" w14:textId="77777777" w:rsidR="000E38BD" w:rsidRPr="00446050" w:rsidRDefault="000E38BD">
            <w:pPr>
              <w:pStyle w:val="ARtabletext"/>
            </w:pPr>
            <w:r w:rsidRPr="00446050">
              <w:t>per cent</w:t>
            </w:r>
          </w:p>
        </w:tc>
        <w:tc>
          <w:tcPr>
            <w:tcW w:w="1021" w:type="dxa"/>
            <w:tcBorders>
              <w:bottom w:val="single" w:sz="4" w:space="0" w:color="BFBFBF"/>
            </w:tcBorders>
            <w:shd w:val="clear" w:color="auto" w:fill="auto"/>
          </w:tcPr>
          <w:p w14:paraId="2FB14C00" w14:textId="26C2F122" w:rsidR="000E38BD" w:rsidRPr="00446050" w:rsidRDefault="000E38BD">
            <w:pPr>
              <w:pStyle w:val="ARtabletextright"/>
            </w:pPr>
            <w:r w:rsidRPr="00446050">
              <w:t>90</w:t>
            </w:r>
            <w:r w:rsidR="00A16612">
              <w:t>.0</w:t>
            </w:r>
          </w:p>
        </w:tc>
        <w:tc>
          <w:tcPr>
            <w:tcW w:w="1022" w:type="dxa"/>
            <w:tcBorders>
              <w:bottom w:val="single" w:sz="4" w:space="0" w:color="BFBFBF"/>
            </w:tcBorders>
            <w:shd w:val="clear" w:color="auto" w:fill="auto"/>
          </w:tcPr>
          <w:p w14:paraId="3FBD723E" w14:textId="4DF40759" w:rsidR="000E38BD" w:rsidRPr="00446050" w:rsidRDefault="000E38BD">
            <w:pPr>
              <w:pStyle w:val="ARtabletextright"/>
            </w:pPr>
            <w:r w:rsidRPr="00446050">
              <w:t>94</w:t>
            </w:r>
            <w:r w:rsidR="00A16612">
              <w:t>.0</w:t>
            </w:r>
          </w:p>
        </w:tc>
        <w:tc>
          <w:tcPr>
            <w:tcW w:w="1024" w:type="dxa"/>
            <w:tcBorders>
              <w:bottom w:val="single" w:sz="4" w:space="0" w:color="BFBFBF"/>
            </w:tcBorders>
            <w:shd w:val="clear" w:color="auto" w:fill="auto"/>
          </w:tcPr>
          <w:p w14:paraId="61D490FC" w14:textId="77777777" w:rsidR="000E38BD" w:rsidRPr="00446050" w:rsidRDefault="000E38BD">
            <w:pPr>
              <w:pStyle w:val="ARtabletextright"/>
            </w:pPr>
            <w:r w:rsidRPr="00446050">
              <w:t>4.4%</w:t>
            </w:r>
          </w:p>
        </w:tc>
        <w:tc>
          <w:tcPr>
            <w:tcW w:w="795" w:type="dxa"/>
            <w:tcBorders>
              <w:bottom w:val="single" w:sz="4" w:space="0" w:color="BFBFBF"/>
            </w:tcBorders>
            <w:shd w:val="clear" w:color="auto" w:fill="auto"/>
          </w:tcPr>
          <w:p w14:paraId="32CAF2EF"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347CB377" w14:textId="77777777" w:rsidTr="009F799A">
        <w:trPr>
          <w:gridAfter w:val="1"/>
          <w:wAfter w:w="9" w:type="dxa"/>
          <w:cantSplit/>
        </w:trPr>
        <w:tc>
          <w:tcPr>
            <w:tcW w:w="4742" w:type="dxa"/>
            <w:tcBorders>
              <w:top w:val="single" w:sz="4" w:space="0" w:color="BFBFBF"/>
            </w:tcBorders>
            <w:shd w:val="clear" w:color="auto" w:fill="auto"/>
          </w:tcPr>
          <w:p w14:paraId="74A2A283" w14:textId="77777777" w:rsidR="000E38BD" w:rsidRPr="00446050" w:rsidRDefault="000E38BD">
            <w:pPr>
              <w:pStyle w:val="ARtabletext"/>
            </w:pPr>
            <w:r w:rsidRPr="00446050">
              <w:t>Children and young people who were the subject of a substantiated report within 12 months of the closure of a previous substantiated report</w:t>
            </w:r>
          </w:p>
        </w:tc>
        <w:tc>
          <w:tcPr>
            <w:tcW w:w="1019" w:type="dxa"/>
            <w:tcBorders>
              <w:top w:val="single" w:sz="4" w:space="0" w:color="BFBFBF"/>
            </w:tcBorders>
            <w:shd w:val="clear" w:color="auto" w:fill="auto"/>
          </w:tcPr>
          <w:p w14:paraId="1E41658A" w14:textId="77777777" w:rsidR="000E38BD" w:rsidRPr="00446050" w:rsidRDefault="000E38BD">
            <w:pPr>
              <w:pStyle w:val="ARtabletext"/>
            </w:pPr>
            <w:r w:rsidRPr="00446050">
              <w:t>per cent</w:t>
            </w:r>
          </w:p>
        </w:tc>
        <w:tc>
          <w:tcPr>
            <w:tcW w:w="1021" w:type="dxa"/>
            <w:tcBorders>
              <w:top w:val="single" w:sz="4" w:space="0" w:color="BFBFBF"/>
            </w:tcBorders>
            <w:shd w:val="clear" w:color="auto" w:fill="auto"/>
          </w:tcPr>
          <w:p w14:paraId="4DE132FA" w14:textId="77777777" w:rsidR="000E38BD" w:rsidRPr="00446050" w:rsidRDefault="000E38BD">
            <w:pPr>
              <w:pStyle w:val="ARtabletextright"/>
            </w:pPr>
            <w:r w:rsidRPr="00446050">
              <w:t>17.5</w:t>
            </w:r>
          </w:p>
        </w:tc>
        <w:tc>
          <w:tcPr>
            <w:tcW w:w="1022" w:type="dxa"/>
            <w:tcBorders>
              <w:top w:val="single" w:sz="4" w:space="0" w:color="BFBFBF"/>
            </w:tcBorders>
            <w:shd w:val="clear" w:color="auto" w:fill="auto"/>
          </w:tcPr>
          <w:p w14:paraId="536D8479" w14:textId="77777777" w:rsidR="000E38BD" w:rsidRPr="00446050" w:rsidRDefault="000E38BD">
            <w:pPr>
              <w:pStyle w:val="ARtabletextright"/>
            </w:pPr>
            <w:r w:rsidRPr="00446050">
              <w:t>19.3</w:t>
            </w:r>
          </w:p>
        </w:tc>
        <w:tc>
          <w:tcPr>
            <w:tcW w:w="1024" w:type="dxa"/>
            <w:tcBorders>
              <w:top w:val="single" w:sz="4" w:space="0" w:color="BFBFBF"/>
            </w:tcBorders>
            <w:shd w:val="clear" w:color="auto" w:fill="auto"/>
          </w:tcPr>
          <w:p w14:paraId="2B800620" w14:textId="77777777" w:rsidR="000E38BD" w:rsidRPr="00446050" w:rsidRDefault="000E38BD">
            <w:pPr>
              <w:pStyle w:val="ARtabletextright"/>
            </w:pPr>
            <w:r w:rsidRPr="00446050">
              <w:t>10.3%</w:t>
            </w:r>
          </w:p>
        </w:tc>
        <w:tc>
          <w:tcPr>
            <w:tcW w:w="795" w:type="dxa"/>
            <w:tcBorders>
              <w:top w:val="single" w:sz="4" w:space="0" w:color="BFBFBF"/>
            </w:tcBorders>
            <w:shd w:val="clear" w:color="auto" w:fill="auto"/>
          </w:tcPr>
          <w:p w14:paraId="6977D03D" w14:textId="52357C00" w:rsidR="000E38BD" w:rsidRPr="00446050" w:rsidRDefault="000E38BD">
            <w:pPr>
              <w:pStyle w:val="ARtableperformancesymbol"/>
              <w:rPr>
                <w:rFonts w:hint="eastAsia"/>
                <w:lang w:val="en-AU"/>
              </w:rPr>
            </w:pPr>
            <w:r w:rsidRPr="00446050">
              <w:t></w:t>
            </w:r>
          </w:p>
        </w:tc>
      </w:tr>
      <w:tr w:rsidR="000E38BD" w:rsidRPr="00446050" w14:paraId="53FCDC34" w14:textId="77777777" w:rsidTr="009F799A">
        <w:trPr>
          <w:gridAfter w:val="1"/>
          <w:wAfter w:w="9" w:type="dxa"/>
          <w:cantSplit/>
        </w:trPr>
        <w:tc>
          <w:tcPr>
            <w:tcW w:w="9623" w:type="dxa"/>
            <w:gridSpan w:val="6"/>
            <w:tcBorders>
              <w:bottom w:val="single" w:sz="4" w:space="0" w:color="BFBFBF"/>
            </w:tcBorders>
            <w:shd w:val="clear" w:color="auto" w:fill="auto"/>
            <w:noWrap/>
          </w:tcPr>
          <w:p w14:paraId="2EFDA703" w14:textId="2C7DAE3A" w:rsidR="000E38BD" w:rsidRPr="00446050" w:rsidRDefault="000E38BD">
            <w:pPr>
              <w:pStyle w:val="ARtablenoteindent"/>
            </w:pPr>
            <w:r w:rsidRPr="00446050">
              <w:t>The 2023</w:t>
            </w:r>
            <w:r w:rsidR="00E837F9">
              <w:t>–</w:t>
            </w:r>
            <w:r w:rsidRPr="00446050">
              <w:t>24 result is higher than the 2023</w:t>
            </w:r>
            <w:r w:rsidR="00E837F9">
              <w:t>–</w:t>
            </w:r>
            <w:r w:rsidRPr="00446050">
              <w:t>24 target potentially reflecting changes in a child</w:t>
            </w:r>
            <w:r w:rsidR="00711AE6">
              <w:t>’</w:t>
            </w:r>
            <w:r w:rsidRPr="00446050">
              <w:t>s circumstances, availability and engagement with family services or other support services. Substantiation decisions are made on the best available evidence at the time.</w:t>
            </w:r>
          </w:p>
        </w:tc>
      </w:tr>
      <w:tr w:rsidR="000E38BD" w:rsidRPr="00446050" w14:paraId="668B0861" w14:textId="77777777" w:rsidTr="009F799A">
        <w:trPr>
          <w:gridAfter w:val="1"/>
          <w:wAfter w:w="9" w:type="dxa"/>
          <w:cantSplit/>
        </w:trPr>
        <w:tc>
          <w:tcPr>
            <w:tcW w:w="4742" w:type="dxa"/>
            <w:tcBorders>
              <w:top w:val="single" w:sz="4" w:space="0" w:color="BFBFBF"/>
            </w:tcBorders>
            <w:shd w:val="clear" w:color="auto" w:fill="auto"/>
          </w:tcPr>
          <w:p w14:paraId="2698A6FC" w14:textId="7B30BA34" w:rsidR="000E38BD" w:rsidRPr="00446050" w:rsidRDefault="000E38BD" w:rsidP="00B60F95">
            <w:pPr>
              <w:pStyle w:val="ARtabletext"/>
            </w:pPr>
            <w:r w:rsidRPr="00446050">
              <w:t xml:space="preserve">Children and young </w:t>
            </w:r>
            <w:r w:rsidRPr="00B60F95">
              <w:t>people</w:t>
            </w:r>
            <w:r w:rsidRPr="00446050">
              <w:t xml:space="preserve"> who were the subject of an investigation which led to a decision not to substantiate, who were subsequently the subject of a substantiation within </w:t>
            </w:r>
            <w:r w:rsidR="009D641C">
              <w:t>3</w:t>
            </w:r>
            <w:r w:rsidRPr="00446050">
              <w:t xml:space="preserve"> months of case closure</w:t>
            </w:r>
          </w:p>
        </w:tc>
        <w:tc>
          <w:tcPr>
            <w:tcW w:w="1019" w:type="dxa"/>
            <w:tcBorders>
              <w:top w:val="single" w:sz="4" w:space="0" w:color="BFBFBF"/>
            </w:tcBorders>
            <w:shd w:val="clear" w:color="auto" w:fill="auto"/>
          </w:tcPr>
          <w:p w14:paraId="494AE132" w14:textId="77777777" w:rsidR="000E38BD" w:rsidRPr="00446050" w:rsidRDefault="000E38BD">
            <w:pPr>
              <w:pStyle w:val="ARtabletext"/>
            </w:pPr>
            <w:r w:rsidRPr="00446050">
              <w:t>per cent</w:t>
            </w:r>
          </w:p>
        </w:tc>
        <w:tc>
          <w:tcPr>
            <w:tcW w:w="1021" w:type="dxa"/>
            <w:tcBorders>
              <w:top w:val="single" w:sz="4" w:space="0" w:color="BFBFBF"/>
            </w:tcBorders>
            <w:shd w:val="clear" w:color="auto" w:fill="auto"/>
          </w:tcPr>
          <w:p w14:paraId="58AE1839" w14:textId="77777777" w:rsidR="000E38BD" w:rsidRPr="00446050" w:rsidRDefault="000E38BD">
            <w:pPr>
              <w:pStyle w:val="ARtabletextright"/>
            </w:pPr>
            <w:r w:rsidRPr="00446050">
              <w:t>3.0</w:t>
            </w:r>
          </w:p>
        </w:tc>
        <w:tc>
          <w:tcPr>
            <w:tcW w:w="1022" w:type="dxa"/>
            <w:tcBorders>
              <w:top w:val="single" w:sz="4" w:space="0" w:color="BFBFBF"/>
            </w:tcBorders>
            <w:shd w:val="clear" w:color="auto" w:fill="auto"/>
          </w:tcPr>
          <w:p w14:paraId="29E4337A" w14:textId="77777777" w:rsidR="000E38BD" w:rsidRPr="00446050" w:rsidRDefault="000E38BD">
            <w:pPr>
              <w:pStyle w:val="ARtabletextright"/>
            </w:pPr>
            <w:r w:rsidRPr="00446050">
              <w:t>4.1</w:t>
            </w:r>
          </w:p>
        </w:tc>
        <w:tc>
          <w:tcPr>
            <w:tcW w:w="1024" w:type="dxa"/>
            <w:tcBorders>
              <w:top w:val="single" w:sz="4" w:space="0" w:color="BFBFBF"/>
            </w:tcBorders>
            <w:shd w:val="clear" w:color="auto" w:fill="auto"/>
          </w:tcPr>
          <w:p w14:paraId="329790F5" w14:textId="77777777" w:rsidR="000E38BD" w:rsidRPr="00446050" w:rsidRDefault="000E38BD">
            <w:pPr>
              <w:pStyle w:val="ARtabletextright"/>
            </w:pPr>
            <w:r w:rsidRPr="00446050">
              <w:t>36.7%</w:t>
            </w:r>
          </w:p>
        </w:tc>
        <w:tc>
          <w:tcPr>
            <w:tcW w:w="795" w:type="dxa"/>
            <w:tcBorders>
              <w:top w:val="single" w:sz="4" w:space="0" w:color="BFBFBF"/>
            </w:tcBorders>
            <w:shd w:val="clear" w:color="auto" w:fill="auto"/>
          </w:tcPr>
          <w:p w14:paraId="7BA0E556" w14:textId="77777777" w:rsidR="000E38BD" w:rsidRPr="00446050" w:rsidRDefault="000E38BD">
            <w:pPr>
              <w:pStyle w:val="ARtableperformancesymbol"/>
              <w:rPr>
                <w:rFonts w:hint="eastAsia"/>
                <w:lang w:val="en-AU"/>
              </w:rPr>
            </w:pPr>
            <w:r w:rsidRPr="00446050">
              <w:t></w:t>
            </w:r>
          </w:p>
        </w:tc>
      </w:tr>
      <w:tr w:rsidR="000E38BD" w:rsidRPr="00446050" w14:paraId="27EAEBBA" w14:textId="77777777" w:rsidTr="009F799A">
        <w:trPr>
          <w:cantSplit/>
        </w:trPr>
        <w:tc>
          <w:tcPr>
            <w:tcW w:w="9632" w:type="dxa"/>
            <w:gridSpan w:val="7"/>
            <w:tcBorders>
              <w:bottom w:val="single" w:sz="4" w:space="0" w:color="BFBFBF"/>
            </w:tcBorders>
            <w:shd w:val="clear" w:color="auto" w:fill="auto"/>
          </w:tcPr>
          <w:p w14:paraId="7ECD600E" w14:textId="0C647019" w:rsidR="000E38BD" w:rsidRPr="00446050" w:rsidRDefault="000E38BD">
            <w:pPr>
              <w:pStyle w:val="ARtablenoteindent"/>
            </w:pPr>
            <w:r w:rsidRPr="00446050">
              <w:t>The 2023</w:t>
            </w:r>
            <w:r w:rsidR="00E837F9">
              <w:t>–</w:t>
            </w:r>
            <w:r w:rsidRPr="00446050">
              <w:t>24 result is higher than the 2023</w:t>
            </w:r>
            <w:r w:rsidR="00E837F9">
              <w:t>–</w:t>
            </w:r>
            <w:r w:rsidRPr="00446050">
              <w:t>24 target potentially reflecting changes in a child</w:t>
            </w:r>
            <w:r w:rsidR="00711AE6">
              <w:t>’</w:t>
            </w:r>
            <w:r w:rsidRPr="00446050">
              <w:t>s circumstances, availability, and</w:t>
            </w:r>
            <w:r w:rsidR="00EE7CC1">
              <w:t> </w:t>
            </w:r>
            <w:r w:rsidRPr="00446050">
              <w:t>engagement with family services or other support services. Substantiation decisions are made on the best available evidence at the time. </w:t>
            </w:r>
          </w:p>
        </w:tc>
      </w:tr>
      <w:tr w:rsidR="000E38BD" w:rsidRPr="00446050" w14:paraId="137A6272" w14:textId="77777777" w:rsidTr="009F799A">
        <w:trPr>
          <w:gridAfter w:val="1"/>
          <w:wAfter w:w="9" w:type="dxa"/>
          <w:cantSplit/>
        </w:trPr>
        <w:tc>
          <w:tcPr>
            <w:tcW w:w="4742" w:type="dxa"/>
            <w:tcBorders>
              <w:top w:val="single" w:sz="4" w:space="0" w:color="BFBFBF"/>
            </w:tcBorders>
            <w:shd w:val="clear" w:color="auto" w:fill="auto"/>
          </w:tcPr>
          <w:p w14:paraId="7A62151C" w14:textId="77777777" w:rsidR="000E38BD" w:rsidRPr="00446050" w:rsidRDefault="000E38BD" w:rsidP="00B60F95">
            <w:pPr>
              <w:pStyle w:val="ARtabletext"/>
            </w:pPr>
            <w:r w:rsidRPr="00446050">
              <w:t>Organisations that have successfully completed a certification review (family and community services)</w:t>
            </w:r>
          </w:p>
        </w:tc>
        <w:tc>
          <w:tcPr>
            <w:tcW w:w="1019" w:type="dxa"/>
            <w:tcBorders>
              <w:top w:val="single" w:sz="4" w:space="0" w:color="BFBFBF"/>
            </w:tcBorders>
            <w:shd w:val="clear" w:color="auto" w:fill="auto"/>
          </w:tcPr>
          <w:p w14:paraId="1FD0CB82" w14:textId="77777777" w:rsidR="000E38BD" w:rsidRPr="00446050" w:rsidRDefault="000E38BD">
            <w:pPr>
              <w:pStyle w:val="ARtabletext"/>
            </w:pPr>
            <w:r w:rsidRPr="00446050">
              <w:t>per cent</w:t>
            </w:r>
          </w:p>
        </w:tc>
        <w:tc>
          <w:tcPr>
            <w:tcW w:w="1021" w:type="dxa"/>
            <w:tcBorders>
              <w:top w:val="single" w:sz="4" w:space="0" w:color="BFBFBF"/>
            </w:tcBorders>
            <w:shd w:val="clear" w:color="auto" w:fill="auto"/>
          </w:tcPr>
          <w:p w14:paraId="281C0947" w14:textId="7A9B8CDB" w:rsidR="000E38BD" w:rsidRPr="00446050" w:rsidRDefault="000E38BD">
            <w:pPr>
              <w:pStyle w:val="ARtabletextright"/>
            </w:pPr>
            <w:r w:rsidRPr="00446050">
              <w:t>95</w:t>
            </w:r>
            <w:r w:rsidR="00A16612">
              <w:t>.0</w:t>
            </w:r>
          </w:p>
        </w:tc>
        <w:tc>
          <w:tcPr>
            <w:tcW w:w="1022" w:type="dxa"/>
            <w:tcBorders>
              <w:top w:val="single" w:sz="4" w:space="0" w:color="BFBFBF"/>
            </w:tcBorders>
            <w:shd w:val="clear" w:color="auto" w:fill="auto"/>
          </w:tcPr>
          <w:p w14:paraId="569CB478" w14:textId="77777777" w:rsidR="000E38BD" w:rsidRPr="00446050" w:rsidRDefault="000E38BD">
            <w:pPr>
              <w:pStyle w:val="ARtabletextright"/>
            </w:pPr>
            <w:r w:rsidRPr="00446050">
              <w:t>100</w:t>
            </w:r>
          </w:p>
        </w:tc>
        <w:tc>
          <w:tcPr>
            <w:tcW w:w="1024" w:type="dxa"/>
            <w:tcBorders>
              <w:top w:val="single" w:sz="4" w:space="0" w:color="BFBFBF"/>
            </w:tcBorders>
            <w:shd w:val="clear" w:color="auto" w:fill="auto"/>
          </w:tcPr>
          <w:p w14:paraId="54C44AF7" w14:textId="77777777" w:rsidR="000E38BD" w:rsidRPr="00446050" w:rsidRDefault="000E38BD">
            <w:pPr>
              <w:pStyle w:val="ARtabletextright"/>
            </w:pPr>
            <w:r w:rsidRPr="00446050">
              <w:t>5.3%</w:t>
            </w:r>
          </w:p>
        </w:tc>
        <w:tc>
          <w:tcPr>
            <w:tcW w:w="795" w:type="dxa"/>
            <w:tcBorders>
              <w:top w:val="single" w:sz="4" w:space="0" w:color="BFBFBF"/>
            </w:tcBorders>
            <w:shd w:val="clear" w:color="auto" w:fill="auto"/>
          </w:tcPr>
          <w:p w14:paraId="097CCABD"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2D49783B" w14:textId="77777777" w:rsidTr="009F799A">
        <w:trPr>
          <w:gridAfter w:val="1"/>
          <w:wAfter w:w="9" w:type="dxa"/>
          <w:cantSplit/>
        </w:trPr>
        <w:tc>
          <w:tcPr>
            <w:tcW w:w="9623" w:type="dxa"/>
            <w:gridSpan w:val="6"/>
            <w:tcBorders>
              <w:bottom w:val="single" w:sz="4" w:space="0" w:color="BFBFBF"/>
            </w:tcBorders>
            <w:shd w:val="clear" w:color="auto" w:fill="auto"/>
            <w:noWrap/>
          </w:tcPr>
          <w:p w14:paraId="571DCCDF" w14:textId="0C646A97" w:rsidR="000E38BD" w:rsidRPr="00446050" w:rsidRDefault="000E38BD" w:rsidP="00B60F95">
            <w:pPr>
              <w:pStyle w:val="ARtablenoteindent"/>
            </w:pPr>
            <w:r w:rsidRPr="00446050">
              <w:t xml:space="preserve">All </w:t>
            </w:r>
            <w:r w:rsidRPr="00B60F95">
              <w:t>service providers that undertook an external audit achieved certification.</w:t>
            </w:r>
            <w:r w:rsidR="00B6150E">
              <w:t xml:space="preserve"> </w:t>
            </w:r>
            <w:r w:rsidRPr="00B60F95">
              <w:t>The certification reviews ceased on 31 December 2023 in preparation for the commencement of the Social Services Regulator on 1 July 2024.</w:t>
            </w:r>
            <w:r w:rsidR="00E360C4">
              <w:t xml:space="preserve"> </w:t>
            </w:r>
            <w:r w:rsidRPr="00B60F95">
              <w:t>Both certification measures are proposed to be discontinued in the 2024</w:t>
            </w:r>
            <w:r w:rsidR="00E837F9">
              <w:t>–</w:t>
            </w:r>
            <w:r w:rsidRPr="00B60F95">
              <w:t xml:space="preserve">25 Budget, and </w:t>
            </w:r>
            <w:r w:rsidR="00F95AC7">
              <w:t>2</w:t>
            </w:r>
            <w:r w:rsidRPr="00B60F95">
              <w:t xml:space="preserve"> new replacement measures have been introduced</w:t>
            </w:r>
            <w:r w:rsidRPr="00446050">
              <w:t xml:space="preserve">: </w:t>
            </w:r>
            <w:r w:rsidR="00711AE6">
              <w:t>‘</w:t>
            </w:r>
            <w:r w:rsidRPr="00446050">
              <w:t>Social Service Providers satisfaction with education and guidance provided by the Social Services Regulator</w:t>
            </w:r>
            <w:r w:rsidR="00711AE6">
              <w:t>’</w:t>
            </w:r>
            <w:r w:rsidRPr="00446050">
              <w:t xml:space="preserve"> and </w:t>
            </w:r>
            <w:r w:rsidR="00711AE6">
              <w:t>‘</w:t>
            </w:r>
            <w:r w:rsidRPr="00446050">
              <w:t>Registration applications processed within statutory timelines</w:t>
            </w:r>
            <w:r w:rsidR="00711AE6">
              <w:t>’</w:t>
            </w:r>
            <w:r w:rsidRPr="00446050">
              <w:t>.</w:t>
            </w:r>
          </w:p>
        </w:tc>
      </w:tr>
      <w:tr w:rsidR="000E38BD" w:rsidRPr="00446050" w14:paraId="11E04CDF" w14:textId="77777777" w:rsidTr="009F799A">
        <w:trPr>
          <w:gridAfter w:val="1"/>
          <w:wAfter w:w="9" w:type="dxa"/>
          <w:cantSplit/>
        </w:trPr>
        <w:tc>
          <w:tcPr>
            <w:tcW w:w="4742" w:type="dxa"/>
            <w:shd w:val="clear" w:color="auto" w:fill="auto"/>
          </w:tcPr>
          <w:p w14:paraId="76963484" w14:textId="31C631DD" w:rsidR="000E38BD" w:rsidRPr="00446050" w:rsidRDefault="000E38BD">
            <w:pPr>
              <w:pStyle w:val="ARtabletext"/>
              <w:keepNext/>
            </w:pPr>
            <w:r w:rsidRPr="00446050">
              <w:t>Organisations that have successfully completed a certification review (specialist support and placement</w:t>
            </w:r>
            <w:r w:rsidR="00A274A7">
              <w:t> </w:t>
            </w:r>
            <w:r w:rsidRPr="00446050">
              <w:t>services)</w:t>
            </w:r>
          </w:p>
        </w:tc>
        <w:tc>
          <w:tcPr>
            <w:tcW w:w="1019" w:type="dxa"/>
            <w:shd w:val="clear" w:color="auto" w:fill="auto"/>
          </w:tcPr>
          <w:p w14:paraId="7B6997EC" w14:textId="77777777" w:rsidR="000E38BD" w:rsidRPr="00446050" w:rsidRDefault="000E38BD">
            <w:pPr>
              <w:pStyle w:val="ARtabletext"/>
            </w:pPr>
            <w:r w:rsidRPr="00446050">
              <w:t>per cent</w:t>
            </w:r>
          </w:p>
        </w:tc>
        <w:tc>
          <w:tcPr>
            <w:tcW w:w="1021" w:type="dxa"/>
            <w:shd w:val="clear" w:color="auto" w:fill="auto"/>
          </w:tcPr>
          <w:p w14:paraId="1CF62F33" w14:textId="6A482D6E" w:rsidR="000E38BD" w:rsidRPr="00446050" w:rsidRDefault="000E38BD">
            <w:pPr>
              <w:pStyle w:val="ARtabletextright"/>
            </w:pPr>
            <w:r w:rsidRPr="00446050">
              <w:t>95</w:t>
            </w:r>
            <w:r w:rsidR="00A16612">
              <w:t>.0</w:t>
            </w:r>
          </w:p>
        </w:tc>
        <w:tc>
          <w:tcPr>
            <w:tcW w:w="1022" w:type="dxa"/>
            <w:shd w:val="clear" w:color="auto" w:fill="auto"/>
          </w:tcPr>
          <w:p w14:paraId="2B7D71C0" w14:textId="77777777" w:rsidR="000E38BD" w:rsidRPr="00446050" w:rsidRDefault="000E38BD">
            <w:pPr>
              <w:pStyle w:val="ARtabletextright"/>
            </w:pPr>
            <w:r w:rsidRPr="00446050">
              <w:t>100</w:t>
            </w:r>
          </w:p>
        </w:tc>
        <w:tc>
          <w:tcPr>
            <w:tcW w:w="1024" w:type="dxa"/>
            <w:shd w:val="clear" w:color="auto" w:fill="auto"/>
          </w:tcPr>
          <w:p w14:paraId="06818B66" w14:textId="77777777" w:rsidR="000E38BD" w:rsidRPr="00446050" w:rsidRDefault="000E38BD">
            <w:pPr>
              <w:pStyle w:val="ARtabletextright"/>
            </w:pPr>
            <w:r w:rsidRPr="00446050">
              <w:t>5.3%</w:t>
            </w:r>
          </w:p>
        </w:tc>
        <w:tc>
          <w:tcPr>
            <w:tcW w:w="795" w:type="dxa"/>
            <w:shd w:val="clear" w:color="auto" w:fill="auto"/>
          </w:tcPr>
          <w:p w14:paraId="32CD87D2" w14:textId="77777777" w:rsidR="000E38BD" w:rsidRPr="00AA126F" w:rsidRDefault="000E38BD" w:rsidP="008457D3">
            <w:pPr>
              <w:pStyle w:val="ARtablecolheadright"/>
              <w:rPr>
                <w:rFonts w:ascii="Wingdings" w:hAnsi="Wingdings"/>
                <w:b w:val="0"/>
                <w:bCs/>
              </w:rPr>
            </w:pPr>
            <w:r w:rsidRPr="00AA126F">
              <w:rPr>
                <w:rFonts w:ascii="Wingdings" w:hAnsi="Wingdings"/>
                <w:b w:val="0"/>
                <w:bCs/>
              </w:rPr>
              <w:t></w:t>
            </w:r>
          </w:p>
        </w:tc>
      </w:tr>
      <w:tr w:rsidR="000E38BD" w:rsidRPr="00446050" w14:paraId="2C420E92" w14:textId="77777777" w:rsidTr="009F799A">
        <w:trPr>
          <w:gridAfter w:val="1"/>
          <w:wAfter w:w="9" w:type="dxa"/>
          <w:cantSplit/>
        </w:trPr>
        <w:tc>
          <w:tcPr>
            <w:tcW w:w="9623" w:type="dxa"/>
            <w:gridSpan w:val="6"/>
            <w:tcBorders>
              <w:bottom w:val="single" w:sz="4" w:space="0" w:color="BFBFBF"/>
            </w:tcBorders>
            <w:shd w:val="clear" w:color="auto" w:fill="auto"/>
            <w:noWrap/>
          </w:tcPr>
          <w:p w14:paraId="7AD3D93E" w14:textId="1834416B" w:rsidR="000E38BD" w:rsidRPr="00446050" w:rsidRDefault="000E38BD">
            <w:pPr>
              <w:pStyle w:val="ARtablenoteindent"/>
            </w:pPr>
            <w:r w:rsidRPr="00446050">
              <w:t>All service providers that undertook an external audit achieved certification. The certification reviews ceased on 31 December 2023 in preparation for the commencement of the Social Services Regulator on 1 July 2024. Both certification measures are proposed to be discontinued in the 2024</w:t>
            </w:r>
            <w:r w:rsidR="00E837F9">
              <w:t>–</w:t>
            </w:r>
            <w:r w:rsidRPr="00446050">
              <w:t xml:space="preserve">25 Budget, and </w:t>
            </w:r>
            <w:r w:rsidR="00F95AC7">
              <w:t>2</w:t>
            </w:r>
            <w:r w:rsidRPr="00446050">
              <w:t xml:space="preserve"> new replacement measures have been introduced: </w:t>
            </w:r>
            <w:r w:rsidR="00711AE6">
              <w:t>‘</w:t>
            </w:r>
            <w:r w:rsidRPr="00446050">
              <w:t>Social Service Providers satisfaction with education and guidance provided by the Social Services Regulator</w:t>
            </w:r>
            <w:r w:rsidR="00711AE6">
              <w:t>’</w:t>
            </w:r>
            <w:r w:rsidRPr="00446050">
              <w:t xml:space="preserve"> and </w:t>
            </w:r>
            <w:r w:rsidR="00711AE6">
              <w:t>‘</w:t>
            </w:r>
            <w:r w:rsidRPr="00446050">
              <w:t>Registration applications processed within statutory timelines</w:t>
            </w:r>
            <w:r w:rsidR="00711AE6">
              <w:t>’</w:t>
            </w:r>
            <w:r w:rsidRPr="00446050">
              <w:t>.</w:t>
            </w:r>
          </w:p>
        </w:tc>
      </w:tr>
      <w:tr w:rsidR="000E38BD" w:rsidRPr="00446050" w14:paraId="688CAD51" w14:textId="77777777" w:rsidTr="00792E14">
        <w:trPr>
          <w:gridAfter w:val="1"/>
          <w:wAfter w:w="9" w:type="dxa"/>
          <w:cantSplit/>
        </w:trPr>
        <w:tc>
          <w:tcPr>
            <w:tcW w:w="4742" w:type="dxa"/>
            <w:tcBorders>
              <w:top w:val="single" w:sz="4" w:space="0" w:color="BFBFBF"/>
              <w:bottom w:val="single" w:sz="4" w:space="0" w:color="BFBFBF"/>
            </w:tcBorders>
            <w:shd w:val="clear" w:color="auto" w:fill="auto"/>
          </w:tcPr>
          <w:p w14:paraId="7D35B201" w14:textId="77777777" w:rsidR="000E38BD" w:rsidRPr="00446050" w:rsidRDefault="000E38BD">
            <w:pPr>
              <w:pStyle w:val="ARtabletext"/>
            </w:pPr>
            <w:r w:rsidRPr="00446050">
              <w:t>Proportion of Aboriginal children placed with relatives/kin, other Aboriginal carers or in Aboriginal residential care</w:t>
            </w:r>
          </w:p>
        </w:tc>
        <w:tc>
          <w:tcPr>
            <w:tcW w:w="1019" w:type="dxa"/>
            <w:tcBorders>
              <w:top w:val="single" w:sz="4" w:space="0" w:color="BFBFBF"/>
              <w:bottom w:val="single" w:sz="4" w:space="0" w:color="BFBFBF"/>
            </w:tcBorders>
            <w:shd w:val="clear" w:color="auto" w:fill="auto"/>
          </w:tcPr>
          <w:p w14:paraId="0FFACEB2" w14:textId="77777777" w:rsidR="000E38BD" w:rsidRPr="00446050" w:rsidRDefault="000E38BD">
            <w:pPr>
              <w:pStyle w:val="ARtabletext"/>
            </w:pPr>
            <w:r w:rsidRPr="00446050">
              <w:t>per cent</w:t>
            </w:r>
          </w:p>
        </w:tc>
        <w:tc>
          <w:tcPr>
            <w:tcW w:w="1021" w:type="dxa"/>
            <w:tcBorders>
              <w:top w:val="single" w:sz="4" w:space="0" w:color="BFBFBF"/>
              <w:bottom w:val="single" w:sz="4" w:space="0" w:color="BFBFBF"/>
            </w:tcBorders>
            <w:shd w:val="clear" w:color="auto" w:fill="auto"/>
          </w:tcPr>
          <w:p w14:paraId="23D83FBC" w14:textId="77777777" w:rsidR="000E38BD" w:rsidRPr="00446050" w:rsidRDefault="000E38BD">
            <w:pPr>
              <w:pStyle w:val="ARtabletextright"/>
            </w:pPr>
            <w:r w:rsidRPr="00446050">
              <w:t>77.0</w:t>
            </w:r>
          </w:p>
        </w:tc>
        <w:tc>
          <w:tcPr>
            <w:tcW w:w="1022" w:type="dxa"/>
            <w:tcBorders>
              <w:top w:val="single" w:sz="4" w:space="0" w:color="BFBFBF"/>
              <w:bottom w:val="single" w:sz="4" w:space="0" w:color="BFBFBF"/>
            </w:tcBorders>
            <w:shd w:val="clear" w:color="auto" w:fill="auto"/>
          </w:tcPr>
          <w:p w14:paraId="3A11C432" w14:textId="5C966520" w:rsidR="000E38BD" w:rsidRPr="00446050" w:rsidRDefault="00C65DE7">
            <w:pPr>
              <w:pStyle w:val="ARtabletextright"/>
            </w:pPr>
            <w:r>
              <w:t>73.3</w:t>
            </w:r>
          </w:p>
        </w:tc>
        <w:tc>
          <w:tcPr>
            <w:tcW w:w="1024" w:type="dxa"/>
            <w:tcBorders>
              <w:top w:val="single" w:sz="4" w:space="0" w:color="BFBFBF"/>
              <w:bottom w:val="single" w:sz="4" w:space="0" w:color="BFBFBF"/>
            </w:tcBorders>
            <w:shd w:val="clear" w:color="auto" w:fill="auto"/>
          </w:tcPr>
          <w:p w14:paraId="56A09525" w14:textId="7EFBD735" w:rsidR="000E38BD" w:rsidRPr="00446050" w:rsidRDefault="000E38BD">
            <w:pPr>
              <w:pStyle w:val="ARtabletextright"/>
            </w:pPr>
            <w:r w:rsidRPr="00446050">
              <w:t>-</w:t>
            </w:r>
            <w:r w:rsidR="00C65DE7">
              <w:t>4.</w:t>
            </w:r>
            <w:r w:rsidR="00241D68">
              <w:t>8</w:t>
            </w:r>
            <w:r w:rsidRPr="00446050">
              <w:t>%</w:t>
            </w:r>
          </w:p>
        </w:tc>
        <w:tc>
          <w:tcPr>
            <w:tcW w:w="795" w:type="dxa"/>
            <w:tcBorders>
              <w:top w:val="single" w:sz="4" w:space="0" w:color="BFBFBF"/>
              <w:bottom w:val="single" w:sz="4" w:space="0" w:color="BFBFBF"/>
            </w:tcBorders>
            <w:shd w:val="clear" w:color="auto" w:fill="auto"/>
          </w:tcPr>
          <w:p w14:paraId="69868441" w14:textId="6C5B61F9" w:rsidR="000E38BD" w:rsidRPr="00446050" w:rsidRDefault="00C05D2D">
            <w:pPr>
              <w:pStyle w:val="ARtableperformancesymbol"/>
              <w:rPr>
                <w:rFonts w:hint="eastAsia"/>
                <w:lang w:val="en-AU"/>
              </w:rPr>
            </w:pPr>
            <w:r w:rsidRPr="00446050">
              <w:t>□</w:t>
            </w:r>
          </w:p>
        </w:tc>
      </w:tr>
      <w:tr w:rsidR="00792E14" w:rsidRPr="00446050" w14:paraId="425704A3" w14:textId="77777777" w:rsidTr="00792E14">
        <w:trPr>
          <w:gridAfter w:val="1"/>
          <w:wAfter w:w="9" w:type="dxa"/>
          <w:cantSplit/>
        </w:trPr>
        <w:tc>
          <w:tcPr>
            <w:tcW w:w="4742" w:type="dxa"/>
            <w:tcBorders>
              <w:top w:val="single" w:sz="4" w:space="0" w:color="BFBFBF"/>
            </w:tcBorders>
            <w:shd w:val="clear" w:color="auto" w:fill="auto"/>
          </w:tcPr>
          <w:p w14:paraId="22770BF6" w14:textId="5CB03657" w:rsidR="00792E14" w:rsidRPr="00446050" w:rsidRDefault="00792E14" w:rsidP="00792E14">
            <w:pPr>
              <w:pStyle w:val="ARtabletext"/>
            </w:pPr>
            <w:r w:rsidRPr="00446050">
              <w:t>Proportion of family services cases closing who met an identified goal in their child and family action plans</w:t>
            </w:r>
          </w:p>
        </w:tc>
        <w:tc>
          <w:tcPr>
            <w:tcW w:w="1019" w:type="dxa"/>
            <w:tcBorders>
              <w:top w:val="single" w:sz="4" w:space="0" w:color="BFBFBF"/>
            </w:tcBorders>
            <w:shd w:val="clear" w:color="auto" w:fill="auto"/>
          </w:tcPr>
          <w:p w14:paraId="4C12B29C" w14:textId="6F219632" w:rsidR="00792E14" w:rsidRPr="00446050" w:rsidRDefault="00792E14" w:rsidP="00792E14">
            <w:pPr>
              <w:pStyle w:val="ARtabletext"/>
            </w:pPr>
            <w:r w:rsidRPr="00446050">
              <w:t>per cent</w:t>
            </w:r>
          </w:p>
        </w:tc>
        <w:tc>
          <w:tcPr>
            <w:tcW w:w="1021" w:type="dxa"/>
            <w:tcBorders>
              <w:top w:val="single" w:sz="4" w:space="0" w:color="BFBFBF"/>
            </w:tcBorders>
            <w:shd w:val="clear" w:color="auto" w:fill="auto"/>
          </w:tcPr>
          <w:p w14:paraId="045AE723" w14:textId="768C0042" w:rsidR="00792E14" w:rsidRPr="00446050" w:rsidRDefault="00792E14" w:rsidP="00792E14">
            <w:pPr>
              <w:pStyle w:val="ARtabletextright"/>
            </w:pPr>
            <w:r w:rsidRPr="00446050">
              <w:t>70</w:t>
            </w:r>
            <w:r>
              <w:t>.0</w:t>
            </w:r>
          </w:p>
        </w:tc>
        <w:tc>
          <w:tcPr>
            <w:tcW w:w="1022" w:type="dxa"/>
            <w:tcBorders>
              <w:top w:val="single" w:sz="4" w:space="0" w:color="BFBFBF"/>
            </w:tcBorders>
            <w:shd w:val="clear" w:color="auto" w:fill="auto"/>
          </w:tcPr>
          <w:p w14:paraId="2E61E2BD" w14:textId="73F2ED2B" w:rsidR="00792E14" w:rsidRDefault="00792E14" w:rsidP="00792E14">
            <w:pPr>
              <w:pStyle w:val="ARtabletextright"/>
            </w:pPr>
            <w:r w:rsidRPr="00446050">
              <w:t>74</w:t>
            </w:r>
            <w:r>
              <w:t>.0</w:t>
            </w:r>
          </w:p>
        </w:tc>
        <w:tc>
          <w:tcPr>
            <w:tcW w:w="1024" w:type="dxa"/>
            <w:tcBorders>
              <w:top w:val="single" w:sz="4" w:space="0" w:color="BFBFBF"/>
            </w:tcBorders>
            <w:shd w:val="clear" w:color="auto" w:fill="auto"/>
          </w:tcPr>
          <w:p w14:paraId="7C4428E6" w14:textId="49817AF0" w:rsidR="00792E14" w:rsidRPr="00446050" w:rsidRDefault="00792E14" w:rsidP="00792E14">
            <w:pPr>
              <w:pStyle w:val="ARtabletextright"/>
            </w:pPr>
            <w:r w:rsidRPr="00446050">
              <w:t>5.7%</w:t>
            </w:r>
          </w:p>
        </w:tc>
        <w:tc>
          <w:tcPr>
            <w:tcW w:w="795" w:type="dxa"/>
            <w:tcBorders>
              <w:top w:val="single" w:sz="4" w:space="0" w:color="BFBFBF"/>
            </w:tcBorders>
            <w:shd w:val="clear" w:color="auto" w:fill="auto"/>
          </w:tcPr>
          <w:p w14:paraId="5DE20141" w14:textId="07562DD2" w:rsidR="00792E14" w:rsidRPr="00446050" w:rsidRDefault="00792E14" w:rsidP="00792E14">
            <w:pPr>
              <w:pStyle w:val="ARtableperformancesymbol"/>
              <w:rPr>
                <w:rFonts w:hint="eastAsia"/>
              </w:rPr>
            </w:pPr>
            <w:r w:rsidRPr="00446050">
              <w:rPr>
                <w:rFonts w:eastAsia="Wingdings" w:cs="Wingdings"/>
              </w:rPr>
              <w:t></w:t>
            </w:r>
          </w:p>
        </w:tc>
      </w:tr>
      <w:tr w:rsidR="00792E14" w:rsidRPr="00446050" w14:paraId="378FB3D8" w14:textId="77777777" w:rsidTr="00792E14">
        <w:trPr>
          <w:gridAfter w:val="1"/>
          <w:wAfter w:w="9" w:type="dxa"/>
          <w:cantSplit/>
        </w:trPr>
        <w:tc>
          <w:tcPr>
            <w:tcW w:w="9623" w:type="dxa"/>
            <w:gridSpan w:val="6"/>
            <w:tcBorders>
              <w:bottom w:val="single" w:sz="2" w:space="0" w:color="auto"/>
            </w:tcBorders>
            <w:shd w:val="clear" w:color="auto" w:fill="auto"/>
          </w:tcPr>
          <w:p w14:paraId="35E544DD" w14:textId="043DFEA7" w:rsidR="00792E14" w:rsidRPr="00446050" w:rsidRDefault="00792E14" w:rsidP="00792E14">
            <w:pPr>
              <w:pStyle w:val="ARtablenoteindent"/>
            </w:pPr>
            <w:r w:rsidRPr="00446050">
              <w:t>The 2023</w:t>
            </w:r>
            <w:r>
              <w:t>–</w:t>
            </w:r>
            <w:r w:rsidRPr="00446050">
              <w:t>24 result is higher than the 2023</w:t>
            </w:r>
            <w:r>
              <w:t>–</w:t>
            </w:r>
            <w:r w:rsidRPr="00446050">
              <w:t>24 target due to positive levels of engagement in family services.</w:t>
            </w:r>
          </w:p>
        </w:tc>
      </w:tr>
      <w:tr w:rsidR="000E38BD" w:rsidRPr="00446050" w14:paraId="44CB7E6D" w14:textId="77777777" w:rsidTr="009F799A">
        <w:trPr>
          <w:cantSplit/>
        </w:trPr>
        <w:tc>
          <w:tcPr>
            <w:tcW w:w="9632" w:type="dxa"/>
            <w:gridSpan w:val="7"/>
            <w:tcBorders>
              <w:top w:val="single" w:sz="4" w:space="0" w:color="auto"/>
              <w:left w:val="nil"/>
              <w:right w:val="nil"/>
            </w:tcBorders>
            <w:shd w:val="clear" w:color="auto" w:fill="auto"/>
            <w:hideMark/>
          </w:tcPr>
          <w:p w14:paraId="1D1EE1DC" w14:textId="77777777" w:rsidR="000E38BD" w:rsidRPr="00A274A7" w:rsidRDefault="000E38BD" w:rsidP="00A274A7">
            <w:pPr>
              <w:pStyle w:val="ARtablegreybold"/>
            </w:pPr>
            <w:r w:rsidRPr="00446050">
              <w:t>Timeliness</w:t>
            </w:r>
          </w:p>
        </w:tc>
      </w:tr>
      <w:tr w:rsidR="000E38BD" w:rsidRPr="00446050" w14:paraId="00D7CF3F" w14:textId="77777777" w:rsidTr="009F799A">
        <w:trPr>
          <w:gridAfter w:val="1"/>
          <w:wAfter w:w="9" w:type="dxa"/>
          <w:cantSplit/>
        </w:trPr>
        <w:tc>
          <w:tcPr>
            <w:tcW w:w="4742" w:type="dxa"/>
            <w:shd w:val="clear" w:color="auto" w:fill="auto"/>
            <w:hideMark/>
          </w:tcPr>
          <w:p w14:paraId="4DBDFCB4" w14:textId="5CD4E33E" w:rsidR="000E38BD" w:rsidRPr="00446050" w:rsidRDefault="000E38BD">
            <w:pPr>
              <w:pStyle w:val="ARtabletext"/>
            </w:pPr>
            <w:r w:rsidRPr="00446050">
              <w:t xml:space="preserve">Percentage of child protection investigations assessed as urgent, that were visited, or where attempts were made to visit, within </w:t>
            </w:r>
            <w:r w:rsidR="00F95AC7">
              <w:t>2</w:t>
            </w:r>
            <w:r w:rsidRPr="00446050">
              <w:t xml:space="preserve"> days of receipt of the report</w:t>
            </w:r>
          </w:p>
        </w:tc>
        <w:tc>
          <w:tcPr>
            <w:tcW w:w="1019" w:type="dxa"/>
            <w:shd w:val="clear" w:color="auto" w:fill="auto"/>
            <w:hideMark/>
          </w:tcPr>
          <w:p w14:paraId="0C946ED1" w14:textId="77777777" w:rsidR="000E38BD" w:rsidRPr="00446050" w:rsidRDefault="000E38BD">
            <w:pPr>
              <w:pStyle w:val="ARtabletext"/>
            </w:pPr>
            <w:r w:rsidRPr="00446050">
              <w:t>per cent</w:t>
            </w:r>
          </w:p>
        </w:tc>
        <w:tc>
          <w:tcPr>
            <w:tcW w:w="1021" w:type="dxa"/>
            <w:shd w:val="clear" w:color="auto" w:fill="auto"/>
          </w:tcPr>
          <w:p w14:paraId="356C1135" w14:textId="211A0A5F" w:rsidR="000E38BD" w:rsidRPr="00446050" w:rsidRDefault="000E38BD">
            <w:pPr>
              <w:pStyle w:val="ARtabletextright"/>
            </w:pPr>
            <w:r w:rsidRPr="00446050">
              <w:t>97</w:t>
            </w:r>
            <w:r w:rsidR="00A16612">
              <w:t>.0</w:t>
            </w:r>
          </w:p>
        </w:tc>
        <w:tc>
          <w:tcPr>
            <w:tcW w:w="1022" w:type="dxa"/>
            <w:shd w:val="clear" w:color="auto" w:fill="auto"/>
          </w:tcPr>
          <w:p w14:paraId="0DDCEA76" w14:textId="48B64EB2" w:rsidR="000E38BD" w:rsidRPr="00446050" w:rsidRDefault="000E38BD">
            <w:pPr>
              <w:pStyle w:val="ARtabletextright"/>
            </w:pPr>
            <w:r w:rsidRPr="00446050">
              <w:t>96</w:t>
            </w:r>
            <w:r w:rsidR="00A16612">
              <w:t>.0</w:t>
            </w:r>
          </w:p>
        </w:tc>
        <w:tc>
          <w:tcPr>
            <w:tcW w:w="1024" w:type="dxa"/>
            <w:shd w:val="clear" w:color="auto" w:fill="auto"/>
          </w:tcPr>
          <w:p w14:paraId="6F1B59ED" w14:textId="77777777" w:rsidR="000E38BD" w:rsidRPr="00446050" w:rsidRDefault="000E38BD">
            <w:pPr>
              <w:pStyle w:val="ARtabletextright"/>
            </w:pPr>
            <w:r w:rsidRPr="00446050">
              <w:t>-1.0%</w:t>
            </w:r>
          </w:p>
        </w:tc>
        <w:tc>
          <w:tcPr>
            <w:tcW w:w="795" w:type="dxa"/>
            <w:shd w:val="clear" w:color="auto" w:fill="auto"/>
          </w:tcPr>
          <w:p w14:paraId="0755C79F" w14:textId="77777777" w:rsidR="000E38BD" w:rsidRPr="00446050" w:rsidRDefault="000E38BD">
            <w:pPr>
              <w:pStyle w:val="ARtableperformancesymbol"/>
              <w:rPr>
                <w:rFonts w:hint="eastAsia"/>
                <w:lang w:val="en-AU"/>
              </w:rPr>
            </w:pPr>
            <w:r w:rsidRPr="00446050">
              <w:t>□</w:t>
            </w:r>
          </w:p>
        </w:tc>
      </w:tr>
      <w:tr w:rsidR="000E38BD" w:rsidRPr="00446050" w14:paraId="27021C25" w14:textId="77777777" w:rsidTr="009F799A">
        <w:trPr>
          <w:cantSplit/>
        </w:trPr>
        <w:tc>
          <w:tcPr>
            <w:tcW w:w="9632" w:type="dxa"/>
            <w:gridSpan w:val="7"/>
            <w:tcBorders>
              <w:top w:val="single" w:sz="4" w:space="0" w:color="auto"/>
              <w:left w:val="nil"/>
              <w:right w:val="nil"/>
            </w:tcBorders>
            <w:shd w:val="clear" w:color="auto" w:fill="auto"/>
            <w:hideMark/>
          </w:tcPr>
          <w:p w14:paraId="72364501" w14:textId="77777777" w:rsidR="000E38BD" w:rsidRPr="00A274A7" w:rsidRDefault="000E38BD" w:rsidP="00A274A7">
            <w:pPr>
              <w:pStyle w:val="ARtablegreybold"/>
            </w:pPr>
            <w:r w:rsidRPr="00446050">
              <w:t>Cost</w:t>
            </w:r>
          </w:p>
        </w:tc>
      </w:tr>
      <w:tr w:rsidR="000E38BD" w:rsidRPr="00446050" w14:paraId="72EB9962" w14:textId="77777777" w:rsidTr="009F799A">
        <w:trPr>
          <w:cantSplit/>
        </w:trPr>
        <w:tc>
          <w:tcPr>
            <w:tcW w:w="4742" w:type="dxa"/>
            <w:shd w:val="clear" w:color="auto" w:fill="auto"/>
            <w:hideMark/>
          </w:tcPr>
          <w:p w14:paraId="16FE824C" w14:textId="77777777" w:rsidR="000E38BD" w:rsidRPr="00446050" w:rsidRDefault="000E38BD">
            <w:pPr>
              <w:pStyle w:val="ARtabletext"/>
              <w:rPr>
                <w:b/>
              </w:rPr>
            </w:pPr>
            <w:r w:rsidRPr="00446050">
              <w:rPr>
                <w:b/>
              </w:rPr>
              <w:t>Total output cost</w:t>
            </w:r>
          </w:p>
        </w:tc>
        <w:tc>
          <w:tcPr>
            <w:tcW w:w="1019" w:type="dxa"/>
            <w:shd w:val="clear" w:color="auto" w:fill="auto"/>
            <w:hideMark/>
          </w:tcPr>
          <w:p w14:paraId="3CD962B2" w14:textId="77777777" w:rsidR="000E38BD" w:rsidRPr="00446050" w:rsidRDefault="000E38BD">
            <w:pPr>
              <w:pStyle w:val="ARtabletext"/>
              <w:rPr>
                <w:b/>
              </w:rPr>
            </w:pPr>
            <w:r w:rsidRPr="00446050">
              <w:rPr>
                <w:b/>
              </w:rPr>
              <w:t>$ million</w:t>
            </w:r>
          </w:p>
        </w:tc>
        <w:tc>
          <w:tcPr>
            <w:tcW w:w="1021" w:type="dxa"/>
            <w:shd w:val="clear" w:color="auto" w:fill="auto"/>
          </w:tcPr>
          <w:p w14:paraId="7AAC0C45" w14:textId="7A4E34C1" w:rsidR="000E38BD" w:rsidRPr="00446050" w:rsidRDefault="000E38BD">
            <w:pPr>
              <w:pStyle w:val="ARtabletextrightbold"/>
            </w:pPr>
            <w:r w:rsidRPr="00446050">
              <w:t>2,02</w:t>
            </w:r>
            <w:r w:rsidR="00250C48">
              <w:t>2.5</w:t>
            </w:r>
          </w:p>
        </w:tc>
        <w:tc>
          <w:tcPr>
            <w:tcW w:w="1022" w:type="dxa"/>
            <w:shd w:val="clear" w:color="auto" w:fill="auto"/>
          </w:tcPr>
          <w:p w14:paraId="355FA974" w14:textId="77777777" w:rsidR="000E38BD" w:rsidRPr="00446050" w:rsidRDefault="000E38BD">
            <w:pPr>
              <w:pStyle w:val="ARtabletextrightbold"/>
            </w:pPr>
            <w:r w:rsidRPr="00446050">
              <w:t>2,513.5</w:t>
            </w:r>
          </w:p>
        </w:tc>
        <w:tc>
          <w:tcPr>
            <w:tcW w:w="1024" w:type="dxa"/>
            <w:shd w:val="clear" w:color="auto" w:fill="auto"/>
          </w:tcPr>
          <w:p w14:paraId="31F4A0AE" w14:textId="77777777" w:rsidR="000E38BD" w:rsidRPr="00446050" w:rsidRDefault="000E38BD">
            <w:pPr>
              <w:pStyle w:val="ARtabletextrightbold"/>
            </w:pPr>
            <w:r w:rsidRPr="00446050">
              <w:t>24.3%</w:t>
            </w:r>
          </w:p>
        </w:tc>
        <w:tc>
          <w:tcPr>
            <w:tcW w:w="804" w:type="dxa"/>
            <w:gridSpan w:val="2"/>
            <w:shd w:val="clear" w:color="auto" w:fill="auto"/>
          </w:tcPr>
          <w:p w14:paraId="10C50F60" w14:textId="75FF0311" w:rsidR="000E38BD" w:rsidRPr="00446050" w:rsidRDefault="000E38BD">
            <w:pPr>
              <w:pStyle w:val="ARtableperformancesymbol"/>
              <w:rPr>
                <w:rFonts w:hint="eastAsia"/>
                <w:b/>
              </w:rPr>
            </w:pPr>
            <w:r w:rsidRPr="00446050">
              <w:rPr>
                <w:rFonts w:eastAsia="Wingdings" w:cs="Wingdings"/>
              </w:rPr>
              <w:t></w:t>
            </w:r>
          </w:p>
        </w:tc>
      </w:tr>
      <w:tr w:rsidR="000E38BD" w:rsidRPr="00532DAE" w14:paraId="602D5B23" w14:textId="77777777" w:rsidTr="009F799A">
        <w:trPr>
          <w:cantSplit/>
        </w:trPr>
        <w:tc>
          <w:tcPr>
            <w:tcW w:w="9632" w:type="dxa"/>
            <w:gridSpan w:val="7"/>
            <w:tcBorders>
              <w:bottom w:val="single" w:sz="4" w:space="0" w:color="auto"/>
            </w:tcBorders>
            <w:shd w:val="clear" w:color="auto" w:fill="auto"/>
          </w:tcPr>
          <w:p w14:paraId="536837B1" w14:textId="27BE749F" w:rsidR="000E38BD" w:rsidRPr="00532DAE" w:rsidRDefault="000E38BD">
            <w:pPr>
              <w:pStyle w:val="ARtablenoteindent"/>
              <w:rPr>
                <w:rFonts w:cs="Arial"/>
                <w:bCs/>
                <w:szCs w:val="16"/>
              </w:rPr>
            </w:pPr>
            <w:r w:rsidRPr="00446050">
              <w:rPr>
                <w:rFonts w:cs="Arial"/>
                <w:bCs/>
                <w:szCs w:val="16"/>
              </w:rPr>
              <w:t>The higher expenditure reflects insurance claims and premiums as well as expenditure for the Victorian Redress Scheme which is</w:t>
            </w:r>
            <w:r w:rsidR="00D74E64">
              <w:rPr>
                <w:rFonts w:cs="Arial"/>
                <w:bCs/>
                <w:szCs w:val="16"/>
              </w:rPr>
              <w:t xml:space="preserve"> </w:t>
            </w:r>
            <w:r w:rsidRPr="00446050">
              <w:rPr>
                <w:rFonts w:cs="Arial"/>
                <w:bCs/>
                <w:szCs w:val="16"/>
              </w:rPr>
              <w:t>n</w:t>
            </w:r>
            <w:r w:rsidR="00D74E64">
              <w:rPr>
                <w:rFonts w:cs="Arial"/>
                <w:bCs/>
                <w:szCs w:val="16"/>
              </w:rPr>
              <w:t>o</w:t>
            </w:r>
            <w:r w:rsidRPr="00446050">
              <w:rPr>
                <w:rFonts w:cs="Arial"/>
                <w:bCs/>
                <w:szCs w:val="16"/>
              </w:rPr>
              <w:t>t included in the target.</w:t>
            </w:r>
          </w:p>
        </w:tc>
      </w:tr>
    </w:tbl>
    <w:p w14:paraId="592307D8" w14:textId="659511FB" w:rsidR="000E38BD" w:rsidRPr="00561C66" w:rsidRDefault="000E38BD" w:rsidP="00333387">
      <w:pPr>
        <w:pStyle w:val="Heading3"/>
      </w:pPr>
      <w:r w:rsidRPr="00561C66">
        <w:t>Family violence service delivery</w:t>
      </w:r>
    </w:p>
    <w:p w14:paraId="2FF0CC9A" w14:textId="508CCDEE" w:rsidR="000E38BD" w:rsidRPr="00561C66" w:rsidRDefault="000E38BD" w:rsidP="00D0613D">
      <w:pPr>
        <w:pStyle w:val="ARbodybeforetable"/>
      </w:pPr>
      <w:r w:rsidRPr="00561C66">
        <w:t>This output will lead and coordinate whole-of-government family violence policy and implement and deliver the government</w:t>
      </w:r>
      <w:r w:rsidR="00711AE6">
        <w:t>’</w:t>
      </w:r>
      <w:r w:rsidRPr="00561C66">
        <w:t xml:space="preserve">s </w:t>
      </w:r>
      <w:r w:rsidRPr="009F799A">
        <w:t>family</w:t>
      </w:r>
      <w:r w:rsidRPr="00561C66">
        <w:t xml:space="preserve"> violence reform agenda. This will include establishing and operating Support and Safety Hubs, implementing information sharing legislation, and delivery of risk assessment and management</w:t>
      </w:r>
      <w:r w:rsidR="00A274A7">
        <w:t> </w:t>
      </w:r>
      <w:r w:rsidRPr="00561C66">
        <w:t>programs.</w:t>
      </w:r>
    </w:p>
    <w:tbl>
      <w:tblPr>
        <w:tblW w:w="5000" w:type="pct"/>
        <w:tblLayout w:type="fixed"/>
        <w:tblCellMar>
          <w:left w:w="0" w:type="dxa"/>
        </w:tblCellMar>
        <w:tblLook w:val="06A0" w:firstRow="1" w:lastRow="0" w:firstColumn="1" w:lastColumn="0" w:noHBand="1" w:noVBand="1"/>
      </w:tblPr>
      <w:tblGrid>
        <w:gridCol w:w="4739"/>
        <w:gridCol w:w="10"/>
        <w:gridCol w:w="1007"/>
        <w:gridCol w:w="12"/>
        <w:gridCol w:w="1004"/>
        <w:gridCol w:w="15"/>
        <w:gridCol w:w="1005"/>
        <w:gridCol w:w="14"/>
        <w:gridCol w:w="1023"/>
        <w:gridCol w:w="803"/>
      </w:tblGrid>
      <w:tr w:rsidR="00470AF7" w:rsidRPr="00446050" w14:paraId="3F0D566D" w14:textId="77777777" w:rsidTr="00A95F3C">
        <w:trPr>
          <w:cantSplit/>
          <w:tblHeader/>
        </w:trPr>
        <w:tc>
          <w:tcPr>
            <w:tcW w:w="4749" w:type="dxa"/>
            <w:gridSpan w:val="2"/>
            <w:tcBorders>
              <w:top w:val="nil"/>
              <w:left w:val="nil"/>
              <w:bottom w:val="single" w:sz="4" w:space="0" w:color="auto"/>
              <w:right w:val="nil"/>
            </w:tcBorders>
            <w:vAlign w:val="bottom"/>
            <w:hideMark/>
          </w:tcPr>
          <w:p w14:paraId="43E5EF56" w14:textId="77777777" w:rsidR="00470AF7" w:rsidRPr="00446050" w:rsidRDefault="00470AF7">
            <w:pPr>
              <w:pStyle w:val="ARtablecolhead"/>
            </w:pPr>
            <w:r w:rsidRPr="00446050">
              <w:t>Performance measures</w:t>
            </w:r>
          </w:p>
        </w:tc>
        <w:tc>
          <w:tcPr>
            <w:tcW w:w="1019" w:type="dxa"/>
            <w:gridSpan w:val="2"/>
            <w:tcBorders>
              <w:top w:val="nil"/>
              <w:left w:val="nil"/>
              <w:bottom w:val="single" w:sz="4" w:space="0" w:color="auto"/>
              <w:right w:val="nil"/>
            </w:tcBorders>
            <w:vAlign w:val="bottom"/>
            <w:hideMark/>
          </w:tcPr>
          <w:p w14:paraId="671B8357" w14:textId="77777777" w:rsidR="00470AF7" w:rsidRPr="00446050" w:rsidRDefault="00470AF7">
            <w:pPr>
              <w:pStyle w:val="ARtablecolhead"/>
            </w:pPr>
            <w:r w:rsidRPr="00446050">
              <w:t>Unit of measure</w:t>
            </w:r>
          </w:p>
        </w:tc>
        <w:tc>
          <w:tcPr>
            <w:tcW w:w="1019" w:type="dxa"/>
            <w:gridSpan w:val="2"/>
            <w:tcBorders>
              <w:top w:val="nil"/>
              <w:left w:val="nil"/>
              <w:bottom w:val="single" w:sz="4" w:space="0" w:color="auto"/>
              <w:right w:val="nil"/>
            </w:tcBorders>
            <w:vAlign w:val="bottom"/>
            <w:hideMark/>
          </w:tcPr>
          <w:p w14:paraId="258A9D4A" w14:textId="77777777" w:rsidR="00470AF7" w:rsidRPr="00446050" w:rsidRDefault="00470AF7">
            <w:pPr>
              <w:pStyle w:val="ARtablecolheadright"/>
            </w:pPr>
            <w:r w:rsidRPr="00446050">
              <w:t>2023–24 target</w:t>
            </w:r>
          </w:p>
        </w:tc>
        <w:tc>
          <w:tcPr>
            <w:tcW w:w="1019" w:type="dxa"/>
            <w:gridSpan w:val="2"/>
            <w:tcBorders>
              <w:top w:val="nil"/>
              <w:left w:val="nil"/>
              <w:bottom w:val="single" w:sz="4" w:space="0" w:color="auto"/>
              <w:right w:val="nil"/>
            </w:tcBorders>
            <w:vAlign w:val="bottom"/>
            <w:hideMark/>
          </w:tcPr>
          <w:p w14:paraId="51C0DCF3" w14:textId="77777777" w:rsidR="00470AF7" w:rsidRPr="00446050" w:rsidRDefault="00470AF7">
            <w:pPr>
              <w:pStyle w:val="ARtablecolheadright"/>
            </w:pPr>
            <w:r w:rsidRPr="00446050">
              <w:t>2023–24 actual</w:t>
            </w:r>
          </w:p>
        </w:tc>
        <w:tc>
          <w:tcPr>
            <w:tcW w:w="1023" w:type="dxa"/>
            <w:tcBorders>
              <w:top w:val="nil"/>
              <w:left w:val="nil"/>
              <w:bottom w:val="single" w:sz="4" w:space="0" w:color="auto"/>
              <w:right w:val="nil"/>
            </w:tcBorders>
            <w:vAlign w:val="bottom"/>
            <w:hideMark/>
          </w:tcPr>
          <w:p w14:paraId="6EE9318A" w14:textId="77777777" w:rsidR="00470AF7" w:rsidRPr="00446050" w:rsidRDefault="00470AF7">
            <w:pPr>
              <w:pStyle w:val="ARtablecolheadright"/>
            </w:pPr>
            <w:r w:rsidRPr="00446050">
              <w:t xml:space="preserve">Variation </w:t>
            </w:r>
          </w:p>
        </w:tc>
        <w:tc>
          <w:tcPr>
            <w:tcW w:w="803" w:type="dxa"/>
            <w:tcBorders>
              <w:top w:val="nil"/>
              <w:left w:val="nil"/>
              <w:bottom w:val="single" w:sz="4" w:space="0" w:color="auto"/>
              <w:right w:val="nil"/>
            </w:tcBorders>
            <w:vAlign w:val="bottom"/>
            <w:hideMark/>
          </w:tcPr>
          <w:p w14:paraId="031E5E1E" w14:textId="77777777" w:rsidR="00470AF7" w:rsidRPr="00446050" w:rsidRDefault="00470AF7" w:rsidP="008457D3">
            <w:pPr>
              <w:pStyle w:val="ARtablecolheadright"/>
            </w:pPr>
            <w:r w:rsidRPr="00446050">
              <w:t>Result</w:t>
            </w:r>
          </w:p>
        </w:tc>
      </w:tr>
      <w:tr w:rsidR="00470AF7" w:rsidRPr="00446050" w14:paraId="4E072618" w14:textId="77777777" w:rsidTr="00A95F3C">
        <w:trPr>
          <w:cantSplit/>
        </w:trPr>
        <w:tc>
          <w:tcPr>
            <w:tcW w:w="9632" w:type="dxa"/>
            <w:gridSpan w:val="10"/>
            <w:tcBorders>
              <w:top w:val="single" w:sz="4" w:space="0" w:color="auto"/>
              <w:left w:val="nil"/>
              <w:bottom w:val="nil"/>
              <w:right w:val="nil"/>
            </w:tcBorders>
            <w:hideMark/>
          </w:tcPr>
          <w:p w14:paraId="7DB96FE9" w14:textId="77777777" w:rsidR="00470AF7" w:rsidRPr="00A274A7" w:rsidRDefault="00470AF7" w:rsidP="00A274A7">
            <w:pPr>
              <w:pStyle w:val="ARtablegreybold"/>
            </w:pPr>
            <w:r w:rsidRPr="00446050">
              <w:t>Quantity</w:t>
            </w:r>
          </w:p>
        </w:tc>
      </w:tr>
      <w:tr w:rsidR="00470AF7" w:rsidRPr="00446050" w14:paraId="10A92F2F" w14:textId="77777777" w:rsidTr="00A95F3C">
        <w:trPr>
          <w:cantSplit/>
        </w:trPr>
        <w:tc>
          <w:tcPr>
            <w:tcW w:w="4749" w:type="dxa"/>
            <w:gridSpan w:val="2"/>
            <w:shd w:val="clear" w:color="auto" w:fill="auto"/>
            <w:hideMark/>
          </w:tcPr>
          <w:p w14:paraId="034D48A7" w14:textId="77777777" w:rsidR="00470AF7" w:rsidRPr="00446050" w:rsidRDefault="00470AF7">
            <w:pPr>
              <w:pStyle w:val="ARtabletext"/>
              <w:keepNext/>
            </w:pPr>
            <w:r w:rsidRPr="00446050">
              <w:t>Workers trained in the Family Violence Risk Assessment and Risk Management Framework</w:t>
            </w:r>
          </w:p>
        </w:tc>
        <w:tc>
          <w:tcPr>
            <w:tcW w:w="1019" w:type="dxa"/>
            <w:gridSpan w:val="2"/>
            <w:shd w:val="clear" w:color="auto" w:fill="auto"/>
            <w:hideMark/>
          </w:tcPr>
          <w:p w14:paraId="46E8F1A7" w14:textId="77777777" w:rsidR="00470AF7" w:rsidRPr="00446050" w:rsidRDefault="00470AF7">
            <w:pPr>
              <w:pStyle w:val="ARtabletext"/>
            </w:pPr>
            <w:r w:rsidRPr="00446050">
              <w:t>number</w:t>
            </w:r>
          </w:p>
        </w:tc>
        <w:tc>
          <w:tcPr>
            <w:tcW w:w="1019" w:type="dxa"/>
            <w:gridSpan w:val="2"/>
            <w:shd w:val="clear" w:color="auto" w:fill="auto"/>
            <w:hideMark/>
          </w:tcPr>
          <w:p w14:paraId="718B7C58" w14:textId="77777777" w:rsidR="00470AF7" w:rsidRPr="00446050" w:rsidRDefault="00470AF7">
            <w:pPr>
              <w:pStyle w:val="ARtabletextright"/>
            </w:pPr>
            <w:r w:rsidRPr="00446050">
              <w:t>10,000</w:t>
            </w:r>
          </w:p>
        </w:tc>
        <w:tc>
          <w:tcPr>
            <w:tcW w:w="1019" w:type="dxa"/>
            <w:gridSpan w:val="2"/>
            <w:shd w:val="clear" w:color="auto" w:fill="auto"/>
            <w:hideMark/>
          </w:tcPr>
          <w:p w14:paraId="0F2E234C" w14:textId="07917260" w:rsidR="00470AF7" w:rsidRPr="00B41651" w:rsidRDefault="00391784">
            <w:pPr>
              <w:pStyle w:val="ARtabletextright"/>
            </w:pPr>
            <w:r w:rsidRPr="00B41651">
              <w:t>16,372</w:t>
            </w:r>
          </w:p>
        </w:tc>
        <w:tc>
          <w:tcPr>
            <w:tcW w:w="1023" w:type="dxa"/>
            <w:shd w:val="clear" w:color="auto" w:fill="auto"/>
          </w:tcPr>
          <w:p w14:paraId="780CE0AA" w14:textId="71DD7961" w:rsidR="00470AF7" w:rsidRPr="00B41651" w:rsidRDefault="00391784">
            <w:pPr>
              <w:pStyle w:val="ARtabletextright"/>
            </w:pPr>
            <w:r w:rsidRPr="00B41651">
              <w:t>63.7</w:t>
            </w:r>
            <w:r w:rsidR="00470AF7" w:rsidRPr="00B41651">
              <w:t>%</w:t>
            </w:r>
          </w:p>
        </w:tc>
        <w:tc>
          <w:tcPr>
            <w:tcW w:w="803" w:type="dxa"/>
            <w:shd w:val="clear" w:color="auto" w:fill="auto"/>
            <w:hideMark/>
          </w:tcPr>
          <w:p w14:paraId="2113D398" w14:textId="77777777" w:rsidR="00470AF7" w:rsidRPr="00446050" w:rsidRDefault="00470AF7">
            <w:pPr>
              <w:pStyle w:val="ARtableperformancesymbol"/>
              <w:rPr>
                <w:rFonts w:hint="eastAsia"/>
                <w:lang w:val="en-AU"/>
              </w:rPr>
            </w:pPr>
            <w:r w:rsidRPr="00446050">
              <w:rPr>
                <w:rFonts w:eastAsia="Wingdings" w:cs="Wingdings"/>
              </w:rPr>
              <w:t></w:t>
            </w:r>
          </w:p>
        </w:tc>
      </w:tr>
      <w:tr w:rsidR="00470AF7" w:rsidRPr="00446050" w14:paraId="6FD0DFF3" w14:textId="77777777" w:rsidTr="00A95F3C">
        <w:trPr>
          <w:cantSplit/>
        </w:trPr>
        <w:tc>
          <w:tcPr>
            <w:tcW w:w="9632" w:type="dxa"/>
            <w:gridSpan w:val="10"/>
            <w:tcBorders>
              <w:bottom w:val="single" w:sz="4" w:space="0" w:color="A6A6A6"/>
            </w:tcBorders>
            <w:shd w:val="clear" w:color="auto" w:fill="auto"/>
            <w:noWrap/>
            <w:hideMark/>
          </w:tcPr>
          <w:p w14:paraId="4583E40F" w14:textId="66F3B54E" w:rsidR="00470AF7" w:rsidRPr="00446050" w:rsidRDefault="00470AF7">
            <w:pPr>
              <w:pStyle w:val="ARtablenoteindent"/>
            </w:pPr>
            <w:r w:rsidRPr="00446050">
              <w:t>The 2023</w:t>
            </w:r>
            <w:r w:rsidR="00E837F9">
              <w:t>–</w:t>
            </w:r>
            <w:r w:rsidRPr="00446050">
              <w:t>24 result is higher than target due to the release of new training modules on adults using family violence and increased awareness and participation from workforces</w:t>
            </w:r>
            <w:r w:rsidR="002179E6" w:rsidRPr="002179E6">
              <w:t xml:space="preserve"> to reflect new practice requirements</w:t>
            </w:r>
            <w:r w:rsidR="0054419E">
              <w:t>.</w:t>
            </w:r>
          </w:p>
        </w:tc>
      </w:tr>
      <w:tr w:rsidR="00470AF7" w:rsidRPr="00446050" w14:paraId="1014F829" w14:textId="77777777" w:rsidTr="00A95F3C">
        <w:trPr>
          <w:cantSplit/>
        </w:trPr>
        <w:tc>
          <w:tcPr>
            <w:tcW w:w="4749" w:type="dxa"/>
            <w:gridSpan w:val="2"/>
            <w:tcBorders>
              <w:top w:val="single" w:sz="4" w:space="0" w:color="A6A6A6"/>
            </w:tcBorders>
            <w:shd w:val="clear" w:color="auto" w:fill="auto"/>
            <w:hideMark/>
          </w:tcPr>
          <w:p w14:paraId="3B2C5893" w14:textId="77777777" w:rsidR="00470AF7" w:rsidRPr="00446050" w:rsidRDefault="00470AF7">
            <w:pPr>
              <w:pStyle w:val="ARtabletext"/>
            </w:pPr>
            <w:r w:rsidRPr="00446050">
              <w:t>Number of clients self-referring to The Orange Door</w:t>
            </w:r>
          </w:p>
        </w:tc>
        <w:tc>
          <w:tcPr>
            <w:tcW w:w="1019" w:type="dxa"/>
            <w:gridSpan w:val="2"/>
            <w:tcBorders>
              <w:top w:val="single" w:sz="4" w:space="0" w:color="A6A6A6"/>
            </w:tcBorders>
            <w:shd w:val="clear" w:color="auto" w:fill="auto"/>
            <w:hideMark/>
          </w:tcPr>
          <w:p w14:paraId="2F4EDD70" w14:textId="77777777" w:rsidR="00470AF7" w:rsidRPr="00446050" w:rsidRDefault="00470AF7">
            <w:pPr>
              <w:pStyle w:val="ARtabletext"/>
            </w:pPr>
            <w:r w:rsidRPr="00446050">
              <w:t>number</w:t>
            </w:r>
          </w:p>
        </w:tc>
        <w:tc>
          <w:tcPr>
            <w:tcW w:w="1019" w:type="dxa"/>
            <w:gridSpan w:val="2"/>
            <w:tcBorders>
              <w:top w:val="single" w:sz="4" w:space="0" w:color="A6A6A6"/>
            </w:tcBorders>
            <w:shd w:val="clear" w:color="auto" w:fill="auto"/>
            <w:hideMark/>
          </w:tcPr>
          <w:p w14:paraId="7F91E9F3" w14:textId="77777777" w:rsidR="00470AF7" w:rsidRPr="00446050" w:rsidRDefault="00470AF7">
            <w:pPr>
              <w:pStyle w:val="ARtabletextright"/>
            </w:pPr>
            <w:r w:rsidRPr="00446050">
              <w:t>12,000</w:t>
            </w:r>
          </w:p>
        </w:tc>
        <w:tc>
          <w:tcPr>
            <w:tcW w:w="1019" w:type="dxa"/>
            <w:gridSpan w:val="2"/>
            <w:tcBorders>
              <w:top w:val="single" w:sz="4" w:space="0" w:color="A6A6A6"/>
            </w:tcBorders>
            <w:shd w:val="clear" w:color="auto" w:fill="auto"/>
            <w:hideMark/>
          </w:tcPr>
          <w:p w14:paraId="1BC90E6F" w14:textId="77777777" w:rsidR="00470AF7" w:rsidRPr="00446050" w:rsidRDefault="00470AF7">
            <w:pPr>
              <w:pStyle w:val="ARtabletextright"/>
            </w:pPr>
            <w:r w:rsidRPr="00446050">
              <w:t>60,136</w:t>
            </w:r>
          </w:p>
        </w:tc>
        <w:tc>
          <w:tcPr>
            <w:tcW w:w="1023" w:type="dxa"/>
            <w:tcBorders>
              <w:top w:val="single" w:sz="4" w:space="0" w:color="A6A6A6"/>
            </w:tcBorders>
            <w:shd w:val="clear" w:color="auto" w:fill="auto"/>
          </w:tcPr>
          <w:p w14:paraId="0B3B753F" w14:textId="77777777" w:rsidR="00470AF7" w:rsidRPr="00446050" w:rsidRDefault="00470AF7">
            <w:pPr>
              <w:pStyle w:val="ARtabletextright"/>
            </w:pPr>
            <w:r w:rsidRPr="00446050">
              <w:t>401.1%</w:t>
            </w:r>
          </w:p>
        </w:tc>
        <w:tc>
          <w:tcPr>
            <w:tcW w:w="803" w:type="dxa"/>
            <w:tcBorders>
              <w:top w:val="single" w:sz="4" w:space="0" w:color="A6A6A6"/>
            </w:tcBorders>
            <w:shd w:val="clear" w:color="auto" w:fill="auto"/>
            <w:hideMark/>
          </w:tcPr>
          <w:p w14:paraId="030D98DA" w14:textId="77777777" w:rsidR="00470AF7" w:rsidRPr="00446050" w:rsidRDefault="00470AF7">
            <w:pPr>
              <w:pStyle w:val="ARtableperformancesymbol"/>
              <w:rPr>
                <w:rFonts w:hint="eastAsia"/>
                <w:lang w:val="en-AU"/>
              </w:rPr>
            </w:pPr>
            <w:r w:rsidRPr="00446050">
              <w:rPr>
                <w:rFonts w:eastAsia="Wingdings" w:cs="Wingdings"/>
              </w:rPr>
              <w:t></w:t>
            </w:r>
          </w:p>
        </w:tc>
      </w:tr>
      <w:tr w:rsidR="00470AF7" w:rsidRPr="00446050" w14:paraId="3C5FAF29" w14:textId="77777777" w:rsidTr="00A95F3C">
        <w:trPr>
          <w:cantSplit/>
        </w:trPr>
        <w:tc>
          <w:tcPr>
            <w:tcW w:w="9632" w:type="dxa"/>
            <w:gridSpan w:val="10"/>
            <w:tcBorders>
              <w:bottom w:val="single" w:sz="4" w:space="0" w:color="BFBFBF" w:themeColor="background1" w:themeShade="BF"/>
            </w:tcBorders>
            <w:shd w:val="clear" w:color="auto" w:fill="auto"/>
          </w:tcPr>
          <w:p w14:paraId="0F80E390" w14:textId="77777777" w:rsidR="00470AF7" w:rsidRPr="00446050" w:rsidRDefault="00470AF7">
            <w:pPr>
              <w:pStyle w:val="ARtablenoteindent"/>
            </w:pPr>
            <w:r w:rsidRPr="00446050">
              <w:t>The higher actual compared to target is due to the target being set too low as it was based on historical data when the TOD network was yet to be completed.</w:t>
            </w:r>
          </w:p>
        </w:tc>
      </w:tr>
      <w:tr w:rsidR="00470AF7" w:rsidRPr="00446050" w14:paraId="1D4F85C5" w14:textId="77777777" w:rsidTr="00A95F3C">
        <w:trPr>
          <w:cantSplit/>
        </w:trPr>
        <w:tc>
          <w:tcPr>
            <w:tcW w:w="4749" w:type="dxa"/>
            <w:gridSpan w:val="2"/>
            <w:tcBorders>
              <w:top w:val="single" w:sz="4" w:space="0" w:color="A6A6A6"/>
            </w:tcBorders>
            <w:shd w:val="clear" w:color="auto" w:fill="auto"/>
          </w:tcPr>
          <w:p w14:paraId="3DCF92C8" w14:textId="5F35BC59" w:rsidR="00470AF7" w:rsidRPr="00446050" w:rsidRDefault="00470AF7">
            <w:pPr>
              <w:pStyle w:val="ARtabletext"/>
            </w:pPr>
            <w:r w:rsidRPr="00446050">
              <w:t>Total assessments undertaken at the Support and Safety</w:t>
            </w:r>
            <w:r>
              <w:t> </w:t>
            </w:r>
            <w:r w:rsidRPr="00446050">
              <w:t>Hubs</w:t>
            </w:r>
          </w:p>
        </w:tc>
        <w:tc>
          <w:tcPr>
            <w:tcW w:w="1019" w:type="dxa"/>
            <w:gridSpan w:val="2"/>
            <w:tcBorders>
              <w:top w:val="single" w:sz="4" w:space="0" w:color="A6A6A6"/>
            </w:tcBorders>
            <w:shd w:val="clear" w:color="auto" w:fill="auto"/>
          </w:tcPr>
          <w:p w14:paraId="5F3EE928" w14:textId="77777777" w:rsidR="00470AF7" w:rsidRPr="00446050" w:rsidRDefault="00470AF7">
            <w:pPr>
              <w:pStyle w:val="ARtabletext"/>
            </w:pPr>
            <w:r w:rsidRPr="00446050">
              <w:t>number</w:t>
            </w:r>
          </w:p>
        </w:tc>
        <w:tc>
          <w:tcPr>
            <w:tcW w:w="1019" w:type="dxa"/>
            <w:gridSpan w:val="2"/>
            <w:tcBorders>
              <w:top w:val="single" w:sz="4" w:space="0" w:color="A6A6A6"/>
            </w:tcBorders>
            <w:shd w:val="clear" w:color="auto" w:fill="auto"/>
          </w:tcPr>
          <w:p w14:paraId="0B838FF5" w14:textId="77777777" w:rsidR="00470AF7" w:rsidRPr="00446050" w:rsidRDefault="00470AF7">
            <w:pPr>
              <w:pStyle w:val="ARtabletextright"/>
            </w:pPr>
            <w:r w:rsidRPr="00446050">
              <w:t>100,000</w:t>
            </w:r>
          </w:p>
        </w:tc>
        <w:tc>
          <w:tcPr>
            <w:tcW w:w="1019" w:type="dxa"/>
            <w:gridSpan w:val="2"/>
            <w:tcBorders>
              <w:top w:val="single" w:sz="4" w:space="0" w:color="A6A6A6"/>
            </w:tcBorders>
            <w:shd w:val="clear" w:color="auto" w:fill="auto"/>
          </w:tcPr>
          <w:p w14:paraId="5136571C" w14:textId="77777777" w:rsidR="00470AF7" w:rsidRPr="00446050" w:rsidRDefault="00470AF7">
            <w:pPr>
              <w:pStyle w:val="ARtabletextright"/>
            </w:pPr>
            <w:r w:rsidRPr="00446050">
              <w:t>176,012</w:t>
            </w:r>
          </w:p>
        </w:tc>
        <w:tc>
          <w:tcPr>
            <w:tcW w:w="1023" w:type="dxa"/>
            <w:tcBorders>
              <w:top w:val="single" w:sz="4" w:space="0" w:color="A6A6A6"/>
            </w:tcBorders>
            <w:shd w:val="clear" w:color="auto" w:fill="auto"/>
          </w:tcPr>
          <w:p w14:paraId="2CB8B45A" w14:textId="77777777" w:rsidR="00470AF7" w:rsidRPr="00446050" w:rsidRDefault="00470AF7">
            <w:pPr>
              <w:pStyle w:val="ARtabletextright"/>
            </w:pPr>
            <w:r w:rsidRPr="00446050">
              <w:t>76%</w:t>
            </w:r>
          </w:p>
        </w:tc>
        <w:tc>
          <w:tcPr>
            <w:tcW w:w="803" w:type="dxa"/>
            <w:tcBorders>
              <w:top w:val="single" w:sz="4" w:space="0" w:color="A6A6A6"/>
            </w:tcBorders>
            <w:shd w:val="clear" w:color="auto" w:fill="auto"/>
          </w:tcPr>
          <w:p w14:paraId="44EB98BE" w14:textId="77777777" w:rsidR="00470AF7" w:rsidRPr="00446050" w:rsidRDefault="00470AF7">
            <w:pPr>
              <w:pStyle w:val="ARtableperformancesymbol"/>
              <w:rPr>
                <w:rFonts w:eastAsia="Wingdings" w:cs="Wingdings"/>
                <w:lang w:val="en-AU"/>
              </w:rPr>
            </w:pPr>
            <w:r w:rsidRPr="00446050">
              <w:rPr>
                <w:rFonts w:eastAsia="Wingdings" w:cs="Wingdings"/>
              </w:rPr>
              <w:t></w:t>
            </w:r>
          </w:p>
        </w:tc>
      </w:tr>
      <w:tr w:rsidR="00470AF7" w:rsidRPr="00446050" w14:paraId="33FC9CD4" w14:textId="77777777" w:rsidTr="00A95F3C">
        <w:trPr>
          <w:cantSplit/>
        </w:trPr>
        <w:tc>
          <w:tcPr>
            <w:tcW w:w="9632" w:type="dxa"/>
            <w:gridSpan w:val="10"/>
            <w:tcBorders>
              <w:bottom w:val="single" w:sz="4" w:space="0" w:color="A6A6A6"/>
            </w:tcBorders>
            <w:shd w:val="clear" w:color="auto" w:fill="auto"/>
            <w:noWrap/>
            <w:hideMark/>
          </w:tcPr>
          <w:p w14:paraId="0ECB9AC1" w14:textId="7F820DFC" w:rsidR="00470AF7" w:rsidRPr="00446050" w:rsidRDefault="00470AF7">
            <w:pPr>
              <w:pStyle w:val="ARtablenoteindent"/>
            </w:pPr>
            <w:r w:rsidRPr="00446050">
              <w:t>The 2023</w:t>
            </w:r>
            <w:r w:rsidR="00E837F9">
              <w:t>–</w:t>
            </w:r>
            <w:r w:rsidRPr="00446050">
              <w:t>24 outcome is higher than target due to all 18 The Orange Door sites becoming operational which has led to significant additional capacity. For the 2024</w:t>
            </w:r>
            <w:r w:rsidR="00E837F9">
              <w:t>–</w:t>
            </w:r>
            <w:r w:rsidRPr="00446050">
              <w:t>25 financial year the target has been revised in line with the increased capacity of The Orange Door to undertake risk assessments.</w:t>
            </w:r>
          </w:p>
        </w:tc>
      </w:tr>
      <w:tr w:rsidR="00470AF7" w:rsidRPr="00446050" w14:paraId="0AE5E1A1" w14:textId="77777777" w:rsidTr="00A95F3C">
        <w:trPr>
          <w:cantSplit/>
        </w:trPr>
        <w:tc>
          <w:tcPr>
            <w:tcW w:w="4749" w:type="dxa"/>
            <w:gridSpan w:val="2"/>
            <w:tcBorders>
              <w:top w:val="single" w:sz="4" w:space="0" w:color="A6A6A6"/>
            </w:tcBorders>
            <w:shd w:val="clear" w:color="auto" w:fill="auto"/>
            <w:hideMark/>
          </w:tcPr>
          <w:p w14:paraId="7D194C20" w14:textId="77777777" w:rsidR="00470AF7" w:rsidRPr="00446050" w:rsidRDefault="00470AF7">
            <w:pPr>
              <w:pStyle w:val="ARtabletext"/>
              <w:spacing w:line="252" w:lineRule="auto"/>
            </w:pPr>
            <w:r w:rsidRPr="00446050">
              <w:t>Total assessments undertaken for children in the Support and Safety Hubs / The Orange Door</w:t>
            </w:r>
          </w:p>
        </w:tc>
        <w:tc>
          <w:tcPr>
            <w:tcW w:w="1019" w:type="dxa"/>
            <w:gridSpan w:val="2"/>
            <w:tcBorders>
              <w:top w:val="single" w:sz="4" w:space="0" w:color="A6A6A6"/>
            </w:tcBorders>
            <w:shd w:val="clear" w:color="auto" w:fill="auto"/>
            <w:hideMark/>
          </w:tcPr>
          <w:p w14:paraId="4E8A6308" w14:textId="77777777" w:rsidR="00470AF7" w:rsidRPr="00446050" w:rsidRDefault="00470AF7">
            <w:pPr>
              <w:pStyle w:val="ARtabletext"/>
              <w:spacing w:line="252" w:lineRule="auto"/>
            </w:pPr>
            <w:r w:rsidRPr="00446050">
              <w:t>number</w:t>
            </w:r>
          </w:p>
        </w:tc>
        <w:tc>
          <w:tcPr>
            <w:tcW w:w="1019" w:type="dxa"/>
            <w:gridSpan w:val="2"/>
            <w:tcBorders>
              <w:top w:val="single" w:sz="4" w:space="0" w:color="A6A6A6"/>
            </w:tcBorders>
            <w:shd w:val="clear" w:color="auto" w:fill="auto"/>
            <w:hideMark/>
          </w:tcPr>
          <w:p w14:paraId="2E060A0A" w14:textId="77777777" w:rsidR="00470AF7" w:rsidRPr="00446050" w:rsidRDefault="00470AF7">
            <w:pPr>
              <w:pStyle w:val="ARtabletextright"/>
              <w:spacing w:line="252" w:lineRule="auto"/>
            </w:pPr>
            <w:r w:rsidRPr="00446050">
              <w:t>70,000</w:t>
            </w:r>
          </w:p>
        </w:tc>
        <w:tc>
          <w:tcPr>
            <w:tcW w:w="1019" w:type="dxa"/>
            <w:gridSpan w:val="2"/>
            <w:tcBorders>
              <w:top w:val="single" w:sz="4" w:space="0" w:color="A6A6A6"/>
            </w:tcBorders>
            <w:shd w:val="clear" w:color="auto" w:fill="auto"/>
            <w:hideMark/>
          </w:tcPr>
          <w:p w14:paraId="38BBFD32" w14:textId="77777777" w:rsidR="00470AF7" w:rsidRPr="00446050" w:rsidRDefault="00470AF7">
            <w:pPr>
              <w:pStyle w:val="ARtabletextright"/>
              <w:spacing w:line="252" w:lineRule="auto"/>
            </w:pPr>
            <w:r w:rsidRPr="00446050">
              <w:t>99,722</w:t>
            </w:r>
          </w:p>
        </w:tc>
        <w:tc>
          <w:tcPr>
            <w:tcW w:w="1023" w:type="dxa"/>
            <w:tcBorders>
              <w:top w:val="single" w:sz="4" w:space="0" w:color="A6A6A6"/>
            </w:tcBorders>
            <w:shd w:val="clear" w:color="auto" w:fill="auto"/>
          </w:tcPr>
          <w:p w14:paraId="1EED3FA8" w14:textId="77777777" w:rsidR="00470AF7" w:rsidRPr="00446050" w:rsidRDefault="00470AF7">
            <w:pPr>
              <w:pStyle w:val="ARtabletextright"/>
              <w:spacing w:line="252" w:lineRule="auto"/>
            </w:pPr>
            <w:r w:rsidRPr="00446050">
              <w:t>42.5%</w:t>
            </w:r>
          </w:p>
        </w:tc>
        <w:tc>
          <w:tcPr>
            <w:tcW w:w="803" w:type="dxa"/>
            <w:tcBorders>
              <w:top w:val="single" w:sz="4" w:space="0" w:color="A6A6A6"/>
            </w:tcBorders>
            <w:shd w:val="clear" w:color="auto" w:fill="auto"/>
            <w:hideMark/>
          </w:tcPr>
          <w:p w14:paraId="0EAFD75E"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167EA2E0" w14:textId="77777777" w:rsidTr="00A95F3C">
        <w:trPr>
          <w:cantSplit/>
        </w:trPr>
        <w:tc>
          <w:tcPr>
            <w:tcW w:w="9632" w:type="dxa"/>
            <w:gridSpan w:val="10"/>
            <w:tcBorders>
              <w:bottom w:val="single" w:sz="4" w:space="0" w:color="BFBFBF" w:themeColor="background1" w:themeShade="BF"/>
            </w:tcBorders>
            <w:shd w:val="clear" w:color="auto" w:fill="auto"/>
            <w:noWrap/>
            <w:hideMark/>
          </w:tcPr>
          <w:p w14:paraId="300DA4F9" w14:textId="3B5F7F4C" w:rsidR="00470AF7" w:rsidRPr="00446050" w:rsidRDefault="00470AF7">
            <w:pPr>
              <w:pStyle w:val="ARtablenoteindent"/>
              <w:spacing w:line="252" w:lineRule="auto"/>
            </w:pPr>
            <w:r w:rsidRPr="00446050">
              <w:t>The 2023</w:t>
            </w:r>
            <w:r w:rsidR="00E837F9">
              <w:t>–</w:t>
            </w:r>
            <w:r w:rsidRPr="00446050">
              <w:t>24 outcome is higher than target due to all 18 The Orange Door sites becoming operational which has led to significant additional capacity. For the 2024</w:t>
            </w:r>
            <w:r w:rsidR="00E837F9">
              <w:t>–</w:t>
            </w:r>
            <w:r w:rsidRPr="00446050">
              <w:t>25 financial year the target has been revised in line with the increased capacity of The Orange Door to undertake risk assessments.</w:t>
            </w:r>
          </w:p>
        </w:tc>
      </w:tr>
      <w:tr w:rsidR="00470AF7" w:rsidRPr="00446050" w14:paraId="3EEC6DAD" w14:textId="77777777" w:rsidTr="00A95F3C">
        <w:trPr>
          <w:cantSplit/>
        </w:trPr>
        <w:tc>
          <w:tcPr>
            <w:tcW w:w="4749" w:type="dxa"/>
            <w:gridSpan w:val="2"/>
            <w:tcBorders>
              <w:top w:val="single" w:sz="4" w:space="0" w:color="BFBFBF" w:themeColor="background1" w:themeShade="BF"/>
            </w:tcBorders>
            <w:shd w:val="clear" w:color="auto" w:fill="auto"/>
            <w:hideMark/>
          </w:tcPr>
          <w:p w14:paraId="133B2A9E" w14:textId="77777777" w:rsidR="00470AF7" w:rsidRPr="00446050" w:rsidRDefault="00470AF7">
            <w:pPr>
              <w:pStyle w:val="ARtabletext"/>
              <w:keepNext/>
              <w:spacing w:line="252" w:lineRule="auto"/>
            </w:pPr>
            <w:r w:rsidRPr="00446050">
              <w:t>Number of cases referred to and assisted by a Risk Assessment and Management Panel (RAMP)</w:t>
            </w:r>
          </w:p>
        </w:tc>
        <w:tc>
          <w:tcPr>
            <w:tcW w:w="1019" w:type="dxa"/>
            <w:gridSpan w:val="2"/>
            <w:tcBorders>
              <w:top w:val="single" w:sz="4" w:space="0" w:color="BFBFBF" w:themeColor="background1" w:themeShade="BF"/>
            </w:tcBorders>
            <w:shd w:val="clear" w:color="auto" w:fill="auto"/>
            <w:hideMark/>
          </w:tcPr>
          <w:p w14:paraId="5FDEAE90" w14:textId="77777777" w:rsidR="00470AF7" w:rsidRPr="00446050" w:rsidRDefault="00470AF7">
            <w:pPr>
              <w:pStyle w:val="ARtabletext"/>
              <w:spacing w:line="252" w:lineRule="auto"/>
            </w:pPr>
            <w:r w:rsidRPr="00446050">
              <w:t>number</w:t>
            </w:r>
          </w:p>
        </w:tc>
        <w:tc>
          <w:tcPr>
            <w:tcW w:w="1019" w:type="dxa"/>
            <w:gridSpan w:val="2"/>
            <w:tcBorders>
              <w:top w:val="single" w:sz="4" w:space="0" w:color="BFBFBF" w:themeColor="background1" w:themeShade="BF"/>
            </w:tcBorders>
            <w:shd w:val="clear" w:color="auto" w:fill="auto"/>
            <w:hideMark/>
          </w:tcPr>
          <w:p w14:paraId="7CDBA8DE" w14:textId="77777777" w:rsidR="00470AF7" w:rsidRPr="00446050" w:rsidRDefault="00470AF7">
            <w:pPr>
              <w:pStyle w:val="ARtabletextright"/>
              <w:spacing w:line="252" w:lineRule="auto"/>
            </w:pPr>
            <w:r w:rsidRPr="00446050">
              <w:t>450</w:t>
            </w:r>
          </w:p>
        </w:tc>
        <w:tc>
          <w:tcPr>
            <w:tcW w:w="1019" w:type="dxa"/>
            <w:gridSpan w:val="2"/>
            <w:tcBorders>
              <w:top w:val="single" w:sz="4" w:space="0" w:color="BFBFBF" w:themeColor="background1" w:themeShade="BF"/>
            </w:tcBorders>
            <w:shd w:val="clear" w:color="auto" w:fill="auto"/>
            <w:hideMark/>
          </w:tcPr>
          <w:p w14:paraId="11EA55B2" w14:textId="77777777" w:rsidR="00470AF7" w:rsidRPr="00446050" w:rsidRDefault="00470AF7">
            <w:pPr>
              <w:pStyle w:val="ARtabletextright"/>
              <w:spacing w:line="252" w:lineRule="auto"/>
            </w:pPr>
            <w:r w:rsidRPr="00446050">
              <w:t>399</w:t>
            </w:r>
          </w:p>
        </w:tc>
        <w:tc>
          <w:tcPr>
            <w:tcW w:w="1023" w:type="dxa"/>
            <w:tcBorders>
              <w:top w:val="single" w:sz="4" w:space="0" w:color="BFBFBF" w:themeColor="background1" w:themeShade="BF"/>
            </w:tcBorders>
            <w:shd w:val="clear" w:color="auto" w:fill="auto"/>
          </w:tcPr>
          <w:p w14:paraId="65E649AE" w14:textId="77777777" w:rsidR="00470AF7" w:rsidRPr="00446050" w:rsidRDefault="00470AF7">
            <w:pPr>
              <w:pStyle w:val="ARtabletextright"/>
              <w:spacing w:line="252" w:lineRule="auto"/>
            </w:pPr>
            <w:r w:rsidRPr="00446050">
              <w:t>-11.3%</w:t>
            </w:r>
          </w:p>
        </w:tc>
        <w:tc>
          <w:tcPr>
            <w:tcW w:w="803" w:type="dxa"/>
            <w:tcBorders>
              <w:top w:val="single" w:sz="4" w:space="0" w:color="BFBFBF" w:themeColor="background1" w:themeShade="BF"/>
            </w:tcBorders>
            <w:shd w:val="clear" w:color="auto" w:fill="auto"/>
            <w:hideMark/>
          </w:tcPr>
          <w:p w14:paraId="4EA58502"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7FA4E126" w14:textId="77777777" w:rsidTr="00A95F3C">
        <w:trPr>
          <w:cantSplit/>
        </w:trPr>
        <w:tc>
          <w:tcPr>
            <w:tcW w:w="9632" w:type="dxa"/>
            <w:gridSpan w:val="10"/>
            <w:tcBorders>
              <w:bottom w:val="single" w:sz="4" w:space="0" w:color="BFBFBF" w:themeColor="background1" w:themeShade="BF"/>
            </w:tcBorders>
            <w:shd w:val="clear" w:color="auto" w:fill="auto"/>
          </w:tcPr>
          <w:p w14:paraId="0F38586C" w14:textId="24513875" w:rsidR="00470AF7" w:rsidRPr="00446050" w:rsidRDefault="00470AF7">
            <w:pPr>
              <w:pStyle w:val="ARtablenoteindent"/>
              <w:spacing w:line="252" w:lineRule="auto"/>
            </w:pPr>
            <w:r w:rsidRPr="00446050">
              <w:t>The 2023</w:t>
            </w:r>
            <w:r w:rsidR="00E837F9">
              <w:t>–</w:t>
            </w:r>
            <w:r w:rsidRPr="00446050">
              <w:t>24 outcome is lower than target due to an increased number of cases being managed by the RAMP Coordinators and therefore not progressing to a RAMP.</w:t>
            </w:r>
          </w:p>
        </w:tc>
      </w:tr>
      <w:tr w:rsidR="00470AF7" w:rsidRPr="00446050" w14:paraId="70D93717" w14:textId="77777777" w:rsidTr="00A95F3C">
        <w:trPr>
          <w:cantSplit/>
        </w:trPr>
        <w:tc>
          <w:tcPr>
            <w:tcW w:w="4749" w:type="dxa"/>
            <w:gridSpan w:val="2"/>
            <w:tcBorders>
              <w:top w:val="single" w:sz="4" w:space="0" w:color="BFBFBF" w:themeColor="background1" w:themeShade="BF"/>
            </w:tcBorders>
            <w:shd w:val="clear" w:color="auto" w:fill="auto"/>
          </w:tcPr>
          <w:p w14:paraId="735E7EAA" w14:textId="49181317" w:rsidR="00470AF7" w:rsidRPr="00446050" w:rsidRDefault="00470AF7">
            <w:pPr>
              <w:pStyle w:val="ARtabletext"/>
              <w:keepNext/>
              <w:spacing w:line="252" w:lineRule="auto"/>
            </w:pPr>
            <w:r w:rsidRPr="00446050">
              <w:t xml:space="preserve">Number of cases referred to Risk Assessment and </w:t>
            </w:r>
            <w:r w:rsidR="00250C48">
              <w:t>M</w:t>
            </w:r>
            <w:r w:rsidRPr="00446050">
              <w:t>anagement Panels and managed by the coordinators</w:t>
            </w:r>
          </w:p>
        </w:tc>
        <w:tc>
          <w:tcPr>
            <w:tcW w:w="1019" w:type="dxa"/>
            <w:gridSpan w:val="2"/>
            <w:tcBorders>
              <w:top w:val="single" w:sz="4" w:space="0" w:color="BFBFBF" w:themeColor="background1" w:themeShade="BF"/>
            </w:tcBorders>
            <w:shd w:val="clear" w:color="auto" w:fill="auto"/>
          </w:tcPr>
          <w:p w14:paraId="0B2E365F" w14:textId="77777777" w:rsidR="00470AF7" w:rsidRPr="00446050" w:rsidRDefault="00470AF7">
            <w:pPr>
              <w:pStyle w:val="ARtabletext"/>
              <w:spacing w:line="252" w:lineRule="auto"/>
            </w:pPr>
            <w:r w:rsidRPr="00446050">
              <w:t>number</w:t>
            </w:r>
          </w:p>
        </w:tc>
        <w:tc>
          <w:tcPr>
            <w:tcW w:w="1019" w:type="dxa"/>
            <w:gridSpan w:val="2"/>
            <w:tcBorders>
              <w:top w:val="single" w:sz="4" w:space="0" w:color="BFBFBF" w:themeColor="background1" w:themeShade="BF"/>
            </w:tcBorders>
            <w:shd w:val="clear" w:color="auto" w:fill="auto"/>
          </w:tcPr>
          <w:p w14:paraId="06E8A2AC" w14:textId="77777777" w:rsidR="00470AF7" w:rsidRPr="00446050" w:rsidRDefault="00470AF7">
            <w:pPr>
              <w:pStyle w:val="ARtabletextright"/>
              <w:spacing w:line="252" w:lineRule="auto"/>
            </w:pPr>
            <w:r w:rsidRPr="00446050">
              <w:t>200</w:t>
            </w:r>
          </w:p>
        </w:tc>
        <w:tc>
          <w:tcPr>
            <w:tcW w:w="1019" w:type="dxa"/>
            <w:gridSpan w:val="2"/>
            <w:tcBorders>
              <w:top w:val="single" w:sz="4" w:space="0" w:color="BFBFBF" w:themeColor="background1" w:themeShade="BF"/>
            </w:tcBorders>
            <w:shd w:val="clear" w:color="auto" w:fill="auto"/>
          </w:tcPr>
          <w:p w14:paraId="25B550E4" w14:textId="77777777" w:rsidR="00470AF7" w:rsidRPr="00446050" w:rsidRDefault="00470AF7">
            <w:pPr>
              <w:pStyle w:val="ARtabletextright"/>
              <w:spacing w:line="252" w:lineRule="auto"/>
            </w:pPr>
            <w:r w:rsidRPr="00446050">
              <w:t>247</w:t>
            </w:r>
          </w:p>
        </w:tc>
        <w:tc>
          <w:tcPr>
            <w:tcW w:w="1023" w:type="dxa"/>
            <w:tcBorders>
              <w:top w:val="single" w:sz="4" w:space="0" w:color="BFBFBF" w:themeColor="background1" w:themeShade="BF"/>
            </w:tcBorders>
            <w:shd w:val="clear" w:color="auto" w:fill="auto"/>
          </w:tcPr>
          <w:p w14:paraId="37ECFB58" w14:textId="77777777" w:rsidR="00470AF7" w:rsidRPr="00446050" w:rsidRDefault="00470AF7">
            <w:pPr>
              <w:pStyle w:val="ARtabletextright"/>
              <w:spacing w:line="252" w:lineRule="auto"/>
            </w:pPr>
            <w:r w:rsidRPr="00446050">
              <w:t>23.5%</w:t>
            </w:r>
          </w:p>
        </w:tc>
        <w:tc>
          <w:tcPr>
            <w:tcW w:w="803" w:type="dxa"/>
            <w:tcBorders>
              <w:top w:val="single" w:sz="4" w:space="0" w:color="BFBFBF" w:themeColor="background1" w:themeShade="BF"/>
            </w:tcBorders>
            <w:shd w:val="clear" w:color="auto" w:fill="auto"/>
          </w:tcPr>
          <w:p w14:paraId="19732182" w14:textId="77777777" w:rsidR="00470AF7" w:rsidRPr="00446050" w:rsidRDefault="00470AF7">
            <w:pPr>
              <w:pStyle w:val="ARtableperformancesymbol"/>
              <w:spacing w:line="252" w:lineRule="auto"/>
              <w:rPr>
                <w:rFonts w:hint="eastAsia"/>
              </w:rPr>
            </w:pPr>
            <w:r w:rsidRPr="00446050">
              <w:rPr>
                <w:rFonts w:eastAsia="Wingdings" w:cs="Wingdings"/>
              </w:rPr>
              <w:t></w:t>
            </w:r>
          </w:p>
        </w:tc>
      </w:tr>
      <w:tr w:rsidR="00470AF7" w:rsidRPr="00446050" w14:paraId="5EB6A0BB" w14:textId="77777777" w:rsidTr="00A95F3C">
        <w:trPr>
          <w:cantSplit/>
        </w:trPr>
        <w:tc>
          <w:tcPr>
            <w:tcW w:w="9632" w:type="dxa"/>
            <w:gridSpan w:val="10"/>
            <w:tcBorders>
              <w:bottom w:val="single" w:sz="4" w:space="0" w:color="BFBFBF" w:themeColor="background1" w:themeShade="BF"/>
            </w:tcBorders>
            <w:shd w:val="clear" w:color="auto" w:fill="auto"/>
          </w:tcPr>
          <w:p w14:paraId="58235667" w14:textId="3773CEAC" w:rsidR="00470AF7" w:rsidRPr="00446050" w:rsidRDefault="00470AF7">
            <w:pPr>
              <w:pStyle w:val="ARtablenoteindent"/>
            </w:pPr>
            <w:r w:rsidRPr="00446050">
              <w:t>The 2023</w:t>
            </w:r>
            <w:r w:rsidR="00E837F9">
              <w:t>–</w:t>
            </w:r>
            <w:r w:rsidRPr="00446050">
              <w:t>24 outcome is higher than target due to RAMP Coordinators proactively working with an improved specialist family violence system to manage risk.</w:t>
            </w:r>
          </w:p>
        </w:tc>
      </w:tr>
      <w:tr w:rsidR="00470AF7" w:rsidRPr="00446050" w14:paraId="56784DC0" w14:textId="77777777" w:rsidTr="00A95F3C">
        <w:trPr>
          <w:cantSplit/>
        </w:trPr>
        <w:tc>
          <w:tcPr>
            <w:tcW w:w="4749" w:type="dxa"/>
            <w:gridSpan w:val="2"/>
            <w:shd w:val="clear" w:color="auto" w:fill="auto"/>
            <w:hideMark/>
          </w:tcPr>
          <w:p w14:paraId="1F4114AE" w14:textId="77777777" w:rsidR="00470AF7" w:rsidRPr="00446050" w:rsidRDefault="00470AF7">
            <w:pPr>
              <w:pStyle w:val="ARtabletext"/>
              <w:keepNext/>
              <w:spacing w:line="252" w:lineRule="auto"/>
            </w:pPr>
            <w:r w:rsidRPr="00446050">
              <w:t>Number of children who receive a Sexually Abusive Behaviours Treatment Service response</w:t>
            </w:r>
          </w:p>
        </w:tc>
        <w:tc>
          <w:tcPr>
            <w:tcW w:w="1019" w:type="dxa"/>
            <w:gridSpan w:val="2"/>
            <w:shd w:val="clear" w:color="auto" w:fill="auto"/>
            <w:hideMark/>
          </w:tcPr>
          <w:p w14:paraId="1EC31C86" w14:textId="77777777" w:rsidR="00470AF7" w:rsidRPr="00446050" w:rsidRDefault="00470AF7">
            <w:pPr>
              <w:pStyle w:val="ARtabletext"/>
              <w:spacing w:line="252" w:lineRule="auto"/>
            </w:pPr>
            <w:r w:rsidRPr="00446050">
              <w:t>number</w:t>
            </w:r>
          </w:p>
        </w:tc>
        <w:tc>
          <w:tcPr>
            <w:tcW w:w="1019" w:type="dxa"/>
            <w:gridSpan w:val="2"/>
            <w:shd w:val="clear" w:color="auto" w:fill="auto"/>
            <w:hideMark/>
          </w:tcPr>
          <w:p w14:paraId="3E29F4D5" w14:textId="77777777" w:rsidR="00470AF7" w:rsidRPr="00446050" w:rsidRDefault="00470AF7">
            <w:pPr>
              <w:pStyle w:val="ARtabletextright"/>
              <w:spacing w:line="252" w:lineRule="auto"/>
            </w:pPr>
            <w:r w:rsidRPr="00446050">
              <w:t>1,220</w:t>
            </w:r>
          </w:p>
        </w:tc>
        <w:tc>
          <w:tcPr>
            <w:tcW w:w="1019" w:type="dxa"/>
            <w:gridSpan w:val="2"/>
            <w:shd w:val="clear" w:color="auto" w:fill="auto"/>
            <w:hideMark/>
          </w:tcPr>
          <w:p w14:paraId="6AA25309" w14:textId="58867A65" w:rsidR="00470AF7" w:rsidRPr="00446050" w:rsidRDefault="00470AF7">
            <w:pPr>
              <w:pStyle w:val="ARtabletextright"/>
              <w:spacing w:line="252" w:lineRule="auto"/>
            </w:pPr>
            <w:r w:rsidRPr="00446050">
              <w:t>1,04</w:t>
            </w:r>
            <w:r w:rsidR="00EC5E92">
              <w:t>7</w:t>
            </w:r>
          </w:p>
        </w:tc>
        <w:tc>
          <w:tcPr>
            <w:tcW w:w="1023" w:type="dxa"/>
            <w:shd w:val="clear" w:color="auto" w:fill="auto"/>
          </w:tcPr>
          <w:p w14:paraId="7058814B" w14:textId="3A124DC8" w:rsidR="00470AF7" w:rsidRPr="00446050" w:rsidRDefault="00470AF7">
            <w:pPr>
              <w:pStyle w:val="ARtabletextright"/>
              <w:spacing w:line="252" w:lineRule="auto"/>
            </w:pPr>
            <w:r w:rsidRPr="00446050">
              <w:t>-14.</w:t>
            </w:r>
            <w:r w:rsidR="00EC5E92">
              <w:t>2</w:t>
            </w:r>
            <w:r w:rsidRPr="00446050">
              <w:t>%</w:t>
            </w:r>
          </w:p>
        </w:tc>
        <w:tc>
          <w:tcPr>
            <w:tcW w:w="803" w:type="dxa"/>
            <w:shd w:val="clear" w:color="auto" w:fill="auto"/>
            <w:hideMark/>
          </w:tcPr>
          <w:p w14:paraId="0E651236"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4F158B6F" w14:textId="77777777" w:rsidTr="00A95F3C">
        <w:trPr>
          <w:cantSplit/>
        </w:trPr>
        <w:tc>
          <w:tcPr>
            <w:tcW w:w="9632" w:type="dxa"/>
            <w:gridSpan w:val="10"/>
            <w:tcBorders>
              <w:bottom w:val="single" w:sz="4" w:space="0" w:color="A6A6A6"/>
            </w:tcBorders>
            <w:shd w:val="clear" w:color="auto" w:fill="auto"/>
            <w:noWrap/>
            <w:hideMark/>
          </w:tcPr>
          <w:p w14:paraId="604B9810" w14:textId="786E0784" w:rsidR="00470AF7" w:rsidRPr="00446050" w:rsidRDefault="00470AF7">
            <w:pPr>
              <w:pStyle w:val="ARtablenoteindent"/>
              <w:spacing w:line="252" w:lineRule="auto"/>
            </w:pPr>
            <w:r w:rsidRPr="00446050">
              <w:t xml:space="preserve">The lower actual compared to target is due to the fluctuating nature of demand for the service which is influenced by factors including school terms and the program working with young people for up to </w:t>
            </w:r>
            <w:r w:rsidR="00F95AC7">
              <w:t>2</w:t>
            </w:r>
            <w:r w:rsidRPr="00446050">
              <w:t xml:space="preserve"> years.</w:t>
            </w:r>
            <w:r>
              <w:t xml:space="preserve"> </w:t>
            </w:r>
          </w:p>
        </w:tc>
      </w:tr>
      <w:tr w:rsidR="00197768" w:rsidRPr="00446050" w14:paraId="730316FD" w14:textId="77777777" w:rsidTr="00A95F3C">
        <w:trPr>
          <w:cantSplit/>
        </w:trPr>
        <w:tc>
          <w:tcPr>
            <w:tcW w:w="4749" w:type="dxa"/>
            <w:gridSpan w:val="2"/>
            <w:shd w:val="clear" w:color="auto" w:fill="auto"/>
          </w:tcPr>
          <w:p w14:paraId="0892F134" w14:textId="77777777" w:rsidR="00197768" w:rsidRPr="00446050" w:rsidRDefault="00197768" w:rsidP="00197768">
            <w:pPr>
              <w:pStyle w:val="ARtabletext"/>
              <w:keepNext/>
              <w:spacing w:line="252" w:lineRule="auto"/>
            </w:pPr>
            <w:r w:rsidRPr="00446050">
              <w:t>Number of episodes of support provided to adolescents using violence in the home</w:t>
            </w:r>
          </w:p>
        </w:tc>
        <w:tc>
          <w:tcPr>
            <w:tcW w:w="1019" w:type="dxa"/>
            <w:gridSpan w:val="2"/>
            <w:shd w:val="clear" w:color="auto" w:fill="auto"/>
          </w:tcPr>
          <w:p w14:paraId="083BFD22" w14:textId="77777777" w:rsidR="00197768" w:rsidRPr="00446050" w:rsidRDefault="00197768" w:rsidP="00197768">
            <w:pPr>
              <w:pStyle w:val="ARtabletext"/>
              <w:spacing w:line="252" w:lineRule="auto"/>
            </w:pPr>
            <w:r w:rsidRPr="00446050">
              <w:t>number</w:t>
            </w:r>
          </w:p>
        </w:tc>
        <w:tc>
          <w:tcPr>
            <w:tcW w:w="1019" w:type="dxa"/>
            <w:gridSpan w:val="2"/>
            <w:shd w:val="clear" w:color="auto" w:fill="auto"/>
          </w:tcPr>
          <w:p w14:paraId="006ABF65" w14:textId="59DE0647" w:rsidR="00197768" w:rsidRPr="00446050" w:rsidRDefault="00197768" w:rsidP="00197768">
            <w:pPr>
              <w:pStyle w:val="ARtabletextright"/>
              <w:spacing w:line="252" w:lineRule="auto"/>
            </w:pPr>
            <w:r w:rsidRPr="00446050">
              <w:t>1,040</w:t>
            </w:r>
          </w:p>
        </w:tc>
        <w:tc>
          <w:tcPr>
            <w:tcW w:w="1019" w:type="dxa"/>
            <w:gridSpan w:val="2"/>
            <w:shd w:val="clear" w:color="auto" w:fill="auto"/>
          </w:tcPr>
          <w:p w14:paraId="1A3D4875" w14:textId="65AB389D" w:rsidR="00197768" w:rsidRPr="009A469E" w:rsidRDefault="00197768" w:rsidP="00197768">
            <w:pPr>
              <w:pStyle w:val="ARtabletextright"/>
              <w:spacing w:line="252" w:lineRule="auto"/>
              <w:rPr>
                <w:highlight w:val="cyan"/>
              </w:rPr>
            </w:pPr>
            <w:r w:rsidRPr="005D5384">
              <w:t>1,175</w:t>
            </w:r>
          </w:p>
        </w:tc>
        <w:tc>
          <w:tcPr>
            <w:tcW w:w="1023" w:type="dxa"/>
            <w:shd w:val="clear" w:color="auto" w:fill="auto"/>
          </w:tcPr>
          <w:p w14:paraId="3C115DEA" w14:textId="633B0639" w:rsidR="00197768" w:rsidRPr="009A469E" w:rsidRDefault="00197768" w:rsidP="00197768">
            <w:pPr>
              <w:pStyle w:val="ARtabletextright"/>
              <w:spacing w:line="252" w:lineRule="auto"/>
              <w:rPr>
                <w:highlight w:val="cyan"/>
              </w:rPr>
            </w:pPr>
            <w:r w:rsidRPr="005D5384">
              <w:t>13%</w:t>
            </w:r>
          </w:p>
        </w:tc>
        <w:tc>
          <w:tcPr>
            <w:tcW w:w="803" w:type="dxa"/>
            <w:shd w:val="clear" w:color="auto" w:fill="auto"/>
          </w:tcPr>
          <w:p w14:paraId="014C9BD6" w14:textId="77777777" w:rsidR="00197768" w:rsidRPr="00446050" w:rsidRDefault="00197768" w:rsidP="00197768">
            <w:pPr>
              <w:pStyle w:val="ARtableperformancesymbol"/>
              <w:spacing w:line="252" w:lineRule="auto"/>
              <w:rPr>
                <w:rFonts w:eastAsia="Wingdings" w:cs="Wingdings"/>
                <w:lang w:val="en-AU"/>
              </w:rPr>
            </w:pPr>
            <w:r w:rsidRPr="00446050">
              <w:rPr>
                <w:rFonts w:eastAsia="Wingdings" w:cs="Wingdings"/>
              </w:rPr>
              <w:t></w:t>
            </w:r>
          </w:p>
        </w:tc>
      </w:tr>
      <w:tr w:rsidR="00470AF7" w:rsidRPr="00446050" w14:paraId="07221E6A" w14:textId="77777777" w:rsidTr="00A95F3C">
        <w:trPr>
          <w:cantSplit/>
        </w:trPr>
        <w:tc>
          <w:tcPr>
            <w:tcW w:w="9632" w:type="dxa"/>
            <w:gridSpan w:val="10"/>
            <w:tcBorders>
              <w:bottom w:val="single" w:sz="4" w:space="0" w:color="BFBFBF"/>
            </w:tcBorders>
            <w:shd w:val="clear" w:color="auto" w:fill="auto"/>
            <w:noWrap/>
            <w:hideMark/>
          </w:tcPr>
          <w:p w14:paraId="5895D53B" w14:textId="44C4F8F4" w:rsidR="00470AF7" w:rsidRPr="00446050" w:rsidRDefault="00470AF7">
            <w:pPr>
              <w:pStyle w:val="ARtablenoteindent"/>
              <w:spacing w:line="252" w:lineRule="auto"/>
            </w:pPr>
            <w:r w:rsidRPr="00446050">
              <w:t xml:space="preserve">The higher actual is due to demand increase due to community awareness of the new program. </w:t>
            </w:r>
          </w:p>
        </w:tc>
      </w:tr>
      <w:tr w:rsidR="00470AF7" w:rsidRPr="00446050" w14:paraId="4C4AB4C4" w14:textId="77777777" w:rsidTr="00A95F3C">
        <w:trPr>
          <w:cantSplit/>
        </w:trPr>
        <w:tc>
          <w:tcPr>
            <w:tcW w:w="4739" w:type="dxa"/>
            <w:shd w:val="clear" w:color="auto" w:fill="auto"/>
            <w:hideMark/>
          </w:tcPr>
          <w:p w14:paraId="42F58427" w14:textId="77777777" w:rsidR="00470AF7" w:rsidRPr="00446050" w:rsidRDefault="00470AF7">
            <w:pPr>
              <w:pStyle w:val="ARtabletext"/>
              <w:keepNext/>
              <w:spacing w:line="252" w:lineRule="auto"/>
            </w:pPr>
            <w:r w:rsidRPr="00446050">
              <w:t>Number of calls responded to by the statewide telephone help line for men regarding family violence</w:t>
            </w:r>
          </w:p>
        </w:tc>
        <w:tc>
          <w:tcPr>
            <w:tcW w:w="1017" w:type="dxa"/>
            <w:gridSpan w:val="2"/>
            <w:shd w:val="clear" w:color="auto" w:fill="auto"/>
            <w:hideMark/>
          </w:tcPr>
          <w:p w14:paraId="5FDB961F" w14:textId="77777777" w:rsidR="00470AF7" w:rsidRPr="00446050" w:rsidRDefault="00470AF7">
            <w:pPr>
              <w:pStyle w:val="ARtabletext"/>
              <w:spacing w:line="252" w:lineRule="auto"/>
            </w:pPr>
            <w:r w:rsidRPr="00446050">
              <w:t>number</w:t>
            </w:r>
          </w:p>
        </w:tc>
        <w:tc>
          <w:tcPr>
            <w:tcW w:w="1016" w:type="dxa"/>
            <w:gridSpan w:val="2"/>
            <w:shd w:val="clear" w:color="auto" w:fill="auto"/>
            <w:hideMark/>
          </w:tcPr>
          <w:p w14:paraId="061B07D2" w14:textId="77777777" w:rsidR="00470AF7" w:rsidRPr="00FC1C3D" w:rsidRDefault="00470AF7">
            <w:pPr>
              <w:pStyle w:val="ARtabletextright"/>
              <w:spacing w:line="252" w:lineRule="auto"/>
              <w:rPr>
                <w:highlight w:val="yellow"/>
              </w:rPr>
            </w:pPr>
            <w:r w:rsidRPr="006A3E38">
              <w:t>6,500</w:t>
            </w:r>
          </w:p>
        </w:tc>
        <w:tc>
          <w:tcPr>
            <w:tcW w:w="1020" w:type="dxa"/>
            <w:gridSpan w:val="2"/>
            <w:shd w:val="clear" w:color="auto" w:fill="auto"/>
            <w:hideMark/>
          </w:tcPr>
          <w:p w14:paraId="5607AD9F" w14:textId="1212BE1D" w:rsidR="00470AF7" w:rsidRPr="006A3E38" w:rsidRDefault="000021B3">
            <w:pPr>
              <w:pStyle w:val="ARtabletextright"/>
              <w:spacing w:line="252" w:lineRule="auto"/>
            </w:pPr>
            <w:r w:rsidRPr="006A3E38">
              <w:t>7,481</w:t>
            </w:r>
          </w:p>
        </w:tc>
        <w:tc>
          <w:tcPr>
            <w:tcW w:w="1037" w:type="dxa"/>
            <w:gridSpan w:val="2"/>
            <w:shd w:val="clear" w:color="auto" w:fill="auto"/>
          </w:tcPr>
          <w:p w14:paraId="7F9C9EA6" w14:textId="7E2AE207" w:rsidR="00470AF7" w:rsidRPr="006A3E38" w:rsidRDefault="000021B3">
            <w:pPr>
              <w:pStyle w:val="ARtabletextright"/>
              <w:spacing w:line="252" w:lineRule="auto"/>
            </w:pPr>
            <w:r w:rsidRPr="006A3E38">
              <w:t>15.1</w:t>
            </w:r>
            <w:r w:rsidR="00470AF7" w:rsidRPr="006A3E38">
              <w:t>%</w:t>
            </w:r>
          </w:p>
        </w:tc>
        <w:tc>
          <w:tcPr>
            <w:tcW w:w="803" w:type="dxa"/>
            <w:shd w:val="clear" w:color="auto" w:fill="auto"/>
            <w:hideMark/>
          </w:tcPr>
          <w:p w14:paraId="367F4A1B"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177A9FC4" w14:textId="77777777" w:rsidTr="00A95F3C">
        <w:trPr>
          <w:cantSplit/>
        </w:trPr>
        <w:tc>
          <w:tcPr>
            <w:tcW w:w="9632" w:type="dxa"/>
            <w:gridSpan w:val="10"/>
            <w:tcBorders>
              <w:bottom w:val="single" w:sz="4" w:space="0" w:color="BFBFBF"/>
            </w:tcBorders>
            <w:shd w:val="clear" w:color="auto" w:fill="auto"/>
            <w:noWrap/>
            <w:hideMark/>
          </w:tcPr>
          <w:p w14:paraId="69059D91" w14:textId="426FF770" w:rsidR="00470AF7" w:rsidRPr="00446050" w:rsidRDefault="00956293">
            <w:pPr>
              <w:pStyle w:val="ARtablenoteindent"/>
              <w:spacing w:line="252" w:lineRule="auto"/>
            </w:pPr>
            <w:r w:rsidRPr="006430DB">
              <w:t>The higher actual is due to demand increase due to community awareness of the new program. Overperformance also relates to data categorisation by some services.</w:t>
            </w:r>
          </w:p>
        </w:tc>
      </w:tr>
      <w:tr w:rsidR="00470AF7" w:rsidRPr="00446050" w14:paraId="3DB782D1" w14:textId="77777777" w:rsidTr="00A95F3C">
        <w:trPr>
          <w:cantSplit/>
        </w:trPr>
        <w:tc>
          <w:tcPr>
            <w:tcW w:w="4739" w:type="dxa"/>
            <w:shd w:val="clear" w:color="auto" w:fill="auto"/>
            <w:hideMark/>
          </w:tcPr>
          <w:p w14:paraId="564FDEBF" w14:textId="538F8C25" w:rsidR="00470AF7" w:rsidRPr="00446050" w:rsidRDefault="00470AF7">
            <w:pPr>
              <w:pStyle w:val="ARtabletext"/>
              <w:spacing w:line="252" w:lineRule="auto"/>
            </w:pPr>
            <w:r w:rsidRPr="00446050">
              <w:t>Number of men participating in the Men</w:t>
            </w:r>
            <w:r w:rsidR="00711AE6">
              <w:t>’</w:t>
            </w:r>
            <w:r w:rsidRPr="00446050">
              <w:t>s Behaviour Change program</w:t>
            </w:r>
          </w:p>
        </w:tc>
        <w:tc>
          <w:tcPr>
            <w:tcW w:w="1017" w:type="dxa"/>
            <w:gridSpan w:val="2"/>
            <w:shd w:val="clear" w:color="auto" w:fill="auto"/>
            <w:hideMark/>
          </w:tcPr>
          <w:p w14:paraId="5121163C" w14:textId="77777777" w:rsidR="00470AF7" w:rsidRPr="00446050" w:rsidRDefault="00470AF7">
            <w:pPr>
              <w:pStyle w:val="ARtabletext"/>
              <w:spacing w:line="252" w:lineRule="auto"/>
            </w:pPr>
            <w:r w:rsidRPr="00446050">
              <w:t>number</w:t>
            </w:r>
          </w:p>
        </w:tc>
        <w:tc>
          <w:tcPr>
            <w:tcW w:w="1016" w:type="dxa"/>
            <w:gridSpan w:val="2"/>
            <w:shd w:val="clear" w:color="auto" w:fill="auto"/>
            <w:hideMark/>
          </w:tcPr>
          <w:p w14:paraId="7D5ED542" w14:textId="77777777" w:rsidR="00470AF7" w:rsidRPr="00446050" w:rsidRDefault="00470AF7">
            <w:pPr>
              <w:pStyle w:val="ARtabletextright"/>
              <w:spacing w:line="252" w:lineRule="auto"/>
            </w:pPr>
            <w:r w:rsidRPr="00446050">
              <w:t>4,400</w:t>
            </w:r>
          </w:p>
        </w:tc>
        <w:tc>
          <w:tcPr>
            <w:tcW w:w="1020" w:type="dxa"/>
            <w:gridSpan w:val="2"/>
            <w:shd w:val="clear" w:color="auto" w:fill="auto"/>
            <w:hideMark/>
          </w:tcPr>
          <w:p w14:paraId="3A284089" w14:textId="77777777" w:rsidR="00470AF7" w:rsidRPr="00446050" w:rsidRDefault="00470AF7">
            <w:pPr>
              <w:pStyle w:val="ARtabletextright"/>
              <w:spacing w:line="252" w:lineRule="auto"/>
            </w:pPr>
            <w:r w:rsidRPr="00446050">
              <w:t>3,110</w:t>
            </w:r>
          </w:p>
        </w:tc>
        <w:tc>
          <w:tcPr>
            <w:tcW w:w="1037" w:type="dxa"/>
            <w:gridSpan w:val="2"/>
            <w:shd w:val="clear" w:color="auto" w:fill="auto"/>
          </w:tcPr>
          <w:p w14:paraId="35408F7A" w14:textId="77777777" w:rsidR="00470AF7" w:rsidRPr="00446050" w:rsidRDefault="00470AF7">
            <w:pPr>
              <w:pStyle w:val="ARtabletextright"/>
              <w:spacing w:line="252" w:lineRule="auto"/>
            </w:pPr>
            <w:r w:rsidRPr="00446050">
              <w:t>-29.3%</w:t>
            </w:r>
          </w:p>
        </w:tc>
        <w:tc>
          <w:tcPr>
            <w:tcW w:w="803" w:type="dxa"/>
            <w:shd w:val="clear" w:color="auto" w:fill="auto"/>
            <w:hideMark/>
          </w:tcPr>
          <w:p w14:paraId="08CD0EA5"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78926BC2" w14:textId="77777777" w:rsidTr="00A95F3C">
        <w:trPr>
          <w:cantSplit/>
        </w:trPr>
        <w:tc>
          <w:tcPr>
            <w:tcW w:w="9632" w:type="dxa"/>
            <w:gridSpan w:val="10"/>
            <w:tcBorders>
              <w:bottom w:val="single" w:sz="4" w:space="0" w:color="BFBFBF"/>
            </w:tcBorders>
            <w:shd w:val="clear" w:color="auto" w:fill="auto"/>
            <w:noWrap/>
            <w:hideMark/>
          </w:tcPr>
          <w:p w14:paraId="44227294" w14:textId="617082C9" w:rsidR="00470AF7" w:rsidRPr="00446050" w:rsidRDefault="00470AF7">
            <w:pPr>
              <w:pStyle w:val="ARtablenoteindent"/>
              <w:spacing w:line="252" w:lineRule="auto"/>
            </w:pPr>
            <w:r w:rsidRPr="00446050">
              <w:t>The 2023</w:t>
            </w:r>
            <w:r w:rsidR="00E837F9">
              <w:t>–</w:t>
            </w:r>
            <w:r w:rsidRPr="00446050">
              <w:t>24 outcome is lower than target due to data categorisation issues that have resulted in under-reporting, and workforce recruitment challenges that have resulted in under performance.</w:t>
            </w:r>
          </w:p>
        </w:tc>
      </w:tr>
      <w:tr w:rsidR="00470AF7" w:rsidRPr="00446050" w14:paraId="1F04EDE2" w14:textId="77777777" w:rsidTr="00D4716C">
        <w:trPr>
          <w:cantSplit/>
          <w:trHeight w:val="850"/>
        </w:trPr>
        <w:tc>
          <w:tcPr>
            <w:tcW w:w="4739" w:type="dxa"/>
            <w:shd w:val="clear" w:color="auto" w:fill="auto"/>
          </w:tcPr>
          <w:p w14:paraId="243CE312" w14:textId="77777777" w:rsidR="00470AF7" w:rsidRPr="00446050" w:rsidRDefault="00470AF7" w:rsidP="00A274A7">
            <w:pPr>
              <w:pStyle w:val="ARtabletext"/>
              <w:spacing w:line="252" w:lineRule="auto"/>
            </w:pPr>
            <w:r w:rsidRPr="00446050">
              <w:rPr>
                <w:szCs w:val="20"/>
              </w:rPr>
              <w:t>Number of case management responses provided to perpetrators of family violence including those that require individualised support</w:t>
            </w:r>
          </w:p>
        </w:tc>
        <w:tc>
          <w:tcPr>
            <w:tcW w:w="1017" w:type="dxa"/>
            <w:gridSpan w:val="2"/>
            <w:shd w:val="clear" w:color="auto" w:fill="auto"/>
          </w:tcPr>
          <w:p w14:paraId="4EDFEB1A" w14:textId="77777777" w:rsidR="00470AF7" w:rsidRPr="00446050" w:rsidRDefault="00470AF7">
            <w:pPr>
              <w:pStyle w:val="ARtabletext"/>
              <w:spacing w:line="252" w:lineRule="auto"/>
            </w:pPr>
            <w:r w:rsidRPr="00446050">
              <w:rPr>
                <w:szCs w:val="20"/>
              </w:rPr>
              <w:t xml:space="preserve"> number</w:t>
            </w:r>
          </w:p>
        </w:tc>
        <w:tc>
          <w:tcPr>
            <w:tcW w:w="1016" w:type="dxa"/>
            <w:gridSpan w:val="2"/>
            <w:shd w:val="clear" w:color="auto" w:fill="auto"/>
          </w:tcPr>
          <w:p w14:paraId="7F4B1BCF" w14:textId="77777777" w:rsidR="00470AF7" w:rsidRPr="00446050" w:rsidRDefault="00470AF7">
            <w:pPr>
              <w:pStyle w:val="ARtabletextright"/>
              <w:spacing w:line="252" w:lineRule="auto"/>
            </w:pPr>
            <w:r w:rsidRPr="00446050">
              <w:t>1,300</w:t>
            </w:r>
          </w:p>
        </w:tc>
        <w:tc>
          <w:tcPr>
            <w:tcW w:w="1020" w:type="dxa"/>
            <w:gridSpan w:val="2"/>
            <w:shd w:val="clear" w:color="auto" w:fill="auto"/>
          </w:tcPr>
          <w:p w14:paraId="7F76CC75" w14:textId="77777777" w:rsidR="00470AF7" w:rsidRPr="00446050" w:rsidRDefault="00470AF7">
            <w:pPr>
              <w:pStyle w:val="ARtabletextright"/>
              <w:spacing w:line="252" w:lineRule="auto"/>
            </w:pPr>
            <w:r w:rsidRPr="00446050">
              <w:t>2,849</w:t>
            </w:r>
          </w:p>
        </w:tc>
        <w:tc>
          <w:tcPr>
            <w:tcW w:w="1037" w:type="dxa"/>
            <w:gridSpan w:val="2"/>
            <w:shd w:val="clear" w:color="auto" w:fill="auto"/>
          </w:tcPr>
          <w:p w14:paraId="0B8E92E0" w14:textId="77777777" w:rsidR="00470AF7" w:rsidRPr="00446050" w:rsidRDefault="00470AF7">
            <w:pPr>
              <w:pStyle w:val="ARtabletextright"/>
              <w:spacing w:line="252" w:lineRule="auto"/>
            </w:pPr>
            <w:r w:rsidRPr="00446050">
              <w:t>119.2%</w:t>
            </w:r>
          </w:p>
        </w:tc>
        <w:tc>
          <w:tcPr>
            <w:tcW w:w="803" w:type="dxa"/>
            <w:shd w:val="clear" w:color="auto" w:fill="auto"/>
          </w:tcPr>
          <w:p w14:paraId="77A56447" w14:textId="77777777" w:rsidR="00470AF7" w:rsidRPr="00446050" w:rsidRDefault="00470AF7">
            <w:pPr>
              <w:pStyle w:val="ARtableperformancesymbol"/>
              <w:spacing w:line="252" w:lineRule="auto"/>
              <w:rPr>
                <w:rFonts w:eastAsia="Wingdings" w:cs="Wingdings"/>
              </w:rPr>
            </w:pPr>
            <w:r w:rsidRPr="00446050">
              <w:rPr>
                <w:rFonts w:eastAsia="Wingdings" w:cs="Arial"/>
                <w:szCs w:val="20"/>
              </w:rPr>
              <w:t></w:t>
            </w:r>
          </w:p>
        </w:tc>
      </w:tr>
      <w:tr w:rsidR="00470AF7" w:rsidRPr="00446050" w14:paraId="36F1AFDA" w14:textId="77777777" w:rsidTr="00A52781">
        <w:trPr>
          <w:cantSplit/>
        </w:trPr>
        <w:tc>
          <w:tcPr>
            <w:tcW w:w="9632" w:type="dxa"/>
            <w:gridSpan w:val="10"/>
            <w:tcBorders>
              <w:bottom w:val="single" w:sz="4" w:space="0" w:color="BFBFBF"/>
            </w:tcBorders>
            <w:shd w:val="clear" w:color="auto" w:fill="auto"/>
          </w:tcPr>
          <w:p w14:paraId="1B26B4C5" w14:textId="409411D5" w:rsidR="00470AF7" w:rsidRPr="00446050" w:rsidRDefault="00470AF7">
            <w:pPr>
              <w:pStyle w:val="ARtablenoteindent"/>
            </w:pPr>
            <w:r w:rsidRPr="00446050">
              <w:t>The outcome for 2023</w:t>
            </w:r>
            <w:r w:rsidR="00E837F9">
              <w:t>–</w:t>
            </w:r>
            <w:r w:rsidRPr="00446050">
              <w:t xml:space="preserve">24 is higher than the target due to the program experiencing high demand, which has been met by additional fixed-term funding. </w:t>
            </w:r>
          </w:p>
        </w:tc>
      </w:tr>
      <w:tr w:rsidR="002B7096" w:rsidRPr="00446050" w14:paraId="01ADD2BF" w14:textId="77777777" w:rsidTr="00A52781">
        <w:trPr>
          <w:cantSplit/>
        </w:trPr>
        <w:tc>
          <w:tcPr>
            <w:tcW w:w="4739" w:type="dxa"/>
            <w:tcBorders>
              <w:top w:val="single" w:sz="4" w:space="0" w:color="BFBFBF"/>
            </w:tcBorders>
            <w:shd w:val="clear" w:color="auto" w:fill="auto"/>
          </w:tcPr>
          <w:p w14:paraId="5803CAD9" w14:textId="385A75B2" w:rsidR="002B7096" w:rsidRPr="00446050" w:rsidRDefault="002B7096" w:rsidP="002B7096">
            <w:pPr>
              <w:pStyle w:val="ARtabletext"/>
              <w:spacing w:line="252" w:lineRule="auto"/>
            </w:pPr>
            <w:r w:rsidRPr="00446050">
              <w:t>Number of sexual assault services provided to adults, children and young people</w:t>
            </w:r>
          </w:p>
        </w:tc>
        <w:tc>
          <w:tcPr>
            <w:tcW w:w="1017" w:type="dxa"/>
            <w:gridSpan w:val="2"/>
            <w:tcBorders>
              <w:top w:val="single" w:sz="4" w:space="0" w:color="BFBFBF"/>
            </w:tcBorders>
            <w:shd w:val="clear" w:color="auto" w:fill="auto"/>
          </w:tcPr>
          <w:p w14:paraId="2489C1DF" w14:textId="0161F4ED" w:rsidR="002B7096" w:rsidRPr="00446050" w:rsidRDefault="002B7096" w:rsidP="002B7096">
            <w:pPr>
              <w:pStyle w:val="ARtabletext"/>
              <w:spacing w:line="252" w:lineRule="auto"/>
            </w:pPr>
            <w:r w:rsidRPr="00446050">
              <w:t>number</w:t>
            </w:r>
          </w:p>
        </w:tc>
        <w:tc>
          <w:tcPr>
            <w:tcW w:w="1016" w:type="dxa"/>
            <w:gridSpan w:val="2"/>
            <w:tcBorders>
              <w:top w:val="single" w:sz="4" w:space="0" w:color="BFBFBF"/>
            </w:tcBorders>
            <w:shd w:val="clear" w:color="auto" w:fill="auto"/>
          </w:tcPr>
          <w:p w14:paraId="53DF5616" w14:textId="25FDD19C" w:rsidR="002B7096" w:rsidRPr="006A3E38" w:rsidRDefault="002B7096" w:rsidP="002B7096">
            <w:pPr>
              <w:pStyle w:val="ARtabletextright"/>
              <w:spacing w:line="252" w:lineRule="auto"/>
            </w:pPr>
            <w:r w:rsidRPr="00446050">
              <w:t>15,115</w:t>
            </w:r>
          </w:p>
        </w:tc>
        <w:tc>
          <w:tcPr>
            <w:tcW w:w="1020" w:type="dxa"/>
            <w:gridSpan w:val="2"/>
            <w:tcBorders>
              <w:top w:val="single" w:sz="4" w:space="0" w:color="BFBFBF"/>
            </w:tcBorders>
            <w:shd w:val="clear" w:color="auto" w:fill="auto"/>
          </w:tcPr>
          <w:p w14:paraId="39F66E2C" w14:textId="155F1947" w:rsidR="002B7096" w:rsidRPr="006A3E38" w:rsidRDefault="002B7096" w:rsidP="002B7096">
            <w:pPr>
              <w:pStyle w:val="ARtabletextright"/>
              <w:spacing w:line="252" w:lineRule="auto"/>
            </w:pPr>
            <w:r w:rsidRPr="00446050">
              <w:t>18,</w:t>
            </w:r>
            <w:r>
              <w:t>874</w:t>
            </w:r>
          </w:p>
        </w:tc>
        <w:tc>
          <w:tcPr>
            <w:tcW w:w="1037" w:type="dxa"/>
            <w:gridSpan w:val="2"/>
            <w:tcBorders>
              <w:top w:val="single" w:sz="4" w:space="0" w:color="BFBFBF"/>
            </w:tcBorders>
            <w:shd w:val="clear" w:color="auto" w:fill="auto"/>
          </w:tcPr>
          <w:p w14:paraId="3DED6234" w14:textId="7C598255" w:rsidR="002B7096" w:rsidRPr="006A3E38" w:rsidRDefault="002B7096" w:rsidP="002B7096">
            <w:pPr>
              <w:pStyle w:val="ARtabletextright"/>
              <w:spacing w:line="252" w:lineRule="auto"/>
            </w:pPr>
            <w:r>
              <w:t>24.9</w:t>
            </w:r>
            <w:r w:rsidRPr="00446050">
              <w:t>%</w:t>
            </w:r>
          </w:p>
        </w:tc>
        <w:tc>
          <w:tcPr>
            <w:tcW w:w="803" w:type="dxa"/>
            <w:tcBorders>
              <w:top w:val="single" w:sz="4" w:space="0" w:color="BFBFBF"/>
            </w:tcBorders>
            <w:shd w:val="clear" w:color="auto" w:fill="auto"/>
          </w:tcPr>
          <w:p w14:paraId="56DD4506" w14:textId="10E9EEA8" w:rsidR="002B7096" w:rsidRPr="00446050" w:rsidRDefault="002B7096" w:rsidP="002B7096">
            <w:pPr>
              <w:pStyle w:val="ARtableperformancesymbol"/>
              <w:spacing w:line="252" w:lineRule="auto"/>
              <w:rPr>
                <w:rFonts w:eastAsia="Wingdings" w:cs="Wingdings"/>
              </w:rPr>
            </w:pPr>
            <w:r w:rsidRPr="00446050">
              <w:rPr>
                <w:rFonts w:eastAsia="Wingdings" w:cs="Wingdings"/>
              </w:rPr>
              <w:t></w:t>
            </w:r>
          </w:p>
        </w:tc>
      </w:tr>
      <w:tr w:rsidR="002B7096" w:rsidRPr="00446050" w14:paraId="4E9DBC95" w14:textId="77777777" w:rsidTr="00A52781">
        <w:trPr>
          <w:cantSplit/>
        </w:trPr>
        <w:tc>
          <w:tcPr>
            <w:tcW w:w="9632" w:type="dxa"/>
            <w:gridSpan w:val="10"/>
            <w:shd w:val="clear" w:color="auto" w:fill="auto"/>
          </w:tcPr>
          <w:p w14:paraId="045F1463" w14:textId="4939150E" w:rsidR="002B7096" w:rsidRPr="00446050" w:rsidRDefault="002B7096" w:rsidP="002B7096">
            <w:pPr>
              <w:pStyle w:val="ARtablenoteindent"/>
            </w:pPr>
            <w:r w:rsidRPr="00446050">
              <w:t>The higher actual compared to target is due to increased demand and additional fixed</w:t>
            </w:r>
            <w:r>
              <w:t>-</w:t>
            </w:r>
            <w:r w:rsidRPr="00446050">
              <w:t>term funding being provided in 2023</w:t>
            </w:r>
            <w:r>
              <w:t>–</w:t>
            </w:r>
            <w:r w:rsidRPr="00446050">
              <w:t>24 to respond to the demand. Increasing community awareness of this program continues to drive strong demand across the</w:t>
            </w:r>
            <w:r>
              <w:t> </w:t>
            </w:r>
            <w:r w:rsidRPr="00446050">
              <w:t>system.</w:t>
            </w:r>
          </w:p>
        </w:tc>
      </w:tr>
      <w:tr w:rsidR="00470AF7" w:rsidRPr="00446050" w14:paraId="046769D1" w14:textId="77777777" w:rsidTr="00D4716C">
        <w:trPr>
          <w:cantSplit/>
        </w:trPr>
        <w:tc>
          <w:tcPr>
            <w:tcW w:w="4739" w:type="dxa"/>
            <w:tcBorders>
              <w:top w:val="single" w:sz="4" w:space="0" w:color="BFBFBF"/>
            </w:tcBorders>
            <w:shd w:val="clear" w:color="auto" w:fill="auto"/>
            <w:hideMark/>
          </w:tcPr>
          <w:p w14:paraId="2011E4C3" w14:textId="6074482C" w:rsidR="00470AF7" w:rsidRPr="00446050" w:rsidRDefault="00470AF7">
            <w:pPr>
              <w:pStyle w:val="ARtabletext"/>
              <w:spacing w:line="252" w:lineRule="auto"/>
            </w:pPr>
            <w:r w:rsidRPr="00446050">
              <w:t>Number of new episodes of family violence therapeutic</w:t>
            </w:r>
            <w:r>
              <w:t> </w:t>
            </w:r>
            <w:r w:rsidRPr="00446050">
              <w:t>interventions</w:t>
            </w:r>
          </w:p>
        </w:tc>
        <w:tc>
          <w:tcPr>
            <w:tcW w:w="1017" w:type="dxa"/>
            <w:gridSpan w:val="2"/>
            <w:tcBorders>
              <w:top w:val="single" w:sz="4" w:space="0" w:color="BFBFBF"/>
            </w:tcBorders>
            <w:shd w:val="clear" w:color="auto" w:fill="auto"/>
            <w:hideMark/>
          </w:tcPr>
          <w:p w14:paraId="6981D6F1" w14:textId="77777777" w:rsidR="00470AF7" w:rsidRPr="00446050" w:rsidRDefault="00470AF7">
            <w:pPr>
              <w:pStyle w:val="ARtabletext"/>
              <w:spacing w:line="252" w:lineRule="auto"/>
            </w:pPr>
            <w:r w:rsidRPr="00446050">
              <w:t>number</w:t>
            </w:r>
          </w:p>
        </w:tc>
        <w:tc>
          <w:tcPr>
            <w:tcW w:w="1016" w:type="dxa"/>
            <w:gridSpan w:val="2"/>
            <w:tcBorders>
              <w:top w:val="single" w:sz="4" w:space="0" w:color="BFBFBF"/>
            </w:tcBorders>
            <w:shd w:val="clear" w:color="auto" w:fill="auto"/>
            <w:hideMark/>
          </w:tcPr>
          <w:p w14:paraId="351FCE0B" w14:textId="77777777" w:rsidR="00470AF7" w:rsidRPr="006A3E38" w:rsidRDefault="00470AF7">
            <w:pPr>
              <w:pStyle w:val="ARtabletextright"/>
              <w:spacing w:line="252" w:lineRule="auto"/>
            </w:pPr>
            <w:r w:rsidRPr="006A3E38">
              <w:t>2,618</w:t>
            </w:r>
          </w:p>
        </w:tc>
        <w:tc>
          <w:tcPr>
            <w:tcW w:w="1020" w:type="dxa"/>
            <w:gridSpan w:val="2"/>
            <w:tcBorders>
              <w:top w:val="single" w:sz="4" w:space="0" w:color="BFBFBF"/>
            </w:tcBorders>
            <w:shd w:val="clear" w:color="auto" w:fill="auto"/>
            <w:hideMark/>
          </w:tcPr>
          <w:p w14:paraId="20304474" w14:textId="1322E64F" w:rsidR="00470AF7" w:rsidRPr="006A3E38" w:rsidRDefault="00470AF7">
            <w:pPr>
              <w:pStyle w:val="ARtabletextright"/>
              <w:spacing w:line="252" w:lineRule="auto"/>
            </w:pPr>
            <w:r w:rsidRPr="006A3E38">
              <w:t>3,</w:t>
            </w:r>
            <w:r w:rsidR="00D85D02" w:rsidRPr="006A3E38">
              <w:t>797</w:t>
            </w:r>
          </w:p>
        </w:tc>
        <w:tc>
          <w:tcPr>
            <w:tcW w:w="1037" w:type="dxa"/>
            <w:gridSpan w:val="2"/>
            <w:tcBorders>
              <w:top w:val="single" w:sz="4" w:space="0" w:color="BFBFBF"/>
            </w:tcBorders>
            <w:shd w:val="clear" w:color="auto" w:fill="auto"/>
          </w:tcPr>
          <w:p w14:paraId="76BEE26A" w14:textId="7F8F09FD" w:rsidR="00470AF7" w:rsidRPr="006A3E38" w:rsidRDefault="004F4A58">
            <w:pPr>
              <w:pStyle w:val="ARtabletextright"/>
              <w:spacing w:line="252" w:lineRule="auto"/>
            </w:pPr>
            <w:r w:rsidRPr="006A3E38">
              <w:t>45</w:t>
            </w:r>
            <w:r w:rsidR="0036433B">
              <w:t>.0</w:t>
            </w:r>
            <w:r w:rsidR="00470AF7" w:rsidRPr="006A3E38">
              <w:t>%</w:t>
            </w:r>
          </w:p>
        </w:tc>
        <w:tc>
          <w:tcPr>
            <w:tcW w:w="803" w:type="dxa"/>
            <w:tcBorders>
              <w:top w:val="single" w:sz="4" w:space="0" w:color="BFBFBF"/>
            </w:tcBorders>
            <w:shd w:val="clear" w:color="auto" w:fill="auto"/>
            <w:hideMark/>
          </w:tcPr>
          <w:p w14:paraId="1400F944"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28325BB8" w14:textId="77777777" w:rsidTr="00D4716C">
        <w:trPr>
          <w:cantSplit/>
        </w:trPr>
        <w:tc>
          <w:tcPr>
            <w:tcW w:w="9632" w:type="dxa"/>
            <w:gridSpan w:val="10"/>
            <w:tcBorders>
              <w:bottom w:val="single" w:sz="4" w:space="0" w:color="000000" w:themeColor="text1"/>
            </w:tcBorders>
            <w:shd w:val="clear" w:color="auto" w:fill="auto"/>
            <w:noWrap/>
            <w:hideMark/>
          </w:tcPr>
          <w:p w14:paraId="0E532EAD" w14:textId="37172A58" w:rsidR="00470AF7" w:rsidRPr="00446050" w:rsidRDefault="003D0B5B">
            <w:pPr>
              <w:pStyle w:val="ARtablenoteindent"/>
              <w:spacing w:line="252" w:lineRule="auto"/>
            </w:pPr>
            <w:r w:rsidRPr="00446050">
              <w:t xml:space="preserve">The </w:t>
            </w:r>
            <w:r w:rsidR="00981E3A">
              <w:t>2023–24</w:t>
            </w:r>
            <w:r>
              <w:t xml:space="preserve"> outcome is higher than the target</w:t>
            </w:r>
            <w:r w:rsidRPr="00446050">
              <w:t xml:space="preserve"> due to increas</w:t>
            </w:r>
            <w:r>
              <w:t>ed</w:t>
            </w:r>
            <w:r w:rsidRPr="00446050">
              <w:t xml:space="preserve"> demand</w:t>
            </w:r>
            <w:r>
              <w:t xml:space="preserve">, </w:t>
            </w:r>
            <w:r w:rsidRPr="004C51D9">
              <w:t>and agencies reporting fixed-term funding for various therapeutic interventions for children and young people with a similar scope as one activity</w:t>
            </w:r>
            <w:r>
              <w:t>.</w:t>
            </w:r>
          </w:p>
        </w:tc>
      </w:tr>
      <w:tr w:rsidR="00470AF7" w:rsidRPr="00446050" w14:paraId="19D0632C" w14:textId="77777777" w:rsidTr="00D4716C">
        <w:trPr>
          <w:cantSplit/>
        </w:trPr>
        <w:tc>
          <w:tcPr>
            <w:tcW w:w="9632" w:type="dxa"/>
            <w:gridSpan w:val="10"/>
            <w:tcBorders>
              <w:top w:val="single" w:sz="4" w:space="0" w:color="000000" w:themeColor="text1"/>
              <w:left w:val="nil"/>
              <w:bottom w:val="nil"/>
              <w:right w:val="nil"/>
            </w:tcBorders>
            <w:hideMark/>
          </w:tcPr>
          <w:p w14:paraId="2EF57684" w14:textId="77777777" w:rsidR="00470AF7" w:rsidRPr="00446050" w:rsidRDefault="00470AF7" w:rsidP="00A274A7">
            <w:pPr>
              <w:pStyle w:val="ARtablegreybold"/>
            </w:pPr>
            <w:r w:rsidRPr="00A274A7">
              <w:t>Quality</w:t>
            </w:r>
          </w:p>
        </w:tc>
      </w:tr>
      <w:tr w:rsidR="00470AF7" w:rsidRPr="00446050" w14:paraId="3696456F" w14:textId="77777777" w:rsidTr="00A95F3C">
        <w:trPr>
          <w:cantSplit/>
        </w:trPr>
        <w:tc>
          <w:tcPr>
            <w:tcW w:w="4739" w:type="dxa"/>
            <w:shd w:val="clear" w:color="auto" w:fill="auto"/>
            <w:hideMark/>
          </w:tcPr>
          <w:p w14:paraId="6A7951D1" w14:textId="228DAD46" w:rsidR="00470AF7" w:rsidRPr="00446050" w:rsidRDefault="00470AF7">
            <w:pPr>
              <w:pStyle w:val="ARtabletext"/>
              <w:spacing w:line="252" w:lineRule="auto"/>
            </w:pPr>
            <w:r w:rsidRPr="00446050">
              <w:t>Satisfaction of workers with the information sharing and family violence risk assessment and risk management</w:t>
            </w:r>
            <w:r>
              <w:t> </w:t>
            </w:r>
            <w:r w:rsidRPr="00446050">
              <w:t>training</w:t>
            </w:r>
          </w:p>
        </w:tc>
        <w:tc>
          <w:tcPr>
            <w:tcW w:w="1017" w:type="dxa"/>
            <w:gridSpan w:val="2"/>
            <w:shd w:val="clear" w:color="auto" w:fill="auto"/>
            <w:hideMark/>
          </w:tcPr>
          <w:p w14:paraId="4B44C007" w14:textId="77777777" w:rsidR="00470AF7" w:rsidRPr="00446050" w:rsidRDefault="00470AF7">
            <w:pPr>
              <w:pStyle w:val="ARtabletext"/>
              <w:spacing w:line="252" w:lineRule="auto"/>
            </w:pPr>
            <w:r w:rsidRPr="00446050">
              <w:t>per cent</w:t>
            </w:r>
          </w:p>
        </w:tc>
        <w:tc>
          <w:tcPr>
            <w:tcW w:w="1016" w:type="dxa"/>
            <w:gridSpan w:val="2"/>
            <w:shd w:val="clear" w:color="auto" w:fill="auto"/>
            <w:hideMark/>
          </w:tcPr>
          <w:p w14:paraId="2787A51C" w14:textId="40E3689F" w:rsidR="00470AF7" w:rsidRPr="00446050" w:rsidRDefault="00470AF7">
            <w:pPr>
              <w:pStyle w:val="ARtabletextright"/>
              <w:spacing w:line="252" w:lineRule="auto"/>
            </w:pPr>
            <w:r w:rsidRPr="00446050">
              <w:t>90</w:t>
            </w:r>
            <w:r w:rsidR="005B3038">
              <w:t>.0</w:t>
            </w:r>
          </w:p>
        </w:tc>
        <w:tc>
          <w:tcPr>
            <w:tcW w:w="1020" w:type="dxa"/>
            <w:gridSpan w:val="2"/>
            <w:shd w:val="clear" w:color="auto" w:fill="auto"/>
            <w:hideMark/>
          </w:tcPr>
          <w:p w14:paraId="19D5F179" w14:textId="23ECE963" w:rsidR="00470AF7" w:rsidRPr="00446050" w:rsidRDefault="00470AF7">
            <w:pPr>
              <w:pStyle w:val="ARtabletextright"/>
              <w:spacing w:line="252" w:lineRule="auto"/>
            </w:pPr>
            <w:r w:rsidRPr="00446050">
              <w:t>9</w:t>
            </w:r>
            <w:r w:rsidR="00AA7418">
              <w:t>8.8</w:t>
            </w:r>
          </w:p>
        </w:tc>
        <w:tc>
          <w:tcPr>
            <w:tcW w:w="1037" w:type="dxa"/>
            <w:gridSpan w:val="2"/>
            <w:shd w:val="clear" w:color="auto" w:fill="auto"/>
          </w:tcPr>
          <w:p w14:paraId="3F9D81AE" w14:textId="55AB3258" w:rsidR="00470AF7" w:rsidRPr="00446050" w:rsidRDefault="00AA7418">
            <w:pPr>
              <w:pStyle w:val="ARtabletextright"/>
              <w:spacing w:line="252" w:lineRule="auto"/>
            </w:pPr>
            <w:r>
              <w:t>9.8</w:t>
            </w:r>
            <w:r w:rsidR="00470AF7" w:rsidRPr="00446050">
              <w:t>%</w:t>
            </w:r>
          </w:p>
        </w:tc>
        <w:tc>
          <w:tcPr>
            <w:tcW w:w="803" w:type="dxa"/>
            <w:shd w:val="clear" w:color="auto" w:fill="auto"/>
            <w:hideMark/>
          </w:tcPr>
          <w:p w14:paraId="1884B812"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1BCB2531" w14:textId="77777777" w:rsidTr="00A95F3C">
        <w:trPr>
          <w:cantSplit/>
        </w:trPr>
        <w:tc>
          <w:tcPr>
            <w:tcW w:w="9632" w:type="dxa"/>
            <w:gridSpan w:val="10"/>
            <w:tcBorders>
              <w:bottom w:val="single" w:sz="4" w:space="0" w:color="BFBFBF"/>
            </w:tcBorders>
            <w:shd w:val="clear" w:color="auto" w:fill="auto"/>
            <w:noWrap/>
            <w:hideMark/>
          </w:tcPr>
          <w:p w14:paraId="3DF28452" w14:textId="1EE51C20" w:rsidR="00470AF7" w:rsidRPr="00446050" w:rsidRDefault="00470AF7">
            <w:pPr>
              <w:pStyle w:val="ARtablenoteindent"/>
              <w:spacing w:line="252" w:lineRule="auto"/>
            </w:pPr>
            <w:r w:rsidRPr="00446050">
              <w:t>The 2023</w:t>
            </w:r>
            <w:r w:rsidR="006E2F2E">
              <w:t>–</w:t>
            </w:r>
            <w:r w:rsidRPr="00446050">
              <w:t>24 result is higher than target due to higher satisfaction of training participants, especially participants attending facilitated sessions. Participants are highly satisfied with both in-person and online training sessions being offered.</w:t>
            </w:r>
          </w:p>
        </w:tc>
      </w:tr>
      <w:tr w:rsidR="00470AF7" w:rsidRPr="00446050" w14:paraId="79790FB1" w14:textId="77777777" w:rsidTr="00D4716C">
        <w:trPr>
          <w:cantSplit/>
        </w:trPr>
        <w:tc>
          <w:tcPr>
            <w:tcW w:w="4739" w:type="dxa"/>
            <w:shd w:val="clear" w:color="auto" w:fill="auto"/>
            <w:hideMark/>
          </w:tcPr>
          <w:p w14:paraId="5B5E95C0" w14:textId="30BD5A70" w:rsidR="00470AF7" w:rsidRPr="00446050" w:rsidRDefault="00470AF7">
            <w:pPr>
              <w:pStyle w:val="ARtabletext"/>
              <w:spacing w:line="252" w:lineRule="auto"/>
            </w:pPr>
            <w:r w:rsidRPr="00446050">
              <w:t>Satisfaction of clients with Support and Safety Hubs</w:t>
            </w:r>
            <w:r>
              <w:t> </w:t>
            </w:r>
            <w:r w:rsidRPr="00446050">
              <w:t>services</w:t>
            </w:r>
          </w:p>
        </w:tc>
        <w:tc>
          <w:tcPr>
            <w:tcW w:w="1017" w:type="dxa"/>
            <w:gridSpan w:val="2"/>
            <w:shd w:val="clear" w:color="auto" w:fill="auto"/>
            <w:hideMark/>
          </w:tcPr>
          <w:p w14:paraId="56A3D57E" w14:textId="77777777" w:rsidR="00470AF7" w:rsidRPr="00446050" w:rsidRDefault="00470AF7">
            <w:pPr>
              <w:pStyle w:val="ARtabletext"/>
              <w:spacing w:line="252" w:lineRule="auto"/>
            </w:pPr>
            <w:r w:rsidRPr="00446050">
              <w:t>per cent</w:t>
            </w:r>
          </w:p>
        </w:tc>
        <w:tc>
          <w:tcPr>
            <w:tcW w:w="1016" w:type="dxa"/>
            <w:gridSpan w:val="2"/>
            <w:shd w:val="clear" w:color="auto" w:fill="auto"/>
            <w:hideMark/>
          </w:tcPr>
          <w:p w14:paraId="66422E72" w14:textId="01B8DB7D" w:rsidR="00470AF7" w:rsidRPr="00446050" w:rsidRDefault="00470AF7">
            <w:pPr>
              <w:pStyle w:val="ARtabletextright"/>
              <w:spacing w:line="252" w:lineRule="auto"/>
            </w:pPr>
            <w:r w:rsidRPr="00446050">
              <w:t>80</w:t>
            </w:r>
            <w:r w:rsidR="005B3038">
              <w:t>.0</w:t>
            </w:r>
          </w:p>
        </w:tc>
        <w:tc>
          <w:tcPr>
            <w:tcW w:w="1020" w:type="dxa"/>
            <w:gridSpan w:val="2"/>
            <w:shd w:val="clear" w:color="auto" w:fill="auto"/>
            <w:hideMark/>
          </w:tcPr>
          <w:p w14:paraId="13FCA5EE" w14:textId="2A4A4F0F" w:rsidR="00470AF7" w:rsidRPr="00446050" w:rsidRDefault="00470AF7">
            <w:pPr>
              <w:pStyle w:val="ARtabletextright"/>
              <w:spacing w:line="252" w:lineRule="auto"/>
            </w:pPr>
            <w:r w:rsidRPr="00446050">
              <w:t>89</w:t>
            </w:r>
            <w:r w:rsidR="005B3038">
              <w:t>.0</w:t>
            </w:r>
          </w:p>
        </w:tc>
        <w:tc>
          <w:tcPr>
            <w:tcW w:w="1037" w:type="dxa"/>
            <w:gridSpan w:val="2"/>
            <w:shd w:val="clear" w:color="auto" w:fill="auto"/>
          </w:tcPr>
          <w:p w14:paraId="5E765F1F" w14:textId="77777777" w:rsidR="00470AF7" w:rsidRPr="00446050" w:rsidRDefault="00470AF7" w:rsidP="0050686E">
            <w:pPr>
              <w:pStyle w:val="ARtabletextright"/>
              <w:spacing w:line="252" w:lineRule="auto"/>
            </w:pPr>
            <w:r w:rsidRPr="00446050">
              <w:t>11.3%</w:t>
            </w:r>
          </w:p>
        </w:tc>
        <w:tc>
          <w:tcPr>
            <w:tcW w:w="803" w:type="dxa"/>
            <w:shd w:val="clear" w:color="auto" w:fill="auto"/>
            <w:hideMark/>
          </w:tcPr>
          <w:p w14:paraId="7E2C02EC" w14:textId="77777777" w:rsidR="00470AF7" w:rsidRPr="00446050" w:rsidRDefault="00470AF7">
            <w:pPr>
              <w:pStyle w:val="ARtableperformancesymbol"/>
              <w:spacing w:line="252" w:lineRule="auto"/>
              <w:rPr>
                <w:rFonts w:hint="eastAsia"/>
                <w:lang w:val="en-AU"/>
              </w:rPr>
            </w:pPr>
            <w:r w:rsidRPr="00446050">
              <w:rPr>
                <w:rFonts w:eastAsia="Wingdings" w:cs="Wingdings"/>
              </w:rPr>
              <w:t></w:t>
            </w:r>
          </w:p>
        </w:tc>
      </w:tr>
      <w:tr w:rsidR="00470AF7" w:rsidRPr="00446050" w14:paraId="4665E849" w14:textId="77777777" w:rsidTr="00D4716C">
        <w:trPr>
          <w:cantSplit/>
        </w:trPr>
        <w:tc>
          <w:tcPr>
            <w:tcW w:w="9632" w:type="dxa"/>
            <w:gridSpan w:val="10"/>
            <w:tcBorders>
              <w:bottom w:val="single" w:sz="4" w:space="0" w:color="000000" w:themeColor="text1"/>
            </w:tcBorders>
            <w:shd w:val="clear" w:color="auto" w:fill="auto"/>
            <w:noWrap/>
            <w:hideMark/>
          </w:tcPr>
          <w:p w14:paraId="345BF229" w14:textId="0E1A9A7B" w:rsidR="00470AF7" w:rsidRPr="00446050" w:rsidRDefault="00470AF7">
            <w:pPr>
              <w:pStyle w:val="ARtablenoteindent"/>
              <w:spacing w:line="252" w:lineRule="auto"/>
            </w:pPr>
            <w:r w:rsidRPr="00446050">
              <w:t xml:space="preserve">The higher actual is due to </w:t>
            </w:r>
            <w:r w:rsidR="00D9593F" w:rsidRPr="00446050">
              <w:t>higher-than-expected</w:t>
            </w:r>
            <w:r w:rsidRPr="00446050">
              <w:t xml:space="preserve"> level of satisfaction among clients of The Orange Door that were surveyed through the Client Voice survey.</w:t>
            </w:r>
          </w:p>
        </w:tc>
      </w:tr>
      <w:tr w:rsidR="00470AF7" w:rsidRPr="00446050" w14:paraId="13489924" w14:textId="77777777" w:rsidTr="00D4716C">
        <w:trPr>
          <w:cantSplit/>
        </w:trPr>
        <w:tc>
          <w:tcPr>
            <w:tcW w:w="9632" w:type="dxa"/>
            <w:gridSpan w:val="10"/>
            <w:tcBorders>
              <w:top w:val="single" w:sz="4" w:space="0" w:color="000000" w:themeColor="text1"/>
              <w:left w:val="nil"/>
              <w:right w:val="nil"/>
            </w:tcBorders>
            <w:hideMark/>
          </w:tcPr>
          <w:p w14:paraId="4E8D06BE" w14:textId="77777777" w:rsidR="00470AF7" w:rsidRPr="00446050" w:rsidRDefault="00470AF7" w:rsidP="00A274A7">
            <w:pPr>
              <w:pStyle w:val="ARtablegreybold"/>
            </w:pPr>
            <w:r w:rsidRPr="00A274A7">
              <w:t>Timeliness</w:t>
            </w:r>
          </w:p>
        </w:tc>
      </w:tr>
      <w:tr w:rsidR="00470AF7" w:rsidRPr="00446050" w14:paraId="21FDCD9F" w14:textId="77777777" w:rsidTr="00D4716C">
        <w:trPr>
          <w:cantSplit/>
        </w:trPr>
        <w:tc>
          <w:tcPr>
            <w:tcW w:w="4749" w:type="dxa"/>
            <w:gridSpan w:val="2"/>
            <w:tcBorders>
              <w:bottom w:val="single" w:sz="2" w:space="0" w:color="A6A6A6" w:themeColor="accent5"/>
            </w:tcBorders>
            <w:shd w:val="clear" w:color="auto" w:fill="auto"/>
            <w:hideMark/>
          </w:tcPr>
          <w:p w14:paraId="6327C60E" w14:textId="7147832B" w:rsidR="00470AF7" w:rsidRPr="00446050" w:rsidRDefault="00470AF7">
            <w:pPr>
              <w:pStyle w:val="ARtabletext"/>
              <w:keepNext/>
              <w:spacing w:line="252" w:lineRule="auto"/>
            </w:pPr>
            <w:r w:rsidRPr="00446050">
              <w:t xml:space="preserve">Assessments undertaken within </w:t>
            </w:r>
            <w:r w:rsidR="00F95AC7">
              <w:t>7</w:t>
            </w:r>
            <w:r w:rsidRPr="00446050">
              <w:t xml:space="preserve"> days</w:t>
            </w:r>
          </w:p>
        </w:tc>
        <w:tc>
          <w:tcPr>
            <w:tcW w:w="1019" w:type="dxa"/>
            <w:gridSpan w:val="2"/>
            <w:tcBorders>
              <w:bottom w:val="single" w:sz="2" w:space="0" w:color="A6A6A6" w:themeColor="accent5"/>
            </w:tcBorders>
            <w:shd w:val="clear" w:color="auto" w:fill="auto"/>
            <w:hideMark/>
          </w:tcPr>
          <w:p w14:paraId="07E5E7F9" w14:textId="77777777" w:rsidR="00470AF7" w:rsidRPr="00446050" w:rsidRDefault="00470AF7">
            <w:pPr>
              <w:pStyle w:val="ARtabletext"/>
              <w:spacing w:line="252" w:lineRule="auto"/>
            </w:pPr>
            <w:r w:rsidRPr="00446050">
              <w:t>per cent</w:t>
            </w:r>
          </w:p>
        </w:tc>
        <w:tc>
          <w:tcPr>
            <w:tcW w:w="1019" w:type="dxa"/>
            <w:gridSpan w:val="2"/>
            <w:tcBorders>
              <w:bottom w:val="single" w:sz="2" w:space="0" w:color="A6A6A6" w:themeColor="accent5"/>
            </w:tcBorders>
            <w:shd w:val="clear" w:color="auto" w:fill="auto"/>
            <w:hideMark/>
          </w:tcPr>
          <w:p w14:paraId="1A00E99E" w14:textId="26313E06" w:rsidR="00470AF7" w:rsidRPr="00446050" w:rsidRDefault="00470AF7">
            <w:pPr>
              <w:pStyle w:val="ARtabletextright"/>
              <w:spacing w:line="252" w:lineRule="auto"/>
            </w:pPr>
            <w:r w:rsidRPr="00446050">
              <w:t>80</w:t>
            </w:r>
            <w:r w:rsidR="005B3038">
              <w:t>.0</w:t>
            </w:r>
          </w:p>
        </w:tc>
        <w:tc>
          <w:tcPr>
            <w:tcW w:w="1019" w:type="dxa"/>
            <w:gridSpan w:val="2"/>
            <w:tcBorders>
              <w:bottom w:val="single" w:sz="2" w:space="0" w:color="A6A6A6" w:themeColor="accent5"/>
            </w:tcBorders>
            <w:shd w:val="clear" w:color="auto" w:fill="auto"/>
            <w:hideMark/>
          </w:tcPr>
          <w:p w14:paraId="300F01AE" w14:textId="77777777" w:rsidR="00470AF7" w:rsidRPr="00446050" w:rsidRDefault="00470AF7">
            <w:pPr>
              <w:pStyle w:val="ARtabletextright"/>
              <w:spacing w:line="252" w:lineRule="auto"/>
            </w:pPr>
            <w:r w:rsidRPr="00446050">
              <w:t>76.5</w:t>
            </w:r>
          </w:p>
        </w:tc>
        <w:tc>
          <w:tcPr>
            <w:tcW w:w="1023" w:type="dxa"/>
            <w:tcBorders>
              <w:bottom w:val="single" w:sz="2" w:space="0" w:color="A6A6A6" w:themeColor="accent5"/>
            </w:tcBorders>
            <w:shd w:val="clear" w:color="auto" w:fill="auto"/>
          </w:tcPr>
          <w:p w14:paraId="4AC03B4A" w14:textId="77777777" w:rsidR="00470AF7" w:rsidRPr="00446050" w:rsidRDefault="00470AF7">
            <w:pPr>
              <w:pStyle w:val="ARtabletextright"/>
              <w:spacing w:line="252" w:lineRule="auto"/>
            </w:pPr>
            <w:r w:rsidRPr="00446050">
              <w:t>-4.4%</w:t>
            </w:r>
          </w:p>
        </w:tc>
        <w:tc>
          <w:tcPr>
            <w:tcW w:w="803" w:type="dxa"/>
            <w:tcBorders>
              <w:bottom w:val="single" w:sz="2" w:space="0" w:color="A6A6A6" w:themeColor="accent5"/>
            </w:tcBorders>
            <w:shd w:val="clear" w:color="auto" w:fill="auto"/>
            <w:hideMark/>
          </w:tcPr>
          <w:p w14:paraId="4BAF5FDF" w14:textId="77777777" w:rsidR="00470AF7" w:rsidRPr="00446050" w:rsidRDefault="00470AF7">
            <w:pPr>
              <w:pStyle w:val="ARtableperformancesymbol"/>
              <w:spacing w:line="252" w:lineRule="auto"/>
              <w:rPr>
                <w:rFonts w:hint="eastAsia"/>
                <w:lang w:val="en-AU"/>
              </w:rPr>
            </w:pPr>
            <w:r w:rsidRPr="00446050">
              <w:t>□</w:t>
            </w:r>
          </w:p>
        </w:tc>
      </w:tr>
      <w:tr w:rsidR="00470AF7" w:rsidRPr="00446050" w14:paraId="62712B92" w14:textId="77777777" w:rsidTr="00D4716C">
        <w:trPr>
          <w:cantSplit/>
        </w:trPr>
        <w:tc>
          <w:tcPr>
            <w:tcW w:w="4749" w:type="dxa"/>
            <w:gridSpan w:val="2"/>
            <w:tcBorders>
              <w:top w:val="single" w:sz="2" w:space="0" w:color="A6A6A6" w:themeColor="accent5"/>
              <w:bottom w:val="single" w:sz="4" w:space="0" w:color="000000" w:themeColor="text1"/>
            </w:tcBorders>
            <w:shd w:val="clear" w:color="auto" w:fill="auto"/>
            <w:hideMark/>
          </w:tcPr>
          <w:p w14:paraId="20C61DE9" w14:textId="13FB3786" w:rsidR="00470AF7" w:rsidRPr="00446050" w:rsidRDefault="00470AF7">
            <w:pPr>
              <w:pStyle w:val="ARtabletext"/>
              <w:spacing w:line="252" w:lineRule="auto"/>
            </w:pPr>
            <w:r w:rsidRPr="00446050">
              <w:t xml:space="preserve">Sexual assault support services clients receiving an initial response within </w:t>
            </w:r>
            <w:r w:rsidR="009D641C">
              <w:t>5</w:t>
            </w:r>
            <w:r w:rsidRPr="00446050">
              <w:t xml:space="preserve"> working days of referral</w:t>
            </w:r>
          </w:p>
        </w:tc>
        <w:tc>
          <w:tcPr>
            <w:tcW w:w="1019" w:type="dxa"/>
            <w:gridSpan w:val="2"/>
            <w:tcBorders>
              <w:top w:val="single" w:sz="2" w:space="0" w:color="A6A6A6" w:themeColor="accent5"/>
              <w:bottom w:val="single" w:sz="4" w:space="0" w:color="auto"/>
            </w:tcBorders>
            <w:shd w:val="clear" w:color="auto" w:fill="auto"/>
            <w:hideMark/>
          </w:tcPr>
          <w:p w14:paraId="6B76429E" w14:textId="77777777" w:rsidR="00470AF7" w:rsidRPr="00446050" w:rsidRDefault="00470AF7">
            <w:pPr>
              <w:pStyle w:val="ARtabletext"/>
              <w:spacing w:line="252" w:lineRule="auto"/>
            </w:pPr>
            <w:r w:rsidRPr="00446050">
              <w:t>per cent</w:t>
            </w:r>
          </w:p>
        </w:tc>
        <w:tc>
          <w:tcPr>
            <w:tcW w:w="1019" w:type="dxa"/>
            <w:gridSpan w:val="2"/>
            <w:tcBorders>
              <w:top w:val="single" w:sz="2" w:space="0" w:color="A6A6A6" w:themeColor="accent5"/>
              <w:bottom w:val="single" w:sz="4" w:space="0" w:color="auto"/>
            </w:tcBorders>
            <w:shd w:val="clear" w:color="auto" w:fill="auto"/>
            <w:hideMark/>
          </w:tcPr>
          <w:p w14:paraId="32E69279" w14:textId="55B044E9" w:rsidR="00470AF7" w:rsidRPr="00446050" w:rsidRDefault="00470AF7">
            <w:pPr>
              <w:pStyle w:val="ARtabletextright"/>
              <w:spacing w:line="252" w:lineRule="auto"/>
            </w:pPr>
            <w:r w:rsidRPr="00446050">
              <w:t>98</w:t>
            </w:r>
            <w:r w:rsidR="005B3038">
              <w:t>.0</w:t>
            </w:r>
          </w:p>
        </w:tc>
        <w:tc>
          <w:tcPr>
            <w:tcW w:w="1019" w:type="dxa"/>
            <w:gridSpan w:val="2"/>
            <w:tcBorders>
              <w:top w:val="single" w:sz="2" w:space="0" w:color="A6A6A6" w:themeColor="accent5"/>
              <w:bottom w:val="single" w:sz="4" w:space="0" w:color="auto"/>
            </w:tcBorders>
            <w:shd w:val="clear" w:color="auto" w:fill="auto"/>
            <w:hideMark/>
          </w:tcPr>
          <w:p w14:paraId="528DF529" w14:textId="77777777" w:rsidR="00470AF7" w:rsidRPr="00446050" w:rsidRDefault="00470AF7">
            <w:pPr>
              <w:pStyle w:val="ARtabletextright"/>
              <w:spacing w:line="252" w:lineRule="auto"/>
            </w:pPr>
            <w:r w:rsidRPr="00446050">
              <w:t>96.6</w:t>
            </w:r>
          </w:p>
        </w:tc>
        <w:tc>
          <w:tcPr>
            <w:tcW w:w="1023" w:type="dxa"/>
            <w:tcBorders>
              <w:top w:val="single" w:sz="2" w:space="0" w:color="A6A6A6" w:themeColor="accent5"/>
              <w:bottom w:val="single" w:sz="4" w:space="0" w:color="auto"/>
            </w:tcBorders>
            <w:shd w:val="clear" w:color="auto" w:fill="auto"/>
          </w:tcPr>
          <w:p w14:paraId="2B03117E" w14:textId="77777777" w:rsidR="00470AF7" w:rsidRPr="00446050" w:rsidRDefault="00470AF7">
            <w:pPr>
              <w:pStyle w:val="ARtabletextright"/>
              <w:spacing w:line="252" w:lineRule="auto"/>
            </w:pPr>
            <w:r w:rsidRPr="00446050">
              <w:t>-1.4%</w:t>
            </w:r>
          </w:p>
        </w:tc>
        <w:tc>
          <w:tcPr>
            <w:tcW w:w="803" w:type="dxa"/>
            <w:tcBorders>
              <w:top w:val="single" w:sz="2" w:space="0" w:color="A6A6A6" w:themeColor="accent5"/>
              <w:bottom w:val="single" w:sz="4" w:space="0" w:color="auto"/>
            </w:tcBorders>
            <w:shd w:val="clear" w:color="auto" w:fill="auto"/>
            <w:hideMark/>
          </w:tcPr>
          <w:p w14:paraId="2FC2E252" w14:textId="77777777" w:rsidR="00470AF7" w:rsidRPr="00446050" w:rsidRDefault="00470AF7">
            <w:pPr>
              <w:pStyle w:val="ARtableperformancesymbol"/>
              <w:spacing w:line="252" w:lineRule="auto"/>
              <w:rPr>
                <w:rFonts w:eastAsia="Wingdings" w:cs="Wingdings"/>
                <w:lang w:val="en-AU"/>
              </w:rPr>
            </w:pPr>
            <w:r w:rsidRPr="00446050">
              <w:t>□</w:t>
            </w:r>
          </w:p>
        </w:tc>
      </w:tr>
      <w:tr w:rsidR="00100ED7" w:rsidRPr="00446050" w14:paraId="0DE28B26" w14:textId="77777777" w:rsidTr="00D02912">
        <w:trPr>
          <w:cantSplit/>
        </w:trPr>
        <w:tc>
          <w:tcPr>
            <w:tcW w:w="4739" w:type="dxa"/>
          </w:tcPr>
          <w:p w14:paraId="19FAB686" w14:textId="226F6B06" w:rsidR="00100ED7" w:rsidRPr="00446050" w:rsidRDefault="00100ED7" w:rsidP="00100ED7">
            <w:pPr>
              <w:pStyle w:val="ARtablegreybold"/>
            </w:pPr>
            <w:r>
              <w:t>Cost</w:t>
            </w:r>
          </w:p>
        </w:tc>
        <w:tc>
          <w:tcPr>
            <w:tcW w:w="1017" w:type="dxa"/>
            <w:gridSpan w:val="2"/>
          </w:tcPr>
          <w:p w14:paraId="4238E076" w14:textId="77777777" w:rsidR="00100ED7" w:rsidRPr="00446050" w:rsidRDefault="00100ED7" w:rsidP="00D02912">
            <w:pPr>
              <w:pStyle w:val="ARtabletextbold"/>
            </w:pPr>
          </w:p>
        </w:tc>
        <w:tc>
          <w:tcPr>
            <w:tcW w:w="1016" w:type="dxa"/>
            <w:gridSpan w:val="2"/>
          </w:tcPr>
          <w:p w14:paraId="1B07E809" w14:textId="77777777" w:rsidR="00100ED7" w:rsidRPr="00446050" w:rsidRDefault="00100ED7" w:rsidP="00D02912">
            <w:pPr>
              <w:pStyle w:val="ARtabletextrightbold"/>
              <w:spacing w:line="252" w:lineRule="auto"/>
            </w:pPr>
          </w:p>
        </w:tc>
        <w:tc>
          <w:tcPr>
            <w:tcW w:w="1020" w:type="dxa"/>
            <w:gridSpan w:val="2"/>
          </w:tcPr>
          <w:p w14:paraId="195D5A98" w14:textId="77777777" w:rsidR="00100ED7" w:rsidRPr="00446050" w:rsidRDefault="00100ED7" w:rsidP="00D02912">
            <w:pPr>
              <w:pStyle w:val="ARtabletextrightbold"/>
              <w:spacing w:line="252" w:lineRule="auto"/>
            </w:pPr>
          </w:p>
        </w:tc>
        <w:tc>
          <w:tcPr>
            <w:tcW w:w="1037" w:type="dxa"/>
            <w:gridSpan w:val="2"/>
          </w:tcPr>
          <w:p w14:paraId="2D692AF9" w14:textId="77777777" w:rsidR="00100ED7" w:rsidRPr="00446050" w:rsidRDefault="00100ED7" w:rsidP="00D02912">
            <w:pPr>
              <w:pStyle w:val="ARtabletextrightbold"/>
              <w:spacing w:line="252" w:lineRule="auto"/>
            </w:pPr>
          </w:p>
        </w:tc>
        <w:tc>
          <w:tcPr>
            <w:tcW w:w="803" w:type="dxa"/>
          </w:tcPr>
          <w:p w14:paraId="36A25D50" w14:textId="77777777" w:rsidR="00100ED7" w:rsidRPr="00446050" w:rsidRDefault="00100ED7" w:rsidP="00D02912">
            <w:pPr>
              <w:pStyle w:val="ARtableperformancesymbol"/>
              <w:spacing w:line="252" w:lineRule="auto"/>
              <w:rPr>
                <w:rFonts w:eastAsia="Wingdings" w:cs="Wingdings"/>
              </w:rPr>
            </w:pPr>
          </w:p>
        </w:tc>
      </w:tr>
      <w:tr w:rsidR="00100ED7" w:rsidRPr="00446050" w14:paraId="7720279D" w14:textId="77777777" w:rsidTr="00D02912">
        <w:trPr>
          <w:cantSplit/>
        </w:trPr>
        <w:tc>
          <w:tcPr>
            <w:tcW w:w="4739" w:type="dxa"/>
            <w:hideMark/>
          </w:tcPr>
          <w:p w14:paraId="64EFD3D2" w14:textId="77777777" w:rsidR="00100ED7" w:rsidRPr="00446050" w:rsidRDefault="00100ED7" w:rsidP="00D02912">
            <w:pPr>
              <w:pStyle w:val="ARtabletextbold"/>
            </w:pPr>
            <w:r w:rsidRPr="00446050">
              <w:t>Total output cost</w:t>
            </w:r>
          </w:p>
        </w:tc>
        <w:tc>
          <w:tcPr>
            <w:tcW w:w="1017" w:type="dxa"/>
            <w:gridSpan w:val="2"/>
            <w:hideMark/>
          </w:tcPr>
          <w:p w14:paraId="5F9E1DEB" w14:textId="77777777" w:rsidR="00100ED7" w:rsidRPr="00446050" w:rsidRDefault="00100ED7" w:rsidP="00D02912">
            <w:pPr>
              <w:pStyle w:val="ARtabletextbold"/>
            </w:pPr>
            <w:r w:rsidRPr="00446050">
              <w:t>$ million</w:t>
            </w:r>
          </w:p>
        </w:tc>
        <w:tc>
          <w:tcPr>
            <w:tcW w:w="1016" w:type="dxa"/>
            <w:gridSpan w:val="2"/>
          </w:tcPr>
          <w:p w14:paraId="4FEE9929" w14:textId="36CF0705" w:rsidR="00100ED7" w:rsidRPr="00446050" w:rsidRDefault="00100ED7" w:rsidP="00D02912">
            <w:pPr>
              <w:pStyle w:val="ARtabletextrightbold"/>
              <w:spacing w:line="252" w:lineRule="auto"/>
            </w:pPr>
            <w:r w:rsidRPr="00446050">
              <w:t>62</w:t>
            </w:r>
            <w:r w:rsidR="003D0B5B">
              <w:t>2.5</w:t>
            </w:r>
          </w:p>
        </w:tc>
        <w:tc>
          <w:tcPr>
            <w:tcW w:w="1020" w:type="dxa"/>
            <w:gridSpan w:val="2"/>
          </w:tcPr>
          <w:p w14:paraId="0F769D1A" w14:textId="77777777" w:rsidR="00100ED7" w:rsidRPr="00446050" w:rsidRDefault="00100ED7" w:rsidP="00D02912">
            <w:pPr>
              <w:pStyle w:val="ARtabletextrightbold"/>
              <w:spacing w:line="252" w:lineRule="auto"/>
            </w:pPr>
            <w:r w:rsidRPr="00446050">
              <w:t>721.3</w:t>
            </w:r>
          </w:p>
        </w:tc>
        <w:tc>
          <w:tcPr>
            <w:tcW w:w="1037" w:type="dxa"/>
            <w:gridSpan w:val="2"/>
          </w:tcPr>
          <w:p w14:paraId="5475B4CD" w14:textId="77777777" w:rsidR="00100ED7" w:rsidRPr="00446050" w:rsidRDefault="00100ED7" w:rsidP="00D02912">
            <w:pPr>
              <w:pStyle w:val="ARtabletextrightbold"/>
              <w:spacing w:line="252" w:lineRule="auto"/>
            </w:pPr>
            <w:r w:rsidRPr="00446050">
              <w:t>15.9%</w:t>
            </w:r>
          </w:p>
        </w:tc>
        <w:tc>
          <w:tcPr>
            <w:tcW w:w="803" w:type="dxa"/>
          </w:tcPr>
          <w:p w14:paraId="42A60BD1" w14:textId="77777777" w:rsidR="00100ED7" w:rsidRPr="00446050" w:rsidRDefault="00100ED7" w:rsidP="00D02912">
            <w:pPr>
              <w:pStyle w:val="ARtableperformancesymbol"/>
              <w:spacing w:line="252" w:lineRule="auto"/>
              <w:rPr>
                <w:rFonts w:hint="eastAsia"/>
                <w:b/>
              </w:rPr>
            </w:pPr>
            <w:r w:rsidRPr="00446050">
              <w:rPr>
                <w:rFonts w:eastAsia="Wingdings" w:cs="Wingdings"/>
              </w:rPr>
              <w:t></w:t>
            </w:r>
          </w:p>
        </w:tc>
      </w:tr>
      <w:tr w:rsidR="00100ED7" w:rsidRPr="00532DAE" w14:paraId="4257755B" w14:textId="77777777" w:rsidTr="00D02912">
        <w:trPr>
          <w:cantSplit/>
        </w:trPr>
        <w:tc>
          <w:tcPr>
            <w:tcW w:w="9632" w:type="dxa"/>
            <w:gridSpan w:val="10"/>
            <w:tcBorders>
              <w:bottom w:val="single" w:sz="4" w:space="0" w:color="auto"/>
            </w:tcBorders>
          </w:tcPr>
          <w:p w14:paraId="279CB84F" w14:textId="77777777" w:rsidR="00100ED7" w:rsidRPr="00532DAE" w:rsidRDefault="00100ED7" w:rsidP="00D02912">
            <w:pPr>
              <w:pStyle w:val="ARtablenoteindent"/>
              <w:spacing w:line="252" w:lineRule="auto"/>
              <w:rPr>
                <w:rFonts w:eastAsia="Wingdings" w:cs="Wingdings"/>
              </w:rPr>
            </w:pPr>
            <w:r w:rsidRPr="00446050">
              <w:rPr>
                <w:rFonts w:eastAsia="Wingdings" w:cs="Wingdings"/>
              </w:rPr>
              <w:t>The higher 2023</w:t>
            </w:r>
            <w:r>
              <w:rPr>
                <w:rFonts w:eastAsia="Wingdings" w:cs="Wingdings"/>
              </w:rPr>
              <w:t>–</w:t>
            </w:r>
            <w:r w:rsidRPr="00446050">
              <w:rPr>
                <w:rFonts w:eastAsia="Wingdings" w:cs="Wingdings"/>
              </w:rPr>
              <w:t>24 actual primarily reflects the output group reallocation of a number of Family Violence related programs from Housing Assistance to Family Violence Service Delivery to better reflect Ministerial responsibilities</w:t>
            </w:r>
          </w:p>
        </w:tc>
      </w:tr>
    </w:tbl>
    <w:p w14:paraId="1F2A834C" w14:textId="77777777" w:rsidR="00100ED7" w:rsidRPr="008C7661" w:rsidRDefault="00100ED7" w:rsidP="008C7661">
      <w:pPr>
        <w:pStyle w:val="ARbody"/>
      </w:pPr>
      <w:r>
        <w:br w:type="page"/>
      </w:r>
    </w:p>
    <w:p w14:paraId="7C630906" w14:textId="63E9E607" w:rsidR="00A95F3C" w:rsidRPr="00561C66" w:rsidRDefault="00A95F3C" w:rsidP="00333387">
      <w:pPr>
        <w:pStyle w:val="Heading3"/>
      </w:pPr>
      <w:bookmarkStart w:id="146" w:name="_Ref178173930"/>
      <w:r w:rsidRPr="00561C66">
        <w:t>Primary prevention of family violence</w:t>
      </w:r>
      <w:bookmarkEnd w:id="146"/>
    </w:p>
    <w:p w14:paraId="7E5E29A8" w14:textId="5745ACD7" w:rsidR="00A95F3C" w:rsidRPr="00561C66" w:rsidRDefault="00A95F3C" w:rsidP="00D0613D">
      <w:pPr>
        <w:pStyle w:val="ARbodybeforetable"/>
      </w:pPr>
      <w:r w:rsidRPr="00561C66">
        <w:t>This output provides initiatives that support primary prevention of family violence and violence against</w:t>
      </w:r>
      <w:r>
        <w:t> </w:t>
      </w:r>
      <w:r w:rsidRPr="00561C66">
        <w:t>women.</w:t>
      </w:r>
    </w:p>
    <w:tbl>
      <w:tblPr>
        <w:tblW w:w="5000" w:type="pct"/>
        <w:tblLayout w:type="fixed"/>
        <w:tblCellMar>
          <w:left w:w="0" w:type="dxa"/>
        </w:tblCellMar>
        <w:tblLook w:val="06A0" w:firstRow="1" w:lastRow="0" w:firstColumn="1" w:lastColumn="0" w:noHBand="1" w:noVBand="1"/>
      </w:tblPr>
      <w:tblGrid>
        <w:gridCol w:w="4741"/>
        <w:gridCol w:w="1017"/>
        <w:gridCol w:w="1019"/>
        <w:gridCol w:w="1021"/>
        <w:gridCol w:w="1025"/>
        <w:gridCol w:w="801"/>
        <w:gridCol w:w="8"/>
      </w:tblGrid>
      <w:tr w:rsidR="00A95F3C" w:rsidRPr="00446050" w14:paraId="2C3E4595" w14:textId="77777777">
        <w:trPr>
          <w:cantSplit/>
          <w:tblHeader/>
        </w:trPr>
        <w:tc>
          <w:tcPr>
            <w:tcW w:w="4744" w:type="dxa"/>
            <w:tcBorders>
              <w:bottom w:val="single" w:sz="4" w:space="0" w:color="auto"/>
            </w:tcBorders>
            <w:vAlign w:val="bottom"/>
            <w:hideMark/>
          </w:tcPr>
          <w:p w14:paraId="7D71033F" w14:textId="77777777" w:rsidR="00A95F3C" w:rsidRPr="00446050" w:rsidRDefault="00A95F3C">
            <w:pPr>
              <w:pStyle w:val="ARtablecolhead"/>
            </w:pPr>
            <w:r w:rsidRPr="00446050">
              <w:t>Performance measures</w:t>
            </w:r>
          </w:p>
        </w:tc>
        <w:tc>
          <w:tcPr>
            <w:tcW w:w="1017" w:type="dxa"/>
            <w:tcBorders>
              <w:bottom w:val="single" w:sz="4" w:space="0" w:color="auto"/>
            </w:tcBorders>
            <w:vAlign w:val="bottom"/>
            <w:hideMark/>
          </w:tcPr>
          <w:p w14:paraId="73967368" w14:textId="77777777" w:rsidR="00A95F3C" w:rsidRPr="00446050" w:rsidRDefault="00A95F3C">
            <w:pPr>
              <w:pStyle w:val="ARtablecolhead"/>
            </w:pPr>
            <w:r w:rsidRPr="00446050">
              <w:t>Unit of measure</w:t>
            </w:r>
          </w:p>
        </w:tc>
        <w:tc>
          <w:tcPr>
            <w:tcW w:w="1020" w:type="dxa"/>
            <w:tcBorders>
              <w:bottom w:val="single" w:sz="4" w:space="0" w:color="auto"/>
            </w:tcBorders>
            <w:vAlign w:val="bottom"/>
            <w:hideMark/>
          </w:tcPr>
          <w:p w14:paraId="6DD64FCB" w14:textId="77777777" w:rsidR="00A95F3C" w:rsidRPr="00446050" w:rsidRDefault="00A95F3C">
            <w:pPr>
              <w:pStyle w:val="ARtablecolheadright"/>
            </w:pPr>
            <w:r w:rsidRPr="00446050">
              <w:t>2023</w:t>
            </w:r>
            <w:r>
              <w:t>–</w:t>
            </w:r>
            <w:r w:rsidRPr="00446050">
              <w:t>24 target</w:t>
            </w:r>
          </w:p>
        </w:tc>
        <w:tc>
          <w:tcPr>
            <w:tcW w:w="1022" w:type="dxa"/>
            <w:tcBorders>
              <w:bottom w:val="single" w:sz="4" w:space="0" w:color="auto"/>
            </w:tcBorders>
            <w:vAlign w:val="bottom"/>
            <w:hideMark/>
          </w:tcPr>
          <w:p w14:paraId="51C0180E" w14:textId="77777777" w:rsidR="00A95F3C" w:rsidRPr="00446050" w:rsidRDefault="00A95F3C">
            <w:pPr>
              <w:pStyle w:val="ARtablecolheadright"/>
            </w:pPr>
            <w:r w:rsidRPr="00446050">
              <w:t>2023–24 actual</w:t>
            </w:r>
          </w:p>
        </w:tc>
        <w:tc>
          <w:tcPr>
            <w:tcW w:w="1026" w:type="dxa"/>
            <w:tcBorders>
              <w:bottom w:val="single" w:sz="4" w:space="0" w:color="auto"/>
            </w:tcBorders>
            <w:vAlign w:val="bottom"/>
            <w:hideMark/>
          </w:tcPr>
          <w:p w14:paraId="5167ADEC" w14:textId="77777777" w:rsidR="00A95F3C" w:rsidRPr="00446050" w:rsidRDefault="00A95F3C">
            <w:pPr>
              <w:pStyle w:val="ARtablecolheadright"/>
            </w:pPr>
            <w:r w:rsidRPr="00446050">
              <w:t xml:space="preserve">Variation </w:t>
            </w:r>
          </w:p>
        </w:tc>
        <w:tc>
          <w:tcPr>
            <w:tcW w:w="810" w:type="dxa"/>
            <w:gridSpan w:val="2"/>
            <w:tcBorders>
              <w:bottom w:val="single" w:sz="4" w:space="0" w:color="auto"/>
            </w:tcBorders>
            <w:vAlign w:val="bottom"/>
            <w:hideMark/>
          </w:tcPr>
          <w:p w14:paraId="1188129A" w14:textId="77777777" w:rsidR="00A95F3C" w:rsidRPr="00446050" w:rsidRDefault="00A95F3C">
            <w:pPr>
              <w:pStyle w:val="ARtablecolheadright"/>
            </w:pPr>
            <w:r w:rsidRPr="00446050">
              <w:t>Result</w:t>
            </w:r>
          </w:p>
        </w:tc>
      </w:tr>
      <w:tr w:rsidR="00A95F3C" w:rsidRPr="00446050" w14:paraId="60FDDBF2" w14:textId="77777777">
        <w:trPr>
          <w:cantSplit/>
        </w:trPr>
        <w:tc>
          <w:tcPr>
            <w:tcW w:w="9639" w:type="dxa"/>
            <w:gridSpan w:val="7"/>
            <w:tcBorders>
              <w:top w:val="single" w:sz="4" w:space="0" w:color="auto"/>
            </w:tcBorders>
            <w:hideMark/>
          </w:tcPr>
          <w:p w14:paraId="6C004256" w14:textId="77777777" w:rsidR="00A95F3C" w:rsidRPr="00A274A7" w:rsidRDefault="00A95F3C">
            <w:pPr>
              <w:pStyle w:val="ARtablegreybold"/>
            </w:pPr>
            <w:r w:rsidRPr="00446050">
              <w:t>Quantity</w:t>
            </w:r>
          </w:p>
        </w:tc>
      </w:tr>
      <w:tr w:rsidR="00A95F3C" w:rsidRPr="00446050" w14:paraId="3EF4C39A" w14:textId="77777777">
        <w:trPr>
          <w:gridAfter w:val="1"/>
          <w:wAfter w:w="8" w:type="dxa"/>
          <w:cantSplit/>
        </w:trPr>
        <w:tc>
          <w:tcPr>
            <w:tcW w:w="4744" w:type="dxa"/>
            <w:shd w:val="clear" w:color="auto" w:fill="auto"/>
          </w:tcPr>
          <w:p w14:paraId="05EBB2C0" w14:textId="77777777" w:rsidR="00A95F3C" w:rsidRPr="00446050" w:rsidRDefault="00A95F3C">
            <w:pPr>
              <w:pStyle w:val="ARtabletext"/>
            </w:pPr>
            <w:r w:rsidRPr="00446050">
              <w:t>Number of people participating in funded primary prevention programs</w:t>
            </w:r>
          </w:p>
        </w:tc>
        <w:tc>
          <w:tcPr>
            <w:tcW w:w="1017" w:type="dxa"/>
            <w:shd w:val="clear" w:color="auto" w:fill="auto"/>
          </w:tcPr>
          <w:p w14:paraId="3E352F71" w14:textId="77777777" w:rsidR="00A95F3C" w:rsidRPr="00446050" w:rsidRDefault="00A95F3C">
            <w:pPr>
              <w:pStyle w:val="ARtabletext"/>
            </w:pPr>
            <w:r w:rsidRPr="00446050">
              <w:t>number</w:t>
            </w:r>
          </w:p>
        </w:tc>
        <w:tc>
          <w:tcPr>
            <w:tcW w:w="1020" w:type="dxa"/>
            <w:shd w:val="clear" w:color="auto" w:fill="auto"/>
          </w:tcPr>
          <w:p w14:paraId="1969C4AA" w14:textId="77777777" w:rsidR="00A95F3C" w:rsidRPr="006A3E38" w:rsidRDefault="00A95F3C">
            <w:pPr>
              <w:pStyle w:val="ARtabletextright"/>
            </w:pPr>
            <w:r w:rsidRPr="006A3E38">
              <w:t>10,000</w:t>
            </w:r>
          </w:p>
        </w:tc>
        <w:tc>
          <w:tcPr>
            <w:tcW w:w="1022" w:type="dxa"/>
            <w:shd w:val="clear" w:color="auto" w:fill="auto"/>
          </w:tcPr>
          <w:p w14:paraId="09AA7398" w14:textId="7A824AD0" w:rsidR="00A95F3C" w:rsidRPr="006A3E38" w:rsidRDefault="00AC6DBC">
            <w:pPr>
              <w:pStyle w:val="ARtabletextright"/>
            </w:pPr>
            <w:r w:rsidRPr="006A3E38">
              <w:t>70,266</w:t>
            </w:r>
          </w:p>
        </w:tc>
        <w:tc>
          <w:tcPr>
            <w:tcW w:w="1026" w:type="dxa"/>
            <w:shd w:val="clear" w:color="auto" w:fill="auto"/>
          </w:tcPr>
          <w:p w14:paraId="6B214CC8" w14:textId="3D619A09" w:rsidR="00A95F3C" w:rsidRPr="006A3E38" w:rsidRDefault="00E16F1F">
            <w:pPr>
              <w:pStyle w:val="ARtabletextright"/>
            </w:pPr>
            <w:r w:rsidRPr="006A3E38">
              <w:t>602.7</w:t>
            </w:r>
            <w:r w:rsidR="00A95F3C" w:rsidRPr="006A3E38">
              <w:t>%</w:t>
            </w:r>
          </w:p>
        </w:tc>
        <w:tc>
          <w:tcPr>
            <w:tcW w:w="802" w:type="dxa"/>
            <w:shd w:val="clear" w:color="auto" w:fill="auto"/>
          </w:tcPr>
          <w:p w14:paraId="778B8831" w14:textId="77777777" w:rsidR="00A95F3C" w:rsidRPr="00446050" w:rsidRDefault="00A95F3C">
            <w:pPr>
              <w:pStyle w:val="ARtableperformancesymbol"/>
              <w:rPr>
                <w:rFonts w:hint="eastAsia"/>
                <w:lang w:val="en-AU"/>
              </w:rPr>
            </w:pPr>
            <w:r w:rsidRPr="00446050">
              <w:rPr>
                <w:rFonts w:eastAsia="Wingdings" w:cs="Wingdings"/>
              </w:rPr>
              <w:t></w:t>
            </w:r>
          </w:p>
        </w:tc>
      </w:tr>
      <w:tr w:rsidR="00A95F3C" w:rsidRPr="00446050" w14:paraId="68B5C548" w14:textId="77777777">
        <w:trPr>
          <w:gridAfter w:val="1"/>
          <w:wAfter w:w="8" w:type="dxa"/>
          <w:cantSplit/>
        </w:trPr>
        <w:tc>
          <w:tcPr>
            <w:tcW w:w="9631" w:type="dxa"/>
            <w:gridSpan w:val="6"/>
            <w:tcBorders>
              <w:bottom w:val="single" w:sz="4" w:space="0" w:color="auto"/>
            </w:tcBorders>
            <w:shd w:val="clear" w:color="auto" w:fill="auto"/>
          </w:tcPr>
          <w:p w14:paraId="4F00B1E7" w14:textId="3BEDCC92" w:rsidR="00A95F3C" w:rsidRPr="006773BE" w:rsidRDefault="00A95F3C">
            <w:pPr>
              <w:pStyle w:val="ARtablenoteindent"/>
              <w:rPr>
                <w:highlight w:val="yellow"/>
              </w:rPr>
            </w:pPr>
            <w:r w:rsidRPr="006A3E38">
              <w:t xml:space="preserve">The 2023–24 </w:t>
            </w:r>
            <w:r w:rsidR="001C45BE" w:rsidRPr="006A3E38">
              <w:t xml:space="preserve">expected </w:t>
            </w:r>
            <w:r w:rsidRPr="006A3E38">
              <w:t>outcome is higher than target due to continuing high rates of online participation and program maturity.</w:t>
            </w:r>
          </w:p>
        </w:tc>
      </w:tr>
      <w:tr w:rsidR="00A95F3C" w:rsidRPr="00446050" w14:paraId="597A286D" w14:textId="77777777">
        <w:trPr>
          <w:gridAfter w:val="1"/>
          <w:wAfter w:w="8" w:type="dxa"/>
          <w:cantSplit/>
        </w:trPr>
        <w:tc>
          <w:tcPr>
            <w:tcW w:w="9631" w:type="dxa"/>
            <w:gridSpan w:val="6"/>
            <w:tcBorders>
              <w:top w:val="single" w:sz="4" w:space="0" w:color="auto"/>
            </w:tcBorders>
            <w:shd w:val="clear" w:color="auto" w:fill="auto"/>
          </w:tcPr>
          <w:p w14:paraId="205E373F" w14:textId="77777777" w:rsidR="00A95F3C" w:rsidRPr="00446050" w:rsidRDefault="00A95F3C">
            <w:pPr>
              <w:pStyle w:val="ARtablegreybold"/>
            </w:pPr>
            <w:r w:rsidRPr="00446050">
              <w:t>Quality</w:t>
            </w:r>
          </w:p>
        </w:tc>
      </w:tr>
      <w:tr w:rsidR="00A95F3C" w:rsidRPr="00446050" w14:paraId="6E8B2EBA" w14:textId="77777777">
        <w:trPr>
          <w:gridAfter w:val="1"/>
          <w:wAfter w:w="8" w:type="dxa"/>
          <w:cantSplit/>
        </w:trPr>
        <w:tc>
          <w:tcPr>
            <w:tcW w:w="4744" w:type="dxa"/>
            <w:shd w:val="clear" w:color="auto" w:fill="auto"/>
          </w:tcPr>
          <w:p w14:paraId="3E6DD4CF" w14:textId="7447D446" w:rsidR="00A95F3C" w:rsidRPr="00446050" w:rsidRDefault="00A95F3C">
            <w:pPr>
              <w:pStyle w:val="ARtabletext"/>
            </w:pPr>
            <w:r w:rsidRPr="00446050">
              <w:t>Prevention of family violence grant recipients who met or</w:t>
            </w:r>
            <w:r w:rsidR="004C23DF">
              <w:t> </w:t>
            </w:r>
            <w:r w:rsidRPr="00446050">
              <w:t>exceeded contractually agreed outcomes</w:t>
            </w:r>
          </w:p>
        </w:tc>
        <w:tc>
          <w:tcPr>
            <w:tcW w:w="1017" w:type="dxa"/>
            <w:shd w:val="clear" w:color="auto" w:fill="auto"/>
          </w:tcPr>
          <w:p w14:paraId="1689E2AB" w14:textId="77777777" w:rsidR="00A95F3C" w:rsidRPr="00446050" w:rsidRDefault="00A95F3C">
            <w:pPr>
              <w:pStyle w:val="ARtabletext"/>
            </w:pPr>
            <w:r w:rsidRPr="00446050">
              <w:t>per cent</w:t>
            </w:r>
          </w:p>
        </w:tc>
        <w:tc>
          <w:tcPr>
            <w:tcW w:w="1020" w:type="dxa"/>
            <w:shd w:val="clear" w:color="auto" w:fill="auto"/>
          </w:tcPr>
          <w:p w14:paraId="42C968F4" w14:textId="3A8C4D15" w:rsidR="00A95F3C" w:rsidRPr="00446050" w:rsidRDefault="00A95F3C">
            <w:pPr>
              <w:pStyle w:val="ARtabletextright"/>
            </w:pPr>
            <w:r w:rsidRPr="00446050">
              <w:t>95</w:t>
            </w:r>
            <w:r w:rsidR="00EF5B50">
              <w:t>.0</w:t>
            </w:r>
          </w:p>
        </w:tc>
        <w:tc>
          <w:tcPr>
            <w:tcW w:w="1022" w:type="dxa"/>
            <w:shd w:val="clear" w:color="auto" w:fill="auto"/>
          </w:tcPr>
          <w:p w14:paraId="43CC2046" w14:textId="77777777" w:rsidR="00A95F3C" w:rsidRPr="00446050" w:rsidRDefault="00A95F3C">
            <w:pPr>
              <w:pStyle w:val="ARtabletextright"/>
            </w:pPr>
            <w:r w:rsidRPr="00446050">
              <w:t>100</w:t>
            </w:r>
          </w:p>
        </w:tc>
        <w:tc>
          <w:tcPr>
            <w:tcW w:w="1026" w:type="dxa"/>
            <w:shd w:val="clear" w:color="auto" w:fill="auto"/>
          </w:tcPr>
          <w:p w14:paraId="08FEE9C9" w14:textId="77777777" w:rsidR="00A95F3C" w:rsidRPr="00446050" w:rsidRDefault="00A95F3C">
            <w:pPr>
              <w:pStyle w:val="ARtabletextright"/>
            </w:pPr>
            <w:r w:rsidRPr="00446050">
              <w:t>5.3%</w:t>
            </w:r>
          </w:p>
        </w:tc>
        <w:tc>
          <w:tcPr>
            <w:tcW w:w="802" w:type="dxa"/>
            <w:shd w:val="clear" w:color="auto" w:fill="auto"/>
          </w:tcPr>
          <w:p w14:paraId="365B7B05" w14:textId="77777777" w:rsidR="00A95F3C" w:rsidRPr="00446050" w:rsidRDefault="00A95F3C">
            <w:pPr>
              <w:pStyle w:val="ARtableperformancesymbol"/>
              <w:rPr>
                <w:rFonts w:hint="eastAsia"/>
                <w:lang w:val="en-AU"/>
              </w:rPr>
            </w:pPr>
            <w:r w:rsidRPr="00446050">
              <w:rPr>
                <w:rFonts w:eastAsia="Wingdings" w:cs="Wingdings"/>
              </w:rPr>
              <w:t></w:t>
            </w:r>
          </w:p>
        </w:tc>
      </w:tr>
      <w:tr w:rsidR="00A95F3C" w:rsidRPr="00446050" w14:paraId="6801829C" w14:textId="77777777">
        <w:trPr>
          <w:gridAfter w:val="1"/>
          <w:wAfter w:w="8" w:type="dxa"/>
          <w:cantSplit/>
        </w:trPr>
        <w:tc>
          <w:tcPr>
            <w:tcW w:w="9631" w:type="dxa"/>
            <w:gridSpan w:val="6"/>
            <w:tcBorders>
              <w:bottom w:val="single" w:sz="4" w:space="0" w:color="000000" w:themeColor="text1"/>
            </w:tcBorders>
            <w:shd w:val="clear" w:color="auto" w:fill="auto"/>
          </w:tcPr>
          <w:p w14:paraId="6C8C9373" w14:textId="77777777" w:rsidR="00A95F3C" w:rsidRPr="00446050" w:rsidRDefault="00A95F3C">
            <w:pPr>
              <w:pStyle w:val="ARtablenoteindent"/>
            </w:pPr>
            <w:r w:rsidRPr="00446050">
              <w:t>The 2023</w:t>
            </w:r>
            <w:r>
              <w:t>–</w:t>
            </w:r>
            <w:r w:rsidRPr="00446050">
              <w:t>24 outcome is higher than target due to all providers meeting contractually agreed milestones.</w:t>
            </w:r>
          </w:p>
        </w:tc>
      </w:tr>
      <w:tr w:rsidR="00A95F3C" w:rsidRPr="00446050" w14:paraId="1DE6020E" w14:textId="77777777">
        <w:trPr>
          <w:cantSplit/>
        </w:trPr>
        <w:tc>
          <w:tcPr>
            <w:tcW w:w="9639" w:type="dxa"/>
            <w:gridSpan w:val="7"/>
            <w:hideMark/>
          </w:tcPr>
          <w:p w14:paraId="1CFC80CD" w14:textId="77777777" w:rsidR="00A95F3C" w:rsidRPr="00446050" w:rsidRDefault="00A95F3C">
            <w:pPr>
              <w:pStyle w:val="ARtablegreybold"/>
              <w:keepNext/>
            </w:pPr>
            <w:r w:rsidRPr="00446050">
              <w:t>Timeliness</w:t>
            </w:r>
          </w:p>
        </w:tc>
      </w:tr>
      <w:tr w:rsidR="00A95F3C" w:rsidRPr="00446050" w14:paraId="287ED99A" w14:textId="77777777">
        <w:trPr>
          <w:gridAfter w:val="1"/>
          <w:wAfter w:w="8" w:type="dxa"/>
          <w:cantSplit/>
        </w:trPr>
        <w:tc>
          <w:tcPr>
            <w:tcW w:w="4744" w:type="dxa"/>
            <w:tcBorders>
              <w:bottom w:val="single" w:sz="4" w:space="0" w:color="auto"/>
            </w:tcBorders>
            <w:shd w:val="clear" w:color="auto" w:fill="auto"/>
          </w:tcPr>
          <w:p w14:paraId="1BE994CD" w14:textId="77777777" w:rsidR="00A95F3C" w:rsidRPr="00446050" w:rsidRDefault="00A95F3C">
            <w:pPr>
              <w:pStyle w:val="ARtabletext"/>
            </w:pPr>
            <w:r w:rsidRPr="00446050">
              <w:t>Prevention of family violence projects and programs delivered on time</w:t>
            </w:r>
          </w:p>
        </w:tc>
        <w:tc>
          <w:tcPr>
            <w:tcW w:w="1017" w:type="dxa"/>
            <w:tcBorders>
              <w:bottom w:val="single" w:sz="4" w:space="0" w:color="auto"/>
            </w:tcBorders>
            <w:shd w:val="clear" w:color="auto" w:fill="auto"/>
          </w:tcPr>
          <w:p w14:paraId="6AFE3B69" w14:textId="77777777" w:rsidR="00A95F3C" w:rsidRPr="00446050" w:rsidRDefault="00A95F3C">
            <w:pPr>
              <w:pStyle w:val="ARtabletext"/>
            </w:pPr>
            <w:r w:rsidRPr="00446050">
              <w:t>per cent</w:t>
            </w:r>
          </w:p>
        </w:tc>
        <w:tc>
          <w:tcPr>
            <w:tcW w:w="1020" w:type="dxa"/>
            <w:tcBorders>
              <w:bottom w:val="single" w:sz="4" w:space="0" w:color="auto"/>
            </w:tcBorders>
            <w:shd w:val="clear" w:color="auto" w:fill="auto"/>
          </w:tcPr>
          <w:p w14:paraId="363A1B2A" w14:textId="77777777" w:rsidR="00A95F3C" w:rsidRPr="00446050" w:rsidRDefault="00A95F3C">
            <w:pPr>
              <w:pStyle w:val="ARtabletextright"/>
            </w:pPr>
            <w:r w:rsidRPr="00446050">
              <w:t>100</w:t>
            </w:r>
          </w:p>
        </w:tc>
        <w:tc>
          <w:tcPr>
            <w:tcW w:w="1022" w:type="dxa"/>
            <w:tcBorders>
              <w:bottom w:val="single" w:sz="4" w:space="0" w:color="auto"/>
            </w:tcBorders>
            <w:shd w:val="clear" w:color="auto" w:fill="auto"/>
          </w:tcPr>
          <w:p w14:paraId="6E30E303" w14:textId="77777777" w:rsidR="00A95F3C" w:rsidRPr="00446050" w:rsidRDefault="00A95F3C">
            <w:pPr>
              <w:pStyle w:val="ARtabletextright"/>
            </w:pPr>
            <w:r w:rsidRPr="00446050">
              <w:t>100</w:t>
            </w:r>
          </w:p>
        </w:tc>
        <w:tc>
          <w:tcPr>
            <w:tcW w:w="1026" w:type="dxa"/>
            <w:tcBorders>
              <w:bottom w:val="single" w:sz="4" w:space="0" w:color="auto"/>
            </w:tcBorders>
            <w:shd w:val="clear" w:color="auto" w:fill="auto"/>
          </w:tcPr>
          <w:p w14:paraId="6481D23D" w14:textId="77777777" w:rsidR="00A95F3C" w:rsidRPr="00446050" w:rsidRDefault="00A95F3C">
            <w:pPr>
              <w:pStyle w:val="ARtabletextright"/>
            </w:pPr>
            <w:r w:rsidRPr="00446050">
              <w:t>0</w:t>
            </w:r>
          </w:p>
        </w:tc>
        <w:tc>
          <w:tcPr>
            <w:tcW w:w="802" w:type="dxa"/>
            <w:tcBorders>
              <w:bottom w:val="single" w:sz="4" w:space="0" w:color="auto"/>
            </w:tcBorders>
            <w:shd w:val="clear" w:color="auto" w:fill="auto"/>
          </w:tcPr>
          <w:p w14:paraId="636B5A94" w14:textId="77777777" w:rsidR="00A95F3C" w:rsidRPr="00446050" w:rsidRDefault="00A95F3C">
            <w:pPr>
              <w:pStyle w:val="ARtableperformancesymbol"/>
              <w:rPr>
                <w:rFonts w:hint="eastAsia"/>
                <w:lang w:val="en-AU"/>
              </w:rPr>
            </w:pPr>
            <w:r w:rsidRPr="00446050">
              <w:rPr>
                <w:rFonts w:eastAsia="Wingdings" w:cs="Wingdings"/>
              </w:rPr>
              <w:t></w:t>
            </w:r>
          </w:p>
        </w:tc>
      </w:tr>
      <w:tr w:rsidR="00A95F3C" w:rsidRPr="00446050" w14:paraId="217355E3" w14:textId="77777777">
        <w:trPr>
          <w:cantSplit/>
        </w:trPr>
        <w:tc>
          <w:tcPr>
            <w:tcW w:w="9639" w:type="dxa"/>
            <w:gridSpan w:val="7"/>
            <w:tcBorders>
              <w:top w:val="single" w:sz="4" w:space="0" w:color="auto"/>
            </w:tcBorders>
            <w:hideMark/>
          </w:tcPr>
          <w:p w14:paraId="256EA9C3" w14:textId="77777777" w:rsidR="00A95F3C" w:rsidRPr="00446050" w:rsidRDefault="00A95F3C">
            <w:pPr>
              <w:pStyle w:val="ARtablegreybold"/>
            </w:pPr>
            <w:r w:rsidRPr="00446050">
              <w:t>Cost</w:t>
            </w:r>
          </w:p>
        </w:tc>
      </w:tr>
      <w:tr w:rsidR="00A95F3C" w:rsidRPr="00446050" w14:paraId="32BA0C5C" w14:textId="77777777">
        <w:trPr>
          <w:cantSplit/>
        </w:trPr>
        <w:tc>
          <w:tcPr>
            <w:tcW w:w="4744" w:type="dxa"/>
            <w:hideMark/>
          </w:tcPr>
          <w:p w14:paraId="60B2BA35" w14:textId="77777777" w:rsidR="00A95F3C" w:rsidRPr="00446050" w:rsidRDefault="00A95F3C">
            <w:pPr>
              <w:pStyle w:val="ARtabletext"/>
              <w:keepNext/>
              <w:rPr>
                <w:b/>
              </w:rPr>
            </w:pPr>
            <w:r w:rsidRPr="00446050">
              <w:rPr>
                <w:b/>
              </w:rPr>
              <w:t>Total output cost</w:t>
            </w:r>
          </w:p>
        </w:tc>
        <w:tc>
          <w:tcPr>
            <w:tcW w:w="1017" w:type="dxa"/>
            <w:hideMark/>
          </w:tcPr>
          <w:p w14:paraId="439E6DCD" w14:textId="77777777" w:rsidR="00A95F3C" w:rsidRPr="00446050" w:rsidRDefault="00A95F3C">
            <w:pPr>
              <w:pStyle w:val="ARtabletext"/>
              <w:rPr>
                <w:b/>
              </w:rPr>
            </w:pPr>
            <w:r w:rsidRPr="00446050">
              <w:rPr>
                <w:b/>
              </w:rPr>
              <w:t>$ million</w:t>
            </w:r>
          </w:p>
        </w:tc>
        <w:tc>
          <w:tcPr>
            <w:tcW w:w="1020" w:type="dxa"/>
          </w:tcPr>
          <w:p w14:paraId="2FE7368D" w14:textId="5A8D9EBD" w:rsidR="00A95F3C" w:rsidRPr="00446050" w:rsidRDefault="00A95F3C">
            <w:pPr>
              <w:pStyle w:val="ARtabletextrightbold"/>
            </w:pPr>
            <w:r w:rsidRPr="00446050">
              <w:t>30</w:t>
            </w:r>
            <w:r w:rsidR="004C7802">
              <w:t>.1</w:t>
            </w:r>
          </w:p>
        </w:tc>
        <w:tc>
          <w:tcPr>
            <w:tcW w:w="1022" w:type="dxa"/>
          </w:tcPr>
          <w:p w14:paraId="54249A56" w14:textId="5ACAA869" w:rsidR="00A95F3C" w:rsidRPr="00446050" w:rsidRDefault="00A95F3C">
            <w:pPr>
              <w:pStyle w:val="ARtabletextrightbold"/>
            </w:pPr>
            <w:r w:rsidRPr="00446050">
              <w:t>27</w:t>
            </w:r>
            <w:r w:rsidR="00A47915">
              <w:t>.0</w:t>
            </w:r>
          </w:p>
        </w:tc>
        <w:tc>
          <w:tcPr>
            <w:tcW w:w="1026" w:type="dxa"/>
          </w:tcPr>
          <w:p w14:paraId="1B41AA4A" w14:textId="77777777" w:rsidR="00A95F3C" w:rsidRPr="00446050" w:rsidRDefault="00A95F3C">
            <w:pPr>
              <w:pStyle w:val="ARtabletextrightbold"/>
            </w:pPr>
            <w:r w:rsidRPr="00446050">
              <w:t>-10.3%</w:t>
            </w:r>
          </w:p>
        </w:tc>
        <w:tc>
          <w:tcPr>
            <w:tcW w:w="810" w:type="dxa"/>
            <w:gridSpan w:val="2"/>
          </w:tcPr>
          <w:p w14:paraId="412E9294" w14:textId="1E7C03B1" w:rsidR="00A95F3C" w:rsidRPr="00446050" w:rsidRDefault="005707E5">
            <w:pPr>
              <w:pStyle w:val="ARtableperformancesymbol"/>
              <w:rPr>
                <w:rFonts w:hint="eastAsia"/>
                <w:b/>
              </w:rPr>
            </w:pPr>
            <w:r w:rsidRPr="00446050">
              <w:rPr>
                <w:rFonts w:eastAsia="Wingdings" w:cs="Wingdings"/>
              </w:rPr>
              <w:t></w:t>
            </w:r>
          </w:p>
        </w:tc>
      </w:tr>
      <w:tr w:rsidR="00A95F3C" w:rsidRPr="00532DAE" w14:paraId="0B4FDA3B" w14:textId="77777777">
        <w:trPr>
          <w:gridAfter w:val="1"/>
          <w:wAfter w:w="8" w:type="dxa"/>
          <w:cantSplit/>
        </w:trPr>
        <w:tc>
          <w:tcPr>
            <w:tcW w:w="9631" w:type="dxa"/>
            <w:gridSpan w:val="6"/>
            <w:tcBorders>
              <w:bottom w:val="single" w:sz="4" w:space="0" w:color="auto"/>
            </w:tcBorders>
          </w:tcPr>
          <w:p w14:paraId="26790209" w14:textId="77777777" w:rsidR="00A95F3C" w:rsidRPr="00446050" w:rsidRDefault="00A95F3C">
            <w:pPr>
              <w:pStyle w:val="ARtablenoteindent"/>
              <w:rPr>
                <w:bCs/>
              </w:rPr>
            </w:pPr>
            <w:r w:rsidRPr="00446050">
              <w:rPr>
                <w:bCs/>
              </w:rPr>
              <w:t>The lower than expected actual primarily relates to employee related expenses following a recent organisational restructure. This restructure has not impacted prevention programs.</w:t>
            </w:r>
          </w:p>
        </w:tc>
      </w:tr>
    </w:tbl>
    <w:p w14:paraId="01A6239E" w14:textId="06797ADC" w:rsidR="000E38BD" w:rsidRPr="00561C66" w:rsidRDefault="000E38BD" w:rsidP="00D0613D">
      <w:pPr>
        <w:pStyle w:val="Heading3"/>
      </w:pPr>
      <w:r w:rsidRPr="00A274A7">
        <w:t>Disability</w:t>
      </w:r>
      <w:r w:rsidRPr="00561C66">
        <w:t xml:space="preserve"> </w:t>
      </w:r>
      <w:r w:rsidRPr="00D0613D">
        <w:t>services</w:t>
      </w:r>
    </w:p>
    <w:p w14:paraId="5DB11D91" w14:textId="0EC04A2A" w:rsidR="000E38BD" w:rsidRPr="00561C66" w:rsidRDefault="000E38BD" w:rsidP="00D0613D">
      <w:pPr>
        <w:pStyle w:val="ARbodybeforetable"/>
      </w:pPr>
      <w:r w:rsidRPr="00561C66">
        <w:t>Through the provision of continuing care and support services for people</w:t>
      </w:r>
      <w:r w:rsidR="00545F6E">
        <w:t xml:space="preserve"> </w:t>
      </w:r>
      <w:r w:rsidRPr="00561C66">
        <w:t>with disabilities, their carers and their families, this output aims to make a positive difference for Victorians experiencing disadvantage and provide excellent community services to meet clients</w:t>
      </w:r>
      <w:r w:rsidR="00711AE6">
        <w:t>’</w:t>
      </w:r>
      <w:r w:rsidRPr="00561C66">
        <w:t xml:space="preserve"> needs.</w:t>
      </w:r>
    </w:p>
    <w:tbl>
      <w:tblPr>
        <w:tblW w:w="5000" w:type="pct"/>
        <w:tblLayout w:type="fixed"/>
        <w:tblCellMar>
          <w:left w:w="0" w:type="dxa"/>
        </w:tblCellMar>
        <w:tblLook w:val="06A0" w:firstRow="1" w:lastRow="0" w:firstColumn="1" w:lastColumn="0" w:noHBand="1" w:noVBand="1"/>
      </w:tblPr>
      <w:tblGrid>
        <w:gridCol w:w="4677"/>
        <w:gridCol w:w="69"/>
        <w:gridCol w:w="1021"/>
        <w:gridCol w:w="70"/>
        <w:gridCol w:w="876"/>
        <w:gridCol w:w="78"/>
        <w:gridCol w:w="1026"/>
        <w:gridCol w:w="63"/>
        <w:gridCol w:w="968"/>
        <w:gridCol w:w="54"/>
        <w:gridCol w:w="730"/>
      </w:tblGrid>
      <w:tr w:rsidR="000E38BD" w:rsidRPr="00446050" w14:paraId="1ADC445D" w14:textId="77777777" w:rsidTr="00F571E2">
        <w:trPr>
          <w:cantSplit/>
          <w:tblHeader/>
        </w:trPr>
        <w:tc>
          <w:tcPr>
            <w:tcW w:w="4746" w:type="dxa"/>
            <w:gridSpan w:val="2"/>
            <w:tcBorders>
              <w:top w:val="nil"/>
              <w:left w:val="nil"/>
              <w:bottom w:val="single" w:sz="4" w:space="0" w:color="auto"/>
              <w:right w:val="nil"/>
            </w:tcBorders>
            <w:vAlign w:val="bottom"/>
            <w:hideMark/>
          </w:tcPr>
          <w:p w14:paraId="6EC83437" w14:textId="77777777" w:rsidR="000E38BD" w:rsidRPr="00446050" w:rsidRDefault="000E38BD">
            <w:pPr>
              <w:pStyle w:val="ARtablecolhead"/>
            </w:pPr>
            <w:r w:rsidRPr="00446050">
              <w:t>Performance measures</w:t>
            </w:r>
          </w:p>
        </w:tc>
        <w:tc>
          <w:tcPr>
            <w:tcW w:w="1021" w:type="dxa"/>
            <w:tcBorders>
              <w:top w:val="nil"/>
              <w:left w:val="nil"/>
              <w:bottom w:val="single" w:sz="4" w:space="0" w:color="auto"/>
              <w:right w:val="nil"/>
            </w:tcBorders>
            <w:vAlign w:val="bottom"/>
            <w:hideMark/>
          </w:tcPr>
          <w:p w14:paraId="118826E8" w14:textId="77777777" w:rsidR="000E38BD" w:rsidRPr="00446050" w:rsidRDefault="000E38BD">
            <w:pPr>
              <w:pStyle w:val="ARtablecolhead"/>
            </w:pPr>
            <w:r w:rsidRPr="00446050">
              <w:t>Unit of measure</w:t>
            </w:r>
          </w:p>
        </w:tc>
        <w:tc>
          <w:tcPr>
            <w:tcW w:w="1024" w:type="dxa"/>
            <w:gridSpan w:val="3"/>
            <w:tcBorders>
              <w:top w:val="nil"/>
              <w:left w:val="nil"/>
              <w:bottom w:val="single" w:sz="4" w:space="0" w:color="auto"/>
              <w:right w:val="nil"/>
            </w:tcBorders>
            <w:vAlign w:val="bottom"/>
            <w:hideMark/>
          </w:tcPr>
          <w:p w14:paraId="2F494EC0" w14:textId="77777777" w:rsidR="000E38BD" w:rsidRPr="00446050" w:rsidRDefault="000E38BD">
            <w:pPr>
              <w:pStyle w:val="ARtablecolheadright"/>
            </w:pPr>
            <w:r w:rsidRPr="00446050">
              <w:t>2023–24 target</w:t>
            </w:r>
          </w:p>
        </w:tc>
        <w:tc>
          <w:tcPr>
            <w:tcW w:w="1026" w:type="dxa"/>
            <w:tcBorders>
              <w:top w:val="nil"/>
              <w:left w:val="nil"/>
              <w:bottom w:val="single" w:sz="4" w:space="0" w:color="auto"/>
              <w:right w:val="nil"/>
            </w:tcBorders>
            <w:vAlign w:val="bottom"/>
            <w:hideMark/>
          </w:tcPr>
          <w:p w14:paraId="2A5EE5A2" w14:textId="5F6A3C47" w:rsidR="000E38BD" w:rsidRPr="00446050" w:rsidRDefault="000E38BD">
            <w:pPr>
              <w:pStyle w:val="ARtablecolheadright"/>
            </w:pPr>
            <w:r w:rsidRPr="00446050">
              <w:t>2023</w:t>
            </w:r>
            <w:r w:rsidR="00E837F9">
              <w:t>–</w:t>
            </w:r>
            <w:r w:rsidRPr="00446050">
              <w:t>24 actual</w:t>
            </w:r>
          </w:p>
        </w:tc>
        <w:tc>
          <w:tcPr>
            <w:tcW w:w="1031" w:type="dxa"/>
            <w:gridSpan w:val="2"/>
            <w:tcBorders>
              <w:top w:val="nil"/>
              <w:left w:val="nil"/>
              <w:bottom w:val="single" w:sz="4" w:space="0" w:color="auto"/>
              <w:right w:val="nil"/>
            </w:tcBorders>
            <w:vAlign w:val="bottom"/>
            <w:hideMark/>
          </w:tcPr>
          <w:p w14:paraId="159C2F14" w14:textId="77777777" w:rsidR="000E38BD" w:rsidRPr="00446050" w:rsidRDefault="000E38BD">
            <w:pPr>
              <w:pStyle w:val="ARtablecolheadright"/>
            </w:pPr>
            <w:r w:rsidRPr="00446050">
              <w:t>Variation</w:t>
            </w:r>
          </w:p>
        </w:tc>
        <w:tc>
          <w:tcPr>
            <w:tcW w:w="784" w:type="dxa"/>
            <w:gridSpan w:val="2"/>
            <w:tcBorders>
              <w:top w:val="nil"/>
              <w:left w:val="nil"/>
              <w:bottom w:val="single" w:sz="4" w:space="0" w:color="auto"/>
              <w:right w:val="nil"/>
            </w:tcBorders>
            <w:vAlign w:val="bottom"/>
            <w:hideMark/>
          </w:tcPr>
          <w:p w14:paraId="23C6C0B9" w14:textId="77777777" w:rsidR="000E38BD" w:rsidRPr="00446050" w:rsidRDefault="000E38BD" w:rsidP="008457D3">
            <w:pPr>
              <w:pStyle w:val="ARtablecolheadright"/>
            </w:pPr>
            <w:r w:rsidRPr="00446050">
              <w:t>Result</w:t>
            </w:r>
          </w:p>
        </w:tc>
      </w:tr>
      <w:tr w:rsidR="000E38BD" w:rsidRPr="00446050" w14:paraId="5A2C8AB9" w14:textId="77777777" w:rsidTr="00F571E2">
        <w:trPr>
          <w:cantSplit/>
        </w:trPr>
        <w:tc>
          <w:tcPr>
            <w:tcW w:w="9632" w:type="dxa"/>
            <w:gridSpan w:val="11"/>
            <w:tcBorders>
              <w:top w:val="single" w:sz="4" w:space="0" w:color="auto"/>
              <w:left w:val="nil"/>
              <w:bottom w:val="nil"/>
              <w:right w:val="nil"/>
            </w:tcBorders>
            <w:hideMark/>
          </w:tcPr>
          <w:p w14:paraId="0F375E62" w14:textId="77777777" w:rsidR="000E38BD" w:rsidRPr="00A274A7" w:rsidRDefault="000E38BD" w:rsidP="00A274A7">
            <w:pPr>
              <w:pStyle w:val="ARtablegreybold"/>
            </w:pPr>
            <w:r w:rsidRPr="00446050">
              <w:t>Quantity</w:t>
            </w:r>
          </w:p>
        </w:tc>
      </w:tr>
      <w:tr w:rsidR="000E38BD" w:rsidRPr="00446050" w14:paraId="35DE4BBA" w14:textId="77777777" w:rsidTr="00F571E2">
        <w:trPr>
          <w:cantSplit/>
        </w:trPr>
        <w:tc>
          <w:tcPr>
            <w:tcW w:w="4746" w:type="dxa"/>
            <w:gridSpan w:val="2"/>
            <w:shd w:val="clear" w:color="auto" w:fill="auto"/>
            <w:hideMark/>
          </w:tcPr>
          <w:p w14:paraId="79D2D317" w14:textId="77777777" w:rsidR="000E38BD" w:rsidRPr="00446050" w:rsidRDefault="000E38BD">
            <w:pPr>
              <w:pStyle w:val="ARtabletext"/>
            </w:pPr>
            <w:r w:rsidRPr="00446050">
              <w:t>Clients receiving forensic disability service</w:t>
            </w:r>
          </w:p>
        </w:tc>
        <w:tc>
          <w:tcPr>
            <w:tcW w:w="1021" w:type="dxa"/>
            <w:shd w:val="clear" w:color="auto" w:fill="auto"/>
            <w:hideMark/>
          </w:tcPr>
          <w:p w14:paraId="27F90B2C" w14:textId="77777777" w:rsidR="000E38BD" w:rsidRPr="00446050" w:rsidRDefault="000E38BD">
            <w:pPr>
              <w:pStyle w:val="ARtabletext"/>
            </w:pPr>
            <w:r w:rsidRPr="00446050">
              <w:t>number</w:t>
            </w:r>
          </w:p>
        </w:tc>
        <w:tc>
          <w:tcPr>
            <w:tcW w:w="1024" w:type="dxa"/>
            <w:gridSpan w:val="3"/>
            <w:shd w:val="clear" w:color="auto" w:fill="auto"/>
            <w:hideMark/>
          </w:tcPr>
          <w:p w14:paraId="182E6D88" w14:textId="77777777" w:rsidR="000E38BD" w:rsidRPr="00446050" w:rsidRDefault="000E38BD">
            <w:pPr>
              <w:pStyle w:val="ARtabletextright"/>
            </w:pPr>
            <w:r w:rsidRPr="00446050">
              <w:t>780</w:t>
            </w:r>
          </w:p>
        </w:tc>
        <w:tc>
          <w:tcPr>
            <w:tcW w:w="1026" w:type="dxa"/>
            <w:shd w:val="clear" w:color="auto" w:fill="auto"/>
            <w:hideMark/>
          </w:tcPr>
          <w:p w14:paraId="482CA604" w14:textId="3534A6AA" w:rsidR="000E38BD" w:rsidRPr="00446050" w:rsidRDefault="000E38BD">
            <w:pPr>
              <w:pStyle w:val="ARtabletextright"/>
            </w:pPr>
            <w:r w:rsidRPr="00446050">
              <w:t>8</w:t>
            </w:r>
            <w:r w:rsidR="00F571E2">
              <w:t>41</w:t>
            </w:r>
          </w:p>
        </w:tc>
        <w:tc>
          <w:tcPr>
            <w:tcW w:w="1031" w:type="dxa"/>
            <w:gridSpan w:val="2"/>
            <w:shd w:val="clear" w:color="auto" w:fill="auto"/>
          </w:tcPr>
          <w:p w14:paraId="73E9B65A" w14:textId="62E37E2F" w:rsidR="000E38BD" w:rsidRPr="00446050" w:rsidRDefault="00F571E2">
            <w:pPr>
              <w:pStyle w:val="ARtabletextright"/>
            </w:pPr>
            <w:r>
              <w:t>7.</w:t>
            </w:r>
            <w:r w:rsidR="000E38BD" w:rsidRPr="00446050">
              <w:t>8%</w:t>
            </w:r>
          </w:p>
        </w:tc>
        <w:tc>
          <w:tcPr>
            <w:tcW w:w="784" w:type="dxa"/>
            <w:gridSpan w:val="2"/>
            <w:shd w:val="clear" w:color="auto" w:fill="auto"/>
            <w:hideMark/>
          </w:tcPr>
          <w:p w14:paraId="68057ECC" w14:textId="77777777" w:rsidR="000E38BD" w:rsidRPr="00446050" w:rsidRDefault="000E38BD">
            <w:pPr>
              <w:pStyle w:val="ARtableperformancesymbol"/>
              <w:rPr>
                <w:rFonts w:hint="eastAsia"/>
                <w:lang w:val="en-AU"/>
              </w:rPr>
            </w:pPr>
            <w:r w:rsidRPr="00446050">
              <w:rPr>
                <w:rFonts w:eastAsia="Wingdings" w:cs="Wingdings"/>
              </w:rPr>
              <w:t></w:t>
            </w:r>
          </w:p>
        </w:tc>
      </w:tr>
      <w:tr w:rsidR="00F571E2" w:rsidRPr="00446050" w14:paraId="31C63B1F" w14:textId="77777777">
        <w:trPr>
          <w:cantSplit/>
        </w:trPr>
        <w:tc>
          <w:tcPr>
            <w:tcW w:w="9632" w:type="dxa"/>
            <w:gridSpan w:val="11"/>
            <w:shd w:val="clear" w:color="auto" w:fill="auto"/>
          </w:tcPr>
          <w:p w14:paraId="5504BCA7" w14:textId="07925126" w:rsidR="00F571E2" w:rsidRPr="00446050" w:rsidRDefault="00F833AC" w:rsidP="00F571E2">
            <w:pPr>
              <w:pStyle w:val="ARtablenoteindent"/>
              <w:rPr>
                <w:rFonts w:eastAsia="Wingdings" w:cs="Wingdings"/>
              </w:rPr>
            </w:pPr>
            <w:r w:rsidRPr="00B909BF">
              <w:rPr>
                <w:rFonts w:eastAsia="Wingdings" w:cs="Wingdings"/>
              </w:rPr>
              <w:t>The higher result can be attributed to more clients being serviced due to demand and the implementation of the Youth Forensic Disability Clinical Service pilot program.</w:t>
            </w:r>
          </w:p>
        </w:tc>
      </w:tr>
      <w:tr w:rsidR="000E38BD" w:rsidRPr="00446050" w14:paraId="5E15760E" w14:textId="77777777" w:rsidTr="00F571E2">
        <w:trPr>
          <w:cantSplit/>
        </w:trPr>
        <w:tc>
          <w:tcPr>
            <w:tcW w:w="9632" w:type="dxa"/>
            <w:gridSpan w:val="11"/>
            <w:tcBorders>
              <w:top w:val="single" w:sz="4" w:space="0" w:color="auto"/>
              <w:left w:val="nil"/>
              <w:right w:val="nil"/>
            </w:tcBorders>
            <w:hideMark/>
          </w:tcPr>
          <w:p w14:paraId="2C0BDC76" w14:textId="77777777" w:rsidR="000E38BD" w:rsidRPr="00A274A7" w:rsidRDefault="000E38BD" w:rsidP="00A274A7">
            <w:pPr>
              <w:pStyle w:val="ARtablegreybold"/>
            </w:pPr>
            <w:r w:rsidRPr="00446050">
              <w:t>Quality</w:t>
            </w:r>
          </w:p>
        </w:tc>
      </w:tr>
      <w:tr w:rsidR="000E38BD" w:rsidRPr="00446050" w14:paraId="55F47B1C" w14:textId="77777777" w:rsidTr="00D4716C">
        <w:trPr>
          <w:cantSplit/>
        </w:trPr>
        <w:tc>
          <w:tcPr>
            <w:tcW w:w="4746" w:type="dxa"/>
            <w:gridSpan w:val="2"/>
            <w:shd w:val="clear" w:color="auto" w:fill="auto"/>
          </w:tcPr>
          <w:p w14:paraId="785ED318" w14:textId="77777777" w:rsidR="000E38BD" w:rsidRPr="00446050" w:rsidRDefault="000E38BD">
            <w:pPr>
              <w:pStyle w:val="ARtabletext"/>
            </w:pPr>
            <w:r w:rsidRPr="00446050">
              <w:t>Forensic disability residents participating in community reintegration activities</w:t>
            </w:r>
          </w:p>
        </w:tc>
        <w:tc>
          <w:tcPr>
            <w:tcW w:w="1021" w:type="dxa"/>
            <w:shd w:val="clear" w:color="auto" w:fill="auto"/>
          </w:tcPr>
          <w:p w14:paraId="68D54204" w14:textId="77777777" w:rsidR="000E38BD" w:rsidRPr="00446050" w:rsidRDefault="000E38BD">
            <w:pPr>
              <w:pStyle w:val="ARtabletext"/>
            </w:pPr>
            <w:r w:rsidRPr="00446050">
              <w:t>per cent</w:t>
            </w:r>
          </w:p>
        </w:tc>
        <w:tc>
          <w:tcPr>
            <w:tcW w:w="1024" w:type="dxa"/>
            <w:gridSpan w:val="3"/>
            <w:shd w:val="clear" w:color="auto" w:fill="auto"/>
          </w:tcPr>
          <w:p w14:paraId="58528EDC" w14:textId="0C9F454A" w:rsidR="000E38BD" w:rsidRPr="00446050" w:rsidRDefault="000E38BD">
            <w:pPr>
              <w:pStyle w:val="ARtabletextright"/>
            </w:pPr>
            <w:r w:rsidRPr="00446050">
              <w:t>90</w:t>
            </w:r>
            <w:r w:rsidR="001E43CE">
              <w:t>.0</w:t>
            </w:r>
          </w:p>
        </w:tc>
        <w:tc>
          <w:tcPr>
            <w:tcW w:w="1026" w:type="dxa"/>
            <w:shd w:val="clear" w:color="auto" w:fill="auto"/>
          </w:tcPr>
          <w:p w14:paraId="723F6DFA" w14:textId="01D75160" w:rsidR="000E38BD" w:rsidRPr="00446050" w:rsidRDefault="000E38BD">
            <w:pPr>
              <w:pStyle w:val="ARtabletextright"/>
            </w:pPr>
            <w:r w:rsidRPr="00446050">
              <w:t>9</w:t>
            </w:r>
            <w:r w:rsidR="00F833AC">
              <w:t>7</w:t>
            </w:r>
            <w:r w:rsidR="001E43CE">
              <w:t>.0</w:t>
            </w:r>
          </w:p>
        </w:tc>
        <w:tc>
          <w:tcPr>
            <w:tcW w:w="1031" w:type="dxa"/>
            <w:gridSpan w:val="2"/>
            <w:shd w:val="clear" w:color="auto" w:fill="auto"/>
          </w:tcPr>
          <w:p w14:paraId="066B0AC8" w14:textId="5EE6CA10" w:rsidR="000E38BD" w:rsidRPr="00446050" w:rsidRDefault="00F833AC">
            <w:pPr>
              <w:pStyle w:val="ARtabletextright"/>
            </w:pPr>
            <w:r>
              <w:t>7.8</w:t>
            </w:r>
            <w:r w:rsidR="000E38BD" w:rsidRPr="00446050">
              <w:t>%</w:t>
            </w:r>
          </w:p>
        </w:tc>
        <w:tc>
          <w:tcPr>
            <w:tcW w:w="784" w:type="dxa"/>
            <w:gridSpan w:val="2"/>
            <w:shd w:val="clear" w:color="auto" w:fill="auto"/>
          </w:tcPr>
          <w:p w14:paraId="538950FA" w14:textId="77777777" w:rsidR="000E38BD" w:rsidRPr="00446050" w:rsidRDefault="000E38BD">
            <w:pPr>
              <w:pStyle w:val="ARtableperformancesymbol"/>
              <w:rPr>
                <w:rFonts w:eastAsia="Wingdings" w:cs="Wingdings"/>
                <w:lang w:val="en-AU"/>
              </w:rPr>
            </w:pPr>
            <w:r w:rsidRPr="00446050">
              <w:rPr>
                <w:rFonts w:eastAsia="Wingdings" w:cs="Wingdings"/>
              </w:rPr>
              <w:t></w:t>
            </w:r>
          </w:p>
        </w:tc>
      </w:tr>
      <w:tr w:rsidR="00497999" w:rsidRPr="00446050" w14:paraId="6242E40D" w14:textId="77777777" w:rsidTr="00D4716C">
        <w:trPr>
          <w:cantSplit/>
        </w:trPr>
        <w:tc>
          <w:tcPr>
            <w:tcW w:w="9632" w:type="dxa"/>
            <w:gridSpan w:val="11"/>
            <w:tcBorders>
              <w:bottom w:val="single" w:sz="4" w:space="0" w:color="A6A6A6" w:themeColor="accent5"/>
            </w:tcBorders>
            <w:shd w:val="clear" w:color="auto" w:fill="auto"/>
          </w:tcPr>
          <w:p w14:paraId="11937D84" w14:textId="51B5388F" w:rsidR="00497999" w:rsidRPr="00446050" w:rsidRDefault="00AC7B19" w:rsidP="00497999">
            <w:pPr>
              <w:pStyle w:val="ARtablenoteindent"/>
              <w:rPr>
                <w:rFonts w:eastAsia="Wingdings" w:cs="Wingdings"/>
              </w:rPr>
            </w:pPr>
            <w:r w:rsidRPr="009C0F63">
              <w:rPr>
                <w:rFonts w:eastAsia="Wingdings" w:cs="Wingdings"/>
              </w:rPr>
              <w:t>The higher result can be attributed to larger number of residents now having funding through NDIS to enable access to reintegration opportunities.</w:t>
            </w:r>
          </w:p>
        </w:tc>
      </w:tr>
      <w:tr w:rsidR="000E38BD" w:rsidRPr="00446050" w14:paraId="36EDB420" w14:textId="77777777" w:rsidTr="00D4716C">
        <w:trPr>
          <w:cantSplit/>
        </w:trPr>
        <w:tc>
          <w:tcPr>
            <w:tcW w:w="4746" w:type="dxa"/>
            <w:gridSpan w:val="2"/>
            <w:tcBorders>
              <w:top w:val="single" w:sz="4" w:space="0" w:color="A6A6A6" w:themeColor="accent5"/>
            </w:tcBorders>
            <w:shd w:val="clear" w:color="auto" w:fill="auto"/>
          </w:tcPr>
          <w:p w14:paraId="1F23B76B" w14:textId="77777777" w:rsidR="000E38BD" w:rsidRPr="00446050" w:rsidRDefault="000E38BD">
            <w:pPr>
              <w:pStyle w:val="ARtabletext"/>
            </w:pPr>
            <w:r w:rsidRPr="00446050">
              <w:t>Organisations that have successfully completed a certification review (accommodation supports)</w:t>
            </w:r>
          </w:p>
        </w:tc>
        <w:tc>
          <w:tcPr>
            <w:tcW w:w="1021" w:type="dxa"/>
            <w:tcBorders>
              <w:top w:val="single" w:sz="4" w:space="0" w:color="A6A6A6" w:themeColor="accent5"/>
            </w:tcBorders>
            <w:shd w:val="clear" w:color="auto" w:fill="auto"/>
          </w:tcPr>
          <w:p w14:paraId="384039F8" w14:textId="77777777" w:rsidR="000E38BD" w:rsidRPr="00446050" w:rsidRDefault="000E38BD">
            <w:pPr>
              <w:pStyle w:val="ARtabletext"/>
            </w:pPr>
            <w:r w:rsidRPr="00446050">
              <w:t>per cent</w:t>
            </w:r>
          </w:p>
        </w:tc>
        <w:tc>
          <w:tcPr>
            <w:tcW w:w="1024" w:type="dxa"/>
            <w:gridSpan w:val="3"/>
            <w:tcBorders>
              <w:top w:val="single" w:sz="4" w:space="0" w:color="A6A6A6" w:themeColor="accent5"/>
            </w:tcBorders>
            <w:shd w:val="clear" w:color="auto" w:fill="auto"/>
          </w:tcPr>
          <w:p w14:paraId="12FCBE7B" w14:textId="0EEE7E7F" w:rsidR="000E38BD" w:rsidRPr="00446050" w:rsidRDefault="000E38BD">
            <w:pPr>
              <w:pStyle w:val="ARtabletextright"/>
            </w:pPr>
            <w:r w:rsidRPr="00446050">
              <w:t>95</w:t>
            </w:r>
            <w:r w:rsidR="001E43CE">
              <w:t>.0</w:t>
            </w:r>
          </w:p>
        </w:tc>
        <w:tc>
          <w:tcPr>
            <w:tcW w:w="1026" w:type="dxa"/>
            <w:tcBorders>
              <w:top w:val="single" w:sz="4" w:space="0" w:color="A6A6A6" w:themeColor="accent5"/>
            </w:tcBorders>
            <w:shd w:val="clear" w:color="auto" w:fill="auto"/>
          </w:tcPr>
          <w:p w14:paraId="052430EE" w14:textId="77777777" w:rsidR="000E38BD" w:rsidRPr="00446050" w:rsidRDefault="000E38BD">
            <w:pPr>
              <w:pStyle w:val="ARtabletextright"/>
            </w:pPr>
            <w:r w:rsidRPr="00446050">
              <w:t>n/a</w:t>
            </w:r>
          </w:p>
        </w:tc>
        <w:tc>
          <w:tcPr>
            <w:tcW w:w="1031" w:type="dxa"/>
            <w:gridSpan w:val="2"/>
            <w:tcBorders>
              <w:top w:val="single" w:sz="4" w:space="0" w:color="A6A6A6" w:themeColor="accent5"/>
            </w:tcBorders>
            <w:shd w:val="clear" w:color="auto" w:fill="auto"/>
          </w:tcPr>
          <w:p w14:paraId="5875CF6F" w14:textId="77777777" w:rsidR="000E38BD" w:rsidRPr="00446050" w:rsidRDefault="000E38BD">
            <w:pPr>
              <w:pStyle w:val="ARtabletextright"/>
            </w:pPr>
            <w:r w:rsidRPr="00446050">
              <w:t>n/a</w:t>
            </w:r>
          </w:p>
        </w:tc>
        <w:tc>
          <w:tcPr>
            <w:tcW w:w="784" w:type="dxa"/>
            <w:gridSpan w:val="2"/>
            <w:tcBorders>
              <w:top w:val="single" w:sz="4" w:space="0" w:color="A6A6A6" w:themeColor="accent5"/>
            </w:tcBorders>
            <w:shd w:val="clear" w:color="auto" w:fill="auto"/>
          </w:tcPr>
          <w:p w14:paraId="3AA3BF46" w14:textId="77777777" w:rsidR="000E38BD" w:rsidRPr="00446050" w:rsidRDefault="000E38BD">
            <w:pPr>
              <w:pStyle w:val="ARtableperformancesymbol"/>
              <w:rPr>
                <w:rFonts w:eastAsia="Wingdings" w:cs="Wingdings"/>
                <w:lang w:val="en-AU"/>
              </w:rPr>
            </w:pPr>
            <w:r w:rsidRPr="00446050">
              <w:rPr>
                <w:rFonts w:eastAsia="Wingdings" w:cs="Wingdings"/>
              </w:rPr>
              <w:t></w:t>
            </w:r>
          </w:p>
        </w:tc>
      </w:tr>
      <w:tr w:rsidR="000E38BD" w:rsidRPr="00446050" w14:paraId="56C51652" w14:textId="77777777" w:rsidTr="00100ED7">
        <w:trPr>
          <w:cantSplit/>
        </w:trPr>
        <w:tc>
          <w:tcPr>
            <w:tcW w:w="9632" w:type="dxa"/>
            <w:gridSpan w:val="11"/>
            <w:tcBorders>
              <w:bottom w:val="single" w:sz="4" w:space="0" w:color="auto"/>
            </w:tcBorders>
            <w:shd w:val="clear" w:color="auto" w:fill="auto"/>
          </w:tcPr>
          <w:p w14:paraId="58240558" w14:textId="589AAAAA" w:rsidR="000E38BD" w:rsidRPr="00446050" w:rsidRDefault="000E38BD">
            <w:pPr>
              <w:pStyle w:val="ARtablenoteindent"/>
              <w:rPr>
                <w:rFonts w:eastAsia="Wingdings" w:cs="Wingdings"/>
              </w:rPr>
            </w:pPr>
            <w:r w:rsidRPr="00446050">
              <w:rPr>
                <w:rFonts w:eastAsia="Wingdings" w:cs="Wingdings"/>
              </w:rPr>
              <w:t>During 2023</w:t>
            </w:r>
            <w:r w:rsidR="006E2F2E">
              <w:rPr>
                <w:rFonts w:eastAsia="Wingdings" w:cs="Wingdings"/>
              </w:rPr>
              <w:t>–</w:t>
            </w:r>
            <w:r w:rsidRPr="00446050">
              <w:rPr>
                <w:rFonts w:eastAsia="Wingdings" w:cs="Wingdings"/>
              </w:rPr>
              <w:t xml:space="preserve">24, no disability service providers undertook certification reviews. </w:t>
            </w:r>
            <w:r w:rsidR="00E05115">
              <w:rPr>
                <w:rFonts w:eastAsia="Wingdings" w:cs="Wingdings"/>
              </w:rPr>
              <w:t>The m</w:t>
            </w:r>
            <w:r w:rsidRPr="00446050">
              <w:rPr>
                <w:rFonts w:eastAsia="Wingdings" w:cs="Wingdings"/>
              </w:rPr>
              <w:t xml:space="preserve">easure </w:t>
            </w:r>
            <w:r w:rsidR="00E05115">
              <w:rPr>
                <w:rFonts w:eastAsia="Wingdings" w:cs="Wingdings"/>
              </w:rPr>
              <w:t xml:space="preserve">is </w:t>
            </w:r>
            <w:r w:rsidRPr="00446050">
              <w:rPr>
                <w:rFonts w:eastAsia="Wingdings" w:cs="Wingdings"/>
              </w:rPr>
              <w:t>no longer appropriate due to transition of disability service providers to the NDIS and the cessation on 31 December 202</w:t>
            </w:r>
            <w:r w:rsidR="00E05115">
              <w:rPr>
                <w:rFonts w:eastAsia="Wingdings" w:cs="Wingdings"/>
              </w:rPr>
              <w:t>4</w:t>
            </w:r>
            <w:r w:rsidRPr="00446050">
              <w:rPr>
                <w:rFonts w:eastAsia="Wingdings" w:cs="Wingdings"/>
              </w:rPr>
              <w:t xml:space="preserve"> of the use of certification reviews against the Human Services Standards (in preparation for the transition to the Social Services Regulator).</w:t>
            </w:r>
          </w:p>
          <w:p w14:paraId="78EDD303" w14:textId="41601093" w:rsidR="000E38BD" w:rsidRPr="00446050" w:rsidRDefault="000E38BD">
            <w:pPr>
              <w:pStyle w:val="ARtablenoteindent"/>
              <w:rPr>
                <w:rFonts w:eastAsia="Wingdings" w:cs="Wingdings"/>
              </w:rPr>
            </w:pPr>
            <w:r w:rsidRPr="00446050">
              <w:rPr>
                <w:rFonts w:eastAsia="Wingdings" w:cs="Wingdings"/>
              </w:rPr>
              <w:t>Both certification measures are proposed to be discontinued in the 2024</w:t>
            </w:r>
            <w:r w:rsidR="00E837F9">
              <w:rPr>
                <w:rFonts w:eastAsia="Wingdings" w:cs="Wingdings"/>
              </w:rPr>
              <w:t>–</w:t>
            </w:r>
            <w:r w:rsidRPr="00446050">
              <w:rPr>
                <w:rFonts w:eastAsia="Wingdings" w:cs="Wingdings"/>
              </w:rPr>
              <w:t xml:space="preserve">25 Budget, and </w:t>
            </w:r>
            <w:r w:rsidR="00F95AC7">
              <w:rPr>
                <w:rFonts w:eastAsia="Wingdings" w:cs="Wingdings"/>
              </w:rPr>
              <w:t>2</w:t>
            </w:r>
            <w:r w:rsidRPr="00446050">
              <w:rPr>
                <w:rFonts w:eastAsia="Wingdings" w:cs="Wingdings"/>
              </w:rPr>
              <w:t xml:space="preserve"> new replacement measures have been introduced: </w:t>
            </w:r>
            <w:r w:rsidR="00711AE6">
              <w:rPr>
                <w:rFonts w:eastAsia="Wingdings" w:cs="Wingdings"/>
              </w:rPr>
              <w:t>‘</w:t>
            </w:r>
            <w:r w:rsidRPr="00446050">
              <w:rPr>
                <w:rFonts w:eastAsia="Wingdings" w:cs="Wingdings"/>
              </w:rPr>
              <w:t>Social Service Providers satisfaction with education and guidance provided by the Social Services Regulator</w:t>
            </w:r>
            <w:r w:rsidR="00711AE6">
              <w:rPr>
                <w:rFonts w:eastAsia="Wingdings" w:cs="Wingdings"/>
              </w:rPr>
              <w:t>’</w:t>
            </w:r>
            <w:r w:rsidRPr="00446050">
              <w:rPr>
                <w:rFonts w:eastAsia="Wingdings" w:cs="Wingdings"/>
              </w:rPr>
              <w:t xml:space="preserve"> and </w:t>
            </w:r>
            <w:r w:rsidR="00711AE6">
              <w:rPr>
                <w:rFonts w:eastAsia="Wingdings" w:cs="Wingdings"/>
              </w:rPr>
              <w:t>‘</w:t>
            </w:r>
            <w:r w:rsidRPr="00446050">
              <w:rPr>
                <w:rFonts w:eastAsia="Wingdings" w:cs="Wingdings"/>
              </w:rPr>
              <w:t>Registration applications processed within statutory timelines</w:t>
            </w:r>
            <w:r w:rsidR="00711AE6">
              <w:rPr>
                <w:rFonts w:eastAsia="Wingdings" w:cs="Wingdings"/>
              </w:rPr>
              <w:t>’</w:t>
            </w:r>
            <w:r w:rsidRPr="00446050">
              <w:rPr>
                <w:rFonts w:eastAsia="Wingdings" w:cs="Wingdings"/>
              </w:rPr>
              <w:t>.</w:t>
            </w:r>
          </w:p>
        </w:tc>
      </w:tr>
      <w:tr w:rsidR="000E38BD" w:rsidRPr="00446050" w14:paraId="5FA32E17" w14:textId="77777777" w:rsidTr="00100ED7">
        <w:trPr>
          <w:cantSplit/>
        </w:trPr>
        <w:tc>
          <w:tcPr>
            <w:tcW w:w="4746" w:type="dxa"/>
            <w:gridSpan w:val="2"/>
            <w:tcBorders>
              <w:top w:val="single" w:sz="4" w:space="0" w:color="auto"/>
            </w:tcBorders>
            <w:shd w:val="clear" w:color="auto" w:fill="auto"/>
            <w:hideMark/>
          </w:tcPr>
          <w:p w14:paraId="61F627EC" w14:textId="77777777" w:rsidR="000E38BD" w:rsidRPr="00446050" w:rsidRDefault="000E38BD" w:rsidP="00100ED7">
            <w:pPr>
              <w:pStyle w:val="ARtabletext"/>
              <w:keepNext/>
            </w:pPr>
            <w:r w:rsidRPr="00446050">
              <w:t>Organisations that have successfully completed a certification review (client services and capacity)</w:t>
            </w:r>
          </w:p>
        </w:tc>
        <w:tc>
          <w:tcPr>
            <w:tcW w:w="1021" w:type="dxa"/>
            <w:tcBorders>
              <w:top w:val="single" w:sz="4" w:space="0" w:color="auto"/>
            </w:tcBorders>
            <w:shd w:val="clear" w:color="auto" w:fill="auto"/>
            <w:hideMark/>
          </w:tcPr>
          <w:p w14:paraId="3B66644C" w14:textId="77777777" w:rsidR="000E38BD" w:rsidRPr="00446050" w:rsidRDefault="000E38BD">
            <w:pPr>
              <w:pStyle w:val="ARtabletext"/>
            </w:pPr>
            <w:r w:rsidRPr="00446050">
              <w:t>per cent</w:t>
            </w:r>
          </w:p>
        </w:tc>
        <w:tc>
          <w:tcPr>
            <w:tcW w:w="1024" w:type="dxa"/>
            <w:gridSpan w:val="3"/>
            <w:tcBorders>
              <w:top w:val="single" w:sz="4" w:space="0" w:color="auto"/>
            </w:tcBorders>
            <w:shd w:val="clear" w:color="auto" w:fill="auto"/>
            <w:hideMark/>
          </w:tcPr>
          <w:p w14:paraId="62229019" w14:textId="4AB2CB1A" w:rsidR="000E38BD" w:rsidRPr="00446050" w:rsidRDefault="000E38BD">
            <w:pPr>
              <w:pStyle w:val="ARtabletextright"/>
            </w:pPr>
            <w:r w:rsidRPr="00446050">
              <w:t>95</w:t>
            </w:r>
            <w:r w:rsidR="00E33045">
              <w:t>.0</w:t>
            </w:r>
          </w:p>
        </w:tc>
        <w:tc>
          <w:tcPr>
            <w:tcW w:w="1026" w:type="dxa"/>
            <w:tcBorders>
              <w:top w:val="single" w:sz="4" w:space="0" w:color="auto"/>
            </w:tcBorders>
            <w:shd w:val="clear" w:color="auto" w:fill="auto"/>
            <w:hideMark/>
          </w:tcPr>
          <w:p w14:paraId="62FEFCC6" w14:textId="77777777" w:rsidR="000E38BD" w:rsidRPr="00446050" w:rsidRDefault="000E38BD">
            <w:pPr>
              <w:pStyle w:val="ARtabletextright"/>
            </w:pPr>
            <w:r w:rsidRPr="00446050">
              <w:t>n/a</w:t>
            </w:r>
          </w:p>
        </w:tc>
        <w:tc>
          <w:tcPr>
            <w:tcW w:w="1031" w:type="dxa"/>
            <w:gridSpan w:val="2"/>
            <w:tcBorders>
              <w:top w:val="single" w:sz="4" w:space="0" w:color="auto"/>
            </w:tcBorders>
            <w:shd w:val="clear" w:color="auto" w:fill="auto"/>
          </w:tcPr>
          <w:p w14:paraId="6B343522" w14:textId="77777777" w:rsidR="000E38BD" w:rsidRPr="00446050" w:rsidRDefault="000E38BD">
            <w:pPr>
              <w:pStyle w:val="ARtabletextright"/>
            </w:pPr>
            <w:r w:rsidRPr="00446050">
              <w:t>n/a</w:t>
            </w:r>
          </w:p>
        </w:tc>
        <w:tc>
          <w:tcPr>
            <w:tcW w:w="784" w:type="dxa"/>
            <w:gridSpan w:val="2"/>
            <w:tcBorders>
              <w:top w:val="single" w:sz="4" w:space="0" w:color="auto"/>
            </w:tcBorders>
            <w:shd w:val="clear" w:color="auto" w:fill="auto"/>
            <w:hideMark/>
          </w:tcPr>
          <w:p w14:paraId="4CE74732"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75A710A0" w14:textId="77777777" w:rsidTr="00F571E2">
        <w:trPr>
          <w:cantSplit/>
        </w:trPr>
        <w:tc>
          <w:tcPr>
            <w:tcW w:w="9632" w:type="dxa"/>
            <w:gridSpan w:val="11"/>
            <w:tcBorders>
              <w:bottom w:val="single" w:sz="4" w:space="0" w:color="BFBFBF"/>
            </w:tcBorders>
            <w:shd w:val="clear" w:color="auto" w:fill="auto"/>
            <w:noWrap/>
            <w:hideMark/>
          </w:tcPr>
          <w:p w14:paraId="122C1BE6" w14:textId="2C29D845" w:rsidR="000E38BD" w:rsidRPr="00446050" w:rsidRDefault="000E38BD">
            <w:pPr>
              <w:pStyle w:val="ARtablenoteindent"/>
            </w:pPr>
            <w:r w:rsidRPr="00446050">
              <w:t>During 2023</w:t>
            </w:r>
            <w:r w:rsidR="00E837F9">
              <w:t>–</w:t>
            </w:r>
            <w:r w:rsidRPr="00446050">
              <w:t xml:space="preserve">24, no disability service providers undertook certification reviews. </w:t>
            </w:r>
            <w:r w:rsidR="00E05115">
              <w:t>The m</w:t>
            </w:r>
            <w:r w:rsidRPr="00446050">
              <w:t>easure</w:t>
            </w:r>
            <w:r w:rsidR="00E05115">
              <w:t xml:space="preserve"> is</w:t>
            </w:r>
            <w:r w:rsidRPr="00446050">
              <w:t xml:space="preserve"> no longer appropriate due to transit</w:t>
            </w:r>
            <w:r w:rsidR="00E61382">
              <w:t>i</w:t>
            </w:r>
            <w:r w:rsidRPr="00446050">
              <w:t>on of disability service providers to the NDIS and the cessation on 31 December 202</w:t>
            </w:r>
            <w:r w:rsidR="00E05115">
              <w:t>4</w:t>
            </w:r>
            <w:r w:rsidRPr="00446050">
              <w:t xml:space="preserve"> of the use of certification reviews against the Human Services Standards (in preparation for the transition to the Social Services Regulator).</w:t>
            </w:r>
          </w:p>
          <w:p w14:paraId="4136FD7A" w14:textId="52C643D7" w:rsidR="000E38BD" w:rsidRPr="00446050" w:rsidRDefault="000E38BD">
            <w:pPr>
              <w:pStyle w:val="ARtablenoteindent"/>
            </w:pPr>
            <w:r w:rsidRPr="00446050">
              <w:t>Both certification measures are proposed to be discontinued in the 2024</w:t>
            </w:r>
            <w:r w:rsidR="00E837F9">
              <w:t>–</w:t>
            </w:r>
            <w:r w:rsidRPr="00446050">
              <w:t xml:space="preserve">25 Budget, and </w:t>
            </w:r>
            <w:r w:rsidR="00F95AC7">
              <w:t>2</w:t>
            </w:r>
            <w:r w:rsidRPr="00446050">
              <w:t xml:space="preserve"> new replacement measures have been introduced: </w:t>
            </w:r>
            <w:r w:rsidR="00711AE6">
              <w:t>‘</w:t>
            </w:r>
            <w:r w:rsidRPr="00446050">
              <w:t>Social Service Providers satisfaction with education and guidance provided by the Social Services Regulator</w:t>
            </w:r>
            <w:r w:rsidR="00711AE6">
              <w:t>’</w:t>
            </w:r>
            <w:r w:rsidRPr="00446050">
              <w:t xml:space="preserve"> and </w:t>
            </w:r>
            <w:r w:rsidR="00711AE6">
              <w:t>‘</w:t>
            </w:r>
            <w:r w:rsidRPr="00446050">
              <w:t>Registration applications processed within statutory timelines</w:t>
            </w:r>
            <w:r w:rsidR="00711AE6">
              <w:t>’</w:t>
            </w:r>
            <w:r w:rsidRPr="00446050">
              <w:t>.</w:t>
            </w:r>
          </w:p>
        </w:tc>
      </w:tr>
      <w:tr w:rsidR="00100ED7" w:rsidRPr="00446050" w14:paraId="0055C72B" w14:textId="77777777" w:rsidTr="00D02912">
        <w:trPr>
          <w:cantSplit/>
        </w:trPr>
        <w:tc>
          <w:tcPr>
            <w:tcW w:w="9632" w:type="dxa"/>
            <w:gridSpan w:val="11"/>
            <w:tcBorders>
              <w:top w:val="single" w:sz="4" w:space="0" w:color="auto"/>
              <w:left w:val="nil"/>
              <w:bottom w:val="nil"/>
              <w:right w:val="nil"/>
            </w:tcBorders>
            <w:hideMark/>
          </w:tcPr>
          <w:p w14:paraId="2E7602CA" w14:textId="1BB509ED" w:rsidR="00100ED7" w:rsidRPr="00A274A7" w:rsidRDefault="00100ED7" w:rsidP="00D02912">
            <w:pPr>
              <w:pStyle w:val="ARtablegreybold"/>
            </w:pPr>
            <w:r>
              <w:t>Timeliness</w:t>
            </w:r>
          </w:p>
        </w:tc>
      </w:tr>
      <w:tr w:rsidR="000E38BD" w:rsidRPr="00446050" w14:paraId="4E94DB10" w14:textId="77777777" w:rsidTr="00F571E2">
        <w:trPr>
          <w:cantSplit/>
        </w:trPr>
        <w:tc>
          <w:tcPr>
            <w:tcW w:w="4677" w:type="dxa"/>
            <w:shd w:val="clear" w:color="auto" w:fill="auto"/>
            <w:noWrap/>
          </w:tcPr>
          <w:p w14:paraId="32B93A13" w14:textId="46B1DD39" w:rsidR="000E38BD" w:rsidRPr="00446050" w:rsidRDefault="000E38BD">
            <w:pPr>
              <w:pStyle w:val="ARtabletext"/>
            </w:pPr>
            <w:r w:rsidRPr="00446050">
              <w:t xml:space="preserve">Forensic disability Target Group Assessments completed within </w:t>
            </w:r>
            <w:r w:rsidR="00F95AC7">
              <w:t>6</w:t>
            </w:r>
            <w:r w:rsidRPr="00446050">
              <w:t xml:space="preserve"> weeks</w:t>
            </w:r>
          </w:p>
        </w:tc>
        <w:tc>
          <w:tcPr>
            <w:tcW w:w="1160" w:type="dxa"/>
            <w:gridSpan w:val="3"/>
          </w:tcPr>
          <w:p w14:paraId="06F5BE00" w14:textId="77777777" w:rsidR="000E38BD" w:rsidRPr="00446050" w:rsidRDefault="000E38BD" w:rsidP="00F50887">
            <w:pPr>
              <w:pStyle w:val="ARtabletextright"/>
            </w:pPr>
            <w:r w:rsidRPr="00446050">
              <w:t>per cent</w:t>
            </w:r>
          </w:p>
        </w:tc>
        <w:tc>
          <w:tcPr>
            <w:tcW w:w="876" w:type="dxa"/>
          </w:tcPr>
          <w:p w14:paraId="1C86CA56" w14:textId="01FE73DE" w:rsidR="000E38BD" w:rsidRPr="00446050" w:rsidRDefault="000E38BD" w:rsidP="00F50887">
            <w:pPr>
              <w:pStyle w:val="ARtabletextright"/>
            </w:pPr>
            <w:r w:rsidRPr="00446050">
              <w:t>85</w:t>
            </w:r>
            <w:r w:rsidR="00E33045">
              <w:t>.0</w:t>
            </w:r>
          </w:p>
        </w:tc>
        <w:tc>
          <w:tcPr>
            <w:tcW w:w="1167" w:type="dxa"/>
            <w:gridSpan w:val="3"/>
          </w:tcPr>
          <w:p w14:paraId="7A0D11E4" w14:textId="6007C901" w:rsidR="000E38BD" w:rsidRPr="00446050" w:rsidRDefault="000E38BD" w:rsidP="00F50887">
            <w:pPr>
              <w:pStyle w:val="ARtabletextright"/>
            </w:pPr>
            <w:r w:rsidRPr="00446050">
              <w:t>92</w:t>
            </w:r>
            <w:r w:rsidR="00E33045">
              <w:t>.0</w:t>
            </w:r>
          </w:p>
        </w:tc>
        <w:tc>
          <w:tcPr>
            <w:tcW w:w="1022" w:type="dxa"/>
            <w:gridSpan w:val="2"/>
          </w:tcPr>
          <w:p w14:paraId="6274510F" w14:textId="77777777" w:rsidR="000E38BD" w:rsidRPr="00446050" w:rsidRDefault="000E38BD" w:rsidP="00F50887">
            <w:pPr>
              <w:pStyle w:val="ARtabletextright"/>
            </w:pPr>
            <w:r w:rsidRPr="00446050">
              <w:t>8.2%</w:t>
            </w:r>
          </w:p>
        </w:tc>
        <w:tc>
          <w:tcPr>
            <w:tcW w:w="730" w:type="dxa"/>
          </w:tcPr>
          <w:p w14:paraId="2356A8C2" w14:textId="77777777" w:rsidR="000E38BD" w:rsidRPr="00446050" w:rsidRDefault="000E38BD" w:rsidP="00AA126F">
            <w:pPr>
              <w:pStyle w:val="ARtabletext"/>
              <w:jc w:val="right"/>
              <w:rPr>
                <w:rFonts w:ascii="Wingdings" w:hAnsi="Wingdings"/>
              </w:rPr>
            </w:pPr>
            <w:r w:rsidRPr="00446050">
              <w:rPr>
                <w:rFonts w:ascii="Wingdings" w:eastAsia="Wingdings" w:hAnsi="Wingdings" w:cs="Wingdings"/>
              </w:rPr>
              <w:t></w:t>
            </w:r>
          </w:p>
        </w:tc>
      </w:tr>
      <w:tr w:rsidR="000E38BD" w:rsidRPr="00446050" w14:paraId="33E5C852" w14:textId="77777777" w:rsidTr="00F571E2">
        <w:trPr>
          <w:cantSplit/>
        </w:trPr>
        <w:tc>
          <w:tcPr>
            <w:tcW w:w="9632" w:type="dxa"/>
            <w:gridSpan w:val="11"/>
            <w:tcBorders>
              <w:bottom w:val="single" w:sz="4" w:space="0" w:color="BFBFBF"/>
            </w:tcBorders>
            <w:shd w:val="clear" w:color="auto" w:fill="auto"/>
            <w:noWrap/>
          </w:tcPr>
          <w:p w14:paraId="3FA4E4AE" w14:textId="77777777" w:rsidR="000E38BD" w:rsidRPr="00446050" w:rsidRDefault="000E38BD">
            <w:pPr>
              <w:pStyle w:val="ARtablenoteindent"/>
            </w:pPr>
            <w:r w:rsidRPr="00446050">
              <w:t>The higher result can be attributed to improved processes including referral responses and assessments and the relationship management with key stakeholders reducing duplication and follow up.</w:t>
            </w:r>
          </w:p>
        </w:tc>
      </w:tr>
      <w:tr w:rsidR="000E38BD" w:rsidRPr="00446050" w14:paraId="4720D87A" w14:textId="77777777" w:rsidTr="00F571E2">
        <w:trPr>
          <w:cantSplit/>
        </w:trPr>
        <w:tc>
          <w:tcPr>
            <w:tcW w:w="9632" w:type="dxa"/>
            <w:gridSpan w:val="11"/>
            <w:tcBorders>
              <w:top w:val="single" w:sz="4" w:space="0" w:color="auto"/>
              <w:left w:val="nil"/>
              <w:right w:val="nil"/>
            </w:tcBorders>
            <w:hideMark/>
          </w:tcPr>
          <w:p w14:paraId="1142B4DA" w14:textId="77777777" w:rsidR="000E38BD" w:rsidRPr="00446050" w:rsidRDefault="000E38BD">
            <w:pPr>
              <w:pStyle w:val="ARtablegreybold"/>
            </w:pPr>
            <w:r w:rsidRPr="00446050">
              <w:t>Cost</w:t>
            </w:r>
          </w:p>
        </w:tc>
      </w:tr>
      <w:tr w:rsidR="000E38BD" w:rsidRPr="00532DAE" w14:paraId="0084CA24" w14:textId="77777777" w:rsidTr="00F571E2">
        <w:trPr>
          <w:cantSplit/>
        </w:trPr>
        <w:tc>
          <w:tcPr>
            <w:tcW w:w="4746" w:type="dxa"/>
            <w:gridSpan w:val="2"/>
            <w:tcBorders>
              <w:bottom w:val="single" w:sz="4" w:space="0" w:color="auto"/>
            </w:tcBorders>
            <w:hideMark/>
          </w:tcPr>
          <w:p w14:paraId="521D8C86" w14:textId="77777777" w:rsidR="000E38BD" w:rsidRPr="00446050" w:rsidRDefault="000E38BD" w:rsidP="00A274A7">
            <w:pPr>
              <w:pStyle w:val="ARtabletextbold"/>
            </w:pPr>
            <w:r w:rsidRPr="00446050">
              <w:t>Total output cost</w:t>
            </w:r>
          </w:p>
        </w:tc>
        <w:tc>
          <w:tcPr>
            <w:tcW w:w="1021" w:type="dxa"/>
            <w:tcBorders>
              <w:bottom w:val="single" w:sz="4" w:space="0" w:color="auto"/>
            </w:tcBorders>
            <w:hideMark/>
          </w:tcPr>
          <w:p w14:paraId="52A4C01A" w14:textId="77777777" w:rsidR="000E38BD" w:rsidRPr="00446050" w:rsidRDefault="000E38BD" w:rsidP="00A274A7">
            <w:pPr>
              <w:pStyle w:val="ARtabletextbold"/>
            </w:pPr>
            <w:r w:rsidRPr="00446050">
              <w:t>$ million</w:t>
            </w:r>
          </w:p>
        </w:tc>
        <w:tc>
          <w:tcPr>
            <w:tcW w:w="1024" w:type="dxa"/>
            <w:gridSpan w:val="3"/>
            <w:tcBorders>
              <w:bottom w:val="single" w:sz="4" w:space="0" w:color="auto"/>
            </w:tcBorders>
          </w:tcPr>
          <w:p w14:paraId="156A93F8" w14:textId="2C5331F4" w:rsidR="000E38BD" w:rsidRPr="00446050" w:rsidRDefault="000E38BD">
            <w:pPr>
              <w:pStyle w:val="ARtabletextrightbold"/>
            </w:pPr>
            <w:r w:rsidRPr="00446050">
              <w:t>444</w:t>
            </w:r>
            <w:r w:rsidR="00A47915">
              <w:t>.1</w:t>
            </w:r>
          </w:p>
        </w:tc>
        <w:tc>
          <w:tcPr>
            <w:tcW w:w="1026" w:type="dxa"/>
            <w:tcBorders>
              <w:bottom w:val="single" w:sz="4" w:space="0" w:color="auto"/>
            </w:tcBorders>
          </w:tcPr>
          <w:p w14:paraId="34BB4180" w14:textId="513EF449" w:rsidR="000E38BD" w:rsidRPr="00446050" w:rsidRDefault="000E38BD">
            <w:pPr>
              <w:pStyle w:val="ARtabletextrightbold"/>
            </w:pPr>
            <w:r w:rsidRPr="00446050">
              <w:t>439.</w:t>
            </w:r>
            <w:r w:rsidR="00007325">
              <w:t>2</w:t>
            </w:r>
          </w:p>
        </w:tc>
        <w:tc>
          <w:tcPr>
            <w:tcW w:w="1031" w:type="dxa"/>
            <w:gridSpan w:val="2"/>
            <w:tcBorders>
              <w:bottom w:val="single" w:sz="4" w:space="0" w:color="auto"/>
            </w:tcBorders>
          </w:tcPr>
          <w:p w14:paraId="0ECC8C04" w14:textId="77777777" w:rsidR="000E38BD" w:rsidRPr="00446050" w:rsidRDefault="000E38BD">
            <w:pPr>
              <w:pStyle w:val="ARtabletextrightbold"/>
            </w:pPr>
            <w:r w:rsidRPr="00446050">
              <w:t>-1.1%</w:t>
            </w:r>
          </w:p>
        </w:tc>
        <w:tc>
          <w:tcPr>
            <w:tcW w:w="784" w:type="dxa"/>
            <w:gridSpan w:val="2"/>
            <w:tcBorders>
              <w:bottom w:val="single" w:sz="4" w:space="0" w:color="auto"/>
            </w:tcBorders>
          </w:tcPr>
          <w:p w14:paraId="582437FD" w14:textId="77777777" w:rsidR="000E38BD" w:rsidRPr="00446050" w:rsidRDefault="000E38BD">
            <w:pPr>
              <w:pStyle w:val="ARtableperformancesymbol"/>
              <w:rPr>
                <w:rFonts w:hint="eastAsia"/>
                <w:b/>
              </w:rPr>
            </w:pPr>
            <w:r w:rsidRPr="00446050">
              <w:t>□</w:t>
            </w:r>
          </w:p>
        </w:tc>
      </w:tr>
    </w:tbl>
    <w:p w14:paraId="014B89C5" w14:textId="7A8C7677" w:rsidR="000E38BD" w:rsidRPr="00561C66" w:rsidRDefault="000E38BD" w:rsidP="00333387">
      <w:pPr>
        <w:pStyle w:val="Heading3"/>
      </w:pPr>
      <w:r w:rsidRPr="00561C66">
        <w:t>Community participation</w:t>
      </w:r>
    </w:p>
    <w:p w14:paraId="49F0F101" w14:textId="1B255E28" w:rsidR="000E38BD" w:rsidRPr="00561C66" w:rsidRDefault="000E38BD" w:rsidP="00D0613D">
      <w:pPr>
        <w:pStyle w:val="ARbodybeforetable"/>
      </w:pPr>
      <w:r w:rsidRPr="00561C66">
        <w:t>Community participation programs include the Neighbourhood House Coordination Program, Men</w:t>
      </w:r>
      <w:r w:rsidR="00711AE6">
        <w:t>’</w:t>
      </w:r>
      <w:r w:rsidRPr="00561C66">
        <w:t>s Sheds, Community Support and Community Finance initiatives. These programs support the social and economic participation of Victorian communities, particularly vulnerable populations.</w:t>
      </w:r>
    </w:p>
    <w:tbl>
      <w:tblPr>
        <w:tblW w:w="5000" w:type="pct"/>
        <w:tblLayout w:type="fixed"/>
        <w:tblCellMar>
          <w:left w:w="0" w:type="dxa"/>
        </w:tblCellMar>
        <w:tblLook w:val="06A0" w:firstRow="1" w:lastRow="0" w:firstColumn="1" w:lastColumn="0" w:noHBand="1" w:noVBand="1"/>
      </w:tblPr>
      <w:tblGrid>
        <w:gridCol w:w="4712"/>
        <w:gridCol w:w="1063"/>
        <w:gridCol w:w="1014"/>
        <w:gridCol w:w="1016"/>
        <w:gridCol w:w="1020"/>
        <w:gridCol w:w="792"/>
        <w:gridCol w:w="15"/>
      </w:tblGrid>
      <w:tr w:rsidR="000E38BD" w:rsidRPr="00446050" w14:paraId="2B77DD72" w14:textId="77777777" w:rsidTr="0040643F">
        <w:trPr>
          <w:cantSplit/>
          <w:tblHeader/>
        </w:trPr>
        <w:tc>
          <w:tcPr>
            <w:tcW w:w="4712" w:type="dxa"/>
            <w:tcBorders>
              <w:top w:val="nil"/>
              <w:left w:val="nil"/>
              <w:bottom w:val="single" w:sz="4" w:space="0" w:color="auto"/>
              <w:right w:val="nil"/>
            </w:tcBorders>
            <w:vAlign w:val="bottom"/>
            <w:hideMark/>
          </w:tcPr>
          <w:p w14:paraId="3B5A9FAC" w14:textId="77777777" w:rsidR="000E38BD" w:rsidRPr="00446050" w:rsidRDefault="000E38BD">
            <w:pPr>
              <w:pStyle w:val="ARtablecolhead"/>
            </w:pPr>
            <w:r w:rsidRPr="00446050">
              <w:t>Performance measures</w:t>
            </w:r>
          </w:p>
        </w:tc>
        <w:tc>
          <w:tcPr>
            <w:tcW w:w="1063" w:type="dxa"/>
            <w:tcBorders>
              <w:top w:val="nil"/>
              <w:left w:val="nil"/>
              <w:bottom w:val="single" w:sz="4" w:space="0" w:color="auto"/>
              <w:right w:val="nil"/>
            </w:tcBorders>
            <w:vAlign w:val="bottom"/>
            <w:hideMark/>
          </w:tcPr>
          <w:p w14:paraId="1EAC4EB8" w14:textId="77777777" w:rsidR="000E38BD" w:rsidRPr="00446050" w:rsidRDefault="000E38BD">
            <w:pPr>
              <w:pStyle w:val="ARtablecolhead"/>
            </w:pPr>
            <w:r w:rsidRPr="00446050">
              <w:t>Unit of measure</w:t>
            </w:r>
          </w:p>
        </w:tc>
        <w:tc>
          <w:tcPr>
            <w:tcW w:w="1014" w:type="dxa"/>
            <w:tcBorders>
              <w:top w:val="nil"/>
              <w:left w:val="nil"/>
              <w:bottom w:val="single" w:sz="4" w:space="0" w:color="auto"/>
              <w:right w:val="nil"/>
            </w:tcBorders>
            <w:vAlign w:val="bottom"/>
            <w:hideMark/>
          </w:tcPr>
          <w:p w14:paraId="5354BC63" w14:textId="77777777" w:rsidR="000E38BD" w:rsidRPr="00446050" w:rsidRDefault="000E38BD">
            <w:pPr>
              <w:pStyle w:val="ARtablecolheadright"/>
            </w:pPr>
            <w:r w:rsidRPr="00446050">
              <w:t>2023–24 target</w:t>
            </w:r>
          </w:p>
        </w:tc>
        <w:tc>
          <w:tcPr>
            <w:tcW w:w="1016" w:type="dxa"/>
            <w:tcBorders>
              <w:top w:val="nil"/>
              <w:left w:val="nil"/>
              <w:bottom w:val="single" w:sz="4" w:space="0" w:color="auto"/>
              <w:right w:val="nil"/>
            </w:tcBorders>
            <w:vAlign w:val="bottom"/>
            <w:hideMark/>
          </w:tcPr>
          <w:p w14:paraId="74CC101B" w14:textId="77777777" w:rsidR="000E38BD" w:rsidRPr="00446050" w:rsidRDefault="000E38BD">
            <w:pPr>
              <w:pStyle w:val="ARtablecolheadright"/>
            </w:pPr>
            <w:r w:rsidRPr="00446050">
              <w:t>2023–24 actual</w:t>
            </w:r>
          </w:p>
        </w:tc>
        <w:tc>
          <w:tcPr>
            <w:tcW w:w="1020" w:type="dxa"/>
            <w:tcBorders>
              <w:top w:val="nil"/>
              <w:left w:val="nil"/>
              <w:bottom w:val="single" w:sz="4" w:space="0" w:color="auto"/>
              <w:right w:val="nil"/>
            </w:tcBorders>
            <w:vAlign w:val="bottom"/>
            <w:hideMark/>
          </w:tcPr>
          <w:p w14:paraId="5392DC76" w14:textId="77777777" w:rsidR="000E38BD" w:rsidRPr="00446050" w:rsidRDefault="000E38BD">
            <w:pPr>
              <w:pStyle w:val="ARtablecolheadright"/>
            </w:pPr>
            <w:r w:rsidRPr="00446050">
              <w:t xml:space="preserve">Variation </w:t>
            </w:r>
          </w:p>
        </w:tc>
        <w:tc>
          <w:tcPr>
            <w:tcW w:w="807" w:type="dxa"/>
            <w:gridSpan w:val="2"/>
            <w:tcBorders>
              <w:top w:val="nil"/>
              <w:left w:val="nil"/>
              <w:bottom w:val="single" w:sz="4" w:space="0" w:color="auto"/>
              <w:right w:val="nil"/>
            </w:tcBorders>
            <w:vAlign w:val="bottom"/>
            <w:hideMark/>
          </w:tcPr>
          <w:p w14:paraId="44207010" w14:textId="77777777" w:rsidR="000E38BD" w:rsidRPr="00446050" w:rsidRDefault="000E38BD" w:rsidP="00B23080">
            <w:pPr>
              <w:pStyle w:val="ARtablecolheadright"/>
            </w:pPr>
            <w:r w:rsidRPr="00446050">
              <w:t>Result</w:t>
            </w:r>
          </w:p>
        </w:tc>
      </w:tr>
      <w:tr w:rsidR="000E38BD" w:rsidRPr="00446050" w14:paraId="66B07E90" w14:textId="77777777" w:rsidTr="0040643F">
        <w:trPr>
          <w:gridAfter w:val="1"/>
          <w:wAfter w:w="15" w:type="dxa"/>
          <w:cantSplit/>
        </w:trPr>
        <w:tc>
          <w:tcPr>
            <w:tcW w:w="9617" w:type="dxa"/>
            <w:gridSpan w:val="6"/>
            <w:tcBorders>
              <w:top w:val="single" w:sz="4" w:space="0" w:color="auto"/>
              <w:left w:val="nil"/>
              <w:bottom w:val="nil"/>
              <w:right w:val="nil"/>
            </w:tcBorders>
            <w:hideMark/>
          </w:tcPr>
          <w:p w14:paraId="30772AC4" w14:textId="77777777" w:rsidR="000E38BD" w:rsidRPr="00446050" w:rsidRDefault="000E38BD" w:rsidP="00A274A7">
            <w:pPr>
              <w:pStyle w:val="ARtablegreybold"/>
            </w:pPr>
            <w:r w:rsidRPr="00A274A7">
              <w:t>Quantity</w:t>
            </w:r>
          </w:p>
        </w:tc>
      </w:tr>
      <w:tr w:rsidR="000E38BD" w:rsidRPr="00446050" w14:paraId="4CC369B2" w14:textId="77777777" w:rsidTr="0040643F">
        <w:trPr>
          <w:gridAfter w:val="1"/>
          <w:wAfter w:w="15" w:type="dxa"/>
          <w:cantSplit/>
        </w:trPr>
        <w:tc>
          <w:tcPr>
            <w:tcW w:w="4712" w:type="dxa"/>
            <w:tcBorders>
              <w:bottom w:val="single" w:sz="4" w:space="0" w:color="auto"/>
            </w:tcBorders>
            <w:shd w:val="clear" w:color="auto" w:fill="auto"/>
            <w:hideMark/>
          </w:tcPr>
          <w:p w14:paraId="1BF44098" w14:textId="77777777" w:rsidR="000E38BD" w:rsidRPr="00446050" w:rsidRDefault="000E38BD">
            <w:pPr>
              <w:pStyle w:val="ARtabletext"/>
            </w:pPr>
            <w:r w:rsidRPr="00446050">
              <w:t>Hours of coordination funding provided to Neighbourhood Houses</w:t>
            </w:r>
          </w:p>
        </w:tc>
        <w:tc>
          <w:tcPr>
            <w:tcW w:w="1063" w:type="dxa"/>
            <w:tcBorders>
              <w:bottom w:val="single" w:sz="4" w:space="0" w:color="auto"/>
            </w:tcBorders>
            <w:shd w:val="clear" w:color="auto" w:fill="auto"/>
            <w:hideMark/>
          </w:tcPr>
          <w:p w14:paraId="045EB860" w14:textId="77777777" w:rsidR="000E38BD" w:rsidRPr="00446050" w:rsidRDefault="000E38BD">
            <w:pPr>
              <w:pStyle w:val="ARtabletext"/>
            </w:pPr>
            <w:r w:rsidRPr="00446050">
              <w:t>Number</w:t>
            </w:r>
          </w:p>
        </w:tc>
        <w:tc>
          <w:tcPr>
            <w:tcW w:w="1014" w:type="dxa"/>
            <w:tcBorders>
              <w:bottom w:val="single" w:sz="4" w:space="0" w:color="auto"/>
            </w:tcBorders>
            <w:shd w:val="clear" w:color="auto" w:fill="auto"/>
            <w:hideMark/>
          </w:tcPr>
          <w:p w14:paraId="40D3F458" w14:textId="77777777" w:rsidR="000E38BD" w:rsidRPr="00446050" w:rsidRDefault="000E38BD">
            <w:pPr>
              <w:pStyle w:val="ARtabletextright"/>
            </w:pPr>
            <w:r w:rsidRPr="00446050">
              <w:t>561,896</w:t>
            </w:r>
          </w:p>
        </w:tc>
        <w:tc>
          <w:tcPr>
            <w:tcW w:w="1016" w:type="dxa"/>
            <w:tcBorders>
              <w:bottom w:val="single" w:sz="4" w:space="0" w:color="auto"/>
            </w:tcBorders>
            <w:shd w:val="clear" w:color="auto" w:fill="auto"/>
            <w:hideMark/>
          </w:tcPr>
          <w:p w14:paraId="1E51BA06" w14:textId="77777777" w:rsidR="000E38BD" w:rsidRPr="00446050" w:rsidRDefault="000E38BD">
            <w:pPr>
              <w:pStyle w:val="ARtabletextright"/>
            </w:pPr>
            <w:r w:rsidRPr="00446050">
              <w:t>561,106</w:t>
            </w:r>
          </w:p>
        </w:tc>
        <w:tc>
          <w:tcPr>
            <w:tcW w:w="1020" w:type="dxa"/>
            <w:tcBorders>
              <w:bottom w:val="single" w:sz="4" w:space="0" w:color="auto"/>
            </w:tcBorders>
            <w:shd w:val="clear" w:color="auto" w:fill="auto"/>
          </w:tcPr>
          <w:p w14:paraId="405A3ACB" w14:textId="77777777" w:rsidR="000E38BD" w:rsidRPr="00446050" w:rsidRDefault="000E38BD">
            <w:pPr>
              <w:pStyle w:val="ARtabletextright"/>
            </w:pPr>
            <w:r w:rsidRPr="00446050">
              <w:t>-0.1%</w:t>
            </w:r>
          </w:p>
        </w:tc>
        <w:tc>
          <w:tcPr>
            <w:tcW w:w="792" w:type="dxa"/>
            <w:tcBorders>
              <w:bottom w:val="single" w:sz="4" w:space="0" w:color="auto"/>
            </w:tcBorders>
            <w:shd w:val="clear" w:color="auto" w:fill="auto"/>
            <w:hideMark/>
          </w:tcPr>
          <w:p w14:paraId="608E4394" w14:textId="16A66576" w:rsidR="000E38BD" w:rsidRPr="00446050" w:rsidRDefault="00344732">
            <w:pPr>
              <w:pStyle w:val="ARtableperformancesymbol"/>
              <w:rPr>
                <w:rFonts w:hint="eastAsia"/>
                <w:lang w:val="en-AU"/>
              </w:rPr>
            </w:pPr>
            <w:r w:rsidRPr="00446050">
              <w:t>□</w:t>
            </w:r>
          </w:p>
        </w:tc>
      </w:tr>
      <w:tr w:rsidR="000E38BD" w:rsidRPr="00446050" w14:paraId="356C7B64" w14:textId="77777777" w:rsidTr="0040643F">
        <w:trPr>
          <w:gridAfter w:val="1"/>
          <w:wAfter w:w="15" w:type="dxa"/>
          <w:cantSplit/>
        </w:trPr>
        <w:tc>
          <w:tcPr>
            <w:tcW w:w="9617" w:type="dxa"/>
            <w:gridSpan w:val="6"/>
            <w:tcBorders>
              <w:top w:val="single" w:sz="4" w:space="0" w:color="auto"/>
              <w:left w:val="nil"/>
              <w:bottom w:val="nil"/>
              <w:right w:val="nil"/>
            </w:tcBorders>
            <w:hideMark/>
          </w:tcPr>
          <w:p w14:paraId="7FBA9ED6" w14:textId="77777777" w:rsidR="000E38BD" w:rsidRPr="00A274A7" w:rsidRDefault="000E38BD" w:rsidP="00A274A7">
            <w:pPr>
              <w:pStyle w:val="ARtablegreybold"/>
            </w:pPr>
            <w:r w:rsidRPr="00446050">
              <w:t>Timeliness</w:t>
            </w:r>
          </w:p>
        </w:tc>
      </w:tr>
      <w:tr w:rsidR="000E38BD" w:rsidRPr="00446050" w14:paraId="67BF84DF" w14:textId="77777777" w:rsidTr="0040643F">
        <w:trPr>
          <w:gridAfter w:val="1"/>
          <w:wAfter w:w="15" w:type="dxa"/>
          <w:cantSplit/>
        </w:trPr>
        <w:tc>
          <w:tcPr>
            <w:tcW w:w="4712" w:type="dxa"/>
            <w:shd w:val="clear" w:color="auto" w:fill="auto"/>
            <w:hideMark/>
          </w:tcPr>
          <w:p w14:paraId="1DC68AB7" w14:textId="77777777" w:rsidR="000E38BD" w:rsidRPr="00446050" w:rsidRDefault="000E38BD">
            <w:pPr>
              <w:pStyle w:val="ARtabletext"/>
            </w:pPr>
            <w:r w:rsidRPr="00446050">
              <w:t>Grants acquitted within the timeframe specified in the terms and conditions of the funding agreement</w:t>
            </w:r>
          </w:p>
        </w:tc>
        <w:tc>
          <w:tcPr>
            <w:tcW w:w="1063" w:type="dxa"/>
            <w:shd w:val="clear" w:color="auto" w:fill="auto"/>
            <w:hideMark/>
          </w:tcPr>
          <w:p w14:paraId="64C44AB9" w14:textId="77777777" w:rsidR="000E38BD" w:rsidRPr="00446050" w:rsidRDefault="000E38BD">
            <w:pPr>
              <w:pStyle w:val="ARtabletext"/>
            </w:pPr>
            <w:r w:rsidRPr="00446050">
              <w:t>per cent</w:t>
            </w:r>
          </w:p>
        </w:tc>
        <w:tc>
          <w:tcPr>
            <w:tcW w:w="1014" w:type="dxa"/>
            <w:shd w:val="clear" w:color="auto" w:fill="auto"/>
            <w:hideMark/>
          </w:tcPr>
          <w:p w14:paraId="5973768B" w14:textId="140C0273" w:rsidR="000E38BD" w:rsidRPr="00231C2A" w:rsidRDefault="000E38BD">
            <w:pPr>
              <w:pStyle w:val="ARtabletextright"/>
            </w:pPr>
            <w:r w:rsidRPr="00231C2A">
              <w:t>92</w:t>
            </w:r>
            <w:r w:rsidR="000A039E">
              <w:t>.0</w:t>
            </w:r>
          </w:p>
        </w:tc>
        <w:tc>
          <w:tcPr>
            <w:tcW w:w="1016" w:type="dxa"/>
            <w:shd w:val="clear" w:color="auto" w:fill="auto"/>
            <w:hideMark/>
          </w:tcPr>
          <w:p w14:paraId="3D979C72" w14:textId="2947B51C" w:rsidR="000E38BD" w:rsidRPr="00231C2A" w:rsidRDefault="000E38BD">
            <w:pPr>
              <w:pStyle w:val="ARtabletextright"/>
            </w:pPr>
            <w:r w:rsidRPr="00231C2A">
              <w:t>92</w:t>
            </w:r>
            <w:r w:rsidR="000A039E">
              <w:t>.0</w:t>
            </w:r>
          </w:p>
        </w:tc>
        <w:tc>
          <w:tcPr>
            <w:tcW w:w="1020" w:type="dxa"/>
            <w:shd w:val="clear" w:color="auto" w:fill="auto"/>
          </w:tcPr>
          <w:p w14:paraId="7C59951B" w14:textId="77777777" w:rsidR="000E38BD" w:rsidRPr="00231C2A" w:rsidRDefault="000E38BD">
            <w:pPr>
              <w:pStyle w:val="ARtabletextright"/>
            </w:pPr>
            <w:r w:rsidRPr="00231C2A">
              <w:t>0.0%</w:t>
            </w:r>
          </w:p>
        </w:tc>
        <w:tc>
          <w:tcPr>
            <w:tcW w:w="792" w:type="dxa"/>
            <w:shd w:val="clear" w:color="auto" w:fill="auto"/>
            <w:hideMark/>
          </w:tcPr>
          <w:p w14:paraId="13BA28E5"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340E3982" w14:textId="77777777" w:rsidTr="0040643F">
        <w:trPr>
          <w:gridAfter w:val="1"/>
          <w:wAfter w:w="15" w:type="dxa"/>
          <w:cantSplit/>
        </w:trPr>
        <w:tc>
          <w:tcPr>
            <w:tcW w:w="9617" w:type="dxa"/>
            <w:gridSpan w:val="6"/>
            <w:tcBorders>
              <w:top w:val="single" w:sz="4" w:space="0" w:color="auto"/>
              <w:left w:val="nil"/>
              <w:bottom w:val="nil"/>
              <w:right w:val="nil"/>
            </w:tcBorders>
            <w:hideMark/>
          </w:tcPr>
          <w:p w14:paraId="39595B3E" w14:textId="77777777" w:rsidR="000E38BD" w:rsidRPr="00A274A7" w:rsidRDefault="000E38BD" w:rsidP="00A274A7">
            <w:pPr>
              <w:pStyle w:val="ARtablegreybold"/>
            </w:pPr>
            <w:r w:rsidRPr="00446050">
              <w:t>Cost</w:t>
            </w:r>
          </w:p>
        </w:tc>
      </w:tr>
      <w:tr w:rsidR="000E38BD" w:rsidRPr="00532DAE" w14:paraId="1F797ABB" w14:textId="77777777" w:rsidTr="006A3E38">
        <w:trPr>
          <w:cantSplit/>
        </w:trPr>
        <w:tc>
          <w:tcPr>
            <w:tcW w:w="4712" w:type="dxa"/>
            <w:hideMark/>
          </w:tcPr>
          <w:p w14:paraId="20C0FDDB" w14:textId="77777777" w:rsidR="000E38BD" w:rsidRPr="00446050" w:rsidRDefault="000E38BD">
            <w:pPr>
              <w:pStyle w:val="ARtabletext"/>
              <w:keepNext/>
              <w:rPr>
                <w:b/>
              </w:rPr>
            </w:pPr>
            <w:r w:rsidRPr="00446050">
              <w:rPr>
                <w:b/>
              </w:rPr>
              <w:t>Total Output Cost</w:t>
            </w:r>
          </w:p>
        </w:tc>
        <w:tc>
          <w:tcPr>
            <w:tcW w:w="1063" w:type="dxa"/>
            <w:hideMark/>
          </w:tcPr>
          <w:p w14:paraId="26D774EE" w14:textId="77777777" w:rsidR="000E38BD" w:rsidRPr="00446050" w:rsidRDefault="000E38BD">
            <w:pPr>
              <w:pStyle w:val="ARtabletext"/>
              <w:rPr>
                <w:b/>
              </w:rPr>
            </w:pPr>
            <w:r w:rsidRPr="00446050">
              <w:rPr>
                <w:b/>
              </w:rPr>
              <w:t>$ million</w:t>
            </w:r>
          </w:p>
        </w:tc>
        <w:tc>
          <w:tcPr>
            <w:tcW w:w="1014" w:type="dxa"/>
          </w:tcPr>
          <w:p w14:paraId="32AD950B" w14:textId="34A05EFE" w:rsidR="000E38BD" w:rsidRPr="00446050" w:rsidRDefault="000E38BD">
            <w:pPr>
              <w:pStyle w:val="ARtabletextrightbold"/>
            </w:pPr>
            <w:r w:rsidRPr="00446050">
              <w:t>62</w:t>
            </w:r>
            <w:r w:rsidR="00BF6A06">
              <w:t>.0</w:t>
            </w:r>
          </w:p>
        </w:tc>
        <w:tc>
          <w:tcPr>
            <w:tcW w:w="1016" w:type="dxa"/>
          </w:tcPr>
          <w:p w14:paraId="483BA4E2" w14:textId="14D984C3" w:rsidR="000E38BD" w:rsidRPr="00446050" w:rsidRDefault="000E38BD">
            <w:pPr>
              <w:pStyle w:val="ARtabletextrightbold"/>
            </w:pPr>
            <w:r w:rsidRPr="00446050">
              <w:t>70</w:t>
            </w:r>
            <w:r w:rsidR="00714E0C">
              <w:t>.0</w:t>
            </w:r>
          </w:p>
        </w:tc>
        <w:tc>
          <w:tcPr>
            <w:tcW w:w="1020" w:type="dxa"/>
          </w:tcPr>
          <w:p w14:paraId="33313C6E" w14:textId="35698CAF" w:rsidR="000E38BD" w:rsidRPr="00446050" w:rsidRDefault="000E38BD">
            <w:pPr>
              <w:pStyle w:val="ARtabletextrightbold"/>
            </w:pPr>
            <w:r w:rsidRPr="00446050">
              <w:t>12.</w:t>
            </w:r>
            <w:r w:rsidR="003A1A8F">
              <w:t>8</w:t>
            </w:r>
            <w:r w:rsidRPr="00446050">
              <w:t>%</w:t>
            </w:r>
          </w:p>
        </w:tc>
        <w:tc>
          <w:tcPr>
            <w:tcW w:w="807" w:type="dxa"/>
            <w:gridSpan w:val="2"/>
          </w:tcPr>
          <w:p w14:paraId="02E828FF" w14:textId="77777777" w:rsidR="000E38BD" w:rsidRPr="00446050" w:rsidRDefault="000E38BD">
            <w:pPr>
              <w:pStyle w:val="ARtableperformancesymbol"/>
              <w:rPr>
                <w:rFonts w:hint="eastAsia"/>
                <w:b/>
              </w:rPr>
            </w:pPr>
            <w:r w:rsidRPr="00446050">
              <w:rPr>
                <w:rFonts w:eastAsia="Wingdings" w:cs="Wingdings"/>
              </w:rPr>
              <w:t></w:t>
            </w:r>
          </w:p>
        </w:tc>
      </w:tr>
      <w:tr w:rsidR="0040643F" w:rsidRPr="00532DAE" w14:paraId="39F50E9B" w14:textId="77777777">
        <w:trPr>
          <w:cantSplit/>
        </w:trPr>
        <w:tc>
          <w:tcPr>
            <w:tcW w:w="9632" w:type="dxa"/>
            <w:gridSpan w:val="7"/>
            <w:tcBorders>
              <w:bottom w:val="single" w:sz="4" w:space="0" w:color="000000"/>
            </w:tcBorders>
          </w:tcPr>
          <w:p w14:paraId="0129C19B" w14:textId="49C5B06C" w:rsidR="0040643F" w:rsidRPr="006A3E38" w:rsidRDefault="00461AE2" w:rsidP="00587395">
            <w:pPr>
              <w:pStyle w:val="ARtablenoteindent"/>
            </w:pPr>
            <w:r w:rsidRPr="00461AE2">
              <w:t xml:space="preserve">The higher </w:t>
            </w:r>
            <w:r w:rsidRPr="00587395">
              <w:t>actual</w:t>
            </w:r>
            <w:r w:rsidRPr="00461AE2">
              <w:t xml:space="preserve"> is due to additional government investment in policy initiatives, such as Good Money and initiatives funded through the Community Support Fund</w:t>
            </w:r>
          </w:p>
        </w:tc>
      </w:tr>
    </w:tbl>
    <w:p w14:paraId="3BBFE1CC" w14:textId="77777777" w:rsidR="00100ED7" w:rsidRPr="008C7661" w:rsidRDefault="00100ED7" w:rsidP="008C7661">
      <w:pPr>
        <w:pStyle w:val="ARbody"/>
      </w:pPr>
      <w:r>
        <w:br w:type="page"/>
      </w:r>
    </w:p>
    <w:p w14:paraId="3D549DC8" w14:textId="13A4FE63" w:rsidR="000E38BD" w:rsidRPr="00561C66" w:rsidRDefault="000E38BD" w:rsidP="00333387">
      <w:pPr>
        <w:pStyle w:val="Heading3"/>
      </w:pPr>
      <w:r w:rsidRPr="00561C66">
        <w:t>Office for Disability</w:t>
      </w:r>
    </w:p>
    <w:p w14:paraId="7235DF64" w14:textId="77777777" w:rsidR="000E38BD" w:rsidRPr="00561C66" w:rsidRDefault="000E38BD" w:rsidP="002A1448">
      <w:pPr>
        <w:pStyle w:val="ARbodybeforetable"/>
      </w:pPr>
      <w:r w:rsidRPr="00561C66">
        <w:t>The Office for Disability leads and coordinates whole-of-government policy, disability action planning and funding, and support to disability advocacy and self-advocacy organisations so that people with disability experience reduced disadvantage, can fully participate in the community and have their rights upheld.</w:t>
      </w:r>
    </w:p>
    <w:tbl>
      <w:tblPr>
        <w:tblW w:w="5000" w:type="pct"/>
        <w:tblLayout w:type="fixed"/>
        <w:tblCellMar>
          <w:left w:w="0" w:type="dxa"/>
        </w:tblCellMar>
        <w:tblLook w:val="06A0" w:firstRow="1" w:lastRow="0" w:firstColumn="1" w:lastColumn="0" w:noHBand="1" w:noVBand="1"/>
      </w:tblPr>
      <w:tblGrid>
        <w:gridCol w:w="4738"/>
        <w:gridCol w:w="1018"/>
        <w:gridCol w:w="1019"/>
        <w:gridCol w:w="1025"/>
        <w:gridCol w:w="1028"/>
        <w:gridCol w:w="796"/>
        <w:gridCol w:w="8"/>
      </w:tblGrid>
      <w:tr w:rsidR="000E38BD" w:rsidRPr="00446050" w14:paraId="3D9305A3" w14:textId="77777777" w:rsidTr="006D6681">
        <w:trPr>
          <w:cantSplit/>
          <w:tblHeader/>
        </w:trPr>
        <w:tc>
          <w:tcPr>
            <w:tcW w:w="4738" w:type="dxa"/>
            <w:tcBorders>
              <w:top w:val="nil"/>
              <w:left w:val="nil"/>
              <w:bottom w:val="single" w:sz="4" w:space="0" w:color="auto"/>
              <w:right w:val="nil"/>
            </w:tcBorders>
            <w:vAlign w:val="bottom"/>
            <w:hideMark/>
          </w:tcPr>
          <w:p w14:paraId="17C7E216" w14:textId="77777777" w:rsidR="000E38BD" w:rsidRPr="00446050" w:rsidRDefault="000E38BD">
            <w:pPr>
              <w:pStyle w:val="ARtablecolhead"/>
            </w:pPr>
            <w:r w:rsidRPr="00446050">
              <w:t>Performance measures</w:t>
            </w:r>
          </w:p>
        </w:tc>
        <w:tc>
          <w:tcPr>
            <w:tcW w:w="1018" w:type="dxa"/>
            <w:tcBorders>
              <w:top w:val="nil"/>
              <w:left w:val="nil"/>
              <w:bottom w:val="single" w:sz="4" w:space="0" w:color="auto"/>
              <w:right w:val="nil"/>
            </w:tcBorders>
            <w:vAlign w:val="bottom"/>
            <w:hideMark/>
          </w:tcPr>
          <w:p w14:paraId="6A39290D" w14:textId="77777777" w:rsidR="000E38BD" w:rsidRPr="00446050" w:rsidRDefault="000E38BD">
            <w:pPr>
              <w:pStyle w:val="ARtablecolhead"/>
            </w:pPr>
            <w:r w:rsidRPr="00446050">
              <w:t>Unit of measure</w:t>
            </w:r>
          </w:p>
        </w:tc>
        <w:tc>
          <w:tcPr>
            <w:tcW w:w="1019" w:type="dxa"/>
            <w:tcBorders>
              <w:top w:val="nil"/>
              <w:left w:val="nil"/>
              <w:bottom w:val="single" w:sz="4" w:space="0" w:color="auto"/>
              <w:right w:val="nil"/>
            </w:tcBorders>
            <w:vAlign w:val="bottom"/>
            <w:hideMark/>
          </w:tcPr>
          <w:p w14:paraId="2DE8C75E" w14:textId="77777777" w:rsidR="000E38BD" w:rsidRPr="00446050" w:rsidRDefault="000E38BD">
            <w:pPr>
              <w:pStyle w:val="ARtablecolheadright"/>
            </w:pPr>
            <w:r w:rsidRPr="00446050">
              <w:t>2023–24 target</w:t>
            </w:r>
          </w:p>
        </w:tc>
        <w:tc>
          <w:tcPr>
            <w:tcW w:w="1025" w:type="dxa"/>
            <w:tcBorders>
              <w:top w:val="nil"/>
              <w:left w:val="nil"/>
              <w:bottom w:val="single" w:sz="4" w:space="0" w:color="auto"/>
              <w:right w:val="nil"/>
            </w:tcBorders>
            <w:vAlign w:val="bottom"/>
            <w:hideMark/>
          </w:tcPr>
          <w:p w14:paraId="56352D59" w14:textId="77777777" w:rsidR="000E38BD" w:rsidRPr="00446050" w:rsidRDefault="000E38BD">
            <w:pPr>
              <w:pStyle w:val="ARtablecolheadright"/>
            </w:pPr>
            <w:r w:rsidRPr="00446050">
              <w:t>2023–24 actual</w:t>
            </w:r>
          </w:p>
        </w:tc>
        <w:tc>
          <w:tcPr>
            <w:tcW w:w="1028" w:type="dxa"/>
            <w:tcBorders>
              <w:top w:val="nil"/>
              <w:left w:val="nil"/>
              <w:bottom w:val="single" w:sz="4" w:space="0" w:color="auto"/>
              <w:right w:val="nil"/>
            </w:tcBorders>
            <w:vAlign w:val="bottom"/>
            <w:hideMark/>
          </w:tcPr>
          <w:p w14:paraId="5119A51E" w14:textId="77777777" w:rsidR="000E38BD" w:rsidRPr="00446050" w:rsidRDefault="000E38BD">
            <w:pPr>
              <w:pStyle w:val="ARtablecolheadright"/>
            </w:pPr>
            <w:r w:rsidRPr="00446050">
              <w:t xml:space="preserve">Variation </w:t>
            </w:r>
          </w:p>
        </w:tc>
        <w:tc>
          <w:tcPr>
            <w:tcW w:w="804" w:type="dxa"/>
            <w:gridSpan w:val="2"/>
            <w:tcBorders>
              <w:top w:val="nil"/>
              <w:left w:val="nil"/>
              <w:bottom w:val="single" w:sz="4" w:space="0" w:color="auto"/>
              <w:right w:val="nil"/>
            </w:tcBorders>
            <w:vAlign w:val="bottom"/>
            <w:hideMark/>
          </w:tcPr>
          <w:p w14:paraId="5FE05E6B" w14:textId="77777777" w:rsidR="000E38BD" w:rsidRPr="00446050" w:rsidRDefault="000E38BD" w:rsidP="00B23080">
            <w:pPr>
              <w:pStyle w:val="ARtablecolheadright"/>
            </w:pPr>
            <w:r w:rsidRPr="00446050">
              <w:t>Result</w:t>
            </w:r>
          </w:p>
        </w:tc>
      </w:tr>
      <w:tr w:rsidR="000E38BD" w:rsidRPr="00446050" w14:paraId="2037CC42" w14:textId="77777777" w:rsidTr="006D6681">
        <w:trPr>
          <w:cantSplit/>
        </w:trPr>
        <w:tc>
          <w:tcPr>
            <w:tcW w:w="9632" w:type="dxa"/>
            <w:gridSpan w:val="7"/>
            <w:tcBorders>
              <w:top w:val="single" w:sz="4" w:space="0" w:color="auto"/>
              <w:left w:val="nil"/>
              <w:bottom w:val="nil"/>
              <w:right w:val="nil"/>
            </w:tcBorders>
            <w:hideMark/>
          </w:tcPr>
          <w:p w14:paraId="4C4C2517" w14:textId="77777777" w:rsidR="000E38BD" w:rsidRPr="00446050" w:rsidRDefault="000E38BD" w:rsidP="00A274A7">
            <w:pPr>
              <w:pStyle w:val="ARtablegreybold"/>
            </w:pPr>
            <w:r w:rsidRPr="00A274A7">
              <w:t>Quantity</w:t>
            </w:r>
          </w:p>
        </w:tc>
      </w:tr>
      <w:tr w:rsidR="000E38BD" w:rsidRPr="00446050" w14:paraId="3F803641" w14:textId="77777777" w:rsidTr="00D4716C">
        <w:trPr>
          <w:gridAfter w:val="1"/>
          <w:wAfter w:w="8" w:type="dxa"/>
          <w:cantSplit/>
        </w:trPr>
        <w:tc>
          <w:tcPr>
            <w:tcW w:w="4738" w:type="dxa"/>
            <w:shd w:val="clear" w:color="auto" w:fill="auto"/>
            <w:hideMark/>
          </w:tcPr>
          <w:p w14:paraId="17A3BED8" w14:textId="77777777" w:rsidR="000E38BD" w:rsidRPr="00446050" w:rsidRDefault="000E38BD">
            <w:pPr>
              <w:pStyle w:val="ARtabletext"/>
            </w:pPr>
            <w:bookmarkStart w:id="147" w:name="_Hlk174705930"/>
            <w:r w:rsidRPr="00446050">
              <w:t>Number of Disability Advocacy clients</w:t>
            </w:r>
          </w:p>
        </w:tc>
        <w:tc>
          <w:tcPr>
            <w:tcW w:w="1018" w:type="dxa"/>
            <w:shd w:val="clear" w:color="auto" w:fill="auto"/>
            <w:hideMark/>
          </w:tcPr>
          <w:p w14:paraId="7FDD2727" w14:textId="77777777" w:rsidR="000E38BD" w:rsidRPr="00446050" w:rsidRDefault="000E38BD">
            <w:pPr>
              <w:pStyle w:val="ARtabletext"/>
            </w:pPr>
            <w:r w:rsidRPr="00446050">
              <w:t>number</w:t>
            </w:r>
          </w:p>
        </w:tc>
        <w:tc>
          <w:tcPr>
            <w:tcW w:w="1019" w:type="dxa"/>
            <w:shd w:val="clear" w:color="auto" w:fill="auto"/>
            <w:hideMark/>
          </w:tcPr>
          <w:p w14:paraId="6233F655" w14:textId="77777777" w:rsidR="000E38BD" w:rsidRPr="00446050" w:rsidRDefault="000E38BD">
            <w:pPr>
              <w:pStyle w:val="ARtabletextright"/>
            </w:pPr>
            <w:r w:rsidRPr="00446050">
              <w:t>2,400</w:t>
            </w:r>
          </w:p>
        </w:tc>
        <w:tc>
          <w:tcPr>
            <w:tcW w:w="1025" w:type="dxa"/>
            <w:shd w:val="clear" w:color="auto" w:fill="auto"/>
            <w:hideMark/>
          </w:tcPr>
          <w:p w14:paraId="7E7DFBC2" w14:textId="67B38C92" w:rsidR="000E38BD" w:rsidRPr="00446050" w:rsidRDefault="00446EF9">
            <w:pPr>
              <w:pStyle w:val="ARtabletextright"/>
            </w:pPr>
            <w:r>
              <w:t>2,821</w:t>
            </w:r>
          </w:p>
        </w:tc>
        <w:tc>
          <w:tcPr>
            <w:tcW w:w="1028" w:type="dxa"/>
            <w:shd w:val="clear" w:color="auto" w:fill="auto"/>
          </w:tcPr>
          <w:p w14:paraId="42303C5C" w14:textId="6E249AC6" w:rsidR="000E38BD" w:rsidRPr="00446050" w:rsidRDefault="00446EF9">
            <w:pPr>
              <w:pStyle w:val="ARtabletextright"/>
            </w:pPr>
            <w:r>
              <w:t>17.5</w:t>
            </w:r>
            <w:r w:rsidR="000E38BD" w:rsidRPr="00446050">
              <w:t>%</w:t>
            </w:r>
          </w:p>
        </w:tc>
        <w:tc>
          <w:tcPr>
            <w:tcW w:w="796" w:type="dxa"/>
            <w:shd w:val="clear" w:color="auto" w:fill="auto"/>
            <w:hideMark/>
          </w:tcPr>
          <w:p w14:paraId="4F886B10"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1A4B348E" w14:textId="77777777" w:rsidTr="00D4716C">
        <w:trPr>
          <w:gridAfter w:val="1"/>
          <w:wAfter w:w="8" w:type="dxa"/>
          <w:cantSplit/>
        </w:trPr>
        <w:tc>
          <w:tcPr>
            <w:tcW w:w="9624" w:type="dxa"/>
            <w:gridSpan w:val="6"/>
            <w:tcBorders>
              <w:bottom w:val="single" w:sz="4" w:space="0" w:color="A6A6A6" w:themeColor="accent5"/>
            </w:tcBorders>
            <w:shd w:val="clear" w:color="auto" w:fill="auto"/>
            <w:noWrap/>
            <w:hideMark/>
          </w:tcPr>
          <w:p w14:paraId="34AE359A" w14:textId="0399F036" w:rsidR="000E38BD" w:rsidRPr="00446050" w:rsidRDefault="00902DC6">
            <w:pPr>
              <w:pStyle w:val="ARtablenoteindent"/>
            </w:pPr>
            <w:r w:rsidRPr="00A13F76">
              <w:t xml:space="preserve">The </w:t>
            </w:r>
            <w:r w:rsidR="00981E3A">
              <w:t>2023–24</w:t>
            </w:r>
            <w:r w:rsidRPr="00A13F76">
              <w:t xml:space="preserve"> result exceeds the target</w:t>
            </w:r>
            <w:r>
              <w:t xml:space="preserve">. </w:t>
            </w:r>
            <w:r w:rsidRPr="00425D56">
              <w:t>The program continues to experience high demand, in line with national trends. Agencies have delivered very strong performance results in the face of this increasing demand. Agencies delivering the program advise that they are seeing a greater number of complex matters that require increased reliance on systemic advocacy to achieve resolution.</w:t>
            </w:r>
          </w:p>
        </w:tc>
      </w:tr>
      <w:bookmarkEnd w:id="147"/>
      <w:tr w:rsidR="000E38BD" w:rsidRPr="00446050" w14:paraId="620E5E2D" w14:textId="77777777" w:rsidTr="006D6681">
        <w:trPr>
          <w:cantSplit/>
        </w:trPr>
        <w:tc>
          <w:tcPr>
            <w:tcW w:w="4738" w:type="dxa"/>
            <w:shd w:val="clear" w:color="auto" w:fill="auto"/>
            <w:hideMark/>
          </w:tcPr>
          <w:p w14:paraId="522BFCBC" w14:textId="77777777" w:rsidR="000E38BD" w:rsidRPr="00446050" w:rsidRDefault="000E38BD" w:rsidP="00A274A7">
            <w:pPr>
              <w:pStyle w:val="ARtabletext"/>
            </w:pPr>
            <w:r w:rsidRPr="00446050">
              <w:t xml:space="preserve">Victorian </w:t>
            </w:r>
            <w:r w:rsidRPr="00A274A7">
              <w:t>Disability</w:t>
            </w:r>
            <w:r w:rsidRPr="00446050">
              <w:t xml:space="preserve"> Advisory Council meetings</w:t>
            </w:r>
          </w:p>
        </w:tc>
        <w:tc>
          <w:tcPr>
            <w:tcW w:w="1018" w:type="dxa"/>
            <w:shd w:val="clear" w:color="auto" w:fill="auto"/>
            <w:hideMark/>
          </w:tcPr>
          <w:p w14:paraId="7C8B8745" w14:textId="77777777" w:rsidR="000E38BD" w:rsidRPr="00446050" w:rsidRDefault="000E38BD">
            <w:pPr>
              <w:pStyle w:val="ARtabletext"/>
            </w:pPr>
            <w:r w:rsidRPr="00446050">
              <w:t>number</w:t>
            </w:r>
          </w:p>
        </w:tc>
        <w:tc>
          <w:tcPr>
            <w:tcW w:w="1019" w:type="dxa"/>
            <w:shd w:val="clear" w:color="auto" w:fill="auto"/>
            <w:hideMark/>
          </w:tcPr>
          <w:p w14:paraId="0FD14D24" w14:textId="785535E1" w:rsidR="000E38BD" w:rsidRPr="00446050" w:rsidRDefault="000E38BD">
            <w:pPr>
              <w:pStyle w:val="ARtabletextright"/>
            </w:pPr>
            <w:r w:rsidRPr="00446050">
              <w:t>10</w:t>
            </w:r>
            <w:r w:rsidR="00284738">
              <w:t>.0</w:t>
            </w:r>
          </w:p>
        </w:tc>
        <w:tc>
          <w:tcPr>
            <w:tcW w:w="1025" w:type="dxa"/>
            <w:shd w:val="clear" w:color="auto" w:fill="auto"/>
            <w:hideMark/>
          </w:tcPr>
          <w:p w14:paraId="6B892748" w14:textId="5AB7B466" w:rsidR="000E38BD" w:rsidRPr="00446050" w:rsidRDefault="000E38BD">
            <w:pPr>
              <w:pStyle w:val="ARtabletextright"/>
            </w:pPr>
            <w:r w:rsidRPr="00446050">
              <w:t>11</w:t>
            </w:r>
            <w:r w:rsidR="00284738">
              <w:t>.0</w:t>
            </w:r>
          </w:p>
        </w:tc>
        <w:tc>
          <w:tcPr>
            <w:tcW w:w="1028" w:type="dxa"/>
            <w:shd w:val="clear" w:color="auto" w:fill="auto"/>
          </w:tcPr>
          <w:p w14:paraId="07B4E0C2" w14:textId="77777777" w:rsidR="000E38BD" w:rsidRPr="00446050" w:rsidRDefault="000E38BD">
            <w:pPr>
              <w:pStyle w:val="ARtabletextright"/>
            </w:pPr>
            <w:r w:rsidRPr="00446050">
              <w:t>10%</w:t>
            </w:r>
          </w:p>
        </w:tc>
        <w:tc>
          <w:tcPr>
            <w:tcW w:w="804" w:type="dxa"/>
            <w:gridSpan w:val="2"/>
            <w:shd w:val="clear" w:color="auto" w:fill="auto"/>
            <w:hideMark/>
          </w:tcPr>
          <w:p w14:paraId="411F1FA9"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14814856" w14:textId="77777777" w:rsidTr="006D6681">
        <w:trPr>
          <w:cantSplit/>
        </w:trPr>
        <w:tc>
          <w:tcPr>
            <w:tcW w:w="9632" w:type="dxa"/>
            <w:gridSpan w:val="7"/>
            <w:tcBorders>
              <w:bottom w:val="single" w:sz="4" w:space="0" w:color="auto"/>
            </w:tcBorders>
            <w:shd w:val="clear" w:color="auto" w:fill="auto"/>
            <w:noWrap/>
            <w:hideMark/>
          </w:tcPr>
          <w:p w14:paraId="5C3FBEA3" w14:textId="43A10CA0" w:rsidR="000E38BD" w:rsidRPr="00446050" w:rsidRDefault="000E38BD">
            <w:pPr>
              <w:pStyle w:val="ARtablenoteindent"/>
            </w:pPr>
            <w:r w:rsidRPr="00446050">
              <w:t>The Victorian Disability Advisory Council is appointed by the Minister for Disability to provide advice and guide the implementation of the State Disability Plan. In the previous year, the Council has exceeded its target of 2 monthly ordinary meetings, and has also held numerous additional opt-in meetings. This reflects the significant work of the Council in informing the government</w:t>
            </w:r>
            <w:r w:rsidR="00711AE6">
              <w:t>’</w:t>
            </w:r>
            <w:r w:rsidRPr="00446050">
              <w:t>s consideration of disability reform arising from the NDIS Review and the Disability Royal Commission.</w:t>
            </w:r>
          </w:p>
        </w:tc>
      </w:tr>
      <w:tr w:rsidR="000E38BD" w:rsidRPr="00446050" w14:paraId="055B53C2" w14:textId="77777777" w:rsidTr="006D6681">
        <w:trPr>
          <w:cantSplit/>
        </w:trPr>
        <w:tc>
          <w:tcPr>
            <w:tcW w:w="9632" w:type="dxa"/>
            <w:gridSpan w:val="7"/>
            <w:tcBorders>
              <w:top w:val="single" w:sz="4" w:space="0" w:color="auto"/>
              <w:left w:val="nil"/>
              <w:right w:val="nil"/>
            </w:tcBorders>
            <w:hideMark/>
          </w:tcPr>
          <w:p w14:paraId="3EC0CBE8" w14:textId="77777777" w:rsidR="000E38BD" w:rsidRPr="00A274A7" w:rsidRDefault="000E38BD" w:rsidP="00A274A7">
            <w:pPr>
              <w:pStyle w:val="ARtablegreybold"/>
            </w:pPr>
            <w:r w:rsidRPr="00446050">
              <w:t>Cost</w:t>
            </w:r>
          </w:p>
        </w:tc>
      </w:tr>
      <w:tr w:rsidR="000E38BD" w:rsidRPr="00532DAE" w14:paraId="5C03F28F" w14:textId="77777777" w:rsidTr="006A3E38">
        <w:trPr>
          <w:cantSplit/>
        </w:trPr>
        <w:tc>
          <w:tcPr>
            <w:tcW w:w="4738" w:type="dxa"/>
            <w:hideMark/>
          </w:tcPr>
          <w:p w14:paraId="1BA8F01A" w14:textId="77777777" w:rsidR="000E38BD" w:rsidRPr="00446050" w:rsidRDefault="000E38BD" w:rsidP="00A274A7">
            <w:pPr>
              <w:pStyle w:val="ARtabletextbold"/>
            </w:pPr>
            <w:r w:rsidRPr="00446050">
              <w:t>Total output cost</w:t>
            </w:r>
          </w:p>
        </w:tc>
        <w:tc>
          <w:tcPr>
            <w:tcW w:w="1018" w:type="dxa"/>
            <w:hideMark/>
          </w:tcPr>
          <w:p w14:paraId="3B0FD8E2" w14:textId="77777777" w:rsidR="000E38BD" w:rsidRPr="00446050" w:rsidRDefault="000E38BD" w:rsidP="00A274A7">
            <w:pPr>
              <w:pStyle w:val="ARtabletextbold"/>
            </w:pPr>
            <w:r w:rsidRPr="00446050">
              <w:t>$ million</w:t>
            </w:r>
          </w:p>
        </w:tc>
        <w:tc>
          <w:tcPr>
            <w:tcW w:w="1019" w:type="dxa"/>
          </w:tcPr>
          <w:p w14:paraId="6A001BDC" w14:textId="1F16400A" w:rsidR="000E38BD" w:rsidRPr="00446050" w:rsidRDefault="000E38BD">
            <w:pPr>
              <w:pStyle w:val="ARtabletextrightbold"/>
            </w:pPr>
            <w:r w:rsidRPr="00446050">
              <w:t>11</w:t>
            </w:r>
            <w:r w:rsidR="008B5AB3">
              <w:t>.4</w:t>
            </w:r>
          </w:p>
        </w:tc>
        <w:tc>
          <w:tcPr>
            <w:tcW w:w="1025" w:type="dxa"/>
          </w:tcPr>
          <w:p w14:paraId="2139A4E2" w14:textId="77777777" w:rsidR="000E38BD" w:rsidRPr="00446050" w:rsidRDefault="000E38BD">
            <w:pPr>
              <w:pStyle w:val="ARtabletextrightbold"/>
            </w:pPr>
            <w:r w:rsidRPr="00446050">
              <w:t>12.7</w:t>
            </w:r>
          </w:p>
        </w:tc>
        <w:tc>
          <w:tcPr>
            <w:tcW w:w="1028" w:type="dxa"/>
          </w:tcPr>
          <w:p w14:paraId="3B774366" w14:textId="77777777" w:rsidR="000E38BD" w:rsidRPr="00446050" w:rsidRDefault="000E38BD">
            <w:pPr>
              <w:pStyle w:val="ARtabletextrightbold"/>
            </w:pPr>
            <w:r w:rsidRPr="00446050">
              <w:t>11.4%</w:t>
            </w:r>
          </w:p>
        </w:tc>
        <w:tc>
          <w:tcPr>
            <w:tcW w:w="804" w:type="dxa"/>
            <w:gridSpan w:val="2"/>
          </w:tcPr>
          <w:p w14:paraId="69617CF7" w14:textId="77777777" w:rsidR="000E38BD" w:rsidRPr="00532DAE" w:rsidRDefault="000E38BD">
            <w:pPr>
              <w:pStyle w:val="ARtableperformancesymbol"/>
              <w:rPr>
                <w:rFonts w:hint="eastAsia"/>
                <w:b/>
              </w:rPr>
            </w:pPr>
            <w:r w:rsidRPr="00446050">
              <w:rPr>
                <w:rFonts w:eastAsia="Wingdings" w:cs="Wingdings"/>
              </w:rPr>
              <w:t></w:t>
            </w:r>
          </w:p>
        </w:tc>
      </w:tr>
      <w:tr w:rsidR="006D6681" w:rsidRPr="00532DAE" w14:paraId="51FBA4B3" w14:textId="77777777">
        <w:trPr>
          <w:cantSplit/>
        </w:trPr>
        <w:tc>
          <w:tcPr>
            <w:tcW w:w="9632" w:type="dxa"/>
            <w:gridSpan w:val="7"/>
            <w:tcBorders>
              <w:bottom w:val="single" w:sz="4" w:space="0" w:color="000000"/>
            </w:tcBorders>
          </w:tcPr>
          <w:p w14:paraId="1052C27B" w14:textId="22922573" w:rsidR="006D6681" w:rsidRPr="006A3E38" w:rsidRDefault="00CB76F6" w:rsidP="006A3E38">
            <w:pPr>
              <w:pStyle w:val="ARtableperformancesymbol"/>
              <w:ind w:left="426"/>
              <w:jc w:val="left"/>
              <w:rPr>
                <w:rFonts w:asciiTheme="minorHAnsi" w:eastAsia="Wingdings" w:hAnsiTheme="minorHAnsi" w:cstheme="minorHAnsi"/>
              </w:rPr>
            </w:pPr>
            <w:r w:rsidRPr="006A3E38">
              <w:rPr>
                <w:rFonts w:asciiTheme="minorHAnsi" w:hAnsiTheme="minorHAnsi" w:cstheme="minorHAnsi"/>
                <w:sz w:val="16"/>
                <w:szCs w:val="16"/>
              </w:rPr>
              <w:t>The higher actual is primarily due to interdepartmental transfer for Fighting for Students with Disability and their Families</w:t>
            </w:r>
            <w:r w:rsidR="00587395">
              <w:rPr>
                <w:rFonts w:asciiTheme="minorHAnsi" w:hAnsiTheme="minorHAnsi" w:cstheme="minorHAnsi"/>
                <w:sz w:val="16"/>
                <w:szCs w:val="16"/>
              </w:rPr>
              <w:t> </w:t>
            </w:r>
            <w:r w:rsidRPr="006A3E38">
              <w:rPr>
                <w:rFonts w:asciiTheme="minorHAnsi" w:hAnsiTheme="minorHAnsi" w:cstheme="minorHAnsi"/>
                <w:sz w:val="16"/>
                <w:szCs w:val="16"/>
              </w:rPr>
              <w:t>initiative.</w:t>
            </w:r>
          </w:p>
        </w:tc>
      </w:tr>
    </w:tbl>
    <w:p w14:paraId="17D673C9" w14:textId="5F4D083A" w:rsidR="000E38BD" w:rsidRPr="00561C66" w:rsidRDefault="000E38BD" w:rsidP="002A1448">
      <w:pPr>
        <w:pStyle w:val="Heading3"/>
      </w:pPr>
      <w:r w:rsidRPr="00561C66">
        <w:t xml:space="preserve">Seniors programs and </w:t>
      </w:r>
      <w:r w:rsidRPr="002A1448">
        <w:t>participation</w:t>
      </w:r>
    </w:p>
    <w:p w14:paraId="1924B12D" w14:textId="77777777" w:rsidR="000E38BD" w:rsidRPr="00561C66" w:rsidRDefault="000E38BD" w:rsidP="002A1448">
      <w:pPr>
        <w:pStyle w:val="ARbodybeforetable"/>
      </w:pPr>
      <w:r w:rsidRPr="00561C66">
        <w:t>This output supports broader community planning processes to facilitate an integrated community planning and response approach aimed at enabling older Victorians to fully participate and engage in the community.</w:t>
      </w:r>
    </w:p>
    <w:tbl>
      <w:tblPr>
        <w:tblW w:w="5000" w:type="pct"/>
        <w:tblBorders>
          <w:top w:val="single" w:sz="4" w:space="0" w:color="auto"/>
          <w:bottom w:val="single" w:sz="4" w:space="0" w:color="auto"/>
          <w:insideH w:val="single" w:sz="4" w:space="0" w:color="auto"/>
        </w:tblBorders>
        <w:tblLayout w:type="fixed"/>
        <w:tblCellMar>
          <w:left w:w="0" w:type="dxa"/>
        </w:tblCellMar>
        <w:tblLook w:val="06A0" w:firstRow="1" w:lastRow="0" w:firstColumn="1" w:lastColumn="0" w:noHBand="1" w:noVBand="1"/>
      </w:tblPr>
      <w:tblGrid>
        <w:gridCol w:w="4744"/>
        <w:gridCol w:w="1018"/>
        <w:gridCol w:w="1020"/>
        <w:gridCol w:w="1022"/>
        <w:gridCol w:w="1026"/>
        <w:gridCol w:w="794"/>
        <w:gridCol w:w="8"/>
      </w:tblGrid>
      <w:tr w:rsidR="000E38BD" w:rsidRPr="00446050" w14:paraId="616ED390" w14:textId="77777777" w:rsidTr="00D4716C">
        <w:trPr>
          <w:cantSplit/>
          <w:tblHeader/>
        </w:trPr>
        <w:tc>
          <w:tcPr>
            <w:tcW w:w="4744" w:type="dxa"/>
            <w:tcBorders>
              <w:top w:val="nil"/>
              <w:bottom w:val="single" w:sz="4" w:space="0" w:color="auto"/>
            </w:tcBorders>
            <w:vAlign w:val="bottom"/>
            <w:hideMark/>
          </w:tcPr>
          <w:p w14:paraId="2FADC5F1" w14:textId="77777777" w:rsidR="000E38BD" w:rsidRPr="00446050" w:rsidRDefault="000E38BD">
            <w:pPr>
              <w:pStyle w:val="ARtablecolhead"/>
            </w:pPr>
            <w:r w:rsidRPr="00446050">
              <w:t>Performance measures</w:t>
            </w:r>
          </w:p>
        </w:tc>
        <w:tc>
          <w:tcPr>
            <w:tcW w:w="1018" w:type="dxa"/>
            <w:tcBorders>
              <w:top w:val="nil"/>
              <w:bottom w:val="single" w:sz="4" w:space="0" w:color="auto"/>
            </w:tcBorders>
            <w:vAlign w:val="bottom"/>
            <w:hideMark/>
          </w:tcPr>
          <w:p w14:paraId="388F8A0A" w14:textId="77777777" w:rsidR="000E38BD" w:rsidRPr="00446050" w:rsidRDefault="000E38BD">
            <w:pPr>
              <w:pStyle w:val="ARtablecolhead"/>
            </w:pPr>
            <w:r w:rsidRPr="00446050">
              <w:t>Unit of measure</w:t>
            </w:r>
          </w:p>
        </w:tc>
        <w:tc>
          <w:tcPr>
            <w:tcW w:w="1020" w:type="dxa"/>
            <w:tcBorders>
              <w:top w:val="nil"/>
              <w:bottom w:val="single" w:sz="4" w:space="0" w:color="auto"/>
            </w:tcBorders>
            <w:vAlign w:val="bottom"/>
            <w:hideMark/>
          </w:tcPr>
          <w:p w14:paraId="75AF7327" w14:textId="77777777" w:rsidR="000E38BD" w:rsidRPr="00446050" w:rsidRDefault="000E38BD">
            <w:pPr>
              <w:pStyle w:val="ARtablecolheadright"/>
            </w:pPr>
            <w:r w:rsidRPr="00446050">
              <w:t>2023–24 target</w:t>
            </w:r>
          </w:p>
        </w:tc>
        <w:tc>
          <w:tcPr>
            <w:tcW w:w="1022" w:type="dxa"/>
            <w:tcBorders>
              <w:top w:val="nil"/>
              <w:bottom w:val="single" w:sz="4" w:space="0" w:color="auto"/>
            </w:tcBorders>
            <w:vAlign w:val="bottom"/>
            <w:hideMark/>
          </w:tcPr>
          <w:p w14:paraId="66E190FB" w14:textId="77777777" w:rsidR="000E38BD" w:rsidRPr="00446050" w:rsidRDefault="000E38BD">
            <w:pPr>
              <w:pStyle w:val="ARtablecolheadright"/>
            </w:pPr>
            <w:r w:rsidRPr="00446050">
              <w:t>2023–24 actual</w:t>
            </w:r>
          </w:p>
        </w:tc>
        <w:tc>
          <w:tcPr>
            <w:tcW w:w="1026" w:type="dxa"/>
            <w:tcBorders>
              <w:top w:val="nil"/>
              <w:bottom w:val="single" w:sz="4" w:space="0" w:color="auto"/>
            </w:tcBorders>
            <w:vAlign w:val="bottom"/>
            <w:hideMark/>
          </w:tcPr>
          <w:p w14:paraId="7683EA16" w14:textId="77777777" w:rsidR="000E38BD" w:rsidRPr="00446050" w:rsidRDefault="000E38BD">
            <w:pPr>
              <w:pStyle w:val="ARtablecolheadright"/>
            </w:pPr>
            <w:r w:rsidRPr="00446050">
              <w:t xml:space="preserve">Variation </w:t>
            </w:r>
          </w:p>
        </w:tc>
        <w:tc>
          <w:tcPr>
            <w:tcW w:w="802" w:type="dxa"/>
            <w:gridSpan w:val="2"/>
            <w:tcBorders>
              <w:top w:val="nil"/>
              <w:bottom w:val="single" w:sz="4" w:space="0" w:color="auto"/>
            </w:tcBorders>
            <w:vAlign w:val="bottom"/>
            <w:hideMark/>
          </w:tcPr>
          <w:p w14:paraId="3DB84654" w14:textId="77777777" w:rsidR="000E38BD" w:rsidRPr="00446050" w:rsidRDefault="000E38BD" w:rsidP="00B23080">
            <w:pPr>
              <w:pStyle w:val="ARtablecolheadright"/>
            </w:pPr>
            <w:r w:rsidRPr="00446050">
              <w:t>Result</w:t>
            </w:r>
          </w:p>
        </w:tc>
      </w:tr>
      <w:tr w:rsidR="000E38BD" w:rsidRPr="00446050" w14:paraId="5553C111" w14:textId="77777777" w:rsidTr="00AE119E">
        <w:trPr>
          <w:cantSplit/>
        </w:trPr>
        <w:tc>
          <w:tcPr>
            <w:tcW w:w="9632" w:type="dxa"/>
            <w:gridSpan w:val="7"/>
            <w:tcBorders>
              <w:bottom w:val="nil"/>
            </w:tcBorders>
            <w:hideMark/>
          </w:tcPr>
          <w:p w14:paraId="73B72D5A" w14:textId="77777777" w:rsidR="000E38BD" w:rsidRPr="00446050" w:rsidRDefault="000E38BD">
            <w:pPr>
              <w:pStyle w:val="ARtablegreybold"/>
            </w:pPr>
            <w:r w:rsidRPr="00446050">
              <w:t>Quantity</w:t>
            </w:r>
          </w:p>
        </w:tc>
      </w:tr>
      <w:tr w:rsidR="000E38BD" w:rsidRPr="00446050" w14:paraId="566E7E96" w14:textId="77777777" w:rsidTr="00AE119E">
        <w:trPr>
          <w:cantSplit/>
        </w:trPr>
        <w:tc>
          <w:tcPr>
            <w:tcW w:w="4744" w:type="dxa"/>
            <w:tcBorders>
              <w:top w:val="nil"/>
              <w:bottom w:val="nil"/>
            </w:tcBorders>
            <w:shd w:val="clear" w:color="auto" w:fill="auto"/>
          </w:tcPr>
          <w:p w14:paraId="09228E42" w14:textId="05063285" w:rsidR="000E38BD" w:rsidRPr="00446050" w:rsidRDefault="000E38BD">
            <w:pPr>
              <w:pStyle w:val="ARtabletext"/>
            </w:pPr>
            <w:r w:rsidRPr="00446050">
              <w:t xml:space="preserve">Pension-level beds available in assisted </w:t>
            </w:r>
            <w:r w:rsidR="001F41FA">
              <w:t>S</w:t>
            </w:r>
            <w:r w:rsidRPr="00446050">
              <w:t xml:space="preserve">upported </w:t>
            </w:r>
            <w:r w:rsidR="001F41FA">
              <w:t>R</w:t>
            </w:r>
            <w:r w:rsidRPr="00446050">
              <w:t xml:space="preserve">esidential </w:t>
            </w:r>
            <w:r w:rsidR="001F41FA">
              <w:t>S</w:t>
            </w:r>
            <w:r w:rsidRPr="00446050">
              <w:t>ervices facilities</w:t>
            </w:r>
          </w:p>
        </w:tc>
        <w:tc>
          <w:tcPr>
            <w:tcW w:w="1018" w:type="dxa"/>
            <w:tcBorders>
              <w:top w:val="nil"/>
              <w:bottom w:val="nil"/>
            </w:tcBorders>
            <w:shd w:val="clear" w:color="auto" w:fill="auto"/>
          </w:tcPr>
          <w:p w14:paraId="0DB82EBB" w14:textId="77777777" w:rsidR="000E38BD" w:rsidRPr="00446050" w:rsidRDefault="000E38BD">
            <w:pPr>
              <w:pStyle w:val="ARtabletext"/>
            </w:pPr>
            <w:r w:rsidRPr="00446050">
              <w:t>number</w:t>
            </w:r>
          </w:p>
        </w:tc>
        <w:tc>
          <w:tcPr>
            <w:tcW w:w="1020" w:type="dxa"/>
            <w:tcBorders>
              <w:top w:val="nil"/>
              <w:bottom w:val="nil"/>
            </w:tcBorders>
            <w:shd w:val="clear" w:color="auto" w:fill="auto"/>
          </w:tcPr>
          <w:p w14:paraId="6DE56A9D" w14:textId="77777777" w:rsidR="000E38BD" w:rsidRPr="00446050" w:rsidRDefault="000E38BD">
            <w:pPr>
              <w:pStyle w:val="ARtabletextright"/>
            </w:pPr>
            <w:r w:rsidRPr="00446050">
              <w:t>1,561</w:t>
            </w:r>
          </w:p>
        </w:tc>
        <w:tc>
          <w:tcPr>
            <w:tcW w:w="1022" w:type="dxa"/>
            <w:tcBorders>
              <w:top w:val="nil"/>
              <w:bottom w:val="nil"/>
            </w:tcBorders>
            <w:shd w:val="clear" w:color="auto" w:fill="auto"/>
          </w:tcPr>
          <w:p w14:paraId="1537E919" w14:textId="77777777" w:rsidR="000E38BD" w:rsidRPr="00446050" w:rsidRDefault="000E38BD">
            <w:pPr>
              <w:pStyle w:val="ARtabletextright"/>
            </w:pPr>
            <w:r w:rsidRPr="00446050">
              <w:t>1,483</w:t>
            </w:r>
          </w:p>
        </w:tc>
        <w:tc>
          <w:tcPr>
            <w:tcW w:w="1026" w:type="dxa"/>
            <w:tcBorders>
              <w:top w:val="nil"/>
              <w:bottom w:val="nil"/>
            </w:tcBorders>
            <w:shd w:val="clear" w:color="auto" w:fill="auto"/>
          </w:tcPr>
          <w:p w14:paraId="1CF61277" w14:textId="1059DD52" w:rsidR="000E38BD" w:rsidRPr="00446050" w:rsidRDefault="000E38BD">
            <w:pPr>
              <w:pStyle w:val="ARtabletextright"/>
            </w:pPr>
            <w:r w:rsidRPr="00446050">
              <w:t>-5.0</w:t>
            </w:r>
            <w:r w:rsidR="00475107">
              <w:t>%</w:t>
            </w:r>
          </w:p>
        </w:tc>
        <w:tc>
          <w:tcPr>
            <w:tcW w:w="802" w:type="dxa"/>
            <w:gridSpan w:val="2"/>
            <w:tcBorders>
              <w:top w:val="nil"/>
              <w:bottom w:val="nil"/>
            </w:tcBorders>
            <w:shd w:val="clear" w:color="auto" w:fill="auto"/>
          </w:tcPr>
          <w:p w14:paraId="272F236B" w14:textId="088F1046" w:rsidR="000E38BD" w:rsidRPr="00446050" w:rsidRDefault="00755197">
            <w:pPr>
              <w:pStyle w:val="ARtableperformancesymbol"/>
              <w:rPr>
                <w:rFonts w:hint="eastAsia"/>
                <w:lang w:val="en-AU"/>
              </w:rPr>
            </w:pPr>
            <w:r w:rsidRPr="00446050">
              <w:rPr>
                <w:rFonts w:eastAsia="Wingdings" w:cs="Wingdings"/>
              </w:rPr>
              <w:t></w:t>
            </w:r>
          </w:p>
        </w:tc>
      </w:tr>
      <w:tr w:rsidR="000E38BD" w:rsidRPr="00446050" w14:paraId="275EDE5B" w14:textId="77777777" w:rsidTr="00AE119E">
        <w:tblPrEx>
          <w:tblBorders>
            <w:top w:val="none" w:sz="0" w:space="0" w:color="auto"/>
            <w:bottom w:val="none" w:sz="0" w:space="0" w:color="auto"/>
            <w:insideH w:val="none" w:sz="0" w:space="0" w:color="auto"/>
          </w:tblBorders>
        </w:tblPrEx>
        <w:trPr>
          <w:cantSplit/>
        </w:trPr>
        <w:tc>
          <w:tcPr>
            <w:tcW w:w="9632" w:type="dxa"/>
            <w:gridSpan w:val="7"/>
            <w:tcBorders>
              <w:bottom w:val="single" w:sz="4" w:space="0" w:color="BFBFBF" w:themeColor="background1" w:themeShade="BF"/>
            </w:tcBorders>
            <w:shd w:val="clear" w:color="auto" w:fill="auto"/>
            <w:noWrap/>
            <w:hideMark/>
          </w:tcPr>
          <w:p w14:paraId="67FB1B9A" w14:textId="55082F45" w:rsidR="000E38BD" w:rsidRPr="00446050" w:rsidRDefault="000E38BD" w:rsidP="00587395">
            <w:pPr>
              <w:pStyle w:val="ARtablenoteindent"/>
            </w:pPr>
            <w:r w:rsidRPr="00446050">
              <w:t>The actual is lower than target due to the closure of 2 assisted pension-level Supported Residential Services (SRS) (with 78 beds total) during</w:t>
            </w:r>
            <w:r w:rsidR="00D90552">
              <w:t xml:space="preserve"> </w:t>
            </w:r>
            <w:r w:rsidRPr="00446050">
              <w:t>the 2023</w:t>
            </w:r>
            <w:r w:rsidR="00E837F9">
              <w:t>–</w:t>
            </w:r>
            <w:r w:rsidRPr="00446050">
              <w:t>24 financial year.</w:t>
            </w:r>
            <w:r w:rsidR="00D90552">
              <w:t xml:space="preserve"> </w:t>
            </w:r>
            <w:r w:rsidRPr="00446050">
              <w:t>SRS are private businesses and make independent commercial decisions to close.</w:t>
            </w:r>
            <w:r w:rsidR="00D90552">
              <w:t xml:space="preserve"> </w:t>
            </w:r>
            <w:r w:rsidRPr="00446050">
              <w:t>The total number of pension-</w:t>
            </w:r>
            <w:r w:rsidRPr="00587395">
              <w:t>level</w:t>
            </w:r>
            <w:r w:rsidRPr="00446050">
              <w:t xml:space="preserve"> beds </w:t>
            </w:r>
            <w:r w:rsidR="0048360D">
              <w:t>may continue to reduce in future financial years if other SRSs take business decisions to close</w:t>
            </w:r>
            <w:r w:rsidR="0048360D" w:rsidRPr="00446050">
              <w:t>.</w:t>
            </w:r>
          </w:p>
        </w:tc>
      </w:tr>
      <w:tr w:rsidR="000E38BD" w:rsidRPr="00446050" w14:paraId="4BD37604" w14:textId="77777777" w:rsidTr="00AE119E">
        <w:trPr>
          <w:cantSplit/>
        </w:trPr>
        <w:tc>
          <w:tcPr>
            <w:tcW w:w="4744" w:type="dxa"/>
            <w:tcBorders>
              <w:top w:val="single" w:sz="4" w:space="0" w:color="BFBFBF" w:themeColor="background1" w:themeShade="BF"/>
              <w:bottom w:val="single" w:sz="4" w:space="0" w:color="BFBFBF" w:themeColor="background1" w:themeShade="BF"/>
            </w:tcBorders>
            <w:shd w:val="clear" w:color="auto" w:fill="auto"/>
          </w:tcPr>
          <w:p w14:paraId="7D8502C0" w14:textId="26FEB1BC" w:rsidR="000E38BD" w:rsidRPr="00446050" w:rsidRDefault="000E38BD">
            <w:pPr>
              <w:pStyle w:val="ARtabletext"/>
            </w:pPr>
            <w:r w:rsidRPr="00446050">
              <w:t xml:space="preserve">Pension-level </w:t>
            </w:r>
            <w:r w:rsidR="001F41FA">
              <w:t>S</w:t>
            </w:r>
            <w:r w:rsidRPr="00446050">
              <w:t xml:space="preserve">upported </w:t>
            </w:r>
            <w:r w:rsidR="001F41FA">
              <w:t>R</w:t>
            </w:r>
            <w:r w:rsidRPr="00446050">
              <w:t xml:space="preserve">esidential </w:t>
            </w:r>
            <w:r w:rsidR="001F41FA">
              <w:t>S</w:t>
            </w:r>
            <w:r w:rsidRPr="00446050">
              <w:t>ervices residents</w:t>
            </w:r>
            <w:r w:rsidR="00A274A7">
              <w:t> </w:t>
            </w:r>
            <w:r w:rsidRPr="00446050">
              <w:t>provided with service coordination and</w:t>
            </w:r>
            <w:r w:rsidR="00A274A7">
              <w:t> </w:t>
            </w:r>
            <w:r w:rsidRPr="00446050">
              <w:t>support/brokerage</w:t>
            </w:r>
            <w:r w:rsidR="00A274A7">
              <w:t> </w:t>
            </w:r>
            <w:r w:rsidRPr="00446050">
              <w:t>services</w:t>
            </w:r>
          </w:p>
        </w:tc>
        <w:tc>
          <w:tcPr>
            <w:tcW w:w="1018" w:type="dxa"/>
            <w:tcBorders>
              <w:top w:val="single" w:sz="4" w:space="0" w:color="BFBFBF" w:themeColor="background1" w:themeShade="BF"/>
              <w:bottom w:val="single" w:sz="4" w:space="0" w:color="BFBFBF" w:themeColor="background1" w:themeShade="BF"/>
            </w:tcBorders>
            <w:shd w:val="clear" w:color="auto" w:fill="auto"/>
          </w:tcPr>
          <w:p w14:paraId="72C77AB4" w14:textId="77777777" w:rsidR="000E38BD" w:rsidRPr="00446050" w:rsidRDefault="000E38BD">
            <w:pPr>
              <w:pStyle w:val="ARtabletext"/>
            </w:pPr>
            <w:r w:rsidRPr="00446050">
              <w:t>number</w:t>
            </w:r>
          </w:p>
        </w:tc>
        <w:tc>
          <w:tcPr>
            <w:tcW w:w="1020" w:type="dxa"/>
            <w:tcBorders>
              <w:top w:val="single" w:sz="4" w:space="0" w:color="BFBFBF" w:themeColor="background1" w:themeShade="BF"/>
              <w:bottom w:val="single" w:sz="4" w:space="0" w:color="BFBFBF" w:themeColor="background1" w:themeShade="BF"/>
            </w:tcBorders>
            <w:shd w:val="clear" w:color="auto" w:fill="auto"/>
          </w:tcPr>
          <w:p w14:paraId="69BB4E70" w14:textId="77777777" w:rsidR="000E38BD" w:rsidRPr="00446050" w:rsidRDefault="000E38BD">
            <w:pPr>
              <w:pStyle w:val="ARtabletextright"/>
            </w:pPr>
            <w:r w:rsidRPr="00446050">
              <w:t>775</w:t>
            </w:r>
          </w:p>
        </w:tc>
        <w:tc>
          <w:tcPr>
            <w:tcW w:w="1022" w:type="dxa"/>
            <w:tcBorders>
              <w:top w:val="single" w:sz="4" w:space="0" w:color="BFBFBF" w:themeColor="background1" w:themeShade="BF"/>
              <w:bottom w:val="single" w:sz="4" w:space="0" w:color="BFBFBF" w:themeColor="background1" w:themeShade="BF"/>
            </w:tcBorders>
            <w:shd w:val="clear" w:color="auto" w:fill="auto"/>
          </w:tcPr>
          <w:p w14:paraId="51BD130D" w14:textId="77777777" w:rsidR="000E38BD" w:rsidRPr="00446050" w:rsidRDefault="000E38BD">
            <w:pPr>
              <w:pStyle w:val="ARtabletextright"/>
            </w:pPr>
            <w:r w:rsidRPr="00446050">
              <w:t>775</w:t>
            </w:r>
          </w:p>
        </w:tc>
        <w:tc>
          <w:tcPr>
            <w:tcW w:w="1026" w:type="dxa"/>
            <w:tcBorders>
              <w:top w:val="single" w:sz="4" w:space="0" w:color="BFBFBF" w:themeColor="background1" w:themeShade="BF"/>
              <w:bottom w:val="single" w:sz="4" w:space="0" w:color="BFBFBF" w:themeColor="background1" w:themeShade="BF"/>
            </w:tcBorders>
            <w:shd w:val="clear" w:color="auto" w:fill="auto"/>
          </w:tcPr>
          <w:p w14:paraId="5D90B6EF" w14:textId="77777777" w:rsidR="000E38BD" w:rsidRPr="00446050" w:rsidRDefault="000E38BD">
            <w:pPr>
              <w:pStyle w:val="ARtabletextright"/>
            </w:pPr>
            <w:r w:rsidRPr="00446050">
              <w:t>0%</w:t>
            </w:r>
          </w:p>
        </w:tc>
        <w:tc>
          <w:tcPr>
            <w:tcW w:w="802" w:type="dxa"/>
            <w:gridSpan w:val="2"/>
            <w:tcBorders>
              <w:top w:val="single" w:sz="4" w:space="0" w:color="BFBFBF" w:themeColor="background1" w:themeShade="BF"/>
              <w:bottom w:val="single" w:sz="4" w:space="0" w:color="BFBFBF" w:themeColor="background1" w:themeShade="BF"/>
            </w:tcBorders>
            <w:shd w:val="clear" w:color="auto" w:fill="auto"/>
          </w:tcPr>
          <w:p w14:paraId="13C6C72B"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09367363" w14:textId="77777777" w:rsidTr="00AE119E">
        <w:trPr>
          <w:cantSplit/>
        </w:trPr>
        <w:tc>
          <w:tcPr>
            <w:tcW w:w="4744" w:type="dxa"/>
            <w:tcBorders>
              <w:top w:val="single" w:sz="4" w:space="0" w:color="BFBFBF" w:themeColor="background1" w:themeShade="BF"/>
              <w:bottom w:val="nil"/>
            </w:tcBorders>
            <w:shd w:val="clear" w:color="auto" w:fill="auto"/>
          </w:tcPr>
          <w:p w14:paraId="0A63568A" w14:textId="13F53E62" w:rsidR="000E38BD" w:rsidRPr="00446050" w:rsidRDefault="000E38BD">
            <w:pPr>
              <w:pStyle w:val="ARtabletext"/>
            </w:pPr>
            <w:bookmarkStart w:id="148" w:name="_Hlk174706927"/>
            <w:r w:rsidRPr="00446050">
              <w:t>University of the Third Age membership</w:t>
            </w:r>
          </w:p>
        </w:tc>
        <w:tc>
          <w:tcPr>
            <w:tcW w:w="1018" w:type="dxa"/>
            <w:tcBorders>
              <w:top w:val="single" w:sz="4" w:space="0" w:color="BFBFBF" w:themeColor="background1" w:themeShade="BF"/>
              <w:bottom w:val="nil"/>
            </w:tcBorders>
            <w:shd w:val="clear" w:color="auto" w:fill="auto"/>
          </w:tcPr>
          <w:p w14:paraId="1FFBB2DE" w14:textId="77777777" w:rsidR="000E38BD" w:rsidRPr="00446050" w:rsidRDefault="000E38BD">
            <w:pPr>
              <w:pStyle w:val="ARtabletext"/>
            </w:pPr>
            <w:r w:rsidRPr="00446050">
              <w:t>number</w:t>
            </w:r>
          </w:p>
        </w:tc>
        <w:tc>
          <w:tcPr>
            <w:tcW w:w="1020" w:type="dxa"/>
            <w:tcBorders>
              <w:top w:val="single" w:sz="4" w:space="0" w:color="BFBFBF" w:themeColor="background1" w:themeShade="BF"/>
              <w:bottom w:val="nil"/>
            </w:tcBorders>
            <w:shd w:val="clear" w:color="auto" w:fill="auto"/>
          </w:tcPr>
          <w:p w14:paraId="1609B41C" w14:textId="77777777" w:rsidR="000E38BD" w:rsidRPr="00446050" w:rsidRDefault="000E38BD">
            <w:pPr>
              <w:pStyle w:val="ARtabletextright"/>
            </w:pPr>
            <w:r w:rsidRPr="00446050">
              <w:t>34,000</w:t>
            </w:r>
          </w:p>
        </w:tc>
        <w:tc>
          <w:tcPr>
            <w:tcW w:w="1022" w:type="dxa"/>
            <w:tcBorders>
              <w:top w:val="single" w:sz="4" w:space="0" w:color="BFBFBF" w:themeColor="background1" w:themeShade="BF"/>
              <w:bottom w:val="nil"/>
            </w:tcBorders>
            <w:shd w:val="clear" w:color="auto" w:fill="auto"/>
          </w:tcPr>
          <w:p w14:paraId="0D4F5843" w14:textId="77777777" w:rsidR="000E38BD" w:rsidRPr="00446050" w:rsidRDefault="000E38BD">
            <w:pPr>
              <w:pStyle w:val="ARtabletextright"/>
            </w:pPr>
            <w:r w:rsidRPr="00446050">
              <w:t>38,064</w:t>
            </w:r>
          </w:p>
        </w:tc>
        <w:tc>
          <w:tcPr>
            <w:tcW w:w="1026" w:type="dxa"/>
            <w:tcBorders>
              <w:top w:val="single" w:sz="4" w:space="0" w:color="BFBFBF" w:themeColor="background1" w:themeShade="BF"/>
              <w:bottom w:val="nil"/>
            </w:tcBorders>
            <w:shd w:val="clear" w:color="auto" w:fill="auto"/>
          </w:tcPr>
          <w:p w14:paraId="37F9BDC2" w14:textId="77777777" w:rsidR="000E38BD" w:rsidRPr="00446050" w:rsidRDefault="000E38BD">
            <w:pPr>
              <w:pStyle w:val="ARtabletextright"/>
            </w:pPr>
            <w:r w:rsidRPr="00446050">
              <w:t>12%</w:t>
            </w:r>
          </w:p>
        </w:tc>
        <w:tc>
          <w:tcPr>
            <w:tcW w:w="802" w:type="dxa"/>
            <w:gridSpan w:val="2"/>
            <w:tcBorders>
              <w:top w:val="single" w:sz="4" w:space="0" w:color="BFBFBF" w:themeColor="background1" w:themeShade="BF"/>
              <w:bottom w:val="nil"/>
            </w:tcBorders>
            <w:shd w:val="clear" w:color="auto" w:fill="auto"/>
          </w:tcPr>
          <w:p w14:paraId="02F196E5"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4492196F" w14:textId="77777777" w:rsidTr="00AE119E">
        <w:tblPrEx>
          <w:tblBorders>
            <w:top w:val="none" w:sz="0" w:space="0" w:color="auto"/>
            <w:bottom w:val="none" w:sz="0" w:space="0" w:color="auto"/>
            <w:insideH w:val="none" w:sz="0" w:space="0" w:color="auto"/>
          </w:tblBorders>
        </w:tblPrEx>
        <w:trPr>
          <w:cantSplit/>
        </w:trPr>
        <w:tc>
          <w:tcPr>
            <w:tcW w:w="9632" w:type="dxa"/>
            <w:gridSpan w:val="7"/>
            <w:tcBorders>
              <w:bottom w:val="single" w:sz="4" w:space="0" w:color="BFBFBF" w:themeColor="background1" w:themeShade="BF"/>
            </w:tcBorders>
            <w:shd w:val="clear" w:color="auto" w:fill="auto"/>
            <w:noWrap/>
            <w:hideMark/>
          </w:tcPr>
          <w:p w14:paraId="08F5462E" w14:textId="03C016A5" w:rsidR="000E38BD" w:rsidRPr="00446050" w:rsidRDefault="000E38BD">
            <w:pPr>
              <w:pStyle w:val="ARtablenoteindent"/>
            </w:pPr>
            <w:r w:rsidRPr="00446050">
              <w:t>The 2023</w:t>
            </w:r>
            <w:r w:rsidR="00E837F9">
              <w:t>–</w:t>
            </w:r>
            <w:r w:rsidRPr="00446050">
              <w:t>24 actual outcome is higher than the target due to higher</w:t>
            </w:r>
            <w:r w:rsidR="00065E58">
              <w:t>-</w:t>
            </w:r>
            <w:r w:rsidRPr="00446050">
              <w:t>than</w:t>
            </w:r>
            <w:r w:rsidR="00065E58">
              <w:t>-</w:t>
            </w:r>
            <w:r w:rsidRPr="00446050">
              <w:t>expected numbers of older people renewing their membership to U3A clubs to participate in social and educational activities post COVID-19 restrictions.</w:t>
            </w:r>
          </w:p>
        </w:tc>
      </w:tr>
      <w:bookmarkEnd w:id="148"/>
      <w:tr w:rsidR="000E38BD" w:rsidRPr="00446050" w14:paraId="5C3AEB54" w14:textId="77777777" w:rsidTr="00666417">
        <w:trPr>
          <w:cantSplit/>
        </w:trPr>
        <w:tc>
          <w:tcPr>
            <w:tcW w:w="4744" w:type="dxa"/>
            <w:tcBorders>
              <w:top w:val="single" w:sz="4" w:space="0" w:color="BFBFBF" w:themeColor="background1" w:themeShade="BF"/>
              <w:bottom w:val="nil"/>
            </w:tcBorders>
            <w:shd w:val="clear" w:color="auto" w:fill="auto"/>
          </w:tcPr>
          <w:p w14:paraId="33E693E4" w14:textId="77777777" w:rsidR="000E38BD" w:rsidRPr="00446050" w:rsidRDefault="000E38BD">
            <w:pPr>
              <w:pStyle w:val="ARtabletext"/>
            </w:pPr>
            <w:r w:rsidRPr="00446050">
              <w:t>Open rates for Seniors Card eNewsletters</w:t>
            </w:r>
          </w:p>
        </w:tc>
        <w:tc>
          <w:tcPr>
            <w:tcW w:w="1018" w:type="dxa"/>
            <w:tcBorders>
              <w:top w:val="single" w:sz="4" w:space="0" w:color="BFBFBF" w:themeColor="background1" w:themeShade="BF"/>
              <w:bottom w:val="nil"/>
            </w:tcBorders>
            <w:shd w:val="clear" w:color="auto" w:fill="auto"/>
          </w:tcPr>
          <w:p w14:paraId="2FC4593C" w14:textId="77777777" w:rsidR="000E38BD" w:rsidRPr="00446050" w:rsidRDefault="000E38BD">
            <w:pPr>
              <w:pStyle w:val="ARtabletext"/>
            </w:pPr>
            <w:r w:rsidRPr="00446050">
              <w:t>per cent</w:t>
            </w:r>
          </w:p>
        </w:tc>
        <w:tc>
          <w:tcPr>
            <w:tcW w:w="1020" w:type="dxa"/>
            <w:tcBorders>
              <w:top w:val="single" w:sz="4" w:space="0" w:color="BFBFBF" w:themeColor="background1" w:themeShade="BF"/>
              <w:bottom w:val="nil"/>
            </w:tcBorders>
            <w:shd w:val="clear" w:color="auto" w:fill="auto"/>
          </w:tcPr>
          <w:p w14:paraId="1AA0309C" w14:textId="3B82ADA4" w:rsidR="000E38BD" w:rsidRPr="00446050" w:rsidRDefault="000E38BD">
            <w:pPr>
              <w:pStyle w:val="ARtabletextright"/>
            </w:pPr>
            <w:r w:rsidRPr="00446050">
              <w:t>48</w:t>
            </w:r>
            <w:r w:rsidR="00E60D8D">
              <w:t>.0</w:t>
            </w:r>
          </w:p>
        </w:tc>
        <w:tc>
          <w:tcPr>
            <w:tcW w:w="1022" w:type="dxa"/>
            <w:tcBorders>
              <w:top w:val="single" w:sz="4" w:space="0" w:color="BFBFBF" w:themeColor="background1" w:themeShade="BF"/>
              <w:bottom w:val="nil"/>
            </w:tcBorders>
            <w:shd w:val="clear" w:color="auto" w:fill="auto"/>
          </w:tcPr>
          <w:p w14:paraId="0E759409" w14:textId="77777777" w:rsidR="000E38BD" w:rsidRPr="00446050" w:rsidRDefault="000E38BD">
            <w:pPr>
              <w:pStyle w:val="ARtabletextright"/>
            </w:pPr>
            <w:r w:rsidRPr="00446050">
              <w:t>60.3</w:t>
            </w:r>
          </w:p>
        </w:tc>
        <w:tc>
          <w:tcPr>
            <w:tcW w:w="1026" w:type="dxa"/>
            <w:tcBorders>
              <w:top w:val="single" w:sz="4" w:space="0" w:color="BFBFBF" w:themeColor="background1" w:themeShade="BF"/>
              <w:bottom w:val="nil"/>
            </w:tcBorders>
            <w:shd w:val="clear" w:color="auto" w:fill="auto"/>
          </w:tcPr>
          <w:p w14:paraId="4FBCDC0F" w14:textId="77777777" w:rsidR="000E38BD" w:rsidRPr="00446050" w:rsidRDefault="000E38BD">
            <w:pPr>
              <w:pStyle w:val="ARtabletextright"/>
            </w:pPr>
            <w:r w:rsidRPr="00446050">
              <w:t>25.6%</w:t>
            </w:r>
          </w:p>
        </w:tc>
        <w:tc>
          <w:tcPr>
            <w:tcW w:w="802" w:type="dxa"/>
            <w:gridSpan w:val="2"/>
            <w:tcBorders>
              <w:top w:val="single" w:sz="4" w:space="0" w:color="BFBFBF" w:themeColor="background1" w:themeShade="BF"/>
              <w:bottom w:val="nil"/>
            </w:tcBorders>
            <w:shd w:val="clear" w:color="auto" w:fill="auto"/>
          </w:tcPr>
          <w:p w14:paraId="1B530D88"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79B69C59" w14:textId="77777777" w:rsidTr="00666417">
        <w:trPr>
          <w:cantSplit/>
        </w:trPr>
        <w:tc>
          <w:tcPr>
            <w:tcW w:w="9632" w:type="dxa"/>
            <w:gridSpan w:val="7"/>
            <w:tcBorders>
              <w:top w:val="nil"/>
              <w:bottom w:val="nil"/>
            </w:tcBorders>
            <w:shd w:val="clear" w:color="auto" w:fill="auto"/>
          </w:tcPr>
          <w:p w14:paraId="5B62D5F2" w14:textId="131552C2" w:rsidR="000E38BD" w:rsidRPr="00446050" w:rsidRDefault="000E38BD">
            <w:pPr>
              <w:pStyle w:val="ARtablenoteindent"/>
            </w:pPr>
            <w:r w:rsidRPr="00446050">
              <w:t>The 2023</w:t>
            </w:r>
            <w:r w:rsidR="00E837F9">
              <w:t>–</w:t>
            </w:r>
            <w:r w:rsidRPr="00446050">
              <w:t>24 actual outcome is higher than the target due to effective strategies to increase open rates of the eNewsletter for Seniors Card holders, including the inclusion of competitions (event and movie ticket giveaways), promotion of the Seniors Festival and a focus on cost of living discount offerings (grocery and fuel discounts).</w:t>
            </w:r>
          </w:p>
        </w:tc>
      </w:tr>
      <w:tr w:rsidR="000E38BD" w:rsidRPr="00446050" w14:paraId="10BD0D24" w14:textId="77777777" w:rsidTr="00666417">
        <w:trPr>
          <w:cantSplit/>
        </w:trPr>
        <w:tc>
          <w:tcPr>
            <w:tcW w:w="4744" w:type="dxa"/>
            <w:tcBorders>
              <w:top w:val="single" w:sz="4" w:space="0" w:color="BFBFBF" w:themeColor="background1" w:themeShade="BF"/>
              <w:bottom w:val="nil"/>
            </w:tcBorders>
            <w:shd w:val="clear" w:color="auto" w:fill="auto"/>
          </w:tcPr>
          <w:p w14:paraId="6D98F0B3" w14:textId="77777777" w:rsidR="000E38BD" w:rsidRPr="00446050" w:rsidRDefault="000E38BD">
            <w:pPr>
              <w:pStyle w:val="ARtabletext"/>
            </w:pPr>
            <w:r w:rsidRPr="00446050">
              <w:t>Individuals provided with respite and support services</w:t>
            </w:r>
          </w:p>
        </w:tc>
        <w:tc>
          <w:tcPr>
            <w:tcW w:w="1018" w:type="dxa"/>
            <w:tcBorders>
              <w:top w:val="single" w:sz="4" w:space="0" w:color="BFBFBF" w:themeColor="background1" w:themeShade="BF"/>
              <w:bottom w:val="nil"/>
            </w:tcBorders>
            <w:shd w:val="clear" w:color="auto" w:fill="auto"/>
          </w:tcPr>
          <w:p w14:paraId="1F56F24C" w14:textId="77777777" w:rsidR="000E38BD" w:rsidRPr="00446050" w:rsidRDefault="000E38BD">
            <w:pPr>
              <w:pStyle w:val="ARtabletext"/>
            </w:pPr>
            <w:r w:rsidRPr="00446050">
              <w:t>number</w:t>
            </w:r>
          </w:p>
        </w:tc>
        <w:tc>
          <w:tcPr>
            <w:tcW w:w="1020" w:type="dxa"/>
            <w:tcBorders>
              <w:top w:val="single" w:sz="4" w:space="0" w:color="BFBFBF" w:themeColor="background1" w:themeShade="BF"/>
              <w:bottom w:val="nil"/>
            </w:tcBorders>
            <w:shd w:val="clear" w:color="auto" w:fill="auto"/>
          </w:tcPr>
          <w:p w14:paraId="659A1D68" w14:textId="77777777" w:rsidR="000E38BD" w:rsidRPr="005544AB" w:rsidRDefault="000E38BD">
            <w:pPr>
              <w:pStyle w:val="ARtabletextright"/>
            </w:pPr>
            <w:r w:rsidRPr="005544AB">
              <w:t>12,580</w:t>
            </w:r>
          </w:p>
        </w:tc>
        <w:tc>
          <w:tcPr>
            <w:tcW w:w="1022" w:type="dxa"/>
            <w:tcBorders>
              <w:top w:val="single" w:sz="4" w:space="0" w:color="BFBFBF" w:themeColor="background1" w:themeShade="BF"/>
              <w:bottom w:val="nil"/>
            </w:tcBorders>
            <w:shd w:val="clear" w:color="auto" w:fill="auto"/>
          </w:tcPr>
          <w:p w14:paraId="646709C7" w14:textId="2144D8DB" w:rsidR="000E38BD" w:rsidRPr="005544AB" w:rsidRDefault="00C25E6B">
            <w:pPr>
              <w:pStyle w:val="ARtabletextright"/>
            </w:pPr>
            <w:r w:rsidRPr="005544AB">
              <w:t>20,927</w:t>
            </w:r>
          </w:p>
        </w:tc>
        <w:tc>
          <w:tcPr>
            <w:tcW w:w="1026" w:type="dxa"/>
            <w:tcBorders>
              <w:top w:val="single" w:sz="4" w:space="0" w:color="BFBFBF" w:themeColor="background1" w:themeShade="BF"/>
              <w:bottom w:val="nil"/>
            </w:tcBorders>
            <w:shd w:val="clear" w:color="auto" w:fill="auto"/>
          </w:tcPr>
          <w:p w14:paraId="5FEEFFD1" w14:textId="21EE7DB2" w:rsidR="000E38BD" w:rsidRPr="005544AB" w:rsidRDefault="00C25E6B">
            <w:pPr>
              <w:pStyle w:val="ARtabletextright"/>
            </w:pPr>
            <w:r w:rsidRPr="005544AB">
              <w:t>66.4</w:t>
            </w:r>
            <w:r w:rsidR="000E38BD" w:rsidRPr="005544AB">
              <w:t>%</w:t>
            </w:r>
          </w:p>
        </w:tc>
        <w:tc>
          <w:tcPr>
            <w:tcW w:w="802" w:type="dxa"/>
            <w:gridSpan w:val="2"/>
            <w:tcBorders>
              <w:top w:val="single" w:sz="4" w:space="0" w:color="BFBFBF" w:themeColor="background1" w:themeShade="BF"/>
              <w:bottom w:val="nil"/>
            </w:tcBorders>
            <w:shd w:val="clear" w:color="auto" w:fill="auto"/>
          </w:tcPr>
          <w:p w14:paraId="6ED8DDAC"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0DD39DA7" w14:textId="77777777" w:rsidTr="001609DF">
        <w:trPr>
          <w:cantSplit/>
        </w:trPr>
        <w:tc>
          <w:tcPr>
            <w:tcW w:w="9632" w:type="dxa"/>
            <w:gridSpan w:val="7"/>
            <w:tcBorders>
              <w:top w:val="nil"/>
              <w:bottom w:val="single" w:sz="4" w:space="0" w:color="BFBFBF" w:themeColor="background1" w:themeShade="BF"/>
            </w:tcBorders>
            <w:shd w:val="clear" w:color="auto" w:fill="auto"/>
          </w:tcPr>
          <w:p w14:paraId="3FADE915" w14:textId="6D4EF7FE" w:rsidR="000E38BD" w:rsidRPr="005544AB" w:rsidRDefault="00052BF6">
            <w:pPr>
              <w:pStyle w:val="ARtablenoteindent"/>
            </w:pPr>
            <w:r w:rsidRPr="00446050">
              <w:t>The 2023</w:t>
            </w:r>
            <w:r>
              <w:t>–</w:t>
            </w:r>
            <w:r w:rsidRPr="00446050">
              <w:t>24 result is higher than the target due to</w:t>
            </w:r>
            <w:r>
              <w:t xml:space="preserve"> increased</w:t>
            </w:r>
            <w:r w:rsidRPr="00446050">
              <w:t xml:space="preserve"> numbers of carers accessing</w:t>
            </w:r>
            <w:r>
              <w:t xml:space="preserve"> supports including </w:t>
            </w:r>
            <w:r w:rsidRPr="00446050">
              <w:t>online forums</w:t>
            </w:r>
            <w:r>
              <w:t>, requesting</w:t>
            </w:r>
            <w:r w:rsidRPr="00446050">
              <w:t xml:space="preserve"> information </w:t>
            </w:r>
            <w:r>
              <w:t>alongside</w:t>
            </w:r>
            <w:r w:rsidR="00E360C4">
              <w:t xml:space="preserve"> </w:t>
            </w:r>
            <w:r w:rsidRPr="00446050">
              <w:t>traditional respite and support service delivery.</w:t>
            </w:r>
            <w:r>
              <w:t xml:space="preserve"> Note this data encompasses the Support for Carers Program combined with the Additional Respite for funded initiatives.</w:t>
            </w:r>
          </w:p>
        </w:tc>
      </w:tr>
      <w:tr w:rsidR="000E38BD" w:rsidRPr="00446050" w14:paraId="117B3B40" w14:textId="77777777" w:rsidTr="00D4716C">
        <w:trPr>
          <w:cantSplit/>
        </w:trPr>
        <w:tc>
          <w:tcPr>
            <w:tcW w:w="4744" w:type="dxa"/>
            <w:tcBorders>
              <w:top w:val="single" w:sz="4" w:space="0" w:color="BFBFBF" w:themeColor="background1" w:themeShade="BF"/>
              <w:bottom w:val="nil"/>
            </w:tcBorders>
            <w:shd w:val="clear" w:color="auto" w:fill="auto"/>
          </w:tcPr>
          <w:p w14:paraId="0A53CD0A" w14:textId="77777777" w:rsidR="000E38BD" w:rsidRPr="00446050" w:rsidRDefault="000E38BD">
            <w:pPr>
              <w:pStyle w:val="ARtabletext"/>
              <w:keepNext/>
            </w:pPr>
            <w:r w:rsidRPr="00446050">
              <w:t>Number of hours of respite and support services</w:t>
            </w:r>
          </w:p>
        </w:tc>
        <w:tc>
          <w:tcPr>
            <w:tcW w:w="1018" w:type="dxa"/>
            <w:tcBorders>
              <w:top w:val="single" w:sz="4" w:space="0" w:color="BFBFBF" w:themeColor="background1" w:themeShade="BF"/>
              <w:bottom w:val="nil"/>
            </w:tcBorders>
            <w:shd w:val="clear" w:color="auto" w:fill="auto"/>
          </w:tcPr>
          <w:p w14:paraId="4BEDA30B" w14:textId="77777777" w:rsidR="000E38BD" w:rsidRPr="00446050" w:rsidRDefault="000E38BD">
            <w:pPr>
              <w:pStyle w:val="ARtabletext"/>
            </w:pPr>
            <w:r w:rsidRPr="00446050">
              <w:t>Number</w:t>
            </w:r>
          </w:p>
        </w:tc>
        <w:tc>
          <w:tcPr>
            <w:tcW w:w="1020" w:type="dxa"/>
            <w:tcBorders>
              <w:top w:val="single" w:sz="4" w:space="0" w:color="BFBFBF" w:themeColor="background1" w:themeShade="BF"/>
              <w:bottom w:val="nil"/>
            </w:tcBorders>
            <w:shd w:val="clear" w:color="auto" w:fill="auto"/>
          </w:tcPr>
          <w:p w14:paraId="7694AF7D" w14:textId="77777777" w:rsidR="000E38BD" w:rsidRPr="005544AB" w:rsidRDefault="000E38BD">
            <w:pPr>
              <w:pStyle w:val="ARtabletextright"/>
            </w:pPr>
            <w:r w:rsidRPr="005544AB">
              <w:t>251,150</w:t>
            </w:r>
          </w:p>
        </w:tc>
        <w:tc>
          <w:tcPr>
            <w:tcW w:w="1022" w:type="dxa"/>
            <w:tcBorders>
              <w:top w:val="single" w:sz="4" w:space="0" w:color="BFBFBF" w:themeColor="background1" w:themeShade="BF"/>
              <w:bottom w:val="nil"/>
            </w:tcBorders>
            <w:shd w:val="clear" w:color="auto" w:fill="auto"/>
          </w:tcPr>
          <w:p w14:paraId="411D4E17" w14:textId="189430F8" w:rsidR="000E38BD" w:rsidRPr="005544AB" w:rsidRDefault="00EC765B">
            <w:pPr>
              <w:pStyle w:val="ARtabletextright"/>
            </w:pPr>
            <w:r w:rsidRPr="005544AB">
              <w:t>285,457</w:t>
            </w:r>
          </w:p>
        </w:tc>
        <w:tc>
          <w:tcPr>
            <w:tcW w:w="1026" w:type="dxa"/>
            <w:tcBorders>
              <w:top w:val="single" w:sz="4" w:space="0" w:color="BFBFBF" w:themeColor="background1" w:themeShade="BF"/>
              <w:bottom w:val="nil"/>
            </w:tcBorders>
            <w:shd w:val="clear" w:color="auto" w:fill="auto"/>
          </w:tcPr>
          <w:p w14:paraId="1C498F9D" w14:textId="476D653E" w:rsidR="000E38BD" w:rsidRPr="005544AB" w:rsidRDefault="00EC765B">
            <w:pPr>
              <w:pStyle w:val="ARtabletextright"/>
            </w:pPr>
            <w:r w:rsidRPr="005544AB">
              <w:t>13.7</w:t>
            </w:r>
            <w:r w:rsidR="000E38BD" w:rsidRPr="005544AB">
              <w:t>%</w:t>
            </w:r>
          </w:p>
        </w:tc>
        <w:tc>
          <w:tcPr>
            <w:tcW w:w="802" w:type="dxa"/>
            <w:gridSpan w:val="2"/>
            <w:tcBorders>
              <w:top w:val="single" w:sz="4" w:space="0" w:color="BFBFBF" w:themeColor="background1" w:themeShade="BF"/>
              <w:bottom w:val="nil"/>
            </w:tcBorders>
            <w:shd w:val="clear" w:color="auto" w:fill="auto"/>
          </w:tcPr>
          <w:p w14:paraId="4D1749E9" w14:textId="77777777" w:rsidR="000E38BD" w:rsidRPr="00446050" w:rsidRDefault="000E38BD">
            <w:pPr>
              <w:pStyle w:val="ARtableperformancesymbol"/>
              <w:rPr>
                <w:rFonts w:hint="eastAsia"/>
                <w:lang w:val="en-AU"/>
              </w:rPr>
            </w:pPr>
            <w:r w:rsidRPr="00446050">
              <w:rPr>
                <w:rFonts w:eastAsia="Wingdings" w:cs="Wingdings"/>
              </w:rPr>
              <w:t></w:t>
            </w:r>
          </w:p>
        </w:tc>
      </w:tr>
      <w:tr w:rsidR="00666417" w:rsidRPr="00446050" w14:paraId="73637EC4" w14:textId="77777777" w:rsidTr="00D4716C">
        <w:trPr>
          <w:cantSplit/>
        </w:trPr>
        <w:tc>
          <w:tcPr>
            <w:tcW w:w="9632" w:type="dxa"/>
            <w:gridSpan w:val="7"/>
            <w:tcBorders>
              <w:top w:val="nil"/>
              <w:bottom w:val="nil"/>
            </w:tcBorders>
            <w:shd w:val="clear" w:color="auto" w:fill="auto"/>
          </w:tcPr>
          <w:p w14:paraId="53976DFE" w14:textId="15481CFC" w:rsidR="00666417" w:rsidRPr="00666417" w:rsidRDefault="00666417" w:rsidP="00666417">
            <w:pPr>
              <w:pStyle w:val="ARtablenoteindent"/>
            </w:pPr>
            <w:r w:rsidRPr="00446050">
              <w:t>The 2023</w:t>
            </w:r>
            <w:r>
              <w:t>–</w:t>
            </w:r>
            <w:r w:rsidRPr="00446050">
              <w:t>24 result is higher than the target due to</w:t>
            </w:r>
            <w:r>
              <w:t xml:space="preserve"> increased</w:t>
            </w:r>
            <w:r w:rsidRPr="00446050">
              <w:t xml:space="preserve"> numbers of carers accessing</w:t>
            </w:r>
            <w:r>
              <w:t xml:space="preserve"> supports including </w:t>
            </w:r>
            <w:r w:rsidRPr="00446050">
              <w:t>online forums</w:t>
            </w:r>
            <w:r>
              <w:t xml:space="preserve">, </w:t>
            </w:r>
            <w:r w:rsidRPr="00D4716C">
              <w:t>requesting information alongside traditional respite and support service delivery. Note this data encompasses the Support for Carers Program combined with the Additional Respite for carers funded initiatives.</w:t>
            </w:r>
          </w:p>
        </w:tc>
      </w:tr>
      <w:tr w:rsidR="000E38BD" w:rsidRPr="00446050" w14:paraId="2DF72B7C" w14:textId="77777777" w:rsidTr="7B817B7B">
        <w:trPr>
          <w:gridAfter w:val="1"/>
          <w:wAfter w:w="8" w:type="dxa"/>
          <w:cantSplit/>
        </w:trPr>
        <w:tc>
          <w:tcPr>
            <w:tcW w:w="4744" w:type="dxa"/>
            <w:tcBorders>
              <w:top w:val="single" w:sz="4" w:space="0" w:color="A6A6A6" w:themeColor="background1" w:themeShade="A6"/>
              <w:bottom w:val="single" w:sz="4" w:space="0" w:color="A6A6A6" w:themeColor="background1" w:themeShade="A6"/>
            </w:tcBorders>
            <w:shd w:val="clear" w:color="auto" w:fill="auto"/>
          </w:tcPr>
          <w:p w14:paraId="3F9CC44A" w14:textId="77777777" w:rsidR="000E38BD" w:rsidRPr="00446050" w:rsidRDefault="000E38BD">
            <w:pPr>
              <w:pStyle w:val="ARtabletext"/>
            </w:pPr>
            <w:r w:rsidRPr="00446050">
              <w:t>Eligible seniors in the Seniors Card program</w:t>
            </w:r>
          </w:p>
        </w:tc>
        <w:tc>
          <w:tcPr>
            <w:tcW w:w="1018" w:type="dxa"/>
            <w:tcBorders>
              <w:top w:val="single" w:sz="4" w:space="0" w:color="A6A6A6" w:themeColor="background1" w:themeShade="A6"/>
              <w:bottom w:val="single" w:sz="4" w:space="0" w:color="A6A6A6" w:themeColor="background1" w:themeShade="A6"/>
            </w:tcBorders>
            <w:shd w:val="clear" w:color="auto" w:fill="auto"/>
          </w:tcPr>
          <w:p w14:paraId="7C233401" w14:textId="77777777" w:rsidR="000E38BD" w:rsidRPr="00446050" w:rsidRDefault="000E38BD">
            <w:pPr>
              <w:pStyle w:val="ARtabletext"/>
            </w:pPr>
            <w:r w:rsidRPr="00446050">
              <w:t>per cent</w:t>
            </w:r>
          </w:p>
        </w:tc>
        <w:tc>
          <w:tcPr>
            <w:tcW w:w="1020" w:type="dxa"/>
            <w:tcBorders>
              <w:top w:val="single" w:sz="4" w:space="0" w:color="A6A6A6" w:themeColor="background1" w:themeShade="A6"/>
              <w:bottom w:val="single" w:sz="4" w:space="0" w:color="A6A6A6" w:themeColor="background1" w:themeShade="A6"/>
            </w:tcBorders>
            <w:shd w:val="clear" w:color="auto" w:fill="auto"/>
          </w:tcPr>
          <w:p w14:paraId="6D8F047E" w14:textId="1B7FABED" w:rsidR="000E38BD" w:rsidRPr="00446050" w:rsidRDefault="000E38BD">
            <w:pPr>
              <w:pStyle w:val="ARtabletextright"/>
            </w:pPr>
            <w:r w:rsidRPr="00446050">
              <w:t>90</w:t>
            </w:r>
            <w:r w:rsidR="00E60D8D">
              <w:t>.0</w:t>
            </w:r>
          </w:p>
        </w:tc>
        <w:tc>
          <w:tcPr>
            <w:tcW w:w="1022" w:type="dxa"/>
            <w:tcBorders>
              <w:top w:val="single" w:sz="4" w:space="0" w:color="A6A6A6" w:themeColor="background1" w:themeShade="A6"/>
              <w:bottom w:val="single" w:sz="4" w:space="0" w:color="A6A6A6" w:themeColor="background1" w:themeShade="A6"/>
            </w:tcBorders>
            <w:shd w:val="clear" w:color="auto" w:fill="auto"/>
          </w:tcPr>
          <w:p w14:paraId="22AC58FA" w14:textId="77777777" w:rsidR="000E38BD" w:rsidRPr="00446050" w:rsidRDefault="000E38BD">
            <w:pPr>
              <w:pStyle w:val="ARtabletextright"/>
            </w:pPr>
            <w:r w:rsidRPr="00446050">
              <w:t>91.5</w:t>
            </w:r>
          </w:p>
        </w:tc>
        <w:tc>
          <w:tcPr>
            <w:tcW w:w="1026" w:type="dxa"/>
            <w:tcBorders>
              <w:top w:val="single" w:sz="4" w:space="0" w:color="A6A6A6" w:themeColor="background1" w:themeShade="A6"/>
              <w:bottom w:val="single" w:sz="4" w:space="0" w:color="A6A6A6" w:themeColor="background1" w:themeShade="A6"/>
            </w:tcBorders>
            <w:shd w:val="clear" w:color="auto" w:fill="auto"/>
          </w:tcPr>
          <w:p w14:paraId="48DE2465" w14:textId="0B0389C1" w:rsidR="000E38BD" w:rsidRPr="00446050" w:rsidRDefault="000E38BD">
            <w:pPr>
              <w:pStyle w:val="ARtabletextright"/>
              <w:spacing w:line="360" w:lineRule="auto"/>
            </w:pPr>
            <w:r w:rsidRPr="00446050">
              <w:t>1.7</w:t>
            </w:r>
            <w:r w:rsidR="00920572">
              <w:t>%</w:t>
            </w:r>
          </w:p>
        </w:tc>
        <w:tc>
          <w:tcPr>
            <w:tcW w:w="794" w:type="dxa"/>
            <w:tcBorders>
              <w:top w:val="single" w:sz="4" w:space="0" w:color="A6A6A6" w:themeColor="background1" w:themeShade="A6"/>
              <w:bottom w:val="single" w:sz="4" w:space="0" w:color="A6A6A6" w:themeColor="background1" w:themeShade="A6"/>
            </w:tcBorders>
            <w:shd w:val="clear" w:color="auto" w:fill="auto"/>
          </w:tcPr>
          <w:p w14:paraId="0D270BAA" w14:textId="77777777" w:rsidR="000E38BD" w:rsidRPr="00446050" w:rsidRDefault="000E38BD">
            <w:pPr>
              <w:pStyle w:val="ARtableperformancesymbol"/>
              <w:rPr>
                <w:rFonts w:ascii="Arial" w:eastAsia="Times" w:hAnsi="Arial" w:cs="Arial"/>
                <w:lang w:val="en-AU" w:eastAsia="en-AU"/>
              </w:rPr>
            </w:pPr>
            <w:r w:rsidRPr="00446050">
              <w:rPr>
                <w:rFonts w:eastAsia="Wingdings" w:cs="Wingdings"/>
              </w:rPr>
              <w:t></w:t>
            </w:r>
          </w:p>
        </w:tc>
      </w:tr>
      <w:tr w:rsidR="000E38BD" w:rsidRPr="00446050" w14:paraId="146E3C40" w14:textId="77777777" w:rsidTr="7B817B7B">
        <w:trPr>
          <w:gridAfter w:val="1"/>
          <w:wAfter w:w="8" w:type="dxa"/>
          <w:cantSplit/>
        </w:trPr>
        <w:tc>
          <w:tcPr>
            <w:tcW w:w="4744" w:type="dxa"/>
            <w:tcBorders>
              <w:top w:val="single" w:sz="4" w:space="0" w:color="A6A6A6" w:themeColor="background1" w:themeShade="A6"/>
              <w:bottom w:val="nil"/>
            </w:tcBorders>
            <w:shd w:val="clear" w:color="auto" w:fill="auto"/>
          </w:tcPr>
          <w:p w14:paraId="7E4C0CC2" w14:textId="77777777" w:rsidR="000E38BD" w:rsidRPr="00446050" w:rsidRDefault="000E38BD">
            <w:pPr>
              <w:pStyle w:val="ARtabletext"/>
            </w:pPr>
            <w:r w:rsidRPr="00446050">
              <w:t>Senior satisfaction with Victorian Seniors Festival events</w:t>
            </w:r>
          </w:p>
        </w:tc>
        <w:tc>
          <w:tcPr>
            <w:tcW w:w="1018" w:type="dxa"/>
            <w:tcBorders>
              <w:top w:val="single" w:sz="4" w:space="0" w:color="A6A6A6" w:themeColor="background1" w:themeShade="A6"/>
              <w:bottom w:val="nil"/>
            </w:tcBorders>
            <w:shd w:val="clear" w:color="auto" w:fill="auto"/>
          </w:tcPr>
          <w:p w14:paraId="46927114" w14:textId="77777777" w:rsidR="000E38BD" w:rsidRPr="00446050" w:rsidRDefault="000E38BD">
            <w:pPr>
              <w:pStyle w:val="ARtabletext"/>
            </w:pPr>
            <w:r w:rsidRPr="00446050">
              <w:t>per cent</w:t>
            </w:r>
          </w:p>
        </w:tc>
        <w:tc>
          <w:tcPr>
            <w:tcW w:w="1020" w:type="dxa"/>
            <w:tcBorders>
              <w:top w:val="single" w:sz="4" w:space="0" w:color="A6A6A6" w:themeColor="background1" w:themeShade="A6"/>
              <w:bottom w:val="nil"/>
            </w:tcBorders>
            <w:shd w:val="clear" w:color="auto" w:fill="auto"/>
          </w:tcPr>
          <w:p w14:paraId="7B08D6D1" w14:textId="6A15DE4A" w:rsidR="000E38BD" w:rsidRPr="00446050" w:rsidRDefault="000E38BD">
            <w:pPr>
              <w:pStyle w:val="ARtabletextright"/>
            </w:pPr>
            <w:r w:rsidRPr="00446050">
              <w:t>90</w:t>
            </w:r>
            <w:r w:rsidR="00E60D8D">
              <w:t>.0</w:t>
            </w:r>
          </w:p>
        </w:tc>
        <w:tc>
          <w:tcPr>
            <w:tcW w:w="1022" w:type="dxa"/>
            <w:tcBorders>
              <w:top w:val="single" w:sz="4" w:space="0" w:color="A6A6A6" w:themeColor="background1" w:themeShade="A6"/>
              <w:bottom w:val="nil"/>
            </w:tcBorders>
            <w:shd w:val="clear" w:color="auto" w:fill="auto"/>
          </w:tcPr>
          <w:p w14:paraId="1D2605DE" w14:textId="5B32526B" w:rsidR="000E38BD" w:rsidRPr="00446050" w:rsidRDefault="000E38BD">
            <w:pPr>
              <w:pStyle w:val="ARtabletextright"/>
            </w:pPr>
            <w:r w:rsidRPr="00446050">
              <w:t>90</w:t>
            </w:r>
            <w:r w:rsidR="00E60D8D">
              <w:t>.0</w:t>
            </w:r>
          </w:p>
        </w:tc>
        <w:tc>
          <w:tcPr>
            <w:tcW w:w="1026" w:type="dxa"/>
            <w:tcBorders>
              <w:top w:val="single" w:sz="4" w:space="0" w:color="A6A6A6" w:themeColor="background1" w:themeShade="A6"/>
              <w:bottom w:val="nil"/>
            </w:tcBorders>
            <w:shd w:val="clear" w:color="auto" w:fill="auto"/>
          </w:tcPr>
          <w:p w14:paraId="56BBC587" w14:textId="77777777" w:rsidR="000E38BD" w:rsidRPr="00446050" w:rsidRDefault="000E38BD">
            <w:pPr>
              <w:pStyle w:val="ARtabletextright"/>
            </w:pPr>
            <w:r w:rsidRPr="00446050">
              <w:t>0%</w:t>
            </w:r>
          </w:p>
        </w:tc>
        <w:tc>
          <w:tcPr>
            <w:tcW w:w="794" w:type="dxa"/>
            <w:tcBorders>
              <w:top w:val="single" w:sz="4" w:space="0" w:color="A6A6A6" w:themeColor="background1" w:themeShade="A6"/>
              <w:bottom w:val="nil"/>
            </w:tcBorders>
            <w:shd w:val="clear" w:color="auto" w:fill="auto"/>
          </w:tcPr>
          <w:p w14:paraId="7C95A880"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7369DFFB" w14:textId="77777777" w:rsidTr="7B817B7B">
        <w:trPr>
          <w:cantSplit/>
        </w:trPr>
        <w:tc>
          <w:tcPr>
            <w:tcW w:w="9632" w:type="dxa"/>
            <w:gridSpan w:val="7"/>
            <w:tcBorders>
              <w:top w:val="single" w:sz="4" w:space="0" w:color="BFBFBF" w:themeColor="background1" w:themeShade="BF"/>
              <w:bottom w:val="nil"/>
              <w:right w:val="nil"/>
            </w:tcBorders>
            <w:hideMark/>
          </w:tcPr>
          <w:p w14:paraId="640A1F91" w14:textId="77777777" w:rsidR="000E38BD" w:rsidRPr="00A274A7" w:rsidRDefault="000E38BD" w:rsidP="00A274A7">
            <w:pPr>
              <w:pStyle w:val="ARtablegreybold"/>
            </w:pPr>
            <w:r w:rsidRPr="00446050">
              <w:t>Cost</w:t>
            </w:r>
          </w:p>
        </w:tc>
      </w:tr>
      <w:tr w:rsidR="000E38BD" w:rsidRPr="00532DAE" w14:paraId="4B722E73" w14:textId="77777777" w:rsidTr="00666417">
        <w:trPr>
          <w:cantSplit/>
        </w:trPr>
        <w:tc>
          <w:tcPr>
            <w:tcW w:w="4744" w:type="dxa"/>
            <w:tcBorders>
              <w:top w:val="nil"/>
              <w:bottom w:val="single" w:sz="4" w:space="0" w:color="auto"/>
            </w:tcBorders>
            <w:hideMark/>
          </w:tcPr>
          <w:p w14:paraId="3FC28603" w14:textId="77777777" w:rsidR="000E38BD" w:rsidRPr="00446050" w:rsidRDefault="000E38BD" w:rsidP="00A274A7">
            <w:pPr>
              <w:pStyle w:val="ARtabletextbold"/>
            </w:pPr>
            <w:r w:rsidRPr="00446050">
              <w:t>Total output cost</w:t>
            </w:r>
          </w:p>
        </w:tc>
        <w:tc>
          <w:tcPr>
            <w:tcW w:w="1018" w:type="dxa"/>
            <w:tcBorders>
              <w:top w:val="nil"/>
              <w:bottom w:val="single" w:sz="4" w:space="0" w:color="auto"/>
            </w:tcBorders>
            <w:hideMark/>
          </w:tcPr>
          <w:p w14:paraId="249BF53C" w14:textId="77777777" w:rsidR="000E38BD" w:rsidRPr="00446050" w:rsidRDefault="000E38BD">
            <w:pPr>
              <w:pStyle w:val="ARtabletext"/>
              <w:rPr>
                <w:b/>
              </w:rPr>
            </w:pPr>
            <w:r w:rsidRPr="00446050">
              <w:rPr>
                <w:b/>
              </w:rPr>
              <w:t>$ million</w:t>
            </w:r>
          </w:p>
        </w:tc>
        <w:tc>
          <w:tcPr>
            <w:tcW w:w="1020" w:type="dxa"/>
            <w:tcBorders>
              <w:top w:val="nil"/>
              <w:bottom w:val="single" w:sz="4" w:space="0" w:color="auto"/>
            </w:tcBorders>
          </w:tcPr>
          <w:p w14:paraId="0E1BD7F7" w14:textId="77777777" w:rsidR="000E38BD" w:rsidRPr="00446050" w:rsidRDefault="000E38BD">
            <w:pPr>
              <w:pStyle w:val="ARtabletextrightbold"/>
            </w:pPr>
            <w:r w:rsidRPr="00446050">
              <w:t>61.5</w:t>
            </w:r>
          </w:p>
        </w:tc>
        <w:tc>
          <w:tcPr>
            <w:tcW w:w="1022" w:type="dxa"/>
            <w:tcBorders>
              <w:top w:val="nil"/>
              <w:bottom w:val="single" w:sz="4" w:space="0" w:color="auto"/>
            </w:tcBorders>
          </w:tcPr>
          <w:p w14:paraId="5D38D80D" w14:textId="77777777" w:rsidR="000E38BD" w:rsidRPr="00446050" w:rsidRDefault="000E38BD">
            <w:pPr>
              <w:pStyle w:val="ARtabletextrightbold"/>
            </w:pPr>
            <w:r w:rsidRPr="00446050">
              <w:t>59.6</w:t>
            </w:r>
          </w:p>
        </w:tc>
        <w:tc>
          <w:tcPr>
            <w:tcW w:w="1026" w:type="dxa"/>
            <w:tcBorders>
              <w:top w:val="nil"/>
              <w:bottom w:val="single" w:sz="4" w:space="0" w:color="auto"/>
            </w:tcBorders>
          </w:tcPr>
          <w:p w14:paraId="68C542D6" w14:textId="77777777" w:rsidR="000E38BD" w:rsidRPr="00446050" w:rsidRDefault="000E38BD">
            <w:pPr>
              <w:pStyle w:val="ARtabletextrightbold"/>
            </w:pPr>
            <w:r w:rsidRPr="00446050">
              <w:t>-3.1%</w:t>
            </w:r>
          </w:p>
        </w:tc>
        <w:tc>
          <w:tcPr>
            <w:tcW w:w="802" w:type="dxa"/>
            <w:gridSpan w:val="2"/>
            <w:tcBorders>
              <w:top w:val="nil"/>
              <w:bottom w:val="single" w:sz="4" w:space="0" w:color="auto"/>
            </w:tcBorders>
          </w:tcPr>
          <w:p w14:paraId="72A1FCF5" w14:textId="73700DF1" w:rsidR="000E38BD" w:rsidRPr="00446050" w:rsidRDefault="00577B66">
            <w:pPr>
              <w:pStyle w:val="ARtableperformancesymbol"/>
              <w:rPr>
                <w:rFonts w:hint="eastAsia"/>
                <w:b/>
              </w:rPr>
            </w:pPr>
            <w:r w:rsidRPr="00446050">
              <w:t>□</w:t>
            </w:r>
          </w:p>
        </w:tc>
      </w:tr>
    </w:tbl>
    <w:p w14:paraId="0257166A" w14:textId="12578708" w:rsidR="00675620" w:rsidRPr="00561C66" w:rsidRDefault="00675620" w:rsidP="00333387">
      <w:pPr>
        <w:pStyle w:val="Heading3"/>
      </w:pPr>
      <w:r w:rsidRPr="00561C66">
        <w:t>Support to veterans in Victoria</w:t>
      </w:r>
    </w:p>
    <w:p w14:paraId="62039FF8" w14:textId="77777777" w:rsidR="00675620" w:rsidRPr="00561C66" w:rsidRDefault="00675620" w:rsidP="00675620">
      <w:pPr>
        <w:pStyle w:val="ARbody"/>
      </w:pPr>
      <w:r w:rsidRPr="00561C66">
        <w:t>This output provides coordination of veteran-related issues at a state level, especially in relation to commemoration, education programs, grant programs, research and veteran welfare. This output supports the Shrine of Remembrance and the Victorian Veterans Council.</w:t>
      </w:r>
    </w:p>
    <w:tbl>
      <w:tblPr>
        <w:tblW w:w="9639" w:type="dxa"/>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675620" w:rsidRPr="00446050" w14:paraId="1554650E" w14:textId="77777777">
        <w:trPr>
          <w:cantSplit/>
          <w:tblHeader/>
        </w:trPr>
        <w:tc>
          <w:tcPr>
            <w:tcW w:w="4747" w:type="dxa"/>
            <w:tcBorders>
              <w:top w:val="nil"/>
              <w:left w:val="nil"/>
              <w:bottom w:val="single" w:sz="4" w:space="0" w:color="auto"/>
              <w:right w:val="nil"/>
            </w:tcBorders>
            <w:vAlign w:val="bottom"/>
            <w:hideMark/>
          </w:tcPr>
          <w:p w14:paraId="401CE787" w14:textId="77777777" w:rsidR="00675620" w:rsidRPr="00446050" w:rsidRDefault="00675620">
            <w:pPr>
              <w:pStyle w:val="ARtablecolhead"/>
            </w:pPr>
            <w:r w:rsidRPr="00446050">
              <w:t>Performance measures</w:t>
            </w:r>
          </w:p>
        </w:tc>
        <w:tc>
          <w:tcPr>
            <w:tcW w:w="1018" w:type="dxa"/>
            <w:tcBorders>
              <w:top w:val="nil"/>
              <w:left w:val="nil"/>
              <w:bottom w:val="single" w:sz="4" w:space="0" w:color="auto"/>
              <w:right w:val="nil"/>
            </w:tcBorders>
            <w:vAlign w:val="bottom"/>
            <w:hideMark/>
          </w:tcPr>
          <w:p w14:paraId="2FEB0F3E" w14:textId="77777777" w:rsidR="00675620" w:rsidRPr="00446050" w:rsidRDefault="00675620">
            <w:pPr>
              <w:pStyle w:val="ARtablecolhead"/>
            </w:pPr>
            <w:r w:rsidRPr="00446050">
              <w:t>Unit of measure</w:t>
            </w:r>
          </w:p>
        </w:tc>
        <w:tc>
          <w:tcPr>
            <w:tcW w:w="1021" w:type="dxa"/>
            <w:tcBorders>
              <w:top w:val="nil"/>
              <w:left w:val="nil"/>
              <w:bottom w:val="single" w:sz="4" w:space="0" w:color="auto"/>
              <w:right w:val="nil"/>
            </w:tcBorders>
            <w:vAlign w:val="bottom"/>
            <w:hideMark/>
          </w:tcPr>
          <w:p w14:paraId="67B49842" w14:textId="77777777" w:rsidR="00675620" w:rsidRPr="00446050" w:rsidRDefault="00675620">
            <w:pPr>
              <w:pStyle w:val="ARtablecolheadright"/>
            </w:pPr>
            <w:r w:rsidRPr="00446050">
              <w:t>2023–24 target</w:t>
            </w:r>
          </w:p>
        </w:tc>
        <w:tc>
          <w:tcPr>
            <w:tcW w:w="1023" w:type="dxa"/>
            <w:tcBorders>
              <w:top w:val="nil"/>
              <w:left w:val="nil"/>
              <w:bottom w:val="single" w:sz="4" w:space="0" w:color="auto"/>
              <w:right w:val="nil"/>
            </w:tcBorders>
            <w:vAlign w:val="bottom"/>
            <w:hideMark/>
          </w:tcPr>
          <w:p w14:paraId="16421AE8" w14:textId="1AA61F19" w:rsidR="00675620" w:rsidRPr="00446050" w:rsidRDefault="00675620">
            <w:pPr>
              <w:pStyle w:val="ARtablecolheadright"/>
            </w:pPr>
            <w:r w:rsidRPr="00446050">
              <w:t>2023–24 actual</w:t>
            </w:r>
          </w:p>
        </w:tc>
        <w:tc>
          <w:tcPr>
            <w:tcW w:w="1027" w:type="dxa"/>
            <w:tcBorders>
              <w:top w:val="nil"/>
              <w:left w:val="nil"/>
              <w:bottom w:val="single" w:sz="4" w:space="0" w:color="auto"/>
              <w:right w:val="nil"/>
            </w:tcBorders>
            <w:vAlign w:val="bottom"/>
            <w:hideMark/>
          </w:tcPr>
          <w:p w14:paraId="010F0496" w14:textId="77777777" w:rsidR="00675620" w:rsidRPr="00446050" w:rsidRDefault="00675620">
            <w:pPr>
              <w:pStyle w:val="ARtablecolheadright"/>
            </w:pPr>
            <w:r w:rsidRPr="00446050">
              <w:t xml:space="preserve">Variation </w:t>
            </w:r>
          </w:p>
        </w:tc>
        <w:tc>
          <w:tcPr>
            <w:tcW w:w="803" w:type="dxa"/>
            <w:gridSpan w:val="2"/>
            <w:tcBorders>
              <w:top w:val="nil"/>
              <w:left w:val="nil"/>
              <w:bottom w:val="single" w:sz="4" w:space="0" w:color="auto"/>
              <w:right w:val="nil"/>
            </w:tcBorders>
            <w:vAlign w:val="bottom"/>
            <w:hideMark/>
          </w:tcPr>
          <w:p w14:paraId="382F9ADA" w14:textId="77777777" w:rsidR="00675620" w:rsidRPr="00446050" w:rsidRDefault="00675620">
            <w:pPr>
              <w:pStyle w:val="ARtablecolheadcentre"/>
            </w:pPr>
            <w:r w:rsidRPr="00446050">
              <w:t>Result</w:t>
            </w:r>
          </w:p>
        </w:tc>
      </w:tr>
      <w:tr w:rsidR="00675620" w:rsidRPr="00446050" w14:paraId="0D732E66" w14:textId="77777777">
        <w:trPr>
          <w:cantSplit/>
        </w:trPr>
        <w:tc>
          <w:tcPr>
            <w:tcW w:w="9639" w:type="dxa"/>
            <w:gridSpan w:val="7"/>
            <w:tcBorders>
              <w:top w:val="single" w:sz="4" w:space="0" w:color="auto"/>
            </w:tcBorders>
            <w:hideMark/>
          </w:tcPr>
          <w:p w14:paraId="61B59071" w14:textId="77777777" w:rsidR="00675620" w:rsidRPr="00446050" w:rsidRDefault="00675620">
            <w:pPr>
              <w:pStyle w:val="ARtablegreybold"/>
            </w:pPr>
            <w:r w:rsidRPr="00446050">
              <w:t>Quantity</w:t>
            </w:r>
          </w:p>
        </w:tc>
      </w:tr>
      <w:tr w:rsidR="00675620" w:rsidRPr="00446050" w14:paraId="722F44D1" w14:textId="77777777">
        <w:trPr>
          <w:gridAfter w:val="1"/>
          <w:wAfter w:w="8" w:type="dxa"/>
          <w:cantSplit/>
        </w:trPr>
        <w:tc>
          <w:tcPr>
            <w:tcW w:w="4747" w:type="dxa"/>
            <w:shd w:val="clear" w:color="auto" w:fill="auto"/>
          </w:tcPr>
          <w:p w14:paraId="16C7AF63" w14:textId="7B316B1D" w:rsidR="00675620" w:rsidRPr="00446050" w:rsidRDefault="00675620">
            <w:pPr>
              <w:pStyle w:val="ARtabletext"/>
            </w:pPr>
            <w:r w:rsidRPr="00446050">
              <w:t>Entries received – Premier</w:t>
            </w:r>
            <w:r w:rsidR="00711AE6">
              <w:t>’</w:t>
            </w:r>
            <w:r w:rsidRPr="00446050">
              <w:t>s Spirit of Anzac Prize</w:t>
            </w:r>
          </w:p>
        </w:tc>
        <w:tc>
          <w:tcPr>
            <w:tcW w:w="1018" w:type="dxa"/>
            <w:shd w:val="clear" w:color="auto" w:fill="auto"/>
          </w:tcPr>
          <w:p w14:paraId="05A02283" w14:textId="77777777" w:rsidR="00675620" w:rsidRPr="00446050" w:rsidRDefault="00675620">
            <w:pPr>
              <w:pStyle w:val="ARtabletext"/>
            </w:pPr>
            <w:r w:rsidRPr="00446050">
              <w:t>number</w:t>
            </w:r>
          </w:p>
        </w:tc>
        <w:tc>
          <w:tcPr>
            <w:tcW w:w="1021" w:type="dxa"/>
            <w:shd w:val="clear" w:color="auto" w:fill="auto"/>
          </w:tcPr>
          <w:p w14:paraId="6B58C23F" w14:textId="77777777" w:rsidR="00675620" w:rsidRPr="00446050" w:rsidRDefault="00675620">
            <w:pPr>
              <w:pStyle w:val="ARtabletextright"/>
            </w:pPr>
            <w:r w:rsidRPr="00446050">
              <w:t>100</w:t>
            </w:r>
          </w:p>
        </w:tc>
        <w:tc>
          <w:tcPr>
            <w:tcW w:w="1023" w:type="dxa"/>
            <w:shd w:val="clear" w:color="auto" w:fill="auto"/>
          </w:tcPr>
          <w:p w14:paraId="4720CFBD" w14:textId="77777777" w:rsidR="00675620" w:rsidRPr="00446050" w:rsidRDefault="00675620">
            <w:pPr>
              <w:pStyle w:val="ARtabletextright"/>
            </w:pPr>
            <w:r w:rsidRPr="00446050">
              <w:t>200</w:t>
            </w:r>
          </w:p>
        </w:tc>
        <w:tc>
          <w:tcPr>
            <w:tcW w:w="1027" w:type="dxa"/>
            <w:shd w:val="clear" w:color="auto" w:fill="auto"/>
          </w:tcPr>
          <w:p w14:paraId="50CE7261" w14:textId="63790361" w:rsidR="00675620" w:rsidRPr="00446050" w:rsidRDefault="00675620">
            <w:pPr>
              <w:pStyle w:val="ARtabletextright"/>
            </w:pPr>
            <w:r w:rsidRPr="00446050">
              <w:t>100</w:t>
            </w:r>
            <w:r w:rsidR="00920572">
              <w:t>%</w:t>
            </w:r>
          </w:p>
        </w:tc>
        <w:tc>
          <w:tcPr>
            <w:tcW w:w="795" w:type="dxa"/>
            <w:shd w:val="clear" w:color="auto" w:fill="auto"/>
          </w:tcPr>
          <w:p w14:paraId="1B06E296" w14:textId="77777777" w:rsidR="00675620" w:rsidRPr="00446050" w:rsidRDefault="00675620">
            <w:pPr>
              <w:pStyle w:val="ARtableperformancesymbol"/>
              <w:rPr>
                <w:rFonts w:hint="eastAsia"/>
                <w:lang w:val="en-AU"/>
              </w:rPr>
            </w:pPr>
            <w:r w:rsidRPr="00446050">
              <w:rPr>
                <w:rFonts w:eastAsia="Wingdings" w:cs="Wingdings"/>
              </w:rPr>
              <w:t></w:t>
            </w:r>
          </w:p>
        </w:tc>
      </w:tr>
      <w:tr w:rsidR="00675620" w:rsidRPr="00446050" w14:paraId="5790C72F" w14:textId="77777777">
        <w:trPr>
          <w:cantSplit/>
        </w:trPr>
        <w:tc>
          <w:tcPr>
            <w:tcW w:w="9639" w:type="dxa"/>
            <w:gridSpan w:val="7"/>
            <w:tcBorders>
              <w:bottom w:val="single" w:sz="4" w:space="0" w:color="BFBFBF" w:themeColor="background1" w:themeShade="BF"/>
            </w:tcBorders>
            <w:shd w:val="clear" w:color="auto" w:fill="auto"/>
          </w:tcPr>
          <w:p w14:paraId="1A700C33" w14:textId="606EF3CC" w:rsidR="00675620" w:rsidRPr="00446050" w:rsidRDefault="00675620">
            <w:pPr>
              <w:pStyle w:val="ARtablenoteindent"/>
            </w:pPr>
            <w:r w:rsidRPr="00446050">
              <w:t>The 2023</w:t>
            </w:r>
            <w:r w:rsidR="006E2F2E">
              <w:t>–</w:t>
            </w:r>
            <w:r w:rsidRPr="00446050">
              <w:t xml:space="preserve">24 result is higher than the target due to </w:t>
            </w:r>
            <w:r w:rsidR="00F95AC7">
              <w:t>2</w:t>
            </w:r>
            <w:r w:rsidRPr="00446050">
              <w:t xml:space="preserve"> competitions run in the same financial year for </w:t>
            </w:r>
            <w:r w:rsidR="00F95AC7">
              <w:t>2</w:t>
            </w:r>
            <w:r w:rsidRPr="00446050">
              <w:t xml:space="preserve"> separate calendar years, each receiving 100 entries.</w:t>
            </w:r>
          </w:p>
        </w:tc>
      </w:tr>
      <w:tr w:rsidR="00675620" w:rsidRPr="00446050" w14:paraId="69882CCD" w14:textId="77777777">
        <w:trPr>
          <w:cantSplit/>
        </w:trPr>
        <w:tc>
          <w:tcPr>
            <w:tcW w:w="4747" w:type="dxa"/>
            <w:tcBorders>
              <w:top w:val="single" w:sz="4" w:space="0" w:color="BFBFBF" w:themeColor="background1" w:themeShade="BF"/>
            </w:tcBorders>
            <w:shd w:val="clear" w:color="auto" w:fill="auto"/>
          </w:tcPr>
          <w:p w14:paraId="68363AED" w14:textId="64C65129" w:rsidR="00675620" w:rsidRPr="00446050" w:rsidRDefault="00675620">
            <w:pPr>
              <w:pStyle w:val="ARtabletext"/>
              <w:spacing w:line="252" w:lineRule="auto"/>
            </w:pPr>
            <w:r w:rsidRPr="00446050">
              <w:t xml:space="preserve">Community engagement – Shrine ceremonial activities, public and student education programs, tours and </w:t>
            </w:r>
            <w:r w:rsidR="00AE119E">
              <w:br/>
            </w:r>
            <w:r w:rsidRPr="00446050">
              <w:t>general visitation</w:t>
            </w:r>
          </w:p>
        </w:tc>
        <w:tc>
          <w:tcPr>
            <w:tcW w:w="1018" w:type="dxa"/>
            <w:tcBorders>
              <w:top w:val="single" w:sz="4" w:space="0" w:color="BFBFBF" w:themeColor="background1" w:themeShade="BF"/>
            </w:tcBorders>
            <w:shd w:val="clear" w:color="auto" w:fill="auto"/>
          </w:tcPr>
          <w:p w14:paraId="037F82AC" w14:textId="77777777" w:rsidR="00675620" w:rsidRPr="00446050" w:rsidRDefault="00675620">
            <w:pPr>
              <w:pStyle w:val="ARtabletext"/>
              <w:spacing w:line="252" w:lineRule="auto"/>
            </w:pPr>
            <w:r w:rsidRPr="00446050">
              <w:t>number</w:t>
            </w:r>
          </w:p>
        </w:tc>
        <w:tc>
          <w:tcPr>
            <w:tcW w:w="1021" w:type="dxa"/>
            <w:tcBorders>
              <w:top w:val="single" w:sz="4" w:space="0" w:color="BFBFBF" w:themeColor="background1" w:themeShade="BF"/>
            </w:tcBorders>
            <w:shd w:val="clear" w:color="auto" w:fill="auto"/>
          </w:tcPr>
          <w:p w14:paraId="4DC4BB87" w14:textId="77777777" w:rsidR="00675620" w:rsidRPr="00446050" w:rsidRDefault="00675620">
            <w:pPr>
              <w:pStyle w:val="ARtabletextright"/>
              <w:spacing w:line="252" w:lineRule="auto"/>
            </w:pPr>
            <w:r w:rsidRPr="00446050">
              <w:t>750,000</w:t>
            </w:r>
          </w:p>
        </w:tc>
        <w:tc>
          <w:tcPr>
            <w:tcW w:w="1023" w:type="dxa"/>
            <w:tcBorders>
              <w:top w:val="single" w:sz="4" w:space="0" w:color="BFBFBF" w:themeColor="background1" w:themeShade="BF"/>
            </w:tcBorders>
            <w:shd w:val="clear" w:color="auto" w:fill="auto"/>
          </w:tcPr>
          <w:p w14:paraId="0F5B08FB" w14:textId="77777777" w:rsidR="00675620" w:rsidRPr="00446050" w:rsidRDefault="00675620">
            <w:pPr>
              <w:pStyle w:val="ARtabletextright"/>
              <w:spacing w:line="252" w:lineRule="auto"/>
            </w:pPr>
            <w:r w:rsidRPr="00446050">
              <w:t>1,777,590</w:t>
            </w:r>
          </w:p>
        </w:tc>
        <w:tc>
          <w:tcPr>
            <w:tcW w:w="1027" w:type="dxa"/>
            <w:tcBorders>
              <w:top w:val="single" w:sz="4" w:space="0" w:color="BFBFBF" w:themeColor="background1" w:themeShade="BF"/>
            </w:tcBorders>
            <w:shd w:val="clear" w:color="auto" w:fill="auto"/>
          </w:tcPr>
          <w:p w14:paraId="32743DFB" w14:textId="77777777" w:rsidR="00675620" w:rsidRPr="00446050" w:rsidRDefault="00675620">
            <w:pPr>
              <w:pStyle w:val="ARtabletextright"/>
              <w:spacing w:line="252" w:lineRule="auto"/>
            </w:pPr>
            <w:r w:rsidRPr="00446050">
              <w:t>137%</w:t>
            </w:r>
          </w:p>
        </w:tc>
        <w:tc>
          <w:tcPr>
            <w:tcW w:w="803" w:type="dxa"/>
            <w:gridSpan w:val="2"/>
            <w:tcBorders>
              <w:top w:val="single" w:sz="4" w:space="0" w:color="BFBFBF" w:themeColor="background1" w:themeShade="BF"/>
            </w:tcBorders>
            <w:shd w:val="clear" w:color="auto" w:fill="auto"/>
          </w:tcPr>
          <w:p w14:paraId="307A93E3" w14:textId="77777777" w:rsidR="00675620" w:rsidRPr="00446050" w:rsidRDefault="00675620">
            <w:pPr>
              <w:pStyle w:val="ARtableperformancesymbol"/>
              <w:spacing w:line="252" w:lineRule="auto"/>
              <w:rPr>
                <w:rFonts w:hint="eastAsia"/>
                <w:lang w:val="en-AU"/>
              </w:rPr>
            </w:pPr>
            <w:r w:rsidRPr="00446050">
              <w:rPr>
                <w:rFonts w:eastAsia="Wingdings" w:cs="Wingdings"/>
              </w:rPr>
              <w:t></w:t>
            </w:r>
          </w:p>
        </w:tc>
      </w:tr>
      <w:tr w:rsidR="00675620" w:rsidRPr="00446050" w14:paraId="2C3E4ADF" w14:textId="77777777">
        <w:trPr>
          <w:cantSplit/>
        </w:trPr>
        <w:tc>
          <w:tcPr>
            <w:tcW w:w="9639" w:type="dxa"/>
            <w:gridSpan w:val="7"/>
            <w:tcBorders>
              <w:bottom w:val="single" w:sz="4" w:space="0" w:color="A6A6A6"/>
            </w:tcBorders>
            <w:shd w:val="clear" w:color="auto" w:fill="auto"/>
            <w:noWrap/>
            <w:hideMark/>
          </w:tcPr>
          <w:p w14:paraId="282B9D4D" w14:textId="31E73A10" w:rsidR="00675620" w:rsidRPr="00446050" w:rsidRDefault="00675620">
            <w:pPr>
              <w:pStyle w:val="ARtablenoteindent"/>
              <w:spacing w:line="252" w:lineRule="auto"/>
            </w:pPr>
            <w:r w:rsidRPr="00446050">
              <w:t>The 2023</w:t>
            </w:r>
            <w:r w:rsidR="006E2F2E">
              <w:t>–</w:t>
            </w:r>
            <w:r w:rsidRPr="00446050">
              <w:t>24 result is higher than the target due to over 1 million people being engaged via the Shrine</w:t>
            </w:r>
            <w:r w:rsidR="00711AE6">
              <w:t>’</w:t>
            </w:r>
            <w:r w:rsidRPr="00446050">
              <w:t>s digital platforms, which is a significant increase of 41</w:t>
            </w:r>
            <w:r w:rsidR="00F95AC7">
              <w:t>%</w:t>
            </w:r>
            <w:r w:rsidRPr="00446050">
              <w:t xml:space="preserve"> compared to 2022</w:t>
            </w:r>
            <w:r w:rsidR="006E2F2E">
              <w:t>–</w:t>
            </w:r>
            <w:r w:rsidRPr="00446050">
              <w:t>23. The Shrine continues to attract visitors through its ceremonial services, school visits and general visitation of the precinct. Live streaming has expanded outreach to its digital audience by streaming every commemorative service held at the Shrine of Remembrance.</w:t>
            </w:r>
          </w:p>
        </w:tc>
      </w:tr>
      <w:tr w:rsidR="00675620" w:rsidRPr="00446050" w14:paraId="23E64C4E" w14:textId="77777777">
        <w:trPr>
          <w:cantSplit/>
        </w:trPr>
        <w:tc>
          <w:tcPr>
            <w:tcW w:w="4747" w:type="dxa"/>
            <w:tcBorders>
              <w:top w:val="single" w:sz="4" w:space="0" w:color="A6A6A6"/>
            </w:tcBorders>
            <w:shd w:val="clear" w:color="auto" w:fill="auto"/>
          </w:tcPr>
          <w:p w14:paraId="6CCB13D1" w14:textId="77777777" w:rsidR="00675620" w:rsidRPr="00446050" w:rsidRDefault="00675620">
            <w:pPr>
              <w:pStyle w:val="ARtabletext"/>
              <w:spacing w:line="252" w:lineRule="auto"/>
            </w:pPr>
            <w:r w:rsidRPr="00446050">
              <w:t>Number of veterans employed annually in the Victorian public sector</w:t>
            </w:r>
          </w:p>
        </w:tc>
        <w:tc>
          <w:tcPr>
            <w:tcW w:w="1018" w:type="dxa"/>
            <w:tcBorders>
              <w:top w:val="single" w:sz="4" w:space="0" w:color="A6A6A6"/>
            </w:tcBorders>
            <w:shd w:val="clear" w:color="auto" w:fill="auto"/>
          </w:tcPr>
          <w:p w14:paraId="45C42BB7" w14:textId="77777777" w:rsidR="00675620" w:rsidRPr="00446050" w:rsidRDefault="00675620">
            <w:pPr>
              <w:pStyle w:val="ARtabletext"/>
              <w:spacing w:line="252" w:lineRule="auto"/>
            </w:pPr>
            <w:r w:rsidRPr="00446050">
              <w:t>number</w:t>
            </w:r>
          </w:p>
        </w:tc>
        <w:tc>
          <w:tcPr>
            <w:tcW w:w="1021" w:type="dxa"/>
            <w:tcBorders>
              <w:top w:val="single" w:sz="4" w:space="0" w:color="A6A6A6"/>
            </w:tcBorders>
            <w:shd w:val="clear" w:color="auto" w:fill="auto"/>
          </w:tcPr>
          <w:p w14:paraId="11CDEFD0" w14:textId="77777777" w:rsidR="00675620" w:rsidRPr="00446050" w:rsidRDefault="00675620">
            <w:pPr>
              <w:pStyle w:val="ARtabletextright"/>
              <w:spacing w:line="252" w:lineRule="auto"/>
            </w:pPr>
            <w:r w:rsidRPr="00446050">
              <w:t>188</w:t>
            </w:r>
          </w:p>
        </w:tc>
        <w:tc>
          <w:tcPr>
            <w:tcW w:w="1023" w:type="dxa"/>
            <w:tcBorders>
              <w:top w:val="single" w:sz="4" w:space="0" w:color="A6A6A6"/>
            </w:tcBorders>
            <w:shd w:val="clear" w:color="auto" w:fill="auto"/>
          </w:tcPr>
          <w:p w14:paraId="2475BA5B" w14:textId="77777777" w:rsidR="00675620" w:rsidRPr="00446050" w:rsidRDefault="00675620">
            <w:pPr>
              <w:pStyle w:val="ARtabletextright"/>
              <w:spacing w:line="252" w:lineRule="auto"/>
            </w:pPr>
            <w:r w:rsidRPr="00446050">
              <w:t>329</w:t>
            </w:r>
          </w:p>
        </w:tc>
        <w:tc>
          <w:tcPr>
            <w:tcW w:w="1027" w:type="dxa"/>
            <w:tcBorders>
              <w:top w:val="single" w:sz="4" w:space="0" w:color="A6A6A6"/>
            </w:tcBorders>
            <w:shd w:val="clear" w:color="auto" w:fill="auto"/>
          </w:tcPr>
          <w:p w14:paraId="537B0CF3" w14:textId="72BA408D" w:rsidR="00675620" w:rsidRPr="00446050" w:rsidRDefault="00675620">
            <w:pPr>
              <w:pStyle w:val="ARtabletextright"/>
              <w:spacing w:line="252" w:lineRule="auto"/>
            </w:pPr>
            <w:r w:rsidRPr="00446050">
              <w:t>75</w:t>
            </w:r>
            <w:r w:rsidR="00920572">
              <w:t>%</w:t>
            </w:r>
          </w:p>
        </w:tc>
        <w:tc>
          <w:tcPr>
            <w:tcW w:w="803" w:type="dxa"/>
            <w:gridSpan w:val="2"/>
            <w:tcBorders>
              <w:top w:val="single" w:sz="4" w:space="0" w:color="A6A6A6"/>
            </w:tcBorders>
            <w:shd w:val="clear" w:color="auto" w:fill="auto"/>
          </w:tcPr>
          <w:p w14:paraId="32ACA297" w14:textId="77777777" w:rsidR="00675620" w:rsidRPr="00446050" w:rsidRDefault="00675620">
            <w:pPr>
              <w:pStyle w:val="ARtableperformancesymbol"/>
              <w:spacing w:line="252" w:lineRule="auto"/>
              <w:rPr>
                <w:rFonts w:hint="eastAsia"/>
                <w:lang w:val="en-AU"/>
              </w:rPr>
            </w:pPr>
            <w:r w:rsidRPr="00446050">
              <w:rPr>
                <w:rFonts w:eastAsia="Wingdings" w:cs="Wingdings"/>
              </w:rPr>
              <w:t></w:t>
            </w:r>
          </w:p>
        </w:tc>
      </w:tr>
      <w:tr w:rsidR="00675620" w:rsidRPr="00446050" w14:paraId="7E3422E0" w14:textId="77777777">
        <w:trPr>
          <w:cantSplit/>
        </w:trPr>
        <w:tc>
          <w:tcPr>
            <w:tcW w:w="9639" w:type="dxa"/>
            <w:gridSpan w:val="7"/>
            <w:tcBorders>
              <w:bottom w:val="single" w:sz="4" w:space="0" w:color="BFBFBF" w:themeColor="background1" w:themeShade="BF"/>
            </w:tcBorders>
            <w:shd w:val="clear" w:color="auto" w:fill="auto"/>
            <w:noWrap/>
            <w:hideMark/>
          </w:tcPr>
          <w:p w14:paraId="550A10D2" w14:textId="3480EC42" w:rsidR="00675620" w:rsidRPr="00446050" w:rsidRDefault="00675620">
            <w:pPr>
              <w:pStyle w:val="ARtablenoteindent"/>
              <w:spacing w:line="252" w:lineRule="auto"/>
            </w:pPr>
            <w:r w:rsidRPr="00446050">
              <w:t>The 2023</w:t>
            </w:r>
            <w:r w:rsidR="006E2F2E">
              <w:t>–</w:t>
            </w:r>
            <w:r w:rsidRPr="00446050">
              <w:t>24 result is higher than the target due to the successful implementation of the Public Sector Veteran Employment Strategy.</w:t>
            </w:r>
          </w:p>
        </w:tc>
      </w:tr>
      <w:tr w:rsidR="00675620" w:rsidRPr="00446050" w14:paraId="5454D8B1" w14:textId="77777777">
        <w:trPr>
          <w:cantSplit/>
        </w:trPr>
        <w:tc>
          <w:tcPr>
            <w:tcW w:w="9639" w:type="dxa"/>
            <w:gridSpan w:val="7"/>
            <w:tcBorders>
              <w:top w:val="single" w:sz="4" w:space="0" w:color="auto"/>
            </w:tcBorders>
            <w:shd w:val="clear" w:color="auto" w:fill="auto"/>
          </w:tcPr>
          <w:p w14:paraId="312ADC5E" w14:textId="77777777" w:rsidR="00675620" w:rsidRPr="00446050" w:rsidRDefault="00675620">
            <w:pPr>
              <w:pStyle w:val="ARtablegreybold"/>
              <w:spacing w:line="252" w:lineRule="auto"/>
              <w:rPr>
                <w:b w:val="0"/>
                <w:bCs/>
              </w:rPr>
            </w:pPr>
            <w:r w:rsidRPr="00446050">
              <w:t>Quality</w:t>
            </w:r>
          </w:p>
        </w:tc>
      </w:tr>
      <w:tr w:rsidR="00675620" w:rsidRPr="00446050" w14:paraId="1197938C" w14:textId="77777777">
        <w:trPr>
          <w:cantSplit/>
        </w:trPr>
        <w:tc>
          <w:tcPr>
            <w:tcW w:w="4747" w:type="dxa"/>
            <w:shd w:val="clear" w:color="auto" w:fill="auto"/>
          </w:tcPr>
          <w:p w14:paraId="5609D045" w14:textId="77777777" w:rsidR="00675620" w:rsidRPr="00446050" w:rsidRDefault="00675620">
            <w:pPr>
              <w:pStyle w:val="ARtabletext"/>
              <w:spacing w:line="252" w:lineRule="auto"/>
            </w:pPr>
            <w:r w:rsidRPr="00446050">
              <w:t>Commemorative and educative projects meet agreed project objectives</w:t>
            </w:r>
          </w:p>
        </w:tc>
        <w:tc>
          <w:tcPr>
            <w:tcW w:w="1018" w:type="dxa"/>
            <w:shd w:val="clear" w:color="auto" w:fill="auto"/>
          </w:tcPr>
          <w:p w14:paraId="5187DC54" w14:textId="77777777" w:rsidR="00675620" w:rsidRPr="00446050" w:rsidRDefault="00675620">
            <w:pPr>
              <w:pStyle w:val="ARtabletext"/>
              <w:spacing w:line="252" w:lineRule="auto"/>
            </w:pPr>
            <w:r w:rsidRPr="00446050">
              <w:t>per cent</w:t>
            </w:r>
          </w:p>
        </w:tc>
        <w:tc>
          <w:tcPr>
            <w:tcW w:w="1021" w:type="dxa"/>
            <w:shd w:val="clear" w:color="auto" w:fill="auto"/>
          </w:tcPr>
          <w:p w14:paraId="641C669E" w14:textId="77777777" w:rsidR="00675620" w:rsidRPr="00446050" w:rsidRDefault="00675620">
            <w:pPr>
              <w:pStyle w:val="ARtabletextright"/>
              <w:spacing w:line="252" w:lineRule="auto"/>
            </w:pPr>
            <w:r w:rsidRPr="00446050">
              <w:t>100</w:t>
            </w:r>
          </w:p>
        </w:tc>
        <w:tc>
          <w:tcPr>
            <w:tcW w:w="1023" w:type="dxa"/>
            <w:shd w:val="clear" w:color="auto" w:fill="auto"/>
          </w:tcPr>
          <w:p w14:paraId="3099AF04" w14:textId="77777777" w:rsidR="00675620" w:rsidRPr="00446050" w:rsidRDefault="00675620">
            <w:pPr>
              <w:pStyle w:val="ARtabletextright"/>
              <w:spacing w:line="252" w:lineRule="auto"/>
            </w:pPr>
            <w:r w:rsidRPr="00446050">
              <w:t>100</w:t>
            </w:r>
          </w:p>
        </w:tc>
        <w:tc>
          <w:tcPr>
            <w:tcW w:w="1027" w:type="dxa"/>
            <w:shd w:val="clear" w:color="auto" w:fill="auto"/>
          </w:tcPr>
          <w:p w14:paraId="12DBEA59" w14:textId="4984BE89" w:rsidR="00675620" w:rsidRPr="00446050" w:rsidRDefault="00675620">
            <w:pPr>
              <w:pStyle w:val="ARtabletextright"/>
              <w:spacing w:line="252" w:lineRule="auto"/>
            </w:pPr>
            <w:r w:rsidRPr="00446050">
              <w:t>0</w:t>
            </w:r>
            <w:r w:rsidR="00920572">
              <w:t>%</w:t>
            </w:r>
          </w:p>
        </w:tc>
        <w:tc>
          <w:tcPr>
            <w:tcW w:w="803" w:type="dxa"/>
            <w:gridSpan w:val="2"/>
            <w:shd w:val="clear" w:color="auto" w:fill="auto"/>
          </w:tcPr>
          <w:p w14:paraId="19BA0D29" w14:textId="77777777" w:rsidR="00675620" w:rsidRPr="00446050" w:rsidRDefault="00675620">
            <w:pPr>
              <w:pStyle w:val="ARtableperformancesymbol"/>
              <w:spacing w:line="252" w:lineRule="auto"/>
              <w:rPr>
                <w:rFonts w:hint="eastAsia"/>
                <w:lang w:val="en-AU"/>
              </w:rPr>
            </w:pPr>
            <w:r w:rsidRPr="00446050">
              <w:rPr>
                <w:rFonts w:eastAsia="Wingdings" w:cs="Wingdings"/>
              </w:rPr>
              <w:t></w:t>
            </w:r>
          </w:p>
        </w:tc>
      </w:tr>
      <w:tr w:rsidR="00675620" w:rsidRPr="00446050" w14:paraId="5B03D24B" w14:textId="77777777">
        <w:trPr>
          <w:cantSplit/>
        </w:trPr>
        <w:tc>
          <w:tcPr>
            <w:tcW w:w="9639" w:type="dxa"/>
            <w:gridSpan w:val="7"/>
            <w:tcBorders>
              <w:top w:val="single" w:sz="4" w:space="0" w:color="auto"/>
            </w:tcBorders>
            <w:hideMark/>
          </w:tcPr>
          <w:p w14:paraId="7F04176E" w14:textId="77777777" w:rsidR="00675620" w:rsidRPr="00446050" w:rsidRDefault="00675620">
            <w:pPr>
              <w:pStyle w:val="ARtablegreybold"/>
              <w:spacing w:line="252" w:lineRule="auto"/>
            </w:pPr>
            <w:r w:rsidRPr="00446050">
              <w:t>Timeliness</w:t>
            </w:r>
          </w:p>
        </w:tc>
      </w:tr>
      <w:tr w:rsidR="00675620" w:rsidRPr="00446050" w14:paraId="28681C41" w14:textId="77777777">
        <w:trPr>
          <w:gridAfter w:val="1"/>
          <w:wAfter w:w="8" w:type="dxa"/>
          <w:cantSplit/>
        </w:trPr>
        <w:tc>
          <w:tcPr>
            <w:tcW w:w="4747" w:type="dxa"/>
            <w:shd w:val="clear" w:color="auto" w:fill="auto"/>
          </w:tcPr>
          <w:p w14:paraId="3CA7607C" w14:textId="77777777" w:rsidR="00675620" w:rsidRPr="00446050" w:rsidRDefault="00675620">
            <w:pPr>
              <w:pStyle w:val="ARtabletext"/>
              <w:spacing w:line="252" w:lineRule="auto"/>
            </w:pPr>
            <w:r w:rsidRPr="00446050">
              <w:t>Deliver an annual program of grants within agreed, published timelines</w:t>
            </w:r>
          </w:p>
        </w:tc>
        <w:tc>
          <w:tcPr>
            <w:tcW w:w="1018" w:type="dxa"/>
            <w:shd w:val="clear" w:color="auto" w:fill="auto"/>
          </w:tcPr>
          <w:p w14:paraId="7C2D5BB2" w14:textId="77777777" w:rsidR="00675620" w:rsidRPr="00446050" w:rsidRDefault="00675620">
            <w:pPr>
              <w:pStyle w:val="ARtabletext"/>
              <w:spacing w:line="252" w:lineRule="auto"/>
            </w:pPr>
            <w:r w:rsidRPr="00446050">
              <w:t>per cent</w:t>
            </w:r>
          </w:p>
        </w:tc>
        <w:tc>
          <w:tcPr>
            <w:tcW w:w="1021" w:type="dxa"/>
            <w:shd w:val="clear" w:color="auto" w:fill="auto"/>
          </w:tcPr>
          <w:p w14:paraId="7323B605" w14:textId="77777777" w:rsidR="00675620" w:rsidRPr="00446050" w:rsidRDefault="00675620">
            <w:pPr>
              <w:pStyle w:val="ARtabletextright"/>
              <w:spacing w:line="252" w:lineRule="auto"/>
            </w:pPr>
            <w:r w:rsidRPr="00446050">
              <w:t>100</w:t>
            </w:r>
          </w:p>
        </w:tc>
        <w:tc>
          <w:tcPr>
            <w:tcW w:w="1023" w:type="dxa"/>
            <w:shd w:val="clear" w:color="auto" w:fill="auto"/>
          </w:tcPr>
          <w:p w14:paraId="3C0ACF7C" w14:textId="77777777" w:rsidR="00675620" w:rsidRPr="00446050" w:rsidRDefault="00675620">
            <w:pPr>
              <w:pStyle w:val="ARtabletextright"/>
              <w:spacing w:line="252" w:lineRule="auto"/>
            </w:pPr>
            <w:r w:rsidRPr="00446050">
              <w:t>100</w:t>
            </w:r>
          </w:p>
        </w:tc>
        <w:tc>
          <w:tcPr>
            <w:tcW w:w="1027" w:type="dxa"/>
            <w:shd w:val="clear" w:color="auto" w:fill="auto"/>
          </w:tcPr>
          <w:p w14:paraId="05C690A8" w14:textId="3F6C181E" w:rsidR="00675620" w:rsidRPr="00446050" w:rsidRDefault="00675620">
            <w:pPr>
              <w:pStyle w:val="ARtabletextright"/>
              <w:spacing w:line="252" w:lineRule="auto"/>
            </w:pPr>
            <w:r w:rsidRPr="00446050">
              <w:t>0</w:t>
            </w:r>
            <w:r w:rsidR="00920572">
              <w:t>%</w:t>
            </w:r>
          </w:p>
        </w:tc>
        <w:tc>
          <w:tcPr>
            <w:tcW w:w="795" w:type="dxa"/>
            <w:shd w:val="clear" w:color="auto" w:fill="auto"/>
          </w:tcPr>
          <w:p w14:paraId="2DA830E2" w14:textId="77777777" w:rsidR="00675620" w:rsidRPr="00446050" w:rsidRDefault="00675620">
            <w:pPr>
              <w:pStyle w:val="ARtableperformancesymbol"/>
              <w:spacing w:line="252" w:lineRule="auto"/>
              <w:rPr>
                <w:rFonts w:hint="eastAsia"/>
                <w:lang w:val="en-AU"/>
              </w:rPr>
            </w:pPr>
            <w:r w:rsidRPr="00446050">
              <w:rPr>
                <w:rFonts w:eastAsia="Wingdings" w:cs="Wingdings"/>
              </w:rPr>
              <w:t></w:t>
            </w:r>
          </w:p>
        </w:tc>
      </w:tr>
      <w:tr w:rsidR="00675620" w:rsidRPr="00446050" w14:paraId="43FF4F27" w14:textId="77777777">
        <w:trPr>
          <w:cantSplit/>
        </w:trPr>
        <w:tc>
          <w:tcPr>
            <w:tcW w:w="9639" w:type="dxa"/>
            <w:gridSpan w:val="7"/>
            <w:tcBorders>
              <w:top w:val="single" w:sz="4" w:space="0" w:color="auto"/>
            </w:tcBorders>
            <w:hideMark/>
          </w:tcPr>
          <w:p w14:paraId="3D10AE66" w14:textId="77777777" w:rsidR="00675620" w:rsidRPr="00446050" w:rsidRDefault="00675620">
            <w:pPr>
              <w:pStyle w:val="ARtablegreybold"/>
              <w:spacing w:line="252" w:lineRule="auto"/>
            </w:pPr>
            <w:r w:rsidRPr="00446050">
              <w:t>Cost</w:t>
            </w:r>
          </w:p>
        </w:tc>
      </w:tr>
      <w:tr w:rsidR="00675620" w:rsidRPr="00446050" w14:paraId="2A21BD14" w14:textId="77777777">
        <w:trPr>
          <w:cantSplit/>
        </w:trPr>
        <w:tc>
          <w:tcPr>
            <w:tcW w:w="4747" w:type="dxa"/>
            <w:hideMark/>
          </w:tcPr>
          <w:p w14:paraId="348C6BAD" w14:textId="77777777" w:rsidR="00675620" w:rsidRPr="00446050" w:rsidRDefault="00675620">
            <w:pPr>
              <w:pStyle w:val="ARtabletext"/>
              <w:keepNext/>
              <w:spacing w:line="252" w:lineRule="auto"/>
              <w:rPr>
                <w:b/>
              </w:rPr>
            </w:pPr>
            <w:r w:rsidRPr="00446050">
              <w:rPr>
                <w:b/>
              </w:rPr>
              <w:t>Total output cost</w:t>
            </w:r>
          </w:p>
        </w:tc>
        <w:tc>
          <w:tcPr>
            <w:tcW w:w="1018" w:type="dxa"/>
            <w:hideMark/>
          </w:tcPr>
          <w:p w14:paraId="0A0BA3E4" w14:textId="77777777" w:rsidR="00675620" w:rsidRPr="00446050" w:rsidRDefault="00675620">
            <w:pPr>
              <w:pStyle w:val="ARtabletext"/>
              <w:spacing w:line="252" w:lineRule="auto"/>
              <w:rPr>
                <w:b/>
              </w:rPr>
            </w:pPr>
            <w:r w:rsidRPr="00446050">
              <w:rPr>
                <w:b/>
              </w:rPr>
              <w:t>$ million</w:t>
            </w:r>
          </w:p>
        </w:tc>
        <w:tc>
          <w:tcPr>
            <w:tcW w:w="1021" w:type="dxa"/>
          </w:tcPr>
          <w:p w14:paraId="7B9B25B6" w14:textId="77777777" w:rsidR="00675620" w:rsidRPr="00446050" w:rsidRDefault="00675620">
            <w:pPr>
              <w:pStyle w:val="ARtabletextrightbold"/>
              <w:spacing w:line="252" w:lineRule="auto"/>
              <w:jc w:val="center"/>
            </w:pPr>
            <w:r w:rsidRPr="00446050">
              <w:t>23.6</w:t>
            </w:r>
          </w:p>
        </w:tc>
        <w:tc>
          <w:tcPr>
            <w:tcW w:w="1023" w:type="dxa"/>
          </w:tcPr>
          <w:p w14:paraId="0A02A6B0" w14:textId="77777777" w:rsidR="00675620" w:rsidRPr="00446050" w:rsidRDefault="00675620">
            <w:pPr>
              <w:pStyle w:val="ARtabletextrightbold"/>
              <w:spacing w:line="252" w:lineRule="auto"/>
            </w:pPr>
            <w:r w:rsidRPr="00446050">
              <w:t>10.9</w:t>
            </w:r>
          </w:p>
        </w:tc>
        <w:tc>
          <w:tcPr>
            <w:tcW w:w="1027" w:type="dxa"/>
          </w:tcPr>
          <w:p w14:paraId="22C17340" w14:textId="572F6922" w:rsidR="00675620" w:rsidRPr="00446050" w:rsidRDefault="00675620">
            <w:pPr>
              <w:pStyle w:val="ARtabletextrightbold"/>
              <w:spacing w:line="252" w:lineRule="auto"/>
            </w:pPr>
            <w:r w:rsidRPr="00446050">
              <w:t>-53.</w:t>
            </w:r>
            <w:r w:rsidR="00836A6C">
              <w:t>9</w:t>
            </w:r>
            <w:r w:rsidRPr="00446050">
              <w:t>%</w:t>
            </w:r>
          </w:p>
        </w:tc>
        <w:tc>
          <w:tcPr>
            <w:tcW w:w="803" w:type="dxa"/>
            <w:gridSpan w:val="2"/>
          </w:tcPr>
          <w:p w14:paraId="726F1266" w14:textId="77777777" w:rsidR="00675620" w:rsidRPr="00446050" w:rsidRDefault="00675620">
            <w:pPr>
              <w:pStyle w:val="ARtableperformancesymbol"/>
              <w:spacing w:line="252" w:lineRule="auto"/>
              <w:rPr>
                <w:rFonts w:eastAsia="Wingdings" w:cs="Wingdings"/>
              </w:rPr>
            </w:pPr>
            <w:r w:rsidRPr="00446050">
              <w:rPr>
                <w:rFonts w:eastAsia="Wingdings" w:cs="Wingdings"/>
              </w:rPr>
              <w:t></w:t>
            </w:r>
          </w:p>
        </w:tc>
      </w:tr>
      <w:tr w:rsidR="00675620" w:rsidRPr="00532DAE" w14:paraId="4A3195EE" w14:textId="77777777">
        <w:trPr>
          <w:cantSplit/>
        </w:trPr>
        <w:tc>
          <w:tcPr>
            <w:tcW w:w="9639" w:type="dxa"/>
            <w:gridSpan w:val="7"/>
            <w:tcBorders>
              <w:bottom w:val="single" w:sz="4" w:space="0" w:color="auto"/>
            </w:tcBorders>
          </w:tcPr>
          <w:p w14:paraId="6B5F8300" w14:textId="77777777" w:rsidR="00675620" w:rsidRPr="00446050" w:rsidRDefault="00675620">
            <w:pPr>
              <w:pStyle w:val="ARtablenoteindent"/>
              <w:spacing w:line="252" w:lineRule="auto"/>
            </w:pPr>
            <w:r w:rsidRPr="00446050">
              <w:t>The lower actual reflects funding re-cashflow for the Museum to Honour Australian Vietnam Veterans Forever initiative to align with the revised project delivery timeline. The uptake of the Victorian Veterans Card was lower than budgeted in the first year of the initiative and uptake remains steady.</w:t>
            </w:r>
          </w:p>
        </w:tc>
      </w:tr>
    </w:tbl>
    <w:p w14:paraId="2DB4C0BB" w14:textId="77777777" w:rsidR="00166D69" w:rsidRDefault="00166D69" w:rsidP="00166D69">
      <w:pPr>
        <w:pStyle w:val="ARbody"/>
      </w:pPr>
      <w:r>
        <w:br w:type="page"/>
      </w:r>
    </w:p>
    <w:p w14:paraId="4B615E33" w14:textId="77777777" w:rsidR="00661E18" w:rsidRPr="00561C66" w:rsidRDefault="00661E18" w:rsidP="00661E18">
      <w:pPr>
        <w:pStyle w:val="Heading3"/>
      </w:pPr>
      <w:bookmarkStart w:id="149" w:name="_Ref178173956"/>
      <w:r w:rsidRPr="00561C66">
        <w:t>LGBTIQ</w:t>
      </w:r>
      <w:r>
        <w:t>A</w:t>
      </w:r>
      <w:r w:rsidRPr="00561C66">
        <w:t>+ equality policy and programs</w:t>
      </w:r>
      <w:bookmarkEnd w:id="149"/>
    </w:p>
    <w:p w14:paraId="716795AD" w14:textId="0EAB3B7A" w:rsidR="00661E18" w:rsidRPr="00561C66" w:rsidRDefault="00661E18" w:rsidP="00661E18">
      <w:pPr>
        <w:pStyle w:val="ARbody"/>
      </w:pPr>
      <w:r w:rsidRPr="00561C66">
        <w:t>This output provides programs and services to promote equality for LGBTIQ</w:t>
      </w:r>
      <w:r>
        <w:t>A</w:t>
      </w:r>
      <w:r w:rsidRPr="00561C66">
        <w:t>+ Victorians and to support these communities</w:t>
      </w:r>
      <w:r w:rsidR="00711AE6">
        <w:t>’</w:t>
      </w:r>
      <w:r w:rsidRPr="00561C66">
        <w:t xml:space="preserve"> economic, social and civic participation.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A0" w:firstRow="1" w:lastRow="0" w:firstColumn="1" w:lastColumn="0" w:noHBand="1" w:noVBand="1"/>
      </w:tblPr>
      <w:tblGrid>
        <w:gridCol w:w="4744"/>
        <w:gridCol w:w="1018"/>
        <w:gridCol w:w="1020"/>
        <w:gridCol w:w="1022"/>
        <w:gridCol w:w="1026"/>
        <w:gridCol w:w="802"/>
      </w:tblGrid>
      <w:tr w:rsidR="00661E18" w:rsidRPr="00446050" w14:paraId="7F8E6C67" w14:textId="77777777" w:rsidTr="00D02912">
        <w:trPr>
          <w:cantSplit/>
          <w:tblHeader/>
        </w:trPr>
        <w:tc>
          <w:tcPr>
            <w:tcW w:w="4744" w:type="dxa"/>
            <w:tcBorders>
              <w:top w:val="nil"/>
              <w:left w:val="nil"/>
              <w:right w:val="nil"/>
            </w:tcBorders>
            <w:vAlign w:val="bottom"/>
            <w:hideMark/>
          </w:tcPr>
          <w:p w14:paraId="2DE6152B" w14:textId="77777777" w:rsidR="00661E18" w:rsidRPr="00446050" w:rsidRDefault="00661E18" w:rsidP="00D02912">
            <w:pPr>
              <w:pStyle w:val="ARtablecolhead"/>
              <w:spacing w:line="252" w:lineRule="auto"/>
            </w:pPr>
            <w:r w:rsidRPr="00446050">
              <w:t>Performance measures</w:t>
            </w:r>
          </w:p>
        </w:tc>
        <w:tc>
          <w:tcPr>
            <w:tcW w:w="1018" w:type="dxa"/>
            <w:tcBorders>
              <w:top w:val="nil"/>
              <w:left w:val="nil"/>
              <w:right w:val="nil"/>
            </w:tcBorders>
            <w:vAlign w:val="bottom"/>
            <w:hideMark/>
          </w:tcPr>
          <w:p w14:paraId="6EC6EE42" w14:textId="77777777" w:rsidR="00661E18" w:rsidRPr="00446050" w:rsidRDefault="00661E18" w:rsidP="00D02912">
            <w:pPr>
              <w:pStyle w:val="ARtablecolhead"/>
              <w:spacing w:line="252" w:lineRule="auto"/>
            </w:pPr>
            <w:r w:rsidRPr="00446050">
              <w:t>Unit of measure</w:t>
            </w:r>
          </w:p>
        </w:tc>
        <w:tc>
          <w:tcPr>
            <w:tcW w:w="1020" w:type="dxa"/>
            <w:tcBorders>
              <w:top w:val="nil"/>
              <w:left w:val="nil"/>
              <w:right w:val="nil"/>
            </w:tcBorders>
            <w:vAlign w:val="bottom"/>
            <w:hideMark/>
          </w:tcPr>
          <w:p w14:paraId="60AF396F" w14:textId="77777777" w:rsidR="00661E18" w:rsidRPr="00446050" w:rsidRDefault="00661E18" w:rsidP="00D02912">
            <w:pPr>
              <w:pStyle w:val="ARtablecolheadright"/>
              <w:spacing w:line="252" w:lineRule="auto"/>
            </w:pPr>
            <w:r w:rsidRPr="00446050">
              <w:t>2023–24 target</w:t>
            </w:r>
          </w:p>
        </w:tc>
        <w:tc>
          <w:tcPr>
            <w:tcW w:w="1022" w:type="dxa"/>
            <w:tcBorders>
              <w:top w:val="nil"/>
              <w:left w:val="nil"/>
              <w:right w:val="nil"/>
            </w:tcBorders>
            <w:vAlign w:val="bottom"/>
            <w:hideMark/>
          </w:tcPr>
          <w:p w14:paraId="3D3B410C" w14:textId="77777777" w:rsidR="00661E18" w:rsidRPr="00446050" w:rsidRDefault="00661E18" w:rsidP="00D02912">
            <w:pPr>
              <w:pStyle w:val="ARtablecolheadright"/>
              <w:spacing w:line="252" w:lineRule="auto"/>
            </w:pPr>
            <w:r w:rsidRPr="00446050">
              <w:t>2023–24 actual</w:t>
            </w:r>
          </w:p>
        </w:tc>
        <w:tc>
          <w:tcPr>
            <w:tcW w:w="1026" w:type="dxa"/>
            <w:tcBorders>
              <w:top w:val="nil"/>
              <w:left w:val="nil"/>
              <w:right w:val="nil"/>
            </w:tcBorders>
            <w:vAlign w:val="bottom"/>
            <w:hideMark/>
          </w:tcPr>
          <w:p w14:paraId="253B4E84" w14:textId="77777777" w:rsidR="00661E18" w:rsidRPr="00446050" w:rsidRDefault="00661E18" w:rsidP="00D02912">
            <w:pPr>
              <w:pStyle w:val="ARtablecolheadright"/>
              <w:spacing w:line="252" w:lineRule="auto"/>
            </w:pPr>
            <w:r w:rsidRPr="00446050">
              <w:t xml:space="preserve">Variation </w:t>
            </w:r>
          </w:p>
        </w:tc>
        <w:tc>
          <w:tcPr>
            <w:tcW w:w="802" w:type="dxa"/>
            <w:tcBorders>
              <w:top w:val="nil"/>
              <w:left w:val="nil"/>
              <w:right w:val="nil"/>
            </w:tcBorders>
            <w:vAlign w:val="bottom"/>
            <w:hideMark/>
          </w:tcPr>
          <w:p w14:paraId="6F3FD9AB" w14:textId="77777777" w:rsidR="00661E18" w:rsidRPr="00446050" w:rsidRDefault="00661E18" w:rsidP="00D02912">
            <w:pPr>
              <w:pStyle w:val="ARtablecolheadright"/>
            </w:pPr>
            <w:r w:rsidRPr="00446050">
              <w:t>Result</w:t>
            </w:r>
          </w:p>
        </w:tc>
      </w:tr>
      <w:tr w:rsidR="00661E18" w:rsidRPr="00446050" w14:paraId="0E7EB922" w14:textId="77777777" w:rsidTr="00D02912">
        <w:trPr>
          <w:cantSplit/>
        </w:trPr>
        <w:tc>
          <w:tcPr>
            <w:tcW w:w="9632" w:type="dxa"/>
            <w:gridSpan w:val="6"/>
            <w:tcBorders>
              <w:top w:val="single" w:sz="4" w:space="0" w:color="auto"/>
              <w:left w:val="nil"/>
              <w:bottom w:val="nil"/>
              <w:right w:val="nil"/>
            </w:tcBorders>
            <w:hideMark/>
          </w:tcPr>
          <w:p w14:paraId="15E1B238" w14:textId="77777777" w:rsidR="00661E18" w:rsidRPr="00446050" w:rsidRDefault="00661E18" w:rsidP="00D02912">
            <w:pPr>
              <w:pStyle w:val="ARtablegreybold"/>
              <w:spacing w:line="252" w:lineRule="auto"/>
            </w:pPr>
            <w:r w:rsidRPr="00446050">
              <w:t>Quantity</w:t>
            </w:r>
          </w:p>
        </w:tc>
      </w:tr>
      <w:tr w:rsidR="00661E18" w:rsidRPr="00446050" w14:paraId="300B868E" w14:textId="77777777" w:rsidTr="00D02912">
        <w:trPr>
          <w:cantSplit/>
        </w:trPr>
        <w:tc>
          <w:tcPr>
            <w:tcW w:w="4744" w:type="dxa"/>
            <w:tcBorders>
              <w:top w:val="nil"/>
              <w:left w:val="nil"/>
              <w:bottom w:val="nil"/>
              <w:right w:val="nil"/>
            </w:tcBorders>
            <w:shd w:val="clear" w:color="auto" w:fill="auto"/>
          </w:tcPr>
          <w:p w14:paraId="2E90F5F7" w14:textId="77777777" w:rsidR="00661E18" w:rsidRPr="00446050" w:rsidRDefault="00661E18" w:rsidP="00D02912">
            <w:pPr>
              <w:pStyle w:val="ARtabletext"/>
              <w:spacing w:line="252" w:lineRule="auto"/>
            </w:pPr>
            <w:r w:rsidRPr="00446050">
              <w:t>Number of people engaged through a Trans and Gender Diverse Peer Support Program</w:t>
            </w:r>
          </w:p>
        </w:tc>
        <w:tc>
          <w:tcPr>
            <w:tcW w:w="1018" w:type="dxa"/>
            <w:tcBorders>
              <w:top w:val="nil"/>
              <w:left w:val="nil"/>
              <w:bottom w:val="nil"/>
              <w:right w:val="nil"/>
            </w:tcBorders>
            <w:shd w:val="clear" w:color="auto" w:fill="auto"/>
          </w:tcPr>
          <w:p w14:paraId="0A38C971" w14:textId="77777777" w:rsidR="00661E18" w:rsidRPr="00446050" w:rsidRDefault="00661E18" w:rsidP="00D02912">
            <w:pPr>
              <w:pStyle w:val="ARtabletext"/>
              <w:spacing w:line="252" w:lineRule="auto"/>
            </w:pPr>
            <w:r w:rsidRPr="00446050">
              <w:t>number</w:t>
            </w:r>
          </w:p>
        </w:tc>
        <w:tc>
          <w:tcPr>
            <w:tcW w:w="1020" w:type="dxa"/>
            <w:tcBorders>
              <w:top w:val="nil"/>
              <w:left w:val="nil"/>
              <w:bottom w:val="nil"/>
              <w:right w:val="nil"/>
            </w:tcBorders>
            <w:shd w:val="clear" w:color="auto" w:fill="auto"/>
          </w:tcPr>
          <w:p w14:paraId="3F94BD2E" w14:textId="77777777" w:rsidR="00661E18" w:rsidRPr="00446050" w:rsidRDefault="00661E18" w:rsidP="00D02912">
            <w:pPr>
              <w:pStyle w:val="ARtabletextright"/>
              <w:spacing w:line="252" w:lineRule="auto"/>
            </w:pPr>
            <w:r w:rsidRPr="00446050">
              <w:t>250</w:t>
            </w:r>
          </w:p>
        </w:tc>
        <w:tc>
          <w:tcPr>
            <w:tcW w:w="1022" w:type="dxa"/>
            <w:tcBorders>
              <w:top w:val="nil"/>
              <w:left w:val="nil"/>
              <w:bottom w:val="nil"/>
              <w:right w:val="nil"/>
            </w:tcBorders>
            <w:shd w:val="clear" w:color="auto" w:fill="auto"/>
          </w:tcPr>
          <w:p w14:paraId="482A7257" w14:textId="77777777" w:rsidR="00661E18" w:rsidRPr="00446050" w:rsidRDefault="00661E18" w:rsidP="00D02912">
            <w:pPr>
              <w:pStyle w:val="ARtabletextright"/>
              <w:spacing w:line="252" w:lineRule="auto"/>
            </w:pPr>
            <w:r w:rsidRPr="00446050">
              <w:t>461</w:t>
            </w:r>
          </w:p>
        </w:tc>
        <w:tc>
          <w:tcPr>
            <w:tcW w:w="1026" w:type="dxa"/>
            <w:tcBorders>
              <w:top w:val="nil"/>
              <w:left w:val="nil"/>
              <w:bottom w:val="nil"/>
              <w:right w:val="nil"/>
            </w:tcBorders>
            <w:shd w:val="clear" w:color="auto" w:fill="auto"/>
          </w:tcPr>
          <w:p w14:paraId="1F714B46" w14:textId="77777777" w:rsidR="00661E18" w:rsidRPr="00446050" w:rsidRDefault="00661E18" w:rsidP="00D02912">
            <w:pPr>
              <w:pStyle w:val="ARtabletextright"/>
              <w:spacing w:line="252" w:lineRule="auto"/>
            </w:pPr>
            <w:r w:rsidRPr="00446050">
              <w:t>84.4%</w:t>
            </w:r>
          </w:p>
        </w:tc>
        <w:tc>
          <w:tcPr>
            <w:tcW w:w="802" w:type="dxa"/>
            <w:tcBorders>
              <w:top w:val="nil"/>
              <w:left w:val="nil"/>
              <w:bottom w:val="nil"/>
              <w:right w:val="nil"/>
            </w:tcBorders>
            <w:shd w:val="clear" w:color="auto" w:fill="auto"/>
          </w:tcPr>
          <w:p w14:paraId="586183D6" w14:textId="77777777" w:rsidR="00661E18" w:rsidRPr="00446050" w:rsidRDefault="00661E18" w:rsidP="00D02912">
            <w:pPr>
              <w:pStyle w:val="ARtableperformancesymbol"/>
              <w:spacing w:line="252" w:lineRule="auto"/>
              <w:rPr>
                <w:rFonts w:hint="eastAsia"/>
                <w:lang w:val="en-AU"/>
              </w:rPr>
            </w:pPr>
            <w:r w:rsidRPr="00446050">
              <w:rPr>
                <w:rFonts w:eastAsia="Wingdings" w:cs="Wingdings"/>
              </w:rPr>
              <w:t></w:t>
            </w:r>
          </w:p>
        </w:tc>
      </w:tr>
      <w:tr w:rsidR="00661E18" w:rsidRPr="00446050" w14:paraId="39050111" w14:textId="77777777" w:rsidTr="00D02912">
        <w:trPr>
          <w:cantSplit/>
        </w:trPr>
        <w:tc>
          <w:tcPr>
            <w:tcW w:w="9632" w:type="dxa"/>
            <w:gridSpan w:val="6"/>
            <w:tcBorders>
              <w:top w:val="nil"/>
              <w:left w:val="nil"/>
              <w:bottom w:val="single" w:sz="4" w:space="0" w:color="BFBFBF" w:themeColor="background1" w:themeShade="BF"/>
              <w:right w:val="nil"/>
            </w:tcBorders>
            <w:shd w:val="clear" w:color="auto" w:fill="auto"/>
          </w:tcPr>
          <w:p w14:paraId="4535B8F2" w14:textId="77777777" w:rsidR="00661E18" w:rsidRPr="00446050" w:rsidRDefault="00661E18" w:rsidP="00D02912">
            <w:pPr>
              <w:pStyle w:val="ARtablenoteindent"/>
              <w:spacing w:line="252" w:lineRule="auto"/>
            </w:pPr>
            <w:r w:rsidRPr="00446050">
              <w:t>The 2023</w:t>
            </w:r>
            <w:r>
              <w:t>–</w:t>
            </w:r>
            <w:r w:rsidRPr="00446050">
              <w:t>24 outcome is higher than the target reflecting an increase of vilification being experienced by trans and gender diverse communities.</w:t>
            </w:r>
          </w:p>
        </w:tc>
      </w:tr>
      <w:tr w:rsidR="00661E18" w:rsidRPr="00446050" w14:paraId="223A34D5" w14:textId="77777777" w:rsidTr="00D02912">
        <w:trPr>
          <w:cantSplit/>
        </w:trPr>
        <w:tc>
          <w:tcPr>
            <w:tcW w:w="4744" w:type="dxa"/>
            <w:tcBorders>
              <w:top w:val="single" w:sz="4" w:space="0" w:color="BFBFBF" w:themeColor="background1" w:themeShade="BF"/>
              <w:left w:val="nil"/>
              <w:bottom w:val="nil"/>
              <w:right w:val="nil"/>
            </w:tcBorders>
            <w:shd w:val="clear" w:color="auto" w:fill="auto"/>
          </w:tcPr>
          <w:p w14:paraId="1006CB43" w14:textId="77777777" w:rsidR="00661E18" w:rsidRPr="00446050" w:rsidRDefault="00661E18" w:rsidP="00D02912">
            <w:pPr>
              <w:pStyle w:val="ARtabletext"/>
              <w:spacing w:line="252" w:lineRule="auto"/>
            </w:pPr>
            <w:r w:rsidRPr="00446050">
              <w:t>Proportion of LGBTIQ+ grant program recipients who are located in regional and rural areas</w:t>
            </w:r>
          </w:p>
        </w:tc>
        <w:tc>
          <w:tcPr>
            <w:tcW w:w="1018" w:type="dxa"/>
            <w:tcBorders>
              <w:top w:val="single" w:sz="4" w:space="0" w:color="BFBFBF" w:themeColor="background1" w:themeShade="BF"/>
              <w:left w:val="nil"/>
              <w:bottom w:val="nil"/>
              <w:right w:val="nil"/>
            </w:tcBorders>
            <w:shd w:val="clear" w:color="auto" w:fill="auto"/>
          </w:tcPr>
          <w:p w14:paraId="6FB073E6" w14:textId="77777777" w:rsidR="00661E18" w:rsidRPr="00446050" w:rsidRDefault="00661E18" w:rsidP="00D02912">
            <w:pPr>
              <w:pStyle w:val="ARtabletext"/>
              <w:spacing w:line="252" w:lineRule="auto"/>
            </w:pPr>
            <w:r w:rsidRPr="00446050">
              <w:t>per cent</w:t>
            </w:r>
          </w:p>
        </w:tc>
        <w:tc>
          <w:tcPr>
            <w:tcW w:w="1020" w:type="dxa"/>
            <w:tcBorders>
              <w:top w:val="single" w:sz="4" w:space="0" w:color="BFBFBF" w:themeColor="background1" w:themeShade="BF"/>
              <w:left w:val="nil"/>
              <w:bottom w:val="nil"/>
              <w:right w:val="nil"/>
            </w:tcBorders>
            <w:shd w:val="clear" w:color="auto" w:fill="auto"/>
          </w:tcPr>
          <w:p w14:paraId="5F5B1EFC" w14:textId="389DE242" w:rsidR="00661E18" w:rsidRPr="00446050" w:rsidRDefault="00661E18" w:rsidP="00D02912">
            <w:pPr>
              <w:pStyle w:val="ARtabletextright"/>
              <w:spacing w:line="252" w:lineRule="auto"/>
            </w:pPr>
            <w:r w:rsidRPr="00446050">
              <w:t>25</w:t>
            </w:r>
            <w:r w:rsidR="001478D0">
              <w:t>.0</w:t>
            </w:r>
          </w:p>
        </w:tc>
        <w:tc>
          <w:tcPr>
            <w:tcW w:w="1022" w:type="dxa"/>
            <w:tcBorders>
              <w:top w:val="single" w:sz="4" w:space="0" w:color="BFBFBF" w:themeColor="background1" w:themeShade="BF"/>
              <w:left w:val="nil"/>
              <w:bottom w:val="nil"/>
              <w:right w:val="nil"/>
            </w:tcBorders>
            <w:shd w:val="clear" w:color="auto" w:fill="auto"/>
          </w:tcPr>
          <w:p w14:paraId="45C0A10F" w14:textId="77777777" w:rsidR="00661E18" w:rsidRPr="00446050" w:rsidRDefault="00661E18" w:rsidP="00D02912">
            <w:pPr>
              <w:pStyle w:val="ARtabletextright"/>
              <w:spacing w:line="252" w:lineRule="auto"/>
            </w:pPr>
            <w:r w:rsidRPr="00446050">
              <w:t>39.7</w:t>
            </w:r>
          </w:p>
        </w:tc>
        <w:tc>
          <w:tcPr>
            <w:tcW w:w="1026" w:type="dxa"/>
            <w:tcBorders>
              <w:top w:val="single" w:sz="4" w:space="0" w:color="BFBFBF" w:themeColor="background1" w:themeShade="BF"/>
              <w:left w:val="nil"/>
              <w:bottom w:val="nil"/>
              <w:right w:val="nil"/>
            </w:tcBorders>
            <w:shd w:val="clear" w:color="auto" w:fill="auto"/>
          </w:tcPr>
          <w:p w14:paraId="09EF8B6D" w14:textId="77777777" w:rsidR="00661E18" w:rsidRPr="00446050" w:rsidRDefault="00661E18" w:rsidP="00D02912">
            <w:pPr>
              <w:pStyle w:val="ARtabletextright"/>
              <w:spacing w:line="252" w:lineRule="auto"/>
            </w:pPr>
            <w:r w:rsidRPr="00446050">
              <w:t>58.8%</w:t>
            </w:r>
          </w:p>
        </w:tc>
        <w:tc>
          <w:tcPr>
            <w:tcW w:w="802" w:type="dxa"/>
            <w:tcBorders>
              <w:top w:val="single" w:sz="4" w:space="0" w:color="BFBFBF" w:themeColor="background1" w:themeShade="BF"/>
              <w:left w:val="nil"/>
              <w:bottom w:val="nil"/>
              <w:right w:val="nil"/>
            </w:tcBorders>
            <w:shd w:val="clear" w:color="auto" w:fill="auto"/>
          </w:tcPr>
          <w:p w14:paraId="45C4994F" w14:textId="77777777" w:rsidR="00661E18" w:rsidRPr="00446050" w:rsidRDefault="00661E18" w:rsidP="00D02912">
            <w:pPr>
              <w:pStyle w:val="ARtableperformancesymbol"/>
              <w:spacing w:line="252" w:lineRule="auto"/>
              <w:rPr>
                <w:rFonts w:hint="eastAsia"/>
                <w:lang w:val="en-AU"/>
              </w:rPr>
            </w:pPr>
            <w:r w:rsidRPr="00446050">
              <w:rPr>
                <w:rFonts w:eastAsia="Wingdings" w:cs="Wingdings"/>
              </w:rPr>
              <w:t></w:t>
            </w:r>
          </w:p>
        </w:tc>
      </w:tr>
      <w:tr w:rsidR="00661E18" w:rsidRPr="00446050" w14:paraId="3F8BCA9C" w14:textId="77777777" w:rsidTr="00D02912">
        <w:trPr>
          <w:cantSplit/>
        </w:trPr>
        <w:tc>
          <w:tcPr>
            <w:tcW w:w="9632" w:type="dxa"/>
            <w:gridSpan w:val="6"/>
            <w:tcBorders>
              <w:top w:val="nil"/>
              <w:left w:val="nil"/>
              <w:bottom w:val="single" w:sz="4" w:space="0" w:color="BFBFBF" w:themeColor="background1" w:themeShade="BF"/>
              <w:right w:val="nil"/>
            </w:tcBorders>
            <w:shd w:val="clear" w:color="auto" w:fill="auto"/>
          </w:tcPr>
          <w:p w14:paraId="2E098DA5" w14:textId="77777777" w:rsidR="00661E18" w:rsidRPr="00446050" w:rsidRDefault="00661E18" w:rsidP="00D02912">
            <w:pPr>
              <w:pStyle w:val="ARtablenoteindent"/>
              <w:spacing w:line="252" w:lineRule="auto"/>
            </w:pPr>
            <w:r w:rsidRPr="00446050">
              <w:t>The 2023</w:t>
            </w:r>
            <w:r>
              <w:t>–</w:t>
            </w:r>
            <w:r w:rsidRPr="00446050">
              <w:t>24 expected outcome is higher than the 2023</w:t>
            </w:r>
            <w:r>
              <w:t>–</w:t>
            </w:r>
            <w:r w:rsidRPr="00446050">
              <w:t>24 target due to targeted focus on funding regional and rural LGBTIQA+ organisations in 2023</w:t>
            </w:r>
            <w:r>
              <w:t>–</w:t>
            </w:r>
            <w:r w:rsidRPr="00446050">
              <w:t>24.</w:t>
            </w:r>
          </w:p>
        </w:tc>
      </w:tr>
      <w:tr w:rsidR="00661E18" w:rsidRPr="00446050" w14:paraId="1FD31B0B" w14:textId="77777777" w:rsidTr="00D02912">
        <w:trPr>
          <w:cantSplit/>
        </w:trPr>
        <w:tc>
          <w:tcPr>
            <w:tcW w:w="4744" w:type="dxa"/>
            <w:tcBorders>
              <w:top w:val="single" w:sz="4" w:space="0" w:color="BFBFBF" w:themeColor="background1" w:themeShade="BF"/>
              <w:left w:val="nil"/>
              <w:bottom w:val="nil"/>
              <w:right w:val="nil"/>
            </w:tcBorders>
            <w:shd w:val="clear" w:color="auto" w:fill="auto"/>
          </w:tcPr>
          <w:p w14:paraId="70E88A13" w14:textId="77777777" w:rsidR="00661E18" w:rsidRPr="00446050" w:rsidRDefault="00661E18" w:rsidP="00D02912">
            <w:pPr>
              <w:pStyle w:val="ARtabletext"/>
              <w:spacing w:line="252" w:lineRule="auto"/>
            </w:pPr>
            <w:r w:rsidRPr="00446050">
              <w:t>Number of services engaged for Rainbow Tick</w:t>
            </w:r>
            <w:r>
              <w:t> </w:t>
            </w:r>
            <w:r w:rsidRPr="00446050">
              <w:t>accreditation</w:t>
            </w:r>
          </w:p>
        </w:tc>
        <w:tc>
          <w:tcPr>
            <w:tcW w:w="1018" w:type="dxa"/>
            <w:tcBorders>
              <w:top w:val="single" w:sz="4" w:space="0" w:color="BFBFBF" w:themeColor="background1" w:themeShade="BF"/>
              <w:left w:val="nil"/>
              <w:bottom w:val="nil"/>
              <w:right w:val="nil"/>
            </w:tcBorders>
            <w:shd w:val="clear" w:color="auto" w:fill="auto"/>
          </w:tcPr>
          <w:p w14:paraId="2405FF14" w14:textId="77777777" w:rsidR="00661E18" w:rsidRPr="00446050" w:rsidRDefault="00661E18" w:rsidP="00D02912">
            <w:pPr>
              <w:pStyle w:val="ARtabletext"/>
              <w:spacing w:line="252" w:lineRule="auto"/>
            </w:pPr>
            <w:r w:rsidRPr="00446050">
              <w:t>number</w:t>
            </w:r>
          </w:p>
        </w:tc>
        <w:tc>
          <w:tcPr>
            <w:tcW w:w="1020" w:type="dxa"/>
            <w:tcBorders>
              <w:top w:val="single" w:sz="4" w:space="0" w:color="BFBFBF" w:themeColor="background1" w:themeShade="BF"/>
              <w:left w:val="nil"/>
              <w:bottom w:val="nil"/>
              <w:right w:val="nil"/>
            </w:tcBorders>
            <w:shd w:val="clear" w:color="auto" w:fill="auto"/>
          </w:tcPr>
          <w:p w14:paraId="151765A1" w14:textId="77777777" w:rsidR="00661E18" w:rsidRPr="00446050" w:rsidRDefault="00661E18" w:rsidP="00D02912">
            <w:pPr>
              <w:pStyle w:val="ARtabletextright"/>
              <w:spacing w:line="252" w:lineRule="auto"/>
            </w:pPr>
            <w:r w:rsidRPr="00446050">
              <w:t>40</w:t>
            </w:r>
          </w:p>
        </w:tc>
        <w:tc>
          <w:tcPr>
            <w:tcW w:w="1022" w:type="dxa"/>
            <w:tcBorders>
              <w:top w:val="single" w:sz="4" w:space="0" w:color="BFBFBF" w:themeColor="background1" w:themeShade="BF"/>
              <w:left w:val="nil"/>
              <w:bottom w:val="nil"/>
              <w:right w:val="nil"/>
            </w:tcBorders>
            <w:shd w:val="clear" w:color="auto" w:fill="auto"/>
          </w:tcPr>
          <w:p w14:paraId="3DA29047" w14:textId="77777777" w:rsidR="00661E18" w:rsidRPr="00446050" w:rsidRDefault="00661E18" w:rsidP="00D02912">
            <w:pPr>
              <w:pStyle w:val="ARtabletextright"/>
              <w:spacing w:line="252" w:lineRule="auto"/>
            </w:pPr>
            <w:r w:rsidRPr="00446050">
              <w:t>40</w:t>
            </w:r>
          </w:p>
        </w:tc>
        <w:tc>
          <w:tcPr>
            <w:tcW w:w="1026" w:type="dxa"/>
            <w:tcBorders>
              <w:top w:val="single" w:sz="4" w:space="0" w:color="BFBFBF" w:themeColor="background1" w:themeShade="BF"/>
              <w:left w:val="nil"/>
              <w:bottom w:val="nil"/>
              <w:right w:val="nil"/>
            </w:tcBorders>
            <w:shd w:val="clear" w:color="auto" w:fill="auto"/>
          </w:tcPr>
          <w:p w14:paraId="2085D5E0" w14:textId="7C8E743D" w:rsidR="00661E18" w:rsidRPr="00446050" w:rsidRDefault="00661E18" w:rsidP="00D02912">
            <w:pPr>
              <w:pStyle w:val="ARtabletextright"/>
              <w:spacing w:line="252" w:lineRule="auto"/>
            </w:pPr>
            <w:r w:rsidRPr="00446050">
              <w:t>0</w:t>
            </w:r>
            <w:r w:rsidR="001155B2">
              <w:t>%</w:t>
            </w:r>
          </w:p>
        </w:tc>
        <w:tc>
          <w:tcPr>
            <w:tcW w:w="802" w:type="dxa"/>
            <w:tcBorders>
              <w:top w:val="single" w:sz="4" w:space="0" w:color="BFBFBF" w:themeColor="background1" w:themeShade="BF"/>
              <w:left w:val="nil"/>
              <w:bottom w:val="nil"/>
              <w:right w:val="nil"/>
            </w:tcBorders>
            <w:shd w:val="clear" w:color="auto" w:fill="auto"/>
          </w:tcPr>
          <w:p w14:paraId="496AC34C" w14:textId="77777777" w:rsidR="00661E18" w:rsidRPr="00446050" w:rsidRDefault="00661E18" w:rsidP="00D02912">
            <w:pPr>
              <w:pStyle w:val="ARtableperformancesymbol"/>
              <w:spacing w:line="252" w:lineRule="auto"/>
              <w:rPr>
                <w:rFonts w:hint="eastAsia"/>
                <w:lang w:val="en-AU"/>
              </w:rPr>
            </w:pPr>
            <w:r w:rsidRPr="00446050">
              <w:rPr>
                <w:rFonts w:eastAsia="Wingdings" w:cs="Wingdings"/>
              </w:rPr>
              <w:t></w:t>
            </w:r>
          </w:p>
        </w:tc>
      </w:tr>
      <w:tr w:rsidR="00661E18" w:rsidRPr="00446050" w14:paraId="11A9E88C" w14:textId="77777777" w:rsidTr="00D02912">
        <w:trPr>
          <w:cantSplit/>
        </w:trPr>
        <w:tc>
          <w:tcPr>
            <w:tcW w:w="9632" w:type="dxa"/>
            <w:gridSpan w:val="6"/>
            <w:tcBorders>
              <w:top w:val="single" w:sz="4" w:space="0" w:color="auto"/>
              <w:left w:val="nil"/>
              <w:bottom w:val="nil"/>
              <w:right w:val="nil"/>
            </w:tcBorders>
            <w:hideMark/>
          </w:tcPr>
          <w:p w14:paraId="00C14613" w14:textId="77777777" w:rsidR="00661E18" w:rsidRPr="00A274A7" w:rsidRDefault="00661E18" w:rsidP="00D02912">
            <w:pPr>
              <w:pStyle w:val="ARtablegreybold"/>
            </w:pPr>
            <w:r w:rsidRPr="00446050">
              <w:t>Cost</w:t>
            </w:r>
          </w:p>
        </w:tc>
      </w:tr>
      <w:tr w:rsidR="00661E18" w:rsidRPr="00532DAE" w14:paraId="1EB46C91" w14:textId="77777777" w:rsidTr="00D02912">
        <w:trPr>
          <w:cantSplit/>
        </w:trPr>
        <w:tc>
          <w:tcPr>
            <w:tcW w:w="4744" w:type="dxa"/>
            <w:tcBorders>
              <w:top w:val="nil"/>
              <w:left w:val="nil"/>
              <w:bottom w:val="single" w:sz="4" w:space="0" w:color="auto"/>
              <w:right w:val="nil"/>
            </w:tcBorders>
            <w:hideMark/>
          </w:tcPr>
          <w:p w14:paraId="3E4B0BB1" w14:textId="77777777" w:rsidR="00661E18" w:rsidRPr="00446050" w:rsidRDefault="00661E18" w:rsidP="00D02912">
            <w:pPr>
              <w:pStyle w:val="ARtabletextbold"/>
            </w:pPr>
            <w:r w:rsidRPr="00446050">
              <w:t>Total output cost</w:t>
            </w:r>
          </w:p>
        </w:tc>
        <w:tc>
          <w:tcPr>
            <w:tcW w:w="1018" w:type="dxa"/>
            <w:tcBorders>
              <w:top w:val="nil"/>
              <w:left w:val="nil"/>
              <w:bottom w:val="single" w:sz="4" w:space="0" w:color="auto"/>
              <w:right w:val="nil"/>
            </w:tcBorders>
            <w:hideMark/>
          </w:tcPr>
          <w:p w14:paraId="600C598E" w14:textId="77777777" w:rsidR="00661E18" w:rsidRPr="00446050" w:rsidRDefault="00661E18" w:rsidP="00D02912">
            <w:pPr>
              <w:pStyle w:val="ARtabletext"/>
              <w:spacing w:line="252" w:lineRule="auto"/>
              <w:rPr>
                <w:b/>
              </w:rPr>
            </w:pPr>
            <w:r w:rsidRPr="00446050">
              <w:rPr>
                <w:b/>
              </w:rPr>
              <w:t>$ million</w:t>
            </w:r>
          </w:p>
        </w:tc>
        <w:tc>
          <w:tcPr>
            <w:tcW w:w="1020" w:type="dxa"/>
            <w:tcBorders>
              <w:top w:val="nil"/>
              <w:left w:val="nil"/>
              <w:bottom w:val="single" w:sz="4" w:space="0" w:color="auto"/>
              <w:right w:val="nil"/>
            </w:tcBorders>
          </w:tcPr>
          <w:p w14:paraId="54D4936C" w14:textId="79965EF2" w:rsidR="00661E18" w:rsidRPr="00446050" w:rsidRDefault="00661E18" w:rsidP="00D02912">
            <w:pPr>
              <w:pStyle w:val="ARtabletextrightbold"/>
              <w:spacing w:line="252" w:lineRule="auto"/>
            </w:pPr>
            <w:r w:rsidRPr="00446050">
              <w:t>12</w:t>
            </w:r>
            <w:r w:rsidR="00A17E94">
              <w:t>.0</w:t>
            </w:r>
          </w:p>
        </w:tc>
        <w:tc>
          <w:tcPr>
            <w:tcW w:w="1022" w:type="dxa"/>
            <w:tcBorders>
              <w:top w:val="nil"/>
              <w:left w:val="nil"/>
              <w:bottom w:val="single" w:sz="4" w:space="0" w:color="auto"/>
              <w:right w:val="nil"/>
            </w:tcBorders>
          </w:tcPr>
          <w:p w14:paraId="7A287338" w14:textId="77777777" w:rsidR="00661E18" w:rsidRPr="00446050" w:rsidRDefault="00661E18" w:rsidP="00D02912">
            <w:pPr>
              <w:pStyle w:val="ARtabletextrightbold"/>
              <w:spacing w:line="252" w:lineRule="auto"/>
            </w:pPr>
            <w:r w:rsidRPr="00446050">
              <w:t>12.1</w:t>
            </w:r>
          </w:p>
        </w:tc>
        <w:tc>
          <w:tcPr>
            <w:tcW w:w="1026" w:type="dxa"/>
            <w:tcBorders>
              <w:top w:val="nil"/>
              <w:left w:val="nil"/>
              <w:bottom w:val="single" w:sz="4" w:space="0" w:color="auto"/>
              <w:right w:val="nil"/>
            </w:tcBorders>
          </w:tcPr>
          <w:p w14:paraId="7CD91524" w14:textId="2FFD4914" w:rsidR="00661E18" w:rsidRPr="00446050" w:rsidRDefault="00A17E94" w:rsidP="00D02912">
            <w:pPr>
              <w:pStyle w:val="ARtabletextrightbold"/>
              <w:spacing w:line="252" w:lineRule="auto"/>
            </w:pPr>
            <w:r>
              <w:t>1.0</w:t>
            </w:r>
            <w:r w:rsidR="00661E18" w:rsidRPr="00446050">
              <w:t>%</w:t>
            </w:r>
          </w:p>
        </w:tc>
        <w:tc>
          <w:tcPr>
            <w:tcW w:w="802" w:type="dxa"/>
            <w:tcBorders>
              <w:top w:val="nil"/>
              <w:left w:val="nil"/>
              <w:bottom w:val="single" w:sz="4" w:space="0" w:color="auto"/>
              <w:right w:val="nil"/>
            </w:tcBorders>
          </w:tcPr>
          <w:p w14:paraId="2F0CF233" w14:textId="77777777" w:rsidR="00661E18" w:rsidRPr="00446050" w:rsidRDefault="00661E18" w:rsidP="00D02912">
            <w:pPr>
              <w:pStyle w:val="ARtableperformancesymbol"/>
              <w:spacing w:line="252" w:lineRule="auto"/>
              <w:rPr>
                <w:rFonts w:hint="eastAsia"/>
                <w:b/>
              </w:rPr>
            </w:pPr>
            <w:r w:rsidRPr="00446050">
              <w:rPr>
                <w:rFonts w:eastAsia="Wingdings" w:cs="Wingdings"/>
              </w:rPr>
              <w:t></w:t>
            </w:r>
          </w:p>
        </w:tc>
      </w:tr>
    </w:tbl>
    <w:p w14:paraId="70130D65" w14:textId="5A156B9E" w:rsidR="000E38BD" w:rsidRPr="00166D69" w:rsidRDefault="000E38BD" w:rsidP="00166D69">
      <w:pPr>
        <w:pStyle w:val="Heading3"/>
      </w:pPr>
      <w:r w:rsidRPr="00561C66">
        <w:t>Women</w:t>
      </w:r>
      <w:r w:rsidR="00711AE6">
        <w:t>’</w:t>
      </w:r>
      <w:r w:rsidRPr="00561C66">
        <w:t>s policy</w:t>
      </w:r>
    </w:p>
    <w:p w14:paraId="25F5CA4A" w14:textId="77777777" w:rsidR="000E38BD" w:rsidRPr="00561C66" w:rsidRDefault="000E38BD" w:rsidP="0088621E">
      <w:pPr>
        <w:pStyle w:val="ARbody"/>
      </w:pPr>
      <w:r w:rsidRPr="00561C66">
        <w:t>This output provides initiatives that support women and the prevention of family violence and supports the economic, social and civic participation and inclusion of all Victorians.</w:t>
      </w:r>
    </w:p>
    <w:tbl>
      <w:tblPr>
        <w:tblW w:w="5000" w:type="pct"/>
        <w:tblLayout w:type="fixed"/>
        <w:tblCellMar>
          <w:left w:w="0" w:type="dxa"/>
        </w:tblCellMar>
        <w:tblLook w:val="06A0" w:firstRow="1" w:lastRow="0" w:firstColumn="1" w:lastColumn="0" w:noHBand="1" w:noVBand="1"/>
      </w:tblPr>
      <w:tblGrid>
        <w:gridCol w:w="4741"/>
        <w:gridCol w:w="1017"/>
        <w:gridCol w:w="1019"/>
        <w:gridCol w:w="1021"/>
        <w:gridCol w:w="1025"/>
        <w:gridCol w:w="801"/>
        <w:gridCol w:w="8"/>
      </w:tblGrid>
      <w:tr w:rsidR="000E38BD" w:rsidRPr="00446050" w14:paraId="115F7578" w14:textId="77777777" w:rsidTr="000D2E16">
        <w:trPr>
          <w:cantSplit/>
          <w:tblHeader/>
        </w:trPr>
        <w:tc>
          <w:tcPr>
            <w:tcW w:w="4741" w:type="dxa"/>
            <w:tcBorders>
              <w:bottom w:val="single" w:sz="4" w:space="0" w:color="auto"/>
            </w:tcBorders>
            <w:vAlign w:val="bottom"/>
            <w:hideMark/>
          </w:tcPr>
          <w:p w14:paraId="615E3041" w14:textId="77777777" w:rsidR="000E38BD" w:rsidRPr="00446050" w:rsidRDefault="000E38BD">
            <w:pPr>
              <w:pStyle w:val="ARtablecolhead"/>
            </w:pPr>
            <w:r w:rsidRPr="00446050">
              <w:t>Performance measures</w:t>
            </w:r>
          </w:p>
        </w:tc>
        <w:tc>
          <w:tcPr>
            <w:tcW w:w="1017" w:type="dxa"/>
            <w:tcBorders>
              <w:bottom w:val="single" w:sz="4" w:space="0" w:color="auto"/>
            </w:tcBorders>
            <w:vAlign w:val="bottom"/>
            <w:hideMark/>
          </w:tcPr>
          <w:p w14:paraId="756E105E" w14:textId="77777777" w:rsidR="000E38BD" w:rsidRPr="00446050" w:rsidRDefault="000E38BD">
            <w:pPr>
              <w:pStyle w:val="ARtablecolhead"/>
            </w:pPr>
            <w:r w:rsidRPr="00446050">
              <w:t>Unit of measure</w:t>
            </w:r>
          </w:p>
        </w:tc>
        <w:tc>
          <w:tcPr>
            <w:tcW w:w="1019" w:type="dxa"/>
            <w:tcBorders>
              <w:bottom w:val="single" w:sz="4" w:space="0" w:color="auto"/>
            </w:tcBorders>
            <w:vAlign w:val="bottom"/>
            <w:hideMark/>
          </w:tcPr>
          <w:p w14:paraId="1A76CF6D" w14:textId="2D33FC7C" w:rsidR="000E38BD" w:rsidRPr="00446050" w:rsidRDefault="000E38BD">
            <w:pPr>
              <w:pStyle w:val="ARtablecolheadright"/>
            </w:pPr>
            <w:r w:rsidRPr="00446050">
              <w:t>2023</w:t>
            </w:r>
            <w:r w:rsidR="00E837F9">
              <w:t>–</w:t>
            </w:r>
            <w:r w:rsidRPr="00446050">
              <w:t>24 target</w:t>
            </w:r>
          </w:p>
        </w:tc>
        <w:tc>
          <w:tcPr>
            <w:tcW w:w="1021" w:type="dxa"/>
            <w:tcBorders>
              <w:bottom w:val="single" w:sz="4" w:space="0" w:color="auto"/>
            </w:tcBorders>
            <w:vAlign w:val="bottom"/>
            <w:hideMark/>
          </w:tcPr>
          <w:p w14:paraId="5B004404" w14:textId="77777777" w:rsidR="000E38BD" w:rsidRPr="00446050" w:rsidRDefault="000E38BD">
            <w:pPr>
              <w:pStyle w:val="ARtablecolheadright"/>
            </w:pPr>
            <w:r w:rsidRPr="00446050">
              <w:t>2023–24 actual</w:t>
            </w:r>
          </w:p>
        </w:tc>
        <w:tc>
          <w:tcPr>
            <w:tcW w:w="1025" w:type="dxa"/>
            <w:tcBorders>
              <w:bottom w:val="single" w:sz="4" w:space="0" w:color="auto"/>
            </w:tcBorders>
            <w:vAlign w:val="bottom"/>
            <w:hideMark/>
          </w:tcPr>
          <w:p w14:paraId="343E28DE" w14:textId="77777777" w:rsidR="000E38BD" w:rsidRPr="00446050" w:rsidRDefault="000E38BD">
            <w:pPr>
              <w:pStyle w:val="ARtablecolheadright"/>
            </w:pPr>
            <w:r w:rsidRPr="00446050">
              <w:t xml:space="preserve">Variation </w:t>
            </w:r>
          </w:p>
        </w:tc>
        <w:tc>
          <w:tcPr>
            <w:tcW w:w="809" w:type="dxa"/>
            <w:gridSpan w:val="2"/>
            <w:tcBorders>
              <w:bottom w:val="single" w:sz="4" w:space="0" w:color="auto"/>
            </w:tcBorders>
            <w:vAlign w:val="bottom"/>
            <w:hideMark/>
          </w:tcPr>
          <w:p w14:paraId="4FB29734" w14:textId="77777777" w:rsidR="000E38BD" w:rsidRPr="00446050" w:rsidRDefault="000E38BD" w:rsidP="00B23080">
            <w:pPr>
              <w:pStyle w:val="ARtablecolheadright"/>
            </w:pPr>
            <w:r w:rsidRPr="00446050">
              <w:t>Result</w:t>
            </w:r>
          </w:p>
        </w:tc>
      </w:tr>
      <w:tr w:rsidR="000E38BD" w:rsidRPr="00446050" w14:paraId="6AF33AAD" w14:textId="77777777" w:rsidTr="000D2E16">
        <w:trPr>
          <w:cantSplit/>
        </w:trPr>
        <w:tc>
          <w:tcPr>
            <w:tcW w:w="9632" w:type="dxa"/>
            <w:gridSpan w:val="7"/>
            <w:tcBorders>
              <w:top w:val="single" w:sz="4" w:space="0" w:color="auto"/>
            </w:tcBorders>
            <w:hideMark/>
          </w:tcPr>
          <w:p w14:paraId="162A2C53" w14:textId="77777777" w:rsidR="000E38BD" w:rsidRPr="00A274A7" w:rsidRDefault="000E38BD" w:rsidP="00A274A7">
            <w:pPr>
              <w:pStyle w:val="ARtablegreybold"/>
            </w:pPr>
            <w:r w:rsidRPr="00446050">
              <w:t>Quantity</w:t>
            </w:r>
          </w:p>
        </w:tc>
      </w:tr>
      <w:tr w:rsidR="000E38BD" w:rsidRPr="00446050" w14:paraId="61A590C2" w14:textId="77777777" w:rsidTr="000D2E16">
        <w:trPr>
          <w:gridAfter w:val="1"/>
          <w:wAfter w:w="8" w:type="dxa"/>
          <w:cantSplit/>
        </w:trPr>
        <w:tc>
          <w:tcPr>
            <w:tcW w:w="4741" w:type="dxa"/>
            <w:shd w:val="clear" w:color="auto" w:fill="auto"/>
          </w:tcPr>
          <w:p w14:paraId="101EE67A" w14:textId="77777777" w:rsidR="000E38BD" w:rsidRPr="00446050" w:rsidRDefault="000E38BD">
            <w:pPr>
              <w:pStyle w:val="ARtabletext"/>
            </w:pPr>
            <w:r w:rsidRPr="00446050">
              <w:t>Number of people participating in funded gender equality programs</w:t>
            </w:r>
          </w:p>
        </w:tc>
        <w:tc>
          <w:tcPr>
            <w:tcW w:w="1017" w:type="dxa"/>
            <w:shd w:val="clear" w:color="auto" w:fill="auto"/>
          </w:tcPr>
          <w:p w14:paraId="0C7C91E4" w14:textId="77777777" w:rsidR="000E38BD" w:rsidRPr="00446050" w:rsidRDefault="000E38BD">
            <w:pPr>
              <w:pStyle w:val="ARtabletext"/>
            </w:pPr>
            <w:r w:rsidRPr="00446050">
              <w:t>number</w:t>
            </w:r>
          </w:p>
        </w:tc>
        <w:tc>
          <w:tcPr>
            <w:tcW w:w="1019" w:type="dxa"/>
            <w:shd w:val="clear" w:color="auto" w:fill="auto"/>
          </w:tcPr>
          <w:p w14:paraId="21F59AD1" w14:textId="77777777" w:rsidR="000E38BD" w:rsidRPr="00446050" w:rsidRDefault="000E38BD">
            <w:pPr>
              <w:pStyle w:val="ARtabletextright"/>
            </w:pPr>
            <w:r w:rsidRPr="00446050">
              <w:t>6,900</w:t>
            </w:r>
          </w:p>
        </w:tc>
        <w:tc>
          <w:tcPr>
            <w:tcW w:w="1021" w:type="dxa"/>
            <w:shd w:val="clear" w:color="auto" w:fill="auto"/>
          </w:tcPr>
          <w:p w14:paraId="6641063C" w14:textId="77777777" w:rsidR="000E38BD" w:rsidRPr="00446050" w:rsidRDefault="000E38BD">
            <w:pPr>
              <w:pStyle w:val="ARtabletextright"/>
            </w:pPr>
            <w:r w:rsidRPr="00446050">
              <w:t>17,278</w:t>
            </w:r>
          </w:p>
        </w:tc>
        <w:tc>
          <w:tcPr>
            <w:tcW w:w="1025" w:type="dxa"/>
            <w:shd w:val="clear" w:color="auto" w:fill="auto"/>
          </w:tcPr>
          <w:p w14:paraId="6799227B" w14:textId="77777777" w:rsidR="000E38BD" w:rsidRPr="00446050" w:rsidRDefault="000E38BD">
            <w:pPr>
              <w:pStyle w:val="ARtabletextright"/>
            </w:pPr>
            <w:r w:rsidRPr="00446050">
              <w:t>150.4%</w:t>
            </w:r>
          </w:p>
        </w:tc>
        <w:tc>
          <w:tcPr>
            <w:tcW w:w="801" w:type="dxa"/>
            <w:shd w:val="clear" w:color="auto" w:fill="auto"/>
          </w:tcPr>
          <w:p w14:paraId="78CCBE18"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0B502295" w14:textId="77777777" w:rsidTr="000D2E16">
        <w:trPr>
          <w:gridAfter w:val="1"/>
          <w:wAfter w:w="8" w:type="dxa"/>
          <w:cantSplit/>
        </w:trPr>
        <w:tc>
          <w:tcPr>
            <w:tcW w:w="9624" w:type="dxa"/>
            <w:gridSpan w:val="6"/>
            <w:tcBorders>
              <w:bottom w:val="single" w:sz="4" w:space="0" w:color="BFBFBF" w:themeColor="background1" w:themeShade="BF"/>
            </w:tcBorders>
            <w:shd w:val="clear" w:color="auto" w:fill="auto"/>
          </w:tcPr>
          <w:p w14:paraId="27AF4E00" w14:textId="29C14E8F" w:rsidR="000E38BD" w:rsidRPr="00446050" w:rsidRDefault="000E38BD">
            <w:pPr>
              <w:pStyle w:val="ARtablenoteindent"/>
            </w:pPr>
            <w:r w:rsidRPr="00446050">
              <w:t>The 2023</w:t>
            </w:r>
            <w:r w:rsidR="00E837F9">
              <w:t>–</w:t>
            </w:r>
            <w:r w:rsidRPr="00446050">
              <w:t>24 actual outcome is a very positive result being 150</w:t>
            </w:r>
            <w:r w:rsidR="00F95AC7">
              <w:t>%</w:t>
            </w:r>
            <w:r w:rsidRPr="00446050">
              <w:t xml:space="preserve"> higher than the </w:t>
            </w:r>
            <w:r w:rsidR="006734B7" w:rsidRPr="00446050">
              <w:t>target, with</w:t>
            </w:r>
            <w:r w:rsidRPr="00446050">
              <w:t xml:space="preserve"> funded gender equality programs reaching over 17,000 participants. This reflects the unplanned delivery of the Investing in Women Grassroots Grant Round, where 44 grants resulted in participation of over 7,000 people.</w:t>
            </w:r>
          </w:p>
        </w:tc>
      </w:tr>
      <w:tr w:rsidR="000E38BD" w:rsidRPr="00446050" w14:paraId="577DB76F" w14:textId="77777777" w:rsidTr="000D2E16">
        <w:trPr>
          <w:gridAfter w:val="1"/>
          <w:wAfter w:w="8" w:type="dxa"/>
          <w:cantSplit/>
        </w:trPr>
        <w:tc>
          <w:tcPr>
            <w:tcW w:w="4741" w:type="dxa"/>
            <w:tcBorders>
              <w:top w:val="single" w:sz="4" w:space="0" w:color="BFBFBF" w:themeColor="background1" w:themeShade="BF"/>
            </w:tcBorders>
            <w:shd w:val="clear" w:color="auto" w:fill="auto"/>
          </w:tcPr>
          <w:p w14:paraId="1C4B53AC" w14:textId="77777777" w:rsidR="000E38BD" w:rsidRPr="00446050" w:rsidRDefault="000E38BD">
            <w:pPr>
              <w:pStyle w:val="ARtabletext"/>
            </w:pPr>
            <w:r w:rsidRPr="00446050">
              <w:t>Percentage of women on Victorian Government boards</w:t>
            </w:r>
          </w:p>
        </w:tc>
        <w:tc>
          <w:tcPr>
            <w:tcW w:w="1017" w:type="dxa"/>
            <w:tcBorders>
              <w:top w:val="single" w:sz="4" w:space="0" w:color="BFBFBF" w:themeColor="background1" w:themeShade="BF"/>
            </w:tcBorders>
            <w:shd w:val="clear" w:color="auto" w:fill="auto"/>
          </w:tcPr>
          <w:p w14:paraId="10D5A10A" w14:textId="77777777" w:rsidR="000E38BD" w:rsidRPr="00446050" w:rsidRDefault="000E38BD">
            <w:pPr>
              <w:pStyle w:val="ARtabletext"/>
            </w:pPr>
            <w:r w:rsidRPr="00446050">
              <w:t>per cent</w:t>
            </w:r>
          </w:p>
        </w:tc>
        <w:tc>
          <w:tcPr>
            <w:tcW w:w="1019" w:type="dxa"/>
            <w:tcBorders>
              <w:top w:val="single" w:sz="4" w:space="0" w:color="BFBFBF" w:themeColor="background1" w:themeShade="BF"/>
            </w:tcBorders>
            <w:shd w:val="clear" w:color="auto" w:fill="auto"/>
          </w:tcPr>
          <w:p w14:paraId="6E8FAEE8" w14:textId="3EA92D84" w:rsidR="000E38BD" w:rsidRPr="00446050" w:rsidRDefault="000E38BD">
            <w:pPr>
              <w:pStyle w:val="ARtabletextright"/>
            </w:pPr>
            <w:r w:rsidRPr="00446050">
              <w:t>50</w:t>
            </w:r>
            <w:r w:rsidR="003D38DB">
              <w:t>.0</w:t>
            </w:r>
          </w:p>
        </w:tc>
        <w:tc>
          <w:tcPr>
            <w:tcW w:w="1021" w:type="dxa"/>
            <w:tcBorders>
              <w:top w:val="single" w:sz="4" w:space="0" w:color="BFBFBF" w:themeColor="background1" w:themeShade="BF"/>
            </w:tcBorders>
            <w:shd w:val="clear" w:color="auto" w:fill="auto"/>
          </w:tcPr>
          <w:p w14:paraId="1935F5EA" w14:textId="057AD8B2" w:rsidR="000E38BD" w:rsidRPr="00446050" w:rsidRDefault="000E38BD">
            <w:pPr>
              <w:pStyle w:val="ARtabletextright"/>
            </w:pPr>
            <w:r w:rsidRPr="00446050">
              <w:t>53</w:t>
            </w:r>
            <w:r w:rsidR="003D38DB">
              <w:t>.0</w:t>
            </w:r>
          </w:p>
        </w:tc>
        <w:tc>
          <w:tcPr>
            <w:tcW w:w="1025" w:type="dxa"/>
            <w:tcBorders>
              <w:top w:val="single" w:sz="4" w:space="0" w:color="BFBFBF" w:themeColor="background1" w:themeShade="BF"/>
            </w:tcBorders>
            <w:shd w:val="clear" w:color="auto" w:fill="auto"/>
          </w:tcPr>
          <w:p w14:paraId="4627E0C2" w14:textId="77777777" w:rsidR="000E38BD" w:rsidRPr="00446050" w:rsidRDefault="000E38BD">
            <w:pPr>
              <w:pStyle w:val="ARtabletextright"/>
            </w:pPr>
            <w:r w:rsidRPr="00446050">
              <w:t>6%</w:t>
            </w:r>
          </w:p>
        </w:tc>
        <w:tc>
          <w:tcPr>
            <w:tcW w:w="801" w:type="dxa"/>
            <w:tcBorders>
              <w:top w:val="single" w:sz="4" w:space="0" w:color="BFBFBF" w:themeColor="background1" w:themeShade="BF"/>
            </w:tcBorders>
            <w:shd w:val="clear" w:color="auto" w:fill="auto"/>
          </w:tcPr>
          <w:p w14:paraId="02E648A6"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6173BE3F" w14:textId="77777777" w:rsidTr="000D2E16">
        <w:trPr>
          <w:gridAfter w:val="1"/>
          <w:wAfter w:w="8" w:type="dxa"/>
          <w:cantSplit/>
        </w:trPr>
        <w:tc>
          <w:tcPr>
            <w:tcW w:w="9624" w:type="dxa"/>
            <w:gridSpan w:val="6"/>
            <w:tcBorders>
              <w:bottom w:val="single" w:sz="4" w:space="0" w:color="BFBFBF" w:themeColor="background1" w:themeShade="BF"/>
            </w:tcBorders>
            <w:shd w:val="clear" w:color="auto" w:fill="auto"/>
          </w:tcPr>
          <w:p w14:paraId="0CF300D6" w14:textId="57CB978A" w:rsidR="000E38BD" w:rsidRPr="00446050" w:rsidRDefault="000E38BD">
            <w:pPr>
              <w:pStyle w:val="ARtablenoteindent"/>
              <w:rPr>
                <w:rFonts w:eastAsia="Wingdings"/>
              </w:rPr>
            </w:pPr>
            <w:r w:rsidRPr="00446050">
              <w:rPr>
                <w:rFonts w:eastAsia="Wingdings"/>
              </w:rPr>
              <w:t>The 2023</w:t>
            </w:r>
            <w:r w:rsidR="00E837F9">
              <w:rPr>
                <w:rFonts w:eastAsia="Wingdings"/>
              </w:rPr>
              <w:t>–</w:t>
            </w:r>
            <w:r w:rsidRPr="00446050">
              <w:rPr>
                <w:rFonts w:eastAsia="Wingdings"/>
              </w:rPr>
              <w:t>24 actual outcome is higher than the target and is a positive result. The Women on Boards commitment requires Victorian Government boards and portfolios to have at least 50</w:t>
            </w:r>
            <w:r w:rsidR="00F95AC7">
              <w:rPr>
                <w:rFonts w:eastAsia="Wingdings"/>
              </w:rPr>
              <w:t>%</w:t>
            </w:r>
            <w:r w:rsidRPr="00446050">
              <w:rPr>
                <w:rFonts w:eastAsia="Wingdings"/>
              </w:rPr>
              <w:t xml:space="preserve"> women.</w:t>
            </w:r>
          </w:p>
        </w:tc>
      </w:tr>
      <w:tr w:rsidR="000E38BD" w:rsidRPr="00446050" w14:paraId="64E6215A" w14:textId="77777777" w:rsidTr="000D2E16">
        <w:trPr>
          <w:gridAfter w:val="1"/>
          <w:wAfter w:w="8" w:type="dxa"/>
          <w:cantSplit/>
        </w:trPr>
        <w:tc>
          <w:tcPr>
            <w:tcW w:w="4741" w:type="dxa"/>
            <w:tcBorders>
              <w:top w:val="single" w:sz="4" w:space="0" w:color="BFBFBF" w:themeColor="background1" w:themeShade="BF"/>
            </w:tcBorders>
            <w:shd w:val="clear" w:color="auto" w:fill="auto"/>
          </w:tcPr>
          <w:p w14:paraId="3056730B" w14:textId="77777777" w:rsidR="000E38BD" w:rsidRPr="00446050" w:rsidRDefault="000E38BD">
            <w:pPr>
              <w:pStyle w:val="ARtabletext"/>
              <w:keepNext/>
            </w:pPr>
            <w:r w:rsidRPr="00446050">
              <w:t>Gender equality grant recipients who met or exceeded contractually agreed outcomes</w:t>
            </w:r>
          </w:p>
        </w:tc>
        <w:tc>
          <w:tcPr>
            <w:tcW w:w="1017" w:type="dxa"/>
            <w:tcBorders>
              <w:top w:val="single" w:sz="4" w:space="0" w:color="BFBFBF" w:themeColor="background1" w:themeShade="BF"/>
            </w:tcBorders>
            <w:shd w:val="clear" w:color="auto" w:fill="auto"/>
          </w:tcPr>
          <w:p w14:paraId="7F884602" w14:textId="77777777" w:rsidR="000E38BD" w:rsidRPr="00446050" w:rsidRDefault="000E38BD">
            <w:pPr>
              <w:pStyle w:val="ARtabletext"/>
            </w:pPr>
            <w:r w:rsidRPr="00446050">
              <w:t>per cent</w:t>
            </w:r>
          </w:p>
        </w:tc>
        <w:tc>
          <w:tcPr>
            <w:tcW w:w="1019" w:type="dxa"/>
            <w:tcBorders>
              <w:top w:val="single" w:sz="4" w:space="0" w:color="BFBFBF" w:themeColor="background1" w:themeShade="BF"/>
            </w:tcBorders>
            <w:shd w:val="clear" w:color="auto" w:fill="auto"/>
          </w:tcPr>
          <w:p w14:paraId="29F2B2D7" w14:textId="3AA80BC8" w:rsidR="000E38BD" w:rsidRPr="00446050" w:rsidRDefault="000E38BD">
            <w:pPr>
              <w:pStyle w:val="ARtabletextright"/>
            </w:pPr>
            <w:r w:rsidRPr="00446050">
              <w:t>95</w:t>
            </w:r>
            <w:r w:rsidR="003D38DB">
              <w:t>.0</w:t>
            </w:r>
          </w:p>
        </w:tc>
        <w:tc>
          <w:tcPr>
            <w:tcW w:w="1021" w:type="dxa"/>
            <w:tcBorders>
              <w:top w:val="single" w:sz="4" w:space="0" w:color="BFBFBF" w:themeColor="background1" w:themeShade="BF"/>
            </w:tcBorders>
            <w:shd w:val="clear" w:color="auto" w:fill="auto"/>
          </w:tcPr>
          <w:p w14:paraId="5EC39C2C" w14:textId="77777777" w:rsidR="000E38BD" w:rsidRPr="00446050" w:rsidRDefault="000E38BD">
            <w:pPr>
              <w:pStyle w:val="ARtabletextright"/>
            </w:pPr>
            <w:r w:rsidRPr="00446050">
              <w:t>100</w:t>
            </w:r>
          </w:p>
        </w:tc>
        <w:tc>
          <w:tcPr>
            <w:tcW w:w="1025" w:type="dxa"/>
            <w:tcBorders>
              <w:top w:val="single" w:sz="4" w:space="0" w:color="BFBFBF" w:themeColor="background1" w:themeShade="BF"/>
            </w:tcBorders>
            <w:shd w:val="clear" w:color="auto" w:fill="auto"/>
          </w:tcPr>
          <w:p w14:paraId="114B3B6C" w14:textId="77777777" w:rsidR="000E38BD" w:rsidRPr="00446050" w:rsidRDefault="000E38BD">
            <w:pPr>
              <w:pStyle w:val="ARtabletextright"/>
            </w:pPr>
            <w:r w:rsidRPr="00446050">
              <w:t>5.3%</w:t>
            </w:r>
          </w:p>
        </w:tc>
        <w:tc>
          <w:tcPr>
            <w:tcW w:w="801" w:type="dxa"/>
            <w:tcBorders>
              <w:top w:val="single" w:sz="4" w:space="0" w:color="BFBFBF" w:themeColor="background1" w:themeShade="BF"/>
            </w:tcBorders>
            <w:shd w:val="clear" w:color="auto" w:fill="auto"/>
          </w:tcPr>
          <w:p w14:paraId="0E33663E"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1DB3DBB7" w14:textId="77777777" w:rsidTr="000D2E16">
        <w:trPr>
          <w:gridAfter w:val="1"/>
          <w:wAfter w:w="8" w:type="dxa"/>
          <w:cantSplit/>
        </w:trPr>
        <w:tc>
          <w:tcPr>
            <w:tcW w:w="9624" w:type="dxa"/>
            <w:gridSpan w:val="6"/>
            <w:tcBorders>
              <w:bottom w:val="single" w:sz="4" w:space="0" w:color="000000" w:themeColor="text1"/>
            </w:tcBorders>
            <w:shd w:val="clear" w:color="auto" w:fill="auto"/>
          </w:tcPr>
          <w:p w14:paraId="6B9A68D0" w14:textId="57C7845E" w:rsidR="000E38BD" w:rsidRPr="00446050" w:rsidRDefault="000E38BD">
            <w:pPr>
              <w:pStyle w:val="ARtablenoteindent"/>
            </w:pPr>
            <w:r w:rsidRPr="00446050">
              <w:t>The 2023</w:t>
            </w:r>
            <w:r w:rsidR="00E837F9">
              <w:t>–</w:t>
            </w:r>
            <w:r w:rsidRPr="00446050">
              <w:t>24 actual outcome is higher than the target and is a positive result. All gender equality grant recipients have met or exceeded their contractually agreed outcomes.</w:t>
            </w:r>
          </w:p>
        </w:tc>
      </w:tr>
      <w:tr w:rsidR="000E38BD" w:rsidRPr="00446050" w14:paraId="700D9E9A" w14:textId="77777777" w:rsidTr="00D4716C">
        <w:trPr>
          <w:cantSplit/>
        </w:trPr>
        <w:tc>
          <w:tcPr>
            <w:tcW w:w="9632" w:type="dxa"/>
            <w:gridSpan w:val="7"/>
            <w:hideMark/>
          </w:tcPr>
          <w:p w14:paraId="1800C18B" w14:textId="77777777" w:rsidR="000E38BD" w:rsidRPr="00446050" w:rsidRDefault="000E38BD">
            <w:pPr>
              <w:pStyle w:val="ARtablegreybold"/>
            </w:pPr>
            <w:r w:rsidRPr="00446050">
              <w:t>Timeliness</w:t>
            </w:r>
          </w:p>
        </w:tc>
      </w:tr>
      <w:tr w:rsidR="000E38BD" w:rsidRPr="00446050" w14:paraId="7AA96559" w14:textId="77777777" w:rsidTr="000D2E16">
        <w:trPr>
          <w:gridAfter w:val="1"/>
          <w:wAfter w:w="8" w:type="dxa"/>
          <w:cantSplit/>
        </w:trPr>
        <w:tc>
          <w:tcPr>
            <w:tcW w:w="4741" w:type="dxa"/>
            <w:tcBorders>
              <w:bottom w:val="single" w:sz="4" w:space="0" w:color="BFBFBF" w:themeColor="background1" w:themeShade="BF"/>
            </w:tcBorders>
            <w:shd w:val="clear" w:color="auto" w:fill="auto"/>
          </w:tcPr>
          <w:p w14:paraId="558A611F" w14:textId="02CE845D" w:rsidR="000E38BD" w:rsidRPr="00446050" w:rsidRDefault="000E38BD">
            <w:pPr>
              <w:pStyle w:val="ARtabletext"/>
            </w:pPr>
            <w:r w:rsidRPr="00446050">
              <w:t>Women</w:t>
            </w:r>
            <w:r w:rsidR="00711AE6">
              <w:t>’</w:t>
            </w:r>
            <w:r w:rsidRPr="00446050">
              <w:t>s portfolio projects and programs delivered on time</w:t>
            </w:r>
          </w:p>
        </w:tc>
        <w:tc>
          <w:tcPr>
            <w:tcW w:w="1017" w:type="dxa"/>
            <w:tcBorders>
              <w:bottom w:val="single" w:sz="4" w:space="0" w:color="BFBFBF" w:themeColor="background1" w:themeShade="BF"/>
            </w:tcBorders>
            <w:shd w:val="clear" w:color="auto" w:fill="auto"/>
          </w:tcPr>
          <w:p w14:paraId="38BCC0BF" w14:textId="77777777" w:rsidR="000E38BD" w:rsidRPr="00446050" w:rsidRDefault="000E38BD">
            <w:pPr>
              <w:pStyle w:val="ARtabletext"/>
            </w:pPr>
            <w:r w:rsidRPr="00446050">
              <w:t>per cent</w:t>
            </w:r>
          </w:p>
        </w:tc>
        <w:tc>
          <w:tcPr>
            <w:tcW w:w="1019" w:type="dxa"/>
            <w:tcBorders>
              <w:bottom w:val="single" w:sz="4" w:space="0" w:color="BFBFBF" w:themeColor="background1" w:themeShade="BF"/>
            </w:tcBorders>
            <w:shd w:val="clear" w:color="auto" w:fill="auto"/>
          </w:tcPr>
          <w:p w14:paraId="3C3B3B19" w14:textId="77777777" w:rsidR="000E38BD" w:rsidRPr="00446050" w:rsidRDefault="000E38BD">
            <w:pPr>
              <w:pStyle w:val="ARtabletextright"/>
            </w:pPr>
            <w:r w:rsidRPr="00446050">
              <w:t>100</w:t>
            </w:r>
          </w:p>
        </w:tc>
        <w:tc>
          <w:tcPr>
            <w:tcW w:w="1021" w:type="dxa"/>
            <w:tcBorders>
              <w:bottom w:val="single" w:sz="4" w:space="0" w:color="BFBFBF" w:themeColor="background1" w:themeShade="BF"/>
            </w:tcBorders>
            <w:shd w:val="clear" w:color="auto" w:fill="auto"/>
          </w:tcPr>
          <w:p w14:paraId="47571482" w14:textId="77777777" w:rsidR="000E38BD" w:rsidRPr="00446050" w:rsidRDefault="000E38BD">
            <w:pPr>
              <w:pStyle w:val="ARtabletextright"/>
            </w:pPr>
            <w:r w:rsidRPr="00446050">
              <w:t>100</w:t>
            </w:r>
          </w:p>
        </w:tc>
        <w:tc>
          <w:tcPr>
            <w:tcW w:w="1025" w:type="dxa"/>
            <w:tcBorders>
              <w:bottom w:val="single" w:sz="4" w:space="0" w:color="BFBFBF" w:themeColor="background1" w:themeShade="BF"/>
            </w:tcBorders>
            <w:shd w:val="clear" w:color="auto" w:fill="auto"/>
          </w:tcPr>
          <w:p w14:paraId="72BAA4AD" w14:textId="3DFA1D5F" w:rsidR="000E38BD" w:rsidRPr="00446050" w:rsidRDefault="000E38BD">
            <w:pPr>
              <w:pStyle w:val="ARtabletextright"/>
            </w:pPr>
            <w:r w:rsidRPr="00446050">
              <w:t>0</w:t>
            </w:r>
            <w:r w:rsidR="001155B2">
              <w:t>%</w:t>
            </w:r>
          </w:p>
        </w:tc>
        <w:tc>
          <w:tcPr>
            <w:tcW w:w="801" w:type="dxa"/>
            <w:tcBorders>
              <w:bottom w:val="single" w:sz="4" w:space="0" w:color="BFBFBF" w:themeColor="background1" w:themeShade="BF"/>
            </w:tcBorders>
            <w:shd w:val="clear" w:color="auto" w:fill="auto"/>
          </w:tcPr>
          <w:p w14:paraId="7D4C7ECC"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6C37A7A6" w14:textId="77777777" w:rsidTr="00D4716C">
        <w:trPr>
          <w:gridAfter w:val="1"/>
          <w:wAfter w:w="8" w:type="dxa"/>
          <w:cantSplit/>
        </w:trPr>
        <w:tc>
          <w:tcPr>
            <w:tcW w:w="4741" w:type="dxa"/>
            <w:tcBorders>
              <w:top w:val="single" w:sz="4" w:space="0" w:color="BFBFBF" w:themeColor="background1" w:themeShade="BF"/>
              <w:bottom w:val="single" w:sz="4" w:space="0" w:color="000000" w:themeColor="text1"/>
            </w:tcBorders>
            <w:shd w:val="clear" w:color="auto" w:fill="auto"/>
          </w:tcPr>
          <w:p w14:paraId="4FA1F04E" w14:textId="77777777" w:rsidR="000E38BD" w:rsidRPr="00446050" w:rsidRDefault="000E38BD">
            <w:pPr>
              <w:pStyle w:val="ARtabletext"/>
            </w:pPr>
            <w:r w:rsidRPr="00446050">
              <w:t xml:space="preserve">Tools, resources and guidelines to support the </w:t>
            </w:r>
            <w:r w:rsidRPr="00F64CF1">
              <w:rPr>
                <w:rStyle w:val="Emphasis"/>
              </w:rPr>
              <w:t>Gender Equality Act 2020 </w:t>
            </w:r>
            <w:r w:rsidRPr="00446050">
              <w:t>implementation are completed within agreed timeframes</w:t>
            </w:r>
          </w:p>
        </w:tc>
        <w:tc>
          <w:tcPr>
            <w:tcW w:w="1017" w:type="dxa"/>
            <w:tcBorders>
              <w:top w:val="single" w:sz="4" w:space="0" w:color="BFBFBF" w:themeColor="background1" w:themeShade="BF"/>
              <w:bottom w:val="single" w:sz="4" w:space="0" w:color="000000" w:themeColor="text1"/>
            </w:tcBorders>
            <w:shd w:val="clear" w:color="auto" w:fill="auto"/>
          </w:tcPr>
          <w:p w14:paraId="128CCC9C" w14:textId="77777777" w:rsidR="000E38BD" w:rsidRPr="00446050" w:rsidRDefault="000E38BD">
            <w:pPr>
              <w:pStyle w:val="ARtabletext"/>
            </w:pPr>
            <w:r w:rsidRPr="00446050">
              <w:t>per cent</w:t>
            </w:r>
          </w:p>
        </w:tc>
        <w:tc>
          <w:tcPr>
            <w:tcW w:w="1019" w:type="dxa"/>
            <w:tcBorders>
              <w:top w:val="single" w:sz="4" w:space="0" w:color="BFBFBF" w:themeColor="background1" w:themeShade="BF"/>
              <w:bottom w:val="single" w:sz="4" w:space="0" w:color="000000" w:themeColor="text1"/>
            </w:tcBorders>
            <w:shd w:val="clear" w:color="auto" w:fill="auto"/>
          </w:tcPr>
          <w:p w14:paraId="3E924235" w14:textId="77777777" w:rsidR="000E38BD" w:rsidRPr="00446050" w:rsidRDefault="000E38BD">
            <w:pPr>
              <w:pStyle w:val="ARtabletextright"/>
            </w:pPr>
            <w:r w:rsidRPr="00446050">
              <w:t>100</w:t>
            </w:r>
          </w:p>
        </w:tc>
        <w:tc>
          <w:tcPr>
            <w:tcW w:w="1021" w:type="dxa"/>
            <w:tcBorders>
              <w:top w:val="single" w:sz="4" w:space="0" w:color="BFBFBF" w:themeColor="background1" w:themeShade="BF"/>
              <w:bottom w:val="single" w:sz="4" w:space="0" w:color="000000" w:themeColor="text1"/>
            </w:tcBorders>
            <w:shd w:val="clear" w:color="auto" w:fill="auto"/>
          </w:tcPr>
          <w:p w14:paraId="0C02B450" w14:textId="77777777" w:rsidR="000E38BD" w:rsidRPr="00446050" w:rsidRDefault="000E38BD">
            <w:pPr>
              <w:pStyle w:val="ARtabletextright"/>
            </w:pPr>
            <w:r w:rsidRPr="00446050">
              <w:t>100</w:t>
            </w:r>
          </w:p>
        </w:tc>
        <w:tc>
          <w:tcPr>
            <w:tcW w:w="1025" w:type="dxa"/>
            <w:tcBorders>
              <w:top w:val="single" w:sz="4" w:space="0" w:color="BFBFBF" w:themeColor="background1" w:themeShade="BF"/>
              <w:bottom w:val="single" w:sz="4" w:space="0" w:color="000000" w:themeColor="text1"/>
            </w:tcBorders>
            <w:shd w:val="clear" w:color="auto" w:fill="auto"/>
          </w:tcPr>
          <w:p w14:paraId="5ECC185C" w14:textId="3CA01C86" w:rsidR="000E38BD" w:rsidRPr="00446050" w:rsidRDefault="000E38BD">
            <w:pPr>
              <w:pStyle w:val="ARtabletextright"/>
            </w:pPr>
            <w:r w:rsidRPr="00446050">
              <w:t>0</w:t>
            </w:r>
            <w:r w:rsidR="001155B2">
              <w:t>%</w:t>
            </w:r>
          </w:p>
        </w:tc>
        <w:tc>
          <w:tcPr>
            <w:tcW w:w="801" w:type="dxa"/>
            <w:tcBorders>
              <w:top w:val="single" w:sz="4" w:space="0" w:color="BFBFBF" w:themeColor="background1" w:themeShade="BF"/>
              <w:bottom w:val="single" w:sz="4" w:space="0" w:color="000000" w:themeColor="text1"/>
            </w:tcBorders>
            <w:shd w:val="clear" w:color="auto" w:fill="auto"/>
          </w:tcPr>
          <w:p w14:paraId="56CF5D35" w14:textId="77777777" w:rsidR="000E38BD" w:rsidRPr="00446050" w:rsidRDefault="000E38BD">
            <w:pPr>
              <w:pStyle w:val="ARtableperformancesymbol"/>
              <w:rPr>
                <w:rFonts w:hint="eastAsia"/>
                <w:lang w:val="en-AU"/>
              </w:rPr>
            </w:pPr>
            <w:r w:rsidRPr="00446050">
              <w:rPr>
                <w:rFonts w:eastAsia="Wingdings" w:cs="Wingdings"/>
              </w:rPr>
              <w:t></w:t>
            </w:r>
          </w:p>
        </w:tc>
      </w:tr>
      <w:tr w:rsidR="000D2E16" w:rsidRPr="00446050" w14:paraId="663CB26F" w14:textId="77777777" w:rsidTr="00D4716C">
        <w:trPr>
          <w:gridAfter w:val="1"/>
          <w:wAfter w:w="8" w:type="dxa"/>
          <w:cantSplit/>
        </w:trPr>
        <w:tc>
          <w:tcPr>
            <w:tcW w:w="4741" w:type="dxa"/>
            <w:tcBorders>
              <w:top w:val="single" w:sz="4" w:space="0" w:color="000000" w:themeColor="text1"/>
            </w:tcBorders>
            <w:shd w:val="clear" w:color="auto" w:fill="auto"/>
          </w:tcPr>
          <w:p w14:paraId="3D032E53" w14:textId="5C781EEF" w:rsidR="000D2E16" w:rsidRPr="00AA126F" w:rsidRDefault="000D2E16" w:rsidP="000D2E16">
            <w:pPr>
              <w:pStyle w:val="ARtabletext"/>
              <w:rPr>
                <w:b/>
                <w:bCs/>
              </w:rPr>
            </w:pPr>
            <w:r w:rsidRPr="00AA126F">
              <w:rPr>
                <w:b/>
                <w:bCs/>
              </w:rPr>
              <w:t>Cost</w:t>
            </w:r>
          </w:p>
        </w:tc>
        <w:tc>
          <w:tcPr>
            <w:tcW w:w="1017" w:type="dxa"/>
            <w:tcBorders>
              <w:top w:val="single" w:sz="4" w:space="0" w:color="000000" w:themeColor="text1"/>
            </w:tcBorders>
            <w:shd w:val="clear" w:color="auto" w:fill="auto"/>
          </w:tcPr>
          <w:p w14:paraId="3E14FFC4" w14:textId="77777777" w:rsidR="000D2E16" w:rsidRPr="00446050" w:rsidRDefault="000D2E16" w:rsidP="000D2E16">
            <w:pPr>
              <w:pStyle w:val="ARtabletext"/>
            </w:pPr>
          </w:p>
        </w:tc>
        <w:tc>
          <w:tcPr>
            <w:tcW w:w="1019" w:type="dxa"/>
            <w:tcBorders>
              <w:top w:val="single" w:sz="4" w:space="0" w:color="000000" w:themeColor="text1"/>
            </w:tcBorders>
            <w:shd w:val="clear" w:color="auto" w:fill="auto"/>
          </w:tcPr>
          <w:p w14:paraId="46A4E555" w14:textId="77777777" w:rsidR="000D2E16" w:rsidRPr="00446050" w:rsidRDefault="000D2E16" w:rsidP="000D2E16">
            <w:pPr>
              <w:pStyle w:val="ARtabletextright"/>
            </w:pPr>
          </w:p>
        </w:tc>
        <w:tc>
          <w:tcPr>
            <w:tcW w:w="1021" w:type="dxa"/>
            <w:tcBorders>
              <w:top w:val="single" w:sz="4" w:space="0" w:color="000000" w:themeColor="text1"/>
            </w:tcBorders>
            <w:shd w:val="clear" w:color="auto" w:fill="auto"/>
          </w:tcPr>
          <w:p w14:paraId="3EFED3A2" w14:textId="77777777" w:rsidR="000D2E16" w:rsidRPr="00446050" w:rsidRDefault="000D2E16" w:rsidP="000D2E16">
            <w:pPr>
              <w:pStyle w:val="ARtabletextright"/>
            </w:pPr>
          </w:p>
        </w:tc>
        <w:tc>
          <w:tcPr>
            <w:tcW w:w="1025" w:type="dxa"/>
            <w:tcBorders>
              <w:top w:val="single" w:sz="4" w:space="0" w:color="000000" w:themeColor="text1"/>
            </w:tcBorders>
            <w:shd w:val="clear" w:color="auto" w:fill="auto"/>
          </w:tcPr>
          <w:p w14:paraId="5109BAF4" w14:textId="77777777" w:rsidR="000D2E16" w:rsidRPr="00446050" w:rsidRDefault="000D2E16" w:rsidP="000D2E16">
            <w:pPr>
              <w:pStyle w:val="ARtabletextright"/>
            </w:pPr>
          </w:p>
        </w:tc>
        <w:tc>
          <w:tcPr>
            <w:tcW w:w="801" w:type="dxa"/>
            <w:tcBorders>
              <w:top w:val="single" w:sz="4" w:space="0" w:color="000000" w:themeColor="text1"/>
            </w:tcBorders>
            <w:shd w:val="clear" w:color="auto" w:fill="auto"/>
          </w:tcPr>
          <w:p w14:paraId="7D55F8F4" w14:textId="77777777" w:rsidR="000D2E16" w:rsidRPr="00446050" w:rsidRDefault="000D2E16" w:rsidP="000D2E16">
            <w:pPr>
              <w:pStyle w:val="ARtableperformancesymbol"/>
              <w:rPr>
                <w:rFonts w:eastAsia="Wingdings" w:cs="Wingdings"/>
              </w:rPr>
            </w:pPr>
          </w:p>
        </w:tc>
      </w:tr>
      <w:tr w:rsidR="000D2E16" w:rsidRPr="00446050" w14:paraId="030AC70C" w14:textId="77777777" w:rsidTr="00AA126F">
        <w:trPr>
          <w:gridAfter w:val="1"/>
          <w:wAfter w:w="8" w:type="dxa"/>
          <w:cantSplit/>
        </w:trPr>
        <w:tc>
          <w:tcPr>
            <w:tcW w:w="4741" w:type="dxa"/>
            <w:shd w:val="clear" w:color="auto" w:fill="auto"/>
          </w:tcPr>
          <w:p w14:paraId="14285761" w14:textId="0747A56C" w:rsidR="000D2E16" w:rsidRPr="00AA126F" w:rsidRDefault="000D2E16" w:rsidP="000D2E16">
            <w:pPr>
              <w:pStyle w:val="ARtabletext"/>
              <w:rPr>
                <w:b/>
                <w:bCs/>
              </w:rPr>
            </w:pPr>
            <w:r w:rsidRPr="00AA126F">
              <w:rPr>
                <w:b/>
                <w:bCs/>
              </w:rPr>
              <w:t>Total output cost</w:t>
            </w:r>
          </w:p>
        </w:tc>
        <w:tc>
          <w:tcPr>
            <w:tcW w:w="1017" w:type="dxa"/>
            <w:shd w:val="clear" w:color="auto" w:fill="auto"/>
          </w:tcPr>
          <w:p w14:paraId="6AACE9B2" w14:textId="62A1D79B" w:rsidR="000D2E16" w:rsidRPr="00AA126F" w:rsidRDefault="000D2E16" w:rsidP="000D2E16">
            <w:pPr>
              <w:pStyle w:val="ARtabletext"/>
              <w:rPr>
                <w:b/>
                <w:bCs/>
              </w:rPr>
            </w:pPr>
            <w:r w:rsidRPr="00AA126F">
              <w:rPr>
                <w:b/>
                <w:bCs/>
              </w:rPr>
              <w:t>$ million</w:t>
            </w:r>
          </w:p>
        </w:tc>
        <w:tc>
          <w:tcPr>
            <w:tcW w:w="1019" w:type="dxa"/>
            <w:shd w:val="clear" w:color="auto" w:fill="auto"/>
          </w:tcPr>
          <w:p w14:paraId="068E3A1E" w14:textId="75D93810" w:rsidR="000D2E16" w:rsidRPr="00AA126F" w:rsidRDefault="000D2E16" w:rsidP="000D2E16">
            <w:pPr>
              <w:pStyle w:val="ARtabletextright"/>
              <w:rPr>
                <w:b/>
                <w:bCs/>
              </w:rPr>
            </w:pPr>
            <w:r w:rsidRPr="009A6A1C">
              <w:rPr>
                <w:b/>
                <w:bCs/>
              </w:rPr>
              <w:t>18.7</w:t>
            </w:r>
          </w:p>
        </w:tc>
        <w:tc>
          <w:tcPr>
            <w:tcW w:w="1021" w:type="dxa"/>
            <w:shd w:val="clear" w:color="auto" w:fill="auto"/>
          </w:tcPr>
          <w:p w14:paraId="19584C52" w14:textId="2948A717" w:rsidR="000D2E16" w:rsidRPr="00446050" w:rsidRDefault="000D2E16" w:rsidP="000D2E16">
            <w:pPr>
              <w:pStyle w:val="ARtabletextright"/>
            </w:pPr>
            <w:r w:rsidRPr="00446050">
              <w:rPr>
                <w:b/>
                <w:bCs/>
              </w:rPr>
              <w:t>13.8</w:t>
            </w:r>
          </w:p>
        </w:tc>
        <w:tc>
          <w:tcPr>
            <w:tcW w:w="1025" w:type="dxa"/>
            <w:shd w:val="clear" w:color="auto" w:fill="auto"/>
          </w:tcPr>
          <w:p w14:paraId="6B749AD6" w14:textId="74BA6268" w:rsidR="000D2E16" w:rsidRPr="00446050" w:rsidRDefault="000D2E16" w:rsidP="000D2E16">
            <w:pPr>
              <w:pStyle w:val="ARtabletextright"/>
            </w:pPr>
            <w:r w:rsidRPr="00446050">
              <w:rPr>
                <w:b/>
                <w:bCs/>
              </w:rPr>
              <w:t>-26.</w:t>
            </w:r>
            <w:r w:rsidR="00840595">
              <w:rPr>
                <w:b/>
                <w:bCs/>
              </w:rPr>
              <w:t>1</w:t>
            </w:r>
          </w:p>
        </w:tc>
        <w:tc>
          <w:tcPr>
            <w:tcW w:w="801" w:type="dxa"/>
            <w:shd w:val="clear" w:color="auto" w:fill="auto"/>
          </w:tcPr>
          <w:p w14:paraId="7364F4A8" w14:textId="7D0EFF57" w:rsidR="000D2E16" w:rsidRPr="00446050" w:rsidRDefault="000D2E16" w:rsidP="000D2E16">
            <w:pPr>
              <w:pStyle w:val="ARtableperformancesymbol"/>
              <w:rPr>
                <w:rFonts w:eastAsia="Wingdings" w:cs="Wingdings"/>
              </w:rPr>
            </w:pPr>
            <w:r w:rsidRPr="00446050">
              <w:rPr>
                <w:rFonts w:eastAsia="Wingdings" w:cs="Wingdings"/>
              </w:rPr>
              <w:t></w:t>
            </w:r>
          </w:p>
        </w:tc>
      </w:tr>
      <w:tr w:rsidR="00764A4C" w:rsidRPr="00446050" w14:paraId="74D66952" w14:textId="77777777">
        <w:trPr>
          <w:gridAfter w:val="1"/>
          <w:wAfter w:w="8" w:type="dxa"/>
          <w:cantSplit/>
        </w:trPr>
        <w:tc>
          <w:tcPr>
            <w:tcW w:w="9624" w:type="dxa"/>
            <w:gridSpan w:val="6"/>
            <w:tcBorders>
              <w:bottom w:val="single" w:sz="4" w:space="0" w:color="BFBFBF" w:themeColor="background1" w:themeShade="BF"/>
            </w:tcBorders>
            <w:shd w:val="clear" w:color="auto" w:fill="auto"/>
          </w:tcPr>
          <w:p w14:paraId="4785D8AE" w14:textId="47B88FD8" w:rsidR="00764A4C" w:rsidRPr="00AA126F" w:rsidRDefault="00764A4C" w:rsidP="00587395">
            <w:pPr>
              <w:pStyle w:val="ARtablenoteindent"/>
              <w:rPr>
                <w:rFonts w:eastAsia="Wingdings"/>
              </w:rPr>
            </w:pPr>
            <w:r w:rsidRPr="00AA126F">
              <w:rPr>
                <w:rFonts w:hint="eastAsia"/>
              </w:rPr>
              <w:t>The lower 2023</w:t>
            </w:r>
            <w:r w:rsidR="00AC72B2">
              <w:rPr>
                <w:rFonts w:hint="eastAsia"/>
              </w:rPr>
              <w:t>–</w:t>
            </w:r>
            <w:r w:rsidRPr="00AA126F">
              <w:rPr>
                <w:rFonts w:hint="eastAsia"/>
              </w:rPr>
              <w:t>24 result is primarily due to revised delivery timelines resulting in re-alignment of cashflow for the Free pads and tampons in public places initiative.</w:t>
            </w:r>
          </w:p>
        </w:tc>
      </w:tr>
    </w:tbl>
    <w:p w14:paraId="12265601" w14:textId="076840CB" w:rsidR="000E38BD" w:rsidRPr="00561C66" w:rsidRDefault="00166D69" w:rsidP="00661E18">
      <w:pPr>
        <w:pStyle w:val="Heading3"/>
      </w:pPr>
      <w:r>
        <w:br w:type="page"/>
      </w:r>
      <w:r w:rsidR="000E38BD" w:rsidRPr="00561C66">
        <w:t>Youth</w:t>
      </w:r>
    </w:p>
    <w:p w14:paraId="63BE1C7C" w14:textId="77777777" w:rsidR="000E38BD" w:rsidRPr="00561C66" w:rsidRDefault="000E38BD" w:rsidP="0088621E">
      <w:pPr>
        <w:pStyle w:val="ARbody"/>
      </w:pPr>
      <w:r w:rsidRPr="00561C66">
        <w:t>This output leads and coordinates whole-of-government policy advice and delivers a range of initiatives for young people aged between 12 and 25 years to gain a range of skills and experiences and to actively participate in their local communities.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A0" w:firstRow="1" w:lastRow="0" w:firstColumn="1" w:lastColumn="0" w:noHBand="1" w:noVBand="1"/>
      </w:tblPr>
      <w:tblGrid>
        <w:gridCol w:w="4744"/>
        <w:gridCol w:w="1018"/>
        <w:gridCol w:w="1020"/>
        <w:gridCol w:w="1022"/>
        <w:gridCol w:w="1026"/>
        <w:gridCol w:w="794"/>
        <w:gridCol w:w="8"/>
      </w:tblGrid>
      <w:tr w:rsidR="000E38BD" w:rsidRPr="00446050" w14:paraId="3A2F5C47" w14:textId="77777777" w:rsidTr="00AA126F">
        <w:trPr>
          <w:cantSplit/>
          <w:tblHeader/>
        </w:trPr>
        <w:tc>
          <w:tcPr>
            <w:tcW w:w="4744" w:type="dxa"/>
            <w:tcBorders>
              <w:top w:val="nil"/>
              <w:left w:val="nil"/>
              <w:right w:val="nil"/>
            </w:tcBorders>
            <w:vAlign w:val="bottom"/>
            <w:hideMark/>
          </w:tcPr>
          <w:p w14:paraId="0F579CC3" w14:textId="77777777" w:rsidR="000E38BD" w:rsidRPr="00446050" w:rsidRDefault="000E38BD">
            <w:pPr>
              <w:pStyle w:val="ARtablecolhead"/>
            </w:pPr>
            <w:r w:rsidRPr="00446050">
              <w:t>Performance measures</w:t>
            </w:r>
          </w:p>
        </w:tc>
        <w:tc>
          <w:tcPr>
            <w:tcW w:w="1018" w:type="dxa"/>
            <w:tcBorders>
              <w:top w:val="nil"/>
              <w:left w:val="nil"/>
              <w:right w:val="nil"/>
            </w:tcBorders>
            <w:vAlign w:val="bottom"/>
            <w:hideMark/>
          </w:tcPr>
          <w:p w14:paraId="2F25A4E8" w14:textId="77777777" w:rsidR="000E38BD" w:rsidRPr="00446050" w:rsidRDefault="000E38BD">
            <w:pPr>
              <w:pStyle w:val="ARtablecolhead"/>
            </w:pPr>
            <w:r w:rsidRPr="00446050">
              <w:t>Unit of measure</w:t>
            </w:r>
          </w:p>
        </w:tc>
        <w:tc>
          <w:tcPr>
            <w:tcW w:w="1020" w:type="dxa"/>
            <w:tcBorders>
              <w:top w:val="nil"/>
              <w:left w:val="nil"/>
              <w:right w:val="nil"/>
            </w:tcBorders>
            <w:vAlign w:val="bottom"/>
            <w:hideMark/>
          </w:tcPr>
          <w:p w14:paraId="5234175F" w14:textId="7171BC10" w:rsidR="000E38BD" w:rsidRPr="00446050" w:rsidRDefault="000E38BD">
            <w:pPr>
              <w:pStyle w:val="ARtablecolheadright"/>
            </w:pPr>
            <w:r w:rsidRPr="00446050">
              <w:t>2023</w:t>
            </w:r>
            <w:r w:rsidR="00E837F9">
              <w:t>–</w:t>
            </w:r>
            <w:r w:rsidRPr="00446050">
              <w:t>24 target</w:t>
            </w:r>
          </w:p>
        </w:tc>
        <w:tc>
          <w:tcPr>
            <w:tcW w:w="1022" w:type="dxa"/>
            <w:tcBorders>
              <w:top w:val="nil"/>
              <w:left w:val="nil"/>
              <w:right w:val="nil"/>
            </w:tcBorders>
            <w:vAlign w:val="bottom"/>
            <w:hideMark/>
          </w:tcPr>
          <w:p w14:paraId="33716F1B" w14:textId="77777777" w:rsidR="000E38BD" w:rsidRPr="00446050" w:rsidRDefault="000E38BD">
            <w:pPr>
              <w:pStyle w:val="ARtablecolheadright"/>
            </w:pPr>
            <w:r w:rsidRPr="00F520E2">
              <w:t>2023–24 actual</w:t>
            </w:r>
          </w:p>
        </w:tc>
        <w:tc>
          <w:tcPr>
            <w:tcW w:w="1026" w:type="dxa"/>
            <w:tcBorders>
              <w:top w:val="nil"/>
              <w:left w:val="nil"/>
              <w:right w:val="nil"/>
            </w:tcBorders>
            <w:vAlign w:val="bottom"/>
            <w:hideMark/>
          </w:tcPr>
          <w:p w14:paraId="21C01F40" w14:textId="77777777" w:rsidR="000E38BD" w:rsidRPr="00446050" w:rsidRDefault="000E38BD">
            <w:pPr>
              <w:pStyle w:val="ARtablecolheadright"/>
            </w:pPr>
            <w:r w:rsidRPr="00446050">
              <w:t xml:space="preserve">Variation </w:t>
            </w:r>
          </w:p>
        </w:tc>
        <w:tc>
          <w:tcPr>
            <w:tcW w:w="802" w:type="dxa"/>
            <w:gridSpan w:val="2"/>
            <w:tcBorders>
              <w:top w:val="nil"/>
              <w:left w:val="nil"/>
              <w:right w:val="nil"/>
            </w:tcBorders>
            <w:vAlign w:val="bottom"/>
            <w:hideMark/>
          </w:tcPr>
          <w:p w14:paraId="627B95D1" w14:textId="77777777" w:rsidR="000E38BD" w:rsidRPr="00446050" w:rsidRDefault="000E38BD" w:rsidP="00B23080">
            <w:pPr>
              <w:pStyle w:val="ARtablecolheadright"/>
            </w:pPr>
            <w:r w:rsidRPr="00446050">
              <w:t>Result</w:t>
            </w:r>
          </w:p>
        </w:tc>
      </w:tr>
      <w:tr w:rsidR="000E38BD" w:rsidRPr="00446050" w14:paraId="35D02622" w14:textId="77777777" w:rsidTr="00AA126F">
        <w:trPr>
          <w:cantSplit/>
        </w:trPr>
        <w:tc>
          <w:tcPr>
            <w:tcW w:w="9632" w:type="dxa"/>
            <w:gridSpan w:val="7"/>
            <w:tcBorders>
              <w:top w:val="single" w:sz="4" w:space="0" w:color="auto"/>
              <w:left w:val="nil"/>
              <w:bottom w:val="nil"/>
              <w:right w:val="nil"/>
            </w:tcBorders>
            <w:hideMark/>
          </w:tcPr>
          <w:p w14:paraId="45F3D21B" w14:textId="77777777" w:rsidR="000E38BD" w:rsidRPr="00446050" w:rsidRDefault="000E38BD">
            <w:pPr>
              <w:pStyle w:val="ARtablegreybold"/>
            </w:pPr>
            <w:r w:rsidRPr="00446050">
              <w:t>Quantity</w:t>
            </w:r>
          </w:p>
        </w:tc>
      </w:tr>
      <w:tr w:rsidR="000E38BD" w:rsidRPr="00446050" w14:paraId="2EF186CA" w14:textId="77777777" w:rsidTr="00AA126F">
        <w:trPr>
          <w:gridAfter w:val="1"/>
          <w:wAfter w:w="8" w:type="dxa"/>
          <w:cantSplit/>
          <w:trHeight w:val="197"/>
        </w:trPr>
        <w:tc>
          <w:tcPr>
            <w:tcW w:w="4744" w:type="dxa"/>
            <w:tcBorders>
              <w:top w:val="nil"/>
              <w:left w:val="nil"/>
              <w:bottom w:val="nil"/>
              <w:right w:val="nil"/>
            </w:tcBorders>
            <w:shd w:val="clear" w:color="auto" w:fill="auto"/>
          </w:tcPr>
          <w:p w14:paraId="0D53B568" w14:textId="77777777" w:rsidR="000E38BD" w:rsidRPr="00446050" w:rsidRDefault="000E38BD">
            <w:pPr>
              <w:pStyle w:val="ARtabletext"/>
            </w:pPr>
            <w:r w:rsidRPr="00446050">
              <w:t>Participation by young people in programs that provide opportunities to be involved in social and economic life in their communities</w:t>
            </w:r>
          </w:p>
        </w:tc>
        <w:tc>
          <w:tcPr>
            <w:tcW w:w="1018" w:type="dxa"/>
            <w:tcBorders>
              <w:top w:val="nil"/>
              <w:left w:val="nil"/>
              <w:bottom w:val="nil"/>
              <w:right w:val="nil"/>
            </w:tcBorders>
            <w:shd w:val="clear" w:color="auto" w:fill="auto"/>
          </w:tcPr>
          <w:p w14:paraId="5F62FC18" w14:textId="77777777" w:rsidR="000E38BD" w:rsidRPr="00446050" w:rsidRDefault="000E38BD">
            <w:pPr>
              <w:pStyle w:val="ARtabletext"/>
            </w:pPr>
            <w:r w:rsidRPr="00446050">
              <w:t>Number</w:t>
            </w:r>
          </w:p>
        </w:tc>
        <w:tc>
          <w:tcPr>
            <w:tcW w:w="1020" w:type="dxa"/>
            <w:tcBorders>
              <w:top w:val="nil"/>
              <w:left w:val="nil"/>
              <w:bottom w:val="nil"/>
              <w:right w:val="nil"/>
            </w:tcBorders>
            <w:shd w:val="clear" w:color="auto" w:fill="auto"/>
          </w:tcPr>
          <w:p w14:paraId="736E1017" w14:textId="77777777" w:rsidR="000E38BD" w:rsidRPr="00F520E2" w:rsidRDefault="000E38BD">
            <w:pPr>
              <w:pStyle w:val="ARtabletextright"/>
            </w:pPr>
            <w:r w:rsidRPr="00F520E2">
              <w:t>241,700</w:t>
            </w:r>
          </w:p>
        </w:tc>
        <w:tc>
          <w:tcPr>
            <w:tcW w:w="1022" w:type="dxa"/>
            <w:tcBorders>
              <w:top w:val="nil"/>
              <w:left w:val="nil"/>
              <w:bottom w:val="nil"/>
              <w:right w:val="nil"/>
            </w:tcBorders>
            <w:shd w:val="clear" w:color="auto" w:fill="auto"/>
          </w:tcPr>
          <w:p w14:paraId="606C275B" w14:textId="4A1CE384" w:rsidR="000E38BD" w:rsidRPr="00F520E2" w:rsidRDefault="000E38BD">
            <w:pPr>
              <w:pStyle w:val="ARtabletextright"/>
            </w:pPr>
            <w:r w:rsidRPr="00F520E2">
              <w:t>3</w:t>
            </w:r>
            <w:r w:rsidR="00A55481" w:rsidRPr="00F520E2">
              <w:t>89,619</w:t>
            </w:r>
          </w:p>
        </w:tc>
        <w:tc>
          <w:tcPr>
            <w:tcW w:w="1026" w:type="dxa"/>
            <w:tcBorders>
              <w:top w:val="nil"/>
              <w:left w:val="nil"/>
              <w:bottom w:val="nil"/>
              <w:right w:val="nil"/>
            </w:tcBorders>
            <w:shd w:val="clear" w:color="auto" w:fill="auto"/>
          </w:tcPr>
          <w:p w14:paraId="302EC891" w14:textId="635A9C5D" w:rsidR="000E38BD" w:rsidRPr="00F520E2" w:rsidRDefault="00A55481">
            <w:pPr>
              <w:pStyle w:val="ARtabletextright"/>
            </w:pPr>
            <w:r w:rsidRPr="00F520E2">
              <w:t>61.2</w:t>
            </w:r>
            <w:r w:rsidR="000E38BD" w:rsidRPr="00F520E2">
              <w:t>%</w:t>
            </w:r>
          </w:p>
        </w:tc>
        <w:tc>
          <w:tcPr>
            <w:tcW w:w="794" w:type="dxa"/>
            <w:tcBorders>
              <w:top w:val="nil"/>
              <w:left w:val="nil"/>
              <w:bottom w:val="nil"/>
              <w:right w:val="nil"/>
            </w:tcBorders>
            <w:shd w:val="clear" w:color="auto" w:fill="auto"/>
          </w:tcPr>
          <w:p w14:paraId="0DD13BD8"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05A7B85B" w14:textId="77777777" w:rsidTr="00AA126F">
        <w:trPr>
          <w:gridAfter w:val="1"/>
          <w:wAfter w:w="8" w:type="dxa"/>
          <w:cantSplit/>
        </w:trPr>
        <w:tc>
          <w:tcPr>
            <w:tcW w:w="9624" w:type="dxa"/>
            <w:gridSpan w:val="6"/>
            <w:tcBorders>
              <w:top w:val="nil"/>
              <w:left w:val="nil"/>
              <w:bottom w:val="single" w:sz="4" w:space="0" w:color="BFBFBF" w:themeColor="background1" w:themeShade="BF"/>
              <w:right w:val="nil"/>
            </w:tcBorders>
            <w:shd w:val="clear" w:color="auto" w:fill="auto"/>
          </w:tcPr>
          <w:p w14:paraId="02CCCB81" w14:textId="05D6C14E" w:rsidR="000E38BD" w:rsidRPr="00446050" w:rsidRDefault="000E38BD">
            <w:pPr>
              <w:pStyle w:val="ARtablenoteindent"/>
            </w:pPr>
            <w:r w:rsidRPr="00446050">
              <w:t>The 2023</w:t>
            </w:r>
            <w:r w:rsidR="00E837F9">
              <w:t>–</w:t>
            </w:r>
            <w:r w:rsidRPr="00446050">
              <w:t>24 estimated result is higher due to COVID-19 pandemic impacts easing, leading to targets being exceeded. This has been seen especially with event-based initiatives that contribute to this measure such as the annual Victorian Youth Fest and FReeZA program.</w:t>
            </w:r>
          </w:p>
        </w:tc>
      </w:tr>
      <w:tr w:rsidR="000E38BD" w:rsidRPr="00446050" w14:paraId="563BBA27" w14:textId="77777777" w:rsidTr="00AA126F">
        <w:trPr>
          <w:gridAfter w:val="1"/>
          <w:wAfter w:w="8" w:type="dxa"/>
          <w:cantSplit/>
        </w:trPr>
        <w:tc>
          <w:tcPr>
            <w:tcW w:w="4744" w:type="dxa"/>
            <w:tcBorders>
              <w:top w:val="single" w:sz="4" w:space="0" w:color="BFBFBF" w:themeColor="background1" w:themeShade="BF"/>
              <w:left w:val="nil"/>
              <w:bottom w:val="nil"/>
              <w:right w:val="nil"/>
            </w:tcBorders>
            <w:shd w:val="clear" w:color="auto" w:fill="auto"/>
          </w:tcPr>
          <w:p w14:paraId="0E584026" w14:textId="0A710DC6" w:rsidR="000E38BD" w:rsidRPr="00446050" w:rsidRDefault="000E38BD">
            <w:pPr>
              <w:pStyle w:val="ARtabletext"/>
            </w:pPr>
            <w:r w:rsidRPr="00446050">
              <w:t>Participation by young people in programs that support young people to be involved in decision making in their</w:t>
            </w:r>
            <w:r w:rsidR="00A274A7">
              <w:t> </w:t>
            </w:r>
            <w:r w:rsidRPr="00446050">
              <w:t>community</w:t>
            </w:r>
          </w:p>
        </w:tc>
        <w:tc>
          <w:tcPr>
            <w:tcW w:w="1018" w:type="dxa"/>
            <w:tcBorders>
              <w:top w:val="single" w:sz="4" w:space="0" w:color="BFBFBF" w:themeColor="background1" w:themeShade="BF"/>
              <w:left w:val="nil"/>
              <w:bottom w:val="nil"/>
              <w:right w:val="nil"/>
            </w:tcBorders>
            <w:shd w:val="clear" w:color="auto" w:fill="auto"/>
          </w:tcPr>
          <w:p w14:paraId="6AA1A80B" w14:textId="77777777" w:rsidR="000E38BD" w:rsidRPr="00446050" w:rsidRDefault="000E38BD">
            <w:pPr>
              <w:pStyle w:val="ARtabletext"/>
            </w:pPr>
            <w:r w:rsidRPr="00446050">
              <w:t>number</w:t>
            </w:r>
          </w:p>
        </w:tc>
        <w:tc>
          <w:tcPr>
            <w:tcW w:w="1020" w:type="dxa"/>
            <w:tcBorders>
              <w:top w:val="single" w:sz="4" w:space="0" w:color="BFBFBF" w:themeColor="background1" w:themeShade="BF"/>
              <w:left w:val="nil"/>
              <w:bottom w:val="nil"/>
              <w:right w:val="nil"/>
            </w:tcBorders>
            <w:shd w:val="clear" w:color="auto" w:fill="auto"/>
          </w:tcPr>
          <w:p w14:paraId="56B88C11" w14:textId="77777777" w:rsidR="000E38BD" w:rsidRPr="00F520E2" w:rsidRDefault="000E38BD">
            <w:pPr>
              <w:pStyle w:val="ARtabletextright"/>
            </w:pPr>
            <w:r w:rsidRPr="00F520E2">
              <w:t>2,710</w:t>
            </w:r>
          </w:p>
        </w:tc>
        <w:tc>
          <w:tcPr>
            <w:tcW w:w="1022" w:type="dxa"/>
            <w:tcBorders>
              <w:top w:val="single" w:sz="4" w:space="0" w:color="BFBFBF" w:themeColor="background1" w:themeShade="BF"/>
              <w:left w:val="nil"/>
              <w:bottom w:val="nil"/>
              <w:right w:val="nil"/>
            </w:tcBorders>
            <w:shd w:val="clear" w:color="auto" w:fill="auto"/>
          </w:tcPr>
          <w:p w14:paraId="00E25713" w14:textId="5750AB44" w:rsidR="000E38BD" w:rsidRPr="00F520E2" w:rsidRDefault="000E38BD">
            <w:pPr>
              <w:pStyle w:val="ARtabletextright"/>
            </w:pPr>
            <w:r w:rsidRPr="00F520E2">
              <w:t>4,</w:t>
            </w:r>
            <w:r w:rsidR="00A55481" w:rsidRPr="00F520E2">
              <w:t>449</w:t>
            </w:r>
          </w:p>
        </w:tc>
        <w:tc>
          <w:tcPr>
            <w:tcW w:w="1026" w:type="dxa"/>
            <w:tcBorders>
              <w:top w:val="single" w:sz="4" w:space="0" w:color="BFBFBF" w:themeColor="background1" w:themeShade="BF"/>
              <w:left w:val="nil"/>
              <w:bottom w:val="nil"/>
              <w:right w:val="nil"/>
            </w:tcBorders>
            <w:shd w:val="clear" w:color="auto" w:fill="auto"/>
          </w:tcPr>
          <w:p w14:paraId="063320CA" w14:textId="6CF5DBFC" w:rsidR="000E38BD" w:rsidRPr="00F520E2" w:rsidRDefault="000B1887">
            <w:pPr>
              <w:pStyle w:val="ARtabletextright"/>
            </w:pPr>
            <w:r w:rsidRPr="00F520E2">
              <w:t>64.2</w:t>
            </w:r>
            <w:r w:rsidR="000E38BD" w:rsidRPr="00F520E2">
              <w:t>%</w:t>
            </w:r>
          </w:p>
        </w:tc>
        <w:tc>
          <w:tcPr>
            <w:tcW w:w="794" w:type="dxa"/>
            <w:tcBorders>
              <w:top w:val="single" w:sz="4" w:space="0" w:color="BFBFBF" w:themeColor="background1" w:themeShade="BF"/>
              <w:left w:val="nil"/>
              <w:bottom w:val="nil"/>
              <w:right w:val="nil"/>
            </w:tcBorders>
            <w:shd w:val="clear" w:color="auto" w:fill="auto"/>
          </w:tcPr>
          <w:p w14:paraId="727D914A" w14:textId="77777777" w:rsidR="000E38BD" w:rsidRPr="00446050" w:rsidRDefault="000E38BD">
            <w:pPr>
              <w:pStyle w:val="ARtableperformancesymbol"/>
              <w:rPr>
                <w:rFonts w:eastAsia="Wingdings" w:cs="Wingdings"/>
                <w:lang w:val="en-AU"/>
              </w:rPr>
            </w:pPr>
            <w:r w:rsidRPr="00446050">
              <w:rPr>
                <w:rFonts w:eastAsia="Wingdings" w:cs="Wingdings"/>
              </w:rPr>
              <w:t></w:t>
            </w:r>
          </w:p>
        </w:tc>
      </w:tr>
      <w:tr w:rsidR="000E38BD" w:rsidRPr="00446050" w14:paraId="4A9D50D9" w14:textId="77777777" w:rsidTr="00AA126F">
        <w:trPr>
          <w:cantSplit/>
        </w:trPr>
        <w:tc>
          <w:tcPr>
            <w:tcW w:w="9632" w:type="dxa"/>
            <w:gridSpan w:val="7"/>
            <w:tcBorders>
              <w:top w:val="nil"/>
              <w:left w:val="nil"/>
              <w:bottom w:val="single" w:sz="4" w:space="0" w:color="BFBFBF" w:themeColor="background1" w:themeShade="BF"/>
              <w:right w:val="nil"/>
            </w:tcBorders>
            <w:shd w:val="clear" w:color="auto" w:fill="auto"/>
          </w:tcPr>
          <w:p w14:paraId="4C6144E8" w14:textId="34CB869A" w:rsidR="000E38BD" w:rsidRPr="00446050" w:rsidRDefault="000E38BD">
            <w:pPr>
              <w:pStyle w:val="ARtablenoteindent"/>
            </w:pPr>
            <w:r w:rsidRPr="00446050">
              <w:t>The 2023</w:t>
            </w:r>
            <w:r w:rsidR="00E837F9">
              <w:t>–</w:t>
            </w:r>
            <w:r w:rsidRPr="00446050">
              <w:t>24 estimated result is higher due to COVID-19 pandemic impacts easing, leading to targets being exceeded. One key program, Victorian Youth Fest, doubled its expected target for this measure with much higher engagement of young people in planning committees.</w:t>
            </w:r>
          </w:p>
        </w:tc>
      </w:tr>
      <w:tr w:rsidR="000E38BD" w:rsidRPr="00446050" w14:paraId="0FA4FF42" w14:textId="77777777" w:rsidTr="00AA126F">
        <w:trPr>
          <w:cantSplit/>
        </w:trPr>
        <w:tc>
          <w:tcPr>
            <w:tcW w:w="4744" w:type="dxa"/>
            <w:tcBorders>
              <w:top w:val="single" w:sz="4" w:space="0" w:color="BFBFBF" w:themeColor="background1" w:themeShade="BF"/>
              <w:left w:val="nil"/>
              <w:bottom w:val="nil"/>
              <w:right w:val="nil"/>
            </w:tcBorders>
            <w:shd w:val="clear" w:color="auto" w:fill="auto"/>
          </w:tcPr>
          <w:p w14:paraId="10336323" w14:textId="77777777" w:rsidR="000E38BD" w:rsidRPr="00446050" w:rsidRDefault="000E38BD">
            <w:pPr>
              <w:pStyle w:val="ARtabletext"/>
            </w:pPr>
            <w:r w:rsidRPr="00446050">
              <w:t>Number of Scout Hall Capital Projects Completed</w:t>
            </w:r>
          </w:p>
        </w:tc>
        <w:tc>
          <w:tcPr>
            <w:tcW w:w="1018" w:type="dxa"/>
            <w:tcBorders>
              <w:top w:val="single" w:sz="4" w:space="0" w:color="BFBFBF" w:themeColor="background1" w:themeShade="BF"/>
              <w:left w:val="nil"/>
              <w:bottom w:val="nil"/>
              <w:right w:val="nil"/>
            </w:tcBorders>
            <w:shd w:val="clear" w:color="auto" w:fill="auto"/>
          </w:tcPr>
          <w:p w14:paraId="1E6EE213" w14:textId="77777777" w:rsidR="000E38BD" w:rsidRPr="00446050" w:rsidRDefault="000E38BD">
            <w:pPr>
              <w:pStyle w:val="ARtabletext"/>
            </w:pPr>
            <w:r w:rsidRPr="00446050">
              <w:t>number</w:t>
            </w:r>
          </w:p>
        </w:tc>
        <w:tc>
          <w:tcPr>
            <w:tcW w:w="1020" w:type="dxa"/>
            <w:tcBorders>
              <w:top w:val="single" w:sz="4" w:space="0" w:color="BFBFBF" w:themeColor="background1" w:themeShade="BF"/>
              <w:left w:val="nil"/>
              <w:bottom w:val="nil"/>
              <w:right w:val="nil"/>
            </w:tcBorders>
            <w:shd w:val="clear" w:color="auto" w:fill="auto"/>
          </w:tcPr>
          <w:p w14:paraId="1EE3BAC3" w14:textId="77777777" w:rsidR="000E38BD" w:rsidRPr="00446050" w:rsidRDefault="000E38BD">
            <w:pPr>
              <w:pStyle w:val="ARtabletextright"/>
            </w:pPr>
            <w:r w:rsidRPr="00446050">
              <w:t>3</w:t>
            </w:r>
          </w:p>
        </w:tc>
        <w:tc>
          <w:tcPr>
            <w:tcW w:w="1022" w:type="dxa"/>
            <w:tcBorders>
              <w:top w:val="single" w:sz="4" w:space="0" w:color="BFBFBF" w:themeColor="background1" w:themeShade="BF"/>
              <w:left w:val="nil"/>
              <w:bottom w:val="nil"/>
              <w:right w:val="nil"/>
            </w:tcBorders>
            <w:shd w:val="clear" w:color="auto" w:fill="auto"/>
          </w:tcPr>
          <w:p w14:paraId="218085BC" w14:textId="77777777" w:rsidR="000E38BD" w:rsidRPr="00446050" w:rsidRDefault="000E38BD">
            <w:pPr>
              <w:pStyle w:val="ARtabletextright"/>
            </w:pPr>
            <w:r w:rsidRPr="00446050">
              <w:t>6</w:t>
            </w:r>
          </w:p>
        </w:tc>
        <w:tc>
          <w:tcPr>
            <w:tcW w:w="1026" w:type="dxa"/>
            <w:tcBorders>
              <w:top w:val="single" w:sz="4" w:space="0" w:color="BFBFBF" w:themeColor="background1" w:themeShade="BF"/>
              <w:left w:val="nil"/>
              <w:bottom w:val="nil"/>
              <w:right w:val="nil"/>
            </w:tcBorders>
            <w:shd w:val="clear" w:color="auto" w:fill="auto"/>
          </w:tcPr>
          <w:p w14:paraId="5A974E4B" w14:textId="7F4FAEDC" w:rsidR="000E38BD" w:rsidRPr="00446050" w:rsidRDefault="000E38BD">
            <w:pPr>
              <w:pStyle w:val="ARtabletextright"/>
            </w:pPr>
            <w:r w:rsidRPr="00446050">
              <w:t>100</w:t>
            </w:r>
            <w:r w:rsidR="001155B2">
              <w:t>%</w:t>
            </w:r>
          </w:p>
        </w:tc>
        <w:tc>
          <w:tcPr>
            <w:tcW w:w="802" w:type="dxa"/>
            <w:gridSpan w:val="2"/>
            <w:tcBorders>
              <w:top w:val="single" w:sz="4" w:space="0" w:color="BFBFBF" w:themeColor="background1" w:themeShade="BF"/>
              <w:left w:val="nil"/>
              <w:bottom w:val="nil"/>
              <w:right w:val="nil"/>
            </w:tcBorders>
            <w:shd w:val="clear" w:color="auto" w:fill="auto"/>
          </w:tcPr>
          <w:p w14:paraId="79A37AA5" w14:textId="77777777" w:rsidR="000E38BD" w:rsidRPr="00446050" w:rsidRDefault="000E38BD">
            <w:pPr>
              <w:pStyle w:val="ARtableperformancesymbol"/>
              <w:rPr>
                <w:rFonts w:hint="eastAsia"/>
                <w:lang w:val="en-AU"/>
              </w:rPr>
            </w:pPr>
            <w:r w:rsidRPr="00446050">
              <w:rPr>
                <w:rFonts w:eastAsia="Wingdings" w:cs="Wingdings"/>
              </w:rPr>
              <w:t></w:t>
            </w:r>
          </w:p>
        </w:tc>
      </w:tr>
      <w:tr w:rsidR="000E38BD" w:rsidRPr="00446050" w14:paraId="29B1219A" w14:textId="77777777" w:rsidTr="00AA126F">
        <w:trPr>
          <w:cantSplit/>
        </w:trPr>
        <w:tc>
          <w:tcPr>
            <w:tcW w:w="9632" w:type="dxa"/>
            <w:gridSpan w:val="7"/>
            <w:tcBorders>
              <w:top w:val="nil"/>
              <w:left w:val="nil"/>
              <w:bottom w:val="single" w:sz="4" w:space="0" w:color="auto"/>
              <w:right w:val="nil"/>
            </w:tcBorders>
            <w:shd w:val="clear" w:color="auto" w:fill="auto"/>
          </w:tcPr>
          <w:p w14:paraId="47E14F6F" w14:textId="5B81539C" w:rsidR="000E38BD" w:rsidRPr="00446050" w:rsidRDefault="000E38BD">
            <w:pPr>
              <w:pStyle w:val="ARtablenoteindent"/>
            </w:pPr>
            <w:r w:rsidRPr="00446050">
              <w:t>The 2023</w:t>
            </w:r>
            <w:r w:rsidR="00E837F9">
              <w:t>–</w:t>
            </w:r>
            <w:r w:rsidRPr="00446050">
              <w:t xml:space="preserve">24 result is higher than the target due to the completion of previously funded Scout hall upgrade projects which </w:t>
            </w:r>
            <w:r w:rsidR="00587395">
              <w:br/>
            </w:r>
            <w:r w:rsidRPr="00446050">
              <w:t xml:space="preserve">were committed to as part of the 2018 election commitment Scouts infrastructure package. Completion rates for projects </w:t>
            </w:r>
            <w:r w:rsidR="00587395">
              <w:br/>
            </w:r>
            <w:r w:rsidRPr="00446050">
              <w:t xml:space="preserve">have increased in the later years of package delivery following initial delays largely resulting from the impacts of the </w:t>
            </w:r>
            <w:r w:rsidR="00587395">
              <w:br/>
            </w:r>
            <w:r w:rsidRPr="00446050">
              <w:t>COVID-19 pandemic.</w:t>
            </w:r>
          </w:p>
        </w:tc>
      </w:tr>
      <w:tr w:rsidR="000E38BD" w:rsidRPr="00446050" w14:paraId="6C51B8A3" w14:textId="77777777" w:rsidTr="00AA126F">
        <w:trPr>
          <w:cantSplit/>
        </w:trPr>
        <w:tc>
          <w:tcPr>
            <w:tcW w:w="9632" w:type="dxa"/>
            <w:gridSpan w:val="7"/>
            <w:tcBorders>
              <w:top w:val="single" w:sz="4" w:space="0" w:color="auto"/>
              <w:left w:val="nil"/>
              <w:bottom w:val="nil"/>
              <w:right w:val="nil"/>
            </w:tcBorders>
            <w:shd w:val="clear" w:color="auto" w:fill="auto"/>
          </w:tcPr>
          <w:p w14:paraId="0B62E757" w14:textId="4B83C947" w:rsidR="000E38BD" w:rsidRPr="00446050" w:rsidRDefault="000E38BD">
            <w:pPr>
              <w:pStyle w:val="ARtablegreybold"/>
              <w:rPr>
                <w:b w:val="0"/>
                <w:bCs/>
                <w:iCs/>
              </w:rPr>
            </w:pPr>
            <w:r w:rsidRPr="00446050">
              <w:t>Quality</w:t>
            </w:r>
          </w:p>
        </w:tc>
      </w:tr>
      <w:tr w:rsidR="000E38BD" w:rsidRPr="00446050" w14:paraId="6BEFFD0A" w14:textId="77777777" w:rsidTr="00AA126F">
        <w:trPr>
          <w:cantSplit/>
        </w:trPr>
        <w:tc>
          <w:tcPr>
            <w:tcW w:w="4744" w:type="dxa"/>
            <w:tcBorders>
              <w:top w:val="nil"/>
              <w:left w:val="nil"/>
              <w:bottom w:val="nil"/>
              <w:right w:val="nil"/>
            </w:tcBorders>
            <w:shd w:val="clear" w:color="auto" w:fill="auto"/>
          </w:tcPr>
          <w:p w14:paraId="162542B9" w14:textId="77777777" w:rsidR="000E38BD" w:rsidRPr="00446050" w:rsidRDefault="000E38BD">
            <w:pPr>
              <w:pStyle w:val="ARtabletext"/>
            </w:pPr>
            <w:r w:rsidRPr="00446050">
              <w:t>Participants reporting development of transferrable skills supporting positive outcomes for young people</w:t>
            </w:r>
          </w:p>
        </w:tc>
        <w:tc>
          <w:tcPr>
            <w:tcW w:w="1018" w:type="dxa"/>
            <w:tcBorders>
              <w:top w:val="nil"/>
              <w:left w:val="nil"/>
              <w:bottom w:val="nil"/>
              <w:right w:val="nil"/>
            </w:tcBorders>
            <w:shd w:val="clear" w:color="auto" w:fill="auto"/>
          </w:tcPr>
          <w:p w14:paraId="2E7D7046" w14:textId="77777777" w:rsidR="000E38BD" w:rsidRPr="00446050" w:rsidRDefault="000E38BD">
            <w:pPr>
              <w:pStyle w:val="ARtabletext"/>
            </w:pPr>
            <w:r w:rsidRPr="00446050">
              <w:t>per cent</w:t>
            </w:r>
          </w:p>
        </w:tc>
        <w:tc>
          <w:tcPr>
            <w:tcW w:w="1020" w:type="dxa"/>
            <w:tcBorders>
              <w:top w:val="nil"/>
              <w:left w:val="nil"/>
              <w:bottom w:val="nil"/>
              <w:right w:val="nil"/>
            </w:tcBorders>
            <w:shd w:val="clear" w:color="auto" w:fill="auto"/>
          </w:tcPr>
          <w:p w14:paraId="1D4908B2" w14:textId="2B7B9DB9" w:rsidR="000E38BD" w:rsidRPr="00F520E2" w:rsidRDefault="000E38BD">
            <w:pPr>
              <w:pStyle w:val="ARtabletextright"/>
            </w:pPr>
            <w:r w:rsidRPr="00F520E2">
              <w:t>75</w:t>
            </w:r>
            <w:r w:rsidR="00DD3FD3">
              <w:t>.0</w:t>
            </w:r>
          </w:p>
        </w:tc>
        <w:tc>
          <w:tcPr>
            <w:tcW w:w="1022" w:type="dxa"/>
            <w:tcBorders>
              <w:top w:val="nil"/>
              <w:left w:val="nil"/>
              <w:bottom w:val="nil"/>
              <w:right w:val="nil"/>
            </w:tcBorders>
            <w:shd w:val="clear" w:color="auto" w:fill="auto"/>
          </w:tcPr>
          <w:p w14:paraId="15DF5149" w14:textId="79D78537" w:rsidR="000E38BD" w:rsidRPr="00F520E2" w:rsidRDefault="000E38BD">
            <w:pPr>
              <w:pStyle w:val="ARtabletextright"/>
            </w:pPr>
            <w:r w:rsidRPr="00F520E2">
              <w:t>77</w:t>
            </w:r>
            <w:r w:rsidR="00DD3FD3">
              <w:t>.0</w:t>
            </w:r>
          </w:p>
        </w:tc>
        <w:tc>
          <w:tcPr>
            <w:tcW w:w="1026" w:type="dxa"/>
            <w:tcBorders>
              <w:top w:val="nil"/>
              <w:left w:val="nil"/>
              <w:bottom w:val="nil"/>
              <w:right w:val="nil"/>
            </w:tcBorders>
            <w:shd w:val="clear" w:color="auto" w:fill="auto"/>
          </w:tcPr>
          <w:p w14:paraId="333E0EF9" w14:textId="77777777" w:rsidR="000E38BD" w:rsidRPr="00F520E2" w:rsidRDefault="000E38BD">
            <w:pPr>
              <w:pStyle w:val="ARtabletextright"/>
            </w:pPr>
            <w:r w:rsidRPr="00F520E2">
              <w:t>2.7%</w:t>
            </w:r>
          </w:p>
        </w:tc>
        <w:tc>
          <w:tcPr>
            <w:tcW w:w="802" w:type="dxa"/>
            <w:gridSpan w:val="2"/>
            <w:tcBorders>
              <w:top w:val="nil"/>
              <w:left w:val="nil"/>
              <w:bottom w:val="nil"/>
              <w:right w:val="nil"/>
            </w:tcBorders>
            <w:shd w:val="clear" w:color="auto" w:fill="auto"/>
          </w:tcPr>
          <w:p w14:paraId="6ED13BCC" w14:textId="77777777" w:rsidR="000E38BD" w:rsidRPr="00446050" w:rsidRDefault="000E38BD">
            <w:pPr>
              <w:pStyle w:val="ARtableperformancesymbol"/>
              <w:rPr>
                <w:rFonts w:hint="eastAsia"/>
                <w:lang w:val="en-AU"/>
              </w:rPr>
            </w:pPr>
            <w:r w:rsidRPr="00446050">
              <w:rPr>
                <w:rFonts w:eastAsia="Wingdings" w:cs="Wingdings"/>
              </w:rPr>
              <w:t></w:t>
            </w:r>
          </w:p>
        </w:tc>
      </w:tr>
      <w:tr w:rsidR="008C4F66" w:rsidRPr="00446050" w14:paraId="56A54671" w14:textId="77777777">
        <w:trPr>
          <w:cantSplit/>
        </w:trPr>
        <w:tc>
          <w:tcPr>
            <w:tcW w:w="9632" w:type="dxa"/>
            <w:gridSpan w:val="7"/>
            <w:tcBorders>
              <w:top w:val="nil"/>
              <w:left w:val="nil"/>
              <w:bottom w:val="nil"/>
              <w:right w:val="nil"/>
            </w:tcBorders>
            <w:shd w:val="clear" w:color="auto" w:fill="auto"/>
          </w:tcPr>
          <w:p w14:paraId="0F6FFF64" w14:textId="0E7323D2" w:rsidR="008C4F66" w:rsidRPr="008C4F66" w:rsidRDefault="0035199D" w:rsidP="008C4F66">
            <w:pPr>
              <w:pStyle w:val="ARtablenoteindent"/>
            </w:pPr>
            <w:r>
              <w:t>The 2023</w:t>
            </w:r>
            <w:r w:rsidR="008D5FBB">
              <w:t>–</w:t>
            </w:r>
            <w:r>
              <w:t xml:space="preserve">24 </w:t>
            </w:r>
            <w:r w:rsidR="00DD3FD3">
              <w:t xml:space="preserve">result </w:t>
            </w:r>
            <w:r w:rsidR="00D45C95">
              <w:t>is an estimate.</w:t>
            </w:r>
          </w:p>
        </w:tc>
      </w:tr>
      <w:tr w:rsidR="000E38BD" w:rsidRPr="00446050" w14:paraId="4345D0BC" w14:textId="77777777" w:rsidTr="00AA126F">
        <w:trPr>
          <w:cantSplit/>
        </w:trPr>
        <w:tc>
          <w:tcPr>
            <w:tcW w:w="9632" w:type="dxa"/>
            <w:gridSpan w:val="7"/>
            <w:tcBorders>
              <w:top w:val="single" w:sz="4" w:space="0" w:color="000000" w:themeColor="text1"/>
              <w:left w:val="nil"/>
              <w:bottom w:val="nil"/>
              <w:right w:val="nil"/>
            </w:tcBorders>
            <w:shd w:val="clear" w:color="auto" w:fill="auto"/>
          </w:tcPr>
          <w:p w14:paraId="70CB5341" w14:textId="77777777" w:rsidR="000E38BD" w:rsidRPr="00446050" w:rsidRDefault="000E38BD">
            <w:pPr>
              <w:pStyle w:val="ARtablegreybold"/>
            </w:pPr>
            <w:r w:rsidRPr="00446050">
              <w:t>Timeliness</w:t>
            </w:r>
          </w:p>
        </w:tc>
      </w:tr>
      <w:tr w:rsidR="000E38BD" w:rsidRPr="00446050" w14:paraId="38742A50" w14:textId="77777777" w:rsidTr="00AA126F">
        <w:trPr>
          <w:cantSplit/>
        </w:trPr>
        <w:tc>
          <w:tcPr>
            <w:tcW w:w="4744" w:type="dxa"/>
            <w:tcBorders>
              <w:top w:val="nil"/>
              <w:left w:val="nil"/>
              <w:bottom w:val="nil"/>
              <w:right w:val="nil"/>
            </w:tcBorders>
            <w:shd w:val="clear" w:color="auto" w:fill="auto"/>
          </w:tcPr>
          <w:p w14:paraId="68659A54" w14:textId="19C79878" w:rsidR="000E38BD" w:rsidRPr="00446050" w:rsidRDefault="000E38BD">
            <w:pPr>
              <w:pStyle w:val="ARtabletext"/>
            </w:pPr>
            <w:r w:rsidRPr="00446050">
              <w:t>Percentage of programs delivered within agreed</w:t>
            </w:r>
            <w:r w:rsidR="00587395">
              <w:t> </w:t>
            </w:r>
            <w:r w:rsidRPr="00446050">
              <w:t>timeframes</w:t>
            </w:r>
          </w:p>
        </w:tc>
        <w:tc>
          <w:tcPr>
            <w:tcW w:w="1018" w:type="dxa"/>
            <w:tcBorders>
              <w:top w:val="nil"/>
              <w:left w:val="nil"/>
              <w:bottom w:val="nil"/>
              <w:right w:val="nil"/>
            </w:tcBorders>
            <w:shd w:val="clear" w:color="auto" w:fill="auto"/>
          </w:tcPr>
          <w:p w14:paraId="1CDE8726" w14:textId="77777777" w:rsidR="000E38BD" w:rsidRPr="00446050" w:rsidRDefault="000E38BD">
            <w:pPr>
              <w:pStyle w:val="ARtabletext"/>
            </w:pPr>
            <w:r w:rsidRPr="00446050">
              <w:t>per cent</w:t>
            </w:r>
          </w:p>
        </w:tc>
        <w:tc>
          <w:tcPr>
            <w:tcW w:w="1020" w:type="dxa"/>
            <w:tcBorders>
              <w:top w:val="nil"/>
              <w:left w:val="nil"/>
              <w:bottom w:val="nil"/>
              <w:right w:val="nil"/>
            </w:tcBorders>
            <w:shd w:val="clear" w:color="auto" w:fill="auto"/>
          </w:tcPr>
          <w:p w14:paraId="1FF36F3C" w14:textId="6ECC7A99" w:rsidR="000E38BD" w:rsidRPr="00446050" w:rsidRDefault="000E38BD">
            <w:pPr>
              <w:pStyle w:val="ARtabletextright"/>
            </w:pPr>
            <w:r w:rsidRPr="00446050">
              <w:t>90</w:t>
            </w:r>
            <w:r w:rsidR="00276FB2">
              <w:t>.0</w:t>
            </w:r>
          </w:p>
        </w:tc>
        <w:tc>
          <w:tcPr>
            <w:tcW w:w="1022" w:type="dxa"/>
            <w:tcBorders>
              <w:top w:val="nil"/>
              <w:left w:val="nil"/>
              <w:bottom w:val="nil"/>
              <w:right w:val="nil"/>
            </w:tcBorders>
            <w:shd w:val="clear" w:color="auto" w:fill="auto"/>
          </w:tcPr>
          <w:p w14:paraId="58FF0DA3" w14:textId="7311F373" w:rsidR="000E38BD" w:rsidRPr="00446050" w:rsidRDefault="000E38BD">
            <w:pPr>
              <w:pStyle w:val="ARtabletextright"/>
            </w:pPr>
            <w:r w:rsidRPr="00446050">
              <w:t>98</w:t>
            </w:r>
            <w:r w:rsidR="00276FB2">
              <w:t>.0</w:t>
            </w:r>
          </w:p>
        </w:tc>
        <w:tc>
          <w:tcPr>
            <w:tcW w:w="1026" w:type="dxa"/>
            <w:tcBorders>
              <w:top w:val="nil"/>
              <w:left w:val="nil"/>
              <w:bottom w:val="nil"/>
              <w:right w:val="nil"/>
            </w:tcBorders>
            <w:shd w:val="clear" w:color="auto" w:fill="auto"/>
          </w:tcPr>
          <w:p w14:paraId="4BBB12EF" w14:textId="77777777" w:rsidR="000E38BD" w:rsidRPr="00446050" w:rsidRDefault="000E38BD">
            <w:pPr>
              <w:pStyle w:val="ARtabletextright"/>
            </w:pPr>
            <w:r w:rsidRPr="00446050">
              <w:t>8.9%</w:t>
            </w:r>
          </w:p>
        </w:tc>
        <w:tc>
          <w:tcPr>
            <w:tcW w:w="802" w:type="dxa"/>
            <w:gridSpan w:val="2"/>
            <w:tcBorders>
              <w:top w:val="nil"/>
              <w:left w:val="nil"/>
              <w:bottom w:val="nil"/>
              <w:right w:val="nil"/>
            </w:tcBorders>
            <w:shd w:val="clear" w:color="auto" w:fill="auto"/>
          </w:tcPr>
          <w:p w14:paraId="62D24A2A" w14:textId="77777777" w:rsidR="000E38BD" w:rsidRPr="00446050" w:rsidRDefault="000E38BD">
            <w:pPr>
              <w:pStyle w:val="ARtableperformancesymbol"/>
              <w:rPr>
                <w:rFonts w:eastAsia="Wingdings" w:cs="Wingdings"/>
                <w:lang w:val="en-AU"/>
              </w:rPr>
            </w:pPr>
            <w:r w:rsidRPr="00446050">
              <w:rPr>
                <w:rFonts w:eastAsia="Wingdings" w:cs="Wingdings"/>
              </w:rPr>
              <w:t></w:t>
            </w:r>
          </w:p>
        </w:tc>
      </w:tr>
      <w:tr w:rsidR="000E38BD" w:rsidRPr="00446050" w14:paraId="1018FD1E" w14:textId="77777777" w:rsidTr="00AA126F">
        <w:trPr>
          <w:cantSplit/>
        </w:trPr>
        <w:tc>
          <w:tcPr>
            <w:tcW w:w="9632" w:type="dxa"/>
            <w:gridSpan w:val="7"/>
            <w:tcBorders>
              <w:top w:val="nil"/>
              <w:left w:val="nil"/>
              <w:bottom w:val="single" w:sz="4" w:space="0" w:color="000000" w:themeColor="text1"/>
              <w:right w:val="nil"/>
            </w:tcBorders>
            <w:shd w:val="clear" w:color="auto" w:fill="auto"/>
          </w:tcPr>
          <w:p w14:paraId="5B881EF8" w14:textId="55509224" w:rsidR="000E38BD" w:rsidRPr="00446050" w:rsidRDefault="000E38BD">
            <w:pPr>
              <w:pStyle w:val="ARtablenoteindent"/>
              <w:rPr>
                <w:rFonts w:eastAsia="Wingdings" w:cs="Wingdings"/>
              </w:rPr>
            </w:pPr>
            <w:r w:rsidRPr="00446050">
              <w:rPr>
                <w:rFonts w:eastAsia="Wingdings" w:cs="Wingdings"/>
              </w:rPr>
              <w:t>The 2023</w:t>
            </w:r>
            <w:r w:rsidR="00E837F9">
              <w:rPr>
                <w:rFonts w:eastAsia="Wingdings" w:cs="Wingdings"/>
              </w:rPr>
              <w:t>–</w:t>
            </w:r>
            <w:r w:rsidRPr="00446050">
              <w:rPr>
                <w:rFonts w:eastAsia="Wingdings" w:cs="Wingdings"/>
              </w:rPr>
              <w:t>24 result is higher than the target due to strong engagement with funded providers across Youth portfolio programs to ensure delivery within agreed timeframes.</w:t>
            </w:r>
          </w:p>
        </w:tc>
      </w:tr>
      <w:tr w:rsidR="000E38BD" w:rsidRPr="00446050" w14:paraId="58D49089" w14:textId="77777777" w:rsidTr="00AA126F">
        <w:trPr>
          <w:cantSplit/>
        </w:trPr>
        <w:tc>
          <w:tcPr>
            <w:tcW w:w="9632" w:type="dxa"/>
            <w:gridSpan w:val="7"/>
            <w:tcBorders>
              <w:top w:val="single" w:sz="4" w:space="0" w:color="000000" w:themeColor="text1"/>
              <w:left w:val="nil"/>
              <w:bottom w:val="nil"/>
              <w:right w:val="nil"/>
            </w:tcBorders>
            <w:hideMark/>
          </w:tcPr>
          <w:p w14:paraId="29B32664" w14:textId="77777777" w:rsidR="000E38BD" w:rsidRPr="00446050" w:rsidRDefault="000E38BD">
            <w:pPr>
              <w:pStyle w:val="ARtablegreybold"/>
            </w:pPr>
            <w:r w:rsidRPr="00446050">
              <w:t>Cost</w:t>
            </w:r>
          </w:p>
        </w:tc>
      </w:tr>
      <w:tr w:rsidR="000E38BD" w:rsidRPr="00532DAE" w14:paraId="6F20C772" w14:textId="77777777" w:rsidTr="00AA126F">
        <w:trPr>
          <w:cantSplit/>
        </w:trPr>
        <w:tc>
          <w:tcPr>
            <w:tcW w:w="4744" w:type="dxa"/>
            <w:tcBorders>
              <w:top w:val="nil"/>
              <w:left w:val="nil"/>
              <w:bottom w:val="single" w:sz="4" w:space="0" w:color="auto"/>
              <w:right w:val="nil"/>
            </w:tcBorders>
            <w:hideMark/>
          </w:tcPr>
          <w:p w14:paraId="6DB9B92D" w14:textId="77777777" w:rsidR="000E38BD" w:rsidRPr="00446050" w:rsidRDefault="000E38BD" w:rsidP="00A274A7">
            <w:pPr>
              <w:pStyle w:val="ARtabletextbold"/>
            </w:pPr>
            <w:r w:rsidRPr="00446050">
              <w:t>Total output cost</w:t>
            </w:r>
          </w:p>
        </w:tc>
        <w:tc>
          <w:tcPr>
            <w:tcW w:w="1018" w:type="dxa"/>
            <w:tcBorders>
              <w:top w:val="nil"/>
              <w:left w:val="nil"/>
              <w:bottom w:val="single" w:sz="4" w:space="0" w:color="auto"/>
              <w:right w:val="nil"/>
            </w:tcBorders>
            <w:hideMark/>
          </w:tcPr>
          <w:p w14:paraId="0901D249" w14:textId="77777777" w:rsidR="000E38BD" w:rsidRPr="00446050" w:rsidRDefault="000E38BD" w:rsidP="00A274A7">
            <w:pPr>
              <w:pStyle w:val="ARtabletextbold"/>
            </w:pPr>
            <w:r w:rsidRPr="00446050">
              <w:t>$ million</w:t>
            </w:r>
          </w:p>
        </w:tc>
        <w:tc>
          <w:tcPr>
            <w:tcW w:w="1020" w:type="dxa"/>
            <w:tcBorders>
              <w:top w:val="nil"/>
              <w:left w:val="nil"/>
              <w:bottom w:val="single" w:sz="4" w:space="0" w:color="auto"/>
              <w:right w:val="nil"/>
            </w:tcBorders>
          </w:tcPr>
          <w:p w14:paraId="25ECF364" w14:textId="77777777" w:rsidR="000E38BD" w:rsidRPr="00446050" w:rsidRDefault="000E38BD">
            <w:pPr>
              <w:pStyle w:val="ARtabletextrightbold"/>
            </w:pPr>
            <w:r w:rsidRPr="00446050">
              <w:t>28.1</w:t>
            </w:r>
          </w:p>
        </w:tc>
        <w:tc>
          <w:tcPr>
            <w:tcW w:w="1022" w:type="dxa"/>
            <w:tcBorders>
              <w:top w:val="nil"/>
              <w:left w:val="nil"/>
              <w:bottom w:val="single" w:sz="4" w:space="0" w:color="auto"/>
              <w:right w:val="nil"/>
            </w:tcBorders>
          </w:tcPr>
          <w:p w14:paraId="0E421800" w14:textId="77777777" w:rsidR="000E38BD" w:rsidRPr="00446050" w:rsidRDefault="000E38BD">
            <w:pPr>
              <w:pStyle w:val="ARtabletextrightbold"/>
            </w:pPr>
            <w:r w:rsidRPr="00446050">
              <w:t>28.2</w:t>
            </w:r>
          </w:p>
        </w:tc>
        <w:tc>
          <w:tcPr>
            <w:tcW w:w="1026" w:type="dxa"/>
            <w:tcBorders>
              <w:top w:val="nil"/>
              <w:left w:val="nil"/>
              <w:bottom w:val="single" w:sz="4" w:space="0" w:color="auto"/>
              <w:right w:val="nil"/>
            </w:tcBorders>
          </w:tcPr>
          <w:p w14:paraId="189F7538" w14:textId="39D8DAF2" w:rsidR="000E38BD" w:rsidRPr="00446050" w:rsidRDefault="000E38BD">
            <w:pPr>
              <w:pStyle w:val="ARtabletextrightbold"/>
            </w:pPr>
            <w:r w:rsidRPr="00446050">
              <w:t>0.</w:t>
            </w:r>
            <w:r w:rsidR="003574B3">
              <w:t>3</w:t>
            </w:r>
            <w:r w:rsidRPr="00446050">
              <w:t>%</w:t>
            </w:r>
          </w:p>
        </w:tc>
        <w:tc>
          <w:tcPr>
            <w:tcW w:w="802" w:type="dxa"/>
            <w:gridSpan w:val="2"/>
            <w:tcBorders>
              <w:top w:val="nil"/>
              <w:left w:val="nil"/>
              <w:bottom w:val="single" w:sz="4" w:space="0" w:color="auto"/>
              <w:right w:val="nil"/>
            </w:tcBorders>
          </w:tcPr>
          <w:p w14:paraId="3860A82E" w14:textId="77777777" w:rsidR="000E38BD" w:rsidRPr="00532DAE" w:rsidRDefault="000E38BD">
            <w:pPr>
              <w:pStyle w:val="ARtableperformancesymbol"/>
              <w:rPr>
                <w:rFonts w:hint="eastAsia"/>
                <w:b/>
              </w:rPr>
            </w:pPr>
            <w:r w:rsidRPr="00446050">
              <w:rPr>
                <w:rFonts w:eastAsia="Wingdings" w:cs="Wingdings"/>
              </w:rPr>
              <w:t></w:t>
            </w:r>
          </w:p>
        </w:tc>
      </w:tr>
    </w:tbl>
    <w:p w14:paraId="27143A8C" w14:textId="77777777" w:rsidR="00100ED7" w:rsidRPr="008C7661" w:rsidRDefault="00100ED7" w:rsidP="008C7661">
      <w:pPr>
        <w:pStyle w:val="ARbody"/>
      </w:pPr>
      <w:r>
        <w:br w:type="page"/>
      </w:r>
    </w:p>
    <w:p w14:paraId="54611CCE" w14:textId="08C27521" w:rsidR="00661E18" w:rsidRPr="00561C66" w:rsidRDefault="00661E18" w:rsidP="00661E18">
      <w:pPr>
        <w:pStyle w:val="Heading3"/>
      </w:pPr>
      <w:bookmarkStart w:id="150" w:name="_Ref178173982"/>
      <w:r w:rsidRPr="00561C66">
        <w:t xml:space="preserve">Housing </w:t>
      </w:r>
      <w:r w:rsidRPr="00D815E9">
        <w:t>assistance</w:t>
      </w:r>
      <w:bookmarkEnd w:id="150"/>
    </w:p>
    <w:p w14:paraId="2C9ADB29" w14:textId="7231EB4E" w:rsidR="00661E18" w:rsidRPr="00561C66" w:rsidRDefault="00661E18" w:rsidP="00661E18">
      <w:pPr>
        <w:pStyle w:val="ARbody"/>
      </w:pPr>
      <w:r w:rsidRPr="00561C66">
        <w:t>The housing assistance output, through the provision of homelessness services, crisis and transitional accommodation and long-term adequate, affordable and accessible housing assistance, coordinated with support services where required, home renovation assistance and the management of the home loan portfolio, aims to make a positive difference for Victorians experiencing disadvantage by providing excellent housing and community services to meet clients</w:t>
      </w:r>
      <w:r w:rsidR="00711AE6">
        <w:t>’</w:t>
      </w:r>
      <w:r w:rsidRPr="00561C66">
        <w:t xml:space="preserve"> needs.</w:t>
      </w:r>
    </w:p>
    <w:tbl>
      <w:tblPr>
        <w:tblW w:w="5000" w:type="pct"/>
        <w:tblBorders>
          <w:top w:val="single" w:sz="4" w:space="0" w:color="auto"/>
          <w:bottom w:val="single" w:sz="4" w:space="0" w:color="auto"/>
        </w:tblBorders>
        <w:tblLayout w:type="fixed"/>
        <w:tblCellMar>
          <w:left w:w="0" w:type="dxa"/>
        </w:tblCellMar>
        <w:tblLook w:val="06A0" w:firstRow="1" w:lastRow="0" w:firstColumn="1" w:lastColumn="0" w:noHBand="1" w:noVBand="1"/>
      </w:tblPr>
      <w:tblGrid>
        <w:gridCol w:w="4745"/>
        <w:gridCol w:w="1019"/>
        <w:gridCol w:w="1018"/>
        <w:gridCol w:w="1018"/>
        <w:gridCol w:w="1023"/>
        <w:gridCol w:w="803"/>
        <w:gridCol w:w="6"/>
      </w:tblGrid>
      <w:tr w:rsidR="00661E18" w:rsidRPr="00446050" w14:paraId="213BD991" w14:textId="77777777" w:rsidTr="00D02912">
        <w:trPr>
          <w:cantSplit/>
          <w:tblHeader/>
        </w:trPr>
        <w:tc>
          <w:tcPr>
            <w:tcW w:w="4745" w:type="dxa"/>
            <w:tcBorders>
              <w:top w:val="nil"/>
              <w:bottom w:val="single" w:sz="4" w:space="0" w:color="auto"/>
            </w:tcBorders>
            <w:vAlign w:val="bottom"/>
            <w:hideMark/>
          </w:tcPr>
          <w:p w14:paraId="4BD682F2" w14:textId="77777777" w:rsidR="00661E18" w:rsidRPr="00446050" w:rsidRDefault="00661E18" w:rsidP="00D02912">
            <w:pPr>
              <w:pStyle w:val="ARtablecolhead"/>
            </w:pPr>
            <w:r w:rsidRPr="00446050">
              <w:t>Performance measures</w:t>
            </w:r>
          </w:p>
        </w:tc>
        <w:tc>
          <w:tcPr>
            <w:tcW w:w="1019" w:type="dxa"/>
            <w:tcBorders>
              <w:top w:val="nil"/>
              <w:bottom w:val="single" w:sz="4" w:space="0" w:color="auto"/>
            </w:tcBorders>
            <w:vAlign w:val="bottom"/>
            <w:hideMark/>
          </w:tcPr>
          <w:p w14:paraId="7F6A4997" w14:textId="77777777" w:rsidR="00661E18" w:rsidRPr="00446050" w:rsidRDefault="00661E18" w:rsidP="00D02912">
            <w:pPr>
              <w:pStyle w:val="ARtablecolhead"/>
            </w:pPr>
            <w:r w:rsidRPr="00446050">
              <w:t>Unit of measure</w:t>
            </w:r>
          </w:p>
        </w:tc>
        <w:tc>
          <w:tcPr>
            <w:tcW w:w="1018" w:type="dxa"/>
            <w:tcBorders>
              <w:top w:val="nil"/>
              <w:bottom w:val="single" w:sz="4" w:space="0" w:color="auto"/>
            </w:tcBorders>
            <w:vAlign w:val="bottom"/>
            <w:hideMark/>
          </w:tcPr>
          <w:p w14:paraId="2B96113B" w14:textId="77777777" w:rsidR="00661E18" w:rsidRPr="00446050" w:rsidRDefault="00661E18" w:rsidP="00D02912">
            <w:pPr>
              <w:pStyle w:val="ARtablecolheadright"/>
            </w:pPr>
            <w:r w:rsidRPr="00446050">
              <w:t>2023–24 target</w:t>
            </w:r>
          </w:p>
        </w:tc>
        <w:tc>
          <w:tcPr>
            <w:tcW w:w="1018" w:type="dxa"/>
            <w:tcBorders>
              <w:top w:val="nil"/>
              <w:bottom w:val="single" w:sz="4" w:space="0" w:color="auto"/>
            </w:tcBorders>
            <w:vAlign w:val="bottom"/>
            <w:hideMark/>
          </w:tcPr>
          <w:p w14:paraId="371FC326" w14:textId="77777777" w:rsidR="00661E18" w:rsidRPr="00446050" w:rsidRDefault="00661E18" w:rsidP="00D02912">
            <w:pPr>
              <w:pStyle w:val="ARtablecolheadright"/>
            </w:pPr>
            <w:r w:rsidRPr="00446050">
              <w:t>2023–24 actual</w:t>
            </w:r>
          </w:p>
        </w:tc>
        <w:tc>
          <w:tcPr>
            <w:tcW w:w="1023" w:type="dxa"/>
            <w:tcBorders>
              <w:top w:val="nil"/>
              <w:bottom w:val="single" w:sz="4" w:space="0" w:color="auto"/>
            </w:tcBorders>
            <w:vAlign w:val="bottom"/>
            <w:hideMark/>
          </w:tcPr>
          <w:p w14:paraId="588E63EB" w14:textId="77777777" w:rsidR="00661E18" w:rsidRPr="00446050" w:rsidRDefault="00661E18" w:rsidP="00D02912">
            <w:pPr>
              <w:pStyle w:val="ARtablecolheadright"/>
            </w:pPr>
            <w:r w:rsidRPr="00446050">
              <w:t xml:space="preserve">Variation </w:t>
            </w:r>
          </w:p>
        </w:tc>
        <w:tc>
          <w:tcPr>
            <w:tcW w:w="809" w:type="dxa"/>
            <w:gridSpan w:val="2"/>
            <w:tcBorders>
              <w:top w:val="nil"/>
              <w:bottom w:val="single" w:sz="4" w:space="0" w:color="auto"/>
            </w:tcBorders>
            <w:vAlign w:val="bottom"/>
            <w:hideMark/>
          </w:tcPr>
          <w:p w14:paraId="699C036A" w14:textId="77777777" w:rsidR="00661E18" w:rsidRPr="00446050" w:rsidRDefault="00661E18" w:rsidP="00D02912">
            <w:pPr>
              <w:pStyle w:val="ARtablecolheadright"/>
            </w:pPr>
            <w:r w:rsidRPr="00446050">
              <w:t>Result</w:t>
            </w:r>
          </w:p>
        </w:tc>
      </w:tr>
      <w:tr w:rsidR="00661E18" w:rsidRPr="00446050" w14:paraId="461187AD" w14:textId="77777777" w:rsidTr="00D02912">
        <w:trPr>
          <w:cantSplit/>
        </w:trPr>
        <w:tc>
          <w:tcPr>
            <w:tcW w:w="9632" w:type="dxa"/>
            <w:gridSpan w:val="7"/>
            <w:tcBorders>
              <w:top w:val="single" w:sz="4" w:space="0" w:color="auto"/>
              <w:bottom w:val="nil"/>
            </w:tcBorders>
            <w:hideMark/>
          </w:tcPr>
          <w:p w14:paraId="10166446" w14:textId="77777777" w:rsidR="00661E18" w:rsidRPr="00446050" w:rsidRDefault="00661E18" w:rsidP="00D02912">
            <w:pPr>
              <w:pStyle w:val="ARtablegreybold"/>
            </w:pPr>
            <w:r w:rsidRPr="00446050">
              <w:t>Quantity</w:t>
            </w:r>
          </w:p>
        </w:tc>
      </w:tr>
      <w:tr w:rsidR="00661E18" w:rsidRPr="00446050" w14:paraId="76A7AA97" w14:textId="77777777" w:rsidTr="00D02912">
        <w:trPr>
          <w:gridAfter w:val="1"/>
          <w:wAfter w:w="6" w:type="dxa"/>
          <w:cantSplit/>
        </w:trPr>
        <w:tc>
          <w:tcPr>
            <w:tcW w:w="4745" w:type="dxa"/>
            <w:tcBorders>
              <w:top w:val="nil"/>
              <w:bottom w:val="nil"/>
            </w:tcBorders>
            <w:shd w:val="clear" w:color="auto" w:fill="auto"/>
            <w:hideMark/>
          </w:tcPr>
          <w:p w14:paraId="298EE52B" w14:textId="77777777" w:rsidR="00661E18" w:rsidRPr="00446050" w:rsidRDefault="00661E18" w:rsidP="00D02912">
            <w:pPr>
              <w:pStyle w:val="ARtabletext"/>
            </w:pPr>
            <w:r w:rsidRPr="00446050">
              <w:t>Number of bonds issued to low-income Victorians to assist access to the private rental market</w:t>
            </w:r>
          </w:p>
        </w:tc>
        <w:tc>
          <w:tcPr>
            <w:tcW w:w="1019" w:type="dxa"/>
            <w:tcBorders>
              <w:top w:val="nil"/>
              <w:bottom w:val="nil"/>
            </w:tcBorders>
            <w:shd w:val="clear" w:color="auto" w:fill="auto"/>
            <w:hideMark/>
          </w:tcPr>
          <w:p w14:paraId="69FA7CFB" w14:textId="77777777" w:rsidR="00661E18" w:rsidRPr="00446050" w:rsidRDefault="00661E18" w:rsidP="00D02912">
            <w:pPr>
              <w:pStyle w:val="ARtabletext"/>
            </w:pPr>
            <w:r w:rsidRPr="00446050">
              <w:t>number</w:t>
            </w:r>
          </w:p>
        </w:tc>
        <w:tc>
          <w:tcPr>
            <w:tcW w:w="1018" w:type="dxa"/>
            <w:tcBorders>
              <w:top w:val="nil"/>
              <w:bottom w:val="nil"/>
            </w:tcBorders>
            <w:shd w:val="clear" w:color="auto" w:fill="auto"/>
            <w:hideMark/>
          </w:tcPr>
          <w:p w14:paraId="4999ABA2" w14:textId="77777777" w:rsidR="00661E18" w:rsidRPr="00446050" w:rsidRDefault="00661E18" w:rsidP="00D02912">
            <w:pPr>
              <w:pStyle w:val="ARtabletextright"/>
            </w:pPr>
            <w:r w:rsidRPr="00446050">
              <w:t>10,000</w:t>
            </w:r>
          </w:p>
        </w:tc>
        <w:tc>
          <w:tcPr>
            <w:tcW w:w="1018" w:type="dxa"/>
            <w:tcBorders>
              <w:top w:val="nil"/>
              <w:bottom w:val="nil"/>
            </w:tcBorders>
            <w:shd w:val="clear" w:color="auto" w:fill="auto"/>
            <w:hideMark/>
          </w:tcPr>
          <w:p w14:paraId="275A48C2" w14:textId="77777777" w:rsidR="00661E18" w:rsidRPr="00446050" w:rsidRDefault="00661E18" w:rsidP="00D02912">
            <w:pPr>
              <w:pStyle w:val="ARtabletextright"/>
            </w:pPr>
            <w:r w:rsidRPr="00446050">
              <w:t>6,932</w:t>
            </w:r>
          </w:p>
        </w:tc>
        <w:tc>
          <w:tcPr>
            <w:tcW w:w="1023" w:type="dxa"/>
            <w:tcBorders>
              <w:top w:val="nil"/>
              <w:bottom w:val="nil"/>
            </w:tcBorders>
            <w:shd w:val="clear" w:color="auto" w:fill="auto"/>
          </w:tcPr>
          <w:p w14:paraId="4DA60B53" w14:textId="77777777" w:rsidR="00661E18" w:rsidRPr="00446050" w:rsidRDefault="00661E18" w:rsidP="00D02912">
            <w:pPr>
              <w:pStyle w:val="ARtabletextright"/>
            </w:pPr>
            <w:r w:rsidRPr="00446050">
              <w:t>-30.7%</w:t>
            </w:r>
          </w:p>
        </w:tc>
        <w:tc>
          <w:tcPr>
            <w:tcW w:w="803" w:type="dxa"/>
            <w:tcBorders>
              <w:top w:val="nil"/>
              <w:bottom w:val="nil"/>
            </w:tcBorders>
            <w:shd w:val="clear" w:color="auto" w:fill="auto"/>
            <w:hideMark/>
          </w:tcPr>
          <w:p w14:paraId="760D489D"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0655677F" w14:textId="77777777" w:rsidTr="00D02912">
        <w:trPr>
          <w:gridAfter w:val="1"/>
          <w:wAfter w:w="6" w:type="dxa"/>
          <w:cantSplit/>
        </w:trPr>
        <w:tc>
          <w:tcPr>
            <w:tcW w:w="9626" w:type="dxa"/>
            <w:gridSpan w:val="6"/>
            <w:tcBorders>
              <w:top w:val="nil"/>
              <w:bottom w:val="single" w:sz="4" w:space="0" w:color="BFBFBF" w:themeColor="background1" w:themeShade="BF"/>
            </w:tcBorders>
            <w:shd w:val="clear" w:color="auto" w:fill="auto"/>
            <w:noWrap/>
            <w:hideMark/>
          </w:tcPr>
          <w:p w14:paraId="194850EE" w14:textId="77777777" w:rsidR="00661E18" w:rsidRPr="00446050" w:rsidRDefault="00661E18" w:rsidP="00D02912">
            <w:pPr>
              <w:pStyle w:val="ARtablenoteindent"/>
            </w:pPr>
            <w:r w:rsidRPr="00446050">
              <w:t>The 2023</w:t>
            </w:r>
            <w:r>
              <w:t>–</w:t>
            </w:r>
            <w:r w:rsidRPr="00446050">
              <w:t>24 result is lower than the target due to high competition in the private rental market. The department is reviewing bond loan eligibility criteria and is expecting more bond loans to be delivered in 2024</w:t>
            </w:r>
            <w:r>
              <w:t>–</w:t>
            </w:r>
            <w:r w:rsidRPr="00446050">
              <w:t>25 based on likely changes.</w:t>
            </w:r>
          </w:p>
        </w:tc>
      </w:tr>
      <w:tr w:rsidR="00661E18" w:rsidRPr="00446050" w14:paraId="5AE19499" w14:textId="77777777" w:rsidTr="00D02912">
        <w:trPr>
          <w:gridAfter w:val="1"/>
          <w:wAfter w:w="6" w:type="dxa"/>
          <w:cantSplit/>
        </w:trPr>
        <w:tc>
          <w:tcPr>
            <w:tcW w:w="4745" w:type="dxa"/>
            <w:tcBorders>
              <w:top w:val="single" w:sz="4" w:space="0" w:color="BFBFBF" w:themeColor="background1" w:themeShade="BF"/>
              <w:bottom w:val="single" w:sz="4" w:space="0" w:color="BFBFBF" w:themeColor="background1" w:themeShade="BF"/>
            </w:tcBorders>
            <w:shd w:val="clear" w:color="auto" w:fill="auto"/>
            <w:hideMark/>
          </w:tcPr>
          <w:p w14:paraId="15702CFC" w14:textId="77777777" w:rsidR="00661E18" w:rsidRPr="00446050" w:rsidRDefault="00661E18" w:rsidP="00D02912">
            <w:pPr>
              <w:pStyle w:val="ARtabletext"/>
              <w:keepNext/>
            </w:pPr>
            <w:r w:rsidRPr="00446050">
              <w:t>Number of clients assisted to address and prevent</w:t>
            </w:r>
            <w:r>
              <w:t> </w:t>
            </w:r>
            <w:r w:rsidRPr="00446050">
              <w:t>homelessness</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0B7A7BB8"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single" w:sz="4" w:space="0" w:color="BFBFBF" w:themeColor="background1" w:themeShade="BF"/>
            </w:tcBorders>
            <w:shd w:val="clear" w:color="auto" w:fill="auto"/>
            <w:hideMark/>
          </w:tcPr>
          <w:p w14:paraId="74E8EFD9" w14:textId="77777777" w:rsidR="00661E18" w:rsidRPr="00446050" w:rsidRDefault="00661E18" w:rsidP="00D02912">
            <w:pPr>
              <w:pStyle w:val="ARtabletextright"/>
            </w:pPr>
            <w:r w:rsidRPr="00446050">
              <w:t>103,000</w:t>
            </w:r>
          </w:p>
        </w:tc>
        <w:tc>
          <w:tcPr>
            <w:tcW w:w="1018" w:type="dxa"/>
            <w:tcBorders>
              <w:top w:val="single" w:sz="4" w:space="0" w:color="BFBFBF" w:themeColor="background1" w:themeShade="BF"/>
              <w:bottom w:val="single" w:sz="4" w:space="0" w:color="BFBFBF" w:themeColor="background1" w:themeShade="BF"/>
            </w:tcBorders>
            <w:shd w:val="clear" w:color="auto" w:fill="auto"/>
            <w:hideMark/>
          </w:tcPr>
          <w:p w14:paraId="274645E7" w14:textId="77777777" w:rsidR="00661E18" w:rsidRPr="00446050" w:rsidRDefault="00661E18" w:rsidP="00D02912">
            <w:pPr>
              <w:pStyle w:val="ARtabletextright"/>
            </w:pPr>
            <w:r w:rsidRPr="00446050">
              <w:t>101,804</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4DF48250" w14:textId="77777777" w:rsidR="00661E18" w:rsidRPr="00446050" w:rsidRDefault="00661E18" w:rsidP="00D02912">
            <w:pPr>
              <w:pStyle w:val="ARtabletextright"/>
            </w:pPr>
            <w:r w:rsidRPr="00446050">
              <w:t>-1.2%</w:t>
            </w:r>
          </w:p>
        </w:tc>
        <w:tc>
          <w:tcPr>
            <w:tcW w:w="803" w:type="dxa"/>
            <w:tcBorders>
              <w:top w:val="single" w:sz="4" w:space="0" w:color="BFBFBF" w:themeColor="background1" w:themeShade="BF"/>
              <w:bottom w:val="single" w:sz="4" w:space="0" w:color="BFBFBF" w:themeColor="background1" w:themeShade="BF"/>
            </w:tcBorders>
            <w:shd w:val="clear" w:color="auto" w:fill="auto"/>
            <w:hideMark/>
          </w:tcPr>
          <w:p w14:paraId="38381745" w14:textId="77777777" w:rsidR="00661E18" w:rsidRPr="00446050" w:rsidRDefault="00661E18" w:rsidP="00D02912">
            <w:pPr>
              <w:pStyle w:val="ARtableperformancesymbol"/>
              <w:rPr>
                <w:rFonts w:hint="eastAsia"/>
                <w:lang w:val="en-AU"/>
              </w:rPr>
            </w:pPr>
            <w:r w:rsidRPr="00446050">
              <w:t>□</w:t>
            </w:r>
          </w:p>
        </w:tc>
      </w:tr>
      <w:tr w:rsidR="00661E18" w:rsidRPr="00446050" w14:paraId="096F66E2" w14:textId="77777777" w:rsidTr="00D02912">
        <w:trPr>
          <w:cantSplit/>
        </w:trPr>
        <w:tc>
          <w:tcPr>
            <w:tcW w:w="4745" w:type="dxa"/>
            <w:tcBorders>
              <w:top w:val="single" w:sz="4" w:space="0" w:color="BFBFBF" w:themeColor="background1" w:themeShade="BF"/>
              <w:bottom w:val="single" w:sz="4" w:space="0" w:color="BFBFBF" w:themeColor="background1" w:themeShade="BF"/>
            </w:tcBorders>
            <w:shd w:val="clear" w:color="auto" w:fill="auto"/>
          </w:tcPr>
          <w:p w14:paraId="1B0E85F4" w14:textId="77777777" w:rsidR="00661E18" w:rsidRPr="00446050" w:rsidRDefault="00661E18" w:rsidP="00D02912">
            <w:pPr>
              <w:pStyle w:val="ARtabletext"/>
            </w:pPr>
            <w:r w:rsidRPr="00446050">
              <w:t>Number of clients assisted to address and prevent homelessness due to family violence</w:t>
            </w:r>
          </w:p>
        </w:tc>
        <w:tc>
          <w:tcPr>
            <w:tcW w:w="1019" w:type="dxa"/>
            <w:tcBorders>
              <w:top w:val="single" w:sz="4" w:space="0" w:color="BFBFBF" w:themeColor="background1" w:themeShade="BF"/>
              <w:bottom w:val="single" w:sz="4" w:space="0" w:color="BFBFBF" w:themeColor="background1" w:themeShade="BF"/>
            </w:tcBorders>
            <w:shd w:val="clear" w:color="auto" w:fill="auto"/>
          </w:tcPr>
          <w:p w14:paraId="1735A95A"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single" w:sz="4" w:space="0" w:color="BFBFBF" w:themeColor="background1" w:themeShade="BF"/>
            </w:tcBorders>
            <w:shd w:val="clear" w:color="auto" w:fill="auto"/>
          </w:tcPr>
          <w:p w14:paraId="00AE8EA8" w14:textId="77777777" w:rsidR="00661E18" w:rsidRPr="00446050" w:rsidRDefault="00661E18" w:rsidP="00D02912">
            <w:pPr>
              <w:pStyle w:val="ARtabletextright"/>
            </w:pPr>
            <w:r w:rsidRPr="00446050">
              <w:t>45,000</w:t>
            </w:r>
          </w:p>
        </w:tc>
        <w:tc>
          <w:tcPr>
            <w:tcW w:w="1018" w:type="dxa"/>
            <w:tcBorders>
              <w:top w:val="single" w:sz="4" w:space="0" w:color="BFBFBF" w:themeColor="background1" w:themeShade="BF"/>
              <w:bottom w:val="single" w:sz="4" w:space="0" w:color="BFBFBF" w:themeColor="background1" w:themeShade="BF"/>
            </w:tcBorders>
            <w:shd w:val="clear" w:color="auto" w:fill="auto"/>
          </w:tcPr>
          <w:p w14:paraId="43A375E8" w14:textId="77777777" w:rsidR="00661E18" w:rsidRPr="00446050" w:rsidRDefault="00661E18" w:rsidP="00D02912">
            <w:pPr>
              <w:pStyle w:val="ARtabletextright"/>
            </w:pPr>
            <w:r w:rsidRPr="00446050">
              <w:t>43,778</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70EF2BEE" w14:textId="77777777" w:rsidR="00661E18" w:rsidRPr="00446050" w:rsidRDefault="00661E18" w:rsidP="00D02912">
            <w:pPr>
              <w:pStyle w:val="ARtabletextright"/>
            </w:pPr>
            <w:r w:rsidRPr="00446050">
              <w:t>-2.7%</w:t>
            </w:r>
          </w:p>
        </w:tc>
        <w:tc>
          <w:tcPr>
            <w:tcW w:w="809" w:type="dxa"/>
            <w:gridSpan w:val="2"/>
            <w:tcBorders>
              <w:top w:val="single" w:sz="4" w:space="0" w:color="BFBFBF" w:themeColor="background1" w:themeShade="BF"/>
              <w:bottom w:val="single" w:sz="4" w:space="0" w:color="BFBFBF" w:themeColor="background1" w:themeShade="BF"/>
            </w:tcBorders>
            <w:shd w:val="clear" w:color="auto" w:fill="auto"/>
          </w:tcPr>
          <w:p w14:paraId="22754F49" w14:textId="77777777" w:rsidR="00661E18" w:rsidRPr="00446050" w:rsidRDefault="00661E18" w:rsidP="00D02912">
            <w:pPr>
              <w:pStyle w:val="ARtableperformancesymbol"/>
              <w:rPr>
                <w:rFonts w:eastAsia="Wingdings" w:cs="Wingdings"/>
                <w:lang w:val="en-AU"/>
              </w:rPr>
            </w:pPr>
            <w:r w:rsidRPr="00446050">
              <w:t>□</w:t>
            </w:r>
          </w:p>
        </w:tc>
      </w:tr>
      <w:tr w:rsidR="00661E18" w:rsidRPr="00446050" w14:paraId="7B663505" w14:textId="77777777" w:rsidTr="00D02912">
        <w:trPr>
          <w:cantSplit/>
        </w:trPr>
        <w:tc>
          <w:tcPr>
            <w:tcW w:w="4745" w:type="dxa"/>
            <w:tcBorders>
              <w:top w:val="single" w:sz="4" w:space="0" w:color="BFBFBF" w:themeColor="background1" w:themeShade="BF"/>
              <w:bottom w:val="nil"/>
            </w:tcBorders>
            <w:shd w:val="clear" w:color="auto" w:fill="auto"/>
          </w:tcPr>
          <w:p w14:paraId="11CAAAE5" w14:textId="77777777" w:rsidR="00661E18" w:rsidRPr="00446050" w:rsidRDefault="00661E18" w:rsidP="00D02912">
            <w:pPr>
              <w:pStyle w:val="ARtabletext"/>
            </w:pPr>
            <w:r w:rsidRPr="00446050">
              <w:t>Number of clients provided with accommodation</w:t>
            </w:r>
          </w:p>
        </w:tc>
        <w:tc>
          <w:tcPr>
            <w:tcW w:w="1019" w:type="dxa"/>
            <w:tcBorders>
              <w:top w:val="single" w:sz="4" w:space="0" w:color="BFBFBF" w:themeColor="background1" w:themeShade="BF"/>
              <w:bottom w:val="nil"/>
            </w:tcBorders>
            <w:shd w:val="clear" w:color="auto" w:fill="auto"/>
          </w:tcPr>
          <w:p w14:paraId="270ACEE9"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nil"/>
            </w:tcBorders>
            <w:shd w:val="clear" w:color="auto" w:fill="auto"/>
          </w:tcPr>
          <w:p w14:paraId="64B09191" w14:textId="77777777" w:rsidR="00661E18" w:rsidRPr="00446050" w:rsidRDefault="00661E18" w:rsidP="00D02912">
            <w:pPr>
              <w:pStyle w:val="ARtabletextright"/>
            </w:pPr>
            <w:r w:rsidRPr="00446050">
              <w:t>30,000</w:t>
            </w:r>
          </w:p>
        </w:tc>
        <w:tc>
          <w:tcPr>
            <w:tcW w:w="1018" w:type="dxa"/>
            <w:tcBorders>
              <w:top w:val="single" w:sz="4" w:space="0" w:color="BFBFBF" w:themeColor="background1" w:themeShade="BF"/>
              <w:bottom w:val="nil"/>
            </w:tcBorders>
            <w:shd w:val="clear" w:color="auto" w:fill="auto"/>
          </w:tcPr>
          <w:p w14:paraId="64CD481B" w14:textId="77777777" w:rsidR="00661E18" w:rsidRPr="00446050" w:rsidRDefault="00661E18" w:rsidP="00D02912">
            <w:pPr>
              <w:pStyle w:val="ARtabletextright"/>
            </w:pPr>
            <w:r w:rsidRPr="00446050">
              <w:t>27,882</w:t>
            </w:r>
          </w:p>
        </w:tc>
        <w:tc>
          <w:tcPr>
            <w:tcW w:w="1023" w:type="dxa"/>
            <w:tcBorders>
              <w:top w:val="single" w:sz="4" w:space="0" w:color="BFBFBF" w:themeColor="background1" w:themeShade="BF"/>
              <w:bottom w:val="nil"/>
            </w:tcBorders>
            <w:shd w:val="clear" w:color="auto" w:fill="auto"/>
          </w:tcPr>
          <w:p w14:paraId="32542B3F" w14:textId="77777777" w:rsidR="00661E18" w:rsidRPr="00446050" w:rsidRDefault="00661E18" w:rsidP="00D02912">
            <w:pPr>
              <w:pStyle w:val="ARtabletextright"/>
            </w:pPr>
            <w:r w:rsidRPr="00446050">
              <w:t>-7.1%</w:t>
            </w:r>
          </w:p>
        </w:tc>
        <w:tc>
          <w:tcPr>
            <w:tcW w:w="809" w:type="dxa"/>
            <w:gridSpan w:val="2"/>
            <w:tcBorders>
              <w:top w:val="single" w:sz="4" w:space="0" w:color="BFBFBF" w:themeColor="background1" w:themeShade="BF"/>
              <w:bottom w:val="nil"/>
            </w:tcBorders>
            <w:shd w:val="clear" w:color="auto" w:fill="auto"/>
          </w:tcPr>
          <w:p w14:paraId="620BD7E4" w14:textId="77777777" w:rsidR="00661E18" w:rsidRPr="00446050" w:rsidRDefault="00661E18" w:rsidP="00D02912">
            <w:pPr>
              <w:pStyle w:val="ARtableperformancesymbol"/>
              <w:rPr>
                <w:rFonts w:eastAsia="Wingdings" w:cs="Wingdings"/>
                <w:lang w:val="en-AU"/>
              </w:rPr>
            </w:pPr>
            <w:r w:rsidRPr="00446050">
              <w:rPr>
                <w:rFonts w:eastAsia="Wingdings" w:cs="Wingdings"/>
              </w:rPr>
              <w:t></w:t>
            </w:r>
          </w:p>
        </w:tc>
      </w:tr>
      <w:tr w:rsidR="00661E18" w:rsidRPr="00446050" w14:paraId="5A5D8C0C" w14:textId="77777777" w:rsidTr="00D02912">
        <w:trPr>
          <w:cantSplit/>
        </w:trPr>
        <w:tc>
          <w:tcPr>
            <w:tcW w:w="9632" w:type="dxa"/>
            <w:gridSpan w:val="7"/>
            <w:tcBorders>
              <w:top w:val="nil"/>
              <w:bottom w:val="single" w:sz="4" w:space="0" w:color="BFBFBF" w:themeColor="background1" w:themeShade="BF"/>
            </w:tcBorders>
            <w:shd w:val="clear" w:color="auto" w:fill="auto"/>
          </w:tcPr>
          <w:p w14:paraId="1B0CEFF0" w14:textId="77777777" w:rsidR="00661E18" w:rsidRPr="00446050" w:rsidRDefault="00661E18" w:rsidP="00D02912">
            <w:pPr>
              <w:pStyle w:val="ARtablenoteindent"/>
              <w:rPr>
                <w:rFonts w:eastAsia="Wingdings" w:cs="Wingdings"/>
              </w:rPr>
            </w:pPr>
            <w:r w:rsidRPr="00446050">
              <w:rPr>
                <w:rFonts w:eastAsia="Wingdings" w:cs="Wingdings"/>
              </w:rPr>
              <w:t>The 2023</w:t>
            </w:r>
            <w:r>
              <w:rPr>
                <w:rFonts w:eastAsia="Wingdings" w:cs="Wingdings"/>
              </w:rPr>
              <w:t>–</w:t>
            </w:r>
            <w:r w:rsidRPr="00446050">
              <w:rPr>
                <w:rFonts w:eastAsia="Wingdings" w:cs="Wingdings"/>
              </w:rPr>
              <w:t>24 result is lower than the target although is in line with pre-COVID-19 figures.</w:t>
            </w:r>
          </w:p>
        </w:tc>
      </w:tr>
      <w:tr w:rsidR="00661E18" w:rsidRPr="00446050" w14:paraId="782A6353" w14:textId="77777777" w:rsidTr="00D02912">
        <w:trPr>
          <w:gridAfter w:val="1"/>
          <w:wAfter w:w="6" w:type="dxa"/>
          <w:cantSplit/>
        </w:trPr>
        <w:tc>
          <w:tcPr>
            <w:tcW w:w="4745" w:type="dxa"/>
            <w:tcBorders>
              <w:top w:val="nil"/>
              <w:bottom w:val="nil"/>
            </w:tcBorders>
            <w:shd w:val="clear" w:color="auto" w:fill="auto"/>
            <w:hideMark/>
          </w:tcPr>
          <w:p w14:paraId="51D29B99" w14:textId="77777777" w:rsidR="00661E18" w:rsidRPr="00446050" w:rsidRDefault="00661E18" w:rsidP="00D02912">
            <w:pPr>
              <w:pStyle w:val="ARtabletext"/>
            </w:pPr>
            <w:r w:rsidRPr="00446050">
              <w:t>Number of households assisted with long-term social housing (public, Aboriginal and community long-term tenancies at end of year)</w:t>
            </w:r>
          </w:p>
        </w:tc>
        <w:tc>
          <w:tcPr>
            <w:tcW w:w="1019" w:type="dxa"/>
            <w:tcBorders>
              <w:top w:val="nil"/>
              <w:bottom w:val="nil"/>
            </w:tcBorders>
            <w:shd w:val="clear" w:color="auto" w:fill="auto"/>
            <w:hideMark/>
          </w:tcPr>
          <w:p w14:paraId="17A8245C" w14:textId="77777777" w:rsidR="00661E18" w:rsidRPr="00446050" w:rsidRDefault="00661E18" w:rsidP="00D02912">
            <w:pPr>
              <w:pStyle w:val="ARtabletext"/>
            </w:pPr>
            <w:r w:rsidRPr="00446050">
              <w:t>number</w:t>
            </w:r>
          </w:p>
        </w:tc>
        <w:tc>
          <w:tcPr>
            <w:tcW w:w="1018" w:type="dxa"/>
            <w:tcBorders>
              <w:top w:val="nil"/>
              <w:bottom w:val="nil"/>
            </w:tcBorders>
            <w:shd w:val="clear" w:color="auto" w:fill="auto"/>
            <w:hideMark/>
          </w:tcPr>
          <w:p w14:paraId="2887A6DA" w14:textId="77777777" w:rsidR="00661E18" w:rsidRPr="00446050" w:rsidRDefault="00661E18" w:rsidP="00D02912">
            <w:pPr>
              <w:pStyle w:val="ARtabletextright"/>
            </w:pPr>
            <w:r w:rsidRPr="00446050">
              <w:t>77,900</w:t>
            </w:r>
          </w:p>
        </w:tc>
        <w:tc>
          <w:tcPr>
            <w:tcW w:w="1018" w:type="dxa"/>
            <w:tcBorders>
              <w:top w:val="nil"/>
              <w:bottom w:val="nil"/>
            </w:tcBorders>
            <w:shd w:val="clear" w:color="auto" w:fill="auto"/>
            <w:hideMark/>
          </w:tcPr>
          <w:p w14:paraId="7718D355" w14:textId="77777777" w:rsidR="00661E18" w:rsidRPr="003A1FC8" w:rsidRDefault="00661E18" w:rsidP="00D02912">
            <w:pPr>
              <w:pStyle w:val="ARtabletextright"/>
            </w:pPr>
            <w:r w:rsidRPr="003A1FC8">
              <w:t>82,275</w:t>
            </w:r>
          </w:p>
        </w:tc>
        <w:tc>
          <w:tcPr>
            <w:tcW w:w="1023" w:type="dxa"/>
            <w:tcBorders>
              <w:top w:val="nil"/>
              <w:bottom w:val="nil"/>
            </w:tcBorders>
            <w:shd w:val="clear" w:color="auto" w:fill="auto"/>
          </w:tcPr>
          <w:p w14:paraId="0E70516D" w14:textId="77777777" w:rsidR="00661E18" w:rsidRPr="003A1FC8" w:rsidRDefault="00661E18" w:rsidP="00D02912">
            <w:pPr>
              <w:pStyle w:val="ARtabletextright"/>
            </w:pPr>
            <w:r w:rsidRPr="003A1FC8">
              <w:t>5.6%</w:t>
            </w:r>
          </w:p>
        </w:tc>
        <w:tc>
          <w:tcPr>
            <w:tcW w:w="803" w:type="dxa"/>
            <w:tcBorders>
              <w:top w:val="nil"/>
              <w:bottom w:val="nil"/>
            </w:tcBorders>
            <w:shd w:val="clear" w:color="auto" w:fill="auto"/>
            <w:hideMark/>
          </w:tcPr>
          <w:p w14:paraId="05F08BA8"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3BA19C72" w14:textId="77777777" w:rsidTr="00D02912">
        <w:trPr>
          <w:gridAfter w:val="1"/>
          <w:wAfter w:w="6" w:type="dxa"/>
          <w:cantSplit/>
        </w:trPr>
        <w:tc>
          <w:tcPr>
            <w:tcW w:w="9626" w:type="dxa"/>
            <w:gridSpan w:val="6"/>
            <w:tcBorders>
              <w:top w:val="nil"/>
              <w:bottom w:val="nil"/>
            </w:tcBorders>
            <w:shd w:val="clear" w:color="auto" w:fill="auto"/>
          </w:tcPr>
          <w:p w14:paraId="0D31694E" w14:textId="77777777" w:rsidR="00661E18" w:rsidRPr="00AA126F" w:rsidRDefault="00661E18" w:rsidP="00D02912">
            <w:pPr>
              <w:pStyle w:val="ARtablenoteindent"/>
            </w:pPr>
            <w:r w:rsidRPr="003A1FC8">
              <w:rPr>
                <w:rFonts w:hint="eastAsia"/>
              </w:rPr>
              <w:t>T</w:t>
            </w:r>
            <w:r w:rsidRPr="003A1FC8">
              <w:t>he 2023</w:t>
            </w:r>
            <w:r>
              <w:t>–</w:t>
            </w:r>
            <w:r w:rsidRPr="003A1FC8">
              <w:t>24 result is based on an improved and more accurate data collection method than previously relied upon.</w:t>
            </w:r>
          </w:p>
        </w:tc>
      </w:tr>
      <w:tr w:rsidR="00661E18" w:rsidRPr="00446050" w14:paraId="21739053" w14:textId="77777777" w:rsidTr="00D02912">
        <w:trPr>
          <w:cantSplit/>
        </w:trPr>
        <w:tc>
          <w:tcPr>
            <w:tcW w:w="4745" w:type="dxa"/>
            <w:tcBorders>
              <w:top w:val="single" w:sz="4" w:space="0" w:color="A6A6A6"/>
              <w:bottom w:val="single" w:sz="4" w:space="0" w:color="A6A6A6"/>
            </w:tcBorders>
            <w:shd w:val="clear" w:color="auto" w:fill="auto"/>
            <w:hideMark/>
          </w:tcPr>
          <w:p w14:paraId="41FB835A" w14:textId="77777777" w:rsidR="00661E18" w:rsidRPr="00446050" w:rsidRDefault="00661E18" w:rsidP="00D02912">
            <w:pPr>
              <w:pStyle w:val="ARtabletext"/>
              <w:keepNext/>
            </w:pPr>
            <w:r w:rsidRPr="00446050">
              <w:t>Number of public housing dwellings upgraded during year</w:t>
            </w:r>
          </w:p>
        </w:tc>
        <w:tc>
          <w:tcPr>
            <w:tcW w:w="1019" w:type="dxa"/>
            <w:tcBorders>
              <w:top w:val="single" w:sz="4" w:space="0" w:color="A6A6A6"/>
              <w:bottom w:val="single" w:sz="4" w:space="0" w:color="A6A6A6"/>
            </w:tcBorders>
            <w:shd w:val="clear" w:color="auto" w:fill="auto"/>
            <w:hideMark/>
          </w:tcPr>
          <w:p w14:paraId="68EAE78A" w14:textId="77777777" w:rsidR="00661E18" w:rsidRPr="00446050" w:rsidRDefault="00661E18" w:rsidP="00D02912">
            <w:pPr>
              <w:pStyle w:val="ARtabletext"/>
            </w:pPr>
            <w:r w:rsidRPr="00446050">
              <w:t>number</w:t>
            </w:r>
          </w:p>
        </w:tc>
        <w:tc>
          <w:tcPr>
            <w:tcW w:w="1018" w:type="dxa"/>
            <w:tcBorders>
              <w:top w:val="single" w:sz="4" w:space="0" w:color="A6A6A6"/>
              <w:bottom w:val="single" w:sz="4" w:space="0" w:color="A6A6A6"/>
            </w:tcBorders>
            <w:shd w:val="clear" w:color="auto" w:fill="auto"/>
            <w:hideMark/>
          </w:tcPr>
          <w:p w14:paraId="16C17CCA" w14:textId="77777777" w:rsidR="00661E18" w:rsidRPr="00446050" w:rsidRDefault="00661E18" w:rsidP="00D02912">
            <w:pPr>
              <w:pStyle w:val="ARtabletextright"/>
            </w:pPr>
            <w:r w:rsidRPr="00446050">
              <w:t>2,000</w:t>
            </w:r>
          </w:p>
        </w:tc>
        <w:tc>
          <w:tcPr>
            <w:tcW w:w="1018" w:type="dxa"/>
            <w:tcBorders>
              <w:top w:val="single" w:sz="4" w:space="0" w:color="A6A6A6"/>
              <w:bottom w:val="single" w:sz="4" w:space="0" w:color="A6A6A6"/>
            </w:tcBorders>
            <w:shd w:val="clear" w:color="auto" w:fill="auto"/>
            <w:hideMark/>
          </w:tcPr>
          <w:p w14:paraId="17DD1B31" w14:textId="77777777" w:rsidR="00661E18" w:rsidRPr="00446050" w:rsidRDefault="00661E18" w:rsidP="00D02912">
            <w:pPr>
              <w:pStyle w:val="ARtabletextright"/>
            </w:pPr>
            <w:r w:rsidRPr="00446050">
              <w:t>1,985</w:t>
            </w:r>
          </w:p>
        </w:tc>
        <w:tc>
          <w:tcPr>
            <w:tcW w:w="1023" w:type="dxa"/>
            <w:tcBorders>
              <w:top w:val="single" w:sz="4" w:space="0" w:color="A6A6A6"/>
              <w:bottom w:val="single" w:sz="4" w:space="0" w:color="A6A6A6"/>
            </w:tcBorders>
            <w:shd w:val="clear" w:color="auto" w:fill="auto"/>
          </w:tcPr>
          <w:p w14:paraId="1868D70F" w14:textId="77777777" w:rsidR="00661E18" w:rsidRPr="00446050" w:rsidRDefault="00661E18" w:rsidP="00D02912">
            <w:pPr>
              <w:pStyle w:val="ARtabletextright"/>
            </w:pPr>
            <w:r w:rsidRPr="00446050">
              <w:t>-0.7%</w:t>
            </w:r>
          </w:p>
        </w:tc>
        <w:tc>
          <w:tcPr>
            <w:tcW w:w="809" w:type="dxa"/>
            <w:gridSpan w:val="2"/>
            <w:tcBorders>
              <w:top w:val="single" w:sz="4" w:space="0" w:color="A6A6A6"/>
              <w:bottom w:val="single" w:sz="4" w:space="0" w:color="A6A6A6"/>
            </w:tcBorders>
            <w:shd w:val="clear" w:color="auto" w:fill="auto"/>
            <w:hideMark/>
          </w:tcPr>
          <w:p w14:paraId="090F0D08" w14:textId="77777777" w:rsidR="00661E18" w:rsidRPr="00446050" w:rsidRDefault="00661E18" w:rsidP="00D02912">
            <w:pPr>
              <w:pStyle w:val="ARtableperformancesymbol"/>
              <w:rPr>
                <w:rFonts w:hint="eastAsia"/>
                <w:lang w:val="en-AU"/>
              </w:rPr>
            </w:pPr>
            <w:r w:rsidRPr="00446050">
              <w:t>□</w:t>
            </w:r>
          </w:p>
        </w:tc>
      </w:tr>
      <w:tr w:rsidR="00661E18" w:rsidRPr="00446050" w14:paraId="3A4CB8E7" w14:textId="77777777" w:rsidTr="00D02912">
        <w:trPr>
          <w:gridAfter w:val="1"/>
          <w:wAfter w:w="6" w:type="dxa"/>
          <w:cantSplit/>
        </w:trPr>
        <w:tc>
          <w:tcPr>
            <w:tcW w:w="4745" w:type="dxa"/>
            <w:tcBorders>
              <w:top w:val="single" w:sz="4" w:space="0" w:color="BFBFBF" w:themeColor="background1" w:themeShade="BF"/>
              <w:bottom w:val="single" w:sz="4" w:space="0" w:color="BFBFBF" w:themeColor="background1" w:themeShade="BF"/>
            </w:tcBorders>
            <w:shd w:val="clear" w:color="auto" w:fill="auto"/>
            <w:hideMark/>
          </w:tcPr>
          <w:p w14:paraId="69747E44" w14:textId="77777777" w:rsidR="00661E18" w:rsidRPr="00446050" w:rsidRDefault="00661E18" w:rsidP="00D02912">
            <w:pPr>
              <w:pStyle w:val="ARtabletext"/>
            </w:pPr>
            <w:r w:rsidRPr="00446050">
              <w:t>Total number of social housing dwellings</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351CE6CC"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single" w:sz="4" w:space="0" w:color="BFBFBF" w:themeColor="background1" w:themeShade="BF"/>
            </w:tcBorders>
            <w:shd w:val="clear" w:color="auto" w:fill="auto"/>
            <w:hideMark/>
          </w:tcPr>
          <w:p w14:paraId="30CEEFC2" w14:textId="77777777" w:rsidR="00661E18" w:rsidRPr="00446050" w:rsidRDefault="00661E18" w:rsidP="00D02912">
            <w:pPr>
              <w:pStyle w:val="ARtabletextright"/>
            </w:pPr>
            <w:r w:rsidRPr="00446050">
              <w:t>91,248</w:t>
            </w:r>
          </w:p>
        </w:tc>
        <w:tc>
          <w:tcPr>
            <w:tcW w:w="1018" w:type="dxa"/>
            <w:tcBorders>
              <w:top w:val="single" w:sz="4" w:space="0" w:color="BFBFBF" w:themeColor="background1" w:themeShade="BF"/>
              <w:bottom w:val="single" w:sz="4" w:space="0" w:color="BFBFBF" w:themeColor="background1" w:themeShade="BF"/>
            </w:tcBorders>
            <w:shd w:val="clear" w:color="auto" w:fill="auto"/>
            <w:hideMark/>
          </w:tcPr>
          <w:p w14:paraId="0DD0C28A" w14:textId="77777777" w:rsidR="00661E18" w:rsidRPr="00446050" w:rsidRDefault="00661E18" w:rsidP="00D02912">
            <w:pPr>
              <w:pStyle w:val="ARtabletextright"/>
            </w:pPr>
            <w:r w:rsidRPr="00446050">
              <w:t>89,501</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1CC3F28A" w14:textId="77777777" w:rsidR="00661E18" w:rsidRPr="00446050" w:rsidRDefault="00661E18" w:rsidP="00D02912">
            <w:pPr>
              <w:pStyle w:val="ARtabletextright"/>
            </w:pPr>
            <w:r w:rsidRPr="00446050">
              <w:t>-1.9%</w:t>
            </w:r>
          </w:p>
        </w:tc>
        <w:tc>
          <w:tcPr>
            <w:tcW w:w="803" w:type="dxa"/>
            <w:tcBorders>
              <w:top w:val="single" w:sz="4" w:space="0" w:color="BFBFBF" w:themeColor="background1" w:themeShade="BF"/>
              <w:bottom w:val="single" w:sz="4" w:space="0" w:color="BFBFBF" w:themeColor="background1" w:themeShade="BF"/>
            </w:tcBorders>
            <w:shd w:val="clear" w:color="auto" w:fill="auto"/>
            <w:hideMark/>
          </w:tcPr>
          <w:p w14:paraId="243C59C6" w14:textId="77777777" w:rsidR="00661E18" w:rsidRPr="00446050" w:rsidRDefault="00661E18" w:rsidP="00D02912">
            <w:pPr>
              <w:pStyle w:val="ARtableperformancesymbol"/>
              <w:rPr>
                <w:rFonts w:hint="eastAsia"/>
                <w:lang w:val="en-AU"/>
              </w:rPr>
            </w:pPr>
            <w:r w:rsidRPr="00446050">
              <w:t>□</w:t>
            </w:r>
          </w:p>
        </w:tc>
      </w:tr>
      <w:tr w:rsidR="00661E18" w:rsidRPr="00446050" w14:paraId="41939953" w14:textId="77777777" w:rsidTr="00D02912">
        <w:trPr>
          <w:gridAfter w:val="1"/>
          <w:wAfter w:w="6" w:type="dxa"/>
          <w:cantSplit/>
        </w:trPr>
        <w:tc>
          <w:tcPr>
            <w:tcW w:w="4745" w:type="dxa"/>
            <w:tcBorders>
              <w:top w:val="single" w:sz="4" w:space="0" w:color="BFBFBF" w:themeColor="background1" w:themeShade="BF"/>
              <w:bottom w:val="nil"/>
            </w:tcBorders>
            <w:shd w:val="clear" w:color="auto" w:fill="auto"/>
            <w:hideMark/>
          </w:tcPr>
          <w:p w14:paraId="2C5E43B2" w14:textId="77777777" w:rsidR="00661E18" w:rsidRPr="00446050" w:rsidRDefault="00661E18" w:rsidP="00D02912">
            <w:pPr>
              <w:pStyle w:val="ARtabletext"/>
            </w:pPr>
            <w:r w:rsidRPr="00446050">
              <w:t>Total social housing dwellings acquired during the year</w:t>
            </w:r>
          </w:p>
        </w:tc>
        <w:tc>
          <w:tcPr>
            <w:tcW w:w="1019" w:type="dxa"/>
            <w:tcBorders>
              <w:top w:val="single" w:sz="4" w:space="0" w:color="BFBFBF" w:themeColor="background1" w:themeShade="BF"/>
              <w:bottom w:val="nil"/>
            </w:tcBorders>
            <w:shd w:val="clear" w:color="auto" w:fill="auto"/>
            <w:hideMark/>
          </w:tcPr>
          <w:p w14:paraId="3757CBF9"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nil"/>
            </w:tcBorders>
            <w:shd w:val="clear" w:color="auto" w:fill="auto"/>
            <w:hideMark/>
          </w:tcPr>
          <w:p w14:paraId="3E38CDCC" w14:textId="77777777" w:rsidR="00661E18" w:rsidRPr="00446050" w:rsidRDefault="00661E18" w:rsidP="00D02912">
            <w:pPr>
              <w:pStyle w:val="ARtabletextright"/>
            </w:pPr>
            <w:r w:rsidRPr="00446050">
              <w:t>2,809</w:t>
            </w:r>
          </w:p>
        </w:tc>
        <w:tc>
          <w:tcPr>
            <w:tcW w:w="1018" w:type="dxa"/>
            <w:tcBorders>
              <w:top w:val="single" w:sz="4" w:space="0" w:color="BFBFBF" w:themeColor="background1" w:themeShade="BF"/>
              <w:bottom w:val="nil"/>
            </w:tcBorders>
            <w:shd w:val="clear" w:color="auto" w:fill="auto"/>
            <w:hideMark/>
          </w:tcPr>
          <w:p w14:paraId="243BE9BF" w14:textId="77777777" w:rsidR="00661E18" w:rsidRPr="00446050" w:rsidRDefault="00661E18" w:rsidP="00D02912">
            <w:pPr>
              <w:pStyle w:val="ARtabletextright"/>
            </w:pPr>
            <w:r w:rsidRPr="00446050">
              <w:t>2,938</w:t>
            </w:r>
          </w:p>
        </w:tc>
        <w:tc>
          <w:tcPr>
            <w:tcW w:w="1023" w:type="dxa"/>
            <w:tcBorders>
              <w:top w:val="single" w:sz="4" w:space="0" w:color="BFBFBF" w:themeColor="background1" w:themeShade="BF"/>
              <w:bottom w:val="nil"/>
            </w:tcBorders>
            <w:shd w:val="clear" w:color="auto" w:fill="auto"/>
          </w:tcPr>
          <w:p w14:paraId="298307AD" w14:textId="77777777" w:rsidR="00661E18" w:rsidRPr="00446050" w:rsidRDefault="00661E18" w:rsidP="00D02912">
            <w:pPr>
              <w:pStyle w:val="ARtabletextright"/>
            </w:pPr>
            <w:r w:rsidRPr="00446050">
              <w:t>4.6%</w:t>
            </w:r>
          </w:p>
        </w:tc>
        <w:tc>
          <w:tcPr>
            <w:tcW w:w="803" w:type="dxa"/>
            <w:tcBorders>
              <w:top w:val="single" w:sz="4" w:space="0" w:color="BFBFBF" w:themeColor="background1" w:themeShade="BF"/>
              <w:bottom w:val="nil"/>
            </w:tcBorders>
            <w:shd w:val="clear" w:color="auto" w:fill="auto"/>
            <w:hideMark/>
          </w:tcPr>
          <w:p w14:paraId="22CA2FAC"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05A7FBC6" w14:textId="77777777" w:rsidTr="00D02912">
        <w:trPr>
          <w:gridAfter w:val="1"/>
          <w:wAfter w:w="6" w:type="dxa"/>
          <w:cantSplit/>
        </w:trPr>
        <w:tc>
          <w:tcPr>
            <w:tcW w:w="4745" w:type="dxa"/>
            <w:tcBorders>
              <w:top w:val="single" w:sz="4" w:space="0" w:color="BFBFBF" w:themeColor="background1" w:themeShade="BF"/>
              <w:bottom w:val="nil"/>
            </w:tcBorders>
            <w:shd w:val="clear" w:color="auto" w:fill="auto"/>
          </w:tcPr>
          <w:p w14:paraId="566DD5B3" w14:textId="77777777" w:rsidR="00661E18" w:rsidRPr="00446050" w:rsidRDefault="00661E18" w:rsidP="00D02912">
            <w:pPr>
              <w:pStyle w:val="ARtabletext"/>
            </w:pPr>
            <w:r w:rsidRPr="00446050">
              <w:t>Total number of Victorian Affordable Housing Program (VAHP) affordable housing dwellings</w:t>
            </w:r>
          </w:p>
        </w:tc>
        <w:tc>
          <w:tcPr>
            <w:tcW w:w="1019" w:type="dxa"/>
            <w:tcBorders>
              <w:top w:val="single" w:sz="4" w:space="0" w:color="BFBFBF" w:themeColor="background1" w:themeShade="BF"/>
              <w:bottom w:val="nil"/>
            </w:tcBorders>
            <w:shd w:val="clear" w:color="auto" w:fill="auto"/>
          </w:tcPr>
          <w:p w14:paraId="4EAC17FB"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nil"/>
            </w:tcBorders>
            <w:shd w:val="clear" w:color="auto" w:fill="auto"/>
          </w:tcPr>
          <w:p w14:paraId="3B20DDDD" w14:textId="77777777" w:rsidR="00661E18" w:rsidRPr="00446050" w:rsidRDefault="00661E18" w:rsidP="00D02912">
            <w:pPr>
              <w:pStyle w:val="ARtabletextright"/>
            </w:pPr>
            <w:r w:rsidRPr="00446050">
              <w:t>630</w:t>
            </w:r>
          </w:p>
        </w:tc>
        <w:tc>
          <w:tcPr>
            <w:tcW w:w="1018" w:type="dxa"/>
            <w:tcBorders>
              <w:top w:val="single" w:sz="4" w:space="0" w:color="BFBFBF" w:themeColor="background1" w:themeShade="BF"/>
              <w:bottom w:val="nil"/>
            </w:tcBorders>
            <w:shd w:val="clear" w:color="auto" w:fill="auto"/>
          </w:tcPr>
          <w:p w14:paraId="76EC2D6A" w14:textId="77777777" w:rsidR="00661E18" w:rsidRPr="00446050" w:rsidRDefault="00661E18" w:rsidP="00D02912">
            <w:pPr>
              <w:pStyle w:val="ARtabletextright"/>
            </w:pPr>
            <w:r w:rsidRPr="00446050">
              <w:t>40</w:t>
            </w:r>
            <w:r>
              <w:t>7</w:t>
            </w:r>
          </w:p>
        </w:tc>
        <w:tc>
          <w:tcPr>
            <w:tcW w:w="1023" w:type="dxa"/>
            <w:tcBorders>
              <w:top w:val="single" w:sz="4" w:space="0" w:color="BFBFBF" w:themeColor="background1" w:themeShade="BF"/>
              <w:bottom w:val="nil"/>
            </w:tcBorders>
            <w:shd w:val="clear" w:color="auto" w:fill="auto"/>
          </w:tcPr>
          <w:p w14:paraId="5D973C4F" w14:textId="77777777" w:rsidR="00661E18" w:rsidRPr="00446050" w:rsidRDefault="00661E18" w:rsidP="00D02912">
            <w:pPr>
              <w:pStyle w:val="ARtabletextright"/>
            </w:pPr>
            <w:r w:rsidRPr="00446050">
              <w:t>-35.6%</w:t>
            </w:r>
          </w:p>
        </w:tc>
        <w:tc>
          <w:tcPr>
            <w:tcW w:w="803" w:type="dxa"/>
            <w:tcBorders>
              <w:top w:val="single" w:sz="4" w:space="0" w:color="BFBFBF" w:themeColor="background1" w:themeShade="BF"/>
              <w:bottom w:val="nil"/>
            </w:tcBorders>
            <w:shd w:val="clear" w:color="auto" w:fill="auto"/>
          </w:tcPr>
          <w:p w14:paraId="0DF185D5" w14:textId="77777777" w:rsidR="00661E18" w:rsidRPr="00446050" w:rsidRDefault="00661E18" w:rsidP="00D02912">
            <w:pPr>
              <w:pStyle w:val="ARtableperformancesymbol"/>
              <w:rPr>
                <w:rFonts w:eastAsia="Wingdings" w:cs="Wingdings"/>
              </w:rPr>
            </w:pPr>
            <w:r w:rsidRPr="00446050">
              <w:rPr>
                <w:rFonts w:eastAsia="Wingdings" w:cs="Wingdings"/>
              </w:rPr>
              <w:t></w:t>
            </w:r>
          </w:p>
        </w:tc>
      </w:tr>
      <w:tr w:rsidR="00661E18" w:rsidRPr="00446050" w14:paraId="7BE5536F" w14:textId="77777777" w:rsidTr="00D02912">
        <w:trPr>
          <w:gridAfter w:val="1"/>
          <w:wAfter w:w="6" w:type="dxa"/>
          <w:cantSplit/>
        </w:trPr>
        <w:tc>
          <w:tcPr>
            <w:tcW w:w="9626" w:type="dxa"/>
            <w:gridSpan w:val="6"/>
            <w:tcBorders>
              <w:top w:val="nil"/>
              <w:bottom w:val="single" w:sz="2" w:space="0" w:color="A6A6A6" w:themeColor="accent5"/>
            </w:tcBorders>
            <w:shd w:val="clear" w:color="auto" w:fill="auto"/>
          </w:tcPr>
          <w:p w14:paraId="187281AC" w14:textId="77777777" w:rsidR="00661E18" w:rsidRPr="00446050" w:rsidRDefault="00661E18" w:rsidP="00D02912">
            <w:pPr>
              <w:pStyle w:val="ARtablenoteindent"/>
            </w:pPr>
            <w:r w:rsidRPr="00446050">
              <w:t>The measure has not met the target due to a focus in the year on delivering social housing to address Victorian Housing Register demand.</w:t>
            </w:r>
          </w:p>
        </w:tc>
      </w:tr>
      <w:tr w:rsidR="00661E18" w:rsidRPr="00446050" w14:paraId="2B1BBD1C" w14:textId="77777777" w:rsidTr="00D02912">
        <w:trPr>
          <w:gridAfter w:val="1"/>
          <w:wAfter w:w="6" w:type="dxa"/>
          <w:cantSplit/>
        </w:trPr>
        <w:tc>
          <w:tcPr>
            <w:tcW w:w="4745" w:type="dxa"/>
            <w:tcBorders>
              <w:top w:val="single" w:sz="2" w:space="0" w:color="A6A6A6" w:themeColor="accent5"/>
              <w:bottom w:val="nil"/>
            </w:tcBorders>
            <w:shd w:val="clear" w:color="auto" w:fill="auto"/>
            <w:hideMark/>
          </w:tcPr>
          <w:p w14:paraId="27BED31F" w14:textId="77777777" w:rsidR="00661E18" w:rsidRPr="00446050" w:rsidRDefault="00661E18" w:rsidP="00D02912">
            <w:pPr>
              <w:pStyle w:val="ARtabletext"/>
            </w:pPr>
            <w:bookmarkStart w:id="151" w:name="_Hlk174719714"/>
            <w:r w:rsidRPr="00446050">
              <w:t>Number of family violence victims who receive a refuge</w:t>
            </w:r>
            <w:r>
              <w:t> </w:t>
            </w:r>
            <w:r w:rsidRPr="00446050">
              <w:t>response</w:t>
            </w:r>
          </w:p>
        </w:tc>
        <w:tc>
          <w:tcPr>
            <w:tcW w:w="1019" w:type="dxa"/>
            <w:tcBorders>
              <w:top w:val="single" w:sz="2" w:space="0" w:color="A6A6A6" w:themeColor="accent5"/>
              <w:bottom w:val="nil"/>
            </w:tcBorders>
            <w:shd w:val="clear" w:color="auto" w:fill="auto"/>
            <w:hideMark/>
          </w:tcPr>
          <w:p w14:paraId="5EB6013C" w14:textId="77777777" w:rsidR="00661E18" w:rsidRPr="00446050" w:rsidRDefault="00661E18" w:rsidP="00D02912">
            <w:pPr>
              <w:pStyle w:val="ARtabletext"/>
            </w:pPr>
            <w:r w:rsidRPr="00446050">
              <w:t>number</w:t>
            </w:r>
          </w:p>
        </w:tc>
        <w:tc>
          <w:tcPr>
            <w:tcW w:w="1018" w:type="dxa"/>
            <w:tcBorders>
              <w:top w:val="single" w:sz="2" w:space="0" w:color="A6A6A6" w:themeColor="accent5"/>
              <w:bottom w:val="nil"/>
            </w:tcBorders>
            <w:shd w:val="clear" w:color="auto" w:fill="auto"/>
            <w:hideMark/>
          </w:tcPr>
          <w:p w14:paraId="075A44C0" w14:textId="77777777" w:rsidR="00661E18" w:rsidRPr="00446050" w:rsidRDefault="00661E18" w:rsidP="00D02912">
            <w:pPr>
              <w:pStyle w:val="ARtabletextright"/>
            </w:pPr>
            <w:r w:rsidRPr="00446050">
              <w:t>1,061</w:t>
            </w:r>
          </w:p>
        </w:tc>
        <w:tc>
          <w:tcPr>
            <w:tcW w:w="1018" w:type="dxa"/>
            <w:tcBorders>
              <w:top w:val="single" w:sz="2" w:space="0" w:color="A6A6A6" w:themeColor="accent5"/>
              <w:bottom w:val="nil"/>
            </w:tcBorders>
            <w:shd w:val="clear" w:color="auto" w:fill="auto"/>
            <w:hideMark/>
          </w:tcPr>
          <w:p w14:paraId="2D0C2715" w14:textId="77777777" w:rsidR="00661E18" w:rsidRPr="00446050" w:rsidRDefault="00661E18" w:rsidP="00D02912">
            <w:pPr>
              <w:pStyle w:val="ARtabletextright"/>
            </w:pPr>
            <w:r w:rsidRPr="00446050">
              <w:t>969</w:t>
            </w:r>
          </w:p>
        </w:tc>
        <w:tc>
          <w:tcPr>
            <w:tcW w:w="1023" w:type="dxa"/>
            <w:tcBorders>
              <w:top w:val="single" w:sz="2" w:space="0" w:color="A6A6A6" w:themeColor="accent5"/>
              <w:bottom w:val="nil"/>
            </w:tcBorders>
            <w:shd w:val="clear" w:color="auto" w:fill="auto"/>
          </w:tcPr>
          <w:p w14:paraId="46442659" w14:textId="77777777" w:rsidR="00661E18" w:rsidRPr="00446050" w:rsidRDefault="00661E18" w:rsidP="00D02912">
            <w:pPr>
              <w:pStyle w:val="ARtabletextright"/>
            </w:pPr>
            <w:r w:rsidRPr="00446050">
              <w:t>-8.7%</w:t>
            </w:r>
          </w:p>
        </w:tc>
        <w:tc>
          <w:tcPr>
            <w:tcW w:w="803" w:type="dxa"/>
            <w:tcBorders>
              <w:top w:val="single" w:sz="2" w:space="0" w:color="A6A6A6" w:themeColor="accent5"/>
              <w:bottom w:val="nil"/>
            </w:tcBorders>
            <w:shd w:val="clear" w:color="auto" w:fill="auto"/>
            <w:hideMark/>
          </w:tcPr>
          <w:p w14:paraId="3F7FF661"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4982FD5F" w14:textId="77777777" w:rsidTr="00D02912">
        <w:trPr>
          <w:gridAfter w:val="1"/>
          <w:wAfter w:w="6" w:type="dxa"/>
          <w:cantSplit/>
        </w:trPr>
        <w:tc>
          <w:tcPr>
            <w:tcW w:w="9626" w:type="dxa"/>
            <w:gridSpan w:val="6"/>
            <w:tcBorders>
              <w:top w:val="nil"/>
              <w:bottom w:val="single" w:sz="4" w:space="0" w:color="BFBFBF" w:themeColor="background1" w:themeShade="BF"/>
            </w:tcBorders>
            <w:shd w:val="clear" w:color="auto" w:fill="auto"/>
          </w:tcPr>
          <w:p w14:paraId="623294CA" w14:textId="2909C8EF" w:rsidR="00661E18" w:rsidRPr="00446050" w:rsidRDefault="00661E18" w:rsidP="00D02912">
            <w:pPr>
              <w:pStyle w:val="ARtablenoteindent"/>
              <w:rPr>
                <w:color w:val="000000" w:themeColor="text1"/>
              </w:rPr>
            </w:pPr>
            <w:r w:rsidRPr="00446050">
              <w:rPr>
                <w:color w:val="000000" w:themeColor="text1"/>
              </w:rPr>
              <w:t>The 2023</w:t>
            </w:r>
            <w:r>
              <w:rPr>
                <w:color w:val="000000" w:themeColor="text1"/>
              </w:rPr>
              <w:t>–</w:t>
            </w:r>
            <w:r w:rsidRPr="00446050">
              <w:rPr>
                <w:color w:val="000000" w:themeColor="text1"/>
              </w:rPr>
              <w:t>24 outcome is lower than the target as multiple refuge places are still in development and expected to be constructed by the completion of the refuge redevelopment program.</w:t>
            </w:r>
            <w:r w:rsidR="00411292" w:rsidRPr="00DA0EB1">
              <w:t xml:space="preserve"> Under the Family Violence Crisis Response Model, which has been operating since August 2023, all victim survivors in crisis can receive immediate support and emergency accommodation (which may include a motel), if needed, no matter which specialist family violence service they access, along with face-to-face support from a local family violence support service, wherever they are accommodated and at any time of day or night</w:t>
            </w:r>
            <w:r w:rsidR="00411292">
              <w:t>.</w:t>
            </w:r>
          </w:p>
        </w:tc>
      </w:tr>
      <w:bookmarkEnd w:id="151"/>
      <w:tr w:rsidR="00661E18" w:rsidRPr="00446050" w14:paraId="57AA263E" w14:textId="77777777" w:rsidTr="00D02912">
        <w:trPr>
          <w:cantSplit/>
        </w:trPr>
        <w:tc>
          <w:tcPr>
            <w:tcW w:w="4745" w:type="dxa"/>
            <w:tcBorders>
              <w:top w:val="single" w:sz="4" w:space="0" w:color="BFBFBF" w:themeColor="background1" w:themeShade="BF"/>
              <w:bottom w:val="nil"/>
            </w:tcBorders>
            <w:shd w:val="clear" w:color="auto" w:fill="auto"/>
            <w:hideMark/>
          </w:tcPr>
          <w:p w14:paraId="413F063F" w14:textId="77777777" w:rsidR="00661E18" w:rsidRPr="00446050" w:rsidRDefault="00661E18" w:rsidP="00D02912">
            <w:pPr>
              <w:pStyle w:val="ARtabletext"/>
            </w:pPr>
            <w:r w:rsidRPr="00446050">
              <w:t>Number of nights of refuge accommodation provided to victims of family violence</w:t>
            </w:r>
          </w:p>
        </w:tc>
        <w:tc>
          <w:tcPr>
            <w:tcW w:w="1019" w:type="dxa"/>
            <w:tcBorders>
              <w:top w:val="single" w:sz="4" w:space="0" w:color="BFBFBF" w:themeColor="background1" w:themeShade="BF"/>
              <w:bottom w:val="nil"/>
            </w:tcBorders>
            <w:shd w:val="clear" w:color="auto" w:fill="auto"/>
            <w:hideMark/>
          </w:tcPr>
          <w:p w14:paraId="29DF6579"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nil"/>
            </w:tcBorders>
            <w:shd w:val="clear" w:color="auto" w:fill="auto"/>
            <w:hideMark/>
          </w:tcPr>
          <w:p w14:paraId="7A448A7A" w14:textId="77777777" w:rsidR="00661E18" w:rsidRPr="00446050" w:rsidRDefault="00661E18" w:rsidP="00D02912">
            <w:pPr>
              <w:pStyle w:val="ARtabletextright"/>
            </w:pPr>
            <w:r w:rsidRPr="00446050">
              <w:t>54,109</w:t>
            </w:r>
          </w:p>
        </w:tc>
        <w:tc>
          <w:tcPr>
            <w:tcW w:w="1018" w:type="dxa"/>
            <w:tcBorders>
              <w:top w:val="single" w:sz="4" w:space="0" w:color="BFBFBF" w:themeColor="background1" w:themeShade="BF"/>
              <w:bottom w:val="nil"/>
            </w:tcBorders>
            <w:shd w:val="clear" w:color="auto" w:fill="auto"/>
            <w:hideMark/>
          </w:tcPr>
          <w:p w14:paraId="32815B03" w14:textId="77777777" w:rsidR="00661E18" w:rsidRPr="00446050" w:rsidRDefault="00661E18" w:rsidP="00D02912">
            <w:pPr>
              <w:pStyle w:val="ARtabletextright"/>
            </w:pPr>
            <w:r w:rsidRPr="00446050">
              <w:t>59,965</w:t>
            </w:r>
          </w:p>
        </w:tc>
        <w:tc>
          <w:tcPr>
            <w:tcW w:w="1023" w:type="dxa"/>
            <w:tcBorders>
              <w:top w:val="single" w:sz="4" w:space="0" w:color="BFBFBF" w:themeColor="background1" w:themeShade="BF"/>
              <w:bottom w:val="nil"/>
            </w:tcBorders>
            <w:shd w:val="clear" w:color="auto" w:fill="auto"/>
          </w:tcPr>
          <w:p w14:paraId="278D6320" w14:textId="77777777" w:rsidR="00661E18" w:rsidRPr="00446050" w:rsidRDefault="00661E18" w:rsidP="00D02912">
            <w:pPr>
              <w:pStyle w:val="ARtabletextright"/>
            </w:pPr>
            <w:r w:rsidRPr="00446050">
              <w:t>10.8%</w:t>
            </w:r>
          </w:p>
        </w:tc>
        <w:tc>
          <w:tcPr>
            <w:tcW w:w="809" w:type="dxa"/>
            <w:gridSpan w:val="2"/>
            <w:tcBorders>
              <w:top w:val="single" w:sz="4" w:space="0" w:color="BFBFBF" w:themeColor="background1" w:themeShade="BF"/>
              <w:bottom w:val="nil"/>
            </w:tcBorders>
            <w:shd w:val="clear" w:color="auto" w:fill="auto"/>
            <w:hideMark/>
          </w:tcPr>
          <w:p w14:paraId="76207EB7"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0BCCC14D" w14:textId="77777777" w:rsidTr="00D02912">
        <w:trPr>
          <w:cantSplit/>
        </w:trPr>
        <w:tc>
          <w:tcPr>
            <w:tcW w:w="9632" w:type="dxa"/>
            <w:gridSpan w:val="7"/>
            <w:tcBorders>
              <w:top w:val="nil"/>
              <w:bottom w:val="single" w:sz="4" w:space="0" w:color="BFBFBF" w:themeColor="background1" w:themeShade="BF"/>
            </w:tcBorders>
            <w:shd w:val="clear" w:color="auto" w:fill="auto"/>
          </w:tcPr>
          <w:p w14:paraId="358A0ACA" w14:textId="77777777" w:rsidR="00661E18" w:rsidRPr="00446050" w:rsidRDefault="00661E18" w:rsidP="00D02912">
            <w:pPr>
              <w:pStyle w:val="ARtablenoteindent"/>
              <w:rPr>
                <w:color w:val="000000" w:themeColor="text1"/>
              </w:rPr>
            </w:pPr>
            <w:r w:rsidRPr="00446050">
              <w:rPr>
                <w:color w:val="000000" w:themeColor="text1"/>
              </w:rPr>
              <w:t>The 2023</w:t>
            </w:r>
            <w:r>
              <w:rPr>
                <w:color w:val="000000" w:themeColor="text1"/>
              </w:rPr>
              <w:t>–</w:t>
            </w:r>
            <w:r w:rsidRPr="00446050">
              <w:rPr>
                <w:color w:val="000000" w:themeColor="text1"/>
              </w:rPr>
              <w:t>24 outcome exceeded the target mainly because victims of family violence stayed longer in refuges than the anticipated 56 days in core and cluster refuges or more than 10 days in short-stay refuges because exit pathways out of refuge are extremely limited due to the housing shortage. In addition, there has been a delay in additional refuge capacity coming online through the refuge redevelopment program.</w:t>
            </w:r>
          </w:p>
        </w:tc>
      </w:tr>
      <w:tr w:rsidR="00661E18" w:rsidRPr="00446050" w14:paraId="7B7F0518" w14:textId="77777777" w:rsidTr="00D02912">
        <w:trPr>
          <w:cantSplit/>
        </w:trPr>
        <w:tc>
          <w:tcPr>
            <w:tcW w:w="4745" w:type="dxa"/>
            <w:tcBorders>
              <w:top w:val="single" w:sz="4" w:space="0" w:color="BFBFBF" w:themeColor="background1" w:themeShade="BF"/>
              <w:bottom w:val="nil"/>
            </w:tcBorders>
            <w:shd w:val="clear" w:color="auto" w:fill="auto"/>
            <w:hideMark/>
          </w:tcPr>
          <w:p w14:paraId="49205940" w14:textId="6C7BDD17" w:rsidR="00661E18" w:rsidRPr="00446050" w:rsidRDefault="00661E18" w:rsidP="00D02912">
            <w:pPr>
              <w:pStyle w:val="ARtabletext"/>
            </w:pPr>
            <w:r w:rsidRPr="00446050">
              <w:t>Number of calls responded to by the statewide 24/7 family violence victim/survivor crisis service</w:t>
            </w:r>
          </w:p>
        </w:tc>
        <w:tc>
          <w:tcPr>
            <w:tcW w:w="1019" w:type="dxa"/>
            <w:tcBorders>
              <w:top w:val="single" w:sz="4" w:space="0" w:color="BFBFBF" w:themeColor="background1" w:themeShade="BF"/>
              <w:bottom w:val="nil"/>
            </w:tcBorders>
            <w:shd w:val="clear" w:color="auto" w:fill="auto"/>
            <w:hideMark/>
          </w:tcPr>
          <w:p w14:paraId="790CC184" w14:textId="77777777" w:rsidR="00661E18" w:rsidRPr="00446050" w:rsidRDefault="00661E18" w:rsidP="00D02912">
            <w:pPr>
              <w:pStyle w:val="ARtabletext"/>
            </w:pPr>
            <w:r w:rsidRPr="00446050">
              <w:t>number</w:t>
            </w:r>
          </w:p>
        </w:tc>
        <w:tc>
          <w:tcPr>
            <w:tcW w:w="1018" w:type="dxa"/>
            <w:tcBorders>
              <w:top w:val="single" w:sz="4" w:space="0" w:color="BFBFBF" w:themeColor="background1" w:themeShade="BF"/>
              <w:bottom w:val="nil"/>
            </w:tcBorders>
            <w:shd w:val="clear" w:color="auto" w:fill="auto"/>
            <w:hideMark/>
          </w:tcPr>
          <w:p w14:paraId="7968D9EA" w14:textId="77777777" w:rsidR="00661E18" w:rsidRPr="00446050" w:rsidRDefault="00661E18" w:rsidP="00D02912">
            <w:pPr>
              <w:pStyle w:val="ARtabletextright"/>
            </w:pPr>
            <w:r w:rsidRPr="00446050">
              <w:t>60,000</w:t>
            </w:r>
          </w:p>
        </w:tc>
        <w:tc>
          <w:tcPr>
            <w:tcW w:w="1018" w:type="dxa"/>
            <w:tcBorders>
              <w:top w:val="single" w:sz="4" w:space="0" w:color="BFBFBF" w:themeColor="background1" w:themeShade="BF"/>
              <w:bottom w:val="nil"/>
            </w:tcBorders>
            <w:shd w:val="clear" w:color="auto" w:fill="auto"/>
            <w:hideMark/>
          </w:tcPr>
          <w:p w14:paraId="467CD4AD" w14:textId="77777777" w:rsidR="00661E18" w:rsidRPr="00446050" w:rsidRDefault="00661E18" w:rsidP="00D02912">
            <w:pPr>
              <w:pStyle w:val="ARtabletextright"/>
            </w:pPr>
            <w:r w:rsidRPr="00446050">
              <w:t>51,460</w:t>
            </w:r>
          </w:p>
        </w:tc>
        <w:tc>
          <w:tcPr>
            <w:tcW w:w="1023" w:type="dxa"/>
            <w:tcBorders>
              <w:top w:val="single" w:sz="4" w:space="0" w:color="BFBFBF" w:themeColor="background1" w:themeShade="BF"/>
              <w:bottom w:val="nil"/>
            </w:tcBorders>
            <w:shd w:val="clear" w:color="auto" w:fill="auto"/>
          </w:tcPr>
          <w:p w14:paraId="3DF7D5A0" w14:textId="77777777" w:rsidR="00661E18" w:rsidRPr="00446050" w:rsidRDefault="00661E18" w:rsidP="00D02912">
            <w:pPr>
              <w:pStyle w:val="ARtabletextright"/>
            </w:pPr>
            <w:r w:rsidRPr="00446050">
              <w:t>-14.2%</w:t>
            </w:r>
          </w:p>
        </w:tc>
        <w:tc>
          <w:tcPr>
            <w:tcW w:w="809" w:type="dxa"/>
            <w:gridSpan w:val="2"/>
            <w:tcBorders>
              <w:top w:val="single" w:sz="4" w:space="0" w:color="BFBFBF" w:themeColor="background1" w:themeShade="BF"/>
              <w:bottom w:val="nil"/>
            </w:tcBorders>
            <w:shd w:val="clear" w:color="auto" w:fill="auto"/>
            <w:hideMark/>
          </w:tcPr>
          <w:p w14:paraId="67CB40BA"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5FE86C68" w14:textId="77777777" w:rsidTr="00D02912">
        <w:trPr>
          <w:cantSplit/>
        </w:trPr>
        <w:tc>
          <w:tcPr>
            <w:tcW w:w="9632" w:type="dxa"/>
            <w:gridSpan w:val="7"/>
            <w:tcBorders>
              <w:top w:val="nil"/>
              <w:bottom w:val="single" w:sz="4" w:space="0" w:color="BFBFBF" w:themeColor="background1" w:themeShade="BF"/>
            </w:tcBorders>
            <w:shd w:val="clear" w:color="auto" w:fill="auto"/>
          </w:tcPr>
          <w:p w14:paraId="52F36EA4" w14:textId="7301744C" w:rsidR="00661E18" w:rsidRPr="00446050" w:rsidRDefault="00661E18" w:rsidP="00D02912">
            <w:pPr>
              <w:pStyle w:val="ARtablenoteindent"/>
              <w:rPr>
                <w:color w:val="000000" w:themeColor="text1"/>
              </w:rPr>
            </w:pPr>
            <w:r w:rsidRPr="00446050">
              <w:rPr>
                <w:color w:val="000000" w:themeColor="text1"/>
              </w:rPr>
              <w:t>The 2023</w:t>
            </w:r>
            <w:r>
              <w:rPr>
                <w:color w:val="000000" w:themeColor="text1"/>
              </w:rPr>
              <w:t>–</w:t>
            </w:r>
            <w:r w:rsidRPr="00446050">
              <w:rPr>
                <w:color w:val="000000" w:themeColor="text1"/>
              </w:rPr>
              <w:t xml:space="preserve">24 outcome is lower than target due to clients accessing crisis support through multiple contact pathways, not just through calls to Safe Steps as recorded under this measure. Alternative pathways operating under the </w:t>
            </w:r>
            <w:r w:rsidR="00711AE6">
              <w:rPr>
                <w:color w:val="000000" w:themeColor="text1"/>
              </w:rPr>
              <w:t>‘</w:t>
            </w:r>
            <w:r w:rsidRPr="00446050">
              <w:rPr>
                <w:color w:val="000000" w:themeColor="text1"/>
              </w:rPr>
              <w:t>no wrong door</w:t>
            </w:r>
            <w:r w:rsidR="00711AE6">
              <w:rPr>
                <w:color w:val="000000" w:themeColor="text1"/>
              </w:rPr>
              <w:t>’</w:t>
            </w:r>
            <w:r w:rsidRPr="00446050">
              <w:rPr>
                <w:color w:val="000000" w:themeColor="text1"/>
              </w:rPr>
              <w:t xml:space="preserve"> approach for crisis support include local specialist family violence services and The Orange Door.</w:t>
            </w:r>
          </w:p>
        </w:tc>
      </w:tr>
      <w:tr w:rsidR="00661E18" w:rsidRPr="00446050" w14:paraId="29873DC4" w14:textId="77777777" w:rsidTr="00D02912">
        <w:trPr>
          <w:gridAfter w:val="1"/>
          <w:wAfter w:w="6" w:type="dxa"/>
          <w:cantSplit/>
        </w:trPr>
        <w:tc>
          <w:tcPr>
            <w:tcW w:w="9626" w:type="dxa"/>
            <w:gridSpan w:val="6"/>
            <w:tcBorders>
              <w:top w:val="single" w:sz="4" w:space="0" w:color="auto"/>
              <w:bottom w:val="nil"/>
            </w:tcBorders>
            <w:shd w:val="clear" w:color="auto" w:fill="auto"/>
            <w:noWrap/>
          </w:tcPr>
          <w:p w14:paraId="7293C205" w14:textId="77777777" w:rsidR="00661E18" w:rsidRPr="00A274A7" w:rsidRDefault="00661E18" w:rsidP="00587395">
            <w:pPr>
              <w:pStyle w:val="ARtablegreybold"/>
              <w:pageBreakBefore/>
            </w:pPr>
            <w:r w:rsidRPr="00446050">
              <w:t>Quality</w:t>
            </w:r>
          </w:p>
        </w:tc>
      </w:tr>
      <w:tr w:rsidR="00661E18" w:rsidRPr="00446050" w14:paraId="4D23B4DA" w14:textId="77777777" w:rsidTr="00D02912">
        <w:trPr>
          <w:gridAfter w:val="1"/>
          <w:wAfter w:w="6" w:type="dxa"/>
          <w:cantSplit/>
        </w:trPr>
        <w:tc>
          <w:tcPr>
            <w:tcW w:w="4745" w:type="dxa"/>
            <w:tcBorders>
              <w:top w:val="nil"/>
              <w:bottom w:val="single" w:sz="4" w:space="0" w:color="BFBFBF" w:themeColor="background1" w:themeShade="BF"/>
            </w:tcBorders>
            <w:shd w:val="clear" w:color="auto" w:fill="auto"/>
          </w:tcPr>
          <w:p w14:paraId="44595D19" w14:textId="77777777" w:rsidR="00661E18" w:rsidRPr="00446050" w:rsidRDefault="00661E18" w:rsidP="00D02912">
            <w:pPr>
              <w:pStyle w:val="ARtabletext"/>
            </w:pPr>
            <w:r w:rsidRPr="00446050">
              <w:t>Proportion of homelessness services clients that engage with support services and access or maintain housing</w:t>
            </w:r>
          </w:p>
        </w:tc>
        <w:tc>
          <w:tcPr>
            <w:tcW w:w="1019" w:type="dxa"/>
            <w:tcBorders>
              <w:top w:val="nil"/>
              <w:bottom w:val="single" w:sz="4" w:space="0" w:color="BFBFBF" w:themeColor="background1" w:themeShade="BF"/>
            </w:tcBorders>
            <w:shd w:val="clear" w:color="auto" w:fill="auto"/>
          </w:tcPr>
          <w:p w14:paraId="33555A34" w14:textId="77777777" w:rsidR="00661E18" w:rsidRPr="00446050" w:rsidRDefault="00661E18" w:rsidP="00D02912">
            <w:pPr>
              <w:pStyle w:val="ARtabletext"/>
            </w:pPr>
            <w:r w:rsidRPr="00446050">
              <w:t>per cent</w:t>
            </w:r>
          </w:p>
        </w:tc>
        <w:tc>
          <w:tcPr>
            <w:tcW w:w="1018" w:type="dxa"/>
            <w:tcBorders>
              <w:top w:val="nil"/>
              <w:bottom w:val="single" w:sz="4" w:space="0" w:color="BFBFBF" w:themeColor="background1" w:themeShade="BF"/>
            </w:tcBorders>
            <w:shd w:val="clear" w:color="auto" w:fill="auto"/>
          </w:tcPr>
          <w:p w14:paraId="6C7259B9" w14:textId="77777777" w:rsidR="00661E18" w:rsidRPr="00446050" w:rsidRDefault="00661E18" w:rsidP="00D02912">
            <w:pPr>
              <w:pStyle w:val="ARtabletextright"/>
            </w:pPr>
            <w:r w:rsidRPr="00446050">
              <w:t>77</w:t>
            </w:r>
          </w:p>
        </w:tc>
        <w:tc>
          <w:tcPr>
            <w:tcW w:w="1018" w:type="dxa"/>
            <w:tcBorders>
              <w:top w:val="nil"/>
              <w:bottom w:val="single" w:sz="4" w:space="0" w:color="BFBFBF" w:themeColor="background1" w:themeShade="BF"/>
            </w:tcBorders>
            <w:shd w:val="clear" w:color="auto" w:fill="auto"/>
          </w:tcPr>
          <w:p w14:paraId="79E9106E" w14:textId="77777777" w:rsidR="00661E18" w:rsidRPr="00446050" w:rsidRDefault="00661E18" w:rsidP="00D02912">
            <w:pPr>
              <w:pStyle w:val="ARtabletextright"/>
            </w:pPr>
            <w:r w:rsidRPr="00446050">
              <w:t>76</w:t>
            </w:r>
          </w:p>
        </w:tc>
        <w:tc>
          <w:tcPr>
            <w:tcW w:w="1023" w:type="dxa"/>
            <w:tcBorders>
              <w:top w:val="nil"/>
              <w:bottom w:val="single" w:sz="4" w:space="0" w:color="BFBFBF" w:themeColor="background1" w:themeShade="BF"/>
            </w:tcBorders>
            <w:shd w:val="clear" w:color="auto" w:fill="auto"/>
          </w:tcPr>
          <w:p w14:paraId="7D284079" w14:textId="77777777" w:rsidR="00661E18" w:rsidRPr="00446050" w:rsidRDefault="00661E18" w:rsidP="00D02912">
            <w:pPr>
              <w:pStyle w:val="ARtabletextright"/>
            </w:pPr>
            <w:r w:rsidRPr="00446050">
              <w:t>-1.3%</w:t>
            </w:r>
          </w:p>
        </w:tc>
        <w:tc>
          <w:tcPr>
            <w:tcW w:w="803" w:type="dxa"/>
            <w:tcBorders>
              <w:top w:val="nil"/>
              <w:bottom w:val="single" w:sz="4" w:space="0" w:color="BFBFBF" w:themeColor="background1" w:themeShade="BF"/>
            </w:tcBorders>
            <w:shd w:val="clear" w:color="auto" w:fill="auto"/>
          </w:tcPr>
          <w:p w14:paraId="0C3E4D2F" w14:textId="77777777" w:rsidR="00661E18" w:rsidRPr="00446050" w:rsidRDefault="00661E18" w:rsidP="00D02912">
            <w:pPr>
              <w:pStyle w:val="ARtableperformancesymbol"/>
              <w:rPr>
                <w:rFonts w:hint="eastAsia"/>
                <w:lang w:val="en-AU"/>
              </w:rPr>
            </w:pPr>
            <w:r w:rsidRPr="00446050">
              <w:t>□</w:t>
            </w:r>
          </w:p>
        </w:tc>
      </w:tr>
      <w:tr w:rsidR="00661E18" w:rsidRPr="00446050" w14:paraId="0ABB9551" w14:textId="77777777" w:rsidTr="00D02912">
        <w:trPr>
          <w:gridAfter w:val="1"/>
          <w:wAfter w:w="6" w:type="dxa"/>
          <w:cantSplit/>
        </w:trPr>
        <w:tc>
          <w:tcPr>
            <w:tcW w:w="4745" w:type="dxa"/>
            <w:tcBorders>
              <w:top w:val="nil"/>
              <w:bottom w:val="single" w:sz="4" w:space="0" w:color="BFBFBF" w:themeColor="background1" w:themeShade="BF"/>
            </w:tcBorders>
            <w:shd w:val="clear" w:color="auto" w:fill="auto"/>
          </w:tcPr>
          <w:p w14:paraId="6DDDF28C" w14:textId="77777777" w:rsidR="00661E18" w:rsidRPr="00446050" w:rsidRDefault="00661E18" w:rsidP="00D02912">
            <w:pPr>
              <w:pStyle w:val="ARtabletext"/>
            </w:pPr>
            <w:r w:rsidRPr="00446050">
              <w:t>Social housing tenants satisfied with completed urgent maintenance works</w:t>
            </w:r>
          </w:p>
        </w:tc>
        <w:tc>
          <w:tcPr>
            <w:tcW w:w="1019" w:type="dxa"/>
            <w:tcBorders>
              <w:top w:val="nil"/>
              <w:bottom w:val="single" w:sz="4" w:space="0" w:color="BFBFBF" w:themeColor="background1" w:themeShade="BF"/>
            </w:tcBorders>
            <w:shd w:val="clear" w:color="auto" w:fill="auto"/>
          </w:tcPr>
          <w:p w14:paraId="76AEDF84" w14:textId="77777777" w:rsidR="00661E18" w:rsidRPr="00446050" w:rsidRDefault="00661E18" w:rsidP="00D02912">
            <w:pPr>
              <w:pStyle w:val="ARtabletext"/>
            </w:pPr>
            <w:r w:rsidRPr="00446050">
              <w:t>per cent</w:t>
            </w:r>
          </w:p>
        </w:tc>
        <w:tc>
          <w:tcPr>
            <w:tcW w:w="1018" w:type="dxa"/>
            <w:tcBorders>
              <w:top w:val="nil"/>
              <w:bottom w:val="single" w:sz="4" w:space="0" w:color="BFBFBF" w:themeColor="background1" w:themeShade="BF"/>
            </w:tcBorders>
            <w:shd w:val="clear" w:color="auto" w:fill="auto"/>
          </w:tcPr>
          <w:p w14:paraId="2DC1B221" w14:textId="354D12E4" w:rsidR="00661E18" w:rsidRPr="00446050" w:rsidRDefault="00661E18" w:rsidP="00D02912">
            <w:pPr>
              <w:pStyle w:val="ARtabletextright"/>
            </w:pPr>
            <w:r w:rsidRPr="00446050">
              <w:t>85</w:t>
            </w:r>
            <w:r w:rsidR="00C060D7">
              <w:t>.0</w:t>
            </w:r>
          </w:p>
        </w:tc>
        <w:tc>
          <w:tcPr>
            <w:tcW w:w="1018" w:type="dxa"/>
            <w:tcBorders>
              <w:top w:val="nil"/>
              <w:bottom w:val="single" w:sz="4" w:space="0" w:color="BFBFBF" w:themeColor="background1" w:themeShade="BF"/>
            </w:tcBorders>
            <w:shd w:val="clear" w:color="auto" w:fill="auto"/>
          </w:tcPr>
          <w:p w14:paraId="7ADB7A78" w14:textId="77777777" w:rsidR="00661E18" w:rsidRPr="00446050" w:rsidRDefault="00661E18" w:rsidP="00D02912">
            <w:pPr>
              <w:pStyle w:val="ARtabletextright"/>
            </w:pPr>
            <w:r w:rsidRPr="00446050">
              <w:t>86.7</w:t>
            </w:r>
          </w:p>
        </w:tc>
        <w:tc>
          <w:tcPr>
            <w:tcW w:w="1023" w:type="dxa"/>
            <w:tcBorders>
              <w:top w:val="nil"/>
              <w:bottom w:val="single" w:sz="4" w:space="0" w:color="BFBFBF" w:themeColor="background1" w:themeShade="BF"/>
            </w:tcBorders>
            <w:shd w:val="clear" w:color="auto" w:fill="auto"/>
          </w:tcPr>
          <w:p w14:paraId="50F64FAB" w14:textId="77777777" w:rsidR="00661E18" w:rsidRPr="00446050" w:rsidRDefault="00661E18" w:rsidP="00D02912">
            <w:pPr>
              <w:pStyle w:val="ARtabletextright"/>
            </w:pPr>
            <w:r w:rsidRPr="00446050">
              <w:t>2%</w:t>
            </w:r>
          </w:p>
        </w:tc>
        <w:tc>
          <w:tcPr>
            <w:tcW w:w="803" w:type="dxa"/>
            <w:tcBorders>
              <w:top w:val="nil"/>
              <w:bottom w:val="single" w:sz="4" w:space="0" w:color="BFBFBF" w:themeColor="background1" w:themeShade="BF"/>
            </w:tcBorders>
            <w:shd w:val="clear" w:color="auto" w:fill="auto"/>
          </w:tcPr>
          <w:p w14:paraId="145B398D" w14:textId="77777777" w:rsidR="00661E18" w:rsidRPr="00446050" w:rsidRDefault="00661E18" w:rsidP="00D02912">
            <w:pPr>
              <w:pStyle w:val="ARtableperformancesymbol"/>
              <w:rPr>
                <w:rFonts w:eastAsia="Wingdings" w:cs="Wingdings"/>
              </w:rPr>
            </w:pPr>
            <w:r w:rsidRPr="00446050">
              <w:rPr>
                <w:rFonts w:eastAsia="Wingdings" w:cs="Wingdings"/>
              </w:rPr>
              <w:t></w:t>
            </w:r>
          </w:p>
        </w:tc>
      </w:tr>
      <w:tr w:rsidR="00661E18" w:rsidRPr="00446050" w14:paraId="6E5B3CF3" w14:textId="77777777" w:rsidTr="00D02912">
        <w:trPr>
          <w:cantSplit/>
        </w:trPr>
        <w:tc>
          <w:tcPr>
            <w:tcW w:w="4745" w:type="dxa"/>
            <w:tcBorders>
              <w:top w:val="nil"/>
              <w:bottom w:val="nil"/>
            </w:tcBorders>
            <w:shd w:val="clear" w:color="auto" w:fill="auto"/>
            <w:hideMark/>
          </w:tcPr>
          <w:p w14:paraId="595BF5A7" w14:textId="77777777" w:rsidR="00661E18" w:rsidRPr="00446050" w:rsidRDefault="00661E18" w:rsidP="00D02912">
            <w:pPr>
              <w:pStyle w:val="ARtabletext"/>
            </w:pPr>
            <w:r w:rsidRPr="00446050">
              <w:t xml:space="preserve">Social housing tenants satisfied with completed </w:t>
            </w:r>
            <w:r w:rsidRPr="00446050">
              <w:br/>
              <w:t>non-urgent maintenance works</w:t>
            </w:r>
          </w:p>
        </w:tc>
        <w:tc>
          <w:tcPr>
            <w:tcW w:w="1019" w:type="dxa"/>
            <w:tcBorders>
              <w:top w:val="nil"/>
              <w:bottom w:val="nil"/>
            </w:tcBorders>
            <w:shd w:val="clear" w:color="auto" w:fill="auto"/>
            <w:hideMark/>
          </w:tcPr>
          <w:p w14:paraId="37EBEE78" w14:textId="77777777" w:rsidR="00661E18" w:rsidRPr="00446050" w:rsidRDefault="00661E18" w:rsidP="00D02912">
            <w:pPr>
              <w:pStyle w:val="ARtabletext"/>
            </w:pPr>
            <w:r w:rsidRPr="00446050">
              <w:t>per cent</w:t>
            </w:r>
          </w:p>
        </w:tc>
        <w:tc>
          <w:tcPr>
            <w:tcW w:w="1018" w:type="dxa"/>
            <w:tcBorders>
              <w:top w:val="nil"/>
              <w:bottom w:val="nil"/>
            </w:tcBorders>
            <w:shd w:val="clear" w:color="auto" w:fill="auto"/>
            <w:hideMark/>
          </w:tcPr>
          <w:p w14:paraId="71285386" w14:textId="61D59F7A" w:rsidR="00661E18" w:rsidRPr="00446050" w:rsidRDefault="00661E18" w:rsidP="00D02912">
            <w:pPr>
              <w:pStyle w:val="ARtabletextright"/>
            </w:pPr>
            <w:r w:rsidRPr="00446050">
              <w:t>80</w:t>
            </w:r>
            <w:r w:rsidR="00C060D7">
              <w:t>.0</w:t>
            </w:r>
          </w:p>
        </w:tc>
        <w:tc>
          <w:tcPr>
            <w:tcW w:w="1018" w:type="dxa"/>
            <w:tcBorders>
              <w:top w:val="nil"/>
              <w:bottom w:val="nil"/>
            </w:tcBorders>
            <w:shd w:val="clear" w:color="auto" w:fill="auto"/>
            <w:hideMark/>
          </w:tcPr>
          <w:p w14:paraId="33192508" w14:textId="741CC2E0" w:rsidR="00661E18" w:rsidRPr="00446050" w:rsidRDefault="00661E18" w:rsidP="00D02912">
            <w:pPr>
              <w:pStyle w:val="ARtabletextright"/>
            </w:pPr>
            <w:r w:rsidRPr="00446050">
              <w:t>69.8</w:t>
            </w:r>
          </w:p>
        </w:tc>
        <w:tc>
          <w:tcPr>
            <w:tcW w:w="1023" w:type="dxa"/>
            <w:tcBorders>
              <w:top w:val="nil"/>
              <w:bottom w:val="nil"/>
            </w:tcBorders>
            <w:shd w:val="clear" w:color="auto" w:fill="auto"/>
          </w:tcPr>
          <w:p w14:paraId="66AE665E" w14:textId="77777777" w:rsidR="00661E18" w:rsidRPr="00446050" w:rsidRDefault="00661E18" w:rsidP="00D02912">
            <w:pPr>
              <w:pStyle w:val="ARtabletextright"/>
            </w:pPr>
            <w:r w:rsidRPr="00446050">
              <w:t>-12.8%</w:t>
            </w:r>
          </w:p>
        </w:tc>
        <w:tc>
          <w:tcPr>
            <w:tcW w:w="809" w:type="dxa"/>
            <w:gridSpan w:val="2"/>
            <w:tcBorders>
              <w:top w:val="nil"/>
              <w:bottom w:val="nil"/>
            </w:tcBorders>
            <w:shd w:val="clear" w:color="auto" w:fill="auto"/>
            <w:hideMark/>
          </w:tcPr>
          <w:p w14:paraId="4B9A0268"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14BA5582" w14:textId="77777777" w:rsidTr="00D02912">
        <w:trPr>
          <w:cantSplit/>
        </w:trPr>
        <w:tc>
          <w:tcPr>
            <w:tcW w:w="9632" w:type="dxa"/>
            <w:gridSpan w:val="7"/>
            <w:tcBorders>
              <w:top w:val="nil"/>
              <w:bottom w:val="single" w:sz="4" w:space="0" w:color="auto"/>
            </w:tcBorders>
            <w:shd w:val="clear" w:color="auto" w:fill="auto"/>
            <w:noWrap/>
            <w:hideMark/>
          </w:tcPr>
          <w:p w14:paraId="3D3E2911" w14:textId="32B760DA" w:rsidR="00661E18" w:rsidRPr="00446050" w:rsidRDefault="00661E18" w:rsidP="00D02912">
            <w:pPr>
              <w:pStyle w:val="ARtablenoteindent"/>
            </w:pPr>
            <w:r w:rsidRPr="00446050">
              <w:t>The 2023</w:t>
            </w:r>
            <w:r>
              <w:t>–</w:t>
            </w:r>
            <w:r w:rsidRPr="00446050">
              <w:t>24 result is lower than the target due to a maintenance backlog, yet the satisfaction has progressively improved over 2023</w:t>
            </w:r>
            <w:r>
              <w:t>–</w:t>
            </w:r>
            <w:r w:rsidRPr="00446050">
              <w:t>24 as the</w:t>
            </w:r>
            <w:r>
              <w:t xml:space="preserve"> </w:t>
            </w:r>
            <w:r w:rsidRPr="00446050">
              <w:t>backlog continues to diminish.</w:t>
            </w:r>
          </w:p>
        </w:tc>
      </w:tr>
      <w:tr w:rsidR="00661E18" w:rsidRPr="00446050" w14:paraId="7FF94FB4" w14:textId="77777777" w:rsidTr="00D02912">
        <w:trPr>
          <w:gridAfter w:val="1"/>
          <w:wAfter w:w="6" w:type="dxa"/>
          <w:cantSplit/>
        </w:trPr>
        <w:tc>
          <w:tcPr>
            <w:tcW w:w="9626" w:type="dxa"/>
            <w:gridSpan w:val="6"/>
            <w:tcBorders>
              <w:top w:val="nil"/>
              <w:bottom w:val="nil"/>
            </w:tcBorders>
            <w:shd w:val="clear" w:color="auto" w:fill="auto"/>
            <w:noWrap/>
          </w:tcPr>
          <w:p w14:paraId="4B6F1805" w14:textId="77777777" w:rsidR="00661E18" w:rsidRPr="00A274A7" w:rsidRDefault="00661E18" w:rsidP="00D02912">
            <w:pPr>
              <w:pStyle w:val="ARtablegreybold"/>
            </w:pPr>
            <w:r w:rsidRPr="00446050">
              <w:t>Timeliness</w:t>
            </w:r>
          </w:p>
        </w:tc>
      </w:tr>
      <w:tr w:rsidR="00661E18" w:rsidRPr="00446050" w14:paraId="54459213" w14:textId="77777777" w:rsidTr="00D02912">
        <w:trPr>
          <w:gridAfter w:val="1"/>
          <w:wAfter w:w="6" w:type="dxa"/>
          <w:cantSplit/>
        </w:trPr>
        <w:tc>
          <w:tcPr>
            <w:tcW w:w="4745" w:type="dxa"/>
            <w:tcBorders>
              <w:top w:val="nil"/>
              <w:bottom w:val="nil"/>
            </w:tcBorders>
            <w:shd w:val="clear" w:color="auto" w:fill="auto"/>
            <w:hideMark/>
          </w:tcPr>
          <w:p w14:paraId="1A73AF11" w14:textId="7237B6D6" w:rsidR="00661E18" w:rsidRPr="00446050" w:rsidRDefault="00661E18" w:rsidP="00D02912">
            <w:pPr>
              <w:pStyle w:val="ARtabletext"/>
              <w:keepNext/>
            </w:pPr>
            <w:r w:rsidRPr="00446050">
              <w:t>Average waiting time for public rental housing for those clients who have received priority access housing allocation or a priority transfer</w:t>
            </w:r>
          </w:p>
        </w:tc>
        <w:tc>
          <w:tcPr>
            <w:tcW w:w="1019" w:type="dxa"/>
            <w:tcBorders>
              <w:top w:val="nil"/>
              <w:bottom w:val="nil"/>
            </w:tcBorders>
            <w:shd w:val="clear" w:color="auto" w:fill="auto"/>
            <w:hideMark/>
          </w:tcPr>
          <w:p w14:paraId="630FF09F" w14:textId="77777777" w:rsidR="00661E18" w:rsidRPr="00446050" w:rsidRDefault="00661E18" w:rsidP="00D02912">
            <w:pPr>
              <w:pStyle w:val="ARtabletext"/>
            </w:pPr>
            <w:r w:rsidRPr="00446050">
              <w:t>months</w:t>
            </w:r>
          </w:p>
        </w:tc>
        <w:tc>
          <w:tcPr>
            <w:tcW w:w="1018" w:type="dxa"/>
            <w:tcBorders>
              <w:top w:val="nil"/>
              <w:bottom w:val="nil"/>
            </w:tcBorders>
            <w:shd w:val="clear" w:color="auto" w:fill="auto"/>
            <w:hideMark/>
          </w:tcPr>
          <w:p w14:paraId="758EEE9B" w14:textId="77777777" w:rsidR="00661E18" w:rsidRPr="00446050" w:rsidRDefault="00661E18" w:rsidP="00D02912">
            <w:pPr>
              <w:pStyle w:val="ARtabletextright"/>
            </w:pPr>
            <w:r w:rsidRPr="00446050">
              <w:t>10.5</w:t>
            </w:r>
          </w:p>
        </w:tc>
        <w:tc>
          <w:tcPr>
            <w:tcW w:w="1018" w:type="dxa"/>
            <w:tcBorders>
              <w:top w:val="nil"/>
              <w:bottom w:val="nil"/>
            </w:tcBorders>
            <w:shd w:val="clear" w:color="auto" w:fill="auto"/>
            <w:hideMark/>
          </w:tcPr>
          <w:p w14:paraId="0764B144" w14:textId="77777777" w:rsidR="00661E18" w:rsidRPr="00446050" w:rsidRDefault="00661E18" w:rsidP="00D02912">
            <w:pPr>
              <w:pStyle w:val="ARtabletextright"/>
            </w:pPr>
            <w:r w:rsidRPr="00446050">
              <w:t>19.8</w:t>
            </w:r>
          </w:p>
        </w:tc>
        <w:tc>
          <w:tcPr>
            <w:tcW w:w="1023" w:type="dxa"/>
            <w:tcBorders>
              <w:top w:val="nil"/>
              <w:bottom w:val="nil"/>
            </w:tcBorders>
            <w:shd w:val="clear" w:color="auto" w:fill="auto"/>
          </w:tcPr>
          <w:p w14:paraId="3CF1220B" w14:textId="77777777" w:rsidR="00661E18" w:rsidRPr="00446050" w:rsidRDefault="00661E18" w:rsidP="00D02912">
            <w:pPr>
              <w:pStyle w:val="ARtabletextright"/>
            </w:pPr>
            <w:r w:rsidRPr="00446050">
              <w:t>88.3%</w:t>
            </w:r>
          </w:p>
        </w:tc>
        <w:tc>
          <w:tcPr>
            <w:tcW w:w="803" w:type="dxa"/>
            <w:tcBorders>
              <w:top w:val="nil"/>
              <w:bottom w:val="nil"/>
            </w:tcBorders>
            <w:shd w:val="clear" w:color="auto" w:fill="auto"/>
            <w:hideMark/>
          </w:tcPr>
          <w:p w14:paraId="09B3DD83"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3DDD06B7" w14:textId="77777777" w:rsidTr="00D02912">
        <w:trPr>
          <w:gridAfter w:val="1"/>
          <w:wAfter w:w="6" w:type="dxa"/>
          <w:cantSplit/>
        </w:trPr>
        <w:tc>
          <w:tcPr>
            <w:tcW w:w="9626" w:type="dxa"/>
            <w:gridSpan w:val="6"/>
            <w:tcBorders>
              <w:top w:val="nil"/>
              <w:bottom w:val="single" w:sz="4" w:space="0" w:color="A6A6A6"/>
            </w:tcBorders>
            <w:shd w:val="clear" w:color="auto" w:fill="auto"/>
          </w:tcPr>
          <w:p w14:paraId="0C01D88B" w14:textId="77777777" w:rsidR="00661E18" w:rsidRPr="00446050" w:rsidRDefault="00661E18" w:rsidP="00D02912">
            <w:pPr>
              <w:pStyle w:val="ARtablenoteindent"/>
              <w:rPr>
                <w:rFonts w:eastAsia="Wingdings" w:cs="Arial"/>
              </w:rPr>
            </w:pPr>
            <w:r w:rsidRPr="00446050">
              <w:rPr>
                <w:rFonts w:eastAsia="Wingdings" w:cs="Arial"/>
              </w:rPr>
              <w:t>The waiting time reflects strong demand for social housing, noting there was an increase in allocations over 2023</w:t>
            </w:r>
            <w:r>
              <w:rPr>
                <w:rFonts w:eastAsia="Wingdings" w:cs="Arial"/>
              </w:rPr>
              <w:t>–</w:t>
            </w:r>
            <w:r w:rsidRPr="00446050">
              <w:rPr>
                <w:rFonts w:eastAsia="Wingdings" w:cs="Arial"/>
              </w:rPr>
              <w:t>24.</w:t>
            </w:r>
          </w:p>
        </w:tc>
      </w:tr>
      <w:tr w:rsidR="00661E18" w:rsidRPr="00446050" w14:paraId="64844735" w14:textId="77777777" w:rsidTr="00D02912">
        <w:trPr>
          <w:gridAfter w:val="1"/>
          <w:wAfter w:w="6" w:type="dxa"/>
          <w:cantSplit/>
        </w:trPr>
        <w:tc>
          <w:tcPr>
            <w:tcW w:w="4745" w:type="dxa"/>
            <w:tcBorders>
              <w:top w:val="single" w:sz="4" w:space="0" w:color="A6A6A6"/>
              <w:bottom w:val="nil"/>
            </w:tcBorders>
            <w:shd w:val="clear" w:color="auto" w:fill="auto"/>
          </w:tcPr>
          <w:p w14:paraId="6357797D" w14:textId="77777777" w:rsidR="00661E18" w:rsidRPr="00446050" w:rsidRDefault="00661E18" w:rsidP="00D02912">
            <w:pPr>
              <w:pStyle w:val="ARtabletext"/>
              <w:keepNext/>
            </w:pPr>
            <w:r w:rsidRPr="00446050">
              <w:t>Average waiting time for public rental housing for clients who have received a priority access housing or priority transfer allocation due to family violence</w:t>
            </w:r>
          </w:p>
        </w:tc>
        <w:tc>
          <w:tcPr>
            <w:tcW w:w="1019" w:type="dxa"/>
            <w:tcBorders>
              <w:top w:val="single" w:sz="4" w:space="0" w:color="A6A6A6"/>
              <w:bottom w:val="nil"/>
            </w:tcBorders>
            <w:shd w:val="clear" w:color="auto" w:fill="auto"/>
          </w:tcPr>
          <w:p w14:paraId="2DDC968A" w14:textId="77777777" w:rsidR="00661E18" w:rsidRPr="00446050" w:rsidRDefault="00661E18" w:rsidP="00D02912">
            <w:pPr>
              <w:pStyle w:val="ARtabletext"/>
            </w:pPr>
            <w:r w:rsidRPr="00446050">
              <w:t>months</w:t>
            </w:r>
          </w:p>
        </w:tc>
        <w:tc>
          <w:tcPr>
            <w:tcW w:w="1018" w:type="dxa"/>
            <w:tcBorders>
              <w:top w:val="single" w:sz="4" w:space="0" w:color="A6A6A6"/>
              <w:bottom w:val="nil"/>
            </w:tcBorders>
            <w:shd w:val="clear" w:color="auto" w:fill="auto"/>
          </w:tcPr>
          <w:p w14:paraId="0287F5B7" w14:textId="77777777" w:rsidR="00661E18" w:rsidRPr="00446050" w:rsidRDefault="00661E18" w:rsidP="00D02912">
            <w:pPr>
              <w:pStyle w:val="ARtabletextright"/>
            </w:pPr>
            <w:r w:rsidRPr="00446050">
              <w:t>10.5</w:t>
            </w:r>
          </w:p>
        </w:tc>
        <w:tc>
          <w:tcPr>
            <w:tcW w:w="1018" w:type="dxa"/>
            <w:tcBorders>
              <w:top w:val="single" w:sz="4" w:space="0" w:color="A6A6A6"/>
              <w:bottom w:val="nil"/>
            </w:tcBorders>
            <w:shd w:val="clear" w:color="auto" w:fill="auto"/>
          </w:tcPr>
          <w:p w14:paraId="34EA2F32" w14:textId="77777777" w:rsidR="00661E18" w:rsidRPr="00446050" w:rsidRDefault="00661E18" w:rsidP="00D02912">
            <w:pPr>
              <w:pStyle w:val="ARtabletextright"/>
            </w:pPr>
            <w:r w:rsidRPr="00446050">
              <w:t>19.5</w:t>
            </w:r>
          </w:p>
        </w:tc>
        <w:tc>
          <w:tcPr>
            <w:tcW w:w="1023" w:type="dxa"/>
            <w:tcBorders>
              <w:top w:val="single" w:sz="4" w:space="0" w:color="A6A6A6"/>
              <w:bottom w:val="nil"/>
            </w:tcBorders>
            <w:shd w:val="clear" w:color="auto" w:fill="auto"/>
          </w:tcPr>
          <w:p w14:paraId="1721501C" w14:textId="77777777" w:rsidR="00661E18" w:rsidRPr="00446050" w:rsidRDefault="00661E18" w:rsidP="00D02912">
            <w:pPr>
              <w:pStyle w:val="ARtabletextright"/>
            </w:pPr>
            <w:r w:rsidRPr="00446050">
              <w:t>85.6%</w:t>
            </w:r>
          </w:p>
        </w:tc>
        <w:tc>
          <w:tcPr>
            <w:tcW w:w="803" w:type="dxa"/>
            <w:tcBorders>
              <w:top w:val="single" w:sz="4" w:space="0" w:color="A6A6A6"/>
              <w:bottom w:val="nil"/>
            </w:tcBorders>
            <w:shd w:val="clear" w:color="auto" w:fill="auto"/>
          </w:tcPr>
          <w:p w14:paraId="740AFC77" w14:textId="77777777" w:rsidR="00661E18" w:rsidRPr="00446050" w:rsidRDefault="00661E18" w:rsidP="00D02912">
            <w:pPr>
              <w:pStyle w:val="ARtableperformancesymbol"/>
              <w:rPr>
                <w:rFonts w:eastAsia="Wingdings" w:cs="Wingdings"/>
                <w:lang w:val="en-AU"/>
              </w:rPr>
            </w:pPr>
            <w:r w:rsidRPr="00446050">
              <w:rPr>
                <w:rFonts w:eastAsia="Wingdings" w:cs="Wingdings"/>
              </w:rPr>
              <w:t></w:t>
            </w:r>
          </w:p>
        </w:tc>
      </w:tr>
      <w:tr w:rsidR="00661E18" w:rsidRPr="00446050" w14:paraId="16431A2B" w14:textId="77777777" w:rsidTr="00D02912">
        <w:trPr>
          <w:gridAfter w:val="1"/>
          <w:wAfter w:w="6" w:type="dxa"/>
          <w:cantSplit/>
        </w:trPr>
        <w:tc>
          <w:tcPr>
            <w:tcW w:w="9626" w:type="dxa"/>
            <w:gridSpan w:val="6"/>
            <w:tcBorders>
              <w:top w:val="nil"/>
              <w:bottom w:val="single" w:sz="4" w:space="0" w:color="BFBFBF" w:themeColor="background1" w:themeShade="BF"/>
            </w:tcBorders>
            <w:shd w:val="clear" w:color="auto" w:fill="auto"/>
          </w:tcPr>
          <w:p w14:paraId="41AC9E56" w14:textId="77777777" w:rsidR="00661E18" w:rsidRPr="00446050" w:rsidRDefault="00661E18" w:rsidP="00D02912">
            <w:pPr>
              <w:pStyle w:val="ARtablenoteindent"/>
              <w:rPr>
                <w:rFonts w:eastAsia="Wingdings" w:cs="Wingdings"/>
              </w:rPr>
            </w:pPr>
            <w:r w:rsidRPr="00446050">
              <w:rPr>
                <w:rFonts w:eastAsia="Wingdings" w:cs="Wingdings"/>
              </w:rPr>
              <w:t>The waiting time reflects strong demand for social housing, noting there was an increase in allocations to family violence priority types over 2023</w:t>
            </w:r>
            <w:r>
              <w:rPr>
                <w:rFonts w:eastAsia="Wingdings" w:cs="Wingdings"/>
              </w:rPr>
              <w:t>–</w:t>
            </w:r>
            <w:r w:rsidRPr="00446050">
              <w:rPr>
                <w:rFonts w:eastAsia="Wingdings" w:cs="Wingdings"/>
              </w:rPr>
              <w:t>24.</w:t>
            </w:r>
          </w:p>
        </w:tc>
      </w:tr>
      <w:tr w:rsidR="00661E18" w:rsidRPr="00446050" w14:paraId="687C2747" w14:textId="77777777" w:rsidTr="00D02912">
        <w:trPr>
          <w:gridAfter w:val="1"/>
          <w:wAfter w:w="6" w:type="dxa"/>
          <w:cantSplit/>
        </w:trPr>
        <w:tc>
          <w:tcPr>
            <w:tcW w:w="4745" w:type="dxa"/>
            <w:tcBorders>
              <w:top w:val="single" w:sz="4" w:space="0" w:color="BFBFBF" w:themeColor="background1" w:themeShade="BF"/>
              <w:bottom w:val="single" w:sz="4" w:space="0" w:color="BFBFBF" w:themeColor="background1" w:themeShade="BF"/>
            </w:tcBorders>
            <w:shd w:val="clear" w:color="auto" w:fill="auto"/>
            <w:hideMark/>
          </w:tcPr>
          <w:p w14:paraId="274F9DB1" w14:textId="77777777" w:rsidR="00661E18" w:rsidRPr="00446050" w:rsidRDefault="00661E18" w:rsidP="00D02912">
            <w:pPr>
              <w:pStyle w:val="ARtabletext"/>
            </w:pPr>
            <w:r w:rsidRPr="00446050">
              <w:t>Proportion of clients where support to sustain housing tenure was provided or referred</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34616060" w14:textId="77777777" w:rsidR="00661E18" w:rsidRPr="00446050" w:rsidRDefault="00661E18" w:rsidP="00D02912">
            <w:pPr>
              <w:pStyle w:val="ARtabletext"/>
            </w:pPr>
            <w:r w:rsidRPr="00446050">
              <w:t>per cent</w:t>
            </w:r>
          </w:p>
        </w:tc>
        <w:tc>
          <w:tcPr>
            <w:tcW w:w="1018" w:type="dxa"/>
            <w:tcBorders>
              <w:top w:val="single" w:sz="4" w:space="0" w:color="BFBFBF" w:themeColor="background1" w:themeShade="BF"/>
              <w:bottom w:val="single" w:sz="4" w:space="0" w:color="BFBFBF" w:themeColor="background1" w:themeShade="BF"/>
            </w:tcBorders>
            <w:shd w:val="clear" w:color="auto" w:fill="auto"/>
            <w:hideMark/>
          </w:tcPr>
          <w:p w14:paraId="16BB0AE2" w14:textId="515284B7" w:rsidR="00661E18" w:rsidRPr="00446050" w:rsidRDefault="00661E18" w:rsidP="00D02912">
            <w:pPr>
              <w:pStyle w:val="ARtabletextright"/>
            </w:pPr>
            <w:r w:rsidRPr="00446050">
              <w:t>88</w:t>
            </w:r>
            <w:r w:rsidR="00C060D7">
              <w:t>.0</w:t>
            </w:r>
          </w:p>
        </w:tc>
        <w:tc>
          <w:tcPr>
            <w:tcW w:w="1018" w:type="dxa"/>
            <w:tcBorders>
              <w:top w:val="single" w:sz="4" w:space="0" w:color="BFBFBF" w:themeColor="background1" w:themeShade="BF"/>
              <w:bottom w:val="single" w:sz="4" w:space="0" w:color="BFBFBF" w:themeColor="background1" w:themeShade="BF"/>
            </w:tcBorders>
            <w:shd w:val="clear" w:color="auto" w:fill="auto"/>
            <w:hideMark/>
          </w:tcPr>
          <w:p w14:paraId="209D48EF" w14:textId="4060DA4E" w:rsidR="00661E18" w:rsidRPr="00446050" w:rsidRDefault="00661E18" w:rsidP="00D02912">
            <w:pPr>
              <w:pStyle w:val="ARtabletextright"/>
            </w:pPr>
            <w:r w:rsidRPr="00446050">
              <w:t>87</w:t>
            </w:r>
            <w:r w:rsidR="00C060D7">
              <w:t>.0</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4D03C194" w14:textId="77777777" w:rsidR="00661E18" w:rsidRPr="00446050" w:rsidRDefault="00661E18" w:rsidP="00D02912">
            <w:pPr>
              <w:pStyle w:val="ARtabletextright"/>
            </w:pPr>
            <w:r w:rsidRPr="00446050">
              <w:t>-1.1</w:t>
            </w:r>
            <w:r>
              <w:t>%</w:t>
            </w:r>
          </w:p>
        </w:tc>
        <w:tc>
          <w:tcPr>
            <w:tcW w:w="803" w:type="dxa"/>
            <w:tcBorders>
              <w:top w:val="single" w:sz="4" w:space="0" w:color="BFBFBF" w:themeColor="background1" w:themeShade="BF"/>
              <w:bottom w:val="single" w:sz="4" w:space="0" w:color="BFBFBF" w:themeColor="background1" w:themeShade="BF"/>
            </w:tcBorders>
            <w:shd w:val="clear" w:color="auto" w:fill="auto"/>
            <w:hideMark/>
          </w:tcPr>
          <w:p w14:paraId="242632EB" w14:textId="77777777" w:rsidR="00661E18" w:rsidRPr="00446050" w:rsidRDefault="00661E18" w:rsidP="00D02912">
            <w:pPr>
              <w:pStyle w:val="ARtableperformancesymbol"/>
              <w:rPr>
                <w:rFonts w:hint="eastAsia"/>
                <w:lang w:val="en-AU"/>
              </w:rPr>
            </w:pPr>
            <w:r w:rsidRPr="00446050">
              <w:t>□</w:t>
            </w:r>
          </w:p>
        </w:tc>
      </w:tr>
      <w:tr w:rsidR="00661E18" w:rsidRPr="00446050" w14:paraId="3D35E15B" w14:textId="77777777" w:rsidTr="00D02912">
        <w:trPr>
          <w:cantSplit/>
        </w:trPr>
        <w:tc>
          <w:tcPr>
            <w:tcW w:w="9632" w:type="dxa"/>
            <w:gridSpan w:val="7"/>
            <w:tcBorders>
              <w:top w:val="single" w:sz="4" w:space="0" w:color="auto"/>
              <w:bottom w:val="nil"/>
            </w:tcBorders>
            <w:hideMark/>
          </w:tcPr>
          <w:p w14:paraId="7DFBBAB0" w14:textId="77777777" w:rsidR="00661E18" w:rsidRPr="00A274A7" w:rsidRDefault="00661E18" w:rsidP="00D02912">
            <w:pPr>
              <w:pStyle w:val="ARfintablecolheadright"/>
              <w:jc w:val="left"/>
            </w:pPr>
            <w:r w:rsidRPr="00446050">
              <w:t>Cost</w:t>
            </w:r>
          </w:p>
        </w:tc>
      </w:tr>
      <w:tr w:rsidR="00661E18" w:rsidRPr="00446050" w14:paraId="287397BD" w14:textId="77777777" w:rsidTr="00D02912">
        <w:trPr>
          <w:cantSplit/>
        </w:trPr>
        <w:tc>
          <w:tcPr>
            <w:tcW w:w="4745" w:type="dxa"/>
            <w:tcBorders>
              <w:top w:val="nil"/>
              <w:bottom w:val="nil"/>
            </w:tcBorders>
            <w:hideMark/>
          </w:tcPr>
          <w:p w14:paraId="57133DCB" w14:textId="77777777" w:rsidR="00661E18" w:rsidRPr="00446050" w:rsidRDefault="00661E18" w:rsidP="00D02912">
            <w:pPr>
              <w:pStyle w:val="ARtabletextbold"/>
            </w:pPr>
            <w:r w:rsidRPr="00446050">
              <w:t xml:space="preserve">Total output </w:t>
            </w:r>
            <w:r w:rsidRPr="00A274A7">
              <w:t>cost</w:t>
            </w:r>
          </w:p>
        </w:tc>
        <w:tc>
          <w:tcPr>
            <w:tcW w:w="1019" w:type="dxa"/>
            <w:tcBorders>
              <w:top w:val="nil"/>
              <w:bottom w:val="nil"/>
            </w:tcBorders>
            <w:hideMark/>
          </w:tcPr>
          <w:p w14:paraId="18367781" w14:textId="77777777" w:rsidR="00661E18" w:rsidRPr="00446050" w:rsidRDefault="00661E18" w:rsidP="00D02912">
            <w:pPr>
              <w:pStyle w:val="ARtabletext"/>
              <w:rPr>
                <w:b/>
              </w:rPr>
            </w:pPr>
            <w:r w:rsidRPr="00446050">
              <w:rPr>
                <w:b/>
              </w:rPr>
              <w:t>$ million</w:t>
            </w:r>
          </w:p>
        </w:tc>
        <w:tc>
          <w:tcPr>
            <w:tcW w:w="1018" w:type="dxa"/>
            <w:tcBorders>
              <w:top w:val="nil"/>
              <w:bottom w:val="nil"/>
            </w:tcBorders>
          </w:tcPr>
          <w:p w14:paraId="7C9352C5" w14:textId="2D9213E5" w:rsidR="00661E18" w:rsidRPr="00446050" w:rsidRDefault="00661E18" w:rsidP="00D02912">
            <w:pPr>
              <w:pStyle w:val="ARtabletextrightbold"/>
            </w:pPr>
            <w:r w:rsidRPr="00446050">
              <w:t>674</w:t>
            </w:r>
            <w:r w:rsidR="009F369F">
              <w:t>.2</w:t>
            </w:r>
          </w:p>
        </w:tc>
        <w:tc>
          <w:tcPr>
            <w:tcW w:w="1018" w:type="dxa"/>
            <w:tcBorders>
              <w:top w:val="nil"/>
              <w:bottom w:val="nil"/>
            </w:tcBorders>
          </w:tcPr>
          <w:p w14:paraId="3ADB57A3" w14:textId="77777777" w:rsidR="00661E18" w:rsidRPr="00446050" w:rsidRDefault="00661E18" w:rsidP="00D02912">
            <w:pPr>
              <w:pStyle w:val="ARtabletextrightbold"/>
            </w:pPr>
            <w:r w:rsidRPr="00446050">
              <w:t>585.6</w:t>
            </w:r>
          </w:p>
        </w:tc>
        <w:tc>
          <w:tcPr>
            <w:tcW w:w="1023" w:type="dxa"/>
            <w:tcBorders>
              <w:top w:val="nil"/>
              <w:bottom w:val="nil"/>
            </w:tcBorders>
          </w:tcPr>
          <w:p w14:paraId="0BBDDCAA" w14:textId="77777777" w:rsidR="00661E18" w:rsidRPr="00446050" w:rsidRDefault="00661E18" w:rsidP="00D02912">
            <w:pPr>
              <w:pStyle w:val="ARtabletextrightbold"/>
            </w:pPr>
            <w:r w:rsidRPr="00446050">
              <w:t>-13.1%</w:t>
            </w:r>
          </w:p>
        </w:tc>
        <w:tc>
          <w:tcPr>
            <w:tcW w:w="809" w:type="dxa"/>
            <w:gridSpan w:val="2"/>
            <w:tcBorders>
              <w:top w:val="nil"/>
              <w:bottom w:val="nil"/>
            </w:tcBorders>
          </w:tcPr>
          <w:p w14:paraId="0DC70E13" w14:textId="77777777" w:rsidR="00661E18" w:rsidRPr="00446050" w:rsidRDefault="00661E18" w:rsidP="00D02912">
            <w:pPr>
              <w:pStyle w:val="ARtableperformancesymbol"/>
              <w:rPr>
                <w:rFonts w:hint="eastAsia"/>
                <w:b/>
              </w:rPr>
            </w:pPr>
            <w:r w:rsidRPr="00446050">
              <w:rPr>
                <w:rFonts w:eastAsia="Wingdings" w:cs="Wingdings"/>
              </w:rPr>
              <w:t></w:t>
            </w:r>
          </w:p>
        </w:tc>
      </w:tr>
      <w:tr w:rsidR="00661E18" w:rsidRPr="00532DAE" w14:paraId="57D0EB8F" w14:textId="77777777" w:rsidTr="00D02912">
        <w:trPr>
          <w:cantSplit/>
        </w:trPr>
        <w:tc>
          <w:tcPr>
            <w:tcW w:w="9632" w:type="dxa"/>
            <w:gridSpan w:val="7"/>
            <w:tcBorders>
              <w:top w:val="nil"/>
            </w:tcBorders>
          </w:tcPr>
          <w:p w14:paraId="75910745" w14:textId="77777777" w:rsidR="00661E18" w:rsidRPr="00446050" w:rsidRDefault="00661E18" w:rsidP="00D02912">
            <w:pPr>
              <w:pStyle w:val="ARtablenoteindent"/>
              <w:rPr>
                <w:rFonts w:eastAsia="Wingdings" w:cs="Wingdings"/>
              </w:rPr>
            </w:pPr>
            <w:r w:rsidRPr="00446050">
              <w:rPr>
                <w:rFonts w:eastAsia="Wingdings" w:cs="Wingdings"/>
              </w:rPr>
              <w:t>The lower 2023</w:t>
            </w:r>
            <w:r>
              <w:rPr>
                <w:rFonts w:eastAsia="Wingdings" w:cs="Wingdings"/>
              </w:rPr>
              <w:t>–</w:t>
            </w:r>
            <w:r w:rsidRPr="00446050">
              <w:rPr>
                <w:rFonts w:eastAsia="Wingdings" w:cs="Wingdings"/>
              </w:rPr>
              <w:t>24 actual</w:t>
            </w:r>
            <w:r>
              <w:rPr>
                <w:rFonts w:eastAsia="Wingdings" w:cs="Wingdings"/>
              </w:rPr>
              <w:t xml:space="preserve"> </w:t>
            </w:r>
            <w:r w:rsidRPr="00446050">
              <w:rPr>
                <w:rFonts w:eastAsia="Wingdings" w:cs="Wingdings"/>
              </w:rPr>
              <w:t>primarily reflects</w:t>
            </w:r>
            <w:r>
              <w:rPr>
                <w:rFonts w:eastAsia="Wingdings" w:cs="Wingdings"/>
              </w:rPr>
              <w:t xml:space="preserve"> </w:t>
            </w:r>
            <w:r w:rsidRPr="00446050">
              <w:rPr>
                <w:rFonts w:eastAsia="Wingdings" w:cs="Wingdings"/>
              </w:rPr>
              <w:t>the output group reallocation of a number of</w:t>
            </w:r>
            <w:r>
              <w:rPr>
                <w:rFonts w:eastAsia="Wingdings" w:cs="Wingdings"/>
              </w:rPr>
              <w:t xml:space="preserve"> </w:t>
            </w:r>
            <w:r w:rsidRPr="00446050">
              <w:rPr>
                <w:rFonts w:eastAsia="Wingdings" w:cs="Wingdings"/>
              </w:rPr>
              <w:t>Family Violence related programs from Housing Assistance to Family Violence Service Delivery to better reflect Ministerial responsibilities</w:t>
            </w:r>
          </w:p>
        </w:tc>
      </w:tr>
    </w:tbl>
    <w:p w14:paraId="499BD5D6" w14:textId="77777777" w:rsidR="00655289" w:rsidRPr="008C7661" w:rsidRDefault="00655289" w:rsidP="008C7661">
      <w:pPr>
        <w:pStyle w:val="ARbody"/>
      </w:pPr>
      <w:r>
        <w:br w:type="page"/>
      </w:r>
    </w:p>
    <w:p w14:paraId="1C2F74CD" w14:textId="35F66C0C" w:rsidR="00661E18" w:rsidRPr="00561C66" w:rsidRDefault="00661E18" w:rsidP="00661E18">
      <w:pPr>
        <w:pStyle w:val="Heading3"/>
      </w:pPr>
      <w:bookmarkStart w:id="152" w:name="_Ref178616046"/>
      <w:r w:rsidRPr="00561C66">
        <w:t>Concessions to pensioners and beneficiaries</w:t>
      </w:r>
      <w:bookmarkEnd w:id="152"/>
    </w:p>
    <w:p w14:paraId="63A08AC7" w14:textId="19D7808C" w:rsidR="00661E18" w:rsidRPr="00561C66" w:rsidRDefault="00661E18" w:rsidP="00661E18">
      <w:pPr>
        <w:pStyle w:val="ARbody"/>
      </w:pPr>
      <w:r w:rsidRPr="00561C66">
        <w:t>This output, through the development and coordination of the delivery of concessions and relief grants to eligible consumers and concession card holders, aims to make a positive difference for Victorians experiencing disadvantage by providing excellent community services to meet clients</w:t>
      </w:r>
      <w:r w:rsidR="00711AE6">
        <w:t>’</w:t>
      </w:r>
      <w:r w:rsidRPr="00561C66">
        <w:t xml:space="preserve"> needs.</w:t>
      </w:r>
    </w:p>
    <w:tbl>
      <w:tblPr>
        <w:tblW w:w="5000" w:type="pct"/>
        <w:tblLayout w:type="fixed"/>
        <w:tblCellMar>
          <w:left w:w="0" w:type="dxa"/>
        </w:tblCellMar>
        <w:tblLook w:val="06E0" w:firstRow="1" w:lastRow="1" w:firstColumn="1" w:lastColumn="0" w:noHBand="1" w:noVBand="1"/>
      </w:tblPr>
      <w:tblGrid>
        <w:gridCol w:w="4749"/>
        <w:gridCol w:w="1020"/>
        <w:gridCol w:w="1019"/>
        <w:gridCol w:w="1019"/>
        <w:gridCol w:w="1022"/>
        <w:gridCol w:w="795"/>
        <w:gridCol w:w="8"/>
      </w:tblGrid>
      <w:tr w:rsidR="00661E18" w:rsidRPr="00446050" w14:paraId="3BCE5DA5" w14:textId="77777777" w:rsidTr="00D02912">
        <w:trPr>
          <w:cantSplit/>
          <w:tblHeader/>
        </w:trPr>
        <w:tc>
          <w:tcPr>
            <w:tcW w:w="4752" w:type="dxa"/>
            <w:tcBorders>
              <w:top w:val="nil"/>
              <w:left w:val="nil"/>
              <w:bottom w:val="single" w:sz="4" w:space="0" w:color="auto"/>
              <w:right w:val="nil"/>
            </w:tcBorders>
            <w:vAlign w:val="bottom"/>
            <w:hideMark/>
          </w:tcPr>
          <w:p w14:paraId="20F8D7E0" w14:textId="77777777" w:rsidR="00661E18" w:rsidRPr="00446050" w:rsidRDefault="00661E18" w:rsidP="00D02912">
            <w:pPr>
              <w:pStyle w:val="ARtablecolhead"/>
            </w:pPr>
            <w:r w:rsidRPr="00446050">
              <w:t>Performance measures</w:t>
            </w:r>
          </w:p>
        </w:tc>
        <w:tc>
          <w:tcPr>
            <w:tcW w:w="1020" w:type="dxa"/>
            <w:tcBorders>
              <w:top w:val="nil"/>
              <w:left w:val="nil"/>
              <w:bottom w:val="single" w:sz="4" w:space="0" w:color="auto"/>
              <w:right w:val="nil"/>
            </w:tcBorders>
            <w:vAlign w:val="bottom"/>
            <w:hideMark/>
          </w:tcPr>
          <w:p w14:paraId="057E6F37" w14:textId="77777777" w:rsidR="00661E18" w:rsidRPr="00446050" w:rsidRDefault="00661E18" w:rsidP="00D02912">
            <w:pPr>
              <w:pStyle w:val="ARtablecolhead"/>
            </w:pPr>
            <w:r w:rsidRPr="00446050">
              <w:t>Unit of measure</w:t>
            </w:r>
          </w:p>
        </w:tc>
        <w:tc>
          <w:tcPr>
            <w:tcW w:w="1020" w:type="dxa"/>
            <w:tcBorders>
              <w:top w:val="nil"/>
              <w:left w:val="nil"/>
              <w:bottom w:val="single" w:sz="4" w:space="0" w:color="auto"/>
              <w:right w:val="nil"/>
            </w:tcBorders>
            <w:vAlign w:val="bottom"/>
            <w:hideMark/>
          </w:tcPr>
          <w:p w14:paraId="5E7D455B" w14:textId="77777777" w:rsidR="00661E18" w:rsidRPr="00446050" w:rsidRDefault="00661E18" w:rsidP="00D02912">
            <w:pPr>
              <w:pStyle w:val="ARtablecolheadright"/>
            </w:pPr>
            <w:r w:rsidRPr="00446050">
              <w:t>2023–24 target</w:t>
            </w:r>
          </w:p>
        </w:tc>
        <w:tc>
          <w:tcPr>
            <w:tcW w:w="1020" w:type="dxa"/>
            <w:tcBorders>
              <w:top w:val="nil"/>
              <w:left w:val="nil"/>
              <w:bottom w:val="single" w:sz="4" w:space="0" w:color="auto"/>
              <w:right w:val="nil"/>
            </w:tcBorders>
            <w:vAlign w:val="bottom"/>
            <w:hideMark/>
          </w:tcPr>
          <w:p w14:paraId="06DA8CA1" w14:textId="77777777" w:rsidR="00661E18" w:rsidRPr="00A236E8" w:rsidRDefault="00661E18" w:rsidP="00D02912">
            <w:pPr>
              <w:pStyle w:val="ARtablecolheadright"/>
            </w:pPr>
            <w:r w:rsidRPr="00A236E8">
              <w:t>2023–24 actual</w:t>
            </w:r>
          </w:p>
        </w:tc>
        <w:tc>
          <w:tcPr>
            <w:tcW w:w="1023" w:type="dxa"/>
            <w:tcBorders>
              <w:top w:val="nil"/>
              <w:left w:val="nil"/>
              <w:bottom w:val="single" w:sz="4" w:space="0" w:color="auto"/>
              <w:right w:val="nil"/>
            </w:tcBorders>
            <w:vAlign w:val="bottom"/>
            <w:hideMark/>
          </w:tcPr>
          <w:p w14:paraId="0951A46E" w14:textId="77777777" w:rsidR="00661E18" w:rsidRPr="00446050" w:rsidRDefault="00661E18" w:rsidP="00D02912">
            <w:pPr>
              <w:pStyle w:val="ARtablecolheadright"/>
            </w:pPr>
            <w:r w:rsidRPr="008457D3">
              <w:t>Variation</w:t>
            </w:r>
            <w:r w:rsidRPr="00446050">
              <w:t xml:space="preserve"> </w:t>
            </w:r>
          </w:p>
        </w:tc>
        <w:tc>
          <w:tcPr>
            <w:tcW w:w="804" w:type="dxa"/>
            <w:gridSpan w:val="2"/>
            <w:tcBorders>
              <w:top w:val="nil"/>
              <w:left w:val="nil"/>
              <w:bottom w:val="single" w:sz="4" w:space="0" w:color="auto"/>
              <w:right w:val="nil"/>
            </w:tcBorders>
            <w:vAlign w:val="bottom"/>
            <w:hideMark/>
          </w:tcPr>
          <w:p w14:paraId="1C1DBC52" w14:textId="77777777" w:rsidR="00661E18" w:rsidRPr="00446050" w:rsidRDefault="00661E18" w:rsidP="00D02912">
            <w:pPr>
              <w:pStyle w:val="ARtablecolheadright"/>
            </w:pPr>
            <w:r w:rsidRPr="00446050">
              <w:t>Result</w:t>
            </w:r>
          </w:p>
        </w:tc>
      </w:tr>
      <w:tr w:rsidR="00661E18" w:rsidRPr="00446050" w14:paraId="3F6FC986" w14:textId="77777777" w:rsidTr="00D02912">
        <w:trPr>
          <w:cantSplit/>
        </w:trPr>
        <w:tc>
          <w:tcPr>
            <w:tcW w:w="9639" w:type="dxa"/>
            <w:gridSpan w:val="7"/>
            <w:tcBorders>
              <w:top w:val="single" w:sz="4" w:space="0" w:color="auto"/>
              <w:left w:val="nil"/>
              <w:bottom w:val="nil"/>
              <w:right w:val="nil"/>
            </w:tcBorders>
            <w:hideMark/>
          </w:tcPr>
          <w:p w14:paraId="76EB6432" w14:textId="77777777" w:rsidR="00661E18" w:rsidRPr="00A236E8" w:rsidRDefault="00661E18" w:rsidP="00D02912">
            <w:pPr>
              <w:pStyle w:val="ARtablegreybold"/>
            </w:pPr>
            <w:r w:rsidRPr="00A236E8">
              <w:t>Quantity</w:t>
            </w:r>
          </w:p>
        </w:tc>
      </w:tr>
      <w:tr w:rsidR="00661E18" w:rsidRPr="00446050" w14:paraId="2EE27C59" w14:textId="77777777" w:rsidTr="00D02912">
        <w:trPr>
          <w:gridAfter w:val="1"/>
          <w:wAfter w:w="8" w:type="dxa"/>
          <w:cantSplit/>
        </w:trPr>
        <w:tc>
          <w:tcPr>
            <w:tcW w:w="4752" w:type="dxa"/>
            <w:tcBorders>
              <w:bottom w:val="single" w:sz="4" w:space="0" w:color="BFBFBF" w:themeColor="background1" w:themeShade="BF"/>
            </w:tcBorders>
            <w:shd w:val="clear" w:color="auto" w:fill="auto"/>
            <w:hideMark/>
          </w:tcPr>
          <w:p w14:paraId="3E930128" w14:textId="77777777" w:rsidR="00661E18" w:rsidRPr="00446050" w:rsidRDefault="00661E18" w:rsidP="00D02912">
            <w:pPr>
              <w:pStyle w:val="ARtabletext"/>
            </w:pPr>
            <w:r w:rsidRPr="00446050">
              <w:t>Households receiving mains electricity concessions</w:t>
            </w:r>
          </w:p>
        </w:tc>
        <w:tc>
          <w:tcPr>
            <w:tcW w:w="1020" w:type="dxa"/>
            <w:tcBorders>
              <w:bottom w:val="single" w:sz="4" w:space="0" w:color="BFBFBF" w:themeColor="background1" w:themeShade="BF"/>
            </w:tcBorders>
            <w:shd w:val="clear" w:color="auto" w:fill="auto"/>
            <w:hideMark/>
          </w:tcPr>
          <w:p w14:paraId="28A02F74" w14:textId="77777777" w:rsidR="00661E18" w:rsidRPr="00446050" w:rsidRDefault="00661E18" w:rsidP="00D02912">
            <w:pPr>
              <w:pStyle w:val="ARtabletext"/>
            </w:pPr>
            <w:r w:rsidRPr="00446050">
              <w:t>number</w:t>
            </w:r>
          </w:p>
        </w:tc>
        <w:tc>
          <w:tcPr>
            <w:tcW w:w="1020" w:type="dxa"/>
            <w:tcBorders>
              <w:bottom w:val="single" w:sz="4" w:space="0" w:color="BFBFBF" w:themeColor="background1" w:themeShade="BF"/>
            </w:tcBorders>
            <w:shd w:val="clear" w:color="auto" w:fill="auto"/>
            <w:hideMark/>
          </w:tcPr>
          <w:p w14:paraId="24493967" w14:textId="77777777" w:rsidR="00661E18" w:rsidRPr="00446050" w:rsidRDefault="00661E18" w:rsidP="00D02912">
            <w:pPr>
              <w:pStyle w:val="ARtabletextright"/>
            </w:pPr>
            <w:r w:rsidRPr="00446050">
              <w:t>932,807</w:t>
            </w:r>
          </w:p>
        </w:tc>
        <w:tc>
          <w:tcPr>
            <w:tcW w:w="1020" w:type="dxa"/>
            <w:tcBorders>
              <w:bottom w:val="single" w:sz="4" w:space="0" w:color="BFBFBF" w:themeColor="background1" w:themeShade="BF"/>
            </w:tcBorders>
            <w:shd w:val="clear" w:color="auto" w:fill="auto"/>
            <w:hideMark/>
          </w:tcPr>
          <w:p w14:paraId="282BEA1A" w14:textId="77777777" w:rsidR="00661E18" w:rsidRPr="00A236E8" w:rsidRDefault="00661E18" w:rsidP="00D02912">
            <w:pPr>
              <w:pStyle w:val="ARtabletextright"/>
            </w:pPr>
            <w:r w:rsidRPr="00A236E8">
              <w:t>903,768</w:t>
            </w:r>
          </w:p>
        </w:tc>
        <w:tc>
          <w:tcPr>
            <w:tcW w:w="1023" w:type="dxa"/>
            <w:tcBorders>
              <w:bottom w:val="single" w:sz="4" w:space="0" w:color="BFBFBF" w:themeColor="background1" w:themeShade="BF"/>
            </w:tcBorders>
            <w:shd w:val="clear" w:color="auto" w:fill="auto"/>
          </w:tcPr>
          <w:p w14:paraId="37C0BE70" w14:textId="77777777" w:rsidR="00661E18" w:rsidRPr="00446050" w:rsidRDefault="00661E18" w:rsidP="00D02912">
            <w:pPr>
              <w:pStyle w:val="ARtabletextright"/>
            </w:pPr>
            <w:r w:rsidRPr="00446050">
              <w:t>-3.1%</w:t>
            </w:r>
          </w:p>
        </w:tc>
        <w:tc>
          <w:tcPr>
            <w:tcW w:w="796" w:type="dxa"/>
            <w:tcBorders>
              <w:bottom w:val="single" w:sz="4" w:space="0" w:color="BFBFBF" w:themeColor="background1" w:themeShade="BF"/>
            </w:tcBorders>
            <w:shd w:val="clear" w:color="auto" w:fill="auto"/>
            <w:hideMark/>
          </w:tcPr>
          <w:p w14:paraId="7856A41A" w14:textId="77777777" w:rsidR="00661E18" w:rsidRPr="00446050" w:rsidRDefault="00661E18" w:rsidP="00D02912">
            <w:pPr>
              <w:pStyle w:val="ARtableperformancesymbol"/>
              <w:rPr>
                <w:rFonts w:hint="eastAsia"/>
                <w:lang w:val="en-AU"/>
              </w:rPr>
            </w:pPr>
            <w:r w:rsidRPr="00446050">
              <w:t>□</w:t>
            </w:r>
          </w:p>
        </w:tc>
      </w:tr>
      <w:tr w:rsidR="00661E18" w:rsidRPr="00446050" w14:paraId="0857736A" w14:textId="77777777" w:rsidTr="00D02912">
        <w:trPr>
          <w:gridAfter w:val="1"/>
          <w:wAfter w:w="8" w:type="dxa"/>
          <w:cantSplit/>
        </w:trPr>
        <w:tc>
          <w:tcPr>
            <w:tcW w:w="4752" w:type="dxa"/>
            <w:tcBorders>
              <w:top w:val="single" w:sz="4" w:space="0" w:color="BFBFBF"/>
              <w:bottom w:val="single" w:sz="4" w:space="0" w:color="BFBFBF"/>
            </w:tcBorders>
            <w:shd w:val="clear" w:color="auto" w:fill="auto"/>
            <w:hideMark/>
          </w:tcPr>
          <w:p w14:paraId="41C92265" w14:textId="77777777" w:rsidR="00661E18" w:rsidRPr="00446050" w:rsidRDefault="00661E18" w:rsidP="00D02912">
            <w:pPr>
              <w:pStyle w:val="ARtabletext"/>
            </w:pPr>
            <w:r w:rsidRPr="00446050">
              <w:t>Households receiving mains gas concessions</w:t>
            </w:r>
          </w:p>
        </w:tc>
        <w:tc>
          <w:tcPr>
            <w:tcW w:w="1020" w:type="dxa"/>
            <w:tcBorders>
              <w:top w:val="single" w:sz="4" w:space="0" w:color="BFBFBF"/>
              <w:bottom w:val="single" w:sz="4" w:space="0" w:color="BFBFBF"/>
            </w:tcBorders>
            <w:shd w:val="clear" w:color="auto" w:fill="auto"/>
            <w:hideMark/>
          </w:tcPr>
          <w:p w14:paraId="5C396225" w14:textId="77777777" w:rsidR="00661E18" w:rsidRPr="00446050" w:rsidRDefault="00661E18" w:rsidP="00D02912">
            <w:pPr>
              <w:pStyle w:val="ARtabletext"/>
            </w:pPr>
            <w:r w:rsidRPr="00446050">
              <w:t>number</w:t>
            </w:r>
          </w:p>
        </w:tc>
        <w:tc>
          <w:tcPr>
            <w:tcW w:w="1020" w:type="dxa"/>
            <w:tcBorders>
              <w:top w:val="single" w:sz="4" w:space="0" w:color="BFBFBF"/>
              <w:bottom w:val="single" w:sz="4" w:space="0" w:color="BFBFBF"/>
            </w:tcBorders>
            <w:shd w:val="clear" w:color="auto" w:fill="auto"/>
            <w:hideMark/>
          </w:tcPr>
          <w:p w14:paraId="2076FD09" w14:textId="77777777" w:rsidR="00661E18" w:rsidRPr="00446050" w:rsidRDefault="00661E18" w:rsidP="00D02912">
            <w:pPr>
              <w:pStyle w:val="ARtabletextright"/>
            </w:pPr>
            <w:r w:rsidRPr="00446050">
              <w:t>659,178</w:t>
            </w:r>
          </w:p>
        </w:tc>
        <w:tc>
          <w:tcPr>
            <w:tcW w:w="1020" w:type="dxa"/>
            <w:tcBorders>
              <w:top w:val="single" w:sz="4" w:space="0" w:color="BFBFBF"/>
              <w:bottom w:val="single" w:sz="4" w:space="0" w:color="BFBFBF"/>
            </w:tcBorders>
            <w:shd w:val="clear" w:color="auto" w:fill="auto"/>
            <w:hideMark/>
          </w:tcPr>
          <w:p w14:paraId="0FD602B6" w14:textId="77777777" w:rsidR="00661E18" w:rsidRPr="00A236E8" w:rsidRDefault="00661E18" w:rsidP="00D02912">
            <w:pPr>
              <w:pStyle w:val="ARtabletextright"/>
            </w:pPr>
            <w:r w:rsidRPr="00A236E8">
              <w:t>662,956</w:t>
            </w:r>
          </w:p>
        </w:tc>
        <w:tc>
          <w:tcPr>
            <w:tcW w:w="1023" w:type="dxa"/>
            <w:tcBorders>
              <w:top w:val="single" w:sz="4" w:space="0" w:color="BFBFBF"/>
              <w:bottom w:val="single" w:sz="4" w:space="0" w:color="BFBFBF"/>
            </w:tcBorders>
            <w:shd w:val="clear" w:color="auto" w:fill="auto"/>
          </w:tcPr>
          <w:p w14:paraId="2032BBB0" w14:textId="77777777" w:rsidR="00661E18" w:rsidRPr="00446050" w:rsidRDefault="00661E18" w:rsidP="00D02912">
            <w:pPr>
              <w:pStyle w:val="ARtabletextright"/>
            </w:pPr>
            <w:r w:rsidRPr="00446050">
              <w:t>0.6%</w:t>
            </w:r>
          </w:p>
        </w:tc>
        <w:tc>
          <w:tcPr>
            <w:tcW w:w="796" w:type="dxa"/>
            <w:tcBorders>
              <w:top w:val="single" w:sz="4" w:space="0" w:color="BFBFBF"/>
              <w:bottom w:val="single" w:sz="4" w:space="0" w:color="BFBFBF"/>
            </w:tcBorders>
            <w:shd w:val="clear" w:color="auto" w:fill="auto"/>
            <w:hideMark/>
          </w:tcPr>
          <w:p w14:paraId="555711EC" w14:textId="2CD3BF74" w:rsidR="00661E18" w:rsidRPr="00446050" w:rsidRDefault="00AF6F94" w:rsidP="00D02912">
            <w:pPr>
              <w:pStyle w:val="ARtableperformancesymbol"/>
              <w:rPr>
                <w:rFonts w:hint="eastAsia"/>
                <w:lang w:val="en-AU"/>
              </w:rPr>
            </w:pPr>
            <w:r w:rsidRPr="00446050">
              <w:rPr>
                <w:rFonts w:eastAsia="Wingdings" w:cs="Wingdings"/>
              </w:rPr>
              <w:t></w:t>
            </w:r>
          </w:p>
        </w:tc>
      </w:tr>
      <w:tr w:rsidR="00661E18" w:rsidRPr="00446050" w14:paraId="63C48950" w14:textId="77777777" w:rsidTr="00D02912">
        <w:trPr>
          <w:gridAfter w:val="1"/>
          <w:wAfter w:w="8" w:type="dxa"/>
          <w:cantSplit/>
        </w:trPr>
        <w:tc>
          <w:tcPr>
            <w:tcW w:w="4752" w:type="dxa"/>
            <w:tcBorders>
              <w:top w:val="single" w:sz="4" w:space="0" w:color="BFBFBF"/>
            </w:tcBorders>
            <w:shd w:val="clear" w:color="auto" w:fill="auto"/>
            <w:hideMark/>
          </w:tcPr>
          <w:p w14:paraId="1DF35378" w14:textId="77777777" w:rsidR="00661E18" w:rsidRPr="00446050" w:rsidRDefault="00661E18" w:rsidP="00D02912">
            <w:pPr>
              <w:pStyle w:val="ARtabletext"/>
              <w:keepNext/>
            </w:pPr>
            <w:r w:rsidRPr="00446050">
              <w:t>Households receiving non-mains energy concessions</w:t>
            </w:r>
          </w:p>
        </w:tc>
        <w:tc>
          <w:tcPr>
            <w:tcW w:w="1020" w:type="dxa"/>
            <w:tcBorders>
              <w:top w:val="single" w:sz="4" w:space="0" w:color="BFBFBF"/>
            </w:tcBorders>
            <w:shd w:val="clear" w:color="auto" w:fill="auto"/>
            <w:hideMark/>
          </w:tcPr>
          <w:p w14:paraId="1AD5F1A5" w14:textId="77777777" w:rsidR="00661E18" w:rsidRPr="00446050" w:rsidRDefault="00661E18" w:rsidP="00D02912">
            <w:pPr>
              <w:pStyle w:val="ARtabletext"/>
            </w:pPr>
            <w:r w:rsidRPr="00446050">
              <w:t>number</w:t>
            </w:r>
          </w:p>
        </w:tc>
        <w:tc>
          <w:tcPr>
            <w:tcW w:w="1020" w:type="dxa"/>
            <w:tcBorders>
              <w:top w:val="single" w:sz="4" w:space="0" w:color="BFBFBF"/>
            </w:tcBorders>
            <w:shd w:val="clear" w:color="auto" w:fill="auto"/>
            <w:hideMark/>
          </w:tcPr>
          <w:p w14:paraId="1CA4129F" w14:textId="77777777" w:rsidR="00661E18" w:rsidRPr="00446050" w:rsidRDefault="00661E18" w:rsidP="00D02912">
            <w:pPr>
              <w:pStyle w:val="ARtabletextright"/>
            </w:pPr>
            <w:r w:rsidRPr="00446050">
              <w:t>24,488</w:t>
            </w:r>
          </w:p>
        </w:tc>
        <w:tc>
          <w:tcPr>
            <w:tcW w:w="1020" w:type="dxa"/>
            <w:tcBorders>
              <w:top w:val="single" w:sz="4" w:space="0" w:color="BFBFBF"/>
            </w:tcBorders>
            <w:shd w:val="clear" w:color="auto" w:fill="auto"/>
            <w:hideMark/>
          </w:tcPr>
          <w:p w14:paraId="5D6B22C5" w14:textId="77777777" w:rsidR="00661E18" w:rsidRPr="00A236E8" w:rsidRDefault="00661E18" w:rsidP="00D02912">
            <w:pPr>
              <w:pStyle w:val="ARtabletextright"/>
            </w:pPr>
            <w:r w:rsidRPr="00A236E8">
              <w:t>22,032</w:t>
            </w:r>
          </w:p>
        </w:tc>
        <w:tc>
          <w:tcPr>
            <w:tcW w:w="1023" w:type="dxa"/>
            <w:tcBorders>
              <w:top w:val="single" w:sz="4" w:space="0" w:color="BFBFBF"/>
            </w:tcBorders>
            <w:shd w:val="clear" w:color="auto" w:fill="auto"/>
          </w:tcPr>
          <w:p w14:paraId="7221C491" w14:textId="77777777" w:rsidR="00661E18" w:rsidRPr="00446050" w:rsidRDefault="00661E18" w:rsidP="00D02912">
            <w:pPr>
              <w:pStyle w:val="ARtabletextright"/>
            </w:pPr>
            <w:r w:rsidRPr="00446050">
              <w:t>-10%</w:t>
            </w:r>
          </w:p>
        </w:tc>
        <w:tc>
          <w:tcPr>
            <w:tcW w:w="796" w:type="dxa"/>
            <w:tcBorders>
              <w:top w:val="single" w:sz="4" w:space="0" w:color="BFBFBF"/>
            </w:tcBorders>
            <w:shd w:val="clear" w:color="auto" w:fill="auto"/>
            <w:hideMark/>
          </w:tcPr>
          <w:p w14:paraId="147EE930"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4A59487A" w14:textId="77777777" w:rsidTr="00D02912">
        <w:trPr>
          <w:gridAfter w:val="1"/>
          <w:wAfter w:w="8" w:type="dxa"/>
          <w:cantSplit/>
        </w:trPr>
        <w:tc>
          <w:tcPr>
            <w:tcW w:w="9631" w:type="dxa"/>
            <w:gridSpan w:val="6"/>
            <w:tcBorders>
              <w:bottom w:val="single" w:sz="4" w:space="0" w:color="BFBFBF"/>
            </w:tcBorders>
            <w:shd w:val="clear" w:color="auto" w:fill="auto"/>
          </w:tcPr>
          <w:p w14:paraId="05D4A8B8" w14:textId="77777777" w:rsidR="00661E18" w:rsidRPr="00A236E8" w:rsidRDefault="00661E18" w:rsidP="00D02912">
            <w:pPr>
              <w:pStyle w:val="ARtablenoteindent"/>
            </w:pPr>
            <w:r w:rsidRPr="00A236E8">
              <w:t>The 2023–24 estimated result is lower the target as expenditure and usages are gradually decreasing; the assumption is that people are becoming less dependent on alternate Non-Mains energy sources.</w:t>
            </w:r>
          </w:p>
        </w:tc>
      </w:tr>
      <w:tr w:rsidR="00661E18" w:rsidRPr="00446050" w14:paraId="5CEEA205" w14:textId="77777777" w:rsidTr="00D02912">
        <w:trPr>
          <w:gridAfter w:val="1"/>
          <w:wAfter w:w="8" w:type="dxa"/>
          <w:cantSplit/>
        </w:trPr>
        <w:tc>
          <w:tcPr>
            <w:tcW w:w="4752" w:type="dxa"/>
            <w:tcBorders>
              <w:top w:val="single" w:sz="4" w:space="0" w:color="BFBFBF"/>
              <w:bottom w:val="single" w:sz="4" w:space="0" w:color="BFBFBF"/>
            </w:tcBorders>
            <w:shd w:val="clear" w:color="auto" w:fill="auto"/>
            <w:hideMark/>
          </w:tcPr>
          <w:p w14:paraId="5E3E3B8C" w14:textId="77777777" w:rsidR="00661E18" w:rsidRPr="00446050" w:rsidRDefault="00661E18" w:rsidP="00D02912">
            <w:pPr>
              <w:pStyle w:val="ARtabletext"/>
            </w:pPr>
            <w:r w:rsidRPr="00446050">
              <w:t>Households receiving pensioner concessions for municipal rates and charges</w:t>
            </w:r>
          </w:p>
        </w:tc>
        <w:tc>
          <w:tcPr>
            <w:tcW w:w="1020" w:type="dxa"/>
            <w:tcBorders>
              <w:top w:val="single" w:sz="4" w:space="0" w:color="BFBFBF"/>
              <w:bottom w:val="single" w:sz="4" w:space="0" w:color="BFBFBF"/>
            </w:tcBorders>
            <w:shd w:val="clear" w:color="auto" w:fill="auto"/>
            <w:hideMark/>
          </w:tcPr>
          <w:p w14:paraId="147F51CA" w14:textId="77777777" w:rsidR="00661E18" w:rsidRPr="00446050" w:rsidRDefault="00661E18" w:rsidP="00D02912">
            <w:pPr>
              <w:pStyle w:val="ARtabletext"/>
            </w:pPr>
            <w:r w:rsidRPr="00446050">
              <w:t>number</w:t>
            </w:r>
          </w:p>
        </w:tc>
        <w:tc>
          <w:tcPr>
            <w:tcW w:w="1020" w:type="dxa"/>
            <w:tcBorders>
              <w:top w:val="single" w:sz="4" w:space="0" w:color="BFBFBF"/>
              <w:bottom w:val="single" w:sz="4" w:space="0" w:color="BFBFBF"/>
            </w:tcBorders>
            <w:shd w:val="clear" w:color="auto" w:fill="auto"/>
            <w:hideMark/>
          </w:tcPr>
          <w:p w14:paraId="73716362" w14:textId="77777777" w:rsidR="00661E18" w:rsidRPr="00446050" w:rsidRDefault="00661E18" w:rsidP="00D02912">
            <w:pPr>
              <w:pStyle w:val="ARtabletextright"/>
            </w:pPr>
            <w:r w:rsidRPr="00446050">
              <w:t>435,278</w:t>
            </w:r>
          </w:p>
        </w:tc>
        <w:tc>
          <w:tcPr>
            <w:tcW w:w="1020" w:type="dxa"/>
            <w:tcBorders>
              <w:top w:val="single" w:sz="4" w:space="0" w:color="BFBFBF"/>
              <w:bottom w:val="single" w:sz="4" w:space="0" w:color="BFBFBF"/>
            </w:tcBorders>
            <w:shd w:val="clear" w:color="auto" w:fill="auto"/>
            <w:hideMark/>
          </w:tcPr>
          <w:p w14:paraId="5FFE9EDC" w14:textId="77777777" w:rsidR="00661E18" w:rsidRPr="00A236E8" w:rsidRDefault="00661E18" w:rsidP="00D02912">
            <w:pPr>
              <w:pStyle w:val="ARtabletextright"/>
            </w:pPr>
            <w:r w:rsidRPr="00A236E8">
              <w:t>434,222</w:t>
            </w:r>
          </w:p>
        </w:tc>
        <w:tc>
          <w:tcPr>
            <w:tcW w:w="1023" w:type="dxa"/>
            <w:tcBorders>
              <w:top w:val="single" w:sz="4" w:space="0" w:color="BFBFBF"/>
              <w:bottom w:val="single" w:sz="4" w:space="0" w:color="BFBFBF"/>
            </w:tcBorders>
            <w:shd w:val="clear" w:color="auto" w:fill="auto"/>
          </w:tcPr>
          <w:p w14:paraId="46214C4B" w14:textId="77777777" w:rsidR="00661E18" w:rsidRPr="00446050" w:rsidRDefault="00661E18" w:rsidP="00D02912">
            <w:pPr>
              <w:pStyle w:val="ARtabletextright"/>
            </w:pPr>
            <w:r w:rsidRPr="00446050">
              <w:t>-0.2%</w:t>
            </w:r>
          </w:p>
        </w:tc>
        <w:tc>
          <w:tcPr>
            <w:tcW w:w="796" w:type="dxa"/>
            <w:tcBorders>
              <w:top w:val="single" w:sz="4" w:space="0" w:color="BFBFBF"/>
              <w:bottom w:val="single" w:sz="4" w:space="0" w:color="BFBFBF"/>
            </w:tcBorders>
            <w:shd w:val="clear" w:color="auto" w:fill="auto"/>
            <w:hideMark/>
          </w:tcPr>
          <w:p w14:paraId="0678A215" w14:textId="77777777" w:rsidR="00661E18" w:rsidRPr="00446050" w:rsidRDefault="00661E18" w:rsidP="00D02912">
            <w:pPr>
              <w:pStyle w:val="ARtableperformancesymbol"/>
              <w:rPr>
                <w:rFonts w:hint="eastAsia"/>
                <w:lang w:val="en-AU"/>
              </w:rPr>
            </w:pPr>
            <w:r w:rsidRPr="00446050">
              <w:t>□</w:t>
            </w:r>
          </w:p>
        </w:tc>
      </w:tr>
      <w:tr w:rsidR="00661E18" w:rsidRPr="00446050" w14:paraId="29543128" w14:textId="77777777" w:rsidTr="00D02912">
        <w:trPr>
          <w:gridAfter w:val="1"/>
          <w:wAfter w:w="8" w:type="dxa"/>
          <w:cantSplit/>
        </w:trPr>
        <w:tc>
          <w:tcPr>
            <w:tcW w:w="4752" w:type="dxa"/>
            <w:tcBorders>
              <w:top w:val="single" w:sz="4" w:space="0" w:color="BFBFBF"/>
              <w:bottom w:val="single" w:sz="4" w:space="0" w:color="A6A6A6"/>
            </w:tcBorders>
            <w:shd w:val="clear" w:color="auto" w:fill="auto"/>
            <w:hideMark/>
          </w:tcPr>
          <w:p w14:paraId="49CA81F7" w14:textId="77777777" w:rsidR="00661E18" w:rsidRPr="00446050" w:rsidRDefault="00661E18" w:rsidP="00D02912">
            <w:pPr>
              <w:pStyle w:val="ARtabletext"/>
            </w:pPr>
            <w:r w:rsidRPr="00446050">
              <w:t>Households receiving water and sewerage concessions</w:t>
            </w:r>
          </w:p>
        </w:tc>
        <w:tc>
          <w:tcPr>
            <w:tcW w:w="1020" w:type="dxa"/>
            <w:tcBorders>
              <w:top w:val="single" w:sz="4" w:space="0" w:color="BFBFBF"/>
              <w:bottom w:val="single" w:sz="4" w:space="0" w:color="A6A6A6"/>
            </w:tcBorders>
            <w:shd w:val="clear" w:color="auto" w:fill="auto"/>
            <w:hideMark/>
          </w:tcPr>
          <w:p w14:paraId="78E8CD00" w14:textId="77777777" w:rsidR="00661E18" w:rsidRPr="00446050" w:rsidRDefault="00661E18" w:rsidP="00D02912">
            <w:pPr>
              <w:pStyle w:val="ARtabletext"/>
            </w:pPr>
            <w:r w:rsidRPr="00446050">
              <w:t>number</w:t>
            </w:r>
          </w:p>
        </w:tc>
        <w:tc>
          <w:tcPr>
            <w:tcW w:w="1020" w:type="dxa"/>
            <w:tcBorders>
              <w:top w:val="single" w:sz="4" w:space="0" w:color="BFBFBF"/>
              <w:bottom w:val="single" w:sz="4" w:space="0" w:color="A6A6A6"/>
            </w:tcBorders>
            <w:shd w:val="clear" w:color="auto" w:fill="auto"/>
            <w:hideMark/>
          </w:tcPr>
          <w:p w14:paraId="160D64E6" w14:textId="77777777" w:rsidR="00661E18" w:rsidRPr="00446050" w:rsidRDefault="00661E18" w:rsidP="00D02912">
            <w:pPr>
              <w:pStyle w:val="ARtabletextright"/>
            </w:pPr>
            <w:r w:rsidRPr="00446050">
              <w:t>687,202</w:t>
            </w:r>
          </w:p>
        </w:tc>
        <w:tc>
          <w:tcPr>
            <w:tcW w:w="1020" w:type="dxa"/>
            <w:tcBorders>
              <w:top w:val="single" w:sz="4" w:space="0" w:color="BFBFBF"/>
              <w:bottom w:val="single" w:sz="4" w:space="0" w:color="A6A6A6"/>
            </w:tcBorders>
            <w:shd w:val="clear" w:color="auto" w:fill="auto"/>
            <w:hideMark/>
          </w:tcPr>
          <w:p w14:paraId="1AE4949D" w14:textId="77777777" w:rsidR="00661E18" w:rsidRPr="00A236E8" w:rsidRDefault="00661E18" w:rsidP="00D02912">
            <w:pPr>
              <w:pStyle w:val="ARtabletextright"/>
            </w:pPr>
            <w:r w:rsidRPr="00A236E8">
              <w:t>691,649</w:t>
            </w:r>
          </w:p>
        </w:tc>
        <w:tc>
          <w:tcPr>
            <w:tcW w:w="1023" w:type="dxa"/>
            <w:tcBorders>
              <w:top w:val="single" w:sz="4" w:space="0" w:color="BFBFBF"/>
              <w:bottom w:val="single" w:sz="4" w:space="0" w:color="A6A6A6"/>
            </w:tcBorders>
            <w:shd w:val="clear" w:color="auto" w:fill="auto"/>
          </w:tcPr>
          <w:p w14:paraId="4E260255" w14:textId="77777777" w:rsidR="00661E18" w:rsidRPr="00446050" w:rsidRDefault="00661E18" w:rsidP="00D02912">
            <w:pPr>
              <w:pStyle w:val="ARtabletextright"/>
            </w:pPr>
            <w:r w:rsidRPr="00446050">
              <w:t>0.6%</w:t>
            </w:r>
          </w:p>
        </w:tc>
        <w:tc>
          <w:tcPr>
            <w:tcW w:w="796" w:type="dxa"/>
            <w:tcBorders>
              <w:top w:val="single" w:sz="4" w:space="0" w:color="BFBFBF"/>
              <w:bottom w:val="single" w:sz="4" w:space="0" w:color="A6A6A6"/>
            </w:tcBorders>
            <w:shd w:val="clear" w:color="auto" w:fill="auto"/>
            <w:hideMark/>
          </w:tcPr>
          <w:p w14:paraId="233452AB"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07741EE4" w14:textId="77777777" w:rsidTr="00D02912">
        <w:trPr>
          <w:gridAfter w:val="1"/>
          <w:wAfter w:w="8" w:type="dxa"/>
          <w:cantSplit/>
        </w:trPr>
        <w:tc>
          <w:tcPr>
            <w:tcW w:w="4752" w:type="dxa"/>
            <w:tcBorders>
              <w:top w:val="single" w:sz="4" w:space="0" w:color="BFBFBF"/>
              <w:bottom w:val="single" w:sz="4" w:space="0" w:color="A6A6A6"/>
            </w:tcBorders>
            <w:shd w:val="clear" w:color="auto" w:fill="auto"/>
          </w:tcPr>
          <w:p w14:paraId="1DEE8681" w14:textId="77777777" w:rsidR="00661E18" w:rsidRPr="00446050" w:rsidRDefault="00661E18" w:rsidP="00D02912">
            <w:pPr>
              <w:pStyle w:val="ARtabletext"/>
            </w:pPr>
            <w:r w:rsidRPr="00446050">
              <w:t>Number of State Trustees clients receiving Financial Administration services</w:t>
            </w:r>
          </w:p>
        </w:tc>
        <w:tc>
          <w:tcPr>
            <w:tcW w:w="1020" w:type="dxa"/>
            <w:tcBorders>
              <w:top w:val="single" w:sz="4" w:space="0" w:color="BFBFBF"/>
              <w:bottom w:val="single" w:sz="4" w:space="0" w:color="A6A6A6"/>
            </w:tcBorders>
            <w:shd w:val="clear" w:color="auto" w:fill="auto"/>
          </w:tcPr>
          <w:p w14:paraId="62AAB477" w14:textId="77777777" w:rsidR="00661E18" w:rsidRPr="00446050" w:rsidRDefault="00661E18" w:rsidP="00D02912">
            <w:pPr>
              <w:pStyle w:val="ARtabletext"/>
            </w:pPr>
            <w:r w:rsidRPr="00446050">
              <w:t>number</w:t>
            </w:r>
          </w:p>
        </w:tc>
        <w:tc>
          <w:tcPr>
            <w:tcW w:w="1020" w:type="dxa"/>
            <w:tcBorders>
              <w:top w:val="single" w:sz="4" w:space="0" w:color="BFBFBF"/>
              <w:bottom w:val="single" w:sz="4" w:space="0" w:color="A6A6A6"/>
            </w:tcBorders>
            <w:shd w:val="clear" w:color="auto" w:fill="auto"/>
          </w:tcPr>
          <w:p w14:paraId="49DA1C83" w14:textId="77777777" w:rsidR="00661E18" w:rsidRPr="00446050" w:rsidRDefault="00661E18" w:rsidP="00D02912">
            <w:pPr>
              <w:pStyle w:val="ARtabletextright"/>
            </w:pPr>
            <w:r w:rsidRPr="00446050">
              <w:t>9,000</w:t>
            </w:r>
          </w:p>
        </w:tc>
        <w:tc>
          <w:tcPr>
            <w:tcW w:w="1020" w:type="dxa"/>
            <w:tcBorders>
              <w:top w:val="single" w:sz="4" w:space="0" w:color="BFBFBF"/>
              <w:bottom w:val="single" w:sz="4" w:space="0" w:color="A6A6A6"/>
            </w:tcBorders>
            <w:shd w:val="clear" w:color="auto" w:fill="auto"/>
          </w:tcPr>
          <w:p w14:paraId="4F849AEA" w14:textId="77777777" w:rsidR="00661E18" w:rsidRPr="00A236E8" w:rsidRDefault="00661E18" w:rsidP="00D02912">
            <w:pPr>
              <w:pStyle w:val="ARtabletextright"/>
            </w:pPr>
            <w:r w:rsidRPr="00A236E8">
              <w:t>9,012</w:t>
            </w:r>
          </w:p>
        </w:tc>
        <w:tc>
          <w:tcPr>
            <w:tcW w:w="1023" w:type="dxa"/>
            <w:tcBorders>
              <w:top w:val="single" w:sz="4" w:space="0" w:color="BFBFBF"/>
              <w:bottom w:val="single" w:sz="4" w:space="0" w:color="A6A6A6"/>
            </w:tcBorders>
            <w:shd w:val="clear" w:color="auto" w:fill="auto"/>
          </w:tcPr>
          <w:p w14:paraId="2D37EE3B" w14:textId="77777777" w:rsidR="00661E18" w:rsidRPr="00446050" w:rsidRDefault="00661E18" w:rsidP="00D02912">
            <w:pPr>
              <w:pStyle w:val="ARtabletextright"/>
            </w:pPr>
            <w:r w:rsidRPr="00446050">
              <w:t>0.1%</w:t>
            </w:r>
          </w:p>
        </w:tc>
        <w:tc>
          <w:tcPr>
            <w:tcW w:w="796" w:type="dxa"/>
            <w:tcBorders>
              <w:top w:val="single" w:sz="4" w:space="0" w:color="BFBFBF"/>
              <w:bottom w:val="single" w:sz="4" w:space="0" w:color="A6A6A6"/>
            </w:tcBorders>
            <w:shd w:val="clear" w:color="auto" w:fill="auto"/>
          </w:tcPr>
          <w:p w14:paraId="55BB2480" w14:textId="77777777" w:rsidR="00661E18" w:rsidRPr="00446050" w:rsidRDefault="00661E18" w:rsidP="00D02912">
            <w:pPr>
              <w:pStyle w:val="ARtableperformancesymbol"/>
              <w:rPr>
                <w:rFonts w:eastAsia="Wingdings" w:cs="Wingdings"/>
              </w:rPr>
            </w:pPr>
            <w:r w:rsidRPr="00446050">
              <w:rPr>
                <w:rFonts w:eastAsia="Wingdings" w:cs="Wingdings"/>
              </w:rPr>
              <w:t></w:t>
            </w:r>
          </w:p>
        </w:tc>
      </w:tr>
      <w:tr w:rsidR="00661E18" w:rsidRPr="00446050" w14:paraId="5DCA50EE" w14:textId="77777777" w:rsidTr="00D02912">
        <w:trPr>
          <w:cantSplit/>
        </w:trPr>
        <w:tc>
          <w:tcPr>
            <w:tcW w:w="4752" w:type="dxa"/>
            <w:tcBorders>
              <w:top w:val="single" w:sz="4" w:space="0" w:color="A6A6A6"/>
            </w:tcBorders>
            <w:shd w:val="clear" w:color="auto" w:fill="auto"/>
            <w:hideMark/>
          </w:tcPr>
          <w:p w14:paraId="0CD1C2E2" w14:textId="77777777" w:rsidR="00661E18" w:rsidRPr="00446050" w:rsidRDefault="00661E18" w:rsidP="00D02912">
            <w:pPr>
              <w:pStyle w:val="ARtabletext"/>
            </w:pPr>
            <w:r w:rsidRPr="00446050">
              <w:t>Number of Utility Relief Grants granted to households</w:t>
            </w:r>
          </w:p>
        </w:tc>
        <w:tc>
          <w:tcPr>
            <w:tcW w:w="1020" w:type="dxa"/>
            <w:tcBorders>
              <w:top w:val="single" w:sz="4" w:space="0" w:color="A6A6A6"/>
            </w:tcBorders>
            <w:shd w:val="clear" w:color="auto" w:fill="auto"/>
            <w:hideMark/>
          </w:tcPr>
          <w:p w14:paraId="662E1877" w14:textId="77777777" w:rsidR="00661E18" w:rsidRPr="00446050" w:rsidRDefault="00661E18" w:rsidP="00D02912">
            <w:pPr>
              <w:pStyle w:val="ARtabletext"/>
            </w:pPr>
            <w:r w:rsidRPr="00446050">
              <w:t>number</w:t>
            </w:r>
          </w:p>
        </w:tc>
        <w:tc>
          <w:tcPr>
            <w:tcW w:w="1020" w:type="dxa"/>
            <w:tcBorders>
              <w:top w:val="single" w:sz="4" w:space="0" w:color="A6A6A6"/>
            </w:tcBorders>
            <w:shd w:val="clear" w:color="auto" w:fill="auto"/>
            <w:hideMark/>
          </w:tcPr>
          <w:p w14:paraId="116D6832" w14:textId="77777777" w:rsidR="00661E18" w:rsidRPr="00446050" w:rsidRDefault="00661E18" w:rsidP="00D02912">
            <w:pPr>
              <w:pStyle w:val="ARtabletextright"/>
            </w:pPr>
            <w:r w:rsidRPr="00446050">
              <w:t>106,165</w:t>
            </w:r>
          </w:p>
        </w:tc>
        <w:tc>
          <w:tcPr>
            <w:tcW w:w="1020" w:type="dxa"/>
            <w:tcBorders>
              <w:top w:val="single" w:sz="4" w:space="0" w:color="A6A6A6"/>
            </w:tcBorders>
            <w:shd w:val="clear" w:color="auto" w:fill="auto"/>
            <w:hideMark/>
          </w:tcPr>
          <w:p w14:paraId="2D430D46" w14:textId="77777777" w:rsidR="00661E18" w:rsidRPr="00A236E8" w:rsidRDefault="00661E18" w:rsidP="00D02912">
            <w:pPr>
              <w:pStyle w:val="ARtabletextright"/>
            </w:pPr>
            <w:r w:rsidRPr="00A236E8">
              <w:t>108,487</w:t>
            </w:r>
          </w:p>
        </w:tc>
        <w:tc>
          <w:tcPr>
            <w:tcW w:w="1023" w:type="dxa"/>
            <w:tcBorders>
              <w:top w:val="single" w:sz="4" w:space="0" w:color="A6A6A6"/>
            </w:tcBorders>
            <w:shd w:val="clear" w:color="auto" w:fill="auto"/>
          </w:tcPr>
          <w:p w14:paraId="0060F85F" w14:textId="77777777" w:rsidR="00661E18" w:rsidRPr="00446050" w:rsidRDefault="00661E18" w:rsidP="00D02912">
            <w:pPr>
              <w:pStyle w:val="ARtabletextright"/>
            </w:pPr>
            <w:r w:rsidRPr="00446050">
              <w:t>2.2%</w:t>
            </w:r>
          </w:p>
        </w:tc>
        <w:tc>
          <w:tcPr>
            <w:tcW w:w="804" w:type="dxa"/>
            <w:gridSpan w:val="2"/>
            <w:tcBorders>
              <w:top w:val="single" w:sz="4" w:space="0" w:color="A6A6A6"/>
            </w:tcBorders>
            <w:shd w:val="clear" w:color="auto" w:fill="auto"/>
            <w:hideMark/>
          </w:tcPr>
          <w:p w14:paraId="232501FF"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5FF9E27D" w14:textId="77777777" w:rsidTr="00D02912">
        <w:trPr>
          <w:cantSplit/>
        </w:trPr>
        <w:tc>
          <w:tcPr>
            <w:tcW w:w="9639" w:type="dxa"/>
            <w:gridSpan w:val="7"/>
            <w:tcBorders>
              <w:top w:val="single" w:sz="4" w:space="0" w:color="auto"/>
              <w:left w:val="nil"/>
              <w:bottom w:val="nil"/>
              <w:right w:val="nil"/>
            </w:tcBorders>
            <w:hideMark/>
          </w:tcPr>
          <w:p w14:paraId="358F92A7" w14:textId="77777777" w:rsidR="00661E18" w:rsidRPr="00A236E8" w:rsidRDefault="00661E18" w:rsidP="00D02912">
            <w:pPr>
              <w:pStyle w:val="ARtablegreybold"/>
            </w:pPr>
            <w:r w:rsidRPr="00A236E8">
              <w:t>Quality</w:t>
            </w:r>
          </w:p>
        </w:tc>
      </w:tr>
      <w:tr w:rsidR="00661E18" w:rsidRPr="00446050" w14:paraId="0C41414D" w14:textId="77777777" w:rsidTr="00D02912">
        <w:trPr>
          <w:gridAfter w:val="1"/>
          <w:wAfter w:w="8" w:type="dxa"/>
          <w:cantSplit/>
        </w:trPr>
        <w:tc>
          <w:tcPr>
            <w:tcW w:w="4752" w:type="dxa"/>
            <w:shd w:val="clear" w:color="auto" w:fill="auto"/>
            <w:hideMark/>
          </w:tcPr>
          <w:p w14:paraId="1072BCBD" w14:textId="77777777" w:rsidR="00661E18" w:rsidRPr="00446050" w:rsidRDefault="00661E18" w:rsidP="00D02912">
            <w:pPr>
              <w:pStyle w:val="ARtabletext"/>
            </w:pPr>
            <w:r w:rsidRPr="00446050">
              <w:t xml:space="preserve">State Trustees client experience index </w:t>
            </w:r>
            <w:r>
              <w:br/>
            </w:r>
            <w:r w:rsidRPr="00446050">
              <w:t>(client satisfaction measure)</w:t>
            </w:r>
          </w:p>
        </w:tc>
        <w:tc>
          <w:tcPr>
            <w:tcW w:w="1020" w:type="dxa"/>
            <w:shd w:val="clear" w:color="auto" w:fill="auto"/>
            <w:hideMark/>
          </w:tcPr>
          <w:p w14:paraId="1CBF64A5" w14:textId="77777777" w:rsidR="00661E18" w:rsidRPr="00446050" w:rsidRDefault="00661E18" w:rsidP="00D02912">
            <w:pPr>
              <w:pStyle w:val="ARtabletext"/>
            </w:pPr>
            <w:r w:rsidRPr="00446050">
              <w:t>number</w:t>
            </w:r>
          </w:p>
        </w:tc>
        <w:tc>
          <w:tcPr>
            <w:tcW w:w="1020" w:type="dxa"/>
            <w:shd w:val="clear" w:color="auto" w:fill="auto"/>
            <w:hideMark/>
          </w:tcPr>
          <w:p w14:paraId="7584DA71" w14:textId="77777777" w:rsidR="00661E18" w:rsidRPr="00446050" w:rsidRDefault="00661E18" w:rsidP="00D02912">
            <w:pPr>
              <w:pStyle w:val="ARtabletextright"/>
            </w:pPr>
            <w:r w:rsidRPr="00446050">
              <w:t>80</w:t>
            </w:r>
          </w:p>
        </w:tc>
        <w:tc>
          <w:tcPr>
            <w:tcW w:w="1020" w:type="dxa"/>
            <w:shd w:val="clear" w:color="auto" w:fill="auto"/>
            <w:hideMark/>
          </w:tcPr>
          <w:p w14:paraId="04BD0C5A" w14:textId="77777777" w:rsidR="00661E18" w:rsidRPr="00A236E8" w:rsidRDefault="00661E18" w:rsidP="00D02912">
            <w:pPr>
              <w:pStyle w:val="ARtabletextright"/>
            </w:pPr>
            <w:r w:rsidRPr="00A236E8">
              <w:t>87</w:t>
            </w:r>
          </w:p>
        </w:tc>
        <w:tc>
          <w:tcPr>
            <w:tcW w:w="1023" w:type="dxa"/>
            <w:shd w:val="clear" w:color="auto" w:fill="auto"/>
          </w:tcPr>
          <w:p w14:paraId="638F905D" w14:textId="77777777" w:rsidR="00661E18" w:rsidRPr="00446050" w:rsidRDefault="00661E18" w:rsidP="00D02912">
            <w:pPr>
              <w:pStyle w:val="ARtabletextright"/>
            </w:pPr>
            <w:r w:rsidRPr="00446050">
              <w:t>8.7%</w:t>
            </w:r>
          </w:p>
        </w:tc>
        <w:tc>
          <w:tcPr>
            <w:tcW w:w="796" w:type="dxa"/>
            <w:shd w:val="clear" w:color="auto" w:fill="auto"/>
            <w:hideMark/>
          </w:tcPr>
          <w:p w14:paraId="15A23E6B"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589A8F48" w14:textId="77777777" w:rsidTr="00D02912">
        <w:trPr>
          <w:cantSplit/>
        </w:trPr>
        <w:tc>
          <w:tcPr>
            <w:tcW w:w="9639" w:type="dxa"/>
            <w:gridSpan w:val="7"/>
            <w:tcBorders>
              <w:bottom w:val="single" w:sz="4" w:space="0" w:color="auto"/>
            </w:tcBorders>
            <w:shd w:val="clear" w:color="auto" w:fill="auto"/>
            <w:noWrap/>
            <w:hideMark/>
          </w:tcPr>
          <w:p w14:paraId="3E72E3D1" w14:textId="7B6B4329" w:rsidR="00661E18" w:rsidRPr="00A236E8" w:rsidRDefault="00661E18" w:rsidP="00D02912">
            <w:pPr>
              <w:pStyle w:val="ARtablenoteindent"/>
            </w:pPr>
            <w:bookmarkStart w:id="153" w:name="_Hlk174702953"/>
            <w:r w:rsidRPr="00A236E8">
              <w:t xml:space="preserve">This revised measure reflects satisfaction more accurately with an index comprised of several drivers of overall satisfaction based on </w:t>
            </w:r>
            <w:r w:rsidR="009D641C" w:rsidRPr="00A236E8">
              <w:t>10</w:t>
            </w:r>
            <w:r w:rsidRPr="00A236E8">
              <w:t xml:space="preserve"> survey questions that captures key aspects of State Trustees</w:t>
            </w:r>
            <w:r w:rsidR="00711AE6">
              <w:t>’</w:t>
            </w:r>
            <w:r w:rsidRPr="00A236E8">
              <w:t xml:space="preserve"> duties and obligations under the Guardianship and Administration Act. The survey questions have been improved to enable better understanding resulting in increased response rates.</w:t>
            </w:r>
          </w:p>
        </w:tc>
      </w:tr>
      <w:bookmarkEnd w:id="153"/>
      <w:tr w:rsidR="00661E18" w:rsidRPr="00446050" w14:paraId="56218131" w14:textId="77777777" w:rsidTr="00D02912">
        <w:trPr>
          <w:cantSplit/>
        </w:trPr>
        <w:tc>
          <w:tcPr>
            <w:tcW w:w="9639" w:type="dxa"/>
            <w:gridSpan w:val="7"/>
            <w:tcBorders>
              <w:top w:val="single" w:sz="4" w:space="0" w:color="auto"/>
              <w:left w:val="nil"/>
              <w:bottom w:val="nil"/>
              <w:right w:val="nil"/>
            </w:tcBorders>
            <w:hideMark/>
          </w:tcPr>
          <w:p w14:paraId="3C77AC80" w14:textId="77777777" w:rsidR="00661E18" w:rsidRPr="00A236E8" w:rsidRDefault="00661E18" w:rsidP="00D02912">
            <w:pPr>
              <w:pStyle w:val="ARtablegreybold"/>
            </w:pPr>
            <w:r w:rsidRPr="00A236E8">
              <w:t>Timeliness</w:t>
            </w:r>
          </w:p>
        </w:tc>
      </w:tr>
      <w:tr w:rsidR="00661E18" w:rsidRPr="00446050" w14:paraId="0C7482C7" w14:textId="77777777" w:rsidTr="00D02912">
        <w:trPr>
          <w:gridAfter w:val="1"/>
          <w:wAfter w:w="8" w:type="dxa"/>
          <w:cantSplit/>
        </w:trPr>
        <w:tc>
          <w:tcPr>
            <w:tcW w:w="4752" w:type="dxa"/>
            <w:shd w:val="clear" w:color="auto" w:fill="auto"/>
            <w:hideMark/>
          </w:tcPr>
          <w:p w14:paraId="5E6614B5" w14:textId="77777777" w:rsidR="00661E18" w:rsidRPr="00446050" w:rsidRDefault="00661E18" w:rsidP="00D02912">
            <w:pPr>
              <w:pStyle w:val="ARtabletext"/>
            </w:pPr>
            <w:r w:rsidRPr="00446050">
              <w:t>Percentage of State Trustees clients onboarded within</w:t>
            </w:r>
            <w:r>
              <w:t> </w:t>
            </w:r>
            <w:r w:rsidRPr="00446050">
              <w:t>45</w:t>
            </w:r>
            <w:r>
              <w:t> </w:t>
            </w:r>
            <w:r w:rsidRPr="00446050">
              <w:t>days</w:t>
            </w:r>
          </w:p>
        </w:tc>
        <w:tc>
          <w:tcPr>
            <w:tcW w:w="1020" w:type="dxa"/>
            <w:shd w:val="clear" w:color="auto" w:fill="auto"/>
            <w:hideMark/>
          </w:tcPr>
          <w:p w14:paraId="0D3550C7" w14:textId="77777777" w:rsidR="00661E18" w:rsidRPr="00446050" w:rsidRDefault="00661E18" w:rsidP="00D02912">
            <w:pPr>
              <w:pStyle w:val="ARtabletext"/>
            </w:pPr>
            <w:r w:rsidRPr="00446050">
              <w:t>per cent</w:t>
            </w:r>
          </w:p>
        </w:tc>
        <w:tc>
          <w:tcPr>
            <w:tcW w:w="1020" w:type="dxa"/>
            <w:shd w:val="clear" w:color="auto" w:fill="auto"/>
            <w:hideMark/>
          </w:tcPr>
          <w:p w14:paraId="5168A0C8" w14:textId="77777777" w:rsidR="00661E18" w:rsidRPr="00446050" w:rsidRDefault="00661E18" w:rsidP="00D02912">
            <w:pPr>
              <w:pStyle w:val="ARtabletextright"/>
            </w:pPr>
            <w:r w:rsidRPr="00446050">
              <w:t>90.0</w:t>
            </w:r>
          </w:p>
        </w:tc>
        <w:tc>
          <w:tcPr>
            <w:tcW w:w="1020" w:type="dxa"/>
            <w:shd w:val="clear" w:color="auto" w:fill="auto"/>
            <w:hideMark/>
          </w:tcPr>
          <w:p w14:paraId="35ED053A" w14:textId="77777777" w:rsidR="00661E18" w:rsidRPr="00A236E8" w:rsidRDefault="00661E18" w:rsidP="00D02912">
            <w:pPr>
              <w:pStyle w:val="ARtabletextright"/>
            </w:pPr>
            <w:r w:rsidRPr="00A236E8">
              <w:t>93.9</w:t>
            </w:r>
          </w:p>
        </w:tc>
        <w:tc>
          <w:tcPr>
            <w:tcW w:w="1023" w:type="dxa"/>
            <w:shd w:val="clear" w:color="auto" w:fill="auto"/>
          </w:tcPr>
          <w:p w14:paraId="60EE637A" w14:textId="77777777" w:rsidR="00661E18" w:rsidRPr="00446050" w:rsidRDefault="00661E18" w:rsidP="00D02912">
            <w:pPr>
              <w:pStyle w:val="ARtabletextright"/>
            </w:pPr>
            <w:r w:rsidRPr="00446050">
              <w:t>4.3%</w:t>
            </w:r>
          </w:p>
        </w:tc>
        <w:tc>
          <w:tcPr>
            <w:tcW w:w="796" w:type="dxa"/>
            <w:shd w:val="clear" w:color="auto" w:fill="auto"/>
            <w:hideMark/>
          </w:tcPr>
          <w:p w14:paraId="346B1E41" w14:textId="77777777" w:rsidR="00661E18" w:rsidRPr="00446050" w:rsidRDefault="00661E18" w:rsidP="00D02912">
            <w:pPr>
              <w:pStyle w:val="ARtableperformancesymbol"/>
              <w:rPr>
                <w:rFonts w:hint="eastAsia"/>
                <w:lang w:val="en-AU"/>
              </w:rPr>
            </w:pPr>
            <w:r w:rsidRPr="00446050">
              <w:rPr>
                <w:rFonts w:eastAsia="Wingdings" w:cs="Wingdings"/>
              </w:rPr>
              <w:t></w:t>
            </w:r>
          </w:p>
        </w:tc>
      </w:tr>
      <w:tr w:rsidR="00661E18" w:rsidRPr="00446050" w14:paraId="10FD0F31" w14:textId="77777777" w:rsidTr="00D02912">
        <w:trPr>
          <w:cantSplit/>
        </w:trPr>
        <w:tc>
          <w:tcPr>
            <w:tcW w:w="9639" w:type="dxa"/>
            <w:gridSpan w:val="7"/>
            <w:tcBorders>
              <w:top w:val="single" w:sz="4" w:space="0" w:color="auto"/>
              <w:left w:val="nil"/>
              <w:right w:val="nil"/>
            </w:tcBorders>
            <w:hideMark/>
          </w:tcPr>
          <w:p w14:paraId="6CC9B3A1" w14:textId="77777777" w:rsidR="00661E18" w:rsidRPr="00A236E8" w:rsidRDefault="00661E18" w:rsidP="00D02912">
            <w:pPr>
              <w:pStyle w:val="ARtablegreybold"/>
            </w:pPr>
            <w:r w:rsidRPr="00A236E8">
              <w:t>Cost</w:t>
            </w:r>
          </w:p>
        </w:tc>
      </w:tr>
      <w:tr w:rsidR="00661E18" w:rsidRPr="00446050" w14:paraId="2E6E2C39" w14:textId="77777777" w:rsidTr="00D02912">
        <w:trPr>
          <w:cantSplit/>
        </w:trPr>
        <w:tc>
          <w:tcPr>
            <w:tcW w:w="4752" w:type="dxa"/>
            <w:hideMark/>
          </w:tcPr>
          <w:p w14:paraId="573C8D43" w14:textId="77777777" w:rsidR="00661E18" w:rsidRPr="00446050" w:rsidRDefault="00661E18" w:rsidP="00D02912">
            <w:pPr>
              <w:pStyle w:val="ARtabletextbold"/>
            </w:pPr>
            <w:r w:rsidRPr="00446050">
              <w:t>Total output cost</w:t>
            </w:r>
          </w:p>
        </w:tc>
        <w:tc>
          <w:tcPr>
            <w:tcW w:w="1020" w:type="dxa"/>
            <w:hideMark/>
          </w:tcPr>
          <w:p w14:paraId="49042199" w14:textId="77777777" w:rsidR="00661E18" w:rsidRPr="00446050" w:rsidRDefault="00661E18" w:rsidP="00D02912">
            <w:pPr>
              <w:pStyle w:val="ARtabletext"/>
              <w:rPr>
                <w:b/>
              </w:rPr>
            </w:pPr>
            <w:r w:rsidRPr="00446050">
              <w:rPr>
                <w:b/>
              </w:rPr>
              <w:t>$ million</w:t>
            </w:r>
          </w:p>
        </w:tc>
        <w:tc>
          <w:tcPr>
            <w:tcW w:w="1020" w:type="dxa"/>
          </w:tcPr>
          <w:p w14:paraId="3E89D7C1" w14:textId="05BE5BE2" w:rsidR="00661E18" w:rsidRPr="00446050" w:rsidRDefault="00661E18" w:rsidP="00D02912">
            <w:pPr>
              <w:pStyle w:val="ARtabletextrightbold"/>
            </w:pPr>
            <w:r w:rsidRPr="00446050">
              <w:t>655</w:t>
            </w:r>
            <w:r w:rsidR="006569E6">
              <w:t>.2</w:t>
            </w:r>
          </w:p>
        </w:tc>
        <w:tc>
          <w:tcPr>
            <w:tcW w:w="1020" w:type="dxa"/>
          </w:tcPr>
          <w:p w14:paraId="4926D38A" w14:textId="77777777" w:rsidR="00661E18" w:rsidRPr="00A236E8" w:rsidRDefault="00661E18" w:rsidP="00D02912">
            <w:pPr>
              <w:pStyle w:val="ARtabletextrightbold"/>
            </w:pPr>
            <w:r w:rsidRPr="00A236E8">
              <w:t>861.6</w:t>
            </w:r>
          </w:p>
        </w:tc>
        <w:tc>
          <w:tcPr>
            <w:tcW w:w="1023" w:type="dxa"/>
          </w:tcPr>
          <w:p w14:paraId="718E3976" w14:textId="77777777" w:rsidR="00661E18" w:rsidRPr="00446050" w:rsidRDefault="00661E18" w:rsidP="00D02912">
            <w:pPr>
              <w:pStyle w:val="ARtabletextrightbold"/>
            </w:pPr>
            <w:r w:rsidRPr="00446050">
              <w:t>31.5%</w:t>
            </w:r>
          </w:p>
        </w:tc>
        <w:tc>
          <w:tcPr>
            <w:tcW w:w="804" w:type="dxa"/>
            <w:gridSpan w:val="2"/>
          </w:tcPr>
          <w:p w14:paraId="783F4605" w14:textId="77777777" w:rsidR="00661E18" w:rsidRPr="00446050" w:rsidRDefault="00661E18" w:rsidP="00D02912">
            <w:pPr>
              <w:pStyle w:val="ARtableperformancesymbol"/>
              <w:rPr>
                <w:rFonts w:hint="eastAsia"/>
                <w:b/>
              </w:rPr>
            </w:pPr>
            <w:r w:rsidRPr="00446050">
              <w:rPr>
                <w:rFonts w:eastAsia="Wingdings" w:cs="Wingdings"/>
              </w:rPr>
              <w:t></w:t>
            </w:r>
          </w:p>
        </w:tc>
      </w:tr>
      <w:tr w:rsidR="00661E18" w:rsidRPr="00532DAE" w14:paraId="3A74524C" w14:textId="77777777" w:rsidTr="00D02912">
        <w:trPr>
          <w:cantSplit/>
        </w:trPr>
        <w:tc>
          <w:tcPr>
            <w:tcW w:w="9639" w:type="dxa"/>
            <w:gridSpan w:val="7"/>
            <w:tcBorders>
              <w:bottom w:val="single" w:sz="2" w:space="0" w:color="000000" w:themeColor="text1"/>
            </w:tcBorders>
            <w:shd w:val="clear" w:color="auto" w:fill="auto"/>
            <w:noWrap/>
            <w:hideMark/>
          </w:tcPr>
          <w:p w14:paraId="53A34AAB" w14:textId="77777777" w:rsidR="00661E18" w:rsidRPr="00532DAE" w:rsidRDefault="00661E18" w:rsidP="00D02912">
            <w:pPr>
              <w:pStyle w:val="ARtablenoteindent"/>
            </w:pPr>
            <w:r w:rsidRPr="00446050">
              <w:t>The higher actual is due to the Commonwealth National Partnership Energy Bill Relief Fund expenditure, which is not included in the target.</w:t>
            </w:r>
          </w:p>
        </w:tc>
      </w:tr>
    </w:tbl>
    <w:p w14:paraId="0A123213" w14:textId="77777777" w:rsidR="00F549D2" w:rsidRPr="008C7661" w:rsidRDefault="00F549D2" w:rsidP="008C7661">
      <w:pPr>
        <w:pStyle w:val="ARbody"/>
      </w:pPr>
      <w:r>
        <w:br w:type="page"/>
      </w:r>
    </w:p>
    <w:p w14:paraId="237D84E9" w14:textId="77777777" w:rsidR="00DD1767" w:rsidRDefault="000E38BD" w:rsidP="00A274A7">
      <w:pPr>
        <w:pStyle w:val="Heading2"/>
        <w:sectPr w:rsidR="00DD1767" w:rsidSect="005936D2">
          <w:footnotePr>
            <w:numFmt w:val="lowerRoman"/>
            <w:numRestart w:val="eachPage"/>
          </w:footnotePr>
          <w:endnotePr>
            <w:numFmt w:val="decimal"/>
          </w:endnotePr>
          <w:type w:val="continuous"/>
          <w:pgSz w:w="11900" w:h="16840" w:code="9"/>
          <w:pgMar w:top="1701" w:right="1134" w:bottom="851" w:left="1134" w:header="510" w:footer="340" w:gutter="0"/>
          <w:cols w:space="448"/>
        </w:sectPr>
      </w:pPr>
      <w:bookmarkStart w:id="154" w:name="_Ref178176987"/>
      <w:bookmarkStart w:id="155" w:name="_Toc181101497"/>
      <w:r w:rsidRPr="006E7C5D">
        <w:t>Discontinued output performance measures</w:t>
      </w:r>
      <w:bookmarkEnd w:id="154"/>
      <w:bookmarkEnd w:id="155"/>
    </w:p>
    <w:p w14:paraId="7CD4AC9A" w14:textId="0C2AF3AC" w:rsidR="000E38BD" w:rsidRPr="006E7C5D" w:rsidRDefault="000E38BD" w:rsidP="0088621E">
      <w:pPr>
        <w:pStyle w:val="ARbody"/>
      </w:pPr>
      <w:r w:rsidRPr="009B0CBE">
        <w:t>The department identified 10 performance measures for discontinuation in the 2023</w:t>
      </w:r>
      <w:r w:rsidR="00E837F9" w:rsidRPr="009B0CBE">
        <w:t>–</w:t>
      </w:r>
      <w:r w:rsidRPr="009B0CBE">
        <w:t>24 State</w:t>
      </w:r>
      <w:r w:rsidR="009B0CBE" w:rsidRPr="009B0CBE">
        <w:t> </w:t>
      </w:r>
      <w:r w:rsidRPr="009B0CBE">
        <w:t>Budget</w:t>
      </w:r>
      <w:r w:rsidRPr="00233486">
        <w:rPr>
          <w:i/>
        </w:rPr>
        <w:t>.</w:t>
      </w:r>
    </w:p>
    <w:p w14:paraId="05EE9AF1" w14:textId="77777777" w:rsidR="000E38BD" w:rsidRPr="009C2C77" w:rsidRDefault="000E38BD" w:rsidP="0088621E">
      <w:pPr>
        <w:pStyle w:val="ARbody"/>
      </w:pPr>
      <w:r w:rsidRPr="009C2C77">
        <w:t>Three measures were proposed to be discontinued following a changed Community Services Agreement with State Trustees:</w:t>
      </w:r>
    </w:p>
    <w:p w14:paraId="2DBAC0EE" w14:textId="3217DF20" w:rsidR="000E38BD" w:rsidRPr="00AC483B" w:rsidRDefault="000E38BD" w:rsidP="0088621E">
      <w:pPr>
        <w:pStyle w:val="ARbullet1"/>
      </w:pPr>
      <w:r w:rsidRPr="00AC483B">
        <w:t>Percentage of Community Service Agreement performance targets that have been achieved by State</w:t>
      </w:r>
      <w:r w:rsidR="00A274A7">
        <w:t> </w:t>
      </w:r>
      <w:r w:rsidRPr="00AC483B">
        <w:t>Trustees</w:t>
      </w:r>
    </w:p>
    <w:p w14:paraId="708838D5" w14:textId="77777777" w:rsidR="000E38BD" w:rsidRDefault="000E38BD" w:rsidP="0088621E">
      <w:pPr>
        <w:pStyle w:val="ARbullet1"/>
      </w:pPr>
      <w:r w:rsidRPr="00745714">
        <w:t>Percentage of customer requests answered by State Trustees within the timelines set in the Community Service Agreement</w:t>
      </w:r>
    </w:p>
    <w:p w14:paraId="34F9436F" w14:textId="77777777" w:rsidR="000E38BD" w:rsidRPr="00745714" w:rsidRDefault="000E38BD" w:rsidP="0088621E">
      <w:pPr>
        <w:pStyle w:val="ARbullet1"/>
      </w:pPr>
      <w:r>
        <w:t xml:space="preserve">Percentage of </w:t>
      </w:r>
      <w:r w:rsidRPr="00D14470">
        <w:t>customers satisfied with State Trustees Limited services</w:t>
      </w:r>
      <w:r>
        <w:t xml:space="preserve">. </w:t>
      </w:r>
    </w:p>
    <w:p w14:paraId="599CBD22" w14:textId="77777777" w:rsidR="000E38BD" w:rsidRPr="0096379B" w:rsidRDefault="000E38BD" w:rsidP="0088621E">
      <w:pPr>
        <w:pStyle w:val="ARbodyafterbullets"/>
      </w:pPr>
      <w:r w:rsidRPr="0096379B">
        <w:t>One measure was discontinued due to no longer being relevant as the service providers delivering these services have transitioned to the National Disability Insurance Scheme:</w:t>
      </w:r>
    </w:p>
    <w:p w14:paraId="6D10A9F3" w14:textId="58000F10" w:rsidR="000E38BD" w:rsidRPr="00F36A9E" w:rsidRDefault="000E38BD" w:rsidP="0088621E">
      <w:pPr>
        <w:pStyle w:val="ARbullet1"/>
      </w:pPr>
      <w:r w:rsidRPr="00F36A9E">
        <w:t>Organisations that have successfully completed a certification review (individualised supports)</w:t>
      </w:r>
      <w:r w:rsidR="00A96EF1">
        <w:t>.</w:t>
      </w:r>
    </w:p>
    <w:p w14:paraId="3354BEFF" w14:textId="036228AD" w:rsidR="000E38BD" w:rsidRDefault="00DD1767" w:rsidP="0088621E">
      <w:pPr>
        <w:pStyle w:val="ARbodyafterbullets"/>
      </w:pPr>
      <w:r>
        <w:br w:type="column"/>
      </w:r>
      <w:r w:rsidR="000E38BD" w:rsidRPr="00812E6D">
        <w:t>One measure was discontinued as the establishment of all 18 support and safety hubs was</w:t>
      </w:r>
      <w:r w:rsidR="009B0CBE">
        <w:t> </w:t>
      </w:r>
      <w:r w:rsidR="000E38BD" w:rsidRPr="00812E6D">
        <w:t>completed in</w:t>
      </w:r>
      <w:r w:rsidR="00166D69">
        <w:t> </w:t>
      </w:r>
      <w:r w:rsidR="000E38BD" w:rsidRPr="00812E6D">
        <w:t>2022</w:t>
      </w:r>
      <w:r w:rsidR="00E837F9">
        <w:t>–</w:t>
      </w:r>
      <w:r w:rsidR="000E38BD" w:rsidRPr="00812E6D">
        <w:t>23:</w:t>
      </w:r>
    </w:p>
    <w:p w14:paraId="55300FE2" w14:textId="3052EE4F" w:rsidR="000E38BD" w:rsidRPr="00083FA9" w:rsidRDefault="000E38BD" w:rsidP="0088621E">
      <w:pPr>
        <w:pStyle w:val="ARbullet1"/>
      </w:pPr>
      <w:r w:rsidRPr="00083FA9">
        <w:t>Support and Safety Hubs established</w:t>
      </w:r>
      <w:r w:rsidR="00A96EF1">
        <w:t>.</w:t>
      </w:r>
    </w:p>
    <w:p w14:paraId="2FDE2360" w14:textId="77777777" w:rsidR="000E38BD" w:rsidRPr="00B34346" w:rsidRDefault="000E38BD" w:rsidP="0088621E">
      <w:pPr>
        <w:pStyle w:val="ARbodyafterbullets"/>
      </w:pPr>
      <w:r w:rsidRPr="00B34346">
        <w:t>Three measures were discontinued in LGBTIQ</w:t>
      </w:r>
      <w:r>
        <w:t>+</w:t>
      </w:r>
      <w:r w:rsidRPr="00B34346">
        <w:t xml:space="preserve"> equality policy and programs output:</w:t>
      </w:r>
    </w:p>
    <w:p w14:paraId="77FFDE48" w14:textId="784B43CB" w:rsidR="000E38BD" w:rsidRDefault="000E38BD" w:rsidP="0088621E">
      <w:pPr>
        <w:pStyle w:val="ARbullet1"/>
      </w:pPr>
      <w:r w:rsidRPr="001E7CEC">
        <w:t>Number of community leaders completing the</w:t>
      </w:r>
      <w:r w:rsidR="009B0CBE">
        <w:t> </w:t>
      </w:r>
      <w:r w:rsidRPr="001E7CEC">
        <w:t>LGBTIQ+ Leadership Program</w:t>
      </w:r>
    </w:p>
    <w:p w14:paraId="2DFF6A24" w14:textId="36998C2A" w:rsidR="000E38BD" w:rsidRDefault="000E38BD" w:rsidP="0088621E">
      <w:pPr>
        <w:pStyle w:val="ARbullet1"/>
      </w:pPr>
      <w:r w:rsidRPr="007826FC">
        <w:t>Number of people who have attended government supported pride events and</w:t>
      </w:r>
      <w:r w:rsidR="009B0CBE">
        <w:t> </w:t>
      </w:r>
      <w:r w:rsidRPr="007826FC">
        <w:t>festivals</w:t>
      </w:r>
    </w:p>
    <w:p w14:paraId="3A97B5D4" w14:textId="6AC6E8D9" w:rsidR="000E38BD" w:rsidRDefault="000E38BD" w:rsidP="0088621E">
      <w:pPr>
        <w:pStyle w:val="ARbullet1"/>
      </w:pPr>
      <w:r w:rsidRPr="00152F69">
        <w:t>Percentage of payments for events made within</w:t>
      </w:r>
      <w:r w:rsidR="009B0CBE">
        <w:t> </w:t>
      </w:r>
      <w:r w:rsidRPr="00152F69">
        <w:t>agreed timeframes</w:t>
      </w:r>
      <w:r w:rsidR="00A96EF1">
        <w:t>.</w:t>
      </w:r>
    </w:p>
    <w:p w14:paraId="69275C2E" w14:textId="77777777" w:rsidR="000E38BD" w:rsidRDefault="000E38BD" w:rsidP="0088621E">
      <w:pPr>
        <w:pStyle w:val="ARbodyafterbullets"/>
      </w:pPr>
      <w:r>
        <w:t>Two measures were discontinued and replaced with new measures:</w:t>
      </w:r>
    </w:p>
    <w:p w14:paraId="26084C92" w14:textId="77777777" w:rsidR="000E38BD" w:rsidRDefault="000E38BD" w:rsidP="0088621E">
      <w:pPr>
        <w:pStyle w:val="ARbullet1"/>
      </w:pPr>
      <w:r w:rsidRPr="00AD2448">
        <w:t>Departments report progress to Office for Disability on state disability plan responsibilities within agreed time frames</w:t>
      </w:r>
    </w:p>
    <w:p w14:paraId="276E3A2F" w14:textId="2BB4473D" w:rsidR="000E38BD" w:rsidRDefault="000E38BD" w:rsidP="00A274A7">
      <w:pPr>
        <w:pStyle w:val="ARbullet1"/>
      </w:pPr>
      <w:r w:rsidRPr="00DB1599">
        <w:t xml:space="preserve">New </w:t>
      </w:r>
      <w:r w:rsidRPr="00A274A7">
        <w:t>University</w:t>
      </w:r>
      <w:r w:rsidRPr="00DB1599">
        <w:t xml:space="preserve"> of the Third Age membership</w:t>
      </w:r>
      <w:r w:rsidR="009B0CBE">
        <w:t> </w:t>
      </w:r>
      <w:r w:rsidRPr="00DB1599">
        <w:t>growth</w:t>
      </w:r>
      <w:r w:rsidR="00A96EF1">
        <w:t>.</w:t>
      </w:r>
    </w:p>
    <w:p w14:paraId="7D217468" w14:textId="5CFC86F6" w:rsidR="000E38BD" w:rsidRPr="00B84C8B" w:rsidRDefault="000E38BD" w:rsidP="00A274A7">
      <w:pPr>
        <w:pStyle w:val="ARbodyafterbullets"/>
        <w:rPr>
          <w:strike/>
        </w:rPr>
      </w:pPr>
      <w:r w:rsidRPr="00BE05E1">
        <w:t>The Public Accounts and Estimates Committee supported the department</w:t>
      </w:r>
      <w:r w:rsidR="00711AE6">
        <w:t>’</w:t>
      </w:r>
      <w:r w:rsidRPr="00BE05E1">
        <w:t>s rationale for the discontinuation in all cases.</w:t>
      </w:r>
    </w:p>
    <w:p w14:paraId="077BB857" w14:textId="77777777" w:rsidR="000E38BD" w:rsidRDefault="000E38BD" w:rsidP="00A274A7">
      <w:pPr>
        <w:pStyle w:val="ARbodyafterbullets"/>
        <w:sectPr w:rsidR="000E38BD" w:rsidSect="00DD1767">
          <w:footnotePr>
            <w:numFmt w:val="lowerRoman"/>
            <w:numRestart w:val="eachPage"/>
          </w:footnotePr>
          <w:endnotePr>
            <w:numFmt w:val="decimal"/>
          </w:endnotePr>
          <w:type w:val="continuous"/>
          <w:pgSz w:w="11900" w:h="16840" w:code="9"/>
          <w:pgMar w:top="1701" w:right="1134" w:bottom="851" w:left="1134" w:header="510" w:footer="340" w:gutter="0"/>
          <w:cols w:num="2" w:space="448"/>
        </w:sectPr>
      </w:pPr>
    </w:p>
    <w:p w14:paraId="305B8D24" w14:textId="77777777" w:rsidR="000E38BD" w:rsidRPr="00DB773E" w:rsidRDefault="000E38BD" w:rsidP="00214966">
      <w:pPr>
        <w:pStyle w:val="Heading2"/>
      </w:pPr>
      <w:bookmarkStart w:id="156" w:name="_Ref178660519"/>
      <w:bookmarkStart w:id="157" w:name="_Ref178660604"/>
      <w:bookmarkStart w:id="158" w:name="_Toc181101498"/>
      <w:r w:rsidRPr="00DB773E">
        <w:t>Departmental financial summary</w:t>
      </w:r>
      <w:bookmarkEnd w:id="156"/>
      <w:bookmarkEnd w:id="157"/>
      <w:bookmarkEnd w:id="158"/>
    </w:p>
    <w:tbl>
      <w:tblPr>
        <w:tblStyle w:val="TableGrid"/>
        <w:tblW w:w="5000" w:type="pct"/>
        <w:tblLayout w:type="fixed"/>
        <w:tblLook w:val="02A0" w:firstRow="1" w:lastRow="0" w:firstColumn="1" w:lastColumn="0" w:noHBand="1" w:noVBand="0"/>
      </w:tblPr>
      <w:tblGrid>
        <w:gridCol w:w="5374"/>
        <w:gridCol w:w="1416"/>
        <w:gridCol w:w="1416"/>
        <w:gridCol w:w="1416"/>
      </w:tblGrid>
      <w:tr w:rsidR="00A26930" w:rsidRPr="003114D0" w14:paraId="128EB15E" w14:textId="77777777" w:rsidTr="00A26930">
        <w:trPr>
          <w:cnfStyle w:val="100000000000" w:firstRow="1" w:lastRow="0" w:firstColumn="0" w:lastColumn="0" w:oddVBand="0" w:evenVBand="0" w:oddHBand="0" w:evenHBand="0" w:firstRowFirstColumn="0" w:firstRowLastColumn="0" w:lastRowFirstColumn="0" w:lastRowLastColumn="0"/>
        </w:trPr>
        <w:tc>
          <w:tcPr>
            <w:tcW w:w="5374" w:type="dxa"/>
          </w:tcPr>
          <w:p w14:paraId="43426602" w14:textId="1AA7FD85" w:rsidR="00A26930" w:rsidRPr="008500BA" w:rsidRDefault="00A26930" w:rsidP="00A26930">
            <w:pPr>
              <w:pStyle w:val="ARfintablecolhead"/>
              <w:rPr>
                <w:rFonts w:cs="Calibri"/>
              </w:rPr>
            </w:pPr>
            <w:r w:rsidRPr="002029AF">
              <w:t>Five-year financial summary ($ millions)</w:t>
            </w:r>
          </w:p>
        </w:tc>
        <w:tc>
          <w:tcPr>
            <w:tcW w:w="1416" w:type="dxa"/>
          </w:tcPr>
          <w:p w14:paraId="655042F3" w14:textId="07D35A4E" w:rsidR="00A26930" w:rsidRPr="00DB773E" w:rsidRDefault="00A26930" w:rsidP="00A26930">
            <w:pPr>
              <w:pStyle w:val="ARtablecolheadright"/>
              <w:rPr>
                <w:highlight w:val="yellow"/>
              </w:rPr>
            </w:pPr>
            <w:r>
              <w:t>2024</w:t>
            </w:r>
          </w:p>
        </w:tc>
        <w:tc>
          <w:tcPr>
            <w:tcW w:w="1416" w:type="dxa"/>
          </w:tcPr>
          <w:p w14:paraId="53255784" w14:textId="670673C2" w:rsidR="00A26930" w:rsidRPr="008500BA" w:rsidRDefault="00A26930" w:rsidP="00A26930">
            <w:pPr>
              <w:pStyle w:val="ARtablecolheadright"/>
            </w:pPr>
            <w:r>
              <w:t xml:space="preserve"> </w:t>
            </w:r>
            <w:r w:rsidRPr="002029AF">
              <w:t>20</w:t>
            </w:r>
            <w:r>
              <w:t>23</w:t>
            </w:r>
          </w:p>
        </w:tc>
        <w:tc>
          <w:tcPr>
            <w:tcW w:w="1416" w:type="dxa"/>
          </w:tcPr>
          <w:p w14:paraId="5A9B4ABA" w14:textId="27F98917" w:rsidR="00A26930" w:rsidRPr="008500BA" w:rsidRDefault="00A26930" w:rsidP="00A26930">
            <w:pPr>
              <w:pStyle w:val="ARtablecolheadright"/>
            </w:pPr>
            <w:r>
              <w:t>2022</w:t>
            </w:r>
          </w:p>
        </w:tc>
      </w:tr>
      <w:tr w:rsidR="00A26930" w:rsidRPr="003114D0" w14:paraId="6CEB84CC" w14:textId="77777777" w:rsidTr="00A26930">
        <w:tc>
          <w:tcPr>
            <w:tcW w:w="5374" w:type="dxa"/>
          </w:tcPr>
          <w:p w14:paraId="073716ED" w14:textId="2ABEF1DC" w:rsidR="00A26930" w:rsidRPr="008500BA" w:rsidRDefault="00A26930" w:rsidP="00A26930">
            <w:pPr>
              <w:pStyle w:val="ARtabletext"/>
              <w:rPr>
                <w:rFonts w:cs="Calibri"/>
              </w:rPr>
            </w:pPr>
            <w:r w:rsidRPr="002029AF">
              <w:t>Income from government</w:t>
            </w:r>
          </w:p>
        </w:tc>
        <w:tc>
          <w:tcPr>
            <w:tcW w:w="1416" w:type="dxa"/>
          </w:tcPr>
          <w:p w14:paraId="67774947" w14:textId="1EDB2E72" w:rsidR="00A26930" w:rsidRPr="00DB773E" w:rsidRDefault="00A26930" w:rsidP="00A26930">
            <w:pPr>
              <w:pStyle w:val="ARtabletextright"/>
              <w:rPr>
                <w:highlight w:val="yellow"/>
              </w:rPr>
            </w:pPr>
            <w:r w:rsidRPr="00CE6376">
              <w:t>5,381.7</w:t>
            </w:r>
          </w:p>
        </w:tc>
        <w:tc>
          <w:tcPr>
            <w:tcW w:w="1416" w:type="dxa"/>
          </w:tcPr>
          <w:p w14:paraId="6643180F" w14:textId="3F503065" w:rsidR="00A26930" w:rsidRPr="008500BA" w:rsidRDefault="00A26930" w:rsidP="00A26930">
            <w:pPr>
              <w:pStyle w:val="ARtabletextright"/>
            </w:pPr>
            <w:r>
              <w:t>5,047.5</w:t>
            </w:r>
          </w:p>
        </w:tc>
        <w:tc>
          <w:tcPr>
            <w:tcW w:w="1416" w:type="dxa"/>
          </w:tcPr>
          <w:p w14:paraId="36FEED89" w14:textId="7428E06D" w:rsidR="00A26930" w:rsidRPr="008500BA" w:rsidRDefault="00A26930" w:rsidP="00A26930">
            <w:pPr>
              <w:pStyle w:val="ARtabletextright"/>
            </w:pPr>
            <w:r>
              <w:t>6,583.4</w:t>
            </w:r>
            <w:r w:rsidR="00B04C06">
              <w:t xml:space="preserve"> </w:t>
            </w:r>
          </w:p>
        </w:tc>
      </w:tr>
      <w:tr w:rsidR="00A26930" w:rsidRPr="003114D0" w14:paraId="105B331C" w14:textId="77777777" w:rsidTr="00A26930">
        <w:tc>
          <w:tcPr>
            <w:tcW w:w="5374" w:type="dxa"/>
          </w:tcPr>
          <w:p w14:paraId="225272C2" w14:textId="5D228BFC" w:rsidR="00A26930" w:rsidRPr="008500BA" w:rsidRDefault="00A26930" w:rsidP="00A26930">
            <w:pPr>
              <w:pStyle w:val="ARtabletext"/>
              <w:rPr>
                <w:rFonts w:cs="Calibri"/>
              </w:rPr>
            </w:pPr>
            <w:r w:rsidRPr="002029AF">
              <w:t>Total revenue and income from transactions</w:t>
            </w:r>
          </w:p>
        </w:tc>
        <w:tc>
          <w:tcPr>
            <w:tcW w:w="1416" w:type="dxa"/>
          </w:tcPr>
          <w:p w14:paraId="50093EA3" w14:textId="5A0B7FC7" w:rsidR="00A26930" w:rsidRPr="00DB773E" w:rsidRDefault="00A26930" w:rsidP="00A26930">
            <w:pPr>
              <w:pStyle w:val="ARtabletextright"/>
              <w:rPr>
                <w:highlight w:val="yellow"/>
              </w:rPr>
            </w:pPr>
            <w:r w:rsidRPr="00CE6376">
              <w:t>6,398.0</w:t>
            </w:r>
          </w:p>
        </w:tc>
        <w:tc>
          <w:tcPr>
            <w:tcW w:w="1416" w:type="dxa"/>
          </w:tcPr>
          <w:p w14:paraId="0DB4DBF8" w14:textId="3F62C2D8" w:rsidR="00A26930" w:rsidRPr="008500BA" w:rsidRDefault="00A26930" w:rsidP="00A26930">
            <w:pPr>
              <w:pStyle w:val="ARtabletextright"/>
            </w:pPr>
            <w:r>
              <w:t xml:space="preserve">6,038.0 </w:t>
            </w:r>
          </w:p>
        </w:tc>
        <w:tc>
          <w:tcPr>
            <w:tcW w:w="1416" w:type="dxa"/>
          </w:tcPr>
          <w:p w14:paraId="6E676A05" w14:textId="6C076E8C" w:rsidR="00A26930" w:rsidRPr="008500BA" w:rsidRDefault="00A26930" w:rsidP="00A26930">
            <w:pPr>
              <w:pStyle w:val="ARtabletextright"/>
            </w:pPr>
            <w:r>
              <w:t>8.021.4</w:t>
            </w:r>
          </w:p>
        </w:tc>
      </w:tr>
      <w:tr w:rsidR="00A26930" w:rsidRPr="003114D0" w14:paraId="633BBD40" w14:textId="77777777" w:rsidTr="00A26930">
        <w:tc>
          <w:tcPr>
            <w:tcW w:w="5374" w:type="dxa"/>
          </w:tcPr>
          <w:p w14:paraId="15C4853A" w14:textId="5EB7ECB1" w:rsidR="00A26930" w:rsidRPr="008500BA" w:rsidRDefault="00A26930" w:rsidP="00A26930">
            <w:pPr>
              <w:pStyle w:val="ARtabletext"/>
              <w:rPr>
                <w:rFonts w:cs="Calibri"/>
              </w:rPr>
            </w:pPr>
            <w:r w:rsidRPr="002029AF">
              <w:t>Total expenses from transactions</w:t>
            </w:r>
          </w:p>
        </w:tc>
        <w:tc>
          <w:tcPr>
            <w:tcW w:w="1416" w:type="dxa"/>
          </w:tcPr>
          <w:p w14:paraId="2F37C38F" w14:textId="0C3043A9" w:rsidR="00A26930" w:rsidRPr="00DB773E" w:rsidRDefault="00A26930" w:rsidP="00A26930">
            <w:pPr>
              <w:pStyle w:val="ARtabletextright"/>
              <w:rPr>
                <w:highlight w:val="yellow"/>
              </w:rPr>
            </w:pPr>
            <w:r>
              <w:t>(</w:t>
            </w:r>
            <w:r w:rsidRPr="00CE6376">
              <w:t>6,999.7</w:t>
            </w:r>
            <w:r>
              <w:t>)</w:t>
            </w:r>
          </w:p>
        </w:tc>
        <w:tc>
          <w:tcPr>
            <w:tcW w:w="1416" w:type="dxa"/>
          </w:tcPr>
          <w:p w14:paraId="0956155A" w14:textId="5E515DF5" w:rsidR="00A26930" w:rsidRPr="008500BA" w:rsidRDefault="00B04C06" w:rsidP="00A26930">
            <w:pPr>
              <w:pStyle w:val="ARtabletextright"/>
            </w:pPr>
            <w:r>
              <w:t xml:space="preserve"> </w:t>
            </w:r>
            <w:r w:rsidR="00A26930">
              <w:t>(6,282.1)</w:t>
            </w:r>
            <w:r>
              <w:t xml:space="preserve"> </w:t>
            </w:r>
          </w:p>
        </w:tc>
        <w:tc>
          <w:tcPr>
            <w:tcW w:w="1416" w:type="dxa"/>
          </w:tcPr>
          <w:p w14:paraId="467DCD5A" w14:textId="57EC617F" w:rsidR="00A26930" w:rsidRPr="008500BA" w:rsidRDefault="00A26930" w:rsidP="00A26930">
            <w:pPr>
              <w:pStyle w:val="ARtabletextright"/>
            </w:pPr>
            <w:r>
              <w:t>(7,669.5)</w:t>
            </w:r>
          </w:p>
        </w:tc>
      </w:tr>
      <w:tr w:rsidR="00A26930" w:rsidRPr="003114D0" w14:paraId="7EC9EDA9" w14:textId="77777777" w:rsidTr="00EA4AAB">
        <w:tc>
          <w:tcPr>
            <w:tcW w:w="5374" w:type="dxa"/>
            <w:shd w:val="clear" w:color="auto" w:fill="auto"/>
          </w:tcPr>
          <w:p w14:paraId="05D82C00" w14:textId="5033DDE6" w:rsidR="00A26930" w:rsidRPr="00825816" w:rsidRDefault="00A26930" w:rsidP="00A26930">
            <w:pPr>
              <w:pStyle w:val="ARtabletext"/>
              <w:rPr>
                <w:rFonts w:cs="Calibri"/>
              </w:rPr>
            </w:pPr>
            <w:r w:rsidRPr="00825816">
              <w:t>Net result from transactions</w:t>
            </w:r>
          </w:p>
        </w:tc>
        <w:tc>
          <w:tcPr>
            <w:tcW w:w="1416" w:type="dxa"/>
            <w:shd w:val="clear" w:color="auto" w:fill="auto"/>
          </w:tcPr>
          <w:p w14:paraId="511CB71E" w14:textId="256ADAEE" w:rsidR="00A26930" w:rsidRPr="00EA4AAB" w:rsidRDefault="00A26930" w:rsidP="00A26930">
            <w:pPr>
              <w:pStyle w:val="ARtabletextright"/>
            </w:pPr>
            <w:r w:rsidRPr="00825816">
              <w:t>(601.7)</w:t>
            </w:r>
          </w:p>
        </w:tc>
        <w:tc>
          <w:tcPr>
            <w:tcW w:w="1416" w:type="dxa"/>
            <w:shd w:val="clear" w:color="auto" w:fill="auto"/>
          </w:tcPr>
          <w:p w14:paraId="55A9DFCD" w14:textId="13CF3735" w:rsidR="00A26930" w:rsidRPr="00825816" w:rsidRDefault="00A26930" w:rsidP="00A26930">
            <w:pPr>
              <w:pStyle w:val="ARtabletextright"/>
            </w:pPr>
            <w:r w:rsidRPr="00825816">
              <w:t>(244.1)</w:t>
            </w:r>
          </w:p>
        </w:tc>
        <w:tc>
          <w:tcPr>
            <w:tcW w:w="1416" w:type="dxa"/>
            <w:shd w:val="clear" w:color="auto" w:fill="auto"/>
          </w:tcPr>
          <w:p w14:paraId="70FB9682" w14:textId="1CF4C7E6" w:rsidR="00A26930" w:rsidRPr="00825816" w:rsidRDefault="00A26930" w:rsidP="00A26930">
            <w:pPr>
              <w:pStyle w:val="ARtabletextright"/>
            </w:pPr>
            <w:r w:rsidRPr="00825816">
              <w:t>351.8</w:t>
            </w:r>
          </w:p>
        </w:tc>
      </w:tr>
      <w:tr w:rsidR="00A26930" w:rsidRPr="003114D0" w14:paraId="321F9E79" w14:textId="77777777" w:rsidTr="00A26930">
        <w:tc>
          <w:tcPr>
            <w:tcW w:w="5374" w:type="dxa"/>
          </w:tcPr>
          <w:p w14:paraId="23AF7717" w14:textId="402FDED3" w:rsidR="00A26930" w:rsidRPr="008500BA" w:rsidRDefault="00A26930" w:rsidP="00A26930">
            <w:pPr>
              <w:pStyle w:val="ARtabletext"/>
              <w:rPr>
                <w:rFonts w:cs="Calibri"/>
              </w:rPr>
            </w:pPr>
            <w:r w:rsidRPr="002029AF">
              <w:t>Net result for the period</w:t>
            </w:r>
          </w:p>
        </w:tc>
        <w:tc>
          <w:tcPr>
            <w:tcW w:w="1416" w:type="dxa"/>
          </w:tcPr>
          <w:p w14:paraId="1D78693A" w14:textId="723C5D53" w:rsidR="00A26930" w:rsidRPr="00DB773E" w:rsidRDefault="00A26930" w:rsidP="00A26930">
            <w:pPr>
              <w:pStyle w:val="ARtabletextright"/>
              <w:rPr>
                <w:highlight w:val="yellow"/>
              </w:rPr>
            </w:pPr>
            <w:r>
              <w:t>(</w:t>
            </w:r>
            <w:r w:rsidRPr="00CE6376">
              <w:t>638.4</w:t>
            </w:r>
            <w:r>
              <w:t>)</w:t>
            </w:r>
          </w:p>
        </w:tc>
        <w:tc>
          <w:tcPr>
            <w:tcW w:w="1416" w:type="dxa"/>
          </w:tcPr>
          <w:p w14:paraId="2F698E91" w14:textId="5A7CDE0D" w:rsidR="00A26930" w:rsidRPr="008500BA" w:rsidRDefault="00A26930" w:rsidP="00A26930">
            <w:pPr>
              <w:pStyle w:val="ARtabletextright"/>
            </w:pPr>
            <w:r>
              <w:t>(264.7)</w:t>
            </w:r>
          </w:p>
        </w:tc>
        <w:tc>
          <w:tcPr>
            <w:tcW w:w="1416" w:type="dxa"/>
          </w:tcPr>
          <w:p w14:paraId="7F8F28DD" w14:textId="226522CD" w:rsidR="00A26930" w:rsidRPr="008500BA" w:rsidRDefault="00A26930" w:rsidP="00A26930">
            <w:pPr>
              <w:pStyle w:val="ARtabletextright"/>
            </w:pPr>
            <w:r>
              <w:t>335.9</w:t>
            </w:r>
          </w:p>
        </w:tc>
      </w:tr>
      <w:tr w:rsidR="00A26930" w:rsidRPr="003114D0" w14:paraId="29976409" w14:textId="77777777" w:rsidTr="00A26930">
        <w:tc>
          <w:tcPr>
            <w:tcW w:w="5374" w:type="dxa"/>
          </w:tcPr>
          <w:p w14:paraId="020F48ED" w14:textId="6A5A7761" w:rsidR="00A26930" w:rsidRPr="008500BA" w:rsidRDefault="00A26930" w:rsidP="00A26930">
            <w:pPr>
              <w:pStyle w:val="ARtabletext"/>
              <w:rPr>
                <w:rFonts w:cs="Calibri"/>
              </w:rPr>
            </w:pPr>
            <w:r w:rsidRPr="002029AF">
              <w:t>Net cash flow from operating activities</w:t>
            </w:r>
            <w:r w:rsidR="00B04C06">
              <w:t xml:space="preserve"> </w:t>
            </w:r>
          </w:p>
        </w:tc>
        <w:tc>
          <w:tcPr>
            <w:tcW w:w="1416" w:type="dxa"/>
          </w:tcPr>
          <w:p w14:paraId="1F6D4BB8" w14:textId="526B4A63" w:rsidR="00A26930" w:rsidRPr="00DB773E" w:rsidRDefault="00A26930" w:rsidP="00A26930">
            <w:pPr>
              <w:pStyle w:val="ARtabletextright"/>
              <w:rPr>
                <w:highlight w:val="yellow"/>
              </w:rPr>
            </w:pPr>
            <w:r>
              <w:t>(</w:t>
            </w:r>
            <w:r w:rsidRPr="00CE6376">
              <w:t>224.5</w:t>
            </w:r>
            <w:r>
              <w:t>)</w:t>
            </w:r>
          </w:p>
        </w:tc>
        <w:tc>
          <w:tcPr>
            <w:tcW w:w="1416" w:type="dxa"/>
          </w:tcPr>
          <w:p w14:paraId="3EFE9E59" w14:textId="3474C217" w:rsidR="00A26930" w:rsidRPr="008500BA" w:rsidRDefault="00A26930" w:rsidP="00A26930">
            <w:pPr>
              <w:pStyle w:val="ARtabletextright"/>
            </w:pPr>
            <w:r>
              <w:t>182.5</w:t>
            </w:r>
          </w:p>
        </w:tc>
        <w:tc>
          <w:tcPr>
            <w:tcW w:w="1416" w:type="dxa"/>
          </w:tcPr>
          <w:p w14:paraId="490D9845" w14:textId="75A58995" w:rsidR="00A26930" w:rsidRPr="008500BA" w:rsidRDefault="00A26930" w:rsidP="00A26930">
            <w:pPr>
              <w:pStyle w:val="ARtabletextright"/>
            </w:pPr>
            <w:r>
              <w:t>548.2</w:t>
            </w:r>
          </w:p>
        </w:tc>
      </w:tr>
      <w:tr w:rsidR="00A26930" w:rsidRPr="003114D0" w14:paraId="634B7704" w14:textId="77777777" w:rsidTr="00A26930">
        <w:tc>
          <w:tcPr>
            <w:tcW w:w="5374" w:type="dxa"/>
          </w:tcPr>
          <w:p w14:paraId="2FE5865C" w14:textId="3D05011A" w:rsidR="00A26930" w:rsidRPr="008500BA" w:rsidRDefault="00A26930" w:rsidP="00A26930">
            <w:pPr>
              <w:pStyle w:val="ARtabletext"/>
              <w:rPr>
                <w:rFonts w:cs="Calibri"/>
              </w:rPr>
            </w:pPr>
            <w:r w:rsidRPr="002029AF">
              <w:t>Total assets</w:t>
            </w:r>
          </w:p>
        </w:tc>
        <w:tc>
          <w:tcPr>
            <w:tcW w:w="1416" w:type="dxa"/>
          </w:tcPr>
          <w:p w14:paraId="13605024" w14:textId="4806791C" w:rsidR="00A26930" w:rsidRPr="00DB773E" w:rsidRDefault="00A26930" w:rsidP="00A26930">
            <w:pPr>
              <w:pStyle w:val="ARtabletextright"/>
              <w:rPr>
                <w:highlight w:val="yellow"/>
              </w:rPr>
            </w:pPr>
            <w:r w:rsidRPr="00CE6376">
              <w:t>40,495.</w:t>
            </w:r>
            <w:r>
              <w:t>4</w:t>
            </w:r>
          </w:p>
        </w:tc>
        <w:tc>
          <w:tcPr>
            <w:tcW w:w="1416" w:type="dxa"/>
          </w:tcPr>
          <w:p w14:paraId="70EF2AF3" w14:textId="1630E214" w:rsidR="00A26930" w:rsidRPr="008500BA" w:rsidRDefault="00A26930" w:rsidP="00A26930">
            <w:pPr>
              <w:pStyle w:val="ARtabletextright"/>
            </w:pPr>
            <w:r>
              <w:t>38,565.6</w:t>
            </w:r>
          </w:p>
        </w:tc>
        <w:tc>
          <w:tcPr>
            <w:tcW w:w="1416" w:type="dxa"/>
          </w:tcPr>
          <w:p w14:paraId="224F9D1F" w14:textId="6A9C20D2" w:rsidR="00A26930" w:rsidRPr="008500BA" w:rsidRDefault="00A26930" w:rsidP="00A26930">
            <w:pPr>
              <w:pStyle w:val="ARtabletextright"/>
            </w:pPr>
            <w:r>
              <w:t>38,113.8</w:t>
            </w:r>
          </w:p>
        </w:tc>
      </w:tr>
      <w:tr w:rsidR="00A26930" w:rsidRPr="003114D0" w14:paraId="62D47668" w14:textId="77777777" w:rsidTr="00A26930">
        <w:tc>
          <w:tcPr>
            <w:tcW w:w="5374" w:type="dxa"/>
          </w:tcPr>
          <w:p w14:paraId="6121BC9A" w14:textId="4FD300BB" w:rsidR="00A26930" w:rsidRPr="008500BA" w:rsidRDefault="00A26930" w:rsidP="00A26930">
            <w:pPr>
              <w:pStyle w:val="ARtabletext"/>
              <w:rPr>
                <w:rFonts w:cs="Calibri"/>
              </w:rPr>
            </w:pPr>
            <w:r w:rsidRPr="002029AF">
              <w:t>Total liabilities</w:t>
            </w:r>
          </w:p>
        </w:tc>
        <w:tc>
          <w:tcPr>
            <w:tcW w:w="1416" w:type="dxa"/>
          </w:tcPr>
          <w:p w14:paraId="664D4C37" w14:textId="7E01FE03" w:rsidR="00A26930" w:rsidRPr="00DB773E" w:rsidRDefault="00A26930" w:rsidP="00A26930">
            <w:pPr>
              <w:pStyle w:val="ARtabletextright"/>
              <w:rPr>
                <w:highlight w:val="yellow"/>
              </w:rPr>
            </w:pPr>
            <w:r w:rsidRPr="00CE6376">
              <w:t>1,933.1</w:t>
            </w:r>
          </w:p>
        </w:tc>
        <w:tc>
          <w:tcPr>
            <w:tcW w:w="1416" w:type="dxa"/>
          </w:tcPr>
          <w:p w14:paraId="3E71C5E1" w14:textId="573D4E56" w:rsidR="00A26930" w:rsidRPr="008500BA" w:rsidRDefault="00A26930" w:rsidP="00A26930">
            <w:pPr>
              <w:pStyle w:val="ARtabletextright"/>
            </w:pPr>
            <w:r>
              <w:t>1,383.6</w:t>
            </w:r>
          </w:p>
        </w:tc>
        <w:tc>
          <w:tcPr>
            <w:tcW w:w="1416" w:type="dxa"/>
          </w:tcPr>
          <w:p w14:paraId="2DC111CB" w14:textId="02A416B2" w:rsidR="00A26930" w:rsidRPr="008500BA" w:rsidRDefault="00A26930" w:rsidP="00A26930">
            <w:pPr>
              <w:pStyle w:val="ARtabletextright"/>
            </w:pPr>
            <w:r>
              <w:t>1,337.6</w:t>
            </w:r>
          </w:p>
        </w:tc>
      </w:tr>
    </w:tbl>
    <w:p w14:paraId="369DD94D" w14:textId="0D4E28EE" w:rsidR="00DD1767" w:rsidRDefault="00DD1767" w:rsidP="00DD1767">
      <w:pPr>
        <w:pStyle w:val="ARbody"/>
      </w:pPr>
      <w:r>
        <w:br w:type="page"/>
      </w:r>
    </w:p>
    <w:p w14:paraId="0A84E471" w14:textId="77777777" w:rsidR="00DD1767" w:rsidRPr="008C7661" w:rsidRDefault="00DD1767" w:rsidP="008C7661">
      <w:pPr>
        <w:pStyle w:val="ARbody"/>
        <w:sectPr w:rsidR="00DD1767" w:rsidRPr="008C7661" w:rsidSect="00DD1767">
          <w:headerReference w:type="even" r:id="rId79"/>
          <w:footerReference w:type="even" r:id="rId80"/>
          <w:headerReference w:type="first" r:id="rId81"/>
          <w:footerReference w:type="first" r:id="rId82"/>
          <w:footnotePr>
            <w:numFmt w:val="lowerRoman"/>
            <w:numRestart w:val="eachPage"/>
          </w:footnotePr>
          <w:endnotePr>
            <w:numFmt w:val="decimal"/>
          </w:endnotePr>
          <w:type w:val="continuous"/>
          <w:pgSz w:w="11900" w:h="16840" w:code="9"/>
          <w:pgMar w:top="1701" w:right="1134" w:bottom="851" w:left="1134" w:header="510" w:footer="340" w:gutter="0"/>
          <w:cols w:space="454"/>
        </w:sectPr>
      </w:pPr>
    </w:p>
    <w:p w14:paraId="0BCF4F92" w14:textId="35C36103" w:rsidR="000E38BD" w:rsidRPr="0045737C" w:rsidRDefault="000E38BD" w:rsidP="007A0740">
      <w:pPr>
        <w:pStyle w:val="Heading3"/>
        <w:spacing w:before="0"/>
      </w:pPr>
      <w:r w:rsidRPr="0045737C">
        <w:t>Departmental financial arrangements</w:t>
      </w:r>
    </w:p>
    <w:p w14:paraId="7AA37C0E" w14:textId="49396BA6" w:rsidR="004059FB" w:rsidRDefault="004059FB" w:rsidP="004059FB">
      <w:pPr>
        <w:pStyle w:val="ARbody"/>
        <w:rPr>
          <w:lang w:eastAsia="en-AU"/>
        </w:rPr>
      </w:pPr>
      <w:r w:rsidRPr="002109F2">
        <w:rPr>
          <w:lang w:eastAsia="en-AU"/>
        </w:rPr>
        <w:t>The department</w:t>
      </w:r>
      <w:r w:rsidR="00711AE6">
        <w:rPr>
          <w:lang w:eastAsia="en-AU"/>
        </w:rPr>
        <w:t>’</w:t>
      </w:r>
      <w:r w:rsidRPr="002109F2">
        <w:rPr>
          <w:lang w:eastAsia="en-AU"/>
        </w:rPr>
        <w:t xml:space="preserve">s audited financial statements presented in this annual report </w:t>
      </w:r>
      <w:r>
        <w:rPr>
          <w:lang w:eastAsia="en-AU"/>
        </w:rPr>
        <w:t>includes</w:t>
      </w:r>
      <w:r w:rsidRPr="002109F2">
        <w:rPr>
          <w:lang w:eastAsia="en-AU"/>
        </w:rPr>
        <w:t xml:space="preserve"> entities within the department</w:t>
      </w:r>
      <w:r w:rsidR="00711AE6">
        <w:rPr>
          <w:lang w:eastAsia="en-AU"/>
        </w:rPr>
        <w:t>’</w:t>
      </w:r>
      <w:r w:rsidRPr="002109F2">
        <w:rPr>
          <w:lang w:eastAsia="en-AU"/>
        </w:rPr>
        <w:t>s portfolio that are not controlled by the department.</w:t>
      </w:r>
    </w:p>
    <w:p w14:paraId="23B7B395" w14:textId="491DAA9D" w:rsidR="00DD1767" w:rsidRDefault="004059FB" w:rsidP="00DD1767">
      <w:pPr>
        <w:pStyle w:val="ARbody"/>
        <w:rPr>
          <w:lang w:eastAsia="en-AU"/>
        </w:rPr>
      </w:pPr>
      <w:r w:rsidRPr="002109F2">
        <w:rPr>
          <w:lang w:eastAsia="en-AU"/>
        </w:rPr>
        <w:t>To enable efficient production of financial statements for smaller entities within the department</w:t>
      </w:r>
      <w:r w:rsidR="00711AE6">
        <w:rPr>
          <w:lang w:eastAsia="en-AU"/>
        </w:rPr>
        <w:t>’</w:t>
      </w:r>
      <w:r w:rsidRPr="002109F2">
        <w:rPr>
          <w:lang w:eastAsia="en-AU"/>
        </w:rPr>
        <w:t xml:space="preserve">s portfolio and to recognise the </w:t>
      </w:r>
      <w:r>
        <w:rPr>
          <w:lang w:eastAsia="en-AU"/>
        </w:rPr>
        <w:t>Homes Victoria</w:t>
      </w:r>
      <w:r w:rsidRPr="002109F2">
        <w:rPr>
          <w:lang w:eastAsia="en-AU"/>
        </w:rPr>
        <w:t xml:space="preserve"> entity operating within the department</w:t>
      </w:r>
      <w:r w:rsidR="00711AE6">
        <w:rPr>
          <w:lang w:eastAsia="en-AU"/>
        </w:rPr>
        <w:t>’</w:t>
      </w:r>
      <w:r w:rsidRPr="002109F2">
        <w:rPr>
          <w:lang w:eastAsia="en-AU"/>
        </w:rPr>
        <w:t xml:space="preserve">s business structure, pursuant to s. 53(1) (b) of the </w:t>
      </w:r>
      <w:r w:rsidRPr="00215C83">
        <w:rPr>
          <w:rStyle w:val="Emphasis"/>
        </w:rPr>
        <w:t>Financial Management Act 1994</w:t>
      </w:r>
      <w:r w:rsidRPr="002109F2">
        <w:rPr>
          <w:lang w:eastAsia="en-AU"/>
        </w:rPr>
        <w:t>, the Assistant Treasurer has granted approval for the department to prepare financial statements incorporating the following entities which form part of the Department of Family Fairness and Housing reporting entity:</w:t>
      </w:r>
    </w:p>
    <w:p w14:paraId="2A5B45DC" w14:textId="23165346" w:rsidR="004059FB" w:rsidRPr="002029AF" w:rsidRDefault="004059FB" w:rsidP="00DD1767">
      <w:pPr>
        <w:pStyle w:val="ARbullet1"/>
        <w:rPr>
          <w:lang w:eastAsia="en-AU"/>
        </w:rPr>
      </w:pPr>
      <w:r>
        <w:rPr>
          <w:lang w:eastAsia="en-AU"/>
        </w:rPr>
        <w:t>Homes Victoria</w:t>
      </w:r>
    </w:p>
    <w:p w14:paraId="1198B85F" w14:textId="77777777" w:rsidR="00CA1C0F" w:rsidRPr="00CA1C0F" w:rsidRDefault="004059FB">
      <w:pPr>
        <w:pStyle w:val="ARbullet1"/>
        <w:rPr>
          <w:color w:val="000000" w:themeColor="text1"/>
          <w:lang w:eastAsia="en-AU"/>
        </w:rPr>
      </w:pPr>
      <w:r w:rsidRPr="002029AF">
        <w:rPr>
          <w:lang w:eastAsia="en-AU"/>
        </w:rPr>
        <w:t>Commission for Children and Young People</w:t>
      </w:r>
    </w:p>
    <w:p w14:paraId="65EAEA75" w14:textId="192DEAE3" w:rsidR="004059FB" w:rsidRPr="00CA1C0F" w:rsidRDefault="00CA1C0F">
      <w:pPr>
        <w:pStyle w:val="ARbullet1"/>
        <w:rPr>
          <w:color w:val="000000" w:themeColor="text1"/>
          <w:lang w:eastAsia="en-AU"/>
        </w:rPr>
      </w:pPr>
      <w:r>
        <w:rPr>
          <w:lang w:eastAsia="en-AU"/>
        </w:rPr>
        <w:br w:type="column"/>
      </w:r>
      <w:r w:rsidR="004059FB" w:rsidRPr="00CA1C0F">
        <w:rPr>
          <w:color w:val="000000" w:themeColor="text1"/>
          <w:lang w:eastAsia="en-AU"/>
        </w:rPr>
        <w:t>Respect Victoria</w:t>
      </w:r>
    </w:p>
    <w:p w14:paraId="00318803" w14:textId="603836EB" w:rsidR="004059FB" w:rsidRPr="00C60FBE" w:rsidRDefault="004059FB" w:rsidP="004059FB">
      <w:pPr>
        <w:pStyle w:val="ARbullet1"/>
        <w:rPr>
          <w:lang w:eastAsia="en-AU"/>
        </w:rPr>
      </w:pPr>
      <w:r w:rsidRPr="00C60FBE">
        <w:rPr>
          <w:lang w:eastAsia="en-AU"/>
        </w:rPr>
        <w:t xml:space="preserve">Victorian Multicultural Commission – effective from 1 February 2024 as part of </w:t>
      </w:r>
      <w:r w:rsidR="0042274E">
        <w:rPr>
          <w:lang w:eastAsia="en-AU"/>
        </w:rPr>
        <w:t>M</w:t>
      </w:r>
      <w:r w:rsidR="00C41E2B" w:rsidRPr="00C60FBE">
        <w:rPr>
          <w:lang w:eastAsia="en-AU"/>
        </w:rPr>
        <w:t xml:space="preserve">achinery </w:t>
      </w:r>
      <w:r w:rsidRPr="00C60FBE">
        <w:rPr>
          <w:lang w:eastAsia="en-AU"/>
        </w:rPr>
        <w:t xml:space="preserve">of </w:t>
      </w:r>
      <w:r w:rsidR="0042274E">
        <w:rPr>
          <w:lang w:eastAsia="en-AU"/>
        </w:rPr>
        <w:t>G</w:t>
      </w:r>
      <w:r w:rsidR="00C41E2B" w:rsidRPr="00C60FBE">
        <w:rPr>
          <w:lang w:eastAsia="en-AU"/>
        </w:rPr>
        <w:t xml:space="preserve">overnment </w:t>
      </w:r>
      <w:r w:rsidRPr="00C60FBE">
        <w:rPr>
          <w:lang w:eastAsia="en-AU"/>
        </w:rPr>
        <w:t>changes</w:t>
      </w:r>
    </w:p>
    <w:p w14:paraId="073B9816" w14:textId="7653044E" w:rsidR="004059FB" w:rsidRDefault="004059FB" w:rsidP="004059FB">
      <w:pPr>
        <w:pStyle w:val="ARbullet1"/>
        <w:rPr>
          <w:lang w:eastAsia="en-AU"/>
        </w:rPr>
      </w:pPr>
      <w:r>
        <w:rPr>
          <w:lang w:eastAsia="en-AU"/>
        </w:rPr>
        <w:t>Victorian Veteran</w:t>
      </w:r>
      <w:r w:rsidR="00711AE6">
        <w:rPr>
          <w:lang w:eastAsia="en-AU"/>
        </w:rPr>
        <w:t>’</w:t>
      </w:r>
      <w:r>
        <w:rPr>
          <w:lang w:eastAsia="en-AU"/>
        </w:rPr>
        <w:t>s Council</w:t>
      </w:r>
    </w:p>
    <w:p w14:paraId="144631ED" w14:textId="4767A15B" w:rsidR="004059FB" w:rsidRPr="00EA4AAB" w:rsidRDefault="004059FB" w:rsidP="00EA4AAB">
      <w:pPr>
        <w:pStyle w:val="ARbullet1"/>
      </w:pPr>
      <w:bookmarkStart w:id="159" w:name="_Hlk142913649"/>
      <w:r w:rsidRPr="00EA4AAB">
        <w:t>Victoria Disabilities Worker</w:t>
      </w:r>
      <w:r w:rsidR="00711AE6">
        <w:t>’</w:t>
      </w:r>
      <w:r w:rsidRPr="00EA4AAB">
        <w:t>s Commission</w:t>
      </w:r>
    </w:p>
    <w:p w14:paraId="743EA160" w14:textId="5224B660" w:rsidR="004059FB" w:rsidRPr="00EA4AAB" w:rsidRDefault="004059FB" w:rsidP="00EA4AAB">
      <w:pPr>
        <w:pStyle w:val="ARbullet1"/>
      </w:pPr>
      <w:bookmarkStart w:id="160" w:name="_Hlk142913619"/>
      <w:bookmarkEnd w:id="159"/>
      <w:r w:rsidRPr="00EA4AAB">
        <w:t>Disability Worker Registration Board</w:t>
      </w:r>
      <w:bookmarkEnd w:id="160"/>
      <w:r w:rsidR="00AD3038">
        <w:t>.</w:t>
      </w:r>
    </w:p>
    <w:p w14:paraId="21C1DBA9" w14:textId="15BBB173" w:rsidR="004059FB" w:rsidRPr="002029AF" w:rsidRDefault="004059FB" w:rsidP="00CA1C0F">
      <w:pPr>
        <w:pStyle w:val="ARbodyafterbullets"/>
        <w:rPr>
          <w:lang w:eastAsia="en-AU"/>
        </w:rPr>
      </w:pPr>
      <w:r w:rsidRPr="002109F2">
        <w:rPr>
          <w:lang w:eastAsia="en-AU"/>
        </w:rPr>
        <w:t xml:space="preserve">As a public non-financial corporation, the majority of income for the </w:t>
      </w:r>
      <w:r>
        <w:rPr>
          <w:lang w:eastAsia="en-AU"/>
        </w:rPr>
        <w:t>Homes Victoria</w:t>
      </w:r>
      <w:r w:rsidRPr="002109F2">
        <w:rPr>
          <w:lang w:eastAsia="en-AU"/>
        </w:rPr>
        <w:t xml:space="preserve"> entity is derived from business operations primarily in the form of public housing rental, along with revenue provided by government through annual appropriation</w:t>
      </w:r>
      <w:r w:rsidR="00F40710">
        <w:rPr>
          <w:lang w:eastAsia="en-AU"/>
        </w:rPr>
        <w:t> </w:t>
      </w:r>
      <w:r w:rsidRPr="002109F2">
        <w:rPr>
          <w:lang w:eastAsia="en-AU"/>
        </w:rPr>
        <w:t>processes.</w:t>
      </w:r>
    </w:p>
    <w:p w14:paraId="7BAFC402" w14:textId="6DA60210" w:rsidR="00DD1767" w:rsidRDefault="004059FB" w:rsidP="004059FB">
      <w:pPr>
        <w:pStyle w:val="ARbody"/>
        <w:rPr>
          <w:lang w:eastAsia="en-AU"/>
        </w:rPr>
        <w:sectPr w:rsidR="00DD1767"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r w:rsidRPr="002029AF">
        <w:rPr>
          <w:lang w:eastAsia="en-AU"/>
        </w:rPr>
        <w:t xml:space="preserve">Detailed financial results for </w:t>
      </w:r>
      <w:r>
        <w:rPr>
          <w:lang w:eastAsia="en-AU"/>
        </w:rPr>
        <w:t>Homes Victoria</w:t>
      </w:r>
      <w:r w:rsidRPr="002029AF">
        <w:rPr>
          <w:lang w:eastAsia="en-AU"/>
        </w:rPr>
        <w:t xml:space="preserve"> are included in the appendices of the annual report, following the department</w:t>
      </w:r>
      <w:r w:rsidR="00711AE6">
        <w:rPr>
          <w:lang w:eastAsia="en-AU"/>
        </w:rPr>
        <w:t>’</w:t>
      </w:r>
      <w:r w:rsidRPr="002029AF">
        <w:rPr>
          <w:lang w:eastAsia="en-AU"/>
        </w:rPr>
        <w:t>s audited financial</w:t>
      </w:r>
      <w:r w:rsidR="00BE6894">
        <w:rPr>
          <w:lang w:eastAsia="en-AU"/>
        </w:rPr>
        <w:t> </w:t>
      </w:r>
      <w:r w:rsidRPr="002029AF">
        <w:rPr>
          <w:lang w:eastAsia="en-AU"/>
        </w:rPr>
        <w:t>statements.</w:t>
      </w:r>
    </w:p>
    <w:p w14:paraId="20FF6A4E" w14:textId="77777777" w:rsidR="00DD1767" w:rsidRDefault="004059FB" w:rsidP="000C263B">
      <w:pPr>
        <w:pStyle w:val="Heading2"/>
        <w:spacing w:before="360"/>
        <w:sectPr w:rsidR="00DD1767" w:rsidSect="00DD1767">
          <w:footnotePr>
            <w:numFmt w:val="lowerRoman"/>
            <w:numRestart w:val="eachPage"/>
          </w:footnotePr>
          <w:endnotePr>
            <w:numFmt w:val="decimal"/>
          </w:endnotePr>
          <w:type w:val="continuous"/>
          <w:pgSz w:w="11900" w:h="16840" w:code="9"/>
          <w:pgMar w:top="1701" w:right="1134" w:bottom="851" w:left="1134" w:header="510" w:footer="340" w:gutter="0"/>
          <w:cols w:space="454"/>
        </w:sectPr>
      </w:pPr>
      <w:bookmarkStart w:id="161" w:name="_Toc181101499"/>
      <w:r w:rsidRPr="00A53667">
        <w:t>Current year financial</w:t>
      </w:r>
      <w:r w:rsidR="00DD1767">
        <w:t> </w:t>
      </w:r>
      <w:r w:rsidRPr="00A53667">
        <w:t>summary</w:t>
      </w:r>
      <w:bookmarkEnd w:id="161"/>
    </w:p>
    <w:p w14:paraId="1632A842" w14:textId="14AA1022" w:rsidR="004059FB" w:rsidRPr="002029AF" w:rsidRDefault="004059FB" w:rsidP="00DD1767">
      <w:pPr>
        <w:pStyle w:val="ARbody"/>
        <w:spacing w:line="240" w:lineRule="atLeast"/>
        <w:rPr>
          <w:lang w:eastAsia="en-AU"/>
        </w:rPr>
      </w:pPr>
      <w:r w:rsidRPr="002029AF">
        <w:rPr>
          <w:lang w:eastAsia="en-AU"/>
        </w:rPr>
        <w:t>The details below relate to the department</w:t>
      </w:r>
      <w:r w:rsidR="00711AE6">
        <w:rPr>
          <w:lang w:eastAsia="en-AU"/>
        </w:rPr>
        <w:t>’</w:t>
      </w:r>
      <w:r w:rsidRPr="002029AF">
        <w:rPr>
          <w:lang w:eastAsia="en-AU"/>
        </w:rPr>
        <w:t>s consolidated financial statements including the entities outlined above.</w:t>
      </w:r>
    </w:p>
    <w:p w14:paraId="306DAC0B" w14:textId="5AB403F0" w:rsidR="004059FB" w:rsidRPr="00BE6894" w:rsidRDefault="004059FB" w:rsidP="00DD1767">
      <w:pPr>
        <w:pStyle w:val="ARbody"/>
        <w:spacing w:line="240" w:lineRule="atLeast"/>
        <w:rPr>
          <w:lang w:eastAsia="en-AU"/>
        </w:rPr>
      </w:pPr>
      <w:bookmarkStart w:id="162" w:name="_Hlk111823612"/>
      <w:r w:rsidRPr="00B338A1">
        <w:rPr>
          <w:lang w:eastAsia="en-AU"/>
        </w:rPr>
        <w:t xml:space="preserve">The </w:t>
      </w:r>
      <w:r w:rsidR="007A2164">
        <w:rPr>
          <w:lang w:eastAsia="en-AU"/>
        </w:rPr>
        <w:t>d</w:t>
      </w:r>
      <w:r w:rsidRPr="00B338A1">
        <w:rPr>
          <w:lang w:eastAsia="en-AU"/>
        </w:rPr>
        <w:t>epartment</w:t>
      </w:r>
      <w:r w:rsidR="00711AE6">
        <w:rPr>
          <w:lang w:eastAsia="en-AU"/>
        </w:rPr>
        <w:t>’</w:t>
      </w:r>
      <w:r w:rsidRPr="00B338A1">
        <w:rPr>
          <w:lang w:eastAsia="en-AU"/>
        </w:rPr>
        <w:t>s net result from transactions for the financial year ended 30 June 202</w:t>
      </w:r>
      <w:r>
        <w:rPr>
          <w:lang w:eastAsia="en-AU"/>
        </w:rPr>
        <w:t>4</w:t>
      </w:r>
      <w:r w:rsidRPr="00B338A1">
        <w:rPr>
          <w:lang w:eastAsia="en-AU"/>
        </w:rPr>
        <w:t xml:space="preserve"> is a deficit of $</w:t>
      </w:r>
      <w:r>
        <w:rPr>
          <w:lang w:eastAsia="en-AU"/>
        </w:rPr>
        <w:t>601</w:t>
      </w:r>
      <w:r w:rsidRPr="00B338A1">
        <w:rPr>
          <w:lang w:eastAsia="en-AU"/>
        </w:rPr>
        <w:t>.</w:t>
      </w:r>
      <w:r>
        <w:rPr>
          <w:lang w:eastAsia="en-AU"/>
        </w:rPr>
        <w:t>7</w:t>
      </w:r>
      <w:r w:rsidRPr="00B338A1">
        <w:rPr>
          <w:lang w:eastAsia="en-AU"/>
        </w:rPr>
        <w:t xml:space="preserve"> million, compared with a </w:t>
      </w:r>
      <w:r>
        <w:rPr>
          <w:lang w:eastAsia="en-AU"/>
        </w:rPr>
        <w:t>deficit</w:t>
      </w:r>
      <w:r w:rsidRPr="00B338A1">
        <w:rPr>
          <w:lang w:eastAsia="en-AU"/>
        </w:rPr>
        <w:t xml:space="preserve"> of $</w:t>
      </w:r>
      <w:r>
        <w:rPr>
          <w:lang w:eastAsia="en-AU"/>
        </w:rPr>
        <w:t>244</w:t>
      </w:r>
      <w:r w:rsidRPr="00B338A1">
        <w:rPr>
          <w:lang w:eastAsia="en-AU"/>
        </w:rPr>
        <w:t>.</w:t>
      </w:r>
      <w:r>
        <w:rPr>
          <w:lang w:eastAsia="en-AU"/>
        </w:rPr>
        <w:t>1</w:t>
      </w:r>
      <w:r w:rsidR="00624D5D">
        <w:rPr>
          <w:lang w:eastAsia="en-AU"/>
        </w:rPr>
        <w:t> </w:t>
      </w:r>
      <w:r w:rsidRPr="00B338A1">
        <w:rPr>
          <w:lang w:eastAsia="en-AU"/>
        </w:rPr>
        <w:t>million for 30 June 202</w:t>
      </w:r>
      <w:r>
        <w:rPr>
          <w:lang w:eastAsia="en-AU"/>
        </w:rPr>
        <w:t>3</w:t>
      </w:r>
      <w:r w:rsidRPr="00B338A1">
        <w:rPr>
          <w:lang w:eastAsia="en-AU"/>
        </w:rPr>
        <w:t>.</w:t>
      </w:r>
      <w:r w:rsidR="00B04C06">
        <w:rPr>
          <w:lang w:eastAsia="en-AU"/>
        </w:rPr>
        <w:t xml:space="preserve"> </w:t>
      </w:r>
      <w:r w:rsidRPr="00B338A1">
        <w:rPr>
          <w:lang w:eastAsia="en-AU"/>
        </w:rPr>
        <w:t>With the inclusion of other economic flows of $</w:t>
      </w:r>
      <w:r>
        <w:rPr>
          <w:lang w:eastAsia="en-AU"/>
        </w:rPr>
        <w:t>36</w:t>
      </w:r>
      <w:r w:rsidRPr="00B338A1">
        <w:rPr>
          <w:lang w:eastAsia="en-AU"/>
        </w:rPr>
        <w:t>.</w:t>
      </w:r>
      <w:r>
        <w:rPr>
          <w:lang w:eastAsia="en-AU"/>
        </w:rPr>
        <w:t>7</w:t>
      </w:r>
      <w:r w:rsidRPr="00B338A1">
        <w:rPr>
          <w:lang w:eastAsia="en-AU"/>
        </w:rPr>
        <w:t xml:space="preserve"> million deficit, the net result for the financial year is a deficit of $</w:t>
      </w:r>
      <w:r>
        <w:rPr>
          <w:lang w:eastAsia="en-AU"/>
        </w:rPr>
        <w:t>638</w:t>
      </w:r>
      <w:r w:rsidRPr="00B338A1">
        <w:rPr>
          <w:lang w:eastAsia="en-AU"/>
        </w:rPr>
        <w:t>.</w:t>
      </w:r>
      <w:r>
        <w:rPr>
          <w:lang w:eastAsia="en-AU"/>
        </w:rPr>
        <w:t>4</w:t>
      </w:r>
      <w:r w:rsidR="00624D5D">
        <w:rPr>
          <w:lang w:eastAsia="en-AU"/>
        </w:rPr>
        <w:t> </w:t>
      </w:r>
      <w:r w:rsidRPr="00B338A1">
        <w:rPr>
          <w:lang w:eastAsia="en-AU"/>
        </w:rPr>
        <w:t xml:space="preserve">million, compared to a </w:t>
      </w:r>
      <w:r w:rsidR="00E520F5">
        <w:rPr>
          <w:lang w:eastAsia="en-AU"/>
        </w:rPr>
        <w:t>deficit</w:t>
      </w:r>
      <w:r w:rsidR="00E520F5" w:rsidRPr="00B338A1">
        <w:rPr>
          <w:lang w:eastAsia="en-AU"/>
        </w:rPr>
        <w:t xml:space="preserve"> </w:t>
      </w:r>
      <w:r w:rsidRPr="00B338A1">
        <w:rPr>
          <w:lang w:eastAsia="en-AU"/>
        </w:rPr>
        <w:t>of $</w:t>
      </w:r>
      <w:r>
        <w:rPr>
          <w:lang w:eastAsia="en-AU"/>
        </w:rPr>
        <w:t>264</w:t>
      </w:r>
      <w:r w:rsidRPr="00B338A1">
        <w:rPr>
          <w:lang w:eastAsia="en-AU"/>
        </w:rPr>
        <w:t>.</w:t>
      </w:r>
      <w:r>
        <w:rPr>
          <w:lang w:eastAsia="en-AU"/>
        </w:rPr>
        <w:t>7</w:t>
      </w:r>
      <w:r w:rsidRPr="00B338A1">
        <w:rPr>
          <w:lang w:eastAsia="en-AU"/>
        </w:rPr>
        <w:t xml:space="preserve"> million in</w:t>
      </w:r>
      <w:r w:rsidR="00BE6894">
        <w:rPr>
          <w:lang w:eastAsia="en-AU"/>
        </w:rPr>
        <w:t> </w:t>
      </w:r>
      <w:r w:rsidRPr="00B338A1">
        <w:rPr>
          <w:lang w:eastAsia="en-AU"/>
        </w:rPr>
        <w:t>202</w:t>
      </w:r>
      <w:r>
        <w:rPr>
          <w:lang w:eastAsia="en-AU"/>
        </w:rPr>
        <w:t>3</w:t>
      </w:r>
      <w:r w:rsidRPr="00492C66">
        <w:rPr>
          <w:lang w:eastAsia="en-AU"/>
        </w:rPr>
        <w:t>.</w:t>
      </w:r>
    </w:p>
    <w:p w14:paraId="5FC10CDB" w14:textId="4707F7E9" w:rsidR="00DD1767" w:rsidRDefault="004059FB" w:rsidP="00DD1767">
      <w:pPr>
        <w:pStyle w:val="ARbody"/>
        <w:spacing w:line="240" w:lineRule="atLeast"/>
      </w:pPr>
      <w:r w:rsidRPr="00492C66">
        <w:rPr>
          <w:lang w:eastAsia="en-AU"/>
        </w:rPr>
        <w:t xml:space="preserve">The </w:t>
      </w:r>
      <w:r>
        <w:rPr>
          <w:lang w:eastAsia="en-AU"/>
        </w:rPr>
        <w:t>deficit from transactions</w:t>
      </w:r>
      <w:r w:rsidRPr="00492C66">
        <w:rPr>
          <w:lang w:eastAsia="en-AU"/>
        </w:rPr>
        <w:t xml:space="preserve"> primarily relates </w:t>
      </w:r>
      <w:r w:rsidRPr="002E4F7F">
        <w:rPr>
          <w:lang w:eastAsia="en-AU"/>
        </w:rPr>
        <w:t xml:space="preserve">to </w:t>
      </w:r>
      <w:r>
        <w:rPr>
          <w:lang w:eastAsia="en-AU"/>
        </w:rPr>
        <w:t xml:space="preserve">a </w:t>
      </w:r>
      <w:r w:rsidRPr="002E4F7F">
        <w:rPr>
          <w:lang w:eastAsia="en-AU"/>
        </w:rPr>
        <w:t>$</w:t>
      </w:r>
      <w:r>
        <w:rPr>
          <w:lang w:eastAsia="en-AU"/>
        </w:rPr>
        <w:t>428.6</w:t>
      </w:r>
      <w:r w:rsidRPr="002E4F7F">
        <w:rPr>
          <w:lang w:eastAsia="en-AU"/>
        </w:rPr>
        <w:t xml:space="preserve"> million deficit in Homes Victoria</w:t>
      </w:r>
      <w:r>
        <w:rPr>
          <w:lang w:eastAsia="en-AU"/>
        </w:rPr>
        <w:t xml:space="preserve"> reflecting </w:t>
      </w:r>
      <w:r w:rsidRPr="000F63E7">
        <w:t>the acquittal of government investment which was recognised as revenue in 2022–23 as part of the Big Housing Build to grow social and affordable housing in Victoria.</w:t>
      </w:r>
      <w:r>
        <w:t xml:space="preserve"> Another main contributor to the net deficit from transactions is a h</w:t>
      </w:r>
      <w:r w:rsidRPr="00EA1CF1">
        <w:t xml:space="preserve">igher insurance expense </w:t>
      </w:r>
      <w:r>
        <w:t>in 2023</w:t>
      </w:r>
      <w:r w:rsidR="00624D5D">
        <w:t>–</w:t>
      </w:r>
      <w:r>
        <w:t xml:space="preserve">24, resulting in an </w:t>
      </w:r>
      <w:r w:rsidRPr="00EA1CF1">
        <w:t>increased provision for civil claims</w:t>
      </w:r>
      <w:r>
        <w:t>.</w:t>
      </w:r>
    </w:p>
    <w:p w14:paraId="6460E095" w14:textId="65FE16E4" w:rsidR="004059FB" w:rsidRPr="00CA1C0F" w:rsidRDefault="00DD1767" w:rsidP="00DD1767">
      <w:pPr>
        <w:pStyle w:val="Heading3"/>
        <w:spacing w:before="120"/>
        <w:rPr>
          <w:spacing w:val="-8"/>
        </w:rPr>
      </w:pPr>
      <w:r>
        <w:br w:type="column"/>
      </w:r>
      <w:bookmarkEnd w:id="162"/>
      <w:r w:rsidR="004059FB" w:rsidRPr="00CA1C0F">
        <w:rPr>
          <w:spacing w:val="-8"/>
        </w:rPr>
        <w:t>Financial Position – balance</w:t>
      </w:r>
      <w:r w:rsidRPr="00CA1C0F">
        <w:rPr>
          <w:spacing w:val="-8"/>
        </w:rPr>
        <w:t> </w:t>
      </w:r>
      <w:r w:rsidR="004059FB" w:rsidRPr="00CA1C0F">
        <w:rPr>
          <w:spacing w:val="-8"/>
        </w:rPr>
        <w:t>sheet</w:t>
      </w:r>
    </w:p>
    <w:p w14:paraId="73949B01" w14:textId="03DF9632" w:rsidR="004059FB" w:rsidRDefault="004059FB" w:rsidP="00DD1767">
      <w:pPr>
        <w:pStyle w:val="ARbody"/>
        <w:spacing w:line="240" w:lineRule="atLeast"/>
        <w:rPr>
          <w:lang w:eastAsia="en-AU"/>
        </w:rPr>
      </w:pPr>
      <w:r>
        <w:rPr>
          <w:lang w:eastAsia="en-AU"/>
        </w:rPr>
        <w:t xml:space="preserve">The </w:t>
      </w:r>
      <w:r w:rsidR="007A2164">
        <w:rPr>
          <w:lang w:eastAsia="en-AU"/>
        </w:rPr>
        <w:t>d</w:t>
      </w:r>
      <w:r>
        <w:rPr>
          <w:lang w:eastAsia="en-AU"/>
        </w:rPr>
        <w:t>epartment</w:t>
      </w:r>
      <w:r w:rsidR="00711AE6">
        <w:rPr>
          <w:lang w:eastAsia="en-AU"/>
        </w:rPr>
        <w:t>’</w:t>
      </w:r>
      <w:r>
        <w:rPr>
          <w:lang w:eastAsia="en-AU"/>
        </w:rPr>
        <w:t>s net asset base as at 30 June 2024 was $38,562.3 million, comprising total assets</w:t>
      </w:r>
      <w:r w:rsidR="00DD1767">
        <w:rPr>
          <w:lang w:eastAsia="en-AU"/>
        </w:rPr>
        <w:t> </w:t>
      </w:r>
      <w:r>
        <w:rPr>
          <w:lang w:eastAsia="en-AU"/>
        </w:rPr>
        <w:t>of $40,495.4 million and total liabilities $1,933.1</w:t>
      </w:r>
      <w:r w:rsidR="00DD1767">
        <w:rPr>
          <w:lang w:eastAsia="en-AU"/>
        </w:rPr>
        <w:t> </w:t>
      </w:r>
      <w:r>
        <w:rPr>
          <w:lang w:eastAsia="en-AU"/>
        </w:rPr>
        <w:t>million.</w:t>
      </w:r>
    </w:p>
    <w:p w14:paraId="270B5E44" w14:textId="75B5E7A3" w:rsidR="004059FB" w:rsidRDefault="004059FB" w:rsidP="00DD1767">
      <w:pPr>
        <w:pStyle w:val="ARbody"/>
        <w:spacing w:line="240" w:lineRule="atLeast"/>
        <w:rPr>
          <w:lang w:eastAsia="en-AU"/>
        </w:rPr>
      </w:pPr>
      <w:r>
        <w:rPr>
          <w:lang w:eastAsia="en-AU"/>
        </w:rPr>
        <w:t>Total assets have increased by $1,929.8 million in</w:t>
      </w:r>
      <w:r w:rsidR="00EB6E24">
        <w:rPr>
          <w:lang w:eastAsia="en-AU"/>
        </w:rPr>
        <w:t> </w:t>
      </w:r>
      <w:r>
        <w:rPr>
          <w:lang w:eastAsia="en-AU"/>
        </w:rPr>
        <w:t>2023</w:t>
      </w:r>
      <w:r w:rsidR="007A2164">
        <w:rPr>
          <w:lang w:eastAsia="en-AU"/>
        </w:rPr>
        <w:t>–</w:t>
      </w:r>
      <w:r>
        <w:rPr>
          <w:lang w:eastAsia="en-AU"/>
        </w:rPr>
        <w:t xml:space="preserve">24 mainly as a result of the </w:t>
      </w:r>
      <w:r w:rsidR="009D641C">
        <w:rPr>
          <w:lang w:eastAsia="en-AU"/>
        </w:rPr>
        <w:t>5</w:t>
      </w:r>
      <w:r>
        <w:rPr>
          <w:lang w:eastAsia="en-AU"/>
        </w:rPr>
        <w:t>-year scheduled revaluation of land and building undertaken in</w:t>
      </w:r>
      <w:r w:rsidR="00CA1C0F">
        <w:rPr>
          <w:lang w:eastAsia="en-AU"/>
        </w:rPr>
        <w:t> </w:t>
      </w:r>
      <w:r>
        <w:rPr>
          <w:lang w:eastAsia="en-AU"/>
        </w:rPr>
        <w:t>2023</w:t>
      </w:r>
      <w:r w:rsidR="00624D5D">
        <w:rPr>
          <w:lang w:eastAsia="en-AU"/>
        </w:rPr>
        <w:t> </w:t>
      </w:r>
      <w:r>
        <w:rPr>
          <w:lang w:eastAsia="en-AU"/>
        </w:rPr>
        <w:t>24.</w:t>
      </w:r>
    </w:p>
    <w:p w14:paraId="06D1D07B" w14:textId="14F081D4" w:rsidR="00DD1767" w:rsidRDefault="004059FB" w:rsidP="00DD1767">
      <w:pPr>
        <w:pStyle w:val="ARbody"/>
        <w:spacing w:line="240" w:lineRule="atLeast"/>
        <w:rPr>
          <w:lang w:eastAsia="en-AU"/>
        </w:rPr>
      </w:pPr>
      <w:r>
        <w:rPr>
          <w:lang w:eastAsia="en-AU"/>
        </w:rPr>
        <w:t>Liabilities totalling $1,933.1 million mainly consist of</w:t>
      </w:r>
      <w:r w:rsidR="00DD1767">
        <w:rPr>
          <w:lang w:eastAsia="en-AU"/>
        </w:rPr>
        <w:t> </w:t>
      </w:r>
      <w:r>
        <w:rPr>
          <w:lang w:eastAsia="en-AU"/>
        </w:rPr>
        <w:t xml:space="preserve">payables, borrowings, employee benefit and other provisions. The $549.5 million increase in 2024 mainly reflects increased, borrowings (service concession liabilities associated with </w:t>
      </w:r>
      <w:r w:rsidRPr="000D4012">
        <w:rPr>
          <w:lang w:eastAsia="en-AU"/>
        </w:rPr>
        <w:t xml:space="preserve">Big Housing Build </w:t>
      </w:r>
      <w:r w:rsidR="00275309">
        <w:rPr>
          <w:lang w:eastAsia="en-AU"/>
        </w:rPr>
        <w:t>p</w:t>
      </w:r>
      <w:r w:rsidR="00275309" w:rsidRPr="000D4012">
        <w:rPr>
          <w:lang w:eastAsia="en-AU"/>
        </w:rPr>
        <w:t>rogram</w:t>
      </w:r>
      <w:r w:rsidR="00275309">
        <w:rPr>
          <w:lang w:eastAsia="en-AU"/>
        </w:rPr>
        <w:t xml:space="preserve"> </w:t>
      </w:r>
      <w:r>
        <w:rPr>
          <w:lang w:eastAsia="en-AU"/>
        </w:rPr>
        <w:t xml:space="preserve">and other provisions including: increases in </w:t>
      </w:r>
      <w:r w:rsidRPr="002A18D2">
        <w:rPr>
          <w:lang w:eastAsia="en-AU"/>
        </w:rPr>
        <w:t>civil claims associated with historical institutional child abuse and the establishment of</w:t>
      </w:r>
      <w:r w:rsidR="00DD1767">
        <w:rPr>
          <w:lang w:eastAsia="en-AU"/>
        </w:rPr>
        <w:t> </w:t>
      </w:r>
      <w:r w:rsidRPr="002A18D2">
        <w:rPr>
          <w:lang w:eastAsia="en-AU"/>
        </w:rPr>
        <w:t>a</w:t>
      </w:r>
      <w:r w:rsidR="00DD1767">
        <w:rPr>
          <w:lang w:eastAsia="en-AU"/>
        </w:rPr>
        <w:t> </w:t>
      </w:r>
      <w:r w:rsidRPr="002A18D2">
        <w:rPr>
          <w:lang w:eastAsia="en-AU"/>
        </w:rPr>
        <w:t xml:space="preserve">Victorian Redress </w:t>
      </w:r>
      <w:r>
        <w:rPr>
          <w:lang w:eastAsia="en-AU"/>
        </w:rPr>
        <w:t xml:space="preserve">Scheme </w:t>
      </w:r>
      <w:r w:rsidRPr="002A18D2">
        <w:rPr>
          <w:lang w:eastAsia="en-AU"/>
        </w:rPr>
        <w:t>for Pre-1990 Care</w:t>
      </w:r>
      <w:r w:rsidR="00DD1767">
        <w:rPr>
          <w:lang w:eastAsia="en-AU"/>
        </w:rPr>
        <w:t> </w:t>
      </w:r>
      <w:r w:rsidRPr="002A18D2">
        <w:rPr>
          <w:lang w:eastAsia="en-AU"/>
        </w:rPr>
        <w:t>Leavers</w:t>
      </w:r>
      <w:r>
        <w:rPr>
          <w:lang w:eastAsia="en-AU"/>
        </w:rPr>
        <w:t>.</w:t>
      </w:r>
    </w:p>
    <w:p w14:paraId="084444BB" w14:textId="77777777" w:rsidR="004059FB" w:rsidRPr="002029AF" w:rsidRDefault="004059FB" w:rsidP="004059FB">
      <w:pPr>
        <w:pStyle w:val="Heading3"/>
      </w:pPr>
      <w:bookmarkStart w:id="163" w:name="_Ref52263715"/>
      <w:r w:rsidRPr="002029AF">
        <w:t>Cash flows</w:t>
      </w:r>
      <w:bookmarkEnd w:id="163"/>
    </w:p>
    <w:p w14:paraId="49AB1CFA" w14:textId="52B3B9BF" w:rsidR="000E38BD" w:rsidRPr="0045737C" w:rsidRDefault="004059FB" w:rsidP="00DD1767">
      <w:pPr>
        <w:pStyle w:val="ARbody"/>
        <w:spacing w:line="240" w:lineRule="atLeast"/>
        <w:rPr>
          <w:highlight w:val="yellow"/>
          <w:lang w:eastAsia="en-AU"/>
        </w:rPr>
        <w:sectPr w:rsidR="000E38BD" w:rsidRPr="0045737C"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r w:rsidRPr="00B338A1">
        <w:rPr>
          <w:lang w:eastAsia="en-AU"/>
        </w:rPr>
        <w:t>Cash and deposit as at end of the 202</w:t>
      </w:r>
      <w:r>
        <w:rPr>
          <w:lang w:eastAsia="en-AU"/>
        </w:rPr>
        <w:t>3</w:t>
      </w:r>
      <w:r w:rsidRPr="00B338A1">
        <w:rPr>
          <w:lang w:eastAsia="en-AU"/>
        </w:rPr>
        <w:t>–2</w:t>
      </w:r>
      <w:r>
        <w:rPr>
          <w:lang w:eastAsia="en-AU"/>
        </w:rPr>
        <w:t>4</w:t>
      </w:r>
      <w:r w:rsidRPr="00B338A1">
        <w:rPr>
          <w:lang w:eastAsia="en-AU"/>
        </w:rPr>
        <w:t xml:space="preserve"> financial year was $</w:t>
      </w:r>
      <w:r>
        <w:rPr>
          <w:lang w:eastAsia="en-AU"/>
        </w:rPr>
        <w:t>600</w:t>
      </w:r>
      <w:r w:rsidRPr="00B338A1">
        <w:rPr>
          <w:lang w:eastAsia="en-AU"/>
        </w:rPr>
        <w:t>.</w:t>
      </w:r>
      <w:r>
        <w:rPr>
          <w:lang w:eastAsia="en-AU"/>
        </w:rPr>
        <w:t>5</w:t>
      </w:r>
      <w:r w:rsidRPr="00B338A1">
        <w:rPr>
          <w:lang w:eastAsia="en-AU"/>
        </w:rPr>
        <w:t xml:space="preserve"> million, a </w:t>
      </w:r>
      <w:r>
        <w:rPr>
          <w:lang w:eastAsia="en-AU"/>
        </w:rPr>
        <w:t>de</w:t>
      </w:r>
      <w:r w:rsidRPr="00B338A1">
        <w:rPr>
          <w:lang w:eastAsia="en-AU"/>
        </w:rPr>
        <w:t>crease of $</w:t>
      </w:r>
      <w:r>
        <w:rPr>
          <w:lang w:eastAsia="en-AU"/>
        </w:rPr>
        <w:t>106</w:t>
      </w:r>
      <w:r w:rsidRPr="00B338A1">
        <w:rPr>
          <w:lang w:eastAsia="en-AU"/>
        </w:rPr>
        <w:t>.</w:t>
      </w:r>
      <w:r>
        <w:rPr>
          <w:lang w:eastAsia="en-AU"/>
        </w:rPr>
        <w:t>3</w:t>
      </w:r>
      <w:r w:rsidRPr="00B338A1">
        <w:rPr>
          <w:lang w:eastAsia="en-AU"/>
        </w:rPr>
        <w:t xml:space="preserve"> million from the beginning of the financial year. This is mainly due to a </w:t>
      </w:r>
      <w:r>
        <w:rPr>
          <w:lang w:eastAsia="en-AU"/>
        </w:rPr>
        <w:t>de</w:t>
      </w:r>
      <w:r w:rsidRPr="00B338A1">
        <w:rPr>
          <w:lang w:eastAsia="en-AU"/>
        </w:rPr>
        <w:t>crease in net cash flows from operations</w:t>
      </w:r>
      <w:r>
        <w:rPr>
          <w:lang w:eastAsia="en-AU"/>
        </w:rPr>
        <w:t>,</w:t>
      </w:r>
      <w:r w:rsidRPr="00B338A1">
        <w:rPr>
          <w:lang w:eastAsia="en-AU"/>
        </w:rPr>
        <w:t xml:space="preserve"> </w:t>
      </w:r>
      <w:r>
        <w:rPr>
          <w:lang w:eastAsia="en-AU"/>
        </w:rPr>
        <w:t>resulting from the</w:t>
      </w:r>
      <w:r w:rsidRPr="00B338A1">
        <w:rPr>
          <w:lang w:eastAsia="en-AU"/>
        </w:rPr>
        <w:t xml:space="preserve"> timing of </w:t>
      </w:r>
      <w:r w:rsidR="00C31F7D">
        <w:rPr>
          <w:lang w:eastAsia="en-AU"/>
        </w:rPr>
        <w:t>g</w:t>
      </w:r>
      <w:r w:rsidR="00C31F7D" w:rsidRPr="00F87B6C">
        <w:rPr>
          <w:lang w:eastAsia="en-AU"/>
        </w:rPr>
        <w:t xml:space="preserve">overnment </w:t>
      </w:r>
      <w:r w:rsidRPr="00F87B6C">
        <w:rPr>
          <w:lang w:eastAsia="en-AU"/>
        </w:rPr>
        <w:t xml:space="preserve">funding received </w:t>
      </w:r>
      <w:r>
        <w:rPr>
          <w:lang w:eastAsia="en-AU"/>
        </w:rPr>
        <w:t xml:space="preserve">last financial year and spent this financial </w:t>
      </w:r>
      <w:r w:rsidR="00C31F7D">
        <w:rPr>
          <w:lang w:eastAsia="en-AU"/>
        </w:rPr>
        <w:t>year</w:t>
      </w:r>
      <w:r w:rsidRPr="00F87B6C">
        <w:rPr>
          <w:lang w:eastAsia="en-AU"/>
        </w:rPr>
        <w:t>.</w:t>
      </w:r>
      <w:r w:rsidR="000E38BD" w:rsidRPr="00B3051F">
        <w:rPr>
          <w:highlight w:val="yellow"/>
        </w:rPr>
        <w:t xml:space="preserve"> </w:t>
      </w:r>
    </w:p>
    <w:p w14:paraId="4483861A" w14:textId="1BBE4F5A" w:rsidR="000E38BD" w:rsidRPr="0045737C" w:rsidRDefault="000E38BD" w:rsidP="00CA1C0F">
      <w:pPr>
        <w:pStyle w:val="Heading2"/>
      </w:pPr>
      <w:bookmarkStart w:id="164" w:name="_Ref178176395"/>
      <w:bookmarkStart w:id="165" w:name="_Ref178177099"/>
      <w:bookmarkStart w:id="166" w:name="_Toc181101500"/>
      <w:r w:rsidRPr="00DD1767">
        <w:t>Budget</w:t>
      </w:r>
      <w:r w:rsidRPr="0045737C">
        <w:t xml:space="preserve"> portfolio outcomes</w:t>
      </w:r>
      <w:bookmarkEnd w:id="164"/>
      <w:bookmarkEnd w:id="165"/>
      <w:bookmarkEnd w:id="166"/>
    </w:p>
    <w:p w14:paraId="04BC60C6" w14:textId="77777777" w:rsidR="000E38BD" w:rsidRPr="00DD4505" w:rsidRDefault="000E38BD" w:rsidP="00B3051F">
      <w:pPr>
        <w:pStyle w:val="Heading2"/>
        <w:rPr>
          <w:highlight w:val="cyan"/>
        </w:rPr>
        <w:sectPr w:rsidR="000E38BD" w:rsidRPr="00DD4505" w:rsidSect="005936D2">
          <w:headerReference w:type="even" r:id="rId83"/>
          <w:footerReference w:type="even" r:id="rId84"/>
          <w:headerReference w:type="first" r:id="rId85"/>
          <w:footerReference w:type="first" r:id="rId86"/>
          <w:footnotePr>
            <w:numFmt w:val="lowerRoman"/>
            <w:numRestart w:val="eachPage"/>
          </w:footnotePr>
          <w:endnotePr>
            <w:numFmt w:val="decimal"/>
          </w:endnotePr>
          <w:type w:val="continuous"/>
          <w:pgSz w:w="11900" w:h="16840" w:code="9"/>
          <w:pgMar w:top="1701" w:right="1134" w:bottom="851" w:left="1134" w:header="510" w:footer="340" w:gutter="0"/>
          <w:cols w:space="454"/>
        </w:sectPr>
      </w:pPr>
    </w:p>
    <w:p w14:paraId="0E0CBE4D" w14:textId="53E9BD49" w:rsidR="00413127" w:rsidRPr="00925B75" w:rsidRDefault="00413127" w:rsidP="004B11B4">
      <w:pPr>
        <w:spacing w:after="120" w:line="260" w:lineRule="atLeast"/>
        <w:rPr>
          <w:rFonts w:ascii="Arial" w:eastAsia="Times" w:hAnsi="Arial" w:cs="Arial"/>
          <w:sz w:val="20"/>
          <w:szCs w:val="24"/>
          <w:lang w:eastAsia="en-AU"/>
        </w:rPr>
      </w:pPr>
      <w:r w:rsidRPr="00925B75">
        <w:rPr>
          <w:rFonts w:ascii="Arial" w:eastAsia="Times" w:hAnsi="Arial" w:cs="Arial"/>
          <w:sz w:val="20"/>
          <w:szCs w:val="24"/>
          <w:lang w:eastAsia="en-AU"/>
        </w:rPr>
        <w:t xml:space="preserve">The portfolio budget outcomes provide a comparison between the actual financial statements of all general government sector entities within the portfolio and the forecast financial information published in </w:t>
      </w:r>
      <w:r w:rsidRPr="00233486">
        <w:rPr>
          <w:rFonts w:ascii="Arial" w:eastAsia="Times" w:hAnsi="Arial" w:cs="Arial"/>
          <w:i/>
          <w:iCs/>
          <w:sz w:val="20"/>
          <w:szCs w:val="24"/>
          <w:lang w:eastAsia="en-AU"/>
        </w:rPr>
        <w:t>Budget Paper No. 5 Statement of Finances 2024</w:t>
      </w:r>
      <w:r w:rsidR="00C31F7D" w:rsidRPr="00233486">
        <w:rPr>
          <w:rFonts w:ascii="Arial" w:eastAsia="Times" w:hAnsi="Arial" w:cs="Arial"/>
          <w:i/>
          <w:iCs/>
          <w:sz w:val="20"/>
          <w:szCs w:val="24"/>
          <w:lang w:eastAsia="en-AU"/>
        </w:rPr>
        <w:t>–</w:t>
      </w:r>
      <w:r w:rsidRPr="00233486">
        <w:rPr>
          <w:rFonts w:ascii="Arial" w:eastAsia="Times" w:hAnsi="Arial" w:cs="Arial"/>
          <w:i/>
          <w:iCs/>
          <w:sz w:val="20"/>
          <w:szCs w:val="24"/>
          <w:lang w:eastAsia="en-AU"/>
        </w:rPr>
        <w:t>25</w:t>
      </w:r>
      <w:r w:rsidRPr="00925B75">
        <w:rPr>
          <w:rFonts w:ascii="Arial" w:eastAsia="Times" w:hAnsi="Arial" w:cs="Arial"/>
          <w:sz w:val="20"/>
          <w:szCs w:val="24"/>
          <w:lang w:eastAsia="en-AU"/>
        </w:rPr>
        <w:t xml:space="preserve"> (BP5).</w:t>
      </w:r>
    </w:p>
    <w:p w14:paraId="19ED5236" w14:textId="490F7EBF" w:rsidR="00413127" w:rsidRPr="00925B75" w:rsidRDefault="00413127" w:rsidP="004B11B4">
      <w:pPr>
        <w:spacing w:after="120" w:line="260" w:lineRule="atLeast"/>
        <w:rPr>
          <w:rFonts w:ascii="Arial" w:eastAsia="Times" w:hAnsi="Arial" w:cs="Arial"/>
          <w:sz w:val="20"/>
          <w:szCs w:val="24"/>
          <w:lang w:eastAsia="en-AU"/>
        </w:rPr>
      </w:pPr>
      <w:r w:rsidRPr="00925B75">
        <w:rPr>
          <w:rFonts w:ascii="Arial" w:eastAsia="Times" w:hAnsi="Arial" w:cs="Arial"/>
          <w:sz w:val="20"/>
          <w:szCs w:val="24"/>
          <w:lang w:eastAsia="en-AU"/>
        </w:rPr>
        <w:t>The portfolio budget outcomes comprise the comprehensive operating statement, balance sheet, statement of cash flows, statement of changes in equity, and administered items statement for the financial year 2023</w:t>
      </w:r>
      <w:r w:rsidR="00C31F7D">
        <w:rPr>
          <w:rFonts w:ascii="Arial" w:eastAsia="Times" w:hAnsi="Arial" w:cs="Arial"/>
          <w:sz w:val="20"/>
          <w:szCs w:val="24"/>
          <w:lang w:eastAsia="en-AU"/>
        </w:rPr>
        <w:t>–</w:t>
      </w:r>
      <w:r w:rsidRPr="00925B75">
        <w:rPr>
          <w:rFonts w:ascii="Arial" w:eastAsia="Times" w:hAnsi="Arial" w:cs="Arial"/>
          <w:sz w:val="20"/>
          <w:szCs w:val="24"/>
          <w:lang w:eastAsia="en-AU"/>
        </w:rPr>
        <w:t>24.</w:t>
      </w:r>
    </w:p>
    <w:p w14:paraId="4077AAF9" w14:textId="77777777" w:rsidR="00413127" w:rsidRPr="00925B75" w:rsidRDefault="00413127" w:rsidP="004B11B4">
      <w:pPr>
        <w:spacing w:after="120" w:line="260" w:lineRule="atLeast"/>
        <w:rPr>
          <w:rFonts w:ascii="Arial" w:eastAsia="Times" w:hAnsi="Arial" w:cs="Arial"/>
          <w:sz w:val="20"/>
          <w:szCs w:val="24"/>
          <w:lang w:eastAsia="en-AU"/>
        </w:rPr>
      </w:pPr>
      <w:r w:rsidRPr="00925B75">
        <w:rPr>
          <w:rFonts w:ascii="Arial" w:eastAsia="Times" w:hAnsi="Arial" w:cs="Arial"/>
          <w:sz w:val="20"/>
          <w:szCs w:val="24"/>
          <w:lang w:eastAsia="en-AU"/>
        </w:rPr>
        <w:t>The portfolio budget outcomes have been prepared on a consolidated basis for the period 1 July 2023 to 30 June 2024 and include all general government sector entities within the portfolio. Financial transactions and balances are classified into either controlled or administered categories as agreed with the Treasurer in the context of the published statements in BP5.</w:t>
      </w:r>
    </w:p>
    <w:p w14:paraId="49E6E5A1" w14:textId="727E4E6F" w:rsidR="00413127" w:rsidRDefault="00413127" w:rsidP="004B11B4">
      <w:pPr>
        <w:spacing w:after="120" w:line="260" w:lineRule="atLeast"/>
        <w:rPr>
          <w:rFonts w:ascii="Arial" w:eastAsia="Times" w:hAnsi="Arial" w:cs="Arial"/>
          <w:sz w:val="20"/>
          <w:szCs w:val="24"/>
          <w:lang w:eastAsia="en-AU"/>
        </w:rPr>
      </w:pPr>
      <w:r w:rsidRPr="00925B75">
        <w:rPr>
          <w:rFonts w:ascii="Arial" w:eastAsia="Times" w:hAnsi="Arial" w:cs="Arial"/>
          <w:sz w:val="20"/>
          <w:szCs w:val="24"/>
          <w:lang w:eastAsia="en-AU"/>
        </w:rPr>
        <w:t>The portfolio budget outcomes statements are not subject to audit by the Victorian Auditor-General</w:t>
      </w:r>
      <w:r w:rsidR="00711AE6">
        <w:rPr>
          <w:rFonts w:ascii="Arial" w:eastAsia="Times" w:hAnsi="Arial" w:cs="Arial"/>
          <w:sz w:val="20"/>
          <w:szCs w:val="24"/>
          <w:lang w:eastAsia="en-AU"/>
        </w:rPr>
        <w:t>’</w:t>
      </w:r>
      <w:r w:rsidRPr="00925B75">
        <w:rPr>
          <w:rFonts w:ascii="Arial" w:eastAsia="Times" w:hAnsi="Arial" w:cs="Arial"/>
          <w:sz w:val="20"/>
          <w:szCs w:val="24"/>
          <w:lang w:eastAsia="en-AU"/>
        </w:rPr>
        <w:t>s Office. They are not prepared on the same basis as the financial statements as they include financial information of the following entities:</w:t>
      </w:r>
    </w:p>
    <w:p w14:paraId="3A041CCB" w14:textId="7293EB7C" w:rsidR="00413127" w:rsidRPr="007E5E9F" w:rsidRDefault="00413127" w:rsidP="006116A1">
      <w:pPr>
        <w:pStyle w:val="ARbullet1"/>
        <w:rPr>
          <w:lang w:eastAsia="en-AU"/>
        </w:rPr>
      </w:pPr>
      <w:r w:rsidRPr="007E5E9F">
        <w:rPr>
          <w:lang w:eastAsia="en-AU"/>
        </w:rPr>
        <w:t>Department of Families, Fairness and Housing</w:t>
      </w:r>
      <w:r w:rsidR="00CA1C0F">
        <w:rPr>
          <w:lang w:eastAsia="en-AU"/>
        </w:rPr>
        <w:t> </w:t>
      </w:r>
      <w:r w:rsidRPr="007E5E9F">
        <w:rPr>
          <w:lang w:eastAsia="en-AU"/>
        </w:rPr>
        <w:t>(</w:t>
      </w:r>
      <w:r w:rsidR="00C31F7D">
        <w:rPr>
          <w:lang w:eastAsia="en-AU"/>
        </w:rPr>
        <w:t>the department</w:t>
      </w:r>
      <w:r w:rsidRPr="007E5E9F">
        <w:rPr>
          <w:lang w:eastAsia="en-AU"/>
        </w:rPr>
        <w:t>)</w:t>
      </w:r>
    </w:p>
    <w:p w14:paraId="4AD16047" w14:textId="519657F9" w:rsidR="00413127" w:rsidRPr="007E5E9F" w:rsidRDefault="00413127" w:rsidP="006116A1">
      <w:pPr>
        <w:pStyle w:val="ARbullet1"/>
        <w:rPr>
          <w:lang w:eastAsia="en-AU"/>
        </w:rPr>
      </w:pPr>
      <w:r w:rsidRPr="007E5E9F">
        <w:rPr>
          <w:lang w:eastAsia="en-AU"/>
        </w:rPr>
        <w:t>Victorian Disability Workers Commission</w:t>
      </w:r>
    </w:p>
    <w:p w14:paraId="5D675709" w14:textId="6892DB16" w:rsidR="00413127" w:rsidRPr="007E5E9F" w:rsidRDefault="00413127" w:rsidP="006116A1">
      <w:pPr>
        <w:pStyle w:val="ARbullet1"/>
        <w:rPr>
          <w:lang w:eastAsia="en-AU"/>
        </w:rPr>
      </w:pPr>
      <w:r w:rsidRPr="007E5E9F">
        <w:rPr>
          <w:lang w:eastAsia="en-AU"/>
        </w:rPr>
        <w:t>Disability Worker Registration Board</w:t>
      </w:r>
    </w:p>
    <w:p w14:paraId="6082ECE7" w14:textId="7D1A4BD3" w:rsidR="00413127" w:rsidRPr="007E5E9F" w:rsidRDefault="0054182B" w:rsidP="006116A1">
      <w:pPr>
        <w:pStyle w:val="ARbullet1"/>
        <w:rPr>
          <w:lang w:eastAsia="en-AU"/>
        </w:rPr>
      </w:pPr>
      <w:r>
        <w:rPr>
          <w:lang w:eastAsia="en-AU"/>
        </w:rPr>
        <w:t>Co</w:t>
      </w:r>
      <w:r w:rsidR="00413127" w:rsidRPr="007E5E9F">
        <w:rPr>
          <w:lang w:eastAsia="en-AU"/>
        </w:rPr>
        <w:t>mmission for Children and Young People</w:t>
      </w:r>
    </w:p>
    <w:p w14:paraId="19C744B2" w14:textId="37B006E1" w:rsidR="00413127" w:rsidRPr="007E5E9F" w:rsidRDefault="00413127" w:rsidP="006116A1">
      <w:pPr>
        <w:pStyle w:val="ARbullet1"/>
        <w:rPr>
          <w:lang w:eastAsia="en-AU"/>
        </w:rPr>
      </w:pPr>
      <w:r w:rsidRPr="007E5E9F">
        <w:rPr>
          <w:lang w:eastAsia="en-AU"/>
        </w:rPr>
        <w:t>Family Violence Prevention Agency (Respect</w:t>
      </w:r>
      <w:r w:rsidR="00CA1C0F">
        <w:rPr>
          <w:lang w:eastAsia="en-AU"/>
        </w:rPr>
        <w:t> </w:t>
      </w:r>
      <w:r w:rsidRPr="007E5E9F">
        <w:rPr>
          <w:lang w:eastAsia="en-AU"/>
        </w:rPr>
        <w:t>Victoria)</w:t>
      </w:r>
    </w:p>
    <w:p w14:paraId="0CA30DED" w14:textId="1E81E5AA" w:rsidR="00413127" w:rsidRPr="007E5E9F" w:rsidRDefault="00413127" w:rsidP="006116A1">
      <w:pPr>
        <w:pStyle w:val="ARbullet1"/>
        <w:rPr>
          <w:lang w:eastAsia="en-AU"/>
        </w:rPr>
      </w:pPr>
      <w:r w:rsidRPr="007E5E9F">
        <w:rPr>
          <w:lang w:eastAsia="en-AU"/>
        </w:rPr>
        <w:t>Victorian Veterans Council</w:t>
      </w:r>
    </w:p>
    <w:p w14:paraId="6659E57B" w14:textId="5A0B9A4F" w:rsidR="00413127" w:rsidRPr="007E5E9F" w:rsidRDefault="00413127" w:rsidP="006116A1">
      <w:pPr>
        <w:pStyle w:val="ARbullet1"/>
        <w:rPr>
          <w:lang w:eastAsia="en-AU"/>
        </w:rPr>
      </w:pPr>
      <w:r>
        <w:rPr>
          <w:lang w:eastAsia="en-AU"/>
        </w:rPr>
        <w:t>Homes Victoria</w:t>
      </w:r>
      <w:r w:rsidRPr="007E5E9F">
        <w:rPr>
          <w:lang w:eastAsia="en-AU"/>
        </w:rPr>
        <w:t xml:space="preserve"> (General Government).</w:t>
      </w:r>
    </w:p>
    <w:p w14:paraId="21C59C37" w14:textId="265E40D8" w:rsidR="00413127" w:rsidRDefault="00413127" w:rsidP="00CA1C0F">
      <w:pPr>
        <w:pStyle w:val="ARbodyafterbullets"/>
        <w:rPr>
          <w:lang w:eastAsia="en-AU"/>
        </w:rPr>
      </w:pPr>
      <w:r w:rsidRPr="00925B75">
        <w:rPr>
          <w:lang w:eastAsia="en-AU"/>
        </w:rPr>
        <w:t xml:space="preserve">The portfolio budget outcomes statements include funding from the Commonwealth Government and revenue from the sale of services attributed to </w:t>
      </w:r>
      <w:r w:rsidR="00C31F7D">
        <w:rPr>
          <w:lang w:eastAsia="en-AU"/>
        </w:rPr>
        <w:t>the department</w:t>
      </w:r>
      <w:r w:rsidR="00C31F7D" w:rsidRPr="00925B75">
        <w:rPr>
          <w:lang w:eastAsia="en-AU"/>
        </w:rPr>
        <w:t xml:space="preserve"> </w:t>
      </w:r>
      <w:r w:rsidRPr="00925B75">
        <w:rPr>
          <w:lang w:eastAsia="en-AU"/>
        </w:rPr>
        <w:t xml:space="preserve">from the state government. They also include income and expenses associated with National Disability Insurance Scheme funding, which are reported in the </w:t>
      </w:r>
      <w:r w:rsidR="00C31F7D">
        <w:rPr>
          <w:lang w:eastAsia="en-AU"/>
        </w:rPr>
        <w:t>department</w:t>
      </w:r>
      <w:r w:rsidR="00711AE6">
        <w:rPr>
          <w:lang w:eastAsia="en-AU"/>
        </w:rPr>
        <w:t>’</w:t>
      </w:r>
      <w:r w:rsidR="00C31F7D">
        <w:rPr>
          <w:lang w:eastAsia="en-AU"/>
        </w:rPr>
        <w:t xml:space="preserve">s </w:t>
      </w:r>
      <w:r w:rsidRPr="00925B75">
        <w:rPr>
          <w:lang w:eastAsia="en-AU"/>
        </w:rPr>
        <w:t>administered accounts.</w:t>
      </w:r>
    </w:p>
    <w:p w14:paraId="3506BF7A" w14:textId="4971DCCD" w:rsidR="00413127" w:rsidRDefault="00CA1C0F" w:rsidP="00BF72EA">
      <w:pPr>
        <w:pStyle w:val="Heading3"/>
      </w:pPr>
      <w:r>
        <w:br w:type="column"/>
      </w:r>
      <w:r w:rsidR="00413127" w:rsidRPr="00925B75">
        <w:t xml:space="preserve">Machinery of </w:t>
      </w:r>
      <w:r w:rsidR="0042274E">
        <w:t>G</w:t>
      </w:r>
      <w:r w:rsidR="00413127" w:rsidRPr="00925B75">
        <w:t>overnment</w:t>
      </w:r>
      <w:r w:rsidR="00BF72EA">
        <w:t> </w:t>
      </w:r>
      <w:r w:rsidR="00413127" w:rsidRPr="00925B75">
        <w:t>changes</w:t>
      </w:r>
    </w:p>
    <w:p w14:paraId="5EEC6876" w14:textId="5A83205E" w:rsidR="00413127" w:rsidRDefault="00413127" w:rsidP="009B0CBE">
      <w:pPr>
        <w:pStyle w:val="ARbody"/>
        <w:rPr>
          <w:lang w:eastAsia="en-AU"/>
        </w:rPr>
      </w:pPr>
      <w:r w:rsidRPr="00925B75">
        <w:rPr>
          <w:lang w:eastAsia="en-AU"/>
        </w:rPr>
        <w:t xml:space="preserve">As a result of the </w:t>
      </w:r>
      <w:r w:rsidR="0042274E">
        <w:rPr>
          <w:lang w:eastAsia="en-AU"/>
        </w:rPr>
        <w:t>M</w:t>
      </w:r>
      <w:r w:rsidRPr="00925B75">
        <w:rPr>
          <w:lang w:eastAsia="en-AU"/>
        </w:rPr>
        <w:t xml:space="preserve">achinery of </w:t>
      </w:r>
      <w:r w:rsidR="0042274E">
        <w:rPr>
          <w:lang w:eastAsia="en-AU"/>
        </w:rPr>
        <w:t>G</w:t>
      </w:r>
      <w:r w:rsidRPr="00925B75">
        <w:rPr>
          <w:lang w:eastAsia="en-AU"/>
        </w:rPr>
        <w:t>overnment change on 31 January 2024, Multiculture Affairs has been transferred out of the portfolio and became part of</w:t>
      </w:r>
      <w:r w:rsidR="00CA1C0F">
        <w:rPr>
          <w:lang w:eastAsia="en-AU"/>
        </w:rPr>
        <w:t> </w:t>
      </w:r>
      <w:r w:rsidRPr="00925B75">
        <w:rPr>
          <w:lang w:eastAsia="en-AU"/>
        </w:rPr>
        <w:t>the Department of Premier and Cabinet to align with the government</w:t>
      </w:r>
      <w:r w:rsidR="00711AE6">
        <w:rPr>
          <w:lang w:eastAsia="en-AU"/>
        </w:rPr>
        <w:t>’</w:t>
      </w:r>
      <w:r w:rsidRPr="00925B75">
        <w:rPr>
          <w:lang w:eastAsia="en-AU"/>
        </w:rPr>
        <w:t>s renewed focus on supporting and engaging with Victoria</w:t>
      </w:r>
      <w:r w:rsidR="00711AE6">
        <w:rPr>
          <w:lang w:eastAsia="en-AU"/>
        </w:rPr>
        <w:t>’</w:t>
      </w:r>
      <w:r w:rsidRPr="00925B75">
        <w:rPr>
          <w:lang w:eastAsia="en-AU"/>
        </w:rPr>
        <w:t>s culturally diverse</w:t>
      </w:r>
      <w:r w:rsidR="00CA1C0F">
        <w:rPr>
          <w:lang w:eastAsia="en-AU"/>
        </w:rPr>
        <w:t> </w:t>
      </w:r>
      <w:r w:rsidRPr="00925B75">
        <w:rPr>
          <w:lang w:eastAsia="en-AU"/>
        </w:rPr>
        <w:t>communities</w:t>
      </w:r>
      <w:r>
        <w:rPr>
          <w:lang w:eastAsia="en-AU"/>
        </w:rPr>
        <w:t>.</w:t>
      </w:r>
    </w:p>
    <w:p w14:paraId="2E705919" w14:textId="77777777" w:rsidR="00413127" w:rsidRDefault="00413127" w:rsidP="00BF72EA">
      <w:pPr>
        <w:pStyle w:val="Heading3"/>
      </w:pPr>
      <w:r w:rsidRPr="00BC4493">
        <w:t>Financial performance – operating statement</w:t>
      </w:r>
    </w:p>
    <w:p w14:paraId="2716F2F1" w14:textId="0B18B3ED" w:rsidR="00413127" w:rsidRPr="00925B75" w:rsidRDefault="00413127" w:rsidP="009B0CBE">
      <w:pPr>
        <w:pStyle w:val="ARbody"/>
        <w:rPr>
          <w:lang w:eastAsia="en-AU"/>
        </w:rPr>
      </w:pPr>
      <w:r w:rsidRPr="00925B75">
        <w:rPr>
          <w:lang w:eastAsia="en-AU"/>
        </w:rPr>
        <w:t>In 2023</w:t>
      </w:r>
      <w:r w:rsidR="00C31F7D">
        <w:rPr>
          <w:lang w:eastAsia="en-AU"/>
        </w:rPr>
        <w:t>–</w:t>
      </w:r>
      <w:r w:rsidRPr="00925B75">
        <w:rPr>
          <w:lang w:eastAsia="en-AU"/>
        </w:rPr>
        <w:t>24, the portfolio reported an actual net result from transactions of a $192 million deficit compared with a 2023</w:t>
      </w:r>
      <w:r w:rsidR="00C31F7D">
        <w:rPr>
          <w:lang w:eastAsia="en-AU"/>
        </w:rPr>
        <w:t>–</w:t>
      </w:r>
      <w:r w:rsidRPr="00925B75">
        <w:rPr>
          <w:lang w:eastAsia="en-AU"/>
        </w:rPr>
        <w:t>24 published budgeted deficit of $12 million. The variance between the budgeted and actual deficit is primarily due to higher insurance claims expenditure in 2023</w:t>
      </w:r>
      <w:r w:rsidR="00C31F7D">
        <w:rPr>
          <w:lang w:eastAsia="en-AU"/>
        </w:rPr>
        <w:t>–</w:t>
      </w:r>
      <w:r w:rsidRPr="00925B75">
        <w:rPr>
          <w:lang w:eastAsia="en-AU"/>
        </w:rPr>
        <w:t>24, resulted from an increase in provision for civil claims associated with historical institutional child</w:t>
      </w:r>
      <w:r w:rsidR="00CA1C0F">
        <w:rPr>
          <w:lang w:eastAsia="en-AU"/>
        </w:rPr>
        <w:t> </w:t>
      </w:r>
      <w:r w:rsidRPr="00925B75">
        <w:rPr>
          <w:lang w:eastAsia="en-AU"/>
        </w:rPr>
        <w:t>abuse.</w:t>
      </w:r>
    </w:p>
    <w:p w14:paraId="3672DFBE" w14:textId="6496986A" w:rsidR="00413127" w:rsidRDefault="00413127" w:rsidP="00BF72EA">
      <w:pPr>
        <w:pStyle w:val="Heading3"/>
      </w:pPr>
      <w:r w:rsidRPr="00BC4493">
        <w:t>Financial position – balance</w:t>
      </w:r>
      <w:r w:rsidR="00BF72EA">
        <w:t> </w:t>
      </w:r>
      <w:r w:rsidRPr="00BC4493">
        <w:t>sheet</w:t>
      </w:r>
    </w:p>
    <w:p w14:paraId="6FFE4DD8" w14:textId="22036E98" w:rsidR="00413127" w:rsidRPr="00925B75" w:rsidRDefault="00413127" w:rsidP="009B0CBE">
      <w:pPr>
        <w:pStyle w:val="ARbody"/>
        <w:rPr>
          <w:lang w:eastAsia="en-AU"/>
        </w:rPr>
      </w:pPr>
      <w:r w:rsidRPr="00925B75">
        <w:rPr>
          <w:lang w:eastAsia="en-AU"/>
        </w:rPr>
        <w:t>The portfolio</w:t>
      </w:r>
      <w:r w:rsidR="00711AE6">
        <w:rPr>
          <w:lang w:eastAsia="en-AU"/>
        </w:rPr>
        <w:t>’</w:t>
      </w:r>
      <w:r w:rsidRPr="00925B75">
        <w:rPr>
          <w:lang w:eastAsia="en-AU"/>
        </w:rPr>
        <w:t>s net assets position is $265 million lower than the published budget in 2023</w:t>
      </w:r>
      <w:r w:rsidR="00C31F7D">
        <w:rPr>
          <w:lang w:eastAsia="en-AU"/>
        </w:rPr>
        <w:t>–</w:t>
      </w:r>
      <w:r w:rsidRPr="00925B75">
        <w:rPr>
          <w:lang w:eastAsia="en-AU"/>
        </w:rPr>
        <w:t xml:space="preserve">24. This is largely attributable to increases in provisions for civil claims associated with historical institutional child abuse and the establishment of a Victorian Redress </w:t>
      </w:r>
      <w:r>
        <w:rPr>
          <w:lang w:eastAsia="en-AU"/>
        </w:rPr>
        <w:t xml:space="preserve">Scheme </w:t>
      </w:r>
      <w:r w:rsidRPr="00925B75">
        <w:rPr>
          <w:lang w:eastAsia="en-AU"/>
        </w:rPr>
        <w:t>for Pre-1990 Care Leavers. The</w:t>
      </w:r>
      <w:r w:rsidR="00E8760D">
        <w:rPr>
          <w:lang w:eastAsia="en-AU"/>
        </w:rPr>
        <w:t> </w:t>
      </w:r>
      <w:r w:rsidRPr="00925B75">
        <w:rPr>
          <w:lang w:eastAsia="en-AU"/>
        </w:rPr>
        <w:t>increase in total liabilities is partially offset by an increase in total assets due to timing of funding accessed to settle payments to creditors and other accrued obligations.</w:t>
      </w:r>
    </w:p>
    <w:p w14:paraId="09FD3ECC" w14:textId="77777777" w:rsidR="00413127" w:rsidRPr="00BC4493" w:rsidRDefault="00413127" w:rsidP="00BF72EA">
      <w:pPr>
        <w:pStyle w:val="Heading3"/>
      </w:pPr>
      <w:bookmarkStart w:id="167" w:name="Cashflow"/>
      <w:r w:rsidRPr="00BC4493">
        <w:t>Cash flows</w:t>
      </w:r>
    </w:p>
    <w:bookmarkEnd w:id="167"/>
    <w:p w14:paraId="7B9F1429" w14:textId="0F1BB424" w:rsidR="000E38BD" w:rsidRPr="00B3051F" w:rsidRDefault="00413127" w:rsidP="0092067D">
      <w:pPr>
        <w:pStyle w:val="ARbody"/>
        <w:rPr>
          <w:highlight w:val="yellow"/>
        </w:rPr>
        <w:sectPr w:rsidR="000E38BD" w:rsidRPr="00B3051F" w:rsidSect="005936D2">
          <w:headerReference w:type="default" r:id="rId87"/>
          <w:footnotePr>
            <w:numFmt w:val="lowerRoman"/>
            <w:numRestart w:val="eachPage"/>
          </w:footnotePr>
          <w:endnotePr>
            <w:numFmt w:val="decimal"/>
          </w:endnotePr>
          <w:type w:val="continuous"/>
          <w:pgSz w:w="11900" w:h="16840" w:code="9"/>
          <w:pgMar w:top="1701" w:right="1134" w:bottom="851" w:left="1134" w:header="510" w:footer="340" w:gutter="0"/>
          <w:cols w:num="2" w:space="448"/>
        </w:sectPr>
      </w:pPr>
      <w:r w:rsidRPr="00925B75">
        <w:rPr>
          <w:lang w:eastAsia="en-AU"/>
        </w:rPr>
        <w:t>The overall cash position at the end of the 2023</w:t>
      </w:r>
      <w:r w:rsidR="00C31F7D">
        <w:rPr>
          <w:lang w:eastAsia="en-AU"/>
        </w:rPr>
        <w:t>–</w:t>
      </w:r>
      <w:r w:rsidRPr="00925B75">
        <w:rPr>
          <w:lang w:eastAsia="en-AU"/>
        </w:rPr>
        <w:t>24 financial year is $3 million higher than the published budget. Detailed financial results for the 2023</w:t>
      </w:r>
      <w:r w:rsidR="00C31F7D">
        <w:rPr>
          <w:lang w:eastAsia="en-AU"/>
        </w:rPr>
        <w:t>–</w:t>
      </w:r>
      <w:r w:rsidRPr="00925B75">
        <w:rPr>
          <w:lang w:eastAsia="en-AU"/>
        </w:rPr>
        <w:t>24 portfolio budget and actual results are included in</w:t>
      </w:r>
      <w:r w:rsidR="00E8760D">
        <w:rPr>
          <w:lang w:eastAsia="en-AU"/>
        </w:rPr>
        <w:t> </w:t>
      </w:r>
      <w:r w:rsidRPr="00925B75">
        <w:rPr>
          <w:lang w:eastAsia="en-AU"/>
        </w:rPr>
        <w:t>following statements.</w:t>
      </w:r>
      <w:r w:rsidR="000E38BD" w:rsidRPr="00B3051F">
        <w:rPr>
          <w:highlight w:val="yellow"/>
        </w:rPr>
        <w:t xml:space="preserve"> </w:t>
      </w:r>
    </w:p>
    <w:p w14:paraId="20D567AD" w14:textId="77777777" w:rsidR="000E38BD" w:rsidRPr="00DE1FBE" w:rsidRDefault="000E38BD" w:rsidP="00214966">
      <w:pPr>
        <w:pStyle w:val="Heading2"/>
      </w:pPr>
      <w:bookmarkStart w:id="168" w:name="_Toc114491195"/>
      <w:bookmarkStart w:id="169" w:name="_Toc181101501"/>
      <w:r w:rsidRPr="00DE1FBE">
        <w:t>Capital projects/</w:t>
      </w:r>
      <w:r w:rsidRPr="00214966">
        <w:t>asset</w:t>
      </w:r>
      <w:r w:rsidRPr="00DE1FBE">
        <w:t xml:space="preserve"> investment programs</w:t>
      </w:r>
      <w:bookmarkEnd w:id="168"/>
      <w:bookmarkEnd w:id="169"/>
    </w:p>
    <w:p w14:paraId="35F71836" w14:textId="77777777" w:rsidR="000E38BD" w:rsidRPr="00DE1FBE" w:rsidRDefault="000E38BD" w:rsidP="00214966">
      <w:pPr>
        <w:pStyle w:val="ARbody"/>
      </w:pPr>
      <w:r w:rsidRPr="00DE1FBE">
        <w:t xml:space="preserve">During the financial year ended 30 June 2024, the department completed a number of capital projects with a total estimated investment [TEI] of $10 million or greater. The details </w:t>
      </w:r>
      <w:r w:rsidRPr="00214966">
        <w:t>related</w:t>
      </w:r>
      <w:r w:rsidRPr="00DE1FBE">
        <w:t xml:space="preserve"> to these projects are reported below.</w:t>
      </w:r>
    </w:p>
    <w:tbl>
      <w:tblPr>
        <w:tblW w:w="5058" w:type="pct"/>
        <w:tblBorders>
          <w:insideH w:val="single" w:sz="4" w:space="0" w:color="auto"/>
        </w:tblBorders>
        <w:tblLayout w:type="fixed"/>
        <w:tblLook w:val="06A0" w:firstRow="1" w:lastRow="0" w:firstColumn="1" w:lastColumn="0" w:noHBand="1" w:noVBand="1"/>
      </w:tblPr>
      <w:tblGrid>
        <w:gridCol w:w="2509"/>
        <w:gridCol w:w="1315"/>
        <w:gridCol w:w="1456"/>
        <w:gridCol w:w="1312"/>
        <w:gridCol w:w="1256"/>
        <w:gridCol w:w="1277"/>
        <w:gridCol w:w="1309"/>
        <w:gridCol w:w="876"/>
        <w:gridCol w:w="1630"/>
        <w:gridCol w:w="1801"/>
      </w:tblGrid>
      <w:tr w:rsidR="0000062B" w:rsidRPr="005C2BF4" w14:paraId="1E66C6D3" w14:textId="77777777" w:rsidTr="00AA126F">
        <w:trPr>
          <w:cantSplit/>
          <w:tblHeader/>
        </w:trPr>
        <w:tc>
          <w:tcPr>
            <w:tcW w:w="851" w:type="pct"/>
            <w:tcBorders>
              <w:top w:val="nil"/>
              <w:left w:val="nil"/>
              <w:bottom w:val="single" w:sz="4" w:space="0" w:color="auto"/>
              <w:right w:val="nil"/>
            </w:tcBorders>
            <w:shd w:val="clear" w:color="auto" w:fill="auto"/>
            <w:vAlign w:val="bottom"/>
            <w:hideMark/>
          </w:tcPr>
          <w:p w14:paraId="6368AA94" w14:textId="77777777" w:rsidR="000E38BD" w:rsidRPr="00DE1FBE" w:rsidRDefault="000E38BD">
            <w:pPr>
              <w:pStyle w:val="ARtablecolhead"/>
            </w:pPr>
            <w:r w:rsidRPr="00DE1FBE">
              <w:t>Project name</w:t>
            </w:r>
          </w:p>
        </w:tc>
        <w:tc>
          <w:tcPr>
            <w:tcW w:w="446" w:type="pct"/>
            <w:tcBorders>
              <w:top w:val="nil"/>
              <w:left w:val="nil"/>
              <w:bottom w:val="single" w:sz="4" w:space="0" w:color="auto"/>
              <w:right w:val="nil"/>
            </w:tcBorders>
            <w:shd w:val="clear" w:color="auto" w:fill="auto"/>
            <w:vAlign w:val="bottom"/>
            <w:hideMark/>
          </w:tcPr>
          <w:p w14:paraId="4164DD3C" w14:textId="77777777" w:rsidR="000E38BD" w:rsidRPr="00DE1FBE" w:rsidRDefault="000E38BD" w:rsidP="00214966">
            <w:pPr>
              <w:pStyle w:val="ARtablecolheadright"/>
            </w:pPr>
            <w:r w:rsidRPr="00DE1FBE">
              <w:t>Original completion date</w:t>
            </w:r>
          </w:p>
        </w:tc>
        <w:tc>
          <w:tcPr>
            <w:tcW w:w="494" w:type="pct"/>
            <w:tcBorders>
              <w:top w:val="nil"/>
              <w:left w:val="nil"/>
              <w:bottom w:val="single" w:sz="4" w:space="0" w:color="auto"/>
              <w:right w:val="nil"/>
            </w:tcBorders>
            <w:shd w:val="clear" w:color="auto" w:fill="auto"/>
            <w:vAlign w:val="bottom"/>
            <w:hideMark/>
          </w:tcPr>
          <w:p w14:paraId="55882F19" w14:textId="77777777" w:rsidR="000E38BD" w:rsidRPr="00DE1FBE" w:rsidRDefault="000E38BD" w:rsidP="00214966">
            <w:pPr>
              <w:pStyle w:val="ARtablecolheadright"/>
            </w:pPr>
            <w:r w:rsidRPr="00DE1FBE">
              <w:t>Latest approved completion date</w:t>
            </w:r>
          </w:p>
        </w:tc>
        <w:tc>
          <w:tcPr>
            <w:tcW w:w="445" w:type="pct"/>
            <w:tcBorders>
              <w:top w:val="nil"/>
              <w:left w:val="nil"/>
              <w:bottom w:val="single" w:sz="4" w:space="0" w:color="auto"/>
              <w:right w:val="nil"/>
            </w:tcBorders>
            <w:shd w:val="clear" w:color="auto" w:fill="auto"/>
            <w:vAlign w:val="bottom"/>
            <w:hideMark/>
          </w:tcPr>
          <w:p w14:paraId="6483A5ED" w14:textId="77777777" w:rsidR="000E38BD" w:rsidRPr="00DE1FBE" w:rsidRDefault="000E38BD" w:rsidP="00214966">
            <w:pPr>
              <w:pStyle w:val="ARtablecolheadright"/>
            </w:pPr>
            <w:r w:rsidRPr="00DE1FBE">
              <w:t>Practical completion date</w:t>
            </w:r>
          </w:p>
        </w:tc>
        <w:tc>
          <w:tcPr>
            <w:tcW w:w="426" w:type="pct"/>
            <w:tcBorders>
              <w:top w:val="nil"/>
              <w:left w:val="nil"/>
              <w:bottom w:val="single" w:sz="4" w:space="0" w:color="auto"/>
              <w:right w:val="nil"/>
            </w:tcBorders>
            <w:shd w:val="clear" w:color="auto" w:fill="auto"/>
            <w:vAlign w:val="bottom"/>
            <w:hideMark/>
          </w:tcPr>
          <w:p w14:paraId="298158C1" w14:textId="77777777" w:rsidR="000E38BD" w:rsidRPr="00DE1FBE" w:rsidRDefault="000E38BD" w:rsidP="00214966">
            <w:pPr>
              <w:pStyle w:val="ARtablecolheadright"/>
            </w:pPr>
            <w:r w:rsidRPr="00DE1FBE">
              <w:t>Reason for variance in completion dates</w:t>
            </w:r>
          </w:p>
        </w:tc>
        <w:tc>
          <w:tcPr>
            <w:tcW w:w="433" w:type="pct"/>
            <w:tcBorders>
              <w:top w:val="nil"/>
              <w:left w:val="nil"/>
              <w:bottom w:val="single" w:sz="4" w:space="0" w:color="auto"/>
              <w:right w:val="nil"/>
            </w:tcBorders>
            <w:shd w:val="clear" w:color="auto" w:fill="auto"/>
            <w:vAlign w:val="bottom"/>
            <w:hideMark/>
          </w:tcPr>
          <w:p w14:paraId="6236ADEA" w14:textId="77777777" w:rsidR="000E38BD" w:rsidRPr="00DE1FBE" w:rsidRDefault="000E38BD" w:rsidP="00214966">
            <w:pPr>
              <w:pStyle w:val="ARtablecolheadright"/>
            </w:pPr>
            <w:r w:rsidRPr="00DE1FBE">
              <w:t xml:space="preserve">Original approved </w:t>
            </w:r>
            <w:r w:rsidRPr="00DE1FBE">
              <w:br/>
              <w:t>TEI budget</w:t>
            </w:r>
          </w:p>
          <w:p w14:paraId="66BAE6FC" w14:textId="77777777" w:rsidR="000E38BD" w:rsidRPr="00DE1FBE" w:rsidRDefault="000E38BD" w:rsidP="00214966">
            <w:pPr>
              <w:pStyle w:val="ARtablecolheadright"/>
            </w:pPr>
            <w:r w:rsidRPr="00DE1FBE">
              <w:t>($m)</w:t>
            </w:r>
          </w:p>
        </w:tc>
        <w:tc>
          <w:tcPr>
            <w:tcW w:w="444" w:type="pct"/>
            <w:tcBorders>
              <w:top w:val="nil"/>
              <w:left w:val="nil"/>
              <w:bottom w:val="single" w:sz="4" w:space="0" w:color="auto"/>
              <w:right w:val="nil"/>
            </w:tcBorders>
            <w:shd w:val="clear" w:color="auto" w:fill="auto"/>
            <w:vAlign w:val="bottom"/>
            <w:hideMark/>
          </w:tcPr>
          <w:p w14:paraId="2B3C50DA" w14:textId="77777777" w:rsidR="000E38BD" w:rsidRPr="00DE1FBE" w:rsidRDefault="000E38BD" w:rsidP="00214966">
            <w:pPr>
              <w:pStyle w:val="ARtablecolheadright"/>
            </w:pPr>
            <w:r w:rsidRPr="00DE1FBE">
              <w:t>Latest approved TEI budget</w:t>
            </w:r>
          </w:p>
          <w:p w14:paraId="43F685F9" w14:textId="77777777" w:rsidR="000E38BD" w:rsidRPr="00DE1FBE" w:rsidRDefault="000E38BD" w:rsidP="00214966">
            <w:pPr>
              <w:pStyle w:val="ARtablecolheadright"/>
            </w:pPr>
            <w:r w:rsidRPr="00DE1FBE">
              <w:t>($m)</w:t>
            </w:r>
          </w:p>
        </w:tc>
        <w:tc>
          <w:tcPr>
            <w:tcW w:w="297" w:type="pct"/>
            <w:tcBorders>
              <w:top w:val="nil"/>
              <w:left w:val="nil"/>
              <w:bottom w:val="single" w:sz="4" w:space="0" w:color="auto"/>
              <w:right w:val="nil"/>
            </w:tcBorders>
            <w:shd w:val="clear" w:color="auto" w:fill="auto"/>
            <w:vAlign w:val="bottom"/>
            <w:hideMark/>
          </w:tcPr>
          <w:p w14:paraId="637E85EF" w14:textId="77777777" w:rsidR="000E38BD" w:rsidRPr="00DE1FBE" w:rsidRDefault="000E38BD" w:rsidP="00214966">
            <w:pPr>
              <w:pStyle w:val="ARtablecolheadright"/>
            </w:pPr>
            <w:r>
              <w:t>Actual TEI cost</w:t>
            </w:r>
          </w:p>
          <w:p w14:paraId="07E511EC" w14:textId="77777777" w:rsidR="000E38BD" w:rsidRPr="00DE1FBE" w:rsidRDefault="000E38BD" w:rsidP="00214966">
            <w:pPr>
              <w:pStyle w:val="ARtablecolheadright"/>
            </w:pPr>
            <w:r>
              <w:t>($m)</w:t>
            </w:r>
          </w:p>
        </w:tc>
        <w:tc>
          <w:tcPr>
            <w:tcW w:w="553" w:type="pct"/>
            <w:tcBorders>
              <w:top w:val="nil"/>
              <w:left w:val="nil"/>
              <w:bottom w:val="single" w:sz="4" w:space="0" w:color="auto"/>
              <w:right w:val="nil"/>
            </w:tcBorders>
            <w:shd w:val="clear" w:color="auto" w:fill="auto"/>
            <w:vAlign w:val="bottom"/>
            <w:hideMark/>
          </w:tcPr>
          <w:p w14:paraId="79ED3404" w14:textId="77777777" w:rsidR="000E38BD" w:rsidRPr="00DE1FBE" w:rsidRDefault="000E38BD" w:rsidP="00214966">
            <w:pPr>
              <w:pStyle w:val="ARtablecolheadright"/>
            </w:pPr>
            <w:r w:rsidRPr="00DE1FBE">
              <w:t>Variation between actual cost and latest approved TEI budget</w:t>
            </w:r>
          </w:p>
          <w:p w14:paraId="1BF180E1" w14:textId="77777777" w:rsidR="000E38BD" w:rsidRPr="00DE1FBE" w:rsidRDefault="000E38BD" w:rsidP="00214966">
            <w:pPr>
              <w:pStyle w:val="ARtablecolheadright"/>
            </w:pPr>
            <w:r w:rsidRPr="00DE1FBE">
              <w:t>($m)</w:t>
            </w:r>
          </w:p>
        </w:tc>
        <w:tc>
          <w:tcPr>
            <w:tcW w:w="611" w:type="pct"/>
            <w:tcBorders>
              <w:top w:val="nil"/>
              <w:left w:val="nil"/>
              <w:bottom w:val="single" w:sz="4" w:space="0" w:color="auto"/>
              <w:right w:val="nil"/>
            </w:tcBorders>
            <w:shd w:val="clear" w:color="auto" w:fill="auto"/>
            <w:vAlign w:val="bottom"/>
            <w:hideMark/>
          </w:tcPr>
          <w:p w14:paraId="1AEA024B" w14:textId="77777777" w:rsidR="000E38BD" w:rsidRPr="00DE1FBE" w:rsidRDefault="000E38BD" w:rsidP="00214966">
            <w:pPr>
              <w:pStyle w:val="ARtablecolheadcentre"/>
            </w:pPr>
            <w:r w:rsidRPr="00DE1FBE">
              <w:t>Reason for variance from latest approved TEI budget</w:t>
            </w:r>
          </w:p>
        </w:tc>
      </w:tr>
      <w:tr w:rsidR="0000062B" w:rsidRPr="00532DAE" w14:paraId="769960CE" w14:textId="77777777" w:rsidTr="00AA126F">
        <w:trPr>
          <w:cantSplit/>
        </w:trPr>
        <w:tc>
          <w:tcPr>
            <w:tcW w:w="851" w:type="pct"/>
            <w:tcBorders>
              <w:top w:val="single" w:sz="4" w:space="0" w:color="auto"/>
              <w:left w:val="nil"/>
              <w:bottom w:val="single" w:sz="4" w:space="0" w:color="auto"/>
              <w:right w:val="nil"/>
            </w:tcBorders>
            <w:shd w:val="clear" w:color="auto" w:fill="auto"/>
          </w:tcPr>
          <w:p w14:paraId="67E63C61" w14:textId="5754A504" w:rsidR="000E38BD" w:rsidRPr="00214966" w:rsidRDefault="000E38BD" w:rsidP="00214966">
            <w:pPr>
              <w:pStyle w:val="ARtabletext"/>
              <w:rPr>
                <w:highlight w:val="cyan"/>
              </w:rPr>
            </w:pPr>
            <w:r w:rsidRPr="00214966">
              <w:t>Base Housing Renewal 2023</w:t>
            </w:r>
            <w:r w:rsidR="00E837F9">
              <w:t>–</w:t>
            </w:r>
            <w:r w:rsidRPr="00214966">
              <w:t>24 (statewide)</w:t>
            </w:r>
          </w:p>
        </w:tc>
        <w:tc>
          <w:tcPr>
            <w:tcW w:w="446" w:type="pct"/>
            <w:tcBorders>
              <w:top w:val="single" w:sz="4" w:space="0" w:color="auto"/>
              <w:left w:val="nil"/>
              <w:bottom w:val="single" w:sz="4" w:space="0" w:color="auto"/>
              <w:right w:val="nil"/>
            </w:tcBorders>
            <w:shd w:val="clear" w:color="auto" w:fill="auto"/>
          </w:tcPr>
          <w:p w14:paraId="06A74A21" w14:textId="77777777" w:rsidR="000E38BD" w:rsidRPr="00F14941" w:rsidRDefault="000E38BD" w:rsidP="00214966">
            <w:pPr>
              <w:pStyle w:val="ARtabletextright"/>
            </w:pPr>
            <w:r>
              <w:t>Q4</w:t>
            </w:r>
            <w:r w:rsidRPr="00F14941">
              <w:t xml:space="preserve"> </w:t>
            </w:r>
            <w:r>
              <w:t>2024</w:t>
            </w:r>
          </w:p>
        </w:tc>
        <w:tc>
          <w:tcPr>
            <w:tcW w:w="494" w:type="pct"/>
            <w:tcBorders>
              <w:top w:val="single" w:sz="4" w:space="0" w:color="auto"/>
              <w:left w:val="nil"/>
              <w:bottom w:val="single" w:sz="4" w:space="0" w:color="auto"/>
              <w:right w:val="nil"/>
            </w:tcBorders>
            <w:shd w:val="clear" w:color="auto" w:fill="auto"/>
          </w:tcPr>
          <w:p w14:paraId="5AD39540" w14:textId="77777777" w:rsidR="000E38BD" w:rsidRPr="00F14941" w:rsidRDefault="000E38BD" w:rsidP="00214966">
            <w:pPr>
              <w:pStyle w:val="ARtabletextright"/>
            </w:pPr>
            <w:r w:rsidRPr="00F14941">
              <w:t xml:space="preserve">June </w:t>
            </w:r>
            <w:r>
              <w:t>2024</w:t>
            </w:r>
          </w:p>
        </w:tc>
        <w:tc>
          <w:tcPr>
            <w:tcW w:w="445" w:type="pct"/>
            <w:tcBorders>
              <w:top w:val="single" w:sz="4" w:space="0" w:color="auto"/>
              <w:left w:val="nil"/>
              <w:bottom w:val="single" w:sz="4" w:space="0" w:color="auto"/>
              <w:right w:val="nil"/>
            </w:tcBorders>
            <w:shd w:val="clear" w:color="auto" w:fill="auto"/>
          </w:tcPr>
          <w:p w14:paraId="02119A1C" w14:textId="77777777" w:rsidR="000E38BD" w:rsidRPr="00F14941" w:rsidRDefault="000E38BD" w:rsidP="00214966">
            <w:pPr>
              <w:pStyle w:val="ARtabletextright"/>
            </w:pPr>
            <w:r w:rsidRPr="00F14941">
              <w:t xml:space="preserve">June </w:t>
            </w:r>
            <w:r>
              <w:t>2024</w:t>
            </w:r>
          </w:p>
        </w:tc>
        <w:tc>
          <w:tcPr>
            <w:tcW w:w="426" w:type="pct"/>
            <w:tcBorders>
              <w:top w:val="single" w:sz="4" w:space="0" w:color="auto"/>
              <w:left w:val="nil"/>
              <w:bottom w:val="single" w:sz="4" w:space="0" w:color="auto"/>
              <w:right w:val="nil"/>
            </w:tcBorders>
            <w:shd w:val="clear" w:color="auto" w:fill="auto"/>
          </w:tcPr>
          <w:p w14:paraId="7851E030" w14:textId="4D7C3DE6" w:rsidR="000E38BD" w:rsidRPr="00F14941" w:rsidRDefault="006E2F2E" w:rsidP="00214966">
            <w:pPr>
              <w:pStyle w:val="ARtabletextright"/>
            </w:pPr>
            <w:r>
              <w:t>–</w:t>
            </w:r>
          </w:p>
        </w:tc>
        <w:tc>
          <w:tcPr>
            <w:tcW w:w="433" w:type="pct"/>
            <w:tcBorders>
              <w:top w:val="single" w:sz="4" w:space="0" w:color="auto"/>
              <w:left w:val="nil"/>
              <w:bottom w:val="single" w:sz="4" w:space="0" w:color="auto"/>
              <w:right w:val="nil"/>
            </w:tcBorders>
            <w:shd w:val="clear" w:color="auto" w:fill="auto"/>
          </w:tcPr>
          <w:p w14:paraId="78127E3C" w14:textId="77777777" w:rsidR="000E38BD" w:rsidRPr="00F14941" w:rsidRDefault="000E38BD" w:rsidP="00214966">
            <w:pPr>
              <w:pStyle w:val="ARtabletextright"/>
            </w:pPr>
            <w:r>
              <w:t>81.5</w:t>
            </w:r>
          </w:p>
        </w:tc>
        <w:tc>
          <w:tcPr>
            <w:tcW w:w="444" w:type="pct"/>
            <w:tcBorders>
              <w:top w:val="single" w:sz="4" w:space="0" w:color="auto"/>
              <w:left w:val="nil"/>
              <w:bottom w:val="single" w:sz="4" w:space="0" w:color="auto"/>
              <w:right w:val="nil"/>
            </w:tcBorders>
            <w:shd w:val="clear" w:color="auto" w:fill="auto"/>
          </w:tcPr>
          <w:p w14:paraId="7881AAD2" w14:textId="77777777" w:rsidR="000E38BD" w:rsidRPr="00F14941" w:rsidRDefault="000E38BD" w:rsidP="00214966">
            <w:pPr>
              <w:pStyle w:val="ARtabletextright"/>
            </w:pPr>
            <w:r>
              <w:t>99.2</w:t>
            </w:r>
          </w:p>
        </w:tc>
        <w:tc>
          <w:tcPr>
            <w:tcW w:w="297" w:type="pct"/>
            <w:tcBorders>
              <w:top w:val="single" w:sz="4" w:space="0" w:color="auto"/>
              <w:left w:val="nil"/>
              <w:bottom w:val="single" w:sz="4" w:space="0" w:color="auto"/>
              <w:right w:val="nil"/>
            </w:tcBorders>
            <w:shd w:val="clear" w:color="auto" w:fill="auto"/>
          </w:tcPr>
          <w:p w14:paraId="21833134" w14:textId="77777777" w:rsidR="000E38BD" w:rsidRPr="00FE1004" w:rsidRDefault="000E38BD" w:rsidP="00214966">
            <w:pPr>
              <w:pStyle w:val="ARtabletextright"/>
            </w:pPr>
            <w:r w:rsidRPr="59E677DF">
              <w:t>98.5</w:t>
            </w:r>
          </w:p>
        </w:tc>
        <w:tc>
          <w:tcPr>
            <w:tcW w:w="553" w:type="pct"/>
            <w:tcBorders>
              <w:top w:val="single" w:sz="4" w:space="0" w:color="auto"/>
              <w:left w:val="nil"/>
              <w:bottom w:val="single" w:sz="4" w:space="0" w:color="auto"/>
              <w:right w:val="nil"/>
            </w:tcBorders>
            <w:shd w:val="clear" w:color="auto" w:fill="auto"/>
          </w:tcPr>
          <w:p w14:paraId="4103558F" w14:textId="51454715" w:rsidR="000E38BD" w:rsidRPr="00F14941" w:rsidRDefault="00737B06" w:rsidP="00214966">
            <w:pPr>
              <w:pStyle w:val="ARtabletextright"/>
            </w:pPr>
            <w:r>
              <w:t>-</w:t>
            </w:r>
            <w:r w:rsidR="000E38BD">
              <w:t>0.7</w:t>
            </w:r>
          </w:p>
        </w:tc>
        <w:tc>
          <w:tcPr>
            <w:tcW w:w="611" w:type="pct"/>
            <w:tcBorders>
              <w:top w:val="single" w:sz="4" w:space="0" w:color="auto"/>
              <w:left w:val="nil"/>
              <w:bottom w:val="single" w:sz="4" w:space="0" w:color="auto"/>
              <w:right w:val="nil"/>
            </w:tcBorders>
            <w:shd w:val="clear" w:color="auto" w:fill="auto"/>
          </w:tcPr>
          <w:p w14:paraId="37F6153C" w14:textId="77777777" w:rsidR="000E38BD" w:rsidRPr="00F14941" w:rsidRDefault="000E38BD" w:rsidP="00214966">
            <w:pPr>
              <w:pStyle w:val="ARtabletextcentre"/>
            </w:pPr>
            <w:r>
              <w:t>Project completed under budget</w:t>
            </w:r>
          </w:p>
        </w:tc>
      </w:tr>
      <w:tr w:rsidR="0000062B" w:rsidRPr="00532DAE" w14:paraId="4B9B3BBD" w14:textId="77777777" w:rsidTr="00AA126F">
        <w:trPr>
          <w:cantSplit/>
        </w:trPr>
        <w:tc>
          <w:tcPr>
            <w:tcW w:w="851" w:type="pct"/>
            <w:tcBorders>
              <w:top w:val="single" w:sz="4" w:space="0" w:color="auto"/>
              <w:left w:val="nil"/>
              <w:bottom w:val="single" w:sz="4" w:space="0" w:color="auto"/>
              <w:right w:val="nil"/>
            </w:tcBorders>
            <w:shd w:val="clear" w:color="auto" w:fill="auto"/>
          </w:tcPr>
          <w:p w14:paraId="7523C002" w14:textId="77777777" w:rsidR="000E38BD" w:rsidRPr="00214966" w:rsidRDefault="000E38BD" w:rsidP="00214966">
            <w:pPr>
              <w:pStyle w:val="ARtabletext"/>
              <w:rPr>
                <w:highlight w:val="cyan"/>
              </w:rPr>
            </w:pPr>
            <w:r w:rsidRPr="00214966">
              <w:t>Big Housing Build physical improvements (statewide)</w:t>
            </w:r>
          </w:p>
        </w:tc>
        <w:tc>
          <w:tcPr>
            <w:tcW w:w="446" w:type="pct"/>
            <w:tcBorders>
              <w:top w:val="single" w:sz="4" w:space="0" w:color="auto"/>
              <w:left w:val="nil"/>
              <w:bottom w:val="single" w:sz="4" w:space="0" w:color="auto"/>
              <w:right w:val="nil"/>
            </w:tcBorders>
            <w:shd w:val="clear" w:color="auto" w:fill="auto"/>
          </w:tcPr>
          <w:p w14:paraId="778A129F" w14:textId="77777777" w:rsidR="000E38BD" w:rsidRPr="00872737" w:rsidRDefault="000E38BD" w:rsidP="00214966">
            <w:pPr>
              <w:pStyle w:val="ARtabletextright"/>
            </w:pPr>
            <w:r w:rsidRPr="00872737">
              <w:t>Q4 2027</w:t>
            </w:r>
          </w:p>
        </w:tc>
        <w:tc>
          <w:tcPr>
            <w:tcW w:w="494" w:type="pct"/>
            <w:tcBorders>
              <w:top w:val="single" w:sz="4" w:space="0" w:color="auto"/>
              <w:left w:val="nil"/>
              <w:bottom w:val="single" w:sz="4" w:space="0" w:color="auto"/>
              <w:right w:val="nil"/>
            </w:tcBorders>
            <w:shd w:val="clear" w:color="auto" w:fill="auto"/>
          </w:tcPr>
          <w:p w14:paraId="06F94E62" w14:textId="77777777" w:rsidR="000E38BD" w:rsidRPr="00F14941" w:rsidRDefault="000E38BD" w:rsidP="00214966">
            <w:pPr>
              <w:pStyle w:val="ARtabletextright"/>
            </w:pPr>
            <w:r w:rsidRPr="00F14941">
              <w:t xml:space="preserve">June </w:t>
            </w:r>
            <w:r>
              <w:t>2024</w:t>
            </w:r>
          </w:p>
        </w:tc>
        <w:tc>
          <w:tcPr>
            <w:tcW w:w="445" w:type="pct"/>
            <w:tcBorders>
              <w:top w:val="single" w:sz="4" w:space="0" w:color="auto"/>
              <w:left w:val="nil"/>
              <w:bottom w:val="single" w:sz="4" w:space="0" w:color="auto"/>
              <w:right w:val="nil"/>
            </w:tcBorders>
            <w:shd w:val="clear" w:color="auto" w:fill="auto"/>
          </w:tcPr>
          <w:p w14:paraId="2540B961" w14:textId="77777777" w:rsidR="000E38BD" w:rsidRPr="00490EF3" w:rsidRDefault="000E38BD" w:rsidP="00214966">
            <w:pPr>
              <w:pStyle w:val="ARtabletextright"/>
            </w:pPr>
            <w:r w:rsidRPr="00490EF3">
              <w:t>June 2024</w:t>
            </w:r>
          </w:p>
        </w:tc>
        <w:tc>
          <w:tcPr>
            <w:tcW w:w="426" w:type="pct"/>
            <w:tcBorders>
              <w:top w:val="single" w:sz="4" w:space="0" w:color="auto"/>
              <w:left w:val="nil"/>
              <w:bottom w:val="single" w:sz="4" w:space="0" w:color="auto"/>
              <w:right w:val="nil"/>
            </w:tcBorders>
            <w:shd w:val="clear" w:color="auto" w:fill="auto"/>
          </w:tcPr>
          <w:p w14:paraId="3F14856C" w14:textId="16290C5F" w:rsidR="000E38BD" w:rsidRPr="00AB54CD" w:rsidRDefault="006E2F2E" w:rsidP="00214966">
            <w:pPr>
              <w:pStyle w:val="ARtabletextright"/>
            </w:pPr>
            <w:r>
              <w:t>–</w:t>
            </w:r>
          </w:p>
        </w:tc>
        <w:tc>
          <w:tcPr>
            <w:tcW w:w="433" w:type="pct"/>
            <w:tcBorders>
              <w:top w:val="single" w:sz="4" w:space="0" w:color="auto"/>
              <w:left w:val="nil"/>
              <w:bottom w:val="single" w:sz="4" w:space="0" w:color="auto"/>
              <w:right w:val="nil"/>
            </w:tcBorders>
            <w:shd w:val="clear" w:color="auto" w:fill="auto"/>
          </w:tcPr>
          <w:p w14:paraId="114F4925" w14:textId="77777777" w:rsidR="000E38BD" w:rsidRPr="00872737" w:rsidRDefault="000E38BD" w:rsidP="00214966">
            <w:pPr>
              <w:pStyle w:val="ARtabletextright"/>
            </w:pPr>
            <w:r w:rsidRPr="00872737">
              <w:t>184.0</w:t>
            </w:r>
          </w:p>
        </w:tc>
        <w:tc>
          <w:tcPr>
            <w:tcW w:w="444" w:type="pct"/>
            <w:tcBorders>
              <w:top w:val="single" w:sz="4" w:space="0" w:color="auto"/>
              <w:left w:val="nil"/>
              <w:bottom w:val="single" w:sz="4" w:space="0" w:color="auto"/>
              <w:right w:val="nil"/>
            </w:tcBorders>
            <w:shd w:val="clear" w:color="auto" w:fill="auto"/>
          </w:tcPr>
          <w:p w14:paraId="29B5B9CE" w14:textId="77777777" w:rsidR="000E38BD" w:rsidRPr="00F14941" w:rsidRDefault="000E38BD" w:rsidP="00214966">
            <w:pPr>
              <w:pStyle w:val="ARtabletextright"/>
            </w:pPr>
            <w:r>
              <w:t>184.0</w:t>
            </w:r>
          </w:p>
        </w:tc>
        <w:tc>
          <w:tcPr>
            <w:tcW w:w="297" w:type="pct"/>
            <w:tcBorders>
              <w:top w:val="single" w:sz="4" w:space="0" w:color="auto"/>
              <w:left w:val="nil"/>
              <w:bottom w:val="single" w:sz="4" w:space="0" w:color="auto"/>
              <w:right w:val="nil"/>
            </w:tcBorders>
            <w:shd w:val="clear" w:color="auto" w:fill="auto"/>
          </w:tcPr>
          <w:p w14:paraId="3BA5D181" w14:textId="77777777" w:rsidR="000E38BD" w:rsidRPr="00FE1004" w:rsidRDefault="000E38BD" w:rsidP="00214966">
            <w:pPr>
              <w:pStyle w:val="ARtabletextright"/>
            </w:pPr>
            <w:r w:rsidRPr="59E677DF">
              <w:t>184.0</w:t>
            </w:r>
          </w:p>
        </w:tc>
        <w:tc>
          <w:tcPr>
            <w:tcW w:w="553" w:type="pct"/>
            <w:tcBorders>
              <w:top w:val="single" w:sz="4" w:space="0" w:color="auto"/>
              <w:left w:val="nil"/>
              <w:bottom w:val="single" w:sz="4" w:space="0" w:color="auto"/>
              <w:right w:val="nil"/>
            </w:tcBorders>
            <w:shd w:val="clear" w:color="auto" w:fill="auto"/>
          </w:tcPr>
          <w:p w14:paraId="63630825" w14:textId="77777777" w:rsidR="000E38BD" w:rsidRPr="00F14941" w:rsidRDefault="000E38BD" w:rsidP="00214966">
            <w:pPr>
              <w:pStyle w:val="ARtabletextright"/>
            </w:pPr>
            <w:r>
              <w:t>0.0</w:t>
            </w:r>
          </w:p>
        </w:tc>
        <w:tc>
          <w:tcPr>
            <w:tcW w:w="611" w:type="pct"/>
            <w:tcBorders>
              <w:top w:val="single" w:sz="4" w:space="0" w:color="auto"/>
              <w:left w:val="nil"/>
              <w:bottom w:val="single" w:sz="4" w:space="0" w:color="auto"/>
              <w:right w:val="nil"/>
            </w:tcBorders>
            <w:shd w:val="clear" w:color="auto" w:fill="auto"/>
          </w:tcPr>
          <w:p w14:paraId="693C5BD0" w14:textId="77777777" w:rsidR="000E38BD" w:rsidRPr="00F14941" w:rsidRDefault="000E38BD" w:rsidP="00214966">
            <w:pPr>
              <w:pStyle w:val="ARtabletextcentre"/>
            </w:pPr>
          </w:p>
        </w:tc>
      </w:tr>
      <w:tr w:rsidR="0000062B" w:rsidRPr="00532DAE" w14:paraId="6A22FECD" w14:textId="77777777" w:rsidTr="00AA126F">
        <w:trPr>
          <w:cantSplit/>
        </w:trPr>
        <w:tc>
          <w:tcPr>
            <w:tcW w:w="851" w:type="pct"/>
            <w:tcBorders>
              <w:top w:val="single" w:sz="4" w:space="0" w:color="auto"/>
              <w:left w:val="nil"/>
              <w:bottom w:val="single" w:sz="4" w:space="0" w:color="auto"/>
              <w:right w:val="nil"/>
            </w:tcBorders>
            <w:shd w:val="clear" w:color="auto" w:fill="auto"/>
          </w:tcPr>
          <w:p w14:paraId="1D4FA132" w14:textId="77777777" w:rsidR="000E38BD" w:rsidRPr="00214966" w:rsidRDefault="000E38BD" w:rsidP="00214966">
            <w:pPr>
              <w:pStyle w:val="ARtabletext"/>
              <w:rPr>
                <w:highlight w:val="cyan"/>
              </w:rPr>
            </w:pPr>
            <w:r w:rsidRPr="00214966">
              <w:t>Carlton Redevelopment – 246 units/sites (North-West metropolitan)</w:t>
            </w:r>
          </w:p>
        </w:tc>
        <w:tc>
          <w:tcPr>
            <w:tcW w:w="446" w:type="pct"/>
            <w:tcBorders>
              <w:top w:val="single" w:sz="4" w:space="0" w:color="auto"/>
              <w:left w:val="nil"/>
              <w:bottom w:val="single" w:sz="4" w:space="0" w:color="auto"/>
              <w:right w:val="nil"/>
            </w:tcBorders>
            <w:shd w:val="clear" w:color="auto" w:fill="auto"/>
          </w:tcPr>
          <w:p w14:paraId="12E7C559" w14:textId="77777777" w:rsidR="000E38BD" w:rsidRPr="00872737" w:rsidRDefault="000E38BD" w:rsidP="00214966">
            <w:pPr>
              <w:pStyle w:val="ARtabletextright"/>
            </w:pPr>
            <w:r w:rsidRPr="00154FFB">
              <w:t>Q4 2019</w:t>
            </w:r>
          </w:p>
        </w:tc>
        <w:tc>
          <w:tcPr>
            <w:tcW w:w="494" w:type="pct"/>
            <w:tcBorders>
              <w:top w:val="single" w:sz="4" w:space="0" w:color="auto"/>
              <w:left w:val="nil"/>
              <w:bottom w:val="single" w:sz="4" w:space="0" w:color="auto"/>
              <w:right w:val="nil"/>
            </w:tcBorders>
            <w:shd w:val="clear" w:color="auto" w:fill="auto"/>
          </w:tcPr>
          <w:p w14:paraId="608A9410" w14:textId="77777777" w:rsidR="000E38BD" w:rsidRPr="00F14941" w:rsidRDefault="000E38BD" w:rsidP="00214966">
            <w:pPr>
              <w:pStyle w:val="ARtabletextright"/>
            </w:pPr>
            <w:r>
              <w:t>March 2024</w:t>
            </w:r>
          </w:p>
        </w:tc>
        <w:tc>
          <w:tcPr>
            <w:tcW w:w="445" w:type="pct"/>
            <w:tcBorders>
              <w:top w:val="single" w:sz="4" w:space="0" w:color="auto"/>
              <w:left w:val="nil"/>
              <w:bottom w:val="single" w:sz="4" w:space="0" w:color="auto"/>
              <w:right w:val="nil"/>
            </w:tcBorders>
            <w:shd w:val="clear" w:color="auto" w:fill="auto"/>
          </w:tcPr>
          <w:p w14:paraId="3F5F1483" w14:textId="77777777" w:rsidR="000E38BD" w:rsidRPr="00490EF3" w:rsidRDefault="000E38BD" w:rsidP="00214966">
            <w:pPr>
              <w:pStyle w:val="ARtabletextright"/>
            </w:pPr>
            <w:r w:rsidRPr="00490EF3">
              <w:t xml:space="preserve"> March 2024</w:t>
            </w:r>
          </w:p>
        </w:tc>
        <w:tc>
          <w:tcPr>
            <w:tcW w:w="426" w:type="pct"/>
            <w:tcBorders>
              <w:top w:val="single" w:sz="4" w:space="0" w:color="auto"/>
              <w:left w:val="nil"/>
              <w:bottom w:val="single" w:sz="4" w:space="0" w:color="auto"/>
              <w:right w:val="nil"/>
            </w:tcBorders>
            <w:shd w:val="clear" w:color="auto" w:fill="auto"/>
          </w:tcPr>
          <w:p w14:paraId="3DA2B23E" w14:textId="1DD38055" w:rsidR="000E38BD" w:rsidRPr="00AB54CD" w:rsidRDefault="006E2F2E" w:rsidP="00214966">
            <w:pPr>
              <w:pStyle w:val="ARtabletextright"/>
            </w:pPr>
            <w:r>
              <w:t>–</w:t>
            </w:r>
          </w:p>
        </w:tc>
        <w:tc>
          <w:tcPr>
            <w:tcW w:w="433" w:type="pct"/>
            <w:tcBorders>
              <w:top w:val="single" w:sz="4" w:space="0" w:color="auto"/>
              <w:left w:val="nil"/>
              <w:bottom w:val="single" w:sz="4" w:space="0" w:color="auto"/>
              <w:right w:val="nil"/>
            </w:tcBorders>
            <w:shd w:val="clear" w:color="auto" w:fill="auto"/>
          </w:tcPr>
          <w:p w14:paraId="259CC765" w14:textId="77777777" w:rsidR="000E38BD" w:rsidRPr="00872737" w:rsidRDefault="000E38BD" w:rsidP="00214966">
            <w:pPr>
              <w:pStyle w:val="ARtabletextright"/>
            </w:pPr>
            <w:r w:rsidRPr="00872737">
              <w:t>146.4</w:t>
            </w:r>
          </w:p>
        </w:tc>
        <w:tc>
          <w:tcPr>
            <w:tcW w:w="444" w:type="pct"/>
            <w:tcBorders>
              <w:top w:val="single" w:sz="4" w:space="0" w:color="auto"/>
              <w:left w:val="nil"/>
              <w:bottom w:val="single" w:sz="4" w:space="0" w:color="auto"/>
              <w:right w:val="nil"/>
            </w:tcBorders>
            <w:shd w:val="clear" w:color="auto" w:fill="auto"/>
          </w:tcPr>
          <w:p w14:paraId="0A9A437D" w14:textId="77777777" w:rsidR="000E38BD" w:rsidRPr="00F14941" w:rsidRDefault="000E38BD" w:rsidP="00214966">
            <w:pPr>
              <w:pStyle w:val="ARtabletextright"/>
            </w:pPr>
            <w:r>
              <w:t>149.1</w:t>
            </w:r>
          </w:p>
        </w:tc>
        <w:tc>
          <w:tcPr>
            <w:tcW w:w="297" w:type="pct"/>
            <w:tcBorders>
              <w:top w:val="single" w:sz="4" w:space="0" w:color="auto"/>
              <w:left w:val="nil"/>
              <w:bottom w:val="single" w:sz="4" w:space="0" w:color="auto"/>
              <w:right w:val="nil"/>
            </w:tcBorders>
            <w:shd w:val="clear" w:color="auto" w:fill="auto"/>
          </w:tcPr>
          <w:p w14:paraId="5B1BC50F" w14:textId="77777777" w:rsidR="000E38BD" w:rsidRPr="00FE1004" w:rsidRDefault="000E38BD" w:rsidP="00214966">
            <w:pPr>
              <w:pStyle w:val="ARtabletextright"/>
            </w:pPr>
            <w:r w:rsidRPr="59E677DF">
              <w:t>145.8</w:t>
            </w:r>
          </w:p>
        </w:tc>
        <w:tc>
          <w:tcPr>
            <w:tcW w:w="553" w:type="pct"/>
            <w:tcBorders>
              <w:top w:val="single" w:sz="4" w:space="0" w:color="auto"/>
              <w:left w:val="nil"/>
              <w:bottom w:val="single" w:sz="4" w:space="0" w:color="auto"/>
              <w:right w:val="nil"/>
            </w:tcBorders>
            <w:shd w:val="clear" w:color="auto" w:fill="auto"/>
          </w:tcPr>
          <w:p w14:paraId="5363C88F" w14:textId="3C0E60FC" w:rsidR="000E38BD" w:rsidRPr="00F14941" w:rsidRDefault="00737B06" w:rsidP="00214966">
            <w:pPr>
              <w:pStyle w:val="ARtabletextright"/>
            </w:pPr>
            <w:r>
              <w:t>-</w:t>
            </w:r>
            <w:r w:rsidR="000E38BD">
              <w:t>3.3</w:t>
            </w:r>
          </w:p>
        </w:tc>
        <w:tc>
          <w:tcPr>
            <w:tcW w:w="611" w:type="pct"/>
            <w:tcBorders>
              <w:top w:val="single" w:sz="4" w:space="0" w:color="auto"/>
              <w:left w:val="nil"/>
              <w:bottom w:val="single" w:sz="4" w:space="0" w:color="auto"/>
              <w:right w:val="nil"/>
            </w:tcBorders>
            <w:shd w:val="clear" w:color="auto" w:fill="auto"/>
          </w:tcPr>
          <w:p w14:paraId="3611F64F" w14:textId="77777777" w:rsidR="000E38BD" w:rsidRPr="00F14941" w:rsidRDefault="000E38BD" w:rsidP="00214966">
            <w:pPr>
              <w:pStyle w:val="ARtabletextcentre"/>
            </w:pPr>
            <w:r>
              <w:t>Project completed under budget</w:t>
            </w:r>
          </w:p>
        </w:tc>
      </w:tr>
      <w:tr w:rsidR="0000062B" w:rsidRPr="00532DAE" w14:paraId="29EA56AC" w14:textId="77777777" w:rsidTr="00AA126F">
        <w:trPr>
          <w:cantSplit/>
        </w:trPr>
        <w:tc>
          <w:tcPr>
            <w:tcW w:w="851" w:type="pct"/>
            <w:tcBorders>
              <w:top w:val="single" w:sz="4" w:space="0" w:color="auto"/>
              <w:left w:val="nil"/>
              <w:bottom w:val="single" w:sz="4" w:space="0" w:color="auto"/>
              <w:right w:val="nil"/>
            </w:tcBorders>
            <w:shd w:val="clear" w:color="auto" w:fill="auto"/>
          </w:tcPr>
          <w:p w14:paraId="5B95F0F6" w14:textId="151F3B13" w:rsidR="000E38BD" w:rsidRPr="00214966" w:rsidRDefault="000E38BD" w:rsidP="00214966">
            <w:pPr>
              <w:pStyle w:val="ARtabletext"/>
            </w:pPr>
            <w:r w:rsidRPr="00214966">
              <w:t xml:space="preserve">Minor capital works </w:t>
            </w:r>
            <w:r w:rsidR="00E837F9">
              <w:br/>
            </w:r>
            <w:r w:rsidRPr="00214966">
              <w:t>2023</w:t>
            </w:r>
            <w:r w:rsidR="00E837F9">
              <w:t>–</w:t>
            </w:r>
            <w:r w:rsidRPr="00214966">
              <w:t>2024 (statewide)</w:t>
            </w:r>
          </w:p>
        </w:tc>
        <w:tc>
          <w:tcPr>
            <w:tcW w:w="446" w:type="pct"/>
            <w:tcBorders>
              <w:top w:val="single" w:sz="4" w:space="0" w:color="auto"/>
              <w:left w:val="nil"/>
              <w:bottom w:val="single" w:sz="4" w:space="0" w:color="auto"/>
              <w:right w:val="nil"/>
            </w:tcBorders>
            <w:shd w:val="clear" w:color="auto" w:fill="auto"/>
          </w:tcPr>
          <w:p w14:paraId="2249FC30" w14:textId="77777777" w:rsidR="000E38BD" w:rsidRPr="00872737" w:rsidRDefault="000E38BD" w:rsidP="00214966">
            <w:pPr>
              <w:pStyle w:val="ARtabletextright"/>
            </w:pPr>
            <w:r w:rsidRPr="00872737">
              <w:t>Q4 2024</w:t>
            </w:r>
          </w:p>
        </w:tc>
        <w:tc>
          <w:tcPr>
            <w:tcW w:w="494" w:type="pct"/>
            <w:tcBorders>
              <w:top w:val="single" w:sz="4" w:space="0" w:color="auto"/>
              <w:left w:val="nil"/>
              <w:bottom w:val="single" w:sz="4" w:space="0" w:color="auto"/>
              <w:right w:val="nil"/>
            </w:tcBorders>
            <w:shd w:val="clear" w:color="auto" w:fill="auto"/>
          </w:tcPr>
          <w:p w14:paraId="0B5C89B8" w14:textId="77777777" w:rsidR="000E38BD" w:rsidRPr="006E2F2E" w:rsidRDefault="000E38BD" w:rsidP="006E2F2E">
            <w:pPr>
              <w:pStyle w:val="ARtabletextright"/>
            </w:pPr>
            <w:r w:rsidRPr="006E2F2E">
              <w:t>June 2024</w:t>
            </w:r>
          </w:p>
        </w:tc>
        <w:tc>
          <w:tcPr>
            <w:tcW w:w="445" w:type="pct"/>
            <w:tcBorders>
              <w:top w:val="single" w:sz="4" w:space="0" w:color="auto"/>
              <w:left w:val="nil"/>
              <w:bottom w:val="single" w:sz="4" w:space="0" w:color="auto"/>
              <w:right w:val="nil"/>
            </w:tcBorders>
            <w:shd w:val="clear" w:color="auto" w:fill="auto"/>
          </w:tcPr>
          <w:p w14:paraId="781C07DF" w14:textId="77777777" w:rsidR="000E38BD" w:rsidRPr="006E2F2E" w:rsidRDefault="000E38BD" w:rsidP="006E2F2E">
            <w:pPr>
              <w:pStyle w:val="ARtabletextright"/>
            </w:pPr>
            <w:r w:rsidRPr="006E2F2E">
              <w:t>June 2024</w:t>
            </w:r>
          </w:p>
        </w:tc>
        <w:tc>
          <w:tcPr>
            <w:tcW w:w="426" w:type="pct"/>
            <w:tcBorders>
              <w:top w:val="single" w:sz="4" w:space="0" w:color="auto"/>
              <w:left w:val="nil"/>
              <w:bottom w:val="single" w:sz="4" w:space="0" w:color="auto"/>
              <w:right w:val="nil"/>
            </w:tcBorders>
            <w:shd w:val="clear" w:color="auto" w:fill="auto"/>
          </w:tcPr>
          <w:p w14:paraId="6666E068" w14:textId="4B92F8B4" w:rsidR="000E38BD" w:rsidRPr="00AB54CD" w:rsidRDefault="006E2F2E" w:rsidP="00214966">
            <w:pPr>
              <w:pStyle w:val="ARtabletextright"/>
            </w:pPr>
            <w:r>
              <w:t>–</w:t>
            </w:r>
          </w:p>
        </w:tc>
        <w:tc>
          <w:tcPr>
            <w:tcW w:w="433" w:type="pct"/>
            <w:tcBorders>
              <w:top w:val="single" w:sz="4" w:space="0" w:color="auto"/>
              <w:left w:val="nil"/>
              <w:bottom w:val="single" w:sz="4" w:space="0" w:color="auto"/>
              <w:right w:val="nil"/>
            </w:tcBorders>
            <w:shd w:val="clear" w:color="auto" w:fill="auto"/>
          </w:tcPr>
          <w:p w14:paraId="13BBF34A" w14:textId="77777777" w:rsidR="000E38BD" w:rsidRPr="00665998" w:rsidRDefault="000E38BD" w:rsidP="00214966">
            <w:pPr>
              <w:pStyle w:val="ARtabletextright"/>
            </w:pPr>
            <w:r w:rsidRPr="00665998">
              <w:t>24.1</w:t>
            </w:r>
          </w:p>
        </w:tc>
        <w:tc>
          <w:tcPr>
            <w:tcW w:w="444" w:type="pct"/>
            <w:tcBorders>
              <w:top w:val="single" w:sz="4" w:space="0" w:color="auto"/>
              <w:left w:val="nil"/>
              <w:bottom w:val="single" w:sz="4" w:space="0" w:color="auto"/>
              <w:right w:val="nil"/>
            </w:tcBorders>
            <w:shd w:val="clear" w:color="auto" w:fill="auto"/>
          </w:tcPr>
          <w:p w14:paraId="2C711AE0" w14:textId="77777777" w:rsidR="000E38BD" w:rsidRPr="00665998" w:rsidRDefault="000E38BD" w:rsidP="00214966">
            <w:pPr>
              <w:pStyle w:val="ARtabletextright"/>
            </w:pPr>
            <w:r w:rsidRPr="00665998">
              <w:t>24.1</w:t>
            </w:r>
          </w:p>
        </w:tc>
        <w:tc>
          <w:tcPr>
            <w:tcW w:w="297" w:type="pct"/>
            <w:tcBorders>
              <w:top w:val="single" w:sz="4" w:space="0" w:color="auto"/>
              <w:left w:val="nil"/>
              <w:bottom w:val="single" w:sz="4" w:space="0" w:color="auto"/>
              <w:right w:val="nil"/>
            </w:tcBorders>
            <w:shd w:val="clear" w:color="auto" w:fill="auto"/>
          </w:tcPr>
          <w:p w14:paraId="0A20D7AC" w14:textId="77777777" w:rsidR="000E38BD" w:rsidRDefault="000E38BD" w:rsidP="00214966">
            <w:pPr>
              <w:pStyle w:val="ARtabletextright"/>
            </w:pPr>
            <w:r w:rsidRPr="59E677DF">
              <w:t>24.1</w:t>
            </w:r>
          </w:p>
        </w:tc>
        <w:tc>
          <w:tcPr>
            <w:tcW w:w="553" w:type="pct"/>
            <w:tcBorders>
              <w:top w:val="single" w:sz="4" w:space="0" w:color="auto"/>
              <w:left w:val="nil"/>
              <w:bottom w:val="single" w:sz="4" w:space="0" w:color="auto"/>
              <w:right w:val="nil"/>
            </w:tcBorders>
            <w:shd w:val="clear" w:color="auto" w:fill="auto"/>
          </w:tcPr>
          <w:p w14:paraId="28FEA239" w14:textId="77777777" w:rsidR="000E38BD" w:rsidRPr="00F14941" w:rsidRDefault="000E38BD" w:rsidP="00214966">
            <w:pPr>
              <w:pStyle w:val="ARtabletextright"/>
            </w:pPr>
            <w:r>
              <w:t>0.0</w:t>
            </w:r>
          </w:p>
        </w:tc>
        <w:tc>
          <w:tcPr>
            <w:tcW w:w="611" w:type="pct"/>
            <w:tcBorders>
              <w:top w:val="single" w:sz="4" w:space="0" w:color="auto"/>
              <w:left w:val="nil"/>
              <w:bottom w:val="single" w:sz="4" w:space="0" w:color="auto"/>
              <w:right w:val="nil"/>
            </w:tcBorders>
            <w:shd w:val="clear" w:color="auto" w:fill="auto"/>
          </w:tcPr>
          <w:p w14:paraId="4BA23C26" w14:textId="77777777" w:rsidR="000E38BD" w:rsidRPr="00F14941" w:rsidRDefault="000E38BD" w:rsidP="00214966">
            <w:pPr>
              <w:pStyle w:val="ARtabletextcentre"/>
            </w:pPr>
          </w:p>
        </w:tc>
      </w:tr>
      <w:tr w:rsidR="0000062B" w:rsidRPr="00532DAE" w14:paraId="29D04F45" w14:textId="77777777" w:rsidTr="00AA126F">
        <w:trPr>
          <w:cantSplit/>
        </w:trPr>
        <w:tc>
          <w:tcPr>
            <w:tcW w:w="851" w:type="pct"/>
            <w:tcBorders>
              <w:top w:val="single" w:sz="4" w:space="0" w:color="auto"/>
              <w:left w:val="nil"/>
              <w:bottom w:val="single" w:sz="4" w:space="0" w:color="auto"/>
              <w:right w:val="nil"/>
            </w:tcBorders>
            <w:shd w:val="clear" w:color="auto" w:fill="auto"/>
          </w:tcPr>
          <w:p w14:paraId="0A31C9F1" w14:textId="77777777" w:rsidR="000E38BD" w:rsidRPr="00214966" w:rsidRDefault="000E38BD" w:rsidP="00214966">
            <w:pPr>
              <w:pStyle w:val="ARtabletext"/>
            </w:pPr>
            <w:r w:rsidRPr="00214966">
              <w:t>Social Housing Pipeline Projects (statewide)</w:t>
            </w:r>
          </w:p>
        </w:tc>
        <w:tc>
          <w:tcPr>
            <w:tcW w:w="446" w:type="pct"/>
            <w:tcBorders>
              <w:top w:val="single" w:sz="4" w:space="0" w:color="auto"/>
              <w:left w:val="nil"/>
              <w:bottom w:val="single" w:sz="4" w:space="0" w:color="auto"/>
              <w:right w:val="nil"/>
            </w:tcBorders>
            <w:shd w:val="clear" w:color="auto" w:fill="auto"/>
          </w:tcPr>
          <w:p w14:paraId="331CE192" w14:textId="77777777" w:rsidR="000E38BD" w:rsidRPr="00872737" w:rsidRDefault="000E38BD" w:rsidP="00214966">
            <w:pPr>
              <w:pStyle w:val="ARtabletextright"/>
            </w:pPr>
            <w:r w:rsidRPr="00872737">
              <w:t>Q4 2021</w:t>
            </w:r>
          </w:p>
        </w:tc>
        <w:tc>
          <w:tcPr>
            <w:tcW w:w="494" w:type="pct"/>
            <w:tcBorders>
              <w:top w:val="single" w:sz="4" w:space="0" w:color="auto"/>
              <w:left w:val="nil"/>
              <w:bottom w:val="single" w:sz="4" w:space="0" w:color="auto"/>
              <w:right w:val="nil"/>
            </w:tcBorders>
            <w:shd w:val="clear" w:color="auto" w:fill="auto"/>
          </w:tcPr>
          <w:p w14:paraId="76065F4A" w14:textId="77777777" w:rsidR="000E38BD" w:rsidRPr="006E2F2E" w:rsidRDefault="000E38BD" w:rsidP="006E2F2E">
            <w:pPr>
              <w:pStyle w:val="ARtabletextright"/>
            </w:pPr>
            <w:r w:rsidRPr="006E2F2E">
              <w:t>June 2024</w:t>
            </w:r>
          </w:p>
        </w:tc>
        <w:tc>
          <w:tcPr>
            <w:tcW w:w="445" w:type="pct"/>
            <w:tcBorders>
              <w:top w:val="single" w:sz="4" w:space="0" w:color="auto"/>
              <w:left w:val="nil"/>
              <w:bottom w:val="single" w:sz="4" w:space="0" w:color="auto"/>
              <w:right w:val="nil"/>
            </w:tcBorders>
            <w:shd w:val="clear" w:color="auto" w:fill="auto"/>
          </w:tcPr>
          <w:p w14:paraId="6D8292DA" w14:textId="77777777" w:rsidR="000E38BD" w:rsidRPr="006E2F2E" w:rsidRDefault="000E38BD" w:rsidP="006E2F2E">
            <w:pPr>
              <w:pStyle w:val="ARtabletextright"/>
            </w:pPr>
            <w:r w:rsidRPr="006E2F2E">
              <w:t>June 2024</w:t>
            </w:r>
          </w:p>
        </w:tc>
        <w:tc>
          <w:tcPr>
            <w:tcW w:w="426" w:type="pct"/>
            <w:tcBorders>
              <w:top w:val="single" w:sz="4" w:space="0" w:color="auto"/>
              <w:left w:val="nil"/>
              <w:bottom w:val="single" w:sz="4" w:space="0" w:color="auto"/>
              <w:right w:val="nil"/>
            </w:tcBorders>
            <w:shd w:val="clear" w:color="auto" w:fill="auto"/>
          </w:tcPr>
          <w:p w14:paraId="4548AC42" w14:textId="4159283C" w:rsidR="000E38BD" w:rsidRPr="00AB54CD" w:rsidRDefault="006E2F2E" w:rsidP="00214966">
            <w:pPr>
              <w:pStyle w:val="ARtabletextright"/>
            </w:pPr>
            <w:r>
              <w:t>–</w:t>
            </w:r>
          </w:p>
        </w:tc>
        <w:tc>
          <w:tcPr>
            <w:tcW w:w="433" w:type="pct"/>
            <w:tcBorders>
              <w:top w:val="single" w:sz="4" w:space="0" w:color="auto"/>
              <w:left w:val="nil"/>
              <w:bottom w:val="single" w:sz="4" w:space="0" w:color="auto"/>
              <w:right w:val="nil"/>
            </w:tcBorders>
            <w:shd w:val="clear" w:color="auto" w:fill="auto"/>
          </w:tcPr>
          <w:p w14:paraId="10052B95" w14:textId="77777777" w:rsidR="000E38BD" w:rsidRPr="00490EF3" w:rsidRDefault="000E38BD" w:rsidP="00214966">
            <w:pPr>
              <w:pStyle w:val="ARtabletextright"/>
            </w:pPr>
            <w:r w:rsidRPr="00490EF3">
              <w:t>14.7</w:t>
            </w:r>
          </w:p>
        </w:tc>
        <w:tc>
          <w:tcPr>
            <w:tcW w:w="444" w:type="pct"/>
            <w:tcBorders>
              <w:top w:val="single" w:sz="4" w:space="0" w:color="auto"/>
              <w:left w:val="nil"/>
              <w:bottom w:val="single" w:sz="4" w:space="0" w:color="auto"/>
              <w:right w:val="nil"/>
            </w:tcBorders>
            <w:shd w:val="clear" w:color="auto" w:fill="auto"/>
          </w:tcPr>
          <w:p w14:paraId="3165B12C" w14:textId="77777777" w:rsidR="000E38BD" w:rsidRDefault="000E38BD" w:rsidP="00214966">
            <w:pPr>
              <w:pStyle w:val="ARtabletextright"/>
            </w:pPr>
            <w:r>
              <w:t>16.0</w:t>
            </w:r>
          </w:p>
        </w:tc>
        <w:tc>
          <w:tcPr>
            <w:tcW w:w="297" w:type="pct"/>
            <w:tcBorders>
              <w:top w:val="single" w:sz="4" w:space="0" w:color="auto"/>
              <w:left w:val="nil"/>
              <w:bottom w:val="single" w:sz="4" w:space="0" w:color="auto"/>
              <w:right w:val="nil"/>
            </w:tcBorders>
            <w:shd w:val="clear" w:color="auto" w:fill="auto"/>
          </w:tcPr>
          <w:p w14:paraId="254AA7BF" w14:textId="77777777" w:rsidR="000E38BD" w:rsidRDefault="000E38BD" w:rsidP="00214966">
            <w:pPr>
              <w:pStyle w:val="ARtabletextright"/>
            </w:pPr>
            <w:r w:rsidRPr="59E677DF">
              <w:t>15.3</w:t>
            </w:r>
          </w:p>
        </w:tc>
        <w:tc>
          <w:tcPr>
            <w:tcW w:w="553" w:type="pct"/>
            <w:tcBorders>
              <w:top w:val="single" w:sz="4" w:space="0" w:color="auto"/>
              <w:left w:val="nil"/>
              <w:bottom w:val="single" w:sz="4" w:space="0" w:color="auto"/>
              <w:right w:val="nil"/>
            </w:tcBorders>
            <w:shd w:val="clear" w:color="auto" w:fill="auto"/>
          </w:tcPr>
          <w:p w14:paraId="3C121E28" w14:textId="6244042A" w:rsidR="000E38BD" w:rsidRPr="00F14941" w:rsidRDefault="00737B06" w:rsidP="00214966">
            <w:pPr>
              <w:pStyle w:val="ARtabletextright"/>
            </w:pPr>
            <w:r>
              <w:t>-</w:t>
            </w:r>
            <w:r w:rsidR="000E38BD">
              <w:t>0.7</w:t>
            </w:r>
          </w:p>
        </w:tc>
        <w:tc>
          <w:tcPr>
            <w:tcW w:w="611" w:type="pct"/>
            <w:tcBorders>
              <w:top w:val="single" w:sz="4" w:space="0" w:color="auto"/>
              <w:left w:val="nil"/>
              <w:bottom w:val="single" w:sz="4" w:space="0" w:color="auto"/>
              <w:right w:val="nil"/>
            </w:tcBorders>
            <w:shd w:val="clear" w:color="auto" w:fill="auto"/>
          </w:tcPr>
          <w:p w14:paraId="1E1BC138" w14:textId="77777777" w:rsidR="000E38BD" w:rsidRPr="00F14941" w:rsidRDefault="000E38BD" w:rsidP="00214966">
            <w:pPr>
              <w:pStyle w:val="ARtabletextcentre"/>
            </w:pPr>
            <w:r>
              <w:t>Project completed under budget</w:t>
            </w:r>
          </w:p>
        </w:tc>
      </w:tr>
      <w:tr w:rsidR="0000062B" w:rsidRPr="00532DAE" w14:paraId="39C9F99F" w14:textId="77777777" w:rsidTr="00AA126F">
        <w:trPr>
          <w:cantSplit/>
        </w:trPr>
        <w:tc>
          <w:tcPr>
            <w:tcW w:w="851" w:type="pct"/>
            <w:tcBorders>
              <w:top w:val="single" w:sz="4" w:space="0" w:color="auto"/>
              <w:left w:val="nil"/>
              <w:bottom w:val="single" w:sz="4" w:space="0" w:color="auto"/>
              <w:right w:val="nil"/>
            </w:tcBorders>
            <w:shd w:val="clear" w:color="auto" w:fill="auto"/>
          </w:tcPr>
          <w:p w14:paraId="377DE04F" w14:textId="77777777" w:rsidR="000E38BD" w:rsidRPr="00214966" w:rsidRDefault="000E38BD" w:rsidP="00214966">
            <w:pPr>
              <w:pStyle w:val="ARtabletext"/>
            </w:pPr>
            <w:r w:rsidRPr="00214966">
              <w:t>Supporting homelessness services in Victoria (statewide)</w:t>
            </w:r>
          </w:p>
        </w:tc>
        <w:tc>
          <w:tcPr>
            <w:tcW w:w="446" w:type="pct"/>
            <w:tcBorders>
              <w:top w:val="single" w:sz="4" w:space="0" w:color="auto"/>
              <w:left w:val="nil"/>
              <w:bottom w:val="single" w:sz="4" w:space="0" w:color="auto"/>
              <w:right w:val="nil"/>
            </w:tcBorders>
            <w:shd w:val="clear" w:color="auto" w:fill="auto"/>
          </w:tcPr>
          <w:p w14:paraId="73131328" w14:textId="77777777" w:rsidR="000E38BD" w:rsidRPr="00872737" w:rsidRDefault="000E38BD" w:rsidP="00214966">
            <w:pPr>
              <w:pStyle w:val="ARtabletextright"/>
            </w:pPr>
            <w:r w:rsidRPr="00872737">
              <w:t>Q4 2024</w:t>
            </w:r>
          </w:p>
        </w:tc>
        <w:tc>
          <w:tcPr>
            <w:tcW w:w="494" w:type="pct"/>
            <w:tcBorders>
              <w:top w:val="single" w:sz="4" w:space="0" w:color="auto"/>
              <w:left w:val="nil"/>
              <w:bottom w:val="single" w:sz="4" w:space="0" w:color="auto"/>
              <w:right w:val="nil"/>
            </w:tcBorders>
            <w:shd w:val="clear" w:color="auto" w:fill="auto"/>
          </w:tcPr>
          <w:p w14:paraId="3DD2EB47" w14:textId="77777777" w:rsidR="000E38BD" w:rsidRPr="006E2F2E" w:rsidRDefault="000E38BD" w:rsidP="006E2F2E">
            <w:pPr>
              <w:pStyle w:val="ARtabletextright"/>
            </w:pPr>
            <w:r w:rsidRPr="006E2F2E">
              <w:t>June 2024</w:t>
            </w:r>
          </w:p>
        </w:tc>
        <w:tc>
          <w:tcPr>
            <w:tcW w:w="445" w:type="pct"/>
            <w:tcBorders>
              <w:top w:val="single" w:sz="4" w:space="0" w:color="auto"/>
              <w:left w:val="nil"/>
              <w:bottom w:val="single" w:sz="4" w:space="0" w:color="auto"/>
              <w:right w:val="nil"/>
            </w:tcBorders>
            <w:shd w:val="clear" w:color="auto" w:fill="auto"/>
          </w:tcPr>
          <w:p w14:paraId="5F98E579" w14:textId="77777777" w:rsidR="000E38BD" w:rsidRPr="006E2F2E" w:rsidRDefault="000E38BD" w:rsidP="006E2F2E">
            <w:pPr>
              <w:pStyle w:val="ARtabletextright"/>
            </w:pPr>
            <w:r w:rsidRPr="006E2F2E">
              <w:t>June 2024</w:t>
            </w:r>
          </w:p>
        </w:tc>
        <w:tc>
          <w:tcPr>
            <w:tcW w:w="426" w:type="pct"/>
            <w:tcBorders>
              <w:top w:val="single" w:sz="4" w:space="0" w:color="auto"/>
              <w:left w:val="nil"/>
              <w:bottom w:val="single" w:sz="4" w:space="0" w:color="auto"/>
              <w:right w:val="nil"/>
            </w:tcBorders>
            <w:shd w:val="clear" w:color="auto" w:fill="auto"/>
          </w:tcPr>
          <w:p w14:paraId="07A83544" w14:textId="2A139B8D" w:rsidR="000E38BD" w:rsidRPr="00AB54CD" w:rsidRDefault="006E2F2E" w:rsidP="00214966">
            <w:pPr>
              <w:pStyle w:val="ARtabletextright"/>
            </w:pPr>
            <w:r>
              <w:t>–</w:t>
            </w:r>
          </w:p>
        </w:tc>
        <w:tc>
          <w:tcPr>
            <w:tcW w:w="433" w:type="pct"/>
            <w:tcBorders>
              <w:top w:val="single" w:sz="4" w:space="0" w:color="auto"/>
              <w:left w:val="nil"/>
              <w:bottom w:val="single" w:sz="4" w:space="0" w:color="auto"/>
              <w:right w:val="nil"/>
            </w:tcBorders>
            <w:shd w:val="clear" w:color="auto" w:fill="auto"/>
          </w:tcPr>
          <w:p w14:paraId="5B10312B" w14:textId="77777777" w:rsidR="000E38BD" w:rsidRPr="00490EF3" w:rsidRDefault="000E38BD" w:rsidP="00214966">
            <w:pPr>
              <w:pStyle w:val="ARtabletextright"/>
            </w:pPr>
            <w:r w:rsidRPr="00490EF3">
              <w:t>22.9</w:t>
            </w:r>
          </w:p>
        </w:tc>
        <w:tc>
          <w:tcPr>
            <w:tcW w:w="444" w:type="pct"/>
            <w:tcBorders>
              <w:top w:val="single" w:sz="4" w:space="0" w:color="auto"/>
              <w:left w:val="nil"/>
              <w:bottom w:val="single" w:sz="4" w:space="0" w:color="auto"/>
              <w:right w:val="nil"/>
            </w:tcBorders>
            <w:shd w:val="clear" w:color="auto" w:fill="auto"/>
          </w:tcPr>
          <w:p w14:paraId="173B12B2" w14:textId="77777777" w:rsidR="000E38BD" w:rsidRDefault="000E38BD" w:rsidP="00214966">
            <w:pPr>
              <w:pStyle w:val="ARtabletextright"/>
            </w:pPr>
            <w:r>
              <w:t>22.9</w:t>
            </w:r>
          </w:p>
        </w:tc>
        <w:tc>
          <w:tcPr>
            <w:tcW w:w="297" w:type="pct"/>
            <w:tcBorders>
              <w:top w:val="single" w:sz="4" w:space="0" w:color="auto"/>
              <w:left w:val="nil"/>
              <w:bottom w:val="single" w:sz="4" w:space="0" w:color="auto"/>
              <w:right w:val="nil"/>
            </w:tcBorders>
            <w:shd w:val="clear" w:color="auto" w:fill="auto"/>
          </w:tcPr>
          <w:p w14:paraId="5048E27F" w14:textId="77777777" w:rsidR="000E38BD" w:rsidRDefault="000E38BD" w:rsidP="00214966">
            <w:pPr>
              <w:pStyle w:val="ARtabletextright"/>
            </w:pPr>
            <w:r w:rsidRPr="59E677DF">
              <w:t>22.9</w:t>
            </w:r>
          </w:p>
        </w:tc>
        <w:tc>
          <w:tcPr>
            <w:tcW w:w="553" w:type="pct"/>
            <w:tcBorders>
              <w:top w:val="single" w:sz="4" w:space="0" w:color="auto"/>
              <w:left w:val="nil"/>
              <w:bottom w:val="single" w:sz="4" w:space="0" w:color="auto"/>
              <w:right w:val="nil"/>
            </w:tcBorders>
            <w:shd w:val="clear" w:color="auto" w:fill="auto"/>
          </w:tcPr>
          <w:p w14:paraId="172605F2" w14:textId="77777777" w:rsidR="000E38BD" w:rsidRPr="00F14941" w:rsidRDefault="000E38BD" w:rsidP="00214966">
            <w:pPr>
              <w:pStyle w:val="ARtabletextright"/>
            </w:pPr>
            <w:r>
              <w:t>0.0</w:t>
            </w:r>
          </w:p>
        </w:tc>
        <w:tc>
          <w:tcPr>
            <w:tcW w:w="611" w:type="pct"/>
            <w:tcBorders>
              <w:top w:val="single" w:sz="4" w:space="0" w:color="auto"/>
              <w:left w:val="nil"/>
              <w:bottom w:val="single" w:sz="4" w:space="0" w:color="auto"/>
              <w:right w:val="nil"/>
            </w:tcBorders>
            <w:shd w:val="clear" w:color="auto" w:fill="auto"/>
          </w:tcPr>
          <w:p w14:paraId="28BEC64B" w14:textId="77777777" w:rsidR="000E38BD" w:rsidRPr="00F14941" w:rsidRDefault="000E38BD" w:rsidP="00214966">
            <w:pPr>
              <w:pStyle w:val="ARtabletextcentre"/>
            </w:pPr>
          </w:p>
        </w:tc>
      </w:tr>
      <w:tr w:rsidR="0000062B" w:rsidRPr="00532DAE" w14:paraId="049CF7FE" w14:textId="77777777" w:rsidTr="00AA126F">
        <w:trPr>
          <w:cantSplit/>
        </w:trPr>
        <w:tc>
          <w:tcPr>
            <w:tcW w:w="851" w:type="pct"/>
            <w:tcBorders>
              <w:top w:val="single" w:sz="4" w:space="0" w:color="auto"/>
              <w:left w:val="nil"/>
              <w:bottom w:val="single" w:sz="4" w:space="0" w:color="auto"/>
              <w:right w:val="nil"/>
            </w:tcBorders>
            <w:shd w:val="clear" w:color="auto" w:fill="auto"/>
          </w:tcPr>
          <w:p w14:paraId="147A2274" w14:textId="77777777" w:rsidR="000E38BD" w:rsidRPr="00214966" w:rsidRDefault="000E38BD" w:rsidP="00214966">
            <w:pPr>
              <w:pStyle w:val="ARtabletext"/>
            </w:pPr>
            <w:r w:rsidRPr="00214966">
              <w:t>Westmeadows redevelopment 110 units/sites (Westmeadows)</w:t>
            </w:r>
          </w:p>
        </w:tc>
        <w:tc>
          <w:tcPr>
            <w:tcW w:w="446" w:type="pct"/>
            <w:tcBorders>
              <w:top w:val="single" w:sz="4" w:space="0" w:color="auto"/>
              <w:left w:val="nil"/>
              <w:bottom w:val="single" w:sz="4" w:space="0" w:color="auto"/>
              <w:right w:val="nil"/>
            </w:tcBorders>
            <w:shd w:val="clear" w:color="auto" w:fill="auto"/>
          </w:tcPr>
          <w:p w14:paraId="2C887FE1" w14:textId="77777777" w:rsidR="000E38BD" w:rsidRPr="00872737" w:rsidRDefault="000E38BD" w:rsidP="00214966">
            <w:pPr>
              <w:pStyle w:val="ARtabletextright"/>
            </w:pPr>
            <w:r w:rsidRPr="00872737">
              <w:t>Q4 2019</w:t>
            </w:r>
          </w:p>
        </w:tc>
        <w:tc>
          <w:tcPr>
            <w:tcW w:w="494" w:type="pct"/>
            <w:tcBorders>
              <w:top w:val="single" w:sz="4" w:space="0" w:color="auto"/>
              <w:left w:val="nil"/>
              <w:bottom w:val="single" w:sz="4" w:space="0" w:color="auto"/>
              <w:right w:val="nil"/>
            </w:tcBorders>
            <w:shd w:val="clear" w:color="auto" w:fill="auto"/>
          </w:tcPr>
          <w:p w14:paraId="0B9E9603" w14:textId="77777777" w:rsidR="000E38BD" w:rsidRPr="00F14941" w:rsidRDefault="000E38BD" w:rsidP="00214966">
            <w:pPr>
              <w:pStyle w:val="ARtabletextright"/>
            </w:pPr>
            <w:r>
              <w:t>June 2024</w:t>
            </w:r>
          </w:p>
        </w:tc>
        <w:tc>
          <w:tcPr>
            <w:tcW w:w="445" w:type="pct"/>
            <w:tcBorders>
              <w:top w:val="single" w:sz="4" w:space="0" w:color="auto"/>
              <w:left w:val="nil"/>
              <w:bottom w:val="single" w:sz="4" w:space="0" w:color="auto"/>
              <w:right w:val="nil"/>
            </w:tcBorders>
            <w:shd w:val="clear" w:color="auto" w:fill="auto"/>
          </w:tcPr>
          <w:p w14:paraId="5DED9833" w14:textId="77777777" w:rsidR="000E38BD" w:rsidRPr="00F14941" w:rsidRDefault="000E38BD" w:rsidP="00214966">
            <w:pPr>
              <w:pStyle w:val="ARtabletextright"/>
            </w:pPr>
            <w:r>
              <w:t xml:space="preserve"> March 2024</w:t>
            </w:r>
          </w:p>
        </w:tc>
        <w:tc>
          <w:tcPr>
            <w:tcW w:w="426" w:type="pct"/>
            <w:tcBorders>
              <w:top w:val="single" w:sz="4" w:space="0" w:color="auto"/>
              <w:left w:val="nil"/>
              <w:bottom w:val="single" w:sz="4" w:space="0" w:color="auto"/>
              <w:right w:val="nil"/>
            </w:tcBorders>
            <w:shd w:val="clear" w:color="auto" w:fill="auto"/>
          </w:tcPr>
          <w:p w14:paraId="7EF4D5AF" w14:textId="27E7CBB9" w:rsidR="000E38BD" w:rsidRPr="00AB54CD" w:rsidRDefault="006E2F2E" w:rsidP="00214966">
            <w:pPr>
              <w:pStyle w:val="ARtabletextright"/>
            </w:pPr>
            <w:r>
              <w:t>–</w:t>
            </w:r>
          </w:p>
        </w:tc>
        <w:tc>
          <w:tcPr>
            <w:tcW w:w="433" w:type="pct"/>
            <w:tcBorders>
              <w:top w:val="single" w:sz="4" w:space="0" w:color="auto"/>
              <w:left w:val="nil"/>
              <w:bottom w:val="single" w:sz="4" w:space="0" w:color="auto"/>
              <w:right w:val="nil"/>
            </w:tcBorders>
            <w:shd w:val="clear" w:color="auto" w:fill="auto"/>
          </w:tcPr>
          <w:p w14:paraId="11B68FC4" w14:textId="77777777" w:rsidR="000E38BD" w:rsidRPr="00490EF3" w:rsidRDefault="000E38BD" w:rsidP="00214966">
            <w:pPr>
              <w:pStyle w:val="ARtabletextright"/>
            </w:pPr>
            <w:r w:rsidRPr="00490EF3">
              <w:t>54.9</w:t>
            </w:r>
          </w:p>
        </w:tc>
        <w:tc>
          <w:tcPr>
            <w:tcW w:w="444" w:type="pct"/>
            <w:tcBorders>
              <w:top w:val="single" w:sz="4" w:space="0" w:color="auto"/>
              <w:left w:val="nil"/>
              <w:bottom w:val="single" w:sz="4" w:space="0" w:color="auto"/>
              <w:right w:val="nil"/>
            </w:tcBorders>
            <w:shd w:val="clear" w:color="auto" w:fill="auto"/>
          </w:tcPr>
          <w:p w14:paraId="23B608FA" w14:textId="77777777" w:rsidR="000E38BD" w:rsidRDefault="000E38BD" w:rsidP="00214966">
            <w:pPr>
              <w:pStyle w:val="ARtabletextright"/>
            </w:pPr>
            <w:r>
              <w:t>72.8</w:t>
            </w:r>
          </w:p>
        </w:tc>
        <w:tc>
          <w:tcPr>
            <w:tcW w:w="297" w:type="pct"/>
            <w:tcBorders>
              <w:top w:val="single" w:sz="4" w:space="0" w:color="auto"/>
              <w:left w:val="nil"/>
              <w:bottom w:val="single" w:sz="4" w:space="0" w:color="auto"/>
              <w:right w:val="nil"/>
            </w:tcBorders>
            <w:shd w:val="clear" w:color="auto" w:fill="auto"/>
          </w:tcPr>
          <w:p w14:paraId="19833032" w14:textId="77777777" w:rsidR="000E38BD" w:rsidRDefault="000E38BD" w:rsidP="00214966">
            <w:pPr>
              <w:pStyle w:val="ARtabletextright"/>
            </w:pPr>
            <w:r w:rsidRPr="59E677DF">
              <w:t>71.2</w:t>
            </w:r>
          </w:p>
        </w:tc>
        <w:tc>
          <w:tcPr>
            <w:tcW w:w="553" w:type="pct"/>
            <w:tcBorders>
              <w:top w:val="single" w:sz="4" w:space="0" w:color="auto"/>
              <w:left w:val="nil"/>
              <w:bottom w:val="single" w:sz="4" w:space="0" w:color="auto"/>
              <w:right w:val="nil"/>
            </w:tcBorders>
            <w:shd w:val="clear" w:color="auto" w:fill="auto"/>
          </w:tcPr>
          <w:p w14:paraId="58DCABAE" w14:textId="2411B7EB" w:rsidR="000E38BD" w:rsidRPr="00F14941" w:rsidRDefault="00737B06" w:rsidP="00214966">
            <w:pPr>
              <w:pStyle w:val="ARtabletextright"/>
            </w:pPr>
            <w:r>
              <w:t>-</w:t>
            </w:r>
            <w:r w:rsidR="000E38BD">
              <w:t>1.6</w:t>
            </w:r>
          </w:p>
        </w:tc>
        <w:tc>
          <w:tcPr>
            <w:tcW w:w="611" w:type="pct"/>
            <w:tcBorders>
              <w:top w:val="single" w:sz="4" w:space="0" w:color="auto"/>
              <w:left w:val="nil"/>
              <w:bottom w:val="single" w:sz="4" w:space="0" w:color="auto"/>
              <w:right w:val="nil"/>
            </w:tcBorders>
            <w:shd w:val="clear" w:color="auto" w:fill="auto"/>
          </w:tcPr>
          <w:p w14:paraId="24B310EC" w14:textId="77777777" w:rsidR="000E38BD" w:rsidRPr="00F14941" w:rsidRDefault="000E38BD" w:rsidP="00214966">
            <w:pPr>
              <w:pStyle w:val="ARtabletextcentre"/>
            </w:pPr>
            <w:r>
              <w:t>Project completed under budget</w:t>
            </w:r>
          </w:p>
        </w:tc>
      </w:tr>
    </w:tbl>
    <w:p w14:paraId="14E27EFA" w14:textId="40A37A52" w:rsidR="000E38BD" w:rsidRDefault="000E38BD" w:rsidP="006F0BD4">
      <w:pPr>
        <w:pStyle w:val="ARfintablefootnoteindent"/>
        <w:sectPr w:rsidR="000E38BD" w:rsidSect="004C23DF">
          <w:footnotePr>
            <w:numFmt w:val="lowerRoman"/>
            <w:numRestart w:val="eachPage"/>
          </w:footnotePr>
          <w:endnotePr>
            <w:numFmt w:val="decimal"/>
          </w:endnotePr>
          <w:pgSz w:w="16840" w:h="11900" w:orient="landscape" w:code="9"/>
          <w:pgMar w:top="1134" w:right="1134" w:bottom="851" w:left="1134" w:header="510" w:footer="340" w:gutter="0"/>
          <w:cols w:space="448"/>
          <w:docGrid w:linePitch="299"/>
        </w:sectPr>
      </w:pPr>
      <w:r w:rsidRPr="006B2A2F">
        <w:t xml:space="preserve">* </w:t>
      </w:r>
      <w:r w:rsidR="006F0BD4">
        <w:tab/>
      </w:r>
      <w:r w:rsidRPr="006B2A2F">
        <w:t xml:space="preserve">This project is delivered and partly funded by the </w:t>
      </w:r>
      <w:r w:rsidR="00711AE6">
        <w:t>‘</w:t>
      </w:r>
      <w:r w:rsidRPr="006B2A2F">
        <w:t>Public Housing Renewal Program (statewide)</w:t>
      </w:r>
      <w:r w:rsidR="00711AE6">
        <w:t>’</w:t>
      </w:r>
      <w:r w:rsidRPr="006B2A2F">
        <w:t xml:space="preserve"> as noted within </w:t>
      </w:r>
      <w:r w:rsidRPr="00645AD0">
        <w:rPr>
          <w:rStyle w:val="Emphasis"/>
        </w:rPr>
        <w:t>2024</w:t>
      </w:r>
      <w:r w:rsidR="00E837F9" w:rsidRPr="00645AD0">
        <w:rPr>
          <w:rStyle w:val="Emphasis"/>
        </w:rPr>
        <w:t>–</w:t>
      </w:r>
      <w:r w:rsidRPr="00645AD0">
        <w:rPr>
          <w:rStyle w:val="Emphasis"/>
        </w:rPr>
        <w:t xml:space="preserve">25 State Capital Program </w:t>
      </w:r>
      <w:r w:rsidRPr="00266687">
        <w:t>Budget Paper</w:t>
      </w:r>
      <w:r w:rsidRPr="00645AD0">
        <w:t xml:space="preserve"> </w:t>
      </w:r>
      <w:r>
        <w:t>with the above project funding allocation fully</w:t>
      </w:r>
      <w:r w:rsidR="00EC5080">
        <w:t> </w:t>
      </w:r>
      <w:r w:rsidRPr="00645AD0">
        <w:t>exhausted</w:t>
      </w:r>
      <w:r w:rsidR="00F1788F">
        <w:t>.</w:t>
      </w:r>
    </w:p>
    <w:p w14:paraId="3A87AF1A" w14:textId="77777777" w:rsidR="007D61FB" w:rsidRDefault="007D61FB" w:rsidP="00A742C2">
      <w:pPr>
        <w:pStyle w:val="Heading1"/>
      </w:pPr>
      <w:bookmarkStart w:id="170" w:name="_Toc114491196"/>
      <w:bookmarkStart w:id="171" w:name="_Ref146704120"/>
      <w:bookmarkStart w:id="172" w:name="_Ref178240819"/>
      <w:bookmarkStart w:id="173" w:name="_Toc181101502"/>
      <w:bookmarkStart w:id="174" w:name="_Toc82006198"/>
      <w:bookmarkStart w:id="175" w:name="_Ref492905526"/>
      <w:bookmarkStart w:id="176" w:name="_Toc477967497"/>
      <w:bookmarkEnd w:id="5"/>
      <w:bookmarkEnd w:id="6"/>
      <w:bookmarkEnd w:id="7"/>
      <w:bookmarkEnd w:id="8"/>
      <w:bookmarkEnd w:id="9"/>
      <w:bookmarkEnd w:id="10"/>
      <w:bookmarkEnd w:id="11"/>
      <w:bookmarkEnd w:id="12"/>
      <w:bookmarkEnd w:id="13"/>
      <w:bookmarkEnd w:id="14"/>
      <w:bookmarkEnd w:id="15"/>
      <w:bookmarkEnd w:id="16"/>
      <w:bookmarkEnd w:id="17"/>
      <w:bookmarkEnd w:id="58"/>
      <w:r w:rsidRPr="00A26195">
        <w:t>Section 3: Our workforce</w:t>
      </w:r>
      <w:bookmarkEnd w:id="170"/>
      <w:bookmarkEnd w:id="171"/>
      <w:bookmarkEnd w:id="172"/>
      <w:bookmarkEnd w:id="173"/>
    </w:p>
    <w:p w14:paraId="32A29BD1" w14:textId="2429EEA2" w:rsidR="007D61FB" w:rsidRDefault="007D61FB" w:rsidP="00536EEA">
      <w:pPr>
        <w:pStyle w:val="Heading2"/>
        <w:rPr>
          <w:bCs w:val="0"/>
          <w:iCs w:val="0"/>
          <w:color w:val="53565A"/>
        </w:rPr>
      </w:pPr>
      <w:bookmarkStart w:id="177" w:name="_Toc82006197"/>
      <w:bookmarkStart w:id="178" w:name="_Ref111130064"/>
      <w:bookmarkStart w:id="179" w:name="_Ref111194709"/>
      <w:bookmarkStart w:id="180" w:name="_Toc114491197"/>
      <w:bookmarkStart w:id="181" w:name="_Ref178175981"/>
      <w:bookmarkStart w:id="182" w:name="_Toc181101503"/>
      <w:r w:rsidRPr="00A26195">
        <w:t>Public sector values and employment principles</w:t>
      </w:r>
      <w:bookmarkEnd w:id="177"/>
      <w:bookmarkEnd w:id="178"/>
      <w:bookmarkEnd w:id="179"/>
      <w:bookmarkEnd w:id="180"/>
      <w:bookmarkEnd w:id="181"/>
      <w:bookmarkEnd w:id="182"/>
    </w:p>
    <w:p w14:paraId="1E56AB4A" w14:textId="77777777" w:rsidR="007D61FB" w:rsidRPr="00B3051F" w:rsidRDefault="007D61FB" w:rsidP="00B3051F">
      <w:pPr>
        <w:pStyle w:val="Heading2"/>
        <w:sectPr w:rsidR="007D61FB" w:rsidRPr="00B3051F" w:rsidSect="004C23DF">
          <w:footerReference w:type="default" r:id="rId88"/>
          <w:footnotePr>
            <w:numFmt w:val="lowerRoman"/>
            <w:numRestart w:val="eachPage"/>
          </w:footnotePr>
          <w:endnotePr>
            <w:numFmt w:val="decimal"/>
          </w:endnotePr>
          <w:pgSz w:w="11900" w:h="16840" w:code="9"/>
          <w:pgMar w:top="1701" w:right="1134" w:bottom="851" w:left="1134" w:header="510" w:footer="340" w:gutter="0"/>
          <w:cols w:space="448"/>
          <w:docGrid w:linePitch="299"/>
        </w:sectPr>
      </w:pPr>
    </w:p>
    <w:p w14:paraId="7DF5F26C" w14:textId="77777777" w:rsidR="007D61FB" w:rsidRPr="00A26195" w:rsidRDefault="007D61FB" w:rsidP="00410CB6">
      <w:pPr>
        <w:pStyle w:val="ARbody"/>
      </w:pPr>
      <w:r w:rsidRPr="00A26195">
        <w:t xml:space="preserve">The </w:t>
      </w:r>
      <w:r w:rsidRPr="00536EEA">
        <w:rPr>
          <w:rStyle w:val="Emphasis"/>
        </w:rPr>
        <w:t>Public Administration Act 2004</w:t>
      </w:r>
      <w:r w:rsidRPr="00A26195">
        <w:t xml:space="preserve"> sets out the values and employment principles that apply to the </w:t>
      </w:r>
      <w:r>
        <w:t>Victorian</w:t>
      </w:r>
      <w:r w:rsidRPr="00A26195">
        <w:t xml:space="preserve"> public sector.</w:t>
      </w:r>
    </w:p>
    <w:p w14:paraId="5F622772" w14:textId="5A988211" w:rsidR="007D61FB" w:rsidRPr="00A26195" w:rsidRDefault="007D61FB" w:rsidP="00410CB6">
      <w:pPr>
        <w:pStyle w:val="ARbody"/>
      </w:pPr>
      <w:r w:rsidRPr="00A26195">
        <w:t>This includes the values of responsiveness, integrity, impartiality, accountability, respect, leadership and human rights. These values underpin our department</w:t>
      </w:r>
      <w:r w:rsidR="00711AE6">
        <w:t>’</w:t>
      </w:r>
      <w:r w:rsidRPr="00A26195">
        <w:t>s work with colleagues, clients and in the community. They define what is important to our organisation and how we do things</w:t>
      </w:r>
      <w:r w:rsidR="003B017C">
        <w:t>.</w:t>
      </w:r>
      <w:r w:rsidRPr="00A26195">
        <w:t xml:space="preserve"> </w:t>
      </w:r>
      <w:r w:rsidR="003B017C">
        <w:t>T</w:t>
      </w:r>
      <w:r w:rsidRPr="00A26195">
        <w:t>hey</w:t>
      </w:r>
      <w:r w:rsidR="003B017C">
        <w:t xml:space="preserve"> also</w:t>
      </w:r>
      <w:r w:rsidRPr="00A26195">
        <w:t xml:space="preserve"> flow through our governance arrangements to ensure our decision making is based on sound judgements.</w:t>
      </w:r>
    </w:p>
    <w:p w14:paraId="53903753" w14:textId="77777777" w:rsidR="007D61FB" w:rsidRPr="00A26195" w:rsidRDefault="007D61FB" w:rsidP="00410CB6">
      <w:pPr>
        <w:pStyle w:val="ARbody"/>
      </w:pPr>
      <w:r w:rsidRPr="00A26195">
        <w:t xml:space="preserve">We embed our values throughout the department. This includes </w:t>
      </w:r>
      <w:r>
        <w:t>through</w:t>
      </w:r>
      <w:r w:rsidRPr="00A26195">
        <w:t xml:space="preserve"> our response to the annual People Matter Survey results, performance and development planning, learning and development programs, and how we resolve workplace issues. We continue to advise our employees on matters of ethics and integrity, including how to avoid conflicts of interest and how to respond to offers of gifts.</w:t>
      </w:r>
    </w:p>
    <w:p w14:paraId="5EA74F1B" w14:textId="27C29DB2" w:rsidR="007D61FB" w:rsidRPr="00A26195" w:rsidRDefault="007D61FB" w:rsidP="00410CB6">
      <w:pPr>
        <w:pStyle w:val="ARbody"/>
      </w:pPr>
      <w:r w:rsidRPr="00A26195">
        <w:t>The department</w:t>
      </w:r>
      <w:r w:rsidR="00711AE6">
        <w:t>’</w:t>
      </w:r>
      <w:r w:rsidRPr="00A26195">
        <w:t>s policies and practices are consistent with the Victorian public sector employment principles and standards. We are committed to applying merit and equity principles to</w:t>
      </w:r>
      <w:r w:rsidR="00B6408C">
        <w:t> </w:t>
      </w:r>
      <w:r w:rsidRPr="00A26195">
        <w:t>all employment policies, programs and resources</w:t>
      </w:r>
      <w:r w:rsidR="00B6408C">
        <w:t> </w:t>
      </w:r>
      <w:r w:rsidRPr="00A26195">
        <w:t>to provide for fair treatment and</w:t>
      </w:r>
      <w:r w:rsidR="00B6408C">
        <w:t> </w:t>
      </w:r>
      <w:r w:rsidRPr="00A26195">
        <w:t>career</w:t>
      </w:r>
      <w:r w:rsidR="00B6408C">
        <w:t> </w:t>
      </w:r>
      <w:r w:rsidRPr="00A26195">
        <w:t>opportunities.</w:t>
      </w:r>
    </w:p>
    <w:p w14:paraId="5392A47C" w14:textId="77777777" w:rsidR="007D61FB" w:rsidRPr="00A26195" w:rsidRDefault="007D61FB" w:rsidP="00333387">
      <w:pPr>
        <w:pStyle w:val="Heading3"/>
      </w:pPr>
      <w:r w:rsidRPr="00A26195">
        <w:t>Our people</w:t>
      </w:r>
    </w:p>
    <w:p w14:paraId="3BBD158B" w14:textId="70286F22" w:rsidR="007D61FB" w:rsidRPr="00A26195" w:rsidRDefault="007D61FB" w:rsidP="00410CB6">
      <w:pPr>
        <w:pStyle w:val="ARbody"/>
      </w:pPr>
      <w:r w:rsidRPr="00A26195">
        <w:t>The department</w:t>
      </w:r>
      <w:r w:rsidR="00711AE6">
        <w:t>’</w:t>
      </w:r>
      <w:r w:rsidRPr="00A26195">
        <w:t>s people work across portfolios including child protection, housing, disability, the prevention of family violence, LGBTIQ</w:t>
      </w:r>
      <w:r>
        <w:t>A</w:t>
      </w:r>
      <w:r w:rsidRPr="00A26195">
        <w:t>+ equality, seniors, carers, veterans, women and youth.</w:t>
      </w:r>
    </w:p>
    <w:p w14:paraId="5FF04FEF" w14:textId="5A3C5167" w:rsidR="007D61FB" w:rsidRDefault="007D61FB" w:rsidP="00410CB6">
      <w:pPr>
        <w:pStyle w:val="ARbody"/>
      </w:pPr>
      <w:r w:rsidRPr="00A26195">
        <w:t xml:space="preserve">During the year, we </w:t>
      </w:r>
      <w:r>
        <w:t>released our</w:t>
      </w:r>
      <w:r w:rsidRPr="00A26195">
        <w:t xml:space="preserve"> </w:t>
      </w:r>
      <w:r w:rsidRPr="00536EEA">
        <w:rPr>
          <w:rStyle w:val="Emphasis"/>
        </w:rPr>
        <w:t>People strategy 2024–2026</w:t>
      </w:r>
      <w:r w:rsidRPr="00A26195">
        <w:t xml:space="preserve">. </w:t>
      </w:r>
      <w:r>
        <w:t>The strategy</w:t>
      </w:r>
      <w:r w:rsidRPr="00A26195">
        <w:t xml:space="preserve"> includes areas and initiatives that are priorities to address the department</w:t>
      </w:r>
      <w:r w:rsidR="00711AE6">
        <w:t>’</w:t>
      </w:r>
      <w:r w:rsidRPr="00A26195">
        <w:t>s challenges. These priorities will contribute to a strong organisation where people are safe, roles are filled, and people stay because of our culture. They will create a workforce where the employee experience is positive and our diversity, capacity and capability sustain our delivery to the community.</w:t>
      </w:r>
    </w:p>
    <w:p w14:paraId="213766E2" w14:textId="6BE6FB7C" w:rsidR="007D61FB" w:rsidRPr="00A26195" w:rsidRDefault="004C23DF" w:rsidP="00410CB6">
      <w:pPr>
        <w:pStyle w:val="ARbody"/>
      </w:pPr>
      <w:r>
        <w:br w:type="column"/>
      </w:r>
      <w:r w:rsidR="007D61FB" w:rsidRPr="00A26195">
        <w:t>Highlights for the year include:</w:t>
      </w:r>
    </w:p>
    <w:p w14:paraId="6572A485" w14:textId="570BC58B" w:rsidR="007D61FB" w:rsidRPr="002E19C9" w:rsidRDefault="007D61FB" w:rsidP="00135B5B">
      <w:pPr>
        <w:pStyle w:val="ARbullet1"/>
        <w:spacing w:line="240" w:lineRule="atLeast"/>
      </w:pPr>
      <w:r w:rsidRPr="00410CB6">
        <w:t>continued</w:t>
      </w:r>
      <w:r w:rsidRPr="002E19C9">
        <w:t xml:space="preserve"> implementation of the department</w:t>
      </w:r>
      <w:r w:rsidR="00711AE6">
        <w:t>’</w:t>
      </w:r>
      <w:r w:rsidRPr="002E19C9">
        <w:t xml:space="preserve">s </w:t>
      </w:r>
      <w:r w:rsidRPr="00536EEA">
        <w:rPr>
          <w:rStyle w:val="Emphasis"/>
        </w:rPr>
        <w:t>Aboriginal workforce strategy 2021–2026</w:t>
      </w:r>
      <w:r w:rsidRPr="002E19C9">
        <w:t xml:space="preserve"> and Aboriginal and Torres Strait Islander cultural safety framework</w:t>
      </w:r>
    </w:p>
    <w:p w14:paraId="7A1E79E6" w14:textId="130DED3E" w:rsidR="007D61FB" w:rsidRPr="002E19C9" w:rsidRDefault="007D61FB" w:rsidP="00135B5B">
      <w:pPr>
        <w:pStyle w:val="ARbullet1"/>
        <w:spacing w:line="240" w:lineRule="atLeast"/>
      </w:pPr>
      <w:r w:rsidRPr="00410CB6">
        <w:t>continued</w:t>
      </w:r>
      <w:r w:rsidRPr="002E19C9">
        <w:t xml:space="preserve"> implementation of the </w:t>
      </w:r>
      <w:r w:rsidRPr="00536EEA">
        <w:rPr>
          <w:rStyle w:val="Emphasis"/>
        </w:rPr>
        <w:t>Gender equality action plan 2022–2025</w:t>
      </w:r>
      <w:r w:rsidRPr="002E19C9">
        <w:t xml:space="preserve">, which focuses on meeting obligations under the </w:t>
      </w:r>
      <w:r w:rsidRPr="00536EEA">
        <w:rPr>
          <w:rStyle w:val="Emphasis"/>
        </w:rPr>
        <w:t>Gender Equality Act 2020</w:t>
      </w:r>
      <w:r w:rsidRPr="002E19C9">
        <w:t xml:space="preserve"> and </w:t>
      </w:r>
      <w:r>
        <w:t>supporting</w:t>
      </w:r>
      <w:r w:rsidRPr="002E19C9">
        <w:t xml:space="preserve"> gender</w:t>
      </w:r>
      <w:r w:rsidR="007E3A48">
        <w:t> </w:t>
      </w:r>
      <w:r w:rsidRPr="002E19C9">
        <w:t>equality</w:t>
      </w:r>
    </w:p>
    <w:p w14:paraId="7E3768DB" w14:textId="79A63943" w:rsidR="007D61FB" w:rsidRPr="002E19C9" w:rsidRDefault="007D61FB" w:rsidP="00135B5B">
      <w:pPr>
        <w:pStyle w:val="ARbullet1"/>
        <w:spacing w:line="240" w:lineRule="atLeast"/>
      </w:pPr>
      <w:r w:rsidRPr="00410CB6">
        <w:t>continued</w:t>
      </w:r>
      <w:r w:rsidRPr="002E19C9">
        <w:t xml:space="preserve"> delivery of programs under the</w:t>
      </w:r>
      <w:r w:rsidR="0060488B">
        <w:t> </w:t>
      </w:r>
      <w:r w:rsidRPr="002E19C9">
        <w:t>department</w:t>
      </w:r>
      <w:r w:rsidR="00711AE6">
        <w:t>’</w:t>
      </w:r>
      <w:r w:rsidRPr="002E19C9">
        <w:t xml:space="preserve">s </w:t>
      </w:r>
      <w:r w:rsidRPr="00536EEA">
        <w:rPr>
          <w:rStyle w:val="Emphasis"/>
        </w:rPr>
        <w:t>Diversity and inclusion framework</w:t>
      </w:r>
      <w:r w:rsidR="0060488B">
        <w:rPr>
          <w:rStyle w:val="Emphasis"/>
        </w:rPr>
        <w:t> </w:t>
      </w:r>
      <w:r w:rsidRPr="00536EEA">
        <w:rPr>
          <w:rStyle w:val="Emphasis"/>
        </w:rPr>
        <w:t>2022–2027</w:t>
      </w:r>
    </w:p>
    <w:p w14:paraId="2EBEA6F3" w14:textId="78EFC263" w:rsidR="007D61FB" w:rsidRPr="002E19C9" w:rsidRDefault="007D61FB" w:rsidP="00135B5B">
      <w:pPr>
        <w:pStyle w:val="ARbullet1"/>
        <w:spacing w:line="240" w:lineRule="atLeast"/>
      </w:pPr>
      <w:r w:rsidRPr="002E19C9">
        <w:t>targeted response to the department</w:t>
      </w:r>
      <w:r w:rsidR="00711AE6">
        <w:t>’</w:t>
      </w:r>
      <w:r w:rsidRPr="002E19C9">
        <w:t>s results from the People Matter Survey</w:t>
      </w:r>
      <w:r w:rsidDel="00B06286">
        <w:t xml:space="preserve"> </w:t>
      </w:r>
      <w:r w:rsidRPr="002E19C9">
        <w:t>2023, including customised support for teams to assist in building workplace culture</w:t>
      </w:r>
      <w:r>
        <w:t xml:space="preserve"> and launch of a new Safe to Speak Up Intranet hub to centralise information for employees on where to go for information, advice and to submit notice of an incident, issue or risk</w:t>
      </w:r>
    </w:p>
    <w:p w14:paraId="631788D3" w14:textId="21014455" w:rsidR="007D61FB" w:rsidRPr="002E19C9" w:rsidRDefault="007D61FB" w:rsidP="00135B5B">
      <w:pPr>
        <w:pStyle w:val="ARbullet1"/>
        <w:spacing w:line="240" w:lineRule="atLeast"/>
      </w:pPr>
      <w:r w:rsidRPr="00410CB6">
        <w:t>expanding</w:t>
      </w:r>
      <w:r w:rsidRPr="002E19C9">
        <w:t xml:space="preserve"> learning and development opportunities, including increased training </w:t>
      </w:r>
      <w:r>
        <w:t>programs</w:t>
      </w:r>
      <w:r w:rsidRPr="002E19C9">
        <w:t xml:space="preserve"> on the department</w:t>
      </w:r>
      <w:r w:rsidR="00711AE6">
        <w:t>’</w:t>
      </w:r>
      <w:r w:rsidRPr="002E19C9">
        <w:t>s learning management system and corporate training calendar</w:t>
      </w:r>
      <w:r>
        <w:t>s,</w:t>
      </w:r>
      <w:r w:rsidRPr="002E19C9">
        <w:t xml:space="preserve"> and raising awareness </w:t>
      </w:r>
      <w:r>
        <w:t>of learning opportunities through regular departmental communications</w:t>
      </w:r>
    </w:p>
    <w:p w14:paraId="18E8EA9C" w14:textId="48A727CD" w:rsidR="007D61FB" w:rsidRPr="002E19C9" w:rsidRDefault="007D61FB" w:rsidP="00135B5B">
      <w:pPr>
        <w:pStyle w:val="ARbullet1"/>
        <w:spacing w:line="240" w:lineRule="atLeast"/>
      </w:pPr>
      <w:r w:rsidRPr="00410CB6">
        <w:t>continuing</w:t>
      </w:r>
      <w:r w:rsidRPr="002E19C9">
        <w:t xml:space="preserve"> to focus on our employees</w:t>
      </w:r>
      <w:r w:rsidR="00711AE6">
        <w:t>’</w:t>
      </w:r>
      <w:r w:rsidRPr="002E19C9">
        <w:t xml:space="preserve"> mental </w:t>
      </w:r>
      <w:r w:rsidRPr="00410CB6">
        <w:t>health</w:t>
      </w:r>
      <w:r w:rsidRPr="002E19C9">
        <w:t xml:space="preserve"> and wellbeing through </w:t>
      </w:r>
      <w:r>
        <w:t xml:space="preserve">a series of Wellbeing Webinars and other </w:t>
      </w:r>
      <w:r w:rsidRPr="002E19C9">
        <w:t>employee health, safety and wellbeing programs</w:t>
      </w:r>
    </w:p>
    <w:p w14:paraId="3A7D21FD" w14:textId="77777777" w:rsidR="007D61FB" w:rsidRPr="002E19C9" w:rsidRDefault="007D61FB" w:rsidP="00135B5B">
      <w:pPr>
        <w:pStyle w:val="ARbullet1"/>
        <w:spacing w:line="240" w:lineRule="atLeast"/>
      </w:pPr>
      <w:r>
        <w:t>supporting staff to complete Performance and Development Plans and align their performance and development goals with departmental and team priorities, capability and career aspirations, and wellbeing</w:t>
      </w:r>
    </w:p>
    <w:p w14:paraId="6D8DAD0A" w14:textId="473E85D1" w:rsidR="007D61FB" w:rsidRPr="00410CB6" w:rsidRDefault="007D61FB" w:rsidP="00135B5B">
      <w:pPr>
        <w:pStyle w:val="ARbullet1"/>
        <w:spacing w:line="240" w:lineRule="atLeast"/>
      </w:pPr>
      <w:r w:rsidRPr="00410CB6">
        <w:t>delivery of regular orientation programs and integrity sessions for new starters in the</w:t>
      </w:r>
      <w:r w:rsidR="007E3A48">
        <w:t> </w:t>
      </w:r>
      <w:r w:rsidRPr="00410CB6">
        <w:t>department</w:t>
      </w:r>
    </w:p>
    <w:p w14:paraId="6F34596F" w14:textId="26F3840E" w:rsidR="007D61FB" w:rsidRPr="00410CB6" w:rsidRDefault="007D61FB" w:rsidP="00135B5B">
      <w:pPr>
        <w:pStyle w:val="ARbullet1"/>
        <w:spacing w:line="240" w:lineRule="atLeast"/>
      </w:pPr>
      <w:r w:rsidRPr="00410CB6">
        <w:t>automating assignment of Compliance Essentials elearning modules to all staff, to</w:t>
      </w:r>
      <w:r w:rsidR="004C23DF">
        <w:t> </w:t>
      </w:r>
      <w:r w:rsidRPr="00410CB6">
        <w:t>support completion of essential training</w:t>
      </w:r>
    </w:p>
    <w:p w14:paraId="4657DA74" w14:textId="4FAEC2C8" w:rsidR="007D61FB" w:rsidRDefault="007D61FB" w:rsidP="00135B5B">
      <w:pPr>
        <w:pStyle w:val="ARbullet1"/>
        <w:spacing w:line="240" w:lineRule="atLeast"/>
      </w:pPr>
      <w:r w:rsidRPr="00410CB6">
        <w:t>expansion of the departm</w:t>
      </w:r>
      <w:r w:rsidRPr="002E19C9">
        <w:t>ent</w:t>
      </w:r>
      <w:r w:rsidR="00711AE6">
        <w:t>’</w:t>
      </w:r>
      <w:r w:rsidRPr="002E19C9">
        <w:t xml:space="preserve">s Change Hub and creation of a new </w:t>
      </w:r>
      <w:r w:rsidR="00933CAF">
        <w:t xml:space="preserve">Department of </w:t>
      </w:r>
      <w:r w:rsidR="00AB356F">
        <w:t xml:space="preserve">Families, </w:t>
      </w:r>
      <w:r w:rsidR="00FB78D4">
        <w:t>Fairness</w:t>
      </w:r>
      <w:r w:rsidR="00933CAF">
        <w:t xml:space="preserve"> and Housing </w:t>
      </w:r>
      <w:r w:rsidRPr="002E19C9">
        <w:t>Career</w:t>
      </w:r>
      <w:r>
        <w:t>s</w:t>
      </w:r>
      <w:r w:rsidRPr="002E19C9">
        <w:t xml:space="preserve"> Support Hub.</w:t>
      </w:r>
    </w:p>
    <w:p w14:paraId="30A7F32A" w14:textId="77777777" w:rsidR="007D61FB" w:rsidRPr="002E19C9" w:rsidRDefault="007D61FB" w:rsidP="00333387">
      <w:pPr>
        <w:pStyle w:val="Heading3"/>
      </w:pPr>
      <w:r w:rsidRPr="002E19C9">
        <w:t>Capability development</w:t>
      </w:r>
    </w:p>
    <w:p w14:paraId="36286474" w14:textId="47718318" w:rsidR="007D61FB" w:rsidRPr="00A26195" w:rsidRDefault="007D61FB" w:rsidP="00410CB6">
      <w:pPr>
        <w:pStyle w:val="ARbody"/>
      </w:pPr>
      <w:bookmarkStart w:id="183" w:name="_Ref525208139"/>
      <w:r w:rsidRPr="2ABA4602">
        <w:t>During 2023–24</w:t>
      </w:r>
      <w:r w:rsidR="00C31F7D">
        <w:t>,</w:t>
      </w:r>
      <w:r w:rsidRPr="2ABA4602">
        <w:t xml:space="preserve"> we delivered </w:t>
      </w:r>
      <w:r w:rsidRPr="005D488E">
        <w:t>158</w:t>
      </w:r>
      <w:r w:rsidRPr="2ABA4602">
        <w:t xml:space="preserve"> corporate learning and development programs </w:t>
      </w:r>
      <w:r w:rsidRPr="005D488E">
        <w:t>and 76</w:t>
      </w:r>
      <w:r w:rsidR="00933CAF">
        <w:t> </w:t>
      </w:r>
      <w:r w:rsidRPr="005D488E">
        <w:t xml:space="preserve">webinar sessions </w:t>
      </w:r>
      <w:r w:rsidRPr="2ABA4602">
        <w:t>to support staff working</w:t>
      </w:r>
      <w:r w:rsidR="006F0BD4">
        <w:t> </w:t>
      </w:r>
      <w:r w:rsidRPr="2ABA4602">
        <w:t>remotely.</w:t>
      </w:r>
    </w:p>
    <w:p w14:paraId="46A299F2" w14:textId="288F72B5" w:rsidR="007D61FB" w:rsidRPr="00A26195" w:rsidRDefault="007D61FB" w:rsidP="00410CB6">
      <w:pPr>
        <w:pStyle w:val="ARbody"/>
      </w:pPr>
      <w:r w:rsidRPr="00A26195">
        <w:t>Learning and development offerings aim to build the department</w:t>
      </w:r>
      <w:r w:rsidR="00711AE6">
        <w:t>’</w:t>
      </w:r>
      <w:r w:rsidRPr="00A26195">
        <w:t>s workforce capability in client service delivery, policy implementation, program management and compliance across our workforces and are underpinned by the department</w:t>
      </w:r>
      <w:r w:rsidR="00711AE6">
        <w:t>’</w:t>
      </w:r>
      <w:r w:rsidRPr="00A26195">
        <w:t>s capability framework.</w:t>
      </w:r>
    </w:p>
    <w:p w14:paraId="66F8B0A7" w14:textId="22304D1E" w:rsidR="007D61FB" w:rsidRPr="00A26195" w:rsidRDefault="007D61FB" w:rsidP="00410CB6">
      <w:pPr>
        <w:pStyle w:val="ARbody"/>
      </w:pPr>
      <w:r w:rsidRPr="00A26195">
        <w:t>The department</w:t>
      </w:r>
      <w:r w:rsidR="00711AE6">
        <w:t>’</w:t>
      </w:r>
      <w:r w:rsidRPr="00A26195">
        <w:t>s activities to develop and grow workforce capability focused on:</w:t>
      </w:r>
    </w:p>
    <w:p w14:paraId="6D9DEB67" w14:textId="77777777" w:rsidR="007D61FB" w:rsidRPr="00410CB6" w:rsidRDefault="007D61FB" w:rsidP="00410CB6">
      <w:pPr>
        <w:pStyle w:val="ARbullet1"/>
      </w:pPr>
      <w:r w:rsidRPr="00410CB6">
        <w:t>service delivery</w:t>
      </w:r>
    </w:p>
    <w:p w14:paraId="5E5CCE78" w14:textId="77777777" w:rsidR="007D61FB" w:rsidRPr="00410CB6" w:rsidRDefault="007D61FB" w:rsidP="00410CB6">
      <w:pPr>
        <w:pStyle w:val="ARbullet1"/>
      </w:pPr>
      <w:r w:rsidRPr="00410CB6">
        <w:t>practice development</w:t>
      </w:r>
    </w:p>
    <w:p w14:paraId="2969BBC5" w14:textId="4BF7EC25" w:rsidR="007D61FB" w:rsidRPr="00410CB6" w:rsidRDefault="007D61FB" w:rsidP="00410CB6">
      <w:pPr>
        <w:pStyle w:val="ARbullet1"/>
      </w:pPr>
      <w:r w:rsidRPr="00410CB6">
        <w:t>health, safety and wellbeing</w:t>
      </w:r>
    </w:p>
    <w:p w14:paraId="585536CD" w14:textId="77777777" w:rsidR="007D61FB" w:rsidRPr="00410CB6" w:rsidRDefault="007D61FB" w:rsidP="00410CB6">
      <w:pPr>
        <w:pStyle w:val="ARbullet1"/>
      </w:pPr>
      <w:r w:rsidRPr="00410CB6">
        <w:t>equality, diversity and inclusion</w:t>
      </w:r>
    </w:p>
    <w:p w14:paraId="58244631" w14:textId="77777777" w:rsidR="007D61FB" w:rsidRPr="00410CB6" w:rsidRDefault="007D61FB" w:rsidP="00410CB6">
      <w:pPr>
        <w:pStyle w:val="ARbullet1"/>
      </w:pPr>
      <w:r w:rsidRPr="00410CB6">
        <w:t>Aboriginal cultural safety</w:t>
      </w:r>
    </w:p>
    <w:p w14:paraId="02A598FA" w14:textId="77777777" w:rsidR="007D61FB" w:rsidRPr="00410CB6" w:rsidRDefault="007D61FB" w:rsidP="00410CB6">
      <w:pPr>
        <w:pStyle w:val="ARbullet1"/>
      </w:pPr>
      <w:r w:rsidRPr="00410CB6">
        <w:t>leadership and management</w:t>
      </w:r>
    </w:p>
    <w:p w14:paraId="25EA53C3" w14:textId="77777777" w:rsidR="007D61FB" w:rsidRPr="00410CB6" w:rsidRDefault="007D61FB" w:rsidP="00410CB6">
      <w:pPr>
        <w:pStyle w:val="ARbullet1"/>
      </w:pPr>
      <w:r w:rsidRPr="00410CB6">
        <w:t>writing and communication</w:t>
      </w:r>
    </w:p>
    <w:p w14:paraId="299C2860" w14:textId="77777777" w:rsidR="007D61FB" w:rsidRPr="00410CB6" w:rsidRDefault="007D61FB" w:rsidP="00410CB6">
      <w:pPr>
        <w:pStyle w:val="ARbullet1"/>
      </w:pPr>
      <w:r w:rsidRPr="00410CB6">
        <w:t>project management</w:t>
      </w:r>
    </w:p>
    <w:p w14:paraId="66C5AEC2" w14:textId="77777777" w:rsidR="007D61FB" w:rsidRPr="00410CB6" w:rsidRDefault="007D61FB" w:rsidP="00410CB6">
      <w:pPr>
        <w:pStyle w:val="ARbullet1"/>
      </w:pPr>
      <w:r w:rsidRPr="00410CB6">
        <w:t>software and systems</w:t>
      </w:r>
    </w:p>
    <w:p w14:paraId="48CE380B" w14:textId="77777777" w:rsidR="007D61FB" w:rsidRPr="002E19C9" w:rsidRDefault="007D61FB" w:rsidP="00410CB6">
      <w:pPr>
        <w:pStyle w:val="ARbullet1"/>
      </w:pPr>
      <w:r w:rsidRPr="00410CB6">
        <w:t>finance and</w:t>
      </w:r>
      <w:r w:rsidRPr="002E19C9">
        <w:t xml:space="preserve"> procurement.</w:t>
      </w:r>
    </w:p>
    <w:p w14:paraId="2A48E998" w14:textId="77777777" w:rsidR="007D61FB" w:rsidRPr="00A26195" w:rsidRDefault="007D61FB" w:rsidP="00135B5B">
      <w:pPr>
        <w:pStyle w:val="ARbodyafterbullets"/>
      </w:pPr>
      <w:r w:rsidRPr="00A26195">
        <w:t>The department continued to strengthen its leadership capability by:</w:t>
      </w:r>
    </w:p>
    <w:p w14:paraId="4A363FC3" w14:textId="29CEA725" w:rsidR="007D61FB" w:rsidRPr="002E19C9" w:rsidRDefault="007D61FB" w:rsidP="00737B06">
      <w:pPr>
        <w:pStyle w:val="ARbody"/>
      </w:pPr>
      <w:r w:rsidRPr="002E19C9">
        <w:t xml:space="preserve">implementing a new </w:t>
      </w:r>
      <w:r w:rsidRPr="00536EEA">
        <w:rPr>
          <w:rStyle w:val="Emphasis"/>
        </w:rPr>
        <w:t>Leading with Impact</w:t>
      </w:r>
      <w:r w:rsidRPr="002E19C9">
        <w:t xml:space="preserve"> </w:t>
      </w:r>
      <w:r w:rsidR="001239E0">
        <w:br/>
      </w:r>
      <w:r w:rsidR="00933CAF">
        <w:t>5</w:t>
      </w:r>
      <w:r w:rsidRPr="002E19C9">
        <w:t xml:space="preserve">-workshop series to be completed by all </w:t>
      </w:r>
      <w:r w:rsidR="001239E0">
        <w:br/>
      </w:r>
      <w:r w:rsidRPr="002E19C9">
        <w:t>non-executive leaders</w:t>
      </w:r>
    </w:p>
    <w:p w14:paraId="1E3909FD" w14:textId="77777777" w:rsidR="007D61FB" w:rsidRPr="002E19C9" w:rsidRDefault="007D61FB">
      <w:pPr>
        <w:pStyle w:val="ARbullet1"/>
      </w:pPr>
      <w:r w:rsidRPr="002E19C9">
        <w:t>supporting employees across all leadership levels to attend advanced leadership programs aimed at broadening and deepening leadership capabilities and giving participants exposure to peers from other organisations</w:t>
      </w:r>
    </w:p>
    <w:p w14:paraId="0D40E2D7" w14:textId="6EC38D5E" w:rsidR="007D61FB" w:rsidRPr="002E19C9" w:rsidRDefault="007D61FB">
      <w:pPr>
        <w:pStyle w:val="ARbullet1"/>
      </w:pPr>
      <w:r w:rsidRPr="002E19C9">
        <w:t xml:space="preserve">supporting executives to participate </w:t>
      </w:r>
      <w:r w:rsidRPr="002E19C9">
        <w:br/>
        <w:t xml:space="preserve">in cross-department leadership and </w:t>
      </w:r>
      <w:r w:rsidRPr="002E19C9">
        <w:br/>
        <w:t>new-to-role programs provided by the Victorian Public Sector Commission</w:t>
      </w:r>
      <w:r>
        <w:t>,</w:t>
      </w:r>
      <w:r w:rsidRPr="002E19C9">
        <w:t xml:space="preserve"> including</w:t>
      </w:r>
      <w:r>
        <w:t xml:space="preserve"> Executive Induction and</w:t>
      </w:r>
      <w:r w:rsidRPr="002E19C9">
        <w:t xml:space="preserve"> the Change Leadership</w:t>
      </w:r>
      <w:r w:rsidR="00B23080">
        <w:t> </w:t>
      </w:r>
      <w:r w:rsidRPr="002E19C9">
        <w:t>Program</w:t>
      </w:r>
    </w:p>
    <w:p w14:paraId="0D4B00DD" w14:textId="77777777" w:rsidR="007D61FB" w:rsidRDefault="007D61FB">
      <w:pPr>
        <w:pStyle w:val="ARbullet1"/>
      </w:pPr>
      <w:r w:rsidRPr="002E19C9">
        <w:t>providing peer and experiential learning through structured mentoring and coaching opportunities for leaders across the department.</w:t>
      </w:r>
    </w:p>
    <w:p w14:paraId="116CDEF4" w14:textId="320B36B1" w:rsidR="007D61FB" w:rsidRPr="002E19C9" w:rsidRDefault="00242F20" w:rsidP="00242F20">
      <w:pPr>
        <w:pStyle w:val="ARbody"/>
      </w:pPr>
      <w:r>
        <w:br w:type="column"/>
      </w:r>
      <w:bookmarkEnd w:id="183"/>
      <w:r w:rsidR="007D61FB" w:rsidRPr="002E19C9">
        <w:t>The department strengthened support for the learning and development of our frontline workforce through initiatives, including:</w:t>
      </w:r>
    </w:p>
    <w:p w14:paraId="18B1E0C1" w14:textId="60200C77" w:rsidR="007D61FB" w:rsidRPr="002E19C9" w:rsidRDefault="007D61FB">
      <w:pPr>
        <w:pStyle w:val="ARbullet1"/>
      </w:pPr>
      <w:r w:rsidRPr="002E19C9">
        <w:t xml:space="preserve">launching a new </w:t>
      </w:r>
      <w:r w:rsidR="00933CAF">
        <w:t>5</w:t>
      </w:r>
      <w:r w:rsidRPr="002E19C9">
        <w:t>-week Practice Induction Program</w:t>
      </w:r>
      <w:r w:rsidRPr="002E19C9">
        <w:rPr>
          <w:b/>
        </w:rPr>
        <w:t xml:space="preserve"> </w:t>
      </w:r>
      <w:r w:rsidRPr="002E19C9">
        <w:t xml:space="preserve">(PIP) for </w:t>
      </w:r>
      <w:r>
        <w:t>C</w:t>
      </w:r>
      <w:r w:rsidRPr="002E19C9">
        <w:t xml:space="preserve">hild </w:t>
      </w:r>
      <w:r>
        <w:t>P</w:t>
      </w:r>
      <w:r w:rsidRPr="002E19C9">
        <w:t xml:space="preserve">rotection </w:t>
      </w:r>
      <w:r>
        <w:t>P</w:t>
      </w:r>
      <w:r w:rsidRPr="002E19C9">
        <w:t>ractitioners</w:t>
      </w:r>
      <w:r w:rsidR="00933CAF">
        <w:t>. The program includes</w:t>
      </w:r>
      <w:r w:rsidRPr="002E19C9">
        <w:t xml:space="preserve"> formal training, guest presenters, simulation exercises, case studies and application of the CRIS case recording system. </w:t>
      </w:r>
      <w:r w:rsidR="00933CAF">
        <w:t>It focuses</w:t>
      </w:r>
      <w:r w:rsidRPr="002E19C9">
        <w:t xml:space="preserve"> on practice skills </w:t>
      </w:r>
      <w:r w:rsidR="00933CAF">
        <w:t>that</w:t>
      </w:r>
      <w:r w:rsidR="00933CAF" w:rsidRPr="002E19C9">
        <w:t xml:space="preserve"> </w:t>
      </w:r>
      <w:r w:rsidRPr="002E19C9">
        <w:t>enable practitioners to exercise professional judgement, uphold Aboriginal cultural safety and engage with children and their families</w:t>
      </w:r>
    </w:p>
    <w:p w14:paraId="7B0802BC" w14:textId="6B6C5F7E" w:rsidR="007D61FB" w:rsidRPr="002E19C9" w:rsidRDefault="007D61FB">
      <w:pPr>
        <w:pStyle w:val="ARbullet1"/>
      </w:pPr>
      <w:r w:rsidRPr="002E19C9">
        <w:t>launching new Child Protection Career Advancement Programs for CPP3 and CPP4 in</w:t>
      </w:r>
      <w:r w:rsidR="00242F20">
        <w:t> </w:t>
      </w:r>
      <w:r w:rsidRPr="002E19C9">
        <w:t>2024, which target classification-specific leadership capabilities</w:t>
      </w:r>
    </w:p>
    <w:p w14:paraId="7D5DD018" w14:textId="77777777" w:rsidR="007D61FB" w:rsidRPr="002E19C9" w:rsidRDefault="007D61FB">
      <w:pPr>
        <w:pStyle w:val="ARbullet1"/>
      </w:pPr>
      <w:r w:rsidRPr="002E19C9">
        <w:t>establishing the Child Protection Mentoring Program</w:t>
      </w:r>
      <w:r w:rsidRPr="002E19C9">
        <w:rPr>
          <w:b/>
        </w:rPr>
        <w:t xml:space="preserve"> </w:t>
      </w:r>
      <w:r w:rsidRPr="002E19C9">
        <w:t>(123 registered mentors) and delivering the Child Protection Mentorship Mastery Workshop to 84 practitioners</w:t>
      </w:r>
    </w:p>
    <w:p w14:paraId="130514D8" w14:textId="6A27B1D1" w:rsidR="007D61FB" w:rsidRPr="002E19C9" w:rsidRDefault="007D61FB">
      <w:pPr>
        <w:pStyle w:val="ARbullet1"/>
      </w:pPr>
      <w:r w:rsidRPr="002E19C9">
        <w:t xml:space="preserve">delivering induction training to 460 new </w:t>
      </w:r>
      <w:r>
        <w:t>C</w:t>
      </w:r>
      <w:r w:rsidRPr="002E19C9">
        <w:t xml:space="preserve">hild </w:t>
      </w:r>
      <w:r>
        <w:t>P</w:t>
      </w:r>
      <w:r w:rsidRPr="002E19C9">
        <w:t xml:space="preserve">rotection </w:t>
      </w:r>
      <w:r>
        <w:t>P</w:t>
      </w:r>
      <w:r w:rsidRPr="002E19C9">
        <w:t>ractitioners,</w:t>
      </w:r>
      <w:r w:rsidRPr="002E19C9">
        <w:rPr>
          <w:rFonts w:eastAsia="Times New Roman"/>
          <w:szCs w:val="20"/>
        </w:rPr>
        <w:t xml:space="preserve"> 99 new Housing Services Officers, 28 new Forensic Residential Services staff and 10 new Disability Justice Coordination staff</w:t>
      </w:r>
    </w:p>
    <w:p w14:paraId="44FD5A24" w14:textId="1FACC6E1" w:rsidR="007D61FB" w:rsidRPr="002E19C9" w:rsidRDefault="007D61FB">
      <w:pPr>
        <w:pStyle w:val="ARbullet1"/>
        <w:rPr>
          <w:szCs w:val="20"/>
        </w:rPr>
      </w:pPr>
      <w:r w:rsidRPr="002E19C9">
        <w:rPr>
          <w:szCs w:val="20"/>
        </w:rPr>
        <w:t xml:space="preserve">delivering 47 Leading </w:t>
      </w:r>
      <w:r>
        <w:rPr>
          <w:szCs w:val="20"/>
        </w:rPr>
        <w:t>R</w:t>
      </w:r>
      <w:r w:rsidRPr="002E19C9">
        <w:rPr>
          <w:szCs w:val="20"/>
        </w:rPr>
        <w:t xml:space="preserve">isk </w:t>
      </w:r>
      <w:r>
        <w:rPr>
          <w:szCs w:val="20"/>
        </w:rPr>
        <w:t>A</w:t>
      </w:r>
      <w:r w:rsidRPr="002E19C9">
        <w:rPr>
          <w:szCs w:val="20"/>
        </w:rPr>
        <w:t xml:space="preserve">ssessment </w:t>
      </w:r>
      <w:r>
        <w:rPr>
          <w:szCs w:val="20"/>
        </w:rPr>
        <w:t>P</w:t>
      </w:r>
      <w:r w:rsidRPr="002E19C9">
        <w:rPr>
          <w:szCs w:val="20"/>
        </w:rPr>
        <w:t xml:space="preserve">ractice workshops and 52 Applying </w:t>
      </w:r>
      <w:r>
        <w:rPr>
          <w:szCs w:val="20"/>
        </w:rPr>
        <w:t>R</w:t>
      </w:r>
      <w:r w:rsidRPr="002E19C9">
        <w:rPr>
          <w:szCs w:val="20"/>
        </w:rPr>
        <w:t xml:space="preserve">isk </w:t>
      </w:r>
      <w:r>
        <w:rPr>
          <w:szCs w:val="20"/>
        </w:rPr>
        <w:t>A</w:t>
      </w:r>
      <w:r w:rsidRPr="002E19C9">
        <w:rPr>
          <w:szCs w:val="20"/>
        </w:rPr>
        <w:t xml:space="preserve">ssessment </w:t>
      </w:r>
      <w:r>
        <w:rPr>
          <w:szCs w:val="20"/>
        </w:rPr>
        <w:t>P</w:t>
      </w:r>
      <w:r w:rsidRPr="002E19C9">
        <w:rPr>
          <w:szCs w:val="20"/>
        </w:rPr>
        <w:t xml:space="preserve">ractice workshops to the </w:t>
      </w:r>
      <w:r w:rsidR="00933CAF">
        <w:rPr>
          <w:szCs w:val="20"/>
        </w:rPr>
        <w:t>c</w:t>
      </w:r>
      <w:r w:rsidR="00933CAF" w:rsidRPr="002E19C9">
        <w:rPr>
          <w:szCs w:val="20"/>
        </w:rPr>
        <w:t xml:space="preserve">hild </w:t>
      </w:r>
      <w:r w:rsidR="00933CAF">
        <w:rPr>
          <w:szCs w:val="20"/>
        </w:rPr>
        <w:t>p</w:t>
      </w:r>
      <w:r w:rsidR="00933CAF" w:rsidRPr="002E19C9">
        <w:rPr>
          <w:szCs w:val="20"/>
        </w:rPr>
        <w:t>rotection</w:t>
      </w:r>
      <w:r w:rsidRPr="002E19C9">
        <w:rPr>
          <w:szCs w:val="20"/>
        </w:rPr>
        <w:t xml:space="preserve"> workforce in locations across the sta</w:t>
      </w:r>
      <w:r>
        <w:rPr>
          <w:szCs w:val="20"/>
        </w:rPr>
        <w:t>t</w:t>
      </w:r>
      <w:r w:rsidRPr="002E19C9">
        <w:rPr>
          <w:szCs w:val="20"/>
        </w:rPr>
        <w:t>e</w:t>
      </w:r>
    </w:p>
    <w:p w14:paraId="4677EF58" w14:textId="77777777" w:rsidR="007D61FB" w:rsidRPr="002E19C9" w:rsidRDefault="007D61FB">
      <w:pPr>
        <w:pStyle w:val="ARbullet1"/>
      </w:pPr>
      <w:r w:rsidRPr="002E19C9">
        <w:t xml:space="preserve">developing future frontline leaders: </w:t>
      </w:r>
    </w:p>
    <w:p w14:paraId="0225DBC3" w14:textId="77777777" w:rsidR="007D61FB" w:rsidRPr="00B23080" w:rsidRDefault="007D61FB" w:rsidP="00B23080">
      <w:pPr>
        <w:pStyle w:val="ARbullet2"/>
      </w:pPr>
      <w:r w:rsidRPr="002E19C9">
        <w:t xml:space="preserve">90 </w:t>
      </w:r>
      <w:r w:rsidRPr="00B23080">
        <w:t>Child Protection Career Advancement Program graduates</w:t>
      </w:r>
    </w:p>
    <w:p w14:paraId="016C84B0" w14:textId="77777777" w:rsidR="007D61FB" w:rsidRPr="00B23080" w:rsidRDefault="007D61FB" w:rsidP="00B23080">
      <w:pPr>
        <w:pStyle w:val="ARbullet2"/>
      </w:pPr>
      <w:r w:rsidRPr="00B23080">
        <w:t xml:space="preserve">207 Child Protection Leadership and Management Program graduates </w:t>
      </w:r>
    </w:p>
    <w:p w14:paraId="3B2AF3EF" w14:textId="42993228" w:rsidR="007D61FB" w:rsidRPr="00B23080" w:rsidRDefault="007D61FB" w:rsidP="00B23080">
      <w:pPr>
        <w:pStyle w:val="ARbullet2"/>
      </w:pPr>
      <w:r w:rsidRPr="00B23080">
        <w:t>31 Child Protection Managers receiving</w:t>
      </w:r>
      <w:r w:rsidR="007E3A48">
        <w:t> </w:t>
      </w:r>
      <w:r w:rsidRPr="00B23080">
        <w:t xml:space="preserve">mentoring </w:t>
      </w:r>
    </w:p>
    <w:p w14:paraId="79DCF7CC" w14:textId="340D711D" w:rsidR="007D61FB" w:rsidRPr="00B23080" w:rsidRDefault="007D61FB" w:rsidP="00B23080">
      <w:pPr>
        <w:pStyle w:val="ARbullet2"/>
      </w:pPr>
      <w:r w:rsidRPr="00B23080">
        <w:t>16 Housing Career Advancement Program</w:t>
      </w:r>
      <w:r w:rsidR="007E3A48">
        <w:t> </w:t>
      </w:r>
      <w:r w:rsidRPr="00B23080">
        <w:t>graduates</w:t>
      </w:r>
    </w:p>
    <w:p w14:paraId="2D1B545B" w14:textId="272FF0C5" w:rsidR="007D61FB" w:rsidRPr="002E19C9" w:rsidRDefault="007D61FB" w:rsidP="00B23080">
      <w:pPr>
        <w:pStyle w:val="ARbullet2"/>
      </w:pPr>
      <w:r w:rsidRPr="00B23080">
        <w:t>11 Housing</w:t>
      </w:r>
      <w:r w:rsidRPr="002E19C9">
        <w:t xml:space="preserve"> Practice Leadership Program</w:t>
      </w:r>
      <w:r w:rsidR="00B23080">
        <w:t> </w:t>
      </w:r>
      <w:r w:rsidRPr="002E19C9">
        <w:t>graduates</w:t>
      </w:r>
      <w:r w:rsidR="00E570E2">
        <w:rPr>
          <w:rFonts w:eastAsia="Times New Roman"/>
          <w:szCs w:val="20"/>
        </w:rPr>
        <w:t xml:space="preserve"> </w:t>
      </w:r>
    </w:p>
    <w:p w14:paraId="192E0E7C" w14:textId="77777777" w:rsidR="00DD1BE4" w:rsidRDefault="007D61FB" w:rsidP="00DD1BE4">
      <w:pPr>
        <w:pStyle w:val="ARbullet1"/>
        <w:sectPr w:rsidR="00DD1BE4"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48"/>
          <w:docGrid w:linePitch="299"/>
        </w:sectPr>
      </w:pPr>
      <w:r w:rsidRPr="002E19C9">
        <w:t>providing opportunities to celebrate and promote excellent practice through engagement opportunities, such as the Child Protection Awards, Victorian Protecting Children Awards and Practice Seminar during 2023 Child Protection Week, 2023 Housing Week and Housing Awards, operational briefings, and divisional newsletters.</w:t>
      </w:r>
    </w:p>
    <w:p w14:paraId="583C674B" w14:textId="77777777" w:rsidR="00DD1BE4" w:rsidRPr="00DD1BE4" w:rsidRDefault="00DD1BE4" w:rsidP="00DD1BE4">
      <w:pPr>
        <w:pStyle w:val="ARbody"/>
      </w:pPr>
    </w:p>
    <w:p w14:paraId="24E61248" w14:textId="562AD89F" w:rsidR="00DD1BE4" w:rsidRDefault="00DD1BE4" w:rsidP="0001363F">
      <w:pPr>
        <w:pStyle w:val="ARbody"/>
      </w:pPr>
      <w:r>
        <w:br w:type="page"/>
      </w:r>
    </w:p>
    <w:p w14:paraId="44C5265A" w14:textId="77777777" w:rsidR="007D61FB" w:rsidRDefault="007D61FB" w:rsidP="00B3051F">
      <w:pPr>
        <w:pStyle w:val="ARbody"/>
        <w:sectPr w:rsidR="007D61FB"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48"/>
          <w:docGrid w:linePitch="299"/>
        </w:sectPr>
      </w:pPr>
    </w:p>
    <w:p w14:paraId="341501E6" w14:textId="77777777" w:rsidR="007D61FB" w:rsidRPr="00D22DAC" w:rsidRDefault="007D61FB" w:rsidP="0088621E">
      <w:pPr>
        <w:pStyle w:val="Heading2"/>
        <w:rPr>
          <w:bCs w:val="0"/>
          <w:iCs w:val="0"/>
          <w:color w:val="53565A"/>
        </w:rPr>
      </w:pPr>
      <w:bookmarkStart w:id="184" w:name="_Toc181101504"/>
      <w:r w:rsidRPr="00D22DAC">
        <w:rPr>
          <w:color w:val="53565A"/>
        </w:rPr>
        <w:t>Workforce inclusion policy</w:t>
      </w:r>
      <w:bookmarkEnd w:id="184"/>
    </w:p>
    <w:p w14:paraId="24F6B0A5" w14:textId="77777777" w:rsidR="007D61FB" w:rsidRPr="0085589C" w:rsidRDefault="007D61FB">
      <w:pPr>
        <w:pStyle w:val="ARbodyaftertable"/>
        <w:sectPr w:rsidR="007D61FB" w:rsidRPr="0085589C" w:rsidSect="005936D2">
          <w:headerReference w:type="default" r:id="rId89"/>
          <w:footnotePr>
            <w:numFmt w:val="lowerRoman"/>
            <w:numRestart w:val="eachPage"/>
          </w:footnotePr>
          <w:endnotePr>
            <w:numFmt w:val="decimal"/>
          </w:endnotePr>
          <w:type w:val="continuous"/>
          <w:pgSz w:w="11900" w:h="16840" w:code="9"/>
          <w:pgMar w:top="1701" w:right="1134" w:bottom="851" w:left="1134" w:header="510" w:footer="340" w:gutter="0"/>
          <w:cols w:space="448"/>
          <w:docGrid w:linePitch="299"/>
        </w:sectPr>
      </w:pPr>
    </w:p>
    <w:p w14:paraId="26E3667C" w14:textId="77777777" w:rsidR="007D61FB" w:rsidRDefault="007D61FB">
      <w:pPr>
        <w:pStyle w:val="ARbody"/>
      </w:pPr>
      <w:r w:rsidRPr="0085589C">
        <w:t>The department continues to build a diverse, inclusive and culturally safe workplace</w:t>
      </w:r>
      <w:r>
        <w:t xml:space="preserve"> </w:t>
      </w:r>
      <w:r w:rsidRPr="008D6BC4">
        <w:t>that reflects the communities we serve.</w:t>
      </w:r>
    </w:p>
    <w:p w14:paraId="7CDF73E4" w14:textId="597A0353" w:rsidR="007D61FB" w:rsidRPr="0085589C" w:rsidRDefault="007D61FB">
      <w:pPr>
        <w:pStyle w:val="ARbody"/>
        <w:rPr>
          <w:rFonts w:cs="Times New Roman"/>
        </w:rPr>
      </w:pPr>
      <w:r w:rsidRPr="0085589C">
        <w:t>We recognise and value the diverse skills and persp</w:t>
      </w:r>
      <w:r w:rsidRPr="0085589C">
        <w:rPr>
          <w:rFonts w:cs="Times New Roman"/>
        </w:rPr>
        <w:t>ectives people bring to the workplace</w:t>
      </w:r>
      <w:r w:rsidR="00787795">
        <w:rPr>
          <w:rFonts w:cs="Times New Roman"/>
        </w:rPr>
        <w:t>. These characteristics include</w:t>
      </w:r>
      <w:r w:rsidRPr="0085589C">
        <w:rPr>
          <w:rFonts w:cs="Times New Roman"/>
        </w:rPr>
        <w:t xml:space="preserve"> their age, caring responsibilities, cultural background, disability, ethnicity, gender, religion, sexual orientation, socioeconomic background and other backgrounds and experiences.</w:t>
      </w:r>
    </w:p>
    <w:p w14:paraId="236DF1A8" w14:textId="44265FB3" w:rsidR="007D61FB" w:rsidRPr="0085589C" w:rsidRDefault="007D61FB">
      <w:pPr>
        <w:pStyle w:val="ARbody"/>
        <w:rPr>
          <w:rFonts w:cs="Times New Roman"/>
        </w:rPr>
      </w:pPr>
      <w:r w:rsidRPr="0085589C">
        <w:rPr>
          <w:rFonts w:cs="Times New Roman"/>
        </w:rPr>
        <w:t xml:space="preserve">Our strategies elevate and recognise Aboriginal peoples as original custodians of Victoria. We embed Aboriginal cultural safety and </w:t>
      </w:r>
      <w:r w:rsidR="001239E0">
        <w:rPr>
          <w:rFonts w:cs="Times New Roman"/>
        </w:rPr>
        <w:br/>
      </w:r>
      <w:r w:rsidRPr="0085589C">
        <w:rPr>
          <w:rFonts w:cs="Times New Roman"/>
        </w:rPr>
        <w:t>self-determination in all that we do, so that Aboriginal Victorians have decision-making power and control to determine what is best for them. Aboriginal self-determination is a human right as enshrined in the United Nations Declaration on the Rights of Indigenous Peoples.</w:t>
      </w:r>
    </w:p>
    <w:p w14:paraId="4BDC8F60" w14:textId="77777777" w:rsidR="007D61FB" w:rsidRPr="0085589C" w:rsidRDefault="007D61FB">
      <w:pPr>
        <w:pStyle w:val="ARbody"/>
        <w:rPr>
          <w:rFonts w:cs="Times New Roman"/>
          <w:szCs w:val="20"/>
        </w:rPr>
      </w:pPr>
      <w:r w:rsidRPr="0085589C">
        <w:rPr>
          <w:rFonts w:cs="Times New Roman"/>
          <w:szCs w:val="20"/>
        </w:rPr>
        <w:t>Making diversity and inclusion a priority benefits everyone. It promotes a positive and safe workplace culture, builds our reputation as an employer of choice, and helps us to attract and retain talented staff. It supports innovation by harnessing the rich and varied perspectives of our people. It also helps us to understand and better meet the diverse needs of the Victorian community.</w:t>
      </w:r>
    </w:p>
    <w:p w14:paraId="67752B71" w14:textId="77777777" w:rsidR="007D61FB" w:rsidRPr="001F2D32" w:rsidRDefault="007D61FB" w:rsidP="00333387">
      <w:pPr>
        <w:pStyle w:val="Heading3"/>
      </w:pPr>
      <w:r w:rsidRPr="001F2D32">
        <w:t xml:space="preserve">Aboriginal </w:t>
      </w:r>
      <w:r w:rsidRPr="004B64F8">
        <w:t>workforce</w:t>
      </w:r>
      <w:r w:rsidRPr="001F2D32">
        <w:t xml:space="preserve"> strategy</w:t>
      </w:r>
    </w:p>
    <w:p w14:paraId="15107887" w14:textId="733DE004" w:rsidR="007D61FB" w:rsidRDefault="007D61FB" w:rsidP="004B64F8">
      <w:pPr>
        <w:pStyle w:val="ARbody"/>
        <w:rPr>
          <w:rFonts w:eastAsia="Arial"/>
          <w:color w:val="000000" w:themeColor="text1"/>
          <w:lang w:val="en-US"/>
        </w:rPr>
      </w:pPr>
      <w:r w:rsidRPr="0085589C">
        <w:t>The department</w:t>
      </w:r>
      <w:r w:rsidR="00711AE6">
        <w:t>’</w:t>
      </w:r>
      <w:r w:rsidRPr="0085589C">
        <w:t>s</w:t>
      </w:r>
      <w:r w:rsidRPr="0455F447">
        <w:rPr>
          <w:rFonts w:eastAsia="Arial"/>
          <w:color w:val="000000" w:themeColor="text1"/>
          <w:lang w:val="en-US"/>
        </w:rPr>
        <w:t xml:space="preserve"> </w:t>
      </w:r>
      <w:r w:rsidRPr="00536EEA">
        <w:rPr>
          <w:rStyle w:val="Emphasis"/>
        </w:rPr>
        <w:t xml:space="preserve">Aboriginal workforce strategy 2021–26 </w:t>
      </w:r>
      <w:r w:rsidRPr="0455F447">
        <w:rPr>
          <w:rFonts w:eastAsia="Arial"/>
          <w:color w:val="000000" w:themeColor="text1"/>
          <w:lang w:val="en-US"/>
        </w:rPr>
        <w:t xml:space="preserve">has </w:t>
      </w:r>
      <w:r w:rsidR="00787795">
        <w:rPr>
          <w:rFonts w:eastAsia="Arial"/>
          <w:color w:val="000000" w:themeColor="text1"/>
          <w:lang w:val="en-US"/>
        </w:rPr>
        <w:t>5</w:t>
      </w:r>
      <w:r w:rsidR="00787795" w:rsidRPr="0455F447">
        <w:rPr>
          <w:rFonts w:eastAsia="Arial"/>
          <w:color w:val="000000" w:themeColor="text1"/>
          <w:lang w:val="en-US"/>
        </w:rPr>
        <w:t xml:space="preserve"> </w:t>
      </w:r>
      <w:r w:rsidRPr="0455F447">
        <w:rPr>
          <w:rFonts w:eastAsia="Arial"/>
          <w:color w:val="000000" w:themeColor="text1"/>
          <w:lang w:val="en-US"/>
        </w:rPr>
        <w:t>strategic objectives:</w:t>
      </w:r>
    </w:p>
    <w:p w14:paraId="33EC8ACA" w14:textId="6AC820C2" w:rsidR="007D61FB" w:rsidRDefault="007D61FB" w:rsidP="00E570E2">
      <w:pPr>
        <w:pStyle w:val="ARbullet1"/>
        <w:spacing w:line="240" w:lineRule="atLeast"/>
        <w:rPr>
          <w:lang w:val=""/>
        </w:rPr>
      </w:pPr>
      <w:r w:rsidRPr="0085589C">
        <w:rPr>
          <w:lang w:val=""/>
        </w:rPr>
        <w:t>exceed a minimum 3</w:t>
      </w:r>
      <w:r w:rsidR="00787795">
        <w:rPr>
          <w:lang w:val=""/>
        </w:rPr>
        <w:t xml:space="preserve">% </w:t>
      </w:r>
      <w:r w:rsidRPr="0085589C">
        <w:rPr>
          <w:lang w:val=""/>
        </w:rPr>
        <w:t xml:space="preserve">Aboriginal employment target by 2026, with a stretch target of </w:t>
      </w:r>
      <w:r w:rsidR="00787795">
        <w:rPr>
          <w:lang w:val=""/>
        </w:rPr>
        <w:t>4%</w:t>
      </w:r>
    </w:p>
    <w:p w14:paraId="1495469F" w14:textId="0902E720" w:rsidR="007D61FB" w:rsidRDefault="007D61FB" w:rsidP="00E570E2">
      <w:pPr>
        <w:pStyle w:val="ARbullet1"/>
        <w:spacing w:line="240" w:lineRule="atLeast"/>
        <w:rPr>
          <w:lang w:val=""/>
        </w:rPr>
      </w:pPr>
      <w:r w:rsidRPr="0085589C">
        <w:rPr>
          <w:lang w:val=""/>
        </w:rPr>
        <w:t xml:space="preserve">exceed </w:t>
      </w:r>
      <w:r w:rsidR="00787795">
        <w:rPr>
          <w:lang w:val=""/>
        </w:rPr>
        <w:t>4%</w:t>
      </w:r>
      <w:r w:rsidRPr="0085589C">
        <w:rPr>
          <w:lang w:val=""/>
        </w:rPr>
        <w:t xml:space="preserve"> Aboriginal employment at manager and executive level positions by 2026</w:t>
      </w:r>
    </w:p>
    <w:p w14:paraId="3DC2F011" w14:textId="77777777" w:rsidR="007D61FB" w:rsidRDefault="007D61FB" w:rsidP="00E570E2">
      <w:pPr>
        <w:pStyle w:val="ARbullet1"/>
        <w:spacing w:line="240" w:lineRule="atLeast"/>
        <w:rPr>
          <w:lang w:val="en-US"/>
        </w:rPr>
      </w:pPr>
      <w:r w:rsidRPr="0085589C">
        <w:rPr>
          <w:lang w:val="en-US"/>
        </w:rPr>
        <w:t xml:space="preserve">embed Aboriginal </w:t>
      </w:r>
      <w:r w:rsidRPr="0455F447">
        <w:rPr>
          <w:lang w:val="en-US"/>
        </w:rPr>
        <w:t>self-determination and cultural safety in all that we do, through empowering and respecting the voice of Traditional Owners, Aboriginal employees, organisations and communities throughout Victoria</w:t>
      </w:r>
    </w:p>
    <w:p w14:paraId="7A809FC1" w14:textId="77777777" w:rsidR="007D61FB" w:rsidRDefault="007D61FB" w:rsidP="00E570E2">
      <w:pPr>
        <w:pStyle w:val="ARbullet1"/>
        <w:spacing w:line="240" w:lineRule="atLeast"/>
        <w:rPr>
          <w:lang w:val="en-US"/>
        </w:rPr>
      </w:pPr>
      <w:r w:rsidRPr="0085589C">
        <w:rPr>
          <w:lang w:val="en-US"/>
        </w:rPr>
        <w:t xml:space="preserve">ensure the workforce develops a deep </w:t>
      </w:r>
      <w:r w:rsidRPr="0455F447">
        <w:rPr>
          <w:lang w:val="en-US"/>
        </w:rPr>
        <w:t>understanding of Aboriginal ways of listening, knowing and doing and applies this to the workplace, policy, programs and services to improve outcomes for Aboriginal communities</w:t>
      </w:r>
    </w:p>
    <w:p w14:paraId="337D9850" w14:textId="77777777" w:rsidR="007D61FB" w:rsidRDefault="007D61FB" w:rsidP="00E570E2">
      <w:pPr>
        <w:pStyle w:val="ARbullet1"/>
        <w:spacing w:line="240" w:lineRule="atLeast"/>
        <w:rPr>
          <w:lang w:val="en-US"/>
        </w:rPr>
      </w:pPr>
      <w:r w:rsidRPr="0085589C">
        <w:rPr>
          <w:lang w:val="en-US"/>
        </w:rPr>
        <w:t>celebrate Aboriginal culture and the achievements of Aboriginal employees, children, families and communities.</w:t>
      </w:r>
    </w:p>
    <w:p w14:paraId="74490FCC" w14:textId="27C7F0BE" w:rsidR="007D61FB" w:rsidRPr="0085589C" w:rsidRDefault="007D61FB">
      <w:pPr>
        <w:pStyle w:val="ARbodyafterbullets"/>
      </w:pPr>
      <w:r w:rsidRPr="0085589C">
        <w:t xml:space="preserve">Increasing </w:t>
      </w:r>
      <w:r w:rsidR="00787795">
        <w:t>our</w:t>
      </w:r>
      <w:r w:rsidRPr="0085589C">
        <w:t xml:space="preserve"> Aboriginal workforce not only improves health and wellbeing, it also </w:t>
      </w:r>
      <w:r w:rsidR="00787795">
        <w:t>improves</w:t>
      </w:r>
      <w:r w:rsidRPr="0085589C">
        <w:t xml:space="preserve"> quality and culturally appropriate services for Victoria</w:t>
      </w:r>
      <w:r w:rsidR="00711AE6">
        <w:t>’</w:t>
      </w:r>
      <w:r w:rsidRPr="0085589C">
        <w:t>s Aboriginal</w:t>
      </w:r>
      <w:r w:rsidR="004B64F8">
        <w:t> </w:t>
      </w:r>
      <w:r w:rsidRPr="0085589C">
        <w:t>community.</w:t>
      </w:r>
    </w:p>
    <w:p w14:paraId="31F0040A" w14:textId="3C6B6318" w:rsidR="007D61FB" w:rsidRPr="0085589C" w:rsidRDefault="007D61FB" w:rsidP="004B64F8">
      <w:pPr>
        <w:pStyle w:val="ARbody"/>
      </w:pPr>
      <w:r w:rsidRPr="0085589C">
        <w:t xml:space="preserve">Implementation of the strategy is tracking well, with progress against </w:t>
      </w:r>
      <w:r w:rsidRPr="004B64F8">
        <w:t>targets</w:t>
      </w:r>
      <w:r w:rsidRPr="0085589C">
        <w:t xml:space="preserve"> at the end of June 202</w:t>
      </w:r>
      <w:r>
        <w:t>4</w:t>
      </w:r>
      <w:r w:rsidRPr="0085589C">
        <w:t xml:space="preserve"> showing that Aboriginal employees comprise more than </w:t>
      </w:r>
      <w:r w:rsidR="00787795">
        <w:t>2%</w:t>
      </w:r>
      <w:r w:rsidRPr="0085589C">
        <w:t xml:space="preserve"> of the department</w:t>
      </w:r>
      <w:r w:rsidR="00711AE6">
        <w:t>’</w:t>
      </w:r>
      <w:r w:rsidRPr="0085589C">
        <w:t>s workforce. This</w:t>
      </w:r>
      <w:r w:rsidR="006F0BD4">
        <w:t> </w:t>
      </w:r>
      <w:r w:rsidRPr="0085589C">
        <w:t>is represented across all classifications, including in</w:t>
      </w:r>
      <w:r w:rsidR="006F0BD4">
        <w:t> </w:t>
      </w:r>
      <w:r w:rsidRPr="0085589C">
        <w:t>senior and executive roles.</w:t>
      </w:r>
    </w:p>
    <w:p w14:paraId="5FD7C215" w14:textId="0698990D" w:rsidR="007D61FB" w:rsidRPr="0085589C" w:rsidRDefault="007D61FB">
      <w:pPr>
        <w:pStyle w:val="ARbody"/>
      </w:pPr>
      <w:r w:rsidRPr="0085589C">
        <w:t>The Aboriginal leadership target has been exceeded</w:t>
      </w:r>
      <w:r>
        <w:t>,</w:t>
      </w:r>
      <w:r w:rsidRPr="0085589C">
        <w:t xml:space="preserve"> with over 11</w:t>
      </w:r>
      <w:r w:rsidR="00787795">
        <w:t xml:space="preserve">% </w:t>
      </w:r>
      <w:r w:rsidRPr="0085589C">
        <w:t xml:space="preserve">of executive workforce identifying as Aboriginal. </w:t>
      </w:r>
    </w:p>
    <w:p w14:paraId="733D8049" w14:textId="455E8C35" w:rsidR="007D61FB" w:rsidRPr="008D6BC4" w:rsidRDefault="007D61FB">
      <w:pPr>
        <w:pStyle w:val="ARbody"/>
      </w:pPr>
      <w:r w:rsidRPr="0455F447">
        <w:rPr>
          <w:rFonts w:eastAsia="Arial"/>
          <w:color w:val="000000" w:themeColor="text1"/>
          <w:szCs w:val="20"/>
          <w:lang w:val="en-US"/>
        </w:rPr>
        <w:t>The department continues to support more Aboriginal women in leadership roles. The Aboriginal Women in Leadership FastTrack program commenced for 2024</w:t>
      </w:r>
      <w:r w:rsidR="005B7C9B">
        <w:rPr>
          <w:rFonts w:eastAsia="Arial"/>
          <w:color w:val="000000" w:themeColor="text1"/>
          <w:szCs w:val="20"/>
          <w:lang w:val="en-US"/>
        </w:rPr>
        <w:t>–</w:t>
      </w:r>
      <w:r w:rsidRPr="0455F447">
        <w:rPr>
          <w:rFonts w:eastAsia="Arial"/>
          <w:color w:val="000000" w:themeColor="text1"/>
          <w:szCs w:val="20"/>
          <w:lang w:val="en-US"/>
        </w:rPr>
        <w:t>25. In June 2024</w:t>
      </w:r>
      <w:r w:rsidR="00787795">
        <w:rPr>
          <w:rFonts w:eastAsia="Arial"/>
          <w:color w:val="000000" w:themeColor="text1"/>
          <w:szCs w:val="20"/>
          <w:lang w:val="en-US"/>
        </w:rPr>
        <w:t>,</w:t>
      </w:r>
      <w:r w:rsidRPr="0455F447">
        <w:rPr>
          <w:rFonts w:eastAsia="Arial"/>
          <w:color w:val="000000" w:themeColor="text1"/>
          <w:szCs w:val="20"/>
          <w:lang w:val="en-US"/>
        </w:rPr>
        <w:t xml:space="preserve"> the Secretary announced </w:t>
      </w:r>
      <w:r w:rsidR="00787795">
        <w:rPr>
          <w:rFonts w:eastAsia="Arial"/>
          <w:color w:val="000000" w:themeColor="text1"/>
          <w:szCs w:val="20"/>
          <w:lang w:val="en-US"/>
        </w:rPr>
        <w:t>5</w:t>
      </w:r>
      <w:r w:rsidR="00787795" w:rsidRPr="0455F447">
        <w:rPr>
          <w:rFonts w:eastAsia="Arial"/>
          <w:color w:val="000000" w:themeColor="text1"/>
          <w:szCs w:val="20"/>
          <w:lang w:val="en-US"/>
        </w:rPr>
        <w:t xml:space="preserve"> </w:t>
      </w:r>
      <w:r w:rsidRPr="0455F447">
        <w:rPr>
          <w:rFonts w:eastAsia="Arial"/>
          <w:color w:val="000000" w:themeColor="text1"/>
          <w:szCs w:val="20"/>
          <w:lang w:val="en-US"/>
        </w:rPr>
        <w:t xml:space="preserve">new participants in </w:t>
      </w:r>
      <w:r>
        <w:rPr>
          <w:rFonts w:eastAsia="Arial"/>
          <w:color w:val="000000" w:themeColor="text1"/>
          <w:szCs w:val="20"/>
          <w:lang w:val="en-US"/>
        </w:rPr>
        <w:t>the</w:t>
      </w:r>
      <w:r w:rsidR="006F0BD4">
        <w:rPr>
          <w:rFonts w:eastAsia="Arial"/>
          <w:color w:val="000000" w:themeColor="text1"/>
          <w:szCs w:val="20"/>
          <w:lang w:val="en-US"/>
        </w:rPr>
        <w:t> </w:t>
      </w:r>
      <w:r w:rsidRPr="0455F447">
        <w:rPr>
          <w:rFonts w:eastAsia="Arial"/>
          <w:color w:val="000000" w:themeColor="text1"/>
          <w:szCs w:val="20"/>
          <w:lang w:val="en-US"/>
        </w:rPr>
        <w:t xml:space="preserve">Aboriginal Women in Leadership FastTrack Program Manager Stream. </w:t>
      </w:r>
      <w:r w:rsidR="00787795">
        <w:rPr>
          <w:rFonts w:eastAsia="Arial"/>
          <w:color w:val="000000" w:themeColor="text1"/>
          <w:szCs w:val="20"/>
          <w:lang w:val="en-US"/>
        </w:rPr>
        <w:t>Aboriginal women comprise 50%</w:t>
      </w:r>
      <w:r w:rsidRPr="008D6BC4">
        <w:t xml:space="preserve"> of the Aboriginal executive</w:t>
      </w:r>
      <w:r w:rsidR="006F0BD4">
        <w:t> </w:t>
      </w:r>
      <w:r w:rsidRPr="008D6BC4">
        <w:t>workforce.</w:t>
      </w:r>
    </w:p>
    <w:p w14:paraId="196F5680" w14:textId="7EC560CA" w:rsidR="007D61FB" w:rsidRPr="008D6BC4" w:rsidRDefault="007D61FB">
      <w:pPr>
        <w:pStyle w:val="ARbody"/>
      </w:pPr>
      <w:r w:rsidRPr="008D6BC4">
        <w:t>We have undertaken work to support the department as a culturally safe employer of choice for Aboriginal people. This includes the CareerTrackers</w:t>
      </w:r>
      <w:r w:rsidR="00711AE6">
        <w:t>’</w:t>
      </w:r>
      <w:r w:rsidRPr="008D6BC4">
        <w:t xml:space="preserve"> 12-week internships </w:t>
      </w:r>
      <w:r w:rsidRPr="008D6BC4">
        <w:rPr>
          <w:rFonts w:cs="Times New Roman"/>
          <w:szCs w:val="20"/>
        </w:rPr>
        <w:t xml:space="preserve">for Aboriginal university students </w:t>
      </w:r>
      <w:r w:rsidRPr="008D6BC4">
        <w:t xml:space="preserve">in generalist and </w:t>
      </w:r>
      <w:r w:rsidR="00787795">
        <w:t>c</w:t>
      </w:r>
      <w:r w:rsidR="00787795" w:rsidRPr="008D6BC4">
        <w:t xml:space="preserve">hild </w:t>
      </w:r>
      <w:r w:rsidR="00787795">
        <w:t>p</w:t>
      </w:r>
      <w:r w:rsidR="00787795" w:rsidRPr="008D6BC4">
        <w:t>rotection</w:t>
      </w:r>
      <w:r w:rsidRPr="008D6BC4">
        <w:t xml:space="preserve"> program streams, the Aboriginal Graduate Program, leadership programs, mentoring for employees, and strengthening the Aboriginal Staff Network.</w:t>
      </w:r>
    </w:p>
    <w:p w14:paraId="5F562837" w14:textId="06585252" w:rsidR="004C23DF" w:rsidRDefault="007D61FB" w:rsidP="00E570E2">
      <w:pPr>
        <w:pStyle w:val="ARbody"/>
      </w:pPr>
      <w:r>
        <w:rPr>
          <w:color w:val="000000"/>
          <w:szCs w:val="20"/>
          <w:shd w:val="clear" w:color="auto" w:fill="FFFFFF"/>
          <w:lang w:val="en-US"/>
        </w:rPr>
        <w:t xml:space="preserve">We have continued to boost the recruitment </w:t>
      </w:r>
      <w:r w:rsidRPr="00E570E2">
        <w:t>and retention</w:t>
      </w:r>
      <w:r>
        <w:rPr>
          <w:color w:val="000000"/>
          <w:szCs w:val="20"/>
          <w:shd w:val="clear" w:color="auto" w:fill="FFFFFF"/>
          <w:lang w:val="en-US"/>
        </w:rPr>
        <w:t xml:space="preserve"> of Aboriginal Child Protection Practitioners though strategies that have had an impact </w:t>
      </w:r>
      <w:r w:rsidRPr="00E570E2">
        <w:t>on</w:t>
      </w:r>
      <w:r>
        <w:rPr>
          <w:color w:val="000000"/>
          <w:szCs w:val="20"/>
          <w:shd w:val="clear" w:color="auto" w:fill="FFFFFF"/>
          <w:lang w:val="en-US"/>
        </w:rPr>
        <w:t xml:space="preserve"> retention. These have included regular check-ins with new Child Protection </w:t>
      </w:r>
      <w:r w:rsidR="00C7128A">
        <w:rPr>
          <w:color w:val="000000"/>
          <w:szCs w:val="20"/>
          <w:shd w:val="clear" w:color="auto" w:fill="FFFFFF"/>
          <w:lang w:val="en-US"/>
        </w:rPr>
        <w:t xml:space="preserve">Practitioners </w:t>
      </w:r>
      <w:r>
        <w:rPr>
          <w:color w:val="000000"/>
          <w:szCs w:val="20"/>
          <w:shd w:val="clear" w:color="auto" w:fill="FFFFFF"/>
          <w:lang w:val="en-US"/>
        </w:rPr>
        <w:t xml:space="preserve">and the development of a Child Protection Aboriginal Staff Network, which has resulted in a total of 70 Aboriginal Child Protection staff. This represents the highest number of Aboriginal and Torres Strait Islander </w:t>
      </w:r>
      <w:r w:rsidR="00EF0E24">
        <w:rPr>
          <w:color w:val="000000"/>
          <w:szCs w:val="20"/>
          <w:shd w:val="clear" w:color="auto" w:fill="FFFFFF"/>
          <w:lang w:val="en-US"/>
        </w:rPr>
        <w:t>C</w:t>
      </w:r>
      <w:r w:rsidR="00787795">
        <w:rPr>
          <w:color w:val="000000"/>
          <w:szCs w:val="20"/>
          <w:shd w:val="clear" w:color="auto" w:fill="FFFFFF"/>
          <w:lang w:val="en-US"/>
        </w:rPr>
        <w:t xml:space="preserve">hild </w:t>
      </w:r>
      <w:r w:rsidR="00EF0E24">
        <w:rPr>
          <w:color w:val="000000"/>
          <w:szCs w:val="20"/>
          <w:shd w:val="clear" w:color="auto" w:fill="FFFFFF"/>
          <w:lang w:val="en-US"/>
        </w:rPr>
        <w:t>P</w:t>
      </w:r>
      <w:r w:rsidR="00787795">
        <w:rPr>
          <w:color w:val="000000"/>
          <w:szCs w:val="20"/>
          <w:shd w:val="clear" w:color="auto" w:fill="FFFFFF"/>
          <w:lang w:val="en-US"/>
        </w:rPr>
        <w:t xml:space="preserve">rotection </w:t>
      </w:r>
      <w:r w:rsidR="00EF0E24">
        <w:rPr>
          <w:color w:val="000000"/>
          <w:szCs w:val="20"/>
          <w:shd w:val="clear" w:color="auto" w:fill="FFFFFF"/>
          <w:lang w:val="en-US"/>
        </w:rPr>
        <w:t xml:space="preserve">Practitioners </w:t>
      </w:r>
      <w:r>
        <w:rPr>
          <w:color w:val="000000"/>
          <w:szCs w:val="20"/>
          <w:shd w:val="clear" w:color="auto" w:fill="FFFFFF"/>
          <w:lang w:val="en-US"/>
        </w:rPr>
        <w:t>ever achieved in the department.</w:t>
      </w:r>
      <w:r>
        <w:rPr>
          <w:color w:val="000000"/>
          <w:szCs w:val="20"/>
          <w:shd w:val="clear" w:color="auto" w:fill="FFFFFF"/>
        </w:rPr>
        <w:t> </w:t>
      </w:r>
      <w:r w:rsidRPr="008D6BC4">
        <w:t>Dedicated Child Protection Aboriginal Staff Network sessions</w:t>
      </w:r>
      <w:r w:rsidR="00885948">
        <w:t xml:space="preserve"> </w:t>
      </w:r>
      <w:r w:rsidRPr="008D6BC4">
        <w:t xml:space="preserve">provide culturally appropriate and safe employee supports for our Aboriginal </w:t>
      </w:r>
      <w:r>
        <w:t>C</w:t>
      </w:r>
      <w:r w:rsidRPr="008D6BC4">
        <w:t xml:space="preserve">hild </w:t>
      </w:r>
      <w:r>
        <w:t>P</w:t>
      </w:r>
      <w:r w:rsidRPr="008D6BC4">
        <w:t>rotection</w:t>
      </w:r>
      <w:r w:rsidR="006F0BD4">
        <w:t> </w:t>
      </w:r>
      <w:r w:rsidRPr="008D6BC4">
        <w:t>workforce.</w:t>
      </w:r>
    </w:p>
    <w:p w14:paraId="17308E08" w14:textId="77777777" w:rsidR="004C23DF" w:rsidRDefault="004C23DF">
      <w:pPr>
        <w:rPr>
          <w:rFonts w:ascii="Arial" w:eastAsia="Times" w:hAnsi="Arial" w:cs="Arial"/>
          <w:sz w:val="20"/>
          <w:szCs w:val="24"/>
        </w:rPr>
      </w:pPr>
      <w:r>
        <w:br w:type="page"/>
      </w:r>
    </w:p>
    <w:p w14:paraId="0751BD45" w14:textId="751F13C0" w:rsidR="007D61FB" w:rsidRPr="008D6BC4" w:rsidRDefault="007D61FB">
      <w:pPr>
        <w:pStyle w:val="ARbody"/>
      </w:pPr>
      <w:r w:rsidRPr="008D6BC4">
        <w:t>The department</w:t>
      </w:r>
      <w:r w:rsidR="00711AE6">
        <w:t>’</w:t>
      </w:r>
      <w:r w:rsidRPr="008D6BC4">
        <w:t xml:space="preserve">s Wirrigirri reconciliation program continues to increase the number of allies for Aboriginal inclusion, awareness of Aboriginal significant dates and events, and </w:t>
      </w:r>
      <w:r>
        <w:t>cultural safety</w:t>
      </w:r>
      <w:r w:rsidRPr="008D6BC4">
        <w:t xml:space="preserve"> </w:t>
      </w:r>
      <w:r>
        <w:t>of</w:t>
      </w:r>
      <w:r w:rsidRPr="008D6BC4">
        <w:t xml:space="preserve"> workplaces. An Executive Champion has been appointed to </w:t>
      </w:r>
      <w:r w:rsidR="00787795">
        <w:t>boost</w:t>
      </w:r>
      <w:r w:rsidR="00787795" w:rsidRPr="008D6BC4">
        <w:t xml:space="preserve"> </w:t>
      </w:r>
      <w:r w:rsidRPr="008D6BC4">
        <w:t>the allyship and support within the department.</w:t>
      </w:r>
    </w:p>
    <w:p w14:paraId="65D6BA22" w14:textId="77777777" w:rsidR="007D61FB" w:rsidRPr="008D6BC4" w:rsidRDefault="007D61FB" w:rsidP="00333387">
      <w:pPr>
        <w:pStyle w:val="Heading3"/>
      </w:pPr>
      <w:r w:rsidRPr="001F2D32">
        <w:t>Aboriginal</w:t>
      </w:r>
      <w:r w:rsidRPr="008D6BC4">
        <w:t xml:space="preserve"> </w:t>
      </w:r>
      <w:r w:rsidRPr="001F2D32">
        <w:t>and Torres Strait Islander cultural safety</w:t>
      </w:r>
    </w:p>
    <w:p w14:paraId="2261A7C9" w14:textId="44459C05" w:rsidR="00787795" w:rsidRDefault="007D61FB">
      <w:pPr>
        <w:pStyle w:val="ARbody"/>
      </w:pPr>
      <w:r w:rsidRPr="008D6BC4">
        <w:t xml:space="preserve">The department continues to implement the </w:t>
      </w:r>
      <w:r w:rsidRPr="00536EEA">
        <w:rPr>
          <w:rStyle w:val="Emphasis"/>
        </w:rPr>
        <w:t>Aboriginal and Torres Strait Islander cultural safety framework</w:t>
      </w:r>
      <w:r w:rsidRPr="008D6BC4">
        <w:t>. The framework</w:t>
      </w:r>
      <w:r w:rsidR="00711AE6">
        <w:t>’</w:t>
      </w:r>
      <w:r w:rsidRPr="008D6BC4">
        <w:t>s vision is to</w:t>
      </w:r>
      <w:r w:rsidR="00B6408C">
        <w:t> </w:t>
      </w:r>
      <w:r w:rsidRPr="008D6BC4">
        <w:t>ensure the Victorian community service and housing sectors provide culturally safe practice and service provision that enables optimal health, wellbeing and safety outcomes for Aboriginal</w:t>
      </w:r>
      <w:r w:rsidR="006F0BD4">
        <w:t> </w:t>
      </w:r>
      <w:r w:rsidRPr="008D6BC4">
        <w:t xml:space="preserve">people. </w:t>
      </w:r>
    </w:p>
    <w:p w14:paraId="79AFA1C9" w14:textId="5EE1C99F" w:rsidR="007D61FB" w:rsidRPr="008D6BC4" w:rsidRDefault="007D61FB">
      <w:pPr>
        <w:pStyle w:val="ARbody"/>
      </w:pPr>
      <w:r w:rsidRPr="008D6BC4">
        <w:t>To achieve this vision the framework has </w:t>
      </w:r>
      <w:r w:rsidR="00787795">
        <w:t>3</w:t>
      </w:r>
      <w:r w:rsidR="006F0BD4">
        <w:t> </w:t>
      </w:r>
      <w:r w:rsidRPr="008D6BC4">
        <w:t>domains:</w:t>
      </w:r>
    </w:p>
    <w:p w14:paraId="61DE8A63" w14:textId="77777777" w:rsidR="007D61FB" w:rsidRPr="00AA5515" w:rsidRDefault="007D61FB">
      <w:pPr>
        <w:pStyle w:val="ARbullet1"/>
      </w:pPr>
      <w:r w:rsidRPr="00AA5515">
        <w:t>culturally safe workplaces and organisations</w:t>
      </w:r>
    </w:p>
    <w:p w14:paraId="316FE73C" w14:textId="77777777" w:rsidR="007D61FB" w:rsidRPr="00AA5515" w:rsidRDefault="007D61FB">
      <w:pPr>
        <w:pStyle w:val="ARbullet1"/>
      </w:pPr>
      <w:r w:rsidRPr="00AA5515">
        <w:t>Aboriginal self-determination</w:t>
      </w:r>
    </w:p>
    <w:p w14:paraId="2D06B886" w14:textId="77777777" w:rsidR="007D61FB" w:rsidRPr="008D6BC4" w:rsidRDefault="007D61FB">
      <w:pPr>
        <w:pStyle w:val="ARbullet1"/>
      </w:pPr>
      <w:r w:rsidRPr="00AA5515">
        <w:t>leadership</w:t>
      </w:r>
      <w:r w:rsidRPr="008D6BC4">
        <w:t xml:space="preserve"> and accountability.</w:t>
      </w:r>
    </w:p>
    <w:p w14:paraId="75E1AA58" w14:textId="679F69D8" w:rsidR="007D61FB" w:rsidRPr="008D6BC4" w:rsidRDefault="007D61FB" w:rsidP="00E570E2">
      <w:pPr>
        <w:pStyle w:val="ARbodyafterbullets"/>
      </w:pPr>
      <w:r w:rsidRPr="008D6BC4">
        <w:t xml:space="preserve">The department is developing executive leaders and the </w:t>
      </w:r>
      <w:r w:rsidRPr="00E570E2">
        <w:t>workforce</w:t>
      </w:r>
      <w:r w:rsidRPr="008D6BC4">
        <w:t xml:space="preserve"> to take ownership of cultural safety as part of their responsibility to ensure a culturally safe environment for Aboriginal people and </w:t>
      </w:r>
      <w:r>
        <w:t>to embed</w:t>
      </w:r>
      <w:r w:rsidRPr="008D6BC4">
        <w:t xml:space="preserve"> self-determination in policy, programs and service provision. </w:t>
      </w:r>
      <w:r w:rsidR="00787795">
        <w:t>We have implemented d</w:t>
      </w:r>
      <w:r w:rsidRPr="008D6BC4">
        <w:t>edicated learning and development and online resources for staff, managers and executive leaders</w:t>
      </w:r>
      <w:r w:rsidR="00787795">
        <w:t>. This</w:t>
      </w:r>
      <w:r w:rsidRPr="008D6BC4">
        <w:t xml:space="preserve"> ensure</w:t>
      </w:r>
      <w:r w:rsidR="00787795">
        <w:t>s</w:t>
      </w:r>
      <w:r w:rsidRPr="008D6BC4">
        <w:t xml:space="preserve"> all employees are responsible for how they work with Aboriginal staff, clients and</w:t>
      </w:r>
      <w:r w:rsidR="00E570E2">
        <w:t> </w:t>
      </w:r>
      <w:r w:rsidRPr="008D6BC4">
        <w:t>communities.</w:t>
      </w:r>
    </w:p>
    <w:p w14:paraId="5279158F" w14:textId="7DC050BB" w:rsidR="007D61FB" w:rsidRDefault="007D61FB" w:rsidP="00E570E2">
      <w:pPr>
        <w:pStyle w:val="ARbody"/>
      </w:pPr>
      <w:r w:rsidRPr="008D6BC4">
        <w:t xml:space="preserve">A cultural safety working group supports the implementation of the framework throughout the organisation. A dedicated Aboriginal </w:t>
      </w:r>
      <w:r w:rsidR="00787795" w:rsidRPr="008D6BC4">
        <w:t>peer</w:t>
      </w:r>
      <w:r w:rsidR="00787795">
        <w:t>-</w:t>
      </w:r>
      <w:r w:rsidRPr="008D6BC4">
        <w:t>support network uses the principles of self-determination to support the health, wellbeing and safety of our Aboriginal workforce. The Victorian Aboriginal Health Service Employee Assistance program also provides dedicated Aboriginal social and emotional wellbeing supports.</w:t>
      </w:r>
      <w:r w:rsidR="00E570E2">
        <w:br w:type="column"/>
      </w:r>
      <w:r w:rsidRPr="008D6BC4">
        <w:t xml:space="preserve">The department recently undertook procurement for the mandatory Aboriginal Cultural Safety </w:t>
      </w:r>
      <w:r>
        <w:t xml:space="preserve">training </w:t>
      </w:r>
      <w:r w:rsidRPr="008D6BC4">
        <w:t>for all staff</w:t>
      </w:r>
      <w:r>
        <w:t>,</w:t>
      </w:r>
      <w:r w:rsidRPr="008D6BC4">
        <w:t xml:space="preserve"> including managers and leaders</w:t>
      </w:r>
      <w:r>
        <w:t>,</w:t>
      </w:r>
      <w:r w:rsidRPr="008D6BC4">
        <w:t xml:space="preserve"> to ensure the training is aligned with the Yoorrook for Justice Report Recommendations. The new training</w:t>
      </w:r>
      <w:r>
        <w:t>,</w:t>
      </w:r>
      <w:r w:rsidRPr="008D6BC4">
        <w:t xml:space="preserve"> led</w:t>
      </w:r>
      <w:r w:rsidR="00C07E65">
        <w:t> </w:t>
      </w:r>
      <w:r w:rsidRPr="008D6BC4">
        <w:t>by</w:t>
      </w:r>
      <w:r w:rsidR="00E36031">
        <w:t> </w:t>
      </w:r>
      <w:r w:rsidRPr="008D6BC4">
        <w:t>a First Nations provider</w:t>
      </w:r>
      <w:r>
        <w:t>,</w:t>
      </w:r>
      <w:r w:rsidRPr="008D6BC4">
        <w:t xml:space="preserve"> will commence in</w:t>
      </w:r>
      <w:r w:rsidR="00C07E65">
        <w:t> </w:t>
      </w:r>
      <w:r w:rsidRPr="008D6BC4">
        <w:t>August</w:t>
      </w:r>
      <w:r w:rsidR="00E570E2">
        <w:t> </w:t>
      </w:r>
      <w:r w:rsidRPr="008D6BC4">
        <w:t>2024. </w:t>
      </w:r>
    </w:p>
    <w:p w14:paraId="0A3CF7C7" w14:textId="3823C56A" w:rsidR="007D61FB" w:rsidRPr="008D6BC4" w:rsidRDefault="007D61FB" w:rsidP="00E570E2">
      <w:pPr>
        <w:pStyle w:val="ARbody"/>
      </w:pPr>
      <w:r w:rsidRPr="0455F447">
        <w:rPr>
          <w:lang w:val="en-US"/>
        </w:rPr>
        <w:t>In October 2023</w:t>
      </w:r>
      <w:r w:rsidR="00787795">
        <w:rPr>
          <w:lang w:val="en-US"/>
        </w:rPr>
        <w:t>,</w:t>
      </w:r>
      <w:r w:rsidRPr="0455F447">
        <w:rPr>
          <w:lang w:val="en-US"/>
        </w:rPr>
        <w:t xml:space="preserve"> the department commenced </w:t>
      </w:r>
      <w:r w:rsidR="00787795">
        <w:rPr>
          <w:lang w:val="en-US"/>
        </w:rPr>
        <w:t>a</w:t>
      </w:r>
      <w:r w:rsidR="00787795" w:rsidRPr="0455F447">
        <w:rPr>
          <w:lang w:val="en-US"/>
        </w:rPr>
        <w:t>nti</w:t>
      </w:r>
      <w:r w:rsidRPr="0455F447">
        <w:rPr>
          <w:lang w:val="en-US"/>
        </w:rPr>
        <w:t>-racism training</w:t>
      </w:r>
      <w:r w:rsidR="00CA71B9">
        <w:rPr>
          <w:lang w:val="en-US"/>
        </w:rPr>
        <w:t>.</w:t>
      </w:r>
      <w:r w:rsidR="00CA71B9" w:rsidRPr="0455F447">
        <w:rPr>
          <w:lang w:val="en-US"/>
        </w:rPr>
        <w:t xml:space="preserve"> </w:t>
      </w:r>
      <w:r w:rsidR="00CA71B9">
        <w:rPr>
          <w:lang w:val="en-US"/>
        </w:rPr>
        <w:t>This</w:t>
      </w:r>
      <w:r w:rsidR="00CA71B9" w:rsidRPr="0455F447">
        <w:rPr>
          <w:lang w:val="en-US"/>
        </w:rPr>
        <w:t xml:space="preserve"> </w:t>
      </w:r>
      <w:r w:rsidRPr="0455F447">
        <w:rPr>
          <w:lang w:val="en-US"/>
        </w:rPr>
        <w:t xml:space="preserve">provides an understanding of the </w:t>
      </w:r>
      <w:r w:rsidR="00CA71B9">
        <w:rPr>
          <w:lang w:val="en-US"/>
        </w:rPr>
        <w:t>effects</w:t>
      </w:r>
      <w:r w:rsidR="00CA71B9" w:rsidRPr="0455F447">
        <w:rPr>
          <w:lang w:val="en-US"/>
        </w:rPr>
        <w:t xml:space="preserve"> </w:t>
      </w:r>
      <w:r w:rsidRPr="0455F447">
        <w:rPr>
          <w:lang w:val="en-US"/>
        </w:rPr>
        <w:t>of systemic racism in</w:t>
      </w:r>
      <w:r w:rsidR="004C23DF">
        <w:rPr>
          <w:lang w:val="en-US"/>
        </w:rPr>
        <w:t> </w:t>
      </w:r>
      <w:r w:rsidRPr="0455F447">
        <w:rPr>
          <w:lang w:val="en-US"/>
        </w:rPr>
        <w:t>the workplace and accountability to address all</w:t>
      </w:r>
      <w:r w:rsidR="004C23DF">
        <w:rPr>
          <w:lang w:val="en-US"/>
        </w:rPr>
        <w:t> </w:t>
      </w:r>
      <w:r w:rsidRPr="0455F447">
        <w:rPr>
          <w:lang w:val="en-US"/>
        </w:rPr>
        <w:t>forms of racism.</w:t>
      </w:r>
    </w:p>
    <w:p w14:paraId="5FFA4530" w14:textId="17B9832C" w:rsidR="007D61FB" w:rsidRPr="008D6BC4" w:rsidRDefault="007D61FB" w:rsidP="00E570E2">
      <w:pPr>
        <w:pStyle w:val="ARbody"/>
      </w:pPr>
      <w:r w:rsidRPr="008D6BC4">
        <w:t xml:space="preserve">The department also partners with </w:t>
      </w:r>
      <w:r w:rsidR="00CA71B9">
        <w:t>t</w:t>
      </w:r>
      <w:r w:rsidR="00CA71B9" w:rsidRPr="008D6BC4">
        <w:t xml:space="preserve">he </w:t>
      </w:r>
      <w:r w:rsidRPr="0455F447">
        <w:rPr>
          <w:color w:val="000000" w:themeColor="text1"/>
          <w:szCs w:val="20"/>
        </w:rPr>
        <w:t>University of</w:t>
      </w:r>
      <w:r w:rsidR="004C23DF">
        <w:rPr>
          <w:color w:val="000000" w:themeColor="text1"/>
          <w:szCs w:val="20"/>
        </w:rPr>
        <w:t> </w:t>
      </w:r>
      <w:r w:rsidRPr="0455F447">
        <w:rPr>
          <w:color w:val="000000" w:themeColor="text1"/>
          <w:szCs w:val="20"/>
        </w:rPr>
        <w:t xml:space="preserve">Melbourne to deliver the Self-determination and Community Services </w:t>
      </w:r>
      <w:r w:rsidRPr="005B5816">
        <w:t>microcertificate</w:t>
      </w:r>
      <w:r w:rsidRPr="008D6BC4">
        <w:t xml:space="preserve"> series. The</w:t>
      </w:r>
      <w:r w:rsidR="004C23DF">
        <w:t> </w:t>
      </w:r>
      <w:r w:rsidRPr="008D6BC4">
        <w:t>program supports leaners to develop advanced knowledge of critical Aboriginal Cultural Safety including understanding concepts of Treaty and Self-determination, Sovereignty and Stolen</w:t>
      </w:r>
      <w:r w:rsidR="004C23DF">
        <w:t> </w:t>
      </w:r>
      <w:r w:rsidRPr="008D6BC4">
        <w:t>Generations</w:t>
      </w:r>
      <w:r>
        <w:t>.</w:t>
      </w:r>
    </w:p>
    <w:p w14:paraId="1F3D2F9C" w14:textId="05AFA919" w:rsidR="007D61FB" w:rsidRPr="008D6BC4" w:rsidRDefault="007D61FB" w:rsidP="00E570E2">
      <w:pPr>
        <w:pStyle w:val="ARbody"/>
      </w:pPr>
      <w:r w:rsidRPr="008D6BC4">
        <w:t>In November 2023, the department undertook the first Aboriginal Cultural Safe</w:t>
      </w:r>
      <w:r>
        <w:t>t</w:t>
      </w:r>
      <w:r w:rsidRPr="008D6BC4">
        <w:t>y Survey, which was open to all staff. The results of the survey have been used to form part o</w:t>
      </w:r>
      <w:r>
        <w:t>f</w:t>
      </w:r>
      <w:r w:rsidRPr="008D6BC4">
        <w:t xml:space="preserve"> the Aboriginal Cultural Workplace </w:t>
      </w:r>
      <w:r>
        <w:t>Monitoring</w:t>
      </w:r>
      <w:r w:rsidRPr="008D6BC4">
        <w:t xml:space="preserve"> Framework to ensure people leaders are supported in </w:t>
      </w:r>
      <w:r>
        <w:t>their learning journey</w:t>
      </w:r>
      <w:r w:rsidRPr="008D6BC4">
        <w:t xml:space="preserve"> to improve cultural safety.</w:t>
      </w:r>
      <w:r w:rsidR="00E570E2">
        <w:t xml:space="preserve"> </w:t>
      </w:r>
    </w:p>
    <w:p w14:paraId="0958401A" w14:textId="77777777" w:rsidR="007D61FB" w:rsidRPr="001F2D32" w:rsidRDefault="007D61FB" w:rsidP="00333387">
      <w:pPr>
        <w:pStyle w:val="Heading3"/>
      </w:pPr>
      <w:r w:rsidRPr="001F2D32">
        <w:t>Aboriginal Staff Network</w:t>
      </w:r>
    </w:p>
    <w:p w14:paraId="199FE36A" w14:textId="3D7F3B9E" w:rsidR="007D61FB" w:rsidRPr="008D6BC4" w:rsidRDefault="007D61FB">
      <w:pPr>
        <w:pStyle w:val="ARbody"/>
      </w:pPr>
      <w:r w:rsidRPr="008D6BC4">
        <w:t>The Aboriginal Staff Network offers access to a supportive culturally safe community of practice. It is a place to share good practice and creative ideas, support each other through issues of concern, access opportunities for personal and professional development</w:t>
      </w:r>
      <w:r>
        <w:t>,</w:t>
      </w:r>
      <w:r w:rsidRPr="008D6BC4">
        <w:t xml:space="preserve"> and provide input into the department</w:t>
      </w:r>
      <w:r w:rsidR="00711AE6">
        <w:t>’</w:t>
      </w:r>
      <w:r w:rsidRPr="008D6BC4">
        <w:t>s work, policies and processes to ensure they are inclusive of Aboriginal people.</w:t>
      </w:r>
    </w:p>
    <w:p w14:paraId="25E4154D" w14:textId="460C7388" w:rsidR="007D61FB" w:rsidRPr="00A131EB" w:rsidRDefault="007D61FB">
      <w:pPr>
        <w:pStyle w:val="ARbody"/>
        <w:rPr>
          <w:szCs w:val="20"/>
          <w:highlight w:val="cyan"/>
          <w:lang w:eastAsia="en-AU"/>
        </w:rPr>
      </w:pPr>
      <w:r>
        <w:rPr>
          <w:color w:val="000000"/>
          <w:szCs w:val="20"/>
          <w:shd w:val="clear" w:color="auto" w:fill="FFFFFF"/>
          <w:lang w:val="en-US"/>
        </w:rPr>
        <w:t xml:space="preserve">The department remains committed to </w:t>
      </w:r>
      <w:r w:rsidR="005B7C9B">
        <w:rPr>
          <w:color w:val="000000"/>
          <w:szCs w:val="20"/>
          <w:shd w:val="clear" w:color="auto" w:fill="FFFFFF"/>
          <w:lang w:val="en-US"/>
        </w:rPr>
        <w:br/>
      </w:r>
      <w:r>
        <w:rPr>
          <w:color w:val="000000"/>
          <w:szCs w:val="20"/>
          <w:shd w:val="clear" w:color="auto" w:fill="FFFFFF"/>
          <w:lang w:val="en-US"/>
        </w:rPr>
        <w:t>self-determination, and the Aboriginal Staff Network is an important channel for amplifying Aboriginal voices. The Aboriginal Staff Network is supported by an Executive Champion to bring to the attention of the Board issues impacting the members of the</w:t>
      </w:r>
      <w:r w:rsidR="00E570E2">
        <w:rPr>
          <w:color w:val="000000"/>
          <w:szCs w:val="20"/>
          <w:shd w:val="clear" w:color="auto" w:fill="FFFFFF"/>
          <w:lang w:val="en-US"/>
        </w:rPr>
        <w:t> </w:t>
      </w:r>
      <w:r>
        <w:rPr>
          <w:color w:val="000000"/>
          <w:szCs w:val="20"/>
          <w:shd w:val="clear" w:color="auto" w:fill="FFFFFF"/>
          <w:lang w:val="en-US"/>
        </w:rPr>
        <w:t>network.</w:t>
      </w:r>
    </w:p>
    <w:p w14:paraId="3A1202DD" w14:textId="2083F7DF" w:rsidR="007D61FB" w:rsidRPr="008D6BC4" w:rsidRDefault="007D61FB" w:rsidP="00E570E2">
      <w:pPr>
        <w:pStyle w:val="ARbody"/>
        <w:rPr>
          <w:lang w:eastAsia="en-AU"/>
        </w:rPr>
      </w:pPr>
      <w:r>
        <w:rPr>
          <w:shd w:val="clear" w:color="auto" w:fill="FFFFFF"/>
          <w:lang w:val="en-US"/>
        </w:rPr>
        <w:t xml:space="preserve">The Aboriginal Staff Network held its annual conference in May 2024, focused on lateral violence healing to </w:t>
      </w:r>
      <w:r w:rsidRPr="00E570E2">
        <w:t>support</w:t>
      </w:r>
      <w:r>
        <w:rPr>
          <w:shd w:val="clear" w:color="auto" w:fill="FFFFFF"/>
          <w:lang w:val="en-US"/>
        </w:rPr>
        <w:t xml:space="preserve"> Aboriginal staff in identifying and addressing lateral violence in the workplace. The conference was well attended with</w:t>
      </w:r>
      <w:r w:rsidR="00305D39">
        <w:rPr>
          <w:shd w:val="clear" w:color="auto" w:fill="FFFFFF"/>
          <w:lang w:val="en-US"/>
        </w:rPr>
        <w:t> </w:t>
      </w:r>
      <w:r>
        <w:rPr>
          <w:shd w:val="clear" w:color="auto" w:fill="FFFFFF"/>
          <w:lang w:val="en-US"/>
        </w:rPr>
        <w:t>78 Aboriginal employees from the department.</w:t>
      </w:r>
    </w:p>
    <w:p w14:paraId="6004B498" w14:textId="0F210679" w:rsidR="007D61FB" w:rsidRPr="001F2D32" w:rsidRDefault="007D61FB" w:rsidP="00333387">
      <w:pPr>
        <w:pStyle w:val="Heading3"/>
      </w:pPr>
      <w:r w:rsidRPr="001F2D32">
        <w:t>Diversity and inclusion</w:t>
      </w:r>
      <w:r w:rsidR="00E570E2">
        <w:t> </w:t>
      </w:r>
      <w:r w:rsidRPr="00E570E2">
        <w:t>framework</w:t>
      </w:r>
    </w:p>
    <w:p w14:paraId="2F912308" w14:textId="551EE108" w:rsidR="007D61FB" w:rsidRPr="008D6BC4" w:rsidRDefault="007D61FB" w:rsidP="00E570E2">
      <w:pPr>
        <w:pStyle w:val="ARbody"/>
        <w:rPr>
          <w:lang w:eastAsia="en-AU"/>
        </w:rPr>
      </w:pPr>
      <w:r w:rsidRPr="008D6BC4">
        <w:rPr>
          <w:lang w:eastAsia="en-AU"/>
        </w:rPr>
        <w:t>The department</w:t>
      </w:r>
      <w:r w:rsidR="00711AE6">
        <w:rPr>
          <w:lang w:eastAsia="en-AU"/>
        </w:rPr>
        <w:t>’</w:t>
      </w:r>
      <w:r>
        <w:rPr>
          <w:lang w:eastAsia="en-AU"/>
        </w:rPr>
        <w:t>s</w:t>
      </w:r>
      <w:r w:rsidRPr="008D6BC4">
        <w:rPr>
          <w:lang w:eastAsia="en-AU"/>
        </w:rPr>
        <w:t xml:space="preserve"> </w:t>
      </w:r>
      <w:r w:rsidRPr="00536EEA">
        <w:rPr>
          <w:rStyle w:val="Emphasis"/>
        </w:rPr>
        <w:t>Diversity and inclusion framework 2022–2027</w:t>
      </w:r>
      <w:r w:rsidRPr="008D6BC4">
        <w:rPr>
          <w:lang w:eastAsia="en-AU"/>
        </w:rPr>
        <w:t xml:space="preserve"> supports us to become a leading employer in diversity </w:t>
      </w:r>
      <w:r w:rsidRPr="00E570E2">
        <w:t>and</w:t>
      </w:r>
      <w:r w:rsidRPr="008D6BC4">
        <w:rPr>
          <w:lang w:eastAsia="en-AU"/>
        </w:rPr>
        <w:t xml:space="preserve"> inclusion. </w:t>
      </w:r>
      <w:r w:rsidR="00CA71B9">
        <w:rPr>
          <w:lang w:eastAsia="en-AU"/>
        </w:rPr>
        <w:t xml:space="preserve">The </w:t>
      </w:r>
      <w:r w:rsidRPr="008D6BC4">
        <w:rPr>
          <w:lang w:eastAsia="en-AU"/>
        </w:rPr>
        <w:t xml:space="preserve">framework commits </w:t>
      </w:r>
      <w:r w:rsidR="00686899">
        <w:rPr>
          <w:lang w:eastAsia="en-AU"/>
        </w:rPr>
        <w:t>the department</w:t>
      </w:r>
      <w:r w:rsidRPr="008D6BC4">
        <w:rPr>
          <w:lang w:eastAsia="en-AU"/>
        </w:rPr>
        <w:t xml:space="preserve"> to:</w:t>
      </w:r>
    </w:p>
    <w:p w14:paraId="6DF9AE63" w14:textId="1CABD86F" w:rsidR="007D61FB" w:rsidRPr="009B0ACE" w:rsidRDefault="007D61FB">
      <w:pPr>
        <w:pStyle w:val="ARbullet1"/>
      </w:pPr>
      <w:r w:rsidRPr="009B0ACE">
        <w:t>employing a workforce that reflects Victoria</w:t>
      </w:r>
      <w:r w:rsidR="00711AE6">
        <w:t>’</w:t>
      </w:r>
      <w:r w:rsidRPr="009B0ACE">
        <w:t>s communities to better meet community needs</w:t>
      </w:r>
    </w:p>
    <w:p w14:paraId="1EA40CEB" w14:textId="77777777" w:rsidR="007D61FB" w:rsidRPr="008D6BC4" w:rsidRDefault="007D61FB" w:rsidP="006F0BD4">
      <w:pPr>
        <w:pStyle w:val="ARbullet1"/>
        <w:rPr>
          <w:lang w:eastAsia="en-AU"/>
        </w:rPr>
      </w:pPr>
      <w:r w:rsidRPr="009B0ACE">
        <w:t xml:space="preserve">building </w:t>
      </w:r>
      <w:r w:rsidRPr="006F0BD4">
        <w:t>workplaces</w:t>
      </w:r>
      <w:r w:rsidRPr="009B0ACE">
        <w:t xml:space="preserve"> that are culturally safe and inclusive</w:t>
      </w:r>
      <w:r w:rsidRPr="008D6BC4">
        <w:rPr>
          <w:lang w:eastAsia="en-AU"/>
        </w:rPr>
        <w:t xml:space="preserve"> for diverse staff.</w:t>
      </w:r>
    </w:p>
    <w:p w14:paraId="340CFC65" w14:textId="683AF619" w:rsidR="00CA71B9" w:rsidRDefault="007D61FB" w:rsidP="00E570E2">
      <w:pPr>
        <w:pStyle w:val="ARbodyafterbullets"/>
      </w:pPr>
      <w:r w:rsidRPr="008D6BC4">
        <w:t>The framework takes an intersectional approach</w:t>
      </w:r>
      <w:r w:rsidR="00CA71B9">
        <w:t>.</w:t>
      </w:r>
      <w:r w:rsidRPr="008D6BC4">
        <w:t xml:space="preserve"> </w:t>
      </w:r>
      <w:r w:rsidR="00CA71B9">
        <w:t>It</w:t>
      </w:r>
      <w:r w:rsidR="00C07E65">
        <w:t> </w:t>
      </w:r>
      <w:r w:rsidRPr="008D6BC4">
        <w:t>incorporat</w:t>
      </w:r>
      <w:r w:rsidR="00FB78D4">
        <w:t>es</w:t>
      </w:r>
      <w:r w:rsidRPr="008D6BC4">
        <w:t xml:space="preserve"> strategies to remove workplace barriers for staff affected by systemic, attitudinal, and behavioural barriers and discrimination. </w:t>
      </w:r>
    </w:p>
    <w:p w14:paraId="16905E14" w14:textId="5BFDD624" w:rsidR="007D61FB" w:rsidRPr="008D6BC4" w:rsidRDefault="007D61FB" w:rsidP="00E570E2">
      <w:pPr>
        <w:pStyle w:val="ARbodyafterbullets"/>
      </w:pPr>
      <w:r w:rsidRPr="008D6BC4">
        <w:t>This includes:</w:t>
      </w:r>
    </w:p>
    <w:p w14:paraId="3B75DC6A" w14:textId="77777777" w:rsidR="007D61FB" w:rsidRPr="009B0ACE" w:rsidRDefault="007D61FB">
      <w:pPr>
        <w:pStyle w:val="ARbullet1"/>
      </w:pPr>
      <w:r w:rsidRPr="008D6BC4">
        <w:t xml:space="preserve">people </w:t>
      </w:r>
      <w:r w:rsidRPr="009B0ACE">
        <w:t>with disability</w:t>
      </w:r>
    </w:p>
    <w:p w14:paraId="33959C5C" w14:textId="181753AB" w:rsidR="007D61FB" w:rsidRPr="00E570E2" w:rsidRDefault="007D61FB" w:rsidP="00E570E2">
      <w:pPr>
        <w:pStyle w:val="ARbullet1"/>
      </w:pPr>
      <w:r w:rsidRPr="00E570E2">
        <w:t>people from multicultural and multifaith</w:t>
      </w:r>
      <w:r w:rsidR="007E3A48">
        <w:t> </w:t>
      </w:r>
      <w:r w:rsidRPr="00E570E2">
        <w:t>backgrounds</w:t>
      </w:r>
    </w:p>
    <w:p w14:paraId="0D9C44B3" w14:textId="77777777" w:rsidR="007D61FB" w:rsidRPr="00E570E2" w:rsidRDefault="007D61FB" w:rsidP="00E570E2">
      <w:pPr>
        <w:pStyle w:val="ARbullet1"/>
      </w:pPr>
      <w:r w:rsidRPr="00E570E2">
        <w:t>people who are LGBTIQA+</w:t>
      </w:r>
    </w:p>
    <w:p w14:paraId="3F04413F" w14:textId="77777777" w:rsidR="007D61FB" w:rsidRPr="008D6BC4" w:rsidRDefault="007D61FB" w:rsidP="00E570E2">
      <w:pPr>
        <w:pStyle w:val="ARbullet1"/>
      </w:pPr>
      <w:r w:rsidRPr="00E570E2">
        <w:t>people</w:t>
      </w:r>
      <w:r w:rsidRPr="009B0ACE">
        <w:t xml:space="preserve"> with</w:t>
      </w:r>
      <w:r w:rsidRPr="008D6BC4">
        <w:t xml:space="preserve"> caring responsibilities.</w:t>
      </w:r>
    </w:p>
    <w:p w14:paraId="2147ECE6" w14:textId="77777777" w:rsidR="007D61FB" w:rsidRPr="00E570E2" w:rsidRDefault="007D61FB" w:rsidP="00E570E2">
      <w:pPr>
        <w:pStyle w:val="ARbodyafterbullets"/>
      </w:pPr>
      <w:r w:rsidRPr="008D6BC4">
        <w:t>The framework will:</w:t>
      </w:r>
    </w:p>
    <w:p w14:paraId="5F57F351" w14:textId="079ADCB7" w:rsidR="007D61FB" w:rsidRPr="00E570E2" w:rsidRDefault="007D61FB" w:rsidP="00E570E2">
      <w:pPr>
        <w:pStyle w:val="ARbullet1"/>
      </w:pPr>
      <w:r w:rsidRPr="009B0ACE">
        <w:t xml:space="preserve">ensure our leadership profile, governance </w:t>
      </w:r>
      <w:r w:rsidRPr="00E570E2">
        <w:t>structures and workforce reflect the community</w:t>
      </w:r>
      <w:r w:rsidR="00711AE6">
        <w:t>’</w:t>
      </w:r>
      <w:r w:rsidRPr="00E570E2">
        <w:t>s diversity and all employees are accountable for creating inclusive workplaces</w:t>
      </w:r>
    </w:p>
    <w:p w14:paraId="4C1E5A5E" w14:textId="77777777" w:rsidR="007D61FB" w:rsidRPr="00E570E2" w:rsidRDefault="007D61FB" w:rsidP="00E570E2">
      <w:pPr>
        <w:pStyle w:val="ARbullet1"/>
      </w:pPr>
      <w:r w:rsidRPr="00E570E2">
        <w:t>empower the voices of our diverse workforce, value diversity of thought and create a workplace where all employees are supported to develop and progress their careers</w:t>
      </w:r>
    </w:p>
    <w:p w14:paraId="437DB039" w14:textId="5B120968" w:rsidR="007D61FB" w:rsidRPr="00E570E2" w:rsidRDefault="007D61FB" w:rsidP="00E570E2">
      <w:pPr>
        <w:pStyle w:val="ARbullet1"/>
      </w:pPr>
      <w:r w:rsidRPr="00E570E2">
        <w:t>improve business outcomes by putting diverse people</w:t>
      </w:r>
      <w:r w:rsidR="00711AE6">
        <w:t>’</w:t>
      </w:r>
      <w:r w:rsidRPr="00E570E2">
        <w:t>s lived experience at the core of policy, programs and services</w:t>
      </w:r>
    </w:p>
    <w:p w14:paraId="47DE6003" w14:textId="77777777" w:rsidR="007D61FB" w:rsidRPr="00E570E2" w:rsidRDefault="007D61FB" w:rsidP="00E570E2">
      <w:pPr>
        <w:pStyle w:val="ARbullet1"/>
      </w:pPr>
      <w:r w:rsidRPr="00E570E2">
        <w:t>embed culturally safe actions, systems and practices as the norm</w:t>
      </w:r>
    </w:p>
    <w:p w14:paraId="39161CBF" w14:textId="77777777" w:rsidR="007D61FB" w:rsidRPr="009B0ACE" w:rsidRDefault="007D61FB" w:rsidP="00E570E2">
      <w:pPr>
        <w:pStyle w:val="ARbullet1"/>
      </w:pPr>
      <w:r w:rsidRPr="00E570E2">
        <w:t>create work environments that are accessible and safe, with prevention, early intervention and suitable response to all forms of discrimination and inappropriate</w:t>
      </w:r>
      <w:r w:rsidRPr="009B0ACE">
        <w:t xml:space="preserve"> behaviours</w:t>
      </w:r>
    </w:p>
    <w:p w14:paraId="20599412" w14:textId="77777777" w:rsidR="007D61FB" w:rsidRDefault="007D61FB">
      <w:pPr>
        <w:pStyle w:val="ARbullet1"/>
      </w:pPr>
      <w:r w:rsidRPr="009B0ACE">
        <w:t>foster transparency</w:t>
      </w:r>
      <w:r w:rsidRPr="008D6BC4">
        <w:t>, accountability and measurable targets to achieve outcomes.</w:t>
      </w:r>
    </w:p>
    <w:p w14:paraId="2792315C" w14:textId="2288FA24" w:rsidR="007D61FB" w:rsidRPr="008D6BC4" w:rsidRDefault="004C23DF" w:rsidP="004C23DF">
      <w:pPr>
        <w:pStyle w:val="ARbodyafterbullets"/>
      </w:pPr>
      <w:r>
        <w:br w:type="column"/>
      </w:r>
      <w:r w:rsidR="007D61FB" w:rsidRPr="008D6BC4">
        <w:t>Since the launch of the framework, progressed implementation actions include:</w:t>
      </w:r>
    </w:p>
    <w:p w14:paraId="2E7C6074" w14:textId="29314CAE" w:rsidR="007D61FB" w:rsidRPr="00E570E2" w:rsidRDefault="007D61FB" w:rsidP="00E570E2">
      <w:pPr>
        <w:pStyle w:val="ARbullet1"/>
      </w:pPr>
      <w:r w:rsidRPr="009B0ACE">
        <w:t>establishing the diverse staff community of</w:t>
      </w:r>
      <w:r w:rsidR="00E36031">
        <w:t> </w:t>
      </w:r>
      <w:r w:rsidRPr="009B0ACE">
        <w:t xml:space="preserve">practice to </w:t>
      </w:r>
      <w:r w:rsidRPr="00E570E2">
        <w:t>provide a safe space for diverse</w:t>
      </w:r>
      <w:r w:rsidR="004B64F8" w:rsidRPr="00E570E2">
        <w:t> </w:t>
      </w:r>
      <w:r w:rsidRPr="00E570E2">
        <w:t>employees</w:t>
      </w:r>
    </w:p>
    <w:p w14:paraId="748D074C" w14:textId="77777777" w:rsidR="007D61FB" w:rsidRPr="009B0ACE" w:rsidRDefault="007D61FB" w:rsidP="00E570E2">
      <w:pPr>
        <w:pStyle w:val="ARbullet1"/>
      </w:pPr>
      <w:r w:rsidRPr="00E570E2">
        <w:t>delivering the annual</w:t>
      </w:r>
      <w:r w:rsidRPr="009B0ACE">
        <w:t xml:space="preserve"> diversity workforce survey</w:t>
      </w:r>
    </w:p>
    <w:p w14:paraId="615DE18C" w14:textId="45832CA4" w:rsidR="007D61FB" w:rsidRPr="00E570E2" w:rsidRDefault="007D61FB" w:rsidP="00E570E2">
      <w:pPr>
        <w:pStyle w:val="ARbullet1"/>
      </w:pPr>
      <w:r w:rsidRPr="00E570E2">
        <w:t>establishing accessible communications</w:t>
      </w:r>
      <w:r w:rsidR="004B64F8" w:rsidRPr="00E570E2">
        <w:t> </w:t>
      </w:r>
      <w:r w:rsidRPr="00E570E2">
        <w:t>guidelines</w:t>
      </w:r>
    </w:p>
    <w:p w14:paraId="69A2AA46" w14:textId="77777777" w:rsidR="007D61FB" w:rsidRPr="00E570E2" w:rsidRDefault="007D61FB" w:rsidP="00E570E2">
      <w:pPr>
        <w:pStyle w:val="ARbullet1"/>
      </w:pPr>
      <w:r w:rsidRPr="00E570E2">
        <w:t>building inclusive leadership development into our leadership training</w:t>
      </w:r>
    </w:p>
    <w:p w14:paraId="206B2748" w14:textId="479905CF" w:rsidR="007D61FB" w:rsidRPr="00E570E2" w:rsidRDefault="007D61FB" w:rsidP="00E570E2">
      <w:pPr>
        <w:pStyle w:val="ARbullet1"/>
      </w:pPr>
      <w:r w:rsidRPr="00E570E2">
        <w:t>investing in anti-racism training for people</w:t>
      </w:r>
      <w:r w:rsidR="004B64F8" w:rsidRPr="00E570E2">
        <w:t> </w:t>
      </w:r>
      <w:r w:rsidRPr="00E570E2">
        <w:t>leaders</w:t>
      </w:r>
    </w:p>
    <w:p w14:paraId="49CEC58E" w14:textId="77777777" w:rsidR="007D61FB" w:rsidRPr="00E570E2" w:rsidRDefault="007D61FB" w:rsidP="00E570E2">
      <w:pPr>
        <w:pStyle w:val="ARbullet1"/>
      </w:pPr>
      <w:r w:rsidRPr="00E570E2">
        <w:t>commencing rollout of our multifaith prayer space guidelines</w:t>
      </w:r>
    </w:p>
    <w:p w14:paraId="1C7DAE9B" w14:textId="77777777" w:rsidR="007D61FB" w:rsidRPr="00E570E2" w:rsidRDefault="007D61FB" w:rsidP="00E570E2">
      <w:pPr>
        <w:pStyle w:val="ARbullet1"/>
      </w:pPr>
      <w:r w:rsidRPr="00E570E2">
        <w:t>delivering disability confidence and autism support training</w:t>
      </w:r>
    </w:p>
    <w:p w14:paraId="1CA037DE" w14:textId="77777777" w:rsidR="007D61FB" w:rsidRPr="008D6BC4" w:rsidRDefault="007D61FB" w:rsidP="00E570E2">
      <w:pPr>
        <w:pStyle w:val="ARbullet1"/>
      </w:pPr>
      <w:r w:rsidRPr="00E570E2">
        <w:t>launching</w:t>
      </w:r>
      <w:r w:rsidRPr="008D6BC4">
        <w:t xml:space="preserve"> special measures guidelines.</w:t>
      </w:r>
    </w:p>
    <w:p w14:paraId="498C0508" w14:textId="77777777" w:rsidR="007D61FB" w:rsidRPr="00645AD0" w:rsidRDefault="007D61FB" w:rsidP="00E570E2">
      <w:pPr>
        <w:pStyle w:val="Heading4"/>
      </w:pPr>
      <w:r w:rsidRPr="004B64F8">
        <w:t>People</w:t>
      </w:r>
      <w:r w:rsidRPr="00E26E97">
        <w:t xml:space="preserve"> </w:t>
      </w:r>
      <w:r w:rsidRPr="00E570E2">
        <w:t>with</w:t>
      </w:r>
      <w:r w:rsidRPr="00E26E97">
        <w:t xml:space="preserve"> disability</w:t>
      </w:r>
    </w:p>
    <w:p w14:paraId="1BA9E564" w14:textId="77777777" w:rsidR="007D61FB" w:rsidRPr="008D6BC4" w:rsidRDefault="007D61FB" w:rsidP="004B64F8">
      <w:pPr>
        <w:pStyle w:val="ARbody"/>
      </w:pPr>
      <w:r w:rsidRPr="008D6BC4">
        <w:t xml:space="preserve">The </w:t>
      </w:r>
      <w:r w:rsidRPr="004B64F8">
        <w:t>department</w:t>
      </w:r>
      <w:r w:rsidRPr="008D6BC4">
        <w:t xml:space="preserve"> continued to deliver actions under </w:t>
      </w:r>
      <w:r w:rsidRPr="00536EEA">
        <w:rPr>
          <w:rStyle w:val="Emphasis"/>
        </w:rPr>
        <w:t>Getting to work: Victorian public sector disability employment action plan 2018–2025</w:t>
      </w:r>
      <w:r w:rsidRPr="008D6BC4">
        <w:t>.</w:t>
      </w:r>
    </w:p>
    <w:p w14:paraId="5FD1ECDE" w14:textId="5DFFCC12" w:rsidR="007D61FB" w:rsidRPr="008D6BC4" w:rsidRDefault="007D61FB" w:rsidP="00E570E2">
      <w:pPr>
        <w:pStyle w:val="ARbody"/>
      </w:pPr>
      <w:r w:rsidRPr="008D6BC4">
        <w:t xml:space="preserve">The action plan </w:t>
      </w:r>
      <w:r w:rsidRPr="00E570E2">
        <w:t>supports</w:t>
      </w:r>
      <w:r w:rsidRPr="008D6BC4">
        <w:t xml:space="preserve"> increased opportunities for people with disability to work in the department, with targets of 6</w:t>
      </w:r>
      <w:r w:rsidR="008F63C4">
        <w:t xml:space="preserve">% </w:t>
      </w:r>
      <w:r w:rsidRPr="008D6BC4">
        <w:t>employment by 2020 and 12</w:t>
      </w:r>
      <w:r w:rsidR="00F95AC7">
        <w:t>%</w:t>
      </w:r>
      <w:r w:rsidRPr="008D6BC4">
        <w:t xml:space="preserve"> employment by 2025. In 2023, the People Matter Survey data show</w:t>
      </w:r>
      <w:r>
        <w:t>ed</w:t>
      </w:r>
      <w:r w:rsidRPr="008D6BC4">
        <w:t xml:space="preserve"> </w:t>
      </w:r>
      <w:r>
        <w:t xml:space="preserve">that </w:t>
      </w:r>
      <w:r w:rsidRPr="008D6BC4">
        <w:t>of the people who completed the survey, 8.7</w:t>
      </w:r>
      <w:r w:rsidR="008F63C4">
        <w:t xml:space="preserve">% </w:t>
      </w:r>
      <w:r w:rsidRPr="008D6BC4">
        <w:t>of</w:t>
      </w:r>
      <w:r w:rsidR="004C23DF">
        <w:t> </w:t>
      </w:r>
      <w:r w:rsidRPr="008D6BC4">
        <w:t>respondents shared they had a disability. Our department</w:t>
      </w:r>
      <w:r w:rsidR="00711AE6">
        <w:t>’</w:t>
      </w:r>
      <w:r w:rsidRPr="008D6BC4">
        <w:t>s 2024 diversity workforce survey was developed with employees with lived experience and show</w:t>
      </w:r>
      <w:r>
        <w:t>ed that</w:t>
      </w:r>
      <w:r w:rsidR="00C07E65">
        <w:t> </w:t>
      </w:r>
      <w:r>
        <w:t>2</w:t>
      </w:r>
      <w:r w:rsidR="008F63C4">
        <w:t xml:space="preserve">% </w:t>
      </w:r>
      <w:r w:rsidRPr="008D6BC4">
        <w:t xml:space="preserve">of the </w:t>
      </w:r>
      <w:r>
        <w:t>survey respondents</w:t>
      </w:r>
      <w:r w:rsidDel="000956C4">
        <w:t xml:space="preserve"> </w:t>
      </w:r>
      <w:r w:rsidRPr="008D6BC4">
        <w:t>share</w:t>
      </w:r>
      <w:r>
        <w:t>d</w:t>
      </w:r>
      <w:r w:rsidRPr="008D6BC4">
        <w:t xml:space="preserve"> they are</w:t>
      </w:r>
      <w:r w:rsidR="00C07E65">
        <w:t> </w:t>
      </w:r>
      <w:r w:rsidRPr="008D6BC4">
        <w:t>a</w:t>
      </w:r>
      <w:r w:rsidR="00C07E65">
        <w:t> </w:t>
      </w:r>
      <w:r w:rsidRPr="008D6BC4">
        <w:t>person with disability.</w:t>
      </w:r>
    </w:p>
    <w:p w14:paraId="1378DBB0" w14:textId="77777777" w:rsidR="007D61FB" w:rsidRPr="008D6BC4" w:rsidRDefault="007D61FB" w:rsidP="00E570E2">
      <w:pPr>
        <w:pStyle w:val="ARbody"/>
      </w:pPr>
      <w:r w:rsidRPr="008D6BC4">
        <w:t>The department launched</w:t>
      </w:r>
      <w:r>
        <w:t xml:space="preserve"> a</w:t>
      </w:r>
      <w:r w:rsidRPr="008D6BC4">
        <w:t xml:space="preserve"> dedicated workplace adjustment policy and resources to support the inclusion and participation of employee</w:t>
      </w:r>
      <w:r>
        <w:t>s</w:t>
      </w:r>
      <w:r w:rsidRPr="008D6BC4">
        <w:t xml:space="preserve"> with disability and build organisational capability. </w:t>
      </w:r>
    </w:p>
    <w:p w14:paraId="1E90BD04" w14:textId="15B07D22" w:rsidR="007D61FB" w:rsidRPr="008D6BC4" w:rsidRDefault="007D61FB" w:rsidP="00E570E2">
      <w:pPr>
        <w:pStyle w:val="ARbody"/>
      </w:pPr>
      <w:r w:rsidRPr="008D6BC4">
        <w:t>The department continued the Stepping into Internship program for people with disability. This </w:t>
      </w:r>
      <w:r w:rsidRPr="004B64F8">
        <w:t>program</w:t>
      </w:r>
      <w:r w:rsidRPr="008D6BC4">
        <w:t xml:space="preserve"> provides university students with valuable work experience, confidence and a chance to bridge the gap between university and graduate</w:t>
      </w:r>
      <w:r w:rsidR="004B64F8">
        <w:t> </w:t>
      </w:r>
      <w:r w:rsidRPr="008D6BC4">
        <w:t>opportunities.</w:t>
      </w:r>
    </w:p>
    <w:p w14:paraId="31B00045" w14:textId="74A4A603" w:rsidR="004C23DF" w:rsidRDefault="007D61FB" w:rsidP="00E570E2">
      <w:pPr>
        <w:pStyle w:val="ARbody"/>
      </w:pPr>
      <w:r w:rsidRPr="008D6BC4">
        <w:t>The department also worked with the Australian Disability Network for roundtable opportunities and</w:t>
      </w:r>
      <w:r w:rsidR="00C07E65">
        <w:t> </w:t>
      </w:r>
      <w:r w:rsidRPr="008D6BC4">
        <w:t>to provide confidence training for employees with</w:t>
      </w:r>
      <w:r w:rsidR="004B64F8">
        <w:t> </w:t>
      </w:r>
      <w:r w:rsidRPr="008D6BC4">
        <w:t>disability.</w:t>
      </w:r>
      <w:r w:rsidR="004C23DF">
        <w:br w:type="page"/>
      </w:r>
    </w:p>
    <w:p w14:paraId="48072B49" w14:textId="50377BD1" w:rsidR="007D61FB" w:rsidRPr="008D6BC4" w:rsidRDefault="007D61FB" w:rsidP="004B64F8">
      <w:pPr>
        <w:pStyle w:val="ARbody"/>
      </w:pPr>
      <w:r w:rsidRPr="008D6BC4">
        <w:t>The Enablers Network for people with disability continued supporting employees with disability to</w:t>
      </w:r>
      <w:r w:rsidR="00C07E65">
        <w:t> </w:t>
      </w:r>
      <w:r w:rsidRPr="008D6BC4">
        <w:t>ensure a voice and fair and equitable outcomes. An</w:t>
      </w:r>
      <w:r w:rsidR="007E3A48">
        <w:t> </w:t>
      </w:r>
      <w:r>
        <w:t>E</w:t>
      </w:r>
      <w:r w:rsidRPr="008D6BC4">
        <w:t xml:space="preserve">xecutive </w:t>
      </w:r>
      <w:r>
        <w:t>C</w:t>
      </w:r>
      <w:r w:rsidRPr="008D6BC4">
        <w:t>hampion support</w:t>
      </w:r>
      <w:r>
        <w:t>s</w:t>
      </w:r>
      <w:r w:rsidRPr="008D6BC4">
        <w:t xml:space="preserve"> the network and drive</w:t>
      </w:r>
      <w:r>
        <w:t>s</w:t>
      </w:r>
      <w:r w:rsidRPr="008D6BC4">
        <w:t xml:space="preserve"> organisational inclusion. </w:t>
      </w:r>
    </w:p>
    <w:p w14:paraId="56146FA7" w14:textId="77777777" w:rsidR="007D61FB" w:rsidRPr="00645AD0" w:rsidRDefault="007D61FB" w:rsidP="00E570E2">
      <w:pPr>
        <w:pStyle w:val="Heading4"/>
      </w:pPr>
      <w:r w:rsidRPr="00E26E97">
        <w:t>People from multicultural and </w:t>
      </w:r>
      <w:r w:rsidRPr="00E570E2">
        <w:t>multifaith</w:t>
      </w:r>
      <w:r w:rsidRPr="00E26E97">
        <w:t> backgrounds</w:t>
      </w:r>
    </w:p>
    <w:p w14:paraId="690C353A" w14:textId="77777777" w:rsidR="007D61FB" w:rsidRPr="008D6BC4" w:rsidRDefault="007D61FB" w:rsidP="00E570E2">
      <w:pPr>
        <w:pStyle w:val="ARbody"/>
      </w:pPr>
      <w:r w:rsidRPr="008D6BC4">
        <w:t xml:space="preserve">The department continued the CareerSeekers program for people seeking asylum and with refugee </w:t>
      </w:r>
      <w:r w:rsidRPr="00E570E2">
        <w:t>backgrounds</w:t>
      </w:r>
      <w:r w:rsidRPr="008D6BC4">
        <w:t xml:space="preserve"> to allow them to gain valuable work experience from a paid 12-week internship and progress to employment.</w:t>
      </w:r>
    </w:p>
    <w:p w14:paraId="1462F0ED" w14:textId="77777777" w:rsidR="007D61FB" w:rsidRPr="008D6BC4" w:rsidRDefault="007D61FB" w:rsidP="00E570E2">
      <w:pPr>
        <w:pStyle w:val="ARbody"/>
      </w:pPr>
      <w:r w:rsidRPr="008D6BC4">
        <w:t>The department is in a process of establishing a department</w:t>
      </w:r>
      <w:r>
        <w:t>al</w:t>
      </w:r>
      <w:r w:rsidRPr="008D6BC4">
        <w:t xml:space="preserve"> Women of Colour Network</w:t>
      </w:r>
      <w:r>
        <w:t>,</w:t>
      </w:r>
      <w:r w:rsidRPr="008D6BC4">
        <w:t xml:space="preserve"> including through </w:t>
      </w:r>
      <w:r>
        <w:t>working</w:t>
      </w:r>
      <w:r w:rsidRPr="008D6BC4">
        <w:t xml:space="preserve"> with the diversity and inclusion community of </w:t>
      </w:r>
      <w:r w:rsidRPr="00E570E2">
        <w:t>practice</w:t>
      </w:r>
      <w:r w:rsidRPr="008D6BC4">
        <w:t xml:space="preserve"> and the gender equality community of practice. Key members of employee-led networks are employed at the department and </w:t>
      </w:r>
      <w:r>
        <w:t xml:space="preserve">are </w:t>
      </w:r>
      <w:r w:rsidRPr="008D6BC4">
        <w:t>supported by</w:t>
      </w:r>
      <w:r>
        <w:t xml:space="preserve"> a</w:t>
      </w:r>
      <w:r w:rsidRPr="008D6BC4">
        <w:t xml:space="preserve"> senior </w:t>
      </w:r>
      <w:r>
        <w:t>E</w:t>
      </w:r>
      <w:r w:rsidRPr="008D6BC4">
        <w:t xml:space="preserve">xecutive </w:t>
      </w:r>
      <w:r>
        <w:t>C</w:t>
      </w:r>
      <w:r w:rsidRPr="008D6BC4">
        <w:t>hampion to drive organisation</w:t>
      </w:r>
      <w:r>
        <w:t>al</w:t>
      </w:r>
      <w:r w:rsidRPr="008D6BC4">
        <w:t xml:space="preserve"> inclusion.</w:t>
      </w:r>
    </w:p>
    <w:p w14:paraId="32C17B6E" w14:textId="77777777" w:rsidR="007D61FB" w:rsidRPr="00645AD0" w:rsidRDefault="007D61FB" w:rsidP="0088621E">
      <w:pPr>
        <w:pStyle w:val="Heading4"/>
        <w:spacing w:before="160"/>
      </w:pPr>
      <w:r w:rsidRPr="00E26E97">
        <w:rPr>
          <w:color w:val="53565A"/>
        </w:rPr>
        <w:t>LGBTIQA+ people</w:t>
      </w:r>
    </w:p>
    <w:p w14:paraId="43A901CE" w14:textId="6C409965" w:rsidR="007D61FB" w:rsidRPr="008D6BC4" w:rsidRDefault="007D61FB" w:rsidP="006F0BD4">
      <w:pPr>
        <w:pStyle w:val="ARbody"/>
      </w:pPr>
      <w:r w:rsidRPr="008D6BC4">
        <w:t>The department continued initiatives and actions </w:t>
      </w:r>
      <w:r w:rsidRPr="00E570E2">
        <w:t>under</w:t>
      </w:r>
      <w:r w:rsidRPr="008D6BC4">
        <w:t xml:space="preserve"> </w:t>
      </w:r>
      <w:r w:rsidR="00F95AC7">
        <w:t>6</w:t>
      </w:r>
      <w:r w:rsidRPr="008D6BC4">
        <w:t xml:space="preserve"> key result areas measured in the Australian Workplace Equality Index:</w:t>
      </w:r>
    </w:p>
    <w:p w14:paraId="45B70351" w14:textId="77777777" w:rsidR="007D61FB" w:rsidRPr="00410DE3" w:rsidRDefault="007D61FB">
      <w:pPr>
        <w:pStyle w:val="ARbullet1"/>
      </w:pPr>
      <w:r w:rsidRPr="00410DE3">
        <w:t>inclusive policy and practice</w:t>
      </w:r>
    </w:p>
    <w:p w14:paraId="19071F35" w14:textId="77777777" w:rsidR="007D61FB" w:rsidRPr="00410DE3" w:rsidRDefault="007D61FB">
      <w:pPr>
        <w:pStyle w:val="ARbullet1"/>
      </w:pPr>
      <w:r w:rsidRPr="00410DE3">
        <w:t>strategy and accountability</w:t>
      </w:r>
    </w:p>
    <w:p w14:paraId="4144F37E" w14:textId="77777777" w:rsidR="007D61FB" w:rsidRPr="00410DE3" w:rsidRDefault="007D61FB">
      <w:pPr>
        <w:pStyle w:val="ARbullet1"/>
      </w:pPr>
      <w:r w:rsidRPr="00410DE3">
        <w:t>LGBTIQA+ training and education</w:t>
      </w:r>
    </w:p>
    <w:p w14:paraId="0D3E0E4E" w14:textId="77777777" w:rsidR="007D61FB" w:rsidRPr="00410DE3" w:rsidRDefault="007D61FB">
      <w:pPr>
        <w:pStyle w:val="ARbullet1"/>
      </w:pPr>
      <w:r w:rsidRPr="00410DE3">
        <w:t>LGBTIQA+ employee network</w:t>
      </w:r>
    </w:p>
    <w:p w14:paraId="20B77E89" w14:textId="77777777" w:rsidR="007D61FB" w:rsidRPr="00410DE3" w:rsidRDefault="007D61FB">
      <w:pPr>
        <w:pStyle w:val="ARbullet1"/>
      </w:pPr>
      <w:r w:rsidRPr="00410DE3">
        <w:t>visibility and inclusion</w:t>
      </w:r>
    </w:p>
    <w:p w14:paraId="3A7E0A16" w14:textId="77777777" w:rsidR="007D61FB" w:rsidRPr="008D6BC4" w:rsidRDefault="007D61FB">
      <w:pPr>
        <w:pStyle w:val="ARbullet1"/>
      </w:pPr>
      <w:r w:rsidRPr="00410DE3">
        <w:t>community</w:t>
      </w:r>
      <w:r w:rsidRPr="008D6BC4">
        <w:t xml:space="preserve"> engagement.</w:t>
      </w:r>
    </w:p>
    <w:p w14:paraId="1055D04D" w14:textId="77777777" w:rsidR="007D61FB" w:rsidRDefault="007D61FB" w:rsidP="00E570E2">
      <w:pPr>
        <w:pStyle w:val="ARbodyafterbullets"/>
      </w:pPr>
      <w:r w:rsidRPr="008D6BC4">
        <w:t xml:space="preserve">The department implemented supportive processes for trans and gender-diverse employees to affirm their gender identity in the workplace and to ensure their safety and inclusion. The department continued to work with Pride in Diversity to provide employees with training and awareness. We are also in </w:t>
      </w:r>
      <w:r>
        <w:t xml:space="preserve">the </w:t>
      </w:r>
      <w:r w:rsidRPr="008D6BC4">
        <w:t xml:space="preserve">process of submitting </w:t>
      </w:r>
      <w:r>
        <w:t>for</w:t>
      </w:r>
      <w:r w:rsidRPr="008D6BC4">
        <w:t xml:space="preserve"> bronze status </w:t>
      </w:r>
      <w:r>
        <w:t>in</w:t>
      </w:r>
      <w:r w:rsidRPr="008D6BC4">
        <w:t xml:space="preserve"> </w:t>
      </w:r>
      <w:r>
        <w:t>the Australian Workplace Equality Index (AWEI).</w:t>
      </w:r>
    </w:p>
    <w:p w14:paraId="4724D970" w14:textId="1DAB387E" w:rsidR="007D61FB" w:rsidRPr="008D6BC4" w:rsidRDefault="007D61FB" w:rsidP="000C562C">
      <w:pPr>
        <w:pStyle w:val="ARbodyafterbullets"/>
      </w:pPr>
      <w:r w:rsidRPr="008D6BC4">
        <w:t>The department</w:t>
      </w:r>
      <w:r w:rsidR="00711AE6">
        <w:t>’</w:t>
      </w:r>
      <w:r w:rsidRPr="008D6BC4">
        <w:t>s Pride Network provides a forum for all staff interested in, and supportive of, creating safe and inclusive workplaces for LGBTIQA+ employees. An Executive Champion is appointed to</w:t>
      </w:r>
      <w:r w:rsidR="00AF21B1">
        <w:t> </w:t>
      </w:r>
      <w:r w:rsidRPr="008D6BC4">
        <w:t>the network to drive organisational inclusion. Part</w:t>
      </w:r>
      <w:r w:rsidR="00AF21B1">
        <w:t> </w:t>
      </w:r>
      <w:r w:rsidRPr="008D6BC4">
        <w:t>of a broader whole-of-Victorian Government Pride Network, it offers a space for staff to promote positive LGBTIQA+ cultural awareness and sector-wide events, participate in professional development opportunities, and contribute to the</w:t>
      </w:r>
      <w:r w:rsidR="00AF21B1">
        <w:t> </w:t>
      </w:r>
      <w:r w:rsidRPr="008D6BC4">
        <w:t>department</w:t>
      </w:r>
      <w:r w:rsidR="00711AE6">
        <w:t>’</w:t>
      </w:r>
      <w:r w:rsidRPr="008D6BC4">
        <w:t>s LGBTIQA+ diversity work.</w:t>
      </w:r>
    </w:p>
    <w:p w14:paraId="6BB671C1" w14:textId="77777777" w:rsidR="007D61FB" w:rsidRPr="00645AD0" w:rsidRDefault="007D61FB" w:rsidP="0088621E">
      <w:pPr>
        <w:pStyle w:val="Heading4"/>
        <w:spacing w:before="160"/>
      </w:pPr>
      <w:r w:rsidRPr="00E26E97">
        <w:rPr>
          <w:color w:val="53565A"/>
        </w:rPr>
        <w:t>People with caring responsibilities</w:t>
      </w:r>
    </w:p>
    <w:p w14:paraId="5136F1AC" w14:textId="412409C9" w:rsidR="007D61FB" w:rsidRPr="008D6BC4" w:rsidRDefault="007D61FB">
      <w:pPr>
        <w:pStyle w:val="ARbody"/>
        <w:rPr>
          <w:rFonts w:cs="Times New Roman"/>
          <w:szCs w:val="20"/>
        </w:rPr>
      </w:pPr>
      <w:r w:rsidRPr="008D6BC4">
        <w:rPr>
          <w:rFonts w:cs="Times New Roman"/>
          <w:szCs w:val="20"/>
        </w:rPr>
        <w:t>The department is committed to supporting staff to</w:t>
      </w:r>
      <w:r w:rsidR="00C07E65">
        <w:rPr>
          <w:rFonts w:cs="Times New Roman"/>
          <w:szCs w:val="20"/>
        </w:rPr>
        <w:t> </w:t>
      </w:r>
      <w:r w:rsidRPr="008D6BC4">
        <w:rPr>
          <w:rFonts w:cs="Times New Roman"/>
          <w:szCs w:val="20"/>
        </w:rPr>
        <w:t>balance work and caring responsibilities and has included a range of actions to support carers in its diversity and inclusion framework and gender equality action plan.</w:t>
      </w:r>
    </w:p>
    <w:p w14:paraId="1B12F482" w14:textId="77777777" w:rsidR="007E3A48" w:rsidRDefault="007D61FB">
      <w:pPr>
        <w:pStyle w:val="ARbody"/>
        <w:rPr>
          <w:rFonts w:cs="Times New Roman"/>
        </w:rPr>
      </w:pPr>
      <w:r w:rsidRPr="008D6BC4">
        <w:rPr>
          <w:rFonts w:cs="Times New Roman"/>
        </w:rPr>
        <w:t>Key activities include the provision of a parental transition support program, promoting equitable access to flexible work arrangements through the development of resources for managers and staff, and monitoring uptake of leave for diverse caring, parental and kinship responsibilities through an annual audit to identify and address barriers and</w:t>
      </w:r>
      <w:r w:rsidR="000C562C">
        <w:rPr>
          <w:rFonts w:cs="Times New Roman"/>
        </w:rPr>
        <w:t> </w:t>
      </w:r>
      <w:r w:rsidRPr="008D6BC4">
        <w:rPr>
          <w:rFonts w:cs="Times New Roman"/>
        </w:rPr>
        <w:t>trends.</w:t>
      </w:r>
    </w:p>
    <w:p w14:paraId="5872C97E" w14:textId="77777777" w:rsidR="007D61FB" w:rsidRPr="00E7557F" w:rsidRDefault="007D61FB" w:rsidP="00333387">
      <w:pPr>
        <w:pStyle w:val="Heading3"/>
      </w:pPr>
      <w:r w:rsidRPr="00E7557F">
        <w:t xml:space="preserve">Gender </w:t>
      </w:r>
      <w:r w:rsidRPr="000C562C">
        <w:t>equality</w:t>
      </w:r>
    </w:p>
    <w:p w14:paraId="46A8D764" w14:textId="6DC5DE2A" w:rsidR="007D61FB" w:rsidRPr="008D6BC4" w:rsidRDefault="007D61FB">
      <w:pPr>
        <w:pStyle w:val="ARbody"/>
      </w:pPr>
      <w:r w:rsidRPr="008D6BC4">
        <w:t xml:space="preserve">The department continued to promote workplace gender equality and to meet its requirements under the </w:t>
      </w:r>
      <w:r w:rsidRPr="00536EEA">
        <w:rPr>
          <w:rStyle w:val="Emphasis"/>
        </w:rPr>
        <w:t>Gender Equality Act 2020</w:t>
      </w:r>
      <w:r w:rsidRPr="008D6BC4">
        <w:t xml:space="preserve"> (the Act) including</w:t>
      </w:r>
      <w:r w:rsidR="000C562C">
        <w:t> </w:t>
      </w:r>
      <w:r w:rsidRPr="008D6BC4">
        <w:t>through:</w:t>
      </w:r>
    </w:p>
    <w:p w14:paraId="565BF164" w14:textId="4CA30A2C" w:rsidR="007D61FB" w:rsidRPr="00410DE3" w:rsidRDefault="007D61FB">
      <w:pPr>
        <w:pStyle w:val="ARbullet1"/>
      </w:pPr>
      <w:r w:rsidRPr="00410DE3">
        <w:t>implementation of the department</w:t>
      </w:r>
      <w:r w:rsidR="00711AE6">
        <w:t>’</w:t>
      </w:r>
      <w:r w:rsidRPr="00410DE3">
        <w:t xml:space="preserve">s </w:t>
      </w:r>
      <w:r w:rsidRPr="00655192">
        <w:rPr>
          <w:i/>
        </w:rPr>
        <w:t>Gender equality action plan 2022–2025</w:t>
      </w:r>
      <w:r w:rsidRPr="00410DE3">
        <w:t xml:space="preserve"> (GEAP)</w:t>
      </w:r>
    </w:p>
    <w:p w14:paraId="20486FE8" w14:textId="16DCF955" w:rsidR="007D61FB" w:rsidRPr="00410DE3" w:rsidRDefault="007D61FB">
      <w:pPr>
        <w:pStyle w:val="ARbullet1"/>
      </w:pPr>
      <w:r w:rsidRPr="00410DE3">
        <w:t>conducting Gender Impact Assessments (GIAs) for new policies, programs and services that have a significant impact on the public</w:t>
      </w:r>
    </w:p>
    <w:p w14:paraId="15F9E44F" w14:textId="77777777" w:rsidR="007D61FB" w:rsidRPr="008D6BC4" w:rsidRDefault="007D61FB">
      <w:pPr>
        <w:pStyle w:val="ARbullet1"/>
      </w:pPr>
      <w:r w:rsidRPr="00410DE3">
        <w:t>conducting</w:t>
      </w:r>
      <w:r w:rsidRPr="008D6BC4">
        <w:t xml:space="preserve"> periodic workplace gender audits.</w:t>
      </w:r>
    </w:p>
    <w:p w14:paraId="2EB87A0D" w14:textId="589E2D5A" w:rsidR="007E3A48" w:rsidRDefault="007D61FB" w:rsidP="000C562C">
      <w:pPr>
        <w:pStyle w:val="ARbodyafterbullets"/>
      </w:pPr>
      <w:r>
        <w:t>In February 2024, the department submitted its first progress report under the Act to the Commission for Gender Equality in the Public Sector.</w:t>
      </w:r>
    </w:p>
    <w:p w14:paraId="762F05E8" w14:textId="161470AC" w:rsidR="007D61FB" w:rsidRPr="005C15FD" w:rsidRDefault="007D61FB" w:rsidP="006F0BD4">
      <w:pPr>
        <w:pStyle w:val="ARbody"/>
        <w:rPr>
          <w:highlight w:val="cyan"/>
        </w:rPr>
      </w:pPr>
      <w:r w:rsidRPr="008D6BC4">
        <w:t xml:space="preserve">The department </w:t>
      </w:r>
      <w:r w:rsidRPr="006F0BD4">
        <w:t>has</w:t>
      </w:r>
      <w:r w:rsidRPr="008D6BC4">
        <w:t xml:space="preserve"> progressed activities under the</w:t>
      </w:r>
      <w:r w:rsidR="006F0BD4">
        <w:t> </w:t>
      </w:r>
      <w:r w:rsidRPr="008D6BC4">
        <w:t>GEAP</w:t>
      </w:r>
      <w:r w:rsidR="00F95AC7">
        <w:t xml:space="preserve">. This </w:t>
      </w:r>
      <w:r w:rsidR="00F6683B" w:rsidRPr="008D6BC4">
        <w:t>includ</w:t>
      </w:r>
      <w:r w:rsidR="00F6683B">
        <w:t>es</w:t>
      </w:r>
      <w:r w:rsidR="00F6683B" w:rsidRPr="008D6BC4">
        <w:t xml:space="preserve"> </w:t>
      </w:r>
      <w:r>
        <w:t xml:space="preserve">providing training and coaching to support parental leave and menopause transition, progressing a job share pilot, </w:t>
      </w:r>
      <w:r w:rsidRPr="008D6BC4">
        <w:t xml:space="preserve">continuing to facilitate a gender equality community of practice to support implementation activities, providing trans and gender-diverse awareness training to managers and staff, </w:t>
      </w:r>
      <w:r>
        <w:t xml:space="preserve">and </w:t>
      </w:r>
      <w:r w:rsidRPr="008D6BC4">
        <w:t xml:space="preserve">including gender </w:t>
      </w:r>
      <w:r>
        <w:t>equality</w:t>
      </w:r>
      <w:r w:rsidRPr="008D6BC4">
        <w:t xml:space="preserve"> goals for leaders in the professional development</w:t>
      </w:r>
      <w:r w:rsidR="006F0BD4">
        <w:t> </w:t>
      </w:r>
      <w:r w:rsidRPr="008D6BC4">
        <w:t>cycle.</w:t>
      </w:r>
    </w:p>
    <w:p w14:paraId="05029689" w14:textId="2AB5764F" w:rsidR="007D61FB" w:rsidRPr="008D6BC4" w:rsidRDefault="007D61FB">
      <w:pPr>
        <w:pStyle w:val="ARbody"/>
      </w:pPr>
      <w:r w:rsidRPr="008D6BC4">
        <w:t xml:space="preserve">The department has delivered activities to support GIA capability and compliance. This includes </w:t>
      </w:r>
      <w:r>
        <w:t>expanding the number of GIAs in our</w:t>
      </w:r>
      <w:r w:rsidRPr="008D6BC4">
        <w:t xml:space="preserve"> central </w:t>
      </w:r>
      <w:r>
        <w:t xml:space="preserve">GIA </w:t>
      </w:r>
      <w:r w:rsidRPr="008D6BC4">
        <w:t>depository</w:t>
      </w:r>
      <w:r>
        <w:t xml:space="preserve">, </w:t>
      </w:r>
      <w:r w:rsidRPr="008D6BC4">
        <w:t>reviewing gender responsive budgeting submissions for quality assurance</w:t>
      </w:r>
      <w:r>
        <w:t>, and providing</w:t>
      </w:r>
      <w:r w:rsidR="00E570E2">
        <w:t xml:space="preserve"> </w:t>
      </w:r>
      <w:r>
        <w:t>monthly in-house training to department staff on GIA processes</w:t>
      </w:r>
      <w:r w:rsidRPr="008D6BC4">
        <w:t>.</w:t>
      </w:r>
    </w:p>
    <w:p w14:paraId="4F55C5FC" w14:textId="77777777" w:rsidR="007D61FB" w:rsidRPr="00A131EB" w:rsidRDefault="007D61FB">
      <w:pPr>
        <w:pStyle w:val="ARbody"/>
        <w:rPr>
          <w:highlight w:val="cyan"/>
        </w:rPr>
      </w:pPr>
      <w:r w:rsidRPr="008D6BC4">
        <w:t xml:space="preserve">The department has also collaborated with the broader public sector to identify and address key gender </w:t>
      </w:r>
      <w:r>
        <w:t>equality</w:t>
      </w:r>
      <w:r w:rsidRPr="008D6BC4">
        <w:t xml:space="preserve"> issues.</w:t>
      </w:r>
    </w:p>
    <w:p w14:paraId="28992193" w14:textId="77777777" w:rsidR="007D61FB" w:rsidRPr="00E7557F" w:rsidRDefault="007D61FB" w:rsidP="00333387">
      <w:pPr>
        <w:pStyle w:val="Heading3"/>
      </w:pPr>
      <w:r w:rsidRPr="00E7557F">
        <w:t xml:space="preserve">Youth </w:t>
      </w:r>
      <w:r w:rsidRPr="000C562C">
        <w:t>Employment</w:t>
      </w:r>
      <w:r w:rsidRPr="00E7557F">
        <w:t xml:space="preserve"> Scheme</w:t>
      </w:r>
    </w:p>
    <w:p w14:paraId="15A9D3C1" w14:textId="639EA690" w:rsidR="007D61FB" w:rsidRPr="008D6BC4" w:rsidRDefault="007D61FB">
      <w:pPr>
        <w:pStyle w:val="ARbody"/>
      </w:pPr>
      <w:r w:rsidRPr="008D6BC4">
        <w:t xml:space="preserve">The department </w:t>
      </w:r>
      <w:r w:rsidR="0034005D">
        <w:t>continued to engage</w:t>
      </w:r>
      <w:r w:rsidRPr="008D6BC4">
        <w:t xml:space="preserve"> with the Youth Employment Scheme (YES</w:t>
      </w:r>
      <w:r w:rsidR="0034005D" w:rsidRPr="008D6BC4">
        <w:t>)</w:t>
      </w:r>
      <w:r w:rsidR="0034005D">
        <w:t>. This</w:t>
      </w:r>
      <w:r w:rsidRPr="008D6BC4">
        <w:t xml:space="preserve"> initiative of</w:t>
      </w:r>
      <w:r w:rsidR="004C23DF">
        <w:t> </w:t>
      </w:r>
      <w:r w:rsidRPr="008D6BC4">
        <w:t xml:space="preserve">the Department of Jobs, Skills, Industry and Regions </w:t>
      </w:r>
      <w:r>
        <w:t>(DJSIR) supports</w:t>
      </w:r>
      <w:r w:rsidRPr="008D6BC4">
        <w:t xml:space="preserve"> young people </w:t>
      </w:r>
      <w:r w:rsidR="0034005D">
        <w:t>aged</w:t>
      </w:r>
      <w:r w:rsidRPr="008D6BC4">
        <w:t xml:space="preserve"> 15</w:t>
      </w:r>
      <w:r w:rsidR="00C07E65">
        <w:t> </w:t>
      </w:r>
      <w:r w:rsidRPr="008D6BC4">
        <w:t>to</w:t>
      </w:r>
      <w:r w:rsidR="00C07E65">
        <w:t> </w:t>
      </w:r>
      <w:r w:rsidRPr="008D6BC4">
        <w:t>29 years</w:t>
      </w:r>
      <w:r>
        <w:t xml:space="preserve"> to</w:t>
      </w:r>
      <w:r w:rsidRPr="008D6BC4">
        <w:t xml:space="preserve"> find employment.</w:t>
      </w:r>
    </w:p>
    <w:p w14:paraId="2F2D544D" w14:textId="77777777" w:rsidR="007D61FB" w:rsidRDefault="007D61FB">
      <w:pPr>
        <w:pStyle w:val="ARbody"/>
      </w:pPr>
      <w:r w:rsidRPr="008D6BC4">
        <w:t>The traineeships provide paid employment opportunities while attaining a qualification, with the prospect of further and potentially ongoing employment in the department.</w:t>
      </w:r>
    </w:p>
    <w:p w14:paraId="7907E8DC" w14:textId="53D4BDEB" w:rsidR="007D61FB" w:rsidRPr="00135E25" w:rsidRDefault="00F95AC7">
      <w:pPr>
        <w:pStyle w:val="ARbody"/>
      </w:pPr>
      <w:r>
        <w:t>During</w:t>
      </w:r>
      <w:r w:rsidR="007D61FB">
        <w:t xml:space="preserve"> </w:t>
      </w:r>
      <w:r w:rsidR="007D61FB" w:rsidRPr="008D6BC4">
        <w:t>2023</w:t>
      </w:r>
      <w:r w:rsidR="005B7C9B">
        <w:t>–</w:t>
      </w:r>
      <w:r w:rsidR="007D61FB" w:rsidRPr="008D6BC4">
        <w:t xml:space="preserve">24, </w:t>
      </w:r>
      <w:r w:rsidR="007D61FB">
        <w:t xml:space="preserve">the department </w:t>
      </w:r>
      <w:r w:rsidR="007D61FB" w:rsidRPr="008D6BC4">
        <w:t>onboarded 16</w:t>
      </w:r>
      <w:r w:rsidR="00994BF3">
        <w:t> </w:t>
      </w:r>
      <w:r w:rsidR="007D61FB" w:rsidRPr="008D6BC4">
        <w:t>YES</w:t>
      </w:r>
      <w:r w:rsidR="00994BF3">
        <w:t> </w:t>
      </w:r>
      <w:r w:rsidR="007D61FB" w:rsidRPr="008D6BC4">
        <w:t>trainees from the general pathway and an</w:t>
      </w:r>
      <w:r w:rsidR="00994BF3">
        <w:t> </w:t>
      </w:r>
      <w:r w:rsidR="007D61FB" w:rsidRPr="008D6BC4">
        <w:t xml:space="preserve">additional </w:t>
      </w:r>
      <w:r>
        <w:t>2</w:t>
      </w:r>
      <w:r w:rsidR="007D61FB" w:rsidRPr="008D6BC4">
        <w:t xml:space="preserve"> YES trainees from the disability pathway. </w:t>
      </w:r>
      <w:r>
        <w:t>Fifty-five per cent</w:t>
      </w:r>
      <w:r w:rsidR="007D61FB" w:rsidRPr="008D6BC4">
        <w:t xml:space="preserve"> of </w:t>
      </w:r>
      <w:r w:rsidR="007D61FB">
        <w:t xml:space="preserve">departmental </w:t>
      </w:r>
      <w:r w:rsidR="007D61FB" w:rsidRPr="008D6BC4">
        <w:t xml:space="preserve">trainees are from a </w:t>
      </w:r>
      <w:r w:rsidR="00711AE6">
        <w:t>‘</w:t>
      </w:r>
      <w:r w:rsidR="007D61FB" w:rsidRPr="008D6BC4">
        <w:t>priority group</w:t>
      </w:r>
      <w:r w:rsidR="00711AE6">
        <w:t>’</w:t>
      </w:r>
      <w:r w:rsidR="007D61FB" w:rsidRPr="008D6BC4">
        <w:t>.</w:t>
      </w:r>
    </w:p>
    <w:p w14:paraId="3F7D266D" w14:textId="74B4268F" w:rsidR="007D61FB" w:rsidRPr="00135E25" w:rsidRDefault="007D61FB">
      <w:pPr>
        <w:pStyle w:val="ARbody"/>
      </w:pPr>
      <w:r>
        <w:t>Priority groups include:</w:t>
      </w:r>
    </w:p>
    <w:p w14:paraId="3F37E9A8" w14:textId="2386CC1F" w:rsidR="007D61FB" w:rsidRPr="00A04162" w:rsidRDefault="007D61FB">
      <w:pPr>
        <w:pStyle w:val="ARbullet1"/>
      </w:pPr>
      <w:r w:rsidRPr="00A04162">
        <w:t xml:space="preserve">people unemployed for </w:t>
      </w:r>
      <w:r w:rsidR="00F95AC7">
        <w:t>6</w:t>
      </w:r>
      <w:r w:rsidRPr="00A04162">
        <w:t xml:space="preserve"> months or at risk of</w:t>
      </w:r>
      <w:r w:rsidR="004C23DF">
        <w:t> </w:t>
      </w:r>
      <w:r w:rsidRPr="00A04162">
        <w:t>being long</w:t>
      </w:r>
      <w:r w:rsidR="002232D6">
        <w:t>-</w:t>
      </w:r>
      <w:r w:rsidRPr="00A04162">
        <w:t>term unemployed</w:t>
      </w:r>
    </w:p>
    <w:p w14:paraId="5F0BA580" w14:textId="77777777" w:rsidR="007D61FB" w:rsidRPr="00A04162" w:rsidRDefault="007D61FB">
      <w:pPr>
        <w:pStyle w:val="ARbullet1"/>
      </w:pPr>
      <w:r w:rsidRPr="00A04162">
        <w:t>people with disability</w:t>
      </w:r>
    </w:p>
    <w:p w14:paraId="5CD906AD" w14:textId="17853765" w:rsidR="007D61FB" w:rsidRPr="00A04162" w:rsidRDefault="007D61FB">
      <w:pPr>
        <w:pStyle w:val="ARbullet1"/>
      </w:pPr>
      <w:r w:rsidRPr="00A04162">
        <w:t>Aboriginal and Torres Strait Islander people</w:t>
      </w:r>
    </w:p>
    <w:p w14:paraId="0CE1F943" w14:textId="458DF8A0" w:rsidR="007D61FB" w:rsidRPr="00A04162" w:rsidRDefault="007D61FB">
      <w:pPr>
        <w:pStyle w:val="ARbullet1"/>
      </w:pPr>
      <w:r w:rsidRPr="00A04162">
        <w:t xml:space="preserve">culturally and linguistically diverse communities including </w:t>
      </w:r>
      <w:r w:rsidR="00191E1A">
        <w:t>h</w:t>
      </w:r>
      <w:r w:rsidR="00191E1A" w:rsidRPr="00A04162">
        <w:t xml:space="preserve">umanitarian </w:t>
      </w:r>
      <w:r w:rsidR="00191E1A">
        <w:t>m</w:t>
      </w:r>
      <w:r w:rsidR="00191E1A" w:rsidRPr="00A04162">
        <w:t xml:space="preserve">igrants </w:t>
      </w:r>
      <w:r w:rsidRPr="00A04162">
        <w:t>(</w:t>
      </w:r>
      <w:r w:rsidR="00191E1A">
        <w:t xml:space="preserve">asylum seekers </w:t>
      </w:r>
      <w:r w:rsidRPr="00A04162">
        <w:t>and refugees)</w:t>
      </w:r>
    </w:p>
    <w:p w14:paraId="54242DB8" w14:textId="77777777" w:rsidR="007D61FB" w:rsidRPr="00A04162" w:rsidRDefault="007D61FB">
      <w:pPr>
        <w:pStyle w:val="ARbullet1"/>
      </w:pPr>
      <w:r w:rsidRPr="00A04162">
        <w:t>public and social housing residents</w:t>
      </w:r>
    </w:p>
    <w:p w14:paraId="0AFAD665" w14:textId="51459C93" w:rsidR="007D61FB" w:rsidRPr="00A04162" w:rsidRDefault="007D61FB">
      <w:pPr>
        <w:pStyle w:val="ARbullet1"/>
      </w:pPr>
      <w:r w:rsidRPr="00A04162">
        <w:t>people with experience of homelessness or</w:t>
      </w:r>
      <w:r w:rsidR="00AF21B1">
        <w:t> </w:t>
      </w:r>
      <w:r w:rsidRPr="00A04162">
        <w:t>at</w:t>
      </w:r>
      <w:r w:rsidR="00AF21B1">
        <w:t> </w:t>
      </w:r>
      <w:r w:rsidRPr="00A04162">
        <w:t>risk of homelessness</w:t>
      </w:r>
    </w:p>
    <w:p w14:paraId="53FF9F68" w14:textId="77777777" w:rsidR="007D61FB" w:rsidRPr="00A04162" w:rsidRDefault="007D61FB">
      <w:pPr>
        <w:pStyle w:val="ARbullet1"/>
      </w:pPr>
      <w:r w:rsidRPr="00A04162">
        <w:t>people with experience of family violence</w:t>
      </w:r>
    </w:p>
    <w:p w14:paraId="109333E6" w14:textId="4884E490" w:rsidR="007D61FB" w:rsidRPr="00A04162" w:rsidRDefault="007D61FB">
      <w:pPr>
        <w:pStyle w:val="ARbullet1"/>
      </w:pPr>
      <w:r w:rsidRPr="00A04162">
        <w:t>Youth Justice clients</w:t>
      </w:r>
    </w:p>
    <w:p w14:paraId="7A3AAD3B" w14:textId="221D7B25" w:rsidR="007D61FB" w:rsidRPr="00A04162" w:rsidRDefault="007D61FB">
      <w:pPr>
        <w:pStyle w:val="ARbullet1"/>
      </w:pPr>
      <w:r w:rsidRPr="00A04162">
        <w:t>young people from out</w:t>
      </w:r>
      <w:r w:rsidR="00D059E2">
        <w:t>-</w:t>
      </w:r>
      <w:r w:rsidRPr="00A04162">
        <w:t>of</w:t>
      </w:r>
      <w:r w:rsidR="00D059E2">
        <w:t>-</w:t>
      </w:r>
      <w:r w:rsidRPr="00A04162">
        <w:t>home care</w:t>
      </w:r>
    </w:p>
    <w:p w14:paraId="3814B6DB" w14:textId="77777777" w:rsidR="007D61FB" w:rsidRPr="00A04162" w:rsidRDefault="007D61FB">
      <w:pPr>
        <w:pStyle w:val="ARbullet1"/>
      </w:pPr>
      <w:r w:rsidRPr="00A04162">
        <w:t>single parents</w:t>
      </w:r>
    </w:p>
    <w:p w14:paraId="0DB7C44E" w14:textId="77777777" w:rsidR="007D61FB" w:rsidRPr="008D6BC4" w:rsidRDefault="007D61FB" w:rsidP="000C562C">
      <w:pPr>
        <w:pStyle w:val="ARbullet1"/>
      </w:pPr>
      <w:r w:rsidRPr="00A04162">
        <w:t>people</w:t>
      </w:r>
      <w:r w:rsidRPr="00D2104A">
        <w:t xml:space="preserve"> </w:t>
      </w:r>
      <w:r>
        <w:t xml:space="preserve">with </w:t>
      </w:r>
      <w:r w:rsidRPr="000C562C">
        <w:t>experience</w:t>
      </w:r>
      <w:r>
        <w:t xml:space="preserve"> of</w:t>
      </w:r>
      <w:r w:rsidRPr="00D2104A">
        <w:t xml:space="preserve"> mental illness</w:t>
      </w:r>
      <w:r>
        <w:t>.</w:t>
      </w:r>
    </w:p>
    <w:p w14:paraId="5DF2A885" w14:textId="77777777" w:rsidR="007D61FB" w:rsidRPr="00E7557F" w:rsidRDefault="007D61FB" w:rsidP="00333387">
      <w:pPr>
        <w:pStyle w:val="Heading3"/>
      </w:pPr>
      <w:r w:rsidRPr="00E7557F">
        <w:t xml:space="preserve">Western Chances </w:t>
      </w:r>
      <w:r w:rsidRPr="000C562C">
        <w:t>internship</w:t>
      </w:r>
    </w:p>
    <w:p w14:paraId="4137DB65" w14:textId="468EB040" w:rsidR="007D61FB" w:rsidRPr="008D6BC4" w:rsidRDefault="007D61FB">
      <w:pPr>
        <w:pStyle w:val="ARbody"/>
      </w:pPr>
      <w:r w:rsidRPr="008D6BC4">
        <w:t>In 2023</w:t>
      </w:r>
      <w:r w:rsidR="005B7C9B">
        <w:t>–</w:t>
      </w:r>
      <w:r w:rsidRPr="008D6BC4">
        <w:t xml:space="preserve">24, </w:t>
      </w:r>
      <w:r>
        <w:t>the department</w:t>
      </w:r>
      <w:r w:rsidRPr="008D6BC4">
        <w:t xml:space="preserve"> launched a new employment program that supports young people with paid internship opportunities.</w:t>
      </w:r>
      <w:r w:rsidR="00E570E2">
        <w:t xml:space="preserve"> </w:t>
      </w:r>
    </w:p>
    <w:p w14:paraId="16E88CCF" w14:textId="304A1B85" w:rsidR="007D61FB" w:rsidRPr="00135E25" w:rsidRDefault="007D61FB">
      <w:pPr>
        <w:pStyle w:val="ARbody"/>
        <w:rPr>
          <w:szCs w:val="20"/>
        </w:rPr>
      </w:pPr>
      <w:r w:rsidRPr="00135E25">
        <w:rPr>
          <w:szCs w:val="20"/>
        </w:rPr>
        <w:t>The Western Chances Internship Program matches tertiary scholarship recipients with 12-week paid internships. This internship provides young people facing social or financial barriers with meaningful work experience</w:t>
      </w:r>
      <w:r>
        <w:rPr>
          <w:szCs w:val="20"/>
        </w:rPr>
        <w:t xml:space="preserve"> and</w:t>
      </w:r>
      <w:r w:rsidRPr="00135E25">
        <w:rPr>
          <w:szCs w:val="20"/>
        </w:rPr>
        <w:t xml:space="preserve"> an opportunity to develop </w:t>
      </w:r>
      <w:r w:rsidR="005B7C9B">
        <w:rPr>
          <w:szCs w:val="20"/>
        </w:rPr>
        <w:br/>
      </w:r>
      <w:r w:rsidRPr="00135E25">
        <w:rPr>
          <w:szCs w:val="20"/>
        </w:rPr>
        <w:t>job-ready skills and builds their professional</w:t>
      </w:r>
      <w:r w:rsidR="005B7C9B">
        <w:rPr>
          <w:szCs w:val="20"/>
        </w:rPr>
        <w:t> </w:t>
      </w:r>
      <w:r w:rsidRPr="00135E25">
        <w:rPr>
          <w:szCs w:val="20"/>
        </w:rPr>
        <w:t>network.</w:t>
      </w:r>
      <w:r w:rsidR="00E570E2">
        <w:rPr>
          <w:szCs w:val="20"/>
        </w:rPr>
        <w:t xml:space="preserve"> </w:t>
      </w:r>
    </w:p>
    <w:p w14:paraId="726E8FE0" w14:textId="187318D3" w:rsidR="000C562C" w:rsidRDefault="007D61FB">
      <w:pPr>
        <w:pStyle w:val="ARbody"/>
      </w:pPr>
      <w:r>
        <w:t xml:space="preserve">The department secured </w:t>
      </w:r>
      <w:r w:rsidR="00F95AC7">
        <w:t>9</w:t>
      </w:r>
      <w:r>
        <w:t xml:space="preserve"> internships for young people through this employment program.</w:t>
      </w:r>
    </w:p>
    <w:p w14:paraId="16928ACD" w14:textId="77777777" w:rsidR="007D61FB" w:rsidRPr="000C562C" w:rsidRDefault="007D61FB" w:rsidP="00333387">
      <w:pPr>
        <w:pStyle w:val="Heading3"/>
      </w:pPr>
      <w:r w:rsidRPr="00E7557F">
        <w:t>Graduate recruitment</w:t>
      </w:r>
    </w:p>
    <w:p w14:paraId="0EE388DB" w14:textId="76766A00" w:rsidR="007D61FB" w:rsidRPr="008D6BC4" w:rsidRDefault="007D61FB">
      <w:pPr>
        <w:pStyle w:val="ARbody"/>
      </w:pPr>
      <w:r w:rsidRPr="008D6BC4">
        <w:t>The department ha</w:t>
      </w:r>
      <w:r>
        <w:t>s</w:t>
      </w:r>
      <w:r w:rsidRPr="008D6BC4">
        <w:t xml:space="preserve"> </w:t>
      </w:r>
      <w:r w:rsidR="0084473A">
        <w:t>10</w:t>
      </w:r>
      <w:r w:rsidR="0084473A" w:rsidRPr="008D6BC4">
        <w:t xml:space="preserve"> </w:t>
      </w:r>
      <w:r w:rsidRPr="008D6BC4">
        <w:t>graduates participating in the 2024 Victorian Government Graduate Program, which is r</w:t>
      </w:r>
      <w:r>
        <w:t>u</w:t>
      </w:r>
      <w:r w:rsidRPr="008D6BC4">
        <w:t>n by the Victorian Public Sector Commission (VPSC).</w:t>
      </w:r>
    </w:p>
    <w:p w14:paraId="4A05FDBE" w14:textId="4A2B7A9C" w:rsidR="007D61FB" w:rsidRPr="008D6BC4" w:rsidRDefault="007D61FB">
      <w:pPr>
        <w:pStyle w:val="ARbody"/>
      </w:pPr>
      <w:r w:rsidRPr="008D6BC4">
        <w:t xml:space="preserve">In the 2024 intake, the department recruited 10 graduates from diverse academic backgrounds, with </w:t>
      </w:r>
      <w:r w:rsidR="0084473A">
        <w:t>3</w:t>
      </w:r>
      <w:r w:rsidR="0084473A" w:rsidRPr="008D6BC4">
        <w:t xml:space="preserve"> </w:t>
      </w:r>
      <w:r w:rsidRPr="008D6BC4">
        <w:t>graduate employees reach</w:t>
      </w:r>
      <w:r>
        <w:t>ing</w:t>
      </w:r>
      <w:r w:rsidRPr="008D6BC4">
        <w:t xml:space="preserve"> us through the</w:t>
      </w:r>
      <w:r w:rsidR="00C07E65">
        <w:t> </w:t>
      </w:r>
      <w:r w:rsidRPr="008D6BC4">
        <w:t>disability pathway in this program.</w:t>
      </w:r>
    </w:p>
    <w:p w14:paraId="62E4471A" w14:textId="4E23327E" w:rsidR="007D61FB" w:rsidRPr="008D6BC4" w:rsidRDefault="007D61FB">
      <w:pPr>
        <w:pStyle w:val="ARbody"/>
      </w:pPr>
      <w:r w:rsidRPr="008D6BC4">
        <w:t xml:space="preserve">Graduates participating in the 12-month graduate programs complete </w:t>
      </w:r>
      <w:r w:rsidR="009D641C">
        <w:t>3</w:t>
      </w:r>
      <w:r w:rsidRPr="008D6BC4">
        <w:t xml:space="preserve"> rotations to develop core skills and gain broad experience working within various business units.</w:t>
      </w:r>
    </w:p>
    <w:p w14:paraId="6A888B8E" w14:textId="063D0C7F" w:rsidR="007D61FB" w:rsidRPr="008D6BC4" w:rsidRDefault="007D61FB">
      <w:pPr>
        <w:pStyle w:val="ARbody"/>
      </w:pPr>
      <w:r w:rsidRPr="008D6BC4">
        <w:t xml:space="preserve">In addition to the VPSC graduate program, the department hosted </w:t>
      </w:r>
      <w:r w:rsidR="009D641C">
        <w:t>3</w:t>
      </w:r>
      <w:r w:rsidRPr="008D6BC4">
        <w:t xml:space="preserve"> positions within the internal Aboriginal Graduate Program. Our </w:t>
      </w:r>
      <w:r w:rsidR="0084473A">
        <w:t>3</w:t>
      </w:r>
      <w:r w:rsidR="0084473A" w:rsidRPr="008D6BC4">
        <w:t xml:space="preserve"> </w:t>
      </w:r>
      <w:r w:rsidRPr="008D6BC4">
        <w:t xml:space="preserve">employees commenced at different dates within </w:t>
      </w:r>
      <w:r>
        <w:t>the</w:t>
      </w:r>
      <w:r w:rsidR="00994BF3">
        <w:t> </w:t>
      </w:r>
      <w:r w:rsidRPr="008D6BC4">
        <w:t>financial year 2023</w:t>
      </w:r>
      <w:r w:rsidR="005B7C9B">
        <w:t>–</w:t>
      </w:r>
      <w:r w:rsidRPr="008D6BC4">
        <w:t>24.</w:t>
      </w:r>
    </w:p>
    <w:p w14:paraId="135EC1FF" w14:textId="77777777" w:rsidR="007D61FB" w:rsidRPr="00E7557F" w:rsidRDefault="007D61FB" w:rsidP="00333387">
      <w:pPr>
        <w:pStyle w:val="Heading3"/>
      </w:pPr>
      <w:r w:rsidRPr="00E7557F">
        <w:t xml:space="preserve">Digital </w:t>
      </w:r>
      <w:r w:rsidRPr="000C562C">
        <w:t>Jobs</w:t>
      </w:r>
      <w:r w:rsidRPr="00E7557F">
        <w:t xml:space="preserve"> Program</w:t>
      </w:r>
    </w:p>
    <w:p w14:paraId="35450D55" w14:textId="77777777" w:rsidR="007D61FB" w:rsidRPr="008D6BC4" w:rsidRDefault="007D61FB">
      <w:pPr>
        <w:pStyle w:val="ARbody"/>
      </w:pPr>
      <w:r w:rsidRPr="008D6BC4">
        <w:t>The Digital Jobs Program is an initiative to allow experienced workers (30+ years of age or with 10+ years of experience) to diversify their skills into information technology, where we have a skills shortage across Victoria.</w:t>
      </w:r>
    </w:p>
    <w:p w14:paraId="351D4A79" w14:textId="19E5AC1B" w:rsidR="007D61FB" w:rsidRPr="008D6BC4" w:rsidRDefault="007D61FB" w:rsidP="000C562C">
      <w:pPr>
        <w:pStyle w:val="ARbody"/>
      </w:pPr>
      <w:r w:rsidRPr="008D6BC4">
        <w:t>In 2023</w:t>
      </w:r>
      <w:r w:rsidR="005B7C9B">
        <w:t>–</w:t>
      </w:r>
      <w:r w:rsidRPr="008D6BC4">
        <w:t xml:space="preserve">24, we onboarded </w:t>
      </w:r>
      <w:r w:rsidR="0084473A">
        <w:t>4</w:t>
      </w:r>
      <w:r w:rsidR="0084473A" w:rsidRPr="008D6BC4">
        <w:t xml:space="preserve"> </w:t>
      </w:r>
      <w:r w:rsidRPr="008D6BC4">
        <w:t xml:space="preserve">participants through this </w:t>
      </w:r>
      <w:r w:rsidRPr="000C562C">
        <w:t>program</w:t>
      </w:r>
      <w:r w:rsidRPr="008D6BC4">
        <w:t>.</w:t>
      </w:r>
    </w:p>
    <w:p w14:paraId="3FBEE092" w14:textId="77777777" w:rsidR="007D61FB" w:rsidRPr="00E7557F" w:rsidRDefault="007D61FB" w:rsidP="00333387">
      <w:pPr>
        <w:pStyle w:val="Heading3"/>
      </w:pPr>
      <w:r w:rsidRPr="00E7557F">
        <w:t xml:space="preserve">Student placement </w:t>
      </w:r>
      <w:r w:rsidRPr="000C562C">
        <w:t>program</w:t>
      </w:r>
    </w:p>
    <w:p w14:paraId="18BA0800" w14:textId="77777777" w:rsidR="007D61FB" w:rsidRPr="008D6BC4" w:rsidRDefault="007D61FB">
      <w:pPr>
        <w:pStyle w:val="ARbody"/>
      </w:pPr>
      <w:r w:rsidRPr="008D6BC4">
        <w:t>The department offers students undertaking a tertiary qualification the opportunity to complete their fieldwork placement in community services as part of their course.</w:t>
      </w:r>
    </w:p>
    <w:p w14:paraId="33D19C00" w14:textId="3673090F" w:rsidR="007D61FB" w:rsidRDefault="007D61FB" w:rsidP="006F0BD4">
      <w:pPr>
        <w:pStyle w:val="ARbody"/>
      </w:pPr>
      <w:r w:rsidRPr="008D6BC4">
        <w:t>In 202</w:t>
      </w:r>
      <w:r>
        <w:t>3</w:t>
      </w:r>
      <w:r w:rsidRPr="008D6BC4">
        <w:t>–2</w:t>
      </w:r>
      <w:r>
        <w:t>4</w:t>
      </w:r>
      <w:r w:rsidRPr="008D6BC4">
        <w:t xml:space="preserve">, 241 tertiary students commenced </w:t>
      </w:r>
      <w:r>
        <w:br/>
      </w:r>
      <w:r w:rsidRPr="008D6BC4">
        <w:t>a placement across the department, including placements in child protection, housing, forensic disability, corporate services, and secure welfare</w:t>
      </w:r>
      <w:r w:rsidR="000C562C">
        <w:t> </w:t>
      </w:r>
      <w:r w:rsidRPr="008D6BC4">
        <w:t>services.</w:t>
      </w:r>
    </w:p>
    <w:p w14:paraId="0B5A8817" w14:textId="38631F68" w:rsidR="007D61FB" w:rsidRPr="00E7557F" w:rsidRDefault="000C562C" w:rsidP="00333387">
      <w:pPr>
        <w:pStyle w:val="Heading3"/>
      </w:pPr>
      <w:r>
        <w:br w:type="column"/>
      </w:r>
      <w:r w:rsidR="007D61FB" w:rsidRPr="00E7557F">
        <w:t>Child Protection Employment</w:t>
      </w:r>
      <w:r>
        <w:t> </w:t>
      </w:r>
      <w:r w:rsidR="007D61FB" w:rsidRPr="00E7557F">
        <w:t>Program</w:t>
      </w:r>
    </w:p>
    <w:p w14:paraId="2B2396E6" w14:textId="382B1FA6" w:rsidR="007D61FB" w:rsidRDefault="007D61FB">
      <w:pPr>
        <w:pStyle w:val="ARbody"/>
      </w:pPr>
      <w:r w:rsidRPr="008D6BC4">
        <w:t xml:space="preserve">The Child Protection Employment Program (CPEP) offers 12 weeks </w:t>
      </w:r>
      <w:r w:rsidR="0084473A" w:rsidRPr="008D6BC4">
        <w:t>full</w:t>
      </w:r>
      <w:r w:rsidR="0084473A">
        <w:t>-</w:t>
      </w:r>
      <w:r w:rsidRPr="008D6BC4">
        <w:t xml:space="preserve">time or 16 weeks </w:t>
      </w:r>
      <w:r w:rsidR="0084473A" w:rsidRPr="008D6BC4">
        <w:t>part</w:t>
      </w:r>
      <w:r w:rsidR="0084473A">
        <w:t>-</w:t>
      </w:r>
      <w:r w:rsidRPr="008D6BC4">
        <w:t xml:space="preserve">time, </w:t>
      </w:r>
      <w:r w:rsidR="0084473A" w:rsidRPr="008D6BC4">
        <w:t>fixed</w:t>
      </w:r>
      <w:r w:rsidR="0084473A">
        <w:t>-</w:t>
      </w:r>
      <w:r w:rsidRPr="008D6BC4">
        <w:t>term paid employment to recent graduates and eligible students studying a social work, welfare, community, or behavioural qualification.</w:t>
      </w:r>
    </w:p>
    <w:p w14:paraId="0F60C668" w14:textId="32E5F43D" w:rsidR="007D61FB" w:rsidRPr="008D6BC4" w:rsidRDefault="007D61FB">
      <w:pPr>
        <w:pStyle w:val="ARbody"/>
      </w:pPr>
      <w:r w:rsidRPr="008D6BC4">
        <w:t>The</w:t>
      </w:r>
      <w:r>
        <w:t xml:space="preserve"> </w:t>
      </w:r>
      <w:r w:rsidRPr="008D6BC4">
        <w:t>rotation-based program enables CPEP participants to work in a structured and supportive learning environment alongside experienced practitioners to experience the</w:t>
      </w:r>
      <w:r w:rsidR="00EA7558">
        <w:t> </w:t>
      </w:r>
      <w:r>
        <w:t>C</w:t>
      </w:r>
      <w:r w:rsidRPr="008D6BC4">
        <w:t>hild</w:t>
      </w:r>
      <w:r w:rsidR="00EA7558">
        <w:t> </w:t>
      </w:r>
      <w:r>
        <w:t>Protection P</w:t>
      </w:r>
      <w:r w:rsidRPr="008D6BC4">
        <w:t xml:space="preserve">ractitioner </w:t>
      </w:r>
      <w:r w:rsidRPr="0044090B">
        <w:t xml:space="preserve">(CPP) </w:t>
      </w:r>
      <w:r w:rsidRPr="008D6BC4">
        <w:t>role.</w:t>
      </w:r>
    </w:p>
    <w:p w14:paraId="0EA836E3" w14:textId="2F4F286C" w:rsidR="007D61FB" w:rsidRPr="008D6BC4" w:rsidRDefault="007D61FB">
      <w:pPr>
        <w:pStyle w:val="ARbody"/>
      </w:pPr>
      <w:r w:rsidRPr="008D6BC4">
        <w:t>Participants who demonstrate the essential skills and attributes necessary for entry into a</w:t>
      </w:r>
      <w:r w:rsidR="00EA7558">
        <w:t> </w:t>
      </w:r>
      <w:r>
        <w:t>CPP</w:t>
      </w:r>
      <w:r w:rsidR="00EA7558">
        <w:t> </w:t>
      </w:r>
      <w:r w:rsidRPr="008D6BC4">
        <w:t>role and who successfully complete the</w:t>
      </w:r>
      <w:r w:rsidR="00EA7558">
        <w:t> </w:t>
      </w:r>
      <w:r w:rsidRPr="008D6BC4">
        <w:t>program may receive a conditional offer of</w:t>
      </w:r>
      <w:r w:rsidR="00EA7558">
        <w:t> </w:t>
      </w:r>
      <w:r w:rsidRPr="008D6BC4">
        <w:t>employment for a CPP3 position, subject to</w:t>
      </w:r>
      <w:r w:rsidR="00EA7558">
        <w:t> </w:t>
      </w:r>
      <w:r w:rsidRPr="008D6BC4">
        <w:t>the</w:t>
      </w:r>
      <w:r w:rsidR="00EA7558">
        <w:t> </w:t>
      </w:r>
      <w:r w:rsidRPr="008D6BC4">
        <w:t>successful completion of their recognised</w:t>
      </w:r>
      <w:r w:rsidR="00EA7558">
        <w:t> </w:t>
      </w:r>
      <w:r w:rsidRPr="008D6BC4">
        <w:t>qualification.</w:t>
      </w:r>
    </w:p>
    <w:p w14:paraId="664E514B" w14:textId="49776350" w:rsidR="007D61FB" w:rsidRPr="008D6BC4" w:rsidRDefault="0084473A">
      <w:pPr>
        <w:pStyle w:val="ARbody"/>
      </w:pPr>
      <w:r>
        <w:t xml:space="preserve">Chid protection welcomed </w:t>
      </w:r>
      <w:r w:rsidR="007D61FB" w:rsidRPr="008D6BC4">
        <w:t xml:space="preserve">123 CPEP employees </w:t>
      </w:r>
      <w:r>
        <w:t xml:space="preserve">who started </w:t>
      </w:r>
      <w:r w:rsidR="007D61FB" w:rsidRPr="008D6BC4">
        <w:t>in January 2024. At the</w:t>
      </w:r>
      <w:r w:rsidR="007D61FB">
        <w:t xml:space="preserve"> </w:t>
      </w:r>
      <w:r>
        <w:t>end</w:t>
      </w:r>
      <w:r w:rsidRPr="008D6BC4">
        <w:t xml:space="preserve"> </w:t>
      </w:r>
      <w:r w:rsidR="007D61FB" w:rsidRPr="008D6BC4">
        <w:t xml:space="preserve">of the program in June 2024, 101 were recommended for further employment. </w:t>
      </w:r>
      <w:r>
        <w:t xml:space="preserve">Of these, </w:t>
      </w:r>
      <w:r w:rsidR="007D61FB" w:rsidRPr="008D6BC4">
        <w:t>97 accepted employment offers</w:t>
      </w:r>
      <w:r w:rsidR="007D61FB" w:rsidDel="00FC05F3">
        <w:t xml:space="preserve"> </w:t>
      </w:r>
      <w:r w:rsidR="007D61FB" w:rsidRPr="008D6BC4">
        <w:t>for either CPP3 or CPP2 positions</w:t>
      </w:r>
      <w:r w:rsidR="007D61FB">
        <w:t xml:space="preserve"> </w:t>
      </w:r>
      <w:r w:rsidR="007D61FB" w:rsidRPr="00B25744">
        <w:t>(79</w:t>
      </w:r>
      <w:r w:rsidR="00F95AC7">
        <w:t>%</w:t>
      </w:r>
      <w:r w:rsidR="007D61FB" w:rsidRPr="00B25744">
        <w:t xml:space="preserve"> conversion rate)</w:t>
      </w:r>
      <w:r w:rsidR="007D61FB" w:rsidRPr="008D6BC4">
        <w:t xml:space="preserve">, the latter pending qualifications. The appointment at the CPP2 level enables the employee to remain working in </w:t>
      </w:r>
      <w:r>
        <w:t>c</w:t>
      </w:r>
      <w:r w:rsidRPr="008D6BC4">
        <w:t xml:space="preserve">hild </w:t>
      </w:r>
      <w:r>
        <w:t>p</w:t>
      </w:r>
      <w:r w:rsidRPr="008D6BC4">
        <w:t xml:space="preserve">rotection </w:t>
      </w:r>
      <w:r w:rsidR="007D61FB" w:rsidRPr="008D6BC4">
        <w:t>while completing their qualification.</w:t>
      </w:r>
    </w:p>
    <w:p w14:paraId="3FB525F0" w14:textId="43648D7A" w:rsidR="000C562C" w:rsidRDefault="007D61FB" w:rsidP="0088621E">
      <w:pPr>
        <w:pStyle w:val="ARbody"/>
      </w:pPr>
      <w:r w:rsidRPr="008D6BC4">
        <w:t>Up to 100 CPEP employees are expected to</w:t>
      </w:r>
      <w:r w:rsidR="00EA7558">
        <w:t> </w:t>
      </w:r>
      <w:r w:rsidRPr="008D6BC4">
        <w:t>commence in January 2025.</w:t>
      </w:r>
    </w:p>
    <w:p w14:paraId="6591983D" w14:textId="732BD9F2" w:rsidR="007D61FB" w:rsidRPr="00E7557F" w:rsidRDefault="0094711F" w:rsidP="00333387">
      <w:pPr>
        <w:pStyle w:val="Heading3"/>
      </w:pPr>
      <w:r>
        <w:br w:type="column"/>
      </w:r>
      <w:r w:rsidR="000C562C">
        <w:t>T</w:t>
      </w:r>
      <w:r w:rsidR="007D61FB" w:rsidRPr="00E7557F">
        <w:t>rialled employment programs in 2023</w:t>
      </w:r>
      <w:r w:rsidR="005B7C9B">
        <w:t>–</w:t>
      </w:r>
      <w:r w:rsidR="007D61FB" w:rsidRPr="00E7557F">
        <w:t>24</w:t>
      </w:r>
    </w:p>
    <w:p w14:paraId="1D8A4EE1" w14:textId="49A11CE2" w:rsidR="007D61FB" w:rsidRDefault="007D61FB">
      <w:pPr>
        <w:pStyle w:val="ARbody"/>
      </w:pPr>
      <w:r>
        <w:t xml:space="preserve">The department trialled a further </w:t>
      </w:r>
      <w:r w:rsidR="00F95AC7">
        <w:t>2</w:t>
      </w:r>
      <w:r>
        <w:t xml:space="preserve"> programs in</w:t>
      </w:r>
      <w:r w:rsidR="000C562C">
        <w:t> </w:t>
      </w:r>
      <w:r>
        <w:t>2023</w:t>
      </w:r>
      <w:r w:rsidR="005B7C9B">
        <w:t>–</w:t>
      </w:r>
      <w:r>
        <w:t xml:space="preserve">24: </w:t>
      </w:r>
    </w:p>
    <w:p w14:paraId="5E00C4BC" w14:textId="77777777" w:rsidR="007D61FB" w:rsidRPr="000C562C" w:rsidRDefault="007D61FB" w:rsidP="000C562C">
      <w:pPr>
        <w:pStyle w:val="ARbullet1"/>
      </w:pPr>
      <w:r w:rsidRPr="000C562C">
        <w:t xml:space="preserve">Belonging Matters – the department had one program participant from this employment program that supports participants with an intellectual disability. </w:t>
      </w:r>
    </w:p>
    <w:p w14:paraId="5E884693" w14:textId="2B1ABEE2" w:rsidR="007D61FB" w:rsidRDefault="007D61FB" w:rsidP="000C562C">
      <w:pPr>
        <w:pStyle w:val="ARbullet1"/>
      </w:pPr>
      <w:r w:rsidRPr="000C562C">
        <w:t>Adult Migrant English Program (AMEP) – the</w:t>
      </w:r>
      <w:r w:rsidR="00EA7558">
        <w:t> </w:t>
      </w:r>
      <w:r w:rsidRPr="000C562C">
        <w:t xml:space="preserve">department provided learning opportunities to </w:t>
      </w:r>
      <w:r w:rsidR="009D641C">
        <w:t>3</w:t>
      </w:r>
      <w:r w:rsidRPr="000C562C">
        <w:t xml:space="preserve"> students</w:t>
      </w:r>
      <w:r>
        <w:t xml:space="preserve"> within this program, which assists participants in developing their English language skills within the workplace.</w:t>
      </w:r>
    </w:p>
    <w:p w14:paraId="327BB335" w14:textId="77777777" w:rsidR="007D61FB" w:rsidRPr="005006A0" w:rsidRDefault="007D61FB">
      <w:pPr>
        <w:pStyle w:val="ARbullet1"/>
        <w:numPr>
          <w:ilvl w:val="0"/>
          <w:numId w:val="0"/>
        </w:numPr>
      </w:pPr>
    </w:p>
    <w:p w14:paraId="4E96B7F1" w14:textId="77777777" w:rsidR="007D61FB" w:rsidRDefault="007D61FB">
      <w:pPr>
        <w:pStyle w:val="ARbullet1"/>
        <w:numPr>
          <w:ilvl w:val="0"/>
          <w:numId w:val="0"/>
        </w:numPr>
        <w:sectPr w:rsidR="007D61FB"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48"/>
          <w:docGrid w:linePitch="299"/>
        </w:sectPr>
      </w:pPr>
    </w:p>
    <w:p w14:paraId="071B8187" w14:textId="77777777" w:rsidR="007D61FB" w:rsidRPr="00961960" w:rsidRDefault="007D61FB" w:rsidP="000C562C">
      <w:pPr>
        <w:pStyle w:val="Heading2"/>
        <w:rPr>
          <w:bCs w:val="0"/>
          <w:iCs w:val="0"/>
        </w:rPr>
      </w:pPr>
      <w:bookmarkStart w:id="185" w:name="_Ref178181983"/>
      <w:bookmarkStart w:id="186" w:name="_Toc181101505"/>
      <w:r w:rsidRPr="00961960">
        <w:t xml:space="preserve">Comparative workforce </w:t>
      </w:r>
      <w:r w:rsidRPr="000C562C">
        <w:t>data</w:t>
      </w:r>
      <w:bookmarkEnd w:id="185"/>
      <w:bookmarkEnd w:id="186"/>
    </w:p>
    <w:p w14:paraId="4544DDE0" w14:textId="77777777" w:rsidR="007D61FB" w:rsidRDefault="007D61FB" w:rsidP="000C562C">
      <w:pPr>
        <w:pStyle w:val="ARbody"/>
      </w:pPr>
      <w:r w:rsidRPr="005E779B">
        <w:t>The following table discloses the head count and full-time staff equivalent (FTE) of all active public service employees of the department, employed in the last full pay period in June of the current reporting period (2024), and in the last full pay period of June in the previous reporting period (2023).</w:t>
      </w:r>
    </w:p>
    <w:p w14:paraId="7E00BF4D" w14:textId="77777777" w:rsidR="007D61FB" w:rsidRPr="005E779B" w:rsidRDefault="007D61FB" w:rsidP="00A95A18">
      <w:pPr>
        <w:pStyle w:val="ARtablecaption"/>
      </w:pPr>
      <w:r w:rsidRPr="005E779B">
        <w:t xml:space="preserve">Table 1: Details of </w:t>
      </w:r>
      <w:r w:rsidRPr="000C562C">
        <w:t>employment</w:t>
      </w:r>
      <w:r w:rsidRPr="005E779B">
        <w:t xml:space="preserve"> levels in June 2024 and 2023</w:t>
      </w:r>
    </w:p>
    <w:tbl>
      <w:tblPr>
        <w:tblStyle w:val="TableGrid"/>
        <w:tblW w:w="5000" w:type="pct"/>
        <w:tblInd w:w="5" w:type="dxa"/>
        <w:tblLayout w:type="fixed"/>
        <w:tblCellMar>
          <w:right w:w="57" w:type="dxa"/>
        </w:tblCellMar>
        <w:tblLook w:val="06E0" w:firstRow="1" w:lastRow="1" w:firstColumn="1" w:lastColumn="0" w:noHBand="1" w:noVBand="1"/>
      </w:tblPr>
      <w:tblGrid>
        <w:gridCol w:w="1765"/>
        <w:gridCol w:w="858"/>
        <w:gridCol w:w="811"/>
        <w:gridCol w:w="1111"/>
        <w:gridCol w:w="907"/>
        <w:gridCol w:w="892"/>
        <w:gridCol w:w="878"/>
        <w:gridCol w:w="886"/>
        <w:gridCol w:w="1032"/>
        <w:gridCol w:w="796"/>
        <w:gridCol w:w="1024"/>
        <w:gridCol w:w="982"/>
        <w:gridCol w:w="886"/>
        <w:gridCol w:w="839"/>
        <w:gridCol w:w="829"/>
        <w:gridCol w:w="69"/>
      </w:tblGrid>
      <w:tr w:rsidR="007D61FB" w:rsidRPr="005E779B" w14:paraId="4355C6DD" w14:textId="77777777" w:rsidTr="004C23DF">
        <w:trPr>
          <w:gridAfter w:val="1"/>
          <w:cnfStyle w:val="100000000000" w:firstRow="1" w:lastRow="0" w:firstColumn="0" w:lastColumn="0" w:oddVBand="0" w:evenVBand="0" w:oddHBand="0" w:evenHBand="0" w:firstRowFirstColumn="0" w:firstRowLastColumn="0" w:lastRowFirstColumn="0" w:lastRowLastColumn="0"/>
          <w:wAfter w:w="66" w:type="dxa"/>
          <w:tblHeader/>
        </w:trPr>
        <w:tc>
          <w:tcPr>
            <w:tcW w:w="1696" w:type="dxa"/>
            <w:vMerge w:val="restart"/>
            <w:tcBorders>
              <w:top w:val="nil"/>
              <w:left w:val="nil"/>
            </w:tcBorders>
          </w:tcPr>
          <w:p w14:paraId="7DB7E082" w14:textId="77777777" w:rsidR="007D61FB" w:rsidRPr="00662EF1" w:rsidRDefault="007D61FB" w:rsidP="00662EF1">
            <w:pPr>
              <w:pStyle w:val="ARfintablecolhead"/>
            </w:pPr>
          </w:p>
        </w:tc>
        <w:tc>
          <w:tcPr>
            <w:tcW w:w="6096" w:type="dxa"/>
            <w:gridSpan w:val="7"/>
            <w:tcBorders>
              <w:top w:val="nil"/>
              <w:right w:val="single" w:sz="4" w:space="0" w:color="auto"/>
            </w:tcBorders>
            <w:shd w:val="clear" w:color="auto" w:fill="auto"/>
          </w:tcPr>
          <w:p w14:paraId="122CDF07" w14:textId="77777777" w:rsidR="007D61FB" w:rsidRPr="009C3815" w:rsidRDefault="007D61FB" w:rsidP="009C3815">
            <w:pPr>
              <w:pStyle w:val="ARtablecolheadcentre"/>
            </w:pPr>
            <w:r w:rsidRPr="009C3815">
              <w:t>June 2024</w:t>
            </w:r>
          </w:p>
        </w:tc>
        <w:tc>
          <w:tcPr>
            <w:tcW w:w="6139" w:type="dxa"/>
            <w:gridSpan w:val="7"/>
            <w:tcBorders>
              <w:top w:val="nil"/>
            </w:tcBorders>
            <w:shd w:val="clear" w:color="auto" w:fill="E7E6E6" w:themeFill="accent4"/>
          </w:tcPr>
          <w:p w14:paraId="5E74D680" w14:textId="77777777" w:rsidR="007D61FB" w:rsidRPr="009C3815" w:rsidRDefault="007D61FB" w:rsidP="009C3815">
            <w:pPr>
              <w:pStyle w:val="ARtablecolheadcentre"/>
            </w:pPr>
            <w:r w:rsidRPr="009C3815">
              <w:t>June 2023</w:t>
            </w:r>
          </w:p>
        </w:tc>
      </w:tr>
      <w:tr w:rsidR="004D1479" w:rsidRPr="005E779B" w14:paraId="4E1F31B9" w14:textId="77777777" w:rsidTr="004C23DF">
        <w:trPr>
          <w:gridAfter w:val="1"/>
          <w:cnfStyle w:val="100000000000" w:firstRow="1" w:lastRow="0" w:firstColumn="0" w:lastColumn="0" w:oddVBand="0" w:evenVBand="0" w:oddHBand="0" w:evenHBand="0" w:firstRowFirstColumn="0" w:firstRowLastColumn="0" w:lastRowFirstColumn="0" w:lastRowLastColumn="0"/>
          <w:wAfter w:w="66" w:type="dxa"/>
          <w:tblHeader/>
        </w:trPr>
        <w:tc>
          <w:tcPr>
            <w:tcW w:w="1696" w:type="dxa"/>
            <w:vMerge/>
          </w:tcPr>
          <w:p w14:paraId="4CBAE85F" w14:textId="77777777" w:rsidR="007D61FB" w:rsidRPr="005E779B" w:rsidRDefault="007D61FB">
            <w:pPr>
              <w:pStyle w:val="ARtabletext"/>
              <w:spacing w:before="10" w:after="10" w:line="240" w:lineRule="auto"/>
              <w:rPr>
                <w:sz w:val="16"/>
                <w:szCs w:val="16"/>
              </w:rPr>
            </w:pPr>
          </w:p>
        </w:tc>
        <w:tc>
          <w:tcPr>
            <w:tcW w:w="1604" w:type="dxa"/>
            <w:gridSpan w:val="2"/>
            <w:tcBorders>
              <w:top w:val="single" w:sz="4" w:space="0" w:color="auto"/>
              <w:right w:val="single" w:sz="4" w:space="0" w:color="auto"/>
            </w:tcBorders>
            <w:shd w:val="clear" w:color="auto" w:fill="auto"/>
          </w:tcPr>
          <w:p w14:paraId="3971676B" w14:textId="77777777" w:rsidR="007D61FB" w:rsidRPr="005E779B" w:rsidRDefault="007D61FB" w:rsidP="009C3815">
            <w:pPr>
              <w:pStyle w:val="ARtablecolheadcentre"/>
            </w:pPr>
            <w:r w:rsidRPr="005E779B">
              <w:t xml:space="preserve">All </w:t>
            </w:r>
            <w:r w:rsidRPr="009C3815">
              <w:t>employees</w:t>
            </w:r>
          </w:p>
        </w:tc>
        <w:tc>
          <w:tcPr>
            <w:tcW w:w="2797" w:type="dxa"/>
            <w:gridSpan w:val="3"/>
            <w:tcBorders>
              <w:top w:val="single" w:sz="4" w:space="0" w:color="auto"/>
              <w:left w:val="single" w:sz="4" w:space="0" w:color="auto"/>
              <w:right w:val="single" w:sz="4" w:space="0" w:color="auto"/>
            </w:tcBorders>
            <w:shd w:val="clear" w:color="auto" w:fill="auto"/>
          </w:tcPr>
          <w:p w14:paraId="4E9944B8" w14:textId="77777777" w:rsidR="007D61FB" w:rsidRPr="009C3815" w:rsidRDefault="007D61FB" w:rsidP="009C3815">
            <w:pPr>
              <w:pStyle w:val="ARtablecolheadcentre"/>
            </w:pPr>
            <w:r w:rsidRPr="009C3815">
              <w:t>Ongoing</w:t>
            </w:r>
          </w:p>
        </w:tc>
        <w:tc>
          <w:tcPr>
            <w:tcW w:w="1695" w:type="dxa"/>
            <w:gridSpan w:val="2"/>
            <w:tcBorders>
              <w:top w:val="single" w:sz="4" w:space="0" w:color="auto"/>
              <w:left w:val="single" w:sz="4" w:space="0" w:color="auto"/>
              <w:right w:val="single" w:sz="4" w:space="0" w:color="auto"/>
            </w:tcBorders>
            <w:shd w:val="clear" w:color="auto" w:fill="auto"/>
          </w:tcPr>
          <w:p w14:paraId="68EE204E" w14:textId="17DD0279" w:rsidR="007D61FB" w:rsidRPr="009C3815" w:rsidRDefault="007D61FB" w:rsidP="009C3815">
            <w:pPr>
              <w:pStyle w:val="ARtablecolheadcentre"/>
            </w:pPr>
            <w:r w:rsidRPr="009C3815">
              <w:t>Fixed-term and</w:t>
            </w:r>
            <w:r w:rsidR="006054FD">
              <w:t> </w:t>
            </w:r>
            <w:r w:rsidRPr="009C3815">
              <w:t>casual</w:t>
            </w:r>
          </w:p>
        </w:tc>
        <w:tc>
          <w:tcPr>
            <w:tcW w:w="1757" w:type="dxa"/>
            <w:gridSpan w:val="2"/>
            <w:tcBorders>
              <w:top w:val="single" w:sz="4" w:space="0" w:color="auto"/>
              <w:right w:val="single" w:sz="4" w:space="0" w:color="auto"/>
            </w:tcBorders>
            <w:shd w:val="clear" w:color="auto" w:fill="E7E6E6" w:themeFill="accent4"/>
          </w:tcPr>
          <w:p w14:paraId="125A4BE5" w14:textId="77777777" w:rsidR="007D61FB" w:rsidRPr="009C3815" w:rsidRDefault="007D61FB" w:rsidP="009C3815">
            <w:pPr>
              <w:pStyle w:val="ARtablecolheadcentre"/>
            </w:pPr>
            <w:r w:rsidRPr="009C3815">
              <w:t>All employees</w:t>
            </w:r>
          </w:p>
        </w:tc>
        <w:tc>
          <w:tcPr>
            <w:tcW w:w="2779" w:type="dxa"/>
            <w:gridSpan w:val="3"/>
            <w:tcBorders>
              <w:top w:val="single" w:sz="4" w:space="0" w:color="auto"/>
              <w:left w:val="single" w:sz="4" w:space="0" w:color="auto"/>
              <w:right w:val="single" w:sz="4" w:space="0" w:color="auto"/>
            </w:tcBorders>
            <w:shd w:val="clear" w:color="auto" w:fill="E7E6E6" w:themeFill="accent4"/>
          </w:tcPr>
          <w:p w14:paraId="2D1E57D3" w14:textId="77777777" w:rsidR="007D61FB" w:rsidRPr="009C3815" w:rsidRDefault="007D61FB" w:rsidP="009C3815">
            <w:pPr>
              <w:pStyle w:val="ARtablecolheadcentre"/>
            </w:pPr>
            <w:r w:rsidRPr="009C3815">
              <w:t>Ongoing</w:t>
            </w:r>
          </w:p>
        </w:tc>
        <w:tc>
          <w:tcPr>
            <w:tcW w:w="1603" w:type="dxa"/>
            <w:gridSpan w:val="2"/>
            <w:tcBorders>
              <w:top w:val="single" w:sz="4" w:space="0" w:color="auto"/>
              <w:left w:val="single" w:sz="4" w:space="0" w:color="auto"/>
            </w:tcBorders>
            <w:shd w:val="clear" w:color="auto" w:fill="E7E6E6" w:themeFill="accent4"/>
          </w:tcPr>
          <w:p w14:paraId="001C0602" w14:textId="7BD87F81" w:rsidR="007D61FB" w:rsidRPr="009C3815" w:rsidRDefault="007D61FB" w:rsidP="009C3815">
            <w:pPr>
              <w:pStyle w:val="ARtablecolheadcentre"/>
            </w:pPr>
            <w:r w:rsidRPr="009C3815">
              <w:t>Fixed-term and</w:t>
            </w:r>
            <w:r w:rsidR="006054FD">
              <w:t> </w:t>
            </w:r>
            <w:r w:rsidRPr="009C3815">
              <w:t>casual</w:t>
            </w:r>
          </w:p>
        </w:tc>
      </w:tr>
      <w:tr w:rsidR="008B3B0C" w:rsidRPr="005E779B" w14:paraId="0068FA32" w14:textId="77777777" w:rsidTr="004C23DF">
        <w:trPr>
          <w:gridAfter w:val="1"/>
          <w:cnfStyle w:val="100000000000" w:firstRow="1" w:lastRow="0" w:firstColumn="0" w:lastColumn="0" w:oddVBand="0" w:evenVBand="0" w:oddHBand="0" w:evenHBand="0" w:firstRowFirstColumn="0" w:firstRowLastColumn="0" w:lastRowFirstColumn="0" w:lastRowLastColumn="0"/>
          <w:wAfter w:w="66" w:type="dxa"/>
          <w:tblHeader/>
        </w:trPr>
        <w:tc>
          <w:tcPr>
            <w:tcW w:w="1696" w:type="dxa"/>
            <w:vMerge/>
          </w:tcPr>
          <w:p w14:paraId="1DC36C7D" w14:textId="77777777" w:rsidR="007D61FB" w:rsidRPr="005E779B" w:rsidRDefault="007D61FB">
            <w:pPr>
              <w:pStyle w:val="ARtabletext"/>
              <w:spacing w:before="10" w:after="10" w:line="240" w:lineRule="auto"/>
              <w:rPr>
                <w:sz w:val="16"/>
                <w:szCs w:val="16"/>
              </w:rPr>
            </w:pPr>
          </w:p>
        </w:tc>
        <w:tc>
          <w:tcPr>
            <w:tcW w:w="825" w:type="dxa"/>
            <w:tcBorders>
              <w:top w:val="single" w:sz="4" w:space="0" w:color="auto"/>
            </w:tcBorders>
            <w:shd w:val="clear" w:color="auto" w:fill="auto"/>
          </w:tcPr>
          <w:p w14:paraId="6D25B6F2" w14:textId="77777777" w:rsidR="007D61FB" w:rsidRPr="009C3815" w:rsidRDefault="007D61FB" w:rsidP="009C3815">
            <w:pPr>
              <w:pStyle w:val="ARtablecolheadright"/>
            </w:pPr>
            <w:r w:rsidRPr="009C3815">
              <w:t>Number</w:t>
            </w:r>
          </w:p>
          <w:p w14:paraId="5AE86350" w14:textId="540F1141" w:rsidR="007D61FB" w:rsidRPr="009C3815" w:rsidRDefault="007D61FB" w:rsidP="009C3815">
            <w:pPr>
              <w:pStyle w:val="ARtablecolheadright"/>
            </w:pPr>
            <w:r w:rsidRPr="009C3815">
              <w:t>(head</w:t>
            </w:r>
            <w:r w:rsidR="00AE4D0F">
              <w:br/>
            </w:r>
            <w:r w:rsidRPr="009C3815">
              <w:t>count)</w:t>
            </w:r>
          </w:p>
        </w:tc>
        <w:tc>
          <w:tcPr>
            <w:tcW w:w="779" w:type="dxa"/>
            <w:tcBorders>
              <w:top w:val="single" w:sz="4" w:space="0" w:color="auto"/>
              <w:right w:val="single" w:sz="4" w:space="0" w:color="auto"/>
            </w:tcBorders>
            <w:shd w:val="clear" w:color="auto" w:fill="auto"/>
          </w:tcPr>
          <w:p w14:paraId="2036E894" w14:textId="77777777" w:rsidR="007D61FB" w:rsidRPr="009C3815" w:rsidRDefault="007D61FB" w:rsidP="009C3815">
            <w:pPr>
              <w:pStyle w:val="ARtablecolheadright"/>
            </w:pPr>
            <w:r w:rsidRPr="009C3815">
              <w:t>FTE</w:t>
            </w:r>
          </w:p>
        </w:tc>
        <w:tc>
          <w:tcPr>
            <w:tcW w:w="1068" w:type="dxa"/>
            <w:tcBorders>
              <w:top w:val="single" w:sz="4" w:space="0" w:color="auto"/>
              <w:left w:val="single" w:sz="4" w:space="0" w:color="auto"/>
            </w:tcBorders>
            <w:shd w:val="clear" w:color="auto" w:fill="auto"/>
          </w:tcPr>
          <w:p w14:paraId="75853A8C" w14:textId="77777777" w:rsidR="007D61FB" w:rsidRPr="009C3815" w:rsidRDefault="007D61FB" w:rsidP="009C3815">
            <w:pPr>
              <w:pStyle w:val="ARtablecolheadright"/>
            </w:pPr>
            <w:r w:rsidRPr="009C3815">
              <w:t>Full-time</w:t>
            </w:r>
          </w:p>
          <w:p w14:paraId="13240353" w14:textId="13190E58" w:rsidR="007D61FB" w:rsidRPr="009C3815" w:rsidRDefault="007D61FB" w:rsidP="009C3815">
            <w:pPr>
              <w:pStyle w:val="ARtablecolheadright"/>
            </w:pPr>
            <w:r w:rsidRPr="009C3815">
              <w:t>(head</w:t>
            </w:r>
            <w:r w:rsidR="00AE4D0F">
              <w:br/>
            </w:r>
            <w:r w:rsidRPr="009C3815">
              <w:t>count)</w:t>
            </w:r>
          </w:p>
        </w:tc>
        <w:tc>
          <w:tcPr>
            <w:tcW w:w="872" w:type="dxa"/>
            <w:tcBorders>
              <w:top w:val="single" w:sz="4" w:space="0" w:color="auto"/>
            </w:tcBorders>
            <w:shd w:val="clear" w:color="auto" w:fill="auto"/>
          </w:tcPr>
          <w:p w14:paraId="67A0415F" w14:textId="77777777" w:rsidR="007D61FB" w:rsidRPr="009C3815" w:rsidRDefault="007D61FB" w:rsidP="009C3815">
            <w:pPr>
              <w:pStyle w:val="ARtablecolheadright"/>
            </w:pPr>
            <w:r w:rsidRPr="009C3815">
              <w:t>Part-time</w:t>
            </w:r>
          </w:p>
          <w:p w14:paraId="09F8B886" w14:textId="0DBE2E9E" w:rsidR="007D61FB" w:rsidRPr="009C3815" w:rsidRDefault="007D61FB" w:rsidP="009C3815">
            <w:pPr>
              <w:pStyle w:val="ARtablecolheadright"/>
            </w:pPr>
            <w:r w:rsidRPr="009C3815">
              <w:t>(head</w:t>
            </w:r>
            <w:r w:rsidR="00AE4D0F">
              <w:br/>
            </w:r>
            <w:r w:rsidRPr="009C3815">
              <w:t>count)</w:t>
            </w:r>
          </w:p>
        </w:tc>
        <w:tc>
          <w:tcPr>
            <w:tcW w:w="857" w:type="dxa"/>
            <w:tcBorders>
              <w:top w:val="single" w:sz="4" w:space="0" w:color="auto"/>
              <w:right w:val="single" w:sz="4" w:space="0" w:color="auto"/>
            </w:tcBorders>
            <w:shd w:val="clear" w:color="auto" w:fill="auto"/>
          </w:tcPr>
          <w:p w14:paraId="25CBAC72" w14:textId="77777777" w:rsidR="007D61FB" w:rsidRPr="009C3815" w:rsidRDefault="007D61FB" w:rsidP="009C3815">
            <w:pPr>
              <w:pStyle w:val="ARtablecolheadright"/>
            </w:pPr>
            <w:r w:rsidRPr="009C3815">
              <w:t>FTE</w:t>
            </w:r>
          </w:p>
        </w:tc>
        <w:tc>
          <w:tcPr>
            <w:tcW w:w="844" w:type="dxa"/>
            <w:tcBorders>
              <w:top w:val="single" w:sz="4" w:space="0" w:color="auto"/>
              <w:left w:val="single" w:sz="4" w:space="0" w:color="auto"/>
            </w:tcBorders>
            <w:shd w:val="clear" w:color="auto" w:fill="auto"/>
          </w:tcPr>
          <w:p w14:paraId="11A35AFF" w14:textId="77777777" w:rsidR="007D61FB" w:rsidRPr="009C3815" w:rsidRDefault="007D61FB" w:rsidP="009C3815">
            <w:pPr>
              <w:pStyle w:val="ARtablecolheadright"/>
            </w:pPr>
            <w:r w:rsidRPr="009C3815">
              <w:t>Number</w:t>
            </w:r>
          </w:p>
          <w:p w14:paraId="42E6AA59" w14:textId="57006956" w:rsidR="007D61FB" w:rsidRPr="009C3815" w:rsidRDefault="007D61FB" w:rsidP="009C3815">
            <w:pPr>
              <w:pStyle w:val="ARtablecolheadright"/>
            </w:pPr>
            <w:r w:rsidRPr="009C3815">
              <w:t>(head</w:t>
            </w:r>
            <w:r w:rsidR="00AE4D0F">
              <w:br/>
            </w:r>
            <w:r w:rsidRPr="009C3815">
              <w:t>count)</w:t>
            </w:r>
          </w:p>
        </w:tc>
        <w:tc>
          <w:tcPr>
            <w:tcW w:w="851" w:type="dxa"/>
            <w:tcBorders>
              <w:top w:val="single" w:sz="4" w:space="0" w:color="auto"/>
              <w:right w:val="single" w:sz="4" w:space="0" w:color="auto"/>
            </w:tcBorders>
            <w:shd w:val="clear" w:color="auto" w:fill="auto"/>
          </w:tcPr>
          <w:p w14:paraId="2621FDA3" w14:textId="77777777" w:rsidR="007D61FB" w:rsidRPr="009C3815" w:rsidRDefault="007D61FB" w:rsidP="009C3815">
            <w:pPr>
              <w:pStyle w:val="ARtablecolheadright"/>
            </w:pPr>
            <w:r w:rsidRPr="009C3815">
              <w:t>FTE</w:t>
            </w:r>
          </w:p>
        </w:tc>
        <w:tc>
          <w:tcPr>
            <w:tcW w:w="992" w:type="dxa"/>
            <w:tcBorders>
              <w:top w:val="single" w:sz="4" w:space="0" w:color="auto"/>
              <w:right w:val="nil"/>
            </w:tcBorders>
            <w:shd w:val="clear" w:color="auto" w:fill="E7E6E6" w:themeFill="accent4"/>
          </w:tcPr>
          <w:p w14:paraId="010C1FE0" w14:textId="77777777" w:rsidR="007D61FB" w:rsidRPr="009C3815" w:rsidRDefault="007D61FB" w:rsidP="009C3815">
            <w:pPr>
              <w:pStyle w:val="ARtablecolheadright"/>
            </w:pPr>
            <w:r w:rsidRPr="009C3815">
              <w:t>Number</w:t>
            </w:r>
          </w:p>
          <w:p w14:paraId="492F76B1" w14:textId="6115CABF" w:rsidR="007D61FB" w:rsidRPr="009C3815" w:rsidRDefault="007D61FB" w:rsidP="009C3815">
            <w:pPr>
              <w:pStyle w:val="ARtablecolheadright"/>
            </w:pPr>
            <w:r w:rsidRPr="009C3815">
              <w:t>(head</w:t>
            </w:r>
            <w:r w:rsidR="00AE4D0F">
              <w:br/>
            </w:r>
            <w:r w:rsidRPr="009C3815">
              <w:t>count)</w:t>
            </w:r>
          </w:p>
        </w:tc>
        <w:tc>
          <w:tcPr>
            <w:tcW w:w="765" w:type="dxa"/>
            <w:tcBorders>
              <w:top w:val="single" w:sz="4" w:space="0" w:color="auto"/>
              <w:left w:val="nil"/>
              <w:right w:val="single" w:sz="4" w:space="0" w:color="auto"/>
            </w:tcBorders>
            <w:shd w:val="clear" w:color="auto" w:fill="E7E6E6" w:themeFill="accent4"/>
          </w:tcPr>
          <w:p w14:paraId="3CE9457C" w14:textId="77777777" w:rsidR="007D61FB" w:rsidRPr="009C3815" w:rsidRDefault="007D61FB" w:rsidP="009C3815">
            <w:pPr>
              <w:pStyle w:val="ARtablecolheadright"/>
            </w:pPr>
            <w:r w:rsidRPr="009C3815">
              <w:t>FTE</w:t>
            </w:r>
          </w:p>
        </w:tc>
        <w:tc>
          <w:tcPr>
            <w:tcW w:w="984" w:type="dxa"/>
            <w:tcBorders>
              <w:top w:val="single" w:sz="4" w:space="0" w:color="auto"/>
              <w:left w:val="single" w:sz="4" w:space="0" w:color="auto"/>
              <w:right w:val="nil"/>
            </w:tcBorders>
            <w:shd w:val="clear" w:color="auto" w:fill="E7E6E6" w:themeFill="accent4"/>
          </w:tcPr>
          <w:p w14:paraId="5C1B7B8A" w14:textId="77777777" w:rsidR="007D61FB" w:rsidRPr="009C3815" w:rsidRDefault="007D61FB" w:rsidP="009C3815">
            <w:pPr>
              <w:pStyle w:val="ARtablecolheadright"/>
            </w:pPr>
            <w:r w:rsidRPr="009C3815">
              <w:t>Full-time</w:t>
            </w:r>
          </w:p>
          <w:p w14:paraId="255F40A4" w14:textId="1C0FDCF4" w:rsidR="007D61FB" w:rsidRPr="009C3815" w:rsidRDefault="007D61FB" w:rsidP="009C3815">
            <w:pPr>
              <w:pStyle w:val="ARtablecolheadright"/>
            </w:pPr>
            <w:r w:rsidRPr="009C3815">
              <w:t>(head</w:t>
            </w:r>
            <w:r w:rsidR="00AE4D0F">
              <w:br/>
            </w:r>
            <w:r w:rsidRPr="009C3815">
              <w:t>count)</w:t>
            </w:r>
          </w:p>
        </w:tc>
        <w:tc>
          <w:tcPr>
            <w:tcW w:w="944" w:type="dxa"/>
            <w:tcBorders>
              <w:top w:val="single" w:sz="4" w:space="0" w:color="auto"/>
              <w:left w:val="nil"/>
              <w:right w:val="nil"/>
            </w:tcBorders>
            <w:shd w:val="clear" w:color="auto" w:fill="E7E6E6" w:themeFill="accent4"/>
          </w:tcPr>
          <w:p w14:paraId="523F8F72" w14:textId="77777777" w:rsidR="007D61FB" w:rsidRPr="009C3815" w:rsidRDefault="007D61FB" w:rsidP="009C3815">
            <w:pPr>
              <w:pStyle w:val="ARtablecolheadright"/>
            </w:pPr>
            <w:r w:rsidRPr="009C3815">
              <w:t>Part-time</w:t>
            </w:r>
          </w:p>
          <w:p w14:paraId="6B6EE745" w14:textId="279C2EC5" w:rsidR="007D61FB" w:rsidRPr="009C3815" w:rsidRDefault="007D61FB" w:rsidP="009C3815">
            <w:pPr>
              <w:pStyle w:val="ARtablecolheadright"/>
            </w:pPr>
            <w:r w:rsidRPr="009C3815">
              <w:t>(head</w:t>
            </w:r>
            <w:r w:rsidR="00AE4D0F">
              <w:br/>
            </w:r>
            <w:r w:rsidRPr="009C3815">
              <w:t>count)</w:t>
            </w:r>
          </w:p>
        </w:tc>
        <w:tc>
          <w:tcPr>
            <w:tcW w:w="851" w:type="dxa"/>
            <w:tcBorders>
              <w:top w:val="single" w:sz="4" w:space="0" w:color="auto"/>
              <w:left w:val="nil"/>
              <w:right w:val="single" w:sz="4" w:space="0" w:color="auto"/>
            </w:tcBorders>
            <w:shd w:val="clear" w:color="auto" w:fill="E7E6E6" w:themeFill="accent4"/>
          </w:tcPr>
          <w:p w14:paraId="18AB409F" w14:textId="77777777" w:rsidR="007D61FB" w:rsidRPr="009C3815" w:rsidRDefault="007D61FB" w:rsidP="009C3815">
            <w:pPr>
              <w:pStyle w:val="ARtablecolheadright"/>
            </w:pPr>
            <w:r w:rsidRPr="009C3815">
              <w:t>FTE</w:t>
            </w:r>
          </w:p>
        </w:tc>
        <w:tc>
          <w:tcPr>
            <w:tcW w:w="806" w:type="dxa"/>
            <w:tcBorders>
              <w:top w:val="single" w:sz="4" w:space="0" w:color="auto"/>
              <w:left w:val="single" w:sz="4" w:space="0" w:color="auto"/>
              <w:right w:val="nil"/>
            </w:tcBorders>
            <w:shd w:val="clear" w:color="auto" w:fill="E7E6E6" w:themeFill="accent4"/>
          </w:tcPr>
          <w:p w14:paraId="7CDAE5A8" w14:textId="77777777" w:rsidR="007D61FB" w:rsidRPr="009C3815" w:rsidRDefault="007D61FB" w:rsidP="009C3815">
            <w:pPr>
              <w:pStyle w:val="ARtablecolheadright"/>
            </w:pPr>
            <w:r w:rsidRPr="009C3815">
              <w:t>Number</w:t>
            </w:r>
          </w:p>
          <w:p w14:paraId="74A94C53" w14:textId="2DBB02E6" w:rsidR="007D61FB" w:rsidRPr="009C3815" w:rsidRDefault="007D61FB" w:rsidP="009C3815">
            <w:pPr>
              <w:pStyle w:val="ARtablecolheadright"/>
            </w:pPr>
            <w:r w:rsidRPr="009C3815">
              <w:t>(head</w:t>
            </w:r>
            <w:r w:rsidR="00AE4D0F">
              <w:br/>
            </w:r>
            <w:r w:rsidRPr="009C3815">
              <w:t>count)</w:t>
            </w:r>
          </w:p>
        </w:tc>
        <w:tc>
          <w:tcPr>
            <w:tcW w:w="797" w:type="dxa"/>
            <w:tcBorders>
              <w:top w:val="single" w:sz="4" w:space="0" w:color="auto"/>
              <w:left w:val="nil"/>
            </w:tcBorders>
            <w:shd w:val="clear" w:color="auto" w:fill="E7E6E6" w:themeFill="accent4"/>
          </w:tcPr>
          <w:p w14:paraId="1DE1F461" w14:textId="77777777" w:rsidR="007D61FB" w:rsidRPr="009C3815" w:rsidRDefault="007D61FB" w:rsidP="009C3815">
            <w:pPr>
              <w:pStyle w:val="ARtablecolheadright"/>
            </w:pPr>
            <w:r w:rsidRPr="009C3815">
              <w:t>FTE</w:t>
            </w:r>
          </w:p>
        </w:tc>
      </w:tr>
      <w:tr w:rsidR="007D61FB" w:rsidRPr="005E779B" w14:paraId="4721BA62" w14:textId="77777777" w:rsidTr="004C23DF">
        <w:trPr>
          <w:cantSplit w:val="0"/>
        </w:trPr>
        <w:tc>
          <w:tcPr>
            <w:tcW w:w="13997" w:type="dxa"/>
            <w:gridSpan w:val="16"/>
            <w:tcBorders>
              <w:top w:val="single" w:sz="4" w:space="0" w:color="auto"/>
              <w:left w:val="nil"/>
              <w:bottom w:val="single" w:sz="4" w:space="0" w:color="auto"/>
            </w:tcBorders>
          </w:tcPr>
          <w:p w14:paraId="5652F22E" w14:textId="77777777" w:rsidR="007D61FB" w:rsidRPr="005E779B" w:rsidRDefault="007D61FB" w:rsidP="009C3815">
            <w:pPr>
              <w:pStyle w:val="ARtablebluebold"/>
            </w:pPr>
            <w:r w:rsidRPr="005E779B">
              <w:t xml:space="preserve">Part 1: </w:t>
            </w:r>
            <w:r w:rsidRPr="009C3815">
              <w:t>Demographic</w:t>
            </w:r>
            <w:r w:rsidRPr="005E779B">
              <w:t xml:space="preserve"> data</w:t>
            </w:r>
          </w:p>
        </w:tc>
      </w:tr>
      <w:tr w:rsidR="007D61FB" w:rsidRPr="005E779B" w14:paraId="128355BB" w14:textId="77777777" w:rsidTr="004C23DF">
        <w:trPr>
          <w:cantSplit w:val="0"/>
        </w:trPr>
        <w:tc>
          <w:tcPr>
            <w:tcW w:w="13997" w:type="dxa"/>
            <w:gridSpan w:val="16"/>
            <w:tcBorders>
              <w:top w:val="single" w:sz="4" w:space="0" w:color="auto"/>
              <w:left w:val="nil"/>
              <w:bottom w:val="single" w:sz="4" w:space="0" w:color="A6A6A6" w:themeColor="background1" w:themeShade="A6"/>
            </w:tcBorders>
          </w:tcPr>
          <w:p w14:paraId="73F82A80" w14:textId="77777777" w:rsidR="007D61FB" w:rsidRPr="005E779B" w:rsidRDefault="007D61FB" w:rsidP="009C3815">
            <w:pPr>
              <w:pStyle w:val="ARtablebluebold"/>
            </w:pPr>
            <w:r w:rsidRPr="005E779B">
              <w:t>Gender</w:t>
            </w:r>
          </w:p>
        </w:tc>
      </w:tr>
      <w:tr w:rsidR="008B3B0C" w:rsidRPr="005E779B" w14:paraId="0BEBBFC9"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tcBorders>
            <w:hideMark/>
          </w:tcPr>
          <w:p w14:paraId="537CA9B2" w14:textId="77777777" w:rsidR="007D61FB" w:rsidRPr="00B62D0D" w:rsidRDefault="007D61FB" w:rsidP="00B62D0D">
            <w:pPr>
              <w:pStyle w:val="ARtabletext"/>
            </w:pPr>
            <w:r w:rsidRPr="00B62D0D">
              <w:t>Women</w:t>
            </w:r>
          </w:p>
        </w:tc>
        <w:tc>
          <w:tcPr>
            <w:tcW w:w="825" w:type="dxa"/>
            <w:tcBorders>
              <w:top w:val="single" w:sz="4" w:space="0" w:color="A6A6A6" w:themeColor="background1" w:themeShade="A6"/>
              <w:bottom w:val="single" w:sz="4" w:space="0" w:color="A6A6A6" w:themeColor="background1" w:themeShade="A6"/>
              <w:right w:val="nil"/>
            </w:tcBorders>
            <w:shd w:val="clear" w:color="auto" w:fill="auto"/>
          </w:tcPr>
          <w:p w14:paraId="7086E56E" w14:textId="0CE0CE33" w:rsidR="007D61FB" w:rsidRPr="009D73E2" w:rsidRDefault="00E570E2" w:rsidP="009D73E2">
            <w:pPr>
              <w:pStyle w:val="ARtabletextright"/>
            </w:pPr>
            <w:r w:rsidRPr="009D73E2">
              <w:t xml:space="preserve"> </w:t>
            </w:r>
            <w:r w:rsidR="007D61FB" w:rsidRPr="009D73E2">
              <w:t>5</w:t>
            </w:r>
            <w:r w:rsidR="00D05ACC">
              <w:t>,</w:t>
            </w:r>
            <w:r w:rsidR="007D61FB" w:rsidRPr="009D73E2">
              <w:t>494</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021CB004" w14:textId="182A252E" w:rsidR="007D61FB" w:rsidRPr="009D73E2" w:rsidRDefault="007D61FB" w:rsidP="009D73E2">
            <w:pPr>
              <w:pStyle w:val="ARtabletextright"/>
            </w:pPr>
            <w:r w:rsidRPr="009D73E2">
              <w:t>5</w:t>
            </w:r>
            <w:r w:rsidR="00D05ACC">
              <w:t>,</w:t>
            </w:r>
            <w:r w:rsidRPr="009D73E2">
              <w:t>079.1</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21993118" w14:textId="2803E4BC" w:rsidR="007D61FB" w:rsidRPr="009D73E2" w:rsidRDefault="007D61FB" w:rsidP="009D73E2">
            <w:pPr>
              <w:pStyle w:val="ARtabletextright"/>
            </w:pPr>
            <w:r w:rsidRPr="009D73E2">
              <w:t>3</w:t>
            </w:r>
            <w:r w:rsidR="00D05ACC">
              <w:t>,</w:t>
            </w:r>
            <w:r w:rsidRPr="009D73E2">
              <w:t>630</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tcPr>
          <w:p w14:paraId="0CFD1C92" w14:textId="59FC63A4" w:rsidR="007D61FB" w:rsidRPr="009D73E2" w:rsidRDefault="00E570E2" w:rsidP="009D73E2">
            <w:pPr>
              <w:pStyle w:val="ARtabletextright"/>
            </w:pPr>
            <w:r w:rsidRPr="009D73E2">
              <w:t xml:space="preserve"> </w:t>
            </w:r>
            <w:r w:rsidR="007D61FB" w:rsidRPr="009D73E2">
              <w:t>766</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653DD604" w14:textId="792305E2" w:rsidR="007D61FB" w:rsidRPr="009D73E2" w:rsidRDefault="007D61FB" w:rsidP="009D73E2">
            <w:pPr>
              <w:pStyle w:val="ARtabletextright"/>
            </w:pPr>
            <w:r w:rsidRPr="009D73E2">
              <w:t>4</w:t>
            </w:r>
            <w:r w:rsidR="00D05ACC">
              <w:t>,</w:t>
            </w:r>
            <w:r w:rsidRPr="009D73E2">
              <w:t>113.8</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0485483" w14:textId="2CFD68A9" w:rsidR="007D61FB" w:rsidRPr="009D73E2" w:rsidRDefault="007D61FB" w:rsidP="009D73E2">
            <w:pPr>
              <w:pStyle w:val="ARtabletextright"/>
            </w:pPr>
            <w:r w:rsidRPr="009D73E2">
              <w:t>1</w:t>
            </w:r>
            <w:r w:rsidR="00D05ACC">
              <w:t>,</w:t>
            </w:r>
            <w:r w:rsidRPr="009D73E2">
              <w:t>098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41DEDF23" w14:textId="77777777" w:rsidR="007D61FB" w:rsidRPr="009D73E2" w:rsidRDefault="007D61FB" w:rsidP="009D73E2">
            <w:pPr>
              <w:pStyle w:val="ARtabletextright"/>
            </w:pPr>
            <w:r w:rsidRPr="009D73E2">
              <w:t>965.3</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E230860" w14:textId="77777777" w:rsidR="007D61FB" w:rsidRPr="009D73E2" w:rsidRDefault="007D61FB" w:rsidP="009D73E2">
            <w:pPr>
              <w:pStyle w:val="ARtabletextright"/>
            </w:pPr>
            <w:r w:rsidRPr="009D73E2">
              <w:t>5,444</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105095E" w14:textId="77777777" w:rsidR="007D61FB" w:rsidRPr="009D73E2" w:rsidRDefault="007D61FB" w:rsidP="009D73E2">
            <w:pPr>
              <w:pStyle w:val="ARtabletextright"/>
            </w:pPr>
            <w:r w:rsidRPr="009D73E2">
              <w:t>5,040.7</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945215A" w14:textId="77777777" w:rsidR="007D61FB" w:rsidRPr="009D73E2" w:rsidRDefault="007D61FB" w:rsidP="009D73E2">
            <w:pPr>
              <w:pStyle w:val="ARtabletextright"/>
            </w:pPr>
            <w:r w:rsidRPr="009D73E2">
              <w:t>3,255</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6C1D8177" w14:textId="77777777" w:rsidR="007D61FB" w:rsidRPr="009D73E2" w:rsidRDefault="007D61FB" w:rsidP="009D73E2">
            <w:pPr>
              <w:pStyle w:val="ARtabletextright"/>
            </w:pPr>
            <w:r w:rsidRPr="009D73E2">
              <w:t>734</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2FC912A" w14:textId="77777777" w:rsidR="007D61FB" w:rsidRPr="009D73E2" w:rsidRDefault="007D61FB" w:rsidP="009D73E2">
            <w:pPr>
              <w:pStyle w:val="ARtabletextright"/>
            </w:pPr>
            <w:r w:rsidRPr="009D73E2">
              <w:t>3,712.4</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E59D77D" w14:textId="77777777" w:rsidR="007D61FB" w:rsidRPr="009D73E2" w:rsidRDefault="007D61FB" w:rsidP="009D73E2">
            <w:pPr>
              <w:pStyle w:val="ARtabletextright"/>
            </w:pPr>
            <w:r w:rsidRPr="009D73E2">
              <w:t>1,455</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7ACD172" w14:textId="77777777" w:rsidR="007D61FB" w:rsidRPr="009D73E2" w:rsidRDefault="007D61FB" w:rsidP="009D73E2">
            <w:pPr>
              <w:pStyle w:val="ARtabletextright"/>
            </w:pPr>
            <w:r w:rsidRPr="009D73E2">
              <w:t>1,324.3</w:t>
            </w:r>
          </w:p>
        </w:tc>
      </w:tr>
      <w:tr w:rsidR="008B3B0C" w:rsidRPr="005E779B" w14:paraId="642611FC"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tcBorders>
            <w:hideMark/>
          </w:tcPr>
          <w:p w14:paraId="6E292C6D" w14:textId="77777777" w:rsidR="007D61FB" w:rsidRPr="00B62D0D" w:rsidRDefault="007D61FB" w:rsidP="00B62D0D">
            <w:pPr>
              <w:pStyle w:val="ARtabletext"/>
            </w:pPr>
            <w:r w:rsidRPr="00B62D0D">
              <w:t>Men</w:t>
            </w:r>
          </w:p>
        </w:tc>
        <w:tc>
          <w:tcPr>
            <w:tcW w:w="825" w:type="dxa"/>
            <w:tcBorders>
              <w:top w:val="single" w:sz="4" w:space="0" w:color="A6A6A6" w:themeColor="background1" w:themeShade="A6"/>
              <w:bottom w:val="single" w:sz="4" w:space="0" w:color="A6A6A6" w:themeColor="background1" w:themeShade="A6"/>
              <w:right w:val="nil"/>
            </w:tcBorders>
            <w:shd w:val="clear" w:color="auto" w:fill="auto"/>
          </w:tcPr>
          <w:p w14:paraId="3C9A4A75" w14:textId="67A1736A" w:rsidR="007D61FB" w:rsidRPr="009D73E2" w:rsidRDefault="007D61FB" w:rsidP="009D73E2">
            <w:pPr>
              <w:pStyle w:val="ARtabletextright"/>
            </w:pPr>
            <w:r w:rsidRPr="009D73E2">
              <w:t>1</w:t>
            </w:r>
            <w:r w:rsidR="00D05ACC">
              <w:t>,</w:t>
            </w:r>
            <w:r w:rsidRPr="009D73E2">
              <w:t>576</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062743E6" w14:textId="2EED1CAD" w:rsidR="007D61FB" w:rsidRPr="009D73E2" w:rsidRDefault="007D61FB" w:rsidP="009D73E2">
            <w:pPr>
              <w:pStyle w:val="ARtabletextright"/>
            </w:pPr>
            <w:r w:rsidRPr="009D73E2">
              <w:t>1</w:t>
            </w:r>
            <w:r w:rsidR="00D05ACC">
              <w:t>,</w:t>
            </w:r>
            <w:r w:rsidRPr="009D73E2">
              <w:t>512.9</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2B64766B" w14:textId="79EAE689" w:rsidR="007D61FB" w:rsidRPr="009D73E2" w:rsidRDefault="007D61FB" w:rsidP="009D73E2">
            <w:pPr>
              <w:pStyle w:val="ARtabletextright"/>
            </w:pPr>
            <w:r w:rsidRPr="009D73E2">
              <w:t>1</w:t>
            </w:r>
            <w:r w:rsidR="00D05ACC">
              <w:t>,</w:t>
            </w:r>
            <w:r w:rsidRPr="009D73E2">
              <w:t>096</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tcPr>
          <w:p w14:paraId="481FB2A0" w14:textId="77777777" w:rsidR="007D61FB" w:rsidRPr="009D73E2" w:rsidRDefault="007D61FB" w:rsidP="009D73E2">
            <w:pPr>
              <w:pStyle w:val="ARtabletextright"/>
            </w:pPr>
            <w:r w:rsidRPr="009D73E2">
              <w:t>75</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0314701B" w14:textId="32FEA275" w:rsidR="007D61FB" w:rsidRPr="009D73E2" w:rsidRDefault="007D61FB" w:rsidP="009D73E2">
            <w:pPr>
              <w:pStyle w:val="ARtabletextright"/>
            </w:pPr>
            <w:r w:rsidRPr="009D73E2">
              <w:t>1</w:t>
            </w:r>
            <w:r w:rsidR="00D05ACC">
              <w:t>,</w:t>
            </w:r>
            <w:r w:rsidRPr="009D73E2">
              <w:t>142.4</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21D7654" w14:textId="77777777" w:rsidR="007D61FB" w:rsidRPr="009D73E2" w:rsidRDefault="007D61FB" w:rsidP="009D73E2">
            <w:pPr>
              <w:pStyle w:val="ARtabletextright"/>
            </w:pPr>
            <w:r w:rsidRPr="009D73E2">
              <w:t>405</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F514909" w14:textId="77777777" w:rsidR="007D61FB" w:rsidRPr="009D73E2" w:rsidRDefault="007D61FB" w:rsidP="009D73E2">
            <w:pPr>
              <w:pStyle w:val="ARtabletextright"/>
            </w:pPr>
            <w:r w:rsidRPr="009D73E2">
              <w:t>370.5</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6C6BCAEA" w14:textId="77777777" w:rsidR="007D61FB" w:rsidRPr="009D73E2" w:rsidRDefault="007D61FB" w:rsidP="009D73E2">
            <w:pPr>
              <w:pStyle w:val="ARtabletextright"/>
            </w:pPr>
            <w:r w:rsidRPr="009D73E2">
              <w:t>1,612</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E545B88" w14:textId="77777777" w:rsidR="007D61FB" w:rsidRPr="009D73E2" w:rsidRDefault="007D61FB" w:rsidP="009D73E2">
            <w:pPr>
              <w:pStyle w:val="ARtabletextright"/>
            </w:pPr>
            <w:r w:rsidRPr="009D73E2">
              <w:t>1,553.3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548593C" w14:textId="77777777" w:rsidR="007D61FB" w:rsidRPr="009D73E2" w:rsidRDefault="007D61FB" w:rsidP="009D73E2">
            <w:pPr>
              <w:pStyle w:val="ARtabletextright"/>
            </w:pPr>
            <w:r w:rsidRPr="009D73E2">
              <w:t>1,032</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3940AC5" w14:textId="77777777" w:rsidR="007D61FB" w:rsidRPr="009D73E2" w:rsidRDefault="007D61FB" w:rsidP="009D73E2">
            <w:pPr>
              <w:pStyle w:val="ARtabletextright"/>
            </w:pPr>
            <w:r w:rsidRPr="009D73E2">
              <w:t>73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16DF558" w14:textId="77777777" w:rsidR="007D61FB" w:rsidRPr="009D73E2" w:rsidRDefault="007D61FB" w:rsidP="009D73E2">
            <w:pPr>
              <w:pStyle w:val="ARtabletextright"/>
            </w:pPr>
            <w:r w:rsidRPr="009D73E2">
              <w:t>1,078.6</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269F947" w14:textId="77777777" w:rsidR="007D61FB" w:rsidRPr="009D73E2" w:rsidRDefault="007D61FB" w:rsidP="009D73E2">
            <w:pPr>
              <w:pStyle w:val="ARtabletextright"/>
            </w:pPr>
            <w:r w:rsidRPr="009D73E2">
              <w:t>507</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68CD723" w14:textId="77777777" w:rsidR="007D61FB" w:rsidRPr="009D73E2" w:rsidRDefault="007D61FB" w:rsidP="009D73E2">
            <w:pPr>
              <w:pStyle w:val="ARtabletextright"/>
            </w:pPr>
            <w:r w:rsidRPr="009D73E2">
              <w:t>474.8</w:t>
            </w:r>
          </w:p>
        </w:tc>
      </w:tr>
      <w:tr w:rsidR="008B3B0C" w:rsidRPr="005E779B" w14:paraId="3A9C0E2F" w14:textId="77777777" w:rsidTr="004C23DF">
        <w:trPr>
          <w:gridAfter w:val="1"/>
          <w:wAfter w:w="66" w:type="dxa"/>
          <w:cantSplit w:val="0"/>
        </w:trPr>
        <w:tc>
          <w:tcPr>
            <w:tcW w:w="1696" w:type="dxa"/>
            <w:tcBorders>
              <w:top w:val="single" w:sz="4" w:space="0" w:color="A6A6A6" w:themeColor="background1" w:themeShade="A6"/>
              <w:left w:val="nil"/>
              <w:bottom w:val="single" w:sz="4" w:space="0" w:color="auto"/>
            </w:tcBorders>
          </w:tcPr>
          <w:p w14:paraId="238CDA33" w14:textId="77777777" w:rsidR="007D61FB" w:rsidRPr="00B62D0D" w:rsidRDefault="007D61FB" w:rsidP="00B62D0D">
            <w:pPr>
              <w:pStyle w:val="ARtabletext"/>
            </w:pPr>
            <w:r w:rsidRPr="00B62D0D">
              <w:t>Self-described</w:t>
            </w:r>
          </w:p>
        </w:tc>
        <w:tc>
          <w:tcPr>
            <w:tcW w:w="825" w:type="dxa"/>
            <w:tcBorders>
              <w:top w:val="single" w:sz="4" w:space="0" w:color="A6A6A6" w:themeColor="background1" w:themeShade="A6"/>
              <w:bottom w:val="single" w:sz="4" w:space="0" w:color="auto"/>
              <w:right w:val="nil"/>
            </w:tcBorders>
            <w:shd w:val="clear" w:color="auto" w:fill="auto"/>
          </w:tcPr>
          <w:p w14:paraId="6D9B8E59" w14:textId="77777777" w:rsidR="007D61FB" w:rsidRPr="009D73E2" w:rsidRDefault="007D61FB" w:rsidP="009D73E2">
            <w:pPr>
              <w:pStyle w:val="ARtabletextright"/>
            </w:pPr>
            <w:r w:rsidRPr="009D73E2">
              <w:t>99</w:t>
            </w:r>
          </w:p>
        </w:tc>
        <w:tc>
          <w:tcPr>
            <w:tcW w:w="779" w:type="dxa"/>
            <w:tcBorders>
              <w:top w:val="single" w:sz="4" w:space="0" w:color="A6A6A6" w:themeColor="background1" w:themeShade="A6"/>
              <w:left w:val="nil"/>
              <w:bottom w:val="single" w:sz="4" w:space="0" w:color="auto"/>
              <w:right w:val="single" w:sz="4" w:space="0" w:color="auto"/>
            </w:tcBorders>
            <w:shd w:val="clear" w:color="auto" w:fill="auto"/>
          </w:tcPr>
          <w:p w14:paraId="03B0D28A" w14:textId="77777777" w:rsidR="007D61FB" w:rsidRPr="009D73E2" w:rsidRDefault="007D61FB" w:rsidP="009D73E2">
            <w:pPr>
              <w:pStyle w:val="ARtabletextright"/>
            </w:pPr>
            <w:r w:rsidRPr="009D73E2">
              <w:t>92.2</w:t>
            </w:r>
          </w:p>
        </w:tc>
        <w:tc>
          <w:tcPr>
            <w:tcW w:w="1068" w:type="dxa"/>
            <w:tcBorders>
              <w:top w:val="single" w:sz="4" w:space="0" w:color="A6A6A6" w:themeColor="background1" w:themeShade="A6"/>
              <w:left w:val="single" w:sz="4" w:space="0" w:color="auto"/>
              <w:bottom w:val="single" w:sz="4" w:space="0" w:color="auto"/>
              <w:right w:val="nil"/>
            </w:tcBorders>
            <w:shd w:val="clear" w:color="auto" w:fill="auto"/>
          </w:tcPr>
          <w:p w14:paraId="3189A252" w14:textId="77777777" w:rsidR="007D61FB" w:rsidRPr="009D73E2" w:rsidRDefault="007D61FB" w:rsidP="009D73E2">
            <w:pPr>
              <w:pStyle w:val="ARtabletextright"/>
            </w:pPr>
            <w:r w:rsidRPr="009D73E2">
              <w:t>54</w:t>
            </w:r>
          </w:p>
        </w:tc>
        <w:tc>
          <w:tcPr>
            <w:tcW w:w="872" w:type="dxa"/>
            <w:tcBorders>
              <w:top w:val="single" w:sz="4" w:space="0" w:color="A6A6A6" w:themeColor="background1" w:themeShade="A6"/>
              <w:left w:val="nil"/>
              <w:bottom w:val="single" w:sz="4" w:space="0" w:color="auto"/>
              <w:right w:val="nil"/>
            </w:tcBorders>
            <w:shd w:val="clear" w:color="auto" w:fill="auto"/>
          </w:tcPr>
          <w:p w14:paraId="0824E162" w14:textId="77777777" w:rsidR="007D61FB" w:rsidRPr="009D73E2" w:rsidRDefault="007D61FB" w:rsidP="009D73E2">
            <w:pPr>
              <w:pStyle w:val="ARtabletextright"/>
            </w:pPr>
            <w:r w:rsidRPr="009D73E2">
              <w:t>8</w:t>
            </w:r>
          </w:p>
        </w:tc>
        <w:tc>
          <w:tcPr>
            <w:tcW w:w="857" w:type="dxa"/>
            <w:tcBorders>
              <w:top w:val="single" w:sz="4" w:space="0" w:color="A6A6A6" w:themeColor="background1" w:themeShade="A6"/>
              <w:left w:val="nil"/>
              <w:bottom w:val="single" w:sz="4" w:space="0" w:color="auto"/>
              <w:right w:val="single" w:sz="4" w:space="0" w:color="auto"/>
            </w:tcBorders>
            <w:shd w:val="clear" w:color="auto" w:fill="auto"/>
          </w:tcPr>
          <w:p w14:paraId="09E72BEB" w14:textId="77777777" w:rsidR="007D61FB" w:rsidRPr="009D73E2" w:rsidRDefault="007D61FB" w:rsidP="009D73E2">
            <w:pPr>
              <w:pStyle w:val="ARtabletextright"/>
            </w:pPr>
            <w:r w:rsidRPr="009D73E2">
              <w:t>59.65</w:t>
            </w:r>
          </w:p>
        </w:tc>
        <w:tc>
          <w:tcPr>
            <w:tcW w:w="844" w:type="dxa"/>
            <w:tcBorders>
              <w:top w:val="single" w:sz="4" w:space="0" w:color="A6A6A6" w:themeColor="background1" w:themeShade="A6"/>
              <w:left w:val="single" w:sz="4" w:space="0" w:color="auto"/>
              <w:bottom w:val="single" w:sz="4" w:space="0" w:color="auto"/>
              <w:right w:val="nil"/>
            </w:tcBorders>
            <w:shd w:val="clear" w:color="auto" w:fill="auto"/>
          </w:tcPr>
          <w:p w14:paraId="048C9C82" w14:textId="77777777" w:rsidR="007D61FB" w:rsidRPr="009D73E2" w:rsidRDefault="007D61FB" w:rsidP="009D73E2">
            <w:pPr>
              <w:pStyle w:val="ARtabletextright"/>
            </w:pPr>
            <w:r w:rsidRPr="009D73E2">
              <w:t>37</w:t>
            </w:r>
          </w:p>
        </w:tc>
        <w:tc>
          <w:tcPr>
            <w:tcW w:w="851" w:type="dxa"/>
            <w:tcBorders>
              <w:top w:val="single" w:sz="4" w:space="0" w:color="A6A6A6" w:themeColor="background1" w:themeShade="A6"/>
              <w:left w:val="nil"/>
              <w:bottom w:val="single" w:sz="4" w:space="0" w:color="auto"/>
              <w:right w:val="single" w:sz="4" w:space="0" w:color="auto"/>
            </w:tcBorders>
            <w:shd w:val="clear" w:color="auto" w:fill="auto"/>
          </w:tcPr>
          <w:p w14:paraId="215CDB4E" w14:textId="77777777" w:rsidR="007D61FB" w:rsidRPr="009D73E2" w:rsidRDefault="007D61FB" w:rsidP="009D73E2">
            <w:pPr>
              <w:pStyle w:val="ARtabletextright"/>
            </w:pPr>
            <w:r w:rsidRPr="009D73E2">
              <w:t>32.51</w:t>
            </w:r>
          </w:p>
        </w:tc>
        <w:tc>
          <w:tcPr>
            <w:tcW w:w="992" w:type="dxa"/>
            <w:tcBorders>
              <w:top w:val="single" w:sz="4" w:space="0" w:color="A6A6A6" w:themeColor="background1" w:themeShade="A6"/>
              <w:bottom w:val="single" w:sz="4" w:space="0" w:color="auto"/>
              <w:right w:val="nil"/>
            </w:tcBorders>
            <w:shd w:val="clear" w:color="auto" w:fill="E7E6E6" w:themeFill="accent4"/>
          </w:tcPr>
          <w:p w14:paraId="0255FC08" w14:textId="77777777" w:rsidR="007D61FB" w:rsidRPr="009D73E2" w:rsidRDefault="007D61FB" w:rsidP="009D73E2">
            <w:pPr>
              <w:pStyle w:val="ARtabletextright"/>
            </w:pPr>
            <w:r w:rsidRPr="009D73E2">
              <w:t>94</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37B27754" w14:textId="77777777" w:rsidR="007D61FB" w:rsidRPr="009D73E2" w:rsidRDefault="007D61FB" w:rsidP="009D73E2">
            <w:pPr>
              <w:pStyle w:val="ARtabletextright"/>
            </w:pPr>
            <w:r w:rsidRPr="009D73E2">
              <w:t>89.8</w:t>
            </w:r>
          </w:p>
        </w:tc>
        <w:tc>
          <w:tcPr>
            <w:tcW w:w="984"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5498A2BD" w14:textId="77777777" w:rsidR="007D61FB" w:rsidRPr="009D73E2" w:rsidRDefault="007D61FB" w:rsidP="009D73E2">
            <w:pPr>
              <w:pStyle w:val="ARtabletextright"/>
            </w:pPr>
            <w:r w:rsidRPr="009D73E2">
              <w:t>43</w:t>
            </w:r>
          </w:p>
        </w:tc>
        <w:tc>
          <w:tcPr>
            <w:tcW w:w="944" w:type="dxa"/>
            <w:tcBorders>
              <w:top w:val="single" w:sz="4" w:space="0" w:color="A6A6A6" w:themeColor="background1" w:themeShade="A6"/>
              <w:left w:val="nil"/>
              <w:bottom w:val="single" w:sz="4" w:space="0" w:color="auto"/>
              <w:right w:val="nil"/>
            </w:tcBorders>
            <w:shd w:val="clear" w:color="auto" w:fill="E7E6E6" w:themeFill="accent4"/>
          </w:tcPr>
          <w:p w14:paraId="7EA8199A" w14:textId="77777777" w:rsidR="007D61FB" w:rsidRPr="009D73E2" w:rsidRDefault="007D61FB" w:rsidP="009D73E2">
            <w:pPr>
              <w:pStyle w:val="ARtabletextright"/>
            </w:pPr>
            <w:r w:rsidRPr="009D73E2">
              <w:t>5</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11EB2D32" w14:textId="77777777" w:rsidR="007D61FB" w:rsidRPr="009D73E2" w:rsidRDefault="007D61FB" w:rsidP="009D73E2">
            <w:pPr>
              <w:pStyle w:val="ARtabletextright"/>
            </w:pPr>
            <w:r w:rsidRPr="009D73E2">
              <w:t>46.8</w:t>
            </w:r>
          </w:p>
        </w:tc>
        <w:tc>
          <w:tcPr>
            <w:tcW w:w="806"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0631A192" w14:textId="77777777" w:rsidR="007D61FB" w:rsidRPr="009D73E2" w:rsidRDefault="007D61FB" w:rsidP="009D73E2">
            <w:pPr>
              <w:pStyle w:val="ARtabletextright"/>
            </w:pPr>
            <w:r w:rsidRPr="009D73E2">
              <w:t>46</w:t>
            </w:r>
          </w:p>
        </w:tc>
        <w:tc>
          <w:tcPr>
            <w:tcW w:w="797" w:type="dxa"/>
            <w:tcBorders>
              <w:top w:val="single" w:sz="4" w:space="0" w:color="A6A6A6" w:themeColor="background1" w:themeShade="A6"/>
              <w:left w:val="nil"/>
              <w:bottom w:val="single" w:sz="4" w:space="0" w:color="auto"/>
            </w:tcBorders>
            <w:shd w:val="clear" w:color="auto" w:fill="E7E6E6" w:themeFill="accent4"/>
          </w:tcPr>
          <w:p w14:paraId="39101FAD" w14:textId="77777777" w:rsidR="007D61FB" w:rsidRPr="009D73E2" w:rsidRDefault="007D61FB" w:rsidP="009D73E2">
            <w:pPr>
              <w:pStyle w:val="ARtabletextright"/>
            </w:pPr>
            <w:r w:rsidRPr="009D73E2">
              <w:t>43</w:t>
            </w:r>
          </w:p>
        </w:tc>
      </w:tr>
      <w:tr w:rsidR="007D61FB" w:rsidRPr="005E779B" w14:paraId="104FE981" w14:textId="77777777" w:rsidTr="004C23DF">
        <w:trPr>
          <w:cantSplit w:val="0"/>
        </w:trPr>
        <w:tc>
          <w:tcPr>
            <w:tcW w:w="13997" w:type="dxa"/>
            <w:gridSpan w:val="16"/>
            <w:tcBorders>
              <w:top w:val="single" w:sz="4" w:space="0" w:color="auto"/>
              <w:left w:val="nil"/>
              <w:bottom w:val="single" w:sz="4" w:space="0" w:color="A6A6A6" w:themeColor="background1" w:themeShade="A6"/>
            </w:tcBorders>
            <w:shd w:val="clear" w:color="auto" w:fill="auto"/>
          </w:tcPr>
          <w:p w14:paraId="0FD8EEDA" w14:textId="77777777" w:rsidR="007D61FB" w:rsidRPr="005E779B" w:rsidRDefault="007D61FB" w:rsidP="009C3815">
            <w:pPr>
              <w:pStyle w:val="ARtablebluebold"/>
            </w:pPr>
            <w:r w:rsidRPr="005E779B">
              <w:t>Age</w:t>
            </w:r>
          </w:p>
        </w:tc>
      </w:tr>
      <w:tr w:rsidR="008B3B0C" w:rsidRPr="005E779B" w14:paraId="29A8F71B"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tcBorders>
            <w:hideMark/>
          </w:tcPr>
          <w:p w14:paraId="64BDB834" w14:textId="77777777" w:rsidR="007D61FB" w:rsidRPr="00B62D0D" w:rsidRDefault="007D61FB" w:rsidP="00B62D0D">
            <w:pPr>
              <w:pStyle w:val="ARtabletext"/>
            </w:pPr>
            <w:r w:rsidRPr="00B62D0D">
              <w:t>15–24</w:t>
            </w:r>
          </w:p>
        </w:tc>
        <w:tc>
          <w:tcPr>
            <w:tcW w:w="825" w:type="dxa"/>
            <w:tcBorders>
              <w:top w:val="single" w:sz="4" w:space="0" w:color="A6A6A6" w:themeColor="background1" w:themeShade="A6"/>
              <w:bottom w:val="single" w:sz="4" w:space="0" w:color="A6A6A6" w:themeColor="background1" w:themeShade="A6"/>
              <w:right w:val="nil"/>
            </w:tcBorders>
            <w:shd w:val="clear" w:color="auto" w:fill="auto"/>
            <w:vAlign w:val="bottom"/>
            <w:hideMark/>
          </w:tcPr>
          <w:p w14:paraId="5D508186" w14:textId="77777777" w:rsidR="007D61FB" w:rsidRPr="009D73E2" w:rsidRDefault="007D61FB" w:rsidP="009D73E2">
            <w:pPr>
              <w:pStyle w:val="ARtabletextright"/>
            </w:pPr>
            <w:r w:rsidRPr="009D73E2">
              <w:t>397</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7485DB53" w14:textId="77777777" w:rsidR="007D61FB" w:rsidRPr="009D73E2" w:rsidRDefault="007D61FB" w:rsidP="009D73E2">
            <w:pPr>
              <w:pStyle w:val="ARtabletextright"/>
            </w:pPr>
            <w:r w:rsidRPr="009D73E2">
              <w:t>355.1</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4E3C03B3" w14:textId="77777777" w:rsidR="007D61FB" w:rsidRPr="009D73E2" w:rsidRDefault="007D61FB" w:rsidP="009D73E2">
            <w:pPr>
              <w:pStyle w:val="ARtabletextright"/>
            </w:pPr>
            <w:r w:rsidRPr="009D73E2">
              <w:t>204</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hideMark/>
          </w:tcPr>
          <w:p w14:paraId="6F66D04D" w14:textId="77777777" w:rsidR="007D61FB" w:rsidRPr="009D73E2" w:rsidRDefault="007D61FB" w:rsidP="009D73E2">
            <w:pPr>
              <w:pStyle w:val="ARtabletextright"/>
            </w:pPr>
            <w:r w:rsidRPr="009D73E2">
              <w:t>24</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565217DA" w14:textId="77777777" w:rsidR="007D61FB" w:rsidRPr="009D73E2" w:rsidRDefault="007D61FB" w:rsidP="009D73E2">
            <w:pPr>
              <w:pStyle w:val="ARtabletextright"/>
            </w:pPr>
            <w:r w:rsidRPr="009D73E2">
              <w:t>218.2</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2669E608" w14:textId="77777777" w:rsidR="007D61FB" w:rsidRPr="009D73E2" w:rsidRDefault="007D61FB" w:rsidP="009D73E2">
            <w:pPr>
              <w:pStyle w:val="ARtabletextright"/>
            </w:pPr>
            <w:r w:rsidRPr="009D73E2">
              <w:t>169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47AA8098" w14:textId="77777777" w:rsidR="007D61FB" w:rsidRPr="009D73E2" w:rsidRDefault="007D61FB" w:rsidP="009D73E2">
            <w:pPr>
              <w:pStyle w:val="ARtabletextright"/>
            </w:pPr>
            <w:r w:rsidRPr="009D73E2">
              <w:t>136.9</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73143031" w14:textId="77777777" w:rsidR="007D61FB" w:rsidRPr="009D73E2" w:rsidRDefault="007D61FB" w:rsidP="009D73E2">
            <w:pPr>
              <w:pStyle w:val="ARtabletextright"/>
            </w:pPr>
            <w:r w:rsidRPr="009D73E2">
              <w:t>306</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889B3FF" w14:textId="77777777" w:rsidR="007D61FB" w:rsidRPr="009D73E2" w:rsidRDefault="007D61FB" w:rsidP="009D73E2">
            <w:pPr>
              <w:pStyle w:val="ARtabletextright"/>
            </w:pPr>
            <w:r w:rsidRPr="009D73E2">
              <w:t>282.1</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5CB2292" w14:textId="77777777" w:rsidR="007D61FB" w:rsidRPr="009D73E2" w:rsidRDefault="007D61FB" w:rsidP="009D73E2">
            <w:pPr>
              <w:pStyle w:val="ARtabletextright"/>
            </w:pPr>
            <w:r w:rsidRPr="009D73E2">
              <w:t>153</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5CF9E1DA" w14:textId="77777777" w:rsidR="007D61FB" w:rsidRPr="009D73E2" w:rsidRDefault="007D61FB" w:rsidP="009D73E2">
            <w:pPr>
              <w:pStyle w:val="ARtabletextright"/>
            </w:pPr>
            <w:r w:rsidRPr="009D73E2">
              <w:t>10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95A457A" w14:textId="77777777" w:rsidR="007D61FB" w:rsidRPr="009D73E2" w:rsidRDefault="007D61FB" w:rsidP="009D73E2">
            <w:pPr>
              <w:pStyle w:val="ARtabletextright"/>
            </w:pPr>
            <w:r w:rsidRPr="009D73E2">
              <w:t>159.2</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7285EFF" w14:textId="77777777" w:rsidR="007D61FB" w:rsidRPr="009D73E2" w:rsidRDefault="007D61FB" w:rsidP="009D73E2">
            <w:pPr>
              <w:pStyle w:val="ARtabletextright"/>
            </w:pPr>
            <w:r w:rsidRPr="009D73E2">
              <w:t>143</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2D111EA" w14:textId="77777777" w:rsidR="007D61FB" w:rsidRPr="009D73E2" w:rsidRDefault="007D61FB" w:rsidP="009D73E2">
            <w:pPr>
              <w:pStyle w:val="ARtabletextright"/>
            </w:pPr>
            <w:r w:rsidRPr="009D73E2">
              <w:t>122.8</w:t>
            </w:r>
          </w:p>
        </w:tc>
      </w:tr>
      <w:tr w:rsidR="008B3B0C" w:rsidRPr="005E779B" w14:paraId="01FD53DB"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tcBorders>
            <w:hideMark/>
          </w:tcPr>
          <w:p w14:paraId="521C8A05" w14:textId="77777777" w:rsidR="007D61FB" w:rsidRPr="00B62D0D" w:rsidRDefault="007D61FB" w:rsidP="00B62D0D">
            <w:pPr>
              <w:pStyle w:val="ARtabletext"/>
            </w:pPr>
            <w:r w:rsidRPr="00B62D0D">
              <w:t>25–34</w:t>
            </w:r>
          </w:p>
        </w:tc>
        <w:tc>
          <w:tcPr>
            <w:tcW w:w="825" w:type="dxa"/>
            <w:tcBorders>
              <w:top w:val="single" w:sz="4" w:space="0" w:color="A6A6A6" w:themeColor="background1" w:themeShade="A6"/>
              <w:bottom w:val="single" w:sz="4" w:space="0" w:color="A6A6A6" w:themeColor="background1" w:themeShade="A6"/>
              <w:right w:val="nil"/>
            </w:tcBorders>
            <w:shd w:val="clear" w:color="auto" w:fill="auto"/>
            <w:vAlign w:val="bottom"/>
            <w:hideMark/>
          </w:tcPr>
          <w:p w14:paraId="2BE7D00A" w14:textId="77777777" w:rsidR="007D61FB" w:rsidRPr="009D73E2" w:rsidRDefault="007D61FB" w:rsidP="009D73E2">
            <w:pPr>
              <w:pStyle w:val="ARtabletextright"/>
            </w:pPr>
            <w:r w:rsidRPr="009D73E2">
              <w:t>1,974</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7724CA86" w14:textId="77777777" w:rsidR="007D61FB" w:rsidRPr="009D73E2" w:rsidRDefault="007D61FB" w:rsidP="009D73E2">
            <w:pPr>
              <w:pStyle w:val="ARtabletextright"/>
            </w:pPr>
            <w:r w:rsidRPr="009D73E2">
              <w:t>1,858.5</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597A6E0A" w14:textId="77777777" w:rsidR="007D61FB" w:rsidRPr="009D73E2" w:rsidRDefault="007D61FB" w:rsidP="009D73E2">
            <w:pPr>
              <w:pStyle w:val="ARtabletextright"/>
            </w:pPr>
            <w:r w:rsidRPr="009D73E2">
              <w:t>1,301</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hideMark/>
          </w:tcPr>
          <w:p w14:paraId="48DC5D1C" w14:textId="77777777" w:rsidR="007D61FB" w:rsidRPr="009D73E2" w:rsidRDefault="007D61FB" w:rsidP="009D73E2">
            <w:pPr>
              <w:pStyle w:val="ARtabletextright"/>
            </w:pPr>
            <w:r w:rsidRPr="009D73E2">
              <w:t>171</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48ECCF17" w14:textId="77777777" w:rsidR="007D61FB" w:rsidRPr="009D73E2" w:rsidRDefault="007D61FB" w:rsidP="009D73E2">
            <w:pPr>
              <w:pStyle w:val="ARtabletextright"/>
            </w:pPr>
            <w:r w:rsidRPr="009D73E2">
              <w:t>1,407.6</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3FD18FFB" w14:textId="77777777" w:rsidR="007D61FB" w:rsidRPr="009D73E2" w:rsidRDefault="007D61FB" w:rsidP="009D73E2">
            <w:pPr>
              <w:pStyle w:val="ARtabletextright"/>
            </w:pPr>
            <w:r w:rsidRPr="009D73E2">
              <w:t>502</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658D55DD" w14:textId="77777777" w:rsidR="007D61FB" w:rsidRPr="009D73E2" w:rsidRDefault="007D61FB" w:rsidP="009D73E2">
            <w:pPr>
              <w:pStyle w:val="ARtabletextright"/>
            </w:pPr>
            <w:r w:rsidRPr="009D73E2">
              <w:t>451.0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7A23FCA3" w14:textId="77777777" w:rsidR="007D61FB" w:rsidRPr="009D73E2" w:rsidRDefault="007D61FB" w:rsidP="009D73E2">
            <w:pPr>
              <w:pStyle w:val="ARtabletextright"/>
            </w:pPr>
            <w:r w:rsidRPr="009D73E2">
              <w:t>1,877</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519FF4FF" w14:textId="77777777" w:rsidR="007D61FB" w:rsidRPr="009D73E2" w:rsidRDefault="007D61FB" w:rsidP="009D73E2">
            <w:pPr>
              <w:pStyle w:val="ARtabletextright"/>
            </w:pPr>
            <w:r w:rsidRPr="009D73E2">
              <w:t>1,776.5</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086B72D" w14:textId="77777777" w:rsidR="007D61FB" w:rsidRPr="009D73E2" w:rsidRDefault="007D61FB" w:rsidP="009D73E2">
            <w:pPr>
              <w:pStyle w:val="ARtabletextright"/>
            </w:pPr>
            <w:r w:rsidRPr="009D73E2">
              <w:t>1,156</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B2DF956" w14:textId="77777777" w:rsidR="007D61FB" w:rsidRPr="009D73E2" w:rsidRDefault="007D61FB" w:rsidP="009D73E2">
            <w:pPr>
              <w:pStyle w:val="ARtabletextright"/>
            </w:pPr>
            <w:r w:rsidRPr="009D73E2">
              <w:t>125</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DC336BA" w14:textId="77777777" w:rsidR="007D61FB" w:rsidRPr="009D73E2" w:rsidRDefault="007D61FB" w:rsidP="009D73E2">
            <w:pPr>
              <w:pStyle w:val="ARtabletextright"/>
            </w:pPr>
            <w:r w:rsidRPr="009D73E2">
              <w:t>1,227.4</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51764C0" w14:textId="77777777" w:rsidR="007D61FB" w:rsidRPr="009D73E2" w:rsidRDefault="007D61FB" w:rsidP="009D73E2">
            <w:pPr>
              <w:pStyle w:val="ARtabletextright"/>
            </w:pPr>
            <w:r w:rsidRPr="009D73E2">
              <w:t>596</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6D80D1CB" w14:textId="77777777" w:rsidR="007D61FB" w:rsidRPr="009D73E2" w:rsidRDefault="007D61FB" w:rsidP="009D73E2">
            <w:pPr>
              <w:pStyle w:val="ARtabletextright"/>
            </w:pPr>
            <w:r w:rsidRPr="009D73E2">
              <w:t>549.1</w:t>
            </w:r>
          </w:p>
        </w:tc>
      </w:tr>
      <w:tr w:rsidR="008B3B0C" w:rsidRPr="005E779B" w14:paraId="11A0A1F1"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tcBorders>
            <w:hideMark/>
          </w:tcPr>
          <w:p w14:paraId="6E86BCD1" w14:textId="77777777" w:rsidR="007D61FB" w:rsidRPr="00B62D0D" w:rsidRDefault="007D61FB" w:rsidP="00B62D0D">
            <w:pPr>
              <w:pStyle w:val="ARtabletext"/>
            </w:pPr>
            <w:r w:rsidRPr="00B62D0D">
              <w:t>35–44</w:t>
            </w:r>
          </w:p>
        </w:tc>
        <w:tc>
          <w:tcPr>
            <w:tcW w:w="825" w:type="dxa"/>
            <w:tcBorders>
              <w:top w:val="single" w:sz="4" w:space="0" w:color="A6A6A6" w:themeColor="background1" w:themeShade="A6"/>
              <w:bottom w:val="single" w:sz="4" w:space="0" w:color="A6A6A6" w:themeColor="background1" w:themeShade="A6"/>
              <w:right w:val="nil"/>
            </w:tcBorders>
            <w:shd w:val="clear" w:color="auto" w:fill="auto"/>
            <w:vAlign w:val="bottom"/>
            <w:hideMark/>
          </w:tcPr>
          <w:p w14:paraId="420689FA" w14:textId="77777777" w:rsidR="007D61FB" w:rsidRPr="009D73E2" w:rsidRDefault="007D61FB" w:rsidP="009D73E2">
            <w:pPr>
              <w:pStyle w:val="ARtabletextright"/>
            </w:pPr>
            <w:r w:rsidRPr="009D73E2">
              <w:t>2,002</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0FE80388" w14:textId="77777777" w:rsidR="007D61FB" w:rsidRPr="009D73E2" w:rsidRDefault="007D61FB" w:rsidP="009D73E2">
            <w:pPr>
              <w:pStyle w:val="ARtabletextright"/>
            </w:pPr>
            <w:r w:rsidRPr="009D73E2">
              <w:t>1,837.6</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52DC255D" w14:textId="77777777" w:rsidR="007D61FB" w:rsidRPr="009D73E2" w:rsidRDefault="007D61FB" w:rsidP="009D73E2">
            <w:pPr>
              <w:pStyle w:val="ARtabletextright"/>
            </w:pPr>
            <w:r w:rsidRPr="009D73E2">
              <w:t>1,293</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hideMark/>
          </w:tcPr>
          <w:p w14:paraId="62923A06" w14:textId="77777777" w:rsidR="007D61FB" w:rsidRPr="009D73E2" w:rsidRDefault="007D61FB" w:rsidP="009D73E2">
            <w:pPr>
              <w:pStyle w:val="ARtabletextright"/>
            </w:pPr>
            <w:r w:rsidRPr="009D73E2">
              <w:t>299</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1EC8DED5" w14:textId="77777777" w:rsidR="007D61FB" w:rsidRPr="009D73E2" w:rsidRDefault="007D61FB" w:rsidP="009D73E2">
            <w:pPr>
              <w:pStyle w:val="ARtabletextright"/>
            </w:pPr>
            <w:r w:rsidRPr="009D73E2">
              <w:t>1,472.8</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1B196560" w14:textId="77777777" w:rsidR="007D61FB" w:rsidRPr="009D73E2" w:rsidRDefault="007D61FB" w:rsidP="009D73E2">
            <w:pPr>
              <w:pStyle w:val="ARtabletextright"/>
            </w:pPr>
            <w:r w:rsidRPr="009D73E2">
              <w:t>410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3852DF1B" w14:textId="77777777" w:rsidR="007D61FB" w:rsidRPr="009D73E2" w:rsidRDefault="007D61FB" w:rsidP="009D73E2">
            <w:pPr>
              <w:pStyle w:val="ARtabletextright"/>
            </w:pPr>
            <w:r w:rsidRPr="009D73E2">
              <w:t>364.7</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5E45D05F" w14:textId="77777777" w:rsidR="007D61FB" w:rsidRPr="009D73E2" w:rsidRDefault="007D61FB" w:rsidP="009D73E2">
            <w:pPr>
              <w:pStyle w:val="ARtabletextright"/>
            </w:pPr>
            <w:r w:rsidRPr="009D73E2">
              <w:t>1,971</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757A3E1" w14:textId="77777777" w:rsidR="007D61FB" w:rsidRPr="009D73E2" w:rsidRDefault="007D61FB" w:rsidP="009D73E2">
            <w:pPr>
              <w:pStyle w:val="ARtabletextright"/>
            </w:pPr>
            <w:r w:rsidRPr="009D73E2">
              <w:t xml:space="preserve">1,801.3 </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836C0A3" w14:textId="77777777" w:rsidR="007D61FB" w:rsidRPr="009D73E2" w:rsidRDefault="007D61FB" w:rsidP="009D73E2">
            <w:pPr>
              <w:pStyle w:val="ARtabletextright"/>
            </w:pPr>
            <w:r w:rsidRPr="009D73E2">
              <w:t>1,106</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2788F526" w14:textId="77777777" w:rsidR="007D61FB" w:rsidRPr="009D73E2" w:rsidRDefault="007D61FB" w:rsidP="009D73E2">
            <w:pPr>
              <w:pStyle w:val="ARtabletextright"/>
            </w:pPr>
            <w:r w:rsidRPr="009D73E2">
              <w:t>316</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C3174AB" w14:textId="77777777" w:rsidR="007D61FB" w:rsidRPr="009D73E2" w:rsidRDefault="007D61FB" w:rsidP="009D73E2">
            <w:pPr>
              <w:pStyle w:val="ARtabletextright"/>
            </w:pPr>
            <w:r w:rsidRPr="009D73E2">
              <w:t>1,301.8</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0559100" w14:textId="77777777" w:rsidR="007D61FB" w:rsidRPr="009D73E2" w:rsidRDefault="007D61FB" w:rsidP="009D73E2">
            <w:pPr>
              <w:pStyle w:val="ARtabletextright"/>
            </w:pPr>
            <w:r w:rsidRPr="009D73E2">
              <w:t>549</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DA86E6A" w14:textId="5C27337C" w:rsidR="007D61FB" w:rsidRPr="009D73E2" w:rsidRDefault="007D61FB" w:rsidP="009D73E2">
            <w:pPr>
              <w:pStyle w:val="ARtabletextright"/>
            </w:pPr>
            <w:r w:rsidRPr="009D73E2">
              <w:t>499.5</w:t>
            </w:r>
            <w:r w:rsidR="00E570E2" w:rsidRPr="009D73E2">
              <w:t xml:space="preserve"> </w:t>
            </w:r>
          </w:p>
        </w:tc>
      </w:tr>
      <w:tr w:rsidR="008B3B0C" w:rsidRPr="005E779B" w14:paraId="4F50B75F"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tcBorders>
            <w:hideMark/>
          </w:tcPr>
          <w:p w14:paraId="5A714E53" w14:textId="77777777" w:rsidR="007D61FB" w:rsidRPr="00B62D0D" w:rsidRDefault="007D61FB" w:rsidP="00B62D0D">
            <w:pPr>
              <w:pStyle w:val="ARtabletext"/>
            </w:pPr>
            <w:r w:rsidRPr="00B62D0D">
              <w:t>45–54</w:t>
            </w:r>
          </w:p>
        </w:tc>
        <w:tc>
          <w:tcPr>
            <w:tcW w:w="825" w:type="dxa"/>
            <w:tcBorders>
              <w:top w:val="single" w:sz="4" w:space="0" w:color="A6A6A6" w:themeColor="background1" w:themeShade="A6"/>
              <w:bottom w:val="single" w:sz="4" w:space="0" w:color="A6A6A6" w:themeColor="background1" w:themeShade="A6"/>
              <w:right w:val="nil"/>
            </w:tcBorders>
            <w:shd w:val="clear" w:color="auto" w:fill="auto"/>
            <w:vAlign w:val="bottom"/>
            <w:hideMark/>
          </w:tcPr>
          <w:p w14:paraId="47D6B3B3" w14:textId="77777777" w:rsidR="007D61FB" w:rsidRPr="009D73E2" w:rsidRDefault="007D61FB" w:rsidP="009D73E2">
            <w:pPr>
              <w:pStyle w:val="ARtabletextright"/>
            </w:pPr>
            <w:r w:rsidRPr="009D73E2">
              <w:t>1,596</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12B8A2F0" w14:textId="77777777" w:rsidR="007D61FB" w:rsidRPr="009D73E2" w:rsidRDefault="007D61FB" w:rsidP="009D73E2">
            <w:pPr>
              <w:pStyle w:val="ARtabletextright"/>
            </w:pPr>
            <w:r w:rsidRPr="009D73E2">
              <w:t>1,508.3</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504F7A8C" w14:textId="77777777" w:rsidR="007D61FB" w:rsidRPr="009D73E2" w:rsidRDefault="007D61FB" w:rsidP="009D73E2">
            <w:pPr>
              <w:pStyle w:val="ARtabletextright"/>
            </w:pPr>
            <w:r w:rsidRPr="009D73E2">
              <w:t>1,133</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hideMark/>
          </w:tcPr>
          <w:p w14:paraId="141D30E4" w14:textId="77777777" w:rsidR="007D61FB" w:rsidRPr="009D73E2" w:rsidRDefault="007D61FB" w:rsidP="009D73E2">
            <w:pPr>
              <w:pStyle w:val="ARtabletextright"/>
            </w:pPr>
            <w:r w:rsidRPr="009D73E2">
              <w:t>186</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3EE9611C" w14:textId="77777777" w:rsidR="007D61FB" w:rsidRPr="009D73E2" w:rsidRDefault="007D61FB" w:rsidP="009D73E2">
            <w:pPr>
              <w:pStyle w:val="ARtabletextright"/>
            </w:pPr>
            <w:r w:rsidRPr="009D73E2">
              <w:t>1,253.5</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1A3F578D" w14:textId="77777777" w:rsidR="007D61FB" w:rsidRPr="009D73E2" w:rsidRDefault="007D61FB" w:rsidP="009D73E2">
            <w:pPr>
              <w:pStyle w:val="ARtabletextright"/>
            </w:pPr>
            <w:r w:rsidRPr="009D73E2">
              <w:t>277</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0B0E70AD" w14:textId="77777777" w:rsidR="007D61FB" w:rsidRPr="009D73E2" w:rsidRDefault="007D61FB" w:rsidP="009D73E2">
            <w:pPr>
              <w:pStyle w:val="ARtabletextright"/>
            </w:pPr>
            <w:r w:rsidRPr="009D73E2">
              <w:t>254.8</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44055605" w14:textId="77777777" w:rsidR="007D61FB" w:rsidRPr="009D73E2" w:rsidRDefault="007D61FB" w:rsidP="009D73E2">
            <w:pPr>
              <w:pStyle w:val="ARtabletextright"/>
            </w:pPr>
            <w:r w:rsidRPr="009D73E2">
              <w:t>1,716</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BC1C7FF" w14:textId="77777777" w:rsidR="007D61FB" w:rsidRPr="009D73E2" w:rsidRDefault="007D61FB" w:rsidP="009D73E2">
            <w:pPr>
              <w:pStyle w:val="ARtabletextright"/>
            </w:pPr>
            <w:r w:rsidRPr="009D73E2">
              <w:t>1,618.3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42254BB" w14:textId="77777777" w:rsidR="007D61FB" w:rsidRPr="009D73E2" w:rsidRDefault="007D61FB" w:rsidP="009D73E2">
            <w:pPr>
              <w:pStyle w:val="ARtabletextright"/>
            </w:pPr>
            <w:r w:rsidRPr="009D73E2">
              <w:t>1,077</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641974A1" w14:textId="77777777" w:rsidR="007D61FB" w:rsidRPr="009D73E2" w:rsidRDefault="007D61FB" w:rsidP="009D73E2">
            <w:pPr>
              <w:pStyle w:val="ARtabletextright"/>
            </w:pPr>
            <w:r w:rsidRPr="009D73E2">
              <w:t>193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F9C3781" w14:textId="77777777" w:rsidR="007D61FB" w:rsidRPr="009D73E2" w:rsidRDefault="007D61FB" w:rsidP="009D73E2">
            <w:pPr>
              <w:pStyle w:val="ARtabletextright"/>
            </w:pPr>
            <w:r w:rsidRPr="009D73E2">
              <w:t>1,202.7</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70A22BB" w14:textId="77777777" w:rsidR="007D61FB" w:rsidRPr="009D73E2" w:rsidRDefault="007D61FB" w:rsidP="009D73E2">
            <w:pPr>
              <w:pStyle w:val="ARtabletextright"/>
            </w:pPr>
            <w:r w:rsidRPr="009D73E2">
              <w:t>446</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AE35C18" w14:textId="77777777" w:rsidR="007D61FB" w:rsidRPr="009D73E2" w:rsidRDefault="007D61FB" w:rsidP="009D73E2">
            <w:pPr>
              <w:pStyle w:val="ARtabletextright"/>
            </w:pPr>
            <w:r w:rsidRPr="009D73E2">
              <w:t>415.6</w:t>
            </w:r>
          </w:p>
        </w:tc>
      </w:tr>
      <w:tr w:rsidR="008B3B0C" w:rsidRPr="005E779B" w14:paraId="1BDBA956"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tcBorders>
            <w:hideMark/>
          </w:tcPr>
          <w:p w14:paraId="66978942" w14:textId="77777777" w:rsidR="007D61FB" w:rsidRPr="00B62D0D" w:rsidRDefault="007D61FB" w:rsidP="00B62D0D">
            <w:pPr>
              <w:pStyle w:val="ARtabletext"/>
            </w:pPr>
            <w:r w:rsidRPr="00B62D0D">
              <w:t>55–64</w:t>
            </w:r>
          </w:p>
        </w:tc>
        <w:tc>
          <w:tcPr>
            <w:tcW w:w="825" w:type="dxa"/>
            <w:tcBorders>
              <w:top w:val="single" w:sz="4" w:space="0" w:color="A6A6A6" w:themeColor="background1" w:themeShade="A6"/>
              <w:bottom w:val="single" w:sz="4" w:space="0" w:color="A6A6A6" w:themeColor="background1" w:themeShade="A6"/>
              <w:right w:val="nil"/>
            </w:tcBorders>
            <w:shd w:val="clear" w:color="auto" w:fill="auto"/>
            <w:vAlign w:val="bottom"/>
            <w:hideMark/>
          </w:tcPr>
          <w:p w14:paraId="5E798955" w14:textId="77777777" w:rsidR="007D61FB" w:rsidRPr="009D73E2" w:rsidRDefault="007D61FB" w:rsidP="009D73E2">
            <w:pPr>
              <w:pStyle w:val="ARtabletextright"/>
            </w:pPr>
            <w:r w:rsidRPr="009D73E2">
              <w:t>1,028</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77967258" w14:textId="77777777" w:rsidR="007D61FB" w:rsidRPr="009D73E2" w:rsidRDefault="007D61FB" w:rsidP="009D73E2">
            <w:pPr>
              <w:pStyle w:val="ARtabletextright"/>
            </w:pPr>
            <w:r w:rsidRPr="009D73E2">
              <w:t>967.8</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61AD8C75" w14:textId="77777777" w:rsidR="007D61FB" w:rsidRPr="009D73E2" w:rsidRDefault="007D61FB" w:rsidP="009D73E2">
            <w:pPr>
              <w:pStyle w:val="ARtabletextright"/>
            </w:pPr>
            <w:r w:rsidRPr="009D73E2">
              <w:t>725</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hideMark/>
          </w:tcPr>
          <w:p w14:paraId="59F25352" w14:textId="77777777" w:rsidR="007D61FB" w:rsidRPr="009D73E2" w:rsidRDefault="007D61FB" w:rsidP="009D73E2">
            <w:pPr>
              <w:pStyle w:val="ARtabletextright"/>
            </w:pPr>
            <w:r w:rsidRPr="009D73E2">
              <w:t>135</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4073636E" w14:textId="77777777" w:rsidR="007D61FB" w:rsidRPr="009D73E2" w:rsidRDefault="007D61FB" w:rsidP="009D73E2">
            <w:pPr>
              <w:pStyle w:val="ARtabletextright"/>
            </w:pPr>
            <w:r w:rsidRPr="009D73E2">
              <w:t>816.6</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hideMark/>
          </w:tcPr>
          <w:p w14:paraId="25BA495B" w14:textId="77777777" w:rsidR="007D61FB" w:rsidRPr="009D73E2" w:rsidRDefault="007D61FB" w:rsidP="009D73E2">
            <w:pPr>
              <w:pStyle w:val="ARtabletextright"/>
            </w:pPr>
            <w:r w:rsidRPr="009D73E2">
              <w:t>168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hideMark/>
          </w:tcPr>
          <w:p w14:paraId="769CEC17" w14:textId="77777777" w:rsidR="007D61FB" w:rsidRPr="009D73E2" w:rsidRDefault="007D61FB" w:rsidP="009D73E2">
            <w:pPr>
              <w:pStyle w:val="ARtabletextright"/>
            </w:pPr>
            <w:r w:rsidRPr="009D73E2">
              <w:t>151.2</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7D1A2BDB" w14:textId="77777777" w:rsidR="007D61FB" w:rsidRPr="009D73E2" w:rsidRDefault="007D61FB" w:rsidP="009D73E2">
            <w:pPr>
              <w:pStyle w:val="ARtabletextright"/>
            </w:pPr>
            <w:r w:rsidRPr="009D73E2">
              <w:t>1,080</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0117A59" w14:textId="77777777" w:rsidR="007D61FB" w:rsidRPr="009D73E2" w:rsidRDefault="007D61FB" w:rsidP="009D73E2">
            <w:pPr>
              <w:pStyle w:val="ARtabletextright"/>
            </w:pPr>
            <w:r w:rsidRPr="009D73E2">
              <w:t>1,019.3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98FAA08" w14:textId="77777777" w:rsidR="007D61FB" w:rsidRPr="009D73E2" w:rsidRDefault="007D61FB" w:rsidP="009D73E2">
            <w:pPr>
              <w:pStyle w:val="ARtabletextright"/>
            </w:pPr>
            <w:r w:rsidRPr="009D73E2">
              <w:t>705</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77ADEEE" w14:textId="77777777" w:rsidR="007D61FB" w:rsidRPr="009D73E2" w:rsidRDefault="007D61FB" w:rsidP="009D73E2">
            <w:pPr>
              <w:pStyle w:val="ARtabletextright"/>
            </w:pPr>
            <w:r w:rsidRPr="009D73E2">
              <w:t>129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FC72B20" w14:textId="77777777" w:rsidR="007D61FB" w:rsidRPr="009D73E2" w:rsidRDefault="007D61FB" w:rsidP="009D73E2">
            <w:pPr>
              <w:pStyle w:val="ARtabletextright"/>
            </w:pPr>
            <w:r w:rsidRPr="009D73E2">
              <w:t>788.4</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6CE3C39" w14:textId="77777777" w:rsidR="007D61FB" w:rsidRPr="009D73E2" w:rsidRDefault="007D61FB" w:rsidP="009D73E2">
            <w:pPr>
              <w:pStyle w:val="ARtabletextright"/>
            </w:pPr>
            <w:r w:rsidRPr="009D73E2">
              <w:t>246</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50E92921" w14:textId="77777777" w:rsidR="007D61FB" w:rsidRPr="009D73E2" w:rsidRDefault="007D61FB" w:rsidP="009D73E2">
            <w:pPr>
              <w:pStyle w:val="ARtabletextright"/>
            </w:pPr>
            <w:r w:rsidRPr="009D73E2">
              <w:t>231</w:t>
            </w:r>
          </w:p>
        </w:tc>
      </w:tr>
      <w:tr w:rsidR="008B3B0C" w:rsidRPr="005E779B" w14:paraId="600E560A" w14:textId="77777777" w:rsidTr="004C23DF">
        <w:trPr>
          <w:gridAfter w:val="1"/>
          <w:wAfter w:w="66" w:type="dxa"/>
          <w:cantSplit w:val="0"/>
        </w:trPr>
        <w:tc>
          <w:tcPr>
            <w:tcW w:w="1696" w:type="dxa"/>
            <w:tcBorders>
              <w:top w:val="single" w:sz="4" w:space="0" w:color="A6A6A6" w:themeColor="background1" w:themeShade="A6"/>
              <w:left w:val="nil"/>
            </w:tcBorders>
            <w:hideMark/>
          </w:tcPr>
          <w:p w14:paraId="54FC139E" w14:textId="77777777" w:rsidR="007D61FB" w:rsidRPr="00B62D0D" w:rsidRDefault="007D61FB" w:rsidP="00B62D0D">
            <w:pPr>
              <w:pStyle w:val="ARtabletext"/>
            </w:pPr>
            <w:r w:rsidRPr="00B62D0D">
              <w:t>65+</w:t>
            </w:r>
          </w:p>
        </w:tc>
        <w:tc>
          <w:tcPr>
            <w:tcW w:w="825" w:type="dxa"/>
            <w:tcBorders>
              <w:top w:val="single" w:sz="4" w:space="0" w:color="A6A6A6" w:themeColor="background1" w:themeShade="A6"/>
              <w:right w:val="nil"/>
            </w:tcBorders>
            <w:shd w:val="clear" w:color="auto" w:fill="auto"/>
            <w:vAlign w:val="bottom"/>
            <w:hideMark/>
          </w:tcPr>
          <w:p w14:paraId="65898A42" w14:textId="77777777" w:rsidR="007D61FB" w:rsidRPr="009D73E2" w:rsidRDefault="007D61FB" w:rsidP="009D73E2">
            <w:pPr>
              <w:pStyle w:val="ARtabletextright"/>
            </w:pPr>
            <w:r w:rsidRPr="009D73E2">
              <w:t>172</w:t>
            </w:r>
          </w:p>
        </w:tc>
        <w:tc>
          <w:tcPr>
            <w:tcW w:w="779" w:type="dxa"/>
            <w:tcBorders>
              <w:top w:val="single" w:sz="4" w:space="0" w:color="A6A6A6" w:themeColor="background1" w:themeShade="A6"/>
              <w:left w:val="nil"/>
              <w:right w:val="single" w:sz="4" w:space="0" w:color="auto"/>
            </w:tcBorders>
            <w:shd w:val="clear" w:color="auto" w:fill="auto"/>
            <w:vAlign w:val="bottom"/>
            <w:hideMark/>
          </w:tcPr>
          <w:p w14:paraId="6889FB76" w14:textId="77777777" w:rsidR="007D61FB" w:rsidRPr="009D73E2" w:rsidRDefault="007D61FB" w:rsidP="009D73E2">
            <w:pPr>
              <w:pStyle w:val="ARtabletextright"/>
            </w:pPr>
            <w:r w:rsidRPr="009D73E2">
              <w:t>156.8</w:t>
            </w:r>
          </w:p>
        </w:tc>
        <w:tc>
          <w:tcPr>
            <w:tcW w:w="1068" w:type="dxa"/>
            <w:tcBorders>
              <w:top w:val="single" w:sz="4" w:space="0" w:color="A6A6A6" w:themeColor="background1" w:themeShade="A6"/>
              <w:left w:val="single" w:sz="4" w:space="0" w:color="auto"/>
              <w:right w:val="nil"/>
            </w:tcBorders>
            <w:shd w:val="clear" w:color="auto" w:fill="auto"/>
            <w:vAlign w:val="bottom"/>
            <w:hideMark/>
          </w:tcPr>
          <w:p w14:paraId="1080D6E1" w14:textId="77777777" w:rsidR="007D61FB" w:rsidRPr="009D73E2" w:rsidRDefault="007D61FB" w:rsidP="009D73E2">
            <w:pPr>
              <w:pStyle w:val="ARtabletextright"/>
            </w:pPr>
            <w:r w:rsidRPr="009D73E2">
              <w:t>124</w:t>
            </w:r>
          </w:p>
        </w:tc>
        <w:tc>
          <w:tcPr>
            <w:tcW w:w="872" w:type="dxa"/>
            <w:tcBorders>
              <w:top w:val="single" w:sz="4" w:space="0" w:color="A6A6A6" w:themeColor="background1" w:themeShade="A6"/>
              <w:left w:val="nil"/>
              <w:right w:val="nil"/>
            </w:tcBorders>
            <w:shd w:val="clear" w:color="auto" w:fill="auto"/>
            <w:vAlign w:val="bottom"/>
            <w:hideMark/>
          </w:tcPr>
          <w:p w14:paraId="39C036A0" w14:textId="77777777" w:rsidR="007D61FB" w:rsidRPr="009D73E2" w:rsidRDefault="007D61FB" w:rsidP="009D73E2">
            <w:pPr>
              <w:pStyle w:val="ARtabletextright"/>
            </w:pPr>
            <w:r w:rsidRPr="009D73E2">
              <w:t>34</w:t>
            </w:r>
          </w:p>
        </w:tc>
        <w:tc>
          <w:tcPr>
            <w:tcW w:w="857" w:type="dxa"/>
            <w:tcBorders>
              <w:top w:val="single" w:sz="4" w:space="0" w:color="A6A6A6" w:themeColor="background1" w:themeShade="A6"/>
              <w:left w:val="nil"/>
              <w:right w:val="single" w:sz="4" w:space="0" w:color="auto"/>
            </w:tcBorders>
            <w:shd w:val="clear" w:color="auto" w:fill="auto"/>
            <w:vAlign w:val="bottom"/>
            <w:hideMark/>
          </w:tcPr>
          <w:p w14:paraId="1DFC7D81" w14:textId="77777777" w:rsidR="007D61FB" w:rsidRPr="009D73E2" w:rsidRDefault="007D61FB" w:rsidP="009D73E2">
            <w:pPr>
              <w:pStyle w:val="ARtabletextright"/>
            </w:pPr>
            <w:r w:rsidRPr="009D73E2">
              <w:t>147.1</w:t>
            </w:r>
          </w:p>
        </w:tc>
        <w:tc>
          <w:tcPr>
            <w:tcW w:w="844" w:type="dxa"/>
            <w:tcBorders>
              <w:top w:val="single" w:sz="4" w:space="0" w:color="A6A6A6" w:themeColor="background1" w:themeShade="A6"/>
              <w:left w:val="single" w:sz="4" w:space="0" w:color="auto"/>
              <w:right w:val="nil"/>
            </w:tcBorders>
            <w:shd w:val="clear" w:color="auto" w:fill="auto"/>
            <w:vAlign w:val="bottom"/>
            <w:hideMark/>
          </w:tcPr>
          <w:p w14:paraId="7A678E7C" w14:textId="77777777" w:rsidR="007D61FB" w:rsidRPr="009D73E2" w:rsidRDefault="007D61FB" w:rsidP="009D73E2">
            <w:pPr>
              <w:pStyle w:val="ARtabletextright"/>
            </w:pPr>
            <w:r w:rsidRPr="009D73E2">
              <w:t>14</w:t>
            </w:r>
          </w:p>
        </w:tc>
        <w:tc>
          <w:tcPr>
            <w:tcW w:w="851" w:type="dxa"/>
            <w:tcBorders>
              <w:top w:val="single" w:sz="4" w:space="0" w:color="A6A6A6" w:themeColor="background1" w:themeShade="A6"/>
              <w:left w:val="nil"/>
              <w:right w:val="single" w:sz="4" w:space="0" w:color="auto"/>
            </w:tcBorders>
            <w:shd w:val="clear" w:color="auto" w:fill="auto"/>
            <w:vAlign w:val="bottom"/>
            <w:hideMark/>
          </w:tcPr>
          <w:p w14:paraId="71D215F8" w14:textId="77777777" w:rsidR="007D61FB" w:rsidRPr="009D73E2" w:rsidRDefault="007D61FB" w:rsidP="009D73E2">
            <w:pPr>
              <w:pStyle w:val="ARtabletextright"/>
            </w:pPr>
            <w:r w:rsidRPr="009D73E2">
              <w:t>9.7</w:t>
            </w:r>
          </w:p>
        </w:tc>
        <w:tc>
          <w:tcPr>
            <w:tcW w:w="992" w:type="dxa"/>
            <w:tcBorders>
              <w:top w:val="single" w:sz="4" w:space="0" w:color="A6A6A6" w:themeColor="background1" w:themeShade="A6"/>
              <w:bottom w:val="single" w:sz="4" w:space="0" w:color="auto"/>
              <w:right w:val="nil"/>
            </w:tcBorders>
            <w:shd w:val="clear" w:color="auto" w:fill="E7E6E6" w:themeFill="accent4"/>
          </w:tcPr>
          <w:p w14:paraId="23A1ACBA" w14:textId="77777777" w:rsidR="007D61FB" w:rsidRPr="009D73E2" w:rsidRDefault="007D61FB" w:rsidP="009D73E2">
            <w:pPr>
              <w:pStyle w:val="ARtabletextright"/>
            </w:pPr>
            <w:r w:rsidRPr="009D73E2">
              <w:t>200</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0C6C2920" w14:textId="77777777" w:rsidR="007D61FB" w:rsidRPr="009D73E2" w:rsidRDefault="007D61FB" w:rsidP="009D73E2">
            <w:pPr>
              <w:pStyle w:val="ARtabletextright"/>
            </w:pPr>
            <w:r w:rsidRPr="009D73E2">
              <w:t>182.3</w:t>
            </w:r>
          </w:p>
        </w:tc>
        <w:tc>
          <w:tcPr>
            <w:tcW w:w="984"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2C726407" w14:textId="77777777" w:rsidR="007D61FB" w:rsidRPr="009D73E2" w:rsidRDefault="007D61FB" w:rsidP="009D73E2">
            <w:pPr>
              <w:pStyle w:val="ARtabletextright"/>
            </w:pPr>
            <w:r w:rsidRPr="009D73E2">
              <w:t>133</w:t>
            </w:r>
          </w:p>
        </w:tc>
        <w:tc>
          <w:tcPr>
            <w:tcW w:w="944" w:type="dxa"/>
            <w:tcBorders>
              <w:top w:val="single" w:sz="4" w:space="0" w:color="A6A6A6" w:themeColor="background1" w:themeShade="A6"/>
              <w:left w:val="nil"/>
              <w:right w:val="nil"/>
            </w:tcBorders>
            <w:shd w:val="clear" w:color="auto" w:fill="E7E6E6" w:themeFill="accent4"/>
          </w:tcPr>
          <w:p w14:paraId="3B742B3F" w14:textId="77777777" w:rsidR="007D61FB" w:rsidRPr="009D73E2" w:rsidRDefault="007D61FB" w:rsidP="009D73E2">
            <w:pPr>
              <w:pStyle w:val="ARtabletextright"/>
            </w:pPr>
            <w:r w:rsidRPr="009D73E2">
              <w:t>39</w:t>
            </w:r>
          </w:p>
        </w:tc>
        <w:tc>
          <w:tcPr>
            <w:tcW w:w="851" w:type="dxa"/>
            <w:tcBorders>
              <w:top w:val="single" w:sz="4" w:space="0" w:color="A6A6A6" w:themeColor="background1" w:themeShade="A6"/>
              <w:left w:val="nil"/>
              <w:right w:val="single" w:sz="4" w:space="0" w:color="auto"/>
            </w:tcBorders>
            <w:shd w:val="clear" w:color="auto" w:fill="E7E6E6" w:themeFill="accent4"/>
          </w:tcPr>
          <w:p w14:paraId="72ABED65" w14:textId="77777777" w:rsidR="007D61FB" w:rsidRPr="009D73E2" w:rsidRDefault="007D61FB" w:rsidP="009D73E2">
            <w:pPr>
              <w:pStyle w:val="ARtabletextright"/>
            </w:pPr>
            <w:r w:rsidRPr="009D73E2">
              <w:t>158.2</w:t>
            </w:r>
          </w:p>
        </w:tc>
        <w:tc>
          <w:tcPr>
            <w:tcW w:w="806" w:type="dxa"/>
            <w:tcBorders>
              <w:top w:val="single" w:sz="4" w:space="0" w:color="A6A6A6" w:themeColor="background1" w:themeShade="A6"/>
              <w:left w:val="single" w:sz="4" w:space="0" w:color="auto"/>
              <w:right w:val="nil"/>
            </w:tcBorders>
            <w:shd w:val="clear" w:color="auto" w:fill="E7E6E6" w:themeFill="accent4"/>
          </w:tcPr>
          <w:p w14:paraId="48BF2FE8" w14:textId="77777777" w:rsidR="007D61FB" w:rsidRPr="009D73E2" w:rsidRDefault="007D61FB" w:rsidP="009D73E2">
            <w:pPr>
              <w:pStyle w:val="ARtabletextright"/>
            </w:pPr>
            <w:r w:rsidRPr="009D73E2">
              <w:t>28</w:t>
            </w:r>
          </w:p>
        </w:tc>
        <w:tc>
          <w:tcPr>
            <w:tcW w:w="797" w:type="dxa"/>
            <w:tcBorders>
              <w:top w:val="single" w:sz="4" w:space="0" w:color="A6A6A6" w:themeColor="background1" w:themeShade="A6"/>
              <w:left w:val="nil"/>
            </w:tcBorders>
            <w:shd w:val="clear" w:color="auto" w:fill="E7E6E6" w:themeFill="accent4"/>
          </w:tcPr>
          <w:p w14:paraId="699DA6A1" w14:textId="77777777" w:rsidR="007D61FB" w:rsidRPr="009D73E2" w:rsidRDefault="007D61FB" w:rsidP="009D73E2">
            <w:pPr>
              <w:pStyle w:val="ARtabletextright"/>
            </w:pPr>
            <w:r w:rsidRPr="009D73E2">
              <w:t>24.1</w:t>
            </w:r>
          </w:p>
        </w:tc>
      </w:tr>
      <w:tr w:rsidR="007D61FB" w:rsidRPr="005E779B" w14:paraId="3B730CD2" w14:textId="77777777" w:rsidTr="004C23DF">
        <w:trPr>
          <w:cantSplit w:val="0"/>
        </w:trPr>
        <w:tc>
          <w:tcPr>
            <w:tcW w:w="13997" w:type="dxa"/>
            <w:gridSpan w:val="16"/>
            <w:tcBorders>
              <w:bottom w:val="single" w:sz="4" w:space="0" w:color="auto"/>
            </w:tcBorders>
            <w:shd w:val="clear" w:color="auto" w:fill="auto"/>
          </w:tcPr>
          <w:p w14:paraId="21079886" w14:textId="77777777" w:rsidR="007D61FB" w:rsidRPr="005E779B" w:rsidRDefault="007D61FB" w:rsidP="009C3815">
            <w:pPr>
              <w:pStyle w:val="ARtablebluebold"/>
              <w:rPr>
                <w:bCs/>
              </w:rPr>
            </w:pPr>
            <w:r w:rsidRPr="005E779B">
              <w:t>Part 2: Classification data</w:t>
            </w:r>
          </w:p>
        </w:tc>
      </w:tr>
      <w:tr w:rsidR="007D61FB" w:rsidRPr="005E779B" w14:paraId="1C911BCE" w14:textId="77777777" w:rsidTr="004C23DF">
        <w:trPr>
          <w:cantSplit w:val="0"/>
        </w:trPr>
        <w:tc>
          <w:tcPr>
            <w:tcW w:w="13997" w:type="dxa"/>
            <w:gridSpan w:val="16"/>
            <w:tcBorders>
              <w:top w:val="single" w:sz="4" w:space="0" w:color="auto"/>
              <w:bottom w:val="single" w:sz="4" w:space="0" w:color="A6A6A6" w:themeColor="background1" w:themeShade="A6"/>
            </w:tcBorders>
            <w:shd w:val="clear" w:color="auto" w:fill="auto"/>
          </w:tcPr>
          <w:p w14:paraId="47BF9A59" w14:textId="77777777" w:rsidR="007D61FB" w:rsidRPr="005E779B" w:rsidRDefault="007D61FB" w:rsidP="009C3815">
            <w:pPr>
              <w:pStyle w:val="ARtablebluebold"/>
              <w:rPr>
                <w:bCs/>
              </w:rPr>
            </w:pPr>
            <w:r w:rsidRPr="005E779B">
              <w:t>VPS 1–6 grades</w:t>
            </w:r>
          </w:p>
        </w:tc>
      </w:tr>
      <w:tr w:rsidR="008B3B0C" w:rsidRPr="005E779B" w14:paraId="5169DEBB"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hideMark/>
          </w:tcPr>
          <w:p w14:paraId="05E46EA7" w14:textId="77777777" w:rsidR="007D61FB" w:rsidRPr="00B62D0D" w:rsidRDefault="007D61FB" w:rsidP="00B62D0D">
            <w:pPr>
              <w:pStyle w:val="ARtabletext"/>
            </w:pPr>
            <w:r w:rsidRPr="00B62D0D">
              <w:t>VPS 1</w:t>
            </w:r>
          </w:p>
        </w:tc>
        <w:tc>
          <w:tcPr>
            <w:tcW w:w="825" w:type="dxa"/>
            <w:tcBorders>
              <w:top w:val="single" w:sz="4" w:space="0" w:color="A6A6A6" w:themeColor="background1" w:themeShade="A6"/>
              <w:bottom w:val="single" w:sz="4" w:space="0" w:color="A6A6A6" w:themeColor="background1" w:themeShade="A6"/>
            </w:tcBorders>
            <w:shd w:val="clear" w:color="auto" w:fill="auto"/>
            <w:vAlign w:val="bottom"/>
          </w:tcPr>
          <w:p w14:paraId="2775B4B7" w14:textId="77777777" w:rsidR="007D61FB" w:rsidRPr="005E779B" w:rsidRDefault="007D61FB" w:rsidP="009D73E2">
            <w:pPr>
              <w:pStyle w:val="ARtabletextright"/>
            </w:pPr>
            <w:r w:rsidRPr="005E779B">
              <w:t>4</w:t>
            </w:r>
          </w:p>
        </w:tc>
        <w:tc>
          <w:tcPr>
            <w:tcW w:w="779" w:type="dxa"/>
            <w:tcBorders>
              <w:top w:val="single" w:sz="4" w:space="0" w:color="A6A6A6" w:themeColor="background1" w:themeShade="A6"/>
              <w:bottom w:val="single" w:sz="4" w:space="0" w:color="A6A6A6" w:themeColor="background1" w:themeShade="A6"/>
              <w:right w:val="single" w:sz="4" w:space="0" w:color="auto"/>
            </w:tcBorders>
            <w:shd w:val="clear" w:color="auto" w:fill="auto"/>
            <w:vAlign w:val="bottom"/>
          </w:tcPr>
          <w:p w14:paraId="69A2A539" w14:textId="77777777" w:rsidR="007D61FB" w:rsidRPr="005E779B" w:rsidRDefault="007D61FB" w:rsidP="009D73E2">
            <w:pPr>
              <w:pStyle w:val="ARtabletextright"/>
            </w:pPr>
            <w:r w:rsidRPr="005E779B">
              <w:t>4</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1FA96642" w14:textId="77777777" w:rsidR="007D61FB" w:rsidRPr="005E779B" w:rsidRDefault="007D61FB" w:rsidP="009D73E2">
            <w:pPr>
              <w:pStyle w:val="ARtabletextright"/>
            </w:pPr>
            <w:r w:rsidRPr="005E779B">
              <w:t>0</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tcPr>
          <w:p w14:paraId="40C4B0B1" w14:textId="77777777" w:rsidR="007D61FB" w:rsidRPr="005E779B" w:rsidRDefault="007D61FB" w:rsidP="009D73E2">
            <w:pPr>
              <w:pStyle w:val="ARtabletextright"/>
            </w:pPr>
            <w:r w:rsidRPr="005E779B">
              <w:t>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54BB516A" w14:textId="77777777" w:rsidR="007D61FB" w:rsidRPr="005E779B" w:rsidRDefault="007D61FB" w:rsidP="009D73E2">
            <w:pPr>
              <w:pStyle w:val="ARtabletextright"/>
            </w:pPr>
            <w:r w:rsidRPr="005E779B">
              <w:t>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312F248D" w14:textId="77777777" w:rsidR="007D61FB" w:rsidRPr="005E779B" w:rsidRDefault="007D61FB" w:rsidP="009D73E2">
            <w:pPr>
              <w:pStyle w:val="ARtabletextright"/>
            </w:pPr>
            <w:r w:rsidRPr="005E779B">
              <w:t>4</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789A1547" w14:textId="77777777" w:rsidR="007D61FB" w:rsidRPr="005E779B" w:rsidRDefault="007D61FB" w:rsidP="009D73E2">
            <w:pPr>
              <w:pStyle w:val="ARtabletextright"/>
            </w:pPr>
            <w:r w:rsidRPr="005E779B">
              <w:t>4</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4A2F3FC0" w14:textId="77777777" w:rsidR="007D61FB" w:rsidRPr="005E779B" w:rsidRDefault="007D61FB" w:rsidP="009D73E2">
            <w:pPr>
              <w:pStyle w:val="ARtabletextright"/>
            </w:pPr>
            <w:r w:rsidRPr="005E779B">
              <w:t>6</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1AD8570" w14:textId="77777777" w:rsidR="007D61FB" w:rsidRPr="005E779B" w:rsidRDefault="007D61FB" w:rsidP="009D73E2">
            <w:pPr>
              <w:pStyle w:val="ARtabletextright"/>
            </w:pPr>
            <w:r w:rsidRPr="005E779B">
              <w:t>5.9</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48E4E79D" w14:textId="77777777" w:rsidR="007D61FB" w:rsidRPr="005E779B" w:rsidRDefault="007D61FB" w:rsidP="009D73E2">
            <w:pPr>
              <w:pStyle w:val="ARtabletextright"/>
            </w:pPr>
            <w:r w:rsidRPr="005E779B">
              <w:t>2</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10964848" w14:textId="77777777" w:rsidR="007D61FB" w:rsidRPr="005E779B" w:rsidRDefault="007D61FB" w:rsidP="009D73E2">
            <w:pPr>
              <w:pStyle w:val="ARtabletextright"/>
            </w:pPr>
            <w:r w:rsidRPr="005E779B">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05FA840" w14:textId="77777777" w:rsidR="007D61FB" w:rsidRPr="005E779B" w:rsidRDefault="007D61FB" w:rsidP="009D73E2">
            <w:pPr>
              <w:pStyle w:val="ARtabletextright"/>
            </w:pPr>
            <w:r w:rsidRPr="005E779B">
              <w:t>2</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0C6A500" w14:textId="77777777" w:rsidR="007D61FB" w:rsidRPr="005E779B" w:rsidRDefault="007D61FB" w:rsidP="009D73E2">
            <w:pPr>
              <w:pStyle w:val="ARtabletextright"/>
            </w:pPr>
            <w:r w:rsidRPr="005E779B">
              <w:t>4</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7FB4AD50" w14:textId="77777777" w:rsidR="007D61FB" w:rsidRPr="005E779B" w:rsidRDefault="007D61FB" w:rsidP="009D73E2">
            <w:pPr>
              <w:pStyle w:val="ARtabletextright"/>
            </w:pPr>
            <w:r w:rsidRPr="005E779B">
              <w:t>3.9</w:t>
            </w:r>
          </w:p>
        </w:tc>
      </w:tr>
      <w:tr w:rsidR="008B3B0C" w:rsidRPr="005E779B" w14:paraId="6315B60E"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hideMark/>
          </w:tcPr>
          <w:p w14:paraId="659291C2" w14:textId="77777777" w:rsidR="007D61FB" w:rsidRPr="00B62D0D" w:rsidRDefault="007D61FB" w:rsidP="00B62D0D">
            <w:pPr>
              <w:pStyle w:val="ARtabletext"/>
            </w:pPr>
            <w:r w:rsidRPr="00B62D0D">
              <w:t>VPS 2</w:t>
            </w:r>
          </w:p>
        </w:tc>
        <w:tc>
          <w:tcPr>
            <w:tcW w:w="825" w:type="dxa"/>
            <w:tcBorders>
              <w:top w:val="single" w:sz="4" w:space="0" w:color="A6A6A6" w:themeColor="background1" w:themeShade="A6"/>
              <w:bottom w:val="single" w:sz="4" w:space="0" w:color="A6A6A6" w:themeColor="background1" w:themeShade="A6"/>
            </w:tcBorders>
            <w:shd w:val="clear" w:color="auto" w:fill="auto"/>
            <w:vAlign w:val="bottom"/>
          </w:tcPr>
          <w:p w14:paraId="42EEB9E9" w14:textId="77777777" w:rsidR="007D61FB" w:rsidRPr="005E779B" w:rsidRDefault="007D61FB" w:rsidP="009D73E2">
            <w:pPr>
              <w:pStyle w:val="ARtabletextright"/>
            </w:pPr>
            <w:r w:rsidRPr="005E779B">
              <w:t>260</w:t>
            </w:r>
          </w:p>
        </w:tc>
        <w:tc>
          <w:tcPr>
            <w:tcW w:w="779" w:type="dxa"/>
            <w:tcBorders>
              <w:top w:val="single" w:sz="4" w:space="0" w:color="A6A6A6" w:themeColor="background1" w:themeShade="A6"/>
              <w:bottom w:val="single" w:sz="4" w:space="0" w:color="A6A6A6" w:themeColor="background1" w:themeShade="A6"/>
              <w:right w:val="single" w:sz="4" w:space="0" w:color="auto"/>
            </w:tcBorders>
            <w:shd w:val="clear" w:color="auto" w:fill="auto"/>
            <w:vAlign w:val="bottom"/>
          </w:tcPr>
          <w:p w14:paraId="5B5EF1D7" w14:textId="77777777" w:rsidR="007D61FB" w:rsidRPr="005E779B" w:rsidRDefault="007D61FB" w:rsidP="009D73E2">
            <w:pPr>
              <w:pStyle w:val="ARtabletextright"/>
            </w:pPr>
            <w:r w:rsidRPr="005E779B">
              <w:t>224.2</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6470A8E8" w14:textId="77777777" w:rsidR="007D61FB" w:rsidRPr="005E779B" w:rsidRDefault="007D61FB" w:rsidP="009D73E2">
            <w:pPr>
              <w:pStyle w:val="ARtabletextright"/>
            </w:pPr>
            <w:r w:rsidRPr="005E779B">
              <w:t>143</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tcPr>
          <w:p w14:paraId="510CCA63" w14:textId="77777777" w:rsidR="007D61FB" w:rsidRPr="005E779B" w:rsidRDefault="007D61FB" w:rsidP="009D73E2">
            <w:pPr>
              <w:pStyle w:val="ARtabletextright"/>
            </w:pPr>
            <w:r w:rsidRPr="005E779B">
              <w:t>55</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72BD0656" w14:textId="77777777" w:rsidR="007D61FB" w:rsidRPr="005E779B" w:rsidRDefault="007D61FB" w:rsidP="009D73E2">
            <w:pPr>
              <w:pStyle w:val="ARtabletextright"/>
            </w:pPr>
            <w:r w:rsidRPr="005E779B">
              <w:t>178.1</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58A9114B" w14:textId="77777777" w:rsidR="007D61FB" w:rsidRPr="005E779B" w:rsidRDefault="007D61FB" w:rsidP="009D73E2">
            <w:pPr>
              <w:pStyle w:val="ARtabletextright"/>
            </w:pPr>
            <w:r w:rsidRPr="005E779B">
              <w:t>62</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6909546B" w14:textId="77777777" w:rsidR="007D61FB" w:rsidRPr="005E779B" w:rsidRDefault="007D61FB" w:rsidP="009D73E2">
            <w:pPr>
              <w:pStyle w:val="ARtabletextright"/>
            </w:pPr>
            <w:r w:rsidRPr="005E779B">
              <w:t>46.1</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25F87579" w14:textId="77777777" w:rsidR="007D61FB" w:rsidRPr="005E779B" w:rsidRDefault="007D61FB" w:rsidP="009D73E2">
            <w:pPr>
              <w:pStyle w:val="ARtabletextright"/>
            </w:pPr>
            <w:r w:rsidRPr="005E779B">
              <w:t>255</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7BF6C50" w14:textId="77777777" w:rsidR="007D61FB" w:rsidRPr="005E779B" w:rsidRDefault="007D61FB" w:rsidP="009D73E2">
            <w:pPr>
              <w:pStyle w:val="ARtabletextright"/>
            </w:pPr>
            <w:r w:rsidRPr="005E779B">
              <w:t>215.5</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5AB0C3C" w14:textId="77777777" w:rsidR="007D61FB" w:rsidRPr="005E779B" w:rsidRDefault="007D61FB" w:rsidP="009D73E2">
            <w:pPr>
              <w:pStyle w:val="ARtabletextright"/>
            </w:pPr>
            <w:r w:rsidRPr="005E779B">
              <w:t>119</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5E012519" w14:textId="77777777" w:rsidR="007D61FB" w:rsidRPr="005E779B" w:rsidRDefault="007D61FB" w:rsidP="009D73E2">
            <w:pPr>
              <w:pStyle w:val="ARtabletextright"/>
            </w:pPr>
            <w:r w:rsidRPr="005E779B">
              <w:t>48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CF91EF9" w14:textId="77777777" w:rsidR="007D61FB" w:rsidRPr="005E779B" w:rsidRDefault="007D61FB" w:rsidP="009D73E2">
            <w:pPr>
              <w:pStyle w:val="ARtabletextright"/>
            </w:pPr>
            <w:r w:rsidRPr="005E779B">
              <w:t>147.2</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C263011" w14:textId="77777777" w:rsidR="007D61FB" w:rsidRPr="005E779B" w:rsidRDefault="007D61FB" w:rsidP="009D73E2">
            <w:pPr>
              <w:pStyle w:val="ARtabletextright"/>
            </w:pPr>
            <w:r w:rsidRPr="005E779B">
              <w:t>88</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500ECE85" w14:textId="77777777" w:rsidR="007D61FB" w:rsidRPr="005E779B" w:rsidRDefault="007D61FB" w:rsidP="009D73E2">
            <w:pPr>
              <w:pStyle w:val="ARtabletextright"/>
            </w:pPr>
            <w:r w:rsidRPr="005E779B">
              <w:t>68.3</w:t>
            </w:r>
          </w:p>
        </w:tc>
      </w:tr>
      <w:tr w:rsidR="008B3B0C" w:rsidRPr="005E779B" w14:paraId="18033899"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hideMark/>
          </w:tcPr>
          <w:p w14:paraId="52F62CF3" w14:textId="77777777" w:rsidR="007D61FB" w:rsidRPr="00B62D0D" w:rsidRDefault="007D61FB" w:rsidP="00B62D0D">
            <w:pPr>
              <w:pStyle w:val="ARtabletext"/>
            </w:pPr>
            <w:r w:rsidRPr="00B62D0D">
              <w:t>VPS 3</w:t>
            </w:r>
          </w:p>
        </w:tc>
        <w:tc>
          <w:tcPr>
            <w:tcW w:w="825" w:type="dxa"/>
            <w:tcBorders>
              <w:top w:val="single" w:sz="4" w:space="0" w:color="A6A6A6" w:themeColor="background1" w:themeShade="A6"/>
              <w:bottom w:val="single" w:sz="4" w:space="0" w:color="A6A6A6" w:themeColor="background1" w:themeShade="A6"/>
            </w:tcBorders>
            <w:shd w:val="clear" w:color="auto" w:fill="auto"/>
            <w:vAlign w:val="bottom"/>
          </w:tcPr>
          <w:p w14:paraId="49273567" w14:textId="77777777" w:rsidR="007D61FB" w:rsidRPr="005E779B" w:rsidRDefault="007D61FB" w:rsidP="009D73E2">
            <w:pPr>
              <w:pStyle w:val="ARtabletextright"/>
            </w:pPr>
            <w:r w:rsidRPr="005E779B">
              <w:t>368</w:t>
            </w:r>
          </w:p>
        </w:tc>
        <w:tc>
          <w:tcPr>
            <w:tcW w:w="779" w:type="dxa"/>
            <w:tcBorders>
              <w:top w:val="single" w:sz="4" w:space="0" w:color="A6A6A6" w:themeColor="background1" w:themeShade="A6"/>
              <w:bottom w:val="single" w:sz="4" w:space="0" w:color="A6A6A6" w:themeColor="background1" w:themeShade="A6"/>
              <w:right w:val="single" w:sz="4" w:space="0" w:color="auto"/>
            </w:tcBorders>
            <w:shd w:val="clear" w:color="auto" w:fill="auto"/>
            <w:vAlign w:val="bottom"/>
          </w:tcPr>
          <w:p w14:paraId="00388311" w14:textId="77777777" w:rsidR="007D61FB" w:rsidRPr="005E779B" w:rsidRDefault="007D61FB" w:rsidP="009D73E2">
            <w:pPr>
              <w:pStyle w:val="ARtabletextright"/>
            </w:pPr>
            <w:r w:rsidRPr="005E779B">
              <w:t>344.5</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1308E411" w14:textId="77777777" w:rsidR="007D61FB" w:rsidRPr="005E779B" w:rsidRDefault="007D61FB" w:rsidP="009D73E2">
            <w:pPr>
              <w:pStyle w:val="ARtabletextright"/>
            </w:pPr>
            <w:r w:rsidRPr="005E779B">
              <w:t>247</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tcPr>
          <w:p w14:paraId="57221F31" w14:textId="77777777" w:rsidR="007D61FB" w:rsidRPr="005E779B" w:rsidRDefault="007D61FB" w:rsidP="009D73E2">
            <w:pPr>
              <w:pStyle w:val="ARtabletextright"/>
            </w:pPr>
            <w:r w:rsidRPr="005E779B">
              <w:t>50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531379CA" w14:textId="77777777" w:rsidR="007D61FB" w:rsidRPr="005E779B" w:rsidRDefault="007D61FB" w:rsidP="009D73E2">
            <w:pPr>
              <w:pStyle w:val="ARtabletextright"/>
            </w:pPr>
            <w:r w:rsidRPr="005E779B">
              <w:t>279.4</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2D342861" w14:textId="77777777" w:rsidR="007D61FB" w:rsidRPr="005E779B" w:rsidRDefault="007D61FB" w:rsidP="009D73E2">
            <w:pPr>
              <w:pStyle w:val="ARtabletextright"/>
            </w:pPr>
            <w:r w:rsidRPr="005E779B">
              <w:t>71</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44FDDD97" w14:textId="77777777" w:rsidR="007D61FB" w:rsidRPr="005E779B" w:rsidRDefault="007D61FB" w:rsidP="009D73E2">
            <w:pPr>
              <w:pStyle w:val="ARtabletextright"/>
            </w:pPr>
            <w:r w:rsidRPr="005E779B">
              <w:t>65.1</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5A2AC737" w14:textId="77777777" w:rsidR="007D61FB" w:rsidRPr="005E779B" w:rsidRDefault="007D61FB" w:rsidP="009D73E2">
            <w:pPr>
              <w:pStyle w:val="ARtabletextright"/>
            </w:pPr>
            <w:r w:rsidRPr="005E779B">
              <w:t>409</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6296F42" w14:textId="77777777" w:rsidR="007D61FB" w:rsidRPr="005E779B" w:rsidRDefault="007D61FB" w:rsidP="009D73E2">
            <w:pPr>
              <w:pStyle w:val="ARtabletextright"/>
            </w:pPr>
            <w:r w:rsidRPr="005E779B">
              <w:t>384.6</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E9E0E7E" w14:textId="77777777" w:rsidR="007D61FB" w:rsidRPr="005E779B" w:rsidRDefault="007D61FB" w:rsidP="009D73E2">
            <w:pPr>
              <w:pStyle w:val="ARtabletextright"/>
            </w:pPr>
            <w:r w:rsidRPr="005E779B">
              <w:t>229</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09ED79B" w14:textId="77777777" w:rsidR="007D61FB" w:rsidRPr="005E779B" w:rsidRDefault="007D61FB" w:rsidP="009D73E2">
            <w:pPr>
              <w:pStyle w:val="ARtabletextright"/>
            </w:pPr>
            <w:r w:rsidRPr="005E779B">
              <w:t>55</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8C23B70" w14:textId="77777777" w:rsidR="007D61FB" w:rsidRPr="005E779B" w:rsidRDefault="007D61FB" w:rsidP="009D73E2">
            <w:pPr>
              <w:pStyle w:val="ARtabletextright"/>
            </w:pPr>
            <w:r w:rsidRPr="005E779B">
              <w:t>263.9</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E6F0144" w14:textId="77777777" w:rsidR="007D61FB" w:rsidRPr="005E779B" w:rsidRDefault="007D61FB" w:rsidP="009D73E2">
            <w:pPr>
              <w:pStyle w:val="ARtabletextright"/>
            </w:pPr>
            <w:r w:rsidRPr="005E779B">
              <w:t>125</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439075C7" w14:textId="77777777" w:rsidR="007D61FB" w:rsidRPr="005E779B" w:rsidRDefault="007D61FB" w:rsidP="009D73E2">
            <w:pPr>
              <w:pStyle w:val="ARtabletextright"/>
            </w:pPr>
            <w:r w:rsidRPr="005E779B">
              <w:t>120.7</w:t>
            </w:r>
          </w:p>
        </w:tc>
      </w:tr>
      <w:tr w:rsidR="008B3B0C" w:rsidRPr="005E779B" w14:paraId="6A4D0922"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hideMark/>
          </w:tcPr>
          <w:p w14:paraId="4E9F0F3C" w14:textId="77777777" w:rsidR="007D61FB" w:rsidRPr="00B62D0D" w:rsidRDefault="007D61FB" w:rsidP="00B62D0D">
            <w:pPr>
              <w:pStyle w:val="ARtabletext"/>
            </w:pPr>
            <w:r w:rsidRPr="00B62D0D">
              <w:t>VPS 4</w:t>
            </w:r>
          </w:p>
        </w:tc>
        <w:tc>
          <w:tcPr>
            <w:tcW w:w="825" w:type="dxa"/>
            <w:tcBorders>
              <w:top w:val="single" w:sz="4" w:space="0" w:color="A6A6A6" w:themeColor="background1" w:themeShade="A6"/>
              <w:bottom w:val="single" w:sz="4" w:space="0" w:color="A6A6A6" w:themeColor="background1" w:themeShade="A6"/>
            </w:tcBorders>
            <w:shd w:val="clear" w:color="auto" w:fill="auto"/>
            <w:vAlign w:val="bottom"/>
          </w:tcPr>
          <w:p w14:paraId="47185FD7" w14:textId="77777777" w:rsidR="007D61FB" w:rsidRPr="005E779B" w:rsidRDefault="007D61FB" w:rsidP="009D73E2">
            <w:pPr>
              <w:pStyle w:val="ARtabletextright"/>
            </w:pPr>
            <w:r w:rsidRPr="005E779B">
              <w:t>566</w:t>
            </w:r>
          </w:p>
        </w:tc>
        <w:tc>
          <w:tcPr>
            <w:tcW w:w="779" w:type="dxa"/>
            <w:tcBorders>
              <w:top w:val="single" w:sz="4" w:space="0" w:color="A6A6A6" w:themeColor="background1" w:themeShade="A6"/>
              <w:bottom w:val="single" w:sz="4" w:space="0" w:color="A6A6A6" w:themeColor="background1" w:themeShade="A6"/>
              <w:right w:val="single" w:sz="4" w:space="0" w:color="auto"/>
            </w:tcBorders>
            <w:shd w:val="clear" w:color="auto" w:fill="auto"/>
            <w:vAlign w:val="bottom"/>
          </w:tcPr>
          <w:p w14:paraId="0D219C4A" w14:textId="77777777" w:rsidR="007D61FB" w:rsidRPr="005E779B" w:rsidRDefault="007D61FB" w:rsidP="009D73E2">
            <w:pPr>
              <w:pStyle w:val="ARtabletextright"/>
            </w:pPr>
            <w:r w:rsidRPr="005E779B">
              <w:t>547.0</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5D758CE9" w14:textId="77777777" w:rsidR="007D61FB" w:rsidRPr="005E779B" w:rsidRDefault="007D61FB" w:rsidP="009D73E2">
            <w:pPr>
              <w:pStyle w:val="ARtabletextright"/>
            </w:pPr>
            <w:r w:rsidRPr="005E779B">
              <w:t>369</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tcPr>
          <w:p w14:paraId="01ABB22C" w14:textId="77777777" w:rsidR="007D61FB" w:rsidRPr="005E779B" w:rsidRDefault="007D61FB" w:rsidP="009D73E2">
            <w:pPr>
              <w:pStyle w:val="ARtabletextright"/>
            </w:pPr>
            <w:r w:rsidRPr="005E779B">
              <w:t>54</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32DEE833" w14:textId="77777777" w:rsidR="007D61FB" w:rsidRPr="005E779B" w:rsidRDefault="007D61FB" w:rsidP="009D73E2">
            <w:pPr>
              <w:pStyle w:val="ARtabletextright"/>
            </w:pPr>
            <w:r w:rsidRPr="005E779B">
              <w:t>407.2</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2C7EB86F" w14:textId="77777777" w:rsidR="007D61FB" w:rsidRPr="005E779B" w:rsidRDefault="007D61FB" w:rsidP="009D73E2">
            <w:pPr>
              <w:pStyle w:val="ARtabletextright"/>
            </w:pPr>
            <w:r w:rsidRPr="005E779B">
              <w:t>143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147644E1" w14:textId="77777777" w:rsidR="007D61FB" w:rsidRPr="005E779B" w:rsidRDefault="007D61FB" w:rsidP="009D73E2">
            <w:pPr>
              <w:pStyle w:val="ARtabletextright"/>
            </w:pPr>
            <w:r w:rsidRPr="005E779B">
              <w:t>139.8</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83D3B51" w14:textId="77777777" w:rsidR="007D61FB" w:rsidRPr="005E779B" w:rsidRDefault="007D61FB" w:rsidP="009D73E2">
            <w:pPr>
              <w:pStyle w:val="ARtabletextright"/>
            </w:pPr>
            <w:r w:rsidRPr="005E779B">
              <w:t>628</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0194229" w14:textId="77777777" w:rsidR="007D61FB" w:rsidRPr="005E779B" w:rsidRDefault="007D61FB" w:rsidP="009D73E2">
            <w:pPr>
              <w:pStyle w:val="ARtabletextright"/>
            </w:pPr>
            <w:r w:rsidRPr="005E779B">
              <w:t>601.6</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40BC70E" w14:textId="77777777" w:rsidR="007D61FB" w:rsidRPr="005E779B" w:rsidRDefault="007D61FB" w:rsidP="009D73E2">
            <w:pPr>
              <w:pStyle w:val="ARtabletextright"/>
            </w:pPr>
            <w:r w:rsidRPr="005E779B">
              <w:t>377</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2E04BB7" w14:textId="77777777" w:rsidR="007D61FB" w:rsidRPr="005E779B" w:rsidRDefault="007D61FB" w:rsidP="009D73E2">
            <w:pPr>
              <w:pStyle w:val="ARtabletextright"/>
            </w:pPr>
            <w:r w:rsidRPr="005E779B">
              <w:t>52</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1C5749C" w14:textId="77777777" w:rsidR="007D61FB" w:rsidRPr="005E779B" w:rsidRDefault="007D61FB" w:rsidP="009D73E2">
            <w:pPr>
              <w:pStyle w:val="ARtabletextright"/>
            </w:pPr>
            <w:r w:rsidRPr="005E779B">
              <w:t>411</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F17694C" w14:textId="77777777" w:rsidR="007D61FB" w:rsidRPr="005E779B" w:rsidRDefault="007D61FB" w:rsidP="009D73E2">
            <w:pPr>
              <w:pStyle w:val="ARtabletextright"/>
            </w:pPr>
            <w:r w:rsidRPr="005E779B">
              <w:t>199</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702F86A3" w14:textId="77777777" w:rsidR="007D61FB" w:rsidRPr="005E779B" w:rsidRDefault="007D61FB" w:rsidP="009D73E2">
            <w:pPr>
              <w:pStyle w:val="ARtabletextright"/>
            </w:pPr>
            <w:r w:rsidRPr="005E779B">
              <w:t>190.6</w:t>
            </w:r>
          </w:p>
        </w:tc>
      </w:tr>
      <w:tr w:rsidR="008B3B0C" w:rsidRPr="005E779B" w14:paraId="1404E4C2"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tcPr>
          <w:p w14:paraId="2864492D" w14:textId="77777777" w:rsidR="007D61FB" w:rsidRPr="00B62D0D" w:rsidRDefault="007D61FB" w:rsidP="00B62D0D">
            <w:pPr>
              <w:pStyle w:val="ARtabletext"/>
            </w:pPr>
            <w:r w:rsidRPr="00B62D0D">
              <w:t>VPS 5</w:t>
            </w:r>
          </w:p>
        </w:tc>
        <w:tc>
          <w:tcPr>
            <w:tcW w:w="825" w:type="dxa"/>
            <w:tcBorders>
              <w:top w:val="single" w:sz="4" w:space="0" w:color="A6A6A6" w:themeColor="background1" w:themeShade="A6"/>
              <w:bottom w:val="single" w:sz="4" w:space="0" w:color="A6A6A6" w:themeColor="background1" w:themeShade="A6"/>
            </w:tcBorders>
            <w:shd w:val="clear" w:color="auto" w:fill="auto"/>
            <w:vAlign w:val="bottom"/>
          </w:tcPr>
          <w:p w14:paraId="2A580570" w14:textId="132708CC" w:rsidR="007D61FB" w:rsidRPr="005E779B" w:rsidRDefault="007D61FB" w:rsidP="009D73E2">
            <w:pPr>
              <w:pStyle w:val="ARtabletextright"/>
            </w:pPr>
            <w:r w:rsidRPr="005E779B">
              <w:t>1</w:t>
            </w:r>
            <w:r w:rsidR="00446457">
              <w:t>,</w:t>
            </w:r>
            <w:r w:rsidRPr="005E779B">
              <w:t>112</w:t>
            </w:r>
          </w:p>
        </w:tc>
        <w:tc>
          <w:tcPr>
            <w:tcW w:w="779" w:type="dxa"/>
            <w:tcBorders>
              <w:top w:val="single" w:sz="4" w:space="0" w:color="A6A6A6" w:themeColor="background1" w:themeShade="A6"/>
              <w:bottom w:val="single" w:sz="4" w:space="0" w:color="A6A6A6" w:themeColor="background1" w:themeShade="A6"/>
              <w:right w:val="single" w:sz="4" w:space="0" w:color="auto"/>
            </w:tcBorders>
            <w:shd w:val="clear" w:color="auto" w:fill="auto"/>
            <w:vAlign w:val="bottom"/>
          </w:tcPr>
          <w:p w14:paraId="0DD5551C" w14:textId="51E3E86A" w:rsidR="007D61FB" w:rsidRPr="005E779B" w:rsidRDefault="007D61FB" w:rsidP="009D73E2">
            <w:pPr>
              <w:pStyle w:val="ARtabletextright"/>
            </w:pPr>
            <w:r w:rsidRPr="005E779B">
              <w:t>1</w:t>
            </w:r>
            <w:r w:rsidR="00446457">
              <w:t>,</w:t>
            </w:r>
            <w:r w:rsidRPr="005E779B">
              <w:t>069.3</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4C2EC838" w14:textId="77777777" w:rsidR="007D61FB" w:rsidRPr="005E779B" w:rsidRDefault="007D61FB" w:rsidP="009D73E2">
            <w:pPr>
              <w:pStyle w:val="ARtabletextright"/>
            </w:pPr>
            <w:r w:rsidRPr="005E779B">
              <w:t>753</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tcPr>
          <w:p w14:paraId="39C3FD43" w14:textId="77777777" w:rsidR="007D61FB" w:rsidRPr="005E779B" w:rsidRDefault="007D61FB" w:rsidP="009D73E2">
            <w:pPr>
              <w:pStyle w:val="ARtabletextright"/>
            </w:pPr>
            <w:r w:rsidRPr="005E779B">
              <w:t>111</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2ED7C2EA" w14:textId="77777777" w:rsidR="007D61FB" w:rsidRPr="005E779B" w:rsidRDefault="007D61FB" w:rsidP="009D73E2">
            <w:pPr>
              <w:pStyle w:val="ARtabletextright"/>
            </w:pPr>
            <w:r w:rsidRPr="005E779B">
              <w:t>828.3</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265D611A" w14:textId="77777777" w:rsidR="007D61FB" w:rsidRPr="005E779B" w:rsidRDefault="007D61FB" w:rsidP="009D73E2">
            <w:pPr>
              <w:pStyle w:val="ARtabletextright"/>
            </w:pPr>
            <w:r w:rsidRPr="005E779B">
              <w:t>248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6762F0F8" w14:textId="77777777" w:rsidR="007D61FB" w:rsidRPr="005E779B" w:rsidRDefault="007D61FB" w:rsidP="009D73E2">
            <w:pPr>
              <w:pStyle w:val="ARtabletextright"/>
            </w:pPr>
            <w:r w:rsidRPr="005E779B">
              <w:t>241.0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59C341B8" w14:textId="77777777" w:rsidR="007D61FB" w:rsidRPr="005E779B" w:rsidRDefault="007D61FB" w:rsidP="009D73E2">
            <w:pPr>
              <w:pStyle w:val="ARtabletextright"/>
            </w:pPr>
            <w:r w:rsidRPr="005E779B">
              <w:t>1,159</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2BD11B4" w14:textId="77777777" w:rsidR="007D61FB" w:rsidRPr="005E779B" w:rsidRDefault="007D61FB" w:rsidP="009D73E2">
            <w:pPr>
              <w:pStyle w:val="ARtabletextright"/>
            </w:pPr>
            <w:r w:rsidRPr="005E779B">
              <w:t>1,109.1</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A5CE269" w14:textId="77777777" w:rsidR="007D61FB" w:rsidRPr="005E779B" w:rsidRDefault="007D61FB" w:rsidP="009D73E2">
            <w:pPr>
              <w:pStyle w:val="ARtabletextright"/>
            </w:pPr>
            <w:r w:rsidRPr="005E779B">
              <w:t>664</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78669C93" w14:textId="77777777" w:rsidR="007D61FB" w:rsidRPr="005E779B" w:rsidRDefault="007D61FB" w:rsidP="009D73E2">
            <w:pPr>
              <w:pStyle w:val="ARtabletextright"/>
            </w:pPr>
            <w:r w:rsidRPr="005E779B">
              <w:t>114</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391A9B8" w14:textId="77777777" w:rsidR="007D61FB" w:rsidRPr="005E779B" w:rsidRDefault="007D61FB" w:rsidP="009D73E2">
            <w:pPr>
              <w:pStyle w:val="ARtabletextright"/>
            </w:pPr>
            <w:r w:rsidRPr="005E779B">
              <w:t>742.8</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5628A420" w14:textId="77777777" w:rsidR="007D61FB" w:rsidRPr="005E779B" w:rsidRDefault="007D61FB" w:rsidP="009D73E2">
            <w:pPr>
              <w:pStyle w:val="ARtabletextright"/>
            </w:pPr>
            <w:r w:rsidRPr="005E779B">
              <w:t>381</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702D46E0" w14:textId="77777777" w:rsidR="007D61FB" w:rsidRPr="005E779B" w:rsidRDefault="007D61FB" w:rsidP="009D73E2">
            <w:pPr>
              <w:pStyle w:val="ARtabletextright"/>
            </w:pPr>
            <w:r w:rsidRPr="005E779B">
              <w:t>366.4</w:t>
            </w:r>
          </w:p>
        </w:tc>
      </w:tr>
      <w:tr w:rsidR="008B3B0C" w:rsidRPr="005E779B" w14:paraId="19279049"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tcPr>
          <w:p w14:paraId="1AC890D0" w14:textId="77777777" w:rsidR="007D61FB" w:rsidRPr="00B62D0D" w:rsidRDefault="007D61FB" w:rsidP="00B62D0D">
            <w:pPr>
              <w:pStyle w:val="ARtabletext"/>
            </w:pPr>
            <w:r w:rsidRPr="00B62D0D">
              <w:t>VPS 6</w:t>
            </w:r>
          </w:p>
        </w:tc>
        <w:tc>
          <w:tcPr>
            <w:tcW w:w="825" w:type="dxa"/>
            <w:tcBorders>
              <w:top w:val="single" w:sz="4" w:space="0" w:color="A6A6A6" w:themeColor="background1" w:themeShade="A6"/>
              <w:bottom w:val="single" w:sz="4" w:space="0" w:color="A6A6A6" w:themeColor="background1" w:themeShade="A6"/>
            </w:tcBorders>
            <w:shd w:val="clear" w:color="auto" w:fill="auto"/>
            <w:vAlign w:val="bottom"/>
          </w:tcPr>
          <w:p w14:paraId="1B684718" w14:textId="77777777" w:rsidR="007D61FB" w:rsidRPr="005E779B" w:rsidRDefault="007D61FB" w:rsidP="009D73E2">
            <w:pPr>
              <w:pStyle w:val="ARtabletextright"/>
            </w:pPr>
            <w:r w:rsidRPr="005E779B">
              <w:t>699</w:t>
            </w:r>
          </w:p>
        </w:tc>
        <w:tc>
          <w:tcPr>
            <w:tcW w:w="779" w:type="dxa"/>
            <w:tcBorders>
              <w:top w:val="single" w:sz="4" w:space="0" w:color="A6A6A6" w:themeColor="background1" w:themeShade="A6"/>
              <w:bottom w:val="single" w:sz="4" w:space="0" w:color="A6A6A6" w:themeColor="background1" w:themeShade="A6"/>
              <w:right w:val="single" w:sz="4" w:space="0" w:color="auto"/>
            </w:tcBorders>
            <w:shd w:val="clear" w:color="auto" w:fill="auto"/>
            <w:vAlign w:val="bottom"/>
          </w:tcPr>
          <w:p w14:paraId="0A7C1ACB" w14:textId="77777777" w:rsidR="007D61FB" w:rsidRPr="005E779B" w:rsidRDefault="007D61FB" w:rsidP="009D73E2">
            <w:pPr>
              <w:pStyle w:val="ARtabletextright"/>
            </w:pPr>
            <w:r w:rsidRPr="005E779B">
              <w:t>679.9</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561CA4A1" w14:textId="77777777" w:rsidR="007D61FB" w:rsidRPr="005E779B" w:rsidRDefault="007D61FB" w:rsidP="009D73E2">
            <w:pPr>
              <w:pStyle w:val="ARtabletextright"/>
            </w:pPr>
            <w:r w:rsidRPr="005E779B">
              <w:t>532</w:t>
            </w:r>
          </w:p>
        </w:tc>
        <w:tc>
          <w:tcPr>
            <w:tcW w:w="872" w:type="dxa"/>
            <w:tcBorders>
              <w:top w:val="single" w:sz="4" w:space="0" w:color="A6A6A6" w:themeColor="background1" w:themeShade="A6"/>
              <w:left w:val="nil"/>
              <w:bottom w:val="single" w:sz="4" w:space="0" w:color="A6A6A6" w:themeColor="background1" w:themeShade="A6"/>
              <w:right w:val="nil"/>
            </w:tcBorders>
            <w:shd w:val="clear" w:color="auto" w:fill="auto"/>
            <w:vAlign w:val="bottom"/>
          </w:tcPr>
          <w:p w14:paraId="23E487E3" w14:textId="77777777" w:rsidR="007D61FB" w:rsidRPr="005E779B" w:rsidRDefault="007D61FB" w:rsidP="009D73E2">
            <w:pPr>
              <w:pStyle w:val="ARtabletextright"/>
            </w:pPr>
            <w:r w:rsidRPr="005E779B">
              <w:t>58</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113DC950" w14:textId="77777777" w:rsidR="007D61FB" w:rsidRPr="005E779B" w:rsidRDefault="007D61FB" w:rsidP="009D73E2">
            <w:pPr>
              <w:pStyle w:val="ARtabletextright"/>
            </w:pPr>
            <w:r w:rsidRPr="005E779B">
              <w:t>575.0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vAlign w:val="bottom"/>
          </w:tcPr>
          <w:p w14:paraId="0A60BE3C" w14:textId="77777777" w:rsidR="007D61FB" w:rsidRPr="005E779B" w:rsidRDefault="007D61FB" w:rsidP="009D73E2">
            <w:pPr>
              <w:pStyle w:val="ARtabletextright"/>
            </w:pPr>
            <w:r w:rsidRPr="005E779B">
              <w:t>109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vAlign w:val="bottom"/>
          </w:tcPr>
          <w:p w14:paraId="3C6EB1CE" w14:textId="77777777" w:rsidR="007D61FB" w:rsidRPr="005E779B" w:rsidRDefault="007D61FB" w:rsidP="009D73E2">
            <w:pPr>
              <w:pStyle w:val="ARtabletextright"/>
            </w:pPr>
            <w:r w:rsidRPr="005E779B">
              <w:t>104.9</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7DA7F38A" w14:textId="77777777" w:rsidR="007D61FB" w:rsidRPr="005E779B" w:rsidRDefault="007D61FB" w:rsidP="009D73E2">
            <w:pPr>
              <w:pStyle w:val="ARtabletextright"/>
            </w:pPr>
            <w:r w:rsidRPr="005E779B">
              <w:t xml:space="preserve">775 </w:t>
            </w:r>
            <w:r>
              <w:rPr>
                <w:rStyle w:val="FootnoteReference"/>
              </w:rPr>
              <w:footnoteReference w:id="3"/>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F36EED1" w14:textId="77777777" w:rsidR="007D61FB" w:rsidRPr="005E779B" w:rsidRDefault="007D61FB" w:rsidP="009D73E2">
            <w:pPr>
              <w:pStyle w:val="ARtabletextright"/>
            </w:pPr>
            <w:r w:rsidRPr="005E779B">
              <w:t>749.8</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974A12A" w14:textId="77777777" w:rsidR="007D61FB" w:rsidRPr="005E779B" w:rsidRDefault="007D61FB" w:rsidP="009D73E2">
            <w:pPr>
              <w:pStyle w:val="ARtabletextright"/>
            </w:pPr>
            <w:r w:rsidRPr="005E779B">
              <w:t>499</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A57AEE9" w14:textId="77777777" w:rsidR="007D61FB" w:rsidRPr="005E779B" w:rsidRDefault="007D61FB" w:rsidP="009D73E2">
            <w:pPr>
              <w:pStyle w:val="ARtabletextright"/>
            </w:pPr>
            <w:r w:rsidRPr="005E779B">
              <w:t>63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50DDF4A3" w14:textId="77777777" w:rsidR="007D61FB" w:rsidRPr="005E779B" w:rsidRDefault="007D61FB" w:rsidP="009D73E2">
            <w:pPr>
              <w:pStyle w:val="ARtabletextright"/>
            </w:pPr>
            <w:r w:rsidRPr="005E779B">
              <w:t>543.1</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DFF02CE" w14:textId="77777777" w:rsidR="007D61FB" w:rsidRPr="005E779B" w:rsidRDefault="007D61FB" w:rsidP="009D73E2">
            <w:pPr>
              <w:pStyle w:val="ARtabletextright"/>
            </w:pPr>
            <w:r w:rsidRPr="005E779B">
              <w:t>213</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6B1B80C2" w14:textId="77777777" w:rsidR="007D61FB" w:rsidRPr="005E779B" w:rsidRDefault="007D61FB" w:rsidP="009D73E2">
            <w:pPr>
              <w:pStyle w:val="ARtabletextright"/>
            </w:pPr>
            <w:r w:rsidRPr="005E779B">
              <w:t>206.7</w:t>
            </w:r>
          </w:p>
        </w:tc>
      </w:tr>
      <w:tr w:rsidR="008B3B0C" w:rsidRPr="005E779B" w14:paraId="25C92226" w14:textId="77777777" w:rsidTr="004C23DF">
        <w:trPr>
          <w:gridAfter w:val="1"/>
          <w:wAfter w:w="66" w:type="dxa"/>
          <w:cantSplit w:val="0"/>
        </w:trPr>
        <w:tc>
          <w:tcPr>
            <w:tcW w:w="1696" w:type="dxa"/>
            <w:tcBorders>
              <w:top w:val="single" w:sz="4" w:space="0" w:color="A6A6A6" w:themeColor="background1" w:themeShade="A6"/>
              <w:bottom w:val="single" w:sz="4" w:space="0" w:color="auto"/>
            </w:tcBorders>
          </w:tcPr>
          <w:p w14:paraId="1DD6F319" w14:textId="77777777" w:rsidR="007D61FB" w:rsidRPr="00B62D0D" w:rsidRDefault="007D61FB" w:rsidP="00B62D0D">
            <w:pPr>
              <w:pStyle w:val="ARtabletextbold"/>
            </w:pPr>
            <w:r w:rsidRPr="005E779B">
              <w:t>Total</w:t>
            </w:r>
          </w:p>
        </w:tc>
        <w:tc>
          <w:tcPr>
            <w:tcW w:w="825" w:type="dxa"/>
            <w:tcBorders>
              <w:top w:val="single" w:sz="4" w:space="0" w:color="A6A6A6" w:themeColor="background1" w:themeShade="A6"/>
              <w:bottom w:val="single" w:sz="4" w:space="0" w:color="auto"/>
            </w:tcBorders>
            <w:shd w:val="clear" w:color="auto" w:fill="auto"/>
            <w:vAlign w:val="bottom"/>
          </w:tcPr>
          <w:p w14:paraId="5A38D0DC" w14:textId="60CA1698" w:rsidR="007D61FB" w:rsidRPr="005E779B" w:rsidRDefault="007D61FB" w:rsidP="009D73E2">
            <w:pPr>
              <w:pStyle w:val="ARtabletextrightbold"/>
            </w:pPr>
            <w:r w:rsidRPr="005E779B">
              <w:t>3</w:t>
            </w:r>
            <w:r w:rsidR="003E6368">
              <w:t>,</w:t>
            </w:r>
            <w:r w:rsidRPr="005E779B">
              <w:t>009</w:t>
            </w:r>
          </w:p>
        </w:tc>
        <w:tc>
          <w:tcPr>
            <w:tcW w:w="779" w:type="dxa"/>
            <w:tcBorders>
              <w:top w:val="single" w:sz="4" w:space="0" w:color="A6A6A6" w:themeColor="background1" w:themeShade="A6"/>
              <w:bottom w:val="single" w:sz="4" w:space="0" w:color="auto"/>
              <w:right w:val="single" w:sz="4" w:space="0" w:color="auto"/>
            </w:tcBorders>
            <w:shd w:val="clear" w:color="auto" w:fill="auto"/>
            <w:vAlign w:val="bottom"/>
          </w:tcPr>
          <w:p w14:paraId="50B16C66" w14:textId="0877AA33" w:rsidR="007D61FB" w:rsidRPr="005E779B" w:rsidRDefault="007D61FB" w:rsidP="009D73E2">
            <w:pPr>
              <w:pStyle w:val="ARtabletextrightbold"/>
            </w:pPr>
            <w:r w:rsidRPr="005E779B">
              <w:t>2</w:t>
            </w:r>
            <w:r w:rsidR="003E6368">
              <w:t>,</w:t>
            </w:r>
            <w:r w:rsidRPr="005E779B">
              <w:t>868.9</w:t>
            </w:r>
          </w:p>
        </w:tc>
        <w:tc>
          <w:tcPr>
            <w:tcW w:w="1068" w:type="dxa"/>
            <w:tcBorders>
              <w:top w:val="single" w:sz="4" w:space="0" w:color="A6A6A6" w:themeColor="background1" w:themeShade="A6"/>
              <w:left w:val="single" w:sz="4" w:space="0" w:color="auto"/>
              <w:bottom w:val="single" w:sz="4" w:space="0" w:color="auto"/>
              <w:right w:val="nil"/>
            </w:tcBorders>
            <w:shd w:val="clear" w:color="auto" w:fill="auto"/>
            <w:vAlign w:val="bottom"/>
          </w:tcPr>
          <w:p w14:paraId="41987526" w14:textId="6518E181" w:rsidR="007D61FB" w:rsidRPr="005E779B" w:rsidRDefault="007D61FB" w:rsidP="009D73E2">
            <w:pPr>
              <w:pStyle w:val="ARtabletextrightbold"/>
            </w:pPr>
            <w:r w:rsidRPr="005E779B">
              <w:t>2</w:t>
            </w:r>
            <w:r w:rsidR="003E6368">
              <w:t>,</w:t>
            </w:r>
            <w:r w:rsidRPr="005E779B">
              <w:t>044</w:t>
            </w:r>
          </w:p>
        </w:tc>
        <w:tc>
          <w:tcPr>
            <w:tcW w:w="872" w:type="dxa"/>
            <w:tcBorders>
              <w:top w:val="single" w:sz="4" w:space="0" w:color="A6A6A6" w:themeColor="background1" w:themeShade="A6"/>
              <w:left w:val="nil"/>
              <w:bottom w:val="single" w:sz="4" w:space="0" w:color="auto"/>
              <w:right w:val="nil"/>
            </w:tcBorders>
            <w:shd w:val="clear" w:color="auto" w:fill="auto"/>
            <w:vAlign w:val="bottom"/>
          </w:tcPr>
          <w:p w14:paraId="10D30275" w14:textId="77777777" w:rsidR="007D61FB" w:rsidRPr="005E779B" w:rsidRDefault="007D61FB" w:rsidP="009D73E2">
            <w:pPr>
              <w:pStyle w:val="ARtabletextrightbold"/>
            </w:pPr>
            <w:r w:rsidRPr="005E779B">
              <w:t>328</w:t>
            </w:r>
          </w:p>
        </w:tc>
        <w:tc>
          <w:tcPr>
            <w:tcW w:w="857" w:type="dxa"/>
            <w:tcBorders>
              <w:top w:val="single" w:sz="4" w:space="0" w:color="A6A6A6" w:themeColor="background1" w:themeShade="A6"/>
              <w:left w:val="nil"/>
              <w:bottom w:val="single" w:sz="4" w:space="0" w:color="auto"/>
              <w:right w:val="single" w:sz="4" w:space="0" w:color="auto"/>
            </w:tcBorders>
            <w:shd w:val="clear" w:color="auto" w:fill="auto"/>
            <w:vAlign w:val="bottom"/>
          </w:tcPr>
          <w:p w14:paraId="0A11F935" w14:textId="005B5266" w:rsidR="007D61FB" w:rsidRPr="005E779B" w:rsidRDefault="007D61FB" w:rsidP="009D73E2">
            <w:pPr>
              <w:pStyle w:val="ARtabletextrightbold"/>
            </w:pPr>
            <w:r w:rsidRPr="005E779B">
              <w:t>2</w:t>
            </w:r>
            <w:r w:rsidR="003E6368">
              <w:t>,</w:t>
            </w:r>
            <w:r w:rsidRPr="005E779B">
              <w:t>267.9</w:t>
            </w:r>
          </w:p>
        </w:tc>
        <w:tc>
          <w:tcPr>
            <w:tcW w:w="844" w:type="dxa"/>
            <w:tcBorders>
              <w:top w:val="single" w:sz="4" w:space="0" w:color="A6A6A6" w:themeColor="background1" w:themeShade="A6"/>
              <w:left w:val="single" w:sz="4" w:space="0" w:color="auto"/>
              <w:bottom w:val="single" w:sz="4" w:space="0" w:color="auto"/>
            </w:tcBorders>
            <w:shd w:val="clear" w:color="auto" w:fill="auto"/>
            <w:vAlign w:val="bottom"/>
          </w:tcPr>
          <w:p w14:paraId="6E920A4B" w14:textId="77777777" w:rsidR="007D61FB" w:rsidRPr="005E779B" w:rsidRDefault="007D61FB" w:rsidP="009D73E2">
            <w:pPr>
              <w:pStyle w:val="ARtabletextrightbold"/>
            </w:pPr>
            <w:r w:rsidRPr="005E779B">
              <w:t>637</w:t>
            </w:r>
          </w:p>
        </w:tc>
        <w:tc>
          <w:tcPr>
            <w:tcW w:w="851" w:type="dxa"/>
            <w:tcBorders>
              <w:top w:val="single" w:sz="4" w:space="0" w:color="A6A6A6" w:themeColor="background1" w:themeShade="A6"/>
              <w:bottom w:val="single" w:sz="4" w:space="0" w:color="auto"/>
              <w:right w:val="single" w:sz="4" w:space="0" w:color="auto"/>
            </w:tcBorders>
            <w:shd w:val="clear" w:color="auto" w:fill="auto"/>
            <w:vAlign w:val="bottom"/>
          </w:tcPr>
          <w:p w14:paraId="73A1C73E" w14:textId="77777777" w:rsidR="007D61FB" w:rsidRPr="005E779B" w:rsidRDefault="007D61FB" w:rsidP="009D73E2">
            <w:pPr>
              <w:pStyle w:val="ARtabletextrightbold"/>
            </w:pPr>
            <w:r w:rsidRPr="005E779B">
              <w:t>600.9</w:t>
            </w:r>
          </w:p>
        </w:tc>
        <w:tc>
          <w:tcPr>
            <w:tcW w:w="992" w:type="dxa"/>
            <w:tcBorders>
              <w:top w:val="single" w:sz="4" w:space="0" w:color="A6A6A6" w:themeColor="background1" w:themeShade="A6"/>
              <w:bottom w:val="single" w:sz="4" w:space="0" w:color="auto"/>
              <w:right w:val="nil"/>
            </w:tcBorders>
            <w:shd w:val="clear" w:color="auto" w:fill="E7E6E6" w:themeFill="accent4"/>
          </w:tcPr>
          <w:p w14:paraId="20659A39" w14:textId="77777777" w:rsidR="007D61FB" w:rsidRPr="005E779B" w:rsidRDefault="007D61FB" w:rsidP="009D73E2">
            <w:pPr>
              <w:pStyle w:val="ARtabletextrightbold"/>
            </w:pPr>
            <w:r w:rsidRPr="005E779B">
              <w:t>3,232</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74DA4A8E" w14:textId="77777777" w:rsidR="007D61FB" w:rsidRPr="005E779B" w:rsidRDefault="007D61FB" w:rsidP="009D73E2">
            <w:pPr>
              <w:pStyle w:val="ARtabletextrightbold"/>
            </w:pPr>
            <w:r w:rsidRPr="005E779B">
              <w:t>3,066.5</w:t>
            </w:r>
          </w:p>
        </w:tc>
        <w:tc>
          <w:tcPr>
            <w:tcW w:w="984"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756B1F38" w14:textId="77777777" w:rsidR="007D61FB" w:rsidRPr="005E779B" w:rsidRDefault="007D61FB" w:rsidP="009D73E2">
            <w:pPr>
              <w:pStyle w:val="ARtabletextrightbold"/>
            </w:pPr>
            <w:r w:rsidRPr="005E779B">
              <w:t>1,890</w:t>
            </w:r>
          </w:p>
        </w:tc>
        <w:tc>
          <w:tcPr>
            <w:tcW w:w="944" w:type="dxa"/>
            <w:tcBorders>
              <w:top w:val="single" w:sz="4" w:space="0" w:color="A6A6A6" w:themeColor="background1" w:themeShade="A6"/>
              <w:left w:val="nil"/>
              <w:bottom w:val="single" w:sz="4" w:space="0" w:color="auto"/>
              <w:right w:val="nil"/>
            </w:tcBorders>
            <w:shd w:val="clear" w:color="auto" w:fill="E7E6E6" w:themeFill="accent4"/>
          </w:tcPr>
          <w:p w14:paraId="2999AE71" w14:textId="77777777" w:rsidR="007D61FB" w:rsidRPr="005E779B" w:rsidRDefault="007D61FB" w:rsidP="009D73E2">
            <w:pPr>
              <w:pStyle w:val="ARtabletextrightbold"/>
            </w:pPr>
            <w:r w:rsidRPr="005E779B">
              <w:t>332</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07C5EBB6" w14:textId="77777777" w:rsidR="007D61FB" w:rsidRPr="005E779B" w:rsidRDefault="007D61FB" w:rsidP="009D73E2">
            <w:pPr>
              <w:pStyle w:val="ARtabletextrightbold"/>
            </w:pPr>
            <w:r w:rsidRPr="005E779B">
              <w:t>2,110</w:t>
            </w:r>
          </w:p>
        </w:tc>
        <w:tc>
          <w:tcPr>
            <w:tcW w:w="806"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4EF0639B" w14:textId="77777777" w:rsidR="007D61FB" w:rsidRPr="005E779B" w:rsidRDefault="007D61FB" w:rsidP="009D73E2">
            <w:pPr>
              <w:pStyle w:val="ARtabletextrightbold"/>
            </w:pPr>
            <w:r w:rsidRPr="005E779B">
              <w:t>1,010</w:t>
            </w:r>
          </w:p>
        </w:tc>
        <w:tc>
          <w:tcPr>
            <w:tcW w:w="797" w:type="dxa"/>
            <w:tcBorders>
              <w:top w:val="single" w:sz="4" w:space="0" w:color="A6A6A6" w:themeColor="background1" w:themeShade="A6"/>
              <w:left w:val="nil"/>
              <w:bottom w:val="single" w:sz="4" w:space="0" w:color="auto"/>
            </w:tcBorders>
            <w:shd w:val="clear" w:color="auto" w:fill="E7E6E6" w:themeFill="accent4"/>
          </w:tcPr>
          <w:p w14:paraId="772A1DE0" w14:textId="77777777" w:rsidR="007D61FB" w:rsidRPr="005E779B" w:rsidRDefault="007D61FB" w:rsidP="009D73E2">
            <w:pPr>
              <w:pStyle w:val="ARtabletextrightbold"/>
            </w:pPr>
            <w:r w:rsidRPr="005E779B">
              <w:t>956.4</w:t>
            </w:r>
          </w:p>
        </w:tc>
      </w:tr>
      <w:tr w:rsidR="007D61FB" w:rsidRPr="005E779B" w14:paraId="338D7609" w14:textId="77777777" w:rsidTr="004C23DF">
        <w:trPr>
          <w:cantSplit w:val="0"/>
        </w:trPr>
        <w:tc>
          <w:tcPr>
            <w:tcW w:w="13997" w:type="dxa"/>
            <w:gridSpan w:val="16"/>
            <w:tcBorders>
              <w:top w:val="single" w:sz="4" w:space="0" w:color="auto"/>
              <w:bottom w:val="single" w:sz="4" w:space="0" w:color="A6A6A6" w:themeColor="background1" w:themeShade="A6"/>
            </w:tcBorders>
            <w:shd w:val="clear" w:color="auto" w:fill="auto"/>
          </w:tcPr>
          <w:p w14:paraId="302FC460" w14:textId="67EBC71E" w:rsidR="007D61FB" w:rsidRPr="005E779B" w:rsidRDefault="007D61FB" w:rsidP="009C3815">
            <w:pPr>
              <w:pStyle w:val="ARtablebluebold"/>
              <w:rPr>
                <w:bCs/>
              </w:rPr>
            </w:pPr>
            <w:r w:rsidRPr="005E779B">
              <w:t>Child Protection Practitioner</w:t>
            </w:r>
          </w:p>
        </w:tc>
      </w:tr>
      <w:tr w:rsidR="008B3B0C" w:rsidRPr="005E779B" w14:paraId="6C081ABD"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tcPr>
          <w:p w14:paraId="54F604F8" w14:textId="77777777" w:rsidR="007D61FB" w:rsidRPr="00B62D0D" w:rsidRDefault="007D61FB" w:rsidP="00B62D0D">
            <w:pPr>
              <w:pStyle w:val="ARtabletext"/>
            </w:pPr>
            <w:r w:rsidRPr="00B62D0D">
              <w:t>CPP 2</w:t>
            </w:r>
          </w:p>
        </w:tc>
        <w:tc>
          <w:tcPr>
            <w:tcW w:w="825" w:type="dxa"/>
            <w:tcBorders>
              <w:top w:val="single" w:sz="4" w:space="0" w:color="A6A6A6" w:themeColor="background1" w:themeShade="A6"/>
              <w:bottom w:val="single" w:sz="4" w:space="0" w:color="A6A6A6" w:themeColor="background1" w:themeShade="A6"/>
            </w:tcBorders>
            <w:vAlign w:val="bottom"/>
          </w:tcPr>
          <w:p w14:paraId="7D2985CB" w14:textId="77777777" w:rsidR="007D61FB" w:rsidRPr="009D73E2" w:rsidRDefault="007D61FB" w:rsidP="009D73E2">
            <w:pPr>
              <w:pStyle w:val="ARtabletextright"/>
            </w:pPr>
            <w:r w:rsidRPr="009D73E2">
              <w:t>437</w:t>
            </w:r>
          </w:p>
        </w:tc>
        <w:tc>
          <w:tcPr>
            <w:tcW w:w="779" w:type="dxa"/>
            <w:tcBorders>
              <w:top w:val="single" w:sz="4" w:space="0" w:color="A6A6A6" w:themeColor="background1" w:themeShade="A6"/>
              <w:bottom w:val="single" w:sz="4" w:space="0" w:color="A6A6A6" w:themeColor="background1" w:themeShade="A6"/>
              <w:right w:val="single" w:sz="4" w:space="0" w:color="auto"/>
            </w:tcBorders>
            <w:vAlign w:val="bottom"/>
          </w:tcPr>
          <w:p w14:paraId="3CFEA592" w14:textId="77777777" w:rsidR="007D61FB" w:rsidRPr="009D73E2" w:rsidRDefault="007D61FB" w:rsidP="009D73E2">
            <w:pPr>
              <w:pStyle w:val="ARtabletextright"/>
            </w:pPr>
            <w:r w:rsidRPr="009D73E2">
              <w:t>362.5</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1022B061" w14:textId="77777777" w:rsidR="007D61FB" w:rsidRPr="009D73E2" w:rsidRDefault="007D61FB" w:rsidP="009D73E2">
            <w:pPr>
              <w:pStyle w:val="ARtabletextright"/>
            </w:pPr>
            <w:r w:rsidRPr="009D73E2">
              <w:t>144</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1DD520A7" w14:textId="77777777" w:rsidR="007D61FB" w:rsidRPr="009D73E2" w:rsidRDefault="007D61FB" w:rsidP="009D73E2">
            <w:pPr>
              <w:pStyle w:val="ARtabletextright"/>
            </w:pPr>
            <w:r w:rsidRPr="009D73E2">
              <w:t>52</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4526EFA" w14:textId="77777777" w:rsidR="007D61FB" w:rsidRPr="009D73E2" w:rsidRDefault="007D61FB" w:rsidP="009D73E2">
            <w:pPr>
              <w:pStyle w:val="ARtabletextright"/>
            </w:pPr>
            <w:r w:rsidRPr="009D73E2">
              <w:t>177.7</w:t>
            </w:r>
          </w:p>
        </w:tc>
        <w:tc>
          <w:tcPr>
            <w:tcW w:w="844" w:type="dxa"/>
            <w:tcBorders>
              <w:top w:val="single" w:sz="4" w:space="0" w:color="A6A6A6" w:themeColor="background1" w:themeShade="A6"/>
              <w:left w:val="single" w:sz="4" w:space="0" w:color="auto"/>
              <w:bottom w:val="single" w:sz="4" w:space="0" w:color="A6A6A6" w:themeColor="background1" w:themeShade="A6"/>
            </w:tcBorders>
            <w:vAlign w:val="bottom"/>
          </w:tcPr>
          <w:p w14:paraId="39782B29" w14:textId="77777777" w:rsidR="007D61FB" w:rsidRPr="009D73E2" w:rsidRDefault="007D61FB" w:rsidP="009D73E2">
            <w:pPr>
              <w:pStyle w:val="ARtabletextright"/>
            </w:pPr>
            <w:r w:rsidRPr="009D73E2">
              <w:t>241</w:t>
            </w:r>
          </w:p>
        </w:tc>
        <w:tc>
          <w:tcPr>
            <w:tcW w:w="851" w:type="dxa"/>
            <w:tcBorders>
              <w:top w:val="single" w:sz="4" w:space="0" w:color="A6A6A6" w:themeColor="background1" w:themeShade="A6"/>
              <w:bottom w:val="single" w:sz="4" w:space="0" w:color="A6A6A6" w:themeColor="background1" w:themeShade="A6"/>
              <w:right w:val="single" w:sz="4" w:space="0" w:color="auto"/>
            </w:tcBorders>
            <w:vAlign w:val="bottom"/>
          </w:tcPr>
          <w:p w14:paraId="521CA287" w14:textId="77777777" w:rsidR="007D61FB" w:rsidRPr="009D73E2" w:rsidRDefault="007D61FB" w:rsidP="009D73E2">
            <w:pPr>
              <w:pStyle w:val="ARtabletextright"/>
            </w:pPr>
            <w:r w:rsidRPr="009D73E2">
              <w:t>184.8</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2F93FEB1" w14:textId="77777777" w:rsidR="007D61FB" w:rsidRPr="009D73E2" w:rsidRDefault="007D61FB" w:rsidP="009D73E2">
            <w:pPr>
              <w:pStyle w:val="ARtabletextright"/>
            </w:pPr>
            <w:r w:rsidRPr="009D73E2">
              <w:t>379</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5B9EAA7C" w14:textId="77777777" w:rsidR="007D61FB" w:rsidRPr="009D73E2" w:rsidRDefault="007D61FB" w:rsidP="009D73E2">
            <w:pPr>
              <w:pStyle w:val="ARtabletextright"/>
            </w:pPr>
            <w:r w:rsidRPr="009D73E2">
              <w:t>325.7</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0FF3D3F" w14:textId="77777777" w:rsidR="007D61FB" w:rsidRPr="009D73E2" w:rsidRDefault="007D61FB" w:rsidP="009D73E2">
            <w:pPr>
              <w:pStyle w:val="ARtabletextright"/>
            </w:pPr>
            <w:r w:rsidRPr="009D73E2">
              <w:t>126</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0ADD90CD" w14:textId="77777777" w:rsidR="007D61FB" w:rsidRPr="009D73E2" w:rsidRDefault="007D61FB" w:rsidP="009D73E2">
            <w:pPr>
              <w:pStyle w:val="ARtabletextright"/>
            </w:pPr>
            <w:r w:rsidRPr="009D73E2">
              <w:t>34</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108C623" w14:textId="77777777" w:rsidR="007D61FB" w:rsidRPr="009D73E2" w:rsidRDefault="007D61FB" w:rsidP="009D73E2">
            <w:pPr>
              <w:pStyle w:val="ARtabletextright"/>
            </w:pPr>
            <w:r w:rsidRPr="009D73E2">
              <w:t>148.1</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8A6195C" w14:textId="77777777" w:rsidR="007D61FB" w:rsidRPr="009D73E2" w:rsidRDefault="007D61FB" w:rsidP="009D73E2">
            <w:pPr>
              <w:pStyle w:val="ARtabletextright"/>
            </w:pPr>
            <w:r w:rsidRPr="009D73E2">
              <w:t>219</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1727C6F3" w14:textId="77777777" w:rsidR="007D61FB" w:rsidRPr="009D73E2" w:rsidRDefault="007D61FB" w:rsidP="009D73E2">
            <w:pPr>
              <w:pStyle w:val="ARtabletextright"/>
            </w:pPr>
            <w:r w:rsidRPr="009D73E2">
              <w:t>177.6</w:t>
            </w:r>
          </w:p>
        </w:tc>
      </w:tr>
      <w:tr w:rsidR="008B3B0C" w:rsidRPr="005E779B" w14:paraId="2F678629"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tcPr>
          <w:p w14:paraId="0DF6A2EC" w14:textId="77777777" w:rsidR="007D61FB" w:rsidRPr="00B62D0D" w:rsidRDefault="007D61FB" w:rsidP="00B62D0D">
            <w:pPr>
              <w:pStyle w:val="ARtabletext"/>
            </w:pPr>
            <w:r w:rsidRPr="00B62D0D">
              <w:t>CPP 3</w:t>
            </w:r>
          </w:p>
        </w:tc>
        <w:tc>
          <w:tcPr>
            <w:tcW w:w="825" w:type="dxa"/>
            <w:tcBorders>
              <w:top w:val="single" w:sz="4" w:space="0" w:color="A6A6A6" w:themeColor="background1" w:themeShade="A6"/>
              <w:bottom w:val="single" w:sz="4" w:space="0" w:color="A6A6A6" w:themeColor="background1" w:themeShade="A6"/>
            </w:tcBorders>
            <w:vAlign w:val="bottom"/>
          </w:tcPr>
          <w:p w14:paraId="49D4FEB1" w14:textId="77777777" w:rsidR="007D61FB" w:rsidRPr="009D73E2" w:rsidRDefault="007D61FB" w:rsidP="009D73E2">
            <w:pPr>
              <w:pStyle w:val="ARtabletextright"/>
            </w:pPr>
            <w:r w:rsidRPr="009D73E2">
              <w:t>671</w:t>
            </w:r>
          </w:p>
        </w:tc>
        <w:tc>
          <w:tcPr>
            <w:tcW w:w="779" w:type="dxa"/>
            <w:tcBorders>
              <w:top w:val="single" w:sz="4" w:space="0" w:color="A6A6A6" w:themeColor="background1" w:themeShade="A6"/>
              <w:bottom w:val="single" w:sz="4" w:space="0" w:color="A6A6A6" w:themeColor="background1" w:themeShade="A6"/>
              <w:right w:val="single" w:sz="4" w:space="0" w:color="auto"/>
            </w:tcBorders>
            <w:vAlign w:val="bottom"/>
          </w:tcPr>
          <w:p w14:paraId="0B3BA6AB" w14:textId="77777777" w:rsidR="007D61FB" w:rsidRPr="009D73E2" w:rsidRDefault="007D61FB" w:rsidP="009D73E2">
            <w:pPr>
              <w:pStyle w:val="ARtabletextright"/>
            </w:pPr>
            <w:r w:rsidRPr="009D73E2">
              <w:t>639.1</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0A75A3D9" w14:textId="77777777" w:rsidR="007D61FB" w:rsidRPr="009D73E2" w:rsidRDefault="007D61FB" w:rsidP="009D73E2">
            <w:pPr>
              <w:pStyle w:val="ARtabletextright"/>
            </w:pPr>
            <w:r w:rsidRPr="009D73E2">
              <w:t>475</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5E1B785F" w14:textId="77777777" w:rsidR="007D61FB" w:rsidRPr="009D73E2" w:rsidRDefault="007D61FB" w:rsidP="009D73E2">
            <w:pPr>
              <w:pStyle w:val="ARtabletextright"/>
            </w:pPr>
            <w:r w:rsidRPr="009D73E2">
              <w:t>62</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EE5CBB9" w14:textId="77777777" w:rsidR="007D61FB" w:rsidRPr="009D73E2" w:rsidRDefault="007D61FB" w:rsidP="009D73E2">
            <w:pPr>
              <w:pStyle w:val="ARtabletextright"/>
            </w:pPr>
            <w:r w:rsidRPr="009D73E2">
              <w:t>513.1</w:t>
            </w:r>
          </w:p>
        </w:tc>
        <w:tc>
          <w:tcPr>
            <w:tcW w:w="844" w:type="dxa"/>
            <w:tcBorders>
              <w:top w:val="single" w:sz="4" w:space="0" w:color="A6A6A6" w:themeColor="background1" w:themeShade="A6"/>
              <w:left w:val="single" w:sz="4" w:space="0" w:color="auto"/>
              <w:bottom w:val="single" w:sz="4" w:space="0" w:color="A6A6A6" w:themeColor="background1" w:themeShade="A6"/>
            </w:tcBorders>
            <w:vAlign w:val="bottom"/>
          </w:tcPr>
          <w:p w14:paraId="30C551AC" w14:textId="77777777" w:rsidR="007D61FB" w:rsidRPr="009D73E2" w:rsidRDefault="007D61FB" w:rsidP="009D73E2">
            <w:pPr>
              <w:pStyle w:val="ARtabletextright"/>
            </w:pPr>
            <w:r w:rsidRPr="009D73E2">
              <w:t>134</w:t>
            </w:r>
          </w:p>
        </w:tc>
        <w:tc>
          <w:tcPr>
            <w:tcW w:w="851" w:type="dxa"/>
            <w:tcBorders>
              <w:top w:val="single" w:sz="4" w:space="0" w:color="A6A6A6" w:themeColor="background1" w:themeShade="A6"/>
              <w:bottom w:val="single" w:sz="4" w:space="0" w:color="A6A6A6" w:themeColor="background1" w:themeShade="A6"/>
              <w:right w:val="single" w:sz="4" w:space="0" w:color="auto"/>
            </w:tcBorders>
            <w:vAlign w:val="bottom"/>
          </w:tcPr>
          <w:p w14:paraId="1CDB08AE" w14:textId="77777777" w:rsidR="007D61FB" w:rsidRPr="009D73E2" w:rsidRDefault="007D61FB" w:rsidP="009D73E2">
            <w:pPr>
              <w:pStyle w:val="ARtabletextright"/>
            </w:pPr>
            <w:r w:rsidRPr="009D73E2">
              <w:t>126.0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9E8C2D8" w14:textId="77777777" w:rsidR="007D61FB" w:rsidRPr="009D73E2" w:rsidRDefault="007D61FB" w:rsidP="009D73E2">
            <w:pPr>
              <w:pStyle w:val="ARtabletextright"/>
            </w:pPr>
            <w:r w:rsidRPr="009D73E2">
              <w:t>606</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187A4D3" w14:textId="77777777" w:rsidR="007D61FB" w:rsidRPr="009D73E2" w:rsidRDefault="007D61FB" w:rsidP="009D73E2">
            <w:pPr>
              <w:pStyle w:val="ARtabletextright"/>
            </w:pPr>
            <w:r w:rsidRPr="009D73E2">
              <w:t>583.6</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BCAE9A7" w14:textId="77777777" w:rsidR="007D61FB" w:rsidRPr="009D73E2" w:rsidRDefault="007D61FB" w:rsidP="009D73E2">
            <w:pPr>
              <w:pStyle w:val="ARtabletextright"/>
            </w:pPr>
            <w:r w:rsidRPr="009D73E2">
              <w:t>443</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52726B95" w14:textId="77777777" w:rsidR="007D61FB" w:rsidRPr="009D73E2" w:rsidRDefault="007D61FB" w:rsidP="009D73E2">
            <w:pPr>
              <w:pStyle w:val="ARtabletextright"/>
            </w:pPr>
            <w:r w:rsidRPr="009D73E2">
              <w:t>46</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A960AA6" w14:textId="77777777" w:rsidR="007D61FB" w:rsidRPr="009D73E2" w:rsidRDefault="007D61FB" w:rsidP="009D73E2">
            <w:pPr>
              <w:pStyle w:val="ARtabletextright"/>
            </w:pPr>
            <w:r w:rsidRPr="009D73E2">
              <w:t>471.8</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9233BC7" w14:textId="77777777" w:rsidR="007D61FB" w:rsidRPr="009D73E2" w:rsidRDefault="007D61FB" w:rsidP="009D73E2">
            <w:pPr>
              <w:pStyle w:val="ARtabletextright"/>
            </w:pPr>
            <w:r w:rsidRPr="009D73E2">
              <w:t>117</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17B900FC" w14:textId="77777777" w:rsidR="007D61FB" w:rsidRPr="009D73E2" w:rsidRDefault="007D61FB" w:rsidP="009D73E2">
            <w:pPr>
              <w:pStyle w:val="ARtabletextright"/>
            </w:pPr>
            <w:r w:rsidRPr="009D73E2">
              <w:t>111.8</w:t>
            </w:r>
          </w:p>
        </w:tc>
      </w:tr>
      <w:tr w:rsidR="008B3B0C" w:rsidRPr="005E779B" w14:paraId="46E72CDF"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tcPr>
          <w:p w14:paraId="319298BB" w14:textId="77777777" w:rsidR="007D61FB" w:rsidRPr="00B62D0D" w:rsidRDefault="007D61FB" w:rsidP="00B62D0D">
            <w:pPr>
              <w:pStyle w:val="ARtabletext"/>
            </w:pPr>
            <w:r w:rsidRPr="00B62D0D">
              <w:t>CPP 4</w:t>
            </w:r>
          </w:p>
        </w:tc>
        <w:tc>
          <w:tcPr>
            <w:tcW w:w="825" w:type="dxa"/>
            <w:tcBorders>
              <w:top w:val="single" w:sz="4" w:space="0" w:color="A6A6A6" w:themeColor="background1" w:themeShade="A6"/>
              <w:bottom w:val="single" w:sz="4" w:space="0" w:color="A6A6A6" w:themeColor="background1" w:themeShade="A6"/>
            </w:tcBorders>
            <w:vAlign w:val="bottom"/>
          </w:tcPr>
          <w:p w14:paraId="5FF9FC7F" w14:textId="77777777" w:rsidR="007D61FB" w:rsidRPr="009D73E2" w:rsidRDefault="007D61FB" w:rsidP="009D73E2">
            <w:pPr>
              <w:pStyle w:val="ARtabletextright"/>
            </w:pPr>
            <w:r w:rsidRPr="009D73E2">
              <w:t>695</w:t>
            </w:r>
          </w:p>
        </w:tc>
        <w:tc>
          <w:tcPr>
            <w:tcW w:w="779" w:type="dxa"/>
            <w:tcBorders>
              <w:top w:val="single" w:sz="4" w:space="0" w:color="A6A6A6" w:themeColor="background1" w:themeShade="A6"/>
              <w:bottom w:val="single" w:sz="4" w:space="0" w:color="A6A6A6" w:themeColor="background1" w:themeShade="A6"/>
              <w:right w:val="single" w:sz="4" w:space="0" w:color="auto"/>
            </w:tcBorders>
            <w:vAlign w:val="bottom"/>
          </w:tcPr>
          <w:p w14:paraId="145887AE" w14:textId="77777777" w:rsidR="007D61FB" w:rsidRPr="009D73E2" w:rsidRDefault="007D61FB" w:rsidP="009D73E2">
            <w:pPr>
              <w:pStyle w:val="ARtabletextright"/>
            </w:pPr>
            <w:r w:rsidRPr="009D73E2">
              <w:t>621.5</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359D523" w14:textId="77777777" w:rsidR="007D61FB" w:rsidRPr="009D73E2" w:rsidRDefault="007D61FB" w:rsidP="009D73E2">
            <w:pPr>
              <w:pStyle w:val="ARtabletextright"/>
            </w:pPr>
            <w:r w:rsidRPr="009D73E2">
              <w:t>547</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485258A9" w14:textId="77777777" w:rsidR="007D61FB" w:rsidRPr="009D73E2" w:rsidRDefault="007D61FB" w:rsidP="009D73E2">
            <w:pPr>
              <w:pStyle w:val="ARtabletextright"/>
            </w:pPr>
            <w:r w:rsidRPr="009D73E2">
              <w:t>108</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A202709" w14:textId="77777777" w:rsidR="007D61FB" w:rsidRPr="009D73E2" w:rsidRDefault="007D61FB" w:rsidP="009D73E2">
            <w:pPr>
              <w:pStyle w:val="ARtabletextright"/>
            </w:pPr>
            <w:r w:rsidRPr="009D73E2">
              <w:t>600.6</w:t>
            </w:r>
          </w:p>
        </w:tc>
        <w:tc>
          <w:tcPr>
            <w:tcW w:w="844" w:type="dxa"/>
            <w:tcBorders>
              <w:top w:val="single" w:sz="4" w:space="0" w:color="A6A6A6" w:themeColor="background1" w:themeShade="A6"/>
              <w:left w:val="single" w:sz="4" w:space="0" w:color="auto"/>
              <w:bottom w:val="single" w:sz="4" w:space="0" w:color="A6A6A6" w:themeColor="background1" w:themeShade="A6"/>
            </w:tcBorders>
            <w:vAlign w:val="bottom"/>
          </w:tcPr>
          <w:p w14:paraId="5E863D5D" w14:textId="77777777" w:rsidR="007D61FB" w:rsidRPr="009D73E2" w:rsidRDefault="007D61FB" w:rsidP="009D73E2">
            <w:pPr>
              <w:pStyle w:val="ARtabletextright"/>
            </w:pPr>
            <w:r w:rsidRPr="009D73E2">
              <w:t>40</w:t>
            </w:r>
          </w:p>
        </w:tc>
        <w:tc>
          <w:tcPr>
            <w:tcW w:w="851" w:type="dxa"/>
            <w:tcBorders>
              <w:top w:val="single" w:sz="4" w:space="0" w:color="A6A6A6" w:themeColor="background1" w:themeShade="A6"/>
              <w:bottom w:val="single" w:sz="4" w:space="0" w:color="A6A6A6" w:themeColor="background1" w:themeShade="A6"/>
              <w:right w:val="single" w:sz="4" w:space="0" w:color="auto"/>
            </w:tcBorders>
            <w:vAlign w:val="bottom"/>
          </w:tcPr>
          <w:p w14:paraId="5EED025C" w14:textId="77777777" w:rsidR="007D61FB" w:rsidRPr="009D73E2" w:rsidRDefault="007D61FB" w:rsidP="009D73E2">
            <w:pPr>
              <w:pStyle w:val="ARtabletextright"/>
            </w:pPr>
            <w:r w:rsidRPr="009D73E2">
              <w:t>20.9</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45805AA3" w14:textId="77777777" w:rsidR="007D61FB" w:rsidRPr="009D73E2" w:rsidRDefault="007D61FB" w:rsidP="009D73E2">
            <w:pPr>
              <w:pStyle w:val="ARtabletextright"/>
            </w:pPr>
            <w:r w:rsidRPr="009D73E2">
              <w:t>632</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8220989" w14:textId="77777777" w:rsidR="007D61FB" w:rsidRPr="009D73E2" w:rsidRDefault="007D61FB" w:rsidP="009D73E2">
            <w:pPr>
              <w:pStyle w:val="ARtabletextright"/>
            </w:pPr>
            <w:r w:rsidRPr="009D73E2">
              <w:t>566.3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CD4C34D" w14:textId="77777777" w:rsidR="007D61FB" w:rsidRPr="009D73E2" w:rsidRDefault="007D61FB" w:rsidP="009D73E2">
            <w:pPr>
              <w:pStyle w:val="ARtabletextright"/>
            </w:pPr>
            <w:r w:rsidRPr="009D73E2">
              <w:t>470</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09556ED1" w14:textId="77777777" w:rsidR="007D61FB" w:rsidRPr="009D73E2" w:rsidRDefault="007D61FB" w:rsidP="009D73E2">
            <w:pPr>
              <w:pStyle w:val="ARtabletextright"/>
            </w:pPr>
            <w:r w:rsidRPr="009D73E2">
              <w:t>113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D88F58F" w14:textId="77777777" w:rsidR="007D61FB" w:rsidRPr="009D73E2" w:rsidRDefault="007D61FB" w:rsidP="009D73E2">
            <w:pPr>
              <w:pStyle w:val="ARtabletextright"/>
            </w:pPr>
            <w:r w:rsidRPr="009D73E2">
              <w:t>531</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A413A2D" w14:textId="77777777" w:rsidR="007D61FB" w:rsidRPr="009D73E2" w:rsidRDefault="007D61FB" w:rsidP="009D73E2">
            <w:pPr>
              <w:pStyle w:val="ARtabletextright"/>
            </w:pPr>
            <w:r w:rsidRPr="009D73E2">
              <w:t>49</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3361B846" w14:textId="77777777" w:rsidR="007D61FB" w:rsidRPr="009D73E2" w:rsidRDefault="007D61FB" w:rsidP="009D73E2">
            <w:pPr>
              <w:pStyle w:val="ARtabletextright"/>
            </w:pPr>
            <w:r w:rsidRPr="009D73E2">
              <w:t>35.3</w:t>
            </w:r>
          </w:p>
        </w:tc>
      </w:tr>
      <w:tr w:rsidR="008B3B0C" w:rsidRPr="005E779B" w14:paraId="644F2A41"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tcPr>
          <w:p w14:paraId="2DB13FE1" w14:textId="77777777" w:rsidR="007D61FB" w:rsidRPr="00B62D0D" w:rsidRDefault="007D61FB" w:rsidP="00B62D0D">
            <w:pPr>
              <w:pStyle w:val="ARtabletext"/>
            </w:pPr>
            <w:r w:rsidRPr="00B62D0D">
              <w:t>CPP 5</w:t>
            </w:r>
          </w:p>
        </w:tc>
        <w:tc>
          <w:tcPr>
            <w:tcW w:w="825" w:type="dxa"/>
            <w:tcBorders>
              <w:top w:val="single" w:sz="4" w:space="0" w:color="A6A6A6" w:themeColor="background1" w:themeShade="A6"/>
              <w:bottom w:val="single" w:sz="4" w:space="0" w:color="A6A6A6" w:themeColor="background1" w:themeShade="A6"/>
            </w:tcBorders>
            <w:vAlign w:val="bottom"/>
          </w:tcPr>
          <w:p w14:paraId="03EC5E8D" w14:textId="77777777" w:rsidR="007D61FB" w:rsidRPr="009D73E2" w:rsidRDefault="007D61FB" w:rsidP="009D73E2">
            <w:pPr>
              <w:pStyle w:val="ARtabletextright"/>
            </w:pPr>
            <w:r w:rsidRPr="009D73E2">
              <w:t>858</w:t>
            </w:r>
          </w:p>
        </w:tc>
        <w:tc>
          <w:tcPr>
            <w:tcW w:w="779" w:type="dxa"/>
            <w:tcBorders>
              <w:top w:val="single" w:sz="4" w:space="0" w:color="A6A6A6" w:themeColor="background1" w:themeShade="A6"/>
              <w:bottom w:val="single" w:sz="4" w:space="0" w:color="A6A6A6" w:themeColor="background1" w:themeShade="A6"/>
              <w:right w:val="single" w:sz="4" w:space="0" w:color="auto"/>
            </w:tcBorders>
            <w:vAlign w:val="bottom"/>
          </w:tcPr>
          <w:p w14:paraId="1DF40976" w14:textId="77777777" w:rsidR="007D61FB" w:rsidRPr="009D73E2" w:rsidRDefault="007D61FB" w:rsidP="009D73E2">
            <w:pPr>
              <w:pStyle w:val="ARtabletextright"/>
            </w:pPr>
            <w:r w:rsidRPr="009D73E2">
              <w:t>797.2</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361BBD39" w14:textId="77777777" w:rsidR="007D61FB" w:rsidRPr="009D73E2" w:rsidRDefault="007D61FB" w:rsidP="009D73E2">
            <w:pPr>
              <w:pStyle w:val="ARtabletextright"/>
            </w:pPr>
            <w:r w:rsidRPr="009D73E2">
              <w:t>703</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613706E0" w14:textId="77777777" w:rsidR="007D61FB" w:rsidRPr="009D73E2" w:rsidRDefault="007D61FB" w:rsidP="009D73E2">
            <w:pPr>
              <w:pStyle w:val="ARtabletextright"/>
            </w:pPr>
            <w:r w:rsidRPr="009D73E2">
              <w:t>123</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70FB10B" w14:textId="77777777" w:rsidR="007D61FB" w:rsidRPr="009D73E2" w:rsidRDefault="007D61FB" w:rsidP="009D73E2">
            <w:pPr>
              <w:pStyle w:val="ARtabletextright"/>
            </w:pPr>
            <w:r w:rsidRPr="009D73E2">
              <w:t>771.8</w:t>
            </w:r>
          </w:p>
        </w:tc>
        <w:tc>
          <w:tcPr>
            <w:tcW w:w="844" w:type="dxa"/>
            <w:tcBorders>
              <w:top w:val="single" w:sz="4" w:space="0" w:color="A6A6A6" w:themeColor="background1" w:themeShade="A6"/>
              <w:left w:val="single" w:sz="4" w:space="0" w:color="auto"/>
              <w:bottom w:val="single" w:sz="4" w:space="0" w:color="A6A6A6" w:themeColor="background1" w:themeShade="A6"/>
            </w:tcBorders>
            <w:vAlign w:val="bottom"/>
          </w:tcPr>
          <w:p w14:paraId="5007BB87" w14:textId="77777777" w:rsidR="007D61FB" w:rsidRPr="009D73E2" w:rsidRDefault="007D61FB" w:rsidP="009D73E2">
            <w:pPr>
              <w:pStyle w:val="ARtabletextright"/>
            </w:pPr>
            <w:r w:rsidRPr="009D73E2">
              <w:t>32</w:t>
            </w:r>
          </w:p>
        </w:tc>
        <w:tc>
          <w:tcPr>
            <w:tcW w:w="851" w:type="dxa"/>
            <w:tcBorders>
              <w:top w:val="single" w:sz="4" w:space="0" w:color="A6A6A6" w:themeColor="background1" w:themeShade="A6"/>
              <w:bottom w:val="single" w:sz="4" w:space="0" w:color="A6A6A6" w:themeColor="background1" w:themeShade="A6"/>
              <w:right w:val="single" w:sz="4" w:space="0" w:color="auto"/>
            </w:tcBorders>
            <w:vAlign w:val="bottom"/>
          </w:tcPr>
          <w:p w14:paraId="53B1FD4A" w14:textId="77777777" w:rsidR="007D61FB" w:rsidRPr="009D73E2" w:rsidRDefault="007D61FB" w:rsidP="009D73E2">
            <w:pPr>
              <w:pStyle w:val="ARtabletextright"/>
            </w:pPr>
            <w:r w:rsidRPr="009D73E2">
              <w:t>25.5</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6E4ED227" w14:textId="77777777" w:rsidR="007D61FB" w:rsidRPr="009D73E2" w:rsidRDefault="007D61FB" w:rsidP="009D73E2">
            <w:pPr>
              <w:pStyle w:val="ARtabletextright"/>
            </w:pPr>
            <w:r w:rsidRPr="009D73E2">
              <w:t>814</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0E10CF0" w14:textId="77777777" w:rsidR="007D61FB" w:rsidRPr="009D73E2" w:rsidRDefault="007D61FB" w:rsidP="009D73E2">
            <w:pPr>
              <w:pStyle w:val="ARtabletextright"/>
            </w:pPr>
            <w:r w:rsidRPr="009D73E2">
              <w:t>756.7</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4BA4D3F" w14:textId="77777777" w:rsidR="007D61FB" w:rsidRPr="009D73E2" w:rsidRDefault="007D61FB" w:rsidP="009D73E2">
            <w:pPr>
              <w:pStyle w:val="ARtabletextright"/>
            </w:pPr>
            <w:r w:rsidRPr="009D73E2">
              <w:t>619</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6A323F9A" w14:textId="77777777" w:rsidR="007D61FB" w:rsidRPr="009D73E2" w:rsidRDefault="007D61FB" w:rsidP="009D73E2">
            <w:pPr>
              <w:pStyle w:val="ARtabletextright"/>
            </w:pPr>
            <w:r w:rsidRPr="009D73E2">
              <w:t>119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4BEEF5B" w14:textId="77777777" w:rsidR="007D61FB" w:rsidRPr="009D73E2" w:rsidRDefault="007D61FB" w:rsidP="009D73E2">
            <w:pPr>
              <w:pStyle w:val="ARtabletextright"/>
            </w:pPr>
            <w:r w:rsidRPr="009D73E2">
              <w:t>687.6</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4BF14BED" w14:textId="77777777" w:rsidR="007D61FB" w:rsidRPr="009D73E2" w:rsidRDefault="007D61FB" w:rsidP="009D73E2">
            <w:pPr>
              <w:pStyle w:val="ARtabletextright"/>
            </w:pPr>
            <w:r w:rsidRPr="009D73E2">
              <w:t>76</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2FAA316" w14:textId="77777777" w:rsidR="007D61FB" w:rsidRPr="009D73E2" w:rsidRDefault="007D61FB" w:rsidP="009D73E2">
            <w:pPr>
              <w:pStyle w:val="ARtabletextright"/>
            </w:pPr>
            <w:r w:rsidRPr="009D73E2">
              <w:t>69.1</w:t>
            </w:r>
          </w:p>
        </w:tc>
      </w:tr>
      <w:tr w:rsidR="008B3B0C" w:rsidRPr="005E779B" w14:paraId="0A527E19"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tcBorders>
          </w:tcPr>
          <w:p w14:paraId="4C14E059" w14:textId="77777777" w:rsidR="007D61FB" w:rsidRPr="00B62D0D" w:rsidRDefault="007D61FB" w:rsidP="00B62D0D">
            <w:pPr>
              <w:pStyle w:val="ARtabletext"/>
            </w:pPr>
            <w:r w:rsidRPr="00B62D0D">
              <w:t>CPP 6</w:t>
            </w:r>
          </w:p>
        </w:tc>
        <w:tc>
          <w:tcPr>
            <w:tcW w:w="825" w:type="dxa"/>
            <w:tcBorders>
              <w:top w:val="single" w:sz="4" w:space="0" w:color="A6A6A6" w:themeColor="background1" w:themeShade="A6"/>
              <w:bottom w:val="single" w:sz="4" w:space="0" w:color="A6A6A6" w:themeColor="background1" w:themeShade="A6"/>
            </w:tcBorders>
            <w:vAlign w:val="bottom"/>
          </w:tcPr>
          <w:p w14:paraId="57EF93EB" w14:textId="77777777" w:rsidR="007D61FB" w:rsidRPr="009D73E2" w:rsidRDefault="007D61FB" w:rsidP="009D73E2">
            <w:pPr>
              <w:pStyle w:val="ARtabletextright"/>
            </w:pPr>
            <w:r w:rsidRPr="009D73E2">
              <w:t>108</w:t>
            </w:r>
          </w:p>
        </w:tc>
        <w:tc>
          <w:tcPr>
            <w:tcW w:w="779" w:type="dxa"/>
            <w:tcBorders>
              <w:top w:val="single" w:sz="4" w:space="0" w:color="A6A6A6" w:themeColor="background1" w:themeShade="A6"/>
              <w:bottom w:val="single" w:sz="4" w:space="0" w:color="A6A6A6" w:themeColor="background1" w:themeShade="A6"/>
              <w:right w:val="single" w:sz="4" w:space="0" w:color="auto"/>
            </w:tcBorders>
            <w:vAlign w:val="bottom"/>
          </w:tcPr>
          <w:p w14:paraId="1D0A7331" w14:textId="77777777" w:rsidR="007D61FB" w:rsidRPr="009D73E2" w:rsidRDefault="007D61FB" w:rsidP="009D73E2">
            <w:pPr>
              <w:pStyle w:val="ARtabletextright"/>
            </w:pPr>
            <w:r w:rsidRPr="009D73E2">
              <w:t>104.9</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34F1E9F4" w14:textId="77777777" w:rsidR="007D61FB" w:rsidRPr="009D73E2" w:rsidRDefault="007D61FB" w:rsidP="009D73E2">
            <w:pPr>
              <w:pStyle w:val="ARtabletextright"/>
            </w:pPr>
            <w:r w:rsidRPr="009D73E2">
              <w:t>98</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3FA91699" w14:textId="77777777" w:rsidR="007D61FB" w:rsidRPr="009D73E2" w:rsidRDefault="007D61FB" w:rsidP="009D73E2">
            <w:pPr>
              <w:pStyle w:val="ARtabletextright"/>
            </w:pPr>
            <w:r w:rsidRPr="009D73E2">
              <w:t>8</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4D4C712" w14:textId="77777777" w:rsidR="007D61FB" w:rsidRPr="009D73E2" w:rsidRDefault="007D61FB" w:rsidP="009D73E2">
            <w:pPr>
              <w:pStyle w:val="ARtabletextright"/>
            </w:pPr>
            <w:r w:rsidRPr="009D73E2">
              <w:t>102.9</w:t>
            </w:r>
          </w:p>
        </w:tc>
        <w:tc>
          <w:tcPr>
            <w:tcW w:w="844" w:type="dxa"/>
            <w:tcBorders>
              <w:top w:val="single" w:sz="4" w:space="0" w:color="A6A6A6" w:themeColor="background1" w:themeShade="A6"/>
              <w:left w:val="single" w:sz="4" w:space="0" w:color="auto"/>
              <w:bottom w:val="single" w:sz="4" w:space="0" w:color="A6A6A6" w:themeColor="background1" w:themeShade="A6"/>
            </w:tcBorders>
            <w:vAlign w:val="bottom"/>
          </w:tcPr>
          <w:p w14:paraId="01E5CF11" w14:textId="77777777" w:rsidR="007D61FB" w:rsidRPr="009D73E2" w:rsidRDefault="007D61FB" w:rsidP="009D73E2">
            <w:pPr>
              <w:pStyle w:val="ARtabletextright"/>
            </w:pPr>
            <w:r w:rsidRPr="009D73E2">
              <w:t>2</w:t>
            </w:r>
          </w:p>
        </w:tc>
        <w:tc>
          <w:tcPr>
            <w:tcW w:w="851" w:type="dxa"/>
            <w:tcBorders>
              <w:top w:val="single" w:sz="4" w:space="0" w:color="A6A6A6" w:themeColor="background1" w:themeShade="A6"/>
              <w:bottom w:val="single" w:sz="4" w:space="0" w:color="A6A6A6" w:themeColor="background1" w:themeShade="A6"/>
              <w:right w:val="single" w:sz="4" w:space="0" w:color="auto"/>
            </w:tcBorders>
            <w:vAlign w:val="bottom"/>
          </w:tcPr>
          <w:p w14:paraId="68456443" w14:textId="77777777" w:rsidR="007D61FB" w:rsidRPr="009D73E2" w:rsidRDefault="007D61FB" w:rsidP="009D73E2">
            <w:pPr>
              <w:pStyle w:val="ARtabletextright"/>
            </w:pPr>
            <w:r w:rsidRPr="009D73E2">
              <w:t>2.0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49245B2C" w14:textId="77777777" w:rsidR="007D61FB" w:rsidRPr="009D73E2" w:rsidRDefault="007D61FB" w:rsidP="009D73E2">
            <w:pPr>
              <w:pStyle w:val="ARtabletextright"/>
            </w:pPr>
            <w:r w:rsidRPr="009D73E2">
              <w:t>109</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2CA88FE" w14:textId="77777777" w:rsidR="007D61FB" w:rsidRPr="009D73E2" w:rsidRDefault="007D61FB" w:rsidP="009D73E2">
            <w:pPr>
              <w:pStyle w:val="ARtabletextright"/>
            </w:pPr>
            <w:r w:rsidRPr="009D73E2">
              <w:t>105</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EF64239" w14:textId="77777777" w:rsidR="007D61FB" w:rsidRPr="009D73E2" w:rsidRDefault="007D61FB" w:rsidP="009D73E2">
            <w:pPr>
              <w:pStyle w:val="ARtabletextright"/>
            </w:pPr>
            <w:r w:rsidRPr="009D73E2">
              <w:t>87</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8578FA0" w14:textId="77777777" w:rsidR="007D61FB" w:rsidRPr="009D73E2" w:rsidRDefault="007D61FB" w:rsidP="009D73E2">
            <w:pPr>
              <w:pStyle w:val="ARtabletextright"/>
            </w:pPr>
            <w:r w:rsidRPr="009D73E2">
              <w:t>7</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22DBDF9" w14:textId="77777777" w:rsidR="007D61FB" w:rsidRPr="009D73E2" w:rsidRDefault="007D61FB" w:rsidP="009D73E2">
            <w:pPr>
              <w:pStyle w:val="ARtabletextright"/>
            </w:pPr>
            <w:r w:rsidRPr="009D73E2">
              <w:t>90.5</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FDDD2ED" w14:textId="77777777" w:rsidR="007D61FB" w:rsidRPr="009D73E2" w:rsidRDefault="007D61FB" w:rsidP="009D73E2">
            <w:pPr>
              <w:pStyle w:val="ARtabletextright"/>
            </w:pPr>
            <w:r w:rsidRPr="009D73E2">
              <w:t>15</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4BF17CED" w14:textId="77777777" w:rsidR="007D61FB" w:rsidRPr="009D73E2" w:rsidRDefault="007D61FB" w:rsidP="009D73E2">
            <w:pPr>
              <w:pStyle w:val="ARtabletextright"/>
            </w:pPr>
            <w:r w:rsidRPr="009D73E2">
              <w:t>14.5</w:t>
            </w:r>
          </w:p>
        </w:tc>
      </w:tr>
      <w:tr w:rsidR="008B3B0C" w:rsidRPr="005E779B" w14:paraId="2CE3D7E9" w14:textId="77777777" w:rsidTr="004C23DF">
        <w:trPr>
          <w:gridAfter w:val="1"/>
          <w:wAfter w:w="66" w:type="dxa"/>
          <w:cantSplit w:val="0"/>
        </w:trPr>
        <w:tc>
          <w:tcPr>
            <w:tcW w:w="1696" w:type="dxa"/>
            <w:tcBorders>
              <w:top w:val="single" w:sz="4" w:space="0" w:color="A6A6A6" w:themeColor="background1" w:themeShade="A6"/>
              <w:bottom w:val="single" w:sz="4" w:space="0" w:color="auto"/>
            </w:tcBorders>
          </w:tcPr>
          <w:p w14:paraId="19BC2B13" w14:textId="77777777" w:rsidR="007D61FB" w:rsidRPr="00B62D0D" w:rsidRDefault="007D61FB" w:rsidP="00B62D0D">
            <w:pPr>
              <w:pStyle w:val="ARtabletextbold"/>
            </w:pPr>
            <w:r w:rsidRPr="005E779B">
              <w:t>Total</w:t>
            </w:r>
          </w:p>
        </w:tc>
        <w:tc>
          <w:tcPr>
            <w:tcW w:w="825" w:type="dxa"/>
            <w:tcBorders>
              <w:top w:val="single" w:sz="4" w:space="0" w:color="A6A6A6" w:themeColor="background1" w:themeShade="A6"/>
              <w:bottom w:val="single" w:sz="4" w:space="0" w:color="auto"/>
            </w:tcBorders>
            <w:vAlign w:val="bottom"/>
          </w:tcPr>
          <w:p w14:paraId="62CD2EE6" w14:textId="33AC4CF2" w:rsidR="007D61FB" w:rsidRPr="005E779B" w:rsidRDefault="007D61FB" w:rsidP="009D73E2">
            <w:pPr>
              <w:pStyle w:val="ARtabletextrightbold"/>
            </w:pPr>
            <w:r w:rsidRPr="005E779B">
              <w:t>2</w:t>
            </w:r>
            <w:r w:rsidR="003E6368">
              <w:t>,</w:t>
            </w:r>
            <w:r w:rsidRPr="005E779B">
              <w:t>769</w:t>
            </w:r>
          </w:p>
        </w:tc>
        <w:tc>
          <w:tcPr>
            <w:tcW w:w="779" w:type="dxa"/>
            <w:tcBorders>
              <w:top w:val="single" w:sz="4" w:space="0" w:color="A6A6A6" w:themeColor="background1" w:themeShade="A6"/>
              <w:bottom w:val="single" w:sz="4" w:space="0" w:color="auto"/>
              <w:right w:val="single" w:sz="4" w:space="0" w:color="auto"/>
            </w:tcBorders>
            <w:vAlign w:val="bottom"/>
          </w:tcPr>
          <w:p w14:paraId="748D13D4" w14:textId="4906A8F7" w:rsidR="007D61FB" w:rsidRPr="005E779B" w:rsidRDefault="007D61FB" w:rsidP="009D73E2">
            <w:pPr>
              <w:pStyle w:val="ARtabletextrightbold"/>
            </w:pPr>
            <w:r w:rsidRPr="005E779B">
              <w:t>2</w:t>
            </w:r>
            <w:r w:rsidR="003E6368">
              <w:t>,</w:t>
            </w:r>
            <w:r w:rsidRPr="005E779B">
              <w:t>525.2</w:t>
            </w:r>
          </w:p>
        </w:tc>
        <w:tc>
          <w:tcPr>
            <w:tcW w:w="1068" w:type="dxa"/>
            <w:tcBorders>
              <w:top w:val="single" w:sz="4" w:space="0" w:color="A6A6A6" w:themeColor="background1" w:themeShade="A6"/>
              <w:left w:val="single" w:sz="4" w:space="0" w:color="auto"/>
              <w:bottom w:val="single" w:sz="4" w:space="0" w:color="auto"/>
              <w:right w:val="nil"/>
            </w:tcBorders>
            <w:vAlign w:val="bottom"/>
          </w:tcPr>
          <w:p w14:paraId="633EA9E5" w14:textId="15C2E0BA" w:rsidR="007D61FB" w:rsidRPr="005E779B" w:rsidRDefault="007D61FB" w:rsidP="009D73E2">
            <w:pPr>
              <w:pStyle w:val="ARtabletextrightbold"/>
            </w:pPr>
            <w:r w:rsidRPr="005E779B">
              <w:t>1</w:t>
            </w:r>
            <w:r w:rsidR="003E6368">
              <w:t>,</w:t>
            </w:r>
            <w:r w:rsidRPr="005E779B">
              <w:t>967</w:t>
            </w:r>
          </w:p>
        </w:tc>
        <w:tc>
          <w:tcPr>
            <w:tcW w:w="872" w:type="dxa"/>
            <w:tcBorders>
              <w:top w:val="single" w:sz="4" w:space="0" w:color="A6A6A6" w:themeColor="background1" w:themeShade="A6"/>
              <w:left w:val="nil"/>
              <w:bottom w:val="single" w:sz="4" w:space="0" w:color="auto"/>
              <w:right w:val="nil"/>
            </w:tcBorders>
            <w:vAlign w:val="bottom"/>
          </w:tcPr>
          <w:p w14:paraId="76089606" w14:textId="77777777" w:rsidR="007D61FB" w:rsidRPr="005E779B" w:rsidRDefault="007D61FB" w:rsidP="009D73E2">
            <w:pPr>
              <w:pStyle w:val="ARtabletextrightbold"/>
            </w:pPr>
            <w:r w:rsidRPr="005E779B">
              <w:t>353</w:t>
            </w:r>
          </w:p>
        </w:tc>
        <w:tc>
          <w:tcPr>
            <w:tcW w:w="857" w:type="dxa"/>
            <w:tcBorders>
              <w:top w:val="single" w:sz="4" w:space="0" w:color="A6A6A6" w:themeColor="background1" w:themeShade="A6"/>
              <w:left w:val="nil"/>
              <w:bottom w:val="single" w:sz="4" w:space="0" w:color="auto"/>
              <w:right w:val="single" w:sz="4" w:space="0" w:color="auto"/>
            </w:tcBorders>
            <w:vAlign w:val="bottom"/>
          </w:tcPr>
          <w:p w14:paraId="42704A3B" w14:textId="659FBE10" w:rsidR="007D61FB" w:rsidRPr="005E779B" w:rsidRDefault="007D61FB" w:rsidP="009D73E2">
            <w:pPr>
              <w:pStyle w:val="ARtabletextrightbold"/>
            </w:pPr>
            <w:r w:rsidRPr="005E779B">
              <w:t>2</w:t>
            </w:r>
            <w:r w:rsidR="003E6368">
              <w:t>,</w:t>
            </w:r>
            <w:r w:rsidRPr="005E779B">
              <w:t>166.1</w:t>
            </w:r>
          </w:p>
        </w:tc>
        <w:tc>
          <w:tcPr>
            <w:tcW w:w="844" w:type="dxa"/>
            <w:tcBorders>
              <w:top w:val="single" w:sz="4" w:space="0" w:color="A6A6A6" w:themeColor="background1" w:themeShade="A6"/>
              <w:left w:val="single" w:sz="4" w:space="0" w:color="auto"/>
              <w:bottom w:val="single" w:sz="4" w:space="0" w:color="auto"/>
            </w:tcBorders>
            <w:vAlign w:val="bottom"/>
          </w:tcPr>
          <w:p w14:paraId="68DCA28E" w14:textId="77777777" w:rsidR="007D61FB" w:rsidRPr="005E779B" w:rsidRDefault="007D61FB" w:rsidP="009D73E2">
            <w:pPr>
              <w:pStyle w:val="ARtabletextrightbold"/>
            </w:pPr>
            <w:r w:rsidRPr="005E779B">
              <w:t>449</w:t>
            </w:r>
          </w:p>
        </w:tc>
        <w:tc>
          <w:tcPr>
            <w:tcW w:w="851" w:type="dxa"/>
            <w:tcBorders>
              <w:top w:val="single" w:sz="4" w:space="0" w:color="A6A6A6" w:themeColor="background1" w:themeShade="A6"/>
              <w:bottom w:val="single" w:sz="4" w:space="0" w:color="auto"/>
              <w:right w:val="single" w:sz="4" w:space="0" w:color="auto"/>
            </w:tcBorders>
            <w:vAlign w:val="bottom"/>
          </w:tcPr>
          <w:p w14:paraId="73551BB7" w14:textId="77777777" w:rsidR="007D61FB" w:rsidRPr="005E779B" w:rsidRDefault="007D61FB" w:rsidP="009D73E2">
            <w:pPr>
              <w:pStyle w:val="ARtabletextrightbold"/>
            </w:pPr>
            <w:r w:rsidRPr="005E779B">
              <w:t>359.1</w:t>
            </w:r>
          </w:p>
        </w:tc>
        <w:tc>
          <w:tcPr>
            <w:tcW w:w="992" w:type="dxa"/>
            <w:tcBorders>
              <w:top w:val="single" w:sz="4" w:space="0" w:color="A6A6A6" w:themeColor="background1" w:themeShade="A6"/>
              <w:bottom w:val="single" w:sz="4" w:space="0" w:color="auto"/>
              <w:right w:val="nil"/>
            </w:tcBorders>
            <w:shd w:val="clear" w:color="auto" w:fill="E7E6E6" w:themeFill="accent4"/>
          </w:tcPr>
          <w:p w14:paraId="23153E88" w14:textId="77777777" w:rsidR="007D61FB" w:rsidRPr="005E779B" w:rsidRDefault="007D61FB" w:rsidP="009D73E2">
            <w:pPr>
              <w:pStyle w:val="ARtabletextrightbold"/>
            </w:pPr>
            <w:r w:rsidRPr="005E779B">
              <w:t>2,539</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010CB569" w14:textId="77777777" w:rsidR="007D61FB" w:rsidRPr="005E779B" w:rsidRDefault="007D61FB" w:rsidP="009D73E2">
            <w:pPr>
              <w:pStyle w:val="ARtabletextrightbold"/>
            </w:pPr>
            <w:r w:rsidRPr="005E779B">
              <w:t>2,336.3</w:t>
            </w:r>
          </w:p>
        </w:tc>
        <w:tc>
          <w:tcPr>
            <w:tcW w:w="984"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5F9833FE" w14:textId="77777777" w:rsidR="007D61FB" w:rsidRPr="005E779B" w:rsidRDefault="007D61FB" w:rsidP="009D73E2">
            <w:pPr>
              <w:pStyle w:val="ARtabletextrightbold"/>
            </w:pPr>
            <w:r w:rsidRPr="005E779B">
              <w:t>1,744</w:t>
            </w:r>
          </w:p>
        </w:tc>
        <w:tc>
          <w:tcPr>
            <w:tcW w:w="944" w:type="dxa"/>
            <w:tcBorders>
              <w:top w:val="single" w:sz="4" w:space="0" w:color="A6A6A6" w:themeColor="background1" w:themeShade="A6"/>
              <w:left w:val="nil"/>
              <w:bottom w:val="single" w:sz="4" w:space="0" w:color="auto"/>
              <w:right w:val="nil"/>
            </w:tcBorders>
            <w:shd w:val="clear" w:color="auto" w:fill="E7E6E6" w:themeFill="accent4"/>
          </w:tcPr>
          <w:p w14:paraId="6D0F6F9D" w14:textId="77777777" w:rsidR="007D61FB" w:rsidRPr="005E779B" w:rsidRDefault="007D61FB" w:rsidP="009D73E2">
            <w:pPr>
              <w:pStyle w:val="ARtabletextrightbold"/>
            </w:pPr>
            <w:r w:rsidRPr="005E779B">
              <w:t>319</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0439C543" w14:textId="77777777" w:rsidR="007D61FB" w:rsidRPr="005E779B" w:rsidRDefault="007D61FB" w:rsidP="009D73E2">
            <w:pPr>
              <w:pStyle w:val="ARtabletextrightbold"/>
            </w:pPr>
            <w:r w:rsidRPr="005E779B">
              <w:t>1,927.9</w:t>
            </w:r>
          </w:p>
        </w:tc>
        <w:tc>
          <w:tcPr>
            <w:tcW w:w="806"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37514C1E" w14:textId="77777777" w:rsidR="007D61FB" w:rsidRPr="005E779B" w:rsidRDefault="007D61FB" w:rsidP="009D73E2">
            <w:pPr>
              <w:pStyle w:val="ARtabletextrightbold"/>
            </w:pPr>
            <w:r w:rsidRPr="005E779B">
              <w:t>476</w:t>
            </w:r>
          </w:p>
        </w:tc>
        <w:tc>
          <w:tcPr>
            <w:tcW w:w="797" w:type="dxa"/>
            <w:tcBorders>
              <w:top w:val="single" w:sz="4" w:space="0" w:color="A6A6A6" w:themeColor="background1" w:themeShade="A6"/>
              <w:left w:val="nil"/>
              <w:bottom w:val="single" w:sz="4" w:space="0" w:color="auto"/>
            </w:tcBorders>
            <w:shd w:val="clear" w:color="auto" w:fill="E7E6E6" w:themeFill="accent4"/>
          </w:tcPr>
          <w:p w14:paraId="44E1FE41" w14:textId="77777777" w:rsidR="007D61FB" w:rsidRPr="005E779B" w:rsidRDefault="007D61FB" w:rsidP="009D73E2">
            <w:pPr>
              <w:pStyle w:val="ARtabletextrightbold"/>
            </w:pPr>
            <w:r w:rsidRPr="005E779B">
              <w:t>408.3</w:t>
            </w:r>
          </w:p>
        </w:tc>
      </w:tr>
      <w:tr w:rsidR="007D61FB" w:rsidRPr="005E779B" w14:paraId="6C6D750A" w14:textId="77777777" w:rsidTr="004C23DF">
        <w:trPr>
          <w:cantSplit w:val="0"/>
        </w:trPr>
        <w:tc>
          <w:tcPr>
            <w:tcW w:w="13997" w:type="dxa"/>
            <w:gridSpan w:val="16"/>
            <w:tcBorders>
              <w:top w:val="single" w:sz="4" w:space="0" w:color="auto"/>
              <w:bottom w:val="single" w:sz="4" w:space="0" w:color="A6A6A6" w:themeColor="background1" w:themeShade="A6"/>
            </w:tcBorders>
            <w:shd w:val="clear" w:color="auto" w:fill="auto"/>
          </w:tcPr>
          <w:p w14:paraId="3BDEC662" w14:textId="5EF51F7A" w:rsidR="007D61FB" w:rsidRPr="005E779B" w:rsidRDefault="007D61FB" w:rsidP="00B62D0D">
            <w:pPr>
              <w:pStyle w:val="ARtablebluebold"/>
              <w:rPr>
                <w:bCs/>
              </w:rPr>
            </w:pPr>
            <w:r w:rsidRPr="005E779B">
              <w:t>Children, Youth and Families</w:t>
            </w:r>
          </w:p>
        </w:tc>
      </w:tr>
      <w:tr w:rsidR="008B3B0C" w:rsidRPr="005E779B" w14:paraId="6BE3413F"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3E2FFFDD" w14:textId="77777777" w:rsidR="007D61FB" w:rsidRPr="009D73E2" w:rsidRDefault="007D61FB" w:rsidP="009D73E2">
            <w:pPr>
              <w:pStyle w:val="ARtabletext"/>
            </w:pPr>
            <w:r w:rsidRPr="009D73E2">
              <w:t>CYF 1</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5277853F" w14:textId="77777777" w:rsidR="007D61FB" w:rsidRPr="009D73E2" w:rsidRDefault="007D61FB" w:rsidP="009D73E2">
            <w:pPr>
              <w:pStyle w:val="ARtabletextright"/>
            </w:pPr>
            <w:r w:rsidRPr="009D73E2">
              <w:t>32</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E3F920F" w14:textId="77777777" w:rsidR="007D61FB" w:rsidRPr="009D73E2" w:rsidRDefault="007D61FB" w:rsidP="009D73E2">
            <w:pPr>
              <w:pStyle w:val="ARtabletextright"/>
            </w:pPr>
            <w:r w:rsidRPr="009D73E2">
              <w:t>27.6</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7D330EC" w14:textId="77777777" w:rsidR="007D61FB" w:rsidRPr="009D73E2" w:rsidRDefault="007D61FB" w:rsidP="009D73E2">
            <w:pPr>
              <w:pStyle w:val="ARtabletextright"/>
            </w:pPr>
            <w:r w:rsidRPr="009D73E2">
              <w:t>16</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7C08C804" w14:textId="77777777" w:rsidR="007D61FB" w:rsidRPr="009D73E2" w:rsidRDefault="007D61FB" w:rsidP="009D73E2">
            <w:pPr>
              <w:pStyle w:val="ARtabletextright"/>
            </w:pPr>
            <w:r w:rsidRPr="009D73E2">
              <w:t>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7EE2C13" w14:textId="77777777" w:rsidR="007D61FB" w:rsidRPr="009D73E2" w:rsidRDefault="007D61FB" w:rsidP="009D73E2">
            <w:pPr>
              <w:pStyle w:val="ARtabletextright"/>
            </w:pPr>
            <w:r w:rsidRPr="009D73E2">
              <w:t>16.0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071DC107" w14:textId="77777777" w:rsidR="007D61FB" w:rsidRPr="009D73E2" w:rsidRDefault="007D61FB" w:rsidP="009D73E2">
            <w:pPr>
              <w:pStyle w:val="ARtabletextright"/>
            </w:pPr>
            <w:r w:rsidRPr="009D73E2">
              <w:t>16</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B82E138" w14:textId="77777777" w:rsidR="007D61FB" w:rsidRPr="009D73E2" w:rsidRDefault="007D61FB" w:rsidP="009D73E2">
            <w:pPr>
              <w:pStyle w:val="ARtabletextright"/>
            </w:pPr>
            <w:r w:rsidRPr="009D73E2">
              <w:t>11.6</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0706D340" w14:textId="77777777" w:rsidR="007D61FB" w:rsidRPr="009D73E2" w:rsidRDefault="007D61FB" w:rsidP="009D73E2">
            <w:pPr>
              <w:pStyle w:val="ARtabletextright"/>
            </w:pPr>
            <w:r w:rsidRPr="009D73E2">
              <w:t>32</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BE2F0AE" w14:textId="77777777" w:rsidR="007D61FB" w:rsidRPr="009D73E2" w:rsidRDefault="007D61FB" w:rsidP="009D73E2">
            <w:pPr>
              <w:pStyle w:val="ARtabletextright"/>
            </w:pPr>
            <w:r w:rsidRPr="009D73E2">
              <w:t>25.3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C38000E" w14:textId="77777777" w:rsidR="007D61FB" w:rsidRPr="009D73E2" w:rsidRDefault="007D61FB" w:rsidP="009D73E2">
            <w:pPr>
              <w:pStyle w:val="ARtabletextright"/>
            </w:pPr>
            <w:r w:rsidRPr="009D73E2">
              <w:t>13</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B66DF71"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496E165" w14:textId="77777777" w:rsidR="007D61FB" w:rsidRPr="009D73E2" w:rsidRDefault="007D61FB" w:rsidP="009D73E2">
            <w:pPr>
              <w:pStyle w:val="ARtabletextright"/>
            </w:pPr>
            <w:r w:rsidRPr="009D73E2">
              <w:t>13</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B51B662" w14:textId="77777777" w:rsidR="007D61FB" w:rsidRPr="009D73E2" w:rsidRDefault="007D61FB" w:rsidP="009D73E2">
            <w:pPr>
              <w:pStyle w:val="ARtabletextright"/>
            </w:pPr>
            <w:r w:rsidRPr="009D73E2">
              <w:t>19</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38CEAD83" w14:textId="77777777" w:rsidR="007D61FB" w:rsidRPr="009D73E2" w:rsidRDefault="007D61FB" w:rsidP="009D73E2">
            <w:pPr>
              <w:pStyle w:val="ARtabletextright"/>
            </w:pPr>
            <w:r w:rsidRPr="009D73E2">
              <w:t>12.3</w:t>
            </w:r>
          </w:p>
        </w:tc>
      </w:tr>
      <w:tr w:rsidR="008B3B0C" w:rsidRPr="005E779B" w14:paraId="31BD8D6C"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084AF2BE" w14:textId="77777777" w:rsidR="007D61FB" w:rsidRPr="009D73E2" w:rsidRDefault="007D61FB" w:rsidP="009D73E2">
            <w:pPr>
              <w:pStyle w:val="ARtabletext"/>
            </w:pPr>
            <w:r w:rsidRPr="009D73E2">
              <w:t>CYF 2</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3E4F2962" w14:textId="77777777" w:rsidR="007D61FB" w:rsidRPr="009D73E2" w:rsidRDefault="007D61FB" w:rsidP="009D73E2">
            <w:pPr>
              <w:pStyle w:val="ARtabletextright"/>
            </w:pPr>
            <w:r w:rsidRPr="009D73E2">
              <w:t>43</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DF35D94" w14:textId="77777777" w:rsidR="007D61FB" w:rsidRPr="009D73E2" w:rsidRDefault="007D61FB" w:rsidP="009D73E2">
            <w:pPr>
              <w:pStyle w:val="ARtabletextright"/>
            </w:pPr>
            <w:r w:rsidRPr="009D73E2">
              <w:t>36.1</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C59F3D1" w14:textId="77777777" w:rsidR="007D61FB" w:rsidRPr="009D73E2" w:rsidRDefault="007D61FB" w:rsidP="009D73E2">
            <w:pPr>
              <w:pStyle w:val="ARtabletextright"/>
            </w:pPr>
            <w:r w:rsidRPr="009D73E2">
              <w:t>11</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21EB9F46" w14:textId="77777777" w:rsidR="007D61FB" w:rsidRPr="009D73E2" w:rsidRDefault="007D61FB" w:rsidP="009D73E2">
            <w:pPr>
              <w:pStyle w:val="ARtabletextright"/>
            </w:pPr>
            <w:r w:rsidRPr="009D73E2">
              <w:t>9</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74A0E21" w14:textId="77777777" w:rsidR="007D61FB" w:rsidRPr="009D73E2" w:rsidRDefault="007D61FB" w:rsidP="009D73E2">
            <w:pPr>
              <w:pStyle w:val="ARtabletextright"/>
            </w:pPr>
            <w:r w:rsidRPr="009D73E2">
              <w:t>17.0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1F0CEFB1" w14:textId="77777777" w:rsidR="007D61FB" w:rsidRPr="009D73E2" w:rsidRDefault="007D61FB" w:rsidP="009D73E2">
            <w:pPr>
              <w:pStyle w:val="ARtabletextright"/>
            </w:pPr>
            <w:r w:rsidRPr="009D73E2">
              <w:t>23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E541BC3" w14:textId="77777777" w:rsidR="007D61FB" w:rsidRPr="009D73E2" w:rsidRDefault="007D61FB" w:rsidP="009D73E2">
            <w:pPr>
              <w:pStyle w:val="ARtabletextright"/>
            </w:pPr>
            <w:r w:rsidRPr="009D73E2">
              <w:t>19.1</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0BB9E61A" w14:textId="77777777" w:rsidR="007D61FB" w:rsidRPr="009D73E2" w:rsidRDefault="007D61FB" w:rsidP="009D73E2">
            <w:pPr>
              <w:pStyle w:val="ARtabletextright"/>
            </w:pPr>
            <w:r w:rsidRPr="009D73E2">
              <w:t>52</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5BD3A40" w14:textId="77777777" w:rsidR="007D61FB" w:rsidRPr="009D73E2" w:rsidRDefault="007D61FB" w:rsidP="009D73E2">
            <w:pPr>
              <w:pStyle w:val="ARtabletextright"/>
            </w:pPr>
            <w:r w:rsidRPr="009D73E2">
              <w:t>43.8</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7709C09" w14:textId="77777777" w:rsidR="007D61FB" w:rsidRPr="009D73E2" w:rsidRDefault="007D61FB" w:rsidP="009D73E2">
            <w:pPr>
              <w:pStyle w:val="ARtabletextright"/>
            </w:pPr>
            <w:r w:rsidRPr="009D73E2">
              <w:t>13</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61F0FF6" w14:textId="77777777" w:rsidR="007D61FB" w:rsidRPr="009D73E2" w:rsidRDefault="007D61FB" w:rsidP="009D73E2">
            <w:pPr>
              <w:pStyle w:val="ARtabletextright"/>
            </w:pPr>
            <w:r w:rsidRPr="009D73E2">
              <w:t>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0B43299" w14:textId="77777777" w:rsidR="007D61FB" w:rsidRPr="009D73E2" w:rsidRDefault="007D61FB" w:rsidP="009D73E2">
            <w:pPr>
              <w:pStyle w:val="ARtabletextright"/>
            </w:pPr>
            <w:r w:rsidRPr="009D73E2">
              <w:t>19</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C05F670" w14:textId="77777777" w:rsidR="007D61FB" w:rsidRPr="009D73E2" w:rsidRDefault="007D61FB" w:rsidP="009D73E2">
            <w:pPr>
              <w:pStyle w:val="ARtabletextright"/>
            </w:pPr>
            <w:r w:rsidRPr="009D73E2">
              <w:t>29</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BCC253F" w14:textId="77777777" w:rsidR="007D61FB" w:rsidRPr="009D73E2" w:rsidRDefault="007D61FB" w:rsidP="009D73E2">
            <w:pPr>
              <w:pStyle w:val="ARtabletextright"/>
            </w:pPr>
            <w:r w:rsidRPr="009D73E2">
              <w:t>24.8</w:t>
            </w:r>
          </w:p>
        </w:tc>
      </w:tr>
      <w:tr w:rsidR="008B3B0C" w:rsidRPr="005E779B" w14:paraId="722A2F79"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4FE7302A" w14:textId="77777777" w:rsidR="007D61FB" w:rsidRPr="009D73E2" w:rsidRDefault="007D61FB" w:rsidP="009D73E2">
            <w:pPr>
              <w:pStyle w:val="ARtabletext"/>
            </w:pPr>
            <w:r w:rsidRPr="009D73E2">
              <w:t>CYF 3</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732FA37B" w14:textId="77777777" w:rsidR="007D61FB" w:rsidRPr="009D73E2" w:rsidRDefault="007D61FB" w:rsidP="009D73E2">
            <w:pPr>
              <w:pStyle w:val="ARtabletextright"/>
            </w:pPr>
            <w:r w:rsidRPr="009D73E2">
              <w:t>71</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059F98ED" w14:textId="77777777" w:rsidR="007D61FB" w:rsidRPr="009D73E2" w:rsidRDefault="007D61FB" w:rsidP="009D73E2">
            <w:pPr>
              <w:pStyle w:val="ARtabletextright"/>
            </w:pPr>
            <w:r w:rsidRPr="009D73E2">
              <w:t>66.2</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56BA7DA9" w14:textId="77777777" w:rsidR="007D61FB" w:rsidRPr="009D73E2" w:rsidRDefault="007D61FB" w:rsidP="009D73E2">
            <w:pPr>
              <w:pStyle w:val="ARtabletextright"/>
            </w:pPr>
            <w:r w:rsidRPr="009D73E2">
              <w:t>42</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4B7393C3" w14:textId="77777777" w:rsidR="007D61FB" w:rsidRPr="009D73E2" w:rsidRDefault="007D61FB" w:rsidP="009D73E2">
            <w:pPr>
              <w:pStyle w:val="ARtabletextright"/>
            </w:pPr>
            <w:r w:rsidRPr="009D73E2">
              <w:t>15</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BF871BD" w14:textId="77777777" w:rsidR="007D61FB" w:rsidRPr="009D73E2" w:rsidRDefault="007D61FB" w:rsidP="009D73E2">
            <w:pPr>
              <w:pStyle w:val="ARtabletextright"/>
            </w:pPr>
            <w:r w:rsidRPr="009D73E2">
              <w:t>52.2</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5302797" w14:textId="77777777" w:rsidR="007D61FB" w:rsidRPr="009D73E2" w:rsidRDefault="007D61FB" w:rsidP="009D73E2">
            <w:pPr>
              <w:pStyle w:val="ARtabletextright"/>
            </w:pPr>
            <w:r w:rsidRPr="009D73E2">
              <w:t>14</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36BB414" w14:textId="77777777" w:rsidR="007D61FB" w:rsidRPr="009D73E2" w:rsidRDefault="007D61FB" w:rsidP="009D73E2">
            <w:pPr>
              <w:pStyle w:val="ARtabletextright"/>
            </w:pPr>
            <w:r w:rsidRPr="009D73E2">
              <w:t>14.0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65E85694" w14:textId="77777777" w:rsidR="007D61FB" w:rsidRPr="009D73E2" w:rsidRDefault="007D61FB" w:rsidP="009D73E2">
            <w:pPr>
              <w:pStyle w:val="ARtabletextright"/>
            </w:pPr>
            <w:r w:rsidRPr="009D73E2">
              <w:t>68</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D4E5A83" w14:textId="77777777" w:rsidR="007D61FB" w:rsidRPr="009D73E2" w:rsidRDefault="007D61FB" w:rsidP="009D73E2">
            <w:pPr>
              <w:pStyle w:val="ARtabletextright"/>
            </w:pPr>
            <w:r w:rsidRPr="009D73E2">
              <w:t>62.7</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1F318E6" w14:textId="77777777" w:rsidR="007D61FB" w:rsidRPr="009D73E2" w:rsidRDefault="007D61FB" w:rsidP="009D73E2">
            <w:pPr>
              <w:pStyle w:val="ARtabletextright"/>
            </w:pPr>
            <w:r w:rsidRPr="009D73E2">
              <w:t>38</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60F0A11" w14:textId="77777777" w:rsidR="007D61FB" w:rsidRPr="009D73E2" w:rsidRDefault="007D61FB" w:rsidP="009D73E2">
            <w:pPr>
              <w:pStyle w:val="ARtabletextright"/>
            </w:pPr>
            <w:r w:rsidRPr="009D73E2">
              <w:t>13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A021833" w14:textId="77777777" w:rsidR="007D61FB" w:rsidRPr="009D73E2" w:rsidRDefault="007D61FB" w:rsidP="009D73E2">
            <w:pPr>
              <w:pStyle w:val="ARtabletextright"/>
            </w:pPr>
            <w:r w:rsidRPr="009D73E2">
              <w:t>46</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4D673731" w14:textId="77777777" w:rsidR="007D61FB" w:rsidRPr="009D73E2" w:rsidRDefault="007D61FB" w:rsidP="009D73E2">
            <w:pPr>
              <w:pStyle w:val="ARtabletextright"/>
            </w:pPr>
            <w:r w:rsidRPr="009D73E2">
              <w:t>17</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BBD2467" w14:textId="77777777" w:rsidR="007D61FB" w:rsidRPr="009D73E2" w:rsidRDefault="007D61FB" w:rsidP="009D73E2">
            <w:pPr>
              <w:pStyle w:val="ARtabletextright"/>
            </w:pPr>
            <w:r w:rsidRPr="009D73E2">
              <w:t>16.7</w:t>
            </w:r>
          </w:p>
        </w:tc>
      </w:tr>
      <w:tr w:rsidR="008B3B0C" w:rsidRPr="005E779B" w14:paraId="619A5BB9"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576C2DAA" w14:textId="77777777" w:rsidR="007D61FB" w:rsidRPr="009D73E2" w:rsidRDefault="007D61FB" w:rsidP="009D73E2">
            <w:pPr>
              <w:pStyle w:val="ARtabletext"/>
            </w:pPr>
            <w:r w:rsidRPr="009D73E2">
              <w:t>CYF 4</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6C20C492" w14:textId="77777777" w:rsidR="007D61FB" w:rsidRPr="009D73E2" w:rsidRDefault="007D61FB" w:rsidP="009D73E2">
            <w:pPr>
              <w:pStyle w:val="ARtabletextright"/>
            </w:pPr>
            <w:r w:rsidRPr="009D73E2">
              <w:t>58</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02211DF" w14:textId="77777777" w:rsidR="007D61FB" w:rsidRPr="009D73E2" w:rsidRDefault="007D61FB" w:rsidP="009D73E2">
            <w:pPr>
              <w:pStyle w:val="ARtabletextright"/>
            </w:pPr>
            <w:r w:rsidRPr="009D73E2">
              <w:t>55.2</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6146329" w14:textId="77777777" w:rsidR="007D61FB" w:rsidRPr="009D73E2" w:rsidRDefault="007D61FB" w:rsidP="009D73E2">
            <w:pPr>
              <w:pStyle w:val="ARtabletextright"/>
            </w:pPr>
            <w:r w:rsidRPr="009D73E2">
              <w:t>40</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072D2338" w14:textId="77777777" w:rsidR="007D61FB" w:rsidRPr="009D73E2" w:rsidRDefault="007D61FB" w:rsidP="009D73E2">
            <w:pPr>
              <w:pStyle w:val="ARtabletextright"/>
            </w:pPr>
            <w:r w:rsidRPr="009D73E2">
              <w:t>9</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9ACD09E" w14:textId="77777777" w:rsidR="007D61FB" w:rsidRPr="009D73E2" w:rsidRDefault="007D61FB" w:rsidP="009D73E2">
            <w:pPr>
              <w:pStyle w:val="ARtabletextright"/>
            </w:pPr>
            <w:r w:rsidRPr="009D73E2">
              <w:t>46.3</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5CC1CDC" w14:textId="77777777" w:rsidR="007D61FB" w:rsidRPr="009D73E2" w:rsidRDefault="007D61FB" w:rsidP="009D73E2">
            <w:pPr>
              <w:pStyle w:val="ARtabletextright"/>
            </w:pPr>
            <w:r w:rsidRPr="009D73E2">
              <w:t>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27BE722" w14:textId="77777777" w:rsidR="007D61FB" w:rsidRPr="009D73E2" w:rsidRDefault="007D61FB" w:rsidP="009D73E2">
            <w:pPr>
              <w:pStyle w:val="ARtabletextright"/>
            </w:pPr>
            <w:r w:rsidRPr="009D73E2">
              <w:t>8.9</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065EDA92" w14:textId="77777777" w:rsidR="007D61FB" w:rsidRPr="009D73E2" w:rsidRDefault="007D61FB" w:rsidP="009D73E2">
            <w:pPr>
              <w:pStyle w:val="ARtabletextright"/>
            </w:pPr>
            <w:r w:rsidRPr="009D73E2">
              <w:t>61</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FF3D6FF" w14:textId="77777777" w:rsidR="007D61FB" w:rsidRPr="009D73E2" w:rsidRDefault="007D61FB" w:rsidP="009D73E2">
            <w:pPr>
              <w:pStyle w:val="ARtabletextright"/>
            </w:pPr>
            <w:r w:rsidRPr="009D73E2">
              <w:t>57.3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488BEB2C" w14:textId="77777777" w:rsidR="007D61FB" w:rsidRPr="009D73E2" w:rsidRDefault="007D61FB" w:rsidP="009D73E2">
            <w:pPr>
              <w:pStyle w:val="ARtabletextright"/>
            </w:pPr>
            <w:r w:rsidRPr="009D73E2">
              <w:t>28</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AC9DE9C" w14:textId="77777777" w:rsidR="007D61FB" w:rsidRPr="009D73E2" w:rsidRDefault="007D61FB" w:rsidP="009D73E2">
            <w:pPr>
              <w:pStyle w:val="ARtabletextright"/>
            </w:pPr>
            <w:r w:rsidRPr="009D73E2">
              <w:t>10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D6DE887" w14:textId="77777777" w:rsidR="007D61FB" w:rsidRPr="009D73E2" w:rsidRDefault="007D61FB" w:rsidP="009D73E2">
            <w:pPr>
              <w:pStyle w:val="ARtabletextright"/>
            </w:pPr>
            <w:r w:rsidRPr="009D73E2">
              <w:t>36.3</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C7E656D" w14:textId="77777777" w:rsidR="007D61FB" w:rsidRPr="009D73E2" w:rsidRDefault="007D61FB" w:rsidP="009D73E2">
            <w:pPr>
              <w:pStyle w:val="ARtabletextright"/>
            </w:pPr>
            <w:r w:rsidRPr="009D73E2">
              <w:t>23</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805CD1C" w14:textId="77777777" w:rsidR="007D61FB" w:rsidRPr="009D73E2" w:rsidRDefault="007D61FB" w:rsidP="009D73E2">
            <w:pPr>
              <w:pStyle w:val="ARtabletextright"/>
            </w:pPr>
            <w:r w:rsidRPr="009D73E2">
              <w:t>21</w:t>
            </w:r>
          </w:p>
        </w:tc>
      </w:tr>
      <w:tr w:rsidR="008B3B0C" w:rsidRPr="005E779B" w14:paraId="74311A80"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79BDBD04" w14:textId="77777777" w:rsidR="007D61FB" w:rsidRPr="009D73E2" w:rsidRDefault="007D61FB" w:rsidP="009D73E2">
            <w:pPr>
              <w:pStyle w:val="ARtabletext"/>
            </w:pPr>
            <w:r w:rsidRPr="009D73E2">
              <w:t>CYF 5</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7F094978" w14:textId="77777777" w:rsidR="007D61FB" w:rsidRPr="009D73E2" w:rsidRDefault="007D61FB" w:rsidP="009D73E2">
            <w:pPr>
              <w:pStyle w:val="ARtabletextright"/>
            </w:pPr>
            <w:r w:rsidRPr="009D73E2">
              <w:t>82</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2548D16" w14:textId="77777777" w:rsidR="007D61FB" w:rsidRPr="009D73E2" w:rsidRDefault="007D61FB" w:rsidP="009D73E2">
            <w:pPr>
              <w:pStyle w:val="ARtabletextright"/>
            </w:pPr>
            <w:r w:rsidRPr="009D73E2">
              <w:t>78.9</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0B54EA6" w14:textId="77777777" w:rsidR="007D61FB" w:rsidRPr="009D73E2" w:rsidRDefault="007D61FB" w:rsidP="009D73E2">
            <w:pPr>
              <w:pStyle w:val="ARtabletextright"/>
            </w:pPr>
            <w:r w:rsidRPr="009D73E2">
              <w:t>56</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6696FEFC" w14:textId="77777777" w:rsidR="007D61FB" w:rsidRPr="009D73E2" w:rsidRDefault="007D61FB" w:rsidP="009D73E2">
            <w:pPr>
              <w:pStyle w:val="ARtabletextright"/>
            </w:pPr>
            <w:r w:rsidRPr="009D73E2">
              <w:t>6</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9C0EABB" w14:textId="77777777" w:rsidR="007D61FB" w:rsidRPr="009D73E2" w:rsidRDefault="007D61FB" w:rsidP="009D73E2">
            <w:pPr>
              <w:pStyle w:val="ARtabletextright"/>
            </w:pPr>
            <w:r w:rsidRPr="009D73E2">
              <w:t>59.9</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08F9D1F7" w14:textId="77777777" w:rsidR="007D61FB" w:rsidRPr="009D73E2" w:rsidRDefault="007D61FB" w:rsidP="009D73E2">
            <w:pPr>
              <w:pStyle w:val="ARtabletextright"/>
            </w:pPr>
            <w:r w:rsidRPr="009D73E2">
              <w:t>20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2F8B5E3" w14:textId="77777777" w:rsidR="007D61FB" w:rsidRPr="009D73E2" w:rsidRDefault="007D61FB" w:rsidP="009D73E2">
            <w:pPr>
              <w:pStyle w:val="ARtabletextright"/>
            </w:pPr>
            <w:r w:rsidRPr="009D73E2">
              <w:t>19.0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4A66B868" w14:textId="77777777" w:rsidR="007D61FB" w:rsidRPr="009D73E2" w:rsidRDefault="007D61FB" w:rsidP="009D73E2">
            <w:pPr>
              <w:pStyle w:val="ARtabletextright"/>
            </w:pPr>
            <w:r w:rsidRPr="009D73E2">
              <w:t>101</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1BD39D5" w14:textId="77777777" w:rsidR="007D61FB" w:rsidRPr="009D73E2" w:rsidRDefault="007D61FB" w:rsidP="009D73E2">
            <w:pPr>
              <w:pStyle w:val="ARtabletextright"/>
            </w:pPr>
            <w:r w:rsidRPr="009D73E2">
              <w:t>96.1</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360883B" w14:textId="77777777" w:rsidR="007D61FB" w:rsidRPr="009D73E2" w:rsidRDefault="007D61FB" w:rsidP="009D73E2">
            <w:pPr>
              <w:pStyle w:val="ARtabletextright"/>
            </w:pPr>
            <w:r w:rsidRPr="009D73E2">
              <w:t>26</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19570FD6" w14:textId="77777777" w:rsidR="007D61FB" w:rsidRPr="009D73E2" w:rsidRDefault="007D61FB" w:rsidP="009D73E2">
            <w:pPr>
              <w:pStyle w:val="ARtabletextright"/>
            </w:pPr>
            <w:r w:rsidRPr="009D73E2">
              <w:t>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C073466" w14:textId="77777777" w:rsidR="007D61FB" w:rsidRPr="009D73E2" w:rsidRDefault="007D61FB" w:rsidP="009D73E2">
            <w:pPr>
              <w:pStyle w:val="ARtabletextright"/>
            </w:pPr>
            <w:r w:rsidRPr="009D73E2">
              <w:t>61.8</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B71F49C" w14:textId="77777777" w:rsidR="007D61FB" w:rsidRPr="009D73E2" w:rsidRDefault="007D61FB" w:rsidP="009D73E2">
            <w:pPr>
              <w:pStyle w:val="ARtabletextright"/>
            </w:pPr>
            <w:r w:rsidRPr="009D73E2">
              <w:t>37</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5DC1F06B" w14:textId="77777777" w:rsidR="007D61FB" w:rsidRPr="009D73E2" w:rsidRDefault="007D61FB" w:rsidP="009D73E2">
            <w:pPr>
              <w:pStyle w:val="ARtabletextright"/>
            </w:pPr>
            <w:r w:rsidRPr="009D73E2">
              <w:t>34.3</w:t>
            </w:r>
          </w:p>
        </w:tc>
      </w:tr>
      <w:tr w:rsidR="008B3B0C" w:rsidRPr="005E779B" w14:paraId="3B48505D"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1AD29457" w14:textId="77777777" w:rsidR="007D61FB" w:rsidRPr="009D73E2" w:rsidRDefault="007D61FB" w:rsidP="009D73E2">
            <w:pPr>
              <w:pStyle w:val="ARtabletext"/>
            </w:pPr>
            <w:r w:rsidRPr="009D73E2">
              <w:t>CYF 6</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1B91A08E" w14:textId="77777777" w:rsidR="007D61FB" w:rsidRPr="009D73E2" w:rsidRDefault="007D61FB" w:rsidP="009D73E2">
            <w:pPr>
              <w:pStyle w:val="ARtabletextright"/>
            </w:pPr>
            <w:r w:rsidRPr="009D73E2">
              <w:t>9</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3CC91DFC" w14:textId="77777777" w:rsidR="007D61FB" w:rsidRPr="009D73E2" w:rsidRDefault="007D61FB" w:rsidP="009D73E2">
            <w:pPr>
              <w:pStyle w:val="ARtabletextright"/>
            </w:pPr>
            <w:r w:rsidRPr="009D73E2">
              <w:t>9</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0A902172" w14:textId="77777777" w:rsidR="007D61FB" w:rsidRPr="009D73E2" w:rsidRDefault="007D61FB" w:rsidP="009D73E2">
            <w:pPr>
              <w:pStyle w:val="ARtabletextright"/>
            </w:pPr>
            <w:r w:rsidRPr="009D73E2">
              <w:t>7</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565FBE2C" w14:textId="77777777" w:rsidR="007D61FB" w:rsidRPr="009D73E2" w:rsidRDefault="007D61FB" w:rsidP="009D73E2">
            <w:pPr>
              <w:pStyle w:val="ARtabletextright"/>
            </w:pPr>
            <w:r w:rsidRPr="009D73E2">
              <w:t>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320F7AD2" w14:textId="77777777" w:rsidR="007D61FB" w:rsidRPr="009D73E2" w:rsidRDefault="007D61FB" w:rsidP="009D73E2">
            <w:pPr>
              <w:pStyle w:val="ARtabletextright"/>
            </w:pPr>
            <w:r w:rsidRPr="009D73E2">
              <w:t>7</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16E7A627" w14:textId="77777777" w:rsidR="007D61FB" w:rsidRPr="009D73E2" w:rsidRDefault="007D61FB" w:rsidP="009D73E2">
            <w:pPr>
              <w:pStyle w:val="ARtabletextright"/>
            </w:pPr>
            <w:r w:rsidRPr="009D73E2">
              <w:t>2</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FDDF42B" w14:textId="77777777" w:rsidR="007D61FB" w:rsidRPr="009D73E2" w:rsidRDefault="007D61FB" w:rsidP="009D73E2">
            <w:pPr>
              <w:pStyle w:val="ARtabletextright"/>
            </w:pPr>
            <w:r w:rsidRPr="009D73E2">
              <w:t>2</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0ECF2D6" w14:textId="77777777" w:rsidR="007D61FB" w:rsidRPr="009D73E2" w:rsidRDefault="007D61FB" w:rsidP="009D73E2">
            <w:pPr>
              <w:pStyle w:val="ARtabletextright"/>
            </w:pPr>
            <w:r w:rsidRPr="009D73E2">
              <w:t>9</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D2CADB8" w14:textId="77777777" w:rsidR="007D61FB" w:rsidRPr="009D73E2" w:rsidRDefault="007D61FB" w:rsidP="009D73E2">
            <w:pPr>
              <w:pStyle w:val="ARtabletextright"/>
            </w:pPr>
            <w:r w:rsidRPr="009D73E2">
              <w:t>9</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6114B9A" w14:textId="77777777" w:rsidR="007D61FB" w:rsidRPr="009D73E2" w:rsidRDefault="007D61FB" w:rsidP="009D73E2">
            <w:pPr>
              <w:pStyle w:val="ARtabletextright"/>
            </w:pPr>
            <w:r w:rsidRPr="009D73E2">
              <w:t>6</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08E322E"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A27E362" w14:textId="77777777" w:rsidR="007D61FB" w:rsidRPr="009D73E2" w:rsidRDefault="007D61FB" w:rsidP="009D73E2">
            <w:pPr>
              <w:pStyle w:val="ARtabletextright"/>
            </w:pPr>
            <w:r w:rsidRPr="009D73E2">
              <w:t>6</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574AE3D1" w14:textId="77777777" w:rsidR="007D61FB" w:rsidRPr="009D73E2" w:rsidRDefault="007D61FB" w:rsidP="009D73E2">
            <w:pPr>
              <w:pStyle w:val="ARtabletextright"/>
            </w:pPr>
            <w:r w:rsidRPr="009D73E2">
              <w:t>3</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6F12B21F" w14:textId="77777777" w:rsidR="007D61FB" w:rsidRPr="009D73E2" w:rsidRDefault="007D61FB" w:rsidP="009D73E2">
            <w:pPr>
              <w:pStyle w:val="ARtabletextright"/>
            </w:pPr>
            <w:r w:rsidRPr="009D73E2">
              <w:t>3</w:t>
            </w:r>
          </w:p>
        </w:tc>
      </w:tr>
      <w:tr w:rsidR="008B3B0C" w:rsidRPr="005E779B" w14:paraId="51F6600F" w14:textId="77777777" w:rsidTr="004C23DF">
        <w:trPr>
          <w:gridAfter w:val="1"/>
          <w:wAfter w:w="66" w:type="dxa"/>
          <w:cantSplit w:val="0"/>
        </w:trPr>
        <w:tc>
          <w:tcPr>
            <w:tcW w:w="1696" w:type="dxa"/>
            <w:tcBorders>
              <w:top w:val="single" w:sz="4" w:space="0" w:color="A6A6A6" w:themeColor="background1" w:themeShade="A6"/>
              <w:bottom w:val="single" w:sz="4" w:space="0" w:color="auto"/>
              <w:right w:val="nil"/>
            </w:tcBorders>
          </w:tcPr>
          <w:p w14:paraId="603FD86C" w14:textId="77777777" w:rsidR="007D61FB" w:rsidRPr="009D73E2" w:rsidRDefault="007D61FB" w:rsidP="009D73E2">
            <w:pPr>
              <w:pStyle w:val="ARtabletextbold"/>
            </w:pPr>
            <w:r w:rsidRPr="005E779B">
              <w:t>Total</w:t>
            </w:r>
          </w:p>
        </w:tc>
        <w:tc>
          <w:tcPr>
            <w:tcW w:w="825" w:type="dxa"/>
            <w:tcBorders>
              <w:top w:val="single" w:sz="4" w:space="0" w:color="A6A6A6" w:themeColor="background1" w:themeShade="A6"/>
              <w:left w:val="nil"/>
              <w:bottom w:val="single" w:sz="4" w:space="0" w:color="auto"/>
              <w:right w:val="nil"/>
            </w:tcBorders>
            <w:vAlign w:val="bottom"/>
          </w:tcPr>
          <w:p w14:paraId="0C5EA2DF" w14:textId="77777777" w:rsidR="007D61FB" w:rsidRPr="009D73E2" w:rsidRDefault="007D61FB" w:rsidP="009D73E2">
            <w:pPr>
              <w:pStyle w:val="ARtabletextright"/>
            </w:pPr>
            <w:r w:rsidRPr="009D73E2">
              <w:t>295</w:t>
            </w:r>
          </w:p>
        </w:tc>
        <w:tc>
          <w:tcPr>
            <w:tcW w:w="779" w:type="dxa"/>
            <w:tcBorders>
              <w:top w:val="single" w:sz="4" w:space="0" w:color="A6A6A6" w:themeColor="background1" w:themeShade="A6"/>
              <w:left w:val="nil"/>
              <w:bottom w:val="single" w:sz="4" w:space="0" w:color="auto"/>
              <w:right w:val="single" w:sz="4" w:space="0" w:color="auto"/>
            </w:tcBorders>
            <w:vAlign w:val="bottom"/>
          </w:tcPr>
          <w:p w14:paraId="259AED40" w14:textId="77777777" w:rsidR="007D61FB" w:rsidRPr="009D73E2" w:rsidRDefault="007D61FB" w:rsidP="009D73E2">
            <w:pPr>
              <w:pStyle w:val="ARtabletextright"/>
            </w:pPr>
            <w:r w:rsidRPr="009D73E2">
              <w:t>273.1</w:t>
            </w:r>
          </w:p>
        </w:tc>
        <w:tc>
          <w:tcPr>
            <w:tcW w:w="1068" w:type="dxa"/>
            <w:tcBorders>
              <w:top w:val="single" w:sz="4" w:space="0" w:color="A6A6A6" w:themeColor="background1" w:themeShade="A6"/>
              <w:left w:val="single" w:sz="4" w:space="0" w:color="auto"/>
              <w:bottom w:val="single" w:sz="4" w:space="0" w:color="auto"/>
              <w:right w:val="nil"/>
            </w:tcBorders>
            <w:vAlign w:val="bottom"/>
          </w:tcPr>
          <w:p w14:paraId="438C787B" w14:textId="77777777" w:rsidR="007D61FB" w:rsidRPr="009D73E2" w:rsidRDefault="007D61FB" w:rsidP="009D73E2">
            <w:pPr>
              <w:pStyle w:val="ARtabletextright"/>
            </w:pPr>
            <w:r w:rsidRPr="009D73E2">
              <w:t>172</w:t>
            </w:r>
          </w:p>
        </w:tc>
        <w:tc>
          <w:tcPr>
            <w:tcW w:w="872" w:type="dxa"/>
            <w:tcBorders>
              <w:top w:val="single" w:sz="4" w:space="0" w:color="A6A6A6" w:themeColor="background1" w:themeShade="A6"/>
              <w:left w:val="nil"/>
              <w:bottom w:val="single" w:sz="4" w:space="0" w:color="auto"/>
              <w:right w:val="nil"/>
            </w:tcBorders>
            <w:vAlign w:val="bottom"/>
          </w:tcPr>
          <w:p w14:paraId="7EF6E46A" w14:textId="77777777" w:rsidR="007D61FB" w:rsidRPr="009D73E2" w:rsidRDefault="007D61FB" w:rsidP="009D73E2">
            <w:pPr>
              <w:pStyle w:val="ARtabletextright"/>
            </w:pPr>
            <w:r w:rsidRPr="009D73E2">
              <w:t>39</w:t>
            </w:r>
          </w:p>
        </w:tc>
        <w:tc>
          <w:tcPr>
            <w:tcW w:w="857" w:type="dxa"/>
            <w:tcBorders>
              <w:top w:val="single" w:sz="4" w:space="0" w:color="A6A6A6" w:themeColor="background1" w:themeShade="A6"/>
              <w:left w:val="nil"/>
              <w:bottom w:val="single" w:sz="4" w:space="0" w:color="auto"/>
              <w:right w:val="single" w:sz="4" w:space="0" w:color="auto"/>
            </w:tcBorders>
            <w:vAlign w:val="bottom"/>
          </w:tcPr>
          <w:p w14:paraId="60A5BFA0" w14:textId="77777777" w:rsidR="007D61FB" w:rsidRPr="009D73E2" w:rsidRDefault="007D61FB" w:rsidP="009D73E2">
            <w:pPr>
              <w:pStyle w:val="ARtabletextright"/>
            </w:pPr>
            <w:r w:rsidRPr="009D73E2">
              <w:t>198.5</w:t>
            </w:r>
          </w:p>
        </w:tc>
        <w:tc>
          <w:tcPr>
            <w:tcW w:w="844" w:type="dxa"/>
            <w:tcBorders>
              <w:top w:val="single" w:sz="4" w:space="0" w:color="A6A6A6" w:themeColor="background1" w:themeShade="A6"/>
              <w:left w:val="single" w:sz="4" w:space="0" w:color="auto"/>
              <w:bottom w:val="single" w:sz="4" w:space="0" w:color="auto"/>
              <w:right w:val="nil"/>
            </w:tcBorders>
            <w:vAlign w:val="bottom"/>
          </w:tcPr>
          <w:p w14:paraId="51B5468C" w14:textId="77777777" w:rsidR="007D61FB" w:rsidRPr="009D73E2" w:rsidRDefault="007D61FB" w:rsidP="009D73E2">
            <w:pPr>
              <w:pStyle w:val="ARtabletextright"/>
            </w:pPr>
            <w:r w:rsidRPr="009D73E2">
              <w:t>84</w:t>
            </w:r>
          </w:p>
        </w:tc>
        <w:tc>
          <w:tcPr>
            <w:tcW w:w="851" w:type="dxa"/>
            <w:tcBorders>
              <w:top w:val="single" w:sz="4" w:space="0" w:color="A6A6A6" w:themeColor="background1" w:themeShade="A6"/>
              <w:left w:val="nil"/>
              <w:bottom w:val="single" w:sz="4" w:space="0" w:color="auto"/>
              <w:right w:val="single" w:sz="4" w:space="0" w:color="auto"/>
            </w:tcBorders>
            <w:vAlign w:val="bottom"/>
          </w:tcPr>
          <w:p w14:paraId="32605881" w14:textId="77777777" w:rsidR="007D61FB" w:rsidRPr="009D73E2" w:rsidRDefault="007D61FB" w:rsidP="009D73E2">
            <w:pPr>
              <w:pStyle w:val="ARtabletextright"/>
            </w:pPr>
            <w:r w:rsidRPr="009D73E2">
              <w:t>74.6</w:t>
            </w:r>
          </w:p>
        </w:tc>
        <w:tc>
          <w:tcPr>
            <w:tcW w:w="992" w:type="dxa"/>
            <w:tcBorders>
              <w:top w:val="single" w:sz="4" w:space="0" w:color="A6A6A6" w:themeColor="background1" w:themeShade="A6"/>
              <w:bottom w:val="single" w:sz="4" w:space="0" w:color="auto"/>
              <w:right w:val="nil"/>
            </w:tcBorders>
            <w:shd w:val="clear" w:color="auto" w:fill="E7E6E6" w:themeFill="accent4"/>
          </w:tcPr>
          <w:p w14:paraId="35301911" w14:textId="77777777" w:rsidR="007D61FB" w:rsidRPr="009D73E2" w:rsidRDefault="007D61FB" w:rsidP="009D73E2">
            <w:pPr>
              <w:pStyle w:val="ARtabletextright"/>
            </w:pPr>
            <w:r w:rsidRPr="009D73E2">
              <w:t>322</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113E709A" w14:textId="77777777" w:rsidR="007D61FB" w:rsidRPr="009D73E2" w:rsidRDefault="007D61FB" w:rsidP="009D73E2">
            <w:pPr>
              <w:pStyle w:val="ARtabletextright"/>
            </w:pPr>
            <w:r w:rsidRPr="009D73E2">
              <w:t>294.2</w:t>
            </w:r>
          </w:p>
        </w:tc>
        <w:tc>
          <w:tcPr>
            <w:tcW w:w="984"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23728C1A" w14:textId="77777777" w:rsidR="007D61FB" w:rsidRPr="009D73E2" w:rsidRDefault="007D61FB" w:rsidP="009D73E2">
            <w:pPr>
              <w:pStyle w:val="ARtabletextright"/>
            </w:pPr>
            <w:r w:rsidRPr="009D73E2">
              <w:t>154</w:t>
            </w:r>
          </w:p>
        </w:tc>
        <w:tc>
          <w:tcPr>
            <w:tcW w:w="944" w:type="dxa"/>
            <w:tcBorders>
              <w:top w:val="single" w:sz="4" w:space="0" w:color="A6A6A6" w:themeColor="background1" w:themeShade="A6"/>
              <w:left w:val="nil"/>
              <w:bottom w:val="single" w:sz="4" w:space="0" w:color="auto"/>
              <w:right w:val="nil"/>
            </w:tcBorders>
            <w:shd w:val="clear" w:color="auto" w:fill="E7E6E6" w:themeFill="accent4"/>
          </w:tcPr>
          <w:p w14:paraId="7C759835" w14:textId="77777777" w:rsidR="007D61FB" w:rsidRPr="009D73E2" w:rsidRDefault="007D61FB" w:rsidP="009D73E2">
            <w:pPr>
              <w:pStyle w:val="ARtabletextright"/>
            </w:pPr>
            <w:r w:rsidRPr="009D73E2">
              <w:t>40</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465D367E" w14:textId="77777777" w:rsidR="007D61FB" w:rsidRPr="009D73E2" w:rsidRDefault="007D61FB" w:rsidP="009D73E2">
            <w:pPr>
              <w:pStyle w:val="ARtabletextright"/>
            </w:pPr>
            <w:r w:rsidRPr="009D73E2">
              <w:t>182</w:t>
            </w:r>
          </w:p>
        </w:tc>
        <w:tc>
          <w:tcPr>
            <w:tcW w:w="806"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010068C1" w14:textId="77777777" w:rsidR="007D61FB" w:rsidRPr="009D73E2" w:rsidRDefault="007D61FB" w:rsidP="009D73E2">
            <w:pPr>
              <w:pStyle w:val="ARtabletextright"/>
            </w:pPr>
            <w:r w:rsidRPr="009D73E2">
              <w:t>128</w:t>
            </w:r>
          </w:p>
        </w:tc>
        <w:tc>
          <w:tcPr>
            <w:tcW w:w="797" w:type="dxa"/>
            <w:tcBorders>
              <w:top w:val="single" w:sz="4" w:space="0" w:color="A6A6A6" w:themeColor="background1" w:themeShade="A6"/>
              <w:left w:val="nil"/>
              <w:bottom w:val="single" w:sz="4" w:space="0" w:color="auto"/>
            </w:tcBorders>
            <w:shd w:val="clear" w:color="auto" w:fill="E7E6E6" w:themeFill="accent4"/>
          </w:tcPr>
          <w:p w14:paraId="07BF5396" w14:textId="77777777" w:rsidR="007D61FB" w:rsidRPr="009D73E2" w:rsidRDefault="007D61FB" w:rsidP="009D73E2">
            <w:pPr>
              <w:pStyle w:val="ARtabletextright"/>
            </w:pPr>
            <w:r w:rsidRPr="009D73E2">
              <w:t>112.2</w:t>
            </w:r>
          </w:p>
        </w:tc>
      </w:tr>
      <w:tr w:rsidR="007D61FB" w:rsidRPr="005E779B" w14:paraId="0C6ECF86" w14:textId="77777777" w:rsidTr="004C23DF">
        <w:trPr>
          <w:cantSplit w:val="0"/>
        </w:trPr>
        <w:tc>
          <w:tcPr>
            <w:tcW w:w="13997" w:type="dxa"/>
            <w:gridSpan w:val="16"/>
            <w:tcBorders>
              <w:top w:val="single" w:sz="4" w:space="0" w:color="auto"/>
              <w:bottom w:val="single" w:sz="4" w:space="0" w:color="A6A6A6" w:themeColor="background1" w:themeShade="A6"/>
            </w:tcBorders>
            <w:shd w:val="clear" w:color="auto" w:fill="auto"/>
          </w:tcPr>
          <w:p w14:paraId="73CFF820" w14:textId="55A68587" w:rsidR="007D61FB" w:rsidRPr="005E779B" w:rsidRDefault="007D61FB" w:rsidP="004C23DF">
            <w:pPr>
              <w:pStyle w:val="ARtablebluebold"/>
              <w:pageBreakBefore/>
              <w:rPr>
                <w:bCs/>
              </w:rPr>
            </w:pPr>
            <w:r w:rsidRPr="005E779B">
              <w:t>Allied Health</w:t>
            </w:r>
          </w:p>
        </w:tc>
      </w:tr>
      <w:tr w:rsidR="008B3B0C" w:rsidRPr="005E779B" w14:paraId="14299516"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121C10BD" w14:textId="77777777" w:rsidR="007D61FB" w:rsidRPr="009D73E2" w:rsidRDefault="007D61FB" w:rsidP="009D73E2">
            <w:pPr>
              <w:pStyle w:val="ARtabletext"/>
            </w:pPr>
            <w:r w:rsidRPr="009D73E2">
              <w:t>AH 2</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59BAD9F5" w14:textId="77777777" w:rsidR="007D61FB" w:rsidRPr="009D73E2" w:rsidRDefault="007D61FB" w:rsidP="009D73E2">
            <w:pPr>
              <w:pStyle w:val="ARtabletextright"/>
            </w:pPr>
            <w:r w:rsidRPr="009D73E2">
              <w:t>8</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04867CA" w14:textId="77777777" w:rsidR="007D61FB" w:rsidRPr="009D73E2" w:rsidRDefault="007D61FB" w:rsidP="009D73E2">
            <w:pPr>
              <w:pStyle w:val="ARtabletextright"/>
            </w:pPr>
            <w:r w:rsidRPr="009D73E2">
              <w:t>7.2</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4C29DC8" w14:textId="77777777" w:rsidR="007D61FB" w:rsidRPr="009D73E2" w:rsidRDefault="007D61FB" w:rsidP="009D73E2">
            <w:pPr>
              <w:pStyle w:val="ARtabletextright"/>
            </w:pPr>
            <w:r w:rsidRPr="009D73E2">
              <w:t>7</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592BBCA0" w14:textId="77777777" w:rsidR="007D61FB" w:rsidRPr="009D73E2" w:rsidRDefault="007D61FB" w:rsidP="009D73E2">
            <w:pPr>
              <w:pStyle w:val="ARtabletextright"/>
            </w:pPr>
            <w:r w:rsidRPr="009D73E2">
              <w:t>1</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DF01E16" w14:textId="77777777" w:rsidR="007D61FB" w:rsidRPr="009D73E2" w:rsidRDefault="007D61FB" w:rsidP="009D73E2">
            <w:pPr>
              <w:pStyle w:val="ARtabletextright"/>
            </w:pPr>
            <w:r w:rsidRPr="009D73E2">
              <w:t>7.2</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FBF3BA2"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65FA99D" w14:textId="77777777" w:rsidR="007D61FB" w:rsidRPr="009D73E2" w:rsidRDefault="007D61FB" w:rsidP="009D73E2">
            <w:pPr>
              <w:pStyle w:val="ARtabletextright"/>
            </w:pPr>
            <w:r w:rsidRPr="009D73E2">
              <w:t>0.0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7EFADE4C" w14:textId="77777777" w:rsidR="007D61FB" w:rsidRPr="009D73E2" w:rsidRDefault="007D61FB" w:rsidP="009D73E2">
            <w:pPr>
              <w:pStyle w:val="ARtabletextright"/>
            </w:pPr>
            <w:r w:rsidRPr="009D73E2">
              <w:t>13</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92F09E2" w14:textId="77777777" w:rsidR="007D61FB" w:rsidRPr="009D73E2" w:rsidRDefault="007D61FB" w:rsidP="009D73E2">
            <w:pPr>
              <w:pStyle w:val="ARtabletextright"/>
            </w:pPr>
            <w:r w:rsidRPr="009D73E2">
              <w:t>12</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C9B221C" w14:textId="77777777" w:rsidR="007D61FB" w:rsidRPr="009D73E2" w:rsidRDefault="007D61FB" w:rsidP="009D73E2">
            <w:pPr>
              <w:pStyle w:val="ARtabletextright"/>
            </w:pPr>
            <w:r w:rsidRPr="009D73E2">
              <w:t>6</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06783B28" w14:textId="77777777" w:rsidR="007D61FB" w:rsidRPr="009D73E2" w:rsidRDefault="007D61FB" w:rsidP="009D73E2">
            <w:pPr>
              <w:pStyle w:val="ARtabletextright"/>
            </w:pPr>
            <w:r w:rsidRPr="009D73E2">
              <w:t>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D821CBC" w14:textId="77777777" w:rsidR="007D61FB" w:rsidRPr="009D73E2" w:rsidRDefault="007D61FB" w:rsidP="009D73E2">
            <w:pPr>
              <w:pStyle w:val="ARtabletextright"/>
            </w:pPr>
            <w:r w:rsidRPr="009D73E2">
              <w:t>8</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39542C6" w14:textId="77777777" w:rsidR="007D61FB" w:rsidRPr="009D73E2" w:rsidRDefault="007D61FB" w:rsidP="009D73E2">
            <w:pPr>
              <w:pStyle w:val="ARtabletextright"/>
            </w:pPr>
            <w:r w:rsidRPr="009D73E2">
              <w:t>4</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602F5DAD" w14:textId="77777777" w:rsidR="007D61FB" w:rsidRPr="009D73E2" w:rsidRDefault="007D61FB" w:rsidP="009D73E2">
            <w:pPr>
              <w:pStyle w:val="ARtabletextright"/>
            </w:pPr>
            <w:r w:rsidRPr="009D73E2">
              <w:t>4</w:t>
            </w:r>
          </w:p>
        </w:tc>
      </w:tr>
      <w:tr w:rsidR="008B3B0C" w:rsidRPr="005E779B" w14:paraId="168FDF15"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1A491B4D" w14:textId="77777777" w:rsidR="007D61FB" w:rsidRPr="009D73E2" w:rsidRDefault="007D61FB" w:rsidP="009D73E2">
            <w:pPr>
              <w:pStyle w:val="ARtabletext"/>
            </w:pPr>
            <w:r w:rsidRPr="009D73E2">
              <w:t>AH 3</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01A91631" w14:textId="77777777" w:rsidR="007D61FB" w:rsidRPr="009D73E2" w:rsidRDefault="007D61FB" w:rsidP="009D73E2">
            <w:pPr>
              <w:pStyle w:val="ARtabletextright"/>
            </w:pPr>
            <w:r w:rsidRPr="009D73E2">
              <w:t>32</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EC518A3" w14:textId="77777777" w:rsidR="007D61FB" w:rsidRPr="009D73E2" w:rsidRDefault="007D61FB" w:rsidP="009D73E2">
            <w:pPr>
              <w:pStyle w:val="ARtabletextright"/>
            </w:pPr>
            <w:r w:rsidRPr="009D73E2">
              <w:t>23.8</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A4EFFF3" w14:textId="77777777" w:rsidR="007D61FB" w:rsidRPr="009D73E2" w:rsidRDefault="007D61FB" w:rsidP="009D73E2">
            <w:pPr>
              <w:pStyle w:val="ARtabletextright"/>
            </w:pPr>
            <w:r w:rsidRPr="009D73E2">
              <w:t>10</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43BE17AC" w14:textId="77777777" w:rsidR="007D61FB" w:rsidRPr="009D73E2" w:rsidRDefault="007D61FB" w:rsidP="009D73E2">
            <w:pPr>
              <w:pStyle w:val="ARtabletextright"/>
            </w:pPr>
            <w:r w:rsidRPr="009D73E2">
              <w:t>13</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E9EE7D7" w14:textId="77777777" w:rsidR="007D61FB" w:rsidRPr="009D73E2" w:rsidRDefault="007D61FB" w:rsidP="009D73E2">
            <w:pPr>
              <w:pStyle w:val="ARtabletextright"/>
            </w:pPr>
            <w:r w:rsidRPr="009D73E2">
              <w:t>16.6</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61311272" w14:textId="77777777" w:rsidR="007D61FB" w:rsidRPr="009D73E2" w:rsidRDefault="007D61FB" w:rsidP="009D73E2">
            <w:pPr>
              <w:pStyle w:val="ARtabletextright"/>
            </w:pPr>
            <w:r w:rsidRPr="009D73E2">
              <w:t>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329D9C9F" w14:textId="77777777" w:rsidR="007D61FB" w:rsidRPr="009D73E2" w:rsidRDefault="007D61FB" w:rsidP="009D73E2">
            <w:pPr>
              <w:pStyle w:val="ARtabletextright"/>
            </w:pPr>
            <w:r w:rsidRPr="009D73E2">
              <w:t>7.3</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638E473E" w14:textId="77777777" w:rsidR="007D61FB" w:rsidRPr="009D73E2" w:rsidRDefault="007D61FB" w:rsidP="009D73E2">
            <w:pPr>
              <w:pStyle w:val="ARtabletextright"/>
            </w:pPr>
            <w:r w:rsidRPr="009D73E2">
              <w:t>34</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44FFA4D" w14:textId="77777777" w:rsidR="007D61FB" w:rsidRPr="009D73E2" w:rsidRDefault="007D61FB" w:rsidP="009D73E2">
            <w:pPr>
              <w:pStyle w:val="ARtabletextright"/>
            </w:pPr>
            <w:r w:rsidRPr="009D73E2">
              <w:t>24.9</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B424193" w14:textId="77777777" w:rsidR="007D61FB" w:rsidRPr="009D73E2" w:rsidRDefault="007D61FB" w:rsidP="009D73E2">
            <w:pPr>
              <w:pStyle w:val="ARtabletextright"/>
            </w:pPr>
            <w:r w:rsidRPr="009D73E2">
              <w:t>13</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67DA89EE" w14:textId="77777777" w:rsidR="007D61FB" w:rsidRPr="009D73E2" w:rsidRDefault="007D61FB" w:rsidP="009D73E2">
            <w:pPr>
              <w:pStyle w:val="ARtabletextright"/>
            </w:pPr>
            <w:r w:rsidRPr="009D73E2">
              <w:t>13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5EA4E18" w14:textId="77777777" w:rsidR="007D61FB" w:rsidRPr="009D73E2" w:rsidRDefault="007D61FB" w:rsidP="009D73E2">
            <w:pPr>
              <w:pStyle w:val="ARtabletextright"/>
            </w:pPr>
            <w:r w:rsidRPr="009D73E2">
              <w:t>20.1</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48C2D85E" w14:textId="77777777" w:rsidR="007D61FB" w:rsidRPr="009D73E2" w:rsidRDefault="007D61FB" w:rsidP="009D73E2">
            <w:pPr>
              <w:pStyle w:val="ARtabletextright"/>
            </w:pPr>
            <w:r w:rsidRPr="009D73E2">
              <w:t>8</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75F36C55" w14:textId="77777777" w:rsidR="007D61FB" w:rsidRPr="009D73E2" w:rsidRDefault="007D61FB" w:rsidP="009D73E2">
            <w:pPr>
              <w:pStyle w:val="ARtabletextright"/>
            </w:pPr>
            <w:r w:rsidRPr="009D73E2">
              <w:t>4.8</w:t>
            </w:r>
          </w:p>
        </w:tc>
      </w:tr>
      <w:tr w:rsidR="008B3B0C" w:rsidRPr="005E779B" w14:paraId="2F045A67"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286DF92E" w14:textId="77777777" w:rsidR="007D61FB" w:rsidRPr="009D73E2" w:rsidRDefault="007D61FB" w:rsidP="009D73E2">
            <w:pPr>
              <w:pStyle w:val="ARtabletext"/>
            </w:pPr>
            <w:r w:rsidRPr="009D73E2">
              <w:t>AH 4</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1DFD174E" w14:textId="77777777" w:rsidR="007D61FB" w:rsidRPr="009D73E2" w:rsidRDefault="007D61FB" w:rsidP="009D73E2">
            <w:pPr>
              <w:pStyle w:val="ARtabletextright"/>
            </w:pPr>
            <w:r w:rsidRPr="009D73E2">
              <w:t>4</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173CAA7" w14:textId="77777777" w:rsidR="007D61FB" w:rsidRPr="009D73E2" w:rsidRDefault="007D61FB" w:rsidP="009D73E2">
            <w:pPr>
              <w:pStyle w:val="ARtabletextright"/>
            </w:pPr>
            <w:r w:rsidRPr="009D73E2">
              <w:t>4</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2322ECE" w14:textId="77777777" w:rsidR="007D61FB" w:rsidRPr="009D73E2" w:rsidRDefault="007D61FB" w:rsidP="009D73E2">
            <w:pPr>
              <w:pStyle w:val="ARtabletextright"/>
            </w:pPr>
            <w:r w:rsidRPr="009D73E2">
              <w:t>3</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7A3A48E8" w14:textId="77777777" w:rsidR="007D61FB" w:rsidRPr="009D73E2" w:rsidRDefault="007D61FB" w:rsidP="009D73E2">
            <w:pPr>
              <w:pStyle w:val="ARtabletextright"/>
            </w:pPr>
            <w:r w:rsidRPr="009D73E2">
              <w:t>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90BF5B4" w14:textId="77777777" w:rsidR="007D61FB" w:rsidRPr="009D73E2" w:rsidRDefault="007D61FB" w:rsidP="009D73E2">
            <w:pPr>
              <w:pStyle w:val="ARtabletextright"/>
            </w:pPr>
            <w:r w:rsidRPr="009D73E2">
              <w:t>3</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4ADDB2F6" w14:textId="77777777" w:rsidR="007D61FB" w:rsidRPr="009D73E2" w:rsidRDefault="007D61FB" w:rsidP="009D73E2">
            <w:pPr>
              <w:pStyle w:val="ARtabletextright"/>
            </w:pPr>
            <w:r w:rsidRPr="009D73E2">
              <w:t>1</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36276687" w14:textId="77777777" w:rsidR="007D61FB" w:rsidRPr="009D73E2" w:rsidRDefault="007D61FB" w:rsidP="009D73E2">
            <w:pPr>
              <w:pStyle w:val="ARtabletextright"/>
            </w:pPr>
            <w:r w:rsidRPr="009D73E2">
              <w:t>1</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209516BF" w14:textId="77777777" w:rsidR="007D61FB" w:rsidRPr="009D73E2" w:rsidRDefault="007D61FB" w:rsidP="009D73E2">
            <w:pPr>
              <w:pStyle w:val="ARtabletextright"/>
            </w:pPr>
            <w:r w:rsidRPr="009D73E2">
              <w:t>2</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2965EBA" w14:textId="77777777" w:rsidR="007D61FB" w:rsidRPr="009D73E2" w:rsidRDefault="007D61FB" w:rsidP="009D73E2">
            <w:pPr>
              <w:pStyle w:val="ARtabletextright"/>
            </w:pPr>
            <w:r w:rsidRPr="009D73E2">
              <w:t>2</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DBCC808" w14:textId="77777777" w:rsidR="007D61FB" w:rsidRPr="009D73E2" w:rsidRDefault="007D61FB" w:rsidP="009D73E2">
            <w:pPr>
              <w:pStyle w:val="ARtabletextright"/>
            </w:pPr>
            <w:r w:rsidRPr="009D73E2">
              <w:t>2</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E52B92B"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6966D6F" w14:textId="77777777" w:rsidR="007D61FB" w:rsidRPr="009D73E2" w:rsidRDefault="007D61FB" w:rsidP="009D73E2">
            <w:pPr>
              <w:pStyle w:val="ARtabletextright"/>
            </w:pPr>
            <w:r w:rsidRPr="009D73E2">
              <w:t>2</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53F0E163" w14:textId="77777777" w:rsidR="007D61FB" w:rsidRPr="009D73E2" w:rsidRDefault="007D61FB" w:rsidP="009D73E2">
            <w:pPr>
              <w:pStyle w:val="ARtabletextright"/>
            </w:pPr>
            <w:r w:rsidRPr="009D73E2">
              <w:t>0</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5B03774B" w14:textId="77777777" w:rsidR="007D61FB" w:rsidRPr="009D73E2" w:rsidRDefault="007D61FB" w:rsidP="009D73E2">
            <w:pPr>
              <w:pStyle w:val="ARtabletextright"/>
            </w:pPr>
            <w:r w:rsidRPr="009D73E2">
              <w:t>0</w:t>
            </w:r>
          </w:p>
        </w:tc>
      </w:tr>
      <w:tr w:rsidR="008B3B0C" w:rsidRPr="005E779B" w14:paraId="69ECDC1D" w14:textId="77777777" w:rsidTr="004C23DF">
        <w:trPr>
          <w:gridAfter w:val="1"/>
          <w:wAfter w:w="66" w:type="dxa"/>
          <w:cantSplit w:val="0"/>
        </w:trPr>
        <w:tc>
          <w:tcPr>
            <w:tcW w:w="1696" w:type="dxa"/>
            <w:tcBorders>
              <w:top w:val="single" w:sz="4" w:space="0" w:color="A6A6A6" w:themeColor="background1" w:themeShade="A6"/>
              <w:bottom w:val="single" w:sz="4" w:space="0" w:color="auto"/>
              <w:right w:val="nil"/>
            </w:tcBorders>
          </w:tcPr>
          <w:p w14:paraId="550CF94F" w14:textId="77777777" w:rsidR="007D61FB" w:rsidRPr="009D73E2" w:rsidRDefault="007D61FB" w:rsidP="009D73E2">
            <w:pPr>
              <w:pStyle w:val="ARtabletextbold"/>
            </w:pPr>
            <w:r w:rsidRPr="005E779B">
              <w:t>Total</w:t>
            </w:r>
          </w:p>
        </w:tc>
        <w:tc>
          <w:tcPr>
            <w:tcW w:w="825" w:type="dxa"/>
            <w:tcBorders>
              <w:top w:val="single" w:sz="4" w:space="0" w:color="A6A6A6" w:themeColor="background1" w:themeShade="A6"/>
              <w:left w:val="nil"/>
              <w:bottom w:val="single" w:sz="4" w:space="0" w:color="auto"/>
              <w:right w:val="nil"/>
            </w:tcBorders>
            <w:vAlign w:val="bottom"/>
          </w:tcPr>
          <w:p w14:paraId="6DC52802" w14:textId="77777777" w:rsidR="007D61FB" w:rsidRPr="005E779B" w:rsidRDefault="007D61FB" w:rsidP="009D73E2">
            <w:pPr>
              <w:pStyle w:val="ARtabletextrightbold"/>
            </w:pPr>
            <w:r w:rsidRPr="005E779B">
              <w:t>44</w:t>
            </w:r>
          </w:p>
        </w:tc>
        <w:tc>
          <w:tcPr>
            <w:tcW w:w="779" w:type="dxa"/>
            <w:tcBorders>
              <w:top w:val="single" w:sz="4" w:space="0" w:color="A6A6A6" w:themeColor="background1" w:themeShade="A6"/>
              <w:left w:val="nil"/>
              <w:bottom w:val="single" w:sz="4" w:space="0" w:color="auto"/>
              <w:right w:val="single" w:sz="4" w:space="0" w:color="auto"/>
            </w:tcBorders>
            <w:vAlign w:val="bottom"/>
          </w:tcPr>
          <w:p w14:paraId="3F9CCC8A" w14:textId="77777777" w:rsidR="007D61FB" w:rsidRPr="005E779B" w:rsidRDefault="007D61FB" w:rsidP="009D73E2">
            <w:pPr>
              <w:pStyle w:val="ARtabletextrightbold"/>
            </w:pPr>
            <w:r w:rsidRPr="005E779B">
              <w:t>35</w:t>
            </w:r>
          </w:p>
        </w:tc>
        <w:tc>
          <w:tcPr>
            <w:tcW w:w="1068" w:type="dxa"/>
            <w:tcBorders>
              <w:top w:val="single" w:sz="4" w:space="0" w:color="A6A6A6" w:themeColor="background1" w:themeShade="A6"/>
              <w:left w:val="single" w:sz="4" w:space="0" w:color="auto"/>
              <w:bottom w:val="single" w:sz="4" w:space="0" w:color="auto"/>
              <w:right w:val="nil"/>
            </w:tcBorders>
            <w:vAlign w:val="bottom"/>
          </w:tcPr>
          <w:p w14:paraId="7D5F8EB0" w14:textId="77777777" w:rsidR="007D61FB" w:rsidRPr="005E779B" w:rsidRDefault="007D61FB" w:rsidP="009D73E2">
            <w:pPr>
              <w:pStyle w:val="ARtabletextrightbold"/>
            </w:pPr>
            <w:r w:rsidRPr="005E779B">
              <w:t>20</w:t>
            </w:r>
          </w:p>
        </w:tc>
        <w:tc>
          <w:tcPr>
            <w:tcW w:w="872" w:type="dxa"/>
            <w:tcBorders>
              <w:top w:val="single" w:sz="4" w:space="0" w:color="A6A6A6" w:themeColor="background1" w:themeShade="A6"/>
              <w:left w:val="nil"/>
              <w:bottom w:val="single" w:sz="4" w:space="0" w:color="auto"/>
              <w:right w:val="nil"/>
            </w:tcBorders>
            <w:vAlign w:val="bottom"/>
          </w:tcPr>
          <w:p w14:paraId="55F1FDDB" w14:textId="77777777" w:rsidR="007D61FB" w:rsidRPr="005E779B" w:rsidRDefault="007D61FB" w:rsidP="009D73E2">
            <w:pPr>
              <w:pStyle w:val="ARtabletextrightbold"/>
            </w:pPr>
            <w:r w:rsidRPr="005E779B">
              <w:t>14</w:t>
            </w:r>
          </w:p>
        </w:tc>
        <w:tc>
          <w:tcPr>
            <w:tcW w:w="857" w:type="dxa"/>
            <w:tcBorders>
              <w:top w:val="single" w:sz="4" w:space="0" w:color="A6A6A6" w:themeColor="background1" w:themeShade="A6"/>
              <w:left w:val="nil"/>
              <w:bottom w:val="single" w:sz="4" w:space="0" w:color="auto"/>
              <w:right w:val="single" w:sz="4" w:space="0" w:color="auto"/>
            </w:tcBorders>
            <w:vAlign w:val="bottom"/>
          </w:tcPr>
          <w:p w14:paraId="3FA4A794" w14:textId="77777777" w:rsidR="007D61FB" w:rsidRPr="005E779B" w:rsidRDefault="007D61FB" w:rsidP="009D73E2">
            <w:pPr>
              <w:pStyle w:val="ARtabletextrightbold"/>
            </w:pPr>
            <w:r w:rsidRPr="005E779B">
              <w:t>26.8</w:t>
            </w:r>
          </w:p>
        </w:tc>
        <w:tc>
          <w:tcPr>
            <w:tcW w:w="844" w:type="dxa"/>
            <w:tcBorders>
              <w:top w:val="single" w:sz="4" w:space="0" w:color="A6A6A6" w:themeColor="background1" w:themeShade="A6"/>
              <w:left w:val="single" w:sz="4" w:space="0" w:color="auto"/>
              <w:bottom w:val="single" w:sz="4" w:space="0" w:color="auto"/>
              <w:right w:val="nil"/>
            </w:tcBorders>
            <w:vAlign w:val="bottom"/>
          </w:tcPr>
          <w:p w14:paraId="2ABDBD9F" w14:textId="77777777" w:rsidR="007D61FB" w:rsidRPr="005E779B" w:rsidRDefault="007D61FB" w:rsidP="009D73E2">
            <w:pPr>
              <w:pStyle w:val="ARtabletextrightbold"/>
            </w:pPr>
            <w:r w:rsidRPr="005E779B">
              <w:t>10</w:t>
            </w:r>
          </w:p>
        </w:tc>
        <w:tc>
          <w:tcPr>
            <w:tcW w:w="851" w:type="dxa"/>
            <w:tcBorders>
              <w:top w:val="single" w:sz="4" w:space="0" w:color="A6A6A6" w:themeColor="background1" w:themeShade="A6"/>
              <w:left w:val="nil"/>
              <w:bottom w:val="single" w:sz="4" w:space="0" w:color="auto"/>
              <w:right w:val="single" w:sz="4" w:space="0" w:color="auto"/>
            </w:tcBorders>
            <w:vAlign w:val="bottom"/>
          </w:tcPr>
          <w:p w14:paraId="4C2042F8" w14:textId="77777777" w:rsidR="007D61FB" w:rsidRPr="005E779B" w:rsidRDefault="007D61FB" w:rsidP="009D73E2">
            <w:pPr>
              <w:pStyle w:val="ARtabletextrightbold"/>
            </w:pPr>
            <w:r w:rsidRPr="005E779B">
              <w:t>8.3</w:t>
            </w:r>
          </w:p>
        </w:tc>
        <w:tc>
          <w:tcPr>
            <w:tcW w:w="992" w:type="dxa"/>
            <w:tcBorders>
              <w:top w:val="single" w:sz="4" w:space="0" w:color="A6A6A6" w:themeColor="background1" w:themeShade="A6"/>
              <w:bottom w:val="single" w:sz="4" w:space="0" w:color="auto"/>
              <w:right w:val="nil"/>
            </w:tcBorders>
            <w:shd w:val="clear" w:color="auto" w:fill="E7E6E6" w:themeFill="accent4"/>
          </w:tcPr>
          <w:p w14:paraId="0CB60581" w14:textId="77777777" w:rsidR="007D61FB" w:rsidRPr="005E779B" w:rsidRDefault="007D61FB" w:rsidP="009D73E2">
            <w:pPr>
              <w:pStyle w:val="ARtabletextrightbold"/>
            </w:pPr>
            <w:r w:rsidRPr="005E779B">
              <w:t>49</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3DFDDE6F" w14:textId="77777777" w:rsidR="007D61FB" w:rsidRPr="005E779B" w:rsidRDefault="007D61FB" w:rsidP="009D73E2">
            <w:pPr>
              <w:pStyle w:val="ARtabletextrightbold"/>
            </w:pPr>
            <w:r w:rsidRPr="005E779B">
              <w:t>38.9</w:t>
            </w:r>
          </w:p>
        </w:tc>
        <w:tc>
          <w:tcPr>
            <w:tcW w:w="984"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4F4B277C" w14:textId="77777777" w:rsidR="007D61FB" w:rsidRPr="005E779B" w:rsidRDefault="007D61FB" w:rsidP="009D73E2">
            <w:pPr>
              <w:pStyle w:val="ARtabletextrightbold"/>
            </w:pPr>
            <w:r w:rsidRPr="005E779B">
              <w:t>21</w:t>
            </w:r>
          </w:p>
        </w:tc>
        <w:tc>
          <w:tcPr>
            <w:tcW w:w="944" w:type="dxa"/>
            <w:tcBorders>
              <w:top w:val="single" w:sz="4" w:space="0" w:color="A6A6A6" w:themeColor="background1" w:themeShade="A6"/>
              <w:left w:val="nil"/>
              <w:bottom w:val="single" w:sz="4" w:space="0" w:color="auto"/>
              <w:right w:val="nil"/>
            </w:tcBorders>
            <w:shd w:val="clear" w:color="auto" w:fill="E7E6E6" w:themeFill="accent4"/>
          </w:tcPr>
          <w:p w14:paraId="11368DC0" w14:textId="77777777" w:rsidR="007D61FB" w:rsidRPr="005E779B" w:rsidRDefault="007D61FB" w:rsidP="009D73E2">
            <w:pPr>
              <w:pStyle w:val="ARtabletextrightbold"/>
            </w:pPr>
            <w:r w:rsidRPr="005E779B">
              <w:t>16</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74E8C016" w14:textId="77777777" w:rsidR="007D61FB" w:rsidRPr="005E779B" w:rsidRDefault="007D61FB" w:rsidP="009D73E2">
            <w:pPr>
              <w:pStyle w:val="ARtabletextrightbold"/>
            </w:pPr>
            <w:r w:rsidRPr="005E779B">
              <w:t>30.1</w:t>
            </w:r>
          </w:p>
        </w:tc>
        <w:tc>
          <w:tcPr>
            <w:tcW w:w="806"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201DF4D2" w14:textId="77777777" w:rsidR="007D61FB" w:rsidRPr="005E779B" w:rsidRDefault="007D61FB" w:rsidP="009D73E2">
            <w:pPr>
              <w:pStyle w:val="ARtabletextrightbold"/>
            </w:pPr>
            <w:r w:rsidRPr="005E779B">
              <w:t>12</w:t>
            </w:r>
          </w:p>
        </w:tc>
        <w:tc>
          <w:tcPr>
            <w:tcW w:w="797" w:type="dxa"/>
            <w:tcBorders>
              <w:top w:val="single" w:sz="4" w:space="0" w:color="A6A6A6" w:themeColor="background1" w:themeShade="A6"/>
              <w:left w:val="nil"/>
              <w:bottom w:val="single" w:sz="4" w:space="0" w:color="auto"/>
            </w:tcBorders>
            <w:shd w:val="clear" w:color="auto" w:fill="E7E6E6" w:themeFill="accent4"/>
          </w:tcPr>
          <w:p w14:paraId="3845D443" w14:textId="77777777" w:rsidR="007D61FB" w:rsidRPr="005E779B" w:rsidRDefault="007D61FB" w:rsidP="009D73E2">
            <w:pPr>
              <w:pStyle w:val="ARtabletextrightbold"/>
            </w:pPr>
            <w:r w:rsidRPr="005E779B">
              <w:t>8.8</w:t>
            </w:r>
          </w:p>
        </w:tc>
      </w:tr>
      <w:tr w:rsidR="007D61FB" w:rsidRPr="005E779B" w14:paraId="2E4A3698" w14:textId="77777777" w:rsidTr="004C23DF">
        <w:trPr>
          <w:cantSplit w:val="0"/>
        </w:trPr>
        <w:tc>
          <w:tcPr>
            <w:tcW w:w="13997" w:type="dxa"/>
            <w:gridSpan w:val="16"/>
            <w:tcBorders>
              <w:top w:val="single" w:sz="4" w:space="0" w:color="auto"/>
              <w:left w:val="nil"/>
              <w:bottom w:val="single" w:sz="4" w:space="0" w:color="A6A6A6" w:themeColor="background1" w:themeShade="A6"/>
            </w:tcBorders>
            <w:shd w:val="clear" w:color="auto" w:fill="auto"/>
          </w:tcPr>
          <w:p w14:paraId="3EC53334" w14:textId="105F46A5" w:rsidR="007D61FB" w:rsidRPr="005E779B" w:rsidRDefault="007D61FB" w:rsidP="00B62D0D">
            <w:pPr>
              <w:pStyle w:val="ARtablebluebold"/>
            </w:pPr>
            <w:r w:rsidRPr="005E779B">
              <w:t>Disability Services</w:t>
            </w:r>
          </w:p>
        </w:tc>
      </w:tr>
      <w:tr w:rsidR="008B3B0C" w:rsidRPr="005E779B" w14:paraId="1232FD35"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right w:val="nil"/>
            </w:tcBorders>
          </w:tcPr>
          <w:p w14:paraId="701D43DA" w14:textId="77777777" w:rsidR="007D61FB" w:rsidRPr="009D73E2" w:rsidRDefault="007D61FB" w:rsidP="009D73E2">
            <w:pPr>
              <w:pStyle w:val="ARtabletext"/>
            </w:pPr>
            <w:r w:rsidRPr="009D73E2">
              <w:t>DDSO-1</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2DC0EBD8" w14:textId="77777777" w:rsidR="007D61FB" w:rsidRPr="009D73E2" w:rsidRDefault="007D61FB" w:rsidP="009D73E2">
            <w:pPr>
              <w:pStyle w:val="ARtabletextright"/>
            </w:pPr>
            <w:r w:rsidRPr="009D73E2">
              <w:t>86</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D249BCD" w14:textId="77777777" w:rsidR="007D61FB" w:rsidRPr="009D73E2" w:rsidRDefault="007D61FB" w:rsidP="009D73E2">
            <w:pPr>
              <w:pStyle w:val="ARtabletextright"/>
            </w:pPr>
            <w:r w:rsidRPr="009D73E2">
              <w:t>68.4</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6079FB9C" w14:textId="77777777" w:rsidR="007D61FB" w:rsidRPr="009D73E2" w:rsidRDefault="007D61FB" w:rsidP="009D73E2">
            <w:pPr>
              <w:pStyle w:val="ARtabletextright"/>
            </w:pPr>
            <w:r w:rsidRPr="009D73E2">
              <w:t>35</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42B67E57" w14:textId="77777777" w:rsidR="007D61FB" w:rsidRPr="009D73E2" w:rsidRDefault="007D61FB" w:rsidP="009D73E2">
            <w:pPr>
              <w:pStyle w:val="ARtabletextright"/>
            </w:pPr>
            <w:r w:rsidRPr="009D73E2">
              <w:t>7</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E19B44E" w14:textId="77777777" w:rsidR="007D61FB" w:rsidRPr="009D73E2" w:rsidRDefault="007D61FB" w:rsidP="009D73E2">
            <w:pPr>
              <w:pStyle w:val="ARtabletextright"/>
            </w:pPr>
            <w:r w:rsidRPr="009D73E2">
              <w:t>40.2</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6B271955" w14:textId="77777777" w:rsidR="007D61FB" w:rsidRPr="009D73E2" w:rsidRDefault="007D61FB" w:rsidP="009D73E2">
            <w:pPr>
              <w:pStyle w:val="ARtabletextright"/>
            </w:pPr>
            <w:r w:rsidRPr="009D73E2">
              <w:t>44</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603BB9A" w14:textId="77777777" w:rsidR="007D61FB" w:rsidRPr="009D73E2" w:rsidRDefault="007D61FB" w:rsidP="009D73E2">
            <w:pPr>
              <w:pStyle w:val="ARtabletextright"/>
            </w:pPr>
            <w:r w:rsidRPr="009D73E2">
              <w:t>28.2</w:t>
            </w:r>
          </w:p>
        </w:tc>
        <w:tc>
          <w:tcPr>
            <w:tcW w:w="99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840E82C" w14:textId="77777777" w:rsidR="007D61FB" w:rsidRPr="009D73E2" w:rsidRDefault="007D61FB" w:rsidP="009D73E2">
            <w:pPr>
              <w:pStyle w:val="ARtabletextright"/>
            </w:pPr>
            <w:r w:rsidRPr="009D73E2">
              <w:t>97</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D17C909" w14:textId="77777777" w:rsidR="007D61FB" w:rsidRPr="009D73E2" w:rsidRDefault="007D61FB" w:rsidP="009D73E2">
            <w:pPr>
              <w:pStyle w:val="ARtabletextright"/>
            </w:pPr>
            <w:r w:rsidRPr="009D73E2">
              <w:t>76.6</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4882B12" w14:textId="77777777" w:rsidR="007D61FB" w:rsidRPr="009D73E2" w:rsidRDefault="007D61FB" w:rsidP="009D73E2">
            <w:pPr>
              <w:pStyle w:val="ARtabletextright"/>
            </w:pPr>
            <w:r w:rsidRPr="009D73E2">
              <w:t>52</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66E93258" w14:textId="77777777" w:rsidR="007D61FB" w:rsidRPr="009D73E2" w:rsidRDefault="007D61FB" w:rsidP="009D73E2">
            <w:pPr>
              <w:pStyle w:val="ARtabletextright"/>
            </w:pPr>
            <w:r w:rsidRPr="009D73E2">
              <w:t>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B3D4DE3" w14:textId="77777777" w:rsidR="007D61FB" w:rsidRPr="009D73E2" w:rsidRDefault="007D61FB" w:rsidP="009D73E2">
            <w:pPr>
              <w:pStyle w:val="ARtabletextright"/>
            </w:pPr>
            <w:r w:rsidRPr="009D73E2">
              <w:t>53.7</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9E1B0DE" w14:textId="77777777" w:rsidR="007D61FB" w:rsidRPr="009D73E2" w:rsidRDefault="007D61FB" w:rsidP="009D73E2">
            <w:pPr>
              <w:pStyle w:val="ARtabletextright"/>
            </w:pPr>
            <w:r w:rsidRPr="009D73E2">
              <w:t>37</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24AFF5B" w14:textId="77777777" w:rsidR="007D61FB" w:rsidRPr="009D73E2" w:rsidRDefault="007D61FB" w:rsidP="009D73E2">
            <w:pPr>
              <w:pStyle w:val="ARtabletextright"/>
            </w:pPr>
            <w:r w:rsidRPr="009D73E2">
              <w:t>22.9</w:t>
            </w:r>
          </w:p>
        </w:tc>
      </w:tr>
      <w:tr w:rsidR="008B3B0C" w:rsidRPr="005E779B" w14:paraId="1A13E8FE"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right w:val="nil"/>
            </w:tcBorders>
          </w:tcPr>
          <w:p w14:paraId="4928A81B" w14:textId="77777777" w:rsidR="007D61FB" w:rsidRPr="009D73E2" w:rsidRDefault="007D61FB" w:rsidP="009D73E2">
            <w:pPr>
              <w:pStyle w:val="ARtabletext"/>
            </w:pPr>
            <w:r w:rsidRPr="009D73E2">
              <w:t>DDSO-2</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37C5FA16" w14:textId="77777777" w:rsidR="007D61FB" w:rsidRPr="009D73E2" w:rsidRDefault="007D61FB" w:rsidP="009D73E2">
            <w:pPr>
              <w:pStyle w:val="ARtabletextright"/>
            </w:pPr>
            <w:r w:rsidRPr="009D73E2">
              <w:t>15</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117F582" w14:textId="77777777" w:rsidR="007D61FB" w:rsidRPr="009D73E2" w:rsidRDefault="007D61FB" w:rsidP="009D73E2">
            <w:pPr>
              <w:pStyle w:val="ARtabletextright"/>
            </w:pPr>
            <w:r w:rsidRPr="009D73E2">
              <w:t>14.4</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4F325C0F" w14:textId="77777777" w:rsidR="007D61FB" w:rsidRPr="009D73E2" w:rsidRDefault="007D61FB" w:rsidP="009D73E2">
            <w:pPr>
              <w:pStyle w:val="ARtabletextright"/>
            </w:pPr>
            <w:r w:rsidRPr="009D73E2">
              <w:t>9</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5A029180" w14:textId="77777777" w:rsidR="007D61FB" w:rsidRPr="009D73E2" w:rsidRDefault="007D61FB" w:rsidP="009D73E2">
            <w:pPr>
              <w:pStyle w:val="ARtabletextright"/>
            </w:pPr>
            <w:r w:rsidRPr="009D73E2">
              <w:t>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F94C47A" w14:textId="77777777" w:rsidR="007D61FB" w:rsidRPr="009D73E2" w:rsidRDefault="007D61FB" w:rsidP="009D73E2">
            <w:pPr>
              <w:pStyle w:val="ARtabletextright"/>
            </w:pPr>
            <w:r w:rsidRPr="009D73E2">
              <w:t>8.5</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9424226" w14:textId="77777777" w:rsidR="007D61FB" w:rsidRPr="009D73E2" w:rsidRDefault="007D61FB" w:rsidP="009D73E2">
            <w:pPr>
              <w:pStyle w:val="ARtabletextright"/>
            </w:pPr>
            <w:r w:rsidRPr="009D73E2">
              <w:t>6</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DF0B718" w14:textId="77777777" w:rsidR="007D61FB" w:rsidRPr="009D73E2" w:rsidRDefault="007D61FB" w:rsidP="009D73E2">
            <w:pPr>
              <w:pStyle w:val="ARtabletextright"/>
            </w:pPr>
            <w:r w:rsidRPr="009D73E2">
              <w:t>5.9</w:t>
            </w:r>
          </w:p>
        </w:tc>
        <w:tc>
          <w:tcPr>
            <w:tcW w:w="99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6AD0756" w14:textId="77777777" w:rsidR="007D61FB" w:rsidRPr="009D73E2" w:rsidRDefault="007D61FB" w:rsidP="009D73E2">
            <w:pPr>
              <w:pStyle w:val="ARtabletextright"/>
            </w:pPr>
            <w:r w:rsidRPr="009D73E2">
              <w:t>13</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6FF2C36" w14:textId="77777777" w:rsidR="007D61FB" w:rsidRPr="009D73E2" w:rsidRDefault="007D61FB" w:rsidP="009D73E2">
            <w:pPr>
              <w:pStyle w:val="ARtabletextright"/>
            </w:pPr>
            <w:r w:rsidRPr="009D73E2">
              <w:t>12</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64FCF6A" w14:textId="77777777" w:rsidR="007D61FB" w:rsidRPr="009D73E2" w:rsidRDefault="007D61FB" w:rsidP="009D73E2">
            <w:pPr>
              <w:pStyle w:val="ARtabletextright"/>
            </w:pPr>
            <w:r w:rsidRPr="009D73E2">
              <w:t>11</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ED4C709" w14:textId="77777777" w:rsidR="007D61FB" w:rsidRPr="009D73E2" w:rsidRDefault="007D61FB" w:rsidP="009D73E2">
            <w:pPr>
              <w:pStyle w:val="ARtabletextright"/>
            </w:pPr>
            <w:r w:rsidRPr="009D73E2">
              <w:t>1</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3E48096" w14:textId="77777777" w:rsidR="007D61FB" w:rsidRPr="009D73E2" w:rsidRDefault="007D61FB" w:rsidP="009D73E2">
            <w:pPr>
              <w:pStyle w:val="ARtabletextright"/>
            </w:pPr>
            <w:r w:rsidRPr="009D73E2">
              <w:t>11</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025A593" w14:textId="77777777" w:rsidR="007D61FB" w:rsidRPr="009D73E2" w:rsidRDefault="007D61FB" w:rsidP="009D73E2">
            <w:pPr>
              <w:pStyle w:val="ARtabletextright"/>
            </w:pPr>
            <w:r w:rsidRPr="009D73E2">
              <w:t>1</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6F4DE33F" w14:textId="77777777" w:rsidR="007D61FB" w:rsidRPr="009D73E2" w:rsidRDefault="007D61FB" w:rsidP="009D73E2">
            <w:pPr>
              <w:pStyle w:val="ARtabletextright"/>
            </w:pPr>
            <w:r w:rsidRPr="009D73E2">
              <w:t>1</w:t>
            </w:r>
          </w:p>
        </w:tc>
      </w:tr>
      <w:tr w:rsidR="008B3B0C" w:rsidRPr="005E779B" w14:paraId="01A296DA"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right w:val="nil"/>
            </w:tcBorders>
          </w:tcPr>
          <w:p w14:paraId="08DE0A8E" w14:textId="77777777" w:rsidR="007D61FB" w:rsidRPr="009D73E2" w:rsidRDefault="007D61FB" w:rsidP="009D73E2">
            <w:pPr>
              <w:pStyle w:val="ARtabletext"/>
            </w:pPr>
            <w:r w:rsidRPr="009D73E2">
              <w:t>DDSO-3</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4947987E" w14:textId="77777777" w:rsidR="007D61FB" w:rsidRPr="009D73E2" w:rsidRDefault="007D61FB" w:rsidP="009D73E2">
            <w:pPr>
              <w:pStyle w:val="ARtabletextright"/>
            </w:pPr>
            <w:r w:rsidRPr="009D73E2">
              <w:t>47</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AB1E85F" w14:textId="77777777" w:rsidR="007D61FB" w:rsidRPr="009D73E2" w:rsidRDefault="007D61FB" w:rsidP="009D73E2">
            <w:pPr>
              <w:pStyle w:val="ARtabletextright"/>
            </w:pPr>
            <w:r w:rsidRPr="009D73E2">
              <w:t>44.1</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62C731A" w14:textId="77777777" w:rsidR="007D61FB" w:rsidRPr="009D73E2" w:rsidRDefault="007D61FB" w:rsidP="009D73E2">
            <w:pPr>
              <w:pStyle w:val="ARtabletextright"/>
            </w:pPr>
            <w:r w:rsidRPr="009D73E2">
              <w:t>29</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2248B08C" w14:textId="77777777" w:rsidR="007D61FB" w:rsidRPr="009D73E2" w:rsidRDefault="007D61FB" w:rsidP="009D73E2">
            <w:pPr>
              <w:pStyle w:val="ARtabletextright"/>
            </w:pPr>
            <w:r w:rsidRPr="009D73E2">
              <w:t>8</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9A9A753" w14:textId="77777777" w:rsidR="007D61FB" w:rsidRPr="009D73E2" w:rsidRDefault="007D61FB" w:rsidP="009D73E2">
            <w:pPr>
              <w:pStyle w:val="ARtabletextright"/>
            </w:pPr>
            <w:r w:rsidRPr="009D73E2">
              <w:t>34.5</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5C850B65" w14:textId="77777777" w:rsidR="007D61FB" w:rsidRPr="009D73E2" w:rsidRDefault="007D61FB" w:rsidP="009D73E2">
            <w:pPr>
              <w:pStyle w:val="ARtabletextright"/>
            </w:pPr>
            <w:r w:rsidRPr="009D73E2">
              <w:t>10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712FF46" w14:textId="77777777" w:rsidR="007D61FB" w:rsidRPr="009D73E2" w:rsidRDefault="007D61FB" w:rsidP="009D73E2">
            <w:pPr>
              <w:pStyle w:val="ARtabletextright"/>
            </w:pPr>
            <w:r w:rsidRPr="009D73E2">
              <w:t>9.6</w:t>
            </w:r>
          </w:p>
        </w:tc>
        <w:tc>
          <w:tcPr>
            <w:tcW w:w="99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ED81B9D" w14:textId="77777777" w:rsidR="007D61FB" w:rsidRPr="009D73E2" w:rsidRDefault="007D61FB" w:rsidP="009D73E2">
            <w:pPr>
              <w:pStyle w:val="ARtabletextright"/>
            </w:pPr>
            <w:r w:rsidRPr="009D73E2">
              <w:t>43</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3A82130" w14:textId="77777777" w:rsidR="007D61FB" w:rsidRPr="009D73E2" w:rsidRDefault="007D61FB" w:rsidP="009D73E2">
            <w:pPr>
              <w:pStyle w:val="ARtabletextright"/>
            </w:pPr>
            <w:r w:rsidRPr="009D73E2">
              <w:t>40.7</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540E0F65" w14:textId="77777777" w:rsidR="007D61FB" w:rsidRPr="009D73E2" w:rsidRDefault="007D61FB" w:rsidP="009D73E2">
            <w:pPr>
              <w:pStyle w:val="ARtabletextright"/>
            </w:pPr>
            <w:r w:rsidRPr="009D73E2">
              <w:t>28</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A71712E" w14:textId="77777777" w:rsidR="007D61FB" w:rsidRPr="009D73E2" w:rsidRDefault="007D61FB" w:rsidP="009D73E2">
            <w:pPr>
              <w:pStyle w:val="ARtabletextright"/>
            </w:pPr>
            <w:r w:rsidRPr="009D73E2">
              <w:t>9</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D0FC33C" w14:textId="77777777" w:rsidR="007D61FB" w:rsidRPr="009D73E2" w:rsidRDefault="007D61FB" w:rsidP="009D73E2">
            <w:pPr>
              <w:pStyle w:val="ARtabletextright"/>
            </w:pPr>
            <w:r w:rsidRPr="009D73E2">
              <w:t>35.4</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50C1A040" w14:textId="77777777" w:rsidR="007D61FB" w:rsidRPr="009D73E2" w:rsidRDefault="007D61FB" w:rsidP="009D73E2">
            <w:pPr>
              <w:pStyle w:val="ARtabletextright"/>
            </w:pPr>
            <w:r w:rsidRPr="009D73E2">
              <w:t>6</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2F2D8DB8" w14:textId="77777777" w:rsidR="007D61FB" w:rsidRPr="009D73E2" w:rsidRDefault="007D61FB" w:rsidP="009D73E2">
            <w:pPr>
              <w:pStyle w:val="ARtabletextright"/>
            </w:pPr>
            <w:r w:rsidRPr="009D73E2">
              <w:t>5.3</w:t>
            </w:r>
          </w:p>
        </w:tc>
      </w:tr>
      <w:tr w:rsidR="008B3B0C" w:rsidRPr="005E779B" w14:paraId="74A49A89"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right w:val="nil"/>
            </w:tcBorders>
          </w:tcPr>
          <w:p w14:paraId="5581D5DA" w14:textId="77777777" w:rsidR="007D61FB" w:rsidRPr="009D73E2" w:rsidRDefault="007D61FB" w:rsidP="009D73E2">
            <w:pPr>
              <w:pStyle w:val="ARtabletext"/>
            </w:pPr>
            <w:r w:rsidRPr="009D73E2">
              <w:t>DDSO-4</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70F5EFEC" w14:textId="77777777" w:rsidR="007D61FB" w:rsidRPr="009D73E2" w:rsidRDefault="007D61FB" w:rsidP="009D73E2">
            <w:pPr>
              <w:pStyle w:val="ARtabletextright"/>
            </w:pPr>
            <w:r w:rsidRPr="009D73E2">
              <w:t>12</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6023356" w14:textId="77777777" w:rsidR="007D61FB" w:rsidRPr="009D73E2" w:rsidRDefault="007D61FB" w:rsidP="009D73E2">
            <w:pPr>
              <w:pStyle w:val="ARtabletextright"/>
            </w:pPr>
            <w:r w:rsidRPr="009D73E2">
              <w:t>11.6</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3D7834CC" w14:textId="77777777" w:rsidR="007D61FB" w:rsidRPr="009D73E2" w:rsidRDefault="007D61FB" w:rsidP="009D73E2">
            <w:pPr>
              <w:pStyle w:val="ARtabletextright"/>
            </w:pPr>
            <w:r w:rsidRPr="009D73E2">
              <w:t>7</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478E45AF" w14:textId="77777777" w:rsidR="007D61FB" w:rsidRPr="009D73E2" w:rsidRDefault="007D61FB" w:rsidP="009D73E2">
            <w:pPr>
              <w:pStyle w:val="ARtabletextright"/>
            </w:pPr>
            <w:r w:rsidRPr="009D73E2">
              <w:t>4</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381420AB" w14:textId="77777777" w:rsidR="007D61FB" w:rsidRPr="009D73E2" w:rsidRDefault="007D61FB" w:rsidP="009D73E2">
            <w:pPr>
              <w:pStyle w:val="ARtabletextright"/>
            </w:pPr>
            <w:r w:rsidRPr="009D73E2">
              <w:t>10.6</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77360EA5" w14:textId="77777777" w:rsidR="007D61FB" w:rsidRPr="009D73E2" w:rsidRDefault="007D61FB" w:rsidP="009D73E2">
            <w:pPr>
              <w:pStyle w:val="ARtabletextright"/>
            </w:pPr>
            <w:r w:rsidRPr="009D73E2">
              <w:t>1</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FDCB791" w14:textId="77777777" w:rsidR="007D61FB" w:rsidRPr="009D73E2" w:rsidRDefault="007D61FB" w:rsidP="009D73E2">
            <w:pPr>
              <w:pStyle w:val="ARtabletextright"/>
            </w:pPr>
            <w:r w:rsidRPr="009D73E2">
              <w:t>1</w:t>
            </w:r>
          </w:p>
        </w:tc>
        <w:tc>
          <w:tcPr>
            <w:tcW w:w="99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17B179C" w14:textId="77777777" w:rsidR="007D61FB" w:rsidRPr="009D73E2" w:rsidRDefault="007D61FB" w:rsidP="009D73E2">
            <w:pPr>
              <w:pStyle w:val="ARtabletextright"/>
            </w:pPr>
            <w:r w:rsidRPr="009D73E2">
              <w:t>10</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A457EBB" w14:textId="77777777" w:rsidR="007D61FB" w:rsidRPr="009D73E2" w:rsidRDefault="007D61FB" w:rsidP="009D73E2">
            <w:pPr>
              <w:pStyle w:val="ARtabletextright"/>
            </w:pPr>
            <w:r w:rsidRPr="009D73E2">
              <w:t>10</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71BBB95" w14:textId="77777777" w:rsidR="007D61FB" w:rsidRPr="009D73E2" w:rsidRDefault="007D61FB" w:rsidP="009D73E2">
            <w:pPr>
              <w:pStyle w:val="ARtabletextright"/>
            </w:pPr>
            <w:r w:rsidRPr="009D73E2">
              <w:t>7</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DF7F46E"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3C690DBB" w14:textId="77777777" w:rsidR="007D61FB" w:rsidRPr="009D73E2" w:rsidRDefault="007D61FB" w:rsidP="009D73E2">
            <w:pPr>
              <w:pStyle w:val="ARtabletextright"/>
            </w:pPr>
            <w:r w:rsidRPr="009D73E2">
              <w:t>7</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5409CBF" w14:textId="77777777" w:rsidR="007D61FB" w:rsidRPr="009D73E2" w:rsidRDefault="007D61FB" w:rsidP="009D73E2">
            <w:pPr>
              <w:pStyle w:val="ARtabletextright"/>
            </w:pPr>
            <w:r w:rsidRPr="009D73E2">
              <w:t>3</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3ACA0EBF" w14:textId="77777777" w:rsidR="007D61FB" w:rsidRPr="009D73E2" w:rsidRDefault="007D61FB" w:rsidP="009D73E2">
            <w:pPr>
              <w:pStyle w:val="ARtabletextright"/>
            </w:pPr>
            <w:r w:rsidRPr="009D73E2">
              <w:t>3</w:t>
            </w:r>
          </w:p>
        </w:tc>
      </w:tr>
      <w:tr w:rsidR="008B3B0C" w:rsidRPr="005E779B" w14:paraId="4912EC02"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right w:val="nil"/>
            </w:tcBorders>
          </w:tcPr>
          <w:p w14:paraId="69C98236" w14:textId="77777777" w:rsidR="007D61FB" w:rsidRPr="009D73E2" w:rsidRDefault="007D61FB" w:rsidP="009D73E2">
            <w:pPr>
              <w:pStyle w:val="ARtabletext"/>
            </w:pPr>
            <w:r w:rsidRPr="009D73E2">
              <w:t>DDSO-5</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729548FA" w14:textId="77777777" w:rsidR="007D61FB" w:rsidRPr="009D73E2" w:rsidRDefault="007D61FB" w:rsidP="009D73E2">
            <w:pPr>
              <w:pStyle w:val="ARtabletextright"/>
            </w:pPr>
            <w:r w:rsidRPr="009D73E2">
              <w:t>2</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41D8638" w14:textId="77777777" w:rsidR="007D61FB" w:rsidRPr="009D73E2" w:rsidRDefault="007D61FB" w:rsidP="009D73E2">
            <w:pPr>
              <w:pStyle w:val="ARtabletextright"/>
            </w:pPr>
            <w:r w:rsidRPr="009D73E2">
              <w:t>2</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5BB305A8" w14:textId="77777777" w:rsidR="007D61FB" w:rsidRPr="009D73E2" w:rsidRDefault="007D61FB" w:rsidP="009D73E2">
            <w:pPr>
              <w:pStyle w:val="ARtabletextright"/>
            </w:pPr>
            <w:r w:rsidRPr="009D73E2">
              <w:t>2</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7DECECC6" w14:textId="77777777" w:rsidR="007D61FB" w:rsidRPr="009D73E2" w:rsidRDefault="007D61FB" w:rsidP="009D73E2">
            <w:pPr>
              <w:pStyle w:val="ARtabletextright"/>
            </w:pPr>
            <w:r w:rsidRPr="009D73E2">
              <w:t>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0544539B" w14:textId="77777777" w:rsidR="007D61FB" w:rsidRPr="009D73E2" w:rsidRDefault="007D61FB" w:rsidP="009D73E2">
            <w:pPr>
              <w:pStyle w:val="ARtabletextright"/>
            </w:pPr>
            <w:r w:rsidRPr="009D73E2">
              <w:t>2</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9481589"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D6EF366" w14:textId="77777777" w:rsidR="007D61FB" w:rsidRPr="009D73E2" w:rsidRDefault="007D61FB" w:rsidP="009D73E2">
            <w:pPr>
              <w:pStyle w:val="ARtabletextright"/>
            </w:pPr>
            <w:r w:rsidRPr="009D73E2">
              <w:t>0</w:t>
            </w:r>
          </w:p>
        </w:tc>
        <w:tc>
          <w:tcPr>
            <w:tcW w:w="99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47C6699" w14:textId="77777777" w:rsidR="007D61FB" w:rsidRPr="009D73E2" w:rsidRDefault="007D61FB" w:rsidP="009D73E2">
            <w:pPr>
              <w:pStyle w:val="ARtabletextright"/>
            </w:pPr>
            <w:r w:rsidRPr="009D73E2">
              <w:t>3</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378CD8E" w14:textId="77777777" w:rsidR="007D61FB" w:rsidRPr="009D73E2" w:rsidRDefault="007D61FB" w:rsidP="009D73E2">
            <w:pPr>
              <w:pStyle w:val="ARtabletextright"/>
            </w:pPr>
            <w:r w:rsidRPr="009D73E2">
              <w:t>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6C728F7C" w14:textId="77777777" w:rsidR="007D61FB" w:rsidRPr="009D73E2" w:rsidRDefault="007D61FB" w:rsidP="009D73E2">
            <w:pPr>
              <w:pStyle w:val="ARtabletextright"/>
            </w:pPr>
            <w:r w:rsidRPr="009D73E2">
              <w:t>3</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01F76C28"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BFCE16C" w14:textId="77777777" w:rsidR="007D61FB" w:rsidRPr="009D73E2" w:rsidRDefault="007D61FB" w:rsidP="009D73E2">
            <w:pPr>
              <w:pStyle w:val="ARtabletextright"/>
            </w:pPr>
            <w:r w:rsidRPr="009D73E2">
              <w:t>3</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F60AA20" w14:textId="77777777" w:rsidR="007D61FB" w:rsidRPr="009D73E2" w:rsidRDefault="007D61FB" w:rsidP="009D73E2">
            <w:pPr>
              <w:pStyle w:val="ARtabletextright"/>
            </w:pPr>
            <w:r w:rsidRPr="009D73E2">
              <w:t>0</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3A6B7FCF" w14:textId="77777777" w:rsidR="007D61FB" w:rsidRPr="009D73E2" w:rsidRDefault="007D61FB" w:rsidP="009D73E2">
            <w:pPr>
              <w:pStyle w:val="ARtabletextright"/>
            </w:pPr>
            <w:r w:rsidRPr="009D73E2">
              <w:t>0</w:t>
            </w:r>
          </w:p>
        </w:tc>
      </w:tr>
      <w:tr w:rsidR="008B3B0C" w:rsidRPr="005E779B" w14:paraId="2F24544F" w14:textId="77777777" w:rsidTr="004C23DF">
        <w:trPr>
          <w:gridAfter w:val="1"/>
          <w:wAfter w:w="66" w:type="dxa"/>
          <w:cantSplit w:val="0"/>
        </w:trPr>
        <w:tc>
          <w:tcPr>
            <w:tcW w:w="1696" w:type="dxa"/>
            <w:tcBorders>
              <w:top w:val="single" w:sz="4" w:space="0" w:color="A6A6A6" w:themeColor="background1" w:themeShade="A6"/>
              <w:left w:val="nil"/>
              <w:bottom w:val="single" w:sz="4" w:space="0" w:color="A6A6A6" w:themeColor="background1" w:themeShade="A6"/>
              <w:right w:val="nil"/>
            </w:tcBorders>
          </w:tcPr>
          <w:p w14:paraId="75F4F153" w14:textId="77777777" w:rsidR="007D61FB" w:rsidRPr="009D73E2" w:rsidRDefault="007D61FB" w:rsidP="009D73E2">
            <w:pPr>
              <w:pStyle w:val="ARtabletext"/>
            </w:pPr>
            <w:r w:rsidRPr="009D73E2">
              <w:t>DDSO-6</w:t>
            </w:r>
          </w:p>
        </w:tc>
        <w:tc>
          <w:tcPr>
            <w:tcW w:w="825" w:type="dxa"/>
            <w:tcBorders>
              <w:top w:val="single" w:sz="4" w:space="0" w:color="A6A6A6" w:themeColor="background1" w:themeShade="A6"/>
              <w:left w:val="nil"/>
              <w:bottom w:val="single" w:sz="4" w:space="0" w:color="A6A6A6" w:themeColor="background1" w:themeShade="A6"/>
              <w:right w:val="nil"/>
            </w:tcBorders>
          </w:tcPr>
          <w:p w14:paraId="50DAECDF" w14:textId="77777777" w:rsidR="007D61FB" w:rsidRPr="009D73E2" w:rsidRDefault="007D61FB" w:rsidP="009D73E2">
            <w:pPr>
              <w:pStyle w:val="ARtabletextright"/>
            </w:pPr>
            <w:r w:rsidRPr="009D73E2">
              <w:t>0</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tcPr>
          <w:p w14:paraId="79BDFA41" w14:textId="77777777" w:rsidR="007D61FB" w:rsidRPr="009D73E2" w:rsidRDefault="007D61FB" w:rsidP="009D73E2">
            <w:pPr>
              <w:pStyle w:val="ARtabletextright"/>
            </w:pPr>
            <w:r w:rsidRPr="009D73E2">
              <w:t>0</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tcPr>
          <w:p w14:paraId="08368840" w14:textId="77777777" w:rsidR="007D61FB" w:rsidRPr="009D73E2" w:rsidRDefault="007D61FB" w:rsidP="009D73E2">
            <w:pPr>
              <w:pStyle w:val="ARtabletextright"/>
            </w:pPr>
            <w:r w:rsidRPr="009D73E2">
              <w:t>0</w:t>
            </w:r>
          </w:p>
        </w:tc>
        <w:tc>
          <w:tcPr>
            <w:tcW w:w="872" w:type="dxa"/>
            <w:tcBorders>
              <w:top w:val="single" w:sz="4" w:space="0" w:color="A6A6A6" w:themeColor="background1" w:themeShade="A6"/>
              <w:left w:val="nil"/>
              <w:bottom w:val="single" w:sz="4" w:space="0" w:color="A6A6A6" w:themeColor="background1" w:themeShade="A6"/>
              <w:right w:val="nil"/>
            </w:tcBorders>
          </w:tcPr>
          <w:p w14:paraId="2F15C3D0" w14:textId="77777777" w:rsidR="007D61FB" w:rsidRPr="009D73E2" w:rsidRDefault="007D61FB" w:rsidP="009D73E2">
            <w:pPr>
              <w:pStyle w:val="ARtabletextright"/>
            </w:pPr>
            <w:r w:rsidRPr="009D73E2">
              <w:t>0</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tcPr>
          <w:p w14:paraId="7105BDC1" w14:textId="77777777" w:rsidR="007D61FB" w:rsidRPr="009D73E2" w:rsidRDefault="007D61FB" w:rsidP="009D73E2">
            <w:pPr>
              <w:pStyle w:val="ARtabletextright"/>
            </w:pPr>
            <w:r w:rsidRPr="009D73E2">
              <w:t>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tcPr>
          <w:p w14:paraId="044D81FD"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tcPr>
          <w:p w14:paraId="2C80778A" w14:textId="77777777" w:rsidR="007D61FB" w:rsidRPr="009D73E2" w:rsidRDefault="007D61FB" w:rsidP="009D73E2">
            <w:pPr>
              <w:pStyle w:val="ARtabletextright"/>
            </w:pPr>
            <w:r w:rsidRPr="009D73E2">
              <w:t>0</w:t>
            </w:r>
          </w:p>
        </w:tc>
        <w:tc>
          <w:tcPr>
            <w:tcW w:w="99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5776BE8D" w14:textId="77777777" w:rsidR="007D61FB" w:rsidRPr="009D73E2" w:rsidRDefault="007D61FB" w:rsidP="009D73E2">
            <w:pPr>
              <w:pStyle w:val="ARtabletextright"/>
            </w:pPr>
            <w:r w:rsidRPr="009D73E2">
              <w:t>0</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17903C3" w14:textId="77777777" w:rsidR="007D61FB" w:rsidRPr="009D73E2" w:rsidRDefault="007D61FB" w:rsidP="009D73E2">
            <w:pPr>
              <w:pStyle w:val="ARtabletextright"/>
            </w:pPr>
            <w:r w:rsidRPr="009D73E2">
              <w:t>0</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A920FD5" w14:textId="77777777" w:rsidR="007D61FB" w:rsidRPr="009D73E2" w:rsidRDefault="007D61FB" w:rsidP="009D73E2">
            <w:pPr>
              <w:pStyle w:val="ARtabletextright"/>
            </w:pPr>
            <w:r w:rsidRPr="009D73E2">
              <w:t>0</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70761680" w14:textId="77777777" w:rsidR="007D61FB" w:rsidRPr="009D73E2" w:rsidRDefault="007D61FB" w:rsidP="009D73E2">
            <w:pPr>
              <w:pStyle w:val="ARtabletextright"/>
            </w:pPr>
            <w:r w:rsidRPr="009D73E2">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D4A13B6" w14:textId="77777777" w:rsidR="007D61FB" w:rsidRPr="009D73E2" w:rsidRDefault="007D61FB" w:rsidP="009D73E2">
            <w:pPr>
              <w:pStyle w:val="ARtabletextright"/>
            </w:pPr>
            <w:r w:rsidRPr="009D73E2">
              <w:t>0</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DE3223C" w14:textId="77777777" w:rsidR="007D61FB" w:rsidRPr="009D73E2" w:rsidRDefault="007D61FB" w:rsidP="009D73E2">
            <w:pPr>
              <w:pStyle w:val="ARtabletextright"/>
            </w:pPr>
            <w:r w:rsidRPr="009D73E2">
              <w:t>0</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2DA507AD" w14:textId="77777777" w:rsidR="007D61FB" w:rsidRPr="009D73E2" w:rsidRDefault="007D61FB" w:rsidP="009D73E2">
            <w:pPr>
              <w:pStyle w:val="ARtabletextright"/>
            </w:pPr>
            <w:r w:rsidRPr="009D73E2">
              <w:t>0</w:t>
            </w:r>
          </w:p>
        </w:tc>
      </w:tr>
      <w:tr w:rsidR="008B3B0C" w:rsidRPr="005E779B" w14:paraId="0F88D57A" w14:textId="77777777" w:rsidTr="004C23DF">
        <w:trPr>
          <w:gridAfter w:val="1"/>
          <w:wAfter w:w="66" w:type="dxa"/>
          <w:cantSplit w:val="0"/>
        </w:trPr>
        <w:tc>
          <w:tcPr>
            <w:tcW w:w="1696" w:type="dxa"/>
            <w:tcBorders>
              <w:top w:val="single" w:sz="4" w:space="0" w:color="A6A6A6" w:themeColor="background1" w:themeShade="A6"/>
              <w:left w:val="nil"/>
              <w:bottom w:val="single" w:sz="4" w:space="0" w:color="auto"/>
              <w:right w:val="nil"/>
            </w:tcBorders>
          </w:tcPr>
          <w:p w14:paraId="1FC33A16" w14:textId="77777777" w:rsidR="007D61FB" w:rsidRPr="009D73E2" w:rsidRDefault="007D61FB" w:rsidP="009D73E2">
            <w:pPr>
              <w:pStyle w:val="ARtabletextbold"/>
            </w:pPr>
            <w:r w:rsidRPr="005E779B">
              <w:t>Total</w:t>
            </w:r>
          </w:p>
        </w:tc>
        <w:tc>
          <w:tcPr>
            <w:tcW w:w="825" w:type="dxa"/>
            <w:tcBorders>
              <w:top w:val="single" w:sz="4" w:space="0" w:color="A6A6A6" w:themeColor="background1" w:themeShade="A6"/>
              <w:left w:val="nil"/>
              <w:bottom w:val="single" w:sz="4" w:space="0" w:color="auto"/>
              <w:right w:val="nil"/>
            </w:tcBorders>
            <w:vAlign w:val="bottom"/>
          </w:tcPr>
          <w:p w14:paraId="1F981A3D" w14:textId="77777777" w:rsidR="007D61FB" w:rsidRPr="005E779B" w:rsidRDefault="007D61FB" w:rsidP="009D73E2">
            <w:pPr>
              <w:pStyle w:val="ARtabletextrightbold"/>
            </w:pPr>
            <w:r w:rsidRPr="005E779B">
              <w:t>162</w:t>
            </w:r>
          </w:p>
        </w:tc>
        <w:tc>
          <w:tcPr>
            <w:tcW w:w="779" w:type="dxa"/>
            <w:tcBorders>
              <w:top w:val="single" w:sz="4" w:space="0" w:color="A6A6A6" w:themeColor="background1" w:themeShade="A6"/>
              <w:left w:val="nil"/>
              <w:bottom w:val="single" w:sz="4" w:space="0" w:color="auto"/>
              <w:right w:val="single" w:sz="4" w:space="0" w:color="auto"/>
            </w:tcBorders>
            <w:vAlign w:val="bottom"/>
          </w:tcPr>
          <w:p w14:paraId="29334B23" w14:textId="77777777" w:rsidR="007D61FB" w:rsidRPr="005E779B" w:rsidRDefault="007D61FB" w:rsidP="009D73E2">
            <w:pPr>
              <w:pStyle w:val="ARtabletextrightbold"/>
            </w:pPr>
            <w:r w:rsidRPr="005E779B">
              <w:t>140.4</w:t>
            </w:r>
          </w:p>
        </w:tc>
        <w:tc>
          <w:tcPr>
            <w:tcW w:w="1068" w:type="dxa"/>
            <w:tcBorders>
              <w:top w:val="single" w:sz="4" w:space="0" w:color="A6A6A6" w:themeColor="background1" w:themeShade="A6"/>
              <w:left w:val="single" w:sz="4" w:space="0" w:color="auto"/>
              <w:bottom w:val="single" w:sz="4" w:space="0" w:color="auto"/>
              <w:right w:val="nil"/>
            </w:tcBorders>
            <w:vAlign w:val="bottom"/>
          </w:tcPr>
          <w:p w14:paraId="2FD6414D" w14:textId="77777777" w:rsidR="007D61FB" w:rsidRPr="005E779B" w:rsidRDefault="007D61FB" w:rsidP="009D73E2">
            <w:pPr>
              <w:pStyle w:val="ARtabletextrightbold"/>
            </w:pPr>
            <w:r w:rsidRPr="005E779B">
              <w:t>82</w:t>
            </w:r>
          </w:p>
        </w:tc>
        <w:tc>
          <w:tcPr>
            <w:tcW w:w="872" w:type="dxa"/>
            <w:tcBorders>
              <w:top w:val="single" w:sz="4" w:space="0" w:color="A6A6A6" w:themeColor="background1" w:themeShade="A6"/>
              <w:left w:val="nil"/>
              <w:bottom w:val="single" w:sz="4" w:space="0" w:color="auto"/>
              <w:right w:val="nil"/>
            </w:tcBorders>
            <w:vAlign w:val="bottom"/>
          </w:tcPr>
          <w:p w14:paraId="4993FAAB" w14:textId="77777777" w:rsidR="007D61FB" w:rsidRPr="005E779B" w:rsidRDefault="007D61FB" w:rsidP="009D73E2">
            <w:pPr>
              <w:pStyle w:val="ARtabletextrightbold"/>
            </w:pPr>
            <w:r w:rsidRPr="005E779B">
              <w:t>19</w:t>
            </w:r>
          </w:p>
        </w:tc>
        <w:tc>
          <w:tcPr>
            <w:tcW w:w="857" w:type="dxa"/>
            <w:tcBorders>
              <w:top w:val="single" w:sz="4" w:space="0" w:color="A6A6A6" w:themeColor="background1" w:themeShade="A6"/>
              <w:left w:val="nil"/>
              <w:bottom w:val="single" w:sz="4" w:space="0" w:color="auto"/>
              <w:right w:val="single" w:sz="4" w:space="0" w:color="auto"/>
            </w:tcBorders>
            <w:vAlign w:val="bottom"/>
          </w:tcPr>
          <w:p w14:paraId="4D0447D7" w14:textId="77777777" w:rsidR="007D61FB" w:rsidRPr="005E779B" w:rsidRDefault="007D61FB" w:rsidP="009D73E2">
            <w:pPr>
              <w:pStyle w:val="ARtabletextrightbold"/>
            </w:pPr>
            <w:r w:rsidRPr="005E779B">
              <w:t>95.8</w:t>
            </w:r>
          </w:p>
        </w:tc>
        <w:tc>
          <w:tcPr>
            <w:tcW w:w="844" w:type="dxa"/>
            <w:tcBorders>
              <w:top w:val="single" w:sz="4" w:space="0" w:color="A6A6A6" w:themeColor="background1" w:themeShade="A6"/>
              <w:left w:val="single" w:sz="4" w:space="0" w:color="auto"/>
              <w:bottom w:val="single" w:sz="4" w:space="0" w:color="auto"/>
              <w:right w:val="nil"/>
            </w:tcBorders>
            <w:vAlign w:val="bottom"/>
          </w:tcPr>
          <w:p w14:paraId="3844D527" w14:textId="77777777" w:rsidR="007D61FB" w:rsidRPr="005E779B" w:rsidRDefault="007D61FB" w:rsidP="009D73E2">
            <w:pPr>
              <w:pStyle w:val="ARtabletextrightbold"/>
            </w:pPr>
            <w:r w:rsidRPr="005E779B">
              <w:t>61</w:t>
            </w:r>
          </w:p>
        </w:tc>
        <w:tc>
          <w:tcPr>
            <w:tcW w:w="851" w:type="dxa"/>
            <w:tcBorders>
              <w:top w:val="single" w:sz="4" w:space="0" w:color="A6A6A6" w:themeColor="background1" w:themeShade="A6"/>
              <w:left w:val="nil"/>
              <w:bottom w:val="single" w:sz="4" w:space="0" w:color="auto"/>
              <w:right w:val="single" w:sz="4" w:space="0" w:color="auto"/>
            </w:tcBorders>
            <w:vAlign w:val="bottom"/>
          </w:tcPr>
          <w:p w14:paraId="43B20F09" w14:textId="77777777" w:rsidR="007D61FB" w:rsidRPr="005E779B" w:rsidRDefault="007D61FB" w:rsidP="009D73E2">
            <w:pPr>
              <w:pStyle w:val="ARtabletextrightbold"/>
            </w:pPr>
            <w:r w:rsidRPr="005E779B">
              <w:t>44.7</w:t>
            </w:r>
          </w:p>
        </w:tc>
        <w:tc>
          <w:tcPr>
            <w:tcW w:w="992"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20F7AC41" w14:textId="77777777" w:rsidR="007D61FB" w:rsidRPr="005E779B" w:rsidRDefault="007D61FB" w:rsidP="009D73E2">
            <w:pPr>
              <w:pStyle w:val="ARtabletextrightbold"/>
            </w:pPr>
            <w:r w:rsidRPr="005E779B">
              <w:t>163</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5898073D" w14:textId="77777777" w:rsidR="007D61FB" w:rsidRPr="005E779B" w:rsidRDefault="007D61FB" w:rsidP="009D73E2">
            <w:pPr>
              <w:pStyle w:val="ARtabletextrightbold"/>
            </w:pPr>
            <w:r w:rsidRPr="005E779B">
              <w:t>142.3</w:t>
            </w:r>
          </w:p>
        </w:tc>
        <w:tc>
          <w:tcPr>
            <w:tcW w:w="984"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5B5A8FE4" w14:textId="77777777" w:rsidR="007D61FB" w:rsidRPr="005E779B" w:rsidRDefault="007D61FB" w:rsidP="009D73E2">
            <w:pPr>
              <w:pStyle w:val="ARtabletextrightbold"/>
            </w:pPr>
            <w:r w:rsidRPr="005E779B">
              <w:t>98</w:t>
            </w:r>
          </w:p>
        </w:tc>
        <w:tc>
          <w:tcPr>
            <w:tcW w:w="944" w:type="dxa"/>
            <w:tcBorders>
              <w:top w:val="single" w:sz="4" w:space="0" w:color="A6A6A6" w:themeColor="background1" w:themeShade="A6"/>
              <w:left w:val="nil"/>
              <w:bottom w:val="single" w:sz="4" w:space="0" w:color="auto"/>
              <w:right w:val="nil"/>
            </w:tcBorders>
            <w:shd w:val="clear" w:color="auto" w:fill="E7E6E6" w:themeFill="accent4"/>
          </w:tcPr>
          <w:p w14:paraId="3C4F0AC6" w14:textId="77777777" w:rsidR="007D61FB" w:rsidRPr="005E779B" w:rsidRDefault="007D61FB" w:rsidP="009D73E2">
            <w:pPr>
              <w:pStyle w:val="ARtabletextrightbold"/>
            </w:pPr>
            <w:r w:rsidRPr="005E779B">
              <w:t>18</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3F5D2BD1" w14:textId="77777777" w:rsidR="007D61FB" w:rsidRPr="005E779B" w:rsidRDefault="007D61FB" w:rsidP="009D73E2">
            <w:pPr>
              <w:pStyle w:val="ARtabletextrightbold"/>
            </w:pPr>
            <w:r w:rsidRPr="005E779B">
              <w:t>109.1</w:t>
            </w:r>
          </w:p>
        </w:tc>
        <w:tc>
          <w:tcPr>
            <w:tcW w:w="806" w:type="dxa"/>
            <w:tcBorders>
              <w:top w:val="single" w:sz="4" w:space="0" w:color="A6A6A6" w:themeColor="background1" w:themeShade="A6"/>
              <w:left w:val="single" w:sz="4" w:space="0" w:color="auto"/>
              <w:bottom w:val="single" w:sz="4" w:space="0" w:color="auto"/>
              <w:right w:val="nil"/>
            </w:tcBorders>
            <w:shd w:val="clear" w:color="auto" w:fill="E7E6E6" w:themeFill="accent4"/>
          </w:tcPr>
          <w:p w14:paraId="7466BB40" w14:textId="77777777" w:rsidR="007D61FB" w:rsidRPr="005E779B" w:rsidRDefault="007D61FB" w:rsidP="009D73E2">
            <w:pPr>
              <w:pStyle w:val="ARtabletextrightbold"/>
            </w:pPr>
            <w:r w:rsidRPr="005E779B">
              <w:t>47</w:t>
            </w:r>
          </w:p>
        </w:tc>
        <w:tc>
          <w:tcPr>
            <w:tcW w:w="797" w:type="dxa"/>
            <w:tcBorders>
              <w:top w:val="single" w:sz="4" w:space="0" w:color="A6A6A6" w:themeColor="background1" w:themeShade="A6"/>
              <w:left w:val="nil"/>
              <w:bottom w:val="single" w:sz="4" w:space="0" w:color="auto"/>
            </w:tcBorders>
            <w:shd w:val="clear" w:color="auto" w:fill="E7E6E6" w:themeFill="accent4"/>
          </w:tcPr>
          <w:p w14:paraId="242A8DA6" w14:textId="77777777" w:rsidR="007D61FB" w:rsidRPr="005E779B" w:rsidRDefault="007D61FB" w:rsidP="009D73E2">
            <w:pPr>
              <w:pStyle w:val="ARtabletextrightbold"/>
            </w:pPr>
            <w:r w:rsidRPr="005E779B">
              <w:t>32.2</w:t>
            </w:r>
          </w:p>
        </w:tc>
      </w:tr>
      <w:tr w:rsidR="007D61FB" w:rsidRPr="005E779B" w14:paraId="308CF939" w14:textId="77777777" w:rsidTr="004C23DF">
        <w:trPr>
          <w:cantSplit w:val="0"/>
        </w:trPr>
        <w:tc>
          <w:tcPr>
            <w:tcW w:w="13997" w:type="dxa"/>
            <w:gridSpan w:val="16"/>
            <w:tcBorders>
              <w:top w:val="single" w:sz="4" w:space="0" w:color="auto"/>
              <w:bottom w:val="single" w:sz="4" w:space="0" w:color="A6A6A6" w:themeColor="background1" w:themeShade="A6"/>
            </w:tcBorders>
            <w:shd w:val="clear" w:color="auto" w:fill="auto"/>
          </w:tcPr>
          <w:p w14:paraId="0F725754" w14:textId="13BE3B1F" w:rsidR="007D61FB" w:rsidRPr="005E779B" w:rsidRDefault="007D61FB" w:rsidP="009D73E2">
            <w:pPr>
              <w:pStyle w:val="ARtablebluebold"/>
              <w:rPr>
                <w:bCs/>
              </w:rPr>
            </w:pPr>
            <w:r w:rsidRPr="005E779B">
              <w:t>Housing Services</w:t>
            </w:r>
          </w:p>
        </w:tc>
      </w:tr>
      <w:tr w:rsidR="008B3B0C" w:rsidRPr="005E779B" w14:paraId="2E98F09A"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2B41D307" w14:textId="77777777" w:rsidR="007D61FB" w:rsidRPr="009D73E2" w:rsidRDefault="007D61FB" w:rsidP="009D73E2">
            <w:pPr>
              <w:pStyle w:val="ARtabletext"/>
            </w:pPr>
            <w:r w:rsidRPr="009D73E2">
              <w:t>HCSOQ1</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17498CC9" w14:textId="77777777" w:rsidR="007D61FB" w:rsidRPr="005E779B" w:rsidRDefault="007D61FB" w:rsidP="009D73E2">
            <w:pPr>
              <w:pStyle w:val="ARtabletextright"/>
            </w:pPr>
            <w:r w:rsidRPr="005E779B">
              <w:t>29</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7BAABB4E" w14:textId="77777777" w:rsidR="007D61FB" w:rsidRPr="005E779B" w:rsidRDefault="007D61FB" w:rsidP="009D73E2">
            <w:pPr>
              <w:pStyle w:val="ARtabletextright"/>
            </w:pPr>
            <w:r w:rsidRPr="005E779B">
              <w:t>24.6</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5FE099B1" w14:textId="77777777" w:rsidR="007D61FB" w:rsidRPr="005E779B" w:rsidRDefault="007D61FB" w:rsidP="009D73E2">
            <w:pPr>
              <w:pStyle w:val="ARtabletextright"/>
            </w:pPr>
            <w:r w:rsidRPr="005E779B">
              <w:t>10</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46750CF8" w14:textId="77777777" w:rsidR="007D61FB" w:rsidRPr="005E779B" w:rsidRDefault="007D61FB" w:rsidP="009D73E2">
            <w:pPr>
              <w:pStyle w:val="ARtabletextright"/>
            </w:pPr>
            <w:r w:rsidRPr="005E779B">
              <w:t>15</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37F4EA1" w14:textId="77777777" w:rsidR="007D61FB" w:rsidRPr="005E779B" w:rsidRDefault="007D61FB" w:rsidP="009D73E2">
            <w:pPr>
              <w:pStyle w:val="ARtabletextright"/>
            </w:pPr>
            <w:r w:rsidRPr="005E779B">
              <w:t>20.8</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15F82360" w14:textId="77777777" w:rsidR="007D61FB" w:rsidRPr="005E779B" w:rsidRDefault="007D61FB" w:rsidP="009D73E2">
            <w:pPr>
              <w:pStyle w:val="ARtabletextright"/>
            </w:pPr>
            <w:r w:rsidRPr="005E779B">
              <w:t>4</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B71C5C8" w14:textId="77777777" w:rsidR="007D61FB" w:rsidRPr="005E779B" w:rsidRDefault="007D61FB" w:rsidP="009D73E2">
            <w:pPr>
              <w:pStyle w:val="ARtabletextright"/>
            </w:pPr>
            <w:r w:rsidRPr="005E779B">
              <w:t>3.8</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06BD746F" w14:textId="77777777" w:rsidR="007D61FB" w:rsidRPr="005E779B" w:rsidRDefault="007D61FB" w:rsidP="009D73E2">
            <w:pPr>
              <w:pStyle w:val="ARtabletextright"/>
            </w:pPr>
            <w:r w:rsidRPr="005E779B">
              <w:t>28</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2D2873A8" w14:textId="77777777" w:rsidR="007D61FB" w:rsidRPr="005E779B" w:rsidRDefault="007D61FB" w:rsidP="009D73E2">
            <w:pPr>
              <w:pStyle w:val="ARtabletextright"/>
            </w:pPr>
            <w:r w:rsidRPr="005E779B">
              <w:t>23.3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03E9C9C1" w14:textId="77777777" w:rsidR="007D61FB" w:rsidRPr="005E779B" w:rsidRDefault="007D61FB" w:rsidP="009D73E2">
            <w:pPr>
              <w:pStyle w:val="ARtabletextright"/>
            </w:pPr>
            <w:r w:rsidRPr="005E779B">
              <w:t>8</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3AED9CCC" w14:textId="77777777" w:rsidR="007D61FB" w:rsidRPr="005E779B" w:rsidRDefault="007D61FB" w:rsidP="009D73E2">
            <w:pPr>
              <w:pStyle w:val="ARtabletextright"/>
            </w:pPr>
            <w:r w:rsidRPr="005E779B">
              <w:t>18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48A513FA" w14:textId="77777777" w:rsidR="007D61FB" w:rsidRPr="005E779B" w:rsidRDefault="007D61FB" w:rsidP="009D73E2">
            <w:pPr>
              <w:pStyle w:val="ARtabletextright"/>
            </w:pPr>
            <w:r w:rsidRPr="005E779B">
              <w:t>21.3</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FFC3DCD" w14:textId="77777777" w:rsidR="007D61FB" w:rsidRPr="005E779B" w:rsidRDefault="007D61FB" w:rsidP="009D73E2">
            <w:pPr>
              <w:pStyle w:val="ARtabletextright"/>
            </w:pPr>
            <w:r w:rsidRPr="005E779B">
              <w:t>2</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0ADBD577" w14:textId="77777777" w:rsidR="007D61FB" w:rsidRPr="005E779B" w:rsidRDefault="007D61FB" w:rsidP="009D73E2">
            <w:pPr>
              <w:pStyle w:val="ARtabletextright"/>
            </w:pPr>
            <w:r w:rsidRPr="005E779B">
              <w:t>2</w:t>
            </w:r>
          </w:p>
        </w:tc>
      </w:tr>
      <w:tr w:rsidR="008B3B0C" w:rsidRPr="005E779B" w14:paraId="7196640E"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3C530A87" w14:textId="77777777" w:rsidR="007D61FB" w:rsidRPr="009D73E2" w:rsidRDefault="007D61FB" w:rsidP="009D73E2">
            <w:pPr>
              <w:pStyle w:val="ARtabletext"/>
            </w:pPr>
            <w:r w:rsidRPr="009D73E2">
              <w:t>HCSOQ2</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58C7BAED" w14:textId="77777777" w:rsidR="007D61FB" w:rsidRPr="005E779B" w:rsidRDefault="007D61FB" w:rsidP="009D73E2">
            <w:pPr>
              <w:pStyle w:val="ARtabletextright"/>
            </w:pPr>
            <w:r w:rsidRPr="005E779B">
              <w:t>17</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015B06CB" w14:textId="77777777" w:rsidR="007D61FB" w:rsidRPr="005E779B" w:rsidRDefault="007D61FB" w:rsidP="009D73E2">
            <w:pPr>
              <w:pStyle w:val="ARtabletextright"/>
            </w:pPr>
            <w:r w:rsidRPr="005E779B">
              <w:t>16.0</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1C20546B" w14:textId="77777777" w:rsidR="007D61FB" w:rsidRPr="005E779B" w:rsidRDefault="007D61FB" w:rsidP="009D73E2">
            <w:pPr>
              <w:pStyle w:val="ARtabletextright"/>
            </w:pPr>
            <w:r w:rsidRPr="005E779B">
              <w:t>9</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1F5348F8" w14:textId="77777777" w:rsidR="007D61FB" w:rsidRPr="005E779B" w:rsidRDefault="007D61FB" w:rsidP="009D73E2">
            <w:pPr>
              <w:pStyle w:val="ARtabletextright"/>
            </w:pPr>
            <w:r w:rsidRPr="005E779B">
              <w:t>1</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92304A2" w14:textId="77777777" w:rsidR="007D61FB" w:rsidRPr="005E779B" w:rsidRDefault="007D61FB" w:rsidP="009D73E2">
            <w:pPr>
              <w:pStyle w:val="ARtabletextright"/>
            </w:pPr>
            <w:r w:rsidRPr="005E779B">
              <w:t>9.0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F759554" w14:textId="77777777" w:rsidR="007D61FB" w:rsidRPr="005E779B" w:rsidRDefault="007D61FB" w:rsidP="009D73E2">
            <w:pPr>
              <w:pStyle w:val="ARtabletextright"/>
            </w:pPr>
            <w:r w:rsidRPr="005E779B">
              <w:t>7</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CEE8AD6" w14:textId="77777777" w:rsidR="007D61FB" w:rsidRPr="005E779B" w:rsidRDefault="007D61FB" w:rsidP="009D73E2">
            <w:pPr>
              <w:pStyle w:val="ARtabletextright"/>
            </w:pPr>
            <w:r w:rsidRPr="005E779B">
              <w:t>7.0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76510CFB" w14:textId="77777777" w:rsidR="007D61FB" w:rsidRPr="005E779B" w:rsidRDefault="007D61FB" w:rsidP="009D73E2">
            <w:pPr>
              <w:pStyle w:val="ARtabletextright"/>
            </w:pPr>
            <w:r w:rsidRPr="005E779B">
              <w:t>10</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E6BDFD6" w14:textId="77777777" w:rsidR="007D61FB" w:rsidRPr="005E779B" w:rsidRDefault="007D61FB" w:rsidP="009D73E2">
            <w:pPr>
              <w:pStyle w:val="ARtabletextright"/>
            </w:pPr>
            <w:r w:rsidRPr="005E779B">
              <w:t>9.6</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B76E8E3" w14:textId="77777777" w:rsidR="007D61FB" w:rsidRPr="005E779B" w:rsidRDefault="007D61FB" w:rsidP="009D73E2">
            <w:pPr>
              <w:pStyle w:val="ARtabletextright"/>
            </w:pPr>
            <w:r w:rsidRPr="005E779B">
              <w:t>5</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0BD125A2" w14:textId="77777777" w:rsidR="007D61FB" w:rsidRPr="005E779B" w:rsidRDefault="007D61FB" w:rsidP="009D73E2">
            <w:pPr>
              <w:pStyle w:val="ARtabletextright"/>
            </w:pPr>
            <w:r w:rsidRPr="005E779B">
              <w:t>1</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19D712B" w14:textId="77777777" w:rsidR="007D61FB" w:rsidRPr="005E779B" w:rsidRDefault="007D61FB" w:rsidP="009D73E2">
            <w:pPr>
              <w:pStyle w:val="ARtabletextright"/>
            </w:pPr>
            <w:r w:rsidRPr="005E779B">
              <w:t>5.6</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400B7D1A" w14:textId="77777777" w:rsidR="007D61FB" w:rsidRPr="005E779B" w:rsidRDefault="007D61FB" w:rsidP="009D73E2">
            <w:pPr>
              <w:pStyle w:val="ARtabletextright"/>
            </w:pPr>
            <w:r w:rsidRPr="005E779B">
              <w:t>4</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13CB194D" w14:textId="77777777" w:rsidR="007D61FB" w:rsidRPr="005E779B" w:rsidRDefault="007D61FB" w:rsidP="009D73E2">
            <w:pPr>
              <w:pStyle w:val="ARtabletextright"/>
            </w:pPr>
            <w:r w:rsidRPr="005E779B">
              <w:t>4</w:t>
            </w:r>
          </w:p>
        </w:tc>
      </w:tr>
      <w:tr w:rsidR="008B3B0C" w:rsidRPr="005E779B" w14:paraId="0140DEE1"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3189590F" w14:textId="77777777" w:rsidR="007D61FB" w:rsidRPr="009D73E2" w:rsidRDefault="007D61FB" w:rsidP="009D73E2">
            <w:pPr>
              <w:pStyle w:val="ARtabletext"/>
            </w:pPr>
            <w:r w:rsidRPr="009D73E2">
              <w:t>HCSOQU</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7D2A648B" w14:textId="77777777" w:rsidR="007D61FB" w:rsidRPr="005E779B" w:rsidRDefault="007D61FB" w:rsidP="009D73E2">
            <w:pPr>
              <w:pStyle w:val="ARtabletextright"/>
            </w:pPr>
            <w:r w:rsidRPr="005E779B">
              <w:t>66</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5E602F5E" w14:textId="77777777" w:rsidR="007D61FB" w:rsidRPr="005E779B" w:rsidRDefault="007D61FB" w:rsidP="009D73E2">
            <w:pPr>
              <w:pStyle w:val="ARtabletextright"/>
            </w:pPr>
            <w:r w:rsidRPr="005E779B">
              <w:t>48.8</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B060131" w14:textId="77777777" w:rsidR="007D61FB" w:rsidRPr="005E779B" w:rsidRDefault="007D61FB" w:rsidP="009D73E2">
            <w:pPr>
              <w:pStyle w:val="ARtabletextright"/>
            </w:pPr>
            <w:r w:rsidRPr="005E779B">
              <w:t>20</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206878B0" w14:textId="77777777" w:rsidR="007D61FB" w:rsidRPr="005E779B" w:rsidRDefault="007D61FB" w:rsidP="009D73E2">
            <w:pPr>
              <w:pStyle w:val="ARtabletextright"/>
            </w:pPr>
            <w:r w:rsidRPr="005E779B">
              <w:t>13</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2EAC124" w14:textId="77777777" w:rsidR="007D61FB" w:rsidRPr="005E779B" w:rsidRDefault="007D61FB" w:rsidP="009D73E2">
            <w:pPr>
              <w:pStyle w:val="ARtabletextright"/>
            </w:pPr>
            <w:r w:rsidRPr="005E779B">
              <w:t>29.8</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63006DAC" w14:textId="77777777" w:rsidR="007D61FB" w:rsidRPr="005E779B" w:rsidRDefault="007D61FB" w:rsidP="009D73E2">
            <w:pPr>
              <w:pStyle w:val="ARtabletextright"/>
            </w:pPr>
            <w:r w:rsidRPr="005E779B">
              <w:t>33</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27C5965" w14:textId="77777777" w:rsidR="007D61FB" w:rsidRPr="005E779B" w:rsidRDefault="007D61FB" w:rsidP="009D73E2">
            <w:pPr>
              <w:pStyle w:val="ARtabletextright"/>
            </w:pPr>
            <w:r w:rsidRPr="005E779B">
              <w:t>18.9</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77E3F7A" w14:textId="77777777" w:rsidR="007D61FB" w:rsidRPr="005E779B" w:rsidRDefault="007D61FB" w:rsidP="009D73E2">
            <w:pPr>
              <w:pStyle w:val="ARtabletextright"/>
            </w:pPr>
            <w:r w:rsidRPr="005E779B">
              <w:t>47</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155DF3E" w14:textId="77777777" w:rsidR="007D61FB" w:rsidRPr="005E779B" w:rsidRDefault="007D61FB" w:rsidP="009D73E2">
            <w:pPr>
              <w:pStyle w:val="ARtabletextright"/>
            </w:pPr>
            <w:r w:rsidRPr="005E779B">
              <w:t>43</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36624902" w14:textId="77777777" w:rsidR="007D61FB" w:rsidRPr="005E779B" w:rsidRDefault="007D61FB" w:rsidP="009D73E2">
            <w:pPr>
              <w:pStyle w:val="ARtabletextright"/>
            </w:pPr>
            <w:r w:rsidRPr="005E779B">
              <w:t>14</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73979263" w14:textId="77777777" w:rsidR="007D61FB" w:rsidRPr="005E779B" w:rsidRDefault="007D61FB" w:rsidP="009D73E2">
            <w:pPr>
              <w:pStyle w:val="ARtabletextright"/>
            </w:pPr>
            <w:r w:rsidRPr="005E779B">
              <w:t>5</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18D7D6CE" w14:textId="77777777" w:rsidR="007D61FB" w:rsidRPr="005E779B" w:rsidRDefault="007D61FB" w:rsidP="009D73E2">
            <w:pPr>
              <w:pStyle w:val="ARtabletextright"/>
            </w:pPr>
            <w:r w:rsidRPr="005E779B">
              <w:t>17.4</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2B58539C" w14:textId="77777777" w:rsidR="007D61FB" w:rsidRPr="005E779B" w:rsidRDefault="007D61FB" w:rsidP="009D73E2">
            <w:pPr>
              <w:pStyle w:val="ARtabletextright"/>
            </w:pPr>
            <w:r w:rsidRPr="005E779B">
              <w:t>28</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768C590A" w14:textId="77777777" w:rsidR="007D61FB" w:rsidRPr="005E779B" w:rsidRDefault="007D61FB" w:rsidP="009D73E2">
            <w:pPr>
              <w:pStyle w:val="ARtabletextright"/>
            </w:pPr>
            <w:r w:rsidRPr="005E779B">
              <w:t>25.7</w:t>
            </w:r>
          </w:p>
        </w:tc>
      </w:tr>
      <w:tr w:rsidR="008B3B0C" w:rsidRPr="005E779B" w14:paraId="03CA2CEC"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30B31629" w14:textId="77777777" w:rsidR="007D61FB" w:rsidRPr="009D73E2" w:rsidRDefault="007D61FB" w:rsidP="009D73E2">
            <w:pPr>
              <w:pStyle w:val="ARtabletext"/>
            </w:pPr>
            <w:r w:rsidRPr="009D73E2">
              <w:t>HSO-1</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6165F41E" w14:textId="77777777" w:rsidR="007D61FB" w:rsidRPr="005E779B" w:rsidRDefault="007D61FB" w:rsidP="009D73E2">
            <w:pPr>
              <w:pStyle w:val="ARtabletextright"/>
            </w:pPr>
            <w:r w:rsidRPr="005E779B">
              <w:t>9</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F530458" w14:textId="77777777" w:rsidR="007D61FB" w:rsidRPr="005E779B" w:rsidRDefault="007D61FB" w:rsidP="009D73E2">
            <w:pPr>
              <w:pStyle w:val="ARtabletextright"/>
            </w:pPr>
            <w:r w:rsidRPr="005E779B">
              <w:t>8.0</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4EDA733E" w14:textId="77777777" w:rsidR="007D61FB" w:rsidRPr="005E779B" w:rsidRDefault="007D61FB" w:rsidP="009D73E2">
            <w:pPr>
              <w:pStyle w:val="ARtabletextright"/>
            </w:pPr>
            <w:r w:rsidRPr="005E779B">
              <w:t>1</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2D83F21C" w14:textId="77777777" w:rsidR="007D61FB" w:rsidRPr="005E779B" w:rsidRDefault="007D61FB" w:rsidP="009D73E2">
            <w:pPr>
              <w:pStyle w:val="ARtabletextright"/>
            </w:pPr>
            <w:r w:rsidRPr="005E779B">
              <w:t>2</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39EBD4D2" w14:textId="77777777" w:rsidR="007D61FB" w:rsidRPr="005E779B" w:rsidRDefault="007D61FB" w:rsidP="009D73E2">
            <w:pPr>
              <w:pStyle w:val="ARtabletextright"/>
            </w:pPr>
            <w:r w:rsidRPr="005E779B">
              <w:t>2.0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7503C0E" w14:textId="77777777" w:rsidR="007D61FB" w:rsidRPr="005E779B" w:rsidRDefault="007D61FB" w:rsidP="009D73E2">
            <w:pPr>
              <w:pStyle w:val="ARtabletextright"/>
            </w:pPr>
            <w:r w:rsidRPr="005E779B">
              <w:t>6</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4C1CAEAA" w14:textId="77777777" w:rsidR="007D61FB" w:rsidRPr="005E779B" w:rsidRDefault="007D61FB" w:rsidP="009D73E2">
            <w:pPr>
              <w:pStyle w:val="ARtabletextright"/>
            </w:pPr>
            <w:r w:rsidRPr="005E779B">
              <w:t>6.0</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036597D6" w14:textId="77777777" w:rsidR="007D61FB" w:rsidRPr="005E779B" w:rsidRDefault="007D61FB" w:rsidP="009D73E2">
            <w:pPr>
              <w:pStyle w:val="ARtabletextright"/>
            </w:pPr>
            <w:r w:rsidRPr="005E779B">
              <w:t>3</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B7EABAE" w14:textId="77777777" w:rsidR="007D61FB" w:rsidRPr="005E779B" w:rsidRDefault="007D61FB" w:rsidP="009D73E2">
            <w:pPr>
              <w:pStyle w:val="ARtabletextright"/>
            </w:pPr>
            <w:r w:rsidRPr="005E779B">
              <w:t>2.8</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758D223A" w14:textId="77777777" w:rsidR="007D61FB" w:rsidRPr="005E779B" w:rsidRDefault="007D61FB" w:rsidP="009D73E2">
            <w:pPr>
              <w:pStyle w:val="ARtabletextright"/>
            </w:pPr>
            <w:r w:rsidRPr="005E779B">
              <w:t>1</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4266FA30" w14:textId="77777777" w:rsidR="007D61FB" w:rsidRPr="005E779B" w:rsidRDefault="007D61FB" w:rsidP="009D73E2">
            <w:pPr>
              <w:pStyle w:val="ARtabletextright"/>
            </w:pPr>
            <w:r w:rsidRPr="005E779B">
              <w:t>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0398EBAB" w14:textId="77777777" w:rsidR="007D61FB" w:rsidRPr="005E779B" w:rsidRDefault="007D61FB" w:rsidP="009D73E2">
            <w:pPr>
              <w:pStyle w:val="ARtabletextright"/>
            </w:pPr>
            <w:r w:rsidRPr="005E779B">
              <w:t>1</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1C95A5A3" w14:textId="77777777" w:rsidR="007D61FB" w:rsidRPr="005E779B" w:rsidRDefault="007D61FB" w:rsidP="009D73E2">
            <w:pPr>
              <w:pStyle w:val="ARtabletextright"/>
            </w:pPr>
            <w:r w:rsidRPr="005E779B">
              <w:t>2</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34001FA1" w14:textId="77777777" w:rsidR="007D61FB" w:rsidRPr="005E779B" w:rsidRDefault="007D61FB" w:rsidP="009D73E2">
            <w:pPr>
              <w:pStyle w:val="ARtabletextright"/>
            </w:pPr>
            <w:r w:rsidRPr="005E779B">
              <w:t>1.8</w:t>
            </w:r>
          </w:p>
        </w:tc>
      </w:tr>
      <w:tr w:rsidR="008B3B0C" w:rsidRPr="005E779B" w14:paraId="5FE10611" w14:textId="77777777" w:rsidTr="004C23DF">
        <w:trPr>
          <w:gridAfter w:val="1"/>
          <w:wAfter w:w="66" w:type="dxa"/>
          <w:cantSplit w:val="0"/>
        </w:trPr>
        <w:tc>
          <w:tcPr>
            <w:tcW w:w="1696" w:type="dxa"/>
            <w:tcBorders>
              <w:top w:val="single" w:sz="4" w:space="0" w:color="A6A6A6" w:themeColor="background1" w:themeShade="A6"/>
              <w:bottom w:val="single" w:sz="4" w:space="0" w:color="A6A6A6" w:themeColor="background1" w:themeShade="A6"/>
              <w:right w:val="nil"/>
            </w:tcBorders>
          </w:tcPr>
          <w:p w14:paraId="7E2A0D82" w14:textId="77777777" w:rsidR="007D61FB" w:rsidRPr="009D73E2" w:rsidRDefault="007D61FB" w:rsidP="009D73E2">
            <w:pPr>
              <w:pStyle w:val="ARtabletext"/>
            </w:pPr>
            <w:r w:rsidRPr="009D73E2">
              <w:t>HSO-2</w:t>
            </w:r>
          </w:p>
        </w:tc>
        <w:tc>
          <w:tcPr>
            <w:tcW w:w="825" w:type="dxa"/>
            <w:tcBorders>
              <w:top w:val="single" w:sz="4" w:space="0" w:color="A6A6A6" w:themeColor="background1" w:themeShade="A6"/>
              <w:left w:val="nil"/>
              <w:bottom w:val="single" w:sz="4" w:space="0" w:color="A6A6A6" w:themeColor="background1" w:themeShade="A6"/>
              <w:right w:val="nil"/>
            </w:tcBorders>
            <w:vAlign w:val="bottom"/>
          </w:tcPr>
          <w:p w14:paraId="2E5521C6" w14:textId="77777777" w:rsidR="007D61FB" w:rsidRPr="005E779B" w:rsidRDefault="007D61FB" w:rsidP="009D73E2">
            <w:pPr>
              <w:pStyle w:val="ARtabletextright"/>
            </w:pPr>
            <w:r w:rsidRPr="005E779B">
              <w:t>396</w:t>
            </w:r>
          </w:p>
        </w:tc>
        <w:tc>
          <w:tcPr>
            <w:tcW w:w="779"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12FD71FD" w14:textId="77777777" w:rsidR="007D61FB" w:rsidRPr="005E779B" w:rsidRDefault="007D61FB" w:rsidP="009D73E2">
            <w:pPr>
              <w:pStyle w:val="ARtabletextright"/>
            </w:pPr>
            <w:r w:rsidRPr="005E779B">
              <w:t>379.3</w:t>
            </w:r>
          </w:p>
        </w:tc>
        <w:tc>
          <w:tcPr>
            <w:tcW w:w="1068"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200AAE36" w14:textId="77777777" w:rsidR="007D61FB" w:rsidRPr="005E779B" w:rsidRDefault="007D61FB" w:rsidP="009D73E2">
            <w:pPr>
              <w:pStyle w:val="ARtabletextright"/>
            </w:pPr>
            <w:r w:rsidRPr="005E779B">
              <w:t>299</w:t>
            </w:r>
          </w:p>
        </w:tc>
        <w:tc>
          <w:tcPr>
            <w:tcW w:w="872" w:type="dxa"/>
            <w:tcBorders>
              <w:top w:val="single" w:sz="4" w:space="0" w:color="A6A6A6" w:themeColor="background1" w:themeShade="A6"/>
              <w:left w:val="nil"/>
              <w:bottom w:val="single" w:sz="4" w:space="0" w:color="A6A6A6" w:themeColor="background1" w:themeShade="A6"/>
              <w:right w:val="nil"/>
            </w:tcBorders>
            <w:vAlign w:val="bottom"/>
          </w:tcPr>
          <w:p w14:paraId="54CA030A" w14:textId="77777777" w:rsidR="007D61FB" w:rsidRPr="005E779B" w:rsidRDefault="007D61FB" w:rsidP="009D73E2">
            <w:pPr>
              <w:pStyle w:val="ARtabletextright"/>
            </w:pPr>
            <w:r w:rsidRPr="005E779B">
              <w:t>47</w:t>
            </w:r>
          </w:p>
        </w:tc>
        <w:tc>
          <w:tcPr>
            <w:tcW w:w="857"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64E38407" w14:textId="77777777" w:rsidR="007D61FB" w:rsidRPr="005E779B" w:rsidRDefault="007D61FB" w:rsidP="009D73E2">
            <w:pPr>
              <w:pStyle w:val="ARtabletextright"/>
            </w:pPr>
            <w:r w:rsidRPr="005E779B">
              <w:t>331.0</w:t>
            </w:r>
          </w:p>
        </w:tc>
        <w:tc>
          <w:tcPr>
            <w:tcW w:w="844" w:type="dxa"/>
            <w:tcBorders>
              <w:top w:val="single" w:sz="4" w:space="0" w:color="A6A6A6" w:themeColor="background1" w:themeShade="A6"/>
              <w:left w:val="single" w:sz="4" w:space="0" w:color="auto"/>
              <w:bottom w:val="single" w:sz="4" w:space="0" w:color="A6A6A6" w:themeColor="background1" w:themeShade="A6"/>
              <w:right w:val="nil"/>
            </w:tcBorders>
            <w:vAlign w:val="bottom"/>
          </w:tcPr>
          <w:p w14:paraId="074CE1E1" w14:textId="77777777" w:rsidR="007D61FB" w:rsidRPr="005E779B" w:rsidRDefault="007D61FB" w:rsidP="009D73E2">
            <w:pPr>
              <w:pStyle w:val="ARtabletextright"/>
            </w:pPr>
            <w:r w:rsidRPr="005E779B">
              <w:t>50</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vAlign w:val="bottom"/>
          </w:tcPr>
          <w:p w14:paraId="2B822658" w14:textId="77777777" w:rsidR="007D61FB" w:rsidRPr="005E779B" w:rsidRDefault="007D61FB" w:rsidP="009D73E2">
            <w:pPr>
              <w:pStyle w:val="ARtabletextright"/>
            </w:pPr>
            <w:r w:rsidRPr="005E779B">
              <w:t>48.3</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3B05BAE3" w14:textId="77777777" w:rsidR="007D61FB" w:rsidRPr="005E779B" w:rsidRDefault="007D61FB" w:rsidP="009D73E2">
            <w:pPr>
              <w:pStyle w:val="ARtabletextright"/>
            </w:pPr>
            <w:r w:rsidRPr="005E779B">
              <w:t>376</w:t>
            </w:r>
          </w:p>
        </w:tc>
        <w:tc>
          <w:tcPr>
            <w:tcW w:w="765"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65DF63CA" w14:textId="77777777" w:rsidR="007D61FB" w:rsidRPr="005E779B" w:rsidRDefault="007D61FB" w:rsidP="009D73E2">
            <w:pPr>
              <w:pStyle w:val="ARtabletextright"/>
            </w:pPr>
            <w:r w:rsidRPr="005E779B">
              <w:t>356</w:t>
            </w:r>
          </w:p>
        </w:tc>
        <w:tc>
          <w:tcPr>
            <w:tcW w:w="984"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4604279B" w14:textId="77777777" w:rsidR="007D61FB" w:rsidRPr="005E779B" w:rsidRDefault="007D61FB" w:rsidP="009D73E2">
            <w:pPr>
              <w:pStyle w:val="ARtabletextright"/>
            </w:pPr>
            <w:r w:rsidRPr="005E779B">
              <w:t>252</w:t>
            </w:r>
          </w:p>
        </w:tc>
        <w:tc>
          <w:tcPr>
            <w:tcW w:w="944" w:type="dxa"/>
            <w:tcBorders>
              <w:top w:val="single" w:sz="4" w:space="0" w:color="A6A6A6" w:themeColor="background1" w:themeShade="A6"/>
              <w:left w:val="nil"/>
              <w:bottom w:val="single" w:sz="4" w:space="0" w:color="A6A6A6" w:themeColor="background1" w:themeShade="A6"/>
              <w:right w:val="nil"/>
            </w:tcBorders>
            <w:shd w:val="clear" w:color="auto" w:fill="E7E6E6" w:themeFill="accent4"/>
          </w:tcPr>
          <w:p w14:paraId="28703C61" w14:textId="77777777" w:rsidR="007D61FB" w:rsidRPr="005E779B" w:rsidRDefault="007D61FB" w:rsidP="009D73E2">
            <w:pPr>
              <w:pStyle w:val="ARtabletextright"/>
            </w:pPr>
            <w:r w:rsidRPr="005E779B">
              <w:t>48</w:t>
            </w:r>
          </w:p>
        </w:tc>
        <w:tc>
          <w:tcPr>
            <w:tcW w:w="851"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7E6E6" w:themeFill="accent4"/>
          </w:tcPr>
          <w:p w14:paraId="74C90B42" w14:textId="77777777" w:rsidR="007D61FB" w:rsidRPr="005E779B" w:rsidRDefault="007D61FB" w:rsidP="009D73E2">
            <w:pPr>
              <w:pStyle w:val="ARtabletextright"/>
            </w:pPr>
            <w:r w:rsidRPr="005E779B">
              <w:t>283.8</w:t>
            </w:r>
          </w:p>
        </w:tc>
        <w:tc>
          <w:tcPr>
            <w:tcW w:w="806"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7E6E6" w:themeFill="accent4"/>
          </w:tcPr>
          <w:p w14:paraId="5FC1E1C1" w14:textId="77777777" w:rsidR="007D61FB" w:rsidRPr="005E779B" w:rsidRDefault="007D61FB" w:rsidP="009D73E2">
            <w:pPr>
              <w:pStyle w:val="ARtabletextright"/>
            </w:pPr>
            <w:r w:rsidRPr="005E779B">
              <w:t>76</w:t>
            </w:r>
          </w:p>
        </w:tc>
        <w:tc>
          <w:tcPr>
            <w:tcW w:w="797" w:type="dxa"/>
            <w:tcBorders>
              <w:top w:val="single" w:sz="4" w:space="0" w:color="A6A6A6" w:themeColor="background1" w:themeShade="A6"/>
              <w:left w:val="nil"/>
              <w:bottom w:val="single" w:sz="4" w:space="0" w:color="A6A6A6" w:themeColor="background1" w:themeShade="A6"/>
            </w:tcBorders>
            <w:shd w:val="clear" w:color="auto" w:fill="E7E6E6" w:themeFill="accent4"/>
          </w:tcPr>
          <w:p w14:paraId="2BFE8FD7" w14:textId="77777777" w:rsidR="007D61FB" w:rsidRPr="005E779B" w:rsidRDefault="007D61FB" w:rsidP="009D73E2">
            <w:pPr>
              <w:pStyle w:val="ARtabletextright"/>
            </w:pPr>
            <w:r w:rsidRPr="005E779B">
              <w:t>72.1</w:t>
            </w:r>
          </w:p>
        </w:tc>
      </w:tr>
      <w:tr w:rsidR="008B3B0C" w:rsidRPr="005E779B" w14:paraId="233928E9" w14:textId="77777777" w:rsidTr="004C23DF">
        <w:trPr>
          <w:gridAfter w:val="1"/>
          <w:wAfter w:w="66" w:type="dxa"/>
          <w:cantSplit w:val="0"/>
        </w:trPr>
        <w:tc>
          <w:tcPr>
            <w:tcW w:w="1696" w:type="dxa"/>
            <w:tcBorders>
              <w:top w:val="single" w:sz="4" w:space="0" w:color="A6A6A6" w:themeColor="background1" w:themeShade="A6"/>
              <w:bottom w:val="single" w:sz="2" w:space="0" w:color="000000" w:themeColor="text1"/>
              <w:right w:val="nil"/>
            </w:tcBorders>
          </w:tcPr>
          <w:p w14:paraId="56B2A7A5" w14:textId="77777777" w:rsidR="007D61FB" w:rsidRPr="009D73E2" w:rsidRDefault="007D61FB" w:rsidP="009D73E2">
            <w:pPr>
              <w:pStyle w:val="ARtabletext"/>
            </w:pPr>
            <w:r w:rsidRPr="009D73E2">
              <w:t>HSO-3</w:t>
            </w:r>
          </w:p>
        </w:tc>
        <w:tc>
          <w:tcPr>
            <w:tcW w:w="825" w:type="dxa"/>
            <w:tcBorders>
              <w:top w:val="single" w:sz="4" w:space="0" w:color="A6A6A6" w:themeColor="background1" w:themeShade="A6"/>
              <w:left w:val="nil"/>
              <w:bottom w:val="single" w:sz="2" w:space="0" w:color="000000" w:themeColor="text1"/>
              <w:right w:val="nil"/>
            </w:tcBorders>
            <w:vAlign w:val="bottom"/>
          </w:tcPr>
          <w:p w14:paraId="1ED64D3E" w14:textId="77777777" w:rsidR="007D61FB" w:rsidRPr="005E779B" w:rsidRDefault="007D61FB" w:rsidP="009D73E2">
            <w:pPr>
              <w:pStyle w:val="ARtabletextright"/>
            </w:pPr>
            <w:r w:rsidRPr="005E779B">
              <w:t>66</w:t>
            </w:r>
          </w:p>
        </w:tc>
        <w:tc>
          <w:tcPr>
            <w:tcW w:w="779" w:type="dxa"/>
            <w:tcBorders>
              <w:top w:val="single" w:sz="4" w:space="0" w:color="A6A6A6" w:themeColor="background1" w:themeShade="A6"/>
              <w:left w:val="nil"/>
              <w:bottom w:val="single" w:sz="2" w:space="0" w:color="000000" w:themeColor="text1"/>
              <w:right w:val="single" w:sz="4" w:space="0" w:color="auto"/>
            </w:tcBorders>
            <w:vAlign w:val="bottom"/>
          </w:tcPr>
          <w:p w14:paraId="1E5E175F" w14:textId="77777777" w:rsidR="007D61FB" w:rsidRPr="005E779B" w:rsidRDefault="007D61FB" w:rsidP="009D73E2">
            <w:pPr>
              <w:pStyle w:val="ARtabletextright"/>
            </w:pPr>
            <w:r w:rsidRPr="005E779B">
              <w:t>64.6</w:t>
            </w:r>
          </w:p>
        </w:tc>
        <w:tc>
          <w:tcPr>
            <w:tcW w:w="1068" w:type="dxa"/>
            <w:tcBorders>
              <w:top w:val="single" w:sz="4" w:space="0" w:color="A6A6A6" w:themeColor="background1" w:themeShade="A6"/>
              <w:left w:val="single" w:sz="4" w:space="0" w:color="auto"/>
              <w:bottom w:val="single" w:sz="2" w:space="0" w:color="000000" w:themeColor="text1"/>
              <w:right w:val="nil"/>
            </w:tcBorders>
            <w:vAlign w:val="bottom"/>
          </w:tcPr>
          <w:p w14:paraId="1AB354CE" w14:textId="77777777" w:rsidR="007D61FB" w:rsidRPr="005E779B" w:rsidRDefault="007D61FB" w:rsidP="009D73E2">
            <w:pPr>
              <w:pStyle w:val="ARtabletextright"/>
            </w:pPr>
            <w:r w:rsidRPr="005E779B">
              <w:t>60</w:t>
            </w:r>
          </w:p>
        </w:tc>
        <w:tc>
          <w:tcPr>
            <w:tcW w:w="872" w:type="dxa"/>
            <w:tcBorders>
              <w:top w:val="single" w:sz="4" w:space="0" w:color="A6A6A6" w:themeColor="background1" w:themeShade="A6"/>
              <w:left w:val="nil"/>
              <w:bottom w:val="single" w:sz="2" w:space="0" w:color="000000" w:themeColor="text1"/>
              <w:right w:val="nil"/>
            </w:tcBorders>
            <w:vAlign w:val="bottom"/>
          </w:tcPr>
          <w:p w14:paraId="6CC92CA3" w14:textId="77777777" w:rsidR="007D61FB" w:rsidRPr="005E779B" w:rsidRDefault="007D61FB" w:rsidP="009D73E2">
            <w:pPr>
              <w:pStyle w:val="ARtabletextright"/>
            </w:pPr>
            <w:r w:rsidRPr="005E779B">
              <w:t>6</w:t>
            </w:r>
          </w:p>
        </w:tc>
        <w:tc>
          <w:tcPr>
            <w:tcW w:w="857" w:type="dxa"/>
            <w:tcBorders>
              <w:top w:val="single" w:sz="4" w:space="0" w:color="A6A6A6" w:themeColor="background1" w:themeShade="A6"/>
              <w:left w:val="nil"/>
              <w:bottom w:val="single" w:sz="2" w:space="0" w:color="000000" w:themeColor="text1"/>
              <w:right w:val="single" w:sz="4" w:space="0" w:color="auto"/>
            </w:tcBorders>
            <w:vAlign w:val="bottom"/>
          </w:tcPr>
          <w:p w14:paraId="7CC26631" w14:textId="77777777" w:rsidR="007D61FB" w:rsidRPr="005E779B" w:rsidRDefault="007D61FB" w:rsidP="009D73E2">
            <w:pPr>
              <w:pStyle w:val="ARtabletextright"/>
            </w:pPr>
            <w:r w:rsidRPr="005E779B">
              <w:t>64.6</w:t>
            </w:r>
          </w:p>
        </w:tc>
        <w:tc>
          <w:tcPr>
            <w:tcW w:w="844" w:type="dxa"/>
            <w:tcBorders>
              <w:top w:val="single" w:sz="4" w:space="0" w:color="A6A6A6" w:themeColor="background1" w:themeShade="A6"/>
              <w:left w:val="single" w:sz="4" w:space="0" w:color="auto"/>
              <w:bottom w:val="single" w:sz="2" w:space="0" w:color="000000" w:themeColor="text1"/>
              <w:right w:val="nil"/>
            </w:tcBorders>
            <w:vAlign w:val="bottom"/>
          </w:tcPr>
          <w:p w14:paraId="48D7651B" w14:textId="77777777" w:rsidR="007D61FB" w:rsidRPr="005E779B" w:rsidRDefault="007D61FB" w:rsidP="009D73E2">
            <w:pPr>
              <w:pStyle w:val="ARtabletextright"/>
            </w:pPr>
            <w:r w:rsidRPr="005E779B">
              <w:t>0</w:t>
            </w:r>
          </w:p>
        </w:tc>
        <w:tc>
          <w:tcPr>
            <w:tcW w:w="851" w:type="dxa"/>
            <w:tcBorders>
              <w:top w:val="single" w:sz="4" w:space="0" w:color="A6A6A6" w:themeColor="background1" w:themeShade="A6"/>
              <w:left w:val="nil"/>
              <w:bottom w:val="single" w:sz="2" w:space="0" w:color="000000" w:themeColor="text1"/>
              <w:right w:val="single" w:sz="4" w:space="0" w:color="auto"/>
            </w:tcBorders>
            <w:vAlign w:val="bottom"/>
          </w:tcPr>
          <w:p w14:paraId="0A4E87AA" w14:textId="77777777" w:rsidR="007D61FB" w:rsidRPr="005E779B" w:rsidRDefault="007D61FB" w:rsidP="009D73E2">
            <w:pPr>
              <w:pStyle w:val="ARtabletextright"/>
            </w:pPr>
            <w:r w:rsidRPr="005E779B">
              <w:t>0.0</w:t>
            </w:r>
          </w:p>
        </w:tc>
        <w:tc>
          <w:tcPr>
            <w:tcW w:w="992" w:type="dxa"/>
            <w:tcBorders>
              <w:top w:val="single" w:sz="4" w:space="0" w:color="A6A6A6" w:themeColor="background1" w:themeShade="A6"/>
              <w:bottom w:val="single" w:sz="2" w:space="0" w:color="000000" w:themeColor="text1"/>
              <w:right w:val="nil"/>
            </w:tcBorders>
            <w:shd w:val="clear" w:color="auto" w:fill="E7E6E6" w:themeFill="accent4"/>
          </w:tcPr>
          <w:p w14:paraId="01B749D9" w14:textId="77777777" w:rsidR="007D61FB" w:rsidRPr="005E779B" w:rsidRDefault="007D61FB" w:rsidP="009D73E2">
            <w:pPr>
              <w:pStyle w:val="ARtabletextright"/>
            </w:pPr>
            <w:r w:rsidRPr="005E779B">
              <w:t>59</w:t>
            </w:r>
          </w:p>
        </w:tc>
        <w:tc>
          <w:tcPr>
            <w:tcW w:w="765" w:type="dxa"/>
            <w:tcBorders>
              <w:top w:val="single" w:sz="4" w:space="0" w:color="A6A6A6" w:themeColor="background1" w:themeShade="A6"/>
              <w:left w:val="nil"/>
              <w:bottom w:val="single" w:sz="2" w:space="0" w:color="000000" w:themeColor="text1"/>
              <w:right w:val="single" w:sz="4" w:space="0" w:color="auto"/>
            </w:tcBorders>
            <w:shd w:val="clear" w:color="auto" w:fill="E7E6E6" w:themeFill="accent4"/>
          </w:tcPr>
          <w:p w14:paraId="6F98A913" w14:textId="77777777" w:rsidR="007D61FB" w:rsidRPr="005E779B" w:rsidRDefault="007D61FB" w:rsidP="009D73E2">
            <w:pPr>
              <w:pStyle w:val="ARtabletextright"/>
            </w:pPr>
            <w:r w:rsidRPr="005E779B">
              <w:t>58.5</w:t>
            </w:r>
          </w:p>
        </w:tc>
        <w:tc>
          <w:tcPr>
            <w:tcW w:w="984" w:type="dxa"/>
            <w:tcBorders>
              <w:top w:val="single" w:sz="4" w:space="0" w:color="A6A6A6" w:themeColor="background1" w:themeShade="A6"/>
              <w:left w:val="single" w:sz="4" w:space="0" w:color="auto"/>
              <w:bottom w:val="single" w:sz="2" w:space="0" w:color="000000" w:themeColor="text1"/>
              <w:right w:val="nil"/>
            </w:tcBorders>
            <w:shd w:val="clear" w:color="auto" w:fill="E7E6E6" w:themeFill="accent4"/>
          </w:tcPr>
          <w:p w14:paraId="4E9B344A" w14:textId="77777777" w:rsidR="007D61FB" w:rsidRPr="005E779B" w:rsidRDefault="007D61FB" w:rsidP="009D73E2">
            <w:pPr>
              <w:pStyle w:val="ARtabletextright"/>
            </w:pPr>
            <w:r w:rsidRPr="005E779B">
              <w:t>47</w:t>
            </w:r>
          </w:p>
        </w:tc>
        <w:tc>
          <w:tcPr>
            <w:tcW w:w="944" w:type="dxa"/>
            <w:tcBorders>
              <w:top w:val="single" w:sz="4" w:space="0" w:color="A6A6A6" w:themeColor="background1" w:themeShade="A6"/>
              <w:left w:val="nil"/>
              <w:bottom w:val="single" w:sz="2" w:space="0" w:color="000000" w:themeColor="text1"/>
              <w:right w:val="nil"/>
            </w:tcBorders>
            <w:shd w:val="clear" w:color="auto" w:fill="E7E6E6" w:themeFill="accent4"/>
          </w:tcPr>
          <w:p w14:paraId="3331EB80" w14:textId="77777777" w:rsidR="007D61FB" w:rsidRPr="005E779B" w:rsidRDefault="007D61FB" w:rsidP="009D73E2">
            <w:pPr>
              <w:pStyle w:val="ARtabletextright"/>
            </w:pPr>
            <w:r w:rsidRPr="005E779B">
              <w:t>3</w:t>
            </w:r>
          </w:p>
        </w:tc>
        <w:tc>
          <w:tcPr>
            <w:tcW w:w="851" w:type="dxa"/>
            <w:tcBorders>
              <w:top w:val="single" w:sz="4" w:space="0" w:color="A6A6A6" w:themeColor="background1" w:themeShade="A6"/>
              <w:left w:val="nil"/>
              <w:bottom w:val="single" w:sz="2" w:space="0" w:color="000000" w:themeColor="text1"/>
              <w:right w:val="single" w:sz="4" w:space="0" w:color="auto"/>
            </w:tcBorders>
            <w:shd w:val="clear" w:color="auto" w:fill="E7E6E6" w:themeFill="accent4"/>
          </w:tcPr>
          <w:p w14:paraId="1D246791" w14:textId="77777777" w:rsidR="007D61FB" w:rsidRPr="005E779B" w:rsidRDefault="007D61FB" w:rsidP="009D73E2">
            <w:pPr>
              <w:pStyle w:val="ARtabletextright"/>
            </w:pPr>
            <w:r w:rsidRPr="005E779B">
              <w:t>49.6</w:t>
            </w:r>
          </w:p>
        </w:tc>
        <w:tc>
          <w:tcPr>
            <w:tcW w:w="806" w:type="dxa"/>
            <w:tcBorders>
              <w:top w:val="single" w:sz="4" w:space="0" w:color="A6A6A6" w:themeColor="background1" w:themeShade="A6"/>
              <w:left w:val="single" w:sz="4" w:space="0" w:color="auto"/>
              <w:bottom w:val="single" w:sz="2" w:space="0" w:color="000000" w:themeColor="text1"/>
              <w:right w:val="nil"/>
            </w:tcBorders>
            <w:shd w:val="clear" w:color="auto" w:fill="E7E6E6" w:themeFill="accent4"/>
          </w:tcPr>
          <w:p w14:paraId="18A5E5E4" w14:textId="77777777" w:rsidR="007D61FB" w:rsidRPr="005E779B" w:rsidRDefault="007D61FB" w:rsidP="009D73E2">
            <w:pPr>
              <w:pStyle w:val="ARtabletextright"/>
            </w:pPr>
            <w:r w:rsidRPr="005E779B">
              <w:t>9</w:t>
            </w:r>
          </w:p>
        </w:tc>
        <w:tc>
          <w:tcPr>
            <w:tcW w:w="797" w:type="dxa"/>
            <w:tcBorders>
              <w:top w:val="single" w:sz="4" w:space="0" w:color="A6A6A6" w:themeColor="background1" w:themeShade="A6"/>
              <w:left w:val="nil"/>
              <w:bottom w:val="single" w:sz="2" w:space="0" w:color="000000" w:themeColor="text1"/>
            </w:tcBorders>
            <w:shd w:val="clear" w:color="auto" w:fill="E7E6E6" w:themeFill="accent4"/>
          </w:tcPr>
          <w:p w14:paraId="2F7128DB" w14:textId="77777777" w:rsidR="007D61FB" w:rsidRPr="005E779B" w:rsidRDefault="007D61FB" w:rsidP="009D73E2">
            <w:pPr>
              <w:pStyle w:val="ARtabletextright"/>
            </w:pPr>
            <w:r w:rsidRPr="005E779B">
              <w:t>8.9</w:t>
            </w:r>
          </w:p>
        </w:tc>
      </w:tr>
      <w:tr w:rsidR="008B3B0C" w:rsidRPr="005E779B" w14:paraId="260EF0FD" w14:textId="77777777" w:rsidTr="004C23DF">
        <w:trPr>
          <w:gridAfter w:val="1"/>
          <w:wAfter w:w="66" w:type="dxa"/>
          <w:cantSplit w:val="0"/>
        </w:trPr>
        <w:tc>
          <w:tcPr>
            <w:tcW w:w="1696" w:type="dxa"/>
            <w:tcBorders>
              <w:top w:val="single" w:sz="2" w:space="0" w:color="000000" w:themeColor="text1"/>
              <w:right w:val="nil"/>
            </w:tcBorders>
          </w:tcPr>
          <w:p w14:paraId="62E333D5" w14:textId="77777777" w:rsidR="007D61FB" w:rsidRPr="005E779B" w:rsidRDefault="007D61FB" w:rsidP="009D73E2">
            <w:pPr>
              <w:pStyle w:val="ARtabletextbold"/>
            </w:pPr>
            <w:r w:rsidRPr="009D73E2">
              <w:t>Total</w:t>
            </w:r>
          </w:p>
        </w:tc>
        <w:tc>
          <w:tcPr>
            <w:tcW w:w="825" w:type="dxa"/>
            <w:tcBorders>
              <w:top w:val="single" w:sz="2" w:space="0" w:color="000000" w:themeColor="text1"/>
              <w:left w:val="nil"/>
              <w:right w:val="nil"/>
            </w:tcBorders>
            <w:vAlign w:val="bottom"/>
          </w:tcPr>
          <w:p w14:paraId="41484D44" w14:textId="77777777" w:rsidR="007D61FB" w:rsidRPr="005E779B" w:rsidRDefault="007D61FB" w:rsidP="009D73E2">
            <w:pPr>
              <w:pStyle w:val="ARtabletextrightbold"/>
            </w:pPr>
            <w:r w:rsidRPr="005E779B">
              <w:t>583</w:t>
            </w:r>
          </w:p>
        </w:tc>
        <w:tc>
          <w:tcPr>
            <w:tcW w:w="779" w:type="dxa"/>
            <w:tcBorders>
              <w:top w:val="single" w:sz="2" w:space="0" w:color="000000" w:themeColor="text1"/>
              <w:left w:val="nil"/>
              <w:right w:val="single" w:sz="4" w:space="0" w:color="auto"/>
            </w:tcBorders>
            <w:vAlign w:val="bottom"/>
          </w:tcPr>
          <w:p w14:paraId="0DC91035" w14:textId="77777777" w:rsidR="007D61FB" w:rsidRPr="005E779B" w:rsidRDefault="007D61FB" w:rsidP="009D73E2">
            <w:pPr>
              <w:pStyle w:val="ARtabletextrightbold"/>
            </w:pPr>
            <w:r w:rsidRPr="005E779B">
              <w:t>541.3</w:t>
            </w:r>
          </w:p>
        </w:tc>
        <w:tc>
          <w:tcPr>
            <w:tcW w:w="1068" w:type="dxa"/>
            <w:tcBorders>
              <w:top w:val="single" w:sz="2" w:space="0" w:color="000000" w:themeColor="text1"/>
              <w:left w:val="single" w:sz="4" w:space="0" w:color="auto"/>
              <w:right w:val="nil"/>
            </w:tcBorders>
            <w:vAlign w:val="bottom"/>
          </w:tcPr>
          <w:p w14:paraId="757F874F" w14:textId="77777777" w:rsidR="007D61FB" w:rsidRPr="005E779B" w:rsidRDefault="007D61FB" w:rsidP="009D73E2">
            <w:pPr>
              <w:pStyle w:val="ARtabletextrightbold"/>
            </w:pPr>
            <w:r w:rsidRPr="005E779B">
              <w:t>399</w:t>
            </w:r>
          </w:p>
        </w:tc>
        <w:tc>
          <w:tcPr>
            <w:tcW w:w="872" w:type="dxa"/>
            <w:tcBorders>
              <w:top w:val="single" w:sz="2" w:space="0" w:color="000000" w:themeColor="text1"/>
              <w:left w:val="nil"/>
              <w:right w:val="nil"/>
            </w:tcBorders>
            <w:vAlign w:val="bottom"/>
          </w:tcPr>
          <w:p w14:paraId="3876DB89" w14:textId="77777777" w:rsidR="007D61FB" w:rsidRPr="005E779B" w:rsidRDefault="007D61FB" w:rsidP="009D73E2">
            <w:pPr>
              <w:pStyle w:val="ARtabletextrightbold"/>
            </w:pPr>
            <w:r w:rsidRPr="005E779B">
              <w:t>84</w:t>
            </w:r>
          </w:p>
        </w:tc>
        <w:tc>
          <w:tcPr>
            <w:tcW w:w="857" w:type="dxa"/>
            <w:tcBorders>
              <w:top w:val="single" w:sz="2" w:space="0" w:color="000000" w:themeColor="text1"/>
              <w:left w:val="nil"/>
              <w:right w:val="single" w:sz="4" w:space="0" w:color="auto"/>
            </w:tcBorders>
            <w:vAlign w:val="bottom"/>
          </w:tcPr>
          <w:p w14:paraId="42D0D7BC" w14:textId="77777777" w:rsidR="007D61FB" w:rsidRPr="005E779B" w:rsidRDefault="007D61FB" w:rsidP="009D73E2">
            <w:pPr>
              <w:pStyle w:val="ARtabletextrightbold"/>
            </w:pPr>
            <w:r w:rsidRPr="005E779B">
              <w:t>457.2</w:t>
            </w:r>
          </w:p>
        </w:tc>
        <w:tc>
          <w:tcPr>
            <w:tcW w:w="844" w:type="dxa"/>
            <w:tcBorders>
              <w:top w:val="single" w:sz="2" w:space="0" w:color="000000" w:themeColor="text1"/>
              <w:left w:val="single" w:sz="4" w:space="0" w:color="auto"/>
              <w:right w:val="nil"/>
            </w:tcBorders>
            <w:vAlign w:val="bottom"/>
          </w:tcPr>
          <w:p w14:paraId="60F10D47" w14:textId="77777777" w:rsidR="007D61FB" w:rsidRPr="005E779B" w:rsidRDefault="007D61FB" w:rsidP="009D73E2">
            <w:pPr>
              <w:pStyle w:val="ARtabletextrightbold"/>
            </w:pPr>
            <w:r w:rsidRPr="005E779B">
              <w:t>100</w:t>
            </w:r>
          </w:p>
        </w:tc>
        <w:tc>
          <w:tcPr>
            <w:tcW w:w="851" w:type="dxa"/>
            <w:tcBorders>
              <w:top w:val="single" w:sz="2" w:space="0" w:color="000000" w:themeColor="text1"/>
              <w:left w:val="nil"/>
              <w:right w:val="single" w:sz="4" w:space="0" w:color="auto"/>
            </w:tcBorders>
            <w:vAlign w:val="bottom"/>
          </w:tcPr>
          <w:p w14:paraId="1A974FA9" w14:textId="77777777" w:rsidR="007D61FB" w:rsidRPr="005E779B" w:rsidRDefault="007D61FB" w:rsidP="009D73E2">
            <w:pPr>
              <w:pStyle w:val="ARtabletextrightbold"/>
            </w:pPr>
            <w:r w:rsidRPr="005E779B">
              <w:t>84.0</w:t>
            </w:r>
          </w:p>
        </w:tc>
        <w:tc>
          <w:tcPr>
            <w:tcW w:w="992" w:type="dxa"/>
            <w:tcBorders>
              <w:top w:val="single" w:sz="2" w:space="0" w:color="000000" w:themeColor="text1"/>
              <w:right w:val="nil"/>
            </w:tcBorders>
            <w:shd w:val="clear" w:color="auto" w:fill="E7E6E6" w:themeFill="accent4"/>
          </w:tcPr>
          <w:p w14:paraId="39D7CB54" w14:textId="77777777" w:rsidR="007D61FB" w:rsidRPr="005E779B" w:rsidRDefault="007D61FB" w:rsidP="009D73E2">
            <w:pPr>
              <w:pStyle w:val="ARtabletextrightbold"/>
            </w:pPr>
            <w:r w:rsidRPr="005E779B">
              <w:t>523</w:t>
            </w:r>
          </w:p>
        </w:tc>
        <w:tc>
          <w:tcPr>
            <w:tcW w:w="765" w:type="dxa"/>
            <w:tcBorders>
              <w:top w:val="single" w:sz="2" w:space="0" w:color="000000" w:themeColor="text1"/>
              <w:left w:val="nil"/>
              <w:bottom w:val="single" w:sz="4" w:space="0" w:color="auto"/>
              <w:right w:val="single" w:sz="4" w:space="0" w:color="auto"/>
            </w:tcBorders>
            <w:shd w:val="clear" w:color="auto" w:fill="E7E6E6" w:themeFill="accent4"/>
          </w:tcPr>
          <w:p w14:paraId="26A0338D" w14:textId="77777777" w:rsidR="007D61FB" w:rsidRPr="005E779B" w:rsidRDefault="007D61FB" w:rsidP="009D73E2">
            <w:pPr>
              <w:pStyle w:val="ARtabletextrightbold"/>
            </w:pPr>
            <w:r w:rsidRPr="005E779B">
              <w:t>493.2</w:t>
            </w:r>
          </w:p>
        </w:tc>
        <w:tc>
          <w:tcPr>
            <w:tcW w:w="984" w:type="dxa"/>
            <w:tcBorders>
              <w:top w:val="single" w:sz="2" w:space="0" w:color="000000" w:themeColor="text1"/>
              <w:left w:val="single" w:sz="4" w:space="0" w:color="auto"/>
              <w:right w:val="nil"/>
            </w:tcBorders>
            <w:shd w:val="clear" w:color="auto" w:fill="E7E6E6" w:themeFill="accent4"/>
          </w:tcPr>
          <w:p w14:paraId="6AE6807C" w14:textId="77777777" w:rsidR="007D61FB" w:rsidRPr="005E779B" w:rsidRDefault="007D61FB" w:rsidP="009D73E2">
            <w:pPr>
              <w:pStyle w:val="ARtabletextrightbold"/>
            </w:pPr>
            <w:r w:rsidRPr="005E779B">
              <w:t>327</w:t>
            </w:r>
          </w:p>
        </w:tc>
        <w:tc>
          <w:tcPr>
            <w:tcW w:w="944" w:type="dxa"/>
            <w:tcBorders>
              <w:top w:val="single" w:sz="2" w:space="0" w:color="000000" w:themeColor="text1"/>
              <w:left w:val="nil"/>
              <w:right w:val="nil"/>
            </w:tcBorders>
            <w:shd w:val="clear" w:color="auto" w:fill="E7E6E6" w:themeFill="accent4"/>
          </w:tcPr>
          <w:p w14:paraId="27DC1434" w14:textId="77777777" w:rsidR="007D61FB" w:rsidRPr="005E779B" w:rsidRDefault="007D61FB" w:rsidP="009D73E2">
            <w:pPr>
              <w:pStyle w:val="ARtabletextrightbold"/>
            </w:pPr>
            <w:r w:rsidRPr="005E779B">
              <w:t>75</w:t>
            </w:r>
          </w:p>
        </w:tc>
        <w:tc>
          <w:tcPr>
            <w:tcW w:w="851" w:type="dxa"/>
            <w:tcBorders>
              <w:top w:val="single" w:sz="2" w:space="0" w:color="000000" w:themeColor="text1"/>
              <w:left w:val="nil"/>
              <w:bottom w:val="single" w:sz="4" w:space="0" w:color="auto"/>
              <w:right w:val="single" w:sz="4" w:space="0" w:color="auto"/>
            </w:tcBorders>
            <w:shd w:val="clear" w:color="auto" w:fill="E7E6E6" w:themeFill="accent4"/>
          </w:tcPr>
          <w:p w14:paraId="40FFCBCF" w14:textId="77777777" w:rsidR="007D61FB" w:rsidRPr="005E779B" w:rsidRDefault="007D61FB" w:rsidP="009D73E2">
            <w:pPr>
              <w:pStyle w:val="ARtabletextrightbold"/>
            </w:pPr>
            <w:r w:rsidRPr="005E779B">
              <w:t>378.8</w:t>
            </w:r>
          </w:p>
        </w:tc>
        <w:tc>
          <w:tcPr>
            <w:tcW w:w="806" w:type="dxa"/>
            <w:tcBorders>
              <w:top w:val="single" w:sz="2" w:space="0" w:color="000000" w:themeColor="text1"/>
              <w:left w:val="single" w:sz="4" w:space="0" w:color="auto"/>
              <w:right w:val="nil"/>
            </w:tcBorders>
            <w:shd w:val="clear" w:color="auto" w:fill="E7E6E6" w:themeFill="accent4"/>
          </w:tcPr>
          <w:p w14:paraId="303A9187" w14:textId="77777777" w:rsidR="007D61FB" w:rsidRPr="005E779B" w:rsidRDefault="007D61FB" w:rsidP="009D73E2">
            <w:pPr>
              <w:pStyle w:val="ARtabletextrightbold"/>
            </w:pPr>
            <w:r w:rsidRPr="005E779B">
              <w:t>121</w:t>
            </w:r>
          </w:p>
        </w:tc>
        <w:tc>
          <w:tcPr>
            <w:tcW w:w="797" w:type="dxa"/>
            <w:tcBorders>
              <w:top w:val="single" w:sz="2" w:space="0" w:color="000000" w:themeColor="text1"/>
              <w:left w:val="nil"/>
            </w:tcBorders>
            <w:shd w:val="clear" w:color="auto" w:fill="E7E6E6" w:themeFill="accent4"/>
          </w:tcPr>
          <w:p w14:paraId="51EDACE7" w14:textId="77777777" w:rsidR="007D61FB" w:rsidRPr="005E779B" w:rsidRDefault="007D61FB" w:rsidP="009D73E2">
            <w:pPr>
              <w:pStyle w:val="ARtabletextrightbold"/>
            </w:pPr>
            <w:r w:rsidRPr="005E779B">
              <w:t>114.5</w:t>
            </w:r>
          </w:p>
        </w:tc>
      </w:tr>
      <w:tr w:rsidR="008B3B0C" w:rsidRPr="005E779B" w14:paraId="6F825155" w14:textId="77777777" w:rsidTr="004C23DF">
        <w:trPr>
          <w:gridAfter w:val="1"/>
          <w:wAfter w:w="66" w:type="dxa"/>
          <w:cantSplit w:val="0"/>
        </w:trPr>
        <w:tc>
          <w:tcPr>
            <w:tcW w:w="1696" w:type="dxa"/>
            <w:tcBorders>
              <w:top w:val="single" w:sz="4" w:space="0" w:color="A6A6A6" w:themeColor="background1" w:themeShade="A6"/>
              <w:right w:val="nil"/>
            </w:tcBorders>
          </w:tcPr>
          <w:p w14:paraId="263FCFEF" w14:textId="4347FDDE" w:rsidR="007D61FB" w:rsidRPr="005E779B" w:rsidRDefault="007D61FB" w:rsidP="009D73E2">
            <w:pPr>
              <w:pStyle w:val="ARtablebluebold"/>
            </w:pPr>
            <w:r w:rsidRPr="005E779B">
              <w:t>Other</w:t>
            </w:r>
            <w:r w:rsidR="00202B17">
              <w:t xml:space="preserve"> </w:t>
            </w:r>
            <w:r>
              <w:rPr>
                <w:rStyle w:val="FootnoteReference"/>
              </w:rPr>
              <w:footnoteReference w:id="4"/>
            </w:r>
          </w:p>
        </w:tc>
        <w:tc>
          <w:tcPr>
            <w:tcW w:w="825" w:type="dxa"/>
            <w:tcBorders>
              <w:top w:val="single" w:sz="4" w:space="0" w:color="A6A6A6" w:themeColor="background1" w:themeShade="A6"/>
              <w:left w:val="nil"/>
              <w:right w:val="nil"/>
            </w:tcBorders>
            <w:vAlign w:val="bottom"/>
          </w:tcPr>
          <w:p w14:paraId="7918DC3D" w14:textId="77777777" w:rsidR="007D61FB" w:rsidRPr="005E779B" w:rsidRDefault="007D61FB" w:rsidP="009D73E2">
            <w:pPr>
              <w:pStyle w:val="ARtabletextright"/>
              <w:rPr>
                <w:b/>
              </w:rPr>
            </w:pPr>
            <w:r w:rsidRPr="00124FCE">
              <w:t>106</w:t>
            </w:r>
          </w:p>
        </w:tc>
        <w:tc>
          <w:tcPr>
            <w:tcW w:w="779" w:type="dxa"/>
            <w:tcBorders>
              <w:top w:val="single" w:sz="4" w:space="0" w:color="A6A6A6" w:themeColor="background1" w:themeShade="A6"/>
              <w:left w:val="nil"/>
              <w:right w:val="single" w:sz="4" w:space="0" w:color="auto"/>
            </w:tcBorders>
            <w:vAlign w:val="bottom"/>
          </w:tcPr>
          <w:p w14:paraId="49C5F6E3" w14:textId="77777777" w:rsidR="007D61FB" w:rsidRPr="005E779B" w:rsidRDefault="007D61FB" w:rsidP="009D73E2">
            <w:pPr>
              <w:pStyle w:val="ARtabletextright"/>
              <w:rPr>
                <w:b/>
              </w:rPr>
            </w:pPr>
            <w:r w:rsidRPr="00124FCE">
              <w:t>101.75</w:t>
            </w:r>
          </w:p>
        </w:tc>
        <w:tc>
          <w:tcPr>
            <w:tcW w:w="1068" w:type="dxa"/>
            <w:tcBorders>
              <w:top w:val="single" w:sz="4" w:space="0" w:color="A6A6A6" w:themeColor="background1" w:themeShade="A6"/>
              <w:left w:val="single" w:sz="4" w:space="0" w:color="auto"/>
              <w:right w:val="nil"/>
            </w:tcBorders>
            <w:vAlign w:val="bottom"/>
          </w:tcPr>
          <w:p w14:paraId="4A9D3D81" w14:textId="77777777" w:rsidR="007D61FB" w:rsidRPr="005E779B" w:rsidRDefault="007D61FB" w:rsidP="009D73E2">
            <w:pPr>
              <w:pStyle w:val="ARtabletextright"/>
              <w:rPr>
                <w:b/>
              </w:rPr>
            </w:pPr>
            <w:r w:rsidRPr="00124FCE">
              <w:t>83</w:t>
            </w:r>
          </w:p>
        </w:tc>
        <w:tc>
          <w:tcPr>
            <w:tcW w:w="872" w:type="dxa"/>
            <w:tcBorders>
              <w:top w:val="single" w:sz="4" w:space="0" w:color="A6A6A6" w:themeColor="background1" w:themeShade="A6"/>
              <w:left w:val="nil"/>
              <w:right w:val="nil"/>
            </w:tcBorders>
            <w:vAlign w:val="bottom"/>
          </w:tcPr>
          <w:p w14:paraId="0D4D4BF1" w14:textId="77777777" w:rsidR="007D61FB" w:rsidRPr="005E779B" w:rsidRDefault="007D61FB" w:rsidP="009D73E2">
            <w:pPr>
              <w:pStyle w:val="ARtabletextright"/>
              <w:rPr>
                <w:b/>
              </w:rPr>
            </w:pPr>
            <w:r w:rsidRPr="00124FCE">
              <w:t>10</w:t>
            </w:r>
          </w:p>
        </w:tc>
        <w:tc>
          <w:tcPr>
            <w:tcW w:w="857" w:type="dxa"/>
            <w:tcBorders>
              <w:top w:val="single" w:sz="4" w:space="0" w:color="A6A6A6" w:themeColor="background1" w:themeShade="A6"/>
              <w:left w:val="nil"/>
              <w:right w:val="single" w:sz="4" w:space="0" w:color="auto"/>
            </w:tcBorders>
            <w:vAlign w:val="bottom"/>
          </w:tcPr>
          <w:p w14:paraId="69671A5D" w14:textId="77777777" w:rsidR="007D61FB" w:rsidRPr="005E779B" w:rsidRDefault="007D61FB" w:rsidP="009D73E2">
            <w:pPr>
              <w:pStyle w:val="ARtabletextright"/>
              <w:rPr>
                <w:b/>
              </w:rPr>
            </w:pPr>
            <w:r w:rsidRPr="00124FCE">
              <w:t>89.25</w:t>
            </w:r>
          </w:p>
        </w:tc>
        <w:tc>
          <w:tcPr>
            <w:tcW w:w="844" w:type="dxa"/>
            <w:tcBorders>
              <w:top w:val="single" w:sz="4" w:space="0" w:color="A6A6A6" w:themeColor="background1" w:themeShade="A6"/>
              <w:left w:val="single" w:sz="4" w:space="0" w:color="auto"/>
              <w:right w:val="nil"/>
            </w:tcBorders>
            <w:vAlign w:val="bottom"/>
          </w:tcPr>
          <w:p w14:paraId="336B5C5E" w14:textId="77777777" w:rsidR="007D61FB" w:rsidRPr="005E779B" w:rsidRDefault="007D61FB" w:rsidP="009D73E2">
            <w:pPr>
              <w:pStyle w:val="ARtabletextright"/>
              <w:rPr>
                <w:b/>
              </w:rPr>
            </w:pPr>
            <w:r w:rsidRPr="00124FCE">
              <w:t>13</w:t>
            </w:r>
          </w:p>
        </w:tc>
        <w:tc>
          <w:tcPr>
            <w:tcW w:w="851" w:type="dxa"/>
            <w:tcBorders>
              <w:top w:val="single" w:sz="4" w:space="0" w:color="A6A6A6" w:themeColor="background1" w:themeShade="A6"/>
              <w:left w:val="nil"/>
              <w:right w:val="single" w:sz="4" w:space="0" w:color="auto"/>
            </w:tcBorders>
            <w:vAlign w:val="bottom"/>
          </w:tcPr>
          <w:p w14:paraId="38C36248" w14:textId="77777777" w:rsidR="007D61FB" w:rsidRPr="005E779B" w:rsidRDefault="007D61FB" w:rsidP="009D73E2">
            <w:pPr>
              <w:pStyle w:val="ARtabletextright"/>
              <w:rPr>
                <w:b/>
              </w:rPr>
            </w:pPr>
            <w:r w:rsidRPr="00124FCE">
              <w:t>12.5</w:t>
            </w:r>
          </w:p>
        </w:tc>
        <w:tc>
          <w:tcPr>
            <w:tcW w:w="992" w:type="dxa"/>
            <w:tcBorders>
              <w:top w:val="single" w:sz="4" w:space="0" w:color="A6A6A6" w:themeColor="background1" w:themeShade="A6"/>
              <w:right w:val="nil"/>
            </w:tcBorders>
            <w:shd w:val="clear" w:color="auto" w:fill="E7E6E6" w:themeFill="accent4"/>
          </w:tcPr>
          <w:p w14:paraId="3A9E3FB8" w14:textId="77777777" w:rsidR="007D61FB" w:rsidRPr="005E779B" w:rsidRDefault="007D61FB" w:rsidP="009D73E2">
            <w:pPr>
              <w:pStyle w:val="ARtabletextright"/>
            </w:pPr>
            <w:r w:rsidRPr="00124FCE">
              <w:t>101</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63FF4E55" w14:textId="77777777" w:rsidR="007D61FB" w:rsidRPr="005E779B" w:rsidRDefault="007D61FB" w:rsidP="009D73E2">
            <w:pPr>
              <w:pStyle w:val="ARtabletextright"/>
            </w:pPr>
            <w:r w:rsidRPr="00124FCE">
              <w:t>94.5</w:t>
            </w:r>
          </w:p>
        </w:tc>
        <w:tc>
          <w:tcPr>
            <w:tcW w:w="984" w:type="dxa"/>
            <w:tcBorders>
              <w:top w:val="single" w:sz="4" w:space="0" w:color="A6A6A6" w:themeColor="background1" w:themeShade="A6"/>
              <w:left w:val="single" w:sz="4" w:space="0" w:color="auto"/>
              <w:right w:val="nil"/>
            </w:tcBorders>
            <w:shd w:val="clear" w:color="auto" w:fill="E7E6E6" w:themeFill="accent4"/>
          </w:tcPr>
          <w:p w14:paraId="546D0093" w14:textId="77777777" w:rsidR="007D61FB" w:rsidRPr="005E779B" w:rsidRDefault="007D61FB" w:rsidP="009D73E2">
            <w:pPr>
              <w:pStyle w:val="ARtabletextright"/>
            </w:pPr>
            <w:r w:rsidRPr="00124FCE">
              <w:t>73</w:t>
            </w:r>
          </w:p>
        </w:tc>
        <w:tc>
          <w:tcPr>
            <w:tcW w:w="944" w:type="dxa"/>
            <w:tcBorders>
              <w:top w:val="single" w:sz="4" w:space="0" w:color="A6A6A6" w:themeColor="background1" w:themeShade="A6"/>
              <w:left w:val="nil"/>
              <w:right w:val="nil"/>
            </w:tcBorders>
            <w:shd w:val="clear" w:color="auto" w:fill="E7E6E6" w:themeFill="accent4"/>
          </w:tcPr>
          <w:p w14:paraId="74BBDE3E" w14:textId="77777777" w:rsidR="007D61FB" w:rsidRPr="005E779B" w:rsidRDefault="007D61FB" w:rsidP="009D73E2">
            <w:pPr>
              <w:pStyle w:val="ARtabletextright"/>
            </w:pPr>
            <w:r w:rsidRPr="00124FCE">
              <w:t>12</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6649DE5E" w14:textId="77777777" w:rsidR="007D61FB" w:rsidRPr="005E779B" w:rsidRDefault="007D61FB" w:rsidP="009D73E2">
            <w:pPr>
              <w:pStyle w:val="ARtabletextright"/>
            </w:pPr>
            <w:r w:rsidRPr="00124FCE">
              <w:t>80</w:t>
            </w:r>
          </w:p>
        </w:tc>
        <w:tc>
          <w:tcPr>
            <w:tcW w:w="806" w:type="dxa"/>
            <w:tcBorders>
              <w:top w:val="single" w:sz="4" w:space="0" w:color="A6A6A6" w:themeColor="background1" w:themeShade="A6"/>
              <w:left w:val="single" w:sz="4" w:space="0" w:color="auto"/>
              <w:right w:val="nil"/>
            </w:tcBorders>
            <w:shd w:val="clear" w:color="auto" w:fill="E7E6E6" w:themeFill="accent4"/>
          </w:tcPr>
          <w:p w14:paraId="3AE4A114" w14:textId="77777777" w:rsidR="007D61FB" w:rsidRPr="005E779B" w:rsidRDefault="007D61FB" w:rsidP="009D73E2">
            <w:pPr>
              <w:pStyle w:val="ARtabletextright"/>
            </w:pPr>
            <w:r w:rsidRPr="00124FCE">
              <w:t>16</w:t>
            </w:r>
          </w:p>
        </w:tc>
        <w:tc>
          <w:tcPr>
            <w:tcW w:w="797" w:type="dxa"/>
            <w:tcBorders>
              <w:top w:val="single" w:sz="4" w:space="0" w:color="A6A6A6" w:themeColor="background1" w:themeShade="A6"/>
              <w:left w:val="nil"/>
            </w:tcBorders>
            <w:shd w:val="clear" w:color="auto" w:fill="E7E6E6" w:themeFill="accent4"/>
          </w:tcPr>
          <w:p w14:paraId="70044970" w14:textId="77777777" w:rsidR="007D61FB" w:rsidRPr="005E779B" w:rsidRDefault="007D61FB" w:rsidP="009D73E2">
            <w:pPr>
              <w:pStyle w:val="ARtabletextright"/>
            </w:pPr>
            <w:r w:rsidRPr="00124FCE">
              <w:t>14.5</w:t>
            </w:r>
          </w:p>
        </w:tc>
      </w:tr>
      <w:tr w:rsidR="007D61FB" w:rsidRPr="005E779B" w14:paraId="786AEFCD" w14:textId="77777777" w:rsidTr="004C23DF">
        <w:trPr>
          <w:gridAfter w:val="1"/>
          <w:wAfter w:w="66" w:type="dxa"/>
          <w:cantSplit w:val="0"/>
        </w:trPr>
        <w:tc>
          <w:tcPr>
            <w:tcW w:w="13931" w:type="dxa"/>
            <w:gridSpan w:val="15"/>
            <w:tcBorders>
              <w:top w:val="single" w:sz="4" w:space="0" w:color="A6A6A6" w:themeColor="background1" w:themeShade="A6"/>
            </w:tcBorders>
            <w:shd w:val="clear" w:color="auto" w:fill="auto"/>
            <w:vAlign w:val="center"/>
          </w:tcPr>
          <w:p w14:paraId="75772F9F" w14:textId="77777777" w:rsidR="007D61FB" w:rsidRPr="005E779B" w:rsidRDefault="007D61FB" w:rsidP="009D73E2">
            <w:pPr>
              <w:pStyle w:val="ARtablebluebold"/>
              <w:rPr>
                <w:bCs/>
              </w:rPr>
            </w:pPr>
            <w:r w:rsidRPr="000D7454">
              <w:t>Senior employees</w:t>
            </w:r>
          </w:p>
        </w:tc>
      </w:tr>
      <w:tr w:rsidR="008B3B0C" w:rsidRPr="005E779B" w14:paraId="780F4327" w14:textId="77777777" w:rsidTr="004C23DF">
        <w:trPr>
          <w:gridAfter w:val="1"/>
          <w:wAfter w:w="66" w:type="dxa"/>
          <w:cantSplit w:val="0"/>
        </w:trPr>
        <w:tc>
          <w:tcPr>
            <w:tcW w:w="1696" w:type="dxa"/>
            <w:tcBorders>
              <w:top w:val="single" w:sz="4" w:space="0" w:color="A6A6A6" w:themeColor="background1" w:themeShade="A6"/>
              <w:right w:val="nil"/>
            </w:tcBorders>
          </w:tcPr>
          <w:p w14:paraId="397E9438" w14:textId="37885C0D" w:rsidR="007D61FB" w:rsidRPr="00731879" w:rsidRDefault="007D61FB" w:rsidP="009D73E2">
            <w:pPr>
              <w:pStyle w:val="ARtabletext"/>
              <w:rPr>
                <w:b/>
              </w:rPr>
            </w:pPr>
            <w:r w:rsidRPr="00731879">
              <w:t>Executives</w:t>
            </w:r>
            <w:r w:rsidR="00202B17">
              <w:t xml:space="preserve"> </w:t>
            </w:r>
            <w:r w:rsidRPr="00731879">
              <w:rPr>
                <w:rStyle w:val="FootnoteReference"/>
                <w:bCs/>
              </w:rPr>
              <w:footnoteReference w:id="5"/>
            </w:r>
          </w:p>
        </w:tc>
        <w:tc>
          <w:tcPr>
            <w:tcW w:w="825" w:type="dxa"/>
            <w:tcBorders>
              <w:top w:val="single" w:sz="4" w:space="0" w:color="A6A6A6" w:themeColor="background1" w:themeShade="A6"/>
              <w:left w:val="nil"/>
              <w:right w:val="nil"/>
            </w:tcBorders>
            <w:vAlign w:val="bottom"/>
          </w:tcPr>
          <w:p w14:paraId="4808EEDA" w14:textId="77777777" w:rsidR="007D61FB" w:rsidRPr="005E779B" w:rsidRDefault="007D61FB" w:rsidP="009D73E2">
            <w:pPr>
              <w:pStyle w:val="ARtabletextright"/>
              <w:rPr>
                <w:b/>
                <w:bCs/>
              </w:rPr>
            </w:pPr>
            <w:r w:rsidRPr="000D7454">
              <w:t>179</w:t>
            </w:r>
          </w:p>
        </w:tc>
        <w:tc>
          <w:tcPr>
            <w:tcW w:w="779" w:type="dxa"/>
            <w:tcBorders>
              <w:top w:val="single" w:sz="4" w:space="0" w:color="A6A6A6" w:themeColor="background1" w:themeShade="A6"/>
              <w:left w:val="nil"/>
              <w:right w:val="single" w:sz="4" w:space="0" w:color="auto"/>
            </w:tcBorders>
            <w:vAlign w:val="bottom"/>
          </w:tcPr>
          <w:p w14:paraId="19BFF81D" w14:textId="77777777" w:rsidR="007D61FB" w:rsidRPr="005E779B" w:rsidRDefault="007D61FB" w:rsidP="009D73E2">
            <w:pPr>
              <w:pStyle w:val="ARtabletextright"/>
              <w:rPr>
                <w:b/>
                <w:bCs/>
              </w:rPr>
            </w:pPr>
            <w:r w:rsidRPr="000D7454">
              <w:t>177.2</w:t>
            </w:r>
          </w:p>
        </w:tc>
        <w:tc>
          <w:tcPr>
            <w:tcW w:w="1068" w:type="dxa"/>
            <w:tcBorders>
              <w:top w:val="single" w:sz="4" w:space="0" w:color="A6A6A6" w:themeColor="background1" w:themeShade="A6"/>
              <w:left w:val="single" w:sz="4" w:space="0" w:color="auto"/>
              <w:right w:val="nil"/>
            </w:tcBorders>
            <w:vAlign w:val="bottom"/>
          </w:tcPr>
          <w:p w14:paraId="749E3EFB" w14:textId="77777777" w:rsidR="007D61FB" w:rsidRPr="005E779B" w:rsidRDefault="007D61FB" w:rsidP="009D73E2">
            <w:pPr>
              <w:pStyle w:val="ARtabletextright"/>
              <w:rPr>
                <w:b/>
                <w:bCs/>
              </w:rPr>
            </w:pPr>
            <w:r w:rsidRPr="000D7454">
              <w:t>1</w:t>
            </w:r>
          </w:p>
        </w:tc>
        <w:tc>
          <w:tcPr>
            <w:tcW w:w="872" w:type="dxa"/>
            <w:tcBorders>
              <w:top w:val="single" w:sz="4" w:space="0" w:color="A6A6A6" w:themeColor="background1" w:themeShade="A6"/>
              <w:left w:val="nil"/>
              <w:right w:val="nil"/>
            </w:tcBorders>
            <w:vAlign w:val="bottom"/>
          </w:tcPr>
          <w:p w14:paraId="75E32A34" w14:textId="77777777" w:rsidR="007D61FB" w:rsidRPr="005E779B" w:rsidRDefault="007D61FB" w:rsidP="009D73E2">
            <w:pPr>
              <w:pStyle w:val="ARtabletextright"/>
              <w:rPr>
                <w:b/>
                <w:bCs/>
              </w:rPr>
            </w:pPr>
          </w:p>
        </w:tc>
        <w:tc>
          <w:tcPr>
            <w:tcW w:w="857" w:type="dxa"/>
            <w:tcBorders>
              <w:top w:val="single" w:sz="4" w:space="0" w:color="A6A6A6" w:themeColor="background1" w:themeShade="A6"/>
              <w:left w:val="nil"/>
              <w:right w:val="single" w:sz="4" w:space="0" w:color="auto"/>
            </w:tcBorders>
            <w:vAlign w:val="bottom"/>
          </w:tcPr>
          <w:p w14:paraId="26D6F305" w14:textId="77777777" w:rsidR="007D61FB" w:rsidRPr="005E779B" w:rsidRDefault="007D61FB" w:rsidP="009D73E2">
            <w:pPr>
              <w:pStyle w:val="ARtabletextright"/>
              <w:rPr>
                <w:b/>
                <w:bCs/>
              </w:rPr>
            </w:pPr>
            <w:r w:rsidRPr="000D7454">
              <w:t>1</w:t>
            </w:r>
          </w:p>
        </w:tc>
        <w:tc>
          <w:tcPr>
            <w:tcW w:w="844" w:type="dxa"/>
            <w:tcBorders>
              <w:top w:val="single" w:sz="4" w:space="0" w:color="A6A6A6" w:themeColor="background1" w:themeShade="A6"/>
              <w:left w:val="single" w:sz="4" w:space="0" w:color="auto"/>
              <w:right w:val="nil"/>
            </w:tcBorders>
            <w:vAlign w:val="bottom"/>
          </w:tcPr>
          <w:p w14:paraId="1F35D079" w14:textId="77777777" w:rsidR="007D61FB" w:rsidRPr="005E779B" w:rsidRDefault="007D61FB" w:rsidP="009D73E2">
            <w:pPr>
              <w:pStyle w:val="ARtabletextright"/>
              <w:rPr>
                <w:b/>
                <w:bCs/>
              </w:rPr>
            </w:pPr>
            <w:r w:rsidRPr="000D7454">
              <w:t>178</w:t>
            </w:r>
          </w:p>
        </w:tc>
        <w:tc>
          <w:tcPr>
            <w:tcW w:w="851" w:type="dxa"/>
            <w:tcBorders>
              <w:top w:val="single" w:sz="4" w:space="0" w:color="A6A6A6" w:themeColor="background1" w:themeShade="A6"/>
              <w:left w:val="nil"/>
              <w:right w:val="single" w:sz="4" w:space="0" w:color="auto"/>
            </w:tcBorders>
            <w:vAlign w:val="bottom"/>
          </w:tcPr>
          <w:p w14:paraId="6E8B7AA3" w14:textId="77777777" w:rsidR="007D61FB" w:rsidRPr="005E779B" w:rsidRDefault="007D61FB" w:rsidP="009D73E2">
            <w:pPr>
              <w:pStyle w:val="ARtabletextright"/>
              <w:rPr>
                <w:b/>
                <w:bCs/>
              </w:rPr>
            </w:pPr>
            <w:r w:rsidRPr="000D7454">
              <w:t>176.2</w:t>
            </w:r>
          </w:p>
        </w:tc>
        <w:tc>
          <w:tcPr>
            <w:tcW w:w="992" w:type="dxa"/>
            <w:tcBorders>
              <w:top w:val="single" w:sz="4" w:space="0" w:color="A6A6A6" w:themeColor="background1" w:themeShade="A6"/>
              <w:right w:val="nil"/>
            </w:tcBorders>
            <w:shd w:val="clear" w:color="auto" w:fill="E7E6E6" w:themeFill="accent4"/>
          </w:tcPr>
          <w:p w14:paraId="77ECA065" w14:textId="77777777" w:rsidR="007D61FB" w:rsidRPr="005E779B" w:rsidRDefault="007D61FB" w:rsidP="009D73E2">
            <w:pPr>
              <w:pStyle w:val="ARtabletextright"/>
              <w:rPr>
                <w:bCs/>
              </w:rPr>
            </w:pPr>
            <w:r w:rsidRPr="000D7454">
              <w:t>206</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4BD23329" w14:textId="77777777" w:rsidR="007D61FB" w:rsidRPr="005E779B" w:rsidRDefault="007D61FB" w:rsidP="009D73E2">
            <w:pPr>
              <w:pStyle w:val="ARtabletextright"/>
              <w:rPr>
                <w:bCs/>
              </w:rPr>
            </w:pPr>
            <w:r w:rsidRPr="000D7454">
              <w:t>202.9</w:t>
            </w:r>
          </w:p>
        </w:tc>
        <w:tc>
          <w:tcPr>
            <w:tcW w:w="984" w:type="dxa"/>
            <w:tcBorders>
              <w:top w:val="single" w:sz="4" w:space="0" w:color="A6A6A6" w:themeColor="background1" w:themeShade="A6"/>
              <w:left w:val="single" w:sz="4" w:space="0" w:color="auto"/>
              <w:right w:val="nil"/>
            </w:tcBorders>
            <w:shd w:val="clear" w:color="auto" w:fill="E7E6E6" w:themeFill="accent4"/>
          </w:tcPr>
          <w:p w14:paraId="5A017818" w14:textId="77777777" w:rsidR="007D61FB" w:rsidRPr="005E779B" w:rsidRDefault="007D61FB" w:rsidP="009D73E2">
            <w:pPr>
              <w:pStyle w:val="ARtabletextright"/>
              <w:rPr>
                <w:bCs/>
              </w:rPr>
            </w:pPr>
            <w:r w:rsidRPr="000D7454">
              <w:t>12</w:t>
            </w:r>
          </w:p>
        </w:tc>
        <w:tc>
          <w:tcPr>
            <w:tcW w:w="944" w:type="dxa"/>
            <w:tcBorders>
              <w:top w:val="single" w:sz="4" w:space="0" w:color="A6A6A6" w:themeColor="background1" w:themeShade="A6"/>
              <w:left w:val="nil"/>
              <w:right w:val="nil"/>
            </w:tcBorders>
            <w:shd w:val="clear" w:color="auto" w:fill="E7E6E6" w:themeFill="accent4"/>
          </w:tcPr>
          <w:p w14:paraId="05692683" w14:textId="77777777" w:rsidR="007D61FB" w:rsidRPr="005E779B" w:rsidRDefault="007D61FB" w:rsidP="009D73E2">
            <w:pPr>
              <w:pStyle w:val="ARtabletextright"/>
              <w:rPr>
                <w:bCs/>
              </w:rPr>
            </w:pPr>
            <w:r w:rsidRPr="000D7454">
              <w:t>0</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2DF71162" w14:textId="77777777" w:rsidR="007D61FB" w:rsidRPr="005E779B" w:rsidRDefault="007D61FB" w:rsidP="009D73E2">
            <w:pPr>
              <w:pStyle w:val="ARtabletextright"/>
              <w:rPr>
                <w:bCs/>
              </w:rPr>
            </w:pPr>
            <w:r w:rsidRPr="000D7454">
              <w:t>12</w:t>
            </w:r>
          </w:p>
        </w:tc>
        <w:tc>
          <w:tcPr>
            <w:tcW w:w="806" w:type="dxa"/>
            <w:tcBorders>
              <w:top w:val="single" w:sz="4" w:space="0" w:color="A6A6A6" w:themeColor="background1" w:themeShade="A6"/>
              <w:left w:val="single" w:sz="4" w:space="0" w:color="auto"/>
              <w:right w:val="nil"/>
            </w:tcBorders>
            <w:shd w:val="clear" w:color="auto" w:fill="E7E6E6" w:themeFill="accent4"/>
          </w:tcPr>
          <w:p w14:paraId="7A62B35E" w14:textId="77777777" w:rsidR="007D61FB" w:rsidRPr="005E779B" w:rsidRDefault="007D61FB" w:rsidP="009D73E2">
            <w:pPr>
              <w:pStyle w:val="ARtabletextright"/>
              <w:rPr>
                <w:bCs/>
              </w:rPr>
            </w:pPr>
            <w:r w:rsidRPr="000D7454">
              <w:t>194</w:t>
            </w:r>
          </w:p>
        </w:tc>
        <w:tc>
          <w:tcPr>
            <w:tcW w:w="797" w:type="dxa"/>
            <w:tcBorders>
              <w:top w:val="single" w:sz="4" w:space="0" w:color="A6A6A6" w:themeColor="background1" w:themeShade="A6"/>
              <w:left w:val="nil"/>
            </w:tcBorders>
            <w:shd w:val="clear" w:color="auto" w:fill="E7E6E6" w:themeFill="accent4"/>
          </w:tcPr>
          <w:p w14:paraId="37880407" w14:textId="77777777" w:rsidR="007D61FB" w:rsidRPr="005E779B" w:rsidRDefault="007D61FB" w:rsidP="009D73E2">
            <w:pPr>
              <w:pStyle w:val="ARtabletextright"/>
              <w:rPr>
                <w:bCs/>
              </w:rPr>
            </w:pPr>
            <w:r w:rsidRPr="000D7454">
              <w:t>191</w:t>
            </w:r>
          </w:p>
        </w:tc>
      </w:tr>
      <w:tr w:rsidR="008B3B0C" w:rsidRPr="005E779B" w14:paraId="60740710" w14:textId="77777777" w:rsidTr="004C23DF">
        <w:trPr>
          <w:gridAfter w:val="1"/>
          <w:wAfter w:w="66" w:type="dxa"/>
          <w:cantSplit w:val="0"/>
        </w:trPr>
        <w:tc>
          <w:tcPr>
            <w:tcW w:w="1696" w:type="dxa"/>
            <w:tcBorders>
              <w:top w:val="single" w:sz="4" w:space="0" w:color="A6A6A6" w:themeColor="background1" w:themeShade="A6"/>
              <w:right w:val="nil"/>
            </w:tcBorders>
          </w:tcPr>
          <w:p w14:paraId="7C901B5C" w14:textId="77777777" w:rsidR="007D61FB" w:rsidRPr="00731879" w:rsidRDefault="007D61FB" w:rsidP="009D73E2">
            <w:pPr>
              <w:pStyle w:val="ARtabletext"/>
              <w:rPr>
                <w:b/>
              </w:rPr>
            </w:pPr>
            <w:r w:rsidRPr="00731879">
              <w:t xml:space="preserve">STS </w:t>
            </w:r>
            <w:r w:rsidRPr="00731879">
              <w:rPr>
                <w:rStyle w:val="FootnoteReference"/>
                <w:bCs/>
              </w:rPr>
              <w:footnoteReference w:id="6"/>
            </w:r>
          </w:p>
        </w:tc>
        <w:tc>
          <w:tcPr>
            <w:tcW w:w="825" w:type="dxa"/>
            <w:tcBorders>
              <w:top w:val="single" w:sz="4" w:space="0" w:color="A6A6A6" w:themeColor="background1" w:themeShade="A6"/>
              <w:left w:val="nil"/>
              <w:right w:val="nil"/>
            </w:tcBorders>
            <w:vAlign w:val="bottom"/>
          </w:tcPr>
          <w:p w14:paraId="3F76A3B7" w14:textId="77777777" w:rsidR="007D61FB" w:rsidRPr="005E779B" w:rsidRDefault="007D61FB" w:rsidP="009D73E2">
            <w:pPr>
              <w:pStyle w:val="ARtabletextright"/>
              <w:rPr>
                <w:b/>
                <w:bCs/>
              </w:rPr>
            </w:pPr>
            <w:r w:rsidRPr="000D7454">
              <w:t>22</w:t>
            </w:r>
          </w:p>
        </w:tc>
        <w:tc>
          <w:tcPr>
            <w:tcW w:w="779" w:type="dxa"/>
            <w:tcBorders>
              <w:top w:val="single" w:sz="4" w:space="0" w:color="A6A6A6" w:themeColor="background1" w:themeShade="A6"/>
              <w:left w:val="nil"/>
              <w:right w:val="single" w:sz="4" w:space="0" w:color="auto"/>
            </w:tcBorders>
            <w:vAlign w:val="bottom"/>
          </w:tcPr>
          <w:p w14:paraId="457370BB" w14:textId="77777777" w:rsidR="007D61FB" w:rsidRPr="005E779B" w:rsidRDefault="007D61FB" w:rsidP="009D73E2">
            <w:pPr>
              <w:pStyle w:val="ARtabletextright"/>
              <w:rPr>
                <w:b/>
                <w:bCs/>
              </w:rPr>
            </w:pPr>
            <w:r w:rsidRPr="000D7454">
              <w:t>21.36</w:t>
            </w:r>
          </w:p>
        </w:tc>
        <w:tc>
          <w:tcPr>
            <w:tcW w:w="1068" w:type="dxa"/>
            <w:tcBorders>
              <w:top w:val="single" w:sz="4" w:space="0" w:color="A6A6A6" w:themeColor="background1" w:themeShade="A6"/>
              <w:left w:val="single" w:sz="4" w:space="0" w:color="auto"/>
              <w:right w:val="nil"/>
            </w:tcBorders>
            <w:vAlign w:val="bottom"/>
          </w:tcPr>
          <w:p w14:paraId="78B89A2F" w14:textId="77777777" w:rsidR="007D61FB" w:rsidRPr="005E779B" w:rsidRDefault="007D61FB" w:rsidP="009D73E2">
            <w:pPr>
              <w:pStyle w:val="ARtabletextright"/>
              <w:rPr>
                <w:b/>
                <w:bCs/>
              </w:rPr>
            </w:pPr>
            <w:r w:rsidRPr="000D7454">
              <w:t>12</w:t>
            </w:r>
          </w:p>
        </w:tc>
        <w:tc>
          <w:tcPr>
            <w:tcW w:w="872" w:type="dxa"/>
            <w:tcBorders>
              <w:top w:val="single" w:sz="4" w:space="0" w:color="A6A6A6" w:themeColor="background1" w:themeShade="A6"/>
              <w:left w:val="nil"/>
              <w:right w:val="nil"/>
            </w:tcBorders>
            <w:vAlign w:val="bottom"/>
          </w:tcPr>
          <w:p w14:paraId="5CFFFEA0" w14:textId="77777777" w:rsidR="007D61FB" w:rsidRPr="005E779B" w:rsidRDefault="007D61FB" w:rsidP="009D73E2">
            <w:pPr>
              <w:pStyle w:val="ARtabletextright"/>
              <w:rPr>
                <w:b/>
                <w:bCs/>
              </w:rPr>
            </w:pPr>
            <w:r w:rsidRPr="000D7454">
              <w:t>2</w:t>
            </w:r>
          </w:p>
        </w:tc>
        <w:tc>
          <w:tcPr>
            <w:tcW w:w="857" w:type="dxa"/>
            <w:tcBorders>
              <w:top w:val="single" w:sz="4" w:space="0" w:color="A6A6A6" w:themeColor="background1" w:themeShade="A6"/>
              <w:left w:val="nil"/>
              <w:right w:val="single" w:sz="4" w:space="0" w:color="auto"/>
            </w:tcBorders>
            <w:vAlign w:val="bottom"/>
          </w:tcPr>
          <w:p w14:paraId="63D81C36" w14:textId="77777777" w:rsidR="007D61FB" w:rsidRPr="005E779B" w:rsidRDefault="007D61FB" w:rsidP="009D73E2">
            <w:pPr>
              <w:pStyle w:val="ARtabletextright"/>
              <w:rPr>
                <w:b/>
                <w:bCs/>
              </w:rPr>
            </w:pPr>
            <w:r w:rsidRPr="000D7454">
              <w:t>13.36</w:t>
            </w:r>
          </w:p>
        </w:tc>
        <w:tc>
          <w:tcPr>
            <w:tcW w:w="844" w:type="dxa"/>
            <w:tcBorders>
              <w:top w:val="single" w:sz="4" w:space="0" w:color="A6A6A6" w:themeColor="background1" w:themeShade="A6"/>
              <w:left w:val="single" w:sz="4" w:space="0" w:color="auto"/>
              <w:right w:val="nil"/>
            </w:tcBorders>
            <w:vAlign w:val="bottom"/>
          </w:tcPr>
          <w:p w14:paraId="74BF2685" w14:textId="77777777" w:rsidR="007D61FB" w:rsidRPr="005E779B" w:rsidRDefault="007D61FB" w:rsidP="009D73E2">
            <w:pPr>
              <w:pStyle w:val="ARtabletextright"/>
              <w:rPr>
                <w:b/>
                <w:bCs/>
              </w:rPr>
            </w:pPr>
            <w:r w:rsidRPr="000D7454">
              <w:t>8</w:t>
            </w:r>
          </w:p>
        </w:tc>
        <w:tc>
          <w:tcPr>
            <w:tcW w:w="851" w:type="dxa"/>
            <w:tcBorders>
              <w:top w:val="single" w:sz="4" w:space="0" w:color="A6A6A6" w:themeColor="background1" w:themeShade="A6"/>
              <w:left w:val="nil"/>
              <w:right w:val="single" w:sz="4" w:space="0" w:color="auto"/>
            </w:tcBorders>
            <w:vAlign w:val="bottom"/>
          </w:tcPr>
          <w:p w14:paraId="6435B387" w14:textId="77777777" w:rsidR="007D61FB" w:rsidRPr="005E779B" w:rsidRDefault="007D61FB" w:rsidP="009D73E2">
            <w:pPr>
              <w:pStyle w:val="ARtabletextright"/>
              <w:rPr>
                <w:b/>
                <w:bCs/>
              </w:rPr>
            </w:pPr>
            <w:r w:rsidRPr="000D7454">
              <w:t>8</w:t>
            </w:r>
          </w:p>
        </w:tc>
        <w:tc>
          <w:tcPr>
            <w:tcW w:w="992" w:type="dxa"/>
            <w:tcBorders>
              <w:top w:val="single" w:sz="4" w:space="0" w:color="A6A6A6" w:themeColor="background1" w:themeShade="A6"/>
              <w:right w:val="nil"/>
            </w:tcBorders>
            <w:shd w:val="clear" w:color="auto" w:fill="E7E6E6" w:themeFill="accent4"/>
          </w:tcPr>
          <w:p w14:paraId="7B351B94" w14:textId="77777777" w:rsidR="007D61FB" w:rsidRPr="005E779B" w:rsidRDefault="007D61FB" w:rsidP="009D73E2">
            <w:pPr>
              <w:pStyle w:val="ARtabletextright"/>
              <w:rPr>
                <w:bCs/>
              </w:rPr>
            </w:pPr>
            <w:r w:rsidRPr="000D7454">
              <w:t>15</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3F6FFF4B" w14:textId="77777777" w:rsidR="007D61FB" w:rsidRPr="005E779B" w:rsidRDefault="007D61FB" w:rsidP="009D73E2">
            <w:pPr>
              <w:pStyle w:val="ARtabletextright"/>
              <w:rPr>
                <w:bCs/>
              </w:rPr>
            </w:pPr>
            <w:r w:rsidRPr="000D7454">
              <w:t>15</w:t>
            </w:r>
          </w:p>
        </w:tc>
        <w:tc>
          <w:tcPr>
            <w:tcW w:w="984" w:type="dxa"/>
            <w:tcBorders>
              <w:top w:val="single" w:sz="4" w:space="0" w:color="A6A6A6" w:themeColor="background1" w:themeShade="A6"/>
              <w:left w:val="single" w:sz="4" w:space="0" w:color="auto"/>
              <w:right w:val="nil"/>
            </w:tcBorders>
            <w:shd w:val="clear" w:color="auto" w:fill="E7E6E6" w:themeFill="accent4"/>
          </w:tcPr>
          <w:p w14:paraId="46A1A3E8" w14:textId="77777777" w:rsidR="007D61FB" w:rsidRPr="005E779B" w:rsidRDefault="007D61FB" w:rsidP="009D73E2">
            <w:pPr>
              <w:pStyle w:val="ARtabletextright"/>
              <w:rPr>
                <w:bCs/>
              </w:rPr>
            </w:pPr>
            <w:r w:rsidRPr="000D7454">
              <w:t>11</w:t>
            </w:r>
          </w:p>
        </w:tc>
        <w:tc>
          <w:tcPr>
            <w:tcW w:w="944" w:type="dxa"/>
            <w:tcBorders>
              <w:top w:val="single" w:sz="4" w:space="0" w:color="A6A6A6" w:themeColor="background1" w:themeShade="A6"/>
              <w:left w:val="nil"/>
              <w:right w:val="nil"/>
            </w:tcBorders>
            <w:shd w:val="clear" w:color="auto" w:fill="E7E6E6" w:themeFill="accent4"/>
          </w:tcPr>
          <w:p w14:paraId="4219D5F2" w14:textId="77777777" w:rsidR="007D61FB" w:rsidRPr="005E779B" w:rsidRDefault="007D61FB" w:rsidP="009D73E2">
            <w:pPr>
              <w:pStyle w:val="ARtabletextright"/>
              <w:rPr>
                <w:bCs/>
              </w:rPr>
            </w:pPr>
            <w:r w:rsidRPr="000D7454">
              <w:t>0</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74317682" w14:textId="77777777" w:rsidR="007D61FB" w:rsidRPr="005E779B" w:rsidRDefault="007D61FB" w:rsidP="009D73E2">
            <w:pPr>
              <w:pStyle w:val="ARtabletextright"/>
              <w:rPr>
                <w:bCs/>
              </w:rPr>
            </w:pPr>
            <w:r w:rsidRPr="000D7454">
              <w:t>11</w:t>
            </w:r>
          </w:p>
        </w:tc>
        <w:tc>
          <w:tcPr>
            <w:tcW w:w="806" w:type="dxa"/>
            <w:tcBorders>
              <w:top w:val="single" w:sz="4" w:space="0" w:color="A6A6A6" w:themeColor="background1" w:themeShade="A6"/>
              <w:left w:val="single" w:sz="4" w:space="0" w:color="auto"/>
              <w:right w:val="nil"/>
            </w:tcBorders>
            <w:shd w:val="clear" w:color="auto" w:fill="E7E6E6" w:themeFill="accent4"/>
          </w:tcPr>
          <w:p w14:paraId="289C5203" w14:textId="77777777" w:rsidR="007D61FB" w:rsidRPr="005E779B" w:rsidRDefault="007D61FB" w:rsidP="009D73E2">
            <w:pPr>
              <w:pStyle w:val="ARtabletextright"/>
              <w:rPr>
                <w:bCs/>
              </w:rPr>
            </w:pPr>
            <w:r w:rsidRPr="000D7454">
              <w:t>4</w:t>
            </w:r>
          </w:p>
        </w:tc>
        <w:tc>
          <w:tcPr>
            <w:tcW w:w="797" w:type="dxa"/>
            <w:tcBorders>
              <w:top w:val="single" w:sz="4" w:space="0" w:color="A6A6A6" w:themeColor="background1" w:themeShade="A6"/>
              <w:left w:val="nil"/>
            </w:tcBorders>
            <w:shd w:val="clear" w:color="auto" w:fill="E7E6E6" w:themeFill="accent4"/>
          </w:tcPr>
          <w:p w14:paraId="10030F70" w14:textId="77777777" w:rsidR="007D61FB" w:rsidRPr="005E779B" w:rsidRDefault="007D61FB" w:rsidP="009D73E2">
            <w:pPr>
              <w:pStyle w:val="ARtabletextright"/>
              <w:rPr>
                <w:bCs/>
              </w:rPr>
            </w:pPr>
            <w:r w:rsidRPr="000D7454">
              <w:t>4</w:t>
            </w:r>
          </w:p>
        </w:tc>
      </w:tr>
      <w:tr w:rsidR="008B3B0C" w:rsidRPr="005E779B" w14:paraId="061966D2" w14:textId="77777777" w:rsidTr="004C23DF">
        <w:trPr>
          <w:gridAfter w:val="1"/>
          <w:wAfter w:w="66" w:type="dxa"/>
          <w:cantSplit w:val="0"/>
        </w:trPr>
        <w:tc>
          <w:tcPr>
            <w:tcW w:w="1696" w:type="dxa"/>
            <w:tcBorders>
              <w:top w:val="single" w:sz="4" w:space="0" w:color="A6A6A6" w:themeColor="background1" w:themeShade="A6"/>
              <w:right w:val="nil"/>
            </w:tcBorders>
          </w:tcPr>
          <w:p w14:paraId="5E3FE6AC" w14:textId="77777777" w:rsidR="007D61FB" w:rsidRPr="00731879" w:rsidRDefault="007D61FB" w:rsidP="009D73E2">
            <w:pPr>
              <w:pStyle w:val="ARtabletext"/>
              <w:rPr>
                <w:b/>
              </w:rPr>
            </w:pPr>
            <w:r w:rsidRPr="00731879">
              <w:t xml:space="preserve">SMA </w:t>
            </w:r>
            <w:r w:rsidRPr="00731879">
              <w:rPr>
                <w:rStyle w:val="FootnoteReference"/>
                <w:bCs/>
              </w:rPr>
              <w:footnoteReference w:id="7"/>
            </w:r>
          </w:p>
        </w:tc>
        <w:tc>
          <w:tcPr>
            <w:tcW w:w="825" w:type="dxa"/>
            <w:tcBorders>
              <w:top w:val="single" w:sz="4" w:space="0" w:color="A6A6A6" w:themeColor="background1" w:themeShade="A6"/>
              <w:left w:val="nil"/>
              <w:right w:val="nil"/>
            </w:tcBorders>
          </w:tcPr>
          <w:p w14:paraId="548149F9" w14:textId="77777777" w:rsidR="007D61FB" w:rsidRPr="005E779B" w:rsidRDefault="007D61FB" w:rsidP="009D73E2">
            <w:pPr>
              <w:pStyle w:val="ARtabletextright"/>
              <w:rPr>
                <w:b/>
                <w:bCs/>
              </w:rPr>
            </w:pPr>
            <w:r w:rsidRPr="000D7454">
              <w:t>0</w:t>
            </w:r>
          </w:p>
        </w:tc>
        <w:tc>
          <w:tcPr>
            <w:tcW w:w="779" w:type="dxa"/>
            <w:tcBorders>
              <w:top w:val="single" w:sz="4" w:space="0" w:color="A6A6A6" w:themeColor="background1" w:themeShade="A6"/>
              <w:left w:val="nil"/>
              <w:right w:val="single" w:sz="4" w:space="0" w:color="auto"/>
            </w:tcBorders>
          </w:tcPr>
          <w:p w14:paraId="7EFFA819" w14:textId="77777777" w:rsidR="007D61FB" w:rsidRPr="005E779B" w:rsidRDefault="007D61FB" w:rsidP="009D73E2">
            <w:pPr>
              <w:pStyle w:val="ARtabletextright"/>
              <w:rPr>
                <w:b/>
                <w:bCs/>
              </w:rPr>
            </w:pPr>
            <w:r w:rsidRPr="000D7454">
              <w:t>0</w:t>
            </w:r>
          </w:p>
        </w:tc>
        <w:tc>
          <w:tcPr>
            <w:tcW w:w="1068" w:type="dxa"/>
            <w:tcBorders>
              <w:top w:val="single" w:sz="4" w:space="0" w:color="A6A6A6" w:themeColor="background1" w:themeShade="A6"/>
              <w:left w:val="single" w:sz="4" w:space="0" w:color="auto"/>
              <w:right w:val="nil"/>
            </w:tcBorders>
          </w:tcPr>
          <w:p w14:paraId="30E0D4B3" w14:textId="77777777" w:rsidR="007D61FB" w:rsidRPr="005E779B" w:rsidRDefault="007D61FB" w:rsidP="009D73E2">
            <w:pPr>
              <w:pStyle w:val="ARtabletextright"/>
              <w:rPr>
                <w:b/>
                <w:bCs/>
              </w:rPr>
            </w:pPr>
            <w:r w:rsidRPr="000D7454">
              <w:t>0</w:t>
            </w:r>
          </w:p>
        </w:tc>
        <w:tc>
          <w:tcPr>
            <w:tcW w:w="872" w:type="dxa"/>
            <w:tcBorders>
              <w:top w:val="single" w:sz="4" w:space="0" w:color="A6A6A6" w:themeColor="background1" w:themeShade="A6"/>
              <w:left w:val="nil"/>
              <w:right w:val="nil"/>
            </w:tcBorders>
          </w:tcPr>
          <w:p w14:paraId="3C4C9631" w14:textId="77777777" w:rsidR="007D61FB" w:rsidRPr="005E779B" w:rsidRDefault="007D61FB" w:rsidP="009D73E2">
            <w:pPr>
              <w:pStyle w:val="ARtabletextright"/>
              <w:rPr>
                <w:b/>
                <w:bCs/>
              </w:rPr>
            </w:pPr>
            <w:r w:rsidRPr="000D7454">
              <w:t>0</w:t>
            </w:r>
          </w:p>
        </w:tc>
        <w:tc>
          <w:tcPr>
            <w:tcW w:w="857" w:type="dxa"/>
            <w:tcBorders>
              <w:top w:val="single" w:sz="4" w:space="0" w:color="A6A6A6" w:themeColor="background1" w:themeShade="A6"/>
              <w:left w:val="nil"/>
              <w:right w:val="single" w:sz="4" w:space="0" w:color="auto"/>
            </w:tcBorders>
          </w:tcPr>
          <w:p w14:paraId="612AB45C" w14:textId="77777777" w:rsidR="007D61FB" w:rsidRPr="005E779B" w:rsidRDefault="007D61FB" w:rsidP="009D73E2">
            <w:pPr>
              <w:pStyle w:val="ARtabletextright"/>
              <w:rPr>
                <w:b/>
                <w:bCs/>
              </w:rPr>
            </w:pPr>
            <w:r w:rsidRPr="000D7454">
              <w:t>0</w:t>
            </w:r>
          </w:p>
        </w:tc>
        <w:tc>
          <w:tcPr>
            <w:tcW w:w="844" w:type="dxa"/>
            <w:tcBorders>
              <w:top w:val="single" w:sz="4" w:space="0" w:color="A6A6A6" w:themeColor="background1" w:themeShade="A6"/>
              <w:left w:val="single" w:sz="4" w:space="0" w:color="auto"/>
              <w:right w:val="nil"/>
            </w:tcBorders>
          </w:tcPr>
          <w:p w14:paraId="3E56101A" w14:textId="77777777" w:rsidR="007D61FB" w:rsidRPr="005E779B" w:rsidRDefault="007D61FB" w:rsidP="009D73E2">
            <w:pPr>
              <w:pStyle w:val="ARtabletextright"/>
              <w:rPr>
                <w:b/>
                <w:bCs/>
              </w:rPr>
            </w:pPr>
            <w:r w:rsidRPr="000D7454">
              <w:t>0</w:t>
            </w:r>
          </w:p>
        </w:tc>
        <w:tc>
          <w:tcPr>
            <w:tcW w:w="851" w:type="dxa"/>
            <w:tcBorders>
              <w:top w:val="single" w:sz="4" w:space="0" w:color="A6A6A6" w:themeColor="background1" w:themeShade="A6"/>
              <w:left w:val="nil"/>
              <w:right w:val="single" w:sz="4" w:space="0" w:color="auto"/>
            </w:tcBorders>
          </w:tcPr>
          <w:p w14:paraId="06B497C1" w14:textId="77777777" w:rsidR="007D61FB" w:rsidRPr="005E779B" w:rsidRDefault="007D61FB" w:rsidP="009D73E2">
            <w:pPr>
              <w:pStyle w:val="ARtabletextright"/>
              <w:rPr>
                <w:b/>
                <w:bCs/>
              </w:rPr>
            </w:pPr>
            <w:r w:rsidRPr="000D7454">
              <w:t>0</w:t>
            </w:r>
          </w:p>
        </w:tc>
        <w:tc>
          <w:tcPr>
            <w:tcW w:w="992" w:type="dxa"/>
            <w:tcBorders>
              <w:top w:val="single" w:sz="4" w:space="0" w:color="A6A6A6" w:themeColor="background1" w:themeShade="A6"/>
              <w:right w:val="nil"/>
            </w:tcBorders>
            <w:shd w:val="clear" w:color="auto" w:fill="E7E6E6" w:themeFill="accent4"/>
          </w:tcPr>
          <w:p w14:paraId="592E8694" w14:textId="77777777" w:rsidR="007D61FB" w:rsidRPr="005E779B" w:rsidRDefault="007D61FB" w:rsidP="009D73E2">
            <w:pPr>
              <w:pStyle w:val="ARtabletextright"/>
              <w:rPr>
                <w:bCs/>
              </w:rPr>
            </w:pPr>
            <w:r w:rsidRPr="000D7454">
              <w:t>0</w:t>
            </w:r>
          </w:p>
        </w:tc>
        <w:tc>
          <w:tcPr>
            <w:tcW w:w="765"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68EDAFD5" w14:textId="77777777" w:rsidR="007D61FB" w:rsidRPr="005E779B" w:rsidRDefault="007D61FB" w:rsidP="009D73E2">
            <w:pPr>
              <w:pStyle w:val="ARtabletextright"/>
              <w:rPr>
                <w:bCs/>
              </w:rPr>
            </w:pPr>
            <w:r w:rsidRPr="000D7454">
              <w:t>0</w:t>
            </w:r>
          </w:p>
        </w:tc>
        <w:tc>
          <w:tcPr>
            <w:tcW w:w="984" w:type="dxa"/>
            <w:tcBorders>
              <w:top w:val="single" w:sz="4" w:space="0" w:color="A6A6A6" w:themeColor="background1" w:themeShade="A6"/>
              <w:left w:val="single" w:sz="4" w:space="0" w:color="auto"/>
              <w:right w:val="nil"/>
            </w:tcBorders>
            <w:shd w:val="clear" w:color="auto" w:fill="E7E6E6" w:themeFill="accent4"/>
          </w:tcPr>
          <w:p w14:paraId="017F76F1" w14:textId="77777777" w:rsidR="007D61FB" w:rsidRPr="005E779B" w:rsidRDefault="007D61FB" w:rsidP="009D73E2">
            <w:pPr>
              <w:pStyle w:val="ARtabletextright"/>
              <w:rPr>
                <w:bCs/>
              </w:rPr>
            </w:pPr>
            <w:r w:rsidRPr="000D7454">
              <w:t>0</w:t>
            </w:r>
          </w:p>
        </w:tc>
        <w:tc>
          <w:tcPr>
            <w:tcW w:w="944" w:type="dxa"/>
            <w:tcBorders>
              <w:top w:val="single" w:sz="4" w:space="0" w:color="A6A6A6" w:themeColor="background1" w:themeShade="A6"/>
              <w:left w:val="nil"/>
              <w:right w:val="nil"/>
            </w:tcBorders>
            <w:shd w:val="clear" w:color="auto" w:fill="E7E6E6" w:themeFill="accent4"/>
          </w:tcPr>
          <w:p w14:paraId="1202B8FF" w14:textId="77777777" w:rsidR="007D61FB" w:rsidRPr="005E779B" w:rsidRDefault="007D61FB" w:rsidP="009D73E2">
            <w:pPr>
              <w:pStyle w:val="ARtabletextright"/>
              <w:rPr>
                <w:bCs/>
              </w:rPr>
            </w:pPr>
            <w:r w:rsidRPr="000D7454">
              <w:t>0</w:t>
            </w:r>
          </w:p>
        </w:tc>
        <w:tc>
          <w:tcPr>
            <w:tcW w:w="851" w:type="dxa"/>
            <w:tcBorders>
              <w:top w:val="single" w:sz="4" w:space="0" w:color="A6A6A6" w:themeColor="background1" w:themeShade="A6"/>
              <w:left w:val="nil"/>
              <w:bottom w:val="single" w:sz="4" w:space="0" w:color="auto"/>
              <w:right w:val="single" w:sz="4" w:space="0" w:color="auto"/>
            </w:tcBorders>
            <w:shd w:val="clear" w:color="auto" w:fill="E7E6E6" w:themeFill="accent4"/>
          </w:tcPr>
          <w:p w14:paraId="0D7FC005" w14:textId="77777777" w:rsidR="007D61FB" w:rsidRPr="005E779B" w:rsidRDefault="007D61FB" w:rsidP="009D73E2">
            <w:pPr>
              <w:pStyle w:val="ARtabletextright"/>
              <w:rPr>
                <w:bCs/>
              </w:rPr>
            </w:pPr>
            <w:r w:rsidRPr="000D7454">
              <w:t>0</w:t>
            </w:r>
          </w:p>
        </w:tc>
        <w:tc>
          <w:tcPr>
            <w:tcW w:w="806" w:type="dxa"/>
            <w:tcBorders>
              <w:top w:val="single" w:sz="4" w:space="0" w:color="A6A6A6" w:themeColor="background1" w:themeShade="A6"/>
              <w:left w:val="single" w:sz="4" w:space="0" w:color="auto"/>
              <w:right w:val="nil"/>
            </w:tcBorders>
            <w:shd w:val="clear" w:color="auto" w:fill="E7E6E6" w:themeFill="accent4"/>
          </w:tcPr>
          <w:p w14:paraId="78F63354" w14:textId="77777777" w:rsidR="007D61FB" w:rsidRPr="005E779B" w:rsidRDefault="007D61FB" w:rsidP="009D73E2">
            <w:pPr>
              <w:pStyle w:val="ARtabletextright"/>
              <w:rPr>
                <w:bCs/>
              </w:rPr>
            </w:pPr>
            <w:r w:rsidRPr="000D7454">
              <w:t>0</w:t>
            </w:r>
          </w:p>
        </w:tc>
        <w:tc>
          <w:tcPr>
            <w:tcW w:w="797" w:type="dxa"/>
            <w:tcBorders>
              <w:top w:val="single" w:sz="4" w:space="0" w:color="A6A6A6" w:themeColor="background1" w:themeShade="A6"/>
              <w:left w:val="nil"/>
            </w:tcBorders>
            <w:shd w:val="clear" w:color="auto" w:fill="E7E6E6" w:themeFill="accent4"/>
          </w:tcPr>
          <w:p w14:paraId="181C05DB" w14:textId="77777777" w:rsidR="007D61FB" w:rsidRPr="005E779B" w:rsidRDefault="007D61FB" w:rsidP="009D73E2">
            <w:pPr>
              <w:pStyle w:val="ARtabletextright"/>
              <w:rPr>
                <w:bCs/>
              </w:rPr>
            </w:pPr>
            <w:r w:rsidRPr="000D7454">
              <w:t>0</w:t>
            </w:r>
          </w:p>
        </w:tc>
      </w:tr>
      <w:tr w:rsidR="008B3B0C" w:rsidRPr="00E53E5F" w14:paraId="3DEBA846" w14:textId="77777777" w:rsidTr="004C23DF">
        <w:trPr>
          <w:gridAfter w:val="1"/>
          <w:wAfter w:w="66" w:type="dxa"/>
          <w:cantSplit w:val="0"/>
        </w:trPr>
        <w:tc>
          <w:tcPr>
            <w:tcW w:w="1696" w:type="dxa"/>
            <w:tcBorders>
              <w:top w:val="single" w:sz="4" w:space="0" w:color="auto"/>
              <w:bottom w:val="single" w:sz="4" w:space="0" w:color="auto"/>
              <w:right w:val="nil"/>
            </w:tcBorders>
          </w:tcPr>
          <w:p w14:paraId="178A4BFA" w14:textId="77777777" w:rsidR="007D61FB" w:rsidRPr="005E779B" w:rsidRDefault="007D61FB" w:rsidP="009D73E2">
            <w:pPr>
              <w:pStyle w:val="ARtablebluebold"/>
            </w:pPr>
            <w:r w:rsidRPr="000D7454">
              <w:t xml:space="preserve">Total employees </w:t>
            </w:r>
            <w:r w:rsidRPr="009D73E2">
              <w:rPr>
                <w:vertAlign w:val="superscript"/>
              </w:rPr>
              <w:footnoteReference w:id="8"/>
            </w:r>
          </w:p>
        </w:tc>
        <w:tc>
          <w:tcPr>
            <w:tcW w:w="825" w:type="dxa"/>
            <w:tcBorders>
              <w:top w:val="single" w:sz="4" w:space="0" w:color="auto"/>
              <w:left w:val="nil"/>
              <w:bottom w:val="single" w:sz="4" w:space="0" w:color="auto"/>
              <w:right w:val="nil"/>
            </w:tcBorders>
            <w:vAlign w:val="bottom"/>
          </w:tcPr>
          <w:p w14:paraId="2F916673" w14:textId="77777777" w:rsidR="007D61FB" w:rsidRPr="004D1479" w:rsidRDefault="007D61FB" w:rsidP="004D1479">
            <w:pPr>
              <w:pStyle w:val="ARtabletextrightbold"/>
            </w:pPr>
            <w:r w:rsidRPr="004D1479">
              <w:t>7,169</w:t>
            </w:r>
          </w:p>
        </w:tc>
        <w:tc>
          <w:tcPr>
            <w:tcW w:w="779" w:type="dxa"/>
            <w:tcBorders>
              <w:top w:val="single" w:sz="4" w:space="0" w:color="auto"/>
              <w:left w:val="nil"/>
              <w:bottom w:val="single" w:sz="4" w:space="0" w:color="auto"/>
              <w:right w:val="single" w:sz="4" w:space="0" w:color="auto"/>
            </w:tcBorders>
            <w:vAlign w:val="bottom"/>
          </w:tcPr>
          <w:p w14:paraId="78141F31" w14:textId="77777777" w:rsidR="007D61FB" w:rsidRPr="004D1479" w:rsidRDefault="007D61FB" w:rsidP="004D1479">
            <w:pPr>
              <w:pStyle w:val="ARtabletextrightbold"/>
            </w:pPr>
            <w:r w:rsidRPr="004D1479">
              <w:t>6,684.1</w:t>
            </w:r>
          </w:p>
        </w:tc>
        <w:tc>
          <w:tcPr>
            <w:tcW w:w="1068" w:type="dxa"/>
            <w:tcBorders>
              <w:top w:val="single" w:sz="4" w:space="0" w:color="auto"/>
              <w:left w:val="single" w:sz="4" w:space="0" w:color="auto"/>
              <w:bottom w:val="single" w:sz="4" w:space="0" w:color="auto"/>
              <w:right w:val="nil"/>
            </w:tcBorders>
            <w:vAlign w:val="bottom"/>
          </w:tcPr>
          <w:p w14:paraId="36FD9DB4" w14:textId="77777777" w:rsidR="007D61FB" w:rsidRPr="004D1479" w:rsidRDefault="007D61FB" w:rsidP="004D1479">
            <w:pPr>
              <w:pStyle w:val="ARtabletextrightbold"/>
            </w:pPr>
            <w:r w:rsidRPr="004D1479">
              <w:t>4,780</w:t>
            </w:r>
          </w:p>
        </w:tc>
        <w:tc>
          <w:tcPr>
            <w:tcW w:w="872" w:type="dxa"/>
            <w:tcBorders>
              <w:top w:val="single" w:sz="4" w:space="0" w:color="auto"/>
              <w:left w:val="nil"/>
              <w:bottom w:val="single" w:sz="4" w:space="0" w:color="auto"/>
              <w:right w:val="nil"/>
            </w:tcBorders>
            <w:vAlign w:val="bottom"/>
          </w:tcPr>
          <w:p w14:paraId="3A97C274" w14:textId="77777777" w:rsidR="007D61FB" w:rsidRPr="004D1479" w:rsidRDefault="007D61FB" w:rsidP="004D1479">
            <w:pPr>
              <w:pStyle w:val="ARtabletextrightbold"/>
            </w:pPr>
            <w:r w:rsidRPr="004D1479">
              <w:t>849</w:t>
            </w:r>
          </w:p>
        </w:tc>
        <w:tc>
          <w:tcPr>
            <w:tcW w:w="857" w:type="dxa"/>
            <w:tcBorders>
              <w:top w:val="single" w:sz="4" w:space="0" w:color="auto"/>
              <w:left w:val="nil"/>
              <w:bottom w:val="single" w:sz="4" w:space="0" w:color="auto"/>
              <w:right w:val="single" w:sz="4" w:space="0" w:color="auto"/>
            </w:tcBorders>
            <w:vAlign w:val="bottom"/>
          </w:tcPr>
          <w:p w14:paraId="6B0BC197" w14:textId="77777777" w:rsidR="007D61FB" w:rsidRPr="004D1479" w:rsidRDefault="007D61FB" w:rsidP="004D1479">
            <w:pPr>
              <w:pStyle w:val="ARtabletextrightbold"/>
            </w:pPr>
            <w:r w:rsidRPr="004D1479">
              <w:t>5,315.9</w:t>
            </w:r>
          </w:p>
        </w:tc>
        <w:tc>
          <w:tcPr>
            <w:tcW w:w="844" w:type="dxa"/>
            <w:tcBorders>
              <w:top w:val="single" w:sz="4" w:space="0" w:color="auto"/>
              <w:left w:val="single" w:sz="4" w:space="0" w:color="auto"/>
              <w:bottom w:val="single" w:sz="4" w:space="0" w:color="auto"/>
              <w:right w:val="nil"/>
            </w:tcBorders>
            <w:vAlign w:val="bottom"/>
          </w:tcPr>
          <w:p w14:paraId="3D0EBBCF" w14:textId="77777777" w:rsidR="007D61FB" w:rsidRPr="004D1479" w:rsidRDefault="007D61FB" w:rsidP="004D1479">
            <w:pPr>
              <w:pStyle w:val="ARtabletextrightbold"/>
            </w:pPr>
            <w:r w:rsidRPr="004D1479">
              <w:t>1,540</w:t>
            </w:r>
          </w:p>
        </w:tc>
        <w:tc>
          <w:tcPr>
            <w:tcW w:w="851" w:type="dxa"/>
            <w:tcBorders>
              <w:top w:val="single" w:sz="4" w:space="0" w:color="auto"/>
              <w:left w:val="nil"/>
              <w:bottom w:val="single" w:sz="4" w:space="0" w:color="auto"/>
              <w:right w:val="single" w:sz="4" w:space="0" w:color="auto"/>
            </w:tcBorders>
            <w:vAlign w:val="bottom"/>
          </w:tcPr>
          <w:p w14:paraId="7947DB13" w14:textId="77777777" w:rsidR="007D61FB" w:rsidRPr="004D1479" w:rsidRDefault="007D61FB" w:rsidP="004D1479">
            <w:pPr>
              <w:pStyle w:val="ARtabletextrightbold"/>
            </w:pPr>
            <w:r w:rsidRPr="004D1479">
              <w:t>1,368.3</w:t>
            </w:r>
          </w:p>
        </w:tc>
        <w:tc>
          <w:tcPr>
            <w:tcW w:w="992" w:type="dxa"/>
            <w:tcBorders>
              <w:top w:val="single" w:sz="4" w:space="0" w:color="auto"/>
              <w:bottom w:val="single" w:sz="4" w:space="0" w:color="auto"/>
              <w:right w:val="nil"/>
            </w:tcBorders>
            <w:shd w:val="clear" w:color="auto" w:fill="E7E6E6" w:themeFill="accent4"/>
            <w:vAlign w:val="bottom"/>
          </w:tcPr>
          <w:p w14:paraId="54AC50CD" w14:textId="77777777" w:rsidR="007D61FB" w:rsidRPr="004D1479" w:rsidRDefault="007D61FB" w:rsidP="007C7A9E">
            <w:pPr>
              <w:pStyle w:val="ARtabletextrightbold"/>
            </w:pPr>
            <w:r w:rsidRPr="004D1479">
              <w:t>7,150</w:t>
            </w:r>
          </w:p>
        </w:tc>
        <w:tc>
          <w:tcPr>
            <w:tcW w:w="765" w:type="dxa"/>
            <w:tcBorders>
              <w:top w:val="single" w:sz="4" w:space="0" w:color="auto"/>
              <w:left w:val="nil"/>
              <w:bottom w:val="single" w:sz="4" w:space="0" w:color="auto"/>
              <w:right w:val="single" w:sz="4" w:space="0" w:color="auto"/>
            </w:tcBorders>
            <w:shd w:val="clear" w:color="auto" w:fill="E7E6E6" w:themeFill="accent4"/>
            <w:vAlign w:val="bottom"/>
          </w:tcPr>
          <w:p w14:paraId="71A4ADB3" w14:textId="77777777" w:rsidR="007D61FB" w:rsidRPr="004D1479" w:rsidRDefault="007D61FB" w:rsidP="007C7A9E">
            <w:pPr>
              <w:pStyle w:val="ARtabletextrightbold"/>
            </w:pPr>
            <w:r w:rsidRPr="004D1479">
              <w:t>6,683.8</w:t>
            </w:r>
          </w:p>
        </w:tc>
        <w:tc>
          <w:tcPr>
            <w:tcW w:w="984" w:type="dxa"/>
            <w:tcBorders>
              <w:top w:val="single" w:sz="4" w:space="0" w:color="auto"/>
              <w:left w:val="single" w:sz="4" w:space="0" w:color="auto"/>
              <w:bottom w:val="single" w:sz="4" w:space="0" w:color="auto"/>
              <w:right w:val="nil"/>
            </w:tcBorders>
            <w:shd w:val="clear" w:color="auto" w:fill="E7E6E6" w:themeFill="accent4"/>
            <w:vAlign w:val="bottom"/>
          </w:tcPr>
          <w:p w14:paraId="55A89513" w14:textId="77777777" w:rsidR="007D61FB" w:rsidRPr="004D1479" w:rsidRDefault="007D61FB" w:rsidP="007C7A9E">
            <w:pPr>
              <w:pStyle w:val="ARtabletextrightbold"/>
            </w:pPr>
            <w:r w:rsidRPr="004D1479">
              <w:t>4,334</w:t>
            </w:r>
          </w:p>
        </w:tc>
        <w:tc>
          <w:tcPr>
            <w:tcW w:w="944" w:type="dxa"/>
            <w:tcBorders>
              <w:top w:val="single" w:sz="4" w:space="0" w:color="auto"/>
              <w:left w:val="nil"/>
              <w:bottom w:val="single" w:sz="4" w:space="0" w:color="auto"/>
              <w:right w:val="nil"/>
            </w:tcBorders>
            <w:shd w:val="clear" w:color="auto" w:fill="E7E6E6" w:themeFill="accent4"/>
            <w:vAlign w:val="bottom"/>
          </w:tcPr>
          <w:p w14:paraId="3F6BED38" w14:textId="77777777" w:rsidR="007D61FB" w:rsidRPr="004D1479" w:rsidRDefault="007D61FB" w:rsidP="007C7A9E">
            <w:pPr>
              <w:pStyle w:val="ARtabletextrightbold"/>
            </w:pPr>
            <w:r w:rsidRPr="004D1479">
              <w:t>812</w:t>
            </w:r>
          </w:p>
        </w:tc>
        <w:tc>
          <w:tcPr>
            <w:tcW w:w="851" w:type="dxa"/>
            <w:tcBorders>
              <w:top w:val="single" w:sz="4" w:space="0" w:color="auto"/>
              <w:left w:val="nil"/>
              <w:bottom w:val="single" w:sz="4" w:space="0" w:color="auto"/>
              <w:right w:val="single" w:sz="4" w:space="0" w:color="auto"/>
            </w:tcBorders>
            <w:shd w:val="clear" w:color="auto" w:fill="E7E6E6" w:themeFill="accent4"/>
            <w:vAlign w:val="bottom"/>
          </w:tcPr>
          <w:p w14:paraId="2A7845BA" w14:textId="77777777" w:rsidR="007D61FB" w:rsidRPr="004D1479" w:rsidRDefault="007D61FB" w:rsidP="007C7A9E">
            <w:pPr>
              <w:pStyle w:val="ARtabletextrightbold"/>
            </w:pPr>
            <w:r w:rsidRPr="004D1479">
              <w:t>4,841.8</w:t>
            </w:r>
          </w:p>
        </w:tc>
        <w:tc>
          <w:tcPr>
            <w:tcW w:w="806" w:type="dxa"/>
            <w:tcBorders>
              <w:top w:val="single" w:sz="4" w:space="0" w:color="auto"/>
              <w:left w:val="single" w:sz="4" w:space="0" w:color="auto"/>
              <w:bottom w:val="single" w:sz="4" w:space="0" w:color="auto"/>
              <w:right w:val="nil"/>
            </w:tcBorders>
            <w:shd w:val="clear" w:color="auto" w:fill="E7E6E6" w:themeFill="accent4"/>
            <w:vAlign w:val="bottom"/>
          </w:tcPr>
          <w:p w14:paraId="6317B5E1" w14:textId="77777777" w:rsidR="007D61FB" w:rsidRPr="004D1479" w:rsidRDefault="007D61FB" w:rsidP="007C7A9E">
            <w:pPr>
              <w:pStyle w:val="ARtabletextrightbold"/>
            </w:pPr>
            <w:r w:rsidRPr="004D1479">
              <w:t>2,008</w:t>
            </w:r>
          </w:p>
        </w:tc>
        <w:tc>
          <w:tcPr>
            <w:tcW w:w="797" w:type="dxa"/>
            <w:tcBorders>
              <w:top w:val="single" w:sz="4" w:space="0" w:color="auto"/>
              <w:left w:val="nil"/>
              <w:bottom w:val="single" w:sz="4" w:space="0" w:color="auto"/>
            </w:tcBorders>
            <w:shd w:val="clear" w:color="auto" w:fill="E7E6E6" w:themeFill="accent4"/>
            <w:vAlign w:val="bottom"/>
          </w:tcPr>
          <w:p w14:paraId="1FA95341" w14:textId="77777777" w:rsidR="007D61FB" w:rsidRPr="004D1479" w:rsidRDefault="007D61FB" w:rsidP="007C7A9E">
            <w:pPr>
              <w:pStyle w:val="ARtabletextrightbold"/>
            </w:pPr>
            <w:r w:rsidRPr="004D1479">
              <w:t>1,842.1</w:t>
            </w:r>
          </w:p>
        </w:tc>
      </w:tr>
    </w:tbl>
    <w:p w14:paraId="14A36019" w14:textId="77777777" w:rsidR="007D61FB" w:rsidRPr="00E53E5F" w:rsidRDefault="007D61FB">
      <w:pPr>
        <w:pStyle w:val="ARtablefootnote"/>
        <w:rPr>
          <w:highlight w:val="cyan"/>
        </w:rPr>
        <w:sectPr w:rsidR="007D61FB" w:rsidRPr="00E53E5F" w:rsidSect="004C23DF">
          <w:footnotePr>
            <w:numFmt w:val="lowerRoman"/>
            <w:numRestart w:val="eachPage"/>
          </w:footnotePr>
          <w:endnotePr>
            <w:numFmt w:val="decimal"/>
          </w:endnotePr>
          <w:pgSz w:w="16838" w:h="11906" w:orient="landscape" w:code="9"/>
          <w:pgMar w:top="1134" w:right="1134" w:bottom="851" w:left="1134" w:header="510" w:footer="340" w:gutter="0"/>
          <w:cols w:space="454"/>
          <w:docGrid w:linePitch="360"/>
        </w:sectPr>
      </w:pPr>
    </w:p>
    <w:p w14:paraId="5AAA4A50" w14:textId="77777777" w:rsidR="007D61FB" w:rsidRPr="001F4B6E" w:rsidRDefault="007D61FB">
      <w:pPr>
        <w:pStyle w:val="ARbody"/>
      </w:pPr>
      <w:r w:rsidRPr="001F4B6E">
        <w:t>The following table discloses the annualised total salary for senior employees of the department, categorised by classification. The salary amount is reported as the full-time annualised salary.</w:t>
      </w:r>
    </w:p>
    <w:p w14:paraId="1D859B78" w14:textId="4CA9D75C" w:rsidR="0055751D" w:rsidRDefault="007D61FB" w:rsidP="00A95A18">
      <w:pPr>
        <w:pStyle w:val="ARtablecaption"/>
      </w:pPr>
      <w:r w:rsidRPr="001F4B6E">
        <w:t xml:space="preserve">Table 2: Annualised total </w:t>
      </w:r>
      <w:r w:rsidRPr="00B029C3">
        <w:t>salary</w:t>
      </w:r>
      <w:r w:rsidRPr="001F4B6E">
        <w:t xml:space="preserve">, by $20,000 bands, for executives and other senior </w:t>
      </w:r>
      <w:r w:rsidR="005B7C9B">
        <w:br/>
      </w:r>
      <w:r w:rsidRPr="001F4B6E">
        <w:t>non-executive staff</w:t>
      </w:r>
      <w:r>
        <w:t xml:space="preserve"> </w:t>
      </w:r>
    </w:p>
    <w:tbl>
      <w:tblPr>
        <w:tblW w:w="9639" w:type="dxa"/>
        <w:tblInd w:w="-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E0" w:firstRow="1" w:lastRow="1" w:firstColumn="1" w:lastColumn="0" w:noHBand="1" w:noVBand="1"/>
      </w:tblPr>
      <w:tblGrid>
        <w:gridCol w:w="2409"/>
        <w:gridCol w:w="2410"/>
        <w:gridCol w:w="2410"/>
        <w:gridCol w:w="2410"/>
      </w:tblGrid>
      <w:tr w:rsidR="007D61FB" w:rsidRPr="001F4B6E" w14:paraId="5EE9C2AF" w14:textId="77777777" w:rsidTr="006B2EA1">
        <w:trPr>
          <w:cantSplit/>
          <w:tblHeader/>
        </w:trPr>
        <w:tc>
          <w:tcPr>
            <w:tcW w:w="1250" w:type="pct"/>
            <w:shd w:val="clear" w:color="auto" w:fill="auto"/>
            <w:vAlign w:val="bottom"/>
          </w:tcPr>
          <w:p w14:paraId="45F2722E" w14:textId="77777777" w:rsidR="007D61FB" w:rsidRPr="001F4B6E" w:rsidRDefault="007D61FB">
            <w:pPr>
              <w:pStyle w:val="ARtablecolhead"/>
            </w:pPr>
            <w:r w:rsidRPr="001F4B6E">
              <w:t>Income band (salary)</w:t>
            </w:r>
          </w:p>
        </w:tc>
        <w:tc>
          <w:tcPr>
            <w:tcW w:w="1250" w:type="pct"/>
            <w:tcBorders>
              <w:top w:val="nil"/>
            </w:tcBorders>
            <w:shd w:val="clear" w:color="auto" w:fill="auto"/>
            <w:vAlign w:val="bottom"/>
          </w:tcPr>
          <w:p w14:paraId="01131A18" w14:textId="77777777" w:rsidR="007D61FB" w:rsidRPr="001F4B6E" w:rsidRDefault="007D61FB">
            <w:pPr>
              <w:pStyle w:val="ARtablecolheadright"/>
            </w:pPr>
            <w:r w:rsidRPr="001F4B6E">
              <w:t>Executives</w:t>
            </w:r>
          </w:p>
        </w:tc>
        <w:tc>
          <w:tcPr>
            <w:tcW w:w="1250" w:type="pct"/>
            <w:tcBorders>
              <w:top w:val="nil"/>
            </w:tcBorders>
            <w:shd w:val="clear" w:color="auto" w:fill="auto"/>
            <w:vAlign w:val="bottom"/>
          </w:tcPr>
          <w:p w14:paraId="54DCB3DA" w14:textId="77777777" w:rsidR="007D61FB" w:rsidRPr="001F4B6E" w:rsidRDefault="007D61FB">
            <w:pPr>
              <w:pStyle w:val="ARtablecolheadright"/>
            </w:pPr>
            <w:r w:rsidRPr="001F4B6E">
              <w:t>STS</w:t>
            </w:r>
          </w:p>
        </w:tc>
        <w:tc>
          <w:tcPr>
            <w:tcW w:w="1250" w:type="pct"/>
            <w:tcBorders>
              <w:top w:val="nil"/>
              <w:right w:val="nil"/>
            </w:tcBorders>
            <w:vAlign w:val="bottom"/>
          </w:tcPr>
          <w:p w14:paraId="31ECA7AF" w14:textId="77777777" w:rsidR="007D61FB" w:rsidRPr="001F4B6E" w:rsidRDefault="007D61FB">
            <w:pPr>
              <w:pStyle w:val="ARtablecolheadright"/>
            </w:pPr>
            <w:r w:rsidRPr="001F4B6E">
              <w:t>SMA</w:t>
            </w:r>
          </w:p>
        </w:tc>
      </w:tr>
      <w:tr w:rsidR="007D61FB" w:rsidRPr="001F4B6E" w14:paraId="5867FACE" w14:textId="77777777" w:rsidTr="006B2EA1">
        <w:trPr>
          <w:cantSplit/>
        </w:trPr>
        <w:tc>
          <w:tcPr>
            <w:tcW w:w="1250" w:type="pct"/>
            <w:tcBorders>
              <w:top w:val="single" w:sz="4" w:space="0" w:color="BFBFBF"/>
              <w:bottom w:val="single" w:sz="4" w:space="0" w:color="BFBFBF"/>
            </w:tcBorders>
            <w:shd w:val="clear" w:color="auto" w:fill="auto"/>
          </w:tcPr>
          <w:p w14:paraId="48DE92CF" w14:textId="77777777" w:rsidR="007D61FB" w:rsidRPr="00B029C3" w:rsidRDefault="007D61FB" w:rsidP="00B029C3">
            <w:pPr>
              <w:pStyle w:val="ARtabletext"/>
            </w:pPr>
            <w:r w:rsidRPr="00B029C3">
              <w:t>$160,000–$179,999</w:t>
            </w:r>
          </w:p>
        </w:tc>
        <w:tc>
          <w:tcPr>
            <w:tcW w:w="1250" w:type="pct"/>
            <w:tcBorders>
              <w:top w:val="single" w:sz="4" w:space="0" w:color="BFBFBF"/>
              <w:bottom w:val="single" w:sz="4" w:space="0" w:color="BFBFBF"/>
            </w:tcBorders>
            <w:shd w:val="clear" w:color="auto" w:fill="auto"/>
            <w:vAlign w:val="bottom"/>
          </w:tcPr>
          <w:p w14:paraId="1DB2E3DF" w14:textId="77777777" w:rsidR="007D61FB" w:rsidRPr="00B029C3" w:rsidRDefault="007D61FB" w:rsidP="00B029C3">
            <w:pPr>
              <w:pStyle w:val="ARtabletextright"/>
            </w:pPr>
            <w:r w:rsidRPr="00B029C3">
              <w:t>1</w:t>
            </w:r>
          </w:p>
        </w:tc>
        <w:tc>
          <w:tcPr>
            <w:tcW w:w="1250" w:type="pct"/>
            <w:tcBorders>
              <w:top w:val="single" w:sz="4" w:space="0" w:color="BFBFBF"/>
              <w:bottom w:val="single" w:sz="4" w:space="0" w:color="BFBFBF"/>
            </w:tcBorders>
            <w:shd w:val="clear" w:color="auto" w:fill="auto"/>
            <w:vAlign w:val="bottom"/>
          </w:tcPr>
          <w:p w14:paraId="72DC9F3A" w14:textId="77777777" w:rsidR="007D61FB" w:rsidRPr="00B029C3" w:rsidRDefault="007D61FB" w:rsidP="00B029C3">
            <w:pPr>
              <w:pStyle w:val="ARtabletextright"/>
            </w:pPr>
            <w:r w:rsidRPr="00B029C3">
              <w:t>4</w:t>
            </w:r>
          </w:p>
        </w:tc>
        <w:tc>
          <w:tcPr>
            <w:tcW w:w="1250" w:type="pct"/>
            <w:tcBorders>
              <w:top w:val="single" w:sz="4" w:space="0" w:color="BFBFBF"/>
              <w:bottom w:val="single" w:sz="4" w:space="0" w:color="BFBFBF"/>
              <w:right w:val="nil"/>
            </w:tcBorders>
          </w:tcPr>
          <w:p w14:paraId="14D55D46" w14:textId="77777777" w:rsidR="007D61FB" w:rsidRPr="00B029C3" w:rsidRDefault="007D61FB" w:rsidP="00B029C3">
            <w:pPr>
              <w:pStyle w:val="ARtabletextright"/>
            </w:pPr>
            <w:r w:rsidRPr="00B029C3">
              <w:t>0</w:t>
            </w:r>
          </w:p>
        </w:tc>
      </w:tr>
      <w:tr w:rsidR="007D61FB" w:rsidRPr="001F4B6E" w14:paraId="399FD3AA" w14:textId="77777777" w:rsidTr="006B2EA1">
        <w:trPr>
          <w:cantSplit/>
        </w:trPr>
        <w:tc>
          <w:tcPr>
            <w:tcW w:w="1250" w:type="pct"/>
            <w:tcBorders>
              <w:top w:val="single" w:sz="4" w:space="0" w:color="BFBFBF"/>
              <w:bottom w:val="single" w:sz="4" w:space="0" w:color="BFBFBF"/>
            </w:tcBorders>
            <w:shd w:val="clear" w:color="auto" w:fill="auto"/>
          </w:tcPr>
          <w:p w14:paraId="280D8967" w14:textId="77777777" w:rsidR="007D61FB" w:rsidRPr="00B029C3" w:rsidRDefault="007D61FB" w:rsidP="00B029C3">
            <w:pPr>
              <w:pStyle w:val="ARtabletext"/>
            </w:pPr>
            <w:r w:rsidRPr="00B029C3">
              <w:t>$180,000–$199,999</w:t>
            </w:r>
          </w:p>
        </w:tc>
        <w:tc>
          <w:tcPr>
            <w:tcW w:w="1250" w:type="pct"/>
            <w:tcBorders>
              <w:top w:val="single" w:sz="4" w:space="0" w:color="BFBFBF"/>
              <w:bottom w:val="single" w:sz="4" w:space="0" w:color="BFBFBF"/>
            </w:tcBorders>
            <w:shd w:val="clear" w:color="auto" w:fill="auto"/>
            <w:vAlign w:val="bottom"/>
          </w:tcPr>
          <w:p w14:paraId="2A5D02B8" w14:textId="77777777" w:rsidR="007D61FB" w:rsidRPr="00B029C3" w:rsidRDefault="007D61FB" w:rsidP="00B029C3">
            <w:pPr>
              <w:pStyle w:val="ARtabletextright"/>
            </w:pPr>
            <w:r w:rsidRPr="00B029C3">
              <w:t>3</w:t>
            </w:r>
          </w:p>
        </w:tc>
        <w:tc>
          <w:tcPr>
            <w:tcW w:w="1250" w:type="pct"/>
            <w:tcBorders>
              <w:top w:val="single" w:sz="4" w:space="0" w:color="BFBFBF"/>
              <w:bottom w:val="single" w:sz="4" w:space="0" w:color="BFBFBF"/>
            </w:tcBorders>
            <w:shd w:val="clear" w:color="auto" w:fill="auto"/>
            <w:vAlign w:val="bottom"/>
          </w:tcPr>
          <w:p w14:paraId="4D3E1F90" w14:textId="77777777" w:rsidR="007D61FB" w:rsidRPr="00B029C3" w:rsidRDefault="007D61FB" w:rsidP="00B029C3">
            <w:pPr>
              <w:pStyle w:val="ARtabletextright"/>
            </w:pPr>
            <w:r w:rsidRPr="00B029C3">
              <w:t>12</w:t>
            </w:r>
          </w:p>
        </w:tc>
        <w:tc>
          <w:tcPr>
            <w:tcW w:w="1250" w:type="pct"/>
            <w:tcBorders>
              <w:top w:val="single" w:sz="4" w:space="0" w:color="BFBFBF"/>
              <w:bottom w:val="single" w:sz="4" w:space="0" w:color="BFBFBF"/>
              <w:right w:val="nil"/>
            </w:tcBorders>
          </w:tcPr>
          <w:p w14:paraId="634DC588" w14:textId="77777777" w:rsidR="007D61FB" w:rsidRPr="00B029C3" w:rsidRDefault="007D61FB" w:rsidP="00B029C3">
            <w:pPr>
              <w:pStyle w:val="ARtabletextright"/>
            </w:pPr>
            <w:r w:rsidRPr="00B029C3">
              <w:t>0</w:t>
            </w:r>
          </w:p>
        </w:tc>
      </w:tr>
      <w:tr w:rsidR="007D61FB" w:rsidRPr="001F4B6E" w14:paraId="61A82F11" w14:textId="77777777" w:rsidTr="006B2EA1">
        <w:trPr>
          <w:cantSplit/>
        </w:trPr>
        <w:tc>
          <w:tcPr>
            <w:tcW w:w="1250" w:type="pct"/>
            <w:tcBorders>
              <w:top w:val="single" w:sz="4" w:space="0" w:color="BFBFBF"/>
              <w:bottom w:val="single" w:sz="4" w:space="0" w:color="BFBFBF"/>
            </w:tcBorders>
            <w:shd w:val="clear" w:color="auto" w:fill="auto"/>
          </w:tcPr>
          <w:p w14:paraId="4387F1C1" w14:textId="77777777" w:rsidR="007D61FB" w:rsidRPr="00B029C3" w:rsidRDefault="007D61FB" w:rsidP="00B029C3">
            <w:pPr>
              <w:pStyle w:val="ARtabletext"/>
            </w:pPr>
            <w:r w:rsidRPr="00B029C3">
              <w:t>$200,000–$219,999</w:t>
            </w:r>
          </w:p>
        </w:tc>
        <w:tc>
          <w:tcPr>
            <w:tcW w:w="1250" w:type="pct"/>
            <w:tcBorders>
              <w:top w:val="single" w:sz="4" w:space="0" w:color="BFBFBF"/>
              <w:bottom w:val="single" w:sz="4" w:space="0" w:color="BFBFBF"/>
            </w:tcBorders>
            <w:shd w:val="clear" w:color="auto" w:fill="auto"/>
            <w:vAlign w:val="bottom"/>
          </w:tcPr>
          <w:p w14:paraId="51526083" w14:textId="77777777" w:rsidR="007D61FB" w:rsidRPr="00B029C3" w:rsidRDefault="007D61FB" w:rsidP="00B029C3">
            <w:pPr>
              <w:pStyle w:val="ARtabletextright"/>
            </w:pPr>
            <w:r w:rsidRPr="00B029C3">
              <w:t>49</w:t>
            </w:r>
          </w:p>
        </w:tc>
        <w:tc>
          <w:tcPr>
            <w:tcW w:w="1250" w:type="pct"/>
            <w:tcBorders>
              <w:top w:val="single" w:sz="4" w:space="0" w:color="BFBFBF"/>
              <w:bottom w:val="single" w:sz="4" w:space="0" w:color="BFBFBF"/>
            </w:tcBorders>
            <w:shd w:val="clear" w:color="auto" w:fill="auto"/>
            <w:vAlign w:val="bottom"/>
          </w:tcPr>
          <w:p w14:paraId="604D74E7" w14:textId="77777777" w:rsidR="007D61FB" w:rsidRPr="00B029C3" w:rsidRDefault="007D61FB" w:rsidP="00B029C3">
            <w:pPr>
              <w:pStyle w:val="ARtabletextright"/>
            </w:pPr>
            <w:r w:rsidRPr="00B029C3">
              <w:t>2</w:t>
            </w:r>
          </w:p>
        </w:tc>
        <w:tc>
          <w:tcPr>
            <w:tcW w:w="1250" w:type="pct"/>
            <w:tcBorders>
              <w:top w:val="single" w:sz="4" w:space="0" w:color="BFBFBF"/>
              <w:bottom w:val="single" w:sz="4" w:space="0" w:color="BFBFBF"/>
              <w:right w:val="nil"/>
            </w:tcBorders>
          </w:tcPr>
          <w:p w14:paraId="168AB0AA" w14:textId="77777777" w:rsidR="007D61FB" w:rsidRPr="00B029C3" w:rsidRDefault="007D61FB" w:rsidP="00B029C3">
            <w:pPr>
              <w:pStyle w:val="ARtabletextright"/>
            </w:pPr>
            <w:r w:rsidRPr="00B029C3">
              <w:t>0</w:t>
            </w:r>
          </w:p>
        </w:tc>
      </w:tr>
      <w:tr w:rsidR="007D61FB" w:rsidRPr="001F4B6E" w14:paraId="25514949" w14:textId="77777777" w:rsidTr="006B2EA1">
        <w:trPr>
          <w:cantSplit/>
        </w:trPr>
        <w:tc>
          <w:tcPr>
            <w:tcW w:w="1250" w:type="pct"/>
            <w:tcBorders>
              <w:top w:val="single" w:sz="4" w:space="0" w:color="BFBFBF"/>
              <w:bottom w:val="single" w:sz="4" w:space="0" w:color="BFBFBF"/>
            </w:tcBorders>
            <w:shd w:val="clear" w:color="auto" w:fill="auto"/>
          </w:tcPr>
          <w:p w14:paraId="0C2279B1" w14:textId="77777777" w:rsidR="007D61FB" w:rsidRPr="00B029C3" w:rsidRDefault="007D61FB" w:rsidP="00B029C3">
            <w:pPr>
              <w:pStyle w:val="ARtabletext"/>
            </w:pPr>
            <w:r w:rsidRPr="00B029C3">
              <w:t>$220,000–$239,999</w:t>
            </w:r>
          </w:p>
        </w:tc>
        <w:tc>
          <w:tcPr>
            <w:tcW w:w="1250" w:type="pct"/>
            <w:tcBorders>
              <w:top w:val="single" w:sz="4" w:space="0" w:color="BFBFBF"/>
              <w:bottom w:val="single" w:sz="4" w:space="0" w:color="BFBFBF"/>
            </w:tcBorders>
            <w:shd w:val="clear" w:color="auto" w:fill="auto"/>
            <w:vAlign w:val="bottom"/>
          </w:tcPr>
          <w:p w14:paraId="21A33EF7" w14:textId="77777777" w:rsidR="007D61FB" w:rsidRPr="00B029C3" w:rsidRDefault="007D61FB" w:rsidP="00B029C3">
            <w:pPr>
              <w:pStyle w:val="ARtabletextright"/>
            </w:pPr>
            <w:r w:rsidRPr="00B029C3">
              <w:t>31</w:t>
            </w:r>
          </w:p>
        </w:tc>
        <w:tc>
          <w:tcPr>
            <w:tcW w:w="1250" w:type="pct"/>
            <w:tcBorders>
              <w:top w:val="single" w:sz="4" w:space="0" w:color="BFBFBF"/>
              <w:bottom w:val="single" w:sz="4" w:space="0" w:color="BFBFBF"/>
            </w:tcBorders>
            <w:shd w:val="clear" w:color="auto" w:fill="auto"/>
            <w:vAlign w:val="bottom"/>
          </w:tcPr>
          <w:p w14:paraId="0EB33E09" w14:textId="77777777" w:rsidR="007D61FB" w:rsidRPr="00B029C3" w:rsidRDefault="007D61FB" w:rsidP="00B029C3">
            <w:pPr>
              <w:pStyle w:val="ARtabletextright"/>
            </w:pPr>
            <w:r w:rsidRPr="00B029C3">
              <w:t>3</w:t>
            </w:r>
          </w:p>
        </w:tc>
        <w:tc>
          <w:tcPr>
            <w:tcW w:w="1250" w:type="pct"/>
            <w:tcBorders>
              <w:top w:val="single" w:sz="4" w:space="0" w:color="BFBFBF"/>
              <w:bottom w:val="single" w:sz="4" w:space="0" w:color="BFBFBF"/>
              <w:right w:val="nil"/>
            </w:tcBorders>
          </w:tcPr>
          <w:p w14:paraId="0D5F8A82" w14:textId="77777777" w:rsidR="007D61FB" w:rsidRPr="00B029C3" w:rsidRDefault="007D61FB" w:rsidP="00B029C3">
            <w:pPr>
              <w:pStyle w:val="ARtabletextright"/>
            </w:pPr>
            <w:r w:rsidRPr="00B029C3">
              <w:t>0</w:t>
            </w:r>
          </w:p>
        </w:tc>
      </w:tr>
      <w:tr w:rsidR="007D61FB" w:rsidRPr="001F4B6E" w14:paraId="2FB3FBE9" w14:textId="77777777" w:rsidTr="006B2EA1">
        <w:trPr>
          <w:cantSplit/>
        </w:trPr>
        <w:tc>
          <w:tcPr>
            <w:tcW w:w="1250" w:type="pct"/>
            <w:tcBorders>
              <w:top w:val="single" w:sz="4" w:space="0" w:color="BFBFBF"/>
              <w:bottom w:val="single" w:sz="4" w:space="0" w:color="BFBFBF"/>
            </w:tcBorders>
            <w:shd w:val="clear" w:color="auto" w:fill="auto"/>
          </w:tcPr>
          <w:p w14:paraId="3A7547DE" w14:textId="77777777" w:rsidR="007D61FB" w:rsidRPr="00B029C3" w:rsidRDefault="007D61FB" w:rsidP="00B029C3">
            <w:pPr>
              <w:pStyle w:val="ARtabletext"/>
            </w:pPr>
            <w:r w:rsidRPr="00B029C3">
              <w:t>$240,000–$259,999</w:t>
            </w:r>
          </w:p>
        </w:tc>
        <w:tc>
          <w:tcPr>
            <w:tcW w:w="1250" w:type="pct"/>
            <w:tcBorders>
              <w:top w:val="single" w:sz="4" w:space="0" w:color="BFBFBF"/>
              <w:bottom w:val="single" w:sz="4" w:space="0" w:color="BFBFBF"/>
            </w:tcBorders>
            <w:shd w:val="clear" w:color="auto" w:fill="auto"/>
            <w:vAlign w:val="bottom"/>
          </w:tcPr>
          <w:p w14:paraId="4052DB07" w14:textId="77777777" w:rsidR="007D61FB" w:rsidRPr="00B029C3" w:rsidRDefault="007D61FB" w:rsidP="00B029C3">
            <w:pPr>
              <w:pStyle w:val="ARtabletextright"/>
            </w:pPr>
            <w:r w:rsidRPr="00B029C3">
              <w:t>16</w:t>
            </w:r>
          </w:p>
        </w:tc>
        <w:tc>
          <w:tcPr>
            <w:tcW w:w="1250" w:type="pct"/>
            <w:tcBorders>
              <w:top w:val="single" w:sz="4" w:space="0" w:color="BFBFBF"/>
              <w:bottom w:val="single" w:sz="4" w:space="0" w:color="BFBFBF"/>
            </w:tcBorders>
            <w:shd w:val="clear" w:color="auto" w:fill="auto"/>
            <w:vAlign w:val="bottom"/>
          </w:tcPr>
          <w:p w14:paraId="45A96B0B" w14:textId="77777777" w:rsidR="007D61FB" w:rsidRPr="00B029C3" w:rsidRDefault="007D61FB" w:rsidP="00B029C3">
            <w:pPr>
              <w:pStyle w:val="ARtabletextright"/>
            </w:pPr>
            <w:r w:rsidRPr="00B029C3">
              <w:t>1</w:t>
            </w:r>
          </w:p>
        </w:tc>
        <w:tc>
          <w:tcPr>
            <w:tcW w:w="1250" w:type="pct"/>
            <w:tcBorders>
              <w:top w:val="single" w:sz="4" w:space="0" w:color="BFBFBF"/>
              <w:bottom w:val="single" w:sz="4" w:space="0" w:color="BFBFBF"/>
              <w:right w:val="nil"/>
            </w:tcBorders>
          </w:tcPr>
          <w:p w14:paraId="0F7C5420" w14:textId="77777777" w:rsidR="007D61FB" w:rsidRPr="00B029C3" w:rsidRDefault="007D61FB" w:rsidP="00B029C3">
            <w:pPr>
              <w:pStyle w:val="ARtabletextright"/>
            </w:pPr>
            <w:r w:rsidRPr="00B029C3">
              <w:t>0</w:t>
            </w:r>
          </w:p>
        </w:tc>
      </w:tr>
      <w:tr w:rsidR="007D61FB" w:rsidRPr="001F4B6E" w14:paraId="489CD522" w14:textId="77777777" w:rsidTr="006B2EA1">
        <w:trPr>
          <w:cantSplit/>
        </w:trPr>
        <w:tc>
          <w:tcPr>
            <w:tcW w:w="1250" w:type="pct"/>
            <w:tcBorders>
              <w:top w:val="single" w:sz="4" w:space="0" w:color="BFBFBF"/>
              <w:bottom w:val="single" w:sz="4" w:space="0" w:color="BFBFBF"/>
            </w:tcBorders>
            <w:shd w:val="clear" w:color="auto" w:fill="auto"/>
          </w:tcPr>
          <w:p w14:paraId="26D3DA89" w14:textId="77777777" w:rsidR="007D61FB" w:rsidRPr="00B029C3" w:rsidRDefault="007D61FB" w:rsidP="00B029C3">
            <w:pPr>
              <w:pStyle w:val="ARtabletext"/>
            </w:pPr>
            <w:r w:rsidRPr="00B029C3">
              <w:t>$260,000–$279,999</w:t>
            </w:r>
          </w:p>
        </w:tc>
        <w:tc>
          <w:tcPr>
            <w:tcW w:w="1250" w:type="pct"/>
            <w:tcBorders>
              <w:top w:val="single" w:sz="4" w:space="0" w:color="BFBFBF"/>
              <w:bottom w:val="single" w:sz="4" w:space="0" w:color="BFBFBF"/>
            </w:tcBorders>
            <w:shd w:val="clear" w:color="auto" w:fill="auto"/>
            <w:vAlign w:val="bottom"/>
          </w:tcPr>
          <w:p w14:paraId="287378C9" w14:textId="77777777" w:rsidR="007D61FB" w:rsidRPr="00B029C3" w:rsidRDefault="007D61FB" w:rsidP="00B029C3">
            <w:pPr>
              <w:pStyle w:val="ARtabletextright"/>
            </w:pPr>
            <w:r w:rsidRPr="00B029C3">
              <w:t>30</w:t>
            </w:r>
          </w:p>
        </w:tc>
        <w:tc>
          <w:tcPr>
            <w:tcW w:w="1250" w:type="pct"/>
            <w:tcBorders>
              <w:top w:val="single" w:sz="4" w:space="0" w:color="BFBFBF"/>
              <w:bottom w:val="single" w:sz="4" w:space="0" w:color="BFBFBF"/>
            </w:tcBorders>
            <w:shd w:val="clear" w:color="auto" w:fill="auto"/>
          </w:tcPr>
          <w:p w14:paraId="70ED87A4"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63798980" w14:textId="77777777" w:rsidR="007D61FB" w:rsidRPr="00B029C3" w:rsidRDefault="007D61FB" w:rsidP="00B029C3">
            <w:pPr>
              <w:pStyle w:val="ARtabletextright"/>
            </w:pPr>
            <w:r w:rsidRPr="00B029C3">
              <w:t>0</w:t>
            </w:r>
          </w:p>
        </w:tc>
      </w:tr>
      <w:tr w:rsidR="007D61FB" w:rsidRPr="001F4B6E" w14:paraId="4EFF20E4" w14:textId="77777777" w:rsidTr="006B2EA1">
        <w:trPr>
          <w:cantSplit/>
        </w:trPr>
        <w:tc>
          <w:tcPr>
            <w:tcW w:w="1250" w:type="pct"/>
            <w:tcBorders>
              <w:top w:val="single" w:sz="4" w:space="0" w:color="BFBFBF"/>
              <w:bottom w:val="single" w:sz="4" w:space="0" w:color="BFBFBF"/>
            </w:tcBorders>
            <w:shd w:val="clear" w:color="auto" w:fill="auto"/>
          </w:tcPr>
          <w:p w14:paraId="43A946D4" w14:textId="77777777" w:rsidR="007D61FB" w:rsidRPr="00B029C3" w:rsidRDefault="007D61FB" w:rsidP="00B029C3">
            <w:pPr>
              <w:pStyle w:val="ARtabletext"/>
            </w:pPr>
            <w:r w:rsidRPr="00B029C3">
              <w:t>$280,000–$299,999</w:t>
            </w:r>
          </w:p>
        </w:tc>
        <w:tc>
          <w:tcPr>
            <w:tcW w:w="1250" w:type="pct"/>
            <w:tcBorders>
              <w:top w:val="single" w:sz="4" w:space="0" w:color="BFBFBF"/>
              <w:bottom w:val="single" w:sz="4" w:space="0" w:color="BFBFBF"/>
            </w:tcBorders>
            <w:shd w:val="clear" w:color="auto" w:fill="auto"/>
            <w:vAlign w:val="bottom"/>
          </w:tcPr>
          <w:p w14:paraId="500F05D0" w14:textId="77777777" w:rsidR="007D61FB" w:rsidRPr="00B029C3" w:rsidRDefault="007D61FB" w:rsidP="00B029C3">
            <w:pPr>
              <w:pStyle w:val="ARtabletextright"/>
            </w:pPr>
            <w:r w:rsidRPr="00B029C3">
              <w:t>18</w:t>
            </w:r>
          </w:p>
        </w:tc>
        <w:tc>
          <w:tcPr>
            <w:tcW w:w="1250" w:type="pct"/>
            <w:tcBorders>
              <w:top w:val="single" w:sz="4" w:space="0" w:color="BFBFBF"/>
              <w:bottom w:val="single" w:sz="4" w:space="0" w:color="BFBFBF"/>
            </w:tcBorders>
            <w:shd w:val="clear" w:color="auto" w:fill="auto"/>
          </w:tcPr>
          <w:p w14:paraId="6B5ECB62"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2EAD721A" w14:textId="77777777" w:rsidR="007D61FB" w:rsidRPr="00B029C3" w:rsidRDefault="007D61FB" w:rsidP="00B029C3">
            <w:pPr>
              <w:pStyle w:val="ARtabletextright"/>
            </w:pPr>
            <w:r w:rsidRPr="00B029C3">
              <w:t>0</w:t>
            </w:r>
          </w:p>
        </w:tc>
      </w:tr>
      <w:tr w:rsidR="007D61FB" w:rsidRPr="001F4B6E" w14:paraId="4DC78411" w14:textId="77777777" w:rsidTr="006B2EA1">
        <w:trPr>
          <w:cantSplit/>
        </w:trPr>
        <w:tc>
          <w:tcPr>
            <w:tcW w:w="1250" w:type="pct"/>
            <w:tcBorders>
              <w:top w:val="single" w:sz="4" w:space="0" w:color="BFBFBF"/>
              <w:bottom w:val="single" w:sz="4" w:space="0" w:color="BFBFBF"/>
            </w:tcBorders>
            <w:shd w:val="clear" w:color="auto" w:fill="auto"/>
          </w:tcPr>
          <w:p w14:paraId="2C9DB5AD" w14:textId="77777777" w:rsidR="007D61FB" w:rsidRPr="00B029C3" w:rsidRDefault="007D61FB" w:rsidP="00B029C3">
            <w:pPr>
              <w:pStyle w:val="ARtabletext"/>
            </w:pPr>
            <w:r w:rsidRPr="00B029C3">
              <w:t>$300,000–$319,999</w:t>
            </w:r>
          </w:p>
        </w:tc>
        <w:tc>
          <w:tcPr>
            <w:tcW w:w="1250" w:type="pct"/>
            <w:tcBorders>
              <w:top w:val="single" w:sz="4" w:space="0" w:color="BFBFBF"/>
              <w:bottom w:val="single" w:sz="4" w:space="0" w:color="BFBFBF"/>
            </w:tcBorders>
            <w:shd w:val="clear" w:color="auto" w:fill="auto"/>
            <w:vAlign w:val="bottom"/>
          </w:tcPr>
          <w:p w14:paraId="394F8870" w14:textId="77777777" w:rsidR="007D61FB" w:rsidRPr="00B029C3" w:rsidRDefault="007D61FB" w:rsidP="00B029C3">
            <w:pPr>
              <w:pStyle w:val="ARtabletextright"/>
            </w:pPr>
            <w:r w:rsidRPr="00B029C3">
              <w:t>8</w:t>
            </w:r>
          </w:p>
        </w:tc>
        <w:tc>
          <w:tcPr>
            <w:tcW w:w="1250" w:type="pct"/>
            <w:tcBorders>
              <w:top w:val="single" w:sz="4" w:space="0" w:color="BFBFBF"/>
              <w:bottom w:val="single" w:sz="4" w:space="0" w:color="BFBFBF"/>
            </w:tcBorders>
            <w:shd w:val="clear" w:color="auto" w:fill="auto"/>
          </w:tcPr>
          <w:p w14:paraId="3B31FB51"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078328F9" w14:textId="77777777" w:rsidR="007D61FB" w:rsidRPr="00B029C3" w:rsidRDefault="007D61FB" w:rsidP="00B029C3">
            <w:pPr>
              <w:pStyle w:val="ARtabletextright"/>
            </w:pPr>
            <w:r w:rsidRPr="00B029C3">
              <w:t>0</w:t>
            </w:r>
          </w:p>
        </w:tc>
      </w:tr>
      <w:tr w:rsidR="007D61FB" w:rsidRPr="001F4B6E" w14:paraId="035C943E" w14:textId="77777777" w:rsidTr="006B2EA1">
        <w:trPr>
          <w:cantSplit/>
        </w:trPr>
        <w:tc>
          <w:tcPr>
            <w:tcW w:w="1250" w:type="pct"/>
            <w:tcBorders>
              <w:top w:val="single" w:sz="4" w:space="0" w:color="BFBFBF"/>
              <w:bottom w:val="single" w:sz="4" w:space="0" w:color="BFBFBF"/>
            </w:tcBorders>
            <w:shd w:val="clear" w:color="auto" w:fill="auto"/>
          </w:tcPr>
          <w:p w14:paraId="7A224F12" w14:textId="77777777" w:rsidR="007D61FB" w:rsidRPr="00B029C3" w:rsidRDefault="007D61FB" w:rsidP="00B029C3">
            <w:pPr>
              <w:pStyle w:val="ARtabletext"/>
            </w:pPr>
            <w:r w:rsidRPr="00B029C3">
              <w:t>$320,000–$339,999</w:t>
            </w:r>
          </w:p>
        </w:tc>
        <w:tc>
          <w:tcPr>
            <w:tcW w:w="1250" w:type="pct"/>
            <w:tcBorders>
              <w:top w:val="single" w:sz="4" w:space="0" w:color="BFBFBF"/>
              <w:bottom w:val="single" w:sz="4" w:space="0" w:color="BFBFBF"/>
            </w:tcBorders>
            <w:shd w:val="clear" w:color="auto" w:fill="auto"/>
            <w:vAlign w:val="bottom"/>
          </w:tcPr>
          <w:p w14:paraId="11407002" w14:textId="77777777" w:rsidR="007D61FB" w:rsidRPr="00B029C3" w:rsidRDefault="007D61FB" w:rsidP="00B029C3">
            <w:pPr>
              <w:pStyle w:val="ARtabletextright"/>
            </w:pPr>
            <w:r w:rsidRPr="00B029C3">
              <w:t>5</w:t>
            </w:r>
          </w:p>
        </w:tc>
        <w:tc>
          <w:tcPr>
            <w:tcW w:w="1250" w:type="pct"/>
            <w:tcBorders>
              <w:top w:val="single" w:sz="4" w:space="0" w:color="BFBFBF"/>
              <w:bottom w:val="single" w:sz="4" w:space="0" w:color="BFBFBF"/>
            </w:tcBorders>
            <w:shd w:val="clear" w:color="auto" w:fill="auto"/>
          </w:tcPr>
          <w:p w14:paraId="7015C9FA"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0EF26014" w14:textId="77777777" w:rsidR="007D61FB" w:rsidRPr="00B029C3" w:rsidRDefault="007D61FB" w:rsidP="00B029C3">
            <w:pPr>
              <w:pStyle w:val="ARtabletextright"/>
            </w:pPr>
            <w:r w:rsidRPr="00B029C3">
              <w:t>0</w:t>
            </w:r>
          </w:p>
        </w:tc>
      </w:tr>
      <w:tr w:rsidR="007D61FB" w:rsidRPr="001F4B6E" w14:paraId="18F49109" w14:textId="77777777" w:rsidTr="006B2EA1">
        <w:trPr>
          <w:cantSplit/>
        </w:trPr>
        <w:tc>
          <w:tcPr>
            <w:tcW w:w="1250" w:type="pct"/>
            <w:tcBorders>
              <w:top w:val="single" w:sz="4" w:space="0" w:color="BFBFBF"/>
              <w:bottom w:val="single" w:sz="4" w:space="0" w:color="BFBFBF"/>
            </w:tcBorders>
            <w:shd w:val="clear" w:color="auto" w:fill="auto"/>
          </w:tcPr>
          <w:p w14:paraId="11AFD21D" w14:textId="77777777" w:rsidR="007D61FB" w:rsidRPr="00B029C3" w:rsidRDefault="007D61FB" w:rsidP="00B029C3">
            <w:pPr>
              <w:pStyle w:val="ARtabletext"/>
            </w:pPr>
            <w:r w:rsidRPr="00B029C3">
              <w:t>$340,000–$359,999</w:t>
            </w:r>
          </w:p>
        </w:tc>
        <w:tc>
          <w:tcPr>
            <w:tcW w:w="1250" w:type="pct"/>
            <w:tcBorders>
              <w:top w:val="single" w:sz="4" w:space="0" w:color="BFBFBF"/>
              <w:bottom w:val="single" w:sz="4" w:space="0" w:color="BFBFBF"/>
            </w:tcBorders>
            <w:shd w:val="clear" w:color="auto" w:fill="auto"/>
            <w:vAlign w:val="bottom"/>
          </w:tcPr>
          <w:p w14:paraId="211C4FDE" w14:textId="77777777" w:rsidR="007D61FB" w:rsidRPr="00B029C3" w:rsidRDefault="007D61FB" w:rsidP="00B029C3">
            <w:pPr>
              <w:pStyle w:val="ARtabletextright"/>
            </w:pPr>
            <w:r w:rsidRPr="00B029C3">
              <w:t>7</w:t>
            </w:r>
          </w:p>
        </w:tc>
        <w:tc>
          <w:tcPr>
            <w:tcW w:w="1250" w:type="pct"/>
            <w:tcBorders>
              <w:top w:val="single" w:sz="4" w:space="0" w:color="BFBFBF"/>
              <w:bottom w:val="single" w:sz="4" w:space="0" w:color="BFBFBF"/>
            </w:tcBorders>
            <w:shd w:val="clear" w:color="auto" w:fill="auto"/>
          </w:tcPr>
          <w:p w14:paraId="5630CD5E"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29436132" w14:textId="77777777" w:rsidR="007D61FB" w:rsidRPr="00B029C3" w:rsidRDefault="007D61FB" w:rsidP="00B029C3">
            <w:pPr>
              <w:pStyle w:val="ARtabletextright"/>
            </w:pPr>
            <w:r w:rsidRPr="00B029C3">
              <w:t>0</w:t>
            </w:r>
          </w:p>
        </w:tc>
      </w:tr>
      <w:tr w:rsidR="007D61FB" w:rsidRPr="001F4B6E" w14:paraId="1FB8C8E4" w14:textId="77777777" w:rsidTr="006B2EA1">
        <w:trPr>
          <w:cantSplit/>
        </w:trPr>
        <w:tc>
          <w:tcPr>
            <w:tcW w:w="1250" w:type="pct"/>
            <w:tcBorders>
              <w:top w:val="single" w:sz="4" w:space="0" w:color="BFBFBF"/>
              <w:bottom w:val="single" w:sz="4" w:space="0" w:color="BFBFBF"/>
            </w:tcBorders>
            <w:shd w:val="clear" w:color="auto" w:fill="auto"/>
          </w:tcPr>
          <w:p w14:paraId="796CBFE3" w14:textId="77777777" w:rsidR="007D61FB" w:rsidRPr="00B029C3" w:rsidRDefault="007D61FB" w:rsidP="00B029C3">
            <w:pPr>
              <w:pStyle w:val="ARtabletext"/>
            </w:pPr>
            <w:r w:rsidRPr="00B029C3">
              <w:t>$400,000–$419,999</w:t>
            </w:r>
          </w:p>
        </w:tc>
        <w:tc>
          <w:tcPr>
            <w:tcW w:w="1250" w:type="pct"/>
            <w:tcBorders>
              <w:top w:val="single" w:sz="4" w:space="0" w:color="BFBFBF"/>
              <w:bottom w:val="single" w:sz="4" w:space="0" w:color="BFBFBF"/>
            </w:tcBorders>
            <w:shd w:val="clear" w:color="auto" w:fill="auto"/>
          </w:tcPr>
          <w:p w14:paraId="5C0A5B74" w14:textId="77777777" w:rsidR="007D61FB" w:rsidRPr="00B029C3" w:rsidRDefault="007D61FB" w:rsidP="00B029C3">
            <w:pPr>
              <w:pStyle w:val="ARtabletextright"/>
            </w:pPr>
            <w:r w:rsidRPr="00B029C3">
              <w:t>6</w:t>
            </w:r>
          </w:p>
        </w:tc>
        <w:tc>
          <w:tcPr>
            <w:tcW w:w="1250" w:type="pct"/>
            <w:tcBorders>
              <w:top w:val="single" w:sz="4" w:space="0" w:color="BFBFBF"/>
              <w:bottom w:val="single" w:sz="4" w:space="0" w:color="BFBFBF"/>
            </w:tcBorders>
            <w:shd w:val="clear" w:color="auto" w:fill="auto"/>
          </w:tcPr>
          <w:p w14:paraId="146351E0"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4148C4F5" w14:textId="77777777" w:rsidR="007D61FB" w:rsidRPr="00B029C3" w:rsidRDefault="007D61FB" w:rsidP="00B029C3">
            <w:pPr>
              <w:pStyle w:val="ARtabletextright"/>
            </w:pPr>
            <w:r w:rsidRPr="00B029C3">
              <w:t>0</w:t>
            </w:r>
          </w:p>
        </w:tc>
      </w:tr>
      <w:tr w:rsidR="007D61FB" w:rsidRPr="001F4B6E" w14:paraId="5460ADA9" w14:textId="77777777" w:rsidTr="006B2EA1">
        <w:trPr>
          <w:cantSplit/>
        </w:trPr>
        <w:tc>
          <w:tcPr>
            <w:tcW w:w="1250" w:type="pct"/>
            <w:tcBorders>
              <w:top w:val="single" w:sz="4" w:space="0" w:color="BFBFBF"/>
              <w:bottom w:val="single" w:sz="4" w:space="0" w:color="BFBFBF"/>
            </w:tcBorders>
            <w:shd w:val="clear" w:color="auto" w:fill="auto"/>
          </w:tcPr>
          <w:p w14:paraId="0EFF9D29" w14:textId="77777777" w:rsidR="007D61FB" w:rsidRPr="00B029C3" w:rsidRDefault="007D61FB" w:rsidP="00B029C3">
            <w:pPr>
              <w:pStyle w:val="ARtabletext"/>
            </w:pPr>
            <w:r w:rsidRPr="00B029C3">
              <w:t>$420,000–$439,999</w:t>
            </w:r>
          </w:p>
        </w:tc>
        <w:tc>
          <w:tcPr>
            <w:tcW w:w="1250" w:type="pct"/>
            <w:tcBorders>
              <w:top w:val="single" w:sz="4" w:space="0" w:color="BFBFBF"/>
              <w:bottom w:val="single" w:sz="4" w:space="0" w:color="BFBFBF"/>
            </w:tcBorders>
            <w:shd w:val="clear" w:color="auto" w:fill="auto"/>
          </w:tcPr>
          <w:p w14:paraId="7F3CE88F" w14:textId="77777777" w:rsidR="007D61FB" w:rsidRPr="00B029C3" w:rsidRDefault="007D61FB" w:rsidP="00B029C3">
            <w:pPr>
              <w:pStyle w:val="ARtabletextright"/>
            </w:pPr>
            <w:r w:rsidRPr="00B029C3">
              <w:t>2</w:t>
            </w:r>
          </w:p>
        </w:tc>
        <w:tc>
          <w:tcPr>
            <w:tcW w:w="1250" w:type="pct"/>
            <w:tcBorders>
              <w:top w:val="single" w:sz="4" w:space="0" w:color="BFBFBF"/>
              <w:bottom w:val="single" w:sz="4" w:space="0" w:color="BFBFBF"/>
            </w:tcBorders>
            <w:shd w:val="clear" w:color="auto" w:fill="auto"/>
          </w:tcPr>
          <w:p w14:paraId="5EB2BEC4"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0A4D591F" w14:textId="77777777" w:rsidR="007D61FB" w:rsidRPr="00B029C3" w:rsidRDefault="007D61FB" w:rsidP="00B029C3">
            <w:pPr>
              <w:pStyle w:val="ARtabletextright"/>
            </w:pPr>
            <w:r w:rsidRPr="00B029C3">
              <w:t>0</w:t>
            </w:r>
          </w:p>
        </w:tc>
      </w:tr>
      <w:tr w:rsidR="007D61FB" w:rsidRPr="001F4B6E" w14:paraId="45835612" w14:textId="77777777" w:rsidTr="006B2EA1">
        <w:trPr>
          <w:cantSplit/>
        </w:trPr>
        <w:tc>
          <w:tcPr>
            <w:tcW w:w="1250" w:type="pct"/>
            <w:tcBorders>
              <w:top w:val="single" w:sz="4" w:space="0" w:color="BFBFBF"/>
              <w:bottom w:val="single" w:sz="4" w:space="0" w:color="BFBFBF"/>
            </w:tcBorders>
            <w:shd w:val="clear" w:color="auto" w:fill="auto"/>
          </w:tcPr>
          <w:p w14:paraId="1BF31D77" w14:textId="47557F33" w:rsidR="007D61FB" w:rsidRPr="00B029C3" w:rsidRDefault="007D61FB" w:rsidP="00B029C3">
            <w:pPr>
              <w:pStyle w:val="ARtabletext"/>
            </w:pPr>
            <w:r w:rsidRPr="00B029C3">
              <w:t>$440,000</w:t>
            </w:r>
            <w:r w:rsidR="005B7C9B">
              <w:t>–</w:t>
            </w:r>
            <w:r w:rsidRPr="00B029C3">
              <w:t>$459,999</w:t>
            </w:r>
          </w:p>
        </w:tc>
        <w:tc>
          <w:tcPr>
            <w:tcW w:w="1250" w:type="pct"/>
            <w:tcBorders>
              <w:top w:val="single" w:sz="4" w:space="0" w:color="BFBFBF"/>
              <w:bottom w:val="single" w:sz="4" w:space="0" w:color="BFBFBF"/>
            </w:tcBorders>
            <w:shd w:val="clear" w:color="auto" w:fill="auto"/>
          </w:tcPr>
          <w:p w14:paraId="58BE1560" w14:textId="77777777" w:rsidR="007D61FB" w:rsidRPr="00B029C3" w:rsidRDefault="007D61FB" w:rsidP="00B029C3">
            <w:pPr>
              <w:pStyle w:val="ARtabletextright"/>
            </w:pPr>
            <w:r w:rsidRPr="00B029C3">
              <w:t>1</w:t>
            </w:r>
          </w:p>
        </w:tc>
        <w:tc>
          <w:tcPr>
            <w:tcW w:w="1250" w:type="pct"/>
            <w:tcBorders>
              <w:top w:val="single" w:sz="4" w:space="0" w:color="BFBFBF"/>
              <w:bottom w:val="single" w:sz="4" w:space="0" w:color="BFBFBF"/>
            </w:tcBorders>
            <w:shd w:val="clear" w:color="auto" w:fill="auto"/>
          </w:tcPr>
          <w:p w14:paraId="0F46F818" w14:textId="77777777" w:rsidR="007D61FB" w:rsidRPr="00B029C3" w:rsidRDefault="007D61FB" w:rsidP="00B029C3">
            <w:pPr>
              <w:pStyle w:val="ARtabletextright"/>
            </w:pPr>
            <w:r w:rsidRPr="00B029C3">
              <w:t>0</w:t>
            </w:r>
          </w:p>
        </w:tc>
        <w:tc>
          <w:tcPr>
            <w:tcW w:w="1250" w:type="pct"/>
            <w:tcBorders>
              <w:top w:val="single" w:sz="4" w:space="0" w:color="BFBFBF"/>
              <w:bottom w:val="single" w:sz="4" w:space="0" w:color="BFBFBF"/>
              <w:right w:val="nil"/>
            </w:tcBorders>
          </w:tcPr>
          <w:p w14:paraId="30A859A2" w14:textId="77777777" w:rsidR="007D61FB" w:rsidRPr="00B029C3" w:rsidRDefault="007D61FB" w:rsidP="00B029C3">
            <w:pPr>
              <w:pStyle w:val="ARtabletextright"/>
            </w:pPr>
            <w:r w:rsidRPr="00B029C3">
              <w:t>0</w:t>
            </w:r>
          </w:p>
        </w:tc>
      </w:tr>
      <w:tr w:rsidR="007D61FB" w:rsidRPr="001F4B6E" w14:paraId="593F5B17" w14:textId="77777777" w:rsidTr="006B2EA1">
        <w:trPr>
          <w:cantSplit/>
        </w:trPr>
        <w:tc>
          <w:tcPr>
            <w:tcW w:w="1250" w:type="pct"/>
            <w:tcBorders>
              <w:top w:val="single" w:sz="4" w:space="0" w:color="BFBFBF"/>
              <w:bottom w:val="single" w:sz="4" w:space="0" w:color="BFBFBF"/>
            </w:tcBorders>
            <w:shd w:val="clear" w:color="auto" w:fill="auto"/>
          </w:tcPr>
          <w:p w14:paraId="5A89CF8C" w14:textId="60C226B0" w:rsidR="007D61FB" w:rsidRPr="00B029C3" w:rsidRDefault="007D61FB" w:rsidP="00B029C3">
            <w:pPr>
              <w:pStyle w:val="ARtabletext"/>
            </w:pPr>
            <w:r w:rsidRPr="00B029C3">
              <w:t>$460,000</w:t>
            </w:r>
            <w:r w:rsidR="005B7C9B">
              <w:t>–</w:t>
            </w:r>
            <w:r w:rsidRPr="00B029C3">
              <w:t>$479,999</w:t>
            </w:r>
          </w:p>
        </w:tc>
        <w:tc>
          <w:tcPr>
            <w:tcW w:w="1250" w:type="pct"/>
            <w:tcBorders>
              <w:top w:val="single" w:sz="4" w:space="0" w:color="BFBFBF"/>
              <w:bottom w:val="single" w:sz="4" w:space="0" w:color="BFBFBF"/>
            </w:tcBorders>
            <w:shd w:val="clear" w:color="auto" w:fill="auto"/>
          </w:tcPr>
          <w:p w14:paraId="73EC13FC" w14:textId="77777777" w:rsidR="007D61FB" w:rsidRPr="00B029C3" w:rsidRDefault="007D61FB" w:rsidP="00B029C3">
            <w:pPr>
              <w:pStyle w:val="ARtabletextright"/>
            </w:pPr>
            <w:r w:rsidRPr="00B029C3">
              <w:t>1</w:t>
            </w:r>
          </w:p>
        </w:tc>
        <w:tc>
          <w:tcPr>
            <w:tcW w:w="1250" w:type="pct"/>
            <w:tcBorders>
              <w:top w:val="single" w:sz="4" w:space="0" w:color="BFBFBF"/>
              <w:bottom w:val="single" w:sz="4" w:space="0" w:color="BFBFBF"/>
            </w:tcBorders>
            <w:shd w:val="clear" w:color="auto" w:fill="auto"/>
          </w:tcPr>
          <w:p w14:paraId="42C79A7D" w14:textId="77777777" w:rsidR="007D61FB" w:rsidRPr="00B029C3" w:rsidRDefault="007D61FB" w:rsidP="00B029C3">
            <w:pPr>
              <w:pStyle w:val="ARtabletextright"/>
            </w:pPr>
          </w:p>
        </w:tc>
        <w:tc>
          <w:tcPr>
            <w:tcW w:w="1250" w:type="pct"/>
            <w:tcBorders>
              <w:top w:val="single" w:sz="4" w:space="0" w:color="BFBFBF"/>
              <w:bottom w:val="single" w:sz="4" w:space="0" w:color="BFBFBF"/>
              <w:right w:val="nil"/>
            </w:tcBorders>
          </w:tcPr>
          <w:p w14:paraId="7E7E95A2" w14:textId="77777777" w:rsidR="007D61FB" w:rsidRPr="00B029C3" w:rsidRDefault="007D61FB" w:rsidP="00B029C3">
            <w:pPr>
              <w:pStyle w:val="ARtabletextright"/>
            </w:pPr>
          </w:p>
        </w:tc>
      </w:tr>
      <w:tr w:rsidR="007D61FB" w:rsidRPr="001F4B6E" w14:paraId="51B0DDAB" w14:textId="77777777" w:rsidTr="006B2EA1">
        <w:trPr>
          <w:cantSplit/>
        </w:trPr>
        <w:tc>
          <w:tcPr>
            <w:tcW w:w="1250" w:type="pct"/>
            <w:tcBorders>
              <w:top w:val="single" w:sz="4" w:space="0" w:color="BFBFBF"/>
              <w:bottom w:val="single" w:sz="2" w:space="0" w:color="000000" w:themeColor="text1"/>
            </w:tcBorders>
            <w:shd w:val="clear" w:color="auto" w:fill="auto"/>
          </w:tcPr>
          <w:p w14:paraId="6E966947" w14:textId="77777777" w:rsidR="007D61FB" w:rsidRPr="00B029C3" w:rsidRDefault="007D61FB" w:rsidP="00B029C3">
            <w:pPr>
              <w:pStyle w:val="ARtabletext"/>
            </w:pPr>
            <w:r w:rsidRPr="00B029C3">
              <w:t>$540,000–$559,999</w:t>
            </w:r>
          </w:p>
        </w:tc>
        <w:tc>
          <w:tcPr>
            <w:tcW w:w="1250" w:type="pct"/>
            <w:tcBorders>
              <w:top w:val="single" w:sz="4" w:space="0" w:color="BFBFBF"/>
              <w:bottom w:val="single" w:sz="2" w:space="0" w:color="000000" w:themeColor="text1"/>
            </w:tcBorders>
            <w:shd w:val="clear" w:color="auto" w:fill="auto"/>
          </w:tcPr>
          <w:p w14:paraId="1B51C686" w14:textId="30090731" w:rsidR="007D61FB" w:rsidRPr="00B029C3" w:rsidRDefault="007D61FB" w:rsidP="00B029C3">
            <w:pPr>
              <w:pStyle w:val="ARtabletextright"/>
            </w:pPr>
            <w:r w:rsidRPr="00B029C3">
              <w:t>1</w:t>
            </w:r>
          </w:p>
        </w:tc>
        <w:tc>
          <w:tcPr>
            <w:tcW w:w="1250" w:type="pct"/>
            <w:tcBorders>
              <w:top w:val="single" w:sz="4" w:space="0" w:color="BFBFBF"/>
              <w:bottom w:val="single" w:sz="2" w:space="0" w:color="000000" w:themeColor="text1"/>
            </w:tcBorders>
            <w:shd w:val="clear" w:color="auto" w:fill="auto"/>
          </w:tcPr>
          <w:p w14:paraId="2B39D4BA" w14:textId="77777777" w:rsidR="007D61FB" w:rsidRPr="00B029C3" w:rsidRDefault="007D61FB" w:rsidP="00B029C3">
            <w:pPr>
              <w:pStyle w:val="ARtabletextright"/>
            </w:pPr>
            <w:r w:rsidRPr="00B029C3">
              <w:t>0</w:t>
            </w:r>
          </w:p>
        </w:tc>
        <w:tc>
          <w:tcPr>
            <w:tcW w:w="1250" w:type="pct"/>
            <w:tcBorders>
              <w:top w:val="single" w:sz="4" w:space="0" w:color="BFBFBF"/>
              <w:bottom w:val="single" w:sz="2" w:space="0" w:color="000000" w:themeColor="text1"/>
              <w:right w:val="nil"/>
            </w:tcBorders>
          </w:tcPr>
          <w:p w14:paraId="64A2B970" w14:textId="77777777" w:rsidR="007D61FB" w:rsidRPr="00B029C3" w:rsidRDefault="007D61FB" w:rsidP="00B029C3">
            <w:pPr>
              <w:pStyle w:val="ARtabletextright"/>
            </w:pPr>
            <w:r w:rsidRPr="00B029C3">
              <w:t>0</w:t>
            </w:r>
          </w:p>
        </w:tc>
      </w:tr>
      <w:tr w:rsidR="007D61FB" w:rsidRPr="00E53E5F" w14:paraId="51DE0F50" w14:textId="77777777" w:rsidTr="006B2EA1">
        <w:trPr>
          <w:cantSplit/>
        </w:trPr>
        <w:tc>
          <w:tcPr>
            <w:tcW w:w="1250" w:type="pct"/>
            <w:tcBorders>
              <w:top w:val="single" w:sz="2" w:space="0" w:color="000000" w:themeColor="text1"/>
              <w:bottom w:val="single" w:sz="4" w:space="0" w:color="auto"/>
            </w:tcBorders>
            <w:shd w:val="clear" w:color="auto" w:fill="auto"/>
          </w:tcPr>
          <w:p w14:paraId="0934DD1D" w14:textId="77777777" w:rsidR="007D61FB" w:rsidRPr="00B029C3" w:rsidRDefault="007D61FB" w:rsidP="00B029C3">
            <w:pPr>
              <w:pStyle w:val="ARtabletextbold"/>
            </w:pPr>
            <w:r w:rsidRPr="001F4B6E">
              <w:t>Total</w:t>
            </w:r>
          </w:p>
        </w:tc>
        <w:tc>
          <w:tcPr>
            <w:tcW w:w="1250" w:type="pct"/>
            <w:tcBorders>
              <w:top w:val="single" w:sz="2" w:space="0" w:color="000000" w:themeColor="text1"/>
              <w:bottom w:val="single" w:sz="4" w:space="0" w:color="auto"/>
            </w:tcBorders>
            <w:shd w:val="clear" w:color="auto" w:fill="auto"/>
          </w:tcPr>
          <w:p w14:paraId="4C135BE7" w14:textId="77777777" w:rsidR="007D61FB" w:rsidRPr="00B029C3" w:rsidRDefault="007D61FB" w:rsidP="00B029C3">
            <w:pPr>
              <w:pStyle w:val="ARtabletextrightbold"/>
            </w:pPr>
            <w:r w:rsidRPr="00B029C3">
              <w:t>179</w:t>
            </w:r>
          </w:p>
        </w:tc>
        <w:tc>
          <w:tcPr>
            <w:tcW w:w="1250" w:type="pct"/>
            <w:tcBorders>
              <w:top w:val="single" w:sz="2" w:space="0" w:color="000000" w:themeColor="text1"/>
              <w:bottom w:val="single" w:sz="4" w:space="0" w:color="auto"/>
            </w:tcBorders>
            <w:shd w:val="clear" w:color="auto" w:fill="auto"/>
          </w:tcPr>
          <w:p w14:paraId="1DB999DE" w14:textId="77777777" w:rsidR="007D61FB" w:rsidRPr="00B029C3" w:rsidRDefault="007D61FB" w:rsidP="00B029C3">
            <w:pPr>
              <w:pStyle w:val="ARtabletextrightbold"/>
            </w:pPr>
            <w:r w:rsidRPr="00B029C3">
              <w:t>22</w:t>
            </w:r>
          </w:p>
        </w:tc>
        <w:tc>
          <w:tcPr>
            <w:tcW w:w="1250" w:type="pct"/>
            <w:tcBorders>
              <w:top w:val="single" w:sz="2" w:space="0" w:color="000000" w:themeColor="text1"/>
              <w:bottom w:val="single" w:sz="4" w:space="0" w:color="auto"/>
              <w:right w:val="nil"/>
            </w:tcBorders>
          </w:tcPr>
          <w:p w14:paraId="7450912B" w14:textId="77777777" w:rsidR="007D61FB" w:rsidRPr="00B029C3" w:rsidRDefault="007D61FB" w:rsidP="00B029C3">
            <w:pPr>
              <w:pStyle w:val="ARtabletextrightbold"/>
            </w:pPr>
            <w:r w:rsidRPr="00B029C3">
              <w:t>0</w:t>
            </w:r>
          </w:p>
        </w:tc>
      </w:tr>
    </w:tbl>
    <w:p w14:paraId="4EFE5118" w14:textId="6009EF1D" w:rsidR="007D61FB" w:rsidRPr="00530181" w:rsidRDefault="007D61FB" w:rsidP="00333387">
      <w:pPr>
        <w:pStyle w:val="Heading3"/>
      </w:pPr>
      <w:bookmarkStart w:id="187" w:name="_Ref178174129"/>
      <w:r w:rsidRPr="00530181">
        <w:t xml:space="preserve">Workforce data for </w:t>
      </w:r>
      <w:r w:rsidRPr="00B029C3">
        <w:t>the</w:t>
      </w:r>
      <w:r w:rsidRPr="00530181">
        <w:t xml:space="preserve"> department</w:t>
      </w:r>
      <w:r w:rsidR="00711AE6">
        <w:t>’</w:t>
      </w:r>
      <w:r w:rsidRPr="00530181">
        <w:t>s portfolio entities</w:t>
      </w:r>
      <w:bookmarkEnd w:id="187"/>
    </w:p>
    <w:p w14:paraId="0D79E82E" w14:textId="78271FF8" w:rsidR="007D61FB" w:rsidRPr="00530181" w:rsidRDefault="007D61FB" w:rsidP="002544EA">
      <w:pPr>
        <w:pStyle w:val="ARbody"/>
      </w:pPr>
      <w:r w:rsidRPr="00530181">
        <w:t xml:space="preserve">The </w:t>
      </w:r>
      <w:r w:rsidRPr="00B029C3">
        <w:t>department</w:t>
      </w:r>
      <w:r w:rsidRPr="00530181">
        <w:t xml:space="preserve"> has the following entities in its portfolio that employ public service employees independently of the department</w:t>
      </w:r>
      <w:r w:rsidR="00711AE6">
        <w:t>’</w:t>
      </w:r>
      <w:r w:rsidRPr="00530181">
        <w:t>s Secretary:</w:t>
      </w:r>
    </w:p>
    <w:p w14:paraId="18CCD3C0" w14:textId="77777777" w:rsidR="007D61FB" w:rsidRPr="00D6635B" w:rsidRDefault="007D61FB" w:rsidP="00D6635B">
      <w:pPr>
        <w:pStyle w:val="ARbullet1"/>
      </w:pPr>
      <w:r w:rsidRPr="00D6635B">
        <w:t>Commission for Children and Young People</w:t>
      </w:r>
    </w:p>
    <w:p w14:paraId="04E43895" w14:textId="100277A4" w:rsidR="007D61FB" w:rsidRPr="00D6635B" w:rsidRDefault="007D61FB" w:rsidP="00D6635B">
      <w:pPr>
        <w:pStyle w:val="ARbullet1"/>
      </w:pPr>
      <w:r w:rsidRPr="00D6635B">
        <w:t>Queen Victoria Women</w:t>
      </w:r>
      <w:r w:rsidR="00711AE6">
        <w:t>’</w:t>
      </w:r>
      <w:r w:rsidRPr="00D6635B">
        <w:t>s Centre Trust</w:t>
      </w:r>
    </w:p>
    <w:p w14:paraId="425B58B6" w14:textId="77777777" w:rsidR="007D61FB" w:rsidRPr="00D6635B" w:rsidRDefault="007D61FB" w:rsidP="00D6635B">
      <w:pPr>
        <w:pStyle w:val="ARbullet1"/>
      </w:pPr>
      <w:r w:rsidRPr="00D6635B">
        <w:t>Respect Victoria</w:t>
      </w:r>
    </w:p>
    <w:p w14:paraId="45671AE1" w14:textId="77777777" w:rsidR="007D61FB" w:rsidRPr="00D6635B" w:rsidRDefault="007D61FB" w:rsidP="00D6635B">
      <w:pPr>
        <w:pStyle w:val="ARbullet1"/>
      </w:pPr>
      <w:r w:rsidRPr="00D6635B">
        <w:t>Shrine of Remembrance Trustees</w:t>
      </w:r>
    </w:p>
    <w:p w14:paraId="1F7EFEA2" w14:textId="77777777" w:rsidR="007D61FB" w:rsidRPr="00530181" w:rsidRDefault="007D61FB" w:rsidP="00D6635B">
      <w:pPr>
        <w:pStyle w:val="ARbullet1"/>
      </w:pPr>
      <w:r w:rsidRPr="00D6635B">
        <w:t>Victor</w:t>
      </w:r>
      <w:r w:rsidRPr="00B029C3">
        <w:t>ian</w:t>
      </w:r>
      <w:r w:rsidRPr="00530181">
        <w:t xml:space="preserve"> Disability Worker Commission.</w:t>
      </w:r>
    </w:p>
    <w:p w14:paraId="65FB5EF9" w14:textId="77777777" w:rsidR="007D61FB" w:rsidRDefault="007D61FB" w:rsidP="002544EA">
      <w:pPr>
        <w:pStyle w:val="ARbodyafterbullets"/>
        <w:sectPr w:rsidR="007D61FB" w:rsidSect="005936D2">
          <w:type w:val="continuous"/>
          <w:pgSz w:w="11906" w:h="16838"/>
          <w:pgMar w:top="1701" w:right="1134" w:bottom="851" w:left="1134" w:header="708" w:footer="708" w:gutter="0"/>
          <w:cols w:space="708"/>
          <w:docGrid w:linePitch="360"/>
        </w:sectPr>
      </w:pPr>
      <w:r w:rsidRPr="6B551909">
        <w:t xml:space="preserve">These portfolio </w:t>
      </w:r>
      <w:r w:rsidRPr="00B029C3">
        <w:t>entities</w:t>
      </w:r>
      <w:r w:rsidRPr="6B551909">
        <w:t xml:space="preserve"> produce their own annual report and therefore comparative workforce data for these entities are included in their annual reports. The department does, however, disclose the number of executives for these portfolio entities in the Executive data section of this report.</w:t>
      </w:r>
    </w:p>
    <w:p w14:paraId="7777534A" w14:textId="77777777" w:rsidR="007D61FB" w:rsidRPr="00C2408A" w:rsidRDefault="007D61FB" w:rsidP="0088621E">
      <w:pPr>
        <w:pStyle w:val="Heading2"/>
        <w:rPr>
          <w:bCs w:val="0"/>
          <w:iCs w:val="0"/>
          <w:color w:val="53565A"/>
        </w:rPr>
      </w:pPr>
      <w:bookmarkStart w:id="188" w:name="_Ref178175161"/>
      <w:bookmarkStart w:id="189" w:name="_Toc181101506"/>
      <w:r w:rsidRPr="00C2408A">
        <w:rPr>
          <w:color w:val="53565A"/>
        </w:rPr>
        <w:t>Executive data</w:t>
      </w:r>
      <w:bookmarkEnd w:id="188"/>
      <w:bookmarkEnd w:id="189"/>
    </w:p>
    <w:p w14:paraId="37C3401C" w14:textId="052F4CCE" w:rsidR="007D61FB" w:rsidRPr="003A2429" w:rsidRDefault="007D61FB">
      <w:pPr>
        <w:pStyle w:val="ARbody"/>
      </w:pPr>
      <w:r w:rsidRPr="003A2429">
        <w:t>The following tables disclose the Senior Executive Service (SES) numbers for the department and its</w:t>
      </w:r>
      <w:r w:rsidR="0061220E">
        <w:t> </w:t>
      </w:r>
      <w:r w:rsidRPr="003A2429">
        <w:t>portfolio entities for 30 June 2024.</w:t>
      </w:r>
    </w:p>
    <w:p w14:paraId="587F4052" w14:textId="77777777" w:rsidR="007D61FB" w:rsidRPr="00B029C3" w:rsidRDefault="007D61FB" w:rsidP="00B029C3">
      <w:pPr>
        <w:pStyle w:val="ARbullet1"/>
      </w:pPr>
      <w:r w:rsidRPr="003A2429">
        <w:t xml:space="preserve">For </w:t>
      </w:r>
      <w:r w:rsidRPr="00B029C3">
        <w:t xml:space="preserve">the department, a member of the Senior Executive Service (SES) is defined as a person employed as an executive under Part 3 of the </w:t>
      </w:r>
      <w:r w:rsidRPr="004F4726">
        <w:rPr>
          <w:rStyle w:val="Emphasis"/>
        </w:rPr>
        <w:t>Public Administration Act 2004</w:t>
      </w:r>
      <w:r w:rsidRPr="00B029C3">
        <w:rPr>
          <w:rStyle w:val="Emphasis"/>
          <w:i w:val="0"/>
          <w:iCs w:val="0"/>
        </w:rPr>
        <w:t xml:space="preserve"> (PAA)</w:t>
      </w:r>
      <w:r w:rsidRPr="00B029C3">
        <w:t>.</w:t>
      </w:r>
    </w:p>
    <w:p w14:paraId="24D374F0" w14:textId="49B47C82" w:rsidR="007D61FB" w:rsidRPr="00B029C3" w:rsidRDefault="007D61FB" w:rsidP="00B029C3">
      <w:pPr>
        <w:pStyle w:val="ARbullet1"/>
      </w:pPr>
      <w:r w:rsidRPr="00B029C3">
        <w:t>For a public body, an executive is defined under Part 3 of the PAA or a person to whom the Victorian Government</w:t>
      </w:r>
      <w:r w:rsidR="00711AE6">
        <w:t>’</w:t>
      </w:r>
      <w:r w:rsidRPr="00B029C3">
        <w:t xml:space="preserve">s </w:t>
      </w:r>
      <w:r w:rsidRPr="00B029C3">
        <w:rPr>
          <w:rStyle w:val="Emphasis"/>
          <w:i w:val="0"/>
          <w:iCs w:val="0"/>
        </w:rPr>
        <w:t xml:space="preserve">Public Entity Executive Remuneration Policy </w:t>
      </w:r>
      <w:r w:rsidRPr="00B029C3">
        <w:t>applies.</w:t>
      </w:r>
    </w:p>
    <w:p w14:paraId="5F39EB49" w14:textId="77777777" w:rsidR="007D61FB" w:rsidRPr="00B029C3" w:rsidRDefault="007D61FB" w:rsidP="00B029C3">
      <w:pPr>
        <w:pStyle w:val="ARbullet1"/>
      </w:pPr>
      <w:r w:rsidRPr="00B029C3">
        <w:t>All figures reflect employment levels at the last full pay period in June of the current and corresponding previous reporting year.</w:t>
      </w:r>
    </w:p>
    <w:p w14:paraId="4C043007" w14:textId="77777777" w:rsidR="007D61FB" w:rsidRPr="003A2429" w:rsidRDefault="007D61FB" w:rsidP="00B029C3">
      <w:pPr>
        <w:pStyle w:val="ARbullet1"/>
      </w:pPr>
      <w:r w:rsidRPr="00B029C3">
        <w:t>The definition</w:t>
      </w:r>
      <w:r w:rsidRPr="003A2429">
        <w:t xml:space="preserve"> of an SES does not include a statutory office holder or an Accountable Officer.</w:t>
      </w:r>
    </w:p>
    <w:p w14:paraId="57B35495" w14:textId="77777777" w:rsidR="007D61FB" w:rsidRPr="003A2429" w:rsidRDefault="007D61FB" w:rsidP="00B029C3">
      <w:pPr>
        <w:pStyle w:val="ARbodyafterbullets"/>
        <w:rPr>
          <w:lang w:eastAsia="en-AU"/>
        </w:rPr>
      </w:pPr>
      <w:r w:rsidRPr="003A2429">
        <w:rPr>
          <w:lang w:eastAsia="en-AU"/>
        </w:rPr>
        <w:t xml:space="preserve">The following </w:t>
      </w:r>
      <w:r w:rsidRPr="00B029C3">
        <w:t>table</w:t>
      </w:r>
      <w:r w:rsidRPr="003A2429">
        <w:rPr>
          <w:lang w:eastAsia="en-AU"/>
        </w:rPr>
        <w:t xml:space="preserve"> discloses the variations between the currenting reporting period (2024) and previous reporting period (2023).</w:t>
      </w:r>
    </w:p>
    <w:p w14:paraId="15C0C261" w14:textId="77777777" w:rsidR="007D61FB" w:rsidRPr="003A2429" w:rsidRDefault="007D61FB" w:rsidP="00A95A18">
      <w:pPr>
        <w:pStyle w:val="ARtablecaption"/>
      </w:pPr>
      <w:r w:rsidRPr="003A2429">
        <w:t xml:space="preserve">Table 3: Number of </w:t>
      </w:r>
      <w:r w:rsidRPr="00B029C3">
        <w:t>SES</w:t>
      </w:r>
      <w:r w:rsidRPr="003A2429">
        <w:t xml:space="preserve"> for the department broken down by gender</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E0" w:firstRow="1" w:lastRow="1" w:firstColumn="1" w:lastColumn="0" w:noHBand="1" w:noVBand="1"/>
      </w:tblPr>
      <w:tblGrid>
        <w:gridCol w:w="1297"/>
        <w:gridCol w:w="966"/>
        <w:gridCol w:w="1118"/>
        <w:gridCol w:w="1042"/>
        <w:gridCol w:w="1042"/>
        <w:gridCol w:w="1042"/>
        <w:gridCol w:w="1042"/>
        <w:gridCol w:w="1042"/>
        <w:gridCol w:w="1036"/>
      </w:tblGrid>
      <w:tr w:rsidR="007D61FB" w:rsidRPr="000670CE" w14:paraId="3CDC0B08" w14:textId="77777777" w:rsidTr="006B2EA1">
        <w:trPr>
          <w:cantSplit/>
          <w:tblHeader/>
        </w:trPr>
        <w:tc>
          <w:tcPr>
            <w:tcW w:w="674" w:type="pct"/>
            <w:vMerge w:val="restart"/>
            <w:tcBorders>
              <w:top w:val="nil"/>
              <w:right w:val="nil"/>
            </w:tcBorders>
            <w:shd w:val="clear" w:color="auto" w:fill="auto"/>
            <w:vAlign w:val="bottom"/>
          </w:tcPr>
          <w:p w14:paraId="1EEDCC72" w14:textId="77777777" w:rsidR="007D61FB" w:rsidRPr="003A2429" w:rsidRDefault="007D61FB" w:rsidP="00B029C3">
            <w:pPr>
              <w:pStyle w:val="ARtabletextbold"/>
            </w:pPr>
            <w:r w:rsidRPr="003A2429">
              <w:t>Class</w:t>
            </w:r>
          </w:p>
        </w:tc>
        <w:tc>
          <w:tcPr>
            <w:tcW w:w="1082" w:type="pct"/>
            <w:gridSpan w:val="2"/>
            <w:tcBorders>
              <w:top w:val="nil"/>
              <w:left w:val="nil"/>
              <w:bottom w:val="single" w:sz="4" w:space="0" w:color="auto"/>
              <w:right w:val="single" w:sz="4" w:space="0" w:color="auto"/>
            </w:tcBorders>
            <w:shd w:val="clear" w:color="auto" w:fill="auto"/>
            <w:vAlign w:val="bottom"/>
          </w:tcPr>
          <w:p w14:paraId="23C8F6A6" w14:textId="77777777" w:rsidR="007D61FB" w:rsidRPr="00B029C3" w:rsidRDefault="007D61FB" w:rsidP="00B029C3">
            <w:pPr>
              <w:pStyle w:val="ARtablecolheadcentre"/>
            </w:pPr>
            <w:r w:rsidRPr="00B029C3">
              <w:t>Total</w:t>
            </w:r>
          </w:p>
        </w:tc>
        <w:tc>
          <w:tcPr>
            <w:tcW w:w="1082" w:type="pct"/>
            <w:gridSpan w:val="2"/>
            <w:tcBorders>
              <w:top w:val="nil"/>
              <w:left w:val="single" w:sz="4" w:space="0" w:color="auto"/>
              <w:bottom w:val="single" w:sz="4" w:space="0" w:color="auto"/>
              <w:right w:val="single" w:sz="4" w:space="0" w:color="auto"/>
            </w:tcBorders>
            <w:shd w:val="clear" w:color="auto" w:fill="auto"/>
            <w:vAlign w:val="bottom"/>
          </w:tcPr>
          <w:p w14:paraId="6FAB11D9" w14:textId="77777777" w:rsidR="007D61FB" w:rsidRPr="00B029C3" w:rsidRDefault="007D61FB" w:rsidP="00B029C3">
            <w:pPr>
              <w:pStyle w:val="ARtablecolheadcentre"/>
            </w:pPr>
            <w:r w:rsidRPr="00B029C3">
              <w:t>Women</w:t>
            </w:r>
          </w:p>
        </w:tc>
        <w:tc>
          <w:tcPr>
            <w:tcW w:w="1082" w:type="pct"/>
            <w:gridSpan w:val="2"/>
            <w:tcBorders>
              <w:top w:val="nil"/>
              <w:left w:val="single" w:sz="4" w:space="0" w:color="auto"/>
              <w:bottom w:val="single" w:sz="4" w:space="0" w:color="auto"/>
              <w:right w:val="single" w:sz="4" w:space="0" w:color="auto"/>
            </w:tcBorders>
            <w:shd w:val="clear" w:color="auto" w:fill="auto"/>
            <w:vAlign w:val="bottom"/>
          </w:tcPr>
          <w:p w14:paraId="10D89FFB" w14:textId="77777777" w:rsidR="007D61FB" w:rsidRPr="00B029C3" w:rsidRDefault="007D61FB" w:rsidP="00B029C3">
            <w:pPr>
              <w:pStyle w:val="ARtablecolheadcentre"/>
            </w:pPr>
            <w:r w:rsidRPr="00B029C3">
              <w:t>Men</w:t>
            </w:r>
          </w:p>
        </w:tc>
        <w:tc>
          <w:tcPr>
            <w:tcW w:w="1079" w:type="pct"/>
            <w:gridSpan w:val="2"/>
            <w:tcBorders>
              <w:top w:val="nil"/>
              <w:left w:val="single" w:sz="4" w:space="0" w:color="auto"/>
              <w:bottom w:val="single" w:sz="4" w:space="0" w:color="auto"/>
              <w:right w:val="nil"/>
            </w:tcBorders>
            <w:shd w:val="clear" w:color="auto" w:fill="auto"/>
            <w:vAlign w:val="bottom"/>
          </w:tcPr>
          <w:p w14:paraId="617E1442" w14:textId="77777777" w:rsidR="007D61FB" w:rsidRPr="00B029C3" w:rsidRDefault="007D61FB" w:rsidP="00B029C3">
            <w:pPr>
              <w:pStyle w:val="ARtablecolheadcentre"/>
            </w:pPr>
            <w:r w:rsidRPr="00B029C3">
              <w:t>Self-described</w:t>
            </w:r>
          </w:p>
        </w:tc>
      </w:tr>
      <w:tr w:rsidR="007D61FB" w:rsidRPr="000670CE" w14:paraId="7471F078" w14:textId="77777777" w:rsidTr="006B2EA1">
        <w:trPr>
          <w:cantSplit/>
          <w:tblHeader/>
        </w:trPr>
        <w:tc>
          <w:tcPr>
            <w:tcW w:w="674" w:type="pct"/>
            <w:vMerge/>
            <w:tcBorders>
              <w:top w:val="single" w:sz="4" w:space="0" w:color="auto"/>
              <w:bottom w:val="single" w:sz="4" w:space="0" w:color="auto"/>
              <w:right w:val="nil"/>
            </w:tcBorders>
            <w:vAlign w:val="bottom"/>
          </w:tcPr>
          <w:p w14:paraId="60A010B0" w14:textId="77777777" w:rsidR="007D61FB" w:rsidRPr="003A2429" w:rsidRDefault="007D61FB">
            <w:pPr>
              <w:pStyle w:val="ARtablecolhead"/>
              <w:rPr>
                <w:color w:val="000000" w:themeColor="text1"/>
              </w:rPr>
            </w:pPr>
          </w:p>
        </w:tc>
        <w:tc>
          <w:tcPr>
            <w:tcW w:w="502" w:type="pct"/>
            <w:tcBorders>
              <w:top w:val="single" w:sz="4" w:space="0" w:color="auto"/>
              <w:left w:val="nil"/>
              <w:bottom w:val="single" w:sz="4" w:space="0" w:color="auto"/>
              <w:right w:val="nil"/>
            </w:tcBorders>
            <w:shd w:val="clear" w:color="auto" w:fill="auto"/>
            <w:vAlign w:val="bottom"/>
          </w:tcPr>
          <w:p w14:paraId="77AD2785" w14:textId="77777777" w:rsidR="007D61FB" w:rsidRPr="003A2429" w:rsidRDefault="007D61FB" w:rsidP="00B029C3">
            <w:pPr>
              <w:pStyle w:val="ARtablecolheadright"/>
            </w:pPr>
            <w:r w:rsidRPr="003A2429">
              <w:t>No.</w:t>
            </w:r>
          </w:p>
        </w:tc>
        <w:tc>
          <w:tcPr>
            <w:tcW w:w="581" w:type="pct"/>
            <w:tcBorders>
              <w:top w:val="single" w:sz="4" w:space="0" w:color="auto"/>
              <w:left w:val="nil"/>
              <w:bottom w:val="single" w:sz="4" w:space="0" w:color="auto"/>
              <w:right w:val="single" w:sz="4" w:space="0" w:color="auto"/>
            </w:tcBorders>
            <w:shd w:val="clear" w:color="auto" w:fill="auto"/>
            <w:vAlign w:val="bottom"/>
          </w:tcPr>
          <w:p w14:paraId="48D2159F" w14:textId="77777777" w:rsidR="007D61FB" w:rsidRPr="003A2429" w:rsidRDefault="007D61FB" w:rsidP="00B029C3">
            <w:pPr>
              <w:pStyle w:val="ARtablecolheadright"/>
            </w:pPr>
            <w:r w:rsidRPr="003A2429">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3E945BCA" w14:textId="77777777" w:rsidR="007D61FB" w:rsidRPr="003A2429" w:rsidRDefault="007D61FB" w:rsidP="00B029C3">
            <w:pPr>
              <w:pStyle w:val="ARtablecolheadright"/>
            </w:pPr>
            <w:r w:rsidRPr="003A2429">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5C9224DB" w14:textId="77777777" w:rsidR="007D61FB" w:rsidRPr="003A2429" w:rsidRDefault="007D61FB" w:rsidP="00B029C3">
            <w:pPr>
              <w:pStyle w:val="ARtablecolheadright"/>
            </w:pPr>
            <w:r w:rsidRPr="003A2429">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6D9CC28B" w14:textId="77777777" w:rsidR="007D61FB" w:rsidRPr="003A2429" w:rsidRDefault="007D61FB" w:rsidP="00B029C3">
            <w:pPr>
              <w:pStyle w:val="ARtablecolheadright"/>
            </w:pPr>
            <w:r w:rsidRPr="003A2429">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31E0384C" w14:textId="77777777" w:rsidR="007D61FB" w:rsidRPr="003A2429" w:rsidRDefault="007D61FB" w:rsidP="00B029C3">
            <w:pPr>
              <w:pStyle w:val="ARtablecolheadright"/>
            </w:pPr>
            <w:r w:rsidRPr="003A2429">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01DC815F" w14:textId="77777777" w:rsidR="007D61FB" w:rsidRPr="003A2429" w:rsidRDefault="007D61FB" w:rsidP="00B029C3">
            <w:pPr>
              <w:pStyle w:val="ARtablecolheadright"/>
            </w:pPr>
            <w:r w:rsidRPr="003A2429">
              <w:t>No.</w:t>
            </w:r>
          </w:p>
        </w:tc>
        <w:tc>
          <w:tcPr>
            <w:tcW w:w="538" w:type="pct"/>
            <w:tcBorders>
              <w:top w:val="single" w:sz="4" w:space="0" w:color="auto"/>
              <w:left w:val="nil"/>
              <w:bottom w:val="single" w:sz="4" w:space="0" w:color="auto"/>
              <w:right w:val="nil"/>
            </w:tcBorders>
            <w:shd w:val="clear" w:color="auto" w:fill="auto"/>
            <w:vAlign w:val="bottom"/>
          </w:tcPr>
          <w:p w14:paraId="035BD11D" w14:textId="77777777" w:rsidR="007D61FB" w:rsidRPr="003A2429" w:rsidRDefault="007D61FB" w:rsidP="00B029C3">
            <w:pPr>
              <w:pStyle w:val="ARtablecolheadright"/>
            </w:pPr>
            <w:r w:rsidRPr="003A2429">
              <w:t>Var.</w:t>
            </w:r>
          </w:p>
        </w:tc>
      </w:tr>
      <w:tr w:rsidR="007D61FB" w:rsidRPr="000670CE" w14:paraId="13FF6F63" w14:textId="77777777" w:rsidTr="006B2EA1">
        <w:trPr>
          <w:cantSplit/>
          <w:trHeight w:hRule="exact" w:val="340"/>
        </w:trPr>
        <w:tc>
          <w:tcPr>
            <w:tcW w:w="674" w:type="pct"/>
            <w:tcBorders>
              <w:top w:val="single" w:sz="4" w:space="0" w:color="auto"/>
              <w:bottom w:val="single" w:sz="4" w:space="0" w:color="auto"/>
              <w:right w:val="nil"/>
            </w:tcBorders>
            <w:shd w:val="clear" w:color="auto" w:fill="auto"/>
          </w:tcPr>
          <w:p w14:paraId="52231F7F" w14:textId="77777777" w:rsidR="007D61FB" w:rsidRPr="00B029C3" w:rsidRDefault="007D61FB" w:rsidP="00B029C3">
            <w:pPr>
              <w:pStyle w:val="ARtabletext"/>
            </w:pPr>
            <w:r w:rsidRPr="00B029C3">
              <w:t>SES-3</w:t>
            </w:r>
          </w:p>
        </w:tc>
        <w:tc>
          <w:tcPr>
            <w:tcW w:w="502" w:type="pct"/>
            <w:tcBorders>
              <w:top w:val="single" w:sz="4" w:space="0" w:color="auto"/>
              <w:left w:val="nil"/>
              <w:bottom w:val="single" w:sz="4" w:space="0" w:color="auto"/>
              <w:right w:val="nil"/>
            </w:tcBorders>
            <w:shd w:val="clear" w:color="auto" w:fill="auto"/>
            <w:vAlign w:val="center"/>
          </w:tcPr>
          <w:p w14:paraId="287C3C0E" w14:textId="77777777" w:rsidR="007D61FB" w:rsidRPr="00A66F69" w:rsidRDefault="007D61FB" w:rsidP="00B029C3">
            <w:pPr>
              <w:pStyle w:val="ARtabletextright"/>
            </w:pPr>
            <w:r w:rsidRPr="00A66F69">
              <w:t>10</w:t>
            </w:r>
          </w:p>
        </w:tc>
        <w:tc>
          <w:tcPr>
            <w:tcW w:w="581" w:type="pct"/>
            <w:tcBorders>
              <w:top w:val="single" w:sz="4" w:space="0" w:color="auto"/>
              <w:left w:val="nil"/>
              <w:bottom w:val="single" w:sz="4" w:space="0" w:color="auto"/>
              <w:right w:val="single" w:sz="4" w:space="0" w:color="auto"/>
            </w:tcBorders>
            <w:shd w:val="clear" w:color="auto" w:fill="auto"/>
            <w:vAlign w:val="center"/>
          </w:tcPr>
          <w:p w14:paraId="4118B4A9" w14:textId="77777777" w:rsidR="007D61FB" w:rsidRPr="00A66F69" w:rsidRDefault="007D61FB" w:rsidP="00B029C3">
            <w:pPr>
              <w:pStyle w:val="ARtabletextright"/>
            </w:pPr>
            <w:r w:rsidRPr="00A66F69">
              <w:t>2</w:t>
            </w:r>
          </w:p>
        </w:tc>
        <w:tc>
          <w:tcPr>
            <w:tcW w:w="541" w:type="pct"/>
            <w:tcBorders>
              <w:top w:val="single" w:sz="4" w:space="0" w:color="auto"/>
              <w:left w:val="single" w:sz="4" w:space="0" w:color="auto"/>
              <w:bottom w:val="single" w:sz="4" w:space="0" w:color="auto"/>
              <w:right w:val="nil"/>
            </w:tcBorders>
            <w:shd w:val="clear" w:color="auto" w:fill="auto"/>
            <w:vAlign w:val="center"/>
          </w:tcPr>
          <w:p w14:paraId="6BD78D7C" w14:textId="77777777" w:rsidR="007D61FB" w:rsidRPr="00A66F69" w:rsidRDefault="007D61FB" w:rsidP="00B029C3">
            <w:pPr>
              <w:pStyle w:val="ARtabletextright"/>
              <w:rPr>
                <w:b/>
                <w:bCs/>
              </w:rPr>
            </w:pPr>
            <w:r w:rsidRPr="00A66F69">
              <w:rPr>
                <w:bCs/>
              </w:rPr>
              <w:t>7</w:t>
            </w:r>
          </w:p>
        </w:tc>
        <w:tc>
          <w:tcPr>
            <w:tcW w:w="541" w:type="pct"/>
            <w:tcBorders>
              <w:top w:val="single" w:sz="4" w:space="0" w:color="auto"/>
              <w:left w:val="nil"/>
              <w:bottom w:val="single" w:sz="4" w:space="0" w:color="auto"/>
              <w:right w:val="single" w:sz="4" w:space="0" w:color="auto"/>
            </w:tcBorders>
            <w:shd w:val="clear" w:color="auto" w:fill="auto"/>
            <w:vAlign w:val="center"/>
          </w:tcPr>
          <w:p w14:paraId="475BC2EF" w14:textId="77777777" w:rsidR="007D61FB" w:rsidRPr="00A66F69" w:rsidRDefault="007D61FB" w:rsidP="00B029C3">
            <w:pPr>
              <w:pStyle w:val="ARtabletextright"/>
              <w:rPr>
                <w:b/>
                <w:bCs/>
              </w:rPr>
            </w:pPr>
            <w:r w:rsidRPr="00A66F69">
              <w:rPr>
                <w:bCs/>
              </w:rPr>
              <w:t>1</w:t>
            </w:r>
          </w:p>
        </w:tc>
        <w:tc>
          <w:tcPr>
            <w:tcW w:w="541" w:type="pct"/>
            <w:tcBorders>
              <w:top w:val="single" w:sz="4" w:space="0" w:color="auto"/>
              <w:left w:val="single" w:sz="4" w:space="0" w:color="auto"/>
              <w:bottom w:val="single" w:sz="4" w:space="0" w:color="auto"/>
              <w:right w:val="nil"/>
            </w:tcBorders>
            <w:shd w:val="clear" w:color="auto" w:fill="auto"/>
            <w:vAlign w:val="center"/>
          </w:tcPr>
          <w:p w14:paraId="26523274" w14:textId="77777777" w:rsidR="007D61FB" w:rsidRPr="00A66F69" w:rsidRDefault="007D61FB" w:rsidP="00B029C3">
            <w:pPr>
              <w:pStyle w:val="ARtabletextright"/>
            </w:pPr>
            <w:r w:rsidRPr="00A66F69">
              <w:t>3</w:t>
            </w:r>
          </w:p>
        </w:tc>
        <w:tc>
          <w:tcPr>
            <w:tcW w:w="541" w:type="pct"/>
            <w:tcBorders>
              <w:top w:val="single" w:sz="4" w:space="0" w:color="auto"/>
              <w:left w:val="nil"/>
              <w:bottom w:val="single" w:sz="4" w:space="0" w:color="auto"/>
              <w:right w:val="single" w:sz="4" w:space="0" w:color="auto"/>
            </w:tcBorders>
            <w:shd w:val="clear" w:color="auto" w:fill="auto"/>
            <w:vAlign w:val="center"/>
          </w:tcPr>
          <w:p w14:paraId="3A6647A2" w14:textId="77777777" w:rsidR="007D61FB" w:rsidRPr="00A66F69" w:rsidRDefault="007D61FB" w:rsidP="00B029C3">
            <w:pPr>
              <w:pStyle w:val="ARtabletextright"/>
            </w:pPr>
            <w:r w:rsidRPr="00A66F69">
              <w:t>1</w:t>
            </w:r>
          </w:p>
        </w:tc>
        <w:tc>
          <w:tcPr>
            <w:tcW w:w="541" w:type="pct"/>
            <w:tcBorders>
              <w:top w:val="single" w:sz="4" w:space="0" w:color="auto"/>
              <w:left w:val="single" w:sz="4" w:space="0" w:color="auto"/>
              <w:bottom w:val="single" w:sz="4" w:space="0" w:color="auto"/>
              <w:right w:val="nil"/>
            </w:tcBorders>
            <w:shd w:val="clear" w:color="auto" w:fill="auto"/>
            <w:vAlign w:val="center"/>
          </w:tcPr>
          <w:p w14:paraId="00D6F43D" w14:textId="77777777" w:rsidR="007D61FB" w:rsidRPr="00A66F69" w:rsidRDefault="007D61FB" w:rsidP="00B029C3">
            <w:pPr>
              <w:pStyle w:val="ARtabletextright"/>
            </w:pPr>
            <w:r w:rsidRPr="00A66F69">
              <w:t>0</w:t>
            </w:r>
          </w:p>
        </w:tc>
        <w:tc>
          <w:tcPr>
            <w:tcW w:w="538" w:type="pct"/>
            <w:tcBorders>
              <w:top w:val="single" w:sz="4" w:space="0" w:color="auto"/>
              <w:left w:val="nil"/>
              <w:bottom w:val="single" w:sz="4" w:space="0" w:color="auto"/>
              <w:right w:val="nil"/>
            </w:tcBorders>
            <w:shd w:val="clear" w:color="auto" w:fill="auto"/>
            <w:vAlign w:val="center"/>
          </w:tcPr>
          <w:p w14:paraId="5164683B" w14:textId="77777777" w:rsidR="007D61FB" w:rsidRPr="00A66F69" w:rsidRDefault="007D61FB" w:rsidP="00B029C3">
            <w:pPr>
              <w:pStyle w:val="ARtabletextright"/>
            </w:pPr>
            <w:r w:rsidRPr="00A66F69">
              <w:t>0</w:t>
            </w:r>
          </w:p>
        </w:tc>
      </w:tr>
      <w:tr w:rsidR="007D61FB" w:rsidRPr="000670CE" w14:paraId="53FCCA8C" w14:textId="77777777" w:rsidTr="006B2EA1">
        <w:trPr>
          <w:cantSplit/>
          <w:trHeight w:hRule="exact" w:val="340"/>
        </w:trPr>
        <w:tc>
          <w:tcPr>
            <w:tcW w:w="674" w:type="pct"/>
            <w:tcBorders>
              <w:top w:val="single" w:sz="4" w:space="0" w:color="auto"/>
              <w:bottom w:val="single" w:sz="4" w:space="0" w:color="auto"/>
              <w:right w:val="nil"/>
            </w:tcBorders>
            <w:shd w:val="clear" w:color="auto" w:fill="auto"/>
          </w:tcPr>
          <w:p w14:paraId="4960E0A3" w14:textId="77777777" w:rsidR="007D61FB" w:rsidRPr="00B029C3" w:rsidRDefault="007D61FB" w:rsidP="00B029C3">
            <w:pPr>
              <w:pStyle w:val="ARtabletext"/>
            </w:pPr>
            <w:r w:rsidRPr="00B029C3">
              <w:t>SES-2</w:t>
            </w:r>
          </w:p>
        </w:tc>
        <w:tc>
          <w:tcPr>
            <w:tcW w:w="502" w:type="pct"/>
            <w:tcBorders>
              <w:top w:val="single" w:sz="4" w:space="0" w:color="auto"/>
              <w:left w:val="nil"/>
              <w:bottom w:val="single" w:sz="4" w:space="0" w:color="auto"/>
              <w:right w:val="nil"/>
            </w:tcBorders>
            <w:shd w:val="clear" w:color="auto" w:fill="auto"/>
            <w:vAlign w:val="center"/>
          </w:tcPr>
          <w:p w14:paraId="2496A57B" w14:textId="77777777" w:rsidR="007D61FB" w:rsidRPr="00A66F69" w:rsidRDefault="007D61FB" w:rsidP="00B029C3">
            <w:pPr>
              <w:pStyle w:val="ARtabletextright"/>
            </w:pPr>
            <w:r w:rsidRPr="00A66F69">
              <w:t>61</w:t>
            </w:r>
          </w:p>
        </w:tc>
        <w:tc>
          <w:tcPr>
            <w:tcW w:w="581" w:type="pct"/>
            <w:tcBorders>
              <w:top w:val="single" w:sz="4" w:space="0" w:color="auto"/>
              <w:left w:val="nil"/>
              <w:bottom w:val="single" w:sz="4" w:space="0" w:color="auto"/>
              <w:right w:val="single" w:sz="4" w:space="0" w:color="auto"/>
            </w:tcBorders>
            <w:shd w:val="clear" w:color="auto" w:fill="auto"/>
            <w:vAlign w:val="center"/>
          </w:tcPr>
          <w:p w14:paraId="42573879" w14:textId="5996B19F" w:rsidR="007D61FB" w:rsidRPr="00A66F69" w:rsidRDefault="00EF630D" w:rsidP="00B029C3">
            <w:pPr>
              <w:pStyle w:val="ARtabletextright"/>
            </w:pPr>
            <w:r>
              <w:t>-</w:t>
            </w:r>
            <w:r w:rsidR="007D61FB" w:rsidRPr="00A66F69">
              <w:t>7</w:t>
            </w:r>
          </w:p>
        </w:tc>
        <w:tc>
          <w:tcPr>
            <w:tcW w:w="541" w:type="pct"/>
            <w:tcBorders>
              <w:top w:val="single" w:sz="4" w:space="0" w:color="auto"/>
              <w:left w:val="single" w:sz="4" w:space="0" w:color="auto"/>
              <w:bottom w:val="single" w:sz="4" w:space="0" w:color="auto"/>
              <w:right w:val="nil"/>
            </w:tcBorders>
            <w:shd w:val="clear" w:color="auto" w:fill="auto"/>
            <w:vAlign w:val="center"/>
          </w:tcPr>
          <w:p w14:paraId="271E5D2A" w14:textId="77777777" w:rsidR="007D61FB" w:rsidRPr="00A66F69" w:rsidRDefault="007D61FB" w:rsidP="00B029C3">
            <w:pPr>
              <w:pStyle w:val="ARtabletextright"/>
              <w:rPr>
                <w:b/>
                <w:bCs/>
              </w:rPr>
            </w:pPr>
            <w:r w:rsidRPr="00A66F69">
              <w:rPr>
                <w:bCs/>
              </w:rPr>
              <w:t>44</w:t>
            </w:r>
          </w:p>
        </w:tc>
        <w:tc>
          <w:tcPr>
            <w:tcW w:w="541" w:type="pct"/>
            <w:tcBorders>
              <w:top w:val="single" w:sz="4" w:space="0" w:color="auto"/>
              <w:left w:val="nil"/>
              <w:bottom w:val="single" w:sz="4" w:space="0" w:color="auto"/>
              <w:right w:val="single" w:sz="4" w:space="0" w:color="auto"/>
            </w:tcBorders>
            <w:shd w:val="clear" w:color="auto" w:fill="auto"/>
            <w:vAlign w:val="center"/>
          </w:tcPr>
          <w:p w14:paraId="52E8DA9D" w14:textId="77777777" w:rsidR="007D61FB" w:rsidRPr="00A66F69" w:rsidRDefault="007D61FB" w:rsidP="00B029C3">
            <w:pPr>
              <w:pStyle w:val="ARtabletextright"/>
              <w:rPr>
                <w:b/>
                <w:bCs/>
              </w:rPr>
            </w:pPr>
            <w:r w:rsidRPr="00A66F69">
              <w:rPr>
                <w:bCs/>
              </w:rPr>
              <w:t>0</w:t>
            </w:r>
          </w:p>
        </w:tc>
        <w:tc>
          <w:tcPr>
            <w:tcW w:w="541" w:type="pct"/>
            <w:tcBorders>
              <w:top w:val="single" w:sz="4" w:space="0" w:color="auto"/>
              <w:left w:val="single" w:sz="4" w:space="0" w:color="auto"/>
              <w:bottom w:val="single" w:sz="4" w:space="0" w:color="auto"/>
              <w:right w:val="nil"/>
            </w:tcBorders>
            <w:shd w:val="clear" w:color="auto" w:fill="auto"/>
            <w:vAlign w:val="center"/>
          </w:tcPr>
          <w:p w14:paraId="4A17A861" w14:textId="77777777" w:rsidR="007D61FB" w:rsidRPr="00A66F69" w:rsidRDefault="007D61FB" w:rsidP="00B029C3">
            <w:pPr>
              <w:pStyle w:val="ARtabletextright"/>
            </w:pPr>
            <w:r w:rsidRPr="00A66F69">
              <w:t>17</w:t>
            </w:r>
          </w:p>
        </w:tc>
        <w:tc>
          <w:tcPr>
            <w:tcW w:w="541" w:type="pct"/>
            <w:tcBorders>
              <w:top w:val="single" w:sz="4" w:space="0" w:color="auto"/>
              <w:left w:val="nil"/>
              <w:bottom w:val="single" w:sz="4" w:space="0" w:color="auto"/>
              <w:right w:val="single" w:sz="4" w:space="0" w:color="auto"/>
            </w:tcBorders>
            <w:shd w:val="clear" w:color="auto" w:fill="auto"/>
            <w:vAlign w:val="center"/>
          </w:tcPr>
          <w:p w14:paraId="08A367EF" w14:textId="0F4281B5" w:rsidR="007D61FB" w:rsidRPr="00A66F69" w:rsidRDefault="00EF630D" w:rsidP="00B029C3">
            <w:pPr>
              <w:pStyle w:val="ARtabletextright"/>
            </w:pPr>
            <w:r>
              <w:t>-</w:t>
            </w:r>
            <w:r w:rsidR="007D61FB" w:rsidRPr="00A66F69">
              <w:t>5</w:t>
            </w:r>
          </w:p>
        </w:tc>
        <w:tc>
          <w:tcPr>
            <w:tcW w:w="541" w:type="pct"/>
            <w:tcBorders>
              <w:top w:val="single" w:sz="4" w:space="0" w:color="auto"/>
              <w:left w:val="single" w:sz="4" w:space="0" w:color="auto"/>
              <w:bottom w:val="single" w:sz="4" w:space="0" w:color="auto"/>
              <w:right w:val="nil"/>
            </w:tcBorders>
            <w:shd w:val="clear" w:color="auto" w:fill="auto"/>
            <w:vAlign w:val="center"/>
          </w:tcPr>
          <w:p w14:paraId="7FD6F55E" w14:textId="77777777" w:rsidR="007D61FB" w:rsidRPr="00A66F69" w:rsidRDefault="007D61FB" w:rsidP="00B029C3">
            <w:pPr>
              <w:pStyle w:val="ARtabletextright"/>
            </w:pPr>
            <w:r w:rsidRPr="00A66F69">
              <w:t>0</w:t>
            </w:r>
          </w:p>
        </w:tc>
        <w:tc>
          <w:tcPr>
            <w:tcW w:w="538" w:type="pct"/>
            <w:tcBorders>
              <w:top w:val="single" w:sz="4" w:space="0" w:color="auto"/>
              <w:left w:val="nil"/>
              <w:bottom w:val="single" w:sz="4" w:space="0" w:color="auto"/>
              <w:right w:val="nil"/>
            </w:tcBorders>
            <w:shd w:val="clear" w:color="auto" w:fill="auto"/>
            <w:vAlign w:val="center"/>
          </w:tcPr>
          <w:p w14:paraId="7490042B" w14:textId="377000CB" w:rsidR="007D61FB" w:rsidRPr="00A66F69" w:rsidRDefault="00EF630D" w:rsidP="00B029C3">
            <w:pPr>
              <w:pStyle w:val="ARtabletextright"/>
            </w:pPr>
            <w:r>
              <w:t>-</w:t>
            </w:r>
            <w:r w:rsidR="007D61FB" w:rsidRPr="00A66F69">
              <w:t>2</w:t>
            </w:r>
          </w:p>
        </w:tc>
      </w:tr>
      <w:tr w:rsidR="007D61FB" w:rsidRPr="000670CE" w14:paraId="1546ECFE" w14:textId="77777777" w:rsidTr="006B2EA1">
        <w:trPr>
          <w:cantSplit/>
          <w:trHeight w:hRule="exact" w:val="340"/>
        </w:trPr>
        <w:tc>
          <w:tcPr>
            <w:tcW w:w="674" w:type="pct"/>
            <w:tcBorders>
              <w:top w:val="single" w:sz="4" w:space="0" w:color="auto"/>
              <w:bottom w:val="single" w:sz="4" w:space="0" w:color="auto"/>
              <w:right w:val="nil"/>
            </w:tcBorders>
            <w:shd w:val="clear" w:color="auto" w:fill="auto"/>
          </w:tcPr>
          <w:p w14:paraId="23F3507A" w14:textId="77777777" w:rsidR="007D61FB" w:rsidRPr="00B029C3" w:rsidRDefault="007D61FB" w:rsidP="00B029C3">
            <w:pPr>
              <w:pStyle w:val="ARtabletext"/>
            </w:pPr>
            <w:r w:rsidRPr="00B029C3">
              <w:t>SES-1</w:t>
            </w:r>
          </w:p>
        </w:tc>
        <w:tc>
          <w:tcPr>
            <w:tcW w:w="502" w:type="pct"/>
            <w:tcBorders>
              <w:top w:val="single" w:sz="4" w:space="0" w:color="auto"/>
              <w:left w:val="nil"/>
              <w:bottom w:val="single" w:sz="4" w:space="0" w:color="auto"/>
              <w:right w:val="nil"/>
            </w:tcBorders>
            <w:shd w:val="clear" w:color="auto" w:fill="auto"/>
            <w:vAlign w:val="center"/>
          </w:tcPr>
          <w:p w14:paraId="48631636" w14:textId="77777777" w:rsidR="007D61FB" w:rsidRPr="00A66F69" w:rsidRDefault="007D61FB" w:rsidP="00B029C3">
            <w:pPr>
              <w:pStyle w:val="ARtabletextright"/>
            </w:pPr>
            <w:r w:rsidRPr="00A66F69">
              <w:t>108</w:t>
            </w:r>
          </w:p>
        </w:tc>
        <w:tc>
          <w:tcPr>
            <w:tcW w:w="581" w:type="pct"/>
            <w:tcBorders>
              <w:top w:val="single" w:sz="4" w:space="0" w:color="auto"/>
              <w:left w:val="nil"/>
              <w:bottom w:val="single" w:sz="4" w:space="0" w:color="auto"/>
              <w:right w:val="single" w:sz="4" w:space="0" w:color="auto"/>
            </w:tcBorders>
            <w:shd w:val="clear" w:color="auto" w:fill="auto"/>
            <w:vAlign w:val="center"/>
          </w:tcPr>
          <w:p w14:paraId="1C57F0CF" w14:textId="1BD8AAE0" w:rsidR="007D61FB" w:rsidRPr="00A66F69" w:rsidRDefault="00EF630D" w:rsidP="00B029C3">
            <w:pPr>
              <w:pStyle w:val="ARtabletextright"/>
            </w:pPr>
            <w:r>
              <w:t>-</w:t>
            </w:r>
            <w:r w:rsidR="007D61FB" w:rsidRPr="00A66F69">
              <w:t>21</w:t>
            </w:r>
          </w:p>
        </w:tc>
        <w:tc>
          <w:tcPr>
            <w:tcW w:w="541" w:type="pct"/>
            <w:tcBorders>
              <w:top w:val="single" w:sz="4" w:space="0" w:color="auto"/>
              <w:left w:val="single" w:sz="4" w:space="0" w:color="auto"/>
              <w:bottom w:val="single" w:sz="4" w:space="0" w:color="auto"/>
              <w:right w:val="nil"/>
            </w:tcBorders>
            <w:shd w:val="clear" w:color="auto" w:fill="auto"/>
            <w:vAlign w:val="center"/>
          </w:tcPr>
          <w:p w14:paraId="74BDEAD8" w14:textId="77777777" w:rsidR="007D61FB" w:rsidRPr="00A66F69" w:rsidRDefault="007D61FB" w:rsidP="00B029C3">
            <w:pPr>
              <w:pStyle w:val="ARtabletextright"/>
              <w:rPr>
                <w:b/>
                <w:bCs/>
              </w:rPr>
            </w:pPr>
            <w:r w:rsidRPr="00A66F69">
              <w:rPr>
                <w:bCs/>
              </w:rPr>
              <w:t>71</w:t>
            </w:r>
          </w:p>
        </w:tc>
        <w:tc>
          <w:tcPr>
            <w:tcW w:w="541" w:type="pct"/>
            <w:tcBorders>
              <w:top w:val="single" w:sz="4" w:space="0" w:color="auto"/>
              <w:left w:val="nil"/>
              <w:bottom w:val="single" w:sz="4" w:space="0" w:color="auto"/>
              <w:right w:val="single" w:sz="4" w:space="0" w:color="auto"/>
            </w:tcBorders>
            <w:shd w:val="clear" w:color="auto" w:fill="auto"/>
            <w:vAlign w:val="center"/>
          </w:tcPr>
          <w:p w14:paraId="34E762C5" w14:textId="03DB920A" w:rsidR="007D61FB" w:rsidRPr="00A66F69" w:rsidRDefault="00EF630D" w:rsidP="00B029C3">
            <w:pPr>
              <w:pStyle w:val="ARtabletextright"/>
              <w:rPr>
                <w:b/>
                <w:bCs/>
              </w:rPr>
            </w:pPr>
            <w:r>
              <w:rPr>
                <w:bCs/>
              </w:rPr>
              <w:t>-</w:t>
            </w:r>
            <w:r w:rsidR="007D61FB" w:rsidRPr="00A66F69">
              <w:rPr>
                <w:bCs/>
              </w:rPr>
              <w:t>8</w:t>
            </w:r>
          </w:p>
        </w:tc>
        <w:tc>
          <w:tcPr>
            <w:tcW w:w="541" w:type="pct"/>
            <w:tcBorders>
              <w:top w:val="single" w:sz="4" w:space="0" w:color="auto"/>
              <w:left w:val="single" w:sz="4" w:space="0" w:color="auto"/>
              <w:bottom w:val="single" w:sz="4" w:space="0" w:color="auto"/>
              <w:right w:val="nil"/>
            </w:tcBorders>
            <w:shd w:val="clear" w:color="auto" w:fill="auto"/>
            <w:vAlign w:val="center"/>
          </w:tcPr>
          <w:p w14:paraId="2BC4F49D" w14:textId="77777777" w:rsidR="007D61FB" w:rsidRPr="00A66F69" w:rsidRDefault="007D61FB" w:rsidP="00B029C3">
            <w:pPr>
              <w:pStyle w:val="ARtabletextright"/>
            </w:pPr>
            <w:r w:rsidRPr="00A66F69">
              <w:t>34</w:t>
            </w:r>
          </w:p>
        </w:tc>
        <w:tc>
          <w:tcPr>
            <w:tcW w:w="541" w:type="pct"/>
            <w:tcBorders>
              <w:top w:val="single" w:sz="4" w:space="0" w:color="auto"/>
              <w:left w:val="nil"/>
              <w:bottom w:val="single" w:sz="4" w:space="0" w:color="auto"/>
              <w:right w:val="single" w:sz="4" w:space="0" w:color="auto"/>
            </w:tcBorders>
            <w:shd w:val="clear" w:color="auto" w:fill="auto"/>
            <w:vAlign w:val="center"/>
          </w:tcPr>
          <w:p w14:paraId="3DE8E4BB" w14:textId="1D11D4CB" w:rsidR="007D61FB" w:rsidRPr="00A66F69" w:rsidRDefault="00EF630D" w:rsidP="00B029C3">
            <w:pPr>
              <w:pStyle w:val="ARtabletextright"/>
            </w:pPr>
            <w:r>
              <w:t>-</w:t>
            </w:r>
            <w:r w:rsidR="007D61FB" w:rsidRPr="00A66F69">
              <w:t>11</w:t>
            </w:r>
          </w:p>
        </w:tc>
        <w:tc>
          <w:tcPr>
            <w:tcW w:w="541" w:type="pct"/>
            <w:tcBorders>
              <w:top w:val="single" w:sz="4" w:space="0" w:color="auto"/>
              <w:left w:val="single" w:sz="4" w:space="0" w:color="auto"/>
              <w:bottom w:val="single" w:sz="4" w:space="0" w:color="auto"/>
              <w:right w:val="nil"/>
            </w:tcBorders>
            <w:shd w:val="clear" w:color="auto" w:fill="auto"/>
            <w:vAlign w:val="center"/>
          </w:tcPr>
          <w:p w14:paraId="2A9BAE87" w14:textId="77777777" w:rsidR="007D61FB" w:rsidRPr="00A66F69" w:rsidRDefault="007D61FB" w:rsidP="00B029C3">
            <w:pPr>
              <w:pStyle w:val="ARtabletextright"/>
            </w:pPr>
            <w:r w:rsidRPr="00A66F69">
              <w:t>3</w:t>
            </w:r>
          </w:p>
        </w:tc>
        <w:tc>
          <w:tcPr>
            <w:tcW w:w="538" w:type="pct"/>
            <w:tcBorders>
              <w:top w:val="single" w:sz="4" w:space="0" w:color="auto"/>
              <w:left w:val="nil"/>
              <w:bottom w:val="single" w:sz="4" w:space="0" w:color="auto"/>
              <w:right w:val="nil"/>
            </w:tcBorders>
            <w:shd w:val="clear" w:color="auto" w:fill="auto"/>
            <w:vAlign w:val="center"/>
          </w:tcPr>
          <w:p w14:paraId="31834DA8" w14:textId="08E892DE" w:rsidR="007D61FB" w:rsidRPr="00A66F69" w:rsidRDefault="00EF630D" w:rsidP="00B029C3">
            <w:pPr>
              <w:pStyle w:val="ARtabletextright"/>
            </w:pPr>
            <w:r>
              <w:t>-</w:t>
            </w:r>
            <w:r w:rsidR="007D61FB" w:rsidRPr="00A66F69">
              <w:t>2</w:t>
            </w:r>
          </w:p>
        </w:tc>
      </w:tr>
      <w:tr w:rsidR="007D61FB" w:rsidRPr="000670CE" w14:paraId="3DCB9CF5" w14:textId="77777777" w:rsidTr="006B2EA1">
        <w:trPr>
          <w:cantSplit/>
          <w:trHeight w:hRule="exact" w:val="340"/>
        </w:trPr>
        <w:tc>
          <w:tcPr>
            <w:tcW w:w="674" w:type="pct"/>
            <w:tcBorders>
              <w:top w:val="single" w:sz="4" w:space="0" w:color="auto"/>
              <w:bottom w:val="single" w:sz="4" w:space="0" w:color="auto"/>
              <w:right w:val="nil"/>
            </w:tcBorders>
            <w:shd w:val="clear" w:color="auto" w:fill="auto"/>
          </w:tcPr>
          <w:p w14:paraId="5CFE8046" w14:textId="77777777" w:rsidR="007D61FB" w:rsidRPr="00A66F69" w:rsidRDefault="007D61FB" w:rsidP="00B029C3">
            <w:pPr>
              <w:pStyle w:val="ARtabletextbold"/>
            </w:pPr>
            <w:r w:rsidRPr="00B029C3">
              <w:t>Total</w:t>
            </w:r>
          </w:p>
        </w:tc>
        <w:tc>
          <w:tcPr>
            <w:tcW w:w="502" w:type="pct"/>
            <w:tcBorders>
              <w:top w:val="single" w:sz="4" w:space="0" w:color="auto"/>
              <w:left w:val="nil"/>
              <w:bottom w:val="single" w:sz="4" w:space="0" w:color="auto"/>
              <w:right w:val="nil"/>
            </w:tcBorders>
            <w:shd w:val="clear" w:color="auto" w:fill="auto"/>
            <w:vAlign w:val="center"/>
          </w:tcPr>
          <w:p w14:paraId="2A8BD985" w14:textId="3670C234" w:rsidR="007D61FB" w:rsidRPr="00A66F69" w:rsidRDefault="007D61FB" w:rsidP="00B029C3">
            <w:pPr>
              <w:pStyle w:val="ARtabletextrightbold"/>
            </w:pPr>
            <w:r>
              <w:t>179</w:t>
            </w:r>
            <w:r w:rsidR="007A3722">
              <w:t xml:space="preserve"> </w:t>
            </w:r>
            <w:r>
              <w:rPr>
                <w:rStyle w:val="FootnoteReference"/>
                <w:color w:val="000000" w:themeColor="text1"/>
              </w:rPr>
              <w:footnoteReference w:id="9"/>
            </w:r>
          </w:p>
        </w:tc>
        <w:tc>
          <w:tcPr>
            <w:tcW w:w="581" w:type="pct"/>
            <w:tcBorders>
              <w:top w:val="single" w:sz="4" w:space="0" w:color="auto"/>
              <w:left w:val="nil"/>
              <w:bottom w:val="single" w:sz="4" w:space="0" w:color="auto"/>
              <w:right w:val="single" w:sz="4" w:space="0" w:color="auto"/>
            </w:tcBorders>
            <w:shd w:val="clear" w:color="auto" w:fill="auto"/>
            <w:vAlign w:val="center"/>
          </w:tcPr>
          <w:p w14:paraId="52247FDC" w14:textId="6B6FB486" w:rsidR="007D61FB" w:rsidRPr="00A66F69" w:rsidRDefault="00EF630D" w:rsidP="00B029C3">
            <w:pPr>
              <w:pStyle w:val="ARtabletextrightbold"/>
              <w:rPr>
                <w:bCs/>
              </w:rPr>
            </w:pPr>
            <w:r>
              <w:rPr>
                <w:bCs/>
              </w:rPr>
              <w:t>-</w:t>
            </w:r>
            <w:r w:rsidR="007D61FB" w:rsidRPr="00A66F69">
              <w:rPr>
                <w:bCs/>
              </w:rPr>
              <w:t>26</w:t>
            </w:r>
          </w:p>
        </w:tc>
        <w:tc>
          <w:tcPr>
            <w:tcW w:w="541" w:type="pct"/>
            <w:tcBorders>
              <w:top w:val="single" w:sz="4" w:space="0" w:color="auto"/>
              <w:left w:val="single" w:sz="4" w:space="0" w:color="auto"/>
              <w:bottom w:val="single" w:sz="4" w:space="0" w:color="auto"/>
              <w:right w:val="nil"/>
            </w:tcBorders>
            <w:shd w:val="clear" w:color="auto" w:fill="auto"/>
            <w:vAlign w:val="center"/>
          </w:tcPr>
          <w:p w14:paraId="5D49EBC5" w14:textId="74E5CEC9" w:rsidR="007D61FB" w:rsidRPr="00A66F69" w:rsidRDefault="007D61FB" w:rsidP="00B029C3">
            <w:pPr>
              <w:pStyle w:val="ARtabletextrightbold"/>
              <w:rPr>
                <w:bCs/>
              </w:rPr>
            </w:pPr>
            <w:r w:rsidRPr="00A66F69">
              <w:rPr>
                <w:bCs/>
              </w:rPr>
              <w:t>122</w:t>
            </w:r>
          </w:p>
        </w:tc>
        <w:tc>
          <w:tcPr>
            <w:tcW w:w="541" w:type="pct"/>
            <w:tcBorders>
              <w:top w:val="single" w:sz="4" w:space="0" w:color="auto"/>
              <w:left w:val="nil"/>
              <w:bottom w:val="single" w:sz="4" w:space="0" w:color="auto"/>
              <w:right w:val="single" w:sz="4" w:space="0" w:color="auto"/>
            </w:tcBorders>
            <w:shd w:val="clear" w:color="auto" w:fill="auto"/>
            <w:vAlign w:val="center"/>
          </w:tcPr>
          <w:p w14:paraId="77E6BE07" w14:textId="798A7879" w:rsidR="007D61FB" w:rsidRPr="00A66F69" w:rsidRDefault="00EF630D" w:rsidP="00B029C3">
            <w:pPr>
              <w:pStyle w:val="ARtabletextrightbold"/>
              <w:rPr>
                <w:bCs/>
              </w:rPr>
            </w:pPr>
            <w:r>
              <w:rPr>
                <w:bCs/>
              </w:rPr>
              <w:t>-</w:t>
            </w:r>
            <w:r w:rsidR="007D61FB" w:rsidRPr="00A66F69">
              <w:rPr>
                <w:bCs/>
              </w:rPr>
              <w:t>7</w:t>
            </w:r>
          </w:p>
        </w:tc>
        <w:tc>
          <w:tcPr>
            <w:tcW w:w="541" w:type="pct"/>
            <w:tcBorders>
              <w:top w:val="single" w:sz="4" w:space="0" w:color="auto"/>
              <w:left w:val="single" w:sz="4" w:space="0" w:color="auto"/>
              <w:bottom w:val="single" w:sz="4" w:space="0" w:color="auto"/>
              <w:right w:val="nil"/>
            </w:tcBorders>
            <w:shd w:val="clear" w:color="auto" w:fill="auto"/>
            <w:vAlign w:val="center"/>
          </w:tcPr>
          <w:p w14:paraId="6A150E19" w14:textId="0B24466E" w:rsidR="007D61FB" w:rsidRPr="00A66F69" w:rsidRDefault="007D61FB" w:rsidP="00B029C3">
            <w:pPr>
              <w:pStyle w:val="ARtabletextrightbold"/>
              <w:rPr>
                <w:bCs/>
              </w:rPr>
            </w:pPr>
            <w:r w:rsidRPr="00A66F69">
              <w:rPr>
                <w:bCs/>
              </w:rPr>
              <w:t>54</w:t>
            </w:r>
          </w:p>
        </w:tc>
        <w:tc>
          <w:tcPr>
            <w:tcW w:w="541" w:type="pct"/>
            <w:tcBorders>
              <w:top w:val="single" w:sz="4" w:space="0" w:color="auto"/>
              <w:left w:val="nil"/>
              <w:bottom w:val="single" w:sz="4" w:space="0" w:color="auto"/>
              <w:right w:val="single" w:sz="4" w:space="0" w:color="auto"/>
            </w:tcBorders>
            <w:shd w:val="clear" w:color="auto" w:fill="auto"/>
            <w:vAlign w:val="center"/>
          </w:tcPr>
          <w:p w14:paraId="44CAC327" w14:textId="4237C5D1" w:rsidR="007D61FB" w:rsidRPr="00A66F69" w:rsidRDefault="00EF630D" w:rsidP="00B029C3">
            <w:pPr>
              <w:pStyle w:val="ARtabletextrightbold"/>
              <w:rPr>
                <w:bCs/>
              </w:rPr>
            </w:pPr>
            <w:r>
              <w:rPr>
                <w:bCs/>
              </w:rPr>
              <w:t>-</w:t>
            </w:r>
            <w:r w:rsidR="007D61FB" w:rsidRPr="00A66F69">
              <w:rPr>
                <w:bCs/>
              </w:rPr>
              <w:t>15</w:t>
            </w:r>
          </w:p>
        </w:tc>
        <w:tc>
          <w:tcPr>
            <w:tcW w:w="541" w:type="pct"/>
            <w:tcBorders>
              <w:top w:val="single" w:sz="4" w:space="0" w:color="auto"/>
              <w:left w:val="single" w:sz="4" w:space="0" w:color="auto"/>
              <w:bottom w:val="single" w:sz="4" w:space="0" w:color="auto"/>
              <w:right w:val="nil"/>
            </w:tcBorders>
            <w:shd w:val="clear" w:color="auto" w:fill="auto"/>
            <w:vAlign w:val="center"/>
          </w:tcPr>
          <w:p w14:paraId="31AD827D" w14:textId="493BF770" w:rsidR="007D61FB" w:rsidRPr="00A66F69" w:rsidRDefault="007D61FB" w:rsidP="00B029C3">
            <w:pPr>
              <w:pStyle w:val="ARtabletextrightbold"/>
              <w:rPr>
                <w:bCs/>
              </w:rPr>
            </w:pPr>
            <w:r w:rsidRPr="00A66F69">
              <w:rPr>
                <w:bCs/>
              </w:rPr>
              <w:t>3</w:t>
            </w:r>
          </w:p>
        </w:tc>
        <w:tc>
          <w:tcPr>
            <w:tcW w:w="538" w:type="pct"/>
            <w:tcBorders>
              <w:top w:val="single" w:sz="4" w:space="0" w:color="auto"/>
              <w:left w:val="nil"/>
              <w:bottom w:val="single" w:sz="4" w:space="0" w:color="auto"/>
              <w:right w:val="nil"/>
            </w:tcBorders>
            <w:shd w:val="clear" w:color="auto" w:fill="auto"/>
            <w:vAlign w:val="center"/>
          </w:tcPr>
          <w:p w14:paraId="6873CEA6" w14:textId="2B123C90" w:rsidR="007D61FB" w:rsidRPr="00A66F69" w:rsidRDefault="00EF630D" w:rsidP="00B029C3">
            <w:pPr>
              <w:pStyle w:val="ARtabletextrightbold"/>
              <w:rPr>
                <w:bCs/>
              </w:rPr>
            </w:pPr>
            <w:r>
              <w:rPr>
                <w:bCs/>
              </w:rPr>
              <w:t>-</w:t>
            </w:r>
            <w:r w:rsidR="007D61FB" w:rsidRPr="00A66F69">
              <w:rPr>
                <w:bCs/>
              </w:rPr>
              <w:t>4</w:t>
            </w:r>
          </w:p>
        </w:tc>
      </w:tr>
    </w:tbl>
    <w:p w14:paraId="47513700" w14:textId="6B40FD6B" w:rsidR="007D61FB" w:rsidRPr="003A2429" w:rsidRDefault="007D61FB" w:rsidP="00B029C3">
      <w:pPr>
        <w:pStyle w:val="ARbodyaftertable"/>
      </w:pPr>
      <w:r w:rsidRPr="003A2429">
        <w:t xml:space="preserve">The number of executives in Table 4 below is based on the number of executive positions that are occupied at the end of </w:t>
      </w:r>
      <w:r w:rsidRPr="00B029C3">
        <w:t>the</w:t>
      </w:r>
      <w:r w:rsidRPr="003A2429">
        <w:t xml:space="preserve"> financial year. Note 9.7 in the financial statements lists the actual number of SES and the total remuneration paid to SES over the course of the reporting period. The financial statements note does not include the Accountable Officer, nor does it distinguish between executive levels or disclose separations. Separations are executives who have left the department during the relevant reporting period. To assist readers, these </w:t>
      </w:r>
      <w:r w:rsidR="00F95AC7">
        <w:t>2</w:t>
      </w:r>
      <w:r w:rsidRPr="003A2429">
        <w:t xml:space="preserve"> disclosures are reconciled below.</w:t>
      </w:r>
    </w:p>
    <w:p w14:paraId="11B7C63B" w14:textId="77777777" w:rsidR="007D61FB" w:rsidRPr="003A2429" w:rsidRDefault="007D61FB" w:rsidP="00A95A18">
      <w:pPr>
        <w:pStyle w:val="ARtablecaption"/>
      </w:pPr>
      <w:r w:rsidRPr="003A2429">
        <w:t xml:space="preserve">Table 4: Reconciliation of executive numbers for </w:t>
      </w:r>
      <w:r w:rsidRPr="00B029C3">
        <w:t>the</w:t>
      </w:r>
      <w:r w:rsidRPr="003A2429">
        <w:t xml:space="preserve"> department</w:t>
      </w:r>
    </w:p>
    <w:tbl>
      <w:tblPr>
        <w:tblStyle w:val="TableGrid"/>
        <w:tblW w:w="5000" w:type="pct"/>
        <w:tblLook w:val="06E0" w:firstRow="1" w:lastRow="1" w:firstColumn="1" w:lastColumn="0" w:noHBand="1" w:noVBand="1"/>
      </w:tblPr>
      <w:tblGrid>
        <w:gridCol w:w="5470"/>
        <w:gridCol w:w="1384"/>
        <w:gridCol w:w="1384"/>
        <w:gridCol w:w="1384"/>
      </w:tblGrid>
      <w:tr w:rsidR="007D61FB" w:rsidRPr="000670CE" w14:paraId="6019CD29" w14:textId="77777777" w:rsidTr="006B2EA1">
        <w:trPr>
          <w:cnfStyle w:val="100000000000" w:firstRow="1" w:lastRow="0" w:firstColumn="0" w:lastColumn="0" w:oddVBand="0" w:evenVBand="0" w:oddHBand="0" w:evenHBand="0" w:firstRowFirstColumn="0" w:firstRowLastColumn="0" w:lastRowFirstColumn="0" w:lastRowLastColumn="0"/>
          <w:tblHeader/>
        </w:trPr>
        <w:tc>
          <w:tcPr>
            <w:tcW w:w="2842" w:type="pct"/>
            <w:tcBorders>
              <w:top w:val="nil"/>
            </w:tcBorders>
          </w:tcPr>
          <w:p w14:paraId="523C86FF" w14:textId="77777777" w:rsidR="007D61FB" w:rsidRPr="003A2429" w:rsidRDefault="007D61FB">
            <w:pPr>
              <w:pStyle w:val="ARtablecolhead"/>
            </w:pPr>
          </w:p>
        </w:tc>
        <w:tc>
          <w:tcPr>
            <w:tcW w:w="719" w:type="pct"/>
            <w:tcBorders>
              <w:top w:val="nil"/>
            </w:tcBorders>
          </w:tcPr>
          <w:p w14:paraId="7713BC00" w14:textId="77777777" w:rsidR="007D61FB" w:rsidRPr="00B029C3" w:rsidRDefault="007D61FB" w:rsidP="00B029C3">
            <w:pPr>
              <w:pStyle w:val="ARtablecolheadright"/>
            </w:pPr>
            <w:r w:rsidRPr="00B029C3">
              <w:t>2024</w:t>
            </w:r>
          </w:p>
        </w:tc>
        <w:tc>
          <w:tcPr>
            <w:tcW w:w="719" w:type="pct"/>
            <w:tcBorders>
              <w:top w:val="nil"/>
            </w:tcBorders>
            <w:shd w:val="clear" w:color="auto" w:fill="auto"/>
          </w:tcPr>
          <w:p w14:paraId="4B204442" w14:textId="77777777" w:rsidR="007D61FB" w:rsidRPr="00B029C3" w:rsidRDefault="007D61FB" w:rsidP="00B029C3">
            <w:pPr>
              <w:pStyle w:val="ARtablecolheadright"/>
            </w:pPr>
            <w:r w:rsidRPr="00B029C3">
              <w:t>2023</w:t>
            </w:r>
          </w:p>
        </w:tc>
        <w:tc>
          <w:tcPr>
            <w:tcW w:w="719" w:type="pct"/>
            <w:tcBorders>
              <w:top w:val="nil"/>
            </w:tcBorders>
            <w:shd w:val="clear" w:color="auto" w:fill="auto"/>
          </w:tcPr>
          <w:p w14:paraId="2FE78659" w14:textId="77777777" w:rsidR="007D61FB" w:rsidRPr="00B029C3" w:rsidRDefault="007D61FB" w:rsidP="00B029C3">
            <w:pPr>
              <w:pStyle w:val="ARtablecolheadright"/>
            </w:pPr>
            <w:r w:rsidRPr="00B029C3">
              <w:t>Var.</w:t>
            </w:r>
          </w:p>
        </w:tc>
      </w:tr>
      <w:tr w:rsidR="007D61FB" w:rsidRPr="000670CE" w14:paraId="4FB19FFA" w14:textId="77777777" w:rsidTr="006B2EA1">
        <w:trPr>
          <w:cantSplit w:val="0"/>
        </w:trPr>
        <w:tc>
          <w:tcPr>
            <w:tcW w:w="2842" w:type="pct"/>
            <w:tcBorders>
              <w:top w:val="single" w:sz="4" w:space="0" w:color="005D8F" w:themeColor="accent6"/>
            </w:tcBorders>
          </w:tcPr>
          <w:p w14:paraId="58E08D03" w14:textId="77777777" w:rsidR="007D61FB" w:rsidRPr="00B029C3" w:rsidRDefault="007D61FB" w:rsidP="00B029C3">
            <w:pPr>
              <w:pStyle w:val="ARtabletext"/>
            </w:pPr>
            <w:r w:rsidRPr="00B029C3">
              <w:t>Executives</w:t>
            </w:r>
          </w:p>
        </w:tc>
        <w:tc>
          <w:tcPr>
            <w:tcW w:w="719" w:type="pct"/>
            <w:tcBorders>
              <w:top w:val="single" w:sz="4" w:space="0" w:color="005D8F" w:themeColor="accent6"/>
            </w:tcBorders>
          </w:tcPr>
          <w:p w14:paraId="398E943E" w14:textId="77777777" w:rsidR="007D61FB" w:rsidRPr="00B029C3" w:rsidRDefault="007D61FB" w:rsidP="00B029C3">
            <w:pPr>
              <w:pStyle w:val="ARtabletextright"/>
            </w:pPr>
            <w:r w:rsidRPr="00B029C3">
              <w:t>179</w:t>
            </w:r>
          </w:p>
        </w:tc>
        <w:tc>
          <w:tcPr>
            <w:tcW w:w="719" w:type="pct"/>
            <w:tcBorders>
              <w:top w:val="single" w:sz="4" w:space="0" w:color="005D8F" w:themeColor="accent6"/>
            </w:tcBorders>
            <w:shd w:val="clear" w:color="auto" w:fill="auto"/>
          </w:tcPr>
          <w:p w14:paraId="2DD9D46F" w14:textId="77777777" w:rsidR="007D61FB" w:rsidRPr="00B029C3" w:rsidRDefault="007D61FB" w:rsidP="00B029C3">
            <w:pPr>
              <w:pStyle w:val="ARtabletextright"/>
            </w:pPr>
            <w:r w:rsidRPr="00B029C3">
              <w:t>205</w:t>
            </w:r>
          </w:p>
        </w:tc>
        <w:tc>
          <w:tcPr>
            <w:tcW w:w="719" w:type="pct"/>
            <w:tcBorders>
              <w:top w:val="single" w:sz="4" w:space="0" w:color="005D8F" w:themeColor="accent6"/>
            </w:tcBorders>
            <w:shd w:val="clear" w:color="auto" w:fill="auto"/>
          </w:tcPr>
          <w:p w14:paraId="18B76BDC" w14:textId="1A8C29A0" w:rsidR="007D61FB" w:rsidRPr="00B029C3" w:rsidRDefault="00EF630D" w:rsidP="00B029C3">
            <w:pPr>
              <w:pStyle w:val="ARtabletextright"/>
            </w:pPr>
            <w:r>
              <w:t>-</w:t>
            </w:r>
            <w:r w:rsidR="007D61FB" w:rsidRPr="00B029C3">
              <w:t>26</w:t>
            </w:r>
          </w:p>
        </w:tc>
      </w:tr>
      <w:tr w:rsidR="007D61FB" w:rsidRPr="000670CE" w14:paraId="5F01AC61" w14:textId="77777777" w:rsidTr="006B2EA1">
        <w:trPr>
          <w:cantSplit w:val="0"/>
        </w:trPr>
        <w:tc>
          <w:tcPr>
            <w:tcW w:w="2842" w:type="pct"/>
          </w:tcPr>
          <w:p w14:paraId="6C53177A" w14:textId="77777777" w:rsidR="007D61FB" w:rsidRPr="00B029C3" w:rsidRDefault="007D61FB" w:rsidP="00B029C3">
            <w:pPr>
              <w:pStyle w:val="ARtabletext"/>
            </w:pPr>
            <w:r w:rsidRPr="00B029C3">
              <w:t>Accountable Officer (Secretary)</w:t>
            </w:r>
          </w:p>
        </w:tc>
        <w:tc>
          <w:tcPr>
            <w:tcW w:w="719" w:type="pct"/>
          </w:tcPr>
          <w:p w14:paraId="4AB8A578" w14:textId="77777777" w:rsidR="007D61FB" w:rsidRPr="00B029C3" w:rsidRDefault="007D61FB" w:rsidP="00B029C3">
            <w:pPr>
              <w:pStyle w:val="ARtabletextright"/>
            </w:pPr>
            <w:r w:rsidRPr="00B029C3">
              <w:t>1</w:t>
            </w:r>
          </w:p>
        </w:tc>
        <w:tc>
          <w:tcPr>
            <w:tcW w:w="719" w:type="pct"/>
            <w:shd w:val="clear" w:color="auto" w:fill="auto"/>
          </w:tcPr>
          <w:p w14:paraId="28B0DA11" w14:textId="77777777" w:rsidR="007D61FB" w:rsidRPr="00B029C3" w:rsidRDefault="007D61FB" w:rsidP="00B029C3">
            <w:pPr>
              <w:pStyle w:val="ARtabletextright"/>
            </w:pPr>
            <w:r w:rsidRPr="00B029C3">
              <w:t>1</w:t>
            </w:r>
          </w:p>
        </w:tc>
        <w:tc>
          <w:tcPr>
            <w:tcW w:w="719" w:type="pct"/>
            <w:shd w:val="clear" w:color="auto" w:fill="auto"/>
          </w:tcPr>
          <w:p w14:paraId="23AA801D" w14:textId="77777777" w:rsidR="007D61FB" w:rsidRPr="00B029C3" w:rsidRDefault="007D61FB" w:rsidP="00B029C3">
            <w:pPr>
              <w:pStyle w:val="ARtabletextright"/>
            </w:pPr>
            <w:r w:rsidRPr="00B029C3">
              <w:t>0</w:t>
            </w:r>
          </w:p>
        </w:tc>
      </w:tr>
      <w:tr w:rsidR="007D61FB" w:rsidRPr="000670CE" w14:paraId="0E37AF5F" w14:textId="77777777" w:rsidTr="006B2EA1">
        <w:trPr>
          <w:cantSplit w:val="0"/>
        </w:trPr>
        <w:tc>
          <w:tcPr>
            <w:tcW w:w="2842" w:type="pct"/>
          </w:tcPr>
          <w:p w14:paraId="5E3EE8E4" w14:textId="77777777" w:rsidR="007D61FB" w:rsidRPr="00B029C3" w:rsidRDefault="007D61FB" w:rsidP="00B029C3">
            <w:pPr>
              <w:pStyle w:val="ARtabletext"/>
            </w:pPr>
            <w:r w:rsidRPr="00B029C3">
              <w:t>Accountable Officer (Director of Housing)</w:t>
            </w:r>
          </w:p>
        </w:tc>
        <w:tc>
          <w:tcPr>
            <w:tcW w:w="719" w:type="pct"/>
          </w:tcPr>
          <w:p w14:paraId="2E7962FF" w14:textId="77777777" w:rsidR="007D61FB" w:rsidRPr="00B029C3" w:rsidRDefault="007D61FB" w:rsidP="00B029C3">
            <w:pPr>
              <w:pStyle w:val="ARtabletextright"/>
            </w:pPr>
            <w:r w:rsidRPr="00B029C3">
              <w:t>1</w:t>
            </w:r>
          </w:p>
        </w:tc>
        <w:tc>
          <w:tcPr>
            <w:tcW w:w="719" w:type="pct"/>
            <w:shd w:val="clear" w:color="auto" w:fill="auto"/>
          </w:tcPr>
          <w:p w14:paraId="01D7A742" w14:textId="77777777" w:rsidR="007D61FB" w:rsidRPr="00B029C3" w:rsidRDefault="007D61FB" w:rsidP="00B029C3">
            <w:pPr>
              <w:pStyle w:val="ARtabletextright"/>
            </w:pPr>
            <w:r w:rsidRPr="00B029C3">
              <w:t>0</w:t>
            </w:r>
          </w:p>
        </w:tc>
        <w:tc>
          <w:tcPr>
            <w:tcW w:w="719" w:type="pct"/>
            <w:shd w:val="clear" w:color="auto" w:fill="auto"/>
          </w:tcPr>
          <w:p w14:paraId="4938418E" w14:textId="77777777" w:rsidR="007D61FB" w:rsidRPr="00B029C3" w:rsidRDefault="007D61FB" w:rsidP="00B029C3">
            <w:pPr>
              <w:pStyle w:val="ARtabletextright"/>
            </w:pPr>
            <w:r w:rsidRPr="00B029C3">
              <w:t>1</w:t>
            </w:r>
          </w:p>
        </w:tc>
      </w:tr>
      <w:tr w:rsidR="007D61FB" w:rsidRPr="000670CE" w14:paraId="2C7D0A01" w14:textId="77777777" w:rsidTr="006B2EA1">
        <w:trPr>
          <w:cantSplit w:val="0"/>
        </w:trPr>
        <w:tc>
          <w:tcPr>
            <w:tcW w:w="2842" w:type="pct"/>
          </w:tcPr>
          <w:p w14:paraId="094F7E45" w14:textId="77777777" w:rsidR="007D61FB" w:rsidRPr="00B029C3" w:rsidRDefault="007D61FB" w:rsidP="00B029C3">
            <w:pPr>
              <w:pStyle w:val="ARtabletext"/>
            </w:pPr>
            <w:r w:rsidRPr="00B029C3">
              <w:t>Less separations</w:t>
            </w:r>
          </w:p>
        </w:tc>
        <w:tc>
          <w:tcPr>
            <w:tcW w:w="719" w:type="pct"/>
          </w:tcPr>
          <w:p w14:paraId="49ABDDBB" w14:textId="77777777" w:rsidR="007D61FB" w:rsidRPr="00B029C3" w:rsidRDefault="007D61FB" w:rsidP="00B029C3">
            <w:pPr>
              <w:pStyle w:val="ARtabletextright"/>
            </w:pPr>
            <w:r w:rsidRPr="00B029C3">
              <w:t>44</w:t>
            </w:r>
          </w:p>
        </w:tc>
        <w:tc>
          <w:tcPr>
            <w:tcW w:w="719" w:type="pct"/>
            <w:shd w:val="clear" w:color="auto" w:fill="auto"/>
          </w:tcPr>
          <w:p w14:paraId="61661F68" w14:textId="77777777" w:rsidR="007D61FB" w:rsidRPr="00B029C3" w:rsidRDefault="007D61FB" w:rsidP="00B029C3">
            <w:pPr>
              <w:pStyle w:val="ARtabletextright"/>
            </w:pPr>
            <w:r w:rsidRPr="00B029C3">
              <w:t>(45)</w:t>
            </w:r>
          </w:p>
        </w:tc>
        <w:tc>
          <w:tcPr>
            <w:tcW w:w="719" w:type="pct"/>
            <w:shd w:val="clear" w:color="auto" w:fill="auto"/>
          </w:tcPr>
          <w:p w14:paraId="25CFB5C5" w14:textId="7AC319A1" w:rsidR="007D61FB" w:rsidRPr="00B029C3" w:rsidRDefault="00EF630D" w:rsidP="00B029C3">
            <w:pPr>
              <w:pStyle w:val="ARtabletextright"/>
            </w:pPr>
            <w:r>
              <w:t>-</w:t>
            </w:r>
            <w:r w:rsidR="007D61FB" w:rsidRPr="00B029C3">
              <w:t>1</w:t>
            </w:r>
          </w:p>
        </w:tc>
      </w:tr>
      <w:tr w:rsidR="007D61FB" w:rsidRPr="000670CE" w14:paraId="503F3042" w14:textId="77777777" w:rsidTr="006B2EA1">
        <w:trPr>
          <w:cantSplit w:val="0"/>
        </w:trPr>
        <w:tc>
          <w:tcPr>
            <w:tcW w:w="2842" w:type="pct"/>
          </w:tcPr>
          <w:p w14:paraId="53F58E1F" w14:textId="77777777" w:rsidR="007D61FB" w:rsidRPr="00B029C3" w:rsidRDefault="007D61FB" w:rsidP="00B029C3">
            <w:pPr>
              <w:pStyle w:val="ARtabletext"/>
            </w:pPr>
            <w:r w:rsidRPr="00B029C3">
              <w:t>Leave without pay</w:t>
            </w:r>
          </w:p>
        </w:tc>
        <w:tc>
          <w:tcPr>
            <w:tcW w:w="719" w:type="pct"/>
          </w:tcPr>
          <w:p w14:paraId="0E5A193A" w14:textId="77777777" w:rsidR="007D61FB" w:rsidRPr="00B029C3" w:rsidRDefault="007D61FB" w:rsidP="00B029C3">
            <w:pPr>
              <w:pStyle w:val="ARtabletextright"/>
            </w:pPr>
            <w:r w:rsidRPr="00B029C3">
              <w:t>0</w:t>
            </w:r>
          </w:p>
        </w:tc>
        <w:tc>
          <w:tcPr>
            <w:tcW w:w="719" w:type="pct"/>
            <w:shd w:val="clear" w:color="auto" w:fill="auto"/>
          </w:tcPr>
          <w:p w14:paraId="31867101" w14:textId="77777777" w:rsidR="007D61FB" w:rsidRPr="00B029C3" w:rsidRDefault="007D61FB" w:rsidP="00B029C3">
            <w:pPr>
              <w:pStyle w:val="ARtabletextright"/>
            </w:pPr>
            <w:r w:rsidRPr="00B029C3">
              <w:t>0</w:t>
            </w:r>
          </w:p>
        </w:tc>
        <w:tc>
          <w:tcPr>
            <w:tcW w:w="719" w:type="pct"/>
            <w:shd w:val="clear" w:color="auto" w:fill="auto"/>
          </w:tcPr>
          <w:p w14:paraId="0DAA1047" w14:textId="77777777" w:rsidR="007D61FB" w:rsidRPr="00B029C3" w:rsidRDefault="007D61FB" w:rsidP="00B029C3">
            <w:pPr>
              <w:pStyle w:val="ARtabletextright"/>
            </w:pPr>
            <w:r w:rsidRPr="00B029C3">
              <w:t>0</w:t>
            </w:r>
          </w:p>
        </w:tc>
      </w:tr>
      <w:tr w:rsidR="007D61FB" w:rsidRPr="000670CE" w14:paraId="2E7F58A8" w14:textId="77777777" w:rsidTr="006B2EA1">
        <w:trPr>
          <w:cantSplit w:val="0"/>
        </w:trPr>
        <w:tc>
          <w:tcPr>
            <w:tcW w:w="2842" w:type="pct"/>
          </w:tcPr>
          <w:p w14:paraId="232B4439" w14:textId="77777777" w:rsidR="007D61FB" w:rsidRPr="00B029C3" w:rsidRDefault="007D61FB" w:rsidP="00B029C3">
            <w:pPr>
              <w:pStyle w:val="ARtabletext"/>
            </w:pPr>
            <w:r w:rsidRPr="00B029C3">
              <w:t>Less executives paid by other departments</w:t>
            </w:r>
          </w:p>
        </w:tc>
        <w:tc>
          <w:tcPr>
            <w:tcW w:w="719" w:type="pct"/>
          </w:tcPr>
          <w:p w14:paraId="4DE4F5EE" w14:textId="77777777" w:rsidR="007D61FB" w:rsidRPr="00B029C3" w:rsidRDefault="007D61FB" w:rsidP="00B029C3">
            <w:pPr>
              <w:pStyle w:val="ARtabletextright"/>
            </w:pPr>
            <w:r w:rsidRPr="00B029C3">
              <w:t>0</w:t>
            </w:r>
          </w:p>
        </w:tc>
        <w:tc>
          <w:tcPr>
            <w:tcW w:w="719" w:type="pct"/>
            <w:shd w:val="clear" w:color="auto" w:fill="auto"/>
          </w:tcPr>
          <w:p w14:paraId="63BB8047" w14:textId="77777777" w:rsidR="007D61FB" w:rsidRPr="00B029C3" w:rsidRDefault="007D61FB" w:rsidP="00B029C3">
            <w:pPr>
              <w:pStyle w:val="ARtabletextright"/>
            </w:pPr>
            <w:r w:rsidRPr="00B029C3">
              <w:t>1</w:t>
            </w:r>
          </w:p>
        </w:tc>
        <w:tc>
          <w:tcPr>
            <w:tcW w:w="719" w:type="pct"/>
            <w:shd w:val="clear" w:color="auto" w:fill="auto"/>
          </w:tcPr>
          <w:p w14:paraId="2B351550" w14:textId="0D86A753" w:rsidR="007D61FB" w:rsidRPr="00B029C3" w:rsidRDefault="00B31DF7" w:rsidP="00B029C3">
            <w:pPr>
              <w:pStyle w:val="ARtabletextright"/>
            </w:pPr>
            <w:r>
              <w:t>-</w:t>
            </w:r>
            <w:r w:rsidR="007D61FB" w:rsidRPr="00B029C3">
              <w:t>1</w:t>
            </w:r>
          </w:p>
        </w:tc>
      </w:tr>
      <w:tr w:rsidR="007D61FB" w:rsidRPr="000670CE" w14:paraId="3CDA9DE0" w14:textId="77777777" w:rsidTr="006B2EA1">
        <w:trPr>
          <w:cantSplit w:val="0"/>
        </w:trPr>
        <w:tc>
          <w:tcPr>
            <w:tcW w:w="2842" w:type="pct"/>
          </w:tcPr>
          <w:p w14:paraId="66790084" w14:textId="77777777" w:rsidR="007D61FB" w:rsidRPr="003A2429" w:rsidRDefault="007D61FB" w:rsidP="006B2EA1">
            <w:pPr>
              <w:pStyle w:val="ARtabletextbold"/>
            </w:pPr>
            <w:r w:rsidRPr="003A2429">
              <w:t xml:space="preserve">Total </w:t>
            </w:r>
            <w:r w:rsidRPr="006B2EA1">
              <w:t>executive</w:t>
            </w:r>
            <w:r w:rsidRPr="003A2429">
              <w:t xml:space="preserve"> </w:t>
            </w:r>
            <w:r w:rsidRPr="00B029C3">
              <w:t>numbers</w:t>
            </w:r>
            <w:r w:rsidRPr="003A2429">
              <w:t xml:space="preserve"> at 30 June </w:t>
            </w:r>
            <w:r w:rsidRPr="00A62004">
              <w:t>2024</w:t>
            </w:r>
          </w:p>
        </w:tc>
        <w:tc>
          <w:tcPr>
            <w:tcW w:w="719" w:type="pct"/>
          </w:tcPr>
          <w:p w14:paraId="4B15BFD7" w14:textId="77777777" w:rsidR="007D61FB" w:rsidRPr="00B029C3" w:rsidRDefault="007D61FB" w:rsidP="00B029C3">
            <w:pPr>
              <w:pStyle w:val="ARtabletextrightbold"/>
            </w:pPr>
            <w:r w:rsidRPr="00B029C3">
              <w:t>179</w:t>
            </w:r>
          </w:p>
        </w:tc>
        <w:tc>
          <w:tcPr>
            <w:tcW w:w="719" w:type="pct"/>
            <w:shd w:val="clear" w:color="auto" w:fill="auto"/>
          </w:tcPr>
          <w:p w14:paraId="1C6D6690" w14:textId="77777777" w:rsidR="007D61FB" w:rsidRPr="00B029C3" w:rsidRDefault="007D61FB" w:rsidP="006B2EA1">
            <w:pPr>
              <w:pStyle w:val="ARtabletextrightbold"/>
            </w:pPr>
            <w:r w:rsidRPr="006B2EA1">
              <w:t>205</w:t>
            </w:r>
          </w:p>
        </w:tc>
        <w:tc>
          <w:tcPr>
            <w:tcW w:w="719" w:type="pct"/>
            <w:shd w:val="clear" w:color="auto" w:fill="auto"/>
          </w:tcPr>
          <w:p w14:paraId="2C04526B" w14:textId="52F7E011" w:rsidR="007D61FB" w:rsidRPr="00B029C3" w:rsidRDefault="00B31DF7" w:rsidP="00B029C3">
            <w:pPr>
              <w:pStyle w:val="ARtabletextrightbold"/>
            </w:pPr>
            <w:r>
              <w:t>-</w:t>
            </w:r>
            <w:r w:rsidR="007D61FB" w:rsidRPr="00B029C3">
              <w:t>26</w:t>
            </w:r>
          </w:p>
        </w:tc>
      </w:tr>
    </w:tbl>
    <w:p w14:paraId="7643ADF8" w14:textId="77777777" w:rsidR="00B029C3" w:rsidRPr="00B029C3" w:rsidRDefault="00B029C3" w:rsidP="00B029C3">
      <w:pPr>
        <w:pStyle w:val="ARbody"/>
      </w:pPr>
      <w:r w:rsidRPr="00B029C3">
        <w:br w:type="page"/>
      </w:r>
    </w:p>
    <w:p w14:paraId="2E5C9F6C" w14:textId="2C196E54" w:rsidR="007D61FB" w:rsidRPr="005F2793" w:rsidRDefault="007D61FB" w:rsidP="00A95A18">
      <w:pPr>
        <w:pStyle w:val="ARtablecaption"/>
      </w:pPr>
      <w:bookmarkStart w:id="190" w:name="Table5"/>
      <w:r w:rsidRPr="005F2793">
        <w:t>Table 5: Number of executives for the department</w:t>
      </w:r>
      <w:r w:rsidR="00711AE6">
        <w:t>’</w:t>
      </w:r>
      <w:r w:rsidRPr="005F2793">
        <w:t>s portfolio entities broken down by gender</w:t>
      </w:r>
    </w:p>
    <w:tbl>
      <w:tblPr>
        <w:tblStyle w:val="TableGrid"/>
        <w:tblW w:w="5005" w:type="pct"/>
        <w:tblLayout w:type="fixed"/>
        <w:tblLook w:val="06E0" w:firstRow="1" w:lastRow="1" w:firstColumn="1" w:lastColumn="0" w:noHBand="1" w:noVBand="1"/>
      </w:tblPr>
      <w:tblGrid>
        <w:gridCol w:w="2407"/>
        <w:gridCol w:w="904"/>
        <w:gridCol w:w="912"/>
        <w:gridCol w:w="903"/>
        <w:gridCol w:w="903"/>
        <w:gridCol w:w="903"/>
        <w:gridCol w:w="903"/>
        <w:gridCol w:w="903"/>
        <w:gridCol w:w="894"/>
      </w:tblGrid>
      <w:tr w:rsidR="007D61FB" w:rsidRPr="000670CE" w14:paraId="72B736EA" w14:textId="77777777" w:rsidTr="006B2EA1">
        <w:trPr>
          <w:cnfStyle w:val="100000000000" w:firstRow="1" w:lastRow="0" w:firstColumn="0" w:lastColumn="0" w:oddVBand="0" w:evenVBand="0" w:oddHBand="0" w:evenHBand="0" w:firstRowFirstColumn="0" w:firstRowLastColumn="0" w:lastRowFirstColumn="0" w:lastRowLastColumn="0"/>
        </w:trPr>
        <w:tc>
          <w:tcPr>
            <w:tcW w:w="1249" w:type="pct"/>
            <w:vMerge w:val="restart"/>
          </w:tcPr>
          <w:bookmarkEnd w:id="190"/>
          <w:p w14:paraId="325CC302" w14:textId="77777777" w:rsidR="007D61FB" w:rsidRPr="00B029C3" w:rsidRDefault="007D61FB" w:rsidP="00B029C3">
            <w:pPr>
              <w:pStyle w:val="ARtablecolhead"/>
            </w:pPr>
            <w:r w:rsidRPr="005F2793">
              <w:t>Portfolio entities</w:t>
            </w:r>
          </w:p>
        </w:tc>
        <w:tc>
          <w:tcPr>
            <w:tcW w:w="942" w:type="pct"/>
            <w:gridSpan w:val="2"/>
            <w:tcBorders>
              <w:top w:val="nil"/>
              <w:right w:val="single" w:sz="4" w:space="0" w:color="auto"/>
            </w:tcBorders>
          </w:tcPr>
          <w:p w14:paraId="2BB1F639" w14:textId="77777777" w:rsidR="007D61FB" w:rsidRPr="00B029C3" w:rsidRDefault="007D61FB" w:rsidP="00B029C3">
            <w:pPr>
              <w:pStyle w:val="ARtablecolheadcentre"/>
            </w:pPr>
            <w:r w:rsidRPr="00B029C3">
              <w:t>Total</w:t>
            </w:r>
          </w:p>
        </w:tc>
        <w:tc>
          <w:tcPr>
            <w:tcW w:w="938" w:type="pct"/>
            <w:gridSpan w:val="2"/>
            <w:tcBorders>
              <w:top w:val="nil"/>
              <w:left w:val="single" w:sz="4" w:space="0" w:color="auto"/>
              <w:right w:val="single" w:sz="4" w:space="0" w:color="auto"/>
            </w:tcBorders>
          </w:tcPr>
          <w:p w14:paraId="653FC205" w14:textId="77777777" w:rsidR="007D61FB" w:rsidRPr="00B029C3" w:rsidRDefault="007D61FB" w:rsidP="00B029C3">
            <w:pPr>
              <w:pStyle w:val="ARtablecolheadcentre"/>
            </w:pPr>
            <w:r w:rsidRPr="00B029C3">
              <w:t>Women</w:t>
            </w:r>
          </w:p>
        </w:tc>
        <w:tc>
          <w:tcPr>
            <w:tcW w:w="938" w:type="pct"/>
            <w:gridSpan w:val="2"/>
            <w:tcBorders>
              <w:top w:val="nil"/>
              <w:left w:val="single" w:sz="4" w:space="0" w:color="auto"/>
              <w:right w:val="single" w:sz="4" w:space="0" w:color="auto"/>
            </w:tcBorders>
          </w:tcPr>
          <w:p w14:paraId="5A03276F" w14:textId="77777777" w:rsidR="007D61FB" w:rsidRPr="00B029C3" w:rsidRDefault="007D61FB" w:rsidP="00B029C3">
            <w:pPr>
              <w:pStyle w:val="ARtablecolheadcentre"/>
            </w:pPr>
            <w:r w:rsidRPr="00B029C3">
              <w:t>Men</w:t>
            </w:r>
          </w:p>
        </w:tc>
        <w:tc>
          <w:tcPr>
            <w:tcW w:w="934" w:type="pct"/>
            <w:gridSpan w:val="2"/>
            <w:tcBorders>
              <w:left w:val="single" w:sz="4" w:space="0" w:color="auto"/>
            </w:tcBorders>
          </w:tcPr>
          <w:p w14:paraId="460CC390" w14:textId="77777777" w:rsidR="007D61FB" w:rsidRPr="00B029C3" w:rsidRDefault="007D61FB" w:rsidP="00B029C3">
            <w:pPr>
              <w:pStyle w:val="ARtablecolheadcentre"/>
            </w:pPr>
            <w:r w:rsidRPr="00B029C3">
              <w:t>Self-described</w:t>
            </w:r>
          </w:p>
        </w:tc>
      </w:tr>
      <w:tr w:rsidR="007D61FB" w:rsidRPr="000670CE" w14:paraId="0A3201D5" w14:textId="77777777" w:rsidTr="006B2EA1">
        <w:tc>
          <w:tcPr>
            <w:tcW w:w="1249" w:type="pct"/>
            <w:vMerge/>
          </w:tcPr>
          <w:p w14:paraId="79C29369" w14:textId="77777777" w:rsidR="007D61FB" w:rsidRPr="005F2793" w:rsidRDefault="007D61FB">
            <w:pPr>
              <w:pStyle w:val="ARtablecolhead"/>
            </w:pPr>
          </w:p>
        </w:tc>
        <w:tc>
          <w:tcPr>
            <w:tcW w:w="469" w:type="pct"/>
          </w:tcPr>
          <w:p w14:paraId="389E0C45" w14:textId="77777777" w:rsidR="007D61FB" w:rsidRPr="005F2793" w:rsidRDefault="007D61FB" w:rsidP="00B029C3">
            <w:pPr>
              <w:pStyle w:val="ARtablecolheadright"/>
            </w:pPr>
            <w:r w:rsidRPr="005F2793">
              <w:t>No.</w:t>
            </w:r>
          </w:p>
        </w:tc>
        <w:tc>
          <w:tcPr>
            <w:tcW w:w="472" w:type="pct"/>
            <w:tcBorders>
              <w:top w:val="single" w:sz="4" w:space="0" w:color="auto"/>
              <w:right w:val="single" w:sz="4" w:space="0" w:color="auto"/>
            </w:tcBorders>
          </w:tcPr>
          <w:p w14:paraId="224986EA" w14:textId="77777777" w:rsidR="007D61FB" w:rsidRPr="005F2793" w:rsidRDefault="007D61FB" w:rsidP="00B029C3">
            <w:pPr>
              <w:pStyle w:val="ARtablecolheadright"/>
            </w:pPr>
            <w:r w:rsidRPr="005F2793">
              <w:t>Var.</w:t>
            </w:r>
          </w:p>
        </w:tc>
        <w:tc>
          <w:tcPr>
            <w:tcW w:w="469" w:type="pct"/>
            <w:tcBorders>
              <w:left w:val="single" w:sz="4" w:space="0" w:color="auto"/>
            </w:tcBorders>
          </w:tcPr>
          <w:p w14:paraId="79C97C4C" w14:textId="77777777" w:rsidR="007D61FB" w:rsidRPr="005F2793" w:rsidRDefault="007D61FB" w:rsidP="00B029C3">
            <w:pPr>
              <w:pStyle w:val="ARtablecolheadright"/>
            </w:pPr>
            <w:r w:rsidRPr="005F2793">
              <w:t>No.</w:t>
            </w:r>
          </w:p>
        </w:tc>
        <w:tc>
          <w:tcPr>
            <w:tcW w:w="469" w:type="pct"/>
            <w:tcBorders>
              <w:top w:val="single" w:sz="4" w:space="0" w:color="auto"/>
              <w:right w:val="single" w:sz="4" w:space="0" w:color="auto"/>
            </w:tcBorders>
          </w:tcPr>
          <w:p w14:paraId="41B25FC7" w14:textId="77777777" w:rsidR="007D61FB" w:rsidRPr="005F2793" w:rsidRDefault="007D61FB" w:rsidP="00B029C3">
            <w:pPr>
              <w:pStyle w:val="ARtablecolheadright"/>
            </w:pPr>
            <w:r w:rsidRPr="005F2793">
              <w:t>Var.</w:t>
            </w:r>
          </w:p>
        </w:tc>
        <w:tc>
          <w:tcPr>
            <w:tcW w:w="469" w:type="pct"/>
            <w:tcBorders>
              <w:top w:val="single" w:sz="4" w:space="0" w:color="auto"/>
              <w:left w:val="single" w:sz="4" w:space="0" w:color="auto"/>
            </w:tcBorders>
          </w:tcPr>
          <w:p w14:paraId="73112BFB" w14:textId="77777777" w:rsidR="007D61FB" w:rsidRPr="005F2793" w:rsidRDefault="007D61FB" w:rsidP="00B029C3">
            <w:pPr>
              <w:pStyle w:val="ARtablecolheadright"/>
            </w:pPr>
            <w:r w:rsidRPr="005F2793">
              <w:t>No.</w:t>
            </w:r>
          </w:p>
        </w:tc>
        <w:tc>
          <w:tcPr>
            <w:tcW w:w="469" w:type="pct"/>
            <w:tcBorders>
              <w:top w:val="single" w:sz="4" w:space="0" w:color="auto"/>
              <w:right w:val="single" w:sz="4" w:space="0" w:color="auto"/>
            </w:tcBorders>
          </w:tcPr>
          <w:p w14:paraId="74D14274" w14:textId="77777777" w:rsidR="007D61FB" w:rsidRPr="005F2793" w:rsidRDefault="007D61FB" w:rsidP="00B029C3">
            <w:pPr>
              <w:pStyle w:val="ARtablecolheadright"/>
            </w:pPr>
            <w:r w:rsidRPr="005F2793">
              <w:t>Var.</w:t>
            </w:r>
          </w:p>
        </w:tc>
        <w:tc>
          <w:tcPr>
            <w:tcW w:w="469" w:type="pct"/>
            <w:tcBorders>
              <w:left w:val="single" w:sz="4" w:space="0" w:color="auto"/>
            </w:tcBorders>
          </w:tcPr>
          <w:p w14:paraId="1AEF492A" w14:textId="77777777" w:rsidR="007D61FB" w:rsidRPr="005F2793" w:rsidRDefault="007D61FB" w:rsidP="00B029C3">
            <w:pPr>
              <w:pStyle w:val="ARtablecolheadright"/>
            </w:pPr>
            <w:r w:rsidRPr="005F2793">
              <w:t>No.</w:t>
            </w:r>
          </w:p>
        </w:tc>
        <w:tc>
          <w:tcPr>
            <w:tcW w:w="465" w:type="pct"/>
          </w:tcPr>
          <w:p w14:paraId="68D68ED2" w14:textId="77777777" w:rsidR="007D61FB" w:rsidRPr="005F2793" w:rsidRDefault="007D61FB" w:rsidP="00B029C3">
            <w:pPr>
              <w:pStyle w:val="ARtablecolheadright"/>
            </w:pPr>
            <w:r w:rsidRPr="005F2793">
              <w:t>Var.</w:t>
            </w:r>
          </w:p>
        </w:tc>
      </w:tr>
      <w:tr w:rsidR="007D61FB" w:rsidRPr="000670CE" w14:paraId="5AD72B7B" w14:textId="77777777" w:rsidTr="006B2EA1">
        <w:tc>
          <w:tcPr>
            <w:tcW w:w="1249" w:type="pct"/>
          </w:tcPr>
          <w:p w14:paraId="3B7CFF4D" w14:textId="77777777" w:rsidR="007D61FB" w:rsidRPr="00EA7558" w:rsidRDefault="007D61FB" w:rsidP="00EA7558">
            <w:pPr>
              <w:pStyle w:val="ARtabletext"/>
            </w:pPr>
            <w:r w:rsidRPr="00EA7558">
              <w:t>Commission for Children and Young People</w:t>
            </w:r>
          </w:p>
        </w:tc>
        <w:tc>
          <w:tcPr>
            <w:tcW w:w="469" w:type="pct"/>
            <w:vAlign w:val="center"/>
          </w:tcPr>
          <w:p w14:paraId="455B0C48" w14:textId="77777777" w:rsidR="007D61FB" w:rsidRPr="00441E04" w:rsidRDefault="007D61FB" w:rsidP="00B029C3">
            <w:pPr>
              <w:pStyle w:val="ARtabletextright"/>
            </w:pPr>
            <w:r w:rsidRPr="00441E04">
              <w:t>3</w:t>
            </w:r>
          </w:p>
        </w:tc>
        <w:tc>
          <w:tcPr>
            <w:tcW w:w="472" w:type="pct"/>
            <w:tcBorders>
              <w:top w:val="single" w:sz="4" w:space="0" w:color="auto"/>
              <w:right w:val="single" w:sz="4" w:space="0" w:color="auto"/>
            </w:tcBorders>
            <w:vAlign w:val="center"/>
          </w:tcPr>
          <w:p w14:paraId="50F301CB" w14:textId="77777777" w:rsidR="007D61FB" w:rsidRPr="00441E04" w:rsidRDefault="007D61FB" w:rsidP="00B029C3">
            <w:pPr>
              <w:pStyle w:val="ARtabletextright"/>
            </w:pPr>
            <w:r w:rsidRPr="00441E04">
              <w:t>0</w:t>
            </w:r>
          </w:p>
        </w:tc>
        <w:tc>
          <w:tcPr>
            <w:tcW w:w="469" w:type="pct"/>
            <w:tcBorders>
              <w:left w:val="single" w:sz="4" w:space="0" w:color="auto"/>
            </w:tcBorders>
            <w:vAlign w:val="center"/>
          </w:tcPr>
          <w:p w14:paraId="1598A835" w14:textId="77777777" w:rsidR="007D61FB" w:rsidRPr="00441E04" w:rsidRDefault="007D61FB" w:rsidP="00B029C3">
            <w:pPr>
              <w:pStyle w:val="ARtabletextright"/>
            </w:pPr>
            <w:r w:rsidRPr="00441E04">
              <w:t>3</w:t>
            </w:r>
          </w:p>
        </w:tc>
        <w:tc>
          <w:tcPr>
            <w:tcW w:w="469" w:type="pct"/>
            <w:tcBorders>
              <w:top w:val="single" w:sz="4" w:space="0" w:color="auto"/>
              <w:right w:val="single" w:sz="4" w:space="0" w:color="auto"/>
            </w:tcBorders>
            <w:vAlign w:val="center"/>
          </w:tcPr>
          <w:p w14:paraId="1C79BC78" w14:textId="77777777" w:rsidR="007D61FB" w:rsidRPr="00441E04" w:rsidRDefault="007D61FB" w:rsidP="00B029C3">
            <w:pPr>
              <w:pStyle w:val="ARtabletextright"/>
            </w:pPr>
            <w:r w:rsidRPr="00441E04">
              <w:t>0 </w:t>
            </w:r>
          </w:p>
        </w:tc>
        <w:tc>
          <w:tcPr>
            <w:tcW w:w="469" w:type="pct"/>
            <w:tcBorders>
              <w:top w:val="single" w:sz="4" w:space="0" w:color="auto"/>
              <w:left w:val="single" w:sz="4" w:space="0" w:color="auto"/>
            </w:tcBorders>
            <w:vAlign w:val="center"/>
          </w:tcPr>
          <w:p w14:paraId="053FF873" w14:textId="77777777" w:rsidR="007D61FB" w:rsidRPr="00441E04" w:rsidRDefault="007D61FB" w:rsidP="00B029C3">
            <w:pPr>
              <w:pStyle w:val="ARtabletextright"/>
            </w:pPr>
            <w:r w:rsidRPr="00441E04">
              <w:t>0 </w:t>
            </w:r>
          </w:p>
        </w:tc>
        <w:tc>
          <w:tcPr>
            <w:tcW w:w="469" w:type="pct"/>
            <w:tcBorders>
              <w:top w:val="single" w:sz="4" w:space="0" w:color="auto"/>
              <w:right w:val="single" w:sz="4" w:space="0" w:color="auto"/>
            </w:tcBorders>
            <w:vAlign w:val="center"/>
          </w:tcPr>
          <w:p w14:paraId="022B17BE" w14:textId="77777777" w:rsidR="007D61FB" w:rsidRPr="00441E04" w:rsidRDefault="007D61FB" w:rsidP="00B029C3">
            <w:pPr>
              <w:pStyle w:val="ARtabletextright"/>
            </w:pPr>
            <w:r w:rsidRPr="00441E04">
              <w:t>0 </w:t>
            </w:r>
          </w:p>
        </w:tc>
        <w:tc>
          <w:tcPr>
            <w:tcW w:w="469" w:type="pct"/>
            <w:tcBorders>
              <w:left w:val="single" w:sz="4" w:space="0" w:color="auto"/>
            </w:tcBorders>
            <w:vAlign w:val="center"/>
          </w:tcPr>
          <w:p w14:paraId="4A3A7DD5" w14:textId="77777777" w:rsidR="007D61FB" w:rsidRPr="00441E04" w:rsidRDefault="007D61FB" w:rsidP="00B029C3">
            <w:pPr>
              <w:pStyle w:val="ARtabletextright"/>
            </w:pPr>
            <w:r w:rsidRPr="00441E04">
              <w:t>0 </w:t>
            </w:r>
          </w:p>
        </w:tc>
        <w:tc>
          <w:tcPr>
            <w:tcW w:w="465" w:type="pct"/>
            <w:vAlign w:val="center"/>
          </w:tcPr>
          <w:p w14:paraId="40FA3BDC" w14:textId="77777777" w:rsidR="007D61FB" w:rsidRPr="00441E04" w:rsidRDefault="007D61FB" w:rsidP="00B029C3">
            <w:pPr>
              <w:pStyle w:val="ARtabletextright"/>
            </w:pPr>
            <w:r w:rsidRPr="00441E04">
              <w:t>0 </w:t>
            </w:r>
          </w:p>
        </w:tc>
      </w:tr>
      <w:tr w:rsidR="007D61FB" w:rsidRPr="005F2793" w14:paraId="4D373613" w14:textId="77777777" w:rsidTr="006B2EA1">
        <w:trPr>
          <w:trHeight w:val="497"/>
        </w:trPr>
        <w:tc>
          <w:tcPr>
            <w:tcW w:w="1249" w:type="pct"/>
          </w:tcPr>
          <w:p w14:paraId="0BABEF3E" w14:textId="77777777" w:rsidR="007D61FB" w:rsidRPr="00EA7558" w:rsidRDefault="007D61FB" w:rsidP="00EA7558">
            <w:pPr>
              <w:pStyle w:val="ARtabletext"/>
            </w:pPr>
            <w:r w:rsidRPr="00EA7558">
              <w:t xml:space="preserve">Disability Services Commissioner </w:t>
            </w:r>
          </w:p>
        </w:tc>
        <w:tc>
          <w:tcPr>
            <w:tcW w:w="469" w:type="pct"/>
            <w:vAlign w:val="center"/>
          </w:tcPr>
          <w:p w14:paraId="5E05E408" w14:textId="77777777" w:rsidR="007D61FB" w:rsidRPr="0082080A" w:rsidRDefault="007D61FB" w:rsidP="00B029C3">
            <w:pPr>
              <w:pStyle w:val="ARtabletextright"/>
            </w:pPr>
            <w:r w:rsidRPr="0082080A">
              <w:t>1</w:t>
            </w:r>
          </w:p>
        </w:tc>
        <w:tc>
          <w:tcPr>
            <w:tcW w:w="472" w:type="pct"/>
            <w:tcBorders>
              <w:top w:val="single" w:sz="4" w:space="0" w:color="auto"/>
              <w:right w:val="single" w:sz="4" w:space="0" w:color="auto"/>
            </w:tcBorders>
            <w:vAlign w:val="center"/>
          </w:tcPr>
          <w:p w14:paraId="2309DDD3" w14:textId="77777777" w:rsidR="007D61FB" w:rsidRPr="0082080A" w:rsidRDefault="007D61FB" w:rsidP="00B029C3">
            <w:pPr>
              <w:pStyle w:val="ARtabletextright"/>
            </w:pPr>
            <w:r w:rsidRPr="0082080A">
              <w:t>0</w:t>
            </w:r>
          </w:p>
        </w:tc>
        <w:tc>
          <w:tcPr>
            <w:tcW w:w="469" w:type="pct"/>
            <w:tcBorders>
              <w:left w:val="single" w:sz="4" w:space="0" w:color="auto"/>
            </w:tcBorders>
            <w:vAlign w:val="center"/>
          </w:tcPr>
          <w:p w14:paraId="4C8FB61A" w14:textId="77777777" w:rsidR="007D61FB" w:rsidRPr="0082080A" w:rsidRDefault="007D61FB" w:rsidP="00B029C3">
            <w:pPr>
              <w:pStyle w:val="ARtabletextright"/>
            </w:pPr>
            <w:r w:rsidRPr="0082080A">
              <w:t>1</w:t>
            </w:r>
          </w:p>
        </w:tc>
        <w:tc>
          <w:tcPr>
            <w:tcW w:w="469" w:type="pct"/>
            <w:tcBorders>
              <w:top w:val="single" w:sz="4" w:space="0" w:color="auto"/>
              <w:right w:val="single" w:sz="4" w:space="0" w:color="auto"/>
            </w:tcBorders>
            <w:vAlign w:val="center"/>
          </w:tcPr>
          <w:p w14:paraId="4049E41A" w14:textId="77777777" w:rsidR="007D61FB" w:rsidRPr="0082080A" w:rsidRDefault="007D61FB" w:rsidP="00B029C3">
            <w:pPr>
              <w:pStyle w:val="ARtabletextright"/>
            </w:pPr>
            <w:r w:rsidRPr="0082080A">
              <w:t>0</w:t>
            </w:r>
          </w:p>
        </w:tc>
        <w:tc>
          <w:tcPr>
            <w:tcW w:w="469" w:type="pct"/>
            <w:tcBorders>
              <w:top w:val="single" w:sz="4" w:space="0" w:color="auto"/>
              <w:left w:val="single" w:sz="4" w:space="0" w:color="auto"/>
            </w:tcBorders>
            <w:vAlign w:val="center"/>
          </w:tcPr>
          <w:p w14:paraId="6DC09F6C" w14:textId="77777777" w:rsidR="007D61FB" w:rsidRPr="0082080A" w:rsidRDefault="007D61FB" w:rsidP="00B029C3">
            <w:pPr>
              <w:pStyle w:val="ARtabletextright"/>
            </w:pPr>
            <w:r w:rsidRPr="0082080A">
              <w:t>0</w:t>
            </w:r>
          </w:p>
        </w:tc>
        <w:tc>
          <w:tcPr>
            <w:tcW w:w="469" w:type="pct"/>
            <w:tcBorders>
              <w:top w:val="single" w:sz="4" w:space="0" w:color="auto"/>
              <w:right w:val="single" w:sz="4" w:space="0" w:color="auto"/>
            </w:tcBorders>
            <w:vAlign w:val="center"/>
          </w:tcPr>
          <w:p w14:paraId="11B0D43E" w14:textId="77777777" w:rsidR="007D61FB" w:rsidRPr="0082080A" w:rsidRDefault="007D61FB" w:rsidP="00B029C3">
            <w:pPr>
              <w:pStyle w:val="ARtabletextright"/>
            </w:pPr>
            <w:r w:rsidRPr="0082080A">
              <w:t>0</w:t>
            </w:r>
          </w:p>
        </w:tc>
        <w:tc>
          <w:tcPr>
            <w:tcW w:w="469" w:type="pct"/>
            <w:tcBorders>
              <w:left w:val="single" w:sz="4" w:space="0" w:color="auto"/>
            </w:tcBorders>
            <w:vAlign w:val="center"/>
          </w:tcPr>
          <w:p w14:paraId="47CB187A" w14:textId="77777777" w:rsidR="007D61FB" w:rsidRPr="0082080A" w:rsidRDefault="007D61FB" w:rsidP="00B029C3">
            <w:pPr>
              <w:pStyle w:val="ARtabletextright"/>
            </w:pPr>
            <w:r w:rsidRPr="0082080A">
              <w:t>0</w:t>
            </w:r>
          </w:p>
        </w:tc>
        <w:tc>
          <w:tcPr>
            <w:tcW w:w="465" w:type="pct"/>
            <w:vAlign w:val="center"/>
          </w:tcPr>
          <w:p w14:paraId="5576E4E0" w14:textId="77777777" w:rsidR="007D61FB" w:rsidRPr="0082080A" w:rsidRDefault="007D61FB" w:rsidP="00B029C3">
            <w:pPr>
              <w:pStyle w:val="ARtabletextright"/>
            </w:pPr>
            <w:r w:rsidRPr="0082080A">
              <w:t>0</w:t>
            </w:r>
          </w:p>
        </w:tc>
      </w:tr>
      <w:tr w:rsidR="007D61FB" w:rsidRPr="000670CE" w14:paraId="1AA682F5" w14:textId="77777777" w:rsidTr="006B2EA1">
        <w:tc>
          <w:tcPr>
            <w:tcW w:w="1249" w:type="pct"/>
          </w:tcPr>
          <w:p w14:paraId="5A22426E" w14:textId="66AA63F4" w:rsidR="007D61FB" w:rsidRPr="00EA7558" w:rsidRDefault="007D61FB" w:rsidP="00EA7558">
            <w:pPr>
              <w:pStyle w:val="ARtabletext"/>
            </w:pPr>
            <w:r w:rsidRPr="00EA7558">
              <w:t>Queen Victoria Women</w:t>
            </w:r>
            <w:r w:rsidR="00711AE6">
              <w:t>’</w:t>
            </w:r>
            <w:r w:rsidRPr="00EA7558">
              <w:t>s Centre Trust</w:t>
            </w:r>
          </w:p>
        </w:tc>
        <w:tc>
          <w:tcPr>
            <w:tcW w:w="469" w:type="pct"/>
            <w:vAlign w:val="center"/>
          </w:tcPr>
          <w:p w14:paraId="6F5B5365" w14:textId="77777777" w:rsidR="007D61FB" w:rsidRPr="00441E04" w:rsidRDefault="007D61FB" w:rsidP="00B029C3">
            <w:pPr>
              <w:pStyle w:val="ARtabletextright"/>
            </w:pPr>
            <w:r w:rsidRPr="00441E04">
              <w:t>1</w:t>
            </w:r>
          </w:p>
        </w:tc>
        <w:tc>
          <w:tcPr>
            <w:tcW w:w="472" w:type="pct"/>
            <w:tcBorders>
              <w:top w:val="single" w:sz="4" w:space="0" w:color="auto"/>
              <w:right w:val="single" w:sz="4" w:space="0" w:color="auto"/>
            </w:tcBorders>
            <w:vAlign w:val="center"/>
          </w:tcPr>
          <w:p w14:paraId="1D9B36F0" w14:textId="77777777" w:rsidR="007D61FB" w:rsidRPr="00441E04" w:rsidRDefault="007D61FB" w:rsidP="00B029C3">
            <w:pPr>
              <w:pStyle w:val="ARtabletextright"/>
            </w:pPr>
            <w:r w:rsidRPr="00441E04">
              <w:t>0</w:t>
            </w:r>
          </w:p>
        </w:tc>
        <w:tc>
          <w:tcPr>
            <w:tcW w:w="469" w:type="pct"/>
            <w:tcBorders>
              <w:left w:val="single" w:sz="4" w:space="0" w:color="auto"/>
            </w:tcBorders>
            <w:vAlign w:val="center"/>
          </w:tcPr>
          <w:p w14:paraId="669768BB" w14:textId="77777777" w:rsidR="007D61FB" w:rsidRPr="00441E04" w:rsidRDefault="007D61FB" w:rsidP="00B029C3">
            <w:pPr>
              <w:pStyle w:val="ARtabletextright"/>
            </w:pPr>
            <w:r w:rsidRPr="00441E04">
              <w:t>1</w:t>
            </w:r>
          </w:p>
        </w:tc>
        <w:tc>
          <w:tcPr>
            <w:tcW w:w="469" w:type="pct"/>
            <w:tcBorders>
              <w:top w:val="single" w:sz="4" w:space="0" w:color="auto"/>
              <w:right w:val="single" w:sz="4" w:space="0" w:color="auto"/>
            </w:tcBorders>
            <w:vAlign w:val="center"/>
          </w:tcPr>
          <w:p w14:paraId="5999BC14" w14:textId="77777777" w:rsidR="007D61FB" w:rsidRPr="00441E04" w:rsidRDefault="007D61FB" w:rsidP="00B029C3">
            <w:pPr>
              <w:pStyle w:val="ARtabletextright"/>
            </w:pPr>
            <w:r w:rsidRPr="00441E04">
              <w:t>0 </w:t>
            </w:r>
          </w:p>
        </w:tc>
        <w:tc>
          <w:tcPr>
            <w:tcW w:w="469" w:type="pct"/>
            <w:tcBorders>
              <w:top w:val="single" w:sz="4" w:space="0" w:color="auto"/>
              <w:left w:val="single" w:sz="4" w:space="0" w:color="auto"/>
            </w:tcBorders>
            <w:vAlign w:val="center"/>
          </w:tcPr>
          <w:p w14:paraId="79D1258D" w14:textId="77777777" w:rsidR="007D61FB" w:rsidRPr="00441E04" w:rsidRDefault="007D61FB" w:rsidP="00B029C3">
            <w:pPr>
              <w:pStyle w:val="ARtabletextright"/>
            </w:pPr>
            <w:r w:rsidRPr="00441E04">
              <w:t>0 </w:t>
            </w:r>
          </w:p>
        </w:tc>
        <w:tc>
          <w:tcPr>
            <w:tcW w:w="469" w:type="pct"/>
            <w:tcBorders>
              <w:top w:val="single" w:sz="4" w:space="0" w:color="auto"/>
              <w:right w:val="single" w:sz="4" w:space="0" w:color="auto"/>
            </w:tcBorders>
            <w:vAlign w:val="center"/>
          </w:tcPr>
          <w:p w14:paraId="679A8DB4" w14:textId="77777777" w:rsidR="007D61FB" w:rsidRPr="00441E04" w:rsidRDefault="007D61FB" w:rsidP="00B029C3">
            <w:pPr>
              <w:pStyle w:val="ARtabletextright"/>
            </w:pPr>
            <w:r w:rsidRPr="00441E04">
              <w:t>0 </w:t>
            </w:r>
          </w:p>
        </w:tc>
        <w:tc>
          <w:tcPr>
            <w:tcW w:w="469" w:type="pct"/>
            <w:tcBorders>
              <w:left w:val="single" w:sz="4" w:space="0" w:color="auto"/>
            </w:tcBorders>
            <w:vAlign w:val="center"/>
          </w:tcPr>
          <w:p w14:paraId="2F3B196B" w14:textId="77777777" w:rsidR="007D61FB" w:rsidRPr="00441E04" w:rsidRDefault="007D61FB" w:rsidP="00B029C3">
            <w:pPr>
              <w:pStyle w:val="ARtabletextright"/>
            </w:pPr>
            <w:r w:rsidRPr="00441E04">
              <w:t>0 </w:t>
            </w:r>
          </w:p>
        </w:tc>
        <w:tc>
          <w:tcPr>
            <w:tcW w:w="465" w:type="pct"/>
            <w:vAlign w:val="center"/>
          </w:tcPr>
          <w:p w14:paraId="094AEE59" w14:textId="77777777" w:rsidR="007D61FB" w:rsidRPr="00441E04" w:rsidRDefault="007D61FB" w:rsidP="00B029C3">
            <w:pPr>
              <w:pStyle w:val="ARtabletextright"/>
            </w:pPr>
            <w:r w:rsidRPr="00441E04">
              <w:t>0 </w:t>
            </w:r>
          </w:p>
        </w:tc>
      </w:tr>
      <w:tr w:rsidR="007D61FB" w:rsidRPr="000670CE" w14:paraId="6A349A18" w14:textId="77777777" w:rsidTr="006B2EA1">
        <w:tc>
          <w:tcPr>
            <w:tcW w:w="1249" w:type="pct"/>
          </w:tcPr>
          <w:p w14:paraId="00FAB472" w14:textId="77777777" w:rsidR="007D61FB" w:rsidRPr="00EA7558" w:rsidRDefault="007D61FB" w:rsidP="00EA7558">
            <w:pPr>
              <w:pStyle w:val="ARtabletext"/>
            </w:pPr>
            <w:r w:rsidRPr="00EA7558">
              <w:t>Respect Victoria</w:t>
            </w:r>
          </w:p>
        </w:tc>
        <w:tc>
          <w:tcPr>
            <w:tcW w:w="469" w:type="pct"/>
            <w:vAlign w:val="center"/>
          </w:tcPr>
          <w:p w14:paraId="2CE918CF" w14:textId="77777777" w:rsidR="007D61FB" w:rsidRPr="00441E04" w:rsidRDefault="007D61FB" w:rsidP="00B029C3">
            <w:pPr>
              <w:pStyle w:val="ARtabletextright"/>
            </w:pPr>
            <w:r w:rsidRPr="00441E04">
              <w:t>3</w:t>
            </w:r>
          </w:p>
        </w:tc>
        <w:tc>
          <w:tcPr>
            <w:tcW w:w="472" w:type="pct"/>
            <w:tcBorders>
              <w:top w:val="single" w:sz="4" w:space="0" w:color="auto"/>
              <w:right w:val="single" w:sz="4" w:space="0" w:color="auto"/>
            </w:tcBorders>
            <w:vAlign w:val="center"/>
          </w:tcPr>
          <w:p w14:paraId="05699B2A" w14:textId="01BC429C" w:rsidR="007D61FB" w:rsidRPr="00441E04" w:rsidRDefault="00B31DF7" w:rsidP="00B029C3">
            <w:pPr>
              <w:pStyle w:val="ARtabletextright"/>
            </w:pPr>
            <w:r>
              <w:t>-</w:t>
            </w:r>
            <w:r w:rsidR="007D61FB" w:rsidRPr="00441E04">
              <w:t>2</w:t>
            </w:r>
          </w:p>
        </w:tc>
        <w:tc>
          <w:tcPr>
            <w:tcW w:w="469" w:type="pct"/>
            <w:tcBorders>
              <w:left w:val="single" w:sz="4" w:space="0" w:color="auto"/>
            </w:tcBorders>
            <w:vAlign w:val="center"/>
          </w:tcPr>
          <w:p w14:paraId="3F7250B2" w14:textId="77777777" w:rsidR="007D61FB" w:rsidRPr="00441E04" w:rsidRDefault="007D61FB" w:rsidP="00B029C3">
            <w:pPr>
              <w:pStyle w:val="ARtabletextright"/>
            </w:pPr>
            <w:r w:rsidRPr="00441E04">
              <w:t>3</w:t>
            </w:r>
          </w:p>
        </w:tc>
        <w:tc>
          <w:tcPr>
            <w:tcW w:w="469" w:type="pct"/>
            <w:tcBorders>
              <w:top w:val="single" w:sz="4" w:space="0" w:color="auto"/>
              <w:right w:val="single" w:sz="4" w:space="0" w:color="auto"/>
            </w:tcBorders>
            <w:vAlign w:val="center"/>
          </w:tcPr>
          <w:p w14:paraId="1F8E81DD" w14:textId="77777777" w:rsidR="007D61FB" w:rsidRPr="00441E04" w:rsidRDefault="007D61FB" w:rsidP="00B029C3">
            <w:pPr>
              <w:pStyle w:val="ARtabletextright"/>
            </w:pPr>
            <w:r w:rsidRPr="00441E04">
              <w:t>1</w:t>
            </w:r>
          </w:p>
        </w:tc>
        <w:tc>
          <w:tcPr>
            <w:tcW w:w="469" w:type="pct"/>
            <w:tcBorders>
              <w:top w:val="single" w:sz="4" w:space="0" w:color="auto"/>
              <w:left w:val="single" w:sz="4" w:space="0" w:color="auto"/>
            </w:tcBorders>
            <w:vAlign w:val="center"/>
          </w:tcPr>
          <w:p w14:paraId="3918B821" w14:textId="77777777" w:rsidR="007D61FB" w:rsidRPr="00441E04" w:rsidRDefault="007D61FB" w:rsidP="00B029C3">
            <w:pPr>
              <w:pStyle w:val="ARtabletextright"/>
            </w:pPr>
            <w:r w:rsidRPr="00441E04">
              <w:t>0 </w:t>
            </w:r>
          </w:p>
        </w:tc>
        <w:tc>
          <w:tcPr>
            <w:tcW w:w="469" w:type="pct"/>
            <w:tcBorders>
              <w:top w:val="single" w:sz="4" w:space="0" w:color="auto"/>
              <w:right w:val="single" w:sz="4" w:space="0" w:color="auto"/>
            </w:tcBorders>
            <w:vAlign w:val="center"/>
          </w:tcPr>
          <w:p w14:paraId="045C905A" w14:textId="77777777" w:rsidR="007D61FB" w:rsidRPr="00441E04" w:rsidRDefault="007D61FB" w:rsidP="00B029C3">
            <w:pPr>
              <w:pStyle w:val="ARtabletextright"/>
            </w:pPr>
            <w:r w:rsidRPr="00441E04">
              <w:t>0 </w:t>
            </w:r>
          </w:p>
        </w:tc>
        <w:tc>
          <w:tcPr>
            <w:tcW w:w="469" w:type="pct"/>
            <w:tcBorders>
              <w:left w:val="single" w:sz="4" w:space="0" w:color="auto"/>
            </w:tcBorders>
            <w:vAlign w:val="center"/>
          </w:tcPr>
          <w:p w14:paraId="6E1A6F4F" w14:textId="77777777" w:rsidR="007D61FB" w:rsidRPr="00441E04" w:rsidRDefault="007D61FB" w:rsidP="00B029C3">
            <w:pPr>
              <w:pStyle w:val="ARtabletextright"/>
            </w:pPr>
            <w:r w:rsidRPr="00441E04">
              <w:t>0 </w:t>
            </w:r>
          </w:p>
        </w:tc>
        <w:tc>
          <w:tcPr>
            <w:tcW w:w="465" w:type="pct"/>
            <w:vAlign w:val="center"/>
          </w:tcPr>
          <w:p w14:paraId="072D26C2" w14:textId="77777777" w:rsidR="007D61FB" w:rsidRPr="00441E04" w:rsidRDefault="007D61FB" w:rsidP="00B029C3">
            <w:pPr>
              <w:pStyle w:val="ARtabletextright"/>
            </w:pPr>
            <w:r w:rsidRPr="00441E04">
              <w:t>1</w:t>
            </w:r>
          </w:p>
        </w:tc>
      </w:tr>
      <w:tr w:rsidR="007D61FB" w:rsidRPr="000670CE" w14:paraId="0F783EF1" w14:textId="77777777" w:rsidTr="006B2EA1">
        <w:tc>
          <w:tcPr>
            <w:tcW w:w="1249" w:type="pct"/>
          </w:tcPr>
          <w:p w14:paraId="7F087EB4" w14:textId="274527EC" w:rsidR="007D61FB" w:rsidRPr="00EA7558" w:rsidRDefault="007D61FB" w:rsidP="00EA7558">
            <w:pPr>
              <w:pStyle w:val="ARtabletext"/>
            </w:pPr>
            <w:r w:rsidRPr="00EA7558">
              <w:t>Shrine of Remembrance</w:t>
            </w:r>
            <w:r w:rsidR="00EA7558" w:rsidRPr="00EA7558">
              <w:t> </w:t>
            </w:r>
            <w:r w:rsidRPr="00EA7558">
              <w:t>Trustees</w:t>
            </w:r>
          </w:p>
        </w:tc>
        <w:tc>
          <w:tcPr>
            <w:tcW w:w="469" w:type="pct"/>
            <w:vAlign w:val="center"/>
          </w:tcPr>
          <w:p w14:paraId="03F1C67E" w14:textId="77777777" w:rsidR="007D61FB" w:rsidRPr="00441E04" w:rsidRDefault="007D61FB" w:rsidP="00B029C3">
            <w:pPr>
              <w:pStyle w:val="ARtabletextright"/>
            </w:pPr>
            <w:r w:rsidRPr="00441E04">
              <w:t>4</w:t>
            </w:r>
          </w:p>
        </w:tc>
        <w:tc>
          <w:tcPr>
            <w:tcW w:w="472" w:type="pct"/>
            <w:tcBorders>
              <w:top w:val="single" w:sz="4" w:space="0" w:color="auto"/>
              <w:right w:val="single" w:sz="4" w:space="0" w:color="auto"/>
            </w:tcBorders>
            <w:vAlign w:val="center"/>
          </w:tcPr>
          <w:p w14:paraId="6D587011" w14:textId="77777777" w:rsidR="007D61FB" w:rsidRPr="00441E04" w:rsidRDefault="007D61FB" w:rsidP="00B029C3">
            <w:pPr>
              <w:pStyle w:val="ARtabletextright"/>
            </w:pPr>
            <w:r w:rsidRPr="00441E04">
              <w:t>0</w:t>
            </w:r>
          </w:p>
        </w:tc>
        <w:tc>
          <w:tcPr>
            <w:tcW w:w="469" w:type="pct"/>
            <w:tcBorders>
              <w:left w:val="single" w:sz="4" w:space="0" w:color="auto"/>
            </w:tcBorders>
            <w:vAlign w:val="center"/>
          </w:tcPr>
          <w:p w14:paraId="74D02107" w14:textId="77777777" w:rsidR="007D61FB" w:rsidRPr="00441E04" w:rsidRDefault="007D61FB" w:rsidP="00B029C3">
            <w:pPr>
              <w:pStyle w:val="ARtabletextright"/>
            </w:pPr>
            <w:r w:rsidRPr="00441E04">
              <w:t>1</w:t>
            </w:r>
          </w:p>
        </w:tc>
        <w:tc>
          <w:tcPr>
            <w:tcW w:w="469" w:type="pct"/>
            <w:tcBorders>
              <w:top w:val="single" w:sz="4" w:space="0" w:color="auto"/>
              <w:right w:val="single" w:sz="4" w:space="0" w:color="auto"/>
            </w:tcBorders>
            <w:vAlign w:val="center"/>
          </w:tcPr>
          <w:p w14:paraId="6F8FF643" w14:textId="77777777" w:rsidR="007D61FB" w:rsidRPr="00441E04" w:rsidRDefault="007D61FB" w:rsidP="00B029C3">
            <w:pPr>
              <w:pStyle w:val="ARtabletextright"/>
            </w:pPr>
            <w:r w:rsidRPr="00441E04">
              <w:t>0 </w:t>
            </w:r>
          </w:p>
        </w:tc>
        <w:tc>
          <w:tcPr>
            <w:tcW w:w="469" w:type="pct"/>
            <w:tcBorders>
              <w:top w:val="single" w:sz="4" w:space="0" w:color="auto"/>
              <w:left w:val="single" w:sz="4" w:space="0" w:color="auto"/>
            </w:tcBorders>
            <w:vAlign w:val="center"/>
          </w:tcPr>
          <w:p w14:paraId="00E757C3" w14:textId="77777777" w:rsidR="007D61FB" w:rsidRPr="00441E04" w:rsidRDefault="007D61FB" w:rsidP="00B029C3">
            <w:pPr>
              <w:pStyle w:val="ARtabletextright"/>
            </w:pPr>
            <w:r w:rsidRPr="00441E04">
              <w:t>3 </w:t>
            </w:r>
          </w:p>
        </w:tc>
        <w:tc>
          <w:tcPr>
            <w:tcW w:w="469" w:type="pct"/>
            <w:tcBorders>
              <w:top w:val="single" w:sz="4" w:space="0" w:color="auto"/>
              <w:right w:val="single" w:sz="4" w:space="0" w:color="auto"/>
            </w:tcBorders>
            <w:vAlign w:val="center"/>
          </w:tcPr>
          <w:p w14:paraId="461E8B36" w14:textId="77777777" w:rsidR="007D61FB" w:rsidRPr="00441E04" w:rsidRDefault="007D61FB" w:rsidP="00B029C3">
            <w:pPr>
              <w:pStyle w:val="ARtabletextright"/>
            </w:pPr>
            <w:r w:rsidRPr="00441E04">
              <w:t>0</w:t>
            </w:r>
          </w:p>
        </w:tc>
        <w:tc>
          <w:tcPr>
            <w:tcW w:w="469" w:type="pct"/>
            <w:tcBorders>
              <w:left w:val="single" w:sz="4" w:space="0" w:color="auto"/>
            </w:tcBorders>
            <w:vAlign w:val="center"/>
          </w:tcPr>
          <w:p w14:paraId="1CCF7960" w14:textId="77777777" w:rsidR="007D61FB" w:rsidRPr="00441E04" w:rsidRDefault="007D61FB" w:rsidP="00B029C3">
            <w:pPr>
              <w:pStyle w:val="ARtabletextright"/>
            </w:pPr>
            <w:r w:rsidRPr="00441E04">
              <w:t>0 </w:t>
            </w:r>
          </w:p>
        </w:tc>
        <w:tc>
          <w:tcPr>
            <w:tcW w:w="465" w:type="pct"/>
            <w:vAlign w:val="center"/>
          </w:tcPr>
          <w:p w14:paraId="5E702640" w14:textId="77777777" w:rsidR="007D61FB" w:rsidRPr="00441E04" w:rsidRDefault="007D61FB" w:rsidP="00B029C3">
            <w:pPr>
              <w:pStyle w:val="ARtabletextright"/>
            </w:pPr>
            <w:r w:rsidRPr="00441E04">
              <w:t>0 </w:t>
            </w:r>
          </w:p>
        </w:tc>
      </w:tr>
      <w:tr w:rsidR="007D61FB" w:rsidRPr="000670CE" w14:paraId="71194E41" w14:textId="77777777" w:rsidTr="006B2EA1">
        <w:tc>
          <w:tcPr>
            <w:tcW w:w="1249" w:type="pct"/>
          </w:tcPr>
          <w:p w14:paraId="1313674A" w14:textId="77777777" w:rsidR="007D61FB" w:rsidRPr="00EA7558" w:rsidRDefault="007D61FB" w:rsidP="00EA7558">
            <w:pPr>
              <w:pStyle w:val="ARtabletext"/>
            </w:pPr>
            <w:r w:rsidRPr="00EA7558">
              <w:t>Victorian Disability Worker Commission</w:t>
            </w:r>
          </w:p>
        </w:tc>
        <w:tc>
          <w:tcPr>
            <w:tcW w:w="469" w:type="pct"/>
            <w:vAlign w:val="center"/>
          </w:tcPr>
          <w:p w14:paraId="6A6E3D26" w14:textId="77777777" w:rsidR="007D61FB" w:rsidRPr="00441E04" w:rsidRDefault="007D61FB" w:rsidP="00B029C3">
            <w:pPr>
              <w:pStyle w:val="ARtabletextright"/>
            </w:pPr>
            <w:r w:rsidRPr="00441E04">
              <w:t>1</w:t>
            </w:r>
          </w:p>
        </w:tc>
        <w:tc>
          <w:tcPr>
            <w:tcW w:w="472" w:type="pct"/>
            <w:tcBorders>
              <w:top w:val="single" w:sz="4" w:space="0" w:color="auto"/>
              <w:right w:val="single" w:sz="4" w:space="0" w:color="auto"/>
            </w:tcBorders>
            <w:vAlign w:val="center"/>
          </w:tcPr>
          <w:p w14:paraId="222CCEA5" w14:textId="77777777" w:rsidR="007D61FB" w:rsidRPr="00441E04" w:rsidRDefault="007D61FB" w:rsidP="00B029C3">
            <w:pPr>
              <w:pStyle w:val="ARtabletextright"/>
            </w:pPr>
            <w:r w:rsidRPr="00441E04">
              <w:t>0</w:t>
            </w:r>
          </w:p>
        </w:tc>
        <w:tc>
          <w:tcPr>
            <w:tcW w:w="469" w:type="pct"/>
            <w:tcBorders>
              <w:left w:val="single" w:sz="4" w:space="0" w:color="auto"/>
            </w:tcBorders>
            <w:vAlign w:val="center"/>
          </w:tcPr>
          <w:p w14:paraId="2C0062BD" w14:textId="77777777" w:rsidR="007D61FB" w:rsidRPr="00C70C0D" w:rsidRDefault="007D61FB" w:rsidP="00B029C3">
            <w:pPr>
              <w:pStyle w:val="ARtabletextright"/>
              <w:rPr>
                <w:b/>
                <w:bCs/>
              </w:rPr>
            </w:pPr>
            <w:r w:rsidRPr="00C70C0D">
              <w:rPr>
                <w:bCs/>
              </w:rPr>
              <w:t>1</w:t>
            </w:r>
          </w:p>
        </w:tc>
        <w:tc>
          <w:tcPr>
            <w:tcW w:w="469" w:type="pct"/>
            <w:tcBorders>
              <w:top w:val="single" w:sz="4" w:space="0" w:color="auto"/>
              <w:right w:val="single" w:sz="4" w:space="0" w:color="auto"/>
            </w:tcBorders>
            <w:vAlign w:val="center"/>
          </w:tcPr>
          <w:p w14:paraId="25D8BB7D" w14:textId="77777777" w:rsidR="007D61FB" w:rsidRPr="00C70C0D" w:rsidRDefault="007D61FB" w:rsidP="00B029C3">
            <w:pPr>
              <w:pStyle w:val="ARtabletextright"/>
              <w:rPr>
                <w:b/>
                <w:bCs/>
              </w:rPr>
            </w:pPr>
            <w:r w:rsidRPr="00C70C0D">
              <w:rPr>
                <w:bCs/>
              </w:rPr>
              <w:t>0</w:t>
            </w:r>
          </w:p>
        </w:tc>
        <w:tc>
          <w:tcPr>
            <w:tcW w:w="469" w:type="pct"/>
            <w:tcBorders>
              <w:top w:val="single" w:sz="4" w:space="0" w:color="auto"/>
              <w:left w:val="single" w:sz="4" w:space="0" w:color="auto"/>
            </w:tcBorders>
            <w:vAlign w:val="center"/>
          </w:tcPr>
          <w:p w14:paraId="069D6130" w14:textId="77777777" w:rsidR="007D61FB" w:rsidRPr="00441E04" w:rsidRDefault="007D61FB" w:rsidP="00B029C3">
            <w:pPr>
              <w:pStyle w:val="ARtabletextright"/>
            </w:pPr>
            <w:r w:rsidRPr="00441E04">
              <w:t>0 </w:t>
            </w:r>
          </w:p>
        </w:tc>
        <w:tc>
          <w:tcPr>
            <w:tcW w:w="469" w:type="pct"/>
            <w:tcBorders>
              <w:top w:val="single" w:sz="4" w:space="0" w:color="auto"/>
              <w:right w:val="single" w:sz="4" w:space="0" w:color="auto"/>
            </w:tcBorders>
            <w:vAlign w:val="center"/>
          </w:tcPr>
          <w:p w14:paraId="5EA61972" w14:textId="77777777" w:rsidR="007D61FB" w:rsidRPr="00441E04" w:rsidRDefault="007D61FB" w:rsidP="00B029C3">
            <w:pPr>
              <w:pStyle w:val="ARtabletextright"/>
            </w:pPr>
            <w:r w:rsidRPr="00441E04">
              <w:t>0 </w:t>
            </w:r>
          </w:p>
        </w:tc>
        <w:tc>
          <w:tcPr>
            <w:tcW w:w="469" w:type="pct"/>
            <w:tcBorders>
              <w:left w:val="single" w:sz="4" w:space="0" w:color="auto"/>
            </w:tcBorders>
            <w:vAlign w:val="center"/>
          </w:tcPr>
          <w:p w14:paraId="252B0E4C" w14:textId="77777777" w:rsidR="007D61FB" w:rsidRPr="00441E04" w:rsidRDefault="007D61FB" w:rsidP="00B029C3">
            <w:pPr>
              <w:pStyle w:val="ARtabletextright"/>
            </w:pPr>
            <w:r w:rsidRPr="00441E04">
              <w:t>0 </w:t>
            </w:r>
          </w:p>
        </w:tc>
        <w:tc>
          <w:tcPr>
            <w:tcW w:w="465" w:type="pct"/>
            <w:vAlign w:val="center"/>
          </w:tcPr>
          <w:p w14:paraId="7FD031F4" w14:textId="77777777" w:rsidR="007D61FB" w:rsidRPr="00441E04" w:rsidRDefault="007D61FB" w:rsidP="00B029C3">
            <w:pPr>
              <w:pStyle w:val="ARtabletextright"/>
            </w:pPr>
            <w:r w:rsidRPr="00441E04">
              <w:t>0 </w:t>
            </w:r>
          </w:p>
        </w:tc>
      </w:tr>
      <w:tr w:rsidR="007D61FB" w:rsidRPr="000670CE" w14:paraId="0E96589A" w14:textId="77777777" w:rsidTr="006B2EA1">
        <w:tc>
          <w:tcPr>
            <w:tcW w:w="1249" w:type="pct"/>
          </w:tcPr>
          <w:p w14:paraId="72DC141D" w14:textId="77777777" w:rsidR="007D61FB" w:rsidRPr="00B029C3" w:rsidRDefault="007D61FB" w:rsidP="00B029C3">
            <w:pPr>
              <w:pStyle w:val="ARtabletextbold"/>
            </w:pPr>
            <w:r w:rsidRPr="005F2793">
              <w:t>Total</w:t>
            </w:r>
          </w:p>
        </w:tc>
        <w:tc>
          <w:tcPr>
            <w:tcW w:w="469" w:type="pct"/>
            <w:vAlign w:val="center"/>
          </w:tcPr>
          <w:p w14:paraId="7FFC8A27" w14:textId="77777777" w:rsidR="007D61FB" w:rsidRPr="00B029C3" w:rsidRDefault="007D61FB" w:rsidP="00B029C3">
            <w:pPr>
              <w:pStyle w:val="ARtabletextrightbold"/>
            </w:pPr>
            <w:r w:rsidRPr="00B029C3">
              <w:t>13</w:t>
            </w:r>
          </w:p>
        </w:tc>
        <w:tc>
          <w:tcPr>
            <w:tcW w:w="472" w:type="pct"/>
            <w:tcBorders>
              <w:top w:val="single" w:sz="4" w:space="0" w:color="auto"/>
              <w:right w:val="single" w:sz="4" w:space="0" w:color="auto"/>
            </w:tcBorders>
            <w:vAlign w:val="center"/>
          </w:tcPr>
          <w:p w14:paraId="164CF07C" w14:textId="77777777" w:rsidR="007D61FB" w:rsidRPr="00B029C3" w:rsidRDefault="007D61FB" w:rsidP="00B029C3">
            <w:pPr>
              <w:pStyle w:val="ARtabletextrightbold"/>
            </w:pPr>
            <w:r w:rsidRPr="00B029C3">
              <w:t>0</w:t>
            </w:r>
          </w:p>
        </w:tc>
        <w:tc>
          <w:tcPr>
            <w:tcW w:w="469" w:type="pct"/>
            <w:tcBorders>
              <w:left w:val="single" w:sz="4" w:space="0" w:color="auto"/>
            </w:tcBorders>
            <w:vAlign w:val="center"/>
          </w:tcPr>
          <w:p w14:paraId="20B27155" w14:textId="77777777" w:rsidR="007D61FB" w:rsidRPr="00B029C3" w:rsidRDefault="007D61FB" w:rsidP="00B029C3">
            <w:pPr>
              <w:pStyle w:val="ARtabletextrightbold"/>
            </w:pPr>
            <w:r w:rsidRPr="00B029C3">
              <w:t>10</w:t>
            </w:r>
          </w:p>
        </w:tc>
        <w:tc>
          <w:tcPr>
            <w:tcW w:w="469" w:type="pct"/>
            <w:tcBorders>
              <w:top w:val="single" w:sz="4" w:space="0" w:color="auto"/>
              <w:right w:val="single" w:sz="4" w:space="0" w:color="auto"/>
            </w:tcBorders>
            <w:vAlign w:val="center"/>
          </w:tcPr>
          <w:p w14:paraId="78B28AC4" w14:textId="77777777" w:rsidR="007D61FB" w:rsidRPr="00B029C3" w:rsidRDefault="007D61FB" w:rsidP="00B029C3">
            <w:pPr>
              <w:pStyle w:val="ARtabletextrightbold"/>
            </w:pPr>
            <w:r w:rsidRPr="00B029C3">
              <w:t>1</w:t>
            </w:r>
          </w:p>
        </w:tc>
        <w:tc>
          <w:tcPr>
            <w:tcW w:w="469" w:type="pct"/>
            <w:tcBorders>
              <w:top w:val="single" w:sz="4" w:space="0" w:color="auto"/>
              <w:left w:val="single" w:sz="4" w:space="0" w:color="auto"/>
            </w:tcBorders>
            <w:vAlign w:val="center"/>
          </w:tcPr>
          <w:p w14:paraId="74826694" w14:textId="77777777" w:rsidR="007D61FB" w:rsidRPr="00B029C3" w:rsidRDefault="007D61FB" w:rsidP="00B029C3">
            <w:pPr>
              <w:pStyle w:val="ARtabletextrightbold"/>
            </w:pPr>
            <w:r w:rsidRPr="00B029C3">
              <w:t>3 </w:t>
            </w:r>
          </w:p>
        </w:tc>
        <w:tc>
          <w:tcPr>
            <w:tcW w:w="469" w:type="pct"/>
            <w:tcBorders>
              <w:top w:val="single" w:sz="4" w:space="0" w:color="auto"/>
              <w:right w:val="single" w:sz="4" w:space="0" w:color="auto"/>
            </w:tcBorders>
            <w:vAlign w:val="center"/>
          </w:tcPr>
          <w:p w14:paraId="49A632D4" w14:textId="77777777" w:rsidR="007D61FB" w:rsidRPr="00B029C3" w:rsidRDefault="007D61FB" w:rsidP="00B029C3">
            <w:pPr>
              <w:pStyle w:val="ARtabletextrightbold"/>
            </w:pPr>
            <w:r w:rsidRPr="00B029C3">
              <w:t>0</w:t>
            </w:r>
          </w:p>
        </w:tc>
        <w:tc>
          <w:tcPr>
            <w:tcW w:w="469" w:type="pct"/>
            <w:tcBorders>
              <w:left w:val="single" w:sz="4" w:space="0" w:color="auto"/>
            </w:tcBorders>
            <w:vAlign w:val="center"/>
          </w:tcPr>
          <w:p w14:paraId="07F8BA9F" w14:textId="77777777" w:rsidR="007D61FB" w:rsidRPr="00B029C3" w:rsidRDefault="007D61FB" w:rsidP="00B029C3">
            <w:pPr>
              <w:pStyle w:val="ARtabletextrightbold"/>
            </w:pPr>
            <w:r w:rsidRPr="00B029C3">
              <w:t>0 </w:t>
            </w:r>
          </w:p>
        </w:tc>
        <w:tc>
          <w:tcPr>
            <w:tcW w:w="465" w:type="pct"/>
            <w:vAlign w:val="center"/>
          </w:tcPr>
          <w:p w14:paraId="6C1C23CD" w14:textId="77777777" w:rsidR="007D61FB" w:rsidRPr="00B029C3" w:rsidRDefault="007D61FB" w:rsidP="00B029C3">
            <w:pPr>
              <w:pStyle w:val="ARtabletextrightbold"/>
            </w:pPr>
            <w:r w:rsidRPr="00B029C3">
              <w:t>1</w:t>
            </w:r>
          </w:p>
        </w:tc>
      </w:tr>
    </w:tbl>
    <w:p w14:paraId="38D1B96D" w14:textId="77777777" w:rsidR="007D61FB" w:rsidRPr="005F2793" w:rsidRDefault="007D61FB">
      <w:pPr>
        <w:pStyle w:val="ARtablefootnote"/>
      </w:pPr>
      <w:r w:rsidRPr="005F2793">
        <w:t>Notes:</w:t>
      </w:r>
    </w:p>
    <w:p w14:paraId="60C36E40" w14:textId="77777777" w:rsidR="007D61FB" w:rsidRPr="005F2793" w:rsidRDefault="007D61FB">
      <w:pPr>
        <w:pStyle w:val="ARtablefootnote"/>
        <w:rPr>
          <w:color w:val="000000" w:themeColor="text1"/>
        </w:rPr>
      </w:pPr>
      <w:r w:rsidRPr="005F2793">
        <w:rPr>
          <w:color w:val="000000" w:themeColor="text1"/>
        </w:rPr>
        <w:t>All figures reflect employment levels as at the final pay period in June 2024, and variance is compared with June 2023.</w:t>
      </w:r>
    </w:p>
    <w:p w14:paraId="18D2BC5A" w14:textId="60BD06D9" w:rsidR="00B029C3" w:rsidRPr="00B029C3" w:rsidRDefault="007D61FB" w:rsidP="00B029C3">
      <w:pPr>
        <w:pStyle w:val="ARtablefootnote"/>
        <w:rPr>
          <w:color w:val="000000" w:themeColor="text1"/>
        </w:rPr>
      </w:pPr>
      <w:r w:rsidRPr="005F2793">
        <w:rPr>
          <w:color w:val="000000" w:themeColor="text1"/>
        </w:rPr>
        <w:t>Excluded are those on leave without pay or absent on secondment, external contractors / consultants and temporary staff employed by employment agencies.</w:t>
      </w:r>
      <w:r w:rsidR="00B029C3">
        <w:br w:type="page"/>
      </w:r>
    </w:p>
    <w:p w14:paraId="67909379" w14:textId="77777777" w:rsidR="007D61FB" w:rsidRPr="00F924C7" w:rsidRDefault="007D61FB" w:rsidP="0088621E">
      <w:pPr>
        <w:pStyle w:val="Heading2"/>
        <w:rPr>
          <w:bCs w:val="0"/>
          <w:iCs w:val="0"/>
          <w:color w:val="53565A"/>
        </w:rPr>
      </w:pPr>
      <w:bookmarkStart w:id="191" w:name="_Ref178176139"/>
      <w:bookmarkStart w:id="192" w:name="_Toc181101507"/>
      <w:r w:rsidRPr="00F924C7">
        <w:rPr>
          <w:color w:val="53565A"/>
        </w:rPr>
        <w:t>Employee health, safety and wellbeing</w:t>
      </w:r>
      <w:bookmarkEnd w:id="191"/>
      <w:bookmarkEnd w:id="192"/>
    </w:p>
    <w:p w14:paraId="30766D70" w14:textId="77777777" w:rsidR="007D61FB" w:rsidRPr="00D657EB" w:rsidRDefault="007D61FB" w:rsidP="00B029C3">
      <w:pPr>
        <w:pStyle w:val="ARbody"/>
        <w:rPr>
          <w:highlight w:val="cyan"/>
        </w:rPr>
      </w:pPr>
      <w:r w:rsidRPr="004241FD">
        <w:t xml:space="preserve">The department is committed to safeguarding the health, safety and wellbeing (HSW) of all employees and others when conducting work on behalf of the </w:t>
      </w:r>
      <w:r w:rsidRPr="00B029C3">
        <w:t>department</w:t>
      </w:r>
      <w:r w:rsidRPr="004241FD">
        <w:t xml:space="preserve"> or in a department workplace. </w:t>
      </w:r>
      <w:r>
        <w:t xml:space="preserve">The department has expressed this commitment in its </w:t>
      </w:r>
      <w:r w:rsidRPr="00410CB6">
        <w:rPr>
          <w:rStyle w:val="Emphasis"/>
        </w:rPr>
        <w:t>Health, safety and wellbeing policy</w:t>
      </w:r>
      <w:r>
        <w:t>.</w:t>
      </w:r>
    </w:p>
    <w:p w14:paraId="4A512B6B" w14:textId="77777777" w:rsidR="007D61FB" w:rsidRDefault="007D61FB" w:rsidP="00333387">
      <w:pPr>
        <w:pStyle w:val="Heading3"/>
        <w:sectPr w:rsidR="007D61FB" w:rsidSect="005936D2">
          <w:footnotePr>
            <w:numFmt w:val="lowerRoman"/>
            <w:numRestart w:val="eachPage"/>
          </w:footnotePr>
          <w:endnotePr>
            <w:numFmt w:val="decimal"/>
          </w:endnotePr>
          <w:type w:val="continuous"/>
          <w:pgSz w:w="11900" w:h="16840" w:code="9"/>
          <w:pgMar w:top="1701" w:right="1134" w:bottom="851" w:left="1134" w:header="510" w:footer="340" w:gutter="0"/>
          <w:cols w:space="448"/>
          <w:docGrid w:linePitch="299"/>
        </w:sectPr>
      </w:pPr>
    </w:p>
    <w:p w14:paraId="26FB7786" w14:textId="77777777" w:rsidR="007D61FB" w:rsidRPr="00D657EB" w:rsidRDefault="007D61FB">
      <w:pPr>
        <w:pStyle w:val="ARbody"/>
        <w:rPr>
          <w:highlight w:val="cyan"/>
        </w:rPr>
        <w:sectPr w:rsidR="007D61FB" w:rsidRPr="00D657EB" w:rsidSect="005936D2">
          <w:footnotePr>
            <w:numFmt w:val="lowerRoman"/>
            <w:numRestart w:val="eachPage"/>
          </w:footnotePr>
          <w:endnotePr>
            <w:numFmt w:val="decimal"/>
          </w:endnotePr>
          <w:type w:val="continuous"/>
          <w:pgSz w:w="11900" w:h="16840" w:code="9"/>
          <w:pgMar w:top="1701" w:right="1134" w:bottom="851" w:left="1134" w:header="510" w:footer="340" w:gutter="0"/>
          <w:cols w:space="448"/>
          <w:docGrid w:linePitch="299"/>
        </w:sectPr>
      </w:pPr>
    </w:p>
    <w:p w14:paraId="18250661" w14:textId="77777777" w:rsidR="007D61FB" w:rsidRPr="00E73A69" w:rsidRDefault="007D61FB" w:rsidP="00DF377B">
      <w:pPr>
        <w:pStyle w:val="Heading3"/>
        <w:spacing w:before="0"/>
      </w:pPr>
      <w:r w:rsidRPr="00E73A69">
        <w:t>Employee health and safety</w:t>
      </w:r>
    </w:p>
    <w:p w14:paraId="5F7281A4" w14:textId="0989139A" w:rsidR="007D61FB" w:rsidRDefault="007D61FB">
      <w:pPr>
        <w:pStyle w:val="ARbody"/>
      </w:pPr>
      <w:r w:rsidRPr="00F52A50">
        <w:rPr>
          <w:lang w:eastAsia="en-AU"/>
        </w:rPr>
        <w:t>During 2023</w:t>
      </w:r>
      <w:r w:rsidR="005B7C9B">
        <w:rPr>
          <w:lang w:eastAsia="en-AU"/>
        </w:rPr>
        <w:t>–</w:t>
      </w:r>
      <w:r w:rsidRPr="00F52A50">
        <w:rPr>
          <w:lang w:eastAsia="en-AU"/>
        </w:rPr>
        <w:t xml:space="preserve">24, the </w:t>
      </w:r>
      <w:r w:rsidRPr="00F52A50">
        <w:t xml:space="preserve">department established its </w:t>
      </w:r>
      <w:r w:rsidRPr="00410CB6">
        <w:rPr>
          <w:rStyle w:val="Emphasis"/>
        </w:rPr>
        <w:t xml:space="preserve">Health, safety and wellbeing strategy 2024 to 2027 </w:t>
      </w:r>
      <w:r>
        <w:rPr>
          <w:iCs/>
        </w:rPr>
        <w:t>(HSW)</w:t>
      </w:r>
      <w:r w:rsidRPr="00F52A50">
        <w:t xml:space="preserve">. </w:t>
      </w:r>
      <w:r>
        <w:t>The goal of the HSW is to create a safe and</w:t>
      </w:r>
      <w:r w:rsidR="00C07E65">
        <w:t> </w:t>
      </w:r>
      <w:r>
        <w:t xml:space="preserve">psychologically healthy workplace and prevent injury and illness in the workplace. </w:t>
      </w:r>
    </w:p>
    <w:p w14:paraId="46E45894" w14:textId="31C986DF" w:rsidR="007D61FB" w:rsidRDefault="007D61FB">
      <w:pPr>
        <w:pStyle w:val="ARbody"/>
      </w:pPr>
      <w:r>
        <w:t>Supporting the HSW strategy is a program of work that focuses the department</w:t>
      </w:r>
      <w:r w:rsidR="00711AE6">
        <w:t>’</w:t>
      </w:r>
      <w:r>
        <w:t>s resources on key priority areas to achieve the strategic objectives to:</w:t>
      </w:r>
    </w:p>
    <w:p w14:paraId="4127041A" w14:textId="77777777" w:rsidR="007D61FB" w:rsidRDefault="007D61FB" w:rsidP="00233E8B">
      <w:pPr>
        <w:pStyle w:val="ARbody"/>
        <w:numPr>
          <w:ilvl w:val="0"/>
          <w:numId w:val="14"/>
        </w:numPr>
        <w:rPr>
          <w:lang w:eastAsia="en-AU"/>
        </w:rPr>
      </w:pPr>
      <w:r>
        <w:rPr>
          <w:lang w:eastAsia="en-AU"/>
        </w:rPr>
        <w:t>promote employee health, safety and wellbeing</w:t>
      </w:r>
    </w:p>
    <w:p w14:paraId="10D52739" w14:textId="77777777" w:rsidR="007D61FB" w:rsidRDefault="007D61FB" w:rsidP="00233E8B">
      <w:pPr>
        <w:pStyle w:val="ARbody"/>
        <w:numPr>
          <w:ilvl w:val="0"/>
          <w:numId w:val="14"/>
        </w:numPr>
        <w:rPr>
          <w:lang w:eastAsia="en-AU"/>
        </w:rPr>
      </w:pPr>
      <w:r>
        <w:rPr>
          <w:lang w:eastAsia="en-AU"/>
        </w:rPr>
        <w:t>prevent work-related injury and illness</w:t>
      </w:r>
    </w:p>
    <w:p w14:paraId="5C4E7E03" w14:textId="77777777" w:rsidR="007D61FB" w:rsidRDefault="007D61FB" w:rsidP="00233E8B">
      <w:pPr>
        <w:pStyle w:val="ARbody"/>
        <w:numPr>
          <w:ilvl w:val="0"/>
          <w:numId w:val="14"/>
        </w:numPr>
        <w:rPr>
          <w:lang w:eastAsia="en-AU"/>
        </w:rPr>
      </w:pPr>
      <w:r>
        <w:rPr>
          <w:lang w:eastAsia="en-AU"/>
        </w:rPr>
        <w:t xml:space="preserve">support employees with an injury or illness to recover at work or to return to work early, safely and sustainably. </w:t>
      </w:r>
    </w:p>
    <w:p w14:paraId="4A451DCB" w14:textId="1B47DCD3" w:rsidR="007D61FB" w:rsidRDefault="007D61FB" w:rsidP="00B029C3">
      <w:pPr>
        <w:pStyle w:val="ARbodyafterbullets"/>
        <w:rPr>
          <w:lang w:eastAsia="en-AU"/>
        </w:rPr>
      </w:pPr>
      <w:r>
        <w:rPr>
          <w:lang w:eastAsia="en-AU"/>
        </w:rPr>
        <w:t>The department</w:t>
      </w:r>
      <w:r w:rsidR="00711AE6">
        <w:rPr>
          <w:lang w:eastAsia="en-AU"/>
        </w:rPr>
        <w:t>’</w:t>
      </w:r>
      <w:r>
        <w:rPr>
          <w:lang w:eastAsia="en-AU"/>
        </w:rPr>
        <w:t xml:space="preserve">s Health and Safety Management System provides information to support the management of employee health and safety at work and to help prevent injury and illness from workplace operations. </w:t>
      </w:r>
    </w:p>
    <w:p w14:paraId="5894D361" w14:textId="77777777" w:rsidR="007D61FB" w:rsidRDefault="007D61FB">
      <w:pPr>
        <w:pStyle w:val="ARbody"/>
        <w:rPr>
          <w:lang w:eastAsia="en-AU"/>
        </w:rPr>
      </w:pPr>
      <w:r>
        <w:rPr>
          <w:lang w:eastAsia="en-AU"/>
        </w:rPr>
        <w:t xml:space="preserve">Health and safety representation provides the department with a means for involving employees and giving them a voice in health and safety matters in the workplace. The department has an active network of health and safety representatives and designated management representatives who participate in health and safety committees and work collaboratively to develop plans and measures to improve HSW outcomes. </w:t>
      </w:r>
    </w:p>
    <w:p w14:paraId="607E19E3" w14:textId="77777777" w:rsidR="007D61FB" w:rsidRPr="00B029C3" w:rsidRDefault="007D61FB" w:rsidP="00B029C3">
      <w:pPr>
        <w:pStyle w:val="ARbodybold"/>
      </w:pPr>
      <w:r w:rsidRPr="00B029C3">
        <w:t>Improvement measures in 2023–24 included:</w:t>
      </w:r>
    </w:p>
    <w:p w14:paraId="60B3F7A6" w14:textId="77777777" w:rsidR="007D61FB" w:rsidRPr="00590CB6" w:rsidRDefault="007D61FB" w:rsidP="00B029C3">
      <w:pPr>
        <w:pStyle w:val="ARbullet1"/>
      </w:pPr>
      <w:r w:rsidRPr="00B029C3">
        <w:t>establishment</w:t>
      </w:r>
      <w:r w:rsidRPr="00590CB6">
        <w:t xml:space="preserve"> of the HSW strategy with strategic focus areas: </w:t>
      </w:r>
    </w:p>
    <w:p w14:paraId="73308181" w14:textId="77777777" w:rsidR="007D61FB" w:rsidRPr="00B029C3" w:rsidRDefault="007D61FB" w:rsidP="00B029C3">
      <w:pPr>
        <w:pStyle w:val="ARbullet2"/>
      </w:pPr>
      <w:r w:rsidRPr="00B029C3">
        <w:t>leadership, culture and governance</w:t>
      </w:r>
    </w:p>
    <w:p w14:paraId="26E528C7" w14:textId="77777777" w:rsidR="007D61FB" w:rsidRPr="00B029C3" w:rsidRDefault="007D61FB" w:rsidP="00B029C3">
      <w:pPr>
        <w:pStyle w:val="ARbullet2"/>
      </w:pPr>
      <w:r w:rsidRPr="00B029C3">
        <w:t>information, awareness and consultation</w:t>
      </w:r>
    </w:p>
    <w:p w14:paraId="405A17F6" w14:textId="77777777" w:rsidR="007D61FB" w:rsidRPr="00B029C3" w:rsidRDefault="007D61FB" w:rsidP="00B029C3">
      <w:pPr>
        <w:pStyle w:val="ARbullet2"/>
      </w:pPr>
      <w:r w:rsidRPr="00B029C3">
        <w:t>risk and compliance</w:t>
      </w:r>
    </w:p>
    <w:p w14:paraId="5B55FEA6" w14:textId="77777777" w:rsidR="007D61FB" w:rsidRPr="00B029C3" w:rsidRDefault="007D61FB" w:rsidP="00B029C3">
      <w:pPr>
        <w:pStyle w:val="ARbullet2"/>
      </w:pPr>
      <w:r w:rsidRPr="00B029C3">
        <w:t>employee wellbeing</w:t>
      </w:r>
    </w:p>
    <w:p w14:paraId="0D170EAF" w14:textId="6188864A" w:rsidR="007D61FB" w:rsidRPr="00B029C3" w:rsidRDefault="007D61FB" w:rsidP="00B029C3">
      <w:pPr>
        <w:pStyle w:val="ARbullet2"/>
      </w:pPr>
      <w:r w:rsidRPr="00B029C3">
        <w:t>early intervention, recovery and return to</w:t>
      </w:r>
      <w:r w:rsidR="00B029C3">
        <w:t> </w:t>
      </w:r>
      <w:r w:rsidRPr="00B029C3">
        <w:t>work</w:t>
      </w:r>
    </w:p>
    <w:p w14:paraId="489B0406" w14:textId="77777777" w:rsidR="007D61FB" w:rsidRDefault="007D61FB" w:rsidP="00B029C3">
      <w:pPr>
        <w:pStyle w:val="ARbullet2"/>
      </w:pPr>
      <w:r w:rsidRPr="00B029C3">
        <w:t>evidence</w:t>
      </w:r>
      <w:r w:rsidRPr="00590CB6">
        <w:t>-based innovation</w:t>
      </w:r>
    </w:p>
    <w:p w14:paraId="7DF639B6" w14:textId="2EEF4CE4" w:rsidR="007D61FB" w:rsidRPr="00B029C3" w:rsidRDefault="006B2EA1" w:rsidP="006B2EA1">
      <w:pPr>
        <w:pStyle w:val="ARbullet1"/>
      </w:pPr>
      <w:r>
        <w:br w:type="column"/>
      </w:r>
      <w:r w:rsidR="007D61FB" w:rsidRPr="00B029C3">
        <w:t xml:space="preserve">conduct of targeted HSW risk workshops to identify factors that contribute to psychological health risks including job demands and </w:t>
      </w:r>
      <w:r w:rsidR="005B7C9B">
        <w:br/>
      </w:r>
      <w:r w:rsidR="007D61FB" w:rsidRPr="00B029C3">
        <w:t>work-related violence</w:t>
      </w:r>
    </w:p>
    <w:p w14:paraId="6A10EBA8" w14:textId="1FEBB5A0" w:rsidR="007D61FB" w:rsidRPr="00B029C3" w:rsidRDefault="007D61FB" w:rsidP="00B029C3">
      <w:pPr>
        <w:pStyle w:val="ARbullet1"/>
      </w:pPr>
      <w:r w:rsidRPr="00B029C3">
        <w:t>mapping work-related violence (WRV) controls and identifying further potential treatments to</w:t>
      </w:r>
      <w:r w:rsidR="00C07E65">
        <w:t> </w:t>
      </w:r>
      <w:r w:rsidRPr="00B029C3">
        <w:t>manage WRV risks</w:t>
      </w:r>
    </w:p>
    <w:p w14:paraId="262D85A4" w14:textId="77777777" w:rsidR="007D61FB" w:rsidRPr="00B029C3" w:rsidRDefault="007D61FB" w:rsidP="00B029C3">
      <w:pPr>
        <w:pStyle w:val="ARbullet1"/>
      </w:pPr>
      <w:r w:rsidRPr="00B029C3">
        <w:t>continued implementation of HSW accountabilities through inclusion in performance development plans for VPS and executive employees</w:t>
      </w:r>
    </w:p>
    <w:p w14:paraId="3B6CB6DA" w14:textId="77777777" w:rsidR="007D61FB" w:rsidRPr="00FE4C3D" w:rsidRDefault="007D61FB" w:rsidP="00B029C3">
      <w:pPr>
        <w:pStyle w:val="ARbullet1"/>
      </w:pPr>
      <w:r w:rsidRPr="00B029C3">
        <w:t>continued improvement of the HSW SharePoint site to</w:t>
      </w:r>
      <w:r w:rsidRPr="00285296">
        <w:t xml:space="preserve"> provide employees with</w:t>
      </w:r>
      <w:r w:rsidRPr="00FE4C3D">
        <w:t xml:space="preserve"> access </w:t>
      </w:r>
      <w:r w:rsidRPr="00285296">
        <w:t>to HSW</w:t>
      </w:r>
      <w:r w:rsidRPr="00FE4C3D">
        <w:t xml:space="preserve"> information related to working in the department</w:t>
      </w:r>
    </w:p>
    <w:p w14:paraId="54AF8D9B" w14:textId="77777777" w:rsidR="007D61FB" w:rsidRPr="00F82D79" w:rsidRDefault="007D61FB">
      <w:pPr>
        <w:pStyle w:val="ARbullet1"/>
        <w:numPr>
          <w:ilvl w:val="0"/>
          <w:numId w:val="0"/>
        </w:numPr>
        <w:ind w:left="284"/>
        <w:rPr>
          <w:highlight w:val="cyan"/>
        </w:rPr>
      </w:pPr>
      <w:r>
        <w:t>p</w:t>
      </w:r>
      <w:r w:rsidRPr="00FE4C3D">
        <w:t xml:space="preserve">rovision of specialist ergonomic assessments to </w:t>
      </w:r>
      <w:r w:rsidRPr="00285296">
        <w:t>184 staff requiring additional support to set up their workstation to prevent injury.</w:t>
      </w:r>
    </w:p>
    <w:p w14:paraId="6DD846ED" w14:textId="6C4B3919" w:rsidR="007D61FB" w:rsidRPr="00502AB8" w:rsidRDefault="007D61FB" w:rsidP="00333387">
      <w:pPr>
        <w:pStyle w:val="Heading3"/>
      </w:pPr>
      <w:r w:rsidRPr="00502AB8">
        <w:t>Employee wellbeing and</w:t>
      </w:r>
      <w:r w:rsidR="00B029C3">
        <w:t> </w:t>
      </w:r>
      <w:r w:rsidRPr="00502AB8">
        <w:t>supports</w:t>
      </w:r>
    </w:p>
    <w:p w14:paraId="1D25E737" w14:textId="78C3527A" w:rsidR="007D61FB" w:rsidRPr="00686D8E" w:rsidRDefault="007D61FB">
      <w:pPr>
        <w:pStyle w:val="ARbody"/>
      </w:pPr>
      <w:r w:rsidRPr="00686D8E">
        <w:t>The department is focused on providing a psychologically healthy workplace, recognising that everyone benefits from a workplace where the wellbeing of staff is a priority.</w:t>
      </w:r>
      <w:r w:rsidR="00E570E2">
        <w:t xml:space="preserve"> </w:t>
      </w:r>
    </w:p>
    <w:p w14:paraId="5223D8DC" w14:textId="77777777" w:rsidR="007D61FB" w:rsidRPr="00686D8E" w:rsidRDefault="007D61FB">
      <w:pPr>
        <w:pStyle w:val="ARbody"/>
      </w:pPr>
      <w:r w:rsidRPr="00686D8E">
        <w:t>The department provides a range of employee supports including:</w:t>
      </w:r>
    </w:p>
    <w:p w14:paraId="44434C62" w14:textId="55B38507" w:rsidR="007D61FB" w:rsidRPr="00B029C3" w:rsidRDefault="001453EF" w:rsidP="00B029C3">
      <w:pPr>
        <w:pStyle w:val="ARbullet1"/>
      </w:pPr>
      <w:r>
        <w:t>E</w:t>
      </w:r>
      <w:r w:rsidRPr="00B029C3">
        <w:t xml:space="preserve">mployee Wellbeing </w:t>
      </w:r>
      <w:r>
        <w:t>a</w:t>
      </w:r>
      <w:r w:rsidRPr="00B029C3">
        <w:t>nd Support Program</w:t>
      </w:r>
    </w:p>
    <w:p w14:paraId="64D62AFC" w14:textId="5780BD3F" w:rsidR="007D61FB" w:rsidRPr="00B029C3" w:rsidRDefault="007D61FB" w:rsidP="00B029C3">
      <w:pPr>
        <w:pStyle w:val="ARbullet1"/>
      </w:pPr>
      <w:r w:rsidRPr="00B029C3">
        <w:t xml:space="preserve">Aboriginal </w:t>
      </w:r>
      <w:r w:rsidR="00D85477" w:rsidRPr="00B029C3">
        <w:t xml:space="preserve">Social </w:t>
      </w:r>
      <w:r w:rsidR="00D85477">
        <w:t>a</w:t>
      </w:r>
      <w:r w:rsidR="00D85477" w:rsidRPr="00B029C3">
        <w:t>nd Emotional Wellbeing</w:t>
      </w:r>
      <w:r w:rsidR="00D85477">
        <w:t> </w:t>
      </w:r>
      <w:r w:rsidR="00D85477" w:rsidRPr="00B029C3">
        <w:t>Program</w:t>
      </w:r>
    </w:p>
    <w:p w14:paraId="073BE828" w14:textId="54A839A7" w:rsidR="007D61FB" w:rsidRPr="00B029C3" w:rsidRDefault="00D85477" w:rsidP="00B029C3">
      <w:pPr>
        <w:pStyle w:val="ARbullet1"/>
      </w:pPr>
      <w:r>
        <w:t>P</w:t>
      </w:r>
      <w:r w:rsidRPr="00B029C3">
        <w:t>eer</w:t>
      </w:r>
      <w:r>
        <w:t>-</w:t>
      </w:r>
      <w:r w:rsidRPr="00B029C3">
        <w:t>Support Network</w:t>
      </w:r>
    </w:p>
    <w:p w14:paraId="2045FB82" w14:textId="4A0FB2F1" w:rsidR="007D61FB" w:rsidRPr="00B029C3" w:rsidRDefault="00D85477" w:rsidP="00B029C3">
      <w:pPr>
        <w:pStyle w:val="ARbullet1"/>
      </w:pPr>
      <w:r>
        <w:t>C</w:t>
      </w:r>
      <w:r w:rsidRPr="00B029C3">
        <w:t>ritical Incident Support</w:t>
      </w:r>
    </w:p>
    <w:p w14:paraId="37CE6DD0" w14:textId="70BBEA63" w:rsidR="007D61FB" w:rsidRPr="00686D8E" w:rsidRDefault="00D85477" w:rsidP="00B029C3">
      <w:pPr>
        <w:pStyle w:val="ARbullet1"/>
      </w:pPr>
      <w:r>
        <w:t>F</w:t>
      </w:r>
      <w:r w:rsidRPr="00B029C3">
        <w:t>amily</w:t>
      </w:r>
      <w:r w:rsidRPr="00686D8E">
        <w:t xml:space="preserve"> Violence Support</w:t>
      </w:r>
      <w:r w:rsidR="007D61FB" w:rsidRPr="00686D8E">
        <w:t xml:space="preserve">. </w:t>
      </w:r>
    </w:p>
    <w:p w14:paraId="05579843" w14:textId="37361859" w:rsidR="00DF377B" w:rsidRDefault="007D61FB" w:rsidP="00B029C3">
      <w:pPr>
        <w:pStyle w:val="ARbodyafterbullets"/>
      </w:pPr>
      <w:r w:rsidRPr="00686D8E">
        <w:t xml:space="preserve">The department continues to have high workforce engagement with its Employee Wellbeing and Support </w:t>
      </w:r>
      <w:r>
        <w:t>P</w:t>
      </w:r>
      <w:r w:rsidRPr="00686D8E">
        <w:t xml:space="preserve">rogram with an annual utilisation rate of </w:t>
      </w:r>
      <w:r w:rsidRPr="0068021E">
        <w:t>25.4</w:t>
      </w:r>
      <w:r w:rsidR="00F95AC7">
        <w:t>%</w:t>
      </w:r>
      <w:r w:rsidR="00D85477">
        <w:t>. This shows</w:t>
      </w:r>
      <w:r w:rsidRPr="00686D8E">
        <w:t xml:space="preserve"> positive </w:t>
      </w:r>
      <w:r>
        <w:t xml:space="preserve">employee engagement in </w:t>
      </w:r>
      <w:r w:rsidRPr="00686D8E">
        <w:t xml:space="preserve">wellbeing. </w:t>
      </w:r>
      <w:r w:rsidR="00DF377B">
        <w:br w:type="page"/>
      </w:r>
    </w:p>
    <w:p w14:paraId="0C78F1B3" w14:textId="0EFF52F9" w:rsidR="007D61FB" w:rsidRPr="00686D8E" w:rsidRDefault="007D61FB" w:rsidP="00B029C3">
      <w:pPr>
        <w:pStyle w:val="ARbody"/>
      </w:pPr>
      <w:r>
        <w:t xml:space="preserve">The department </w:t>
      </w:r>
      <w:r w:rsidRPr="00055D44">
        <w:t>launch</w:t>
      </w:r>
      <w:r>
        <w:t>ed</w:t>
      </w:r>
      <w:r w:rsidRPr="00055D44">
        <w:t xml:space="preserve"> the </w:t>
      </w:r>
      <w:r w:rsidRPr="00410CB6">
        <w:rPr>
          <w:rStyle w:val="Emphasis"/>
        </w:rPr>
        <w:t xml:space="preserve">Child </w:t>
      </w:r>
      <w:r w:rsidR="00D85477" w:rsidRPr="00410CB6">
        <w:rPr>
          <w:rStyle w:val="Emphasis"/>
        </w:rPr>
        <w:t>protection mental health</w:t>
      </w:r>
      <w:r w:rsidRPr="00410CB6">
        <w:rPr>
          <w:rStyle w:val="Emphasis"/>
        </w:rPr>
        <w:t xml:space="preserve"> and </w:t>
      </w:r>
      <w:r w:rsidR="00D85477" w:rsidRPr="00410CB6">
        <w:rPr>
          <w:rStyle w:val="Emphasis"/>
        </w:rPr>
        <w:t>wellbeing plan</w:t>
      </w:r>
      <w:r w:rsidRPr="00410CB6">
        <w:rPr>
          <w:rStyle w:val="Emphasis"/>
        </w:rPr>
        <w:t xml:space="preserve"> 2024</w:t>
      </w:r>
      <w:r w:rsidR="005B7C9B">
        <w:rPr>
          <w:rStyle w:val="Emphasis"/>
        </w:rPr>
        <w:t>–</w:t>
      </w:r>
      <w:r w:rsidRPr="00410CB6">
        <w:rPr>
          <w:rStyle w:val="Emphasis"/>
        </w:rPr>
        <w:t>26</w:t>
      </w:r>
      <w:r w:rsidRPr="00055D44">
        <w:t xml:space="preserve">, which promotes wellbeing services to child protection staff and </w:t>
      </w:r>
      <w:r>
        <w:t>supports workplace safety</w:t>
      </w:r>
      <w:r w:rsidRPr="00055D44">
        <w:t xml:space="preserve"> activities using </w:t>
      </w:r>
      <w:r w:rsidR="009D641C">
        <w:t>4</w:t>
      </w:r>
      <w:r w:rsidRPr="00055D44">
        <w:t xml:space="preserve"> pillars</w:t>
      </w:r>
      <w:r>
        <w:t xml:space="preserve"> of</w:t>
      </w:r>
      <w:r w:rsidRPr="00055D44">
        <w:t xml:space="preserve"> leadership, learning, systems and</w:t>
      </w:r>
      <w:r w:rsidR="008B0347">
        <w:t> </w:t>
      </w:r>
      <w:r w:rsidRPr="00055D44">
        <w:t>supports</w:t>
      </w:r>
      <w:r>
        <w:t>.</w:t>
      </w:r>
    </w:p>
    <w:p w14:paraId="16DD0BB7" w14:textId="79362153" w:rsidR="007D61FB" w:rsidRPr="00686D8E" w:rsidRDefault="007D61FB" w:rsidP="00B029C3">
      <w:pPr>
        <w:pStyle w:val="ARbody"/>
      </w:pPr>
      <w:r w:rsidRPr="00686D8E">
        <w:t>The department established its own Peer Support Network during 2023</w:t>
      </w:r>
      <w:r w:rsidR="005B7C9B">
        <w:t>–</w:t>
      </w:r>
      <w:r w:rsidRPr="00686D8E">
        <w:t>24</w:t>
      </w:r>
      <w:r>
        <w:t>, providing informal and confidential support at short notice to employees</w:t>
      </w:r>
      <w:r w:rsidRPr="00686D8E">
        <w:t>. The Peer Support Network model is based on active listening, clarification and referral to appropriate services.</w:t>
      </w:r>
    </w:p>
    <w:p w14:paraId="39171AFC" w14:textId="2631D8BD" w:rsidR="007D61FB" w:rsidRPr="00D657EB" w:rsidRDefault="007D61FB" w:rsidP="00B029C3">
      <w:pPr>
        <w:pStyle w:val="ARbody"/>
        <w:rPr>
          <w:highlight w:val="cyan"/>
        </w:rPr>
      </w:pPr>
      <w:r w:rsidRPr="00686D8E">
        <w:t xml:space="preserve">There are </w:t>
      </w:r>
      <w:r w:rsidRPr="00285296">
        <w:t xml:space="preserve">43 </w:t>
      </w:r>
      <w:r w:rsidRPr="00686D8E">
        <w:t>trained peer supporters in</w:t>
      </w:r>
      <w:r>
        <w:t xml:space="preserve"> </w:t>
      </w:r>
      <w:r w:rsidRPr="00686D8E">
        <w:t>the</w:t>
      </w:r>
      <w:r w:rsidR="008B0347">
        <w:t> </w:t>
      </w:r>
      <w:r w:rsidRPr="00686D8E">
        <w:t>department.</w:t>
      </w:r>
    </w:p>
    <w:p w14:paraId="46731588" w14:textId="2D65902F" w:rsidR="007D61FB" w:rsidRDefault="007D61FB" w:rsidP="00B029C3">
      <w:pPr>
        <w:pStyle w:val="ARbody"/>
        <w:rPr>
          <w:highlight w:val="cyan"/>
        </w:rPr>
      </w:pPr>
      <w:r w:rsidRPr="0017151D">
        <w:t xml:space="preserve">Critical Incident Support </w:t>
      </w:r>
      <w:r w:rsidR="004154E7">
        <w:t>supports</w:t>
      </w:r>
      <w:r w:rsidRPr="0017151D">
        <w:t xml:space="preserve"> </w:t>
      </w:r>
      <w:r w:rsidRPr="00B029C3">
        <w:t>employees</w:t>
      </w:r>
      <w:r w:rsidRPr="0017151D">
        <w:t xml:space="preserve"> who have witnessed or have been involved in a critical incident in the course of their work. The model of support is based on Psychological First Aid</w:t>
      </w:r>
      <w:r w:rsidR="004154E7">
        <w:t>,</w:t>
      </w:r>
      <w:r w:rsidRPr="0017151D">
        <w:t xml:space="preserve"> which provides support and care to meet </w:t>
      </w:r>
      <w:r>
        <w:t>an employee</w:t>
      </w:r>
      <w:r w:rsidR="00711AE6">
        <w:t>’</w:t>
      </w:r>
      <w:r>
        <w:t>s</w:t>
      </w:r>
      <w:r w:rsidRPr="0017151D">
        <w:t xml:space="preserve"> immediate needs and minimise negative reactions following exposure to</w:t>
      </w:r>
      <w:r w:rsidR="006B2EA1">
        <w:t> </w:t>
      </w:r>
      <w:r w:rsidRPr="0017151D">
        <w:t>a</w:t>
      </w:r>
      <w:r w:rsidR="00B029C3">
        <w:t> </w:t>
      </w:r>
      <w:r w:rsidRPr="0017151D">
        <w:t xml:space="preserve">critical </w:t>
      </w:r>
      <w:r w:rsidRPr="00686D8E">
        <w:t>incident.</w:t>
      </w:r>
    </w:p>
    <w:p w14:paraId="480DD008" w14:textId="78038E30" w:rsidR="007D61FB" w:rsidRPr="00A9228A" w:rsidRDefault="007D61FB" w:rsidP="00B029C3">
      <w:pPr>
        <w:pStyle w:val="ARbodybold"/>
      </w:pPr>
      <w:r w:rsidRPr="00A9228A">
        <w:t>Improvement measures in 2023</w:t>
      </w:r>
      <w:r w:rsidR="005B7C9B">
        <w:t>–</w:t>
      </w:r>
      <w:r w:rsidRPr="00A9228A">
        <w:t>24 included:</w:t>
      </w:r>
    </w:p>
    <w:p w14:paraId="54F2A3A3" w14:textId="77777777" w:rsidR="007D61FB" w:rsidRDefault="007D61FB">
      <w:pPr>
        <w:pStyle w:val="ARbullet1"/>
      </w:pPr>
      <w:r w:rsidRPr="005A14FD">
        <w:t>piloting a suicide awareness training program to reduce the stigma associated with suicide and self-harm and equip man</w:t>
      </w:r>
      <w:r>
        <w:t>a</w:t>
      </w:r>
      <w:r w:rsidRPr="005A14FD">
        <w:t>gers and staff to support staff and clients who might be experiencing thoughts of suicide and self-harm</w:t>
      </w:r>
    </w:p>
    <w:p w14:paraId="0D10A778" w14:textId="6231C11B" w:rsidR="00502085" w:rsidRPr="005A14FD" w:rsidRDefault="007D61FB" w:rsidP="008B0347">
      <w:pPr>
        <w:pStyle w:val="ARbullet1"/>
      </w:pPr>
      <w:r w:rsidRPr="008B0347">
        <w:t>establishment</w:t>
      </w:r>
      <w:r>
        <w:t xml:space="preserve"> of the new Peer Support Network for the department (separating from a shared service managed by Department of Health)</w:t>
      </w:r>
    </w:p>
    <w:p w14:paraId="11C9E898" w14:textId="5C16681C" w:rsidR="00FA19C5" w:rsidRDefault="007D61FB" w:rsidP="008568A4">
      <w:pPr>
        <w:pStyle w:val="ARbullet1"/>
      </w:pPr>
      <w:r w:rsidRPr="00A33942">
        <w:t>provision of vicarious trauma training</w:t>
      </w:r>
      <w:r>
        <w:t xml:space="preserve"> and</w:t>
      </w:r>
      <w:r w:rsidRPr="00A33942">
        <w:t xml:space="preserve"> information to increase awareness of the impact of exposure to trauma and how to manage this hazard proactively in the workplace</w:t>
      </w:r>
    </w:p>
    <w:p w14:paraId="5E39560F" w14:textId="47A4A139" w:rsidR="007D61FB" w:rsidRDefault="007D61FB" w:rsidP="001D5E21">
      <w:pPr>
        <w:pStyle w:val="ARbullet1"/>
      </w:pPr>
      <w:r w:rsidRPr="00DB5F81">
        <w:t xml:space="preserve">provision of Fitness Passport offering </w:t>
      </w:r>
      <w:r>
        <w:t xml:space="preserve">to </w:t>
      </w:r>
      <w:r w:rsidRPr="00DB5F81">
        <w:t xml:space="preserve">employees and their family members </w:t>
      </w:r>
      <w:r>
        <w:t>with</w:t>
      </w:r>
      <w:r w:rsidRPr="00DB5F81">
        <w:t xml:space="preserve"> discounted membership fees and access to fitness and lifestyle facilities across Victoria</w:t>
      </w:r>
      <w:r>
        <w:t>.</w:t>
      </w:r>
    </w:p>
    <w:p w14:paraId="58A76586" w14:textId="13BFAD18" w:rsidR="007D61FB" w:rsidRPr="00A9228A" w:rsidRDefault="007D61FB" w:rsidP="00333387">
      <w:pPr>
        <w:pStyle w:val="Heading3"/>
      </w:pPr>
      <w:r w:rsidRPr="00A9228A">
        <w:t>Incident and injury management</w:t>
      </w:r>
    </w:p>
    <w:p w14:paraId="28EEAAFC" w14:textId="1338E51C" w:rsidR="007D61FB" w:rsidRDefault="007D61FB">
      <w:pPr>
        <w:pStyle w:val="ARbody"/>
      </w:pPr>
      <w:r>
        <w:rPr>
          <w:lang w:eastAsia="en-AU"/>
        </w:rPr>
        <w:t>In 2023</w:t>
      </w:r>
      <w:r w:rsidR="005B7C9B">
        <w:rPr>
          <w:lang w:eastAsia="en-AU"/>
        </w:rPr>
        <w:t>–</w:t>
      </w:r>
      <w:r>
        <w:rPr>
          <w:lang w:eastAsia="en-AU"/>
        </w:rPr>
        <w:t xml:space="preserve">24, the department experienced </w:t>
      </w:r>
      <w:r w:rsidRPr="005B51C9">
        <w:rPr>
          <w:lang w:eastAsia="en-AU"/>
        </w:rPr>
        <w:t xml:space="preserve">a </w:t>
      </w:r>
      <w:r>
        <w:rPr>
          <w:lang w:eastAsia="en-AU"/>
        </w:rPr>
        <w:t>14.7</w:t>
      </w:r>
      <w:r w:rsidR="00F95AC7">
        <w:rPr>
          <w:lang w:eastAsia="en-AU"/>
        </w:rPr>
        <w:t>%</w:t>
      </w:r>
      <w:r>
        <w:rPr>
          <w:lang w:eastAsia="en-AU"/>
        </w:rPr>
        <w:t xml:space="preserve"> increase in incidents reported by employees compared with 2022</w:t>
      </w:r>
      <w:r w:rsidR="005B7C9B">
        <w:rPr>
          <w:lang w:eastAsia="en-AU"/>
        </w:rPr>
        <w:t>–</w:t>
      </w:r>
      <w:r>
        <w:rPr>
          <w:lang w:eastAsia="en-AU"/>
        </w:rPr>
        <w:t>23. The rate of incident reporting also increased by 16.2</w:t>
      </w:r>
      <w:r w:rsidR="00F95AC7">
        <w:rPr>
          <w:lang w:eastAsia="en-AU"/>
        </w:rPr>
        <w:t>%</w:t>
      </w:r>
      <w:r>
        <w:rPr>
          <w:lang w:eastAsia="en-AU"/>
        </w:rPr>
        <w:t>.</w:t>
      </w:r>
    </w:p>
    <w:p w14:paraId="2A454693" w14:textId="6034F946" w:rsidR="007D61FB" w:rsidRDefault="007D61FB">
      <w:pPr>
        <w:pStyle w:val="ARbody"/>
        <w:rPr>
          <w:lang w:eastAsia="en-AU"/>
        </w:rPr>
      </w:pPr>
      <w:r>
        <w:rPr>
          <w:lang w:eastAsia="en-AU"/>
        </w:rPr>
        <w:t>There was also an increase in the number of hazards reported in 2023</w:t>
      </w:r>
      <w:r w:rsidR="005B7C9B">
        <w:rPr>
          <w:lang w:eastAsia="en-AU"/>
        </w:rPr>
        <w:t>–</w:t>
      </w:r>
      <w:r>
        <w:rPr>
          <w:lang w:eastAsia="en-AU"/>
        </w:rPr>
        <w:t>24 compared with the prior year of 5.4</w:t>
      </w:r>
      <w:r w:rsidR="00F95AC7">
        <w:rPr>
          <w:lang w:eastAsia="en-AU"/>
        </w:rPr>
        <w:t>%</w:t>
      </w:r>
      <w:r>
        <w:rPr>
          <w:lang w:eastAsia="en-AU"/>
        </w:rPr>
        <w:t>, and an increase in the rate of hazard reporting of 6.7</w:t>
      </w:r>
      <w:r w:rsidR="00F95AC7">
        <w:rPr>
          <w:lang w:eastAsia="en-AU"/>
        </w:rPr>
        <w:t>%</w:t>
      </w:r>
      <w:r>
        <w:rPr>
          <w:lang w:eastAsia="en-AU"/>
        </w:rPr>
        <w:t>.</w:t>
      </w:r>
      <w:r w:rsidR="006B2EA1">
        <w:rPr>
          <w:lang w:eastAsia="en-AU"/>
        </w:rPr>
        <w:br w:type="column"/>
      </w:r>
      <w:r>
        <w:rPr>
          <w:lang w:eastAsia="en-AU"/>
        </w:rPr>
        <w:t>The department strongly encourages employees to report hazards and incidents so that these can be responded to either at the local level or systematically across the department. This assists the department to identify employees at risk of injury and to intervene early to prevent injury or illness or to prevent further exacerbation of injury or</w:t>
      </w:r>
      <w:r w:rsidR="008B0347">
        <w:rPr>
          <w:lang w:eastAsia="en-AU"/>
        </w:rPr>
        <w:t> </w:t>
      </w:r>
      <w:r>
        <w:rPr>
          <w:lang w:eastAsia="en-AU"/>
        </w:rPr>
        <w:t>illness.</w:t>
      </w:r>
      <w:r w:rsidR="00E570E2">
        <w:rPr>
          <w:lang w:eastAsia="en-AU"/>
        </w:rPr>
        <w:t xml:space="preserve"> </w:t>
      </w:r>
    </w:p>
    <w:p w14:paraId="3EB13039" w14:textId="04BB41A0" w:rsidR="007D61FB" w:rsidRPr="005D6D8D" w:rsidRDefault="007D61FB">
      <w:pPr>
        <w:pStyle w:val="ARbody"/>
        <w:rPr>
          <w:lang w:eastAsia="en-AU"/>
        </w:rPr>
      </w:pPr>
      <w:r w:rsidRPr="005D6D8D">
        <w:rPr>
          <w:lang w:eastAsia="en-AU"/>
        </w:rPr>
        <w:t>The department has a defined procedure for incident reporting and investigation that requires assessment of the risk and development of corrective actions for all incidents reported. Some incidents will require further investigation. During 2023</w:t>
      </w:r>
      <w:r w:rsidR="005B7C9B">
        <w:rPr>
          <w:lang w:eastAsia="en-AU"/>
        </w:rPr>
        <w:t>–</w:t>
      </w:r>
      <w:r w:rsidRPr="005D6D8D">
        <w:rPr>
          <w:lang w:eastAsia="en-AU"/>
        </w:rPr>
        <w:t>24, 160 reported incidents (6.9</w:t>
      </w:r>
      <w:r w:rsidR="00F95AC7">
        <w:rPr>
          <w:lang w:eastAsia="en-AU"/>
        </w:rPr>
        <w:t>%</w:t>
      </w:r>
      <w:r w:rsidRPr="005D6D8D">
        <w:rPr>
          <w:lang w:eastAsia="en-AU"/>
        </w:rPr>
        <w:t xml:space="preserve">) required further investigation. </w:t>
      </w:r>
      <w:r>
        <w:rPr>
          <w:lang w:eastAsia="en-AU"/>
        </w:rPr>
        <w:t>The department notified WorkSafe Victoria of 12 notifiable incidents.</w:t>
      </w:r>
    </w:p>
    <w:p w14:paraId="2E93C4BD" w14:textId="63945974" w:rsidR="007D61FB" w:rsidRPr="005D6D8D" w:rsidRDefault="007D61FB">
      <w:pPr>
        <w:pStyle w:val="ARbody"/>
        <w:rPr>
          <w:lang w:eastAsia="en-AU"/>
        </w:rPr>
      </w:pPr>
      <w:r w:rsidRPr="005D6D8D">
        <w:rPr>
          <w:lang w:eastAsia="en-AU"/>
        </w:rPr>
        <w:t xml:space="preserve">The department has experienced </w:t>
      </w:r>
      <w:r>
        <w:rPr>
          <w:lang w:eastAsia="en-AU"/>
        </w:rPr>
        <w:t>15</w:t>
      </w:r>
      <w:r w:rsidRPr="005D6D8D">
        <w:rPr>
          <w:lang w:eastAsia="en-AU"/>
        </w:rPr>
        <w:t xml:space="preserve">% increase in standard claims per 100 </w:t>
      </w:r>
      <w:r w:rsidR="004154E7" w:rsidRPr="005D6D8D">
        <w:rPr>
          <w:lang w:eastAsia="en-AU"/>
        </w:rPr>
        <w:t>full</w:t>
      </w:r>
      <w:r w:rsidR="004154E7">
        <w:rPr>
          <w:lang w:eastAsia="en-AU"/>
        </w:rPr>
        <w:t>-</w:t>
      </w:r>
      <w:r w:rsidRPr="005D6D8D">
        <w:rPr>
          <w:lang w:eastAsia="en-AU"/>
        </w:rPr>
        <w:t>time equivalent (FTE)</w:t>
      </w:r>
      <w:r w:rsidR="00E32984">
        <w:rPr>
          <w:lang w:eastAsia="en-AU"/>
        </w:rPr>
        <w:t>,</w:t>
      </w:r>
      <w:r w:rsidRPr="005D6D8D">
        <w:rPr>
          <w:lang w:eastAsia="en-AU"/>
        </w:rPr>
        <w:t xml:space="preserve"> with a:</w:t>
      </w:r>
    </w:p>
    <w:p w14:paraId="75EF4BD1" w14:textId="77777777" w:rsidR="007D61FB" w:rsidRDefault="007D61FB" w:rsidP="0088621E">
      <w:pPr>
        <w:pStyle w:val="ARbullet1"/>
        <w:rPr>
          <w:lang w:eastAsia="en-AU"/>
        </w:rPr>
      </w:pPr>
      <w:r w:rsidRPr="005D6D8D">
        <w:rPr>
          <w:lang w:eastAsia="en-AU"/>
        </w:rPr>
        <w:t>2</w:t>
      </w:r>
      <w:r>
        <w:rPr>
          <w:lang w:eastAsia="en-AU"/>
        </w:rPr>
        <w:t>9</w:t>
      </w:r>
      <w:r w:rsidRPr="005D6D8D">
        <w:rPr>
          <w:lang w:eastAsia="en-AU"/>
        </w:rPr>
        <w:t>.</w:t>
      </w:r>
      <w:r>
        <w:rPr>
          <w:lang w:eastAsia="en-AU"/>
        </w:rPr>
        <w:t>2</w:t>
      </w:r>
      <w:r w:rsidRPr="005D6D8D">
        <w:rPr>
          <w:lang w:eastAsia="en-AU"/>
        </w:rPr>
        <w:t>% increase in stress-related standard claims per 100 FTE</w:t>
      </w:r>
    </w:p>
    <w:p w14:paraId="783C83DD" w14:textId="744FF230" w:rsidR="007D61FB" w:rsidRDefault="007D61FB" w:rsidP="0088621E">
      <w:pPr>
        <w:pStyle w:val="ARbullet1"/>
        <w:rPr>
          <w:lang w:eastAsia="en-AU"/>
        </w:rPr>
      </w:pPr>
      <w:r>
        <w:rPr>
          <w:lang w:eastAsia="en-AU"/>
        </w:rPr>
        <w:t xml:space="preserve">17.1% decrease in muscular skeletal </w:t>
      </w:r>
      <w:r w:rsidR="006E2F2E">
        <w:rPr>
          <w:lang w:eastAsia="en-AU"/>
        </w:rPr>
        <w:br/>
      </w:r>
      <w:r>
        <w:rPr>
          <w:lang w:eastAsia="en-AU"/>
        </w:rPr>
        <w:t xml:space="preserve">disorder-related standard claims per </w:t>
      </w:r>
      <w:r w:rsidR="006E2F2E">
        <w:rPr>
          <w:lang w:eastAsia="en-AU"/>
        </w:rPr>
        <w:br/>
      </w:r>
      <w:r>
        <w:rPr>
          <w:lang w:eastAsia="en-AU"/>
        </w:rPr>
        <w:t>100 FTE</w:t>
      </w:r>
    </w:p>
    <w:p w14:paraId="449BA7B3" w14:textId="3A0B0A55" w:rsidR="007D61FB" w:rsidRDefault="007D61FB" w:rsidP="0088621E">
      <w:pPr>
        <w:pStyle w:val="ARbullet1"/>
        <w:rPr>
          <w:lang w:eastAsia="en-AU"/>
        </w:rPr>
      </w:pPr>
      <w:r>
        <w:rPr>
          <w:lang w:eastAsia="en-AU"/>
        </w:rPr>
        <w:t>4</w:t>
      </w:r>
      <w:r w:rsidRPr="005D6D8D">
        <w:rPr>
          <w:lang w:eastAsia="en-AU"/>
        </w:rPr>
        <w:t xml:space="preserve">% increase in </w:t>
      </w:r>
      <w:r>
        <w:rPr>
          <w:lang w:eastAsia="en-AU"/>
        </w:rPr>
        <w:t>lost time</w:t>
      </w:r>
      <w:r w:rsidRPr="005D6D8D">
        <w:rPr>
          <w:lang w:eastAsia="en-AU"/>
        </w:rPr>
        <w:t xml:space="preserve"> standard claims per</w:t>
      </w:r>
      <w:r w:rsidR="00C80CF3">
        <w:rPr>
          <w:lang w:eastAsia="en-AU"/>
        </w:rPr>
        <w:t> </w:t>
      </w:r>
      <w:r w:rsidRPr="005D6D8D">
        <w:rPr>
          <w:lang w:eastAsia="en-AU"/>
        </w:rPr>
        <w:t>100</w:t>
      </w:r>
      <w:r w:rsidR="00C80CF3">
        <w:rPr>
          <w:lang w:eastAsia="en-AU"/>
        </w:rPr>
        <w:t> </w:t>
      </w:r>
      <w:r w:rsidRPr="005D6D8D">
        <w:rPr>
          <w:lang w:eastAsia="en-AU"/>
        </w:rPr>
        <w:t>FTE</w:t>
      </w:r>
    </w:p>
    <w:p w14:paraId="332372E8" w14:textId="11776BD0" w:rsidR="00FF6FAB" w:rsidRDefault="007D61FB" w:rsidP="00AA126F">
      <w:pPr>
        <w:pStyle w:val="ARbullet1"/>
      </w:pPr>
      <w:r>
        <w:rPr>
          <w:lang w:eastAsia="en-AU"/>
        </w:rPr>
        <w:t>18.5% increase in 13-week standard claims per</w:t>
      </w:r>
      <w:r w:rsidR="00C80CF3">
        <w:rPr>
          <w:lang w:eastAsia="en-AU"/>
        </w:rPr>
        <w:t> </w:t>
      </w:r>
      <w:r>
        <w:rPr>
          <w:lang w:eastAsia="en-AU"/>
        </w:rPr>
        <w:t>100 FTE.</w:t>
      </w:r>
    </w:p>
    <w:p w14:paraId="227D65F4" w14:textId="62747BC2" w:rsidR="007D61FB" w:rsidRPr="00E01604" w:rsidRDefault="007D61FB" w:rsidP="00FF6FAB">
      <w:pPr>
        <w:pStyle w:val="ARbodybold"/>
      </w:pPr>
      <w:r w:rsidRPr="00E01604">
        <w:t>Improvement measures in 2023</w:t>
      </w:r>
      <w:r w:rsidR="005B7C9B">
        <w:t>–</w:t>
      </w:r>
      <w:r w:rsidRPr="00E01604">
        <w:t>24 included:</w:t>
      </w:r>
    </w:p>
    <w:p w14:paraId="3FBD1902" w14:textId="77777777" w:rsidR="007D61FB" w:rsidRDefault="007D61FB" w:rsidP="0088621E">
      <w:pPr>
        <w:pStyle w:val="ARbullet1"/>
      </w:pPr>
      <w:r>
        <w:t>provision of Employee Capacity Support by working with managers and staff to remain and recover at work or return to work early, safely and sustainably</w:t>
      </w:r>
    </w:p>
    <w:p w14:paraId="5475339F" w14:textId="77777777" w:rsidR="007D61FB" w:rsidRDefault="007D61FB" w:rsidP="0088621E">
      <w:pPr>
        <w:pStyle w:val="ARbullet1"/>
      </w:pPr>
      <w:r w:rsidRPr="00285296">
        <w:t>improved analysis of workers compensation, return to work and employee support data in collaboration with our insurer WorkSafe and employee support provider to identify trends, provide insights and inform decision making</w:t>
      </w:r>
    </w:p>
    <w:p w14:paraId="14F89E38" w14:textId="62C2E8D1" w:rsidR="0070315F" w:rsidRPr="00285296" w:rsidRDefault="007D61FB" w:rsidP="00922768">
      <w:pPr>
        <w:pStyle w:val="ARbullet1"/>
      </w:pPr>
      <w:r w:rsidRPr="00285296">
        <w:t>provision of InjuryNet to provide early support for staff who are injured at work to facilitate recovery and improve return to work outcomes</w:t>
      </w:r>
    </w:p>
    <w:p w14:paraId="4FE1864F" w14:textId="09853DF3" w:rsidR="007D61FB" w:rsidRPr="001D5E21" w:rsidRDefault="007D61FB" w:rsidP="001D5E21">
      <w:pPr>
        <w:pStyle w:val="ARbullet1"/>
      </w:pPr>
      <w:r w:rsidRPr="0070315F">
        <w:t>provision of tailored advice and support to managers seeking guidance on managing complex injuries and claims.</w:t>
      </w:r>
    </w:p>
    <w:p w14:paraId="109C841B" w14:textId="77777777" w:rsidR="007D61FB" w:rsidRDefault="007D61FB">
      <w:pPr>
        <w:pStyle w:val="ARbody"/>
        <w:keepNext/>
        <w:rPr>
          <w:highlight w:val="cyan"/>
        </w:rPr>
      </w:pPr>
    </w:p>
    <w:p w14:paraId="19EA77F1" w14:textId="3CFD0B69" w:rsidR="00645D26" w:rsidRDefault="00645D26" w:rsidP="00B3051F">
      <w:pPr>
        <w:pStyle w:val="ARbody"/>
        <w:rPr>
          <w:highlight w:val="cyan"/>
        </w:rPr>
      </w:pPr>
      <w:r>
        <w:rPr>
          <w:highlight w:val="cyan"/>
        </w:rPr>
        <w:br w:type="page"/>
      </w:r>
    </w:p>
    <w:p w14:paraId="52AB8001" w14:textId="77777777" w:rsidR="00FF6FAB" w:rsidRPr="00D657EB" w:rsidRDefault="00FF6FAB">
      <w:pPr>
        <w:pStyle w:val="ARbody"/>
        <w:keepNext/>
        <w:rPr>
          <w:highlight w:val="cyan"/>
        </w:rPr>
        <w:sectPr w:rsidR="00FF6FAB" w:rsidRPr="00D657EB"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48"/>
          <w:docGrid w:linePitch="299"/>
        </w:sectPr>
      </w:pPr>
    </w:p>
    <w:p w14:paraId="530819F6" w14:textId="54983220" w:rsidR="007D61FB" w:rsidRPr="007D36B4" w:rsidRDefault="007D61FB" w:rsidP="00A95A18">
      <w:pPr>
        <w:pStyle w:val="ARtablecaption"/>
      </w:pPr>
      <w:bookmarkStart w:id="193" w:name="Table6"/>
      <w:r w:rsidRPr="007D36B4">
        <w:t xml:space="preserve">Table </w:t>
      </w:r>
      <w:r w:rsidR="007746AA">
        <w:t>6</w:t>
      </w:r>
      <w:r w:rsidRPr="007D36B4">
        <w:t xml:space="preserve">: The </w:t>
      </w:r>
      <w:r w:rsidRPr="007F0ADA">
        <w:t>department</w:t>
      </w:r>
      <w:r w:rsidR="00711AE6">
        <w:t>’</w:t>
      </w:r>
      <w:r w:rsidRPr="007F0ADA">
        <w:t>s</w:t>
      </w:r>
      <w:r w:rsidRPr="007D36B4">
        <w:t xml:space="preserve"> performance against health and safety management measures</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2A0" w:firstRow="1" w:lastRow="0" w:firstColumn="1" w:lastColumn="0" w:noHBand="1" w:noVBand="0"/>
      </w:tblPr>
      <w:tblGrid>
        <w:gridCol w:w="2193"/>
        <w:gridCol w:w="4431"/>
        <w:gridCol w:w="909"/>
        <w:gridCol w:w="909"/>
        <w:gridCol w:w="1180"/>
      </w:tblGrid>
      <w:tr w:rsidR="007D61FB" w:rsidRPr="00D657EB" w14:paraId="1564D1DD" w14:textId="77777777" w:rsidTr="006B2EA1">
        <w:trPr>
          <w:cantSplit/>
          <w:tblHeader/>
        </w:trPr>
        <w:tc>
          <w:tcPr>
            <w:tcW w:w="1170" w:type="pct"/>
            <w:vAlign w:val="bottom"/>
          </w:tcPr>
          <w:bookmarkEnd w:id="193"/>
          <w:p w14:paraId="78D8E228" w14:textId="77777777" w:rsidR="007D61FB" w:rsidRPr="007F0ADA" w:rsidRDefault="007D61FB" w:rsidP="007F0ADA">
            <w:pPr>
              <w:pStyle w:val="ARtablecolhead"/>
            </w:pPr>
            <w:r w:rsidRPr="007F0ADA">
              <w:t>Measure</w:t>
            </w:r>
          </w:p>
        </w:tc>
        <w:tc>
          <w:tcPr>
            <w:tcW w:w="2333" w:type="pct"/>
            <w:tcBorders>
              <w:bottom w:val="single" w:sz="4" w:space="0" w:color="auto"/>
            </w:tcBorders>
            <w:vAlign w:val="bottom"/>
          </w:tcPr>
          <w:p w14:paraId="33691909" w14:textId="77777777" w:rsidR="007D61FB" w:rsidRPr="007F0ADA" w:rsidRDefault="007D61FB" w:rsidP="007F0ADA">
            <w:pPr>
              <w:pStyle w:val="ARtablecolhead"/>
            </w:pPr>
            <w:r w:rsidRPr="007F0ADA">
              <w:t>Key performance indicator</w:t>
            </w:r>
          </w:p>
        </w:tc>
        <w:tc>
          <w:tcPr>
            <w:tcW w:w="499" w:type="pct"/>
            <w:tcBorders>
              <w:bottom w:val="single" w:sz="4" w:space="0" w:color="auto"/>
            </w:tcBorders>
          </w:tcPr>
          <w:p w14:paraId="61F23586" w14:textId="48B84962" w:rsidR="007D61FB" w:rsidRPr="007F0ADA" w:rsidRDefault="007D61FB" w:rsidP="007F0ADA">
            <w:pPr>
              <w:pStyle w:val="ARtablecolheadright"/>
            </w:pPr>
            <w:r w:rsidRPr="007F0ADA">
              <w:t>2021</w:t>
            </w:r>
            <w:r w:rsidR="005B7C9B">
              <w:t>–</w:t>
            </w:r>
            <w:r w:rsidRPr="007F0ADA">
              <w:t>22</w:t>
            </w:r>
          </w:p>
        </w:tc>
        <w:tc>
          <w:tcPr>
            <w:tcW w:w="351" w:type="pct"/>
            <w:tcBorders>
              <w:bottom w:val="single" w:sz="4" w:space="0" w:color="auto"/>
            </w:tcBorders>
          </w:tcPr>
          <w:p w14:paraId="23FC4BEB" w14:textId="294CC83D" w:rsidR="007D61FB" w:rsidRPr="007F0ADA" w:rsidRDefault="007D61FB" w:rsidP="007F0ADA">
            <w:pPr>
              <w:pStyle w:val="ARtablecolheadright"/>
            </w:pPr>
            <w:r w:rsidRPr="007F0ADA">
              <w:t>2022</w:t>
            </w:r>
            <w:r w:rsidR="005B7C9B">
              <w:t>–</w:t>
            </w:r>
            <w:r w:rsidRPr="007F0ADA">
              <w:t>23</w:t>
            </w:r>
          </w:p>
        </w:tc>
        <w:tc>
          <w:tcPr>
            <w:tcW w:w="647" w:type="pct"/>
            <w:tcBorders>
              <w:bottom w:val="single" w:sz="4" w:space="0" w:color="auto"/>
            </w:tcBorders>
          </w:tcPr>
          <w:p w14:paraId="20F941FA" w14:textId="0A6FE285" w:rsidR="007D61FB" w:rsidRPr="007F0ADA" w:rsidRDefault="007D61FB" w:rsidP="007F0ADA">
            <w:pPr>
              <w:pStyle w:val="ARtablecolheadright"/>
            </w:pPr>
            <w:r w:rsidRPr="007F0ADA">
              <w:t>2023</w:t>
            </w:r>
            <w:r w:rsidR="005B7C9B">
              <w:t>–</w:t>
            </w:r>
            <w:r w:rsidRPr="007F0ADA">
              <w:t>24</w:t>
            </w:r>
          </w:p>
        </w:tc>
      </w:tr>
      <w:tr w:rsidR="007D61FB" w:rsidRPr="00D657EB" w14:paraId="77C87E55" w14:textId="77777777" w:rsidTr="006B2EA1">
        <w:trPr>
          <w:cantSplit/>
        </w:trPr>
        <w:tc>
          <w:tcPr>
            <w:tcW w:w="1170" w:type="pct"/>
            <w:vMerge w:val="restart"/>
          </w:tcPr>
          <w:p w14:paraId="57D3CE0C" w14:textId="77777777" w:rsidR="007D61FB" w:rsidRPr="007D36B4" w:rsidRDefault="007D61FB">
            <w:pPr>
              <w:pStyle w:val="ARtabletext"/>
            </w:pPr>
            <w:r w:rsidRPr="007D36B4">
              <w:t>Hazards</w:t>
            </w:r>
          </w:p>
        </w:tc>
        <w:tc>
          <w:tcPr>
            <w:tcW w:w="2333" w:type="pct"/>
            <w:tcBorders>
              <w:top w:val="single" w:sz="4" w:space="0" w:color="auto"/>
              <w:bottom w:val="single" w:sz="2" w:space="0" w:color="A6A6A6" w:themeColor="accent5"/>
            </w:tcBorders>
          </w:tcPr>
          <w:p w14:paraId="73947620" w14:textId="77777777" w:rsidR="007D61FB" w:rsidRPr="007D36B4" w:rsidRDefault="007D61FB">
            <w:pPr>
              <w:pStyle w:val="ARtabletext"/>
            </w:pPr>
            <w:r w:rsidRPr="007D36B4">
              <w:t>Number of hazards</w:t>
            </w:r>
          </w:p>
        </w:tc>
        <w:tc>
          <w:tcPr>
            <w:tcW w:w="499" w:type="pct"/>
            <w:tcBorders>
              <w:top w:val="single" w:sz="4" w:space="0" w:color="auto"/>
              <w:bottom w:val="single" w:sz="2" w:space="0" w:color="A6A6A6" w:themeColor="accent5"/>
            </w:tcBorders>
          </w:tcPr>
          <w:p w14:paraId="2184ACAD" w14:textId="77777777" w:rsidR="007D61FB" w:rsidRPr="007D36B4" w:rsidRDefault="007D61FB" w:rsidP="007F0ADA">
            <w:pPr>
              <w:pStyle w:val="ARtabletextright"/>
            </w:pPr>
            <w:r>
              <w:t>540</w:t>
            </w:r>
          </w:p>
        </w:tc>
        <w:tc>
          <w:tcPr>
            <w:tcW w:w="351" w:type="pct"/>
            <w:tcBorders>
              <w:top w:val="single" w:sz="4" w:space="0" w:color="auto"/>
              <w:bottom w:val="single" w:sz="2" w:space="0" w:color="A6A6A6" w:themeColor="accent5"/>
            </w:tcBorders>
          </w:tcPr>
          <w:p w14:paraId="79E136D8" w14:textId="77777777" w:rsidR="007D61FB" w:rsidRPr="007D36B4" w:rsidRDefault="007D61FB" w:rsidP="007F0ADA">
            <w:pPr>
              <w:pStyle w:val="ARtabletextright"/>
            </w:pPr>
            <w:r w:rsidRPr="007D36B4">
              <w:t>734</w:t>
            </w:r>
          </w:p>
        </w:tc>
        <w:tc>
          <w:tcPr>
            <w:tcW w:w="647" w:type="pct"/>
            <w:tcBorders>
              <w:top w:val="single" w:sz="4" w:space="0" w:color="auto"/>
              <w:bottom w:val="single" w:sz="2" w:space="0" w:color="A6A6A6" w:themeColor="accent5"/>
            </w:tcBorders>
          </w:tcPr>
          <w:p w14:paraId="5002000B" w14:textId="77777777" w:rsidR="007D61FB" w:rsidRPr="006C110C" w:rsidRDefault="007D61FB" w:rsidP="007F0ADA">
            <w:pPr>
              <w:pStyle w:val="ARtabletextright"/>
            </w:pPr>
            <w:r w:rsidRPr="006C110C">
              <w:t>774</w:t>
            </w:r>
          </w:p>
        </w:tc>
      </w:tr>
      <w:tr w:rsidR="007D61FB" w:rsidRPr="00D657EB" w14:paraId="2818EFAA" w14:textId="77777777" w:rsidTr="006B2EA1">
        <w:trPr>
          <w:cantSplit/>
        </w:trPr>
        <w:tc>
          <w:tcPr>
            <w:tcW w:w="1170" w:type="pct"/>
            <w:vMerge/>
          </w:tcPr>
          <w:p w14:paraId="61A38900" w14:textId="77777777" w:rsidR="007D61FB" w:rsidRPr="007D36B4" w:rsidRDefault="007D61FB">
            <w:pPr>
              <w:pStyle w:val="ARtabletext"/>
            </w:pPr>
          </w:p>
        </w:tc>
        <w:tc>
          <w:tcPr>
            <w:tcW w:w="2333" w:type="pct"/>
            <w:tcBorders>
              <w:top w:val="single" w:sz="2" w:space="0" w:color="A6A6A6" w:themeColor="accent5"/>
              <w:bottom w:val="single" w:sz="4" w:space="0" w:color="auto"/>
            </w:tcBorders>
          </w:tcPr>
          <w:p w14:paraId="59CBA43C" w14:textId="77777777" w:rsidR="007D61FB" w:rsidRPr="007D36B4" w:rsidRDefault="007D61FB">
            <w:pPr>
              <w:pStyle w:val="ARtabletext"/>
            </w:pPr>
            <w:r w:rsidRPr="007D36B4">
              <w:t>Rate per 100 FTE</w:t>
            </w:r>
          </w:p>
        </w:tc>
        <w:tc>
          <w:tcPr>
            <w:tcW w:w="499" w:type="pct"/>
            <w:tcBorders>
              <w:top w:val="single" w:sz="2" w:space="0" w:color="A6A6A6" w:themeColor="accent5"/>
              <w:bottom w:val="single" w:sz="4" w:space="0" w:color="auto"/>
            </w:tcBorders>
          </w:tcPr>
          <w:p w14:paraId="74686677" w14:textId="77777777" w:rsidR="007D61FB" w:rsidRPr="007D36B4" w:rsidRDefault="007D61FB" w:rsidP="007F0ADA">
            <w:pPr>
              <w:pStyle w:val="ARtabletextright"/>
            </w:pPr>
            <w:r>
              <w:t>8.09</w:t>
            </w:r>
          </w:p>
        </w:tc>
        <w:tc>
          <w:tcPr>
            <w:tcW w:w="351" w:type="pct"/>
            <w:tcBorders>
              <w:top w:val="single" w:sz="2" w:space="0" w:color="A6A6A6" w:themeColor="accent5"/>
              <w:bottom w:val="single" w:sz="4" w:space="0" w:color="auto"/>
            </w:tcBorders>
          </w:tcPr>
          <w:p w14:paraId="642FC6CF" w14:textId="77777777" w:rsidR="007D61FB" w:rsidRPr="007D36B4" w:rsidRDefault="007D61FB" w:rsidP="007F0ADA">
            <w:pPr>
              <w:pStyle w:val="ARtabletextright"/>
            </w:pPr>
            <w:r w:rsidRPr="007D36B4">
              <w:t>10.86</w:t>
            </w:r>
          </w:p>
        </w:tc>
        <w:tc>
          <w:tcPr>
            <w:tcW w:w="647" w:type="pct"/>
            <w:tcBorders>
              <w:top w:val="single" w:sz="2" w:space="0" w:color="A6A6A6" w:themeColor="accent5"/>
              <w:bottom w:val="single" w:sz="4" w:space="0" w:color="auto"/>
            </w:tcBorders>
          </w:tcPr>
          <w:p w14:paraId="17EADC7A" w14:textId="77777777" w:rsidR="007D61FB" w:rsidRPr="00D657EB" w:rsidRDefault="007D61FB" w:rsidP="007F0ADA">
            <w:pPr>
              <w:pStyle w:val="ARtabletextright"/>
              <w:rPr>
                <w:highlight w:val="cyan"/>
              </w:rPr>
            </w:pPr>
            <w:r w:rsidRPr="006C110C">
              <w:t>11.59</w:t>
            </w:r>
          </w:p>
        </w:tc>
      </w:tr>
      <w:tr w:rsidR="007D61FB" w:rsidRPr="00D657EB" w14:paraId="4B163B63" w14:textId="77777777" w:rsidTr="006B2EA1">
        <w:trPr>
          <w:cantSplit/>
        </w:trPr>
        <w:tc>
          <w:tcPr>
            <w:tcW w:w="1170" w:type="pct"/>
            <w:vMerge w:val="restart"/>
            <w:tcBorders>
              <w:top w:val="nil"/>
            </w:tcBorders>
          </w:tcPr>
          <w:p w14:paraId="5FAF2133" w14:textId="77777777" w:rsidR="007D61FB" w:rsidRPr="007D36B4" w:rsidRDefault="007D61FB">
            <w:pPr>
              <w:pStyle w:val="ARtabletext"/>
            </w:pPr>
            <w:r w:rsidRPr="007D36B4">
              <w:t>Incidents</w:t>
            </w:r>
          </w:p>
        </w:tc>
        <w:tc>
          <w:tcPr>
            <w:tcW w:w="2333" w:type="pct"/>
            <w:tcBorders>
              <w:top w:val="single" w:sz="4" w:space="0" w:color="auto"/>
              <w:bottom w:val="single" w:sz="2" w:space="0" w:color="A6A6A6" w:themeColor="accent5"/>
            </w:tcBorders>
          </w:tcPr>
          <w:p w14:paraId="5C999690" w14:textId="77777777" w:rsidR="007D61FB" w:rsidRPr="007D36B4" w:rsidRDefault="007D61FB">
            <w:pPr>
              <w:pStyle w:val="ARtabletext"/>
            </w:pPr>
            <w:r w:rsidRPr="007D36B4">
              <w:t>Number of incidents</w:t>
            </w:r>
          </w:p>
        </w:tc>
        <w:tc>
          <w:tcPr>
            <w:tcW w:w="499" w:type="pct"/>
            <w:tcBorders>
              <w:top w:val="single" w:sz="4" w:space="0" w:color="auto"/>
              <w:bottom w:val="single" w:sz="2" w:space="0" w:color="A6A6A6" w:themeColor="accent5"/>
            </w:tcBorders>
          </w:tcPr>
          <w:p w14:paraId="0B3207E1" w14:textId="77777777" w:rsidR="007D61FB" w:rsidRPr="007D36B4" w:rsidRDefault="007D61FB" w:rsidP="007F0ADA">
            <w:pPr>
              <w:pStyle w:val="ARtabletextright"/>
            </w:pPr>
            <w:r>
              <w:t>1,545</w:t>
            </w:r>
          </w:p>
        </w:tc>
        <w:tc>
          <w:tcPr>
            <w:tcW w:w="351" w:type="pct"/>
            <w:tcBorders>
              <w:top w:val="single" w:sz="4" w:space="0" w:color="auto"/>
              <w:bottom w:val="single" w:sz="2" w:space="0" w:color="A6A6A6" w:themeColor="accent5"/>
            </w:tcBorders>
          </w:tcPr>
          <w:p w14:paraId="1964F5FE" w14:textId="77777777" w:rsidR="007D61FB" w:rsidRPr="007D36B4" w:rsidRDefault="007D61FB" w:rsidP="007F0ADA">
            <w:pPr>
              <w:pStyle w:val="ARtabletextright"/>
            </w:pPr>
            <w:r w:rsidRPr="007D36B4">
              <w:t>2,007</w:t>
            </w:r>
          </w:p>
        </w:tc>
        <w:tc>
          <w:tcPr>
            <w:tcW w:w="647" w:type="pct"/>
            <w:tcBorders>
              <w:top w:val="single" w:sz="4" w:space="0" w:color="auto"/>
              <w:bottom w:val="single" w:sz="2" w:space="0" w:color="A6A6A6" w:themeColor="accent5"/>
            </w:tcBorders>
          </w:tcPr>
          <w:p w14:paraId="513DCE0A" w14:textId="77777777" w:rsidR="007D61FB" w:rsidRPr="00D657EB" w:rsidRDefault="007D61FB" w:rsidP="007F0ADA">
            <w:pPr>
              <w:pStyle w:val="ARtabletextright"/>
              <w:rPr>
                <w:highlight w:val="cyan"/>
              </w:rPr>
            </w:pPr>
            <w:r w:rsidRPr="00851985">
              <w:t>2,302</w:t>
            </w:r>
          </w:p>
        </w:tc>
      </w:tr>
      <w:tr w:rsidR="007D61FB" w:rsidRPr="00D657EB" w14:paraId="7D999D74" w14:textId="77777777" w:rsidTr="006B2EA1">
        <w:trPr>
          <w:cantSplit/>
        </w:trPr>
        <w:tc>
          <w:tcPr>
            <w:tcW w:w="1170" w:type="pct"/>
            <w:vMerge/>
          </w:tcPr>
          <w:p w14:paraId="2EF11211" w14:textId="77777777" w:rsidR="007D61FB" w:rsidRPr="007D36B4" w:rsidRDefault="007D61FB">
            <w:pPr>
              <w:pStyle w:val="ARtabletext"/>
            </w:pPr>
          </w:p>
        </w:tc>
        <w:tc>
          <w:tcPr>
            <w:tcW w:w="2333" w:type="pct"/>
            <w:tcBorders>
              <w:top w:val="single" w:sz="2" w:space="0" w:color="A6A6A6" w:themeColor="accent5"/>
              <w:bottom w:val="single" w:sz="2" w:space="0" w:color="A6A6A6" w:themeColor="accent5"/>
            </w:tcBorders>
          </w:tcPr>
          <w:p w14:paraId="714EEC7E" w14:textId="77777777" w:rsidR="007D61FB" w:rsidRPr="007D36B4" w:rsidRDefault="007D61FB">
            <w:pPr>
              <w:pStyle w:val="ARtabletext"/>
            </w:pPr>
            <w:r w:rsidRPr="007D36B4">
              <w:t>Rate per 100 FTE</w:t>
            </w:r>
          </w:p>
        </w:tc>
        <w:tc>
          <w:tcPr>
            <w:tcW w:w="499" w:type="pct"/>
            <w:tcBorders>
              <w:top w:val="single" w:sz="2" w:space="0" w:color="A6A6A6" w:themeColor="accent5"/>
              <w:bottom w:val="single" w:sz="2" w:space="0" w:color="A6A6A6" w:themeColor="accent5"/>
            </w:tcBorders>
          </w:tcPr>
          <w:p w14:paraId="7BD38133" w14:textId="77777777" w:rsidR="007D61FB" w:rsidRPr="007D36B4" w:rsidRDefault="007D61FB" w:rsidP="007F0ADA">
            <w:pPr>
              <w:pStyle w:val="ARtabletextright"/>
            </w:pPr>
            <w:r>
              <w:t>23.15</w:t>
            </w:r>
          </w:p>
        </w:tc>
        <w:tc>
          <w:tcPr>
            <w:tcW w:w="351" w:type="pct"/>
            <w:tcBorders>
              <w:top w:val="single" w:sz="2" w:space="0" w:color="A6A6A6" w:themeColor="accent5"/>
              <w:bottom w:val="single" w:sz="2" w:space="0" w:color="A6A6A6" w:themeColor="accent5"/>
            </w:tcBorders>
          </w:tcPr>
          <w:p w14:paraId="7C10833A" w14:textId="77777777" w:rsidR="007D61FB" w:rsidRPr="007D36B4" w:rsidRDefault="007D61FB" w:rsidP="007F0ADA">
            <w:pPr>
              <w:pStyle w:val="ARtabletextright"/>
            </w:pPr>
            <w:r w:rsidRPr="007D36B4">
              <w:t>29.69</w:t>
            </w:r>
          </w:p>
        </w:tc>
        <w:tc>
          <w:tcPr>
            <w:tcW w:w="647" w:type="pct"/>
            <w:tcBorders>
              <w:top w:val="single" w:sz="2" w:space="0" w:color="A6A6A6" w:themeColor="accent5"/>
              <w:bottom w:val="single" w:sz="2" w:space="0" w:color="A6A6A6" w:themeColor="accent5"/>
            </w:tcBorders>
          </w:tcPr>
          <w:p w14:paraId="20873219" w14:textId="77777777" w:rsidR="007D61FB" w:rsidRPr="00D657EB" w:rsidRDefault="007D61FB" w:rsidP="007F0ADA">
            <w:pPr>
              <w:pStyle w:val="ARtabletextright"/>
              <w:rPr>
                <w:highlight w:val="cyan"/>
              </w:rPr>
            </w:pPr>
            <w:r w:rsidRPr="001A2B9D">
              <w:t>34.49</w:t>
            </w:r>
          </w:p>
        </w:tc>
      </w:tr>
      <w:tr w:rsidR="007D61FB" w:rsidRPr="00D657EB" w14:paraId="5B8D32CD" w14:textId="77777777" w:rsidTr="006B2EA1">
        <w:trPr>
          <w:cantSplit/>
        </w:trPr>
        <w:tc>
          <w:tcPr>
            <w:tcW w:w="1170" w:type="pct"/>
            <w:vMerge/>
          </w:tcPr>
          <w:p w14:paraId="093A6A13" w14:textId="77777777" w:rsidR="007D61FB" w:rsidRPr="007D36B4" w:rsidRDefault="007D61FB">
            <w:pPr>
              <w:pStyle w:val="ARtabletext"/>
            </w:pPr>
          </w:p>
        </w:tc>
        <w:tc>
          <w:tcPr>
            <w:tcW w:w="2333" w:type="pct"/>
            <w:tcBorders>
              <w:top w:val="single" w:sz="2" w:space="0" w:color="A6A6A6" w:themeColor="accent5"/>
              <w:bottom w:val="single" w:sz="4" w:space="0" w:color="auto"/>
            </w:tcBorders>
          </w:tcPr>
          <w:p w14:paraId="210402FE" w14:textId="3C69CD20" w:rsidR="007D61FB" w:rsidRPr="007D36B4" w:rsidRDefault="007D61FB">
            <w:pPr>
              <w:pStyle w:val="ARtabletext"/>
              <w:rPr>
                <w:vertAlign w:val="superscript"/>
              </w:rPr>
            </w:pPr>
            <w:r w:rsidRPr="007D36B4">
              <w:t>Number of incidents requiring first aid and/or further medical treatment</w:t>
            </w:r>
            <w:r w:rsidR="007A3722">
              <w:t xml:space="preserve"> </w:t>
            </w:r>
            <w:r>
              <w:rPr>
                <w:rStyle w:val="FootnoteReference"/>
              </w:rPr>
              <w:footnoteReference w:id="10"/>
            </w:r>
          </w:p>
        </w:tc>
        <w:tc>
          <w:tcPr>
            <w:tcW w:w="499" w:type="pct"/>
            <w:tcBorders>
              <w:top w:val="single" w:sz="2" w:space="0" w:color="A6A6A6" w:themeColor="accent5"/>
              <w:bottom w:val="single" w:sz="4" w:space="0" w:color="auto"/>
            </w:tcBorders>
          </w:tcPr>
          <w:p w14:paraId="31F38492" w14:textId="77777777" w:rsidR="007D61FB" w:rsidRPr="007D36B4" w:rsidRDefault="007D61FB" w:rsidP="007F0ADA">
            <w:pPr>
              <w:pStyle w:val="ARtabletextright"/>
            </w:pPr>
            <w:r>
              <w:t xml:space="preserve"> 187 (31)</w:t>
            </w:r>
          </w:p>
        </w:tc>
        <w:tc>
          <w:tcPr>
            <w:tcW w:w="351" w:type="pct"/>
            <w:tcBorders>
              <w:top w:val="single" w:sz="2" w:space="0" w:color="A6A6A6" w:themeColor="accent5"/>
              <w:bottom w:val="single" w:sz="4" w:space="0" w:color="auto"/>
            </w:tcBorders>
          </w:tcPr>
          <w:p w14:paraId="663194A7" w14:textId="77777777" w:rsidR="007D61FB" w:rsidRPr="007D36B4" w:rsidRDefault="007D61FB" w:rsidP="007F0ADA">
            <w:pPr>
              <w:pStyle w:val="ARtabletextright"/>
            </w:pPr>
            <w:r>
              <w:t>275 (27)</w:t>
            </w:r>
          </w:p>
        </w:tc>
        <w:tc>
          <w:tcPr>
            <w:tcW w:w="647" w:type="pct"/>
            <w:tcBorders>
              <w:top w:val="single" w:sz="2" w:space="0" w:color="A6A6A6" w:themeColor="accent5"/>
              <w:bottom w:val="single" w:sz="4" w:space="0" w:color="auto"/>
            </w:tcBorders>
          </w:tcPr>
          <w:p w14:paraId="1720ACAD" w14:textId="77777777" w:rsidR="007D61FB" w:rsidRPr="00D657EB" w:rsidRDefault="007D61FB" w:rsidP="007F0ADA">
            <w:pPr>
              <w:pStyle w:val="ARtabletextright"/>
              <w:rPr>
                <w:highlight w:val="cyan"/>
              </w:rPr>
            </w:pPr>
            <w:r w:rsidRPr="001A2B9D">
              <w:t>2</w:t>
            </w:r>
            <w:r>
              <w:t>34</w:t>
            </w:r>
          </w:p>
        </w:tc>
      </w:tr>
      <w:tr w:rsidR="007D61FB" w:rsidRPr="00D657EB" w14:paraId="5B114A8F" w14:textId="77777777" w:rsidTr="006B2EA1">
        <w:trPr>
          <w:cantSplit/>
        </w:trPr>
        <w:tc>
          <w:tcPr>
            <w:tcW w:w="1170" w:type="pct"/>
            <w:vMerge w:val="restart"/>
          </w:tcPr>
          <w:p w14:paraId="52E2C707" w14:textId="77777777" w:rsidR="007D61FB" w:rsidRPr="007D36B4" w:rsidRDefault="007D61FB">
            <w:pPr>
              <w:pStyle w:val="ARtabletext"/>
            </w:pPr>
            <w:r w:rsidRPr="007D36B4">
              <w:t>Claims</w:t>
            </w:r>
          </w:p>
        </w:tc>
        <w:tc>
          <w:tcPr>
            <w:tcW w:w="2333" w:type="pct"/>
            <w:tcBorders>
              <w:top w:val="single" w:sz="4" w:space="0" w:color="auto"/>
              <w:bottom w:val="single" w:sz="2" w:space="0" w:color="A6A6A6" w:themeColor="accent5"/>
            </w:tcBorders>
          </w:tcPr>
          <w:p w14:paraId="60FA283D" w14:textId="77777777" w:rsidR="007D61FB" w:rsidRPr="007D36B4" w:rsidRDefault="007D61FB">
            <w:pPr>
              <w:pStyle w:val="ARtabletext"/>
            </w:pPr>
            <w:r w:rsidRPr="007D36B4">
              <w:t xml:space="preserve">Number of standard claims </w:t>
            </w:r>
            <w:r w:rsidRPr="007D36B4">
              <w:rPr>
                <w:rStyle w:val="FootnoteReference"/>
              </w:rPr>
              <w:footnoteReference w:id="11"/>
            </w:r>
          </w:p>
        </w:tc>
        <w:tc>
          <w:tcPr>
            <w:tcW w:w="499" w:type="pct"/>
            <w:tcBorders>
              <w:top w:val="single" w:sz="4" w:space="0" w:color="auto"/>
              <w:bottom w:val="single" w:sz="2" w:space="0" w:color="A6A6A6" w:themeColor="accent5"/>
            </w:tcBorders>
          </w:tcPr>
          <w:p w14:paraId="77E69E0C" w14:textId="77777777" w:rsidR="007D61FB" w:rsidRPr="007D36B4" w:rsidRDefault="007D61FB" w:rsidP="007F0ADA">
            <w:pPr>
              <w:pStyle w:val="ARtabletextright"/>
            </w:pPr>
            <w:r>
              <w:t>72</w:t>
            </w:r>
          </w:p>
        </w:tc>
        <w:tc>
          <w:tcPr>
            <w:tcW w:w="351" w:type="pct"/>
            <w:tcBorders>
              <w:top w:val="single" w:sz="4" w:space="0" w:color="auto"/>
              <w:bottom w:val="single" w:sz="2" w:space="0" w:color="A6A6A6" w:themeColor="accent5"/>
            </w:tcBorders>
          </w:tcPr>
          <w:p w14:paraId="654A3628" w14:textId="77777777" w:rsidR="007D61FB" w:rsidRPr="007D36B4" w:rsidRDefault="007D61FB" w:rsidP="007F0ADA">
            <w:pPr>
              <w:pStyle w:val="ARtabletextright"/>
            </w:pPr>
            <w:r w:rsidRPr="007D36B4">
              <w:t>82</w:t>
            </w:r>
          </w:p>
        </w:tc>
        <w:tc>
          <w:tcPr>
            <w:tcW w:w="647" w:type="pct"/>
            <w:tcBorders>
              <w:top w:val="single" w:sz="4" w:space="0" w:color="auto"/>
              <w:bottom w:val="single" w:sz="2" w:space="0" w:color="A6A6A6" w:themeColor="accent5"/>
            </w:tcBorders>
          </w:tcPr>
          <w:p w14:paraId="6B0C89D9" w14:textId="77777777" w:rsidR="007D61FB" w:rsidRPr="00D657EB" w:rsidRDefault="007D61FB" w:rsidP="007F0ADA">
            <w:pPr>
              <w:pStyle w:val="ARtabletextright"/>
              <w:rPr>
                <w:highlight w:val="yellow"/>
              </w:rPr>
            </w:pPr>
            <w:r w:rsidRPr="00D90CFA">
              <w:t>92</w:t>
            </w:r>
          </w:p>
        </w:tc>
      </w:tr>
      <w:tr w:rsidR="007D61FB" w:rsidRPr="00D657EB" w14:paraId="2DB55A05" w14:textId="77777777" w:rsidTr="006B2EA1">
        <w:trPr>
          <w:cantSplit/>
        </w:trPr>
        <w:tc>
          <w:tcPr>
            <w:tcW w:w="1170" w:type="pct"/>
            <w:vMerge/>
          </w:tcPr>
          <w:p w14:paraId="41662C30" w14:textId="77777777" w:rsidR="007D61FB" w:rsidRPr="007D36B4" w:rsidRDefault="007D61FB">
            <w:pPr>
              <w:pStyle w:val="ARtabletext"/>
            </w:pPr>
          </w:p>
        </w:tc>
        <w:tc>
          <w:tcPr>
            <w:tcW w:w="2333" w:type="pct"/>
            <w:tcBorders>
              <w:top w:val="single" w:sz="2" w:space="0" w:color="A6A6A6" w:themeColor="accent5"/>
              <w:bottom w:val="single" w:sz="2" w:space="0" w:color="A6A6A6" w:themeColor="accent5"/>
            </w:tcBorders>
          </w:tcPr>
          <w:p w14:paraId="07B9F7EC" w14:textId="77777777" w:rsidR="007D61FB" w:rsidRPr="007D36B4" w:rsidRDefault="007D61FB">
            <w:pPr>
              <w:pStyle w:val="ARtabletext"/>
            </w:pPr>
            <w:r w:rsidRPr="007D36B4">
              <w:t>Rate per 100 FTE</w:t>
            </w:r>
          </w:p>
        </w:tc>
        <w:tc>
          <w:tcPr>
            <w:tcW w:w="499" w:type="pct"/>
            <w:tcBorders>
              <w:top w:val="single" w:sz="2" w:space="0" w:color="A6A6A6" w:themeColor="accent5"/>
              <w:bottom w:val="single" w:sz="2" w:space="0" w:color="A6A6A6" w:themeColor="accent5"/>
            </w:tcBorders>
          </w:tcPr>
          <w:p w14:paraId="0468BAFB" w14:textId="77777777" w:rsidR="007D61FB" w:rsidRPr="007D36B4" w:rsidRDefault="007D61FB" w:rsidP="007F0ADA">
            <w:pPr>
              <w:pStyle w:val="ARtabletextright"/>
            </w:pPr>
            <w:r>
              <w:t>1.08</w:t>
            </w:r>
          </w:p>
        </w:tc>
        <w:tc>
          <w:tcPr>
            <w:tcW w:w="351" w:type="pct"/>
            <w:tcBorders>
              <w:top w:val="single" w:sz="2" w:space="0" w:color="A6A6A6" w:themeColor="accent5"/>
              <w:bottom w:val="single" w:sz="2" w:space="0" w:color="A6A6A6" w:themeColor="accent5"/>
            </w:tcBorders>
          </w:tcPr>
          <w:p w14:paraId="40D9E309" w14:textId="77777777" w:rsidR="007D61FB" w:rsidRPr="007D36B4" w:rsidRDefault="007D61FB" w:rsidP="007F0ADA">
            <w:pPr>
              <w:pStyle w:val="ARtabletextright"/>
            </w:pPr>
            <w:r w:rsidRPr="007D36B4">
              <w:t>1.20</w:t>
            </w:r>
          </w:p>
        </w:tc>
        <w:tc>
          <w:tcPr>
            <w:tcW w:w="647" w:type="pct"/>
            <w:tcBorders>
              <w:top w:val="single" w:sz="2" w:space="0" w:color="A6A6A6" w:themeColor="accent5"/>
              <w:bottom w:val="single" w:sz="2" w:space="0" w:color="A6A6A6" w:themeColor="accent5"/>
            </w:tcBorders>
          </w:tcPr>
          <w:p w14:paraId="01E79E6D" w14:textId="77777777" w:rsidR="007D61FB" w:rsidRPr="00D657EB" w:rsidRDefault="007D61FB" w:rsidP="007F0ADA">
            <w:pPr>
              <w:pStyle w:val="ARtabletextright"/>
              <w:rPr>
                <w:highlight w:val="yellow"/>
              </w:rPr>
            </w:pPr>
            <w:r w:rsidRPr="008906D1">
              <w:t>1.38</w:t>
            </w:r>
          </w:p>
        </w:tc>
      </w:tr>
      <w:tr w:rsidR="007D61FB" w:rsidRPr="00D657EB" w14:paraId="3EC4ABFB" w14:textId="77777777" w:rsidTr="006B2EA1">
        <w:trPr>
          <w:cantSplit/>
        </w:trPr>
        <w:tc>
          <w:tcPr>
            <w:tcW w:w="1170" w:type="pct"/>
            <w:vMerge/>
          </w:tcPr>
          <w:p w14:paraId="214B41EB" w14:textId="77777777" w:rsidR="007D61FB" w:rsidRPr="007D36B4" w:rsidRDefault="007D61FB">
            <w:pPr>
              <w:pStyle w:val="ARtabletext"/>
            </w:pPr>
          </w:p>
        </w:tc>
        <w:tc>
          <w:tcPr>
            <w:tcW w:w="2333" w:type="pct"/>
            <w:tcBorders>
              <w:top w:val="single" w:sz="2" w:space="0" w:color="A6A6A6" w:themeColor="accent5"/>
              <w:bottom w:val="single" w:sz="2" w:space="0" w:color="A6A6A6" w:themeColor="accent5"/>
            </w:tcBorders>
          </w:tcPr>
          <w:p w14:paraId="5F2CA584" w14:textId="77777777" w:rsidR="007D61FB" w:rsidRPr="007D36B4" w:rsidRDefault="007D61FB">
            <w:pPr>
              <w:pStyle w:val="ARtabletext"/>
            </w:pPr>
            <w:r w:rsidRPr="007D36B4">
              <w:t>Number of lost time claims</w:t>
            </w:r>
          </w:p>
        </w:tc>
        <w:tc>
          <w:tcPr>
            <w:tcW w:w="499" w:type="pct"/>
            <w:tcBorders>
              <w:top w:val="single" w:sz="2" w:space="0" w:color="A6A6A6" w:themeColor="accent5"/>
              <w:bottom w:val="single" w:sz="2" w:space="0" w:color="A6A6A6" w:themeColor="accent5"/>
            </w:tcBorders>
          </w:tcPr>
          <w:p w14:paraId="4ED6AE4A" w14:textId="77777777" w:rsidR="007D61FB" w:rsidRPr="007D36B4" w:rsidRDefault="007D61FB" w:rsidP="007F0ADA">
            <w:pPr>
              <w:pStyle w:val="ARtabletextright"/>
            </w:pPr>
            <w:r>
              <w:t>45</w:t>
            </w:r>
          </w:p>
        </w:tc>
        <w:tc>
          <w:tcPr>
            <w:tcW w:w="351" w:type="pct"/>
            <w:tcBorders>
              <w:top w:val="single" w:sz="2" w:space="0" w:color="A6A6A6" w:themeColor="accent5"/>
              <w:bottom w:val="single" w:sz="2" w:space="0" w:color="A6A6A6" w:themeColor="accent5"/>
            </w:tcBorders>
          </w:tcPr>
          <w:p w14:paraId="1CE937F5" w14:textId="77777777" w:rsidR="007D61FB" w:rsidRPr="007D36B4" w:rsidRDefault="007D61FB" w:rsidP="007F0ADA">
            <w:pPr>
              <w:pStyle w:val="ARtabletextright"/>
            </w:pPr>
            <w:r w:rsidRPr="007D36B4">
              <w:t>51</w:t>
            </w:r>
          </w:p>
        </w:tc>
        <w:tc>
          <w:tcPr>
            <w:tcW w:w="647" w:type="pct"/>
            <w:tcBorders>
              <w:top w:val="single" w:sz="2" w:space="0" w:color="A6A6A6" w:themeColor="accent5"/>
              <w:bottom w:val="single" w:sz="2" w:space="0" w:color="A6A6A6" w:themeColor="accent5"/>
            </w:tcBorders>
          </w:tcPr>
          <w:p w14:paraId="3A147B22" w14:textId="77777777" w:rsidR="007D61FB" w:rsidRPr="00D657EB" w:rsidRDefault="007D61FB" w:rsidP="007F0ADA">
            <w:pPr>
              <w:pStyle w:val="ARtabletextright"/>
              <w:rPr>
                <w:highlight w:val="yellow"/>
              </w:rPr>
            </w:pPr>
            <w:r w:rsidRPr="00C0322B">
              <w:t>52</w:t>
            </w:r>
          </w:p>
        </w:tc>
      </w:tr>
      <w:tr w:rsidR="007D61FB" w:rsidRPr="00D657EB" w14:paraId="161FAC47" w14:textId="77777777" w:rsidTr="006B2EA1">
        <w:trPr>
          <w:cantSplit/>
        </w:trPr>
        <w:tc>
          <w:tcPr>
            <w:tcW w:w="1170" w:type="pct"/>
            <w:vMerge/>
          </w:tcPr>
          <w:p w14:paraId="1A0693DA" w14:textId="77777777" w:rsidR="007D61FB" w:rsidRPr="007D36B4" w:rsidRDefault="007D61FB">
            <w:pPr>
              <w:pStyle w:val="ARtabletext"/>
            </w:pPr>
          </w:p>
        </w:tc>
        <w:tc>
          <w:tcPr>
            <w:tcW w:w="2333" w:type="pct"/>
            <w:tcBorders>
              <w:top w:val="single" w:sz="2" w:space="0" w:color="A6A6A6" w:themeColor="accent5"/>
              <w:bottom w:val="single" w:sz="2" w:space="0" w:color="A6A6A6" w:themeColor="accent5"/>
            </w:tcBorders>
          </w:tcPr>
          <w:p w14:paraId="0962D99B" w14:textId="77777777" w:rsidR="007D61FB" w:rsidRPr="007D36B4" w:rsidRDefault="007D61FB">
            <w:pPr>
              <w:pStyle w:val="ARtabletext"/>
            </w:pPr>
            <w:r w:rsidRPr="007D36B4">
              <w:t>Rate per 100 FTE</w:t>
            </w:r>
          </w:p>
        </w:tc>
        <w:tc>
          <w:tcPr>
            <w:tcW w:w="499" w:type="pct"/>
            <w:tcBorders>
              <w:top w:val="single" w:sz="2" w:space="0" w:color="A6A6A6" w:themeColor="accent5"/>
              <w:bottom w:val="single" w:sz="2" w:space="0" w:color="A6A6A6" w:themeColor="accent5"/>
            </w:tcBorders>
          </w:tcPr>
          <w:p w14:paraId="3042C6C2" w14:textId="77777777" w:rsidR="007D61FB" w:rsidRPr="007D36B4" w:rsidRDefault="007D61FB" w:rsidP="007F0ADA">
            <w:pPr>
              <w:pStyle w:val="ARtabletextright"/>
            </w:pPr>
            <w:r>
              <w:t>0.67</w:t>
            </w:r>
          </w:p>
        </w:tc>
        <w:tc>
          <w:tcPr>
            <w:tcW w:w="351" w:type="pct"/>
            <w:tcBorders>
              <w:top w:val="single" w:sz="2" w:space="0" w:color="A6A6A6" w:themeColor="accent5"/>
              <w:bottom w:val="single" w:sz="2" w:space="0" w:color="A6A6A6" w:themeColor="accent5"/>
            </w:tcBorders>
          </w:tcPr>
          <w:p w14:paraId="0CCFC3D7" w14:textId="77777777" w:rsidR="007D61FB" w:rsidRPr="007D36B4" w:rsidRDefault="007D61FB" w:rsidP="007F0ADA">
            <w:pPr>
              <w:pStyle w:val="ARtabletextright"/>
            </w:pPr>
            <w:r w:rsidRPr="007D36B4">
              <w:t>0.75</w:t>
            </w:r>
          </w:p>
        </w:tc>
        <w:tc>
          <w:tcPr>
            <w:tcW w:w="647" w:type="pct"/>
            <w:tcBorders>
              <w:top w:val="single" w:sz="2" w:space="0" w:color="A6A6A6" w:themeColor="accent5"/>
              <w:bottom w:val="single" w:sz="2" w:space="0" w:color="A6A6A6" w:themeColor="accent5"/>
            </w:tcBorders>
          </w:tcPr>
          <w:p w14:paraId="1998CDE6" w14:textId="77777777" w:rsidR="007D61FB" w:rsidRPr="00D657EB" w:rsidRDefault="007D61FB" w:rsidP="007F0ADA">
            <w:pPr>
              <w:pStyle w:val="ARtabletextright"/>
              <w:rPr>
                <w:highlight w:val="yellow"/>
              </w:rPr>
            </w:pPr>
            <w:r w:rsidRPr="00385CBB">
              <w:t>0.78</w:t>
            </w:r>
          </w:p>
        </w:tc>
      </w:tr>
      <w:tr w:rsidR="007D61FB" w:rsidRPr="00D657EB" w14:paraId="61D2D1AB" w14:textId="77777777" w:rsidTr="006B2EA1">
        <w:trPr>
          <w:cantSplit/>
        </w:trPr>
        <w:tc>
          <w:tcPr>
            <w:tcW w:w="1170" w:type="pct"/>
            <w:vMerge/>
          </w:tcPr>
          <w:p w14:paraId="5820CA5A" w14:textId="77777777" w:rsidR="007D61FB" w:rsidRPr="007D36B4" w:rsidRDefault="007D61FB">
            <w:pPr>
              <w:pStyle w:val="ARtabletext"/>
            </w:pPr>
          </w:p>
        </w:tc>
        <w:tc>
          <w:tcPr>
            <w:tcW w:w="2333" w:type="pct"/>
            <w:tcBorders>
              <w:top w:val="single" w:sz="2" w:space="0" w:color="A6A6A6" w:themeColor="accent5"/>
              <w:bottom w:val="single" w:sz="2" w:space="0" w:color="A6A6A6" w:themeColor="accent5"/>
            </w:tcBorders>
          </w:tcPr>
          <w:p w14:paraId="7CFFBF20" w14:textId="77777777" w:rsidR="007D61FB" w:rsidRPr="007D36B4" w:rsidRDefault="007D61FB">
            <w:pPr>
              <w:pStyle w:val="ARtabletext"/>
            </w:pPr>
            <w:r w:rsidRPr="007D36B4">
              <w:t xml:space="preserve">Number of claims exceeding 13 weeks </w:t>
            </w:r>
            <w:r w:rsidRPr="007D36B4">
              <w:rPr>
                <w:rStyle w:val="FootnoteReference"/>
              </w:rPr>
              <w:footnoteReference w:id="12"/>
            </w:r>
          </w:p>
        </w:tc>
        <w:tc>
          <w:tcPr>
            <w:tcW w:w="499" w:type="pct"/>
            <w:tcBorders>
              <w:top w:val="single" w:sz="2" w:space="0" w:color="A6A6A6" w:themeColor="accent5"/>
              <w:bottom w:val="single" w:sz="2" w:space="0" w:color="A6A6A6" w:themeColor="accent5"/>
            </w:tcBorders>
          </w:tcPr>
          <w:p w14:paraId="7A54260F" w14:textId="77777777" w:rsidR="007D61FB" w:rsidRPr="007D36B4" w:rsidRDefault="007D61FB" w:rsidP="007F0ADA">
            <w:pPr>
              <w:pStyle w:val="ARtabletextright"/>
            </w:pPr>
            <w:r>
              <w:t>33</w:t>
            </w:r>
          </w:p>
        </w:tc>
        <w:tc>
          <w:tcPr>
            <w:tcW w:w="351" w:type="pct"/>
            <w:tcBorders>
              <w:top w:val="single" w:sz="2" w:space="0" w:color="A6A6A6" w:themeColor="accent5"/>
              <w:bottom w:val="single" w:sz="2" w:space="0" w:color="A6A6A6" w:themeColor="accent5"/>
            </w:tcBorders>
          </w:tcPr>
          <w:p w14:paraId="0944FBF9" w14:textId="77777777" w:rsidR="007D61FB" w:rsidRPr="007D36B4" w:rsidRDefault="007D61FB" w:rsidP="007F0ADA">
            <w:pPr>
              <w:pStyle w:val="ARtabletextright"/>
            </w:pPr>
            <w:r w:rsidRPr="007D36B4">
              <w:t>36</w:t>
            </w:r>
          </w:p>
        </w:tc>
        <w:tc>
          <w:tcPr>
            <w:tcW w:w="647" w:type="pct"/>
            <w:tcBorders>
              <w:top w:val="single" w:sz="2" w:space="0" w:color="A6A6A6" w:themeColor="accent5"/>
              <w:bottom w:val="single" w:sz="2" w:space="0" w:color="A6A6A6" w:themeColor="accent5"/>
            </w:tcBorders>
          </w:tcPr>
          <w:p w14:paraId="36832FF0" w14:textId="77777777" w:rsidR="007D61FB" w:rsidRPr="00D657EB" w:rsidRDefault="007D61FB" w:rsidP="007F0ADA">
            <w:pPr>
              <w:pStyle w:val="ARtabletextright"/>
              <w:rPr>
                <w:highlight w:val="yellow"/>
              </w:rPr>
            </w:pPr>
            <w:r w:rsidRPr="00C0322B">
              <w:t>43</w:t>
            </w:r>
          </w:p>
        </w:tc>
      </w:tr>
      <w:tr w:rsidR="007D61FB" w:rsidRPr="00D657EB" w14:paraId="53781716" w14:textId="77777777" w:rsidTr="006B2EA1">
        <w:trPr>
          <w:cantSplit/>
        </w:trPr>
        <w:tc>
          <w:tcPr>
            <w:tcW w:w="1170" w:type="pct"/>
            <w:vMerge/>
          </w:tcPr>
          <w:p w14:paraId="6FC271E6" w14:textId="77777777" w:rsidR="007D61FB" w:rsidRPr="007D36B4" w:rsidRDefault="007D61FB">
            <w:pPr>
              <w:pStyle w:val="ARtabletext"/>
            </w:pPr>
          </w:p>
        </w:tc>
        <w:tc>
          <w:tcPr>
            <w:tcW w:w="2333" w:type="pct"/>
            <w:tcBorders>
              <w:top w:val="single" w:sz="2" w:space="0" w:color="A6A6A6" w:themeColor="accent5"/>
              <w:bottom w:val="single" w:sz="4" w:space="0" w:color="auto"/>
            </w:tcBorders>
          </w:tcPr>
          <w:p w14:paraId="11986A29" w14:textId="77777777" w:rsidR="007D61FB" w:rsidRPr="007D36B4" w:rsidRDefault="007D61FB">
            <w:pPr>
              <w:pStyle w:val="ARtabletext"/>
            </w:pPr>
            <w:r w:rsidRPr="007D36B4">
              <w:t>Rate per 100 FTE</w:t>
            </w:r>
          </w:p>
        </w:tc>
        <w:tc>
          <w:tcPr>
            <w:tcW w:w="499" w:type="pct"/>
            <w:tcBorders>
              <w:top w:val="single" w:sz="2" w:space="0" w:color="A6A6A6" w:themeColor="accent5"/>
              <w:bottom w:val="single" w:sz="4" w:space="0" w:color="auto"/>
            </w:tcBorders>
          </w:tcPr>
          <w:p w14:paraId="1F2D6610" w14:textId="77777777" w:rsidR="007D61FB" w:rsidRPr="007D36B4" w:rsidRDefault="007D61FB" w:rsidP="007F0ADA">
            <w:pPr>
              <w:pStyle w:val="ARtabletextright"/>
            </w:pPr>
            <w:r>
              <w:t>0.50</w:t>
            </w:r>
          </w:p>
        </w:tc>
        <w:tc>
          <w:tcPr>
            <w:tcW w:w="351" w:type="pct"/>
            <w:tcBorders>
              <w:top w:val="single" w:sz="2" w:space="0" w:color="A6A6A6" w:themeColor="accent5"/>
              <w:bottom w:val="single" w:sz="4" w:space="0" w:color="auto"/>
            </w:tcBorders>
          </w:tcPr>
          <w:p w14:paraId="2BB12C03" w14:textId="77777777" w:rsidR="007D61FB" w:rsidRPr="007D36B4" w:rsidRDefault="007D61FB" w:rsidP="007F0ADA">
            <w:pPr>
              <w:pStyle w:val="ARtabletextright"/>
            </w:pPr>
            <w:r w:rsidRPr="007D36B4">
              <w:t>0.53</w:t>
            </w:r>
          </w:p>
        </w:tc>
        <w:tc>
          <w:tcPr>
            <w:tcW w:w="647" w:type="pct"/>
            <w:tcBorders>
              <w:top w:val="single" w:sz="2" w:space="0" w:color="A6A6A6" w:themeColor="accent5"/>
              <w:bottom w:val="single" w:sz="4" w:space="0" w:color="auto"/>
            </w:tcBorders>
          </w:tcPr>
          <w:p w14:paraId="46F22B68" w14:textId="77777777" w:rsidR="007D61FB" w:rsidRPr="006602A3" w:rsidRDefault="007D61FB" w:rsidP="007F0ADA">
            <w:pPr>
              <w:pStyle w:val="ARtabletextright"/>
            </w:pPr>
            <w:r w:rsidRPr="006602A3">
              <w:t>0.64</w:t>
            </w:r>
          </w:p>
        </w:tc>
      </w:tr>
      <w:tr w:rsidR="007D61FB" w:rsidRPr="00D657EB" w14:paraId="7F317739" w14:textId="77777777" w:rsidTr="006B2EA1">
        <w:trPr>
          <w:cantSplit/>
        </w:trPr>
        <w:tc>
          <w:tcPr>
            <w:tcW w:w="1170" w:type="pct"/>
            <w:vMerge w:val="restart"/>
            <w:tcBorders>
              <w:top w:val="single" w:sz="4" w:space="0" w:color="auto"/>
            </w:tcBorders>
          </w:tcPr>
          <w:p w14:paraId="411A8CD2" w14:textId="77777777" w:rsidR="007D61FB" w:rsidRPr="007D36B4" w:rsidRDefault="007D61FB">
            <w:pPr>
              <w:pStyle w:val="ARtabletext"/>
              <w:keepNext/>
              <w:keepLines/>
            </w:pPr>
            <w:r w:rsidRPr="007D36B4">
              <w:t xml:space="preserve">Absenteeism </w:t>
            </w:r>
            <w:r w:rsidRPr="007D36B4">
              <w:rPr>
                <w:rStyle w:val="FootnoteReference"/>
              </w:rPr>
              <w:footnoteReference w:id="13"/>
            </w:r>
          </w:p>
        </w:tc>
        <w:tc>
          <w:tcPr>
            <w:tcW w:w="2333" w:type="pct"/>
            <w:tcBorders>
              <w:top w:val="single" w:sz="4" w:space="0" w:color="auto"/>
              <w:bottom w:val="single" w:sz="2" w:space="0" w:color="A6A6A6" w:themeColor="accent5"/>
            </w:tcBorders>
          </w:tcPr>
          <w:p w14:paraId="3299285C" w14:textId="61109FEA" w:rsidR="007D61FB" w:rsidRPr="007D36B4" w:rsidRDefault="007D61FB">
            <w:pPr>
              <w:pStyle w:val="ARtabletext"/>
              <w:keepNext/>
              <w:keepLines/>
            </w:pPr>
            <w:r w:rsidRPr="007D36B4">
              <w:t>Total number of days absence due to injury or</w:t>
            </w:r>
            <w:r w:rsidR="007F0ADA">
              <w:t> </w:t>
            </w:r>
            <w:r w:rsidRPr="007D36B4">
              <w:t>illness</w:t>
            </w:r>
          </w:p>
        </w:tc>
        <w:tc>
          <w:tcPr>
            <w:tcW w:w="499" w:type="pct"/>
            <w:tcBorders>
              <w:top w:val="single" w:sz="4" w:space="0" w:color="auto"/>
              <w:bottom w:val="single" w:sz="2" w:space="0" w:color="A6A6A6" w:themeColor="accent5"/>
            </w:tcBorders>
          </w:tcPr>
          <w:p w14:paraId="38AE239E" w14:textId="77777777" w:rsidR="007D61FB" w:rsidRPr="007D36B4" w:rsidDel="00FA770C" w:rsidRDefault="007D61FB" w:rsidP="007F0ADA">
            <w:pPr>
              <w:pStyle w:val="ARtabletextright"/>
            </w:pPr>
            <w:r>
              <w:t>60,815.91</w:t>
            </w:r>
          </w:p>
        </w:tc>
        <w:tc>
          <w:tcPr>
            <w:tcW w:w="351" w:type="pct"/>
            <w:tcBorders>
              <w:top w:val="single" w:sz="4" w:space="0" w:color="auto"/>
              <w:bottom w:val="single" w:sz="2" w:space="0" w:color="A6A6A6" w:themeColor="accent5"/>
            </w:tcBorders>
          </w:tcPr>
          <w:p w14:paraId="0B994835" w14:textId="77777777" w:rsidR="007D61FB" w:rsidRPr="007D36B4" w:rsidRDefault="007D61FB" w:rsidP="007F0ADA">
            <w:pPr>
              <w:pStyle w:val="ARtabletextright"/>
            </w:pPr>
            <w:r w:rsidRPr="007D36B4">
              <w:t>47,790.29</w:t>
            </w:r>
          </w:p>
        </w:tc>
        <w:tc>
          <w:tcPr>
            <w:tcW w:w="647" w:type="pct"/>
            <w:tcBorders>
              <w:top w:val="single" w:sz="4" w:space="0" w:color="auto"/>
              <w:bottom w:val="single" w:sz="2" w:space="0" w:color="A6A6A6" w:themeColor="accent5"/>
            </w:tcBorders>
          </w:tcPr>
          <w:p w14:paraId="1273CAA2" w14:textId="77777777" w:rsidR="007D61FB" w:rsidRPr="00D657EB" w:rsidRDefault="007D61FB" w:rsidP="007F0ADA">
            <w:pPr>
              <w:pStyle w:val="ARtabletextright"/>
              <w:rPr>
                <w:highlight w:val="cyan"/>
              </w:rPr>
            </w:pPr>
            <w:r>
              <w:t>59,524.87</w:t>
            </w:r>
          </w:p>
        </w:tc>
      </w:tr>
      <w:tr w:rsidR="007D61FB" w:rsidRPr="001A2B9D" w14:paraId="3B079B45" w14:textId="77777777" w:rsidTr="006B2EA1">
        <w:trPr>
          <w:cantSplit/>
        </w:trPr>
        <w:tc>
          <w:tcPr>
            <w:tcW w:w="1170" w:type="pct"/>
            <w:vMerge/>
          </w:tcPr>
          <w:p w14:paraId="27B7C5C3" w14:textId="77777777" w:rsidR="007D61FB" w:rsidRPr="007D36B4" w:rsidRDefault="007D61FB">
            <w:pPr>
              <w:pStyle w:val="ARtabletext"/>
              <w:keepNext/>
              <w:keepLines/>
            </w:pPr>
          </w:p>
        </w:tc>
        <w:tc>
          <w:tcPr>
            <w:tcW w:w="2333" w:type="pct"/>
            <w:tcBorders>
              <w:top w:val="single" w:sz="2" w:space="0" w:color="A6A6A6" w:themeColor="accent5"/>
            </w:tcBorders>
          </w:tcPr>
          <w:p w14:paraId="502A8DA6" w14:textId="77777777" w:rsidR="007D61FB" w:rsidRPr="007D36B4" w:rsidRDefault="007D61FB">
            <w:pPr>
              <w:pStyle w:val="ARtabletext"/>
              <w:keepNext/>
              <w:keepLines/>
            </w:pPr>
            <w:r w:rsidRPr="007D36B4">
              <w:t>Rate per 100 FTE</w:t>
            </w:r>
          </w:p>
        </w:tc>
        <w:tc>
          <w:tcPr>
            <w:tcW w:w="499" w:type="pct"/>
            <w:tcBorders>
              <w:top w:val="single" w:sz="2" w:space="0" w:color="A6A6A6" w:themeColor="accent5"/>
            </w:tcBorders>
          </w:tcPr>
          <w:p w14:paraId="0B8901E8" w14:textId="77777777" w:rsidR="007D61FB" w:rsidRPr="007D36B4" w:rsidDel="00FA770C" w:rsidRDefault="007D61FB" w:rsidP="007F0ADA">
            <w:pPr>
              <w:pStyle w:val="ARtabletextright"/>
            </w:pPr>
            <w:r>
              <w:t>911.37</w:t>
            </w:r>
          </w:p>
        </w:tc>
        <w:tc>
          <w:tcPr>
            <w:tcW w:w="351" w:type="pct"/>
            <w:tcBorders>
              <w:top w:val="single" w:sz="2" w:space="0" w:color="A6A6A6" w:themeColor="accent5"/>
            </w:tcBorders>
          </w:tcPr>
          <w:p w14:paraId="221AEAA3" w14:textId="77777777" w:rsidR="007D61FB" w:rsidRPr="007D36B4" w:rsidRDefault="007D61FB" w:rsidP="007F0ADA">
            <w:pPr>
              <w:pStyle w:val="ARtabletextright"/>
            </w:pPr>
            <w:r w:rsidRPr="007D36B4">
              <w:t>706.93</w:t>
            </w:r>
          </w:p>
        </w:tc>
        <w:tc>
          <w:tcPr>
            <w:tcW w:w="647" w:type="pct"/>
            <w:tcBorders>
              <w:top w:val="single" w:sz="2" w:space="0" w:color="A6A6A6" w:themeColor="accent5"/>
            </w:tcBorders>
          </w:tcPr>
          <w:p w14:paraId="7DA84262" w14:textId="77777777" w:rsidR="007D61FB" w:rsidRPr="00980A43" w:rsidRDefault="007D61FB" w:rsidP="007F0ADA">
            <w:pPr>
              <w:pStyle w:val="ARtabletextright"/>
            </w:pPr>
            <w:r w:rsidRPr="00980A43">
              <w:t>892.03</w:t>
            </w:r>
          </w:p>
        </w:tc>
      </w:tr>
      <w:tr w:rsidR="007D61FB" w:rsidRPr="001A2B9D" w14:paraId="7A830C31" w14:textId="77777777" w:rsidTr="000858CA">
        <w:trPr>
          <w:cantSplit/>
        </w:trPr>
        <w:tc>
          <w:tcPr>
            <w:tcW w:w="1170" w:type="pct"/>
          </w:tcPr>
          <w:p w14:paraId="2DDC6EAC" w14:textId="77777777" w:rsidR="007D61FB" w:rsidRPr="007D36B4" w:rsidRDefault="007D61FB">
            <w:pPr>
              <w:pStyle w:val="ARtabletext"/>
            </w:pPr>
            <w:r w:rsidRPr="007D36B4">
              <w:t>Fatalities</w:t>
            </w:r>
          </w:p>
        </w:tc>
        <w:tc>
          <w:tcPr>
            <w:tcW w:w="2333" w:type="pct"/>
          </w:tcPr>
          <w:p w14:paraId="7C8E96B2" w14:textId="77777777" w:rsidR="007D61FB" w:rsidRPr="007D36B4" w:rsidRDefault="007D61FB">
            <w:pPr>
              <w:pStyle w:val="ARtabletext"/>
            </w:pPr>
            <w:r w:rsidRPr="007D36B4">
              <w:t>Number of fatalities</w:t>
            </w:r>
          </w:p>
        </w:tc>
        <w:tc>
          <w:tcPr>
            <w:tcW w:w="499" w:type="pct"/>
          </w:tcPr>
          <w:p w14:paraId="05381F2E" w14:textId="77777777" w:rsidR="007D61FB" w:rsidRPr="007D36B4" w:rsidRDefault="007D61FB" w:rsidP="007F0ADA">
            <w:pPr>
              <w:pStyle w:val="ARtabletextright"/>
            </w:pPr>
            <w:r>
              <w:t>0</w:t>
            </w:r>
          </w:p>
        </w:tc>
        <w:tc>
          <w:tcPr>
            <w:tcW w:w="351" w:type="pct"/>
          </w:tcPr>
          <w:p w14:paraId="5510EC92" w14:textId="77777777" w:rsidR="007D61FB" w:rsidRPr="007D36B4" w:rsidRDefault="007D61FB" w:rsidP="007F0ADA">
            <w:pPr>
              <w:pStyle w:val="ARtabletextright"/>
            </w:pPr>
            <w:r w:rsidRPr="007D36B4">
              <w:t>0</w:t>
            </w:r>
          </w:p>
        </w:tc>
        <w:tc>
          <w:tcPr>
            <w:tcW w:w="647" w:type="pct"/>
          </w:tcPr>
          <w:p w14:paraId="0550741C" w14:textId="77777777" w:rsidR="007D61FB" w:rsidRPr="006C649C" w:rsidRDefault="007D61FB" w:rsidP="007F0ADA">
            <w:pPr>
              <w:pStyle w:val="ARtabletextright"/>
            </w:pPr>
            <w:r w:rsidRPr="006C649C">
              <w:t>0</w:t>
            </w:r>
          </w:p>
        </w:tc>
      </w:tr>
      <w:tr w:rsidR="007D61FB" w:rsidRPr="001A2B9D" w14:paraId="3E755EB5" w14:textId="77777777" w:rsidTr="000858CA">
        <w:trPr>
          <w:cantSplit/>
        </w:trPr>
        <w:tc>
          <w:tcPr>
            <w:tcW w:w="1170" w:type="pct"/>
          </w:tcPr>
          <w:p w14:paraId="1077B295" w14:textId="77777777" w:rsidR="007D61FB" w:rsidRPr="007D36B4" w:rsidRDefault="007D61FB">
            <w:pPr>
              <w:pStyle w:val="ARtabletext"/>
            </w:pPr>
            <w:r w:rsidRPr="007D36B4">
              <w:t>Prosecutions</w:t>
            </w:r>
          </w:p>
        </w:tc>
        <w:tc>
          <w:tcPr>
            <w:tcW w:w="2333" w:type="pct"/>
          </w:tcPr>
          <w:p w14:paraId="5B0ABE7E" w14:textId="77777777" w:rsidR="007D61FB" w:rsidRPr="007D36B4" w:rsidRDefault="007D61FB">
            <w:pPr>
              <w:pStyle w:val="ARtabletext"/>
            </w:pPr>
            <w:r w:rsidRPr="007D36B4">
              <w:t xml:space="preserve">Total number of prosecutions </w:t>
            </w:r>
            <w:r w:rsidRPr="007D36B4">
              <w:rPr>
                <w:rStyle w:val="FootnoteReference"/>
              </w:rPr>
              <w:footnoteReference w:id="14"/>
            </w:r>
          </w:p>
        </w:tc>
        <w:tc>
          <w:tcPr>
            <w:tcW w:w="499" w:type="pct"/>
          </w:tcPr>
          <w:p w14:paraId="463AC2BD" w14:textId="77777777" w:rsidR="007D61FB" w:rsidRPr="007D36B4" w:rsidDel="00FA770C" w:rsidRDefault="007D61FB" w:rsidP="007F0ADA">
            <w:pPr>
              <w:pStyle w:val="ARtabletextright"/>
            </w:pPr>
            <w:r>
              <w:t>0</w:t>
            </w:r>
          </w:p>
        </w:tc>
        <w:tc>
          <w:tcPr>
            <w:tcW w:w="351" w:type="pct"/>
          </w:tcPr>
          <w:p w14:paraId="574D93C4" w14:textId="77777777" w:rsidR="007D61FB" w:rsidRPr="007D36B4" w:rsidRDefault="007D61FB" w:rsidP="007F0ADA">
            <w:pPr>
              <w:pStyle w:val="ARtabletextright"/>
            </w:pPr>
            <w:r w:rsidRPr="007D36B4">
              <w:t>0</w:t>
            </w:r>
          </w:p>
        </w:tc>
        <w:tc>
          <w:tcPr>
            <w:tcW w:w="647" w:type="pct"/>
          </w:tcPr>
          <w:p w14:paraId="562AAE81" w14:textId="77777777" w:rsidR="007D61FB" w:rsidRPr="00980A43" w:rsidRDefault="007D61FB" w:rsidP="007F0ADA">
            <w:pPr>
              <w:pStyle w:val="ARtabletextright"/>
              <w:rPr>
                <w:highlight w:val="yellow"/>
              </w:rPr>
            </w:pPr>
            <w:r w:rsidRPr="00ED77D7">
              <w:t>0</w:t>
            </w:r>
          </w:p>
        </w:tc>
      </w:tr>
      <w:tr w:rsidR="007D61FB" w:rsidRPr="00D657EB" w14:paraId="72241177" w14:textId="77777777" w:rsidTr="006B2EA1">
        <w:trPr>
          <w:cantSplit/>
        </w:trPr>
        <w:tc>
          <w:tcPr>
            <w:tcW w:w="1170" w:type="pct"/>
          </w:tcPr>
          <w:p w14:paraId="37BF2969" w14:textId="77777777" w:rsidR="007D61FB" w:rsidRPr="007D36B4" w:rsidRDefault="007D61FB">
            <w:pPr>
              <w:pStyle w:val="ARtabletext"/>
            </w:pPr>
            <w:r w:rsidRPr="007D36B4">
              <w:t xml:space="preserve">Claims costs </w:t>
            </w:r>
          </w:p>
        </w:tc>
        <w:tc>
          <w:tcPr>
            <w:tcW w:w="2333" w:type="pct"/>
            <w:tcBorders>
              <w:bottom w:val="single" w:sz="4" w:space="0" w:color="auto"/>
            </w:tcBorders>
          </w:tcPr>
          <w:p w14:paraId="3BA46AF3" w14:textId="77777777" w:rsidR="007D61FB" w:rsidRPr="007D36B4" w:rsidRDefault="007D61FB">
            <w:pPr>
              <w:pStyle w:val="ARtabletext"/>
            </w:pPr>
            <w:r w:rsidRPr="007D36B4">
              <w:t xml:space="preserve">Average cost per standard claim </w:t>
            </w:r>
            <w:r w:rsidRPr="007D36B4">
              <w:rPr>
                <w:rStyle w:val="FootnoteReference"/>
              </w:rPr>
              <w:footnoteReference w:id="15"/>
            </w:r>
          </w:p>
        </w:tc>
        <w:tc>
          <w:tcPr>
            <w:tcW w:w="499" w:type="pct"/>
            <w:tcBorders>
              <w:bottom w:val="single" w:sz="4" w:space="0" w:color="auto"/>
            </w:tcBorders>
          </w:tcPr>
          <w:p w14:paraId="2DA7C2E5" w14:textId="77777777" w:rsidR="007D61FB" w:rsidRPr="007D36B4" w:rsidRDefault="007D61FB" w:rsidP="007F0ADA">
            <w:pPr>
              <w:pStyle w:val="ARtabletextright"/>
            </w:pPr>
            <w:r>
              <w:t>$246,221</w:t>
            </w:r>
          </w:p>
        </w:tc>
        <w:tc>
          <w:tcPr>
            <w:tcW w:w="351" w:type="pct"/>
            <w:tcBorders>
              <w:bottom w:val="single" w:sz="4" w:space="0" w:color="auto"/>
            </w:tcBorders>
          </w:tcPr>
          <w:p w14:paraId="17ECA422" w14:textId="77777777" w:rsidR="007D61FB" w:rsidRPr="007D36B4" w:rsidRDefault="007D61FB" w:rsidP="007F0ADA">
            <w:pPr>
              <w:pStyle w:val="ARtabletextright"/>
            </w:pPr>
            <w:r w:rsidRPr="007D36B4">
              <w:t>$227,465</w:t>
            </w:r>
          </w:p>
        </w:tc>
        <w:tc>
          <w:tcPr>
            <w:tcW w:w="647" w:type="pct"/>
            <w:tcBorders>
              <w:bottom w:val="single" w:sz="4" w:space="0" w:color="auto"/>
            </w:tcBorders>
          </w:tcPr>
          <w:p w14:paraId="6C617721" w14:textId="77777777" w:rsidR="007D61FB" w:rsidRPr="00D657EB" w:rsidRDefault="007D61FB" w:rsidP="007F0ADA">
            <w:pPr>
              <w:pStyle w:val="ARtabletextright"/>
              <w:rPr>
                <w:highlight w:val="yellow"/>
              </w:rPr>
            </w:pPr>
            <w:r w:rsidRPr="00774A3A">
              <w:t>$270,363</w:t>
            </w:r>
          </w:p>
        </w:tc>
      </w:tr>
      <w:tr w:rsidR="007D61FB" w:rsidRPr="00D657EB" w14:paraId="19245D41" w14:textId="77777777" w:rsidTr="006B2EA1">
        <w:trPr>
          <w:cantSplit/>
        </w:trPr>
        <w:tc>
          <w:tcPr>
            <w:tcW w:w="1170" w:type="pct"/>
            <w:vMerge w:val="restart"/>
          </w:tcPr>
          <w:p w14:paraId="6CBEF265" w14:textId="77777777" w:rsidR="007D61FB" w:rsidRPr="007D36B4" w:rsidRDefault="007D61FB">
            <w:pPr>
              <w:pStyle w:val="ARtabletext"/>
            </w:pPr>
            <w:r>
              <w:t>Consultation and participation</w:t>
            </w:r>
          </w:p>
        </w:tc>
        <w:tc>
          <w:tcPr>
            <w:tcW w:w="2333" w:type="pct"/>
            <w:tcBorders>
              <w:top w:val="single" w:sz="4" w:space="0" w:color="auto"/>
              <w:bottom w:val="single" w:sz="2" w:space="0" w:color="A6A6A6" w:themeColor="accent5"/>
            </w:tcBorders>
          </w:tcPr>
          <w:p w14:paraId="746609BE" w14:textId="1ED715BE" w:rsidR="007D61FB" w:rsidRPr="007D36B4" w:rsidRDefault="007D61FB">
            <w:pPr>
              <w:pStyle w:val="ARtabletext"/>
            </w:pPr>
            <w:r>
              <w:t>Number of People and Culture Committee</w:t>
            </w:r>
            <w:r w:rsidR="0040677D">
              <w:t> </w:t>
            </w:r>
            <w:r>
              <w:t>meetings</w:t>
            </w:r>
            <w:r w:rsidR="007A3722">
              <w:t xml:space="preserve"> </w:t>
            </w:r>
            <w:r>
              <w:rPr>
                <w:rStyle w:val="FootnoteReference"/>
              </w:rPr>
              <w:footnoteReference w:id="16"/>
            </w:r>
          </w:p>
        </w:tc>
        <w:tc>
          <w:tcPr>
            <w:tcW w:w="499" w:type="pct"/>
            <w:tcBorders>
              <w:top w:val="single" w:sz="4" w:space="0" w:color="auto"/>
              <w:bottom w:val="single" w:sz="2" w:space="0" w:color="A6A6A6" w:themeColor="accent5"/>
            </w:tcBorders>
          </w:tcPr>
          <w:p w14:paraId="0990C460" w14:textId="77777777" w:rsidR="007D61FB" w:rsidRPr="007D36B4" w:rsidRDefault="007D61FB" w:rsidP="007F0ADA">
            <w:pPr>
              <w:pStyle w:val="ARtabletextright"/>
            </w:pPr>
          </w:p>
        </w:tc>
        <w:tc>
          <w:tcPr>
            <w:tcW w:w="351" w:type="pct"/>
            <w:tcBorders>
              <w:top w:val="single" w:sz="4" w:space="0" w:color="auto"/>
              <w:bottom w:val="single" w:sz="2" w:space="0" w:color="A6A6A6" w:themeColor="accent5"/>
            </w:tcBorders>
          </w:tcPr>
          <w:p w14:paraId="11CA3E37" w14:textId="77777777" w:rsidR="007D61FB" w:rsidRPr="007D36B4" w:rsidRDefault="007D61FB" w:rsidP="007F0ADA">
            <w:pPr>
              <w:pStyle w:val="ARtabletextright"/>
            </w:pPr>
          </w:p>
        </w:tc>
        <w:tc>
          <w:tcPr>
            <w:tcW w:w="647" w:type="pct"/>
            <w:tcBorders>
              <w:top w:val="single" w:sz="4" w:space="0" w:color="auto"/>
              <w:bottom w:val="single" w:sz="2" w:space="0" w:color="A6A6A6" w:themeColor="accent5"/>
            </w:tcBorders>
          </w:tcPr>
          <w:p w14:paraId="16C18552" w14:textId="77777777" w:rsidR="007D61FB" w:rsidRPr="008A2DDD" w:rsidRDefault="007D61FB" w:rsidP="007F0ADA">
            <w:pPr>
              <w:pStyle w:val="ARtabletextright"/>
            </w:pPr>
            <w:r w:rsidRPr="008A2DDD">
              <w:t>11</w:t>
            </w:r>
          </w:p>
        </w:tc>
      </w:tr>
      <w:tr w:rsidR="007D61FB" w:rsidRPr="00D657EB" w14:paraId="2182EBA7" w14:textId="77777777" w:rsidTr="006B2EA1">
        <w:trPr>
          <w:cantSplit/>
        </w:trPr>
        <w:tc>
          <w:tcPr>
            <w:tcW w:w="1170" w:type="pct"/>
            <w:vMerge/>
          </w:tcPr>
          <w:p w14:paraId="231A3E83" w14:textId="77777777" w:rsidR="007D61FB" w:rsidRPr="007D36B4" w:rsidRDefault="007D61FB">
            <w:pPr>
              <w:pStyle w:val="ARtabletext"/>
            </w:pPr>
          </w:p>
        </w:tc>
        <w:tc>
          <w:tcPr>
            <w:tcW w:w="2333" w:type="pct"/>
            <w:tcBorders>
              <w:top w:val="single" w:sz="2" w:space="0" w:color="A6A6A6" w:themeColor="accent5"/>
            </w:tcBorders>
          </w:tcPr>
          <w:p w14:paraId="40DCEE66" w14:textId="2E84F122" w:rsidR="007D61FB" w:rsidRPr="007D36B4" w:rsidRDefault="007D61FB">
            <w:pPr>
              <w:pStyle w:val="ARtabletext"/>
            </w:pPr>
            <w:r>
              <w:t>Number of quarterly Divisional and Area HSW Committee meetings</w:t>
            </w:r>
            <w:r w:rsidR="004001AB">
              <w:t xml:space="preserve"> </w:t>
            </w:r>
            <w:r>
              <w:rPr>
                <w:rStyle w:val="FootnoteReference"/>
              </w:rPr>
              <w:footnoteReference w:id="17"/>
            </w:r>
          </w:p>
        </w:tc>
        <w:tc>
          <w:tcPr>
            <w:tcW w:w="499" w:type="pct"/>
            <w:tcBorders>
              <w:top w:val="single" w:sz="2" w:space="0" w:color="A6A6A6" w:themeColor="accent5"/>
            </w:tcBorders>
          </w:tcPr>
          <w:p w14:paraId="76B28B7B" w14:textId="77777777" w:rsidR="007D61FB" w:rsidRPr="007D36B4" w:rsidRDefault="007D61FB">
            <w:pPr>
              <w:pStyle w:val="ARtabletextright"/>
            </w:pPr>
          </w:p>
        </w:tc>
        <w:tc>
          <w:tcPr>
            <w:tcW w:w="351" w:type="pct"/>
            <w:tcBorders>
              <w:top w:val="single" w:sz="2" w:space="0" w:color="A6A6A6" w:themeColor="accent5"/>
            </w:tcBorders>
          </w:tcPr>
          <w:p w14:paraId="3A9DD203" w14:textId="77777777" w:rsidR="007D61FB" w:rsidRPr="007D36B4" w:rsidRDefault="007D61FB">
            <w:pPr>
              <w:pStyle w:val="ARtabletextright"/>
            </w:pPr>
          </w:p>
        </w:tc>
        <w:tc>
          <w:tcPr>
            <w:tcW w:w="647" w:type="pct"/>
            <w:tcBorders>
              <w:top w:val="single" w:sz="2" w:space="0" w:color="A6A6A6" w:themeColor="accent5"/>
            </w:tcBorders>
          </w:tcPr>
          <w:p w14:paraId="538E9F52" w14:textId="77777777" w:rsidR="007D61FB" w:rsidRPr="008A2DDD" w:rsidRDefault="007D61FB">
            <w:pPr>
              <w:pStyle w:val="ARtabletextright"/>
            </w:pPr>
            <w:r w:rsidRPr="008A2DDD">
              <w:t>111</w:t>
            </w:r>
          </w:p>
        </w:tc>
      </w:tr>
    </w:tbl>
    <w:p w14:paraId="3697177F" w14:textId="77777777" w:rsidR="007D61FB" w:rsidRPr="00A47FB6" w:rsidRDefault="007D61FB" w:rsidP="00DF377B">
      <w:pPr>
        <w:pStyle w:val="ARtablefootnote"/>
      </w:pPr>
      <w:r w:rsidRPr="00A47FB6">
        <w:t>Standard claims are those that have exceeded the employer excess (days or dollars) or are open claims that have been received but have no payments at the time of extraction and may be rejected.</w:t>
      </w:r>
    </w:p>
    <w:p w14:paraId="5D6D34F5" w14:textId="77777777" w:rsidR="007D61FB" w:rsidRPr="00A47FB6" w:rsidRDefault="007D61FB">
      <w:pPr>
        <w:pStyle w:val="ARtablefootnote"/>
      </w:pPr>
      <w:r w:rsidRPr="00A47FB6">
        <w:t>A time-lost claim is one with one or more days compensation paid by the Victorian WorkCover Authority (that is, once the employer has paid the 10-day excess) at the time of extraction.</w:t>
      </w:r>
    </w:p>
    <w:p w14:paraId="41958255" w14:textId="77777777" w:rsidR="007D61FB" w:rsidRPr="00A47FB6" w:rsidRDefault="007D61FB">
      <w:pPr>
        <w:pStyle w:val="ARtablefootnote"/>
      </w:pPr>
      <w:r w:rsidRPr="00A47FB6">
        <w:t>Thirteen-week claims are claims that involve 13 weeks or more of weekly benefits paid. The 13-week measure begins at day one (that is, employer excess and Victorian WorkCover Authority payments).</w:t>
      </w:r>
    </w:p>
    <w:p w14:paraId="1FB5BCDD" w14:textId="6DC7C7E5" w:rsidR="007D61FB" w:rsidRPr="004F5000" w:rsidRDefault="007D61FB" w:rsidP="00A95A18">
      <w:pPr>
        <w:pStyle w:val="ARtablecaption"/>
      </w:pPr>
      <w:r w:rsidRPr="004F5000">
        <w:t xml:space="preserve">Table </w:t>
      </w:r>
      <w:r w:rsidR="007746AA">
        <w:t>7</w:t>
      </w:r>
      <w:r w:rsidRPr="004F5000">
        <w:t>: The department</w:t>
      </w:r>
      <w:r w:rsidR="00711AE6">
        <w:t>’</w:t>
      </w:r>
      <w:r w:rsidRPr="004F5000">
        <w:t>s performance against health and safety management measures</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371"/>
        <w:gridCol w:w="2448"/>
        <w:gridCol w:w="5803"/>
      </w:tblGrid>
      <w:tr w:rsidR="007D61FB" w:rsidRPr="00D657EB" w14:paraId="013ECC23" w14:textId="77777777" w:rsidTr="000858CA">
        <w:trPr>
          <w:cantSplit/>
          <w:tblHeader/>
        </w:trPr>
        <w:tc>
          <w:tcPr>
            <w:tcW w:w="1372" w:type="dxa"/>
            <w:vAlign w:val="bottom"/>
          </w:tcPr>
          <w:p w14:paraId="1A1B36CA" w14:textId="77777777" w:rsidR="007D61FB" w:rsidRPr="004F5000" w:rsidRDefault="007D61FB">
            <w:pPr>
              <w:pStyle w:val="ARtablecolhead"/>
            </w:pPr>
            <w:r w:rsidRPr="004F5000">
              <w:t>Measure</w:t>
            </w:r>
          </w:p>
        </w:tc>
        <w:tc>
          <w:tcPr>
            <w:tcW w:w="2451" w:type="dxa"/>
            <w:vAlign w:val="bottom"/>
          </w:tcPr>
          <w:p w14:paraId="2111A852" w14:textId="77777777" w:rsidR="007D61FB" w:rsidRPr="004F5000" w:rsidRDefault="007D61FB">
            <w:pPr>
              <w:pStyle w:val="ARtablecolhead"/>
            </w:pPr>
            <w:r w:rsidRPr="004F5000">
              <w:t>Key performance indicator</w:t>
            </w:r>
          </w:p>
        </w:tc>
        <w:tc>
          <w:tcPr>
            <w:tcW w:w="5816" w:type="dxa"/>
            <w:vAlign w:val="bottom"/>
          </w:tcPr>
          <w:p w14:paraId="3D730976" w14:textId="77777777" w:rsidR="007D61FB" w:rsidRPr="004F5000" w:rsidRDefault="007D61FB">
            <w:pPr>
              <w:pStyle w:val="ARtablecolhead"/>
            </w:pPr>
            <w:r w:rsidRPr="004F5000">
              <w:t>Performance</w:t>
            </w:r>
          </w:p>
        </w:tc>
      </w:tr>
      <w:tr w:rsidR="007D61FB" w:rsidRPr="00D657EB" w14:paraId="6886FE2F" w14:textId="77777777" w:rsidTr="000858CA">
        <w:trPr>
          <w:cantSplit/>
          <w:trHeight w:val="220"/>
        </w:trPr>
        <w:tc>
          <w:tcPr>
            <w:tcW w:w="1372" w:type="dxa"/>
          </w:tcPr>
          <w:p w14:paraId="612A0D24" w14:textId="77777777" w:rsidR="007D61FB" w:rsidRPr="004F5000" w:rsidRDefault="007D61FB">
            <w:pPr>
              <w:pStyle w:val="ARtabletext"/>
            </w:pPr>
            <w:r w:rsidRPr="004F5000">
              <w:t>Management commitment</w:t>
            </w:r>
          </w:p>
        </w:tc>
        <w:tc>
          <w:tcPr>
            <w:tcW w:w="2451" w:type="dxa"/>
          </w:tcPr>
          <w:p w14:paraId="25470149" w14:textId="73DD34CB" w:rsidR="007D61FB" w:rsidRPr="004F5000" w:rsidRDefault="007D61FB">
            <w:pPr>
              <w:pStyle w:val="ARtabletext"/>
            </w:pPr>
            <w:r w:rsidRPr="004F5000">
              <w:t>OHS policy statement and</w:t>
            </w:r>
            <w:r w:rsidR="00AC0F09">
              <w:t> </w:t>
            </w:r>
            <w:r w:rsidRPr="004F5000">
              <w:t>OHS criteria</w:t>
            </w:r>
          </w:p>
        </w:tc>
        <w:tc>
          <w:tcPr>
            <w:tcW w:w="5816" w:type="dxa"/>
          </w:tcPr>
          <w:p w14:paraId="30091F58" w14:textId="244C86F7" w:rsidR="007D61FB" w:rsidRPr="004F5000" w:rsidRDefault="007D61FB" w:rsidP="00DF377B">
            <w:pPr>
              <w:pStyle w:val="ARTabletextlessleading"/>
            </w:pPr>
            <w:r w:rsidRPr="004F5000">
              <w:t>The department</w:t>
            </w:r>
            <w:r w:rsidR="00711AE6">
              <w:t>’</w:t>
            </w:r>
            <w:r w:rsidRPr="004F5000">
              <w:t xml:space="preserve">s </w:t>
            </w:r>
            <w:r w:rsidRPr="00410CB6">
              <w:rPr>
                <w:rStyle w:val="Emphasis"/>
              </w:rPr>
              <w:t>Health, safety and wellbeing policy</w:t>
            </w:r>
            <w:r w:rsidRPr="004F5000">
              <w:t xml:space="preserve"> details its commitment to providing employees with a work environment and experience that is safe and supports and promotes optimum health, safety and wellbeing.</w:t>
            </w:r>
          </w:p>
          <w:p w14:paraId="690433EE" w14:textId="26E2856D" w:rsidR="007D61FB" w:rsidRPr="004F5000" w:rsidRDefault="007D61FB" w:rsidP="00DF377B">
            <w:pPr>
              <w:pStyle w:val="ARTabletextlessleading"/>
            </w:pPr>
            <w:r w:rsidRPr="004F5000">
              <w:t>Responsibility for health, safety and wellbeing is an inherent part of every employee</w:t>
            </w:r>
            <w:r w:rsidR="00711AE6">
              <w:t>’</w:t>
            </w:r>
            <w:r w:rsidRPr="004F5000">
              <w:t>s role. Specific accountabilities for all employees and additional accountabilities for managers and leaders are defined and documented to provide and maintain a health</w:t>
            </w:r>
            <w:r>
              <w:t>y</w:t>
            </w:r>
            <w:r w:rsidRPr="004F5000">
              <w:t xml:space="preserve"> and safe workplace. Specific HSW performance goals are included in all department employee performance plans.</w:t>
            </w:r>
          </w:p>
          <w:p w14:paraId="61491DCE" w14:textId="6A32F6F8" w:rsidR="007D61FB" w:rsidRPr="004F5000" w:rsidRDefault="007D61FB" w:rsidP="00DF377B">
            <w:pPr>
              <w:pStyle w:val="ARTabletextlessleading"/>
              <w:rPr>
                <w:iCs/>
              </w:rPr>
            </w:pPr>
            <w:r w:rsidRPr="004F5000">
              <w:rPr>
                <w:iCs/>
              </w:rPr>
              <w:t>The department monitors its HSW performance against a defined Outcomes Framework and reports performance results to a range of</w:t>
            </w:r>
            <w:r w:rsidR="00DF377B">
              <w:rPr>
                <w:iCs/>
              </w:rPr>
              <w:t> </w:t>
            </w:r>
            <w:r w:rsidRPr="004F5000">
              <w:rPr>
                <w:iCs/>
              </w:rPr>
              <w:t>governance and consultative committees.</w:t>
            </w:r>
          </w:p>
          <w:p w14:paraId="7AE97052" w14:textId="1F9791CF" w:rsidR="007D61FB" w:rsidRPr="0040677D" w:rsidRDefault="007D61FB" w:rsidP="00DF377B">
            <w:pPr>
              <w:pStyle w:val="ARTabletextlessleading"/>
            </w:pPr>
            <w:r w:rsidRPr="004F5000">
              <w:t xml:space="preserve">The department actively participates in Victorian Public Service HSW governance bodies including </w:t>
            </w:r>
            <w:r>
              <w:t xml:space="preserve">the </w:t>
            </w:r>
            <w:r w:rsidRPr="004F5000">
              <w:t xml:space="preserve">OHS Leadership Group, </w:t>
            </w:r>
            <w:r>
              <w:t xml:space="preserve">the </w:t>
            </w:r>
            <w:r w:rsidRPr="004F5000">
              <w:t>OHS Executive Group and the OHS Project Review Board.</w:t>
            </w:r>
            <w:r w:rsidR="00E570E2">
              <w:t xml:space="preserve"> </w:t>
            </w:r>
          </w:p>
        </w:tc>
      </w:tr>
      <w:tr w:rsidR="007D61FB" w:rsidRPr="00D657EB" w14:paraId="0A061D9C" w14:textId="77777777" w:rsidTr="000858CA">
        <w:trPr>
          <w:cantSplit/>
          <w:trHeight w:val="130"/>
        </w:trPr>
        <w:tc>
          <w:tcPr>
            <w:tcW w:w="1372" w:type="dxa"/>
          </w:tcPr>
          <w:p w14:paraId="1DD24FC8" w14:textId="77777777" w:rsidR="007D61FB" w:rsidRPr="004F5000" w:rsidRDefault="007D61FB">
            <w:pPr>
              <w:pStyle w:val="ARtabletext"/>
            </w:pPr>
            <w:r w:rsidRPr="004F5000">
              <w:t>Consultation and participation</w:t>
            </w:r>
          </w:p>
        </w:tc>
        <w:tc>
          <w:tcPr>
            <w:tcW w:w="2451" w:type="dxa"/>
          </w:tcPr>
          <w:p w14:paraId="284B650E" w14:textId="77777777" w:rsidR="007D61FB" w:rsidRPr="004F5000" w:rsidRDefault="007D61FB">
            <w:pPr>
              <w:pStyle w:val="ARtabletext"/>
            </w:pPr>
            <w:r w:rsidRPr="004F5000">
              <w:t>Designated work group structures and issue resolution procedures</w:t>
            </w:r>
          </w:p>
        </w:tc>
        <w:tc>
          <w:tcPr>
            <w:tcW w:w="5816" w:type="dxa"/>
          </w:tcPr>
          <w:p w14:paraId="6F7082CE" w14:textId="5B257C50" w:rsidR="007D61FB" w:rsidRPr="004F5000" w:rsidRDefault="007D61FB" w:rsidP="00DF377B">
            <w:pPr>
              <w:pStyle w:val="ARTabletextlessleading"/>
            </w:pPr>
            <w:r w:rsidRPr="004F5000">
              <w:t>The department</w:t>
            </w:r>
            <w:r w:rsidR="00711AE6">
              <w:t>’</w:t>
            </w:r>
            <w:r w:rsidRPr="004F5000">
              <w:t xml:space="preserve">s extensive network of </w:t>
            </w:r>
            <w:r w:rsidRPr="00807200">
              <w:t>129 designated work groups, 158 health and safety representatives (HSRs) (including deputy health and safety representatives) and 85</w:t>
            </w:r>
            <w:r w:rsidRPr="004F5000">
              <w:t xml:space="preserve"> designated management representatives (DMRs) gives employees an avenue to be heard on health and safety matters in the workplace</w:t>
            </w:r>
            <w:r>
              <w:t>.</w:t>
            </w:r>
          </w:p>
          <w:p w14:paraId="4A5705EE" w14:textId="14F8F969" w:rsidR="007D61FB" w:rsidRDefault="007D61FB" w:rsidP="00DF377B">
            <w:pPr>
              <w:pStyle w:val="ARTabletextlessleading"/>
            </w:pPr>
            <w:r w:rsidRPr="004F5000">
              <w:t>The department has a comprehensive health and safety consultation structure in</w:t>
            </w:r>
            <w:r>
              <w:t xml:space="preserve"> </w:t>
            </w:r>
            <w:r w:rsidRPr="004F5000">
              <w:t>place</w:t>
            </w:r>
            <w:r>
              <w:t xml:space="preserve"> </w:t>
            </w:r>
            <w:r w:rsidRPr="004F5000">
              <w:t xml:space="preserve">comprising committees at the area and divisional level. </w:t>
            </w:r>
            <w:r>
              <w:t>The People and Culture Committee is a subcommittee of the Board and monitors the HSW performance of the department. This</w:t>
            </w:r>
            <w:r w:rsidR="004001AB">
              <w:t> </w:t>
            </w:r>
            <w:r>
              <w:t>committee met 11 times during 2023</w:t>
            </w:r>
            <w:r w:rsidR="005B7C9B">
              <w:t>–</w:t>
            </w:r>
            <w:r>
              <w:t>24.</w:t>
            </w:r>
          </w:p>
          <w:p w14:paraId="078B6749" w14:textId="481F0179" w:rsidR="007D61FB" w:rsidRPr="004F5000" w:rsidRDefault="007D61FB" w:rsidP="00DF377B">
            <w:pPr>
              <w:pStyle w:val="ARTabletextlessleading"/>
            </w:pPr>
            <w:r>
              <w:t>Divisional and Area</w:t>
            </w:r>
            <w:r w:rsidRPr="004F5000">
              <w:t xml:space="preserve"> HSW committees play a key consultative role in improving workplace health and safety at the department by providing a forum for HSRs and DMRs to meet regularly and work collaboratively to plan and develop solutions to improve HSW outcomes in the workplace. </w:t>
            </w:r>
            <w:r>
              <w:t>There were 111 Divisional and Area HSW committee meetings during 2023</w:t>
            </w:r>
            <w:r w:rsidR="005B7C9B">
              <w:t>–</w:t>
            </w:r>
            <w:r>
              <w:t xml:space="preserve">24. </w:t>
            </w:r>
            <w:r w:rsidRPr="004F5000">
              <w:t>The issue resolution guide outlines the department</w:t>
            </w:r>
            <w:r w:rsidR="00711AE6">
              <w:t>’</w:t>
            </w:r>
            <w:r w:rsidRPr="004F5000">
              <w:t>s process for managers and employees to follow to resolve health and safety issues identified in department workplaces.</w:t>
            </w:r>
          </w:p>
        </w:tc>
      </w:tr>
      <w:tr w:rsidR="007D61FB" w:rsidRPr="00D657EB" w14:paraId="51E30D44" w14:textId="77777777" w:rsidTr="000858CA">
        <w:trPr>
          <w:cantSplit/>
          <w:trHeight w:val="340"/>
        </w:trPr>
        <w:tc>
          <w:tcPr>
            <w:tcW w:w="1372" w:type="dxa"/>
          </w:tcPr>
          <w:p w14:paraId="27AAA518" w14:textId="77777777" w:rsidR="007D61FB" w:rsidRPr="00285296" w:rsidRDefault="007D61FB">
            <w:pPr>
              <w:pStyle w:val="ARtabletext"/>
            </w:pPr>
            <w:r w:rsidRPr="00285296">
              <w:t>Risk management</w:t>
            </w:r>
          </w:p>
        </w:tc>
        <w:tc>
          <w:tcPr>
            <w:tcW w:w="2451" w:type="dxa"/>
          </w:tcPr>
          <w:p w14:paraId="588C3EC4" w14:textId="7F301780" w:rsidR="007D61FB" w:rsidRPr="00285296" w:rsidRDefault="007D61FB">
            <w:pPr>
              <w:pStyle w:val="ARtabletext"/>
            </w:pPr>
            <w:r w:rsidRPr="00285296">
              <w:t>Regular risk assessments and internal audits conducted. Issues identified</w:t>
            </w:r>
            <w:r w:rsidR="00AC0F09">
              <w:t> </w:t>
            </w:r>
            <w:r w:rsidRPr="00285296">
              <w:t>and actioned</w:t>
            </w:r>
          </w:p>
        </w:tc>
        <w:tc>
          <w:tcPr>
            <w:tcW w:w="5816" w:type="dxa"/>
          </w:tcPr>
          <w:p w14:paraId="1750D61F" w14:textId="688854D3" w:rsidR="007D61FB" w:rsidRPr="00285296" w:rsidRDefault="007D61FB" w:rsidP="00DF377B">
            <w:pPr>
              <w:pStyle w:val="ARTabletextlessleading"/>
            </w:pPr>
            <w:r w:rsidRPr="00285296">
              <w:t>eDINMAR (electronic disease, injury, near miss, accident report) is the department</w:t>
            </w:r>
            <w:r w:rsidR="00711AE6">
              <w:t>’</w:t>
            </w:r>
            <w:r w:rsidRPr="00285296">
              <w:t xml:space="preserve">s HSW </w:t>
            </w:r>
            <w:r>
              <w:t xml:space="preserve">online </w:t>
            </w:r>
            <w:r w:rsidRPr="00285296">
              <w:t>hazard and incident reporting system. All</w:t>
            </w:r>
            <w:r w:rsidR="00DF377B">
              <w:t> </w:t>
            </w:r>
            <w:r w:rsidRPr="00285296">
              <w:t xml:space="preserve">employees are encouraged to report incidents and hazards so that the department </w:t>
            </w:r>
            <w:r>
              <w:t>can</w:t>
            </w:r>
            <w:r w:rsidRPr="00285296">
              <w:t xml:space="preserve"> understand its risks and to enable prompt and effective response (including incident investigation and implementation of</w:t>
            </w:r>
            <w:r w:rsidR="00251456">
              <w:t> </w:t>
            </w:r>
            <w:r w:rsidRPr="00285296">
              <w:t>controls)</w:t>
            </w:r>
            <w:r>
              <w:t>.</w:t>
            </w:r>
          </w:p>
          <w:p w14:paraId="133332D7" w14:textId="77777777" w:rsidR="007D61FB" w:rsidRPr="00285296" w:rsidRDefault="007D61FB" w:rsidP="00DF377B">
            <w:pPr>
              <w:pStyle w:val="ARTabletextlessleading"/>
            </w:pPr>
            <w:r w:rsidRPr="00285296">
              <w:t>The department has comprehensive procedures and tools for assessing and managing key HSW hazards and for undertaking workplace inspections.</w:t>
            </w:r>
          </w:p>
          <w:p w14:paraId="2E3211D6" w14:textId="77777777" w:rsidR="007D61FB" w:rsidRPr="00D657EB" w:rsidRDefault="007D61FB" w:rsidP="00DF377B">
            <w:pPr>
              <w:pStyle w:val="ARTabletextlessleading"/>
              <w:rPr>
                <w:highlight w:val="cyan"/>
              </w:rPr>
            </w:pPr>
            <w:r>
              <w:t xml:space="preserve">WorkSafe made </w:t>
            </w:r>
            <w:r w:rsidRPr="006947E1">
              <w:t>32 vi</w:t>
            </w:r>
            <w:r>
              <w:t xml:space="preserve">sits to department workplaces and </w:t>
            </w:r>
            <w:r w:rsidRPr="00FE4C3D">
              <w:t xml:space="preserve">2 </w:t>
            </w:r>
            <w:r>
              <w:t xml:space="preserve">improvement notices were issued from 1 July 2023 to 30 June 2024. There were no HSR provisional improvement notices issued. </w:t>
            </w:r>
          </w:p>
        </w:tc>
      </w:tr>
      <w:tr w:rsidR="007D61FB" w:rsidRPr="00D657EB" w14:paraId="056B915E" w14:textId="77777777" w:rsidTr="000858CA">
        <w:trPr>
          <w:cantSplit/>
          <w:trHeight w:val="402"/>
        </w:trPr>
        <w:tc>
          <w:tcPr>
            <w:tcW w:w="1372" w:type="dxa"/>
          </w:tcPr>
          <w:p w14:paraId="0E80D155" w14:textId="77777777" w:rsidR="007D61FB" w:rsidRPr="00285296" w:rsidRDefault="007D61FB">
            <w:pPr>
              <w:pStyle w:val="ARtabletext"/>
            </w:pPr>
            <w:r w:rsidRPr="00285296">
              <w:t>Training</w:t>
            </w:r>
          </w:p>
        </w:tc>
        <w:tc>
          <w:tcPr>
            <w:tcW w:w="2451" w:type="dxa"/>
          </w:tcPr>
          <w:p w14:paraId="7EEB655E" w14:textId="77777777" w:rsidR="007D61FB" w:rsidRPr="00285296" w:rsidRDefault="007D61FB">
            <w:pPr>
              <w:pStyle w:val="ARtabletext"/>
            </w:pPr>
            <w:r w:rsidRPr="00285296">
              <w:t>Managers, health and safety representatives and other staff trained</w:t>
            </w:r>
          </w:p>
        </w:tc>
        <w:tc>
          <w:tcPr>
            <w:tcW w:w="5816" w:type="dxa"/>
          </w:tcPr>
          <w:p w14:paraId="279CCFE5" w14:textId="77777777" w:rsidR="007D61FB" w:rsidRPr="00285296" w:rsidRDefault="007D61FB" w:rsidP="00DF377B">
            <w:pPr>
              <w:pStyle w:val="ARTabletextlessleading"/>
            </w:pPr>
            <w:bookmarkStart w:id="194" w:name="_Hlk142051002"/>
            <w:r w:rsidRPr="00285296">
              <w:t xml:space="preserve">A broad range of HSW training and webinars </w:t>
            </w:r>
            <w:r>
              <w:t xml:space="preserve">were available </w:t>
            </w:r>
            <w:r w:rsidRPr="00285296">
              <w:t>to managers and employees at the department-level and at the program-level</w:t>
            </w:r>
            <w:r>
              <w:t>.</w:t>
            </w:r>
            <w:r w:rsidRPr="00285296">
              <w:t xml:space="preserve"> Approximately </w:t>
            </w:r>
            <w:r>
              <w:t>566</w:t>
            </w:r>
            <w:r w:rsidRPr="00285296">
              <w:t xml:space="preserve"> participants attended department-level HSW training during the year</w:t>
            </w:r>
            <w:r>
              <w:t>.</w:t>
            </w:r>
          </w:p>
          <w:bookmarkEnd w:id="194"/>
          <w:p w14:paraId="45E04AB3" w14:textId="62788FFD" w:rsidR="007D61FB" w:rsidRPr="00285296" w:rsidRDefault="007D61FB" w:rsidP="00DF377B">
            <w:pPr>
              <w:pStyle w:val="ARTabletextlessleading"/>
            </w:pPr>
            <w:r w:rsidRPr="00285296">
              <w:t xml:space="preserve">All health and safety representatives elected were encouraged and supported by the department to undertake the </w:t>
            </w:r>
            <w:r w:rsidR="009D641C">
              <w:t>5</w:t>
            </w:r>
            <w:r w:rsidRPr="00285296">
              <w:t>-day health and safety representative training program.</w:t>
            </w:r>
          </w:p>
          <w:p w14:paraId="489E8BF2" w14:textId="77777777" w:rsidR="007D61FB" w:rsidRPr="00D657EB" w:rsidRDefault="007D61FB" w:rsidP="00DF377B">
            <w:pPr>
              <w:pStyle w:val="ARTabletextlessleading"/>
              <w:rPr>
                <w:highlight w:val="cyan"/>
              </w:rPr>
            </w:pPr>
            <w:r w:rsidRPr="00285296">
              <w:t>The department delivered a range of HSW sessions and initiatives during HSW Month held during October. Approximately 1,270 employees participated across the 18 events offered in 2023.</w:t>
            </w:r>
          </w:p>
        </w:tc>
      </w:tr>
    </w:tbl>
    <w:p w14:paraId="6F070BF0" w14:textId="77777777" w:rsidR="004F7554" w:rsidRDefault="004F7554" w:rsidP="00D37BCF">
      <w:pPr>
        <w:pStyle w:val="ARbody"/>
        <w:rPr>
          <w:highlight w:val="yellow"/>
        </w:rPr>
        <w:sectPr w:rsidR="004F7554" w:rsidSect="005936D2">
          <w:headerReference w:type="even" r:id="rId90"/>
          <w:footerReference w:type="even" r:id="rId91"/>
          <w:footerReference w:type="default" r:id="rId92"/>
          <w:headerReference w:type="first" r:id="rId93"/>
          <w:footerReference w:type="first" r:id="rId94"/>
          <w:footnotePr>
            <w:numFmt w:val="lowerRoman"/>
            <w:numRestart w:val="eachPage"/>
          </w:footnotePr>
          <w:endnotePr>
            <w:numFmt w:val="decimal"/>
          </w:endnotePr>
          <w:type w:val="continuous"/>
          <w:pgSz w:w="11900" w:h="16840" w:code="9"/>
          <w:pgMar w:top="1701" w:right="1134" w:bottom="851" w:left="1134" w:header="510" w:footer="340" w:gutter="0"/>
          <w:cols w:space="454"/>
        </w:sectPr>
      </w:pPr>
    </w:p>
    <w:p w14:paraId="5115A058" w14:textId="77777777" w:rsidR="004F7554" w:rsidRPr="00532DAE" w:rsidRDefault="004F7554" w:rsidP="00A742C2">
      <w:pPr>
        <w:pStyle w:val="Heading1"/>
      </w:pPr>
      <w:bookmarkStart w:id="195" w:name="_Toc181101508"/>
      <w:bookmarkStart w:id="196" w:name="_Hlk108096166"/>
      <w:bookmarkEnd w:id="174"/>
      <w:bookmarkEnd w:id="175"/>
      <w:bookmarkEnd w:id="176"/>
      <w:r w:rsidRPr="00532DAE">
        <w:t xml:space="preserve">Section 4: </w:t>
      </w:r>
      <w:r w:rsidRPr="004F7554">
        <w:t>Other</w:t>
      </w:r>
      <w:r w:rsidRPr="00532DAE">
        <w:t xml:space="preserve"> disclosures</w:t>
      </w:r>
      <w:bookmarkEnd w:id="195"/>
    </w:p>
    <w:p w14:paraId="45B52DA1" w14:textId="77777777" w:rsidR="004F7554" w:rsidRPr="0012016D" w:rsidRDefault="004F7554" w:rsidP="004F7554">
      <w:pPr>
        <w:pStyle w:val="Heading2"/>
      </w:pPr>
      <w:bookmarkStart w:id="197" w:name="_Ref178181257"/>
      <w:bookmarkStart w:id="198" w:name="_Ref178240705"/>
      <w:bookmarkStart w:id="199" w:name="_Ref178241225"/>
      <w:bookmarkStart w:id="200" w:name="_Toc181101509"/>
      <w:r w:rsidRPr="0012016D">
        <w:t xml:space="preserve">Local Jobs </w:t>
      </w:r>
      <w:r w:rsidRPr="004F7554">
        <w:t>First</w:t>
      </w:r>
      <w:bookmarkEnd w:id="197"/>
      <w:bookmarkEnd w:id="198"/>
      <w:bookmarkEnd w:id="199"/>
      <w:bookmarkEnd w:id="200"/>
    </w:p>
    <w:p w14:paraId="52A45546" w14:textId="77777777" w:rsidR="004F7554" w:rsidRPr="0012016D" w:rsidRDefault="004F7554" w:rsidP="0088621E">
      <w:pPr>
        <w:pStyle w:val="Heading2"/>
        <w:sectPr w:rsidR="004F7554" w:rsidRPr="0012016D" w:rsidSect="005936D2">
          <w:headerReference w:type="even" r:id="rId95"/>
          <w:footerReference w:type="even" r:id="rId96"/>
          <w:footerReference w:type="default" r:id="rId97"/>
          <w:headerReference w:type="first" r:id="rId98"/>
          <w:footerReference w:type="first" r:id="rId99"/>
          <w:footnotePr>
            <w:numFmt w:val="lowerRoman"/>
            <w:numRestart w:val="eachPage"/>
          </w:footnotePr>
          <w:endnotePr>
            <w:numFmt w:val="decimal"/>
          </w:endnotePr>
          <w:pgSz w:w="11900" w:h="16840" w:code="9"/>
          <w:pgMar w:top="1701" w:right="1134" w:bottom="851" w:left="1134" w:header="510" w:footer="340" w:gutter="0"/>
          <w:cols w:space="454"/>
        </w:sectPr>
      </w:pPr>
    </w:p>
    <w:p w14:paraId="05684BD4" w14:textId="791E3744" w:rsidR="004F7554" w:rsidRPr="0012016D" w:rsidRDefault="004F7554" w:rsidP="00BD0B2E">
      <w:pPr>
        <w:pStyle w:val="ARbody"/>
      </w:pPr>
      <w:r w:rsidRPr="0012016D">
        <w:t xml:space="preserve">The </w:t>
      </w:r>
      <w:r w:rsidRPr="00DE367D">
        <w:rPr>
          <w:rStyle w:val="Emphasis"/>
        </w:rPr>
        <w:t>Local Jobs First Act 2003</w:t>
      </w:r>
      <w:r w:rsidRPr="0012016D">
        <w:t xml:space="preserve"> </w:t>
      </w:r>
      <w:r w:rsidR="0021563D">
        <w:t>strengthened</w:t>
      </w:r>
      <w:r w:rsidR="0021563D" w:rsidRPr="0012016D">
        <w:t xml:space="preserve"> </w:t>
      </w:r>
      <w:r w:rsidRPr="0012016D">
        <w:t>in August 2018</w:t>
      </w:r>
      <w:r w:rsidR="00BE1D05">
        <w:t>,</w:t>
      </w:r>
      <w:r w:rsidRPr="0012016D">
        <w:t xml:space="preserve"> brings together the Victorian Industry Participation Policy (VIPP) and Major Project Skills Guarantee (MPSG) policy, which were previously administered separately.</w:t>
      </w:r>
    </w:p>
    <w:p w14:paraId="0D31BEFD" w14:textId="173B31D4" w:rsidR="004F7554" w:rsidRPr="0012016D" w:rsidRDefault="004F7554" w:rsidP="0088621E">
      <w:pPr>
        <w:pStyle w:val="ARbody"/>
      </w:pPr>
      <w:r w:rsidRPr="0012016D">
        <w:t xml:space="preserve">Departments and public sector bodies are required to apply the Local Jobs First policy </w:t>
      </w:r>
      <w:r w:rsidR="00EA18D7">
        <w:t>to</w:t>
      </w:r>
      <w:r w:rsidR="00EA18D7" w:rsidRPr="0012016D">
        <w:t xml:space="preserve"> </w:t>
      </w:r>
      <w:r w:rsidRPr="0012016D">
        <w:t>all projects valued at $3 million or more in metropolitan Melbourne or for statewide projects, or $1 million or more for projects in regional Victoria.</w:t>
      </w:r>
    </w:p>
    <w:p w14:paraId="4878A183" w14:textId="77777777" w:rsidR="004F7554" w:rsidRPr="0012016D" w:rsidRDefault="004F7554" w:rsidP="0088621E">
      <w:pPr>
        <w:pStyle w:val="ARbody"/>
      </w:pPr>
      <w:r w:rsidRPr="0012016D">
        <w:t>MPSG applies to all construction projects valued at $20 million or more.</w:t>
      </w:r>
    </w:p>
    <w:p w14:paraId="56D901DE" w14:textId="77777777" w:rsidR="004F7554" w:rsidRPr="0012016D" w:rsidRDefault="004F7554" w:rsidP="0088621E">
      <w:pPr>
        <w:pStyle w:val="ARbody"/>
      </w:pPr>
      <w:r w:rsidRPr="0012016D">
        <w:t>Every Victorian Government department and agency is required to report on compliance with Local Jobs First in their annual report.</w:t>
      </w:r>
    </w:p>
    <w:p w14:paraId="5E299556" w14:textId="77777777" w:rsidR="004F7554" w:rsidRPr="0012016D" w:rsidRDefault="004F7554" w:rsidP="0088621E">
      <w:pPr>
        <w:pStyle w:val="ARbody"/>
      </w:pPr>
      <w:r w:rsidRPr="0012016D">
        <w:t>Under the</w:t>
      </w:r>
      <w:r w:rsidRPr="00DE367D">
        <w:rPr>
          <w:rStyle w:val="Emphasis"/>
        </w:rPr>
        <w:t xml:space="preserve"> Local Jobs First Act 2003</w:t>
      </w:r>
      <w:r w:rsidRPr="0012016D">
        <w:t>, projects and activities valued at less than $50 million are considered standard projects, while projects or activities valued at more than $50 million are considered strategic projects. These are reported on separately below.</w:t>
      </w:r>
    </w:p>
    <w:p w14:paraId="7C52EF76" w14:textId="69567D7C" w:rsidR="004F7554" w:rsidRPr="0012016D" w:rsidRDefault="004F7554" w:rsidP="0088621E">
      <w:pPr>
        <w:pStyle w:val="ARbody"/>
      </w:pPr>
      <w:r w:rsidRPr="0012016D">
        <w:rPr>
          <w:szCs w:val="20"/>
        </w:rPr>
        <w:t xml:space="preserve">The MPSG guidelines and VIPP guidelines will continue to apply to MPSG-applicable and </w:t>
      </w:r>
      <w:r w:rsidR="00B31DF7">
        <w:rPr>
          <w:szCs w:val="20"/>
        </w:rPr>
        <w:br/>
      </w:r>
      <w:r w:rsidRPr="0012016D">
        <w:rPr>
          <w:szCs w:val="20"/>
        </w:rPr>
        <w:t xml:space="preserve">VIPP-applicable projects respectively where contracts have been entered prior to </w:t>
      </w:r>
      <w:r w:rsidR="00B31DF7">
        <w:rPr>
          <w:szCs w:val="20"/>
        </w:rPr>
        <w:br/>
      </w:r>
      <w:r w:rsidRPr="0012016D">
        <w:rPr>
          <w:szCs w:val="20"/>
        </w:rPr>
        <w:t>15 August 2018.</w:t>
      </w:r>
    </w:p>
    <w:p w14:paraId="14B97F4D" w14:textId="77777777" w:rsidR="004F7554" w:rsidRPr="0012016D" w:rsidRDefault="004F7554" w:rsidP="00333387">
      <w:pPr>
        <w:pStyle w:val="Heading3"/>
      </w:pPr>
      <w:bookmarkStart w:id="201" w:name="_Ref178664003"/>
      <w:r w:rsidRPr="0012016D">
        <w:t>Projects commenced – Local Jobs First Standard</w:t>
      </w:r>
      <w:bookmarkEnd w:id="201"/>
    </w:p>
    <w:p w14:paraId="2B556326" w14:textId="68858F9D" w:rsidR="004F7554" w:rsidRPr="00385F15" w:rsidRDefault="004F7554" w:rsidP="0088621E">
      <w:pPr>
        <w:pStyle w:val="ARbody"/>
      </w:pPr>
      <w:r w:rsidRPr="00385F15">
        <w:t>During 2023–24, the department commenced 15 Local Jobs First Standard projects totalling $118.10 million. Of those projects, 5 were located in regional Victoria, with an average commitment of 91.3</w:t>
      </w:r>
      <w:r w:rsidR="00F95AC7">
        <w:t>%</w:t>
      </w:r>
      <w:r w:rsidRPr="00385F15">
        <w:t xml:space="preserve"> of local content, 5 in metropolitan Melbourne with an average commitment of 91.3</w:t>
      </w:r>
      <w:r w:rsidR="00F95AC7">
        <w:t>%</w:t>
      </w:r>
      <w:r w:rsidRPr="00385F15">
        <w:t xml:space="preserve"> local content, and 5 statewide with an average commitment of 95.5</w:t>
      </w:r>
      <w:r w:rsidR="00F95AC7">
        <w:t>%</w:t>
      </w:r>
      <w:r w:rsidRPr="00385F15">
        <w:t xml:space="preserve"> local content. The MPSG applied to </w:t>
      </w:r>
      <w:r w:rsidR="0072541E">
        <w:t>4</w:t>
      </w:r>
      <w:r w:rsidR="0072541E" w:rsidRPr="00385F15">
        <w:t xml:space="preserve"> </w:t>
      </w:r>
      <w:r w:rsidRPr="00385F15">
        <w:t>of these projects.</w:t>
      </w:r>
    </w:p>
    <w:p w14:paraId="05C968CC" w14:textId="77777777" w:rsidR="004F7554" w:rsidRPr="00385F15" w:rsidRDefault="004F7554" w:rsidP="0088621E">
      <w:pPr>
        <w:pStyle w:val="ARbody"/>
      </w:pPr>
      <w:r w:rsidRPr="00385F15">
        <w:br w:type="column"/>
        <w:t>The outcomes expected from the implementation of the Local Jobs First policy to these projects are as follows:</w:t>
      </w:r>
    </w:p>
    <w:p w14:paraId="1AC6123C" w14:textId="1CA92352" w:rsidR="004F7554" w:rsidRPr="00385F15" w:rsidRDefault="004F7554" w:rsidP="0088621E">
      <w:pPr>
        <w:pStyle w:val="ARbullet1"/>
      </w:pPr>
      <w:r w:rsidRPr="00385F15">
        <w:t>an average of 92.3</w:t>
      </w:r>
      <w:r w:rsidR="00F95AC7">
        <w:t>%</w:t>
      </w:r>
      <w:r w:rsidRPr="00385F15">
        <w:t xml:space="preserve"> of local content commitment was made</w:t>
      </w:r>
    </w:p>
    <w:p w14:paraId="3BB63D25" w14:textId="77777777" w:rsidR="004F7554" w:rsidRPr="00385F15" w:rsidRDefault="004F7554" w:rsidP="0088621E">
      <w:pPr>
        <w:pStyle w:val="ARbullet1"/>
      </w:pPr>
      <w:r w:rsidRPr="00385F15">
        <w:t xml:space="preserve">a total of 120.5 annualised employee equivalent jobs (AEE) were committed, including the creation of </w:t>
      </w:r>
      <w:r>
        <w:t>37.08</w:t>
      </w:r>
      <w:r w:rsidRPr="00385F15">
        <w:t xml:space="preserve"> new jobs and the retention of </w:t>
      </w:r>
      <w:r>
        <w:t>83.41</w:t>
      </w:r>
      <w:r w:rsidRPr="00385F15">
        <w:t xml:space="preserve"> existing jobs (AEE)</w:t>
      </w:r>
    </w:p>
    <w:p w14:paraId="59549ADE" w14:textId="77777777" w:rsidR="004F7554" w:rsidRPr="00385F15" w:rsidRDefault="004F7554" w:rsidP="0088621E">
      <w:pPr>
        <w:pStyle w:val="ARbullet1"/>
      </w:pPr>
      <w:r w:rsidRPr="00385F15">
        <w:t xml:space="preserve">a total of 13.8 positions for apprentices, trainees and cadets were committed, including the creation of 2.9 new apprenticeships, traineeships, and cadets and the retention of the remaining </w:t>
      </w:r>
      <w:r>
        <w:t>10.93</w:t>
      </w:r>
      <w:r w:rsidRPr="00385F15">
        <w:t xml:space="preserve"> existing apprenticeships, traineeships and cadets</w:t>
      </w:r>
    </w:p>
    <w:p w14:paraId="1DC61C1B" w14:textId="77777777" w:rsidR="004F7554" w:rsidRPr="00385F15" w:rsidRDefault="004F7554" w:rsidP="0088621E">
      <w:pPr>
        <w:pStyle w:val="ARbullet1"/>
      </w:pPr>
      <w:r w:rsidRPr="00385F15">
        <w:t xml:space="preserve">MPSG-applicable projects committed to engaging </w:t>
      </w:r>
      <w:r>
        <w:t>5.6</w:t>
      </w:r>
      <w:r w:rsidRPr="00385F15">
        <w:t xml:space="preserve"> apprentices, trainees and cadets</w:t>
      </w:r>
    </w:p>
    <w:p w14:paraId="5430E909" w14:textId="2111F43C" w:rsidR="004F7554" w:rsidRPr="00385F15" w:rsidRDefault="004F7554" w:rsidP="0088621E">
      <w:pPr>
        <w:pStyle w:val="ARbullet1"/>
      </w:pPr>
      <w:r w:rsidRPr="00385F15">
        <w:t>977 small to medium-sized businesses were engaged through the supply chain on Local Jobs First projects</w:t>
      </w:r>
      <w:r w:rsidR="006D2661">
        <w:t>.</w:t>
      </w:r>
    </w:p>
    <w:p w14:paraId="7368E511" w14:textId="77777777" w:rsidR="004F7554" w:rsidRPr="007367BF" w:rsidRDefault="004F7554" w:rsidP="00333387">
      <w:pPr>
        <w:pStyle w:val="Heading3"/>
      </w:pPr>
      <w:r w:rsidRPr="007367BF">
        <w:t>Projects completed – Local Jobs First Standard</w:t>
      </w:r>
    </w:p>
    <w:p w14:paraId="1A28C579" w14:textId="39CD359A" w:rsidR="004F7554" w:rsidRPr="007367BF" w:rsidRDefault="004F7554" w:rsidP="0088621E">
      <w:pPr>
        <w:pStyle w:val="ARbody"/>
      </w:pPr>
      <w:r w:rsidRPr="007367BF">
        <w:t xml:space="preserve">During 2023–24, the department completed </w:t>
      </w:r>
      <w:r w:rsidR="00F95AC7">
        <w:t>2</w:t>
      </w:r>
      <w:r w:rsidRPr="007367BF">
        <w:t> Local Jobs First Standard projects, totalling $3.89 million. One project was located in metropolitan Melbourne and one project was located in regional Victoria. The MSPG did not apply to these projects.</w:t>
      </w:r>
    </w:p>
    <w:p w14:paraId="292C7605" w14:textId="77777777" w:rsidR="004F7554" w:rsidRPr="007367BF" w:rsidRDefault="004F7554" w:rsidP="0088621E">
      <w:pPr>
        <w:pStyle w:val="ARbodyafterbullets"/>
      </w:pPr>
      <w:r w:rsidRPr="007367BF">
        <w:t>Where information was provided, the outcomes expected from the implementation of the Local Jobs First policy to these projects include:</w:t>
      </w:r>
    </w:p>
    <w:p w14:paraId="29B86719" w14:textId="303D87AF" w:rsidR="004F7554" w:rsidRPr="007367BF" w:rsidRDefault="004F7554" w:rsidP="0088621E">
      <w:pPr>
        <w:pStyle w:val="ARbullet1"/>
        <w:spacing w:line="280" w:lineRule="atLeast"/>
      </w:pPr>
      <w:r w:rsidRPr="007367BF">
        <w:t>an average of 61.07</w:t>
      </w:r>
      <w:r w:rsidR="00F95AC7">
        <w:t>%</w:t>
      </w:r>
      <w:r w:rsidRPr="007367BF">
        <w:t xml:space="preserve"> of local content commitment was made</w:t>
      </w:r>
    </w:p>
    <w:p w14:paraId="2257F649" w14:textId="631B1FF6" w:rsidR="004F7554" w:rsidRDefault="004F7554" w:rsidP="0088621E">
      <w:pPr>
        <w:pStyle w:val="ARbullet1"/>
        <w:spacing w:line="280" w:lineRule="atLeast"/>
      </w:pPr>
      <w:r w:rsidRPr="007367BF">
        <w:t xml:space="preserve">115 small to medium-sized businesses were engaged through the supply chain on completed </w:t>
      </w:r>
      <w:r w:rsidR="0072541E" w:rsidRPr="007367BF">
        <w:t xml:space="preserve">Standard </w:t>
      </w:r>
      <w:r w:rsidR="0072541E">
        <w:t>p</w:t>
      </w:r>
      <w:r w:rsidR="0072541E" w:rsidRPr="007367BF">
        <w:t>rojects</w:t>
      </w:r>
      <w:r w:rsidRPr="007367BF">
        <w:t>.</w:t>
      </w:r>
    </w:p>
    <w:p w14:paraId="233220C7" w14:textId="0BADB544" w:rsidR="0025637B" w:rsidRDefault="0025637B">
      <w:pPr>
        <w:rPr>
          <w:rFonts w:ascii="Arial" w:eastAsia="Times" w:hAnsi="Arial" w:cs="Arial"/>
          <w:sz w:val="20"/>
          <w:szCs w:val="24"/>
        </w:rPr>
      </w:pPr>
      <w:r>
        <w:br w:type="page"/>
      </w:r>
    </w:p>
    <w:p w14:paraId="23901DF2" w14:textId="45551A19" w:rsidR="004F7554" w:rsidRPr="00385F15" w:rsidRDefault="004F7554" w:rsidP="00333387">
      <w:pPr>
        <w:pStyle w:val="Heading3"/>
      </w:pPr>
      <w:r w:rsidRPr="00385F15">
        <w:t>Projects commenced – Local</w:t>
      </w:r>
      <w:r w:rsidR="00AC0F09">
        <w:t> </w:t>
      </w:r>
      <w:r w:rsidRPr="00385F15">
        <w:t>Jobs First Strategic</w:t>
      </w:r>
    </w:p>
    <w:p w14:paraId="6AD99511" w14:textId="58ADED0F" w:rsidR="004F7554" w:rsidRPr="00385F15" w:rsidRDefault="004F7554" w:rsidP="0088621E">
      <w:pPr>
        <w:pStyle w:val="ARbody"/>
      </w:pPr>
      <w:r w:rsidRPr="00385F15">
        <w:t>During 202</w:t>
      </w:r>
      <w:r>
        <w:t>3</w:t>
      </w:r>
      <w:r w:rsidRPr="00385F15">
        <w:t>–2</w:t>
      </w:r>
      <w:r>
        <w:t>4</w:t>
      </w:r>
      <w:r w:rsidRPr="00385F15">
        <w:t xml:space="preserve">, the department commenced </w:t>
      </w:r>
      <w:r w:rsidR="00F95AC7">
        <w:t>7</w:t>
      </w:r>
      <w:r w:rsidRPr="00385F15">
        <w:t> Local Jobs First Strategic Projects, valued at $</w:t>
      </w:r>
      <w:r>
        <w:t>667.74</w:t>
      </w:r>
      <w:r w:rsidRPr="00385F15">
        <w:t> </w:t>
      </w:r>
      <w:r>
        <w:t>m</w:t>
      </w:r>
      <w:r w:rsidRPr="00385F15">
        <w:t>illion. Of those projects,</w:t>
      </w:r>
      <w:r>
        <w:t xml:space="preserve"> </w:t>
      </w:r>
      <w:r w:rsidR="0072541E">
        <w:t>4</w:t>
      </w:r>
      <w:r w:rsidR="0072541E" w:rsidRPr="00385F15">
        <w:t xml:space="preserve"> </w:t>
      </w:r>
      <w:r w:rsidRPr="00385F15">
        <w:t xml:space="preserve">in metropolitan Melbourne and </w:t>
      </w:r>
      <w:r w:rsidR="009D641C">
        <w:t>3</w:t>
      </w:r>
      <w:r w:rsidRPr="00385F15">
        <w:t xml:space="preserve"> statewide with an average commitment of </w:t>
      </w:r>
      <w:r>
        <w:t>97.6</w:t>
      </w:r>
      <w:r w:rsidR="00F95AC7">
        <w:t>%</w:t>
      </w:r>
      <w:r w:rsidRPr="00385F15">
        <w:t xml:space="preserve"> local content. The MPSG applied to </w:t>
      </w:r>
      <w:r w:rsidR="00F95AC7">
        <w:t>6</w:t>
      </w:r>
      <w:r w:rsidRPr="00385F15">
        <w:t xml:space="preserve"> of these projects.</w:t>
      </w:r>
    </w:p>
    <w:p w14:paraId="3838AA4F" w14:textId="77777777" w:rsidR="004F7554" w:rsidRPr="00385F15" w:rsidRDefault="004F7554" w:rsidP="00F32BB8">
      <w:pPr>
        <w:pStyle w:val="ARbody"/>
      </w:pPr>
      <w:r w:rsidRPr="00385F15">
        <w:t xml:space="preserve">The outcomes </w:t>
      </w:r>
      <w:r>
        <w:t>expected</w:t>
      </w:r>
      <w:r w:rsidRPr="00385F15">
        <w:t xml:space="preserve"> from the implementation of the policy where information was provided, were as follows:</w:t>
      </w:r>
    </w:p>
    <w:p w14:paraId="70EA595C" w14:textId="77777777" w:rsidR="004F7554" w:rsidRPr="00385F15" w:rsidRDefault="004F7554" w:rsidP="00F32BB8">
      <w:pPr>
        <w:pStyle w:val="ARbullet1"/>
      </w:pPr>
      <w:r w:rsidRPr="00385F15">
        <w:t xml:space="preserve">a </w:t>
      </w:r>
      <w:r w:rsidRPr="00F32BB8">
        <w:t>total</w:t>
      </w:r>
      <w:r w:rsidRPr="00385F15">
        <w:t xml:space="preserve"> of </w:t>
      </w:r>
      <w:r>
        <w:t>181</w:t>
      </w:r>
      <w:r w:rsidRPr="00385F15">
        <w:t xml:space="preserve">.5 annualised employee equivalent jobs (AEE) were committed, including the creation of </w:t>
      </w:r>
      <w:r>
        <w:t>45.22</w:t>
      </w:r>
      <w:r w:rsidRPr="00385F15">
        <w:t xml:space="preserve"> new jobs and the retention of </w:t>
      </w:r>
      <w:r>
        <w:t>136.28</w:t>
      </w:r>
      <w:r w:rsidRPr="00385F15">
        <w:t xml:space="preserve"> existing jobs (AEE)</w:t>
      </w:r>
    </w:p>
    <w:p w14:paraId="69731542" w14:textId="77777777" w:rsidR="004F7554" w:rsidRPr="00385F15" w:rsidRDefault="004F7554" w:rsidP="0088621E">
      <w:pPr>
        <w:pStyle w:val="ARbullet1"/>
      </w:pPr>
      <w:r w:rsidRPr="00385F15">
        <w:t xml:space="preserve">a total of </w:t>
      </w:r>
      <w:r>
        <w:t>20.16</w:t>
      </w:r>
      <w:r w:rsidRPr="00385F15">
        <w:t xml:space="preserve"> positions for apprentices, trainees and cadets were committed, including the creation of </w:t>
      </w:r>
      <w:r>
        <w:t xml:space="preserve">6.78 </w:t>
      </w:r>
      <w:r w:rsidRPr="00385F15">
        <w:t>new apprenticeships, traineeships, and cadets and the retention of the remaining 13.</w:t>
      </w:r>
      <w:r>
        <w:t>37</w:t>
      </w:r>
      <w:r w:rsidRPr="00385F15">
        <w:t xml:space="preserve"> existing apprenticeships, traineeships and cadets</w:t>
      </w:r>
    </w:p>
    <w:p w14:paraId="7F03621C" w14:textId="56F4294C" w:rsidR="004F7554" w:rsidRPr="00385F15" w:rsidRDefault="004F7554" w:rsidP="0088621E">
      <w:pPr>
        <w:pStyle w:val="ARbullet1"/>
      </w:pPr>
      <w:r w:rsidRPr="00385F15">
        <w:t>MPSG-applicable projects committed to</w:t>
      </w:r>
      <w:r w:rsidR="00895A37">
        <w:t> </w:t>
      </w:r>
      <w:r w:rsidRPr="00385F15">
        <w:t xml:space="preserve">engaging </w:t>
      </w:r>
      <w:r>
        <w:t>19.88</w:t>
      </w:r>
      <w:r w:rsidRPr="00385F15">
        <w:t xml:space="preserve"> apprentices, trainees and</w:t>
      </w:r>
      <w:r w:rsidR="00F32BB8">
        <w:t> </w:t>
      </w:r>
      <w:r w:rsidRPr="00385F15">
        <w:t>cadets</w:t>
      </w:r>
    </w:p>
    <w:p w14:paraId="3FD7C3E8" w14:textId="7C39E2AF" w:rsidR="004F7554" w:rsidRDefault="004F7554" w:rsidP="0088621E">
      <w:pPr>
        <w:pStyle w:val="ARbullet1"/>
      </w:pPr>
      <w:r>
        <w:t>509</w:t>
      </w:r>
      <w:r w:rsidRPr="00385F15">
        <w:t xml:space="preserve"> small to medium-sized businesses were engaged through the supply chain on Local Jobs First projects</w:t>
      </w:r>
      <w:r w:rsidR="00920103">
        <w:t>.</w:t>
      </w:r>
    </w:p>
    <w:p w14:paraId="53837F4F" w14:textId="7C97FAF1" w:rsidR="004F7554" w:rsidRPr="004E3030" w:rsidRDefault="002B69E5" w:rsidP="00333387">
      <w:pPr>
        <w:pStyle w:val="Heading3"/>
      </w:pPr>
      <w:r>
        <w:br w:type="column"/>
      </w:r>
      <w:bookmarkStart w:id="202" w:name="_Ref178664015"/>
      <w:r w:rsidR="004F7554" w:rsidRPr="004E3030">
        <w:t>Projects completed – Local Jobs First Strategic</w:t>
      </w:r>
      <w:bookmarkEnd w:id="202"/>
    </w:p>
    <w:p w14:paraId="76B7E658" w14:textId="1B5C449E" w:rsidR="004F7554" w:rsidRPr="007367BF" w:rsidRDefault="004F7554" w:rsidP="004E5E29">
      <w:pPr>
        <w:pStyle w:val="ARbody"/>
      </w:pPr>
      <w:r w:rsidRPr="007367BF">
        <w:t xml:space="preserve">During 2023–24, the department completed </w:t>
      </w:r>
      <w:r>
        <w:t>one</w:t>
      </w:r>
      <w:r w:rsidRPr="007367BF">
        <w:t> Local Jobs First St</w:t>
      </w:r>
      <w:r>
        <w:t>rategic</w:t>
      </w:r>
      <w:r w:rsidRPr="007367BF">
        <w:t xml:space="preserve"> project, totalling $</w:t>
      </w:r>
      <w:r>
        <w:t>63.45</w:t>
      </w:r>
      <w:r w:rsidRPr="007367BF">
        <w:t> </w:t>
      </w:r>
      <w:r w:rsidRPr="004E5E29">
        <w:t>million</w:t>
      </w:r>
      <w:r w:rsidRPr="007367BF">
        <w:t xml:space="preserve">. </w:t>
      </w:r>
      <w:r>
        <w:t xml:space="preserve">This </w:t>
      </w:r>
      <w:r w:rsidRPr="007367BF">
        <w:t>project was located in metropolitan Melbourne. The MSPG applied to th</w:t>
      </w:r>
      <w:r>
        <w:t>is</w:t>
      </w:r>
      <w:r w:rsidR="002B69E5">
        <w:t> </w:t>
      </w:r>
      <w:r w:rsidRPr="007367BF">
        <w:t>project.</w:t>
      </w:r>
    </w:p>
    <w:p w14:paraId="080CA659" w14:textId="77777777" w:rsidR="004F7554" w:rsidRPr="007367BF" w:rsidRDefault="004F7554" w:rsidP="0088621E">
      <w:pPr>
        <w:pStyle w:val="ARbodyafterbullets"/>
      </w:pPr>
      <w:r w:rsidRPr="007367BF">
        <w:t>Where information was provided, the outcomes expected from the implementation of the Local Jobs First policy to these projects include:</w:t>
      </w:r>
    </w:p>
    <w:p w14:paraId="685658DB" w14:textId="70160922" w:rsidR="004F7554" w:rsidRPr="007367BF" w:rsidRDefault="004F7554" w:rsidP="0088621E">
      <w:pPr>
        <w:pStyle w:val="ARbullet1"/>
        <w:spacing w:line="280" w:lineRule="atLeast"/>
      </w:pPr>
      <w:r w:rsidRPr="007367BF">
        <w:t xml:space="preserve">an average of </w:t>
      </w:r>
      <w:r>
        <w:t>37.72</w:t>
      </w:r>
      <w:r w:rsidR="00F95AC7">
        <w:t>%</w:t>
      </w:r>
      <w:r w:rsidRPr="007367BF">
        <w:t xml:space="preserve"> of local content commitment was made</w:t>
      </w:r>
    </w:p>
    <w:p w14:paraId="539BB00F" w14:textId="77777777" w:rsidR="004F7554" w:rsidRPr="007367BF" w:rsidRDefault="004F7554" w:rsidP="0088621E">
      <w:pPr>
        <w:pStyle w:val="ARbullet1"/>
        <w:spacing w:line="280" w:lineRule="atLeast"/>
      </w:pPr>
      <w:r>
        <w:t>293</w:t>
      </w:r>
      <w:r w:rsidRPr="007367BF">
        <w:t xml:space="preserve"> small to medium-sized businesses were engaged through the supply chain on completed Standard Projects.</w:t>
      </w:r>
    </w:p>
    <w:p w14:paraId="16BE1BE0" w14:textId="77777777" w:rsidR="004F7554" w:rsidRPr="004E3030" w:rsidRDefault="004F7554" w:rsidP="00333387">
      <w:pPr>
        <w:pStyle w:val="Heading3"/>
      </w:pPr>
      <w:r w:rsidRPr="004E3030">
        <w:t>Reporting requirements – grants</w:t>
      </w:r>
    </w:p>
    <w:p w14:paraId="0A476071" w14:textId="7A9A39DF" w:rsidR="005B7C9B" w:rsidRDefault="004F7554" w:rsidP="0088621E">
      <w:pPr>
        <w:pStyle w:val="ARbody"/>
        <w:sectPr w:rsidR="005B7C9B" w:rsidSect="005936D2">
          <w:headerReference w:type="even" r:id="rId100"/>
          <w:footerReference w:type="even" r:id="rId101"/>
          <w:footerReference w:type="default" r:id="rId102"/>
          <w:headerReference w:type="first" r:id="rId103"/>
          <w:footerReference w:type="first" r:id="rId104"/>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r w:rsidRPr="004E3030">
        <w:t xml:space="preserve">For grants provided during 2023–24, </w:t>
      </w:r>
      <w:r>
        <w:t>no</w:t>
      </w:r>
      <w:r w:rsidRPr="004E3030">
        <w:t> interaction reference numbers were required</w:t>
      </w:r>
      <w:r>
        <w:t>.</w:t>
      </w:r>
    </w:p>
    <w:p w14:paraId="537A36C7" w14:textId="6D6D0435" w:rsidR="004F7554" w:rsidRPr="00532DAE" w:rsidRDefault="004F7554" w:rsidP="005B7C9B">
      <w:pPr>
        <w:pStyle w:val="Heading2"/>
      </w:pPr>
      <w:bookmarkStart w:id="203" w:name="_Ref178179558"/>
      <w:bookmarkStart w:id="204" w:name="_Toc181101510"/>
      <w:r w:rsidRPr="00532DAE">
        <w:t>Competitive neutrality policy</w:t>
      </w:r>
      <w:bookmarkEnd w:id="203"/>
      <w:bookmarkEnd w:id="204"/>
    </w:p>
    <w:p w14:paraId="12944B69" w14:textId="77777777" w:rsidR="004F7554" w:rsidRPr="00532DAE" w:rsidRDefault="004F7554" w:rsidP="0088621E">
      <w:pPr>
        <w:pStyle w:val="Heading2"/>
        <w:sectPr w:rsidR="004F7554" w:rsidRPr="00532DAE"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p>
    <w:p w14:paraId="5E1DA9D3" w14:textId="77777777" w:rsidR="004F7554" w:rsidRPr="00B249BD" w:rsidRDefault="004F7554" w:rsidP="0088621E">
      <w:pPr>
        <w:pStyle w:val="ARbody"/>
      </w:pPr>
      <w:r w:rsidRPr="00B249BD">
        <w:t>Competitive neutrality requires government businesses to ensure that where services compete, or potentially compete, with the private sector, any advantage arising solely from their government ownership be removed if it is not in the public interest. Government businesses are required to cost and price these services as if they were privately owned.</w:t>
      </w:r>
    </w:p>
    <w:p w14:paraId="3308E3B6" w14:textId="77777777" w:rsidR="004F7554" w:rsidRDefault="004F7554" w:rsidP="0088621E">
      <w:pPr>
        <w:pStyle w:val="ARbody"/>
      </w:pPr>
      <w:r w:rsidRPr="00B249BD">
        <w:t>Competitive neutrality policy supports fair competition between public and private businesses and provides government businesses with a tool to enhance decisions on resource allocation. This policy does not override other policy objectives of government and focuses on efficiency in the provision of service.</w:t>
      </w:r>
    </w:p>
    <w:p w14:paraId="771491B5" w14:textId="25257320" w:rsidR="004F7554" w:rsidRDefault="005B7C9B" w:rsidP="007C67FF">
      <w:pPr>
        <w:pStyle w:val="ARbody"/>
      </w:pPr>
      <w:r>
        <w:br w:type="column"/>
      </w:r>
      <w:r w:rsidR="004F7554" w:rsidRPr="00B249BD">
        <w:t xml:space="preserve">The department ensures Victoria fulfils its requirements on competitive neutrality reporting, as required under the Competition Principles Agreement and Competition and Infrastructure Reform </w:t>
      </w:r>
      <w:r w:rsidR="004F7554" w:rsidRPr="007C67FF">
        <w:t>Agreement</w:t>
      </w:r>
      <w:r w:rsidR="004F7554" w:rsidRPr="00B249BD">
        <w:t>.</w:t>
      </w:r>
    </w:p>
    <w:p w14:paraId="6B26CFBA" w14:textId="77777777" w:rsidR="004F7554" w:rsidRDefault="004F7554" w:rsidP="0088621E">
      <w:pPr>
        <w:pStyle w:val="ARbody"/>
        <w:sectPr w:rsidR="004F7554" w:rsidSect="005936D2">
          <w:headerReference w:type="even" r:id="rId105"/>
          <w:headerReference w:type="default" r:id="rId106"/>
          <w:footerReference w:type="even" r:id="rId107"/>
          <w:footerReference w:type="default" r:id="rId108"/>
          <w:headerReference w:type="first" r:id="rId109"/>
          <w:footerReference w:type="first" r:id="rId110"/>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4AFBFFE4" w14:textId="77777777" w:rsidR="004F7554" w:rsidRDefault="004F7554" w:rsidP="0088621E">
      <w:pPr>
        <w:pStyle w:val="Heading2"/>
      </w:pPr>
      <w:bookmarkStart w:id="205" w:name="_Ref178180479"/>
      <w:bookmarkStart w:id="206" w:name="_Toc181101511"/>
      <w:r w:rsidRPr="00532DAE">
        <w:t>Government advertising expenditure</w:t>
      </w:r>
      <w:bookmarkEnd w:id="205"/>
      <w:bookmarkEnd w:id="206"/>
    </w:p>
    <w:p w14:paraId="6C6601BC" w14:textId="20031636" w:rsidR="0076475D" w:rsidRPr="008261E3" w:rsidRDefault="0076475D" w:rsidP="0076475D">
      <w:pPr>
        <w:pStyle w:val="ARbody"/>
      </w:pPr>
      <w:r w:rsidRPr="008261E3">
        <w:t xml:space="preserve">For the 2023–24 reporting period, there were </w:t>
      </w:r>
      <w:r w:rsidR="00F95AC7">
        <w:t>2</w:t>
      </w:r>
      <w:r w:rsidRPr="008261E3">
        <w:t xml:space="preserve"> government advertising campaigns with total media spend of $100,000 or greater (exclusive of GST). Details of the campaigns are outlined below.</w:t>
      </w:r>
    </w:p>
    <w:p w14:paraId="205D7725" w14:textId="5A5C1AB4" w:rsidR="0076475D" w:rsidRPr="008261E3" w:rsidRDefault="0076475D" w:rsidP="00A95A18">
      <w:pPr>
        <w:pStyle w:val="ARtablecaption"/>
      </w:pPr>
      <w:r w:rsidRPr="008261E3">
        <w:t xml:space="preserve">Table </w:t>
      </w:r>
      <w:r w:rsidR="007746AA">
        <w:t>8</w:t>
      </w:r>
      <w:r w:rsidRPr="008261E3">
        <w:t>: Details of government advertising expenditure</w:t>
      </w:r>
    </w:p>
    <w:tbl>
      <w:tblPr>
        <w:tblStyle w:val="TableGrid"/>
        <w:tblW w:w="14595" w:type="dxa"/>
        <w:tblLayout w:type="fixed"/>
        <w:tblLook w:val="06A0" w:firstRow="1" w:lastRow="0" w:firstColumn="1" w:lastColumn="0" w:noHBand="1" w:noVBand="1"/>
      </w:tblPr>
      <w:tblGrid>
        <w:gridCol w:w="2547"/>
        <w:gridCol w:w="2268"/>
        <w:gridCol w:w="1276"/>
        <w:gridCol w:w="1417"/>
        <w:gridCol w:w="1418"/>
        <w:gridCol w:w="1417"/>
        <w:gridCol w:w="1417"/>
        <w:gridCol w:w="1276"/>
        <w:gridCol w:w="1559"/>
      </w:tblGrid>
      <w:tr w:rsidR="00354EA0" w:rsidRPr="00893F09" w14:paraId="54189AC8" w14:textId="77777777" w:rsidTr="00354EA0">
        <w:trPr>
          <w:cnfStyle w:val="100000000000" w:firstRow="1" w:lastRow="0" w:firstColumn="0" w:lastColumn="0" w:oddVBand="0" w:evenVBand="0" w:oddHBand="0" w:evenHBand="0" w:firstRowFirstColumn="0" w:firstRowLastColumn="0" w:lastRowFirstColumn="0" w:lastRowLastColumn="0"/>
          <w:trHeight w:val="300"/>
          <w:tblHeader/>
        </w:trPr>
        <w:tc>
          <w:tcPr>
            <w:tcW w:w="2547" w:type="dxa"/>
          </w:tcPr>
          <w:p w14:paraId="3CB08502" w14:textId="77777777" w:rsidR="0076475D" w:rsidRPr="00A84DE6" w:rsidRDefault="0076475D">
            <w:pPr>
              <w:pStyle w:val="ARtablecolhead"/>
            </w:pPr>
            <w:r w:rsidRPr="00A84DE6">
              <w:t>Name of campaign</w:t>
            </w:r>
          </w:p>
        </w:tc>
        <w:tc>
          <w:tcPr>
            <w:tcW w:w="2268" w:type="dxa"/>
          </w:tcPr>
          <w:p w14:paraId="5AEB6AE7" w14:textId="77777777" w:rsidR="0076475D" w:rsidRPr="00A84DE6" w:rsidRDefault="0076475D">
            <w:pPr>
              <w:pStyle w:val="ARtablecolhead"/>
            </w:pPr>
            <w:r w:rsidRPr="00A84DE6">
              <w:t>Campaign summary</w:t>
            </w:r>
          </w:p>
        </w:tc>
        <w:tc>
          <w:tcPr>
            <w:tcW w:w="1276" w:type="dxa"/>
          </w:tcPr>
          <w:p w14:paraId="1470FD35" w14:textId="77777777" w:rsidR="0076475D" w:rsidRPr="00A84DE6" w:rsidRDefault="0076475D">
            <w:pPr>
              <w:pStyle w:val="ARtablecolhead"/>
            </w:pPr>
            <w:r w:rsidRPr="00A84DE6">
              <w:t>Start/end date</w:t>
            </w:r>
          </w:p>
        </w:tc>
        <w:tc>
          <w:tcPr>
            <w:tcW w:w="1417" w:type="dxa"/>
          </w:tcPr>
          <w:p w14:paraId="4DAE9333" w14:textId="77777777" w:rsidR="0076475D" w:rsidRPr="00A84DE6" w:rsidRDefault="0076475D">
            <w:pPr>
              <w:pStyle w:val="ARtablecolheadright"/>
            </w:pPr>
            <w:r w:rsidRPr="00A84DE6">
              <w:t>Advertising (media) expenditure</w:t>
            </w:r>
            <w:r w:rsidRPr="00A84DE6">
              <w:br/>
              <w:t>($ excl. GST)</w:t>
            </w:r>
          </w:p>
        </w:tc>
        <w:tc>
          <w:tcPr>
            <w:tcW w:w="1418" w:type="dxa"/>
          </w:tcPr>
          <w:p w14:paraId="3D51E72A" w14:textId="77777777" w:rsidR="0076475D" w:rsidRPr="00A84DE6" w:rsidRDefault="0076475D">
            <w:pPr>
              <w:pStyle w:val="ARtablecolheadright"/>
            </w:pPr>
            <w:r w:rsidRPr="00A84DE6">
              <w:t>Creative and campaign development expenditure</w:t>
            </w:r>
            <w:r w:rsidRPr="00A84DE6">
              <w:br/>
              <w:t>($ excl. GST)</w:t>
            </w:r>
          </w:p>
        </w:tc>
        <w:tc>
          <w:tcPr>
            <w:tcW w:w="1417" w:type="dxa"/>
          </w:tcPr>
          <w:p w14:paraId="0A1E15B8" w14:textId="77777777" w:rsidR="0076475D" w:rsidRPr="00A84DE6" w:rsidRDefault="0076475D">
            <w:pPr>
              <w:pStyle w:val="ARtablecolheadright"/>
            </w:pPr>
            <w:r w:rsidRPr="00A84DE6">
              <w:t>Research and evaluation expenditure</w:t>
            </w:r>
            <w:r w:rsidRPr="00A84DE6">
              <w:br/>
              <w:t>($ excl. GST)</w:t>
            </w:r>
          </w:p>
        </w:tc>
        <w:tc>
          <w:tcPr>
            <w:tcW w:w="1417" w:type="dxa"/>
          </w:tcPr>
          <w:p w14:paraId="3F33F70E" w14:textId="77777777" w:rsidR="0076475D" w:rsidRPr="00A84DE6" w:rsidRDefault="0076475D">
            <w:pPr>
              <w:pStyle w:val="ARtablecolheadright"/>
            </w:pPr>
            <w:r w:rsidRPr="00A84DE6">
              <w:t>Print and collateral expenditure</w:t>
            </w:r>
            <w:r w:rsidRPr="00A84DE6">
              <w:br/>
              <w:t>($ excl. GST)</w:t>
            </w:r>
          </w:p>
        </w:tc>
        <w:tc>
          <w:tcPr>
            <w:tcW w:w="1276" w:type="dxa"/>
          </w:tcPr>
          <w:p w14:paraId="4799AB4D" w14:textId="77777777" w:rsidR="0076475D" w:rsidRPr="00A84DE6" w:rsidRDefault="0076475D">
            <w:pPr>
              <w:pStyle w:val="ARtablecolheadright"/>
            </w:pPr>
            <w:r w:rsidRPr="00A84DE6">
              <w:t>Other campaign expenditure</w:t>
            </w:r>
            <w:r w:rsidRPr="00A84DE6">
              <w:br/>
              <w:t>($ excl. GST)</w:t>
            </w:r>
          </w:p>
        </w:tc>
        <w:tc>
          <w:tcPr>
            <w:tcW w:w="1559" w:type="dxa"/>
          </w:tcPr>
          <w:p w14:paraId="6D4D934B" w14:textId="77777777" w:rsidR="0076475D" w:rsidRPr="00A84DE6" w:rsidRDefault="0076475D">
            <w:pPr>
              <w:pStyle w:val="ARtablecolheadright"/>
            </w:pPr>
            <w:r w:rsidRPr="00A84DE6">
              <w:t>Total</w:t>
            </w:r>
            <w:r w:rsidRPr="00A84DE6">
              <w:br/>
              <w:t>($ excl. GST)</w:t>
            </w:r>
          </w:p>
        </w:tc>
      </w:tr>
      <w:tr w:rsidR="00354EA0" w:rsidRPr="00532DAE" w14:paraId="7C8455C6" w14:textId="77777777" w:rsidTr="00354EA0">
        <w:trPr>
          <w:trHeight w:val="300"/>
        </w:trPr>
        <w:tc>
          <w:tcPr>
            <w:tcW w:w="2547" w:type="dxa"/>
          </w:tcPr>
          <w:p w14:paraId="4EF6D248" w14:textId="77777777" w:rsidR="0076475D" w:rsidRPr="00893F09" w:rsidRDefault="0076475D">
            <w:pPr>
              <w:pStyle w:val="ARtabletext"/>
              <w:rPr>
                <w:highlight w:val="cyan"/>
              </w:rPr>
            </w:pPr>
            <w:r w:rsidRPr="006133CE">
              <w:t>Fostering Connections Campaign</w:t>
            </w:r>
          </w:p>
        </w:tc>
        <w:tc>
          <w:tcPr>
            <w:tcW w:w="2268" w:type="dxa"/>
          </w:tcPr>
          <w:p w14:paraId="6DEDF603" w14:textId="77777777" w:rsidR="0076475D" w:rsidRPr="00893F09" w:rsidRDefault="0076475D">
            <w:pPr>
              <w:pStyle w:val="ARtabletext"/>
              <w:rPr>
                <w:highlight w:val="cyan"/>
              </w:rPr>
            </w:pPr>
            <w:r w:rsidRPr="006133CE">
              <w:t xml:space="preserve">Foster Care </w:t>
            </w:r>
            <w:r>
              <w:t>Recruitment</w:t>
            </w:r>
          </w:p>
        </w:tc>
        <w:tc>
          <w:tcPr>
            <w:tcW w:w="1276" w:type="dxa"/>
          </w:tcPr>
          <w:p w14:paraId="5D03B378" w14:textId="77777777" w:rsidR="0076475D" w:rsidRPr="00893F09" w:rsidRDefault="0076475D">
            <w:pPr>
              <w:pStyle w:val="ARtabletextright"/>
              <w:rPr>
                <w:highlight w:val="cyan"/>
              </w:rPr>
            </w:pPr>
            <w:r w:rsidRPr="00E535A9">
              <w:t>30/07/2023 – 30/06/2024</w:t>
            </w:r>
          </w:p>
        </w:tc>
        <w:tc>
          <w:tcPr>
            <w:tcW w:w="1417" w:type="dxa"/>
          </w:tcPr>
          <w:p w14:paraId="7208EF76" w14:textId="77777777" w:rsidR="0076475D" w:rsidRPr="00893F09" w:rsidRDefault="0076475D">
            <w:pPr>
              <w:pStyle w:val="ARtabletextright"/>
              <w:rPr>
                <w:highlight w:val="cyan"/>
              </w:rPr>
            </w:pPr>
            <w:r w:rsidRPr="00583D61">
              <w:t>$496,798.39</w:t>
            </w:r>
          </w:p>
        </w:tc>
        <w:tc>
          <w:tcPr>
            <w:tcW w:w="1418" w:type="dxa"/>
          </w:tcPr>
          <w:p w14:paraId="5BD77F25" w14:textId="77777777" w:rsidR="0076475D" w:rsidRPr="00893F09" w:rsidRDefault="0076475D">
            <w:pPr>
              <w:pStyle w:val="ARtabletextright"/>
              <w:rPr>
                <w:highlight w:val="cyan"/>
              </w:rPr>
            </w:pPr>
            <w:r w:rsidRPr="003D430B">
              <w:t>0</w:t>
            </w:r>
          </w:p>
        </w:tc>
        <w:tc>
          <w:tcPr>
            <w:tcW w:w="1417" w:type="dxa"/>
          </w:tcPr>
          <w:p w14:paraId="7535A340" w14:textId="77777777" w:rsidR="0076475D" w:rsidRPr="00893F09" w:rsidRDefault="0076475D">
            <w:pPr>
              <w:pStyle w:val="ARtabletextright"/>
              <w:rPr>
                <w:highlight w:val="cyan"/>
              </w:rPr>
            </w:pPr>
            <w:r w:rsidRPr="003D430B">
              <w:t>$49,780</w:t>
            </w:r>
          </w:p>
        </w:tc>
        <w:tc>
          <w:tcPr>
            <w:tcW w:w="1417" w:type="dxa"/>
          </w:tcPr>
          <w:p w14:paraId="25C4D546" w14:textId="77777777" w:rsidR="0076475D" w:rsidRPr="00893F09" w:rsidRDefault="0076475D">
            <w:pPr>
              <w:pStyle w:val="ARtabletextright"/>
              <w:rPr>
                <w:highlight w:val="cyan"/>
              </w:rPr>
            </w:pPr>
            <w:r w:rsidRPr="008A0CC2">
              <w:t>$300</w:t>
            </w:r>
          </w:p>
        </w:tc>
        <w:tc>
          <w:tcPr>
            <w:tcW w:w="1276" w:type="dxa"/>
          </w:tcPr>
          <w:p w14:paraId="0B369E32" w14:textId="77777777" w:rsidR="0076475D" w:rsidRPr="00893F09" w:rsidRDefault="0076475D">
            <w:pPr>
              <w:pStyle w:val="ARtabletextright"/>
              <w:rPr>
                <w:highlight w:val="cyan"/>
              </w:rPr>
            </w:pPr>
            <w:r w:rsidRPr="008A0CC2">
              <w:t>$72,185</w:t>
            </w:r>
          </w:p>
        </w:tc>
        <w:tc>
          <w:tcPr>
            <w:tcW w:w="1559" w:type="dxa"/>
          </w:tcPr>
          <w:p w14:paraId="495FADBE" w14:textId="77777777" w:rsidR="0076475D" w:rsidRPr="00532DAE" w:rsidRDefault="0076475D">
            <w:pPr>
              <w:pStyle w:val="ARtabletextright"/>
            </w:pPr>
            <w:r>
              <w:t>$619,063.39</w:t>
            </w:r>
          </w:p>
        </w:tc>
      </w:tr>
      <w:tr w:rsidR="00354EA0" w:rsidRPr="00532DAE" w14:paraId="08C774E0" w14:textId="77777777" w:rsidTr="00354EA0">
        <w:trPr>
          <w:trHeight w:val="300"/>
        </w:trPr>
        <w:tc>
          <w:tcPr>
            <w:tcW w:w="2547" w:type="dxa"/>
          </w:tcPr>
          <w:p w14:paraId="6F56B662" w14:textId="512B02A2" w:rsidR="0076475D" w:rsidRPr="006133CE" w:rsidRDefault="0076475D">
            <w:pPr>
              <w:pStyle w:val="ARtabletext"/>
            </w:pPr>
            <w:r w:rsidRPr="00C75828">
              <w:t>Go Where You</w:t>
            </w:r>
            <w:r w:rsidR="00711AE6">
              <w:t>’</w:t>
            </w:r>
            <w:r w:rsidRPr="00C75828">
              <w:t>re Needed Campaign Phase 3</w:t>
            </w:r>
            <w:r>
              <w:t xml:space="preserve"> 01/09/2023 – 20/10/2023</w:t>
            </w:r>
          </w:p>
        </w:tc>
        <w:tc>
          <w:tcPr>
            <w:tcW w:w="2268" w:type="dxa"/>
          </w:tcPr>
          <w:p w14:paraId="6C9FBD9E" w14:textId="77777777" w:rsidR="0076475D" w:rsidRPr="006133CE" w:rsidRDefault="0076475D">
            <w:pPr>
              <w:pStyle w:val="ARtabletext"/>
            </w:pPr>
            <w:r w:rsidRPr="00C75828">
              <w:t xml:space="preserve">Child Protection </w:t>
            </w:r>
            <w:r>
              <w:t>Workforce Recruitment</w:t>
            </w:r>
            <w:r w:rsidRPr="00C75828">
              <w:t xml:space="preserve"> </w:t>
            </w:r>
            <w:r>
              <w:t>Campaign</w:t>
            </w:r>
          </w:p>
        </w:tc>
        <w:tc>
          <w:tcPr>
            <w:tcW w:w="1276" w:type="dxa"/>
          </w:tcPr>
          <w:p w14:paraId="473A4584" w14:textId="77777777" w:rsidR="0076475D" w:rsidRPr="00893F09" w:rsidRDefault="0076475D">
            <w:pPr>
              <w:pStyle w:val="ARtabletextright"/>
              <w:rPr>
                <w:highlight w:val="cyan"/>
              </w:rPr>
            </w:pPr>
            <w:r w:rsidRPr="00053311">
              <w:t>01/09/2023 – 20/10/2023</w:t>
            </w:r>
          </w:p>
        </w:tc>
        <w:tc>
          <w:tcPr>
            <w:tcW w:w="1417" w:type="dxa"/>
          </w:tcPr>
          <w:p w14:paraId="2189C12E" w14:textId="77777777" w:rsidR="0076475D" w:rsidRPr="00893F09" w:rsidRDefault="0076475D">
            <w:pPr>
              <w:pStyle w:val="ARtabletextright"/>
              <w:rPr>
                <w:highlight w:val="cyan"/>
              </w:rPr>
            </w:pPr>
            <w:r w:rsidRPr="00553698">
              <w:t>$266,</w:t>
            </w:r>
            <w:r>
              <w:t>450.33</w:t>
            </w:r>
          </w:p>
        </w:tc>
        <w:tc>
          <w:tcPr>
            <w:tcW w:w="1418" w:type="dxa"/>
          </w:tcPr>
          <w:p w14:paraId="3CC4CE96" w14:textId="77777777" w:rsidR="0076475D" w:rsidRPr="00893F09" w:rsidRDefault="0076475D">
            <w:pPr>
              <w:pStyle w:val="ARtabletextright"/>
              <w:rPr>
                <w:highlight w:val="cyan"/>
              </w:rPr>
            </w:pPr>
            <w:r w:rsidRPr="00C07FE9">
              <w:t>0</w:t>
            </w:r>
          </w:p>
        </w:tc>
        <w:tc>
          <w:tcPr>
            <w:tcW w:w="1417" w:type="dxa"/>
          </w:tcPr>
          <w:p w14:paraId="65363844" w14:textId="77777777" w:rsidR="0076475D" w:rsidRPr="00893F09" w:rsidRDefault="0076475D">
            <w:pPr>
              <w:pStyle w:val="ARtabletextright"/>
              <w:rPr>
                <w:highlight w:val="cyan"/>
              </w:rPr>
            </w:pPr>
            <w:r w:rsidRPr="006D7636">
              <w:t>0</w:t>
            </w:r>
          </w:p>
        </w:tc>
        <w:tc>
          <w:tcPr>
            <w:tcW w:w="1417" w:type="dxa"/>
          </w:tcPr>
          <w:p w14:paraId="6C19787E" w14:textId="77777777" w:rsidR="0076475D" w:rsidRPr="00893F09" w:rsidRDefault="0076475D">
            <w:pPr>
              <w:pStyle w:val="ARtabletextright"/>
              <w:rPr>
                <w:highlight w:val="cyan"/>
              </w:rPr>
            </w:pPr>
            <w:r>
              <w:t>0</w:t>
            </w:r>
          </w:p>
        </w:tc>
        <w:tc>
          <w:tcPr>
            <w:tcW w:w="1276" w:type="dxa"/>
          </w:tcPr>
          <w:p w14:paraId="28307A47" w14:textId="77777777" w:rsidR="0076475D" w:rsidRPr="00893F09" w:rsidRDefault="0076475D">
            <w:pPr>
              <w:pStyle w:val="ARtabletextright"/>
              <w:rPr>
                <w:highlight w:val="cyan"/>
              </w:rPr>
            </w:pPr>
            <w:r w:rsidRPr="007549FA">
              <w:t>0</w:t>
            </w:r>
          </w:p>
        </w:tc>
        <w:tc>
          <w:tcPr>
            <w:tcW w:w="1559" w:type="dxa"/>
          </w:tcPr>
          <w:p w14:paraId="66CFBD0C" w14:textId="77777777" w:rsidR="0076475D" w:rsidRPr="00583D61" w:rsidRDefault="0076475D">
            <w:pPr>
              <w:pStyle w:val="ARtabletextright"/>
            </w:pPr>
            <w:r w:rsidRPr="00553698">
              <w:t>$266,</w:t>
            </w:r>
            <w:r>
              <w:t>450.33</w:t>
            </w:r>
          </w:p>
        </w:tc>
      </w:tr>
      <w:tr w:rsidR="00354EA0" w:rsidRPr="00532DAE" w14:paraId="33E87C58" w14:textId="77777777" w:rsidTr="00354EA0">
        <w:trPr>
          <w:trHeight w:val="300"/>
        </w:trPr>
        <w:tc>
          <w:tcPr>
            <w:tcW w:w="2547" w:type="dxa"/>
          </w:tcPr>
          <w:p w14:paraId="3AF0982F" w14:textId="7A10F4D6" w:rsidR="0076475D" w:rsidRPr="00534B93" w:rsidRDefault="0076475D">
            <w:pPr>
              <w:pStyle w:val="ARtabletext"/>
            </w:pPr>
            <w:r w:rsidRPr="00534B93">
              <w:t>Go Where You</w:t>
            </w:r>
            <w:r w:rsidR="00711AE6">
              <w:t>’</w:t>
            </w:r>
            <w:r w:rsidRPr="00534B93">
              <w:t>re Needed Campaign Phase 4 01/06/2024 – 30/06/2024</w:t>
            </w:r>
          </w:p>
        </w:tc>
        <w:tc>
          <w:tcPr>
            <w:tcW w:w="2268" w:type="dxa"/>
          </w:tcPr>
          <w:p w14:paraId="3B0B277B" w14:textId="77777777" w:rsidR="0076475D" w:rsidRPr="00534B93" w:rsidRDefault="0076475D">
            <w:pPr>
              <w:pStyle w:val="ARtabletext"/>
            </w:pPr>
            <w:r w:rsidRPr="00534B93">
              <w:t>Child Protection Workforce Recruitment campaign</w:t>
            </w:r>
          </w:p>
        </w:tc>
        <w:tc>
          <w:tcPr>
            <w:tcW w:w="1276" w:type="dxa"/>
          </w:tcPr>
          <w:p w14:paraId="35F65C72" w14:textId="77777777" w:rsidR="0076475D" w:rsidRPr="00534B93" w:rsidRDefault="0076475D">
            <w:pPr>
              <w:pStyle w:val="ARtabletextright"/>
              <w:rPr>
                <w:highlight w:val="cyan"/>
              </w:rPr>
            </w:pPr>
            <w:r w:rsidRPr="00534B93">
              <w:t>01/06/2024 – 30/06/2024</w:t>
            </w:r>
          </w:p>
        </w:tc>
        <w:tc>
          <w:tcPr>
            <w:tcW w:w="1417" w:type="dxa"/>
          </w:tcPr>
          <w:p w14:paraId="4745552F" w14:textId="77777777" w:rsidR="0076475D" w:rsidRPr="00534B93" w:rsidRDefault="0076475D">
            <w:pPr>
              <w:pStyle w:val="ARtabletextright"/>
              <w:rPr>
                <w:highlight w:val="cyan"/>
              </w:rPr>
            </w:pPr>
            <w:r w:rsidRPr="00534B93">
              <w:t>$226,909.53</w:t>
            </w:r>
          </w:p>
        </w:tc>
        <w:tc>
          <w:tcPr>
            <w:tcW w:w="1418" w:type="dxa"/>
          </w:tcPr>
          <w:p w14:paraId="49E1C8C3" w14:textId="77777777" w:rsidR="0076475D" w:rsidRPr="00534B93" w:rsidRDefault="0076475D">
            <w:pPr>
              <w:pStyle w:val="ARtabletextright"/>
              <w:rPr>
                <w:highlight w:val="cyan"/>
              </w:rPr>
            </w:pPr>
            <w:r w:rsidRPr="00534B93">
              <w:t>0</w:t>
            </w:r>
          </w:p>
        </w:tc>
        <w:tc>
          <w:tcPr>
            <w:tcW w:w="1417" w:type="dxa"/>
          </w:tcPr>
          <w:p w14:paraId="75DFAEC3" w14:textId="77777777" w:rsidR="0076475D" w:rsidRPr="00534B93" w:rsidRDefault="0076475D">
            <w:pPr>
              <w:pStyle w:val="ARtabletextright"/>
              <w:rPr>
                <w:highlight w:val="cyan"/>
              </w:rPr>
            </w:pPr>
            <w:r w:rsidRPr="00534B93">
              <w:t>0</w:t>
            </w:r>
          </w:p>
        </w:tc>
        <w:tc>
          <w:tcPr>
            <w:tcW w:w="1417" w:type="dxa"/>
          </w:tcPr>
          <w:p w14:paraId="21406B73" w14:textId="77777777" w:rsidR="0076475D" w:rsidRPr="00534B93" w:rsidRDefault="0076475D">
            <w:pPr>
              <w:pStyle w:val="ARtabletextright"/>
              <w:rPr>
                <w:highlight w:val="cyan"/>
              </w:rPr>
            </w:pPr>
            <w:r w:rsidRPr="00534B93">
              <w:t>0</w:t>
            </w:r>
          </w:p>
        </w:tc>
        <w:tc>
          <w:tcPr>
            <w:tcW w:w="1276" w:type="dxa"/>
          </w:tcPr>
          <w:p w14:paraId="3F66D0F3" w14:textId="77777777" w:rsidR="0076475D" w:rsidRPr="00534B93" w:rsidRDefault="0076475D">
            <w:pPr>
              <w:pStyle w:val="ARtabletextright"/>
              <w:rPr>
                <w:highlight w:val="cyan"/>
              </w:rPr>
            </w:pPr>
            <w:r w:rsidRPr="00534B93">
              <w:t>0</w:t>
            </w:r>
          </w:p>
        </w:tc>
        <w:tc>
          <w:tcPr>
            <w:tcW w:w="1559" w:type="dxa"/>
          </w:tcPr>
          <w:p w14:paraId="666AE0A1" w14:textId="77777777" w:rsidR="0076475D" w:rsidRPr="00534B93" w:rsidRDefault="0076475D">
            <w:pPr>
              <w:pStyle w:val="ARtabletextright"/>
            </w:pPr>
            <w:r w:rsidRPr="00534B93">
              <w:t>$226,909.53</w:t>
            </w:r>
          </w:p>
        </w:tc>
      </w:tr>
      <w:tr w:rsidR="00354EA0" w:rsidRPr="00532DAE" w14:paraId="4D360F70" w14:textId="77777777" w:rsidTr="00354EA0">
        <w:trPr>
          <w:trHeight w:val="300"/>
        </w:trPr>
        <w:tc>
          <w:tcPr>
            <w:tcW w:w="2547" w:type="dxa"/>
          </w:tcPr>
          <w:p w14:paraId="66A0522B" w14:textId="1B430523" w:rsidR="0076475D" w:rsidRPr="00534B93" w:rsidRDefault="0076475D">
            <w:pPr>
              <w:pStyle w:val="ARtabletext"/>
            </w:pPr>
            <w:r w:rsidRPr="00534B93">
              <w:t xml:space="preserve">Jobs that Matter </w:t>
            </w:r>
            <w:r w:rsidR="000C32DE">
              <w:br/>
            </w:r>
            <w:r w:rsidRPr="00534B93">
              <w:t>Campaign – Phase 3</w:t>
            </w:r>
          </w:p>
          <w:p w14:paraId="2F7D220D" w14:textId="77777777" w:rsidR="0076475D" w:rsidRPr="00534B93" w:rsidRDefault="0076475D">
            <w:pPr>
              <w:pStyle w:val="ARtabletext"/>
            </w:pPr>
            <w:r w:rsidRPr="00534B93">
              <w:t>01/10/2023 – 04/02/2024</w:t>
            </w:r>
          </w:p>
        </w:tc>
        <w:tc>
          <w:tcPr>
            <w:tcW w:w="2268" w:type="dxa"/>
          </w:tcPr>
          <w:p w14:paraId="6E900BCF" w14:textId="77777777" w:rsidR="0076475D" w:rsidRPr="00534B93" w:rsidRDefault="0076475D">
            <w:pPr>
              <w:pStyle w:val="ARtabletext"/>
            </w:pPr>
            <w:r w:rsidRPr="00534B93">
              <w:t>Community Services Sector workforce recruitment campaign</w:t>
            </w:r>
          </w:p>
        </w:tc>
        <w:tc>
          <w:tcPr>
            <w:tcW w:w="1276" w:type="dxa"/>
          </w:tcPr>
          <w:p w14:paraId="27220228" w14:textId="77777777" w:rsidR="0076475D" w:rsidRPr="00534B93" w:rsidRDefault="0076475D">
            <w:pPr>
              <w:pStyle w:val="ARtabletextright"/>
              <w:rPr>
                <w:highlight w:val="cyan"/>
              </w:rPr>
            </w:pPr>
            <w:r w:rsidRPr="00534B93">
              <w:t>01/10/2023 – 04/02/2024</w:t>
            </w:r>
          </w:p>
        </w:tc>
        <w:tc>
          <w:tcPr>
            <w:tcW w:w="1417" w:type="dxa"/>
          </w:tcPr>
          <w:p w14:paraId="5EB9790B" w14:textId="77777777" w:rsidR="0076475D" w:rsidRPr="00534B93" w:rsidRDefault="0076475D">
            <w:pPr>
              <w:pStyle w:val="ARtabletextright"/>
              <w:rPr>
                <w:highlight w:val="cyan"/>
              </w:rPr>
            </w:pPr>
            <w:r w:rsidRPr="00534B93">
              <w:t>$733,503.00</w:t>
            </w:r>
          </w:p>
        </w:tc>
        <w:tc>
          <w:tcPr>
            <w:tcW w:w="1418" w:type="dxa"/>
          </w:tcPr>
          <w:p w14:paraId="2D81CD6C" w14:textId="156F84A0" w:rsidR="0076475D" w:rsidRPr="00B3051F" w:rsidRDefault="0076475D" w:rsidP="00B3051F">
            <w:pPr>
              <w:pStyle w:val="ARtabletextright"/>
            </w:pPr>
            <w:r w:rsidRPr="00B3051F">
              <w:t>$70,072.50</w:t>
            </w:r>
          </w:p>
        </w:tc>
        <w:tc>
          <w:tcPr>
            <w:tcW w:w="1417" w:type="dxa"/>
          </w:tcPr>
          <w:p w14:paraId="42BCAC89" w14:textId="6030CBD4" w:rsidR="0076475D" w:rsidRPr="00B3051F" w:rsidRDefault="0076475D" w:rsidP="00B3051F">
            <w:pPr>
              <w:pStyle w:val="ARtabletextright"/>
            </w:pPr>
            <w:r w:rsidRPr="00534B93">
              <w:t>$35,000.00</w:t>
            </w:r>
          </w:p>
        </w:tc>
        <w:tc>
          <w:tcPr>
            <w:tcW w:w="1417" w:type="dxa"/>
          </w:tcPr>
          <w:p w14:paraId="5B33E493" w14:textId="77777777" w:rsidR="0076475D" w:rsidRPr="00534B93" w:rsidRDefault="0076475D">
            <w:pPr>
              <w:pStyle w:val="ARtabletextright"/>
              <w:rPr>
                <w:highlight w:val="cyan"/>
              </w:rPr>
            </w:pPr>
            <w:r w:rsidRPr="00534B93">
              <w:t>0</w:t>
            </w:r>
          </w:p>
        </w:tc>
        <w:tc>
          <w:tcPr>
            <w:tcW w:w="1276" w:type="dxa"/>
          </w:tcPr>
          <w:p w14:paraId="70D4CF50" w14:textId="7765F45A" w:rsidR="0076475D" w:rsidRPr="00534B93" w:rsidRDefault="00B31DF7">
            <w:pPr>
              <w:pStyle w:val="ARtabletextright"/>
              <w:rPr>
                <w:highlight w:val="cyan"/>
              </w:rPr>
            </w:pPr>
            <w:r>
              <w:t>-</w:t>
            </w:r>
            <w:r w:rsidR="0076475D" w:rsidRPr="00534B93">
              <w:t>0</w:t>
            </w:r>
          </w:p>
        </w:tc>
        <w:tc>
          <w:tcPr>
            <w:tcW w:w="1559" w:type="dxa"/>
          </w:tcPr>
          <w:p w14:paraId="2F223031" w14:textId="77777777" w:rsidR="0076475D" w:rsidRPr="00534B93" w:rsidRDefault="0076475D">
            <w:pPr>
              <w:pStyle w:val="ARtabletextright"/>
            </w:pPr>
            <w:r w:rsidRPr="00534B93">
              <w:t>$803,575.55</w:t>
            </w:r>
          </w:p>
        </w:tc>
      </w:tr>
      <w:tr w:rsidR="00354EA0" w:rsidRPr="00532DAE" w14:paraId="5796478C" w14:textId="77777777" w:rsidTr="00354EA0">
        <w:trPr>
          <w:trHeight w:val="300"/>
        </w:trPr>
        <w:tc>
          <w:tcPr>
            <w:tcW w:w="2547" w:type="dxa"/>
          </w:tcPr>
          <w:p w14:paraId="7DC9FC1D" w14:textId="7528E0DC" w:rsidR="0076475D" w:rsidRPr="00534B93" w:rsidRDefault="0076475D">
            <w:pPr>
              <w:pStyle w:val="ARtabletext"/>
            </w:pPr>
            <w:r w:rsidRPr="00534B93">
              <w:t xml:space="preserve">Jobs that Matter </w:t>
            </w:r>
            <w:r w:rsidR="000C32DE">
              <w:br/>
            </w:r>
            <w:r w:rsidRPr="00534B93">
              <w:t>Campaign – Phase 4</w:t>
            </w:r>
          </w:p>
          <w:p w14:paraId="6720DB53" w14:textId="6CA6B4FD" w:rsidR="0076475D" w:rsidRPr="00534B93" w:rsidRDefault="0076475D">
            <w:pPr>
              <w:pStyle w:val="ARtabletext"/>
            </w:pPr>
            <w:r w:rsidRPr="00534B93">
              <w:t xml:space="preserve">01/06/2024 – 30/06/2024 </w:t>
            </w:r>
          </w:p>
        </w:tc>
        <w:tc>
          <w:tcPr>
            <w:tcW w:w="2268" w:type="dxa"/>
          </w:tcPr>
          <w:p w14:paraId="728ADFA8" w14:textId="77777777" w:rsidR="0076475D" w:rsidRPr="00534B93" w:rsidRDefault="0076475D">
            <w:pPr>
              <w:pStyle w:val="ARtabletext"/>
            </w:pPr>
            <w:r w:rsidRPr="00534B93">
              <w:t>Community Services Sector workforce recruitment campaign</w:t>
            </w:r>
          </w:p>
        </w:tc>
        <w:tc>
          <w:tcPr>
            <w:tcW w:w="1276" w:type="dxa"/>
          </w:tcPr>
          <w:p w14:paraId="790942A5" w14:textId="632625F9" w:rsidR="0076475D" w:rsidRPr="00AA126F" w:rsidRDefault="0076475D" w:rsidP="00AA126F">
            <w:pPr>
              <w:pStyle w:val="ARtabletext"/>
              <w:jc w:val="right"/>
            </w:pPr>
            <w:r w:rsidRPr="00534B93">
              <w:t>01/06/2024</w:t>
            </w:r>
            <w:r w:rsidR="00B31FDB">
              <w:t xml:space="preserve"> </w:t>
            </w:r>
            <w:r w:rsidR="006E2F2E">
              <w:t>–</w:t>
            </w:r>
            <w:r w:rsidR="00B31FDB">
              <w:t xml:space="preserve"> </w:t>
            </w:r>
            <w:r w:rsidRPr="00534B93">
              <w:t xml:space="preserve">30/06/2024 </w:t>
            </w:r>
          </w:p>
        </w:tc>
        <w:tc>
          <w:tcPr>
            <w:tcW w:w="1417" w:type="dxa"/>
          </w:tcPr>
          <w:p w14:paraId="734EAA7A" w14:textId="77777777" w:rsidR="0076475D" w:rsidRPr="00534B93" w:rsidRDefault="0076475D">
            <w:pPr>
              <w:pStyle w:val="ARtabletextright"/>
              <w:rPr>
                <w:highlight w:val="cyan"/>
              </w:rPr>
            </w:pPr>
            <w:r w:rsidRPr="00534B93">
              <w:t>$64</w:t>
            </w:r>
            <w:r>
              <w:t>8</w:t>
            </w:r>
            <w:r w:rsidRPr="00534B93">
              <w:t>,83</w:t>
            </w:r>
            <w:r>
              <w:t>2.42</w:t>
            </w:r>
          </w:p>
        </w:tc>
        <w:tc>
          <w:tcPr>
            <w:tcW w:w="1418" w:type="dxa"/>
          </w:tcPr>
          <w:p w14:paraId="08C4B2D9" w14:textId="2C42F109" w:rsidR="0076475D" w:rsidRPr="00B3051F" w:rsidRDefault="0076475D" w:rsidP="00B3051F">
            <w:pPr>
              <w:pStyle w:val="ARtabletextright"/>
            </w:pPr>
            <w:r w:rsidRPr="00534B93">
              <w:t>$35,271.78</w:t>
            </w:r>
          </w:p>
        </w:tc>
        <w:tc>
          <w:tcPr>
            <w:tcW w:w="1417" w:type="dxa"/>
          </w:tcPr>
          <w:p w14:paraId="1B02C79A" w14:textId="673A5711" w:rsidR="0076475D" w:rsidRPr="00B3051F" w:rsidRDefault="0076475D" w:rsidP="00B3051F">
            <w:pPr>
              <w:pStyle w:val="ARtabletextright"/>
            </w:pPr>
            <w:r w:rsidRPr="00534B93">
              <w:t>$40,900.00</w:t>
            </w:r>
          </w:p>
        </w:tc>
        <w:tc>
          <w:tcPr>
            <w:tcW w:w="1417" w:type="dxa"/>
          </w:tcPr>
          <w:p w14:paraId="54B02F58" w14:textId="77777777" w:rsidR="0076475D" w:rsidRPr="00534B93" w:rsidRDefault="0076475D">
            <w:pPr>
              <w:pStyle w:val="ARtabletextright"/>
            </w:pPr>
            <w:r w:rsidRPr="00534B93">
              <w:t>0</w:t>
            </w:r>
          </w:p>
        </w:tc>
        <w:tc>
          <w:tcPr>
            <w:tcW w:w="1276" w:type="dxa"/>
          </w:tcPr>
          <w:p w14:paraId="061518FE" w14:textId="77777777" w:rsidR="0076475D" w:rsidRPr="00534B93" w:rsidRDefault="0076475D">
            <w:pPr>
              <w:pStyle w:val="ARtabletextright"/>
            </w:pPr>
            <w:r w:rsidRPr="00534B93">
              <w:t>0</w:t>
            </w:r>
          </w:p>
        </w:tc>
        <w:tc>
          <w:tcPr>
            <w:tcW w:w="1559" w:type="dxa"/>
          </w:tcPr>
          <w:p w14:paraId="726C6977" w14:textId="77777777" w:rsidR="0076475D" w:rsidRPr="00534B93" w:rsidRDefault="0076475D">
            <w:pPr>
              <w:pStyle w:val="ARtabletextright"/>
            </w:pPr>
            <w:r>
              <w:rPr>
                <w:rFonts w:eastAsia="Arial"/>
                <w:color w:val="000000" w:themeColor="text1"/>
              </w:rPr>
              <w:t>$725,004.2</w:t>
            </w:r>
          </w:p>
        </w:tc>
      </w:tr>
      <w:tr w:rsidR="00354EA0" w:rsidRPr="00532DAE" w14:paraId="0AB96CE1" w14:textId="77777777" w:rsidTr="00354EA0">
        <w:trPr>
          <w:trHeight w:val="300"/>
        </w:trPr>
        <w:tc>
          <w:tcPr>
            <w:tcW w:w="2547" w:type="dxa"/>
          </w:tcPr>
          <w:p w14:paraId="3D818974" w14:textId="77777777" w:rsidR="0076475D" w:rsidRPr="00534B93" w:rsidRDefault="0076475D">
            <w:pPr>
              <w:pStyle w:val="ARtabletext"/>
            </w:pPr>
            <w:r w:rsidRPr="00534B93">
              <w:t>Change Your Reactions Phase 2</w:t>
            </w:r>
          </w:p>
        </w:tc>
        <w:tc>
          <w:tcPr>
            <w:tcW w:w="2268" w:type="dxa"/>
          </w:tcPr>
          <w:p w14:paraId="2D82F49E" w14:textId="77777777" w:rsidR="0076475D" w:rsidRPr="00534B93" w:rsidRDefault="0076475D">
            <w:pPr>
              <w:pStyle w:val="ARtabletext"/>
            </w:pPr>
            <w:r w:rsidRPr="00534B93">
              <w:t xml:space="preserve">Autism awareness campaign </w:t>
            </w:r>
          </w:p>
        </w:tc>
        <w:tc>
          <w:tcPr>
            <w:tcW w:w="1276" w:type="dxa"/>
          </w:tcPr>
          <w:p w14:paraId="13EF2432" w14:textId="77777777" w:rsidR="0076475D" w:rsidRPr="00534B93" w:rsidRDefault="0076475D">
            <w:pPr>
              <w:pStyle w:val="ARtabletextright"/>
              <w:rPr>
                <w:highlight w:val="cyan"/>
              </w:rPr>
            </w:pPr>
            <w:r w:rsidRPr="00534B93">
              <w:t>25/09/2023 – 29/10/2023</w:t>
            </w:r>
          </w:p>
        </w:tc>
        <w:tc>
          <w:tcPr>
            <w:tcW w:w="1417" w:type="dxa"/>
          </w:tcPr>
          <w:p w14:paraId="584C60FD" w14:textId="77777777" w:rsidR="0076475D" w:rsidRPr="00534B93" w:rsidRDefault="0076475D">
            <w:pPr>
              <w:pStyle w:val="ARtabletextright"/>
              <w:rPr>
                <w:highlight w:val="cyan"/>
              </w:rPr>
            </w:pPr>
            <w:r w:rsidRPr="00534B93">
              <w:t>$142,361.05</w:t>
            </w:r>
          </w:p>
        </w:tc>
        <w:tc>
          <w:tcPr>
            <w:tcW w:w="1418" w:type="dxa"/>
          </w:tcPr>
          <w:p w14:paraId="0531A70D" w14:textId="77777777" w:rsidR="0076475D" w:rsidRPr="00534B93" w:rsidRDefault="0076475D">
            <w:pPr>
              <w:pStyle w:val="ARtabletextright"/>
            </w:pPr>
            <w:r w:rsidRPr="00534B93">
              <w:t>0</w:t>
            </w:r>
          </w:p>
        </w:tc>
        <w:tc>
          <w:tcPr>
            <w:tcW w:w="1417" w:type="dxa"/>
          </w:tcPr>
          <w:p w14:paraId="5CE248BB" w14:textId="77777777" w:rsidR="0076475D" w:rsidRPr="00534B93" w:rsidRDefault="0076475D">
            <w:pPr>
              <w:pStyle w:val="ARtabletextright"/>
            </w:pPr>
            <w:r w:rsidRPr="00534B93">
              <w:t>$34,788.75</w:t>
            </w:r>
          </w:p>
        </w:tc>
        <w:tc>
          <w:tcPr>
            <w:tcW w:w="1417" w:type="dxa"/>
          </w:tcPr>
          <w:p w14:paraId="700D11CF" w14:textId="77777777" w:rsidR="0076475D" w:rsidRPr="00534B93" w:rsidRDefault="0076475D">
            <w:pPr>
              <w:pStyle w:val="ARtabletextright"/>
            </w:pPr>
            <w:r w:rsidRPr="00534B93">
              <w:t>0</w:t>
            </w:r>
          </w:p>
        </w:tc>
        <w:tc>
          <w:tcPr>
            <w:tcW w:w="1276" w:type="dxa"/>
          </w:tcPr>
          <w:p w14:paraId="40713746" w14:textId="77777777" w:rsidR="0076475D" w:rsidRPr="00534B93" w:rsidRDefault="0076475D">
            <w:pPr>
              <w:pStyle w:val="ARtabletextright"/>
            </w:pPr>
            <w:r w:rsidRPr="00534B93">
              <w:t>$50,040.00</w:t>
            </w:r>
          </w:p>
        </w:tc>
        <w:tc>
          <w:tcPr>
            <w:tcW w:w="1559" w:type="dxa"/>
          </w:tcPr>
          <w:p w14:paraId="526242AF" w14:textId="77777777" w:rsidR="0076475D" w:rsidRPr="00534B93" w:rsidRDefault="0076475D">
            <w:pPr>
              <w:pStyle w:val="ARtabletextright"/>
            </w:pPr>
            <w:r w:rsidRPr="00534B93">
              <w:t>$227,189.75</w:t>
            </w:r>
          </w:p>
        </w:tc>
      </w:tr>
    </w:tbl>
    <w:p w14:paraId="22081BC3" w14:textId="77777777" w:rsidR="004F7554" w:rsidRPr="006168F5" w:rsidRDefault="004F7554" w:rsidP="0088621E">
      <w:pPr>
        <w:pStyle w:val="ARbody"/>
        <w:sectPr w:rsidR="004F7554" w:rsidRPr="006168F5" w:rsidSect="00F31D9A">
          <w:footnotePr>
            <w:numFmt w:val="lowerRoman"/>
            <w:numRestart w:val="eachPage"/>
          </w:footnotePr>
          <w:endnotePr>
            <w:numFmt w:val="decimal"/>
          </w:endnotePr>
          <w:pgSz w:w="16840" w:h="11900" w:orient="landscape" w:code="9"/>
          <w:pgMar w:top="1134" w:right="1134" w:bottom="851" w:left="1134" w:header="510" w:footer="340" w:gutter="0"/>
          <w:cols w:space="448"/>
          <w:docGrid w:linePitch="299"/>
        </w:sectPr>
      </w:pPr>
    </w:p>
    <w:p w14:paraId="2C1DC043" w14:textId="77777777" w:rsidR="004F7554" w:rsidRPr="00532DAE" w:rsidRDefault="004F7554" w:rsidP="007C67FF">
      <w:pPr>
        <w:pStyle w:val="Heading2"/>
      </w:pPr>
      <w:bookmarkStart w:id="207" w:name="_Ref178174959"/>
      <w:bookmarkStart w:id="208" w:name="_Toc181101512"/>
      <w:r w:rsidRPr="007C67FF">
        <w:t>Consultancy</w:t>
      </w:r>
      <w:r w:rsidRPr="00532DAE">
        <w:t xml:space="preserve"> expenditure</w:t>
      </w:r>
      <w:bookmarkEnd w:id="207"/>
      <w:bookmarkEnd w:id="208"/>
    </w:p>
    <w:p w14:paraId="0C659B91" w14:textId="77777777" w:rsidR="004F7554" w:rsidRPr="00AD5398" w:rsidRDefault="004F7554" w:rsidP="00333387">
      <w:pPr>
        <w:pStyle w:val="Heading3"/>
      </w:pPr>
      <w:bookmarkStart w:id="209" w:name="_Ref178179920"/>
      <w:r w:rsidRPr="00AD5398">
        <w:t>Consultancies (valued at $10,000 or greater)</w:t>
      </w:r>
      <w:bookmarkEnd w:id="209"/>
    </w:p>
    <w:p w14:paraId="310DB942" w14:textId="0FCF0AB3" w:rsidR="004F7554" w:rsidRPr="00AD5398" w:rsidRDefault="004F7554" w:rsidP="00DD775F">
      <w:pPr>
        <w:pStyle w:val="ARbody"/>
      </w:pPr>
      <w:r w:rsidRPr="00AD5398">
        <w:t xml:space="preserve">In 2023–24, there were </w:t>
      </w:r>
      <w:r>
        <w:t>82</w:t>
      </w:r>
      <w:r w:rsidRPr="00AD5398">
        <w:t xml:space="preserve"> consultancies where the total fees payable to the consultants were $10,000 or</w:t>
      </w:r>
      <w:r w:rsidR="00895A37">
        <w:t> </w:t>
      </w:r>
      <w:r w:rsidRPr="00AD5398">
        <w:t>greater. The total expenditure incurred during 2023–24 in relation to these consultancies is $12.</w:t>
      </w:r>
      <w:r>
        <w:t>98</w:t>
      </w:r>
      <w:r w:rsidRPr="00AD5398">
        <w:t xml:space="preserve"> million (excluding GST). Details of individual consultancies are outlined below.</w:t>
      </w:r>
    </w:p>
    <w:p w14:paraId="7688D990" w14:textId="4002A3EB" w:rsidR="004F7554" w:rsidRPr="00AD5398" w:rsidRDefault="004F7554" w:rsidP="00A95A18">
      <w:pPr>
        <w:pStyle w:val="ARtablecaption"/>
      </w:pPr>
      <w:r w:rsidRPr="00AD5398">
        <w:t xml:space="preserve">Table </w:t>
      </w:r>
      <w:r w:rsidR="007746AA">
        <w:t>9</w:t>
      </w:r>
      <w:r w:rsidRPr="00AD5398">
        <w:t xml:space="preserve">: </w:t>
      </w:r>
      <w:r w:rsidRPr="007C67FF">
        <w:t>Details</w:t>
      </w:r>
      <w:r w:rsidRPr="00AD5398">
        <w:t xml:space="preserve"> of consultancies (value of $10,000 or greater)</w:t>
      </w:r>
    </w:p>
    <w:tbl>
      <w:tblPr>
        <w:tblStyle w:val="TableGrid"/>
        <w:tblW w:w="5006" w:type="pct"/>
        <w:tblLayout w:type="fixed"/>
        <w:tblLook w:val="06E0" w:firstRow="1" w:lastRow="1" w:firstColumn="1" w:lastColumn="0" w:noHBand="1" w:noVBand="1"/>
      </w:tblPr>
      <w:tblGrid>
        <w:gridCol w:w="2229"/>
        <w:gridCol w:w="3488"/>
        <w:gridCol w:w="1439"/>
        <w:gridCol w:w="1216"/>
        <w:gridCol w:w="1262"/>
      </w:tblGrid>
      <w:tr w:rsidR="004F7554" w:rsidRPr="00F32FFF" w14:paraId="05B03D98" w14:textId="77777777" w:rsidTr="00DD775F">
        <w:trPr>
          <w:cnfStyle w:val="100000000000" w:firstRow="1" w:lastRow="0" w:firstColumn="0" w:lastColumn="0" w:oddVBand="0" w:evenVBand="0" w:oddHBand="0" w:evenHBand="0" w:firstRowFirstColumn="0" w:firstRowLastColumn="0" w:lastRowFirstColumn="0" w:lastRowLastColumn="0"/>
          <w:trHeight w:val="459"/>
          <w:tblHeader/>
        </w:trPr>
        <w:tc>
          <w:tcPr>
            <w:tcW w:w="1157" w:type="pct"/>
          </w:tcPr>
          <w:p w14:paraId="7B0F592D" w14:textId="77777777" w:rsidR="004F7554" w:rsidRPr="00F32FFF" w:rsidRDefault="004F7554" w:rsidP="0088621E">
            <w:pPr>
              <w:pStyle w:val="ARtablecolhead"/>
              <w:rPr>
                <w:bCs/>
              </w:rPr>
            </w:pPr>
            <w:r w:rsidRPr="00F32FFF">
              <w:t>Consultant</w:t>
            </w:r>
          </w:p>
        </w:tc>
        <w:tc>
          <w:tcPr>
            <w:tcW w:w="1810" w:type="pct"/>
          </w:tcPr>
          <w:p w14:paraId="16DD1AE5" w14:textId="77777777" w:rsidR="004F7554" w:rsidRPr="00F32FFF" w:rsidRDefault="004F7554" w:rsidP="0088621E">
            <w:pPr>
              <w:pStyle w:val="ARtablecolhead"/>
              <w:rPr>
                <w:bCs/>
              </w:rPr>
            </w:pPr>
            <w:r w:rsidRPr="00F32FFF">
              <w:t>Purpose of consultancy</w:t>
            </w:r>
          </w:p>
        </w:tc>
        <w:tc>
          <w:tcPr>
            <w:tcW w:w="747" w:type="pct"/>
          </w:tcPr>
          <w:p w14:paraId="3B5D8D4C" w14:textId="77777777" w:rsidR="004F7554" w:rsidRPr="0004596B" w:rsidRDefault="004F7554" w:rsidP="0004596B">
            <w:pPr>
              <w:pStyle w:val="ARtablecolheadright"/>
            </w:pPr>
            <w:r w:rsidRPr="0004596B">
              <w:t>Total approved project fee</w:t>
            </w:r>
          </w:p>
          <w:p w14:paraId="0F0268BD" w14:textId="77777777" w:rsidR="004F7554" w:rsidRPr="0004596B" w:rsidRDefault="004F7554" w:rsidP="0004596B">
            <w:pPr>
              <w:pStyle w:val="ARtablecolheadright"/>
            </w:pPr>
            <w:r w:rsidRPr="0004596B">
              <w:t>($ excl. GST)</w:t>
            </w:r>
          </w:p>
        </w:tc>
        <w:tc>
          <w:tcPr>
            <w:tcW w:w="631" w:type="pct"/>
          </w:tcPr>
          <w:p w14:paraId="6A78E31D" w14:textId="77777777" w:rsidR="004F7554" w:rsidRPr="0004596B" w:rsidRDefault="004F7554" w:rsidP="0004596B">
            <w:pPr>
              <w:pStyle w:val="ARtablecolheadright"/>
            </w:pPr>
            <w:r w:rsidRPr="0004596B">
              <w:t>Expenditure</w:t>
            </w:r>
          </w:p>
          <w:p w14:paraId="3AADC22D" w14:textId="77777777" w:rsidR="004F7554" w:rsidRPr="0004596B" w:rsidRDefault="004F7554" w:rsidP="0004596B">
            <w:pPr>
              <w:pStyle w:val="ARtablecolheadright"/>
            </w:pPr>
            <w:r w:rsidRPr="0004596B">
              <w:t>($ excl. GST)</w:t>
            </w:r>
          </w:p>
        </w:tc>
        <w:tc>
          <w:tcPr>
            <w:tcW w:w="655" w:type="pct"/>
          </w:tcPr>
          <w:p w14:paraId="36FF0EBE" w14:textId="77777777" w:rsidR="004F7554" w:rsidRPr="0004596B" w:rsidRDefault="004F7554" w:rsidP="0004596B">
            <w:pPr>
              <w:pStyle w:val="ARtablecolheadright"/>
            </w:pPr>
            <w:r w:rsidRPr="0004596B">
              <w:t>Future expenditure</w:t>
            </w:r>
          </w:p>
          <w:p w14:paraId="71E5530E" w14:textId="77777777" w:rsidR="004F7554" w:rsidRPr="0004596B" w:rsidRDefault="004F7554" w:rsidP="0004596B">
            <w:pPr>
              <w:pStyle w:val="ARtablecolheadright"/>
            </w:pPr>
            <w:r w:rsidRPr="0004596B">
              <w:t>($ excl. GST)</w:t>
            </w:r>
          </w:p>
        </w:tc>
      </w:tr>
      <w:tr w:rsidR="004F7554" w:rsidRPr="00F32FFF" w14:paraId="4632ACD1" w14:textId="77777777" w:rsidTr="00DD775F">
        <w:trPr>
          <w:trHeight w:val="344"/>
        </w:trPr>
        <w:tc>
          <w:tcPr>
            <w:tcW w:w="1157" w:type="pct"/>
          </w:tcPr>
          <w:p w14:paraId="5537AD49" w14:textId="77777777" w:rsidR="004F7554" w:rsidRPr="00F32FFF" w:rsidRDefault="004F7554" w:rsidP="009A0965">
            <w:pPr>
              <w:pStyle w:val="ARtabletext"/>
              <w:spacing w:line="220" w:lineRule="atLeast"/>
            </w:pPr>
            <w:r w:rsidRPr="00F32FFF">
              <w:t>Ontoit</w:t>
            </w:r>
          </w:p>
        </w:tc>
        <w:tc>
          <w:tcPr>
            <w:tcW w:w="1810" w:type="pct"/>
          </w:tcPr>
          <w:p w14:paraId="53FFA4C8" w14:textId="2B4B204F" w:rsidR="004F7554" w:rsidRPr="00F32FFF" w:rsidRDefault="004F7554" w:rsidP="009A0965">
            <w:pPr>
              <w:pStyle w:val="ARtabletext"/>
              <w:spacing w:line="220" w:lineRule="atLeast"/>
            </w:pPr>
            <w:r w:rsidRPr="00F32FFF">
              <w:t xml:space="preserve">Transaction </w:t>
            </w:r>
            <w:r w:rsidR="00920103">
              <w:t>s</w:t>
            </w:r>
            <w:r w:rsidRPr="00F32FFF">
              <w:t>ervices for Towers Revitalisation Program</w:t>
            </w:r>
          </w:p>
        </w:tc>
        <w:tc>
          <w:tcPr>
            <w:tcW w:w="747" w:type="pct"/>
          </w:tcPr>
          <w:p w14:paraId="11616FA4" w14:textId="77777777" w:rsidR="004F7554" w:rsidRPr="00F32FFF" w:rsidRDefault="004F7554" w:rsidP="0004596B">
            <w:pPr>
              <w:pStyle w:val="ARtabletextright"/>
            </w:pPr>
            <w:r w:rsidRPr="00F32FFF">
              <w:t>$6,982,932</w:t>
            </w:r>
          </w:p>
        </w:tc>
        <w:tc>
          <w:tcPr>
            <w:tcW w:w="631" w:type="pct"/>
          </w:tcPr>
          <w:p w14:paraId="62049807" w14:textId="77777777" w:rsidR="004F7554" w:rsidRPr="00F32FFF" w:rsidRDefault="004F7554" w:rsidP="0004596B">
            <w:pPr>
              <w:pStyle w:val="ARtabletextright"/>
            </w:pPr>
            <w:r w:rsidRPr="00F32FFF">
              <w:t>$1,735,415</w:t>
            </w:r>
          </w:p>
        </w:tc>
        <w:tc>
          <w:tcPr>
            <w:tcW w:w="655" w:type="pct"/>
          </w:tcPr>
          <w:p w14:paraId="6549403F" w14:textId="77777777" w:rsidR="004F7554" w:rsidRPr="00F32FFF" w:rsidRDefault="004F7554" w:rsidP="0004596B">
            <w:pPr>
              <w:pStyle w:val="ARtabletextright"/>
              <w:rPr>
                <w:rFonts w:eastAsia="MS Mincho"/>
                <w:szCs w:val="16"/>
              </w:rPr>
            </w:pPr>
            <w:r w:rsidRPr="00F32FFF">
              <w:t>$5,247,517</w:t>
            </w:r>
          </w:p>
        </w:tc>
      </w:tr>
      <w:tr w:rsidR="004F7554" w:rsidRPr="00F32FFF" w14:paraId="23FD3AB1" w14:textId="77777777" w:rsidTr="00DD775F">
        <w:trPr>
          <w:trHeight w:val="344"/>
        </w:trPr>
        <w:tc>
          <w:tcPr>
            <w:tcW w:w="1157" w:type="pct"/>
          </w:tcPr>
          <w:p w14:paraId="211CB867" w14:textId="77777777" w:rsidR="004F7554" w:rsidRPr="00F32FFF" w:rsidRDefault="004F7554" w:rsidP="009A0965">
            <w:pPr>
              <w:pStyle w:val="ARtabletext"/>
              <w:spacing w:line="220" w:lineRule="atLeast"/>
            </w:pPr>
            <w:r w:rsidRPr="00F32FFF">
              <w:t>Ontoit</w:t>
            </w:r>
          </w:p>
        </w:tc>
        <w:tc>
          <w:tcPr>
            <w:tcW w:w="1810" w:type="pct"/>
          </w:tcPr>
          <w:p w14:paraId="65DAFF2A" w14:textId="77777777" w:rsidR="004F7554" w:rsidRPr="00F32FFF" w:rsidRDefault="004F7554" w:rsidP="009A0965">
            <w:pPr>
              <w:pStyle w:val="ARtabletext"/>
              <w:spacing w:line="220" w:lineRule="atLeast"/>
            </w:pPr>
            <w:r w:rsidRPr="00F32FFF">
              <w:t>Project and transaction management services for Ground Lease Model 2</w:t>
            </w:r>
          </w:p>
        </w:tc>
        <w:tc>
          <w:tcPr>
            <w:tcW w:w="747" w:type="pct"/>
          </w:tcPr>
          <w:p w14:paraId="1D7BCD7E" w14:textId="77777777" w:rsidR="004F7554" w:rsidRPr="00F32FFF" w:rsidRDefault="004F7554" w:rsidP="0004596B">
            <w:pPr>
              <w:pStyle w:val="ARtabletextright"/>
            </w:pPr>
            <w:r w:rsidRPr="00F32FFF">
              <w:t>$5,577,991</w:t>
            </w:r>
          </w:p>
        </w:tc>
        <w:tc>
          <w:tcPr>
            <w:tcW w:w="631" w:type="pct"/>
          </w:tcPr>
          <w:p w14:paraId="31872F72" w14:textId="77777777" w:rsidR="004F7554" w:rsidRPr="00F32FFF" w:rsidRDefault="004F7554" w:rsidP="0004596B">
            <w:pPr>
              <w:pStyle w:val="ARtabletextright"/>
            </w:pPr>
            <w:r w:rsidRPr="00F32FFF">
              <w:t>$1,436,274</w:t>
            </w:r>
          </w:p>
        </w:tc>
        <w:tc>
          <w:tcPr>
            <w:tcW w:w="655" w:type="pct"/>
          </w:tcPr>
          <w:p w14:paraId="2A33E5A2" w14:textId="77777777" w:rsidR="004F7554" w:rsidRPr="00F32FFF" w:rsidRDefault="004F7554" w:rsidP="0004596B">
            <w:pPr>
              <w:pStyle w:val="ARtabletextright"/>
            </w:pPr>
            <w:r w:rsidRPr="00F32FFF">
              <w:t>$1,056,637</w:t>
            </w:r>
          </w:p>
        </w:tc>
      </w:tr>
      <w:tr w:rsidR="004F7554" w:rsidRPr="00F32FFF" w14:paraId="6502631C" w14:textId="77777777" w:rsidTr="00DD775F">
        <w:trPr>
          <w:trHeight w:val="70"/>
        </w:trPr>
        <w:tc>
          <w:tcPr>
            <w:tcW w:w="1157" w:type="pct"/>
          </w:tcPr>
          <w:p w14:paraId="44C14CAD" w14:textId="77777777" w:rsidR="004F7554" w:rsidRPr="00F32FFF" w:rsidRDefault="004F7554" w:rsidP="009A0965">
            <w:pPr>
              <w:pStyle w:val="ARtabletext"/>
              <w:spacing w:line="220" w:lineRule="atLeast"/>
            </w:pPr>
            <w:r w:rsidRPr="00F32FFF">
              <w:t>KPMG</w:t>
            </w:r>
          </w:p>
        </w:tc>
        <w:tc>
          <w:tcPr>
            <w:tcW w:w="1810" w:type="pct"/>
          </w:tcPr>
          <w:p w14:paraId="46A7616A" w14:textId="3ABD30F7" w:rsidR="004F7554" w:rsidRPr="00F32FFF" w:rsidRDefault="004F7554" w:rsidP="009A0965">
            <w:pPr>
              <w:pStyle w:val="ARtabletext"/>
              <w:spacing w:line="220" w:lineRule="atLeast"/>
            </w:pPr>
            <w:r w:rsidRPr="00F32FFF">
              <w:t xml:space="preserve">Towers Redevelopment Program </w:t>
            </w:r>
            <w:r w:rsidR="005B7C9B">
              <w:t>–</w:t>
            </w:r>
            <w:r w:rsidRPr="00F32FFF">
              <w:t xml:space="preserve"> Investment Case Advisory Services</w:t>
            </w:r>
          </w:p>
        </w:tc>
        <w:tc>
          <w:tcPr>
            <w:tcW w:w="747" w:type="pct"/>
          </w:tcPr>
          <w:p w14:paraId="1E50EDCF" w14:textId="77777777" w:rsidR="004F7554" w:rsidRPr="00F32FFF" w:rsidRDefault="004F7554" w:rsidP="0004596B">
            <w:pPr>
              <w:pStyle w:val="ARtabletextright"/>
            </w:pPr>
            <w:r w:rsidRPr="00F32FFF">
              <w:t>$816,000</w:t>
            </w:r>
          </w:p>
        </w:tc>
        <w:tc>
          <w:tcPr>
            <w:tcW w:w="631" w:type="pct"/>
          </w:tcPr>
          <w:p w14:paraId="21BFF0EC" w14:textId="77777777" w:rsidR="004F7554" w:rsidRPr="00F32FFF" w:rsidRDefault="004F7554" w:rsidP="0004596B">
            <w:pPr>
              <w:pStyle w:val="ARtabletextright"/>
            </w:pPr>
            <w:r w:rsidRPr="00F32FFF">
              <w:t>$676,500</w:t>
            </w:r>
          </w:p>
        </w:tc>
        <w:tc>
          <w:tcPr>
            <w:tcW w:w="655" w:type="pct"/>
          </w:tcPr>
          <w:p w14:paraId="5B8A5597" w14:textId="77777777" w:rsidR="004F7554" w:rsidRPr="00F32FFF" w:rsidRDefault="004F7554" w:rsidP="0004596B">
            <w:pPr>
              <w:pStyle w:val="ARtabletextright"/>
            </w:pPr>
            <w:r w:rsidRPr="00F32FFF">
              <w:t>$139,500</w:t>
            </w:r>
          </w:p>
        </w:tc>
      </w:tr>
      <w:tr w:rsidR="004F7554" w:rsidRPr="00F32FFF" w14:paraId="765555CF" w14:textId="77777777" w:rsidTr="00DD775F">
        <w:trPr>
          <w:trHeight w:val="266"/>
        </w:trPr>
        <w:tc>
          <w:tcPr>
            <w:tcW w:w="1157" w:type="pct"/>
          </w:tcPr>
          <w:p w14:paraId="27A12089" w14:textId="77777777" w:rsidR="004F7554" w:rsidRPr="00F32FFF" w:rsidRDefault="004F7554" w:rsidP="009A0965">
            <w:pPr>
              <w:pStyle w:val="ARtabletext"/>
              <w:spacing w:line="220" w:lineRule="atLeast"/>
            </w:pPr>
            <w:r w:rsidRPr="00F32FFF">
              <w:t>The University of Melbourne</w:t>
            </w:r>
          </w:p>
        </w:tc>
        <w:tc>
          <w:tcPr>
            <w:tcW w:w="1810" w:type="pct"/>
          </w:tcPr>
          <w:p w14:paraId="6B69E8CE" w14:textId="5D67DA07" w:rsidR="004F7554" w:rsidRPr="00F32FFF" w:rsidRDefault="004F7554" w:rsidP="009A0965">
            <w:pPr>
              <w:pStyle w:val="ARtabletext"/>
              <w:spacing w:line="220" w:lineRule="atLeast"/>
            </w:pPr>
            <w:r w:rsidRPr="00F32FFF">
              <w:t>Beginning Practice Program Training and</w:t>
            </w:r>
            <w:r w:rsidR="007D42AF">
              <w:t> </w:t>
            </w:r>
            <w:r w:rsidRPr="00F32FFF">
              <w:t>Development</w:t>
            </w:r>
          </w:p>
        </w:tc>
        <w:tc>
          <w:tcPr>
            <w:tcW w:w="747" w:type="pct"/>
          </w:tcPr>
          <w:p w14:paraId="59151A26" w14:textId="77777777" w:rsidR="004F7554" w:rsidRPr="00F32FFF" w:rsidRDefault="004F7554" w:rsidP="0004596B">
            <w:pPr>
              <w:pStyle w:val="ARtabletextright"/>
            </w:pPr>
            <w:r w:rsidRPr="00F32FFF">
              <w:t>$785,420</w:t>
            </w:r>
          </w:p>
        </w:tc>
        <w:tc>
          <w:tcPr>
            <w:tcW w:w="631" w:type="pct"/>
          </w:tcPr>
          <w:p w14:paraId="199912A0" w14:textId="77777777" w:rsidR="004F7554" w:rsidRPr="00F32FFF" w:rsidRDefault="004F7554" w:rsidP="0004596B">
            <w:pPr>
              <w:pStyle w:val="ARtabletextright"/>
            </w:pPr>
            <w:r w:rsidRPr="00F32FFF">
              <w:t>$623,196</w:t>
            </w:r>
          </w:p>
        </w:tc>
        <w:tc>
          <w:tcPr>
            <w:tcW w:w="655" w:type="pct"/>
          </w:tcPr>
          <w:p w14:paraId="206C5067" w14:textId="77777777" w:rsidR="004F7554" w:rsidRPr="00F32FFF" w:rsidRDefault="004F7554" w:rsidP="0004596B">
            <w:pPr>
              <w:pStyle w:val="ARtabletextright"/>
            </w:pPr>
            <w:r w:rsidRPr="00F32FFF">
              <w:t>$162,224</w:t>
            </w:r>
          </w:p>
        </w:tc>
      </w:tr>
      <w:tr w:rsidR="004F7554" w:rsidRPr="00F32FFF" w14:paraId="2F13BBDC" w14:textId="77777777" w:rsidTr="00DD775F">
        <w:trPr>
          <w:trHeight w:val="266"/>
        </w:trPr>
        <w:tc>
          <w:tcPr>
            <w:tcW w:w="1157" w:type="pct"/>
          </w:tcPr>
          <w:p w14:paraId="1BAACB5D" w14:textId="77777777" w:rsidR="004F7554" w:rsidRPr="00F32FFF" w:rsidRDefault="004F7554" w:rsidP="009A0965">
            <w:pPr>
              <w:pStyle w:val="ARtabletext"/>
              <w:spacing w:line="220" w:lineRule="atLeast"/>
            </w:pPr>
            <w:r w:rsidRPr="00F32FFF">
              <w:t>Biruu Pty Ltd</w:t>
            </w:r>
          </w:p>
        </w:tc>
        <w:tc>
          <w:tcPr>
            <w:tcW w:w="1810" w:type="pct"/>
          </w:tcPr>
          <w:p w14:paraId="02486350" w14:textId="66CEB0C3" w:rsidR="004F7554" w:rsidRPr="00367B98" w:rsidRDefault="004F7554" w:rsidP="009A0965">
            <w:pPr>
              <w:pStyle w:val="ARtabletext"/>
              <w:spacing w:line="220" w:lineRule="atLeast"/>
              <w:rPr>
                <w:spacing w:val="-2"/>
              </w:rPr>
            </w:pPr>
            <w:r w:rsidRPr="00367B98">
              <w:rPr>
                <w:spacing w:val="-2"/>
              </w:rPr>
              <w:t xml:space="preserve">Performance </w:t>
            </w:r>
            <w:r w:rsidR="00920103" w:rsidRPr="00367B98">
              <w:rPr>
                <w:spacing w:val="-2"/>
              </w:rPr>
              <w:t>standards</w:t>
            </w:r>
            <w:r w:rsidRPr="00367B98">
              <w:rPr>
                <w:spacing w:val="-2"/>
              </w:rPr>
              <w:t xml:space="preserve"> for </w:t>
            </w:r>
            <w:r w:rsidR="00920103" w:rsidRPr="00367B98">
              <w:rPr>
                <w:spacing w:val="-2"/>
              </w:rPr>
              <w:t>public housing</w:t>
            </w:r>
          </w:p>
        </w:tc>
        <w:tc>
          <w:tcPr>
            <w:tcW w:w="747" w:type="pct"/>
          </w:tcPr>
          <w:p w14:paraId="2E16B434" w14:textId="77777777" w:rsidR="004F7554" w:rsidRPr="00F32FFF" w:rsidRDefault="004F7554" w:rsidP="0004596B">
            <w:pPr>
              <w:pStyle w:val="ARtabletextright"/>
            </w:pPr>
            <w:r w:rsidRPr="00F32FFF">
              <w:t>$337,378</w:t>
            </w:r>
          </w:p>
        </w:tc>
        <w:tc>
          <w:tcPr>
            <w:tcW w:w="631" w:type="pct"/>
          </w:tcPr>
          <w:p w14:paraId="380BF4F4" w14:textId="77777777" w:rsidR="004F7554" w:rsidRPr="00F32FFF" w:rsidRDefault="004F7554" w:rsidP="0004596B">
            <w:pPr>
              <w:pStyle w:val="ARtabletextright"/>
            </w:pPr>
            <w:r w:rsidRPr="00F32FFF">
              <w:t>$337,378</w:t>
            </w:r>
          </w:p>
        </w:tc>
        <w:tc>
          <w:tcPr>
            <w:tcW w:w="655" w:type="pct"/>
          </w:tcPr>
          <w:p w14:paraId="3DC0F8C0" w14:textId="2131BB62" w:rsidR="004F7554" w:rsidRPr="00F32FFF" w:rsidRDefault="005B7C9B" w:rsidP="0004596B">
            <w:pPr>
              <w:pStyle w:val="ARtabletextright"/>
            </w:pPr>
            <w:r>
              <w:rPr>
                <w:rFonts w:ascii="Aptos Narrow" w:hAnsi="Aptos Narrow"/>
                <w:sz w:val="22"/>
                <w:szCs w:val="22"/>
              </w:rPr>
              <w:t>–</w:t>
            </w:r>
          </w:p>
        </w:tc>
      </w:tr>
      <w:tr w:rsidR="004F7554" w:rsidRPr="00F32FFF" w14:paraId="66FC6ECB" w14:textId="77777777" w:rsidTr="00DD775F">
        <w:trPr>
          <w:trHeight w:val="266"/>
        </w:trPr>
        <w:tc>
          <w:tcPr>
            <w:tcW w:w="1157" w:type="pct"/>
          </w:tcPr>
          <w:p w14:paraId="231AC628" w14:textId="77777777" w:rsidR="004F7554" w:rsidRPr="00F32FFF" w:rsidRDefault="004F7554" w:rsidP="009A0965">
            <w:pPr>
              <w:pStyle w:val="ARtabletext"/>
              <w:spacing w:line="220" w:lineRule="atLeast"/>
            </w:pPr>
            <w:r w:rsidRPr="00F32FFF">
              <w:t>Allen And Clarke Consulting Pty Ltd</w:t>
            </w:r>
          </w:p>
        </w:tc>
        <w:tc>
          <w:tcPr>
            <w:tcW w:w="1810" w:type="pct"/>
          </w:tcPr>
          <w:p w14:paraId="5530C133" w14:textId="04B106A2" w:rsidR="004F7554" w:rsidRPr="00F32FFF" w:rsidRDefault="004F7554" w:rsidP="009A0965">
            <w:pPr>
              <w:pStyle w:val="ARtabletext"/>
              <w:spacing w:line="220" w:lineRule="atLeast"/>
            </w:pPr>
            <w:r w:rsidRPr="00F32FFF">
              <w:t xml:space="preserve">MARAM </w:t>
            </w:r>
            <w:r w:rsidR="00920103" w:rsidRPr="00F32FFF">
              <w:t>best practice evidence review</w:t>
            </w:r>
          </w:p>
        </w:tc>
        <w:tc>
          <w:tcPr>
            <w:tcW w:w="747" w:type="pct"/>
          </w:tcPr>
          <w:p w14:paraId="4A70A51B" w14:textId="77777777" w:rsidR="004F7554" w:rsidRPr="00F32FFF" w:rsidRDefault="004F7554" w:rsidP="0004596B">
            <w:pPr>
              <w:pStyle w:val="ARtabletextright"/>
            </w:pPr>
            <w:r w:rsidRPr="00F32FFF">
              <w:t>$482,750</w:t>
            </w:r>
          </w:p>
        </w:tc>
        <w:tc>
          <w:tcPr>
            <w:tcW w:w="631" w:type="pct"/>
          </w:tcPr>
          <w:p w14:paraId="5E7AE602" w14:textId="77777777" w:rsidR="004F7554" w:rsidRPr="00F32FFF" w:rsidRDefault="004F7554" w:rsidP="0004596B">
            <w:pPr>
              <w:pStyle w:val="ARtabletextright"/>
            </w:pPr>
            <w:r w:rsidRPr="00F32FFF">
              <w:t>$321,304</w:t>
            </w:r>
          </w:p>
        </w:tc>
        <w:tc>
          <w:tcPr>
            <w:tcW w:w="655" w:type="pct"/>
          </w:tcPr>
          <w:p w14:paraId="2BD6B577" w14:textId="53399F22" w:rsidR="004F7554" w:rsidRPr="00F32FFF" w:rsidRDefault="005B7C9B" w:rsidP="0004596B">
            <w:pPr>
              <w:pStyle w:val="ARtabletextright"/>
            </w:pPr>
            <w:r>
              <w:rPr>
                <w:rFonts w:ascii="Aptos Narrow" w:hAnsi="Aptos Narrow"/>
                <w:sz w:val="22"/>
                <w:szCs w:val="22"/>
              </w:rPr>
              <w:t>–</w:t>
            </w:r>
          </w:p>
        </w:tc>
      </w:tr>
      <w:tr w:rsidR="004F7554" w:rsidRPr="00F32FFF" w14:paraId="3A81D761" w14:textId="77777777" w:rsidTr="00DD775F">
        <w:trPr>
          <w:trHeight w:val="266"/>
        </w:trPr>
        <w:tc>
          <w:tcPr>
            <w:tcW w:w="1157" w:type="pct"/>
          </w:tcPr>
          <w:p w14:paraId="7D335668" w14:textId="77777777" w:rsidR="004F7554" w:rsidRPr="00F32FFF" w:rsidRDefault="004F7554" w:rsidP="009A0965">
            <w:pPr>
              <w:pStyle w:val="ARtabletext"/>
              <w:spacing w:line="220" w:lineRule="atLeast"/>
            </w:pPr>
            <w:r w:rsidRPr="00F32FFF">
              <w:t>Karabena Consulting</w:t>
            </w:r>
          </w:p>
        </w:tc>
        <w:tc>
          <w:tcPr>
            <w:tcW w:w="1810" w:type="pct"/>
          </w:tcPr>
          <w:p w14:paraId="3586CCDE" w14:textId="7C87C14C" w:rsidR="004F7554" w:rsidRPr="00F32FFF" w:rsidRDefault="004F7554" w:rsidP="009A0965">
            <w:pPr>
              <w:pStyle w:val="ARtabletext"/>
              <w:spacing w:line="220" w:lineRule="atLeast"/>
            </w:pPr>
            <w:r w:rsidRPr="00F32FFF">
              <w:t xml:space="preserve">Evaluation of the first Dhelk Dja </w:t>
            </w:r>
            <w:r w:rsidR="00920103">
              <w:t>3</w:t>
            </w:r>
            <w:r w:rsidRPr="00F32FFF">
              <w:t xml:space="preserve">-year </w:t>
            </w:r>
            <w:r w:rsidR="00920103" w:rsidRPr="00F32FFF">
              <w:t>action plan</w:t>
            </w:r>
          </w:p>
        </w:tc>
        <w:tc>
          <w:tcPr>
            <w:tcW w:w="747" w:type="pct"/>
          </w:tcPr>
          <w:p w14:paraId="0F6E2882" w14:textId="77777777" w:rsidR="004F7554" w:rsidRPr="00F32FFF" w:rsidRDefault="004F7554" w:rsidP="0004596B">
            <w:pPr>
              <w:pStyle w:val="ARtabletextright"/>
            </w:pPr>
            <w:r w:rsidRPr="00F32FFF">
              <w:t>$407,780</w:t>
            </w:r>
          </w:p>
        </w:tc>
        <w:tc>
          <w:tcPr>
            <w:tcW w:w="631" w:type="pct"/>
          </w:tcPr>
          <w:p w14:paraId="1014BE20" w14:textId="77777777" w:rsidR="004F7554" w:rsidRPr="00F32FFF" w:rsidRDefault="004F7554" w:rsidP="0004596B">
            <w:pPr>
              <w:pStyle w:val="ARtabletextright"/>
            </w:pPr>
            <w:r w:rsidRPr="00F32FFF">
              <w:t>$316,337</w:t>
            </w:r>
          </w:p>
        </w:tc>
        <w:tc>
          <w:tcPr>
            <w:tcW w:w="655" w:type="pct"/>
          </w:tcPr>
          <w:p w14:paraId="06CE7C43" w14:textId="1D87D197" w:rsidR="004F7554" w:rsidRPr="00F32FFF" w:rsidRDefault="005B7C9B" w:rsidP="0004596B">
            <w:pPr>
              <w:pStyle w:val="ARtabletextright"/>
            </w:pPr>
            <w:r>
              <w:rPr>
                <w:rFonts w:ascii="Aptos Narrow" w:hAnsi="Aptos Narrow"/>
                <w:sz w:val="22"/>
                <w:szCs w:val="22"/>
              </w:rPr>
              <w:t>–</w:t>
            </w:r>
          </w:p>
        </w:tc>
      </w:tr>
      <w:tr w:rsidR="004F7554" w:rsidRPr="00F32FFF" w14:paraId="41BA699D" w14:textId="77777777" w:rsidTr="00DD775F">
        <w:trPr>
          <w:trHeight w:val="266"/>
        </w:trPr>
        <w:tc>
          <w:tcPr>
            <w:tcW w:w="1157" w:type="pct"/>
          </w:tcPr>
          <w:p w14:paraId="22307131" w14:textId="77777777" w:rsidR="004F7554" w:rsidRPr="00F32FFF" w:rsidRDefault="004F7554" w:rsidP="009A0965">
            <w:pPr>
              <w:pStyle w:val="ARtabletext"/>
              <w:spacing w:line="220" w:lineRule="atLeast"/>
            </w:pPr>
            <w:r w:rsidRPr="00F32FFF">
              <w:t>Fujitsu Australia Ltd</w:t>
            </w:r>
          </w:p>
        </w:tc>
        <w:tc>
          <w:tcPr>
            <w:tcW w:w="1810" w:type="pct"/>
          </w:tcPr>
          <w:p w14:paraId="37732D2F" w14:textId="77777777" w:rsidR="004F7554" w:rsidRPr="00F32FFF" w:rsidRDefault="004F7554" w:rsidP="009A0965">
            <w:pPr>
              <w:pStyle w:val="ARtabletext"/>
              <w:spacing w:line="220" w:lineRule="atLeast"/>
            </w:pPr>
            <w:r w:rsidRPr="00F32FFF">
              <w:t>Options assessment to resolve Homes Victoria Ageing Infrastructure</w:t>
            </w:r>
          </w:p>
        </w:tc>
        <w:tc>
          <w:tcPr>
            <w:tcW w:w="747" w:type="pct"/>
          </w:tcPr>
          <w:p w14:paraId="58992962" w14:textId="77777777" w:rsidR="004F7554" w:rsidRPr="00F32FFF" w:rsidRDefault="004F7554" w:rsidP="0004596B">
            <w:pPr>
              <w:pStyle w:val="ARtabletextright"/>
            </w:pPr>
            <w:r w:rsidRPr="00F32FFF">
              <w:t>$290,440</w:t>
            </w:r>
          </w:p>
        </w:tc>
        <w:tc>
          <w:tcPr>
            <w:tcW w:w="631" w:type="pct"/>
          </w:tcPr>
          <w:p w14:paraId="06D56F1E" w14:textId="77777777" w:rsidR="004F7554" w:rsidRPr="00F32FFF" w:rsidRDefault="004F7554" w:rsidP="0004596B">
            <w:pPr>
              <w:pStyle w:val="ARtabletextright"/>
            </w:pPr>
            <w:r w:rsidRPr="00F32FFF">
              <w:t>$274,484</w:t>
            </w:r>
          </w:p>
        </w:tc>
        <w:tc>
          <w:tcPr>
            <w:tcW w:w="655" w:type="pct"/>
          </w:tcPr>
          <w:p w14:paraId="4514958F" w14:textId="77777777" w:rsidR="004F7554" w:rsidRPr="00F32FFF" w:rsidRDefault="004F7554" w:rsidP="0004596B">
            <w:pPr>
              <w:pStyle w:val="ARtabletextright"/>
            </w:pPr>
            <w:r w:rsidRPr="00F32FFF">
              <w:t>$15,956</w:t>
            </w:r>
          </w:p>
        </w:tc>
      </w:tr>
      <w:tr w:rsidR="004F7554" w:rsidRPr="00F32FFF" w14:paraId="2D480F90" w14:textId="77777777" w:rsidTr="00DD775F">
        <w:trPr>
          <w:trHeight w:val="266"/>
        </w:trPr>
        <w:tc>
          <w:tcPr>
            <w:tcW w:w="1157" w:type="pct"/>
          </w:tcPr>
          <w:p w14:paraId="27727DA2" w14:textId="77777777" w:rsidR="004F7554" w:rsidRPr="00F32FFF" w:rsidRDefault="004F7554" w:rsidP="009A0965">
            <w:pPr>
              <w:pStyle w:val="ARtabletext"/>
              <w:spacing w:line="220" w:lineRule="atLeast"/>
            </w:pPr>
            <w:r w:rsidRPr="00F32FFF">
              <w:t>Jo Farmer Consulting</w:t>
            </w:r>
          </w:p>
        </w:tc>
        <w:tc>
          <w:tcPr>
            <w:tcW w:w="1810" w:type="pct"/>
          </w:tcPr>
          <w:p w14:paraId="6E4A8245" w14:textId="77777777" w:rsidR="004F7554" w:rsidRPr="00F32FFF" w:rsidRDefault="004F7554" w:rsidP="009A0965">
            <w:pPr>
              <w:pStyle w:val="ARtabletext"/>
              <w:spacing w:line="220" w:lineRule="atLeast"/>
            </w:pPr>
            <w:r w:rsidRPr="00F32FFF">
              <w:t>Second evaluation of The Orange Door</w:t>
            </w:r>
          </w:p>
        </w:tc>
        <w:tc>
          <w:tcPr>
            <w:tcW w:w="747" w:type="pct"/>
          </w:tcPr>
          <w:p w14:paraId="3B7489C7" w14:textId="77777777" w:rsidR="004F7554" w:rsidRPr="00F32FFF" w:rsidRDefault="004F7554" w:rsidP="0004596B">
            <w:pPr>
              <w:pStyle w:val="ARtabletextright"/>
            </w:pPr>
            <w:r w:rsidRPr="00F32FFF">
              <w:t>$530,314</w:t>
            </w:r>
          </w:p>
        </w:tc>
        <w:tc>
          <w:tcPr>
            <w:tcW w:w="631" w:type="pct"/>
          </w:tcPr>
          <w:p w14:paraId="00D662C0" w14:textId="77777777" w:rsidR="004F7554" w:rsidRPr="00F32FFF" w:rsidRDefault="004F7554" w:rsidP="0004596B">
            <w:pPr>
              <w:pStyle w:val="ARtabletextright"/>
            </w:pPr>
            <w:r w:rsidRPr="00F32FFF">
              <w:t>$257,622</w:t>
            </w:r>
          </w:p>
        </w:tc>
        <w:tc>
          <w:tcPr>
            <w:tcW w:w="655" w:type="pct"/>
          </w:tcPr>
          <w:p w14:paraId="3B970FDB" w14:textId="77777777" w:rsidR="004F7554" w:rsidRPr="00F32FFF" w:rsidRDefault="004F7554" w:rsidP="0004596B">
            <w:pPr>
              <w:pStyle w:val="ARtabletextright"/>
            </w:pPr>
            <w:r w:rsidRPr="00F32FFF">
              <w:t>$42,028</w:t>
            </w:r>
          </w:p>
        </w:tc>
      </w:tr>
      <w:tr w:rsidR="004F7554" w:rsidRPr="00F32FFF" w14:paraId="56A03E4F" w14:textId="77777777" w:rsidTr="00DD775F">
        <w:trPr>
          <w:trHeight w:val="266"/>
        </w:trPr>
        <w:tc>
          <w:tcPr>
            <w:tcW w:w="1157" w:type="pct"/>
          </w:tcPr>
          <w:p w14:paraId="4089E5CC" w14:textId="77777777" w:rsidR="004F7554" w:rsidRPr="00F32FFF" w:rsidRDefault="004F7554" w:rsidP="009A0965">
            <w:pPr>
              <w:pStyle w:val="ARtabletext"/>
              <w:spacing w:line="220" w:lineRule="atLeast"/>
            </w:pPr>
            <w:r w:rsidRPr="00F32FFF">
              <w:t>Urbis</w:t>
            </w:r>
          </w:p>
        </w:tc>
        <w:tc>
          <w:tcPr>
            <w:tcW w:w="1810" w:type="pct"/>
          </w:tcPr>
          <w:p w14:paraId="05419ED3" w14:textId="2ACD3BA2" w:rsidR="004F7554" w:rsidRPr="00F32FFF" w:rsidRDefault="004F7554" w:rsidP="009A0965">
            <w:pPr>
              <w:pStyle w:val="ARtabletext"/>
              <w:spacing w:line="220" w:lineRule="atLeast"/>
            </w:pPr>
            <w:r w:rsidRPr="00F32FFF">
              <w:t xml:space="preserve">Child and </w:t>
            </w:r>
            <w:r w:rsidR="00920103" w:rsidRPr="00F32FFF">
              <w:t>family services employment-based</w:t>
            </w:r>
            <w:r w:rsidRPr="00F32FFF">
              <w:t xml:space="preserve"> Master of Social Work </w:t>
            </w:r>
            <w:r w:rsidR="00920103" w:rsidRPr="00F32FFF">
              <w:t>monitoring</w:t>
            </w:r>
            <w:r w:rsidRPr="00F32FFF">
              <w:t xml:space="preserve"> and </w:t>
            </w:r>
            <w:r w:rsidR="00920103" w:rsidRPr="00F32FFF">
              <w:t>evaluation</w:t>
            </w:r>
          </w:p>
        </w:tc>
        <w:tc>
          <w:tcPr>
            <w:tcW w:w="747" w:type="pct"/>
          </w:tcPr>
          <w:p w14:paraId="4176C4B7" w14:textId="77777777" w:rsidR="004F7554" w:rsidRPr="00F32FFF" w:rsidRDefault="004F7554" w:rsidP="0004596B">
            <w:pPr>
              <w:pStyle w:val="ARtabletextright"/>
            </w:pPr>
            <w:r w:rsidRPr="00F32FFF">
              <w:t>$449,840</w:t>
            </w:r>
          </w:p>
        </w:tc>
        <w:tc>
          <w:tcPr>
            <w:tcW w:w="631" w:type="pct"/>
          </w:tcPr>
          <w:p w14:paraId="046585F0" w14:textId="77777777" w:rsidR="004F7554" w:rsidRPr="00F32FFF" w:rsidRDefault="004F7554" w:rsidP="0004596B">
            <w:pPr>
              <w:pStyle w:val="ARtabletextright"/>
            </w:pPr>
            <w:r w:rsidRPr="00F32FFF">
              <w:t>$248,579</w:t>
            </w:r>
          </w:p>
        </w:tc>
        <w:tc>
          <w:tcPr>
            <w:tcW w:w="655" w:type="pct"/>
          </w:tcPr>
          <w:p w14:paraId="45CFF96A" w14:textId="77777777" w:rsidR="004F7554" w:rsidRPr="00F32FFF" w:rsidRDefault="004F7554" w:rsidP="0004596B">
            <w:pPr>
              <w:pStyle w:val="ARtabletextright"/>
            </w:pPr>
            <w:r w:rsidRPr="00F32FFF">
              <w:t>$201,261</w:t>
            </w:r>
          </w:p>
        </w:tc>
      </w:tr>
      <w:tr w:rsidR="004F7554" w:rsidRPr="00F32FFF" w14:paraId="05D304BD" w14:textId="77777777" w:rsidTr="00DD775F">
        <w:trPr>
          <w:trHeight w:val="266"/>
        </w:trPr>
        <w:tc>
          <w:tcPr>
            <w:tcW w:w="1157" w:type="pct"/>
          </w:tcPr>
          <w:p w14:paraId="5C833EA1" w14:textId="77777777" w:rsidR="004F7554" w:rsidRPr="00F32FFF" w:rsidRDefault="004F7554" w:rsidP="009A0965">
            <w:pPr>
              <w:pStyle w:val="ARtabletext"/>
              <w:spacing w:line="220" w:lineRule="atLeast"/>
            </w:pPr>
            <w:r w:rsidRPr="00F32FFF">
              <w:t>Publicis Sapient</w:t>
            </w:r>
          </w:p>
        </w:tc>
        <w:tc>
          <w:tcPr>
            <w:tcW w:w="1810" w:type="pct"/>
          </w:tcPr>
          <w:p w14:paraId="32068FD7" w14:textId="66CCA6FA" w:rsidR="004F7554" w:rsidRPr="00F32FFF" w:rsidRDefault="004F7554" w:rsidP="009A0965">
            <w:pPr>
              <w:pStyle w:val="ARtabletext"/>
              <w:spacing w:line="220" w:lineRule="atLeast"/>
            </w:pPr>
            <w:r w:rsidRPr="00F32FFF">
              <w:t xml:space="preserve">Child </w:t>
            </w:r>
            <w:r w:rsidR="00920103" w:rsidRPr="00F32FFF">
              <w:t>protection planning future state experience design</w:t>
            </w:r>
          </w:p>
        </w:tc>
        <w:tc>
          <w:tcPr>
            <w:tcW w:w="747" w:type="pct"/>
          </w:tcPr>
          <w:p w14:paraId="40C8ED6B" w14:textId="77777777" w:rsidR="004F7554" w:rsidRPr="00F32FFF" w:rsidRDefault="004F7554" w:rsidP="0004596B">
            <w:pPr>
              <w:pStyle w:val="ARtabletextright"/>
            </w:pPr>
            <w:r w:rsidRPr="00F32FFF">
              <w:t>$287,350</w:t>
            </w:r>
          </w:p>
        </w:tc>
        <w:tc>
          <w:tcPr>
            <w:tcW w:w="631" w:type="pct"/>
          </w:tcPr>
          <w:p w14:paraId="7748F231" w14:textId="77777777" w:rsidR="004F7554" w:rsidRPr="00F32FFF" w:rsidRDefault="004F7554" w:rsidP="0004596B">
            <w:pPr>
              <w:pStyle w:val="ARtabletextright"/>
            </w:pPr>
            <w:r w:rsidRPr="00F32FFF">
              <w:t>$247,100</w:t>
            </w:r>
          </w:p>
        </w:tc>
        <w:tc>
          <w:tcPr>
            <w:tcW w:w="655" w:type="pct"/>
          </w:tcPr>
          <w:p w14:paraId="44803737" w14:textId="77777777" w:rsidR="004F7554" w:rsidRPr="00F32FFF" w:rsidRDefault="004F7554" w:rsidP="0004596B">
            <w:pPr>
              <w:pStyle w:val="ARtabletextright"/>
            </w:pPr>
            <w:r w:rsidRPr="00F32FFF">
              <w:t>$40,250</w:t>
            </w:r>
          </w:p>
        </w:tc>
      </w:tr>
      <w:tr w:rsidR="004F7554" w:rsidRPr="00F32FFF" w14:paraId="789761B6" w14:textId="77777777" w:rsidTr="00DD775F">
        <w:trPr>
          <w:trHeight w:val="266"/>
        </w:trPr>
        <w:tc>
          <w:tcPr>
            <w:tcW w:w="1157" w:type="pct"/>
          </w:tcPr>
          <w:p w14:paraId="0B696C47" w14:textId="77777777" w:rsidR="004F7554" w:rsidRPr="00F32FFF" w:rsidRDefault="004F7554" w:rsidP="009A0965">
            <w:pPr>
              <w:pStyle w:val="ARtabletext"/>
              <w:spacing w:line="220" w:lineRule="atLeast"/>
            </w:pPr>
            <w:r w:rsidRPr="00F32FFF">
              <w:t>Allen And Clarke Consulting Pty Ltd</w:t>
            </w:r>
          </w:p>
        </w:tc>
        <w:tc>
          <w:tcPr>
            <w:tcW w:w="1810" w:type="pct"/>
          </w:tcPr>
          <w:p w14:paraId="666B9A4F" w14:textId="335CC25A" w:rsidR="004F7554" w:rsidRPr="00F32FFF" w:rsidRDefault="004F7554" w:rsidP="009A0965">
            <w:pPr>
              <w:pStyle w:val="ARtabletext"/>
              <w:spacing w:line="220" w:lineRule="atLeast"/>
            </w:pPr>
            <w:r w:rsidRPr="00F32FFF">
              <w:t xml:space="preserve">Evaluation of the Crisis Response Model, including </w:t>
            </w:r>
            <w:r w:rsidR="00920103" w:rsidRPr="00F32FFF">
              <w:t>core</w:t>
            </w:r>
            <w:r w:rsidRPr="00F32FFF">
              <w:t xml:space="preserve"> and </w:t>
            </w:r>
            <w:r w:rsidR="00920103" w:rsidRPr="00F32FFF">
              <w:t>cluster refuges</w:t>
            </w:r>
          </w:p>
        </w:tc>
        <w:tc>
          <w:tcPr>
            <w:tcW w:w="747" w:type="pct"/>
          </w:tcPr>
          <w:p w14:paraId="490BC395" w14:textId="77777777" w:rsidR="004F7554" w:rsidRPr="00F32FFF" w:rsidRDefault="004F7554" w:rsidP="0004596B">
            <w:pPr>
              <w:pStyle w:val="ARtabletextright"/>
            </w:pPr>
            <w:r w:rsidRPr="00F32FFF">
              <w:t>$493,876</w:t>
            </w:r>
          </w:p>
        </w:tc>
        <w:tc>
          <w:tcPr>
            <w:tcW w:w="631" w:type="pct"/>
          </w:tcPr>
          <w:p w14:paraId="635B00C5" w14:textId="77777777" w:rsidR="004F7554" w:rsidRPr="00F32FFF" w:rsidRDefault="004F7554" w:rsidP="0004596B">
            <w:pPr>
              <w:pStyle w:val="ARtabletextright"/>
            </w:pPr>
            <w:r w:rsidRPr="00F32FFF">
              <w:t>$232,038</w:t>
            </w:r>
          </w:p>
        </w:tc>
        <w:tc>
          <w:tcPr>
            <w:tcW w:w="655" w:type="pct"/>
          </w:tcPr>
          <w:p w14:paraId="35397702" w14:textId="77777777" w:rsidR="004F7554" w:rsidRPr="00F32FFF" w:rsidRDefault="004F7554" w:rsidP="0004596B">
            <w:pPr>
              <w:pStyle w:val="ARtabletextright"/>
            </w:pPr>
            <w:r w:rsidRPr="00F32FFF">
              <w:t>$261,838</w:t>
            </w:r>
          </w:p>
        </w:tc>
      </w:tr>
      <w:tr w:rsidR="004F7554" w:rsidRPr="00F32FFF" w14:paraId="245FDFB7" w14:textId="77777777" w:rsidTr="00DD775F">
        <w:trPr>
          <w:trHeight w:val="266"/>
        </w:trPr>
        <w:tc>
          <w:tcPr>
            <w:tcW w:w="1157" w:type="pct"/>
          </w:tcPr>
          <w:p w14:paraId="628C8916" w14:textId="77777777" w:rsidR="004F7554" w:rsidRPr="00F32FFF" w:rsidRDefault="004F7554" w:rsidP="009A0965">
            <w:pPr>
              <w:pStyle w:val="ARtabletext"/>
              <w:spacing w:line="220" w:lineRule="atLeast"/>
            </w:pPr>
            <w:r w:rsidRPr="00F32FFF">
              <w:t>Deloitte Touche Tohmatsu</w:t>
            </w:r>
          </w:p>
        </w:tc>
        <w:tc>
          <w:tcPr>
            <w:tcW w:w="1810" w:type="pct"/>
          </w:tcPr>
          <w:p w14:paraId="44740881" w14:textId="5A6FA264" w:rsidR="004F7554" w:rsidRPr="00F32FFF" w:rsidRDefault="004F7554" w:rsidP="009A0965">
            <w:pPr>
              <w:pStyle w:val="ARtabletext"/>
              <w:spacing w:line="220" w:lineRule="atLeast"/>
            </w:pPr>
            <w:r w:rsidRPr="00F32FFF">
              <w:t xml:space="preserve">Specialist </w:t>
            </w:r>
            <w:r w:rsidR="00920103" w:rsidRPr="00F32FFF">
              <w:t>forensic disability accommodation funding reform and financial model</w:t>
            </w:r>
          </w:p>
        </w:tc>
        <w:tc>
          <w:tcPr>
            <w:tcW w:w="747" w:type="pct"/>
          </w:tcPr>
          <w:p w14:paraId="32770BD7" w14:textId="77777777" w:rsidR="004F7554" w:rsidRPr="00F32FFF" w:rsidRDefault="004F7554" w:rsidP="0004596B">
            <w:pPr>
              <w:pStyle w:val="ARtabletextright"/>
            </w:pPr>
            <w:r w:rsidRPr="00F32FFF">
              <w:t>$225,391</w:t>
            </w:r>
          </w:p>
        </w:tc>
        <w:tc>
          <w:tcPr>
            <w:tcW w:w="631" w:type="pct"/>
          </w:tcPr>
          <w:p w14:paraId="1C0DFBD1" w14:textId="77777777" w:rsidR="004F7554" w:rsidRPr="00F32FFF" w:rsidRDefault="004F7554" w:rsidP="0004596B">
            <w:pPr>
              <w:pStyle w:val="ARtabletextright"/>
            </w:pPr>
            <w:r w:rsidRPr="00F32FFF">
              <w:t>$225,391</w:t>
            </w:r>
          </w:p>
        </w:tc>
        <w:tc>
          <w:tcPr>
            <w:tcW w:w="655" w:type="pct"/>
          </w:tcPr>
          <w:p w14:paraId="5F824A0E" w14:textId="18BED268" w:rsidR="004F7554" w:rsidRPr="00F32FFF" w:rsidRDefault="005B7C9B" w:rsidP="0004596B">
            <w:pPr>
              <w:pStyle w:val="ARtabletextright"/>
            </w:pPr>
            <w:r>
              <w:rPr>
                <w:rFonts w:ascii="Aptos Narrow" w:hAnsi="Aptos Narrow"/>
                <w:sz w:val="22"/>
                <w:szCs w:val="22"/>
              </w:rPr>
              <w:t>–</w:t>
            </w:r>
          </w:p>
        </w:tc>
      </w:tr>
      <w:tr w:rsidR="004F7554" w:rsidRPr="00F32FFF" w14:paraId="4CFC79A2" w14:textId="77777777" w:rsidTr="00DD775F">
        <w:trPr>
          <w:trHeight w:val="266"/>
        </w:trPr>
        <w:tc>
          <w:tcPr>
            <w:tcW w:w="1157" w:type="pct"/>
          </w:tcPr>
          <w:p w14:paraId="0D164726" w14:textId="77777777" w:rsidR="004F7554" w:rsidRPr="00F32FFF" w:rsidRDefault="004F7554" w:rsidP="009A0965">
            <w:pPr>
              <w:pStyle w:val="ARtabletext"/>
              <w:spacing w:line="220" w:lineRule="atLeast"/>
            </w:pPr>
            <w:r w:rsidRPr="00F32FFF">
              <w:t>Nous Group Pty Ltd</w:t>
            </w:r>
          </w:p>
        </w:tc>
        <w:tc>
          <w:tcPr>
            <w:tcW w:w="1810" w:type="pct"/>
          </w:tcPr>
          <w:p w14:paraId="2AB44437" w14:textId="0842702C" w:rsidR="004F7554" w:rsidRPr="00367B98" w:rsidRDefault="004F7554" w:rsidP="009A0965">
            <w:pPr>
              <w:pStyle w:val="ARtabletext"/>
              <w:spacing w:line="220" w:lineRule="atLeast"/>
              <w:rPr>
                <w:spacing w:val="-2"/>
              </w:rPr>
            </w:pPr>
            <w:r w:rsidRPr="00367B98">
              <w:rPr>
                <w:spacing w:val="-2"/>
              </w:rPr>
              <w:t xml:space="preserve">Complaints and </w:t>
            </w:r>
            <w:r w:rsidR="00920103" w:rsidRPr="00367B98">
              <w:rPr>
                <w:spacing w:val="-2"/>
              </w:rPr>
              <w:t>feedback system review</w:t>
            </w:r>
          </w:p>
        </w:tc>
        <w:tc>
          <w:tcPr>
            <w:tcW w:w="747" w:type="pct"/>
          </w:tcPr>
          <w:p w14:paraId="60A9A96D" w14:textId="77777777" w:rsidR="004F7554" w:rsidRPr="00F32FFF" w:rsidRDefault="004F7554" w:rsidP="0004596B">
            <w:pPr>
              <w:pStyle w:val="ARtabletextright"/>
            </w:pPr>
            <w:r w:rsidRPr="00F32FFF">
              <w:t>$309,091</w:t>
            </w:r>
          </w:p>
        </w:tc>
        <w:tc>
          <w:tcPr>
            <w:tcW w:w="631" w:type="pct"/>
          </w:tcPr>
          <w:p w14:paraId="67D5A452" w14:textId="77777777" w:rsidR="004F7554" w:rsidRPr="00F32FFF" w:rsidRDefault="004F7554" w:rsidP="0004596B">
            <w:pPr>
              <w:pStyle w:val="ARtabletextright"/>
            </w:pPr>
            <w:r w:rsidRPr="00F32FFF">
              <w:t>$203,999</w:t>
            </w:r>
          </w:p>
        </w:tc>
        <w:tc>
          <w:tcPr>
            <w:tcW w:w="655" w:type="pct"/>
          </w:tcPr>
          <w:p w14:paraId="0A0DC2F2" w14:textId="27FE2F63" w:rsidR="004F7554" w:rsidRPr="00F32FFF" w:rsidRDefault="005B7C9B" w:rsidP="0004596B">
            <w:pPr>
              <w:pStyle w:val="ARtabletextright"/>
            </w:pPr>
            <w:r>
              <w:rPr>
                <w:rFonts w:ascii="Aptos Narrow" w:hAnsi="Aptos Narrow"/>
                <w:sz w:val="22"/>
                <w:szCs w:val="22"/>
              </w:rPr>
              <w:t>–</w:t>
            </w:r>
          </w:p>
        </w:tc>
      </w:tr>
      <w:tr w:rsidR="004F7554" w:rsidRPr="00F32FFF" w14:paraId="4879EC00" w14:textId="77777777" w:rsidTr="00DD775F">
        <w:trPr>
          <w:trHeight w:val="266"/>
        </w:trPr>
        <w:tc>
          <w:tcPr>
            <w:tcW w:w="1157" w:type="pct"/>
          </w:tcPr>
          <w:p w14:paraId="0CD30CC7" w14:textId="77777777" w:rsidR="004F7554" w:rsidRPr="00F32FFF" w:rsidRDefault="004F7554" w:rsidP="009A0965">
            <w:pPr>
              <w:pStyle w:val="ARtabletext"/>
              <w:spacing w:line="220" w:lineRule="atLeast"/>
            </w:pPr>
            <w:r w:rsidRPr="00F32FFF">
              <w:t>Ernst &amp; Young Services Pty Ltd</w:t>
            </w:r>
          </w:p>
        </w:tc>
        <w:tc>
          <w:tcPr>
            <w:tcW w:w="1810" w:type="pct"/>
          </w:tcPr>
          <w:p w14:paraId="179DE85D" w14:textId="08DFEA3B" w:rsidR="004F7554" w:rsidRPr="00F32FFF" w:rsidRDefault="004F7554" w:rsidP="009A0965">
            <w:pPr>
              <w:pStyle w:val="ARtabletext"/>
              <w:spacing w:line="220" w:lineRule="atLeast"/>
            </w:pPr>
            <w:r w:rsidRPr="00F32FFF">
              <w:t xml:space="preserve">Adolescent </w:t>
            </w:r>
            <w:r w:rsidR="00920103" w:rsidRPr="00F32FFF">
              <w:t xml:space="preserve">family violence in the home </w:t>
            </w:r>
            <w:r w:rsidR="00920103">
              <w:t>–</w:t>
            </w:r>
            <w:r w:rsidR="00920103" w:rsidRPr="00F32FFF">
              <w:t xml:space="preserve"> lapsing program evaluation</w:t>
            </w:r>
          </w:p>
        </w:tc>
        <w:tc>
          <w:tcPr>
            <w:tcW w:w="747" w:type="pct"/>
          </w:tcPr>
          <w:p w14:paraId="1FE808DC" w14:textId="77777777" w:rsidR="004F7554" w:rsidRPr="00F32FFF" w:rsidRDefault="004F7554" w:rsidP="0004596B">
            <w:pPr>
              <w:pStyle w:val="ARtabletextright"/>
            </w:pPr>
            <w:r w:rsidRPr="00F32FFF">
              <w:t>$394,517</w:t>
            </w:r>
          </w:p>
        </w:tc>
        <w:tc>
          <w:tcPr>
            <w:tcW w:w="631" w:type="pct"/>
          </w:tcPr>
          <w:p w14:paraId="23A8A7EE" w14:textId="77777777" w:rsidR="004F7554" w:rsidRPr="00F32FFF" w:rsidRDefault="004F7554" w:rsidP="0004596B">
            <w:pPr>
              <w:pStyle w:val="ARtabletextright"/>
            </w:pPr>
            <w:r w:rsidRPr="00F32FFF">
              <w:t>$202,857</w:t>
            </w:r>
          </w:p>
        </w:tc>
        <w:tc>
          <w:tcPr>
            <w:tcW w:w="655" w:type="pct"/>
          </w:tcPr>
          <w:p w14:paraId="183F1E4B" w14:textId="77777777" w:rsidR="004F7554" w:rsidRPr="00F32FFF" w:rsidRDefault="004F7554" w:rsidP="0004596B">
            <w:pPr>
              <w:pStyle w:val="ARtabletextright"/>
            </w:pPr>
            <w:r w:rsidRPr="00F32FFF">
              <w:t>$191,660</w:t>
            </w:r>
          </w:p>
        </w:tc>
      </w:tr>
      <w:tr w:rsidR="004F7554" w:rsidRPr="00F32FFF" w14:paraId="43517C2E" w14:textId="77777777" w:rsidTr="00DD775F">
        <w:trPr>
          <w:trHeight w:val="266"/>
        </w:trPr>
        <w:tc>
          <w:tcPr>
            <w:tcW w:w="1157" w:type="pct"/>
          </w:tcPr>
          <w:p w14:paraId="085FA427" w14:textId="77777777" w:rsidR="004F7554" w:rsidRPr="00F32FFF" w:rsidRDefault="004F7554" w:rsidP="009A0965">
            <w:pPr>
              <w:pStyle w:val="ARtabletext"/>
              <w:spacing w:line="220" w:lineRule="atLeast"/>
            </w:pPr>
            <w:r w:rsidRPr="00F32FFF">
              <w:t>Nous Group Pty Ltd</w:t>
            </w:r>
          </w:p>
        </w:tc>
        <w:tc>
          <w:tcPr>
            <w:tcW w:w="1810" w:type="pct"/>
          </w:tcPr>
          <w:p w14:paraId="58293213" w14:textId="7C52A063" w:rsidR="004F7554" w:rsidRPr="00F32FFF" w:rsidRDefault="004F7554" w:rsidP="009A0965">
            <w:pPr>
              <w:pStyle w:val="ARtabletext"/>
              <w:spacing w:line="220" w:lineRule="atLeast"/>
            </w:pPr>
            <w:r w:rsidRPr="00F32FFF">
              <w:t xml:space="preserve">Home-based </w:t>
            </w:r>
            <w:r w:rsidR="00920103" w:rsidRPr="00F32FFF">
              <w:t xml:space="preserve">care </w:t>
            </w:r>
            <w:r w:rsidR="001A3D35">
              <w:t>Review</w:t>
            </w:r>
          </w:p>
        </w:tc>
        <w:tc>
          <w:tcPr>
            <w:tcW w:w="747" w:type="pct"/>
          </w:tcPr>
          <w:p w14:paraId="3F72EECD" w14:textId="77777777" w:rsidR="004F7554" w:rsidRPr="00F32FFF" w:rsidRDefault="004F7554" w:rsidP="0004596B">
            <w:pPr>
              <w:pStyle w:val="ARtabletextright"/>
            </w:pPr>
            <w:r w:rsidRPr="00F32FFF">
              <w:t>$264,006</w:t>
            </w:r>
          </w:p>
        </w:tc>
        <w:tc>
          <w:tcPr>
            <w:tcW w:w="631" w:type="pct"/>
          </w:tcPr>
          <w:p w14:paraId="373FF787" w14:textId="77777777" w:rsidR="004F7554" w:rsidRPr="00F32FFF" w:rsidRDefault="004F7554" w:rsidP="0004596B">
            <w:pPr>
              <w:pStyle w:val="ARtabletextright"/>
            </w:pPr>
            <w:r w:rsidRPr="00F32FFF">
              <w:t>$192,343</w:t>
            </w:r>
          </w:p>
        </w:tc>
        <w:tc>
          <w:tcPr>
            <w:tcW w:w="655" w:type="pct"/>
          </w:tcPr>
          <w:p w14:paraId="2C07D3B4" w14:textId="77777777" w:rsidR="004F7554" w:rsidRPr="00F32FFF" w:rsidRDefault="004F7554" w:rsidP="0004596B">
            <w:pPr>
              <w:pStyle w:val="ARtabletextright"/>
            </w:pPr>
            <w:r w:rsidRPr="00F32FFF">
              <w:t>$71,663</w:t>
            </w:r>
          </w:p>
        </w:tc>
      </w:tr>
      <w:tr w:rsidR="004F7554" w:rsidRPr="00F32FFF" w14:paraId="76DA6C05" w14:textId="77777777" w:rsidTr="00DD775F">
        <w:trPr>
          <w:trHeight w:val="266"/>
        </w:trPr>
        <w:tc>
          <w:tcPr>
            <w:tcW w:w="1157" w:type="pct"/>
          </w:tcPr>
          <w:p w14:paraId="2815B7BF" w14:textId="77777777" w:rsidR="004F7554" w:rsidRPr="00F32FFF" w:rsidRDefault="004F7554" w:rsidP="009A0965">
            <w:pPr>
              <w:pStyle w:val="ARtabletext"/>
              <w:spacing w:line="220" w:lineRule="atLeast"/>
            </w:pPr>
            <w:r w:rsidRPr="00F32FFF">
              <w:t>Schored Projects Pty Ltd</w:t>
            </w:r>
          </w:p>
        </w:tc>
        <w:tc>
          <w:tcPr>
            <w:tcW w:w="1810" w:type="pct"/>
          </w:tcPr>
          <w:p w14:paraId="6436D55A" w14:textId="13093169" w:rsidR="004F7554" w:rsidRPr="00F32FFF" w:rsidRDefault="004F7554" w:rsidP="009A0965">
            <w:pPr>
              <w:pStyle w:val="ARtabletext"/>
              <w:spacing w:line="220" w:lineRule="atLeast"/>
            </w:pPr>
            <w:r w:rsidRPr="00F32FFF">
              <w:t xml:space="preserve">Forensic Disability Women Service </w:t>
            </w:r>
            <w:r w:rsidR="005B7C9B">
              <w:t>–</w:t>
            </w:r>
            <w:r w:rsidRPr="00F32FFF">
              <w:t xml:space="preserve"> </w:t>
            </w:r>
            <w:r w:rsidR="00920103" w:rsidRPr="00F32FFF">
              <w:t>architectural design</w:t>
            </w:r>
          </w:p>
        </w:tc>
        <w:tc>
          <w:tcPr>
            <w:tcW w:w="747" w:type="pct"/>
          </w:tcPr>
          <w:p w14:paraId="26A3DC07" w14:textId="77777777" w:rsidR="004F7554" w:rsidRPr="00F32FFF" w:rsidRDefault="004F7554" w:rsidP="0004596B">
            <w:pPr>
              <w:pStyle w:val="ARtabletextright"/>
            </w:pPr>
            <w:r w:rsidRPr="00F32FFF">
              <w:t>$167,150</w:t>
            </w:r>
          </w:p>
        </w:tc>
        <w:tc>
          <w:tcPr>
            <w:tcW w:w="631" w:type="pct"/>
          </w:tcPr>
          <w:p w14:paraId="773CB575" w14:textId="77777777" w:rsidR="004F7554" w:rsidRPr="00F32FFF" w:rsidRDefault="004F7554" w:rsidP="0004596B">
            <w:pPr>
              <w:pStyle w:val="ARtabletextright"/>
            </w:pPr>
            <w:r w:rsidRPr="00F32FFF">
              <w:t>$167,127</w:t>
            </w:r>
          </w:p>
        </w:tc>
        <w:tc>
          <w:tcPr>
            <w:tcW w:w="655" w:type="pct"/>
          </w:tcPr>
          <w:p w14:paraId="6F0A3D31" w14:textId="337E0AE8" w:rsidR="004F7554" w:rsidRPr="00F32FFF" w:rsidRDefault="005B7C9B" w:rsidP="0004596B">
            <w:pPr>
              <w:pStyle w:val="ARtabletextright"/>
            </w:pPr>
            <w:r>
              <w:rPr>
                <w:rFonts w:ascii="Aptos Narrow" w:hAnsi="Aptos Narrow"/>
                <w:sz w:val="22"/>
                <w:szCs w:val="22"/>
              </w:rPr>
              <w:t>–</w:t>
            </w:r>
          </w:p>
        </w:tc>
      </w:tr>
      <w:tr w:rsidR="004F7554" w:rsidRPr="00F32FFF" w14:paraId="51D4605F" w14:textId="77777777" w:rsidTr="00DD775F">
        <w:trPr>
          <w:trHeight w:val="266"/>
        </w:trPr>
        <w:tc>
          <w:tcPr>
            <w:tcW w:w="1157" w:type="pct"/>
          </w:tcPr>
          <w:p w14:paraId="346EF953" w14:textId="77777777" w:rsidR="004F7554" w:rsidRPr="00F32FFF" w:rsidRDefault="004F7554" w:rsidP="009A0965">
            <w:pPr>
              <w:pStyle w:val="ARtabletext"/>
              <w:spacing w:line="220" w:lineRule="atLeast"/>
            </w:pPr>
            <w:r w:rsidRPr="00F32FFF">
              <w:t>Social Research Centre</w:t>
            </w:r>
          </w:p>
        </w:tc>
        <w:tc>
          <w:tcPr>
            <w:tcW w:w="1810" w:type="pct"/>
          </w:tcPr>
          <w:p w14:paraId="205FA239" w14:textId="317F0FC5" w:rsidR="004F7554" w:rsidRPr="00F32FFF" w:rsidRDefault="004F7554" w:rsidP="009A0965">
            <w:pPr>
              <w:pStyle w:val="ARtabletext"/>
              <w:spacing w:line="220" w:lineRule="atLeast"/>
            </w:pPr>
            <w:r w:rsidRPr="00F32FFF">
              <w:t xml:space="preserve">Exit </w:t>
            </w:r>
            <w:r w:rsidR="00920103" w:rsidRPr="00F32FFF">
              <w:t>pathways from refuge and crisis accommodation for victim survivors of</w:t>
            </w:r>
            <w:r w:rsidR="00920103">
              <w:t> </w:t>
            </w:r>
            <w:r w:rsidR="00920103" w:rsidRPr="00F32FFF">
              <w:t>family violence</w:t>
            </w:r>
          </w:p>
        </w:tc>
        <w:tc>
          <w:tcPr>
            <w:tcW w:w="747" w:type="pct"/>
          </w:tcPr>
          <w:p w14:paraId="0FDF199C" w14:textId="77777777" w:rsidR="004F7554" w:rsidRPr="00F32FFF" w:rsidRDefault="004F7554" w:rsidP="0004596B">
            <w:pPr>
              <w:pStyle w:val="ARtabletextright"/>
            </w:pPr>
            <w:r w:rsidRPr="00F32FFF">
              <w:t>$271,744</w:t>
            </w:r>
          </w:p>
        </w:tc>
        <w:tc>
          <w:tcPr>
            <w:tcW w:w="631" w:type="pct"/>
          </w:tcPr>
          <w:p w14:paraId="7CE63249" w14:textId="77777777" w:rsidR="004F7554" w:rsidRPr="00F32FFF" w:rsidRDefault="004F7554" w:rsidP="0004596B">
            <w:pPr>
              <w:pStyle w:val="ARtabletextright"/>
            </w:pPr>
            <w:r w:rsidRPr="00F32FFF">
              <w:t>$160,000</w:t>
            </w:r>
          </w:p>
        </w:tc>
        <w:tc>
          <w:tcPr>
            <w:tcW w:w="655" w:type="pct"/>
          </w:tcPr>
          <w:p w14:paraId="262418B3" w14:textId="77777777" w:rsidR="004F7554" w:rsidRPr="00F32FFF" w:rsidRDefault="004F7554" w:rsidP="0004596B">
            <w:pPr>
              <w:pStyle w:val="ARtabletextright"/>
            </w:pPr>
            <w:r w:rsidRPr="00F32FFF">
              <w:t>$51,744</w:t>
            </w:r>
          </w:p>
        </w:tc>
      </w:tr>
      <w:tr w:rsidR="004F7554" w:rsidRPr="00F32FFF" w14:paraId="31FE38A9" w14:textId="77777777" w:rsidTr="00DD775F">
        <w:trPr>
          <w:trHeight w:val="266"/>
        </w:trPr>
        <w:tc>
          <w:tcPr>
            <w:tcW w:w="1157" w:type="pct"/>
          </w:tcPr>
          <w:p w14:paraId="5B81F214" w14:textId="77777777" w:rsidR="004F7554" w:rsidRPr="00F32FFF" w:rsidRDefault="004F7554" w:rsidP="009A0965">
            <w:pPr>
              <w:pStyle w:val="ARtabletext"/>
              <w:spacing w:line="220" w:lineRule="atLeast"/>
            </w:pPr>
            <w:r w:rsidRPr="00F32FFF">
              <w:t>Ernst &amp; Young Services Pty Ltd</w:t>
            </w:r>
          </w:p>
        </w:tc>
        <w:tc>
          <w:tcPr>
            <w:tcW w:w="1810" w:type="pct"/>
          </w:tcPr>
          <w:p w14:paraId="2330D3BE" w14:textId="090B4099" w:rsidR="004F7554" w:rsidRPr="00F32FFF" w:rsidRDefault="004F7554" w:rsidP="009A0965">
            <w:pPr>
              <w:pStyle w:val="ARtabletext"/>
              <w:spacing w:line="220" w:lineRule="atLeast"/>
            </w:pPr>
            <w:r w:rsidRPr="00F32FFF">
              <w:t xml:space="preserve">Redesign of the </w:t>
            </w:r>
            <w:r w:rsidRPr="00445355">
              <w:rPr>
                <w:i/>
              </w:rPr>
              <w:t xml:space="preserve">Child </w:t>
            </w:r>
            <w:r w:rsidR="00920103" w:rsidRPr="00920103">
              <w:rPr>
                <w:i/>
                <w:iCs/>
              </w:rPr>
              <w:t>protection manual</w:t>
            </w:r>
            <w:r w:rsidRPr="00F32FFF">
              <w:t xml:space="preserve"> </w:t>
            </w:r>
            <w:r w:rsidR="00920103">
              <w:t>i</w:t>
            </w:r>
            <w:r w:rsidR="00920103" w:rsidRPr="00F32FFF">
              <w:t xml:space="preserve">mplementation </w:t>
            </w:r>
            <w:r w:rsidRPr="00F32FFF">
              <w:t>planning</w:t>
            </w:r>
          </w:p>
        </w:tc>
        <w:tc>
          <w:tcPr>
            <w:tcW w:w="747" w:type="pct"/>
          </w:tcPr>
          <w:p w14:paraId="2337D7C6" w14:textId="77777777" w:rsidR="004F7554" w:rsidRPr="00F32FFF" w:rsidRDefault="004F7554" w:rsidP="0004596B">
            <w:pPr>
              <w:pStyle w:val="ARtabletextright"/>
            </w:pPr>
            <w:r w:rsidRPr="00F32FFF">
              <w:t>$157,246</w:t>
            </w:r>
          </w:p>
        </w:tc>
        <w:tc>
          <w:tcPr>
            <w:tcW w:w="631" w:type="pct"/>
          </w:tcPr>
          <w:p w14:paraId="305D7FCD" w14:textId="77777777" w:rsidR="004F7554" w:rsidRPr="00F32FFF" w:rsidRDefault="004F7554" w:rsidP="0004596B">
            <w:pPr>
              <w:pStyle w:val="ARtabletextright"/>
            </w:pPr>
            <w:r w:rsidRPr="00F32FFF">
              <w:t>$157,246</w:t>
            </w:r>
          </w:p>
        </w:tc>
        <w:tc>
          <w:tcPr>
            <w:tcW w:w="655" w:type="pct"/>
          </w:tcPr>
          <w:p w14:paraId="0DFCB025" w14:textId="7DDEFA4B" w:rsidR="004F7554" w:rsidRPr="00F32FFF" w:rsidRDefault="005B7C9B" w:rsidP="0004596B">
            <w:pPr>
              <w:pStyle w:val="ARtabletextright"/>
            </w:pPr>
            <w:r>
              <w:rPr>
                <w:rFonts w:ascii="Aptos Narrow" w:hAnsi="Aptos Narrow"/>
                <w:sz w:val="22"/>
                <w:szCs w:val="22"/>
              </w:rPr>
              <w:t>–</w:t>
            </w:r>
          </w:p>
        </w:tc>
      </w:tr>
      <w:tr w:rsidR="004F7554" w:rsidRPr="00F32FFF" w14:paraId="207A6A9F" w14:textId="77777777" w:rsidTr="00DD775F">
        <w:trPr>
          <w:trHeight w:val="266"/>
        </w:trPr>
        <w:tc>
          <w:tcPr>
            <w:tcW w:w="1157" w:type="pct"/>
          </w:tcPr>
          <w:p w14:paraId="00D06E3C" w14:textId="77777777" w:rsidR="004F7554" w:rsidRPr="00F32FFF" w:rsidRDefault="004F7554" w:rsidP="009A0965">
            <w:pPr>
              <w:pStyle w:val="ARtabletext"/>
              <w:spacing w:line="220" w:lineRule="atLeast"/>
            </w:pPr>
            <w:r w:rsidRPr="00F32FFF">
              <w:t>KPMG</w:t>
            </w:r>
          </w:p>
        </w:tc>
        <w:tc>
          <w:tcPr>
            <w:tcW w:w="1810" w:type="pct"/>
          </w:tcPr>
          <w:p w14:paraId="5721A82C" w14:textId="0F7DEB75" w:rsidR="004F7554" w:rsidRPr="00F32FFF" w:rsidRDefault="004F7554" w:rsidP="009A0965">
            <w:pPr>
              <w:pStyle w:val="ARtabletext"/>
              <w:spacing w:line="220" w:lineRule="atLeast"/>
            </w:pPr>
            <w:r w:rsidRPr="00F32FFF">
              <w:t xml:space="preserve">Commercial analysis </w:t>
            </w:r>
            <w:r w:rsidR="005B7C9B">
              <w:t>–</w:t>
            </w:r>
            <w:r w:rsidRPr="00F32FFF">
              <w:t xml:space="preserve"> </w:t>
            </w:r>
            <w:r w:rsidR="00920103" w:rsidRPr="00F32FFF">
              <w:t>specialist disability accommodation renewal</w:t>
            </w:r>
          </w:p>
        </w:tc>
        <w:tc>
          <w:tcPr>
            <w:tcW w:w="747" w:type="pct"/>
          </w:tcPr>
          <w:p w14:paraId="413D788D" w14:textId="77777777" w:rsidR="004F7554" w:rsidRPr="00F32FFF" w:rsidRDefault="004F7554" w:rsidP="0004596B">
            <w:pPr>
              <w:pStyle w:val="ARtabletextright"/>
            </w:pPr>
            <w:r w:rsidRPr="00F32FFF">
              <w:t>$150,000</w:t>
            </w:r>
          </w:p>
        </w:tc>
        <w:tc>
          <w:tcPr>
            <w:tcW w:w="631" w:type="pct"/>
          </w:tcPr>
          <w:p w14:paraId="6E4692FC" w14:textId="77777777" w:rsidR="004F7554" w:rsidRPr="00F32FFF" w:rsidRDefault="004F7554" w:rsidP="0004596B">
            <w:pPr>
              <w:pStyle w:val="ARtabletextright"/>
            </w:pPr>
            <w:r w:rsidRPr="00F32FFF">
              <w:t>$150,000</w:t>
            </w:r>
          </w:p>
        </w:tc>
        <w:tc>
          <w:tcPr>
            <w:tcW w:w="655" w:type="pct"/>
          </w:tcPr>
          <w:p w14:paraId="2481BE9E" w14:textId="0DF793E7" w:rsidR="004F7554" w:rsidRPr="00F32FFF" w:rsidRDefault="005B7C9B" w:rsidP="0004596B">
            <w:pPr>
              <w:pStyle w:val="ARtabletextright"/>
            </w:pPr>
            <w:r>
              <w:rPr>
                <w:rFonts w:ascii="Aptos Narrow" w:hAnsi="Aptos Narrow"/>
                <w:sz w:val="22"/>
                <w:szCs w:val="22"/>
              </w:rPr>
              <w:t>–</w:t>
            </w:r>
          </w:p>
        </w:tc>
      </w:tr>
      <w:tr w:rsidR="004F7554" w:rsidRPr="00F32FFF" w14:paraId="47CA9BD8" w14:textId="77777777" w:rsidTr="00DD775F">
        <w:trPr>
          <w:trHeight w:val="266"/>
        </w:trPr>
        <w:tc>
          <w:tcPr>
            <w:tcW w:w="1157" w:type="pct"/>
          </w:tcPr>
          <w:p w14:paraId="13592A95" w14:textId="77777777" w:rsidR="004F7554" w:rsidRPr="00F32FFF" w:rsidRDefault="004F7554" w:rsidP="009A0965">
            <w:pPr>
              <w:pStyle w:val="ARtabletext"/>
              <w:spacing w:line="220" w:lineRule="atLeast"/>
            </w:pPr>
            <w:r w:rsidRPr="00F32FFF">
              <w:t>Ernst &amp; Young Services Pty Ltd</w:t>
            </w:r>
          </w:p>
        </w:tc>
        <w:tc>
          <w:tcPr>
            <w:tcW w:w="1810" w:type="pct"/>
          </w:tcPr>
          <w:p w14:paraId="5EC36148" w14:textId="53839A32" w:rsidR="004F7554" w:rsidRPr="00F32FFF" w:rsidRDefault="004F7554" w:rsidP="009A0965">
            <w:pPr>
              <w:pStyle w:val="ARtabletext"/>
              <w:spacing w:line="220" w:lineRule="atLeast"/>
            </w:pPr>
            <w:r w:rsidRPr="00F32FFF">
              <w:t xml:space="preserve">Provision of </w:t>
            </w:r>
            <w:r w:rsidR="00920103" w:rsidRPr="00F32FFF">
              <w:t>real estate advisory and commercial/financial support</w:t>
            </w:r>
          </w:p>
        </w:tc>
        <w:tc>
          <w:tcPr>
            <w:tcW w:w="747" w:type="pct"/>
          </w:tcPr>
          <w:p w14:paraId="0877E81E" w14:textId="77777777" w:rsidR="004F7554" w:rsidRPr="00F32FFF" w:rsidRDefault="004F7554" w:rsidP="0004596B">
            <w:pPr>
              <w:pStyle w:val="ARtabletextright"/>
            </w:pPr>
            <w:r w:rsidRPr="00F32FFF">
              <w:t>$143,000</w:t>
            </w:r>
          </w:p>
        </w:tc>
        <w:tc>
          <w:tcPr>
            <w:tcW w:w="631" w:type="pct"/>
          </w:tcPr>
          <w:p w14:paraId="7B107C05" w14:textId="77777777" w:rsidR="004F7554" w:rsidRPr="00F32FFF" w:rsidRDefault="004F7554" w:rsidP="0004596B">
            <w:pPr>
              <w:pStyle w:val="ARtabletextright"/>
            </w:pPr>
            <w:r w:rsidRPr="00F32FFF">
              <w:t>$143,000</w:t>
            </w:r>
          </w:p>
        </w:tc>
        <w:tc>
          <w:tcPr>
            <w:tcW w:w="655" w:type="pct"/>
          </w:tcPr>
          <w:p w14:paraId="4272C3B4" w14:textId="6C2D9884" w:rsidR="004F7554" w:rsidRPr="00F32FFF" w:rsidRDefault="005B7C9B" w:rsidP="0004596B">
            <w:pPr>
              <w:pStyle w:val="ARtabletextright"/>
            </w:pPr>
            <w:r>
              <w:rPr>
                <w:rFonts w:ascii="Aptos Narrow" w:hAnsi="Aptos Narrow"/>
                <w:sz w:val="22"/>
                <w:szCs w:val="22"/>
              </w:rPr>
              <w:t>–</w:t>
            </w:r>
          </w:p>
        </w:tc>
      </w:tr>
      <w:tr w:rsidR="004F7554" w:rsidRPr="00F32FFF" w14:paraId="7E047A59" w14:textId="77777777" w:rsidTr="00DD775F">
        <w:trPr>
          <w:trHeight w:val="266"/>
        </w:trPr>
        <w:tc>
          <w:tcPr>
            <w:tcW w:w="1157" w:type="pct"/>
          </w:tcPr>
          <w:p w14:paraId="42C983F0" w14:textId="77777777" w:rsidR="004F7554" w:rsidRPr="00F32FFF" w:rsidRDefault="004F7554" w:rsidP="009A0965">
            <w:pPr>
              <w:pStyle w:val="ARtabletext"/>
              <w:spacing w:line="220" w:lineRule="atLeast"/>
            </w:pPr>
            <w:r w:rsidRPr="00F32FFF">
              <w:t>Ernst &amp; Young Services Pty Ltd</w:t>
            </w:r>
          </w:p>
        </w:tc>
        <w:tc>
          <w:tcPr>
            <w:tcW w:w="1810" w:type="pct"/>
          </w:tcPr>
          <w:p w14:paraId="47D75931" w14:textId="49E8BD01" w:rsidR="004F7554" w:rsidRPr="00F32FFF" w:rsidRDefault="004F7554" w:rsidP="009A0965">
            <w:pPr>
              <w:pStyle w:val="ARtabletext"/>
              <w:spacing w:line="220" w:lineRule="atLeast"/>
            </w:pPr>
            <w:r w:rsidRPr="00F32FFF">
              <w:t xml:space="preserve">Commercial </w:t>
            </w:r>
            <w:r w:rsidR="00920103">
              <w:t>a</w:t>
            </w:r>
            <w:r w:rsidR="00920103" w:rsidRPr="00F32FFF">
              <w:t xml:space="preserve">dvice </w:t>
            </w:r>
            <w:r w:rsidRPr="00F32FFF">
              <w:t xml:space="preserve">for DC2 </w:t>
            </w:r>
            <w:r w:rsidR="00920103">
              <w:t>p</w:t>
            </w:r>
            <w:r w:rsidR="00920103" w:rsidRPr="00F32FFF">
              <w:t>rogram</w:t>
            </w:r>
          </w:p>
        </w:tc>
        <w:tc>
          <w:tcPr>
            <w:tcW w:w="747" w:type="pct"/>
          </w:tcPr>
          <w:p w14:paraId="2B857FD3" w14:textId="77777777" w:rsidR="004F7554" w:rsidRPr="00F32FFF" w:rsidRDefault="004F7554" w:rsidP="0004596B">
            <w:pPr>
              <w:pStyle w:val="ARtabletextright"/>
            </w:pPr>
            <w:r w:rsidRPr="00F32FFF">
              <w:t>$142,348</w:t>
            </w:r>
          </w:p>
        </w:tc>
        <w:tc>
          <w:tcPr>
            <w:tcW w:w="631" w:type="pct"/>
          </w:tcPr>
          <w:p w14:paraId="3B857F05" w14:textId="77777777" w:rsidR="004F7554" w:rsidRPr="00F32FFF" w:rsidRDefault="004F7554" w:rsidP="0004596B">
            <w:pPr>
              <w:pStyle w:val="ARtabletextright"/>
            </w:pPr>
            <w:r w:rsidRPr="00F32FFF">
              <w:t>$142,348</w:t>
            </w:r>
          </w:p>
        </w:tc>
        <w:tc>
          <w:tcPr>
            <w:tcW w:w="655" w:type="pct"/>
          </w:tcPr>
          <w:p w14:paraId="0B66B398" w14:textId="552E4A96" w:rsidR="004F7554" w:rsidRPr="00F32FFF" w:rsidRDefault="005B7C9B" w:rsidP="0004596B">
            <w:pPr>
              <w:pStyle w:val="ARtabletextright"/>
            </w:pPr>
            <w:r>
              <w:rPr>
                <w:rFonts w:ascii="Aptos Narrow" w:hAnsi="Aptos Narrow"/>
                <w:sz w:val="22"/>
                <w:szCs w:val="22"/>
              </w:rPr>
              <w:t>–</w:t>
            </w:r>
          </w:p>
        </w:tc>
      </w:tr>
      <w:tr w:rsidR="004F7554" w:rsidRPr="00F32FFF" w14:paraId="3F2CC37E" w14:textId="77777777" w:rsidTr="00DD775F">
        <w:trPr>
          <w:trHeight w:val="266"/>
        </w:trPr>
        <w:tc>
          <w:tcPr>
            <w:tcW w:w="1157" w:type="pct"/>
          </w:tcPr>
          <w:p w14:paraId="0CD6A803" w14:textId="77777777" w:rsidR="004F7554" w:rsidRPr="00F32FFF" w:rsidRDefault="004F7554" w:rsidP="009A0965">
            <w:pPr>
              <w:pStyle w:val="ARtabletext"/>
              <w:spacing w:line="220" w:lineRule="atLeast"/>
            </w:pPr>
            <w:r w:rsidRPr="00F32FFF">
              <w:t>Deloitte Touche Tohmatsu</w:t>
            </w:r>
          </w:p>
        </w:tc>
        <w:tc>
          <w:tcPr>
            <w:tcW w:w="1810" w:type="pct"/>
          </w:tcPr>
          <w:p w14:paraId="21F84259" w14:textId="77777777" w:rsidR="004F7554" w:rsidRPr="00367B98" w:rsidRDefault="004F7554" w:rsidP="009A0965">
            <w:pPr>
              <w:pStyle w:val="ARtabletext"/>
              <w:spacing w:line="220" w:lineRule="atLeast"/>
              <w:rPr>
                <w:spacing w:val="-4"/>
              </w:rPr>
            </w:pPr>
            <w:r w:rsidRPr="00367B98">
              <w:rPr>
                <w:spacing w:val="-4"/>
              </w:rPr>
              <w:t>Evaluation of the Central Information Point</w:t>
            </w:r>
          </w:p>
        </w:tc>
        <w:tc>
          <w:tcPr>
            <w:tcW w:w="747" w:type="pct"/>
          </w:tcPr>
          <w:p w14:paraId="4C162035" w14:textId="77777777" w:rsidR="004F7554" w:rsidRPr="00F32FFF" w:rsidRDefault="004F7554" w:rsidP="0004596B">
            <w:pPr>
              <w:pStyle w:val="ARtabletextright"/>
            </w:pPr>
            <w:r w:rsidRPr="00F32FFF">
              <w:t>$282,762</w:t>
            </w:r>
          </w:p>
        </w:tc>
        <w:tc>
          <w:tcPr>
            <w:tcW w:w="631" w:type="pct"/>
          </w:tcPr>
          <w:p w14:paraId="07DE5CDC" w14:textId="77777777" w:rsidR="004F7554" w:rsidRPr="00F32FFF" w:rsidRDefault="004F7554" w:rsidP="0004596B">
            <w:pPr>
              <w:pStyle w:val="ARtabletextright"/>
            </w:pPr>
            <w:r w:rsidRPr="00F32FFF">
              <w:t>$139,984</w:t>
            </w:r>
          </w:p>
        </w:tc>
        <w:tc>
          <w:tcPr>
            <w:tcW w:w="655" w:type="pct"/>
          </w:tcPr>
          <w:p w14:paraId="789D21F6" w14:textId="7BEDAF31" w:rsidR="004F7554" w:rsidRPr="00F32FFF" w:rsidRDefault="005B7C9B" w:rsidP="0004596B">
            <w:pPr>
              <w:pStyle w:val="ARtabletextright"/>
            </w:pPr>
            <w:r>
              <w:rPr>
                <w:rFonts w:ascii="Aptos Narrow" w:hAnsi="Aptos Narrow"/>
                <w:sz w:val="22"/>
                <w:szCs w:val="22"/>
              </w:rPr>
              <w:t>–</w:t>
            </w:r>
          </w:p>
        </w:tc>
      </w:tr>
      <w:tr w:rsidR="004F7554" w:rsidRPr="00F32FFF" w14:paraId="621413D6" w14:textId="77777777" w:rsidTr="00DD775F">
        <w:trPr>
          <w:trHeight w:val="266"/>
        </w:trPr>
        <w:tc>
          <w:tcPr>
            <w:tcW w:w="1157" w:type="pct"/>
          </w:tcPr>
          <w:p w14:paraId="33548C9F" w14:textId="77777777" w:rsidR="004F7554" w:rsidRPr="00F32FFF" w:rsidRDefault="004F7554" w:rsidP="009A0965">
            <w:pPr>
              <w:pStyle w:val="ARtabletext"/>
              <w:spacing w:line="220" w:lineRule="atLeast"/>
            </w:pPr>
            <w:r w:rsidRPr="00F32FFF">
              <w:t>Deloitte Touche Tohmatsu</w:t>
            </w:r>
          </w:p>
        </w:tc>
        <w:tc>
          <w:tcPr>
            <w:tcW w:w="1810" w:type="pct"/>
          </w:tcPr>
          <w:p w14:paraId="4DA36D0D" w14:textId="77777777" w:rsidR="004F7554" w:rsidRPr="00F32FFF" w:rsidRDefault="004F7554" w:rsidP="009A0965">
            <w:pPr>
              <w:pStyle w:val="ARtabletext"/>
              <w:spacing w:line="220" w:lineRule="atLeast"/>
            </w:pPr>
            <w:r w:rsidRPr="00F32FFF">
              <w:t>Evaluation: Family Violence Reform Outcomes Framework</w:t>
            </w:r>
          </w:p>
        </w:tc>
        <w:tc>
          <w:tcPr>
            <w:tcW w:w="747" w:type="pct"/>
          </w:tcPr>
          <w:p w14:paraId="119B7BE5" w14:textId="77777777" w:rsidR="004F7554" w:rsidRPr="00F32FFF" w:rsidRDefault="004F7554" w:rsidP="0004596B">
            <w:pPr>
              <w:pStyle w:val="ARtabletextright"/>
            </w:pPr>
            <w:r w:rsidRPr="00F32FFF">
              <w:t>$165,771</w:t>
            </w:r>
          </w:p>
        </w:tc>
        <w:tc>
          <w:tcPr>
            <w:tcW w:w="631" w:type="pct"/>
          </w:tcPr>
          <w:p w14:paraId="14ECB073" w14:textId="77777777" w:rsidR="004F7554" w:rsidRPr="00F32FFF" w:rsidRDefault="004F7554" w:rsidP="0004596B">
            <w:pPr>
              <w:pStyle w:val="ARtabletextright"/>
            </w:pPr>
            <w:r w:rsidRPr="00F32FFF">
              <w:t>$139,319</w:t>
            </w:r>
          </w:p>
        </w:tc>
        <w:tc>
          <w:tcPr>
            <w:tcW w:w="655" w:type="pct"/>
          </w:tcPr>
          <w:p w14:paraId="5739DE5A" w14:textId="4D0DB13C" w:rsidR="004F7554" w:rsidRPr="00F32FFF" w:rsidRDefault="005B7C9B" w:rsidP="0004596B">
            <w:pPr>
              <w:pStyle w:val="ARtabletextright"/>
            </w:pPr>
            <w:r>
              <w:rPr>
                <w:rFonts w:ascii="Aptos Narrow" w:hAnsi="Aptos Narrow"/>
                <w:sz w:val="22"/>
                <w:szCs w:val="22"/>
              </w:rPr>
              <w:t>–</w:t>
            </w:r>
          </w:p>
        </w:tc>
      </w:tr>
      <w:tr w:rsidR="004F7554" w:rsidRPr="00F32FFF" w14:paraId="625E317A" w14:textId="77777777" w:rsidTr="00DD775F">
        <w:trPr>
          <w:trHeight w:val="266"/>
        </w:trPr>
        <w:tc>
          <w:tcPr>
            <w:tcW w:w="1157" w:type="pct"/>
          </w:tcPr>
          <w:p w14:paraId="3749DD39" w14:textId="77777777" w:rsidR="004F7554" w:rsidRPr="00F32FFF" w:rsidRDefault="004F7554" w:rsidP="009A0965">
            <w:pPr>
              <w:pStyle w:val="ARtabletext"/>
              <w:spacing w:line="220" w:lineRule="atLeast"/>
            </w:pPr>
            <w:r w:rsidRPr="00F32FFF">
              <w:t>Deloitte Touche Tohmatsu</w:t>
            </w:r>
          </w:p>
        </w:tc>
        <w:tc>
          <w:tcPr>
            <w:tcW w:w="1810" w:type="pct"/>
          </w:tcPr>
          <w:p w14:paraId="27B89D70" w14:textId="2430B145" w:rsidR="004F7554" w:rsidRPr="00F32FFF" w:rsidRDefault="004F7554" w:rsidP="009A0965">
            <w:pPr>
              <w:pStyle w:val="ARtabletext"/>
              <w:spacing w:line="220" w:lineRule="atLeast"/>
            </w:pPr>
            <w:r w:rsidRPr="00F32FFF">
              <w:t xml:space="preserve">Lapsing Disability Program </w:t>
            </w:r>
            <w:r w:rsidR="00920103">
              <w:t>e</w:t>
            </w:r>
            <w:r w:rsidR="00920103" w:rsidRPr="00F32FFF">
              <w:t>valuation</w:t>
            </w:r>
          </w:p>
        </w:tc>
        <w:tc>
          <w:tcPr>
            <w:tcW w:w="747" w:type="pct"/>
          </w:tcPr>
          <w:p w14:paraId="707CA155" w14:textId="77777777" w:rsidR="004F7554" w:rsidRPr="00F32FFF" w:rsidRDefault="004F7554" w:rsidP="0004596B">
            <w:pPr>
              <w:pStyle w:val="ARtabletextright"/>
            </w:pPr>
            <w:r w:rsidRPr="00F32FFF">
              <w:t>$136,360</w:t>
            </w:r>
          </w:p>
        </w:tc>
        <w:tc>
          <w:tcPr>
            <w:tcW w:w="631" w:type="pct"/>
          </w:tcPr>
          <w:p w14:paraId="78463D4D" w14:textId="77777777" w:rsidR="004F7554" w:rsidRPr="00F32FFF" w:rsidRDefault="004F7554" w:rsidP="0004596B">
            <w:pPr>
              <w:pStyle w:val="ARtabletextright"/>
            </w:pPr>
            <w:r w:rsidRPr="00F32FFF">
              <w:t>$136,360</w:t>
            </w:r>
          </w:p>
        </w:tc>
        <w:tc>
          <w:tcPr>
            <w:tcW w:w="655" w:type="pct"/>
          </w:tcPr>
          <w:p w14:paraId="39AAA3E4" w14:textId="59AABB8D" w:rsidR="004F7554" w:rsidRPr="00F32FFF" w:rsidRDefault="005B7C9B" w:rsidP="0004596B">
            <w:pPr>
              <w:pStyle w:val="ARtabletextright"/>
            </w:pPr>
            <w:r>
              <w:rPr>
                <w:rFonts w:ascii="Aptos Narrow" w:hAnsi="Aptos Narrow"/>
                <w:sz w:val="22"/>
                <w:szCs w:val="22"/>
              </w:rPr>
              <w:t>–</w:t>
            </w:r>
          </w:p>
        </w:tc>
      </w:tr>
      <w:tr w:rsidR="004F7554" w:rsidRPr="00F32FFF" w14:paraId="3852B6F0" w14:textId="77777777" w:rsidTr="00DD775F">
        <w:trPr>
          <w:trHeight w:val="266"/>
        </w:trPr>
        <w:tc>
          <w:tcPr>
            <w:tcW w:w="1157" w:type="pct"/>
          </w:tcPr>
          <w:p w14:paraId="529CF261" w14:textId="77777777" w:rsidR="004F7554" w:rsidRPr="00F32FFF" w:rsidRDefault="004F7554" w:rsidP="009A0965">
            <w:pPr>
              <w:pStyle w:val="ARtabletext"/>
              <w:spacing w:line="220" w:lineRule="atLeast"/>
            </w:pPr>
            <w:r w:rsidRPr="00F32FFF">
              <w:t>Publicis Sapient</w:t>
            </w:r>
          </w:p>
        </w:tc>
        <w:tc>
          <w:tcPr>
            <w:tcW w:w="1810" w:type="pct"/>
          </w:tcPr>
          <w:p w14:paraId="6A0B6401" w14:textId="1F44F6D3" w:rsidR="004F7554" w:rsidRPr="00F32FFF" w:rsidRDefault="004F7554" w:rsidP="009A0965">
            <w:pPr>
              <w:pStyle w:val="ARtabletext"/>
              <w:spacing w:line="220" w:lineRule="atLeast"/>
            </w:pPr>
            <w:r w:rsidRPr="00F32FFF">
              <w:t xml:space="preserve">Child </w:t>
            </w:r>
            <w:r w:rsidR="00920103" w:rsidRPr="00F32FFF">
              <w:t>protection planning future state experience design p</w:t>
            </w:r>
            <w:r w:rsidRPr="00F32FFF">
              <w:t>hase 3</w:t>
            </w:r>
          </w:p>
        </w:tc>
        <w:tc>
          <w:tcPr>
            <w:tcW w:w="747" w:type="pct"/>
          </w:tcPr>
          <w:p w14:paraId="5208625D" w14:textId="77777777" w:rsidR="004F7554" w:rsidRPr="00F32FFF" w:rsidRDefault="004F7554" w:rsidP="0004596B">
            <w:pPr>
              <w:pStyle w:val="ARtabletextright"/>
            </w:pPr>
            <w:r w:rsidRPr="00F32FFF">
              <w:t>$136,300</w:t>
            </w:r>
          </w:p>
        </w:tc>
        <w:tc>
          <w:tcPr>
            <w:tcW w:w="631" w:type="pct"/>
          </w:tcPr>
          <w:p w14:paraId="26B2681F" w14:textId="77777777" w:rsidR="004F7554" w:rsidRPr="00F32FFF" w:rsidRDefault="004F7554" w:rsidP="0004596B">
            <w:pPr>
              <w:pStyle w:val="ARtabletextright"/>
            </w:pPr>
            <w:r w:rsidRPr="00F32FFF">
              <w:t>$136,300</w:t>
            </w:r>
          </w:p>
        </w:tc>
        <w:tc>
          <w:tcPr>
            <w:tcW w:w="655" w:type="pct"/>
          </w:tcPr>
          <w:p w14:paraId="25513B0A" w14:textId="7AD64D32" w:rsidR="004F7554" w:rsidRPr="00F32FFF" w:rsidRDefault="005B7C9B" w:rsidP="0004596B">
            <w:pPr>
              <w:pStyle w:val="ARtabletextright"/>
            </w:pPr>
            <w:r>
              <w:rPr>
                <w:rFonts w:ascii="Aptos Narrow" w:hAnsi="Aptos Narrow"/>
                <w:sz w:val="22"/>
                <w:szCs w:val="22"/>
              </w:rPr>
              <w:t>–</w:t>
            </w:r>
          </w:p>
        </w:tc>
      </w:tr>
      <w:tr w:rsidR="004F7554" w:rsidRPr="00F32FFF" w14:paraId="00B0564F" w14:textId="77777777" w:rsidTr="00DD775F">
        <w:trPr>
          <w:trHeight w:val="266"/>
        </w:trPr>
        <w:tc>
          <w:tcPr>
            <w:tcW w:w="1157" w:type="pct"/>
          </w:tcPr>
          <w:p w14:paraId="5840F9E4" w14:textId="77777777" w:rsidR="004F7554" w:rsidRPr="00F32FFF" w:rsidRDefault="004F7554" w:rsidP="009A0965">
            <w:pPr>
              <w:pStyle w:val="ARtabletext"/>
              <w:spacing w:line="220" w:lineRule="atLeast"/>
            </w:pPr>
            <w:r w:rsidRPr="00F32FFF">
              <w:t>Publicis Sapient</w:t>
            </w:r>
          </w:p>
        </w:tc>
        <w:tc>
          <w:tcPr>
            <w:tcW w:w="1810" w:type="pct"/>
          </w:tcPr>
          <w:p w14:paraId="4FBF7E76" w14:textId="2CB8F20D" w:rsidR="004F7554" w:rsidRPr="00F32FFF" w:rsidRDefault="004F7554" w:rsidP="009A0965">
            <w:pPr>
              <w:pStyle w:val="ARtabletext"/>
              <w:spacing w:line="220" w:lineRule="atLeast"/>
            </w:pPr>
            <w:r w:rsidRPr="00F32FFF">
              <w:t xml:space="preserve">Child </w:t>
            </w:r>
            <w:r w:rsidR="00920103" w:rsidRPr="00F32FFF">
              <w:t>protection planning future state experience design</w:t>
            </w:r>
          </w:p>
        </w:tc>
        <w:tc>
          <w:tcPr>
            <w:tcW w:w="747" w:type="pct"/>
          </w:tcPr>
          <w:p w14:paraId="00635E85" w14:textId="77777777" w:rsidR="004F7554" w:rsidRPr="00F32FFF" w:rsidRDefault="004F7554" w:rsidP="0004596B">
            <w:pPr>
              <w:pStyle w:val="ARtabletextright"/>
            </w:pPr>
            <w:r w:rsidRPr="00F32FFF">
              <w:t>$136,300</w:t>
            </w:r>
          </w:p>
        </w:tc>
        <w:tc>
          <w:tcPr>
            <w:tcW w:w="631" w:type="pct"/>
          </w:tcPr>
          <w:p w14:paraId="7F2DCC22" w14:textId="77777777" w:rsidR="004F7554" w:rsidRPr="00F32FFF" w:rsidRDefault="004F7554" w:rsidP="0004596B">
            <w:pPr>
              <w:pStyle w:val="ARtabletextright"/>
            </w:pPr>
            <w:r w:rsidRPr="00F32FFF">
              <w:t>$136,300</w:t>
            </w:r>
          </w:p>
        </w:tc>
        <w:tc>
          <w:tcPr>
            <w:tcW w:w="655" w:type="pct"/>
          </w:tcPr>
          <w:p w14:paraId="1AFD40EC" w14:textId="171D112E" w:rsidR="004F7554" w:rsidRPr="00F32FFF" w:rsidRDefault="005B7C9B" w:rsidP="0004596B">
            <w:pPr>
              <w:pStyle w:val="ARtabletextright"/>
            </w:pPr>
            <w:r>
              <w:rPr>
                <w:rFonts w:ascii="Aptos Narrow" w:hAnsi="Aptos Narrow"/>
                <w:sz w:val="22"/>
                <w:szCs w:val="22"/>
              </w:rPr>
              <w:t>–</w:t>
            </w:r>
          </w:p>
        </w:tc>
      </w:tr>
      <w:tr w:rsidR="004F7554" w:rsidRPr="00F32FFF" w14:paraId="5B000CF6" w14:textId="77777777" w:rsidTr="00DD775F">
        <w:trPr>
          <w:trHeight w:val="266"/>
        </w:trPr>
        <w:tc>
          <w:tcPr>
            <w:tcW w:w="1157" w:type="pct"/>
          </w:tcPr>
          <w:p w14:paraId="07EBCD80" w14:textId="77777777" w:rsidR="004F7554" w:rsidRPr="001F734E" w:rsidRDefault="004F7554" w:rsidP="009A0965">
            <w:pPr>
              <w:pStyle w:val="ARtabletext"/>
              <w:spacing w:line="220" w:lineRule="atLeast"/>
            </w:pPr>
            <w:r w:rsidRPr="001F734E">
              <w:t>Intertwine Pty Ltd</w:t>
            </w:r>
          </w:p>
        </w:tc>
        <w:tc>
          <w:tcPr>
            <w:tcW w:w="1810" w:type="pct"/>
          </w:tcPr>
          <w:p w14:paraId="7C374ED6" w14:textId="1AA6D641" w:rsidR="004F7554" w:rsidRPr="001F734E" w:rsidRDefault="004F7554" w:rsidP="009A0965">
            <w:pPr>
              <w:pStyle w:val="ARtabletext"/>
              <w:spacing w:line="220" w:lineRule="atLeast"/>
            </w:pPr>
            <w:r w:rsidRPr="001F734E">
              <w:t xml:space="preserve">Intersectionality for </w:t>
            </w:r>
            <w:r w:rsidR="00920103" w:rsidRPr="001F734E">
              <w:t>policymakers toolkit</w:t>
            </w:r>
          </w:p>
        </w:tc>
        <w:tc>
          <w:tcPr>
            <w:tcW w:w="747" w:type="pct"/>
          </w:tcPr>
          <w:p w14:paraId="70D85AF1" w14:textId="77777777" w:rsidR="004F7554" w:rsidRPr="001F734E" w:rsidRDefault="004F7554" w:rsidP="0004596B">
            <w:pPr>
              <w:pStyle w:val="ARtabletextright"/>
            </w:pPr>
            <w:r w:rsidRPr="001F734E">
              <w:t>$132,640</w:t>
            </w:r>
          </w:p>
        </w:tc>
        <w:tc>
          <w:tcPr>
            <w:tcW w:w="631" w:type="pct"/>
          </w:tcPr>
          <w:p w14:paraId="3725C710" w14:textId="77777777" w:rsidR="004F7554" w:rsidRPr="001F734E" w:rsidRDefault="004F7554" w:rsidP="0004596B">
            <w:pPr>
              <w:pStyle w:val="ARtabletextright"/>
            </w:pPr>
            <w:r w:rsidRPr="001F734E">
              <w:t>$132,640</w:t>
            </w:r>
          </w:p>
        </w:tc>
        <w:tc>
          <w:tcPr>
            <w:tcW w:w="655" w:type="pct"/>
          </w:tcPr>
          <w:p w14:paraId="3F527FDD" w14:textId="23A039EE" w:rsidR="004F7554" w:rsidRPr="001F734E" w:rsidRDefault="005B7C9B" w:rsidP="0004596B">
            <w:pPr>
              <w:pStyle w:val="ARtabletextright"/>
            </w:pPr>
            <w:r>
              <w:rPr>
                <w:rFonts w:ascii="Aptos Narrow" w:hAnsi="Aptos Narrow"/>
                <w:sz w:val="22"/>
                <w:szCs w:val="22"/>
              </w:rPr>
              <w:t>–</w:t>
            </w:r>
          </w:p>
        </w:tc>
      </w:tr>
      <w:tr w:rsidR="004F7554" w:rsidRPr="00F32FFF" w14:paraId="5E2DD12D" w14:textId="77777777" w:rsidTr="00DD775F">
        <w:trPr>
          <w:trHeight w:val="266"/>
        </w:trPr>
        <w:tc>
          <w:tcPr>
            <w:tcW w:w="1157" w:type="pct"/>
          </w:tcPr>
          <w:p w14:paraId="2BFE24BE" w14:textId="77777777" w:rsidR="004F7554" w:rsidRPr="00F32FFF" w:rsidRDefault="004F7554" w:rsidP="009A0965">
            <w:pPr>
              <w:pStyle w:val="ARtabletext"/>
              <w:spacing w:line="220" w:lineRule="atLeast"/>
            </w:pPr>
            <w:r w:rsidRPr="00F32FFF">
              <w:t>Social Research Centre</w:t>
            </w:r>
          </w:p>
        </w:tc>
        <w:tc>
          <w:tcPr>
            <w:tcW w:w="1810" w:type="pct"/>
          </w:tcPr>
          <w:p w14:paraId="4FD44BAA" w14:textId="10A4075E" w:rsidR="004F7554" w:rsidRPr="00F32FFF" w:rsidRDefault="004F7554" w:rsidP="009A0965">
            <w:pPr>
              <w:pStyle w:val="ARtabletext"/>
              <w:spacing w:line="220" w:lineRule="atLeast"/>
            </w:pPr>
            <w:r w:rsidRPr="36E54721">
              <w:rPr>
                <w:color w:val="000000" w:themeColor="text1"/>
              </w:rPr>
              <w:t xml:space="preserve">Supporting Young People to Understand Affirmative Consent Program </w:t>
            </w:r>
            <w:r w:rsidR="00920103">
              <w:rPr>
                <w:color w:val="000000" w:themeColor="text1"/>
              </w:rPr>
              <w:t>e</w:t>
            </w:r>
            <w:r w:rsidR="00920103" w:rsidRPr="36E54721">
              <w:rPr>
                <w:color w:val="000000" w:themeColor="text1"/>
              </w:rPr>
              <w:t>valuation</w:t>
            </w:r>
          </w:p>
        </w:tc>
        <w:tc>
          <w:tcPr>
            <w:tcW w:w="747" w:type="pct"/>
          </w:tcPr>
          <w:p w14:paraId="1E678CE8" w14:textId="77777777" w:rsidR="004F7554" w:rsidRPr="00F32FFF" w:rsidRDefault="004F7554" w:rsidP="0004596B">
            <w:pPr>
              <w:pStyle w:val="ARtabletextright"/>
            </w:pPr>
            <w:r w:rsidRPr="00F32FFF">
              <w:t>$365,218</w:t>
            </w:r>
          </w:p>
        </w:tc>
        <w:tc>
          <w:tcPr>
            <w:tcW w:w="631" w:type="pct"/>
          </w:tcPr>
          <w:p w14:paraId="05955316" w14:textId="77777777" w:rsidR="004F7554" w:rsidRPr="00F32FFF" w:rsidRDefault="004F7554" w:rsidP="0004596B">
            <w:pPr>
              <w:pStyle w:val="ARtabletextright"/>
            </w:pPr>
            <w:r w:rsidRPr="00F32FFF">
              <w:t>$127,273</w:t>
            </w:r>
          </w:p>
        </w:tc>
        <w:tc>
          <w:tcPr>
            <w:tcW w:w="655" w:type="pct"/>
          </w:tcPr>
          <w:p w14:paraId="4CA12C50" w14:textId="77777777" w:rsidR="004F7554" w:rsidRPr="00F32FFF" w:rsidRDefault="004F7554" w:rsidP="0004596B">
            <w:pPr>
              <w:pStyle w:val="ARtabletextright"/>
            </w:pPr>
            <w:r w:rsidRPr="00F32FFF">
              <w:t>$9,090</w:t>
            </w:r>
          </w:p>
        </w:tc>
      </w:tr>
      <w:tr w:rsidR="004F7554" w:rsidRPr="00F32FFF" w14:paraId="30CE0D41" w14:textId="77777777" w:rsidTr="00DD775F">
        <w:trPr>
          <w:trHeight w:val="266"/>
        </w:trPr>
        <w:tc>
          <w:tcPr>
            <w:tcW w:w="1157" w:type="pct"/>
          </w:tcPr>
          <w:p w14:paraId="1EBE9C91" w14:textId="77777777" w:rsidR="004F7554" w:rsidRPr="00F32FFF" w:rsidRDefault="004F7554" w:rsidP="009A0965">
            <w:pPr>
              <w:pStyle w:val="ARtabletext"/>
              <w:spacing w:line="220" w:lineRule="atLeast"/>
            </w:pPr>
            <w:r w:rsidRPr="00F32FFF">
              <w:t>Urbis</w:t>
            </w:r>
          </w:p>
        </w:tc>
        <w:tc>
          <w:tcPr>
            <w:tcW w:w="1810" w:type="pct"/>
          </w:tcPr>
          <w:p w14:paraId="11892BC3" w14:textId="77777777" w:rsidR="004F7554" w:rsidRPr="00F32FFF" w:rsidRDefault="004F7554" w:rsidP="009A0965">
            <w:pPr>
              <w:pStyle w:val="ARtabletext"/>
              <w:spacing w:line="220" w:lineRule="atLeast"/>
            </w:pPr>
            <w:r w:rsidRPr="00F32FFF">
              <w:t>Evaluation of the Supporting Multicultural and Faith Communities to Prevent Family Violence: 2021 Grant Program</w:t>
            </w:r>
          </w:p>
        </w:tc>
        <w:tc>
          <w:tcPr>
            <w:tcW w:w="747" w:type="pct"/>
          </w:tcPr>
          <w:p w14:paraId="56609D72" w14:textId="77777777" w:rsidR="004F7554" w:rsidRPr="00F32FFF" w:rsidRDefault="004F7554" w:rsidP="0004596B">
            <w:pPr>
              <w:pStyle w:val="ARtabletextright"/>
            </w:pPr>
            <w:r w:rsidRPr="00F32FFF">
              <w:t>$399,695</w:t>
            </w:r>
          </w:p>
        </w:tc>
        <w:tc>
          <w:tcPr>
            <w:tcW w:w="631" w:type="pct"/>
          </w:tcPr>
          <w:p w14:paraId="538514CD" w14:textId="77777777" w:rsidR="004F7554" w:rsidRPr="00F32FFF" w:rsidRDefault="004F7554" w:rsidP="0004596B">
            <w:pPr>
              <w:pStyle w:val="ARtabletextright"/>
            </w:pPr>
            <w:r w:rsidRPr="00F32FFF">
              <w:t>$126,967</w:t>
            </w:r>
          </w:p>
        </w:tc>
        <w:tc>
          <w:tcPr>
            <w:tcW w:w="655" w:type="pct"/>
          </w:tcPr>
          <w:p w14:paraId="337BD603" w14:textId="77777777" w:rsidR="004F7554" w:rsidRPr="00F32FFF" w:rsidRDefault="004F7554" w:rsidP="0004596B">
            <w:pPr>
              <w:pStyle w:val="ARtabletextright"/>
            </w:pPr>
            <w:r w:rsidRPr="00F32FFF">
              <w:t>$45,455</w:t>
            </w:r>
          </w:p>
        </w:tc>
      </w:tr>
      <w:tr w:rsidR="004F7554" w:rsidRPr="00F32FFF" w14:paraId="0443282C" w14:textId="77777777" w:rsidTr="00DD775F">
        <w:trPr>
          <w:trHeight w:val="266"/>
        </w:trPr>
        <w:tc>
          <w:tcPr>
            <w:tcW w:w="1157" w:type="pct"/>
          </w:tcPr>
          <w:p w14:paraId="6BDF3A1F" w14:textId="77777777" w:rsidR="004F7554" w:rsidRPr="00F32FFF" w:rsidRDefault="004F7554" w:rsidP="009A0965">
            <w:pPr>
              <w:pStyle w:val="ARtabletext"/>
              <w:spacing w:line="220" w:lineRule="atLeast"/>
            </w:pPr>
            <w:r w:rsidRPr="00F32FFF">
              <w:t>RMIT University</w:t>
            </w:r>
          </w:p>
        </w:tc>
        <w:tc>
          <w:tcPr>
            <w:tcW w:w="1810" w:type="pct"/>
          </w:tcPr>
          <w:p w14:paraId="6DC5AA59" w14:textId="1B93FF3A" w:rsidR="004F7554" w:rsidRPr="00F32FFF" w:rsidRDefault="004F7554" w:rsidP="009A0965">
            <w:pPr>
              <w:pStyle w:val="ARtabletext"/>
              <w:spacing w:line="220" w:lineRule="atLeast"/>
            </w:pPr>
            <w:r w:rsidRPr="00F32FFF">
              <w:t xml:space="preserve">Serious-risk Adults Using Family Violence Program </w:t>
            </w:r>
            <w:r w:rsidR="00920103">
              <w:t>e</w:t>
            </w:r>
            <w:r w:rsidR="00920103" w:rsidRPr="00F32FFF">
              <w:t>valuation</w:t>
            </w:r>
          </w:p>
        </w:tc>
        <w:tc>
          <w:tcPr>
            <w:tcW w:w="747" w:type="pct"/>
          </w:tcPr>
          <w:p w14:paraId="53251889" w14:textId="77777777" w:rsidR="004F7554" w:rsidRPr="00F32FFF" w:rsidRDefault="004F7554" w:rsidP="0004596B">
            <w:pPr>
              <w:pStyle w:val="ARtabletextright"/>
            </w:pPr>
            <w:r w:rsidRPr="00F32FFF">
              <w:t>$274,595</w:t>
            </w:r>
          </w:p>
        </w:tc>
        <w:tc>
          <w:tcPr>
            <w:tcW w:w="631" w:type="pct"/>
          </w:tcPr>
          <w:p w14:paraId="512B1184" w14:textId="77777777" w:rsidR="004F7554" w:rsidRPr="00F32FFF" w:rsidRDefault="004F7554" w:rsidP="0004596B">
            <w:pPr>
              <w:pStyle w:val="ARtabletextright"/>
            </w:pPr>
            <w:r w:rsidRPr="00F32FFF">
              <w:t>$120,045</w:t>
            </w:r>
          </w:p>
        </w:tc>
        <w:tc>
          <w:tcPr>
            <w:tcW w:w="655" w:type="pct"/>
          </w:tcPr>
          <w:p w14:paraId="7C4BD54F" w14:textId="77777777" w:rsidR="004F7554" w:rsidRPr="00F32FFF" w:rsidRDefault="004F7554" w:rsidP="0004596B">
            <w:pPr>
              <w:pStyle w:val="ARtabletextright"/>
            </w:pPr>
            <w:r w:rsidRPr="00F32FFF">
              <w:t>$154,550</w:t>
            </w:r>
          </w:p>
        </w:tc>
      </w:tr>
      <w:tr w:rsidR="004F7554" w:rsidRPr="00F32FFF" w14:paraId="2432D047" w14:textId="77777777" w:rsidTr="00DD775F">
        <w:trPr>
          <w:trHeight w:val="266"/>
        </w:trPr>
        <w:tc>
          <w:tcPr>
            <w:tcW w:w="1157" w:type="pct"/>
          </w:tcPr>
          <w:p w14:paraId="1F68C5D3" w14:textId="77777777" w:rsidR="004F7554" w:rsidRPr="00F32FFF" w:rsidRDefault="004F7554" w:rsidP="009A0965">
            <w:pPr>
              <w:pStyle w:val="ARtabletext"/>
              <w:spacing w:line="220" w:lineRule="atLeast"/>
            </w:pPr>
            <w:r w:rsidRPr="00F32FFF">
              <w:t>The University of Melbourne</w:t>
            </w:r>
          </w:p>
        </w:tc>
        <w:tc>
          <w:tcPr>
            <w:tcW w:w="1810" w:type="pct"/>
          </w:tcPr>
          <w:p w14:paraId="1179FF14" w14:textId="77777777" w:rsidR="004F7554" w:rsidRPr="00F32FFF" w:rsidRDefault="004F7554" w:rsidP="009A0965">
            <w:pPr>
              <w:pStyle w:val="ARtabletext"/>
              <w:spacing w:line="220" w:lineRule="atLeast"/>
            </w:pPr>
            <w:r w:rsidRPr="00F32FFF">
              <w:t>Ten-year review of the physical restraint direction paper</w:t>
            </w:r>
          </w:p>
        </w:tc>
        <w:tc>
          <w:tcPr>
            <w:tcW w:w="747" w:type="pct"/>
          </w:tcPr>
          <w:p w14:paraId="103B6A6D" w14:textId="77777777" w:rsidR="004F7554" w:rsidRPr="00F32FFF" w:rsidRDefault="004F7554" w:rsidP="0004596B">
            <w:pPr>
              <w:pStyle w:val="ARtabletextright"/>
            </w:pPr>
            <w:r w:rsidRPr="00F32FFF">
              <w:t>$313,565</w:t>
            </w:r>
          </w:p>
        </w:tc>
        <w:tc>
          <w:tcPr>
            <w:tcW w:w="631" w:type="pct"/>
          </w:tcPr>
          <w:p w14:paraId="526E8800" w14:textId="77777777" w:rsidR="004F7554" w:rsidRPr="00F32FFF" w:rsidRDefault="004F7554" w:rsidP="0004596B">
            <w:pPr>
              <w:pStyle w:val="ARtabletextright"/>
            </w:pPr>
            <w:r w:rsidRPr="00F32FFF">
              <w:t>$119,155</w:t>
            </w:r>
          </w:p>
        </w:tc>
        <w:tc>
          <w:tcPr>
            <w:tcW w:w="655" w:type="pct"/>
          </w:tcPr>
          <w:p w14:paraId="75644EE0" w14:textId="77777777" w:rsidR="004F7554" w:rsidRPr="00F32FFF" w:rsidRDefault="004F7554" w:rsidP="0004596B">
            <w:pPr>
              <w:pStyle w:val="ARtabletextright"/>
            </w:pPr>
            <w:r w:rsidRPr="00F32FFF">
              <w:t>$6,271</w:t>
            </w:r>
          </w:p>
        </w:tc>
      </w:tr>
      <w:tr w:rsidR="004F7554" w:rsidRPr="00F32FFF" w14:paraId="4AA275AA" w14:textId="77777777" w:rsidTr="00DD775F">
        <w:trPr>
          <w:trHeight w:val="266"/>
        </w:trPr>
        <w:tc>
          <w:tcPr>
            <w:tcW w:w="1157" w:type="pct"/>
          </w:tcPr>
          <w:p w14:paraId="4C6CF2A8" w14:textId="77777777" w:rsidR="004F7554" w:rsidRPr="00F32FFF" w:rsidRDefault="004F7554" w:rsidP="009A0965">
            <w:pPr>
              <w:pStyle w:val="ARtabletext"/>
              <w:spacing w:line="220" w:lineRule="atLeast"/>
            </w:pPr>
            <w:r w:rsidRPr="00F32FFF">
              <w:t>Conceptsix Pty Ltd</w:t>
            </w:r>
          </w:p>
        </w:tc>
        <w:tc>
          <w:tcPr>
            <w:tcW w:w="1810" w:type="pct"/>
          </w:tcPr>
          <w:p w14:paraId="0AA60016" w14:textId="38FDF281" w:rsidR="004F7554" w:rsidRPr="00F32FFF" w:rsidRDefault="004F7554" w:rsidP="009A0965">
            <w:pPr>
              <w:pStyle w:val="ARtabletext"/>
              <w:spacing w:line="220" w:lineRule="atLeast"/>
            </w:pPr>
            <w:r w:rsidRPr="00F32FFF">
              <w:t xml:space="preserve">ITS </w:t>
            </w:r>
            <w:r w:rsidR="00920103" w:rsidRPr="00F32FFF">
              <w:t>strategy refresh</w:t>
            </w:r>
          </w:p>
        </w:tc>
        <w:tc>
          <w:tcPr>
            <w:tcW w:w="747" w:type="pct"/>
          </w:tcPr>
          <w:p w14:paraId="1D5DF26F" w14:textId="77777777" w:rsidR="004F7554" w:rsidRPr="00F32FFF" w:rsidRDefault="004F7554" w:rsidP="0004596B">
            <w:pPr>
              <w:pStyle w:val="ARtabletextright"/>
            </w:pPr>
            <w:r w:rsidRPr="00F32FFF">
              <w:t>$117,500</w:t>
            </w:r>
          </w:p>
        </w:tc>
        <w:tc>
          <w:tcPr>
            <w:tcW w:w="631" w:type="pct"/>
          </w:tcPr>
          <w:p w14:paraId="382A46C5" w14:textId="77777777" w:rsidR="004F7554" w:rsidRPr="00F32FFF" w:rsidRDefault="004F7554" w:rsidP="0004596B">
            <w:pPr>
              <w:pStyle w:val="ARtabletextright"/>
            </w:pPr>
            <w:r w:rsidRPr="00F32FFF">
              <w:t>$117,500</w:t>
            </w:r>
          </w:p>
        </w:tc>
        <w:tc>
          <w:tcPr>
            <w:tcW w:w="655" w:type="pct"/>
          </w:tcPr>
          <w:p w14:paraId="48E9C11E" w14:textId="782C7C69" w:rsidR="004F7554" w:rsidRPr="00F32FFF" w:rsidRDefault="005B7C9B" w:rsidP="0004596B">
            <w:pPr>
              <w:pStyle w:val="ARtabletextright"/>
            </w:pPr>
            <w:r>
              <w:rPr>
                <w:rFonts w:ascii="Aptos Narrow" w:hAnsi="Aptos Narrow"/>
                <w:sz w:val="22"/>
                <w:szCs w:val="22"/>
              </w:rPr>
              <w:t>–</w:t>
            </w:r>
          </w:p>
        </w:tc>
      </w:tr>
      <w:tr w:rsidR="004F7554" w:rsidRPr="00F32FFF" w14:paraId="2FBCC171" w14:textId="77777777" w:rsidTr="00DD775F">
        <w:trPr>
          <w:trHeight w:val="266"/>
        </w:trPr>
        <w:tc>
          <w:tcPr>
            <w:tcW w:w="1157" w:type="pct"/>
          </w:tcPr>
          <w:p w14:paraId="5588C576" w14:textId="77777777" w:rsidR="004F7554" w:rsidRPr="00F32FFF" w:rsidRDefault="004F7554" w:rsidP="009A0965">
            <w:pPr>
              <w:pStyle w:val="ARtabletext"/>
              <w:spacing w:line="220" w:lineRule="atLeast"/>
            </w:pPr>
            <w:r w:rsidRPr="00F32FFF">
              <w:t>Artd Pty Ltd</w:t>
            </w:r>
          </w:p>
        </w:tc>
        <w:tc>
          <w:tcPr>
            <w:tcW w:w="1810" w:type="pct"/>
          </w:tcPr>
          <w:p w14:paraId="7B0C1D60" w14:textId="1ADA8419" w:rsidR="004F7554" w:rsidRPr="00F32FFF" w:rsidRDefault="004F7554" w:rsidP="009A0965">
            <w:pPr>
              <w:pStyle w:val="ARtabletext"/>
              <w:spacing w:line="220" w:lineRule="atLeast"/>
            </w:pPr>
            <w:r w:rsidRPr="00F32FFF">
              <w:t xml:space="preserve">Evaluation </w:t>
            </w:r>
            <w:r w:rsidR="005B7C9B">
              <w:t>–</w:t>
            </w:r>
            <w:r w:rsidRPr="00F32FFF">
              <w:t xml:space="preserve"> Targeted early intervention with boys and young men to address violence against women</w:t>
            </w:r>
          </w:p>
        </w:tc>
        <w:tc>
          <w:tcPr>
            <w:tcW w:w="747" w:type="pct"/>
          </w:tcPr>
          <w:p w14:paraId="1ACFE017" w14:textId="77777777" w:rsidR="004F7554" w:rsidRPr="00F32FFF" w:rsidRDefault="004F7554" w:rsidP="0004596B">
            <w:pPr>
              <w:pStyle w:val="ARtabletextright"/>
            </w:pPr>
            <w:r w:rsidRPr="00F32FFF">
              <w:t>$407,773</w:t>
            </w:r>
          </w:p>
        </w:tc>
        <w:tc>
          <w:tcPr>
            <w:tcW w:w="631" w:type="pct"/>
          </w:tcPr>
          <w:p w14:paraId="33D4A1B5" w14:textId="77777777" w:rsidR="004F7554" w:rsidRPr="00F32FFF" w:rsidRDefault="004F7554" w:rsidP="0004596B">
            <w:pPr>
              <w:pStyle w:val="ARtabletextright"/>
            </w:pPr>
            <w:r w:rsidRPr="00F32FFF">
              <w:t>$117,209</w:t>
            </w:r>
          </w:p>
        </w:tc>
        <w:tc>
          <w:tcPr>
            <w:tcW w:w="655" w:type="pct"/>
          </w:tcPr>
          <w:p w14:paraId="7F4C5DF0" w14:textId="77777777" w:rsidR="004F7554" w:rsidRPr="00F32FFF" w:rsidRDefault="004F7554" w:rsidP="0004596B">
            <w:pPr>
              <w:pStyle w:val="ARtabletextright"/>
            </w:pPr>
            <w:r w:rsidRPr="00F32FFF">
              <w:t>$200,000</w:t>
            </w:r>
          </w:p>
        </w:tc>
      </w:tr>
      <w:tr w:rsidR="004F7554" w:rsidRPr="00F32FFF" w14:paraId="590FD714" w14:textId="77777777" w:rsidTr="00DD775F">
        <w:trPr>
          <w:trHeight w:val="266"/>
        </w:trPr>
        <w:tc>
          <w:tcPr>
            <w:tcW w:w="1157" w:type="pct"/>
          </w:tcPr>
          <w:p w14:paraId="7755CC43" w14:textId="77777777" w:rsidR="004F7554" w:rsidRPr="00F32FFF" w:rsidRDefault="004F7554" w:rsidP="009A0965">
            <w:pPr>
              <w:pStyle w:val="ARtabletext"/>
              <w:spacing w:line="220" w:lineRule="atLeast"/>
            </w:pPr>
            <w:r w:rsidRPr="00F32FFF">
              <w:t>Ernst &amp; Young Services Pty Ltd</w:t>
            </w:r>
          </w:p>
        </w:tc>
        <w:tc>
          <w:tcPr>
            <w:tcW w:w="1810" w:type="pct"/>
          </w:tcPr>
          <w:p w14:paraId="318A19BB" w14:textId="14E3E35D" w:rsidR="004F7554" w:rsidRPr="00F32FFF" w:rsidRDefault="004F7554" w:rsidP="009A0965">
            <w:pPr>
              <w:pStyle w:val="ARtabletext"/>
              <w:spacing w:line="220" w:lineRule="atLeast"/>
            </w:pPr>
            <w:r w:rsidRPr="00F32FFF">
              <w:t xml:space="preserve">Commercial and </w:t>
            </w:r>
            <w:r w:rsidR="00920103" w:rsidRPr="00F32FFF">
              <w:t xml:space="preserve">financial advisory services </w:t>
            </w:r>
            <w:r w:rsidR="00920103">
              <w:t>–</w:t>
            </w:r>
            <w:r w:rsidR="00920103" w:rsidRPr="00F32FFF">
              <w:t xml:space="preserve"> ground lease model </w:t>
            </w:r>
            <w:r w:rsidRPr="00F32FFF">
              <w:t>2</w:t>
            </w:r>
          </w:p>
        </w:tc>
        <w:tc>
          <w:tcPr>
            <w:tcW w:w="747" w:type="pct"/>
          </w:tcPr>
          <w:p w14:paraId="1A09EA49" w14:textId="77777777" w:rsidR="004F7554" w:rsidRPr="00F32FFF" w:rsidRDefault="004F7554" w:rsidP="0004596B">
            <w:pPr>
              <w:pStyle w:val="ARtabletextright"/>
            </w:pPr>
            <w:r w:rsidRPr="00F32FFF">
              <w:t>$184,742</w:t>
            </w:r>
          </w:p>
        </w:tc>
        <w:tc>
          <w:tcPr>
            <w:tcW w:w="631" w:type="pct"/>
          </w:tcPr>
          <w:p w14:paraId="096DB3B6" w14:textId="77777777" w:rsidR="004F7554" w:rsidRPr="00F32FFF" w:rsidRDefault="004F7554" w:rsidP="0004596B">
            <w:pPr>
              <w:pStyle w:val="ARtabletextright"/>
            </w:pPr>
            <w:r w:rsidRPr="00F32FFF">
              <w:t>$116,026</w:t>
            </w:r>
          </w:p>
        </w:tc>
        <w:tc>
          <w:tcPr>
            <w:tcW w:w="655" w:type="pct"/>
          </w:tcPr>
          <w:p w14:paraId="509401A4" w14:textId="2D56AE3E" w:rsidR="004F7554" w:rsidRPr="00F32FFF" w:rsidRDefault="005B7C9B" w:rsidP="0004596B">
            <w:pPr>
              <w:pStyle w:val="ARtabletextright"/>
            </w:pPr>
            <w:r>
              <w:rPr>
                <w:rFonts w:ascii="Aptos Narrow" w:hAnsi="Aptos Narrow"/>
                <w:sz w:val="22"/>
                <w:szCs w:val="22"/>
              </w:rPr>
              <w:t>–</w:t>
            </w:r>
          </w:p>
        </w:tc>
      </w:tr>
      <w:tr w:rsidR="004F7554" w:rsidRPr="00F32FFF" w14:paraId="611E96CC" w14:textId="77777777" w:rsidTr="00DD775F">
        <w:trPr>
          <w:trHeight w:val="266"/>
        </w:trPr>
        <w:tc>
          <w:tcPr>
            <w:tcW w:w="1157" w:type="pct"/>
          </w:tcPr>
          <w:p w14:paraId="4FBB06B0" w14:textId="77777777" w:rsidR="004F7554" w:rsidRPr="00F32FFF" w:rsidRDefault="004F7554" w:rsidP="009A0965">
            <w:pPr>
              <w:pStyle w:val="ARtabletext"/>
              <w:spacing w:line="220" w:lineRule="atLeast"/>
            </w:pPr>
            <w:r w:rsidRPr="00F32FFF">
              <w:t>KPMG</w:t>
            </w:r>
          </w:p>
        </w:tc>
        <w:tc>
          <w:tcPr>
            <w:tcW w:w="1810" w:type="pct"/>
          </w:tcPr>
          <w:p w14:paraId="54FC6168" w14:textId="2C5E98BF" w:rsidR="004F7554" w:rsidRPr="00F32FFF" w:rsidRDefault="004F7554" w:rsidP="009A0965">
            <w:pPr>
              <w:pStyle w:val="ARtabletext"/>
              <w:spacing w:line="220" w:lineRule="atLeast"/>
            </w:pPr>
            <w:r w:rsidRPr="00F32FFF">
              <w:t xml:space="preserve">Housing Australia Future Fund Facility </w:t>
            </w:r>
            <w:r w:rsidR="005B7C9B">
              <w:t>–</w:t>
            </w:r>
            <w:r w:rsidRPr="00F32FFF">
              <w:t xml:space="preserve"> </w:t>
            </w:r>
            <w:r w:rsidR="00920103" w:rsidRPr="00F32FFF">
              <w:t>commercial advisor</w:t>
            </w:r>
          </w:p>
        </w:tc>
        <w:tc>
          <w:tcPr>
            <w:tcW w:w="747" w:type="pct"/>
          </w:tcPr>
          <w:p w14:paraId="7131B9F4" w14:textId="77777777" w:rsidR="004F7554" w:rsidRPr="00F32FFF" w:rsidRDefault="004F7554" w:rsidP="0004596B">
            <w:pPr>
              <w:pStyle w:val="ARtabletextright"/>
            </w:pPr>
            <w:r w:rsidRPr="00F32FFF">
              <w:t>$136,364</w:t>
            </w:r>
          </w:p>
        </w:tc>
        <w:tc>
          <w:tcPr>
            <w:tcW w:w="631" w:type="pct"/>
          </w:tcPr>
          <w:p w14:paraId="1BB7CA6B" w14:textId="77777777" w:rsidR="004F7554" w:rsidRPr="00F32FFF" w:rsidRDefault="004F7554" w:rsidP="0004596B">
            <w:pPr>
              <w:pStyle w:val="ARtabletextright"/>
            </w:pPr>
            <w:r w:rsidRPr="00F32FFF">
              <w:t>$105,897</w:t>
            </w:r>
          </w:p>
        </w:tc>
        <w:tc>
          <w:tcPr>
            <w:tcW w:w="655" w:type="pct"/>
          </w:tcPr>
          <w:p w14:paraId="74DD1940" w14:textId="77777777" w:rsidR="004F7554" w:rsidRPr="00F32FFF" w:rsidRDefault="004F7554" w:rsidP="0004596B">
            <w:pPr>
              <w:pStyle w:val="ARtabletextright"/>
            </w:pPr>
            <w:r w:rsidRPr="00F32FFF">
              <w:t>$30,467</w:t>
            </w:r>
          </w:p>
        </w:tc>
      </w:tr>
      <w:tr w:rsidR="004F7554" w:rsidRPr="00F32FFF" w14:paraId="412C593B" w14:textId="77777777" w:rsidTr="00DD775F">
        <w:trPr>
          <w:trHeight w:val="266"/>
        </w:trPr>
        <w:tc>
          <w:tcPr>
            <w:tcW w:w="1157" w:type="pct"/>
          </w:tcPr>
          <w:p w14:paraId="6D8BF556" w14:textId="77777777" w:rsidR="004F7554" w:rsidRPr="00F32FFF" w:rsidRDefault="004F7554" w:rsidP="009A0965">
            <w:pPr>
              <w:pStyle w:val="ARtabletext"/>
              <w:spacing w:line="220" w:lineRule="atLeast"/>
            </w:pPr>
            <w:r w:rsidRPr="00F32FFF">
              <w:t>Deakin University</w:t>
            </w:r>
          </w:p>
        </w:tc>
        <w:tc>
          <w:tcPr>
            <w:tcW w:w="1810" w:type="pct"/>
          </w:tcPr>
          <w:p w14:paraId="2D4FCD4B" w14:textId="1C5B7E03" w:rsidR="004F7554" w:rsidRPr="00F32FFF" w:rsidRDefault="004F7554" w:rsidP="009A0965">
            <w:pPr>
              <w:pStyle w:val="ARtabletext"/>
              <w:spacing w:line="220" w:lineRule="atLeast"/>
            </w:pPr>
            <w:r w:rsidRPr="00F32FFF">
              <w:t xml:space="preserve">Community and Social Services Graduate Program </w:t>
            </w:r>
            <w:r w:rsidR="005B7C9B">
              <w:t>–</w:t>
            </w:r>
            <w:r w:rsidRPr="00F32FFF">
              <w:t xml:space="preserve"> </w:t>
            </w:r>
            <w:r w:rsidR="00920103" w:rsidRPr="00F32FFF">
              <w:t>professional learning design</w:t>
            </w:r>
          </w:p>
        </w:tc>
        <w:tc>
          <w:tcPr>
            <w:tcW w:w="747" w:type="pct"/>
          </w:tcPr>
          <w:p w14:paraId="69838332" w14:textId="77777777" w:rsidR="004F7554" w:rsidRPr="00F32FFF" w:rsidRDefault="004F7554" w:rsidP="0004596B">
            <w:pPr>
              <w:pStyle w:val="ARtabletextright"/>
            </w:pPr>
            <w:r w:rsidRPr="00F32FFF">
              <w:t>$139,746</w:t>
            </w:r>
          </w:p>
        </w:tc>
        <w:tc>
          <w:tcPr>
            <w:tcW w:w="631" w:type="pct"/>
          </w:tcPr>
          <w:p w14:paraId="754D03E8" w14:textId="77777777" w:rsidR="004F7554" w:rsidRPr="00F32FFF" w:rsidRDefault="004F7554" w:rsidP="0004596B">
            <w:pPr>
              <w:pStyle w:val="ARtabletextright"/>
            </w:pPr>
            <w:r w:rsidRPr="00F32FFF">
              <w:t>$104,810</w:t>
            </w:r>
          </w:p>
        </w:tc>
        <w:tc>
          <w:tcPr>
            <w:tcW w:w="655" w:type="pct"/>
          </w:tcPr>
          <w:p w14:paraId="269BC6F5" w14:textId="77777777" w:rsidR="004F7554" w:rsidRPr="00F32FFF" w:rsidRDefault="004F7554" w:rsidP="0004596B">
            <w:pPr>
              <w:pStyle w:val="ARtabletextright"/>
            </w:pPr>
            <w:r w:rsidRPr="00F32FFF">
              <w:t>$34,936</w:t>
            </w:r>
          </w:p>
        </w:tc>
      </w:tr>
      <w:tr w:rsidR="004F7554" w:rsidRPr="00F32FFF" w14:paraId="384EF195" w14:textId="77777777" w:rsidTr="00DD775F">
        <w:trPr>
          <w:trHeight w:val="266"/>
        </w:trPr>
        <w:tc>
          <w:tcPr>
            <w:tcW w:w="1157" w:type="pct"/>
          </w:tcPr>
          <w:p w14:paraId="5D67F710" w14:textId="77777777" w:rsidR="004F7554" w:rsidRPr="00F32FFF" w:rsidRDefault="004F7554" w:rsidP="009A0965">
            <w:pPr>
              <w:pStyle w:val="ARtabletext"/>
              <w:spacing w:line="220" w:lineRule="atLeast"/>
            </w:pPr>
            <w:r w:rsidRPr="00F32FFF">
              <w:t>RMIT University</w:t>
            </w:r>
          </w:p>
        </w:tc>
        <w:tc>
          <w:tcPr>
            <w:tcW w:w="1810" w:type="pct"/>
          </w:tcPr>
          <w:p w14:paraId="787DF75A" w14:textId="137E29F0" w:rsidR="004F7554" w:rsidRPr="00F32FFF" w:rsidRDefault="004F7554" w:rsidP="009A0965">
            <w:pPr>
              <w:pStyle w:val="ARtabletext"/>
              <w:spacing w:line="220" w:lineRule="atLeast"/>
            </w:pPr>
            <w:r w:rsidRPr="00F32FFF">
              <w:t>Review of the implementation of</w:t>
            </w:r>
            <w:r w:rsidR="00895A37">
              <w:t> </w:t>
            </w:r>
            <w:r w:rsidR="00920103" w:rsidRPr="00F32FFF">
              <w:t>supervised treatment orders</w:t>
            </w:r>
          </w:p>
        </w:tc>
        <w:tc>
          <w:tcPr>
            <w:tcW w:w="747" w:type="pct"/>
          </w:tcPr>
          <w:p w14:paraId="13873008" w14:textId="77777777" w:rsidR="004F7554" w:rsidRPr="00F32FFF" w:rsidRDefault="004F7554" w:rsidP="0004596B">
            <w:pPr>
              <w:pStyle w:val="ARtabletextright"/>
            </w:pPr>
            <w:r w:rsidRPr="00F32FFF">
              <w:t>$288,154</w:t>
            </w:r>
          </w:p>
        </w:tc>
        <w:tc>
          <w:tcPr>
            <w:tcW w:w="631" w:type="pct"/>
          </w:tcPr>
          <w:p w14:paraId="444A71F5" w14:textId="77777777" w:rsidR="004F7554" w:rsidRPr="00F32FFF" w:rsidRDefault="004F7554" w:rsidP="0004596B">
            <w:pPr>
              <w:pStyle w:val="ARtabletextright"/>
            </w:pPr>
            <w:r w:rsidRPr="00F32FFF">
              <w:t>$103,636</w:t>
            </w:r>
          </w:p>
        </w:tc>
        <w:tc>
          <w:tcPr>
            <w:tcW w:w="655" w:type="pct"/>
          </w:tcPr>
          <w:p w14:paraId="77028FAE" w14:textId="77777777" w:rsidR="004F7554" w:rsidRPr="00F32FFF" w:rsidRDefault="004F7554" w:rsidP="0004596B">
            <w:pPr>
              <w:pStyle w:val="ARtabletextright"/>
            </w:pPr>
            <w:r w:rsidRPr="00F32FFF">
              <w:t>$35,714</w:t>
            </w:r>
          </w:p>
        </w:tc>
      </w:tr>
      <w:tr w:rsidR="004F7554" w:rsidRPr="00F32FFF" w14:paraId="3BF6CA75" w14:textId="77777777" w:rsidTr="00DD775F">
        <w:trPr>
          <w:trHeight w:val="266"/>
        </w:trPr>
        <w:tc>
          <w:tcPr>
            <w:tcW w:w="1157" w:type="pct"/>
          </w:tcPr>
          <w:p w14:paraId="4796C635" w14:textId="77777777" w:rsidR="004F7554" w:rsidRPr="00F32FFF" w:rsidRDefault="004F7554" w:rsidP="009A0965">
            <w:pPr>
              <w:pStyle w:val="ARtabletext"/>
              <w:spacing w:line="220" w:lineRule="atLeast"/>
            </w:pPr>
            <w:r w:rsidRPr="00F32FFF">
              <w:t>Price Waterhouse Coopers Indigenous Consulting</w:t>
            </w:r>
          </w:p>
        </w:tc>
        <w:tc>
          <w:tcPr>
            <w:tcW w:w="1810" w:type="pct"/>
          </w:tcPr>
          <w:p w14:paraId="7E3EBA5D" w14:textId="7E15DD12" w:rsidR="004F7554" w:rsidRPr="00F32FFF" w:rsidRDefault="004F7554" w:rsidP="009A0965">
            <w:pPr>
              <w:pStyle w:val="ARtabletext"/>
              <w:spacing w:line="220" w:lineRule="atLeast"/>
            </w:pPr>
            <w:r w:rsidRPr="00F32FFF">
              <w:t xml:space="preserve">Divisional </w:t>
            </w:r>
            <w:r w:rsidR="00FB7197" w:rsidRPr="00F32FFF">
              <w:t>strategic review</w:t>
            </w:r>
          </w:p>
        </w:tc>
        <w:tc>
          <w:tcPr>
            <w:tcW w:w="747" w:type="pct"/>
          </w:tcPr>
          <w:p w14:paraId="47807D31" w14:textId="77777777" w:rsidR="004F7554" w:rsidRPr="00F32FFF" w:rsidRDefault="004F7554" w:rsidP="0004596B">
            <w:pPr>
              <w:pStyle w:val="ARtabletextright"/>
            </w:pPr>
            <w:r w:rsidRPr="00F32FFF">
              <w:t>$100,244</w:t>
            </w:r>
          </w:p>
        </w:tc>
        <w:tc>
          <w:tcPr>
            <w:tcW w:w="631" w:type="pct"/>
          </w:tcPr>
          <w:p w14:paraId="274FA0F0" w14:textId="77777777" w:rsidR="004F7554" w:rsidRPr="00F32FFF" w:rsidRDefault="004F7554" w:rsidP="0004596B">
            <w:pPr>
              <w:pStyle w:val="ARtabletextright"/>
            </w:pPr>
            <w:r w:rsidRPr="00F32FFF">
              <w:t>$100,244</w:t>
            </w:r>
          </w:p>
        </w:tc>
        <w:tc>
          <w:tcPr>
            <w:tcW w:w="655" w:type="pct"/>
          </w:tcPr>
          <w:p w14:paraId="34DDCC63" w14:textId="39A6A415" w:rsidR="004F7554" w:rsidRPr="00F32FFF" w:rsidRDefault="005B7C9B" w:rsidP="0004596B">
            <w:pPr>
              <w:pStyle w:val="ARtabletextright"/>
            </w:pPr>
            <w:r>
              <w:rPr>
                <w:rFonts w:ascii="Aptos Narrow" w:hAnsi="Aptos Narrow"/>
                <w:sz w:val="22"/>
                <w:szCs w:val="22"/>
              </w:rPr>
              <w:t>–</w:t>
            </w:r>
          </w:p>
        </w:tc>
      </w:tr>
      <w:tr w:rsidR="004F7554" w:rsidRPr="00F32FFF" w14:paraId="4BA1A05D" w14:textId="77777777" w:rsidTr="00DD775F">
        <w:trPr>
          <w:trHeight w:val="266"/>
        </w:trPr>
        <w:tc>
          <w:tcPr>
            <w:tcW w:w="1157" w:type="pct"/>
          </w:tcPr>
          <w:p w14:paraId="05C1B1D7" w14:textId="77777777" w:rsidR="004F7554" w:rsidRPr="00F32FFF" w:rsidRDefault="004F7554" w:rsidP="009A0965">
            <w:pPr>
              <w:pStyle w:val="ARtabletext"/>
              <w:spacing w:line="220" w:lineRule="atLeast"/>
            </w:pPr>
            <w:r w:rsidRPr="00F32FFF">
              <w:t>Cube Group</w:t>
            </w:r>
          </w:p>
        </w:tc>
        <w:tc>
          <w:tcPr>
            <w:tcW w:w="1810" w:type="pct"/>
          </w:tcPr>
          <w:p w14:paraId="72D03595" w14:textId="3D583627" w:rsidR="004F7554" w:rsidRPr="00F32FFF" w:rsidRDefault="004F7554" w:rsidP="009A0965">
            <w:pPr>
              <w:pStyle w:val="ARtabletext"/>
              <w:spacing w:line="220" w:lineRule="atLeast"/>
            </w:pPr>
            <w:r w:rsidRPr="00F32FFF">
              <w:t>Review of Client Incident Management System investigation and review</w:t>
            </w:r>
            <w:r w:rsidR="009A0965">
              <w:t> </w:t>
            </w:r>
            <w:r w:rsidRPr="00F32FFF">
              <w:t>requirements</w:t>
            </w:r>
          </w:p>
        </w:tc>
        <w:tc>
          <w:tcPr>
            <w:tcW w:w="747" w:type="pct"/>
          </w:tcPr>
          <w:p w14:paraId="38A482F9" w14:textId="77777777" w:rsidR="004F7554" w:rsidRPr="00F32FFF" w:rsidRDefault="004F7554" w:rsidP="0004596B">
            <w:pPr>
              <w:pStyle w:val="ARtabletextright"/>
            </w:pPr>
            <w:r w:rsidRPr="00F32FFF">
              <w:t>$117,764</w:t>
            </w:r>
          </w:p>
        </w:tc>
        <w:tc>
          <w:tcPr>
            <w:tcW w:w="631" w:type="pct"/>
          </w:tcPr>
          <w:p w14:paraId="1A416F63" w14:textId="77777777" w:rsidR="004F7554" w:rsidRPr="00F32FFF" w:rsidRDefault="004F7554" w:rsidP="0004596B">
            <w:pPr>
              <w:pStyle w:val="ARtabletextright"/>
            </w:pPr>
            <w:r w:rsidRPr="00F32FFF">
              <w:t>$95,782</w:t>
            </w:r>
          </w:p>
        </w:tc>
        <w:tc>
          <w:tcPr>
            <w:tcW w:w="655" w:type="pct"/>
          </w:tcPr>
          <w:p w14:paraId="5B5AF624" w14:textId="77777777" w:rsidR="004F7554" w:rsidRPr="00F32FFF" w:rsidRDefault="004F7554" w:rsidP="0004596B">
            <w:pPr>
              <w:pStyle w:val="ARtabletextright"/>
            </w:pPr>
            <w:r w:rsidRPr="00F32FFF">
              <w:t>$21,982</w:t>
            </w:r>
          </w:p>
        </w:tc>
      </w:tr>
      <w:tr w:rsidR="004F7554" w:rsidRPr="00F32FFF" w14:paraId="45EBD24D" w14:textId="77777777" w:rsidTr="00DD775F">
        <w:trPr>
          <w:trHeight w:val="266"/>
        </w:trPr>
        <w:tc>
          <w:tcPr>
            <w:tcW w:w="1157" w:type="pct"/>
          </w:tcPr>
          <w:p w14:paraId="1291EF19" w14:textId="77777777" w:rsidR="004F7554" w:rsidRPr="00F32FFF" w:rsidRDefault="004F7554" w:rsidP="009A0965">
            <w:pPr>
              <w:pStyle w:val="ARtabletext"/>
              <w:spacing w:line="220" w:lineRule="atLeast"/>
            </w:pPr>
            <w:r w:rsidRPr="00F32FFF">
              <w:t>Senate SHJ</w:t>
            </w:r>
          </w:p>
        </w:tc>
        <w:tc>
          <w:tcPr>
            <w:tcW w:w="1810" w:type="pct"/>
          </w:tcPr>
          <w:p w14:paraId="038E475C" w14:textId="105BD9A4" w:rsidR="004F7554" w:rsidRPr="00F32FFF" w:rsidRDefault="004F7554" w:rsidP="009A0965">
            <w:pPr>
              <w:pStyle w:val="ARtabletext"/>
              <w:spacing w:line="220" w:lineRule="atLeast"/>
            </w:pPr>
            <w:r w:rsidRPr="00F32FFF">
              <w:t>VDWC Strategic and Business Plan and</w:t>
            </w:r>
            <w:r w:rsidR="001F5457">
              <w:t> </w:t>
            </w:r>
            <w:r w:rsidRPr="00F32FFF">
              <w:t xml:space="preserve">review of </w:t>
            </w:r>
            <w:r w:rsidR="00FB7197" w:rsidRPr="00F32FFF">
              <w:t>theory</w:t>
            </w:r>
            <w:r w:rsidRPr="00F32FFF">
              <w:t xml:space="preserve"> of </w:t>
            </w:r>
            <w:r w:rsidR="00FB7197" w:rsidRPr="00F32FFF">
              <w:t>change</w:t>
            </w:r>
          </w:p>
        </w:tc>
        <w:tc>
          <w:tcPr>
            <w:tcW w:w="747" w:type="pct"/>
          </w:tcPr>
          <w:p w14:paraId="04544D85" w14:textId="77777777" w:rsidR="004F7554" w:rsidRPr="00F32FFF" w:rsidRDefault="004F7554" w:rsidP="0004596B">
            <w:pPr>
              <w:pStyle w:val="ARtabletextright"/>
            </w:pPr>
            <w:r w:rsidRPr="00F32FFF">
              <w:t>$399,575</w:t>
            </w:r>
          </w:p>
        </w:tc>
        <w:tc>
          <w:tcPr>
            <w:tcW w:w="631" w:type="pct"/>
          </w:tcPr>
          <w:p w14:paraId="312EAA87" w14:textId="77777777" w:rsidR="004F7554" w:rsidRPr="00F32FFF" w:rsidRDefault="004F7554" w:rsidP="0004596B">
            <w:pPr>
              <w:pStyle w:val="ARtabletextright"/>
            </w:pPr>
            <w:r w:rsidRPr="00F32FFF">
              <w:t>$91,437</w:t>
            </w:r>
          </w:p>
        </w:tc>
        <w:tc>
          <w:tcPr>
            <w:tcW w:w="655" w:type="pct"/>
          </w:tcPr>
          <w:p w14:paraId="6650D442" w14:textId="77777777" w:rsidR="004F7554" w:rsidRPr="00F32FFF" w:rsidRDefault="004F7554" w:rsidP="0004596B">
            <w:pPr>
              <w:pStyle w:val="ARtabletextright"/>
            </w:pPr>
            <w:r w:rsidRPr="00F32FFF">
              <w:t>$308,138</w:t>
            </w:r>
          </w:p>
        </w:tc>
      </w:tr>
      <w:tr w:rsidR="004F7554" w:rsidRPr="00F32FFF" w14:paraId="4F2DE425" w14:textId="77777777" w:rsidTr="00DD775F">
        <w:trPr>
          <w:trHeight w:val="266"/>
        </w:trPr>
        <w:tc>
          <w:tcPr>
            <w:tcW w:w="1157" w:type="pct"/>
          </w:tcPr>
          <w:p w14:paraId="02EFA426" w14:textId="77777777" w:rsidR="004F7554" w:rsidRPr="00F32FFF" w:rsidRDefault="004F7554" w:rsidP="009A0965">
            <w:pPr>
              <w:pStyle w:val="ARtabletext"/>
              <w:spacing w:line="220" w:lineRule="atLeast"/>
            </w:pPr>
            <w:r w:rsidRPr="00F32FFF">
              <w:t>Urbis</w:t>
            </w:r>
          </w:p>
        </w:tc>
        <w:tc>
          <w:tcPr>
            <w:tcW w:w="1810" w:type="pct"/>
          </w:tcPr>
          <w:p w14:paraId="3E7906EB" w14:textId="77777777" w:rsidR="004F7554" w:rsidRPr="00F32FFF" w:rsidRDefault="004F7554" w:rsidP="009A0965">
            <w:pPr>
              <w:pStyle w:val="ARtabletext"/>
              <w:spacing w:line="220" w:lineRule="atLeast"/>
            </w:pPr>
            <w:r w:rsidRPr="00F32FFF">
              <w:t>Evaluation for the Free from Violence Local Government Grant Program</w:t>
            </w:r>
          </w:p>
        </w:tc>
        <w:tc>
          <w:tcPr>
            <w:tcW w:w="747" w:type="pct"/>
          </w:tcPr>
          <w:p w14:paraId="440B394B" w14:textId="77777777" w:rsidR="004F7554" w:rsidRPr="00F32FFF" w:rsidRDefault="004F7554" w:rsidP="0004596B">
            <w:pPr>
              <w:pStyle w:val="ARtabletextright"/>
            </w:pPr>
            <w:r w:rsidRPr="00F32FFF">
              <w:t>$298,646</w:t>
            </w:r>
          </w:p>
        </w:tc>
        <w:tc>
          <w:tcPr>
            <w:tcW w:w="631" w:type="pct"/>
          </w:tcPr>
          <w:p w14:paraId="7DA1CD81" w14:textId="77777777" w:rsidR="004F7554" w:rsidRPr="00F32FFF" w:rsidRDefault="004F7554" w:rsidP="0004596B">
            <w:pPr>
              <w:pStyle w:val="ARtabletextright"/>
            </w:pPr>
            <w:r w:rsidRPr="00F32FFF">
              <w:t>$90,909</w:t>
            </w:r>
          </w:p>
        </w:tc>
        <w:tc>
          <w:tcPr>
            <w:tcW w:w="655" w:type="pct"/>
          </w:tcPr>
          <w:p w14:paraId="4355D735" w14:textId="77777777" w:rsidR="004F7554" w:rsidRPr="00F32FFF" w:rsidRDefault="004F7554" w:rsidP="0004596B">
            <w:pPr>
              <w:pStyle w:val="ARtabletextright"/>
            </w:pPr>
            <w:r w:rsidRPr="00F32FFF">
              <w:t>$71,372</w:t>
            </w:r>
          </w:p>
        </w:tc>
      </w:tr>
      <w:tr w:rsidR="004F7554" w:rsidRPr="00F32FFF" w14:paraId="5C9E7C92" w14:textId="77777777" w:rsidTr="00DD775F">
        <w:trPr>
          <w:trHeight w:val="266"/>
        </w:trPr>
        <w:tc>
          <w:tcPr>
            <w:tcW w:w="1157" w:type="pct"/>
          </w:tcPr>
          <w:p w14:paraId="2E963BC1" w14:textId="77777777" w:rsidR="004F7554" w:rsidRPr="00F32FFF" w:rsidRDefault="004F7554" w:rsidP="009A0965">
            <w:pPr>
              <w:pStyle w:val="ARtabletext"/>
              <w:spacing w:line="220" w:lineRule="atLeast"/>
            </w:pPr>
            <w:r w:rsidRPr="00F32FFF">
              <w:t>Bastion Reputation Management Pty Ltd</w:t>
            </w:r>
          </w:p>
        </w:tc>
        <w:tc>
          <w:tcPr>
            <w:tcW w:w="1810" w:type="pct"/>
          </w:tcPr>
          <w:p w14:paraId="547F2C8F" w14:textId="4D04FBA5" w:rsidR="004F7554" w:rsidRPr="00F32FFF" w:rsidRDefault="004F7554" w:rsidP="009A0965">
            <w:pPr>
              <w:pStyle w:val="ARtabletext"/>
              <w:spacing w:line="220" w:lineRule="atLeast"/>
            </w:pPr>
            <w:r w:rsidRPr="00F32FFF">
              <w:t xml:space="preserve">Specialised </w:t>
            </w:r>
            <w:r w:rsidR="00363CF3" w:rsidRPr="00F32FFF">
              <w:t>communications management</w:t>
            </w:r>
            <w:r w:rsidR="009A0965">
              <w:t> </w:t>
            </w:r>
            <w:r w:rsidR="00363CF3" w:rsidRPr="00F32FFF">
              <w:t>plan</w:t>
            </w:r>
          </w:p>
        </w:tc>
        <w:tc>
          <w:tcPr>
            <w:tcW w:w="747" w:type="pct"/>
          </w:tcPr>
          <w:p w14:paraId="2DDD54CC" w14:textId="77777777" w:rsidR="004F7554" w:rsidRPr="00F32FFF" w:rsidRDefault="004F7554" w:rsidP="0004596B">
            <w:pPr>
              <w:pStyle w:val="ARtabletextright"/>
            </w:pPr>
            <w:r w:rsidRPr="00F32FFF">
              <w:t>$88,220</w:t>
            </w:r>
          </w:p>
        </w:tc>
        <w:tc>
          <w:tcPr>
            <w:tcW w:w="631" w:type="pct"/>
          </w:tcPr>
          <w:p w14:paraId="1F0AF0B3" w14:textId="77777777" w:rsidR="004F7554" w:rsidRPr="00F32FFF" w:rsidRDefault="004F7554" w:rsidP="0004596B">
            <w:pPr>
              <w:pStyle w:val="ARtabletextright"/>
            </w:pPr>
            <w:r w:rsidRPr="00F32FFF">
              <w:t>$88,220</w:t>
            </w:r>
          </w:p>
        </w:tc>
        <w:tc>
          <w:tcPr>
            <w:tcW w:w="655" w:type="pct"/>
          </w:tcPr>
          <w:p w14:paraId="01C0CDA9" w14:textId="77798B57" w:rsidR="004F7554" w:rsidRPr="00F32FFF" w:rsidRDefault="005B7C9B" w:rsidP="0004596B">
            <w:pPr>
              <w:pStyle w:val="ARtabletextright"/>
            </w:pPr>
            <w:r>
              <w:rPr>
                <w:rFonts w:ascii="Aptos Narrow" w:hAnsi="Aptos Narrow"/>
                <w:sz w:val="22"/>
                <w:szCs w:val="22"/>
              </w:rPr>
              <w:t>–</w:t>
            </w:r>
          </w:p>
        </w:tc>
      </w:tr>
      <w:tr w:rsidR="004F7554" w:rsidRPr="00F32FFF" w14:paraId="6D5EF495" w14:textId="77777777" w:rsidTr="00DD775F">
        <w:trPr>
          <w:trHeight w:val="266"/>
        </w:trPr>
        <w:tc>
          <w:tcPr>
            <w:tcW w:w="1157" w:type="pct"/>
          </w:tcPr>
          <w:p w14:paraId="471DE560" w14:textId="6CF6A110" w:rsidR="004F7554" w:rsidRPr="00F32FFF" w:rsidRDefault="004F7554" w:rsidP="009A0965">
            <w:pPr>
              <w:pStyle w:val="ARtabletext"/>
              <w:spacing w:line="220" w:lineRule="atLeast"/>
            </w:pPr>
            <w:r w:rsidRPr="00F32FFF">
              <w:t>The Australian National</w:t>
            </w:r>
            <w:r w:rsidR="00367B98">
              <w:t> </w:t>
            </w:r>
            <w:r w:rsidRPr="00F32FFF">
              <w:t>University</w:t>
            </w:r>
          </w:p>
        </w:tc>
        <w:tc>
          <w:tcPr>
            <w:tcW w:w="1810" w:type="pct"/>
          </w:tcPr>
          <w:p w14:paraId="60F579C7" w14:textId="778DBCD6" w:rsidR="004F7554" w:rsidRPr="00F32FFF" w:rsidRDefault="004F7554" w:rsidP="009A0965">
            <w:pPr>
              <w:pStyle w:val="ARtabletext"/>
              <w:spacing w:line="220" w:lineRule="atLeast"/>
            </w:pPr>
            <w:r w:rsidRPr="00F32FFF">
              <w:t>Evaluation of Women</w:t>
            </w:r>
            <w:r w:rsidR="00711AE6">
              <w:t>’</w:t>
            </w:r>
            <w:r w:rsidRPr="00F32FFF">
              <w:t>s Leadership</w:t>
            </w:r>
            <w:r w:rsidR="00367B98">
              <w:t> </w:t>
            </w:r>
            <w:r w:rsidRPr="00F32FFF">
              <w:t>Programs</w:t>
            </w:r>
          </w:p>
        </w:tc>
        <w:tc>
          <w:tcPr>
            <w:tcW w:w="747" w:type="pct"/>
          </w:tcPr>
          <w:p w14:paraId="444DA255" w14:textId="77777777" w:rsidR="004F7554" w:rsidRPr="00F32FFF" w:rsidRDefault="004F7554" w:rsidP="0004596B">
            <w:pPr>
              <w:pStyle w:val="ARtabletextright"/>
            </w:pPr>
            <w:r w:rsidRPr="00F32FFF">
              <w:t>$84,906</w:t>
            </w:r>
          </w:p>
        </w:tc>
        <w:tc>
          <w:tcPr>
            <w:tcW w:w="631" w:type="pct"/>
          </w:tcPr>
          <w:p w14:paraId="715964F4" w14:textId="77777777" w:rsidR="004F7554" w:rsidRPr="00F32FFF" w:rsidRDefault="004F7554" w:rsidP="0004596B">
            <w:pPr>
              <w:pStyle w:val="ARtabletextright"/>
            </w:pPr>
            <w:r w:rsidRPr="00F32FFF">
              <w:t>$84,906</w:t>
            </w:r>
          </w:p>
        </w:tc>
        <w:tc>
          <w:tcPr>
            <w:tcW w:w="655" w:type="pct"/>
          </w:tcPr>
          <w:p w14:paraId="0D82C8D3" w14:textId="0D947B17" w:rsidR="004F7554" w:rsidRPr="00F32FFF" w:rsidRDefault="005B7C9B" w:rsidP="0004596B">
            <w:pPr>
              <w:pStyle w:val="ARtabletextright"/>
            </w:pPr>
            <w:r>
              <w:rPr>
                <w:rFonts w:ascii="Aptos Narrow" w:hAnsi="Aptos Narrow"/>
                <w:sz w:val="22"/>
                <w:szCs w:val="22"/>
              </w:rPr>
              <w:t>–</w:t>
            </w:r>
          </w:p>
        </w:tc>
      </w:tr>
      <w:tr w:rsidR="004F7554" w:rsidRPr="00F32FFF" w14:paraId="33CBC9FC" w14:textId="77777777" w:rsidTr="00DD775F">
        <w:trPr>
          <w:trHeight w:val="266"/>
        </w:trPr>
        <w:tc>
          <w:tcPr>
            <w:tcW w:w="1157" w:type="pct"/>
          </w:tcPr>
          <w:p w14:paraId="6ED9DF3A" w14:textId="77777777" w:rsidR="004F7554" w:rsidRPr="00F32FFF" w:rsidRDefault="004F7554" w:rsidP="009A0965">
            <w:pPr>
              <w:pStyle w:val="ARtabletext"/>
              <w:spacing w:line="220" w:lineRule="atLeast"/>
            </w:pPr>
            <w:r w:rsidRPr="00F32FFF">
              <w:t>Abstarr Consulting Pty Ltd</w:t>
            </w:r>
          </w:p>
        </w:tc>
        <w:tc>
          <w:tcPr>
            <w:tcW w:w="1810" w:type="pct"/>
          </w:tcPr>
          <w:p w14:paraId="3755B1E0" w14:textId="6F1B279F" w:rsidR="004F7554" w:rsidRPr="00F32FFF" w:rsidRDefault="004F7554" w:rsidP="009A0965">
            <w:pPr>
              <w:pStyle w:val="ARtabletext"/>
              <w:spacing w:line="220" w:lineRule="atLeast"/>
            </w:pPr>
            <w:r w:rsidRPr="00F32FFF">
              <w:t xml:space="preserve">Aboriginal Workforce Fund </w:t>
            </w:r>
            <w:r w:rsidR="00363CF3">
              <w:t>e</w:t>
            </w:r>
            <w:r w:rsidR="00363CF3" w:rsidRPr="00F32FFF">
              <w:t>valuation</w:t>
            </w:r>
          </w:p>
        </w:tc>
        <w:tc>
          <w:tcPr>
            <w:tcW w:w="747" w:type="pct"/>
          </w:tcPr>
          <w:p w14:paraId="6D95B750" w14:textId="77777777" w:rsidR="004F7554" w:rsidRPr="00F32FFF" w:rsidRDefault="004F7554" w:rsidP="0004596B">
            <w:pPr>
              <w:pStyle w:val="ARtabletextright"/>
            </w:pPr>
            <w:r w:rsidRPr="00F32FFF">
              <w:t>$181,800</w:t>
            </w:r>
          </w:p>
        </w:tc>
        <w:tc>
          <w:tcPr>
            <w:tcW w:w="631" w:type="pct"/>
          </w:tcPr>
          <w:p w14:paraId="23A66935" w14:textId="77777777" w:rsidR="004F7554" w:rsidRPr="00F32FFF" w:rsidRDefault="004F7554" w:rsidP="0004596B">
            <w:pPr>
              <w:pStyle w:val="ARtabletextright"/>
            </w:pPr>
            <w:r w:rsidRPr="00F32FFF">
              <w:t>$80,905</w:t>
            </w:r>
          </w:p>
        </w:tc>
        <w:tc>
          <w:tcPr>
            <w:tcW w:w="655" w:type="pct"/>
          </w:tcPr>
          <w:p w14:paraId="421ED485" w14:textId="60FA776C" w:rsidR="004F7554" w:rsidRPr="00F32FFF" w:rsidRDefault="005B7C9B" w:rsidP="0004596B">
            <w:pPr>
              <w:pStyle w:val="ARtabletextright"/>
            </w:pPr>
            <w:r>
              <w:rPr>
                <w:rFonts w:ascii="Aptos Narrow" w:hAnsi="Aptos Narrow"/>
                <w:sz w:val="22"/>
                <w:szCs w:val="22"/>
              </w:rPr>
              <w:t>–</w:t>
            </w:r>
          </w:p>
        </w:tc>
      </w:tr>
      <w:tr w:rsidR="004F7554" w:rsidRPr="00F32FFF" w14:paraId="5008B3AC" w14:textId="77777777" w:rsidTr="00DD775F">
        <w:trPr>
          <w:trHeight w:val="266"/>
        </w:trPr>
        <w:tc>
          <w:tcPr>
            <w:tcW w:w="1157" w:type="pct"/>
          </w:tcPr>
          <w:p w14:paraId="2C108FF5" w14:textId="77777777" w:rsidR="004F7554" w:rsidRPr="00F32FFF" w:rsidRDefault="004F7554" w:rsidP="009A0965">
            <w:pPr>
              <w:pStyle w:val="ARtabletext"/>
              <w:spacing w:line="220" w:lineRule="atLeast"/>
            </w:pPr>
            <w:r w:rsidRPr="00F32FFF">
              <w:t>Nous Group Pty Ltd</w:t>
            </w:r>
          </w:p>
        </w:tc>
        <w:tc>
          <w:tcPr>
            <w:tcW w:w="1810" w:type="pct"/>
          </w:tcPr>
          <w:p w14:paraId="126F6174" w14:textId="77777777" w:rsidR="004F7554" w:rsidRPr="00F32FFF" w:rsidRDefault="004F7554" w:rsidP="009A0965">
            <w:pPr>
              <w:pStyle w:val="ARtabletext"/>
              <w:spacing w:line="220" w:lineRule="atLeast"/>
            </w:pPr>
            <w:r w:rsidRPr="00F32FFF">
              <w:t>Evaluation of QHub (LGBTIQA+ youth safe spaces for Western Victoria)</w:t>
            </w:r>
          </w:p>
        </w:tc>
        <w:tc>
          <w:tcPr>
            <w:tcW w:w="747" w:type="pct"/>
          </w:tcPr>
          <w:p w14:paraId="55FA6280" w14:textId="77777777" w:rsidR="004F7554" w:rsidRPr="00F32FFF" w:rsidRDefault="004F7554" w:rsidP="0004596B">
            <w:pPr>
              <w:pStyle w:val="ARtabletextright"/>
            </w:pPr>
            <w:r w:rsidRPr="00F32FFF">
              <w:t>$190,909</w:t>
            </w:r>
          </w:p>
        </w:tc>
        <w:tc>
          <w:tcPr>
            <w:tcW w:w="631" w:type="pct"/>
          </w:tcPr>
          <w:p w14:paraId="01A1ADA8" w14:textId="77777777" w:rsidR="004F7554" w:rsidRPr="00F32FFF" w:rsidRDefault="004F7554" w:rsidP="0004596B">
            <w:pPr>
              <w:pStyle w:val="ARtabletextright"/>
            </w:pPr>
            <w:r w:rsidRPr="00F32FFF">
              <w:t>$78,500</w:t>
            </w:r>
          </w:p>
        </w:tc>
        <w:tc>
          <w:tcPr>
            <w:tcW w:w="655" w:type="pct"/>
          </w:tcPr>
          <w:p w14:paraId="328FC1C0" w14:textId="77777777" w:rsidR="004F7554" w:rsidRPr="00F32FFF" w:rsidRDefault="004F7554" w:rsidP="0004596B">
            <w:pPr>
              <w:pStyle w:val="ARtabletextright"/>
            </w:pPr>
            <w:r w:rsidRPr="00F32FFF">
              <w:t>$112,409</w:t>
            </w:r>
          </w:p>
        </w:tc>
      </w:tr>
      <w:tr w:rsidR="004F7554" w:rsidRPr="00F32FFF" w14:paraId="20EFFAD8" w14:textId="77777777" w:rsidTr="00DD775F">
        <w:trPr>
          <w:trHeight w:val="266"/>
        </w:trPr>
        <w:tc>
          <w:tcPr>
            <w:tcW w:w="1157" w:type="pct"/>
          </w:tcPr>
          <w:p w14:paraId="78E1B96A" w14:textId="34DD442C" w:rsidR="004F7554" w:rsidRPr="00F32FFF" w:rsidRDefault="004F7554" w:rsidP="009A0965">
            <w:pPr>
              <w:pStyle w:val="ARtabletext"/>
              <w:spacing w:line="220" w:lineRule="atLeast"/>
            </w:pPr>
            <w:r w:rsidRPr="00F32FFF">
              <w:t>Right Lane Consulting Pty</w:t>
            </w:r>
            <w:r w:rsidR="00367B98">
              <w:t> </w:t>
            </w:r>
            <w:r w:rsidRPr="00F32FFF">
              <w:t>Ltd</w:t>
            </w:r>
          </w:p>
        </w:tc>
        <w:tc>
          <w:tcPr>
            <w:tcW w:w="1810" w:type="pct"/>
          </w:tcPr>
          <w:p w14:paraId="06931DA2" w14:textId="77777777" w:rsidR="004F7554" w:rsidRPr="00F32FFF" w:rsidRDefault="004F7554" w:rsidP="009A0965">
            <w:pPr>
              <w:pStyle w:val="ARtabletext"/>
              <w:spacing w:line="220" w:lineRule="atLeast"/>
            </w:pPr>
            <w:r w:rsidRPr="00F32FFF">
              <w:t>Gender impact assessment research in hospitals and local councils in rural and regional Victoria</w:t>
            </w:r>
          </w:p>
        </w:tc>
        <w:tc>
          <w:tcPr>
            <w:tcW w:w="747" w:type="pct"/>
          </w:tcPr>
          <w:p w14:paraId="54E488B9" w14:textId="77777777" w:rsidR="004F7554" w:rsidRPr="00F32FFF" w:rsidRDefault="004F7554" w:rsidP="0004596B">
            <w:pPr>
              <w:pStyle w:val="ARtabletextright"/>
            </w:pPr>
            <w:r w:rsidRPr="00F32FFF">
              <w:t>$96,591</w:t>
            </w:r>
          </w:p>
        </w:tc>
        <w:tc>
          <w:tcPr>
            <w:tcW w:w="631" w:type="pct"/>
          </w:tcPr>
          <w:p w14:paraId="5E5DF5E0" w14:textId="77777777" w:rsidR="004F7554" w:rsidRPr="00F32FFF" w:rsidRDefault="004F7554" w:rsidP="0004596B">
            <w:pPr>
              <w:pStyle w:val="ARtabletextright"/>
            </w:pPr>
            <w:r w:rsidRPr="00F32FFF">
              <w:t>$77,272</w:t>
            </w:r>
          </w:p>
        </w:tc>
        <w:tc>
          <w:tcPr>
            <w:tcW w:w="655" w:type="pct"/>
          </w:tcPr>
          <w:p w14:paraId="55AE75F4" w14:textId="77777777" w:rsidR="004F7554" w:rsidRPr="00F32FFF" w:rsidRDefault="004F7554" w:rsidP="0004596B">
            <w:pPr>
              <w:pStyle w:val="ARtabletextright"/>
            </w:pPr>
            <w:r w:rsidRPr="00F32FFF">
              <w:t>$19,319</w:t>
            </w:r>
          </w:p>
        </w:tc>
      </w:tr>
      <w:tr w:rsidR="004F7554" w:rsidRPr="00F32FFF" w14:paraId="3D19D6EC" w14:textId="77777777" w:rsidTr="00DD775F">
        <w:trPr>
          <w:trHeight w:val="266"/>
        </w:trPr>
        <w:tc>
          <w:tcPr>
            <w:tcW w:w="1157" w:type="pct"/>
          </w:tcPr>
          <w:p w14:paraId="3176E4D8" w14:textId="77777777" w:rsidR="004F7554" w:rsidRPr="00F32FFF" w:rsidRDefault="004F7554" w:rsidP="009A0965">
            <w:pPr>
              <w:pStyle w:val="ARtabletext"/>
              <w:spacing w:line="220" w:lineRule="atLeast"/>
            </w:pPr>
            <w:r w:rsidRPr="00F32FFF">
              <w:t>Ernst &amp; Young Services Pty Ltd</w:t>
            </w:r>
          </w:p>
        </w:tc>
        <w:tc>
          <w:tcPr>
            <w:tcW w:w="1810" w:type="pct"/>
          </w:tcPr>
          <w:p w14:paraId="39360B09" w14:textId="77777777" w:rsidR="004F7554" w:rsidRPr="00F32FFF" w:rsidRDefault="004F7554" w:rsidP="009A0965">
            <w:pPr>
              <w:pStyle w:val="ARtabletext"/>
              <w:spacing w:line="220" w:lineRule="atLeast"/>
            </w:pPr>
            <w:r w:rsidRPr="00F32FFF">
              <w:t>Scoping of community-based accommodation infrastructure for people with complex needs</w:t>
            </w:r>
          </w:p>
        </w:tc>
        <w:tc>
          <w:tcPr>
            <w:tcW w:w="747" w:type="pct"/>
          </w:tcPr>
          <w:p w14:paraId="69522691" w14:textId="77777777" w:rsidR="004F7554" w:rsidRPr="00F32FFF" w:rsidRDefault="004F7554" w:rsidP="0004596B">
            <w:pPr>
              <w:pStyle w:val="ARtabletextright"/>
            </w:pPr>
            <w:r w:rsidRPr="00F32FFF">
              <w:t>$85,000</w:t>
            </w:r>
          </w:p>
        </w:tc>
        <w:tc>
          <w:tcPr>
            <w:tcW w:w="631" w:type="pct"/>
          </w:tcPr>
          <w:p w14:paraId="0F9E81C3" w14:textId="77777777" w:rsidR="004F7554" w:rsidRPr="00F32FFF" w:rsidRDefault="004F7554" w:rsidP="0004596B">
            <w:pPr>
              <w:pStyle w:val="ARtabletextright"/>
            </w:pPr>
            <w:r w:rsidRPr="00F32FFF">
              <w:t>$76,500</w:t>
            </w:r>
          </w:p>
        </w:tc>
        <w:tc>
          <w:tcPr>
            <w:tcW w:w="655" w:type="pct"/>
          </w:tcPr>
          <w:p w14:paraId="4EE4DDB2" w14:textId="77777777" w:rsidR="004F7554" w:rsidRPr="00F32FFF" w:rsidRDefault="004F7554" w:rsidP="0004596B">
            <w:pPr>
              <w:pStyle w:val="ARtabletextright"/>
            </w:pPr>
            <w:r w:rsidRPr="00F32FFF">
              <w:t>$8,500</w:t>
            </w:r>
          </w:p>
        </w:tc>
      </w:tr>
      <w:tr w:rsidR="004F7554" w:rsidRPr="00F32FFF" w14:paraId="4EFC6B22" w14:textId="77777777" w:rsidTr="00DD775F">
        <w:trPr>
          <w:trHeight w:val="266"/>
        </w:trPr>
        <w:tc>
          <w:tcPr>
            <w:tcW w:w="1157" w:type="pct"/>
          </w:tcPr>
          <w:p w14:paraId="2356ECBC" w14:textId="77777777" w:rsidR="004F7554" w:rsidRPr="00F32FFF" w:rsidRDefault="004F7554" w:rsidP="009A0965">
            <w:pPr>
              <w:pStyle w:val="ARtabletext"/>
              <w:spacing w:line="220" w:lineRule="atLeast"/>
            </w:pPr>
            <w:r w:rsidRPr="00F32FFF">
              <w:t>Dandolo Partners</w:t>
            </w:r>
          </w:p>
        </w:tc>
        <w:tc>
          <w:tcPr>
            <w:tcW w:w="1810" w:type="pct"/>
          </w:tcPr>
          <w:p w14:paraId="58C4A955" w14:textId="2EB676E3" w:rsidR="004F7554" w:rsidRPr="00F32FFF" w:rsidRDefault="004F7554" w:rsidP="009A0965">
            <w:pPr>
              <w:pStyle w:val="ARtabletext"/>
              <w:spacing w:line="220" w:lineRule="atLeast"/>
            </w:pPr>
            <w:r w:rsidRPr="00F32FFF">
              <w:t xml:space="preserve">Evaluation of the </w:t>
            </w:r>
            <w:r w:rsidRPr="00445355">
              <w:rPr>
                <w:i/>
              </w:rPr>
              <w:t xml:space="preserve">Victorian </w:t>
            </w:r>
            <w:r w:rsidR="00363CF3" w:rsidRPr="00363CF3">
              <w:rPr>
                <w:i/>
                <w:iCs/>
              </w:rPr>
              <w:t>carer strategy</w:t>
            </w:r>
            <w:r w:rsidRPr="00363CF3">
              <w:rPr>
                <w:i/>
              </w:rPr>
              <w:t xml:space="preserve"> </w:t>
            </w:r>
            <w:r w:rsidRPr="00445355">
              <w:rPr>
                <w:i/>
              </w:rPr>
              <w:t>2018</w:t>
            </w:r>
            <w:r w:rsidR="005B7C9B" w:rsidRPr="00445355">
              <w:rPr>
                <w:i/>
              </w:rPr>
              <w:t>–</w:t>
            </w:r>
            <w:r w:rsidRPr="00445355">
              <w:rPr>
                <w:i/>
              </w:rPr>
              <w:t>2022</w:t>
            </w:r>
          </w:p>
        </w:tc>
        <w:tc>
          <w:tcPr>
            <w:tcW w:w="747" w:type="pct"/>
          </w:tcPr>
          <w:p w14:paraId="0BA11532" w14:textId="77777777" w:rsidR="004F7554" w:rsidRPr="00F32FFF" w:rsidRDefault="004F7554" w:rsidP="0004596B">
            <w:pPr>
              <w:pStyle w:val="ARtabletextright"/>
            </w:pPr>
            <w:r w:rsidRPr="00F32FFF">
              <w:t>$99,305</w:t>
            </w:r>
          </w:p>
        </w:tc>
        <w:tc>
          <w:tcPr>
            <w:tcW w:w="631" w:type="pct"/>
          </w:tcPr>
          <w:p w14:paraId="3DB6E78C" w14:textId="77777777" w:rsidR="004F7554" w:rsidRPr="00F32FFF" w:rsidRDefault="004F7554" w:rsidP="0004596B">
            <w:pPr>
              <w:pStyle w:val="ARtabletextright"/>
            </w:pPr>
            <w:r w:rsidRPr="00F32FFF">
              <w:t>$74,479</w:t>
            </w:r>
          </w:p>
        </w:tc>
        <w:tc>
          <w:tcPr>
            <w:tcW w:w="655" w:type="pct"/>
          </w:tcPr>
          <w:p w14:paraId="2CDDAB2B" w14:textId="04323363" w:rsidR="004F7554" w:rsidRPr="00F32FFF" w:rsidRDefault="005B7C9B" w:rsidP="0004596B">
            <w:pPr>
              <w:pStyle w:val="ARtabletextright"/>
            </w:pPr>
            <w:r>
              <w:rPr>
                <w:rFonts w:ascii="Aptos Narrow" w:hAnsi="Aptos Narrow"/>
                <w:sz w:val="22"/>
                <w:szCs w:val="22"/>
              </w:rPr>
              <w:t>–</w:t>
            </w:r>
          </w:p>
        </w:tc>
      </w:tr>
      <w:tr w:rsidR="004F7554" w:rsidRPr="00F32FFF" w14:paraId="24020F2A" w14:textId="77777777" w:rsidTr="00DD775F">
        <w:trPr>
          <w:trHeight w:val="266"/>
        </w:trPr>
        <w:tc>
          <w:tcPr>
            <w:tcW w:w="1157" w:type="pct"/>
          </w:tcPr>
          <w:p w14:paraId="44A6E160" w14:textId="77777777" w:rsidR="004F7554" w:rsidRPr="00F32FFF" w:rsidRDefault="004F7554" w:rsidP="009A0965">
            <w:pPr>
              <w:pStyle w:val="ARtabletext"/>
              <w:spacing w:line="220" w:lineRule="atLeast"/>
            </w:pPr>
            <w:r w:rsidRPr="00F32FFF">
              <w:t>Artd Pty Ltd</w:t>
            </w:r>
          </w:p>
        </w:tc>
        <w:tc>
          <w:tcPr>
            <w:tcW w:w="1810" w:type="pct"/>
          </w:tcPr>
          <w:p w14:paraId="5120FA8A" w14:textId="7D6B8176" w:rsidR="004F7554" w:rsidRPr="00F32FFF" w:rsidRDefault="004F7554" w:rsidP="009A0965">
            <w:pPr>
              <w:pStyle w:val="ARtabletext"/>
              <w:spacing w:line="220" w:lineRule="atLeast"/>
            </w:pPr>
            <w:r w:rsidRPr="00F32FFF">
              <w:t xml:space="preserve">Family Violence Disability Practice Leaders Initiative </w:t>
            </w:r>
            <w:r w:rsidR="00363CF3">
              <w:t>e</w:t>
            </w:r>
            <w:r w:rsidR="00363CF3" w:rsidRPr="00F32FFF">
              <w:t>valuation</w:t>
            </w:r>
          </w:p>
        </w:tc>
        <w:tc>
          <w:tcPr>
            <w:tcW w:w="747" w:type="pct"/>
          </w:tcPr>
          <w:p w14:paraId="793851BA" w14:textId="77777777" w:rsidR="004F7554" w:rsidRPr="00F32FFF" w:rsidRDefault="004F7554" w:rsidP="0004596B">
            <w:pPr>
              <w:pStyle w:val="ARtabletextright"/>
            </w:pPr>
            <w:r w:rsidRPr="00F32FFF">
              <w:t>$219,413</w:t>
            </w:r>
          </w:p>
        </w:tc>
        <w:tc>
          <w:tcPr>
            <w:tcW w:w="631" w:type="pct"/>
          </w:tcPr>
          <w:p w14:paraId="00A4455C" w14:textId="77777777" w:rsidR="004F7554" w:rsidRPr="00F32FFF" w:rsidRDefault="004F7554" w:rsidP="0004596B">
            <w:pPr>
              <w:pStyle w:val="ARtabletextright"/>
            </w:pPr>
            <w:r w:rsidRPr="00F32FFF">
              <w:t>$72,727</w:t>
            </w:r>
          </w:p>
        </w:tc>
        <w:tc>
          <w:tcPr>
            <w:tcW w:w="655" w:type="pct"/>
          </w:tcPr>
          <w:p w14:paraId="39058668" w14:textId="77777777" w:rsidR="004F7554" w:rsidRPr="00F32FFF" w:rsidRDefault="004F7554" w:rsidP="0004596B">
            <w:pPr>
              <w:pStyle w:val="ARtabletextright"/>
            </w:pPr>
            <w:r w:rsidRPr="00F32FFF">
              <w:t>$69,413</w:t>
            </w:r>
          </w:p>
        </w:tc>
      </w:tr>
      <w:tr w:rsidR="004F7554" w:rsidRPr="00F32FFF" w14:paraId="7D798BD9" w14:textId="77777777" w:rsidTr="00DD775F">
        <w:trPr>
          <w:trHeight w:val="266"/>
        </w:trPr>
        <w:tc>
          <w:tcPr>
            <w:tcW w:w="1157" w:type="pct"/>
          </w:tcPr>
          <w:p w14:paraId="7E0C72DB" w14:textId="77777777" w:rsidR="004F7554" w:rsidRPr="00F32FFF" w:rsidRDefault="004F7554" w:rsidP="009A0965">
            <w:pPr>
              <w:pStyle w:val="ARtabletext"/>
              <w:spacing w:line="220" w:lineRule="atLeast"/>
            </w:pPr>
            <w:r w:rsidRPr="00F32FFF">
              <w:t>Deloitte Touche Tohmatsu</w:t>
            </w:r>
          </w:p>
        </w:tc>
        <w:tc>
          <w:tcPr>
            <w:tcW w:w="1810" w:type="pct"/>
          </w:tcPr>
          <w:p w14:paraId="3E9F2907" w14:textId="78FD7133" w:rsidR="004F7554" w:rsidRPr="00F32FFF" w:rsidRDefault="004F7554" w:rsidP="009A0965">
            <w:pPr>
              <w:pStyle w:val="ARtabletext"/>
              <w:spacing w:line="220" w:lineRule="atLeast"/>
            </w:pPr>
            <w:r w:rsidRPr="00F32FFF">
              <w:t xml:space="preserve">Feasibility study to model Family Reform </w:t>
            </w:r>
            <w:r w:rsidR="005B7C9B">
              <w:t>–</w:t>
            </w:r>
            <w:r w:rsidRPr="00F32FFF">
              <w:t xml:space="preserve"> Theoretical Framework and Projections to model the decline of family violence in</w:t>
            </w:r>
            <w:r w:rsidR="00367B98">
              <w:t> </w:t>
            </w:r>
            <w:r w:rsidRPr="00F32FFF">
              <w:t>Victoria</w:t>
            </w:r>
          </w:p>
        </w:tc>
        <w:tc>
          <w:tcPr>
            <w:tcW w:w="747" w:type="pct"/>
          </w:tcPr>
          <w:p w14:paraId="7AF5D9EA" w14:textId="77777777" w:rsidR="004F7554" w:rsidRPr="00F32FFF" w:rsidRDefault="004F7554" w:rsidP="0004596B">
            <w:pPr>
              <w:pStyle w:val="ARtabletextright"/>
            </w:pPr>
            <w:r w:rsidRPr="00F32FFF">
              <w:t>$176,245</w:t>
            </w:r>
          </w:p>
        </w:tc>
        <w:tc>
          <w:tcPr>
            <w:tcW w:w="631" w:type="pct"/>
          </w:tcPr>
          <w:p w14:paraId="44B5E72F" w14:textId="77777777" w:rsidR="004F7554" w:rsidRPr="00F32FFF" w:rsidRDefault="004F7554" w:rsidP="0004596B">
            <w:pPr>
              <w:pStyle w:val="ARtabletextright"/>
            </w:pPr>
            <w:r w:rsidRPr="00F32FFF">
              <w:t>$70,496</w:t>
            </w:r>
          </w:p>
        </w:tc>
        <w:tc>
          <w:tcPr>
            <w:tcW w:w="655" w:type="pct"/>
          </w:tcPr>
          <w:p w14:paraId="1172D59C" w14:textId="377C8A96" w:rsidR="004F7554" w:rsidRPr="00F32FFF" w:rsidRDefault="005B7C9B" w:rsidP="0004596B">
            <w:pPr>
              <w:pStyle w:val="ARtabletextright"/>
            </w:pPr>
            <w:r>
              <w:rPr>
                <w:rFonts w:ascii="Aptos Narrow" w:hAnsi="Aptos Narrow"/>
                <w:sz w:val="22"/>
                <w:szCs w:val="22"/>
              </w:rPr>
              <w:t>–</w:t>
            </w:r>
          </w:p>
        </w:tc>
      </w:tr>
      <w:tr w:rsidR="004F7554" w:rsidRPr="00F32FFF" w14:paraId="74CC9F46" w14:textId="77777777" w:rsidTr="00DD775F">
        <w:trPr>
          <w:trHeight w:val="266"/>
        </w:trPr>
        <w:tc>
          <w:tcPr>
            <w:tcW w:w="1157" w:type="pct"/>
          </w:tcPr>
          <w:p w14:paraId="3AF6FD4B" w14:textId="77777777" w:rsidR="004F7554" w:rsidRPr="00F32FFF" w:rsidRDefault="004F7554" w:rsidP="009A0965">
            <w:pPr>
              <w:pStyle w:val="ARtabletext"/>
              <w:spacing w:line="220" w:lineRule="atLeast"/>
            </w:pPr>
            <w:r w:rsidRPr="00F32FFF">
              <w:t>Genderworks Australia</w:t>
            </w:r>
          </w:p>
        </w:tc>
        <w:tc>
          <w:tcPr>
            <w:tcW w:w="1810" w:type="pct"/>
          </w:tcPr>
          <w:p w14:paraId="305FEAA8" w14:textId="3DFCD3C5" w:rsidR="004F7554" w:rsidRPr="00F32FFF" w:rsidRDefault="004F7554" w:rsidP="009A0965">
            <w:pPr>
              <w:pStyle w:val="ARtabletext"/>
              <w:spacing w:line="220" w:lineRule="atLeast"/>
            </w:pPr>
            <w:r w:rsidRPr="00F32FFF">
              <w:t>Gender impact assessment education and</w:t>
            </w:r>
            <w:r w:rsidR="001F5457">
              <w:t> </w:t>
            </w:r>
            <w:r w:rsidRPr="00F32FFF">
              <w:t>engagement tools in health and local</w:t>
            </w:r>
            <w:r w:rsidR="001F5457">
              <w:t> </w:t>
            </w:r>
            <w:r w:rsidRPr="00F32FFF">
              <w:t>government</w:t>
            </w:r>
          </w:p>
        </w:tc>
        <w:tc>
          <w:tcPr>
            <w:tcW w:w="747" w:type="pct"/>
          </w:tcPr>
          <w:p w14:paraId="6ABA02A6" w14:textId="77777777" w:rsidR="004F7554" w:rsidRPr="00F32FFF" w:rsidRDefault="004F7554" w:rsidP="0004596B">
            <w:pPr>
              <w:pStyle w:val="ARtabletextright"/>
            </w:pPr>
            <w:r w:rsidRPr="00F32FFF">
              <w:t>$78,000</w:t>
            </w:r>
          </w:p>
        </w:tc>
        <w:tc>
          <w:tcPr>
            <w:tcW w:w="631" w:type="pct"/>
          </w:tcPr>
          <w:p w14:paraId="7D048F6A" w14:textId="77777777" w:rsidR="004F7554" w:rsidRPr="00F32FFF" w:rsidRDefault="004F7554" w:rsidP="0004596B">
            <w:pPr>
              <w:pStyle w:val="ARtabletextright"/>
            </w:pPr>
            <w:r w:rsidRPr="00F32FFF">
              <w:t>$62,182</w:t>
            </w:r>
          </w:p>
        </w:tc>
        <w:tc>
          <w:tcPr>
            <w:tcW w:w="655" w:type="pct"/>
          </w:tcPr>
          <w:p w14:paraId="32FED20A" w14:textId="77777777" w:rsidR="004F7554" w:rsidRPr="00F32FFF" w:rsidRDefault="004F7554" w:rsidP="0004596B">
            <w:pPr>
              <w:pStyle w:val="ARtabletextright"/>
            </w:pPr>
            <w:r w:rsidRPr="00F32FFF">
              <w:t>$15,818</w:t>
            </w:r>
          </w:p>
        </w:tc>
      </w:tr>
      <w:tr w:rsidR="004F7554" w:rsidRPr="00F32FFF" w14:paraId="5335F526" w14:textId="77777777" w:rsidTr="00DD775F">
        <w:trPr>
          <w:trHeight w:val="266"/>
        </w:trPr>
        <w:tc>
          <w:tcPr>
            <w:tcW w:w="1157" w:type="pct"/>
          </w:tcPr>
          <w:p w14:paraId="690731DE" w14:textId="77777777" w:rsidR="004F7554" w:rsidRPr="00F32FFF" w:rsidRDefault="004F7554" w:rsidP="009A0965">
            <w:pPr>
              <w:pStyle w:val="ARtabletext"/>
              <w:spacing w:line="220" w:lineRule="atLeast"/>
            </w:pPr>
            <w:r w:rsidRPr="00F32FFF">
              <w:t>La Trobe University</w:t>
            </w:r>
          </w:p>
        </w:tc>
        <w:tc>
          <w:tcPr>
            <w:tcW w:w="1810" w:type="pct"/>
          </w:tcPr>
          <w:p w14:paraId="54111226" w14:textId="77777777" w:rsidR="004F7554" w:rsidRPr="00F32FFF" w:rsidRDefault="004F7554" w:rsidP="009A0965">
            <w:pPr>
              <w:pStyle w:val="ARtabletext"/>
              <w:spacing w:line="220" w:lineRule="atLeast"/>
            </w:pPr>
            <w:r w:rsidRPr="00F32FFF">
              <w:t>Client Voice Project</w:t>
            </w:r>
          </w:p>
        </w:tc>
        <w:tc>
          <w:tcPr>
            <w:tcW w:w="747" w:type="pct"/>
          </w:tcPr>
          <w:p w14:paraId="2DF2295A" w14:textId="77777777" w:rsidR="004F7554" w:rsidRPr="00F32FFF" w:rsidRDefault="004F7554" w:rsidP="0004596B">
            <w:pPr>
              <w:pStyle w:val="ARtabletextright"/>
            </w:pPr>
            <w:r w:rsidRPr="00F32FFF">
              <w:t>$282,864</w:t>
            </w:r>
          </w:p>
        </w:tc>
        <w:tc>
          <w:tcPr>
            <w:tcW w:w="631" w:type="pct"/>
          </w:tcPr>
          <w:p w14:paraId="3E292A9A" w14:textId="77777777" w:rsidR="004F7554" w:rsidRPr="00F32FFF" w:rsidRDefault="004F7554" w:rsidP="0004596B">
            <w:pPr>
              <w:pStyle w:val="ARtabletextright"/>
            </w:pPr>
            <w:r w:rsidRPr="00F32FFF">
              <w:t>$56,573</w:t>
            </w:r>
          </w:p>
        </w:tc>
        <w:tc>
          <w:tcPr>
            <w:tcW w:w="655" w:type="pct"/>
          </w:tcPr>
          <w:p w14:paraId="4C5425AB" w14:textId="77777777" w:rsidR="004F7554" w:rsidRPr="00F32FFF" w:rsidRDefault="004F7554" w:rsidP="0004596B">
            <w:pPr>
              <w:pStyle w:val="ARtabletextright"/>
            </w:pPr>
            <w:r w:rsidRPr="00F32FFF">
              <w:t>$56,573</w:t>
            </w:r>
          </w:p>
        </w:tc>
      </w:tr>
      <w:tr w:rsidR="004F7554" w:rsidRPr="00F32FFF" w14:paraId="17D2EF47" w14:textId="77777777" w:rsidTr="00DD775F">
        <w:trPr>
          <w:trHeight w:val="266"/>
        </w:trPr>
        <w:tc>
          <w:tcPr>
            <w:tcW w:w="1157" w:type="pct"/>
          </w:tcPr>
          <w:p w14:paraId="580A9F73" w14:textId="77777777" w:rsidR="004F7554" w:rsidRPr="00F32FFF" w:rsidRDefault="004F7554" w:rsidP="009A0965">
            <w:pPr>
              <w:pStyle w:val="ARtabletext"/>
              <w:spacing w:line="220" w:lineRule="atLeast"/>
            </w:pPr>
            <w:r w:rsidRPr="00F32FFF">
              <w:t>Jt. Production Management Pty Ltd</w:t>
            </w:r>
          </w:p>
        </w:tc>
        <w:tc>
          <w:tcPr>
            <w:tcW w:w="1810" w:type="pct"/>
          </w:tcPr>
          <w:p w14:paraId="2A93E727" w14:textId="107A52AD" w:rsidR="004F7554" w:rsidRPr="00F32FFF" w:rsidRDefault="004F7554" w:rsidP="009A0965">
            <w:pPr>
              <w:pStyle w:val="ARtabletext"/>
              <w:spacing w:line="220" w:lineRule="atLeast"/>
            </w:pPr>
            <w:r w:rsidRPr="00F32FFF">
              <w:t xml:space="preserve">Regional Advisory Forum </w:t>
            </w:r>
            <w:r w:rsidR="00363CF3" w:rsidRPr="00F32FFF">
              <w:t>event delivery</w:t>
            </w:r>
            <w:r w:rsidRPr="00F32FFF">
              <w:t xml:space="preserve"> and </w:t>
            </w:r>
            <w:r w:rsidR="00363CF3" w:rsidRPr="00F32FFF">
              <w:t>logistics</w:t>
            </w:r>
          </w:p>
        </w:tc>
        <w:tc>
          <w:tcPr>
            <w:tcW w:w="747" w:type="pct"/>
          </w:tcPr>
          <w:p w14:paraId="07179DFC" w14:textId="77777777" w:rsidR="004F7554" w:rsidRPr="00F32FFF" w:rsidRDefault="004F7554" w:rsidP="0004596B">
            <w:pPr>
              <w:pStyle w:val="ARtabletextright"/>
            </w:pPr>
            <w:r w:rsidRPr="00F32FFF">
              <w:t>$54,545</w:t>
            </w:r>
          </w:p>
        </w:tc>
        <w:tc>
          <w:tcPr>
            <w:tcW w:w="631" w:type="pct"/>
          </w:tcPr>
          <w:p w14:paraId="301485B8" w14:textId="77777777" w:rsidR="004F7554" w:rsidRPr="00F32FFF" w:rsidRDefault="004F7554" w:rsidP="0004596B">
            <w:pPr>
              <w:pStyle w:val="ARtabletextright"/>
            </w:pPr>
            <w:r w:rsidRPr="00F32FFF">
              <w:t>$54,076</w:t>
            </w:r>
          </w:p>
        </w:tc>
        <w:tc>
          <w:tcPr>
            <w:tcW w:w="655" w:type="pct"/>
          </w:tcPr>
          <w:p w14:paraId="1E5AAE06" w14:textId="2A8DB508" w:rsidR="004F7554" w:rsidRPr="00F32FFF" w:rsidRDefault="005B7C9B" w:rsidP="0004596B">
            <w:pPr>
              <w:pStyle w:val="ARtabletextright"/>
            </w:pPr>
            <w:r>
              <w:rPr>
                <w:rFonts w:ascii="Aptos Narrow" w:hAnsi="Aptos Narrow"/>
                <w:sz w:val="22"/>
                <w:szCs w:val="22"/>
              </w:rPr>
              <w:t>–</w:t>
            </w:r>
          </w:p>
        </w:tc>
      </w:tr>
      <w:tr w:rsidR="004F7554" w:rsidRPr="00F32FFF" w14:paraId="6EA170B3" w14:textId="77777777" w:rsidTr="00DD775F">
        <w:trPr>
          <w:trHeight w:val="266"/>
        </w:trPr>
        <w:tc>
          <w:tcPr>
            <w:tcW w:w="1157" w:type="pct"/>
          </w:tcPr>
          <w:p w14:paraId="12323B21" w14:textId="77777777" w:rsidR="004F7554" w:rsidRPr="00F32FFF" w:rsidRDefault="004F7554" w:rsidP="009A0965">
            <w:pPr>
              <w:pStyle w:val="ARtabletext"/>
              <w:spacing w:line="220" w:lineRule="atLeast"/>
            </w:pPr>
            <w:r w:rsidRPr="00F32FFF">
              <w:t>KPMG</w:t>
            </w:r>
          </w:p>
        </w:tc>
        <w:tc>
          <w:tcPr>
            <w:tcW w:w="1810" w:type="pct"/>
          </w:tcPr>
          <w:p w14:paraId="2C132DA4" w14:textId="40605795" w:rsidR="004F7554" w:rsidRPr="00F32FFF" w:rsidRDefault="004F7554" w:rsidP="009A0965">
            <w:pPr>
              <w:pStyle w:val="ARtabletext"/>
              <w:spacing w:line="220" w:lineRule="atLeast"/>
            </w:pPr>
            <w:r w:rsidRPr="00F32FFF">
              <w:t xml:space="preserve">Update of the KPMG </w:t>
            </w:r>
            <w:r w:rsidR="00363CF3" w:rsidRPr="00F32FFF">
              <w:t>cost</w:t>
            </w:r>
            <w:r w:rsidRPr="00F32FFF">
              <w:t xml:space="preserve"> of </w:t>
            </w:r>
            <w:r w:rsidR="00363CF3" w:rsidRPr="00F32FFF">
              <w:t>family violence report</w:t>
            </w:r>
          </w:p>
        </w:tc>
        <w:tc>
          <w:tcPr>
            <w:tcW w:w="747" w:type="pct"/>
          </w:tcPr>
          <w:p w14:paraId="76CABF72" w14:textId="77777777" w:rsidR="004F7554" w:rsidRPr="00F32FFF" w:rsidRDefault="004F7554" w:rsidP="0004596B">
            <w:pPr>
              <w:pStyle w:val="ARtabletextright"/>
            </w:pPr>
            <w:r w:rsidRPr="00F32FFF">
              <w:t>$204,367</w:t>
            </w:r>
          </w:p>
        </w:tc>
        <w:tc>
          <w:tcPr>
            <w:tcW w:w="631" w:type="pct"/>
          </w:tcPr>
          <w:p w14:paraId="5B1F7492" w14:textId="77777777" w:rsidR="004F7554" w:rsidRPr="00F32FFF" w:rsidRDefault="004F7554" w:rsidP="0004596B">
            <w:pPr>
              <w:pStyle w:val="ARtabletextright"/>
            </w:pPr>
            <w:r w:rsidRPr="00F32FFF">
              <w:t>$53,962</w:t>
            </w:r>
          </w:p>
        </w:tc>
        <w:tc>
          <w:tcPr>
            <w:tcW w:w="655" w:type="pct"/>
          </w:tcPr>
          <w:p w14:paraId="60C7DE21" w14:textId="15B3E3CC" w:rsidR="004F7554" w:rsidRPr="00F32FFF" w:rsidRDefault="005B7C9B" w:rsidP="0004596B">
            <w:pPr>
              <w:pStyle w:val="ARtabletextright"/>
            </w:pPr>
            <w:r>
              <w:rPr>
                <w:rFonts w:ascii="Aptos Narrow" w:hAnsi="Aptos Narrow"/>
                <w:sz w:val="22"/>
                <w:szCs w:val="22"/>
              </w:rPr>
              <w:t>–</w:t>
            </w:r>
          </w:p>
        </w:tc>
      </w:tr>
      <w:tr w:rsidR="004F7554" w:rsidRPr="00F32FFF" w14:paraId="662DCEEE" w14:textId="77777777" w:rsidTr="00DD775F">
        <w:trPr>
          <w:trHeight w:val="266"/>
        </w:trPr>
        <w:tc>
          <w:tcPr>
            <w:tcW w:w="1157" w:type="pct"/>
          </w:tcPr>
          <w:p w14:paraId="426D85A1" w14:textId="77777777" w:rsidR="004F7554" w:rsidRPr="00F32FFF" w:rsidRDefault="004F7554" w:rsidP="009A0965">
            <w:pPr>
              <w:pStyle w:val="ARtabletext"/>
              <w:spacing w:line="220" w:lineRule="atLeast"/>
            </w:pPr>
            <w:r w:rsidRPr="00F32FFF">
              <w:t>Urbis</w:t>
            </w:r>
          </w:p>
        </w:tc>
        <w:tc>
          <w:tcPr>
            <w:tcW w:w="1810" w:type="pct"/>
          </w:tcPr>
          <w:p w14:paraId="7EAC3C0A" w14:textId="77777777" w:rsidR="004F7554" w:rsidRPr="00F32FFF" w:rsidRDefault="004F7554" w:rsidP="009A0965">
            <w:pPr>
              <w:pStyle w:val="ARtabletext"/>
              <w:spacing w:line="220" w:lineRule="atLeast"/>
            </w:pPr>
            <w:r w:rsidRPr="00F32FFF">
              <w:t>Indigenous Family Violence Primary Prevention Framework refresh</w:t>
            </w:r>
          </w:p>
        </w:tc>
        <w:tc>
          <w:tcPr>
            <w:tcW w:w="747" w:type="pct"/>
          </w:tcPr>
          <w:p w14:paraId="30884192" w14:textId="77777777" w:rsidR="004F7554" w:rsidRPr="00F32FFF" w:rsidRDefault="004F7554" w:rsidP="0004596B">
            <w:pPr>
              <w:pStyle w:val="ARtabletextright"/>
            </w:pPr>
            <w:r w:rsidRPr="00F32FFF">
              <w:t>$90,842</w:t>
            </w:r>
          </w:p>
        </w:tc>
        <w:tc>
          <w:tcPr>
            <w:tcW w:w="631" w:type="pct"/>
          </w:tcPr>
          <w:p w14:paraId="76485447" w14:textId="77777777" w:rsidR="004F7554" w:rsidRPr="00F32FFF" w:rsidRDefault="004F7554" w:rsidP="0004596B">
            <w:pPr>
              <w:pStyle w:val="ARtabletextright"/>
            </w:pPr>
            <w:r w:rsidRPr="00F32FFF">
              <w:t>$53,861</w:t>
            </w:r>
          </w:p>
        </w:tc>
        <w:tc>
          <w:tcPr>
            <w:tcW w:w="655" w:type="pct"/>
          </w:tcPr>
          <w:p w14:paraId="4FD62A9E" w14:textId="77777777" w:rsidR="004F7554" w:rsidRPr="00F32FFF" w:rsidRDefault="004F7554" w:rsidP="0004596B">
            <w:pPr>
              <w:pStyle w:val="ARtabletextright"/>
            </w:pPr>
            <w:r w:rsidRPr="00F32FFF">
              <w:t>$36,981</w:t>
            </w:r>
          </w:p>
        </w:tc>
      </w:tr>
      <w:tr w:rsidR="004F7554" w:rsidRPr="00F32FFF" w14:paraId="0CA74B18" w14:textId="77777777" w:rsidTr="00DD775F">
        <w:trPr>
          <w:trHeight w:val="266"/>
        </w:trPr>
        <w:tc>
          <w:tcPr>
            <w:tcW w:w="1157" w:type="pct"/>
          </w:tcPr>
          <w:p w14:paraId="06687102" w14:textId="77777777" w:rsidR="004F7554" w:rsidRPr="00F32FFF" w:rsidRDefault="004F7554" w:rsidP="009A0965">
            <w:pPr>
              <w:pStyle w:val="ARtabletext"/>
              <w:spacing w:line="220" w:lineRule="atLeast"/>
            </w:pPr>
            <w:r w:rsidRPr="00F32FFF">
              <w:t>Acton Advisory Pty Ltd</w:t>
            </w:r>
          </w:p>
        </w:tc>
        <w:tc>
          <w:tcPr>
            <w:tcW w:w="1810" w:type="pct"/>
          </w:tcPr>
          <w:p w14:paraId="6FC40675" w14:textId="77777777" w:rsidR="004F7554" w:rsidRPr="00367B98" w:rsidRDefault="004F7554" w:rsidP="009A0965">
            <w:pPr>
              <w:pStyle w:val="ARtabletext"/>
              <w:spacing w:line="220" w:lineRule="atLeast"/>
              <w:rPr>
                <w:spacing w:val="-6"/>
              </w:rPr>
            </w:pPr>
            <w:r w:rsidRPr="00367B98">
              <w:rPr>
                <w:spacing w:val="-6"/>
              </w:rPr>
              <w:t>Victorian Specialist Disability Accommodation</w:t>
            </w:r>
          </w:p>
        </w:tc>
        <w:tc>
          <w:tcPr>
            <w:tcW w:w="747" w:type="pct"/>
          </w:tcPr>
          <w:p w14:paraId="4E38A134" w14:textId="77777777" w:rsidR="004F7554" w:rsidRPr="00F32FFF" w:rsidRDefault="004F7554" w:rsidP="0004596B">
            <w:pPr>
              <w:pStyle w:val="ARtabletextright"/>
            </w:pPr>
            <w:r w:rsidRPr="00F32FFF">
              <w:t>$135,000</w:t>
            </w:r>
          </w:p>
        </w:tc>
        <w:tc>
          <w:tcPr>
            <w:tcW w:w="631" w:type="pct"/>
          </w:tcPr>
          <w:p w14:paraId="6D8D148A" w14:textId="77777777" w:rsidR="004F7554" w:rsidRPr="00F32FFF" w:rsidRDefault="004F7554" w:rsidP="0004596B">
            <w:pPr>
              <w:pStyle w:val="ARtabletextright"/>
            </w:pPr>
            <w:r w:rsidRPr="00F32FFF">
              <w:t>$47,275</w:t>
            </w:r>
          </w:p>
        </w:tc>
        <w:tc>
          <w:tcPr>
            <w:tcW w:w="655" w:type="pct"/>
          </w:tcPr>
          <w:p w14:paraId="5859EB5E" w14:textId="1E071FFC" w:rsidR="004F7554" w:rsidRPr="00F32FFF" w:rsidRDefault="005B7C9B" w:rsidP="0004596B">
            <w:pPr>
              <w:pStyle w:val="ARtabletextright"/>
            </w:pPr>
            <w:r>
              <w:rPr>
                <w:rFonts w:ascii="Aptos Narrow" w:hAnsi="Aptos Narrow"/>
                <w:sz w:val="22"/>
                <w:szCs w:val="22"/>
              </w:rPr>
              <w:t>–</w:t>
            </w:r>
          </w:p>
        </w:tc>
      </w:tr>
      <w:tr w:rsidR="004F7554" w:rsidRPr="00F32FFF" w14:paraId="7D9146EB" w14:textId="77777777" w:rsidTr="00DD775F">
        <w:trPr>
          <w:trHeight w:val="266"/>
        </w:trPr>
        <w:tc>
          <w:tcPr>
            <w:tcW w:w="1157" w:type="pct"/>
          </w:tcPr>
          <w:p w14:paraId="08F89850" w14:textId="77777777" w:rsidR="004F7554" w:rsidRPr="008060B1" w:rsidRDefault="004F7554" w:rsidP="008060B1">
            <w:pPr>
              <w:pStyle w:val="ARtabletext"/>
            </w:pPr>
            <w:r w:rsidRPr="00F32FFF">
              <w:t>Andrew Crisp</w:t>
            </w:r>
          </w:p>
        </w:tc>
        <w:tc>
          <w:tcPr>
            <w:tcW w:w="1810" w:type="pct"/>
          </w:tcPr>
          <w:p w14:paraId="43F7D834" w14:textId="79DA5775" w:rsidR="004F7554" w:rsidRPr="00F32FFF" w:rsidRDefault="004F7554" w:rsidP="008060B1">
            <w:pPr>
              <w:pStyle w:val="ARtabletext"/>
            </w:pPr>
            <w:r w:rsidRPr="00F32FFF">
              <w:t xml:space="preserve">Alternative Service Model </w:t>
            </w:r>
            <w:r w:rsidR="005B7C9B">
              <w:t>–</w:t>
            </w:r>
            <w:r w:rsidRPr="00F32FFF">
              <w:t xml:space="preserve"> Independent Review Panel engagement </w:t>
            </w:r>
          </w:p>
        </w:tc>
        <w:tc>
          <w:tcPr>
            <w:tcW w:w="747" w:type="pct"/>
          </w:tcPr>
          <w:p w14:paraId="162E2400" w14:textId="77777777" w:rsidR="004F7554" w:rsidRPr="00F32FFF" w:rsidRDefault="004F7554" w:rsidP="0004596B">
            <w:pPr>
              <w:pStyle w:val="ARtabletextright"/>
            </w:pPr>
            <w:r w:rsidRPr="00F32FFF">
              <w:t>$90,909</w:t>
            </w:r>
          </w:p>
        </w:tc>
        <w:tc>
          <w:tcPr>
            <w:tcW w:w="631" w:type="pct"/>
          </w:tcPr>
          <w:p w14:paraId="0327D711" w14:textId="77777777" w:rsidR="004F7554" w:rsidRPr="00F32FFF" w:rsidRDefault="004F7554" w:rsidP="0004596B">
            <w:pPr>
              <w:pStyle w:val="ARtabletextright"/>
            </w:pPr>
            <w:r w:rsidRPr="00F32FFF">
              <w:t>$44,200</w:t>
            </w:r>
          </w:p>
        </w:tc>
        <w:tc>
          <w:tcPr>
            <w:tcW w:w="655" w:type="pct"/>
          </w:tcPr>
          <w:p w14:paraId="2A724A18" w14:textId="77777777" w:rsidR="004F7554" w:rsidRPr="00F32FFF" w:rsidRDefault="004F7554" w:rsidP="0004596B">
            <w:pPr>
              <w:pStyle w:val="ARtabletextright"/>
            </w:pPr>
            <w:r w:rsidRPr="00F32FFF">
              <w:t>$46,709</w:t>
            </w:r>
          </w:p>
        </w:tc>
      </w:tr>
      <w:tr w:rsidR="004F7554" w:rsidRPr="00F32FFF" w14:paraId="3E85F1BF" w14:textId="77777777" w:rsidTr="00DD775F">
        <w:trPr>
          <w:trHeight w:val="266"/>
        </w:trPr>
        <w:tc>
          <w:tcPr>
            <w:tcW w:w="1157" w:type="pct"/>
          </w:tcPr>
          <w:p w14:paraId="495AB229" w14:textId="77777777" w:rsidR="004F7554" w:rsidRPr="00F32FFF" w:rsidRDefault="004F7554" w:rsidP="008060B1">
            <w:pPr>
              <w:pStyle w:val="ARtabletext"/>
            </w:pPr>
            <w:r w:rsidRPr="008060B1">
              <w:t>KPMG</w:t>
            </w:r>
          </w:p>
        </w:tc>
        <w:tc>
          <w:tcPr>
            <w:tcW w:w="1810" w:type="pct"/>
          </w:tcPr>
          <w:p w14:paraId="3771B46C" w14:textId="12BCD2D9" w:rsidR="004F7554" w:rsidRPr="00F32FFF" w:rsidRDefault="004F7554" w:rsidP="008060B1">
            <w:pPr>
              <w:pStyle w:val="ARtabletext"/>
            </w:pPr>
            <w:r w:rsidRPr="00F32FFF">
              <w:t>Free pads and tampons in public places</w:t>
            </w:r>
            <w:r w:rsidR="00A60C31">
              <w:t> </w:t>
            </w:r>
            <w:r w:rsidRPr="008060B1">
              <w:t>initiative</w:t>
            </w:r>
          </w:p>
        </w:tc>
        <w:tc>
          <w:tcPr>
            <w:tcW w:w="747" w:type="pct"/>
          </w:tcPr>
          <w:p w14:paraId="202371CC" w14:textId="77777777" w:rsidR="004F7554" w:rsidRPr="00F32FFF" w:rsidRDefault="004F7554" w:rsidP="0004596B">
            <w:pPr>
              <w:pStyle w:val="ARtabletextright"/>
            </w:pPr>
            <w:r w:rsidRPr="00F32FFF">
              <w:t>$272,727</w:t>
            </w:r>
          </w:p>
        </w:tc>
        <w:tc>
          <w:tcPr>
            <w:tcW w:w="631" w:type="pct"/>
          </w:tcPr>
          <w:p w14:paraId="0AD15B6E" w14:textId="77777777" w:rsidR="004F7554" w:rsidRPr="00F32FFF" w:rsidRDefault="004F7554" w:rsidP="0004596B">
            <w:pPr>
              <w:pStyle w:val="ARtabletextright"/>
            </w:pPr>
            <w:r w:rsidRPr="00F32FFF">
              <w:t>$43,920</w:t>
            </w:r>
          </w:p>
        </w:tc>
        <w:tc>
          <w:tcPr>
            <w:tcW w:w="655" w:type="pct"/>
          </w:tcPr>
          <w:p w14:paraId="1CAD46E8" w14:textId="77777777" w:rsidR="004F7554" w:rsidRPr="00F32FFF" w:rsidRDefault="004F7554" w:rsidP="0004596B">
            <w:pPr>
              <w:pStyle w:val="ARtabletextright"/>
            </w:pPr>
            <w:r w:rsidRPr="00F32FFF">
              <w:t>$16,304</w:t>
            </w:r>
          </w:p>
        </w:tc>
      </w:tr>
      <w:tr w:rsidR="004F7554" w:rsidRPr="00F32FFF" w14:paraId="7456310D" w14:textId="77777777" w:rsidTr="00DD775F">
        <w:trPr>
          <w:trHeight w:val="266"/>
        </w:trPr>
        <w:tc>
          <w:tcPr>
            <w:tcW w:w="1157" w:type="pct"/>
          </w:tcPr>
          <w:p w14:paraId="33980075" w14:textId="77777777" w:rsidR="004F7554" w:rsidRPr="00F32FFF" w:rsidRDefault="004F7554" w:rsidP="009A0965">
            <w:pPr>
              <w:pStyle w:val="ARtabletext"/>
              <w:spacing w:line="220" w:lineRule="atLeast"/>
            </w:pPr>
            <w:r w:rsidRPr="00F32FFF">
              <w:t>Clear Horizon Consulting Pty Ltd</w:t>
            </w:r>
          </w:p>
        </w:tc>
        <w:tc>
          <w:tcPr>
            <w:tcW w:w="1810" w:type="pct"/>
          </w:tcPr>
          <w:p w14:paraId="69565AB3" w14:textId="77777777" w:rsidR="004F7554" w:rsidRPr="00A60C31" w:rsidRDefault="004F7554" w:rsidP="009A0965">
            <w:pPr>
              <w:pStyle w:val="ARtabletext"/>
              <w:spacing w:line="220" w:lineRule="atLeast"/>
              <w:rPr>
                <w:spacing w:val="-6"/>
              </w:rPr>
            </w:pPr>
            <w:r w:rsidRPr="00A60C31">
              <w:rPr>
                <w:spacing w:val="-6"/>
              </w:rPr>
              <w:t>Community Capacity Building Initiatives and Paving the Way Forward program evaluation</w:t>
            </w:r>
          </w:p>
        </w:tc>
        <w:tc>
          <w:tcPr>
            <w:tcW w:w="747" w:type="pct"/>
          </w:tcPr>
          <w:p w14:paraId="30E268D5" w14:textId="77777777" w:rsidR="004F7554" w:rsidRPr="00F32FFF" w:rsidRDefault="004F7554" w:rsidP="0004596B">
            <w:pPr>
              <w:pStyle w:val="ARtabletextright"/>
            </w:pPr>
            <w:r w:rsidRPr="00F32FFF">
              <w:t>$208,940</w:t>
            </w:r>
          </w:p>
        </w:tc>
        <w:tc>
          <w:tcPr>
            <w:tcW w:w="631" w:type="pct"/>
          </w:tcPr>
          <w:p w14:paraId="78DC8B1E" w14:textId="77777777" w:rsidR="004F7554" w:rsidRPr="00F32FFF" w:rsidRDefault="004F7554" w:rsidP="0004596B">
            <w:pPr>
              <w:pStyle w:val="ARtabletextright"/>
            </w:pPr>
            <w:r w:rsidRPr="00F32FFF">
              <w:t>$42,650</w:t>
            </w:r>
          </w:p>
        </w:tc>
        <w:tc>
          <w:tcPr>
            <w:tcW w:w="655" w:type="pct"/>
          </w:tcPr>
          <w:p w14:paraId="3FD1F2A3" w14:textId="6593858E" w:rsidR="004F7554" w:rsidRPr="00F32FFF" w:rsidRDefault="005B7C9B" w:rsidP="0004596B">
            <w:pPr>
              <w:pStyle w:val="ARtabletextright"/>
            </w:pPr>
            <w:r>
              <w:rPr>
                <w:rFonts w:ascii="Aptos Narrow" w:hAnsi="Aptos Narrow"/>
                <w:sz w:val="22"/>
                <w:szCs w:val="22"/>
              </w:rPr>
              <w:t>–</w:t>
            </w:r>
          </w:p>
        </w:tc>
      </w:tr>
      <w:tr w:rsidR="004F7554" w:rsidRPr="00F32FFF" w14:paraId="41A0E15A" w14:textId="77777777" w:rsidTr="00DD775F">
        <w:trPr>
          <w:trHeight w:val="266"/>
        </w:trPr>
        <w:tc>
          <w:tcPr>
            <w:tcW w:w="1157" w:type="pct"/>
          </w:tcPr>
          <w:p w14:paraId="29A4B7C2" w14:textId="77777777" w:rsidR="004F7554" w:rsidRPr="00F32FFF" w:rsidRDefault="004F7554" w:rsidP="009A0965">
            <w:pPr>
              <w:pStyle w:val="ARtabletext"/>
              <w:spacing w:line="220" w:lineRule="atLeast"/>
            </w:pPr>
            <w:r w:rsidRPr="00F32FFF">
              <w:t>David Caple &amp; Associates Pty Ltd</w:t>
            </w:r>
          </w:p>
        </w:tc>
        <w:tc>
          <w:tcPr>
            <w:tcW w:w="1810" w:type="pct"/>
          </w:tcPr>
          <w:p w14:paraId="2F2A6704" w14:textId="77777777" w:rsidR="004F7554" w:rsidRPr="00F32FFF" w:rsidRDefault="004F7554" w:rsidP="009A0965">
            <w:pPr>
              <w:pStyle w:val="ARtabletext"/>
              <w:spacing w:line="220" w:lineRule="atLeast"/>
            </w:pPr>
            <w:r w:rsidRPr="00F32FFF">
              <w:t>Occupational Health and Safety Risk Assessment at Intensive Residential Treatment Program (IRTP)</w:t>
            </w:r>
          </w:p>
        </w:tc>
        <w:tc>
          <w:tcPr>
            <w:tcW w:w="747" w:type="pct"/>
          </w:tcPr>
          <w:p w14:paraId="08BEE09E" w14:textId="77777777" w:rsidR="004F7554" w:rsidRPr="00F32FFF" w:rsidRDefault="004F7554" w:rsidP="0004596B">
            <w:pPr>
              <w:pStyle w:val="ARtabletextright"/>
            </w:pPr>
            <w:r w:rsidRPr="00F32FFF">
              <w:t>$41,811</w:t>
            </w:r>
          </w:p>
        </w:tc>
        <w:tc>
          <w:tcPr>
            <w:tcW w:w="631" w:type="pct"/>
          </w:tcPr>
          <w:p w14:paraId="1DBBD0E9" w14:textId="77777777" w:rsidR="004F7554" w:rsidRPr="00F32FFF" w:rsidRDefault="004F7554" w:rsidP="0004596B">
            <w:pPr>
              <w:pStyle w:val="ARtabletextright"/>
            </w:pPr>
            <w:r w:rsidRPr="00F32FFF">
              <w:t>$41,811</w:t>
            </w:r>
          </w:p>
        </w:tc>
        <w:tc>
          <w:tcPr>
            <w:tcW w:w="655" w:type="pct"/>
          </w:tcPr>
          <w:p w14:paraId="494A475F" w14:textId="70E87DAA" w:rsidR="004F7554" w:rsidRPr="00F32FFF" w:rsidRDefault="005B7C9B" w:rsidP="0004596B">
            <w:pPr>
              <w:pStyle w:val="ARtabletextright"/>
            </w:pPr>
            <w:r>
              <w:rPr>
                <w:rFonts w:ascii="Aptos Narrow" w:hAnsi="Aptos Narrow"/>
                <w:sz w:val="22"/>
                <w:szCs w:val="22"/>
              </w:rPr>
              <w:t>–</w:t>
            </w:r>
          </w:p>
        </w:tc>
      </w:tr>
      <w:tr w:rsidR="004F7554" w:rsidRPr="00F32FFF" w14:paraId="17642A0A" w14:textId="77777777" w:rsidTr="00DD775F">
        <w:trPr>
          <w:trHeight w:val="266"/>
        </w:trPr>
        <w:tc>
          <w:tcPr>
            <w:tcW w:w="1157" w:type="pct"/>
          </w:tcPr>
          <w:p w14:paraId="53F20B5E" w14:textId="77777777" w:rsidR="004F7554" w:rsidRPr="00F32FFF" w:rsidRDefault="004F7554" w:rsidP="009A0965">
            <w:pPr>
              <w:pStyle w:val="ARtabletext"/>
              <w:spacing w:line="220" w:lineRule="atLeast"/>
            </w:pPr>
            <w:bookmarkStart w:id="210" w:name="MonashUniversitypg100"/>
            <w:r w:rsidRPr="00F32FFF">
              <w:t>Monash University</w:t>
            </w:r>
            <w:bookmarkEnd w:id="210"/>
          </w:p>
        </w:tc>
        <w:tc>
          <w:tcPr>
            <w:tcW w:w="1810" w:type="pct"/>
          </w:tcPr>
          <w:p w14:paraId="07AAEE8B" w14:textId="651A1674" w:rsidR="004F7554" w:rsidRPr="00F32FFF" w:rsidRDefault="004F7554" w:rsidP="009A0965">
            <w:pPr>
              <w:pStyle w:val="ARtabletext"/>
              <w:spacing w:line="220" w:lineRule="atLeast"/>
            </w:pPr>
            <w:r w:rsidRPr="00F32FFF">
              <w:t>MARAM 5-year evidence review of</w:t>
            </w:r>
            <w:r w:rsidR="00A60C31">
              <w:t> </w:t>
            </w:r>
            <w:r w:rsidRPr="00F32FFF">
              <w:t>risk</w:t>
            </w:r>
            <w:r w:rsidR="006E2F2E">
              <w:t> </w:t>
            </w:r>
            <w:r w:rsidRPr="00F32FFF">
              <w:t>factors</w:t>
            </w:r>
          </w:p>
        </w:tc>
        <w:tc>
          <w:tcPr>
            <w:tcW w:w="747" w:type="pct"/>
          </w:tcPr>
          <w:p w14:paraId="438DF25C" w14:textId="77777777" w:rsidR="004F7554" w:rsidRPr="00F32FFF" w:rsidRDefault="004F7554" w:rsidP="0004596B">
            <w:pPr>
              <w:pStyle w:val="ARtabletextright"/>
            </w:pPr>
            <w:r w:rsidRPr="00F32FFF">
              <w:t>$58,182</w:t>
            </w:r>
          </w:p>
        </w:tc>
        <w:tc>
          <w:tcPr>
            <w:tcW w:w="631" w:type="pct"/>
          </w:tcPr>
          <w:p w14:paraId="37977F2D" w14:textId="77777777" w:rsidR="004F7554" w:rsidRPr="00F32FFF" w:rsidRDefault="004F7554" w:rsidP="0004596B">
            <w:pPr>
              <w:pStyle w:val="ARtabletextright"/>
            </w:pPr>
            <w:r w:rsidRPr="00F32FFF">
              <w:t>$39,617</w:t>
            </w:r>
          </w:p>
        </w:tc>
        <w:tc>
          <w:tcPr>
            <w:tcW w:w="655" w:type="pct"/>
          </w:tcPr>
          <w:p w14:paraId="49F6AD53" w14:textId="77777777" w:rsidR="004F7554" w:rsidRPr="00F32FFF" w:rsidRDefault="004F7554" w:rsidP="0004596B">
            <w:pPr>
              <w:pStyle w:val="ARtabletextright"/>
            </w:pPr>
            <w:r w:rsidRPr="00F32FFF">
              <w:t>$18,565</w:t>
            </w:r>
          </w:p>
        </w:tc>
      </w:tr>
      <w:tr w:rsidR="004F7554" w:rsidRPr="00F32FFF" w14:paraId="1BEF7184" w14:textId="77777777" w:rsidTr="00DD775F">
        <w:trPr>
          <w:trHeight w:val="266"/>
        </w:trPr>
        <w:tc>
          <w:tcPr>
            <w:tcW w:w="1157" w:type="pct"/>
          </w:tcPr>
          <w:p w14:paraId="78AD6FC9" w14:textId="77777777" w:rsidR="004F7554" w:rsidRPr="00F32FFF" w:rsidRDefault="004F7554" w:rsidP="009A0965">
            <w:pPr>
              <w:pStyle w:val="ARtabletext"/>
              <w:spacing w:line="220" w:lineRule="atLeast"/>
            </w:pPr>
            <w:r w:rsidRPr="00F32FFF">
              <w:t>BDO</w:t>
            </w:r>
          </w:p>
        </w:tc>
        <w:tc>
          <w:tcPr>
            <w:tcW w:w="1810" w:type="pct"/>
          </w:tcPr>
          <w:p w14:paraId="30A66E07" w14:textId="118A908C" w:rsidR="004F7554" w:rsidRPr="00F32FFF" w:rsidRDefault="004F7554" w:rsidP="009A0965">
            <w:pPr>
              <w:pStyle w:val="ARtabletext"/>
              <w:spacing w:line="220" w:lineRule="atLeast"/>
            </w:pPr>
            <w:r w:rsidRPr="00F32FFF">
              <w:t xml:space="preserve">Corporate </w:t>
            </w:r>
            <w:r w:rsidR="00363CF3" w:rsidRPr="00F32FFF">
              <w:t>overhead allocation</w:t>
            </w:r>
            <w:r w:rsidR="00363CF3">
              <w:t> </w:t>
            </w:r>
            <w:r w:rsidR="00363CF3" w:rsidRPr="00F32FFF">
              <w:t>methodology</w:t>
            </w:r>
          </w:p>
        </w:tc>
        <w:tc>
          <w:tcPr>
            <w:tcW w:w="747" w:type="pct"/>
          </w:tcPr>
          <w:p w14:paraId="7BD7CDB1" w14:textId="77777777" w:rsidR="004F7554" w:rsidRPr="00F32FFF" w:rsidRDefault="004F7554" w:rsidP="0004596B">
            <w:pPr>
              <w:pStyle w:val="ARtabletextright"/>
            </w:pPr>
            <w:r w:rsidRPr="00F32FFF">
              <w:t>$209,724</w:t>
            </w:r>
          </w:p>
        </w:tc>
        <w:tc>
          <w:tcPr>
            <w:tcW w:w="631" w:type="pct"/>
          </w:tcPr>
          <w:p w14:paraId="20FB06A0" w14:textId="77777777" w:rsidR="004F7554" w:rsidRPr="00F32FFF" w:rsidRDefault="004F7554" w:rsidP="0004596B">
            <w:pPr>
              <w:pStyle w:val="ARtabletextright"/>
            </w:pPr>
            <w:r w:rsidRPr="00F32FFF">
              <w:t>$37,695</w:t>
            </w:r>
          </w:p>
        </w:tc>
        <w:tc>
          <w:tcPr>
            <w:tcW w:w="655" w:type="pct"/>
          </w:tcPr>
          <w:p w14:paraId="5939DD66" w14:textId="1144D3E3" w:rsidR="004F7554" w:rsidRPr="00F32FFF" w:rsidRDefault="005B7C9B" w:rsidP="0004596B">
            <w:pPr>
              <w:pStyle w:val="ARtabletextright"/>
            </w:pPr>
            <w:r>
              <w:rPr>
                <w:rFonts w:ascii="Aptos Narrow" w:hAnsi="Aptos Narrow"/>
                <w:sz w:val="22"/>
                <w:szCs w:val="22"/>
              </w:rPr>
              <w:t>–</w:t>
            </w:r>
          </w:p>
        </w:tc>
      </w:tr>
      <w:tr w:rsidR="004F7554" w:rsidRPr="00F32FFF" w14:paraId="06EBED32" w14:textId="77777777" w:rsidTr="00DD775F">
        <w:trPr>
          <w:trHeight w:val="266"/>
        </w:trPr>
        <w:tc>
          <w:tcPr>
            <w:tcW w:w="1157" w:type="pct"/>
          </w:tcPr>
          <w:p w14:paraId="4BE2982A" w14:textId="77777777" w:rsidR="004F7554" w:rsidRPr="00F32FFF" w:rsidRDefault="004F7554" w:rsidP="009A0965">
            <w:pPr>
              <w:pStyle w:val="ARtabletext"/>
              <w:spacing w:line="220" w:lineRule="atLeast"/>
            </w:pPr>
            <w:r w:rsidRPr="00F32FFF">
              <w:t>Dandolo Partners</w:t>
            </w:r>
          </w:p>
        </w:tc>
        <w:tc>
          <w:tcPr>
            <w:tcW w:w="1810" w:type="pct"/>
          </w:tcPr>
          <w:p w14:paraId="4EF45A79" w14:textId="3A33F8ED" w:rsidR="004F7554" w:rsidRPr="00F32FFF" w:rsidRDefault="004F7554" w:rsidP="009A0965">
            <w:pPr>
              <w:pStyle w:val="ARtabletext"/>
              <w:spacing w:line="220" w:lineRule="atLeast"/>
            </w:pPr>
            <w:r w:rsidRPr="00F32FFF">
              <w:t xml:space="preserve">VDWC Strategic and Business Plan and review of </w:t>
            </w:r>
            <w:r w:rsidR="00363CF3" w:rsidRPr="00F32FFF">
              <w:t>theory</w:t>
            </w:r>
            <w:r w:rsidRPr="00F32FFF">
              <w:t xml:space="preserve"> of </w:t>
            </w:r>
            <w:r w:rsidR="00363CF3" w:rsidRPr="00F32FFF">
              <w:t>change</w:t>
            </w:r>
          </w:p>
        </w:tc>
        <w:tc>
          <w:tcPr>
            <w:tcW w:w="747" w:type="pct"/>
          </w:tcPr>
          <w:p w14:paraId="0F3FBE49" w14:textId="77777777" w:rsidR="004F7554" w:rsidRPr="00F32FFF" w:rsidRDefault="004F7554" w:rsidP="0004596B">
            <w:pPr>
              <w:pStyle w:val="ARtabletextright"/>
            </w:pPr>
            <w:r w:rsidRPr="00F32FFF">
              <w:t>$75,896</w:t>
            </w:r>
          </w:p>
        </w:tc>
        <w:tc>
          <w:tcPr>
            <w:tcW w:w="631" w:type="pct"/>
          </w:tcPr>
          <w:p w14:paraId="1B73A055" w14:textId="77777777" w:rsidR="004F7554" w:rsidRPr="00F32FFF" w:rsidRDefault="004F7554" w:rsidP="0004596B">
            <w:pPr>
              <w:pStyle w:val="ARtabletextright"/>
            </w:pPr>
            <w:r w:rsidRPr="00F32FFF">
              <w:t>$37,257</w:t>
            </w:r>
          </w:p>
        </w:tc>
        <w:tc>
          <w:tcPr>
            <w:tcW w:w="655" w:type="pct"/>
          </w:tcPr>
          <w:p w14:paraId="3DDA9DFE" w14:textId="77777777" w:rsidR="004F7554" w:rsidRPr="00F32FFF" w:rsidRDefault="004F7554" w:rsidP="0004596B">
            <w:pPr>
              <w:pStyle w:val="ARtabletextright"/>
            </w:pPr>
            <w:r w:rsidRPr="00F32FFF">
              <w:t>$38,639</w:t>
            </w:r>
          </w:p>
        </w:tc>
      </w:tr>
      <w:tr w:rsidR="004F7554" w:rsidRPr="00F32FFF" w14:paraId="7D0F09DF" w14:textId="77777777" w:rsidTr="00DD775F">
        <w:trPr>
          <w:trHeight w:val="266"/>
        </w:trPr>
        <w:tc>
          <w:tcPr>
            <w:tcW w:w="1157" w:type="pct"/>
          </w:tcPr>
          <w:p w14:paraId="23F75B6D" w14:textId="6CC77AB4" w:rsidR="004F7554" w:rsidRPr="00F32FFF" w:rsidRDefault="004F7554" w:rsidP="009A0965">
            <w:pPr>
              <w:pStyle w:val="ARtabletext"/>
              <w:spacing w:line="220" w:lineRule="atLeast"/>
            </w:pPr>
            <w:r w:rsidRPr="00F32FFF">
              <w:t>Swinburne University of</w:t>
            </w:r>
            <w:r w:rsidR="00683A56">
              <w:t> </w:t>
            </w:r>
            <w:r w:rsidRPr="00F32FFF">
              <w:t>Technology</w:t>
            </w:r>
          </w:p>
        </w:tc>
        <w:tc>
          <w:tcPr>
            <w:tcW w:w="1810" w:type="pct"/>
          </w:tcPr>
          <w:p w14:paraId="637B2A47" w14:textId="62B8DD75" w:rsidR="004F7554" w:rsidRPr="00F32FFF" w:rsidRDefault="004F7554" w:rsidP="009A0965">
            <w:pPr>
              <w:pStyle w:val="ARtabletext"/>
              <w:spacing w:line="220" w:lineRule="atLeast"/>
            </w:pPr>
            <w:r w:rsidRPr="00F32FFF">
              <w:t xml:space="preserve">Literature </w:t>
            </w:r>
            <w:r w:rsidR="00363CF3">
              <w:t>r</w:t>
            </w:r>
            <w:r w:rsidR="00363CF3" w:rsidRPr="00F32FFF">
              <w:t xml:space="preserve">eview </w:t>
            </w:r>
            <w:r w:rsidR="005B7C9B">
              <w:t>–</w:t>
            </w:r>
            <w:r w:rsidRPr="00F32FFF">
              <w:t xml:space="preserve"> Evidence-based interventions for justice-involved young</w:t>
            </w:r>
            <w:r w:rsidR="00683A56">
              <w:t> </w:t>
            </w:r>
            <w:r w:rsidRPr="00F32FFF">
              <w:t>people with a cognitive disability</w:t>
            </w:r>
          </w:p>
        </w:tc>
        <w:tc>
          <w:tcPr>
            <w:tcW w:w="747" w:type="pct"/>
          </w:tcPr>
          <w:p w14:paraId="0711E327" w14:textId="77777777" w:rsidR="004F7554" w:rsidRPr="00F32FFF" w:rsidRDefault="004F7554" w:rsidP="0004596B">
            <w:pPr>
              <w:pStyle w:val="ARtabletextright"/>
            </w:pPr>
            <w:r w:rsidRPr="00F32FFF">
              <w:t>$45,423</w:t>
            </w:r>
          </w:p>
        </w:tc>
        <w:tc>
          <w:tcPr>
            <w:tcW w:w="631" w:type="pct"/>
          </w:tcPr>
          <w:p w14:paraId="5443FE39" w14:textId="77777777" w:rsidR="004F7554" w:rsidRPr="00F32FFF" w:rsidRDefault="004F7554" w:rsidP="0004596B">
            <w:pPr>
              <w:pStyle w:val="ARtabletextright"/>
            </w:pPr>
            <w:r w:rsidRPr="00F32FFF">
              <w:t>$36,338</w:t>
            </w:r>
          </w:p>
        </w:tc>
        <w:tc>
          <w:tcPr>
            <w:tcW w:w="655" w:type="pct"/>
          </w:tcPr>
          <w:p w14:paraId="4F7CAD3E" w14:textId="77777777" w:rsidR="004F7554" w:rsidRPr="00F32FFF" w:rsidRDefault="004F7554" w:rsidP="0004596B">
            <w:pPr>
              <w:pStyle w:val="ARtabletextright"/>
            </w:pPr>
            <w:r w:rsidRPr="00F32FFF">
              <w:t>$9,085</w:t>
            </w:r>
          </w:p>
        </w:tc>
      </w:tr>
      <w:tr w:rsidR="004F7554" w:rsidRPr="00F32FFF" w14:paraId="1EA0877E" w14:textId="77777777" w:rsidTr="00DD775F">
        <w:trPr>
          <w:trHeight w:val="266"/>
        </w:trPr>
        <w:tc>
          <w:tcPr>
            <w:tcW w:w="1157" w:type="pct"/>
          </w:tcPr>
          <w:p w14:paraId="44FAB4DC" w14:textId="77777777" w:rsidR="004F7554" w:rsidRPr="00F32FFF" w:rsidRDefault="004F7554" w:rsidP="009A0965">
            <w:pPr>
              <w:pStyle w:val="ARtabletext"/>
              <w:spacing w:line="220" w:lineRule="atLeast"/>
            </w:pPr>
            <w:r w:rsidRPr="00F32FFF">
              <w:t>Lionheart Consulting Australia</w:t>
            </w:r>
          </w:p>
        </w:tc>
        <w:tc>
          <w:tcPr>
            <w:tcW w:w="1810" w:type="pct"/>
          </w:tcPr>
          <w:p w14:paraId="60F937B5" w14:textId="77777777" w:rsidR="004F7554" w:rsidRPr="00F32FFF" w:rsidRDefault="004F7554" w:rsidP="009A0965">
            <w:pPr>
              <w:pStyle w:val="ARtabletext"/>
              <w:spacing w:line="220" w:lineRule="atLeast"/>
            </w:pPr>
            <w:r w:rsidRPr="00F32FFF">
              <w:t xml:space="preserve">Business Planning Engagement </w:t>
            </w:r>
          </w:p>
        </w:tc>
        <w:tc>
          <w:tcPr>
            <w:tcW w:w="747" w:type="pct"/>
          </w:tcPr>
          <w:p w14:paraId="53DB0826" w14:textId="77777777" w:rsidR="004F7554" w:rsidRPr="00F32FFF" w:rsidRDefault="004F7554" w:rsidP="0004596B">
            <w:pPr>
              <w:pStyle w:val="ARtabletextright"/>
            </w:pPr>
            <w:r w:rsidRPr="00F32FFF">
              <w:t>$45,164</w:t>
            </w:r>
          </w:p>
        </w:tc>
        <w:tc>
          <w:tcPr>
            <w:tcW w:w="631" w:type="pct"/>
          </w:tcPr>
          <w:p w14:paraId="14D47B24" w14:textId="77777777" w:rsidR="004F7554" w:rsidRPr="00F32FFF" w:rsidRDefault="004F7554" w:rsidP="0004596B">
            <w:pPr>
              <w:pStyle w:val="ARtabletextright"/>
            </w:pPr>
            <w:r w:rsidRPr="00F32FFF">
              <w:t>$35,345</w:t>
            </w:r>
          </w:p>
        </w:tc>
        <w:tc>
          <w:tcPr>
            <w:tcW w:w="655" w:type="pct"/>
          </w:tcPr>
          <w:p w14:paraId="3684C5AE" w14:textId="77777777" w:rsidR="004F7554" w:rsidRPr="00F32FFF" w:rsidRDefault="004F7554" w:rsidP="0004596B">
            <w:pPr>
              <w:pStyle w:val="ARtabletextright"/>
            </w:pPr>
            <w:r w:rsidRPr="00F32FFF">
              <w:t>$9,819</w:t>
            </w:r>
          </w:p>
        </w:tc>
      </w:tr>
      <w:tr w:rsidR="004F7554" w:rsidRPr="00F32FFF" w14:paraId="59712EB4" w14:textId="77777777" w:rsidTr="00DD775F">
        <w:trPr>
          <w:trHeight w:val="266"/>
        </w:trPr>
        <w:tc>
          <w:tcPr>
            <w:tcW w:w="1157" w:type="pct"/>
          </w:tcPr>
          <w:p w14:paraId="0F7ABA1A" w14:textId="77777777" w:rsidR="004F7554" w:rsidRPr="00F32FFF" w:rsidRDefault="004F7554" w:rsidP="009A0965">
            <w:pPr>
              <w:pStyle w:val="ARtabletext"/>
              <w:spacing w:line="220" w:lineRule="atLeast"/>
            </w:pPr>
            <w:r w:rsidRPr="00F32FFF">
              <w:t>Patricia Mary Faulkner</w:t>
            </w:r>
          </w:p>
        </w:tc>
        <w:tc>
          <w:tcPr>
            <w:tcW w:w="1810" w:type="pct"/>
          </w:tcPr>
          <w:p w14:paraId="72423C4D" w14:textId="692927E8" w:rsidR="004F7554" w:rsidRPr="00F32FFF" w:rsidRDefault="004F7554" w:rsidP="009A0965">
            <w:pPr>
              <w:pStyle w:val="ARtabletext"/>
              <w:spacing w:line="220" w:lineRule="atLeast"/>
            </w:pPr>
            <w:r w:rsidRPr="00F32FFF">
              <w:t xml:space="preserve">Alternative </w:t>
            </w:r>
            <w:r w:rsidR="00363CF3" w:rsidRPr="00F32FFF">
              <w:t>service model</w:t>
            </w:r>
            <w:r w:rsidRPr="00F32FFF">
              <w:t xml:space="preserve"> </w:t>
            </w:r>
            <w:r w:rsidR="005B7C9B">
              <w:t>–</w:t>
            </w:r>
            <w:r w:rsidRPr="00F32FFF">
              <w:t xml:space="preserve"> Independent Review Panel engagement</w:t>
            </w:r>
          </w:p>
        </w:tc>
        <w:tc>
          <w:tcPr>
            <w:tcW w:w="747" w:type="pct"/>
          </w:tcPr>
          <w:p w14:paraId="72105366" w14:textId="77777777" w:rsidR="004F7554" w:rsidRPr="00F32FFF" w:rsidRDefault="004F7554" w:rsidP="0004596B">
            <w:pPr>
              <w:pStyle w:val="ARtabletextright"/>
            </w:pPr>
            <w:r w:rsidRPr="00F32FFF">
              <w:t>$90,909</w:t>
            </w:r>
          </w:p>
        </w:tc>
        <w:tc>
          <w:tcPr>
            <w:tcW w:w="631" w:type="pct"/>
          </w:tcPr>
          <w:p w14:paraId="775C72F4" w14:textId="7EDAA336" w:rsidR="004F7554" w:rsidRPr="00F32FFF" w:rsidRDefault="004F7554" w:rsidP="0004596B">
            <w:pPr>
              <w:pStyle w:val="ARtabletextright"/>
            </w:pPr>
            <w:r w:rsidRPr="00F32FFF">
              <w:t>$3</w:t>
            </w:r>
            <w:r w:rsidR="00552411">
              <w:t>6,375</w:t>
            </w:r>
          </w:p>
        </w:tc>
        <w:tc>
          <w:tcPr>
            <w:tcW w:w="655" w:type="pct"/>
          </w:tcPr>
          <w:p w14:paraId="30B2E112" w14:textId="549753E0" w:rsidR="004F7554" w:rsidRPr="00F32FFF" w:rsidRDefault="004F7554" w:rsidP="0004596B">
            <w:pPr>
              <w:pStyle w:val="ARtabletextright"/>
            </w:pPr>
            <w:r w:rsidRPr="00F32FFF">
              <w:t>$5</w:t>
            </w:r>
            <w:r w:rsidR="00AD1F8E">
              <w:t>4,534</w:t>
            </w:r>
          </w:p>
        </w:tc>
      </w:tr>
      <w:tr w:rsidR="004F7554" w:rsidRPr="00F32FFF" w14:paraId="360BCBE2" w14:textId="77777777" w:rsidTr="00DD775F">
        <w:trPr>
          <w:trHeight w:val="266"/>
        </w:trPr>
        <w:tc>
          <w:tcPr>
            <w:tcW w:w="1157" w:type="pct"/>
          </w:tcPr>
          <w:p w14:paraId="66198DF3" w14:textId="77777777" w:rsidR="004F7554" w:rsidRPr="00F32FFF" w:rsidRDefault="004F7554" w:rsidP="009A0965">
            <w:pPr>
              <w:pStyle w:val="ARtabletext"/>
              <w:spacing w:line="220" w:lineRule="atLeast"/>
            </w:pPr>
            <w:r w:rsidRPr="00F32FFF">
              <w:t>Ernst &amp; Young Services Pty Ltd</w:t>
            </w:r>
          </w:p>
        </w:tc>
        <w:tc>
          <w:tcPr>
            <w:tcW w:w="1810" w:type="pct"/>
          </w:tcPr>
          <w:p w14:paraId="7D6785F4" w14:textId="4722BAC6" w:rsidR="004F7554" w:rsidRPr="00F32FFF" w:rsidRDefault="004F7554" w:rsidP="009A0965">
            <w:pPr>
              <w:pStyle w:val="ARtabletext"/>
              <w:spacing w:line="220" w:lineRule="atLeast"/>
            </w:pPr>
            <w:r w:rsidRPr="00F32FFF">
              <w:t>Medium</w:t>
            </w:r>
            <w:r w:rsidR="00363CF3">
              <w:t>-</w:t>
            </w:r>
            <w:r w:rsidRPr="00F32FFF">
              <w:t xml:space="preserve">Term Perpetrator Accommodation Support Service </w:t>
            </w:r>
            <w:r w:rsidR="005B7C9B">
              <w:t>–</w:t>
            </w:r>
            <w:r w:rsidRPr="00F32FFF">
              <w:t xml:space="preserve"> </w:t>
            </w:r>
            <w:r w:rsidR="00363CF3" w:rsidRPr="00F32FFF">
              <w:t>trial</w:t>
            </w:r>
            <w:r w:rsidR="00363CF3">
              <w:t> </w:t>
            </w:r>
            <w:r w:rsidR="00363CF3" w:rsidRPr="00F32FFF">
              <w:t>evaluation</w:t>
            </w:r>
          </w:p>
        </w:tc>
        <w:tc>
          <w:tcPr>
            <w:tcW w:w="747" w:type="pct"/>
          </w:tcPr>
          <w:p w14:paraId="078AEA50" w14:textId="77777777" w:rsidR="004F7554" w:rsidRPr="00F32FFF" w:rsidRDefault="004F7554" w:rsidP="0004596B">
            <w:pPr>
              <w:pStyle w:val="ARtabletextright"/>
            </w:pPr>
            <w:r w:rsidRPr="00F32FFF">
              <w:t>$285,526</w:t>
            </w:r>
          </w:p>
        </w:tc>
        <w:tc>
          <w:tcPr>
            <w:tcW w:w="631" w:type="pct"/>
          </w:tcPr>
          <w:p w14:paraId="774BBE86" w14:textId="77777777" w:rsidR="004F7554" w:rsidRPr="00F32FFF" w:rsidRDefault="004F7554" w:rsidP="0004596B">
            <w:pPr>
              <w:pStyle w:val="ARtabletextright"/>
            </w:pPr>
            <w:r w:rsidRPr="00F32FFF">
              <w:t>$30,980</w:t>
            </w:r>
          </w:p>
        </w:tc>
        <w:tc>
          <w:tcPr>
            <w:tcW w:w="655" w:type="pct"/>
          </w:tcPr>
          <w:p w14:paraId="2FD9151D" w14:textId="08D73BB9" w:rsidR="004F7554" w:rsidRPr="00F32FFF" w:rsidRDefault="005B7C9B" w:rsidP="0004596B">
            <w:pPr>
              <w:pStyle w:val="ARtabletextright"/>
            </w:pPr>
            <w:r>
              <w:rPr>
                <w:rFonts w:ascii="Aptos Narrow" w:hAnsi="Aptos Narrow"/>
                <w:sz w:val="22"/>
                <w:szCs w:val="22"/>
              </w:rPr>
              <w:t>–</w:t>
            </w:r>
          </w:p>
        </w:tc>
      </w:tr>
      <w:tr w:rsidR="004F7554" w:rsidRPr="00F32FFF" w14:paraId="50832987" w14:textId="77777777" w:rsidTr="00DD775F">
        <w:trPr>
          <w:trHeight w:val="266"/>
        </w:trPr>
        <w:tc>
          <w:tcPr>
            <w:tcW w:w="1157" w:type="pct"/>
          </w:tcPr>
          <w:p w14:paraId="7D99687A" w14:textId="77777777" w:rsidR="004F7554" w:rsidRPr="00F32FFF" w:rsidRDefault="004F7554" w:rsidP="009A0965">
            <w:pPr>
              <w:pStyle w:val="ARtabletext"/>
              <w:spacing w:line="220" w:lineRule="atLeast"/>
            </w:pPr>
            <w:r w:rsidRPr="00F32FFF">
              <w:t>Lisa Ward Consulting</w:t>
            </w:r>
          </w:p>
        </w:tc>
        <w:tc>
          <w:tcPr>
            <w:tcW w:w="1810" w:type="pct"/>
          </w:tcPr>
          <w:p w14:paraId="014A0630" w14:textId="56C34F7C" w:rsidR="004F7554" w:rsidRPr="00F32FFF" w:rsidRDefault="004F7554" w:rsidP="009A0965">
            <w:pPr>
              <w:pStyle w:val="ARtabletext"/>
              <w:spacing w:line="220" w:lineRule="atLeast"/>
            </w:pPr>
            <w:r w:rsidRPr="00F32FFF">
              <w:t xml:space="preserve">Alternative </w:t>
            </w:r>
            <w:r w:rsidR="00363CF3" w:rsidRPr="00F32FFF">
              <w:t>service model</w:t>
            </w:r>
            <w:r w:rsidRPr="00F32FFF">
              <w:t xml:space="preserve"> </w:t>
            </w:r>
            <w:r w:rsidR="005B7C9B">
              <w:t>–</w:t>
            </w:r>
            <w:r w:rsidRPr="00F32FFF">
              <w:t xml:space="preserve"> Independent Review Panel engagement</w:t>
            </w:r>
          </w:p>
        </w:tc>
        <w:tc>
          <w:tcPr>
            <w:tcW w:w="747" w:type="pct"/>
          </w:tcPr>
          <w:p w14:paraId="0FDC0847" w14:textId="77777777" w:rsidR="004F7554" w:rsidRPr="00F32FFF" w:rsidRDefault="004F7554" w:rsidP="0004596B">
            <w:pPr>
              <w:pStyle w:val="ARtabletextright"/>
            </w:pPr>
            <w:r w:rsidRPr="00F32FFF">
              <w:t>$90,909</w:t>
            </w:r>
          </w:p>
        </w:tc>
        <w:tc>
          <w:tcPr>
            <w:tcW w:w="631" w:type="pct"/>
          </w:tcPr>
          <w:p w14:paraId="07363F0D" w14:textId="77777777" w:rsidR="004F7554" w:rsidRPr="00F32FFF" w:rsidRDefault="004F7554" w:rsidP="0004596B">
            <w:pPr>
              <w:pStyle w:val="ARtabletextright"/>
            </w:pPr>
            <w:r w:rsidRPr="00F32FFF">
              <w:t>$28,800</w:t>
            </w:r>
          </w:p>
        </w:tc>
        <w:tc>
          <w:tcPr>
            <w:tcW w:w="655" w:type="pct"/>
          </w:tcPr>
          <w:p w14:paraId="471D77A1" w14:textId="77777777" w:rsidR="004F7554" w:rsidRPr="00F32FFF" w:rsidRDefault="004F7554" w:rsidP="0004596B">
            <w:pPr>
              <w:pStyle w:val="ARtabletextright"/>
            </w:pPr>
            <w:r w:rsidRPr="00F32FFF">
              <w:t>$62,109</w:t>
            </w:r>
          </w:p>
        </w:tc>
      </w:tr>
      <w:tr w:rsidR="004F7554" w:rsidRPr="00F32FFF" w14:paraId="6CDBEFE1" w14:textId="77777777" w:rsidTr="00DD775F">
        <w:trPr>
          <w:trHeight w:val="266"/>
        </w:trPr>
        <w:tc>
          <w:tcPr>
            <w:tcW w:w="1157" w:type="pct"/>
          </w:tcPr>
          <w:p w14:paraId="52DCED85" w14:textId="77777777" w:rsidR="004F7554" w:rsidRPr="00F32FFF" w:rsidRDefault="004F7554" w:rsidP="009A0965">
            <w:pPr>
              <w:pStyle w:val="ARtabletext"/>
              <w:spacing w:line="220" w:lineRule="atLeast"/>
            </w:pPr>
            <w:r w:rsidRPr="00F32FFF">
              <w:t>Rixstewart</w:t>
            </w:r>
          </w:p>
        </w:tc>
        <w:tc>
          <w:tcPr>
            <w:tcW w:w="1810" w:type="pct"/>
          </w:tcPr>
          <w:p w14:paraId="0090DA1E" w14:textId="4AEE573D" w:rsidR="004F7554" w:rsidRPr="00F32FFF" w:rsidRDefault="004F7554" w:rsidP="009A0965">
            <w:pPr>
              <w:pStyle w:val="ARtabletext"/>
              <w:spacing w:line="220" w:lineRule="atLeast"/>
            </w:pPr>
            <w:r w:rsidRPr="00F32FFF">
              <w:t xml:space="preserve">Managed Services Advisor </w:t>
            </w:r>
            <w:r w:rsidR="005B7C9B">
              <w:t>–</w:t>
            </w:r>
            <w:r w:rsidRPr="00F32FFF">
              <w:t xml:space="preserve"> Ground</w:t>
            </w:r>
            <w:r w:rsidR="00683A56">
              <w:t> </w:t>
            </w:r>
            <w:r w:rsidRPr="00F32FFF">
              <w:t>Lease Model 2</w:t>
            </w:r>
          </w:p>
        </w:tc>
        <w:tc>
          <w:tcPr>
            <w:tcW w:w="747" w:type="pct"/>
          </w:tcPr>
          <w:p w14:paraId="500C595C" w14:textId="77777777" w:rsidR="004F7554" w:rsidRPr="00F32FFF" w:rsidRDefault="004F7554" w:rsidP="0004596B">
            <w:pPr>
              <w:pStyle w:val="ARtabletextright"/>
            </w:pPr>
            <w:r w:rsidRPr="00F32FFF">
              <w:t>$179,438</w:t>
            </w:r>
          </w:p>
        </w:tc>
        <w:tc>
          <w:tcPr>
            <w:tcW w:w="631" w:type="pct"/>
          </w:tcPr>
          <w:p w14:paraId="04CCFB90" w14:textId="77777777" w:rsidR="004F7554" w:rsidRPr="00F32FFF" w:rsidRDefault="004F7554" w:rsidP="0004596B">
            <w:pPr>
              <w:pStyle w:val="ARtabletextright"/>
            </w:pPr>
            <w:r w:rsidRPr="00F32FFF">
              <w:t>$26,034</w:t>
            </w:r>
          </w:p>
        </w:tc>
        <w:tc>
          <w:tcPr>
            <w:tcW w:w="655" w:type="pct"/>
          </w:tcPr>
          <w:p w14:paraId="46DB79C9" w14:textId="26F9B398" w:rsidR="004F7554" w:rsidRPr="00F32FFF" w:rsidRDefault="005B7C9B" w:rsidP="0004596B">
            <w:pPr>
              <w:pStyle w:val="ARtabletextright"/>
            </w:pPr>
            <w:r>
              <w:rPr>
                <w:rFonts w:ascii="Aptos Narrow" w:hAnsi="Aptos Narrow"/>
                <w:sz w:val="22"/>
                <w:szCs w:val="22"/>
              </w:rPr>
              <w:t>–</w:t>
            </w:r>
          </w:p>
        </w:tc>
      </w:tr>
      <w:tr w:rsidR="004F7554" w:rsidRPr="00F32FFF" w14:paraId="63AFFE23" w14:textId="77777777" w:rsidTr="00DD775F">
        <w:trPr>
          <w:trHeight w:val="266"/>
        </w:trPr>
        <w:tc>
          <w:tcPr>
            <w:tcW w:w="1157" w:type="pct"/>
          </w:tcPr>
          <w:p w14:paraId="4C8E7F1A" w14:textId="77777777" w:rsidR="004F7554" w:rsidRPr="00F32FFF" w:rsidRDefault="004F7554" w:rsidP="009A0965">
            <w:pPr>
              <w:pStyle w:val="ARtabletext"/>
              <w:spacing w:line="220" w:lineRule="atLeast"/>
            </w:pPr>
            <w:r w:rsidRPr="00F32FFF">
              <w:t>Lionheart Consulting Australia</w:t>
            </w:r>
          </w:p>
        </w:tc>
        <w:tc>
          <w:tcPr>
            <w:tcW w:w="1810" w:type="pct"/>
          </w:tcPr>
          <w:p w14:paraId="11AEE5BC" w14:textId="7561E20C" w:rsidR="004F7554" w:rsidRPr="00F32FFF" w:rsidRDefault="004F7554" w:rsidP="009A0965">
            <w:pPr>
              <w:pStyle w:val="ARtabletext"/>
              <w:spacing w:line="220" w:lineRule="atLeast"/>
            </w:pPr>
            <w:r w:rsidRPr="00F32FFF">
              <w:t xml:space="preserve">Family Safety Victoria </w:t>
            </w:r>
            <w:r w:rsidR="00363CF3" w:rsidRPr="00F32FFF">
              <w:t>divisional planning</w:t>
            </w:r>
          </w:p>
        </w:tc>
        <w:tc>
          <w:tcPr>
            <w:tcW w:w="747" w:type="pct"/>
          </w:tcPr>
          <w:p w14:paraId="7DB0163D" w14:textId="77777777" w:rsidR="004F7554" w:rsidRPr="00F32FFF" w:rsidRDefault="004F7554" w:rsidP="0004596B">
            <w:pPr>
              <w:pStyle w:val="ARtabletextright"/>
            </w:pPr>
            <w:r w:rsidRPr="00F32FFF">
              <w:t>$24,200</w:t>
            </w:r>
          </w:p>
        </w:tc>
        <w:tc>
          <w:tcPr>
            <w:tcW w:w="631" w:type="pct"/>
          </w:tcPr>
          <w:p w14:paraId="67522429" w14:textId="77777777" w:rsidR="004F7554" w:rsidRPr="00F32FFF" w:rsidRDefault="004F7554" w:rsidP="0004596B">
            <w:pPr>
              <w:pStyle w:val="ARtabletextright"/>
            </w:pPr>
            <w:r w:rsidRPr="00F32FFF">
              <w:t>$24,200</w:t>
            </w:r>
          </w:p>
        </w:tc>
        <w:tc>
          <w:tcPr>
            <w:tcW w:w="655" w:type="pct"/>
          </w:tcPr>
          <w:p w14:paraId="5542186D" w14:textId="3D74E327" w:rsidR="004F7554" w:rsidRPr="00F32FFF" w:rsidRDefault="005B7C9B" w:rsidP="0004596B">
            <w:pPr>
              <w:pStyle w:val="ARtabletextright"/>
            </w:pPr>
            <w:r>
              <w:rPr>
                <w:rFonts w:ascii="Aptos Narrow" w:hAnsi="Aptos Narrow"/>
                <w:sz w:val="22"/>
                <w:szCs w:val="22"/>
              </w:rPr>
              <w:t>–</w:t>
            </w:r>
          </w:p>
        </w:tc>
      </w:tr>
      <w:tr w:rsidR="004F7554" w:rsidRPr="00F32FFF" w14:paraId="7ECB10FB" w14:textId="77777777" w:rsidTr="00DD775F">
        <w:trPr>
          <w:trHeight w:val="266"/>
        </w:trPr>
        <w:tc>
          <w:tcPr>
            <w:tcW w:w="1157" w:type="pct"/>
          </w:tcPr>
          <w:p w14:paraId="71B57E2C" w14:textId="77777777" w:rsidR="004F7554" w:rsidRPr="00F32FFF" w:rsidRDefault="004F7554" w:rsidP="009A0965">
            <w:pPr>
              <w:pStyle w:val="ARtabletext"/>
              <w:spacing w:line="220" w:lineRule="atLeast"/>
            </w:pPr>
            <w:r w:rsidRPr="00F32FFF">
              <w:t>Joseph John Caddy</w:t>
            </w:r>
          </w:p>
        </w:tc>
        <w:tc>
          <w:tcPr>
            <w:tcW w:w="1810" w:type="pct"/>
          </w:tcPr>
          <w:p w14:paraId="5AB648AE" w14:textId="200E69FF" w:rsidR="004F7554" w:rsidRPr="00F32FFF" w:rsidRDefault="004F7554" w:rsidP="009A0965">
            <w:pPr>
              <w:pStyle w:val="ARtabletext"/>
              <w:spacing w:line="220" w:lineRule="atLeast"/>
            </w:pPr>
            <w:r w:rsidRPr="00F32FFF">
              <w:t xml:space="preserve">Alternative Service Model </w:t>
            </w:r>
            <w:r w:rsidR="005B7C9B">
              <w:t>–</w:t>
            </w:r>
            <w:r w:rsidRPr="00F32FFF">
              <w:t xml:space="preserve"> Independent Review Panel engagement</w:t>
            </w:r>
          </w:p>
        </w:tc>
        <w:tc>
          <w:tcPr>
            <w:tcW w:w="747" w:type="pct"/>
          </w:tcPr>
          <w:p w14:paraId="1E0F2E3A" w14:textId="77777777" w:rsidR="004F7554" w:rsidRPr="00F32FFF" w:rsidRDefault="004F7554" w:rsidP="0004596B">
            <w:pPr>
              <w:pStyle w:val="ARtabletextright"/>
            </w:pPr>
            <w:r w:rsidRPr="00F32FFF">
              <w:t>$90,909</w:t>
            </w:r>
          </w:p>
        </w:tc>
        <w:tc>
          <w:tcPr>
            <w:tcW w:w="631" w:type="pct"/>
          </w:tcPr>
          <w:p w14:paraId="476D39F1" w14:textId="11180F43" w:rsidR="004F7554" w:rsidRPr="00F32FFF" w:rsidRDefault="004F7554" w:rsidP="0004596B">
            <w:pPr>
              <w:pStyle w:val="ARtabletextright"/>
            </w:pPr>
            <w:r w:rsidRPr="00F32FFF">
              <w:t>$</w:t>
            </w:r>
            <w:r w:rsidR="000824BB">
              <w:t>21,800</w:t>
            </w:r>
          </w:p>
        </w:tc>
        <w:tc>
          <w:tcPr>
            <w:tcW w:w="655" w:type="pct"/>
          </w:tcPr>
          <w:p w14:paraId="4454A858" w14:textId="0E4E0FBF" w:rsidR="004F7554" w:rsidRPr="00F32FFF" w:rsidRDefault="004F7554" w:rsidP="0004596B">
            <w:pPr>
              <w:pStyle w:val="ARtabletextright"/>
            </w:pPr>
            <w:r w:rsidRPr="00F32FFF">
              <w:t>$</w:t>
            </w:r>
            <w:r w:rsidR="000824BB">
              <w:t>69,109</w:t>
            </w:r>
          </w:p>
        </w:tc>
      </w:tr>
      <w:tr w:rsidR="004F7554" w:rsidRPr="00F32FFF" w14:paraId="7D678B21" w14:textId="77777777" w:rsidTr="00DD775F">
        <w:trPr>
          <w:trHeight w:val="266"/>
        </w:trPr>
        <w:tc>
          <w:tcPr>
            <w:tcW w:w="1157" w:type="pct"/>
          </w:tcPr>
          <w:p w14:paraId="4F57654B" w14:textId="77777777" w:rsidR="004F7554" w:rsidRPr="00F32FFF" w:rsidRDefault="004F7554" w:rsidP="009A0965">
            <w:pPr>
              <w:pStyle w:val="ARtabletext"/>
              <w:spacing w:line="220" w:lineRule="atLeast"/>
            </w:pPr>
            <w:r w:rsidRPr="00F32FFF">
              <w:t>Zing</w:t>
            </w:r>
          </w:p>
        </w:tc>
        <w:tc>
          <w:tcPr>
            <w:tcW w:w="1810" w:type="pct"/>
          </w:tcPr>
          <w:p w14:paraId="66D5CEAD" w14:textId="77777777" w:rsidR="004F7554" w:rsidRPr="00F32FFF" w:rsidRDefault="004F7554" w:rsidP="009A0965">
            <w:pPr>
              <w:pStyle w:val="ARtabletext"/>
              <w:spacing w:line="220" w:lineRule="atLeast"/>
            </w:pPr>
            <w:r w:rsidRPr="00F32FFF">
              <w:t>2024 Executive Directions Board planning retreat facilitation</w:t>
            </w:r>
          </w:p>
        </w:tc>
        <w:tc>
          <w:tcPr>
            <w:tcW w:w="747" w:type="pct"/>
          </w:tcPr>
          <w:p w14:paraId="3366BA49" w14:textId="77777777" w:rsidR="004F7554" w:rsidRPr="00F32FFF" w:rsidRDefault="004F7554" w:rsidP="0004596B">
            <w:pPr>
              <w:pStyle w:val="ARtabletextright"/>
            </w:pPr>
            <w:r w:rsidRPr="00F32FFF">
              <w:t>$17,235</w:t>
            </w:r>
          </w:p>
        </w:tc>
        <w:tc>
          <w:tcPr>
            <w:tcW w:w="631" w:type="pct"/>
          </w:tcPr>
          <w:p w14:paraId="07054A88" w14:textId="77777777" w:rsidR="004F7554" w:rsidRPr="00F32FFF" w:rsidRDefault="004F7554" w:rsidP="0004596B">
            <w:pPr>
              <w:pStyle w:val="ARtabletextright"/>
            </w:pPr>
            <w:r w:rsidRPr="00F32FFF">
              <w:t>$17,235</w:t>
            </w:r>
          </w:p>
        </w:tc>
        <w:tc>
          <w:tcPr>
            <w:tcW w:w="655" w:type="pct"/>
          </w:tcPr>
          <w:p w14:paraId="7108E5DF" w14:textId="33D09E4D" w:rsidR="004F7554" w:rsidRPr="00F32FFF" w:rsidRDefault="005B7C9B" w:rsidP="0004596B">
            <w:pPr>
              <w:pStyle w:val="ARtabletextright"/>
            </w:pPr>
            <w:r>
              <w:rPr>
                <w:rFonts w:ascii="Aptos Narrow" w:hAnsi="Aptos Narrow"/>
                <w:sz w:val="22"/>
                <w:szCs w:val="22"/>
              </w:rPr>
              <w:t>–</w:t>
            </w:r>
          </w:p>
        </w:tc>
      </w:tr>
      <w:tr w:rsidR="004F7554" w:rsidRPr="00F32FFF" w14:paraId="46FCF0AD" w14:textId="77777777" w:rsidTr="00DD775F">
        <w:trPr>
          <w:trHeight w:val="266"/>
        </w:trPr>
        <w:tc>
          <w:tcPr>
            <w:tcW w:w="1157" w:type="pct"/>
          </w:tcPr>
          <w:p w14:paraId="08515938" w14:textId="77777777" w:rsidR="004F7554" w:rsidRPr="00F32FFF" w:rsidRDefault="004F7554" w:rsidP="009A0965">
            <w:pPr>
              <w:pStyle w:val="ARtabletext"/>
              <w:spacing w:line="220" w:lineRule="atLeast"/>
            </w:pPr>
            <w:r w:rsidRPr="00F32FFF">
              <w:t>Urbis</w:t>
            </w:r>
          </w:p>
        </w:tc>
        <w:tc>
          <w:tcPr>
            <w:tcW w:w="1810" w:type="pct"/>
          </w:tcPr>
          <w:p w14:paraId="33D85FEF" w14:textId="4FB3D798" w:rsidR="004F7554" w:rsidRPr="00F32FFF" w:rsidRDefault="004F7554" w:rsidP="009A0965">
            <w:pPr>
              <w:pStyle w:val="ARtabletext"/>
              <w:spacing w:line="220" w:lineRule="atLeast"/>
            </w:pPr>
            <w:r w:rsidRPr="00F32FFF">
              <w:t>Community Connectors program</w:t>
            </w:r>
            <w:r w:rsidR="00AE0FBE">
              <w:t> </w:t>
            </w:r>
            <w:r w:rsidRPr="00F32FFF">
              <w:t>evaluation</w:t>
            </w:r>
          </w:p>
        </w:tc>
        <w:tc>
          <w:tcPr>
            <w:tcW w:w="747" w:type="pct"/>
          </w:tcPr>
          <w:p w14:paraId="0EE51C35" w14:textId="77777777" w:rsidR="004F7554" w:rsidRPr="00F32FFF" w:rsidRDefault="004F7554" w:rsidP="0004596B">
            <w:pPr>
              <w:pStyle w:val="ARtabletextright"/>
            </w:pPr>
            <w:r w:rsidRPr="00F32FFF">
              <w:t>$149,755</w:t>
            </w:r>
          </w:p>
        </w:tc>
        <w:tc>
          <w:tcPr>
            <w:tcW w:w="631" w:type="pct"/>
          </w:tcPr>
          <w:p w14:paraId="0677E291" w14:textId="77777777" w:rsidR="004F7554" w:rsidRPr="00F32FFF" w:rsidRDefault="004F7554" w:rsidP="0004596B">
            <w:pPr>
              <w:pStyle w:val="ARtabletextright"/>
            </w:pPr>
            <w:r w:rsidRPr="00F32FFF">
              <w:t>$14,976</w:t>
            </w:r>
          </w:p>
        </w:tc>
        <w:tc>
          <w:tcPr>
            <w:tcW w:w="655" w:type="pct"/>
          </w:tcPr>
          <w:p w14:paraId="403B88D4" w14:textId="233B0FA1" w:rsidR="004F7554" w:rsidRPr="00F32FFF" w:rsidRDefault="005B7C9B" w:rsidP="0004596B">
            <w:pPr>
              <w:pStyle w:val="ARtabletextright"/>
            </w:pPr>
            <w:r>
              <w:rPr>
                <w:rFonts w:ascii="Aptos Narrow" w:hAnsi="Aptos Narrow"/>
                <w:sz w:val="22"/>
                <w:szCs w:val="22"/>
              </w:rPr>
              <w:t>–</w:t>
            </w:r>
          </w:p>
        </w:tc>
      </w:tr>
      <w:tr w:rsidR="004F7554" w:rsidRPr="00F32FFF" w14:paraId="772FD19D" w14:textId="77777777" w:rsidTr="00DD775F">
        <w:trPr>
          <w:trHeight w:val="266"/>
        </w:trPr>
        <w:tc>
          <w:tcPr>
            <w:tcW w:w="1157" w:type="pct"/>
          </w:tcPr>
          <w:p w14:paraId="70A9F782" w14:textId="77777777" w:rsidR="004F7554" w:rsidRPr="00F32FFF" w:rsidRDefault="004F7554" w:rsidP="009A0965">
            <w:pPr>
              <w:pStyle w:val="ARtabletext"/>
              <w:spacing w:line="220" w:lineRule="atLeast"/>
            </w:pPr>
            <w:r w:rsidRPr="00F32FFF">
              <w:t>Dandolo Partners</w:t>
            </w:r>
          </w:p>
        </w:tc>
        <w:tc>
          <w:tcPr>
            <w:tcW w:w="1810" w:type="pct"/>
          </w:tcPr>
          <w:p w14:paraId="43892E30" w14:textId="77777777" w:rsidR="004F7554" w:rsidRPr="00F32FFF" w:rsidRDefault="004F7554" w:rsidP="009A0965">
            <w:pPr>
              <w:pStyle w:val="ARtabletext"/>
              <w:spacing w:line="220" w:lineRule="atLeast"/>
            </w:pPr>
            <w:r w:rsidRPr="00F32FFF">
              <w:t>Workforce growth strategies rapid review of evidence</w:t>
            </w:r>
          </w:p>
        </w:tc>
        <w:tc>
          <w:tcPr>
            <w:tcW w:w="747" w:type="pct"/>
          </w:tcPr>
          <w:p w14:paraId="00BDB9F0" w14:textId="77777777" w:rsidR="004F7554" w:rsidRPr="00F32FFF" w:rsidRDefault="004F7554" w:rsidP="0004596B">
            <w:pPr>
              <w:pStyle w:val="ARtabletextright"/>
            </w:pPr>
            <w:r w:rsidRPr="00F32FFF">
              <w:t>$148,726</w:t>
            </w:r>
          </w:p>
        </w:tc>
        <w:tc>
          <w:tcPr>
            <w:tcW w:w="631" w:type="pct"/>
          </w:tcPr>
          <w:p w14:paraId="0992DF24" w14:textId="77777777" w:rsidR="004F7554" w:rsidRPr="00F32FFF" w:rsidRDefault="004F7554" w:rsidP="0004596B">
            <w:pPr>
              <w:pStyle w:val="ARtabletextright"/>
            </w:pPr>
            <w:r w:rsidRPr="00F32FFF">
              <w:t>$14,873</w:t>
            </w:r>
          </w:p>
        </w:tc>
        <w:tc>
          <w:tcPr>
            <w:tcW w:w="655" w:type="pct"/>
          </w:tcPr>
          <w:p w14:paraId="62872F56" w14:textId="6752B57D" w:rsidR="004F7554" w:rsidRPr="00F32FFF" w:rsidRDefault="005B7C9B" w:rsidP="0004596B">
            <w:pPr>
              <w:pStyle w:val="ARtabletextright"/>
            </w:pPr>
            <w:r>
              <w:rPr>
                <w:rFonts w:ascii="Aptos Narrow" w:hAnsi="Aptos Narrow"/>
                <w:sz w:val="22"/>
                <w:szCs w:val="22"/>
              </w:rPr>
              <w:t>–</w:t>
            </w:r>
          </w:p>
        </w:tc>
      </w:tr>
      <w:tr w:rsidR="004F7554" w:rsidRPr="00F32FFF" w14:paraId="55A89A29" w14:textId="77777777" w:rsidTr="00DD775F">
        <w:trPr>
          <w:trHeight w:val="266"/>
        </w:trPr>
        <w:tc>
          <w:tcPr>
            <w:tcW w:w="1157" w:type="pct"/>
          </w:tcPr>
          <w:p w14:paraId="0089749E" w14:textId="77777777" w:rsidR="004F7554" w:rsidRPr="00F32FFF" w:rsidRDefault="004F7554" w:rsidP="009A0965">
            <w:pPr>
              <w:pStyle w:val="ARtabletext"/>
              <w:spacing w:line="220" w:lineRule="atLeast"/>
            </w:pPr>
            <w:r w:rsidRPr="00F32FFF">
              <w:t>Anne Dalton &amp; Associates</w:t>
            </w:r>
          </w:p>
        </w:tc>
        <w:tc>
          <w:tcPr>
            <w:tcW w:w="1810" w:type="pct"/>
          </w:tcPr>
          <w:p w14:paraId="344B7930" w14:textId="77777777" w:rsidR="004F7554" w:rsidRPr="00F32FFF" w:rsidRDefault="004F7554" w:rsidP="009A0965">
            <w:pPr>
              <w:pStyle w:val="ARtabletext"/>
              <w:spacing w:line="220" w:lineRule="atLeast"/>
            </w:pPr>
            <w:r w:rsidRPr="00F32FFF">
              <w:t xml:space="preserve">Probity Consultant Towers Redevelopment Project </w:t>
            </w:r>
          </w:p>
        </w:tc>
        <w:tc>
          <w:tcPr>
            <w:tcW w:w="747" w:type="pct"/>
          </w:tcPr>
          <w:p w14:paraId="4E74EB39" w14:textId="77777777" w:rsidR="004F7554" w:rsidRPr="00F32FFF" w:rsidRDefault="004F7554" w:rsidP="0004596B">
            <w:pPr>
              <w:pStyle w:val="ARtabletextright"/>
            </w:pPr>
            <w:r w:rsidRPr="00F32FFF">
              <w:t>$254,545</w:t>
            </w:r>
          </w:p>
        </w:tc>
        <w:tc>
          <w:tcPr>
            <w:tcW w:w="631" w:type="pct"/>
          </w:tcPr>
          <w:p w14:paraId="7670C54E" w14:textId="77777777" w:rsidR="004F7554" w:rsidRPr="00F32FFF" w:rsidRDefault="004F7554" w:rsidP="0004596B">
            <w:pPr>
              <w:pStyle w:val="ARtabletextright"/>
            </w:pPr>
            <w:r w:rsidRPr="00F32FFF">
              <w:t>$13,656</w:t>
            </w:r>
          </w:p>
        </w:tc>
        <w:tc>
          <w:tcPr>
            <w:tcW w:w="655" w:type="pct"/>
          </w:tcPr>
          <w:p w14:paraId="5F4E3087" w14:textId="77777777" w:rsidR="004F7554" w:rsidRPr="00F32FFF" w:rsidRDefault="004F7554" w:rsidP="0004596B">
            <w:pPr>
              <w:pStyle w:val="ARtabletextright"/>
            </w:pPr>
            <w:r w:rsidRPr="00F32FFF">
              <w:t>$240,889</w:t>
            </w:r>
          </w:p>
        </w:tc>
      </w:tr>
      <w:tr w:rsidR="004F7554" w:rsidRPr="00F32FFF" w14:paraId="21B1AE21" w14:textId="77777777" w:rsidTr="00DD775F">
        <w:trPr>
          <w:trHeight w:val="266"/>
        </w:trPr>
        <w:tc>
          <w:tcPr>
            <w:tcW w:w="1157" w:type="pct"/>
          </w:tcPr>
          <w:p w14:paraId="402EFF0C" w14:textId="77777777" w:rsidR="004F7554" w:rsidRPr="00F32FFF" w:rsidRDefault="004F7554" w:rsidP="009A0965">
            <w:pPr>
              <w:pStyle w:val="ARtabletext"/>
              <w:spacing w:line="220" w:lineRule="atLeast"/>
            </w:pPr>
            <w:r w:rsidRPr="00F32FFF">
              <w:t>Clientedge Business Management</w:t>
            </w:r>
          </w:p>
        </w:tc>
        <w:tc>
          <w:tcPr>
            <w:tcW w:w="1810" w:type="pct"/>
          </w:tcPr>
          <w:p w14:paraId="65FB3544" w14:textId="2C77AEF4" w:rsidR="004F7554" w:rsidRPr="00F32FFF" w:rsidRDefault="004F7554" w:rsidP="009A0965">
            <w:pPr>
              <w:pStyle w:val="ARtabletext"/>
              <w:spacing w:line="220" w:lineRule="atLeast"/>
            </w:pPr>
            <w:r w:rsidRPr="00F32FFF">
              <w:t xml:space="preserve">Vending </w:t>
            </w:r>
            <w:r w:rsidR="00363CF3" w:rsidRPr="00F32FFF">
              <w:t xml:space="preserve">industry advisor for free pads </w:t>
            </w:r>
            <w:r w:rsidR="00363CF3">
              <w:t>and </w:t>
            </w:r>
            <w:r w:rsidR="00363CF3" w:rsidRPr="00F32FFF">
              <w:t>tampons</w:t>
            </w:r>
          </w:p>
        </w:tc>
        <w:tc>
          <w:tcPr>
            <w:tcW w:w="747" w:type="pct"/>
          </w:tcPr>
          <w:p w14:paraId="71375D99" w14:textId="77777777" w:rsidR="004F7554" w:rsidRPr="00F32FFF" w:rsidRDefault="004F7554" w:rsidP="0004596B">
            <w:pPr>
              <w:pStyle w:val="ARtabletextright"/>
            </w:pPr>
            <w:r w:rsidRPr="00F32FFF">
              <w:t>$25,227</w:t>
            </w:r>
          </w:p>
        </w:tc>
        <w:tc>
          <w:tcPr>
            <w:tcW w:w="631" w:type="pct"/>
          </w:tcPr>
          <w:p w14:paraId="740EA5FF" w14:textId="77777777" w:rsidR="004F7554" w:rsidRPr="00F32FFF" w:rsidRDefault="004F7554" w:rsidP="0004596B">
            <w:pPr>
              <w:pStyle w:val="ARtabletextright"/>
            </w:pPr>
            <w:r w:rsidRPr="00F32FFF">
              <w:t>$13,261</w:t>
            </w:r>
          </w:p>
        </w:tc>
        <w:tc>
          <w:tcPr>
            <w:tcW w:w="655" w:type="pct"/>
          </w:tcPr>
          <w:p w14:paraId="71032BBC" w14:textId="77777777" w:rsidR="004F7554" w:rsidRPr="00F32FFF" w:rsidRDefault="004F7554" w:rsidP="0004596B">
            <w:pPr>
              <w:pStyle w:val="ARtabletextright"/>
            </w:pPr>
            <w:r w:rsidRPr="00F32FFF">
              <w:t>$7,705</w:t>
            </w:r>
          </w:p>
        </w:tc>
      </w:tr>
      <w:tr w:rsidR="004F7554" w:rsidRPr="00F32FFF" w14:paraId="75A7F991" w14:textId="77777777" w:rsidTr="00DD775F">
        <w:trPr>
          <w:trHeight w:val="266"/>
        </w:trPr>
        <w:tc>
          <w:tcPr>
            <w:tcW w:w="1157" w:type="pct"/>
          </w:tcPr>
          <w:p w14:paraId="3871F1F1" w14:textId="77777777" w:rsidR="004F7554" w:rsidRPr="00F32FFF" w:rsidRDefault="004F7554" w:rsidP="009A0965">
            <w:pPr>
              <w:pStyle w:val="ARtabletext"/>
              <w:spacing w:line="220" w:lineRule="atLeast"/>
            </w:pPr>
            <w:r w:rsidRPr="00F32FFF">
              <w:t>Bonnie Dukakis</w:t>
            </w:r>
          </w:p>
        </w:tc>
        <w:tc>
          <w:tcPr>
            <w:tcW w:w="1810" w:type="pct"/>
          </w:tcPr>
          <w:p w14:paraId="065B8F1C" w14:textId="30B8FF75" w:rsidR="004F7554" w:rsidRPr="00F32FFF" w:rsidRDefault="004F7554" w:rsidP="009A0965">
            <w:pPr>
              <w:pStyle w:val="ARtabletext"/>
              <w:spacing w:line="220" w:lineRule="atLeast"/>
            </w:pPr>
            <w:r w:rsidRPr="00F32FFF">
              <w:t xml:space="preserve">Alternative </w:t>
            </w:r>
            <w:r w:rsidR="00363CF3" w:rsidRPr="00F32FFF">
              <w:t>service model</w:t>
            </w:r>
            <w:r w:rsidRPr="00F32FFF">
              <w:t xml:space="preserve"> </w:t>
            </w:r>
            <w:r w:rsidR="005B7C9B">
              <w:t>–</w:t>
            </w:r>
            <w:r w:rsidRPr="00F32FFF">
              <w:t xml:space="preserve"> Independent Review Panel engagement </w:t>
            </w:r>
          </w:p>
        </w:tc>
        <w:tc>
          <w:tcPr>
            <w:tcW w:w="747" w:type="pct"/>
          </w:tcPr>
          <w:p w14:paraId="018DCF83" w14:textId="77777777" w:rsidR="004F7554" w:rsidRPr="00F32FFF" w:rsidRDefault="004F7554" w:rsidP="0004596B">
            <w:pPr>
              <w:pStyle w:val="ARtabletextright"/>
            </w:pPr>
            <w:r w:rsidRPr="00F32FFF">
              <w:t>$90,909</w:t>
            </w:r>
          </w:p>
        </w:tc>
        <w:tc>
          <w:tcPr>
            <w:tcW w:w="631" w:type="pct"/>
          </w:tcPr>
          <w:p w14:paraId="385E79C1" w14:textId="6331DB37" w:rsidR="004F7554" w:rsidRPr="00F32FFF" w:rsidRDefault="004F7554" w:rsidP="0004596B">
            <w:pPr>
              <w:pStyle w:val="ARtabletextright"/>
            </w:pPr>
            <w:r w:rsidRPr="00F32FFF">
              <w:t>$1</w:t>
            </w:r>
            <w:r w:rsidR="004C3250">
              <w:t>4,200</w:t>
            </w:r>
          </w:p>
        </w:tc>
        <w:tc>
          <w:tcPr>
            <w:tcW w:w="655" w:type="pct"/>
          </w:tcPr>
          <w:p w14:paraId="1B71BE8D" w14:textId="0481DD98" w:rsidR="004F7554" w:rsidRPr="00F32FFF" w:rsidRDefault="004F7554" w:rsidP="0004596B">
            <w:pPr>
              <w:pStyle w:val="ARtabletextright"/>
            </w:pPr>
            <w:r w:rsidRPr="00F32FFF">
              <w:t>$7</w:t>
            </w:r>
            <w:r w:rsidR="00E34457">
              <w:t>6,</w:t>
            </w:r>
            <w:r w:rsidR="0007180E">
              <w:t>709</w:t>
            </w:r>
          </w:p>
        </w:tc>
      </w:tr>
      <w:tr w:rsidR="004F7554" w:rsidRPr="00F32FFF" w14:paraId="708EC219" w14:textId="77777777" w:rsidTr="00DD775F">
        <w:trPr>
          <w:trHeight w:val="266"/>
        </w:trPr>
        <w:tc>
          <w:tcPr>
            <w:tcW w:w="1157" w:type="pct"/>
          </w:tcPr>
          <w:p w14:paraId="481E216B" w14:textId="77777777" w:rsidR="004F7554" w:rsidRPr="00F32FFF" w:rsidRDefault="004F7554" w:rsidP="009A0965">
            <w:pPr>
              <w:pStyle w:val="ARtabletext"/>
              <w:spacing w:line="220" w:lineRule="atLeast"/>
            </w:pPr>
            <w:r w:rsidRPr="00F32FFF">
              <w:t>MBMPL Pty Ltd</w:t>
            </w:r>
          </w:p>
        </w:tc>
        <w:tc>
          <w:tcPr>
            <w:tcW w:w="1810" w:type="pct"/>
          </w:tcPr>
          <w:p w14:paraId="46F4D585" w14:textId="51CA1C58" w:rsidR="004F7554" w:rsidRPr="00F32FFF" w:rsidRDefault="004F7554" w:rsidP="009A0965">
            <w:pPr>
              <w:pStyle w:val="ARtabletext"/>
              <w:spacing w:line="220" w:lineRule="atLeast"/>
            </w:pPr>
            <w:r w:rsidRPr="00F32FFF">
              <w:t xml:space="preserve">Public Housing Maintenance </w:t>
            </w:r>
            <w:r w:rsidR="005B7C9B">
              <w:t>–</w:t>
            </w:r>
            <w:r w:rsidRPr="00F32FFF">
              <w:t xml:space="preserve"> </w:t>
            </w:r>
            <w:r w:rsidR="00363CF3" w:rsidRPr="00F32FFF">
              <w:t>contract evaluation</w:t>
            </w:r>
          </w:p>
        </w:tc>
        <w:tc>
          <w:tcPr>
            <w:tcW w:w="747" w:type="pct"/>
          </w:tcPr>
          <w:p w14:paraId="39B02C61" w14:textId="77777777" w:rsidR="004F7554" w:rsidRPr="00F32FFF" w:rsidRDefault="004F7554" w:rsidP="0004596B">
            <w:pPr>
              <w:pStyle w:val="ARtabletextright"/>
            </w:pPr>
            <w:r w:rsidRPr="00F32FFF">
              <w:t>$135,398</w:t>
            </w:r>
          </w:p>
        </w:tc>
        <w:tc>
          <w:tcPr>
            <w:tcW w:w="631" w:type="pct"/>
          </w:tcPr>
          <w:p w14:paraId="36A34FA5" w14:textId="77777777" w:rsidR="004F7554" w:rsidRPr="00F32FFF" w:rsidRDefault="004F7554" w:rsidP="0004596B">
            <w:pPr>
              <w:pStyle w:val="ARtabletextright"/>
            </w:pPr>
            <w:r w:rsidRPr="00F32FFF">
              <w:t>$12,443</w:t>
            </w:r>
          </w:p>
        </w:tc>
        <w:tc>
          <w:tcPr>
            <w:tcW w:w="655" w:type="pct"/>
          </w:tcPr>
          <w:p w14:paraId="32332E94" w14:textId="49B454A6" w:rsidR="004F7554" w:rsidRPr="00F32FFF" w:rsidRDefault="005B7C9B" w:rsidP="0004596B">
            <w:pPr>
              <w:pStyle w:val="ARtabletextright"/>
            </w:pPr>
            <w:r>
              <w:rPr>
                <w:rFonts w:ascii="Aptos Narrow" w:hAnsi="Aptos Narrow"/>
                <w:sz w:val="22"/>
                <w:szCs w:val="22"/>
              </w:rPr>
              <w:t>–</w:t>
            </w:r>
          </w:p>
        </w:tc>
      </w:tr>
      <w:tr w:rsidR="004F7554" w:rsidRPr="00F32FFF" w14:paraId="6C04082B" w14:textId="77777777" w:rsidTr="00DD775F">
        <w:trPr>
          <w:trHeight w:val="266"/>
        </w:trPr>
        <w:tc>
          <w:tcPr>
            <w:tcW w:w="1157" w:type="pct"/>
          </w:tcPr>
          <w:p w14:paraId="2FB92D39" w14:textId="77777777" w:rsidR="004F7554" w:rsidRPr="00F32FFF" w:rsidRDefault="004F7554" w:rsidP="009A0965">
            <w:pPr>
              <w:pStyle w:val="ARtabletext"/>
              <w:spacing w:line="220" w:lineRule="atLeast"/>
            </w:pPr>
            <w:r w:rsidRPr="00F32FFF">
              <w:t>Lionheart Consulting Australia</w:t>
            </w:r>
          </w:p>
        </w:tc>
        <w:tc>
          <w:tcPr>
            <w:tcW w:w="1810" w:type="pct"/>
          </w:tcPr>
          <w:p w14:paraId="6E08AC29" w14:textId="73CC4323" w:rsidR="004F7554" w:rsidRPr="00F32FFF" w:rsidRDefault="004F7554" w:rsidP="009A0965">
            <w:pPr>
              <w:pStyle w:val="ARtabletext"/>
              <w:spacing w:line="220" w:lineRule="atLeast"/>
            </w:pPr>
            <w:r w:rsidRPr="00F32FFF">
              <w:t xml:space="preserve">Office of Professional Practice </w:t>
            </w:r>
            <w:r w:rsidR="00363CF3" w:rsidRPr="00F32FFF">
              <w:t>strategic</w:t>
            </w:r>
            <w:r w:rsidR="00363CF3">
              <w:t> </w:t>
            </w:r>
            <w:r w:rsidR="00363CF3" w:rsidRPr="00F32FFF">
              <w:t>planning</w:t>
            </w:r>
          </w:p>
        </w:tc>
        <w:tc>
          <w:tcPr>
            <w:tcW w:w="747" w:type="pct"/>
          </w:tcPr>
          <w:p w14:paraId="5DC19389" w14:textId="77777777" w:rsidR="004F7554" w:rsidRPr="00F32FFF" w:rsidRDefault="004F7554" w:rsidP="0004596B">
            <w:pPr>
              <w:pStyle w:val="ARtabletextright"/>
            </w:pPr>
            <w:r w:rsidRPr="00F32FFF">
              <w:t>$45,425</w:t>
            </w:r>
          </w:p>
        </w:tc>
        <w:tc>
          <w:tcPr>
            <w:tcW w:w="631" w:type="pct"/>
          </w:tcPr>
          <w:p w14:paraId="6645C54F" w14:textId="77777777" w:rsidR="004F7554" w:rsidRPr="00F32FFF" w:rsidRDefault="004F7554" w:rsidP="0004596B">
            <w:pPr>
              <w:pStyle w:val="ARtabletextright"/>
            </w:pPr>
            <w:r w:rsidRPr="00F32FFF">
              <w:t>$12,240</w:t>
            </w:r>
          </w:p>
        </w:tc>
        <w:tc>
          <w:tcPr>
            <w:tcW w:w="655" w:type="pct"/>
          </w:tcPr>
          <w:p w14:paraId="1DAF6009" w14:textId="3BC3BCB8" w:rsidR="004F7554" w:rsidRPr="00F32FFF" w:rsidRDefault="005B7C9B" w:rsidP="0004596B">
            <w:pPr>
              <w:pStyle w:val="ARtabletextright"/>
            </w:pPr>
            <w:r>
              <w:rPr>
                <w:rFonts w:ascii="Aptos Narrow" w:hAnsi="Aptos Narrow"/>
                <w:color w:val="000000" w:themeColor="text1"/>
                <w:sz w:val="22"/>
                <w:szCs w:val="22"/>
              </w:rPr>
              <w:t>–</w:t>
            </w:r>
          </w:p>
        </w:tc>
      </w:tr>
      <w:tr w:rsidR="004F7554" w:rsidRPr="00BC74EB" w14:paraId="16C25FA3" w14:textId="77777777" w:rsidTr="00DD775F">
        <w:trPr>
          <w:trHeight w:val="266"/>
        </w:trPr>
        <w:tc>
          <w:tcPr>
            <w:tcW w:w="1157" w:type="pct"/>
          </w:tcPr>
          <w:p w14:paraId="71BA3DB9" w14:textId="77777777" w:rsidR="004F7554" w:rsidRPr="00F32FFF" w:rsidRDefault="004F7554" w:rsidP="009A0965">
            <w:pPr>
              <w:pStyle w:val="ARtabletext"/>
              <w:spacing w:line="220" w:lineRule="atLeast"/>
            </w:pPr>
            <w:r w:rsidRPr="00F32FFF">
              <w:t>Where To</w:t>
            </w:r>
          </w:p>
        </w:tc>
        <w:tc>
          <w:tcPr>
            <w:tcW w:w="1810" w:type="pct"/>
          </w:tcPr>
          <w:p w14:paraId="10DED5D3" w14:textId="65F78797" w:rsidR="004F7554" w:rsidRPr="00F32FFF" w:rsidRDefault="004F7554" w:rsidP="009A0965">
            <w:pPr>
              <w:pStyle w:val="ARtabletext"/>
              <w:spacing w:line="220" w:lineRule="atLeast"/>
            </w:pPr>
            <w:r w:rsidRPr="00F32FFF">
              <w:t xml:space="preserve">Strategic Partnership Program </w:t>
            </w:r>
            <w:r w:rsidR="00363CF3">
              <w:t>e</w:t>
            </w:r>
            <w:r w:rsidR="00363CF3" w:rsidRPr="00F32FFF">
              <w:t>valuation</w:t>
            </w:r>
          </w:p>
        </w:tc>
        <w:tc>
          <w:tcPr>
            <w:tcW w:w="747" w:type="pct"/>
          </w:tcPr>
          <w:p w14:paraId="4FBDBD9E" w14:textId="77777777" w:rsidR="004F7554" w:rsidRPr="00F32FFF" w:rsidRDefault="004F7554" w:rsidP="0004596B">
            <w:pPr>
              <w:pStyle w:val="ARtabletextright"/>
            </w:pPr>
            <w:r w:rsidRPr="00F32FFF">
              <w:t>$205,751</w:t>
            </w:r>
          </w:p>
        </w:tc>
        <w:tc>
          <w:tcPr>
            <w:tcW w:w="631" w:type="pct"/>
          </w:tcPr>
          <w:p w14:paraId="3D20388E" w14:textId="77777777" w:rsidR="004F7554" w:rsidRPr="00F32FFF" w:rsidRDefault="004F7554" w:rsidP="0004596B">
            <w:pPr>
              <w:pStyle w:val="ARtabletextright"/>
            </w:pPr>
            <w:r w:rsidRPr="00F32FFF">
              <w:t>$11,364</w:t>
            </w:r>
          </w:p>
        </w:tc>
        <w:tc>
          <w:tcPr>
            <w:tcW w:w="655" w:type="pct"/>
          </w:tcPr>
          <w:p w14:paraId="1826777B" w14:textId="77777777" w:rsidR="004F7554" w:rsidRPr="001D4640" w:rsidRDefault="004F7554" w:rsidP="0004596B">
            <w:pPr>
              <w:pStyle w:val="ARtabletextright"/>
            </w:pPr>
            <w:r w:rsidRPr="00F32FFF">
              <w:t>$194,387</w:t>
            </w:r>
          </w:p>
        </w:tc>
      </w:tr>
    </w:tbl>
    <w:p w14:paraId="39DB9B4D" w14:textId="77777777" w:rsidR="004F7554" w:rsidRPr="00AD5398" w:rsidRDefault="004F7554" w:rsidP="00333387">
      <w:pPr>
        <w:pStyle w:val="Heading3"/>
      </w:pPr>
      <w:bookmarkStart w:id="211" w:name="_Ref178180184"/>
      <w:r w:rsidRPr="00AD5398">
        <w:t xml:space="preserve">Details of </w:t>
      </w:r>
      <w:r w:rsidRPr="002F7D0A">
        <w:t>consultancies</w:t>
      </w:r>
      <w:r w:rsidRPr="00AD5398">
        <w:t xml:space="preserve"> (value under $10,000)</w:t>
      </w:r>
      <w:bookmarkEnd w:id="211"/>
    </w:p>
    <w:p w14:paraId="38E19D75" w14:textId="087803E9" w:rsidR="00C137F2" w:rsidRDefault="004F7554" w:rsidP="002F7D0A">
      <w:pPr>
        <w:pStyle w:val="ARbody"/>
      </w:pPr>
      <w:r w:rsidRPr="00AD5398">
        <w:t>In 202</w:t>
      </w:r>
      <w:r>
        <w:t>3</w:t>
      </w:r>
      <w:r w:rsidRPr="00AD5398">
        <w:t>–2</w:t>
      </w:r>
      <w:r>
        <w:t>4</w:t>
      </w:r>
      <w:r w:rsidRPr="00AD5398">
        <w:t xml:space="preserve">, there were </w:t>
      </w:r>
      <w:r w:rsidR="00F95AC7">
        <w:t>6</w:t>
      </w:r>
      <w:r w:rsidRPr="00AD5398">
        <w:rPr>
          <w:color w:val="FF0000"/>
        </w:rPr>
        <w:t xml:space="preserve"> </w:t>
      </w:r>
      <w:r w:rsidRPr="00AD5398">
        <w:t>consultancies</w:t>
      </w:r>
      <w:r w:rsidRPr="00AD5398">
        <w:rPr>
          <w:color w:val="FF0000"/>
        </w:rPr>
        <w:t xml:space="preserve"> </w:t>
      </w:r>
      <w:r w:rsidRPr="00AD5398">
        <w:t>engaged during the year where the total fees payable to the individual consultancies was less than $10,000.</w:t>
      </w:r>
      <w:r>
        <w:t xml:space="preserve"> </w:t>
      </w:r>
      <w:r w:rsidRPr="00AD5398">
        <w:t>The total expenditure incurred during 2023–24 in relation to these consultancies is $</w:t>
      </w:r>
      <w:r>
        <w:t>28,836</w:t>
      </w:r>
      <w:r w:rsidRPr="00AD5398">
        <w:t xml:space="preserve"> (</w:t>
      </w:r>
      <w:r w:rsidRPr="002F7D0A">
        <w:t>excluding</w:t>
      </w:r>
      <w:r w:rsidRPr="00AD5398">
        <w:t xml:space="preserve"> GST).</w:t>
      </w:r>
    </w:p>
    <w:p w14:paraId="2B057132" w14:textId="77777777" w:rsidR="0024495A" w:rsidRDefault="004F7554" w:rsidP="00B2472E">
      <w:pPr>
        <w:pStyle w:val="Heading2"/>
        <w:spacing w:before="480"/>
        <w:sectPr w:rsidR="0024495A" w:rsidSect="00F31D9A">
          <w:footnotePr>
            <w:numFmt w:val="lowerRoman"/>
            <w:numRestart w:val="eachPage"/>
          </w:footnotePr>
          <w:endnotePr>
            <w:numFmt w:val="decimal"/>
          </w:endnotePr>
          <w:pgSz w:w="11900" w:h="16840" w:code="9"/>
          <w:pgMar w:top="1701" w:right="1134" w:bottom="851" w:left="1134" w:header="510" w:footer="340" w:gutter="0"/>
          <w:cols w:space="454"/>
          <w:docGrid w:linePitch="326"/>
        </w:sectPr>
      </w:pPr>
      <w:bookmarkStart w:id="212" w:name="_Ref178171382"/>
      <w:bookmarkStart w:id="213" w:name="_Toc181101513"/>
      <w:r w:rsidRPr="00532DAE">
        <w:t>Information and communication technology</w:t>
      </w:r>
      <w:r w:rsidR="0024495A">
        <w:t> </w:t>
      </w:r>
      <w:r w:rsidRPr="00532DAE">
        <w:t>expenditure</w:t>
      </w:r>
      <w:bookmarkEnd w:id="212"/>
      <w:bookmarkEnd w:id="213"/>
    </w:p>
    <w:p w14:paraId="4D816A06" w14:textId="77777777" w:rsidR="008C743D" w:rsidRPr="00AD5398" w:rsidRDefault="008C743D" w:rsidP="008C743D">
      <w:pPr>
        <w:pStyle w:val="ARbody"/>
      </w:pPr>
      <w:r w:rsidRPr="00AD5398">
        <w:t xml:space="preserve">In 2023–24, there were </w:t>
      </w:r>
      <w:r>
        <w:t>82</w:t>
      </w:r>
      <w:r w:rsidRPr="00AD5398">
        <w:t xml:space="preserve"> consultancies where the total fees payable to the consultants were $10,000 or greater. The total expenditure incurred during 2023–24 in relation to these consultancies is $12.</w:t>
      </w:r>
      <w:r>
        <w:t>98</w:t>
      </w:r>
      <w:r w:rsidRPr="00AD5398">
        <w:t xml:space="preserve"> million (excluding GST). Details of individual consultancies are outlined below.</w:t>
      </w:r>
    </w:p>
    <w:p w14:paraId="4EE60B50" w14:textId="1ECF5551" w:rsidR="008C743D" w:rsidRDefault="008C743D" w:rsidP="00A95A18">
      <w:pPr>
        <w:pStyle w:val="ARtablecaption"/>
        <w:rPr>
          <w:szCs w:val="20"/>
          <w:highlight w:val="yellow"/>
        </w:rPr>
      </w:pPr>
      <w:r w:rsidRPr="00AD5398">
        <w:t xml:space="preserve">Table </w:t>
      </w:r>
      <w:r w:rsidR="007746AA">
        <w:t>10</w:t>
      </w:r>
      <w:r w:rsidRPr="00AD5398">
        <w:t xml:space="preserve">: </w:t>
      </w:r>
      <w:r w:rsidR="002800C9">
        <w:t>ICT expenditure 2023</w:t>
      </w:r>
      <w:r w:rsidR="00BC7A88">
        <w:t>–</w:t>
      </w:r>
      <w:r w:rsidR="002800C9">
        <w:t>24</w:t>
      </w:r>
    </w:p>
    <w:tbl>
      <w:tblPr>
        <w:tblStyle w:val="TableGrid"/>
        <w:tblW w:w="5000" w:type="pct"/>
        <w:tblLook w:val="06E0" w:firstRow="1" w:lastRow="1" w:firstColumn="1" w:lastColumn="0" w:noHBand="1" w:noVBand="1"/>
      </w:tblPr>
      <w:tblGrid>
        <w:gridCol w:w="6948"/>
        <w:gridCol w:w="2674"/>
      </w:tblGrid>
      <w:tr w:rsidR="007618DF" w:rsidRPr="00181F10" w14:paraId="1CC44063" w14:textId="77777777" w:rsidTr="00DD775F">
        <w:trPr>
          <w:cnfStyle w:val="100000000000" w:firstRow="1" w:lastRow="0" w:firstColumn="0" w:lastColumn="0" w:oddVBand="0" w:evenVBand="0" w:oddHBand="0" w:evenHBand="0" w:firstRowFirstColumn="0" w:firstRowLastColumn="0" w:lastRowFirstColumn="0" w:lastRowLastColumn="0"/>
          <w:tblHeader/>
        </w:trPr>
        <w:tc>
          <w:tcPr>
            <w:tcW w:w="3681" w:type="dxa"/>
          </w:tcPr>
          <w:p w14:paraId="6433E398" w14:textId="77777777" w:rsidR="007618DF" w:rsidRPr="00181F10" w:rsidRDefault="007618DF">
            <w:pPr>
              <w:pStyle w:val="ARtablecolhead"/>
              <w:spacing w:before="60" w:after="40"/>
            </w:pPr>
            <w:r w:rsidRPr="00181F10">
              <w:t>Expenditure</w:t>
            </w:r>
          </w:p>
        </w:tc>
        <w:tc>
          <w:tcPr>
            <w:tcW w:w="1417" w:type="dxa"/>
          </w:tcPr>
          <w:p w14:paraId="35AF2FA9" w14:textId="485A10C0" w:rsidR="007618DF" w:rsidRPr="00181F10" w:rsidRDefault="007618DF">
            <w:pPr>
              <w:pStyle w:val="ARtablecolheadright"/>
              <w:spacing w:before="60" w:after="40"/>
            </w:pPr>
            <w:r w:rsidRPr="00181F10">
              <w:t>($</w:t>
            </w:r>
            <w:r w:rsidR="00711AE6">
              <w:t>’</w:t>
            </w:r>
            <w:r w:rsidRPr="00181F10">
              <w:t>000)</w:t>
            </w:r>
          </w:p>
        </w:tc>
      </w:tr>
      <w:tr w:rsidR="007618DF" w:rsidRPr="00181F10" w14:paraId="44A81BC4" w14:textId="77777777" w:rsidTr="00DD775F">
        <w:tc>
          <w:tcPr>
            <w:tcW w:w="5098" w:type="dxa"/>
            <w:gridSpan w:val="2"/>
          </w:tcPr>
          <w:p w14:paraId="2FE6CF36" w14:textId="77777777" w:rsidR="007618DF" w:rsidRPr="00181F10" w:rsidRDefault="007618DF">
            <w:pPr>
              <w:pStyle w:val="ARtablecolhead"/>
              <w:spacing w:before="60" w:after="40"/>
            </w:pPr>
            <w:r w:rsidRPr="00181F10">
              <w:t>Non-BAU ICT expenditure</w:t>
            </w:r>
          </w:p>
        </w:tc>
      </w:tr>
      <w:tr w:rsidR="007618DF" w:rsidRPr="00181F10" w14:paraId="13CC025E" w14:textId="77777777" w:rsidTr="00DD775F">
        <w:tc>
          <w:tcPr>
            <w:tcW w:w="3681" w:type="dxa"/>
          </w:tcPr>
          <w:p w14:paraId="003DFD2F" w14:textId="77777777" w:rsidR="007618DF" w:rsidRPr="00181F10" w:rsidRDefault="007618DF">
            <w:pPr>
              <w:pStyle w:val="ARtabletext"/>
              <w:spacing w:before="60" w:after="40"/>
            </w:pPr>
            <w:r w:rsidRPr="00181F10">
              <w:t>Operational expenditure</w:t>
            </w:r>
          </w:p>
        </w:tc>
        <w:tc>
          <w:tcPr>
            <w:tcW w:w="1417" w:type="dxa"/>
          </w:tcPr>
          <w:p w14:paraId="6526926B" w14:textId="77777777" w:rsidR="007618DF" w:rsidRPr="00181F10" w:rsidRDefault="007618DF">
            <w:pPr>
              <w:pStyle w:val="ARtabletextright"/>
              <w:spacing w:before="60" w:after="40"/>
            </w:pPr>
            <w:r w:rsidRPr="00181F10">
              <w:t>21,649</w:t>
            </w:r>
          </w:p>
        </w:tc>
      </w:tr>
      <w:tr w:rsidR="007618DF" w:rsidRPr="00181F10" w14:paraId="1A0F00C4" w14:textId="77777777" w:rsidTr="00DD775F">
        <w:tc>
          <w:tcPr>
            <w:tcW w:w="3681" w:type="dxa"/>
          </w:tcPr>
          <w:p w14:paraId="14839CCE" w14:textId="77777777" w:rsidR="007618DF" w:rsidRPr="00181F10" w:rsidRDefault="007618DF">
            <w:pPr>
              <w:pStyle w:val="ARtabletext"/>
              <w:spacing w:before="60" w:after="40"/>
            </w:pPr>
            <w:r w:rsidRPr="00181F10">
              <w:t>Capital expenditure</w:t>
            </w:r>
          </w:p>
        </w:tc>
        <w:tc>
          <w:tcPr>
            <w:tcW w:w="1417" w:type="dxa"/>
          </w:tcPr>
          <w:p w14:paraId="18233759" w14:textId="77777777" w:rsidR="007618DF" w:rsidRPr="00181F10" w:rsidRDefault="007618DF">
            <w:pPr>
              <w:pStyle w:val="ARtabletextright"/>
              <w:spacing w:before="60" w:after="40"/>
            </w:pPr>
            <w:r w:rsidRPr="00181F10">
              <w:t>14,402</w:t>
            </w:r>
          </w:p>
        </w:tc>
      </w:tr>
      <w:tr w:rsidR="007618DF" w:rsidRPr="00181F10" w14:paraId="0CBE20B2" w14:textId="77777777" w:rsidTr="00DD775F">
        <w:tc>
          <w:tcPr>
            <w:tcW w:w="3681" w:type="dxa"/>
          </w:tcPr>
          <w:p w14:paraId="4C9D11DB" w14:textId="77777777" w:rsidR="007618DF" w:rsidRPr="00181F10" w:rsidRDefault="007618DF">
            <w:pPr>
              <w:pStyle w:val="ARtabletextbold"/>
              <w:spacing w:before="60" w:after="40"/>
            </w:pPr>
            <w:r w:rsidRPr="00181F10">
              <w:t>Non-BAU ICT expenditure total (A)</w:t>
            </w:r>
          </w:p>
        </w:tc>
        <w:tc>
          <w:tcPr>
            <w:tcW w:w="1417" w:type="dxa"/>
          </w:tcPr>
          <w:p w14:paraId="40C2D04E" w14:textId="77777777" w:rsidR="007618DF" w:rsidRPr="00181F10" w:rsidRDefault="007618DF">
            <w:pPr>
              <w:pStyle w:val="ARtabletextrightbold"/>
              <w:spacing w:before="60" w:after="40"/>
            </w:pPr>
            <w:r w:rsidRPr="00181F10">
              <w:t>36,051</w:t>
            </w:r>
          </w:p>
        </w:tc>
      </w:tr>
      <w:tr w:rsidR="007618DF" w:rsidRPr="00181F10" w14:paraId="685D281E" w14:textId="77777777" w:rsidTr="00DD775F">
        <w:tc>
          <w:tcPr>
            <w:tcW w:w="3681" w:type="dxa"/>
          </w:tcPr>
          <w:p w14:paraId="74F916C4" w14:textId="77777777" w:rsidR="007618DF" w:rsidRPr="00181F10" w:rsidRDefault="007618DF">
            <w:pPr>
              <w:pStyle w:val="ARtabletextbold"/>
              <w:spacing w:before="60" w:after="40"/>
            </w:pPr>
            <w:r w:rsidRPr="00181F10">
              <w:t>BAU ICT expenditure (B)</w:t>
            </w:r>
          </w:p>
        </w:tc>
        <w:tc>
          <w:tcPr>
            <w:tcW w:w="1417" w:type="dxa"/>
          </w:tcPr>
          <w:p w14:paraId="12EB4FB2" w14:textId="77777777" w:rsidR="007618DF" w:rsidRPr="00181F10" w:rsidRDefault="007618DF">
            <w:pPr>
              <w:pStyle w:val="ARtabletextrightbold"/>
              <w:spacing w:before="60" w:after="40"/>
            </w:pPr>
            <w:r>
              <w:t>20,458</w:t>
            </w:r>
          </w:p>
        </w:tc>
      </w:tr>
      <w:tr w:rsidR="007618DF" w:rsidRPr="00275ED3" w14:paraId="29167414" w14:textId="77777777" w:rsidTr="00DD775F">
        <w:tc>
          <w:tcPr>
            <w:tcW w:w="3681" w:type="dxa"/>
          </w:tcPr>
          <w:p w14:paraId="58D8F98A" w14:textId="77777777" w:rsidR="007618DF" w:rsidRPr="00181F10" w:rsidRDefault="007618DF">
            <w:pPr>
              <w:pStyle w:val="ARtabletextbold"/>
              <w:spacing w:before="60" w:after="40"/>
            </w:pPr>
            <w:r w:rsidRPr="00181F10">
              <w:t>TOTAL (A + B)</w:t>
            </w:r>
          </w:p>
        </w:tc>
        <w:tc>
          <w:tcPr>
            <w:tcW w:w="1417" w:type="dxa"/>
          </w:tcPr>
          <w:p w14:paraId="16E9F987" w14:textId="77777777" w:rsidR="007618DF" w:rsidRPr="00181F10" w:rsidRDefault="007618DF">
            <w:pPr>
              <w:pStyle w:val="ARtabletextrightbold"/>
              <w:spacing w:before="60" w:after="40"/>
            </w:pPr>
            <w:r>
              <w:t>56,509</w:t>
            </w:r>
          </w:p>
        </w:tc>
      </w:tr>
    </w:tbl>
    <w:p w14:paraId="5D6FFA68" w14:textId="77777777" w:rsidR="007618DF" w:rsidRPr="000815C1" w:rsidRDefault="007618DF" w:rsidP="007618DF">
      <w:pPr>
        <w:pStyle w:val="ARtablefootnote"/>
      </w:pPr>
      <w:r w:rsidRPr="000815C1">
        <w:t>Notes:</w:t>
      </w:r>
    </w:p>
    <w:p w14:paraId="2BE64B23" w14:textId="4241694C" w:rsidR="007618DF" w:rsidRPr="000815C1" w:rsidRDefault="007618DF" w:rsidP="007618DF">
      <w:pPr>
        <w:pStyle w:val="ARtablefootnote"/>
      </w:pPr>
      <w:r w:rsidRPr="000815C1">
        <w:t>ICT expenditure refers to the department</w:t>
      </w:r>
      <w:r w:rsidR="00711AE6">
        <w:t>’</w:t>
      </w:r>
      <w:r w:rsidRPr="000815C1">
        <w:t>s costs in providing business-enabling ICT services within the current reporting period.</w:t>
      </w:r>
    </w:p>
    <w:p w14:paraId="3CDD5202" w14:textId="77777777" w:rsidR="007618DF" w:rsidRPr="000815C1" w:rsidRDefault="007618DF" w:rsidP="007618DF">
      <w:pPr>
        <w:pStyle w:val="ARtablefootnote"/>
      </w:pPr>
      <w:r w:rsidRPr="000815C1">
        <w:t>It comprises business-as-usual (BAU) ICT expenditure and non-business-as-usual (non-BAU) ICT expenditure.</w:t>
      </w:r>
    </w:p>
    <w:p w14:paraId="119FFDD5" w14:textId="62715064" w:rsidR="007618DF" w:rsidRPr="000815C1" w:rsidRDefault="007618DF" w:rsidP="007618DF">
      <w:pPr>
        <w:pStyle w:val="ARtablefootnote"/>
      </w:pPr>
      <w:r w:rsidRPr="000815C1">
        <w:t>Non-BAU ICT expenditure relates to projects to create or enhance the department</w:t>
      </w:r>
      <w:r w:rsidR="00711AE6">
        <w:t>’</w:t>
      </w:r>
      <w:r w:rsidRPr="000815C1">
        <w:t>s current ICT capabilities.</w:t>
      </w:r>
    </w:p>
    <w:p w14:paraId="41D98575" w14:textId="77777777" w:rsidR="007618DF" w:rsidRPr="000815C1" w:rsidRDefault="007618DF" w:rsidP="007618DF">
      <w:pPr>
        <w:pStyle w:val="ARtablefootnote"/>
      </w:pPr>
      <w:r w:rsidRPr="000815C1">
        <w:t>BAU ICT expenditure is all remaining ICT expenditure, which primarily relates to ongoing activities to operate and maintain the current ICT capability.</w:t>
      </w:r>
    </w:p>
    <w:p w14:paraId="50E1B25E" w14:textId="390D1085" w:rsidR="007618DF" w:rsidRDefault="007618DF" w:rsidP="007618DF">
      <w:pPr>
        <w:pStyle w:val="ARtablefootnote"/>
      </w:pPr>
      <w:r w:rsidRPr="00A47FA4">
        <w:t>The total BAU and non-BAU ICT expenditure incurred within the reporting period is $1</w:t>
      </w:r>
      <w:r>
        <w:t>53.3</w:t>
      </w:r>
      <w:r w:rsidRPr="00A47FA4">
        <w:t xml:space="preserve"> million. For reporting purposes, all ICT expenditure relating to shared services for the Department of Families, Fairness and Housing (the department) and Department of Health is only reported in the Department of Health</w:t>
      </w:r>
      <w:r w:rsidR="00711AE6">
        <w:t>’</w:t>
      </w:r>
      <w:r w:rsidRPr="00A47FA4">
        <w:t>s 2023</w:t>
      </w:r>
      <w:r w:rsidR="006E2F2E">
        <w:t>–</w:t>
      </w:r>
      <w:r w:rsidRPr="00A47FA4">
        <w:t>24 annual report disclosure. The department</w:t>
      </w:r>
      <w:r w:rsidR="00711AE6">
        <w:t>’</w:t>
      </w:r>
      <w:r w:rsidRPr="00A47FA4">
        <w:t>s component related to shared services is $96.8 million.</w:t>
      </w:r>
    </w:p>
    <w:p w14:paraId="10C958FD" w14:textId="05EED09F" w:rsidR="00651059" w:rsidRPr="009A0965" w:rsidRDefault="007618DF" w:rsidP="009A0965">
      <w:pPr>
        <w:pStyle w:val="ARtablefootnote"/>
        <w:rPr>
          <w:rStyle w:val="Strong"/>
          <w:b w:val="0"/>
          <w:bCs w:val="0"/>
        </w:rPr>
        <w:sectPr w:rsidR="00651059" w:rsidRPr="009A0965"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r w:rsidRPr="009A0965">
        <w:rPr>
          <w:rStyle w:val="Strong"/>
        </w:rPr>
        <w:t>Note: there was an error published in the FY23 annual report that overstated the ICT expenditure reported as $63.2</w:t>
      </w:r>
      <w:r w:rsidR="00126606" w:rsidRPr="009A0965">
        <w:rPr>
          <w:rStyle w:val="Strong"/>
        </w:rPr>
        <w:t xml:space="preserve"> </w:t>
      </w:r>
      <w:r w:rsidRPr="009A0965">
        <w:rPr>
          <w:rStyle w:val="Strong"/>
        </w:rPr>
        <w:t>m</w:t>
      </w:r>
      <w:r w:rsidR="00126606" w:rsidRPr="009A0965">
        <w:rPr>
          <w:rStyle w:val="Strong"/>
        </w:rPr>
        <w:t>illion</w:t>
      </w:r>
      <w:r w:rsidRPr="009A0965">
        <w:rPr>
          <w:rStyle w:val="Strong"/>
        </w:rPr>
        <w:t xml:space="preserve"> for </w:t>
      </w:r>
      <w:r w:rsidR="00126606" w:rsidRPr="009A0965">
        <w:rPr>
          <w:rStyle w:val="Strong"/>
        </w:rPr>
        <w:t xml:space="preserve">the department </w:t>
      </w:r>
      <w:r w:rsidRPr="009A0965">
        <w:rPr>
          <w:rStyle w:val="Strong"/>
        </w:rPr>
        <w:t>by $8.6</w:t>
      </w:r>
      <w:r w:rsidR="00126606" w:rsidRPr="009A0965">
        <w:rPr>
          <w:rStyle w:val="Strong"/>
        </w:rPr>
        <w:t xml:space="preserve"> </w:t>
      </w:r>
      <w:r w:rsidRPr="009A0965">
        <w:rPr>
          <w:rStyle w:val="Strong"/>
        </w:rPr>
        <w:t>m</w:t>
      </w:r>
      <w:r w:rsidR="00126606" w:rsidRPr="009A0965">
        <w:rPr>
          <w:rStyle w:val="Strong"/>
        </w:rPr>
        <w:t>illion</w:t>
      </w:r>
      <w:r w:rsidRPr="009A0965">
        <w:rPr>
          <w:rStyle w:val="Strong"/>
        </w:rPr>
        <w:t>. The correct ICT expenditure amount for FY22</w:t>
      </w:r>
      <w:r w:rsidR="00126606" w:rsidRPr="009A0965">
        <w:rPr>
          <w:rStyle w:val="Strong"/>
        </w:rPr>
        <w:t>–</w:t>
      </w:r>
      <w:r w:rsidRPr="009A0965">
        <w:rPr>
          <w:rStyle w:val="Strong"/>
        </w:rPr>
        <w:t>23 is $54.6</w:t>
      </w:r>
      <w:r w:rsidR="00126606" w:rsidRPr="009A0965">
        <w:rPr>
          <w:rStyle w:val="Strong"/>
        </w:rPr>
        <w:t xml:space="preserve"> </w:t>
      </w:r>
      <w:r w:rsidRPr="009A0965">
        <w:rPr>
          <w:rStyle w:val="Strong"/>
        </w:rPr>
        <w:t>m</w:t>
      </w:r>
      <w:r w:rsidR="00126606" w:rsidRPr="009A0965">
        <w:rPr>
          <w:rStyle w:val="Strong"/>
        </w:rPr>
        <w:t>illion</w:t>
      </w:r>
      <w:r w:rsidRPr="009A0965">
        <w:rPr>
          <w:rStyle w:val="Strong"/>
        </w:rPr>
        <w:t>.</w:t>
      </w:r>
    </w:p>
    <w:p w14:paraId="714FBFB5" w14:textId="77777777" w:rsidR="00651059" w:rsidRDefault="00651059" w:rsidP="00651059">
      <w:pPr>
        <w:pStyle w:val="Heading2"/>
        <w:rPr>
          <w:sz w:val="40"/>
        </w:rPr>
      </w:pPr>
      <w:bookmarkStart w:id="214" w:name="_Toc181101514"/>
      <w:r>
        <w:rPr>
          <w:sz w:val="40"/>
        </w:rPr>
        <w:t>Review and study</w:t>
      </w:r>
      <w:r w:rsidRPr="00B242AF">
        <w:rPr>
          <w:sz w:val="40"/>
        </w:rPr>
        <w:t xml:space="preserve"> expenditure</w:t>
      </w:r>
      <w:bookmarkEnd w:id="214"/>
    </w:p>
    <w:p w14:paraId="16844B4F" w14:textId="337C5661" w:rsidR="00651059" w:rsidRDefault="00C6581C" w:rsidP="00AA126F">
      <w:pPr>
        <w:pStyle w:val="ARbody"/>
        <w:rPr>
          <w:szCs w:val="20"/>
        </w:rPr>
      </w:pPr>
      <w:r>
        <w:t>During 2023</w:t>
      </w:r>
      <w:r w:rsidR="006E2F2E">
        <w:t>–</w:t>
      </w:r>
      <w:r>
        <w:t>24</w:t>
      </w:r>
      <w:r w:rsidR="003D660E">
        <w:t>,</w:t>
      </w:r>
      <w:r>
        <w:t xml:space="preserve"> there were </w:t>
      </w:r>
      <w:r w:rsidR="0040028C">
        <w:t>50</w:t>
      </w:r>
      <w:r>
        <w:t xml:space="preserve"> reviews and studies undertaken with a total cost of </w:t>
      </w:r>
      <w:r w:rsidR="0040028C">
        <w:t>$8,193,000</w:t>
      </w:r>
      <w:r>
        <w:t>. Details of individual reviews and studies are outlined below</w:t>
      </w:r>
      <w:r w:rsidR="005D7F57">
        <w:t>.</w:t>
      </w:r>
      <w:r w:rsidRPr="0043401B">
        <w:rPr>
          <w:szCs w:val="20"/>
          <w:highlight w:val="yellow"/>
        </w:rPr>
        <w:t xml:space="preserve"> </w:t>
      </w:r>
    </w:p>
    <w:p w14:paraId="56B1267F" w14:textId="331AD2AA" w:rsidR="00B6322D" w:rsidRDefault="00182833" w:rsidP="00A95A18">
      <w:pPr>
        <w:pStyle w:val="ARtablecaption"/>
      </w:pPr>
      <w:r>
        <w:t>Table 11: Review and study expenditure</w:t>
      </w:r>
    </w:p>
    <w:tbl>
      <w:tblPr>
        <w:tblStyle w:val="TableGrid"/>
        <w:tblW w:w="5000" w:type="pct"/>
        <w:tblLayout w:type="fixed"/>
        <w:tblLook w:val="04A0" w:firstRow="1" w:lastRow="0" w:firstColumn="1" w:lastColumn="0" w:noHBand="0" w:noVBand="1"/>
      </w:tblPr>
      <w:tblGrid>
        <w:gridCol w:w="2216"/>
        <w:gridCol w:w="2499"/>
        <w:gridCol w:w="2500"/>
        <w:gridCol w:w="2639"/>
        <w:gridCol w:w="1250"/>
        <w:gridCol w:w="1376"/>
        <w:gridCol w:w="2082"/>
      </w:tblGrid>
      <w:tr w:rsidR="001625B9" w14:paraId="0478EC97" w14:textId="77777777" w:rsidTr="006F7262">
        <w:trPr>
          <w:cnfStyle w:val="100000000000" w:firstRow="1" w:lastRow="0" w:firstColumn="0" w:lastColumn="0" w:oddVBand="0" w:evenVBand="0" w:oddHBand="0" w:evenHBand="0" w:firstRowFirstColumn="0" w:firstRowLastColumn="0" w:lastRowFirstColumn="0" w:lastRowLastColumn="0"/>
          <w:tblHeader/>
        </w:trPr>
        <w:tc>
          <w:tcPr>
            <w:tcW w:w="2263" w:type="dxa"/>
          </w:tcPr>
          <w:p w14:paraId="089B5D70" w14:textId="23F1873D" w:rsidR="00F01AB5" w:rsidRPr="00445C52" w:rsidRDefault="00F01AB5" w:rsidP="00AA126F">
            <w:pPr>
              <w:pStyle w:val="ARtablecolhead"/>
            </w:pPr>
            <w:r w:rsidRPr="00445C52">
              <w:t>Name of the review (portfolio(s) and output(s)/agency responsible)</w:t>
            </w:r>
          </w:p>
        </w:tc>
        <w:tc>
          <w:tcPr>
            <w:tcW w:w="2551" w:type="dxa"/>
          </w:tcPr>
          <w:p w14:paraId="4B5C46A9" w14:textId="03DDF1ED" w:rsidR="00F01AB5" w:rsidRPr="00445C52" w:rsidRDefault="00F01AB5" w:rsidP="00AA126F">
            <w:pPr>
              <w:pStyle w:val="ARtablecolhead"/>
            </w:pPr>
            <w:r w:rsidRPr="00445C52">
              <w:t>Reasons for review/study</w:t>
            </w:r>
          </w:p>
        </w:tc>
        <w:tc>
          <w:tcPr>
            <w:tcW w:w="2552" w:type="dxa"/>
          </w:tcPr>
          <w:p w14:paraId="2E0FAB58" w14:textId="7496BE80" w:rsidR="00F01AB5" w:rsidRPr="00445C52" w:rsidRDefault="00F01AB5" w:rsidP="00AA126F">
            <w:pPr>
              <w:pStyle w:val="ARtablecolhead"/>
            </w:pPr>
            <w:r w:rsidRPr="00445C52">
              <w:t>Terms of reference/scope</w:t>
            </w:r>
          </w:p>
        </w:tc>
        <w:tc>
          <w:tcPr>
            <w:tcW w:w="2694" w:type="dxa"/>
          </w:tcPr>
          <w:p w14:paraId="2A2D22AA" w14:textId="5617378C" w:rsidR="00F01AB5" w:rsidRPr="00445C52" w:rsidRDefault="00F01AB5" w:rsidP="00AA126F">
            <w:pPr>
              <w:pStyle w:val="ARtablecolhead"/>
            </w:pPr>
            <w:r w:rsidRPr="00445C52">
              <w:t>Anticipated outcomes</w:t>
            </w:r>
          </w:p>
        </w:tc>
        <w:tc>
          <w:tcPr>
            <w:tcW w:w="1275" w:type="dxa"/>
          </w:tcPr>
          <w:p w14:paraId="2097A97A" w14:textId="44452639" w:rsidR="002C3B78" w:rsidRPr="00445C52" w:rsidRDefault="00F01AB5" w:rsidP="00645AD0">
            <w:pPr>
              <w:pStyle w:val="ARtablecolheadright"/>
            </w:pPr>
            <w:r w:rsidRPr="00445C52">
              <w:t>Estimated cost for the year (excl. GST)</w:t>
            </w:r>
            <w:r w:rsidR="00FB2779">
              <w:t xml:space="preserve"> </w:t>
            </w:r>
            <w:r w:rsidR="002C3B78" w:rsidRPr="00445C52">
              <w:t>$x</w:t>
            </w:r>
            <w:r w:rsidR="0052191D">
              <w:t> </w:t>
            </w:r>
            <w:r w:rsidR="002C3B78" w:rsidRPr="00445C52">
              <w:t>thousand</w:t>
            </w:r>
          </w:p>
        </w:tc>
        <w:tc>
          <w:tcPr>
            <w:tcW w:w="1404" w:type="dxa"/>
          </w:tcPr>
          <w:p w14:paraId="754D7F5D" w14:textId="15B9EC9C" w:rsidR="002C3B78" w:rsidRPr="00445C52" w:rsidRDefault="00F01AB5" w:rsidP="00645AD0">
            <w:pPr>
              <w:pStyle w:val="ARtablecolheadright"/>
            </w:pPr>
            <w:r w:rsidRPr="00445C52">
              <w:t>Final cost if completed (excl. GST)</w:t>
            </w:r>
            <w:r w:rsidR="002F6B5C" w:rsidRPr="00445C52">
              <w:t xml:space="preserve"> </w:t>
            </w:r>
            <w:r w:rsidR="002C3B78" w:rsidRPr="00445C52">
              <w:t>$x</w:t>
            </w:r>
            <w:r w:rsidR="00E04803">
              <w:t> </w:t>
            </w:r>
            <w:r w:rsidR="002C3B78" w:rsidRPr="00445C52">
              <w:t>thousand</w:t>
            </w:r>
          </w:p>
        </w:tc>
        <w:tc>
          <w:tcPr>
            <w:tcW w:w="2125" w:type="dxa"/>
          </w:tcPr>
          <w:p w14:paraId="391C0F04" w14:textId="71C434B5" w:rsidR="00F01AB5" w:rsidRPr="00445C52" w:rsidRDefault="00F01AB5" w:rsidP="00645AD0">
            <w:pPr>
              <w:pStyle w:val="ARtablecolheadright"/>
            </w:pPr>
            <w:r w:rsidRPr="00445C52">
              <w:t>Publicly available (Y/N) and URL</w:t>
            </w:r>
          </w:p>
        </w:tc>
      </w:tr>
      <w:tr w:rsidR="001625B9" w14:paraId="63F1489C" w14:textId="77777777" w:rsidTr="006F7262">
        <w:tc>
          <w:tcPr>
            <w:tcW w:w="2263" w:type="dxa"/>
          </w:tcPr>
          <w:p w14:paraId="2E19120E" w14:textId="3359DFA0" w:rsidR="00196103" w:rsidRPr="00645AD0" w:rsidRDefault="00196103" w:rsidP="00645AD0">
            <w:pPr>
              <w:pStyle w:val="ARtabletext"/>
            </w:pPr>
            <w:r w:rsidRPr="00645AD0">
              <w:t>Review of CIMS investigation and requirements (Cube</w:t>
            </w:r>
            <w:r w:rsidR="007803CC">
              <w:t> </w:t>
            </w:r>
            <w:r w:rsidRPr="00645AD0">
              <w:t>group)</w:t>
            </w:r>
          </w:p>
        </w:tc>
        <w:tc>
          <w:tcPr>
            <w:tcW w:w="2551" w:type="dxa"/>
          </w:tcPr>
          <w:p w14:paraId="12D67B94" w14:textId="6DF89D48" w:rsidR="00196103" w:rsidRPr="00A60C31" w:rsidRDefault="00196103" w:rsidP="00A60C31">
            <w:pPr>
              <w:pStyle w:val="ARTabletextlessleading"/>
            </w:pPr>
            <w:r w:rsidRPr="00A60C31">
              <w:t>To improve quality and safety of services for service users</w:t>
            </w:r>
          </w:p>
        </w:tc>
        <w:tc>
          <w:tcPr>
            <w:tcW w:w="2552" w:type="dxa"/>
          </w:tcPr>
          <w:p w14:paraId="494FA419" w14:textId="33134644" w:rsidR="00196103" w:rsidRPr="00A60C31" w:rsidRDefault="00196103" w:rsidP="00A60C31">
            <w:pPr>
              <w:pStyle w:val="ARTabletextlessleading"/>
            </w:pPr>
            <w:r w:rsidRPr="00A60C31">
              <w:t>To make recommendations on the design of the future state investigation and review framework as part of the CIMS</w:t>
            </w:r>
            <w:r w:rsidR="0015228D" w:rsidRPr="00A60C31">
              <w:t> </w:t>
            </w:r>
            <w:r w:rsidRPr="00A60C31">
              <w:t>review</w:t>
            </w:r>
          </w:p>
        </w:tc>
        <w:tc>
          <w:tcPr>
            <w:tcW w:w="2694" w:type="dxa"/>
          </w:tcPr>
          <w:p w14:paraId="0F5729ED" w14:textId="7DC3D109" w:rsidR="00196103" w:rsidRPr="00A60C31" w:rsidRDefault="00196103" w:rsidP="00A60C31">
            <w:pPr>
              <w:pStyle w:val="ARTabletextlessleading"/>
            </w:pPr>
            <w:r w:rsidRPr="00A60C31">
              <w:t>Streamlined requirements for CIMS investigations</w:t>
            </w:r>
          </w:p>
        </w:tc>
        <w:tc>
          <w:tcPr>
            <w:tcW w:w="1275" w:type="dxa"/>
          </w:tcPr>
          <w:p w14:paraId="1DF03095" w14:textId="5C3745DF" w:rsidR="00196103" w:rsidRPr="00E04803" w:rsidRDefault="00196103" w:rsidP="00645AD0">
            <w:pPr>
              <w:pStyle w:val="ARtabletextright"/>
            </w:pPr>
            <w:r w:rsidRPr="00E04803">
              <w:t>118</w:t>
            </w:r>
          </w:p>
        </w:tc>
        <w:tc>
          <w:tcPr>
            <w:tcW w:w="1404" w:type="dxa"/>
          </w:tcPr>
          <w:p w14:paraId="2284828C" w14:textId="4F8062BD" w:rsidR="00196103" w:rsidRPr="00E04803" w:rsidRDefault="00196103" w:rsidP="00645AD0">
            <w:pPr>
              <w:pStyle w:val="ARtabletextright"/>
            </w:pPr>
            <w:r w:rsidRPr="00E04803">
              <w:t>118</w:t>
            </w:r>
          </w:p>
        </w:tc>
        <w:tc>
          <w:tcPr>
            <w:tcW w:w="2125" w:type="dxa"/>
          </w:tcPr>
          <w:p w14:paraId="5090F419" w14:textId="0B58C7A0" w:rsidR="00196103" w:rsidRPr="00E04803" w:rsidRDefault="00196103" w:rsidP="00645AD0">
            <w:pPr>
              <w:pStyle w:val="ARtabletextright"/>
            </w:pPr>
            <w:r w:rsidRPr="00E04803">
              <w:t>N</w:t>
            </w:r>
          </w:p>
        </w:tc>
      </w:tr>
      <w:tr w:rsidR="001625B9" w14:paraId="6ED41D2D" w14:textId="77777777" w:rsidTr="006F7262">
        <w:tc>
          <w:tcPr>
            <w:tcW w:w="2263" w:type="dxa"/>
          </w:tcPr>
          <w:p w14:paraId="3A7B673B" w14:textId="67EF0C3B" w:rsidR="00196103" w:rsidRPr="00645AD0" w:rsidRDefault="00196103" w:rsidP="00645AD0">
            <w:pPr>
              <w:pStyle w:val="ARtabletext"/>
            </w:pPr>
            <w:r w:rsidRPr="00645AD0">
              <w:t>CIMS review</w:t>
            </w:r>
          </w:p>
        </w:tc>
        <w:tc>
          <w:tcPr>
            <w:tcW w:w="2551" w:type="dxa"/>
          </w:tcPr>
          <w:p w14:paraId="2B34251E" w14:textId="58B51BBC" w:rsidR="00196103" w:rsidRPr="00A60C31" w:rsidRDefault="00196103" w:rsidP="00A60C31">
            <w:pPr>
              <w:pStyle w:val="ARTabletextlessleading"/>
            </w:pPr>
            <w:r w:rsidRPr="00A60C31">
              <w:t>To improve quality and safety of services for service users</w:t>
            </w:r>
          </w:p>
        </w:tc>
        <w:tc>
          <w:tcPr>
            <w:tcW w:w="2552" w:type="dxa"/>
          </w:tcPr>
          <w:p w14:paraId="0A80ABD8" w14:textId="36F5CF24" w:rsidR="00196103" w:rsidRPr="00A60C31" w:rsidRDefault="00196103" w:rsidP="00A60C31">
            <w:pPr>
              <w:pStyle w:val="ARTabletextlessleading"/>
            </w:pPr>
            <w:r w:rsidRPr="00A60C31">
              <w:t>Review of CIMS policy, implementation, oversight and learning, and the IT platform</w:t>
            </w:r>
          </w:p>
        </w:tc>
        <w:tc>
          <w:tcPr>
            <w:tcW w:w="2694" w:type="dxa"/>
          </w:tcPr>
          <w:p w14:paraId="054D3CF0" w14:textId="5B04A89B" w:rsidR="00196103" w:rsidRPr="00A60C31" w:rsidRDefault="00196103" w:rsidP="00A60C31">
            <w:pPr>
              <w:pStyle w:val="ARTabletextlessleading"/>
            </w:pPr>
            <w:r w:rsidRPr="00A60C31">
              <w:t>Streamlined processes that make the best use of department and sector</w:t>
            </w:r>
            <w:r w:rsidR="007803CC" w:rsidRPr="00A60C31">
              <w:t> </w:t>
            </w:r>
            <w:r w:rsidRPr="00A60C31">
              <w:t>resources</w:t>
            </w:r>
          </w:p>
        </w:tc>
        <w:tc>
          <w:tcPr>
            <w:tcW w:w="1275" w:type="dxa"/>
          </w:tcPr>
          <w:p w14:paraId="7F2770E4" w14:textId="394FA51A" w:rsidR="00196103" w:rsidRPr="00E04803" w:rsidRDefault="00196103" w:rsidP="00645AD0">
            <w:pPr>
              <w:pStyle w:val="ARtabletextright"/>
            </w:pPr>
            <w:r w:rsidRPr="00E04803">
              <w:t>699</w:t>
            </w:r>
          </w:p>
        </w:tc>
        <w:tc>
          <w:tcPr>
            <w:tcW w:w="1404" w:type="dxa"/>
          </w:tcPr>
          <w:p w14:paraId="2722D364" w14:textId="3F7DAD10" w:rsidR="00196103" w:rsidRPr="00E04803" w:rsidRDefault="00196103" w:rsidP="00645AD0">
            <w:pPr>
              <w:pStyle w:val="ARtabletextright"/>
            </w:pPr>
            <w:r w:rsidRPr="00E04803">
              <w:t>NA</w:t>
            </w:r>
          </w:p>
        </w:tc>
        <w:tc>
          <w:tcPr>
            <w:tcW w:w="2125" w:type="dxa"/>
          </w:tcPr>
          <w:p w14:paraId="7E1460D7" w14:textId="536517C0" w:rsidR="00196103" w:rsidRPr="00E04803" w:rsidRDefault="00196103" w:rsidP="00645AD0">
            <w:pPr>
              <w:pStyle w:val="ARtabletextright"/>
            </w:pPr>
            <w:r w:rsidRPr="00E04803">
              <w:t>N</w:t>
            </w:r>
          </w:p>
        </w:tc>
      </w:tr>
      <w:tr w:rsidR="001625B9" w14:paraId="4512CF1F" w14:textId="77777777" w:rsidTr="006F7262">
        <w:tc>
          <w:tcPr>
            <w:tcW w:w="2263" w:type="dxa"/>
          </w:tcPr>
          <w:p w14:paraId="5A7037F7" w14:textId="7C1A47C2" w:rsidR="00196103" w:rsidRPr="00645AD0" w:rsidRDefault="00196103" w:rsidP="00645AD0">
            <w:pPr>
              <w:pStyle w:val="ARtabletext"/>
            </w:pPr>
            <w:r w:rsidRPr="00645AD0">
              <w:t>Multi-agency system focused incident review</w:t>
            </w:r>
            <w:r w:rsidR="007803CC">
              <w:t> </w:t>
            </w:r>
            <w:r w:rsidRPr="00645AD0">
              <w:t>pilot</w:t>
            </w:r>
          </w:p>
        </w:tc>
        <w:tc>
          <w:tcPr>
            <w:tcW w:w="2551" w:type="dxa"/>
          </w:tcPr>
          <w:p w14:paraId="1E1FD8DF" w14:textId="6FB43C4E" w:rsidR="00196103" w:rsidRPr="00A60C31" w:rsidRDefault="00196103" w:rsidP="00A60C31">
            <w:pPr>
              <w:pStyle w:val="ARTabletextlessleading"/>
            </w:pPr>
            <w:r w:rsidRPr="00A60C31">
              <w:t>To improve quality and safety of services for service users</w:t>
            </w:r>
          </w:p>
        </w:tc>
        <w:tc>
          <w:tcPr>
            <w:tcW w:w="2552" w:type="dxa"/>
          </w:tcPr>
          <w:p w14:paraId="46CFAA32" w14:textId="7731E449" w:rsidR="00196103" w:rsidRPr="00A60C31" w:rsidRDefault="00196103" w:rsidP="00A60C31">
            <w:pPr>
              <w:pStyle w:val="ARTabletextlessleading"/>
            </w:pPr>
            <w:r w:rsidRPr="00A60C31">
              <w:t>To test a new serious incident review methodology to drive timely learning and improvement, and to prevent similar incidents from</w:t>
            </w:r>
            <w:r w:rsidR="007803CC" w:rsidRPr="00A60C31">
              <w:t> </w:t>
            </w:r>
            <w:r w:rsidRPr="00A60C31">
              <w:t>occurring</w:t>
            </w:r>
          </w:p>
        </w:tc>
        <w:tc>
          <w:tcPr>
            <w:tcW w:w="2694" w:type="dxa"/>
          </w:tcPr>
          <w:p w14:paraId="27C10912" w14:textId="672CC62D" w:rsidR="00196103" w:rsidRPr="00A60C31" w:rsidRDefault="00196103" w:rsidP="00A60C31">
            <w:pPr>
              <w:pStyle w:val="ARTabletextlessleading"/>
            </w:pPr>
            <w:r w:rsidRPr="00A60C31">
              <w:t>Improved cross sector collaboration, learning and improvement from serious incident reviews</w:t>
            </w:r>
          </w:p>
        </w:tc>
        <w:tc>
          <w:tcPr>
            <w:tcW w:w="1275" w:type="dxa"/>
          </w:tcPr>
          <w:p w14:paraId="3385C744" w14:textId="13C548D0" w:rsidR="00196103" w:rsidRPr="00E04803" w:rsidRDefault="00196103" w:rsidP="00645AD0">
            <w:pPr>
              <w:pStyle w:val="ARtabletextright"/>
            </w:pPr>
            <w:r w:rsidRPr="00E04803">
              <w:t>NA</w:t>
            </w:r>
          </w:p>
        </w:tc>
        <w:tc>
          <w:tcPr>
            <w:tcW w:w="1404" w:type="dxa"/>
          </w:tcPr>
          <w:p w14:paraId="2E3A395F" w14:textId="1286FE93" w:rsidR="00196103" w:rsidRPr="00E04803" w:rsidRDefault="00196103" w:rsidP="00645AD0">
            <w:pPr>
              <w:pStyle w:val="ARtabletextright"/>
            </w:pPr>
            <w:r w:rsidRPr="00E04803">
              <w:t>NA</w:t>
            </w:r>
          </w:p>
        </w:tc>
        <w:tc>
          <w:tcPr>
            <w:tcW w:w="2125" w:type="dxa"/>
          </w:tcPr>
          <w:p w14:paraId="0AB7B7CC" w14:textId="5FE10AEB" w:rsidR="00196103" w:rsidRPr="00E04803" w:rsidRDefault="00196103" w:rsidP="00645AD0">
            <w:pPr>
              <w:pStyle w:val="ARtabletextright"/>
            </w:pPr>
            <w:r w:rsidRPr="00E04803">
              <w:t>N</w:t>
            </w:r>
          </w:p>
        </w:tc>
      </w:tr>
      <w:tr w:rsidR="001625B9" w14:paraId="0E46DA73" w14:textId="77777777" w:rsidTr="006F7262">
        <w:tc>
          <w:tcPr>
            <w:tcW w:w="2263" w:type="dxa"/>
          </w:tcPr>
          <w:p w14:paraId="7DA0B312" w14:textId="576CB814" w:rsidR="00196103" w:rsidRPr="00645AD0" w:rsidRDefault="00196103" w:rsidP="00645AD0">
            <w:pPr>
              <w:pStyle w:val="ARtabletext"/>
            </w:pPr>
            <w:r w:rsidRPr="00645AD0">
              <w:t xml:space="preserve">Process evaluation of progress reporting obligations under the Gender Equality Act </w:t>
            </w:r>
          </w:p>
        </w:tc>
        <w:tc>
          <w:tcPr>
            <w:tcW w:w="2551" w:type="dxa"/>
          </w:tcPr>
          <w:p w14:paraId="1902BF70" w14:textId="27144EB6" w:rsidR="00196103" w:rsidRPr="00A60C31" w:rsidRDefault="00196103" w:rsidP="00A60C31">
            <w:pPr>
              <w:pStyle w:val="ARTabletextlessleading"/>
            </w:pPr>
            <w:r w:rsidRPr="00A60C31">
              <w:t xml:space="preserve">To support the implementation of the </w:t>
            </w:r>
            <w:r w:rsidRPr="000F0599">
              <w:rPr>
                <w:i/>
              </w:rPr>
              <w:t>Gender Equality Act</w:t>
            </w:r>
            <w:r w:rsidR="007803CC" w:rsidRPr="000F0599">
              <w:rPr>
                <w:i/>
              </w:rPr>
              <w:t> </w:t>
            </w:r>
            <w:r w:rsidRPr="000F0599">
              <w:rPr>
                <w:i/>
              </w:rPr>
              <w:t>2020</w:t>
            </w:r>
          </w:p>
        </w:tc>
        <w:tc>
          <w:tcPr>
            <w:tcW w:w="2552" w:type="dxa"/>
          </w:tcPr>
          <w:p w14:paraId="1976F5F2" w14:textId="017A9193" w:rsidR="00196103" w:rsidRPr="00A60C31" w:rsidRDefault="00196103" w:rsidP="00A60C31">
            <w:pPr>
              <w:pStyle w:val="ARTabletextlessleading"/>
            </w:pPr>
            <w:r w:rsidRPr="00A60C31">
              <w:t xml:space="preserve"> Process evaluation of the first progress reporting cycle under the </w:t>
            </w:r>
            <w:r w:rsidRPr="000F0599">
              <w:rPr>
                <w:i/>
              </w:rPr>
              <w:t>Gender Equality Act 2020</w:t>
            </w:r>
          </w:p>
        </w:tc>
        <w:tc>
          <w:tcPr>
            <w:tcW w:w="2694" w:type="dxa"/>
          </w:tcPr>
          <w:p w14:paraId="03C5F89E" w14:textId="2C38265B" w:rsidR="00196103" w:rsidRPr="00A60C31" w:rsidRDefault="00196103" w:rsidP="00A60C31">
            <w:pPr>
              <w:pStyle w:val="ARTabletextlessleading"/>
            </w:pPr>
            <w:r w:rsidRPr="00A60C31">
              <w:t>Improved and more efficient reporting processes and systems, and more effective support and education for defined entities</w:t>
            </w:r>
          </w:p>
        </w:tc>
        <w:tc>
          <w:tcPr>
            <w:tcW w:w="1275" w:type="dxa"/>
          </w:tcPr>
          <w:p w14:paraId="5CDF859C" w14:textId="7CC41261" w:rsidR="00196103" w:rsidRPr="00E04803" w:rsidRDefault="00196103" w:rsidP="00645AD0">
            <w:pPr>
              <w:pStyle w:val="ARtabletextright"/>
            </w:pPr>
            <w:r w:rsidRPr="00E04803">
              <w:t>47</w:t>
            </w:r>
          </w:p>
        </w:tc>
        <w:tc>
          <w:tcPr>
            <w:tcW w:w="1404" w:type="dxa"/>
          </w:tcPr>
          <w:p w14:paraId="0615A511" w14:textId="09020EE0" w:rsidR="00196103" w:rsidRPr="00E04803" w:rsidRDefault="00196103" w:rsidP="00645AD0">
            <w:pPr>
              <w:pStyle w:val="ARtabletextright"/>
            </w:pPr>
            <w:r w:rsidRPr="00E04803">
              <w:t>47</w:t>
            </w:r>
          </w:p>
        </w:tc>
        <w:tc>
          <w:tcPr>
            <w:tcW w:w="2125" w:type="dxa"/>
          </w:tcPr>
          <w:p w14:paraId="076A262A" w14:textId="2F014FC3" w:rsidR="00196103" w:rsidRPr="00E04803" w:rsidRDefault="00196103" w:rsidP="00645AD0">
            <w:pPr>
              <w:pStyle w:val="ARtabletextright"/>
            </w:pPr>
            <w:r w:rsidRPr="00E04803">
              <w:t>N</w:t>
            </w:r>
          </w:p>
        </w:tc>
      </w:tr>
      <w:tr w:rsidR="001625B9" w14:paraId="01146BAA" w14:textId="77777777" w:rsidTr="006F7262">
        <w:tc>
          <w:tcPr>
            <w:tcW w:w="2263" w:type="dxa"/>
          </w:tcPr>
          <w:p w14:paraId="4F37224D" w14:textId="1F999A58" w:rsidR="00196103" w:rsidRPr="0020714A" w:rsidRDefault="00196103" w:rsidP="0020714A">
            <w:pPr>
              <w:pStyle w:val="ARtabletext"/>
            </w:pPr>
            <w:r w:rsidRPr="0020714A">
              <w:t>CGEPS Targets Pilot Research Funding 2024 (Commission for Gender Equality in the Public</w:t>
            </w:r>
            <w:r w:rsidR="00DD775F">
              <w:t> </w:t>
            </w:r>
            <w:r w:rsidRPr="0020714A">
              <w:t>Sector)</w:t>
            </w:r>
          </w:p>
        </w:tc>
        <w:tc>
          <w:tcPr>
            <w:tcW w:w="2551" w:type="dxa"/>
          </w:tcPr>
          <w:p w14:paraId="112BCA7A" w14:textId="27AC89B7" w:rsidR="00196103" w:rsidRPr="00A60C31" w:rsidRDefault="00196103" w:rsidP="00A60C31">
            <w:pPr>
              <w:pStyle w:val="ARTabletextlessleading"/>
            </w:pPr>
            <w:r w:rsidRPr="00A60C31">
              <w:t>To improve gender equality outcomes in public sector</w:t>
            </w:r>
            <w:r w:rsidR="00DD775F" w:rsidRPr="00A60C31">
              <w:t> </w:t>
            </w:r>
            <w:r w:rsidRPr="00A60C31">
              <w:t>organisations</w:t>
            </w:r>
          </w:p>
        </w:tc>
        <w:tc>
          <w:tcPr>
            <w:tcW w:w="2552" w:type="dxa"/>
          </w:tcPr>
          <w:p w14:paraId="58037061" w14:textId="2FF733A8" w:rsidR="00196103" w:rsidRPr="00A60C31" w:rsidRDefault="00196103" w:rsidP="000A6353">
            <w:pPr>
              <w:pStyle w:val="ARTabletextlessleading"/>
            </w:pPr>
            <w:r w:rsidRPr="00A60C31">
              <w:t xml:space="preserve">Research to determine effective strategies and methods to drive progress towards meeting </w:t>
            </w:r>
            <w:r w:rsidRPr="000A6353">
              <w:t>the</w:t>
            </w:r>
            <w:r w:rsidRPr="00A60C31">
              <w:t xml:space="preserve"> </w:t>
            </w:r>
            <w:r w:rsidR="009D641C">
              <w:t>3</w:t>
            </w:r>
            <w:r w:rsidRPr="00A60C31">
              <w:t xml:space="preserve"> gender equality targets from </w:t>
            </w:r>
            <w:r w:rsidR="00711AE6">
              <w:t>‘</w:t>
            </w:r>
            <w:r w:rsidRPr="00A60C31">
              <w:t>Our Equal State</w:t>
            </w:r>
            <w:r w:rsidR="00711AE6">
              <w:t>’</w:t>
            </w:r>
            <w:r w:rsidRPr="00A60C31">
              <w:t xml:space="preserve"> (action 94, </w:t>
            </w:r>
            <w:r w:rsidR="009D641C">
              <w:t>a</w:t>
            </w:r>
            <w:r w:rsidR="009D641C" w:rsidRPr="00A60C31">
              <w:t>ction</w:t>
            </w:r>
            <w:r w:rsidR="009D641C">
              <w:t> </w:t>
            </w:r>
            <w:r w:rsidRPr="00A60C31">
              <w:t xml:space="preserve">96 and </w:t>
            </w:r>
            <w:r w:rsidR="009D641C">
              <w:t>a</w:t>
            </w:r>
            <w:r w:rsidR="009D641C" w:rsidRPr="00A60C31">
              <w:t xml:space="preserve">ction </w:t>
            </w:r>
            <w:r w:rsidRPr="00A60C31">
              <w:t>96, above) within public sector</w:t>
            </w:r>
            <w:r w:rsidR="000A6353">
              <w:t> </w:t>
            </w:r>
            <w:r w:rsidRPr="00A60C31">
              <w:t>organisations</w:t>
            </w:r>
          </w:p>
        </w:tc>
        <w:tc>
          <w:tcPr>
            <w:tcW w:w="2694" w:type="dxa"/>
          </w:tcPr>
          <w:p w14:paraId="16FB0CB6" w14:textId="4560A763" w:rsidR="00196103" w:rsidRPr="00A60C31" w:rsidRDefault="00196103" w:rsidP="00A60C31">
            <w:pPr>
              <w:pStyle w:val="ARTabletextlessleading"/>
            </w:pPr>
            <w:r w:rsidRPr="00A60C31">
              <w:t xml:space="preserve">Evidence to support public sector organisations to improve gender equality outcomes in their workplaces, to meet the goals of Our Equal State and legislative obligations under the </w:t>
            </w:r>
            <w:r w:rsidRPr="000F0599">
              <w:rPr>
                <w:i/>
              </w:rPr>
              <w:t>Gender Equality Act 2020</w:t>
            </w:r>
          </w:p>
        </w:tc>
        <w:tc>
          <w:tcPr>
            <w:tcW w:w="1275" w:type="dxa"/>
          </w:tcPr>
          <w:p w14:paraId="382362EE" w14:textId="1F627AAD" w:rsidR="00196103" w:rsidRPr="00E04803" w:rsidRDefault="00196103" w:rsidP="0020714A">
            <w:pPr>
              <w:pStyle w:val="ARtabletextright"/>
            </w:pPr>
            <w:r w:rsidRPr="00E04803">
              <w:t>199</w:t>
            </w:r>
          </w:p>
        </w:tc>
        <w:tc>
          <w:tcPr>
            <w:tcW w:w="1404" w:type="dxa"/>
          </w:tcPr>
          <w:p w14:paraId="409722DF" w14:textId="200907C1" w:rsidR="00196103" w:rsidRPr="00E04803" w:rsidRDefault="00196103" w:rsidP="0020714A">
            <w:pPr>
              <w:pStyle w:val="ARtabletextright"/>
            </w:pPr>
            <w:r w:rsidRPr="00E04803">
              <w:t>398</w:t>
            </w:r>
          </w:p>
        </w:tc>
        <w:tc>
          <w:tcPr>
            <w:tcW w:w="2125" w:type="dxa"/>
          </w:tcPr>
          <w:p w14:paraId="012199C3" w14:textId="157B46D7" w:rsidR="00196103" w:rsidRPr="00E04803" w:rsidRDefault="00196103" w:rsidP="0020714A">
            <w:pPr>
              <w:pStyle w:val="ARtabletextright"/>
            </w:pPr>
            <w:r w:rsidRPr="00E04803">
              <w:t>N</w:t>
            </w:r>
          </w:p>
        </w:tc>
      </w:tr>
      <w:tr w:rsidR="001625B9" w14:paraId="6EDDADAB" w14:textId="77777777" w:rsidTr="006F7262">
        <w:tc>
          <w:tcPr>
            <w:tcW w:w="2263" w:type="dxa"/>
          </w:tcPr>
          <w:p w14:paraId="0773177A" w14:textId="3D7B5DC7" w:rsidR="00034691" w:rsidRPr="0020714A" w:rsidRDefault="00034691" w:rsidP="0020714A">
            <w:pPr>
              <w:pStyle w:val="ARtabletext"/>
            </w:pPr>
            <w:r w:rsidRPr="0020714A">
              <w:t>Evaluation of QHub (LGBTIQA+ youth safe spaces for Western</w:t>
            </w:r>
            <w:r w:rsidR="00DD775F">
              <w:t> </w:t>
            </w:r>
            <w:r w:rsidRPr="0020714A">
              <w:t>Victoria)</w:t>
            </w:r>
          </w:p>
        </w:tc>
        <w:tc>
          <w:tcPr>
            <w:tcW w:w="2551" w:type="dxa"/>
          </w:tcPr>
          <w:p w14:paraId="65586391" w14:textId="7661EC8F" w:rsidR="00034691" w:rsidRPr="00A60C31" w:rsidRDefault="00034691" w:rsidP="00A60C31">
            <w:pPr>
              <w:pStyle w:val="ARTabletextlessleading"/>
            </w:pPr>
            <w:r w:rsidRPr="00A60C31">
              <w:t>To determine the future scope of QHub (formally known as LGBTIQA+ youth safe spaces for Western Victoria 2022</w:t>
            </w:r>
            <w:r w:rsidR="006E2F2E" w:rsidRPr="00A60C31">
              <w:t>–</w:t>
            </w:r>
            <w:r w:rsidRPr="00A60C31">
              <w:t>25)</w:t>
            </w:r>
          </w:p>
        </w:tc>
        <w:tc>
          <w:tcPr>
            <w:tcW w:w="2552" w:type="dxa"/>
          </w:tcPr>
          <w:p w14:paraId="0AF0A4BE" w14:textId="4CA1E0CD" w:rsidR="00034691" w:rsidRPr="00A60C31" w:rsidRDefault="00034691" w:rsidP="00A60C31">
            <w:pPr>
              <w:pStyle w:val="ARTabletextlessleading"/>
            </w:pPr>
            <w:r w:rsidRPr="00A60C31">
              <w:t>The evaluation will measure the effectiveness and impact of the QHub pilot program</w:t>
            </w:r>
          </w:p>
        </w:tc>
        <w:tc>
          <w:tcPr>
            <w:tcW w:w="2694" w:type="dxa"/>
          </w:tcPr>
          <w:p w14:paraId="4CECB915" w14:textId="4C1CDD49" w:rsidR="00034691" w:rsidRPr="00A60C31" w:rsidRDefault="00034691" w:rsidP="00A60C31">
            <w:pPr>
              <w:pStyle w:val="ARTabletextlessleading"/>
            </w:pPr>
            <w:r w:rsidRPr="00A60C31">
              <w:t>To support identification of options for future investment as well as recommendations for program improvement</w:t>
            </w:r>
          </w:p>
        </w:tc>
        <w:tc>
          <w:tcPr>
            <w:tcW w:w="1275" w:type="dxa"/>
          </w:tcPr>
          <w:p w14:paraId="30852CFA" w14:textId="0A62129D" w:rsidR="00034691" w:rsidRPr="00E04803" w:rsidRDefault="00034691" w:rsidP="0020714A">
            <w:pPr>
              <w:pStyle w:val="ARtabletextright"/>
            </w:pPr>
            <w:r w:rsidRPr="00AA126F">
              <w:t>78</w:t>
            </w:r>
          </w:p>
        </w:tc>
        <w:tc>
          <w:tcPr>
            <w:tcW w:w="1404" w:type="dxa"/>
          </w:tcPr>
          <w:p w14:paraId="001B3E34" w14:textId="6F70C362" w:rsidR="00034691" w:rsidRPr="00E04803" w:rsidRDefault="00034691" w:rsidP="0020714A">
            <w:pPr>
              <w:pStyle w:val="ARtabletextright"/>
            </w:pPr>
            <w:r w:rsidRPr="00AA126F">
              <w:t>191</w:t>
            </w:r>
          </w:p>
        </w:tc>
        <w:tc>
          <w:tcPr>
            <w:tcW w:w="2125" w:type="dxa"/>
          </w:tcPr>
          <w:p w14:paraId="302DFA07" w14:textId="54048933" w:rsidR="00034691" w:rsidRPr="00E04803" w:rsidRDefault="00034691" w:rsidP="0020714A">
            <w:pPr>
              <w:pStyle w:val="ARtabletextright"/>
            </w:pPr>
            <w:r w:rsidRPr="00AA126F">
              <w:t>N</w:t>
            </w:r>
          </w:p>
        </w:tc>
      </w:tr>
      <w:tr w:rsidR="001625B9" w14:paraId="47E10107" w14:textId="77777777" w:rsidTr="006F7262">
        <w:tc>
          <w:tcPr>
            <w:tcW w:w="2263" w:type="dxa"/>
          </w:tcPr>
          <w:p w14:paraId="495C5A27" w14:textId="3BEF7C09" w:rsidR="00034691" w:rsidRPr="0020714A" w:rsidRDefault="00034691" w:rsidP="0020714A">
            <w:pPr>
              <w:pStyle w:val="ARtabletext"/>
            </w:pPr>
            <w:r w:rsidRPr="0020714A">
              <w:t>Evaluation of the Victorian Carer Strategy 2018</w:t>
            </w:r>
            <w:r w:rsidR="006E2F2E">
              <w:t>–</w:t>
            </w:r>
            <w:r w:rsidRPr="0020714A">
              <w:t>2022</w:t>
            </w:r>
          </w:p>
        </w:tc>
        <w:tc>
          <w:tcPr>
            <w:tcW w:w="2551" w:type="dxa"/>
          </w:tcPr>
          <w:p w14:paraId="76FB6CB2" w14:textId="35F9C36E" w:rsidR="00034691" w:rsidRPr="00A60C31" w:rsidRDefault="00034691" w:rsidP="00A60C31">
            <w:pPr>
              <w:pStyle w:val="ARTabletextlessleading"/>
            </w:pPr>
            <w:r w:rsidRPr="00A60C31">
              <w:t xml:space="preserve">To evaluate implementation of the Victorian Carer Strategy at its conclusion </w:t>
            </w:r>
          </w:p>
        </w:tc>
        <w:tc>
          <w:tcPr>
            <w:tcW w:w="2552" w:type="dxa"/>
          </w:tcPr>
          <w:p w14:paraId="2685E366" w14:textId="03129B56" w:rsidR="00034691" w:rsidRPr="00A60C31" w:rsidRDefault="00034691" w:rsidP="00A60C31">
            <w:pPr>
              <w:pStyle w:val="ARTabletextlessleading"/>
            </w:pPr>
            <w:r w:rsidRPr="00A60C31">
              <w:t>The evaluation sought to better understand the impacts and outcomes achieved under the Victorian Carer Strategy</w:t>
            </w:r>
          </w:p>
        </w:tc>
        <w:tc>
          <w:tcPr>
            <w:tcW w:w="2694" w:type="dxa"/>
          </w:tcPr>
          <w:p w14:paraId="797187E8" w14:textId="6BA8BFC4" w:rsidR="00034691" w:rsidRPr="00A60C31" w:rsidRDefault="00034691" w:rsidP="00A60C31">
            <w:pPr>
              <w:pStyle w:val="ARTabletextlessleading"/>
            </w:pPr>
            <w:r w:rsidRPr="00A60C31">
              <w:t>Strengthened evidence base to inform the refresh of the Victorian Carer Strategy underway in 2024</w:t>
            </w:r>
            <w:r w:rsidR="006E2F2E" w:rsidRPr="00A60C31">
              <w:t>–</w:t>
            </w:r>
            <w:r w:rsidRPr="00A60C31">
              <w:t>25</w:t>
            </w:r>
          </w:p>
        </w:tc>
        <w:tc>
          <w:tcPr>
            <w:tcW w:w="1275" w:type="dxa"/>
          </w:tcPr>
          <w:p w14:paraId="1377D6E8" w14:textId="79F93E16" w:rsidR="00034691" w:rsidRPr="00E04803" w:rsidRDefault="00034691" w:rsidP="0020714A">
            <w:pPr>
              <w:pStyle w:val="ARtabletextright"/>
            </w:pPr>
            <w:r w:rsidRPr="00AA126F">
              <w:t>99</w:t>
            </w:r>
          </w:p>
        </w:tc>
        <w:tc>
          <w:tcPr>
            <w:tcW w:w="1404" w:type="dxa"/>
          </w:tcPr>
          <w:p w14:paraId="777C2D10" w14:textId="69CFDA49" w:rsidR="00034691" w:rsidRPr="00E04803" w:rsidRDefault="00034691" w:rsidP="0020714A">
            <w:pPr>
              <w:pStyle w:val="ARtabletextright"/>
            </w:pPr>
            <w:r w:rsidRPr="00AA126F">
              <w:t>74</w:t>
            </w:r>
          </w:p>
        </w:tc>
        <w:tc>
          <w:tcPr>
            <w:tcW w:w="2125" w:type="dxa"/>
          </w:tcPr>
          <w:p w14:paraId="71D9B426" w14:textId="65F60BF1" w:rsidR="00034691" w:rsidRPr="00E04803" w:rsidRDefault="00034691" w:rsidP="0020714A">
            <w:pPr>
              <w:pStyle w:val="ARtabletextright"/>
            </w:pPr>
            <w:r w:rsidRPr="00AA126F">
              <w:t>N</w:t>
            </w:r>
          </w:p>
        </w:tc>
      </w:tr>
      <w:tr w:rsidR="001625B9" w14:paraId="0DE95C04" w14:textId="77777777" w:rsidTr="006F7262">
        <w:tc>
          <w:tcPr>
            <w:tcW w:w="2263" w:type="dxa"/>
          </w:tcPr>
          <w:p w14:paraId="0CD36D2D" w14:textId="2B350C32" w:rsidR="00034691" w:rsidRPr="0020714A" w:rsidRDefault="00034691" w:rsidP="0020714A">
            <w:pPr>
              <w:pStyle w:val="ARtabletext"/>
            </w:pPr>
            <w:r w:rsidRPr="0020714A">
              <w:t>Impact assessment of the Family Preservation and Reunification Response (FPR) for child protection</w:t>
            </w:r>
          </w:p>
        </w:tc>
        <w:tc>
          <w:tcPr>
            <w:tcW w:w="2551" w:type="dxa"/>
          </w:tcPr>
          <w:p w14:paraId="26101517" w14:textId="2D21A65E" w:rsidR="00034691" w:rsidRPr="00A60C31" w:rsidRDefault="00034691" w:rsidP="00A60C31">
            <w:pPr>
              <w:pStyle w:val="ARTabletextlessleading"/>
            </w:pPr>
            <w:r w:rsidRPr="00A60C31">
              <w:t xml:space="preserve">To understand impact of FPR on care entry and family preservation outcomes </w:t>
            </w:r>
          </w:p>
        </w:tc>
        <w:tc>
          <w:tcPr>
            <w:tcW w:w="2552" w:type="dxa"/>
          </w:tcPr>
          <w:p w14:paraId="5205E09B" w14:textId="0A3AFB10" w:rsidR="00034691" w:rsidRPr="00A60C31" w:rsidRDefault="00034691" w:rsidP="00A60C31">
            <w:pPr>
              <w:pStyle w:val="ARTabletextlessleading"/>
            </w:pPr>
            <w:r w:rsidRPr="00A60C31">
              <w:t>Impact evaluation of FPR using linked administrative</w:t>
            </w:r>
            <w:r w:rsidR="00DD775F" w:rsidRPr="00A60C31">
              <w:t> </w:t>
            </w:r>
            <w:r w:rsidRPr="00A60C31">
              <w:t>data</w:t>
            </w:r>
          </w:p>
        </w:tc>
        <w:tc>
          <w:tcPr>
            <w:tcW w:w="2694" w:type="dxa"/>
          </w:tcPr>
          <w:p w14:paraId="46867E90" w14:textId="509179F4" w:rsidR="00034691" w:rsidRPr="00A60C31" w:rsidRDefault="00034691" w:rsidP="00A60C31">
            <w:pPr>
              <w:pStyle w:val="ARTabletextlessleading"/>
            </w:pPr>
            <w:r w:rsidRPr="00A60C31">
              <w:t>Evidence of impact to inform future investment and quality</w:t>
            </w:r>
            <w:r w:rsidR="0020714A" w:rsidRPr="00A60C31">
              <w:t> </w:t>
            </w:r>
            <w:r w:rsidRPr="00A60C31">
              <w:t>improvement</w:t>
            </w:r>
          </w:p>
        </w:tc>
        <w:tc>
          <w:tcPr>
            <w:tcW w:w="1275" w:type="dxa"/>
          </w:tcPr>
          <w:p w14:paraId="30B23580" w14:textId="1D0882CB" w:rsidR="00034691" w:rsidRPr="00E04803" w:rsidRDefault="00034691" w:rsidP="0020714A">
            <w:pPr>
              <w:pStyle w:val="ARtabletextright"/>
            </w:pPr>
            <w:r w:rsidRPr="00AA126F">
              <w:t>148</w:t>
            </w:r>
          </w:p>
        </w:tc>
        <w:tc>
          <w:tcPr>
            <w:tcW w:w="1404" w:type="dxa"/>
          </w:tcPr>
          <w:p w14:paraId="3FBB4B83" w14:textId="6A8E6D3A" w:rsidR="00034691" w:rsidRPr="00E04803" w:rsidRDefault="00034691" w:rsidP="0020714A">
            <w:pPr>
              <w:pStyle w:val="ARtabletextright"/>
            </w:pPr>
            <w:r w:rsidRPr="00AA126F">
              <w:t>148</w:t>
            </w:r>
          </w:p>
        </w:tc>
        <w:tc>
          <w:tcPr>
            <w:tcW w:w="2125" w:type="dxa"/>
          </w:tcPr>
          <w:p w14:paraId="0F4CBC88" w14:textId="75012ED9" w:rsidR="00034691" w:rsidRPr="00E04803" w:rsidRDefault="00034691" w:rsidP="0020714A">
            <w:pPr>
              <w:pStyle w:val="ARtabletextright"/>
            </w:pPr>
            <w:r w:rsidRPr="00AA126F">
              <w:t>N</w:t>
            </w:r>
          </w:p>
        </w:tc>
      </w:tr>
      <w:tr w:rsidR="001625B9" w14:paraId="00A29B5B" w14:textId="77777777" w:rsidTr="006F7262">
        <w:tc>
          <w:tcPr>
            <w:tcW w:w="2263" w:type="dxa"/>
          </w:tcPr>
          <w:p w14:paraId="7246BDF0" w14:textId="39859105" w:rsidR="00034691" w:rsidRPr="0020714A" w:rsidRDefault="00034691" w:rsidP="0020714A">
            <w:pPr>
              <w:pStyle w:val="ARtabletext"/>
            </w:pPr>
            <w:r w:rsidRPr="0020714A">
              <w:t>Evaluation of Women</w:t>
            </w:r>
            <w:r w:rsidR="00711AE6">
              <w:t>’</w:t>
            </w:r>
            <w:r w:rsidRPr="0020714A">
              <w:t>s Leadership Programs</w:t>
            </w:r>
          </w:p>
        </w:tc>
        <w:tc>
          <w:tcPr>
            <w:tcW w:w="2551" w:type="dxa"/>
          </w:tcPr>
          <w:p w14:paraId="1EF193F4" w14:textId="54193040" w:rsidR="00034691" w:rsidRPr="00A60C31" w:rsidRDefault="00034691" w:rsidP="00A60C31">
            <w:pPr>
              <w:pStyle w:val="ARTabletextlessleading"/>
            </w:pPr>
            <w:r w:rsidRPr="00A60C31">
              <w:t>To support decision making about future programs or interventions that will advance women</w:t>
            </w:r>
            <w:r w:rsidR="00711AE6">
              <w:t>’</w:t>
            </w:r>
            <w:r w:rsidRPr="00A60C31">
              <w:t>s leadership</w:t>
            </w:r>
          </w:p>
        </w:tc>
        <w:tc>
          <w:tcPr>
            <w:tcW w:w="2552" w:type="dxa"/>
          </w:tcPr>
          <w:p w14:paraId="34C5C38B" w14:textId="655CF35F" w:rsidR="00034691" w:rsidRPr="00A60C31" w:rsidRDefault="00034691" w:rsidP="00A60C31">
            <w:pPr>
              <w:pStyle w:val="ARTabletextlessleading"/>
            </w:pPr>
            <w:r w:rsidRPr="00A60C31">
              <w:t>To evaluate the appropriateness, efficiency, effectiveness and value for money of women</w:t>
            </w:r>
            <w:r w:rsidR="00711AE6">
              <w:t>’</w:t>
            </w:r>
            <w:r w:rsidRPr="00A60C31">
              <w:t>s leadership</w:t>
            </w:r>
            <w:r w:rsidR="00DD775F" w:rsidRPr="00A60C31">
              <w:t> </w:t>
            </w:r>
            <w:r w:rsidRPr="00A60C31">
              <w:t>programs</w:t>
            </w:r>
            <w:r w:rsidR="00E360C4" w:rsidRPr="00A60C31">
              <w:t xml:space="preserve"> </w:t>
            </w:r>
          </w:p>
        </w:tc>
        <w:tc>
          <w:tcPr>
            <w:tcW w:w="2694" w:type="dxa"/>
          </w:tcPr>
          <w:p w14:paraId="21EB856A" w14:textId="5A485EC4" w:rsidR="00034691" w:rsidRPr="00A60C31" w:rsidRDefault="00034691" w:rsidP="00A60C31">
            <w:pPr>
              <w:pStyle w:val="ARTabletextlessleading"/>
            </w:pPr>
            <w:r w:rsidRPr="00A60C31">
              <w:t>More informed decision making and targeted investment</w:t>
            </w:r>
          </w:p>
        </w:tc>
        <w:tc>
          <w:tcPr>
            <w:tcW w:w="1275" w:type="dxa"/>
          </w:tcPr>
          <w:p w14:paraId="6369E5C8" w14:textId="6179780D" w:rsidR="00034691" w:rsidRPr="00E04803" w:rsidRDefault="00034691" w:rsidP="0020714A">
            <w:pPr>
              <w:pStyle w:val="ARtabletextright"/>
            </w:pPr>
            <w:r w:rsidRPr="00AA126F">
              <w:t>84</w:t>
            </w:r>
          </w:p>
        </w:tc>
        <w:tc>
          <w:tcPr>
            <w:tcW w:w="1404" w:type="dxa"/>
          </w:tcPr>
          <w:p w14:paraId="70A12549" w14:textId="0BFF708E" w:rsidR="00034691" w:rsidRPr="00E04803" w:rsidRDefault="00034691" w:rsidP="0020714A">
            <w:pPr>
              <w:pStyle w:val="ARtabletextright"/>
            </w:pPr>
            <w:r w:rsidRPr="00AA126F">
              <w:t>84</w:t>
            </w:r>
          </w:p>
        </w:tc>
        <w:tc>
          <w:tcPr>
            <w:tcW w:w="2125" w:type="dxa"/>
          </w:tcPr>
          <w:p w14:paraId="7120567B" w14:textId="618DA54A" w:rsidR="00034691" w:rsidRPr="00E04803" w:rsidRDefault="00034691" w:rsidP="0020714A">
            <w:pPr>
              <w:pStyle w:val="ARtabletextright"/>
            </w:pPr>
            <w:r w:rsidRPr="00AA126F">
              <w:t>N</w:t>
            </w:r>
          </w:p>
        </w:tc>
      </w:tr>
      <w:tr w:rsidR="001625B9" w14:paraId="29DDB839" w14:textId="77777777" w:rsidTr="006F7262">
        <w:tc>
          <w:tcPr>
            <w:tcW w:w="2263" w:type="dxa"/>
          </w:tcPr>
          <w:p w14:paraId="42673FF2" w14:textId="74449029" w:rsidR="003A342B" w:rsidRPr="00E04803" w:rsidRDefault="003A342B" w:rsidP="00AA126F">
            <w:pPr>
              <w:pStyle w:val="ARtabletext"/>
            </w:pPr>
            <w:r w:rsidRPr="00E04803">
              <w:rPr>
                <w:color w:val="000000" w:themeColor="text1"/>
              </w:rPr>
              <w:t>Review of the Reportable Conduct Scheme</w:t>
            </w:r>
          </w:p>
        </w:tc>
        <w:tc>
          <w:tcPr>
            <w:tcW w:w="2551" w:type="dxa"/>
          </w:tcPr>
          <w:p w14:paraId="0E0D0720" w14:textId="60125546" w:rsidR="003A342B" w:rsidRPr="00A60C31" w:rsidRDefault="003A342B" w:rsidP="00A60C31">
            <w:pPr>
              <w:pStyle w:val="ARTabletextlessleading"/>
            </w:pPr>
            <w:r w:rsidRPr="00A60C31">
              <w:t xml:space="preserve">The </w:t>
            </w:r>
            <w:r w:rsidRPr="000F0599">
              <w:rPr>
                <w:i/>
              </w:rPr>
              <w:t>Child Wellbeing and Safety Act 2005</w:t>
            </w:r>
            <w:r w:rsidRPr="00A60C31">
              <w:t xml:space="preserve"> requires the Reportable Conduct Scheme to be reviewed 5 years after it</w:t>
            </w:r>
            <w:r w:rsidR="007D1BA5" w:rsidRPr="00A60C31">
              <w:t> </w:t>
            </w:r>
            <w:r w:rsidRPr="00A60C31">
              <w:t xml:space="preserve">commenced </w:t>
            </w:r>
          </w:p>
        </w:tc>
        <w:tc>
          <w:tcPr>
            <w:tcW w:w="2552" w:type="dxa"/>
          </w:tcPr>
          <w:p w14:paraId="24D712CB" w14:textId="24242A12" w:rsidR="003A342B" w:rsidRPr="00A60C31" w:rsidRDefault="003A342B" w:rsidP="00A60C31">
            <w:pPr>
              <w:pStyle w:val="ARTabletextlessleading"/>
            </w:pPr>
            <w:r w:rsidRPr="00A60C31">
              <w:t>Examine the operation of the scheme since it commenced to consider if it is operating as</w:t>
            </w:r>
            <w:r w:rsidR="007D1BA5" w:rsidRPr="00A60C31">
              <w:t> </w:t>
            </w:r>
            <w:r w:rsidRPr="00A60C31">
              <w:t>intended</w:t>
            </w:r>
          </w:p>
        </w:tc>
        <w:tc>
          <w:tcPr>
            <w:tcW w:w="2694" w:type="dxa"/>
          </w:tcPr>
          <w:p w14:paraId="69F8CA1D" w14:textId="26D95D75" w:rsidR="003A342B" w:rsidRPr="00A60C31" w:rsidRDefault="003A342B" w:rsidP="00A60C31">
            <w:pPr>
              <w:pStyle w:val="ARTabletextlessleading"/>
            </w:pPr>
            <w:r w:rsidRPr="00A60C31">
              <w:t>Assessment of the effectiveness of the scheme, what is working well, and opportunities for future</w:t>
            </w:r>
            <w:r w:rsidR="007D1BA5" w:rsidRPr="00A60C31">
              <w:t> </w:t>
            </w:r>
            <w:r w:rsidRPr="00A60C31">
              <w:t>reform</w:t>
            </w:r>
          </w:p>
        </w:tc>
        <w:tc>
          <w:tcPr>
            <w:tcW w:w="1275" w:type="dxa"/>
          </w:tcPr>
          <w:p w14:paraId="086EA89C" w14:textId="444E25C1" w:rsidR="003A342B" w:rsidRPr="00E04803" w:rsidRDefault="003A342B" w:rsidP="0020714A">
            <w:pPr>
              <w:pStyle w:val="ARtabletextright"/>
            </w:pPr>
            <w:r w:rsidRPr="00E04803">
              <w:t>50</w:t>
            </w:r>
          </w:p>
        </w:tc>
        <w:tc>
          <w:tcPr>
            <w:tcW w:w="1404" w:type="dxa"/>
          </w:tcPr>
          <w:p w14:paraId="184715A2" w14:textId="050B3E86" w:rsidR="003A342B" w:rsidRPr="00E04803" w:rsidRDefault="003A342B" w:rsidP="0020714A">
            <w:pPr>
              <w:pStyle w:val="ARtabletextright"/>
            </w:pPr>
            <w:r w:rsidRPr="00E04803">
              <w:t>291</w:t>
            </w:r>
          </w:p>
        </w:tc>
        <w:tc>
          <w:tcPr>
            <w:tcW w:w="2125" w:type="dxa"/>
          </w:tcPr>
          <w:p w14:paraId="1EA04D38" w14:textId="77777777" w:rsidR="00B11A72" w:rsidRDefault="003A342B" w:rsidP="0020714A">
            <w:pPr>
              <w:pStyle w:val="ARtabletextright"/>
            </w:pPr>
            <w:r w:rsidRPr="00E04803">
              <w:t>Y</w:t>
            </w:r>
          </w:p>
          <w:p w14:paraId="519C56EA" w14:textId="32D2AC15" w:rsidR="00B11A72" w:rsidRDefault="00951F93" w:rsidP="0020714A">
            <w:pPr>
              <w:pStyle w:val="ARtabletextright"/>
            </w:pPr>
            <w:hyperlink r:id="rId111" w:history="1">
              <w:r w:rsidRPr="00A60C31">
                <w:rPr>
                  <w:rStyle w:val="Hyperlink"/>
                </w:rPr>
                <w:t>Parliament of Victoria</w:t>
              </w:r>
              <w:r w:rsidR="00711AE6">
                <w:rPr>
                  <w:rStyle w:val="Hyperlink"/>
                </w:rPr>
                <w:t>’</w:t>
              </w:r>
              <w:r w:rsidRPr="00A60C31">
                <w:rPr>
                  <w:rStyle w:val="Hyperlink"/>
                </w:rPr>
                <w:t>s Review of Victoria</w:t>
              </w:r>
              <w:r w:rsidR="00711AE6">
                <w:rPr>
                  <w:rStyle w:val="Hyperlink"/>
                </w:rPr>
                <w:t>’</w:t>
              </w:r>
              <w:r w:rsidRPr="00A60C31">
                <w:rPr>
                  <w:rStyle w:val="Hyperlink"/>
                </w:rPr>
                <w:t>s Reportable Conduct Scheme Final Report webpage</w:t>
              </w:r>
            </w:hyperlink>
          </w:p>
          <w:p w14:paraId="7A159ABA" w14:textId="1D1613E9" w:rsidR="003A342B" w:rsidRPr="00E04803" w:rsidRDefault="0020714A" w:rsidP="0020714A">
            <w:pPr>
              <w:pStyle w:val="ARtabletextright"/>
            </w:pPr>
            <w:r>
              <w:t>&lt;</w:t>
            </w:r>
            <w:r w:rsidR="00FB2779" w:rsidRPr="0020714A">
              <w:rPr>
                <w:rFonts w:eastAsia="Arial"/>
              </w:rPr>
              <w:t>https://www.parliament.vic.gov.au/parliamentary-activity/tabled-documents-database/tabled-document-details/8192</w:t>
            </w:r>
            <w:r>
              <w:rPr>
                <w:rFonts w:eastAsia="Arial"/>
              </w:rPr>
              <w:t>&gt;</w:t>
            </w:r>
          </w:p>
        </w:tc>
      </w:tr>
      <w:tr w:rsidR="001625B9" w14:paraId="70900A48" w14:textId="77777777" w:rsidTr="006F7262">
        <w:tc>
          <w:tcPr>
            <w:tcW w:w="2263" w:type="dxa"/>
          </w:tcPr>
          <w:p w14:paraId="3691A558" w14:textId="00EE206E" w:rsidR="00781382" w:rsidRPr="00E04803" w:rsidRDefault="00781382" w:rsidP="00AA126F">
            <w:pPr>
              <w:pStyle w:val="ARtabletext"/>
            </w:pPr>
            <w:r w:rsidRPr="00E04803">
              <w:rPr>
                <w:color w:val="000000" w:themeColor="text1"/>
              </w:rPr>
              <w:t>Aboriginal component of the evaluation of the Mandatory Minimum Qualifications (MMQ) Policy for specialist family violence practitioners</w:t>
            </w:r>
          </w:p>
        </w:tc>
        <w:tc>
          <w:tcPr>
            <w:tcW w:w="2551" w:type="dxa"/>
          </w:tcPr>
          <w:p w14:paraId="0C80E562" w14:textId="1D81D92E" w:rsidR="00781382" w:rsidRPr="00A60C31" w:rsidRDefault="00781382" w:rsidP="00A60C31">
            <w:pPr>
              <w:pStyle w:val="ARTabletextlessleading"/>
            </w:pPr>
            <w:r w:rsidRPr="00A60C31">
              <w:t xml:space="preserve">To understand the specific experiences of Aboriginal </w:t>
            </w:r>
            <w:r w:rsidR="00BC0E52">
              <w:t>C</w:t>
            </w:r>
            <w:r w:rsidR="003D660E" w:rsidRPr="00A60C31">
              <w:t>ommunity</w:t>
            </w:r>
            <w:r w:rsidR="003D660E">
              <w:t>-</w:t>
            </w:r>
            <w:r w:rsidR="00BC0E52">
              <w:t>C</w:t>
            </w:r>
            <w:r w:rsidR="003D660E" w:rsidRPr="00A60C31">
              <w:t xml:space="preserve">ontrolled </w:t>
            </w:r>
            <w:r w:rsidR="00BC0E52">
              <w:t>O</w:t>
            </w:r>
            <w:r w:rsidR="003D660E" w:rsidRPr="00A60C31">
              <w:t xml:space="preserve">rganisations </w:t>
            </w:r>
            <w:r w:rsidRPr="00A60C31">
              <w:t xml:space="preserve">and Aboriginal people implementing the MMQ Policy as part of a broader evaluation of the MMQ Policy by CERE </w:t>
            </w:r>
          </w:p>
        </w:tc>
        <w:tc>
          <w:tcPr>
            <w:tcW w:w="2552" w:type="dxa"/>
          </w:tcPr>
          <w:p w14:paraId="47EC8DDC" w14:textId="17027B85" w:rsidR="00781382" w:rsidRPr="00A60C31" w:rsidRDefault="00781382" w:rsidP="00A60C31">
            <w:pPr>
              <w:pStyle w:val="ARTabletextlessleading"/>
            </w:pPr>
            <w:r w:rsidRPr="00A60C31">
              <w:t>To examine the impact of the MMQ Policy and its implementation activities on the Aboriginal specialist</w:t>
            </w:r>
            <w:r w:rsidR="00103BF7" w:rsidRPr="00A60C31">
              <w:t xml:space="preserve"> </w:t>
            </w:r>
            <w:r w:rsidRPr="00A60C31">
              <w:t xml:space="preserve">family violence workforce </w:t>
            </w:r>
          </w:p>
        </w:tc>
        <w:tc>
          <w:tcPr>
            <w:tcW w:w="2694" w:type="dxa"/>
          </w:tcPr>
          <w:p w14:paraId="590AFFAC" w14:textId="7775F514" w:rsidR="00781382" w:rsidRPr="00A60C31" w:rsidRDefault="00781382" w:rsidP="00A60C31">
            <w:pPr>
              <w:pStyle w:val="ARTabletextlessleading"/>
            </w:pPr>
            <w:r w:rsidRPr="00A60C31">
              <w:t>Evidence and recommendations to inform future iterations and implementation of the MMQ</w:t>
            </w:r>
            <w:r w:rsidR="00DD775F" w:rsidRPr="00A60C31">
              <w:t> </w:t>
            </w:r>
            <w:r w:rsidRPr="00A60C31">
              <w:t>Policy</w:t>
            </w:r>
          </w:p>
        </w:tc>
        <w:tc>
          <w:tcPr>
            <w:tcW w:w="1275" w:type="dxa"/>
          </w:tcPr>
          <w:p w14:paraId="15FF3FA8" w14:textId="54EDE540" w:rsidR="00781382" w:rsidRPr="00E04803" w:rsidRDefault="00781382" w:rsidP="0020714A">
            <w:pPr>
              <w:pStyle w:val="ARtabletextright"/>
            </w:pPr>
            <w:r w:rsidRPr="00E04803">
              <w:t>91</w:t>
            </w:r>
          </w:p>
        </w:tc>
        <w:tc>
          <w:tcPr>
            <w:tcW w:w="1404" w:type="dxa"/>
          </w:tcPr>
          <w:p w14:paraId="7C39BF28" w14:textId="45809DBE" w:rsidR="00781382" w:rsidRPr="00E04803" w:rsidRDefault="00781382" w:rsidP="0020714A">
            <w:pPr>
              <w:pStyle w:val="ARtabletextright"/>
            </w:pPr>
            <w:r w:rsidRPr="00E04803">
              <w:t>91</w:t>
            </w:r>
          </w:p>
        </w:tc>
        <w:tc>
          <w:tcPr>
            <w:tcW w:w="2125" w:type="dxa"/>
          </w:tcPr>
          <w:p w14:paraId="4E676B66" w14:textId="72306587" w:rsidR="00781382" w:rsidRPr="00E04803" w:rsidRDefault="00781382" w:rsidP="0020714A">
            <w:pPr>
              <w:pStyle w:val="ARtabletextright"/>
            </w:pPr>
            <w:r w:rsidRPr="00E04803">
              <w:t>N</w:t>
            </w:r>
          </w:p>
        </w:tc>
      </w:tr>
      <w:tr w:rsidR="001625B9" w14:paraId="2248410F" w14:textId="77777777" w:rsidTr="006F7262">
        <w:tc>
          <w:tcPr>
            <w:tcW w:w="2263" w:type="dxa"/>
          </w:tcPr>
          <w:p w14:paraId="75856C4C" w14:textId="19758E88" w:rsidR="00781382" w:rsidRPr="00E04803" w:rsidRDefault="00781382" w:rsidP="00AA126F">
            <w:pPr>
              <w:pStyle w:val="ARtabletext"/>
            </w:pPr>
            <w:r w:rsidRPr="00E04803">
              <w:rPr>
                <w:color w:val="000000" w:themeColor="text1"/>
              </w:rPr>
              <w:t xml:space="preserve">Rapid review of workforce growth strategies </w:t>
            </w:r>
            <w:r w:rsidR="00E6676D">
              <w:rPr>
                <w:color w:val="000000" w:themeColor="text1"/>
              </w:rPr>
              <w:t>–</w:t>
            </w:r>
            <w:r w:rsidR="00E6676D" w:rsidRPr="00E04803">
              <w:rPr>
                <w:color w:val="000000" w:themeColor="text1"/>
              </w:rPr>
              <w:t xml:space="preserve"> </w:t>
            </w:r>
            <w:r w:rsidRPr="00E04803">
              <w:rPr>
                <w:color w:val="000000" w:themeColor="text1"/>
              </w:rPr>
              <w:t>to inform urgent workforce development decision-making and investment</w:t>
            </w:r>
          </w:p>
        </w:tc>
        <w:tc>
          <w:tcPr>
            <w:tcW w:w="2551" w:type="dxa"/>
          </w:tcPr>
          <w:p w14:paraId="1A988C42" w14:textId="031490DC" w:rsidR="00781382" w:rsidRPr="00A60C31" w:rsidRDefault="00781382" w:rsidP="00A60C31">
            <w:pPr>
              <w:pStyle w:val="ARTabletextlessleading"/>
            </w:pPr>
            <w:r w:rsidRPr="00A60C31">
              <w:t xml:space="preserve">To build on the emerging evidence base of the most effective options for growing and delivering a community services workforce </w:t>
            </w:r>
          </w:p>
        </w:tc>
        <w:tc>
          <w:tcPr>
            <w:tcW w:w="2552" w:type="dxa"/>
          </w:tcPr>
          <w:p w14:paraId="69498223" w14:textId="7DCE84DC" w:rsidR="00781382" w:rsidRPr="00A60C31" w:rsidRDefault="00781382" w:rsidP="00A60C31">
            <w:pPr>
              <w:pStyle w:val="ARTabletextlessleading"/>
            </w:pPr>
            <w:r w:rsidRPr="00A60C31">
              <w:t>Consolidate evidence from various sources to develop a</w:t>
            </w:r>
            <w:r w:rsidRPr="00A60C31" w:rsidDel="28145A6B">
              <w:t xml:space="preserve"> </w:t>
            </w:r>
            <w:r w:rsidRPr="00A60C31">
              <w:t>map of workforce development options, their effectiveness, cost and time</w:t>
            </w:r>
            <w:r w:rsidR="007D1BA5" w:rsidRPr="00A60C31">
              <w:t> </w:t>
            </w:r>
            <w:r w:rsidRPr="00A60C31">
              <w:t>horizons</w:t>
            </w:r>
          </w:p>
        </w:tc>
        <w:tc>
          <w:tcPr>
            <w:tcW w:w="2694" w:type="dxa"/>
          </w:tcPr>
          <w:p w14:paraId="44126177" w14:textId="654AA8C6" w:rsidR="00781382" w:rsidRPr="00A60C31" w:rsidRDefault="00781382" w:rsidP="00A60C31">
            <w:pPr>
              <w:pStyle w:val="ARTabletextlessleading"/>
            </w:pPr>
            <w:r w:rsidRPr="00A60C31">
              <w:t>A map of workforce development options against a set of objectives including magnitude of impact, timeframes for investment and strength of evidence</w:t>
            </w:r>
          </w:p>
        </w:tc>
        <w:tc>
          <w:tcPr>
            <w:tcW w:w="1275" w:type="dxa"/>
          </w:tcPr>
          <w:p w14:paraId="1031E986" w14:textId="23A153BD" w:rsidR="00781382" w:rsidRPr="00E04803" w:rsidRDefault="00781382" w:rsidP="0020714A">
            <w:pPr>
              <w:pStyle w:val="ARtabletextright"/>
            </w:pPr>
            <w:r w:rsidRPr="00E04803">
              <w:t>200</w:t>
            </w:r>
          </w:p>
        </w:tc>
        <w:tc>
          <w:tcPr>
            <w:tcW w:w="1404" w:type="dxa"/>
          </w:tcPr>
          <w:p w14:paraId="65D8849B" w14:textId="7F163C1E" w:rsidR="00781382" w:rsidRPr="00E04803" w:rsidRDefault="00781382" w:rsidP="0020714A">
            <w:pPr>
              <w:pStyle w:val="ARtabletextright"/>
            </w:pPr>
            <w:r w:rsidRPr="00E04803">
              <w:t>163</w:t>
            </w:r>
          </w:p>
        </w:tc>
        <w:tc>
          <w:tcPr>
            <w:tcW w:w="2125" w:type="dxa"/>
          </w:tcPr>
          <w:p w14:paraId="3E6420B9" w14:textId="77777777" w:rsidR="00781382" w:rsidRPr="00E04803" w:rsidRDefault="00781382" w:rsidP="0020714A">
            <w:pPr>
              <w:pStyle w:val="ARtabletextright"/>
            </w:pPr>
          </w:p>
        </w:tc>
      </w:tr>
      <w:tr w:rsidR="001625B9" w14:paraId="0FAD010D" w14:textId="77777777" w:rsidTr="006F7262">
        <w:tc>
          <w:tcPr>
            <w:tcW w:w="2263" w:type="dxa"/>
          </w:tcPr>
          <w:p w14:paraId="2BE9B698" w14:textId="130D4F86" w:rsidR="00781382" w:rsidRPr="00E04803" w:rsidRDefault="00781382" w:rsidP="00AA126F">
            <w:pPr>
              <w:pStyle w:val="ARtabletext"/>
            </w:pPr>
            <w:r w:rsidRPr="00E04803">
              <w:rPr>
                <w:color w:val="000000" w:themeColor="text1"/>
              </w:rPr>
              <w:t xml:space="preserve">Better Futures and Home Stretch Stage 2 Evaluation – First Nations Experience </w:t>
            </w:r>
          </w:p>
        </w:tc>
        <w:tc>
          <w:tcPr>
            <w:tcW w:w="2551" w:type="dxa"/>
          </w:tcPr>
          <w:p w14:paraId="400EAFB3" w14:textId="4DE9C28F" w:rsidR="00781382" w:rsidRPr="00A60C31" w:rsidRDefault="00781382" w:rsidP="00A60C31">
            <w:pPr>
              <w:pStyle w:val="ARTabletextlessleading"/>
            </w:pPr>
            <w:r w:rsidRPr="00A60C31">
              <w:t>To engage community and providers to document the experience First Nation</w:t>
            </w:r>
            <w:r w:rsidR="00711AE6">
              <w:t>’</w:t>
            </w:r>
            <w:r w:rsidRPr="00A60C31">
              <w:t>s people are having of the Better Futures and Home Stretch programs</w:t>
            </w:r>
          </w:p>
        </w:tc>
        <w:tc>
          <w:tcPr>
            <w:tcW w:w="2552" w:type="dxa"/>
          </w:tcPr>
          <w:p w14:paraId="0E772EA3" w14:textId="0CFD47C6" w:rsidR="00781382" w:rsidRPr="00A60C31" w:rsidRDefault="00781382" w:rsidP="00A60C31">
            <w:pPr>
              <w:pStyle w:val="ARTabletextlessleading"/>
            </w:pPr>
            <w:r w:rsidRPr="00A60C31">
              <w:t>An evaluation of the Better Futures Our Way Aboriginal</w:t>
            </w:r>
            <w:r w:rsidR="00903592">
              <w:t>-</w:t>
            </w:r>
            <w:r w:rsidRPr="00A60C31">
              <w:t>led program to support Aboriginal young people leaving care. This supplements the department</w:t>
            </w:r>
            <w:r w:rsidR="00711AE6">
              <w:t>’</w:t>
            </w:r>
            <w:r w:rsidRPr="00A60C31">
              <w:t>s (Centre for Evaluation and Research Evidence) evaluation of the overall Better Futures and Home Stretch</w:t>
            </w:r>
            <w:r w:rsidR="00502F1D" w:rsidRPr="00A60C31">
              <w:t> </w:t>
            </w:r>
            <w:r w:rsidRPr="00A60C31">
              <w:t>programs</w:t>
            </w:r>
          </w:p>
        </w:tc>
        <w:tc>
          <w:tcPr>
            <w:tcW w:w="2694" w:type="dxa"/>
          </w:tcPr>
          <w:p w14:paraId="0D44D712" w14:textId="499ADB4A" w:rsidR="00781382" w:rsidRPr="00A60C31" w:rsidRDefault="00781382" w:rsidP="00A60C31">
            <w:pPr>
              <w:pStyle w:val="ARTabletextlessleading"/>
            </w:pPr>
            <w:r w:rsidRPr="00A60C31">
              <w:t>Evidence of implementation, maturation and experience to inform future service model</w:t>
            </w:r>
            <w:r w:rsidR="00502F1D" w:rsidRPr="00A60C31">
              <w:t> </w:t>
            </w:r>
            <w:r w:rsidRPr="00A60C31">
              <w:t xml:space="preserve">improvements </w:t>
            </w:r>
          </w:p>
        </w:tc>
        <w:tc>
          <w:tcPr>
            <w:tcW w:w="1275" w:type="dxa"/>
          </w:tcPr>
          <w:p w14:paraId="24FB7554" w14:textId="75506399" w:rsidR="00781382" w:rsidRPr="00E04803" w:rsidRDefault="00781382" w:rsidP="0020714A">
            <w:pPr>
              <w:pStyle w:val="ARtabletextright"/>
            </w:pPr>
            <w:r w:rsidRPr="00E04803">
              <w:t>41</w:t>
            </w:r>
          </w:p>
        </w:tc>
        <w:tc>
          <w:tcPr>
            <w:tcW w:w="1404" w:type="dxa"/>
          </w:tcPr>
          <w:p w14:paraId="5DD0DC4C" w14:textId="2809EA68" w:rsidR="00781382" w:rsidRPr="00E04803" w:rsidRDefault="00781382" w:rsidP="0020714A">
            <w:pPr>
              <w:pStyle w:val="ARtabletextright"/>
            </w:pPr>
            <w:r w:rsidRPr="00E04803">
              <w:t xml:space="preserve"> 199</w:t>
            </w:r>
          </w:p>
        </w:tc>
        <w:tc>
          <w:tcPr>
            <w:tcW w:w="2125" w:type="dxa"/>
          </w:tcPr>
          <w:p w14:paraId="30A04612" w14:textId="1F725B25" w:rsidR="00781382" w:rsidRPr="00E04803" w:rsidRDefault="00781382" w:rsidP="0020714A">
            <w:pPr>
              <w:pStyle w:val="ARtabletextright"/>
            </w:pPr>
            <w:r w:rsidRPr="00E04803">
              <w:t>N</w:t>
            </w:r>
          </w:p>
        </w:tc>
      </w:tr>
      <w:tr w:rsidR="001625B9" w14:paraId="0C5815D5" w14:textId="77777777" w:rsidTr="006F7262">
        <w:tc>
          <w:tcPr>
            <w:tcW w:w="2263" w:type="dxa"/>
          </w:tcPr>
          <w:p w14:paraId="29D2BAEC" w14:textId="33409A50" w:rsidR="00781382" w:rsidRPr="00E04803" w:rsidRDefault="00781382" w:rsidP="00AA126F">
            <w:pPr>
              <w:pStyle w:val="ARtabletext"/>
            </w:pPr>
            <w:r w:rsidRPr="00E04803">
              <w:rPr>
                <w:color w:val="000000" w:themeColor="text1"/>
              </w:rPr>
              <w:t>Evaluation of Switch to</w:t>
            </w:r>
            <w:r w:rsidR="00502F1D">
              <w:rPr>
                <w:color w:val="000000" w:themeColor="text1"/>
              </w:rPr>
              <w:t> </w:t>
            </w:r>
            <w:r w:rsidRPr="00E04803">
              <w:rPr>
                <w:color w:val="000000" w:themeColor="text1"/>
              </w:rPr>
              <w:t>Social Work</w:t>
            </w:r>
          </w:p>
        </w:tc>
        <w:tc>
          <w:tcPr>
            <w:tcW w:w="2551" w:type="dxa"/>
          </w:tcPr>
          <w:p w14:paraId="1459B5CC" w14:textId="2BA85CFA" w:rsidR="00781382" w:rsidRPr="00A60C31" w:rsidRDefault="00781382" w:rsidP="00A60C31">
            <w:pPr>
              <w:pStyle w:val="ARTabletextlessleading"/>
            </w:pPr>
            <w:r w:rsidRPr="00A60C31">
              <w:t>To understand the impact of the Switch to Social Work program in building a new community services sector workforce pipeline</w:t>
            </w:r>
          </w:p>
        </w:tc>
        <w:tc>
          <w:tcPr>
            <w:tcW w:w="2552" w:type="dxa"/>
          </w:tcPr>
          <w:p w14:paraId="50A00037" w14:textId="7F5DB34E" w:rsidR="00781382" w:rsidRPr="00A60C31" w:rsidRDefault="00781382" w:rsidP="00A60C31">
            <w:pPr>
              <w:pStyle w:val="ARTabletextlessleading"/>
            </w:pPr>
            <w:r w:rsidRPr="00A60C31">
              <w:t xml:space="preserve">A comprehensive outcomes evaluation of the Switch to Social Work program against its objectives </w:t>
            </w:r>
          </w:p>
        </w:tc>
        <w:tc>
          <w:tcPr>
            <w:tcW w:w="2694" w:type="dxa"/>
          </w:tcPr>
          <w:p w14:paraId="25352529" w14:textId="76840D2F" w:rsidR="00781382" w:rsidRPr="00A60C31" w:rsidRDefault="00781382" w:rsidP="00A60C31">
            <w:pPr>
              <w:pStyle w:val="ARTabletextlessleading"/>
            </w:pPr>
            <w:r w:rsidRPr="00A60C31">
              <w:t>Identify opportunities for scalability of elements to support a new community services sector workforce</w:t>
            </w:r>
            <w:r w:rsidR="00502F1D" w:rsidRPr="00A60C31">
              <w:t> </w:t>
            </w:r>
            <w:r w:rsidRPr="00A60C31">
              <w:t>pipeline</w:t>
            </w:r>
          </w:p>
        </w:tc>
        <w:tc>
          <w:tcPr>
            <w:tcW w:w="1275" w:type="dxa"/>
          </w:tcPr>
          <w:p w14:paraId="02DF4DF2" w14:textId="58D3A0B0" w:rsidR="00781382" w:rsidRPr="00E04803" w:rsidRDefault="00781382" w:rsidP="0020714A">
            <w:pPr>
              <w:pStyle w:val="ARtabletextright"/>
            </w:pPr>
            <w:r w:rsidRPr="00E04803">
              <w:t>156</w:t>
            </w:r>
          </w:p>
        </w:tc>
        <w:tc>
          <w:tcPr>
            <w:tcW w:w="1404" w:type="dxa"/>
          </w:tcPr>
          <w:p w14:paraId="4BBDEB4B" w14:textId="49C87294" w:rsidR="00781382" w:rsidRPr="00E04803" w:rsidRDefault="00781382" w:rsidP="0020714A">
            <w:pPr>
              <w:pStyle w:val="ARtabletextright"/>
            </w:pPr>
            <w:r w:rsidRPr="00E04803">
              <w:t>392</w:t>
            </w:r>
          </w:p>
        </w:tc>
        <w:tc>
          <w:tcPr>
            <w:tcW w:w="2125" w:type="dxa"/>
          </w:tcPr>
          <w:p w14:paraId="4FF886CC" w14:textId="29E06E29" w:rsidR="00781382" w:rsidRPr="00E04803" w:rsidRDefault="00781382" w:rsidP="0020714A">
            <w:pPr>
              <w:pStyle w:val="ARtabletextright"/>
            </w:pPr>
            <w:r w:rsidRPr="00E04803">
              <w:t>N</w:t>
            </w:r>
          </w:p>
        </w:tc>
      </w:tr>
      <w:tr w:rsidR="001625B9" w14:paraId="453C0081" w14:textId="77777777" w:rsidTr="006F7262">
        <w:tc>
          <w:tcPr>
            <w:tcW w:w="2263" w:type="dxa"/>
          </w:tcPr>
          <w:p w14:paraId="6851212B" w14:textId="0D2AF866" w:rsidR="007375C3" w:rsidRPr="00E04803" w:rsidRDefault="007375C3" w:rsidP="00AA126F">
            <w:pPr>
              <w:pStyle w:val="ARtabletext"/>
            </w:pPr>
            <w:r w:rsidRPr="00E04803">
              <w:rPr>
                <w:color w:val="000000" w:themeColor="text1"/>
              </w:rPr>
              <w:t>Evaluation of Switch to</w:t>
            </w:r>
            <w:r w:rsidR="00502F1D">
              <w:rPr>
                <w:color w:val="000000" w:themeColor="text1"/>
              </w:rPr>
              <w:t> </w:t>
            </w:r>
            <w:r w:rsidRPr="00E04803">
              <w:rPr>
                <w:color w:val="000000" w:themeColor="text1"/>
              </w:rPr>
              <w:t>Child Protection</w:t>
            </w:r>
          </w:p>
        </w:tc>
        <w:tc>
          <w:tcPr>
            <w:tcW w:w="2551" w:type="dxa"/>
          </w:tcPr>
          <w:p w14:paraId="0B7269CF" w14:textId="5CA1503D" w:rsidR="007375C3" w:rsidRPr="00A60C31" w:rsidRDefault="007375C3" w:rsidP="00A60C31">
            <w:pPr>
              <w:pStyle w:val="ARTabletextlessleading"/>
            </w:pPr>
            <w:r w:rsidRPr="00A60C31">
              <w:t>To understand the impact of the Switch to Child Protection program in supporting a new mid-level entry workforce pipeline for child protection</w:t>
            </w:r>
          </w:p>
        </w:tc>
        <w:tc>
          <w:tcPr>
            <w:tcW w:w="2552" w:type="dxa"/>
          </w:tcPr>
          <w:p w14:paraId="3F51CEFD" w14:textId="505446AD" w:rsidR="007375C3" w:rsidRPr="00A60C31" w:rsidRDefault="007375C3" w:rsidP="00A60C31">
            <w:pPr>
              <w:pStyle w:val="ARTabletextlessleading"/>
            </w:pPr>
            <w:r w:rsidRPr="00A60C31">
              <w:t>A comprehensive outcomes evaluation of the Switch to Child Protection program against its objectives</w:t>
            </w:r>
          </w:p>
        </w:tc>
        <w:tc>
          <w:tcPr>
            <w:tcW w:w="2694" w:type="dxa"/>
          </w:tcPr>
          <w:p w14:paraId="407EA0DE" w14:textId="28DE4E67" w:rsidR="007375C3" w:rsidRPr="00A60C31" w:rsidRDefault="007375C3" w:rsidP="00A60C31">
            <w:pPr>
              <w:pStyle w:val="ARTabletextlessleading"/>
            </w:pPr>
            <w:r w:rsidRPr="00A60C31">
              <w:t>Identify opportunities for scalability and embedding as BAU recruitment practices to support a new mid-level entry workforce pipeline for child</w:t>
            </w:r>
            <w:r w:rsidR="00502F1D" w:rsidRPr="00A60C31">
              <w:t> </w:t>
            </w:r>
            <w:r w:rsidRPr="00A60C31">
              <w:t>protection</w:t>
            </w:r>
          </w:p>
        </w:tc>
        <w:tc>
          <w:tcPr>
            <w:tcW w:w="1275" w:type="dxa"/>
          </w:tcPr>
          <w:p w14:paraId="54EE4023" w14:textId="377B9422" w:rsidR="007375C3" w:rsidRPr="00E04803" w:rsidRDefault="007375C3" w:rsidP="0020714A">
            <w:pPr>
              <w:pStyle w:val="ARtabletextright"/>
            </w:pPr>
            <w:r w:rsidRPr="00E04803">
              <w:t>13</w:t>
            </w:r>
          </w:p>
        </w:tc>
        <w:tc>
          <w:tcPr>
            <w:tcW w:w="1404" w:type="dxa"/>
          </w:tcPr>
          <w:p w14:paraId="531F503C" w14:textId="1AEEABC7" w:rsidR="007375C3" w:rsidRPr="00E04803" w:rsidRDefault="007375C3" w:rsidP="0020714A">
            <w:pPr>
              <w:pStyle w:val="ARtabletextright"/>
            </w:pPr>
            <w:r w:rsidRPr="00E04803">
              <w:t>57</w:t>
            </w:r>
          </w:p>
        </w:tc>
        <w:tc>
          <w:tcPr>
            <w:tcW w:w="2125" w:type="dxa"/>
          </w:tcPr>
          <w:p w14:paraId="7355FF9C" w14:textId="687CBBFB" w:rsidR="007375C3" w:rsidRPr="00E04803" w:rsidRDefault="007375C3" w:rsidP="0020714A">
            <w:pPr>
              <w:pStyle w:val="ARtabletextright"/>
            </w:pPr>
            <w:r w:rsidRPr="00E04803">
              <w:t>N</w:t>
            </w:r>
          </w:p>
        </w:tc>
      </w:tr>
      <w:tr w:rsidR="001625B9" w14:paraId="19569A51" w14:textId="77777777" w:rsidTr="006F7262">
        <w:tc>
          <w:tcPr>
            <w:tcW w:w="2263" w:type="dxa"/>
          </w:tcPr>
          <w:p w14:paraId="12B54BE9" w14:textId="6BB72216" w:rsidR="007375C3" w:rsidRPr="00E04803" w:rsidRDefault="007375C3" w:rsidP="00AA126F">
            <w:pPr>
              <w:pStyle w:val="ARtabletext"/>
            </w:pPr>
            <w:r w:rsidRPr="00E04803">
              <w:rPr>
                <w:color w:val="000000"/>
              </w:rPr>
              <w:t>Jobs that Matter and Go Where You</w:t>
            </w:r>
            <w:r w:rsidR="00711AE6">
              <w:rPr>
                <w:color w:val="000000"/>
              </w:rPr>
              <w:t>’</w:t>
            </w:r>
            <w:r w:rsidRPr="00E04803">
              <w:rPr>
                <w:color w:val="000000"/>
              </w:rPr>
              <w:t>re Needed campaign evaluations</w:t>
            </w:r>
          </w:p>
        </w:tc>
        <w:tc>
          <w:tcPr>
            <w:tcW w:w="2551" w:type="dxa"/>
          </w:tcPr>
          <w:p w14:paraId="502DE1FD" w14:textId="6BA397CE" w:rsidR="007375C3" w:rsidRPr="00A60C31" w:rsidRDefault="007375C3" w:rsidP="00A60C31">
            <w:pPr>
              <w:pStyle w:val="ARTabletextlessleading"/>
            </w:pPr>
            <w:r w:rsidRPr="00A60C31">
              <w:t>Evaluation and analysis the Jobs that Matter and Go Where You</w:t>
            </w:r>
            <w:r w:rsidR="00711AE6">
              <w:t>’</w:t>
            </w:r>
            <w:r w:rsidRPr="00A60C31">
              <w:t>re Needed</w:t>
            </w:r>
            <w:r w:rsidR="00502F1D" w:rsidRPr="00A60C31">
              <w:t> </w:t>
            </w:r>
            <w:r w:rsidRPr="00A60C31">
              <w:t>campaigns</w:t>
            </w:r>
          </w:p>
        </w:tc>
        <w:tc>
          <w:tcPr>
            <w:tcW w:w="2552" w:type="dxa"/>
          </w:tcPr>
          <w:p w14:paraId="0B439788" w14:textId="3FC1A6EF" w:rsidR="007375C3" w:rsidRPr="00A60C31" w:rsidRDefault="007375C3" w:rsidP="00A60C31">
            <w:pPr>
              <w:pStyle w:val="ARTabletextlessleading"/>
            </w:pPr>
            <w:r w:rsidRPr="00A60C31">
              <w:t>To evaluate the effectiveness and impact of the campaign on our target audiences. Identify recommendations and opportunities for future</w:t>
            </w:r>
            <w:r w:rsidR="00502F1D" w:rsidRPr="00A60C31">
              <w:t> </w:t>
            </w:r>
            <w:r w:rsidRPr="00A60C31">
              <w:t>phases</w:t>
            </w:r>
          </w:p>
        </w:tc>
        <w:tc>
          <w:tcPr>
            <w:tcW w:w="2694" w:type="dxa"/>
          </w:tcPr>
          <w:p w14:paraId="3B18F01B" w14:textId="42242902" w:rsidR="007375C3" w:rsidRPr="00A60C31" w:rsidRDefault="007375C3" w:rsidP="00A60C31">
            <w:pPr>
              <w:pStyle w:val="ARTabletextlessleading"/>
            </w:pPr>
            <w:r w:rsidRPr="00A60C31">
              <w:t>Evaluate the campaign and identify growth opportunities. To</w:t>
            </w:r>
            <w:r w:rsidR="00502F1D" w:rsidRPr="00A60C31">
              <w:t> </w:t>
            </w:r>
            <w:r w:rsidRPr="00A60C31">
              <w:t>guide strategic planning for</w:t>
            </w:r>
            <w:r w:rsidR="007D1BA5" w:rsidRPr="00A60C31">
              <w:t> </w:t>
            </w:r>
            <w:r w:rsidRPr="00A60C31">
              <w:t>future campaigns</w:t>
            </w:r>
          </w:p>
        </w:tc>
        <w:tc>
          <w:tcPr>
            <w:tcW w:w="1275" w:type="dxa"/>
          </w:tcPr>
          <w:p w14:paraId="46C02263" w14:textId="10EE4860" w:rsidR="007375C3" w:rsidRPr="00E04803" w:rsidRDefault="007375C3" w:rsidP="0020714A">
            <w:pPr>
              <w:pStyle w:val="ARtabletextright"/>
            </w:pPr>
            <w:r w:rsidRPr="00E04803">
              <w:rPr>
                <w:color w:val="000000"/>
              </w:rPr>
              <w:t>75</w:t>
            </w:r>
          </w:p>
        </w:tc>
        <w:tc>
          <w:tcPr>
            <w:tcW w:w="1404" w:type="dxa"/>
          </w:tcPr>
          <w:p w14:paraId="53F3FCFE" w14:textId="205B4D90" w:rsidR="007375C3" w:rsidRPr="00E04803" w:rsidRDefault="007375C3" w:rsidP="0020714A">
            <w:pPr>
              <w:pStyle w:val="ARtabletextright"/>
            </w:pPr>
            <w:r w:rsidRPr="00E04803">
              <w:rPr>
                <w:color w:val="000000"/>
              </w:rPr>
              <w:t>75</w:t>
            </w:r>
          </w:p>
        </w:tc>
        <w:tc>
          <w:tcPr>
            <w:tcW w:w="2125" w:type="dxa"/>
          </w:tcPr>
          <w:p w14:paraId="523D6B9F" w14:textId="144472EA" w:rsidR="007375C3" w:rsidRPr="00E04803" w:rsidRDefault="007375C3" w:rsidP="0020714A">
            <w:pPr>
              <w:pStyle w:val="ARtabletextright"/>
            </w:pPr>
            <w:r w:rsidRPr="00E04803">
              <w:rPr>
                <w:color w:val="000000"/>
              </w:rPr>
              <w:t>N</w:t>
            </w:r>
          </w:p>
        </w:tc>
      </w:tr>
      <w:tr w:rsidR="001625B9" w14:paraId="56DCD5DD" w14:textId="77777777" w:rsidTr="006F7262">
        <w:tc>
          <w:tcPr>
            <w:tcW w:w="2263" w:type="dxa"/>
          </w:tcPr>
          <w:p w14:paraId="1B62EB29" w14:textId="1D5C0DB8" w:rsidR="00EB6195" w:rsidRPr="00E04803" w:rsidRDefault="00EB6195" w:rsidP="00AA126F">
            <w:pPr>
              <w:pStyle w:val="ARtabletext"/>
            </w:pPr>
            <w:r w:rsidRPr="00E04803">
              <w:rPr>
                <w:color w:val="000000"/>
              </w:rPr>
              <w:t xml:space="preserve">Family violence and sexual harm: Principles for responding to victim survivors with </w:t>
            </w:r>
            <w:r w:rsidR="00B31DF7">
              <w:rPr>
                <w:color w:val="000000"/>
              </w:rPr>
              <w:br/>
            </w:r>
            <w:r w:rsidRPr="00E04803">
              <w:rPr>
                <w:color w:val="000000"/>
              </w:rPr>
              <w:t>co-occurring experience of family and sexual violence</w:t>
            </w:r>
            <w:r w:rsidR="00B6093B">
              <w:rPr>
                <w:color w:val="000000"/>
              </w:rPr>
              <w:t>;</w:t>
            </w:r>
            <w:r w:rsidR="00B6093B" w:rsidRPr="00E04803">
              <w:rPr>
                <w:color w:val="000000"/>
              </w:rPr>
              <w:t xml:space="preserve"> </w:t>
            </w:r>
            <w:r w:rsidRPr="00E04803">
              <w:rPr>
                <w:color w:val="000000"/>
              </w:rPr>
              <w:t>RMIT</w:t>
            </w:r>
          </w:p>
        </w:tc>
        <w:tc>
          <w:tcPr>
            <w:tcW w:w="2551" w:type="dxa"/>
          </w:tcPr>
          <w:p w14:paraId="3CE43233" w14:textId="7D567AB4" w:rsidR="00EB6195" w:rsidRPr="00A60C31" w:rsidRDefault="00EB6195" w:rsidP="00A60C31">
            <w:pPr>
              <w:pStyle w:val="ARTabletextlessleading"/>
            </w:pPr>
            <w:r w:rsidRPr="00A60C31">
              <w:t>Embed research evidence and lived experience of family and sexual violence to support improvement and service innovation for victim</w:t>
            </w:r>
            <w:r w:rsidR="00787B75">
              <w:t> </w:t>
            </w:r>
            <w:r w:rsidRPr="00A60C31">
              <w:t>survivors</w:t>
            </w:r>
          </w:p>
        </w:tc>
        <w:tc>
          <w:tcPr>
            <w:tcW w:w="2552" w:type="dxa"/>
          </w:tcPr>
          <w:p w14:paraId="1966B21C" w14:textId="3707C81D" w:rsidR="00EB6195" w:rsidRPr="00A60C31" w:rsidRDefault="00EB6195" w:rsidP="00A60C31">
            <w:pPr>
              <w:pStyle w:val="ARTabletextlessleading"/>
            </w:pPr>
            <w:r w:rsidRPr="00A60C31">
              <w:t>Understand how to integrate research, evidence and victim survivor perspectives into the complex interplay between family violence and sexual harm and improve system</w:t>
            </w:r>
            <w:r w:rsidR="007D1BA5" w:rsidRPr="00A60C31">
              <w:t> </w:t>
            </w:r>
            <w:r w:rsidRPr="00A60C31">
              <w:t>responses</w:t>
            </w:r>
          </w:p>
        </w:tc>
        <w:tc>
          <w:tcPr>
            <w:tcW w:w="2694" w:type="dxa"/>
          </w:tcPr>
          <w:p w14:paraId="13CB9F03" w14:textId="720F6799" w:rsidR="00EB6195" w:rsidRPr="00A60C31" w:rsidRDefault="00EB6195" w:rsidP="00A60C31">
            <w:pPr>
              <w:pStyle w:val="ARTabletextlessleading"/>
            </w:pPr>
            <w:r w:rsidRPr="00A60C31">
              <w:t>By deepening understanding of the complex interplay between family violence and sexual harm, the research seeks to assist professionals to better address the needs of victim survivors and work together to strengthen system responses</w:t>
            </w:r>
          </w:p>
        </w:tc>
        <w:tc>
          <w:tcPr>
            <w:tcW w:w="1275" w:type="dxa"/>
          </w:tcPr>
          <w:p w14:paraId="059FEA78" w14:textId="77E1D47B" w:rsidR="00EB6195" w:rsidRPr="00E04803" w:rsidRDefault="00EB6195" w:rsidP="0020714A">
            <w:pPr>
              <w:pStyle w:val="ARtabletextright"/>
            </w:pPr>
            <w:r w:rsidRPr="00E04803">
              <w:rPr>
                <w:color w:val="000000"/>
              </w:rPr>
              <w:t>74</w:t>
            </w:r>
          </w:p>
        </w:tc>
        <w:tc>
          <w:tcPr>
            <w:tcW w:w="1404" w:type="dxa"/>
          </w:tcPr>
          <w:p w14:paraId="62F2AFCB" w14:textId="2DA15E22" w:rsidR="00EB6195" w:rsidRPr="00E04803" w:rsidRDefault="00EB6195" w:rsidP="0020714A">
            <w:pPr>
              <w:pStyle w:val="ARtabletextright"/>
            </w:pPr>
            <w:r w:rsidRPr="00E04803">
              <w:rPr>
                <w:color w:val="000000"/>
              </w:rPr>
              <w:t>74</w:t>
            </w:r>
          </w:p>
        </w:tc>
        <w:tc>
          <w:tcPr>
            <w:tcW w:w="2125" w:type="dxa"/>
          </w:tcPr>
          <w:p w14:paraId="5D77D474" w14:textId="77777777" w:rsidR="00E164DE" w:rsidRDefault="007375C3" w:rsidP="0020714A">
            <w:pPr>
              <w:pStyle w:val="ARtabletextright"/>
            </w:pPr>
            <w:r w:rsidRPr="00E04803">
              <w:t>Y</w:t>
            </w:r>
          </w:p>
          <w:p w14:paraId="518583FE" w14:textId="6F866911" w:rsidR="00E164DE" w:rsidRDefault="00951F93" w:rsidP="00A60C31">
            <w:pPr>
              <w:pStyle w:val="ARTabletextrightlessleading"/>
            </w:pPr>
            <w:hyperlink r:id="rId112" w:history="1">
              <w:r w:rsidRPr="00A60C31">
                <w:rPr>
                  <w:rStyle w:val="Hyperlink"/>
                </w:rPr>
                <w:t>RMIT</w:t>
              </w:r>
              <w:r w:rsidR="00711AE6">
                <w:rPr>
                  <w:rStyle w:val="Hyperlink"/>
                </w:rPr>
                <w:t>’</w:t>
              </w:r>
              <w:r w:rsidRPr="00A60C31">
                <w:rPr>
                  <w:rStyle w:val="Hyperlink"/>
                </w:rPr>
                <w:t>s Family Violence and Sexual Harm webpage</w:t>
              </w:r>
            </w:hyperlink>
          </w:p>
          <w:p w14:paraId="134EF36A" w14:textId="0B0F4D11" w:rsidR="00EB6195" w:rsidRPr="00E04803" w:rsidRDefault="00E164DE" w:rsidP="00A60C31">
            <w:pPr>
              <w:pStyle w:val="ARTabletextrightlessleading"/>
            </w:pPr>
            <w:r>
              <w:t>&lt;</w:t>
            </w:r>
            <w:r w:rsidR="00AB2C2A" w:rsidRPr="00E04803">
              <w:t>https://rmit.figshare.com/articles/report/Family_Violence_and_Sexual_Harm/24208758/1</w:t>
            </w:r>
            <w:r>
              <w:t>&gt;</w:t>
            </w:r>
          </w:p>
        </w:tc>
      </w:tr>
      <w:tr w:rsidR="001625B9" w14:paraId="6D4BACDC" w14:textId="77777777" w:rsidTr="006F7262">
        <w:tc>
          <w:tcPr>
            <w:tcW w:w="2263" w:type="dxa"/>
          </w:tcPr>
          <w:p w14:paraId="1FC7FC03" w14:textId="28AFF255" w:rsidR="00D75352" w:rsidRPr="00E04803" w:rsidRDefault="00D75352" w:rsidP="00AA126F">
            <w:pPr>
              <w:pStyle w:val="ARtabletext"/>
            </w:pPr>
            <w:r w:rsidRPr="00E04803">
              <w:t>The REACH Project: Recovery and Care to promote healing for Victorian survivors of sexual violence; University of Melbourne</w:t>
            </w:r>
          </w:p>
        </w:tc>
        <w:tc>
          <w:tcPr>
            <w:tcW w:w="2551" w:type="dxa"/>
          </w:tcPr>
          <w:p w14:paraId="561BBFC0" w14:textId="5F6C5FA4" w:rsidR="00D75352" w:rsidRPr="00A60C31" w:rsidRDefault="00D75352" w:rsidP="00A60C31">
            <w:pPr>
              <w:pStyle w:val="ARTabletextlessleading"/>
            </w:pPr>
            <w:r w:rsidRPr="00A60C31">
              <w:t>Increase understanding to support and promote the healing process for survivors of sexual violence in Victoria</w:t>
            </w:r>
          </w:p>
        </w:tc>
        <w:tc>
          <w:tcPr>
            <w:tcW w:w="2552" w:type="dxa"/>
          </w:tcPr>
          <w:p w14:paraId="01981F97" w14:textId="1279AD7C" w:rsidR="00D75352" w:rsidRPr="00A60C31" w:rsidRDefault="00D75352" w:rsidP="00A60C31">
            <w:pPr>
              <w:pStyle w:val="ARTabletextlessleading"/>
            </w:pPr>
            <w:r w:rsidRPr="00A60C31">
              <w:t>Investigate how to better promote strategies that support and encourage the healing process for survivors of sexual violence and improve the engagement of victim</w:t>
            </w:r>
            <w:r w:rsidR="00E6676D">
              <w:t xml:space="preserve"> </w:t>
            </w:r>
            <w:r w:rsidRPr="00A60C31">
              <w:t>survivors in their recovery journey</w:t>
            </w:r>
          </w:p>
        </w:tc>
        <w:tc>
          <w:tcPr>
            <w:tcW w:w="2694" w:type="dxa"/>
          </w:tcPr>
          <w:p w14:paraId="44009A7A" w14:textId="61012EB5" w:rsidR="00D75352" w:rsidRPr="00A60C31" w:rsidRDefault="00D75352" w:rsidP="00A60C31">
            <w:pPr>
              <w:pStyle w:val="ARTabletextlessleading"/>
            </w:pPr>
            <w:r w:rsidRPr="00A60C31">
              <w:t>Improved promotion strategies for victim</w:t>
            </w:r>
            <w:r w:rsidR="00E6676D">
              <w:t xml:space="preserve"> </w:t>
            </w:r>
            <w:r w:rsidRPr="00A60C31">
              <w:t>survivors of sexual violence to engage in healing</w:t>
            </w:r>
            <w:r w:rsidR="007D1BA5" w:rsidRPr="00A60C31">
              <w:t> </w:t>
            </w:r>
            <w:r w:rsidRPr="00A60C31">
              <w:t>processes</w:t>
            </w:r>
          </w:p>
        </w:tc>
        <w:tc>
          <w:tcPr>
            <w:tcW w:w="1275" w:type="dxa"/>
          </w:tcPr>
          <w:p w14:paraId="6633241E" w14:textId="6D797514" w:rsidR="00D75352" w:rsidRPr="00E04803" w:rsidRDefault="00D75352" w:rsidP="0020714A">
            <w:pPr>
              <w:pStyle w:val="ARtabletextright"/>
            </w:pPr>
            <w:r w:rsidRPr="00E04803">
              <w:rPr>
                <w:color w:val="000000"/>
              </w:rPr>
              <w:t>200</w:t>
            </w:r>
          </w:p>
        </w:tc>
        <w:tc>
          <w:tcPr>
            <w:tcW w:w="1404" w:type="dxa"/>
          </w:tcPr>
          <w:p w14:paraId="52FD8A7C" w14:textId="678D6890" w:rsidR="00D75352" w:rsidRPr="00E04803" w:rsidRDefault="00D75352" w:rsidP="0020714A">
            <w:pPr>
              <w:pStyle w:val="ARtabletextright"/>
            </w:pPr>
            <w:r w:rsidRPr="00E04803">
              <w:rPr>
                <w:color w:val="000000"/>
              </w:rPr>
              <w:t>200</w:t>
            </w:r>
          </w:p>
        </w:tc>
        <w:tc>
          <w:tcPr>
            <w:tcW w:w="2125" w:type="dxa"/>
          </w:tcPr>
          <w:p w14:paraId="2E62DBF1" w14:textId="77777777" w:rsidR="008F19C4" w:rsidRDefault="0054705D" w:rsidP="0020714A">
            <w:pPr>
              <w:pStyle w:val="ARtabletextright"/>
            </w:pPr>
            <w:r w:rsidRPr="00E04803">
              <w:t xml:space="preserve">Y </w:t>
            </w:r>
          </w:p>
          <w:p w14:paraId="0AA075BD" w14:textId="0569CC98" w:rsidR="008F19C4" w:rsidRDefault="00951F93" w:rsidP="00A60C31">
            <w:pPr>
              <w:pStyle w:val="ARTabletextrightlessleading"/>
            </w:pPr>
            <w:hyperlink r:id="rId113" w:history="1">
              <w:r w:rsidRPr="00A60C31">
                <w:rPr>
                  <w:rStyle w:val="Hyperlink"/>
                </w:rPr>
                <w:t>Sexual Assault Services Victoria</w:t>
              </w:r>
              <w:r w:rsidR="00711AE6">
                <w:rPr>
                  <w:rStyle w:val="Hyperlink"/>
                </w:rPr>
                <w:t>’</w:t>
              </w:r>
              <w:r w:rsidRPr="00A60C31">
                <w:rPr>
                  <w:rStyle w:val="Hyperlink"/>
                </w:rPr>
                <w:t>s The REACH Project webpage</w:t>
              </w:r>
            </w:hyperlink>
          </w:p>
          <w:p w14:paraId="63B68CFD" w14:textId="4FF30490" w:rsidR="00D75352" w:rsidRPr="00E04803" w:rsidRDefault="002A6083" w:rsidP="00A60C31">
            <w:pPr>
              <w:pStyle w:val="ARTabletextrightlessleading"/>
            </w:pPr>
            <w:r>
              <w:t>&lt;</w:t>
            </w:r>
            <w:r w:rsidR="0054705D" w:rsidRPr="00E04803">
              <w:t>https://www.sasvic.org.au/reach</w:t>
            </w:r>
            <w:r>
              <w:t>&gt;</w:t>
            </w:r>
          </w:p>
        </w:tc>
      </w:tr>
      <w:tr w:rsidR="001625B9" w14:paraId="1E8E1BFD" w14:textId="77777777" w:rsidTr="006F7262">
        <w:tc>
          <w:tcPr>
            <w:tcW w:w="2263" w:type="dxa"/>
          </w:tcPr>
          <w:p w14:paraId="70DADB16" w14:textId="6EC91384" w:rsidR="00D75352" w:rsidRPr="00E04803" w:rsidRDefault="00D75352" w:rsidP="00A60C31">
            <w:pPr>
              <w:pStyle w:val="ARTabletextlessleading"/>
            </w:pPr>
            <w:r w:rsidRPr="00E04803">
              <w:t>Early identification, recognition, and referral of</w:t>
            </w:r>
            <w:r w:rsidR="004977C5">
              <w:t> </w:t>
            </w:r>
            <w:r w:rsidRPr="00E04803">
              <w:t>gay, bisexual, trans and queer (GBTQ) men who perpetrate violence: building new knowledge to inform self-referral and engagement in men</w:t>
            </w:r>
            <w:r w:rsidR="00711AE6">
              <w:t>’</w:t>
            </w:r>
            <w:r w:rsidRPr="00E04803">
              <w:t>s behaviour change and</w:t>
            </w:r>
            <w:r w:rsidR="006E2F2E">
              <w:t> </w:t>
            </w:r>
            <w:r w:rsidRPr="00E04803">
              <w:t xml:space="preserve">perpetrator </w:t>
            </w:r>
            <w:r w:rsidR="006E2F2E">
              <w:br/>
            </w:r>
            <w:r w:rsidRPr="00E04803">
              <w:t>case-management programs; La</w:t>
            </w:r>
            <w:r w:rsidR="007D1BA5">
              <w:t> </w:t>
            </w:r>
            <w:r w:rsidRPr="00E04803">
              <w:t>Trobe</w:t>
            </w:r>
            <w:r w:rsidR="007D1BA5">
              <w:t> </w:t>
            </w:r>
            <w:r w:rsidRPr="00E04803">
              <w:t>University</w:t>
            </w:r>
          </w:p>
        </w:tc>
        <w:tc>
          <w:tcPr>
            <w:tcW w:w="2551" w:type="dxa"/>
          </w:tcPr>
          <w:p w14:paraId="1713CE89" w14:textId="621E19F5" w:rsidR="00D75352" w:rsidRPr="00A60C31" w:rsidRDefault="00D75352" w:rsidP="00A60C31">
            <w:pPr>
              <w:pStyle w:val="ARTabletextlessleading"/>
            </w:pPr>
            <w:r w:rsidRPr="00A60C31">
              <w:t>Contribute to understanding of GBTQ men who have used family violence</w:t>
            </w:r>
          </w:p>
        </w:tc>
        <w:tc>
          <w:tcPr>
            <w:tcW w:w="2552" w:type="dxa"/>
          </w:tcPr>
          <w:p w14:paraId="6DE714D7" w14:textId="4B4CB6E7" w:rsidR="00D75352" w:rsidRPr="00A60C31" w:rsidRDefault="00D75352" w:rsidP="00A60C31">
            <w:pPr>
              <w:pStyle w:val="ARTabletextlessleading"/>
            </w:pPr>
            <w:r w:rsidRPr="00A60C31">
              <w:t>Understand how to increase self-referral and engagement of GBTQ men in who used violence in men</w:t>
            </w:r>
            <w:r w:rsidR="00711AE6">
              <w:t>’</w:t>
            </w:r>
            <w:r w:rsidRPr="00A60C31">
              <w:t xml:space="preserve">s behaviour and perpetrator </w:t>
            </w:r>
            <w:r w:rsidR="006E2F2E" w:rsidRPr="00A60C31">
              <w:br/>
            </w:r>
            <w:r w:rsidRPr="00A60C31">
              <w:t>case-management programs</w:t>
            </w:r>
          </w:p>
        </w:tc>
        <w:tc>
          <w:tcPr>
            <w:tcW w:w="2694" w:type="dxa"/>
          </w:tcPr>
          <w:p w14:paraId="5517695A" w14:textId="6F870A68" w:rsidR="00D75352" w:rsidRPr="00A60C31" w:rsidRDefault="00D75352" w:rsidP="00A60C31">
            <w:pPr>
              <w:pStyle w:val="ARTabletextlessleading"/>
            </w:pPr>
            <w:r w:rsidRPr="00A60C31">
              <w:t>Increase in self-referral and retained engagement of GTBQ men in men</w:t>
            </w:r>
            <w:r w:rsidR="00711AE6">
              <w:t>’</w:t>
            </w:r>
            <w:r w:rsidRPr="00A60C31">
              <w:t xml:space="preserve">s behaviour change and perpetrator </w:t>
            </w:r>
            <w:r w:rsidR="00B31DF7">
              <w:br/>
            </w:r>
            <w:r w:rsidRPr="00A60C31">
              <w:t>case-management programs</w:t>
            </w:r>
          </w:p>
        </w:tc>
        <w:tc>
          <w:tcPr>
            <w:tcW w:w="1275" w:type="dxa"/>
          </w:tcPr>
          <w:p w14:paraId="7E31753D" w14:textId="6EA844C7" w:rsidR="00D75352" w:rsidRPr="00E04803" w:rsidRDefault="00D75352" w:rsidP="0020714A">
            <w:pPr>
              <w:pStyle w:val="ARtabletextright"/>
            </w:pPr>
            <w:r w:rsidRPr="00E04803">
              <w:rPr>
                <w:color w:val="000000"/>
              </w:rPr>
              <w:t>199</w:t>
            </w:r>
          </w:p>
        </w:tc>
        <w:tc>
          <w:tcPr>
            <w:tcW w:w="1404" w:type="dxa"/>
          </w:tcPr>
          <w:p w14:paraId="4A6B934E" w14:textId="48637663" w:rsidR="00D75352" w:rsidRPr="00E04803" w:rsidRDefault="00D75352" w:rsidP="0020714A">
            <w:pPr>
              <w:pStyle w:val="ARtabletextright"/>
            </w:pPr>
            <w:r w:rsidRPr="00E04803">
              <w:rPr>
                <w:color w:val="000000"/>
              </w:rPr>
              <w:t>199</w:t>
            </w:r>
          </w:p>
        </w:tc>
        <w:tc>
          <w:tcPr>
            <w:tcW w:w="2125" w:type="dxa"/>
          </w:tcPr>
          <w:p w14:paraId="5080A579" w14:textId="77777777" w:rsidR="00E83607" w:rsidRDefault="00A124DE" w:rsidP="0020714A">
            <w:pPr>
              <w:pStyle w:val="ARtabletextright"/>
            </w:pPr>
            <w:r w:rsidRPr="00E04803">
              <w:t xml:space="preserve">Y </w:t>
            </w:r>
          </w:p>
          <w:p w14:paraId="574AADBF" w14:textId="15686599" w:rsidR="00E83607" w:rsidRDefault="00951F93" w:rsidP="0020714A">
            <w:pPr>
              <w:pStyle w:val="ARtabletextright"/>
            </w:pPr>
            <w:hyperlink r:id="rId114" w:history="1">
              <w:r w:rsidRPr="00A60C31">
                <w:rPr>
                  <w:rStyle w:val="Hyperlink"/>
                </w:rPr>
                <w:t>La Trobe University</w:t>
              </w:r>
              <w:r w:rsidR="00711AE6">
                <w:rPr>
                  <w:rStyle w:val="Hyperlink"/>
                </w:rPr>
                <w:t>’</w:t>
              </w:r>
              <w:r w:rsidRPr="00A60C31">
                <w:rPr>
                  <w:rStyle w:val="Hyperlink"/>
                </w:rPr>
                <w:t>s Catalysts of Change webpage</w:t>
              </w:r>
            </w:hyperlink>
          </w:p>
          <w:p w14:paraId="1BFEF1C7" w14:textId="6B8C5460" w:rsidR="00D75352" w:rsidRPr="00E04803" w:rsidRDefault="00E83607" w:rsidP="0020714A">
            <w:pPr>
              <w:pStyle w:val="ARtabletextright"/>
            </w:pPr>
            <w:r>
              <w:t>&lt;</w:t>
            </w:r>
            <w:r w:rsidR="00A124DE" w:rsidRPr="00E04803">
              <w:t>https://www.latrobe.edu.au/arcshs/work/catalysts-of-change</w:t>
            </w:r>
            <w:r>
              <w:t>&gt;</w:t>
            </w:r>
          </w:p>
        </w:tc>
      </w:tr>
      <w:tr w:rsidR="001625B9" w14:paraId="7F4CD8BE" w14:textId="77777777" w:rsidTr="006F7262">
        <w:tc>
          <w:tcPr>
            <w:tcW w:w="2263" w:type="dxa"/>
          </w:tcPr>
          <w:p w14:paraId="11B9FA74" w14:textId="610E4984" w:rsidR="00D75352" w:rsidRPr="00E04803" w:rsidRDefault="00D75352" w:rsidP="00AA126F">
            <w:pPr>
              <w:pStyle w:val="ARtabletext"/>
            </w:pPr>
            <w:r w:rsidRPr="00E04803">
              <w:t>Improving family violence support for women in Victoria</w:t>
            </w:r>
            <w:r w:rsidR="00711AE6">
              <w:t>’</w:t>
            </w:r>
            <w:r w:rsidRPr="00E04803">
              <w:t>s criminal justice</w:t>
            </w:r>
            <w:r w:rsidR="007D1BA5">
              <w:t> </w:t>
            </w:r>
            <w:r w:rsidRPr="00E04803">
              <w:t>system; La</w:t>
            </w:r>
            <w:r w:rsidR="007D1BA5">
              <w:t> </w:t>
            </w:r>
            <w:r w:rsidRPr="00E04803">
              <w:t>Trobe</w:t>
            </w:r>
            <w:r w:rsidR="007D1BA5">
              <w:t> </w:t>
            </w:r>
            <w:r w:rsidRPr="00E04803">
              <w:t>University</w:t>
            </w:r>
          </w:p>
        </w:tc>
        <w:tc>
          <w:tcPr>
            <w:tcW w:w="2551" w:type="dxa"/>
          </w:tcPr>
          <w:p w14:paraId="26C9F063" w14:textId="7C2729DC" w:rsidR="00D75352" w:rsidRPr="00A60C31" w:rsidRDefault="00D75352" w:rsidP="00A60C31">
            <w:pPr>
              <w:pStyle w:val="ARTabletextlessleading"/>
            </w:pPr>
            <w:r w:rsidRPr="00A60C31">
              <w:t>Improve family violence support for women in Victoria</w:t>
            </w:r>
            <w:r w:rsidR="00711AE6">
              <w:t>’</w:t>
            </w:r>
            <w:r w:rsidRPr="00A60C31">
              <w:t>s criminal justice</w:t>
            </w:r>
            <w:r w:rsidR="007D1BA5" w:rsidRPr="00A60C31">
              <w:t> </w:t>
            </w:r>
            <w:r w:rsidRPr="00A60C31">
              <w:t>system</w:t>
            </w:r>
          </w:p>
        </w:tc>
        <w:tc>
          <w:tcPr>
            <w:tcW w:w="2552" w:type="dxa"/>
          </w:tcPr>
          <w:p w14:paraId="2C17BAF1" w14:textId="2A57A123" w:rsidR="00D75352" w:rsidRPr="00A60C31" w:rsidRDefault="00D75352" w:rsidP="00A60C31">
            <w:pPr>
              <w:pStyle w:val="ARTabletextlessleading"/>
            </w:pPr>
            <w:r w:rsidRPr="00A60C31">
              <w:t>Integrate research evidence and victim</w:t>
            </w:r>
            <w:r w:rsidR="00B6093B">
              <w:t xml:space="preserve"> </w:t>
            </w:r>
            <w:r w:rsidRPr="00A60C31">
              <w:t>survivor experiences in Victorian prisons to address support needs and service gaps, and to enhance support services within the prison system</w:t>
            </w:r>
          </w:p>
        </w:tc>
        <w:tc>
          <w:tcPr>
            <w:tcW w:w="2694" w:type="dxa"/>
          </w:tcPr>
          <w:p w14:paraId="256B7323" w14:textId="70D3C261" w:rsidR="00D75352" w:rsidRPr="00A60C31" w:rsidRDefault="00D75352" w:rsidP="00A60C31">
            <w:pPr>
              <w:pStyle w:val="ARTabletextlessleading"/>
            </w:pPr>
            <w:r w:rsidRPr="00A60C31">
              <w:t>Identification of opportunities to enhance family violence support services in prisons, leading to better outcomes for women affected by family violence and</w:t>
            </w:r>
            <w:r w:rsidR="007D1BA5" w:rsidRPr="00A60C31">
              <w:t> </w:t>
            </w:r>
            <w:r w:rsidRPr="00A60C31">
              <w:t>incarceration</w:t>
            </w:r>
          </w:p>
        </w:tc>
        <w:tc>
          <w:tcPr>
            <w:tcW w:w="1275" w:type="dxa"/>
          </w:tcPr>
          <w:p w14:paraId="262CD969" w14:textId="53B48BB1" w:rsidR="00D75352" w:rsidRPr="00E04803" w:rsidRDefault="00D75352" w:rsidP="0020714A">
            <w:pPr>
              <w:pStyle w:val="ARtabletextright"/>
            </w:pPr>
            <w:r w:rsidRPr="00E04803">
              <w:rPr>
                <w:color w:val="000000"/>
              </w:rPr>
              <w:t>74</w:t>
            </w:r>
          </w:p>
        </w:tc>
        <w:tc>
          <w:tcPr>
            <w:tcW w:w="1404" w:type="dxa"/>
          </w:tcPr>
          <w:p w14:paraId="219D66DD" w14:textId="505FF970" w:rsidR="00D75352" w:rsidRPr="00E04803" w:rsidRDefault="00D75352" w:rsidP="0020714A">
            <w:pPr>
              <w:pStyle w:val="ARtabletextright"/>
            </w:pPr>
            <w:r w:rsidRPr="00E04803">
              <w:rPr>
                <w:color w:val="000000"/>
              </w:rPr>
              <w:t>74</w:t>
            </w:r>
          </w:p>
        </w:tc>
        <w:tc>
          <w:tcPr>
            <w:tcW w:w="2125" w:type="dxa"/>
          </w:tcPr>
          <w:p w14:paraId="42E515F7" w14:textId="77777777" w:rsidR="003A778F" w:rsidRDefault="00A124DE" w:rsidP="0020714A">
            <w:pPr>
              <w:pStyle w:val="ARtabletextright"/>
            </w:pPr>
            <w:r w:rsidRPr="00E04803">
              <w:t>Y</w:t>
            </w:r>
          </w:p>
          <w:p w14:paraId="3041228A" w14:textId="49F1D6DA" w:rsidR="003A778F" w:rsidRDefault="003A778F" w:rsidP="00A60C31">
            <w:pPr>
              <w:pStyle w:val="ARTabletextrightlessleading"/>
            </w:pPr>
            <w:hyperlink r:id="rId115" w:history="1">
              <w:r w:rsidRPr="00A60C31">
                <w:rPr>
                  <w:rStyle w:val="Hyperlink"/>
                </w:rPr>
                <w:t>La Trobe University</w:t>
              </w:r>
              <w:r w:rsidR="00711AE6">
                <w:rPr>
                  <w:rStyle w:val="Hyperlink"/>
                </w:rPr>
                <w:t>’</w:t>
              </w:r>
              <w:r w:rsidRPr="00A60C31">
                <w:rPr>
                  <w:rStyle w:val="Hyperlink"/>
                </w:rPr>
                <w:t>s From Research to Action: Improving Family Violence Support for Women in Victoria</w:t>
              </w:r>
              <w:r w:rsidR="00711AE6">
                <w:rPr>
                  <w:rStyle w:val="Hyperlink"/>
                </w:rPr>
                <w:t>’</w:t>
              </w:r>
              <w:r w:rsidRPr="00A60C31">
                <w:rPr>
                  <w:rStyle w:val="Hyperlink"/>
                </w:rPr>
                <w:t>s Criminal Justice System webpage</w:t>
              </w:r>
            </w:hyperlink>
            <w:r w:rsidR="00A124DE" w:rsidRPr="00E04803">
              <w:t xml:space="preserve"> </w:t>
            </w:r>
          </w:p>
          <w:p w14:paraId="2E7FFE55" w14:textId="7459B351" w:rsidR="00D75352" w:rsidRPr="00E04803" w:rsidRDefault="007D1BA5" w:rsidP="00A60C31">
            <w:pPr>
              <w:pStyle w:val="ARTabletextrightlessleading"/>
            </w:pPr>
            <w:r>
              <w:t>&lt;</w:t>
            </w:r>
            <w:r w:rsidR="004D0FF1" w:rsidRPr="00E04803">
              <w:t>https://events.bouverie.org.au/Bouverie-Centre-From-Research-to-Action-0624</w:t>
            </w:r>
            <w:r>
              <w:t>&gt;</w:t>
            </w:r>
          </w:p>
        </w:tc>
      </w:tr>
      <w:tr w:rsidR="001625B9" w14:paraId="5740DA3D" w14:textId="77777777" w:rsidTr="006F7262">
        <w:tc>
          <w:tcPr>
            <w:tcW w:w="2263" w:type="dxa"/>
          </w:tcPr>
          <w:p w14:paraId="64254579" w14:textId="49E1FDF4" w:rsidR="00C74E9D" w:rsidRPr="00E04803" w:rsidRDefault="00C74E9D" w:rsidP="00AA126F">
            <w:pPr>
              <w:pStyle w:val="ARtabletext"/>
            </w:pPr>
            <w:r w:rsidRPr="00E04803">
              <w:t xml:space="preserve">Windows of Opportunity: </w:t>
            </w:r>
            <w:r w:rsidR="00B6093B" w:rsidRPr="00E04803">
              <w:t>therapeutic family safety contract</w:t>
            </w:r>
            <w:r w:rsidRPr="00E04803">
              <w:t xml:space="preserve"> as a </w:t>
            </w:r>
            <w:r w:rsidR="00B6093B" w:rsidRPr="00E04803">
              <w:t>pathway</w:t>
            </w:r>
            <w:r w:rsidRPr="00E04803">
              <w:t xml:space="preserve"> for </w:t>
            </w:r>
            <w:r w:rsidR="00B6093B" w:rsidRPr="00E04803">
              <w:t>supporting children</w:t>
            </w:r>
            <w:r w:rsidRPr="00E04803">
              <w:t xml:space="preserve"> and </w:t>
            </w:r>
            <w:r w:rsidR="00B6093B" w:rsidRPr="00E04803">
              <w:t>young people</w:t>
            </w:r>
            <w:r w:rsidRPr="00E04803">
              <w:t xml:space="preserve"> who have experienced </w:t>
            </w:r>
            <w:r w:rsidR="00B6093B" w:rsidRPr="00E04803">
              <w:t>family violence</w:t>
            </w:r>
            <w:r w:rsidRPr="00E04803">
              <w:t>; Family Life</w:t>
            </w:r>
          </w:p>
        </w:tc>
        <w:tc>
          <w:tcPr>
            <w:tcW w:w="2551" w:type="dxa"/>
          </w:tcPr>
          <w:p w14:paraId="04E71591" w14:textId="7E01B8DE" w:rsidR="00C74E9D" w:rsidRPr="00A60C31" w:rsidRDefault="00C74E9D" w:rsidP="00A60C31">
            <w:pPr>
              <w:pStyle w:val="ARTabletextlessleading"/>
            </w:pPr>
            <w:r w:rsidRPr="00A60C31">
              <w:t>Improve understanding of</w:t>
            </w:r>
            <w:r w:rsidR="007D1BA5" w:rsidRPr="00A60C31">
              <w:t> </w:t>
            </w:r>
            <w:r w:rsidRPr="00A60C31">
              <w:t>child-focused practice, including strengths and</w:t>
            </w:r>
            <w:r w:rsidR="007D1BA5" w:rsidRPr="00A60C31">
              <w:t> </w:t>
            </w:r>
            <w:r w:rsidRPr="00A60C31">
              <w:t>barriers</w:t>
            </w:r>
          </w:p>
        </w:tc>
        <w:tc>
          <w:tcPr>
            <w:tcW w:w="2552" w:type="dxa"/>
          </w:tcPr>
          <w:p w14:paraId="303310A7" w14:textId="483E5DAF" w:rsidR="00C74E9D" w:rsidRPr="00A60C31" w:rsidRDefault="00C74E9D" w:rsidP="00A60C31">
            <w:pPr>
              <w:pStyle w:val="ARTabletextlessleading"/>
            </w:pPr>
            <w:r w:rsidRPr="00A60C31">
              <w:t xml:space="preserve">To provide insights into current strengths, barriers, and opportunities for </w:t>
            </w:r>
            <w:r w:rsidR="006E2F2E" w:rsidRPr="00A60C31">
              <w:br/>
            </w:r>
            <w:r w:rsidRPr="00A60C31">
              <w:t>child-focused approaches to</w:t>
            </w:r>
            <w:r w:rsidR="006E2F2E" w:rsidRPr="00A60C31">
              <w:t> </w:t>
            </w:r>
            <w:r w:rsidRPr="00A60C31">
              <w:t>partner more effectively with children to support their safety, wellbeing, and recovery from family violence</w:t>
            </w:r>
          </w:p>
        </w:tc>
        <w:tc>
          <w:tcPr>
            <w:tcW w:w="2694" w:type="dxa"/>
          </w:tcPr>
          <w:p w14:paraId="32129A41" w14:textId="5DCC4DBF" w:rsidR="00C74E9D" w:rsidRPr="00A60C31" w:rsidRDefault="00C74E9D" w:rsidP="00A60C31">
            <w:pPr>
              <w:pStyle w:val="ARTabletextlessleading"/>
            </w:pPr>
            <w:r w:rsidRPr="00A60C31">
              <w:t>Strengthen child-focused practice, through understanding how child-focused approaches in Men</w:t>
            </w:r>
            <w:r w:rsidR="00711AE6">
              <w:t>’</w:t>
            </w:r>
            <w:r w:rsidRPr="00A60C31">
              <w:t>s Behaviour Change Programs could be improved</w:t>
            </w:r>
          </w:p>
        </w:tc>
        <w:tc>
          <w:tcPr>
            <w:tcW w:w="1275" w:type="dxa"/>
          </w:tcPr>
          <w:p w14:paraId="0EB48350" w14:textId="5D8D60E4" w:rsidR="00C74E9D" w:rsidRPr="00E04803" w:rsidRDefault="00C74E9D" w:rsidP="0020714A">
            <w:pPr>
              <w:pStyle w:val="ARtabletextright"/>
            </w:pPr>
            <w:r w:rsidRPr="00E04803">
              <w:rPr>
                <w:color w:val="000000"/>
              </w:rPr>
              <w:t>68</w:t>
            </w:r>
          </w:p>
        </w:tc>
        <w:tc>
          <w:tcPr>
            <w:tcW w:w="1404" w:type="dxa"/>
          </w:tcPr>
          <w:p w14:paraId="3E1E436B" w14:textId="13CAE498" w:rsidR="00C74E9D" w:rsidRPr="00E04803" w:rsidRDefault="00C74E9D" w:rsidP="0020714A">
            <w:pPr>
              <w:pStyle w:val="ARtabletextright"/>
            </w:pPr>
            <w:r w:rsidRPr="00E04803">
              <w:rPr>
                <w:color w:val="000000"/>
              </w:rPr>
              <w:t>68</w:t>
            </w:r>
          </w:p>
        </w:tc>
        <w:tc>
          <w:tcPr>
            <w:tcW w:w="2125" w:type="dxa"/>
          </w:tcPr>
          <w:p w14:paraId="76FCE717" w14:textId="77777777" w:rsidR="00951F93" w:rsidRDefault="00557A47" w:rsidP="0020714A">
            <w:pPr>
              <w:pStyle w:val="ARtabletextright"/>
            </w:pPr>
            <w:r w:rsidRPr="00E04803">
              <w:t xml:space="preserve">Y </w:t>
            </w:r>
          </w:p>
          <w:p w14:paraId="5A2A4B0A" w14:textId="5E9F2CFB" w:rsidR="00951F93" w:rsidRDefault="00951F93" w:rsidP="00A60C31">
            <w:pPr>
              <w:pStyle w:val="ARTabletextrightlessleading"/>
            </w:pPr>
            <w:hyperlink r:id="rId116" w:history="1">
              <w:r w:rsidRPr="00A60C31">
                <w:rPr>
                  <w:rStyle w:val="Hyperlink"/>
                </w:rPr>
                <w:t>Family Life, Windows of Opportunity Research Report webpage</w:t>
              </w:r>
            </w:hyperlink>
          </w:p>
          <w:p w14:paraId="2A0D31EB" w14:textId="1DE6EED1" w:rsidR="00C74E9D" w:rsidRPr="00E04803" w:rsidRDefault="00951F93" w:rsidP="00A60C31">
            <w:pPr>
              <w:pStyle w:val="ARTabletextrightlessleading"/>
            </w:pPr>
            <w:r>
              <w:t>&lt;</w:t>
            </w:r>
            <w:r w:rsidR="00557A47" w:rsidRPr="00E04803">
              <w:t>https://www.familylife.com.au/news/windows-of-opportunity-research-report/</w:t>
            </w:r>
            <w:r>
              <w:t>&gt;</w:t>
            </w:r>
          </w:p>
        </w:tc>
      </w:tr>
      <w:tr w:rsidR="001625B9" w14:paraId="2ADD0EF6" w14:textId="77777777" w:rsidTr="006F7262">
        <w:tc>
          <w:tcPr>
            <w:tcW w:w="2263" w:type="dxa"/>
          </w:tcPr>
          <w:p w14:paraId="3D199304" w14:textId="01CF8F74" w:rsidR="00E54DE9" w:rsidRPr="0052342F" w:rsidRDefault="00E54DE9" w:rsidP="0052342F">
            <w:pPr>
              <w:pStyle w:val="ARtabletext"/>
            </w:pPr>
            <w:r w:rsidRPr="0052342F">
              <w:t>Evaluation of the Aboriginal</w:t>
            </w:r>
            <w:r w:rsidR="007066C6">
              <w:t>-</w:t>
            </w:r>
            <w:r w:rsidRPr="0052342F">
              <w:t>specific entry</w:t>
            </w:r>
            <w:r w:rsidR="00A60C31">
              <w:t> </w:t>
            </w:r>
            <w:r w:rsidRPr="0052342F">
              <w:t>points and multidisciplinary team pilot</w:t>
            </w:r>
            <w:r w:rsidR="00A60C31">
              <w:t> </w:t>
            </w:r>
            <w:r w:rsidRPr="0052342F">
              <w:t>sites </w:t>
            </w:r>
          </w:p>
        </w:tc>
        <w:tc>
          <w:tcPr>
            <w:tcW w:w="2551" w:type="dxa"/>
          </w:tcPr>
          <w:p w14:paraId="1929D50D" w14:textId="4B6F56F8" w:rsidR="00E54DE9" w:rsidRPr="00A60C31" w:rsidRDefault="00E54DE9" w:rsidP="00A60C31">
            <w:pPr>
              <w:pStyle w:val="ARTabletextlessleading"/>
            </w:pPr>
            <w:r w:rsidRPr="00A60C31">
              <w:t>To assess whether the pilot is providing value for money and any recommendations for continuation/expansion of the pilot in line with the Department of Treasury and Finance requirements for lapsing program evaluations </w:t>
            </w:r>
          </w:p>
        </w:tc>
        <w:tc>
          <w:tcPr>
            <w:tcW w:w="2552" w:type="dxa"/>
          </w:tcPr>
          <w:p w14:paraId="74DF09F8" w14:textId="12BEFA4F" w:rsidR="00E54DE9" w:rsidRPr="00A60C31" w:rsidRDefault="00E54DE9" w:rsidP="00A60C31">
            <w:pPr>
              <w:pStyle w:val="ARTabletextlessleading"/>
            </w:pPr>
            <w:r w:rsidRPr="00A60C31">
              <w:t>Build evidence for determining what works and what is different in the delivery of an</w:t>
            </w:r>
            <w:r w:rsidR="007D1BA5" w:rsidRPr="00A60C31">
              <w:t> </w:t>
            </w:r>
            <w:r w:rsidRPr="00A60C31">
              <w:t>Aboriginal</w:t>
            </w:r>
            <w:r w:rsidR="007066C6">
              <w:t>-</w:t>
            </w:r>
            <w:r w:rsidRPr="00A60C31">
              <w:t>specific homelessness entry point and Housing First Teams Pilot</w:t>
            </w:r>
            <w:r w:rsidR="00B6093B">
              <w:t>, and p</w:t>
            </w:r>
            <w:r w:rsidRPr="00A60C31">
              <w:t>rovide evidence for replication or expansion</w:t>
            </w:r>
          </w:p>
        </w:tc>
        <w:tc>
          <w:tcPr>
            <w:tcW w:w="2694" w:type="dxa"/>
          </w:tcPr>
          <w:p w14:paraId="2B8E5C6A" w14:textId="5029F60B" w:rsidR="00E54DE9" w:rsidRPr="00A60C31" w:rsidRDefault="00E54DE9" w:rsidP="00A60C31">
            <w:pPr>
              <w:pStyle w:val="ARTabletextlessleading"/>
            </w:pPr>
            <w:r w:rsidRPr="00A60C31">
              <w:t>More informed decision</w:t>
            </w:r>
            <w:r w:rsidR="00B6093B">
              <w:t xml:space="preserve"> </w:t>
            </w:r>
            <w:r w:rsidRPr="00A60C31">
              <w:t>making on future program funding </w:t>
            </w:r>
          </w:p>
        </w:tc>
        <w:tc>
          <w:tcPr>
            <w:tcW w:w="1275" w:type="dxa"/>
          </w:tcPr>
          <w:p w14:paraId="0F7C28F3" w14:textId="1B6AFB45" w:rsidR="00E54DE9" w:rsidRPr="0052342F" w:rsidRDefault="00E54DE9" w:rsidP="004D14AF">
            <w:pPr>
              <w:pStyle w:val="ARtabletextright"/>
            </w:pPr>
            <w:r w:rsidRPr="0052342F">
              <w:t>385</w:t>
            </w:r>
          </w:p>
        </w:tc>
        <w:tc>
          <w:tcPr>
            <w:tcW w:w="1404" w:type="dxa"/>
          </w:tcPr>
          <w:p w14:paraId="293BAEF9" w14:textId="72363D5C" w:rsidR="00E54DE9" w:rsidRPr="0052342F" w:rsidRDefault="00E54DE9" w:rsidP="004D14AF">
            <w:pPr>
              <w:pStyle w:val="ARtabletextright"/>
            </w:pPr>
            <w:r w:rsidRPr="0052342F">
              <w:t>N/A </w:t>
            </w:r>
          </w:p>
        </w:tc>
        <w:tc>
          <w:tcPr>
            <w:tcW w:w="2125" w:type="dxa"/>
          </w:tcPr>
          <w:p w14:paraId="71B43EE0" w14:textId="25DCF493" w:rsidR="00E54DE9" w:rsidRPr="0052342F" w:rsidRDefault="00E54DE9" w:rsidP="004D14AF">
            <w:pPr>
              <w:pStyle w:val="ARtabletextright"/>
            </w:pPr>
            <w:r w:rsidRPr="0052342F">
              <w:t>N </w:t>
            </w:r>
          </w:p>
        </w:tc>
      </w:tr>
      <w:tr w:rsidR="001625B9" w14:paraId="648F9BA4" w14:textId="77777777" w:rsidTr="006F7262">
        <w:tc>
          <w:tcPr>
            <w:tcW w:w="2263" w:type="dxa"/>
          </w:tcPr>
          <w:p w14:paraId="41743AEF" w14:textId="0255C3FE" w:rsidR="00E54DE9" w:rsidRPr="0052342F" w:rsidRDefault="00E54DE9" w:rsidP="0052342F">
            <w:pPr>
              <w:pStyle w:val="ARtabletext"/>
            </w:pPr>
            <w:r w:rsidRPr="0052342F">
              <w:t>Evaluation and monitoring of the Aboriginal Public Housing Tenancy Management Transfer</w:t>
            </w:r>
            <w:r w:rsidR="007D1BA5">
              <w:t> </w:t>
            </w:r>
            <w:r w:rsidRPr="0052342F">
              <w:t>Pilot </w:t>
            </w:r>
          </w:p>
        </w:tc>
        <w:tc>
          <w:tcPr>
            <w:tcW w:w="2551" w:type="dxa"/>
          </w:tcPr>
          <w:p w14:paraId="2305BFF6" w14:textId="35B96EAD" w:rsidR="00E54DE9" w:rsidRPr="00A60C31" w:rsidRDefault="00E54DE9" w:rsidP="00A60C31">
            <w:pPr>
              <w:pStyle w:val="ARTabletextlessleading"/>
            </w:pPr>
            <w:r w:rsidRPr="00A60C31">
              <w:t>To assess the benefits experienced by First Nations renters and evaluating the effectiveness of the service delivery and key aspects of the Pilot implementation, underpinned by the principles of Aboriginal self-determination and cultural</w:t>
            </w:r>
            <w:r w:rsidR="006E2F2E" w:rsidRPr="00A60C31">
              <w:t> </w:t>
            </w:r>
            <w:r w:rsidRPr="00A60C31">
              <w:t>safety </w:t>
            </w:r>
          </w:p>
        </w:tc>
        <w:tc>
          <w:tcPr>
            <w:tcW w:w="2552" w:type="dxa"/>
          </w:tcPr>
          <w:p w14:paraId="2EA211BE" w14:textId="21243F95" w:rsidR="00E54DE9" w:rsidRPr="00A60C31" w:rsidRDefault="00E54DE9" w:rsidP="00A60C31">
            <w:pPr>
              <w:pStyle w:val="ARTabletextlessleading"/>
            </w:pPr>
            <w:r w:rsidRPr="00A60C31">
              <w:t>Investigate how the Aboriginal Public Housing Tenancy Management Transfer Pilot has served participants and Aboriginal housing</w:t>
            </w:r>
            <w:r w:rsidR="006E2F2E" w:rsidRPr="00A60C31">
              <w:t> </w:t>
            </w:r>
            <w:r w:rsidRPr="00A60C31">
              <w:t>providers</w:t>
            </w:r>
          </w:p>
        </w:tc>
        <w:tc>
          <w:tcPr>
            <w:tcW w:w="2694" w:type="dxa"/>
          </w:tcPr>
          <w:p w14:paraId="1A8F638B" w14:textId="3223DD71" w:rsidR="00E54DE9" w:rsidRPr="00A60C31" w:rsidRDefault="00E54DE9" w:rsidP="00A60C31">
            <w:pPr>
              <w:pStyle w:val="ARTabletextlessleading"/>
            </w:pPr>
            <w:r w:rsidRPr="00A60C31">
              <w:t>Inform recommendations for continuous improvement and accountability purposes, as well as future scale-up or replication across the geographic regions </w:t>
            </w:r>
          </w:p>
        </w:tc>
        <w:tc>
          <w:tcPr>
            <w:tcW w:w="1275" w:type="dxa"/>
          </w:tcPr>
          <w:p w14:paraId="09EA83D9" w14:textId="16D9B638" w:rsidR="00E54DE9" w:rsidRPr="0052342F" w:rsidRDefault="00E54DE9" w:rsidP="0052342F">
            <w:pPr>
              <w:pStyle w:val="ARtabletextright"/>
            </w:pPr>
            <w:r w:rsidRPr="0052342F">
              <w:t>55</w:t>
            </w:r>
          </w:p>
        </w:tc>
        <w:tc>
          <w:tcPr>
            <w:tcW w:w="1404" w:type="dxa"/>
          </w:tcPr>
          <w:p w14:paraId="04D0BFBA" w14:textId="39304089" w:rsidR="00E54DE9" w:rsidRPr="0052342F" w:rsidRDefault="00E54DE9" w:rsidP="0052342F">
            <w:pPr>
              <w:pStyle w:val="ARtabletextright"/>
            </w:pPr>
            <w:r w:rsidRPr="0052342F">
              <w:t>N/A </w:t>
            </w:r>
          </w:p>
        </w:tc>
        <w:tc>
          <w:tcPr>
            <w:tcW w:w="2125" w:type="dxa"/>
          </w:tcPr>
          <w:p w14:paraId="5757F645" w14:textId="0B289879" w:rsidR="00E54DE9" w:rsidRPr="0052342F" w:rsidRDefault="00E54DE9" w:rsidP="0052342F">
            <w:pPr>
              <w:pStyle w:val="ARtabletextright"/>
            </w:pPr>
            <w:r w:rsidRPr="0052342F">
              <w:t>N </w:t>
            </w:r>
          </w:p>
        </w:tc>
      </w:tr>
      <w:tr w:rsidR="001625B9" w14:paraId="7B656E4C" w14:textId="77777777" w:rsidTr="006F7262">
        <w:tc>
          <w:tcPr>
            <w:tcW w:w="2263" w:type="dxa"/>
          </w:tcPr>
          <w:p w14:paraId="332C758E" w14:textId="2A0BEE6E" w:rsidR="00BE4E6C" w:rsidRPr="0052342F" w:rsidRDefault="00BE4E6C" w:rsidP="0052342F">
            <w:pPr>
              <w:pStyle w:val="ARtabletext"/>
            </w:pPr>
            <w:r w:rsidRPr="0052342F">
              <w:t>Tenancy Plus evaluation </w:t>
            </w:r>
          </w:p>
        </w:tc>
        <w:tc>
          <w:tcPr>
            <w:tcW w:w="2551" w:type="dxa"/>
          </w:tcPr>
          <w:p w14:paraId="4BA69F5A" w14:textId="75DC60EB" w:rsidR="00BE4E6C" w:rsidRPr="00A60C31" w:rsidRDefault="00BE4E6C" w:rsidP="00A60C31">
            <w:pPr>
              <w:pStyle w:val="ARTabletextlessleading"/>
            </w:pPr>
            <w:r w:rsidRPr="00A60C31">
              <w:t>To understand the Tenancy Plus program capacity to meet demand and to understand the extent to which the program meets the needs of social housing renters</w:t>
            </w:r>
          </w:p>
        </w:tc>
        <w:tc>
          <w:tcPr>
            <w:tcW w:w="2552" w:type="dxa"/>
          </w:tcPr>
          <w:p w14:paraId="523C2692" w14:textId="34A876C8" w:rsidR="00BE4E6C" w:rsidRPr="00A60C31" w:rsidRDefault="00BE4E6C" w:rsidP="00A60C31">
            <w:pPr>
              <w:pStyle w:val="ARTabletextlessleading"/>
            </w:pPr>
            <w:r w:rsidRPr="00A60C31">
              <w:t>Investigate how the Tenancy Plus program could be improved to better meet the</w:t>
            </w:r>
            <w:r w:rsidR="002A18E8" w:rsidRPr="00A60C31">
              <w:t> </w:t>
            </w:r>
            <w:r w:rsidRPr="00A60C31">
              <w:t>needs of social housing</w:t>
            </w:r>
            <w:r w:rsidR="002A18E8" w:rsidRPr="00A60C31">
              <w:t> </w:t>
            </w:r>
            <w:r w:rsidRPr="00A60C31">
              <w:t>renters</w:t>
            </w:r>
            <w:r w:rsidR="00E360C4" w:rsidRPr="00A60C31">
              <w:t xml:space="preserve"> </w:t>
            </w:r>
          </w:p>
        </w:tc>
        <w:tc>
          <w:tcPr>
            <w:tcW w:w="2694" w:type="dxa"/>
          </w:tcPr>
          <w:p w14:paraId="68A097F0" w14:textId="0AAAFC89" w:rsidR="00BE4E6C" w:rsidRPr="00A60C31" w:rsidRDefault="00BE4E6C" w:rsidP="00A60C31">
            <w:pPr>
              <w:pStyle w:val="ARTabletextlessleading"/>
            </w:pPr>
            <w:r w:rsidRPr="00A60C31">
              <w:t>Informed decision making regarding potential scaling or changing the approach of the Tenancy Plus program to get better outcomes for social housing renters</w:t>
            </w:r>
          </w:p>
        </w:tc>
        <w:tc>
          <w:tcPr>
            <w:tcW w:w="1275" w:type="dxa"/>
          </w:tcPr>
          <w:p w14:paraId="73F1B76A" w14:textId="1F04F135" w:rsidR="00BE4E6C" w:rsidRPr="0052342F" w:rsidRDefault="00BE4E6C" w:rsidP="0052342F">
            <w:pPr>
              <w:pStyle w:val="ARtabletextright"/>
            </w:pPr>
            <w:r w:rsidRPr="0052342F">
              <w:t>44</w:t>
            </w:r>
          </w:p>
        </w:tc>
        <w:tc>
          <w:tcPr>
            <w:tcW w:w="1404" w:type="dxa"/>
          </w:tcPr>
          <w:p w14:paraId="1B16468F" w14:textId="1BA62F8F" w:rsidR="00BE4E6C" w:rsidRPr="0052342F" w:rsidRDefault="00BE4E6C" w:rsidP="0052342F">
            <w:pPr>
              <w:pStyle w:val="ARtabletextright"/>
            </w:pPr>
            <w:r w:rsidRPr="0052342F">
              <w:t>N/A </w:t>
            </w:r>
          </w:p>
        </w:tc>
        <w:tc>
          <w:tcPr>
            <w:tcW w:w="2125" w:type="dxa"/>
          </w:tcPr>
          <w:p w14:paraId="409DA8E7" w14:textId="517B485B" w:rsidR="00BE4E6C" w:rsidRPr="0052342F" w:rsidRDefault="00BE4E6C" w:rsidP="0052342F">
            <w:pPr>
              <w:pStyle w:val="ARtabletextright"/>
            </w:pPr>
            <w:r w:rsidRPr="0052342F">
              <w:t>N </w:t>
            </w:r>
          </w:p>
        </w:tc>
      </w:tr>
      <w:tr w:rsidR="001625B9" w14:paraId="64507088" w14:textId="77777777" w:rsidTr="006F7262">
        <w:tc>
          <w:tcPr>
            <w:tcW w:w="2263" w:type="dxa"/>
          </w:tcPr>
          <w:p w14:paraId="2909D5BD" w14:textId="5AEBF89B" w:rsidR="00BE4E6C" w:rsidRPr="0052342F" w:rsidRDefault="00BE4E6C" w:rsidP="0052342F">
            <w:pPr>
              <w:pStyle w:val="ARtabletext"/>
            </w:pPr>
            <w:r w:rsidRPr="0052342F">
              <w:t>Supported Residential Services Census</w:t>
            </w:r>
            <w:r w:rsidR="00E360C4" w:rsidRPr="0052342F">
              <w:t xml:space="preserve"> </w:t>
            </w:r>
          </w:p>
        </w:tc>
        <w:tc>
          <w:tcPr>
            <w:tcW w:w="2551" w:type="dxa"/>
          </w:tcPr>
          <w:p w14:paraId="7959857B" w14:textId="6BD19CAD" w:rsidR="00BE4E6C" w:rsidRPr="00A60C31" w:rsidRDefault="00BE4E6C" w:rsidP="00A60C31">
            <w:pPr>
              <w:pStyle w:val="ARTabletextlessleading"/>
            </w:pPr>
            <w:r w:rsidRPr="00A60C31">
              <w:t xml:space="preserve">A census has been conducted of the Supported Residential Services sector every </w:t>
            </w:r>
            <w:r w:rsidR="009D641C">
              <w:t>5</w:t>
            </w:r>
            <w:r w:rsidRPr="00A60C31">
              <w:t xml:space="preserve"> years since 1993 to provide information about resident profile as Supported Residential Services service</w:t>
            </w:r>
            <w:r w:rsidR="002A18E8" w:rsidRPr="00A60C31">
              <w:t> </w:t>
            </w:r>
            <w:r w:rsidRPr="00A60C31">
              <w:t>types</w:t>
            </w:r>
          </w:p>
        </w:tc>
        <w:tc>
          <w:tcPr>
            <w:tcW w:w="2552" w:type="dxa"/>
          </w:tcPr>
          <w:p w14:paraId="7A62A702" w14:textId="242860AD" w:rsidR="00BE4E6C" w:rsidRPr="00A60C31" w:rsidRDefault="00BE4E6C" w:rsidP="00A60C31">
            <w:pPr>
              <w:pStyle w:val="ARTabletextlessleading"/>
            </w:pPr>
            <w:r w:rsidRPr="00A60C31">
              <w:t>Provide point in time data about the Supported Residential Services sector </w:t>
            </w:r>
          </w:p>
        </w:tc>
        <w:tc>
          <w:tcPr>
            <w:tcW w:w="2694" w:type="dxa"/>
          </w:tcPr>
          <w:p w14:paraId="35ADE426" w14:textId="21C5287A" w:rsidR="00BE4E6C" w:rsidRPr="00A60C31" w:rsidRDefault="00BE4E6C" w:rsidP="00A60C31">
            <w:pPr>
              <w:pStyle w:val="ARTabletextlessleading"/>
            </w:pPr>
            <w:r w:rsidRPr="00A60C31">
              <w:t>More informed decision making on policy and program</w:t>
            </w:r>
            <w:r w:rsidR="00A60C31">
              <w:t> </w:t>
            </w:r>
            <w:r w:rsidRPr="00A60C31">
              <w:t>delivery</w:t>
            </w:r>
          </w:p>
        </w:tc>
        <w:tc>
          <w:tcPr>
            <w:tcW w:w="1275" w:type="dxa"/>
          </w:tcPr>
          <w:p w14:paraId="6B165959" w14:textId="51FC4B4A" w:rsidR="00BE4E6C" w:rsidRPr="0052342F" w:rsidRDefault="00BE4E6C" w:rsidP="0052342F">
            <w:pPr>
              <w:pStyle w:val="ARtabletextright"/>
            </w:pPr>
            <w:r w:rsidRPr="0052342F">
              <w:t>150</w:t>
            </w:r>
          </w:p>
        </w:tc>
        <w:tc>
          <w:tcPr>
            <w:tcW w:w="1404" w:type="dxa"/>
          </w:tcPr>
          <w:p w14:paraId="536E997A" w14:textId="56E12DFF" w:rsidR="00BE4E6C" w:rsidRPr="0052342F" w:rsidRDefault="00BE4E6C" w:rsidP="0052342F">
            <w:pPr>
              <w:pStyle w:val="ARtabletextright"/>
            </w:pPr>
            <w:r w:rsidRPr="0052342F">
              <w:t>109</w:t>
            </w:r>
          </w:p>
        </w:tc>
        <w:tc>
          <w:tcPr>
            <w:tcW w:w="2125" w:type="dxa"/>
          </w:tcPr>
          <w:p w14:paraId="2853EE36" w14:textId="77777777" w:rsidR="0088213D" w:rsidRDefault="009E623F" w:rsidP="0052342F">
            <w:pPr>
              <w:pStyle w:val="ARtabletextright"/>
            </w:pPr>
            <w:hyperlink r:id="rId117" w:history="1">
              <w:r w:rsidRPr="0088213D">
                <w:rPr>
                  <w:rStyle w:val="Hyperlink"/>
                </w:rPr>
                <w:t>Supported Residential Services Census</w:t>
              </w:r>
              <w:r w:rsidR="0088213D" w:rsidRPr="0088213D">
                <w:rPr>
                  <w:rStyle w:val="Hyperlink"/>
                </w:rPr>
                <w:t xml:space="preserve"> webpage</w:t>
              </w:r>
            </w:hyperlink>
            <w:r w:rsidR="0088213D">
              <w:t xml:space="preserve"> </w:t>
            </w:r>
          </w:p>
          <w:p w14:paraId="5502B7C2" w14:textId="42FA4D98" w:rsidR="00BE4E6C" w:rsidRPr="0052342F" w:rsidRDefault="0088213D" w:rsidP="0052342F">
            <w:pPr>
              <w:pStyle w:val="ARtabletextright"/>
            </w:pPr>
            <w:r>
              <w:t>&lt;</w:t>
            </w:r>
            <w:r w:rsidRPr="0050686E">
              <w:t>https://services.dffh.vic.gov.au/2023-census-supported-residential-services-full-report</w:t>
            </w:r>
            <w:r>
              <w:t>&gt;</w:t>
            </w:r>
            <w:r w:rsidRPr="0088213D" w:rsidDel="009E623F">
              <w:t xml:space="preserve"> </w:t>
            </w:r>
          </w:p>
        </w:tc>
      </w:tr>
      <w:tr w:rsidR="001625B9" w14:paraId="3EB02181" w14:textId="77777777" w:rsidTr="006F7262">
        <w:tc>
          <w:tcPr>
            <w:tcW w:w="2263" w:type="dxa"/>
          </w:tcPr>
          <w:p w14:paraId="2F38D00A" w14:textId="220C4A91" w:rsidR="00BE4E6C" w:rsidRPr="0052342F" w:rsidRDefault="00BE4E6C" w:rsidP="0052342F">
            <w:pPr>
              <w:pStyle w:val="ARtabletext"/>
            </w:pPr>
            <w:r w:rsidRPr="0052342F">
              <w:t xml:space="preserve">Probity Advisor </w:t>
            </w:r>
            <w:r w:rsidR="006E2F2E" w:rsidRPr="0052342F">
              <w:t>–</w:t>
            </w:r>
            <w:r w:rsidRPr="0052342F">
              <w:t xml:space="preserve"> H2H Recommissioned Homes</w:t>
            </w:r>
            <w:r w:rsidR="0052342F" w:rsidRPr="0052342F">
              <w:t> </w:t>
            </w:r>
            <w:r w:rsidRPr="0052342F">
              <w:t>Victoria </w:t>
            </w:r>
          </w:p>
        </w:tc>
        <w:tc>
          <w:tcPr>
            <w:tcW w:w="2551" w:type="dxa"/>
          </w:tcPr>
          <w:p w14:paraId="3191E7AD" w14:textId="2B7B7D8D" w:rsidR="00BE4E6C" w:rsidRPr="00A60C31" w:rsidRDefault="00BE4E6C" w:rsidP="00A60C31">
            <w:pPr>
              <w:pStyle w:val="ARTabletextlessleading"/>
            </w:pPr>
            <w:r w:rsidRPr="00A60C31">
              <w:t>To provide probity advice throughout the Homes First Call for Submissions </w:t>
            </w:r>
          </w:p>
        </w:tc>
        <w:tc>
          <w:tcPr>
            <w:tcW w:w="2552" w:type="dxa"/>
          </w:tcPr>
          <w:p w14:paraId="45719BBC" w14:textId="3B8C5A3F" w:rsidR="00BE4E6C" w:rsidRPr="00A60C31" w:rsidRDefault="00BE4E6C" w:rsidP="00A60C31">
            <w:pPr>
              <w:pStyle w:val="ARTabletextlessleading"/>
            </w:pPr>
            <w:r w:rsidRPr="00A60C31">
              <w:t>To ensure procurement process meet probity requirements </w:t>
            </w:r>
          </w:p>
        </w:tc>
        <w:tc>
          <w:tcPr>
            <w:tcW w:w="2694" w:type="dxa"/>
          </w:tcPr>
          <w:p w14:paraId="32704481" w14:textId="1A67A32F" w:rsidR="00BE4E6C" w:rsidRPr="00A60C31" w:rsidRDefault="00BE4E6C" w:rsidP="00A60C31">
            <w:pPr>
              <w:pStyle w:val="ARTabletextlessleading"/>
            </w:pPr>
            <w:r w:rsidRPr="00A60C31">
              <w:t>Homes First Call for Submissions process meets the highest standards of</w:t>
            </w:r>
            <w:r w:rsidR="00A60C31">
              <w:t> </w:t>
            </w:r>
            <w:r w:rsidRPr="00A60C31">
              <w:t>integrity </w:t>
            </w:r>
          </w:p>
        </w:tc>
        <w:tc>
          <w:tcPr>
            <w:tcW w:w="1275" w:type="dxa"/>
          </w:tcPr>
          <w:p w14:paraId="1800CE1A" w14:textId="46D6BDC2" w:rsidR="00BE4E6C" w:rsidRPr="0052342F" w:rsidRDefault="00BE4E6C" w:rsidP="0052342F">
            <w:pPr>
              <w:pStyle w:val="ARtabletextright"/>
            </w:pPr>
            <w:r w:rsidRPr="0052342F">
              <w:t>16</w:t>
            </w:r>
          </w:p>
        </w:tc>
        <w:tc>
          <w:tcPr>
            <w:tcW w:w="1404" w:type="dxa"/>
          </w:tcPr>
          <w:p w14:paraId="71EF68A0" w14:textId="373AA55A" w:rsidR="00BE4E6C" w:rsidRPr="0052342F" w:rsidRDefault="00BE4E6C" w:rsidP="0052342F">
            <w:pPr>
              <w:pStyle w:val="ARtabletextright"/>
            </w:pPr>
            <w:r w:rsidRPr="0052342F">
              <w:t>N/A </w:t>
            </w:r>
          </w:p>
        </w:tc>
        <w:tc>
          <w:tcPr>
            <w:tcW w:w="2125" w:type="dxa"/>
          </w:tcPr>
          <w:p w14:paraId="088DB046" w14:textId="5FE63A6C" w:rsidR="00BE4E6C" w:rsidRPr="0052342F" w:rsidRDefault="00BE4E6C" w:rsidP="0052342F">
            <w:pPr>
              <w:pStyle w:val="ARtabletextright"/>
            </w:pPr>
            <w:r w:rsidRPr="0052342F">
              <w:t>N </w:t>
            </w:r>
          </w:p>
        </w:tc>
      </w:tr>
      <w:tr w:rsidR="001625B9" w14:paraId="7246A08F" w14:textId="77777777" w:rsidTr="006F7262">
        <w:tc>
          <w:tcPr>
            <w:tcW w:w="2263" w:type="dxa"/>
          </w:tcPr>
          <w:p w14:paraId="67F277B7" w14:textId="342EA6C4" w:rsidR="00BE693A" w:rsidRPr="0052342F" w:rsidRDefault="00BE693A" w:rsidP="0052342F">
            <w:pPr>
              <w:pStyle w:val="ARtabletext"/>
            </w:pPr>
            <w:r w:rsidRPr="0052342F">
              <w:t>Evaluation of the From Homelessness to a Home (H2H) and Homes for Families (H4F) programs. Undertaken by the Australian Housing and Urban Research Institute </w:t>
            </w:r>
          </w:p>
        </w:tc>
        <w:tc>
          <w:tcPr>
            <w:tcW w:w="2551" w:type="dxa"/>
          </w:tcPr>
          <w:p w14:paraId="5BE78BEC" w14:textId="7CC0773B" w:rsidR="00BE693A" w:rsidRPr="00A60C31" w:rsidRDefault="00BE693A" w:rsidP="00A60C31">
            <w:pPr>
              <w:pStyle w:val="ARTabletextlessleading"/>
            </w:pPr>
            <w:r w:rsidRPr="00A60C31">
              <w:t>To acquit accountability requirements of the Department of Treasury and Finance Resource Management Framework </w:t>
            </w:r>
          </w:p>
        </w:tc>
        <w:tc>
          <w:tcPr>
            <w:tcW w:w="2552" w:type="dxa"/>
          </w:tcPr>
          <w:p w14:paraId="5CEFB633" w14:textId="7B990D35" w:rsidR="00BE693A" w:rsidRPr="00A60C31" w:rsidRDefault="00BE693A" w:rsidP="00A60C31">
            <w:pPr>
              <w:pStyle w:val="ARTabletextlessleading"/>
            </w:pPr>
            <w:r w:rsidRPr="00A60C31">
              <w:t>Assess the client and economic outcomes of</w:t>
            </w:r>
            <w:r w:rsidR="007611EA" w:rsidRPr="00A60C31">
              <w:t> </w:t>
            </w:r>
            <w:r w:rsidRPr="00A60C31">
              <w:t>the</w:t>
            </w:r>
            <w:r w:rsidR="002A18E8" w:rsidRPr="00A60C31">
              <w:t> </w:t>
            </w:r>
            <w:r w:rsidRPr="00A60C31">
              <w:t>programs </w:t>
            </w:r>
          </w:p>
        </w:tc>
        <w:tc>
          <w:tcPr>
            <w:tcW w:w="2694" w:type="dxa"/>
          </w:tcPr>
          <w:p w14:paraId="732D97B8" w14:textId="599018EB" w:rsidR="00BE693A" w:rsidRPr="00A60C31" w:rsidRDefault="00BE693A" w:rsidP="00A60C31">
            <w:pPr>
              <w:pStyle w:val="ARTabletextlessleading"/>
            </w:pPr>
            <w:r w:rsidRPr="00A60C31">
              <w:t>Informed decision making about the future of homelessness programs based on housing</w:t>
            </w:r>
            <w:r w:rsidR="004F5224">
              <w:t>-</w:t>
            </w:r>
            <w:r w:rsidRPr="00A60C31">
              <w:t>first</w:t>
            </w:r>
            <w:r w:rsidR="007611EA" w:rsidRPr="00A60C31">
              <w:t> </w:t>
            </w:r>
            <w:r w:rsidRPr="00A60C31">
              <w:t>principals </w:t>
            </w:r>
          </w:p>
        </w:tc>
        <w:tc>
          <w:tcPr>
            <w:tcW w:w="1275" w:type="dxa"/>
          </w:tcPr>
          <w:p w14:paraId="37225BD7" w14:textId="499E3BFA" w:rsidR="00BE693A" w:rsidRPr="0052342F" w:rsidRDefault="00BE693A" w:rsidP="0052342F">
            <w:pPr>
              <w:pStyle w:val="ARtabletextright"/>
            </w:pPr>
            <w:r w:rsidRPr="0052342F">
              <w:t>355</w:t>
            </w:r>
          </w:p>
        </w:tc>
        <w:tc>
          <w:tcPr>
            <w:tcW w:w="1404" w:type="dxa"/>
          </w:tcPr>
          <w:p w14:paraId="3C2A1375" w14:textId="566FC295" w:rsidR="00BE693A" w:rsidRPr="0052342F" w:rsidRDefault="00BE693A" w:rsidP="0052342F">
            <w:pPr>
              <w:pStyle w:val="ARtabletextright"/>
            </w:pPr>
            <w:r w:rsidRPr="0052342F">
              <w:t>499</w:t>
            </w:r>
          </w:p>
        </w:tc>
        <w:tc>
          <w:tcPr>
            <w:tcW w:w="2125" w:type="dxa"/>
          </w:tcPr>
          <w:p w14:paraId="4C39EBEB" w14:textId="77777777" w:rsidR="005C3065" w:rsidRDefault="008F6E90" w:rsidP="00A60C31">
            <w:pPr>
              <w:pStyle w:val="ARTabletextrightlessleading"/>
            </w:pPr>
            <w:r w:rsidRPr="0052342F">
              <w:t xml:space="preserve">Y </w:t>
            </w:r>
          </w:p>
          <w:p w14:paraId="0F1238E8" w14:textId="668C72AB" w:rsidR="005C3065" w:rsidRDefault="002A18E8" w:rsidP="00A60C31">
            <w:pPr>
              <w:pStyle w:val="ARTabletextrightlessleading"/>
            </w:pPr>
            <w:hyperlink r:id="rId118" w:history="1">
              <w:r w:rsidRPr="00A60C31">
                <w:rPr>
                  <w:rStyle w:val="Hyperlink"/>
                </w:rPr>
                <w:t xml:space="preserve">Homes Victoria, </w:t>
              </w:r>
              <w:r w:rsidR="005C3065" w:rsidRPr="00A60C31">
                <w:rPr>
                  <w:rStyle w:val="Hyperlink"/>
                </w:rPr>
                <w:t>Homelessness to a Home program evaluation</w:t>
              </w:r>
              <w:r w:rsidRPr="00A60C31">
                <w:rPr>
                  <w:rStyle w:val="Hyperlink"/>
                </w:rPr>
                <w:t xml:space="preserve"> webpage</w:t>
              </w:r>
            </w:hyperlink>
          </w:p>
          <w:p w14:paraId="526B90B6" w14:textId="72AD8DB9" w:rsidR="008F6E90" w:rsidRPr="0052342F" w:rsidRDefault="002A18E8" w:rsidP="00A60C31">
            <w:pPr>
              <w:pStyle w:val="ARTabletextrightlessleading"/>
            </w:pPr>
            <w:r>
              <w:t>&lt;</w:t>
            </w:r>
            <w:r w:rsidR="008F6E90" w:rsidRPr="0052342F">
              <w:t>https://www.homes.vic.gov.au/homelessness-home-program-evaluation</w:t>
            </w:r>
            <w:r>
              <w:t>&gt;</w:t>
            </w:r>
            <w:r w:rsidR="008F6E90" w:rsidRPr="0052342F">
              <w:t> </w:t>
            </w:r>
          </w:p>
          <w:p w14:paraId="35394CDE" w14:textId="039B8158" w:rsidR="00BE693A" w:rsidRPr="0052342F" w:rsidRDefault="008F6E90" w:rsidP="00A60C31">
            <w:pPr>
              <w:pStyle w:val="ARTabletextrightlessleading"/>
            </w:pPr>
            <w:r w:rsidRPr="0052342F">
              <w:t>H4F evaluation is not publicly available</w:t>
            </w:r>
          </w:p>
        </w:tc>
      </w:tr>
      <w:tr w:rsidR="001625B9" w14:paraId="32026A3F" w14:textId="77777777" w:rsidTr="006F7262">
        <w:tc>
          <w:tcPr>
            <w:tcW w:w="2263" w:type="dxa"/>
          </w:tcPr>
          <w:p w14:paraId="07E1F54F" w14:textId="32E0B284" w:rsidR="00FA7A4B" w:rsidRPr="0052342F" w:rsidRDefault="00FA7A4B" w:rsidP="0052342F">
            <w:pPr>
              <w:pStyle w:val="ARtabletext"/>
            </w:pPr>
            <w:r w:rsidRPr="0052342F">
              <w:t>Estimates of value (Commercial) – Project High Rise </w:t>
            </w:r>
          </w:p>
        </w:tc>
        <w:tc>
          <w:tcPr>
            <w:tcW w:w="2551" w:type="dxa"/>
          </w:tcPr>
          <w:p w14:paraId="028C912C" w14:textId="712D47F8" w:rsidR="00FA7A4B" w:rsidRPr="00A60C31" w:rsidRDefault="00FA7A4B" w:rsidP="00A60C31">
            <w:pPr>
              <w:pStyle w:val="ARTabletextlessleading"/>
            </w:pPr>
            <w:r w:rsidRPr="00A60C31">
              <w:t>Estimate land value of a portion of Towers portfolio </w:t>
            </w:r>
          </w:p>
        </w:tc>
        <w:tc>
          <w:tcPr>
            <w:tcW w:w="2552" w:type="dxa"/>
          </w:tcPr>
          <w:p w14:paraId="65AA04AC" w14:textId="0C54B8B4" w:rsidR="00FA7A4B" w:rsidRPr="00A60C31" w:rsidRDefault="00FA7A4B" w:rsidP="00A60C31">
            <w:pPr>
              <w:pStyle w:val="ARTabletextlessleading"/>
            </w:pPr>
            <w:r w:rsidRPr="00A60C31">
              <w:t>Estimate current market value of land unencumbered by development of non-market dwellings and excluding costs</w:t>
            </w:r>
            <w:r w:rsidR="007611EA" w:rsidRPr="00A60C31">
              <w:t> </w:t>
            </w:r>
            <w:r w:rsidRPr="00A60C31">
              <w:t>for demolition and</w:t>
            </w:r>
            <w:r w:rsidR="007611EA" w:rsidRPr="00A60C31">
              <w:t> </w:t>
            </w:r>
            <w:r w:rsidRPr="00A60C31">
              <w:t>remediation</w:t>
            </w:r>
          </w:p>
        </w:tc>
        <w:tc>
          <w:tcPr>
            <w:tcW w:w="2694" w:type="dxa"/>
          </w:tcPr>
          <w:p w14:paraId="46822376" w14:textId="2EC7D5EA" w:rsidR="00FA7A4B" w:rsidRPr="00A60C31" w:rsidRDefault="00FA7A4B" w:rsidP="00A60C31">
            <w:pPr>
              <w:pStyle w:val="ARTabletextlessleading"/>
            </w:pPr>
            <w:r w:rsidRPr="00A60C31">
              <w:t>Estimate of value of Towers land portfolio </w:t>
            </w:r>
          </w:p>
        </w:tc>
        <w:tc>
          <w:tcPr>
            <w:tcW w:w="1275" w:type="dxa"/>
          </w:tcPr>
          <w:p w14:paraId="099742B5" w14:textId="4366342B" w:rsidR="00FA7A4B" w:rsidRPr="0052342F" w:rsidRDefault="00FA7A4B" w:rsidP="0052342F">
            <w:pPr>
              <w:pStyle w:val="ARtabletextright"/>
            </w:pPr>
            <w:r w:rsidRPr="0052342F">
              <w:t>30</w:t>
            </w:r>
          </w:p>
        </w:tc>
        <w:tc>
          <w:tcPr>
            <w:tcW w:w="1404" w:type="dxa"/>
          </w:tcPr>
          <w:p w14:paraId="0AE6CF42" w14:textId="42EC3E5F" w:rsidR="00FA7A4B" w:rsidRPr="0052342F" w:rsidRDefault="00FA7A4B" w:rsidP="0052342F">
            <w:pPr>
              <w:pStyle w:val="ARtabletextright"/>
            </w:pPr>
            <w:r w:rsidRPr="0052342F">
              <w:t>30</w:t>
            </w:r>
          </w:p>
        </w:tc>
        <w:tc>
          <w:tcPr>
            <w:tcW w:w="2125" w:type="dxa"/>
          </w:tcPr>
          <w:p w14:paraId="29DDAC8E" w14:textId="77777777" w:rsidR="00FC741B" w:rsidRDefault="00FD7D12" w:rsidP="00A60C31">
            <w:pPr>
              <w:pStyle w:val="ARTabletextrightlessleading"/>
            </w:pPr>
            <w:r w:rsidRPr="0052342F">
              <w:t xml:space="preserve">Y </w:t>
            </w:r>
          </w:p>
          <w:p w14:paraId="7BD4C1C6" w14:textId="212B9407" w:rsidR="00FC741B" w:rsidRDefault="00FC741B" w:rsidP="00A60C31">
            <w:pPr>
              <w:pStyle w:val="ARTabletextrightlessleading"/>
            </w:pPr>
            <w:hyperlink r:id="rId119" w:history="1">
              <w:r w:rsidRPr="009E03C9">
                <w:rPr>
                  <w:rStyle w:val="Hyperlink"/>
                </w:rPr>
                <w:t>Redevelopment of high-rise public housing sites</w:t>
              </w:r>
            </w:hyperlink>
          </w:p>
          <w:p w14:paraId="53A9BE9D" w14:textId="2B7FCF33" w:rsidR="00FA7A4B" w:rsidRPr="0052342F" w:rsidRDefault="004F1C9E" w:rsidP="00A60C31">
            <w:pPr>
              <w:pStyle w:val="ARTabletextrightlessleading"/>
            </w:pPr>
            <w:r>
              <w:t>&lt;</w:t>
            </w:r>
            <w:r w:rsidR="000A6353" w:rsidRPr="000A6353">
              <w:t>https://www.parliament.vic.gov.au/parliamentary-activity/tabled-documents-database/tabled-document-details/8310</w:t>
            </w:r>
            <w:r>
              <w:t>&gt;</w:t>
            </w:r>
          </w:p>
        </w:tc>
      </w:tr>
      <w:tr w:rsidR="001625B9" w14:paraId="41D66CDC" w14:textId="77777777" w:rsidTr="006F7262">
        <w:tc>
          <w:tcPr>
            <w:tcW w:w="2263" w:type="dxa"/>
          </w:tcPr>
          <w:p w14:paraId="5EAB1E73" w14:textId="7FCC3EEC" w:rsidR="00FA7A4B" w:rsidRPr="0052342F" w:rsidRDefault="00FA7A4B" w:rsidP="0052342F">
            <w:pPr>
              <w:pStyle w:val="ARtabletext"/>
            </w:pPr>
            <w:r w:rsidRPr="0052342F">
              <w:t>Estimate valuation as at 1</w:t>
            </w:r>
            <w:r w:rsidR="007611EA">
              <w:t> </w:t>
            </w:r>
            <w:r w:rsidRPr="0052342F">
              <w:t>July 2000 – Project High</w:t>
            </w:r>
            <w:r w:rsidR="007611EA">
              <w:t> </w:t>
            </w:r>
            <w:r w:rsidRPr="0052342F">
              <w:t>Rise </w:t>
            </w:r>
          </w:p>
        </w:tc>
        <w:tc>
          <w:tcPr>
            <w:tcW w:w="2551" w:type="dxa"/>
          </w:tcPr>
          <w:p w14:paraId="65BC0C19" w14:textId="641B1F4A" w:rsidR="00FA7A4B" w:rsidRPr="00A60C31" w:rsidRDefault="00FA7A4B" w:rsidP="00A60C31">
            <w:pPr>
              <w:pStyle w:val="ARTabletextlessleading"/>
            </w:pPr>
            <w:r w:rsidRPr="00A60C31">
              <w:t>Estimate land value of a portion of Towers portfolio for</w:t>
            </w:r>
            <w:r w:rsidR="00B915B7">
              <w:t> </w:t>
            </w:r>
            <w:r w:rsidRPr="00A60C31">
              <w:t>GST purposes </w:t>
            </w:r>
          </w:p>
        </w:tc>
        <w:tc>
          <w:tcPr>
            <w:tcW w:w="2552" w:type="dxa"/>
          </w:tcPr>
          <w:p w14:paraId="7A29119E" w14:textId="6193924A" w:rsidR="00FA7A4B" w:rsidRPr="00A60C31" w:rsidRDefault="00FA7A4B" w:rsidP="00A60C31">
            <w:pPr>
              <w:pStyle w:val="ARTabletextlessleading"/>
            </w:pPr>
            <w:r w:rsidRPr="00A60C31">
              <w:t>Estimate current market value of land unencumbered by development of non-market dwellings, and excluding costs for demolition and remediation as at July 2000</w:t>
            </w:r>
          </w:p>
        </w:tc>
        <w:tc>
          <w:tcPr>
            <w:tcW w:w="2694" w:type="dxa"/>
          </w:tcPr>
          <w:p w14:paraId="1495C1E1" w14:textId="13B10129" w:rsidR="00FA7A4B" w:rsidRPr="00A60C31" w:rsidRDefault="00FA7A4B" w:rsidP="00A60C31">
            <w:pPr>
              <w:pStyle w:val="ARTabletextlessleading"/>
            </w:pPr>
            <w:r w:rsidRPr="00A60C31">
              <w:t>Estimate of value of Towers land portfolio as at 1</w:t>
            </w:r>
            <w:r w:rsidR="00B915B7">
              <w:t> </w:t>
            </w:r>
            <w:r w:rsidRPr="00A60C31">
              <w:t>July</w:t>
            </w:r>
            <w:r w:rsidR="00B915B7">
              <w:t> </w:t>
            </w:r>
            <w:r w:rsidRPr="00A60C31">
              <w:t>2000</w:t>
            </w:r>
          </w:p>
        </w:tc>
        <w:tc>
          <w:tcPr>
            <w:tcW w:w="1275" w:type="dxa"/>
          </w:tcPr>
          <w:p w14:paraId="503B825E" w14:textId="44908FA1" w:rsidR="00FA7A4B" w:rsidRPr="0052342F" w:rsidRDefault="00FA7A4B" w:rsidP="0052342F">
            <w:pPr>
              <w:pStyle w:val="ARtabletextright"/>
            </w:pPr>
            <w:r w:rsidRPr="0052342F">
              <w:t>10</w:t>
            </w:r>
          </w:p>
        </w:tc>
        <w:tc>
          <w:tcPr>
            <w:tcW w:w="1404" w:type="dxa"/>
          </w:tcPr>
          <w:p w14:paraId="160541BE" w14:textId="78E2E981" w:rsidR="00FA7A4B" w:rsidRPr="0052342F" w:rsidRDefault="00FA7A4B" w:rsidP="0052342F">
            <w:pPr>
              <w:pStyle w:val="ARtabletextright"/>
            </w:pPr>
            <w:r w:rsidRPr="0052342F">
              <w:t>10</w:t>
            </w:r>
          </w:p>
        </w:tc>
        <w:tc>
          <w:tcPr>
            <w:tcW w:w="2125" w:type="dxa"/>
          </w:tcPr>
          <w:p w14:paraId="7A5A1321" w14:textId="77777777" w:rsidR="009E03C9" w:rsidRDefault="00E57BB6" w:rsidP="009E03C9">
            <w:pPr>
              <w:pStyle w:val="ARTabletextrightlessleading"/>
            </w:pPr>
            <w:r w:rsidRPr="0052342F">
              <w:t xml:space="preserve">Y </w:t>
            </w:r>
          </w:p>
          <w:p w14:paraId="01866FBB" w14:textId="5D17EFDF" w:rsidR="009E03C9" w:rsidRDefault="009E03C9" w:rsidP="009E03C9">
            <w:pPr>
              <w:pStyle w:val="ARTabletextrightlessleading"/>
            </w:pPr>
            <w:hyperlink r:id="rId120" w:history="1">
              <w:r w:rsidRPr="009E03C9">
                <w:rPr>
                  <w:rStyle w:val="Hyperlink"/>
                </w:rPr>
                <w:t>Redevelopment of high-rise public housing sites</w:t>
              </w:r>
            </w:hyperlink>
          </w:p>
          <w:p w14:paraId="62B7D795" w14:textId="7AD470B8" w:rsidR="00FA7A4B" w:rsidRPr="0052342F" w:rsidRDefault="004F1C9E" w:rsidP="00A60C31">
            <w:pPr>
              <w:pStyle w:val="ARTabletextrightlessleading"/>
            </w:pPr>
            <w:r>
              <w:t>&lt;</w:t>
            </w:r>
            <w:r w:rsidR="000A6353" w:rsidRPr="000A6353">
              <w:t>https://www.parliament.vic.gov.au/parliamentary-activity/tabled-documents-database/tabled-document-details/8310</w:t>
            </w:r>
            <w:r>
              <w:t>&gt;</w:t>
            </w:r>
          </w:p>
        </w:tc>
      </w:tr>
      <w:tr w:rsidR="001625B9" w14:paraId="129DD261" w14:textId="77777777" w:rsidTr="006F7262">
        <w:tc>
          <w:tcPr>
            <w:tcW w:w="2263" w:type="dxa"/>
          </w:tcPr>
          <w:p w14:paraId="632F6778" w14:textId="5697B53D" w:rsidR="00575C4D" w:rsidRPr="0052342F" w:rsidRDefault="00575C4D" w:rsidP="0052342F">
            <w:pPr>
              <w:pStyle w:val="ARtabletext"/>
            </w:pPr>
            <w:r w:rsidRPr="0052342F">
              <w:t>Depth of market analysis </w:t>
            </w:r>
          </w:p>
        </w:tc>
        <w:tc>
          <w:tcPr>
            <w:tcW w:w="2551" w:type="dxa"/>
          </w:tcPr>
          <w:p w14:paraId="2CA147DA" w14:textId="1510D269" w:rsidR="00575C4D" w:rsidRPr="00A60C31" w:rsidRDefault="00575C4D" w:rsidP="00A60C31">
            <w:pPr>
              <w:pStyle w:val="ARTabletextlessleading"/>
            </w:pPr>
            <w:r w:rsidRPr="00A60C31">
              <w:t>Estimate potential supply through off the plan purchases and head leasing to deliver social and affordable housing </w:t>
            </w:r>
          </w:p>
        </w:tc>
        <w:tc>
          <w:tcPr>
            <w:tcW w:w="2552" w:type="dxa"/>
          </w:tcPr>
          <w:p w14:paraId="424E4731" w14:textId="72F3BCC7" w:rsidR="00575C4D" w:rsidRPr="00A60C31" w:rsidRDefault="00575C4D" w:rsidP="00A60C31">
            <w:pPr>
              <w:pStyle w:val="ARTabletextlessleading"/>
            </w:pPr>
            <w:r w:rsidRPr="00A60C31">
              <w:t>Analysis of off the plan and head leasing opportunities for apartments and townhouses in both metropolitan and regional Victoria</w:t>
            </w:r>
          </w:p>
        </w:tc>
        <w:tc>
          <w:tcPr>
            <w:tcW w:w="2694" w:type="dxa"/>
          </w:tcPr>
          <w:p w14:paraId="500E0A33" w14:textId="64B80400" w:rsidR="00575C4D" w:rsidRPr="00A60C31" w:rsidRDefault="00575C4D" w:rsidP="00A60C31">
            <w:pPr>
              <w:pStyle w:val="ARTabletextlessleading"/>
            </w:pPr>
            <w:r w:rsidRPr="00A60C31">
              <w:t xml:space="preserve">Measured potential supply options over the next </w:t>
            </w:r>
            <w:r w:rsidR="009D641C">
              <w:t>5</w:t>
            </w:r>
            <w:r w:rsidR="00B915B7">
              <w:t> </w:t>
            </w:r>
            <w:r w:rsidRPr="00A60C31">
              <w:t>years </w:t>
            </w:r>
          </w:p>
        </w:tc>
        <w:tc>
          <w:tcPr>
            <w:tcW w:w="1275" w:type="dxa"/>
          </w:tcPr>
          <w:p w14:paraId="45AA39D8" w14:textId="17EE1B1F" w:rsidR="00575C4D" w:rsidRPr="0052342F" w:rsidRDefault="00575C4D" w:rsidP="0052342F">
            <w:pPr>
              <w:pStyle w:val="ARtabletextright"/>
            </w:pPr>
            <w:r w:rsidRPr="0052342F">
              <w:t>100</w:t>
            </w:r>
          </w:p>
        </w:tc>
        <w:tc>
          <w:tcPr>
            <w:tcW w:w="1404" w:type="dxa"/>
          </w:tcPr>
          <w:p w14:paraId="2E79DBDA" w14:textId="24932245" w:rsidR="00575C4D" w:rsidRPr="0052342F" w:rsidRDefault="00575C4D" w:rsidP="0052342F">
            <w:pPr>
              <w:pStyle w:val="ARtabletextright"/>
            </w:pPr>
            <w:r w:rsidRPr="0052342F">
              <w:t>100</w:t>
            </w:r>
          </w:p>
        </w:tc>
        <w:tc>
          <w:tcPr>
            <w:tcW w:w="2125" w:type="dxa"/>
          </w:tcPr>
          <w:p w14:paraId="13F3FF82" w14:textId="3B9678C6" w:rsidR="00575C4D" w:rsidRPr="0052342F" w:rsidRDefault="00575C4D" w:rsidP="0052342F">
            <w:pPr>
              <w:pStyle w:val="ARtabletextright"/>
            </w:pPr>
            <w:r w:rsidRPr="0052342F">
              <w:t>N </w:t>
            </w:r>
          </w:p>
        </w:tc>
      </w:tr>
      <w:tr w:rsidR="001625B9" w14:paraId="67DAA9B7" w14:textId="77777777" w:rsidTr="006F7262">
        <w:tc>
          <w:tcPr>
            <w:tcW w:w="2263" w:type="dxa"/>
          </w:tcPr>
          <w:p w14:paraId="495A04D9" w14:textId="608EB1A9" w:rsidR="00575C4D" w:rsidRPr="0052342F" w:rsidRDefault="00575C4D" w:rsidP="0052342F">
            <w:pPr>
              <w:pStyle w:val="ARtabletext"/>
            </w:pPr>
            <w:r w:rsidRPr="0052342F">
              <w:t xml:space="preserve">Energy Efficiency in Social Housing Program (EESHP) Phase 2 </w:t>
            </w:r>
            <w:r w:rsidR="00721E20" w:rsidRPr="00721E20">
              <w:t>–</w:t>
            </w:r>
            <w:r w:rsidRPr="0052342F">
              <w:t xml:space="preserve"> Procurement Tender</w:t>
            </w:r>
            <w:r w:rsidR="000D3F61">
              <w:t> </w:t>
            </w:r>
            <w:r w:rsidRPr="0052342F">
              <w:t>Advisor</w:t>
            </w:r>
            <w:r w:rsidR="00E360C4" w:rsidRPr="0052342F">
              <w:t xml:space="preserve"> </w:t>
            </w:r>
          </w:p>
        </w:tc>
        <w:tc>
          <w:tcPr>
            <w:tcW w:w="2551" w:type="dxa"/>
          </w:tcPr>
          <w:p w14:paraId="1D78D9CB" w14:textId="301CCB7E" w:rsidR="00575C4D" w:rsidRPr="00A60C31" w:rsidRDefault="00575C4D" w:rsidP="00A60C31">
            <w:pPr>
              <w:pStyle w:val="ARTabletextlessleading"/>
            </w:pPr>
            <w:r w:rsidRPr="00A60C31">
              <w:t>To provide strategic support throughout the procurement process for EESHP </w:t>
            </w:r>
          </w:p>
        </w:tc>
        <w:tc>
          <w:tcPr>
            <w:tcW w:w="2552" w:type="dxa"/>
          </w:tcPr>
          <w:p w14:paraId="4047F5DF" w14:textId="54880CD0" w:rsidR="00575C4D" w:rsidRPr="00A60C31" w:rsidRDefault="00575C4D" w:rsidP="00A60C31">
            <w:pPr>
              <w:pStyle w:val="ARTabletextlessleading"/>
            </w:pPr>
            <w:r w:rsidRPr="00A60C31">
              <w:t>Lead initial tender design workshops. Review existing documentation and assist Homes Victoria in drafting of new tender documents. Analy</w:t>
            </w:r>
            <w:r w:rsidR="00181810">
              <w:t>s</w:t>
            </w:r>
            <w:r w:rsidRPr="00A60C31">
              <w:t>e and provide expert feedback on EOI and RFT </w:t>
            </w:r>
          </w:p>
        </w:tc>
        <w:tc>
          <w:tcPr>
            <w:tcW w:w="2694" w:type="dxa"/>
          </w:tcPr>
          <w:p w14:paraId="23B03D89" w14:textId="41F42C22" w:rsidR="00575C4D" w:rsidRPr="00A60C31" w:rsidRDefault="00575C4D" w:rsidP="00A60C31">
            <w:pPr>
              <w:pStyle w:val="ARTabletextlessleading"/>
            </w:pPr>
            <w:r w:rsidRPr="00A60C31">
              <w:t>A more efficient and effective procurement process aligned with project goals</w:t>
            </w:r>
            <w:r w:rsidR="00E360C4" w:rsidRPr="00A60C31">
              <w:t xml:space="preserve"> </w:t>
            </w:r>
          </w:p>
        </w:tc>
        <w:tc>
          <w:tcPr>
            <w:tcW w:w="1275" w:type="dxa"/>
          </w:tcPr>
          <w:p w14:paraId="3B357C39" w14:textId="76C1AE6D" w:rsidR="00575C4D" w:rsidRPr="0052342F" w:rsidRDefault="00575C4D" w:rsidP="0052342F">
            <w:pPr>
              <w:pStyle w:val="ARtabletextright"/>
            </w:pPr>
            <w:r w:rsidRPr="0052342F">
              <w:t>45</w:t>
            </w:r>
          </w:p>
        </w:tc>
        <w:tc>
          <w:tcPr>
            <w:tcW w:w="1404" w:type="dxa"/>
          </w:tcPr>
          <w:p w14:paraId="0DEB6D2D" w14:textId="7F4D7385" w:rsidR="00575C4D" w:rsidRPr="0052342F" w:rsidRDefault="00575C4D" w:rsidP="0052342F">
            <w:pPr>
              <w:pStyle w:val="ARtabletextright"/>
            </w:pPr>
            <w:r w:rsidRPr="0052342F">
              <w:t>45</w:t>
            </w:r>
          </w:p>
        </w:tc>
        <w:tc>
          <w:tcPr>
            <w:tcW w:w="2125" w:type="dxa"/>
          </w:tcPr>
          <w:p w14:paraId="1BC8225A" w14:textId="5955B31F" w:rsidR="00575C4D" w:rsidRPr="0052342F" w:rsidRDefault="00575C4D" w:rsidP="0052342F">
            <w:pPr>
              <w:pStyle w:val="ARtabletextright"/>
            </w:pPr>
            <w:r w:rsidRPr="0052342F">
              <w:t>N </w:t>
            </w:r>
          </w:p>
        </w:tc>
      </w:tr>
      <w:tr w:rsidR="001625B9" w14:paraId="3124FB95" w14:textId="77777777" w:rsidTr="006F7262">
        <w:tc>
          <w:tcPr>
            <w:tcW w:w="2263" w:type="dxa"/>
          </w:tcPr>
          <w:p w14:paraId="1122B2FC" w14:textId="47C58534" w:rsidR="00575C4D" w:rsidRPr="0052342F" w:rsidRDefault="00575C4D" w:rsidP="0052342F">
            <w:pPr>
              <w:pStyle w:val="ARtabletext"/>
            </w:pPr>
            <w:r w:rsidRPr="0052342F">
              <w:t>Energy Efficiency Upgrade in Social Housing Project Tenant Survey Contractor </w:t>
            </w:r>
          </w:p>
        </w:tc>
        <w:tc>
          <w:tcPr>
            <w:tcW w:w="2551" w:type="dxa"/>
          </w:tcPr>
          <w:p w14:paraId="7B39304E" w14:textId="7F93E6AA" w:rsidR="00575C4D" w:rsidRPr="00A60C31" w:rsidRDefault="00575C4D" w:rsidP="00A60C31">
            <w:pPr>
              <w:pStyle w:val="ARTabletextlessleading"/>
            </w:pPr>
            <w:r w:rsidRPr="00A60C31">
              <w:t>To document the progress of this program versus the Memorandum of Understanding between the Department of Energy, Environment and Climate Action (DECCA) and Homes Victoria and inform future similar programs </w:t>
            </w:r>
          </w:p>
        </w:tc>
        <w:tc>
          <w:tcPr>
            <w:tcW w:w="2552" w:type="dxa"/>
          </w:tcPr>
          <w:p w14:paraId="5BFF1A78" w14:textId="68051299" w:rsidR="00575C4D" w:rsidRPr="00A60C31" w:rsidRDefault="00575C4D" w:rsidP="00A60C31">
            <w:pPr>
              <w:pStyle w:val="ARTabletextlessleading"/>
            </w:pPr>
            <w:r w:rsidRPr="00A60C31">
              <w:t>To conduct an external/independent evaluation of the Energy Efficiency Upgrade in Social Housing Program against the Memorandum of Understanding between the department and DEECA (metrics therein) </w:t>
            </w:r>
          </w:p>
        </w:tc>
        <w:tc>
          <w:tcPr>
            <w:tcW w:w="2694" w:type="dxa"/>
          </w:tcPr>
          <w:p w14:paraId="64A74A6E" w14:textId="025D0F0E" w:rsidR="00575C4D" w:rsidRPr="00A60C31" w:rsidRDefault="00575C4D" w:rsidP="00A60C31">
            <w:pPr>
              <w:pStyle w:val="ARTabletextlessleading"/>
            </w:pPr>
            <w:r w:rsidRPr="00A60C31">
              <w:t>More informed design and</w:t>
            </w:r>
            <w:r w:rsidR="000D3F61" w:rsidRPr="00A60C31">
              <w:t> </w:t>
            </w:r>
            <w:r w:rsidRPr="00A60C31">
              <w:t>delivery of future similar</w:t>
            </w:r>
            <w:r w:rsidR="000D3F61" w:rsidRPr="00A60C31">
              <w:t> </w:t>
            </w:r>
            <w:r w:rsidRPr="00A60C31">
              <w:t>program(s) </w:t>
            </w:r>
          </w:p>
        </w:tc>
        <w:tc>
          <w:tcPr>
            <w:tcW w:w="1275" w:type="dxa"/>
          </w:tcPr>
          <w:p w14:paraId="00DF39D4" w14:textId="2244075F" w:rsidR="00575C4D" w:rsidRPr="0052342F" w:rsidRDefault="00575C4D" w:rsidP="0052342F">
            <w:pPr>
              <w:pStyle w:val="ARtabletextright"/>
            </w:pPr>
            <w:r w:rsidRPr="0052342F">
              <w:t>249</w:t>
            </w:r>
          </w:p>
        </w:tc>
        <w:tc>
          <w:tcPr>
            <w:tcW w:w="1404" w:type="dxa"/>
          </w:tcPr>
          <w:p w14:paraId="0EBA21A8" w14:textId="26DB7A17" w:rsidR="00575C4D" w:rsidRPr="0052342F" w:rsidRDefault="00575C4D" w:rsidP="0052342F">
            <w:pPr>
              <w:pStyle w:val="ARtabletextright"/>
            </w:pPr>
            <w:r w:rsidRPr="0052342F">
              <w:t>N/A </w:t>
            </w:r>
          </w:p>
        </w:tc>
        <w:tc>
          <w:tcPr>
            <w:tcW w:w="2125" w:type="dxa"/>
          </w:tcPr>
          <w:p w14:paraId="15A9E0E2" w14:textId="4CE78F22" w:rsidR="00575C4D" w:rsidRPr="0052342F" w:rsidRDefault="00575C4D" w:rsidP="0052342F">
            <w:pPr>
              <w:pStyle w:val="ARtabletextright"/>
            </w:pPr>
            <w:r w:rsidRPr="0052342F">
              <w:t>N </w:t>
            </w:r>
          </w:p>
        </w:tc>
      </w:tr>
      <w:tr w:rsidR="001625B9" w14:paraId="0628438A" w14:textId="77777777" w:rsidTr="006F7262">
        <w:tc>
          <w:tcPr>
            <w:tcW w:w="2263" w:type="dxa"/>
          </w:tcPr>
          <w:p w14:paraId="74BBBD6C" w14:textId="6CAD3827" w:rsidR="007C7132" w:rsidRPr="0052342F" w:rsidRDefault="007C7132" w:rsidP="0052342F">
            <w:pPr>
              <w:pStyle w:val="ARtabletext"/>
            </w:pPr>
            <w:r w:rsidRPr="0052342F">
              <w:t xml:space="preserve">Strategic scoping study for rooming houses </w:t>
            </w:r>
            <w:r w:rsidR="006E2F2E" w:rsidRPr="0052342F">
              <w:t>–</w:t>
            </w:r>
            <w:r w:rsidRPr="0052342F">
              <w:t xml:space="preserve"> SVA consulting (HiiP Purchase</w:t>
            </w:r>
            <w:r w:rsidR="0052342F">
              <w:t> </w:t>
            </w:r>
            <w:r w:rsidRPr="0052342F">
              <w:t>Order) </w:t>
            </w:r>
          </w:p>
        </w:tc>
        <w:tc>
          <w:tcPr>
            <w:tcW w:w="2551" w:type="dxa"/>
          </w:tcPr>
          <w:p w14:paraId="615EC3C1" w14:textId="450C9177" w:rsidR="007C7132" w:rsidRPr="00A60C31" w:rsidRDefault="007C7132" w:rsidP="00A60C31">
            <w:pPr>
              <w:pStyle w:val="ARTabletextlessleading"/>
            </w:pPr>
            <w:r w:rsidRPr="00A60C31">
              <w:t>To understand and identify key challenges, opportunities and potential pathways for the portfolio to inform the development of a new reform</w:t>
            </w:r>
            <w:r w:rsidR="0052342F" w:rsidRPr="00A60C31">
              <w:t> </w:t>
            </w:r>
            <w:r w:rsidRPr="00A60C31">
              <w:t>strategy</w:t>
            </w:r>
            <w:r w:rsidR="00E360C4" w:rsidRPr="00A60C31">
              <w:t xml:space="preserve"> </w:t>
            </w:r>
          </w:p>
        </w:tc>
        <w:tc>
          <w:tcPr>
            <w:tcW w:w="2552" w:type="dxa"/>
          </w:tcPr>
          <w:p w14:paraId="0B88B622" w14:textId="757006A5" w:rsidR="007C7132" w:rsidRPr="00A60C31" w:rsidRDefault="007C7132" w:rsidP="00A60C31">
            <w:pPr>
              <w:pStyle w:val="ARTabletextlessleading"/>
            </w:pPr>
            <w:r w:rsidRPr="00A60C31">
              <w:t>Build internal understandings and alignment on the current issues across the portfolio; define exemplar models; and define internal perspectives on the future options</w:t>
            </w:r>
            <w:r w:rsidR="00E360C4" w:rsidRPr="00A60C31">
              <w:t xml:space="preserve"> </w:t>
            </w:r>
          </w:p>
        </w:tc>
        <w:tc>
          <w:tcPr>
            <w:tcW w:w="2694" w:type="dxa"/>
          </w:tcPr>
          <w:p w14:paraId="16BFE2DD" w14:textId="674E9ACD" w:rsidR="007C7132" w:rsidRPr="00A60C31" w:rsidRDefault="007C7132" w:rsidP="00A60C31">
            <w:pPr>
              <w:pStyle w:val="ARTabletextlessleading"/>
            </w:pPr>
            <w:r w:rsidRPr="00A60C31">
              <w:t>Identify the emerging perspectives on potential pathways for Homes Victoria to</w:t>
            </w:r>
            <w:r w:rsidR="00A60C31">
              <w:t> </w:t>
            </w:r>
            <w:r w:rsidRPr="00A60C31">
              <w:t>address the current issues and/or leverage emerging opportunities with the rooming house portfolio, including via an asset strategy and coordinated policy position and response</w:t>
            </w:r>
            <w:r w:rsidR="00E360C4" w:rsidRPr="00A60C31">
              <w:t xml:space="preserve"> </w:t>
            </w:r>
          </w:p>
        </w:tc>
        <w:tc>
          <w:tcPr>
            <w:tcW w:w="1275" w:type="dxa"/>
          </w:tcPr>
          <w:p w14:paraId="5A6EE7B7" w14:textId="49F9B838" w:rsidR="007C7132" w:rsidRPr="0052342F" w:rsidRDefault="007C7132" w:rsidP="0052342F">
            <w:pPr>
              <w:pStyle w:val="ARfintablebodyright"/>
            </w:pPr>
            <w:r w:rsidRPr="0052342F">
              <w:t>50</w:t>
            </w:r>
          </w:p>
        </w:tc>
        <w:tc>
          <w:tcPr>
            <w:tcW w:w="1404" w:type="dxa"/>
          </w:tcPr>
          <w:p w14:paraId="6BBC307E" w14:textId="0C1D1A02" w:rsidR="007C7132" w:rsidRPr="0052342F" w:rsidRDefault="007C7132" w:rsidP="0052342F">
            <w:pPr>
              <w:pStyle w:val="ARfintablebodyright"/>
            </w:pPr>
            <w:r w:rsidRPr="0052342F">
              <w:t>45</w:t>
            </w:r>
          </w:p>
        </w:tc>
        <w:tc>
          <w:tcPr>
            <w:tcW w:w="2125" w:type="dxa"/>
          </w:tcPr>
          <w:p w14:paraId="2D9D49E3" w14:textId="10C11B9E" w:rsidR="007C7132" w:rsidRPr="0052342F" w:rsidRDefault="007C7132" w:rsidP="0052342F">
            <w:pPr>
              <w:pStyle w:val="ARfintablebodyright"/>
            </w:pPr>
            <w:r w:rsidRPr="0052342F">
              <w:t>N</w:t>
            </w:r>
          </w:p>
        </w:tc>
      </w:tr>
      <w:tr w:rsidR="001625B9" w14:paraId="5D53E1A8" w14:textId="77777777" w:rsidTr="006F7262">
        <w:tc>
          <w:tcPr>
            <w:tcW w:w="2263" w:type="dxa"/>
          </w:tcPr>
          <w:p w14:paraId="74F7AE80" w14:textId="23A28EED" w:rsidR="007C7132" w:rsidRPr="0052342F" w:rsidRDefault="007C7132" w:rsidP="0052342F">
            <w:pPr>
              <w:pStyle w:val="ARtabletext"/>
            </w:pPr>
            <w:r w:rsidRPr="0052342F">
              <w:t>Performance Standards for Public Housing Asset Standards and Condition Framework for Public</w:t>
            </w:r>
            <w:r w:rsidR="0052342F">
              <w:t> </w:t>
            </w:r>
            <w:r w:rsidRPr="0052342F">
              <w:t>Housing</w:t>
            </w:r>
          </w:p>
        </w:tc>
        <w:tc>
          <w:tcPr>
            <w:tcW w:w="2551" w:type="dxa"/>
          </w:tcPr>
          <w:p w14:paraId="5CEE6527" w14:textId="3428E720" w:rsidR="007C7132" w:rsidRPr="00A60C31" w:rsidRDefault="007C7132" w:rsidP="00A60C31">
            <w:pPr>
              <w:pStyle w:val="ARTabletextlessleading"/>
            </w:pPr>
            <w:r w:rsidRPr="00A60C31">
              <w:t>Develop a tool to improve understanding around economic impacts and identify risks uplifting housing stock to better performance standards over the minimum level required under the Residential Tenancies Act. Inform various scenarios applied to the portfolio, inform overall capital costs applied over different scenarios and asset classes</w:t>
            </w:r>
            <w:r w:rsidR="00E360C4" w:rsidRPr="00A60C31">
              <w:t xml:space="preserve"> </w:t>
            </w:r>
          </w:p>
        </w:tc>
        <w:tc>
          <w:tcPr>
            <w:tcW w:w="2552" w:type="dxa"/>
          </w:tcPr>
          <w:p w14:paraId="40AB5E5D" w14:textId="21EC89F4" w:rsidR="007C7132" w:rsidRPr="00A60C31" w:rsidRDefault="007C7132" w:rsidP="00A60C31">
            <w:pPr>
              <w:pStyle w:val="ARTabletextlessleading"/>
            </w:pPr>
            <w:r w:rsidRPr="00A60C31">
              <w:t>Support in developing asset condition framework, improve understanding the high-level economic understanding, enable various scenario model</w:t>
            </w:r>
            <w:r w:rsidR="00A57CEA">
              <w:t>l</w:t>
            </w:r>
            <w:r w:rsidRPr="00A60C31">
              <w:t>ing to be applied across</w:t>
            </w:r>
            <w:r w:rsidR="00B915B7">
              <w:t> </w:t>
            </w:r>
            <w:r w:rsidRPr="00A60C31">
              <w:t>a broad class of</w:t>
            </w:r>
            <w:r w:rsidR="00B915B7">
              <w:t> </w:t>
            </w:r>
            <w:r w:rsidRPr="00A60C31">
              <w:t>asset</w:t>
            </w:r>
            <w:r w:rsidR="00B915B7">
              <w:t> </w:t>
            </w:r>
            <w:r w:rsidRPr="00A60C31">
              <w:t>classes</w:t>
            </w:r>
            <w:r w:rsidR="00E360C4" w:rsidRPr="00A60C31">
              <w:t xml:space="preserve"> </w:t>
            </w:r>
          </w:p>
        </w:tc>
        <w:tc>
          <w:tcPr>
            <w:tcW w:w="2694" w:type="dxa"/>
          </w:tcPr>
          <w:p w14:paraId="094FDD6C" w14:textId="2BE2DCBD" w:rsidR="007C7132" w:rsidRPr="00A60C31" w:rsidRDefault="007C7132" w:rsidP="00A60C31">
            <w:pPr>
              <w:pStyle w:val="ARTabletextlessleading"/>
            </w:pPr>
            <w:r w:rsidRPr="00A60C31">
              <w:t>Produce financial scenario mode</w:t>
            </w:r>
            <w:r w:rsidR="00A57CEA">
              <w:t>l</w:t>
            </w:r>
            <w:r w:rsidRPr="00A60C31">
              <w:t>ling tool providing improved understanding, apply different financial assessment models to inform treatment of capital risks over the housing portfolio.  This will support further development of overall strategic asset management framework and assist development of cashflows required across the portfolio</w:t>
            </w:r>
          </w:p>
        </w:tc>
        <w:tc>
          <w:tcPr>
            <w:tcW w:w="1275" w:type="dxa"/>
          </w:tcPr>
          <w:p w14:paraId="57EE1E39" w14:textId="4157C71F" w:rsidR="007C7132" w:rsidRPr="0052342F" w:rsidRDefault="007C7132" w:rsidP="0052342F">
            <w:pPr>
              <w:pStyle w:val="ARfintablebodyright"/>
            </w:pPr>
            <w:r w:rsidRPr="0052342F">
              <w:t>337</w:t>
            </w:r>
          </w:p>
        </w:tc>
        <w:tc>
          <w:tcPr>
            <w:tcW w:w="1404" w:type="dxa"/>
          </w:tcPr>
          <w:p w14:paraId="650A4E11" w14:textId="5F7EC827" w:rsidR="007C7132" w:rsidRPr="0052342F" w:rsidRDefault="007C7132" w:rsidP="0052342F">
            <w:pPr>
              <w:pStyle w:val="ARfintablebodyright"/>
            </w:pPr>
            <w:r w:rsidRPr="0052342F">
              <w:t>337</w:t>
            </w:r>
          </w:p>
        </w:tc>
        <w:tc>
          <w:tcPr>
            <w:tcW w:w="2125" w:type="dxa"/>
          </w:tcPr>
          <w:p w14:paraId="5761C874" w14:textId="2C2BEBC0" w:rsidR="007C7132" w:rsidRPr="0052342F" w:rsidRDefault="007C7132" w:rsidP="0052342F">
            <w:pPr>
              <w:pStyle w:val="ARfintablebodyright"/>
            </w:pPr>
            <w:r w:rsidRPr="0052342F">
              <w:t>N</w:t>
            </w:r>
          </w:p>
        </w:tc>
      </w:tr>
      <w:tr w:rsidR="001625B9" w14:paraId="7B0B026E" w14:textId="77777777" w:rsidTr="006F7262">
        <w:tc>
          <w:tcPr>
            <w:tcW w:w="2263" w:type="dxa"/>
          </w:tcPr>
          <w:p w14:paraId="33913FC4" w14:textId="3DA1FA17" w:rsidR="008D0B62" w:rsidRPr="0052342F" w:rsidRDefault="008D0B62" w:rsidP="0052342F">
            <w:pPr>
              <w:pStyle w:val="ARtabletext"/>
            </w:pPr>
            <w:r w:rsidRPr="0052342F">
              <w:t>Independent review of Property Maintenance Service Contracts (PMSC) </w:t>
            </w:r>
          </w:p>
        </w:tc>
        <w:tc>
          <w:tcPr>
            <w:tcW w:w="2551" w:type="dxa"/>
          </w:tcPr>
          <w:p w14:paraId="66481A8B" w14:textId="6A995FF0" w:rsidR="008D0B62" w:rsidRPr="00A60C31" w:rsidRDefault="008D0B62" w:rsidP="00A60C31">
            <w:pPr>
              <w:pStyle w:val="ARTabletextlessleading"/>
            </w:pPr>
            <w:r w:rsidRPr="00A60C31">
              <w:t>To focus on identifying areas for improvement such as contract arrangements, including inconsistent service standards across regions, challenges in cost transparency due to bundled pricing, reactive service delivery, low renter satisfaction, and perceived</w:t>
            </w:r>
            <w:r w:rsidR="00B915B7">
              <w:t> </w:t>
            </w:r>
            <w:r w:rsidRPr="00A60C31">
              <w:t>inefficiencies </w:t>
            </w:r>
          </w:p>
        </w:tc>
        <w:tc>
          <w:tcPr>
            <w:tcW w:w="2552" w:type="dxa"/>
          </w:tcPr>
          <w:p w14:paraId="5C3AC7FF" w14:textId="05929A26" w:rsidR="008D0B62" w:rsidRPr="00A60C31" w:rsidRDefault="008D0B62" w:rsidP="00A60C31">
            <w:pPr>
              <w:pStyle w:val="ARTabletextlessleading"/>
            </w:pPr>
            <w:r w:rsidRPr="00A60C31">
              <w:t>The review identified essential</w:t>
            </w:r>
            <w:r w:rsidR="0052342F" w:rsidRPr="00A60C31">
              <w:t> </w:t>
            </w:r>
            <w:r w:rsidRPr="00A60C31">
              <w:t>minimum service</w:t>
            </w:r>
            <w:r w:rsidR="0052342F" w:rsidRPr="00A60C31">
              <w:t> </w:t>
            </w:r>
            <w:r w:rsidRPr="00A60C31">
              <w:t>requirements</w:t>
            </w:r>
            <w:r w:rsidR="00F874B3" w:rsidRPr="00A60C31">
              <w:t>:</w:t>
            </w:r>
            <w:r w:rsidRPr="00A60C31">
              <w:t> </w:t>
            </w:r>
          </w:p>
          <w:p w14:paraId="56176E6E" w14:textId="75E2FD06" w:rsidR="008D0B62" w:rsidRPr="00A60C31" w:rsidRDefault="00A57CEA" w:rsidP="00C82D35">
            <w:pPr>
              <w:pStyle w:val="ARtablebullet1"/>
              <w:spacing w:line="180" w:lineRule="exact"/>
            </w:pPr>
            <w:r>
              <w:t>t</w:t>
            </w:r>
            <w:r w:rsidRPr="00A60C31">
              <w:t xml:space="preserve">ransparent </w:t>
            </w:r>
            <w:r w:rsidR="008D0B62" w:rsidRPr="00A60C31">
              <w:t>processes </w:t>
            </w:r>
          </w:p>
          <w:p w14:paraId="5BF46845" w14:textId="50378B01" w:rsidR="008D0B62" w:rsidRPr="00A60C31" w:rsidRDefault="008D0B62" w:rsidP="00C82D35">
            <w:pPr>
              <w:pStyle w:val="ARtablebullet1"/>
              <w:spacing w:line="180" w:lineRule="exact"/>
            </w:pPr>
            <w:r w:rsidRPr="00A60C31">
              <w:t xml:space="preserve">SLA </w:t>
            </w:r>
            <w:r w:rsidR="00A57CEA">
              <w:t>r</w:t>
            </w:r>
            <w:r w:rsidR="00A57CEA" w:rsidRPr="00A60C31">
              <w:t xml:space="preserve">esponse </w:t>
            </w:r>
            <w:r w:rsidR="00A57CEA">
              <w:t>m</w:t>
            </w:r>
            <w:r w:rsidR="00A57CEA" w:rsidRPr="00A60C31">
              <w:t>anagement </w:t>
            </w:r>
          </w:p>
          <w:p w14:paraId="4A511800" w14:textId="5297515C" w:rsidR="008D0B62" w:rsidRPr="00A60C31" w:rsidRDefault="00A57CEA" w:rsidP="00C82D35">
            <w:pPr>
              <w:pStyle w:val="ARtablebullet1"/>
              <w:spacing w:line="180" w:lineRule="exact"/>
            </w:pPr>
            <w:r>
              <w:t>f</w:t>
            </w:r>
            <w:r w:rsidRPr="00A60C31">
              <w:t>ollow</w:t>
            </w:r>
            <w:r>
              <w:t>-</w:t>
            </w:r>
            <w:r w:rsidR="008D0B62" w:rsidRPr="00A60C31">
              <w:t xml:space="preserve">up and </w:t>
            </w:r>
            <w:r>
              <w:t>f</w:t>
            </w:r>
            <w:r w:rsidRPr="00A60C31">
              <w:t xml:space="preserve">eedback </w:t>
            </w:r>
            <w:r>
              <w:t>m</w:t>
            </w:r>
            <w:r w:rsidRPr="00A60C31">
              <w:t>echanisms </w:t>
            </w:r>
          </w:p>
          <w:p w14:paraId="24129849" w14:textId="24F593D3" w:rsidR="008D0B62" w:rsidRPr="00A60C31" w:rsidRDefault="00A57CEA" w:rsidP="00C82D35">
            <w:pPr>
              <w:pStyle w:val="ARtablebullet1"/>
              <w:spacing w:line="180" w:lineRule="exact"/>
            </w:pPr>
            <w:r>
              <w:t>p</w:t>
            </w:r>
            <w:r w:rsidRPr="00A60C31">
              <w:t xml:space="preserve">roactive </w:t>
            </w:r>
            <w:r>
              <w:t>m</w:t>
            </w:r>
            <w:r w:rsidRPr="00A60C31">
              <w:t xml:space="preserve">aintenance </w:t>
            </w:r>
            <w:r>
              <w:t>i</w:t>
            </w:r>
            <w:r w:rsidRPr="00A60C31">
              <w:t>nitiatives </w:t>
            </w:r>
          </w:p>
          <w:p w14:paraId="772F2640" w14:textId="28157F34" w:rsidR="008D0B62" w:rsidRPr="00A60C31" w:rsidRDefault="00A57CEA" w:rsidP="00C82D35">
            <w:pPr>
              <w:pStyle w:val="ARtablebullet1"/>
              <w:spacing w:line="180" w:lineRule="exact"/>
            </w:pPr>
            <w:r>
              <w:t>c</w:t>
            </w:r>
            <w:r w:rsidRPr="00A60C31">
              <w:t xml:space="preserve">ontinuous </w:t>
            </w:r>
            <w:r>
              <w:t>i</w:t>
            </w:r>
            <w:r w:rsidRPr="00A60C31">
              <w:t>mprovement </w:t>
            </w:r>
          </w:p>
        </w:tc>
        <w:tc>
          <w:tcPr>
            <w:tcW w:w="2694" w:type="dxa"/>
          </w:tcPr>
          <w:p w14:paraId="66DB6AB2" w14:textId="49F236A5" w:rsidR="008D0B62" w:rsidRPr="00A60C31" w:rsidRDefault="008D0B62" w:rsidP="00A60C31">
            <w:pPr>
              <w:pStyle w:val="ARTabletextlessleading"/>
            </w:pPr>
            <w:r w:rsidRPr="00A60C31">
              <w:t xml:space="preserve">Proposed future maintenance contracting model, additional </w:t>
            </w:r>
            <w:r w:rsidR="00A57CEA">
              <w:t>k</w:t>
            </w:r>
            <w:r w:rsidR="00A57CEA" w:rsidRPr="00A60C31">
              <w:t xml:space="preserve">ey </w:t>
            </w:r>
            <w:r w:rsidR="00A57CEA">
              <w:t>p</w:t>
            </w:r>
            <w:r w:rsidR="00A57CEA" w:rsidRPr="00A60C31">
              <w:t xml:space="preserve">erformance </w:t>
            </w:r>
            <w:r w:rsidR="00A57CEA">
              <w:t>i</w:t>
            </w:r>
            <w:r w:rsidR="00A57CEA" w:rsidRPr="00A60C31">
              <w:t>ndicators</w:t>
            </w:r>
            <w:r w:rsidRPr="00A60C31">
              <w:t xml:space="preserve"> and outlines procurement and contract transition</w:t>
            </w:r>
            <w:r w:rsidR="000D3F61" w:rsidRPr="00A60C31">
              <w:t> </w:t>
            </w:r>
            <w:r w:rsidRPr="00A60C31">
              <w:t>timelines</w:t>
            </w:r>
          </w:p>
        </w:tc>
        <w:tc>
          <w:tcPr>
            <w:tcW w:w="1275" w:type="dxa"/>
          </w:tcPr>
          <w:p w14:paraId="0A991BD7" w14:textId="7051FE4F" w:rsidR="008D0B62" w:rsidRPr="0052342F" w:rsidRDefault="008D0B62" w:rsidP="0052342F">
            <w:pPr>
              <w:pStyle w:val="ARfintablebodyright"/>
            </w:pPr>
            <w:r w:rsidRPr="0052342F">
              <w:t>11</w:t>
            </w:r>
          </w:p>
        </w:tc>
        <w:tc>
          <w:tcPr>
            <w:tcW w:w="1404" w:type="dxa"/>
          </w:tcPr>
          <w:p w14:paraId="2ECDAD2C" w14:textId="149619E8" w:rsidR="008D0B62" w:rsidRPr="0052342F" w:rsidRDefault="008D0B62" w:rsidP="0052342F">
            <w:pPr>
              <w:pStyle w:val="ARfintablebodyright"/>
            </w:pPr>
            <w:r w:rsidRPr="0052342F">
              <w:t>11</w:t>
            </w:r>
          </w:p>
        </w:tc>
        <w:tc>
          <w:tcPr>
            <w:tcW w:w="2125" w:type="dxa"/>
          </w:tcPr>
          <w:p w14:paraId="23792EF4" w14:textId="2BFFFBD1" w:rsidR="008D0B62" w:rsidRPr="0052342F" w:rsidRDefault="008D0B62" w:rsidP="0052342F">
            <w:pPr>
              <w:pStyle w:val="ARfintablebodyright"/>
            </w:pPr>
            <w:r w:rsidRPr="0052342F">
              <w:t>N</w:t>
            </w:r>
          </w:p>
        </w:tc>
      </w:tr>
      <w:tr w:rsidR="001625B9" w14:paraId="06D46FEE" w14:textId="77777777" w:rsidTr="006F7262">
        <w:tc>
          <w:tcPr>
            <w:tcW w:w="2263" w:type="dxa"/>
          </w:tcPr>
          <w:p w14:paraId="6B7271CD" w14:textId="2B631D7E" w:rsidR="008D0B62" w:rsidRPr="0052342F" w:rsidRDefault="008D0B62" w:rsidP="0052342F">
            <w:pPr>
              <w:pStyle w:val="ARtabletext"/>
            </w:pPr>
            <w:r w:rsidRPr="0052342F">
              <w:t>Complaints and Feedback System Review</w:t>
            </w:r>
          </w:p>
        </w:tc>
        <w:tc>
          <w:tcPr>
            <w:tcW w:w="2551" w:type="dxa"/>
          </w:tcPr>
          <w:p w14:paraId="2084AB61" w14:textId="6C273A66" w:rsidR="008D0B62" w:rsidRPr="00A60C31" w:rsidRDefault="008D0B62" w:rsidP="00A60C31">
            <w:pPr>
              <w:pStyle w:val="ARTabletextlessleading"/>
            </w:pPr>
            <w:r w:rsidRPr="00A60C31">
              <w:t>The department</w:t>
            </w:r>
            <w:r w:rsidR="00711AE6">
              <w:t>’</w:t>
            </w:r>
            <w:r w:rsidRPr="00A60C31">
              <w:t>s complaints and feedback model had not been formally reviewed since 2016</w:t>
            </w:r>
            <w:r w:rsidR="006E2F2E" w:rsidRPr="00A60C31">
              <w:t>–</w:t>
            </w:r>
            <w:r w:rsidRPr="00A60C31">
              <w:t>17. Since this time</w:t>
            </w:r>
            <w:r w:rsidR="00A57CEA">
              <w:t>,</w:t>
            </w:r>
            <w:r w:rsidRPr="00A60C31">
              <w:t xml:space="preserve"> there have been organisational changes and an increasing focus on the value of client</w:t>
            </w:r>
            <w:r w:rsidR="0052342F" w:rsidRPr="00A60C31">
              <w:t> </w:t>
            </w:r>
            <w:r w:rsidRPr="00A60C31">
              <w:t>voice</w:t>
            </w:r>
          </w:p>
        </w:tc>
        <w:tc>
          <w:tcPr>
            <w:tcW w:w="2552" w:type="dxa"/>
          </w:tcPr>
          <w:p w14:paraId="1CAF5CEA" w14:textId="37F83F76" w:rsidR="008D0B62" w:rsidRPr="00A60C31" w:rsidRDefault="008D0B62" w:rsidP="00A60C31">
            <w:pPr>
              <w:pStyle w:val="ARTabletextlessleading"/>
            </w:pPr>
            <w:r w:rsidRPr="00A60C31">
              <w:t>To review the department</w:t>
            </w:r>
            <w:r w:rsidR="00711AE6">
              <w:t>’</w:t>
            </w:r>
            <w:r w:rsidRPr="00A60C31">
              <w:t>s complaints and feedback model against leading practice and make recommendations in relevant reviews and standards</w:t>
            </w:r>
          </w:p>
        </w:tc>
        <w:tc>
          <w:tcPr>
            <w:tcW w:w="2694" w:type="dxa"/>
          </w:tcPr>
          <w:p w14:paraId="0E8C4B16" w14:textId="49A754A1" w:rsidR="008D0B62" w:rsidRPr="00A60C31" w:rsidRDefault="008D0B62" w:rsidP="00A60C31">
            <w:pPr>
              <w:pStyle w:val="ARTabletextlessleading"/>
            </w:pPr>
            <w:r w:rsidRPr="00A60C31">
              <w:t>An enhancement plan for department</w:t>
            </w:r>
            <w:r w:rsidR="00711AE6">
              <w:t>’</w:t>
            </w:r>
            <w:r w:rsidRPr="00A60C31">
              <w:t xml:space="preserve">s complaints model and system, delivering improvements across system intelligence, people and capability, client experience </w:t>
            </w:r>
          </w:p>
        </w:tc>
        <w:tc>
          <w:tcPr>
            <w:tcW w:w="1275" w:type="dxa"/>
          </w:tcPr>
          <w:p w14:paraId="372948CF" w14:textId="4B22C788" w:rsidR="008D0B62" w:rsidRPr="0052342F" w:rsidRDefault="008D0B62" w:rsidP="0052342F">
            <w:pPr>
              <w:pStyle w:val="ARtabletextright"/>
            </w:pPr>
            <w:r w:rsidRPr="0052342F">
              <w:t>204</w:t>
            </w:r>
          </w:p>
        </w:tc>
        <w:tc>
          <w:tcPr>
            <w:tcW w:w="1404" w:type="dxa"/>
          </w:tcPr>
          <w:p w14:paraId="45DB016B" w14:textId="104D9097" w:rsidR="008D0B62" w:rsidRPr="0052342F" w:rsidRDefault="008D0B62" w:rsidP="0052342F">
            <w:pPr>
              <w:pStyle w:val="ARtabletextright"/>
            </w:pPr>
            <w:r w:rsidRPr="0052342F">
              <w:t>309</w:t>
            </w:r>
          </w:p>
        </w:tc>
        <w:tc>
          <w:tcPr>
            <w:tcW w:w="2125" w:type="dxa"/>
          </w:tcPr>
          <w:p w14:paraId="7DD24600" w14:textId="0AB09EB7" w:rsidR="008D0B62" w:rsidRPr="0052342F" w:rsidRDefault="008D0B62" w:rsidP="0052342F">
            <w:pPr>
              <w:pStyle w:val="ARtabletextright"/>
            </w:pPr>
            <w:r w:rsidRPr="0052342F">
              <w:t>N</w:t>
            </w:r>
          </w:p>
        </w:tc>
      </w:tr>
      <w:tr w:rsidR="001625B9" w14:paraId="78D27113" w14:textId="77777777" w:rsidTr="006F7262">
        <w:tc>
          <w:tcPr>
            <w:tcW w:w="2263" w:type="dxa"/>
          </w:tcPr>
          <w:p w14:paraId="592BF253" w14:textId="6E369885" w:rsidR="008D0B62" w:rsidRPr="0052342F" w:rsidRDefault="008D0B62" w:rsidP="0052342F">
            <w:pPr>
              <w:pStyle w:val="ARtabletext"/>
            </w:pPr>
            <w:r w:rsidRPr="0052342F">
              <w:t xml:space="preserve">Final Evaluation (Effectiveness </w:t>
            </w:r>
            <w:r w:rsidR="00A57CEA">
              <w:t>and</w:t>
            </w:r>
            <w:r w:rsidR="00A57CEA" w:rsidRPr="0052342F">
              <w:t xml:space="preserve"> </w:t>
            </w:r>
            <w:r w:rsidRPr="0052342F">
              <w:t>Sustainability): Aboriginal Workforce Fund (ASDO)</w:t>
            </w:r>
          </w:p>
        </w:tc>
        <w:tc>
          <w:tcPr>
            <w:tcW w:w="2551" w:type="dxa"/>
          </w:tcPr>
          <w:p w14:paraId="05FC2E9A" w14:textId="7D2058A9" w:rsidR="008D0B62" w:rsidRPr="00A60C31" w:rsidRDefault="008D0B62" w:rsidP="00A60C31">
            <w:pPr>
              <w:pStyle w:val="ARTabletextlessleading"/>
            </w:pPr>
            <w:r w:rsidRPr="00A60C31">
              <w:t xml:space="preserve">An independent, Aboriginal-led review of the </w:t>
            </w:r>
            <w:r w:rsidR="00A57CEA">
              <w:t>department</w:t>
            </w:r>
            <w:r w:rsidR="00711AE6">
              <w:t>’</w:t>
            </w:r>
            <w:r w:rsidR="00A57CEA">
              <w:t xml:space="preserve">s </w:t>
            </w:r>
            <w:r w:rsidRPr="00A60C31">
              <w:t>Aboriginal Workforce Fund. Following on from the midterm process evaluation, the final evaluation was to understand the effectiveness and sustainability of the AWF</w:t>
            </w:r>
          </w:p>
        </w:tc>
        <w:tc>
          <w:tcPr>
            <w:tcW w:w="2552" w:type="dxa"/>
          </w:tcPr>
          <w:p w14:paraId="36947242" w14:textId="34C97F94" w:rsidR="008D0B62" w:rsidRPr="00A60C31" w:rsidRDefault="008D0B62" w:rsidP="00A60C31">
            <w:pPr>
              <w:pStyle w:val="ARTabletextlessleading"/>
            </w:pPr>
            <w:r w:rsidRPr="00A60C31">
              <w:t>Evaluation of what workforce development outcomes have been achieved by Aboriginal organisations, and how the AWF has enabled and supported the sector and the Aboriginal workforce</w:t>
            </w:r>
          </w:p>
        </w:tc>
        <w:tc>
          <w:tcPr>
            <w:tcW w:w="2694" w:type="dxa"/>
          </w:tcPr>
          <w:p w14:paraId="77F01D2C" w14:textId="5CF63FAF" w:rsidR="008D0B62" w:rsidRPr="00A60C31" w:rsidRDefault="008D0B62" w:rsidP="00A60C31">
            <w:pPr>
              <w:pStyle w:val="ARTabletextlessleading"/>
            </w:pPr>
            <w:r w:rsidRPr="00A60C31">
              <w:t>Understand the effectiveness and sustainability of the AW</w:t>
            </w:r>
          </w:p>
        </w:tc>
        <w:tc>
          <w:tcPr>
            <w:tcW w:w="1275" w:type="dxa"/>
          </w:tcPr>
          <w:p w14:paraId="519C20F6" w14:textId="2180950D" w:rsidR="008D0B62" w:rsidRPr="0052342F" w:rsidRDefault="008D0B62" w:rsidP="00E461BE">
            <w:pPr>
              <w:pStyle w:val="ARtabletextright"/>
            </w:pPr>
            <w:r w:rsidRPr="0052342F">
              <w:t>80</w:t>
            </w:r>
          </w:p>
        </w:tc>
        <w:tc>
          <w:tcPr>
            <w:tcW w:w="1404" w:type="dxa"/>
          </w:tcPr>
          <w:p w14:paraId="6DA9607F" w14:textId="092D61BE" w:rsidR="008D0B62" w:rsidRPr="0052342F" w:rsidRDefault="008D0B62" w:rsidP="0052342F">
            <w:pPr>
              <w:pStyle w:val="ARtabletextright"/>
            </w:pPr>
            <w:r w:rsidRPr="0052342F">
              <w:t xml:space="preserve">199 (total contract cost </w:t>
            </w:r>
            <w:r w:rsidR="00A57CEA">
              <w:t>20</w:t>
            </w:r>
            <w:r w:rsidRPr="0052342F">
              <w:t>22</w:t>
            </w:r>
            <w:r w:rsidR="00A57CEA">
              <w:t>–</w:t>
            </w:r>
            <w:r w:rsidRPr="0052342F">
              <w:t>23</w:t>
            </w:r>
            <w:r w:rsidR="00A57CEA">
              <w:t xml:space="preserve"> to 20</w:t>
            </w:r>
            <w:r w:rsidRPr="0052342F">
              <w:t>23</w:t>
            </w:r>
            <w:r w:rsidR="00A57CEA">
              <w:t>–</w:t>
            </w:r>
            <w:r w:rsidRPr="0052342F">
              <w:t>24)</w:t>
            </w:r>
          </w:p>
        </w:tc>
        <w:tc>
          <w:tcPr>
            <w:tcW w:w="2125" w:type="dxa"/>
          </w:tcPr>
          <w:p w14:paraId="15E7CDE4" w14:textId="5CE2C852" w:rsidR="008D0B62" w:rsidRPr="0052342F" w:rsidRDefault="00EE7878" w:rsidP="0052342F">
            <w:pPr>
              <w:pStyle w:val="ARtabletextright"/>
              <w:rPr>
                <w:highlight w:val="yellow"/>
              </w:rPr>
            </w:pPr>
            <w:r w:rsidRPr="0052342F">
              <w:t>N</w:t>
            </w:r>
          </w:p>
        </w:tc>
      </w:tr>
      <w:tr w:rsidR="001625B9" w14:paraId="0CC9F686" w14:textId="77777777" w:rsidTr="006F7262">
        <w:tc>
          <w:tcPr>
            <w:tcW w:w="2263" w:type="dxa"/>
          </w:tcPr>
          <w:p w14:paraId="6319C73D" w14:textId="3901D1E4" w:rsidR="00D31D9B" w:rsidRPr="0052342F" w:rsidRDefault="00D31D9B" w:rsidP="0052342F">
            <w:pPr>
              <w:pStyle w:val="ARtabletext"/>
            </w:pPr>
            <w:r w:rsidRPr="0052342F">
              <w:t>Lapsing Program evaluation of the Adolescent Family Violence in the Home (AFVITH) program, (Family Safety Victoria)</w:t>
            </w:r>
          </w:p>
        </w:tc>
        <w:tc>
          <w:tcPr>
            <w:tcW w:w="2551" w:type="dxa"/>
          </w:tcPr>
          <w:p w14:paraId="6EFD6326" w14:textId="6DF5F2D0" w:rsidR="00D31D9B" w:rsidRPr="00A60C31" w:rsidRDefault="00D31D9B" w:rsidP="00A60C31">
            <w:pPr>
              <w:pStyle w:val="ARTabletextlessleading"/>
            </w:pPr>
            <w:r w:rsidRPr="00A60C31">
              <w:t xml:space="preserve">An independent evaluation delivered by Ernst &amp; Young for the purpose of evaluating the effectiveness and outcomes of the </w:t>
            </w:r>
            <w:r w:rsidR="00C41E2B">
              <w:t>statewide</w:t>
            </w:r>
            <w:r w:rsidRPr="00A60C31">
              <w:t xml:space="preserve"> expansion of the AFVITH program and new AFVITH Model of Care.</w:t>
            </w:r>
          </w:p>
        </w:tc>
        <w:tc>
          <w:tcPr>
            <w:tcW w:w="2552" w:type="dxa"/>
          </w:tcPr>
          <w:p w14:paraId="09D1898A" w14:textId="0F711864" w:rsidR="00D31D9B" w:rsidRPr="00A60C31" w:rsidRDefault="00D31D9B" w:rsidP="00A60C31">
            <w:pPr>
              <w:pStyle w:val="ARTabletextlessleading"/>
            </w:pPr>
            <w:r w:rsidRPr="00A60C31">
              <w:t>A lapsing program evaluation of the statewide expansion of the AFVITH program and new AFVITH Model of Care. All AFVITH service providers who receive fixed-term funding to deliver AFVITH programs were in scope of this</w:t>
            </w:r>
            <w:r w:rsidR="00540848" w:rsidRPr="00A60C31">
              <w:t> </w:t>
            </w:r>
            <w:r w:rsidRPr="00A60C31">
              <w:t>evaluation.</w:t>
            </w:r>
          </w:p>
        </w:tc>
        <w:tc>
          <w:tcPr>
            <w:tcW w:w="2694" w:type="dxa"/>
          </w:tcPr>
          <w:p w14:paraId="469639CA" w14:textId="00C16D81" w:rsidR="00D31D9B" w:rsidRPr="00A60C31" w:rsidRDefault="00D31D9B" w:rsidP="00A60C31">
            <w:pPr>
              <w:pStyle w:val="ARTabletextlessleading"/>
            </w:pPr>
            <w:r w:rsidRPr="00A60C31">
              <w:t>Understanding of the effectiveness, impact and outcomes of the AFVITH program and the implementation of new AFVITH Model of Care, including the voices of young people who use violence, and their families</w:t>
            </w:r>
          </w:p>
        </w:tc>
        <w:tc>
          <w:tcPr>
            <w:tcW w:w="1275" w:type="dxa"/>
          </w:tcPr>
          <w:p w14:paraId="0C33DF3D" w14:textId="6B6A8923" w:rsidR="00D31D9B" w:rsidRPr="0052342F" w:rsidRDefault="00D31D9B" w:rsidP="0052342F">
            <w:pPr>
              <w:pStyle w:val="ARtabletextright"/>
            </w:pPr>
            <w:r w:rsidRPr="0052342F">
              <w:t>202 (</w:t>
            </w:r>
            <w:r w:rsidR="00F967CA">
              <w:t>20</w:t>
            </w:r>
            <w:r w:rsidRPr="0052342F">
              <w:t>23</w:t>
            </w:r>
            <w:r w:rsidR="00F967CA">
              <w:t>–</w:t>
            </w:r>
            <w:r w:rsidRPr="0052342F">
              <w:t>24 FY)</w:t>
            </w:r>
          </w:p>
        </w:tc>
        <w:tc>
          <w:tcPr>
            <w:tcW w:w="1404" w:type="dxa"/>
          </w:tcPr>
          <w:p w14:paraId="3D07ED5E" w14:textId="525F3345" w:rsidR="00D31D9B" w:rsidRPr="0052342F" w:rsidRDefault="00D31D9B" w:rsidP="0052342F">
            <w:pPr>
              <w:pStyle w:val="ARtabletextright"/>
            </w:pPr>
            <w:r w:rsidRPr="0052342F">
              <w:t xml:space="preserve">509 (Total contract cost </w:t>
            </w:r>
            <w:r w:rsidR="00A57CEA">
              <w:t>20</w:t>
            </w:r>
            <w:r w:rsidRPr="0052342F">
              <w:t>23</w:t>
            </w:r>
            <w:r w:rsidR="00A57CEA">
              <w:t>–</w:t>
            </w:r>
            <w:r w:rsidRPr="0052342F">
              <w:t xml:space="preserve">24 </w:t>
            </w:r>
            <w:r w:rsidR="00A57CEA">
              <w:t>and 20</w:t>
            </w:r>
            <w:r w:rsidRPr="0052342F">
              <w:t>24</w:t>
            </w:r>
            <w:r w:rsidR="00F967CA">
              <w:t>–</w:t>
            </w:r>
            <w:r w:rsidRPr="0052342F">
              <w:t>25 FY)</w:t>
            </w:r>
          </w:p>
        </w:tc>
        <w:tc>
          <w:tcPr>
            <w:tcW w:w="2125" w:type="dxa"/>
          </w:tcPr>
          <w:p w14:paraId="742A108D" w14:textId="284C239F" w:rsidR="00D31D9B" w:rsidRPr="0052342F" w:rsidRDefault="00D31D9B" w:rsidP="0052342F">
            <w:pPr>
              <w:pStyle w:val="ARtabletextright"/>
            </w:pPr>
            <w:r w:rsidRPr="0052342F">
              <w:t>N</w:t>
            </w:r>
          </w:p>
        </w:tc>
      </w:tr>
      <w:tr w:rsidR="001625B9" w14:paraId="3760A9B9" w14:textId="77777777" w:rsidTr="006F7262">
        <w:tc>
          <w:tcPr>
            <w:tcW w:w="2263" w:type="dxa"/>
          </w:tcPr>
          <w:p w14:paraId="0181F0C5" w14:textId="484751B9" w:rsidR="00D31D9B" w:rsidRPr="0052342F" w:rsidRDefault="00D31D9B" w:rsidP="0052342F">
            <w:pPr>
              <w:pStyle w:val="ARtabletext"/>
            </w:pPr>
            <w:r w:rsidRPr="0052342F">
              <w:t xml:space="preserve">SAFER Children Framework </w:t>
            </w:r>
            <w:r w:rsidR="006E2F2E" w:rsidRPr="0052342F">
              <w:t>–</w:t>
            </w:r>
            <w:r w:rsidRPr="0052342F">
              <w:t xml:space="preserve"> Literature</w:t>
            </w:r>
            <w:r w:rsidR="00540848">
              <w:t> </w:t>
            </w:r>
            <w:r w:rsidRPr="0052342F">
              <w:t>Review</w:t>
            </w:r>
          </w:p>
        </w:tc>
        <w:tc>
          <w:tcPr>
            <w:tcW w:w="2551" w:type="dxa"/>
          </w:tcPr>
          <w:p w14:paraId="70FE70FB" w14:textId="5E5909E9" w:rsidR="00D31D9B" w:rsidRPr="00A60C31" w:rsidRDefault="00D31D9B" w:rsidP="00A60C31">
            <w:pPr>
              <w:pStyle w:val="ARTabletextlessleading"/>
            </w:pPr>
            <w:r w:rsidRPr="00A60C31">
              <w:t>Literature Review: Contemporary risk, strength and protection factors that keep Victorian children and their families safe</w:t>
            </w:r>
          </w:p>
        </w:tc>
        <w:tc>
          <w:tcPr>
            <w:tcW w:w="2552" w:type="dxa"/>
          </w:tcPr>
          <w:p w14:paraId="6C414EF5" w14:textId="62B5BA8D" w:rsidR="00D31D9B" w:rsidRPr="00A60C31" w:rsidRDefault="00D31D9B" w:rsidP="00A60C31">
            <w:pPr>
              <w:pStyle w:val="ARTabletextlessleading"/>
            </w:pPr>
            <w:r w:rsidRPr="00A60C31">
              <w:t>A literature review service with associated planning, consultation, research, and</w:t>
            </w:r>
            <w:r w:rsidR="00540848" w:rsidRPr="00A60C31">
              <w:t> </w:t>
            </w:r>
            <w:r w:rsidRPr="00A60C31">
              <w:t>publication</w:t>
            </w:r>
          </w:p>
        </w:tc>
        <w:tc>
          <w:tcPr>
            <w:tcW w:w="2694" w:type="dxa"/>
          </w:tcPr>
          <w:p w14:paraId="207F0976" w14:textId="47AABD15" w:rsidR="00D31D9B" w:rsidRPr="00A60C31" w:rsidRDefault="00D31D9B" w:rsidP="00A60C31">
            <w:pPr>
              <w:pStyle w:val="ARTabletextlessleading"/>
            </w:pPr>
            <w:r w:rsidRPr="00A60C31">
              <w:t>Findings to inform the SAFER</w:t>
            </w:r>
            <w:r w:rsidR="000D3F61" w:rsidRPr="00A60C31">
              <w:t> </w:t>
            </w:r>
            <w:r w:rsidRPr="00A60C31">
              <w:t>Framework</w:t>
            </w:r>
          </w:p>
        </w:tc>
        <w:tc>
          <w:tcPr>
            <w:tcW w:w="1275" w:type="dxa"/>
          </w:tcPr>
          <w:p w14:paraId="449AC278" w14:textId="6780E3ED" w:rsidR="00D31D9B" w:rsidRPr="0052342F" w:rsidRDefault="00D31D9B" w:rsidP="0052342F">
            <w:pPr>
              <w:pStyle w:val="ARtabletextright"/>
            </w:pPr>
            <w:r w:rsidRPr="0052342F">
              <w:t>Nil in 2023</w:t>
            </w:r>
            <w:r w:rsidR="006E2F2E" w:rsidRPr="0052342F">
              <w:t>–</w:t>
            </w:r>
            <w:r w:rsidRPr="0052342F">
              <w:t>24</w:t>
            </w:r>
          </w:p>
        </w:tc>
        <w:tc>
          <w:tcPr>
            <w:tcW w:w="1404" w:type="dxa"/>
          </w:tcPr>
          <w:p w14:paraId="00233DD4" w14:textId="555BBBCF" w:rsidR="00D31D9B" w:rsidRPr="0052342F" w:rsidRDefault="0072309A" w:rsidP="0052342F">
            <w:pPr>
              <w:pStyle w:val="ARtabletextright"/>
            </w:pPr>
            <w:r w:rsidRPr="0052342F">
              <w:t>N/A</w:t>
            </w:r>
          </w:p>
        </w:tc>
        <w:tc>
          <w:tcPr>
            <w:tcW w:w="2125" w:type="dxa"/>
          </w:tcPr>
          <w:p w14:paraId="6307A563" w14:textId="414C67D3" w:rsidR="00D31D9B" w:rsidRPr="0052342F" w:rsidRDefault="00D31D9B" w:rsidP="0052342F">
            <w:pPr>
              <w:pStyle w:val="ARtabletextright"/>
            </w:pPr>
            <w:r w:rsidRPr="0052342F">
              <w:t>N</w:t>
            </w:r>
          </w:p>
        </w:tc>
      </w:tr>
      <w:tr w:rsidR="001625B9" w14:paraId="5F101B3D" w14:textId="77777777" w:rsidTr="006F7262">
        <w:tc>
          <w:tcPr>
            <w:tcW w:w="2263" w:type="dxa"/>
          </w:tcPr>
          <w:p w14:paraId="48AD1086" w14:textId="72934A45" w:rsidR="00D31D9B" w:rsidRPr="00E04803" w:rsidRDefault="00D31D9B" w:rsidP="00AA126F">
            <w:pPr>
              <w:pStyle w:val="ARtabletext"/>
            </w:pPr>
            <w:r w:rsidRPr="00E04803">
              <w:t xml:space="preserve">SAFER Children Framework </w:t>
            </w:r>
            <w:r w:rsidR="006E2F2E">
              <w:t>–</w:t>
            </w:r>
            <w:r w:rsidRPr="00E04803">
              <w:t xml:space="preserve"> Evaluation</w:t>
            </w:r>
          </w:p>
        </w:tc>
        <w:tc>
          <w:tcPr>
            <w:tcW w:w="2551" w:type="dxa"/>
          </w:tcPr>
          <w:p w14:paraId="325FD1ED" w14:textId="185BDEC1" w:rsidR="00D31D9B" w:rsidRPr="00A60C31" w:rsidRDefault="00D31D9B" w:rsidP="00A60C31">
            <w:pPr>
              <w:pStyle w:val="ARTabletextlessleading"/>
            </w:pPr>
            <w:r w:rsidRPr="00A60C31">
              <w:t>An overarching evaluation focusing on the adoption, experience and outcomes and SAFER for children, families and the workforce</w:t>
            </w:r>
          </w:p>
        </w:tc>
        <w:tc>
          <w:tcPr>
            <w:tcW w:w="2552" w:type="dxa"/>
          </w:tcPr>
          <w:p w14:paraId="2105447F" w14:textId="177D3FF9" w:rsidR="00D31D9B" w:rsidRPr="00A60C31" w:rsidRDefault="00D31D9B" w:rsidP="00A60C31">
            <w:pPr>
              <w:pStyle w:val="ARTabletextlessleading"/>
            </w:pPr>
            <w:r w:rsidRPr="00A60C31">
              <w:t>An impact evaluation</w:t>
            </w:r>
          </w:p>
        </w:tc>
        <w:tc>
          <w:tcPr>
            <w:tcW w:w="2694" w:type="dxa"/>
          </w:tcPr>
          <w:p w14:paraId="622175FB" w14:textId="7A7F1CE4" w:rsidR="00D31D9B" w:rsidRPr="00A60C31" w:rsidRDefault="00D31D9B" w:rsidP="00A60C31">
            <w:pPr>
              <w:pStyle w:val="ARTabletextlessleading"/>
            </w:pPr>
            <w:r w:rsidRPr="00A60C31">
              <w:t>Findings to inform the SAFER</w:t>
            </w:r>
            <w:r w:rsidR="00540848" w:rsidRPr="00A60C31">
              <w:t> </w:t>
            </w:r>
            <w:r w:rsidRPr="00A60C31">
              <w:t>Framework</w:t>
            </w:r>
          </w:p>
        </w:tc>
        <w:tc>
          <w:tcPr>
            <w:tcW w:w="1275" w:type="dxa"/>
          </w:tcPr>
          <w:p w14:paraId="38B800B7" w14:textId="5398A5A2" w:rsidR="00D31D9B" w:rsidRPr="0052342F" w:rsidRDefault="00D31D9B" w:rsidP="0052342F">
            <w:pPr>
              <w:pStyle w:val="ARtabletextright"/>
            </w:pPr>
            <w:r w:rsidRPr="0052342F">
              <w:t>124</w:t>
            </w:r>
          </w:p>
        </w:tc>
        <w:tc>
          <w:tcPr>
            <w:tcW w:w="1404" w:type="dxa"/>
          </w:tcPr>
          <w:p w14:paraId="060040DB" w14:textId="51D7286B" w:rsidR="00D31D9B" w:rsidRPr="0052342F" w:rsidRDefault="006E2F2E" w:rsidP="0052342F">
            <w:pPr>
              <w:pStyle w:val="ARtabletextright"/>
            </w:pPr>
            <w:r w:rsidRPr="0052342F">
              <w:t>–</w:t>
            </w:r>
          </w:p>
        </w:tc>
        <w:tc>
          <w:tcPr>
            <w:tcW w:w="2125" w:type="dxa"/>
          </w:tcPr>
          <w:p w14:paraId="52C4B2E7" w14:textId="69DAC74C" w:rsidR="00D31D9B" w:rsidRPr="0052342F" w:rsidRDefault="00D31D9B" w:rsidP="0052342F">
            <w:pPr>
              <w:pStyle w:val="ARtabletextright"/>
            </w:pPr>
            <w:r w:rsidRPr="0052342F">
              <w:t>N</w:t>
            </w:r>
          </w:p>
        </w:tc>
      </w:tr>
      <w:tr w:rsidR="001625B9" w14:paraId="4B25B90C" w14:textId="77777777" w:rsidTr="006F7262">
        <w:tc>
          <w:tcPr>
            <w:tcW w:w="2263" w:type="dxa"/>
          </w:tcPr>
          <w:p w14:paraId="468B9705" w14:textId="6FA5B44E" w:rsidR="00D31D9B" w:rsidRPr="00E04803" w:rsidRDefault="00D31D9B" w:rsidP="00AA126F">
            <w:pPr>
              <w:pStyle w:val="ARtabletext"/>
            </w:pPr>
            <w:r w:rsidRPr="00E04803">
              <w:rPr>
                <w:rFonts w:eastAsiaTheme="majorEastAsia"/>
                <w:color w:val="000000" w:themeColor="text1"/>
                <w:lang w:val="en-US"/>
              </w:rPr>
              <w:t>Review of the implementation of Supervised Treatment Orders (STO</w:t>
            </w:r>
            <w:r w:rsidR="00206E3E">
              <w:rPr>
                <w:rFonts w:eastAsiaTheme="majorEastAsia"/>
                <w:color w:val="000000" w:themeColor="text1"/>
                <w:lang w:val="en-US"/>
              </w:rPr>
              <w:t>s</w:t>
            </w:r>
            <w:r w:rsidRPr="00E04803">
              <w:rPr>
                <w:rFonts w:eastAsiaTheme="majorEastAsia"/>
                <w:color w:val="000000" w:themeColor="text1"/>
                <w:lang w:val="en-US"/>
              </w:rPr>
              <w:t>)</w:t>
            </w:r>
          </w:p>
        </w:tc>
        <w:tc>
          <w:tcPr>
            <w:tcW w:w="2551" w:type="dxa"/>
          </w:tcPr>
          <w:p w14:paraId="742D830A" w14:textId="2BF83869" w:rsidR="00D31D9B" w:rsidRPr="00A60C31" w:rsidRDefault="00D31D9B" w:rsidP="00A60C31">
            <w:pPr>
              <w:pStyle w:val="ARTabletextlessleading"/>
            </w:pPr>
            <w:r w:rsidRPr="00A60C31">
              <w:t>To examine the implementation, monitoring and supervision of STOs, as well as impediments to transition, with a view to reducing their long-term use</w:t>
            </w:r>
          </w:p>
        </w:tc>
        <w:tc>
          <w:tcPr>
            <w:tcW w:w="2552" w:type="dxa"/>
          </w:tcPr>
          <w:p w14:paraId="6C98D28F" w14:textId="6BFBED11" w:rsidR="00D31D9B" w:rsidRPr="00A60C31" w:rsidRDefault="00D31D9B" w:rsidP="00A60C31">
            <w:pPr>
              <w:pStyle w:val="ARTabletextlessleading"/>
            </w:pPr>
            <w:r w:rsidRPr="00A60C31">
              <w:t>Finalised Compulsory Treatment operations manual and treatment processes for the VSP to have oversight of the implementation of STOs</w:t>
            </w:r>
          </w:p>
          <w:p w14:paraId="110909E0" w14:textId="206CD0B3" w:rsidR="00D31D9B" w:rsidRPr="00A60C31" w:rsidRDefault="00D31D9B" w:rsidP="00A60C31">
            <w:pPr>
              <w:pStyle w:val="ARTabletextlessleading"/>
            </w:pPr>
            <w:r w:rsidRPr="00A60C31">
              <w:t>A reduction in restrictive</w:t>
            </w:r>
            <w:r w:rsidR="00540848" w:rsidRPr="00A60C31">
              <w:t> </w:t>
            </w:r>
            <w:r w:rsidRPr="00A60C31">
              <w:t>practices, including</w:t>
            </w:r>
            <w:r w:rsidR="00540848" w:rsidRPr="00A60C31">
              <w:t> </w:t>
            </w:r>
            <w:r w:rsidRPr="00A60C31">
              <w:t xml:space="preserve">supervision </w:t>
            </w:r>
          </w:p>
        </w:tc>
        <w:tc>
          <w:tcPr>
            <w:tcW w:w="2694" w:type="dxa"/>
          </w:tcPr>
          <w:p w14:paraId="22CC97F0" w14:textId="1269C2A9" w:rsidR="00D31D9B" w:rsidRPr="00A60C31" w:rsidRDefault="00D31D9B" w:rsidP="00A60C31">
            <w:pPr>
              <w:pStyle w:val="ARTabletextlessleading"/>
            </w:pPr>
            <w:r w:rsidRPr="00A60C31">
              <w:t>Revised internal processes for</w:t>
            </w:r>
            <w:r w:rsidR="00A60C31">
              <w:t> </w:t>
            </w:r>
            <w:r w:rsidRPr="00A60C31">
              <w:t>the Victorian Senior Practitioner in implementing</w:t>
            </w:r>
            <w:r w:rsidR="00A60C31">
              <w:t> </w:t>
            </w:r>
            <w:r w:rsidRPr="00A60C31">
              <w:t>STOs</w:t>
            </w:r>
          </w:p>
        </w:tc>
        <w:tc>
          <w:tcPr>
            <w:tcW w:w="1275" w:type="dxa"/>
          </w:tcPr>
          <w:p w14:paraId="1DEDA98E" w14:textId="2EB01750" w:rsidR="00D31D9B" w:rsidRPr="0052342F" w:rsidRDefault="00D31D9B" w:rsidP="0052342F">
            <w:pPr>
              <w:pStyle w:val="ARtabletextright"/>
            </w:pPr>
            <w:r w:rsidRPr="0052342F">
              <w:t>43</w:t>
            </w:r>
          </w:p>
        </w:tc>
        <w:tc>
          <w:tcPr>
            <w:tcW w:w="1404" w:type="dxa"/>
          </w:tcPr>
          <w:p w14:paraId="418E7E7C" w14:textId="347B1461" w:rsidR="00D31D9B" w:rsidRPr="0052342F" w:rsidRDefault="00D31D9B" w:rsidP="0052342F">
            <w:pPr>
              <w:pStyle w:val="ARtabletextright"/>
            </w:pPr>
            <w:r w:rsidRPr="0052342F">
              <w:t>123</w:t>
            </w:r>
          </w:p>
        </w:tc>
        <w:tc>
          <w:tcPr>
            <w:tcW w:w="2125" w:type="dxa"/>
          </w:tcPr>
          <w:p w14:paraId="129722FB" w14:textId="70C9AF8B" w:rsidR="00D31D9B" w:rsidRPr="0052342F" w:rsidRDefault="00D31D9B" w:rsidP="0052342F">
            <w:pPr>
              <w:pStyle w:val="ARtabletextright"/>
            </w:pPr>
            <w:r w:rsidRPr="0052342F">
              <w:t>N</w:t>
            </w:r>
          </w:p>
        </w:tc>
      </w:tr>
      <w:tr w:rsidR="00A83766" w14:paraId="6E0F423C" w14:textId="77777777" w:rsidTr="006F7262">
        <w:tc>
          <w:tcPr>
            <w:tcW w:w="2263" w:type="dxa"/>
          </w:tcPr>
          <w:p w14:paraId="06E898B9" w14:textId="735F1E59" w:rsidR="00E57B09" w:rsidRPr="0052342F" w:rsidRDefault="00E57B09" w:rsidP="0052342F">
            <w:pPr>
              <w:pStyle w:val="ARtabletext"/>
            </w:pPr>
            <w:r w:rsidRPr="0052342F">
              <w:t>Ten-year review of the physical restraint direction</w:t>
            </w:r>
            <w:r w:rsidR="00540848">
              <w:t> </w:t>
            </w:r>
            <w:r w:rsidRPr="0052342F">
              <w:t>paper</w:t>
            </w:r>
          </w:p>
        </w:tc>
        <w:tc>
          <w:tcPr>
            <w:tcW w:w="2551" w:type="dxa"/>
          </w:tcPr>
          <w:p w14:paraId="24379C11" w14:textId="0C604626" w:rsidR="00E57B09" w:rsidRPr="00A60C31" w:rsidRDefault="00E57B09" w:rsidP="0030635B">
            <w:pPr>
              <w:pStyle w:val="ARTabletextlessleading"/>
            </w:pPr>
            <w:r w:rsidRPr="00A60C31">
              <w:t xml:space="preserve">A comprehensive </w:t>
            </w:r>
            <w:r w:rsidR="009D641C">
              <w:t>10</w:t>
            </w:r>
            <w:r w:rsidRPr="00A60C31">
              <w:t xml:space="preserve">-year review of the physical restraint direction paper. The project aims to develop a stronger framework for the use of physical restraint that will ultimately result in a decrease in </w:t>
            </w:r>
            <w:r w:rsidRPr="0030635B">
              <w:t>i</w:t>
            </w:r>
            <w:r w:rsidR="00387B9D" w:rsidRPr="0030635B">
              <w:t>t</w:t>
            </w:r>
            <w:r w:rsidRPr="0030635B">
              <w:t>s</w:t>
            </w:r>
            <w:r w:rsidRPr="00A60C31">
              <w:t xml:space="preserve"> use</w:t>
            </w:r>
          </w:p>
        </w:tc>
        <w:tc>
          <w:tcPr>
            <w:tcW w:w="2552" w:type="dxa"/>
          </w:tcPr>
          <w:p w14:paraId="4C3DC324" w14:textId="179291AF" w:rsidR="00E57B09" w:rsidRPr="00A60C31" w:rsidRDefault="00E57B09" w:rsidP="00A60C31">
            <w:pPr>
              <w:pStyle w:val="ARTabletextlessleading"/>
            </w:pPr>
            <w:r w:rsidRPr="00A60C31">
              <w:t>Produce a detailed description of emerging issues that the</w:t>
            </w:r>
            <w:r w:rsidR="00540848" w:rsidRPr="00A60C31">
              <w:t> </w:t>
            </w:r>
            <w:r w:rsidRPr="00A60C31">
              <w:t>physical restraint direction</w:t>
            </w:r>
            <w:r w:rsidR="00E461BE" w:rsidRPr="00A60C31">
              <w:t xml:space="preserve"> </w:t>
            </w:r>
            <w:r w:rsidRPr="00A60C31">
              <w:t>paper</w:t>
            </w:r>
            <w:r w:rsidR="00E461BE" w:rsidRPr="00A60C31">
              <w:t> </w:t>
            </w:r>
            <w:r w:rsidRPr="00A60C31">
              <w:t>has</w:t>
            </w:r>
            <w:r w:rsidR="001E0299">
              <w:t xml:space="preserve"> </w:t>
            </w:r>
            <w:r w:rsidR="001E0299" w:rsidRPr="00A60C31">
              <w:t>n</w:t>
            </w:r>
            <w:r w:rsidR="001E0299">
              <w:t>ot</w:t>
            </w:r>
            <w:r w:rsidR="001E0299" w:rsidRPr="00A60C31">
              <w:t xml:space="preserve"> </w:t>
            </w:r>
            <w:r w:rsidRPr="00A60C31">
              <w:t>appropriately</w:t>
            </w:r>
            <w:r w:rsidR="00540848" w:rsidRPr="00A60C31">
              <w:t> </w:t>
            </w:r>
            <w:r w:rsidRPr="00A60C31">
              <w:t>addressed   </w:t>
            </w:r>
          </w:p>
          <w:p w14:paraId="046B0E1F" w14:textId="53C327F6" w:rsidR="00E57B09" w:rsidRPr="00A60C31" w:rsidRDefault="00E57B09" w:rsidP="00A60C31">
            <w:pPr>
              <w:pStyle w:val="ARTabletextlessleading"/>
            </w:pPr>
            <w:r w:rsidRPr="00A60C31">
              <w:t>Develop a clearly defined guideline for the oversight and use of physical restraint in Victorian disability sector</w:t>
            </w:r>
          </w:p>
        </w:tc>
        <w:tc>
          <w:tcPr>
            <w:tcW w:w="2694" w:type="dxa"/>
          </w:tcPr>
          <w:p w14:paraId="1A097BDA" w14:textId="7C8EC0B8" w:rsidR="00E57B09" w:rsidRPr="00A60C31" w:rsidRDefault="00E57B09" w:rsidP="00A60C31">
            <w:pPr>
              <w:pStyle w:val="ARTabletextlessleading"/>
            </w:pPr>
            <w:r w:rsidRPr="00A60C31">
              <w:t>A stronger framework for the use of physical restraint in the disability that will result in a</w:t>
            </w:r>
            <w:r w:rsidR="00540848" w:rsidRPr="00A60C31">
              <w:t> </w:t>
            </w:r>
            <w:r w:rsidRPr="00A60C31">
              <w:t>decrease in its use</w:t>
            </w:r>
          </w:p>
        </w:tc>
        <w:tc>
          <w:tcPr>
            <w:tcW w:w="1275" w:type="dxa"/>
          </w:tcPr>
          <w:p w14:paraId="78E123B2" w14:textId="12A860E9" w:rsidR="00E57B09" w:rsidRPr="0052342F" w:rsidRDefault="00E57B09" w:rsidP="0052342F">
            <w:pPr>
              <w:pStyle w:val="ARtabletextright"/>
            </w:pPr>
            <w:r w:rsidRPr="0052342F">
              <w:t>131</w:t>
            </w:r>
          </w:p>
        </w:tc>
        <w:tc>
          <w:tcPr>
            <w:tcW w:w="1404" w:type="dxa"/>
          </w:tcPr>
          <w:p w14:paraId="70236B22" w14:textId="609A981E" w:rsidR="00E57B09" w:rsidRPr="0052342F" w:rsidRDefault="00E57B09" w:rsidP="0052342F">
            <w:pPr>
              <w:pStyle w:val="ARtabletextright"/>
            </w:pPr>
            <w:r w:rsidRPr="0052342F">
              <w:t>312</w:t>
            </w:r>
          </w:p>
        </w:tc>
        <w:tc>
          <w:tcPr>
            <w:tcW w:w="2125" w:type="dxa"/>
          </w:tcPr>
          <w:p w14:paraId="19D1E0C7" w14:textId="25CAB00F" w:rsidR="00E57B09" w:rsidRPr="0052342F" w:rsidRDefault="00E57B09" w:rsidP="0052342F">
            <w:pPr>
              <w:pStyle w:val="ARtabletextright"/>
            </w:pPr>
            <w:r w:rsidRPr="0052342F">
              <w:t>N</w:t>
            </w:r>
          </w:p>
        </w:tc>
      </w:tr>
      <w:tr w:rsidR="00A83766" w14:paraId="2EC534AD" w14:textId="77777777" w:rsidTr="006F7262">
        <w:tc>
          <w:tcPr>
            <w:tcW w:w="2263" w:type="dxa"/>
          </w:tcPr>
          <w:p w14:paraId="63949A48" w14:textId="5CF5F978" w:rsidR="00236F10" w:rsidRPr="0052342F" w:rsidRDefault="00236F10" w:rsidP="0052342F">
            <w:pPr>
              <w:pStyle w:val="ARtabletext"/>
            </w:pPr>
            <w:r w:rsidRPr="0052342F">
              <w:t>MARAM Best Practice Evidence Review</w:t>
            </w:r>
          </w:p>
        </w:tc>
        <w:tc>
          <w:tcPr>
            <w:tcW w:w="2551" w:type="dxa"/>
          </w:tcPr>
          <w:p w14:paraId="56EFB8C3" w14:textId="6D154D5D" w:rsidR="00236F10" w:rsidRPr="00A60C31" w:rsidRDefault="00206E3E" w:rsidP="00A60C31">
            <w:pPr>
              <w:pStyle w:val="ARTabletextlessleading"/>
            </w:pPr>
            <w:r>
              <w:t>Five</w:t>
            </w:r>
            <w:r w:rsidR="00236F10" w:rsidRPr="00A60C31">
              <w:t xml:space="preserve">-yearly reviews of the MARAM evidence base are required under </w:t>
            </w:r>
            <w:r>
              <w:t>s.</w:t>
            </w:r>
            <w:r w:rsidRPr="00A60C31">
              <w:t xml:space="preserve"> </w:t>
            </w:r>
            <w:r w:rsidR="00236F10" w:rsidRPr="00A60C31">
              <w:t xml:space="preserve">194 of the </w:t>
            </w:r>
            <w:r w:rsidR="00236F10" w:rsidRPr="00367B0B">
              <w:rPr>
                <w:i/>
              </w:rPr>
              <w:t>Family Violence Protection Act 2008</w:t>
            </w:r>
            <w:r w:rsidR="00236F10" w:rsidRPr="00A60C31">
              <w:t xml:space="preserve"> (Vic)</w:t>
            </w:r>
          </w:p>
        </w:tc>
        <w:tc>
          <w:tcPr>
            <w:tcW w:w="2552" w:type="dxa"/>
          </w:tcPr>
          <w:p w14:paraId="7AFAADBE" w14:textId="16E43C6F" w:rsidR="00E947E9" w:rsidRPr="00A60C31" w:rsidRDefault="00E947E9" w:rsidP="00A60C31">
            <w:pPr>
              <w:pStyle w:val="ARTabletextlessleading"/>
            </w:pPr>
            <w:r w:rsidRPr="00A60C31">
              <w:t>A</w:t>
            </w:r>
            <w:r w:rsidR="00236F10" w:rsidRPr="00A60C31">
              <w:t>ssess whether the approved framework reflects the current evidence of best practices of family violence risk assessment and family violence risk management</w:t>
            </w:r>
          </w:p>
          <w:p w14:paraId="458FED4D" w14:textId="28ED2A75" w:rsidR="00236F10" w:rsidRPr="00A60C31" w:rsidRDefault="00E947E9" w:rsidP="00A60C31">
            <w:pPr>
              <w:pStyle w:val="ARTabletextlessleading"/>
            </w:pPr>
            <w:r w:rsidRPr="00A60C31">
              <w:t>R</w:t>
            </w:r>
            <w:r w:rsidR="00236F10" w:rsidRPr="00A60C31">
              <w:t>ecommend the changes required (if any) to ensure the</w:t>
            </w:r>
            <w:r w:rsidR="00B97A68">
              <w:t> </w:t>
            </w:r>
            <w:r w:rsidR="00236F10" w:rsidRPr="00A60C31">
              <w:t>approved framework is</w:t>
            </w:r>
            <w:r w:rsidR="00B97A68">
              <w:t> </w:t>
            </w:r>
            <w:r w:rsidR="00236F10" w:rsidRPr="00A60C31">
              <w:t>consistent with those best practices</w:t>
            </w:r>
          </w:p>
        </w:tc>
        <w:tc>
          <w:tcPr>
            <w:tcW w:w="2694" w:type="dxa"/>
          </w:tcPr>
          <w:p w14:paraId="3D8F825B" w14:textId="12FC48F8" w:rsidR="00236F10" w:rsidRPr="00A60C31" w:rsidRDefault="00236F10" w:rsidP="00A60C31">
            <w:pPr>
              <w:pStyle w:val="ARTabletextlessleading"/>
            </w:pPr>
            <w:r w:rsidRPr="00A60C31">
              <w:t>Inform a series of recommendations for continuous improvement of</w:t>
            </w:r>
            <w:r w:rsidR="00540848" w:rsidRPr="00A60C31">
              <w:t> </w:t>
            </w:r>
            <w:r w:rsidRPr="00A60C31">
              <w:t>MARAM</w:t>
            </w:r>
          </w:p>
        </w:tc>
        <w:tc>
          <w:tcPr>
            <w:tcW w:w="1275" w:type="dxa"/>
          </w:tcPr>
          <w:p w14:paraId="4588BFAA" w14:textId="3088FB36" w:rsidR="00236F10" w:rsidRPr="0052342F" w:rsidRDefault="006E2F2E" w:rsidP="0052342F">
            <w:pPr>
              <w:pStyle w:val="ARtabletextright"/>
            </w:pPr>
            <w:r w:rsidRPr="0052342F">
              <w:t>–</w:t>
            </w:r>
          </w:p>
        </w:tc>
        <w:tc>
          <w:tcPr>
            <w:tcW w:w="1404" w:type="dxa"/>
          </w:tcPr>
          <w:p w14:paraId="2A2DB819" w14:textId="22DBD567" w:rsidR="00236F10" w:rsidRPr="0052342F" w:rsidRDefault="00236F10" w:rsidP="0052342F">
            <w:pPr>
              <w:pStyle w:val="ARtabletextright"/>
            </w:pPr>
            <w:r w:rsidRPr="0052342F">
              <w:t>482</w:t>
            </w:r>
          </w:p>
        </w:tc>
        <w:tc>
          <w:tcPr>
            <w:tcW w:w="2125" w:type="dxa"/>
          </w:tcPr>
          <w:p w14:paraId="2BE62834" w14:textId="77777777" w:rsidR="00697CEB" w:rsidRDefault="00F63C5F" w:rsidP="0052342F">
            <w:pPr>
              <w:pStyle w:val="ARtabletextright"/>
            </w:pPr>
            <w:r w:rsidRPr="0052342F">
              <w:t xml:space="preserve">Y </w:t>
            </w:r>
          </w:p>
          <w:p w14:paraId="39444163" w14:textId="34CCE296" w:rsidR="00697CEB" w:rsidRDefault="00697CEB" w:rsidP="0052342F">
            <w:pPr>
              <w:pStyle w:val="ARtabletextright"/>
            </w:pPr>
            <w:hyperlink r:id="rId121" w:history="1">
              <w:r w:rsidRPr="00A60C31">
                <w:rPr>
                  <w:rStyle w:val="Hyperlink"/>
                </w:rPr>
                <w:t>Victorian Government, MARAM Framework 5-year Evidence Review webpage</w:t>
              </w:r>
            </w:hyperlink>
          </w:p>
          <w:p w14:paraId="36FC5AAB" w14:textId="06C6169B" w:rsidR="00236F10" w:rsidRPr="0052342F" w:rsidRDefault="00697CEB" w:rsidP="0052342F">
            <w:pPr>
              <w:pStyle w:val="ARtabletextright"/>
            </w:pPr>
            <w:r>
              <w:t>&lt;</w:t>
            </w:r>
            <w:r w:rsidR="00F63C5F" w:rsidRPr="0052342F">
              <w:t>https://www.vic.gov.au/maram-framework-5-year-evidence-review</w:t>
            </w:r>
            <w:r>
              <w:t>&gt;</w:t>
            </w:r>
          </w:p>
        </w:tc>
      </w:tr>
      <w:tr w:rsidR="00A83766" w14:paraId="1F327D57" w14:textId="77777777" w:rsidTr="006F7262">
        <w:tc>
          <w:tcPr>
            <w:tcW w:w="2263" w:type="dxa"/>
          </w:tcPr>
          <w:p w14:paraId="74D30D73" w14:textId="43A48CCA" w:rsidR="005F6731" w:rsidRPr="00E04803" w:rsidRDefault="005F6731" w:rsidP="00AA126F">
            <w:pPr>
              <w:pStyle w:val="ARtabletext"/>
            </w:pPr>
            <w:r w:rsidRPr="00E04803">
              <w:rPr>
                <w:rFonts w:eastAsiaTheme="majorEastAsia"/>
                <w:color w:val="000000" w:themeColor="text1"/>
                <w:lang w:val="en-US"/>
              </w:rPr>
              <w:t>Second evaluation of The</w:t>
            </w:r>
            <w:r w:rsidR="00697CEB">
              <w:rPr>
                <w:rFonts w:eastAsiaTheme="majorEastAsia"/>
                <w:color w:val="000000" w:themeColor="text1"/>
                <w:lang w:val="en-US"/>
              </w:rPr>
              <w:t> </w:t>
            </w:r>
            <w:r w:rsidRPr="00E04803">
              <w:rPr>
                <w:rFonts w:eastAsiaTheme="majorEastAsia"/>
                <w:color w:val="000000" w:themeColor="text1"/>
                <w:lang w:val="en-US"/>
              </w:rPr>
              <w:t>Orange Door</w:t>
            </w:r>
          </w:p>
        </w:tc>
        <w:tc>
          <w:tcPr>
            <w:tcW w:w="2551" w:type="dxa"/>
          </w:tcPr>
          <w:p w14:paraId="5FB7E29F" w14:textId="0B7CE5CC" w:rsidR="005F6731" w:rsidRPr="00A60C31" w:rsidRDefault="005F6731" w:rsidP="00A60C31">
            <w:pPr>
              <w:pStyle w:val="ARTabletextlessleading"/>
            </w:pPr>
            <w:r w:rsidRPr="00A60C31">
              <w:t>To support the continuous improvement of The Orange Door as a recently introduced reform initiative.</w:t>
            </w:r>
            <w:r w:rsidR="00E360C4" w:rsidRPr="00A60C31">
              <w:t xml:space="preserve"> </w:t>
            </w:r>
            <w:r w:rsidRPr="00A60C31">
              <w:t>Also meets a Family Violence Rolling Action Plan 2 commitment</w:t>
            </w:r>
          </w:p>
        </w:tc>
        <w:tc>
          <w:tcPr>
            <w:tcW w:w="2552" w:type="dxa"/>
          </w:tcPr>
          <w:p w14:paraId="2C7DD2B1" w14:textId="6CEB934E" w:rsidR="005F6731" w:rsidRPr="00A60C31" w:rsidRDefault="005F6731" w:rsidP="00A60C31">
            <w:pPr>
              <w:pStyle w:val="ARTabletextlessleading"/>
            </w:pPr>
            <w:r w:rsidRPr="00A60C31">
              <w:t>The second evaluation of The Orange Door focused on collecting the experiences of clients and community members to understand whether their expectations and needs were being met, the important elements of</w:t>
            </w:r>
            <w:r w:rsidR="00B915B7">
              <w:t> </w:t>
            </w:r>
            <w:r w:rsidRPr="00A60C31">
              <w:t>clients</w:t>
            </w:r>
            <w:r w:rsidR="00711AE6">
              <w:t>’</w:t>
            </w:r>
            <w:r w:rsidRPr="00A60C31">
              <w:t xml:space="preserve"> experience of</w:t>
            </w:r>
            <w:r w:rsidR="00B915B7">
              <w:t> </w:t>
            </w:r>
            <w:r w:rsidRPr="00A60C31">
              <w:t>The</w:t>
            </w:r>
            <w:r w:rsidR="00B915B7">
              <w:t> </w:t>
            </w:r>
            <w:r w:rsidRPr="00A60C31">
              <w:t>Orange Door and opportunities for client engagement in system</w:t>
            </w:r>
            <w:r w:rsidR="00B915B7">
              <w:t> </w:t>
            </w:r>
            <w:r w:rsidRPr="00A60C31">
              <w:t>improvement</w:t>
            </w:r>
          </w:p>
        </w:tc>
        <w:tc>
          <w:tcPr>
            <w:tcW w:w="2694" w:type="dxa"/>
          </w:tcPr>
          <w:p w14:paraId="72089D79" w14:textId="247F0D8A" w:rsidR="005F6731" w:rsidRPr="00A60C31" w:rsidRDefault="005F6731" w:rsidP="00A60C31">
            <w:pPr>
              <w:pStyle w:val="ARTabletextlessleading"/>
            </w:pPr>
            <w:r w:rsidRPr="00A60C31">
              <w:t>The report contributes to the department</w:t>
            </w:r>
            <w:r w:rsidR="00711AE6">
              <w:t>’</w:t>
            </w:r>
            <w:r w:rsidRPr="00A60C31">
              <w:t>s understanding of</w:t>
            </w:r>
            <w:r w:rsidR="00B915B7">
              <w:t> </w:t>
            </w:r>
            <w:r w:rsidRPr="00A60C31">
              <w:t>client experience of The Orange Door and opportunities for continued improvement</w:t>
            </w:r>
          </w:p>
        </w:tc>
        <w:tc>
          <w:tcPr>
            <w:tcW w:w="1275" w:type="dxa"/>
          </w:tcPr>
          <w:p w14:paraId="4F8E2E9B" w14:textId="46157FB0" w:rsidR="005F6731" w:rsidRPr="0052342F" w:rsidRDefault="005F6731" w:rsidP="0052342F">
            <w:pPr>
              <w:pStyle w:val="ARtabletextright"/>
            </w:pPr>
            <w:r w:rsidRPr="0052342F">
              <w:t>256</w:t>
            </w:r>
          </w:p>
        </w:tc>
        <w:tc>
          <w:tcPr>
            <w:tcW w:w="1404" w:type="dxa"/>
          </w:tcPr>
          <w:p w14:paraId="1C9ECFB2" w14:textId="41D051FD" w:rsidR="005F6731" w:rsidRPr="0052342F" w:rsidRDefault="005F6731" w:rsidP="0052342F">
            <w:pPr>
              <w:pStyle w:val="ARtabletextright"/>
            </w:pPr>
            <w:r w:rsidRPr="0052342F">
              <w:t>488</w:t>
            </w:r>
          </w:p>
        </w:tc>
        <w:tc>
          <w:tcPr>
            <w:tcW w:w="2125" w:type="dxa"/>
          </w:tcPr>
          <w:p w14:paraId="13929BE9" w14:textId="6739E6B0" w:rsidR="005F6731" w:rsidRPr="0052342F" w:rsidRDefault="005F6731" w:rsidP="0052342F">
            <w:pPr>
              <w:pStyle w:val="ARtabletextright"/>
            </w:pPr>
            <w:r w:rsidRPr="0052342F">
              <w:t>N</w:t>
            </w:r>
          </w:p>
        </w:tc>
      </w:tr>
      <w:tr w:rsidR="00A83766" w14:paraId="756B3A4B" w14:textId="77777777" w:rsidTr="006F7262">
        <w:tc>
          <w:tcPr>
            <w:tcW w:w="2263" w:type="dxa"/>
          </w:tcPr>
          <w:p w14:paraId="5283D163" w14:textId="32F30771" w:rsidR="00783ED7" w:rsidRPr="00E04803" w:rsidRDefault="00783ED7" w:rsidP="00AA126F">
            <w:pPr>
              <w:pStyle w:val="ARtabletext"/>
            </w:pPr>
            <w:r w:rsidRPr="00E04803">
              <w:rPr>
                <w:rFonts w:eastAsiaTheme="majorEastAsia"/>
                <w:color w:val="000000" w:themeColor="text1"/>
                <w:lang w:val="en-US"/>
              </w:rPr>
              <w:t>Evaluation of the Crisis Response Model, including Core and Cluster</w:t>
            </w:r>
            <w:r w:rsidR="00697CEB">
              <w:rPr>
                <w:rFonts w:eastAsiaTheme="majorEastAsia"/>
                <w:color w:val="000000" w:themeColor="text1"/>
                <w:lang w:val="en-US"/>
              </w:rPr>
              <w:t> </w:t>
            </w:r>
            <w:r w:rsidRPr="00E04803">
              <w:rPr>
                <w:rFonts w:eastAsiaTheme="majorEastAsia"/>
                <w:color w:val="000000" w:themeColor="text1"/>
                <w:lang w:val="en-US"/>
              </w:rPr>
              <w:t>Refuges</w:t>
            </w:r>
          </w:p>
        </w:tc>
        <w:tc>
          <w:tcPr>
            <w:tcW w:w="2551" w:type="dxa"/>
          </w:tcPr>
          <w:p w14:paraId="2604AF8A" w14:textId="41663370" w:rsidR="00783ED7" w:rsidRPr="00A60C31" w:rsidRDefault="00783ED7" w:rsidP="00A60C31">
            <w:pPr>
              <w:pStyle w:val="ARTabletextlessleading"/>
            </w:pPr>
            <w:r w:rsidRPr="00A60C31">
              <w:t>To evaluate the extent to which the model is effectively achieving its stated objectives by assessing progress against</w:t>
            </w:r>
            <w:r w:rsidR="00697CEB" w:rsidRPr="00A60C31">
              <w:t> </w:t>
            </w:r>
            <w:r w:rsidRPr="00A60C31">
              <w:t xml:space="preserve">short to </w:t>
            </w:r>
            <w:r w:rsidR="00697CEB" w:rsidRPr="00A60C31">
              <w:br/>
            </w:r>
            <w:r w:rsidRPr="00A60C31">
              <w:t>medium-term</w:t>
            </w:r>
            <w:r w:rsidR="00697CEB" w:rsidRPr="00A60C31">
              <w:t> </w:t>
            </w:r>
            <w:r w:rsidRPr="00A60C31">
              <w:t>outcomes</w:t>
            </w:r>
          </w:p>
        </w:tc>
        <w:tc>
          <w:tcPr>
            <w:tcW w:w="2552" w:type="dxa"/>
          </w:tcPr>
          <w:p w14:paraId="1CCEFC2E" w14:textId="681104FA" w:rsidR="00783ED7" w:rsidRPr="00A60C31" w:rsidRDefault="00783ED7" w:rsidP="00A60C31">
            <w:pPr>
              <w:pStyle w:val="ARTabletextlessleading"/>
            </w:pPr>
            <w:r w:rsidRPr="00A60C31">
              <w:t>Two lapsing program evaluations focused on the crisis response model, focused on the core and cluster refuge program, and on case management and crisis brokerage</w:t>
            </w:r>
          </w:p>
        </w:tc>
        <w:tc>
          <w:tcPr>
            <w:tcW w:w="2694" w:type="dxa"/>
          </w:tcPr>
          <w:p w14:paraId="4BAD2948" w14:textId="39371C1C" w:rsidR="00783ED7" w:rsidRPr="00A60C31" w:rsidRDefault="00783ED7" w:rsidP="00A60C31">
            <w:pPr>
              <w:pStyle w:val="ARTabletextlessleading"/>
            </w:pPr>
            <w:r w:rsidRPr="00A60C31">
              <w:t>Evidence of each program components efficacy and efficiency, including cost</w:t>
            </w:r>
            <w:r w:rsidR="00604FC9">
              <w:t>–</w:t>
            </w:r>
            <w:r w:rsidRPr="00A60C31">
              <w:t>benefit analysis and to inform an overall understanding of the operation of the crisis response model for family violence victim</w:t>
            </w:r>
            <w:r w:rsidR="00A60C31">
              <w:t> </w:t>
            </w:r>
            <w:r w:rsidRPr="00A60C31">
              <w:t>survivors</w:t>
            </w:r>
          </w:p>
        </w:tc>
        <w:tc>
          <w:tcPr>
            <w:tcW w:w="1275" w:type="dxa"/>
          </w:tcPr>
          <w:p w14:paraId="4D158E51" w14:textId="108F835C" w:rsidR="00783ED7" w:rsidRPr="0052342F" w:rsidRDefault="00783ED7" w:rsidP="0052342F">
            <w:pPr>
              <w:pStyle w:val="ARtabletextright"/>
            </w:pPr>
            <w:r w:rsidRPr="0052342F">
              <w:t>232</w:t>
            </w:r>
          </w:p>
        </w:tc>
        <w:tc>
          <w:tcPr>
            <w:tcW w:w="1404" w:type="dxa"/>
          </w:tcPr>
          <w:p w14:paraId="4F018720" w14:textId="6CAF1D90" w:rsidR="00783ED7" w:rsidRPr="0052342F" w:rsidRDefault="00783ED7" w:rsidP="0052342F">
            <w:pPr>
              <w:pStyle w:val="ARtabletextright"/>
            </w:pPr>
            <w:r w:rsidRPr="0052342F">
              <w:t>493</w:t>
            </w:r>
          </w:p>
        </w:tc>
        <w:tc>
          <w:tcPr>
            <w:tcW w:w="2125" w:type="dxa"/>
          </w:tcPr>
          <w:p w14:paraId="08A9BE54" w14:textId="150DFF8C" w:rsidR="00783ED7" w:rsidRPr="0052342F" w:rsidRDefault="00783ED7" w:rsidP="0052342F">
            <w:pPr>
              <w:pStyle w:val="ARtabletextright"/>
            </w:pPr>
            <w:r w:rsidRPr="0052342F">
              <w:t>N</w:t>
            </w:r>
          </w:p>
        </w:tc>
      </w:tr>
      <w:tr w:rsidR="00A83766" w14:paraId="1EE325B4" w14:textId="77777777" w:rsidTr="006F7262">
        <w:tc>
          <w:tcPr>
            <w:tcW w:w="2263" w:type="dxa"/>
          </w:tcPr>
          <w:p w14:paraId="045F19C8" w14:textId="5511566E" w:rsidR="00783ED7" w:rsidRPr="00E04803" w:rsidRDefault="00783ED7" w:rsidP="00AA126F">
            <w:pPr>
              <w:pStyle w:val="ARtabletext"/>
            </w:pPr>
            <w:r w:rsidRPr="00E04803">
              <w:rPr>
                <w:rFonts w:eastAsiaTheme="majorEastAsia"/>
                <w:color w:val="000000" w:themeColor="text1"/>
                <w:lang w:val="en-US"/>
              </w:rPr>
              <w:t>Evaluation of the Central Information Point</w:t>
            </w:r>
          </w:p>
        </w:tc>
        <w:tc>
          <w:tcPr>
            <w:tcW w:w="2551" w:type="dxa"/>
          </w:tcPr>
          <w:p w14:paraId="4F6CD271" w14:textId="152D991F" w:rsidR="00783ED7" w:rsidRPr="00A60C31" w:rsidRDefault="00783ED7" w:rsidP="00A60C31">
            <w:pPr>
              <w:pStyle w:val="ARTabletextlessleading"/>
            </w:pPr>
            <w:r w:rsidRPr="00A60C31">
              <w:t>Lapsing program evaluation of the CIP to evaluate program effectiveness and identify opportunities for improvement</w:t>
            </w:r>
          </w:p>
        </w:tc>
        <w:tc>
          <w:tcPr>
            <w:tcW w:w="2552" w:type="dxa"/>
          </w:tcPr>
          <w:p w14:paraId="1CD22025" w14:textId="5247785A" w:rsidR="00783ED7" w:rsidRPr="00A60C31" w:rsidRDefault="00783ED7" w:rsidP="00A60C31">
            <w:pPr>
              <w:pStyle w:val="ARTabletextlessleading"/>
            </w:pPr>
            <w:r w:rsidRPr="00A60C31">
              <w:t>Review the effectiveness of the CIP, identify areas that are working efficiently and effectively, including providing a better understanding of its</w:t>
            </w:r>
            <w:r w:rsidR="00B915B7">
              <w:t> </w:t>
            </w:r>
            <w:r w:rsidRPr="00A60C31">
              <w:t>impact, areas for improvement, and make recommendations on how to</w:t>
            </w:r>
            <w:r w:rsidR="006F7262" w:rsidRPr="00A60C31">
              <w:t> </w:t>
            </w:r>
            <w:r w:rsidRPr="00A60C31">
              <w:t>best deliver the outputs of</w:t>
            </w:r>
            <w:r w:rsidR="006F7262" w:rsidRPr="00A60C31">
              <w:t> </w:t>
            </w:r>
            <w:r w:rsidRPr="00A60C31">
              <w:t>the CIP for the benefit of</w:t>
            </w:r>
            <w:r w:rsidR="006F7262" w:rsidRPr="00A60C31">
              <w:t> </w:t>
            </w:r>
            <w:r w:rsidRPr="00A60C31">
              <w:t>victim</w:t>
            </w:r>
            <w:r w:rsidR="006F7262" w:rsidRPr="00A60C31">
              <w:t> </w:t>
            </w:r>
            <w:r w:rsidRPr="00A60C31">
              <w:t>survivors.</w:t>
            </w:r>
          </w:p>
        </w:tc>
        <w:tc>
          <w:tcPr>
            <w:tcW w:w="2694" w:type="dxa"/>
          </w:tcPr>
          <w:p w14:paraId="79365011" w14:textId="123E21C3" w:rsidR="00783ED7" w:rsidRPr="00A60C31" w:rsidRDefault="00783ED7" w:rsidP="00A60C31">
            <w:pPr>
              <w:pStyle w:val="ARTabletextlessleading"/>
            </w:pPr>
            <w:r w:rsidRPr="00A60C31">
              <w:t>Cost</w:t>
            </w:r>
            <w:r w:rsidR="0033759A">
              <w:t>–</w:t>
            </w:r>
            <w:r w:rsidRPr="00A60C31">
              <w:t>benefit analysis of the CIP found that continuing of the CIP is expected to deliver more economic and social benefits</w:t>
            </w:r>
            <w:r w:rsidR="00697CEB" w:rsidRPr="00A60C31">
              <w:t> </w:t>
            </w:r>
            <w:r w:rsidRPr="00A60C31">
              <w:t>relative to government</w:t>
            </w:r>
            <w:r w:rsidR="00697CEB" w:rsidRPr="00A60C31">
              <w:t> </w:t>
            </w:r>
            <w:r w:rsidRPr="00A60C31">
              <w:t xml:space="preserve">expenditure. </w:t>
            </w:r>
          </w:p>
          <w:p w14:paraId="4427F399" w14:textId="33AA8500" w:rsidR="00783ED7" w:rsidRPr="00A60C31" w:rsidRDefault="00783ED7" w:rsidP="00A60C31">
            <w:pPr>
              <w:pStyle w:val="ARTabletextlessleading"/>
            </w:pPr>
            <w:r w:rsidRPr="00A60C31">
              <w:t xml:space="preserve">The CIP enables more comprehensive understanding of perpetrator behaviours and risks and ensuring family violence service providers are aware of perpetrator activities. </w:t>
            </w:r>
          </w:p>
        </w:tc>
        <w:tc>
          <w:tcPr>
            <w:tcW w:w="1275" w:type="dxa"/>
          </w:tcPr>
          <w:p w14:paraId="4BB90B59" w14:textId="2FBD2F56" w:rsidR="00783ED7" w:rsidRPr="0052342F" w:rsidRDefault="00783ED7" w:rsidP="0052342F">
            <w:pPr>
              <w:pStyle w:val="ARtabletextright"/>
            </w:pPr>
            <w:r w:rsidRPr="0052342F">
              <w:t>283</w:t>
            </w:r>
          </w:p>
        </w:tc>
        <w:tc>
          <w:tcPr>
            <w:tcW w:w="1404" w:type="dxa"/>
          </w:tcPr>
          <w:p w14:paraId="14F53C36" w14:textId="07CDC406" w:rsidR="00783ED7" w:rsidRPr="0052342F" w:rsidRDefault="00783ED7" w:rsidP="0052342F">
            <w:pPr>
              <w:pStyle w:val="ARtabletextright"/>
            </w:pPr>
            <w:r w:rsidRPr="0052342F">
              <w:t>283</w:t>
            </w:r>
          </w:p>
        </w:tc>
        <w:tc>
          <w:tcPr>
            <w:tcW w:w="2125" w:type="dxa"/>
          </w:tcPr>
          <w:p w14:paraId="1F13A628" w14:textId="7BE5BC1E" w:rsidR="00783ED7" w:rsidRPr="0052342F" w:rsidRDefault="00783ED7" w:rsidP="0052342F">
            <w:pPr>
              <w:pStyle w:val="ARtabletextright"/>
            </w:pPr>
            <w:r w:rsidRPr="0052342F">
              <w:t>N</w:t>
            </w:r>
          </w:p>
        </w:tc>
      </w:tr>
      <w:tr w:rsidR="00A83766" w14:paraId="3267D163" w14:textId="77777777" w:rsidTr="006F7262">
        <w:tc>
          <w:tcPr>
            <w:tcW w:w="2263" w:type="dxa"/>
          </w:tcPr>
          <w:p w14:paraId="1B08013B" w14:textId="10ECB59C" w:rsidR="00B7085D" w:rsidRPr="00E04803" w:rsidRDefault="00B7085D" w:rsidP="00AA126F">
            <w:pPr>
              <w:pStyle w:val="ARtabletext"/>
            </w:pPr>
            <w:r w:rsidRPr="00E04803">
              <w:rPr>
                <w:rFonts w:eastAsiaTheme="majorEastAsia"/>
                <w:color w:val="000000" w:themeColor="text1"/>
                <w:lang w:val="en-US"/>
              </w:rPr>
              <w:t>Evaluation: Family Violence Reform Outcomes Framework</w:t>
            </w:r>
          </w:p>
        </w:tc>
        <w:tc>
          <w:tcPr>
            <w:tcW w:w="2551" w:type="dxa"/>
          </w:tcPr>
          <w:p w14:paraId="1D23F0FA" w14:textId="74A1E32B" w:rsidR="00B7085D" w:rsidRPr="00A60C31" w:rsidRDefault="00B7085D" w:rsidP="00A60C31">
            <w:pPr>
              <w:pStyle w:val="ARTabletextlessleading"/>
            </w:pPr>
            <w:r w:rsidRPr="00A60C31">
              <w:t>To investigate how to better implement and use the FVOF to enhance understanding and communication of Victoria</w:t>
            </w:r>
            <w:r w:rsidR="00711AE6">
              <w:t>’</w:t>
            </w:r>
            <w:r w:rsidRPr="00A60C31">
              <w:t>s progress in addressing family</w:t>
            </w:r>
            <w:r w:rsidR="006F7262" w:rsidRPr="00A60C31">
              <w:t> </w:t>
            </w:r>
            <w:r w:rsidRPr="00A60C31">
              <w:t>violence</w:t>
            </w:r>
          </w:p>
        </w:tc>
        <w:tc>
          <w:tcPr>
            <w:tcW w:w="2552" w:type="dxa"/>
          </w:tcPr>
          <w:p w14:paraId="06E077AC" w14:textId="75DBCAFA" w:rsidR="00B7085D" w:rsidRPr="00A60C31" w:rsidRDefault="00B7085D" w:rsidP="00A60C31">
            <w:pPr>
              <w:pStyle w:val="ARTabletextlessleading"/>
            </w:pPr>
            <w:r w:rsidRPr="00A60C31">
              <w:t>Scope included feedback from government stakeholders and non-government representatives familiar with</w:t>
            </w:r>
            <w:r w:rsidR="006F7262" w:rsidRPr="00A60C31">
              <w:t> </w:t>
            </w:r>
            <w:r w:rsidRPr="00A60C31">
              <w:t>the FVOF</w:t>
            </w:r>
          </w:p>
        </w:tc>
        <w:tc>
          <w:tcPr>
            <w:tcW w:w="2694" w:type="dxa"/>
          </w:tcPr>
          <w:p w14:paraId="6C5BB495" w14:textId="70A4C571" w:rsidR="00B7085D" w:rsidRPr="00A60C31" w:rsidRDefault="00B7085D" w:rsidP="00A60C31">
            <w:pPr>
              <w:pStyle w:val="ARTabletextlessleading"/>
            </w:pPr>
            <w:r w:rsidRPr="00A60C31">
              <w:t>Enhanced FVOF use by identifying challenges and improvement opportunities and</w:t>
            </w:r>
            <w:r w:rsidR="006F7262" w:rsidRPr="00A60C31">
              <w:t> </w:t>
            </w:r>
            <w:r w:rsidRPr="00A60C31">
              <w:t>actions</w:t>
            </w:r>
          </w:p>
        </w:tc>
        <w:tc>
          <w:tcPr>
            <w:tcW w:w="1275" w:type="dxa"/>
          </w:tcPr>
          <w:p w14:paraId="152BB3B0" w14:textId="26DD2591" w:rsidR="00B7085D" w:rsidRPr="0052342F" w:rsidRDefault="00B7085D" w:rsidP="0052342F">
            <w:pPr>
              <w:pStyle w:val="ARtabletextright"/>
            </w:pPr>
            <w:r w:rsidRPr="0052342F">
              <w:t>165</w:t>
            </w:r>
          </w:p>
        </w:tc>
        <w:tc>
          <w:tcPr>
            <w:tcW w:w="1404" w:type="dxa"/>
          </w:tcPr>
          <w:p w14:paraId="48992EA5" w14:textId="0CF6EA3F" w:rsidR="00B7085D" w:rsidRPr="0052342F" w:rsidRDefault="00B7085D" w:rsidP="0052342F">
            <w:pPr>
              <w:pStyle w:val="ARtabletextright"/>
            </w:pPr>
            <w:r w:rsidRPr="0052342F">
              <w:t>165</w:t>
            </w:r>
          </w:p>
        </w:tc>
        <w:tc>
          <w:tcPr>
            <w:tcW w:w="2125" w:type="dxa"/>
          </w:tcPr>
          <w:p w14:paraId="379F4343" w14:textId="778519B2" w:rsidR="00B7085D" w:rsidRPr="0052342F" w:rsidRDefault="00B7085D" w:rsidP="0052342F">
            <w:pPr>
              <w:pStyle w:val="ARtabletextright"/>
            </w:pPr>
            <w:r w:rsidRPr="0052342F">
              <w:t>N</w:t>
            </w:r>
          </w:p>
        </w:tc>
      </w:tr>
      <w:tr w:rsidR="00A83766" w14:paraId="098587ED" w14:textId="77777777" w:rsidTr="006F7262">
        <w:tc>
          <w:tcPr>
            <w:tcW w:w="2263" w:type="dxa"/>
          </w:tcPr>
          <w:p w14:paraId="4807ACE4" w14:textId="0DDA2B18" w:rsidR="00B7085D" w:rsidRPr="00E04803" w:rsidRDefault="00B7085D" w:rsidP="00AA126F">
            <w:pPr>
              <w:pStyle w:val="ARtabletext"/>
            </w:pPr>
            <w:r w:rsidRPr="00E04803">
              <w:rPr>
                <w:rFonts w:eastAsiaTheme="majorEastAsia"/>
                <w:color w:val="000000" w:themeColor="text1"/>
                <w:lang w:val="en-US"/>
              </w:rPr>
              <w:t>Serious-risk Adults Using Family Violence Program</w:t>
            </w:r>
            <w:r w:rsidR="006F7262">
              <w:rPr>
                <w:rFonts w:eastAsiaTheme="majorEastAsia"/>
                <w:color w:val="000000" w:themeColor="text1"/>
                <w:lang w:val="en-US"/>
              </w:rPr>
              <w:t> </w:t>
            </w:r>
            <w:r w:rsidRPr="00E04803">
              <w:rPr>
                <w:rFonts w:eastAsiaTheme="majorEastAsia"/>
                <w:color w:val="000000" w:themeColor="text1"/>
                <w:lang w:val="en-US"/>
              </w:rPr>
              <w:t>Evaluation</w:t>
            </w:r>
          </w:p>
        </w:tc>
        <w:tc>
          <w:tcPr>
            <w:tcW w:w="2551" w:type="dxa"/>
          </w:tcPr>
          <w:p w14:paraId="69806FE2" w14:textId="429133F2" w:rsidR="00B7085D" w:rsidRPr="00A60C31" w:rsidRDefault="00B7085D" w:rsidP="00A60C31">
            <w:pPr>
              <w:pStyle w:val="ARTabletextlessleading"/>
            </w:pPr>
            <w:r w:rsidRPr="00A60C31">
              <w:t>Inform continuous improvement of service delivery, and identify program outcomes to inform decisions about continued funding and potential statewide expansion of this new</w:t>
            </w:r>
            <w:r w:rsidR="00B915B7">
              <w:t> </w:t>
            </w:r>
            <w:r w:rsidRPr="00A60C31">
              <w:t>initiative</w:t>
            </w:r>
          </w:p>
        </w:tc>
        <w:tc>
          <w:tcPr>
            <w:tcW w:w="2552" w:type="dxa"/>
          </w:tcPr>
          <w:p w14:paraId="7F089104" w14:textId="62444F7B" w:rsidR="00B7085D" w:rsidRPr="00A60C31" w:rsidRDefault="00B7085D" w:rsidP="00A60C31">
            <w:pPr>
              <w:pStyle w:val="ARTabletextlessleading"/>
            </w:pPr>
            <w:r w:rsidRPr="00A60C31">
              <w:t>Ensure effective monitoring and data gathering activities during implementation of the</w:t>
            </w:r>
            <w:r w:rsidR="006F7262" w:rsidRPr="00A60C31">
              <w:t> </w:t>
            </w:r>
            <w:r w:rsidRPr="00A60C31">
              <w:t>initiative</w:t>
            </w:r>
          </w:p>
          <w:p w14:paraId="06B04828" w14:textId="24285291" w:rsidR="00B7085D" w:rsidRPr="00A60C31" w:rsidRDefault="00B7085D" w:rsidP="00A60C31">
            <w:pPr>
              <w:pStyle w:val="ARTabletextlessleading"/>
            </w:pPr>
            <w:r w:rsidRPr="00A60C31">
              <w:t>Assess the extent to which the</w:t>
            </w:r>
            <w:r w:rsidR="006F7262" w:rsidRPr="00A60C31">
              <w:t> </w:t>
            </w:r>
            <w:r w:rsidRPr="00A60C31">
              <w:t>program has been implemented according to plan (and the reasons if this did not occur)</w:t>
            </w:r>
          </w:p>
          <w:p w14:paraId="7F510EC2" w14:textId="33CCEA31" w:rsidR="00B7085D" w:rsidRPr="00A60C31" w:rsidRDefault="00B7085D" w:rsidP="00A60C31">
            <w:pPr>
              <w:pStyle w:val="ARTabletextlessleading"/>
            </w:pPr>
            <w:r w:rsidRPr="00A60C31">
              <w:t>Assess to what extent the program is meeting the objectives of the initiative in relation to the safety of people experiencing violence and feelings of accountability and engagement from people using violence</w:t>
            </w:r>
          </w:p>
        </w:tc>
        <w:tc>
          <w:tcPr>
            <w:tcW w:w="2694" w:type="dxa"/>
          </w:tcPr>
          <w:p w14:paraId="63B02AA0" w14:textId="598E21CE" w:rsidR="00B7085D" w:rsidRPr="00A60C31" w:rsidRDefault="00B7085D" w:rsidP="00A60C31">
            <w:pPr>
              <w:pStyle w:val="ARTabletextlessleading"/>
            </w:pPr>
            <w:r w:rsidRPr="00A60C31">
              <w:t>To discover whether Place for Change is providing appropriate accommodation and support to</w:t>
            </w:r>
            <w:r w:rsidR="006F7262" w:rsidRPr="00A60C31">
              <w:t> </w:t>
            </w:r>
            <w:r w:rsidRPr="00A60C31">
              <w:t>adults using family violence to support behavio</w:t>
            </w:r>
            <w:r w:rsidR="00E441F3">
              <w:t>u</w:t>
            </w:r>
            <w:r w:rsidRPr="00A60C31">
              <w:t>ral and attitudinal change, and providing support to victim survivors to stay safely within</w:t>
            </w:r>
            <w:r w:rsidR="006F7262" w:rsidRPr="00A60C31">
              <w:t> </w:t>
            </w:r>
            <w:r w:rsidRPr="00A60C31">
              <w:t>their homes</w:t>
            </w:r>
          </w:p>
        </w:tc>
        <w:tc>
          <w:tcPr>
            <w:tcW w:w="1275" w:type="dxa"/>
          </w:tcPr>
          <w:p w14:paraId="78602998" w14:textId="7B868AD3" w:rsidR="00B7085D" w:rsidRPr="0052342F" w:rsidRDefault="00B7085D" w:rsidP="0052342F">
            <w:pPr>
              <w:pStyle w:val="ARtabletextright"/>
            </w:pPr>
            <w:r w:rsidRPr="0052342F">
              <w:t>31</w:t>
            </w:r>
          </w:p>
        </w:tc>
        <w:tc>
          <w:tcPr>
            <w:tcW w:w="1404" w:type="dxa"/>
          </w:tcPr>
          <w:p w14:paraId="1C289485" w14:textId="7388B96F" w:rsidR="00B7085D" w:rsidRPr="0052342F" w:rsidRDefault="00B7085D" w:rsidP="0052342F">
            <w:pPr>
              <w:pStyle w:val="ARtabletextright"/>
            </w:pPr>
            <w:r w:rsidRPr="0052342F">
              <w:t xml:space="preserve">285 </w:t>
            </w:r>
          </w:p>
        </w:tc>
        <w:tc>
          <w:tcPr>
            <w:tcW w:w="2125" w:type="dxa"/>
          </w:tcPr>
          <w:p w14:paraId="5BD68629" w14:textId="5F3ED008" w:rsidR="00B7085D" w:rsidRPr="0052342F" w:rsidRDefault="00B7085D" w:rsidP="0052342F">
            <w:pPr>
              <w:pStyle w:val="ARtabletextright"/>
            </w:pPr>
            <w:r w:rsidRPr="0052342F">
              <w:t>N</w:t>
            </w:r>
          </w:p>
        </w:tc>
      </w:tr>
      <w:tr w:rsidR="00A83766" w14:paraId="57A6CE9F" w14:textId="77777777" w:rsidTr="006F7262">
        <w:tc>
          <w:tcPr>
            <w:tcW w:w="2263" w:type="dxa"/>
          </w:tcPr>
          <w:p w14:paraId="40209E2D" w14:textId="050E61B3" w:rsidR="00284B73" w:rsidRPr="00E04803" w:rsidRDefault="00284B73" w:rsidP="00AA126F">
            <w:pPr>
              <w:pStyle w:val="ARtabletext"/>
            </w:pPr>
            <w:r w:rsidRPr="00E04803">
              <w:rPr>
                <w:rFonts w:eastAsiaTheme="majorEastAsia"/>
                <w:color w:val="000000" w:themeColor="text1"/>
                <w:lang w:val="en-US"/>
              </w:rPr>
              <w:t>DICE Project</w:t>
            </w:r>
          </w:p>
        </w:tc>
        <w:tc>
          <w:tcPr>
            <w:tcW w:w="2551" w:type="dxa"/>
          </w:tcPr>
          <w:p w14:paraId="3E60EEC0" w14:textId="49310D90" w:rsidR="00284B73" w:rsidRPr="00A60C31" w:rsidRDefault="00284B73" w:rsidP="00A60C31">
            <w:pPr>
              <w:pStyle w:val="ARTabletextlessleading"/>
            </w:pPr>
            <w:r w:rsidRPr="00A60C31">
              <w:t xml:space="preserve">The Disrupting Child Sexual Exploitation (DICE) project is a </w:t>
            </w:r>
            <w:r w:rsidR="009D641C">
              <w:t>3</w:t>
            </w:r>
            <w:r w:rsidRPr="00A60C31">
              <w:t>-year multiagency and interjurisdictional project to</w:t>
            </w:r>
            <w:r w:rsidR="00B915B7">
              <w:t> </w:t>
            </w:r>
            <w:r w:rsidRPr="00A60C31">
              <w:t>explore an enhanced CSE</w:t>
            </w:r>
            <w:r w:rsidR="006F7262" w:rsidRPr="00A60C31">
              <w:t> </w:t>
            </w:r>
            <w:r w:rsidRPr="00A60C31">
              <w:t>response</w:t>
            </w:r>
          </w:p>
        </w:tc>
        <w:tc>
          <w:tcPr>
            <w:tcW w:w="2552" w:type="dxa"/>
          </w:tcPr>
          <w:p w14:paraId="27B423C1" w14:textId="29BB91B6" w:rsidR="00284B73" w:rsidRPr="00A60C31" w:rsidRDefault="00284B73" w:rsidP="00A60C31">
            <w:pPr>
              <w:pStyle w:val="ARTabletextlessleading"/>
            </w:pPr>
            <w:r w:rsidRPr="00A60C31">
              <w:t>Develop an implementation plan to strengthen a CSE multiagency system response to CSE, including trauma-informed disruptive policing; multiagency working; and attention to children and young people going missing from residential and home-based statutory care as a consequence of CSE</w:t>
            </w:r>
          </w:p>
        </w:tc>
        <w:tc>
          <w:tcPr>
            <w:tcW w:w="2694" w:type="dxa"/>
          </w:tcPr>
          <w:p w14:paraId="44CC5B16" w14:textId="1E4491A0" w:rsidR="006F7262" w:rsidRPr="00A60C31" w:rsidRDefault="00284B73" w:rsidP="00A60C31">
            <w:pPr>
              <w:pStyle w:val="ARTabletextlessleading"/>
            </w:pPr>
            <w:r w:rsidRPr="00A60C31">
              <w:t>Improve multiagency response to children living in residential care experiencing sexual</w:t>
            </w:r>
            <w:r w:rsidR="006F7262" w:rsidRPr="00A60C31">
              <w:t> </w:t>
            </w:r>
            <w:r w:rsidRPr="00A60C31">
              <w:t>exploitation</w:t>
            </w:r>
          </w:p>
        </w:tc>
        <w:tc>
          <w:tcPr>
            <w:tcW w:w="1275" w:type="dxa"/>
          </w:tcPr>
          <w:p w14:paraId="6ECF28C4" w14:textId="0AF6BB2B" w:rsidR="00284B73" w:rsidRPr="0052342F" w:rsidRDefault="00284B73" w:rsidP="0052342F">
            <w:pPr>
              <w:pStyle w:val="ARtabletextright"/>
            </w:pPr>
            <w:r w:rsidRPr="0052342F">
              <w:t>22</w:t>
            </w:r>
          </w:p>
        </w:tc>
        <w:tc>
          <w:tcPr>
            <w:tcW w:w="1404" w:type="dxa"/>
          </w:tcPr>
          <w:p w14:paraId="1C5BD5E0" w14:textId="10560EED" w:rsidR="00284B73" w:rsidRPr="0052342F" w:rsidRDefault="006E2F2E" w:rsidP="0052342F">
            <w:pPr>
              <w:pStyle w:val="ARtabletextright"/>
            </w:pPr>
            <w:r w:rsidRPr="0052342F">
              <w:t>–</w:t>
            </w:r>
          </w:p>
        </w:tc>
        <w:tc>
          <w:tcPr>
            <w:tcW w:w="2125" w:type="dxa"/>
          </w:tcPr>
          <w:p w14:paraId="0A28B0CB" w14:textId="365638C2" w:rsidR="00284B73" w:rsidRPr="0052342F" w:rsidRDefault="00284B73" w:rsidP="0052342F">
            <w:pPr>
              <w:pStyle w:val="ARtabletextright"/>
            </w:pPr>
            <w:r w:rsidRPr="0052342F">
              <w:t>N</w:t>
            </w:r>
          </w:p>
        </w:tc>
      </w:tr>
      <w:tr w:rsidR="00A83766" w14:paraId="09E96083" w14:textId="77777777" w:rsidTr="006F7262">
        <w:tc>
          <w:tcPr>
            <w:tcW w:w="2263" w:type="dxa"/>
          </w:tcPr>
          <w:p w14:paraId="35EFC76C" w14:textId="6A6EFB8F" w:rsidR="00284B73" w:rsidRPr="00E04803" w:rsidRDefault="00284B73" w:rsidP="00AA126F">
            <w:pPr>
              <w:pStyle w:val="ARtabletext"/>
            </w:pPr>
            <w:r w:rsidRPr="00E04803">
              <w:rPr>
                <w:rFonts w:eastAsiaTheme="majorEastAsia"/>
                <w:color w:val="000000" w:themeColor="text1"/>
              </w:rPr>
              <w:t>Updating the Cost of</w:t>
            </w:r>
            <w:r w:rsidR="006F7262">
              <w:rPr>
                <w:rFonts w:eastAsiaTheme="majorEastAsia"/>
                <w:color w:val="000000" w:themeColor="text1"/>
              </w:rPr>
              <w:t> </w:t>
            </w:r>
            <w:r w:rsidRPr="00E04803">
              <w:rPr>
                <w:rFonts w:eastAsiaTheme="majorEastAsia"/>
                <w:color w:val="000000" w:themeColor="text1"/>
              </w:rPr>
              <w:t>Family Violence in</w:t>
            </w:r>
            <w:r w:rsidR="006F7262">
              <w:rPr>
                <w:rFonts w:eastAsiaTheme="majorEastAsia"/>
                <w:color w:val="000000" w:themeColor="text1"/>
              </w:rPr>
              <w:t> </w:t>
            </w:r>
            <w:r w:rsidRPr="00E04803">
              <w:rPr>
                <w:rFonts w:eastAsiaTheme="majorEastAsia"/>
                <w:color w:val="000000" w:themeColor="text1"/>
              </w:rPr>
              <w:t>Victoria</w:t>
            </w:r>
          </w:p>
        </w:tc>
        <w:tc>
          <w:tcPr>
            <w:tcW w:w="2551" w:type="dxa"/>
          </w:tcPr>
          <w:p w14:paraId="4AC2525A" w14:textId="491C9112" w:rsidR="00284B73" w:rsidRPr="00A60C31" w:rsidRDefault="00284B73" w:rsidP="00A60C31">
            <w:pPr>
              <w:pStyle w:val="ARTabletextlessleading"/>
            </w:pPr>
            <w:r w:rsidRPr="00A60C31">
              <w:t>As part of the implementation of recommendations of the Royal Commission into Family Violence, a detailed exercise was completed to estimate the cost of family violence in Victoria</w:t>
            </w:r>
          </w:p>
        </w:tc>
        <w:tc>
          <w:tcPr>
            <w:tcW w:w="2552" w:type="dxa"/>
          </w:tcPr>
          <w:p w14:paraId="1BDE118D" w14:textId="4BE000AE" w:rsidR="00284B73" w:rsidRPr="00A60C31" w:rsidRDefault="00284B73" w:rsidP="00A60C31">
            <w:pPr>
              <w:pStyle w:val="ARTabletextlessleading"/>
            </w:pPr>
            <w:r w:rsidRPr="00A60C31">
              <w:t xml:space="preserve">The purpose of this report is to produce an update of the cost of family violence to the Victorian Government, acknowledging the last calculation is </w:t>
            </w:r>
            <w:r w:rsidR="00F95AC7">
              <w:t>6</w:t>
            </w:r>
            <w:r w:rsidRPr="00A60C31">
              <w:t xml:space="preserve"> years old, and to gain insights into the change in costs since the release of the 2017 report</w:t>
            </w:r>
          </w:p>
        </w:tc>
        <w:tc>
          <w:tcPr>
            <w:tcW w:w="2694" w:type="dxa"/>
          </w:tcPr>
          <w:p w14:paraId="3154134F" w14:textId="05FACFA9" w:rsidR="00284B73" w:rsidRPr="00A60C31" w:rsidRDefault="00284B73" w:rsidP="00A60C31">
            <w:pPr>
              <w:pStyle w:val="ARTabletextlessleading"/>
            </w:pPr>
            <w:r w:rsidRPr="00A60C31">
              <w:t xml:space="preserve">Two reports – one a short, </w:t>
            </w:r>
            <w:r w:rsidR="006E2F2E" w:rsidRPr="00A60C31">
              <w:br/>
            </w:r>
            <w:r w:rsidRPr="00A60C31">
              <w:t>high-level summary; and another in-depth report with further context and research</w:t>
            </w:r>
            <w:r w:rsidR="006E2F2E" w:rsidRPr="00A60C31">
              <w:t> </w:t>
            </w:r>
            <w:r w:rsidRPr="00A60C31">
              <w:t>included</w:t>
            </w:r>
          </w:p>
        </w:tc>
        <w:tc>
          <w:tcPr>
            <w:tcW w:w="1275" w:type="dxa"/>
          </w:tcPr>
          <w:p w14:paraId="01758350" w14:textId="179B50EE" w:rsidR="00284B73" w:rsidRPr="0052342F" w:rsidRDefault="006E2F2E" w:rsidP="0052342F">
            <w:pPr>
              <w:pStyle w:val="ARtabletextright"/>
            </w:pPr>
            <w:r w:rsidRPr="0052342F">
              <w:t>–</w:t>
            </w:r>
          </w:p>
        </w:tc>
        <w:tc>
          <w:tcPr>
            <w:tcW w:w="1404" w:type="dxa"/>
          </w:tcPr>
          <w:p w14:paraId="143B3DBA" w14:textId="166EAF21" w:rsidR="00284B73" w:rsidRPr="0052342F" w:rsidRDefault="00284B73" w:rsidP="0052342F">
            <w:pPr>
              <w:pStyle w:val="ARtabletextright"/>
            </w:pPr>
            <w:r w:rsidRPr="0052342F">
              <w:t>$204,367</w:t>
            </w:r>
          </w:p>
        </w:tc>
        <w:tc>
          <w:tcPr>
            <w:tcW w:w="2125" w:type="dxa"/>
          </w:tcPr>
          <w:p w14:paraId="3FBBBBBF" w14:textId="62F989C8" w:rsidR="00284B73" w:rsidRPr="0052342F" w:rsidRDefault="00284B73" w:rsidP="0052342F">
            <w:pPr>
              <w:pStyle w:val="ARtabletextright"/>
            </w:pPr>
            <w:r w:rsidRPr="0052342F">
              <w:t>N</w:t>
            </w:r>
          </w:p>
        </w:tc>
      </w:tr>
    </w:tbl>
    <w:p w14:paraId="70E647CB" w14:textId="77777777" w:rsidR="00B6322D" w:rsidRPr="0052342F" w:rsidRDefault="00B6322D" w:rsidP="0052342F">
      <w:pPr>
        <w:pStyle w:val="ARbody"/>
      </w:pPr>
    </w:p>
    <w:p w14:paraId="72480D28" w14:textId="77777777" w:rsidR="009E2800" w:rsidRPr="00AA126F" w:rsidRDefault="009E2800" w:rsidP="00AA126F">
      <w:pPr>
        <w:pStyle w:val="ARbody"/>
        <w:sectPr w:rsidR="009E2800" w:rsidRPr="00AA126F" w:rsidSect="006F7262">
          <w:footnotePr>
            <w:numFmt w:val="lowerRoman"/>
            <w:numRestart w:val="eachPage"/>
          </w:footnotePr>
          <w:endnotePr>
            <w:numFmt w:val="decimal"/>
          </w:endnotePr>
          <w:pgSz w:w="16840" w:h="11900" w:orient="landscape" w:code="9"/>
          <w:pgMar w:top="1134" w:right="1134" w:bottom="851" w:left="1134" w:header="510" w:footer="340" w:gutter="0"/>
          <w:cols w:space="454"/>
          <w:docGrid w:linePitch="326"/>
        </w:sectPr>
      </w:pPr>
    </w:p>
    <w:p w14:paraId="62CA6533" w14:textId="77777777" w:rsidR="00802321" w:rsidRDefault="004F7554" w:rsidP="00AA126F">
      <w:pPr>
        <w:pStyle w:val="Heading2"/>
        <w:sectPr w:rsidR="00802321" w:rsidSect="005936D2">
          <w:footnotePr>
            <w:numFmt w:val="lowerRoman"/>
            <w:numRestart w:val="eachPage"/>
          </w:footnotePr>
          <w:endnotePr>
            <w:numFmt w:val="decimal"/>
          </w:endnotePr>
          <w:pgSz w:w="11900" w:h="16840" w:code="9"/>
          <w:pgMar w:top="1701" w:right="1134" w:bottom="851" w:left="1134" w:header="510" w:footer="340" w:gutter="0"/>
          <w:cols w:space="454"/>
          <w:docGrid w:linePitch="326"/>
        </w:sectPr>
      </w:pPr>
      <w:bookmarkStart w:id="215" w:name="_Ref178174436"/>
      <w:bookmarkStart w:id="216" w:name="_Ref178174442"/>
      <w:bookmarkStart w:id="217" w:name="_Toc181101515"/>
      <w:r>
        <w:t>D</w:t>
      </w:r>
      <w:r w:rsidRPr="00532DAE">
        <w:t>isclosure of major contracts</w:t>
      </w:r>
      <w:bookmarkEnd w:id="215"/>
      <w:bookmarkEnd w:id="216"/>
      <w:bookmarkEnd w:id="217"/>
    </w:p>
    <w:p w14:paraId="02C02F87" w14:textId="0194E4B5" w:rsidR="003C7266" w:rsidRDefault="004F7554" w:rsidP="003C7266">
      <w:pPr>
        <w:pStyle w:val="ARbody"/>
      </w:pPr>
      <w:r w:rsidRPr="009F2F65">
        <w:t>In accordance with the requirements of government</w:t>
      </w:r>
      <w:r w:rsidR="00950D59">
        <w:t xml:space="preserve"> </w:t>
      </w:r>
      <w:r w:rsidRPr="009F2F65">
        <w:t>policy and accompanying guidelines, the department disclosed all contracts greater than $10 million in value entered into during the year ending 30 June 202</w:t>
      </w:r>
      <w:r>
        <w:t>4</w:t>
      </w:r>
      <w:r w:rsidRPr="009F2F65">
        <w:t>. Details of contracts disclosed in the Victorian Government contracts publishing system can be viewed at the government</w:t>
      </w:r>
      <w:r w:rsidR="00711AE6">
        <w:t>’</w:t>
      </w:r>
      <w:r w:rsidRPr="009F2F65">
        <w:t xml:space="preserve">s </w:t>
      </w:r>
      <w:hyperlink r:id="rId122" w:history="1">
        <w:r w:rsidRPr="009F2F65">
          <w:rPr>
            <w:rStyle w:val="Hyperlink"/>
          </w:rPr>
          <w:t>tenders website</w:t>
        </w:r>
      </w:hyperlink>
      <w:r w:rsidRPr="009F2F65">
        <w:t xml:space="preserve"> &lt;www.tenders.vic.gov.au&gt;.Contractual details are not disclosed for contracts where disclosure is exempted under the </w:t>
      </w:r>
      <w:r w:rsidRPr="00DE367D">
        <w:rPr>
          <w:rStyle w:val="Emphasis"/>
        </w:rPr>
        <w:t xml:space="preserve">Freedom of Information Act 1982 </w:t>
      </w:r>
      <w:r w:rsidRPr="009F2F65">
        <w:t>and/or government</w:t>
      </w:r>
      <w:r w:rsidR="005B7C9B">
        <w:t> </w:t>
      </w:r>
      <w:r w:rsidRPr="009F2F65">
        <w:t>guidelines.</w:t>
      </w:r>
    </w:p>
    <w:p w14:paraId="1910ED2F" w14:textId="4C6611A8" w:rsidR="00802321" w:rsidRDefault="004F7554" w:rsidP="000D7C9A">
      <w:pPr>
        <w:pStyle w:val="Heading2"/>
        <w:spacing w:before="480"/>
        <w:sectPr w:rsidR="00802321"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bookmarkStart w:id="218" w:name="_Toc181101516"/>
      <w:r w:rsidRPr="00532DAE">
        <w:t xml:space="preserve">Disclosure of grants and </w:t>
      </w:r>
      <w:r w:rsidRPr="003C7266">
        <w:t>transfer</w:t>
      </w:r>
      <w:r w:rsidRPr="00532DAE">
        <w:t xml:space="preserve"> payments</w:t>
      </w:r>
      <w:bookmarkEnd w:id="218"/>
    </w:p>
    <w:p w14:paraId="120482C1" w14:textId="77777777" w:rsidR="004F7554" w:rsidRDefault="004F7554" w:rsidP="0088621E">
      <w:pPr>
        <w:pStyle w:val="ARbody"/>
        <w:rPr>
          <w:szCs w:val="20"/>
        </w:rPr>
      </w:pPr>
      <w:r w:rsidRPr="000B2C35">
        <w:rPr>
          <w:szCs w:val="20"/>
        </w:rPr>
        <w:t>The department supported a broad range of not-for-profit community organisations,</w:t>
      </w:r>
      <w:r w:rsidRPr="000B2C35" w:rsidDel="00F91A0E">
        <w:rPr>
          <w:szCs w:val="20"/>
        </w:rPr>
        <w:t xml:space="preserve"> </w:t>
      </w:r>
      <w:r w:rsidRPr="000B2C35">
        <w:rPr>
          <w:szCs w:val="20"/>
        </w:rPr>
        <w:t>local governments and schools to deliver services, supports and projects across Victoria.</w:t>
      </w:r>
    </w:p>
    <w:p w14:paraId="76ECB98E" w14:textId="26EF618F" w:rsidR="005B7C9B" w:rsidRDefault="004F7554" w:rsidP="00DE367D">
      <w:pPr>
        <w:pStyle w:val="ARbody"/>
        <w:rPr>
          <w:szCs w:val="20"/>
        </w:rPr>
      </w:pPr>
      <w:r w:rsidRPr="000B2C35">
        <w:rPr>
          <w:szCs w:val="20"/>
        </w:rPr>
        <w:t xml:space="preserve">The department uses the definition of a grant being </w:t>
      </w:r>
      <w:r w:rsidR="00711AE6">
        <w:rPr>
          <w:szCs w:val="20"/>
        </w:rPr>
        <w:t>‘</w:t>
      </w:r>
      <w:r w:rsidRPr="000B2C35">
        <w:rPr>
          <w:szCs w:val="20"/>
        </w:rPr>
        <w:t>money given to organisations for a specified purpose directed at achieving goals and objectives consistent with government policy</w:t>
      </w:r>
      <w:r w:rsidR="00711AE6">
        <w:rPr>
          <w:szCs w:val="20"/>
        </w:rPr>
        <w:t>’</w:t>
      </w:r>
      <w:r w:rsidRPr="000B2C35">
        <w:rPr>
          <w:szCs w:val="20"/>
        </w:rPr>
        <w:t>. The department focused on grants delivered using the standard Victorian Common Funding Agreement, the required contract for Victorian Government grant</w:t>
      </w:r>
      <w:r w:rsidR="005B7C9B">
        <w:rPr>
          <w:szCs w:val="20"/>
        </w:rPr>
        <w:t> </w:t>
      </w:r>
      <w:r w:rsidRPr="000B2C35">
        <w:rPr>
          <w:szCs w:val="20"/>
        </w:rPr>
        <w:t>delivery.</w:t>
      </w:r>
    </w:p>
    <w:p w14:paraId="2FA67A0A" w14:textId="5627C1E0" w:rsidR="00DE367D" w:rsidRDefault="00964B7E" w:rsidP="00DE367D">
      <w:pPr>
        <w:pStyle w:val="ARbody"/>
      </w:pPr>
      <w:r>
        <w:t>G</w:t>
      </w:r>
      <w:r w:rsidR="004F7554" w:rsidRPr="00F01E0A">
        <w:t>rants paid in 2023–24 are listed in Appendix 3: Grants and transfer payments.</w:t>
      </w:r>
    </w:p>
    <w:p w14:paraId="20A49FC9" w14:textId="77777777" w:rsidR="004F7554" w:rsidRDefault="004F7554" w:rsidP="000D7C9A">
      <w:pPr>
        <w:pStyle w:val="Heading2"/>
        <w:spacing w:before="480" w:after="160"/>
        <w:sectPr w:rsidR="004F7554" w:rsidSect="005936D2">
          <w:headerReference w:type="default" r:id="rId123"/>
          <w:footnotePr>
            <w:numFmt w:val="lowerRoman"/>
            <w:numRestart w:val="eachPage"/>
          </w:footnotePr>
          <w:endnotePr>
            <w:numFmt w:val="decimal"/>
          </w:endnotePr>
          <w:type w:val="continuous"/>
          <w:pgSz w:w="11900" w:h="16840" w:code="9"/>
          <w:pgMar w:top="1701" w:right="1134" w:bottom="851" w:left="1134" w:header="510" w:footer="340" w:gutter="0"/>
          <w:cols w:space="448"/>
          <w:docGrid w:linePitch="299"/>
        </w:sectPr>
      </w:pPr>
      <w:bookmarkStart w:id="219" w:name="_Toc181101517"/>
      <w:r w:rsidRPr="0008133B">
        <w:t>Social procurement framework</w:t>
      </w:r>
      <w:bookmarkEnd w:id="219"/>
    </w:p>
    <w:p w14:paraId="6692A6CD" w14:textId="77777777" w:rsidR="004F7554" w:rsidRDefault="004F7554" w:rsidP="00030022">
      <w:pPr>
        <w:pStyle w:val="ARbody"/>
      </w:pPr>
      <w:r w:rsidRPr="0008133B">
        <w:t xml:space="preserve">The department leverages its buying power to deliver </w:t>
      </w:r>
      <w:r w:rsidRPr="00030022">
        <w:t>social</w:t>
      </w:r>
      <w:r w:rsidRPr="0008133B">
        <w:t>, economic and environmental outcomes that benefit the Victorian community, the economy and the environment – above and beyond the goods, services and construction works procured.</w:t>
      </w:r>
    </w:p>
    <w:p w14:paraId="2315FCF0" w14:textId="487E7008" w:rsidR="004F7554" w:rsidRPr="0008133B" w:rsidRDefault="004F7554" w:rsidP="00030022">
      <w:pPr>
        <w:pStyle w:val="ARbody"/>
      </w:pPr>
      <w:r w:rsidRPr="0008133B">
        <w:t xml:space="preserve">It is guided </w:t>
      </w:r>
      <w:r w:rsidRPr="00030022">
        <w:t>by</w:t>
      </w:r>
      <w:r w:rsidRPr="0008133B">
        <w:t xml:space="preserve"> the Victorian Government</w:t>
      </w:r>
      <w:r w:rsidR="00711AE6">
        <w:t>’</w:t>
      </w:r>
      <w:r w:rsidRPr="0008133B">
        <w:t xml:space="preserve">s </w:t>
      </w:r>
      <w:r w:rsidRPr="00DE367D">
        <w:rPr>
          <w:rStyle w:val="Emphasis"/>
        </w:rPr>
        <w:t>Social procurement framework</w:t>
      </w:r>
      <w:r w:rsidRPr="0008133B">
        <w:t>, released in April 2018. This framework applies to the procurement of all goods, services and construction undertaken by, or on behalf of, the department. It is defined by 10 objectives</w:t>
      </w:r>
      <w:r>
        <w:t xml:space="preserve">, with the following </w:t>
      </w:r>
      <w:r w:rsidR="009D641C">
        <w:t>4</w:t>
      </w:r>
      <w:r>
        <w:t xml:space="preserve"> priority objectives </w:t>
      </w:r>
      <w:r w:rsidRPr="00687792">
        <w:t>chosen for both Goods and Services and</w:t>
      </w:r>
      <w:r w:rsidR="00F63032">
        <w:t> </w:t>
      </w:r>
      <w:r w:rsidRPr="00687792">
        <w:t>Public Construction</w:t>
      </w:r>
      <w:r w:rsidRPr="0008133B">
        <w:t>:</w:t>
      </w:r>
    </w:p>
    <w:p w14:paraId="1D953D56" w14:textId="726FB2AE" w:rsidR="004F7554" w:rsidRPr="0008133B" w:rsidRDefault="00E441F3" w:rsidP="0088621E">
      <w:pPr>
        <w:pStyle w:val="ARbullet1"/>
      </w:pPr>
      <w:r>
        <w:t>o</w:t>
      </w:r>
      <w:r w:rsidRPr="0008133B">
        <w:t xml:space="preserve">pportunities </w:t>
      </w:r>
      <w:r w:rsidR="004F7554" w:rsidRPr="0008133B">
        <w:t>for Victorian Aboriginal people</w:t>
      </w:r>
    </w:p>
    <w:p w14:paraId="015EBDEC" w14:textId="31195B42" w:rsidR="004F7554" w:rsidRPr="0008133B" w:rsidRDefault="00E441F3" w:rsidP="0088621E">
      <w:pPr>
        <w:pStyle w:val="ARbullet1"/>
      </w:pPr>
      <w:r>
        <w:t>o</w:t>
      </w:r>
      <w:r w:rsidRPr="0008133B">
        <w:t xml:space="preserve">pportunities </w:t>
      </w:r>
      <w:r w:rsidR="004F7554" w:rsidRPr="0008133B">
        <w:t>for Victorians with disability</w:t>
      </w:r>
    </w:p>
    <w:p w14:paraId="2AA8CA9F" w14:textId="359CCEE1" w:rsidR="004F7554" w:rsidRPr="0008133B" w:rsidRDefault="00E441F3" w:rsidP="0088621E">
      <w:pPr>
        <w:pStyle w:val="ARbullet1"/>
      </w:pPr>
      <w:r>
        <w:t>w</w:t>
      </w:r>
      <w:r w:rsidRPr="0008133B">
        <w:t>omen</w:t>
      </w:r>
      <w:r w:rsidR="00711AE6">
        <w:t>’</w:t>
      </w:r>
      <w:r w:rsidRPr="0008133B">
        <w:t xml:space="preserve">s </w:t>
      </w:r>
      <w:r w:rsidR="004F7554" w:rsidRPr="0008133B">
        <w:t>equality and safety</w:t>
      </w:r>
    </w:p>
    <w:p w14:paraId="2871FEF8" w14:textId="64FC6703" w:rsidR="004F7554" w:rsidRDefault="00E441F3" w:rsidP="0088621E">
      <w:pPr>
        <w:pStyle w:val="ARbullet1"/>
      </w:pPr>
      <w:r>
        <w:t>o</w:t>
      </w:r>
      <w:r w:rsidRPr="0008133B">
        <w:t xml:space="preserve">pportunities </w:t>
      </w:r>
      <w:r w:rsidR="004F7554" w:rsidRPr="0008133B">
        <w:t xml:space="preserve">for </w:t>
      </w:r>
      <w:r w:rsidR="004F7554">
        <w:t>Victorian priority jobseekers.</w:t>
      </w:r>
    </w:p>
    <w:p w14:paraId="384F40D4" w14:textId="7ECDBDFA" w:rsidR="004F7554" w:rsidRPr="0008133B" w:rsidRDefault="004F7554" w:rsidP="00333387">
      <w:pPr>
        <w:pStyle w:val="Heading3"/>
      </w:pPr>
      <w:r w:rsidRPr="0008133B">
        <w:t>Social procurement initiatives</w:t>
      </w:r>
    </w:p>
    <w:p w14:paraId="1390CADA" w14:textId="5AC2B92D" w:rsidR="004F7554" w:rsidRPr="00B46087" w:rsidRDefault="004F7554" w:rsidP="0088621E">
      <w:pPr>
        <w:pStyle w:val="ARbody"/>
      </w:pPr>
      <w:r w:rsidRPr="0008133B">
        <w:t>During 202</w:t>
      </w:r>
      <w:r>
        <w:t>3</w:t>
      </w:r>
      <w:r w:rsidRPr="0008133B">
        <w:t>–2</w:t>
      </w:r>
      <w:r>
        <w:t>4</w:t>
      </w:r>
      <w:r w:rsidRPr="0008133B">
        <w:t>, social value requirements were applied to a variety of procurement activities, including the procurement of goods, services and construction works.</w:t>
      </w:r>
      <w:r w:rsidR="006F7262">
        <w:br w:type="column"/>
      </w:r>
      <w:r w:rsidRPr="0008133B">
        <w:t xml:space="preserve">The department undertook </w:t>
      </w:r>
      <w:r w:rsidRPr="00B46087">
        <w:t xml:space="preserve">several initiatives to support its </w:t>
      </w:r>
      <w:r w:rsidRPr="00DE367D">
        <w:rPr>
          <w:rStyle w:val="Emphasis"/>
        </w:rPr>
        <w:t>Social procurement strategy</w:t>
      </w:r>
      <w:r w:rsidRPr="00B46087">
        <w:t xml:space="preserve"> including:</w:t>
      </w:r>
    </w:p>
    <w:p w14:paraId="34C2C491" w14:textId="77777777" w:rsidR="004F7554" w:rsidRPr="0008133B" w:rsidRDefault="004F7554" w:rsidP="006F7262">
      <w:pPr>
        <w:pStyle w:val="ARbullet1"/>
      </w:pPr>
      <w:r w:rsidRPr="0008133B">
        <w:t xml:space="preserve">embedding partnerships with key social </w:t>
      </w:r>
      <w:r w:rsidRPr="006F7262">
        <w:t>procurement</w:t>
      </w:r>
      <w:r w:rsidRPr="0008133B">
        <w:t xml:space="preserve"> delivery partners</w:t>
      </w:r>
    </w:p>
    <w:p w14:paraId="2EFBD16F" w14:textId="77777777" w:rsidR="004F7554" w:rsidRPr="0008133B" w:rsidRDefault="004F7554" w:rsidP="0088621E">
      <w:pPr>
        <w:pStyle w:val="ARbullet1"/>
      </w:pPr>
      <w:r w:rsidRPr="0008133B">
        <w:t>a continued membership with Social Traders</w:t>
      </w:r>
    </w:p>
    <w:p w14:paraId="0D9E523D" w14:textId="52D4DD86" w:rsidR="004F7554" w:rsidRPr="009B6C27" w:rsidRDefault="004F7554" w:rsidP="0088621E">
      <w:pPr>
        <w:pStyle w:val="ARbullet1"/>
      </w:pPr>
      <w:r w:rsidRPr="0008133B">
        <w:t>a continued membership and regular meetings with Kinaway, in partnership with Homes</w:t>
      </w:r>
      <w:r w:rsidR="004D197C">
        <w:t> </w:t>
      </w:r>
      <w:r w:rsidRPr="009B6C27">
        <w:t>Victoria</w:t>
      </w:r>
    </w:p>
    <w:p w14:paraId="0DC5A982" w14:textId="45BE6F7D" w:rsidR="004F7554" w:rsidRPr="009B6C27" w:rsidRDefault="004F7554" w:rsidP="0088621E">
      <w:pPr>
        <w:pStyle w:val="ARbullet1"/>
      </w:pPr>
      <w:r w:rsidRPr="009B6C27">
        <w:t>providing education and training to staff on social procurement, including specialist advisor evaluation support on large procurement</w:t>
      </w:r>
      <w:r w:rsidR="004D197C">
        <w:t> </w:t>
      </w:r>
      <w:r w:rsidRPr="009B6C27">
        <w:t>contracts</w:t>
      </w:r>
    </w:p>
    <w:p w14:paraId="2FAC6E20" w14:textId="77777777" w:rsidR="00A037DF" w:rsidRDefault="004F7554" w:rsidP="0088621E">
      <w:pPr>
        <w:pStyle w:val="ARbullet1"/>
      </w:pPr>
      <w:r w:rsidRPr="009B6C27">
        <w:t xml:space="preserve">building the awareness and understanding of the impact of social procurement through all staff communication and engagement activities. </w:t>
      </w:r>
    </w:p>
    <w:p w14:paraId="10D43B61" w14:textId="77777777" w:rsidR="004F7554" w:rsidRPr="009B6C27" w:rsidRDefault="004F7554" w:rsidP="0088621E">
      <w:pPr>
        <w:pStyle w:val="ARbullet1"/>
      </w:pPr>
      <w:r w:rsidRPr="009B6C27">
        <w:t>the delivery of the second Homes Victoria social procurement industry forum to build capacity and strengthen relationships between stakeholders and suppliers</w:t>
      </w:r>
    </w:p>
    <w:p w14:paraId="38F6A13A" w14:textId="69931591" w:rsidR="006F7262" w:rsidRDefault="004F7554" w:rsidP="0088621E">
      <w:pPr>
        <w:pStyle w:val="ARbullet1"/>
      </w:pPr>
      <w:r w:rsidRPr="009B6C27">
        <w:t>the delivery of the inaugural Homes Victoria Excellence in Social Procurement Award 2023 in partnership with Master Builders Victoria.</w:t>
      </w:r>
      <w:r w:rsidR="006F7262">
        <w:br w:type="page"/>
      </w:r>
    </w:p>
    <w:p w14:paraId="6893EF41" w14:textId="77777777" w:rsidR="004F7554" w:rsidRPr="007A3114" w:rsidRDefault="004F7554" w:rsidP="00333387">
      <w:pPr>
        <w:pStyle w:val="Heading3"/>
      </w:pPr>
      <w:r w:rsidRPr="007A3114">
        <w:t>Reporting requirements</w:t>
      </w:r>
    </w:p>
    <w:p w14:paraId="0E4E91DE" w14:textId="2CD4522D" w:rsidR="004F7554" w:rsidRPr="007A3114" w:rsidRDefault="004F7554" w:rsidP="00AA311E">
      <w:pPr>
        <w:pStyle w:val="ARbody"/>
        <w:spacing w:line="240" w:lineRule="atLeast"/>
      </w:pPr>
      <w:r w:rsidRPr="007A3114">
        <w:t>The reporting period of 2023</w:t>
      </w:r>
      <w:r w:rsidR="005B7C9B">
        <w:t>–</w:t>
      </w:r>
      <w:r w:rsidRPr="007A3114">
        <w:t xml:space="preserve">24 is the first year where Map for Impact has not been used to identify social enterprises. This removal of Map for Impact affects the ability for comparative data analysis with previous years. </w:t>
      </w:r>
    </w:p>
    <w:p w14:paraId="773EB1C9" w14:textId="77777777" w:rsidR="004F7554" w:rsidRPr="007A3114" w:rsidRDefault="004F7554" w:rsidP="00333387">
      <w:pPr>
        <w:pStyle w:val="Heading3"/>
      </w:pPr>
      <w:r w:rsidRPr="007A3114">
        <w:t>Social procurement achievements 202</w:t>
      </w:r>
      <w:r>
        <w:t>3</w:t>
      </w:r>
      <w:r w:rsidRPr="007A3114">
        <w:t>–2</w:t>
      </w:r>
      <w:r>
        <w:t>4</w:t>
      </w:r>
    </w:p>
    <w:p w14:paraId="3B375871" w14:textId="77777777" w:rsidR="004F7554" w:rsidRPr="007A3114" w:rsidRDefault="004F7554" w:rsidP="0088621E">
      <w:pPr>
        <w:pStyle w:val="ARbody"/>
      </w:pPr>
      <w:r w:rsidRPr="007A3114">
        <w:t>During 2023–24, the department:</w:t>
      </w:r>
    </w:p>
    <w:p w14:paraId="5548BA98" w14:textId="77777777" w:rsidR="004F7554" w:rsidRPr="007A3114" w:rsidRDefault="004F7554" w:rsidP="0088621E">
      <w:pPr>
        <w:pStyle w:val="ARbullet1"/>
      </w:pPr>
      <w:r w:rsidRPr="007A3114">
        <w:t xml:space="preserve">engaged </w:t>
      </w:r>
      <w:r w:rsidRPr="009B6C27">
        <w:t>88 social</w:t>
      </w:r>
      <w:r w:rsidRPr="007A3114">
        <w:t xml:space="preserve"> benefit suppliers</w:t>
      </w:r>
    </w:p>
    <w:p w14:paraId="622B475D" w14:textId="44D1325E" w:rsidR="004F7554" w:rsidRDefault="004F7554" w:rsidP="0088621E">
      <w:pPr>
        <w:pStyle w:val="ARbullet1"/>
      </w:pPr>
      <w:r w:rsidRPr="007A3114">
        <w:t xml:space="preserve">spent a total </w:t>
      </w:r>
      <w:r w:rsidRPr="009B6C27">
        <w:t>of $7.81 million with certified social enterprises, Aboriginal businesses and traditional owner</w:t>
      </w:r>
      <w:r w:rsidRPr="007A3114">
        <w:t xml:space="preserve"> corporations and disability</w:t>
      </w:r>
      <w:r w:rsidR="008667A2">
        <w:t> </w:t>
      </w:r>
      <w:r w:rsidRPr="007A3114">
        <w:t>enterprises.</w:t>
      </w:r>
    </w:p>
    <w:p w14:paraId="315D9513" w14:textId="434848B2" w:rsidR="004F7554" w:rsidRPr="00B46087" w:rsidRDefault="004F7554" w:rsidP="00333387">
      <w:pPr>
        <w:pStyle w:val="Heading3"/>
      </w:pPr>
      <w:r w:rsidRPr="00B46087">
        <w:t>Social procurement case studies 2023–24</w:t>
      </w:r>
    </w:p>
    <w:p w14:paraId="6E2CCF05" w14:textId="5BB95DC3" w:rsidR="004F7554" w:rsidRPr="009B6C27" w:rsidRDefault="004F7554" w:rsidP="0088621E">
      <w:pPr>
        <w:pStyle w:val="Heading4"/>
      </w:pPr>
      <w:r w:rsidRPr="009B6C27">
        <w:t>Case study on Women</w:t>
      </w:r>
      <w:r w:rsidR="00711AE6">
        <w:t>’</w:t>
      </w:r>
      <w:r w:rsidRPr="009B6C27">
        <w:t>s Equality and</w:t>
      </w:r>
      <w:r w:rsidR="00666286">
        <w:t> </w:t>
      </w:r>
      <w:r w:rsidRPr="009B6C27">
        <w:t xml:space="preserve">Safety objective </w:t>
      </w:r>
    </w:p>
    <w:p w14:paraId="7E4A1DAA" w14:textId="714EDB60" w:rsidR="00A037DF" w:rsidRDefault="004F7554" w:rsidP="00AA311E">
      <w:pPr>
        <w:pStyle w:val="ARbody"/>
        <w:spacing w:line="240" w:lineRule="atLeast"/>
      </w:pPr>
      <w:r w:rsidRPr="009B6C27">
        <w:t>A social enterprise specialising in female labour hire provided labour and employment support on a</w:t>
      </w:r>
      <w:r w:rsidR="00DD1399">
        <w:t> </w:t>
      </w:r>
      <w:r w:rsidRPr="009B6C27">
        <w:t>Homes Victoria construction project. This engagement provided employment opportunities for</w:t>
      </w:r>
      <w:r w:rsidR="00DD1399">
        <w:t> </w:t>
      </w:r>
      <w:r w:rsidRPr="009B6C27">
        <w:t>women in the construction industry, contributing to the contractor</w:t>
      </w:r>
      <w:r w:rsidR="00711AE6">
        <w:t>’</w:t>
      </w:r>
      <w:r w:rsidRPr="009B6C27">
        <w:t>s social spend commitments and Building Equality Policy employment targets.</w:t>
      </w:r>
    </w:p>
    <w:p w14:paraId="7CC80403" w14:textId="214E9C85" w:rsidR="004F7554" w:rsidRPr="009B6C27" w:rsidRDefault="004F7554" w:rsidP="00A037DF">
      <w:pPr>
        <w:pStyle w:val="Heading4"/>
      </w:pPr>
      <w:r w:rsidRPr="009B6C27">
        <w:t>Case study on opportunities for Victorians with a disability objective</w:t>
      </w:r>
    </w:p>
    <w:p w14:paraId="204EF169" w14:textId="7942F466" w:rsidR="004F7554" w:rsidRPr="009B6C27" w:rsidRDefault="004F7554" w:rsidP="0088621E">
      <w:pPr>
        <w:pStyle w:val="ARbody"/>
      </w:pPr>
      <w:r w:rsidRPr="009B6C27">
        <w:t>A social enterprise nursery provided 45,000 plants to landscape a Homes Victoria new housing development through indirect procurement. This contract provided meaningful employment for Victorians with a disability and contributed to the project</w:t>
      </w:r>
      <w:r w:rsidR="00711AE6">
        <w:t>’</w:t>
      </w:r>
      <w:r w:rsidRPr="009B6C27">
        <w:t>s social spend targets and inclusive employment hours.</w:t>
      </w:r>
    </w:p>
    <w:p w14:paraId="0F90089D" w14:textId="084B58A3" w:rsidR="004F7554" w:rsidRPr="009B6C27" w:rsidRDefault="004F7554" w:rsidP="0088621E">
      <w:pPr>
        <w:pStyle w:val="Heading4"/>
      </w:pPr>
      <w:r w:rsidRPr="009B6C27">
        <w:t>Case study on opportunities for</w:t>
      </w:r>
      <w:r w:rsidR="00D756BF">
        <w:t xml:space="preserve"> </w:t>
      </w:r>
      <w:r w:rsidRPr="009B6C27">
        <w:t>Victorian priority jobseekers objective</w:t>
      </w:r>
    </w:p>
    <w:p w14:paraId="23A71CBE" w14:textId="18A6D715" w:rsidR="004F7554" w:rsidRPr="00B46087" w:rsidRDefault="004F7554" w:rsidP="00AA311E">
      <w:pPr>
        <w:pStyle w:val="ARbody"/>
        <w:spacing w:line="240" w:lineRule="atLeast"/>
      </w:pPr>
      <w:r w:rsidRPr="009B6C27">
        <w:t>Homes Victoria engaged a social enterprise that provides job and training opportunities for people living in public housing as a catering provider for community engagement sessions in Carlton, Fitzroy and Richmond. This contributed to Homes Victoria</w:t>
      </w:r>
      <w:r w:rsidR="00711AE6">
        <w:t>’</w:t>
      </w:r>
      <w:r w:rsidRPr="009B6C27">
        <w:t>s direct spend with social enterprises and supported meaningful employment for public housing tenants.</w:t>
      </w:r>
    </w:p>
    <w:p w14:paraId="5D067738" w14:textId="77777777" w:rsidR="004F7554" w:rsidRPr="007A3114" w:rsidRDefault="004F7554" w:rsidP="00BC5788">
      <w:pPr>
        <w:pStyle w:val="Heading3"/>
      </w:pPr>
      <w:r w:rsidRPr="00BC5788">
        <w:t>Aboriginal</w:t>
      </w:r>
      <w:r w:rsidRPr="007A3114">
        <w:t xml:space="preserve"> business engagement</w:t>
      </w:r>
    </w:p>
    <w:p w14:paraId="5C188326" w14:textId="77777777" w:rsidR="004F7554" w:rsidRPr="007A3114" w:rsidRDefault="004F7554" w:rsidP="0088621E">
      <w:pPr>
        <w:pStyle w:val="ARbody"/>
      </w:pPr>
      <w:r w:rsidRPr="007A3114">
        <w:t>During 2023–24 the department:</w:t>
      </w:r>
    </w:p>
    <w:p w14:paraId="336C208C" w14:textId="77777777" w:rsidR="004F7554" w:rsidRPr="009B6C27" w:rsidRDefault="004F7554" w:rsidP="0088621E">
      <w:pPr>
        <w:pStyle w:val="ARbullet1"/>
      </w:pPr>
      <w:r w:rsidRPr="009B6C27">
        <w:t>engaged 33 Aboriginal businesses and Traditional owner corporations</w:t>
      </w:r>
    </w:p>
    <w:p w14:paraId="72B34583" w14:textId="4719AF8D" w:rsidR="00A037DF" w:rsidRDefault="004F7554" w:rsidP="0088621E">
      <w:pPr>
        <w:pStyle w:val="ARbullet1"/>
      </w:pPr>
      <w:r w:rsidRPr="009B6C27">
        <w:t>spent a total of $1.21 million with Aboriginal businesses and traditional owner corporations</w:t>
      </w:r>
      <w:r w:rsidRPr="007A3114">
        <w:t>.</w:t>
      </w:r>
    </w:p>
    <w:p w14:paraId="6EABC30C" w14:textId="77777777" w:rsidR="00A037DF" w:rsidRDefault="00A037DF" w:rsidP="0088621E">
      <w:pPr>
        <w:pStyle w:val="ARbullet1"/>
        <w:sectPr w:rsidR="00A037DF"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03156C14" w14:textId="77777777" w:rsidR="004F7554" w:rsidRPr="009A65A7" w:rsidRDefault="004F7554" w:rsidP="0052277A">
      <w:pPr>
        <w:pStyle w:val="Heading2"/>
        <w:spacing w:before="240"/>
      </w:pPr>
      <w:bookmarkStart w:id="220" w:name="_Ref178179328"/>
      <w:bookmarkStart w:id="221" w:name="_Ref178240270"/>
      <w:bookmarkStart w:id="222" w:name="_Toc181101518"/>
      <w:r w:rsidRPr="009A65A7">
        <w:t xml:space="preserve">Compliance with the </w:t>
      </w:r>
      <w:r w:rsidRPr="00DF377B">
        <w:t>Building</w:t>
      </w:r>
      <w:r w:rsidRPr="009A65A7">
        <w:t xml:space="preserve"> Act</w:t>
      </w:r>
      <w:bookmarkEnd w:id="220"/>
      <w:bookmarkEnd w:id="221"/>
      <w:bookmarkEnd w:id="222"/>
    </w:p>
    <w:p w14:paraId="67DFE260" w14:textId="77777777" w:rsidR="004F7554" w:rsidRPr="00EF5FB0" w:rsidRDefault="004F7554" w:rsidP="0088621E">
      <w:pPr>
        <w:pStyle w:val="Heading2"/>
        <w:rPr>
          <w:highlight w:val="cyan"/>
        </w:rPr>
        <w:sectPr w:rsidR="004F7554" w:rsidRPr="00EF5FB0" w:rsidSect="005936D2">
          <w:footnotePr>
            <w:numFmt w:val="lowerRoman"/>
            <w:numRestart w:val="eachPage"/>
          </w:footnotePr>
          <w:endnotePr>
            <w:numFmt w:val="decimal"/>
          </w:endnotePr>
          <w:type w:val="continuous"/>
          <w:pgSz w:w="11900" w:h="16840" w:code="9"/>
          <w:pgMar w:top="1701" w:right="1134" w:bottom="851" w:left="1134" w:header="510" w:footer="340" w:gutter="0"/>
          <w:cols w:space="448"/>
          <w:docGrid w:linePitch="299"/>
        </w:sectPr>
      </w:pPr>
    </w:p>
    <w:p w14:paraId="12FC760A" w14:textId="08DF241A" w:rsidR="004F7554" w:rsidRPr="00B42011" w:rsidRDefault="004F7554" w:rsidP="0088621E">
      <w:pPr>
        <w:pStyle w:val="ARbody"/>
      </w:pPr>
      <w:r w:rsidRPr="00B42011">
        <w:t xml:space="preserve">The </w:t>
      </w:r>
      <w:r w:rsidRPr="00DE367D">
        <w:rPr>
          <w:rStyle w:val="Emphasis"/>
        </w:rPr>
        <w:t>Building Act 1993</w:t>
      </w:r>
      <w:r w:rsidRPr="00B42011">
        <w:t xml:space="preserve"> (the Act) regulates building and plumbing work, practitioners, and standards in</w:t>
      </w:r>
      <w:r w:rsidR="00BC5788">
        <w:t> </w:t>
      </w:r>
      <w:r w:rsidRPr="00B42011">
        <w:t>Victoria. This includes building construction, building standards and the maintenance of specific building safety features. The Act also provides for an accreditation and permit scheme across the building and plumbing industries.</w:t>
      </w:r>
    </w:p>
    <w:p w14:paraId="7A491D18" w14:textId="5395F501" w:rsidR="004F7554" w:rsidRDefault="004F7554" w:rsidP="0088621E">
      <w:pPr>
        <w:pStyle w:val="ARbody"/>
      </w:pPr>
      <w:r w:rsidRPr="00B42011">
        <w:t>The department is committed to complying with its obligations under the Act and ensuring those that build on our behalf also follow the Act. This ensures the health and safety of the thousands of</w:t>
      </w:r>
      <w:r w:rsidR="008667A2">
        <w:t> </w:t>
      </w:r>
      <w:r w:rsidRPr="00B42011">
        <w:t>Victorians who live and work in the department</w:t>
      </w:r>
      <w:r w:rsidR="00711AE6">
        <w:t>’</w:t>
      </w:r>
      <w:r w:rsidRPr="00B42011">
        <w:t>s</w:t>
      </w:r>
      <w:r w:rsidR="008667A2">
        <w:t> </w:t>
      </w:r>
      <w:r w:rsidRPr="00B42011">
        <w:t>buildings.</w:t>
      </w:r>
    </w:p>
    <w:p w14:paraId="61EE1C26" w14:textId="3AE4FFEE" w:rsidR="004F7554" w:rsidRPr="00B42011" w:rsidRDefault="00BC5788" w:rsidP="00AA311E">
      <w:pPr>
        <w:pStyle w:val="ARbody"/>
        <w:spacing w:line="240" w:lineRule="atLeast"/>
      </w:pPr>
      <w:r>
        <w:br w:type="column"/>
      </w:r>
      <w:r w:rsidR="004F7554" w:rsidRPr="00B42011">
        <w:t xml:space="preserve">The department requires the engagement of appropriately qualified consultants and contractors for all proposed new projects and maintenance works on department land. Consultants and contractors must comply with the current state and </w:t>
      </w:r>
      <w:r w:rsidR="00C4520C">
        <w:t>C</w:t>
      </w:r>
      <w:r w:rsidR="004F7554" w:rsidRPr="00B42011">
        <w:t>ommonwealth building regulations, codes, and standards. All engaged consultants and contractors are expected to have appropriate mechanisms in place to ensure compliance with the building and maintenance provisions of the Act.</w:t>
      </w:r>
    </w:p>
    <w:p w14:paraId="06BAD685" w14:textId="3CA4DA90" w:rsidR="004F7554" w:rsidRDefault="004F7554" w:rsidP="00AA311E">
      <w:pPr>
        <w:pStyle w:val="ARbody"/>
        <w:spacing w:line="240" w:lineRule="atLeast"/>
      </w:pPr>
      <w:r w:rsidRPr="00B42011">
        <w:t>For new projects, the department assesses consultants</w:t>
      </w:r>
      <w:r w:rsidR="00711AE6">
        <w:t>’</w:t>
      </w:r>
      <w:r w:rsidRPr="00B42011">
        <w:t xml:space="preserve"> and contractors</w:t>
      </w:r>
      <w:r w:rsidR="00711AE6">
        <w:t>’</w:t>
      </w:r>
      <w:r w:rsidRPr="00B42011">
        <w:t xml:space="preserve"> adherence to compliance obligations, including </w:t>
      </w:r>
      <w:r>
        <w:t>the Act</w:t>
      </w:r>
      <w:r w:rsidRPr="00B42011">
        <w:t xml:space="preserve">, before engaging them using whole-of-Victorian-Government approved tendering processes. </w:t>
      </w:r>
      <w:r w:rsidR="006E2F2E">
        <w:br/>
      </w:r>
      <w:r w:rsidRPr="00B42011">
        <w:t>Post-engagement, the department manages this in</w:t>
      </w:r>
      <w:r w:rsidR="006E2F2E">
        <w:t> </w:t>
      </w:r>
      <w:r w:rsidRPr="00B42011">
        <w:t>line with the program management framework. This</w:t>
      </w:r>
      <w:r w:rsidR="00DD1399">
        <w:t> </w:t>
      </w:r>
      <w:r w:rsidRPr="00B42011">
        <w:t>framework provides a defined approach to managing projects and programs while ensuring adherence to whole-of-government policies and</w:t>
      </w:r>
      <w:r w:rsidR="008667A2">
        <w:t> </w:t>
      </w:r>
      <w:r w:rsidRPr="00B42011">
        <w:t>procedures.</w:t>
      </w:r>
    </w:p>
    <w:p w14:paraId="48C45155" w14:textId="396D25AC" w:rsidR="004F7554" w:rsidRPr="006E42D3" w:rsidRDefault="008667A2" w:rsidP="0088621E">
      <w:pPr>
        <w:pStyle w:val="ARbody"/>
      </w:pPr>
      <w:r>
        <w:br w:type="column"/>
      </w:r>
      <w:r w:rsidR="004F7554" w:rsidRPr="006E42D3">
        <w:t xml:space="preserve">In relation to existing buildings, the department is responsible for the mandatory testing of all essential safety measures to comply with the requirements of </w:t>
      </w:r>
      <w:r w:rsidR="004F7554" w:rsidRPr="00DE367D">
        <w:rPr>
          <w:rStyle w:val="Emphasis"/>
        </w:rPr>
        <w:t>Australian Standard 1851</w:t>
      </w:r>
      <w:r w:rsidR="004F7554" w:rsidRPr="006E42D3">
        <w:t>. Testing of emergency and exit lights, sprinklers, fire detection and other essential safety measures are part of this routine preventive maintenance. The department actions responsive works through existing maintenance contracts.</w:t>
      </w:r>
    </w:p>
    <w:p w14:paraId="2E70F961" w14:textId="6DCC1783" w:rsidR="004F7554" w:rsidRPr="009A65A7" w:rsidRDefault="004F7554" w:rsidP="0088621E">
      <w:pPr>
        <w:pStyle w:val="ARbody"/>
      </w:pPr>
      <w:r w:rsidRPr="00464D38">
        <w:t xml:space="preserve">The department continues to liaise with and contribute to the progress and outcomes of Cladding Safety Victoria for department-owned buildings. </w:t>
      </w:r>
      <w:r w:rsidRPr="009A65A7">
        <w:t>Relevant buildings owned by the department have been audited against the risk framework developed by the Victorian Cladding Taskforce. Where non-compliant cladding has been</w:t>
      </w:r>
      <w:r w:rsidR="000F05BD">
        <w:t> </w:t>
      </w:r>
      <w:r w:rsidRPr="009A65A7">
        <w:t>discovered, it is assessed against that framework for a risk rating derived from one of</w:t>
      </w:r>
      <w:r w:rsidR="000F05BD">
        <w:t> </w:t>
      </w:r>
      <w:r w:rsidRPr="009A65A7">
        <w:t>the</w:t>
      </w:r>
      <w:r w:rsidR="000F05BD">
        <w:t> </w:t>
      </w:r>
      <w:r w:rsidR="009D641C">
        <w:t>4</w:t>
      </w:r>
      <w:r w:rsidRPr="009A65A7">
        <w:t xml:space="preserve"> risk categories. These buildings are now</w:t>
      </w:r>
      <w:r w:rsidR="000F05BD">
        <w:t> </w:t>
      </w:r>
      <w:r w:rsidRPr="009A65A7">
        <w:t>being progressively rectified and remediated in</w:t>
      </w:r>
      <w:r w:rsidR="000F05BD">
        <w:t> </w:t>
      </w:r>
      <w:r w:rsidRPr="009A65A7">
        <w:t>accordance with that risk rating and as resources and funding allows.</w:t>
      </w:r>
    </w:p>
    <w:p w14:paraId="3F1BCD5D" w14:textId="1A6FA904" w:rsidR="004F7554" w:rsidRPr="00532DAE" w:rsidRDefault="004F7554" w:rsidP="0088621E">
      <w:pPr>
        <w:pStyle w:val="ARbody"/>
      </w:pPr>
      <w:r w:rsidRPr="008D4C0A">
        <w:t>The department undertook 313 major works projects in 2023</w:t>
      </w:r>
      <w:r w:rsidR="005B7C9B">
        <w:t>–</w:t>
      </w:r>
      <w:r w:rsidRPr="008D4C0A">
        <w:t xml:space="preserve">24, was issued with </w:t>
      </w:r>
      <w:r w:rsidR="00F95AC7">
        <w:t>6</w:t>
      </w:r>
      <w:r w:rsidRPr="008D4C0A">
        <w:t xml:space="preserve"> building structure related emergency orders by Council, secured 109 building permits and 211 certificates of</w:t>
      </w:r>
      <w:r w:rsidR="00DD1399">
        <w:t> </w:t>
      </w:r>
      <w:r w:rsidRPr="008D4C0A">
        <w:t>final inspection.</w:t>
      </w:r>
    </w:p>
    <w:p w14:paraId="0BECAF6A" w14:textId="3F709ABA" w:rsidR="008667A2" w:rsidRDefault="008667A2" w:rsidP="0088621E">
      <w:pPr>
        <w:pStyle w:val="ARbody"/>
      </w:pPr>
    </w:p>
    <w:p w14:paraId="61F37DAE" w14:textId="77777777" w:rsidR="008667A2" w:rsidRDefault="008667A2" w:rsidP="0088621E">
      <w:pPr>
        <w:pStyle w:val="ARbody"/>
        <w:sectPr w:rsidR="008667A2"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03634700" w14:textId="77777777" w:rsidR="004F7554" w:rsidRPr="000847CB" w:rsidRDefault="004F7554" w:rsidP="0052277A">
      <w:pPr>
        <w:pStyle w:val="Heading2"/>
        <w:spacing w:before="480"/>
        <w:rPr>
          <w:highlight w:val="cyan"/>
        </w:rPr>
      </w:pPr>
      <w:bookmarkStart w:id="223" w:name="_Ref178179701"/>
      <w:bookmarkStart w:id="224" w:name="_Toc181101519"/>
      <w:r w:rsidRPr="00AC1C10">
        <w:t>Compliance with the Public Interest Disclosures Act</w:t>
      </w:r>
      <w:bookmarkEnd w:id="223"/>
      <w:bookmarkEnd w:id="224"/>
    </w:p>
    <w:p w14:paraId="12A77556" w14:textId="77777777" w:rsidR="004F7554" w:rsidRPr="000847CB" w:rsidRDefault="004F7554" w:rsidP="0088621E">
      <w:pPr>
        <w:pStyle w:val="Heading2"/>
        <w:rPr>
          <w:highlight w:val="cyan"/>
        </w:rPr>
        <w:sectPr w:rsidR="004F7554" w:rsidRPr="000847CB"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p>
    <w:p w14:paraId="3D4D2FC5" w14:textId="77777777" w:rsidR="004F7554" w:rsidRPr="001E1AE7" w:rsidRDefault="004F7554" w:rsidP="0052277A">
      <w:pPr>
        <w:pStyle w:val="ARbody"/>
        <w:spacing w:line="240" w:lineRule="atLeast"/>
      </w:pPr>
      <w:r w:rsidRPr="001E1AE7">
        <w:t xml:space="preserve">The </w:t>
      </w:r>
      <w:r w:rsidRPr="00DE367D">
        <w:rPr>
          <w:rStyle w:val="Emphasis"/>
        </w:rPr>
        <w:t>Public Interest Disclosures Act 2012</w:t>
      </w:r>
      <w:r w:rsidRPr="001E1AE7">
        <w:t xml:space="preserve"> encourages and assists people to make disclosures of improper conduct by public officers and public bodies. The Act provides protection to people who make disclosures in accordance with the Act and establishes a system for the matters disclosed to be investigated and rectified.</w:t>
      </w:r>
    </w:p>
    <w:p w14:paraId="552E7600" w14:textId="4ADBEC35" w:rsidR="004F7554" w:rsidRPr="001E1AE7" w:rsidRDefault="004F7554" w:rsidP="0052277A">
      <w:pPr>
        <w:pStyle w:val="ARbody"/>
        <w:spacing w:line="240" w:lineRule="atLeast"/>
      </w:pPr>
      <w:r w:rsidRPr="001E1AE7">
        <w:t>The department is committed to building and demonstrating a strong ethical culture and expects the highest levels of integrity from its staff. We</w:t>
      </w:r>
      <w:r w:rsidR="00182BB6">
        <w:t> </w:t>
      </w:r>
      <w:r w:rsidRPr="001E1AE7">
        <w:t>support the making of disclosures about improper conduct, such as corrupt conduct and conduct involving a substantial mismanagement of</w:t>
      </w:r>
      <w:r w:rsidR="00182BB6">
        <w:t> </w:t>
      </w:r>
      <w:r w:rsidRPr="001E1AE7">
        <w:t>public resources, and detrimental action.</w:t>
      </w:r>
    </w:p>
    <w:p w14:paraId="7271CB3E" w14:textId="77777777" w:rsidR="004F7554" w:rsidRPr="003504D5" w:rsidRDefault="004F7554" w:rsidP="0052277A">
      <w:pPr>
        <w:pStyle w:val="ARbody"/>
        <w:spacing w:line="240" w:lineRule="atLeast"/>
      </w:pPr>
      <w:r w:rsidRPr="001E1AE7">
        <w:t xml:space="preserve">The department takes all reasonable steps to protect people who </w:t>
      </w:r>
      <w:r w:rsidRPr="003504D5">
        <w:t>make such disclosures from any detrimental action in reprisal for making the disclosure. We also afford natural justice to the person who is the subject of the disclosure to the extent it is legally possible.</w:t>
      </w:r>
    </w:p>
    <w:p w14:paraId="128F0349" w14:textId="77777777" w:rsidR="004F7554" w:rsidRPr="003504D5" w:rsidRDefault="004F7554" w:rsidP="00333387">
      <w:pPr>
        <w:pStyle w:val="Heading3"/>
      </w:pPr>
      <w:r w:rsidRPr="003504D5">
        <w:t>Reporting procedures</w:t>
      </w:r>
    </w:p>
    <w:p w14:paraId="137DC171" w14:textId="331E059D" w:rsidR="004F7554" w:rsidRPr="003504D5" w:rsidRDefault="004F7554" w:rsidP="0088621E">
      <w:pPr>
        <w:pStyle w:val="ARbody"/>
      </w:pPr>
      <w:r w:rsidRPr="003504D5">
        <w:t>Disclosures of improper conduct or detrimental action by the department or any of our employees may be made to any of the following department</w:t>
      </w:r>
      <w:r w:rsidR="008667A2">
        <w:t> </w:t>
      </w:r>
      <w:r w:rsidRPr="003504D5">
        <w:t>personnel:</w:t>
      </w:r>
    </w:p>
    <w:p w14:paraId="5A72CF2F" w14:textId="77777777" w:rsidR="004F7554" w:rsidRPr="003504D5" w:rsidRDefault="004F7554" w:rsidP="0088621E">
      <w:pPr>
        <w:pStyle w:val="ARbullet1"/>
      </w:pPr>
      <w:r w:rsidRPr="003504D5">
        <w:t>the Secretary</w:t>
      </w:r>
    </w:p>
    <w:p w14:paraId="018334B1" w14:textId="77777777" w:rsidR="004F7554" w:rsidRPr="003504D5" w:rsidRDefault="004F7554" w:rsidP="0088621E">
      <w:pPr>
        <w:pStyle w:val="ARbullet1"/>
      </w:pPr>
      <w:r w:rsidRPr="003504D5">
        <w:t>public interest disclosure coordinators</w:t>
      </w:r>
    </w:p>
    <w:p w14:paraId="21890C05" w14:textId="77777777" w:rsidR="004F7554" w:rsidRPr="003504D5" w:rsidRDefault="004F7554" w:rsidP="0088621E">
      <w:pPr>
        <w:pStyle w:val="ARbullet1"/>
      </w:pPr>
      <w:r w:rsidRPr="003504D5">
        <w:t>manager or supervisor of the discloser</w:t>
      </w:r>
    </w:p>
    <w:p w14:paraId="219EEB9E" w14:textId="77777777" w:rsidR="004F7554" w:rsidRPr="003504D5" w:rsidRDefault="004F7554" w:rsidP="0088621E">
      <w:pPr>
        <w:pStyle w:val="ARbullet1"/>
      </w:pPr>
      <w:r w:rsidRPr="003504D5">
        <w:t>manager or supervisor of the person who is the subject of the disclosure</w:t>
      </w:r>
    </w:p>
    <w:p w14:paraId="68C1DC88" w14:textId="77777777" w:rsidR="004F7554" w:rsidRPr="003504D5" w:rsidRDefault="004F7554" w:rsidP="0088621E">
      <w:pPr>
        <w:pStyle w:val="ARbullet1"/>
      </w:pPr>
      <w:r w:rsidRPr="003504D5">
        <w:t>a person acting in any of the above roles.</w:t>
      </w:r>
    </w:p>
    <w:p w14:paraId="70364494" w14:textId="77777777" w:rsidR="004F7554" w:rsidRPr="003504D5" w:rsidRDefault="004F7554" w:rsidP="00BC5788">
      <w:pPr>
        <w:pStyle w:val="ARbodyafterbullets"/>
        <w:spacing w:before="0"/>
      </w:pPr>
      <w:r w:rsidRPr="003504D5">
        <w:t>Alternatively, disclosures can be made directly to the Independent Broad-based Anti-corruption Commission (IBAC):</w:t>
      </w:r>
    </w:p>
    <w:p w14:paraId="7871D710" w14:textId="77777777" w:rsidR="004D197C" w:rsidRDefault="004F7554" w:rsidP="004D197C">
      <w:pPr>
        <w:pStyle w:val="ARbodynospace"/>
      </w:pPr>
      <w:r w:rsidRPr="003504D5">
        <w:t>Level 1, North Tower, 459 Collins Street</w:t>
      </w:r>
    </w:p>
    <w:p w14:paraId="17E15787" w14:textId="77777777" w:rsidR="004D197C" w:rsidRDefault="004F7554" w:rsidP="004D197C">
      <w:pPr>
        <w:pStyle w:val="ARbody"/>
      </w:pPr>
      <w:r w:rsidRPr="003504D5">
        <w:t xml:space="preserve">Melbourne </w:t>
      </w:r>
      <w:r w:rsidRPr="004D197C">
        <w:t>VIC</w:t>
      </w:r>
      <w:r w:rsidRPr="003504D5">
        <w:t xml:space="preserve"> 3000</w:t>
      </w:r>
    </w:p>
    <w:p w14:paraId="54BCDED6" w14:textId="77777777" w:rsidR="004D197C" w:rsidRDefault="004F7554" w:rsidP="004D197C">
      <w:pPr>
        <w:pStyle w:val="ARbodynospace"/>
      </w:pPr>
      <w:r w:rsidRPr="003504D5">
        <w:t>Phone: 1300 735 135</w:t>
      </w:r>
    </w:p>
    <w:p w14:paraId="6CF1CAF6" w14:textId="6CBD8A50" w:rsidR="004F7554" w:rsidRPr="003504D5" w:rsidRDefault="004F7554" w:rsidP="004D197C">
      <w:pPr>
        <w:pStyle w:val="ARbody"/>
      </w:pPr>
      <w:hyperlink r:id="rId124" w:history="1">
        <w:r w:rsidRPr="003504D5">
          <w:rPr>
            <w:rStyle w:val="Hyperlink"/>
          </w:rPr>
          <w:t>IBAC website</w:t>
        </w:r>
      </w:hyperlink>
      <w:r w:rsidRPr="003504D5">
        <w:t xml:space="preserve"> &lt;www.ibac.vic.gov.au&gt;</w:t>
      </w:r>
    </w:p>
    <w:p w14:paraId="13044079" w14:textId="5DEC97A0" w:rsidR="004F7554" w:rsidRPr="00A61A22" w:rsidRDefault="004F7554" w:rsidP="0088621E">
      <w:pPr>
        <w:pStyle w:val="Heading4"/>
        <w:spacing w:before="0"/>
      </w:pPr>
      <w:r w:rsidRPr="00A61A22">
        <w:t>Further information</w:t>
      </w:r>
    </w:p>
    <w:p w14:paraId="252A143C" w14:textId="1B618E2C" w:rsidR="004F7554" w:rsidRPr="00A61A22" w:rsidRDefault="004F7554" w:rsidP="0088621E">
      <w:pPr>
        <w:pStyle w:val="ARbody"/>
      </w:pPr>
      <w:r w:rsidRPr="00A61A22">
        <w:t>Information about the department</w:t>
      </w:r>
      <w:r w:rsidR="00711AE6">
        <w:t>’</w:t>
      </w:r>
      <w:r w:rsidRPr="00A61A22">
        <w:t>s public interest disclosures procedures, which outline the system for reporting disclosures of improper conduct or detrimental action by the department or any of our employees and/or officers, is available:</w:t>
      </w:r>
    </w:p>
    <w:p w14:paraId="5A571710" w14:textId="0897E8E2" w:rsidR="004F7554" w:rsidRPr="00A61A22" w:rsidRDefault="004F7554" w:rsidP="0088621E">
      <w:pPr>
        <w:pStyle w:val="ARbullet1"/>
      </w:pPr>
      <w:r w:rsidRPr="00A61A22">
        <w:t>on the department</w:t>
      </w:r>
      <w:r w:rsidR="00711AE6">
        <w:t>’</w:t>
      </w:r>
      <w:r w:rsidRPr="00A61A22">
        <w:t xml:space="preserve">s </w:t>
      </w:r>
      <w:hyperlink r:id="rId125" w:history="1">
        <w:r w:rsidRPr="00A61A22">
          <w:rPr>
            <w:rStyle w:val="Hyperlink"/>
          </w:rPr>
          <w:t>public interest disclosures webpage</w:t>
        </w:r>
      </w:hyperlink>
      <w:r w:rsidRPr="00A61A22">
        <w:t xml:space="preserve"> &lt;www.dffh.vic.gov.au/public-interest-disclosure&gt;</w:t>
      </w:r>
    </w:p>
    <w:p w14:paraId="5A1CB5C6" w14:textId="46CDD0BC" w:rsidR="004F7554" w:rsidRPr="00A61A22" w:rsidRDefault="004F7554" w:rsidP="0088621E">
      <w:pPr>
        <w:pStyle w:val="ARbullet1"/>
        <w:rPr>
          <w:lang w:eastAsia="en-AU"/>
        </w:rPr>
      </w:pPr>
      <w:r w:rsidRPr="00A61A22">
        <w:t xml:space="preserve">by </w:t>
      </w:r>
      <w:hyperlink r:id="rId126" w:history="1">
        <w:r w:rsidRPr="00A61A22">
          <w:rPr>
            <w:rStyle w:val="Hyperlink"/>
          </w:rPr>
          <w:t>emailing one of the department</w:t>
        </w:r>
        <w:r w:rsidR="00711AE6">
          <w:rPr>
            <w:rStyle w:val="Hyperlink"/>
          </w:rPr>
          <w:t>’</w:t>
        </w:r>
        <w:r w:rsidRPr="00A61A22">
          <w:rPr>
            <w:rStyle w:val="Hyperlink"/>
          </w:rPr>
          <w:t>s public interest disclosure coordinators</w:t>
        </w:r>
      </w:hyperlink>
      <w:r w:rsidRPr="00A61A22">
        <w:t xml:space="preserve"> &lt;public.interest.disclosures@dffh.vic.gov.au&gt;</w:t>
      </w:r>
    </w:p>
    <w:p w14:paraId="1A765B87" w14:textId="60CDA3B2" w:rsidR="004F7554" w:rsidRPr="00A61A22" w:rsidRDefault="004F7554" w:rsidP="0088621E">
      <w:pPr>
        <w:pStyle w:val="ARbullet1"/>
      </w:pPr>
      <w:r w:rsidRPr="00A61A22">
        <w:t>by phoning one of the department</w:t>
      </w:r>
      <w:r w:rsidR="00711AE6">
        <w:t>’</w:t>
      </w:r>
      <w:r w:rsidRPr="00A61A22">
        <w:t>s public interest disclosure coordinators on our integrity hotline: 1300 131 431.</w:t>
      </w:r>
    </w:p>
    <w:p w14:paraId="706799F7" w14:textId="77777777" w:rsidR="003B3D82" w:rsidRDefault="003B3D82" w:rsidP="0052342F">
      <w:pPr>
        <w:pStyle w:val="ARbody"/>
        <w:rPr>
          <w:rFonts w:eastAsia="MS Gothic" w:cs="Times New Roman"/>
          <w:color w:val="005D8F" w:themeColor="text2"/>
          <w:sz w:val="32"/>
          <w:lang w:eastAsia="en-AU"/>
        </w:rPr>
      </w:pPr>
      <w:r>
        <w:br w:type="page"/>
      </w:r>
    </w:p>
    <w:p w14:paraId="49A2016A" w14:textId="24A53178" w:rsidR="004F7554" w:rsidRPr="007D5F77" w:rsidRDefault="004F7554" w:rsidP="00333387">
      <w:pPr>
        <w:pStyle w:val="Heading3"/>
      </w:pPr>
      <w:bookmarkStart w:id="225" w:name="_Ref178241128"/>
      <w:r w:rsidRPr="007D5F77">
        <w:t>Disclosures under the Public Interest Disclosures Act</w:t>
      </w:r>
      <w:bookmarkEnd w:id="225"/>
    </w:p>
    <w:p w14:paraId="671D2243" w14:textId="77777777" w:rsidR="004F7554" w:rsidRPr="00E25BF8" w:rsidRDefault="004F7554" w:rsidP="00A7618D">
      <w:pPr>
        <w:pStyle w:val="ARbodybeforetable"/>
        <w:rPr>
          <w:bCs/>
        </w:rPr>
      </w:pPr>
      <w:r w:rsidRPr="00E25BF8">
        <w:t>The number of disclosures made by an individual to the department and notified to IBAC are:</w:t>
      </w:r>
    </w:p>
    <w:tbl>
      <w:tblPr>
        <w:tblW w:w="5000" w:type="pct"/>
        <w:jc w:val="center"/>
        <w:tblBorders>
          <w:bottom w:val="single" w:sz="4" w:space="0" w:color="auto"/>
          <w:insideH w:val="single" w:sz="4" w:space="0" w:color="auto"/>
        </w:tblBorders>
        <w:tblCellMar>
          <w:left w:w="0" w:type="dxa"/>
        </w:tblCellMar>
        <w:tblLook w:val="0620" w:firstRow="1" w:lastRow="0" w:firstColumn="0" w:lastColumn="0" w:noHBand="1" w:noVBand="1"/>
      </w:tblPr>
      <w:tblGrid>
        <w:gridCol w:w="1529"/>
        <w:gridCol w:w="1530"/>
        <w:gridCol w:w="1530"/>
      </w:tblGrid>
      <w:tr w:rsidR="004F7554" w:rsidRPr="00E25BF8" w14:paraId="48ACEC45" w14:textId="77777777" w:rsidTr="0088621E">
        <w:trPr>
          <w:cantSplit/>
          <w:tblHeader/>
          <w:jc w:val="center"/>
        </w:trPr>
        <w:tc>
          <w:tcPr>
            <w:tcW w:w="1666" w:type="pct"/>
            <w:shd w:val="clear" w:color="auto" w:fill="auto"/>
            <w:vAlign w:val="bottom"/>
          </w:tcPr>
          <w:p w14:paraId="63B84D9D" w14:textId="77777777" w:rsidR="004F7554" w:rsidRPr="00E25BF8" w:rsidRDefault="004F7554" w:rsidP="0088621E">
            <w:pPr>
              <w:pStyle w:val="ARtablecolheadcentre"/>
            </w:pPr>
            <w:r w:rsidRPr="00E25BF8">
              <w:t>2021–22</w:t>
            </w:r>
          </w:p>
        </w:tc>
        <w:tc>
          <w:tcPr>
            <w:tcW w:w="1667" w:type="pct"/>
            <w:shd w:val="clear" w:color="auto" w:fill="auto"/>
            <w:vAlign w:val="bottom"/>
          </w:tcPr>
          <w:p w14:paraId="308661BE" w14:textId="77777777" w:rsidR="004F7554" w:rsidRPr="00E25BF8" w:rsidRDefault="004F7554" w:rsidP="0088621E">
            <w:pPr>
              <w:pStyle w:val="ARtablecolheadcentre"/>
            </w:pPr>
            <w:r w:rsidRPr="00E25BF8">
              <w:t>2022–23</w:t>
            </w:r>
          </w:p>
        </w:tc>
        <w:tc>
          <w:tcPr>
            <w:tcW w:w="1667" w:type="pct"/>
            <w:shd w:val="clear" w:color="auto" w:fill="auto"/>
            <w:vAlign w:val="bottom"/>
          </w:tcPr>
          <w:p w14:paraId="2E608A78" w14:textId="77777777" w:rsidR="004F7554" w:rsidRPr="00E25BF8" w:rsidRDefault="004F7554" w:rsidP="0088621E">
            <w:pPr>
              <w:pStyle w:val="ARtablecolheadcentre"/>
            </w:pPr>
            <w:r w:rsidRPr="00E25BF8">
              <w:t>2023–24</w:t>
            </w:r>
          </w:p>
        </w:tc>
      </w:tr>
      <w:tr w:rsidR="004F7554" w:rsidRPr="00E25BF8" w14:paraId="3EDA9F57" w14:textId="77777777" w:rsidTr="0088621E">
        <w:trPr>
          <w:cantSplit/>
          <w:jc w:val="center"/>
        </w:trPr>
        <w:tc>
          <w:tcPr>
            <w:tcW w:w="1666" w:type="pct"/>
            <w:shd w:val="clear" w:color="auto" w:fill="auto"/>
            <w:vAlign w:val="center"/>
          </w:tcPr>
          <w:p w14:paraId="2CF0E244" w14:textId="77777777" w:rsidR="004F7554" w:rsidRPr="00E25BF8" w:rsidRDefault="004F7554" w:rsidP="0088621E">
            <w:pPr>
              <w:pStyle w:val="ARtabletextcentre"/>
            </w:pPr>
            <w:r w:rsidRPr="00E25BF8">
              <w:t>0</w:t>
            </w:r>
          </w:p>
        </w:tc>
        <w:tc>
          <w:tcPr>
            <w:tcW w:w="1667" w:type="pct"/>
            <w:shd w:val="clear" w:color="auto" w:fill="auto"/>
            <w:vAlign w:val="center"/>
          </w:tcPr>
          <w:p w14:paraId="30252452" w14:textId="77777777" w:rsidR="004F7554" w:rsidRPr="00E25BF8" w:rsidRDefault="004F7554" w:rsidP="0088621E">
            <w:pPr>
              <w:pStyle w:val="ARtabletextcentre"/>
            </w:pPr>
            <w:r w:rsidRPr="00E25BF8">
              <w:t>2</w:t>
            </w:r>
          </w:p>
        </w:tc>
        <w:tc>
          <w:tcPr>
            <w:tcW w:w="1667" w:type="pct"/>
            <w:shd w:val="clear" w:color="auto" w:fill="auto"/>
            <w:vAlign w:val="center"/>
          </w:tcPr>
          <w:p w14:paraId="1BEF1A8F" w14:textId="77777777" w:rsidR="004F7554" w:rsidRPr="00E25BF8" w:rsidRDefault="004F7554" w:rsidP="0088621E">
            <w:pPr>
              <w:pStyle w:val="ARtabletextcentre"/>
            </w:pPr>
            <w:r w:rsidRPr="00E25BF8">
              <w:t>2</w:t>
            </w:r>
          </w:p>
        </w:tc>
      </w:tr>
    </w:tbl>
    <w:p w14:paraId="76FC52D8" w14:textId="79E8CCD4" w:rsidR="00507937" w:rsidRDefault="004F7554" w:rsidP="00A7618D">
      <w:pPr>
        <w:pStyle w:val="ARbodyaftertable"/>
      </w:pPr>
      <w:r w:rsidRPr="00E25BF8">
        <w:t xml:space="preserve">In addition to the </w:t>
      </w:r>
      <w:r w:rsidR="00F95AC7">
        <w:t>2</w:t>
      </w:r>
      <w:r w:rsidRPr="00E25BF8">
        <w:t xml:space="preserve"> public interest disclosures the department received during the 2023–24 reporting period, the department received reports of wrongdoing from individuals including department staff members. For various reasons, these individuals did not want to make a formal public interest disclosure. The department took action to address the concerns raised, including via referral to IBAC where appropriate.</w:t>
      </w:r>
      <w:r w:rsidRPr="00532DAE">
        <w:t xml:space="preserve"> </w:t>
      </w:r>
    </w:p>
    <w:p w14:paraId="116FD862" w14:textId="77777777" w:rsidR="00507937" w:rsidRDefault="00507937" w:rsidP="00A7618D">
      <w:pPr>
        <w:pStyle w:val="ARbodyaftertable"/>
      </w:pPr>
    </w:p>
    <w:p w14:paraId="5DD8F238" w14:textId="77777777" w:rsidR="00BC5788" w:rsidRDefault="00BC5788" w:rsidP="00BC5788">
      <w:pPr>
        <w:pStyle w:val="ARbody"/>
        <w:sectPr w:rsidR="00BC5788"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sectPr>
      </w:pPr>
    </w:p>
    <w:p w14:paraId="5C1D495B" w14:textId="77777777" w:rsidR="004F7554" w:rsidRPr="00720DCA" w:rsidRDefault="004F7554" w:rsidP="0088621E">
      <w:pPr>
        <w:pStyle w:val="Heading2"/>
      </w:pPr>
      <w:bookmarkStart w:id="226" w:name="_Ref178179717"/>
      <w:bookmarkStart w:id="227" w:name="_Ref178240317"/>
      <w:bookmarkStart w:id="228" w:name="_Toc181101520"/>
      <w:r w:rsidRPr="00720DCA">
        <w:t>Compliance with the Carers Recognition Act</w:t>
      </w:r>
      <w:bookmarkEnd w:id="226"/>
      <w:bookmarkEnd w:id="227"/>
      <w:bookmarkEnd w:id="228"/>
    </w:p>
    <w:p w14:paraId="6A940B30" w14:textId="77777777" w:rsidR="004F7554" w:rsidRPr="00720DCA" w:rsidRDefault="004F7554" w:rsidP="0088621E">
      <w:pPr>
        <w:pStyle w:val="Heading2"/>
        <w:sectPr w:rsidR="004F7554" w:rsidRPr="00720DCA"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p>
    <w:p w14:paraId="4C7E1631" w14:textId="4C0DD6FA" w:rsidR="004F7554" w:rsidRPr="00720DCA" w:rsidRDefault="004F7554" w:rsidP="0088621E">
      <w:pPr>
        <w:pStyle w:val="ARbody"/>
        <w:rPr>
          <w:szCs w:val="20"/>
        </w:rPr>
      </w:pPr>
      <w:r w:rsidRPr="00720DCA">
        <w:t>The department has taken all practical measures to</w:t>
      </w:r>
      <w:r>
        <w:t xml:space="preserve"> </w:t>
      </w:r>
      <w:r w:rsidRPr="00720DCA">
        <w:t xml:space="preserve">comply with our obligations under the </w:t>
      </w:r>
      <w:r w:rsidRPr="00DE367D">
        <w:rPr>
          <w:rStyle w:val="Emphasis"/>
        </w:rPr>
        <w:t xml:space="preserve">Carers Recognition Act 2012 </w:t>
      </w:r>
      <w:r w:rsidRPr="00720DCA">
        <w:rPr>
          <w:iCs/>
        </w:rPr>
        <w:t>(the Act)</w:t>
      </w:r>
      <w:r w:rsidRPr="007803CC">
        <w:t xml:space="preserve">. </w:t>
      </w:r>
      <w:r w:rsidRPr="00720DCA">
        <w:rPr>
          <w:szCs w:val="20"/>
        </w:rPr>
        <w:t>These include promoting the principles of the Act to people in care</w:t>
      </w:r>
      <w:r>
        <w:rPr>
          <w:szCs w:val="20"/>
        </w:rPr>
        <w:t xml:space="preserve"> </w:t>
      </w:r>
      <w:r w:rsidRPr="00720DCA">
        <w:rPr>
          <w:szCs w:val="20"/>
        </w:rPr>
        <w:t>relationships who receive the department</w:t>
      </w:r>
      <w:r w:rsidR="00711AE6">
        <w:rPr>
          <w:szCs w:val="20"/>
        </w:rPr>
        <w:t>’</w:t>
      </w:r>
      <w:r w:rsidRPr="00720DCA">
        <w:rPr>
          <w:szCs w:val="20"/>
        </w:rPr>
        <w:t>s services and to the wider community by:</w:t>
      </w:r>
    </w:p>
    <w:p w14:paraId="1C2622E8" w14:textId="49FD2390" w:rsidR="004F7554" w:rsidRPr="00720DCA" w:rsidRDefault="004F7554" w:rsidP="0088621E">
      <w:pPr>
        <w:pStyle w:val="ARbullet1"/>
      </w:pPr>
      <w:r w:rsidRPr="00720DCA">
        <w:t>providing links to state government resource materials on the department</w:t>
      </w:r>
      <w:r w:rsidR="00711AE6">
        <w:t>’</w:t>
      </w:r>
      <w:r w:rsidRPr="00720DCA">
        <w:t>s website</w:t>
      </w:r>
      <w:r>
        <w:t xml:space="preserve"> </w:t>
      </w:r>
    </w:p>
    <w:p w14:paraId="7E15CE3B" w14:textId="0F4A36FD" w:rsidR="004F7554" w:rsidRPr="00720DCA" w:rsidRDefault="004F7554" w:rsidP="0088621E">
      <w:pPr>
        <w:pStyle w:val="ARbullet1"/>
      </w:pPr>
      <w:r w:rsidRPr="00720DCA">
        <w:t>providing information about</w:t>
      </w:r>
      <w:r>
        <w:t xml:space="preserve"> </w:t>
      </w:r>
      <w:r w:rsidRPr="00720DCA">
        <w:t>the Act to the</w:t>
      </w:r>
      <w:r>
        <w:t xml:space="preserve"> </w:t>
      </w:r>
      <w:r w:rsidRPr="00720DCA">
        <w:t>department</w:t>
      </w:r>
      <w:r w:rsidR="00711AE6">
        <w:t>’</w:t>
      </w:r>
      <w:r w:rsidRPr="00720DCA">
        <w:t>s partner organisations</w:t>
      </w:r>
      <w:r>
        <w:t xml:space="preserve"> </w:t>
      </w:r>
    </w:p>
    <w:p w14:paraId="2595B73B" w14:textId="432C417A" w:rsidR="004F7554" w:rsidRPr="00720DCA" w:rsidRDefault="004F7554" w:rsidP="0088621E">
      <w:pPr>
        <w:pStyle w:val="ARbullet1"/>
      </w:pPr>
      <w:r w:rsidRPr="00720DCA">
        <w:t>supporting departmental staff to have an awareness and understanding of the care relationship principles set out in the Act, when</w:t>
      </w:r>
      <w:r>
        <w:t xml:space="preserve"> </w:t>
      </w:r>
      <w:r w:rsidRPr="00720DCA">
        <w:t>setting policies and providing services. This includes in the review of departmental employment policies on personal/carer leave and flexible working arrangements to ensure they comply with the statement of principles in</w:t>
      </w:r>
      <w:r w:rsidR="00C80BCE">
        <w:t> </w:t>
      </w:r>
      <w:r w:rsidRPr="00720DCA">
        <w:t>the Act</w:t>
      </w:r>
      <w:r>
        <w:t xml:space="preserve"> </w:t>
      </w:r>
    </w:p>
    <w:p w14:paraId="7BA30768" w14:textId="77777777" w:rsidR="004F7554" w:rsidRPr="00720DCA" w:rsidRDefault="004F7554" w:rsidP="0088621E">
      <w:pPr>
        <w:pStyle w:val="ARbullet1"/>
      </w:pPr>
      <w:r w:rsidRPr="00720DCA">
        <w:t>considering the care relationships principles set</w:t>
      </w:r>
      <w:r>
        <w:t xml:space="preserve"> </w:t>
      </w:r>
      <w:r w:rsidRPr="00720DCA">
        <w:t>out in the Act when setting policies, delivering grants programs, and providing services, including through the Victorian Support</w:t>
      </w:r>
      <w:r>
        <w:t xml:space="preserve"> </w:t>
      </w:r>
      <w:r w:rsidRPr="00720DCA">
        <w:t>for Carers Program</w:t>
      </w:r>
    </w:p>
    <w:p w14:paraId="38600ABB" w14:textId="2D2C3C10" w:rsidR="004F7554" w:rsidRPr="00720DCA" w:rsidRDefault="004F7554" w:rsidP="00A227A2">
      <w:pPr>
        <w:pStyle w:val="ARbullet1"/>
      </w:pPr>
      <w:r w:rsidRPr="00720DCA">
        <w:t>supporting carers</w:t>
      </w:r>
      <w:r w:rsidR="00711AE6">
        <w:t>’</w:t>
      </w:r>
      <w:r w:rsidRPr="00720DCA">
        <w:t xml:space="preserve"> awareness and </w:t>
      </w:r>
      <w:r w:rsidRPr="00A227A2">
        <w:t>understanding</w:t>
      </w:r>
      <w:r w:rsidRPr="00720DCA">
        <w:t xml:space="preserve"> of the care relationship principles set out in the Act and what they mean for carers</w:t>
      </w:r>
    </w:p>
    <w:p w14:paraId="57887BC7" w14:textId="77777777" w:rsidR="004F7554" w:rsidRPr="00720DCA" w:rsidRDefault="004F7554" w:rsidP="00A227A2">
      <w:pPr>
        <w:pStyle w:val="ARbullet1"/>
      </w:pPr>
      <w:r w:rsidRPr="00720DCA">
        <w:t xml:space="preserve">providing opportunities for carers to provide </w:t>
      </w:r>
      <w:r w:rsidRPr="00A227A2">
        <w:t>feedback</w:t>
      </w:r>
      <w:r w:rsidRPr="00720DCA">
        <w:t xml:space="preserve"> and </w:t>
      </w:r>
      <w:r w:rsidRPr="00A227A2">
        <w:t>input</w:t>
      </w:r>
      <w:r w:rsidRPr="00720DCA">
        <w:t xml:space="preserve"> on improving processes, systems and services to better support them</w:t>
      </w:r>
    </w:p>
    <w:p w14:paraId="2A0164F3" w14:textId="77777777" w:rsidR="004F7554" w:rsidRPr="00720DCA" w:rsidRDefault="004F7554" w:rsidP="00A227A2">
      <w:pPr>
        <w:pStyle w:val="ARbullet1"/>
      </w:pPr>
      <w:r w:rsidRPr="00720DCA">
        <w:t xml:space="preserve">a satisfaction survey, developed for distribution at assessment and review meetings between workers, carers and those receiving care, enables </w:t>
      </w:r>
      <w:r w:rsidRPr="00A227A2">
        <w:t>carers</w:t>
      </w:r>
      <w:r w:rsidRPr="00720DCA">
        <w:t xml:space="preserve"> to provide feedback</w:t>
      </w:r>
    </w:p>
    <w:p w14:paraId="128A8816" w14:textId="77777777" w:rsidR="004F7554" w:rsidRPr="00720DCA" w:rsidRDefault="004F7554" w:rsidP="00A227A2">
      <w:pPr>
        <w:pStyle w:val="ARbullet1"/>
      </w:pPr>
      <w:r w:rsidRPr="00720DCA">
        <w:t xml:space="preserve">carers advisory groups, carer forums and carer surveys have </w:t>
      </w:r>
      <w:r w:rsidRPr="00A227A2">
        <w:t>facilitated</w:t>
      </w:r>
      <w:r w:rsidRPr="00720DCA">
        <w:t xml:space="preserve"> consultation with, and input by, carers on government policies, processes, and services.</w:t>
      </w:r>
    </w:p>
    <w:p w14:paraId="6793643E" w14:textId="574A08F2" w:rsidR="004F7554" w:rsidRDefault="004F7554" w:rsidP="00BC5788">
      <w:pPr>
        <w:pStyle w:val="ARbodyafterbullets"/>
        <w:spacing w:before="0"/>
      </w:pPr>
      <w:r w:rsidRPr="00720DCA">
        <w:t xml:space="preserve">The department supported Victorian Carer Card holders </w:t>
      </w:r>
      <w:r>
        <w:t xml:space="preserve">and </w:t>
      </w:r>
      <w:r w:rsidRPr="00720DCA">
        <w:t>other consultative groups to provide lived experience advice to government on carers issues and needs, assist policy development and inform initiatives supporting carers of</w:t>
      </w:r>
      <w:r>
        <w:t xml:space="preserve"> </w:t>
      </w:r>
      <w:r w:rsidRPr="00720DCA">
        <w:t>all ages and</w:t>
      </w:r>
      <w:r w:rsidR="00C80BCE">
        <w:t> </w:t>
      </w:r>
      <w:r w:rsidRPr="00720DCA">
        <w:t>backgrounds.</w:t>
      </w:r>
    </w:p>
    <w:p w14:paraId="1C799DD4" w14:textId="1508F57A" w:rsidR="004F7554" w:rsidRPr="00720DCA" w:rsidRDefault="004F7554" w:rsidP="00BC22C1">
      <w:pPr>
        <w:pStyle w:val="ARbodyafterbullets"/>
      </w:pPr>
      <w:r w:rsidRPr="00720DCA">
        <w:t xml:space="preserve">The department implemented, supported and delivered priority actions of the </w:t>
      </w:r>
      <w:r w:rsidRPr="00DE367D">
        <w:rPr>
          <w:rStyle w:val="Emphasis"/>
        </w:rPr>
        <w:t>Recognising and supporting Victoria</w:t>
      </w:r>
      <w:r w:rsidR="00711AE6">
        <w:rPr>
          <w:rStyle w:val="Emphasis"/>
        </w:rPr>
        <w:t>’</w:t>
      </w:r>
      <w:r w:rsidRPr="00DE367D">
        <w:rPr>
          <w:rStyle w:val="Emphasis"/>
        </w:rPr>
        <w:t xml:space="preserve">s carers: Victorian carer strategy 2018–22 </w:t>
      </w:r>
      <w:r w:rsidRPr="00720DCA">
        <w:t xml:space="preserve">(extended until the end of 2023). Work to refresh the strategy is currently underway, maintaining focus on these </w:t>
      </w:r>
      <w:r w:rsidR="009D641C">
        <w:t>5</w:t>
      </w:r>
      <w:r w:rsidRPr="00720DCA">
        <w:t xml:space="preserve"> key priority areas:</w:t>
      </w:r>
    </w:p>
    <w:p w14:paraId="00A898CC" w14:textId="77777777" w:rsidR="004F7554" w:rsidRPr="00720DCA" w:rsidRDefault="004F7554" w:rsidP="0088621E">
      <w:pPr>
        <w:pStyle w:val="ARbullet1"/>
      </w:pPr>
      <w:r w:rsidRPr="00720DCA">
        <w:t>carers have better health and wellbeing</w:t>
      </w:r>
    </w:p>
    <w:p w14:paraId="5EFA8839" w14:textId="51A64820" w:rsidR="004F7554" w:rsidRPr="00720DCA" w:rsidRDefault="004F7554" w:rsidP="0088621E">
      <w:pPr>
        <w:pStyle w:val="ARbullet1"/>
      </w:pPr>
      <w:r w:rsidRPr="00720DCA">
        <w:t>carers are supported in school, study, and</w:t>
      </w:r>
      <w:r w:rsidR="00C243C9">
        <w:t> </w:t>
      </w:r>
      <w:r w:rsidRPr="00720DCA">
        <w:t>work</w:t>
      </w:r>
      <w:r w:rsidR="00BC5788">
        <w:t> </w:t>
      </w:r>
      <w:r w:rsidRPr="00720DCA">
        <w:t>environments</w:t>
      </w:r>
    </w:p>
    <w:p w14:paraId="4C48E2CD" w14:textId="1E871A27" w:rsidR="004F7554" w:rsidRPr="00720DCA" w:rsidRDefault="004F7554" w:rsidP="0088621E">
      <w:pPr>
        <w:pStyle w:val="ARbullet1"/>
      </w:pPr>
      <w:r w:rsidRPr="00720DCA">
        <w:t>carers can access support and services that</w:t>
      </w:r>
      <w:r w:rsidR="00C243C9">
        <w:t> </w:t>
      </w:r>
      <w:r w:rsidRPr="00720DCA">
        <w:t>meet their needs</w:t>
      </w:r>
    </w:p>
    <w:p w14:paraId="2331AD96" w14:textId="77777777" w:rsidR="004F7554" w:rsidRPr="00720DCA" w:rsidRDefault="004F7554" w:rsidP="0088621E">
      <w:pPr>
        <w:pStyle w:val="ARbullet1"/>
      </w:pPr>
      <w:r w:rsidRPr="00720DCA">
        <w:t>carers have less financial stress</w:t>
      </w:r>
    </w:p>
    <w:p w14:paraId="43DD2889" w14:textId="62DBCCC2" w:rsidR="004F7554" w:rsidRDefault="004F7554" w:rsidP="0088621E">
      <w:pPr>
        <w:pStyle w:val="ARbullet1"/>
      </w:pPr>
      <w:r w:rsidRPr="00720DCA">
        <w:t>carers are recognised, acknowledged, and</w:t>
      </w:r>
      <w:r w:rsidR="004D197C">
        <w:t> </w:t>
      </w:r>
      <w:r w:rsidRPr="00720DCA">
        <w:t>respected.</w:t>
      </w:r>
    </w:p>
    <w:p w14:paraId="1668EFD5" w14:textId="13BDFDA0" w:rsidR="004F7554" w:rsidRPr="00720DCA" w:rsidRDefault="004F7554" w:rsidP="0088621E">
      <w:pPr>
        <w:pStyle w:val="ARbodyafterbullets"/>
      </w:pPr>
      <w:r w:rsidRPr="00720DCA">
        <w:t>The department</w:t>
      </w:r>
      <w:r w:rsidR="00711AE6">
        <w:t>’</w:t>
      </w:r>
      <w:r w:rsidRPr="00720DCA">
        <w:t>s actions</w:t>
      </w:r>
      <w:r>
        <w:t xml:space="preserve"> in 2023</w:t>
      </w:r>
      <w:r w:rsidR="005B7C9B">
        <w:t>–</w:t>
      </w:r>
      <w:r>
        <w:t>24</w:t>
      </w:r>
      <w:r w:rsidRPr="00720DCA">
        <w:t xml:space="preserve"> to deliver and</w:t>
      </w:r>
      <w:r w:rsidR="00533850">
        <w:t> </w:t>
      </w:r>
      <w:r w:rsidRPr="00720DCA">
        <w:t>support</w:t>
      </w:r>
      <w:r>
        <w:t xml:space="preserve"> </w:t>
      </w:r>
      <w:r w:rsidRPr="00720DCA">
        <w:t>these priorities include:</w:t>
      </w:r>
    </w:p>
    <w:p w14:paraId="52C56C9C" w14:textId="77777777" w:rsidR="004F7554" w:rsidRPr="00720DCA" w:rsidRDefault="004F7554" w:rsidP="0088621E">
      <w:pPr>
        <w:pStyle w:val="ARbullet1"/>
      </w:pPr>
      <w:r w:rsidRPr="00720DCA">
        <w:t xml:space="preserve">delivering flexible tailored supports for carers through the Victorian Support for Carers Program, to meet the needs of Victorian carers </w:t>
      </w:r>
    </w:p>
    <w:p w14:paraId="7AE47948" w14:textId="6859FE66" w:rsidR="00BC5788" w:rsidRDefault="004F7554" w:rsidP="0088621E">
      <w:pPr>
        <w:pStyle w:val="ARbullet1"/>
      </w:pPr>
      <w:r w:rsidRPr="00720DCA">
        <w:t>funding 50 providers to deliver additional respite</w:t>
      </w:r>
      <w:r>
        <w:t xml:space="preserve"> </w:t>
      </w:r>
      <w:r w:rsidRPr="00720DCA">
        <w:t>for carers in innovative ways in 2023–25. This helps 5,000 more Victorian carers each year access respite in flexible ways to meet their needs, with a focus on supporting carers in regional and rural Victoria and carers from diverse communities</w:t>
      </w:r>
      <w:r w:rsidR="00BC5788">
        <w:br w:type="page"/>
      </w:r>
    </w:p>
    <w:p w14:paraId="2A0DAC7A" w14:textId="25EFDD94" w:rsidR="004F7554" w:rsidRPr="00720DCA" w:rsidRDefault="004F7554" w:rsidP="0088621E">
      <w:pPr>
        <w:pStyle w:val="ARbullet1"/>
      </w:pPr>
      <w:r w:rsidRPr="00720DCA">
        <w:t>funding a small grants program, administered by</w:t>
      </w:r>
      <w:r w:rsidR="00C243C9">
        <w:t> </w:t>
      </w:r>
      <w:r w:rsidRPr="00720DCA">
        <w:t>Carers Victoria, to increase local support for carers in their communities. The Connecting Carers in their Communities program provided grants to increase local support for carers, particularly for carers in regional and rural areas and carers from diverse communities</w:t>
      </w:r>
    </w:p>
    <w:p w14:paraId="699E9EC2" w14:textId="72B71081" w:rsidR="004F7554" w:rsidRPr="00720DCA" w:rsidRDefault="005373FF" w:rsidP="0088621E">
      <w:pPr>
        <w:pStyle w:val="ARbullet1"/>
      </w:pPr>
      <w:r>
        <w:t>extending</w:t>
      </w:r>
      <w:r w:rsidR="004F7554" w:rsidRPr="00720DCA">
        <w:t xml:space="preserve"> benefits available through the Victorian Carer</w:t>
      </w:r>
      <w:r w:rsidR="004F7554">
        <w:t xml:space="preserve"> </w:t>
      </w:r>
      <w:r w:rsidR="004F7554" w:rsidRPr="00720DCA">
        <w:t>Card, including public transport concessions in partnership with the Department of Transport</w:t>
      </w:r>
      <w:r w:rsidR="004F7554">
        <w:t xml:space="preserve"> and Planning</w:t>
      </w:r>
    </w:p>
    <w:p w14:paraId="053D5B89" w14:textId="1F02F399" w:rsidR="004F7554" w:rsidRPr="00720DCA" w:rsidRDefault="005373FF" w:rsidP="0088621E">
      <w:pPr>
        <w:pStyle w:val="ARbullet1"/>
      </w:pPr>
      <w:r>
        <w:t>continuing</w:t>
      </w:r>
      <w:r w:rsidR="004F7554" w:rsidRPr="00720DCA">
        <w:t xml:space="preserve"> the Carers Employment Initiative</w:t>
      </w:r>
      <w:r w:rsidR="00C80BCE">
        <w:t> </w:t>
      </w:r>
      <w:r w:rsidR="004F7554" w:rsidRPr="00720DCA">
        <w:t>delivering:</w:t>
      </w:r>
    </w:p>
    <w:p w14:paraId="1DED4F31" w14:textId="5E8EE71E" w:rsidR="00BC22C1" w:rsidRDefault="004F7554" w:rsidP="00A227A2">
      <w:pPr>
        <w:pStyle w:val="ARbullet2"/>
      </w:pPr>
      <w:r w:rsidRPr="00720DCA">
        <w:t xml:space="preserve">a Carers </w:t>
      </w:r>
      <w:r w:rsidRPr="00A227A2">
        <w:t>Employment</w:t>
      </w:r>
      <w:r w:rsidRPr="00720DCA">
        <w:t xml:space="preserve"> Support Program, via</w:t>
      </w:r>
      <w:r>
        <w:t xml:space="preserve"> </w:t>
      </w:r>
      <w:r w:rsidRPr="00720DCA">
        <w:t>22 funded agencies across Victoria, provided tailored mentoring and support to</w:t>
      </w:r>
      <w:r>
        <w:t xml:space="preserve"> </w:t>
      </w:r>
      <w:r w:rsidRPr="00720DCA">
        <w:t>carers seeking to enter or re-enter employment, increasing their confidence and helping to remove barriers to employment</w:t>
      </w:r>
    </w:p>
    <w:p w14:paraId="3403DC06" w14:textId="66F5DA92" w:rsidR="004F7554" w:rsidRPr="00720DCA" w:rsidRDefault="004F7554" w:rsidP="0088621E">
      <w:pPr>
        <w:pStyle w:val="ARbullet2"/>
      </w:pPr>
      <w:r w:rsidRPr="00720DCA">
        <w:t>research, advocacy, and identification of</w:t>
      </w:r>
      <w:r w:rsidR="00C243C9">
        <w:t> </w:t>
      </w:r>
      <w:r w:rsidRPr="00720DCA">
        <w:t>flexible work</w:t>
      </w:r>
      <w:r>
        <w:t xml:space="preserve"> </w:t>
      </w:r>
      <w:r w:rsidRPr="00720DCA">
        <w:t>opportunities to provide increased choice and ability for carers seeking to engage in</w:t>
      </w:r>
      <w:r>
        <w:t xml:space="preserve"> </w:t>
      </w:r>
      <w:r w:rsidRPr="00720DCA">
        <w:t>employment while continuing in their care</w:t>
      </w:r>
      <w:r>
        <w:t xml:space="preserve"> </w:t>
      </w:r>
      <w:r w:rsidRPr="00720DCA">
        <w:t>role</w:t>
      </w:r>
    </w:p>
    <w:p w14:paraId="131CA820" w14:textId="7AB78E5B" w:rsidR="004F7554" w:rsidRPr="00720DCA" w:rsidRDefault="004F7554" w:rsidP="0088621E">
      <w:pPr>
        <w:pStyle w:val="ARbullet2"/>
      </w:pPr>
      <w:r w:rsidRPr="00720DCA">
        <w:t>increased understanding of carers</w:t>
      </w:r>
      <w:r w:rsidR="00711AE6">
        <w:t>’</w:t>
      </w:r>
      <w:r w:rsidRPr="00720DCA">
        <w:t xml:space="preserve"> employment support needs and opportunities for systemic change and increased opportunities for carers to enter and maintain employment in ways that meet their needs</w:t>
      </w:r>
    </w:p>
    <w:p w14:paraId="4D6A9436" w14:textId="07D4ABCD" w:rsidR="004F7554" w:rsidRPr="00720DCA" w:rsidRDefault="004F7554" w:rsidP="0088621E">
      <w:pPr>
        <w:pStyle w:val="ARbullet2"/>
      </w:pPr>
      <w:r w:rsidRPr="00720DCA">
        <w:t>consultations with carers on their needs and</w:t>
      </w:r>
      <w:r w:rsidR="00B14E89">
        <w:t> </w:t>
      </w:r>
      <w:r w:rsidRPr="00720DCA">
        <w:t>views about flexible work for carers</w:t>
      </w:r>
    </w:p>
    <w:p w14:paraId="0CC4CB7D" w14:textId="4AF895B1" w:rsidR="004F7554" w:rsidRPr="00720DCA" w:rsidRDefault="004F7554" w:rsidP="0088621E">
      <w:pPr>
        <w:pStyle w:val="ARbullet2"/>
      </w:pPr>
      <w:r w:rsidRPr="00720DCA">
        <w:t>establishment of networks, resources and system linkages to share information about ways to</w:t>
      </w:r>
      <w:r>
        <w:t xml:space="preserve"> </w:t>
      </w:r>
      <w:r w:rsidRPr="00720DCA">
        <w:t>support carers in the workplace and</w:t>
      </w:r>
      <w:r w:rsidR="00C243C9">
        <w:t> </w:t>
      </w:r>
      <w:r w:rsidRPr="00720DCA">
        <w:t>recognise the value carers bring to</w:t>
      </w:r>
      <w:r w:rsidR="00C243C9">
        <w:t> </w:t>
      </w:r>
      <w:r w:rsidRPr="00720DCA">
        <w:t>the</w:t>
      </w:r>
      <w:r w:rsidR="00C80BCE">
        <w:t> </w:t>
      </w:r>
      <w:r w:rsidRPr="00720DCA">
        <w:t>workforce</w:t>
      </w:r>
    </w:p>
    <w:p w14:paraId="74BF3527" w14:textId="4B683FCF" w:rsidR="004F7554" w:rsidRPr="00720DCA" w:rsidRDefault="005373FF" w:rsidP="0088621E">
      <w:pPr>
        <w:pStyle w:val="ARbullet1"/>
        <w:keepLines/>
      </w:pPr>
      <w:r>
        <w:t>involving</w:t>
      </w:r>
      <w:r w:rsidR="004F7554" w:rsidRPr="00720DCA">
        <w:t xml:space="preserve"> carers in decision making about services and programs for the</w:t>
      </w:r>
      <w:r w:rsidR="004F7554">
        <w:t xml:space="preserve"> </w:t>
      </w:r>
      <w:r w:rsidR="004F7554" w:rsidRPr="00720DCA">
        <w:t xml:space="preserve">people for whom they care, through informal and formal advisory groups, including a </w:t>
      </w:r>
      <w:r w:rsidR="004F7554">
        <w:t>s</w:t>
      </w:r>
      <w:r w:rsidR="004F7554" w:rsidRPr="00720DCA">
        <w:t xml:space="preserve">trategic </w:t>
      </w:r>
      <w:r w:rsidR="004F7554">
        <w:t>a</w:t>
      </w:r>
      <w:r w:rsidR="004F7554" w:rsidRPr="00720DCA">
        <w:t xml:space="preserve">dvisory </w:t>
      </w:r>
      <w:r w:rsidR="004F7554">
        <w:t>g</w:t>
      </w:r>
      <w:r w:rsidR="004F7554" w:rsidRPr="00720DCA">
        <w:t>roup to</w:t>
      </w:r>
      <w:r w:rsidR="004F7554">
        <w:t xml:space="preserve"> </w:t>
      </w:r>
      <w:r w:rsidR="004F7554" w:rsidRPr="00720DCA">
        <w:t xml:space="preserve">inform the </w:t>
      </w:r>
      <w:r w:rsidR="004F7554">
        <w:t>C</w:t>
      </w:r>
      <w:r w:rsidR="004F7554" w:rsidRPr="00720DCA">
        <w:t xml:space="preserve">arers </w:t>
      </w:r>
      <w:r w:rsidR="004F7554">
        <w:t>E</w:t>
      </w:r>
      <w:r w:rsidR="004F7554" w:rsidRPr="00720DCA">
        <w:t xml:space="preserve">mployment </w:t>
      </w:r>
      <w:r w:rsidR="004F7554">
        <w:t>I</w:t>
      </w:r>
      <w:r w:rsidR="004F7554" w:rsidRPr="00720DCA">
        <w:t>nitiative</w:t>
      </w:r>
      <w:r w:rsidR="004F7554">
        <w:t xml:space="preserve"> </w:t>
      </w:r>
    </w:p>
    <w:p w14:paraId="66670297" w14:textId="6EDD31D7" w:rsidR="004F7554" w:rsidRDefault="004F7554" w:rsidP="00C80BCE">
      <w:pPr>
        <w:pStyle w:val="ARbullet1"/>
      </w:pPr>
      <w:r w:rsidRPr="00720DCA">
        <w:t>funding peak body Carers Victoria, to</w:t>
      </w:r>
      <w:r>
        <w:t xml:space="preserve"> </w:t>
      </w:r>
      <w:r w:rsidRPr="00720DCA">
        <w:t>advocate, provide carers with support including through system navigation and linkage to services, delivery of education, focus groups and research to better understand and meet carers</w:t>
      </w:r>
      <w:r w:rsidR="00711AE6">
        <w:t>’</w:t>
      </w:r>
      <w:r w:rsidRPr="00720DCA">
        <w:t xml:space="preserve"> support needs</w:t>
      </w:r>
      <w:r>
        <w:t xml:space="preserve"> </w:t>
      </w:r>
    </w:p>
    <w:p w14:paraId="18DB4A94" w14:textId="178F0662" w:rsidR="004F7554" w:rsidRDefault="004F7554" w:rsidP="00C80BCE">
      <w:pPr>
        <w:pStyle w:val="ARbullet1"/>
      </w:pPr>
      <w:r w:rsidRPr="00720DCA">
        <w:t xml:space="preserve">working in partnership with other government departments, sector partners, carers and the community to ensure </w:t>
      </w:r>
      <w:r w:rsidRPr="00C80BCE">
        <w:t>carers</w:t>
      </w:r>
      <w:r w:rsidR="00711AE6">
        <w:t>’</w:t>
      </w:r>
      <w:r w:rsidRPr="00720DCA">
        <w:t xml:space="preserve"> needs and the principles of the Act are considered in the development of new government policies, the development of whole-of-government initiatives and to advocate for carers</w:t>
      </w:r>
      <w:r w:rsidR="00711AE6">
        <w:t>’</w:t>
      </w:r>
      <w:r w:rsidRPr="00720DCA">
        <w:t xml:space="preserve"> needs at local, state and federal levels. This includes collaborating with the Commonwealth Government in development of a National Carer Strategy to recognise and support carers across Australia.</w:t>
      </w:r>
    </w:p>
    <w:p w14:paraId="2FC8BC93" w14:textId="77777777" w:rsidR="004F7554" w:rsidRDefault="004F7554" w:rsidP="0088621E">
      <w:pPr>
        <w:pStyle w:val="ARbody"/>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457A6DF8" w14:textId="77777777" w:rsidR="00BC22C1" w:rsidRDefault="004F7554" w:rsidP="0052277A">
      <w:pPr>
        <w:pStyle w:val="Heading2"/>
        <w:spacing w:before="480"/>
        <w:sectPr w:rsidR="00BC22C1"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bookmarkStart w:id="229" w:name="_Ref178240396"/>
      <w:bookmarkStart w:id="230" w:name="_Toc181101521"/>
      <w:r w:rsidRPr="006112C1">
        <w:t>Compliance with the Disability Act and the Children, Youth and Families Act</w:t>
      </w:r>
      <w:bookmarkEnd w:id="229"/>
      <w:bookmarkEnd w:id="230"/>
    </w:p>
    <w:p w14:paraId="00C09AC0" w14:textId="77777777" w:rsidR="002B5EDC" w:rsidRPr="0037452F" w:rsidRDefault="002B5EDC" w:rsidP="002B5EDC">
      <w:pPr>
        <w:pStyle w:val="ARbody"/>
      </w:pPr>
      <w:r w:rsidRPr="0037452F">
        <w:t xml:space="preserve">The </w:t>
      </w:r>
      <w:r w:rsidRPr="007803CC">
        <w:rPr>
          <w:rStyle w:val="Emphasis"/>
        </w:rPr>
        <w:t>Disability Act 2006</w:t>
      </w:r>
      <w:r w:rsidRPr="0037452F">
        <w:t xml:space="preserve"> requires Victorian agencies to develop a disability action plan for the purpose of:</w:t>
      </w:r>
    </w:p>
    <w:p w14:paraId="77FD5CD6" w14:textId="77777777" w:rsidR="002B5EDC" w:rsidRPr="0037452F" w:rsidRDefault="002B5EDC" w:rsidP="002B5EDC">
      <w:pPr>
        <w:pStyle w:val="ARbullet1"/>
      </w:pPr>
      <w:r w:rsidRPr="0037452F">
        <w:t>reducing barriers to people with disability accessing goods, services and facilities</w:t>
      </w:r>
    </w:p>
    <w:p w14:paraId="4DDF7A93" w14:textId="77777777" w:rsidR="002B5EDC" w:rsidRPr="0037452F" w:rsidRDefault="002B5EDC" w:rsidP="002B5EDC">
      <w:pPr>
        <w:pStyle w:val="ARbullet1"/>
      </w:pPr>
      <w:r w:rsidRPr="0037452F">
        <w:t>reducing barriers to people with disability obtaining and maintain employment</w:t>
      </w:r>
    </w:p>
    <w:p w14:paraId="116E2FF3" w14:textId="77777777" w:rsidR="002B5EDC" w:rsidRPr="0037452F" w:rsidRDefault="002B5EDC" w:rsidP="002B5EDC">
      <w:pPr>
        <w:pStyle w:val="ARbullet1"/>
      </w:pPr>
      <w:r w:rsidRPr="0037452F">
        <w:t>promoting inclusion and participation in the community of people with disability</w:t>
      </w:r>
    </w:p>
    <w:p w14:paraId="4B3228E3" w14:textId="77777777" w:rsidR="002B5EDC" w:rsidRPr="0037452F" w:rsidRDefault="002B5EDC" w:rsidP="002B5EDC">
      <w:pPr>
        <w:pStyle w:val="ARbullet1"/>
      </w:pPr>
      <w:r w:rsidRPr="0037452F">
        <w:t>achieving tangible changes in attitudes and practices which discriminate against people with disability.</w:t>
      </w:r>
    </w:p>
    <w:p w14:paraId="5E575B5D" w14:textId="14ED23C3" w:rsidR="00BC5788" w:rsidRDefault="00BC5788" w:rsidP="00BC5788">
      <w:pPr>
        <w:pStyle w:val="ARbodyafterbullets"/>
        <w:spacing w:before="0"/>
      </w:pPr>
      <w:r>
        <w:br w:type="column"/>
      </w:r>
      <w:r w:rsidR="002B5EDC" w:rsidRPr="0037452F">
        <w:t xml:space="preserve">The </w:t>
      </w:r>
      <w:r w:rsidR="005373FF">
        <w:t>department</w:t>
      </w:r>
      <w:r w:rsidR="00711AE6">
        <w:t>’</w:t>
      </w:r>
      <w:r w:rsidR="005373FF">
        <w:t>s</w:t>
      </w:r>
      <w:r w:rsidR="005373FF" w:rsidRPr="0037452F">
        <w:t xml:space="preserve"> </w:t>
      </w:r>
      <w:r w:rsidR="002B5EDC" w:rsidRPr="00367B0B">
        <w:rPr>
          <w:i/>
        </w:rPr>
        <w:t xml:space="preserve">Disability </w:t>
      </w:r>
      <w:r w:rsidR="005373FF">
        <w:rPr>
          <w:i/>
          <w:iCs/>
        </w:rPr>
        <w:t>a</w:t>
      </w:r>
      <w:r w:rsidR="005373FF" w:rsidRPr="00367B0B">
        <w:rPr>
          <w:i/>
          <w:iCs/>
        </w:rPr>
        <w:t xml:space="preserve">ction </w:t>
      </w:r>
      <w:r w:rsidR="005373FF">
        <w:rPr>
          <w:i/>
          <w:iCs/>
        </w:rPr>
        <w:t>p</w:t>
      </w:r>
      <w:r w:rsidR="005373FF" w:rsidRPr="00367B0B">
        <w:rPr>
          <w:i/>
          <w:iCs/>
        </w:rPr>
        <w:t>lan</w:t>
      </w:r>
      <w:r w:rsidR="002B5EDC" w:rsidRPr="00367B0B">
        <w:rPr>
          <w:i/>
        </w:rPr>
        <w:t xml:space="preserve"> 2024</w:t>
      </w:r>
      <w:r w:rsidR="006E2F2E" w:rsidRPr="00367B0B">
        <w:rPr>
          <w:i/>
        </w:rPr>
        <w:t>–</w:t>
      </w:r>
      <w:r w:rsidR="002B5EDC" w:rsidRPr="00367B0B">
        <w:rPr>
          <w:i/>
        </w:rPr>
        <w:t>2025</w:t>
      </w:r>
      <w:r w:rsidR="002B5EDC" w:rsidRPr="0037452F">
        <w:t xml:space="preserve"> (the plan) aims to advance the inclusion of individuals with disability by outlining strategic priorities and actions for improving accessibility, ensuring fair service delivery, and promoting the full participation of people with disability in community life. It targets key areas such as enhancing service accessibility, fostering inclusive practices, and engaging with communities to tackle barriers. The plan</w:t>
      </w:r>
      <w:r w:rsidR="00711AE6">
        <w:t>’</w:t>
      </w:r>
      <w:r w:rsidR="002B5EDC" w:rsidRPr="0037452F">
        <w:t>s goal is to</w:t>
      </w:r>
      <w:r w:rsidR="006D7717">
        <w:t> </w:t>
      </w:r>
      <w:r w:rsidR="002B5EDC" w:rsidRPr="0037452F">
        <w:t>build a more inclusive society where people with</w:t>
      </w:r>
      <w:r w:rsidR="006D7717">
        <w:t> </w:t>
      </w:r>
      <w:r w:rsidR="002B5EDC" w:rsidRPr="0037452F">
        <w:t>disabilities have equal opportunities and the support needed to thrive.</w:t>
      </w:r>
      <w:r>
        <w:br w:type="page"/>
      </w:r>
    </w:p>
    <w:p w14:paraId="5858E2E3" w14:textId="68819C7F" w:rsidR="002B5EDC" w:rsidRPr="0037452F" w:rsidRDefault="002B5EDC" w:rsidP="002B5EDC">
      <w:pPr>
        <w:pStyle w:val="ARbodyafterbullets"/>
      </w:pPr>
      <w:r w:rsidRPr="0037452F">
        <w:t xml:space="preserve">The plan is intended to serve as </w:t>
      </w:r>
      <w:r w:rsidR="005373FF">
        <w:t>the department</w:t>
      </w:r>
      <w:r w:rsidR="00711AE6">
        <w:t>’</w:t>
      </w:r>
      <w:r w:rsidR="005373FF">
        <w:t>s</w:t>
      </w:r>
      <w:r w:rsidR="005373FF" w:rsidRPr="0037452F">
        <w:t xml:space="preserve"> </w:t>
      </w:r>
      <w:r w:rsidRPr="0037452F">
        <w:t xml:space="preserve">implementation plan for </w:t>
      </w:r>
      <w:r w:rsidRPr="00DC4A12">
        <w:rPr>
          <w:i/>
        </w:rPr>
        <w:t xml:space="preserve">Inclusive Victoria: </w:t>
      </w:r>
      <w:r w:rsidR="001524C0" w:rsidRPr="001524C0">
        <w:rPr>
          <w:i/>
          <w:iCs/>
        </w:rPr>
        <w:t>state disability plan</w:t>
      </w:r>
      <w:r w:rsidR="001524C0">
        <w:rPr>
          <w:i/>
          <w:iCs/>
        </w:rPr>
        <w:t xml:space="preserve"> 2022–2026</w:t>
      </w:r>
      <w:r w:rsidRPr="007803CC">
        <w:t>.</w:t>
      </w:r>
      <w:r w:rsidRPr="0037452F">
        <w:t xml:space="preserve"> </w:t>
      </w:r>
      <w:r w:rsidRPr="00DC4A12">
        <w:rPr>
          <w:i/>
        </w:rPr>
        <w:t>Inclusive Victoria</w:t>
      </w:r>
      <w:r w:rsidRPr="0037452F">
        <w:t xml:space="preserve"> mandates all Victorian government departments to implement </w:t>
      </w:r>
      <w:r w:rsidR="00F95AC7">
        <w:t>6</w:t>
      </w:r>
      <w:r w:rsidRPr="0037452F">
        <w:t xml:space="preserve"> systemic reforms, which are integrated into the plan. These reforms include:</w:t>
      </w:r>
    </w:p>
    <w:p w14:paraId="65051214" w14:textId="535034ED" w:rsidR="002B5EDC" w:rsidRPr="0037452F" w:rsidRDefault="001524C0" w:rsidP="002B5EDC">
      <w:pPr>
        <w:pStyle w:val="ARbullet1"/>
      </w:pPr>
      <w:r>
        <w:t>c</w:t>
      </w:r>
      <w:r w:rsidRPr="0037452F">
        <w:t>o</w:t>
      </w:r>
      <w:r w:rsidR="002B5EDC" w:rsidRPr="0037452F">
        <w:t>-design with people with disabilities</w:t>
      </w:r>
    </w:p>
    <w:p w14:paraId="0E936D86" w14:textId="3242D514" w:rsidR="002B5EDC" w:rsidRPr="0037452F" w:rsidRDefault="002B5EDC" w:rsidP="002B5EDC">
      <w:pPr>
        <w:pStyle w:val="ARbullet1"/>
      </w:pPr>
      <w:r w:rsidRPr="0037452F">
        <w:t>Aboriginal self-determination</w:t>
      </w:r>
    </w:p>
    <w:p w14:paraId="48DD6281" w14:textId="23ED119F" w:rsidR="002B5EDC" w:rsidRPr="0037452F" w:rsidRDefault="001524C0" w:rsidP="002B5EDC">
      <w:pPr>
        <w:pStyle w:val="ARbullet1"/>
      </w:pPr>
      <w:r>
        <w:t>i</w:t>
      </w:r>
      <w:r w:rsidRPr="0037452F">
        <w:t xml:space="preserve">ntersectional </w:t>
      </w:r>
      <w:r w:rsidR="002B5EDC" w:rsidRPr="0037452F">
        <w:t>approaches</w:t>
      </w:r>
    </w:p>
    <w:p w14:paraId="7018CADF" w14:textId="44E390E2" w:rsidR="002B5EDC" w:rsidRPr="0037452F" w:rsidRDefault="001524C0" w:rsidP="002B5EDC">
      <w:pPr>
        <w:pStyle w:val="ARbullet1"/>
      </w:pPr>
      <w:r>
        <w:t>d</w:t>
      </w:r>
      <w:r w:rsidRPr="0037452F">
        <w:t>isability</w:t>
      </w:r>
      <w:r w:rsidR="002B5EDC" w:rsidRPr="0037452F">
        <w:t>-confident and inclusive workforces</w:t>
      </w:r>
    </w:p>
    <w:p w14:paraId="022BCF51" w14:textId="48DC7F77" w:rsidR="002B5EDC" w:rsidRPr="0037452F" w:rsidRDefault="001524C0" w:rsidP="00BC5788">
      <w:pPr>
        <w:pStyle w:val="ARbullet1"/>
      </w:pPr>
      <w:r>
        <w:t>a</w:t>
      </w:r>
      <w:r w:rsidRPr="00BC5788">
        <w:t>ccessible</w:t>
      </w:r>
      <w:r w:rsidRPr="0037452F">
        <w:t xml:space="preserve"> </w:t>
      </w:r>
      <w:r w:rsidR="002B5EDC" w:rsidRPr="0037452F">
        <w:t>communication and universal design</w:t>
      </w:r>
    </w:p>
    <w:p w14:paraId="65BD051B" w14:textId="366B2499" w:rsidR="002B5EDC" w:rsidRPr="0037452F" w:rsidRDefault="001524C0" w:rsidP="002B5EDC">
      <w:pPr>
        <w:pStyle w:val="ARbullet1"/>
      </w:pPr>
      <w:r>
        <w:t>e</w:t>
      </w:r>
      <w:r w:rsidRPr="0037452F">
        <w:t xml:space="preserve">ffective </w:t>
      </w:r>
      <w:r w:rsidR="002B5EDC" w:rsidRPr="0037452F">
        <w:t>data and outcomes reporting</w:t>
      </w:r>
      <w:r>
        <w:t>.</w:t>
      </w:r>
    </w:p>
    <w:p w14:paraId="1F79BCDF" w14:textId="77777777" w:rsidR="002B5EDC" w:rsidRPr="0037452F" w:rsidRDefault="002B5EDC" w:rsidP="002B5EDC">
      <w:pPr>
        <w:pStyle w:val="ARbodyafterbullets"/>
      </w:pPr>
      <w:r w:rsidRPr="0037452F">
        <w:t>The plan also incorporates Inclusive Victoria actions related to priority areas such as:</w:t>
      </w:r>
    </w:p>
    <w:p w14:paraId="1C4F7C3F" w14:textId="3CA6B1F8" w:rsidR="002B5EDC" w:rsidRPr="0037452F" w:rsidRDefault="001524C0" w:rsidP="002B5EDC">
      <w:pPr>
        <w:pStyle w:val="ARbullet1"/>
      </w:pPr>
      <w:r>
        <w:t>h</w:t>
      </w:r>
      <w:r w:rsidRPr="0037452F">
        <w:t>ousing</w:t>
      </w:r>
    </w:p>
    <w:p w14:paraId="305E506F" w14:textId="47DBA317" w:rsidR="002B5EDC" w:rsidRPr="0037452F" w:rsidRDefault="001524C0" w:rsidP="002B5EDC">
      <w:pPr>
        <w:pStyle w:val="ARbullet1"/>
      </w:pPr>
      <w:r>
        <w:t>a</w:t>
      </w:r>
      <w:r w:rsidR="002B5EDC" w:rsidRPr="0037452F">
        <w:t>ccess to the NDIS</w:t>
      </w:r>
    </w:p>
    <w:p w14:paraId="2D407A1B" w14:textId="57441F15" w:rsidR="002B5EDC" w:rsidRPr="0037452F" w:rsidRDefault="001524C0" w:rsidP="002B5EDC">
      <w:pPr>
        <w:pStyle w:val="ARbullet1"/>
      </w:pPr>
      <w:r>
        <w:t>c</w:t>
      </w:r>
      <w:r w:rsidRPr="0037452F">
        <w:t xml:space="preserve">hildren </w:t>
      </w:r>
      <w:r w:rsidR="002B5EDC" w:rsidRPr="0037452F">
        <w:t>and families</w:t>
      </w:r>
    </w:p>
    <w:p w14:paraId="1D99381A" w14:textId="294F2AC9" w:rsidR="002B5EDC" w:rsidRPr="0037452F" w:rsidRDefault="001524C0" w:rsidP="002B5EDC">
      <w:pPr>
        <w:pStyle w:val="ARbullet1"/>
      </w:pPr>
      <w:r>
        <w:t>d</w:t>
      </w:r>
      <w:r w:rsidRPr="0037452F">
        <w:t xml:space="preserve">isability </w:t>
      </w:r>
      <w:r w:rsidR="002B5EDC" w:rsidRPr="0037452F">
        <w:t>advocacy</w:t>
      </w:r>
    </w:p>
    <w:p w14:paraId="1A09EC34" w14:textId="14509FAC" w:rsidR="002B5EDC" w:rsidRPr="0037452F" w:rsidRDefault="001524C0" w:rsidP="002B5EDC">
      <w:pPr>
        <w:pStyle w:val="ARbullet1"/>
      </w:pPr>
      <w:r>
        <w:t>p</w:t>
      </w:r>
      <w:r w:rsidRPr="0037452F">
        <w:t xml:space="preserve">reventing </w:t>
      </w:r>
      <w:r w:rsidR="002B5EDC" w:rsidRPr="0037452F">
        <w:t>abuse and neglect</w:t>
      </w:r>
    </w:p>
    <w:p w14:paraId="09B7478F" w14:textId="0967BC05" w:rsidR="002B5EDC" w:rsidRPr="0037452F" w:rsidRDefault="001524C0" w:rsidP="002B5EDC">
      <w:pPr>
        <w:pStyle w:val="ARbullet1"/>
      </w:pPr>
      <w:r>
        <w:t>v</w:t>
      </w:r>
      <w:r w:rsidRPr="0037452F">
        <w:t xml:space="preserve">oice </w:t>
      </w:r>
      <w:r w:rsidR="002B5EDC" w:rsidRPr="0037452F">
        <w:t>and leadership</w:t>
      </w:r>
    </w:p>
    <w:p w14:paraId="5740E30F" w14:textId="41347C41" w:rsidR="002B5EDC" w:rsidRPr="0037452F" w:rsidRDefault="001524C0" w:rsidP="00BC5788">
      <w:pPr>
        <w:pStyle w:val="ARbullet1"/>
      </w:pPr>
      <w:r>
        <w:t>p</w:t>
      </w:r>
      <w:r w:rsidRPr="0037452F">
        <w:t xml:space="preserve">ride </w:t>
      </w:r>
      <w:r w:rsidR="002B5EDC" w:rsidRPr="0037452F">
        <w:t xml:space="preserve">and </w:t>
      </w:r>
      <w:r w:rsidR="002B5EDC" w:rsidRPr="00BC5788">
        <w:t>recognition</w:t>
      </w:r>
      <w:r>
        <w:t>.</w:t>
      </w:r>
    </w:p>
    <w:p w14:paraId="6F53936F" w14:textId="4F5D97DE" w:rsidR="002B5EDC" w:rsidRPr="0037452F" w:rsidRDefault="002B5EDC" w:rsidP="002B5EDC">
      <w:pPr>
        <w:pStyle w:val="ARbodyafterbullets"/>
      </w:pPr>
      <w:r w:rsidRPr="0037452F">
        <w:t xml:space="preserve">The </w:t>
      </w:r>
      <w:r w:rsidR="001524C0">
        <w:t>disability action plan</w:t>
      </w:r>
      <w:r w:rsidR="001524C0" w:rsidRPr="0037452F">
        <w:t xml:space="preserve"> </w:t>
      </w:r>
      <w:r w:rsidRPr="0037452F">
        <w:t xml:space="preserve">also draws on the </w:t>
      </w:r>
      <w:r w:rsidRPr="00DC4A12">
        <w:rPr>
          <w:i/>
        </w:rPr>
        <w:t xml:space="preserve">Diversity </w:t>
      </w:r>
      <w:r w:rsidRPr="00DC4A12">
        <w:rPr>
          <w:i/>
          <w:iCs/>
        </w:rPr>
        <w:t>and Inclusion Framework</w:t>
      </w:r>
      <w:r w:rsidRPr="006C3CCE">
        <w:rPr>
          <w:b/>
          <w:bCs/>
        </w:rPr>
        <w:t xml:space="preserve"> </w:t>
      </w:r>
      <w:r w:rsidRPr="00DC4A12">
        <w:rPr>
          <w:i/>
        </w:rPr>
        <w:t>2022</w:t>
      </w:r>
      <w:r w:rsidR="006E2F2E" w:rsidRPr="00DC4A12">
        <w:rPr>
          <w:i/>
        </w:rPr>
        <w:t>–</w:t>
      </w:r>
      <w:r w:rsidRPr="00DC4A12">
        <w:rPr>
          <w:i/>
        </w:rPr>
        <w:t>2027</w:t>
      </w:r>
      <w:r w:rsidRPr="0037452F">
        <w:t>, where relevant, in relation to the department</w:t>
      </w:r>
      <w:r w:rsidR="00711AE6">
        <w:t>’</w:t>
      </w:r>
      <w:r w:rsidRPr="0037452F">
        <w:t>s priorities to achieve inclusion of its employees with</w:t>
      </w:r>
      <w:r w:rsidR="00C243C9">
        <w:t> </w:t>
      </w:r>
      <w:r w:rsidRPr="0037452F">
        <w:t xml:space="preserve">disability. </w:t>
      </w:r>
    </w:p>
    <w:p w14:paraId="744BF31F" w14:textId="1CD96FCC" w:rsidR="002B5EDC" w:rsidRDefault="002B5EDC" w:rsidP="00BC5788">
      <w:pPr>
        <w:pStyle w:val="ARbody"/>
      </w:pPr>
      <w:r w:rsidRPr="0037452F">
        <w:t xml:space="preserve">The </w:t>
      </w:r>
      <w:r w:rsidR="001524C0">
        <w:t>disability action plan</w:t>
      </w:r>
      <w:r w:rsidRPr="0037452F">
        <w:t xml:space="preserve"> </w:t>
      </w:r>
      <w:r w:rsidR="001524C0">
        <w:t xml:space="preserve">focuses on particular areas </w:t>
      </w:r>
      <w:r w:rsidRPr="0037452F">
        <w:t xml:space="preserve">for the department to advance disability inclusion over the next </w:t>
      </w:r>
      <w:r w:rsidR="00F95AC7">
        <w:t>2</w:t>
      </w:r>
      <w:r w:rsidRPr="0037452F">
        <w:t xml:space="preserve"> years</w:t>
      </w:r>
      <w:r w:rsidR="001524C0">
        <w:t>.</w:t>
      </w:r>
      <w:r w:rsidRPr="0037452F">
        <w:t xml:space="preserve"> </w:t>
      </w:r>
      <w:r w:rsidR="001524C0">
        <w:t>These include</w:t>
      </w:r>
      <w:r w:rsidRPr="0037452F">
        <w:t xml:space="preserve"> reducing barriers to accessibility, reducing barriers to employment, changing community attitudes and co-design with people with disability. </w:t>
      </w:r>
    </w:p>
    <w:p w14:paraId="3B0C05A3" w14:textId="4371ED62" w:rsidR="002B5EDC" w:rsidRPr="0037452F" w:rsidRDefault="006D7717" w:rsidP="006D7717">
      <w:pPr>
        <w:pStyle w:val="Heading3"/>
      </w:pPr>
      <w:r>
        <w:br w:type="column"/>
      </w:r>
      <w:bookmarkStart w:id="231" w:name="_Ref525207598"/>
      <w:bookmarkStart w:id="232" w:name="_Toc54690796"/>
      <w:r w:rsidR="002B5EDC" w:rsidRPr="0037452F">
        <w:t>Registered disability service providers and community service organisations</w:t>
      </w:r>
      <w:bookmarkEnd w:id="231"/>
      <w:bookmarkEnd w:id="232"/>
    </w:p>
    <w:p w14:paraId="5741167B" w14:textId="5497F06C" w:rsidR="002B5EDC" w:rsidRPr="00925C47" w:rsidRDefault="002B5EDC" w:rsidP="002B5EDC">
      <w:pPr>
        <w:pStyle w:val="ARbody"/>
      </w:pPr>
      <w:r w:rsidRPr="0037452F">
        <w:t xml:space="preserve">Registration under the </w:t>
      </w:r>
      <w:r w:rsidRPr="007803CC">
        <w:rPr>
          <w:rStyle w:val="Emphasis"/>
        </w:rPr>
        <w:t>Disability Act 2006</w:t>
      </w:r>
      <w:r w:rsidRPr="0037452F">
        <w:t xml:space="preserve"> and the</w:t>
      </w:r>
      <w:r w:rsidR="006D7717">
        <w:t> </w:t>
      </w:r>
      <w:r w:rsidRPr="007803CC">
        <w:rPr>
          <w:rStyle w:val="Emphasis"/>
        </w:rPr>
        <w:t>Children, Youth and Families Act 2005</w:t>
      </w:r>
      <w:r w:rsidRPr="0037452F">
        <w:t xml:space="preserve"> was previously managed by the department</w:t>
      </w:r>
      <w:r w:rsidR="00711AE6">
        <w:t>’</w:t>
      </w:r>
      <w:r w:rsidRPr="0037452F">
        <w:t>s Human Services Regulator, which had responsibility for regulating registered social services on behalf of</w:t>
      </w:r>
      <w:r w:rsidR="00C243C9">
        <w:t> </w:t>
      </w:r>
      <w:r w:rsidRPr="0037452F">
        <w:t>the department.</w:t>
      </w:r>
    </w:p>
    <w:p w14:paraId="77084578" w14:textId="4E4E3025" w:rsidR="002B5EDC" w:rsidRPr="00925C47" w:rsidRDefault="002B5EDC" w:rsidP="002B5EDC">
      <w:pPr>
        <w:pStyle w:val="ARbody"/>
      </w:pPr>
      <w:r w:rsidRPr="00925C47">
        <w:t>During 2023</w:t>
      </w:r>
      <w:r w:rsidR="006E2F2E">
        <w:t>–</w:t>
      </w:r>
      <w:r w:rsidRPr="00925C47">
        <w:t>24, the department prepared for the</w:t>
      </w:r>
      <w:r w:rsidR="006D7717">
        <w:t> </w:t>
      </w:r>
      <w:r w:rsidRPr="00925C47">
        <w:t xml:space="preserve">commencement of the new Social Services Regulator and new regulatory scheme for social services, on 1 July 2024. </w:t>
      </w:r>
    </w:p>
    <w:p w14:paraId="135E162A" w14:textId="22F4F45F" w:rsidR="002B5EDC" w:rsidRPr="00925C47" w:rsidRDefault="002B5EDC" w:rsidP="0052277A">
      <w:pPr>
        <w:pStyle w:val="ARbody"/>
        <w:spacing w:before="120"/>
      </w:pPr>
      <w:r w:rsidRPr="00925C47">
        <w:t xml:space="preserve">The department developed the </w:t>
      </w:r>
      <w:r w:rsidRPr="00935934">
        <w:rPr>
          <w:rStyle w:val="Emphasis"/>
          <w:i w:val="0"/>
        </w:rPr>
        <w:t>Social Services Regulations 2023</w:t>
      </w:r>
      <w:r w:rsidRPr="00935934">
        <w:rPr>
          <w:i/>
        </w:rPr>
        <w:t xml:space="preserve"> </w:t>
      </w:r>
      <w:r w:rsidRPr="00925C47">
        <w:t xml:space="preserve">and the </w:t>
      </w:r>
      <w:r w:rsidRPr="00935934">
        <w:rPr>
          <w:rStyle w:val="Emphasis"/>
          <w:i w:val="0"/>
        </w:rPr>
        <w:t>Social Services (Supported Residential Services) Regulations 2024</w:t>
      </w:r>
      <w:r w:rsidRPr="00925C47">
        <w:t xml:space="preserve"> to operationalise the scheme. The department also established the independent Social Services Regulator, which commenced on 1 July 2024. The</w:t>
      </w:r>
      <w:r w:rsidR="006D7717">
        <w:t> </w:t>
      </w:r>
      <w:r w:rsidRPr="00925C47">
        <w:t>social services scheme applies to disability services funded or provided by the department, including forensic disability services, and children, youth and</w:t>
      </w:r>
      <w:r w:rsidR="006D7717">
        <w:t> </w:t>
      </w:r>
      <w:r w:rsidRPr="00925C47">
        <w:t>families services funded or provided by the department, and requires these services to be registered with the Social Services Regulator</w:t>
      </w:r>
      <w:r w:rsidR="00E360C4">
        <w:t xml:space="preserve"> </w:t>
      </w:r>
    </w:p>
    <w:p w14:paraId="1B850F9E" w14:textId="69177F4E" w:rsidR="002B5EDC" w:rsidRPr="0037452F" w:rsidRDefault="002B5EDC" w:rsidP="00AA126F">
      <w:pPr>
        <w:pStyle w:val="ARbody"/>
      </w:pPr>
      <w:r w:rsidRPr="0037452F">
        <w:t xml:space="preserve">Until 1 July 2024, </w:t>
      </w:r>
      <w:r w:rsidR="008B326F">
        <w:t>s.</w:t>
      </w:r>
      <w:r w:rsidRPr="0037452F">
        <w:t xml:space="preserve"> 46 of the Disability Act required the Secretary of the department to keep a</w:t>
      </w:r>
      <w:r w:rsidR="006D7717">
        <w:t> </w:t>
      </w:r>
      <w:r w:rsidRPr="0037452F">
        <w:t>register and make available for public inspection a list of disability service providers. Organisations funded by the department to</w:t>
      </w:r>
      <w:r w:rsidRPr="0037452F" w:rsidDel="00386E9D">
        <w:t xml:space="preserve"> </w:t>
      </w:r>
      <w:r w:rsidRPr="0037452F">
        <w:t>deliver disability services were required to be registered with the Human Services Regulator and comply with the Human Services</w:t>
      </w:r>
      <w:r w:rsidR="00C243C9">
        <w:t> </w:t>
      </w:r>
      <w:r w:rsidRPr="0037452F">
        <w:t>Standards.</w:t>
      </w:r>
    </w:p>
    <w:p w14:paraId="7BBA9851" w14:textId="63EF31BB" w:rsidR="00E33A01" w:rsidRDefault="002B5EDC" w:rsidP="00D33B4B">
      <w:pPr>
        <w:pStyle w:val="ARbody"/>
        <w:sectPr w:rsidR="00E33A01" w:rsidSect="00E33A01">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r w:rsidRPr="0037452F">
        <w:t>Until 1 July 2024</w:t>
      </w:r>
      <w:r w:rsidR="008B326F">
        <w:t>,</w:t>
      </w:r>
      <w:r w:rsidRPr="0037452F">
        <w:t xml:space="preserve"> </w:t>
      </w:r>
      <w:r w:rsidR="008B326F">
        <w:t>s.</w:t>
      </w:r>
      <w:r w:rsidRPr="0037452F">
        <w:t xml:space="preserve"> 54 of the Children, Youth and</w:t>
      </w:r>
      <w:r w:rsidR="00C243C9">
        <w:t> </w:t>
      </w:r>
      <w:r w:rsidRPr="0037452F">
        <w:t>Families Act required the Secretary of the department to keep a register of community services. Section 57 of the Act required that the Secretary must make a copy of the register of community services available for inspection on the</w:t>
      </w:r>
      <w:r w:rsidR="006D7717">
        <w:t> </w:t>
      </w:r>
      <w:r w:rsidRPr="0037452F">
        <w:t>department</w:t>
      </w:r>
      <w:r w:rsidR="00711AE6">
        <w:t>’</w:t>
      </w:r>
      <w:r w:rsidRPr="0037452F">
        <w:t>s internet site. Children youth and</w:t>
      </w:r>
      <w:r w:rsidR="006D7717">
        <w:t> </w:t>
      </w:r>
      <w:r w:rsidRPr="0037452F">
        <w:t>family services funded by the department were required to be registered with the Human Services Regulator and comply with the Human Services</w:t>
      </w:r>
      <w:r w:rsidR="006D7717">
        <w:t> </w:t>
      </w:r>
      <w:r w:rsidRPr="0037452F">
        <w:t>Standard</w:t>
      </w:r>
      <w:r>
        <w:t>s</w:t>
      </w:r>
      <w:r w:rsidR="00D33B4B">
        <w:t>.</w:t>
      </w:r>
    </w:p>
    <w:p w14:paraId="1A6A959E" w14:textId="47940F4F" w:rsidR="001A3451" w:rsidRPr="0037452F" w:rsidRDefault="001A3451" w:rsidP="0052277A">
      <w:pPr>
        <w:pStyle w:val="Heading3"/>
        <w:spacing w:before="0"/>
      </w:pPr>
      <w:r w:rsidRPr="0037452F">
        <w:t>Registration activity</w:t>
      </w:r>
    </w:p>
    <w:p w14:paraId="05FA9775" w14:textId="7EC54FFA" w:rsidR="001A3451" w:rsidRPr="0037452F" w:rsidRDefault="001A3451" w:rsidP="001A3451">
      <w:pPr>
        <w:pStyle w:val="ARbody"/>
      </w:pPr>
      <w:r w:rsidRPr="0037452F">
        <w:t>During 2023</w:t>
      </w:r>
      <w:r w:rsidR="006E2F2E">
        <w:t>–</w:t>
      </w:r>
      <w:r w:rsidRPr="0037452F">
        <w:t xml:space="preserve">2024 the department revoked the registration of a number of organisations under the </w:t>
      </w:r>
      <w:r w:rsidRPr="006D7717">
        <w:rPr>
          <w:rStyle w:val="Emphasis"/>
        </w:rPr>
        <w:t>Disability Act 2006</w:t>
      </w:r>
      <w:r w:rsidRPr="0037452F">
        <w:t xml:space="preserve"> and the </w:t>
      </w:r>
      <w:r w:rsidRPr="006D7717">
        <w:rPr>
          <w:rStyle w:val="Emphasis"/>
        </w:rPr>
        <w:t>Children, Youth and Families Act 2005</w:t>
      </w:r>
      <w:r w:rsidRPr="0037452F">
        <w:t xml:space="preserve"> due to these organisations no longer being in scope – for example no longer receiving funding from the </w:t>
      </w:r>
      <w:r w:rsidR="008B326F">
        <w:t>d</w:t>
      </w:r>
      <w:r w:rsidR="008B326F" w:rsidRPr="0037452F">
        <w:t>epartment</w:t>
      </w:r>
      <w:r w:rsidRPr="0037452F">
        <w:t xml:space="preserve">, or </w:t>
      </w:r>
      <w:r w:rsidR="008B326F">
        <w:t>they</w:t>
      </w:r>
      <w:r w:rsidRPr="0037452F">
        <w:t xml:space="preserve"> are not within the scope of the new social services regulatory scheme. (As of 1 July 2024, </w:t>
      </w:r>
      <w:r w:rsidR="00090A89">
        <w:t xml:space="preserve">the </w:t>
      </w:r>
      <w:r w:rsidR="008B326F" w:rsidRPr="0037452F">
        <w:t xml:space="preserve">Social Services Regulator </w:t>
      </w:r>
      <w:r w:rsidR="008B326F">
        <w:t>registers</w:t>
      </w:r>
      <w:r w:rsidRPr="0037452F">
        <w:t xml:space="preserve"> </w:t>
      </w:r>
      <w:r w:rsidR="008B326F" w:rsidRPr="0037452F">
        <w:t>department</w:t>
      </w:r>
      <w:r w:rsidR="008B326F">
        <w:t>-</w:t>
      </w:r>
      <w:r w:rsidRPr="0037452F">
        <w:t>funded and provided disability services and children, youth and family service</w:t>
      </w:r>
      <w:r w:rsidR="008B326F">
        <w:t>s.)</w:t>
      </w:r>
    </w:p>
    <w:p w14:paraId="4EBE0642" w14:textId="18C9F2F7" w:rsidR="001A3451" w:rsidRPr="0037452F" w:rsidRDefault="001A3451" w:rsidP="00A95A18">
      <w:pPr>
        <w:pStyle w:val="ARtablecaption"/>
        <w:rPr>
          <w:lang w:eastAsia="en-AU"/>
        </w:rPr>
      </w:pPr>
      <w:r w:rsidRPr="0037452F">
        <w:rPr>
          <w:lang w:eastAsia="en-AU"/>
        </w:rPr>
        <w:t xml:space="preserve">Table </w:t>
      </w:r>
      <w:r w:rsidR="00F139AE">
        <w:rPr>
          <w:lang w:eastAsia="en-AU"/>
        </w:rPr>
        <w:t>1</w:t>
      </w:r>
      <w:r w:rsidR="0068678F">
        <w:rPr>
          <w:lang w:eastAsia="en-AU"/>
        </w:rPr>
        <w:t>2</w:t>
      </w:r>
      <w:r w:rsidRPr="0037452F">
        <w:t xml:space="preserve">: </w:t>
      </w:r>
      <w:r w:rsidRPr="0037452F">
        <w:rPr>
          <w:lang w:eastAsia="en-AU"/>
        </w:rPr>
        <w:t>Registration of services 2023</w:t>
      </w:r>
      <w:r w:rsidR="006E2F2E">
        <w:rPr>
          <w:lang w:eastAsia="en-AU"/>
        </w:rPr>
        <w:t>–</w:t>
      </w:r>
      <w:r w:rsidRPr="0037452F">
        <w:rPr>
          <w:lang w:eastAsia="en-AU"/>
        </w:rPr>
        <w:t>2024</w:t>
      </w:r>
    </w:p>
    <w:tbl>
      <w:tblPr>
        <w:tblW w:w="5000" w:type="pct"/>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CellMar>
          <w:left w:w="0" w:type="dxa"/>
        </w:tblCellMar>
        <w:tblLook w:val="06A0" w:firstRow="1" w:lastRow="0" w:firstColumn="1" w:lastColumn="0" w:noHBand="1" w:noVBand="1"/>
      </w:tblPr>
      <w:tblGrid>
        <w:gridCol w:w="4216"/>
        <w:gridCol w:w="2703"/>
        <w:gridCol w:w="2703"/>
      </w:tblGrid>
      <w:tr w:rsidR="0096522C" w:rsidRPr="00925C47" w14:paraId="3ED433E2" w14:textId="77777777" w:rsidTr="00D33B4B">
        <w:trPr>
          <w:cantSplit/>
          <w:trHeight w:val="300"/>
          <w:tblHeader/>
        </w:trPr>
        <w:tc>
          <w:tcPr>
            <w:tcW w:w="3539" w:type="dxa"/>
            <w:tcBorders>
              <w:top w:val="nil"/>
              <w:left w:val="single" w:sz="4" w:space="0" w:color="FFFFFF" w:themeColor="background1"/>
              <w:bottom w:val="single" w:sz="4" w:space="0" w:color="auto"/>
              <w:right w:val="single" w:sz="4" w:space="0" w:color="FFFFFF" w:themeColor="background1"/>
            </w:tcBorders>
            <w:vAlign w:val="bottom"/>
            <w:hideMark/>
          </w:tcPr>
          <w:p w14:paraId="6B02FF72" w14:textId="77777777" w:rsidR="001A3451" w:rsidRPr="0037452F" w:rsidRDefault="001A3451">
            <w:pPr>
              <w:pStyle w:val="ARtablecolhead"/>
            </w:pPr>
            <w:r w:rsidRPr="0037452F">
              <w:t>Registration</w:t>
            </w:r>
            <w:r w:rsidRPr="0037452F">
              <w:rPr>
                <w:spacing w:val="-6"/>
              </w:rPr>
              <w:t xml:space="preserve"> </w:t>
            </w:r>
            <w:r w:rsidRPr="0037452F">
              <w:t>type</w:t>
            </w:r>
          </w:p>
        </w:tc>
        <w:tc>
          <w:tcPr>
            <w:tcW w:w="2268" w:type="dxa"/>
            <w:tcBorders>
              <w:top w:val="nil"/>
              <w:left w:val="single" w:sz="4" w:space="0" w:color="FFFFFF" w:themeColor="background1"/>
              <w:bottom w:val="single" w:sz="4" w:space="0" w:color="auto"/>
              <w:right w:val="single" w:sz="4" w:space="0" w:color="FFFFFF" w:themeColor="background1"/>
            </w:tcBorders>
            <w:vAlign w:val="bottom"/>
            <w:hideMark/>
          </w:tcPr>
          <w:p w14:paraId="6D0EA0B6" w14:textId="52661890" w:rsidR="001A3451" w:rsidRPr="0037452F" w:rsidRDefault="001A3451">
            <w:pPr>
              <w:pStyle w:val="ARtablecolheadcentre"/>
            </w:pPr>
            <w:r w:rsidRPr="0037452F">
              <w:t>Registrations lapsed/revoked 2023–24</w:t>
            </w:r>
          </w:p>
        </w:tc>
        <w:tc>
          <w:tcPr>
            <w:tcW w:w="2268" w:type="dxa"/>
            <w:tcBorders>
              <w:top w:val="nil"/>
              <w:left w:val="single" w:sz="4" w:space="0" w:color="FFFFFF" w:themeColor="background1"/>
              <w:bottom w:val="single" w:sz="4" w:space="0" w:color="auto"/>
              <w:right w:val="single" w:sz="4" w:space="0" w:color="FFFFFF" w:themeColor="background1"/>
            </w:tcBorders>
            <w:vAlign w:val="bottom"/>
            <w:hideMark/>
          </w:tcPr>
          <w:p w14:paraId="65386053" w14:textId="1698F848" w:rsidR="001A3451" w:rsidRPr="0037452F" w:rsidRDefault="001A3451">
            <w:pPr>
              <w:pStyle w:val="ARtablecolheadcentre"/>
            </w:pPr>
            <w:r w:rsidRPr="0037452F">
              <w:rPr>
                <w:spacing w:val="-15"/>
              </w:rPr>
              <w:t>T</w:t>
            </w:r>
            <w:r w:rsidRPr="0037452F">
              <w:t>otal</w:t>
            </w:r>
            <w:r w:rsidRPr="0037452F">
              <w:rPr>
                <w:spacing w:val="-5"/>
              </w:rPr>
              <w:t xml:space="preserve"> </w:t>
            </w:r>
            <w:r w:rsidRPr="0037452F">
              <w:t>number</w:t>
            </w:r>
            <w:r w:rsidRPr="0037452F">
              <w:rPr>
                <w:w w:val="99"/>
              </w:rPr>
              <w:t xml:space="preserve"> </w:t>
            </w:r>
            <w:r w:rsidRPr="0037452F">
              <w:t>registered</w:t>
            </w:r>
            <w:r w:rsidRPr="0037452F">
              <w:rPr>
                <w:spacing w:val="4"/>
              </w:rPr>
              <w:t xml:space="preserve"> </w:t>
            </w:r>
            <w:r w:rsidRPr="0037452F">
              <w:t>at</w:t>
            </w:r>
            <w:r w:rsidRPr="0037452F">
              <w:rPr>
                <w:spacing w:val="2"/>
              </w:rPr>
              <w:t xml:space="preserve"> </w:t>
            </w:r>
            <w:r w:rsidR="008C448A">
              <w:rPr>
                <w:spacing w:val="2"/>
              </w:rPr>
              <w:br/>
            </w:r>
            <w:r w:rsidRPr="0037452F">
              <w:t>30</w:t>
            </w:r>
            <w:r w:rsidRPr="0037452F">
              <w:rPr>
                <w:spacing w:val="3"/>
              </w:rPr>
              <w:t xml:space="preserve"> </w:t>
            </w:r>
            <w:r w:rsidRPr="0037452F">
              <w:t>June 2024</w:t>
            </w:r>
          </w:p>
        </w:tc>
      </w:tr>
      <w:tr w:rsidR="0096522C" w:rsidRPr="00925C47" w14:paraId="4221B5B8" w14:textId="77777777" w:rsidTr="00D33B4B">
        <w:trPr>
          <w:cantSplit/>
          <w:trHeight w:val="300"/>
        </w:trPr>
        <w:tc>
          <w:tcPr>
            <w:tcW w:w="3539" w:type="dxa"/>
            <w:tcBorders>
              <w:top w:val="single" w:sz="4" w:space="0" w:color="auto"/>
              <w:left w:val="single" w:sz="4" w:space="0" w:color="FFFFFF" w:themeColor="background1"/>
              <w:bottom w:val="single" w:sz="4" w:space="0" w:color="auto"/>
              <w:right w:val="single" w:sz="4" w:space="0" w:color="FFFFFF" w:themeColor="background1"/>
            </w:tcBorders>
            <w:hideMark/>
          </w:tcPr>
          <w:p w14:paraId="6DD735DF" w14:textId="77777777" w:rsidR="001A3451" w:rsidRPr="0037452F" w:rsidRDefault="001A3451">
            <w:pPr>
              <w:pStyle w:val="ARtabletext"/>
              <w:rPr>
                <w:i/>
              </w:rPr>
            </w:pPr>
            <w:r w:rsidRPr="0037452F">
              <w:t xml:space="preserve">Registration under the </w:t>
            </w:r>
            <w:r w:rsidRPr="007803CC">
              <w:rPr>
                <w:rStyle w:val="Emphasis"/>
              </w:rPr>
              <w:t>Disability Act 2006</w:t>
            </w:r>
          </w:p>
        </w:tc>
        <w:tc>
          <w:tcPr>
            <w:tcW w:w="2268" w:type="dxa"/>
            <w:tcBorders>
              <w:top w:val="single" w:sz="4" w:space="0" w:color="auto"/>
              <w:left w:val="single" w:sz="4" w:space="0" w:color="FFFFFF" w:themeColor="background1"/>
              <w:bottom w:val="single" w:sz="4" w:space="0" w:color="auto"/>
              <w:right w:val="single" w:sz="4" w:space="0" w:color="FFFFFF" w:themeColor="background1"/>
            </w:tcBorders>
            <w:hideMark/>
          </w:tcPr>
          <w:p w14:paraId="743AA4DE" w14:textId="77777777" w:rsidR="001A3451" w:rsidRPr="0037452F" w:rsidRDefault="001A3451">
            <w:pPr>
              <w:pStyle w:val="ARtabletextcentre"/>
            </w:pPr>
            <w:r w:rsidRPr="0037452F">
              <w:t>47</w:t>
            </w:r>
          </w:p>
        </w:tc>
        <w:tc>
          <w:tcPr>
            <w:tcW w:w="2268" w:type="dxa"/>
            <w:tcBorders>
              <w:top w:val="single" w:sz="4" w:space="0" w:color="auto"/>
              <w:left w:val="single" w:sz="4" w:space="0" w:color="FFFFFF" w:themeColor="background1"/>
              <w:bottom w:val="single" w:sz="4" w:space="0" w:color="auto"/>
              <w:right w:val="single" w:sz="4" w:space="0" w:color="FFFFFF" w:themeColor="background1"/>
            </w:tcBorders>
            <w:hideMark/>
          </w:tcPr>
          <w:p w14:paraId="08D3D868" w14:textId="77777777" w:rsidR="001A3451" w:rsidRPr="0037452F" w:rsidRDefault="001A3451">
            <w:pPr>
              <w:pStyle w:val="ARtabletextcentre"/>
            </w:pPr>
            <w:r w:rsidRPr="0037452F">
              <w:t>83</w:t>
            </w:r>
          </w:p>
        </w:tc>
      </w:tr>
      <w:tr w:rsidR="0096522C" w:rsidRPr="00532DAE" w14:paraId="2F2314C2" w14:textId="77777777" w:rsidTr="00D33B4B">
        <w:trPr>
          <w:cantSplit/>
          <w:trHeight w:val="300"/>
        </w:trPr>
        <w:tc>
          <w:tcPr>
            <w:tcW w:w="3539" w:type="dxa"/>
            <w:tcBorders>
              <w:top w:val="single" w:sz="4" w:space="0" w:color="auto"/>
              <w:left w:val="single" w:sz="4" w:space="0" w:color="FFFFFF" w:themeColor="background1"/>
              <w:bottom w:val="single" w:sz="4" w:space="0" w:color="auto"/>
              <w:right w:val="single" w:sz="4" w:space="0" w:color="FFFFFF" w:themeColor="background1"/>
            </w:tcBorders>
            <w:hideMark/>
          </w:tcPr>
          <w:p w14:paraId="22452691" w14:textId="77777777" w:rsidR="001A3451" w:rsidRPr="0037452F" w:rsidRDefault="001A3451">
            <w:pPr>
              <w:pStyle w:val="ARtabletext"/>
              <w:rPr>
                <w:i/>
              </w:rPr>
            </w:pPr>
            <w:r w:rsidRPr="0037452F">
              <w:t xml:space="preserve">Registration under the </w:t>
            </w:r>
            <w:r w:rsidRPr="007803CC">
              <w:rPr>
                <w:rStyle w:val="Emphasis"/>
              </w:rPr>
              <w:t>Children, Youth and Families Act 2005</w:t>
            </w:r>
          </w:p>
        </w:tc>
        <w:tc>
          <w:tcPr>
            <w:tcW w:w="2268" w:type="dxa"/>
            <w:tcBorders>
              <w:top w:val="single" w:sz="4" w:space="0" w:color="auto"/>
              <w:left w:val="single" w:sz="4" w:space="0" w:color="FFFFFF" w:themeColor="background1"/>
              <w:bottom w:val="single" w:sz="4" w:space="0" w:color="auto"/>
              <w:right w:val="single" w:sz="4" w:space="0" w:color="FFFFFF" w:themeColor="background1"/>
            </w:tcBorders>
            <w:hideMark/>
          </w:tcPr>
          <w:p w14:paraId="51E55088" w14:textId="77777777" w:rsidR="001A3451" w:rsidRPr="0037452F" w:rsidRDefault="001A3451">
            <w:pPr>
              <w:pStyle w:val="ARtabletextcentre"/>
            </w:pPr>
            <w:r w:rsidRPr="0037452F">
              <w:t>12</w:t>
            </w:r>
          </w:p>
        </w:tc>
        <w:tc>
          <w:tcPr>
            <w:tcW w:w="2268" w:type="dxa"/>
            <w:tcBorders>
              <w:top w:val="single" w:sz="4" w:space="0" w:color="auto"/>
              <w:left w:val="single" w:sz="4" w:space="0" w:color="FFFFFF" w:themeColor="background1"/>
              <w:bottom w:val="single" w:sz="4" w:space="0" w:color="auto"/>
              <w:right w:val="single" w:sz="4" w:space="0" w:color="FFFFFF" w:themeColor="background1"/>
            </w:tcBorders>
            <w:hideMark/>
          </w:tcPr>
          <w:p w14:paraId="654F52A9" w14:textId="77777777" w:rsidR="001A3451" w:rsidRPr="0037452F" w:rsidRDefault="001A3451">
            <w:pPr>
              <w:pStyle w:val="ARtabletextcentre"/>
            </w:pPr>
            <w:r w:rsidRPr="0037452F">
              <w:t>152</w:t>
            </w:r>
          </w:p>
        </w:tc>
      </w:tr>
    </w:tbl>
    <w:p w14:paraId="5365357C" w14:textId="77777777" w:rsidR="00051FC9" w:rsidRDefault="004F7554" w:rsidP="0052277A">
      <w:pPr>
        <w:pStyle w:val="Heading2"/>
        <w:spacing w:before="480"/>
        <w:sectPr w:rsidR="00051FC9" w:rsidSect="00E33A01">
          <w:footnotePr>
            <w:numFmt w:val="lowerRoman"/>
            <w:numRestart w:val="eachPage"/>
          </w:footnotePr>
          <w:endnotePr>
            <w:numFmt w:val="decimal"/>
          </w:endnotePr>
          <w:pgSz w:w="11900" w:h="16840" w:code="9"/>
          <w:pgMar w:top="1701" w:right="1134" w:bottom="851" w:left="1134" w:header="510" w:footer="340" w:gutter="0"/>
          <w:cols w:space="454"/>
          <w:docGrid w:linePitch="326"/>
        </w:sectPr>
      </w:pPr>
      <w:bookmarkStart w:id="233" w:name="_Toc181101522"/>
      <w:r w:rsidRPr="00010800">
        <w:t>Disclosure of emergency procurement</w:t>
      </w:r>
      <w:bookmarkEnd w:id="233"/>
    </w:p>
    <w:p w14:paraId="137E3762" w14:textId="77777777" w:rsidR="00051FC9" w:rsidRDefault="004F7554" w:rsidP="00D33B4B">
      <w:pPr>
        <w:pStyle w:val="ARbody"/>
        <w:sectPr w:rsidR="00051FC9" w:rsidSect="00051FC9">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r w:rsidRPr="00010800">
        <w:t>In 202</w:t>
      </w:r>
      <w:r>
        <w:t>3</w:t>
      </w:r>
      <w:r w:rsidRPr="00010800">
        <w:t>–2</w:t>
      </w:r>
      <w:r>
        <w:t>4</w:t>
      </w:r>
      <w:r w:rsidRPr="00010800">
        <w:t xml:space="preserve">, the department did not </w:t>
      </w:r>
      <w:r>
        <w:t>undertake</w:t>
      </w:r>
      <w:r w:rsidRPr="00010800">
        <w:t xml:space="preserve"> any emergency procurements.</w:t>
      </w:r>
    </w:p>
    <w:p w14:paraId="6A4425A6" w14:textId="77777777" w:rsidR="00051FC9" w:rsidRDefault="004F7554" w:rsidP="0052277A">
      <w:pPr>
        <w:pStyle w:val="Heading2"/>
        <w:spacing w:before="480"/>
        <w:sectPr w:rsidR="00051FC9" w:rsidSect="00051FC9">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bookmarkStart w:id="234" w:name="_Toc181101523"/>
      <w:r w:rsidRPr="006C5F8F">
        <w:t>Disclosure of procurement complaints</w:t>
      </w:r>
      <w:bookmarkEnd w:id="234"/>
    </w:p>
    <w:p w14:paraId="631ECAD7" w14:textId="16083930" w:rsidR="004F7554" w:rsidRPr="006C5F8F" w:rsidRDefault="004F7554" w:rsidP="00E33A01">
      <w:pPr>
        <w:pStyle w:val="ARbody"/>
      </w:pPr>
      <w:r w:rsidRPr="006C5F8F">
        <w:t xml:space="preserve">Under the Governance Policy of the Victorian Government Purchasing Board (VGPB), the </w:t>
      </w:r>
      <w:r w:rsidR="008B326F">
        <w:t>d</w:t>
      </w:r>
      <w:r w:rsidR="008B326F" w:rsidRPr="006C5F8F">
        <w:t xml:space="preserve">epartment </w:t>
      </w:r>
      <w:r w:rsidRPr="006C5F8F">
        <w:t xml:space="preserve">must disclose any formal complaints relating to the procurement of goods and services received through its procurement complaints management system. </w:t>
      </w:r>
    </w:p>
    <w:p w14:paraId="2F589763" w14:textId="275FE881" w:rsidR="004F7554" w:rsidRPr="006C5F8F" w:rsidRDefault="004F7554" w:rsidP="00B3051F">
      <w:pPr>
        <w:pStyle w:val="ARbody"/>
      </w:pPr>
      <w:r w:rsidRPr="006C5F8F">
        <w:t>The department received nil procurement complaints through its procurement complaints management system in 2023</w:t>
      </w:r>
      <w:r w:rsidR="005B7C9B">
        <w:t>–</w:t>
      </w:r>
      <w:r>
        <w:t>20</w:t>
      </w:r>
      <w:r w:rsidRPr="006C5F8F">
        <w:t>24</w:t>
      </w:r>
      <w:r>
        <w:t>.</w:t>
      </w:r>
    </w:p>
    <w:p w14:paraId="74B47F69" w14:textId="77777777" w:rsidR="004F7554" w:rsidRDefault="004F7554" w:rsidP="0088621E">
      <w:pPr>
        <w:pStyle w:val="ARbody"/>
        <w:sectPr w:rsidR="004F7554" w:rsidSect="00051FC9">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4B88E62A" w14:textId="77777777" w:rsidR="004F7554" w:rsidRPr="00297C35" w:rsidRDefault="004F7554" w:rsidP="0052277A">
      <w:pPr>
        <w:pStyle w:val="Heading2"/>
        <w:spacing w:before="480"/>
      </w:pPr>
      <w:bookmarkStart w:id="235" w:name="_Toc181101524"/>
      <w:r w:rsidRPr="00297C35">
        <w:t xml:space="preserve">Compliance with </w:t>
      </w:r>
      <w:r w:rsidRPr="00DE367D">
        <w:rPr>
          <w:rStyle w:val="Emphasis"/>
        </w:rPr>
        <w:t>DataVic access policy</w:t>
      </w:r>
      <w:bookmarkEnd w:id="235"/>
    </w:p>
    <w:p w14:paraId="5DF2BF62" w14:textId="77777777" w:rsidR="004F7554" w:rsidRDefault="004F7554" w:rsidP="0088621E">
      <w:pPr>
        <w:pStyle w:val="ARbody"/>
        <w:sectPr w:rsidR="004F7554" w:rsidSect="005936D2">
          <w:headerReference w:type="default" r:id="rId127"/>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p>
    <w:p w14:paraId="44A5028B" w14:textId="77777777" w:rsidR="004F7554" w:rsidRDefault="004F7554" w:rsidP="0088621E">
      <w:pPr>
        <w:pStyle w:val="ARbody"/>
      </w:pPr>
      <w:r w:rsidRPr="00297C35">
        <w:t xml:space="preserve">Consistent with the </w:t>
      </w:r>
      <w:r w:rsidRPr="00DE367D">
        <w:rPr>
          <w:rStyle w:val="Emphasis"/>
        </w:rPr>
        <w:t>DataVic access policy</w:t>
      </w:r>
      <w:r w:rsidRPr="00297C35">
        <w:t xml:space="preserve"> issued by the Victorian Government in 2012, the information included in this annual report will be available in machine-readable format from the </w:t>
      </w:r>
      <w:hyperlink r:id="rId128" w:history="1">
        <w:r w:rsidRPr="00297C35">
          <w:rPr>
            <w:rStyle w:val="Hyperlink"/>
          </w:rPr>
          <w:t>DataVic website</w:t>
        </w:r>
      </w:hyperlink>
      <w:r w:rsidRPr="00297C35">
        <w:t xml:space="preserve"> &lt;www.data.vic.gov.au&gt;.</w:t>
      </w:r>
    </w:p>
    <w:p w14:paraId="43BFB15F" w14:textId="59E27D19" w:rsidR="0096522C" w:rsidRDefault="00051FC9" w:rsidP="0088621E">
      <w:pPr>
        <w:pStyle w:val="ARbody"/>
      </w:pPr>
      <w:r>
        <w:br w:type="column"/>
      </w:r>
      <w:r w:rsidR="004F7554" w:rsidRPr="00297C35">
        <w:t>The department maintains a wealth of information to support better understanding of Victoria</w:t>
      </w:r>
      <w:r w:rsidR="00711AE6">
        <w:t>’</w:t>
      </w:r>
      <w:r w:rsidR="004F7554" w:rsidRPr="00297C35">
        <w:t>s human services. Additional data about the department</w:t>
      </w:r>
      <w:r w:rsidR="00711AE6">
        <w:t>’</w:t>
      </w:r>
      <w:r w:rsidR="004F7554" w:rsidRPr="00297C35">
        <w:t>s human services operations including housing assistance</w:t>
      </w:r>
      <w:r w:rsidR="004F7554">
        <w:t xml:space="preserve"> </w:t>
      </w:r>
      <w:r w:rsidR="004F7554" w:rsidRPr="00297C35">
        <w:t>and child protection and family services is available on the department</w:t>
      </w:r>
      <w:r w:rsidR="00711AE6">
        <w:t>’</w:t>
      </w:r>
      <w:r w:rsidR="004F7554" w:rsidRPr="00297C35">
        <w:t xml:space="preserve">s </w:t>
      </w:r>
      <w:hyperlink r:id="rId129" w:history="1">
        <w:r w:rsidR="004F7554" w:rsidRPr="00297C35">
          <w:rPr>
            <w:rStyle w:val="Hyperlink"/>
          </w:rPr>
          <w:t>annual reports webpage</w:t>
        </w:r>
      </w:hyperlink>
      <w:r w:rsidR="004F7554" w:rsidRPr="00297C35">
        <w:rPr>
          <w:rStyle w:val="Hyperlink"/>
        </w:rPr>
        <w:t xml:space="preserve"> </w:t>
      </w:r>
      <w:r w:rsidR="004F7554" w:rsidRPr="00297C35">
        <w:t>&lt;www.dffh.vic.gov.au/</w:t>
      </w:r>
      <w:r w:rsidR="004F7554" w:rsidRPr="00297C35">
        <w:br/>
        <w:t>publications/annual-reports-department-families-fairness-housing&gt;.</w:t>
      </w:r>
    </w:p>
    <w:p w14:paraId="3720844F" w14:textId="77777777" w:rsidR="00051FC9" w:rsidRDefault="00051FC9" w:rsidP="0088621E">
      <w:pPr>
        <w:pStyle w:val="ARbody"/>
        <w:sectPr w:rsidR="00051FC9" w:rsidSect="00051FC9">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5B52EF05" w14:textId="77777777" w:rsidR="004F7554" w:rsidRPr="00C249EB" w:rsidRDefault="004F7554" w:rsidP="0052277A">
      <w:pPr>
        <w:pStyle w:val="Heading2"/>
      </w:pPr>
      <w:bookmarkStart w:id="236" w:name="_Toc181101525"/>
      <w:r w:rsidRPr="00C249EB">
        <w:t>Social housing dwelling stock</w:t>
      </w:r>
      <w:bookmarkEnd w:id="236"/>
    </w:p>
    <w:p w14:paraId="17A86B3A" w14:textId="5F935041" w:rsidR="004F7554" w:rsidRPr="00C249EB" w:rsidRDefault="004F7554" w:rsidP="00A95A18">
      <w:pPr>
        <w:pStyle w:val="ARtablecaption"/>
        <w:rPr>
          <w:lang w:val="en"/>
        </w:rPr>
      </w:pPr>
      <w:r w:rsidRPr="00C249EB">
        <w:t xml:space="preserve">Table </w:t>
      </w:r>
      <w:r w:rsidR="0068678F">
        <w:t>13</w:t>
      </w:r>
      <w:r w:rsidRPr="00C249EB">
        <w:t>: Summary of changes to social housing dwellings for 2023–24</w:t>
      </w:r>
    </w:p>
    <w:tbl>
      <w:tblPr>
        <w:tblStyle w:val="TableGrid"/>
        <w:tblW w:w="9639" w:type="dxa"/>
        <w:tblLook w:val="06A0" w:firstRow="1" w:lastRow="0" w:firstColumn="1" w:lastColumn="0" w:noHBand="1" w:noVBand="1"/>
      </w:tblPr>
      <w:tblGrid>
        <w:gridCol w:w="7938"/>
        <w:gridCol w:w="1701"/>
      </w:tblGrid>
      <w:tr w:rsidR="004F7554" w:rsidRPr="00C249EB" w14:paraId="1764B54C" w14:textId="77777777">
        <w:trPr>
          <w:cnfStyle w:val="100000000000" w:firstRow="1" w:lastRow="0" w:firstColumn="0" w:lastColumn="0" w:oddVBand="0" w:evenVBand="0" w:oddHBand="0" w:evenHBand="0" w:firstRowFirstColumn="0" w:firstRowLastColumn="0" w:lastRowFirstColumn="0" w:lastRowLastColumn="0"/>
          <w:tblHeader/>
        </w:trPr>
        <w:tc>
          <w:tcPr>
            <w:tcW w:w="7938" w:type="dxa"/>
          </w:tcPr>
          <w:p w14:paraId="33264126" w14:textId="77777777" w:rsidR="004F7554" w:rsidRPr="00C249EB" w:rsidRDefault="004F7554" w:rsidP="0088621E">
            <w:pPr>
              <w:pStyle w:val="ARtablecolhead"/>
              <w:spacing w:before="40" w:after="20"/>
            </w:pPr>
            <w:r w:rsidRPr="00C249EB">
              <w:rPr>
                <w:lang w:val="en-US"/>
              </w:rPr>
              <w:t>Description</w:t>
            </w:r>
          </w:p>
        </w:tc>
        <w:tc>
          <w:tcPr>
            <w:tcW w:w="1701" w:type="dxa"/>
          </w:tcPr>
          <w:p w14:paraId="5D9E27AB" w14:textId="77777777" w:rsidR="004F7554" w:rsidRPr="00C249EB" w:rsidRDefault="004F7554" w:rsidP="0088621E">
            <w:pPr>
              <w:pStyle w:val="ARtablecolheadright"/>
              <w:spacing w:before="40" w:after="20"/>
            </w:pPr>
            <w:r w:rsidRPr="00C249EB">
              <w:rPr>
                <w:lang w:val="en-US"/>
              </w:rPr>
              <w:t>Units</w:t>
            </w:r>
          </w:p>
        </w:tc>
      </w:tr>
      <w:tr w:rsidR="004F7554" w:rsidRPr="00C249EB" w14:paraId="39C2F09C" w14:textId="77777777" w:rsidTr="0088621E">
        <w:tc>
          <w:tcPr>
            <w:tcW w:w="7938" w:type="dxa"/>
          </w:tcPr>
          <w:p w14:paraId="0D8BE6D9" w14:textId="77777777" w:rsidR="004F7554" w:rsidRPr="00C249EB" w:rsidRDefault="004F7554" w:rsidP="0088621E">
            <w:pPr>
              <w:pStyle w:val="ARtabletextbold"/>
              <w:spacing w:before="40" w:after="20"/>
            </w:pPr>
            <w:r w:rsidRPr="00C249EB">
              <w:t>Stock at 30 June 2023</w:t>
            </w:r>
          </w:p>
        </w:tc>
        <w:tc>
          <w:tcPr>
            <w:tcW w:w="1701" w:type="dxa"/>
          </w:tcPr>
          <w:p w14:paraId="4B23DC30" w14:textId="77777777" w:rsidR="004F7554" w:rsidRPr="00C249EB" w:rsidRDefault="004F7554" w:rsidP="0088621E">
            <w:pPr>
              <w:pStyle w:val="ARtabletextrightbold"/>
              <w:spacing w:before="40" w:after="20"/>
            </w:pPr>
            <w:r w:rsidRPr="00C249EB">
              <w:t>88,189</w:t>
            </w:r>
          </w:p>
        </w:tc>
      </w:tr>
      <w:tr w:rsidR="004F7554" w:rsidRPr="00C249EB" w14:paraId="4628A5F1" w14:textId="77777777" w:rsidTr="0088621E">
        <w:tc>
          <w:tcPr>
            <w:tcW w:w="7938" w:type="dxa"/>
            <w:tcBorders>
              <w:bottom w:val="single" w:sz="4" w:space="0" w:color="auto"/>
            </w:tcBorders>
          </w:tcPr>
          <w:p w14:paraId="06955BFB" w14:textId="77777777" w:rsidR="004F7554" w:rsidRPr="00C249EB" w:rsidRDefault="004F7554" w:rsidP="0088621E">
            <w:pPr>
              <w:pStyle w:val="ARtabletextbold"/>
              <w:spacing w:before="40" w:after="20"/>
            </w:pPr>
            <w:r w:rsidRPr="00C249EB">
              <w:t>Additions total</w:t>
            </w:r>
          </w:p>
        </w:tc>
        <w:tc>
          <w:tcPr>
            <w:tcW w:w="1701" w:type="dxa"/>
            <w:tcBorders>
              <w:bottom w:val="single" w:sz="4" w:space="0" w:color="auto"/>
            </w:tcBorders>
          </w:tcPr>
          <w:p w14:paraId="2AF64E5A" w14:textId="77777777" w:rsidR="004F7554" w:rsidRPr="00C249EB" w:rsidRDefault="004F7554" w:rsidP="0088621E">
            <w:pPr>
              <w:pStyle w:val="ARtabletextrightbold"/>
              <w:spacing w:before="40" w:after="20"/>
            </w:pPr>
            <w:r w:rsidRPr="00C249EB">
              <w:t>2,938</w:t>
            </w:r>
          </w:p>
        </w:tc>
      </w:tr>
      <w:tr w:rsidR="004F7554" w:rsidRPr="00C249EB" w14:paraId="7A73106E" w14:textId="77777777" w:rsidTr="0088621E">
        <w:tc>
          <w:tcPr>
            <w:tcW w:w="7938" w:type="dxa"/>
            <w:tcBorders>
              <w:top w:val="single" w:sz="4" w:space="0" w:color="auto"/>
              <w:bottom w:val="single" w:sz="4" w:space="0" w:color="A6A6A6"/>
            </w:tcBorders>
          </w:tcPr>
          <w:p w14:paraId="2072E0D3" w14:textId="77777777" w:rsidR="004F7554" w:rsidRPr="00C249EB" w:rsidRDefault="004F7554" w:rsidP="0088621E">
            <w:pPr>
              <w:pStyle w:val="ARtabletext"/>
              <w:spacing w:before="40" w:after="20"/>
            </w:pPr>
            <w:r w:rsidRPr="00C249EB">
              <w:t>New handovers</w:t>
            </w:r>
          </w:p>
        </w:tc>
        <w:tc>
          <w:tcPr>
            <w:tcW w:w="1701" w:type="dxa"/>
            <w:tcBorders>
              <w:top w:val="single" w:sz="4" w:space="0" w:color="auto"/>
              <w:bottom w:val="single" w:sz="4" w:space="0" w:color="A6A6A6"/>
            </w:tcBorders>
          </w:tcPr>
          <w:p w14:paraId="7227C30F" w14:textId="77777777" w:rsidR="004F7554" w:rsidRPr="00C249EB" w:rsidRDefault="004F7554" w:rsidP="0088621E">
            <w:pPr>
              <w:pStyle w:val="ARtabletextright"/>
              <w:spacing w:before="40" w:after="20"/>
            </w:pPr>
            <w:r w:rsidRPr="00C249EB">
              <w:t>2,349</w:t>
            </w:r>
          </w:p>
        </w:tc>
      </w:tr>
      <w:tr w:rsidR="004F7554" w:rsidRPr="00C249EB" w14:paraId="120903E8" w14:textId="77777777" w:rsidTr="0088621E">
        <w:tc>
          <w:tcPr>
            <w:tcW w:w="7938" w:type="dxa"/>
            <w:tcBorders>
              <w:top w:val="single" w:sz="4" w:space="0" w:color="A6A6A6"/>
              <w:bottom w:val="single" w:sz="4" w:space="0" w:color="A6A6A6"/>
            </w:tcBorders>
          </w:tcPr>
          <w:p w14:paraId="2B4A4113" w14:textId="77777777" w:rsidR="004F7554" w:rsidRPr="00C249EB" w:rsidRDefault="004F7554" w:rsidP="0088621E">
            <w:pPr>
              <w:pStyle w:val="ARtabletext"/>
              <w:spacing w:before="40" w:after="20"/>
            </w:pPr>
            <w:r w:rsidRPr="00C249EB">
              <w:t>Spot-purchase</w:t>
            </w:r>
          </w:p>
        </w:tc>
        <w:tc>
          <w:tcPr>
            <w:tcW w:w="1701" w:type="dxa"/>
            <w:tcBorders>
              <w:top w:val="single" w:sz="4" w:space="0" w:color="A6A6A6"/>
              <w:bottom w:val="single" w:sz="4" w:space="0" w:color="A6A6A6"/>
            </w:tcBorders>
          </w:tcPr>
          <w:p w14:paraId="5AAF4C25" w14:textId="77777777" w:rsidR="004F7554" w:rsidRPr="00C249EB" w:rsidRDefault="004F7554" w:rsidP="0088621E">
            <w:pPr>
              <w:pStyle w:val="ARtabletextright"/>
              <w:spacing w:before="40" w:after="20"/>
            </w:pPr>
            <w:r w:rsidRPr="00C249EB">
              <w:t>467</w:t>
            </w:r>
          </w:p>
        </w:tc>
      </w:tr>
      <w:tr w:rsidR="004F7554" w:rsidRPr="00C249EB" w14:paraId="1B21791B" w14:textId="77777777" w:rsidTr="0088621E">
        <w:tc>
          <w:tcPr>
            <w:tcW w:w="7938" w:type="dxa"/>
            <w:tcBorders>
              <w:top w:val="single" w:sz="4" w:space="0" w:color="A6A6A6"/>
              <w:bottom w:val="single" w:sz="4" w:space="0" w:color="A6A6A6"/>
            </w:tcBorders>
          </w:tcPr>
          <w:p w14:paraId="7EE7944C" w14:textId="77777777" w:rsidR="004F7554" w:rsidRPr="00C249EB" w:rsidRDefault="004F7554" w:rsidP="0088621E">
            <w:pPr>
              <w:pStyle w:val="ARtabletext"/>
              <w:spacing w:before="40" w:after="20"/>
            </w:pPr>
            <w:r w:rsidRPr="00C249EB">
              <w:t>New short-term leases</w:t>
            </w:r>
          </w:p>
        </w:tc>
        <w:tc>
          <w:tcPr>
            <w:tcW w:w="1701" w:type="dxa"/>
            <w:tcBorders>
              <w:top w:val="single" w:sz="4" w:space="0" w:color="A6A6A6"/>
              <w:bottom w:val="single" w:sz="4" w:space="0" w:color="A6A6A6"/>
            </w:tcBorders>
          </w:tcPr>
          <w:p w14:paraId="15313095" w14:textId="77777777" w:rsidR="004F7554" w:rsidRPr="00C249EB" w:rsidRDefault="004F7554" w:rsidP="0088621E">
            <w:pPr>
              <w:pStyle w:val="ARtabletextright"/>
              <w:spacing w:before="40" w:after="20"/>
            </w:pPr>
            <w:r w:rsidRPr="00C249EB">
              <w:t>94</w:t>
            </w:r>
          </w:p>
        </w:tc>
      </w:tr>
      <w:tr w:rsidR="004F7554" w:rsidRPr="00C249EB" w14:paraId="1DFCEDC3" w14:textId="77777777" w:rsidTr="0088621E">
        <w:tc>
          <w:tcPr>
            <w:tcW w:w="7938" w:type="dxa"/>
            <w:tcBorders>
              <w:top w:val="single" w:sz="4" w:space="0" w:color="A6A6A6"/>
              <w:bottom w:val="single" w:sz="4" w:space="0" w:color="A6A6A6"/>
            </w:tcBorders>
          </w:tcPr>
          <w:p w14:paraId="6E2FC464" w14:textId="77777777" w:rsidR="004F7554" w:rsidRPr="00C249EB" w:rsidRDefault="004F7554" w:rsidP="0088621E">
            <w:pPr>
              <w:pStyle w:val="ARtabletext"/>
              <w:spacing w:before="40" w:after="20"/>
            </w:pPr>
            <w:r w:rsidRPr="00C249EB">
              <w:t>Stock online</w:t>
            </w:r>
          </w:p>
        </w:tc>
        <w:tc>
          <w:tcPr>
            <w:tcW w:w="1701" w:type="dxa"/>
            <w:tcBorders>
              <w:top w:val="single" w:sz="4" w:space="0" w:color="A6A6A6"/>
              <w:bottom w:val="single" w:sz="4" w:space="0" w:color="A6A6A6"/>
            </w:tcBorders>
          </w:tcPr>
          <w:p w14:paraId="398E2A63" w14:textId="77777777" w:rsidR="004F7554" w:rsidRPr="00C249EB" w:rsidRDefault="004F7554" w:rsidP="0088621E">
            <w:pPr>
              <w:pStyle w:val="ARtabletextright"/>
              <w:spacing w:before="40" w:after="20"/>
            </w:pPr>
            <w:r w:rsidRPr="00C249EB">
              <w:t>0</w:t>
            </w:r>
          </w:p>
        </w:tc>
      </w:tr>
      <w:tr w:rsidR="004F7554" w:rsidRPr="00C249EB" w14:paraId="4BB7F9AC" w14:textId="77777777" w:rsidTr="0088621E">
        <w:tc>
          <w:tcPr>
            <w:tcW w:w="7938" w:type="dxa"/>
            <w:tcBorders>
              <w:top w:val="single" w:sz="4" w:space="0" w:color="A6A6A6"/>
            </w:tcBorders>
          </w:tcPr>
          <w:p w14:paraId="0B3A047F" w14:textId="77777777" w:rsidR="004F7554" w:rsidRPr="00C249EB" w:rsidRDefault="004F7554" w:rsidP="0088621E">
            <w:pPr>
              <w:pStyle w:val="ARtabletext"/>
              <w:spacing w:before="40" w:after="20"/>
            </w:pPr>
            <w:r w:rsidRPr="00C249EB">
              <w:t>Transferred</w:t>
            </w:r>
          </w:p>
        </w:tc>
        <w:tc>
          <w:tcPr>
            <w:tcW w:w="1701" w:type="dxa"/>
            <w:tcBorders>
              <w:top w:val="single" w:sz="4" w:space="0" w:color="A6A6A6"/>
            </w:tcBorders>
          </w:tcPr>
          <w:p w14:paraId="4BCB2785" w14:textId="77777777" w:rsidR="004F7554" w:rsidRPr="00C249EB" w:rsidRDefault="004F7554" w:rsidP="0088621E">
            <w:pPr>
              <w:pStyle w:val="ARtabletextright"/>
              <w:spacing w:before="40" w:after="20"/>
            </w:pPr>
            <w:r w:rsidRPr="00C249EB">
              <w:t>28</w:t>
            </w:r>
          </w:p>
        </w:tc>
      </w:tr>
      <w:tr w:rsidR="004F7554" w:rsidRPr="00C249EB" w14:paraId="6FA37D05" w14:textId="77777777" w:rsidTr="0088621E">
        <w:tc>
          <w:tcPr>
            <w:tcW w:w="7938" w:type="dxa"/>
            <w:tcBorders>
              <w:bottom w:val="single" w:sz="4" w:space="0" w:color="auto"/>
            </w:tcBorders>
          </w:tcPr>
          <w:p w14:paraId="6BF22BF3" w14:textId="77777777" w:rsidR="004F7554" w:rsidRPr="00C249EB" w:rsidRDefault="004F7554" w:rsidP="0088621E">
            <w:pPr>
              <w:pStyle w:val="ARtabletextbold"/>
              <w:spacing w:before="40" w:after="20"/>
            </w:pPr>
            <w:r w:rsidRPr="00C249EB">
              <w:t>Subtractions total</w:t>
            </w:r>
          </w:p>
        </w:tc>
        <w:tc>
          <w:tcPr>
            <w:tcW w:w="1701" w:type="dxa"/>
            <w:tcBorders>
              <w:bottom w:val="single" w:sz="4" w:space="0" w:color="auto"/>
            </w:tcBorders>
          </w:tcPr>
          <w:p w14:paraId="448CFBC5" w14:textId="77777777" w:rsidR="004F7554" w:rsidRPr="00C249EB" w:rsidRDefault="004F7554" w:rsidP="0088621E">
            <w:pPr>
              <w:pStyle w:val="ARtabletextrightbold"/>
              <w:spacing w:before="40" w:after="20"/>
            </w:pPr>
            <w:r w:rsidRPr="00C249EB">
              <w:t>1,626</w:t>
            </w:r>
          </w:p>
        </w:tc>
      </w:tr>
      <w:tr w:rsidR="004F7554" w:rsidRPr="00C249EB" w14:paraId="0E355469" w14:textId="77777777" w:rsidTr="0088621E">
        <w:tc>
          <w:tcPr>
            <w:tcW w:w="7938" w:type="dxa"/>
            <w:tcBorders>
              <w:top w:val="single" w:sz="4" w:space="0" w:color="auto"/>
              <w:bottom w:val="single" w:sz="4" w:space="0" w:color="A6A6A6"/>
            </w:tcBorders>
          </w:tcPr>
          <w:p w14:paraId="6E001B74" w14:textId="77777777" w:rsidR="004F7554" w:rsidRPr="00C249EB" w:rsidRDefault="004F7554" w:rsidP="0088621E">
            <w:pPr>
              <w:pStyle w:val="ARtabletext"/>
              <w:spacing w:before="40" w:after="20"/>
            </w:pPr>
            <w:r w:rsidRPr="00C249EB">
              <w:t>Sales</w:t>
            </w:r>
          </w:p>
        </w:tc>
        <w:tc>
          <w:tcPr>
            <w:tcW w:w="1701" w:type="dxa"/>
            <w:tcBorders>
              <w:top w:val="single" w:sz="4" w:space="0" w:color="auto"/>
              <w:bottom w:val="single" w:sz="4" w:space="0" w:color="A6A6A6"/>
            </w:tcBorders>
          </w:tcPr>
          <w:p w14:paraId="152A2E0D" w14:textId="77777777" w:rsidR="004F7554" w:rsidRPr="00C249EB" w:rsidRDefault="004F7554" w:rsidP="0088621E">
            <w:pPr>
              <w:pStyle w:val="ARtabletextright"/>
              <w:spacing w:before="40" w:after="20"/>
            </w:pPr>
            <w:r w:rsidRPr="00C249EB">
              <w:t>101</w:t>
            </w:r>
          </w:p>
        </w:tc>
      </w:tr>
      <w:tr w:rsidR="004F7554" w:rsidRPr="00C249EB" w14:paraId="58484B82" w14:textId="77777777" w:rsidTr="0088621E">
        <w:tc>
          <w:tcPr>
            <w:tcW w:w="7938" w:type="dxa"/>
            <w:tcBorders>
              <w:top w:val="single" w:sz="4" w:space="0" w:color="A6A6A6"/>
              <w:bottom w:val="single" w:sz="4" w:space="0" w:color="A6A6A6"/>
            </w:tcBorders>
          </w:tcPr>
          <w:p w14:paraId="2EF3EFA7" w14:textId="77777777" w:rsidR="004F7554" w:rsidRPr="00C249EB" w:rsidRDefault="004F7554" w:rsidP="0088621E">
            <w:pPr>
              <w:pStyle w:val="ARtabletext"/>
              <w:spacing w:before="40" w:after="20"/>
            </w:pPr>
            <w:r w:rsidRPr="00C249EB">
              <w:t>Demolitions</w:t>
            </w:r>
          </w:p>
        </w:tc>
        <w:tc>
          <w:tcPr>
            <w:tcW w:w="1701" w:type="dxa"/>
            <w:tcBorders>
              <w:top w:val="single" w:sz="4" w:space="0" w:color="A6A6A6"/>
              <w:bottom w:val="single" w:sz="4" w:space="0" w:color="A6A6A6"/>
            </w:tcBorders>
          </w:tcPr>
          <w:p w14:paraId="5F3D9349" w14:textId="77777777" w:rsidR="004F7554" w:rsidRPr="00C249EB" w:rsidRDefault="004F7554" w:rsidP="0088621E">
            <w:pPr>
              <w:pStyle w:val="ARtabletextright"/>
              <w:spacing w:before="40" w:after="20"/>
            </w:pPr>
            <w:r w:rsidRPr="00C249EB">
              <w:t>847</w:t>
            </w:r>
          </w:p>
        </w:tc>
      </w:tr>
      <w:tr w:rsidR="004F7554" w:rsidRPr="00C249EB" w14:paraId="74036929" w14:textId="77777777" w:rsidTr="0088621E">
        <w:tc>
          <w:tcPr>
            <w:tcW w:w="7938" w:type="dxa"/>
            <w:tcBorders>
              <w:top w:val="single" w:sz="4" w:space="0" w:color="A6A6A6"/>
              <w:bottom w:val="single" w:sz="4" w:space="0" w:color="A6A6A6"/>
            </w:tcBorders>
          </w:tcPr>
          <w:p w14:paraId="68859AF5" w14:textId="77777777" w:rsidR="004F7554" w:rsidRPr="00C249EB" w:rsidRDefault="004F7554" w:rsidP="0088621E">
            <w:pPr>
              <w:pStyle w:val="ARtabletext"/>
              <w:spacing w:before="40" w:after="20"/>
            </w:pPr>
            <w:r w:rsidRPr="00C249EB">
              <w:t>Short-term lease hand backs</w:t>
            </w:r>
          </w:p>
        </w:tc>
        <w:tc>
          <w:tcPr>
            <w:tcW w:w="1701" w:type="dxa"/>
            <w:tcBorders>
              <w:top w:val="single" w:sz="4" w:space="0" w:color="A6A6A6"/>
              <w:bottom w:val="single" w:sz="4" w:space="0" w:color="A6A6A6"/>
            </w:tcBorders>
          </w:tcPr>
          <w:p w14:paraId="689695F3" w14:textId="77777777" w:rsidR="004F7554" w:rsidRPr="00C249EB" w:rsidRDefault="004F7554" w:rsidP="0088621E">
            <w:pPr>
              <w:pStyle w:val="ARtabletextright"/>
              <w:spacing w:before="40" w:after="20"/>
            </w:pPr>
            <w:r w:rsidRPr="00C249EB">
              <w:t>435</w:t>
            </w:r>
          </w:p>
        </w:tc>
      </w:tr>
      <w:tr w:rsidR="004F7554" w:rsidRPr="00C249EB" w14:paraId="33109023" w14:textId="77777777" w:rsidTr="0088621E">
        <w:tc>
          <w:tcPr>
            <w:tcW w:w="7938" w:type="dxa"/>
            <w:tcBorders>
              <w:top w:val="single" w:sz="4" w:space="0" w:color="A6A6A6"/>
              <w:bottom w:val="single" w:sz="4" w:space="0" w:color="A6A6A6"/>
            </w:tcBorders>
          </w:tcPr>
          <w:p w14:paraId="41E63A96" w14:textId="77777777" w:rsidR="004F7554" w:rsidRPr="00C249EB" w:rsidRDefault="004F7554" w:rsidP="0088621E">
            <w:pPr>
              <w:pStyle w:val="ARtabletext"/>
              <w:spacing w:before="40" w:after="20"/>
            </w:pPr>
            <w:r w:rsidRPr="00C249EB">
              <w:t>Stock offline</w:t>
            </w:r>
          </w:p>
        </w:tc>
        <w:tc>
          <w:tcPr>
            <w:tcW w:w="1701" w:type="dxa"/>
            <w:tcBorders>
              <w:top w:val="single" w:sz="4" w:space="0" w:color="A6A6A6"/>
              <w:bottom w:val="single" w:sz="4" w:space="0" w:color="A6A6A6"/>
            </w:tcBorders>
          </w:tcPr>
          <w:p w14:paraId="38626D86" w14:textId="77777777" w:rsidR="004F7554" w:rsidRPr="00C249EB" w:rsidRDefault="004F7554" w:rsidP="0088621E">
            <w:pPr>
              <w:pStyle w:val="ARtabletextright"/>
              <w:spacing w:before="40" w:after="20"/>
            </w:pPr>
            <w:r>
              <w:t>0</w:t>
            </w:r>
          </w:p>
        </w:tc>
      </w:tr>
      <w:tr w:rsidR="004F7554" w:rsidRPr="00C249EB" w14:paraId="2946D085" w14:textId="77777777" w:rsidTr="0088621E">
        <w:tc>
          <w:tcPr>
            <w:tcW w:w="7938" w:type="dxa"/>
            <w:tcBorders>
              <w:top w:val="single" w:sz="4" w:space="0" w:color="A6A6A6"/>
              <w:bottom w:val="single" w:sz="4" w:space="0" w:color="A6A6A6"/>
            </w:tcBorders>
          </w:tcPr>
          <w:p w14:paraId="1D765C1E" w14:textId="77777777" w:rsidR="004F7554" w:rsidRPr="00C249EB" w:rsidRDefault="004F7554" w:rsidP="0088621E">
            <w:pPr>
              <w:pStyle w:val="ARtabletext"/>
              <w:spacing w:before="40" w:after="20"/>
            </w:pPr>
            <w:r w:rsidRPr="00C249EB">
              <w:t>Transferred</w:t>
            </w:r>
          </w:p>
        </w:tc>
        <w:tc>
          <w:tcPr>
            <w:tcW w:w="1701" w:type="dxa"/>
            <w:tcBorders>
              <w:top w:val="single" w:sz="4" w:space="0" w:color="A6A6A6"/>
              <w:bottom w:val="single" w:sz="4" w:space="0" w:color="A6A6A6"/>
            </w:tcBorders>
          </w:tcPr>
          <w:p w14:paraId="60B8B6B9" w14:textId="77777777" w:rsidR="004F7554" w:rsidRDefault="004F7554" w:rsidP="0088621E">
            <w:pPr>
              <w:pStyle w:val="ARtabletextright"/>
              <w:spacing w:before="40" w:after="20"/>
            </w:pPr>
            <w:r w:rsidRPr="00C249EB">
              <w:t>120</w:t>
            </w:r>
          </w:p>
        </w:tc>
      </w:tr>
      <w:tr w:rsidR="004F7554" w:rsidRPr="00C249EB" w14:paraId="44F7A5FF" w14:textId="77777777" w:rsidTr="0088621E">
        <w:tc>
          <w:tcPr>
            <w:tcW w:w="7938" w:type="dxa"/>
            <w:tcBorders>
              <w:top w:val="single" w:sz="4" w:space="0" w:color="A6A6A6"/>
            </w:tcBorders>
          </w:tcPr>
          <w:p w14:paraId="1CBA34B8" w14:textId="2F28EDBE" w:rsidR="004F7554" w:rsidRPr="00C249EB" w:rsidRDefault="004F7554" w:rsidP="0088621E">
            <w:pPr>
              <w:pStyle w:val="ARtabletext"/>
              <w:spacing w:before="40" w:after="20"/>
            </w:pPr>
            <w:r w:rsidRPr="00C249EB">
              <w:t xml:space="preserve">Other </w:t>
            </w:r>
            <w:r w:rsidR="008B326F">
              <w:t>c</w:t>
            </w:r>
            <w:r w:rsidR="008B326F" w:rsidRPr="00C249EB">
              <w:t xml:space="preserve">ommunity </w:t>
            </w:r>
            <w:r w:rsidR="008B326F">
              <w:t>housing d</w:t>
            </w:r>
            <w:r w:rsidR="008B326F" w:rsidRPr="00C249EB">
              <w:t>isposals</w:t>
            </w:r>
          </w:p>
        </w:tc>
        <w:tc>
          <w:tcPr>
            <w:tcW w:w="1701" w:type="dxa"/>
            <w:tcBorders>
              <w:top w:val="single" w:sz="4" w:space="0" w:color="A6A6A6"/>
            </w:tcBorders>
          </w:tcPr>
          <w:p w14:paraId="2E852560" w14:textId="77777777" w:rsidR="004F7554" w:rsidRPr="00C249EB" w:rsidRDefault="004F7554" w:rsidP="0088621E">
            <w:pPr>
              <w:pStyle w:val="ARtabletextright"/>
              <w:spacing w:before="40" w:after="20"/>
            </w:pPr>
            <w:r w:rsidRPr="00C249EB">
              <w:t>123</w:t>
            </w:r>
          </w:p>
        </w:tc>
      </w:tr>
      <w:tr w:rsidR="004F7554" w:rsidRPr="00C249EB" w14:paraId="1CDB5371" w14:textId="77777777" w:rsidTr="0088621E">
        <w:tc>
          <w:tcPr>
            <w:tcW w:w="7938" w:type="dxa"/>
          </w:tcPr>
          <w:p w14:paraId="6BA80478" w14:textId="77777777" w:rsidR="004F7554" w:rsidRPr="00C249EB" w:rsidRDefault="004F7554" w:rsidP="0088621E">
            <w:pPr>
              <w:pStyle w:val="ARtabletextbold"/>
              <w:spacing w:before="40" w:after="20"/>
            </w:pPr>
            <w:r w:rsidRPr="00C249EB">
              <w:t>Stock at 30 June 2024</w:t>
            </w:r>
          </w:p>
        </w:tc>
        <w:tc>
          <w:tcPr>
            <w:tcW w:w="1701" w:type="dxa"/>
          </w:tcPr>
          <w:p w14:paraId="27C071D2" w14:textId="77777777" w:rsidR="004F7554" w:rsidRPr="00C249EB" w:rsidRDefault="004F7554" w:rsidP="0088621E">
            <w:pPr>
              <w:pStyle w:val="ARtabletextrightbold"/>
              <w:spacing w:before="40" w:after="20"/>
            </w:pPr>
            <w:r w:rsidRPr="00C249EB">
              <w:t>89,501</w:t>
            </w:r>
          </w:p>
        </w:tc>
      </w:tr>
    </w:tbl>
    <w:p w14:paraId="5F0413D7" w14:textId="77777777" w:rsidR="004F7554" w:rsidRPr="00C249EB" w:rsidRDefault="004F7554" w:rsidP="0088621E">
      <w:pPr>
        <w:pStyle w:val="ARtablefootnote"/>
      </w:pPr>
      <w:r w:rsidRPr="00C249EB">
        <w:t>Note</w:t>
      </w:r>
      <w:r>
        <w:t>s</w:t>
      </w:r>
      <w:r w:rsidRPr="00C249EB">
        <w:t>:</w:t>
      </w:r>
    </w:p>
    <w:p w14:paraId="3A79FF9D" w14:textId="77777777" w:rsidR="004F7554" w:rsidRPr="00532DAE" w:rsidRDefault="004F7554" w:rsidP="00853CDA">
      <w:pPr>
        <w:pStyle w:val="ARfootnotebullet"/>
      </w:pPr>
      <w:r w:rsidRPr="00C249EB">
        <w:t xml:space="preserve">Data </w:t>
      </w:r>
      <w:r w:rsidRPr="00853CDA">
        <w:t>includes</w:t>
      </w:r>
      <w:r w:rsidRPr="00C249EB">
        <w:t xml:space="preserve"> Homes Victoria owned units (including leases and other Homes Victoria managed units) and community owned units.</w:t>
      </w:r>
    </w:p>
    <w:p w14:paraId="75500213" w14:textId="7034E178" w:rsidR="004F7554" w:rsidRPr="00532DAE" w:rsidRDefault="004F7554" w:rsidP="00853CDA">
      <w:pPr>
        <w:pStyle w:val="ARfootnotebullet"/>
      </w:pPr>
      <w:r>
        <w:t>Transferred (</w:t>
      </w:r>
      <w:r w:rsidR="008B326F">
        <w:t>additions</w:t>
      </w:r>
      <w:r>
        <w:t>) relates to h</w:t>
      </w:r>
      <w:r w:rsidRPr="00F53D49">
        <w:t>omes previously used for other government or social enterprise programs transferred to social</w:t>
      </w:r>
      <w:r w:rsidR="00BA1A70">
        <w:t> </w:t>
      </w:r>
      <w:r w:rsidRPr="00F53D49">
        <w:t>housing.</w:t>
      </w:r>
    </w:p>
    <w:p w14:paraId="064289DB" w14:textId="768222C3" w:rsidR="004F7554" w:rsidRDefault="004F7554" w:rsidP="0088621E">
      <w:pPr>
        <w:pStyle w:val="ARfootnotebullet"/>
        <w:sectPr w:rsidR="004F7554" w:rsidSect="00051FC9">
          <w:footnotePr>
            <w:numFmt w:val="lowerRoman"/>
            <w:numRestart w:val="eachPage"/>
          </w:footnotePr>
          <w:endnotePr>
            <w:numFmt w:val="decimal"/>
          </w:endnotePr>
          <w:pgSz w:w="11900" w:h="16840" w:code="9"/>
          <w:pgMar w:top="1701" w:right="1134" w:bottom="851" w:left="1134" w:header="510" w:footer="340" w:gutter="0"/>
          <w:cols w:space="454"/>
          <w:docGrid w:linePitch="326"/>
        </w:sectPr>
      </w:pPr>
      <w:r>
        <w:t>Transferred (</w:t>
      </w:r>
      <w:r w:rsidR="008B326F">
        <w:t>s</w:t>
      </w:r>
      <w:r>
        <w:t>ubtractions) relates to homes previously used for social housing transferred to other government programs, including out</w:t>
      </w:r>
      <w:r w:rsidR="00D059E2">
        <w:t>-</w:t>
      </w:r>
      <w:r>
        <w:t>of</w:t>
      </w:r>
      <w:r w:rsidR="00D059E2">
        <w:t>-</w:t>
      </w:r>
      <w:r>
        <w:t>home care for children and mental health youth residential programs.</w:t>
      </w:r>
    </w:p>
    <w:p w14:paraId="41AF3BA6" w14:textId="77777777" w:rsidR="004F7554" w:rsidRDefault="004F7554" w:rsidP="0052277A">
      <w:pPr>
        <w:pStyle w:val="Heading2"/>
        <w:spacing w:before="480" w:after="160"/>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bookmarkStart w:id="237" w:name="_Ref178179109"/>
      <w:bookmarkStart w:id="238" w:name="_Ref178240587"/>
      <w:bookmarkStart w:id="239" w:name="_Toc181101526"/>
      <w:r w:rsidRPr="009C01B9">
        <w:t>Freedom of information</w:t>
      </w:r>
      <w:bookmarkEnd w:id="237"/>
      <w:bookmarkEnd w:id="238"/>
      <w:bookmarkEnd w:id="239"/>
    </w:p>
    <w:p w14:paraId="7A9025C5" w14:textId="77777777" w:rsidR="004F7554" w:rsidRPr="009C01B9" w:rsidRDefault="004F7554" w:rsidP="0088621E">
      <w:pPr>
        <w:pStyle w:val="ARbody"/>
      </w:pPr>
      <w:r w:rsidRPr="009C01B9">
        <w:t xml:space="preserve">The </w:t>
      </w:r>
      <w:r w:rsidRPr="00DE367D">
        <w:rPr>
          <w:rStyle w:val="Emphasis"/>
        </w:rPr>
        <w:t>Freedom of Information Act 1982</w:t>
      </w:r>
      <w:r w:rsidRPr="009C01B9">
        <w:t xml:space="preserve"> aims to extend as far as possible the right of the community to access information held by the Victorian Government and other bodies subject to the Act.</w:t>
      </w:r>
    </w:p>
    <w:p w14:paraId="089F8EEC" w14:textId="797C7BF6" w:rsidR="004F7554" w:rsidRDefault="004F7554" w:rsidP="0088621E">
      <w:pPr>
        <w:pStyle w:val="ARbody"/>
      </w:pPr>
      <w:r w:rsidRPr="009C01B9">
        <w:t xml:space="preserve">The Act allows the department to refuse access, either fully or partially, to certain documents or information. Examples of documents that may not be accessed include </w:t>
      </w:r>
      <w:r w:rsidR="007D67F4">
        <w:t>C</w:t>
      </w:r>
      <w:r w:rsidRPr="009C01B9">
        <w:t>abinet documents, some internal working documents, law enforcement documents, documents covered by legal professional privilege, such as legal advice, personal information about other people and documents relating to trade secrets.</w:t>
      </w:r>
      <w:r w:rsidR="00A07A7A">
        <w:t xml:space="preserve"> </w:t>
      </w:r>
      <w:r w:rsidRPr="009C01B9">
        <w:t>The Act provides a 30-day period for processing requests. This time may be extended where consultation is required and by agreement with the applicant.</w:t>
      </w:r>
    </w:p>
    <w:p w14:paraId="6C3AB811" w14:textId="51778667" w:rsidR="00C243C9" w:rsidRDefault="00051FC9" w:rsidP="0088621E">
      <w:pPr>
        <w:pStyle w:val="ARbody"/>
      </w:pPr>
      <w:r>
        <w:br w:type="column"/>
      </w:r>
      <w:r w:rsidR="004F7554" w:rsidRPr="009C01B9">
        <w:t>If an applicant is not satisfied with a decision made by the department, including a decision about</w:t>
      </w:r>
      <w:r>
        <w:t> </w:t>
      </w:r>
      <w:r w:rsidR="004F7554" w:rsidRPr="009C01B9">
        <w:t>whether the application fee is to be waived, the applicant has the right to seek a review by the Office of the Victorian Information Commissioner within 28 days of receiving a decision letter.</w:t>
      </w:r>
      <w:r w:rsidR="00C243C9">
        <w:br w:type="page"/>
      </w:r>
    </w:p>
    <w:p w14:paraId="23B45731" w14:textId="77777777" w:rsidR="004F7554" w:rsidRPr="009C01B9" w:rsidRDefault="004F7554" w:rsidP="00333387">
      <w:pPr>
        <w:pStyle w:val="Heading3"/>
      </w:pPr>
      <w:bookmarkStart w:id="240" w:name="_Ref178661069"/>
      <w:r w:rsidRPr="009C01B9">
        <w:t>Making a request</w:t>
      </w:r>
      <w:bookmarkEnd w:id="240"/>
    </w:p>
    <w:p w14:paraId="5881C5BF" w14:textId="37AC8693" w:rsidR="004F7554" w:rsidRPr="009C01B9" w:rsidRDefault="004F7554" w:rsidP="0088621E">
      <w:pPr>
        <w:pStyle w:val="ARbody"/>
        <w:rPr>
          <w:lang w:eastAsia="en-AU"/>
        </w:rPr>
      </w:pPr>
      <w:r w:rsidRPr="009C01B9">
        <w:rPr>
          <w:lang w:eastAsia="en-AU"/>
        </w:rPr>
        <w:t>Access to documents may be obtained through written request to the department</w:t>
      </w:r>
      <w:r w:rsidR="00711AE6">
        <w:rPr>
          <w:lang w:eastAsia="en-AU"/>
        </w:rPr>
        <w:t>’</w:t>
      </w:r>
      <w:r w:rsidRPr="009C01B9">
        <w:rPr>
          <w:lang w:eastAsia="en-AU"/>
        </w:rPr>
        <w:t>s Freedom of</w:t>
      </w:r>
      <w:r w:rsidR="00051FC9">
        <w:rPr>
          <w:lang w:eastAsia="en-AU"/>
        </w:rPr>
        <w:t> </w:t>
      </w:r>
      <w:r w:rsidRPr="009C01B9">
        <w:rPr>
          <w:lang w:eastAsia="en-AU"/>
        </w:rPr>
        <w:t>Information Unit, pursuant to s.</w:t>
      </w:r>
      <w:r w:rsidR="008B326F">
        <w:rPr>
          <w:lang w:eastAsia="en-AU"/>
        </w:rPr>
        <w:t xml:space="preserve"> </w:t>
      </w:r>
      <w:r w:rsidRPr="009C01B9">
        <w:rPr>
          <w:lang w:eastAsia="en-AU"/>
        </w:rPr>
        <w:t>17 of the Act.</w:t>
      </w:r>
    </w:p>
    <w:p w14:paraId="058C0D27" w14:textId="0F3C6940" w:rsidR="004F7554" w:rsidRPr="009C01B9" w:rsidRDefault="004F7554" w:rsidP="0088621E">
      <w:pPr>
        <w:pStyle w:val="ARbody"/>
        <w:rPr>
          <w:lang w:eastAsia="en-AU"/>
        </w:rPr>
      </w:pPr>
      <w:r w:rsidRPr="009C01B9">
        <w:rPr>
          <w:lang w:eastAsia="en-AU"/>
        </w:rPr>
        <w:t>In summary, the requirements for making a</w:t>
      </w:r>
      <w:r w:rsidR="00051FC9">
        <w:rPr>
          <w:lang w:eastAsia="en-AU"/>
        </w:rPr>
        <w:t> </w:t>
      </w:r>
      <w:r w:rsidRPr="009C01B9">
        <w:rPr>
          <w:lang w:eastAsia="en-AU"/>
        </w:rPr>
        <w:t>request are:</w:t>
      </w:r>
    </w:p>
    <w:p w14:paraId="68E13FB2" w14:textId="77777777" w:rsidR="004F7554" w:rsidRPr="009C01B9" w:rsidRDefault="004F7554" w:rsidP="0088621E">
      <w:pPr>
        <w:pStyle w:val="ARbullet1"/>
        <w:rPr>
          <w:lang w:eastAsia="en-AU"/>
        </w:rPr>
      </w:pPr>
      <w:r w:rsidRPr="009C01B9">
        <w:rPr>
          <w:lang w:eastAsia="en-AU"/>
        </w:rPr>
        <w:t>it must be in writing</w:t>
      </w:r>
    </w:p>
    <w:p w14:paraId="24558827" w14:textId="5360B5BF" w:rsidR="004F7554" w:rsidRPr="009C01B9" w:rsidRDefault="004F7554" w:rsidP="0088621E">
      <w:pPr>
        <w:pStyle w:val="ARbullet1"/>
        <w:rPr>
          <w:lang w:eastAsia="en-AU"/>
        </w:rPr>
      </w:pPr>
      <w:r w:rsidRPr="009C01B9">
        <w:rPr>
          <w:lang w:eastAsia="en-AU"/>
        </w:rPr>
        <w:t>it should provide such information concerning the document as is reasonably necessary to</w:t>
      </w:r>
      <w:r w:rsidR="00051FC9">
        <w:rPr>
          <w:lang w:eastAsia="en-AU"/>
        </w:rPr>
        <w:t> </w:t>
      </w:r>
      <w:r w:rsidRPr="009C01B9">
        <w:rPr>
          <w:lang w:eastAsia="en-AU"/>
        </w:rPr>
        <w:t>enable identification of the document</w:t>
      </w:r>
    </w:p>
    <w:p w14:paraId="0054F6A5" w14:textId="0D67EAE6" w:rsidR="004F7554" w:rsidRPr="009C01B9" w:rsidRDefault="004F7554" w:rsidP="0088621E">
      <w:pPr>
        <w:pStyle w:val="ARbullet1"/>
        <w:rPr>
          <w:lang w:eastAsia="en-AU"/>
        </w:rPr>
      </w:pPr>
      <w:r w:rsidRPr="009C01B9">
        <w:rPr>
          <w:lang w:eastAsia="en-AU"/>
        </w:rPr>
        <w:t>it should be accompanied by the application fee of $32.70 (the fee may be waived in certain</w:t>
      </w:r>
      <w:r w:rsidR="00051FC9">
        <w:rPr>
          <w:lang w:eastAsia="en-AU"/>
        </w:rPr>
        <w:t> </w:t>
      </w:r>
      <w:r w:rsidRPr="009C01B9">
        <w:rPr>
          <w:lang w:eastAsia="en-AU"/>
        </w:rPr>
        <w:t>circumstances).</w:t>
      </w:r>
    </w:p>
    <w:p w14:paraId="5686CD70" w14:textId="70B39921" w:rsidR="004F7554" w:rsidRPr="009C01B9" w:rsidRDefault="004F7554" w:rsidP="0088621E">
      <w:pPr>
        <w:pStyle w:val="ARbodyafterbullets"/>
        <w:keepNext/>
        <w:keepLines/>
        <w:rPr>
          <w:lang w:eastAsia="en-AU"/>
        </w:rPr>
      </w:pPr>
      <w:r w:rsidRPr="009C01B9">
        <w:rPr>
          <w:lang w:eastAsia="en-AU"/>
        </w:rPr>
        <w:t>Requests for documents in the department</w:t>
      </w:r>
      <w:r w:rsidR="00711AE6">
        <w:rPr>
          <w:lang w:eastAsia="en-AU"/>
        </w:rPr>
        <w:t>’</w:t>
      </w:r>
      <w:r w:rsidRPr="009C01B9">
        <w:rPr>
          <w:lang w:eastAsia="en-AU"/>
        </w:rPr>
        <w:t>s possession should be addressed to:</w:t>
      </w:r>
    </w:p>
    <w:p w14:paraId="0C84360E" w14:textId="77777777" w:rsidR="004F7554" w:rsidRPr="009C01B9" w:rsidRDefault="004F7554" w:rsidP="0088621E">
      <w:pPr>
        <w:pStyle w:val="ARbodynospace"/>
        <w:keepNext/>
        <w:keepLines/>
      </w:pPr>
      <w:r w:rsidRPr="009C01B9">
        <w:t>Freedom of Information Unit</w:t>
      </w:r>
    </w:p>
    <w:p w14:paraId="471A7C52" w14:textId="77777777" w:rsidR="004F7554" w:rsidRPr="009C01B9" w:rsidRDefault="004F7554" w:rsidP="0088621E">
      <w:pPr>
        <w:pStyle w:val="ARbodynospace"/>
        <w:keepNext/>
        <w:keepLines/>
      </w:pPr>
      <w:r w:rsidRPr="009C01B9">
        <w:t>Department of Families, Fairness and Housing</w:t>
      </w:r>
    </w:p>
    <w:p w14:paraId="5E202955" w14:textId="77777777" w:rsidR="004F7554" w:rsidRPr="009C01B9" w:rsidRDefault="004F7554" w:rsidP="0088621E">
      <w:pPr>
        <w:pStyle w:val="ARbodynospace"/>
        <w:keepNext/>
        <w:keepLines/>
      </w:pPr>
      <w:r w:rsidRPr="009C01B9">
        <w:t>GPO Box 1774</w:t>
      </w:r>
    </w:p>
    <w:p w14:paraId="12DE9007" w14:textId="77777777" w:rsidR="004F7554" w:rsidRPr="009C01B9" w:rsidRDefault="004F7554" w:rsidP="0088621E">
      <w:pPr>
        <w:pStyle w:val="ARbody"/>
        <w:keepNext/>
        <w:keepLines/>
      </w:pPr>
      <w:r w:rsidRPr="009C01B9">
        <w:t>Melbourne VIC 3001</w:t>
      </w:r>
    </w:p>
    <w:p w14:paraId="7F481077" w14:textId="77777777" w:rsidR="004F7554" w:rsidRPr="009C01B9" w:rsidRDefault="004F7554" w:rsidP="0088621E">
      <w:pPr>
        <w:pStyle w:val="ARbody"/>
        <w:rPr>
          <w:b/>
        </w:rPr>
      </w:pPr>
      <w:r w:rsidRPr="009C01B9">
        <w:t xml:space="preserve">Requests and payment of the application fee can also be lodged online with the </w:t>
      </w:r>
      <w:hyperlink r:id="rId130" w:history="1">
        <w:r w:rsidRPr="009C01B9">
          <w:rPr>
            <w:rStyle w:val="Hyperlink"/>
          </w:rPr>
          <w:t>Office of the Victorian Information Commissioner</w:t>
        </w:r>
      </w:hyperlink>
      <w:r w:rsidRPr="009C01B9">
        <w:t xml:space="preserve"> &lt;ovic.vic.gov.au&gt;.</w:t>
      </w:r>
    </w:p>
    <w:p w14:paraId="0AACA0B7" w14:textId="77777777" w:rsidR="004F7554" w:rsidRPr="009C01B9" w:rsidRDefault="004F7554" w:rsidP="0088621E">
      <w:pPr>
        <w:pStyle w:val="ARbody"/>
      </w:pPr>
      <w:r w:rsidRPr="009C01B9">
        <w:t>Telephone enquiries can be made by calling 1300 151 883.</w:t>
      </w:r>
    </w:p>
    <w:p w14:paraId="1B9E4D25" w14:textId="77777777" w:rsidR="004F7554" w:rsidRDefault="004F7554" w:rsidP="0088621E">
      <w:pPr>
        <w:pStyle w:val="ARbody"/>
      </w:pPr>
      <w:r w:rsidRPr="009C01B9">
        <w:t>Access charges for photocopying and search retrieval may also apply once the request has been finalised.</w:t>
      </w:r>
    </w:p>
    <w:p w14:paraId="230254EB" w14:textId="51C9DA8E" w:rsidR="004F7554" w:rsidRPr="009C01B9" w:rsidRDefault="00C243C9" w:rsidP="00C243C9">
      <w:pPr>
        <w:pStyle w:val="Heading3"/>
      </w:pPr>
      <w:r>
        <w:br w:type="column"/>
      </w:r>
      <w:r w:rsidR="004F7554" w:rsidRPr="009C01B9">
        <w:t>FOI statistics/timeliness</w:t>
      </w:r>
    </w:p>
    <w:p w14:paraId="2B8071FF" w14:textId="5D5F0498" w:rsidR="004F7554" w:rsidRPr="009C01B9" w:rsidRDefault="004F7554" w:rsidP="0088621E">
      <w:pPr>
        <w:pStyle w:val="ARbody"/>
      </w:pPr>
      <w:r w:rsidRPr="009C01B9">
        <w:t>During 2023–24, 2,288 applications were received. Of these, 15 were from Members of Parliament, 22</w:t>
      </w:r>
      <w:r w:rsidR="00051FC9">
        <w:t> </w:t>
      </w:r>
      <w:r w:rsidRPr="009C01B9">
        <w:t>were from the media, and the remainder were from the general public.</w:t>
      </w:r>
    </w:p>
    <w:p w14:paraId="79A20712" w14:textId="20941D21" w:rsidR="004F7554" w:rsidRPr="00A07A7A" w:rsidRDefault="004F7554" w:rsidP="001F08B5">
      <w:pPr>
        <w:pStyle w:val="ARbody"/>
      </w:pPr>
      <w:bookmarkStart w:id="241" w:name="_Ref52282040"/>
      <w:r w:rsidRPr="009C01B9">
        <w:t xml:space="preserve">The department made 1,744 FOI decisions and </w:t>
      </w:r>
      <w:r w:rsidRPr="001F08B5">
        <w:t>processed</w:t>
      </w:r>
      <w:r w:rsidRPr="009C01B9">
        <w:t xml:space="preserve"> 26</w:t>
      </w:r>
      <w:r w:rsidR="00F95AC7">
        <w:t>%</w:t>
      </w:r>
      <w:r w:rsidRPr="009C01B9">
        <w:t xml:space="preserve"> of requests within the statutory time period. </w:t>
      </w:r>
      <w:r w:rsidRPr="00AA126F">
        <w:t>This is an increase of 16</w:t>
      </w:r>
      <w:r w:rsidR="008B326F">
        <w:t>%</w:t>
      </w:r>
      <w:r w:rsidRPr="00AA126F">
        <w:t xml:space="preserve"> from the previous reporting period.</w:t>
      </w:r>
      <w:r w:rsidRPr="00A07A7A">
        <w:t xml:space="preserve"> Of the requests finalised, 53</w:t>
      </w:r>
      <w:r w:rsidR="00A07A7A">
        <w:t>%</w:t>
      </w:r>
      <w:r w:rsidRPr="00A07A7A">
        <w:t xml:space="preserve"> were granted in full or in part. Significant investment has been made in FOI resources to improve service delivery.</w:t>
      </w:r>
    </w:p>
    <w:p w14:paraId="19A9166F" w14:textId="081BDB36" w:rsidR="004F7554" w:rsidRDefault="004F7554" w:rsidP="0088621E">
      <w:pPr>
        <w:pStyle w:val="ARbody"/>
      </w:pPr>
      <w:r w:rsidRPr="00A07A7A">
        <w:t xml:space="preserve">Thirty-two decisions were subject to review by the Office of the Victorian Information Commissioner </w:t>
      </w:r>
      <w:r w:rsidRPr="00AA126F">
        <w:t>and 75</w:t>
      </w:r>
      <w:r w:rsidR="005358DC">
        <w:t xml:space="preserve">% </w:t>
      </w:r>
      <w:r w:rsidRPr="00AA126F">
        <w:t>of decisions were upheld</w:t>
      </w:r>
      <w:r>
        <w:t>. E</w:t>
      </w:r>
      <w:r w:rsidRPr="009C01B9">
        <w:t>ight appeals were made to the Victorian Civil and Administrative</w:t>
      </w:r>
      <w:r w:rsidR="00051FC9">
        <w:t> </w:t>
      </w:r>
      <w:r w:rsidRPr="009C01B9">
        <w:t>Tribunal</w:t>
      </w:r>
      <w:bookmarkEnd w:id="241"/>
      <w:r w:rsidRPr="009C01B9">
        <w:t>.</w:t>
      </w:r>
    </w:p>
    <w:p w14:paraId="06CE523B" w14:textId="77777777" w:rsidR="004F7554" w:rsidRDefault="004F7554" w:rsidP="0088621E">
      <w:pPr>
        <w:pStyle w:val="ARbody"/>
      </w:pPr>
    </w:p>
    <w:p w14:paraId="343553DD" w14:textId="77777777" w:rsidR="004F7554" w:rsidRDefault="004F7554" w:rsidP="0088621E">
      <w:pPr>
        <w:pStyle w:val="ARbody"/>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6D4108F0" w14:textId="77777777" w:rsidR="005358DC" w:rsidRPr="00B3051F" w:rsidRDefault="005358DC" w:rsidP="00B3051F">
      <w:pPr>
        <w:pStyle w:val="ARbody"/>
      </w:pPr>
      <w:bookmarkStart w:id="242" w:name="_Toc82006216"/>
      <w:bookmarkStart w:id="243" w:name="_Toc86168981"/>
      <w:r w:rsidRPr="00B3051F">
        <w:br w:type="page"/>
      </w:r>
    </w:p>
    <w:p w14:paraId="12617259" w14:textId="77777777" w:rsidR="004F7554" w:rsidRDefault="004F7554" w:rsidP="0052277A">
      <w:pPr>
        <w:pStyle w:val="Heading2"/>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bookmarkStart w:id="244" w:name="_Toc181101527"/>
      <w:r w:rsidRPr="00F90C90">
        <w:t>Asset Management Accountability Framework (AMAF) maturity</w:t>
      </w:r>
      <w:r>
        <w:t> </w:t>
      </w:r>
      <w:r w:rsidRPr="00F90C90">
        <w:t>assessment</w:t>
      </w:r>
      <w:bookmarkEnd w:id="242"/>
      <w:bookmarkEnd w:id="243"/>
      <w:bookmarkEnd w:id="244"/>
    </w:p>
    <w:p w14:paraId="41DF78A0" w14:textId="7FCA12CD" w:rsidR="004F7554" w:rsidRDefault="004F7554" w:rsidP="001F08B5">
      <w:pPr>
        <w:pStyle w:val="ARbody"/>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r w:rsidRPr="005F2D08">
        <w:t>The following sections summarise the department</w:t>
      </w:r>
      <w:r w:rsidR="00711AE6">
        <w:t>’</w:t>
      </w:r>
      <w:r w:rsidRPr="005F2D08">
        <w:t>s assessment of maturity against the requirements of</w:t>
      </w:r>
      <w:r>
        <w:t> </w:t>
      </w:r>
      <w:r w:rsidRPr="005F2D08">
        <w:t xml:space="preserve">the Asset Management Accountability Framework (AMAF). The AMAF is a </w:t>
      </w:r>
      <w:r w:rsidR="006E2F2E">
        <w:br/>
      </w:r>
      <w:r w:rsidRPr="005F2D08">
        <w:t xml:space="preserve">non-prescriptive, devolved accountability model </w:t>
      </w:r>
      <w:r w:rsidRPr="006E2F2E">
        <w:rPr>
          <w:sz w:val="18"/>
          <w:szCs w:val="22"/>
        </w:rPr>
        <w:t>of</w:t>
      </w:r>
      <w:r w:rsidR="006E2F2E">
        <w:rPr>
          <w:sz w:val="18"/>
          <w:szCs w:val="22"/>
        </w:rPr>
        <w:t> </w:t>
      </w:r>
      <w:r w:rsidRPr="006E2F2E">
        <w:rPr>
          <w:sz w:val="18"/>
          <w:szCs w:val="22"/>
        </w:rPr>
        <w:t>asset</w:t>
      </w:r>
      <w:r w:rsidRPr="005F2D08">
        <w:t xml:space="preserve"> management that requires compliance with</w:t>
      </w:r>
      <w:r w:rsidR="006E2F2E">
        <w:t> </w:t>
      </w:r>
      <w:r w:rsidRPr="005F2D08">
        <w:t xml:space="preserve">41 mandatory requirements. </w:t>
      </w:r>
      <w:r w:rsidR="00051FC9">
        <w:br w:type="column"/>
      </w:r>
      <w:r w:rsidRPr="005F2D08">
        <w:t>These</w:t>
      </w:r>
      <w:r w:rsidR="006E2F2E">
        <w:t> </w:t>
      </w:r>
      <w:r w:rsidRPr="005F2D08">
        <w:t xml:space="preserve">requirements can be found on the </w:t>
      </w:r>
      <w:hyperlink r:id="rId131" w:history="1">
        <w:r w:rsidRPr="00340452">
          <w:rPr>
            <w:rStyle w:val="Hyperlink"/>
          </w:rPr>
          <w:t>AMAF</w:t>
        </w:r>
        <w:r w:rsidR="006E2F2E">
          <w:rPr>
            <w:rStyle w:val="Hyperlink"/>
          </w:rPr>
          <w:t> </w:t>
        </w:r>
        <w:r w:rsidRPr="00340452">
          <w:rPr>
            <w:rStyle w:val="Hyperlink"/>
          </w:rPr>
          <w:t>webpage on the DTF website</w:t>
        </w:r>
      </w:hyperlink>
      <w:r w:rsidRPr="005F2D08">
        <w:t xml:space="preserve"> </w:t>
      </w:r>
      <w:r>
        <w:t>&lt;</w:t>
      </w:r>
      <w:r w:rsidRPr="00340452">
        <w:t>www.dtf.vic.gov.au/infrastructure-investment/asset-management-accountability-framework</w:t>
      </w:r>
      <w:r>
        <w:t>&gt;</w:t>
      </w:r>
      <w:r w:rsidRPr="005F2D08">
        <w:t>.</w:t>
      </w:r>
      <w:r w:rsidR="006E2F2E">
        <w:t xml:space="preserve"> </w:t>
      </w:r>
      <w:r w:rsidRPr="005F2D08">
        <w:t xml:space="preserve">The </w:t>
      </w:r>
      <w:r w:rsidR="008B326F">
        <w:t>d</w:t>
      </w:r>
      <w:r w:rsidR="008B326F" w:rsidRPr="005F2D08">
        <w:t>epartment</w:t>
      </w:r>
      <w:r w:rsidR="00711AE6">
        <w:t>’</w:t>
      </w:r>
      <w:r w:rsidR="008B326F" w:rsidRPr="005F2D08">
        <w:t>s</w:t>
      </w:r>
      <w:r w:rsidRPr="005F2D08">
        <w:t xml:space="preserve"> target maturity rating is </w:t>
      </w:r>
      <w:r w:rsidR="00711AE6">
        <w:t>‘</w:t>
      </w:r>
      <w:r w:rsidRPr="005F2D08">
        <w:t>competence</w:t>
      </w:r>
      <w:r w:rsidR="00711AE6">
        <w:t>’</w:t>
      </w:r>
      <w:r w:rsidRPr="005F2D08">
        <w:t xml:space="preserve">, </w:t>
      </w:r>
      <w:r w:rsidRPr="001F08B5">
        <w:t>meaning</w:t>
      </w:r>
      <w:r w:rsidRPr="005F2D08">
        <w:t xml:space="preserve"> systems and processes fully in place, consistently applied and systematically meeting the AMAF requirement, including a continuous improvement process to</w:t>
      </w:r>
      <w:r w:rsidR="00051FC9">
        <w:t> </w:t>
      </w:r>
      <w:r w:rsidRPr="005F2D08">
        <w:t>expand system performance above AMAF minimum requirements.</w:t>
      </w:r>
    </w:p>
    <w:p w14:paraId="35236DEA" w14:textId="4274858C" w:rsidR="004F7554" w:rsidRPr="00F54F39" w:rsidRDefault="0096382D" w:rsidP="0088621E">
      <w:pPr>
        <w:pStyle w:val="ARbodybeforetable"/>
      </w:pPr>
      <w:r>
        <w:rPr>
          <w:noProof/>
        </w:rPr>
        <w:drawing>
          <wp:inline distT="0" distB="0" distL="0" distR="0" wp14:anchorId="0B341F1C" wp14:editId="23F05965">
            <wp:extent cx="5297214" cy="6167578"/>
            <wp:effectExtent l="0" t="0" r="0" b="5080"/>
            <wp:docPr id="425791887" name="Picture 2" descr="Diagram showing the department’s compliance with 41 mandatory requirements. Compliance is reported on a scale from 0 to 4, where 0 is defined as innocence, 1 as awareness, 2 as developing, 3 as competence, and 4 as optimising. Ratings of 0-2 as classified as non-comply, and ratings of 3-4 are classified as comply. The department achieved a rating of Comply (all with a score of 3) for 19% of the requirements and a rating of Non-comply (all with a score of 2) for 81% of the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91887" name="Picture 2" descr="Diagram showing the department’s compliance with 41 mandatory requirements. Compliance is reported on a scale from 0 to 4, where 0 is defined as innocence, 1 as awareness, 2 as developing, 3 as competence, and 4 as optimising. Ratings of 0-2 as classified as non-comply, and ratings of 3-4 are classified as comply. The department achieved a rating of Comply (all with a score of 3) for 19% of the requirements and a rating of Non-comply (all with a score of 2) for 81% of the requirements."/>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309313" cy="6181665"/>
                    </a:xfrm>
                    <a:prstGeom prst="rect">
                      <a:avLst/>
                    </a:prstGeom>
                  </pic:spPr>
                </pic:pic>
              </a:graphicData>
            </a:graphic>
          </wp:inline>
        </w:drawing>
      </w:r>
    </w:p>
    <w:p w14:paraId="2B3C710B" w14:textId="3A670BE9" w:rsidR="004F7554" w:rsidRDefault="004F7554" w:rsidP="0088621E">
      <w:pPr>
        <w:pStyle w:val="ARbody"/>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48C96DF7" w14:textId="247FC7D5" w:rsidR="004F7554" w:rsidRDefault="004F7554" w:rsidP="00051FC9">
      <w:pPr>
        <w:pStyle w:val="Heading3"/>
        <w:spacing w:before="0"/>
      </w:pPr>
      <w:r>
        <w:t xml:space="preserve">Leadership and </w:t>
      </w:r>
      <w:r w:rsidR="008B326F">
        <w:t xml:space="preserve">accountability </w:t>
      </w:r>
      <w:r>
        <w:t>(requirements 1–19)</w:t>
      </w:r>
    </w:p>
    <w:p w14:paraId="728C74B2" w14:textId="0640398A" w:rsidR="004F7554" w:rsidRDefault="004F7554" w:rsidP="0088621E">
      <w:pPr>
        <w:pStyle w:val="ARbody"/>
      </w:pPr>
      <w:r>
        <w:t xml:space="preserve">The department did not comply with some requirements in the category. There is no material </w:t>
      </w:r>
      <w:r>
        <w:br/>
        <w:t>non-compliance reported in this category. A plan for</w:t>
      </w:r>
      <w:r w:rsidR="00051FC9">
        <w:t> </w:t>
      </w:r>
      <w:r>
        <w:t xml:space="preserve">improvement is in place to improve the </w:t>
      </w:r>
      <w:r w:rsidR="008B326F">
        <w:t>department</w:t>
      </w:r>
      <w:r w:rsidR="00711AE6">
        <w:t>’</w:t>
      </w:r>
      <w:r w:rsidR="008B326F">
        <w:t xml:space="preserve">s </w:t>
      </w:r>
      <w:r>
        <w:t>maturity rating in these areas.</w:t>
      </w:r>
    </w:p>
    <w:p w14:paraId="1165B3F2" w14:textId="77777777" w:rsidR="004F7554" w:rsidRDefault="004F7554" w:rsidP="00051FC9">
      <w:pPr>
        <w:pStyle w:val="Heading3"/>
      </w:pPr>
      <w:r>
        <w:t>Planning (requirements 20–</w:t>
      </w:r>
      <w:r w:rsidRPr="00051FC9">
        <w:t>23</w:t>
      </w:r>
      <w:r>
        <w:t>)</w:t>
      </w:r>
    </w:p>
    <w:p w14:paraId="05B51852" w14:textId="68EC085F" w:rsidR="004F7554" w:rsidRDefault="004F7554" w:rsidP="0088621E">
      <w:pPr>
        <w:pStyle w:val="ARbody"/>
      </w:pPr>
      <w:r>
        <w:t xml:space="preserve">The department has met some of its target maturity level in this category but did not comply with some other requirements. There is no material </w:t>
      </w:r>
      <w:r w:rsidR="006E2F2E">
        <w:br/>
      </w:r>
      <w:r>
        <w:t>non-compliance reported in this category. A</w:t>
      </w:r>
      <w:r w:rsidR="006E2F2E">
        <w:t> </w:t>
      </w:r>
      <w:r>
        <w:t>plan</w:t>
      </w:r>
      <w:r w:rsidR="006E2F2E">
        <w:t> </w:t>
      </w:r>
      <w:r>
        <w:t>for</w:t>
      </w:r>
      <w:r w:rsidR="00664146">
        <w:t> </w:t>
      </w:r>
      <w:r>
        <w:t>improvement is in place to improve the</w:t>
      </w:r>
      <w:r w:rsidR="006E2F2E">
        <w:t> </w:t>
      </w:r>
      <w:r w:rsidR="008B326F">
        <w:t>department</w:t>
      </w:r>
      <w:r w:rsidR="00711AE6">
        <w:t>’</w:t>
      </w:r>
      <w:r w:rsidR="008B326F">
        <w:t xml:space="preserve">s </w:t>
      </w:r>
      <w:r>
        <w:t>maturity rating in these areas.</w:t>
      </w:r>
    </w:p>
    <w:p w14:paraId="0F72A742" w14:textId="06C41AE2" w:rsidR="004F7554" w:rsidRDefault="00051FC9" w:rsidP="00051FC9">
      <w:pPr>
        <w:pStyle w:val="Heading3"/>
      </w:pPr>
      <w:r>
        <w:br w:type="column"/>
      </w:r>
      <w:r w:rsidR="004F7554">
        <w:t>Acquisition (requirements 24</w:t>
      </w:r>
      <w:r>
        <w:t> </w:t>
      </w:r>
      <w:r w:rsidR="004F7554">
        <w:t>and 25)</w:t>
      </w:r>
    </w:p>
    <w:p w14:paraId="3C873B8F" w14:textId="2885DA13" w:rsidR="004F7554" w:rsidRDefault="004F7554" w:rsidP="0088621E">
      <w:pPr>
        <w:pStyle w:val="ARbody"/>
      </w:pPr>
      <w:r>
        <w:t>The department has met its target maturity level in</w:t>
      </w:r>
      <w:r w:rsidR="00D756BF">
        <w:t> </w:t>
      </w:r>
      <w:r>
        <w:t>this</w:t>
      </w:r>
      <w:r w:rsidR="00D756BF">
        <w:t> </w:t>
      </w:r>
      <w:r>
        <w:t>category.</w:t>
      </w:r>
    </w:p>
    <w:p w14:paraId="2B04B9B6" w14:textId="77777777" w:rsidR="004F7554" w:rsidRDefault="004F7554" w:rsidP="00333387">
      <w:pPr>
        <w:pStyle w:val="Heading3"/>
      </w:pPr>
      <w:r>
        <w:t>Operation (requirements 26–40)</w:t>
      </w:r>
    </w:p>
    <w:p w14:paraId="344A5B0F" w14:textId="420A08EA" w:rsidR="009C28D0" w:rsidRDefault="004F7554" w:rsidP="009C28D0">
      <w:pPr>
        <w:pStyle w:val="ARbody"/>
      </w:pPr>
      <w:r>
        <w:t>The department did not comply with the requirements in the areas of monitoring and preventative action and information management. There is no material non-compliance reported in</w:t>
      </w:r>
      <w:r w:rsidR="00051FC9">
        <w:t> </w:t>
      </w:r>
      <w:r>
        <w:t>this category. A plan for improvement is in place</w:t>
      </w:r>
      <w:r w:rsidR="00051FC9">
        <w:t> </w:t>
      </w:r>
      <w:r>
        <w:t xml:space="preserve">to improve the </w:t>
      </w:r>
      <w:r w:rsidR="008B326F">
        <w:t>department</w:t>
      </w:r>
      <w:r w:rsidR="00711AE6">
        <w:t>’</w:t>
      </w:r>
      <w:r w:rsidR="008B326F">
        <w:t xml:space="preserve">s </w:t>
      </w:r>
      <w:r>
        <w:t>maturity rating in</w:t>
      </w:r>
      <w:r w:rsidR="00051FC9">
        <w:t> </w:t>
      </w:r>
      <w:r>
        <w:t>these</w:t>
      </w:r>
      <w:r w:rsidR="009C28D0">
        <w:t> </w:t>
      </w:r>
      <w:r>
        <w:t>areas.</w:t>
      </w:r>
    </w:p>
    <w:p w14:paraId="36EB5536" w14:textId="2C480647" w:rsidR="004F7554" w:rsidRDefault="004F7554" w:rsidP="00051FC9">
      <w:pPr>
        <w:pStyle w:val="Heading3"/>
      </w:pPr>
      <w:r>
        <w:t>Disposal (requirement 41)</w:t>
      </w:r>
    </w:p>
    <w:p w14:paraId="7D30D573" w14:textId="1604E223" w:rsidR="004F7554" w:rsidRDefault="004F7554" w:rsidP="0088621E">
      <w:pPr>
        <w:pStyle w:val="ARbody"/>
      </w:pPr>
      <w:r>
        <w:t xml:space="preserve">The department has not met its target maturity level in this category. There is no material </w:t>
      </w:r>
      <w:r>
        <w:br/>
        <w:t xml:space="preserve">non-compliance reported in this category. </w:t>
      </w:r>
      <w:r w:rsidR="00051FC9">
        <w:br/>
      </w:r>
      <w:r>
        <w:t>A plan for improvement is in place to improve the</w:t>
      </w:r>
      <w:r w:rsidR="00051FC9">
        <w:t> </w:t>
      </w:r>
      <w:r w:rsidR="008B326F">
        <w:t>department</w:t>
      </w:r>
      <w:r w:rsidR="00711AE6">
        <w:t>’</w:t>
      </w:r>
      <w:r w:rsidR="008B326F">
        <w:t xml:space="preserve">s </w:t>
      </w:r>
      <w:r>
        <w:t>maturity rating in these areas.</w:t>
      </w:r>
    </w:p>
    <w:p w14:paraId="55799F00" w14:textId="77777777" w:rsidR="004F7554" w:rsidRDefault="004F7554" w:rsidP="0088621E">
      <w:pPr>
        <w:pStyle w:val="ARbody"/>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62EE07BC" w14:textId="77777777" w:rsidR="004F7554" w:rsidRDefault="004F7554" w:rsidP="0052277A">
      <w:pPr>
        <w:pStyle w:val="Heading2"/>
        <w:spacing w:before="480" w:after="160"/>
        <w:sectPr w:rsidR="004F7554"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bookmarkStart w:id="245" w:name="_Ref178663877"/>
      <w:bookmarkStart w:id="246" w:name="_Toc181101528"/>
      <w:r w:rsidRPr="00E509AA">
        <w:t>Environmental performance and impacts</w:t>
      </w:r>
      <w:bookmarkEnd w:id="245"/>
      <w:bookmarkEnd w:id="246"/>
    </w:p>
    <w:p w14:paraId="6DA80352" w14:textId="5464061F" w:rsidR="00AC4CAE" w:rsidRPr="00E509AA" w:rsidRDefault="00AC4CAE" w:rsidP="00C4504F">
      <w:pPr>
        <w:pStyle w:val="ARbody"/>
      </w:pPr>
      <w:r w:rsidRPr="00E509AA">
        <w:t>The department is committed to environmental sustainability in its operations. Sustainability and reducing greenhouse gas emissions are core parts of the department</w:t>
      </w:r>
      <w:r w:rsidR="00711AE6">
        <w:t>’</w:t>
      </w:r>
      <w:r w:rsidRPr="00E509AA">
        <w:t>s corporate strategy. The department supports Victorian public sector programs and policies that lower emissions and increase environmental sustainability outcomes.</w:t>
      </w:r>
    </w:p>
    <w:p w14:paraId="6194475D" w14:textId="77777777" w:rsidR="00AC4CAE" w:rsidRPr="00E509AA" w:rsidRDefault="00AC4CAE" w:rsidP="00333387">
      <w:pPr>
        <w:pStyle w:val="Heading3"/>
      </w:pPr>
      <w:r w:rsidRPr="00E509AA">
        <w:t>Highlights</w:t>
      </w:r>
    </w:p>
    <w:p w14:paraId="1082AE41" w14:textId="77777777" w:rsidR="00AC4CAE" w:rsidRPr="00E509AA" w:rsidRDefault="00AC4CAE" w:rsidP="00C4504F">
      <w:pPr>
        <w:pStyle w:val="ARbody"/>
      </w:pPr>
      <w:r w:rsidRPr="00E509AA">
        <w:t>Highlights for the period included:</w:t>
      </w:r>
    </w:p>
    <w:p w14:paraId="0063A392" w14:textId="1C4BAFF3" w:rsidR="00AC4CAE" w:rsidRDefault="00AC4CAE" w:rsidP="00051FC9">
      <w:pPr>
        <w:pStyle w:val="ARbullet1"/>
      </w:pPr>
      <w:r w:rsidRPr="00BC3C98">
        <w:t>continuing implementation of the department</w:t>
      </w:r>
      <w:r w:rsidR="00711AE6">
        <w:t>’</w:t>
      </w:r>
      <w:r w:rsidRPr="00BC3C98">
        <w:t>s new build standards, including a 5 Star Green Star rating for large developments, a minimum 7-star NatHERS rating for Class 1 homes and a 7-star average for Class 2 homes</w:t>
      </w:r>
    </w:p>
    <w:p w14:paraId="0986D51C" w14:textId="6B311299" w:rsidR="00AC4CAE" w:rsidRDefault="00AC4CAE" w:rsidP="00051FC9">
      <w:pPr>
        <w:pStyle w:val="ARbullet1"/>
      </w:pPr>
      <w:r w:rsidRPr="00BC3C98">
        <w:t>continuing delivery of the Energy Efficiency in Social Housing Program to upgrade homes to improve thermal comfort and reduce greenhouse gas emissions. An expansion of the program was announced in 2023</w:t>
      </w:r>
      <w:r w:rsidR="006E2F2E">
        <w:t>–</w:t>
      </w:r>
      <w:r w:rsidRPr="00BC3C98">
        <w:t>24, with the addition of $46 million in matched federal funding to support the electrification of over 5,000 households and deliver thermal shell upgrades, the installation of efficient appliances and solar photovoltaic (PV) systems</w:t>
      </w:r>
    </w:p>
    <w:p w14:paraId="14AA4813" w14:textId="1EA9CB35" w:rsidR="00AC4CAE" w:rsidRDefault="00051FC9" w:rsidP="00051FC9">
      <w:pPr>
        <w:pStyle w:val="ARbullet1"/>
      </w:pPr>
      <w:r>
        <w:br w:type="column"/>
      </w:r>
      <w:r w:rsidR="00AC4CAE" w:rsidRPr="00BC3C98">
        <w:t>commencing the Cooling our Public Housing Towers program with a trial of air</w:t>
      </w:r>
      <w:r w:rsidR="004B4454">
        <w:t>-</w:t>
      </w:r>
      <w:r w:rsidR="00AC4CAE" w:rsidRPr="00BC3C98">
        <w:t>conditioning systems at the Richmond estate to determine the most suitable and energy-efficient</w:t>
      </w:r>
      <w:r w:rsidR="00611BC7">
        <w:t> </w:t>
      </w:r>
      <w:r w:rsidR="00AC4CAE" w:rsidRPr="00BC3C98">
        <w:t>appliances</w:t>
      </w:r>
    </w:p>
    <w:p w14:paraId="639BCBE5" w14:textId="64A5D4D0" w:rsidR="00AC4CAE" w:rsidRDefault="00AC4CAE" w:rsidP="00051FC9">
      <w:pPr>
        <w:pStyle w:val="ARbullet1"/>
      </w:pPr>
      <w:r w:rsidRPr="00BC3C98">
        <w:t>a commitment to retiring Victoria</w:t>
      </w:r>
      <w:r w:rsidR="00711AE6">
        <w:t>’</w:t>
      </w:r>
      <w:r w:rsidRPr="00BC3C98">
        <w:t xml:space="preserve">s 44 public housing high-rise towers and providing modern, accessible, and </w:t>
      </w:r>
      <w:r w:rsidR="001D6CA7" w:rsidRPr="00BC3C98">
        <w:t>energy</w:t>
      </w:r>
      <w:r w:rsidR="001D6CA7">
        <w:t>-</w:t>
      </w:r>
      <w:r w:rsidRPr="00BC3C98">
        <w:t>efficient homes which will deliver better sustainability outcomes for</w:t>
      </w:r>
      <w:r w:rsidR="00611BC7">
        <w:t> </w:t>
      </w:r>
      <w:r w:rsidRPr="00BC3C98">
        <w:t>renters</w:t>
      </w:r>
    </w:p>
    <w:p w14:paraId="6AE9FA53" w14:textId="48E20F19" w:rsidR="00AC4CAE" w:rsidRDefault="00AC4CAE" w:rsidP="00051FC9">
      <w:pPr>
        <w:pStyle w:val="ARbullet1"/>
      </w:pPr>
      <w:r w:rsidRPr="00BC3C98">
        <w:t>development of a partnership with a local energy network operator to deliver public housing renters at new sites the best energy deal on the market, supplied with 100</w:t>
      </w:r>
      <w:r w:rsidR="00F95AC7">
        <w:t>%</w:t>
      </w:r>
      <w:r w:rsidRPr="00BC3C98">
        <w:t xml:space="preserve"> renewable energy. This arrangement now covers </w:t>
      </w:r>
      <w:r w:rsidR="009D641C">
        <w:t>3</w:t>
      </w:r>
      <w:r w:rsidRPr="00BC3C98">
        <w:t xml:space="preserve"> newly developed sites, with additional sites to come</w:t>
      </w:r>
    </w:p>
    <w:p w14:paraId="2D353A7D" w14:textId="77777777" w:rsidR="00AC4CAE" w:rsidRDefault="00AC4CAE" w:rsidP="00051FC9">
      <w:pPr>
        <w:pStyle w:val="ARbullet1"/>
      </w:pPr>
      <w:r w:rsidRPr="00BC3C98">
        <w:t xml:space="preserve">progressing the </w:t>
      </w:r>
      <w:r w:rsidRPr="007803CC">
        <w:rPr>
          <w:rStyle w:val="Emphasis"/>
        </w:rPr>
        <w:t>Health and Human Services Climate Change Adaptation Action Plan 2022–26</w:t>
      </w:r>
      <w:r w:rsidRPr="00BC3C98">
        <w:t xml:space="preserve"> actions across health and social housing infrastructure, public health programs and services. Activities have included: </w:t>
      </w:r>
    </w:p>
    <w:p w14:paraId="6E119C75" w14:textId="2369FC43" w:rsidR="00AC4CAE" w:rsidRDefault="00AC4CAE" w:rsidP="00233486">
      <w:pPr>
        <w:pStyle w:val="ARbullet2"/>
      </w:pPr>
      <w:r w:rsidRPr="00BC3C98">
        <w:t>improving the departments climate risk maturity via participation in a climate risk community of practice and update of branch, enterprise, departmental risks to align with the state significant risk</w:t>
      </w:r>
    </w:p>
    <w:p w14:paraId="34AC268C" w14:textId="77777777" w:rsidR="00AC4CAE" w:rsidRDefault="00AC4CAE" w:rsidP="00233486">
      <w:pPr>
        <w:pStyle w:val="ARbullet2"/>
      </w:pPr>
      <w:r w:rsidRPr="00BC3C98">
        <w:t xml:space="preserve">developing a Monitoring, Evaluation, Reporting and Improvement (MERI) framework that sets the foundation for periodic monitoring and reporting, and </w:t>
      </w:r>
      <w:r w:rsidRPr="00C41E2B">
        <w:t>provides</w:t>
      </w:r>
      <w:r w:rsidRPr="00BC3C98">
        <w:t xml:space="preserve"> a high-level evaluation framework as required by the </w:t>
      </w:r>
      <w:r w:rsidRPr="007803CC">
        <w:rPr>
          <w:rStyle w:val="Emphasis"/>
        </w:rPr>
        <w:t>Climate Change Act 2017</w:t>
      </w:r>
      <w:r w:rsidRPr="00BC3C98">
        <w:t>.</w:t>
      </w:r>
    </w:p>
    <w:p w14:paraId="4B4F8E05" w14:textId="33FF6970" w:rsidR="00AC4CAE" w:rsidRPr="00BC3C98" w:rsidRDefault="00AC4CAE" w:rsidP="00051FC9">
      <w:pPr>
        <w:pStyle w:val="ARbodyafterbullets"/>
      </w:pPr>
      <w:r w:rsidRPr="00BC3C98">
        <w:t>Undertaking climate risk modelling to assess the portfolio</w:t>
      </w:r>
      <w:r w:rsidR="00711AE6">
        <w:t>’</w:t>
      </w:r>
      <w:r w:rsidRPr="00BC3C98">
        <w:t>s current and future risk exposure to climate hazards with a view to creating decision-ready intelligence for building infrastructure resilience with a focus on social housing</w:t>
      </w:r>
    </w:p>
    <w:p w14:paraId="5FF59061" w14:textId="687CB205" w:rsidR="00F278C9" w:rsidRPr="0064672D" w:rsidRDefault="00F278C9" w:rsidP="00333387">
      <w:pPr>
        <w:pStyle w:val="Heading3"/>
      </w:pPr>
      <w:r w:rsidRPr="0064672D">
        <w:t>The department</w:t>
      </w:r>
      <w:r w:rsidR="00711AE6">
        <w:t>’</w:t>
      </w:r>
      <w:r w:rsidRPr="0064672D">
        <w:t>s environmental management</w:t>
      </w:r>
      <w:r w:rsidR="006E2F2E">
        <w:t> </w:t>
      </w:r>
      <w:r w:rsidRPr="0064672D">
        <w:t>system</w:t>
      </w:r>
    </w:p>
    <w:p w14:paraId="6AB0D53E" w14:textId="12C65CD6" w:rsidR="00F278C9" w:rsidRPr="0064672D" w:rsidRDefault="00F278C9" w:rsidP="00051FC9">
      <w:pPr>
        <w:pStyle w:val="ARbody"/>
      </w:pPr>
      <w:r w:rsidRPr="0064672D">
        <w:t>The department</w:t>
      </w:r>
      <w:r>
        <w:t xml:space="preserve"> has in place an</w:t>
      </w:r>
      <w:r w:rsidRPr="0064672D">
        <w:t xml:space="preserve"> environmental management system (EMS) </w:t>
      </w:r>
      <w:r w:rsidR="00F542D5">
        <w:t xml:space="preserve">that </w:t>
      </w:r>
      <w:r>
        <w:t xml:space="preserve">was developed by the then </w:t>
      </w:r>
      <w:r w:rsidRPr="00051FC9">
        <w:t>Department</w:t>
      </w:r>
      <w:r>
        <w:t xml:space="preserve"> of Health and Human Services. The EMS </w:t>
      </w:r>
      <w:r w:rsidRPr="0064672D">
        <w:t>is a structured approach to managing the department</w:t>
      </w:r>
      <w:r w:rsidR="00711AE6">
        <w:t>’</w:t>
      </w:r>
      <w:r w:rsidRPr="0064672D">
        <w:t xml:space="preserve">s environmental impacts and improving its environmental performance. It is based on the national standard </w:t>
      </w:r>
      <w:r w:rsidRPr="007803CC">
        <w:rPr>
          <w:rStyle w:val="Emphasis"/>
        </w:rPr>
        <w:t>AS/NZS ISO 14001:2016: Environmental Management Systems</w:t>
      </w:r>
      <w:r w:rsidRPr="0064672D">
        <w:t xml:space="preserve"> and provides a framework for the department to improve its environmental sustainability.</w:t>
      </w:r>
    </w:p>
    <w:p w14:paraId="1CF19CF8" w14:textId="77777777" w:rsidR="00F278C9" w:rsidRPr="0064672D" w:rsidRDefault="00F278C9" w:rsidP="00F278C9">
      <w:pPr>
        <w:pStyle w:val="ARbody"/>
        <w:keepNext/>
      </w:pPr>
      <w:r w:rsidRPr="0064672D">
        <w:t>The EMS objectives include:</w:t>
      </w:r>
    </w:p>
    <w:p w14:paraId="7C1F89B7" w14:textId="5EE42A3F" w:rsidR="00F278C9" w:rsidRPr="0064672D" w:rsidRDefault="00F278C9" w:rsidP="00C4504F">
      <w:pPr>
        <w:pStyle w:val="ARbullet1"/>
      </w:pPr>
      <w:r w:rsidRPr="00BC3C98">
        <w:t>reducing</w:t>
      </w:r>
      <w:r w:rsidRPr="0064672D">
        <w:t xml:space="preserve"> greenhouse gas emissions resulting from the department</w:t>
      </w:r>
      <w:r w:rsidR="00711AE6">
        <w:t>’</w:t>
      </w:r>
      <w:r w:rsidRPr="0064672D">
        <w:t>s operational activities</w:t>
      </w:r>
    </w:p>
    <w:p w14:paraId="60F33773" w14:textId="77777777" w:rsidR="00F278C9" w:rsidRPr="0064672D" w:rsidRDefault="00F278C9" w:rsidP="00C4504F">
      <w:pPr>
        <w:pStyle w:val="ARbullet1"/>
      </w:pPr>
      <w:r w:rsidRPr="00BC3C98">
        <w:t>reducing</w:t>
      </w:r>
      <w:r w:rsidRPr="0064672D">
        <w:t xml:space="preserve"> the amount of waste and maximising the amount of reused and recycled resources in procurement</w:t>
      </w:r>
    </w:p>
    <w:p w14:paraId="6DA32E49" w14:textId="77777777" w:rsidR="00F278C9" w:rsidRPr="0064672D" w:rsidRDefault="00F278C9" w:rsidP="00C4504F">
      <w:pPr>
        <w:pStyle w:val="ARbullet1"/>
      </w:pPr>
      <w:r w:rsidRPr="0064672D">
        <w:t>ensuring new capital works incorporate environmentally sustainable principles in design, construction and operation</w:t>
      </w:r>
    </w:p>
    <w:p w14:paraId="28339BDC" w14:textId="77777777" w:rsidR="00F278C9" w:rsidRPr="0064672D" w:rsidRDefault="00F278C9" w:rsidP="00C4504F">
      <w:pPr>
        <w:pStyle w:val="ARbullet1"/>
      </w:pPr>
      <w:r w:rsidRPr="00BC3C98">
        <w:t>encouraging</w:t>
      </w:r>
      <w:r w:rsidRPr="0064672D">
        <w:t xml:space="preserve"> staff to reduce environmental impacts through behaviour change</w:t>
      </w:r>
    </w:p>
    <w:p w14:paraId="5EEF0BC8" w14:textId="77777777" w:rsidR="00F278C9" w:rsidRPr="0064672D" w:rsidRDefault="00F278C9" w:rsidP="00C4504F">
      <w:pPr>
        <w:pStyle w:val="ARbullet1"/>
      </w:pPr>
      <w:r w:rsidRPr="00BC3C98">
        <w:t>communicating</w:t>
      </w:r>
      <w:r w:rsidRPr="0064672D">
        <w:t xml:space="preserve"> environmental performa</w:t>
      </w:r>
      <w:r>
        <w:t>n</w:t>
      </w:r>
      <w:r w:rsidRPr="0064672D">
        <w:t>ce through regular internal and public reporting.</w:t>
      </w:r>
    </w:p>
    <w:p w14:paraId="13A3CEBA" w14:textId="35E4D268" w:rsidR="00F278C9" w:rsidRPr="00C10089" w:rsidRDefault="00F278C9" w:rsidP="00F278C9">
      <w:pPr>
        <w:pStyle w:val="ARbodyafterbullets"/>
      </w:pPr>
      <w:r>
        <w:t>The EMS was last independently audited in 2020</w:t>
      </w:r>
      <w:r w:rsidR="002F23D0">
        <w:t> </w:t>
      </w:r>
      <w:r>
        <w:t>The department will continue to maintain and</w:t>
      </w:r>
      <w:r w:rsidR="007D442D">
        <w:t> </w:t>
      </w:r>
      <w:r>
        <w:t>update the EMS to improve environmental</w:t>
      </w:r>
      <w:r w:rsidR="007D442D">
        <w:t> </w:t>
      </w:r>
      <w:r>
        <w:t>performance.</w:t>
      </w:r>
    </w:p>
    <w:p w14:paraId="0E3E6B99" w14:textId="77777777" w:rsidR="00F278C9" w:rsidRPr="00EF4204" w:rsidRDefault="00F278C9" w:rsidP="00333387">
      <w:pPr>
        <w:pStyle w:val="Heading3"/>
      </w:pPr>
      <w:r w:rsidRPr="00EF4204">
        <w:t>Reporting boundary for environmental data</w:t>
      </w:r>
    </w:p>
    <w:p w14:paraId="0BB27EA3" w14:textId="77777777" w:rsidR="00F278C9" w:rsidRPr="00EF4204" w:rsidRDefault="00F278C9" w:rsidP="00F278C9">
      <w:pPr>
        <w:pStyle w:val="ARbody"/>
      </w:pPr>
      <w:r w:rsidRPr="00EF4204">
        <w:t>Operations and activities of the department are included within the organisational boundary for this reporting period. The following portfolio entities are included in the department office data:</w:t>
      </w:r>
    </w:p>
    <w:p w14:paraId="59B0F394" w14:textId="77777777" w:rsidR="00F278C9" w:rsidRPr="00EF4204" w:rsidRDefault="00F278C9" w:rsidP="00C4504F">
      <w:pPr>
        <w:pStyle w:val="ARbullet1"/>
      </w:pPr>
      <w:r w:rsidRPr="00EF4204">
        <w:t xml:space="preserve">Respect </w:t>
      </w:r>
      <w:r w:rsidRPr="00BC3C98">
        <w:t>Victoria</w:t>
      </w:r>
    </w:p>
    <w:p w14:paraId="747D4FBA" w14:textId="77777777" w:rsidR="00F278C9" w:rsidRPr="00BC3C98" w:rsidRDefault="00F278C9" w:rsidP="00C4504F">
      <w:pPr>
        <w:pStyle w:val="ARbullet1"/>
      </w:pPr>
      <w:r w:rsidRPr="00BC3C98">
        <w:t>Commission for Children and Young People</w:t>
      </w:r>
    </w:p>
    <w:p w14:paraId="0668800B" w14:textId="77777777" w:rsidR="00F278C9" w:rsidRPr="00BC3C98" w:rsidRDefault="00F278C9" w:rsidP="00C4504F">
      <w:pPr>
        <w:pStyle w:val="ARbullet1"/>
      </w:pPr>
      <w:r w:rsidRPr="00BC3C98">
        <w:t>Victorian Disability Worker Commission.</w:t>
      </w:r>
    </w:p>
    <w:p w14:paraId="7204E801" w14:textId="77777777" w:rsidR="00F278C9" w:rsidRPr="00BC3C98" w:rsidRDefault="00F278C9" w:rsidP="00864DD2">
      <w:pPr>
        <w:pStyle w:val="ARbodyafterbullets"/>
      </w:pPr>
      <w:r w:rsidRPr="00BC3C98">
        <w:t>Department offices are all managed by the Shared Services Provider and their Service Delivery Partner, Jones Lang Lasalle.</w:t>
      </w:r>
    </w:p>
    <w:p w14:paraId="4E1CC028" w14:textId="7235AF0A" w:rsidR="00F278C9" w:rsidRDefault="00F278C9" w:rsidP="00F278C9">
      <w:pPr>
        <w:pStyle w:val="ARbody"/>
      </w:pPr>
      <w:r w:rsidRPr="00EF4204">
        <w:t>Homes Victoria is included as a Tier 2 entity. Homes Victoria</w:t>
      </w:r>
      <w:r w:rsidR="00711AE6">
        <w:t>’</w:t>
      </w:r>
      <w:r w:rsidRPr="00EF4204">
        <w:t>s housing services portfolio includes high-rise public housing, other public housing, disability accommodation and youth and family welfare services.</w:t>
      </w:r>
    </w:p>
    <w:p w14:paraId="09C3D84B" w14:textId="77777777" w:rsidR="00051FC9" w:rsidRDefault="00051FC9" w:rsidP="00F278C9">
      <w:pPr>
        <w:pStyle w:val="ARbody"/>
      </w:pPr>
    </w:p>
    <w:p w14:paraId="3D35F9FA" w14:textId="77777777" w:rsidR="00051FC9" w:rsidRPr="00051FC9" w:rsidRDefault="00051FC9" w:rsidP="00051FC9">
      <w:pPr>
        <w:pStyle w:val="ARbody"/>
        <w:sectPr w:rsidR="00051FC9" w:rsidRPr="00051FC9"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57EA84B0" w14:textId="1CE49D2E" w:rsidR="009E2800" w:rsidRPr="001E216D" w:rsidRDefault="009E2800" w:rsidP="00A95A18">
      <w:pPr>
        <w:pStyle w:val="ARtablecaption"/>
      </w:pPr>
      <w:r w:rsidRPr="001E216D">
        <w:t xml:space="preserve">Table </w:t>
      </w:r>
      <w:r w:rsidR="00973D95">
        <w:t>14</w:t>
      </w:r>
      <w:r w:rsidRPr="001E216D">
        <w:t>: Staff and building reference data</w:t>
      </w:r>
    </w:p>
    <w:tbl>
      <w:tblPr>
        <w:tblStyle w:val="TableGrid"/>
        <w:tblW w:w="5000" w:type="pct"/>
        <w:tblLook w:val="06A0" w:firstRow="1" w:lastRow="0" w:firstColumn="1" w:lastColumn="0" w:noHBand="1" w:noVBand="1"/>
      </w:tblPr>
      <w:tblGrid>
        <w:gridCol w:w="4352"/>
        <w:gridCol w:w="2365"/>
        <w:gridCol w:w="1478"/>
        <w:gridCol w:w="1427"/>
      </w:tblGrid>
      <w:tr w:rsidR="00A35C8C" w:rsidRPr="001E216D" w14:paraId="603691D0" w14:textId="77777777" w:rsidTr="00597F8D">
        <w:trPr>
          <w:cnfStyle w:val="100000000000" w:firstRow="1" w:lastRow="0" w:firstColumn="0" w:lastColumn="0" w:oddVBand="0" w:evenVBand="0" w:oddHBand="0" w:evenHBand="0" w:firstRowFirstColumn="0" w:firstRowLastColumn="0" w:lastRowFirstColumn="0" w:lastRowLastColumn="0"/>
          <w:trHeight w:val="332"/>
          <w:tblHeader/>
        </w:trPr>
        <w:tc>
          <w:tcPr>
            <w:tcW w:w="3618" w:type="dxa"/>
          </w:tcPr>
          <w:p w14:paraId="5AF1460D" w14:textId="77777777" w:rsidR="00A35C8C" w:rsidRPr="001E216D" w:rsidRDefault="00A35C8C">
            <w:pPr>
              <w:pStyle w:val="ARtablecolhead"/>
              <w:spacing w:before="30" w:after="20"/>
            </w:pPr>
            <w:r w:rsidRPr="001E216D">
              <w:t>Description</w:t>
            </w:r>
          </w:p>
        </w:tc>
        <w:tc>
          <w:tcPr>
            <w:tcW w:w="1966" w:type="dxa"/>
          </w:tcPr>
          <w:p w14:paraId="67946DB1" w14:textId="77777777" w:rsidR="00A35C8C" w:rsidRPr="001E216D" w:rsidRDefault="00A35C8C">
            <w:pPr>
              <w:pStyle w:val="ARtablecolheadright"/>
              <w:spacing w:before="30" w:after="20"/>
            </w:pPr>
            <w:r w:rsidRPr="001E216D">
              <w:t>Government-owned buildings</w:t>
            </w:r>
          </w:p>
        </w:tc>
        <w:tc>
          <w:tcPr>
            <w:tcW w:w="1229" w:type="dxa"/>
          </w:tcPr>
          <w:p w14:paraId="44411A42" w14:textId="77777777" w:rsidR="00A35C8C" w:rsidRPr="001E216D" w:rsidRDefault="00A35C8C">
            <w:pPr>
              <w:pStyle w:val="ARtablecolheadright"/>
              <w:spacing w:before="30" w:after="20"/>
            </w:pPr>
            <w:r w:rsidRPr="001E216D">
              <w:t>Leased</w:t>
            </w:r>
            <w:r w:rsidRPr="001E216D">
              <w:br/>
              <w:t>buildings</w:t>
            </w:r>
          </w:p>
        </w:tc>
        <w:tc>
          <w:tcPr>
            <w:tcW w:w="1186" w:type="dxa"/>
          </w:tcPr>
          <w:p w14:paraId="10993297" w14:textId="77777777" w:rsidR="00A35C8C" w:rsidRPr="001E216D" w:rsidRDefault="00A35C8C">
            <w:pPr>
              <w:pStyle w:val="ARtablecolheadright"/>
              <w:spacing w:before="30" w:after="20"/>
            </w:pPr>
            <w:r w:rsidRPr="001E216D">
              <w:t>Total</w:t>
            </w:r>
          </w:p>
        </w:tc>
      </w:tr>
      <w:tr w:rsidR="00A35C8C" w:rsidRPr="005C6A74" w14:paraId="370696B5" w14:textId="77777777" w:rsidTr="00597F8D">
        <w:trPr>
          <w:cantSplit w:val="0"/>
          <w:trHeight w:val="171"/>
        </w:trPr>
        <w:tc>
          <w:tcPr>
            <w:tcW w:w="3618" w:type="dxa"/>
          </w:tcPr>
          <w:p w14:paraId="2884B2EE" w14:textId="77777777" w:rsidR="00A35C8C" w:rsidRPr="00530978" w:rsidRDefault="00A35C8C">
            <w:pPr>
              <w:pStyle w:val="ARtabletext"/>
              <w:spacing w:before="30" w:after="20"/>
            </w:pPr>
            <w:r w:rsidRPr="00530978">
              <w:t>Office-based FTE – DFFH</w:t>
            </w:r>
          </w:p>
        </w:tc>
        <w:tc>
          <w:tcPr>
            <w:tcW w:w="1966" w:type="dxa"/>
          </w:tcPr>
          <w:p w14:paraId="3F808FFB" w14:textId="77777777" w:rsidR="00A35C8C" w:rsidRPr="00530978" w:rsidRDefault="00A35C8C">
            <w:pPr>
              <w:pStyle w:val="ARtabletextright"/>
              <w:spacing w:before="30" w:after="20"/>
            </w:pPr>
            <w:r w:rsidRPr="00530978">
              <w:t>1,202</w:t>
            </w:r>
          </w:p>
        </w:tc>
        <w:tc>
          <w:tcPr>
            <w:tcW w:w="1229" w:type="dxa"/>
          </w:tcPr>
          <w:p w14:paraId="42206108" w14:textId="77777777" w:rsidR="00A35C8C" w:rsidRPr="00530978" w:rsidRDefault="00A35C8C">
            <w:pPr>
              <w:pStyle w:val="ARtabletextright"/>
              <w:spacing w:before="30" w:after="20"/>
            </w:pPr>
            <w:r w:rsidRPr="00530978">
              <w:t>5,482</w:t>
            </w:r>
          </w:p>
        </w:tc>
        <w:tc>
          <w:tcPr>
            <w:tcW w:w="1186" w:type="dxa"/>
          </w:tcPr>
          <w:p w14:paraId="6F37495E" w14:textId="77777777" w:rsidR="00A35C8C" w:rsidRPr="00530978" w:rsidRDefault="00A35C8C">
            <w:pPr>
              <w:pStyle w:val="ARtabletextright"/>
              <w:spacing w:before="30" w:after="20"/>
            </w:pPr>
            <w:r w:rsidRPr="00530978">
              <w:t>6,68</w:t>
            </w:r>
            <w:r w:rsidRPr="0009793A">
              <w:t>4</w:t>
            </w:r>
          </w:p>
        </w:tc>
      </w:tr>
      <w:tr w:rsidR="00A35C8C" w:rsidRPr="005C6A74" w14:paraId="50D8CD1B" w14:textId="77777777" w:rsidTr="00597F8D">
        <w:trPr>
          <w:cantSplit w:val="0"/>
          <w:trHeight w:val="171"/>
        </w:trPr>
        <w:tc>
          <w:tcPr>
            <w:tcW w:w="3618" w:type="dxa"/>
          </w:tcPr>
          <w:p w14:paraId="12D06577" w14:textId="77777777" w:rsidR="00A35C8C" w:rsidRPr="00530978" w:rsidRDefault="00A35C8C">
            <w:pPr>
              <w:pStyle w:val="ARtabletext"/>
              <w:spacing w:before="30" w:after="20"/>
            </w:pPr>
            <w:r w:rsidRPr="00530978">
              <w:t>Statutory-based FTE</w:t>
            </w:r>
          </w:p>
        </w:tc>
        <w:tc>
          <w:tcPr>
            <w:tcW w:w="1966" w:type="dxa"/>
          </w:tcPr>
          <w:p w14:paraId="77A591AD" w14:textId="77777777" w:rsidR="00A35C8C" w:rsidRPr="00530978" w:rsidRDefault="00A35C8C">
            <w:pPr>
              <w:pStyle w:val="ARtabletextright"/>
              <w:spacing w:before="30" w:after="20"/>
            </w:pPr>
          </w:p>
        </w:tc>
        <w:tc>
          <w:tcPr>
            <w:tcW w:w="1229" w:type="dxa"/>
          </w:tcPr>
          <w:p w14:paraId="25D28080" w14:textId="77777777" w:rsidR="00A35C8C" w:rsidRPr="00530978" w:rsidRDefault="00A35C8C">
            <w:pPr>
              <w:pStyle w:val="ARtabletextright"/>
              <w:spacing w:before="30" w:after="20"/>
            </w:pPr>
            <w:r w:rsidRPr="00530978">
              <w:t>157</w:t>
            </w:r>
          </w:p>
        </w:tc>
        <w:tc>
          <w:tcPr>
            <w:tcW w:w="1186" w:type="dxa"/>
          </w:tcPr>
          <w:p w14:paraId="179882A6" w14:textId="77777777" w:rsidR="00A35C8C" w:rsidRPr="00530978" w:rsidRDefault="00A35C8C">
            <w:pPr>
              <w:pStyle w:val="ARtabletextright"/>
              <w:spacing w:before="30" w:after="20"/>
            </w:pPr>
            <w:r w:rsidRPr="00530978">
              <w:t>157</w:t>
            </w:r>
          </w:p>
        </w:tc>
      </w:tr>
      <w:tr w:rsidR="00A35C8C" w:rsidRPr="005C6A74" w14:paraId="1BA5496E" w14:textId="77777777" w:rsidTr="00597F8D">
        <w:trPr>
          <w:cantSplit w:val="0"/>
          <w:trHeight w:val="171"/>
        </w:trPr>
        <w:tc>
          <w:tcPr>
            <w:tcW w:w="3618" w:type="dxa"/>
          </w:tcPr>
          <w:p w14:paraId="2841647E" w14:textId="77777777" w:rsidR="00A35C8C" w:rsidRPr="00530978" w:rsidRDefault="00A35C8C">
            <w:pPr>
              <w:pStyle w:val="ARtabletextbold"/>
              <w:spacing w:before="30" w:after="20"/>
            </w:pPr>
            <w:r w:rsidRPr="00530978">
              <w:t>Total FTE</w:t>
            </w:r>
          </w:p>
        </w:tc>
        <w:tc>
          <w:tcPr>
            <w:tcW w:w="1966" w:type="dxa"/>
          </w:tcPr>
          <w:p w14:paraId="2956AEAF" w14:textId="77777777" w:rsidR="00A35C8C" w:rsidRPr="00530978" w:rsidRDefault="00A35C8C">
            <w:pPr>
              <w:pStyle w:val="ARtabletextrightbold"/>
              <w:spacing w:before="30" w:after="20"/>
            </w:pPr>
          </w:p>
        </w:tc>
        <w:tc>
          <w:tcPr>
            <w:tcW w:w="1229" w:type="dxa"/>
          </w:tcPr>
          <w:p w14:paraId="7D7834BB" w14:textId="77777777" w:rsidR="00A35C8C" w:rsidRPr="00530978" w:rsidRDefault="00A35C8C">
            <w:pPr>
              <w:pStyle w:val="ARtabletextrightbold"/>
              <w:spacing w:before="30" w:after="20"/>
            </w:pPr>
          </w:p>
        </w:tc>
        <w:tc>
          <w:tcPr>
            <w:tcW w:w="1186" w:type="dxa"/>
          </w:tcPr>
          <w:p w14:paraId="078BDCE1" w14:textId="77777777" w:rsidR="00A35C8C" w:rsidRPr="00530978" w:rsidRDefault="00A35C8C">
            <w:pPr>
              <w:pStyle w:val="ARtabletextrightbold"/>
              <w:spacing w:before="30" w:after="20"/>
            </w:pPr>
            <w:r w:rsidRPr="00530978">
              <w:t>6,8</w:t>
            </w:r>
            <w:r>
              <w:t>41</w:t>
            </w:r>
          </w:p>
        </w:tc>
      </w:tr>
      <w:tr w:rsidR="00A35C8C" w:rsidRPr="001E216D" w14:paraId="627E2032" w14:textId="77777777" w:rsidTr="00597F8D">
        <w:trPr>
          <w:cantSplit w:val="0"/>
          <w:trHeight w:val="171"/>
        </w:trPr>
        <w:tc>
          <w:tcPr>
            <w:tcW w:w="3618" w:type="dxa"/>
          </w:tcPr>
          <w:p w14:paraId="2EFEC273" w14:textId="77777777" w:rsidR="00A35C8C" w:rsidRPr="001E216D" w:rsidRDefault="00A35C8C">
            <w:pPr>
              <w:pStyle w:val="ARtabletext"/>
              <w:spacing w:before="30" w:after="20"/>
            </w:pPr>
            <w:r w:rsidRPr="001E216D">
              <w:t>Number of office-based sites</w:t>
            </w:r>
          </w:p>
        </w:tc>
        <w:tc>
          <w:tcPr>
            <w:tcW w:w="1966" w:type="dxa"/>
          </w:tcPr>
          <w:p w14:paraId="2406425E" w14:textId="77777777" w:rsidR="00A35C8C" w:rsidRPr="001E216D" w:rsidRDefault="00A35C8C">
            <w:pPr>
              <w:pStyle w:val="ARtabletextright"/>
              <w:spacing w:before="30" w:after="20"/>
            </w:pPr>
            <w:r w:rsidRPr="001E216D">
              <w:t>18</w:t>
            </w:r>
          </w:p>
        </w:tc>
        <w:tc>
          <w:tcPr>
            <w:tcW w:w="1229" w:type="dxa"/>
          </w:tcPr>
          <w:p w14:paraId="1F2CD7B5" w14:textId="77777777" w:rsidR="00A35C8C" w:rsidRPr="001E216D" w:rsidRDefault="00A35C8C">
            <w:pPr>
              <w:pStyle w:val="ARtabletextright"/>
              <w:spacing w:before="30" w:after="20"/>
            </w:pPr>
            <w:r w:rsidRPr="001E216D">
              <w:t>53</w:t>
            </w:r>
          </w:p>
        </w:tc>
        <w:tc>
          <w:tcPr>
            <w:tcW w:w="1186" w:type="dxa"/>
          </w:tcPr>
          <w:p w14:paraId="165C0024" w14:textId="77777777" w:rsidR="00A35C8C" w:rsidRPr="001E216D" w:rsidRDefault="00A35C8C">
            <w:pPr>
              <w:pStyle w:val="ARtabletextright"/>
              <w:spacing w:before="30" w:after="20"/>
            </w:pPr>
            <w:r w:rsidRPr="001E216D">
              <w:t>71</w:t>
            </w:r>
          </w:p>
        </w:tc>
      </w:tr>
      <w:tr w:rsidR="00A35C8C" w:rsidRPr="001E216D" w14:paraId="32243DBD" w14:textId="77777777" w:rsidTr="00597F8D">
        <w:trPr>
          <w:cantSplit w:val="0"/>
          <w:trHeight w:val="171"/>
        </w:trPr>
        <w:tc>
          <w:tcPr>
            <w:tcW w:w="3618" w:type="dxa"/>
          </w:tcPr>
          <w:p w14:paraId="1BA60412" w14:textId="77777777" w:rsidR="00A35C8C" w:rsidRPr="001E216D" w:rsidRDefault="00A35C8C">
            <w:pPr>
              <w:pStyle w:val="ARtabletext"/>
              <w:spacing w:before="30" w:after="20"/>
            </w:pPr>
            <w:r w:rsidRPr="001E216D">
              <w:t>Number of high-rise public housing towers</w:t>
            </w:r>
          </w:p>
        </w:tc>
        <w:tc>
          <w:tcPr>
            <w:tcW w:w="1966" w:type="dxa"/>
          </w:tcPr>
          <w:p w14:paraId="7B449B0D" w14:textId="77777777" w:rsidR="00A35C8C" w:rsidRPr="001E216D" w:rsidRDefault="00A35C8C">
            <w:pPr>
              <w:pStyle w:val="ARtabletextright"/>
              <w:spacing w:before="30" w:after="20"/>
            </w:pPr>
            <w:r w:rsidRPr="001E216D">
              <w:t>44</w:t>
            </w:r>
          </w:p>
        </w:tc>
        <w:tc>
          <w:tcPr>
            <w:tcW w:w="1229" w:type="dxa"/>
          </w:tcPr>
          <w:p w14:paraId="11FD4C45" w14:textId="77777777" w:rsidR="00A35C8C" w:rsidRPr="001E216D" w:rsidRDefault="00A35C8C">
            <w:pPr>
              <w:pStyle w:val="ARtabletextright"/>
              <w:spacing w:before="30" w:after="20"/>
            </w:pPr>
          </w:p>
        </w:tc>
        <w:tc>
          <w:tcPr>
            <w:tcW w:w="1186" w:type="dxa"/>
          </w:tcPr>
          <w:p w14:paraId="3D63A0FF" w14:textId="77777777" w:rsidR="00A35C8C" w:rsidRPr="001E216D" w:rsidRDefault="00A35C8C">
            <w:pPr>
              <w:pStyle w:val="ARtabletextright"/>
              <w:spacing w:before="30" w:after="20"/>
            </w:pPr>
            <w:r w:rsidRPr="001E216D">
              <w:t>44</w:t>
            </w:r>
          </w:p>
        </w:tc>
      </w:tr>
      <w:tr w:rsidR="00A35C8C" w:rsidRPr="001E216D" w14:paraId="7979BF92" w14:textId="77777777" w:rsidTr="00597F8D">
        <w:trPr>
          <w:cantSplit w:val="0"/>
          <w:trHeight w:val="171"/>
        </w:trPr>
        <w:tc>
          <w:tcPr>
            <w:tcW w:w="3618" w:type="dxa"/>
          </w:tcPr>
          <w:p w14:paraId="3361531A" w14:textId="77777777" w:rsidR="00A35C8C" w:rsidRPr="001E216D" w:rsidRDefault="00A35C8C">
            <w:pPr>
              <w:pStyle w:val="ARtabletext"/>
              <w:spacing w:before="30" w:after="20"/>
            </w:pPr>
            <w:r w:rsidRPr="001E216D">
              <w:t>Office-based area (m</w:t>
            </w:r>
            <w:r w:rsidRPr="001E216D">
              <w:rPr>
                <w:vertAlign w:val="superscript"/>
              </w:rPr>
              <w:t>2</w:t>
            </w:r>
            <w:r w:rsidRPr="001E216D">
              <w:t>)</w:t>
            </w:r>
          </w:p>
        </w:tc>
        <w:tc>
          <w:tcPr>
            <w:tcW w:w="1966" w:type="dxa"/>
          </w:tcPr>
          <w:p w14:paraId="0B12F1E0" w14:textId="77777777" w:rsidR="00A35C8C" w:rsidRPr="001E216D" w:rsidRDefault="00A35C8C">
            <w:pPr>
              <w:pStyle w:val="ARtabletextright"/>
              <w:spacing w:before="30" w:after="20"/>
            </w:pPr>
            <w:r w:rsidRPr="001E216D">
              <w:t>23,039</w:t>
            </w:r>
          </w:p>
        </w:tc>
        <w:tc>
          <w:tcPr>
            <w:tcW w:w="1229" w:type="dxa"/>
          </w:tcPr>
          <w:p w14:paraId="70D5E09C" w14:textId="77777777" w:rsidR="00A35C8C" w:rsidRPr="001E216D" w:rsidRDefault="00A35C8C">
            <w:pPr>
              <w:pStyle w:val="ARtabletextright"/>
              <w:spacing w:before="30" w:after="20"/>
            </w:pPr>
            <w:r w:rsidRPr="001E216D">
              <w:t>95,691</w:t>
            </w:r>
          </w:p>
        </w:tc>
        <w:tc>
          <w:tcPr>
            <w:tcW w:w="1186" w:type="dxa"/>
          </w:tcPr>
          <w:p w14:paraId="5816B064" w14:textId="77777777" w:rsidR="00A35C8C" w:rsidRPr="001E216D" w:rsidRDefault="00A35C8C">
            <w:pPr>
              <w:pStyle w:val="ARtabletextright"/>
              <w:spacing w:before="30" w:after="20"/>
            </w:pPr>
            <w:r w:rsidRPr="001E216D">
              <w:t>118,730</w:t>
            </w:r>
          </w:p>
        </w:tc>
      </w:tr>
    </w:tbl>
    <w:p w14:paraId="4EB73CAC" w14:textId="77777777" w:rsidR="009E2800" w:rsidRPr="00530978" w:rsidRDefault="009E2800">
      <w:pPr>
        <w:pStyle w:val="ARtablefootnote"/>
      </w:pPr>
      <w:r w:rsidRPr="00530978">
        <w:t>Notes:</w:t>
      </w:r>
    </w:p>
    <w:p w14:paraId="669F7D68" w14:textId="77777777" w:rsidR="009E2800" w:rsidRPr="00530978" w:rsidRDefault="009E2800">
      <w:pPr>
        <w:pStyle w:val="ARtablefootnote"/>
      </w:pPr>
      <w:r w:rsidRPr="00530978">
        <w:t>FTE (full-time equivalent staff member as of 30 June 2024)</w:t>
      </w:r>
    </w:p>
    <w:p w14:paraId="354556DF" w14:textId="75DC18AF" w:rsidR="00973D95" w:rsidRDefault="009E2800" w:rsidP="00597F8D">
      <w:pPr>
        <w:pStyle w:val="ARtablefootnote"/>
      </w:pPr>
      <w:r w:rsidRPr="000570D3">
        <w:t xml:space="preserve">Government-owned sites include those owned by the Department of Transport and Planning and sites owned by Homes </w:t>
      </w:r>
      <w:r w:rsidR="00DC5449" w:rsidRPr="000570D3">
        <w:t>Victoria.</w:t>
      </w:r>
      <w:r w:rsidR="00DC5449" w:rsidRPr="00EF4204">
        <w:t xml:space="preserve"> Climate</w:t>
      </w:r>
      <w:r w:rsidR="00973D95" w:rsidRPr="00EF4204">
        <w:t>-related risk disclosure statement</w:t>
      </w:r>
      <w:r w:rsidR="00C41E2B">
        <w:t>.</w:t>
      </w:r>
    </w:p>
    <w:p w14:paraId="4524D020" w14:textId="310F2287" w:rsidR="0052277A" w:rsidRDefault="0052277A" w:rsidP="00597F8D">
      <w:pPr>
        <w:pStyle w:val="ARbody"/>
      </w:pPr>
      <w:r>
        <w:br w:type="page"/>
      </w:r>
    </w:p>
    <w:p w14:paraId="2CAC709B" w14:textId="77777777" w:rsidR="00597F8D" w:rsidRDefault="00597F8D" w:rsidP="00597F8D">
      <w:pPr>
        <w:pStyle w:val="ARbody"/>
        <w:sectPr w:rsidR="00597F8D" w:rsidSect="00597F8D">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p>
    <w:p w14:paraId="40226D0C" w14:textId="40796DDB" w:rsidR="00973D95" w:rsidRPr="00EF4204" w:rsidRDefault="00973D95" w:rsidP="00973D95">
      <w:pPr>
        <w:pStyle w:val="ARbody"/>
      </w:pPr>
      <w:r w:rsidRPr="00EF4204">
        <w:t>Climate change has the potential to directly and indirectly affect the services and programs that the department delivers on behalf of the Victorian Government. This requires ongoing effort to understand and respond to risks, develop opportunities, and build resilience to climate</w:t>
      </w:r>
      <w:r w:rsidR="00597F8D">
        <w:t> </w:t>
      </w:r>
      <w:r w:rsidRPr="00EF4204">
        <w:t>impacts.</w:t>
      </w:r>
    </w:p>
    <w:p w14:paraId="03BE3C81" w14:textId="10891204" w:rsidR="00973D95" w:rsidRPr="00EF4204" w:rsidRDefault="00973D95" w:rsidP="00973D95">
      <w:pPr>
        <w:pStyle w:val="ARbody"/>
      </w:pPr>
      <w:r w:rsidRPr="00EF4204">
        <w:t xml:space="preserve">The department is actively embedding actions related to the </w:t>
      </w:r>
      <w:r w:rsidR="009D641C">
        <w:t>3</w:t>
      </w:r>
      <w:r w:rsidRPr="00EF4204">
        <w:t xml:space="preserve"> overarching pillars of a clean economy: climate change mitigation and adaptation, renewable energy and circular economy. This supports Victoria</w:t>
      </w:r>
      <w:r w:rsidR="00711AE6">
        <w:t>’</w:t>
      </w:r>
      <w:r w:rsidRPr="00EF4204">
        <w:t>s transition to net zero emissions and climate resilience.</w:t>
      </w:r>
    </w:p>
    <w:p w14:paraId="3423DDDB" w14:textId="77777777" w:rsidR="00973D95" w:rsidRPr="00EF4204" w:rsidRDefault="00973D95" w:rsidP="00973D95">
      <w:pPr>
        <w:pStyle w:val="ARbody"/>
        <w:keepNext/>
      </w:pPr>
      <w:r w:rsidRPr="00EF4204">
        <w:t>The department aims to:</w:t>
      </w:r>
    </w:p>
    <w:p w14:paraId="5F02EEDA" w14:textId="77777777" w:rsidR="00973D95" w:rsidRPr="00BC3C98" w:rsidRDefault="00973D95" w:rsidP="00C4504F">
      <w:pPr>
        <w:pStyle w:val="ARbullet1"/>
      </w:pPr>
      <w:r w:rsidRPr="000570D3">
        <w:t xml:space="preserve">communicate its actions to </w:t>
      </w:r>
      <w:r w:rsidRPr="00BC3C98">
        <w:t>understand the impact of climate change on its assets, operations and services</w:t>
      </w:r>
    </w:p>
    <w:p w14:paraId="0E92084D" w14:textId="77777777" w:rsidR="00973D95" w:rsidRPr="00BC3C98" w:rsidRDefault="00973D95" w:rsidP="00C4504F">
      <w:pPr>
        <w:pStyle w:val="ARbullet1"/>
      </w:pPr>
      <w:r w:rsidRPr="00BC3C98">
        <w:t>demonstrate it responsibly manages and mitigates its environmental impacts</w:t>
      </w:r>
    </w:p>
    <w:p w14:paraId="1355230E" w14:textId="77777777" w:rsidR="00973D95" w:rsidRPr="00BC3C98" w:rsidRDefault="00973D95" w:rsidP="00C4504F">
      <w:pPr>
        <w:pStyle w:val="ARbullet1"/>
      </w:pPr>
      <w:r w:rsidRPr="00BC3C98">
        <w:t>support the efficient allocation of resources to transition operations to net zero emissions and improve environmental performance over time</w:t>
      </w:r>
    </w:p>
    <w:p w14:paraId="442E8296" w14:textId="77777777" w:rsidR="00973D95" w:rsidRPr="000570D3" w:rsidRDefault="00973D95" w:rsidP="00C4504F">
      <w:pPr>
        <w:pStyle w:val="ARbullet1"/>
      </w:pPr>
      <w:r w:rsidRPr="00BC3C98">
        <w:t>deliver infrastructure that is resilient</w:t>
      </w:r>
      <w:r w:rsidRPr="000570D3">
        <w:t xml:space="preserve"> and adapted to climate risks by ensuring that new developments are all-electric, energy efficient, thermally comfortable and include the capability for on-site renewable energy generation.</w:t>
      </w:r>
    </w:p>
    <w:p w14:paraId="47549EAA" w14:textId="77777777" w:rsidR="00973D95" w:rsidRPr="0074627E" w:rsidRDefault="00973D95" w:rsidP="00333387">
      <w:pPr>
        <w:pStyle w:val="Heading3"/>
      </w:pPr>
      <w:r w:rsidRPr="0074627E">
        <w:t>Climate-related risk governance</w:t>
      </w:r>
    </w:p>
    <w:p w14:paraId="1457C85C" w14:textId="02FFC81B" w:rsidR="00973D95" w:rsidRPr="0074627E" w:rsidRDefault="00973D95" w:rsidP="00597F8D">
      <w:pPr>
        <w:pStyle w:val="ARbody"/>
      </w:pPr>
      <w:r w:rsidRPr="0074627E">
        <w:t>The department</w:t>
      </w:r>
      <w:r w:rsidR="00711AE6">
        <w:t>’</w:t>
      </w:r>
      <w:r w:rsidRPr="0074627E">
        <w:t>s Executive Board leads its risk management framework and is the collective owner of the department</w:t>
      </w:r>
      <w:r w:rsidR="00711AE6">
        <w:t>’</w:t>
      </w:r>
      <w:r w:rsidRPr="0074627E">
        <w:t>s strategic and enterprise risks. The Board monitors risk mitigation activities through quarterly executive risk management</w:t>
      </w:r>
      <w:r w:rsidR="00597F8D">
        <w:t> </w:t>
      </w:r>
      <w:r w:rsidRPr="0074627E">
        <w:t>reporting.</w:t>
      </w:r>
    </w:p>
    <w:p w14:paraId="06AE3AC8" w14:textId="39B397F0" w:rsidR="00973D95" w:rsidRPr="0074627E" w:rsidRDefault="00973D95" w:rsidP="00973D95">
      <w:pPr>
        <w:pStyle w:val="ARbody"/>
      </w:pPr>
      <w:r w:rsidRPr="0074627E">
        <w:t>The department</w:t>
      </w:r>
      <w:r w:rsidR="00711AE6">
        <w:t>’</w:t>
      </w:r>
      <w:r w:rsidRPr="0074627E">
        <w:t>s Audit and Risk Management Committee provides independent assurance to the Secretary that the department</w:t>
      </w:r>
      <w:r w:rsidR="00711AE6">
        <w:t>’</w:t>
      </w:r>
      <w:r w:rsidRPr="0074627E">
        <w:t>s risk and control environment is operating effectively and efficiently. The committee actively monitors the department</w:t>
      </w:r>
      <w:r w:rsidR="00711AE6">
        <w:t>’</w:t>
      </w:r>
      <w:r w:rsidRPr="0074627E">
        <w:t>s risk profile, including climate-related risks, and assesses the risk management strategies adopted.</w:t>
      </w:r>
    </w:p>
    <w:p w14:paraId="6511B776" w14:textId="2E82DD9D" w:rsidR="00973D95" w:rsidRPr="0074627E" w:rsidRDefault="00973D95" w:rsidP="00973D95">
      <w:pPr>
        <w:pStyle w:val="ARbody"/>
      </w:pPr>
      <w:r w:rsidRPr="0074627E">
        <w:t xml:space="preserve">Additionally, the department carries out </w:t>
      </w:r>
      <w:r w:rsidR="00F95AC7">
        <w:t>6</w:t>
      </w:r>
      <w:r w:rsidRPr="0074627E">
        <w:t>-monthly climate risk maturity assessments that are reviewed by the Victorian Secretaries Board to identify the adequacy of, and gaps in, internal capability and capacity (processes, people, systems) in climate-related risk management within the Victorian</w:t>
      </w:r>
      <w:r w:rsidR="00597F8D">
        <w:t> </w:t>
      </w:r>
      <w:r w:rsidRPr="0074627E">
        <w:t>Government.</w:t>
      </w:r>
    </w:p>
    <w:p w14:paraId="73B81B88" w14:textId="77777777" w:rsidR="00973D95" w:rsidRPr="000570D3" w:rsidRDefault="00973D95" w:rsidP="00333387">
      <w:pPr>
        <w:pStyle w:val="Heading3"/>
      </w:pPr>
      <w:r w:rsidRPr="000570D3">
        <w:t>Climate-related risk strategy</w:t>
      </w:r>
    </w:p>
    <w:p w14:paraId="79051F4C" w14:textId="7D0078FC" w:rsidR="00973D95" w:rsidRPr="000570D3" w:rsidRDefault="00973D95" w:rsidP="00973D95">
      <w:pPr>
        <w:pStyle w:val="ARbody"/>
      </w:pPr>
      <w:r w:rsidRPr="000570D3">
        <w:t>The department considers the potential impacts of climate-related risks as part of environmental scanning activities. In particular, it does this in relation to housing needs and supply, population health and wellbeing, frequency and severity of disaster events, and impacts on existing zero emissions commitments in strategic and corporate</w:t>
      </w:r>
      <w:r w:rsidR="006E2F2E">
        <w:t> </w:t>
      </w:r>
      <w:r w:rsidRPr="000570D3">
        <w:t>plans.</w:t>
      </w:r>
    </w:p>
    <w:p w14:paraId="548EA038" w14:textId="78B98C64" w:rsidR="00973D95" w:rsidRPr="000570D3" w:rsidRDefault="00973D95" w:rsidP="00973D95">
      <w:pPr>
        <w:pStyle w:val="ARbody"/>
      </w:pPr>
      <w:r w:rsidRPr="000570D3">
        <w:t xml:space="preserve">The </w:t>
      </w:r>
      <w:r w:rsidRPr="007803CC">
        <w:rPr>
          <w:rStyle w:val="Emphasis"/>
        </w:rPr>
        <w:t xml:space="preserve">Health and </w:t>
      </w:r>
      <w:r w:rsidR="00F542D5" w:rsidRPr="007803CC">
        <w:rPr>
          <w:rStyle w:val="Emphasis"/>
        </w:rPr>
        <w:t>human services climate change adaptation action plan</w:t>
      </w:r>
      <w:r w:rsidRPr="007803CC">
        <w:rPr>
          <w:rStyle w:val="Emphasis"/>
        </w:rPr>
        <w:t xml:space="preserve"> 2022–2026</w:t>
      </w:r>
      <w:r w:rsidRPr="000570D3">
        <w:t xml:space="preserve"> was prepared</w:t>
      </w:r>
      <w:r>
        <w:t xml:space="preserve"> consistent with the requirements of</w:t>
      </w:r>
      <w:r w:rsidRPr="000570D3">
        <w:t xml:space="preserve"> the </w:t>
      </w:r>
      <w:r w:rsidRPr="007803CC">
        <w:rPr>
          <w:rStyle w:val="Emphasis"/>
        </w:rPr>
        <w:t>Climate Change Act 2017</w:t>
      </w:r>
      <w:r w:rsidRPr="000570D3">
        <w:t>. It outlines the approach of the Department of Families</w:t>
      </w:r>
      <w:r w:rsidR="001E3966">
        <w:t xml:space="preserve">, Fairness </w:t>
      </w:r>
      <w:r w:rsidRPr="000570D3">
        <w:t>and Housing and</w:t>
      </w:r>
      <w:r w:rsidR="00D63225">
        <w:t> </w:t>
      </w:r>
      <w:r w:rsidRPr="000570D3">
        <w:t>the Department of Health to managing climate change risk</w:t>
      </w:r>
      <w:r>
        <w:t xml:space="preserve"> in collaboration with their respective sectors</w:t>
      </w:r>
      <w:r w:rsidRPr="000570D3">
        <w:t>. During 202</w:t>
      </w:r>
      <w:r>
        <w:t>3</w:t>
      </w:r>
      <w:r w:rsidRPr="000570D3">
        <w:t>–2</w:t>
      </w:r>
      <w:r>
        <w:t>4</w:t>
      </w:r>
      <w:r w:rsidRPr="000570D3">
        <w:t>, the department progressed a range of actions under the plan and is</w:t>
      </w:r>
      <w:r w:rsidR="00D63225">
        <w:t> </w:t>
      </w:r>
      <w:r w:rsidRPr="000570D3">
        <w:t>participating in whole-of-Victorian-Government processes to integrate and progress climate change more broadly.</w:t>
      </w:r>
    </w:p>
    <w:p w14:paraId="7EA556B0" w14:textId="25EB59FF" w:rsidR="00973D95" w:rsidRPr="000570D3" w:rsidRDefault="00973D95" w:rsidP="00973D95">
      <w:pPr>
        <w:pStyle w:val="ARbody"/>
      </w:pPr>
      <w:r w:rsidRPr="000570D3">
        <w:t>The department is continuing to build on its</w:t>
      </w:r>
      <w:r w:rsidR="00D63225">
        <w:t> </w:t>
      </w:r>
      <w:r w:rsidRPr="000570D3">
        <w:t>understanding of climate-related risks and</w:t>
      </w:r>
      <w:r w:rsidR="00D63225">
        <w:t> </w:t>
      </w:r>
      <w:r w:rsidRPr="000570D3">
        <w:t>opportunities and assess and monitor their</w:t>
      </w:r>
      <w:r w:rsidR="00D63225">
        <w:t> </w:t>
      </w:r>
      <w:r w:rsidRPr="000570D3">
        <w:t>relative potential impacts.</w:t>
      </w:r>
    </w:p>
    <w:p w14:paraId="27FB8FAE" w14:textId="77777777" w:rsidR="00973D95" w:rsidRPr="00660B33" w:rsidRDefault="00973D95" w:rsidP="00973D95">
      <w:pPr>
        <w:pStyle w:val="ARbody"/>
        <w:rPr>
          <w:szCs w:val="20"/>
        </w:rPr>
      </w:pPr>
      <w:r w:rsidRPr="000570D3">
        <w:t xml:space="preserve">The department is currently monitoring and managing several climate-related physical </w:t>
      </w:r>
      <w:r w:rsidRPr="00660B33">
        <w:rPr>
          <w:szCs w:val="20"/>
        </w:rPr>
        <w:t>risks and opportunities. These include:</w:t>
      </w:r>
    </w:p>
    <w:p w14:paraId="78C3D5DB" w14:textId="3004BF44" w:rsidR="00973D95" w:rsidRPr="00BC3C98" w:rsidRDefault="00973D95" w:rsidP="00C4504F">
      <w:pPr>
        <w:pStyle w:val="ARbullet1"/>
      </w:pPr>
      <w:r w:rsidRPr="00BC3C98">
        <w:t xml:space="preserve">the impact of increased temperatures and extreme heat on department operations </w:t>
      </w:r>
    </w:p>
    <w:p w14:paraId="0BF035FD" w14:textId="77777777" w:rsidR="00973D95" w:rsidRPr="00BC3C98" w:rsidRDefault="00973D95" w:rsidP="00C4504F">
      <w:pPr>
        <w:pStyle w:val="ARbullet1"/>
      </w:pPr>
      <w:r w:rsidRPr="00BC3C98">
        <w:t>the impact of bushfires and extreme weather events on departmental assets</w:t>
      </w:r>
    </w:p>
    <w:p w14:paraId="1953CF1A" w14:textId="39D89626" w:rsidR="00973D95" w:rsidRPr="00BC3C98" w:rsidRDefault="00973D95" w:rsidP="00C4504F">
      <w:pPr>
        <w:pStyle w:val="ARbullet1"/>
      </w:pPr>
      <w:r w:rsidRPr="00BC3C98">
        <w:t>reducing greenhouse gas emissions resulting from the department</w:t>
      </w:r>
      <w:r w:rsidR="00711AE6">
        <w:t>’</w:t>
      </w:r>
      <w:r w:rsidRPr="00BC3C98">
        <w:t>s operations in line with Victorian Government commitments</w:t>
      </w:r>
    </w:p>
    <w:p w14:paraId="3F3CE805" w14:textId="7E840B3F" w:rsidR="00973D95" w:rsidRPr="00BC3C98" w:rsidRDefault="00973D95" w:rsidP="00C4504F">
      <w:pPr>
        <w:pStyle w:val="ARbullet1"/>
      </w:pPr>
      <w:r w:rsidRPr="00BC3C98">
        <w:t>aligning procurement to circular economy</w:t>
      </w:r>
      <w:r w:rsidR="00D63225">
        <w:t> </w:t>
      </w:r>
      <w:r w:rsidRPr="00BC3C98">
        <w:t>principles</w:t>
      </w:r>
    </w:p>
    <w:p w14:paraId="1E9DDDE9" w14:textId="77777777" w:rsidR="00973D95" w:rsidRPr="00BC3C98" w:rsidRDefault="00973D95" w:rsidP="00C4504F">
      <w:pPr>
        <w:pStyle w:val="ARbullet1"/>
      </w:pPr>
      <w:r w:rsidRPr="00BC3C98">
        <w:t>improving environmental performance monitoring, evaluation and reporting</w:t>
      </w:r>
    </w:p>
    <w:p w14:paraId="2957022C" w14:textId="77777777" w:rsidR="00973D95" w:rsidRDefault="00973D95" w:rsidP="00C4504F">
      <w:pPr>
        <w:pStyle w:val="ARbullet1"/>
      </w:pPr>
      <w:r w:rsidRPr="00BC3C98">
        <w:t>supporting the continuing uptake of renewable energy and other low emissions technologies across Victoria.</w:t>
      </w:r>
    </w:p>
    <w:p w14:paraId="7C19CCBB" w14:textId="5D32FE75" w:rsidR="00597F8D" w:rsidRDefault="00597F8D">
      <w:pPr>
        <w:rPr>
          <w:rFonts w:ascii="Arial" w:eastAsia="Times" w:hAnsi="Arial" w:cs="Arial"/>
          <w:sz w:val="20"/>
          <w:szCs w:val="24"/>
        </w:rPr>
      </w:pPr>
      <w:r>
        <w:br w:type="page"/>
      </w:r>
    </w:p>
    <w:p w14:paraId="09FB1340" w14:textId="77777777" w:rsidR="00973D95" w:rsidRPr="007C359B" w:rsidRDefault="00973D95" w:rsidP="00597F8D">
      <w:pPr>
        <w:pStyle w:val="Heading3"/>
        <w:spacing w:before="0"/>
      </w:pPr>
      <w:r w:rsidRPr="007C359B">
        <w:t>Climate-related risk management</w:t>
      </w:r>
    </w:p>
    <w:p w14:paraId="001E39BF" w14:textId="4504FFFA" w:rsidR="00973D95" w:rsidRPr="007C359B" w:rsidRDefault="00973D95" w:rsidP="00973D95">
      <w:pPr>
        <w:pStyle w:val="ARbody"/>
      </w:pPr>
      <w:r w:rsidRPr="007C359B">
        <w:t>The department</w:t>
      </w:r>
      <w:r w:rsidR="00711AE6">
        <w:t>’</w:t>
      </w:r>
      <w:r w:rsidRPr="007C359B">
        <w:t>s risk management framework requires it to consider its operating context, including climate change, and identify, assess and</w:t>
      </w:r>
      <w:r w:rsidR="00D63225">
        <w:t> </w:t>
      </w:r>
      <w:r w:rsidRPr="007C359B">
        <w:t xml:space="preserve">manage risks and opportunities. The framework is aligned with the </w:t>
      </w:r>
      <w:r w:rsidRPr="007803CC">
        <w:rPr>
          <w:rStyle w:val="Emphasis"/>
        </w:rPr>
        <w:t>Victorian Government risk management framework</w:t>
      </w:r>
      <w:r w:rsidRPr="007C359B">
        <w:t>. It provides guidance for designing, implementing, monitoring, reviewing and</w:t>
      </w:r>
      <w:r w:rsidR="00597F8D">
        <w:t> </w:t>
      </w:r>
      <w:r w:rsidRPr="007C359B">
        <w:t>continually improving risk management throughout the department.</w:t>
      </w:r>
    </w:p>
    <w:p w14:paraId="229A1068" w14:textId="77777777" w:rsidR="00973D95" w:rsidRPr="007C359B" w:rsidRDefault="00973D95" w:rsidP="00973D95">
      <w:pPr>
        <w:pStyle w:val="ARbody"/>
      </w:pPr>
      <w:r w:rsidRPr="007C359B">
        <w:t>Climate change was approved by the Executive Board as a strategic risk for the department. Controls and treatments are progressively being refined.</w:t>
      </w:r>
    </w:p>
    <w:p w14:paraId="0B742C38" w14:textId="77777777" w:rsidR="00973D95" w:rsidRPr="005C0511" w:rsidRDefault="00973D95" w:rsidP="00333387">
      <w:pPr>
        <w:pStyle w:val="Heading3"/>
      </w:pPr>
      <w:r w:rsidRPr="005C0511">
        <w:t>Climate-related metrics and targets</w:t>
      </w:r>
    </w:p>
    <w:p w14:paraId="02D11852" w14:textId="77777777" w:rsidR="00973D95" w:rsidRPr="005C0511" w:rsidRDefault="00973D95" w:rsidP="00973D95">
      <w:pPr>
        <w:pStyle w:val="ARbody"/>
      </w:pPr>
      <w:r w:rsidRPr="005C0511">
        <w:t xml:space="preserve">The department reports climate-related metrics in line with requirements under Financial Reporting Direction 24 (FRD 24) </w:t>
      </w:r>
      <w:r w:rsidRPr="007803CC">
        <w:rPr>
          <w:rStyle w:val="Emphasis"/>
        </w:rPr>
        <w:t>Reporting of environmental data by government entities</w:t>
      </w:r>
      <w:r w:rsidRPr="005C0511">
        <w:t>.</w:t>
      </w:r>
    </w:p>
    <w:p w14:paraId="2A9EA934" w14:textId="77777777" w:rsidR="00973D95" w:rsidRPr="005C0511" w:rsidRDefault="00973D95" w:rsidP="00973D95">
      <w:pPr>
        <w:pStyle w:val="ARbody"/>
      </w:pPr>
      <w:r w:rsidRPr="005C0511">
        <w:t>Environmental data for this report is captured from suppliers, equipment metering, reports and surveys.</w:t>
      </w:r>
    </w:p>
    <w:p w14:paraId="23CDF833" w14:textId="64B2E488" w:rsidR="00973D95" w:rsidRDefault="00973D95" w:rsidP="00973D95">
      <w:pPr>
        <w:pStyle w:val="ARbody"/>
      </w:pPr>
      <w:r w:rsidRPr="005C0511">
        <w:t xml:space="preserve">The department remains committed to the </w:t>
      </w:r>
      <w:r w:rsidRPr="005C0511">
        <w:br/>
        <w:t>whole-of-Victorian-Government target to achieve 100</w:t>
      </w:r>
      <w:r w:rsidR="00F95AC7">
        <w:t>%</w:t>
      </w:r>
      <w:r w:rsidRPr="005C0511">
        <w:t xml:space="preserve"> renewable electricity use in government operations by 2025. The department is working with relevant state government working groups to achieve this objective.</w:t>
      </w:r>
    </w:p>
    <w:p w14:paraId="2FB791DF" w14:textId="73D89A0D" w:rsidR="00973D95" w:rsidRPr="00ED3162" w:rsidRDefault="00597F8D" w:rsidP="00597F8D">
      <w:pPr>
        <w:pStyle w:val="Heading3"/>
        <w:spacing w:before="0"/>
      </w:pPr>
      <w:r>
        <w:br w:type="column"/>
      </w:r>
      <w:r w:rsidR="00973D95">
        <w:t>Greenhouse gas emissions</w:t>
      </w:r>
    </w:p>
    <w:p w14:paraId="3063ED95" w14:textId="18879488" w:rsidR="00973D95" w:rsidRPr="00ED3162" w:rsidRDefault="00973D95" w:rsidP="00973D95">
      <w:pPr>
        <w:pStyle w:val="ARbody"/>
      </w:pPr>
      <w:r>
        <w:t xml:space="preserve">The department reports its greenhouse gas emissions broken down into emissions </w:t>
      </w:r>
      <w:r w:rsidR="00711AE6">
        <w:t>‘</w:t>
      </w:r>
      <w:r>
        <w:t>scopes</w:t>
      </w:r>
      <w:r w:rsidR="00711AE6">
        <w:t>’</w:t>
      </w:r>
      <w:r>
        <w:t xml:space="preserve"> consistent with national and international reporting</w:t>
      </w:r>
      <w:r w:rsidR="00597F8D">
        <w:t> </w:t>
      </w:r>
      <w:r>
        <w:t>standards.</w:t>
      </w:r>
    </w:p>
    <w:p w14:paraId="049E313E" w14:textId="2459E9AB" w:rsidR="00973D95" w:rsidRPr="00ED3162" w:rsidRDefault="00973D95" w:rsidP="00973D95">
      <w:pPr>
        <w:pStyle w:val="ARbody"/>
      </w:pPr>
      <w:r>
        <w:t>Scope 1 emissions are from sources that the department owns or controls, such as burning fossil fuels in its vehicle fleet. Scope 2 emissions are indirect emissions from the department</w:t>
      </w:r>
      <w:r w:rsidR="00711AE6">
        <w:t>’</w:t>
      </w:r>
      <w:r>
        <w:t>s use of electricity from the grid, which still uses coal and</w:t>
      </w:r>
      <w:r w:rsidR="0052277A">
        <w:t> </w:t>
      </w:r>
      <w:r>
        <w:t>gas-fired power generation. Scope 3 emissions are indirect emissions from sources the department does not control but does influence. The department reports only scope 3 emissions from corporate air travel and waste disposal.</w:t>
      </w:r>
    </w:p>
    <w:p w14:paraId="43D3CF45" w14:textId="26523EF4" w:rsidR="00973D95" w:rsidRPr="00530978" w:rsidRDefault="00973D95" w:rsidP="00973D95">
      <w:pPr>
        <w:pStyle w:val="ARbody"/>
      </w:pPr>
      <w:r w:rsidRPr="00901BA8">
        <w:t>The department</w:t>
      </w:r>
      <w:r w:rsidR="00711AE6">
        <w:t>’</w:t>
      </w:r>
      <w:r w:rsidRPr="00901BA8">
        <w:t>s scope 1 greenhouse gas emissions increased by 15.1</w:t>
      </w:r>
      <w:r w:rsidR="00F95AC7">
        <w:t>%</w:t>
      </w:r>
      <w:r w:rsidRPr="00901BA8">
        <w:t xml:space="preserve"> from </w:t>
      </w:r>
      <w:r w:rsidRPr="00901BA8">
        <w:br/>
        <w:t>2022–23 to 2023</w:t>
      </w:r>
      <w:r w:rsidR="006E2F2E">
        <w:t>–</w:t>
      </w:r>
      <w:r w:rsidRPr="00901BA8">
        <w:t xml:space="preserve">24. </w:t>
      </w:r>
      <w:r w:rsidRPr="00530978">
        <w:t>This was largely driven by</w:t>
      </w:r>
      <w:r w:rsidR="007D442D">
        <w:t> </w:t>
      </w:r>
      <w:r w:rsidRPr="00530978">
        <w:t xml:space="preserve">increased vehicle use as travel activities </w:t>
      </w:r>
      <w:r>
        <w:t>grew</w:t>
      </w:r>
      <w:r w:rsidRPr="00530978">
        <w:t xml:space="preserve"> after</w:t>
      </w:r>
      <w:r w:rsidR="007D442D">
        <w:t> </w:t>
      </w:r>
      <w:r w:rsidRPr="00530978">
        <w:t>extended periods of remote work during the COVID-19 pandemic.</w:t>
      </w:r>
    </w:p>
    <w:p w14:paraId="2FC3694D" w14:textId="6DB957D3" w:rsidR="00973D95" w:rsidRPr="0026574B" w:rsidRDefault="00973D95" w:rsidP="00973D95">
      <w:pPr>
        <w:pStyle w:val="ARbody"/>
        <w:rPr>
          <w:highlight w:val="green"/>
        </w:rPr>
      </w:pPr>
      <w:r w:rsidRPr="00F627A8">
        <w:t>The department</w:t>
      </w:r>
      <w:r w:rsidR="00711AE6">
        <w:t>’</w:t>
      </w:r>
      <w:r w:rsidRPr="00F627A8">
        <w:t>s scope 2 greenhouse gas emissions decreased by 16.7</w:t>
      </w:r>
      <w:r w:rsidR="00F95AC7">
        <w:t>%</w:t>
      </w:r>
      <w:r w:rsidRPr="00F627A8">
        <w:t xml:space="preserve"> from 2022–23 to 2023–24 </w:t>
      </w:r>
      <w:r w:rsidRPr="00E04E67">
        <w:t>with slightly lower electricity consumption recorded in most department offices due to adjusted lighting and temperatures.</w:t>
      </w:r>
    </w:p>
    <w:p w14:paraId="76AB83A3" w14:textId="7A6B356E" w:rsidR="00973D95" w:rsidRPr="00513D1F" w:rsidRDefault="00973D95" w:rsidP="00973D95">
      <w:pPr>
        <w:pStyle w:val="ARbody"/>
      </w:pPr>
      <w:r w:rsidRPr="00513D1F">
        <w:t>The department</w:t>
      </w:r>
      <w:r w:rsidR="00711AE6">
        <w:t>’</w:t>
      </w:r>
      <w:r w:rsidRPr="00513D1F">
        <w:t xml:space="preserve">s scope 3 greenhouse gas emissions from corporate air travel and waste disposal remains consistent with previous years. </w:t>
      </w:r>
    </w:p>
    <w:p w14:paraId="2CE60E29" w14:textId="3C5855B3" w:rsidR="00973D95" w:rsidRPr="00D759BD" w:rsidRDefault="00973D95" w:rsidP="00973D95">
      <w:pPr>
        <w:pStyle w:val="ARbody"/>
      </w:pPr>
      <w:r>
        <w:t xml:space="preserve">The department is working with the Shared Services Provider to reduce greenhouse gas emissions through several energy efficiency projects. </w:t>
      </w:r>
      <w:r w:rsidRPr="00AA4DF3">
        <w:t>These include the replacement with more efficient electric heating and cooling systems and LED lights, the review of waste reduction program across sites</w:t>
      </w:r>
      <w:r>
        <w:t>, and electrification of fleet vehicles</w:t>
      </w:r>
      <w:r w:rsidRPr="00AA4DF3">
        <w:t>. The department continues to evaluate its</w:t>
      </w:r>
      <w:r w:rsidR="0052277A">
        <w:t> </w:t>
      </w:r>
      <w:r w:rsidRPr="00AA4DF3">
        <w:t>office footprint and consider co-location and consolidation opportunities.</w:t>
      </w:r>
    </w:p>
    <w:p w14:paraId="72D4517E" w14:textId="498DA6AA" w:rsidR="00973D95" w:rsidRDefault="00973D95" w:rsidP="00973D95">
      <w:pPr>
        <w:pStyle w:val="ARbody"/>
      </w:pPr>
      <w:r>
        <w:t>The department does not currently capture data on</w:t>
      </w:r>
      <w:r w:rsidR="00597F8D">
        <w:t> </w:t>
      </w:r>
      <w:r>
        <w:t>scope 3 greenhouse gas emissions from Housing</w:t>
      </w:r>
      <w:r w:rsidR="00597F8D">
        <w:t> </w:t>
      </w:r>
      <w:r>
        <w:t>Services.</w:t>
      </w:r>
    </w:p>
    <w:p w14:paraId="02A5538C" w14:textId="77777777" w:rsidR="00597F8D" w:rsidRDefault="00597F8D" w:rsidP="00973D95">
      <w:pPr>
        <w:pStyle w:val="ARbody"/>
        <w:sectPr w:rsidR="00597F8D" w:rsidSect="00597F8D">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0EA1DDFE" w14:textId="77777777" w:rsidR="00714CD7" w:rsidRPr="006A60A6" w:rsidRDefault="00714CD7" w:rsidP="00714CD7">
      <w:pPr>
        <w:pStyle w:val="Heading4"/>
      </w:pPr>
      <w:r w:rsidRPr="006A60A6">
        <w:t>Department offices</w:t>
      </w:r>
    </w:p>
    <w:p w14:paraId="72CE05DA" w14:textId="77777777" w:rsidR="00714CD7" w:rsidRPr="006A60A6" w:rsidRDefault="00714CD7" w:rsidP="00A95A18">
      <w:pPr>
        <w:pStyle w:val="ARtablecaption"/>
      </w:pPr>
      <w:r w:rsidRPr="006A60A6">
        <w:t>Greenhouse gas emissions</w:t>
      </w:r>
    </w:p>
    <w:tbl>
      <w:tblPr>
        <w:tblStyle w:val="TableGrid"/>
        <w:tblW w:w="9640" w:type="dxa"/>
        <w:tblLook w:val="06A0" w:firstRow="1" w:lastRow="0" w:firstColumn="1" w:lastColumn="0" w:noHBand="1" w:noVBand="1"/>
      </w:tblPr>
      <w:tblGrid>
        <w:gridCol w:w="4537"/>
        <w:gridCol w:w="1701"/>
        <w:gridCol w:w="1701"/>
        <w:gridCol w:w="1701"/>
      </w:tblGrid>
      <w:tr w:rsidR="00714CD7" w:rsidRPr="00F8705E" w14:paraId="5FE9B415" w14:textId="77777777">
        <w:trPr>
          <w:cnfStyle w:val="100000000000" w:firstRow="1" w:lastRow="0" w:firstColumn="0" w:lastColumn="0" w:oddVBand="0" w:evenVBand="0" w:oddHBand="0" w:evenHBand="0" w:firstRowFirstColumn="0" w:firstRowLastColumn="0" w:lastRowFirstColumn="0" w:lastRowLastColumn="0"/>
          <w:tblHeader/>
        </w:trPr>
        <w:tc>
          <w:tcPr>
            <w:tcW w:w="4537" w:type="dxa"/>
          </w:tcPr>
          <w:p w14:paraId="64C37F51" w14:textId="77777777" w:rsidR="00714CD7" w:rsidRPr="006A60A6" w:rsidRDefault="00714CD7">
            <w:pPr>
              <w:pStyle w:val="ARtablecolhead"/>
              <w:spacing w:before="30" w:after="20"/>
            </w:pPr>
            <w:r w:rsidRPr="006A60A6">
              <w:t>Indicator</w:t>
            </w:r>
          </w:p>
        </w:tc>
        <w:tc>
          <w:tcPr>
            <w:tcW w:w="1701" w:type="dxa"/>
          </w:tcPr>
          <w:p w14:paraId="3AF841D5" w14:textId="77777777" w:rsidR="00714CD7" w:rsidRPr="006A60A6" w:rsidRDefault="00714CD7">
            <w:pPr>
              <w:pStyle w:val="ARtablecolheadright"/>
              <w:spacing w:before="30" w:after="20"/>
            </w:pPr>
            <w:r w:rsidRPr="006A60A6">
              <w:t>2023–24 estimate</w:t>
            </w:r>
          </w:p>
          <w:p w14:paraId="6102686F" w14:textId="77777777" w:rsidR="00714CD7" w:rsidRPr="006A60A6" w:rsidRDefault="00714CD7">
            <w:pPr>
              <w:pStyle w:val="ARtablecolheadright"/>
              <w:spacing w:before="30" w:after="20"/>
            </w:pPr>
            <w:r w:rsidRPr="006A60A6">
              <w:t>Tonnes CO</w:t>
            </w:r>
            <w:r w:rsidRPr="006A60A6">
              <w:rPr>
                <w:vertAlign w:val="subscript"/>
              </w:rPr>
              <w:t>2</w:t>
            </w:r>
            <w:r w:rsidRPr="006A60A6">
              <w:t>-e</w:t>
            </w:r>
          </w:p>
        </w:tc>
        <w:tc>
          <w:tcPr>
            <w:tcW w:w="1701" w:type="dxa"/>
          </w:tcPr>
          <w:p w14:paraId="346D6548" w14:textId="77777777" w:rsidR="00714CD7" w:rsidRPr="006A60A6" w:rsidRDefault="00714CD7">
            <w:pPr>
              <w:pStyle w:val="ARtablecolheadright"/>
              <w:spacing w:before="30" w:after="20"/>
            </w:pPr>
            <w:r w:rsidRPr="006A60A6">
              <w:t>2022–23 estimate</w:t>
            </w:r>
          </w:p>
          <w:p w14:paraId="63D357C4" w14:textId="77777777" w:rsidR="00714CD7" w:rsidRPr="006A60A6" w:rsidRDefault="00714CD7">
            <w:pPr>
              <w:pStyle w:val="ARtablecolheadright"/>
              <w:spacing w:before="30" w:after="20"/>
            </w:pPr>
            <w:r w:rsidRPr="006A60A6">
              <w:t>Tonnes CO</w:t>
            </w:r>
            <w:r w:rsidRPr="006A60A6">
              <w:rPr>
                <w:vertAlign w:val="subscript"/>
              </w:rPr>
              <w:t>2</w:t>
            </w:r>
            <w:r w:rsidRPr="006A60A6">
              <w:t>-e</w:t>
            </w:r>
          </w:p>
        </w:tc>
        <w:tc>
          <w:tcPr>
            <w:tcW w:w="1701" w:type="dxa"/>
          </w:tcPr>
          <w:p w14:paraId="3DDAE786" w14:textId="77777777" w:rsidR="00714CD7" w:rsidRPr="006A60A6" w:rsidRDefault="00714CD7">
            <w:pPr>
              <w:pStyle w:val="ARtablecolheadright"/>
              <w:spacing w:before="30" w:after="20"/>
            </w:pPr>
            <w:r w:rsidRPr="006A60A6">
              <w:t>2021–22 estimate</w:t>
            </w:r>
          </w:p>
          <w:p w14:paraId="11F0DA0C" w14:textId="77777777" w:rsidR="00714CD7" w:rsidRPr="006A60A6" w:rsidRDefault="00714CD7">
            <w:pPr>
              <w:pStyle w:val="ARtablecolheadright"/>
              <w:spacing w:before="30" w:after="20"/>
            </w:pPr>
            <w:r w:rsidRPr="006A60A6">
              <w:t>Tonnes CO</w:t>
            </w:r>
            <w:r w:rsidRPr="006A60A6">
              <w:rPr>
                <w:vertAlign w:val="subscript"/>
              </w:rPr>
              <w:t>2</w:t>
            </w:r>
            <w:r w:rsidRPr="006A60A6">
              <w:t>-e</w:t>
            </w:r>
          </w:p>
        </w:tc>
      </w:tr>
      <w:tr w:rsidR="00714CD7" w:rsidRPr="00F8705E" w14:paraId="78C4570E" w14:textId="77777777">
        <w:trPr>
          <w:cantSplit w:val="0"/>
        </w:trPr>
        <w:tc>
          <w:tcPr>
            <w:tcW w:w="4537" w:type="dxa"/>
          </w:tcPr>
          <w:p w14:paraId="23AE6C89" w14:textId="77777777" w:rsidR="00714CD7" w:rsidRPr="006A60A6" w:rsidRDefault="00714CD7">
            <w:pPr>
              <w:pStyle w:val="ARtabletextbold"/>
              <w:spacing w:before="30" w:after="20"/>
            </w:pPr>
            <w:r w:rsidRPr="006A60A6">
              <w:t xml:space="preserve">G1 Total Scope 1 greenhouse gas emissions </w:t>
            </w:r>
            <w:r w:rsidRPr="006A60A6">
              <w:br/>
              <w:t>(Direct)</w:t>
            </w:r>
          </w:p>
        </w:tc>
        <w:tc>
          <w:tcPr>
            <w:tcW w:w="1701" w:type="dxa"/>
          </w:tcPr>
          <w:p w14:paraId="7586949D" w14:textId="77777777" w:rsidR="00714CD7" w:rsidRPr="000570D3" w:rsidRDefault="00714CD7">
            <w:pPr>
              <w:pStyle w:val="ARtabletextright"/>
              <w:spacing w:before="30" w:after="20"/>
              <w:rPr>
                <w:highlight w:val="green"/>
              </w:rPr>
            </w:pPr>
            <w:r w:rsidRPr="006A60A6">
              <w:t>4,763</w:t>
            </w:r>
          </w:p>
        </w:tc>
        <w:tc>
          <w:tcPr>
            <w:tcW w:w="1701" w:type="dxa"/>
          </w:tcPr>
          <w:p w14:paraId="47004ADD" w14:textId="77777777" w:rsidR="00714CD7" w:rsidRPr="006A60A6" w:rsidRDefault="00714CD7">
            <w:pPr>
              <w:pStyle w:val="ARtabletextright"/>
              <w:spacing w:before="30" w:after="20"/>
            </w:pPr>
            <w:r w:rsidRPr="006A60A6">
              <w:t>4,138</w:t>
            </w:r>
          </w:p>
        </w:tc>
        <w:tc>
          <w:tcPr>
            <w:tcW w:w="1701" w:type="dxa"/>
          </w:tcPr>
          <w:p w14:paraId="7144D5A0" w14:textId="77777777" w:rsidR="00714CD7" w:rsidRPr="006A60A6" w:rsidRDefault="00714CD7">
            <w:pPr>
              <w:pStyle w:val="ARtabletextright"/>
              <w:spacing w:before="30" w:after="20"/>
            </w:pPr>
            <w:r w:rsidRPr="006A60A6">
              <w:t>3,542</w:t>
            </w:r>
          </w:p>
        </w:tc>
      </w:tr>
      <w:tr w:rsidR="00714CD7" w:rsidRPr="00F8705E" w14:paraId="37174B1F" w14:textId="77777777">
        <w:trPr>
          <w:cantSplit w:val="0"/>
        </w:trPr>
        <w:tc>
          <w:tcPr>
            <w:tcW w:w="4537" w:type="dxa"/>
          </w:tcPr>
          <w:p w14:paraId="1F4C9EB6" w14:textId="77777777" w:rsidR="00714CD7" w:rsidRPr="006A60A6" w:rsidRDefault="00714CD7">
            <w:pPr>
              <w:pStyle w:val="ARtabletextbold"/>
              <w:spacing w:before="30" w:after="20"/>
            </w:pPr>
            <w:r w:rsidRPr="006A60A6">
              <w:t xml:space="preserve">G2 Total Scope 2 greenhouse gas emissions </w:t>
            </w:r>
            <w:r w:rsidRPr="006A60A6">
              <w:br/>
              <w:t>(Indirect electricity)</w:t>
            </w:r>
          </w:p>
        </w:tc>
        <w:tc>
          <w:tcPr>
            <w:tcW w:w="1701" w:type="dxa"/>
          </w:tcPr>
          <w:p w14:paraId="597171E0" w14:textId="77777777" w:rsidR="00714CD7" w:rsidRPr="000570D3" w:rsidRDefault="00714CD7">
            <w:pPr>
              <w:pStyle w:val="ARtabletextright"/>
              <w:spacing w:before="30" w:after="20"/>
              <w:rPr>
                <w:highlight w:val="green"/>
              </w:rPr>
            </w:pPr>
            <w:r w:rsidRPr="006A60A6">
              <w:t>7,216</w:t>
            </w:r>
          </w:p>
        </w:tc>
        <w:tc>
          <w:tcPr>
            <w:tcW w:w="1701" w:type="dxa"/>
          </w:tcPr>
          <w:p w14:paraId="702A7C55" w14:textId="77777777" w:rsidR="00714CD7" w:rsidRPr="006A60A6" w:rsidRDefault="00714CD7">
            <w:pPr>
              <w:pStyle w:val="ARtabletextright"/>
              <w:spacing w:before="30" w:after="20"/>
            </w:pPr>
            <w:r w:rsidRPr="006A60A6">
              <w:t>7,807</w:t>
            </w:r>
          </w:p>
        </w:tc>
        <w:tc>
          <w:tcPr>
            <w:tcW w:w="1701" w:type="dxa"/>
          </w:tcPr>
          <w:p w14:paraId="28F0C08B" w14:textId="77777777" w:rsidR="00714CD7" w:rsidRPr="006A60A6" w:rsidRDefault="00714CD7">
            <w:pPr>
              <w:pStyle w:val="ARtabletextright"/>
              <w:spacing w:before="30" w:after="20"/>
            </w:pPr>
            <w:r w:rsidRPr="006A60A6">
              <w:t>8,865</w:t>
            </w:r>
          </w:p>
        </w:tc>
      </w:tr>
      <w:tr w:rsidR="00714CD7" w:rsidRPr="00AF57AF" w14:paraId="7BCF2C55" w14:textId="77777777">
        <w:trPr>
          <w:cantSplit w:val="0"/>
        </w:trPr>
        <w:tc>
          <w:tcPr>
            <w:tcW w:w="4537" w:type="dxa"/>
          </w:tcPr>
          <w:p w14:paraId="13A9A7B3" w14:textId="77777777" w:rsidR="00714CD7" w:rsidRPr="006A60A6" w:rsidRDefault="00714CD7">
            <w:pPr>
              <w:pStyle w:val="ARtabletextbold"/>
              <w:spacing w:before="30" w:after="20"/>
            </w:pPr>
            <w:r w:rsidRPr="006A60A6">
              <w:t>G3 Total Scope 3 greenhouse gas emissions</w:t>
            </w:r>
            <w:r w:rsidRPr="006A60A6">
              <w:br/>
              <w:t>(Other indirect – air travel</w:t>
            </w:r>
            <w:r w:rsidRPr="00B815CF">
              <w:rPr>
                <w:rStyle w:val="FootnoteReference"/>
              </w:rPr>
              <w:footnoteReference w:id="18"/>
            </w:r>
            <w:r w:rsidRPr="000570D3">
              <w:t xml:space="preserve"> </w:t>
            </w:r>
            <w:r w:rsidRPr="006A60A6">
              <w:t>and waste)</w:t>
            </w:r>
          </w:p>
        </w:tc>
        <w:tc>
          <w:tcPr>
            <w:tcW w:w="1701" w:type="dxa"/>
          </w:tcPr>
          <w:p w14:paraId="6E9343C8" w14:textId="77777777" w:rsidR="00714CD7" w:rsidRPr="000570D3" w:rsidRDefault="00714CD7">
            <w:pPr>
              <w:pStyle w:val="ARtabletextright"/>
              <w:spacing w:before="30" w:after="20"/>
              <w:rPr>
                <w:highlight w:val="green"/>
              </w:rPr>
            </w:pPr>
            <w:r w:rsidRPr="00BE1DB3">
              <w:t>657</w:t>
            </w:r>
          </w:p>
        </w:tc>
        <w:tc>
          <w:tcPr>
            <w:tcW w:w="1701" w:type="dxa"/>
          </w:tcPr>
          <w:p w14:paraId="229C53FB" w14:textId="77777777" w:rsidR="00714CD7" w:rsidRPr="006A60A6" w:rsidRDefault="00714CD7">
            <w:pPr>
              <w:pStyle w:val="ARtabletextright"/>
              <w:spacing w:before="30" w:after="20"/>
            </w:pPr>
            <w:r w:rsidRPr="006A60A6">
              <w:t>644</w:t>
            </w:r>
          </w:p>
        </w:tc>
        <w:tc>
          <w:tcPr>
            <w:tcW w:w="1701" w:type="dxa"/>
          </w:tcPr>
          <w:p w14:paraId="624E95A1" w14:textId="77777777" w:rsidR="00714CD7" w:rsidRPr="006A60A6" w:rsidRDefault="00714CD7">
            <w:pPr>
              <w:pStyle w:val="ARtabletextright"/>
              <w:spacing w:before="30" w:after="20"/>
            </w:pPr>
            <w:r w:rsidRPr="006A60A6">
              <w:t>336.5</w:t>
            </w:r>
          </w:p>
        </w:tc>
      </w:tr>
    </w:tbl>
    <w:p w14:paraId="55E4B9D4" w14:textId="77777777" w:rsidR="00714CD7" w:rsidRPr="000570D3" w:rsidRDefault="00714CD7" w:rsidP="00714CD7">
      <w:pPr>
        <w:pStyle w:val="Heading4"/>
      </w:pPr>
      <w:r w:rsidRPr="000570D3">
        <w:t>Housing Services</w:t>
      </w:r>
    </w:p>
    <w:p w14:paraId="42B9EB15" w14:textId="77777777" w:rsidR="00714CD7" w:rsidRPr="000570D3" w:rsidRDefault="00714CD7" w:rsidP="00A95A18">
      <w:pPr>
        <w:pStyle w:val="ARtablecaption"/>
      </w:pPr>
      <w:r w:rsidRPr="000570D3">
        <w:t>Greenhouse gas emissions</w:t>
      </w:r>
    </w:p>
    <w:tbl>
      <w:tblPr>
        <w:tblStyle w:val="TableGrid"/>
        <w:tblW w:w="9640" w:type="dxa"/>
        <w:tblLook w:val="06A0" w:firstRow="1" w:lastRow="0" w:firstColumn="1" w:lastColumn="0" w:noHBand="1" w:noVBand="1"/>
      </w:tblPr>
      <w:tblGrid>
        <w:gridCol w:w="4537"/>
        <w:gridCol w:w="1701"/>
        <w:gridCol w:w="1701"/>
        <w:gridCol w:w="1701"/>
      </w:tblGrid>
      <w:tr w:rsidR="00714CD7" w:rsidRPr="00AF57AF" w14:paraId="24B15164" w14:textId="77777777">
        <w:trPr>
          <w:cnfStyle w:val="100000000000" w:firstRow="1" w:lastRow="0" w:firstColumn="0" w:lastColumn="0" w:oddVBand="0" w:evenVBand="0" w:oddHBand="0" w:evenHBand="0" w:firstRowFirstColumn="0" w:firstRowLastColumn="0" w:lastRowFirstColumn="0" w:lastRowLastColumn="0"/>
          <w:tblHeader/>
        </w:trPr>
        <w:tc>
          <w:tcPr>
            <w:tcW w:w="4537" w:type="dxa"/>
          </w:tcPr>
          <w:p w14:paraId="717C6223" w14:textId="77777777" w:rsidR="00714CD7" w:rsidRPr="000570D3" w:rsidRDefault="00714CD7">
            <w:pPr>
              <w:pStyle w:val="ARtablecolhead"/>
              <w:spacing w:before="20" w:after="20"/>
            </w:pPr>
            <w:r w:rsidRPr="000570D3">
              <w:t>Indicator</w:t>
            </w:r>
          </w:p>
        </w:tc>
        <w:tc>
          <w:tcPr>
            <w:tcW w:w="1701" w:type="dxa"/>
          </w:tcPr>
          <w:p w14:paraId="4BCDCCEE" w14:textId="77777777" w:rsidR="00714CD7" w:rsidRPr="000570D3" w:rsidRDefault="00714CD7">
            <w:pPr>
              <w:pStyle w:val="ARtablecolheadright"/>
              <w:spacing w:before="20" w:after="20"/>
            </w:pPr>
            <w:r w:rsidRPr="000570D3">
              <w:t>202</w:t>
            </w:r>
            <w:r>
              <w:t>3</w:t>
            </w:r>
            <w:r w:rsidRPr="000570D3">
              <w:t>–2</w:t>
            </w:r>
            <w:r>
              <w:t>4</w:t>
            </w:r>
            <w:r w:rsidRPr="000570D3">
              <w:t xml:space="preserve"> estimate</w:t>
            </w:r>
          </w:p>
          <w:p w14:paraId="313B95D0" w14:textId="77777777" w:rsidR="00714CD7" w:rsidRPr="000570D3" w:rsidRDefault="00714CD7">
            <w:pPr>
              <w:pStyle w:val="ARtablecolheadright"/>
              <w:spacing w:before="20" w:after="20"/>
            </w:pPr>
            <w:r w:rsidRPr="000570D3">
              <w:t>Tonnes CO</w:t>
            </w:r>
            <w:r w:rsidRPr="000570D3">
              <w:rPr>
                <w:vertAlign w:val="subscript"/>
              </w:rPr>
              <w:t>2</w:t>
            </w:r>
            <w:r w:rsidRPr="000570D3">
              <w:t>-e</w:t>
            </w:r>
          </w:p>
        </w:tc>
        <w:tc>
          <w:tcPr>
            <w:tcW w:w="1701" w:type="dxa"/>
          </w:tcPr>
          <w:p w14:paraId="55EF0DC0" w14:textId="77777777" w:rsidR="00714CD7" w:rsidRPr="000570D3" w:rsidRDefault="00714CD7">
            <w:pPr>
              <w:pStyle w:val="ARtablecolheadright"/>
              <w:spacing w:before="20" w:after="20"/>
            </w:pPr>
            <w:r w:rsidRPr="000570D3">
              <w:t>202</w:t>
            </w:r>
            <w:r>
              <w:t>2</w:t>
            </w:r>
            <w:r w:rsidRPr="000570D3">
              <w:t>–2</w:t>
            </w:r>
            <w:r>
              <w:t>3</w:t>
            </w:r>
            <w:r w:rsidRPr="000570D3">
              <w:t xml:space="preserve"> estimate</w:t>
            </w:r>
          </w:p>
          <w:p w14:paraId="4EEF59A3" w14:textId="77777777" w:rsidR="00714CD7" w:rsidRPr="000570D3" w:rsidRDefault="00714CD7">
            <w:pPr>
              <w:pStyle w:val="ARtablecolheadright"/>
              <w:spacing w:before="20" w:after="20"/>
            </w:pPr>
            <w:r w:rsidRPr="000570D3">
              <w:t>Tonnes CO</w:t>
            </w:r>
            <w:r w:rsidRPr="000570D3">
              <w:rPr>
                <w:vertAlign w:val="subscript"/>
              </w:rPr>
              <w:t>2</w:t>
            </w:r>
            <w:r w:rsidRPr="000570D3">
              <w:t>-e</w:t>
            </w:r>
          </w:p>
        </w:tc>
        <w:tc>
          <w:tcPr>
            <w:tcW w:w="1701" w:type="dxa"/>
          </w:tcPr>
          <w:p w14:paraId="4F4EA8B7" w14:textId="77777777" w:rsidR="00714CD7" w:rsidRPr="000570D3" w:rsidRDefault="00714CD7">
            <w:pPr>
              <w:pStyle w:val="ARtablecolheadright"/>
              <w:spacing w:before="20" w:after="20"/>
            </w:pPr>
            <w:r w:rsidRPr="00E367CE">
              <w:t xml:space="preserve">2021–22 </w:t>
            </w:r>
            <w:r w:rsidRPr="000570D3">
              <w:t>estimate</w:t>
            </w:r>
          </w:p>
          <w:p w14:paraId="17AB60E8" w14:textId="77777777" w:rsidR="00714CD7" w:rsidRPr="000570D3" w:rsidRDefault="00714CD7">
            <w:pPr>
              <w:pStyle w:val="ARtablecolheadright"/>
              <w:spacing w:before="20" w:after="20"/>
            </w:pPr>
            <w:r w:rsidRPr="000570D3">
              <w:t>Tonnes CO</w:t>
            </w:r>
            <w:r w:rsidRPr="000570D3">
              <w:rPr>
                <w:vertAlign w:val="subscript"/>
              </w:rPr>
              <w:t>2</w:t>
            </w:r>
            <w:r w:rsidRPr="000570D3">
              <w:t>-e</w:t>
            </w:r>
          </w:p>
        </w:tc>
      </w:tr>
      <w:tr w:rsidR="00714CD7" w:rsidRPr="00AF57AF" w14:paraId="6FE474B5" w14:textId="77777777">
        <w:tc>
          <w:tcPr>
            <w:tcW w:w="4537" w:type="dxa"/>
          </w:tcPr>
          <w:p w14:paraId="418C2A24" w14:textId="77777777" w:rsidR="00714CD7" w:rsidRPr="000570D3" w:rsidRDefault="00714CD7">
            <w:pPr>
              <w:pStyle w:val="ARtabletextbold"/>
              <w:spacing w:before="30" w:after="20"/>
            </w:pPr>
            <w:r w:rsidRPr="000570D3">
              <w:t xml:space="preserve">G1 Total Scope 1 greenhouse gas emissions </w:t>
            </w:r>
            <w:r w:rsidRPr="000570D3">
              <w:br/>
              <w:t>(Direct)</w:t>
            </w:r>
          </w:p>
        </w:tc>
        <w:tc>
          <w:tcPr>
            <w:tcW w:w="1701" w:type="dxa"/>
          </w:tcPr>
          <w:p w14:paraId="3939857D" w14:textId="77777777" w:rsidR="00714CD7" w:rsidRPr="000570D3" w:rsidRDefault="00714CD7">
            <w:pPr>
              <w:pStyle w:val="ARtabletextright"/>
              <w:spacing w:before="20" w:after="20"/>
            </w:pPr>
            <w:r>
              <w:t>20,119</w:t>
            </w:r>
          </w:p>
        </w:tc>
        <w:tc>
          <w:tcPr>
            <w:tcW w:w="1701" w:type="dxa"/>
          </w:tcPr>
          <w:p w14:paraId="6EC2E127" w14:textId="77777777" w:rsidR="00714CD7" w:rsidRPr="000570D3" w:rsidRDefault="00714CD7">
            <w:pPr>
              <w:pStyle w:val="ARtabletextright"/>
              <w:spacing w:before="20" w:after="20"/>
            </w:pPr>
            <w:r>
              <w:t>19,071</w:t>
            </w:r>
          </w:p>
        </w:tc>
        <w:tc>
          <w:tcPr>
            <w:tcW w:w="1701" w:type="dxa"/>
          </w:tcPr>
          <w:p w14:paraId="45447FB7" w14:textId="77777777" w:rsidR="00714CD7" w:rsidRPr="000570D3" w:rsidRDefault="00714CD7">
            <w:pPr>
              <w:pStyle w:val="ARtabletextright"/>
              <w:spacing w:before="20" w:after="20"/>
            </w:pPr>
            <w:r>
              <w:t>19,607</w:t>
            </w:r>
          </w:p>
        </w:tc>
      </w:tr>
      <w:tr w:rsidR="00714CD7" w:rsidRPr="00AF57AF" w14:paraId="3C6E8B40" w14:textId="77777777">
        <w:tc>
          <w:tcPr>
            <w:tcW w:w="4537" w:type="dxa"/>
          </w:tcPr>
          <w:p w14:paraId="2A5E2CCE" w14:textId="77777777" w:rsidR="00714CD7" w:rsidRPr="000570D3" w:rsidRDefault="00714CD7">
            <w:pPr>
              <w:pStyle w:val="ARtabletextbold"/>
              <w:spacing w:before="30" w:after="20"/>
            </w:pPr>
            <w:r w:rsidRPr="000570D3">
              <w:t xml:space="preserve">G2 Total Scope 2 greenhouse gas emissions </w:t>
            </w:r>
            <w:r w:rsidRPr="000570D3">
              <w:br/>
              <w:t>(Indirect electricity)</w:t>
            </w:r>
          </w:p>
        </w:tc>
        <w:tc>
          <w:tcPr>
            <w:tcW w:w="1701" w:type="dxa"/>
          </w:tcPr>
          <w:p w14:paraId="79E9A7C9" w14:textId="77777777" w:rsidR="00714CD7" w:rsidRPr="000570D3" w:rsidRDefault="00714CD7">
            <w:pPr>
              <w:pStyle w:val="ARtabletextright"/>
              <w:spacing w:before="20" w:after="20"/>
            </w:pPr>
            <w:r>
              <w:t>17,914</w:t>
            </w:r>
          </w:p>
        </w:tc>
        <w:tc>
          <w:tcPr>
            <w:tcW w:w="1701" w:type="dxa"/>
          </w:tcPr>
          <w:p w14:paraId="13D6B8C4" w14:textId="77777777" w:rsidR="00714CD7" w:rsidRPr="000570D3" w:rsidRDefault="00714CD7">
            <w:pPr>
              <w:pStyle w:val="ARtabletextright"/>
              <w:spacing w:before="20" w:after="20"/>
            </w:pPr>
            <w:r>
              <w:t>19,506</w:t>
            </w:r>
          </w:p>
        </w:tc>
        <w:tc>
          <w:tcPr>
            <w:tcW w:w="1701" w:type="dxa"/>
          </w:tcPr>
          <w:p w14:paraId="2F7AFCAA" w14:textId="77777777" w:rsidR="00714CD7" w:rsidRDefault="00714CD7">
            <w:pPr>
              <w:pStyle w:val="ARtabletextright"/>
              <w:spacing w:before="20" w:after="20"/>
            </w:pPr>
            <w:r>
              <w:t>22,534</w:t>
            </w:r>
          </w:p>
          <w:p w14:paraId="1C3BC7D9" w14:textId="77777777" w:rsidR="00714CD7" w:rsidRPr="000570D3" w:rsidRDefault="00714CD7">
            <w:pPr>
              <w:pStyle w:val="ARtabletextright"/>
              <w:spacing w:before="20" w:after="20"/>
              <w:jc w:val="center"/>
            </w:pPr>
          </w:p>
        </w:tc>
      </w:tr>
      <w:tr w:rsidR="00714CD7" w:rsidRPr="00AF57AF" w14:paraId="2F69A71E" w14:textId="77777777">
        <w:tc>
          <w:tcPr>
            <w:tcW w:w="4537" w:type="dxa"/>
          </w:tcPr>
          <w:p w14:paraId="77E0F1A9" w14:textId="77777777" w:rsidR="00714CD7" w:rsidRPr="000570D3" w:rsidRDefault="00714CD7">
            <w:pPr>
              <w:pStyle w:val="ARtabletextbold"/>
              <w:spacing w:before="30" w:after="20"/>
            </w:pPr>
            <w:r w:rsidRPr="000570D3">
              <w:t>G3 Total Scope 3 greenhouse gas emissions</w:t>
            </w:r>
            <w:r w:rsidRPr="000570D3">
              <w:br/>
              <w:t>(Other indirect – air travel</w:t>
            </w:r>
            <w:r>
              <w:t xml:space="preserve"> </w:t>
            </w:r>
            <w:r w:rsidRPr="000570D3">
              <w:t>and waste)</w:t>
            </w:r>
          </w:p>
        </w:tc>
        <w:tc>
          <w:tcPr>
            <w:tcW w:w="1701" w:type="dxa"/>
          </w:tcPr>
          <w:p w14:paraId="0BA3D151" w14:textId="77777777" w:rsidR="00714CD7" w:rsidRPr="000570D3" w:rsidRDefault="00714CD7">
            <w:pPr>
              <w:pStyle w:val="ARtabletextright"/>
              <w:spacing w:before="20" w:after="20"/>
            </w:pPr>
            <w:r w:rsidRPr="000570D3">
              <w:t>–</w:t>
            </w:r>
          </w:p>
        </w:tc>
        <w:tc>
          <w:tcPr>
            <w:tcW w:w="1701" w:type="dxa"/>
          </w:tcPr>
          <w:p w14:paraId="26A1B9B7" w14:textId="77777777" w:rsidR="00714CD7" w:rsidRPr="000570D3" w:rsidRDefault="00714CD7">
            <w:pPr>
              <w:pStyle w:val="ARtabletextright"/>
              <w:spacing w:before="20" w:after="20"/>
            </w:pPr>
            <w:r w:rsidRPr="000570D3">
              <w:t>–</w:t>
            </w:r>
          </w:p>
        </w:tc>
        <w:tc>
          <w:tcPr>
            <w:tcW w:w="1701" w:type="dxa"/>
          </w:tcPr>
          <w:p w14:paraId="255E582E" w14:textId="77777777" w:rsidR="00714CD7" w:rsidRPr="000570D3" w:rsidRDefault="00714CD7">
            <w:pPr>
              <w:pStyle w:val="ARtabletextright"/>
              <w:spacing w:before="20" w:after="20"/>
            </w:pPr>
            <w:r w:rsidRPr="000570D3">
              <w:t>–</w:t>
            </w:r>
          </w:p>
        </w:tc>
      </w:tr>
    </w:tbl>
    <w:p w14:paraId="2664A4E6" w14:textId="77777777" w:rsidR="00C97789" w:rsidRDefault="00C97789" w:rsidP="00973D95">
      <w:pPr>
        <w:pStyle w:val="ARbody"/>
        <w:sectPr w:rsidR="00C97789" w:rsidSect="00597F8D">
          <w:footnotePr>
            <w:numFmt w:val="lowerRoman"/>
            <w:numRestart w:val="eachPage"/>
          </w:footnotePr>
          <w:endnotePr>
            <w:numFmt w:val="decimal"/>
          </w:endnotePr>
          <w:pgSz w:w="11900" w:h="16840" w:code="9"/>
          <w:pgMar w:top="1701" w:right="1134" w:bottom="851" w:left="1134" w:header="510" w:footer="340" w:gutter="0"/>
          <w:cols w:space="454"/>
          <w:docGrid w:linePitch="326"/>
        </w:sectPr>
      </w:pPr>
    </w:p>
    <w:p w14:paraId="51483220" w14:textId="0E373B50" w:rsidR="00FF431E" w:rsidRPr="000570D3" w:rsidRDefault="00FF431E" w:rsidP="00333387">
      <w:pPr>
        <w:pStyle w:val="Heading3"/>
      </w:pPr>
      <w:r w:rsidRPr="000570D3">
        <w:t>Electricity production and</w:t>
      </w:r>
      <w:r w:rsidR="0022787D">
        <w:t> </w:t>
      </w:r>
      <w:r w:rsidRPr="000570D3">
        <w:t>consumption</w:t>
      </w:r>
    </w:p>
    <w:p w14:paraId="59B7DE60" w14:textId="77777777" w:rsidR="00FF431E" w:rsidRPr="002A2677" w:rsidRDefault="00FF431E" w:rsidP="00FF431E">
      <w:pPr>
        <w:pStyle w:val="ARbody"/>
        <w:rPr>
          <w:szCs w:val="20"/>
        </w:rPr>
      </w:pPr>
      <w:r w:rsidRPr="000570D3">
        <w:t xml:space="preserve">The </w:t>
      </w:r>
      <w:r w:rsidRPr="002A2677">
        <w:rPr>
          <w:szCs w:val="20"/>
        </w:rPr>
        <w:t>department continues to implement energy efficiency policies across its sites to reduce electricity use. These measures include:</w:t>
      </w:r>
    </w:p>
    <w:p w14:paraId="7DDAE02A" w14:textId="77777777" w:rsidR="00FF431E" w:rsidRPr="00530978" w:rsidRDefault="00FF431E" w:rsidP="00085DAF">
      <w:pPr>
        <w:pStyle w:val="ARbullet1"/>
      </w:pPr>
      <w:r w:rsidRPr="00530978">
        <w:t>the progressive installation of LED lighting</w:t>
      </w:r>
    </w:p>
    <w:p w14:paraId="50D69C8C" w14:textId="6E0E08DB" w:rsidR="00FF431E" w:rsidRPr="00530978" w:rsidRDefault="00FF431E" w:rsidP="00085DAF">
      <w:pPr>
        <w:pStyle w:val="ARbullet1"/>
      </w:pPr>
      <w:r w:rsidRPr="00530978">
        <w:t>switching to efficient electric appliances, for example, minimum 7-star energy-efficient refrigerators when</w:t>
      </w:r>
      <w:r w:rsidR="006901EA">
        <w:t xml:space="preserve"> </w:t>
      </w:r>
      <w:r w:rsidRPr="00530978">
        <w:t>they are replaced</w:t>
      </w:r>
    </w:p>
    <w:p w14:paraId="54409946" w14:textId="77777777" w:rsidR="00FF431E" w:rsidRPr="00530978" w:rsidRDefault="00FF431E" w:rsidP="00085DAF">
      <w:pPr>
        <w:pStyle w:val="ARbullet1"/>
      </w:pPr>
      <w:r w:rsidRPr="00530978">
        <w:t>no gas in newly acquired buildings</w:t>
      </w:r>
    </w:p>
    <w:p w14:paraId="4D44FA48" w14:textId="77777777" w:rsidR="00FF431E" w:rsidRDefault="00FF431E" w:rsidP="00085DAF">
      <w:pPr>
        <w:pStyle w:val="ARbullet1"/>
      </w:pPr>
      <w:r w:rsidRPr="00530978">
        <w:t>adjustments to heating and cooling systems to optimise electricity savings.</w:t>
      </w:r>
    </w:p>
    <w:p w14:paraId="6A426C8D" w14:textId="1BE10E5F" w:rsidR="00FF431E" w:rsidRPr="00AF57AF" w:rsidRDefault="00597F8D" w:rsidP="00FF431E">
      <w:pPr>
        <w:pStyle w:val="ARbodyafterbullets"/>
        <w:rPr>
          <w:highlight w:val="green"/>
        </w:rPr>
      </w:pPr>
      <w:r>
        <w:br w:type="column"/>
      </w:r>
      <w:r w:rsidR="00FF431E" w:rsidRPr="00CE1D06">
        <w:t>Electricity use from 2022–23 to 2023–24 has increased by 38.4%</w:t>
      </w:r>
      <w:r w:rsidR="00FF431E">
        <w:t>, driven by a rate of staff returning to office.</w:t>
      </w:r>
    </w:p>
    <w:p w14:paraId="4DC0C012" w14:textId="5D108847" w:rsidR="00597F8D" w:rsidRDefault="00FF431E" w:rsidP="00FF431E">
      <w:pPr>
        <w:pStyle w:val="ARbodyafterbullets"/>
        <w:sectPr w:rsidR="00597F8D" w:rsidSect="00597F8D">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r w:rsidRPr="0050313F">
        <w:t>Housing services emissions arising from electricity consumption have remained consistent</w:t>
      </w:r>
      <w:r>
        <w:t>, while the total amount of Green Power purchased during 2023</w:t>
      </w:r>
      <w:r w:rsidR="006E2F2E">
        <w:t>–</w:t>
      </w:r>
      <w:r>
        <w:t>24 has increased as new housing sites are</w:t>
      </w:r>
      <w:r w:rsidR="0052277A">
        <w:t> </w:t>
      </w:r>
      <w:r>
        <w:t>supplied with 100% renewable energy.</w:t>
      </w:r>
    </w:p>
    <w:p w14:paraId="63FF58D4" w14:textId="77777777" w:rsidR="006901EA" w:rsidRPr="00B815CF" w:rsidRDefault="006901EA" w:rsidP="00597F8D">
      <w:pPr>
        <w:pStyle w:val="Heading4"/>
        <w:spacing w:before="360"/>
      </w:pPr>
      <w:r w:rsidRPr="00B815CF">
        <w:t>Department offices</w:t>
      </w:r>
    </w:p>
    <w:p w14:paraId="55FFA04B" w14:textId="77777777" w:rsidR="006901EA" w:rsidRPr="00B815CF" w:rsidRDefault="006901EA" w:rsidP="00A95A18">
      <w:pPr>
        <w:pStyle w:val="ARtablecaption"/>
      </w:pPr>
      <w:r w:rsidRPr="00B815CF">
        <w:rPr>
          <w:lang w:eastAsia="en-AU"/>
        </w:rPr>
        <w:t>EL1 Total electricity consumption</w:t>
      </w:r>
    </w:p>
    <w:tbl>
      <w:tblPr>
        <w:tblStyle w:val="TableGrid"/>
        <w:tblW w:w="9639" w:type="dxa"/>
        <w:tblLook w:val="06A0" w:firstRow="1" w:lastRow="0" w:firstColumn="1" w:lastColumn="0" w:noHBand="1" w:noVBand="1"/>
      </w:tblPr>
      <w:tblGrid>
        <w:gridCol w:w="4536"/>
        <w:gridCol w:w="1701"/>
        <w:gridCol w:w="1701"/>
        <w:gridCol w:w="1701"/>
      </w:tblGrid>
      <w:tr w:rsidR="006901EA" w:rsidRPr="00F8705E" w14:paraId="2339D6E3" w14:textId="77777777">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4AB550EF" w14:textId="77777777" w:rsidR="006901EA" w:rsidRPr="00B815CF" w:rsidRDefault="006901EA">
            <w:pPr>
              <w:pStyle w:val="ARtablecolhead"/>
              <w:spacing w:before="30" w:after="20"/>
            </w:pPr>
            <w:r w:rsidRPr="00B815CF">
              <w:t>Indicator</w:t>
            </w:r>
          </w:p>
        </w:tc>
        <w:tc>
          <w:tcPr>
            <w:tcW w:w="1701" w:type="dxa"/>
            <w:tcBorders>
              <w:bottom w:val="single" w:sz="4" w:space="0" w:color="auto"/>
            </w:tcBorders>
            <w:noWrap/>
            <w:hideMark/>
          </w:tcPr>
          <w:p w14:paraId="28EECC0C" w14:textId="77777777" w:rsidR="006901EA" w:rsidRPr="00B815CF" w:rsidRDefault="006901EA">
            <w:pPr>
              <w:pStyle w:val="ARtablecolheadright"/>
              <w:spacing w:before="30" w:after="20"/>
            </w:pPr>
            <w:r w:rsidRPr="00B815CF">
              <w:t>2023–24</w:t>
            </w:r>
          </w:p>
          <w:p w14:paraId="6C16BF6C" w14:textId="77777777" w:rsidR="006901EA" w:rsidRPr="00B815CF" w:rsidRDefault="006901EA">
            <w:pPr>
              <w:pStyle w:val="ARtablecolheadright"/>
              <w:spacing w:before="30" w:after="20"/>
            </w:pPr>
            <w:r w:rsidRPr="00B815CF">
              <w:t>MWh</w:t>
            </w:r>
          </w:p>
        </w:tc>
        <w:tc>
          <w:tcPr>
            <w:tcW w:w="1701" w:type="dxa"/>
            <w:tcBorders>
              <w:bottom w:val="single" w:sz="4" w:space="0" w:color="auto"/>
            </w:tcBorders>
            <w:noWrap/>
            <w:hideMark/>
          </w:tcPr>
          <w:p w14:paraId="3FBA94FC" w14:textId="77777777" w:rsidR="006901EA" w:rsidRPr="00B815CF" w:rsidRDefault="006901EA">
            <w:pPr>
              <w:pStyle w:val="ARtablecolheadright"/>
              <w:spacing w:before="30" w:after="20"/>
            </w:pPr>
            <w:r w:rsidRPr="00B815CF">
              <w:t>2022–23</w:t>
            </w:r>
          </w:p>
          <w:p w14:paraId="73F26009" w14:textId="77777777" w:rsidR="006901EA" w:rsidRPr="00B815CF" w:rsidRDefault="006901EA">
            <w:pPr>
              <w:pStyle w:val="ARtablecolheadright"/>
              <w:spacing w:before="30" w:after="20"/>
            </w:pPr>
            <w:r w:rsidRPr="00B815CF" w:rsidDel="00F8163C">
              <w:t>MWh</w:t>
            </w:r>
          </w:p>
        </w:tc>
        <w:tc>
          <w:tcPr>
            <w:tcW w:w="1701" w:type="dxa"/>
            <w:tcBorders>
              <w:bottom w:val="single" w:sz="4" w:space="0" w:color="auto"/>
            </w:tcBorders>
            <w:noWrap/>
            <w:hideMark/>
          </w:tcPr>
          <w:p w14:paraId="345B26F7" w14:textId="77777777" w:rsidR="006901EA" w:rsidRPr="00B815CF" w:rsidRDefault="006901EA">
            <w:pPr>
              <w:pStyle w:val="ARtablecolheadright"/>
              <w:spacing w:before="30" w:after="20"/>
            </w:pPr>
            <w:r w:rsidRPr="00B815CF">
              <w:t>2021–22</w:t>
            </w:r>
          </w:p>
          <w:p w14:paraId="27F2A893" w14:textId="77777777" w:rsidR="006901EA" w:rsidRPr="00B815CF" w:rsidRDefault="006901EA">
            <w:pPr>
              <w:pStyle w:val="ARtablecolheadright"/>
              <w:spacing w:before="30" w:after="20"/>
            </w:pPr>
            <w:r w:rsidRPr="00B815CF" w:rsidDel="00F8163C">
              <w:t>MWh</w:t>
            </w:r>
          </w:p>
        </w:tc>
      </w:tr>
      <w:tr w:rsidR="006901EA" w:rsidRPr="00F8705E" w14:paraId="7D8B4331" w14:textId="77777777">
        <w:tc>
          <w:tcPr>
            <w:tcW w:w="4536" w:type="dxa"/>
            <w:tcBorders>
              <w:top w:val="single" w:sz="4" w:space="0" w:color="auto"/>
              <w:bottom w:val="single" w:sz="4" w:space="0" w:color="BFBFBF"/>
            </w:tcBorders>
            <w:noWrap/>
            <w:hideMark/>
          </w:tcPr>
          <w:p w14:paraId="7CF580E0" w14:textId="77777777" w:rsidR="006901EA" w:rsidRPr="00B815CF" w:rsidRDefault="006901EA">
            <w:pPr>
              <w:pStyle w:val="ARtabletext"/>
              <w:spacing w:before="30" w:after="20"/>
              <w:rPr>
                <w:color w:val="000000"/>
              </w:rPr>
            </w:pPr>
            <w:r w:rsidRPr="00B815CF">
              <w:t>Purchased electricity – consolidated</w:t>
            </w:r>
          </w:p>
        </w:tc>
        <w:tc>
          <w:tcPr>
            <w:tcW w:w="1701" w:type="dxa"/>
            <w:tcBorders>
              <w:top w:val="single" w:sz="4" w:space="0" w:color="auto"/>
              <w:bottom w:val="single" w:sz="4" w:space="0" w:color="BFBFBF"/>
            </w:tcBorders>
            <w:noWrap/>
            <w:hideMark/>
          </w:tcPr>
          <w:p w14:paraId="715E1D57" w14:textId="77777777" w:rsidR="006901EA" w:rsidRPr="00B815CF" w:rsidRDefault="006901EA">
            <w:pPr>
              <w:pStyle w:val="ARtabletextright"/>
              <w:spacing w:before="30" w:after="20"/>
              <w:rPr>
                <w:color w:val="000000"/>
              </w:rPr>
            </w:pPr>
            <w:r w:rsidRPr="00B815CF">
              <w:t>11,874.9</w:t>
            </w:r>
          </w:p>
        </w:tc>
        <w:tc>
          <w:tcPr>
            <w:tcW w:w="1701" w:type="dxa"/>
            <w:tcBorders>
              <w:top w:val="single" w:sz="4" w:space="0" w:color="auto"/>
              <w:bottom w:val="single" w:sz="4" w:space="0" w:color="BFBFBF"/>
            </w:tcBorders>
            <w:noWrap/>
            <w:hideMark/>
          </w:tcPr>
          <w:p w14:paraId="42987822" w14:textId="77777777" w:rsidR="006901EA" w:rsidRPr="00B815CF" w:rsidRDefault="006901EA">
            <w:pPr>
              <w:pStyle w:val="ARtabletextright"/>
              <w:spacing w:before="30" w:after="20"/>
            </w:pPr>
            <w:r w:rsidRPr="00B815CF">
              <w:t>8,581.</w:t>
            </w:r>
            <w:r w:rsidRPr="00B815CF" w:rsidDel="00803A42">
              <w:t>6</w:t>
            </w:r>
          </w:p>
        </w:tc>
        <w:tc>
          <w:tcPr>
            <w:tcW w:w="1701" w:type="dxa"/>
            <w:tcBorders>
              <w:top w:val="single" w:sz="4" w:space="0" w:color="auto"/>
              <w:bottom w:val="single" w:sz="4" w:space="0" w:color="BFBFBF"/>
            </w:tcBorders>
            <w:noWrap/>
            <w:hideMark/>
          </w:tcPr>
          <w:p w14:paraId="6E458EFC" w14:textId="77777777" w:rsidR="006901EA" w:rsidRPr="00B815CF" w:rsidRDefault="006901EA">
            <w:pPr>
              <w:pStyle w:val="ARtabletextright"/>
              <w:spacing w:before="30" w:after="20"/>
            </w:pPr>
            <w:r w:rsidRPr="00B815CF">
              <w:t>8,669.6</w:t>
            </w:r>
          </w:p>
        </w:tc>
      </w:tr>
      <w:tr w:rsidR="006901EA" w:rsidRPr="00F8705E" w14:paraId="1E185FDC" w14:textId="77777777">
        <w:trPr>
          <w:trHeight w:val="288"/>
        </w:trPr>
        <w:tc>
          <w:tcPr>
            <w:tcW w:w="4536" w:type="dxa"/>
            <w:tcBorders>
              <w:top w:val="single" w:sz="4" w:space="0" w:color="BFBFBF"/>
            </w:tcBorders>
            <w:noWrap/>
            <w:hideMark/>
          </w:tcPr>
          <w:p w14:paraId="629DB37F" w14:textId="77777777" w:rsidR="006901EA" w:rsidRPr="00B815CF" w:rsidRDefault="006901EA">
            <w:pPr>
              <w:pStyle w:val="ARtabletext"/>
              <w:spacing w:before="30" w:after="20"/>
              <w:rPr>
                <w:color w:val="000000"/>
              </w:rPr>
            </w:pPr>
            <w:r w:rsidRPr="00B815CF">
              <w:t>Self-generated</w:t>
            </w:r>
          </w:p>
        </w:tc>
        <w:tc>
          <w:tcPr>
            <w:tcW w:w="1701" w:type="dxa"/>
            <w:tcBorders>
              <w:top w:val="single" w:sz="4" w:space="0" w:color="BFBFBF"/>
            </w:tcBorders>
            <w:noWrap/>
            <w:hideMark/>
          </w:tcPr>
          <w:p w14:paraId="56FC0359" w14:textId="77777777" w:rsidR="006901EA" w:rsidRPr="00B815CF" w:rsidRDefault="006901EA">
            <w:pPr>
              <w:pStyle w:val="ARtabletextright"/>
              <w:spacing w:before="30" w:after="20"/>
              <w:rPr>
                <w:color w:val="000000"/>
              </w:rPr>
            </w:pPr>
            <w:r w:rsidRPr="00B815CF">
              <w:t>–</w:t>
            </w:r>
          </w:p>
        </w:tc>
        <w:tc>
          <w:tcPr>
            <w:tcW w:w="1701" w:type="dxa"/>
            <w:tcBorders>
              <w:top w:val="single" w:sz="4" w:space="0" w:color="BFBFBF"/>
            </w:tcBorders>
            <w:noWrap/>
            <w:hideMark/>
          </w:tcPr>
          <w:p w14:paraId="1D1962F9" w14:textId="77777777" w:rsidR="006901EA" w:rsidRPr="00B815CF" w:rsidRDefault="006901EA">
            <w:pPr>
              <w:pStyle w:val="ARtabletextright"/>
              <w:spacing w:before="30" w:after="20"/>
            </w:pPr>
            <w:r w:rsidRPr="00B815CF" w:rsidDel="00803A42">
              <w:t>–</w:t>
            </w:r>
          </w:p>
        </w:tc>
        <w:tc>
          <w:tcPr>
            <w:tcW w:w="1701" w:type="dxa"/>
            <w:tcBorders>
              <w:top w:val="single" w:sz="4" w:space="0" w:color="BFBFBF"/>
            </w:tcBorders>
            <w:noWrap/>
            <w:hideMark/>
          </w:tcPr>
          <w:p w14:paraId="71F6A4AC" w14:textId="77777777" w:rsidR="006901EA" w:rsidRPr="00B815CF" w:rsidRDefault="006901EA">
            <w:pPr>
              <w:pStyle w:val="ARtabletextright"/>
              <w:spacing w:before="30" w:after="20"/>
            </w:pPr>
            <w:r w:rsidRPr="00B815CF">
              <w:t>–</w:t>
            </w:r>
          </w:p>
        </w:tc>
      </w:tr>
      <w:tr w:rsidR="006901EA" w:rsidRPr="00F8705E" w14:paraId="73B1327C" w14:textId="77777777">
        <w:trPr>
          <w:trHeight w:val="288"/>
        </w:trPr>
        <w:tc>
          <w:tcPr>
            <w:tcW w:w="4536" w:type="dxa"/>
            <w:noWrap/>
            <w:hideMark/>
          </w:tcPr>
          <w:p w14:paraId="28223AB0" w14:textId="77777777" w:rsidR="006901EA" w:rsidRPr="00B815CF" w:rsidRDefault="006901EA">
            <w:pPr>
              <w:pStyle w:val="ARtabletextbold"/>
              <w:spacing w:before="30" w:after="20"/>
            </w:pPr>
            <w:r w:rsidRPr="00B815CF">
              <w:t>EL1 Total electricity consumption</w:t>
            </w:r>
          </w:p>
        </w:tc>
        <w:tc>
          <w:tcPr>
            <w:tcW w:w="1701" w:type="dxa"/>
            <w:noWrap/>
            <w:hideMark/>
          </w:tcPr>
          <w:p w14:paraId="44323B84" w14:textId="77777777" w:rsidR="006901EA" w:rsidRPr="00B815CF" w:rsidRDefault="006901EA">
            <w:pPr>
              <w:pStyle w:val="ARtabletextrightbold"/>
              <w:spacing w:before="30" w:after="20"/>
              <w:rPr>
                <w:b w:val="0"/>
              </w:rPr>
            </w:pPr>
            <w:r w:rsidRPr="00B815CF">
              <w:t>11,874.9</w:t>
            </w:r>
          </w:p>
        </w:tc>
        <w:tc>
          <w:tcPr>
            <w:tcW w:w="1701" w:type="dxa"/>
            <w:noWrap/>
            <w:hideMark/>
          </w:tcPr>
          <w:p w14:paraId="56221F07" w14:textId="77777777" w:rsidR="006901EA" w:rsidRPr="00B815CF" w:rsidRDefault="006901EA">
            <w:pPr>
              <w:pStyle w:val="ARtabletextrightbold"/>
              <w:spacing w:before="30" w:after="20"/>
            </w:pPr>
            <w:r w:rsidRPr="00B815CF">
              <w:t>8,581.</w:t>
            </w:r>
            <w:r w:rsidRPr="00B815CF" w:rsidDel="00803A42">
              <w:t>6</w:t>
            </w:r>
          </w:p>
        </w:tc>
        <w:tc>
          <w:tcPr>
            <w:tcW w:w="1701" w:type="dxa"/>
            <w:noWrap/>
            <w:hideMark/>
          </w:tcPr>
          <w:p w14:paraId="760D34D8" w14:textId="77777777" w:rsidR="006901EA" w:rsidRPr="00B815CF" w:rsidRDefault="006901EA">
            <w:pPr>
              <w:pStyle w:val="ARtabletextrightbold"/>
              <w:spacing w:before="30" w:after="20"/>
            </w:pPr>
            <w:r w:rsidRPr="00B815CF">
              <w:t>8,669.6</w:t>
            </w:r>
          </w:p>
        </w:tc>
      </w:tr>
    </w:tbl>
    <w:p w14:paraId="6FEAAE2A" w14:textId="380FC8EC" w:rsidR="006901EA" w:rsidRPr="00B815CF" w:rsidRDefault="006901EA" w:rsidP="00A95A18">
      <w:pPr>
        <w:pStyle w:val="ARtablecaption"/>
      </w:pPr>
      <w:r w:rsidRPr="00B815CF">
        <w:t>EL2 On</w:t>
      </w:r>
      <w:r w:rsidR="008B6D52">
        <w:t>-</w:t>
      </w:r>
      <w:r w:rsidRPr="00B815CF">
        <w:t>site</w:t>
      </w:r>
      <w:r w:rsidR="008B6D52">
        <w:t xml:space="preserve"> </w:t>
      </w:r>
      <w:r w:rsidRPr="00B815CF">
        <w:t>electricity generated</w:t>
      </w:r>
    </w:p>
    <w:tbl>
      <w:tblPr>
        <w:tblStyle w:val="TableGrid"/>
        <w:tblW w:w="9639" w:type="dxa"/>
        <w:tblLook w:val="06A0" w:firstRow="1" w:lastRow="0" w:firstColumn="1" w:lastColumn="0" w:noHBand="1" w:noVBand="1"/>
      </w:tblPr>
      <w:tblGrid>
        <w:gridCol w:w="4536"/>
        <w:gridCol w:w="1701"/>
        <w:gridCol w:w="1701"/>
        <w:gridCol w:w="1701"/>
      </w:tblGrid>
      <w:tr w:rsidR="006901EA" w:rsidRPr="00973D4D" w14:paraId="32B2CED9"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1928697C" w14:textId="77777777" w:rsidR="006901EA" w:rsidRPr="00B815CF" w:rsidRDefault="006901EA">
            <w:pPr>
              <w:pStyle w:val="ARtablecolhead"/>
              <w:spacing w:before="30" w:after="20"/>
            </w:pPr>
            <w:r w:rsidRPr="00B815CF">
              <w:t>Indicator</w:t>
            </w:r>
          </w:p>
        </w:tc>
        <w:tc>
          <w:tcPr>
            <w:tcW w:w="1701" w:type="dxa"/>
            <w:tcBorders>
              <w:bottom w:val="single" w:sz="4" w:space="0" w:color="auto"/>
            </w:tcBorders>
            <w:noWrap/>
          </w:tcPr>
          <w:p w14:paraId="3E638700" w14:textId="77777777" w:rsidR="006901EA" w:rsidRPr="00973D4D" w:rsidRDefault="006901EA">
            <w:pPr>
              <w:pStyle w:val="ARtablecolheadright"/>
              <w:spacing w:before="30" w:after="20"/>
            </w:pPr>
            <w:r w:rsidRPr="00973D4D">
              <w:t>2023–24</w:t>
            </w:r>
          </w:p>
          <w:p w14:paraId="0B3ED362" w14:textId="77777777" w:rsidR="006901EA" w:rsidRPr="00B815CF" w:rsidRDefault="006901EA">
            <w:pPr>
              <w:pStyle w:val="ARtablecolheadright"/>
              <w:spacing w:before="30" w:after="20"/>
            </w:pPr>
            <w:r w:rsidRPr="00973D4D" w:rsidDel="00F25725">
              <w:t>MWh</w:t>
            </w:r>
          </w:p>
        </w:tc>
        <w:tc>
          <w:tcPr>
            <w:tcW w:w="1701" w:type="dxa"/>
            <w:tcBorders>
              <w:bottom w:val="single" w:sz="4" w:space="0" w:color="auto"/>
            </w:tcBorders>
            <w:noWrap/>
          </w:tcPr>
          <w:p w14:paraId="04401BEA" w14:textId="77777777" w:rsidR="006901EA" w:rsidRPr="00973D4D" w:rsidRDefault="006901EA">
            <w:pPr>
              <w:pStyle w:val="ARtablecolheadright"/>
              <w:spacing w:before="30" w:after="20"/>
            </w:pPr>
            <w:r w:rsidRPr="00973D4D">
              <w:t>2022–23</w:t>
            </w:r>
          </w:p>
          <w:p w14:paraId="2A7B9429" w14:textId="77777777" w:rsidR="006901EA" w:rsidRPr="00B815CF" w:rsidRDefault="006901EA">
            <w:pPr>
              <w:pStyle w:val="ARtablecolheadright"/>
              <w:spacing w:before="30" w:after="20"/>
            </w:pPr>
            <w:r w:rsidRPr="00973D4D" w:rsidDel="00F25725">
              <w:t>MWh</w:t>
            </w:r>
          </w:p>
        </w:tc>
        <w:tc>
          <w:tcPr>
            <w:tcW w:w="1701" w:type="dxa"/>
            <w:tcBorders>
              <w:bottom w:val="single" w:sz="4" w:space="0" w:color="auto"/>
            </w:tcBorders>
            <w:noWrap/>
          </w:tcPr>
          <w:p w14:paraId="61EFAC8E" w14:textId="77777777" w:rsidR="006901EA" w:rsidRPr="00973D4D" w:rsidRDefault="006901EA">
            <w:pPr>
              <w:pStyle w:val="ARtablecolheadright"/>
              <w:spacing w:before="30" w:after="20"/>
            </w:pPr>
            <w:r w:rsidRPr="00973D4D">
              <w:t>2021–22</w:t>
            </w:r>
          </w:p>
          <w:p w14:paraId="42BB9E40" w14:textId="77777777" w:rsidR="006901EA" w:rsidRPr="00B815CF" w:rsidRDefault="006901EA">
            <w:pPr>
              <w:pStyle w:val="ARtablecolheadright"/>
              <w:spacing w:before="30" w:after="20"/>
            </w:pPr>
            <w:r w:rsidRPr="00973D4D" w:rsidDel="00F25725">
              <w:t>MWh</w:t>
            </w:r>
          </w:p>
        </w:tc>
      </w:tr>
      <w:tr w:rsidR="006901EA" w:rsidRPr="00973D4D" w14:paraId="37F2E8F6" w14:textId="77777777">
        <w:trPr>
          <w:trHeight w:val="288"/>
        </w:trPr>
        <w:tc>
          <w:tcPr>
            <w:tcW w:w="9639" w:type="dxa"/>
            <w:gridSpan w:val="4"/>
            <w:tcBorders>
              <w:top w:val="single" w:sz="4" w:space="0" w:color="auto"/>
              <w:bottom w:val="single" w:sz="4" w:space="0" w:color="BFBFBF"/>
            </w:tcBorders>
            <w:noWrap/>
            <w:hideMark/>
          </w:tcPr>
          <w:p w14:paraId="10B62D42" w14:textId="77777777" w:rsidR="006901EA" w:rsidRPr="00B815CF" w:rsidRDefault="006901EA">
            <w:pPr>
              <w:pStyle w:val="ARtabletextbold"/>
              <w:spacing w:before="30" w:after="20"/>
            </w:pPr>
            <w:r w:rsidRPr="00B815CF">
              <w:t>Solar PV</w:t>
            </w:r>
          </w:p>
        </w:tc>
      </w:tr>
      <w:tr w:rsidR="006901EA" w:rsidRPr="00973D4D" w14:paraId="1B0607A5" w14:textId="77777777">
        <w:trPr>
          <w:trHeight w:val="288"/>
        </w:trPr>
        <w:tc>
          <w:tcPr>
            <w:tcW w:w="4536" w:type="dxa"/>
            <w:tcBorders>
              <w:top w:val="single" w:sz="4" w:space="0" w:color="BFBFBF"/>
              <w:bottom w:val="single" w:sz="4" w:space="0" w:color="BFBFBF"/>
            </w:tcBorders>
            <w:noWrap/>
            <w:hideMark/>
          </w:tcPr>
          <w:p w14:paraId="7CDFF0BE" w14:textId="77777777" w:rsidR="006901EA" w:rsidRPr="00B815CF" w:rsidRDefault="006901EA">
            <w:pPr>
              <w:pStyle w:val="ARtabletext"/>
              <w:spacing w:before="30" w:after="20"/>
              <w:rPr>
                <w:color w:val="000000"/>
              </w:rPr>
            </w:pPr>
            <w:r w:rsidRPr="00B815CF">
              <w:t>Consumption behind-the-meter</w:t>
            </w:r>
          </w:p>
        </w:tc>
        <w:tc>
          <w:tcPr>
            <w:tcW w:w="1701" w:type="dxa"/>
            <w:tcBorders>
              <w:top w:val="single" w:sz="4" w:space="0" w:color="BFBFBF"/>
              <w:bottom w:val="single" w:sz="4" w:space="0" w:color="BFBFBF"/>
            </w:tcBorders>
            <w:noWrap/>
            <w:hideMark/>
          </w:tcPr>
          <w:p w14:paraId="36239EE3" w14:textId="77777777" w:rsidR="006901EA" w:rsidRPr="00B815CF" w:rsidRDefault="006901EA">
            <w:pPr>
              <w:pStyle w:val="ARtabletextright"/>
              <w:spacing w:before="30" w:after="20"/>
              <w:rPr>
                <w:color w:val="000000"/>
              </w:rPr>
            </w:pPr>
            <w:r w:rsidRPr="00B815CF">
              <w:t>–</w:t>
            </w:r>
          </w:p>
        </w:tc>
        <w:tc>
          <w:tcPr>
            <w:tcW w:w="1701" w:type="dxa"/>
            <w:tcBorders>
              <w:top w:val="single" w:sz="4" w:space="0" w:color="BFBFBF"/>
              <w:bottom w:val="single" w:sz="4" w:space="0" w:color="BFBFBF"/>
            </w:tcBorders>
            <w:noWrap/>
            <w:hideMark/>
          </w:tcPr>
          <w:p w14:paraId="0F9339AB" w14:textId="77777777" w:rsidR="006901EA" w:rsidRPr="00B815CF" w:rsidRDefault="006901EA">
            <w:pPr>
              <w:pStyle w:val="ARtabletextright"/>
              <w:spacing w:before="30" w:after="20"/>
            </w:pPr>
            <w:r w:rsidRPr="00B815CF">
              <w:t>–</w:t>
            </w:r>
          </w:p>
        </w:tc>
        <w:tc>
          <w:tcPr>
            <w:tcW w:w="1701" w:type="dxa"/>
            <w:tcBorders>
              <w:top w:val="single" w:sz="4" w:space="0" w:color="BFBFBF"/>
              <w:bottom w:val="single" w:sz="4" w:space="0" w:color="BFBFBF"/>
            </w:tcBorders>
            <w:noWrap/>
            <w:hideMark/>
          </w:tcPr>
          <w:p w14:paraId="1E180860" w14:textId="77777777" w:rsidR="006901EA" w:rsidRPr="00B815CF" w:rsidRDefault="006901EA">
            <w:pPr>
              <w:pStyle w:val="ARtabletextright"/>
              <w:spacing w:before="30" w:after="20"/>
            </w:pPr>
            <w:r w:rsidRPr="00C9329C">
              <w:t>–</w:t>
            </w:r>
          </w:p>
        </w:tc>
      </w:tr>
      <w:tr w:rsidR="006901EA" w:rsidRPr="00973D4D" w14:paraId="1566EEBA" w14:textId="77777777">
        <w:trPr>
          <w:trHeight w:val="288"/>
        </w:trPr>
        <w:tc>
          <w:tcPr>
            <w:tcW w:w="4536" w:type="dxa"/>
            <w:tcBorders>
              <w:top w:val="single" w:sz="4" w:space="0" w:color="BFBFBF"/>
            </w:tcBorders>
            <w:noWrap/>
            <w:hideMark/>
          </w:tcPr>
          <w:p w14:paraId="51600454" w14:textId="77777777" w:rsidR="006901EA" w:rsidRPr="00B815CF" w:rsidRDefault="006901EA">
            <w:pPr>
              <w:pStyle w:val="ARtabletext"/>
              <w:spacing w:before="30" w:after="20"/>
            </w:pPr>
            <w:r w:rsidRPr="00B815CF">
              <w:t>Exports</w:t>
            </w:r>
          </w:p>
        </w:tc>
        <w:tc>
          <w:tcPr>
            <w:tcW w:w="1701" w:type="dxa"/>
            <w:tcBorders>
              <w:top w:val="single" w:sz="4" w:space="0" w:color="BFBFBF"/>
            </w:tcBorders>
            <w:noWrap/>
            <w:hideMark/>
          </w:tcPr>
          <w:p w14:paraId="6B92FDFA" w14:textId="77777777" w:rsidR="006901EA" w:rsidRPr="00B815CF" w:rsidRDefault="006901EA">
            <w:pPr>
              <w:pStyle w:val="ARtabletextright"/>
              <w:spacing w:before="30" w:after="20"/>
              <w:rPr>
                <w:color w:val="000000"/>
              </w:rPr>
            </w:pPr>
            <w:r w:rsidRPr="00B815CF">
              <w:t>–</w:t>
            </w:r>
          </w:p>
        </w:tc>
        <w:tc>
          <w:tcPr>
            <w:tcW w:w="1701" w:type="dxa"/>
            <w:tcBorders>
              <w:top w:val="single" w:sz="4" w:space="0" w:color="BFBFBF"/>
            </w:tcBorders>
            <w:noWrap/>
            <w:hideMark/>
          </w:tcPr>
          <w:p w14:paraId="01265C81" w14:textId="77777777" w:rsidR="006901EA" w:rsidRPr="00B815CF" w:rsidRDefault="006901EA">
            <w:pPr>
              <w:pStyle w:val="ARtabletextright"/>
              <w:spacing w:before="30" w:after="20"/>
            </w:pPr>
            <w:r w:rsidRPr="00B815CF">
              <w:t>–</w:t>
            </w:r>
          </w:p>
        </w:tc>
        <w:tc>
          <w:tcPr>
            <w:tcW w:w="1701" w:type="dxa"/>
            <w:tcBorders>
              <w:top w:val="single" w:sz="4" w:space="0" w:color="BFBFBF"/>
            </w:tcBorders>
            <w:noWrap/>
            <w:hideMark/>
          </w:tcPr>
          <w:p w14:paraId="37B77DEE" w14:textId="77777777" w:rsidR="006901EA" w:rsidRPr="00B815CF" w:rsidRDefault="006901EA">
            <w:pPr>
              <w:pStyle w:val="ARtabletextright"/>
              <w:spacing w:before="30" w:after="20"/>
            </w:pPr>
            <w:r w:rsidRPr="00C9329C">
              <w:t>–</w:t>
            </w:r>
          </w:p>
        </w:tc>
      </w:tr>
      <w:tr w:rsidR="006901EA" w:rsidRPr="00973D4D" w14:paraId="70F7DFF7" w14:textId="77777777">
        <w:trPr>
          <w:trHeight w:val="288"/>
        </w:trPr>
        <w:tc>
          <w:tcPr>
            <w:tcW w:w="4536" w:type="dxa"/>
            <w:tcBorders>
              <w:bottom w:val="single" w:sz="4" w:space="0" w:color="auto"/>
            </w:tcBorders>
            <w:noWrap/>
            <w:hideMark/>
          </w:tcPr>
          <w:p w14:paraId="28E11DA7" w14:textId="77777777" w:rsidR="006901EA" w:rsidRPr="00B815CF" w:rsidRDefault="006901EA">
            <w:pPr>
              <w:pStyle w:val="ARtabletextbold"/>
              <w:spacing w:before="30" w:after="20"/>
            </w:pPr>
            <w:r w:rsidRPr="00B815CF">
              <w:t>Total solar PV</w:t>
            </w:r>
          </w:p>
        </w:tc>
        <w:tc>
          <w:tcPr>
            <w:tcW w:w="1701" w:type="dxa"/>
            <w:tcBorders>
              <w:bottom w:val="single" w:sz="4" w:space="0" w:color="auto"/>
            </w:tcBorders>
            <w:noWrap/>
            <w:hideMark/>
          </w:tcPr>
          <w:p w14:paraId="5F3B5F77" w14:textId="77777777" w:rsidR="006901EA" w:rsidRPr="00B815CF" w:rsidRDefault="006901EA">
            <w:pPr>
              <w:pStyle w:val="ARtabletextrightbold"/>
              <w:spacing w:before="30" w:after="20"/>
            </w:pPr>
            <w:r w:rsidRPr="00B815CF">
              <w:t>–</w:t>
            </w:r>
          </w:p>
        </w:tc>
        <w:tc>
          <w:tcPr>
            <w:tcW w:w="1701" w:type="dxa"/>
            <w:tcBorders>
              <w:bottom w:val="single" w:sz="4" w:space="0" w:color="auto"/>
            </w:tcBorders>
            <w:noWrap/>
            <w:hideMark/>
          </w:tcPr>
          <w:p w14:paraId="03CA433B" w14:textId="77777777" w:rsidR="006901EA" w:rsidRPr="00B815CF" w:rsidRDefault="006901EA">
            <w:pPr>
              <w:pStyle w:val="ARtabletextrightbold"/>
              <w:spacing w:before="30" w:after="20"/>
            </w:pPr>
            <w:r w:rsidRPr="00B815CF">
              <w:t>–</w:t>
            </w:r>
          </w:p>
        </w:tc>
        <w:tc>
          <w:tcPr>
            <w:tcW w:w="1701" w:type="dxa"/>
            <w:tcBorders>
              <w:bottom w:val="single" w:sz="4" w:space="0" w:color="auto"/>
            </w:tcBorders>
            <w:noWrap/>
            <w:hideMark/>
          </w:tcPr>
          <w:p w14:paraId="0181F099" w14:textId="77777777" w:rsidR="006901EA" w:rsidRPr="00B815CF" w:rsidRDefault="006901EA">
            <w:pPr>
              <w:pStyle w:val="ARtabletextrightbold"/>
              <w:spacing w:before="30" w:after="20"/>
            </w:pPr>
            <w:r w:rsidRPr="00C9329C">
              <w:t>–</w:t>
            </w:r>
          </w:p>
        </w:tc>
      </w:tr>
      <w:tr w:rsidR="006901EA" w:rsidRPr="00973D4D" w14:paraId="0C7D5F77" w14:textId="77777777">
        <w:trPr>
          <w:trHeight w:val="288"/>
        </w:trPr>
        <w:tc>
          <w:tcPr>
            <w:tcW w:w="4536" w:type="dxa"/>
            <w:noWrap/>
            <w:hideMark/>
          </w:tcPr>
          <w:p w14:paraId="70580462" w14:textId="77777777" w:rsidR="006901EA" w:rsidRPr="00B815CF" w:rsidRDefault="006901EA">
            <w:pPr>
              <w:pStyle w:val="ARtabletext"/>
              <w:spacing w:before="30" w:after="20"/>
            </w:pPr>
            <w:r w:rsidRPr="00B815CF">
              <w:t>Other non-renewable (diesel backup generator)</w:t>
            </w:r>
          </w:p>
        </w:tc>
        <w:tc>
          <w:tcPr>
            <w:tcW w:w="1701" w:type="dxa"/>
            <w:noWrap/>
          </w:tcPr>
          <w:p w14:paraId="7BAD2081" w14:textId="77777777" w:rsidR="006901EA" w:rsidRPr="00B815CF" w:rsidRDefault="006901EA">
            <w:pPr>
              <w:pStyle w:val="ARtabletextright"/>
              <w:spacing w:before="30" w:after="20"/>
            </w:pPr>
            <w:r w:rsidRPr="00B815CF">
              <w:t>–</w:t>
            </w:r>
          </w:p>
        </w:tc>
        <w:tc>
          <w:tcPr>
            <w:tcW w:w="1701" w:type="dxa"/>
            <w:noWrap/>
          </w:tcPr>
          <w:p w14:paraId="3BC4ED46" w14:textId="77777777" w:rsidR="006901EA" w:rsidRPr="00B815CF" w:rsidRDefault="006901EA">
            <w:pPr>
              <w:pStyle w:val="ARtabletextright"/>
              <w:spacing w:before="30" w:after="20"/>
            </w:pPr>
            <w:r w:rsidRPr="00B815CF">
              <w:t>–</w:t>
            </w:r>
          </w:p>
        </w:tc>
        <w:tc>
          <w:tcPr>
            <w:tcW w:w="1701" w:type="dxa"/>
            <w:noWrap/>
          </w:tcPr>
          <w:p w14:paraId="0CCF6C60" w14:textId="77777777" w:rsidR="006901EA" w:rsidRPr="00B815CF" w:rsidRDefault="006901EA">
            <w:pPr>
              <w:pStyle w:val="ARtabletextright"/>
              <w:spacing w:before="30" w:after="20"/>
            </w:pPr>
            <w:r w:rsidRPr="00C9329C">
              <w:t>–</w:t>
            </w:r>
          </w:p>
        </w:tc>
      </w:tr>
      <w:tr w:rsidR="006901EA" w:rsidRPr="00973D4D" w14:paraId="46EF06F4" w14:textId="77777777">
        <w:trPr>
          <w:trHeight w:val="288"/>
        </w:trPr>
        <w:tc>
          <w:tcPr>
            <w:tcW w:w="4536" w:type="dxa"/>
            <w:noWrap/>
            <w:hideMark/>
          </w:tcPr>
          <w:p w14:paraId="40C421BC" w14:textId="77777777" w:rsidR="006901EA" w:rsidRPr="00B815CF" w:rsidRDefault="006901EA">
            <w:pPr>
              <w:pStyle w:val="ARtabletextbold"/>
              <w:spacing w:before="30" w:after="20"/>
            </w:pPr>
            <w:r w:rsidRPr="00B815CF">
              <w:t>EL2 Total on-site electricity generated</w:t>
            </w:r>
          </w:p>
        </w:tc>
        <w:tc>
          <w:tcPr>
            <w:tcW w:w="1701" w:type="dxa"/>
            <w:noWrap/>
            <w:hideMark/>
          </w:tcPr>
          <w:p w14:paraId="3F4F0A68" w14:textId="77777777" w:rsidR="006901EA" w:rsidRPr="00B815CF" w:rsidRDefault="006901EA">
            <w:pPr>
              <w:pStyle w:val="ARtabletextrightbold"/>
              <w:spacing w:before="30" w:after="20"/>
            </w:pPr>
            <w:r w:rsidRPr="00B815CF">
              <w:t>–</w:t>
            </w:r>
          </w:p>
        </w:tc>
        <w:tc>
          <w:tcPr>
            <w:tcW w:w="1701" w:type="dxa"/>
            <w:noWrap/>
            <w:hideMark/>
          </w:tcPr>
          <w:p w14:paraId="564EFAD7" w14:textId="77777777" w:rsidR="006901EA" w:rsidRPr="00B815CF" w:rsidRDefault="006901EA">
            <w:pPr>
              <w:pStyle w:val="ARtabletextrightbold"/>
              <w:spacing w:before="30" w:after="20"/>
            </w:pPr>
            <w:r w:rsidRPr="00B815CF">
              <w:t>–</w:t>
            </w:r>
          </w:p>
        </w:tc>
        <w:tc>
          <w:tcPr>
            <w:tcW w:w="1701" w:type="dxa"/>
            <w:noWrap/>
            <w:hideMark/>
          </w:tcPr>
          <w:p w14:paraId="2EF9F9C0" w14:textId="77777777" w:rsidR="006901EA" w:rsidRPr="00B815CF" w:rsidRDefault="006901EA">
            <w:pPr>
              <w:pStyle w:val="ARtabletextrightbold"/>
              <w:spacing w:before="30" w:after="20"/>
            </w:pPr>
            <w:r w:rsidRPr="00C9329C">
              <w:t>–</w:t>
            </w:r>
          </w:p>
        </w:tc>
      </w:tr>
    </w:tbl>
    <w:p w14:paraId="5AEA8E10" w14:textId="7499923A" w:rsidR="006901EA" w:rsidRPr="00B815CF" w:rsidRDefault="006901EA" w:rsidP="00A95A18">
      <w:pPr>
        <w:pStyle w:val="ARtablecaption"/>
      </w:pPr>
      <w:r w:rsidRPr="00B815CF">
        <w:t>EL3 On-site installed generation capacity</w:t>
      </w:r>
    </w:p>
    <w:tbl>
      <w:tblPr>
        <w:tblStyle w:val="TableGrid"/>
        <w:tblW w:w="9639" w:type="dxa"/>
        <w:tblLook w:val="06A0" w:firstRow="1" w:lastRow="0" w:firstColumn="1" w:lastColumn="0" w:noHBand="1" w:noVBand="1"/>
      </w:tblPr>
      <w:tblGrid>
        <w:gridCol w:w="4536"/>
        <w:gridCol w:w="1701"/>
        <w:gridCol w:w="1701"/>
        <w:gridCol w:w="1701"/>
      </w:tblGrid>
      <w:tr w:rsidR="006901EA" w:rsidRPr="00F8705E" w14:paraId="38A19B96"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7358EA54" w14:textId="77777777" w:rsidR="006901EA" w:rsidRPr="00B815CF" w:rsidRDefault="006901EA">
            <w:pPr>
              <w:pStyle w:val="ARtablecolhead"/>
              <w:spacing w:before="30" w:after="20"/>
              <w:rPr>
                <w:color w:val="000000"/>
              </w:rPr>
            </w:pPr>
            <w:r w:rsidRPr="00B815CF">
              <w:t>Indicator</w:t>
            </w:r>
          </w:p>
        </w:tc>
        <w:tc>
          <w:tcPr>
            <w:tcW w:w="1701" w:type="dxa"/>
            <w:tcBorders>
              <w:bottom w:val="single" w:sz="4" w:space="0" w:color="auto"/>
            </w:tcBorders>
            <w:noWrap/>
          </w:tcPr>
          <w:p w14:paraId="352295A6" w14:textId="77777777" w:rsidR="006901EA" w:rsidRPr="00973D4D" w:rsidRDefault="006901EA">
            <w:pPr>
              <w:pStyle w:val="ARtablecolheadright"/>
              <w:spacing w:before="30" w:after="20"/>
            </w:pPr>
            <w:r w:rsidRPr="00973D4D">
              <w:t>2023–24</w:t>
            </w:r>
          </w:p>
          <w:p w14:paraId="0AD3C1F9" w14:textId="77777777" w:rsidR="006901EA" w:rsidRPr="00B815CF" w:rsidRDefault="006901EA">
            <w:pPr>
              <w:pStyle w:val="ARtablecolheadright"/>
              <w:spacing w:before="30" w:after="20"/>
            </w:pPr>
            <w:r w:rsidRPr="00973D4D">
              <w:t>MWh</w:t>
            </w:r>
          </w:p>
        </w:tc>
        <w:tc>
          <w:tcPr>
            <w:tcW w:w="1701" w:type="dxa"/>
            <w:tcBorders>
              <w:bottom w:val="single" w:sz="4" w:space="0" w:color="auto"/>
            </w:tcBorders>
            <w:noWrap/>
          </w:tcPr>
          <w:p w14:paraId="78C51790" w14:textId="77777777" w:rsidR="006901EA" w:rsidRPr="00973D4D" w:rsidRDefault="006901EA">
            <w:pPr>
              <w:pStyle w:val="ARtablecolheadright"/>
              <w:spacing w:before="30" w:after="20"/>
            </w:pPr>
            <w:r w:rsidRPr="00973D4D">
              <w:t>2022–23</w:t>
            </w:r>
          </w:p>
          <w:p w14:paraId="3C25F2AA" w14:textId="77777777" w:rsidR="006901EA" w:rsidRPr="00B815CF" w:rsidRDefault="006901EA">
            <w:pPr>
              <w:pStyle w:val="ARtablecolheadright"/>
              <w:spacing w:before="30" w:after="20"/>
            </w:pPr>
            <w:r w:rsidRPr="00973D4D">
              <w:t>MWh</w:t>
            </w:r>
          </w:p>
        </w:tc>
        <w:tc>
          <w:tcPr>
            <w:tcW w:w="1701" w:type="dxa"/>
            <w:tcBorders>
              <w:bottom w:val="single" w:sz="4" w:space="0" w:color="auto"/>
            </w:tcBorders>
            <w:noWrap/>
          </w:tcPr>
          <w:p w14:paraId="16DB2745" w14:textId="77777777" w:rsidR="006901EA" w:rsidRPr="00973D4D" w:rsidRDefault="006901EA">
            <w:pPr>
              <w:pStyle w:val="ARtablecolheadright"/>
              <w:spacing w:before="30" w:after="20"/>
            </w:pPr>
            <w:r w:rsidRPr="00973D4D">
              <w:t>2021–22</w:t>
            </w:r>
          </w:p>
          <w:p w14:paraId="707E4ECA" w14:textId="77777777" w:rsidR="006901EA" w:rsidRPr="00B815CF" w:rsidRDefault="006901EA">
            <w:pPr>
              <w:pStyle w:val="ARtablecolheadright"/>
              <w:spacing w:before="30" w:after="20"/>
            </w:pPr>
            <w:r w:rsidRPr="00973D4D">
              <w:t>MWh</w:t>
            </w:r>
          </w:p>
        </w:tc>
      </w:tr>
      <w:tr w:rsidR="006901EA" w:rsidRPr="00F8705E" w14:paraId="55CFFE3D" w14:textId="77777777">
        <w:trPr>
          <w:trHeight w:val="288"/>
        </w:trPr>
        <w:tc>
          <w:tcPr>
            <w:tcW w:w="4536" w:type="dxa"/>
            <w:tcBorders>
              <w:top w:val="single" w:sz="4" w:space="0" w:color="auto"/>
              <w:bottom w:val="single" w:sz="4" w:space="0" w:color="BFBFBF"/>
            </w:tcBorders>
            <w:noWrap/>
            <w:hideMark/>
          </w:tcPr>
          <w:p w14:paraId="2ADA9B3E" w14:textId="77777777" w:rsidR="006901EA" w:rsidRPr="00B815CF" w:rsidRDefault="006901EA">
            <w:pPr>
              <w:pStyle w:val="ARtabletext"/>
              <w:spacing w:before="30" w:after="20"/>
              <w:rPr>
                <w:color w:val="000000"/>
              </w:rPr>
            </w:pPr>
            <w:r w:rsidRPr="00B815CF">
              <w:t>Solar PV</w:t>
            </w:r>
          </w:p>
        </w:tc>
        <w:tc>
          <w:tcPr>
            <w:tcW w:w="1701" w:type="dxa"/>
            <w:tcBorders>
              <w:top w:val="single" w:sz="4" w:space="0" w:color="auto"/>
              <w:bottom w:val="single" w:sz="4" w:space="0" w:color="BFBFBF"/>
            </w:tcBorders>
            <w:noWrap/>
            <w:hideMark/>
          </w:tcPr>
          <w:p w14:paraId="1F825385" w14:textId="77777777" w:rsidR="006901EA" w:rsidRPr="00B815CF" w:rsidRDefault="006901EA">
            <w:pPr>
              <w:pStyle w:val="ARtabletextright"/>
              <w:spacing w:before="30" w:after="20"/>
            </w:pPr>
            <w:r w:rsidRPr="00B815CF">
              <w:t>–</w:t>
            </w:r>
          </w:p>
        </w:tc>
        <w:tc>
          <w:tcPr>
            <w:tcW w:w="1701" w:type="dxa"/>
            <w:tcBorders>
              <w:top w:val="single" w:sz="4" w:space="0" w:color="auto"/>
              <w:bottom w:val="single" w:sz="4" w:space="0" w:color="BFBFBF"/>
            </w:tcBorders>
            <w:noWrap/>
            <w:hideMark/>
          </w:tcPr>
          <w:p w14:paraId="65CADF6B" w14:textId="77777777" w:rsidR="006901EA" w:rsidRPr="00B815CF" w:rsidRDefault="006901EA">
            <w:pPr>
              <w:pStyle w:val="ARtabletextright"/>
              <w:spacing w:before="30" w:after="20"/>
            </w:pPr>
            <w:r w:rsidRPr="00B815CF">
              <w:t>–</w:t>
            </w:r>
          </w:p>
        </w:tc>
        <w:tc>
          <w:tcPr>
            <w:tcW w:w="1701" w:type="dxa"/>
            <w:tcBorders>
              <w:top w:val="single" w:sz="4" w:space="0" w:color="auto"/>
              <w:bottom w:val="single" w:sz="4" w:space="0" w:color="BFBFBF"/>
            </w:tcBorders>
            <w:noWrap/>
            <w:hideMark/>
          </w:tcPr>
          <w:p w14:paraId="32E9FE5D" w14:textId="77777777" w:rsidR="006901EA" w:rsidRPr="00B815CF" w:rsidRDefault="006901EA">
            <w:pPr>
              <w:pStyle w:val="ARtabletextright"/>
              <w:spacing w:before="30" w:after="20"/>
            </w:pPr>
            <w:r w:rsidRPr="00973D4D">
              <w:t>–</w:t>
            </w:r>
          </w:p>
        </w:tc>
      </w:tr>
      <w:tr w:rsidR="006901EA" w:rsidRPr="00F8705E" w14:paraId="3C8749E9" w14:textId="77777777">
        <w:trPr>
          <w:trHeight w:val="288"/>
        </w:trPr>
        <w:tc>
          <w:tcPr>
            <w:tcW w:w="4536" w:type="dxa"/>
            <w:tcBorders>
              <w:top w:val="single" w:sz="4" w:space="0" w:color="BFBFBF"/>
              <w:bottom w:val="single" w:sz="4" w:space="0" w:color="BFBFBF"/>
            </w:tcBorders>
            <w:noWrap/>
            <w:hideMark/>
          </w:tcPr>
          <w:p w14:paraId="27595CCD" w14:textId="77777777" w:rsidR="006901EA" w:rsidRPr="00B815CF" w:rsidRDefault="006901EA">
            <w:pPr>
              <w:pStyle w:val="ARtabletext"/>
              <w:spacing w:before="30" w:after="20"/>
              <w:rPr>
                <w:color w:val="000000"/>
              </w:rPr>
            </w:pPr>
            <w:r w:rsidRPr="00B815CF">
              <w:t>Diesel backup generator</w:t>
            </w:r>
          </w:p>
        </w:tc>
        <w:tc>
          <w:tcPr>
            <w:tcW w:w="1701" w:type="dxa"/>
            <w:tcBorders>
              <w:top w:val="single" w:sz="4" w:space="0" w:color="BFBFBF"/>
              <w:bottom w:val="single" w:sz="4" w:space="0" w:color="BFBFBF"/>
            </w:tcBorders>
            <w:noWrap/>
            <w:hideMark/>
          </w:tcPr>
          <w:p w14:paraId="2A49FADE" w14:textId="77777777" w:rsidR="006901EA" w:rsidRPr="00B815CF" w:rsidRDefault="006901EA">
            <w:pPr>
              <w:pStyle w:val="ARtabletextright"/>
              <w:spacing w:before="30" w:after="20"/>
            </w:pPr>
            <w:r w:rsidRPr="00B815CF">
              <w:t>–</w:t>
            </w:r>
          </w:p>
        </w:tc>
        <w:tc>
          <w:tcPr>
            <w:tcW w:w="1701" w:type="dxa"/>
            <w:tcBorders>
              <w:top w:val="single" w:sz="4" w:space="0" w:color="BFBFBF"/>
              <w:bottom w:val="single" w:sz="4" w:space="0" w:color="BFBFBF"/>
            </w:tcBorders>
            <w:noWrap/>
            <w:hideMark/>
          </w:tcPr>
          <w:p w14:paraId="7329DAAE" w14:textId="77777777" w:rsidR="006901EA" w:rsidRPr="00B815CF" w:rsidRDefault="006901EA">
            <w:pPr>
              <w:pStyle w:val="ARtabletextright"/>
              <w:spacing w:before="30" w:after="20"/>
            </w:pPr>
            <w:r w:rsidRPr="00B815CF">
              <w:t>–</w:t>
            </w:r>
          </w:p>
        </w:tc>
        <w:tc>
          <w:tcPr>
            <w:tcW w:w="1701" w:type="dxa"/>
            <w:tcBorders>
              <w:top w:val="single" w:sz="4" w:space="0" w:color="BFBFBF"/>
              <w:bottom w:val="single" w:sz="4" w:space="0" w:color="BFBFBF"/>
            </w:tcBorders>
            <w:noWrap/>
            <w:hideMark/>
          </w:tcPr>
          <w:p w14:paraId="27B742B8" w14:textId="77777777" w:rsidR="006901EA" w:rsidRPr="00B815CF" w:rsidRDefault="006901EA">
            <w:pPr>
              <w:pStyle w:val="ARtabletextright"/>
              <w:spacing w:before="30" w:after="20"/>
            </w:pPr>
            <w:r w:rsidRPr="00973D4D">
              <w:t>–</w:t>
            </w:r>
          </w:p>
        </w:tc>
      </w:tr>
      <w:tr w:rsidR="006901EA" w:rsidRPr="00F8705E" w14:paraId="76AC2CF1" w14:textId="77777777">
        <w:trPr>
          <w:trHeight w:val="288"/>
        </w:trPr>
        <w:tc>
          <w:tcPr>
            <w:tcW w:w="4536" w:type="dxa"/>
            <w:noWrap/>
            <w:hideMark/>
          </w:tcPr>
          <w:p w14:paraId="2D2B4AE9" w14:textId="77777777" w:rsidR="006901EA" w:rsidRPr="00B815CF" w:rsidRDefault="006901EA">
            <w:pPr>
              <w:pStyle w:val="ARtabletextbold"/>
              <w:spacing w:before="30" w:after="20"/>
            </w:pPr>
            <w:r w:rsidRPr="00B815CF">
              <w:t>EL3 Total on-site installed generation capacity</w:t>
            </w:r>
          </w:p>
        </w:tc>
        <w:tc>
          <w:tcPr>
            <w:tcW w:w="1701" w:type="dxa"/>
            <w:noWrap/>
            <w:hideMark/>
          </w:tcPr>
          <w:p w14:paraId="70E58942" w14:textId="77777777" w:rsidR="006901EA" w:rsidRPr="00B815CF" w:rsidRDefault="006901EA">
            <w:pPr>
              <w:pStyle w:val="ARtabletextrightbold"/>
              <w:spacing w:before="30" w:after="20"/>
            </w:pPr>
            <w:r w:rsidRPr="00B815CF">
              <w:t>–</w:t>
            </w:r>
          </w:p>
        </w:tc>
        <w:tc>
          <w:tcPr>
            <w:tcW w:w="1701" w:type="dxa"/>
            <w:noWrap/>
            <w:hideMark/>
          </w:tcPr>
          <w:p w14:paraId="30CFA728" w14:textId="77777777" w:rsidR="006901EA" w:rsidRPr="00B815CF" w:rsidRDefault="006901EA">
            <w:pPr>
              <w:pStyle w:val="ARtabletextrightbold"/>
              <w:spacing w:before="30" w:after="20"/>
            </w:pPr>
            <w:r w:rsidRPr="00B815CF">
              <w:t>–</w:t>
            </w:r>
          </w:p>
        </w:tc>
        <w:tc>
          <w:tcPr>
            <w:tcW w:w="1701" w:type="dxa"/>
            <w:noWrap/>
            <w:hideMark/>
          </w:tcPr>
          <w:p w14:paraId="294C7EE0" w14:textId="77777777" w:rsidR="006901EA" w:rsidRPr="00B815CF" w:rsidRDefault="006901EA">
            <w:pPr>
              <w:pStyle w:val="ARtabletextrightbold"/>
              <w:spacing w:before="30" w:after="20"/>
            </w:pPr>
            <w:r w:rsidRPr="00973D4D">
              <w:t>–</w:t>
            </w:r>
          </w:p>
        </w:tc>
      </w:tr>
    </w:tbl>
    <w:p w14:paraId="46450406" w14:textId="77777777" w:rsidR="006901EA" w:rsidRPr="00B815CF" w:rsidRDefault="006901EA" w:rsidP="00A95A18">
      <w:pPr>
        <w:pStyle w:val="ARtablecaption"/>
      </w:pPr>
      <w:r w:rsidRPr="00B815CF">
        <w:t>EL4 Total electricity offsets</w:t>
      </w:r>
    </w:p>
    <w:tbl>
      <w:tblPr>
        <w:tblStyle w:val="TableGrid"/>
        <w:tblW w:w="9639" w:type="dxa"/>
        <w:tblLook w:val="06A0" w:firstRow="1" w:lastRow="0" w:firstColumn="1" w:lastColumn="0" w:noHBand="1" w:noVBand="1"/>
      </w:tblPr>
      <w:tblGrid>
        <w:gridCol w:w="4536"/>
        <w:gridCol w:w="1701"/>
        <w:gridCol w:w="1701"/>
        <w:gridCol w:w="1701"/>
      </w:tblGrid>
      <w:tr w:rsidR="006901EA" w:rsidRPr="00973D4D" w14:paraId="606D943F"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60B8385D" w14:textId="77777777" w:rsidR="006901EA" w:rsidRPr="00B815CF" w:rsidRDefault="006901EA">
            <w:pPr>
              <w:pStyle w:val="ARtablecolhead"/>
              <w:spacing w:before="30" w:after="20"/>
              <w:rPr>
                <w:color w:val="000000"/>
              </w:rPr>
            </w:pPr>
            <w:r w:rsidRPr="00B815CF">
              <w:t>Indicator</w:t>
            </w:r>
          </w:p>
        </w:tc>
        <w:tc>
          <w:tcPr>
            <w:tcW w:w="1701" w:type="dxa"/>
            <w:tcBorders>
              <w:bottom w:val="single" w:sz="4" w:space="0" w:color="auto"/>
            </w:tcBorders>
            <w:noWrap/>
          </w:tcPr>
          <w:p w14:paraId="16572DFD" w14:textId="77777777" w:rsidR="006901EA" w:rsidRPr="00973D4D" w:rsidRDefault="006901EA">
            <w:pPr>
              <w:pStyle w:val="ARtablecolheadright"/>
              <w:spacing w:before="30" w:after="20"/>
            </w:pPr>
            <w:r w:rsidRPr="00973D4D">
              <w:t>2023–24</w:t>
            </w:r>
          </w:p>
          <w:p w14:paraId="298C1376" w14:textId="77777777" w:rsidR="006901EA" w:rsidRPr="00B815CF" w:rsidRDefault="006901EA">
            <w:pPr>
              <w:pStyle w:val="ARtablecolheadright"/>
              <w:spacing w:before="30" w:after="20"/>
            </w:pPr>
            <w:r w:rsidRPr="00973D4D" w:rsidDel="00153B6C">
              <w:t>MWh</w:t>
            </w:r>
          </w:p>
        </w:tc>
        <w:tc>
          <w:tcPr>
            <w:tcW w:w="1701" w:type="dxa"/>
            <w:tcBorders>
              <w:bottom w:val="single" w:sz="4" w:space="0" w:color="auto"/>
            </w:tcBorders>
            <w:noWrap/>
          </w:tcPr>
          <w:p w14:paraId="7DD35374" w14:textId="77777777" w:rsidR="006901EA" w:rsidRPr="00973D4D" w:rsidRDefault="006901EA">
            <w:pPr>
              <w:pStyle w:val="ARtablecolheadright"/>
              <w:spacing w:before="30" w:after="20"/>
            </w:pPr>
            <w:r w:rsidRPr="00973D4D">
              <w:t>2022–23</w:t>
            </w:r>
          </w:p>
          <w:p w14:paraId="2F35952F" w14:textId="77777777" w:rsidR="006901EA" w:rsidRPr="00B815CF" w:rsidRDefault="006901EA">
            <w:pPr>
              <w:pStyle w:val="ARtablecolheadright"/>
              <w:spacing w:before="30" w:after="20"/>
            </w:pPr>
            <w:r w:rsidRPr="00973D4D" w:rsidDel="00153B6C">
              <w:t>MWh</w:t>
            </w:r>
          </w:p>
        </w:tc>
        <w:tc>
          <w:tcPr>
            <w:tcW w:w="1701" w:type="dxa"/>
            <w:tcBorders>
              <w:bottom w:val="single" w:sz="4" w:space="0" w:color="auto"/>
            </w:tcBorders>
            <w:noWrap/>
          </w:tcPr>
          <w:p w14:paraId="35A8F248" w14:textId="77777777" w:rsidR="006901EA" w:rsidRPr="00973D4D" w:rsidRDefault="006901EA">
            <w:pPr>
              <w:pStyle w:val="ARtablecolheadright"/>
              <w:spacing w:before="30" w:after="20"/>
            </w:pPr>
            <w:r w:rsidRPr="00973D4D">
              <w:t>2021–22</w:t>
            </w:r>
          </w:p>
          <w:p w14:paraId="2D639591" w14:textId="77777777" w:rsidR="006901EA" w:rsidRPr="00B815CF" w:rsidRDefault="006901EA">
            <w:pPr>
              <w:pStyle w:val="ARtablecolheadright"/>
              <w:spacing w:before="30" w:after="20"/>
            </w:pPr>
            <w:r w:rsidRPr="00973D4D" w:rsidDel="00153B6C">
              <w:t>MWh</w:t>
            </w:r>
          </w:p>
        </w:tc>
      </w:tr>
      <w:tr w:rsidR="006901EA" w:rsidRPr="00973D4D" w14:paraId="0695E5C1" w14:textId="77777777">
        <w:trPr>
          <w:trHeight w:val="288"/>
        </w:trPr>
        <w:tc>
          <w:tcPr>
            <w:tcW w:w="4536" w:type="dxa"/>
            <w:tcBorders>
              <w:top w:val="single" w:sz="4" w:space="0" w:color="auto"/>
              <w:bottom w:val="single" w:sz="4" w:space="0" w:color="BFBFBF"/>
            </w:tcBorders>
            <w:noWrap/>
            <w:hideMark/>
          </w:tcPr>
          <w:p w14:paraId="66DD140B" w14:textId="7DEDBFDB" w:rsidR="006901EA" w:rsidRPr="00B815CF" w:rsidRDefault="006901EA">
            <w:pPr>
              <w:pStyle w:val="ARtabletext"/>
              <w:spacing w:before="30" w:after="20"/>
              <w:rPr>
                <w:color w:val="000000"/>
              </w:rPr>
            </w:pPr>
            <w:r w:rsidRPr="00B815CF">
              <w:t>LGC</w:t>
            </w:r>
            <w:r w:rsidR="00711AE6">
              <w:t>’</w:t>
            </w:r>
            <w:r w:rsidRPr="00B815CF">
              <w:t>s voluntarily retired by the entity</w:t>
            </w:r>
          </w:p>
        </w:tc>
        <w:tc>
          <w:tcPr>
            <w:tcW w:w="1701" w:type="dxa"/>
            <w:tcBorders>
              <w:top w:val="single" w:sz="4" w:space="0" w:color="auto"/>
              <w:bottom w:val="single" w:sz="4" w:space="0" w:color="BFBFBF"/>
            </w:tcBorders>
            <w:noWrap/>
            <w:hideMark/>
          </w:tcPr>
          <w:p w14:paraId="4A56DE0F" w14:textId="77777777" w:rsidR="006901EA" w:rsidRPr="00B815CF" w:rsidRDefault="006901EA">
            <w:pPr>
              <w:pStyle w:val="ARtabletextright"/>
              <w:spacing w:before="30" w:after="20"/>
              <w:rPr>
                <w:color w:val="000000"/>
              </w:rPr>
            </w:pPr>
            <w:r w:rsidRPr="00B815CF">
              <w:t>–</w:t>
            </w:r>
          </w:p>
        </w:tc>
        <w:tc>
          <w:tcPr>
            <w:tcW w:w="1701" w:type="dxa"/>
            <w:tcBorders>
              <w:top w:val="single" w:sz="4" w:space="0" w:color="auto"/>
              <w:bottom w:val="single" w:sz="4" w:space="0" w:color="BFBFBF"/>
            </w:tcBorders>
            <w:noWrap/>
            <w:hideMark/>
          </w:tcPr>
          <w:p w14:paraId="0191CD27" w14:textId="77777777" w:rsidR="006901EA" w:rsidRPr="00B815CF" w:rsidRDefault="006901EA">
            <w:pPr>
              <w:pStyle w:val="ARtabletextright"/>
              <w:spacing w:before="30" w:after="20"/>
            </w:pPr>
            <w:r w:rsidRPr="00B815CF" w:rsidDel="00DC5470">
              <w:t>–</w:t>
            </w:r>
          </w:p>
        </w:tc>
        <w:tc>
          <w:tcPr>
            <w:tcW w:w="1701" w:type="dxa"/>
            <w:tcBorders>
              <w:top w:val="single" w:sz="4" w:space="0" w:color="auto"/>
              <w:bottom w:val="single" w:sz="4" w:space="0" w:color="BFBFBF"/>
            </w:tcBorders>
            <w:noWrap/>
            <w:hideMark/>
          </w:tcPr>
          <w:p w14:paraId="517813A1" w14:textId="77777777" w:rsidR="006901EA" w:rsidRPr="00B815CF" w:rsidRDefault="006901EA">
            <w:pPr>
              <w:pStyle w:val="ARtabletextright"/>
              <w:spacing w:before="30" w:after="20"/>
            </w:pPr>
            <w:r w:rsidRPr="00B815CF">
              <w:t>–</w:t>
            </w:r>
          </w:p>
        </w:tc>
      </w:tr>
      <w:tr w:rsidR="006901EA" w:rsidRPr="00973D4D" w14:paraId="286162B5" w14:textId="77777777">
        <w:trPr>
          <w:trHeight w:val="288"/>
        </w:trPr>
        <w:tc>
          <w:tcPr>
            <w:tcW w:w="4536" w:type="dxa"/>
            <w:tcBorders>
              <w:top w:val="single" w:sz="4" w:space="0" w:color="BFBFBF"/>
            </w:tcBorders>
            <w:noWrap/>
          </w:tcPr>
          <w:p w14:paraId="3F9BC906" w14:textId="77777777" w:rsidR="006901EA" w:rsidRPr="00B815CF" w:rsidRDefault="006901EA">
            <w:pPr>
              <w:pStyle w:val="ARtabletext"/>
              <w:spacing w:before="30" w:after="20"/>
              <w:rPr>
                <w:color w:val="000000"/>
              </w:rPr>
            </w:pPr>
            <w:r w:rsidRPr="00B815CF">
              <w:t xml:space="preserve">Greenpower </w:t>
            </w:r>
            <w:r w:rsidRPr="00B815CF">
              <w:rPr>
                <w:rStyle w:val="FootnoteReference"/>
              </w:rPr>
              <w:footnoteReference w:id="19"/>
            </w:r>
          </w:p>
        </w:tc>
        <w:tc>
          <w:tcPr>
            <w:tcW w:w="1701" w:type="dxa"/>
            <w:tcBorders>
              <w:top w:val="single" w:sz="4" w:space="0" w:color="BFBFBF"/>
            </w:tcBorders>
            <w:noWrap/>
          </w:tcPr>
          <w:p w14:paraId="567BAF97" w14:textId="77777777" w:rsidR="006901EA" w:rsidRPr="00B815CF" w:rsidRDefault="006901EA">
            <w:pPr>
              <w:pStyle w:val="ARtabletextright"/>
              <w:spacing w:before="30" w:after="20"/>
            </w:pPr>
            <w:r w:rsidRPr="00B815CF">
              <w:t>714.8</w:t>
            </w:r>
          </w:p>
        </w:tc>
        <w:tc>
          <w:tcPr>
            <w:tcW w:w="1701" w:type="dxa"/>
            <w:tcBorders>
              <w:top w:val="single" w:sz="4" w:space="0" w:color="BFBFBF"/>
            </w:tcBorders>
            <w:noWrap/>
          </w:tcPr>
          <w:p w14:paraId="620C0779" w14:textId="77777777" w:rsidR="006901EA" w:rsidRPr="00B815CF" w:rsidRDefault="006901EA">
            <w:pPr>
              <w:pStyle w:val="ARtabletextright"/>
              <w:spacing w:before="30" w:after="20"/>
            </w:pPr>
            <w:r w:rsidRPr="00B815CF">
              <w:t>601.7</w:t>
            </w:r>
          </w:p>
        </w:tc>
        <w:tc>
          <w:tcPr>
            <w:tcW w:w="1701" w:type="dxa"/>
            <w:tcBorders>
              <w:top w:val="single" w:sz="4" w:space="0" w:color="BFBFBF"/>
            </w:tcBorders>
            <w:noWrap/>
          </w:tcPr>
          <w:p w14:paraId="0287A213" w14:textId="77777777" w:rsidR="006901EA" w:rsidRPr="00B815CF" w:rsidRDefault="006901EA">
            <w:pPr>
              <w:pStyle w:val="ARtabletextright"/>
              <w:spacing w:before="30" w:after="20"/>
            </w:pPr>
            <w:r w:rsidRPr="00B815CF">
              <w:t>677.6</w:t>
            </w:r>
          </w:p>
        </w:tc>
      </w:tr>
      <w:tr w:rsidR="006901EA" w:rsidRPr="00973D4D" w14:paraId="169658A4" w14:textId="77777777">
        <w:trPr>
          <w:trHeight w:val="288"/>
        </w:trPr>
        <w:tc>
          <w:tcPr>
            <w:tcW w:w="4536" w:type="dxa"/>
            <w:tcBorders>
              <w:top w:val="single" w:sz="4" w:space="0" w:color="BFBFBF"/>
            </w:tcBorders>
            <w:noWrap/>
          </w:tcPr>
          <w:p w14:paraId="3B148F40" w14:textId="77777777" w:rsidR="006901EA" w:rsidRPr="00B815CF" w:rsidRDefault="006901EA">
            <w:pPr>
              <w:pStyle w:val="ARtabletext"/>
              <w:spacing w:before="30" w:after="20"/>
              <w:rPr>
                <w:color w:val="000000"/>
              </w:rPr>
            </w:pPr>
            <w:r w:rsidRPr="00B815CF">
              <w:t>Renewable power percentage in the grid (%)</w:t>
            </w:r>
          </w:p>
        </w:tc>
        <w:tc>
          <w:tcPr>
            <w:tcW w:w="1701" w:type="dxa"/>
            <w:tcBorders>
              <w:top w:val="single" w:sz="4" w:space="0" w:color="BFBFBF"/>
            </w:tcBorders>
            <w:noWrap/>
          </w:tcPr>
          <w:p w14:paraId="1EC85E66" w14:textId="77777777" w:rsidR="006901EA" w:rsidRPr="00B815CF" w:rsidRDefault="006901EA">
            <w:pPr>
              <w:pStyle w:val="ARtabletextright"/>
              <w:spacing w:before="30" w:after="20"/>
            </w:pPr>
          </w:p>
        </w:tc>
        <w:tc>
          <w:tcPr>
            <w:tcW w:w="1701" w:type="dxa"/>
            <w:tcBorders>
              <w:top w:val="single" w:sz="4" w:space="0" w:color="BFBFBF"/>
            </w:tcBorders>
            <w:noWrap/>
          </w:tcPr>
          <w:p w14:paraId="07DA21DC" w14:textId="77777777" w:rsidR="006901EA" w:rsidRPr="00B815CF" w:rsidRDefault="006901EA">
            <w:pPr>
              <w:pStyle w:val="ARtabletextright"/>
              <w:spacing w:before="30" w:after="20"/>
            </w:pPr>
          </w:p>
        </w:tc>
        <w:tc>
          <w:tcPr>
            <w:tcW w:w="1701" w:type="dxa"/>
            <w:tcBorders>
              <w:top w:val="single" w:sz="4" w:space="0" w:color="BFBFBF"/>
            </w:tcBorders>
            <w:noWrap/>
          </w:tcPr>
          <w:p w14:paraId="5651AE3E" w14:textId="77777777" w:rsidR="006901EA" w:rsidRPr="00B815CF" w:rsidRDefault="006901EA">
            <w:pPr>
              <w:pStyle w:val="ARtabletextright"/>
              <w:spacing w:before="30" w:after="20"/>
            </w:pPr>
          </w:p>
        </w:tc>
      </w:tr>
      <w:tr w:rsidR="006901EA" w:rsidRPr="00F8705E" w14:paraId="37EFE641" w14:textId="77777777">
        <w:trPr>
          <w:trHeight w:val="288"/>
        </w:trPr>
        <w:tc>
          <w:tcPr>
            <w:tcW w:w="4536" w:type="dxa"/>
            <w:tcBorders>
              <w:top w:val="single" w:sz="4" w:space="0" w:color="BFBFBF"/>
            </w:tcBorders>
            <w:noWrap/>
          </w:tcPr>
          <w:p w14:paraId="20D3566F" w14:textId="3549D83B" w:rsidR="006901EA" w:rsidRPr="0093510C" w:rsidRDefault="006901EA">
            <w:pPr>
              <w:pStyle w:val="ARtabletext"/>
              <w:spacing w:before="30" w:after="20"/>
              <w:rPr>
                <w:color w:val="000000"/>
              </w:rPr>
            </w:pPr>
            <w:r w:rsidRPr="0093510C">
              <w:t>Certified climate active carbon neutral electricity</w:t>
            </w:r>
            <w:r w:rsidR="00373FEC">
              <w:t> </w:t>
            </w:r>
            <w:r w:rsidRPr="0093510C">
              <w:t>purchased</w:t>
            </w:r>
          </w:p>
        </w:tc>
        <w:tc>
          <w:tcPr>
            <w:tcW w:w="1701" w:type="dxa"/>
            <w:tcBorders>
              <w:top w:val="single" w:sz="4" w:space="0" w:color="BFBFBF"/>
            </w:tcBorders>
            <w:noWrap/>
          </w:tcPr>
          <w:p w14:paraId="66A7A568" w14:textId="77777777" w:rsidR="006901EA" w:rsidRPr="0093510C" w:rsidRDefault="006901EA">
            <w:pPr>
              <w:pStyle w:val="ARtabletextright"/>
              <w:spacing w:before="30" w:after="20"/>
            </w:pPr>
            <w:r w:rsidRPr="0093510C">
              <w:t>–</w:t>
            </w:r>
          </w:p>
        </w:tc>
        <w:tc>
          <w:tcPr>
            <w:tcW w:w="1701" w:type="dxa"/>
            <w:tcBorders>
              <w:top w:val="single" w:sz="4" w:space="0" w:color="BFBFBF"/>
            </w:tcBorders>
            <w:noWrap/>
          </w:tcPr>
          <w:p w14:paraId="488172C1" w14:textId="77777777" w:rsidR="006901EA" w:rsidRPr="0093510C" w:rsidRDefault="006901EA">
            <w:pPr>
              <w:pStyle w:val="ARtabletextright"/>
              <w:spacing w:before="30" w:after="20"/>
            </w:pPr>
            <w:r w:rsidRPr="0093510C">
              <w:t>–</w:t>
            </w:r>
          </w:p>
        </w:tc>
        <w:tc>
          <w:tcPr>
            <w:tcW w:w="1701" w:type="dxa"/>
            <w:tcBorders>
              <w:top w:val="single" w:sz="4" w:space="0" w:color="BFBFBF"/>
            </w:tcBorders>
            <w:noWrap/>
          </w:tcPr>
          <w:p w14:paraId="291C2623" w14:textId="77777777" w:rsidR="006901EA" w:rsidRPr="0093510C" w:rsidRDefault="006901EA">
            <w:pPr>
              <w:pStyle w:val="ARtabletextright"/>
              <w:spacing w:before="30" w:after="20"/>
            </w:pPr>
          </w:p>
        </w:tc>
      </w:tr>
      <w:tr w:rsidR="006901EA" w:rsidRPr="006B4D48" w14:paraId="74AFA2E9" w14:textId="77777777">
        <w:trPr>
          <w:trHeight w:val="288"/>
        </w:trPr>
        <w:tc>
          <w:tcPr>
            <w:tcW w:w="4536" w:type="dxa"/>
            <w:noWrap/>
            <w:hideMark/>
          </w:tcPr>
          <w:p w14:paraId="096127C7" w14:textId="77777777" w:rsidR="006901EA" w:rsidRPr="0093510C" w:rsidRDefault="006901EA">
            <w:pPr>
              <w:pStyle w:val="ARtabletextbold"/>
              <w:spacing w:before="30" w:after="20"/>
            </w:pPr>
            <w:r w:rsidRPr="0093510C">
              <w:t>EL4 Total electricity offsets</w:t>
            </w:r>
          </w:p>
        </w:tc>
        <w:tc>
          <w:tcPr>
            <w:tcW w:w="1701" w:type="dxa"/>
            <w:noWrap/>
            <w:hideMark/>
          </w:tcPr>
          <w:p w14:paraId="6F3FC0CD" w14:textId="77777777" w:rsidR="006901EA" w:rsidRPr="0093510C" w:rsidRDefault="006901EA">
            <w:pPr>
              <w:pStyle w:val="ARtabletextrightbold"/>
              <w:spacing w:before="30" w:after="20"/>
            </w:pPr>
            <w:r w:rsidRPr="0093510C">
              <w:t>–</w:t>
            </w:r>
          </w:p>
        </w:tc>
        <w:tc>
          <w:tcPr>
            <w:tcW w:w="1701" w:type="dxa"/>
            <w:noWrap/>
            <w:hideMark/>
          </w:tcPr>
          <w:p w14:paraId="7BD46B8F" w14:textId="77777777" w:rsidR="006901EA" w:rsidRPr="0093510C" w:rsidRDefault="006901EA">
            <w:pPr>
              <w:pStyle w:val="ARtabletextrightbold"/>
              <w:spacing w:before="30" w:after="20"/>
            </w:pPr>
            <w:r w:rsidRPr="0093510C">
              <w:t>–</w:t>
            </w:r>
          </w:p>
        </w:tc>
        <w:tc>
          <w:tcPr>
            <w:tcW w:w="1701" w:type="dxa"/>
            <w:noWrap/>
            <w:hideMark/>
          </w:tcPr>
          <w:p w14:paraId="1F2F4D27" w14:textId="77777777" w:rsidR="006901EA" w:rsidRPr="0093510C" w:rsidRDefault="006901EA">
            <w:pPr>
              <w:pStyle w:val="ARtabletextrightbold"/>
              <w:spacing w:before="30" w:after="20"/>
            </w:pPr>
            <w:r w:rsidRPr="0093510C">
              <w:t>-</w:t>
            </w:r>
          </w:p>
        </w:tc>
      </w:tr>
    </w:tbl>
    <w:p w14:paraId="1109CB5E" w14:textId="77777777" w:rsidR="006901EA" w:rsidRPr="000570D3" w:rsidRDefault="006901EA" w:rsidP="00A95A18">
      <w:pPr>
        <w:pStyle w:val="Heading4"/>
      </w:pPr>
      <w:r w:rsidRPr="000570D3">
        <w:t xml:space="preserve">Housing </w:t>
      </w:r>
      <w:r w:rsidRPr="00A95A18">
        <w:t>Services</w:t>
      </w:r>
    </w:p>
    <w:p w14:paraId="3FCB9F67" w14:textId="77777777" w:rsidR="006901EA" w:rsidRPr="00A95A18" w:rsidRDefault="006901EA" w:rsidP="00A95A18">
      <w:pPr>
        <w:pStyle w:val="ARtablecaption"/>
      </w:pPr>
      <w:r w:rsidRPr="000570D3">
        <w:rPr>
          <w:lang w:eastAsia="en-AU"/>
        </w:rPr>
        <w:t>EL1 Total electricity consumption</w:t>
      </w:r>
    </w:p>
    <w:tbl>
      <w:tblPr>
        <w:tblStyle w:val="TableGrid"/>
        <w:tblW w:w="9639" w:type="dxa"/>
        <w:tblLook w:val="06A0" w:firstRow="1" w:lastRow="0" w:firstColumn="1" w:lastColumn="0" w:noHBand="1" w:noVBand="1"/>
      </w:tblPr>
      <w:tblGrid>
        <w:gridCol w:w="4536"/>
        <w:gridCol w:w="1701"/>
        <w:gridCol w:w="1701"/>
        <w:gridCol w:w="1701"/>
      </w:tblGrid>
      <w:tr w:rsidR="006901EA" w:rsidRPr="00AF57AF" w14:paraId="0925D9E0" w14:textId="77777777">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01AF0C7C" w14:textId="77777777" w:rsidR="006901EA" w:rsidRPr="000570D3" w:rsidRDefault="006901EA">
            <w:pPr>
              <w:pStyle w:val="ARtablecolhead"/>
              <w:spacing w:before="30" w:after="20"/>
            </w:pPr>
            <w:r w:rsidRPr="000570D3">
              <w:t>Indicator</w:t>
            </w:r>
          </w:p>
        </w:tc>
        <w:tc>
          <w:tcPr>
            <w:tcW w:w="1701" w:type="dxa"/>
            <w:tcBorders>
              <w:bottom w:val="single" w:sz="4" w:space="0" w:color="auto"/>
            </w:tcBorders>
            <w:noWrap/>
            <w:hideMark/>
          </w:tcPr>
          <w:p w14:paraId="337EB143" w14:textId="77777777" w:rsidR="006901EA" w:rsidRPr="000570D3" w:rsidRDefault="006901EA">
            <w:pPr>
              <w:pStyle w:val="ARtablecolheadright"/>
              <w:spacing w:before="30" w:after="20"/>
            </w:pPr>
            <w:r w:rsidRPr="000570D3">
              <w:t>202</w:t>
            </w:r>
            <w:r>
              <w:t>3</w:t>
            </w:r>
            <w:r w:rsidRPr="000570D3">
              <w:t>–2</w:t>
            </w:r>
            <w:r>
              <w:t>4</w:t>
            </w:r>
          </w:p>
          <w:p w14:paraId="1E63245F" w14:textId="77777777" w:rsidR="006901EA" w:rsidRPr="000570D3" w:rsidRDefault="006901EA">
            <w:pPr>
              <w:pStyle w:val="ARtablecolheadright"/>
              <w:spacing w:before="30" w:after="20"/>
            </w:pPr>
            <w:r w:rsidRPr="000570D3">
              <w:t>MWh</w:t>
            </w:r>
          </w:p>
        </w:tc>
        <w:tc>
          <w:tcPr>
            <w:tcW w:w="1701" w:type="dxa"/>
            <w:tcBorders>
              <w:bottom w:val="single" w:sz="4" w:space="0" w:color="auto"/>
            </w:tcBorders>
            <w:noWrap/>
            <w:hideMark/>
          </w:tcPr>
          <w:p w14:paraId="5C771080" w14:textId="77777777" w:rsidR="006901EA" w:rsidRPr="00E367CE" w:rsidRDefault="006901EA">
            <w:pPr>
              <w:pStyle w:val="ARtablecolheadright"/>
              <w:spacing w:before="30" w:after="20"/>
            </w:pPr>
            <w:r w:rsidRPr="00E367CE">
              <w:t>2022–23</w:t>
            </w:r>
          </w:p>
          <w:p w14:paraId="5EC0DCFC" w14:textId="77777777" w:rsidR="006901EA" w:rsidRPr="000570D3" w:rsidRDefault="006901EA">
            <w:pPr>
              <w:pStyle w:val="ARtablecolheadright"/>
              <w:spacing w:before="30" w:after="20"/>
            </w:pPr>
            <w:r w:rsidRPr="000570D3">
              <w:t>MWh</w:t>
            </w:r>
          </w:p>
        </w:tc>
        <w:tc>
          <w:tcPr>
            <w:tcW w:w="1701" w:type="dxa"/>
            <w:tcBorders>
              <w:bottom w:val="single" w:sz="4" w:space="0" w:color="auto"/>
            </w:tcBorders>
            <w:noWrap/>
            <w:hideMark/>
          </w:tcPr>
          <w:p w14:paraId="27EA8B43" w14:textId="77777777" w:rsidR="006901EA" w:rsidRPr="00E367CE" w:rsidRDefault="006901EA">
            <w:pPr>
              <w:pStyle w:val="ARtablecolheadright"/>
              <w:spacing w:before="30" w:after="20"/>
            </w:pPr>
            <w:r w:rsidRPr="00E367CE">
              <w:t>2021–22</w:t>
            </w:r>
          </w:p>
          <w:p w14:paraId="6BED4967" w14:textId="77777777" w:rsidR="006901EA" w:rsidRPr="000570D3" w:rsidRDefault="006901EA">
            <w:pPr>
              <w:pStyle w:val="ARtablecolheadright"/>
              <w:spacing w:before="30" w:after="20"/>
            </w:pPr>
            <w:r w:rsidRPr="000570D3">
              <w:t>MWh</w:t>
            </w:r>
          </w:p>
        </w:tc>
      </w:tr>
      <w:tr w:rsidR="006901EA" w:rsidRPr="00AF57AF" w14:paraId="6EDC9157" w14:textId="77777777">
        <w:tc>
          <w:tcPr>
            <w:tcW w:w="4536" w:type="dxa"/>
            <w:tcBorders>
              <w:top w:val="single" w:sz="4" w:space="0" w:color="auto"/>
              <w:bottom w:val="single" w:sz="4" w:space="0" w:color="BFBFBF"/>
            </w:tcBorders>
            <w:noWrap/>
            <w:hideMark/>
          </w:tcPr>
          <w:p w14:paraId="0C2417C2" w14:textId="77777777" w:rsidR="006901EA" w:rsidRPr="000570D3" w:rsidRDefault="006901EA">
            <w:pPr>
              <w:pStyle w:val="ARtabletext"/>
              <w:spacing w:before="30" w:after="20"/>
              <w:rPr>
                <w:color w:val="000000"/>
              </w:rPr>
            </w:pPr>
            <w:r w:rsidRPr="000570D3">
              <w:t>Purchased electricity – consolidated</w:t>
            </w:r>
          </w:p>
        </w:tc>
        <w:tc>
          <w:tcPr>
            <w:tcW w:w="1701" w:type="dxa"/>
            <w:tcBorders>
              <w:top w:val="single" w:sz="4" w:space="0" w:color="auto"/>
              <w:bottom w:val="single" w:sz="4" w:space="0" w:color="BFBFBF"/>
            </w:tcBorders>
            <w:noWrap/>
            <w:hideMark/>
          </w:tcPr>
          <w:p w14:paraId="5FB0157D" w14:textId="77777777" w:rsidR="006901EA" w:rsidRPr="000570D3" w:rsidRDefault="006901EA">
            <w:pPr>
              <w:pStyle w:val="ARtabletextright"/>
              <w:spacing w:before="30" w:after="20"/>
              <w:rPr>
                <w:color w:val="000000"/>
              </w:rPr>
            </w:pPr>
            <w:r w:rsidRPr="008C70E0">
              <w:t>22,676.24</w:t>
            </w:r>
          </w:p>
        </w:tc>
        <w:tc>
          <w:tcPr>
            <w:tcW w:w="1701" w:type="dxa"/>
            <w:tcBorders>
              <w:top w:val="single" w:sz="4" w:space="0" w:color="auto"/>
              <w:bottom w:val="single" w:sz="4" w:space="0" w:color="BFBFBF"/>
            </w:tcBorders>
            <w:noWrap/>
            <w:hideMark/>
          </w:tcPr>
          <w:p w14:paraId="0135361A" w14:textId="77777777" w:rsidR="006901EA" w:rsidRPr="000570D3" w:rsidRDefault="006901EA">
            <w:pPr>
              <w:pStyle w:val="ARtabletextright"/>
              <w:spacing w:before="30" w:after="20"/>
            </w:pPr>
            <w:r w:rsidRPr="008C70E0">
              <w:t>22,948.40</w:t>
            </w:r>
          </w:p>
        </w:tc>
        <w:tc>
          <w:tcPr>
            <w:tcW w:w="1701" w:type="dxa"/>
            <w:tcBorders>
              <w:top w:val="single" w:sz="4" w:space="0" w:color="auto"/>
              <w:bottom w:val="single" w:sz="4" w:space="0" w:color="BFBFBF"/>
            </w:tcBorders>
            <w:noWrap/>
            <w:hideMark/>
          </w:tcPr>
          <w:p w14:paraId="7169472E" w14:textId="77777777" w:rsidR="006901EA" w:rsidRPr="000570D3" w:rsidRDefault="006901EA">
            <w:pPr>
              <w:pStyle w:val="ARtabletextright"/>
              <w:spacing w:before="30" w:after="20"/>
            </w:pPr>
            <w:r w:rsidRPr="008C70E0">
              <w:t>23,473.00</w:t>
            </w:r>
          </w:p>
        </w:tc>
      </w:tr>
      <w:tr w:rsidR="006901EA" w:rsidRPr="00AF57AF" w14:paraId="2F9ABD35" w14:textId="77777777">
        <w:trPr>
          <w:trHeight w:val="288"/>
        </w:trPr>
        <w:tc>
          <w:tcPr>
            <w:tcW w:w="4536" w:type="dxa"/>
            <w:tcBorders>
              <w:top w:val="single" w:sz="4" w:space="0" w:color="BFBFBF"/>
            </w:tcBorders>
            <w:noWrap/>
            <w:hideMark/>
          </w:tcPr>
          <w:p w14:paraId="1EC0B610" w14:textId="77777777" w:rsidR="006901EA" w:rsidRPr="000570D3" w:rsidRDefault="006901EA">
            <w:pPr>
              <w:pStyle w:val="ARtabletext"/>
              <w:spacing w:before="30" w:after="20"/>
              <w:rPr>
                <w:color w:val="000000"/>
              </w:rPr>
            </w:pPr>
            <w:r w:rsidRPr="000570D3">
              <w:t>Self-generated</w:t>
            </w:r>
            <w:r w:rsidRPr="00D92CE4">
              <w:t xml:space="preserve"> </w:t>
            </w:r>
            <w:r w:rsidRPr="00D92CE4">
              <w:rPr>
                <w:rStyle w:val="FootnoteReference"/>
              </w:rPr>
              <w:footnoteReference w:id="20"/>
            </w:r>
          </w:p>
        </w:tc>
        <w:tc>
          <w:tcPr>
            <w:tcW w:w="1701" w:type="dxa"/>
            <w:tcBorders>
              <w:top w:val="single" w:sz="4" w:space="0" w:color="BFBFBF"/>
            </w:tcBorders>
            <w:noWrap/>
            <w:hideMark/>
          </w:tcPr>
          <w:p w14:paraId="6215363D" w14:textId="77777777" w:rsidR="006901EA" w:rsidRPr="000570D3" w:rsidRDefault="006901EA">
            <w:pPr>
              <w:pStyle w:val="ARtabletextright"/>
              <w:spacing w:before="30" w:after="20"/>
              <w:rPr>
                <w:color w:val="000000"/>
              </w:rPr>
            </w:pPr>
            <w:r w:rsidRPr="008C70E0">
              <w:t>220</w:t>
            </w:r>
            <w:r>
              <w:t>.0</w:t>
            </w:r>
          </w:p>
        </w:tc>
        <w:tc>
          <w:tcPr>
            <w:tcW w:w="1701" w:type="dxa"/>
            <w:tcBorders>
              <w:top w:val="single" w:sz="4" w:space="0" w:color="BFBFBF"/>
            </w:tcBorders>
            <w:noWrap/>
            <w:hideMark/>
          </w:tcPr>
          <w:p w14:paraId="62CEA55D" w14:textId="77777777" w:rsidR="006901EA" w:rsidRPr="000570D3" w:rsidRDefault="006901EA">
            <w:pPr>
              <w:pStyle w:val="ARtabletextright"/>
              <w:spacing w:before="30" w:after="20"/>
            </w:pPr>
            <w:r w:rsidRPr="008C70E0">
              <w:t>115</w:t>
            </w:r>
            <w:r>
              <w:t>.0</w:t>
            </w:r>
          </w:p>
        </w:tc>
        <w:tc>
          <w:tcPr>
            <w:tcW w:w="1701" w:type="dxa"/>
            <w:tcBorders>
              <w:top w:val="single" w:sz="4" w:space="0" w:color="BFBFBF"/>
            </w:tcBorders>
            <w:noWrap/>
            <w:hideMark/>
          </w:tcPr>
          <w:p w14:paraId="2CAACD82" w14:textId="77777777" w:rsidR="006901EA" w:rsidRPr="000570D3" w:rsidRDefault="006901EA">
            <w:pPr>
              <w:pStyle w:val="ARtabletextright"/>
              <w:spacing w:before="30" w:after="20"/>
            </w:pPr>
            <w:r w:rsidRPr="008C70E0">
              <w:t>–</w:t>
            </w:r>
          </w:p>
        </w:tc>
      </w:tr>
      <w:tr w:rsidR="006901EA" w:rsidRPr="00AF57AF" w14:paraId="5DAE68F1" w14:textId="77777777">
        <w:trPr>
          <w:trHeight w:val="288"/>
        </w:trPr>
        <w:tc>
          <w:tcPr>
            <w:tcW w:w="4536" w:type="dxa"/>
            <w:noWrap/>
            <w:hideMark/>
          </w:tcPr>
          <w:p w14:paraId="5E5970F2" w14:textId="77777777" w:rsidR="006901EA" w:rsidRPr="000570D3" w:rsidRDefault="006901EA">
            <w:pPr>
              <w:pStyle w:val="ARtabletextbold"/>
              <w:spacing w:before="30" w:after="20"/>
            </w:pPr>
            <w:r w:rsidRPr="000570D3">
              <w:t>EL1 Total electricity consumption</w:t>
            </w:r>
          </w:p>
        </w:tc>
        <w:tc>
          <w:tcPr>
            <w:tcW w:w="1701" w:type="dxa"/>
            <w:noWrap/>
            <w:hideMark/>
          </w:tcPr>
          <w:p w14:paraId="284ED3D3" w14:textId="77777777" w:rsidR="006901EA" w:rsidRPr="000570D3" w:rsidRDefault="006901EA">
            <w:pPr>
              <w:pStyle w:val="ARtabletextrightbold"/>
              <w:spacing w:before="30" w:after="20"/>
            </w:pPr>
            <w:r w:rsidRPr="008C70E0">
              <w:t>22,896.24</w:t>
            </w:r>
          </w:p>
        </w:tc>
        <w:tc>
          <w:tcPr>
            <w:tcW w:w="1701" w:type="dxa"/>
            <w:noWrap/>
            <w:hideMark/>
          </w:tcPr>
          <w:p w14:paraId="73210C4F" w14:textId="77777777" w:rsidR="006901EA" w:rsidRPr="000570D3" w:rsidRDefault="006901EA">
            <w:pPr>
              <w:pStyle w:val="ARtabletextrightbold"/>
              <w:spacing w:before="30" w:after="20"/>
            </w:pPr>
            <w:r w:rsidRPr="008C70E0">
              <w:t>23,063.40</w:t>
            </w:r>
          </w:p>
        </w:tc>
        <w:tc>
          <w:tcPr>
            <w:tcW w:w="1701" w:type="dxa"/>
            <w:noWrap/>
            <w:hideMark/>
          </w:tcPr>
          <w:p w14:paraId="55E2178D" w14:textId="77777777" w:rsidR="006901EA" w:rsidRPr="000570D3" w:rsidRDefault="006901EA">
            <w:pPr>
              <w:pStyle w:val="ARtabletextrightbold"/>
              <w:spacing w:before="30" w:after="20"/>
            </w:pPr>
            <w:r w:rsidRPr="008C70E0">
              <w:t>23,473.00</w:t>
            </w:r>
          </w:p>
        </w:tc>
      </w:tr>
    </w:tbl>
    <w:p w14:paraId="06FCD4E6" w14:textId="3065D8DC" w:rsidR="006901EA" w:rsidRPr="000570D3" w:rsidRDefault="006901EA" w:rsidP="00A95A18">
      <w:pPr>
        <w:pStyle w:val="ARtablecaption"/>
      </w:pPr>
      <w:r w:rsidRPr="000570D3">
        <w:t>EL2 On</w:t>
      </w:r>
      <w:r w:rsidR="00210C17">
        <w:t>-</w:t>
      </w:r>
      <w:r w:rsidRPr="000570D3">
        <w:t>site</w:t>
      </w:r>
      <w:r w:rsidR="00210C17">
        <w:t xml:space="preserve"> </w:t>
      </w:r>
      <w:r w:rsidRPr="000570D3">
        <w:t>electricity generated</w:t>
      </w:r>
    </w:p>
    <w:tbl>
      <w:tblPr>
        <w:tblStyle w:val="TableGrid"/>
        <w:tblW w:w="9639" w:type="dxa"/>
        <w:tblLook w:val="06A0" w:firstRow="1" w:lastRow="0" w:firstColumn="1" w:lastColumn="0" w:noHBand="1" w:noVBand="1"/>
      </w:tblPr>
      <w:tblGrid>
        <w:gridCol w:w="4536"/>
        <w:gridCol w:w="1701"/>
        <w:gridCol w:w="1701"/>
        <w:gridCol w:w="1701"/>
      </w:tblGrid>
      <w:tr w:rsidR="006901EA" w:rsidRPr="00AF57AF" w14:paraId="78AB8C2E"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2C802BE3" w14:textId="77777777" w:rsidR="006901EA" w:rsidRPr="000570D3" w:rsidRDefault="006901EA">
            <w:pPr>
              <w:pStyle w:val="ARtablecolhead"/>
              <w:spacing w:before="30" w:after="20"/>
            </w:pPr>
            <w:r w:rsidRPr="000570D3">
              <w:t>Indicator</w:t>
            </w:r>
          </w:p>
        </w:tc>
        <w:tc>
          <w:tcPr>
            <w:tcW w:w="1701" w:type="dxa"/>
            <w:tcBorders>
              <w:bottom w:val="single" w:sz="4" w:space="0" w:color="auto"/>
            </w:tcBorders>
            <w:noWrap/>
          </w:tcPr>
          <w:p w14:paraId="4C205D02" w14:textId="77777777" w:rsidR="006901EA" w:rsidRPr="009B3FCD" w:rsidRDefault="006901EA">
            <w:pPr>
              <w:pStyle w:val="ARtablecolheadright"/>
              <w:spacing w:before="30" w:after="20"/>
            </w:pPr>
            <w:r w:rsidRPr="009B3FCD">
              <w:t>2023–24</w:t>
            </w:r>
          </w:p>
          <w:p w14:paraId="109D02C0" w14:textId="77777777" w:rsidR="006901EA" w:rsidRPr="000570D3" w:rsidRDefault="006901EA">
            <w:pPr>
              <w:pStyle w:val="ARtablecolheadright"/>
              <w:spacing w:before="30" w:after="20"/>
            </w:pPr>
            <w:r w:rsidRPr="009B3FCD">
              <w:t>MWh</w:t>
            </w:r>
          </w:p>
        </w:tc>
        <w:tc>
          <w:tcPr>
            <w:tcW w:w="1701" w:type="dxa"/>
            <w:tcBorders>
              <w:bottom w:val="single" w:sz="4" w:space="0" w:color="auto"/>
            </w:tcBorders>
            <w:noWrap/>
          </w:tcPr>
          <w:p w14:paraId="727F3E3D" w14:textId="77777777" w:rsidR="006901EA" w:rsidRPr="009B3FCD" w:rsidRDefault="006901EA">
            <w:pPr>
              <w:pStyle w:val="ARtablecolheadright"/>
              <w:spacing w:before="30" w:after="20"/>
            </w:pPr>
            <w:r w:rsidRPr="009B3FCD">
              <w:t>2022–23</w:t>
            </w:r>
          </w:p>
          <w:p w14:paraId="168396BC" w14:textId="77777777" w:rsidR="006901EA" w:rsidRPr="000570D3" w:rsidRDefault="006901EA">
            <w:pPr>
              <w:pStyle w:val="ARtablecolheadright"/>
              <w:spacing w:before="30" w:after="20"/>
            </w:pPr>
            <w:r w:rsidRPr="009B3FCD">
              <w:t>MWh</w:t>
            </w:r>
          </w:p>
        </w:tc>
        <w:tc>
          <w:tcPr>
            <w:tcW w:w="1701" w:type="dxa"/>
            <w:tcBorders>
              <w:bottom w:val="single" w:sz="4" w:space="0" w:color="auto"/>
            </w:tcBorders>
            <w:noWrap/>
          </w:tcPr>
          <w:p w14:paraId="513A656A" w14:textId="77777777" w:rsidR="006901EA" w:rsidRPr="009B3FCD" w:rsidRDefault="006901EA">
            <w:pPr>
              <w:pStyle w:val="ARtablecolheadright"/>
              <w:spacing w:before="30" w:after="20"/>
            </w:pPr>
            <w:r w:rsidRPr="009B3FCD">
              <w:t>2021–22</w:t>
            </w:r>
          </w:p>
          <w:p w14:paraId="48517969" w14:textId="77777777" w:rsidR="006901EA" w:rsidRPr="000570D3" w:rsidRDefault="006901EA">
            <w:pPr>
              <w:pStyle w:val="ARtablecolheadright"/>
              <w:spacing w:before="30" w:after="20"/>
            </w:pPr>
            <w:r w:rsidRPr="009B3FCD">
              <w:t>MWh</w:t>
            </w:r>
          </w:p>
        </w:tc>
      </w:tr>
      <w:tr w:rsidR="006901EA" w:rsidRPr="00AF57AF" w14:paraId="3C8B5722" w14:textId="77777777">
        <w:trPr>
          <w:trHeight w:val="288"/>
        </w:trPr>
        <w:tc>
          <w:tcPr>
            <w:tcW w:w="9639" w:type="dxa"/>
            <w:gridSpan w:val="4"/>
            <w:tcBorders>
              <w:top w:val="single" w:sz="4" w:space="0" w:color="auto"/>
              <w:bottom w:val="single" w:sz="4" w:space="0" w:color="BFBFBF"/>
            </w:tcBorders>
            <w:noWrap/>
            <w:hideMark/>
          </w:tcPr>
          <w:p w14:paraId="682DB526" w14:textId="77777777" w:rsidR="006901EA" w:rsidRPr="00AF57AF" w:rsidRDefault="006901EA">
            <w:pPr>
              <w:pStyle w:val="ARtabletextbold"/>
              <w:spacing w:before="30" w:after="20"/>
              <w:rPr>
                <w:highlight w:val="cyan"/>
              </w:rPr>
            </w:pPr>
            <w:r w:rsidRPr="000570D3">
              <w:t>Solar PV</w:t>
            </w:r>
          </w:p>
        </w:tc>
      </w:tr>
      <w:tr w:rsidR="006901EA" w:rsidRPr="00AF57AF" w14:paraId="4BADACA9" w14:textId="77777777">
        <w:trPr>
          <w:trHeight w:val="288"/>
        </w:trPr>
        <w:tc>
          <w:tcPr>
            <w:tcW w:w="4536" w:type="dxa"/>
            <w:tcBorders>
              <w:top w:val="single" w:sz="4" w:space="0" w:color="BFBFBF"/>
              <w:bottom w:val="single" w:sz="4" w:space="0" w:color="BFBFBF"/>
            </w:tcBorders>
            <w:noWrap/>
            <w:hideMark/>
          </w:tcPr>
          <w:p w14:paraId="489A9582" w14:textId="77777777" w:rsidR="006901EA" w:rsidRPr="000570D3" w:rsidRDefault="006901EA">
            <w:pPr>
              <w:pStyle w:val="ARtabletext"/>
              <w:spacing w:before="30" w:after="20"/>
              <w:rPr>
                <w:rStyle w:val="Superscript"/>
              </w:rPr>
            </w:pPr>
            <w:r w:rsidRPr="000570D3">
              <w:t xml:space="preserve">Consumption behind-the-meter </w:t>
            </w:r>
            <w:r w:rsidRPr="000570D3">
              <w:rPr>
                <w:rStyle w:val="FootnoteReference"/>
              </w:rPr>
              <w:footnoteReference w:id="21"/>
            </w:r>
          </w:p>
        </w:tc>
        <w:tc>
          <w:tcPr>
            <w:tcW w:w="1701" w:type="dxa"/>
            <w:tcBorders>
              <w:top w:val="single" w:sz="4" w:space="0" w:color="BFBFBF"/>
              <w:bottom w:val="single" w:sz="4" w:space="0" w:color="BFBFBF"/>
            </w:tcBorders>
            <w:noWrap/>
            <w:hideMark/>
          </w:tcPr>
          <w:p w14:paraId="6D66741D" w14:textId="77777777" w:rsidR="006901EA" w:rsidRPr="000570D3" w:rsidRDefault="006901EA">
            <w:pPr>
              <w:pStyle w:val="ARtabletextright"/>
              <w:spacing w:before="30" w:after="20"/>
              <w:rPr>
                <w:color w:val="000000"/>
              </w:rPr>
            </w:pPr>
            <w:r w:rsidRPr="000570D3">
              <w:rPr>
                <w:szCs w:val="17"/>
              </w:rPr>
              <w:t>220.0</w:t>
            </w:r>
          </w:p>
        </w:tc>
        <w:tc>
          <w:tcPr>
            <w:tcW w:w="1701" w:type="dxa"/>
            <w:tcBorders>
              <w:top w:val="single" w:sz="4" w:space="0" w:color="BFBFBF"/>
              <w:bottom w:val="single" w:sz="4" w:space="0" w:color="BFBFBF"/>
            </w:tcBorders>
            <w:noWrap/>
            <w:hideMark/>
          </w:tcPr>
          <w:p w14:paraId="0E817F37" w14:textId="77777777" w:rsidR="006901EA" w:rsidRPr="000570D3" w:rsidRDefault="006901EA">
            <w:pPr>
              <w:pStyle w:val="ARtabletextright"/>
              <w:spacing w:before="30" w:after="20"/>
            </w:pPr>
            <w:r w:rsidRPr="000570D3">
              <w:rPr>
                <w:szCs w:val="17"/>
              </w:rPr>
              <w:t>115.0</w:t>
            </w:r>
          </w:p>
        </w:tc>
        <w:tc>
          <w:tcPr>
            <w:tcW w:w="1701" w:type="dxa"/>
            <w:tcBorders>
              <w:top w:val="single" w:sz="4" w:space="0" w:color="BFBFBF"/>
              <w:bottom w:val="single" w:sz="4" w:space="0" w:color="BFBFBF"/>
            </w:tcBorders>
            <w:noWrap/>
            <w:hideMark/>
          </w:tcPr>
          <w:p w14:paraId="18FA0C11" w14:textId="77777777" w:rsidR="006901EA" w:rsidRPr="000570D3" w:rsidRDefault="006901EA">
            <w:pPr>
              <w:pStyle w:val="ARtabletextright"/>
              <w:spacing w:before="30" w:after="20"/>
            </w:pPr>
            <w:r w:rsidRPr="000570D3">
              <w:rPr>
                <w:szCs w:val="17"/>
              </w:rPr>
              <w:t>–</w:t>
            </w:r>
          </w:p>
        </w:tc>
      </w:tr>
      <w:tr w:rsidR="006901EA" w:rsidRPr="00AF57AF" w14:paraId="50930685" w14:textId="77777777">
        <w:trPr>
          <w:trHeight w:val="288"/>
        </w:trPr>
        <w:tc>
          <w:tcPr>
            <w:tcW w:w="4536" w:type="dxa"/>
            <w:tcBorders>
              <w:top w:val="single" w:sz="4" w:space="0" w:color="BFBFBF"/>
            </w:tcBorders>
            <w:noWrap/>
            <w:hideMark/>
          </w:tcPr>
          <w:p w14:paraId="60C5A9FB" w14:textId="77777777" w:rsidR="006901EA" w:rsidRPr="000570D3" w:rsidRDefault="006901EA">
            <w:pPr>
              <w:pStyle w:val="ARtabletext"/>
              <w:spacing w:before="30" w:after="20"/>
            </w:pPr>
            <w:r w:rsidRPr="000570D3">
              <w:t>Exports</w:t>
            </w:r>
          </w:p>
        </w:tc>
        <w:tc>
          <w:tcPr>
            <w:tcW w:w="1701" w:type="dxa"/>
            <w:tcBorders>
              <w:top w:val="single" w:sz="4" w:space="0" w:color="BFBFBF"/>
            </w:tcBorders>
            <w:noWrap/>
            <w:hideMark/>
          </w:tcPr>
          <w:p w14:paraId="1A16F32E" w14:textId="77777777" w:rsidR="006901EA" w:rsidRPr="000570D3" w:rsidRDefault="006901EA">
            <w:pPr>
              <w:pStyle w:val="ARtabletextright"/>
              <w:spacing w:before="30" w:after="20"/>
              <w:rPr>
                <w:color w:val="000000"/>
              </w:rPr>
            </w:pPr>
            <w:r w:rsidRPr="000570D3">
              <w:t>0.1</w:t>
            </w:r>
          </w:p>
        </w:tc>
        <w:tc>
          <w:tcPr>
            <w:tcW w:w="1701" w:type="dxa"/>
            <w:tcBorders>
              <w:top w:val="single" w:sz="4" w:space="0" w:color="BFBFBF"/>
            </w:tcBorders>
            <w:noWrap/>
            <w:hideMark/>
          </w:tcPr>
          <w:p w14:paraId="7D7BDBE3" w14:textId="77777777" w:rsidR="006901EA" w:rsidRPr="000570D3" w:rsidRDefault="006901EA">
            <w:pPr>
              <w:pStyle w:val="ARtabletextright"/>
              <w:spacing w:before="30" w:after="20"/>
            </w:pPr>
            <w:r w:rsidRPr="000570D3">
              <w:t>0.4</w:t>
            </w:r>
          </w:p>
        </w:tc>
        <w:tc>
          <w:tcPr>
            <w:tcW w:w="1701" w:type="dxa"/>
            <w:tcBorders>
              <w:top w:val="single" w:sz="4" w:space="0" w:color="BFBFBF"/>
            </w:tcBorders>
            <w:noWrap/>
            <w:hideMark/>
          </w:tcPr>
          <w:p w14:paraId="13AF8BCD" w14:textId="77777777" w:rsidR="006901EA" w:rsidRPr="000570D3" w:rsidRDefault="006901EA">
            <w:pPr>
              <w:pStyle w:val="ARtabletextright"/>
              <w:spacing w:before="30" w:after="20"/>
            </w:pPr>
            <w:r w:rsidRPr="000570D3">
              <w:t>–</w:t>
            </w:r>
          </w:p>
        </w:tc>
      </w:tr>
      <w:tr w:rsidR="006901EA" w:rsidRPr="00AF57AF" w14:paraId="5114199D" w14:textId="77777777">
        <w:trPr>
          <w:trHeight w:val="288"/>
        </w:trPr>
        <w:tc>
          <w:tcPr>
            <w:tcW w:w="4536" w:type="dxa"/>
            <w:tcBorders>
              <w:bottom w:val="single" w:sz="4" w:space="0" w:color="auto"/>
            </w:tcBorders>
            <w:noWrap/>
            <w:hideMark/>
          </w:tcPr>
          <w:p w14:paraId="336E0E5C" w14:textId="77777777" w:rsidR="006901EA" w:rsidRPr="000570D3" w:rsidRDefault="006901EA">
            <w:pPr>
              <w:pStyle w:val="ARtabletextbold"/>
              <w:spacing w:before="30" w:after="20"/>
            </w:pPr>
            <w:r w:rsidRPr="000570D3">
              <w:t>Total solar PV</w:t>
            </w:r>
          </w:p>
        </w:tc>
        <w:tc>
          <w:tcPr>
            <w:tcW w:w="1701" w:type="dxa"/>
            <w:tcBorders>
              <w:bottom w:val="single" w:sz="4" w:space="0" w:color="auto"/>
            </w:tcBorders>
            <w:noWrap/>
            <w:hideMark/>
          </w:tcPr>
          <w:p w14:paraId="2029A46F" w14:textId="77777777" w:rsidR="006901EA" w:rsidRPr="000570D3" w:rsidRDefault="006901EA">
            <w:pPr>
              <w:pStyle w:val="ARtabletextrightbold"/>
              <w:spacing w:before="30" w:after="20"/>
            </w:pPr>
            <w:r w:rsidRPr="000570D3">
              <w:t>220.1</w:t>
            </w:r>
          </w:p>
        </w:tc>
        <w:tc>
          <w:tcPr>
            <w:tcW w:w="1701" w:type="dxa"/>
            <w:tcBorders>
              <w:bottom w:val="single" w:sz="4" w:space="0" w:color="auto"/>
            </w:tcBorders>
            <w:noWrap/>
            <w:hideMark/>
          </w:tcPr>
          <w:p w14:paraId="7895F4F6" w14:textId="77777777" w:rsidR="006901EA" w:rsidRPr="000570D3" w:rsidRDefault="006901EA">
            <w:pPr>
              <w:pStyle w:val="ARtabletextrightbold"/>
              <w:spacing w:before="30" w:after="20"/>
            </w:pPr>
            <w:r w:rsidRPr="000570D3">
              <w:t>115.4</w:t>
            </w:r>
          </w:p>
        </w:tc>
        <w:tc>
          <w:tcPr>
            <w:tcW w:w="1701" w:type="dxa"/>
            <w:tcBorders>
              <w:bottom w:val="single" w:sz="4" w:space="0" w:color="auto"/>
            </w:tcBorders>
            <w:noWrap/>
            <w:hideMark/>
          </w:tcPr>
          <w:p w14:paraId="2BE37BE0" w14:textId="77777777" w:rsidR="006901EA" w:rsidRPr="000570D3" w:rsidRDefault="006901EA">
            <w:pPr>
              <w:pStyle w:val="ARtabletextrightbold"/>
              <w:spacing w:before="30" w:after="20"/>
            </w:pPr>
            <w:r w:rsidRPr="000570D3">
              <w:t>–</w:t>
            </w:r>
          </w:p>
        </w:tc>
      </w:tr>
      <w:tr w:rsidR="006901EA" w:rsidRPr="00AF57AF" w14:paraId="356886AC" w14:textId="77777777">
        <w:trPr>
          <w:trHeight w:val="288"/>
        </w:trPr>
        <w:tc>
          <w:tcPr>
            <w:tcW w:w="4536" w:type="dxa"/>
            <w:noWrap/>
            <w:hideMark/>
          </w:tcPr>
          <w:p w14:paraId="0B2782B1" w14:textId="77777777" w:rsidR="006901EA" w:rsidRPr="000570D3" w:rsidRDefault="006901EA">
            <w:pPr>
              <w:pStyle w:val="ARtabletext"/>
              <w:spacing w:before="30" w:after="20"/>
            </w:pPr>
            <w:r w:rsidRPr="000570D3">
              <w:t>Other non-renewable (diesel backup generator)</w:t>
            </w:r>
          </w:p>
        </w:tc>
        <w:tc>
          <w:tcPr>
            <w:tcW w:w="1701" w:type="dxa"/>
            <w:noWrap/>
          </w:tcPr>
          <w:p w14:paraId="05CD6DF0" w14:textId="77777777" w:rsidR="006901EA" w:rsidRPr="000570D3" w:rsidRDefault="006901EA">
            <w:pPr>
              <w:pStyle w:val="ARtabletextright"/>
              <w:spacing w:before="30" w:after="20"/>
            </w:pPr>
            <w:r w:rsidRPr="000570D3">
              <w:t>–</w:t>
            </w:r>
          </w:p>
        </w:tc>
        <w:tc>
          <w:tcPr>
            <w:tcW w:w="1701" w:type="dxa"/>
            <w:noWrap/>
          </w:tcPr>
          <w:p w14:paraId="34FF350E" w14:textId="77777777" w:rsidR="006901EA" w:rsidRPr="000570D3" w:rsidRDefault="006901EA">
            <w:pPr>
              <w:pStyle w:val="ARtabletextright"/>
              <w:spacing w:before="30" w:after="20"/>
            </w:pPr>
            <w:r w:rsidRPr="000570D3">
              <w:t>–</w:t>
            </w:r>
          </w:p>
        </w:tc>
        <w:tc>
          <w:tcPr>
            <w:tcW w:w="1701" w:type="dxa"/>
            <w:noWrap/>
          </w:tcPr>
          <w:p w14:paraId="3DA31BA6" w14:textId="77777777" w:rsidR="006901EA" w:rsidRPr="000570D3" w:rsidRDefault="006901EA">
            <w:pPr>
              <w:pStyle w:val="ARtabletextright"/>
              <w:spacing w:before="30" w:after="20"/>
            </w:pPr>
            <w:r w:rsidRPr="000570D3">
              <w:t>–</w:t>
            </w:r>
          </w:p>
        </w:tc>
      </w:tr>
      <w:tr w:rsidR="006901EA" w:rsidRPr="00AF57AF" w14:paraId="5AD17858" w14:textId="77777777">
        <w:trPr>
          <w:trHeight w:val="288"/>
        </w:trPr>
        <w:tc>
          <w:tcPr>
            <w:tcW w:w="4536" w:type="dxa"/>
            <w:noWrap/>
            <w:hideMark/>
          </w:tcPr>
          <w:p w14:paraId="06034663" w14:textId="77777777" w:rsidR="006901EA" w:rsidRPr="000570D3" w:rsidRDefault="006901EA">
            <w:pPr>
              <w:pStyle w:val="ARtabletextbold"/>
              <w:spacing w:before="30" w:after="20"/>
            </w:pPr>
            <w:r w:rsidRPr="000570D3">
              <w:t>EL2 Total on-site electricity generated</w:t>
            </w:r>
          </w:p>
        </w:tc>
        <w:tc>
          <w:tcPr>
            <w:tcW w:w="1701" w:type="dxa"/>
            <w:noWrap/>
            <w:hideMark/>
          </w:tcPr>
          <w:p w14:paraId="46AFE588" w14:textId="77777777" w:rsidR="006901EA" w:rsidRPr="000570D3" w:rsidRDefault="006901EA">
            <w:pPr>
              <w:pStyle w:val="ARtabletextrightbold"/>
              <w:spacing w:before="30" w:after="20"/>
            </w:pPr>
            <w:r w:rsidRPr="000570D3">
              <w:t>220.1</w:t>
            </w:r>
          </w:p>
        </w:tc>
        <w:tc>
          <w:tcPr>
            <w:tcW w:w="1701" w:type="dxa"/>
            <w:noWrap/>
            <w:hideMark/>
          </w:tcPr>
          <w:p w14:paraId="65057AA1" w14:textId="77777777" w:rsidR="006901EA" w:rsidRPr="000570D3" w:rsidRDefault="006901EA">
            <w:pPr>
              <w:pStyle w:val="ARtabletextrightbold"/>
              <w:spacing w:before="30" w:after="20"/>
            </w:pPr>
            <w:r w:rsidRPr="000570D3">
              <w:t>115.4</w:t>
            </w:r>
          </w:p>
        </w:tc>
        <w:tc>
          <w:tcPr>
            <w:tcW w:w="1701" w:type="dxa"/>
            <w:noWrap/>
            <w:hideMark/>
          </w:tcPr>
          <w:p w14:paraId="1E3E65BB" w14:textId="77777777" w:rsidR="006901EA" w:rsidRPr="000570D3" w:rsidRDefault="006901EA">
            <w:pPr>
              <w:pStyle w:val="ARtabletextrightbold"/>
              <w:spacing w:before="30" w:after="20"/>
            </w:pPr>
            <w:r w:rsidRPr="000570D3">
              <w:t>–</w:t>
            </w:r>
          </w:p>
        </w:tc>
      </w:tr>
    </w:tbl>
    <w:p w14:paraId="3102B7C3" w14:textId="77777777" w:rsidR="006901EA" w:rsidRPr="000570D3" w:rsidRDefault="006901EA" w:rsidP="00A95A18">
      <w:pPr>
        <w:pStyle w:val="ARtablecaption"/>
      </w:pPr>
      <w:r w:rsidRPr="000570D3">
        <w:t>EL3 On-site installed generation capacity</w:t>
      </w:r>
    </w:p>
    <w:tbl>
      <w:tblPr>
        <w:tblStyle w:val="TableGrid"/>
        <w:tblW w:w="9634" w:type="dxa"/>
        <w:tblLook w:val="06A0" w:firstRow="1" w:lastRow="0" w:firstColumn="1" w:lastColumn="0" w:noHBand="1" w:noVBand="1"/>
      </w:tblPr>
      <w:tblGrid>
        <w:gridCol w:w="4248"/>
        <w:gridCol w:w="1984"/>
        <w:gridCol w:w="1701"/>
        <w:gridCol w:w="1701"/>
      </w:tblGrid>
      <w:tr w:rsidR="006901EA" w:rsidRPr="009B3FCD" w14:paraId="2D833273"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248" w:type="dxa"/>
            <w:tcBorders>
              <w:bottom w:val="single" w:sz="4" w:space="0" w:color="auto"/>
            </w:tcBorders>
            <w:noWrap/>
          </w:tcPr>
          <w:p w14:paraId="50508DFA" w14:textId="77777777" w:rsidR="006901EA" w:rsidRPr="000570D3" w:rsidRDefault="006901EA">
            <w:pPr>
              <w:pStyle w:val="ARtablecolhead"/>
              <w:spacing w:before="30" w:after="20"/>
              <w:rPr>
                <w:color w:val="000000"/>
              </w:rPr>
            </w:pPr>
            <w:r w:rsidRPr="000570D3">
              <w:t>Indicator</w:t>
            </w:r>
          </w:p>
        </w:tc>
        <w:tc>
          <w:tcPr>
            <w:tcW w:w="1984" w:type="dxa"/>
            <w:tcBorders>
              <w:bottom w:val="single" w:sz="4" w:space="0" w:color="auto"/>
            </w:tcBorders>
            <w:noWrap/>
          </w:tcPr>
          <w:p w14:paraId="3D639D5E" w14:textId="77777777" w:rsidR="006901EA" w:rsidRPr="009B3FCD" w:rsidRDefault="006901EA">
            <w:pPr>
              <w:pStyle w:val="ARtablecolheadright"/>
              <w:spacing w:before="30" w:after="20"/>
            </w:pPr>
            <w:r w:rsidRPr="009B3FCD">
              <w:t>2023–24</w:t>
            </w:r>
          </w:p>
          <w:p w14:paraId="3198E80E" w14:textId="77777777" w:rsidR="006901EA" w:rsidRPr="000570D3" w:rsidRDefault="006901EA">
            <w:pPr>
              <w:pStyle w:val="ARtablecolheadright"/>
              <w:spacing w:before="30" w:after="20"/>
            </w:pPr>
            <w:r w:rsidRPr="009B3FCD">
              <w:t>MW</w:t>
            </w:r>
          </w:p>
        </w:tc>
        <w:tc>
          <w:tcPr>
            <w:tcW w:w="1701" w:type="dxa"/>
            <w:tcBorders>
              <w:bottom w:val="single" w:sz="4" w:space="0" w:color="auto"/>
            </w:tcBorders>
            <w:noWrap/>
          </w:tcPr>
          <w:p w14:paraId="520B30CF" w14:textId="77777777" w:rsidR="006901EA" w:rsidRPr="009B3FCD" w:rsidRDefault="006901EA">
            <w:pPr>
              <w:pStyle w:val="ARtablecolheadright"/>
              <w:spacing w:before="30" w:after="20"/>
            </w:pPr>
            <w:r w:rsidRPr="009B3FCD">
              <w:t>2022–23</w:t>
            </w:r>
          </w:p>
          <w:p w14:paraId="125C593B" w14:textId="77777777" w:rsidR="006901EA" w:rsidRPr="000570D3" w:rsidRDefault="006901EA">
            <w:pPr>
              <w:pStyle w:val="ARtablecolheadright"/>
              <w:spacing w:before="30" w:after="20"/>
            </w:pPr>
            <w:r w:rsidRPr="009B3FCD">
              <w:t>MW</w:t>
            </w:r>
          </w:p>
        </w:tc>
        <w:tc>
          <w:tcPr>
            <w:tcW w:w="1701" w:type="dxa"/>
            <w:tcBorders>
              <w:bottom w:val="single" w:sz="4" w:space="0" w:color="auto"/>
            </w:tcBorders>
            <w:noWrap/>
          </w:tcPr>
          <w:p w14:paraId="7BD7F2B7" w14:textId="77777777" w:rsidR="006901EA" w:rsidRPr="009B3FCD" w:rsidRDefault="006901EA">
            <w:pPr>
              <w:pStyle w:val="ARtablecolheadright"/>
              <w:spacing w:before="30" w:after="20"/>
            </w:pPr>
            <w:r w:rsidRPr="009B3FCD">
              <w:t>2021–22</w:t>
            </w:r>
          </w:p>
          <w:p w14:paraId="26873EDC" w14:textId="77777777" w:rsidR="006901EA" w:rsidRPr="000570D3" w:rsidRDefault="006901EA">
            <w:pPr>
              <w:pStyle w:val="ARtablecolheadright"/>
              <w:spacing w:before="30" w:after="20"/>
            </w:pPr>
            <w:r w:rsidRPr="009B3FCD">
              <w:t>MW</w:t>
            </w:r>
          </w:p>
        </w:tc>
      </w:tr>
      <w:tr w:rsidR="006901EA" w:rsidRPr="009B3FCD" w14:paraId="47034120" w14:textId="77777777">
        <w:trPr>
          <w:trHeight w:val="288"/>
        </w:trPr>
        <w:tc>
          <w:tcPr>
            <w:tcW w:w="4248" w:type="dxa"/>
            <w:tcBorders>
              <w:top w:val="single" w:sz="4" w:space="0" w:color="auto"/>
              <w:bottom w:val="single" w:sz="4" w:space="0" w:color="BFBFBF"/>
            </w:tcBorders>
            <w:noWrap/>
            <w:hideMark/>
          </w:tcPr>
          <w:p w14:paraId="1D3325EB" w14:textId="77777777" w:rsidR="006901EA" w:rsidRPr="000570D3" w:rsidRDefault="006901EA">
            <w:pPr>
              <w:pStyle w:val="ARtabletext"/>
              <w:spacing w:before="30" w:after="20"/>
              <w:rPr>
                <w:color w:val="000000"/>
              </w:rPr>
            </w:pPr>
            <w:r w:rsidRPr="000570D3">
              <w:t>Solar PV</w:t>
            </w:r>
          </w:p>
        </w:tc>
        <w:tc>
          <w:tcPr>
            <w:tcW w:w="1984" w:type="dxa"/>
            <w:tcBorders>
              <w:top w:val="single" w:sz="4" w:space="0" w:color="auto"/>
              <w:bottom w:val="single" w:sz="4" w:space="0" w:color="BFBFBF"/>
            </w:tcBorders>
            <w:noWrap/>
            <w:hideMark/>
          </w:tcPr>
          <w:p w14:paraId="4E426E6E" w14:textId="77777777" w:rsidR="006901EA" w:rsidRPr="000570D3" w:rsidRDefault="006901EA">
            <w:pPr>
              <w:pStyle w:val="ARtabletextright"/>
              <w:spacing w:before="30" w:after="20"/>
            </w:pPr>
            <w:r w:rsidRPr="000570D3">
              <w:rPr>
                <w:szCs w:val="17"/>
              </w:rPr>
              <w:t>0.4</w:t>
            </w:r>
          </w:p>
        </w:tc>
        <w:tc>
          <w:tcPr>
            <w:tcW w:w="1701" w:type="dxa"/>
            <w:tcBorders>
              <w:top w:val="single" w:sz="4" w:space="0" w:color="auto"/>
              <w:bottom w:val="single" w:sz="4" w:space="0" w:color="BFBFBF"/>
            </w:tcBorders>
            <w:noWrap/>
            <w:hideMark/>
          </w:tcPr>
          <w:p w14:paraId="6593456E" w14:textId="77777777" w:rsidR="006901EA" w:rsidRPr="000570D3" w:rsidRDefault="006901EA">
            <w:pPr>
              <w:pStyle w:val="ARtabletextright"/>
              <w:spacing w:before="30" w:after="20"/>
            </w:pPr>
            <w:r w:rsidRPr="000570D3">
              <w:rPr>
                <w:szCs w:val="17"/>
              </w:rPr>
              <w:t>0.4</w:t>
            </w:r>
          </w:p>
        </w:tc>
        <w:tc>
          <w:tcPr>
            <w:tcW w:w="1701" w:type="dxa"/>
            <w:tcBorders>
              <w:top w:val="single" w:sz="4" w:space="0" w:color="auto"/>
              <w:bottom w:val="single" w:sz="4" w:space="0" w:color="BFBFBF"/>
            </w:tcBorders>
            <w:noWrap/>
            <w:hideMark/>
          </w:tcPr>
          <w:p w14:paraId="5DDB7423" w14:textId="77777777" w:rsidR="006901EA" w:rsidRPr="000570D3" w:rsidRDefault="006901EA">
            <w:pPr>
              <w:pStyle w:val="ARtabletextright"/>
              <w:spacing w:before="30" w:after="20"/>
            </w:pPr>
            <w:r w:rsidRPr="000570D3">
              <w:rPr>
                <w:szCs w:val="17"/>
              </w:rPr>
              <w:t>–</w:t>
            </w:r>
          </w:p>
        </w:tc>
      </w:tr>
      <w:tr w:rsidR="006901EA" w:rsidRPr="009B3FCD" w14:paraId="72B53DC1" w14:textId="77777777">
        <w:trPr>
          <w:trHeight w:val="288"/>
        </w:trPr>
        <w:tc>
          <w:tcPr>
            <w:tcW w:w="4248" w:type="dxa"/>
            <w:tcBorders>
              <w:top w:val="single" w:sz="4" w:space="0" w:color="BFBFBF"/>
              <w:bottom w:val="single" w:sz="4" w:space="0" w:color="BFBFBF"/>
            </w:tcBorders>
            <w:noWrap/>
            <w:hideMark/>
          </w:tcPr>
          <w:p w14:paraId="62E63D5E" w14:textId="77777777" w:rsidR="006901EA" w:rsidRPr="000570D3" w:rsidRDefault="006901EA">
            <w:pPr>
              <w:pStyle w:val="ARtabletext"/>
              <w:spacing w:before="30" w:after="20"/>
              <w:rPr>
                <w:color w:val="000000"/>
              </w:rPr>
            </w:pPr>
            <w:r w:rsidRPr="000570D3">
              <w:t>Diesel backup generator</w:t>
            </w:r>
          </w:p>
        </w:tc>
        <w:tc>
          <w:tcPr>
            <w:tcW w:w="1984" w:type="dxa"/>
            <w:tcBorders>
              <w:top w:val="single" w:sz="4" w:space="0" w:color="BFBFBF"/>
              <w:bottom w:val="single" w:sz="4" w:space="0" w:color="BFBFBF"/>
            </w:tcBorders>
            <w:noWrap/>
            <w:hideMark/>
          </w:tcPr>
          <w:p w14:paraId="35CD29B3" w14:textId="77777777" w:rsidR="006901EA" w:rsidRPr="000570D3" w:rsidRDefault="006901EA">
            <w:pPr>
              <w:pStyle w:val="ARtabletextright"/>
              <w:spacing w:before="30" w:after="20"/>
            </w:pPr>
            <w:r w:rsidRPr="000570D3">
              <w:rPr>
                <w:szCs w:val="17"/>
              </w:rPr>
              <w:t>–</w:t>
            </w:r>
          </w:p>
        </w:tc>
        <w:tc>
          <w:tcPr>
            <w:tcW w:w="1701" w:type="dxa"/>
            <w:tcBorders>
              <w:top w:val="single" w:sz="4" w:space="0" w:color="BFBFBF"/>
              <w:bottom w:val="single" w:sz="4" w:space="0" w:color="BFBFBF"/>
            </w:tcBorders>
            <w:noWrap/>
            <w:hideMark/>
          </w:tcPr>
          <w:p w14:paraId="1AC576BF" w14:textId="77777777" w:rsidR="006901EA" w:rsidRPr="000570D3" w:rsidRDefault="006901EA">
            <w:pPr>
              <w:pStyle w:val="ARtabletextright"/>
              <w:spacing w:before="30" w:after="20"/>
            </w:pPr>
            <w:r w:rsidRPr="000570D3">
              <w:rPr>
                <w:szCs w:val="17"/>
              </w:rPr>
              <w:t>–</w:t>
            </w:r>
          </w:p>
        </w:tc>
        <w:tc>
          <w:tcPr>
            <w:tcW w:w="1701" w:type="dxa"/>
            <w:tcBorders>
              <w:top w:val="single" w:sz="4" w:space="0" w:color="BFBFBF"/>
              <w:bottom w:val="single" w:sz="4" w:space="0" w:color="BFBFBF"/>
            </w:tcBorders>
            <w:noWrap/>
            <w:hideMark/>
          </w:tcPr>
          <w:p w14:paraId="24693223" w14:textId="77777777" w:rsidR="006901EA" w:rsidRPr="000570D3" w:rsidRDefault="006901EA">
            <w:pPr>
              <w:pStyle w:val="ARtabletextright"/>
              <w:spacing w:before="30" w:after="20"/>
            </w:pPr>
            <w:r w:rsidRPr="000570D3">
              <w:rPr>
                <w:szCs w:val="17"/>
              </w:rPr>
              <w:t>–</w:t>
            </w:r>
          </w:p>
        </w:tc>
      </w:tr>
      <w:tr w:rsidR="006901EA" w:rsidRPr="00AF57AF" w14:paraId="6396C0DB" w14:textId="77777777">
        <w:trPr>
          <w:trHeight w:val="288"/>
        </w:trPr>
        <w:tc>
          <w:tcPr>
            <w:tcW w:w="4248" w:type="dxa"/>
            <w:noWrap/>
            <w:hideMark/>
          </w:tcPr>
          <w:p w14:paraId="2E0F1B89" w14:textId="77777777" w:rsidR="006901EA" w:rsidRPr="000570D3" w:rsidRDefault="006901EA">
            <w:pPr>
              <w:pStyle w:val="ARtabletextbold"/>
              <w:spacing w:before="30" w:after="20"/>
            </w:pPr>
            <w:r w:rsidRPr="000570D3">
              <w:t>EL3 Total on-site installed generation capacity</w:t>
            </w:r>
          </w:p>
        </w:tc>
        <w:tc>
          <w:tcPr>
            <w:tcW w:w="1984" w:type="dxa"/>
            <w:noWrap/>
            <w:hideMark/>
          </w:tcPr>
          <w:p w14:paraId="14A02B84" w14:textId="77777777" w:rsidR="006901EA" w:rsidRPr="000570D3" w:rsidRDefault="006901EA">
            <w:pPr>
              <w:pStyle w:val="ARtabletextrightbold"/>
              <w:spacing w:before="30" w:after="20"/>
            </w:pPr>
            <w:r w:rsidRPr="000570D3">
              <w:t>0.4</w:t>
            </w:r>
          </w:p>
        </w:tc>
        <w:tc>
          <w:tcPr>
            <w:tcW w:w="1701" w:type="dxa"/>
            <w:noWrap/>
            <w:hideMark/>
          </w:tcPr>
          <w:p w14:paraId="5FB22B23" w14:textId="77777777" w:rsidR="006901EA" w:rsidRPr="000570D3" w:rsidRDefault="006901EA">
            <w:pPr>
              <w:pStyle w:val="ARtabletextrightbold"/>
              <w:spacing w:before="30" w:after="20"/>
            </w:pPr>
            <w:r w:rsidRPr="000570D3">
              <w:t>0.4</w:t>
            </w:r>
          </w:p>
        </w:tc>
        <w:tc>
          <w:tcPr>
            <w:tcW w:w="1701" w:type="dxa"/>
            <w:noWrap/>
            <w:hideMark/>
          </w:tcPr>
          <w:p w14:paraId="512DC2CB" w14:textId="77777777" w:rsidR="006901EA" w:rsidRPr="000570D3" w:rsidRDefault="006901EA">
            <w:pPr>
              <w:pStyle w:val="ARtabletextrightbold"/>
              <w:spacing w:before="30" w:after="20"/>
            </w:pPr>
            <w:r w:rsidRPr="000570D3">
              <w:t>–</w:t>
            </w:r>
          </w:p>
        </w:tc>
      </w:tr>
    </w:tbl>
    <w:p w14:paraId="29718CF8" w14:textId="77777777" w:rsidR="006901EA" w:rsidRPr="000570D3" w:rsidRDefault="006901EA" w:rsidP="00A95A18">
      <w:pPr>
        <w:pStyle w:val="ARtablecaption"/>
      </w:pPr>
      <w:r w:rsidRPr="000570D3">
        <w:t xml:space="preserve">EL4 Total electricity </w:t>
      </w:r>
      <w:r w:rsidRPr="00A95A18">
        <w:t>offsets</w:t>
      </w:r>
    </w:p>
    <w:tbl>
      <w:tblPr>
        <w:tblStyle w:val="TableGrid"/>
        <w:tblW w:w="9639" w:type="dxa"/>
        <w:tblLook w:val="06A0" w:firstRow="1" w:lastRow="0" w:firstColumn="1" w:lastColumn="0" w:noHBand="1" w:noVBand="1"/>
      </w:tblPr>
      <w:tblGrid>
        <w:gridCol w:w="4536"/>
        <w:gridCol w:w="1701"/>
        <w:gridCol w:w="1701"/>
        <w:gridCol w:w="1701"/>
      </w:tblGrid>
      <w:tr w:rsidR="006901EA" w:rsidRPr="00AF57AF" w14:paraId="04058501"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0439BFCB" w14:textId="77777777" w:rsidR="006901EA" w:rsidRPr="000570D3" w:rsidRDefault="006901EA">
            <w:pPr>
              <w:pStyle w:val="ARtablecolhead"/>
              <w:spacing w:before="30" w:after="20"/>
              <w:rPr>
                <w:color w:val="000000"/>
              </w:rPr>
            </w:pPr>
            <w:r w:rsidRPr="000570D3">
              <w:t>Indicator</w:t>
            </w:r>
          </w:p>
        </w:tc>
        <w:tc>
          <w:tcPr>
            <w:tcW w:w="1701" w:type="dxa"/>
            <w:tcBorders>
              <w:bottom w:val="single" w:sz="4" w:space="0" w:color="auto"/>
            </w:tcBorders>
            <w:noWrap/>
          </w:tcPr>
          <w:p w14:paraId="367F7CFA" w14:textId="77777777" w:rsidR="006901EA" w:rsidRPr="009B3FCD" w:rsidRDefault="006901EA">
            <w:pPr>
              <w:pStyle w:val="ARtablecolheadright"/>
              <w:spacing w:before="30" w:after="20"/>
            </w:pPr>
            <w:r w:rsidRPr="009B3FCD">
              <w:t>2023–24</w:t>
            </w:r>
          </w:p>
          <w:p w14:paraId="53EA5F6E" w14:textId="77777777" w:rsidR="006901EA" w:rsidRPr="00AF57AF" w:rsidRDefault="006901EA">
            <w:pPr>
              <w:pStyle w:val="ARtablecolheadright"/>
              <w:spacing w:before="30" w:after="20"/>
              <w:rPr>
                <w:highlight w:val="cyan"/>
              </w:rPr>
            </w:pPr>
            <w:r w:rsidRPr="009B3FCD">
              <w:t>MW</w:t>
            </w:r>
          </w:p>
        </w:tc>
        <w:tc>
          <w:tcPr>
            <w:tcW w:w="1701" w:type="dxa"/>
            <w:tcBorders>
              <w:bottom w:val="single" w:sz="4" w:space="0" w:color="auto"/>
            </w:tcBorders>
            <w:noWrap/>
          </w:tcPr>
          <w:p w14:paraId="615BEC48" w14:textId="77777777" w:rsidR="006901EA" w:rsidRPr="009B3FCD" w:rsidRDefault="006901EA">
            <w:pPr>
              <w:pStyle w:val="ARtablecolheadright"/>
              <w:spacing w:before="30" w:after="20"/>
            </w:pPr>
            <w:r w:rsidRPr="009B3FCD">
              <w:t>2022–23</w:t>
            </w:r>
          </w:p>
          <w:p w14:paraId="1E846086" w14:textId="77777777" w:rsidR="006901EA" w:rsidRPr="00AF57AF" w:rsidRDefault="006901EA">
            <w:pPr>
              <w:pStyle w:val="ARtablecolheadright"/>
              <w:spacing w:before="30" w:after="20"/>
              <w:rPr>
                <w:highlight w:val="cyan"/>
              </w:rPr>
            </w:pPr>
            <w:r w:rsidRPr="009B3FCD">
              <w:t>MW</w:t>
            </w:r>
          </w:p>
        </w:tc>
        <w:tc>
          <w:tcPr>
            <w:tcW w:w="1701" w:type="dxa"/>
            <w:tcBorders>
              <w:bottom w:val="single" w:sz="4" w:space="0" w:color="auto"/>
            </w:tcBorders>
            <w:noWrap/>
          </w:tcPr>
          <w:p w14:paraId="5777AA67" w14:textId="77777777" w:rsidR="006901EA" w:rsidRPr="009B3FCD" w:rsidRDefault="006901EA">
            <w:pPr>
              <w:pStyle w:val="ARtablecolheadright"/>
              <w:spacing w:before="30" w:after="20"/>
            </w:pPr>
            <w:r w:rsidRPr="009B3FCD">
              <w:t>2021–22</w:t>
            </w:r>
          </w:p>
          <w:p w14:paraId="24D11453" w14:textId="77777777" w:rsidR="006901EA" w:rsidRPr="00AF57AF" w:rsidRDefault="006901EA">
            <w:pPr>
              <w:pStyle w:val="ARtablecolheadright"/>
              <w:spacing w:before="30" w:after="20"/>
              <w:rPr>
                <w:highlight w:val="cyan"/>
              </w:rPr>
            </w:pPr>
            <w:r w:rsidRPr="009B3FCD">
              <w:t>MW</w:t>
            </w:r>
          </w:p>
        </w:tc>
      </w:tr>
      <w:tr w:rsidR="006901EA" w:rsidRPr="00AF57AF" w14:paraId="3B7B9461" w14:textId="77777777">
        <w:trPr>
          <w:trHeight w:val="288"/>
        </w:trPr>
        <w:tc>
          <w:tcPr>
            <w:tcW w:w="4536" w:type="dxa"/>
            <w:tcBorders>
              <w:top w:val="single" w:sz="4" w:space="0" w:color="auto"/>
              <w:bottom w:val="single" w:sz="4" w:space="0" w:color="BFBFBF"/>
            </w:tcBorders>
            <w:noWrap/>
            <w:hideMark/>
          </w:tcPr>
          <w:p w14:paraId="62CC2A76" w14:textId="4E3D4E7B" w:rsidR="006901EA" w:rsidRPr="000570D3" w:rsidRDefault="006901EA">
            <w:pPr>
              <w:pStyle w:val="ARtabletext"/>
              <w:spacing w:before="30" w:after="20"/>
              <w:rPr>
                <w:color w:val="000000"/>
              </w:rPr>
            </w:pPr>
            <w:r w:rsidRPr="000570D3">
              <w:t>LGC</w:t>
            </w:r>
            <w:r w:rsidR="00711AE6">
              <w:t>’</w:t>
            </w:r>
            <w:r w:rsidRPr="000570D3">
              <w:t>s voluntarily retired by the entity</w:t>
            </w:r>
          </w:p>
        </w:tc>
        <w:tc>
          <w:tcPr>
            <w:tcW w:w="1701" w:type="dxa"/>
            <w:tcBorders>
              <w:top w:val="single" w:sz="4" w:space="0" w:color="auto"/>
              <w:bottom w:val="single" w:sz="4" w:space="0" w:color="BFBFBF"/>
            </w:tcBorders>
            <w:noWrap/>
            <w:hideMark/>
          </w:tcPr>
          <w:p w14:paraId="4D85EC6C" w14:textId="77777777" w:rsidR="006901EA" w:rsidRPr="000570D3" w:rsidRDefault="006901EA">
            <w:pPr>
              <w:pStyle w:val="ARtabletextright"/>
              <w:spacing w:before="30" w:after="20"/>
              <w:rPr>
                <w:color w:val="000000"/>
              </w:rPr>
            </w:pPr>
            <w:r w:rsidRPr="000570D3">
              <w:t>–</w:t>
            </w:r>
          </w:p>
        </w:tc>
        <w:tc>
          <w:tcPr>
            <w:tcW w:w="1701" w:type="dxa"/>
            <w:tcBorders>
              <w:top w:val="single" w:sz="4" w:space="0" w:color="auto"/>
              <w:bottom w:val="single" w:sz="4" w:space="0" w:color="BFBFBF"/>
            </w:tcBorders>
            <w:noWrap/>
            <w:hideMark/>
          </w:tcPr>
          <w:p w14:paraId="25CBD93B" w14:textId="77777777" w:rsidR="006901EA" w:rsidRPr="000570D3" w:rsidRDefault="006901EA">
            <w:pPr>
              <w:pStyle w:val="ARtabletextright"/>
              <w:spacing w:before="30" w:after="20"/>
            </w:pPr>
            <w:r w:rsidRPr="000570D3">
              <w:t>–</w:t>
            </w:r>
          </w:p>
        </w:tc>
        <w:tc>
          <w:tcPr>
            <w:tcW w:w="1701" w:type="dxa"/>
            <w:tcBorders>
              <w:top w:val="single" w:sz="4" w:space="0" w:color="auto"/>
              <w:bottom w:val="single" w:sz="4" w:space="0" w:color="BFBFBF"/>
            </w:tcBorders>
            <w:noWrap/>
            <w:hideMark/>
          </w:tcPr>
          <w:p w14:paraId="185978CA" w14:textId="77777777" w:rsidR="006901EA" w:rsidRPr="000570D3" w:rsidRDefault="006901EA">
            <w:pPr>
              <w:pStyle w:val="ARtabletextright"/>
              <w:spacing w:before="30" w:after="20"/>
            </w:pPr>
            <w:r w:rsidRPr="000570D3">
              <w:t>–</w:t>
            </w:r>
          </w:p>
        </w:tc>
      </w:tr>
      <w:tr w:rsidR="006901EA" w:rsidRPr="00AF57AF" w14:paraId="4970E947" w14:textId="77777777">
        <w:trPr>
          <w:trHeight w:val="288"/>
        </w:trPr>
        <w:tc>
          <w:tcPr>
            <w:tcW w:w="4536" w:type="dxa"/>
            <w:tcBorders>
              <w:top w:val="single" w:sz="4" w:space="0" w:color="BFBFBF"/>
            </w:tcBorders>
            <w:noWrap/>
          </w:tcPr>
          <w:p w14:paraId="0EF83385" w14:textId="77777777" w:rsidR="006901EA" w:rsidRPr="000570D3" w:rsidRDefault="006901EA">
            <w:pPr>
              <w:pStyle w:val="ARtabletext"/>
              <w:spacing w:before="30" w:after="20"/>
              <w:rPr>
                <w:color w:val="000000"/>
              </w:rPr>
            </w:pPr>
            <w:r w:rsidRPr="000570D3">
              <w:t>Greenpower</w:t>
            </w:r>
          </w:p>
        </w:tc>
        <w:tc>
          <w:tcPr>
            <w:tcW w:w="1701" w:type="dxa"/>
            <w:tcBorders>
              <w:top w:val="single" w:sz="4" w:space="0" w:color="BFBFBF"/>
            </w:tcBorders>
            <w:noWrap/>
          </w:tcPr>
          <w:p w14:paraId="62DD2678" w14:textId="77777777" w:rsidR="006901EA" w:rsidRPr="000570D3" w:rsidRDefault="006901EA">
            <w:pPr>
              <w:pStyle w:val="ARtabletextright"/>
              <w:spacing w:before="30" w:after="20"/>
            </w:pPr>
            <w:r w:rsidRPr="000570D3">
              <w:t>1,552.9</w:t>
            </w:r>
          </w:p>
        </w:tc>
        <w:tc>
          <w:tcPr>
            <w:tcW w:w="1701" w:type="dxa"/>
            <w:tcBorders>
              <w:top w:val="single" w:sz="4" w:space="0" w:color="BFBFBF"/>
            </w:tcBorders>
            <w:noWrap/>
          </w:tcPr>
          <w:p w14:paraId="5919A96D" w14:textId="77777777" w:rsidR="006901EA" w:rsidRPr="000570D3" w:rsidRDefault="006901EA">
            <w:pPr>
              <w:pStyle w:val="ARtabletextright"/>
              <w:spacing w:before="30" w:after="20"/>
            </w:pPr>
            <w:r w:rsidRPr="000570D3">
              <w:t>20.2</w:t>
            </w:r>
          </w:p>
        </w:tc>
        <w:tc>
          <w:tcPr>
            <w:tcW w:w="1701" w:type="dxa"/>
            <w:tcBorders>
              <w:top w:val="single" w:sz="4" w:space="0" w:color="BFBFBF"/>
            </w:tcBorders>
            <w:noWrap/>
          </w:tcPr>
          <w:p w14:paraId="4885A0A6" w14:textId="77777777" w:rsidR="006901EA" w:rsidRPr="000570D3" w:rsidRDefault="006901EA">
            <w:pPr>
              <w:pStyle w:val="ARtabletextright"/>
              <w:spacing w:before="30" w:after="20"/>
            </w:pPr>
            <w:r w:rsidRPr="000570D3">
              <w:t>–</w:t>
            </w:r>
          </w:p>
        </w:tc>
      </w:tr>
      <w:tr w:rsidR="006901EA" w:rsidRPr="00AF57AF" w14:paraId="05DFE05D" w14:textId="77777777">
        <w:trPr>
          <w:trHeight w:val="288"/>
        </w:trPr>
        <w:tc>
          <w:tcPr>
            <w:tcW w:w="4536" w:type="dxa"/>
            <w:tcBorders>
              <w:top w:val="single" w:sz="4" w:space="0" w:color="BFBFBF"/>
            </w:tcBorders>
            <w:noWrap/>
          </w:tcPr>
          <w:p w14:paraId="0BB234FE" w14:textId="77777777" w:rsidR="006901EA" w:rsidRPr="000570D3" w:rsidRDefault="006901EA">
            <w:pPr>
              <w:pStyle w:val="ARtabletext"/>
              <w:spacing w:before="30" w:after="20"/>
              <w:rPr>
                <w:color w:val="000000"/>
              </w:rPr>
            </w:pPr>
            <w:r w:rsidRPr="000570D3">
              <w:t>Renewable power percentage in the grid (%)</w:t>
            </w:r>
          </w:p>
        </w:tc>
        <w:tc>
          <w:tcPr>
            <w:tcW w:w="1701" w:type="dxa"/>
            <w:tcBorders>
              <w:top w:val="single" w:sz="4" w:space="0" w:color="BFBFBF"/>
            </w:tcBorders>
            <w:noWrap/>
          </w:tcPr>
          <w:p w14:paraId="4EA7B2D7" w14:textId="77777777" w:rsidR="006901EA" w:rsidRPr="00AF57AF" w:rsidRDefault="006901EA">
            <w:pPr>
              <w:pStyle w:val="ARtabletextright"/>
              <w:spacing w:before="30" w:after="20"/>
              <w:rPr>
                <w:highlight w:val="cyan"/>
              </w:rPr>
            </w:pPr>
          </w:p>
        </w:tc>
        <w:tc>
          <w:tcPr>
            <w:tcW w:w="1701" w:type="dxa"/>
            <w:tcBorders>
              <w:top w:val="single" w:sz="4" w:space="0" w:color="BFBFBF"/>
            </w:tcBorders>
            <w:noWrap/>
          </w:tcPr>
          <w:p w14:paraId="1284AF49" w14:textId="77777777" w:rsidR="006901EA" w:rsidRPr="000570D3" w:rsidRDefault="006901EA">
            <w:pPr>
              <w:pStyle w:val="ARtabletextright"/>
              <w:spacing w:before="30" w:after="20"/>
            </w:pPr>
          </w:p>
        </w:tc>
        <w:tc>
          <w:tcPr>
            <w:tcW w:w="1701" w:type="dxa"/>
            <w:tcBorders>
              <w:top w:val="single" w:sz="4" w:space="0" w:color="BFBFBF"/>
            </w:tcBorders>
            <w:noWrap/>
          </w:tcPr>
          <w:p w14:paraId="07453A72" w14:textId="77777777" w:rsidR="006901EA" w:rsidRPr="000570D3" w:rsidRDefault="006901EA">
            <w:pPr>
              <w:pStyle w:val="ARtabletextright"/>
              <w:spacing w:before="30" w:after="20"/>
            </w:pPr>
          </w:p>
        </w:tc>
      </w:tr>
      <w:tr w:rsidR="006901EA" w:rsidRPr="00AF57AF" w14:paraId="5F09D1E7" w14:textId="77777777">
        <w:trPr>
          <w:trHeight w:val="288"/>
        </w:trPr>
        <w:tc>
          <w:tcPr>
            <w:tcW w:w="4536" w:type="dxa"/>
            <w:tcBorders>
              <w:top w:val="single" w:sz="4" w:space="0" w:color="BFBFBF"/>
            </w:tcBorders>
            <w:noWrap/>
          </w:tcPr>
          <w:p w14:paraId="78AF050E" w14:textId="2A5E5A62" w:rsidR="006901EA" w:rsidRPr="000570D3" w:rsidRDefault="006901EA">
            <w:pPr>
              <w:pStyle w:val="ARtabletext"/>
              <w:spacing w:before="30" w:after="20"/>
              <w:rPr>
                <w:color w:val="000000"/>
              </w:rPr>
            </w:pPr>
            <w:r w:rsidRPr="000570D3">
              <w:t>Certified climate active carbon neutral electricity</w:t>
            </w:r>
            <w:r w:rsidR="00373FEC">
              <w:t> </w:t>
            </w:r>
            <w:r w:rsidRPr="000570D3">
              <w:t>purchased</w:t>
            </w:r>
          </w:p>
        </w:tc>
        <w:tc>
          <w:tcPr>
            <w:tcW w:w="1701" w:type="dxa"/>
            <w:tcBorders>
              <w:top w:val="single" w:sz="4" w:space="0" w:color="BFBFBF"/>
            </w:tcBorders>
            <w:noWrap/>
          </w:tcPr>
          <w:p w14:paraId="6D61EFE8" w14:textId="77777777" w:rsidR="006901EA" w:rsidRPr="000570D3" w:rsidRDefault="006901EA">
            <w:pPr>
              <w:pStyle w:val="ARtabletextright"/>
              <w:spacing w:before="30" w:after="20"/>
            </w:pPr>
            <w:r w:rsidRPr="000570D3">
              <w:t>–</w:t>
            </w:r>
          </w:p>
        </w:tc>
        <w:tc>
          <w:tcPr>
            <w:tcW w:w="1701" w:type="dxa"/>
            <w:tcBorders>
              <w:top w:val="single" w:sz="4" w:space="0" w:color="BFBFBF"/>
            </w:tcBorders>
            <w:noWrap/>
          </w:tcPr>
          <w:p w14:paraId="613D8101" w14:textId="77777777" w:rsidR="006901EA" w:rsidRPr="000570D3" w:rsidRDefault="006901EA">
            <w:pPr>
              <w:pStyle w:val="ARtabletextright"/>
              <w:spacing w:before="30" w:after="20"/>
            </w:pPr>
            <w:r w:rsidRPr="000570D3">
              <w:t>–</w:t>
            </w:r>
          </w:p>
        </w:tc>
        <w:tc>
          <w:tcPr>
            <w:tcW w:w="1701" w:type="dxa"/>
            <w:tcBorders>
              <w:top w:val="single" w:sz="4" w:space="0" w:color="BFBFBF"/>
            </w:tcBorders>
            <w:noWrap/>
          </w:tcPr>
          <w:p w14:paraId="0F8AE898" w14:textId="77777777" w:rsidR="006901EA" w:rsidRPr="000570D3" w:rsidRDefault="006901EA">
            <w:pPr>
              <w:pStyle w:val="ARtabletextright"/>
              <w:spacing w:before="30" w:after="20"/>
            </w:pPr>
            <w:r w:rsidRPr="000570D3">
              <w:t>–</w:t>
            </w:r>
          </w:p>
        </w:tc>
      </w:tr>
      <w:tr w:rsidR="006901EA" w:rsidRPr="00AF57AF" w14:paraId="7472F9CC" w14:textId="77777777">
        <w:trPr>
          <w:trHeight w:val="288"/>
        </w:trPr>
        <w:tc>
          <w:tcPr>
            <w:tcW w:w="4536" w:type="dxa"/>
            <w:noWrap/>
            <w:hideMark/>
          </w:tcPr>
          <w:p w14:paraId="16C67E16" w14:textId="77777777" w:rsidR="006901EA" w:rsidRPr="000570D3" w:rsidRDefault="006901EA">
            <w:pPr>
              <w:pStyle w:val="ARtabletextbold"/>
              <w:spacing w:before="30" w:after="20"/>
            </w:pPr>
            <w:r w:rsidRPr="000570D3">
              <w:t>EL4 Total electricity offsets</w:t>
            </w:r>
          </w:p>
        </w:tc>
        <w:tc>
          <w:tcPr>
            <w:tcW w:w="1701" w:type="dxa"/>
            <w:noWrap/>
            <w:hideMark/>
          </w:tcPr>
          <w:p w14:paraId="57DFCC6F" w14:textId="77777777" w:rsidR="006901EA" w:rsidRPr="000570D3" w:rsidRDefault="006901EA">
            <w:pPr>
              <w:pStyle w:val="ARtabletextrightbold"/>
              <w:spacing w:before="30" w:after="20"/>
            </w:pPr>
            <w:r w:rsidRPr="000570D3">
              <w:t>–</w:t>
            </w:r>
          </w:p>
        </w:tc>
        <w:tc>
          <w:tcPr>
            <w:tcW w:w="1701" w:type="dxa"/>
            <w:noWrap/>
            <w:hideMark/>
          </w:tcPr>
          <w:p w14:paraId="3FB2B23D" w14:textId="77777777" w:rsidR="006901EA" w:rsidRPr="000570D3" w:rsidRDefault="006901EA">
            <w:pPr>
              <w:pStyle w:val="ARtabletextrightbold"/>
              <w:spacing w:before="30" w:after="20"/>
            </w:pPr>
            <w:r w:rsidRPr="000570D3">
              <w:t>–</w:t>
            </w:r>
          </w:p>
        </w:tc>
        <w:tc>
          <w:tcPr>
            <w:tcW w:w="1701" w:type="dxa"/>
            <w:noWrap/>
            <w:hideMark/>
          </w:tcPr>
          <w:p w14:paraId="456CA7ED" w14:textId="77777777" w:rsidR="006901EA" w:rsidRPr="000570D3" w:rsidRDefault="006901EA">
            <w:pPr>
              <w:pStyle w:val="ARtabletextrightbold"/>
              <w:spacing w:before="30" w:after="20"/>
            </w:pPr>
            <w:r w:rsidRPr="000570D3">
              <w:t>–</w:t>
            </w:r>
          </w:p>
        </w:tc>
      </w:tr>
    </w:tbl>
    <w:p w14:paraId="54EEC2F4" w14:textId="77777777" w:rsidR="008C19F3" w:rsidRPr="000570D3" w:rsidRDefault="008C19F3" w:rsidP="00333387">
      <w:pPr>
        <w:pStyle w:val="Heading3"/>
      </w:pPr>
      <w:r w:rsidRPr="000570D3">
        <w:t>Stationary fuel use</w:t>
      </w:r>
    </w:p>
    <w:p w14:paraId="66B9FA36" w14:textId="20F8A75E" w:rsidR="008C19F3" w:rsidRPr="001D1807" w:rsidRDefault="008C19F3" w:rsidP="008C19F3">
      <w:pPr>
        <w:pStyle w:val="ARbody"/>
      </w:pPr>
      <w:r w:rsidRPr="001D1807">
        <w:t>Sources of emissions from stationary fuel include natural gas used in some buildings</w:t>
      </w:r>
      <w:r w:rsidR="00711AE6">
        <w:t>’</w:t>
      </w:r>
      <w:r w:rsidRPr="001D1807">
        <w:t xml:space="preserve"> heating systems. There has been a 21.8</w:t>
      </w:r>
      <w:r w:rsidR="00F95AC7">
        <w:t>%</w:t>
      </w:r>
      <w:r w:rsidRPr="001D1807">
        <w:t xml:space="preserve"> increase in fuel use from 2022</w:t>
      </w:r>
      <w:r w:rsidR="00F91DB1">
        <w:t>–</w:t>
      </w:r>
      <w:r w:rsidRPr="001D1807">
        <w:t>23 to 2023</w:t>
      </w:r>
      <w:r w:rsidR="00F91DB1">
        <w:t>–</w:t>
      </w:r>
      <w:r w:rsidRPr="001D1807">
        <w:t>24. Consumption and emissions data is from the 14 department offices that use natural gas.</w:t>
      </w:r>
    </w:p>
    <w:p w14:paraId="07C0C5DC" w14:textId="77777777" w:rsidR="008C19F3" w:rsidRPr="0093510C" w:rsidRDefault="008C19F3" w:rsidP="00A95A18">
      <w:pPr>
        <w:pStyle w:val="Heading4"/>
      </w:pPr>
      <w:r w:rsidRPr="0093510C">
        <w:t xml:space="preserve">Department </w:t>
      </w:r>
      <w:r w:rsidRPr="00A95A18">
        <w:t>offices</w:t>
      </w:r>
    </w:p>
    <w:p w14:paraId="09732D0A" w14:textId="77777777" w:rsidR="008C19F3" w:rsidRPr="0093510C" w:rsidRDefault="008C19F3" w:rsidP="00A95A18">
      <w:pPr>
        <w:pStyle w:val="ARtablecaption"/>
      </w:pPr>
      <w:r w:rsidRPr="0093510C">
        <w:t xml:space="preserve">F1 Total Fuels used in </w:t>
      </w:r>
      <w:r w:rsidRPr="00A95A18">
        <w:t>buildings</w:t>
      </w:r>
      <w:r w:rsidRPr="0093510C">
        <w:t xml:space="preserve"> and machinery</w:t>
      </w:r>
    </w:p>
    <w:tbl>
      <w:tblPr>
        <w:tblStyle w:val="TableGrid"/>
        <w:tblW w:w="9852" w:type="dxa"/>
        <w:tblLook w:val="06A0" w:firstRow="1" w:lastRow="0" w:firstColumn="1" w:lastColumn="0" w:noHBand="1" w:noVBand="1"/>
      </w:tblPr>
      <w:tblGrid>
        <w:gridCol w:w="4536"/>
        <w:gridCol w:w="1555"/>
        <w:gridCol w:w="1910"/>
        <w:gridCol w:w="1851"/>
      </w:tblGrid>
      <w:tr w:rsidR="008C19F3" w:rsidRPr="000B516F" w14:paraId="78246C6C" w14:textId="77777777">
        <w:trPr>
          <w:cnfStyle w:val="100000000000" w:firstRow="1" w:lastRow="0" w:firstColumn="0" w:lastColumn="0" w:oddVBand="0" w:evenVBand="0" w:oddHBand="0" w:evenHBand="0" w:firstRowFirstColumn="0" w:firstRowLastColumn="0" w:lastRowFirstColumn="0" w:lastRowLastColumn="0"/>
          <w:tblHeader/>
        </w:trPr>
        <w:tc>
          <w:tcPr>
            <w:tcW w:w="0" w:type="dxa"/>
            <w:tcBorders>
              <w:bottom w:val="single" w:sz="4" w:space="0" w:color="auto"/>
            </w:tcBorders>
            <w:noWrap/>
            <w:hideMark/>
          </w:tcPr>
          <w:p w14:paraId="2293A13E" w14:textId="77777777" w:rsidR="008C19F3" w:rsidRPr="0093510C" w:rsidRDefault="008C19F3">
            <w:pPr>
              <w:pStyle w:val="ARtablecolhead"/>
              <w:spacing w:before="30" w:after="20"/>
            </w:pPr>
            <w:r w:rsidRPr="0093510C">
              <w:t>Indicator</w:t>
            </w:r>
          </w:p>
        </w:tc>
        <w:tc>
          <w:tcPr>
            <w:tcW w:w="1555" w:type="dxa"/>
            <w:tcBorders>
              <w:bottom w:val="single" w:sz="4" w:space="0" w:color="auto"/>
            </w:tcBorders>
            <w:noWrap/>
            <w:hideMark/>
          </w:tcPr>
          <w:p w14:paraId="149D7B60" w14:textId="77777777" w:rsidR="008C19F3" w:rsidRPr="0093510C" w:rsidRDefault="008C19F3">
            <w:pPr>
              <w:pStyle w:val="ARtablecolheadright"/>
              <w:spacing w:before="30" w:after="20"/>
            </w:pPr>
            <w:r w:rsidRPr="0093510C">
              <w:t>2023–24</w:t>
            </w:r>
          </w:p>
          <w:p w14:paraId="7892E006" w14:textId="77777777" w:rsidR="008C19F3" w:rsidRPr="0093510C" w:rsidRDefault="008C19F3">
            <w:pPr>
              <w:pStyle w:val="ARtablecolheadright"/>
              <w:spacing w:before="30" w:after="20"/>
            </w:pPr>
            <w:r w:rsidRPr="0093510C">
              <w:t>MJ</w:t>
            </w:r>
          </w:p>
        </w:tc>
        <w:tc>
          <w:tcPr>
            <w:tcW w:w="1910" w:type="dxa"/>
            <w:tcBorders>
              <w:bottom w:val="single" w:sz="4" w:space="0" w:color="auto"/>
            </w:tcBorders>
            <w:noWrap/>
            <w:hideMark/>
          </w:tcPr>
          <w:p w14:paraId="35A93154" w14:textId="77777777" w:rsidR="008C19F3" w:rsidRPr="0093510C" w:rsidRDefault="008C19F3">
            <w:pPr>
              <w:pStyle w:val="ARtablecolheadright"/>
              <w:spacing w:before="30" w:after="20"/>
            </w:pPr>
            <w:r w:rsidRPr="0093510C">
              <w:t>2022–23</w:t>
            </w:r>
          </w:p>
          <w:p w14:paraId="36D633C4" w14:textId="77777777" w:rsidR="008C19F3" w:rsidRPr="0093510C" w:rsidRDefault="008C19F3">
            <w:pPr>
              <w:pStyle w:val="ARtablecolheadright"/>
              <w:spacing w:before="30" w:after="20"/>
            </w:pPr>
            <w:r w:rsidRPr="0093510C" w:rsidDel="0005797E">
              <w:t>MJ</w:t>
            </w:r>
          </w:p>
        </w:tc>
        <w:tc>
          <w:tcPr>
            <w:tcW w:w="1842" w:type="dxa"/>
            <w:tcBorders>
              <w:bottom w:val="single" w:sz="4" w:space="0" w:color="auto"/>
            </w:tcBorders>
            <w:noWrap/>
            <w:hideMark/>
          </w:tcPr>
          <w:p w14:paraId="528CAE49" w14:textId="77777777" w:rsidR="008C19F3" w:rsidRPr="0093510C" w:rsidRDefault="008C19F3">
            <w:pPr>
              <w:pStyle w:val="ARtablecolheadright"/>
              <w:spacing w:before="30" w:after="20"/>
            </w:pPr>
            <w:r w:rsidRPr="0093510C">
              <w:t>2021–22</w:t>
            </w:r>
          </w:p>
          <w:p w14:paraId="7A06F651" w14:textId="77777777" w:rsidR="008C19F3" w:rsidRPr="0093510C" w:rsidRDefault="008C19F3">
            <w:pPr>
              <w:pStyle w:val="ARtablecolheadright"/>
              <w:spacing w:before="30" w:after="20"/>
            </w:pPr>
            <w:r w:rsidRPr="0093510C" w:rsidDel="0005797E">
              <w:t>MJ</w:t>
            </w:r>
          </w:p>
        </w:tc>
      </w:tr>
      <w:tr w:rsidR="008C19F3" w:rsidRPr="000B516F" w14:paraId="127A224E" w14:textId="77777777">
        <w:tc>
          <w:tcPr>
            <w:tcW w:w="9852" w:type="dxa"/>
            <w:gridSpan w:val="4"/>
            <w:tcBorders>
              <w:top w:val="single" w:sz="4" w:space="0" w:color="auto"/>
              <w:bottom w:val="single" w:sz="4" w:space="0" w:color="BFBFBF"/>
            </w:tcBorders>
            <w:noWrap/>
            <w:hideMark/>
          </w:tcPr>
          <w:p w14:paraId="286053C3" w14:textId="77777777" w:rsidR="008C19F3" w:rsidRPr="0093510C" w:rsidRDefault="008C19F3">
            <w:pPr>
              <w:pStyle w:val="ARtabletextbold"/>
              <w:spacing w:before="30" w:after="20"/>
            </w:pPr>
            <w:r w:rsidRPr="0093510C">
              <w:t>Buildings</w:t>
            </w:r>
          </w:p>
        </w:tc>
      </w:tr>
      <w:tr w:rsidR="008C19F3" w:rsidRPr="000B516F" w14:paraId="4EC8022C" w14:textId="77777777">
        <w:trPr>
          <w:trHeight w:val="288"/>
        </w:trPr>
        <w:tc>
          <w:tcPr>
            <w:tcW w:w="4536" w:type="dxa"/>
            <w:tcBorders>
              <w:top w:val="single" w:sz="4" w:space="0" w:color="BFBFBF"/>
              <w:bottom w:val="single" w:sz="4" w:space="0" w:color="auto"/>
            </w:tcBorders>
            <w:noWrap/>
            <w:hideMark/>
          </w:tcPr>
          <w:p w14:paraId="7282C23B" w14:textId="77777777" w:rsidR="008C19F3" w:rsidRPr="0093510C" w:rsidRDefault="008C19F3">
            <w:pPr>
              <w:pStyle w:val="ARtabletext"/>
              <w:spacing w:before="30" w:after="20"/>
              <w:rPr>
                <w:color w:val="000000"/>
              </w:rPr>
            </w:pPr>
            <w:r w:rsidRPr="0093510C">
              <w:t>Natural gas</w:t>
            </w:r>
          </w:p>
        </w:tc>
        <w:tc>
          <w:tcPr>
            <w:tcW w:w="1555" w:type="dxa"/>
            <w:tcBorders>
              <w:top w:val="single" w:sz="4" w:space="0" w:color="BFBFBF"/>
              <w:bottom w:val="single" w:sz="4" w:space="0" w:color="auto"/>
            </w:tcBorders>
            <w:noWrap/>
          </w:tcPr>
          <w:p w14:paraId="1D623E9B" w14:textId="77777777" w:rsidR="008C19F3" w:rsidRPr="0093510C" w:rsidRDefault="008C19F3">
            <w:pPr>
              <w:pStyle w:val="ARtabletextright"/>
              <w:spacing w:before="30" w:after="20"/>
              <w:rPr>
                <w:color w:val="000000"/>
              </w:rPr>
            </w:pPr>
            <w:r w:rsidRPr="0093510C">
              <w:t>16,744,636</w:t>
            </w:r>
          </w:p>
        </w:tc>
        <w:tc>
          <w:tcPr>
            <w:tcW w:w="1910" w:type="dxa"/>
            <w:tcBorders>
              <w:top w:val="single" w:sz="4" w:space="0" w:color="BFBFBF"/>
              <w:bottom w:val="single" w:sz="4" w:space="0" w:color="auto"/>
            </w:tcBorders>
            <w:noWrap/>
          </w:tcPr>
          <w:p w14:paraId="5D088CCF" w14:textId="77777777" w:rsidR="008C19F3" w:rsidRPr="0093510C" w:rsidRDefault="008C19F3">
            <w:pPr>
              <w:pStyle w:val="ARtabletextright"/>
              <w:spacing w:before="30" w:after="20"/>
            </w:pPr>
            <w:r w:rsidRPr="0093510C">
              <w:t>13,750,673</w:t>
            </w:r>
          </w:p>
        </w:tc>
        <w:tc>
          <w:tcPr>
            <w:tcW w:w="1842" w:type="dxa"/>
            <w:tcBorders>
              <w:top w:val="single" w:sz="4" w:space="0" w:color="BFBFBF"/>
              <w:bottom w:val="single" w:sz="4" w:space="0" w:color="auto"/>
            </w:tcBorders>
            <w:noWrap/>
          </w:tcPr>
          <w:p w14:paraId="2C0ECC80" w14:textId="77777777" w:rsidR="008C19F3" w:rsidRPr="0093510C" w:rsidRDefault="008C19F3">
            <w:pPr>
              <w:pStyle w:val="ARtabletextright"/>
              <w:spacing w:before="30" w:after="20"/>
            </w:pPr>
            <w:r w:rsidRPr="0093510C">
              <w:t>14,418,608</w:t>
            </w:r>
          </w:p>
        </w:tc>
      </w:tr>
      <w:tr w:rsidR="008C19F3" w:rsidRPr="00F8705E" w14:paraId="1B505037" w14:textId="77777777">
        <w:trPr>
          <w:trHeight w:val="288"/>
        </w:trPr>
        <w:tc>
          <w:tcPr>
            <w:tcW w:w="0" w:type="dxa"/>
            <w:tcBorders>
              <w:top w:val="single" w:sz="4" w:space="0" w:color="auto"/>
            </w:tcBorders>
            <w:noWrap/>
          </w:tcPr>
          <w:p w14:paraId="6A082A3F" w14:textId="77777777" w:rsidR="008C19F3" w:rsidRPr="0093510C" w:rsidRDefault="008C19F3">
            <w:pPr>
              <w:pStyle w:val="ARtabletextbold"/>
              <w:spacing w:before="30" w:after="20"/>
            </w:pPr>
            <w:r w:rsidRPr="0093510C">
              <w:t>F1 Total fuels used in buildings and machinery</w:t>
            </w:r>
          </w:p>
        </w:tc>
        <w:tc>
          <w:tcPr>
            <w:tcW w:w="1555" w:type="dxa"/>
            <w:tcBorders>
              <w:top w:val="single" w:sz="4" w:space="0" w:color="auto"/>
            </w:tcBorders>
            <w:noWrap/>
          </w:tcPr>
          <w:p w14:paraId="5649B20A" w14:textId="77777777" w:rsidR="008C19F3" w:rsidRPr="0093510C" w:rsidRDefault="008C19F3">
            <w:pPr>
              <w:pStyle w:val="ARtabletextrightbold"/>
              <w:spacing w:before="30" w:after="20"/>
            </w:pPr>
            <w:r w:rsidRPr="0093510C">
              <w:t>16,744,636</w:t>
            </w:r>
          </w:p>
        </w:tc>
        <w:tc>
          <w:tcPr>
            <w:tcW w:w="1910" w:type="dxa"/>
            <w:tcBorders>
              <w:top w:val="single" w:sz="4" w:space="0" w:color="auto"/>
            </w:tcBorders>
            <w:noWrap/>
          </w:tcPr>
          <w:p w14:paraId="64400CD6" w14:textId="77777777" w:rsidR="008C19F3" w:rsidRPr="0093510C" w:rsidRDefault="008C19F3">
            <w:pPr>
              <w:pStyle w:val="ARtabletextrightbold"/>
              <w:spacing w:before="30" w:after="20"/>
            </w:pPr>
            <w:r w:rsidRPr="0093510C">
              <w:t>13,750,673</w:t>
            </w:r>
          </w:p>
        </w:tc>
        <w:tc>
          <w:tcPr>
            <w:tcW w:w="1842" w:type="dxa"/>
            <w:tcBorders>
              <w:top w:val="single" w:sz="4" w:space="0" w:color="auto"/>
            </w:tcBorders>
            <w:noWrap/>
          </w:tcPr>
          <w:p w14:paraId="08395A78" w14:textId="77777777" w:rsidR="008C19F3" w:rsidRPr="0093510C" w:rsidRDefault="008C19F3">
            <w:pPr>
              <w:pStyle w:val="ARtabletextrightbold"/>
              <w:spacing w:before="30" w:after="20"/>
            </w:pPr>
            <w:r w:rsidRPr="0093510C">
              <w:t>14,418,608</w:t>
            </w:r>
          </w:p>
        </w:tc>
      </w:tr>
    </w:tbl>
    <w:p w14:paraId="7321FE4E" w14:textId="77777777" w:rsidR="008C19F3" w:rsidRPr="006228D0" w:rsidRDefault="008C19F3" w:rsidP="00A95A18">
      <w:pPr>
        <w:pStyle w:val="ARtablecaption"/>
      </w:pPr>
      <w:r w:rsidRPr="006228D0">
        <w:t>F2 Greenhouse gas emissions stationary fuel consumption</w:t>
      </w:r>
    </w:p>
    <w:tbl>
      <w:tblPr>
        <w:tblStyle w:val="TableGrid"/>
        <w:tblW w:w="9776" w:type="dxa"/>
        <w:tblLook w:val="04A0" w:firstRow="1" w:lastRow="0" w:firstColumn="1" w:lastColumn="0" w:noHBand="0" w:noVBand="1"/>
      </w:tblPr>
      <w:tblGrid>
        <w:gridCol w:w="4390"/>
        <w:gridCol w:w="1696"/>
        <w:gridCol w:w="1847"/>
        <w:gridCol w:w="1843"/>
      </w:tblGrid>
      <w:tr w:rsidR="008C19F3" w:rsidRPr="00F8705E" w14:paraId="7D7DF667" w14:textId="77777777">
        <w:trPr>
          <w:cnfStyle w:val="100000000000" w:firstRow="1" w:lastRow="0" w:firstColumn="0" w:lastColumn="0" w:oddVBand="0" w:evenVBand="0" w:oddHBand="0" w:evenHBand="0" w:firstRowFirstColumn="0" w:firstRowLastColumn="0" w:lastRowFirstColumn="0" w:lastRowLastColumn="0"/>
        </w:trPr>
        <w:tc>
          <w:tcPr>
            <w:tcW w:w="4390" w:type="dxa"/>
            <w:noWrap/>
            <w:hideMark/>
          </w:tcPr>
          <w:p w14:paraId="7A25FC9B" w14:textId="77777777" w:rsidR="008C19F3" w:rsidRPr="006228D0" w:rsidRDefault="008C19F3">
            <w:pPr>
              <w:pStyle w:val="ARtablecolhead"/>
              <w:spacing w:before="30" w:after="20"/>
            </w:pPr>
          </w:p>
        </w:tc>
        <w:tc>
          <w:tcPr>
            <w:tcW w:w="1696" w:type="dxa"/>
            <w:noWrap/>
            <w:hideMark/>
          </w:tcPr>
          <w:p w14:paraId="1E58B355" w14:textId="77777777" w:rsidR="008C19F3" w:rsidRPr="00EC6705" w:rsidRDefault="008C19F3">
            <w:pPr>
              <w:pStyle w:val="ARtablecolheadright"/>
              <w:spacing w:before="30" w:after="20"/>
            </w:pPr>
            <w:r w:rsidRPr="00EC6705">
              <w:t>2023–24</w:t>
            </w:r>
          </w:p>
          <w:p w14:paraId="4BE48272" w14:textId="77777777" w:rsidR="008C19F3" w:rsidRPr="00EC6705" w:rsidRDefault="008C19F3">
            <w:pPr>
              <w:pStyle w:val="ARtablecolheadright"/>
              <w:spacing w:before="30" w:after="20"/>
            </w:pPr>
            <w:bookmarkStart w:id="247" w:name="_Hlk144805497"/>
            <w:r w:rsidRPr="00EC6705">
              <w:rPr>
                <w:szCs w:val="17"/>
              </w:rPr>
              <w:t>Tonnes CO</w:t>
            </w:r>
            <w:r w:rsidRPr="00EC6705">
              <w:rPr>
                <w:rStyle w:val="Subscript"/>
              </w:rPr>
              <w:t>2</w:t>
            </w:r>
            <w:bookmarkEnd w:id="247"/>
          </w:p>
        </w:tc>
        <w:tc>
          <w:tcPr>
            <w:tcW w:w="1847" w:type="dxa"/>
            <w:noWrap/>
            <w:hideMark/>
          </w:tcPr>
          <w:p w14:paraId="186D1C98" w14:textId="77777777" w:rsidR="008C19F3" w:rsidRPr="006228D0" w:rsidRDefault="008C19F3">
            <w:pPr>
              <w:pStyle w:val="ARtablecolheadright"/>
              <w:spacing w:before="30" w:after="20"/>
            </w:pPr>
            <w:r w:rsidRPr="006228D0">
              <w:t>2022–23</w:t>
            </w:r>
          </w:p>
          <w:p w14:paraId="2CEEAA25" w14:textId="77777777" w:rsidR="008C19F3" w:rsidRPr="006228D0" w:rsidRDefault="008C19F3">
            <w:pPr>
              <w:pStyle w:val="ARtablecolheadright"/>
              <w:spacing w:before="30" w:after="20"/>
            </w:pPr>
            <w:r w:rsidRPr="006228D0">
              <w:rPr>
                <w:szCs w:val="17"/>
              </w:rPr>
              <w:t>Tonnes CO</w:t>
            </w:r>
            <w:r w:rsidRPr="006228D0">
              <w:rPr>
                <w:rStyle w:val="Subscript"/>
              </w:rPr>
              <w:t>2</w:t>
            </w:r>
          </w:p>
        </w:tc>
        <w:tc>
          <w:tcPr>
            <w:tcW w:w="1843" w:type="dxa"/>
            <w:noWrap/>
            <w:hideMark/>
          </w:tcPr>
          <w:p w14:paraId="5B020663" w14:textId="77777777" w:rsidR="008C19F3" w:rsidRPr="006228D0" w:rsidRDefault="008C19F3">
            <w:pPr>
              <w:pStyle w:val="ARtablecolheadright"/>
              <w:spacing w:before="30" w:after="20"/>
            </w:pPr>
            <w:r w:rsidRPr="006228D0">
              <w:t>2021–22</w:t>
            </w:r>
          </w:p>
          <w:p w14:paraId="77BBDF99" w14:textId="77777777" w:rsidR="008C19F3" w:rsidRPr="006228D0" w:rsidRDefault="008C19F3">
            <w:pPr>
              <w:pStyle w:val="ARtablecolheadright"/>
              <w:spacing w:before="30" w:after="20"/>
            </w:pPr>
            <w:r w:rsidRPr="006228D0">
              <w:rPr>
                <w:szCs w:val="17"/>
              </w:rPr>
              <w:t>Tonnes CO</w:t>
            </w:r>
            <w:r w:rsidRPr="006228D0">
              <w:rPr>
                <w:rStyle w:val="Subscript"/>
              </w:rPr>
              <w:t>2</w:t>
            </w:r>
          </w:p>
        </w:tc>
      </w:tr>
      <w:tr w:rsidR="008C19F3" w:rsidRPr="00AF57AF" w14:paraId="7FE91402" w14:textId="77777777">
        <w:trPr>
          <w:trHeight w:val="311"/>
        </w:trPr>
        <w:tc>
          <w:tcPr>
            <w:tcW w:w="4390" w:type="dxa"/>
            <w:noWrap/>
            <w:hideMark/>
          </w:tcPr>
          <w:p w14:paraId="6462B724" w14:textId="1BC4BDB1" w:rsidR="008C19F3" w:rsidRPr="006228D0" w:rsidRDefault="008C19F3">
            <w:pPr>
              <w:pStyle w:val="ARtabletext"/>
              <w:spacing w:before="30" w:after="20"/>
            </w:pPr>
            <w:r w:rsidRPr="006228D0">
              <w:t>F2 Greenhouse gas emissions stationary fuel</w:t>
            </w:r>
            <w:r w:rsidR="00373FEC">
              <w:t> </w:t>
            </w:r>
            <w:r w:rsidRPr="006228D0">
              <w:t xml:space="preserve">consumption </w:t>
            </w:r>
            <w:r w:rsidRPr="00E367CE">
              <w:rPr>
                <w:rStyle w:val="FootnoteReference"/>
              </w:rPr>
              <w:footnoteReference w:id="22"/>
            </w:r>
          </w:p>
        </w:tc>
        <w:tc>
          <w:tcPr>
            <w:tcW w:w="1696" w:type="dxa"/>
            <w:noWrap/>
            <w:hideMark/>
          </w:tcPr>
          <w:p w14:paraId="3A18C54F" w14:textId="77777777" w:rsidR="008C19F3" w:rsidRPr="00EC6705" w:rsidRDefault="008C19F3">
            <w:pPr>
              <w:pStyle w:val="ARtabletextright"/>
              <w:spacing w:before="30" w:after="20"/>
              <w:rPr>
                <w:color w:val="000000"/>
              </w:rPr>
            </w:pPr>
            <w:r w:rsidRPr="00EC6705">
              <w:t>863</w:t>
            </w:r>
          </w:p>
        </w:tc>
        <w:tc>
          <w:tcPr>
            <w:tcW w:w="1847" w:type="dxa"/>
            <w:noWrap/>
            <w:hideMark/>
          </w:tcPr>
          <w:p w14:paraId="63562A62" w14:textId="77777777" w:rsidR="008C19F3" w:rsidRPr="002E49B8" w:rsidRDefault="008C19F3">
            <w:pPr>
              <w:pStyle w:val="ARtabletextright"/>
              <w:spacing w:before="30" w:after="20"/>
              <w:ind w:left="4" w:hanging="284"/>
              <w:rPr>
                <w:highlight w:val="green"/>
              </w:rPr>
            </w:pPr>
            <w:r w:rsidRPr="0074030B">
              <w:t>708.6</w:t>
            </w:r>
          </w:p>
        </w:tc>
        <w:tc>
          <w:tcPr>
            <w:tcW w:w="1843" w:type="dxa"/>
            <w:noWrap/>
            <w:hideMark/>
          </w:tcPr>
          <w:p w14:paraId="7BA4E4C3" w14:textId="77777777" w:rsidR="008C19F3" w:rsidRPr="002E49B8" w:rsidRDefault="008C19F3">
            <w:pPr>
              <w:pStyle w:val="ARtabletextright"/>
              <w:spacing w:before="30" w:after="20"/>
              <w:ind w:left="-286"/>
              <w:rPr>
                <w:highlight w:val="green"/>
              </w:rPr>
            </w:pPr>
            <w:r w:rsidRPr="0074030B">
              <w:t>743</w:t>
            </w:r>
          </w:p>
        </w:tc>
      </w:tr>
    </w:tbl>
    <w:p w14:paraId="6EA4CA39" w14:textId="77777777" w:rsidR="00A95A18" w:rsidRDefault="00A95A18" w:rsidP="00A95A18">
      <w:pPr>
        <w:pStyle w:val="ARbody"/>
      </w:pPr>
      <w:r>
        <w:br w:type="page"/>
      </w:r>
    </w:p>
    <w:p w14:paraId="2BB184A4" w14:textId="353FE0EE" w:rsidR="008C19F3" w:rsidRPr="000570D3" w:rsidRDefault="008C19F3" w:rsidP="008C19F3">
      <w:pPr>
        <w:pStyle w:val="Heading4"/>
      </w:pPr>
      <w:r w:rsidRPr="000570D3">
        <w:t>Housing Services</w:t>
      </w:r>
    </w:p>
    <w:p w14:paraId="543A616B" w14:textId="77777777" w:rsidR="008C19F3" w:rsidRDefault="008C19F3" w:rsidP="00A95A18">
      <w:pPr>
        <w:pStyle w:val="ARtablecaption"/>
      </w:pPr>
      <w:r w:rsidRPr="000570D3">
        <w:t>F1 Total Fuels used in buildings and machinery</w:t>
      </w:r>
    </w:p>
    <w:tbl>
      <w:tblPr>
        <w:tblStyle w:val="TableGrid"/>
        <w:tblW w:w="9639" w:type="dxa"/>
        <w:tblLook w:val="06A0" w:firstRow="1" w:lastRow="0" w:firstColumn="1" w:lastColumn="0" w:noHBand="1" w:noVBand="1"/>
      </w:tblPr>
      <w:tblGrid>
        <w:gridCol w:w="4536"/>
        <w:gridCol w:w="1701"/>
        <w:gridCol w:w="1701"/>
        <w:gridCol w:w="1701"/>
      </w:tblGrid>
      <w:tr w:rsidR="008C19F3" w:rsidRPr="00C9315B" w14:paraId="7C2750B7" w14:textId="77777777">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5EB8178B" w14:textId="77777777" w:rsidR="008C19F3" w:rsidRPr="00E367CE" w:rsidRDefault="008C19F3">
            <w:pPr>
              <w:pStyle w:val="ARtablecolhead"/>
              <w:spacing w:before="30" w:after="20"/>
            </w:pPr>
            <w:r w:rsidRPr="00E367CE">
              <w:t>Indicator</w:t>
            </w:r>
          </w:p>
        </w:tc>
        <w:tc>
          <w:tcPr>
            <w:tcW w:w="1701" w:type="dxa"/>
            <w:tcBorders>
              <w:bottom w:val="single" w:sz="4" w:space="0" w:color="auto"/>
            </w:tcBorders>
            <w:noWrap/>
            <w:hideMark/>
          </w:tcPr>
          <w:p w14:paraId="576C08E2" w14:textId="4B2FA518" w:rsidR="008C19F3" w:rsidRPr="00E367CE" w:rsidRDefault="008C19F3">
            <w:pPr>
              <w:pStyle w:val="ARtablecolheadright"/>
              <w:spacing w:before="30" w:after="20"/>
            </w:pPr>
            <w:r w:rsidRPr="00E367CE">
              <w:t>2023</w:t>
            </w:r>
            <w:r w:rsidR="00F91DB1">
              <w:t>–</w:t>
            </w:r>
            <w:r w:rsidRPr="00E367CE">
              <w:t>24</w:t>
            </w:r>
          </w:p>
          <w:p w14:paraId="669DBAB0" w14:textId="77777777" w:rsidR="008C19F3" w:rsidRPr="00E367CE" w:rsidRDefault="008C19F3">
            <w:pPr>
              <w:pStyle w:val="ARtablecolheadright"/>
              <w:spacing w:before="30" w:after="20"/>
            </w:pPr>
            <w:r w:rsidRPr="00E367CE">
              <w:t>MJ</w:t>
            </w:r>
          </w:p>
        </w:tc>
        <w:tc>
          <w:tcPr>
            <w:tcW w:w="1701" w:type="dxa"/>
            <w:tcBorders>
              <w:bottom w:val="single" w:sz="4" w:space="0" w:color="auto"/>
            </w:tcBorders>
            <w:noWrap/>
            <w:hideMark/>
          </w:tcPr>
          <w:p w14:paraId="4C0FE40E" w14:textId="33F31795" w:rsidR="008C19F3" w:rsidRPr="00E367CE" w:rsidRDefault="008C19F3">
            <w:pPr>
              <w:pStyle w:val="ARtablecolheadright"/>
              <w:spacing w:before="30" w:after="20"/>
            </w:pPr>
            <w:r w:rsidRPr="00E367CE">
              <w:t>2022</w:t>
            </w:r>
            <w:r w:rsidR="00F91DB1">
              <w:t>–</w:t>
            </w:r>
            <w:r w:rsidRPr="00E367CE">
              <w:t>2023</w:t>
            </w:r>
          </w:p>
          <w:p w14:paraId="18ACB911" w14:textId="77777777" w:rsidR="008C19F3" w:rsidRPr="00E367CE" w:rsidRDefault="008C19F3">
            <w:pPr>
              <w:pStyle w:val="ARtablecolheadright"/>
              <w:spacing w:before="30" w:after="20"/>
            </w:pPr>
            <w:r w:rsidRPr="00E367CE">
              <w:t>MJ</w:t>
            </w:r>
          </w:p>
        </w:tc>
        <w:tc>
          <w:tcPr>
            <w:tcW w:w="1701" w:type="dxa"/>
            <w:tcBorders>
              <w:bottom w:val="single" w:sz="4" w:space="0" w:color="auto"/>
            </w:tcBorders>
            <w:noWrap/>
            <w:hideMark/>
          </w:tcPr>
          <w:p w14:paraId="35447BB2" w14:textId="1BB5D5CD" w:rsidR="008C19F3" w:rsidRPr="00E367CE" w:rsidRDefault="008C19F3">
            <w:pPr>
              <w:pStyle w:val="ARtablecolheadright"/>
              <w:spacing w:before="30" w:after="20"/>
            </w:pPr>
            <w:r w:rsidRPr="00E367CE">
              <w:t>2021</w:t>
            </w:r>
            <w:r w:rsidR="00F91DB1">
              <w:t>–</w:t>
            </w:r>
            <w:r w:rsidRPr="00E367CE">
              <w:t>2020</w:t>
            </w:r>
          </w:p>
          <w:p w14:paraId="1F4A302F" w14:textId="77777777" w:rsidR="008C19F3" w:rsidRPr="00E367CE" w:rsidRDefault="008C19F3">
            <w:pPr>
              <w:pStyle w:val="ARtablecolheadright"/>
              <w:spacing w:before="30" w:after="20"/>
            </w:pPr>
            <w:r w:rsidRPr="00E367CE">
              <w:t>MJ</w:t>
            </w:r>
          </w:p>
        </w:tc>
      </w:tr>
      <w:tr w:rsidR="008C19F3" w:rsidRPr="00C9315B" w14:paraId="2795D0E0" w14:textId="77777777">
        <w:tc>
          <w:tcPr>
            <w:tcW w:w="9639" w:type="dxa"/>
            <w:gridSpan w:val="4"/>
            <w:tcBorders>
              <w:top w:val="single" w:sz="4" w:space="0" w:color="auto"/>
              <w:bottom w:val="single" w:sz="4" w:space="0" w:color="BFBFBF"/>
            </w:tcBorders>
            <w:noWrap/>
            <w:hideMark/>
          </w:tcPr>
          <w:p w14:paraId="0B506DED" w14:textId="77777777" w:rsidR="008C19F3" w:rsidRPr="00E367CE" w:rsidRDefault="008C19F3">
            <w:pPr>
              <w:pStyle w:val="ARtabletextbold"/>
              <w:spacing w:before="30" w:after="20"/>
            </w:pPr>
            <w:r w:rsidRPr="00E367CE">
              <w:t>Buildings</w:t>
            </w:r>
          </w:p>
        </w:tc>
      </w:tr>
      <w:tr w:rsidR="008C19F3" w:rsidRPr="00C9315B" w14:paraId="40BD0CB9" w14:textId="77777777">
        <w:trPr>
          <w:trHeight w:val="288"/>
        </w:trPr>
        <w:tc>
          <w:tcPr>
            <w:tcW w:w="4536" w:type="dxa"/>
            <w:tcBorders>
              <w:top w:val="single" w:sz="4" w:space="0" w:color="BFBFBF"/>
              <w:bottom w:val="single" w:sz="4" w:space="0" w:color="auto"/>
            </w:tcBorders>
            <w:noWrap/>
            <w:hideMark/>
          </w:tcPr>
          <w:p w14:paraId="397AE88F" w14:textId="77777777" w:rsidR="008C19F3" w:rsidRPr="00E367CE" w:rsidRDefault="008C19F3">
            <w:pPr>
              <w:pStyle w:val="ARtabletext"/>
              <w:spacing w:before="30" w:after="20"/>
              <w:rPr>
                <w:color w:val="000000"/>
              </w:rPr>
            </w:pPr>
            <w:r w:rsidRPr="00E367CE">
              <w:t xml:space="preserve">Natural gas </w:t>
            </w:r>
            <w:r w:rsidRPr="00E367CE">
              <w:rPr>
                <w:rStyle w:val="FootnoteReference"/>
              </w:rPr>
              <w:footnoteReference w:id="23"/>
            </w:r>
          </w:p>
        </w:tc>
        <w:tc>
          <w:tcPr>
            <w:tcW w:w="1701" w:type="dxa"/>
            <w:tcBorders>
              <w:top w:val="single" w:sz="4" w:space="0" w:color="BFBFBF"/>
              <w:bottom w:val="single" w:sz="4" w:space="0" w:color="auto"/>
            </w:tcBorders>
            <w:noWrap/>
          </w:tcPr>
          <w:p w14:paraId="3B387EDB" w14:textId="77777777" w:rsidR="008C19F3" w:rsidRPr="00E367CE" w:rsidRDefault="008C19F3">
            <w:pPr>
              <w:pStyle w:val="ARtabletextright"/>
              <w:spacing w:before="30" w:after="20"/>
              <w:rPr>
                <w:color w:val="000000"/>
              </w:rPr>
            </w:pPr>
            <w:r>
              <w:rPr>
                <w:color w:val="000000"/>
              </w:rPr>
              <w:t>390,431,401</w:t>
            </w:r>
          </w:p>
        </w:tc>
        <w:tc>
          <w:tcPr>
            <w:tcW w:w="1701" w:type="dxa"/>
            <w:tcBorders>
              <w:top w:val="single" w:sz="4" w:space="0" w:color="BFBFBF"/>
              <w:bottom w:val="single" w:sz="4" w:space="0" w:color="auto"/>
            </w:tcBorders>
            <w:noWrap/>
          </w:tcPr>
          <w:p w14:paraId="01676749" w14:textId="77777777" w:rsidR="008C19F3" w:rsidRPr="00E367CE" w:rsidRDefault="008C19F3">
            <w:pPr>
              <w:pStyle w:val="ARtabletextright"/>
              <w:spacing w:before="30" w:after="20"/>
            </w:pPr>
            <w:r>
              <w:t>370,113,078</w:t>
            </w:r>
          </w:p>
        </w:tc>
        <w:tc>
          <w:tcPr>
            <w:tcW w:w="1701" w:type="dxa"/>
            <w:tcBorders>
              <w:top w:val="single" w:sz="4" w:space="0" w:color="BFBFBF"/>
              <w:bottom w:val="single" w:sz="4" w:space="0" w:color="auto"/>
            </w:tcBorders>
            <w:noWrap/>
          </w:tcPr>
          <w:p w14:paraId="76F2192F" w14:textId="77777777" w:rsidR="008C19F3" w:rsidRPr="00E367CE" w:rsidRDefault="008C19F3">
            <w:pPr>
              <w:pStyle w:val="ARtabletextright"/>
              <w:spacing w:before="30" w:after="20"/>
            </w:pPr>
            <w:r>
              <w:t>380,489,416</w:t>
            </w:r>
          </w:p>
        </w:tc>
      </w:tr>
      <w:tr w:rsidR="008C19F3" w:rsidRPr="00C9315B" w14:paraId="53E852FA" w14:textId="77777777">
        <w:trPr>
          <w:trHeight w:val="288"/>
        </w:trPr>
        <w:tc>
          <w:tcPr>
            <w:tcW w:w="4536" w:type="dxa"/>
            <w:tcBorders>
              <w:top w:val="single" w:sz="4" w:space="0" w:color="auto"/>
            </w:tcBorders>
            <w:noWrap/>
          </w:tcPr>
          <w:p w14:paraId="2F9DE2C2" w14:textId="77777777" w:rsidR="008C19F3" w:rsidRPr="00E367CE" w:rsidRDefault="008C19F3">
            <w:pPr>
              <w:pStyle w:val="ARtabletextbold"/>
              <w:spacing w:before="30" w:after="20"/>
            </w:pPr>
            <w:r w:rsidRPr="00E367CE">
              <w:t>F1 Total fuels used in buildings and machinery</w:t>
            </w:r>
          </w:p>
        </w:tc>
        <w:tc>
          <w:tcPr>
            <w:tcW w:w="1701" w:type="dxa"/>
            <w:tcBorders>
              <w:top w:val="single" w:sz="4" w:space="0" w:color="auto"/>
            </w:tcBorders>
            <w:noWrap/>
          </w:tcPr>
          <w:p w14:paraId="5711063D" w14:textId="77777777" w:rsidR="008C19F3" w:rsidRPr="00E367CE" w:rsidRDefault="008C19F3">
            <w:pPr>
              <w:pStyle w:val="ARtabletextrightbold"/>
              <w:spacing w:before="30" w:after="20"/>
            </w:pPr>
            <w:r>
              <w:t>390,431,401</w:t>
            </w:r>
          </w:p>
        </w:tc>
        <w:tc>
          <w:tcPr>
            <w:tcW w:w="1701" w:type="dxa"/>
            <w:tcBorders>
              <w:top w:val="single" w:sz="4" w:space="0" w:color="auto"/>
            </w:tcBorders>
            <w:noWrap/>
          </w:tcPr>
          <w:p w14:paraId="4329433A" w14:textId="77777777" w:rsidR="008C19F3" w:rsidRPr="00E367CE" w:rsidRDefault="008C19F3">
            <w:pPr>
              <w:pStyle w:val="ARtabletextrightbold"/>
              <w:spacing w:before="30" w:after="20"/>
            </w:pPr>
            <w:r>
              <w:t>370,113,078</w:t>
            </w:r>
          </w:p>
        </w:tc>
        <w:tc>
          <w:tcPr>
            <w:tcW w:w="1701" w:type="dxa"/>
            <w:tcBorders>
              <w:top w:val="single" w:sz="4" w:space="0" w:color="auto"/>
            </w:tcBorders>
            <w:noWrap/>
          </w:tcPr>
          <w:p w14:paraId="2104E595" w14:textId="77777777" w:rsidR="008C19F3" w:rsidRPr="00E367CE" w:rsidRDefault="008C19F3">
            <w:pPr>
              <w:pStyle w:val="ARtabletextrightbold"/>
              <w:spacing w:before="30" w:after="20"/>
            </w:pPr>
            <w:r>
              <w:t>380,489,416</w:t>
            </w:r>
          </w:p>
        </w:tc>
      </w:tr>
    </w:tbl>
    <w:p w14:paraId="12C43676" w14:textId="77777777" w:rsidR="008C19F3" w:rsidRPr="000570D3" w:rsidRDefault="008C19F3" w:rsidP="00A95A18">
      <w:pPr>
        <w:pStyle w:val="ARtablecaption"/>
      </w:pPr>
      <w:r w:rsidRPr="000570D3">
        <w:t>F2 Greenhouse gas emissions stationary fuel consumption</w:t>
      </w:r>
    </w:p>
    <w:tbl>
      <w:tblPr>
        <w:tblStyle w:val="TableGrid"/>
        <w:tblW w:w="9639" w:type="dxa"/>
        <w:tblLook w:val="04A0" w:firstRow="1" w:lastRow="0" w:firstColumn="1" w:lastColumn="0" w:noHBand="0" w:noVBand="1"/>
      </w:tblPr>
      <w:tblGrid>
        <w:gridCol w:w="4536"/>
        <w:gridCol w:w="1701"/>
        <w:gridCol w:w="1701"/>
        <w:gridCol w:w="1701"/>
      </w:tblGrid>
      <w:tr w:rsidR="008C19F3" w:rsidRPr="00C9315B" w14:paraId="2A869199" w14:textId="77777777">
        <w:trPr>
          <w:cnfStyle w:val="100000000000" w:firstRow="1" w:lastRow="0" w:firstColumn="0" w:lastColumn="0" w:oddVBand="0" w:evenVBand="0" w:oddHBand="0" w:evenHBand="0" w:firstRowFirstColumn="0" w:firstRowLastColumn="0" w:lastRowFirstColumn="0" w:lastRowLastColumn="0"/>
        </w:trPr>
        <w:tc>
          <w:tcPr>
            <w:tcW w:w="4536" w:type="dxa"/>
            <w:noWrap/>
            <w:hideMark/>
          </w:tcPr>
          <w:p w14:paraId="0C6A0717" w14:textId="77777777" w:rsidR="008C19F3" w:rsidRPr="000570D3" w:rsidRDefault="008C19F3">
            <w:pPr>
              <w:pStyle w:val="ARtablecolhead"/>
              <w:spacing w:before="30" w:after="20"/>
            </w:pPr>
          </w:p>
        </w:tc>
        <w:tc>
          <w:tcPr>
            <w:tcW w:w="1701" w:type="dxa"/>
            <w:noWrap/>
            <w:hideMark/>
          </w:tcPr>
          <w:p w14:paraId="5A9EB600" w14:textId="59177E57" w:rsidR="008C19F3" w:rsidRPr="000570D3" w:rsidRDefault="008C19F3">
            <w:pPr>
              <w:pStyle w:val="ARtablecolheadright"/>
              <w:spacing w:before="30" w:after="20"/>
            </w:pPr>
            <w:r>
              <w:t>2023</w:t>
            </w:r>
            <w:r w:rsidR="00F91DB1">
              <w:t>–</w:t>
            </w:r>
            <w:r>
              <w:t>24</w:t>
            </w:r>
          </w:p>
          <w:p w14:paraId="15B90421" w14:textId="77777777" w:rsidR="008C19F3" w:rsidRPr="000570D3" w:rsidRDefault="008C19F3">
            <w:pPr>
              <w:pStyle w:val="ARtablecolheadright"/>
              <w:spacing w:before="30" w:after="20"/>
            </w:pPr>
            <w:r w:rsidRPr="000570D3">
              <w:rPr>
                <w:szCs w:val="17"/>
              </w:rPr>
              <w:t>Tonnes CO</w:t>
            </w:r>
            <w:r w:rsidRPr="000570D3">
              <w:rPr>
                <w:rStyle w:val="Subscript"/>
              </w:rPr>
              <w:t>2</w:t>
            </w:r>
          </w:p>
        </w:tc>
        <w:tc>
          <w:tcPr>
            <w:tcW w:w="1701" w:type="dxa"/>
            <w:noWrap/>
            <w:hideMark/>
          </w:tcPr>
          <w:p w14:paraId="75E02F91" w14:textId="1CD11C7F" w:rsidR="008C19F3" w:rsidRPr="000570D3" w:rsidRDefault="008C19F3">
            <w:pPr>
              <w:pStyle w:val="ARtablecolheadright"/>
              <w:spacing w:before="30" w:after="20"/>
            </w:pPr>
            <w:r>
              <w:t>2022</w:t>
            </w:r>
            <w:r w:rsidR="00F91DB1">
              <w:t>–</w:t>
            </w:r>
            <w:r>
              <w:t>21</w:t>
            </w:r>
          </w:p>
          <w:p w14:paraId="348DB5C1" w14:textId="77777777" w:rsidR="008C19F3" w:rsidRPr="000570D3" w:rsidRDefault="008C19F3">
            <w:pPr>
              <w:pStyle w:val="ARtablecolheadright"/>
              <w:spacing w:before="30" w:after="20"/>
            </w:pPr>
            <w:r w:rsidRPr="000570D3">
              <w:rPr>
                <w:szCs w:val="17"/>
              </w:rPr>
              <w:t>Tonnes CO</w:t>
            </w:r>
            <w:r w:rsidRPr="000570D3">
              <w:rPr>
                <w:rStyle w:val="Subscript"/>
              </w:rPr>
              <w:t>2</w:t>
            </w:r>
          </w:p>
        </w:tc>
        <w:tc>
          <w:tcPr>
            <w:tcW w:w="1701" w:type="dxa"/>
            <w:noWrap/>
            <w:hideMark/>
          </w:tcPr>
          <w:p w14:paraId="3B826C21" w14:textId="13EEA530" w:rsidR="008C19F3" w:rsidRPr="000570D3" w:rsidRDefault="008C19F3">
            <w:pPr>
              <w:pStyle w:val="ARtablecolheadright"/>
              <w:spacing w:before="30" w:after="20"/>
            </w:pPr>
            <w:r>
              <w:t>2021</w:t>
            </w:r>
            <w:r w:rsidR="00F91DB1">
              <w:t>–</w:t>
            </w:r>
            <w:r>
              <w:t>22</w:t>
            </w:r>
          </w:p>
          <w:p w14:paraId="157AFE9D" w14:textId="77777777" w:rsidR="008C19F3" w:rsidRPr="000570D3" w:rsidRDefault="008C19F3">
            <w:pPr>
              <w:pStyle w:val="ARtablecolheadright"/>
              <w:spacing w:before="30" w:after="20"/>
            </w:pPr>
            <w:r w:rsidRPr="000570D3">
              <w:rPr>
                <w:szCs w:val="17"/>
              </w:rPr>
              <w:t>Tonnes CO</w:t>
            </w:r>
            <w:r w:rsidRPr="000570D3">
              <w:rPr>
                <w:rStyle w:val="Subscript"/>
              </w:rPr>
              <w:t>2</w:t>
            </w:r>
          </w:p>
        </w:tc>
      </w:tr>
      <w:tr w:rsidR="008C19F3" w:rsidRPr="00AF57AF" w14:paraId="195EB8F4" w14:textId="77777777">
        <w:trPr>
          <w:trHeight w:val="288"/>
        </w:trPr>
        <w:tc>
          <w:tcPr>
            <w:tcW w:w="4536" w:type="dxa"/>
            <w:noWrap/>
            <w:hideMark/>
          </w:tcPr>
          <w:p w14:paraId="078C55C7" w14:textId="5E45E269" w:rsidR="008C19F3" w:rsidRPr="000570D3" w:rsidRDefault="008C19F3">
            <w:pPr>
              <w:pStyle w:val="ARtabletext"/>
              <w:spacing w:before="30" w:after="20"/>
            </w:pPr>
            <w:r w:rsidRPr="000570D3">
              <w:t>F2 Greenhouse gas emissions stationary fuel</w:t>
            </w:r>
            <w:r w:rsidR="00373FEC">
              <w:t> </w:t>
            </w:r>
            <w:r w:rsidRPr="000570D3">
              <w:t>consumption</w:t>
            </w:r>
          </w:p>
        </w:tc>
        <w:tc>
          <w:tcPr>
            <w:tcW w:w="1701" w:type="dxa"/>
            <w:noWrap/>
            <w:hideMark/>
          </w:tcPr>
          <w:p w14:paraId="2DC379CD" w14:textId="77777777" w:rsidR="008C19F3" w:rsidRPr="000570D3" w:rsidRDefault="008C19F3">
            <w:pPr>
              <w:pStyle w:val="ARtabletextright"/>
              <w:spacing w:before="30" w:after="20"/>
              <w:rPr>
                <w:color w:val="000000"/>
              </w:rPr>
            </w:pPr>
            <w:r w:rsidRPr="0059461D">
              <w:t>20,119</w:t>
            </w:r>
          </w:p>
        </w:tc>
        <w:tc>
          <w:tcPr>
            <w:tcW w:w="1701" w:type="dxa"/>
            <w:noWrap/>
            <w:hideMark/>
          </w:tcPr>
          <w:p w14:paraId="3F248464" w14:textId="77777777" w:rsidR="008C19F3" w:rsidRPr="000570D3" w:rsidRDefault="008C19F3">
            <w:pPr>
              <w:pStyle w:val="ARtabletextright"/>
              <w:spacing w:before="30" w:after="20"/>
            </w:pPr>
            <w:r w:rsidRPr="0059461D">
              <w:t>19,072</w:t>
            </w:r>
          </w:p>
        </w:tc>
        <w:tc>
          <w:tcPr>
            <w:tcW w:w="1701" w:type="dxa"/>
            <w:noWrap/>
            <w:hideMark/>
          </w:tcPr>
          <w:p w14:paraId="76F7BEC6" w14:textId="77777777" w:rsidR="008C19F3" w:rsidRPr="000570D3" w:rsidRDefault="008C19F3">
            <w:pPr>
              <w:pStyle w:val="ARtabletextright"/>
              <w:spacing w:before="30" w:after="20"/>
            </w:pPr>
            <w:r w:rsidRPr="0059461D">
              <w:t>19,607</w:t>
            </w:r>
          </w:p>
        </w:tc>
      </w:tr>
    </w:tbl>
    <w:p w14:paraId="5A31194A" w14:textId="77777777" w:rsidR="003A1564" w:rsidRPr="000570D3" w:rsidRDefault="003A1564" w:rsidP="00333387">
      <w:pPr>
        <w:pStyle w:val="Heading3"/>
      </w:pPr>
      <w:r w:rsidRPr="000570D3">
        <w:t>Transportation</w:t>
      </w:r>
    </w:p>
    <w:p w14:paraId="28A413CF" w14:textId="7E397D16" w:rsidR="003A1564" w:rsidRDefault="003A1564" w:rsidP="003A1564">
      <w:pPr>
        <w:pStyle w:val="ARbody"/>
      </w:pPr>
      <w:r w:rsidRPr="000570D3">
        <w:t>The department</w:t>
      </w:r>
      <w:r w:rsidR="00711AE6">
        <w:t>’</w:t>
      </w:r>
      <w:r w:rsidRPr="000570D3">
        <w:t>s fleet comprises 1,241 vehicles. Of the 1,216 internal combustion engine vehicles, 39</w:t>
      </w:r>
      <w:r w:rsidR="00F95AC7">
        <w:t>%</w:t>
      </w:r>
      <w:r w:rsidRPr="000570D3">
        <w:t xml:space="preserve"> were hybrid unleaded or hybrid electric vehicles.</w:t>
      </w:r>
      <w:r>
        <w:t xml:space="preserve"> Greenhouse gas emissions from department fleet between 2022</w:t>
      </w:r>
      <w:r w:rsidR="00F91DB1">
        <w:t>–</w:t>
      </w:r>
      <w:r>
        <w:t>23 and 2023</w:t>
      </w:r>
      <w:r w:rsidR="00F91DB1">
        <w:t>–</w:t>
      </w:r>
      <w:r>
        <w:t>24 have remained consistent.</w:t>
      </w:r>
    </w:p>
    <w:p w14:paraId="3998C391" w14:textId="7E80C12E" w:rsidR="003A1564" w:rsidRPr="00630263" w:rsidRDefault="003A1564" w:rsidP="003A1564">
      <w:pPr>
        <w:pStyle w:val="ARbody"/>
      </w:pPr>
      <w:r w:rsidRPr="00630263">
        <w:t>The data has been exported from the department</w:t>
      </w:r>
      <w:r w:rsidR="00711AE6">
        <w:t>’</w:t>
      </w:r>
      <w:r w:rsidRPr="00630263">
        <w:t>s vehicle management system (FleetWave) including fuel transactions and kilometres travelled for the period 1 April 2023 to 31 March 2024 (FBT annual reporting).</w:t>
      </w:r>
    </w:p>
    <w:p w14:paraId="34936393" w14:textId="77777777" w:rsidR="003A1564" w:rsidRPr="000570D3" w:rsidRDefault="003A1564" w:rsidP="003A1564">
      <w:pPr>
        <w:pStyle w:val="ARbody"/>
      </w:pPr>
      <w:r w:rsidRPr="000570D3">
        <w:t xml:space="preserve">The department is committed to the Victorian Government transport sector pledge and a Zero Emissions Vehicle Roadmap as part of our </w:t>
      </w:r>
      <w:r w:rsidRPr="007803CC">
        <w:rPr>
          <w:rStyle w:val="Emphasis"/>
        </w:rPr>
        <w:t>Climate change strategy</w:t>
      </w:r>
      <w:r w:rsidRPr="000570D3">
        <w:t>.</w:t>
      </w:r>
    </w:p>
    <w:p w14:paraId="155FC656" w14:textId="31C2F9CE" w:rsidR="003A1564" w:rsidRPr="001D4158" w:rsidRDefault="003A1564" w:rsidP="003A1564">
      <w:pPr>
        <w:pStyle w:val="ARbody"/>
      </w:pPr>
      <w:r w:rsidRPr="001D4158">
        <w:t>The increase in air travel from 2021–22 to 2022–23 is explained by the removal of COVID-19 restrictions</w:t>
      </w:r>
      <w:r>
        <w:t xml:space="preserve"> and</w:t>
      </w:r>
      <w:r w:rsidR="0052277A">
        <w:t> </w:t>
      </w:r>
      <w:r>
        <w:t>resumed in-person interdepartmental collaborations</w:t>
      </w:r>
      <w:r w:rsidRPr="001D4158">
        <w:t>.</w:t>
      </w:r>
    </w:p>
    <w:p w14:paraId="1648931B" w14:textId="77777777" w:rsidR="003A1564" w:rsidRPr="000570D3" w:rsidRDefault="003A1564" w:rsidP="00A95A18">
      <w:pPr>
        <w:pStyle w:val="ARtablecaption"/>
      </w:pPr>
      <w:r w:rsidRPr="000570D3">
        <w:t>Number and proportion of vehicles – department fleet</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3A1564" w:rsidRPr="00801013" w14:paraId="2FC2F4FD"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2835" w:type="dxa"/>
            <w:tcBorders>
              <w:bottom w:val="single" w:sz="4" w:space="0" w:color="auto"/>
            </w:tcBorders>
          </w:tcPr>
          <w:p w14:paraId="79403FAF" w14:textId="77777777" w:rsidR="003A1564" w:rsidRPr="000570D3" w:rsidRDefault="003A1564">
            <w:pPr>
              <w:pStyle w:val="ARtablecolhead"/>
              <w:spacing w:before="30" w:after="20"/>
              <w:rPr>
                <w:i/>
              </w:rPr>
            </w:pPr>
            <w:r w:rsidRPr="000570D3">
              <w:t>Indicator</w:t>
            </w:r>
          </w:p>
        </w:tc>
        <w:tc>
          <w:tcPr>
            <w:tcW w:w="1134" w:type="dxa"/>
            <w:tcBorders>
              <w:bottom w:val="single" w:sz="4" w:space="0" w:color="auto"/>
            </w:tcBorders>
          </w:tcPr>
          <w:p w14:paraId="30D8045A" w14:textId="4F860A23" w:rsidR="003A1564" w:rsidRDefault="003A1564">
            <w:pPr>
              <w:pStyle w:val="ARtablecolheadright"/>
              <w:spacing w:before="30" w:after="20"/>
            </w:pPr>
            <w:r w:rsidRPr="00450E2B">
              <w:t>2023</w:t>
            </w:r>
            <w:r w:rsidR="00F91DB1">
              <w:t>–</w:t>
            </w:r>
            <w:r w:rsidRPr="00450E2B">
              <w:t>24</w:t>
            </w:r>
          </w:p>
          <w:p w14:paraId="6A2BBA33" w14:textId="77777777" w:rsidR="003A1564" w:rsidRPr="000570D3" w:rsidRDefault="003A1564">
            <w:pPr>
              <w:pStyle w:val="ARtablecolheadright"/>
              <w:spacing w:before="30" w:after="20"/>
            </w:pPr>
            <w:r>
              <w:t>No.</w:t>
            </w:r>
          </w:p>
        </w:tc>
        <w:tc>
          <w:tcPr>
            <w:tcW w:w="1134" w:type="dxa"/>
            <w:tcBorders>
              <w:bottom w:val="single" w:sz="4" w:space="0" w:color="auto"/>
            </w:tcBorders>
          </w:tcPr>
          <w:p w14:paraId="2A9317A3" w14:textId="7C7A2488" w:rsidR="003A1564" w:rsidRPr="000570D3" w:rsidRDefault="003A1564">
            <w:pPr>
              <w:pStyle w:val="ARtablecolheadright"/>
              <w:spacing w:before="30" w:after="20"/>
            </w:pPr>
            <w:r w:rsidRPr="00450E2B">
              <w:t>2023</w:t>
            </w:r>
            <w:r w:rsidR="00F91DB1">
              <w:t>–</w:t>
            </w:r>
            <w:r w:rsidRPr="00450E2B">
              <w:t>24</w:t>
            </w:r>
          </w:p>
          <w:p w14:paraId="67FE8B46" w14:textId="77777777" w:rsidR="003A1564" w:rsidRPr="000570D3" w:rsidRDefault="003A1564">
            <w:pPr>
              <w:pStyle w:val="ARtablecolheadright"/>
              <w:spacing w:before="30" w:after="20"/>
              <w:rPr>
                <w:i/>
              </w:rPr>
            </w:pPr>
            <w:r>
              <w:t>%</w:t>
            </w:r>
          </w:p>
        </w:tc>
        <w:tc>
          <w:tcPr>
            <w:tcW w:w="1134" w:type="dxa"/>
            <w:tcBorders>
              <w:bottom w:val="single" w:sz="4" w:space="0" w:color="auto"/>
            </w:tcBorders>
          </w:tcPr>
          <w:p w14:paraId="2B31EC13" w14:textId="77777777" w:rsidR="003A1564" w:rsidRPr="000570D3" w:rsidRDefault="003A1564">
            <w:pPr>
              <w:pStyle w:val="ARtablecolheadright"/>
              <w:spacing w:before="30" w:after="20"/>
            </w:pPr>
            <w:r w:rsidRPr="00450E2B">
              <w:t>2022–23</w:t>
            </w:r>
          </w:p>
          <w:p w14:paraId="353A611B" w14:textId="77777777" w:rsidR="003A1564" w:rsidRPr="000570D3" w:rsidRDefault="003A1564">
            <w:pPr>
              <w:pStyle w:val="ARtablecolheadright"/>
              <w:spacing w:before="30" w:after="20"/>
              <w:rPr>
                <w:i/>
              </w:rPr>
            </w:pPr>
            <w:r>
              <w:t>No.</w:t>
            </w:r>
          </w:p>
        </w:tc>
        <w:tc>
          <w:tcPr>
            <w:tcW w:w="1134" w:type="dxa"/>
            <w:tcBorders>
              <w:bottom w:val="single" w:sz="4" w:space="0" w:color="auto"/>
            </w:tcBorders>
          </w:tcPr>
          <w:p w14:paraId="1BAC183C" w14:textId="77777777" w:rsidR="003A1564" w:rsidRPr="000570D3" w:rsidRDefault="003A1564">
            <w:pPr>
              <w:pStyle w:val="ARtablecolheadright"/>
              <w:spacing w:before="30" w:after="20"/>
            </w:pPr>
            <w:r w:rsidRPr="00450E2B">
              <w:t>2022–23</w:t>
            </w:r>
          </w:p>
          <w:p w14:paraId="342A7DF4" w14:textId="77777777" w:rsidR="003A1564" w:rsidRPr="000570D3" w:rsidRDefault="003A1564">
            <w:pPr>
              <w:pStyle w:val="ARtablecolheadright"/>
              <w:spacing w:before="30" w:after="20"/>
              <w:rPr>
                <w:i/>
              </w:rPr>
            </w:pPr>
            <w:r>
              <w:t>%</w:t>
            </w:r>
          </w:p>
        </w:tc>
        <w:tc>
          <w:tcPr>
            <w:tcW w:w="1134" w:type="dxa"/>
            <w:tcBorders>
              <w:bottom w:val="single" w:sz="4" w:space="0" w:color="auto"/>
            </w:tcBorders>
          </w:tcPr>
          <w:p w14:paraId="5D2ED068" w14:textId="77777777" w:rsidR="003A1564" w:rsidRPr="000570D3" w:rsidRDefault="003A1564">
            <w:pPr>
              <w:pStyle w:val="ARtablecolheadright"/>
              <w:spacing w:before="30" w:after="20"/>
            </w:pPr>
            <w:r w:rsidRPr="00450E2B">
              <w:t>2021–22</w:t>
            </w:r>
          </w:p>
          <w:p w14:paraId="67FE0CA8" w14:textId="77777777" w:rsidR="003A1564" w:rsidRPr="000570D3" w:rsidRDefault="003A1564">
            <w:pPr>
              <w:pStyle w:val="ARtablecolheadright"/>
              <w:spacing w:before="30" w:after="20"/>
              <w:rPr>
                <w:i/>
              </w:rPr>
            </w:pPr>
            <w:r>
              <w:t>No.</w:t>
            </w:r>
          </w:p>
        </w:tc>
        <w:tc>
          <w:tcPr>
            <w:tcW w:w="1134" w:type="dxa"/>
            <w:tcBorders>
              <w:bottom w:val="single" w:sz="4" w:space="0" w:color="auto"/>
            </w:tcBorders>
          </w:tcPr>
          <w:p w14:paraId="183871EF" w14:textId="77777777" w:rsidR="003A1564" w:rsidRPr="000570D3" w:rsidRDefault="003A1564">
            <w:pPr>
              <w:pStyle w:val="ARtablecolheadright"/>
              <w:spacing w:before="30" w:after="20"/>
            </w:pPr>
            <w:r w:rsidRPr="00450E2B">
              <w:t>2021–22</w:t>
            </w:r>
          </w:p>
          <w:p w14:paraId="48779CB0" w14:textId="77777777" w:rsidR="003A1564" w:rsidRPr="000570D3" w:rsidRDefault="003A1564">
            <w:pPr>
              <w:pStyle w:val="ARtablecolheadright"/>
              <w:spacing w:before="30" w:after="20"/>
              <w:rPr>
                <w:i/>
              </w:rPr>
            </w:pPr>
            <w:r>
              <w:t>%</w:t>
            </w:r>
          </w:p>
        </w:tc>
      </w:tr>
      <w:tr w:rsidR="003A1564" w:rsidRPr="00801013" w14:paraId="7DCDD8EC" w14:textId="77777777">
        <w:trPr>
          <w:cantSplit w:val="0"/>
          <w:trHeight w:val="225"/>
        </w:trPr>
        <w:tc>
          <w:tcPr>
            <w:tcW w:w="9639" w:type="dxa"/>
            <w:gridSpan w:val="7"/>
            <w:tcBorders>
              <w:top w:val="single" w:sz="4" w:space="0" w:color="auto"/>
              <w:bottom w:val="single" w:sz="4" w:space="0" w:color="BFBFBF"/>
            </w:tcBorders>
          </w:tcPr>
          <w:p w14:paraId="653D5AB6" w14:textId="77777777" w:rsidR="003A1564" w:rsidRPr="000570D3" w:rsidRDefault="003A1564">
            <w:pPr>
              <w:pStyle w:val="ARtabletextbold"/>
              <w:spacing w:before="30" w:after="20"/>
            </w:pPr>
            <w:r w:rsidRPr="000570D3">
              <w:t>Passenger vehicles</w:t>
            </w:r>
          </w:p>
        </w:tc>
      </w:tr>
      <w:tr w:rsidR="003A1564" w:rsidRPr="00801013" w14:paraId="0ECFBF26" w14:textId="77777777">
        <w:trPr>
          <w:cantSplit w:val="0"/>
          <w:trHeight w:val="225"/>
        </w:trPr>
        <w:tc>
          <w:tcPr>
            <w:tcW w:w="9639" w:type="dxa"/>
            <w:gridSpan w:val="7"/>
            <w:tcBorders>
              <w:top w:val="single" w:sz="4" w:space="0" w:color="BFBFBF"/>
              <w:bottom w:val="single" w:sz="4" w:space="0" w:color="BFBFBF"/>
            </w:tcBorders>
          </w:tcPr>
          <w:p w14:paraId="5D07C9A6" w14:textId="77777777" w:rsidR="003A1564" w:rsidRPr="000570D3" w:rsidRDefault="003A1564">
            <w:pPr>
              <w:pStyle w:val="ARtabletextbold"/>
              <w:spacing w:before="30" w:after="20"/>
            </w:pPr>
            <w:r w:rsidRPr="000570D3">
              <w:t>Internal combustion engines</w:t>
            </w:r>
          </w:p>
        </w:tc>
      </w:tr>
      <w:tr w:rsidR="003A1564" w:rsidRPr="00801013" w14:paraId="76D91290" w14:textId="77777777">
        <w:trPr>
          <w:cantSplit w:val="0"/>
          <w:trHeight w:val="225"/>
        </w:trPr>
        <w:tc>
          <w:tcPr>
            <w:tcW w:w="2835" w:type="dxa"/>
            <w:tcBorders>
              <w:top w:val="single" w:sz="4" w:space="0" w:color="BFBFBF"/>
              <w:bottom w:val="single" w:sz="4" w:space="0" w:color="BFBFBF"/>
            </w:tcBorders>
          </w:tcPr>
          <w:p w14:paraId="52E4C01D" w14:textId="77777777" w:rsidR="003A1564" w:rsidRPr="000570D3" w:rsidRDefault="003A1564">
            <w:pPr>
              <w:pStyle w:val="ARtabletext"/>
              <w:spacing w:before="30" w:after="20"/>
            </w:pPr>
            <w:r w:rsidRPr="000570D3">
              <w:rPr>
                <w:rFonts w:eastAsia="Calibri"/>
              </w:rPr>
              <w:t>Petrol</w:t>
            </w:r>
          </w:p>
        </w:tc>
        <w:tc>
          <w:tcPr>
            <w:tcW w:w="1134" w:type="dxa"/>
            <w:tcBorders>
              <w:top w:val="single" w:sz="4" w:space="0" w:color="BFBFBF"/>
              <w:bottom w:val="single" w:sz="4" w:space="0" w:color="BFBFBF"/>
            </w:tcBorders>
          </w:tcPr>
          <w:p w14:paraId="2CAAF1ED" w14:textId="77777777" w:rsidR="003A1564" w:rsidRPr="000570D3" w:rsidRDefault="003A1564">
            <w:pPr>
              <w:pStyle w:val="ARtabletextright"/>
              <w:spacing w:before="30" w:after="20"/>
            </w:pPr>
            <w:r w:rsidRPr="00B9725E">
              <w:t>390</w:t>
            </w:r>
          </w:p>
        </w:tc>
        <w:tc>
          <w:tcPr>
            <w:tcW w:w="1134" w:type="dxa"/>
            <w:tcBorders>
              <w:top w:val="single" w:sz="4" w:space="0" w:color="BFBFBF"/>
              <w:bottom w:val="single" w:sz="4" w:space="0" w:color="BFBFBF"/>
            </w:tcBorders>
          </w:tcPr>
          <w:p w14:paraId="350FDF53" w14:textId="77777777" w:rsidR="003A1564" w:rsidRPr="000570D3" w:rsidRDefault="003A1564">
            <w:pPr>
              <w:pStyle w:val="ARtabletextright"/>
              <w:spacing w:before="30" w:after="20"/>
            </w:pPr>
            <w:r w:rsidRPr="00B9725E">
              <w:t>31</w:t>
            </w:r>
          </w:p>
        </w:tc>
        <w:tc>
          <w:tcPr>
            <w:tcW w:w="1134" w:type="dxa"/>
            <w:tcBorders>
              <w:top w:val="single" w:sz="4" w:space="0" w:color="BFBFBF"/>
              <w:bottom w:val="single" w:sz="4" w:space="0" w:color="BFBFBF"/>
            </w:tcBorders>
          </w:tcPr>
          <w:p w14:paraId="3CF73EE8" w14:textId="77777777" w:rsidR="003A1564" w:rsidRPr="000570D3" w:rsidRDefault="003A1564">
            <w:pPr>
              <w:pStyle w:val="ARtabletextright"/>
              <w:spacing w:before="30" w:after="20"/>
            </w:pPr>
            <w:r w:rsidRPr="00B9725E">
              <w:t>475</w:t>
            </w:r>
          </w:p>
        </w:tc>
        <w:tc>
          <w:tcPr>
            <w:tcW w:w="1134" w:type="dxa"/>
            <w:tcBorders>
              <w:top w:val="single" w:sz="4" w:space="0" w:color="BFBFBF"/>
              <w:bottom w:val="single" w:sz="4" w:space="0" w:color="BFBFBF"/>
            </w:tcBorders>
          </w:tcPr>
          <w:p w14:paraId="74351641" w14:textId="2BB51AFE" w:rsidR="003A1564" w:rsidRPr="000570D3" w:rsidRDefault="00F91DB1">
            <w:pPr>
              <w:pStyle w:val="ARtabletextright"/>
              <w:spacing w:before="30" w:after="20"/>
            </w:pPr>
            <w:r>
              <w:t>–</w:t>
            </w:r>
          </w:p>
        </w:tc>
        <w:tc>
          <w:tcPr>
            <w:tcW w:w="1134" w:type="dxa"/>
            <w:tcBorders>
              <w:top w:val="single" w:sz="4" w:space="0" w:color="BFBFBF"/>
              <w:bottom w:val="single" w:sz="4" w:space="0" w:color="BFBFBF"/>
            </w:tcBorders>
          </w:tcPr>
          <w:p w14:paraId="33A3C2DC" w14:textId="77777777" w:rsidR="003A1564" w:rsidRPr="000570D3" w:rsidRDefault="003A1564">
            <w:pPr>
              <w:pStyle w:val="ARtabletextright"/>
              <w:spacing w:before="30" w:after="20"/>
            </w:pPr>
            <w:r w:rsidRPr="00B9725E">
              <w:t>554</w:t>
            </w:r>
          </w:p>
        </w:tc>
        <w:tc>
          <w:tcPr>
            <w:tcW w:w="1134" w:type="dxa"/>
            <w:tcBorders>
              <w:top w:val="single" w:sz="4" w:space="0" w:color="BFBFBF"/>
              <w:bottom w:val="single" w:sz="4" w:space="0" w:color="BFBFBF"/>
            </w:tcBorders>
          </w:tcPr>
          <w:p w14:paraId="2C774684" w14:textId="77777777" w:rsidR="003A1564" w:rsidRPr="000570D3" w:rsidRDefault="003A1564">
            <w:pPr>
              <w:pStyle w:val="ARtabletextright"/>
              <w:spacing w:before="30" w:after="20"/>
            </w:pPr>
            <w:r w:rsidRPr="00B9725E">
              <w:t>–</w:t>
            </w:r>
          </w:p>
        </w:tc>
      </w:tr>
      <w:tr w:rsidR="003A1564" w:rsidRPr="00801013" w14:paraId="200D3D03" w14:textId="77777777">
        <w:trPr>
          <w:cantSplit w:val="0"/>
          <w:trHeight w:val="225"/>
        </w:trPr>
        <w:tc>
          <w:tcPr>
            <w:tcW w:w="2835" w:type="dxa"/>
            <w:tcBorders>
              <w:top w:val="single" w:sz="4" w:space="0" w:color="BFBFBF"/>
              <w:bottom w:val="single" w:sz="4" w:space="0" w:color="BFBFBF"/>
            </w:tcBorders>
          </w:tcPr>
          <w:p w14:paraId="00AA0BA3" w14:textId="77777777" w:rsidR="003A1564" w:rsidRPr="000570D3" w:rsidRDefault="003A1564">
            <w:pPr>
              <w:pStyle w:val="ARtabletext"/>
              <w:spacing w:before="30" w:after="20"/>
            </w:pPr>
            <w:r w:rsidRPr="000570D3">
              <w:rPr>
                <w:rFonts w:eastAsia="Calibri"/>
              </w:rPr>
              <w:t>Diesel/biodiesel</w:t>
            </w:r>
          </w:p>
        </w:tc>
        <w:tc>
          <w:tcPr>
            <w:tcW w:w="1134" w:type="dxa"/>
            <w:tcBorders>
              <w:top w:val="single" w:sz="4" w:space="0" w:color="BFBFBF"/>
              <w:bottom w:val="single" w:sz="4" w:space="0" w:color="BFBFBF"/>
            </w:tcBorders>
          </w:tcPr>
          <w:p w14:paraId="168D204B" w14:textId="77777777" w:rsidR="003A1564" w:rsidRPr="000570D3" w:rsidRDefault="003A1564">
            <w:pPr>
              <w:pStyle w:val="ARtabletextright"/>
              <w:spacing w:before="30" w:after="20"/>
            </w:pPr>
            <w:r w:rsidRPr="00B9725E">
              <w:t>354</w:t>
            </w:r>
          </w:p>
        </w:tc>
        <w:tc>
          <w:tcPr>
            <w:tcW w:w="1134" w:type="dxa"/>
            <w:tcBorders>
              <w:top w:val="single" w:sz="4" w:space="0" w:color="BFBFBF"/>
              <w:bottom w:val="single" w:sz="4" w:space="0" w:color="BFBFBF"/>
            </w:tcBorders>
          </w:tcPr>
          <w:p w14:paraId="3F1C99F1" w14:textId="77777777" w:rsidR="003A1564" w:rsidRPr="000570D3" w:rsidRDefault="003A1564">
            <w:pPr>
              <w:pStyle w:val="ARtabletextright"/>
              <w:spacing w:before="30" w:after="20"/>
            </w:pPr>
            <w:r w:rsidRPr="00B9725E">
              <w:t>29</w:t>
            </w:r>
          </w:p>
        </w:tc>
        <w:tc>
          <w:tcPr>
            <w:tcW w:w="1134" w:type="dxa"/>
            <w:tcBorders>
              <w:top w:val="single" w:sz="4" w:space="0" w:color="BFBFBF"/>
              <w:bottom w:val="single" w:sz="4" w:space="0" w:color="BFBFBF"/>
            </w:tcBorders>
          </w:tcPr>
          <w:p w14:paraId="474A7679" w14:textId="77777777" w:rsidR="003A1564" w:rsidRPr="000570D3" w:rsidRDefault="003A1564">
            <w:pPr>
              <w:pStyle w:val="ARtabletextright"/>
              <w:spacing w:before="30" w:after="20"/>
            </w:pPr>
            <w:r w:rsidRPr="00B9725E">
              <w:t>281</w:t>
            </w:r>
          </w:p>
        </w:tc>
        <w:tc>
          <w:tcPr>
            <w:tcW w:w="1134" w:type="dxa"/>
            <w:tcBorders>
              <w:top w:val="single" w:sz="4" w:space="0" w:color="BFBFBF"/>
              <w:bottom w:val="single" w:sz="4" w:space="0" w:color="BFBFBF"/>
            </w:tcBorders>
          </w:tcPr>
          <w:p w14:paraId="0EAFDFDE" w14:textId="76EED35C" w:rsidR="003A1564" w:rsidRPr="000570D3" w:rsidRDefault="00F91DB1">
            <w:pPr>
              <w:pStyle w:val="ARtabletextright"/>
              <w:spacing w:before="30" w:after="20"/>
            </w:pPr>
            <w:r>
              <w:t>–</w:t>
            </w:r>
          </w:p>
        </w:tc>
        <w:tc>
          <w:tcPr>
            <w:tcW w:w="1134" w:type="dxa"/>
            <w:tcBorders>
              <w:top w:val="single" w:sz="4" w:space="0" w:color="BFBFBF"/>
              <w:bottom w:val="single" w:sz="4" w:space="0" w:color="BFBFBF"/>
            </w:tcBorders>
          </w:tcPr>
          <w:p w14:paraId="0C2C0E4F" w14:textId="77777777" w:rsidR="003A1564" w:rsidRPr="000570D3" w:rsidRDefault="003A1564">
            <w:pPr>
              <w:pStyle w:val="ARtabletextright"/>
              <w:spacing w:before="30" w:after="20"/>
            </w:pPr>
            <w:r w:rsidRPr="00B9725E">
              <w:t>202</w:t>
            </w:r>
          </w:p>
        </w:tc>
        <w:tc>
          <w:tcPr>
            <w:tcW w:w="1134" w:type="dxa"/>
            <w:tcBorders>
              <w:top w:val="single" w:sz="4" w:space="0" w:color="BFBFBF"/>
              <w:bottom w:val="single" w:sz="4" w:space="0" w:color="BFBFBF"/>
            </w:tcBorders>
          </w:tcPr>
          <w:p w14:paraId="112DAB31" w14:textId="77777777" w:rsidR="003A1564" w:rsidRPr="000570D3" w:rsidRDefault="003A1564">
            <w:pPr>
              <w:pStyle w:val="ARtabletextright"/>
              <w:spacing w:before="30" w:after="20"/>
            </w:pPr>
            <w:r w:rsidRPr="00B9725E">
              <w:t>–</w:t>
            </w:r>
          </w:p>
        </w:tc>
      </w:tr>
      <w:tr w:rsidR="003A1564" w:rsidRPr="00801013" w14:paraId="4865AC89" w14:textId="77777777">
        <w:trPr>
          <w:cantSplit w:val="0"/>
          <w:trHeight w:val="225"/>
        </w:trPr>
        <w:tc>
          <w:tcPr>
            <w:tcW w:w="2835" w:type="dxa"/>
            <w:tcBorders>
              <w:top w:val="single" w:sz="4" w:space="0" w:color="BFBFBF"/>
              <w:bottom w:val="single" w:sz="4" w:space="0" w:color="BFBFBF"/>
            </w:tcBorders>
          </w:tcPr>
          <w:p w14:paraId="36EA5722" w14:textId="77777777" w:rsidR="003A1564" w:rsidRPr="000570D3" w:rsidRDefault="003A1564">
            <w:pPr>
              <w:pStyle w:val="ARtabletext"/>
              <w:spacing w:before="30" w:after="20"/>
            </w:pPr>
            <w:r w:rsidRPr="000570D3">
              <w:rPr>
                <w:rFonts w:eastAsia="Calibri"/>
              </w:rPr>
              <w:t>Hybrid/unleaded</w:t>
            </w:r>
          </w:p>
        </w:tc>
        <w:tc>
          <w:tcPr>
            <w:tcW w:w="1134" w:type="dxa"/>
            <w:tcBorders>
              <w:top w:val="single" w:sz="4" w:space="0" w:color="BFBFBF"/>
              <w:bottom w:val="single" w:sz="4" w:space="0" w:color="BFBFBF"/>
            </w:tcBorders>
          </w:tcPr>
          <w:p w14:paraId="571D9249" w14:textId="77777777" w:rsidR="003A1564" w:rsidRPr="000570D3" w:rsidRDefault="003A1564">
            <w:pPr>
              <w:pStyle w:val="ARtabletextright"/>
              <w:spacing w:before="30" w:after="20"/>
            </w:pPr>
            <w:r w:rsidRPr="00B9725E">
              <w:t>468</w:t>
            </w:r>
          </w:p>
        </w:tc>
        <w:tc>
          <w:tcPr>
            <w:tcW w:w="1134" w:type="dxa"/>
            <w:tcBorders>
              <w:top w:val="single" w:sz="4" w:space="0" w:color="BFBFBF"/>
              <w:bottom w:val="single" w:sz="4" w:space="0" w:color="BFBFBF"/>
            </w:tcBorders>
          </w:tcPr>
          <w:p w14:paraId="2481D9AE" w14:textId="77777777" w:rsidR="003A1564" w:rsidRPr="000570D3" w:rsidRDefault="003A1564">
            <w:pPr>
              <w:pStyle w:val="ARtabletextright"/>
              <w:spacing w:before="30" w:after="20"/>
            </w:pPr>
            <w:r w:rsidRPr="00B9725E">
              <w:t>38</w:t>
            </w:r>
          </w:p>
        </w:tc>
        <w:tc>
          <w:tcPr>
            <w:tcW w:w="1134" w:type="dxa"/>
            <w:tcBorders>
              <w:top w:val="single" w:sz="4" w:space="0" w:color="BFBFBF"/>
              <w:bottom w:val="single" w:sz="4" w:space="0" w:color="BFBFBF"/>
            </w:tcBorders>
          </w:tcPr>
          <w:p w14:paraId="2488B5EA" w14:textId="77777777" w:rsidR="003A1564" w:rsidRPr="000570D3" w:rsidRDefault="003A1564">
            <w:pPr>
              <w:pStyle w:val="ARtabletextright"/>
              <w:spacing w:before="30" w:after="20"/>
            </w:pPr>
            <w:r w:rsidRPr="00B9725E">
              <w:t>460</w:t>
            </w:r>
          </w:p>
        </w:tc>
        <w:tc>
          <w:tcPr>
            <w:tcW w:w="1134" w:type="dxa"/>
            <w:tcBorders>
              <w:top w:val="single" w:sz="4" w:space="0" w:color="BFBFBF"/>
              <w:bottom w:val="single" w:sz="4" w:space="0" w:color="BFBFBF"/>
            </w:tcBorders>
          </w:tcPr>
          <w:p w14:paraId="2BB79359" w14:textId="0BD894B5" w:rsidR="003A1564" w:rsidRPr="000570D3" w:rsidRDefault="00F91DB1">
            <w:pPr>
              <w:pStyle w:val="ARtabletextright"/>
              <w:spacing w:before="30" w:after="20"/>
            </w:pPr>
            <w:r>
              <w:t>–</w:t>
            </w:r>
          </w:p>
        </w:tc>
        <w:tc>
          <w:tcPr>
            <w:tcW w:w="1134" w:type="dxa"/>
            <w:tcBorders>
              <w:top w:val="single" w:sz="4" w:space="0" w:color="BFBFBF"/>
              <w:bottom w:val="single" w:sz="4" w:space="0" w:color="BFBFBF"/>
            </w:tcBorders>
          </w:tcPr>
          <w:p w14:paraId="3C9C7FCB" w14:textId="77777777" w:rsidR="003A1564" w:rsidRPr="000570D3" w:rsidRDefault="003A1564">
            <w:pPr>
              <w:pStyle w:val="ARtabletextright"/>
              <w:spacing w:before="30" w:after="20"/>
            </w:pPr>
            <w:r w:rsidRPr="00B9725E">
              <w:t>407</w:t>
            </w:r>
          </w:p>
        </w:tc>
        <w:tc>
          <w:tcPr>
            <w:tcW w:w="1134" w:type="dxa"/>
            <w:tcBorders>
              <w:top w:val="single" w:sz="4" w:space="0" w:color="BFBFBF"/>
              <w:bottom w:val="single" w:sz="4" w:space="0" w:color="BFBFBF"/>
            </w:tcBorders>
          </w:tcPr>
          <w:p w14:paraId="5ADF6D01" w14:textId="77777777" w:rsidR="003A1564" w:rsidRPr="000570D3" w:rsidRDefault="003A1564">
            <w:pPr>
              <w:pStyle w:val="ARtabletextright"/>
              <w:spacing w:before="30" w:after="20"/>
            </w:pPr>
            <w:r w:rsidRPr="00B9725E">
              <w:t>–</w:t>
            </w:r>
          </w:p>
        </w:tc>
      </w:tr>
      <w:tr w:rsidR="003A1564" w:rsidRPr="00801013" w14:paraId="144DD8E0" w14:textId="77777777">
        <w:trPr>
          <w:cantSplit w:val="0"/>
          <w:trHeight w:val="225"/>
        </w:trPr>
        <w:tc>
          <w:tcPr>
            <w:tcW w:w="2835" w:type="dxa"/>
            <w:tcBorders>
              <w:top w:val="single" w:sz="4" w:space="0" w:color="BFBFBF"/>
              <w:bottom w:val="single" w:sz="4" w:space="0" w:color="BFBFBF"/>
            </w:tcBorders>
          </w:tcPr>
          <w:p w14:paraId="7F98D031" w14:textId="77777777" w:rsidR="003A1564" w:rsidRPr="000570D3" w:rsidRDefault="003A1564">
            <w:pPr>
              <w:pStyle w:val="ARtabletext"/>
              <w:spacing w:before="30" w:after="20"/>
            </w:pPr>
            <w:r w:rsidRPr="000570D3">
              <w:rPr>
                <w:rFonts w:eastAsia="Calibri"/>
              </w:rPr>
              <w:t>Plug-in hybrid electric vehicle (PHEV)</w:t>
            </w:r>
          </w:p>
        </w:tc>
        <w:tc>
          <w:tcPr>
            <w:tcW w:w="1134" w:type="dxa"/>
            <w:tcBorders>
              <w:top w:val="single" w:sz="4" w:space="0" w:color="BFBFBF"/>
              <w:bottom w:val="single" w:sz="4" w:space="0" w:color="BFBFBF"/>
            </w:tcBorders>
          </w:tcPr>
          <w:p w14:paraId="2477F27F" w14:textId="77777777" w:rsidR="003A1564" w:rsidRPr="000570D3" w:rsidRDefault="003A1564">
            <w:pPr>
              <w:pStyle w:val="ARtabletextright"/>
              <w:spacing w:before="30" w:after="20"/>
            </w:pPr>
            <w:r w:rsidRPr="00B9725E">
              <w:t>4</w:t>
            </w:r>
          </w:p>
        </w:tc>
        <w:tc>
          <w:tcPr>
            <w:tcW w:w="1134" w:type="dxa"/>
            <w:tcBorders>
              <w:top w:val="single" w:sz="4" w:space="0" w:color="BFBFBF"/>
              <w:bottom w:val="single" w:sz="4" w:space="0" w:color="BFBFBF"/>
            </w:tcBorders>
          </w:tcPr>
          <w:p w14:paraId="289EAE02" w14:textId="7F01B1AE" w:rsidR="003A1564" w:rsidRPr="000570D3" w:rsidRDefault="00F91DB1">
            <w:pPr>
              <w:pStyle w:val="ARtabletextright"/>
              <w:spacing w:before="30" w:after="20"/>
            </w:pPr>
            <w:r>
              <w:t>–</w:t>
            </w:r>
          </w:p>
        </w:tc>
        <w:tc>
          <w:tcPr>
            <w:tcW w:w="1134" w:type="dxa"/>
            <w:tcBorders>
              <w:top w:val="single" w:sz="4" w:space="0" w:color="BFBFBF"/>
              <w:bottom w:val="single" w:sz="4" w:space="0" w:color="BFBFBF"/>
            </w:tcBorders>
          </w:tcPr>
          <w:p w14:paraId="6A863B38" w14:textId="77777777" w:rsidR="003A1564" w:rsidRPr="000570D3" w:rsidRDefault="003A1564">
            <w:pPr>
              <w:pStyle w:val="ARtabletextright"/>
              <w:spacing w:before="30" w:after="20"/>
            </w:pPr>
            <w:r w:rsidRPr="00B9725E">
              <w:t>0</w:t>
            </w:r>
          </w:p>
        </w:tc>
        <w:tc>
          <w:tcPr>
            <w:tcW w:w="1134" w:type="dxa"/>
            <w:tcBorders>
              <w:top w:val="single" w:sz="4" w:space="0" w:color="BFBFBF"/>
              <w:bottom w:val="single" w:sz="4" w:space="0" w:color="BFBFBF"/>
            </w:tcBorders>
          </w:tcPr>
          <w:p w14:paraId="3A9AD1E6" w14:textId="77777777" w:rsidR="003A1564" w:rsidRPr="000570D3" w:rsidRDefault="003A1564">
            <w:pPr>
              <w:pStyle w:val="ARtabletextright"/>
              <w:spacing w:before="30" w:after="20"/>
            </w:pPr>
            <w:r w:rsidRPr="00B9725E">
              <w:t>0</w:t>
            </w:r>
          </w:p>
        </w:tc>
        <w:tc>
          <w:tcPr>
            <w:tcW w:w="1134" w:type="dxa"/>
            <w:tcBorders>
              <w:top w:val="single" w:sz="4" w:space="0" w:color="BFBFBF"/>
              <w:bottom w:val="single" w:sz="4" w:space="0" w:color="BFBFBF"/>
            </w:tcBorders>
          </w:tcPr>
          <w:p w14:paraId="60733660" w14:textId="77777777" w:rsidR="003A1564" w:rsidRPr="000570D3" w:rsidRDefault="003A1564">
            <w:pPr>
              <w:pStyle w:val="ARtabletextright"/>
              <w:spacing w:before="30" w:after="20"/>
            </w:pPr>
            <w:r w:rsidRPr="00B9725E">
              <w:t>0</w:t>
            </w:r>
          </w:p>
        </w:tc>
        <w:tc>
          <w:tcPr>
            <w:tcW w:w="1134" w:type="dxa"/>
            <w:tcBorders>
              <w:top w:val="single" w:sz="4" w:space="0" w:color="BFBFBF"/>
              <w:bottom w:val="single" w:sz="4" w:space="0" w:color="BFBFBF"/>
            </w:tcBorders>
          </w:tcPr>
          <w:p w14:paraId="3EF9E834" w14:textId="77777777" w:rsidR="003A1564" w:rsidRPr="000570D3" w:rsidRDefault="003A1564">
            <w:pPr>
              <w:pStyle w:val="ARtabletextright"/>
              <w:spacing w:before="30" w:after="20"/>
            </w:pPr>
            <w:r w:rsidRPr="00B9725E">
              <w:t>0</w:t>
            </w:r>
          </w:p>
        </w:tc>
      </w:tr>
      <w:tr w:rsidR="003A1564" w:rsidRPr="00801013" w14:paraId="334464FA" w14:textId="77777777">
        <w:trPr>
          <w:cantSplit w:val="0"/>
          <w:trHeight w:val="240"/>
        </w:trPr>
        <w:tc>
          <w:tcPr>
            <w:tcW w:w="2835" w:type="dxa"/>
            <w:tcBorders>
              <w:top w:val="single" w:sz="4" w:space="0" w:color="BFBFBF"/>
            </w:tcBorders>
          </w:tcPr>
          <w:p w14:paraId="0985D5E1" w14:textId="77777777" w:rsidR="003A1564" w:rsidRPr="000570D3" w:rsidRDefault="003A1564">
            <w:pPr>
              <w:pStyle w:val="ARtabletext"/>
              <w:spacing w:before="30" w:after="20"/>
            </w:pPr>
            <w:r w:rsidRPr="000570D3">
              <w:rPr>
                <w:rFonts w:eastAsia="Calibri"/>
              </w:rPr>
              <w:t>Range-extended electric vehicle</w:t>
            </w:r>
          </w:p>
        </w:tc>
        <w:tc>
          <w:tcPr>
            <w:tcW w:w="1134" w:type="dxa"/>
            <w:tcBorders>
              <w:top w:val="single" w:sz="4" w:space="0" w:color="BFBFBF"/>
            </w:tcBorders>
          </w:tcPr>
          <w:p w14:paraId="6E6ADDAB" w14:textId="77777777" w:rsidR="003A1564" w:rsidRPr="000570D3" w:rsidRDefault="003A1564">
            <w:pPr>
              <w:pStyle w:val="ARtabletextright"/>
              <w:spacing w:before="30" w:after="20"/>
            </w:pPr>
            <w:r w:rsidRPr="00B9725E">
              <w:t>18</w:t>
            </w:r>
          </w:p>
        </w:tc>
        <w:tc>
          <w:tcPr>
            <w:tcW w:w="1134" w:type="dxa"/>
            <w:tcBorders>
              <w:top w:val="single" w:sz="4" w:space="0" w:color="BFBFBF"/>
            </w:tcBorders>
          </w:tcPr>
          <w:p w14:paraId="14C6ED86" w14:textId="77777777" w:rsidR="003A1564" w:rsidRPr="000570D3" w:rsidRDefault="003A1564">
            <w:pPr>
              <w:pStyle w:val="ARtabletextright"/>
              <w:spacing w:before="30" w:after="20"/>
            </w:pPr>
            <w:r w:rsidRPr="00B9725E">
              <w:t>1</w:t>
            </w:r>
          </w:p>
        </w:tc>
        <w:tc>
          <w:tcPr>
            <w:tcW w:w="1134" w:type="dxa"/>
            <w:tcBorders>
              <w:top w:val="single" w:sz="4" w:space="0" w:color="BFBFBF"/>
            </w:tcBorders>
          </w:tcPr>
          <w:p w14:paraId="2E92DFA9" w14:textId="77777777" w:rsidR="003A1564" w:rsidRPr="000570D3" w:rsidRDefault="003A1564">
            <w:pPr>
              <w:pStyle w:val="ARtabletextright"/>
              <w:spacing w:before="30" w:after="20"/>
            </w:pPr>
            <w:r w:rsidRPr="00B9725E">
              <w:t>6</w:t>
            </w:r>
          </w:p>
        </w:tc>
        <w:tc>
          <w:tcPr>
            <w:tcW w:w="1134" w:type="dxa"/>
            <w:tcBorders>
              <w:top w:val="single" w:sz="4" w:space="0" w:color="BFBFBF"/>
            </w:tcBorders>
          </w:tcPr>
          <w:p w14:paraId="539B0FCA" w14:textId="77777777" w:rsidR="003A1564" w:rsidRPr="000570D3" w:rsidRDefault="003A1564">
            <w:pPr>
              <w:pStyle w:val="ARtabletextright"/>
              <w:spacing w:before="30" w:after="20"/>
            </w:pPr>
            <w:r w:rsidRPr="00B9725E">
              <w:t>1</w:t>
            </w:r>
          </w:p>
        </w:tc>
        <w:tc>
          <w:tcPr>
            <w:tcW w:w="1134" w:type="dxa"/>
            <w:tcBorders>
              <w:top w:val="single" w:sz="4" w:space="0" w:color="BFBFBF"/>
            </w:tcBorders>
          </w:tcPr>
          <w:p w14:paraId="7EB99777" w14:textId="77777777" w:rsidR="003A1564" w:rsidRPr="000570D3" w:rsidRDefault="003A1564">
            <w:pPr>
              <w:pStyle w:val="ARtabletextright"/>
              <w:spacing w:before="30" w:after="20"/>
            </w:pPr>
            <w:r w:rsidRPr="00B9725E">
              <w:t>0</w:t>
            </w:r>
          </w:p>
        </w:tc>
        <w:tc>
          <w:tcPr>
            <w:tcW w:w="1134" w:type="dxa"/>
            <w:tcBorders>
              <w:top w:val="single" w:sz="4" w:space="0" w:color="BFBFBF"/>
            </w:tcBorders>
          </w:tcPr>
          <w:p w14:paraId="30F49D54" w14:textId="77777777" w:rsidR="003A1564" w:rsidRPr="000570D3" w:rsidRDefault="003A1564">
            <w:pPr>
              <w:pStyle w:val="ARtabletextright"/>
              <w:spacing w:before="30" w:after="20"/>
            </w:pPr>
            <w:r w:rsidRPr="00B9725E">
              <w:t>0</w:t>
            </w:r>
          </w:p>
        </w:tc>
      </w:tr>
      <w:tr w:rsidR="003A1564" w:rsidRPr="00801013" w14:paraId="456EB5A5" w14:textId="77777777">
        <w:trPr>
          <w:cantSplit w:val="0"/>
          <w:trHeight w:val="225"/>
        </w:trPr>
        <w:tc>
          <w:tcPr>
            <w:tcW w:w="2835" w:type="dxa"/>
            <w:tcBorders>
              <w:bottom w:val="single" w:sz="4" w:space="0" w:color="auto"/>
            </w:tcBorders>
          </w:tcPr>
          <w:p w14:paraId="61E28CE8" w14:textId="7AEB92F5" w:rsidR="003A1564" w:rsidRPr="000570D3" w:rsidRDefault="003A1564">
            <w:pPr>
              <w:pStyle w:val="ARtabletext"/>
              <w:spacing w:before="30" w:after="20"/>
              <w:rPr>
                <w:b/>
              </w:rPr>
            </w:pPr>
            <w:r w:rsidRPr="000570D3">
              <w:rPr>
                <w:rFonts w:eastAsia="Calibri"/>
                <w:b/>
              </w:rPr>
              <w:t xml:space="preserve">Total </w:t>
            </w:r>
            <w:r w:rsidR="00F07D7B">
              <w:rPr>
                <w:rFonts w:eastAsia="Calibri"/>
                <w:b/>
              </w:rPr>
              <w:t>p</w:t>
            </w:r>
            <w:r w:rsidR="00F07D7B" w:rsidRPr="000570D3">
              <w:rPr>
                <w:rFonts w:eastAsia="Calibri"/>
                <w:b/>
              </w:rPr>
              <w:t xml:space="preserve">assenger </w:t>
            </w:r>
            <w:r w:rsidRPr="000570D3">
              <w:rPr>
                <w:rFonts w:eastAsia="Calibri"/>
                <w:b/>
              </w:rPr>
              <w:t>vehicles</w:t>
            </w:r>
          </w:p>
        </w:tc>
        <w:tc>
          <w:tcPr>
            <w:tcW w:w="1134" w:type="dxa"/>
            <w:tcBorders>
              <w:bottom w:val="single" w:sz="4" w:space="0" w:color="auto"/>
            </w:tcBorders>
          </w:tcPr>
          <w:p w14:paraId="4B448210" w14:textId="77777777" w:rsidR="003A1564" w:rsidRPr="000570D3" w:rsidRDefault="003A1564">
            <w:pPr>
              <w:pStyle w:val="ARtabletextrightbold"/>
              <w:spacing w:before="30" w:after="20"/>
            </w:pPr>
            <w:r w:rsidRPr="00B9725E">
              <w:t>1,234</w:t>
            </w:r>
          </w:p>
        </w:tc>
        <w:tc>
          <w:tcPr>
            <w:tcW w:w="1134" w:type="dxa"/>
            <w:tcBorders>
              <w:bottom w:val="single" w:sz="4" w:space="0" w:color="auto"/>
            </w:tcBorders>
          </w:tcPr>
          <w:p w14:paraId="1E3E7B3A" w14:textId="77777777" w:rsidR="003A1564" w:rsidRPr="000570D3" w:rsidRDefault="003A1564">
            <w:pPr>
              <w:pStyle w:val="ARtabletextrightbold"/>
              <w:spacing w:before="30" w:after="20"/>
            </w:pPr>
            <w:r w:rsidRPr="00B9725E">
              <w:t>99</w:t>
            </w:r>
          </w:p>
        </w:tc>
        <w:tc>
          <w:tcPr>
            <w:tcW w:w="1134" w:type="dxa"/>
            <w:tcBorders>
              <w:bottom w:val="single" w:sz="4" w:space="0" w:color="auto"/>
            </w:tcBorders>
          </w:tcPr>
          <w:p w14:paraId="5E0A2A9F" w14:textId="77777777" w:rsidR="003A1564" w:rsidRPr="000570D3" w:rsidRDefault="003A1564">
            <w:pPr>
              <w:pStyle w:val="ARtabletextrightbold"/>
              <w:spacing w:before="30" w:after="20"/>
            </w:pPr>
            <w:r w:rsidRPr="00B9725E">
              <w:t>1,222</w:t>
            </w:r>
          </w:p>
        </w:tc>
        <w:tc>
          <w:tcPr>
            <w:tcW w:w="1134" w:type="dxa"/>
            <w:tcBorders>
              <w:bottom w:val="single" w:sz="4" w:space="0" w:color="auto"/>
            </w:tcBorders>
          </w:tcPr>
          <w:p w14:paraId="47120BB3" w14:textId="77777777" w:rsidR="003A1564" w:rsidRPr="000570D3" w:rsidRDefault="003A1564">
            <w:pPr>
              <w:pStyle w:val="ARtabletextrightbold"/>
              <w:spacing w:before="30" w:after="20"/>
            </w:pPr>
            <w:r w:rsidRPr="00B9725E">
              <w:t>99</w:t>
            </w:r>
          </w:p>
        </w:tc>
        <w:tc>
          <w:tcPr>
            <w:tcW w:w="1134" w:type="dxa"/>
            <w:tcBorders>
              <w:bottom w:val="single" w:sz="4" w:space="0" w:color="auto"/>
            </w:tcBorders>
          </w:tcPr>
          <w:p w14:paraId="1A57A81F" w14:textId="77777777" w:rsidR="003A1564" w:rsidRPr="000570D3" w:rsidRDefault="003A1564">
            <w:pPr>
              <w:pStyle w:val="ARtabletextrightbold"/>
              <w:spacing w:before="30" w:after="20"/>
            </w:pPr>
            <w:r w:rsidRPr="00B9725E">
              <w:t>1,163</w:t>
            </w:r>
          </w:p>
        </w:tc>
        <w:tc>
          <w:tcPr>
            <w:tcW w:w="1134" w:type="dxa"/>
            <w:tcBorders>
              <w:bottom w:val="single" w:sz="4" w:space="0" w:color="auto"/>
            </w:tcBorders>
          </w:tcPr>
          <w:p w14:paraId="2FD97BCA" w14:textId="77777777" w:rsidR="003A1564" w:rsidRPr="000570D3" w:rsidRDefault="003A1564">
            <w:pPr>
              <w:pStyle w:val="ARtabletextrightbold"/>
              <w:spacing w:before="30" w:after="20"/>
            </w:pPr>
            <w:r w:rsidRPr="00B9725E">
              <w:t>99</w:t>
            </w:r>
          </w:p>
        </w:tc>
      </w:tr>
      <w:tr w:rsidR="003A1564" w:rsidRPr="00801013" w14:paraId="5763E07D" w14:textId="77777777">
        <w:trPr>
          <w:trHeight w:val="225"/>
        </w:trPr>
        <w:tc>
          <w:tcPr>
            <w:tcW w:w="9639" w:type="dxa"/>
            <w:gridSpan w:val="7"/>
            <w:tcBorders>
              <w:top w:val="single" w:sz="4" w:space="0" w:color="auto"/>
              <w:bottom w:val="single" w:sz="4" w:space="0" w:color="BFBFBF"/>
            </w:tcBorders>
          </w:tcPr>
          <w:p w14:paraId="433B5CCC" w14:textId="77777777" w:rsidR="003A1564" w:rsidRPr="000570D3" w:rsidRDefault="003A1564">
            <w:pPr>
              <w:pStyle w:val="ARtabletext"/>
              <w:spacing w:before="30" w:after="20"/>
            </w:pPr>
            <w:r w:rsidRPr="000570D3">
              <w:rPr>
                <w:rFonts w:eastAsia="Calibri"/>
                <w:b/>
              </w:rPr>
              <w:t>Goods vehicles</w:t>
            </w:r>
          </w:p>
        </w:tc>
      </w:tr>
      <w:tr w:rsidR="003A1564" w:rsidRPr="00801013" w14:paraId="224FA934" w14:textId="77777777">
        <w:trPr>
          <w:trHeight w:val="225"/>
        </w:trPr>
        <w:tc>
          <w:tcPr>
            <w:tcW w:w="9639" w:type="dxa"/>
            <w:gridSpan w:val="7"/>
            <w:tcBorders>
              <w:top w:val="single" w:sz="4" w:space="0" w:color="BFBFBF"/>
              <w:bottom w:val="single" w:sz="4" w:space="0" w:color="BFBFBF"/>
            </w:tcBorders>
          </w:tcPr>
          <w:p w14:paraId="2DA80835" w14:textId="77777777" w:rsidR="003A1564" w:rsidRPr="000570D3" w:rsidRDefault="003A1564">
            <w:pPr>
              <w:pStyle w:val="ARtabletextbold"/>
              <w:spacing w:before="30" w:after="20"/>
            </w:pPr>
            <w:r w:rsidRPr="000570D3">
              <w:t>Internal combustion engines</w:t>
            </w:r>
          </w:p>
        </w:tc>
      </w:tr>
      <w:tr w:rsidR="003A1564" w:rsidRPr="00801013" w14:paraId="3944FD23" w14:textId="77777777">
        <w:trPr>
          <w:trHeight w:val="225"/>
        </w:trPr>
        <w:tc>
          <w:tcPr>
            <w:tcW w:w="2835" w:type="dxa"/>
            <w:tcBorders>
              <w:top w:val="single" w:sz="4" w:space="0" w:color="BFBFBF"/>
              <w:bottom w:val="single" w:sz="4" w:space="0" w:color="BFBFBF"/>
            </w:tcBorders>
          </w:tcPr>
          <w:p w14:paraId="651B0276" w14:textId="77777777" w:rsidR="003A1564" w:rsidRPr="000570D3" w:rsidRDefault="003A1564">
            <w:pPr>
              <w:pStyle w:val="ARtabletext"/>
              <w:spacing w:before="30" w:after="20"/>
            </w:pPr>
            <w:r w:rsidRPr="000570D3">
              <w:rPr>
                <w:rFonts w:eastAsia="Calibri"/>
              </w:rPr>
              <w:t>Petrol</w:t>
            </w:r>
          </w:p>
        </w:tc>
        <w:tc>
          <w:tcPr>
            <w:tcW w:w="1134" w:type="dxa"/>
            <w:tcBorders>
              <w:top w:val="single" w:sz="4" w:space="0" w:color="BFBFBF"/>
              <w:bottom w:val="single" w:sz="4" w:space="0" w:color="BFBFBF"/>
            </w:tcBorders>
          </w:tcPr>
          <w:p w14:paraId="583A4926"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4F15204E"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78852095"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263FE293"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7BE3F159"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72AEDC43" w14:textId="77777777" w:rsidR="003A1564" w:rsidRPr="000570D3" w:rsidRDefault="003A1564">
            <w:pPr>
              <w:pStyle w:val="ARtabletextright"/>
              <w:spacing w:before="30" w:after="20"/>
            </w:pPr>
          </w:p>
        </w:tc>
      </w:tr>
      <w:tr w:rsidR="003A1564" w:rsidRPr="00801013" w14:paraId="58C0C4F9" w14:textId="77777777">
        <w:trPr>
          <w:trHeight w:val="225"/>
        </w:trPr>
        <w:tc>
          <w:tcPr>
            <w:tcW w:w="2835" w:type="dxa"/>
            <w:tcBorders>
              <w:top w:val="single" w:sz="4" w:space="0" w:color="BFBFBF"/>
              <w:bottom w:val="single" w:sz="4" w:space="0" w:color="BFBFBF"/>
            </w:tcBorders>
          </w:tcPr>
          <w:p w14:paraId="26AFF8DD" w14:textId="77777777" w:rsidR="003A1564" w:rsidRPr="000570D3" w:rsidRDefault="003A1564">
            <w:pPr>
              <w:pStyle w:val="ARtabletext"/>
              <w:spacing w:before="30" w:after="20"/>
            </w:pPr>
            <w:r w:rsidRPr="000570D3">
              <w:rPr>
                <w:rFonts w:eastAsia="Calibri"/>
              </w:rPr>
              <w:t>Diesel/biodiesel</w:t>
            </w:r>
          </w:p>
        </w:tc>
        <w:tc>
          <w:tcPr>
            <w:tcW w:w="1134" w:type="dxa"/>
            <w:tcBorders>
              <w:top w:val="single" w:sz="4" w:space="0" w:color="BFBFBF"/>
              <w:bottom w:val="single" w:sz="4" w:space="0" w:color="BFBFBF"/>
            </w:tcBorders>
          </w:tcPr>
          <w:p w14:paraId="47EB0542" w14:textId="77777777" w:rsidR="003A1564" w:rsidRPr="000570D3" w:rsidRDefault="003A1564">
            <w:pPr>
              <w:pStyle w:val="ARtabletextright"/>
              <w:spacing w:before="30" w:after="20"/>
            </w:pPr>
            <w:r w:rsidRPr="00284DBB">
              <w:t>7</w:t>
            </w:r>
          </w:p>
        </w:tc>
        <w:tc>
          <w:tcPr>
            <w:tcW w:w="1134" w:type="dxa"/>
            <w:tcBorders>
              <w:top w:val="single" w:sz="4" w:space="0" w:color="BFBFBF"/>
              <w:bottom w:val="single" w:sz="4" w:space="0" w:color="BFBFBF"/>
            </w:tcBorders>
          </w:tcPr>
          <w:p w14:paraId="1E35A00D" w14:textId="77777777" w:rsidR="003A1564" w:rsidRPr="000570D3" w:rsidRDefault="003A1564">
            <w:pPr>
              <w:pStyle w:val="ARtabletextright"/>
              <w:spacing w:before="30" w:after="20"/>
            </w:pPr>
            <w:r w:rsidRPr="00284DBB">
              <w:t>1</w:t>
            </w:r>
          </w:p>
        </w:tc>
        <w:tc>
          <w:tcPr>
            <w:tcW w:w="1134" w:type="dxa"/>
            <w:tcBorders>
              <w:top w:val="single" w:sz="4" w:space="0" w:color="BFBFBF"/>
              <w:bottom w:val="single" w:sz="4" w:space="0" w:color="BFBFBF"/>
            </w:tcBorders>
          </w:tcPr>
          <w:p w14:paraId="0A49DBDB" w14:textId="77777777" w:rsidR="003A1564" w:rsidRPr="000570D3" w:rsidRDefault="003A1564">
            <w:pPr>
              <w:pStyle w:val="ARtabletextright"/>
              <w:spacing w:before="30" w:after="20"/>
            </w:pPr>
            <w:r w:rsidRPr="00284DBB">
              <w:t>6</w:t>
            </w:r>
          </w:p>
        </w:tc>
        <w:tc>
          <w:tcPr>
            <w:tcW w:w="1134" w:type="dxa"/>
            <w:tcBorders>
              <w:top w:val="single" w:sz="4" w:space="0" w:color="BFBFBF"/>
              <w:bottom w:val="single" w:sz="4" w:space="0" w:color="BFBFBF"/>
            </w:tcBorders>
          </w:tcPr>
          <w:p w14:paraId="4E841ED3" w14:textId="77777777" w:rsidR="003A1564" w:rsidRPr="000570D3" w:rsidRDefault="003A1564">
            <w:pPr>
              <w:pStyle w:val="ARtabletextright"/>
              <w:spacing w:before="30" w:after="20"/>
            </w:pPr>
            <w:r w:rsidRPr="00284DBB">
              <w:t>0.5</w:t>
            </w:r>
          </w:p>
        </w:tc>
        <w:tc>
          <w:tcPr>
            <w:tcW w:w="1134" w:type="dxa"/>
            <w:tcBorders>
              <w:top w:val="single" w:sz="4" w:space="0" w:color="BFBFBF"/>
              <w:bottom w:val="single" w:sz="4" w:space="0" w:color="BFBFBF"/>
            </w:tcBorders>
          </w:tcPr>
          <w:p w14:paraId="3D9F5C52" w14:textId="77777777" w:rsidR="003A1564" w:rsidRPr="000570D3" w:rsidRDefault="003A1564">
            <w:pPr>
              <w:pStyle w:val="ARtabletextright"/>
              <w:spacing w:before="30" w:after="20"/>
            </w:pPr>
            <w:r w:rsidRPr="00284DBB">
              <w:t>15</w:t>
            </w:r>
          </w:p>
        </w:tc>
        <w:tc>
          <w:tcPr>
            <w:tcW w:w="1134" w:type="dxa"/>
            <w:tcBorders>
              <w:top w:val="single" w:sz="4" w:space="0" w:color="BFBFBF"/>
              <w:bottom w:val="single" w:sz="4" w:space="0" w:color="BFBFBF"/>
            </w:tcBorders>
          </w:tcPr>
          <w:p w14:paraId="25A57D33" w14:textId="77777777" w:rsidR="003A1564" w:rsidRPr="000570D3" w:rsidRDefault="003A1564">
            <w:pPr>
              <w:pStyle w:val="ARtabletextright"/>
              <w:spacing w:before="30" w:after="20"/>
            </w:pPr>
            <w:r w:rsidRPr="00284DBB">
              <w:t>1</w:t>
            </w:r>
          </w:p>
        </w:tc>
      </w:tr>
      <w:tr w:rsidR="003A1564" w:rsidRPr="00801013" w14:paraId="3D16B78F" w14:textId="77777777">
        <w:trPr>
          <w:trHeight w:val="225"/>
        </w:trPr>
        <w:tc>
          <w:tcPr>
            <w:tcW w:w="2835" w:type="dxa"/>
            <w:tcBorders>
              <w:top w:val="single" w:sz="4" w:space="0" w:color="BFBFBF"/>
              <w:bottom w:val="single" w:sz="4" w:space="0" w:color="BFBFBF"/>
            </w:tcBorders>
          </w:tcPr>
          <w:p w14:paraId="76516E2E" w14:textId="77777777" w:rsidR="003A1564" w:rsidRPr="000570D3" w:rsidRDefault="003A1564">
            <w:pPr>
              <w:pStyle w:val="ARtabletext"/>
              <w:spacing w:before="30" w:after="20"/>
              <w:rPr>
                <w:rFonts w:eastAsia="Calibri"/>
              </w:rPr>
            </w:pPr>
            <w:r w:rsidRPr="000570D3">
              <w:rPr>
                <w:rFonts w:eastAsia="Calibri"/>
              </w:rPr>
              <w:t>Hybrid/unleaded</w:t>
            </w:r>
          </w:p>
        </w:tc>
        <w:tc>
          <w:tcPr>
            <w:tcW w:w="1134" w:type="dxa"/>
            <w:tcBorders>
              <w:top w:val="single" w:sz="4" w:space="0" w:color="BFBFBF"/>
              <w:bottom w:val="single" w:sz="4" w:space="0" w:color="BFBFBF"/>
            </w:tcBorders>
          </w:tcPr>
          <w:p w14:paraId="2CFCBFDE"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77596383"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3B4B9DD0"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5EF20CE7"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06E5D9AE"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3ADCA0EF" w14:textId="77777777" w:rsidR="003A1564" w:rsidRPr="000570D3" w:rsidRDefault="003A1564">
            <w:pPr>
              <w:pStyle w:val="ARtabletextright"/>
              <w:spacing w:before="30" w:after="20"/>
            </w:pPr>
          </w:p>
        </w:tc>
      </w:tr>
      <w:tr w:rsidR="003A1564" w:rsidRPr="00801013" w14:paraId="5AF682A2" w14:textId="77777777">
        <w:trPr>
          <w:trHeight w:val="225"/>
        </w:trPr>
        <w:tc>
          <w:tcPr>
            <w:tcW w:w="2835" w:type="dxa"/>
            <w:tcBorders>
              <w:top w:val="single" w:sz="4" w:space="0" w:color="BFBFBF"/>
              <w:bottom w:val="single" w:sz="4" w:space="0" w:color="BFBFBF"/>
            </w:tcBorders>
          </w:tcPr>
          <w:p w14:paraId="2B8CAE69" w14:textId="42CE6DB5" w:rsidR="003A1564" w:rsidRPr="000570D3" w:rsidRDefault="003A1564">
            <w:pPr>
              <w:pStyle w:val="ARtabletext"/>
              <w:spacing w:before="30" w:after="20"/>
            </w:pPr>
            <w:r w:rsidRPr="000570D3">
              <w:rPr>
                <w:rFonts w:eastAsia="Calibri"/>
              </w:rPr>
              <w:t xml:space="preserve">Plug-in </w:t>
            </w:r>
            <w:r w:rsidR="00F07D7B">
              <w:rPr>
                <w:rFonts w:eastAsia="Calibri"/>
              </w:rPr>
              <w:t>h</w:t>
            </w:r>
            <w:r w:rsidR="00F07D7B" w:rsidRPr="000570D3">
              <w:rPr>
                <w:rFonts w:eastAsia="Calibri"/>
              </w:rPr>
              <w:t xml:space="preserve">ybrid </w:t>
            </w:r>
            <w:r w:rsidRPr="000570D3">
              <w:rPr>
                <w:rFonts w:eastAsia="Calibri"/>
              </w:rPr>
              <w:t>electric vehicle (PHEV)</w:t>
            </w:r>
          </w:p>
        </w:tc>
        <w:tc>
          <w:tcPr>
            <w:tcW w:w="1134" w:type="dxa"/>
            <w:tcBorders>
              <w:top w:val="single" w:sz="4" w:space="0" w:color="BFBFBF"/>
              <w:bottom w:val="single" w:sz="4" w:space="0" w:color="BFBFBF"/>
            </w:tcBorders>
          </w:tcPr>
          <w:p w14:paraId="4F0BB43B"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0F0E1D38"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2B83A265"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73F9C73E"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505D8B76" w14:textId="77777777" w:rsidR="003A1564" w:rsidRPr="000570D3" w:rsidRDefault="003A1564">
            <w:pPr>
              <w:pStyle w:val="ARtabletextright"/>
              <w:spacing w:before="30" w:after="20"/>
            </w:pPr>
            <w:r w:rsidRPr="00284DBB">
              <w:t>0</w:t>
            </w:r>
          </w:p>
        </w:tc>
        <w:tc>
          <w:tcPr>
            <w:tcW w:w="1134" w:type="dxa"/>
            <w:tcBorders>
              <w:top w:val="single" w:sz="4" w:space="0" w:color="BFBFBF"/>
              <w:bottom w:val="single" w:sz="4" w:space="0" w:color="BFBFBF"/>
            </w:tcBorders>
          </w:tcPr>
          <w:p w14:paraId="2FBC041C" w14:textId="77777777" w:rsidR="003A1564" w:rsidRPr="000570D3" w:rsidRDefault="003A1564">
            <w:pPr>
              <w:pStyle w:val="ARtabletextright"/>
              <w:spacing w:before="30" w:after="20"/>
            </w:pPr>
          </w:p>
        </w:tc>
      </w:tr>
      <w:tr w:rsidR="003A1564" w:rsidRPr="00801013" w14:paraId="51D2393C" w14:textId="77777777">
        <w:trPr>
          <w:trHeight w:val="240"/>
        </w:trPr>
        <w:tc>
          <w:tcPr>
            <w:tcW w:w="2835" w:type="dxa"/>
            <w:tcBorders>
              <w:top w:val="single" w:sz="4" w:space="0" w:color="BFBFBF"/>
            </w:tcBorders>
          </w:tcPr>
          <w:p w14:paraId="3DFE603C" w14:textId="77777777" w:rsidR="003A1564" w:rsidRPr="000570D3" w:rsidRDefault="003A1564">
            <w:pPr>
              <w:pStyle w:val="ARtabletext"/>
              <w:spacing w:before="30" w:after="20"/>
            </w:pPr>
            <w:r w:rsidRPr="000570D3">
              <w:rPr>
                <w:rFonts w:eastAsia="Calibri"/>
              </w:rPr>
              <w:t>Range-extended electric vehicle</w:t>
            </w:r>
          </w:p>
        </w:tc>
        <w:tc>
          <w:tcPr>
            <w:tcW w:w="1134" w:type="dxa"/>
            <w:tcBorders>
              <w:top w:val="single" w:sz="4" w:space="0" w:color="BFBFBF"/>
            </w:tcBorders>
          </w:tcPr>
          <w:p w14:paraId="62BEC067" w14:textId="77777777" w:rsidR="003A1564" w:rsidRPr="000570D3" w:rsidRDefault="003A1564">
            <w:pPr>
              <w:pStyle w:val="ARtabletextright"/>
              <w:spacing w:before="30" w:after="20"/>
            </w:pPr>
            <w:r w:rsidRPr="00284DBB">
              <w:t>0</w:t>
            </w:r>
          </w:p>
        </w:tc>
        <w:tc>
          <w:tcPr>
            <w:tcW w:w="1134" w:type="dxa"/>
            <w:tcBorders>
              <w:top w:val="single" w:sz="4" w:space="0" w:color="BFBFBF"/>
            </w:tcBorders>
          </w:tcPr>
          <w:p w14:paraId="4AE80AC1" w14:textId="77777777" w:rsidR="003A1564" w:rsidRPr="000570D3" w:rsidRDefault="003A1564">
            <w:pPr>
              <w:pStyle w:val="ARtabletextright"/>
              <w:spacing w:before="30" w:after="20"/>
            </w:pPr>
            <w:r w:rsidRPr="00284DBB">
              <w:t>0</w:t>
            </w:r>
          </w:p>
        </w:tc>
        <w:tc>
          <w:tcPr>
            <w:tcW w:w="1134" w:type="dxa"/>
            <w:tcBorders>
              <w:top w:val="single" w:sz="4" w:space="0" w:color="BFBFBF"/>
            </w:tcBorders>
          </w:tcPr>
          <w:p w14:paraId="42F17810" w14:textId="77777777" w:rsidR="003A1564" w:rsidRPr="000570D3" w:rsidRDefault="003A1564">
            <w:pPr>
              <w:pStyle w:val="ARtabletextright"/>
              <w:spacing w:before="30" w:after="20"/>
            </w:pPr>
            <w:r w:rsidRPr="00284DBB">
              <w:t>0</w:t>
            </w:r>
          </w:p>
        </w:tc>
        <w:tc>
          <w:tcPr>
            <w:tcW w:w="1134" w:type="dxa"/>
            <w:tcBorders>
              <w:top w:val="single" w:sz="4" w:space="0" w:color="BFBFBF"/>
            </w:tcBorders>
          </w:tcPr>
          <w:p w14:paraId="4497D182" w14:textId="77777777" w:rsidR="003A1564" w:rsidRPr="000570D3" w:rsidRDefault="003A1564">
            <w:pPr>
              <w:pStyle w:val="ARtabletextright"/>
              <w:spacing w:before="30" w:after="20"/>
            </w:pPr>
            <w:r w:rsidRPr="00284DBB">
              <w:t>0</w:t>
            </w:r>
          </w:p>
        </w:tc>
        <w:tc>
          <w:tcPr>
            <w:tcW w:w="1134" w:type="dxa"/>
            <w:tcBorders>
              <w:top w:val="single" w:sz="4" w:space="0" w:color="BFBFBF"/>
            </w:tcBorders>
          </w:tcPr>
          <w:p w14:paraId="0F4D3DF3" w14:textId="77777777" w:rsidR="003A1564" w:rsidRPr="000570D3" w:rsidRDefault="003A1564">
            <w:pPr>
              <w:pStyle w:val="ARtabletextright"/>
              <w:spacing w:before="30" w:after="20"/>
            </w:pPr>
            <w:r w:rsidRPr="00284DBB">
              <w:t>0</w:t>
            </w:r>
          </w:p>
        </w:tc>
        <w:tc>
          <w:tcPr>
            <w:tcW w:w="1134" w:type="dxa"/>
            <w:tcBorders>
              <w:top w:val="single" w:sz="4" w:space="0" w:color="BFBFBF"/>
            </w:tcBorders>
          </w:tcPr>
          <w:p w14:paraId="214E3EF6" w14:textId="77777777" w:rsidR="003A1564" w:rsidRPr="000570D3" w:rsidRDefault="003A1564">
            <w:pPr>
              <w:pStyle w:val="ARtabletextright"/>
              <w:spacing w:before="30" w:after="20"/>
            </w:pPr>
          </w:p>
        </w:tc>
      </w:tr>
      <w:tr w:rsidR="003A1564" w:rsidRPr="00801013" w14:paraId="74B207E0" w14:textId="77777777">
        <w:trPr>
          <w:trHeight w:val="240"/>
        </w:trPr>
        <w:tc>
          <w:tcPr>
            <w:tcW w:w="2835" w:type="dxa"/>
          </w:tcPr>
          <w:p w14:paraId="08EA92C9" w14:textId="77777777" w:rsidR="003A1564" w:rsidRPr="000570D3" w:rsidRDefault="003A1564">
            <w:pPr>
              <w:pStyle w:val="ARtabletextbold"/>
              <w:spacing w:before="30" w:after="20"/>
            </w:pPr>
            <w:r w:rsidRPr="000570D3">
              <w:t>Total goods vehicles</w:t>
            </w:r>
          </w:p>
        </w:tc>
        <w:tc>
          <w:tcPr>
            <w:tcW w:w="1134" w:type="dxa"/>
          </w:tcPr>
          <w:p w14:paraId="2A0DD049" w14:textId="77777777" w:rsidR="003A1564" w:rsidRPr="000570D3" w:rsidRDefault="003A1564">
            <w:pPr>
              <w:pStyle w:val="ARtabletextrightbold"/>
              <w:spacing w:before="30" w:after="20"/>
            </w:pPr>
            <w:r w:rsidRPr="00284DBB">
              <w:t>7</w:t>
            </w:r>
          </w:p>
        </w:tc>
        <w:tc>
          <w:tcPr>
            <w:tcW w:w="1134" w:type="dxa"/>
          </w:tcPr>
          <w:p w14:paraId="6EFC3AE3" w14:textId="77777777" w:rsidR="003A1564" w:rsidRPr="000570D3" w:rsidRDefault="003A1564">
            <w:pPr>
              <w:pStyle w:val="ARtabletextrightbold"/>
              <w:spacing w:before="30" w:after="20"/>
            </w:pPr>
            <w:r w:rsidRPr="00284DBB">
              <w:t>1</w:t>
            </w:r>
          </w:p>
        </w:tc>
        <w:tc>
          <w:tcPr>
            <w:tcW w:w="1134" w:type="dxa"/>
          </w:tcPr>
          <w:p w14:paraId="5D6C0369" w14:textId="77777777" w:rsidR="003A1564" w:rsidRPr="000570D3" w:rsidRDefault="003A1564">
            <w:pPr>
              <w:pStyle w:val="ARtabletextrightbold"/>
              <w:spacing w:before="30" w:after="20"/>
            </w:pPr>
            <w:r w:rsidRPr="00284DBB">
              <w:t>6</w:t>
            </w:r>
          </w:p>
        </w:tc>
        <w:tc>
          <w:tcPr>
            <w:tcW w:w="1134" w:type="dxa"/>
          </w:tcPr>
          <w:p w14:paraId="13CBB12F" w14:textId="77777777" w:rsidR="003A1564" w:rsidRPr="000570D3" w:rsidRDefault="003A1564">
            <w:pPr>
              <w:pStyle w:val="ARtabletextrightbold"/>
              <w:spacing w:before="30" w:after="20"/>
            </w:pPr>
            <w:r w:rsidRPr="00284DBB">
              <w:t>0.5</w:t>
            </w:r>
          </w:p>
        </w:tc>
        <w:tc>
          <w:tcPr>
            <w:tcW w:w="1134" w:type="dxa"/>
          </w:tcPr>
          <w:p w14:paraId="085909FB" w14:textId="77777777" w:rsidR="003A1564" w:rsidRPr="000570D3" w:rsidRDefault="003A1564">
            <w:pPr>
              <w:pStyle w:val="ARtabletextrightbold"/>
              <w:spacing w:before="30" w:after="20"/>
            </w:pPr>
            <w:r w:rsidRPr="00284DBB">
              <w:t>15</w:t>
            </w:r>
          </w:p>
        </w:tc>
        <w:tc>
          <w:tcPr>
            <w:tcW w:w="1134" w:type="dxa"/>
          </w:tcPr>
          <w:p w14:paraId="5AE0949C" w14:textId="77777777" w:rsidR="003A1564" w:rsidRPr="000570D3" w:rsidRDefault="003A1564">
            <w:pPr>
              <w:pStyle w:val="ARtabletextrightbold"/>
              <w:spacing w:before="30" w:after="20"/>
            </w:pPr>
            <w:r w:rsidRPr="00284DBB">
              <w:t>1</w:t>
            </w:r>
          </w:p>
        </w:tc>
      </w:tr>
      <w:tr w:rsidR="003A1564" w:rsidRPr="00801013" w14:paraId="021C94AE" w14:textId="77777777">
        <w:trPr>
          <w:trHeight w:val="240"/>
        </w:trPr>
        <w:tc>
          <w:tcPr>
            <w:tcW w:w="2835" w:type="dxa"/>
          </w:tcPr>
          <w:p w14:paraId="6CE50918" w14:textId="77777777" w:rsidR="003A1564" w:rsidRPr="000570D3" w:rsidRDefault="003A1564">
            <w:pPr>
              <w:pStyle w:val="ARtabletextbold"/>
              <w:spacing w:before="30" w:after="20"/>
            </w:pPr>
            <w:r w:rsidRPr="000570D3">
              <w:t>T2 Number and proportion of vehicles – department fleet</w:t>
            </w:r>
          </w:p>
        </w:tc>
        <w:tc>
          <w:tcPr>
            <w:tcW w:w="1134" w:type="dxa"/>
          </w:tcPr>
          <w:p w14:paraId="299ACD24" w14:textId="77777777" w:rsidR="003A1564" w:rsidRPr="000570D3" w:rsidRDefault="003A1564">
            <w:pPr>
              <w:pStyle w:val="ARtabletextrightbold"/>
              <w:spacing w:before="30" w:after="20"/>
            </w:pPr>
            <w:r w:rsidRPr="00284DBB">
              <w:t>1,241</w:t>
            </w:r>
          </w:p>
        </w:tc>
        <w:tc>
          <w:tcPr>
            <w:tcW w:w="1134" w:type="dxa"/>
          </w:tcPr>
          <w:p w14:paraId="32BC9574" w14:textId="77777777" w:rsidR="003A1564" w:rsidRPr="000570D3" w:rsidRDefault="003A1564">
            <w:pPr>
              <w:pStyle w:val="ARtabletextrightbold"/>
              <w:spacing w:before="30" w:after="20"/>
            </w:pPr>
            <w:r w:rsidRPr="00284DBB">
              <w:t>100</w:t>
            </w:r>
          </w:p>
        </w:tc>
        <w:tc>
          <w:tcPr>
            <w:tcW w:w="1134" w:type="dxa"/>
          </w:tcPr>
          <w:p w14:paraId="07BE3F89" w14:textId="77777777" w:rsidR="003A1564" w:rsidRPr="000570D3" w:rsidRDefault="003A1564">
            <w:pPr>
              <w:pStyle w:val="ARtabletextrightbold"/>
              <w:spacing w:before="30" w:after="20"/>
            </w:pPr>
            <w:r w:rsidRPr="00284DBB">
              <w:t>1,228</w:t>
            </w:r>
          </w:p>
        </w:tc>
        <w:tc>
          <w:tcPr>
            <w:tcW w:w="1134" w:type="dxa"/>
          </w:tcPr>
          <w:p w14:paraId="28982DAF" w14:textId="77777777" w:rsidR="003A1564" w:rsidRPr="000570D3" w:rsidRDefault="003A1564">
            <w:pPr>
              <w:pStyle w:val="ARtabletextrightbold"/>
              <w:spacing w:before="30" w:after="20"/>
            </w:pPr>
            <w:r w:rsidRPr="00284DBB">
              <w:t>100</w:t>
            </w:r>
          </w:p>
        </w:tc>
        <w:tc>
          <w:tcPr>
            <w:tcW w:w="1134" w:type="dxa"/>
          </w:tcPr>
          <w:p w14:paraId="711D4DEA" w14:textId="77777777" w:rsidR="003A1564" w:rsidRPr="000570D3" w:rsidRDefault="003A1564">
            <w:pPr>
              <w:pStyle w:val="ARtabletextrightbold"/>
              <w:spacing w:before="30" w:after="20"/>
            </w:pPr>
            <w:r w:rsidRPr="00284DBB">
              <w:t>1,178</w:t>
            </w:r>
          </w:p>
        </w:tc>
        <w:tc>
          <w:tcPr>
            <w:tcW w:w="1134" w:type="dxa"/>
          </w:tcPr>
          <w:p w14:paraId="0C4304D2" w14:textId="77777777" w:rsidR="003A1564" w:rsidRPr="000570D3" w:rsidRDefault="003A1564">
            <w:pPr>
              <w:pStyle w:val="ARtabletextrightbold"/>
              <w:spacing w:before="30" w:after="20"/>
            </w:pPr>
            <w:r w:rsidRPr="00284DBB">
              <w:t>100</w:t>
            </w:r>
          </w:p>
        </w:tc>
      </w:tr>
    </w:tbl>
    <w:p w14:paraId="1D808705" w14:textId="3A0BAD36" w:rsidR="003A1564" w:rsidRPr="000570D3" w:rsidRDefault="003A1564" w:rsidP="00A95A18">
      <w:pPr>
        <w:pStyle w:val="ARtablecaption"/>
      </w:pPr>
      <w:r w:rsidRPr="000570D3">
        <w:t>Total energy used in transportation – department fleet</w:t>
      </w:r>
    </w:p>
    <w:tbl>
      <w:tblPr>
        <w:tblStyle w:val="TableGrid"/>
        <w:tblW w:w="9639" w:type="dxa"/>
        <w:tblLayout w:type="fixed"/>
        <w:tblLook w:val="06A0" w:firstRow="1" w:lastRow="0" w:firstColumn="1" w:lastColumn="0" w:noHBand="1" w:noVBand="1"/>
      </w:tblPr>
      <w:tblGrid>
        <w:gridCol w:w="4536"/>
        <w:gridCol w:w="1701"/>
        <w:gridCol w:w="1701"/>
        <w:gridCol w:w="1701"/>
      </w:tblGrid>
      <w:tr w:rsidR="003A1564" w:rsidRPr="00801013" w14:paraId="6830F06F"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66C879F2" w14:textId="77777777" w:rsidR="003A1564" w:rsidRPr="000570D3" w:rsidRDefault="003A1564">
            <w:pPr>
              <w:pStyle w:val="ARtablecolhead"/>
              <w:spacing w:before="30" w:after="20"/>
              <w:rPr>
                <w:i/>
              </w:rPr>
            </w:pPr>
            <w:r w:rsidRPr="000570D3">
              <w:t>Indicator</w:t>
            </w:r>
          </w:p>
        </w:tc>
        <w:tc>
          <w:tcPr>
            <w:tcW w:w="1701" w:type="dxa"/>
            <w:tcBorders>
              <w:bottom w:val="single" w:sz="4" w:space="0" w:color="auto"/>
            </w:tcBorders>
          </w:tcPr>
          <w:p w14:paraId="33FB336C" w14:textId="4DAB6276" w:rsidR="003A1564" w:rsidRPr="000570D3" w:rsidRDefault="003A1564">
            <w:pPr>
              <w:pStyle w:val="ARtablecolheadright"/>
              <w:spacing w:before="30" w:after="20"/>
            </w:pPr>
            <w:r w:rsidRPr="000570D3">
              <w:t>202</w:t>
            </w:r>
            <w:r>
              <w:t>3</w:t>
            </w:r>
            <w:r w:rsidR="00F91DB1">
              <w:t>–</w:t>
            </w:r>
            <w:r>
              <w:t>24</w:t>
            </w:r>
          </w:p>
          <w:p w14:paraId="46F08F66" w14:textId="77777777" w:rsidR="003A1564" w:rsidRPr="000570D3" w:rsidRDefault="003A1564">
            <w:pPr>
              <w:pStyle w:val="ARtablecolheadright"/>
              <w:spacing w:before="30" w:after="20"/>
              <w:rPr>
                <w:i/>
              </w:rPr>
            </w:pPr>
            <w:r w:rsidRPr="000570D3">
              <w:t>MJ</w:t>
            </w:r>
          </w:p>
        </w:tc>
        <w:tc>
          <w:tcPr>
            <w:tcW w:w="1701" w:type="dxa"/>
            <w:tcBorders>
              <w:bottom w:val="single" w:sz="4" w:space="0" w:color="auto"/>
            </w:tcBorders>
          </w:tcPr>
          <w:p w14:paraId="15BA1BBE" w14:textId="1FEBB953" w:rsidR="003A1564" w:rsidRPr="000570D3" w:rsidRDefault="003A1564">
            <w:pPr>
              <w:pStyle w:val="ARtablecolheadright"/>
              <w:spacing w:before="30" w:after="20"/>
            </w:pPr>
            <w:r w:rsidRPr="000570D3">
              <w:t>202</w:t>
            </w:r>
            <w:r>
              <w:t>2</w:t>
            </w:r>
            <w:r w:rsidR="00F91DB1">
              <w:t>–</w:t>
            </w:r>
            <w:r>
              <w:t>21</w:t>
            </w:r>
          </w:p>
          <w:p w14:paraId="1FC6F9C7" w14:textId="77777777" w:rsidR="003A1564" w:rsidRPr="000570D3" w:rsidRDefault="003A1564">
            <w:pPr>
              <w:pStyle w:val="ARtablecolheadright"/>
              <w:spacing w:before="30" w:after="20"/>
              <w:rPr>
                <w:i/>
              </w:rPr>
            </w:pPr>
            <w:r w:rsidRPr="000570D3">
              <w:t>MJ</w:t>
            </w:r>
          </w:p>
        </w:tc>
        <w:tc>
          <w:tcPr>
            <w:tcW w:w="1701" w:type="dxa"/>
            <w:tcBorders>
              <w:bottom w:val="single" w:sz="4" w:space="0" w:color="auto"/>
            </w:tcBorders>
          </w:tcPr>
          <w:p w14:paraId="2F691226" w14:textId="4CD72D86" w:rsidR="003A1564" w:rsidRPr="000570D3" w:rsidRDefault="003A1564">
            <w:pPr>
              <w:pStyle w:val="ARtablecolheadright"/>
              <w:spacing w:before="30" w:after="20"/>
            </w:pPr>
            <w:r w:rsidRPr="000570D3">
              <w:t>202</w:t>
            </w:r>
            <w:r>
              <w:t>1</w:t>
            </w:r>
            <w:r w:rsidR="00F91DB1">
              <w:t>–</w:t>
            </w:r>
            <w:r>
              <w:t>20</w:t>
            </w:r>
          </w:p>
          <w:p w14:paraId="6CEA00E3" w14:textId="77777777" w:rsidR="003A1564" w:rsidRPr="000570D3" w:rsidRDefault="003A1564">
            <w:pPr>
              <w:pStyle w:val="ARtablecolheadright"/>
              <w:spacing w:before="30" w:after="20"/>
              <w:rPr>
                <w:i/>
              </w:rPr>
            </w:pPr>
            <w:r w:rsidRPr="000570D3">
              <w:t>MJ</w:t>
            </w:r>
          </w:p>
        </w:tc>
      </w:tr>
      <w:tr w:rsidR="003A1564" w:rsidRPr="00801013" w14:paraId="5917A787" w14:textId="77777777">
        <w:trPr>
          <w:cantSplit w:val="0"/>
          <w:trHeight w:val="225"/>
        </w:trPr>
        <w:tc>
          <w:tcPr>
            <w:tcW w:w="9639" w:type="dxa"/>
            <w:gridSpan w:val="4"/>
            <w:tcBorders>
              <w:top w:val="single" w:sz="4" w:space="0" w:color="auto"/>
              <w:bottom w:val="single" w:sz="4" w:space="0" w:color="BFBFBF"/>
            </w:tcBorders>
          </w:tcPr>
          <w:p w14:paraId="3884C8C9" w14:textId="77777777" w:rsidR="003A1564" w:rsidRPr="000570D3" w:rsidRDefault="003A1564">
            <w:pPr>
              <w:pStyle w:val="ARtabletextbold"/>
              <w:spacing w:before="30" w:after="20"/>
            </w:pPr>
            <w:r w:rsidRPr="000570D3">
              <w:t>Passenger vehicles</w:t>
            </w:r>
          </w:p>
        </w:tc>
      </w:tr>
      <w:tr w:rsidR="003A1564" w:rsidRPr="00801013" w14:paraId="6BFF8721" w14:textId="77777777">
        <w:trPr>
          <w:cantSplit w:val="0"/>
          <w:trHeight w:val="225"/>
        </w:trPr>
        <w:tc>
          <w:tcPr>
            <w:tcW w:w="4536" w:type="dxa"/>
            <w:tcBorders>
              <w:top w:val="single" w:sz="4" w:space="0" w:color="BFBFBF"/>
              <w:bottom w:val="single" w:sz="4" w:space="0" w:color="BFBFBF"/>
            </w:tcBorders>
          </w:tcPr>
          <w:p w14:paraId="7B82BE15" w14:textId="77777777" w:rsidR="003A1564" w:rsidRPr="000570D3" w:rsidRDefault="003A1564">
            <w:pPr>
              <w:pStyle w:val="ARtabletext"/>
              <w:spacing w:before="30" w:after="20"/>
            </w:pPr>
            <w:r w:rsidRPr="000570D3">
              <w:t>Petrol</w:t>
            </w:r>
          </w:p>
        </w:tc>
        <w:tc>
          <w:tcPr>
            <w:tcW w:w="1701" w:type="dxa"/>
            <w:tcBorders>
              <w:top w:val="single" w:sz="4" w:space="0" w:color="BFBFBF"/>
              <w:bottom w:val="single" w:sz="4" w:space="0" w:color="BFBFBF"/>
            </w:tcBorders>
          </w:tcPr>
          <w:p w14:paraId="61C315E0" w14:textId="77777777" w:rsidR="003A1564" w:rsidRPr="000570D3" w:rsidRDefault="003A1564">
            <w:pPr>
              <w:pStyle w:val="ARtabletextright"/>
              <w:spacing w:before="30" w:after="20"/>
            </w:pPr>
            <w:r w:rsidRPr="0041447F">
              <w:t>22,926,315</w:t>
            </w:r>
          </w:p>
        </w:tc>
        <w:tc>
          <w:tcPr>
            <w:tcW w:w="1701" w:type="dxa"/>
            <w:tcBorders>
              <w:top w:val="single" w:sz="4" w:space="0" w:color="BFBFBF"/>
              <w:bottom w:val="single" w:sz="4" w:space="0" w:color="BFBFBF"/>
            </w:tcBorders>
          </w:tcPr>
          <w:p w14:paraId="142B2219" w14:textId="77777777" w:rsidR="003A1564" w:rsidRPr="000570D3" w:rsidRDefault="003A1564">
            <w:pPr>
              <w:pStyle w:val="ARtabletextright"/>
              <w:spacing w:before="30" w:after="20"/>
            </w:pPr>
            <w:r w:rsidRPr="0041447F">
              <w:t>24,319,620</w:t>
            </w:r>
          </w:p>
        </w:tc>
        <w:tc>
          <w:tcPr>
            <w:tcW w:w="1701" w:type="dxa"/>
            <w:tcBorders>
              <w:top w:val="single" w:sz="4" w:space="0" w:color="BFBFBF"/>
              <w:bottom w:val="single" w:sz="4" w:space="0" w:color="BFBFBF"/>
            </w:tcBorders>
          </w:tcPr>
          <w:p w14:paraId="55C7C5E3" w14:textId="77777777" w:rsidR="003A1564" w:rsidRPr="000570D3" w:rsidRDefault="003A1564">
            <w:pPr>
              <w:pStyle w:val="ARtabletextright"/>
              <w:spacing w:before="30" w:after="20"/>
            </w:pPr>
            <w:r w:rsidRPr="0041447F">
              <w:t>25,231,079</w:t>
            </w:r>
          </w:p>
        </w:tc>
      </w:tr>
      <w:tr w:rsidR="003A1564" w:rsidRPr="00801013" w14:paraId="529E648A" w14:textId="77777777">
        <w:trPr>
          <w:cantSplit w:val="0"/>
          <w:trHeight w:val="225"/>
        </w:trPr>
        <w:tc>
          <w:tcPr>
            <w:tcW w:w="4536" w:type="dxa"/>
            <w:tcBorders>
              <w:top w:val="single" w:sz="4" w:space="0" w:color="BFBFBF"/>
              <w:bottom w:val="single" w:sz="4" w:space="0" w:color="BFBFBF"/>
            </w:tcBorders>
          </w:tcPr>
          <w:p w14:paraId="44EFEBE2" w14:textId="77777777" w:rsidR="003A1564" w:rsidRPr="000570D3" w:rsidRDefault="003A1564">
            <w:pPr>
              <w:pStyle w:val="ARtabletext"/>
              <w:spacing w:before="30" w:after="20"/>
            </w:pPr>
            <w:r w:rsidRPr="000570D3">
              <w:t>Diesel</w:t>
            </w:r>
          </w:p>
        </w:tc>
        <w:tc>
          <w:tcPr>
            <w:tcW w:w="1701" w:type="dxa"/>
            <w:tcBorders>
              <w:top w:val="single" w:sz="4" w:space="0" w:color="BFBFBF"/>
              <w:bottom w:val="single" w:sz="4" w:space="0" w:color="BFBFBF"/>
            </w:tcBorders>
          </w:tcPr>
          <w:p w14:paraId="43391059" w14:textId="77777777" w:rsidR="003A1564" w:rsidRPr="000570D3" w:rsidRDefault="003A1564">
            <w:pPr>
              <w:pStyle w:val="ARtabletextright"/>
              <w:spacing w:before="30" w:after="20"/>
            </w:pPr>
            <w:r w:rsidRPr="0041447F">
              <w:t>19,135,277</w:t>
            </w:r>
          </w:p>
        </w:tc>
        <w:tc>
          <w:tcPr>
            <w:tcW w:w="1701" w:type="dxa"/>
            <w:tcBorders>
              <w:top w:val="single" w:sz="4" w:space="0" w:color="BFBFBF"/>
              <w:bottom w:val="single" w:sz="4" w:space="0" w:color="BFBFBF"/>
            </w:tcBorders>
          </w:tcPr>
          <w:p w14:paraId="7F34F89A" w14:textId="77777777" w:rsidR="003A1564" w:rsidRPr="000570D3" w:rsidRDefault="003A1564">
            <w:pPr>
              <w:pStyle w:val="ARtabletextright"/>
              <w:spacing w:before="30" w:after="20"/>
            </w:pPr>
            <w:r w:rsidRPr="0041447F">
              <w:t>14,410,537</w:t>
            </w:r>
          </w:p>
        </w:tc>
        <w:tc>
          <w:tcPr>
            <w:tcW w:w="1701" w:type="dxa"/>
            <w:tcBorders>
              <w:top w:val="single" w:sz="4" w:space="0" w:color="BFBFBF"/>
              <w:bottom w:val="single" w:sz="4" w:space="0" w:color="BFBFBF"/>
            </w:tcBorders>
          </w:tcPr>
          <w:p w14:paraId="2E3216B8" w14:textId="77777777" w:rsidR="003A1564" w:rsidRPr="000570D3" w:rsidRDefault="003A1564">
            <w:pPr>
              <w:pStyle w:val="ARtabletextright"/>
              <w:spacing w:before="30" w:after="20"/>
            </w:pPr>
            <w:r w:rsidRPr="0041447F">
              <w:t>7,856,287</w:t>
            </w:r>
          </w:p>
        </w:tc>
      </w:tr>
      <w:tr w:rsidR="003A1564" w:rsidRPr="00801013" w14:paraId="718DCEAF" w14:textId="77777777">
        <w:trPr>
          <w:cantSplit w:val="0"/>
          <w:trHeight w:val="225"/>
        </w:trPr>
        <w:tc>
          <w:tcPr>
            <w:tcW w:w="4536" w:type="dxa"/>
            <w:tcBorders>
              <w:top w:val="single" w:sz="4" w:space="0" w:color="BFBFBF"/>
              <w:bottom w:val="single" w:sz="4" w:space="0" w:color="BFBFBF"/>
            </w:tcBorders>
          </w:tcPr>
          <w:p w14:paraId="2183D7DA" w14:textId="77777777" w:rsidR="003A1564" w:rsidRPr="000570D3" w:rsidRDefault="003A1564">
            <w:pPr>
              <w:pStyle w:val="ARtabletext"/>
              <w:spacing w:before="30" w:after="20"/>
            </w:pPr>
            <w:r w:rsidRPr="000570D3">
              <w:t>Hybrid/unleaded</w:t>
            </w:r>
          </w:p>
        </w:tc>
        <w:tc>
          <w:tcPr>
            <w:tcW w:w="1701" w:type="dxa"/>
            <w:tcBorders>
              <w:top w:val="single" w:sz="4" w:space="0" w:color="BFBFBF"/>
              <w:bottom w:val="single" w:sz="4" w:space="0" w:color="BFBFBF"/>
            </w:tcBorders>
          </w:tcPr>
          <w:p w14:paraId="59FC983E" w14:textId="77777777" w:rsidR="003A1564" w:rsidRPr="000570D3" w:rsidRDefault="003A1564">
            <w:pPr>
              <w:pStyle w:val="ARtabletextright"/>
              <w:spacing w:before="30" w:after="20"/>
            </w:pPr>
            <w:r w:rsidRPr="0041447F">
              <w:t>14,828,101</w:t>
            </w:r>
          </w:p>
        </w:tc>
        <w:tc>
          <w:tcPr>
            <w:tcW w:w="1701" w:type="dxa"/>
            <w:tcBorders>
              <w:top w:val="single" w:sz="4" w:space="0" w:color="BFBFBF"/>
              <w:bottom w:val="single" w:sz="4" w:space="0" w:color="BFBFBF"/>
            </w:tcBorders>
          </w:tcPr>
          <w:p w14:paraId="4A695864" w14:textId="77777777" w:rsidR="003A1564" w:rsidRPr="000570D3" w:rsidRDefault="003A1564">
            <w:pPr>
              <w:pStyle w:val="ARtabletextright"/>
              <w:spacing w:before="30" w:after="20"/>
            </w:pPr>
            <w:r w:rsidRPr="0041447F">
              <w:t>10,091,155</w:t>
            </w:r>
          </w:p>
        </w:tc>
        <w:tc>
          <w:tcPr>
            <w:tcW w:w="1701" w:type="dxa"/>
            <w:tcBorders>
              <w:top w:val="single" w:sz="4" w:space="0" w:color="BFBFBF"/>
              <w:bottom w:val="single" w:sz="4" w:space="0" w:color="BFBFBF"/>
            </w:tcBorders>
          </w:tcPr>
          <w:p w14:paraId="4670D450" w14:textId="77777777" w:rsidR="003A1564" w:rsidRPr="000570D3" w:rsidRDefault="003A1564">
            <w:pPr>
              <w:pStyle w:val="ARtabletextright"/>
              <w:spacing w:before="30" w:after="20"/>
            </w:pPr>
            <w:r w:rsidRPr="0041447F">
              <w:t>5,643,504</w:t>
            </w:r>
          </w:p>
        </w:tc>
      </w:tr>
      <w:tr w:rsidR="003A1564" w:rsidRPr="00801013" w14:paraId="04A2F751" w14:textId="77777777">
        <w:trPr>
          <w:cantSplit w:val="0"/>
          <w:trHeight w:val="240"/>
        </w:trPr>
        <w:tc>
          <w:tcPr>
            <w:tcW w:w="4536" w:type="dxa"/>
            <w:tcBorders>
              <w:top w:val="single" w:sz="4" w:space="0" w:color="BFBFBF"/>
            </w:tcBorders>
          </w:tcPr>
          <w:p w14:paraId="683F16AB" w14:textId="77777777" w:rsidR="003A1564" w:rsidRPr="000570D3" w:rsidRDefault="003A1564">
            <w:pPr>
              <w:pStyle w:val="ARtabletext"/>
              <w:spacing w:before="30" w:after="20"/>
            </w:pPr>
            <w:r w:rsidRPr="000570D3">
              <w:t>Electricity (MWh)</w:t>
            </w:r>
          </w:p>
        </w:tc>
        <w:tc>
          <w:tcPr>
            <w:tcW w:w="1701" w:type="dxa"/>
            <w:tcBorders>
              <w:top w:val="single" w:sz="4" w:space="0" w:color="BFBFBF"/>
            </w:tcBorders>
          </w:tcPr>
          <w:p w14:paraId="57558B24" w14:textId="77777777" w:rsidR="003A1564" w:rsidRPr="000570D3" w:rsidRDefault="003A1564">
            <w:pPr>
              <w:pStyle w:val="ARtabletextright"/>
              <w:spacing w:before="30" w:after="20"/>
            </w:pPr>
            <w:r w:rsidRPr="0041447F">
              <w:t>–</w:t>
            </w:r>
          </w:p>
        </w:tc>
        <w:tc>
          <w:tcPr>
            <w:tcW w:w="1701" w:type="dxa"/>
            <w:tcBorders>
              <w:top w:val="single" w:sz="4" w:space="0" w:color="BFBFBF"/>
            </w:tcBorders>
          </w:tcPr>
          <w:p w14:paraId="07C7C8EF" w14:textId="77777777" w:rsidR="003A1564" w:rsidRPr="000570D3" w:rsidRDefault="003A1564">
            <w:pPr>
              <w:pStyle w:val="ARtabletextright"/>
              <w:spacing w:before="30" w:after="20"/>
            </w:pPr>
            <w:r w:rsidRPr="0041447F">
              <w:t>–</w:t>
            </w:r>
          </w:p>
        </w:tc>
        <w:tc>
          <w:tcPr>
            <w:tcW w:w="1701" w:type="dxa"/>
            <w:tcBorders>
              <w:top w:val="single" w:sz="4" w:space="0" w:color="BFBFBF"/>
            </w:tcBorders>
          </w:tcPr>
          <w:p w14:paraId="16743F09" w14:textId="77777777" w:rsidR="003A1564" w:rsidRPr="000570D3" w:rsidRDefault="003A1564">
            <w:pPr>
              <w:pStyle w:val="ARtabletextright"/>
              <w:spacing w:before="30" w:after="20"/>
            </w:pPr>
            <w:r w:rsidRPr="0041447F">
              <w:t>–</w:t>
            </w:r>
          </w:p>
        </w:tc>
      </w:tr>
      <w:tr w:rsidR="003A1564" w:rsidRPr="00801013" w14:paraId="2FFB6629" w14:textId="77777777">
        <w:trPr>
          <w:cantSplit w:val="0"/>
          <w:trHeight w:val="225"/>
        </w:trPr>
        <w:tc>
          <w:tcPr>
            <w:tcW w:w="4536" w:type="dxa"/>
            <w:tcBorders>
              <w:bottom w:val="single" w:sz="4" w:space="0" w:color="auto"/>
            </w:tcBorders>
          </w:tcPr>
          <w:p w14:paraId="7AF696FE" w14:textId="77777777" w:rsidR="003A1564" w:rsidRPr="000570D3" w:rsidRDefault="003A1564">
            <w:pPr>
              <w:pStyle w:val="ARtabletext"/>
              <w:spacing w:before="30" w:after="20"/>
              <w:rPr>
                <w:b/>
              </w:rPr>
            </w:pPr>
            <w:r w:rsidRPr="000570D3">
              <w:rPr>
                <w:rFonts w:eastAsia="Calibri"/>
                <w:b/>
              </w:rPr>
              <w:t>Total passenger vehicles</w:t>
            </w:r>
          </w:p>
        </w:tc>
        <w:tc>
          <w:tcPr>
            <w:tcW w:w="1701" w:type="dxa"/>
            <w:tcBorders>
              <w:bottom w:val="single" w:sz="4" w:space="0" w:color="auto"/>
            </w:tcBorders>
          </w:tcPr>
          <w:p w14:paraId="610B93CB" w14:textId="77777777" w:rsidR="003A1564" w:rsidRPr="000570D3" w:rsidRDefault="003A1564">
            <w:pPr>
              <w:pStyle w:val="ARtabletextrightbold"/>
              <w:spacing w:before="30" w:after="20"/>
            </w:pPr>
            <w:r w:rsidRPr="0041447F">
              <w:t>57,008,622</w:t>
            </w:r>
          </w:p>
        </w:tc>
        <w:tc>
          <w:tcPr>
            <w:tcW w:w="1701" w:type="dxa"/>
            <w:tcBorders>
              <w:bottom w:val="single" w:sz="4" w:space="0" w:color="auto"/>
            </w:tcBorders>
          </w:tcPr>
          <w:p w14:paraId="1431C6F6" w14:textId="77777777" w:rsidR="003A1564" w:rsidRPr="000570D3" w:rsidRDefault="003A1564">
            <w:pPr>
              <w:pStyle w:val="ARtabletextrightbold"/>
              <w:spacing w:before="30" w:after="20"/>
            </w:pPr>
            <w:r w:rsidRPr="0041447F">
              <w:t>49,245,699</w:t>
            </w:r>
          </w:p>
        </w:tc>
        <w:tc>
          <w:tcPr>
            <w:tcW w:w="1701" w:type="dxa"/>
            <w:tcBorders>
              <w:bottom w:val="single" w:sz="4" w:space="0" w:color="auto"/>
            </w:tcBorders>
          </w:tcPr>
          <w:p w14:paraId="54AA9AA4" w14:textId="77777777" w:rsidR="003A1564" w:rsidRPr="000570D3" w:rsidRDefault="003A1564">
            <w:pPr>
              <w:pStyle w:val="ARtabletextrightbold"/>
              <w:spacing w:before="30" w:after="20"/>
            </w:pPr>
            <w:r w:rsidRPr="0041447F">
              <w:t>38,730,870</w:t>
            </w:r>
          </w:p>
        </w:tc>
      </w:tr>
      <w:tr w:rsidR="003A1564" w:rsidRPr="00801013" w14:paraId="243AB10C" w14:textId="77777777">
        <w:trPr>
          <w:cantSplit w:val="0"/>
          <w:trHeight w:val="225"/>
        </w:trPr>
        <w:tc>
          <w:tcPr>
            <w:tcW w:w="9639" w:type="dxa"/>
            <w:gridSpan w:val="4"/>
            <w:tcBorders>
              <w:top w:val="single" w:sz="4" w:space="0" w:color="auto"/>
              <w:bottom w:val="single" w:sz="4" w:space="0" w:color="BFBFBF"/>
            </w:tcBorders>
          </w:tcPr>
          <w:p w14:paraId="5A8B11E7" w14:textId="77777777" w:rsidR="003A1564" w:rsidRPr="000570D3" w:rsidRDefault="003A1564">
            <w:pPr>
              <w:pStyle w:val="ARtabletext"/>
              <w:spacing w:before="30" w:after="20"/>
            </w:pPr>
            <w:r w:rsidRPr="000570D3">
              <w:rPr>
                <w:rFonts w:eastAsia="Calibri"/>
                <w:b/>
              </w:rPr>
              <w:t>Goods vehicles</w:t>
            </w:r>
          </w:p>
        </w:tc>
      </w:tr>
      <w:tr w:rsidR="003A1564" w:rsidRPr="00801013" w14:paraId="064D1B07" w14:textId="77777777">
        <w:trPr>
          <w:trHeight w:val="225"/>
        </w:trPr>
        <w:tc>
          <w:tcPr>
            <w:tcW w:w="4536" w:type="dxa"/>
            <w:tcBorders>
              <w:top w:val="single" w:sz="4" w:space="0" w:color="BFBFBF"/>
              <w:bottom w:val="single" w:sz="4" w:space="0" w:color="BFBFBF"/>
            </w:tcBorders>
          </w:tcPr>
          <w:p w14:paraId="7AA6E2F0" w14:textId="77777777" w:rsidR="003A1564" w:rsidRPr="000570D3" w:rsidRDefault="003A1564">
            <w:pPr>
              <w:pStyle w:val="ARtabletext"/>
              <w:spacing w:before="30" w:after="20"/>
            </w:pPr>
            <w:r w:rsidRPr="000570D3">
              <w:t>Petrol</w:t>
            </w:r>
          </w:p>
        </w:tc>
        <w:tc>
          <w:tcPr>
            <w:tcW w:w="1701" w:type="dxa"/>
            <w:tcBorders>
              <w:top w:val="single" w:sz="4" w:space="0" w:color="BFBFBF"/>
              <w:bottom w:val="single" w:sz="4" w:space="0" w:color="BFBFBF"/>
            </w:tcBorders>
          </w:tcPr>
          <w:p w14:paraId="6F5CF943" w14:textId="77777777" w:rsidR="003A1564" w:rsidRPr="000570D3" w:rsidRDefault="003A1564">
            <w:pPr>
              <w:pStyle w:val="ARtabletextright"/>
              <w:spacing w:before="30" w:after="20"/>
            </w:pPr>
            <w:r w:rsidRPr="00120B31">
              <w:t>0</w:t>
            </w:r>
          </w:p>
        </w:tc>
        <w:tc>
          <w:tcPr>
            <w:tcW w:w="1701" w:type="dxa"/>
            <w:tcBorders>
              <w:top w:val="single" w:sz="4" w:space="0" w:color="BFBFBF"/>
              <w:bottom w:val="single" w:sz="4" w:space="0" w:color="BFBFBF"/>
            </w:tcBorders>
          </w:tcPr>
          <w:p w14:paraId="5CD364B7" w14:textId="77777777" w:rsidR="003A1564" w:rsidRPr="000570D3" w:rsidRDefault="003A1564">
            <w:pPr>
              <w:pStyle w:val="ARtabletextright"/>
              <w:spacing w:before="30" w:after="20"/>
            </w:pPr>
            <w:r w:rsidRPr="00120B31">
              <w:t>0</w:t>
            </w:r>
          </w:p>
        </w:tc>
        <w:tc>
          <w:tcPr>
            <w:tcW w:w="1701" w:type="dxa"/>
            <w:tcBorders>
              <w:top w:val="single" w:sz="4" w:space="0" w:color="BFBFBF"/>
              <w:bottom w:val="single" w:sz="4" w:space="0" w:color="BFBFBF"/>
            </w:tcBorders>
          </w:tcPr>
          <w:p w14:paraId="34CBB78B" w14:textId="77777777" w:rsidR="003A1564" w:rsidRPr="000570D3" w:rsidRDefault="003A1564">
            <w:pPr>
              <w:pStyle w:val="ARtabletextright"/>
              <w:spacing w:before="30" w:after="20"/>
            </w:pPr>
            <w:r w:rsidRPr="00120B31">
              <w:t>0</w:t>
            </w:r>
          </w:p>
        </w:tc>
      </w:tr>
      <w:tr w:rsidR="003A1564" w:rsidRPr="00801013" w14:paraId="4751565D" w14:textId="77777777">
        <w:trPr>
          <w:trHeight w:val="225"/>
        </w:trPr>
        <w:tc>
          <w:tcPr>
            <w:tcW w:w="4536" w:type="dxa"/>
            <w:tcBorders>
              <w:top w:val="single" w:sz="4" w:space="0" w:color="BFBFBF"/>
              <w:bottom w:val="single" w:sz="4" w:space="0" w:color="BFBFBF"/>
            </w:tcBorders>
          </w:tcPr>
          <w:p w14:paraId="5712929D" w14:textId="77777777" w:rsidR="003A1564" w:rsidRPr="000570D3" w:rsidRDefault="003A1564">
            <w:pPr>
              <w:pStyle w:val="ARtabletext"/>
              <w:spacing w:before="30" w:after="20"/>
            </w:pPr>
            <w:r w:rsidRPr="000570D3">
              <w:t>Diesel</w:t>
            </w:r>
          </w:p>
        </w:tc>
        <w:tc>
          <w:tcPr>
            <w:tcW w:w="1701" w:type="dxa"/>
            <w:tcBorders>
              <w:top w:val="single" w:sz="4" w:space="0" w:color="BFBFBF"/>
              <w:bottom w:val="single" w:sz="4" w:space="0" w:color="BFBFBF"/>
            </w:tcBorders>
          </w:tcPr>
          <w:p w14:paraId="7E8F7E47" w14:textId="77777777" w:rsidR="003A1564" w:rsidRPr="000570D3" w:rsidRDefault="003A1564">
            <w:pPr>
              <w:pStyle w:val="ARtabletextright"/>
              <w:spacing w:before="30" w:after="20"/>
            </w:pPr>
            <w:r w:rsidRPr="00120B31">
              <w:t>143,164</w:t>
            </w:r>
          </w:p>
        </w:tc>
        <w:tc>
          <w:tcPr>
            <w:tcW w:w="1701" w:type="dxa"/>
            <w:tcBorders>
              <w:top w:val="single" w:sz="4" w:space="0" w:color="BFBFBF"/>
              <w:bottom w:val="single" w:sz="4" w:space="0" w:color="BFBFBF"/>
            </w:tcBorders>
          </w:tcPr>
          <w:p w14:paraId="61EC638D" w14:textId="77777777" w:rsidR="003A1564" w:rsidRPr="000570D3" w:rsidRDefault="003A1564">
            <w:pPr>
              <w:pStyle w:val="ARtabletextright"/>
              <w:spacing w:before="30" w:after="20"/>
            </w:pPr>
            <w:r w:rsidRPr="00120B31">
              <w:t>247,466</w:t>
            </w:r>
          </w:p>
        </w:tc>
        <w:tc>
          <w:tcPr>
            <w:tcW w:w="1701" w:type="dxa"/>
            <w:tcBorders>
              <w:top w:val="single" w:sz="4" w:space="0" w:color="BFBFBF"/>
              <w:bottom w:val="single" w:sz="4" w:space="0" w:color="BFBFBF"/>
            </w:tcBorders>
          </w:tcPr>
          <w:p w14:paraId="44B3F881" w14:textId="77777777" w:rsidR="003A1564" w:rsidRPr="000570D3" w:rsidRDefault="003A1564">
            <w:pPr>
              <w:pStyle w:val="ARtabletextright"/>
              <w:spacing w:before="30" w:after="20"/>
            </w:pPr>
            <w:r w:rsidRPr="00120B31">
              <w:t>394,323</w:t>
            </w:r>
          </w:p>
        </w:tc>
      </w:tr>
      <w:tr w:rsidR="003A1564" w:rsidRPr="00801013" w14:paraId="715B3917" w14:textId="77777777">
        <w:trPr>
          <w:trHeight w:val="240"/>
        </w:trPr>
        <w:tc>
          <w:tcPr>
            <w:tcW w:w="4536" w:type="dxa"/>
            <w:tcBorders>
              <w:top w:val="single" w:sz="4" w:space="0" w:color="BFBFBF"/>
            </w:tcBorders>
          </w:tcPr>
          <w:p w14:paraId="166AFE09" w14:textId="77777777" w:rsidR="003A1564" w:rsidRPr="000570D3" w:rsidRDefault="003A1564">
            <w:pPr>
              <w:pStyle w:val="ARtabletext"/>
              <w:spacing w:before="30" w:after="20"/>
            </w:pPr>
            <w:r w:rsidRPr="000570D3">
              <w:t>Electricity (MWh)</w:t>
            </w:r>
          </w:p>
        </w:tc>
        <w:tc>
          <w:tcPr>
            <w:tcW w:w="1701" w:type="dxa"/>
            <w:tcBorders>
              <w:top w:val="single" w:sz="4" w:space="0" w:color="BFBFBF"/>
            </w:tcBorders>
          </w:tcPr>
          <w:p w14:paraId="21A0675A" w14:textId="77777777" w:rsidR="003A1564" w:rsidRPr="000570D3" w:rsidRDefault="003A1564">
            <w:pPr>
              <w:pStyle w:val="ARtabletextright"/>
              <w:spacing w:before="30" w:after="20"/>
            </w:pPr>
            <w:r w:rsidRPr="00120B31">
              <w:t>–</w:t>
            </w:r>
          </w:p>
        </w:tc>
        <w:tc>
          <w:tcPr>
            <w:tcW w:w="1701" w:type="dxa"/>
            <w:tcBorders>
              <w:top w:val="single" w:sz="4" w:space="0" w:color="BFBFBF"/>
            </w:tcBorders>
          </w:tcPr>
          <w:p w14:paraId="21A9B77F" w14:textId="77777777" w:rsidR="003A1564" w:rsidRPr="000570D3" w:rsidRDefault="003A1564">
            <w:pPr>
              <w:pStyle w:val="ARtabletextright"/>
              <w:spacing w:before="30" w:after="20"/>
            </w:pPr>
            <w:r w:rsidRPr="00120B31">
              <w:t>–</w:t>
            </w:r>
          </w:p>
        </w:tc>
        <w:tc>
          <w:tcPr>
            <w:tcW w:w="1701" w:type="dxa"/>
            <w:tcBorders>
              <w:top w:val="single" w:sz="4" w:space="0" w:color="BFBFBF"/>
            </w:tcBorders>
          </w:tcPr>
          <w:p w14:paraId="06F147C6" w14:textId="77777777" w:rsidR="003A1564" w:rsidRPr="000570D3" w:rsidRDefault="003A1564">
            <w:pPr>
              <w:pStyle w:val="ARtabletextright"/>
              <w:spacing w:before="30" w:after="20"/>
            </w:pPr>
            <w:r w:rsidRPr="00120B31">
              <w:t>–</w:t>
            </w:r>
          </w:p>
        </w:tc>
      </w:tr>
      <w:tr w:rsidR="003A1564" w:rsidRPr="00801013" w14:paraId="717A715A" w14:textId="77777777">
        <w:trPr>
          <w:trHeight w:val="240"/>
        </w:trPr>
        <w:tc>
          <w:tcPr>
            <w:tcW w:w="4536" w:type="dxa"/>
          </w:tcPr>
          <w:p w14:paraId="53AA101B" w14:textId="77777777" w:rsidR="003A1564" w:rsidRPr="000570D3" w:rsidRDefault="003A1564">
            <w:pPr>
              <w:pStyle w:val="ARtabletextbold"/>
              <w:spacing w:before="30" w:after="20"/>
            </w:pPr>
            <w:r w:rsidRPr="000570D3">
              <w:t>Total goods vehicles</w:t>
            </w:r>
          </w:p>
        </w:tc>
        <w:tc>
          <w:tcPr>
            <w:tcW w:w="1701" w:type="dxa"/>
          </w:tcPr>
          <w:p w14:paraId="3E38B340" w14:textId="77777777" w:rsidR="003A1564" w:rsidRPr="000570D3" w:rsidRDefault="003A1564">
            <w:pPr>
              <w:pStyle w:val="ARtabletextrightbold"/>
              <w:spacing w:before="30" w:after="20"/>
            </w:pPr>
            <w:r w:rsidRPr="00120B31">
              <w:t>143,164</w:t>
            </w:r>
          </w:p>
        </w:tc>
        <w:tc>
          <w:tcPr>
            <w:tcW w:w="1701" w:type="dxa"/>
          </w:tcPr>
          <w:p w14:paraId="2041771E" w14:textId="77777777" w:rsidR="003A1564" w:rsidRPr="000570D3" w:rsidRDefault="003A1564">
            <w:pPr>
              <w:pStyle w:val="ARtabletextrightbold"/>
              <w:spacing w:before="30" w:after="20"/>
            </w:pPr>
            <w:r w:rsidRPr="00120B31">
              <w:t>247,466</w:t>
            </w:r>
          </w:p>
        </w:tc>
        <w:tc>
          <w:tcPr>
            <w:tcW w:w="1701" w:type="dxa"/>
          </w:tcPr>
          <w:p w14:paraId="0A837DB6" w14:textId="77777777" w:rsidR="003A1564" w:rsidRPr="000570D3" w:rsidRDefault="003A1564">
            <w:pPr>
              <w:pStyle w:val="ARtabletextrightbold"/>
              <w:spacing w:before="30" w:after="20"/>
            </w:pPr>
            <w:r w:rsidRPr="00120B31">
              <w:t>394,323</w:t>
            </w:r>
          </w:p>
        </w:tc>
      </w:tr>
      <w:tr w:rsidR="003A1564" w:rsidRPr="00801013" w14:paraId="2317E4A5" w14:textId="77777777">
        <w:trPr>
          <w:trHeight w:val="240"/>
        </w:trPr>
        <w:tc>
          <w:tcPr>
            <w:tcW w:w="4536" w:type="dxa"/>
          </w:tcPr>
          <w:p w14:paraId="015B796B" w14:textId="77777777" w:rsidR="003A1564" w:rsidRPr="000570D3" w:rsidRDefault="003A1564">
            <w:pPr>
              <w:pStyle w:val="ARtabletext"/>
              <w:spacing w:before="30" w:after="20"/>
              <w:rPr>
                <w:rFonts w:eastAsia="Calibri"/>
              </w:rPr>
            </w:pPr>
            <w:r w:rsidRPr="000570D3">
              <w:t>State government vehicle pool</w:t>
            </w:r>
          </w:p>
        </w:tc>
        <w:tc>
          <w:tcPr>
            <w:tcW w:w="1701" w:type="dxa"/>
          </w:tcPr>
          <w:p w14:paraId="2D4DAAC1" w14:textId="77777777" w:rsidR="003A1564" w:rsidRPr="000570D3" w:rsidRDefault="003A1564">
            <w:pPr>
              <w:pStyle w:val="ARtabletextright"/>
              <w:spacing w:before="30" w:after="20"/>
            </w:pPr>
            <w:r w:rsidRPr="00120B31">
              <w:t>649,315</w:t>
            </w:r>
          </w:p>
        </w:tc>
        <w:tc>
          <w:tcPr>
            <w:tcW w:w="1701" w:type="dxa"/>
          </w:tcPr>
          <w:p w14:paraId="179C8063" w14:textId="77777777" w:rsidR="003A1564" w:rsidRPr="000570D3" w:rsidRDefault="003A1564">
            <w:pPr>
              <w:pStyle w:val="ARtabletextright"/>
              <w:spacing w:before="30" w:after="20"/>
            </w:pPr>
            <w:r w:rsidRPr="00120B31">
              <w:t>424,388</w:t>
            </w:r>
          </w:p>
        </w:tc>
        <w:tc>
          <w:tcPr>
            <w:tcW w:w="1701" w:type="dxa"/>
          </w:tcPr>
          <w:p w14:paraId="69F625E0" w14:textId="77777777" w:rsidR="003A1564" w:rsidRPr="000570D3" w:rsidRDefault="003A1564">
            <w:pPr>
              <w:pStyle w:val="ARtabletextright"/>
              <w:spacing w:before="30" w:after="20"/>
            </w:pPr>
            <w:r w:rsidRPr="00120B31">
              <w:t>307,123</w:t>
            </w:r>
          </w:p>
        </w:tc>
      </w:tr>
      <w:tr w:rsidR="003A1564" w:rsidRPr="000019A0" w14:paraId="522D3336" w14:textId="77777777">
        <w:trPr>
          <w:trHeight w:val="240"/>
        </w:trPr>
        <w:tc>
          <w:tcPr>
            <w:tcW w:w="4536" w:type="dxa"/>
          </w:tcPr>
          <w:p w14:paraId="66AB5D10" w14:textId="77777777" w:rsidR="003A1564" w:rsidRPr="000570D3" w:rsidRDefault="003A1564">
            <w:pPr>
              <w:pStyle w:val="ARtabletextbold"/>
              <w:spacing w:before="30" w:after="20"/>
            </w:pPr>
            <w:r w:rsidRPr="000570D3">
              <w:t>T1 Total energy used in transportation</w:t>
            </w:r>
          </w:p>
        </w:tc>
        <w:tc>
          <w:tcPr>
            <w:tcW w:w="1701" w:type="dxa"/>
          </w:tcPr>
          <w:p w14:paraId="571E27D2" w14:textId="77777777" w:rsidR="003A1564" w:rsidRPr="000570D3" w:rsidRDefault="003A1564">
            <w:pPr>
              <w:pStyle w:val="ARtabletextrightbold"/>
              <w:spacing w:before="30" w:after="20"/>
            </w:pPr>
            <w:r w:rsidRPr="00120B31">
              <w:t>57,801,100</w:t>
            </w:r>
          </w:p>
        </w:tc>
        <w:tc>
          <w:tcPr>
            <w:tcW w:w="1701" w:type="dxa"/>
          </w:tcPr>
          <w:p w14:paraId="3AEA8A8A" w14:textId="77777777" w:rsidR="003A1564" w:rsidRPr="000570D3" w:rsidRDefault="003A1564">
            <w:pPr>
              <w:pStyle w:val="ARtabletextrightbold"/>
              <w:spacing w:before="30" w:after="20"/>
            </w:pPr>
            <w:r w:rsidRPr="00120B31">
              <w:t>49,917,553</w:t>
            </w:r>
          </w:p>
        </w:tc>
        <w:tc>
          <w:tcPr>
            <w:tcW w:w="1701" w:type="dxa"/>
          </w:tcPr>
          <w:p w14:paraId="52D1B583" w14:textId="77777777" w:rsidR="003A1564" w:rsidRPr="000570D3" w:rsidRDefault="003A1564">
            <w:pPr>
              <w:pStyle w:val="ARtabletextrightbold"/>
              <w:spacing w:before="30" w:after="20"/>
            </w:pPr>
            <w:r w:rsidRPr="00120B31">
              <w:t>39,432,316</w:t>
            </w:r>
          </w:p>
        </w:tc>
      </w:tr>
    </w:tbl>
    <w:p w14:paraId="013354B2" w14:textId="77777777" w:rsidR="003A1564" w:rsidRPr="000570D3" w:rsidRDefault="003A1564" w:rsidP="00A95A18">
      <w:pPr>
        <w:pStyle w:val="ARtablecaption"/>
      </w:pPr>
      <w:r w:rsidRPr="000570D3">
        <w:t>Greenhouse gas emissions from vehicle fleet</w:t>
      </w:r>
    </w:p>
    <w:tbl>
      <w:tblPr>
        <w:tblStyle w:val="TableGrid"/>
        <w:tblW w:w="9639" w:type="dxa"/>
        <w:tblLayout w:type="fixed"/>
        <w:tblLook w:val="06A0" w:firstRow="1" w:lastRow="0" w:firstColumn="1" w:lastColumn="0" w:noHBand="1" w:noVBand="1"/>
      </w:tblPr>
      <w:tblGrid>
        <w:gridCol w:w="4536"/>
        <w:gridCol w:w="1701"/>
        <w:gridCol w:w="1701"/>
        <w:gridCol w:w="1701"/>
      </w:tblGrid>
      <w:tr w:rsidR="003A1564" w:rsidRPr="00EA564D" w14:paraId="1BD34406"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2944D0CF" w14:textId="77777777" w:rsidR="003A1564" w:rsidRPr="000570D3" w:rsidRDefault="003A1564">
            <w:pPr>
              <w:pStyle w:val="ARtablecolhead"/>
              <w:spacing w:before="30" w:after="20"/>
              <w:rPr>
                <w:i/>
              </w:rPr>
            </w:pPr>
            <w:r w:rsidRPr="000570D3">
              <w:t>Indicator</w:t>
            </w:r>
          </w:p>
        </w:tc>
        <w:tc>
          <w:tcPr>
            <w:tcW w:w="1701" w:type="dxa"/>
            <w:tcBorders>
              <w:bottom w:val="single" w:sz="4" w:space="0" w:color="auto"/>
            </w:tcBorders>
          </w:tcPr>
          <w:p w14:paraId="500B6C1E" w14:textId="77777777" w:rsidR="003A1564" w:rsidRPr="000570D3" w:rsidRDefault="003A1564">
            <w:pPr>
              <w:pStyle w:val="ARtablecolheadright"/>
              <w:spacing w:before="30" w:after="20"/>
            </w:pPr>
            <w:r w:rsidRPr="000570D3">
              <w:t>202</w:t>
            </w:r>
            <w:r>
              <w:t>3</w:t>
            </w:r>
            <w:r w:rsidRPr="000570D3">
              <w:t>–2</w:t>
            </w:r>
            <w:r>
              <w:t>4</w:t>
            </w:r>
          </w:p>
          <w:p w14:paraId="613F94D9" w14:textId="77777777" w:rsidR="003A1564" w:rsidRPr="000570D3" w:rsidRDefault="003A1564">
            <w:pPr>
              <w:pStyle w:val="ARtablecolheadright"/>
              <w:spacing w:before="30" w:after="20"/>
              <w:rPr>
                <w:i/>
              </w:rPr>
            </w:pPr>
            <w:r w:rsidRPr="000570D3">
              <w:t>Tonnes CO</w:t>
            </w:r>
            <w:r w:rsidRPr="000570D3">
              <w:rPr>
                <w:rStyle w:val="Subscript"/>
              </w:rPr>
              <w:t>2</w:t>
            </w:r>
            <w:r w:rsidRPr="000570D3">
              <w:t>-e</w:t>
            </w:r>
          </w:p>
        </w:tc>
        <w:tc>
          <w:tcPr>
            <w:tcW w:w="1701" w:type="dxa"/>
            <w:tcBorders>
              <w:bottom w:val="single" w:sz="4" w:space="0" w:color="auto"/>
            </w:tcBorders>
          </w:tcPr>
          <w:p w14:paraId="5F3E382D" w14:textId="77777777" w:rsidR="003A1564" w:rsidRPr="000570D3" w:rsidRDefault="003A1564">
            <w:pPr>
              <w:pStyle w:val="ARtablecolheadright"/>
              <w:spacing w:before="30" w:after="20"/>
            </w:pPr>
            <w:r w:rsidRPr="000570D3">
              <w:t>202</w:t>
            </w:r>
            <w:r>
              <w:t>2</w:t>
            </w:r>
            <w:r w:rsidRPr="000570D3">
              <w:t>–2</w:t>
            </w:r>
            <w:r>
              <w:t>3</w:t>
            </w:r>
          </w:p>
          <w:p w14:paraId="70FDED09" w14:textId="77777777" w:rsidR="003A1564" w:rsidRPr="000570D3" w:rsidRDefault="003A1564">
            <w:pPr>
              <w:pStyle w:val="ARtablecolheadright"/>
              <w:spacing w:before="30" w:after="20"/>
              <w:rPr>
                <w:i/>
              </w:rPr>
            </w:pPr>
            <w:r w:rsidRPr="000570D3">
              <w:t>Tonnes CO</w:t>
            </w:r>
            <w:r w:rsidRPr="000570D3">
              <w:rPr>
                <w:rStyle w:val="Subscript"/>
              </w:rPr>
              <w:t>2</w:t>
            </w:r>
            <w:r w:rsidRPr="000570D3">
              <w:t>-e</w:t>
            </w:r>
          </w:p>
        </w:tc>
        <w:tc>
          <w:tcPr>
            <w:tcW w:w="1701" w:type="dxa"/>
            <w:tcBorders>
              <w:bottom w:val="single" w:sz="4" w:space="0" w:color="auto"/>
            </w:tcBorders>
          </w:tcPr>
          <w:p w14:paraId="587B788A" w14:textId="77777777" w:rsidR="003A1564" w:rsidRPr="000570D3" w:rsidRDefault="003A1564">
            <w:pPr>
              <w:pStyle w:val="ARtablecolheadright"/>
              <w:spacing w:before="30" w:after="20"/>
            </w:pPr>
            <w:r w:rsidRPr="000570D3">
              <w:t>202</w:t>
            </w:r>
            <w:r>
              <w:t>1</w:t>
            </w:r>
            <w:r w:rsidRPr="000570D3">
              <w:t>–2</w:t>
            </w:r>
            <w:r>
              <w:t>2</w:t>
            </w:r>
          </w:p>
          <w:p w14:paraId="13CC3328" w14:textId="77777777" w:rsidR="003A1564" w:rsidRPr="000570D3" w:rsidRDefault="003A1564">
            <w:pPr>
              <w:pStyle w:val="ARtablecolheadright"/>
              <w:spacing w:before="30" w:after="20"/>
              <w:rPr>
                <w:i/>
              </w:rPr>
            </w:pPr>
            <w:r w:rsidRPr="000570D3">
              <w:t>Tonnes CO</w:t>
            </w:r>
            <w:r w:rsidRPr="000570D3">
              <w:rPr>
                <w:rStyle w:val="Subscript"/>
              </w:rPr>
              <w:t>2</w:t>
            </w:r>
            <w:r w:rsidRPr="000570D3">
              <w:t>-e</w:t>
            </w:r>
          </w:p>
        </w:tc>
      </w:tr>
      <w:tr w:rsidR="003A1564" w:rsidRPr="00EA564D" w14:paraId="04AF9760" w14:textId="77777777">
        <w:trPr>
          <w:cantSplit w:val="0"/>
          <w:trHeight w:val="225"/>
        </w:trPr>
        <w:tc>
          <w:tcPr>
            <w:tcW w:w="9639" w:type="dxa"/>
            <w:gridSpan w:val="4"/>
            <w:tcBorders>
              <w:top w:val="single" w:sz="4" w:space="0" w:color="auto"/>
              <w:bottom w:val="single" w:sz="4" w:space="0" w:color="BFBFBF"/>
            </w:tcBorders>
          </w:tcPr>
          <w:p w14:paraId="12E56064" w14:textId="77777777" w:rsidR="003A1564" w:rsidRPr="000570D3" w:rsidRDefault="003A1564">
            <w:pPr>
              <w:pStyle w:val="ARtabletextbold"/>
              <w:spacing w:before="30" w:after="20"/>
            </w:pPr>
            <w:r w:rsidRPr="000570D3">
              <w:t>Passenger vehicles</w:t>
            </w:r>
          </w:p>
        </w:tc>
      </w:tr>
      <w:tr w:rsidR="003A1564" w:rsidRPr="00EA564D" w14:paraId="3DDEA423" w14:textId="77777777">
        <w:trPr>
          <w:cantSplit w:val="0"/>
          <w:trHeight w:val="225"/>
        </w:trPr>
        <w:tc>
          <w:tcPr>
            <w:tcW w:w="4536" w:type="dxa"/>
            <w:tcBorders>
              <w:top w:val="single" w:sz="4" w:space="0" w:color="BFBFBF"/>
              <w:bottom w:val="single" w:sz="4" w:space="0" w:color="BFBFBF"/>
            </w:tcBorders>
          </w:tcPr>
          <w:p w14:paraId="5F4EF672" w14:textId="77777777" w:rsidR="003A1564" w:rsidRPr="000570D3" w:rsidRDefault="003A1564">
            <w:pPr>
              <w:pStyle w:val="ARtabletext"/>
              <w:spacing w:before="30" w:after="20"/>
            </w:pPr>
            <w:r w:rsidRPr="000570D3">
              <w:t>Petrol</w:t>
            </w:r>
          </w:p>
        </w:tc>
        <w:tc>
          <w:tcPr>
            <w:tcW w:w="1701" w:type="dxa"/>
            <w:tcBorders>
              <w:top w:val="single" w:sz="4" w:space="0" w:color="BFBFBF"/>
              <w:bottom w:val="single" w:sz="4" w:space="0" w:color="BFBFBF"/>
            </w:tcBorders>
          </w:tcPr>
          <w:p w14:paraId="73515292" w14:textId="77777777" w:rsidR="003A1564" w:rsidRPr="000570D3" w:rsidRDefault="003A1564">
            <w:pPr>
              <w:pStyle w:val="ARtabletextright"/>
              <w:spacing w:before="30" w:after="20"/>
            </w:pPr>
            <w:r w:rsidRPr="00B7301D">
              <w:t>1,319</w:t>
            </w:r>
          </w:p>
        </w:tc>
        <w:tc>
          <w:tcPr>
            <w:tcW w:w="1701" w:type="dxa"/>
            <w:tcBorders>
              <w:top w:val="single" w:sz="4" w:space="0" w:color="BFBFBF"/>
              <w:bottom w:val="single" w:sz="4" w:space="0" w:color="BFBFBF"/>
            </w:tcBorders>
          </w:tcPr>
          <w:p w14:paraId="11D99F1B" w14:textId="77777777" w:rsidR="003A1564" w:rsidRPr="000570D3" w:rsidRDefault="003A1564">
            <w:pPr>
              <w:pStyle w:val="ARtabletextright"/>
              <w:spacing w:before="30" w:after="20"/>
            </w:pPr>
            <w:r w:rsidRPr="00B7301D">
              <w:t>1,606</w:t>
            </w:r>
          </w:p>
        </w:tc>
        <w:tc>
          <w:tcPr>
            <w:tcW w:w="1701" w:type="dxa"/>
            <w:tcBorders>
              <w:top w:val="single" w:sz="4" w:space="0" w:color="BFBFBF"/>
              <w:bottom w:val="single" w:sz="4" w:space="0" w:color="BFBFBF"/>
            </w:tcBorders>
          </w:tcPr>
          <w:p w14:paraId="64B99038" w14:textId="77777777" w:rsidR="003A1564" w:rsidRPr="000570D3" w:rsidRDefault="003A1564">
            <w:pPr>
              <w:pStyle w:val="ARtabletextright"/>
              <w:spacing w:before="30" w:after="20"/>
            </w:pPr>
            <w:r w:rsidRPr="00B7301D">
              <w:t>1,667</w:t>
            </w:r>
          </w:p>
        </w:tc>
      </w:tr>
      <w:tr w:rsidR="003A1564" w:rsidRPr="00EA564D" w14:paraId="04CF8DFA" w14:textId="77777777">
        <w:trPr>
          <w:cantSplit w:val="0"/>
          <w:trHeight w:val="225"/>
        </w:trPr>
        <w:tc>
          <w:tcPr>
            <w:tcW w:w="4536" w:type="dxa"/>
            <w:tcBorders>
              <w:top w:val="single" w:sz="4" w:space="0" w:color="BFBFBF"/>
              <w:bottom w:val="single" w:sz="4" w:space="0" w:color="BFBFBF"/>
            </w:tcBorders>
          </w:tcPr>
          <w:p w14:paraId="214BACDB" w14:textId="77777777" w:rsidR="003A1564" w:rsidRPr="000570D3" w:rsidRDefault="003A1564">
            <w:pPr>
              <w:pStyle w:val="ARtabletext"/>
              <w:spacing w:before="30" w:after="20"/>
            </w:pPr>
            <w:r w:rsidRPr="000570D3">
              <w:t>Diesel</w:t>
            </w:r>
          </w:p>
        </w:tc>
        <w:tc>
          <w:tcPr>
            <w:tcW w:w="1701" w:type="dxa"/>
            <w:tcBorders>
              <w:top w:val="single" w:sz="4" w:space="0" w:color="BFBFBF"/>
              <w:bottom w:val="single" w:sz="4" w:space="0" w:color="BFBFBF"/>
            </w:tcBorders>
          </w:tcPr>
          <w:p w14:paraId="6F3314BD" w14:textId="77777777" w:rsidR="003A1564" w:rsidRPr="000570D3" w:rsidRDefault="003A1564">
            <w:pPr>
              <w:pStyle w:val="ARtabletextright"/>
              <w:spacing w:before="30" w:after="20"/>
            </w:pPr>
            <w:r w:rsidRPr="00B7301D">
              <w:t>1,294</w:t>
            </w:r>
          </w:p>
        </w:tc>
        <w:tc>
          <w:tcPr>
            <w:tcW w:w="1701" w:type="dxa"/>
            <w:tcBorders>
              <w:top w:val="single" w:sz="4" w:space="0" w:color="BFBFBF"/>
              <w:bottom w:val="single" w:sz="4" w:space="0" w:color="BFBFBF"/>
            </w:tcBorders>
          </w:tcPr>
          <w:p w14:paraId="15AF85EE" w14:textId="77777777" w:rsidR="003A1564" w:rsidRPr="000570D3" w:rsidRDefault="003A1564">
            <w:pPr>
              <w:pStyle w:val="ARtabletextright"/>
              <w:spacing w:before="30" w:after="20"/>
            </w:pPr>
            <w:r w:rsidRPr="00B7301D">
              <w:t>1,022</w:t>
            </w:r>
          </w:p>
        </w:tc>
        <w:tc>
          <w:tcPr>
            <w:tcW w:w="1701" w:type="dxa"/>
            <w:tcBorders>
              <w:top w:val="single" w:sz="4" w:space="0" w:color="BFBFBF"/>
              <w:bottom w:val="single" w:sz="4" w:space="0" w:color="BFBFBF"/>
            </w:tcBorders>
          </w:tcPr>
          <w:p w14:paraId="09B1CB43" w14:textId="77777777" w:rsidR="003A1564" w:rsidRPr="000570D3" w:rsidRDefault="003A1564">
            <w:pPr>
              <w:pStyle w:val="ARtabletextright"/>
              <w:spacing w:before="30" w:after="20"/>
            </w:pPr>
            <w:r w:rsidRPr="00B7301D">
              <w:t>633</w:t>
            </w:r>
          </w:p>
        </w:tc>
      </w:tr>
      <w:tr w:rsidR="003A1564" w:rsidRPr="00EA564D" w14:paraId="5BA3D811" w14:textId="77777777">
        <w:trPr>
          <w:cantSplit w:val="0"/>
          <w:trHeight w:val="225"/>
        </w:trPr>
        <w:tc>
          <w:tcPr>
            <w:tcW w:w="4536" w:type="dxa"/>
            <w:tcBorders>
              <w:top w:val="single" w:sz="4" w:space="0" w:color="BFBFBF"/>
              <w:bottom w:val="single" w:sz="4" w:space="0" w:color="BFBFBF"/>
            </w:tcBorders>
          </w:tcPr>
          <w:p w14:paraId="298671FC" w14:textId="77777777" w:rsidR="003A1564" w:rsidRPr="000570D3" w:rsidRDefault="003A1564">
            <w:pPr>
              <w:pStyle w:val="ARtabletext"/>
              <w:spacing w:before="30" w:after="20"/>
            </w:pPr>
            <w:r w:rsidRPr="000570D3">
              <w:t>Hybrid/unleaded</w:t>
            </w:r>
          </w:p>
        </w:tc>
        <w:tc>
          <w:tcPr>
            <w:tcW w:w="1701" w:type="dxa"/>
            <w:tcBorders>
              <w:top w:val="single" w:sz="4" w:space="0" w:color="BFBFBF"/>
              <w:bottom w:val="single" w:sz="4" w:space="0" w:color="BFBFBF"/>
            </w:tcBorders>
          </w:tcPr>
          <w:p w14:paraId="25CF92EF" w14:textId="77777777" w:rsidR="003A1564" w:rsidRPr="000570D3" w:rsidRDefault="003A1564">
            <w:pPr>
              <w:pStyle w:val="ARtabletextright"/>
              <w:spacing w:before="30" w:after="20"/>
            </w:pPr>
            <w:r w:rsidRPr="00B7301D">
              <w:t>853</w:t>
            </w:r>
          </w:p>
        </w:tc>
        <w:tc>
          <w:tcPr>
            <w:tcW w:w="1701" w:type="dxa"/>
            <w:tcBorders>
              <w:top w:val="single" w:sz="4" w:space="0" w:color="BFBFBF"/>
              <w:bottom w:val="single" w:sz="4" w:space="0" w:color="BFBFBF"/>
            </w:tcBorders>
          </w:tcPr>
          <w:p w14:paraId="2744B21E" w14:textId="77777777" w:rsidR="003A1564" w:rsidRPr="000570D3" w:rsidRDefault="003A1564">
            <w:pPr>
              <w:pStyle w:val="ARtabletextright"/>
              <w:spacing w:before="30" w:after="20"/>
            </w:pPr>
            <w:r w:rsidRPr="00B7301D">
              <w:t>702</w:t>
            </w:r>
          </w:p>
        </w:tc>
        <w:tc>
          <w:tcPr>
            <w:tcW w:w="1701" w:type="dxa"/>
            <w:tcBorders>
              <w:top w:val="single" w:sz="4" w:space="0" w:color="BFBFBF"/>
              <w:bottom w:val="single" w:sz="4" w:space="0" w:color="BFBFBF"/>
            </w:tcBorders>
          </w:tcPr>
          <w:p w14:paraId="1171F3D4" w14:textId="77777777" w:rsidR="003A1564" w:rsidRPr="000570D3" w:rsidRDefault="003A1564">
            <w:pPr>
              <w:pStyle w:val="ARtabletextright"/>
              <w:spacing w:before="30" w:after="20"/>
            </w:pPr>
            <w:r w:rsidRPr="00B7301D">
              <w:t>393</w:t>
            </w:r>
          </w:p>
        </w:tc>
      </w:tr>
      <w:tr w:rsidR="003A1564" w:rsidRPr="00EA564D" w14:paraId="5D3E7DF7" w14:textId="77777777">
        <w:trPr>
          <w:cantSplit w:val="0"/>
          <w:trHeight w:val="240"/>
        </w:trPr>
        <w:tc>
          <w:tcPr>
            <w:tcW w:w="4536" w:type="dxa"/>
            <w:tcBorders>
              <w:top w:val="single" w:sz="4" w:space="0" w:color="BFBFBF"/>
            </w:tcBorders>
          </w:tcPr>
          <w:p w14:paraId="37A4EC07" w14:textId="77777777" w:rsidR="003A1564" w:rsidRPr="000570D3" w:rsidRDefault="003A1564">
            <w:pPr>
              <w:pStyle w:val="ARtabletext"/>
              <w:spacing w:before="30" w:after="20"/>
            </w:pPr>
            <w:r w:rsidRPr="000570D3">
              <w:t>Electricity</w:t>
            </w:r>
          </w:p>
        </w:tc>
        <w:tc>
          <w:tcPr>
            <w:tcW w:w="1701" w:type="dxa"/>
            <w:tcBorders>
              <w:top w:val="single" w:sz="4" w:space="0" w:color="BFBFBF"/>
            </w:tcBorders>
          </w:tcPr>
          <w:p w14:paraId="4CFF98F1" w14:textId="77777777" w:rsidR="003A1564" w:rsidRPr="000570D3" w:rsidRDefault="003A1564">
            <w:pPr>
              <w:pStyle w:val="ARtabletextright"/>
              <w:spacing w:before="30" w:after="20"/>
            </w:pPr>
            <w:r w:rsidRPr="00B7301D">
              <w:t>7</w:t>
            </w:r>
          </w:p>
        </w:tc>
        <w:tc>
          <w:tcPr>
            <w:tcW w:w="1701" w:type="dxa"/>
            <w:tcBorders>
              <w:top w:val="single" w:sz="4" w:space="0" w:color="BFBFBF"/>
            </w:tcBorders>
          </w:tcPr>
          <w:p w14:paraId="049B2B93" w14:textId="77777777" w:rsidR="003A1564" w:rsidRPr="000570D3" w:rsidRDefault="003A1564">
            <w:pPr>
              <w:pStyle w:val="ARtabletextright"/>
              <w:spacing w:before="30" w:after="20"/>
            </w:pPr>
            <w:r w:rsidRPr="00B7301D">
              <w:t>–</w:t>
            </w:r>
          </w:p>
        </w:tc>
        <w:tc>
          <w:tcPr>
            <w:tcW w:w="1701" w:type="dxa"/>
            <w:tcBorders>
              <w:top w:val="single" w:sz="4" w:space="0" w:color="BFBFBF"/>
            </w:tcBorders>
          </w:tcPr>
          <w:p w14:paraId="4FE34798" w14:textId="77777777" w:rsidR="003A1564" w:rsidRPr="000570D3" w:rsidRDefault="003A1564">
            <w:pPr>
              <w:pStyle w:val="ARtabletextright"/>
              <w:spacing w:before="30" w:after="20"/>
            </w:pPr>
            <w:r w:rsidRPr="00B7301D">
              <w:t>–</w:t>
            </w:r>
          </w:p>
        </w:tc>
      </w:tr>
      <w:tr w:rsidR="003A1564" w:rsidRPr="00EA564D" w14:paraId="602E5966" w14:textId="77777777">
        <w:trPr>
          <w:cantSplit w:val="0"/>
          <w:trHeight w:val="225"/>
        </w:trPr>
        <w:tc>
          <w:tcPr>
            <w:tcW w:w="4536" w:type="dxa"/>
            <w:tcBorders>
              <w:bottom w:val="single" w:sz="4" w:space="0" w:color="auto"/>
            </w:tcBorders>
          </w:tcPr>
          <w:p w14:paraId="41734E36" w14:textId="77777777" w:rsidR="003A1564" w:rsidRPr="000570D3" w:rsidRDefault="003A1564">
            <w:pPr>
              <w:pStyle w:val="ARtabletext"/>
              <w:spacing w:before="30" w:after="20"/>
              <w:rPr>
                <w:b/>
              </w:rPr>
            </w:pPr>
            <w:r w:rsidRPr="000570D3">
              <w:rPr>
                <w:rFonts w:eastAsia="Calibri"/>
                <w:b/>
              </w:rPr>
              <w:t>Total passenger vehicles</w:t>
            </w:r>
          </w:p>
        </w:tc>
        <w:tc>
          <w:tcPr>
            <w:tcW w:w="1701" w:type="dxa"/>
            <w:tcBorders>
              <w:bottom w:val="single" w:sz="4" w:space="0" w:color="auto"/>
            </w:tcBorders>
          </w:tcPr>
          <w:p w14:paraId="7F8C5384" w14:textId="77777777" w:rsidR="003A1564" w:rsidRPr="000570D3" w:rsidRDefault="003A1564">
            <w:pPr>
              <w:pStyle w:val="ARtabletextrightbold"/>
              <w:spacing w:before="30" w:after="20"/>
            </w:pPr>
            <w:r w:rsidRPr="00B7301D">
              <w:t>3,472</w:t>
            </w:r>
          </w:p>
        </w:tc>
        <w:tc>
          <w:tcPr>
            <w:tcW w:w="1701" w:type="dxa"/>
            <w:tcBorders>
              <w:bottom w:val="single" w:sz="4" w:space="0" w:color="auto"/>
            </w:tcBorders>
          </w:tcPr>
          <w:p w14:paraId="456CF05B" w14:textId="77777777" w:rsidR="003A1564" w:rsidRPr="000570D3" w:rsidRDefault="003A1564">
            <w:pPr>
              <w:pStyle w:val="ARtabletextrightbold"/>
              <w:spacing w:before="30" w:after="20"/>
            </w:pPr>
            <w:r w:rsidRPr="00B7301D">
              <w:t>3,330</w:t>
            </w:r>
          </w:p>
        </w:tc>
        <w:tc>
          <w:tcPr>
            <w:tcW w:w="1701" w:type="dxa"/>
            <w:tcBorders>
              <w:bottom w:val="single" w:sz="4" w:space="0" w:color="auto"/>
            </w:tcBorders>
          </w:tcPr>
          <w:p w14:paraId="7F4DA135" w14:textId="77777777" w:rsidR="003A1564" w:rsidRPr="000570D3" w:rsidRDefault="003A1564">
            <w:pPr>
              <w:pStyle w:val="ARtabletextrightbold"/>
              <w:spacing w:before="30" w:after="20"/>
            </w:pPr>
            <w:r w:rsidRPr="00B7301D">
              <w:t>2,714</w:t>
            </w:r>
          </w:p>
        </w:tc>
      </w:tr>
      <w:tr w:rsidR="003A1564" w:rsidRPr="00EA564D" w14:paraId="48DC2C34" w14:textId="77777777">
        <w:trPr>
          <w:cantSplit w:val="0"/>
          <w:trHeight w:val="225"/>
        </w:trPr>
        <w:tc>
          <w:tcPr>
            <w:tcW w:w="9639" w:type="dxa"/>
            <w:gridSpan w:val="4"/>
            <w:tcBorders>
              <w:top w:val="single" w:sz="4" w:space="0" w:color="auto"/>
              <w:bottom w:val="single" w:sz="4" w:space="0" w:color="BFBFBF"/>
            </w:tcBorders>
          </w:tcPr>
          <w:p w14:paraId="6D2894AA" w14:textId="77777777" w:rsidR="003A1564" w:rsidRPr="000570D3" w:rsidRDefault="003A1564">
            <w:pPr>
              <w:pStyle w:val="ARtabletext"/>
              <w:spacing w:before="30" w:after="20"/>
            </w:pPr>
            <w:r w:rsidRPr="000570D3">
              <w:rPr>
                <w:rFonts w:eastAsia="Calibri"/>
                <w:b/>
              </w:rPr>
              <w:t>Goods vehicles</w:t>
            </w:r>
          </w:p>
        </w:tc>
      </w:tr>
      <w:tr w:rsidR="003A1564" w:rsidRPr="00EA564D" w14:paraId="288BB7A9" w14:textId="77777777">
        <w:trPr>
          <w:trHeight w:val="225"/>
        </w:trPr>
        <w:tc>
          <w:tcPr>
            <w:tcW w:w="4536" w:type="dxa"/>
            <w:tcBorders>
              <w:top w:val="single" w:sz="4" w:space="0" w:color="BFBFBF"/>
              <w:bottom w:val="single" w:sz="4" w:space="0" w:color="BFBFBF"/>
            </w:tcBorders>
          </w:tcPr>
          <w:p w14:paraId="419896D7" w14:textId="77777777" w:rsidR="003A1564" w:rsidRPr="000570D3" w:rsidRDefault="003A1564">
            <w:pPr>
              <w:pStyle w:val="ARtabletext"/>
              <w:spacing w:before="30" w:after="20"/>
            </w:pPr>
            <w:r w:rsidRPr="000570D3">
              <w:t>Petrol</w:t>
            </w:r>
          </w:p>
        </w:tc>
        <w:tc>
          <w:tcPr>
            <w:tcW w:w="1701" w:type="dxa"/>
            <w:tcBorders>
              <w:top w:val="single" w:sz="4" w:space="0" w:color="BFBFBF"/>
              <w:bottom w:val="single" w:sz="4" w:space="0" w:color="BFBFBF"/>
            </w:tcBorders>
          </w:tcPr>
          <w:p w14:paraId="15DF88AE" w14:textId="77777777" w:rsidR="003A1564" w:rsidRPr="000570D3" w:rsidRDefault="003A1564">
            <w:pPr>
              <w:pStyle w:val="ARtabletextright"/>
              <w:spacing w:before="30" w:after="20"/>
            </w:pPr>
            <w:r w:rsidRPr="00812CA0">
              <w:t>0</w:t>
            </w:r>
          </w:p>
        </w:tc>
        <w:tc>
          <w:tcPr>
            <w:tcW w:w="1701" w:type="dxa"/>
            <w:tcBorders>
              <w:top w:val="single" w:sz="4" w:space="0" w:color="BFBFBF"/>
              <w:bottom w:val="single" w:sz="4" w:space="0" w:color="BFBFBF"/>
            </w:tcBorders>
          </w:tcPr>
          <w:p w14:paraId="3B8B3522" w14:textId="77777777" w:rsidR="003A1564" w:rsidRPr="000570D3" w:rsidRDefault="003A1564">
            <w:pPr>
              <w:pStyle w:val="ARtabletextright"/>
              <w:spacing w:before="30" w:after="20"/>
            </w:pPr>
            <w:r w:rsidRPr="00812CA0">
              <w:t>0</w:t>
            </w:r>
          </w:p>
        </w:tc>
        <w:tc>
          <w:tcPr>
            <w:tcW w:w="1701" w:type="dxa"/>
            <w:tcBorders>
              <w:top w:val="single" w:sz="4" w:space="0" w:color="BFBFBF"/>
              <w:bottom w:val="single" w:sz="4" w:space="0" w:color="BFBFBF"/>
            </w:tcBorders>
          </w:tcPr>
          <w:p w14:paraId="66821C7C" w14:textId="77777777" w:rsidR="003A1564" w:rsidRPr="000570D3" w:rsidRDefault="003A1564">
            <w:pPr>
              <w:pStyle w:val="ARtabletextright"/>
              <w:spacing w:before="30" w:after="20"/>
            </w:pPr>
            <w:r w:rsidRPr="00812CA0">
              <w:t>0</w:t>
            </w:r>
          </w:p>
        </w:tc>
      </w:tr>
      <w:tr w:rsidR="003A1564" w:rsidRPr="00EA564D" w14:paraId="6F07694D" w14:textId="77777777">
        <w:trPr>
          <w:trHeight w:val="225"/>
        </w:trPr>
        <w:tc>
          <w:tcPr>
            <w:tcW w:w="4536" w:type="dxa"/>
            <w:tcBorders>
              <w:top w:val="single" w:sz="4" w:space="0" w:color="BFBFBF"/>
              <w:bottom w:val="single" w:sz="4" w:space="0" w:color="BFBFBF"/>
            </w:tcBorders>
          </w:tcPr>
          <w:p w14:paraId="1311967B" w14:textId="77777777" w:rsidR="003A1564" w:rsidRPr="000570D3" w:rsidRDefault="003A1564">
            <w:pPr>
              <w:pStyle w:val="ARtabletext"/>
              <w:spacing w:before="30" w:after="20"/>
            </w:pPr>
            <w:r w:rsidRPr="000570D3">
              <w:t>Diesel</w:t>
            </w:r>
          </w:p>
        </w:tc>
        <w:tc>
          <w:tcPr>
            <w:tcW w:w="1701" w:type="dxa"/>
            <w:tcBorders>
              <w:top w:val="single" w:sz="4" w:space="0" w:color="BFBFBF"/>
              <w:bottom w:val="single" w:sz="4" w:space="0" w:color="BFBFBF"/>
            </w:tcBorders>
          </w:tcPr>
          <w:p w14:paraId="24C6961F" w14:textId="77777777" w:rsidR="003A1564" w:rsidRPr="000570D3" w:rsidRDefault="003A1564">
            <w:pPr>
              <w:pStyle w:val="ARtabletextright"/>
              <w:spacing w:before="30" w:after="20"/>
            </w:pPr>
            <w:r w:rsidRPr="00812CA0">
              <w:t>10</w:t>
            </w:r>
          </w:p>
        </w:tc>
        <w:tc>
          <w:tcPr>
            <w:tcW w:w="1701" w:type="dxa"/>
            <w:tcBorders>
              <w:top w:val="single" w:sz="4" w:space="0" w:color="BFBFBF"/>
              <w:bottom w:val="single" w:sz="4" w:space="0" w:color="BFBFBF"/>
            </w:tcBorders>
          </w:tcPr>
          <w:p w14:paraId="7179E7E5" w14:textId="77777777" w:rsidR="003A1564" w:rsidRPr="000570D3" w:rsidRDefault="003A1564">
            <w:pPr>
              <w:pStyle w:val="ARtabletextright"/>
              <w:spacing w:before="30" w:after="20"/>
            </w:pPr>
            <w:r w:rsidRPr="00812CA0">
              <w:t>17</w:t>
            </w:r>
          </w:p>
        </w:tc>
        <w:tc>
          <w:tcPr>
            <w:tcW w:w="1701" w:type="dxa"/>
            <w:tcBorders>
              <w:top w:val="single" w:sz="4" w:space="0" w:color="BFBFBF"/>
              <w:bottom w:val="single" w:sz="4" w:space="0" w:color="BFBFBF"/>
            </w:tcBorders>
          </w:tcPr>
          <w:p w14:paraId="6CC224B7" w14:textId="77777777" w:rsidR="003A1564" w:rsidRPr="000570D3" w:rsidRDefault="003A1564">
            <w:pPr>
              <w:pStyle w:val="ARtabletextright"/>
              <w:spacing w:before="30" w:after="20"/>
            </w:pPr>
            <w:r w:rsidRPr="00812CA0">
              <w:t>27</w:t>
            </w:r>
          </w:p>
        </w:tc>
      </w:tr>
      <w:tr w:rsidR="003A1564" w:rsidRPr="00EA564D" w14:paraId="5D0C37C7" w14:textId="77777777">
        <w:trPr>
          <w:trHeight w:val="240"/>
        </w:trPr>
        <w:tc>
          <w:tcPr>
            <w:tcW w:w="4536" w:type="dxa"/>
            <w:tcBorders>
              <w:top w:val="single" w:sz="4" w:space="0" w:color="BFBFBF"/>
            </w:tcBorders>
          </w:tcPr>
          <w:p w14:paraId="0A5FB3AD" w14:textId="77777777" w:rsidR="003A1564" w:rsidRPr="000570D3" w:rsidRDefault="003A1564">
            <w:pPr>
              <w:pStyle w:val="ARtabletext"/>
              <w:spacing w:before="30" w:after="20"/>
            </w:pPr>
            <w:r w:rsidRPr="000570D3">
              <w:t>Electricity</w:t>
            </w:r>
          </w:p>
        </w:tc>
        <w:tc>
          <w:tcPr>
            <w:tcW w:w="1701" w:type="dxa"/>
            <w:tcBorders>
              <w:top w:val="single" w:sz="4" w:space="0" w:color="BFBFBF"/>
            </w:tcBorders>
          </w:tcPr>
          <w:p w14:paraId="147C9B56" w14:textId="77777777" w:rsidR="003A1564" w:rsidRPr="000570D3" w:rsidRDefault="003A1564">
            <w:pPr>
              <w:pStyle w:val="ARtabletextright"/>
              <w:spacing w:before="30" w:after="20"/>
            </w:pPr>
            <w:r w:rsidRPr="00812CA0">
              <w:t>–</w:t>
            </w:r>
          </w:p>
        </w:tc>
        <w:tc>
          <w:tcPr>
            <w:tcW w:w="1701" w:type="dxa"/>
            <w:tcBorders>
              <w:top w:val="single" w:sz="4" w:space="0" w:color="BFBFBF"/>
            </w:tcBorders>
          </w:tcPr>
          <w:p w14:paraId="0B600185" w14:textId="77777777" w:rsidR="003A1564" w:rsidRPr="000570D3" w:rsidRDefault="003A1564">
            <w:pPr>
              <w:pStyle w:val="ARtabletextright"/>
              <w:spacing w:before="30" w:after="20"/>
            </w:pPr>
            <w:r w:rsidRPr="00812CA0">
              <w:t>–</w:t>
            </w:r>
          </w:p>
        </w:tc>
        <w:tc>
          <w:tcPr>
            <w:tcW w:w="1701" w:type="dxa"/>
            <w:tcBorders>
              <w:top w:val="single" w:sz="4" w:space="0" w:color="BFBFBF"/>
            </w:tcBorders>
          </w:tcPr>
          <w:p w14:paraId="7D270588" w14:textId="77777777" w:rsidR="003A1564" w:rsidRPr="000570D3" w:rsidRDefault="003A1564">
            <w:pPr>
              <w:pStyle w:val="ARtabletextright"/>
              <w:spacing w:before="30" w:after="20"/>
            </w:pPr>
            <w:r w:rsidRPr="00812CA0">
              <w:t>–</w:t>
            </w:r>
          </w:p>
        </w:tc>
      </w:tr>
      <w:tr w:rsidR="003A1564" w:rsidRPr="00EA564D" w14:paraId="7C6C47D7" w14:textId="77777777">
        <w:trPr>
          <w:trHeight w:val="240"/>
        </w:trPr>
        <w:tc>
          <w:tcPr>
            <w:tcW w:w="4536" w:type="dxa"/>
          </w:tcPr>
          <w:p w14:paraId="38C4B36C" w14:textId="77777777" w:rsidR="003A1564" w:rsidRPr="000570D3" w:rsidRDefault="003A1564">
            <w:pPr>
              <w:pStyle w:val="ARtabletextbold"/>
              <w:spacing w:before="30" w:after="20"/>
            </w:pPr>
            <w:r w:rsidRPr="000570D3">
              <w:t>Total goods vehicles</w:t>
            </w:r>
          </w:p>
        </w:tc>
        <w:tc>
          <w:tcPr>
            <w:tcW w:w="1701" w:type="dxa"/>
          </w:tcPr>
          <w:p w14:paraId="6D23FFD0" w14:textId="77777777" w:rsidR="003A1564" w:rsidRPr="000570D3" w:rsidRDefault="003A1564">
            <w:pPr>
              <w:pStyle w:val="ARtabletextrightbold"/>
              <w:spacing w:before="30" w:after="20"/>
            </w:pPr>
            <w:r w:rsidRPr="00812CA0">
              <w:t>10</w:t>
            </w:r>
          </w:p>
        </w:tc>
        <w:tc>
          <w:tcPr>
            <w:tcW w:w="1701" w:type="dxa"/>
          </w:tcPr>
          <w:p w14:paraId="1919B6A4" w14:textId="77777777" w:rsidR="003A1564" w:rsidRPr="000570D3" w:rsidRDefault="003A1564">
            <w:pPr>
              <w:pStyle w:val="ARtabletextrightbold"/>
              <w:spacing w:before="30" w:after="20"/>
            </w:pPr>
            <w:r w:rsidRPr="00812CA0">
              <w:t>17</w:t>
            </w:r>
          </w:p>
        </w:tc>
        <w:tc>
          <w:tcPr>
            <w:tcW w:w="1701" w:type="dxa"/>
          </w:tcPr>
          <w:p w14:paraId="0A807099" w14:textId="77777777" w:rsidR="003A1564" w:rsidRPr="000570D3" w:rsidRDefault="003A1564">
            <w:pPr>
              <w:pStyle w:val="ARtabletextrightbold"/>
              <w:spacing w:before="30" w:after="20"/>
            </w:pPr>
            <w:r w:rsidRPr="00812CA0">
              <w:t>27</w:t>
            </w:r>
          </w:p>
        </w:tc>
      </w:tr>
      <w:tr w:rsidR="003A1564" w:rsidRPr="00EA564D" w14:paraId="3A862E9A" w14:textId="77777777">
        <w:trPr>
          <w:trHeight w:val="240"/>
        </w:trPr>
        <w:tc>
          <w:tcPr>
            <w:tcW w:w="4536" w:type="dxa"/>
          </w:tcPr>
          <w:p w14:paraId="610CEE07" w14:textId="77777777" w:rsidR="003A1564" w:rsidRPr="000570D3" w:rsidRDefault="003A1564">
            <w:pPr>
              <w:pStyle w:val="ARtabletext"/>
              <w:spacing w:before="30" w:after="20"/>
              <w:rPr>
                <w:rFonts w:eastAsia="Calibri"/>
              </w:rPr>
            </w:pPr>
            <w:r w:rsidRPr="000570D3">
              <w:t>State government vehicle pool</w:t>
            </w:r>
          </w:p>
        </w:tc>
        <w:tc>
          <w:tcPr>
            <w:tcW w:w="1701" w:type="dxa"/>
          </w:tcPr>
          <w:p w14:paraId="4814642D" w14:textId="77777777" w:rsidR="003A1564" w:rsidRPr="000570D3" w:rsidRDefault="003A1564">
            <w:pPr>
              <w:pStyle w:val="ARtabletextright"/>
              <w:spacing w:before="30" w:after="20"/>
            </w:pPr>
            <w:r w:rsidRPr="00812CA0">
              <w:t>37</w:t>
            </w:r>
          </w:p>
        </w:tc>
        <w:tc>
          <w:tcPr>
            <w:tcW w:w="1701" w:type="dxa"/>
          </w:tcPr>
          <w:p w14:paraId="5153DFD3" w14:textId="77777777" w:rsidR="003A1564" w:rsidRPr="000570D3" w:rsidRDefault="003A1564">
            <w:pPr>
              <w:pStyle w:val="ARtabletextright"/>
              <w:spacing w:before="30" w:after="20"/>
            </w:pPr>
            <w:r w:rsidRPr="00812CA0">
              <w:t>28</w:t>
            </w:r>
          </w:p>
        </w:tc>
        <w:tc>
          <w:tcPr>
            <w:tcW w:w="1701" w:type="dxa"/>
          </w:tcPr>
          <w:p w14:paraId="19BE7473" w14:textId="77777777" w:rsidR="003A1564" w:rsidRPr="000570D3" w:rsidRDefault="003A1564">
            <w:pPr>
              <w:pStyle w:val="ARtabletextright"/>
              <w:spacing w:before="30" w:after="20"/>
            </w:pPr>
            <w:r w:rsidRPr="00812CA0">
              <w:t>21</w:t>
            </w:r>
          </w:p>
        </w:tc>
      </w:tr>
      <w:tr w:rsidR="003A1564" w:rsidRPr="000019A0" w14:paraId="529AE908" w14:textId="77777777">
        <w:trPr>
          <w:trHeight w:val="240"/>
        </w:trPr>
        <w:tc>
          <w:tcPr>
            <w:tcW w:w="4536" w:type="dxa"/>
          </w:tcPr>
          <w:p w14:paraId="48B6A715" w14:textId="77777777" w:rsidR="003A1564" w:rsidRPr="000570D3" w:rsidRDefault="003A1564">
            <w:pPr>
              <w:pStyle w:val="ARtabletextbold"/>
              <w:spacing w:before="30" w:after="20"/>
            </w:pPr>
            <w:r w:rsidRPr="000570D3">
              <w:t>T3 Greenhouse gas emissions from vehicle fleet</w:t>
            </w:r>
          </w:p>
        </w:tc>
        <w:tc>
          <w:tcPr>
            <w:tcW w:w="1701" w:type="dxa"/>
          </w:tcPr>
          <w:p w14:paraId="2234A201" w14:textId="77777777" w:rsidR="003A1564" w:rsidRPr="000570D3" w:rsidRDefault="003A1564">
            <w:pPr>
              <w:pStyle w:val="ARtabletextrightbold"/>
              <w:spacing w:before="30" w:after="20"/>
            </w:pPr>
            <w:r w:rsidRPr="00812CA0">
              <w:t>3,520</w:t>
            </w:r>
          </w:p>
        </w:tc>
        <w:tc>
          <w:tcPr>
            <w:tcW w:w="1701" w:type="dxa"/>
          </w:tcPr>
          <w:p w14:paraId="5837BDE1" w14:textId="77777777" w:rsidR="003A1564" w:rsidRPr="000570D3" w:rsidRDefault="003A1564">
            <w:pPr>
              <w:pStyle w:val="ARtabletextrightbold"/>
              <w:spacing w:before="30" w:after="20"/>
            </w:pPr>
            <w:r w:rsidRPr="00812CA0">
              <w:t>3,375</w:t>
            </w:r>
          </w:p>
        </w:tc>
        <w:tc>
          <w:tcPr>
            <w:tcW w:w="1701" w:type="dxa"/>
          </w:tcPr>
          <w:p w14:paraId="6D7C3F72" w14:textId="77777777" w:rsidR="003A1564" w:rsidRPr="000570D3" w:rsidRDefault="003A1564">
            <w:pPr>
              <w:pStyle w:val="ARtabletextrightbold"/>
              <w:spacing w:before="30" w:after="20"/>
            </w:pPr>
            <w:r w:rsidRPr="00812CA0">
              <w:t>2,762</w:t>
            </w:r>
          </w:p>
        </w:tc>
      </w:tr>
    </w:tbl>
    <w:p w14:paraId="1BEAB20C" w14:textId="77777777" w:rsidR="003A1564" w:rsidRPr="007B6424" w:rsidRDefault="003A1564" w:rsidP="00A95A18">
      <w:pPr>
        <w:pStyle w:val="ARtablecaption"/>
      </w:pPr>
      <w:r w:rsidRPr="007B6424">
        <w:t>Total distance travelled commercial air travel</w:t>
      </w:r>
    </w:p>
    <w:tbl>
      <w:tblPr>
        <w:tblStyle w:val="TableGrid"/>
        <w:tblW w:w="9639" w:type="dxa"/>
        <w:tblLayout w:type="fixed"/>
        <w:tblLook w:val="06A0" w:firstRow="1" w:lastRow="0" w:firstColumn="1" w:lastColumn="0" w:noHBand="1" w:noVBand="1"/>
      </w:tblPr>
      <w:tblGrid>
        <w:gridCol w:w="4536"/>
        <w:gridCol w:w="1701"/>
        <w:gridCol w:w="1701"/>
        <w:gridCol w:w="1701"/>
      </w:tblGrid>
      <w:tr w:rsidR="003A1564" w:rsidRPr="007B6424" w14:paraId="2D052C05"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15BD3D8B" w14:textId="77777777" w:rsidR="003A1564" w:rsidRPr="007803CC" w:rsidRDefault="003A1564" w:rsidP="007803CC">
            <w:pPr>
              <w:pStyle w:val="ARtablecolhead"/>
            </w:pPr>
          </w:p>
        </w:tc>
        <w:tc>
          <w:tcPr>
            <w:tcW w:w="1701" w:type="dxa"/>
            <w:tcBorders>
              <w:bottom w:val="single" w:sz="4" w:space="0" w:color="auto"/>
            </w:tcBorders>
          </w:tcPr>
          <w:p w14:paraId="17EEC667" w14:textId="77777777" w:rsidR="003A1564" w:rsidRPr="007B6424" w:rsidRDefault="003A1564">
            <w:pPr>
              <w:pStyle w:val="ARtablecolheadright"/>
              <w:spacing w:before="30" w:after="20"/>
            </w:pPr>
            <w:r w:rsidRPr="007B6424">
              <w:t>2023–24</w:t>
            </w:r>
          </w:p>
          <w:p w14:paraId="3E3E2D24" w14:textId="77777777" w:rsidR="003A1564" w:rsidRPr="007B6424" w:rsidRDefault="003A1564">
            <w:pPr>
              <w:pStyle w:val="ARtablecolheadright"/>
              <w:spacing w:before="30" w:after="20"/>
              <w:rPr>
                <w:i/>
              </w:rPr>
            </w:pPr>
            <w:r w:rsidRPr="007B6424">
              <w:t>Passenger km</w:t>
            </w:r>
          </w:p>
        </w:tc>
        <w:tc>
          <w:tcPr>
            <w:tcW w:w="1701" w:type="dxa"/>
            <w:tcBorders>
              <w:bottom w:val="single" w:sz="4" w:space="0" w:color="auto"/>
            </w:tcBorders>
          </w:tcPr>
          <w:p w14:paraId="7256A21B" w14:textId="77777777" w:rsidR="003A1564" w:rsidRPr="007B6424" w:rsidRDefault="003A1564">
            <w:pPr>
              <w:pStyle w:val="ARtablecolheadright"/>
              <w:spacing w:before="30" w:after="20"/>
            </w:pPr>
            <w:r w:rsidRPr="007B6424">
              <w:t>2022–23</w:t>
            </w:r>
          </w:p>
          <w:p w14:paraId="0095D275" w14:textId="77777777" w:rsidR="003A1564" w:rsidRPr="007B6424" w:rsidRDefault="003A1564">
            <w:pPr>
              <w:pStyle w:val="ARtablecolheadright"/>
              <w:spacing w:before="30" w:after="20"/>
              <w:rPr>
                <w:i/>
              </w:rPr>
            </w:pPr>
            <w:r w:rsidRPr="007B6424">
              <w:t>Passenger km</w:t>
            </w:r>
          </w:p>
        </w:tc>
        <w:tc>
          <w:tcPr>
            <w:tcW w:w="1701" w:type="dxa"/>
            <w:tcBorders>
              <w:bottom w:val="single" w:sz="4" w:space="0" w:color="auto"/>
            </w:tcBorders>
          </w:tcPr>
          <w:p w14:paraId="0EB794AB" w14:textId="77777777" w:rsidR="003A1564" w:rsidRPr="007B6424" w:rsidRDefault="003A1564">
            <w:pPr>
              <w:pStyle w:val="ARtablecolheadright"/>
              <w:spacing w:before="30" w:after="20"/>
            </w:pPr>
            <w:r w:rsidRPr="007B6424">
              <w:t>2021–22</w:t>
            </w:r>
          </w:p>
          <w:p w14:paraId="33CF2683" w14:textId="77777777" w:rsidR="003A1564" w:rsidRPr="007B6424" w:rsidRDefault="003A1564">
            <w:pPr>
              <w:pStyle w:val="ARtablecolheadright"/>
              <w:spacing w:before="30" w:after="20"/>
              <w:rPr>
                <w:i/>
              </w:rPr>
            </w:pPr>
            <w:r w:rsidRPr="007B6424">
              <w:t>Passenger km</w:t>
            </w:r>
          </w:p>
        </w:tc>
      </w:tr>
      <w:tr w:rsidR="003A1564" w:rsidRPr="00AF57AF" w14:paraId="7A5117BF" w14:textId="77777777">
        <w:trPr>
          <w:trHeight w:val="225"/>
        </w:trPr>
        <w:tc>
          <w:tcPr>
            <w:tcW w:w="4536" w:type="dxa"/>
            <w:tcBorders>
              <w:bottom w:val="single" w:sz="4" w:space="0" w:color="auto"/>
            </w:tcBorders>
          </w:tcPr>
          <w:p w14:paraId="3A769565" w14:textId="77777777" w:rsidR="003A1564" w:rsidRPr="007B6424" w:rsidRDefault="003A1564">
            <w:pPr>
              <w:pStyle w:val="ARtabletextbold"/>
              <w:spacing w:before="30" w:after="20"/>
            </w:pPr>
            <w:r w:rsidRPr="007B6424">
              <w:t>T4 Total distance travelled commercial air travel</w:t>
            </w:r>
          </w:p>
        </w:tc>
        <w:tc>
          <w:tcPr>
            <w:tcW w:w="1701" w:type="dxa"/>
            <w:tcBorders>
              <w:bottom w:val="single" w:sz="4" w:space="0" w:color="auto"/>
            </w:tcBorders>
          </w:tcPr>
          <w:p w14:paraId="724E1027" w14:textId="77777777" w:rsidR="003A1564" w:rsidRPr="007B6424" w:rsidRDefault="003A1564">
            <w:pPr>
              <w:pStyle w:val="ARtabletextright"/>
              <w:spacing w:before="30" w:after="20"/>
            </w:pPr>
            <w:r>
              <w:t>3,780,623</w:t>
            </w:r>
          </w:p>
        </w:tc>
        <w:tc>
          <w:tcPr>
            <w:tcW w:w="1701" w:type="dxa"/>
            <w:tcBorders>
              <w:bottom w:val="single" w:sz="4" w:space="0" w:color="auto"/>
            </w:tcBorders>
          </w:tcPr>
          <w:p w14:paraId="37CEA333" w14:textId="77777777" w:rsidR="003A1564" w:rsidRPr="007B6424" w:rsidRDefault="003A1564">
            <w:pPr>
              <w:pStyle w:val="ARtabletextright"/>
              <w:spacing w:before="30" w:after="20"/>
            </w:pPr>
            <w:r w:rsidRPr="007B6424">
              <w:t>2,987,750</w:t>
            </w:r>
          </w:p>
        </w:tc>
        <w:tc>
          <w:tcPr>
            <w:tcW w:w="1701" w:type="dxa"/>
            <w:tcBorders>
              <w:bottom w:val="single" w:sz="4" w:space="0" w:color="auto"/>
            </w:tcBorders>
          </w:tcPr>
          <w:p w14:paraId="0D57BF43" w14:textId="77777777" w:rsidR="003A1564" w:rsidRPr="007B6424" w:rsidRDefault="003A1564">
            <w:pPr>
              <w:pStyle w:val="ARtabletextright"/>
              <w:spacing w:before="30" w:after="20"/>
            </w:pPr>
            <w:r w:rsidRPr="007B6424">
              <w:t>1,493,876</w:t>
            </w:r>
          </w:p>
        </w:tc>
      </w:tr>
    </w:tbl>
    <w:p w14:paraId="53E8418A" w14:textId="77777777" w:rsidR="00373FEC" w:rsidRDefault="00373FEC" w:rsidP="00373FEC">
      <w:pPr>
        <w:pStyle w:val="ARbody"/>
      </w:pPr>
      <w:r>
        <w:br w:type="page"/>
      </w:r>
    </w:p>
    <w:p w14:paraId="7D5C29C6" w14:textId="61731E6E" w:rsidR="00CA49C1" w:rsidRPr="000570D3" w:rsidRDefault="00CA49C1" w:rsidP="00333387">
      <w:pPr>
        <w:pStyle w:val="Heading3"/>
      </w:pPr>
      <w:r w:rsidRPr="000570D3">
        <w:t>Total energy use</w:t>
      </w:r>
    </w:p>
    <w:p w14:paraId="53BB81EC" w14:textId="77777777" w:rsidR="00CA49C1" w:rsidRPr="00376E24" w:rsidRDefault="00CA49C1" w:rsidP="00CA49C1">
      <w:pPr>
        <w:pStyle w:val="Heading4"/>
        <w:rPr>
          <w:lang w:eastAsia="ja-JP"/>
        </w:rPr>
      </w:pPr>
      <w:r w:rsidRPr="00376E24">
        <w:rPr>
          <w:lang w:eastAsia="ja-JP"/>
        </w:rPr>
        <w:t>Department offices</w:t>
      </w:r>
    </w:p>
    <w:p w14:paraId="5B741146" w14:textId="77777777" w:rsidR="00CA49C1" w:rsidRPr="00376E24" w:rsidRDefault="00CA49C1" w:rsidP="00A95A18">
      <w:pPr>
        <w:pStyle w:val="ARtablecaption"/>
      </w:pPr>
      <w:r w:rsidRPr="00376E24">
        <w:t>Total energy use</w:t>
      </w:r>
    </w:p>
    <w:tbl>
      <w:tblPr>
        <w:tblStyle w:val="TableGrid"/>
        <w:tblW w:w="9639" w:type="dxa"/>
        <w:tblLook w:val="06A0" w:firstRow="1" w:lastRow="0" w:firstColumn="1" w:lastColumn="0" w:noHBand="1" w:noVBand="1"/>
      </w:tblPr>
      <w:tblGrid>
        <w:gridCol w:w="4536"/>
        <w:gridCol w:w="1701"/>
        <w:gridCol w:w="1701"/>
        <w:gridCol w:w="1701"/>
      </w:tblGrid>
      <w:tr w:rsidR="00CA49C1" w:rsidRPr="00F8705E" w14:paraId="0418118E"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0EC7A2C5" w14:textId="77777777" w:rsidR="00CA49C1" w:rsidRPr="00376E24" w:rsidRDefault="00CA49C1">
            <w:pPr>
              <w:pStyle w:val="ARtablecolhead"/>
              <w:spacing w:before="30" w:after="20"/>
              <w:rPr>
                <w:color w:val="000000"/>
              </w:rPr>
            </w:pPr>
            <w:r w:rsidRPr="00376E24">
              <w:t>Indicator</w:t>
            </w:r>
          </w:p>
        </w:tc>
        <w:tc>
          <w:tcPr>
            <w:tcW w:w="1701" w:type="dxa"/>
            <w:tcBorders>
              <w:bottom w:val="single" w:sz="4" w:space="0" w:color="auto"/>
            </w:tcBorders>
            <w:noWrap/>
          </w:tcPr>
          <w:p w14:paraId="1BBC081B" w14:textId="77777777" w:rsidR="00CA49C1" w:rsidRPr="00376E24" w:rsidRDefault="00CA49C1">
            <w:pPr>
              <w:pStyle w:val="ARtablecolheadright"/>
              <w:spacing w:before="30" w:after="20"/>
            </w:pPr>
            <w:r w:rsidRPr="00376E24">
              <w:t>2023–24</w:t>
            </w:r>
          </w:p>
          <w:p w14:paraId="178FB18D" w14:textId="77777777" w:rsidR="00CA49C1" w:rsidRPr="00376E24" w:rsidRDefault="00CA49C1">
            <w:pPr>
              <w:pStyle w:val="ARtablecolheadright"/>
              <w:spacing w:before="30" w:after="20"/>
            </w:pPr>
            <w:r w:rsidRPr="00376E24">
              <w:t>MJ</w:t>
            </w:r>
          </w:p>
        </w:tc>
        <w:tc>
          <w:tcPr>
            <w:tcW w:w="1701" w:type="dxa"/>
            <w:tcBorders>
              <w:bottom w:val="single" w:sz="4" w:space="0" w:color="auto"/>
            </w:tcBorders>
            <w:noWrap/>
          </w:tcPr>
          <w:p w14:paraId="7E9B3B78" w14:textId="77777777" w:rsidR="00CA49C1" w:rsidRPr="00376E24" w:rsidRDefault="00CA49C1">
            <w:pPr>
              <w:pStyle w:val="ARtablecolheadright"/>
              <w:spacing w:before="30" w:after="20"/>
            </w:pPr>
            <w:r w:rsidRPr="00376E24">
              <w:t>2022–23</w:t>
            </w:r>
          </w:p>
          <w:p w14:paraId="24457537" w14:textId="77777777" w:rsidR="00CA49C1" w:rsidRPr="00376E24" w:rsidRDefault="00CA49C1">
            <w:pPr>
              <w:pStyle w:val="ARtablecolheadright"/>
              <w:spacing w:before="30" w:after="20"/>
            </w:pPr>
            <w:r w:rsidRPr="00376E24">
              <w:t>MJ</w:t>
            </w:r>
          </w:p>
        </w:tc>
        <w:tc>
          <w:tcPr>
            <w:tcW w:w="1701" w:type="dxa"/>
            <w:tcBorders>
              <w:bottom w:val="single" w:sz="4" w:space="0" w:color="auto"/>
            </w:tcBorders>
            <w:noWrap/>
          </w:tcPr>
          <w:p w14:paraId="17AE73F5" w14:textId="77777777" w:rsidR="00CA49C1" w:rsidRPr="00376E24" w:rsidRDefault="00CA49C1">
            <w:pPr>
              <w:pStyle w:val="ARtablecolheadright"/>
              <w:spacing w:before="30" w:after="20"/>
            </w:pPr>
            <w:r w:rsidRPr="00376E24">
              <w:t>2021–22</w:t>
            </w:r>
          </w:p>
          <w:p w14:paraId="1AA34198" w14:textId="77777777" w:rsidR="00CA49C1" w:rsidRPr="00376E24" w:rsidRDefault="00CA49C1">
            <w:pPr>
              <w:pStyle w:val="ARtablecolheadright"/>
              <w:spacing w:before="30" w:after="20"/>
            </w:pPr>
            <w:r w:rsidRPr="00376E24">
              <w:t>MJ</w:t>
            </w:r>
          </w:p>
        </w:tc>
      </w:tr>
      <w:tr w:rsidR="00CA49C1" w:rsidRPr="00F8705E" w14:paraId="754B2E76" w14:textId="77777777">
        <w:trPr>
          <w:trHeight w:val="288"/>
        </w:trPr>
        <w:tc>
          <w:tcPr>
            <w:tcW w:w="4536" w:type="dxa"/>
            <w:tcBorders>
              <w:top w:val="single" w:sz="4" w:space="0" w:color="auto"/>
              <w:bottom w:val="single" w:sz="4" w:space="0" w:color="000000"/>
            </w:tcBorders>
            <w:noWrap/>
            <w:hideMark/>
          </w:tcPr>
          <w:p w14:paraId="2A6623F1" w14:textId="77777777" w:rsidR="00CA49C1" w:rsidRPr="00376E24" w:rsidRDefault="00CA49C1">
            <w:pPr>
              <w:pStyle w:val="ARtabletextbold"/>
              <w:spacing w:before="30" w:after="20"/>
            </w:pPr>
            <w:r w:rsidRPr="00376E24">
              <w:t xml:space="preserve">E1 Total energy usage from fuels </w:t>
            </w:r>
            <w:r w:rsidRPr="00376E24">
              <w:br/>
              <w:t>(stationary and transportation)</w:t>
            </w:r>
          </w:p>
        </w:tc>
        <w:tc>
          <w:tcPr>
            <w:tcW w:w="1701" w:type="dxa"/>
            <w:tcBorders>
              <w:top w:val="single" w:sz="4" w:space="0" w:color="auto"/>
              <w:bottom w:val="single" w:sz="4" w:space="0" w:color="000000"/>
            </w:tcBorders>
            <w:noWrap/>
            <w:hideMark/>
          </w:tcPr>
          <w:p w14:paraId="2B7DA699" w14:textId="77777777" w:rsidR="00CA49C1" w:rsidRPr="000570D3" w:rsidRDefault="00CA49C1">
            <w:pPr>
              <w:pStyle w:val="ARtabletextright"/>
              <w:spacing w:before="30" w:after="20"/>
              <w:rPr>
                <w:highlight w:val="green"/>
              </w:rPr>
            </w:pPr>
            <w:r w:rsidRPr="00376E24">
              <w:t>74,402,573</w:t>
            </w:r>
          </w:p>
        </w:tc>
        <w:tc>
          <w:tcPr>
            <w:tcW w:w="1701" w:type="dxa"/>
            <w:tcBorders>
              <w:top w:val="single" w:sz="4" w:space="0" w:color="auto"/>
              <w:bottom w:val="single" w:sz="4" w:space="0" w:color="000000"/>
            </w:tcBorders>
            <w:noWrap/>
            <w:hideMark/>
          </w:tcPr>
          <w:p w14:paraId="0E6D1174" w14:textId="77777777" w:rsidR="00CA49C1" w:rsidRPr="00376E24" w:rsidRDefault="00CA49C1">
            <w:pPr>
              <w:pStyle w:val="ARtabletextright"/>
              <w:spacing w:before="30" w:after="20"/>
            </w:pPr>
            <w:r w:rsidRPr="00376E24">
              <w:t>63,243,838</w:t>
            </w:r>
          </w:p>
        </w:tc>
        <w:tc>
          <w:tcPr>
            <w:tcW w:w="1701" w:type="dxa"/>
            <w:tcBorders>
              <w:top w:val="single" w:sz="4" w:space="0" w:color="auto"/>
              <w:bottom w:val="single" w:sz="4" w:space="0" w:color="000000"/>
            </w:tcBorders>
            <w:noWrap/>
            <w:hideMark/>
          </w:tcPr>
          <w:p w14:paraId="094348C4" w14:textId="77777777" w:rsidR="00CA49C1" w:rsidRPr="00376E24" w:rsidRDefault="00CA49C1">
            <w:pPr>
              <w:pStyle w:val="ARtabletextright"/>
              <w:spacing w:before="30" w:after="20"/>
            </w:pPr>
            <w:r w:rsidRPr="00376E24">
              <w:t>53,850,924</w:t>
            </w:r>
          </w:p>
        </w:tc>
      </w:tr>
      <w:tr w:rsidR="00CA49C1" w:rsidRPr="00F8705E" w14:paraId="2D928649" w14:textId="77777777">
        <w:trPr>
          <w:trHeight w:val="288"/>
        </w:trPr>
        <w:tc>
          <w:tcPr>
            <w:tcW w:w="4536" w:type="dxa"/>
            <w:tcBorders>
              <w:top w:val="single" w:sz="4" w:space="0" w:color="000000"/>
              <w:bottom w:val="single" w:sz="4" w:space="0" w:color="000000"/>
            </w:tcBorders>
            <w:noWrap/>
          </w:tcPr>
          <w:p w14:paraId="60426BF6" w14:textId="77777777" w:rsidR="00CA49C1" w:rsidRPr="00376E24" w:rsidRDefault="00CA49C1">
            <w:pPr>
              <w:pStyle w:val="ARtabletextbold"/>
              <w:spacing w:before="30" w:after="20"/>
            </w:pPr>
            <w:r w:rsidRPr="00376E24">
              <w:t>E2 Total energy used from electricity</w:t>
            </w:r>
          </w:p>
        </w:tc>
        <w:tc>
          <w:tcPr>
            <w:tcW w:w="1701" w:type="dxa"/>
            <w:tcBorders>
              <w:top w:val="single" w:sz="4" w:space="0" w:color="000000"/>
              <w:bottom w:val="single" w:sz="4" w:space="0" w:color="000000"/>
            </w:tcBorders>
            <w:noWrap/>
          </w:tcPr>
          <w:p w14:paraId="6F34A963" w14:textId="77777777" w:rsidR="00CA49C1" w:rsidRPr="000570D3" w:rsidRDefault="00CA49C1">
            <w:pPr>
              <w:pStyle w:val="ARtabletextright"/>
              <w:spacing w:before="30" w:after="20"/>
              <w:rPr>
                <w:highlight w:val="green"/>
              </w:rPr>
            </w:pPr>
            <w:r w:rsidRPr="00376E24">
              <w:t>42,749,568</w:t>
            </w:r>
          </w:p>
        </w:tc>
        <w:tc>
          <w:tcPr>
            <w:tcW w:w="1701" w:type="dxa"/>
            <w:tcBorders>
              <w:top w:val="single" w:sz="4" w:space="0" w:color="000000"/>
              <w:bottom w:val="single" w:sz="4" w:space="0" w:color="000000"/>
            </w:tcBorders>
            <w:noWrap/>
          </w:tcPr>
          <w:p w14:paraId="52531FD1" w14:textId="77777777" w:rsidR="00CA49C1" w:rsidRPr="00376E24" w:rsidRDefault="00CA49C1">
            <w:pPr>
              <w:pStyle w:val="ARtabletextright"/>
              <w:spacing w:before="30" w:after="20"/>
            </w:pPr>
            <w:r w:rsidRPr="00376E24">
              <w:t>37,841,141</w:t>
            </w:r>
          </w:p>
        </w:tc>
        <w:tc>
          <w:tcPr>
            <w:tcW w:w="1701" w:type="dxa"/>
            <w:tcBorders>
              <w:top w:val="single" w:sz="4" w:space="0" w:color="000000"/>
              <w:bottom w:val="single" w:sz="4" w:space="0" w:color="000000"/>
            </w:tcBorders>
            <w:noWrap/>
          </w:tcPr>
          <w:p w14:paraId="59F881A5" w14:textId="77777777" w:rsidR="00CA49C1" w:rsidRPr="00376E24" w:rsidRDefault="00CA49C1">
            <w:pPr>
              <w:pStyle w:val="ARtabletextright"/>
              <w:spacing w:before="30" w:after="20"/>
            </w:pPr>
            <w:r w:rsidRPr="00376E24">
              <w:t>30,227,638</w:t>
            </w:r>
          </w:p>
        </w:tc>
      </w:tr>
      <w:tr w:rsidR="00CA49C1" w:rsidRPr="00F8705E" w14:paraId="693B7886" w14:textId="77777777">
        <w:trPr>
          <w:trHeight w:val="288"/>
        </w:trPr>
        <w:tc>
          <w:tcPr>
            <w:tcW w:w="9639" w:type="dxa"/>
            <w:gridSpan w:val="4"/>
            <w:tcBorders>
              <w:top w:val="single" w:sz="4" w:space="0" w:color="000000"/>
              <w:bottom w:val="single" w:sz="4" w:space="0" w:color="BFBFBF"/>
            </w:tcBorders>
            <w:noWrap/>
          </w:tcPr>
          <w:p w14:paraId="69367536" w14:textId="77777777" w:rsidR="00CA49C1" w:rsidRPr="00376E24" w:rsidRDefault="00CA49C1">
            <w:pPr>
              <w:pStyle w:val="ARtabletextbold"/>
              <w:spacing w:before="30" w:after="20"/>
            </w:pPr>
            <w:r w:rsidRPr="00376E24">
              <w:t xml:space="preserve">E3 Total energy used segmented into </w:t>
            </w:r>
            <w:r w:rsidRPr="00376E24">
              <w:br/>
              <w:t>renewable and non-renewable sources</w:t>
            </w:r>
          </w:p>
        </w:tc>
      </w:tr>
      <w:tr w:rsidR="00CA49C1" w:rsidRPr="00F8705E" w14:paraId="5A56E29D" w14:textId="77777777">
        <w:trPr>
          <w:trHeight w:val="288"/>
        </w:trPr>
        <w:tc>
          <w:tcPr>
            <w:tcW w:w="4536" w:type="dxa"/>
            <w:tcBorders>
              <w:top w:val="single" w:sz="4" w:space="0" w:color="BFBFBF"/>
              <w:bottom w:val="single" w:sz="4" w:space="0" w:color="BFBFBF"/>
            </w:tcBorders>
            <w:noWrap/>
          </w:tcPr>
          <w:p w14:paraId="298B99B4" w14:textId="77777777" w:rsidR="00CA49C1" w:rsidRPr="00376E24" w:rsidRDefault="00CA49C1">
            <w:pPr>
              <w:pStyle w:val="ARtabletext"/>
              <w:spacing w:before="30" w:after="20"/>
            </w:pPr>
            <w:r w:rsidRPr="00376E24">
              <w:rPr>
                <w:szCs w:val="17"/>
                <w:lang w:eastAsia="ja-JP"/>
              </w:rPr>
              <w:t>Renewable</w:t>
            </w:r>
          </w:p>
        </w:tc>
        <w:tc>
          <w:tcPr>
            <w:tcW w:w="1701" w:type="dxa"/>
            <w:tcBorders>
              <w:top w:val="single" w:sz="4" w:space="0" w:color="BFBFBF"/>
              <w:bottom w:val="single" w:sz="4" w:space="0" w:color="BFBFBF"/>
            </w:tcBorders>
            <w:noWrap/>
          </w:tcPr>
          <w:p w14:paraId="6B944CE1" w14:textId="77777777" w:rsidR="00CA49C1" w:rsidRPr="00376E24" w:rsidRDefault="00CA49C1">
            <w:pPr>
              <w:pStyle w:val="ARtabletextright"/>
              <w:spacing w:before="30" w:after="20"/>
            </w:pPr>
            <w:r w:rsidRPr="00376E24">
              <w:rPr>
                <w:szCs w:val="17"/>
                <w:lang w:eastAsia="ja-JP"/>
              </w:rPr>
              <w:t>–</w:t>
            </w:r>
          </w:p>
        </w:tc>
        <w:tc>
          <w:tcPr>
            <w:tcW w:w="1701" w:type="dxa"/>
            <w:tcBorders>
              <w:top w:val="single" w:sz="4" w:space="0" w:color="BFBFBF"/>
              <w:bottom w:val="single" w:sz="4" w:space="0" w:color="BFBFBF"/>
            </w:tcBorders>
            <w:noWrap/>
          </w:tcPr>
          <w:p w14:paraId="3356404F" w14:textId="77777777" w:rsidR="00CA49C1" w:rsidRPr="00376E24" w:rsidRDefault="00CA49C1">
            <w:pPr>
              <w:pStyle w:val="ARtabletextright"/>
              <w:spacing w:before="30" w:after="20"/>
            </w:pPr>
            <w:r w:rsidRPr="00376E24">
              <w:rPr>
                <w:szCs w:val="17"/>
                <w:lang w:eastAsia="ja-JP"/>
              </w:rPr>
              <w:t>–</w:t>
            </w:r>
          </w:p>
        </w:tc>
        <w:tc>
          <w:tcPr>
            <w:tcW w:w="1701" w:type="dxa"/>
            <w:tcBorders>
              <w:top w:val="single" w:sz="4" w:space="0" w:color="BFBFBF"/>
              <w:bottom w:val="single" w:sz="4" w:space="0" w:color="BFBFBF"/>
            </w:tcBorders>
            <w:noWrap/>
          </w:tcPr>
          <w:p w14:paraId="0EEDF82F" w14:textId="77777777" w:rsidR="00CA49C1" w:rsidRPr="00376E24" w:rsidRDefault="00CA49C1">
            <w:pPr>
              <w:pStyle w:val="ARtabletextright"/>
              <w:spacing w:before="30" w:after="20"/>
            </w:pPr>
            <w:r w:rsidRPr="00376E24">
              <w:rPr>
                <w:szCs w:val="17"/>
                <w:lang w:eastAsia="ja-JP"/>
              </w:rPr>
              <w:t>–</w:t>
            </w:r>
          </w:p>
        </w:tc>
      </w:tr>
      <w:tr w:rsidR="00CA49C1" w:rsidRPr="00F8705E" w14:paraId="6E763579" w14:textId="77777777">
        <w:trPr>
          <w:trHeight w:val="288"/>
        </w:trPr>
        <w:tc>
          <w:tcPr>
            <w:tcW w:w="4536" w:type="dxa"/>
            <w:tcBorders>
              <w:top w:val="single" w:sz="4" w:space="0" w:color="BFBFBF"/>
              <w:bottom w:val="single" w:sz="4" w:space="0" w:color="000000"/>
            </w:tcBorders>
            <w:noWrap/>
          </w:tcPr>
          <w:p w14:paraId="52407C12" w14:textId="77777777" w:rsidR="00CA49C1" w:rsidRPr="00376E24" w:rsidRDefault="00CA49C1">
            <w:pPr>
              <w:pStyle w:val="ARtabletext"/>
              <w:spacing w:before="30" w:after="20"/>
              <w:rPr>
                <w:szCs w:val="17"/>
                <w:lang w:eastAsia="ja-JP"/>
              </w:rPr>
            </w:pPr>
            <w:r w:rsidRPr="00376E24">
              <w:rPr>
                <w:szCs w:val="17"/>
                <w:lang w:eastAsia="ja-JP"/>
              </w:rPr>
              <w:t>Non-renewable</w:t>
            </w:r>
          </w:p>
        </w:tc>
        <w:tc>
          <w:tcPr>
            <w:tcW w:w="1701" w:type="dxa"/>
            <w:tcBorders>
              <w:top w:val="single" w:sz="4" w:space="0" w:color="BFBFBF"/>
              <w:bottom w:val="single" w:sz="4" w:space="0" w:color="000000"/>
            </w:tcBorders>
            <w:noWrap/>
          </w:tcPr>
          <w:p w14:paraId="0EE4B2FB" w14:textId="77777777" w:rsidR="00CA49C1" w:rsidRPr="00376E24" w:rsidRDefault="00CA49C1">
            <w:pPr>
              <w:pStyle w:val="ARtabletextright"/>
              <w:spacing w:before="30" w:after="20"/>
              <w:rPr>
                <w:szCs w:val="17"/>
                <w:lang w:eastAsia="ja-JP"/>
              </w:rPr>
            </w:pPr>
            <w:r w:rsidRPr="00376E24">
              <w:rPr>
                <w:szCs w:val="17"/>
                <w:lang w:eastAsia="ja-JP"/>
              </w:rPr>
              <w:t>–</w:t>
            </w:r>
          </w:p>
        </w:tc>
        <w:tc>
          <w:tcPr>
            <w:tcW w:w="1701" w:type="dxa"/>
            <w:tcBorders>
              <w:top w:val="single" w:sz="4" w:space="0" w:color="BFBFBF"/>
              <w:bottom w:val="single" w:sz="4" w:space="0" w:color="000000"/>
            </w:tcBorders>
            <w:noWrap/>
          </w:tcPr>
          <w:p w14:paraId="76B304FF" w14:textId="77777777" w:rsidR="00CA49C1" w:rsidRPr="00376E24" w:rsidRDefault="00CA49C1">
            <w:pPr>
              <w:pStyle w:val="ARtabletextright"/>
              <w:spacing w:before="30" w:after="20"/>
              <w:rPr>
                <w:szCs w:val="17"/>
                <w:lang w:eastAsia="ja-JP"/>
              </w:rPr>
            </w:pPr>
            <w:r w:rsidRPr="00376E24">
              <w:rPr>
                <w:szCs w:val="17"/>
                <w:lang w:eastAsia="ja-JP"/>
              </w:rPr>
              <w:t>–</w:t>
            </w:r>
          </w:p>
        </w:tc>
        <w:tc>
          <w:tcPr>
            <w:tcW w:w="1701" w:type="dxa"/>
            <w:tcBorders>
              <w:top w:val="single" w:sz="4" w:space="0" w:color="BFBFBF"/>
              <w:bottom w:val="single" w:sz="4" w:space="0" w:color="000000"/>
            </w:tcBorders>
            <w:noWrap/>
          </w:tcPr>
          <w:p w14:paraId="4CD3A538" w14:textId="77777777" w:rsidR="00CA49C1" w:rsidRPr="00376E24" w:rsidRDefault="00CA49C1">
            <w:pPr>
              <w:pStyle w:val="ARtabletextright"/>
              <w:spacing w:before="30" w:after="20"/>
              <w:rPr>
                <w:szCs w:val="17"/>
                <w:lang w:eastAsia="ja-JP"/>
              </w:rPr>
            </w:pPr>
            <w:r w:rsidRPr="00376E24">
              <w:rPr>
                <w:szCs w:val="17"/>
                <w:lang w:eastAsia="ja-JP"/>
              </w:rPr>
              <w:t>–</w:t>
            </w:r>
          </w:p>
        </w:tc>
      </w:tr>
      <w:tr w:rsidR="00CA49C1" w:rsidRPr="00AF57AF" w14:paraId="3484BC11" w14:textId="77777777">
        <w:trPr>
          <w:trHeight w:val="288"/>
        </w:trPr>
        <w:tc>
          <w:tcPr>
            <w:tcW w:w="4536" w:type="dxa"/>
            <w:tcBorders>
              <w:top w:val="single" w:sz="4" w:space="0" w:color="000000"/>
            </w:tcBorders>
            <w:noWrap/>
          </w:tcPr>
          <w:p w14:paraId="47EE64E2" w14:textId="77777777" w:rsidR="00CA49C1" w:rsidRPr="00376E24" w:rsidRDefault="00CA49C1">
            <w:pPr>
              <w:pStyle w:val="ARtabletextbold"/>
              <w:spacing w:before="30" w:after="20"/>
            </w:pPr>
            <w:r w:rsidRPr="00376E24">
              <w:t xml:space="preserve">E4 Units of energy used </w:t>
            </w:r>
            <w:r w:rsidRPr="00376E24">
              <w:br/>
              <w:t>normalised by FTE (MJ/FTE)</w:t>
            </w:r>
          </w:p>
        </w:tc>
        <w:tc>
          <w:tcPr>
            <w:tcW w:w="1701" w:type="dxa"/>
            <w:tcBorders>
              <w:top w:val="single" w:sz="4" w:space="0" w:color="000000"/>
            </w:tcBorders>
            <w:noWrap/>
          </w:tcPr>
          <w:p w14:paraId="1FA10ABE" w14:textId="77777777" w:rsidR="00CA49C1" w:rsidRPr="00380ECD" w:rsidRDefault="00CA49C1">
            <w:pPr>
              <w:pStyle w:val="ARtabletextright"/>
              <w:spacing w:before="30" w:after="20"/>
            </w:pPr>
            <w:r w:rsidRPr="00380ECD">
              <w:rPr>
                <w:szCs w:val="17"/>
                <w:lang w:eastAsia="ja-JP"/>
              </w:rPr>
              <w:t>17,125</w:t>
            </w:r>
          </w:p>
        </w:tc>
        <w:tc>
          <w:tcPr>
            <w:tcW w:w="1701" w:type="dxa"/>
            <w:tcBorders>
              <w:top w:val="single" w:sz="4" w:space="0" w:color="000000"/>
            </w:tcBorders>
            <w:noWrap/>
          </w:tcPr>
          <w:p w14:paraId="0025F04C" w14:textId="77777777" w:rsidR="00CA49C1" w:rsidRPr="00376E24" w:rsidRDefault="00CA49C1">
            <w:pPr>
              <w:pStyle w:val="ARtabletextright"/>
              <w:spacing w:before="30" w:after="20"/>
            </w:pPr>
            <w:r w:rsidRPr="00376E24">
              <w:rPr>
                <w:szCs w:val="17"/>
                <w:lang w:eastAsia="ja-JP"/>
              </w:rPr>
              <w:t>14,807</w:t>
            </w:r>
          </w:p>
        </w:tc>
        <w:tc>
          <w:tcPr>
            <w:tcW w:w="1701" w:type="dxa"/>
            <w:tcBorders>
              <w:top w:val="single" w:sz="4" w:space="0" w:color="000000"/>
            </w:tcBorders>
            <w:noWrap/>
          </w:tcPr>
          <w:p w14:paraId="4A803BD8" w14:textId="77777777" w:rsidR="00CA49C1" w:rsidRPr="00376E24" w:rsidRDefault="00CA49C1">
            <w:pPr>
              <w:pStyle w:val="ARtabletextright"/>
              <w:spacing w:before="30" w:after="20"/>
            </w:pPr>
            <w:r w:rsidRPr="00376E24">
              <w:rPr>
                <w:szCs w:val="17"/>
                <w:lang w:eastAsia="ja-JP"/>
              </w:rPr>
              <w:t>12,343</w:t>
            </w:r>
          </w:p>
        </w:tc>
      </w:tr>
    </w:tbl>
    <w:p w14:paraId="3AF3E350" w14:textId="77777777" w:rsidR="005047A5" w:rsidRPr="000570D3" w:rsidRDefault="005047A5" w:rsidP="005047A5">
      <w:pPr>
        <w:pStyle w:val="Heading4"/>
        <w:rPr>
          <w:szCs w:val="17"/>
          <w:lang w:eastAsia="ja-JP"/>
        </w:rPr>
      </w:pPr>
      <w:r w:rsidRPr="000570D3">
        <w:rPr>
          <w:szCs w:val="17"/>
          <w:lang w:eastAsia="ja-JP"/>
        </w:rPr>
        <w:t>Housing Services</w:t>
      </w:r>
    </w:p>
    <w:p w14:paraId="39643C98" w14:textId="77777777" w:rsidR="005047A5" w:rsidRDefault="005047A5" w:rsidP="00A95A18">
      <w:pPr>
        <w:pStyle w:val="ARtablecaption"/>
      </w:pPr>
      <w:r w:rsidRPr="000570D3">
        <w:t>Total energy use</w:t>
      </w:r>
    </w:p>
    <w:tbl>
      <w:tblPr>
        <w:tblStyle w:val="TableGrid"/>
        <w:tblW w:w="9639" w:type="dxa"/>
        <w:tblLook w:val="06A0" w:firstRow="1" w:lastRow="0" w:firstColumn="1" w:lastColumn="0" w:noHBand="1" w:noVBand="1"/>
      </w:tblPr>
      <w:tblGrid>
        <w:gridCol w:w="4536"/>
        <w:gridCol w:w="1701"/>
        <w:gridCol w:w="1701"/>
        <w:gridCol w:w="1701"/>
      </w:tblGrid>
      <w:tr w:rsidR="005047A5" w:rsidRPr="00AF57AF" w14:paraId="3A5C0F25"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55756677" w14:textId="77777777" w:rsidR="005047A5" w:rsidRPr="000570D3" w:rsidRDefault="005047A5">
            <w:pPr>
              <w:pStyle w:val="ARtablecolhead"/>
              <w:spacing w:before="30" w:after="20"/>
              <w:rPr>
                <w:color w:val="000000"/>
              </w:rPr>
            </w:pPr>
            <w:r w:rsidRPr="000570D3">
              <w:t>Indicator</w:t>
            </w:r>
          </w:p>
        </w:tc>
        <w:tc>
          <w:tcPr>
            <w:tcW w:w="1701" w:type="dxa"/>
            <w:tcBorders>
              <w:bottom w:val="single" w:sz="4" w:space="0" w:color="auto"/>
            </w:tcBorders>
            <w:noWrap/>
          </w:tcPr>
          <w:p w14:paraId="13E8B581" w14:textId="1C54997A" w:rsidR="005047A5" w:rsidRPr="000570D3" w:rsidRDefault="005047A5">
            <w:pPr>
              <w:pStyle w:val="ARtablecolheadright"/>
              <w:spacing w:before="30" w:after="20"/>
            </w:pPr>
            <w:r w:rsidRPr="000570D3">
              <w:t>2023</w:t>
            </w:r>
            <w:r w:rsidR="00F91DB1">
              <w:t>–</w:t>
            </w:r>
            <w:r w:rsidRPr="000570D3">
              <w:t>24</w:t>
            </w:r>
          </w:p>
          <w:p w14:paraId="6187DA45" w14:textId="77777777" w:rsidR="005047A5" w:rsidRPr="000570D3" w:rsidRDefault="005047A5">
            <w:pPr>
              <w:pStyle w:val="ARtablecolheadright"/>
              <w:spacing w:before="30" w:after="20"/>
            </w:pPr>
            <w:r w:rsidRPr="000570D3">
              <w:t>MJ</w:t>
            </w:r>
          </w:p>
        </w:tc>
        <w:tc>
          <w:tcPr>
            <w:tcW w:w="1701" w:type="dxa"/>
            <w:tcBorders>
              <w:bottom w:val="single" w:sz="4" w:space="0" w:color="auto"/>
            </w:tcBorders>
            <w:noWrap/>
          </w:tcPr>
          <w:p w14:paraId="33CD830D" w14:textId="6932323A" w:rsidR="005047A5" w:rsidRPr="000570D3" w:rsidRDefault="005047A5">
            <w:pPr>
              <w:pStyle w:val="ARtablecolheadright"/>
              <w:spacing w:before="30" w:after="20"/>
            </w:pPr>
            <w:r w:rsidRPr="000570D3">
              <w:t>2022</w:t>
            </w:r>
            <w:r w:rsidR="00F91DB1">
              <w:t>–</w:t>
            </w:r>
            <w:r w:rsidRPr="000570D3">
              <w:t>23</w:t>
            </w:r>
          </w:p>
          <w:p w14:paraId="6E295878" w14:textId="77777777" w:rsidR="005047A5" w:rsidRPr="000570D3" w:rsidRDefault="005047A5">
            <w:pPr>
              <w:pStyle w:val="ARtablecolheadright"/>
              <w:spacing w:before="30" w:after="20"/>
            </w:pPr>
            <w:r w:rsidRPr="000570D3">
              <w:t>MJ</w:t>
            </w:r>
          </w:p>
        </w:tc>
        <w:tc>
          <w:tcPr>
            <w:tcW w:w="1701" w:type="dxa"/>
            <w:tcBorders>
              <w:bottom w:val="single" w:sz="4" w:space="0" w:color="auto"/>
            </w:tcBorders>
            <w:noWrap/>
          </w:tcPr>
          <w:p w14:paraId="4333F020" w14:textId="1DDCF1C3" w:rsidR="005047A5" w:rsidRPr="000570D3" w:rsidRDefault="005047A5">
            <w:pPr>
              <w:pStyle w:val="ARtablecolheadright"/>
              <w:spacing w:before="30" w:after="20"/>
            </w:pPr>
            <w:r w:rsidRPr="000570D3">
              <w:t>2021</w:t>
            </w:r>
            <w:r w:rsidR="00F91DB1">
              <w:t>–</w:t>
            </w:r>
            <w:r w:rsidRPr="000570D3">
              <w:t>22</w:t>
            </w:r>
          </w:p>
          <w:p w14:paraId="3A8FD145" w14:textId="77777777" w:rsidR="005047A5" w:rsidRPr="000570D3" w:rsidRDefault="005047A5">
            <w:pPr>
              <w:pStyle w:val="ARtablecolheadright"/>
              <w:spacing w:before="30" w:after="20"/>
            </w:pPr>
            <w:r w:rsidRPr="000570D3">
              <w:t>MJ</w:t>
            </w:r>
          </w:p>
        </w:tc>
      </w:tr>
      <w:tr w:rsidR="005047A5" w:rsidRPr="00AF57AF" w14:paraId="0F98885F" w14:textId="77777777">
        <w:trPr>
          <w:trHeight w:val="288"/>
        </w:trPr>
        <w:tc>
          <w:tcPr>
            <w:tcW w:w="4536" w:type="dxa"/>
            <w:tcBorders>
              <w:top w:val="single" w:sz="4" w:space="0" w:color="auto"/>
              <w:bottom w:val="single" w:sz="4" w:space="0" w:color="000000"/>
            </w:tcBorders>
            <w:noWrap/>
            <w:hideMark/>
          </w:tcPr>
          <w:p w14:paraId="78BDD86D" w14:textId="77777777" w:rsidR="005047A5" w:rsidRPr="000570D3" w:rsidRDefault="005047A5">
            <w:pPr>
              <w:pStyle w:val="ARtabletextbold"/>
              <w:spacing w:before="30" w:after="20"/>
            </w:pPr>
            <w:r w:rsidRPr="000570D3">
              <w:t xml:space="preserve">E1 Total energy usage from fuels </w:t>
            </w:r>
            <w:r w:rsidRPr="000570D3">
              <w:br/>
              <w:t>(stationary and transportation)</w:t>
            </w:r>
          </w:p>
        </w:tc>
        <w:tc>
          <w:tcPr>
            <w:tcW w:w="1701" w:type="dxa"/>
            <w:tcBorders>
              <w:top w:val="single" w:sz="4" w:space="0" w:color="auto"/>
              <w:bottom w:val="single" w:sz="4" w:space="0" w:color="000000"/>
            </w:tcBorders>
            <w:noWrap/>
            <w:hideMark/>
          </w:tcPr>
          <w:p w14:paraId="2624D392" w14:textId="77777777" w:rsidR="005047A5" w:rsidRPr="000570D3" w:rsidRDefault="005047A5">
            <w:pPr>
              <w:pStyle w:val="ARtabletextright"/>
              <w:spacing w:before="30" w:after="20"/>
            </w:pPr>
            <w:r w:rsidRPr="000570D3">
              <w:t>390,431,4</w:t>
            </w:r>
            <w:r>
              <w:t>0</w:t>
            </w:r>
            <w:r w:rsidRPr="000570D3">
              <w:t>1</w:t>
            </w:r>
          </w:p>
        </w:tc>
        <w:tc>
          <w:tcPr>
            <w:tcW w:w="1701" w:type="dxa"/>
            <w:tcBorders>
              <w:top w:val="single" w:sz="4" w:space="0" w:color="auto"/>
              <w:bottom w:val="single" w:sz="4" w:space="0" w:color="000000"/>
            </w:tcBorders>
            <w:noWrap/>
            <w:hideMark/>
          </w:tcPr>
          <w:p w14:paraId="6DD5592F" w14:textId="77777777" w:rsidR="005047A5" w:rsidRPr="000570D3" w:rsidRDefault="005047A5">
            <w:pPr>
              <w:pStyle w:val="ARtabletextright"/>
              <w:spacing w:before="30" w:after="20"/>
            </w:pPr>
            <w:r w:rsidRPr="000570D3">
              <w:t>370,113,078</w:t>
            </w:r>
          </w:p>
        </w:tc>
        <w:tc>
          <w:tcPr>
            <w:tcW w:w="1701" w:type="dxa"/>
            <w:tcBorders>
              <w:top w:val="single" w:sz="4" w:space="0" w:color="auto"/>
              <w:bottom w:val="single" w:sz="4" w:space="0" w:color="000000"/>
            </w:tcBorders>
            <w:noWrap/>
            <w:hideMark/>
          </w:tcPr>
          <w:p w14:paraId="2CCB556A" w14:textId="77777777" w:rsidR="005047A5" w:rsidRPr="000570D3" w:rsidRDefault="005047A5">
            <w:pPr>
              <w:pStyle w:val="ARtabletextright"/>
              <w:spacing w:before="30" w:after="20"/>
            </w:pPr>
            <w:r w:rsidRPr="000570D3">
              <w:t>380,489,416</w:t>
            </w:r>
          </w:p>
        </w:tc>
      </w:tr>
      <w:tr w:rsidR="005047A5" w:rsidRPr="00AF57AF" w14:paraId="3CD7CE99" w14:textId="77777777">
        <w:trPr>
          <w:trHeight w:val="288"/>
        </w:trPr>
        <w:tc>
          <w:tcPr>
            <w:tcW w:w="4536" w:type="dxa"/>
            <w:tcBorders>
              <w:top w:val="single" w:sz="4" w:space="0" w:color="000000"/>
              <w:bottom w:val="single" w:sz="4" w:space="0" w:color="000000"/>
            </w:tcBorders>
            <w:noWrap/>
          </w:tcPr>
          <w:p w14:paraId="69B45537" w14:textId="77777777" w:rsidR="005047A5" w:rsidRPr="000570D3" w:rsidRDefault="005047A5">
            <w:pPr>
              <w:pStyle w:val="ARtabletextbold"/>
              <w:spacing w:before="30" w:after="20"/>
            </w:pPr>
            <w:r w:rsidRPr="000570D3">
              <w:t>E2 Total energy used from electricity</w:t>
            </w:r>
          </w:p>
        </w:tc>
        <w:tc>
          <w:tcPr>
            <w:tcW w:w="1701" w:type="dxa"/>
            <w:tcBorders>
              <w:top w:val="single" w:sz="4" w:space="0" w:color="000000"/>
              <w:bottom w:val="single" w:sz="4" w:space="0" w:color="000000"/>
            </w:tcBorders>
            <w:noWrap/>
          </w:tcPr>
          <w:p w14:paraId="4635FB5E" w14:textId="77777777" w:rsidR="005047A5" w:rsidRPr="000570D3" w:rsidRDefault="005047A5">
            <w:pPr>
              <w:pStyle w:val="ARtabletextright"/>
              <w:spacing w:before="30" w:after="20"/>
            </w:pPr>
            <w:r w:rsidRPr="000570D3">
              <w:t>82,426,464</w:t>
            </w:r>
          </w:p>
        </w:tc>
        <w:tc>
          <w:tcPr>
            <w:tcW w:w="1701" w:type="dxa"/>
            <w:tcBorders>
              <w:top w:val="single" w:sz="4" w:space="0" w:color="000000"/>
              <w:bottom w:val="single" w:sz="4" w:space="0" w:color="000000"/>
            </w:tcBorders>
            <w:noWrap/>
          </w:tcPr>
          <w:p w14:paraId="1FF91D91" w14:textId="77777777" w:rsidR="005047A5" w:rsidRPr="000570D3" w:rsidRDefault="005047A5">
            <w:pPr>
              <w:pStyle w:val="ARtabletextright"/>
              <w:spacing w:before="30" w:after="20"/>
            </w:pPr>
            <w:r w:rsidRPr="000570D3">
              <w:t>83,028,333</w:t>
            </w:r>
          </w:p>
        </w:tc>
        <w:tc>
          <w:tcPr>
            <w:tcW w:w="1701" w:type="dxa"/>
            <w:tcBorders>
              <w:top w:val="single" w:sz="4" w:space="0" w:color="000000"/>
              <w:bottom w:val="single" w:sz="4" w:space="0" w:color="000000"/>
            </w:tcBorders>
            <w:noWrap/>
          </w:tcPr>
          <w:p w14:paraId="32F0040A" w14:textId="77777777" w:rsidR="005047A5" w:rsidRPr="000570D3" w:rsidRDefault="005047A5">
            <w:pPr>
              <w:pStyle w:val="ARtabletextright"/>
              <w:spacing w:before="30" w:after="20"/>
            </w:pPr>
            <w:r w:rsidRPr="000570D3">
              <w:t>84,502,812</w:t>
            </w:r>
          </w:p>
        </w:tc>
      </w:tr>
      <w:tr w:rsidR="005047A5" w:rsidRPr="00AF57AF" w14:paraId="0E5E6A3E" w14:textId="77777777">
        <w:trPr>
          <w:trHeight w:val="288"/>
        </w:trPr>
        <w:tc>
          <w:tcPr>
            <w:tcW w:w="9639" w:type="dxa"/>
            <w:gridSpan w:val="4"/>
            <w:tcBorders>
              <w:top w:val="single" w:sz="4" w:space="0" w:color="000000"/>
              <w:bottom w:val="single" w:sz="4" w:space="0" w:color="BFBFBF"/>
            </w:tcBorders>
            <w:noWrap/>
          </w:tcPr>
          <w:p w14:paraId="3E1D8AB0" w14:textId="77777777" w:rsidR="005047A5" w:rsidRPr="000570D3" w:rsidRDefault="005047A5">
            <w:pPr>
              <w:pStyle w:val="ARtabletextbold"/>
              <w:spacing w:before="30" w:after="20"/>
            </w:pPr>
            <w:r w:rsidRPr="000570D3">
              <w:t xml:space="preserve">E3 Total energy used segmented into </w:t>
            </w:r>
            <w:r w:rsidRPr="000570D3">
              <w:br/>
              <w:t>renewable and non-renewable sources</w:t>
            </w:r>
          </w:p>
        </w:tc>
      </w:tr>
      <w:tr w:rsidR="005047A5" w:rsidRPr="00AF57AF" w14:paraId="7377812D" w14:textId="77777777">
        <w:trPr>
          <w:trHeight w:val="288"/>
        </w:trPr>
        <w:tc>
          <w:tcPr>
            <w:tcW w:w="4536" w:type="dxa"/>
            <w:tcBorders>
              <w:top w:val="single" w:sz="4" w:space="0" w:color="BFBFBF"/>
              <w:bottom w:val="single" w:sz="4" w:space="0" w:color="BFBFBF"/>
            </w:tcBorders>
            <w:noWrap/>
          </w:tcPr>
          <w:p w14:paraId="571E7A01" w14:textId="77777777" w:rsidR="005047A5" w:rsidRPr="000570D3" w:rsidRDefault="005047A5">
            <w:pPr>
              <w:pStyle w:val="ARtabletext"/>
              <w:spacing w:before="30" w:after="20"/>
            </w:pPr>
            <w:r w:rsidRPr="000570D3">
              <w:t>Renewable</w:t>
            </w:r>
          </w:p>
        </w:tc>
        <w:tc>
          <w:tcPr>
            <w:tcW w:w="1701" w:type="dxa"/>
            <w:tcBorders>
              <w:top w:val="single" w:sz="4" w:space="0" w:color="BFBFBF"/>
              <w:bottom w:val="single" w:sz="4" w:space="0" w:color="BFBFBF"/>
            </w:tcBorders>
            <w:noWrap/>
          </w:tcPr>
          <w:p w14:paraId="473B5C05" w14:textId="77777777" w:rsidR="005047A5" w:rsidRPr="000570D3" w:rsidRDefault="005047A5">
            <w:pPr>
              <w:pStyle w:val="ARtabletextright"/>
              <w:spacing w:before="30" w:after="20"/>
            </w:pPr>
            <w:r w:rsidRPr="000570D3">
              <w:t>6,382,276</w:t>
            </w:r>
          </w:p>
        </w:tc>
        <w:tc>
          <w:tcPr>
            <w:tcW w:w="1701" w:type="dxa"/>
            <w:tcBorders>
              <w:top w:val="single" w:sz="4" w:space="0" w:color="BFBFBF"/>
              <w:bottom w:val="single" w:sz="4" w:space="0" w:color="BFBFBF"/>
            </w:tcBorders>
            <w:noWrap/>
          </w:tcPr>
          <w:p w14:paraId="4B45F59F" w14:textId="77777777" w:rsidR="005047A5" w:rsidRPr="000570D3" w:rsidRDefault="005047A5">
            <w:pPr>
              <w:pStyle w:val="ARtabletextright"/>
              <w:spacing w:before="30" w:after="20"/>
            </w:pPr>
            <w:r w:rsidRPr="000570D3">
              <w:t>486,747</w:t>
            </w:r>
          </w:p>
        </w:tc>
        <w:tc>
          <w:tcPr>
            <w:tcW w:w="1701" w:type="dxa"/>
            <w:tcBorders>
              <w:top w:val="single" w:sz="4" w:space="0" w:color="BFBFBF"/>
              <w:bottom w:val="single" w:sz="4" w:space="0" w:color="BFBFBF"/>
            </w:tcBorders>
            <w:noWrap/>
          </w:tcPr>
          <w:p w14:paraId="55ECAB61" w14:textId="77777777" w:rsidR="005047A5" w:rsidRPr="000570D3" w:rsidRDefault="005047A5">
            <w:pPr>
              <w:pStyle w:val="ARtabletextright"/>
              <w:spacing w:before="30" w:after="20"/>
            </w:pPr>
            <w:r w:rsidRPr="000570D3">
              <w:t>–</w:t>
            </w:r>
          </w:p>
        </w:tc>
      </w:tr>
      <w:tr w:rsidR="005047A5" w:rsidRPr="00AF57AF" w14:paraId="25F14EDE" w14:textId="77777777">
        <w:trPr>
          <w:trHeight w:val="288"/>
        </w:trPr>
        <w:tc>
          <w:tcPr>
            <w:tcW w:w="4536" w:type="dxa"/>
            <w:tcBorders>
              <w:top w:val="single" w:sz="4" w:space="0" w:color="BFBFBF"/>
              <w:bottom w:val="single" w:sz="4" w:space="0" w:color="000000"/>
            </w:tcBorders>
            <w:noWrap/>
          </w:tcPr>
          <w:p w14:paraId="4AA38C7D" w14:textId="77777777" w:rsidR="005047A5" w:rsidRPr="000570D3" w:rsidRDefault="005047A5">
            <w:pPr>
              <w:pStyle w:val="ARtabletext"/>
              <w:spacing w:before="30" w:after="20"/>
            </w:pPr>
            <w:r w:rsidRPr="000570D3">
              <w:t>Non-renewable</w:t>
            </w:r>
          </w:p>
        </w:tc>
        <w:tc>
          <w:tcPr>
            <w:tcW w:w="1701" w:type="dxa"/>
            <w:tcBorders>
              <w:top w:val="single" w:sz="4" w:space="0" w:color="BFBFBF"/>
              <w:bottom w:val="single" w:sz="4" w:space="0" w:color="000000"/>
            </w:tcBorders>
            <w:noWrap/>
          </w:tcPr>
          <w:p w14:paraId="7F517C09" w14:textId="77777777" w:rsidR="005047A5" w:rsidRPr="000570D3" w:rsidRDefault="005047A5">
            <w:pPr>
              <w:pStyle w:val="ARtabletextright"/>
              <w:spacing w:before="30" w:after="20"/>
            </w:pPr>
            <w:r w:rsidRPr="000570D3">
              <w:t xml:space="preserve">466,475,599 </w:t>
            </w:r>
          </w:p>
        </w:tc>
        <w:tc>
          <w:tcPr>
            <w:tcW w:w="1701" w:type="dxa"/>
            <w:tcBorders>
              <w:top w:val="single" w:sz="4" w:space="0" w:color="BFBFBF"/>
              <w:bottom w:val="single" w:sz="4" w:space="0" w:color="000000"/>
            </w:tcBorders>
            <w:noWrap/>
          </w:tcPr>
          <w:p w14:paraId="7410634C" w14:textId="77777777" w:rsidR="005047A5" w:rsidRPr="000570D3" w:rsidRDefault="005047A5">
            <w:pPr>
              <w:pStyle w:val="ARtabletextright"/>
              <w:spacing w:before="30" w:after="20"/>
            </w:pPr>
            <w:r w:rsidRPr="000570D3">
              <w:t xml:space="preserve">452,654,664 </w:t>
            </w:r>
          </w:p>
        </w:tc>
        <w:tc>
          <w:tcPr>
            <w:tcW w:w="1701" w:type="dxa"/>
            <w:tcBorders>
              <w:top w:val="single" w:sz="4" w:space="0" w:color="BFBFBF"/>
              <w:bottom w:val="single" w:sz="4" w:space="0" w:color="000000"/>
            </w:tcBorders>
            <w:noWrap/>
          </w:tcPr>
          <w:p w14:paraId="33BE4888" w14:textId="77777777" w:rsidR="005047A5" w:rsidRPr="000570D3" w:rsidRDefault="005047A5">
            <w:pPr>
              <w:pStyle w:val="ARtabletextright"/>
              <w:spacing w:before="30" w:after="20"/>
            </w:pPr>
            <w:r w:rsidRPr="000570D3">
              <w:t>464,992,228</w:t>
            </w:r>
          </w:p>
        </w:tc>
      </w:tr>
      <w:tr w:rsidR="005047A5" w:rsidRPr="00AF57AF" w14:paraId="49E203C7" w14:textId="77777777">
        <w:trPr>
          <w:trHeight w:val="288"/>
        </w:trPr>
        <w:tc>
          <w:tcPr>
            <w:tcW w:w="4536" w:type="dxa"/>
            <w:tcBorders>
              <w:top w:val="single" w:sz="4" w:space="0" w:color="000000"/>
            </w:tcBorders>
            <w:noWrap/>
          </w:tcPr>
          <w:p w14:paraId="356B5CBC" w14:textId="77777777" w:rsidR="005047A5" w:rsidRPr="000570D3" w:rsidRDefault="005047A5">
            <w:pPr>
              <w:pStyle w:val="ARtabletextbold"/>
              <w:spacing w:before="30" w:after="20"/>
            </w:pPr>
            <w:r w:rsidRPr="000570D3">
              <w:t xml:space="preserve">E4 Units of energy used </w:t>
            </w:r>
            <w:r w:rsidRPr="000570D3">
              <w:br/>
              <w:t>normalised by FTE (MJ/FTE)</w:t>
            </w:r>
          </w:p>
        </w:tc>
        <w:tc>
          <w:tcPr>
            <w:tcW w:w="1701" w:type="dxa"/>
            <w:tcBorders>
              <w:top w:val="single" w:sz="4" w:space="0" w:color="000000"/>
            </w:tcBorders>
            <w:noWrap/>
          </w:tcPr>
          <w:p w14:paraId="72D17A13" w14:textId="77777777" w:rsidR="005047A5" w:rsidRPr="000570D3" w:rsidRDefault="005047A5">
            <w:pPr>
              <w:pStyle w:val="ARtabletextright"/>
              <w:spacing w:before="30" w:after="20"/>
            </w:pPr>
            <w:r w:rsidRPr="000570D3">
              <w:t>NA</w:t>
            </w:r>
          </w:p>
        </w:tc>
        <w:tc>
          <w:tcPr>
            <w:tcW w:w="1701" w:type="dxa"/>
            <w:tcBorders>
              <w:top w:val="single" w:sz="4" w:space="0" w:color="000000"/>
            </w:tcBorders>
            <w:noWrap/>
          </w:tcPr>
          <w:p w14:paraId="69452CAD" w14:textId="77777777" w:rsidR="005047A5" w:rsidRPr="000570D3" w:rsidRDefault="005047A5">
            <w:pPr>
              <w:pStyle w:val="ARtabletextright"/>
              <w:spacing w:before="30" w:after="20"/>
            </w:pPr>
            <w:r w:rsidRPr="000570D3">
              <w:t>NA</w:t>
            </w:r>
          </w:p>
        </w:tc>
        <w:tc>
          <w:tcPr>
            <w:tcW w:w="1701" w:type="dxa"/>
            <w:tcBorders>
              <w:top w:val="single" w:sz="4" w:space="0" w:color="000000"/>
            </w:tcBorders>
            <w:noWrap/>
          </w:tcPr>
          <w:p w14:paraId="1DCFD9C4" w14:textId="77777777" w:rsidR="005047A5" w:rsidRPr="000570D3" w:rsidRDefault="005047A5">
            <w:pPr>
              <w:pStyle w:val="ARtabletextright"/>
              <w:spacing w:before="30" w:after="20"/>
            </w:pPr>
            <w:r w:rsidRPr="000570D3">
              <w:t>NA</w:t>
            </w:r>
          </w:p>
        </w:tc>
      </w:tr>
    </w:tbl>
    <w:p w14:paraId="2B71BE47" w14:textId="77777777" w:rsidR="00BE3A6A" w:rsidRPr="000570D3" w:rsidRDefault="00BE3A6A" w:rsidP="00333387">
      <w:pPr>
        <w:pStyle w:val="Heading3"/>
        <w:rPr>
          <w:rFonts w:eastAsia="Times New Roman"/>
          <w:sz w:val="22"/>
          <w:szCs w:val="22"/>
          <w:lang w:eastAsia="en-US"/>
        </w:rPr>
      </w:pPr>
      <w:r w:rsidRPr="000570D3">
        <w:t>Sustainable buildings and infrastructure</w:t>
      </w:r>
    </w:p>
    <w:p w14:paraId="459D6CEE" w14:textId="2C7FFC38" w:rsidR="00BE3A6A" w:rsidRPr="000570D3" w:rsidRDefault="00BE3A6A" w:rsidP="00BE3A6A">
      <w:pPr>
        <w:pStyle w:val="ARbody"/>
      </w:pPr>
      <w:r w:rsidRPr="000570D3">
        <w:t>The development of sustainable buildings is an economic and environmental necessity. Recent extreme weather events demonstrate the importance of addressing climate change risk across the department</w:t>
      </w:r>
      <w:r w:rsidR="00711AE6">
        <w:t>’</w:t>
      </w:r>
      <w:r w:rsidRPr="000570D3">
        <w:t>s operations. This includes the design and management of buildings and infrastructure assets.</w:t>
      </w:r>
    </w:p>
    <w:p w14:paraId="4368B6B6" w14:textId="0A713FC9" w:rsidR="00373FEC" w:rsidRDefault="00BE3A6A" w:rsidP="00BE3A6A">
      <w:pPr>
        <w:pStyle w:val="ARbody"/>
      </w:pPr>
      <w:r w:rsidRPr="000570D3">
        <w:t xml:space="preserve">The department considers sustainable procurement objectives through its implementation of the </w:t>
      </w:r>
      <w:r w:rsidRPr="007803CC">
        <w:rPr>
          <w:rStyle w:val="Emphasis"/>
        </w:rPr>
        <w:t>Social procurement framework</w:t>
      </w:r>
      <w:r w:rsidRPr="000570D3">
        <w:t xml:space="preserve">. This sets out the requirements that apply to Victorian Government departments and agencies when they procure goods, services and construction. Refer to the </w:t>
      </w:r>
      <w:r w:rsidR="00711AE6">
        <w:t>‘</w:t>
      </w:r>
      <w:r w:rsidRPr="000570D3">
        <w:t>Social procurement framework</w:t>
      </w:r>
      <w:r w:rsidR="00711AE6">
        <w:t>’</w:t>
      </w:r>
      <w:r w:rsidRPr="000570D3">
        <w:t xml:space="preserve"> section for more information.</w:t>
      </w:r>
    </w:p>
    <w:p w14:paraId="6A8A0243" w14:textId="77777777" w:rsidR="00373FEC" w:rsidRDefault="00373FEC" w:rsidP="00373FEC">
      <w:pPr>
        <w:pStyle w:val="ARbody"/>
      </w:pPr>
      <w:r>
        <w:br w:type="page"/>
      </w:r>
    </w:p>
    <w:p w14:paraId="23362C33" w14:textId="77777777" w:rsidR="00BE3A6A" w:rsidRPr="003F18C5" w:rsidRDefault="00BE3A6A" w:rsidP="00BE3A6A">
      <w:pPr>
        <w:pStyle w:val="ARbody"/>
      </w:pPr>
      <w:r w:rsidRPr="003F18C5">
        <w:t>Registered environmental NABERS ratings that are higher than 5 stars are summarised in the table below.</w:t>
      </w:r>
    </w:p>
    <w:p w14:paraId="704A7053" w14:textId="77777777" w:rsidR="00BE3A6A" w:rsidRPr="003F18C5" w:rsidRDefault="00BE3A6A" w:rsidP="00A95A18">
      <w:pPr>
        <w:pStyle w:val="ARtablecaption"/>
      </w:pPr>
      <w:r w:rsidRPr="003F18C5">
        <w:t>B5 Sustainable buildings and infrastructure</w:t>
      </w:r>
    </w:p>
    <w:tbl>
      <w:tblPr>
        <w:tblStyle w:val="TableGrid"/>
        <w:tblW w:w="9639" w:type="dxa"/>
        <w:tblLayout w:type="fixed"/>
        <w:tblLook w:val="0620" w:firstRow="1" w:lastRow="0" w:firstColumn="0" w:lastColumn="0" w:noHBand="1" w:noVBand="1"/>
      </w:tblPr>
      <w:tblGrid>
        <w:gridCol w:w="2654"/>
        <w:gridCol w:w="4004"/>
        <w:gridCol w:w="1817"/>
        <w:gridCol w:w="1164"/>
      </w:tblGrid>
      <w:tr w:rsidR="00BE3A6A" w:rsidRPr="003F18C5" w14:paraId="16CFAA75" w14:textId="77777777">
        <w:trPr>
          <w:cnfStyle w:val="100000000000" w:firstRow="1" w:lastRow="0" w:firstColumn="0" w:lastColumn="0" w:oddVBand="0" w:evenVBand="0" w:oddHBand="0" w:evenHBand="0" w:firstRowFirstColumn="0" w:firstRowLastColumn="0" w:lastRowFirstColumn="0" w:lastRowLastColumn="0"/>
          <w:trHeight w:val="238"/>
          <w:tblHeader/>
        </w:trPr>
        <w:tc>
          <w:tcPr>
            <w:tcW w:w="2654" w:type="dxa"/>
          </w:tcPr>
          <w:p w14:paraId="72C40B26" w14:textId="77777777" w:rsidR="00BE3A6A" w:rsidRPr="003F18C5" w:rsidRDefault="00BE3A6A">
            <w:pPr>
              <w:pStyle w:val="ARtablecolhead"/>
              <w:spacing w:before="30" w:after="20"/>
              <w:rPr>
                <w:i/>
              </w:rPr>
            </w:pPr>
            <w:r w:rsidRPr="003F18C5">
              <w:t>Name of building</w:t>
            </w:r>
          </w:p>
        </w:tc>
        <w:tc>
          <w:tcPr>
            <w:tcW w:w="4004" w:type="dxa"/>
          </w:tcPr>
          <w:p w14:paraId="65EC9954" w14:textId="77777777" w:rsidR="00BE3A6A" w:rsidRPr="003F18C5" w:rsidRDefault="00BE3A6A">
            <w:pPr>
              <w:pStyle w:val="ARtablecolhead"/>
              <w:spacing w:before="30" w:after="20"/>
              <w:rPr>
                <w:i/>
              </w:rPr>
            </w:pPr>
            <w:r w:rsidRPr="003F18C5">
              <w:t>Building type</w:t>
            </w:r>
          </w:p>
        </w:tc>
        <w:tc>
          <w:tcPr>
            <w:tcW w:w="1817" w:type="dxa"/>
          </w:tcPr>
          <w:p w14:paraId="40C31457" w14:textId="77777777" w:rsidR="00BE3A6A" w:rsidRPr="003F18C5" w:rsidRDefault="00BE3A6A">
            <w:pPr>
              <w:pStyle w:val="ARtablecolhead"/>
              <w:spacing w:before="30" w:after="20"/>
              <w:rPr>
                <w:i/>
              </w:rPr>
            </w:pPr>
            <w:r w:rsidRPr="003F18C5">
              <w:t>Rating Scheme</w:t>
            </w:r>
          </w:p>
        </w:tc>
        <w:tc>
          <w:tcPr>
            <w:tcW w:w="1164" w:type="dxa"/>
          </w:tcPr>
          <w:p w14:paraId="16F02BDE" w14:textId="77777777" w:rsidR="00BE3A6A" w:rsidRPr="003F18C5" w:rsidRDefault="00BE3A6A">
            <w:pPr>
              <w:pStyle w:val="ARtablecolheadcentre"/>
              <w:spacing w:before="30" w:after="20"/>
              <w:rPr>
                <w:i/>
              </w:rPr>
            </w:pPr>
            <w:r w:rsidRPr="003F18C5">
              <w:t>Rating (B5)</w:t>
            </w:r>
          </w:p>
        </w:tc>
      </w:tr>
      <w:tr w:rsidR="00BE3A6A" w:rsidRPr="003F18C5" w14:paraId="3D55CB7E" w14:textId="77777777">
        <w:trPr>
          <w:trHeight w:val="187"/>
        </w:trPr>
        <w:tc>
          <w:tcPr>
            <w:tcW w:w="2654" w:type="dxa"/>
          </w:tcPr>
          <w:p w14:paraId="37CB16EE" w14:textId="77777777" w:rsidR="00BE3A6A" w:rsidRPr="003F18C5" w:rsidRDefault="00BE3A6A">
            <w:pPr>
              <w:pStyle w:val="ARtabletext"/>
              <w:spacing w:before="30" w:after="20"/>
            </w:pPr>
            <w:r w:rsidRPr="003F18C5">
              <w:t>Dandenong</w:t>
            </w:r>
          </w:p>
        </w:tc>
        <w:tc>
          <w:tcPr>
            <w:tcW w:w="4004" w:type="dxa"/>
          </w:tcPr>
          <w:p w14:paraId="053B8CCB" w14:textId="77777777" w:rsidR="00BE3A6A" w:rsidRPr="003F18C5" w:rsidRDefault="00BE3A6A">
            <w:pPr>
              <w:pStyle w:val="ARtabletext"/>
              <w:spacing w:before="30" w:after="20"/>
            </w:pPr>
            <w:r w:rsidRPr="003F18C5">
              <w:t>General office building (base building)</w:t>
            </w:r>
          </w:p>
        </w:tc>
        <w:tc>
          <w:tcPr>
            <w:tcW w:w="1817" w:type="dxa"/>
          </w:tcPr>
          <w:p w14:paraId="5895038A" w14:textId="77777777" w:rsidR="00BE3A6A" w:rsidRPr="003F18C5" w:rsidRDefault="00BE3A6A">
            <w:pPr>
              <w:pStyle w:val="ARtabletext"/>
              <w:spacing w:before="30" w:after="20"/>
            </w:pPr>
            <w:r w:rsidRPr="003F18C5">
              <w:t>NABERS – Energy</w:t>
            </w:r>
          </w:p>
        </w:tc>
        <w:tc>
          <w:tcPr>
            <w:tcW w:w="1164" w:type="dxa"/>
          </w:tcPr>
          <w:p w14:paraId="67B59D06" w14:textId="77777777" w:rsidR="00BE3A6A" w:rsidRPr="003F18C5" w:rsidRDefault="00BE3A6A">
            <w:pPr>
              <w:pStyle w:val="ARtabletextcentre"/>
              <w:spacing w:before="30" w:after="20"/>
            </w:pPr>
            <w:r w:rsidRPr="003F18C5">
              <w:t>5.5</w:t>
            </w:r>
          </w:p>
        </w:tc>
      </w:tr>
      <w:tr w:rsidR="00BE3A6A" w:rsidRPr="003F18C5" w14:paraId="60FB5A8B" w14:textId="77777777">
        <w:trPr>
          <w:trHeight w:val="187"/>
        </w:trPr>
        <w:tc>
          <w:tcPr>
            <w:tcW w:w="2654" w:type="dxa"/>
          </w:tcPr>
          <w:p w14:paraId="1F6C7239" w14:textId="77777777" w:rsidR="00BE3A6A" w:rsidRPr="003F18C5" w:rsidRDefault="00BE3A6A">
            <w:pPr>
              <w:pStyle w:val="ARtabletext"/>
              <w:spacing w:before="30" w:after="20"/>
            </w:pPr>
            <w:r w:rsidRPr="003F18C5">
              <w:t xml:space="preserve">Dandenong </w:t>
            </w:r>
          </w:p>
        </w:tc>
        <w:tc>
          <w:tcPr>
            <w:tcW w:w="4004" w:type="dxa"/>
          </w:tcPr>
          <w:p w14:paraId="1E66B932" w14:textId="77777777" w:rsidR="00BE3A6A" w:rsidRPr="003F18C5" w:rsidRDefault="00BE3A6A">
            <w:pPr>
              <w:pStyle w:val="ARtabletext"/>
              <w:spacing w:before="30" w:after="20"/>
            </w:pPr>
            <w:r w:rsidRPr="003F18C5">
              <w:t>General office building (base building)</w:t>
            </w:r>
          </w:p>
        </w:tc>
        <w:tc>
          <w:tcPr>
            <w:tcW w:w="1817" w:type="dxa"/>
          </w:tcPr>
          <w:p w14:paraId="65DB6763" w14:textId="77777777" w:rsidR="00BE3A6A" w:rsidRPr="003F18C5" w:rsidRDefault="00BE3A6A">
            <w:pPr>
              <w:pStyle w:val="ARtabletext"/>
              <w:spacing w:before="30" w:after="20"/>
            </w:pPr>
            <w:r w:rsidRPr="003F18C5">
              <w:t>NABERS – Water</w:t>
            </w:r>
          </w:p>
        </w:tc>
        <w:tc>
          <w:tcPr>
            <w:tcW w:w="1164" w:type="dxa"/>
          </w:tcPr>
          <w:p w14:paraId="2D1A31F5" w14:textId="77777777" w:rsidR="00BE3A6A" w:rsidRPr="003F18C5" w:rsidRDefault="00BE3A6A">
            <w:pPr>
              <w:pStyle w:val="ARtabletextcentre"/>
              <w:spacing w:before="30" w:after="20"/>
            </w:pPr>
            <w:r w:rsidRPr="003F18C5">
              <w:t>6</w:t>
            </w:r>
          </w:p>
        </w:tc>
      </w:tr>
      <w:tr w:rsidR="00BE3A6A" w:rsidRPr="003F18C5" w14:paraId="6E38F616" w14:textId="77777777">
        <w:trPr>
          <w:trHeight w:val="187"/>
        </w:trPr>
        <w:tc>
          <w:tcPr>
            <w:tcW w:w="2654" w:type="dxa"/>
          </w:tcPr>
          <w:p w14:paraId="25CD7ED5" w14:textId="77777777" w:rsidR="00BE3A6A" w:rsidRPr="003F18C5" w:rsidRDefault="00BE3A6A">
            <w:pPr>
              <w:pStyle w:val="ARtabletext"/>
              <w:spacing w:before="30" w:after="20"/>
            </w:pPr>
            <w:r w:rsidRPr="003F18C5">
              <w:t>Footscray</w:t>
            </w:r>
          </w:p>
        </w:tc>
        <w:tc>
          <w:tcPr>
            <w:tcW w:w="4004" w:type="dxa"/>
          </w:tcPr>
          <w:p w14:paraId="57878047" w14:textId="77777777" w:rsidR="00BE3A6A" w:rsidRPr="003F18C5" w:rsidRDefault="00BE3A6A">
            <w:pPr>
              <w:pStyle w:val="ARtabletext"/>
              <w:spacing w:before="30" w:after="20"/>
            </w:pPr>
            <w:r w:rsidRPr="003F18C5">
              <w:t>General office building (whole building)</w:t>
            </w:r>
          </w:p>
        </w:tc>
        <w:tc>
          <w:tcPr>
            <w:tcW w:w="1817" w:type="dxa"/>
          </w:tcPr>
          <w:p w14:paraId="045107E7" w14:textId="77777777" w:rsidR="00BE3A6A" w:rsidRPr="003F18C5" w:rsidRDefault="00BE3A6A">
            <w:pPr>
              <w:pStyle w:val="ARtabletext"/>
              <w:spacing w:before="30" w:after="20"/>
            </w:pPr>
            <w:r w:rsidRPr="003F18C5">
              <w:t>NABERS – Energy</w:t>
            </w:r>
          </w:p>
        </w:tc>
        <w:tc>
          <w:tcPr>
            <w:tcW w:w="1164" w:type="dxa"/>
          </w:tcPr>
          <w:p w14:paraId="33A8CFCF" w14:textId="77777777" w:rsidR="00BE3A6A" w:rsidRPr="003F18C5" w:rsidRDefault="00BE3A6A">
            <w:pPr>
              <w:pStyle w:val="ARtabletextcentre"/>
              <w:spacing w:before="30" w:after="20"/>
            </w:pPr>
            <w:r w:rsidRPr="003F18C5">
              <w:t>5.5</w:t>
            </w:r>
          </w:p>
        </w:tc>
      </w:tr>
      <w:tr w:rsidR="00BE3A6A" w:rsidRPr="003F18C5" w14:paraId="2489D45D" w14:textId="77777777">
        <w:trPr>
          <w:trHeight w:val="187"/>
        </w:trPr>
        <w:tc>
          <w:tcPr>
            <w:tcW w:w="2654" w:type="dxa"/>
          </w:tcPr>
          <w:p w14:paraId="1A45AB8C" w14:textId="77777777" w:rsidR="00BE3A6A" w:rsidRPr="003F18C5" w:rsidRDefault="00BE3A6A">
            <w:pPr>
              <w:pStyle w:val="ARtabletext"/>
              <w:spacing w:before="30" w:after="20"/>
            </w:pPr>
            <w:r w:rsidRPr="003F18C5">
              <w:t>Footscray</w:t>
            </w:r>
          </w:p>
        </w:tc>
        <w:tc>
          <w:tcPr>
            <w:tcW w:w="4004" w:type="dxa"/>
          </w:tcPr>
          <w:p w14:paraId="7DD2CF94" w14:textId="77777777" w:rsidR="00BE3A6A" w:rsidRPr="003F18C5" w:rsidRDefault="00BE3A6A">
            <w:pPr>
              <w:pStyle w:val="ARtabletext"/>
              <w:spacing w:before="30" w:after="20"/>
            </w:pPr>
            <w:r w:rsidRPr="003F18C5">
              <w:t>General office building (whole building)</w:t>
            </w:r>
          </w:p>
        </w:tc>
        <w:tc>
          <w:tcPr>
            <w:tcW w:w="1817" w:type="dxa"/>
          </w:tcPr>
          <w:p w14:paraId="1B726A09" w14:textId="77777777" w:rsidR="00BE3A6A" w:rsidRPr="003F18C5" w:rsidRDefault="00BE3A6A">
            <w:pPr>
              <w:pStyle w:val="ARtabletext"/>
              <w:spacing w:before="30" w:after="20"/>
            </w:pPr>
            <w:r w:rsidRPr="003F18C5">
              <w:t>NABERS – Water</w:t>
            </w:r>
          </w:p>
        </w:tc>
        <w:tc>
          <w:tcPr>
            <w:tcW w:w="1164" w:type="dxa"/>
          </w:tcPr>
          <w:p w14:paraId="0F5AAC1F" w14:textId="77777777" w:rsidR="00BE3A6A" w:rsidRPr="003F18C5" w:rsidRDefault="00BE3A6A">
            <w:pPr>
              <w:pStyle w:val="ARtabletextcentre"/>
              <w:spacing w:before="30" w:after="20"/>
            </w:pPr>
            <w:r w:rsidRPr="003F18C5">
              <w:t>6</w:t>
            </w:r>
          </w:p>
        </w:tc>
      </w:tr>
      <w:tr w:rsidR="00BE3A6A" w:rsidRPr="003F18C5" w14:paraId="14A76573" w14:textId="77777777">
        <w:trPr>
          <w:trHeight w:val="187"/>
        </w:trPr>
        <w:tc>
          <w:tcPr>
            <w:tcW w:w="2654" w:type="dxa"/>
          </w:tcPr>
          <w:p w14:paraId="56A4C8FA" w14:textId="77777777" w:rsidR="00BE3A6A" w:rsidRPr="003F18C5" w:rsidRDefault="00BE3A6A">
            <w:pPr>
              <w:pStyle w:val="ARtabletext"/>
              <w:spacing w:before="30" w:after="20"/>
            </w:pPr>
            <w:r w:rsidRPr="003F18C5">
              <w:t>Melbourne – 50 Lonsdale St</w:t>
            </w:r>
          </w:p>
        </w:tc>
        <w:tc>
          <w:tcPr>
            <w:tcW w:w="4004" w:type="dxa"/>
          </w:tcPr>
          <w:p w14:paraId="0ABF0CD2" w14:textId="77777777" w:rsidR="00BE3A6A" w:rsidRPr="003F18C5" w:rsidRDefault="00BE3A6A">
            <w:pPr>
              <w:pStyle w:val="ARtabletext"/>
              <w:spacing w:before="30" w:after="20"/>
            </w:pPr>
            <w:r w:rsidRPr="003F18C5">
              <w:t>General office (base building and tenancy)</w:t>
            </w:r>
          </w:p>
        </w:tc>
        <w:tc>
          <w:tcPr>
            <w:tcW w:w="1817" w:type="dxa"/>
          </w:tcPr>
          <w:p w14:paraId="5E5B7A47" w14:textId="77777777" w:rsidR="00BE3A6A" w:rsidRPr="003F18C5" w:rsidRDefault="00BE3A6A">
            <w:pPr>
              <w:pStyle w:val="ARtabletext"/>
              <w:spacing w:before="30" w:after="20"/>
            </w:pPr>
            <w:r w:rsidRPr="003F18C5">
              <w:t>NABERS – Energy</w:t>
            </w:r>
          </w:p>
        </w:tc>
        <w:tc>
          <w:tcPr>
            <w:tcW w:w="1164" w:type="dxa"/>
          </w:tcPr>
          <w:p w14:paraId="766ED327" w14:textId="77777777" w:rsidR="00BE3A6A" w:rsidRPr="003F18C5" w:rsidRDefault="00BE3A6A">
            <w:pPr>
              <w:pStyle w:val="ARtabletextcentre"/>
              <w:spacing w:before="30" w:after="20"/>
            </w:pPr>
            <w:r w:rsidRPr="003F18C5">
              <w:t>5.5</w:t>
            </w:r>
          </w:p>
        </w:tc>
      </w:tr>
      <w:tr w:rsidR="00BE3A6A" w:rsidRPr="003F18C5" w14:paraId="5BF30DB2" w14:textId="77777777">
        <w:trPr>
          <w:trHeight w:val="187"/>
        </w:trPr>
        <w:tc>
          <w:tcPr>
            <w:tcW w:w="2654" w:type="dxa"/>
          </w:tcPr>
          <w:p w14:paraId="74EB9E01" w14:textId="77777777" w:rsidR="00BE3A6A" w:rsidRPr="003F18C5" w:rsidRDefault="00BE3A6A">
            <w:pPr>
              <w:pStyle w:val="ARtabletext"/>
              <w:spacing w:before="30" w:after="20"/>
            </w:pPr>
            <w:r w:rsidRPr="003F18C5">
              <w:t>Melbourne – 570 Bourke St</w:t>
            </w:r>
          </w:p>
        </w:tc>
        <w:tc>
          <w:tcPr>
            <w:tcW w:w="4004" w:type="dxa"/>
          </w:tcPr>
          <w:p w14:paraId="0E19732B" w14:textId="77777777" w:rsidR="00BE3A6A" w:rsidRPr="003F18C5" w:rsidRDefault="00BE3A6A">
            <w:pPr>
              <w:pStyle w:val="ARtabletext"/>
              <w:spacing w:before="30" w:after="20"/>
            </w:pPr>
            <w:r w:rsidRPr="003F18C5">
              <w:t>General office building (base building)</w:t>
            </w:r>
          </w:p>
        </w:tc>
        <w:tc>
          <w:tcPr>
            <w:tcW w:w="1817" w:type="dxa"/>
          </w:tcPr>
          <w:p w14:paraId="0163F431" w14:textId="77777777" w:rsidR="00BE3A6A" w:rsidRPr="003F18C5" w:rsidRDefault="00BE3A6A">
            <w:pPr>
              <w:pStyle w:val="ARtabletext"/>
              <w:spacing w:before="30" w:after="20"/>
            </w:pPr>
            <w:r w:rsidRPr="003F18C5">
              <w:t>NABERS – Energy</w:t>
            </w:r>
          </w:p>
        </w:tc>
        <w:tc>
          <w:tcPr>
            <w:tcW w:w="1164" w:type="dxa"/>
          </w:tcPr>
          <w:p w14:paraId="729BBEC9" w14:textId="77777777" w:rsidR="00BE3A6A" w:rsidRPr="003F18C5" w:rsidRDefault="00BE3A6A">
            <w:pPr>
              <w:pStyle w:val="ARtabletextcentre"/>
              <w:spacing w:before="30" w:after="20"/>
            </w:pPr>
            <w:r w:rsidRPr="003F18C5">
              <w:t>5.5</w:t>
            </w:r>
          </w:p>
        </w:tc>
      </w:tr>
      <w:tr w:rsidR="00BE3A6A" w:rsidRPr="003F18C5" w14:paraId="087D9C5A" w14:textId="77777777">
        <w:trPr>
          <w:trHeight w:val="187"/>
        </w:trPr>
        <w:tc>
          <w:tcPr>
            <w:tcW w:w="2654" w:type="dxa"/>
          </w:tcPr>
          <w:p w14:paraId="1661419B" w14:textId="77777777" w:rsidR="00BE3A6A" w:rsidRPr="003F18C5" w:rsidRDefault="00BE3A6A">
            <w:pPr>
              <w:pStyle w:val="ARtabletext"/>
              <w:spacing w:before="30" w:after="20"/>
            </w:pPr>
            <w:r w:rsidRPr="003F18C5">
              <w:t>Melbourne – 570 Bourke St</w:t>
            </w:r>
          </w:p>
        </w:tc>
        <w:tc>
          <w:tcPr>
            <w:tcW w:w="4004" w:type="dxa"/>
          </w:tcPr>
          <w:p w14:paraId="2C1E85EA" w14:textId="77777777" w:rsidR="00BE3A6A" w:rsidRPr="003F18C5" w:rsidRDefault="00BE3A6A">
            <w:pPr>
              <w:pStyle w:val="ARtabletext"/>
              <w:spacing w:before="30" w:after="20"/>
            </w:pPr>
            <w:r w:rsidRPr="003F18C5">
              <w:t>General office building (base building)</w:t>
            </w:r>
          </w:p>
        </w:tc>
        <w:tc>
          <w:tcPr>
            <w:tcW w:w="1817" w:type="dxa"/>
          </w:tcPr>
          <w:p w14:paraId="2A043B19" w14:textId="77777777" w:rsidR="00BE3A6A" w:rsidRPr="003F18C5" w:rsidRDefault="00BE3A6A">
            <w:pPr>
              <w:pStyle w:val="ARtabletext"/>
              <w:spacing w:before="30" w:after="20"/>
            </w:pPr>
            <w:r w:rsidRPr="003F18C5">
              <w:t>NABERS – Water</w:t>
            </w:r>
          </w:p>
        </w:tc>
        <w:tc>
          <w:tcPr>
            <w:tcW w:w="1164" w:type="dxa"/>
          </w:tcPr>
          <w:p w14:paraId="7F5C06CB" w14:textId="77777777" w:rsidR="00BE3A6A" w:rsidRPr="003F18C5" w:rsidRDefault="00BE3A6A">
            <w:pPr>
              <w:pStyle w:val="ARtabletextcentre"/>
              <w:spacing w:before="30" w:after="20"/>
            </w:pPr>
            <w:r w:rsidRPr="003F18C5">
              <w:t>5.5</w:t>
            </w:r>
          </w:p>
        </w:tc>
      </w:tr>
      <w:tr w:rsidR="00BE3A6A" w:rsidRPr="003F18C5" w14:paraId="60452358" w14:textId="77777777">
        <w:trPr>
          <w:trHeight w:val="187"/>
        </w:trPr>
        <w:tc>
          <w:tcPr>
            <w:tcW w:w="2654" w:type="dxa"/>
          </w:tcPr>
          <w:p w14:paraId="55E3CCE2" w14:textId="77777777" w:rsidR="00BE3A6A" w:rsidRPr="003F18C5" w:rsidRDefault="00BE3A6A">
            <w:pPr>
              <w:pStyle w:val="ARtabletext"/>
              <w:spacing w:before="30" w:after="20"/>
            </w:pPr>
            <w:r w:rsidRPr="003F18C5">
              <w:t>Morwell</w:t>
            </w:r>
          </w:p>
        </w:tc>
        <w:tc>
          <w:tcPr>
            <w:tcW w:w="4004" w:type="dxa"/>
          </w:tcPr>
          <w:p w14:paraId="1F37F00B" w14:textId="77777777" w:rsidR="00BE3A6A" w:rsidRPr="003F18C5" w:rsidRDefault="00BE3A6A">
            <w:pPr>
              <w:pStyle w:val="ARtabletext"/>
              <w:spacing w:before="30" w:after="20"/>
            </w:pPr>
            <w:r w:rsidRPr="003F18C5">
              <w:t>General office building (whole building)</w:t>
            </w:r>
          </w:p>
        </w:tc>
        <w:tc>
          <w:tcPr>
            <w:tcW w:w="1817" w:type="dxa"/>
          </w:tcPr>
          <w:p w14:paraId="400085BA" w14:textId="77777777" w:rsidR="00BE3A6A" w:rsidRPr="003F18C5" w:rsidRDefault="00BE3A6A">
            <w:pPr>
              <w:pStyle w:val="ARtabletext"/>
              <w:spacing w:before="30" w:after="20"/>
            </w:pPr>
            <w:r w:rsidRPr="003F18C5">
              <w:t>NABERS – Energy</w:t>
            </w:r>
          </w:p>
        </w:tc>
        <w:tc>
          <w:tcPr>
            <w:tcW w:w="1164" w:type="dxa"/>
          </w:tcPr>
          <w:p w14:paraId="6F16FF18" w14:textId="77777777" w:rsidR="00BE3A6A" w:rsidRPr="003F18C5" w:rsidRDefault="00BE3A6A">
            <w:pPr>
              <w:pStyle w:val="ARtabletextcentre"/>
              <w:spacing w:before="30" w:after="20"/>
            </w:pPr>
            <w:r w:rsidRPr="003F18C5">
              <w:t>5.5</w:t>
            </w:r>
          </w:p>
        </w:tc>
      </w:tr>
      <w:tr w:rsidR="00BE3A6A" w:rsidRPr="003F18C5" w14:paraId="3F78DC8C" w14:textId="77777777">
        <w:trPr>
          <w:trHeight w:val="187"/>
        </w:trPr>
        <w:tc>
          <w:tcPr>
            <w:tcW w:w="2654" w:type="dxa"/>
          </w:tcPr>
          <w:p w14:paraId="5769C8E6" w14:textId="77777777" w:rsidR="00BE3A6A" w:rsidRPr="003F18C5" w:rsidRDefault="00BE3A6A">
            <w:pPr>
              <w:pStyle w:val="ARtabletext"/>
              <w:spacing w:before="30" w:after="20"/>
            </w:pPr>
            <w:r w:rsidRPr="003F18C5">
              <w:t>Traralgon</w:t>
            </w:r>
          </w:p>
        </w:tc>
        <w:tc>
          <w:tcPr>
            <w:tcW w:w="4004" w:type="dxa"/>
          </w:tcPr>
          <w:p w14:paraId="104D08E8" w14:textId="77777777" w:rsidR="00BE3A6A" w:rsidRPr="003F18C5" w:rsidRDefault="00BE3A6A">
            <w:pPr>
              <w:pStyle w:val="ARtabletext"/>
              <w:spacing w:before="30" w:after="20"/>
            </w:pPr>
            <w:r w:rsidRPr="003F18C5">
              <w:t>General office building (base building)</w:t>
            </w:r>
          </w:p>
        </w:tc>
        <w:tc>
          <w:tcPr>
            <w:tcW w:w="1817" w:type="dxa"/>
          </w:tcPr>
          <w:p w14:paraId="765B6E97" w14:textId="77777777" w:rsidR="00BE3A6A" w:rsidRPr="003F18C5" w:rsidRDefault="00BE3A6A">
            <w:pPr>
              <w:pStyle w:val="ARtabletext"/>
              <w:spacing w:before="30" w:after="20"/>
            </w:pPr>
            <w:r w:rsidRPr="003F18C5">
              <w:t>NABERS – Energy</w:t>
            </w:r>
          </w:p>
        </w:tc>
        <w:tc>
          <w:tcPr>
            <w:tcW w:w="1164" w:type="dxa"/>
          </w:tcPr>
          <w:p w14:paraId="2CAE8D8B" w14:textId="77777777" w:rsidR="00BE3A6A" w:rsidRPr="003F18C5" w:rsidRDefault="00BE3A6A">
            <w:pPr>
              <w:pStyle w:val="ARtabletextcentre"/>
              <w:spacing w:before="30" w:after="20"/>
            </w:pPr>
            <w:r w:rsidRPr="003F18C5">
              <w:t>5.5</w:t>
            </w:r>
          </w:p>
        </w:tc>
      </w:tr>
    </w:tbl>
    <w:p w14:paraId="1AB1B28A" w14:textId="77777777" w:rsidR="00BE3A6A" w:rsidRPr="000570D3" w:rsidRDefault="00BE3A6A" w:rsidP="00BE3A6A">
      <w:pPr>
        <w:pStyle w:val="ARbodyaftertable"/>
      </w:pPr>
      <w:r w:rsidRPr="003F18C5">
        <w:t>The department has adjusted lighting levels, temperature and other building systems to avoid unnecessary</w:t>
      </w:r>
      <w:r w:rsidRPr="000570D3">
        <w:t xml:space="preserve"> consumption of energy while maintaining safety and comfort of occupants.</w:t>
      </w:r>
    </w:p>
    <w:p w14:paraId="2E1B1D25" w14:textId="77777777" w:rsidR="00BE3A6A" w:rsidRPr="000570D3" w:rsidRDefault="00BE3A6A" w:rsidP="00333387">
      <w:pPr>
        <w:pStyle w:val="Heading3"/>
      </w:pPr>
      <w:r w:rsidRPr="000570D3">
        <w:t>Sustainable procurement</w:t>
      </w:r>
    </w:p>
    <w:p w14:paraId="6139D314" w14:textId="236764E6" w:rsidR="00BE3A6A" w:rsidRPr="000570D3" w:rsidRDefault="00BE3A6A" w:rsidP="00BE3A6A">
      <w:pPr>
        <w:pStyle w:val="ARbody"/>
      </w:pPr>
      <w:r w:rsidRPr="000570D3">
        <w:t xml:space="preserve">The department considers sustainable procurement objectives through its implementation of the </w:t>
      </w:r>
      <w:r w:rsidRPr="007803CC">
        <w:rPr>
          <w:rStyle w:val="Emphasis"/>
        </w:rPr>
        <w:t>Social procurement framework</w:t>
      </w:r>
      <w:r w:rsidRPr="000570D3">
        <w:t xml:space="preserve">. This set out the requirements that apply to Victorian Government departments and agencies when they procure goods, services and construction. Refer to the </w:t>
      </w:r>
      <w:r w:rsidR="00711AE6">
        <w:t>‘</w:t>
      </w:r>
      <w:r w:rsidRPr="000570D3">
        <w:t>Social procurement framework</w:t>
      </w:r>
      <w:r w:rsidR="00711AE6">
        <w:t>’</w:t>
      </w:r>
      <w:r w:rsidRPr="000570D3">
        <w:t xml:space="preserve"> section for more information.</w:t>
      </w:r>
    </w:p>
    <w:p w14:paraId="7A0F6A1E" w14:textId="0642F6AE" w:rsidR="00E73D75" w:rsidRPr="000570D3" w:rsidRDefault="00E73D75" w:rsidP="00333387">
      <w:pPr>
        <w:pStyle w:val="Heading3"/>
      </w:pPr>
      <w:r w:rsidRPr="000570D3">
        <w:t>Water consumption</w:t>
      </w:r>
    </w:p>
    <w:p w14:paraId="3C66E72D" w14:textId="77777777" w:rsidR="00E73D75" w:rsidRPr="008532A7" w:rsidRDefault="00E73D75" w:rsidP="00E73D75">
      <w:pPr>
        <w:pStyle w:val="ARbody"/>
      </w:pPr>
      <w:r w:rsidRPr="003D52CA">
        <w:t xml:space="preserve">The department is committed to understanding water consumption across facilities and operations and encourages clients to improve their own water efficiency. In 2023–24, office-based water use was 31,340 kilolitres compared with 29,113 kilolitres in 2022–21. Continued low water usage is attributed to flexible/hybrid working arrangements. </w:t>
      </w:r>
      <w:r w:rsidRPr="008532A7">
        <w:t>The increase in water us</w:t>
      </w:r>
      <w:r>
        <w:t>age</w:t>
      </w:r>
      <w:r w:rsidRPr="008532A7">
        <w:t xml:space="preserve"> from 2021–22 to 2022–23 is attributed increased office attendance</w:t>
      </w:r>
      <w:r>
        <w:t xml:space="preserve"> following the removal of COVID-19 pandemic restrictions</w:t>
      </w:r>
      <w:r w:rsidRPr="008532A7">
        <w:t>.</w:t>
      </w:r>
    </w:p>
    <w:p w14:paraId="52BF80F0" w14:textId="77777777" w:rsidR="00E73D75" w:rsidRPr="00195310" w:rsidRDefault="00E73D75" w:rsidP="00E73D75">
      <w:pPr>
        <w:pStyle w:val="Heading4"/>
        <w:rPr>
          <w:lang w:eastAsia="ja-JP"/>
        </w:rPr>
      </w:pPr>
      <w:r w:rsidRPr="00195310">
        <w:rPr>
          <w:lang w:eastAsia="ja-JP"/>
        </w:rPr>
        <w:t>Department offices</w:t>
      </w:r>
    </w:p>
    <w:p w14:paraId="17C25DFE" w14:textId="5CBF4B3B" w:rsidR="00E73D75" w:rsidRPr="00195310" w:rsidRDefault="00E73D75" w:rsidP="00A95A18">
      <w:pPr>
        <w:pStyle w:val="ARtablecaption"/>
      </w:pPr>
      <w:r w:rsidRPr="00195310">
        <w:t xml:space="preserve">W1 Total water consumption by an </w:t>
      </w:r>
      <w:r w:rsidR="00F07D7B">
        <w:t>e</w:t>
      </w:r>
      <w:r w:rsidR="00F07D7B" w:rsidRPr="00195310">
        <w:t>ntity</w:t>
      </w:r>
    </w:p>
    <w:tbl>
      <w:tblPr>
        <w:tblStyle w:val="TableGrid"/>
        <w:tblW w:w="9639" w:type="dxa"/>
        <w:tblLook w:val="06A0" w:firstRow="1" w:lastRow="0" w:firstColumn="1" w:lastColumn="0" w:noHBand="1" w:noVBand="1"/>
      </w:tblPr>
      <w:tblGrid>
        <w:gridCol w:w="4536"/>
        <w:gridCol w:w="1701"/>
        <w:gridCol w:w="1701"/>
        <w:gridCol w:w="1701"/>
      </w:tblGrid>
      <w:tr w:rsidR="00E73D75" w:rsidRPr="00F8705E" w14:paraId="3D1A56BE"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169C94D8" w14:textId="77777777" w:rsidR="00E73D75" w:rsidRPr="00195310" w:rsidRDefault="00E73D75">
            <w:pPr>
              <w:pStyle w:val="ARtablecolhead"/>
              <w:spacing w:before="30" w:after="20"/>
              <w:rPr>
                <w:color w:val="000000"/>
              </w:rPr>
            </w:pPr>
            <w:r w:rsidRPr="00195310">
              <w:t>Indicator</w:t>
            </w:r>
          </w:p>
        </w:tc>
        <w:tc>
          <w:tcPr>
            <w:tcW w:w="1701" w:type="dxa"/>
            <w:tcBorders>
              <w:bottom w:val="single" w:sz="4" w:space="0" w:color="auto"/>
            </w:tcBorders>
            <w:noWrap/>
          </w:tcPr>
          <w:p w14:paraId="1006E575" w14:textId="77777777" w:rsidR="00E73D75" w:rsidRPr="00195310" w:rsidRDefault="00E73D75">
            <w:pPr>
              <w:pStyle w:val="ARtablecolheadright"/>
              <w:spacing w:before="30" w:after="20"/>
            </w:pPr>
            <w:r w:rsidRPr="00195310">
              <w:t>2023–24</w:t>
            </w:r>
          </w:p>
          <w:p w14:paraId="739D7BD0" w14:textId="77777777" w:rsidR="00E73D75" w:rsidRPr="00195310" w:rsidRDefault="00E73D75">
            <w:pPr>
              <w:pStyle w:val="ARtablecolheadright"/>
              <w:spacing w:before="30" w:after="20"/>
            </w:pPr>
            <w:r w:rsidRPr="00195310">
              <w:t>kL</w:t>
            </w:r>
          </w:p>
        </w:tc>
        <w:tc>
          <w:tcPr>
            <w:tcW w:w="1701" w:type="dxa"/>
            <w:tcBorders>
              <w:bottom w:val="single" w:sz="4" w:space="0" w:color="auto"/>
            </w:tcBorders>
            <w:noWrap/>
          </w:tcPr>
          <w:p w14:paraId="7BA3D13F" w14:textId="77777777" w:rsidR="00E73D75" w:rsidRPr="00195310" w:rsidRDefault="00E73D75">
            <w:pPr>
              <w:pStyle w:val="ARtablecolheadright"/>
              <w:spacing w:before="30" w:after="20"/>
            </w:pPr>
            <w:r w:rsidRPr="00195310">
              <w:t>2022–23</w:t>
            </w:r>
          </w:p>
          <w:p w14:paraId="569F534C" w14:textId="77777777" w:rsidR="00E73D75" w:rsidRPr="00195310" w:rsidRDefault="00E73D75">
            <w:pPr>
              <w:pStyle w:val="ARtablecolheadright"/>
              <w:spacing w:before="30" w:after="20"/>
            </w:pPr>
            <w:r w:rsidRPr="00195310" w:rsidDel="00C766C2">
              <w:t>kL</w:t>
            </w:r>
          </w:p>
        </w:tc>
        <w:tc>
          <w:tcPr>
            <w:tcW w:w="1701" w:type="dxa"/>
            <w:tcBorders>
              <w:bottom w:val="single" w:sz="4" w:space="0" w:color="auto"/>
            </w:tcBorders>
            <w:noWrap/>
          </w:tcPr>
          <w:p w14:paraId="394B7CBA" w14:textId="77777777" w:rsidR="00E73D75" w:rsidRPr="00195310" w:rsidRDefault="00E73D75">
            <w:pPr>
              <w:pStyle w:val="ARtablecolheadright"/>
              <w:spacing w:before="30" w:after="20"/>
            </w:pPr>
            <w:r w:rsidRPr="00195310">
              <w:t>2021–22</w:t>
            </w:r>
          </w:p>
          <w:p w14:paraId="1FFCB78D" w14:textId="77777777" w:rsidR="00E73D75" w:rsidRPr="00195310" w:rsidRDefault="00E73D75">
            <w:pPr>
              <w:pStyle w:val="ARtablecolheadright"/>
              <w:spacing w:before="30" w:after="20"/>
            </w:pPr>
            <w:r w:rsidRPr="00195310" w:rsidDel="00C766C2">
              <w:t>kL</w:t>
            </w:r>
          </w:p>
        </w:tc>
      </w:tr>
      <w:tr w:rsidR="00E73D75" w:rsidRPr="00F8705E" w14:paraId="7575C2EC" w14:textId="77777777">
        <w:trPr>
          <w:trHeight w:val="288"/>
        </w:trPr>
        <w:tc>
          <w:tcPr>
            <w:tcW w:w="4536" w:type="dxa"/>
            <w:tcBorders>
              <w:top w:val="single" w:sz="4" w:space="0" w:color="auto"/>
              <w:bottom w:val="single" w:sz="4" w:space="0" w:color="000000"/>
            </w:tcBorders>
            <w:noWrap/>
            <w:hideMark/>
          </w:tcPr>
          <w:p w14:paraId="367E8B8B" w14:textId="77777777" w:rsidR="00E73D75" w:rsidRPr="00195310" w:rsidRDefault="00E73D75">
            <w:pPr>
              <w:pStyle w:val="ARtabletext"/>
              <w:spacing w:before="30" w:after="20"/>
              <w:rPr>
                <w:color w:val="000000"/>
              </w:rPr>
            </w:pPr>
            <w:r w:rsidRPr="00195310">
              <w:t>Potable water consumption</w:t>
            </w:r>
          </w:p>
        </w:tc>
        <w:tc>
          <w:tcPr>
            <w:tcW w:w="1701" w:type="dxa"/>
            <w:tcBorders>
              <w:top w:val="single" w:sz="4" w:space="0" w:color="auto"/>
              <w:bottom w:val="single" w:sz="4" w:space="0" w:color="000000"/>
            </w:tcBorders>
            <w:noWrap/>
            <w:hideMark/>
          </w:tcPr>
          <w:p w14:paraId="2FBC2924" w14:textId="77777777" w:rsidR="00E73D75" w:rsidRPr="00195310" w:rsidRDefault="00E73D75">
            <w:pPr>
              <w:pStyle w:val="ARtabletextright"/>
              <w:spacing w:before="30" w:after="20"/>
              <w:rPr>
                <w:color w:val="000000"/>
              </w:rPr>
            </w:pPr>
            <w:r w:rsidRPr="00195310">
              <w:t>31,340</w:t>
            </w:r>
          </w:p>
        </w:tc>
        <w:tc>
          <w:tcPr>
            <w:tcW w:w="1701" w:type="dxa"/>
            <w:tcBorders>
              <w:top w:val="single" w:sz="4" w:space="0" w:color="auto"/>
              <w:bottom w:val="single" w:sz="4" w:space="0" w:color="000000"/>
            </w:tcBorders>
            <w:noWrap/>
            <w:hideMark/>
          </w:tcPr>
          <w:p w14:paraId="60831528" w14:textId="77777777" w:rsidR="00E73D75" w:rsidRPr="00195310" w:rsidRDefault="00E73D75">
            <w:pPr>
              <w:pStyle w:val="ARtabletextright"/>
              <w:spacing w:before="30" w:after="20"/>
            </w:pPr>
            <w:r w:rsidRPr="00195310">
              <w:t>29,113</w:t>
            </w:r>
          </w:p>
        </w:tc>
        <w:tc>
          <w:tcPr>
            <w:tcW w:w="1701" w:type="dxa"/>
            <w:tcBorders>
              <w:top w:val="single" w:sz="4" w:space="0" w:color="auto"/>
              <w:bottom w:val="single" w:sz="4" w:space="0" w:color="000000"/>
            </w:tcBorders>
            <w:noWrap/>
            <w:hideMark/>
          </w:tcPr>
          <w:p w14:paraId="1FCF7986" w14:textId="77777777" w:rsidR="00E73D75" w:rsidRPr="00195310" w:rsidRDefault="00E73D75">
            <w:pPr>
              <w:pStyle w:val="ARtabletextright"/>
              <w:spacing w:before="30" w:after="20"/>
            </w:pPr>
            <w:r w:rsidRPr="00195310">
              <w:t>25,047</w:t>
            </w:r>
          </w:p>
        </w:tc>
      </w:tr>
      <w:tr w:rsidR="00E73D75" w:rsidRPr="00F8705E" w14:paraId="1583E30A" w14:textId="77777777">
        <w:trPr>
          <w:trHeight w:val="288"/>
        </w:trPr>
        <w:tc>
          <w:tcPr>
            <w:tcW w:w="4536" w:type="dxa"/>
            <w:tcBorders>
              <w:top w:val="single" w:sz="4" w:space="0" w:color="000000"/>
              <w:bottom w:val="single" w:sz="4" w:space="0" w:color="000000"/>
            </w:tcBorders>
            <w:noWrap/>
          </w:tcPr>
          <w:p w14:paraId="41C3CF3F" w14:textId="77777777" w:rsidR="00E73D75" w:rsidRPr="00195310" w:rsidRDefault="00E73D75">
            <w:pPr>
              <w:pStyle w:val="ARtabletextbold"/>
              <w:spacing w:before="30" w:after="20"/>
            </w:pPr>
            <w:r w:rsidRPr="00195310">
              <w:t>W1 Total water consumption by an entity</w:t>
            </w:r>
          </w:p>
        </w:tc>
        <w:tc>
          <w:tcPr>
            <w:tcW w:w="1701" w:type="dxa"/>
            <w:tcBorders>
              <w:top w:val="single" w:sz="4" w:space="0" w:color="000000"/>
              <w:bottom w:val="single" w:sz="4" w:space="0" w:color="000000"/>
            </w:tcBorders>
            <w:noWrap/>
          </w:tcPr>
          <w:p w14:paraId="0FF272F0" w14:textId="77777777" w:rsidR="00E73D75" w:rsidRPr="00195310" w:rsidRDefault="00E73D75">
            <w:pPr>
              <w:pStyle w:val="ARtabletextrightbold"/>
              <w:spacing w:before="30" w:after="20"/>
            </w:pPr>
            <w:r w:rsidRPr="00195310">
              <w:t>31,340</w:t>
            </w:r>
          </w:p>
        </w:tc>
        <w:tc>
          <w:tcPr>
            <w:tcW w:w="1701" w:type="dxa"/>
            <w:tcBorders>
              <w:top w:val="single" w:sz="4" w:space="0" w:color="000000"/>
              <w:bottom w:val="single" w:sz="4" w:space="0" w:color="000000"/>
            </w:tcBorders>
            <w:noWrap/>
          </w:tcPr>
          <w:p w14:paraId="63302CDD" w14:textId="77777777" w:rsidR="00E73D75" w:rsidRPr="00195310" w:rsidRDefault="00E73D75">
            <w:pPr>
              <w:pStyle w:val="ARtabletextrightbold"/>
              <w:spacing w:before="30" w:after="20"/>
            </w:pPr>
            <w:r w:rsidRPr="00195310">
              <w:t>29,113</w:t>
            </w:r>
          </w:p>
        </w:tc>
        <w:tc>
          <w:tcPr>
            <w:tcW w:w="1701" w:type="dxa"/>
            <w:tcBorders>
              <w:top w:val="single" w:sz="4" w:space="0" w:color="000000"/>
              <w:bottom w:val="single" w:sz="4" w:space="0" w:color="000000"/>
            </w:tcBorders>
            <w:noWrap/>
          </w:tcPr>
          <w:p w14:paraId="4A3605A8" w14:textId="77777777" w:rsidR="00E73D75" w:rsidRPr="00195310" w:rsidRDefault="00E73D75">
            <w:pPr>
              <w:pStyle w:val="ARtabletextrightbold"/>
              <w:spacing w:before="30" w:after="20"/>
            </w:pPr>
            <w:r w:rsidRPr="00195310">
              <w:t>25,047</w:t>
            </w:r>
          </w:p>
        </w:tc>
      </w:tr>
    </w:tbl>
    <w:p w14:paraId="7FA9A469" w14:textId="77777777" w:rsidR="00E73D75" w:rsidRPr="000570D3" w:rsidRDefault="00E73D75" w:rsidP="00E73D75">
      <w:pPr>
        <w:pStyle w:val="Heading4"/>
      </w:pPr>
      <w:r w:rsidRPr="000570D3">
        <w:t>Housing Services</w:t>
      </w:r>
    </w:p>
    <w:p w14:paraId="2A154FAD" w14:textId="24D29336" w:rsidR="00E73D75" w:rsidRDefault="00E73D75" w:rsidP="00A95A18">
      <w:pPr>
        <w:pStyle w:val="ARtablecaption"/>
      </w:pPr>
      <w:r w:rsidRPr="000570D3">
        <w:t xml:space="preserve">W1 Total water consumption by an </w:t>
      </w:r>
      <w:r w:rsidR="00F07D7B">
        <w:t>e</w:t>
      </w:r>
      <w:r w:rsidR="00F07D7B" w:rsidRPr="000570D3">
        <w:t>ntity</w:t>
      </w:r>
    </w:p>
    <w:tbl>
      <w:tblPr>
        <w:tblStyle w:val="TableGrid"/>
        <w:tblW w:w="9639" w:type="dxa"/>
        <w:tblLook w:val="06A0" w:firstRow="1" w:lastRow="0" w:firstColumn="1" w:lastColumn="0" w:noHBand="1" w:noVBand="1"/>
      </w:tblPr>
      <w:tblGrid>
        <w:gridCol w:w="4536"/>
        <w:gridCol w:w="1701"/>
        <w:gridCol w:w="1701"/>
        <w:gridCol w:w="1701"/>
      </w:tblGrid>
      <w:tr w:rsidR="00E73D75" w:rsidRPr="00AF57AF" w14:paraId="5BF6D1B5"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0E9E5952" w14:textId="77777777" w:rsidR="00E73D75" w:rsidRPr="00AF57AF" w:rsidRDefault="00E73D75">
            <w:pPr>
              <w:pStyle w:val="ARtablecolhead"/>
              <w:spacing w:before="30" w:after="20"/>
              <w:rPr>
                <w:highlight w:val="cyan"/>
              </w:rPr>
            </w:pPr>
          </w:p>
        </w:tc>
        <w:tc>
          <w:tcPr>
            <w:tcW w:w="1701" w:type="dxa"/>
            <w:tcBorders>
              <w:bottom w:val="single" w:sz="4" w:space="0" w:color="auto"/>
            </w:tcBorders>
            <w:noWrap/>
          </w:tcPr>
          <w:p w14:paraId="6BD55E7A" w14:textId="77777777" w:rsidR="00E73D75" w:rsidRPr="000570D3" w:rsidRDefault="00E73D75">
            <w:pPr>
              <w:pStyle w:val="ARtablecolheadright"/>
              <w:spacing w:before="30" w:after="20"/>
            </w:pPr>
            <w:r w:rsidRPr="000570D3">
              <w:t>2023–24</w:t>
            </w:r>
          </w:p>
          <w:p w14:paraId="7396574B" w14:textId="77777777" w:rsidR="00E73D75" w:rsidRPr="00AF57AF" w:rsidRDefault="00E73D75">
            <w:pPr>
              <w:pStyle w:val="ARtablecolheadright"/>
              <w:spacing w:before="30" w:after="20"/>
              <w:rPr>
                <w:highlight w:val="cyan"/>
              </w:rPr>
            </w:pPr>
            <w:r w:rsidRPr="000570D3">
              <w:t>kL</w:t>
            </w:r>
          </w:p>
        </w:tc>
        <w:tc>
          <w:tcPr>
            <w:tcW w:w="1701" w:type="dxa"/>
            <w:tcBorders>
              <w:bottom w:val="single" w:sz="4" w:space="0" w:color="auto"/>
            </w:tcBorders>
            <w:noWrap/>
          </w:tcPr>
          <w:p w14:paraId="699FC484" w14:textId="77777777" w:rsidR="00E73D75" w:rsidRPr="000570D3" w:rsidRDefault="00E73D75">
            <w:pPr>
              <w:pStyle w:val="ARtablecolheadright"/>
              <w:spacing w:before="30" w:after="20"/>
            </w:pPr>
            <w:r w:rsidRPr="000570D3">
              <w:t>2022–23</w:t>
            </w:r>
          </w:p>
          <w:p w14:paraId="3142E7ED" w14:textId="77777777" w:rsidR="00E73D75" w:rsidRPr="000570D3" w:rsidRDefault="00E73D75">
            <w:pPr>
              <w:pStyle w:val="ARtablecolheadright"/>
              <w:spacing w:before="30" w:after="20"/>
            </w:pPr>
            <w:r w:rsidRPr="000570D3">
              <w:t>kL</w:t>
            </w:r>
          </w:p>
        </w:tc>
        <w:tc>
          <w:tcPr>
            <w:tcW w:w="1701" w:type="dxa"/>
            <w:tcBorders>
              <w:bottom w:val="single" w:sz="4" w:space="0" w:color="auto"/>
            </w:tcBorders>
            <w:noWrap/>
          </w:tcPr>
          <w:p w14:paraId="6EC83F1E" w14:textId="77777777" w:rsidR="00E73D75" w:rsidRPr="000570D3" w:rsidRDefault="00E73D75">
            <w:pPr>
              <w:pStyle w:val="ARtablecolheadright"/>
              <w:spacing w:before="30" w:after="20"/>
            </w:pPr>
            <w:r w:rsidRPr="000570D3">
              <w:t>2021–22</w:t>
            </w:r>
          </w:p>
          <w:p w14:paraId="132A61CE" w14:textId="77777777" w:rsidR="00E73D75" w:rsidRPr="000570D3" w:rsidRDefault="00E73D75">
            <w:pPr>
              <w:pStyle w:val="ARtablecolheadright"/>
              <w:spacing w:before="30" w:after="20"/>
            </w:pPr>
            <w:r w:rsidRPr="000570D3">
              <w:t>kL</w:t>
            </w:r>
          </w:p>
        </w:tc>
      </w:tr>
      <w:tr w:rsidR="00E73D75" w:rsidRPr="00AF57AF" w14:paraId="0640FF27" w14:textId="77777777">
        <w:trPr>
          <w:trHeight w:val="288"/>
        </w:trPr>
        <w:tc>
          <w:tcPr>
            <w:tcW w:w="4536" w:type="dxa"/>
            <w:tcBorders>
              <w:top w:val="single" w:sz="4" w:space="0" w:color="auto"/>
              <w:bottom w:val="single" w:sz="4" w:space="0" w:color="BFBFBF"/>
            </w:tcBorders>
            <w:noWrap/>
          </w:tcPr>
          <w:p w14:paraId="26D7FD99" w14:textId="77777777" w:rsidR="00E73D75" w:rsidRPr="000570D3" w:rsidRDefault="00E73D75">
            <w:pPr>
              <w:pStyle w:val="ARtabletext"/>
              <w:spacing w:before="30" w:after="20"/>
            </w:pPr>
            <w:r w:rsidRPr="000570D3">
              <w:t>Potable water consumption</w:t>
            </w:r>
          </w:p>
        </w:tc>
        <w:tc>
          <w:tcPr>
            <w:tcW w:w="1701" w:type="dxa"/>
            <w:tcBorders>
              <w:top w:val="single" w:sz="4" w:space="0" w:color="auto"/>
              <w:bottom w:val="single" w:sz="4" w:space="0" w:color="BFBFBF"/>
            </w:tcBorders>
            <w:noWrap/>
          </w:tcPr>
          <w:p w14:paraId="47289F30" w14:textId="77777777" w:rsidR="00E73D75" w:rsidRPr="00AF57AF" w:rsidRDefault="00E73D75">
            <w:pPr>
              <w:pStyle w:val="ARtabletextright"/>
              <w:spacing w:before="30" w:after="20"/>
              <w:rPr>
                <w:highlight w:val="cyan"/>
              </w:rPr>
            </w:pPr>
            <w:r w:rsidRPr="000570D3">
              <w:t>1,124,205</w:t>
            </w:r>
          </w:p>
        </w:tc>
        <w:tc>
          <w:tcPr>
            <w:tcW w:w="1701" w:type="dxa"/>
            <w:tcBorders>
              <w:top w:val="single" w:sz="4" w:space="0" w:color="auto"/>
              <w:bottom w:val="single" w:sz="4" w:space="0" w:color="BFBFBF"/>
            </w:tcBorders>
            <w:noWrap/>
          </w:tcPr>
          <w:p w14:paraId="7C6FCEA6" w14:textId="77777777" w:rsidR="00E73D75" w:rsidRPr="000570D3" w:rsidRDefault="00E73D75">
            <w:pPr>
              <w:pStyle w:val="ARtabletextright"/>
              <w:spacing w:before="30" w:after="20"/>
            </w:pPr>
            <w:r w:rsidRPr="000570D3">
              <w:t>1,172,445</w:t>
            </w:r>
          </w:p>
        </w:tc>
        <w:tc>
          <w:tcPr>
            <w:tcW w:w="1701" w:type="dxa"/>
            <w:tcBorders>
              <w:top w:val="single" w:sz="4" w:space="0" w:color="auto"/>
              <w:bottom w:val="single" w:sz="4" w:space="0" w:color="BFBFBF"/>
            </w:tcBorders>
            <w:noWrap/>
          </w:tcPr>
          <w:p w14:paraId="6857AAD1" w14:textId="77777777" w:rsidR="00E73D75" w:rsidRPr="000570D3" w:rsidRDefault="00E73D75">
            <w:pPr>
              <w:pStyle w:val="ARtabletextright"/>
              <w:spacing w:before="30" w:after="20"/>
            </w:pPr>
            <w:r w:rsidRPr="000570D3">
              <w:t>1,163,027</w:t>
            </w:r>
          </w:p>
        </w:tc>
      </w:tr>
      <w:tr w:rsidR="00E73D75" w:rsidRPr="00AF57AF" w14:paraId="51F8A5C0" w14:textId="77777777">
        <w:trPr>
          <w:trHeight w:val="288"/>
        </w:trPr>
        <w:tc>
          <w:tcPr>
            <w:tcW w:w="4536" w:type="dxa"/>
            <w:tcBorders>
              <w:top w:val="single" w:sz="4" w:space="0" w:color="000000"/>
              <w:bottom w:val="single" w:sz="4" w:space="0" w:color="000000"/>
            </w:tcBorders>
            <w:noWrap/>
          </w:tcPr>
          <w:p w14:paraId="06892BE0" w14:textId="77777777" w:rsidR="00E73D75" w:rsidRPr="000570D3" w:rsidRDefault="00E73D75">
            <w:pPr>
              <w:pStyle w:val="ARtabletextbold"/>
              <w:spacing w:before="30" w:after="20"/>
            </w:pPr>
            <w:r w:rsidRPr="000570D3">
              <w:t>W1 Total water consumption by an entity</w:t>
            </w:r>
          </w:p>
        </w:tc>
        <w:tc>
          <w:tcPr>
            <w:tcW w:w="1701" w:type="dxa"/>
            <w:tcBorders>
              <w:top w:val="single" w:sz="4" w:space="0" w:color="000000"/>
              <w:bottom w:val="single" w:sz="4" w:space="0" w:color="000000"/>
            </w:tcBorders>
            <w:noWrap/>
          </w:tcPr>
          <w:p w14:paraId="5764E666" w14:textId="77777777" w:rsidR="00E73D75" w:rsidRPr="00AF57AF" w:rsidRDefault="00E73D75">
            <w:pPr>
              <w:pStyle w:val="ARtabletextrightbold"/>
              <w:spacing w:before="30" w:after="20"/>
              <w:rPr>
                <w:highlight w:val="cyan"/>
              </w:rPr>
            </w:pPr>
            <w:r w:rsidRPr="00A55E64">
              <w:t>1,124,205</w:t>
            </w:r>
          </w:p>
        </w:tc>
        <w:tc>
          <w:tcPr>
            <w:tcW w:w="1701" w:type="dxa"/>
            <w:tcBorders>
              <w:top w:val="single" w:sz="4" w:space="0" w:color="000000"/>
              <w:bottom w:val="single" w:sz="4" w:space="0" w:color="000000"/>
            </w:tcBorders>
            <w:noWrap/>
          </w:tcPr>
          <w:p w14:paraId="54E7AF78" w14:textId="77777777" w:rsidR="00E73D75" w:rsidRPr="000570D3" w:rsidRDefault="00E73D75">
            <w:pPr>
              <w:pStyle w:val="ARtabletextrightbold"/>
              <w:spacing w:before="30" w:after="20"/>
            </w:pPr>
            <w:r w:rsidRPr="000570D3">
              <w:t>1,172,445</w:t>
            </w:r>
          </w:p>
        </w:tc>
        <w:tc>
          <w:tcPr>
            <w:tcW w:w="1701" w:type="dxa"/>
            <w:tcBorders>
              <w:top w:val="single" w:sz="4" w:space="0" w:color="000000"/>
              <w:bottom w:val="single" w:sz="4" w:space="0" w:color="000000"/>
            </w:tcBorders>
            <w:noWrap/>
          </w:tcPr>
          <w:p w14:paraId="57437552" w14:textId="77777777" w:rsidR="00E73D75" w:rsidRPr="000570D3" w:rsidRDefault="00E73D75">
            <w:pPr>
              <w:pStyle w:val="ARtabletextrightbold"/>
              <w:spacing w:before="30" w:after="20"/>
            </w:pPr>
            <w:r w:rsidRPr="000570D3">
              <w:t>1,163,027</w:t>
            </w:r>
          </w:p>
        </w:tc>
      </w:tr>
    </w:tbl>
    <w:p w14:paraId="4AFBA438" w14:textId="77777777" w:rsidR="00E73D75" w:rsidRPr="000570D3" w:rsidRDefault="00E73D75" w:rsidP="00A95A18">
      <w:pPr>
        <w:pStyle w:val="ARtablecaption"/>
      </w:pPr>
      <w:r w:rsidRPr="000570D3">
        <w:t>W2 Units of metered water consumed normalised by FTE</w:t>
      </w:r>
    </w:p>
    <w:tbl>
      <w:tblPr>
        <w:tblStyle w:val="TableGrid"/>
        <w:tblW w:w="9639" w:type="dxa"/>
        <w:tblLook w:val="06A0" w:firstRow="1" w:lastRow="0" w:firstColumn="1" w:lastColumn="0" w:noHBand="1" w:noVBand="1"/>
      </w:tblPr>
      <w:tblGrid>
        <w:gridCol w:w="4536"/>
        <w:gridCol w:w="1701"/>
        <w:gridCol w:w="1701"/>
        <w:gridCol w:w="1701"/>
      </w:tblGrid>
      <w:tr w:rsidR="00E73D75" w:rsidRPr="00A0207B" w14:paraId="581E9A9F"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32D7E0A5" w14:textId="77777777" w:rsidR="00E73D75" w:rsidRPr="000570D3" w:rsidRDefault="00E73D75">
            <w:pPr>
              <w:pStyle w:val="ARtablecolhead"/>
              <w:spacing w:before="30" w:after="20"/>
            </w:pPr>
          </w:p>
        </w:tc>
        <w:tc>
          <w:tcPr>
            <w:tcW w:w="1701" w:type="dxa"/>
            <w:tcBorders>
              <w:bottom w:val="single" w:sz="4" w:space="0" w:color="auto"/>
            </w:tcBorders>
            <w:noWrap/>
          </w:tcPr>
          <w:p w14:paraId="1ED1EDCA" w14:textId="13939526" w:rsidR="00E73D75" w:rsidRPr="000570D3" w:rsidRDefault="00E73D75">
            <w:pPr>
              <w:pStyle w:val="ARtablecolheadright"/>
              <w:spacing w:before="30" w:after="20"/>
            </w:pPr>
            <w:r>
              <w:t>2023</w:t>
            </w:r>
            <w:r w:rsidR="00F91DB1">
              <w:t>–</w:t>
            </w:r>
            <w:r>
              <w:t>24</w:t>
            </w:r>
          </w:p>
          <w:p w14:paraId="769C1BAC" w14:textId="77777777" w:rsidR="00E73D75" w:rsidRPr="000570D3" w:rsidRDefault="00E73D75">
            <w:pPr>
              <w:pStyle w:val="ARtablecolheadright"/>
              <w:spacing w:before="30" w:after="20"/>
            </w:pPr>
            <w:r w:rsidRPr="000570D3">
              <w:t>kL/FTE</w:t>
            </w:r>
          </w:p>
        </w:tc>
        <w:tc>
          <w:tcPr>
            <w:tcW w:w="1701" w:type="dxa"/>
            <w:tcBorders>
              <w:bottom w:val="single" w:sz="4" w:space="0" w:color="auto"/>
            </w:tcBorders>
            <w:noWrap/>
          </w:tcPr>
          <w:p w14:paraId="5DDE85A7" w14:textId="77777777" w:rsidR="00E73D75" w:rsidRPr="00E367CE" w:rsidRDefault="00E73D75">
            <w:pPr>
              <w:pStyle w:val="ARtablecolheadright"/>
              <w:spacing w:before="30" w:after="20"/>
            </w:pPr>
            <w:r w:rsidRPr="00E367CE">
              <w:t>2022–23</w:t>
            </w:r>
          </w:p>
          <w:p w14:paraId="3CBA2E5C" w14:textId="77777777" w:rsidR="00E73D75" w:rsidRPr="000570D3" w:rsidRDefault="00E73D75">
            <w:pPr>
              <w:pStyle w:val="ARtablecolheadright"/>
              <w:spacing w:before="30" w:after="20"/>
            </w:pPr>
            <w:r w:rsidRPr="00E367CE">
              <w:t>kL/FTE</w:t>
            </w:r>
          </w:p>
        </w:tc>
        <w:tc>
          <w:tcPr>
            <w:tcW w:w="1701" w:type="dxa"/>
            <w:tcBorders>
              <w:bottom w:val="single" w:sz="4" w:space="0" w:color="auto"/>
            </w:tcBorders>
            <w:noWrap/>
          </w:tcPr>
          <w:p w14:paraId="4D915F54" w14:textId="77777777" w:rsidR="00E73D75" w:rsidRPr="00E367CE" w:rsidRDefault="00E73D75">
            <w:pPr>
              <w:pStyle w:val="ARtablecolheadright"/>
              <w:spacing w:before="30" w:after="20"/>
            </w:pPr>
            <w:r w:rsidRPr="00E367CE">
              <w:t>2021–22</w:t>
            </w:r>
          </w:p>
          <w:p w14:paraId="5D030689" w14:textId="77777777" w:rsidR="00E73D75" w:rsidRPr="000570D3" w:rsidRDefault="00E73D75">
            <w:pPr>
              <w:pStyle w:val="ARtablecolheadright"/>
              <w:spacing w:before="30" w:after="20"/>
            </w:pPr>
            <w:r w:rsidRPr="00E367CE">
              <w:t>kL/FTE</w:t>
            </w:r>
          </w:p>
        </w:tc>
      </w:tr>
      <w:tr w:rsidR="00E73D75" w:rsidRPr="00AF57AF" w14:paraId="2DDDE3AD" w14:textId="77777777">
        <w:trPr>
          <w:trHeight w:val="288"/>
        </w:trPr>
        <w:tc>
          <w:tcPr>
            <w:tcW w:w="4536" w:type="dxa"/>
            <w:tcBorders>
              <w:top w:val="single" w:sz="4" w:space="0" w:color="000000"/>
              <w:bottom w:val="single" w:sz="4" w:space="0" w:color="000000"/>
            </w:tcBorders>
            <w:noWrap/>
          </w:tcPr>
          <w:p w14:paraId="291EB256" w14:textId="77777777" w:rsidR="00E73D75" w:rsidRPr="000570D3" w:rsidRDefault="00E73D75">
            <w:pPr>
              <w:pStyle w:val="ARtabletextbold"/>
              <w:spacing w:before="30" w:after="20"/>
            </w:pPr>
            <w:r w:rsidRPr="000570D3">
              <w:t xml:space="preserve">W2 Units of metered water </w:t>
            </w:r>
            <w:r w:rsidRPr="000570D3">
              <w:br/>
              <w:t>consumed normalised by FTE</w:t>
            </w:r>
          </w:p>
        </w:tc>
        <w:tc>
          <w:tcPr>
            <w:tcW w:w="1701" w:type="dxa"/>
            <w:tcBorders>
              <w:top w:val="single" w:sz="4" w:space="0" w:color="000000"/>
              <w:bottom w:val="single" w:sz="4" w:space="0" w:color="000000"/>
            </w:tcBorders>
            <w:noWrap/>
          </w:tcPr>
          <w:p w14:paraId="19AC484A" w14:textId="77777777" w:rsidR="00E73D75" w:rsidRPr="000570D3" w:rsidRDefault="00E73D75">
            <w:pPr>
              <w:pStyle w:val="ARtabletextright"/>
              <w:spacing w:before="30" w:after="20"/>
            </w:pPr>
            <w:r w:rsidRPr="000570D3">
              <w:t>NA</w:t>
            </w:r>
          </w:p>
        </w:tc>
        <w:tc>
          <w:tcPr>
            <w:tcW w:w="1701" w:type="dxa"/>
            <w:tcBorders>
              <w:top w:val="single" w:sz="4" w:space="0" w:color="000000"/>
              <w:bottom w:val="single" w:sz="4" w:space="0" w:color="000000"/>
            </w:tcBorders>
            <w:noWrap/>
          </w:tcPr>
          <w:p w14:paraId="015DF775" w14:textId="77777777" w:rsidR="00E73D75" w:rsidRPr="000570D3" w:rsidRDefault="00E73D75">
            <w:pPr>
              <w:pStyle w:val="ARtabletextright"/>
              <w:spacing w:before="30" w:after="20"/>
            </w:pPr>
            <w:r w:rsidRPr="000570D3">
              <w:t>NA</w:t>
            </w:r>
          </w:p>
        </w:tc>
        <w:tc>
          <w:tcPr>
            <w:tcW w:w="1701" w:type="dxa"/>
            <w:tcBorders>
              <w:top w:val="single" w:sz="4" w:space="0" w:color="000000"/>
              <w:bottom w:val="single" w:sz="4" w:space="0" w:color="000000"/>
            </w:tcBorders>
            <w:noWrap/>
          </w:tcPr>
          <w:p w14:paraId="0CEAFC4E" w14:textId="77777777" w:rsidR="00E73D75" w:rsidRPr="000570D3" w:rsidRDefault="00E73D75">
            <w:pPr>
              <w:pStyle w:val="ARtabletextright"/>
              <w:spacing w:before="30" w:after="20"/>
            </w:pPr>
            <w:r w:rsidRPr="000570D3">
              <w:t>NA</w:t>
            </w:r>
          </w:p>
        </w:tc>
      </w:tr>
    </w:tbl>
    <w:p w14:paraId="347430B0" w14:textId="77777777" w:rsidR="00E73D75" w:rsidRPr="00840D29" w:rsidRDefault="00E73D75" w:rsidP="00333387">
      <w:pPr>
        <w:pStyle w:val="Heading3"/>
      </w:pPr>
      <w:bookmarkStart w:id="248" w:name="_Ref178663942"/>
      <w:r w:rsidRPr="00840D29">
        <w:t>Waste and recycling</w:t>
      </w:r>
      <w:bookmarkEnd w:id="248"/>
    </w:p>
    <w:p w14:paraId="687CA10C" w14:textId="77777777" w:rsidR="00E73D75" w:rsidRDefault="00E73D75" w:rsidP="00E73D75">
      <w:pPr>
        <w:pStyle w:val="ARbody"/>
      </w:pPr>
      <w:r w:rsidRPr="00243BC8">
        <w:t xml:space="preserve">Waste management and recycling are key priorities for the department. Focus areas include the removal of single-use plastics as well as maximising recycling and minimising waste sent to landfill. </w:t>
      </w:r>
    </w:p>
    <w:p w14:paraId="76DDC01E" w14:textId="103B2809" w:rsidR="00827FCF" w:rsidRDefault="00E73D75" w:rsidP="00E73D75">
      <w:pPr>
        <w:pStyle w:val="ARbody"/>
      </w:pPr>
      <w:r w:rsidRPr="000570D3">
        <w:t>The department does not currently collect data on waste disposal and recycling or associated scope 3 emissions from Housing Services.</w:t>
      </w:r>
    </w:p>
    <w:p w14:paraId="3AB850F8" w14:textId="77777777" w:rsidR="008644DA" w:rsidRPr="00C351F9" w:rsidRDefault="008644DA" w:rsidP="00A95A18">
      <w:pPr>
        <w:pStyle w:val="ARtablecaption"/>
      </w:pPr>
      <w:r w:rsidRPr="00C351F9">
        <w:t>Total units of waste disposed</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8644DA" w:rsidRPr="00F8705E" w14:paraId="09814FD3"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2835" w:type="dxa"/>
            <w:tcBorders>
              <w:bottom w:val="single" w:sz="4" w:space="0" w:color="auto"/>
            </w:tcBorders>
          </w:tcPr>
          <w:p w14:paraId="4C06FFED" w14:textId="77777777" w:rsidR="008644DA" w:rsidRPr="00195310" w:rsidRDefault="008644DA">
            <w:pPr>
              <w:pStyle w:val="ARtablecolhead"/>
              <w:spacing w:before="30" w:after="20"/>
              <w:rPr>
                <w:i/>
              </w:rPr>
            </w:pPr>
            <w:r w:rsidRPr="00195310">
              <w:t>Indicator</w:t>
            </w:r>
          </w:p>
        </w:tc>
        <w:tc>
          <w:tcPr>
            <w:tcW w:w="1134" w:type="dxa"/>
            <w:tcBorders>
              <w:bottom w:val="single" w:sz="4" w:space="0" w:color="auto"/>
            </w:tcBorders>
          </w:tcPr>
          <w:p w14:paraId="43950C07" w14:textId="77777777" w:rsidR="008644DA" w:rsidRPr="00195310" w:rsidRDefault="008644DA">
            <w:pPr>
              <w:pStyle w:val="ARtablecolheadright"/>
              <w:spacing w:before="30" w:after="20"/>
            </w:pPr>
            <w:r w:rsidRPr="00195310">
              <w:t>2023–24</w:t>
            </w:r>
          </w:p>
          <w:p w14:paraId="47FB35B8" w14:textId="77777777" w:rsidR="008644DA" w:rsidRPr="00195310" w:rsidRDefault="008644DA">
            <w:pPr>
              <w:pStyle w:val="ARtablecolheadright"/>
              <w:spacing w:before="30" w:after="20"/>
              <w:rPr>
                <w:i/>
              </w:rPr>
            </w:pPr>
            <w:r w:rsidRPr="00195310">
              <w:t>kg</w:t>
            </w:r>
          </w:p>
        </w:tc>
        <w:tc>
          <w:tcPr>
            <w:tcW w:w="1134" w:type="dxa"/>
            <w:tcBorders>
              <w:bottom w:val="single" w:sz="4" w:space="0" w:color="auto"/>
            </w:tcBorders>
          </w:tcPr>
          <w:p w14:paraId="0B48B122" w14:textId="77777777" w:rsidR="008644DA" w:rsidRPr="00195310" w:rsidRDefault="008644DA">
            <w:pPr>
              <w:pStyle w:val="ARtablecolheadright"/>
              <w:spacing w:before="30" w:after="20"/>
            </w:pPr>
            <w:r w:rsidRPr="00195310">
              <w:t>2023–24</w:t>
            </w:r>
          </w:p>
          <w:p w14:paraId="7EC01E4B" w14:textId="77777777" w:rsidR="008644DA" w:rsidRPr="00195310" w:rsidRDefault="008644DA">
            <w:pPr>
              <w:pStyle w:val="ARtablecolheadright"/>
              <w:spacing w:before="30" w:after="20"/>
              <w:rPr>
                <w:i/>
              </w:rPr>
            </w:pPr>
            <w:r w:rsidRPr="00195310">
              <w:t>%</w:t>
            </w:r>
          </w:p>
        </w:tc>
        <w:tc>
          <w:tcPr>
            <w:tcW w:w="1134" w:type="dxa"/>
            <w:tcBorders>
              <w:bottom w:val="single" w:sz="4" w:space="0" w:color="auto"/>
            </w:tcBorders>
          </w:tcPr>
          <w:p w14:paraId="2B572540" w14:textId="77777777" w:rsidR="008644DA" w:rsidRPr="00195310" w:rsidRDefault="008644DA">
            <w:pPr>
              <w:pStyle w:val="ARtablecolheadright"/>
              <w:spacing w:before="30" w:after="20"/>
            </w:pPr>
            <w:r w:rsidRPr="00195310">
              <w:t>2022–23</w:t>
            </w:r>
          </w:p>
          <w:p w14:paraId="493CC16C" w14:textId="77777777" w:rsidR="008644DA" w:rsidRPr="00195310" w:rsidRDefault="008644DA">
            <w:pPr>
              <w:pStyle w:val="ARtablecolheadright"/>
              <w:spacing w:before="30" w:after="20"/>
              <w:rPr>
                <w:i/>
              </w:rPr>
            </w:pPr>
            <w:r w:rsidRPr="00195310" w:rsidDel="009B7B01">
              <w:t>kg</w:t>
            </w:r>
          </w:p>
        </w:tc>
        <w:tc>
          <w:tcPr>
            <w:tcW w:w="1134" w:type="dxa"/>
            <w:tcBorders>
              <w:bottom w:val="single" w:sz="4" w:space="0" w:color="auto"/>
            </w:tcBorders>
          </w:tcPr>
          <w:p w14:paraId="3AD5166A" w14:textId="77777777" w:rsidR="008644DA" w:rsidRPr="00195310" w:rsidRDefault="008644DA">
            <w:pPr>
              <w:pStyle w:val="ARtablecolheadright"/>
              <w:spacing w:before="30" w:after="20"/>
            </w:pPr>
            <w:r w:rsidRPr="00195310">
              <w:t>2022–23</w:t>
            </w:r>
          </w:p>
          <w:p w14:paraId="1BC9B39B" w14:textId="77777777" w:rsidR="008644DA" w:rsidRPr="00195310" w:rsidRDefault="008644DA">
            <w:pPr>
              <w:pStyle w:val="ARtablecolheadright"/>
              <w:spacing w:before="30" w:after="20"/>
              <w:rPr>
                <w:i/>
              </w:rPr>
            </w:pPr>
            <w:r w:rsidRPr="00195310" w:rsidDel="009B7B01">
              <w:t>%</w:t>
            </w:r>
          </w:p>
        </w:tc>
        <w:tc>
          <w:tcPr>
            <w:tcW w:w="1134" w:type="dxa"/>
            <w:tcBorders>
              <w:bottom w:val="single" w:sz="4" w:space="0" w:color="auto"/>
            </w:tcBorders>
          </w:tcPr>
          <w:p w14:paraId="23FC05A5" w14:textId="77777777" w:rsidR="008644DA" w:rsidRPr="00195310" w:rsidRDefault="008644DA">
            <w:pPr>
              <w:pStyle w:val="ARtablecolheadright"/>
              <w:spacing w:before="30" w:after="20"/>
            </w:pPr>
            <w:r w:rsidRPr="00195310">
              <w:t>2021–22</w:t>
            </w:r>
          </w:p>
          <w:p w14:paraId="16715799" w14:textId="77777777" w:rsidR="008644DA" w:rsidRPr="00195310" w:rsidRDefault="008644DA">
            <w:pPr>
              <w:pStyle w:val="ARtablecolheadright"/>
              <w:spacing w:before="30" w:after="20"/>
              <w:rPr>
                <w:i/>
              </w:rPr>
            </w:pPr>
            <w:r w:rsidRPr="00195310" w:rsidDel="009B7B01">
              <w:t>kg</w:t>
            </w:r>
          </w:p>
        </w:tc>
        <w:tc>
          <w:tcPr>
            <w:tcW w:w="1134" w:type="dxa"/>
            <w:tcBorders>
              <w:bottom w:val="single" w:sz="4" w:space="0" w:color="auto"/>
            </w:tcBorders>
          </w:tcPr>
          <w:p w14:paraId="153A3518" w14:textId="77777777" w:rsidR="008644DA" w:rsidRPr="00195310" w:rsidRDefault="008644DA">
            <w:pPr>
              <w:pStyle w:val="ARtablecolheadright"/>
              <w:spacing w:before="30" w:after="20"/>
            </w:pPr>
            <w:r w:rsidRPr="00195310">
              <w:t>2021–22</w:t>
            </w:r>
          </w:p>
          <w:p w14:paraId="75138925" w14:textId="77777777" w:rsidR="008644DA" w:rsidRPr="00195310" w:rsidRDefault="008644DA">
            <w:pPr>
              <w:pStyle w:val="ARtablecolheadright"/>
              <w:spacing w:before="30" w:after="20"/>
              <w:rPr>
                <w:i/>
              </w:rPr>
            </w:pPr>
            <w:r w:rsidRPr="00195310" w:rsidDel="009B7B01">
              <w:t>%</w:t>
            </w:r>
          </w:p>
        </w:tc>
      </w:tr>
      <w:tr w:rsidR="008644DA" w:rsidRPr="00F8705E" w14:paraId="05217801"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40DFFD09" w14:textId="77777777" w:rsidR="008644DA" w:rsidRPr="00195310" w:rsidRDefault="008644DA">
            <w:pPr>
              <w:pStyle w:val="ARtabletextbold"/>
              <w:spacing w:before="30" w:after="20"/>
            </w:pPr>
            <w:r w:rsidRPr="00195310">
              <w:t>Landfill general waste</w:t>
            </w:r>
          </w:p>
        </w:tc>
        <w:tc>
          <w:tcPr>
            <w:tcW w:w="1134" w:type="dxa"/>
            <w:tcBorders>
              <w:top w:val="single" w:sz="4" w:space="0" w:color="BFBFBF" w:themeColor="background1" w:themeShade="BF"/>
              <w:bottom w:val="single" w:sz="4" w:space="0" w:color="BFBFBF" w:themeColor="background1" w:themeShade="BF"/>
            </w:tcBorders>
          </w:tcPr>
          <w:p w14:paraId="6BFB22A0" w14:textId="77777777" w:rsidR="008644DA" w:rsidRPr="00195310" w:rsidRDefault="008644DA">
            <w:pPr>
              <w:pStyle w:val="ARtabletextright"/>
              <w:spacing w:before="30" w:after="20"/>
            </w:pPr>
            <w:r w:rsidRPr="00195310">
              <w:t>89,265.0</w:t>
            </w:r>
          </w:p>
        </w:tc>
        <w:tc>
          <w:tcPr>
            <w:tcW w:w="1134" w:type="dxa"/>
            <w:tcBorders>
              <w:top w:val="single" w:sz="4" w:space="0" w:color="BFBFBF" w:themeColor="background1" w:themeShade="BF"/>
              <w:bottom w:val="single" w:sz="4" w:space="0" w:color="BFBFBF" w:themeColor="background1" w:themeShade="BF"/>
            </w:tcBorders>
          </w:tcPr>
          <w:p w14:paraId="1C6C4498" w14:textId="77777777" w:rsidR="008644DA" w:rsidRPr="00195310" w:rsidRDefault="008644DA">
            <w:pPr>
              <w:pStyle w:val="ARtabletextright"/>
              <w:spacing w:before="30" w:after="20"/>
            </w:pPr>
            <w:r>
              <w:t>23.5</w:t>
            </w:r>
          </w:p>
        </w:tc>
        <w:tc>
          <w:tcPr>
            <w:tcW w:w="1134" w:type="dxa"/>
            <w:tcBorders>
              <w:top w:val="single" w:sz="4" w:space="0" w:color="BFBFBF" w:themeColor="background1" w:themeShade="BF"/>
              <w:bottom w:val="single" w:sz="4" w:space="0" w:color="BFBFBF" w:themeColor="background1" w:themeShade="BF"/>
            </w:tcBorders>
          </w:tcPr>
          <w:p w14:paraId="0090476D" w14:textId="77777777" w:rsidR="008644DA" w:rsidRPr="00195310" w:rsidRDefault="008644DA">
            <w:pPr>
              <w:pStyle w:val="ARtabletextright"/>
              <w:spacing w:before="30" w:after="20"/>
            </w:pPr>
            <w:r w:rsidRPr="00195310">
              <w:t>81,349.4</w:t>
            </w:r>
          </w:p>
        </w:tc>
        <w:tc>
          <w:tcPr>
            <w:tcW w:w="1134" w:type="dxa"/>
            <w:tcBorders>
              <w:top w:val="single" w:sz="4" w:space="0" w:color="BFBFBF" w:themeColor="background1" w:themeShade="BF"/>
              <w:bottom w:val="single" w:sz="4" w:space="0" w:color="BFBFBF" w:themeColor="background1" w:themeShade="BF"/>
            </w:tcBorders>
          </w:tcPr>
          <w:p w14:paraId="3A10C9A9" w14:textId="77777777" w:rsidR="008644DA" w:rsidRPr="00195310" w:rsidRDefault="008644DA">
            <w:pPr>
              <w:pStyle w:val="ARtabletextright"/>
              <w:spacing w:before="30" w:after="20"/>
            </w:pPr>
            <w:r w:rsidRPr="00195310">
              <w:t>59.2</w:t>
            </w:r>
          </w:p>
        </w:tc>
        <w:tc>
          <w:tcPr>
            <w:tcW w:w="1134" w:type="dxa"/>
            <w:tcBorders>
              <w:top w:val="single" w:sz="4" w:space="0" w:color="BFBFBF" w:themeColor="background1" w:themeShade="BF"/>
              <w:bottom w:val="single" w:sz="4" w:space="0" w:color="BFBFBF" w:themeColor="background1" w:themeShade="BF"/>
            </w:tcBorders>
          </w:tcPr>
          <w:p w14:paraId="3115208E" w14:textId="77777777" w:rsidR="008644DA" w:rsidRPr="00195310" w:rsidRDefault="008644DA">
            <w:pPr>
              <w:pStyle w:val="ARtabletextright"/>
              <w:spacing w:before="30" w:after="20"/>
            </w:pPr>
            <w:r w:rsidRPr="00195310">
              <w:t>49,760.9</w:t>
            </w:r>
          </w:p>
        </w:tc>
        <w:tc>
          <w:tcPr>
            <w:tcW w:w="1134" w:type="dxa"/>
            <w:tcBorders>
              <w:top w:val="single" w:sz="4" w:space="0" w:color="BFBFBF" w:themeColor="background1" w:themeShade="BF"/>
              <w:bottom w:val="single" w:sz="4" w:space="0" w:color="BFBFBF" w:themeColor="background1" w:themeShade="BF"/>
            </w:tcBorders>
          </w:tcPr>
          <w:p w14:paraId="128EA375" w14:textId="77777777" w:rsidR="008644DA" w:rsidRPr="00195310" w:rsidRDefault="008644DA">
            <w:pPr>
              <w:pStyle w:val="ARtabletextright"/>
              <w:spacing w:before="30" w:after="20"/>
            </w:pPr>
            <w:r w:rsidRPr="00195310">
              <w:t>47.7</w:t>
            </w:r>
          </w:p>
        </w:tc>
      </w:tr>
      <w:tr w:rsidR="008644DA" w:rsidRPr="00F8705E" w14:paraId="1BADD9A0" w14:textId="77777777">
        <w:trPr>
          <w:cantSplit w:val="0"/>
          <w:trHeight w:val="225"/>
        </w:trPr>
        <w:tc>
          <w:tcPr>
            <w:tcW w:w="9639" w:type="dxa"/>
            <w:gridSpan w:val="7"/>
            <w:tcBorders>
              <w:top w:val="single" w:sz="4" w:space="0" w:color="BFBFBF" w:themeColor="background1" w:themeShade="BF"/>
              <w:bottom w:val="single" w:sz="4" w:space="0" w:color="BFBFBF" w:themeColor="background1" w:themeShade="BF"/>
            </w:tcBorders>
          </w:tcPr>
          <w:p w14:paraId="70057030" w14:textId="77777777" w:rsidR="008644DA" w:rsidRPr="00195310" w:rsidRDefault="008644DA">
            <w:pPr>
              <w:pStyle w:val="ARtabletextbold"/>
              <w:spacing w:before="30" w:after="20"/>
            </w:pPr>
            <w:r w:rsidRPr="00195310">
              <w:t>Recycling/recovery (disposal)</w:t>
            </w:r>
          </w:p>
        </w:tc>
      </w:tr>
      <w:tr w:rsidR="008644DA" w:rsidRPr="00F8705E" w14:paraId="7B358271"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77829016" w14:textId="77777777" w:rsidR="008644DA" w:rsidRPr="00195310" w:rsidRDefault="008644DA">
            <w:pPr>
              <w:pStyle w:val="ARtabletext"/>
              <w:spacing w:before="30" w:after="20"/>
            </w:pPr>
            <w:r w:rsidRPr="00195310">
              <w:t>Commingled</w:t>
            </w:r>
          </w:p>
        </w:tc>
        <w:tc>
          <w:tcPr>
            <w:tcW w:w="1134" w:type="dxa"/>
            <w:tcBorders>
              <w:top w:val="single" w:sz="4" w:space="0" w:color="BFBFBF" w:themeColor="background1" w:themeShade="BF"/>
              <w:bottom w:val="single" w:sz="4" w:space="0" w:color="BFBFBF" w:themeColor="background1" w:themeShade="BF"/>
            </w:tcBorders>
          </w:tcPr>
          <w:p w14:paraId="66DE8856" w14:textId="77777777" w:rsidR="008644DA" w:rsidRPr="000570D3" w:rsidRDefault="008644DA">
            <w:pPr>
              <w:pStyle w:val="ARtabletextright"/>
              <w:spacing w:before="30" w:after="20"/>
              <w:rPr>
                <w:highlight w:val="green"/>
              </w:rPr>
            </w:pPr>
            <w:r w:rsidRPr="00375E5C">
              <w:t>8984.</w:t>
            </w:r>
            <w:r w:rsidDel="009F6D6A">
              <w:t>7</w:t>
            </w:r>
          </w:p>
        </w:tc>
        <w:tc>
          <w:tcPr>
            <w:tcW w:w="1134" w:type="dxa"/>
            <w:tcBorders>
              <w:top w:val="single" w:sz="4" w:space="0" w:color="BFBFBF" w:themeColor="background1" w:themeShade="BF"/>
              <w:bottom w:val="single" w:sz="4" w:space="0" w:color="BFBFBF" w:themeColor="background1" w:themeShade="BF"/>
            </w:tcBorders>
          </w:tcPr>
          <w:p w14:paraId="02213E43" w14:textId="77777777" w:rsidR="008644DA" w:rsidRPr="000570D3" w:rsidRDefault="008644DA">
            <w:pPr>
              <w:pStyle w:val="ARtabletextright"/>
              <w:spacing w:before="30" w:after="20"/>
            </w:pPr>
            <w:r>
              <w:t>2.4</w:t>
            </w:r>
          </w:p>
        </w:tc>
        <w:tc>
          <w:tcPr>
            <w:tcW w:w="1134" w:type="dxa"/>
            <w:tcBorders>
              <w:top w:val="single" w:sz="4" w:space="0" w:color="BFBFBF" w:themeColor="background1" w:themeShade="BF"/>
              <w:bottom w:val="single" w:sz="4" w:space="0" w:color="BFBFBF" w:themeColor="background1" w:themeShade="BF"/>
            </w:tcBorders>
          </w:tcPr>
          <w:p w14:paraId="505E3CD9" w14:textId="77777777" w:rsidR="008644DA" w:rsidRPr="00195310" w:rsidRDefault="008644DA">
            <w:pPr>
              <w:pStyle w:val="ARtabletextright"/>
              <w:spacing w:before="30" w:after="20"/>
            </w:pPr>
            <w:r w:rsidRPr="00195310">
              <w:t>6651.7</w:t>
            </w:r>
          </w:p>
        </w:tc>
        <w:tc>
          <w:tcPr>
            <w:tcW w:w="1134" w:type="dxa"/>
            <w:tcBorders>
              <w:top w:val="single" w:sz="4" w:space="0" w:color="BFBFBF" w:themeColor="background1" w:themeShade="BF"/>
              <w:bottom w:val="single" w:sz="4" w:space="0" w:color="BFBFBF" w:themeColor="background1" w:themeShade="BF"/>
            </w:tcBorders>
          </w:tcPr>
          <w:p w14:paraId="4A5126A1" w14:textId="77777777" w:rsidR="008644DA" w:rsidRPr="00195310" w:rsidRDefault="008644DA">
            <w:pPr>
              <w:pStyle w:val="ARtabletextright"/>
              <w:spacing w:before="30" w:after="20"/>
            </w:pPr>
            <w:r w:rsidRPr="00195310">
              <w:t>4.8</w:t>
            </w:r>
          </w:p>
        </w:tc>
        <w:tc>
          <w:tcPr>
            <w:tcW w:w="1134" w:type="dxa"/>
            <w:tcBorders>
              <w:top w:val="single" w:sz="4" w:space="0" w:color="BFBFBF" w:themeColor="background1" w:themeShade="BF"/>
              <w:bottom w:val="single" w:sz="4" w:space="0" w:color="BFBFBF" w:themeColor="background1" w:themeShade="BF"/>
            </w:tcBorders>
          </w:tcPr>
          <w:p w14:paraId="2643B825" w14:textId="77777777" w:rsidR="008644DA" w:rsidRPr="00195310" w:rsidRDefault="008644DA">
            <w:pPr>
              <w:pStyle w:val="ARtabletextright"/>
              <w:spacing w:before="30" w:after="20"/>
            </w:pPr>
            <w:r w:rsidRPr="00195310">
              <w:t>5,369.5</w:t>
            </w:r>
          </w:p>
        </w:tc>
        <w:tc>
          <w:tcPr>
            <w:tcW w:w="1134" w:type="dxa"/>
            <w:tcBorders>
              <w:top w:val="single" w:sz="4" w:space="0" w:color="BFBFBF" w:themeColor="background1" w:themeShade="BF"/>
              <w:bottom w:val="single" w:sz="4" w:space="0" w:color="BFBFBF" w:themeColor="background1" w:themeShade="BF"/>
            </w:tcBorders>
          </w:tcPr>
          <w:p w14:paraId="0EFC2C20" w14:textId="77777777" w:rsidR="008644DA" w:rsidRPr="00195310" w:rsidRDefault="008644DA">
            <w:pPr>
              <w:pStyle w:val="ARtabletextright"/>
              <w:spacing w:before="30" w:after="20"/>
            </w:pPr>
            <w:r w:rsidRPr="00195310">
              <w:t>5.1</w:t>
            </w:r>
          </w:p>
        </w:tc>
      </w:tr>
      <w:tr w:rsidR="008644DA" w:rsidRPr="00F8705E" w14:paraId="5371683D"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4EDA1971" w14:textId="77777777" w:rsidR="008644DA" w:rsidRPr="00195310" w:rsidRDefault="008644DA">
            <w:pPr>
              <w:pStyle w:val="ARtabletext"/>
              <w:spacing w:before="30" w:after="20"/>
              <w:rPr>
                <w:rFonts w:eastAsia="Calibri"/>
                <w:color w:val="000000" w:themeColor="text1"/>
              </w:rPr>
            </w:pPr>
            <w:r w:rsidRPr="00195310">
              <w:t>Organics</w:t>
            </w:r>
          </w:p>
        </w:tc>
        <w:tc>
          <w:tcPr>
            <w:tcW w:w="1134" w:type="dxa"/>
            <w:tcBorders>
              <w:top w:val="single" w:sz="4" w:space="0" w:color="BFBFBF" w:themeColor="background1" w:themeShade="BF"/>
              <w:bottom w:val="single" w:sz="4" w:space="0" w:color="BFBFBF" w:themeColor="background1" w:themeShade="BF"/>
            </w:tcBorders>
          </w:tcPr>
          <w:p w14:paraId="200EEF93" w14:textId="77777777" w:rsidR="008644DA" w:rsidRPr="000570D3" w:rsidRDefault="008644DA">
            <w:pPr>
              <w:pStyle w:val="ARtabletextright"/>
              <w:spacing w:before="30" w:after="20"/>
              <w:rPr>
                <w:highlight w:val="green"/>
              </w:rPr>
            </w:pPr>
            <w:r w:rsidRPr="00375E5C">
              <w:t>1148.</w:t>
            </w:r>
            <w:r>
              <w:t>9</w:t>
            </w:r>
          </w:p>
        </w:tc>
        <w:tc>
          <w:tcPr>
            <w:tcW w:w="1134" w:type="dxa"/>
            <w:tcBorders>
              <w:top w:val="single" w:sz="4" w:space="0" w:color="BFBFBF" w:themeColor="background1" w:themeShade="BF"/>
              <w:bottom w:val="single" w:sz="4" w:space="0" w:color="BFBFBF" w:themeColor="background1" w:themeShade="BF"/>
            </w:tcBorders>
          </w:tcPr>
          <w:p w14:paraId="7809A6FA" w14:textId="77777777" w:rsidR="008644DA" w:rsidRPr="000570D3" w:rsidRDefault="008644DA">
            <w:pPr>
              <w:pStyle w:val="ARtabletextright"/>
              <w:spacing w:before="30" w:after="20"/>
            </w:pPr>
            <w:r w:rsidRPr="00375E5C">
              <w:t>0</w:t>
            </w:r>
            <w:r>
              <w:t>.3</w:t>
            </w:r>
          </w:p>
        </w:tc>
        <w:tc>
          <w:tcPr>
            <w:tcW w:w="1134" w:type="dxa"/>
            <w:tcBorders>
              <w:top w:val="single" w:sz="4" w:space="0" w:color="BFBFBF" w:themeColor="background1" w:themeShade="BF"/>
              <w:bottom w:val="single" w:sz="4" w:space="0" w:color="BFBFBF" w:themeColor="background1" w:themeShade="BF"/>
            </w:tcBorders>
          </w:tcPr>
          <w:p w14:paraId="2557B717" w14:textId="77777777" w:rsidR="008644DA" w:rsidRPr="00195310" w:rsidRDefault="008644DA">
            <w:pPr>
              <w:pStyle w:val="ARtabletextright"/>
              <w:spacing w:before="30" w:after="20"/>
            </w:pPr>
            <w:r w:rsidRPr="00195310">
              <w:t>3483</w:t>
            </w:r>
          </w:p>
        </w:tc>
        <w:tc>
          <w:tcPr>
            <w:tcW w:w="1134" w:type="dxa"/>
            <w:tcBorders>
              <w:top w:val="single" w:sz="4" w:space="0" w:color="BFBFBF" w:themeColor="background1" w:themeShade="BF"/>
              <w:bottom w:val="single" w:sz="4" w:space="0" w:color="BFBFBF" w:themeColor="background1" w:themeShade="BF"/>
            </w:tcBorders>
          </w:tcPr>
          <w:p w14:paraId="3117A0FB" w14:textId="77777777" w:rsidR="008644DA" w:rsidRPr="00195310" w:rsidRDefault="008644DA">
            <w:pPr>
              <w:pStyle w:val="ARtabletextright"/>
              <w:spacing w:before="30" w:after="20"/>
            </w:pPr>
            <w:r w:rsidRPr="00195310">
              <w:t>2.5</w:t>
            </w:r>
          </w:p>
        </w:tc>
        <w:tc>
          <w:tcPr>
            <w:tcW w:w="1134" w:type="dxa"/>
            <w:tcBorders>
              <w:top w:val="single" w:sz="4" w:space="0" w:color="BFBFBF" w:themeColor="background1" w:themeShade="BF"/>
              <w:bottom w:val="single" w:sz="4" w:space="0" w:color="BFBFBF" w:themeColor="background1" w:themeShade="BF"/>
            </w:tcBorders>
          </w:tcPr>
          <w:p w14:paraId="72879CCA" w14:textId="77777777" w:rsidR="008644DA" w:rsidRPr="00195310" w:rsidRDefault="008644DA">
            <w:pPr>
              <w:pStyle w:val="ARtabletextright"/>
              <w:spacing w:before="30" w:after="20"/>
            </w:pPr>
            <w:r w:rsidRPr="00195310">
              <w:t>919</w:t>
            </w:r>
          </w:p>
        </w:tc>
        <w:tc>
          <w:tcPr>
            <w:tcW w:w="1134" w:type="dxa"/>
            <w:tcBorders>
              <w:top w:val="single" w:sz="4" w:space="0" w:color="BFBFBF" w:themeColor="background1" w:themeShade="BF"/>
              <w:bottom w:val="single" w:sz="4" w:space="0" w:color="BFBFBF" w:themeColor="background1" w:themeShade="BF"/>
            </w:tcBorders>
          </w:tcPr>
          <w:p w14:paraId="5796E8E4" w14:textId="77777777" w:rsidR="008644DA" w:rsidRPr="00195310" w:rsidRDefault="008644DA">
            <w:pPr>
              <w:pStyle w:val="ARtabletextright"/>
              <w:spacing w:before="30" w:after="20"/>
            </w:pPr>
            <w:r w:rsidRPr="00195310">
              <w:t>0.9</w:t>
            </w:r>
          </w:p>
        </w:tc>
      </w:tr>
      <w:tr w:rsidR="008644DA" w:rsidRPr="00F8705E" w14:paraId="664BA983"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40B8DE34" w14:textId="77777777" w:rsidR="008644DA" w:rsidRPr="00380ECD" w:rsidRDefault="008644DA">
            <w:pPr>
              <w:pStyle w:val="ARtabletext"/>
              <w:spacing w:before="30" w:after="20"/>
              <w:rPr>
                <w:rFonts w:eastAsia="Calibri"/>
                <w:color w:val="000000" w:themeColor="text1"/>
              </w:rPr>
            </w:pPr>
            <w:r w:rsidRPr="00380ECD">
              <w:t xml:space="preserve">Paper (confidential) </w:t>
            </w:r>
            <w:r w:rsidRPr="00380ECD">
              <w:rPr>
                <w:rStyle w:val="FootnoteReference"/>
              </w:rPr>
              <w:footnoteReference w:id="24"/>
            </w:r>
          </w:p>
        </w:tc>
        <w:tc>
          <w:tcPr>
            <w:tcW w:w="1134" w:type="dxa"/>
            <w:tcBorders>
              <w:top w:val="single" w:sz="4" w:space="0" w:color="BFBFBF" w:themeColor="background1" w:themeShade="BF"/>
              <w:bottom w:val="single" w:sz="4" w:space="0" w:color="BFBFBF" w:themeColor="background1" w:themeShade="BF"/>
            </w:tcBorders>
          </w:tcPr>
          <w:p w14:paraId="0F3135E7" w14:textId="77777777" w:rsidR="008644DA" w:rsidRPr="00380ECD" w:rsidRDefault="008644DA">
            <w:pPr>
              <w:pStyle w:val="ARtabletextright"/>
              <w:spacing w:before="30" w:after="20"/>
            </w:pPr>
            <w:r w:rsidRPr="00380ECD">
              <w:t>260,361</w:t>
            </w:r>
          </w:p>
        </w:tc>
        <w:tc>
          <w:tcPr>
            <w:tcW w:w="1134" w:type="dxa"/>
            <w:tcBorders>
              <w:top w:val="single" w:sz="4" w:space="0" w:color="BFBFBF" w:themeColor="background1" w:themeShade="BF"/>
              <w:bottom w:val="single" w:sz="4" w:space="0" w:color="BFBFBF" w:themeColor="background1" w:themeShade="BF"/>
            </w:tcBorders>
          </w:tcPr>
          <w:p w14:paraId="6DED9D8E" w14:textId="77777777" w:rsidR="008644DA" w:rsidRPr="00380ECD" w:rsidRDefault="008644DA">
            <w:pPr>
              <w:pStyle w:val="ARtabletextright"/>
              <w:spacing w:before="30" w:after="20"/>
            </w:pPr>
            <w:r w:rsidRPr="00380ECD">
              <w:t>68.7</w:t>
            </w:r>
          </w:p>
        </w:tc>
        <w:tc>
          <w:tcPr>
            <w:tcW w:w="1134" w:type="dxa"/>
            <w:tcBorders>
              <w:top w:val="single" w:sz="4" w:space="0" w:color="BFBFBF" w:themeColor="background1" w:themeShade="BF"/>
              <w:bottom w:val="single" w:sz="4" w:space="0" w:color="BFBFBF" w:themeColor="background1" w:themeShade="BF"/>
            </w:tcBorders>
          </w:tcPr>
          <w:p w14:paraId="4FC24B18" w14:textId="77777777" w:rsidR="008644DA" w:rsidRPr="00195310" w:rsidRDefault="008644DA">
            <w:pPr>
              <w:pStyle w:val="ARtabletextright"/>
              <w:spacing w:before="30" w:after="20"/>
            </w:pPr>
            <w:r w:rsidRPr="00195310">
              <w:t>40,777.4</w:t>
            </w:r>
          </w:p>
        </w:tc>
        <w:tc>
          <w:tcPr>
            <w:tcW w:w="1134" w:type="dxa"/>
            <w:tcBorders>
              <w:top w:val="single" w:sz="4" w:space="0" w:color="BFBFBF" w:themeColor="background1" w:themeShade="BF"/>
              <w:bottom w:val="single" w:sz="4" w:space="0" w:color="BFBFBF" w:themeColor="background1" w:themeShade="BF"/>
            </w:tcBorders>
          </w:tcPr>
          <w:p w14:paraId="6BC7B0F5" w14:textId="77777777" w:rsidR="008644DA" w:rsidRPr="00195310" w:rsidRDefault="008644DA">
            <w:pPr>
              <w:pStyle w:val="ARtabletextright"/>
              <w:spacing w:before="30" w:after="20"/>
            </w:pPr>
            <w:r w:rsidRPr="00195310">
              <w:t>29.7</w:t>
            </w:r>
          </w:p>
        </w:tc>
        <w:tc>
          <w:tcPr>
            <w:tcW w:w="1134" w:type="dxa"/>
            <w:tcBorders>
              <w:top w:val="single" w:sz="4" w:space="0" w:color="BFBFBF" w:themeColor="background1" w:themeShade="BF"/>
              <w:bottom w:val="single" w:sz="4" w:space="0" w:color="BFBFBF" w:themeColor="background1" w:themeShade="BF"/>
            </w:tcBorders>
          </w:tcPr>
          <w:p w14:paraId="66DC8DA7" w14:textId="77777777" w:rsidR="008644DA" w:rsidRPr="00195310" w:rsidRDefault="008644DA">
            <w:pPr>
              <w:pStyle w:val="ARtabletextright"/>
              <w:spacing w:before="30" w:after="20"/>
            </w:pPr>
            <w:r w:rsidRPr="00195310">
              <w:t>42,060.3</w:t>
            </w:r>
          </w:p>
        </w:tc>
        <w:tc>
          <w:tcPr>
            <w:tcW w:w="1134" w:type="dxa"/>
            <w:tcBorders>
              <w:top w:val="single" w:sz="4" w:space="0" w:color="BFBFBF" w:themeColor="background1" w:themeShade="BF"/>
              <w:bottom w:val="single" w:sz="4" w:space="0" w:color="BFBFBF" w:themeColor="background1" w:themeShade="BF"/>
            </w:tcBorders>
          </w:tcPr>
          <w:p w14:paraId="36333A2D" w14:textId="77777777" w:rsidR="008644DA" w:rsidRPr="00195310" w:rsidRDefault="008644DA">
            <w:pPr>
              <w:pStyle w:val="ARtabletextright"/>
              <w:spacing w:before="30" w:after="20"/>
            </w:pPr>
            <w:r w:rsidRPr="00195310">
              <w:t>40.3</w:t>
            </w:r>
          </w:p>
        </w:tc>
      </w:tr>
      <w:tr w:rsidR="008644DA" w:rsidRPr="00F8705E" w14:paraId="3AA53882" w14:textId="77777777">
        <w:trPr>
          <w:cantSplit w:val="0"/>
          <w:trHeight w:val="225"/>
        </w:trPr>
        <w:tc>
          <w:tcPr>
            <w:tcW w:w="2835" w:type="dxa"/>
            <w:tcBorders>
              <w:top w:val="single" w:sz="4" w:space="0" w:color="BFBFBF" w:themeColor="background1" w:themeShade="BF"/>
              <w:bottom w:val="single" w:sz="4" w:space="0" w:color="BFBFBF" w:themeColor="background1" w:themeShade="BF"/>
            </w:tcBorders>
          </w:tcPr>
          <w:p w14:paraId="7FB2E645" w14:textId="77777777" w:rsidR="008644DA" w:rsidRPr="00380ECD" w:rsidRDefault="008644DA">
            <w:pPr>
              <w:pStyle w:val="ARtabletext"/>
              <w:spacing w:before="30" w:after="20"/>
            </w:pPr>
            <w:r w:rsidRPr="00380ECD">
              <w:t>Paper (recycling)</w:t>
            </w:r>
          </w:p>
        </w:tc>
        <w:tc>
          <w:tcPr>
            <w:tcW w:w="1134" w:type="dxa"/>
            <w:tcBorders>
              <w:top w:val="single" w:sz="4" w:space="0" w:color="BFBFBF" w:themeColor="background1" w:themeShade="BF"/>
              <w:bottom w:val="single" w:sz="4" w:space="0" w:color="BFBFBF" w:themeColor="background1" w:themeShade="BF"/>
            </w:tcBorders>
          </w:tcPr>
          <w:p w14:paraId="0D38E38C" w14:textId="77777777" w:rsidR="008644DA" w:rsidRPr="00380ECD" w:rsidRDefault="008644DA">
            <w:pPr>
              <w:pStyle w:val="ARtabletextright"/>
              <w:spacing w:before="30" w:after="20"/>
            </w:pPr>
            <w:r w:rsidRPr="00380ECD">
              <w:t>19,372.5</w:t>
            </w:r>
          </w:p>
        </w:tc>
        <w:tc>
          <w:tcPr>
            <w:tcW w:w="1134" w:type="dxa"/>
            <w:tcBorders>
              <w:top w:val="single" w:sz="4" w:space="0" w:color="BFBFBF" w:themeColor="background1" w:themeShade="BF"/>
              <w:bottom w:val="single" w:sz="4" w:space="0" w:color="BFBFBF" w:themeColor="background1" w:themeShade="BF"/>
            </w:tcBorders>
          </w:tcPr>
          <w:p w14:paraId="5A7E3CB6" w14:textId="77777777" w:rsidR="008644DA" w:rsidRPr="00380ECD" w:rsidRDefault="008644DA">
            <w:pPr>
              <w:pStyle w:val="ARtabletextright"/>
              <w:spacing w:before="30" w:after="20"/>
            </w:pPr>
            <w:r w:rsidRPr="00380ECD">
              <w:t>5.1</w:t>
            </w:r>
          </w:p>
        </w:tc>
        <w:tc>
          <w:tcPr>
            <w:tcW w:w="1134" w:type="dxa"/>
            <w:tcBorders>
              <w:top w:val="single" w:sz="4" w:space="0" w:color="BFBFBF" w:themeColor="background1" w:themeShade="BF"/>
              <w:bottom w:val="single" w:sz="4" w:space="0" w:color="BFBFBF" w:themeColor="background1" w:themeShade="BF"/>
            </w:tcBorders>
          </w:tcPr>
          <w:p w14:paraId="37EBFD91" w14:textId="77777777" w:rsidR="008644DA" w:rsidRPr="00195310" w:rsidRDefault="008644DA">
            <w:pPr>
              <w:pStyle w:val="ARtabletextright"/>
              <w:spacing w:before="30" w:after="20"/>
            </w:pPr>
            <w:r w:rsidRPr="00195310">
              <w:t>4,442.7</w:t>
            </w:r>
          </w:p>
        </w:tc>
        <w:tc>
          <w:tcPr>
            <w:tcW w:w="1134" w:type="dxa"/>
            <w:tcBorders>
              <w:top w:val="single" w:sz="4" w:space="0" w:color="BFBFBF" w:themeColor="background1" w:themeShade="BF"/>
              <w:bottom w:val="single" w:sz="4" w:space="0" w:color="BFBFBF" w:themeColor="background1" w:themeShade="BF"/>
            </w:tcBorders>
          </w:tcPr>
          <w:p w14:paraId="736B6948" w14:textId="77777777" w:rsidR="008644DA" w:rsidRPr="00195310" w:rsidRDefault="008644DA">
            <w:pPr>
              <w:pStyle w:val="ARtabletextright"/>
              <w:spacing w:before="30" w:after="20"/>
            </w:pPr>
            <w:r w:rsidRPr="00195310">
              <w:t>3.2</w:t>
            </w:r>
          </w:p>
        </w:tc>
        <w:tc>
          <w:tcPr>
            <w:tcW w:w="1134" w:type="dxa"/>
            <w:tcBorders>
              <w:top w:val="single" w:sz="4" w:space="0" w:color="BFBFBF" w:themeColor="background1" w:themeShade="BF"/>
              <w:bottom w:val="single" w:sz="4" w:space="0" w:color="BFBFBF" w:themeColor="background1" w:themeShade="BF"/>
            </w:tcBorders>
          </w:tcPr>
          <w:p w14:paraId="7AB2E58A" w14:textId="77777777" w:rsidR="008644DA" w:rsidRPr="00195310" w:rsidRDefault="008644DA">
            <w:pPr>
              <w:pStyle w:val="ARtabletextright"/>
              <w:spacing w:before="30" w:after="20"/>
            </w:pPr>
            <w:r w:rsidRPr="00195310">
              <w:t>5548.4</w:t>
            </w:r>
          </w:p>
        </w:tc>
        <w:tc>
          <w:tcPr>
            <w:tcW w:w="1134" w:type="dxa"/>
            <w:tcBorders>
              <w:top w:val="single" w:sz="4" w:space="0" w:color="BFBFBF" w:themeColor="background1" w:themeShade="BF"/>
              <w:bottom w:val="single" w:sz="4" w:space="0" w:color="BFBFBF" w:themeColor="background1" w:themeShade="BF"/>
            </w:tcBorders>
          </w:tcPr>
          <w:p w14:paraId="3C1CDF09" w14:textId="77777777" w:rsidR="008644DA" w:rsidRPr="00195310" w:rsidRDefault="008644DA">
            <w:pPr>
              <w:pStyle w:val="ARtabletextright"/>
              <w:spacing w:before="30" w:after="20"/>
            </w:pPr>
            <w:r w:rsidRPr="00195310">
              <w:t>5.3</w:t>
            </w:r>
          </w:p>
        </w:tc>
      </w:tr>
      <w:tr w:rsidR="008644DA" w:rsidRPr="00F8705E" w14:paraId="3D58688C" w14:textId="77777777">
        <w:trPr>
          <w:cantSplit w:val="0"/>
          <w:trHeight w:val="240"/>
        </w:trPr>
        <w:tc>
          <w:tcPr>
            <w:tcW w:w="2835" w:type="dxa"/>
            <w:tcBorders>
              <w:top w:val="single" w:sz="4" w:space="0" w:color="BFBFBF" w:themeColor="background1" w:themeShade="BF"/>
            </w:tcBorders>
          </w:tcPr>
          <w:p w14:paraId="6F759DB4" w14:textId="77777777" w:rsidR="008644DA" w:rsidRPr="00380ECD" w:rsidRDefault="008644DA">
            <w:pPr>
              <w:pStyle w:val="ARtabletext"/>
              <w:spacing w:before="30" w:after="20"/>
            </w:pPr>
            <w:r w:rsidRPr="00380ECD">
              <w:t xml:space="preserve">Toners and print cartridges </w:t>
            </w:r>
            <w:r w:rsidRPr="00380ECD">
              <w:rPr>
                <w:rStyle w:val="FootnoteReference"/>
              </w:rPr>
              <w:footnoteReference w:id="25"/>
            </w:r>
          </w:p>
        </w:tc>
        <w:tc>
          <w:tcPr>
            <w:tcW w:w="1134" w:type="dxa"/>
            <w:tcBorders>
              <w:top w:val="single" w:sz="4" w:space="0" w:color="BFBFBF" w:themeColor="background1" w:themeShade="BF"/>
            </w:tcBorders>
          </w:tcPr>
          <w:p w14:paraId="0E2FF15D" w14:textId="2E03A308" w:rsidR="008644DA" w:rsidRPr="00380ECD" w:rsidRDefault="00F91DB1">
            <w:pPr>
              <w:pStyle w:val="ARtabletextright"/>
              <w:spacing w:before="30" w:after="20"/>
            </w:pPr>
            <w:r>
              <w:t>–</w:t>
            </w:r>
          </w:p>
        </w:tc>
        <w:tc>
          <w:tcPr>
            <w:tcW w:w="1134" w:type="dxa"/>
            <w:tcBorders>
              <w:top w:val="single" w:sz="4" w:space="0" w:color="BFBFBF" w:themeColor="background1" w:themeShade="BF"/>
            </w:tcBorders>
          </w:tcPr>
          <w:p w14:paraId="604B30B5" w14:textId="70DF17D5" w:rsidR="008644DA" w:rsidRPr="00380ECD" w:rsidRDefault="00F91DB1">
            <w:pPr>
              <w:pStyle w:val="ARtabletextright"/>
              <w:spacing w:before="30" w:after="20"/>
            </w:pPr>
            <w:r>
              <w:t>–</w:t>
            </w:r>
          </w:p>
        </w:tc>
        <w:tc>
          <w:tcPr>
            <w:tcW w:w="1134" w:type="dxa"/>
            <w:tcBorders>
              <w:top w:val="single" w:sz="4" w:space="0" w:color="BFBFBF" w:themeColor="background1" w:themeShade="BF"/>
            </w:tcBorders>
          </w:tcPr>
          <w:p w14:paraId="3F988B3C" w14:textId="77777777" w:rsidR="008644DA" w:rsidRPr="00AC3C26" w:rsidRDefault="008644DA">
            <w:pPr>
              <w:pStyle w:val="ARtabletextright"/>
              <w:spacing w:before="30" w:after="20"/>
            </w:pPr>
            <w:r w:rsidRPr="00AC3C26">
              <w:t>611.3</w:t>
            </w:r>
          </w:p>
        </w:tc>
        <w:tc>
          <w:tcPr>
            <w:tcW w:w="1134" w:type="dxa"/>
            <w:tcBorders>
              <w:top w:val="single" w:sz="4" w:space="0" w:color="BFBFBF" w:themeColor="background1" w:themeShade="BF"/>
            </w:tcBorders>
          </w:tcPr>
          <w:p w14:paraId="5A2263D2" w14:textId="77777777" w:rsidR="008644DA" w:rsidRPr="00195310" w:rsidRDefault="008644DA">
            <w:pPr>
              <w:pStyle w:val="ARtabletextright"/>
              <w:spacing w:before="30" w:after="20"/>
            </w:pPr>
            <w:r w:rsidRPr="00195310">
              <w:t>0.5</w:t>
            </w:r>
          </w:p>
        </w:tc>
        <w:tc>
          <w:tcPr>
            <w:tcW w:w="1134" w:type="dxa"/>
            <w:tcBorders>
              <w:top w:val="single" w:sz="4" w:space="0" w:color="BFBFBF" w:themeColor="background1" w:themeShade="BF"/>
            </w:tcBorders>
          </w:tcPr>
          <w:p w14:paraId="745C661F" w14:textId="77777777" w:rsidR="008644DA" w:rsidRPr="00195310" w:rsidRDefault="008644DA">
            <w:pPr>
              <w:pStyle w:val="ARtabletextright"/>
              <w:spacing w:before="30" w:after="20"/>
            </w:pPr>
            <w:r w:rsidRPr="00195310">
              <w:t>405.2</w:t>
            </w:r>
          </w:p>
        </w:tc>
        <w:tc>
          <w:tcPr>
            <w:tcW w:w="1134" w:type="dxa"/>
            <w:tcBorders>
              <w:top w:val="single" w:sz="4" w:space="0" w:color="BFBFBF" w:themeColor="background1" w:themeShade="BF"/>
            </w:tcBorders>
          </w:tcPr>
          <w:p w14:paraId="17C6B69D" w14:textId="77777777" w:rsidR="008644DA" w:rsidRPr="00195310" w:rsidRDefault="008644DA">
            <w:pPr>
              <w:pStyle w:val="ARtabletextright"/>
              <w:spacing w:before="30" w:after="20"/>
            </w:pPr>
            <w:r w:rsidRPr="00195310">
              <w:t>0.4</w:t>
            </w:r>
          </w:p>
        </w:tc>
      </w:tr>
      <w:tr w:rsidR="008644DA" w:rsidRPr="00F8705E" w14:paraId="0617FE93" w14:textId="77777777">
        <w:trPr>
          <w:cantSplit w:val="0"/>
          <w:trHeight w:val="225"/>
        </w:trPr>
        <w:tc>
          <w:tcPr>
            <w:tcW w:w="2835" w:type="dxa"/>
            <w:tcBorders>
              <w:bottom w:val="single" w:sz="4" w:space="0" w:color="auto"/>
            </w:tcBorders>
          </w:tcPr>
          <w:p w14:paraId="03AF8F97" w14:textId="77777777" w:rsidR="008644DA" w:rsidRPr="00380ECD" w:rsidRDefault="008644DA">
            <w:pPr>
              <w:pStyle w:val="ARtabletextbold"/>
              <w:spacing w:before="30" w:after="20"/>
            </w:pPr>
            <w:r w:rsidRPr="00380ECD">
              <w:t xml:space="preserve">WR1 Total units </w:t>
            </w:r>
            <w:r w:rsidRPr="00380ECD">
              <w:br/>
              <w:t>of waste disposed</w:t>
            </w:r>
          </w:p>
        </w:tc>
        <w:tc>
          <w:tcPr>
            <w:tcW w:w="1134" w:type="dxa"/>
            <w:tcBorders>
              <w:bottom w:val="single" w:sz="4" w:space="0" w:color="auto"/>
            </w:tcBorders>
          </w:tcPr>
          <w:p w14:paraId="01244756" w14:textId="77777777" w:rsidR="008644DA" w:rsidRPr="00380ECD" w:rsidRDefault="008644DA">
            <w:pPr>
              <w:pStyle w:val="ARtabletextrightbold"/>
              <w:spacing w:before="30" w:after="20"/>
            </w:pPr>
            <w:r w:rsidRPr="00380ECD">
              <w:t>379,132.1</w:t>
            </w:r>
          </w:p>
        </w:tc>
        <w:tc>
          <w:tcPr>
            <w:tcW w:w="1134" w:type="dxa"/>
            <w:tcBorders>
              <w:bottom w:val="single" w:sz="4" w:space="0" w:color="auto"/>
            </w:tcBorders>
          </w:tcPr>
          <w:p w14:paraId="67D1598C" w14:textId="77777777" w:rsidR="008644DA" w:rsidRPr="00380ECD" w:rsidRDefault="008644DA">
            <w:pPr>
              <w:pStyle w:val="ARtabletextrightbold"/>
              <w:spacing w:before="30" w:after="20"/>
            </w:pPr>
          </w:p>
        </w:tc>
        <w:tc>
          <w:tcPr>
            <w:tcW w:w="1134" w:type="dxa"/>
            <w:tcBorders>
              <w:bottom w:val="single" w:sz="4" w:space="0" w:color="auto"/>
            </w:tcBorders>
          </w:tcPr>
          <w:p w14:paraId="65654F9C" w14:textId="77777777" w:rsidR="008644DA" w:rsidRPr="00195310" w:rsidRDefault="008644DA">
            <w:pPr>
              <w:pStyle w:val="ARtabletextrightbold"/>
              <w:spacing w:before="30" w:after="20"/>
            </w:pPr>
            <w:r w:rsidRPr="00195310">
              <w:t>137,338.9</w:t>
            </w:r>
          </w:p>
        </w:tc>
        <w:tc>
          <w:tcPr>
            <w:tcW w:w="1134" w:type="dxa"/>
            <w:tcBorders>
              <w:bottom w:val="single" w:sz="4" w:space="0" w:color="auto"/>
            </w:tcBorders>
          </w:tcPr>
          <w:p w14:paraId="7AAC13B9" w14:textId="77777777" w:rsidR="008644DA" w:rsidRPr="00195310" w:rsidRDefault="008644DA">
            <w:pPr>
              <w:pStyle w:val="ARtabletextrightbold"/>
              <w:spacing w:before="30" w:after="20"/>
            </w:pPr>
          </w:p>
        </w:tc>
        <w:tc>
          <w:tcPr>
            <w:tcW w:w="1134" w:type="dxa"/>
            <w:tcBorders>
              <w:bottom w:val="single" w:sz="4" w:space="0" w:color="auto"/>
            </w:tcBorders>
          </w:tcPr>
          <w:p w14:paraId="367D8A4E" w14:textId="77777777" w:rsidR="008644DA" w:rsidRPr="00195310" w:rsidRDefault="008644DA">
            <w:pPr>
              <w:pStyle w:val="ARtabletextrightbold"/>
              <w:spacing w:before="30" w:after="20"/>
            </w:pPr>
            <w:r w:rsidRPr="00195310">
              <w:t>104,365.7</w:t>
            </w:r>
          </w:p>
        </w:tc>
        <w:tc>
          <w:tcPr>
            <w:tcW w:w="1134" w:type="dxa"/>
            <w:tcBorders>
              <w:bottom w:val="single" w:sz="4" w:space="0" w:color="auto"/>
            </w:tcBorders>
          </w:tcPr>
          <w:p w14:paraId="092FB3F9" w14:textId="77777777" w:rsidR="008644DA" w:rsidRPr="00195310" w:rsidRDefault="008644DA">
            <w:pPr>
              <w:pStyle w:val="ARtabletextrightbold"/>
              <w:spacing w:before="30" w:after="20"/>
            </w:pPr>
          </w:p>
        </w:tc>
      </w:tr>
    </w:tbl>
    <w:p w14:paraId="618DF9D5" w14:textId="77777777" w:rsidR="008644DA" w:rsidRPr="00195310" w:rsidRDefault="008644DA" w:rsidP="00A95A18">
      <w:pPr>
        <w:pStyle w:val="ARtablecaption"/>
      </w:pPr>
      <w:r w:rsidRPr="00195310">
        <w:t>Percentage of office sites which are covered by dedicated collection services</w:t>
      </w:r>
    </w:p>
    <w:tbl>
      <w:tblPr>
        <w:tblStyle w:val="TableGrid"/>
        <w:tblW w:w="9639" w:type="dxa"/>
        <w:tblLayout w:type="fixed"/>
        <w:tblLook w:val="06A0" w:firstRow="1" w:lastRow="0" w:firstColumn="1" w:lastColumn="0" w:noHBand="1" w:noVBand="1"/>
      </w:tblPr>
      <w:tblGrid>
        <w:gridCol w:w="4536"/>
        <w:gridCol w:w="1701"/>
        <w:gridCol w:w="1701"/>
        <w:gridCol w:w="1701"/>
      </w:tblGrid>
      <w:tr w:rsidR="008644DA" w:rsidRPr="00E5400D" w14:paraId="3433C8EF" w14:textId="77777777">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1EB65592" w14:textId="77777777" w:rsidR="008644DA" w:rsidRPr="00195310" w:rsidRDefault="008644DA">
            <w:pPr>
              <w:pStyle w:val="ARtablecolhead"/>
              <w:spacing w:before="30" w:after="20"/>
              <w:rPr>
                <w:i/>
              </w:rPr>
            </w:pPr>
            <w:r w:rsidRPr="00195310">
              <w:t>Waste type</w:t>
            </w:r>
          </w:p>
        </w:tc>
        <w:tc>
          <w:tcPr>
            <w:tcW w:w="1701" w:type="dxa"/>
            <w:tcBorders>
              <w:bottom w:val="single" w:sz="4" w:space="0" w:color="auto"/>
            </w:tcBorders>
          </w:tcPr>
          <w:p w14:paraId="53FD78D0" w14:textId="77777777" w:rsidR="008644DA" w:rsidRPr="00195310" w:rsidRDefault="008644DA">
            <w:pPr>
              <w:pStyle w:val="ARtablecolheadright"/>
              <w:spacing w:before="30" w:after="20"/>
            </w:pPr>
            <w:r w:rsidRPr="00195310">
              <w:t>2023–24</w:t>
            </w:r>
          </w:p>
          <w:p w14:paraId="3E1094EF" w14:textId="77777777" w:rsidR="008644DA" w:rsidRPr="00195310" w:rsidRDefault="008644DA">
            <w:pPr>
              <w:pStyle w:val="ARtablecolheadright"/>
              <w:spacing w:before="30" w:after="20"/>
              <w:rPr>
                <w:i/>
              </w:rPr>
            </w:pPr>
            <w:r w:rsidRPr="00195310">
              <w:t>%</w:t>
            </w:r>
          </w:p>
        </w:tc>
        <w:tc>
          <w:tcPr>
            <w:tcW w:w="1701" w:type="dxa"/>
            <w:tcBorders>
              <w:bottom w:val="single" w:sz="4" w:space="0" w:color="auto"/>
            </w:tcBorders>
          </w:tcPr>
          <w:p w14:paraId="1D2E78B5" w14:textId="77777777" w:rsidR="008644DA" w:rsidRPr="00195310" w:rsidRDefault="008644DA">
            <w:pPr>
              <w:pStyle w:val="ARtablecolheadright"/>
              <w:spacing w:before="30" w:after="20"/>
            </w:pPr>
            <w:r w:rsidRPr="00195310">
              <w:t>2022–23</w:t>
            </w:r>
          </w:p>
          <w:p w14:paraId="1AD9701A" w14:textId="77777777" w:rsidR="008644DA" w:rsidRPr="00195310" w:rsidRDefault="008644DA">
            <w:pPr>
              <w:pStyle w:val="ARtablecolheadright"/>
              <w:spacing w:before="30" w:after="20"/>
              <w:rPr>
                <w:i/>
              </w:rPr>
            </w:pPr>
            <w:r w:rsidRPr="00195310" w:rsidDel="00B96BEF">
              <w:t>%</w:t>
            </w:r>
          </w:p>
        </w:tc>
        <w:tc>
          <w:tcPr>
            <w:tcW w:w="1701" w:type="dxa"/>
            <w:tcBorders>
              <w:bottom w:val="single" w:sz="4" w:space="0" w:color="auto"/>
            </w:tcBorders>
          </w:tcPr>
          <w:p w14:paraId="22AE5FB4" w14:textId="77777777" w:rsidR="008644DA" w:rsidRPr="00195310" w:rsidRDefault="008644DA">
            <w:pPr>
              <w:pStyle w:val="ARtablecolheadright"/>
              <w:spacing w:before="30" w:after="20"/>
            </w:pPr>
            <w:r w:rsidRPr="00195310">
              <w:t>2021–22</w:t>
            </w:r>
          </w:p>
          <w:p w14:paraId="169A3018" w14:textId="77777777" w:rsidR="008644DA" w:rsidRPr="00195310" w:rsidRDefault="008644DA">
            <w:pPr>
              <w:pStyle w:val="ARtablecolheadright"/>
              <w:spacing w:before="30" w:after="20"/>
              <w:rPr>
                <w:i/>
              </w:rPr>
            </w:pPr>
            <w:r w:rsidRPr="00195310" w:rsidDel="00B96BEF">
              <w:t>%</w:t>
            </w:r>
          </w:p>
        </w:tc>
      </w:tr>
      <w:tr w:rsidR="008644DA" w:rsidRPr="00E5400D" w14:paraId="5F5A5576" w14:textId="77777777">
        <w:trPr>
          <w:cantSplit w:val="0"/>
          <w:trHeight w:val="225"/>
        </w:trPr>
        <w:tc>
          <w:tcPr>
            <w:tcW w:w="4536" w:type="dxa"/>
            <w:tcBorders>
              <w:top w:val="single" w:sz="4" w:space="0" w:color="BFBFBF"/>
              <w:bottom w:val="single" w:sz="4" w:space="0" w:color="BFBFBF"/>
            </w:tcBorders>
          </w:tcPr>
          <w:p w14:paraId="41B045DA" w14:textId="77777777" w:rsidR="008644DA" w:rsidRPr="00195310" w:rsidRDefault="008644DA">
            <w:pPr>
              <w:pStyle w:val="ARtabletext"/>
              <w:spacing w:before="30" w:after="20"/>
            </w:pPr>
            <w:r w:rsidRPr="00195310">
              <w:t>Printer cartridges</w:t>
            </w:r>
          </w:p>
        </w:tc>
        <w:tc>
          <w:tcPr>
            <w:tcW w:w="1701" w:type="dxa"/>
            <w:tcBorders>
              <w:top w:val="single" w:sz="4" w:space="0" w:color="BFBFBF"/>
              <w:bottom w:val="single" w:sz="4" w:space="0" w:color="BFBFBF"/>
            </w:tcBorders>
          </w:tcPr>
          <w:p w14:paraId="22748B8C" w14:textId="77777777" w:rsidR="008644DA" w:rsidRPr="00195310" w:rsidRDefault="008644DA">
            <w:pPr>
              <w:pStyle w:val="ARtabletextright"/>
              <w:spacing w:before="30" w:after="20"/>
            </w:pPr>
            <w:r w:rsidRPr="00195310">
              <w:t>100</w:t>
            </w:r>
          </w:p>
        </w:tc>
        <w:tc>
          <w:tcPr>
            <w:tcW w:w="1701" w:type="dxa"/>
            <w:tcBorders>
              <w:top w:val="single" w:sz="4" w:space="0" w:color="BFBFBF"/>
              <w:bottom w:val="single" w:sz="4" w:space="0" w:color="BFBFBF"/>
            </w:tcBorders>
          </w:tcPr>
          <w:p w14:paraId="6C1A3B0B" w14:textId="77777777" w:rsidR="008644DA" w:rsidRPr="00195310" w:rsidRDefault="008644DA">
            <w:pPr>
              <w:pStyle w:val="ARtabletextright"/>
              <w:spacing w:before="30" w:after="20"/>
            </w:pPr>
            <w:r w:rsidRPr="00195310">
              <w:t>100</w:t>
            </w:r>
          </w:p>
        </w:tc>
        <w:tc>
          <w:tcPr>
            <w:tcW w:w="1701" w:type="dxa"/>
            <w:tcBorders>
              <w:top w:val="single" w:sz="4" w:space="0" w:color="BFBFBF"/>
              <w:bottom w:val="single" w:sz="4" w:space="0" w:color="BFBFBF"/>
            </w:tcBorders>
          </w:tcPr>
          <w:p w14:paraId="4558163F" w14:textId="77777777" w:rsidR="008644DA" w:rsidRPr="00195310" w:rsidRDefault="008644DA">
            <w:pPr>
              <w:pStyle w:val="ARtabletextright"/>
              <w:spacing w:before="30" w:after="20"/>
            </w:pPr>
            <w:r w:rsidRPr="00195310">
              <w:t>NA</w:t>
            </w:r>
          </w:p>
        </w:tc>
      </w:tr>
      <w:tr w:rsidR="008644DA" w:rsidRPr="00E5400D" w14:paraId="2DB40F0A" w14:textId="77777777">
        <w:trPr>
          <w:cantSplit w:val="0"/>
          <w:trHeight w:val="225"/>
        </w:trPr>
        <w:tc>
          <w:tcPr>
            <w:tcW w:w="4536" w:type="dxa"/>
            <w:tcBorders>
              <w:top w:val="single" w:sz="4" w:space="0" w:color="BFBFBF"/>
              <w:bottom w:val="single" w:sz="4" w:space="0" w:color="BFBFBF"/>
            </w:tcBorders>
          </w:tcPr>
          <w:p w14:paraId="278D8342" w14:textId="77777777" w:rsidR="008644DA" w:rsidRPr="00195310" w:rsidRDefault="008644DA">
            <w:pPr>
              <w:pStyle w:val="ARtabletext"/>
              <w:spacing w:before="30" w:after="20"/>
            </w:pPr>
            <w:r w:rsidRPr="00195310">
              <w:t>Batteries</w:t>
            </w:r>
          </w:p>
        </w:tc>
        <w:tc>
          <w:tcPr>
            <w:tcW w:w="1701" w:type="dxa"/>
            <w:tcBorders>
              <w:top w:val="single" w:sz="4" w:space="0" w:color="BFBFBF"/>
              <w:bottom w:val="single" w:sz="4" w:space="0" w:color="BFBFBF"/>
            </w:tcBorders>
          </w:tcPr>
          <w:p w14:paraId="7AF14A53" w14:textId="77777777" w:rsidR="008644DA" w:rsidRPr="00195310" w:rsidRDefault="008644DA">
            <w:pPr>
              <w:pStyle w:val="ARtabletextright"/>
              <w:spacing w:before="30" w:after="20"/>
            </w:pPr>
            <w:r w:rsidRPr="00195310">
              <w:t>0</w:t>
            </w:r>
          </w:p>
        </w:tc>
        <w:tc>
          <w:tcPr>
            <w:tcW w:w="1701" w:type="dxa"/>
            <w:tcBorders>
              <w:top w:val="single" w:sz="4" w:space="0" w:color="BFBFBF"/>
              <w:bottom w:val="single" w:sz="4" w:space="0" w:color="BFBFBF"/>
            </w:tcBorders>
          </w:tcPr>
          <w:p w14:paraId="15BD39B5" w14:textId="77777777" w:rsidR="008644DA" w:rsidRPr="00195310" w:rsidRDefault="008644DA">
            <w:pPr>
              <w:pStyle w:val="ARtabletextright"/>
              <w:spacing w:before="30" w:after="20"/>
            </w:pPr>
            <w:r w:rsidRPr="00195310">
              <w:t>0</w:t>
            </w:r>
          </w:p>
        </w:tc>
        <w:tc>
          <w:tcPr>
            <w:tcW w:w="1701" w:type="dxa"/>
            <w:tcBorders>
              <w:top w:val="single" w:sz="4" w:space="0" w:color="BFBFBF"/>
              <w:bottom w:val="single" w:sz="4" w:space="0" w:color="BFBFBF"/>
            </w:tcBorders>
          </w:tcPr>
          <w:p w14:paraId="175B896E" w14:textId="77777777" w:rsidR="008644DA" w:rsidRPr="00195310" w:rsidRDefault="008644DA">
            <w:pPr>
              <w:pStyle w:val="ARtabletextright"/>
              <w:spacing w:before="30" w:after="20"/>
            </w:pPr>
            <w:r w:rsidRPr="00195310">
              <w:t>NA</w:t>
            </w:r>
          </w:p>
        </w:tc>
      </w:tr>
      <w:tr w:rsidR="008644DA" w:rsidRPr="00E5400D" w14:paraId="4E66487A" w14:textId="77777777">
        <w:trPr>
          <w:cantSplit w:val="0"/>
          <w:trHeight w:val="225"/>
        </w:trPr>
        <w:tc>
          <w:tcPr>
            <w:tcW w:w="4536" w:type="dxa"/>
            <w:tcBorders>
              <w:top w:val="single" w:sz="4" w:space="0" w:color="BFBFBF"/>
              <w:bottom w:val="single" w:sz="4" w:space="0" w:color="BFBFBF"/>
            </w:tcBorders>
          </w:tcPr>
          <w:p w14:paraId="6FB1B072" w14:textId="77777777" w:rsidR="008644DA" w:rsidRPr="00195310" w:rsidRDefault="008644DA">
            <w:pPr>
              <w:pStyle w:val="ARtabletext"/>
              <w:spacing w:before="30" w:after="20"/>
            </w:pPr>
            <w:r w:rsidRPr="00195310">
              <w:t xml:space="preserve">E-waste </w:t>
            </w:r>
            <w:r w:rsidRPr="00195310">
              <w:rPr>
                <w:rStyle w:val="FootnoteReference"/>
              </w:rPr>
              <w:footnoteReference w:id="26"/>
            </w:r>
          </w:p>
        </w:tc>
        <w:tc>
          <w:tcPr>
            <w:tcW w:w="1701" w:type="dxa"/>
            <w:tcBorders>
              <w:top w:val="single" w:sz="4" w:space="0" w:color="BFBFBF"/>
              <w:bottom w:val="single" w:sz="4" w:space="0" w:color="BFBFBF"/>
            </w:tcBorders>
          </w:tcPr>
          <w:p w14:paraId="0ECB0000" w14:textId="77777777" w:rsidR="008644DA" w:rsidRPr="00195310" w:rsidRDefault="008644DA">
            <w:pPr>
              <w:pStyle w:val="ARtabletextright"/>
              <w:spacing w:before="30" w:after="20"/>
            </w:pPr>
            <w:r w:rsidRPr="00195310">
              <w:t>100</w:t>
            </w:r>
          </w:p>
        </w:tc>
        <w:tc>
          <w:tcPr>
            <w:tcW w:w="1701" w:type="dxa"/>
            <w:tcBorders>
              <w:top w:val="single" w:sz="4" w:space="0" w:color="BFBFBF"/>
              <w:bottom w:val="single" w:sz="4" w:space="0" w:color="BFBFBF"/>
            </w:tcBorders>
          </w:tcPr>
          <w:p w14:paraId="1CCBB9C6" w14:textId="77777777" w:rsidR="008644DA" w:rsidRPr="00195310" w:rsidRDefault="008644DA">
            <w:pPr>
              <w:pStyle w:val="ARtabletextright"/>
              <w:spacing w:before="30" w:after="20"/>
            </w:pPr>
            <w:r w:rsidRPr="00195310">
              <w:t>100</w:t>
            </w:r>
          </w:p>
        </w:tc>
        <w:tc>
          <w:tcPr>
            <w:tcW w:w="1701" w:type="dxa"/>
            <w:tcBorders>
              <w:top w:val="single" w:sz="4" w:space="0" w:color="BFBFBF"/>
              <w:bottom w:val="single" w:sz="4" w:space="0" w:color="BFBFBF"/>
            </w:tcBorders>
          </w:tcPr>
          <w:p w14:paraId="4EA29621" w14:textId="77777777" w:rsidR="008644DA" w:rsidRPr="00195310" w:rsidRDefault="008644DA">
            <w:pPr>
              <w:pStyle w:val="ARtabletextright"/>
              <w:spacing w:before="30" w:after="20"/>
            </w:pPr>
            <w:r w:rsidRPr="00195310">
              <w:t>NA</w:t>
            </w:r>
          </w:p>
        </w:tc>
      </w:tr>
      <w:tr w:rsidR="008644DA" w:rsidRPr="00F8705E" w14:paraId="7B2D49F3" w14:textId="77777777">
        <w:trPr>
          <w:cantSplit w:val="0"/>
          <w:trHeight w:val="240"/>
        </w:trPr>
        <w:tc>
          <w:tcPr>
            <w:tcW w:w="4536" w:type="dxa"/>
            <w:tcBorders>
              <w:top w:val="single" w:sz="4" w:space="0" w:color="BFBFBF"/>
            </w:tcBorders>
          </w:tcPr>
          <w:p w14:paraId="44F75E04" w14:textId="77777777" w:rsidR="008644DA" w:rsidRPr="00195310" w:rsidRDefault="008644DA">
            <w:pPr>
              <w:pStyle w:val="ARtabletext"/>
              <w:spacing w:before="30" w:after="20"/>
            </w:pPr>
            <w:r w:rsidRPr="00195310">
              <w:t>Soft plastics</w:t>
            </w:r>
          </w:p>
        </w:tc>
        <w:tc>
          <w:tcPr>
            <w:tcW w:w="1701" w:type="dxa"/>
            <w:tcBorders>
              <w:top w:val="single" w:sz="4" w:space="0" w:color="BFBFBF"/>
            </w:tcBorders>
          </w:tcPr>
          <w:p w14:paraId="60DE964B" w14:textId="77777777" w:rsidR="008644DA" w:rsidRPr="00195310" w:rsidRDefault="008644DA">
            <w:pPr>
              <w:pStyle w:val="ARtabletextright"/>
              <w:spacing w:before="30" w:after="20"/>
            </w:pPr>
            <w:r w:rsidRPr="00195310">
              <w:t>0</w:t>
            </w:r>
          </w:p>
        </w:tc>
        <w:tc>
          <w:tcPr>
            <w:tcW w:w="1701" w:type="dxa"/>
            <w:tcBorders>
              <w:top w:val="single" w:sz="4" w:space="0" w:color="BFBFBF"/>
            </w:tcBorders>
          </w:tcPr>
          <w:p w14:paraId="5638A917" w14:textId="77777777" w:rsidR="008644DA" w:rsidRPr="00195310" w:rsidRDefault="008644DA">
            <w:pPr>
              <w:pStyle w:val="ARtabletextright"/>
              <w:spacing w:before="30" w:after="20"/>
            </w:pPr>
            <w:r w:rsidRPr="00195310">
              <w:t>0</w:t>
            </w:r>
          </w:p>
        </w:tc>
        <w:tc>
          <w:tcPr>
            <w:tcW w:w="1701" w:type="dxa"/>
            <w:tcBorders>
              <w:top w:val="single" w:sz="4" w:space="0" w:color="BFBFBF"/>
            </w:tcBorders>
          </w:tcPr>
          <w:p w14:paraId="56BBBC22" w14:textId="77777777" w:rsidR="008644DA" w:rsidRPr="00195310" w:rsidRDefault="008644DA">
            <w:pPr>
              <w:pStyle w:val="ARtabletextright"/>
              <w:spacing w:before="30" w:after="20"/>
            </w:pPr>
            <w:r w:rsidRPr="00195310">
              <w:t>NA</w:t>
            </w:r>
          </w:p>
        </w:tc>
      </w:tr>
    </w:tbl>
    <w:p w14:paraId="137AFB2C" w14:textId="77777777" w:rsidR="008644DA" w:rsidRPr="00C351F9" w:rsidRDefault="008644DA" w:rsidP="00A95A18">
      <w:pPr>
        <w:pStyle w:val="ARtablecaption"/>
      </w:pPr>
      <w:r w:rsidRPr="00C351F9">
        <w:t>Total units of waste disposed of normalised by FTE</w:t>
      </w:r>
    </w:p>
    <w:tbl>
      <w:tblPr>
        <w:tblStyle w:val="TableGrid"/>
        <w:tblW w:w="9639" w:type="dxa"/>
        <w:tblLook w:val="06A0" w:firstRow="1" w:lastRow="0" w:firstColumn="1" w:lastColumn="0" w:noHBand="1" w:noVBand="1"/>
      </w:tblPr>
      <w:tblGrid>
        <w:gridCol w:w="4536"/>
        <w:gridCol w:w="1701"/>
        <w:gridCol w:w="1701"/>
        <w:gridCol w:w="1701"/>
      </w:tblGrid>
      <w:tr w:rsidR="008644DA" w:rsidRPr="00CA22C9" w14:paraId="43A663FA"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70027F41" w14:textId="77777777" w:rsidR="008644DA" w:rsidRPr="00195310" w:rsidRDefault="008644DA">
            <w:pPr>
              <w:pStyle w:val="ARtablecolhead"/>
              <w:spacing w:before="30" w:after="20"/>
            </w:pPr>
          </w:p>
        </w:tc>
        <w:tc>
          <w:tcPr>
            <w:tcW w:w="1701" w:type="dxa"/>
            <w:tcBorders>
              <w:bottom w:val="single" w:sz="4" w:space="0" w:color="auto"/>
            </w:tcBorders>
            <w:noWrap/>
          </w:tcPr>
          <w:p w14:paraId="2AD8CA44" w14:textId="77777777" w:rsidR="008644DA" w:rsidRPr="00195310" w:rsidRDefault="008644DA">
            <w:pPr>
              <w:pStyle w:val="ARtablecolheadright"/>
              <w:spacing w:before="30" w:after="20"/>
            </w:pPr>
            <w:r w:rsidRPr="00195310">
              <w:t>2023–24</w:t>
            </w:r>
          </w:p>
          <w:p w14:paraId="59D44AAC" w14:textId="77777777" w:rsidR="008644DA" w:rsidRPr="00195310" w:rsidRDefault="008644DA">
            <w:pPr>
              <w:pStyle w:val="ARtablecolheadright"/>
              <w:spacing w:before="30" w:after="20"/>
            </w:pPr>
            <w:r w:rsidRPr="00195310">
              <w:t>kg/FTE</w:t>
            </w:r>
          </w:p>
        </w:tc>
        <w:tc>
          <w:tcPr>
            <w:tcW w:w="1701" w:type="dxa"/>
            <w:tcBorders>
              <w:bottom w:val="single" w:sz="4" w:space="0" w:color="auto"/>
            </w:tcBorders>
            <w:noWrap/>
          </w:tcPr>
          <w:p w14:paraId="40419CA0" w14:textId="77777777" w:rsidR="008644DA" w:rsidRPr="00195310" w:rsidRDefault="008644DA">
            <w:pPr>
              <w:pStyle w:val="ARtablecolheadright"/>
              <w:spacing w:before="30" w:after="20"/>
            </w:pPr>
            <w:r w:rsidRPr="00195310">
              <w:t>2022–23</w:t>
            </w:r>
          </w:p>
          <w:p w14:paraId="30226E6F" w14:textId="77777777" w:rsidR="008644DA" w:rsidRPr="00195310" w:rsidRDefault="008644DA">
            <w:pPr>
              <w:pStyle w:val="ARtablecolheadright"/>
              <w:spacing w:before="30" w:after="20"/>
            </w:pPr>
            <w:r w:rsidRPr="00195310" w:rsidDel="004926DF">
              <w:t>kg/FTE</w:t>
            </w:r>
          </w:p>
        </w:tc>
        <w:tc>
          <w:tcPr>
            <w:tcW w:w="1701" w:type="dxa"/>
            <w:tcBorders>
              <w:bottom w:val="single" w:sz="4" w:space="0" w:color="auto"/>
            </w:tcBorders>
            <w:noWrap/>
          </w:tcPr>
          <w:p w14:paraId="33F356AA" w14:textId="77777777" w:rsidR="008644DA" w:rsidRPr="00195310" w:rsidRDefault="008644DA">
            <w:pPr>
              <w:pStyle w:val="ARtablecolheadright"/>
              <w:spacing w:before="30" w:after="20"/>
            </w:pPr>
            <w:r w:rsidRPr="00195310">
              <w:t>2021–22</w:t>
            </w:r>
          </w:p>
          <w:p w14:paraId="19509665" w14:textId="77777777" w:rsidR="008644DA" w:rsidRPr="00195310" w:rsidRDefault="008644DA">
            <w:pPr>
              <w:pStyle w:val="ARtablecolheadright"/>
              <w:spacing w:before="30" w:after="20"/>
            </w:pPr>
            <w:r w:rsidRPr="00195310" w:rsidDel="004926DF">
              <w:t>kg/FTE</w:t>
            </w:r>
          </w:p>
        </w:tc>
      </w:tr>
      <w:tr w:rsidR="008644DA" w:rsidRPr="00F8705E" w14:paraId="5BE59109" w14:textId="77777777">
        <w:trPr>
          <w:trHeight w:val="288"/>
        </w:trPr>
        <w:tc>
          <w:tcPr>
            <w:tcW w:w="4536" w:type="dxa"/>
            <w:tcBorders>
              <w:top w:val="single" w:sz="4" w:space="0" w:color="000000"/>
              <w:bottom w:val="single" w:sz="4" w:space="0" w:color="000000"/>
            </w:tcBorders>
            <w:noWrap/>
          </w:tcPr>
          <w:p w14:paraId="61564C01" w14:textId="77777777" w:rsidR="008644DA" w:rsidRPr="00195310" w:rsidRDefault="008644DA">
            <w:pPr>
              <w:pStyle w:val="ARtabletextbold"/>
              <w:spacing w:before="30" w:after="20"/>
            </w:pPr>
            <w:r w:rsidRPr="00195310">
              <w:t xml:space="preserve">WR3 Total units of waste </w:t>
            </w:r>
            <w:r w:rsidRPr="00195310">
              <w:br/>
              <w:t>disposed of normalised by FTE</w:t>
            </w:r>
          </w:p>
        </w:tc>
        <w:tc>
          <w:tcPr>
            <w:tcW w:w="1701" w:type="dxa"/>
            <w:tcBorders>
              <w:top w:val="single" w:sz="4" w:space="0" w:color="000000"/>
              <w:bottom w:val="single" w:sz="4" w:space="0" w:color="000000"/>
            </w:tcBorders>
            <w:noWrap/>
          </w:tcPr>
          <w:p w14:paraId="46AEA891" w14:textId="77777777" w:rsidR="008644DA" w:rsidRPr="00195310" w:rsidRDefault="008644DA">
            <w:pPr>
              <w:pStyle w:val="ARtabletextright"/>
              <w:spacing w:before="30" w:after="20"/>
            </w:pPr>
            <w:r w:rsidRPr="00195310">
              <w:t>17.86</w:t>
            </w:r>
          </w:p>
          <w:p w14:paraId="3585933A" w14:textId="77777777" w:rsidR="008644DA" w:rsidRPr="00195310" w:rsidRDefault="008644DA">
            <w:pPr>
              <w:pStyle w:val="ARtabletextright"/>
              <w:spacing w:before="30" w:after="20"/>
            </w:pPr>
          </w:p>
        </w:tc>
        <w:tc>
          <w:tcPr>
            <w:tcW w:w="1701" w:type="dxa"/>
            <w:tcBorders>
              <w:top w:val="single" w:sz="4" w:space="0" w:color="000000"/>
              <w:bottom w:val="single" w:sz="4" w:space="0" w:color="000000"/>
            </w:tcBorders>
            <w:noWrap/>
          </w:tcPr>
          <w:p w14:paraId="606DD5A9" w14:textId="77777777" w:rsidR="008644DA" w:rsidRPr="00195310" w:rsidRDefault="008644DA">
            <w:pPr>
              <w:pStyle w:val="ARtabletextright"/>
              <w:spacing w:before="30" w:after="20"/>
            </w:pPr>
            <w:r w:rsidRPr="00195310">
              <w:t>14.69</w:t>
            </w:r>
          </w:p>
        </w:tc>
        <w:tc>
          <w:tcPr>
            <w:tcW w:w="1701" w:type="dxa"/>
            <w:tcBorders>
              <w:top w:val="single" w:sz="4" w:space="0" w:color="000000"/>
              <w:bottom w:val="single" w:sz="4" w:space="0" w:color="000000"/>
            </w:tcBorders>
            <w:noWrap/>
          </w:tcPr>
          <w:p w14:paraId="70AA9A12" w14:textId="77777777" w:rsidR="008644DA" w:rsidRPr="00195310" w:rsidRDefault="008644DA">
            <w:pPr>
              <w:pStyle w:val="ARtabletextright"/>
              <w:spacing w:before="30" w:after="20"/>
            </w:pPr>
            <w:r w:rsidRPr="00195310">
              <w:t>7.9</w:t>
            </w:r>
          </w:p>
        </w:tc>
      </w:tr>
    </w:tbl>
    <w:p w14:paraId="10F9E0B6" w14:textId="77777777" w:rsidR="008644DA" w:rsidRPr="002576D0" w:rsidRDefault="008644DA" w:rsidP="00A95A18">
      <w:pPr>
        <w:pStyle w:val="ARtablecaption"/>
      </w:pPr>
      <w:r w:rsidRPr="002576D0">
        <w:t>Recycling rate</w:t>
      </w:r>
    </w:p>
    <w:tbl>
      <w:tblPr>
        <w:tblStyle w:val="TableGrid"/>
        <w:tblW w:w="9634" w:type="dxa"/>
        <w:tblLook w:val="06A0" w:firstRow="1" w:lastRow="0" w:firstColumn="1" w:lastColumn="0" w:noHBand="1" w:noVBand="1"/>
      </w:tblPr>
      <w:tblGrid>
        <w:gridCol w:w="4536"/>
        <w:gridCol w:w="1873"/>
        <w:gridCol w:w="1701"/>
        <w:gridCol w:w="1524"/>
      </w:tblGrid>
      <w:tr w:rsidR="008644DA" w:rsidRPr="00F8705E" w14:paraId="5D785859"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5D2E62CF" w14:textId="77777777" w:rsidR="008644DA" w:rsidRPr="002576D0" w:rsidRDefault="008644DA">
            <w:pPr>
              <w:pStyle w:val="ARtablecolhead"/>
              <w:spacing w:before="30" w:after="20"/>
            </w:pPr>
          </w:p>
        </w:tc>
        <w:tc>
          <w:tcPr>
            <w:tcW w:w="1873" w:type="dxa"/>
            <w:tcBorders>
              <w:bottom w:val="single" w:sz="4" w:space="0" w:color="auto"/>
            </w:tcBorders>
            <w:noWrap/>
          </w:tcPr>
          <w:p w14:paraId="57917DFB" w14:textId="77777777" w:rsidR="008644DA" w:rsidRPr="002576D0" w:rsidRDefault="008644DA">
            <w:pPr>
              <w:pStyle w:val="ARtablecolheadright"/>
              <w:spacing w:before="30" w:after="20"/>
            </w:pPr>
            <w:r w:rsidRPr="002576D0">
              <w:t>2023–24</w:t>
            </w:r>
          </w:p>
          <w:p w14:paraId="039AFDC6" w14:textId="77777777" w:rsidR="008644DA" w:rsidRPr="002576D0" w:rsidRDefault="008644DA">
            <w:pPr>
              <w:pStyle w:val="ARtablecolheadright"/>
              <w:spacing w:before="30" w:after="20"/>
            </w:pPr>
            <w:r w:rsidRPr="002576D0">
              <w:t>%</w:t>
            </w:r>
          </w:p>
        </w:tc>
        <w:tc>
          <w:tcPr>
            <w:tcW w:w="1701" w:type="dxa"/>
            <w:tcBorders>
              <w:bottom w:val="single" w:sz="4" w:space="0" w:color="auto"/>
            </w:tcBorders>
            <w:noWrap/>
          </w:tcPr>
          <w:p w14:paraId="6C064482" w14:textId="77777777" w:rsidR="008644DA" w:rsidRPr="002576D0" w:rsidRDefault="008644DA">
            <w:pPr>
              <w:pStyle w:val="ARtablecolheadright"/>
              <w:spacing w:before="30" w:after="20"/>
            </w:pPr>
            <w:r w:rsidRPr="002576D0">
              <w:t>2022–23</w:t>
            </w:r>
          </w:p>
          <w:p w14:paraId="477F162E" w14:textId="77777777" w:rsidR="008644DA" w:rsidRPr="002576D0" w:rsidRDefault="008644DA">
            <w:pPr>
              <w:pStyle w:val="ARtablecolheadright"/>
              <w:spacing w:before="30" w:after="20"/>
            </w:pPr>
            <w:r w:rsidRPr="002576D0" w:rsidDel="004E1465">
              <w:t>%</w:t>
            </w:r>
          </w:p>
        </w:tc>
        <w:tc>
          <w:tcPr>
            <w:tcW w:w="1524" w:type="dxa"/>
            <w:tcBorders>
              <w:bottom w:val="single" w:sz="4" w:space="0" w:color="auto"/>
            </w:tcBorders>
            <w:noWrap/>
          </w:tcPr>
          <w:p w14:paraId="7182AC5D" w14:textId="77777777" w:rsidR="008644DA" w:rsidRPr="002576D0" w:rsidRDefault="008644DA">
            <w:pPr>
              <w:pStyle w:val="ARtablecolheadright"/>
              <w:spacing w:before="30" w:after="20"/>
            </w:pPr>
            <w:r w:rsidRPr="002576D0">
              <w:t>2021–22</w:t>
            </w:r>
          </w:p>
          <w:p w14:paraId="3D1B5AD4" w14:textId="77777777" w:rsidR="008644DA" w:rsidRPr="00195310" w:rsidRDefault="008644DA">
            <w:pPr>
              <w:pStyle w:val="ARtablecolheadright"/>
              <w:spacing w:before="30" w:after="20"/>
            </w:pPr>
            <w:r w:rsidRPr="002576D0" w:rsidDel="004E1465">
              <w:t>%</w:t>
            </w:r>
          </w:p>
        </w:tc>
      </w:tr>
      <w:tr w:rsidR="008644DA" w:rsidRPr="00F8705E" w14:paraId="0732304A" w14:textId="77777777">
        <w:trPr>
          <w:trHeight w:val="288"/>
        </w:trPr>
        <w:tc>
          <w:tcPr>
            <w:tcW w:w="4536" w:type="dxa"/>
            <w:tcBorders>
              <w:top w:val="single" w:sz="4" w:space="0" w:color="000000" w:themeColor="text1"/>
              <w:bottom w:val="single" w:sz="4" w:space="0" w:color="000000" w:themeColor="text1"/>
            </w:tcBorders>
            <w:noWrap/>
          </w:tcPr>
          <w:p w14:paraId="6CE2264C" w14:textId="77777777" w:rsidR="008644DA" w:rsidRPr="002576D0" w:rsidRDefault="008644DA">
            <w:pPr>
              <w:pStyle w:val="ARtabletextbold"/>
              <w:spacing w:before="30" w:after="20"/>
            </w:pPr>
            <w:r w:rsidRPr="002576D0">
              <w:t>WR4 Recycling rate</w:t>
            </w:r>
          </w:p>
        </w:tc>
        <w:tc>
          <w:tcPr>
            <w:tcW w:w="1873" w:type="dxa"/>
            <w:tcBorders>
              <w:top w:val="single" w:sz="4" w:space="0" w:color="000000" w:themeColor="text1"/>
              <w:bottom w:val="single" w:sz="4" w:space="0" w:color="000000" w:themeColor="text1"/>
            </w:tcBorders>
            <w:noWrap/>
          </w:tcPr>
          <w:p w14:paraId="3AE414E4" w14:textId="77777777" w:rsidR="008644DA" w:rsidRPr="009314D8" w:rsidRDefault="008644DA">
            <w:pPr>
              <w:pStyle w:val="ARtabletextright"/>
              <w:spacing w:before="30" w:after="20"/>
            </w:pPr>
            <w:r w:rsidRPr="009314D8">
              <w:t>76.5</w:t>
            </w:r>
          </w:p>
        </w:tc>
        <w:tc>
          <w:tcPr>
            <w:tcW w:w="1701" w:type="dxa"/>
            <w:tcBorders>
              <w:top w:val="single" w:sz="4" w:space="0" w:color="000000" w:themeColor="text1"/>
              <w:bottom w:val="single" w:sz="4" w:space="0" w:color="000000" w:themeColor="text1"/>
            </w:tcBorders>
            <w:noWrap/>
          </w:tcPr>
          <w:p w14:paraId="5B023C3A" w14:textId="77777777" w:rsidR="008644DA" w:rsidRPr="00195310" w:rsidRDefault="008644DA">
            <w:pPr>
              <w:pStyle w:val="ARtabletextright"/>
              <w:spacing w:before="30" w:after="20"/>
            </w:pPr>
            <w:r w:rsidRPr="00195310">
              <w:t>40.8</w:t>
            </w:r>
          </w:p>
        </w:tc>
        <w:tc>
          <w:tcPr>
            <w:tcW w:w="1524" w:type="dxa"/>
            <w:tcBorders>
              <w:top w:val="single" w:sz="4" w:space="0" w:color="000000" w:themeColor="text1"/>
              <w:bottom w:val="single" w:sz="4" w:space="0" w:color="000000" w:themeColor="text1"/>
            </w:tcBorders>
            <w:noWrap/>
          </w:tcPr>
          <w:p w14:paraId="7FCD6F42" w14:textId="77777777" w:rsidR="008644DA" w:rsidRPr="00195310" w:rsidRDefault="008644DA">
            <w:pPr>
              <w:pStyle w:val="ARtabletextright"/>
              <w:spacing w:before="30" w:after="20"/>
            </w:pPr>
            <w:r w:rsidRPr="00195310">
              <w:t>52.3</w:t>
            </w:r>
          </w:p>
        </w:tc>
      </w:tr>
    </w:tbl>
    <w:p w14:paraId="2B733D5B" w14:textId="77777777" w:rsidR="008644DA" w:rsidRPr="00A018F7" w:rsidRDefault="008644DA" w:rsidP="00A95A18">
      <w:pPr>
        <w:pStyle w:val="ARtablecaption"/>
      </w:pPr>
      <w:r w:rsidRPr="00A018F7">
        <w:t>Greenhouse gas emissions associated with waste disposal</w:t>
      </w:r>
    </w:p>
    <w:tbl>
      <w:tblPr>
        <w:tblStyle w:val="TableGrid"/>
        <w:tblW w:w="9639" w:type="dxa"/>
        <w:tblLook w:val="06A0" w:firstRow="1" w:lastRow="0" w:firstColumn="1" w:lastColumn="0" w:noHBand="1" w:noVBand="1"/>
      </w:tblPr>
      <w:tblGrid>
        <w:gridCol w:w="4536"/>
        <w:gridCol w:w="1701"/>
        <w:gridCol w:w="1701"/>
        <w:gridCol w:w="1701"/>
      </w:tblGrid>
      <w:tr w:rsidR="008644DA" w:rsidRPr="00A018F7" w14:paraId="7FAC02D7"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7F05A7EB" w14:textId="77777777" w:rsidR="008644DA" w:rsidRPr="00A018F7" w:rsidRDefault="008644DA">
            <w:pPr>
              <w:pStyle w:val="ARtablecolhead"/>
              <w:spacing w:before="30" w:after="20"/>
            </w:pPr>
          </w:p>
        </w:tc>
        <w:tc>
          <w:tcPr>
            <w:tcW w:w="1701" w:type="dxa"/>
            <w:tcBorders>
              <w:bottom w:val="single" w:sz="4" w:space="0" w:color="auto"/>
            </w:tcBorders>
            <w:noWrap/>
          </w:tcPr>
          <w:p w14:paraId="1707D6BD" w14:textId="77777777" w:rsidR="008644DA" w:rsidRPr="00A018F7" w:rsidRDefault="008644DA">
            <w:pPr>
              <w:pStyle w:val="ARtablecolheadright"/>
              <w:spacing w:before="30" w:after="20"/>
            </w:pPr>
            <w:r w:rsidRPr="00A018F7">
              <w:t>2023–24</w:t>
            </w:r>
          </w:p>
          <w:p w14:paraId="22C5C796" w14:textId="77777777" w:rsidR="008644DA" w:rsidRPr="00A018F7" w:rsidRDefault="008644DA">
            <w:pPr>
              <w:pStyle w:val="ARtablecolheadright"/>
              <w:spacing w:before="30" w:after="20"/>
            </w:pPr>
            <w:r w:rsidRPr="00A018F7">
              <w:t>Tonnes CO</w:t>
            </w:r>
            <w:r w:rsidRPr="00A018F7">
              <w:rPr>
                <w:rStyle w:val="Subscript"/>
              </w:rPr>
              <w:t>2</w:t>
            </w:r>
            <w:r w:rsidRPr="00A018F7">
              <w:t>-e</w:t>
            </w:r>
          </w:p>
        </w:tc>
        <w:tc>
          <w:tcPr>
            <w:tcW w:w="1701" w:type="dxa"/>
            <w:tcBorders>
              <w:bottom w:val="single" w:sz="4" w:space="0" w:color="auto"/>
            </w:tcBorders>
            <w:noWrap/>
          </w:tcPr>
          <w:p w14:paraId="18867E71" w14:textId="77777777" w:rsidR="008644DA" w:rsidRPr="00A018F7" w:rsidRDefault="008644DA">
            <w:pPr>
              <w:pStyle w:val="ARtablecolheadright"/>
              <w:spacing w:before="30" w:after="20"/>
            </w:pPr>
            <w:r w:rsidRPr="00A018F7">
              <w:t>2022–23</w:t>
            </w:r>
          </w:p>
          <w:p w14:paraId="7AAD6A52" w14:textId="77777777" w:rsidR="008644DA" w:rsidRPr="00A018F7" w:rsidRDefault="008644DA">
            <w:pPr>
              <w:pStyle w:val="ARtablecolheadright"/>
              <w:spacing w:before="30" w:after="20"/>
            </w:pPr>
            <w:r w:rsidRPr="00A018F7" w:rsidDel="001C1E70">
              <w:t>Tonnes CO</w:t>
            </w:r>
            <w:r w:rsidRPr="00A018F7" w:rsidDel="001C1E70">
              <w:rPr>
                <w:rStyle w:val="Subscript"/>
              </w:rPr>
              <w:t>2</w:t>
            </w:r>
            <w:r w:rsidRPr="00A018F7" w:rsidDel="001C1E70">
              <w:t>-e</w:t>
            </w:r>
          </w:p>
        </w:tc>
        <w:tc>
          <w:tcPr>
            <w:tcW w:w="1701" w:type="dxa"/>
            <w:tcBorders>
              <w:bottom w:val="single" w:sz="4" w:space="0" w:color="auto"/>
            </w:tcBorders>
            <w:noWrap/>
          </w:tcPr>
          <w:p w14:paraId="69D4D19C" w14:textId="77777777" w:rsidR="008644DA" w:rsidRPr="00A018F7" w:rsidRDefault="008644DA">
            <w:pPr>
              <w:pStyle w:val="ARtablecolheadright"/>
              <w:spacing w:before="30" w:after="20"/>
            </w:pPr>
            <w:r w:rsidRPr="00A018F7">
              <w:t>2021–22</w:t>
            </w:r>
          </w:p>
          <w:p w14:paraId="247A3766" w14:textId="77777777" w:rsidR="008644DA" w:rsidRPr="00A018F7" w:rsidRDefault="008644DA">
            <w:pPr>
              <w:pStyle w:val="ARtablecolheadright"/>
              <w:spacing w:before="30" w:after="20"/>
            </w:pPr>
            <w:r w:rsidRPr="00A018F7" w:rsidDel="001C1E70">
              <w:t>Tonnes CO</w:t>
            </w:r>
            <w:r w:rsidRPr="00A018F7" w:rsidDel="001C1E70">
              <w:rPr>
                <w:rStyle w:val="Subscript"/>
              </w:rPr>
              <w:t>2</w:t>
            </w:r>
            <w:r w:rsidRPr="00A018F7" w:rsidDel="001C1E70">
              <w:t>-e</w:t>
            </w:r>
          </w:p>
        </w:tc>
      </w:tr>
      <w:tr w:rsidR="008644DA" w:rsidRPr="00532DAE" w14:paraId="5765C4FC" w14:textId="77777777">
        <w:trPr>
          <w:trHeight w:val="288"/>
        </w:trPr>
        <w:tc>
          <w:tcPr>
            <w:tcW w:w="4536" w:type="dxa"/>
            <w:tcBorders>
              <w:top w:val="single" w:sz="4" w:space="0" w:color="000000"/>
              <w:bottom w:val="single" w:sz="4" w:space="0" w:color="000000"/>
            </w:tcBorders>
            <w:noWrap/>
          </w:tcPr>
          <w:p w14:paraId="04F5FA8E" w14:textId="77777777" w:rsidR="008644DA" w:rsidRPr="00A018F7" w:rsidRDefault="008644DA">
            <w:pPr>
              <w:pStyle w:val="ARtabletextbold"/>
              <w:spacing w:before="30" w:after="20"/>
            </w:pPr>
            <w:r w:rsidRPr="00A018F7">
              <w:t xml:space="preserve">WR5 Greenhouse gas emissions </w:t>
            </w:r>
            <w:r w:rsidRPr="00A018F7">
              <w:br/>
              <w:t>associated with waste disposal</w:t>
            </w:r>
            <w:r>
              <w:t xml:space="preserve"> </w:t>
            </w:r>
            <w:r w:rsidRPr="00195310">
              <w:rPr>
                <w:rStyle w:val="FootnoteReference"/>
              </w:rPr>
              <w:footnoteReference w:id="27"/>
            </w:r>
          </w:p>
        </w:tc>
        <w:tc>
          <w:tcPr>
            <w:tcW w:w="1701" w:type="dxa"/>
            <w:tcBorders>
              <w:top w:val="single" w:sz="4" w:space="0" w:color="000000"/>
              <w:bottom w:val="single" w:sz="4" w:space="0" w:color="000000"/>
            </w:tcBorders>
            <w:noWrap/>
          </w:tcPr>
          <w:p w14:paraId="6B99C438" w14:textId="77777777" w:rsidR="008644DA" w:rsidRPr="00A018F7" w:rsidRDefault="008644DA">
            <w:pPr>
              <w:pStyle w:val="ARtabletextright"/>
              <w:spacing w:before="30" w:after="20"/>
              <w:rPr>
                <w:highlight w:val="green"/>
              </w:rPr>
            </w:pPr>
            <w:r w:rsidRPr="00716133">
              <w:t>116</w:t>
            </w:r>
          </w:p>
        </w:tc>
        <w:tc>
          <w:tcPr>
            <w:tcW w:w="1701" w:type="dxa"/>
            <w:tcBorders>
              <w:top w:val="single" w:sz="4" w:space="0" w:color="000000"/>
              <w:bottom w:val="single" w:sz="4" w:space="0" w:color="000000"/>
            </w:tcBorders>
            <w:noWrap/>
          </w:tcPr>
          <w:p w14:paraId="05097FC0" w14:textId="77777777" w:rsidR="008644DA" w:rsidRPr="00A018F7" w:rsidRDefault="008644DA">
            <w:pPr>
              <w:pStyle w:val="ARtabletextright"/>
              <w:spacing w:before="30" w:after="20"/>
            </w:pPr>
            <w:r w:rsidRPr="00A018F7">
              <w:t>134</w:t>
            </w:r>
          </w:p>
        </w:tc>
        <w:tc>
          <w:tcPr>
            <w:tcW w:w="1701" w:type="dxa"/>
            <w:tcBorders>
              <w:top w:val="single" w:sz="4" w:space="0" w:color="000000"/>
              <w:bottom w:val="single" w:sz="4" w:space="0" w:color="000000"/>
            </w:tcBorders>
            <w:noWrap/>
          </w:tcPr>
          <w:p w14:paraId="58768F56" w14:textId="77777777" w:rsidR="008644DA" w:rsidRPr="008A74F8" w:rsidRDefault="008644DA">
            <w:pPr>
              <w:pStyle w:val="ARtabletextright"/>
              <w:spacing w:before="30" w:after="20"/>
            </w:pPr>
            <w:r w:rsidRPr="00A018F7">
              <w:t>83.9</w:t>
            </w:r>
          </w:p>
        </w:tc>
      </w:tr>
    </w:tbl>
    <w:p w14:paraId="2134F32B" w14:textId="77777777" w:rsidR="00827FCF" w:rsidRDefault="00827FCF" w:rsidP="00973D95">
      <w:pPr>
        <w:pStyle w:val="ARbody"/>
      </w:pPr>
    </w:p>
    <w:p w14:paraId="2E282C47" w14:textId="77777777" w:rsidR="00827FCF" w:rsidRDefault="00827FCF" w:rsidP="00973D95">
      <w:pPr>
        <w:pStyle w:val="ARbody"/>
        <w:sectPr w:rsidR="00827FCF" w:rsidSect="005936D2">
          <w:footnotePr>
            <w:numFmt w:val="lowerRoman"/>
            <w:numRestart w:val="eachPage"/>
          </w:footnotePr>
          <w:endnotePr>
            <w:numFmt w:val="decimal"/>
          </w:endnotePr>
          <w:type w:val="continuous"/>
          <w:pgSz w:w="11900" w:h="16840" w:code="9"/>
          <w:pgMar w:top="1701" w:right="1134" w:bottom="851" w:left="1134" w:header="510" w:footer="340" w:gutter="0"/>
          <w:cols w:space="454"/>
          <w:docGrid w:linePitch="326"/>
        </w:sectPr>
      </w:pPr>
    </w:p>
    <w:p w14:paraId="3535CBFC" w14:textId="4E19C9D6" w:rsidR="009C28D0" w:rsidRDefault="009C28D0" w:rsidP="0088621E">
      <w:pPr>
        <w:pStyle w:val="ARbody"/>
      </w:pPr>
      <w:r>
        <w:br w:type="page"/>
      </w:r>
    </w:p>
    <w:p w14:paraId="4E60E9D6" w14:textId="77777777" w:rsidR="009C28D0" w:rsidRDefault="009C28D0" w:rsidP="0088621E">
      <w:pPr>
        <w:pStyle w:val="ARbody"/>
        <w:sectPr w:rsidR="009C28D0"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326"/>
        </w:sectPr>
      </w:pPr>
    </w:p>
    <w:p w14:paraId="1C9DF0A7" w14:textId="77777777" w:rsidR="00796A9B" w:rsidRDefault="004F7554" w:rsidP="00796A9B">
      <w:pPr>
        <w:pStyle w:val="Heading2"/>
      </w:pPr>
      <w:bookmarkStart w:id="249" w:name="_Ref178240537"/>
      <w:bookmarkStart w:id="250" w:name="_Toc181101529"/>
      <w:r w:rsidRPr="003B41D2">
        <w:t>Financial Management Compliance Attestation Statement</w:t>
      </w:r>
      <w:bookmarkEnd w:id="249"/>
      <w:bookmarkEnd w:id="250"/>
    </w:p>
    <w:p w14:paraId="75AC4060" w14:textId="094AFB78" w:rsidR="004F7554" w:rsidRPr="003B41D2" w:rsidRDefault="004F7554" w:rsidP="00796A9B">
      <w:pPr>
        <w:pStyle w:val="ARbody"/>
      </w:pPr>
      <w:r w:rsidRPr="003B41D2">
        <w:t xml:space="preserve">I, Peta McCammon, as the Responsible Body, certify that the Department of Families, Fairness and Housing has no Material Compliance Deficiency with respect to the applicable Standing Directions under the </w:t>
      </w:r>
      <w:r w:rsidRPr="00DE367D">
        <w:rPr>
          <w:rStyle w:val="Emphasis"/>
        </w:rPr>
        <w:t>Financial Management Act 1994</w:t>
      </w:r>
      <w:r w:rsidRPr="003B41D2">
        <w:t xml:space="preserve"> and Instructions.</w:t>
      </w:r>
    </w:p>
    <w:p w14:paraId="5C92D525" w14:textId="518BEDFA" w:rsidR="004F7554" w:rsidRPr="003B41D2" w:rsidRDefault="007E558D" w:rsidP="0088621E">
      <w:pPr>
        <w:pStyle w:val="ARbody"/>
        <w:spacing w:before="360"/>
      </w:pPr>
      <w:r w:rsidRPr="00870E73">
        <w:rPr>
          <w:noProof/>
        </w:rPr>
        <w:drawing>
          <wp:inline distT="0" distB="0" distL="0" distR="0" wp14:anchorId="00356CF6" wp14:editId="1CA1C461">
            <wp:extent cx="1845277" cy="570368"/>
            <wp:effectExtent l="0" t="0" r="3175" b="1270"/>
            <wp:docPr id="359130479" name="Picture 359130479" descr="Peta McCamm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eta McCammon signa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0807C2EA" w14:textId="77777777" w:rsidR="004F7554" w:rsidRPr="003B41D2" w:rsidRDefault="004F7554" w:rsidP="0088621E">
      <w:pPr>
        <w:pStyle w:val="ARbodynospace"/>
      </w:pPr>
      <w:r w:rsidRPr="003B41D2">
        <w:t>Peta McCammon</w:t>
      </w:r>
    </w:p>
    <w:p w14:paraId="2CCD2FA6" w14:textId="77777777" w:rsidR="004F7554" w:rsidRPr="003B41D2" w:rsidRDefault="004F7554" w:rsidP="0088621E">
      <w:pPr>
        <w:pStyle w:val="ARbodynospace"/>
      </w:pPr>
      <w:r w:rsidRPr="003B41D2">
        <w:t>Secretary</w:t>
      </w:r>
    </w:p>
    <w:p w14:paraId="56A9C653" w14:textId="77777777" w:rsidR="004F7554" w:rsidRPr="003B41D2" w:rsidRDefault="004F7554" w:rsidP="0088621E">
      <w:pPr>
        <w:pStyle w:val="ARbody"/>
      </w:pPr>
      <w:r w:rsidRPr="003B41D2">
        <w:t>Department of Families, Fairness and Housing</w:t>
      </w:r>
    </w:p>
    <w:p w14:paraId="4A2A41E2" w14:textId="50968D1E" w:rsidR="004F7554" w:rsidRDefault="005F3F57" w:rsidP="0088621E">
      <w:pPr>
        <w:pStyle w:val="ARbody"/>
      </w:pPr>
      <w:r w:rsidRPr="002E5616">
        <w:t>16</w:t>
      </w:r>
      <w:r w:rsidR="004F7554" w:rsidRPr="002E5616">
        <w:t xml:space="preserve"> October 2024</w:t>
      </w:r>
    </w:p>
    <w:p w14:paraId="222DF51A" w14:textId="77777777" w:rsidR="005B131E" w:rsidRDefault="005B131E" w:rsidP="004F7554">
      <w:pPr>
        <w:pStyle w:val="ARbody"/>
        <w:rPr>
          <w:highlight w:val="yellow"/>
        </w:rPr>
      </w:pPr>
      <w:bookmarkStart w:id="251" w:name="_Toc149587049"/>
      <w:bookmarkStart w:id="252" w:name="_Toc149587068"/>
      <w:bookmarkEnd w:id="196"/>
    </w:p>
    <w:p w14:paraId="5820BB30" w14:textId="77777777" w:rsidR="005B131E" w:rsidRPr="005F6A6B" w:rsidRDefault="005B131E" w:rsidP="00681FFE">
      <w:pPr>
        <w:pStyle w:val="ARbody"/>
        <w:rPr>
          <w:highlight w:val="yellow"/>
        </w:rPr>
        <w:sectPr w:rsidR="005B131E" w:rsidRPr="005F6A6B" w:rsidSect="005B131E">
          <w:headerReference w:type="even" r:id="rId133"/>
          <w:footerReference w:type="even" r:id="rId134"/>
          <w:footerReference w:type="default" r:id="rId135"/>
          <w:headerReference w:type="first" r:id="rId136"/>
          <w:footerReference w:type="first" r:id="rId137"/>
          <w:footnotePr>
            <w:numFmt w:val="lowerRoman"/>
            <w:numRestart w:val="eachPage"/>
          </w:footnotePr>
          <w:endnotePr>
            <w:numFmt w:val="decimal"/>
          </w:endnotePr>
          <w:type w:val="continuous"/>
          <w:pgSz w:w="11900" w:h="16840" w:code="9"/>
          <w:pgMar w:top="1985" w:right="1134" w:bottom="851" w:left="1134" w:header="510" w:footer="340" w:gutter="0"/>
          <w:cols w:space="448"/>
          <w:docGrid w:linePitch="299"/>
        </w:sectPr>
      </w:pPr>
      <w:bookmarkStart w:id="253" w:name="_Toc82006218"/>
      <w:bookmarkEnd w:id="251"/>
    </w:p>
    <w:p w14:paraId="7ABA0AFB" w14:textId="77777777" w:rsidR="005B131E" w:rsidRPr="00E34D3E" w:rsidRDefault="005B131E" w:rsidP="0081234A">
      <w:pPr>
        <w:pStyle w:val="Heading1"/>
      </w:pPr>
      <w:bookmarkStart w:id="254" w:name="_Toc181101530"/>
      <w:r w:rsidRPr="00E34D3E">
        <w:t xml:space="preserve">Section 5: </w:t>
      </w:r>
      <w:bookmarkEnd w:id="253"/>
      <w:r w:rsidRPr="00E34D3E">
        <w:t>Financial statements for the financial year ended 30 June 202</w:t>
      </w:r>
      <w:r>
        <w:t>4</w:t>
      </w:r>
      <w:bookmarkEnd w:id="254"/>
    </w:p>
    <w:p w14:paraId="65B3575B" w14:textId="62EAA80D" w:rsidR="00D26760" w:rsidRDefault="00083017">
      <w:pPr>
        <w:pStyle w:val="TOC1"/>
        <w:rPr>
          <w:rFonts w:asciiTheme="minorHAnsi" w:hAnsiTheme="minorHAnsi"/>
          <w:kern w:val="2"/>
          <w:sz w:val="24"/>
          <w:szCs w:val="24"/>
          <w:lang w:val="en-US"/>
          <w14:ligatures w14:val="standardContextual"/>
        </w:rPr>
      </w:pPr>
      <w:r>
        <w:rPr>
          <w:b/>
        </w:rPr>
        <w:fldChar w:fldCharType="begin"/>
      </w:r>
      <w:r>
        <w:rPr>
          <w:b/>
        </w:rPr>
        <w:instrText xml:space="preserve"> TOC \b Financials \h \z \t "Heading 2 Financials,1,Heading 3,2" </w:instrText>
      </w:r>
      <w:r>
        <w:rPr>
          <w:b/>
        </w:rPr>
        <w:fldChar w:fldCharType="separate"/>
      </w:r>
      <w:hyperlink w:anchor="_Toc181101539" w:history="1">
        <w:r w:rsidR="00D26760" w:rsidRPr="00D727B2">
          <w:rPr>
            <w:rStyle w:val="Hyperlink"/>
          </w:rPr>
          <w:t>Declaration in the financial statements</w:t>
        </w:r>
        <w:r w:rsidR="00D26760">
          <w:rPr>
            <w:webHidden/>
          </w:rPr>
          <w:tab/>
        </w:r>
        <w:r w:rsidR="00D26760">
          <w:rPr>
            <w:webHidden/>
          </w:rPr>
          <w:fldChar w:fldCharType="begin"/>
        </w:r>
        <w:r w:rsidR="00D26760">
          <w:rPr>
            <w:webHidden/>
          </w:rPr>
          <w:instrText xml:space="preserve"> PAGEREF _Toc181101539 \h </w:instrText>
        </w:r>
        <w:r w:rsidR="00D26760">
          <w:rPr>
            <w:webHidden/>
          </w:rPr>
        </w:r>
        <w:r w:rsidR="00D26760">
          <w:rPr>
            <w:webHidden/>
          </w:rPr>
          <w:fldChar w:fldCharType="separate"/>
        </w:r>
        <w:r w:rsidR="002F3676">
          <w:rPr>
            <w:webHidden/>
          </w:rPr>
          <w:t>138</w:t>
        </w:r>
        <w:r w:rsidR="00D26760">
          <w:rPr>
            <w:webHidden/>
          </w:rPr>
          <w:fldChar w:fldCharType="end"/>
        </w:r>
      </w:hyperlink>
    </w:p>
    <w:p w14:paraId="2C2B3B1E" w14:textId="64CAEA8E" w:rsidR="00D26760" w:rsidRDefault="00D26760">
      <w:pPr>
        <w:pStyle w:val="TOC1"/>
        <w:rPr>
          <w:rFonts w:asciiTheme="minorHAnsi" w:hAnsiTheme="minorHAnsi"/>
          <w:kern w:val="2"/>
          <w:sz w:val="24"/>
          <w:szCs w:val="24"/>
          <w:lang w:val="en-US"/>
          <w14:ligatures w14:val="standardContextual"/>
        </w:rPr>
      </w:pPr>
      <w:hyperlink w:anchor="_Toc181101540" w:history="1">
        <w:r w:rsidRPr="00D727B2">
          <w:rPr>
            <w:rStyle w:val="Hyperlink"/>
          </w:rPr>
          <w:t>Independent auditor’s report</w:t>
        </w:r>
        <w:r>
          <w:rPr>
            <w:webHidden/>
          </w:rPr>
          <w:tab/>
        </w:r>
        <w:r>
          <w:rPr>
            <w:webHidden/>
          </w:rPr>
          <w:fldChar w:fldCharType="begin"/>
        </w:r>
        <w:r>
          <w:rPr>
            <w:webHidden/>
          </w:rPr>
          <w:instrText xml:space="preserve"> PAGEREF _Toc181101540 \h </w:instrText>
        </w:r>
        <w:r>
          <w:rPr>
            <w:webHidden/>
          </w:rPr>
        </w:r>
        <w:r>
          <w:rPr>
            <w:webHidden/>
          </w:rPr>
          <w:fldChar w:fldCharType="separate"/>
        </w:r>
        <w:r w:rsidR="002F3676">
          <w:rPr>
            <w:webHidden/>
          </w:rPr>
          <w:t>139</w:t>
        </w:r>
        <w:r>
          <w:rPr>
            <w:webHidden/>
          </w:rPr>
          <w:fldChar w:fldCharType="end"/>
        </w:r>
      </w:hyperlink>
    </w:p>
    <w:p w14:paraId="1187A772" w14:textId="149303B0" w:rsidR="00D26760" w:rsidRDefault="00D26760">
      <w:pPr>
        <w:pStyle w:val="TOC1"/>
        <w:rPr>
          <w:rFonts w:asciiTheme="minorHAnsi" w:hAnsiTheme="minorHAnsi"/>
          <w:kern w:val="2"/>
          <w:sz w:val="24"/>
          <w:szCs w:val="24"/>
          <w:lang w:val="en-US"/>
          <w14:ligatures w14:val="standardContextual"/>
        </w:rPr>
      </w:pPr>
      <w:hyperlink w:anchor="_Toc181101541" w:history="1">
        <w:r w:rsidRPr="00D727B2">
          <w:rPr>
            <w:rStyle w:val="Hyperlink"/>
          </w:rPr>
          <w:t>Comprehensive operating statement for the financial year ended 30 June 2024</w:t>
        </w:r>
        <w:r>
          <w:rPr>
            <w:webHidden/>
          </w:rPr>
          <w:tab/>
        </w:r>
        <w:r>
          <w:rPr>
            <w:webHidden/>
          </w:rPr>
          <w:fldChar w:fldCharType="begin"/>
        </w:r>
        <w:r>
          <w:rPr>
            <w:webHidden/>
          </w:rPr>
          <w:instrText xml:space="preserve"> PAGEREF _Toc181101541 \h </w:instrText>
        </w:r>
        <w:r>
          <w:rPr>
            <w:webHidden/>
          </w:rPr>
        </w:r>
        <w:r>
          <w:rPr>
            <w:webHidden/>
          </w:rPr>
          <w:fldChar w:fldCharType="separate"/>
        </w:r>
        <w:r w:rsidR="002F3676">
          <w:rPr>
            <w:webHidden/>
          </w:rPr>
          <w:t>143</w:t>
        </w:r>
        <w:r>
          <w:rPr>
            <w:webHidden/>
          </w:rPr>
          <w:fldChar w:fldCharType="end"/>
        </w:r>
      </w:hyperlink>
    </w:p>
    <w:p w14:paraId="1C2F8713" w14:textId="34A50095" w:rsidR="00D26760" w:rsidRDefault="00D26760">
      <w:pPr>
        <w:pStyle w:val="TOC1"/>
        <w:rPr>
          <w:rFonts w:asciiTheme="minorHAnsi" w:hAnsiTheme="minorHAnsi"/>
          <w:kern w:val="2"/>
          <w:sz w:val="24"/>
          <w:szCs w:val="24"/>
          <w:lang w:val="en-US"/>
          <w14:ligatures w14:val="standardContextual"/>
        </w:rPr>
      </w:pPr>
      <w:hyperlink w:anchor="_Toc181101542" w:history="1">
        <w:r w:rsidRPr="00D727B2">
          <w:rPr>
            <w:rStyle w:val="Hyperlink"/>
          </w:rPr>
          <w:t>Balance sheet as at 30 June 2024</w:t>
        </w:r>
        <w:r>
          <w:rPr>
            <w:webHidden/>
          </w:rPr>
          <w:tab/>
        </w:r>
        <w:r>
          <w:rPr>
            <w:webHidden/>
          </w:rPr>
          <w:fldChar w:fldCharType="begin"/>
        </w:r>
        <w:r>
          <w:rPr>
            <w:webHidden/>
          </w:rPr>
          <w:instrText xml:space="preserve"> PAGEREF _Toc181101542 \h </w:instrText>
        </w:r>
        <w:r>
          <w:rPr>
            <w:webHidden/>
          </w:rPr>
        </w:r>
        <w:r>
          <w:rPr>
            <w:webHidden/>
          </w:rPr>
          <w:fldChar w:fldCharType="separate"/>
        </w:r>
        <w:r w:rsidR="002F3676">
          <w:rPr>
            <w:webHidden/>
          </w:rPr>
          <w:t>144</w:t>
        </w:r>
        <w:r>
          <w:rPr>
            <w:webHidden/>
          </w:rPr>
          <w:fldChar w:fldCharType="end"/>
        </w:r>
      </w:hyperlink>
    </w:p>
    <w:p w14:paraId="665DA264" w14:textId="567C3188" w:rsidR="00D26760" w:rsidRDefault="00D26760">
      <w:pPr>
        <w:pStyle w:val="TOC1"/>
        <w:rPr>
          <w:rFonts w:asciiTheme="minorHAnsi" w:hAnsiTheme="minorHAnsi"/>
          <w:kern w:val="2"/>
          <w:sz w:val="24"/>
          <w:szCs w:val="24"/>
          <w:lang w:val="en-US"/>
          <w14:ligatures w14:val="standardContextual"/>
        </w:rPr>
      </w:pPr>
      <w:hyperlink w:anchor="_Toc181101543" w:history="1">
        <w:r w:rsidRPr="00D727B2">
          <w:rPr>
            <w:rStyle w:val="Hyperlink"/>
          </w:rPr>
          <w:t>Cash flow statement for the financial year ended 30 June 2024</w:t>
        </w:r>
        <w:r>
          <w:rPr>
            <w:webHidden/>
          </w:rPr>
          <w:tab/>
        </w:r>
        <w:r>
          <w:rPr>
            <w:webHidden/>
          </w:rPr>
          <w:fldChar w:fldCharType="begin"/>
        </w:r>
        <w:r>
          <w:rPr>
            <w:webHidden/>
          </w:rPr>
          <w:instrText xml:space="preserve"> PAGEREF _Toc181101543 \h </w:instrText>
        </w:r>
        <w:r>
          <w:rPr>
            <w:webHidden/>
          </w:rPr>
        </w:r>
        <w:r>
          <w:rPr>
            <w:webHidden/>
          </w:rPr>
          <w:fldChar w:fldCharType="separate"/>
        </w:r>
        <w:r w:rsidR="002F3676">
          <w:rPr>
            <w:webHidden/>
          </w:rPr>
          <w:t>145</w:t>
        </w:r>
        <w:r>
          <w:rPr>
            <w:webHidden/>
          </w:rPr>
          <w:fldChar w:fldCharType="end"/>
        </w:r>
      </w:hyperlink>
    </w:p>
    <w:p w14:paraId="312BC2E7" w14:textId="0D57B684" w:rsidR="00D26760" w:rsidRDefault="00D26760">
      <w:pPr>
        <w:pStyle w:val="TOC1"/>
        <w:rPr>
          <w:rFonts w:asciiTheme="minorHAnsi" w:hAnsiTheme="minorHAnsi"/>
          <w:kern w:val="2"/>
          <w:sz w:val="24"/>
          <w:szCs w:val="24"/>
          <w:lang w:val="en-US"/>
          <w14:ligatures w14:val="standardContextual"/>
        </w:rPr>
      </w:pPr>
      <w:hyperlink w:anchor="_Toc181101544" w:history="1">
        <w:r w:rsidRPr="00D727B2">
          <w:rPr>
            <w:rStyle w:val="Hyperlink"/>
          </w:rPr>
          <w:t>Statement of changes in equity for the financial year ended 30 June 2024</w:t>
        </w:r>
        <w:r>
          <w:rPr>
            <w:webHidden/>
          </w:rPr>
          <w:tab/>
        </w:r>
        <w:r>
          <w:rPr>
            <w:webHidden/>
          </w:rPr>
          <w:fldChar w:fldCharType="begin"/>
        </w:r>
        <w:r>
          <w:rPr>
            <w:webHidden/>
          </w:rPr>
          <w:instrText xml:space="preserve"> PAGEREF _Toc181101544 \h </w:instrText>
        </w:r>
        <w:r>
          <w:rPr>
            <w:webHidden/>
          </w:rPr>
        </w:r>
        <w:r>
          <w:rPr>
            <w:webHidden/>
          </w:rPr>
          <w:fldChar w:fldCharType="separate"/>
        </w:r>
        <w:r w:rsidR="002F3676">
          <w:rPr>
            <w:webHidden/>
          </w:rPr>
          <w:t>146</w:t>
        </w:r>
        <w:r>
          <w:rPr>
            <w:webHidden/>
          </w:rPr>
          <w:fldChar w:fldCharType="end"/>
        </w:r>
      </w:hyperlink>
    </w:p>
    <w:p w14:paraId="76E0D2F5" w14:textId="4F5C0C21" w:rsidR="00D26760" w:rsidRDefault="00D26760">
      <w:pPr>
        <w:pStyle w:val="TOC1"/>
        <w:rPr>
          <w:rFonts w:asciiTheme="minorHAnsi" w:hAnsiTheme="minorHAnsi"/>
          <w:kern w:val="2"/>
          <w:sz w:val="24"/>
          <w:szCs w:val="24"/>
          <w:lang w:val="en-US"/>
          <w14:ligatures w14:val="standardContextual"/>
        </w:rPr>
      </w:pPr>
      <w:hyperlink w:anchor="_Toc181101545" w:history="1">
        <w:r w:rsidRPr="00D727B2">
          <w:rPr>
            <w:rStyle w:val="Hyperlink"/>
            <w:lang w:eastAsia="en-AU"/>
          </w:rPr>
          <w:t>Notes to and forming part of the financial statements for the financial year ended 30 June 2024</w:t>
        </w:r>
        <w:r>
          <w:rPr>
            <w:webHidden/>
          </w:rPr>
          <w:tab/>
        </w:r>
        <w:r>
          <w:rPr>
            <w:webHidden/>
          </w:rPr>
          <w:fldChar w:fldCharType="begin"/>
        </w:r>
        <w:r>
          <w:rPr>
            <w:webHidden/>
          </w:rPr>
          <w:instrText xml:space="preserve"> PAGEREF _Toc181101545 \h </w:instrText>
        </w:r>
        <w:r>
          <w:rPr>
            <w:webHidden/>
          </w:rPr>
        </w:r>
        <w:r>
          <w:rPr>
            <w:webHidden/>
          </w:rPr>
          <w:fldChar w:fldCharType="separate"/>
        </w:r>
        <w:r w:rsidR="002F3676">
          <w:rPr>
            <w:webHidden/>
          </w:rPr>
          <w:t>147</w:t>
        </w:r>
        <w:r>
          <w:rPr>
            <w:webHidden/>
          </w:rPr>
          <w:fldChar w:fldCharType="end"/>
        </w:r>
      </w:hyperlink>
    </w:p>
    <w:p w14:paraId="2A0A064E" w14:textId="4E9BAE08" w:rsidR="00D26760" w:rsidRDefault="00D26760">
      <w:pPr>
        <w:pStyle w:val="TOC2"/>
        <w:rPr>
          <w:rFonts w:asciiTheme="minorHAnsi" w:hAnsiTheme="minorHAnsi"/>
          <w:kern w:val="2"/>
          <w:sz w:val="24"/>
          <w:lang w:val="en-US"/>
          <w14:ligatures w14:val="standardContextual"/>
        </w:rPr>
      </w:pPr>
      <w:hyperlink w:anchor="_Toc181101546" w:history="1">
        <w:r w:rsidRPr="00D727B2">
          <w:rPr>
            <w:rStyle w:val="Hyperlink"/>
          </w:rPr>
          <w:t>1. About this report</w:t>
        </w:r>
        <w:r>
          <w:rPr>
            <w:webHidden/>
          </w:rPr>
          <w:tab/>
        </w:r>
        <w:r>
          <w:rPr>
            <w:webHidden/>
          </w:rPr>
          <w:fldChar w:fldCharType="begin"/>
        </w:r>
        <w:r>
          <w:rPr>
            <w:webHidden/>
          </w:rPr>
          <w:instrText xml:space="preserve"> PAGEREF _Toc181101546 \h </w:instrText>
        </w:r>
        <w:r>
          <w:rPr>
            <w:webHidden/>
          </w:rPr>
        </w:r>
        <w:r>
          <w:rPr>
            <w:webHidden/>
          </w:rPr>
          <w:fldChar w:fldCharType="separate"/>
        </w:r>
        <w:r w:rsidR="002F3676">
          <w:rPr>
            <w:webHidden/>
          </w:rPr>
          <w:t>147</w:t>
        </w:r>
        <w:r>
          <w:rPr>
            <w:webHidden/>
          </w:rPr>
          <w:fldChar w:fldCharType="end"/>
        </w:r>
      </w:hyperlink>
    </w:p>
    <w:p w14:paraId="5DA09734" w14:textId="7CC9418F" w:rsidR="00D26760" w:rsidRDefault="00D26760">
      <w:pPr>
        <w:pStyle w:val="TOC2"/>
        <w:rPr>
          <w:rFonts w:asciiTheme="minorHAnsi" w:hAnsiTheme="minorHAnsi"/>
          <w:kern w:val="2"/>
          <w:sz w:val="24"/>
          <w:lang w:val="en-US"/>
          <w14:ligatures w14:val="standardContextual"/>
        </w:rPr>
      </w:pPr>
      <w:hyperlink w:anchor="_Toc181101547" w:history="1">
        <w:r w:rsidRPr="00D727B2">
          <w:rPr>
            <w:rStyle w:val="Hyperlink"/>
          </w:rPr>
          <w:t>2. Funding delivery of our services</w:t>
        </w:r>
        <w:r>
          <w:rPr>
            <w:webHidden/>
          </w:rPr>
          <w:tab/>
        </w:r>
        <w:r>
          <w:rPr>
            <w:webHidden/>
          </w:rPr>
          <w:fldChar w:fldCharType="begin"/>
        </w:r>
        <w:r>
          <w:rPr>
            <w:webHidden/>
          </w:rPr>
          <w:instrText xml:space="preserve"> PAGEREF _Toc181101547 \h </w:instrText>
        </w:r>
        <w:r>
          <w:rPr>
            <w:webHidden/>
          </w:rPr>
        </w:r>
        <w:r>
          <w:rPr>
            <w:webHidden/>
          </w:rPr>
          <w:fldChar w:fldCharType="separate"/>
        </w:r>
        <w:r w:rsidR="002F3676">
          <w:rPr>
            <w:webHidden/>
          </w:rPr>
          <w:t>149</w:t>
        </w:r>
        <w:r>
          <w:rPr>
            <w:webHidden/>
          </w:rPr>
          <w:fldChar w:fldCharType="end"/>
        </w:r>
      </w:hyperlink>
    </w:p>
    <w:p w14:paraId="74D5A0EC" w14:textId="1F123E20" w:rsidR="00D26760" w:rsidRDefault="00D26760">
      <w:pPr>
        <w:pStyle w:val="TOC2"/>
        <w:rPr>
          <w:rFonts w:asciiTheme="minorHAnsi" w:hAnsiTheme="minorHAnsi"/>
          <w:kern w:val="2"/>
          <w:sz w:val="24"/>
          <w:lang w:val="en-US"/>
          <w14:ligatures w14:val="standardContextual"/>
        </w:rPr>
      </w:pPr>
      <w:hyperlink w:anchor="_Toc181101548" w:history="1">
        <w:r w:rsidRPr="00D727B2">
          <w:rPr>
            <w:rStyle w:val="Hyperlink"/>
          </w:rPr>
          <w:t>3. The cost of delivering services</w:t>
        </w:r>
        <w:r>
          <w:rPr>
            <w:webHidden/>
          </w:rPr>
          <w:tab/>
        </w:r>
        <w:r>
          <w:rPr>
            <w:webHidden/>
          </w:rPr>
          <w:fldChar w:fldCharType="begin"/>
        </w:r>
        <w:r>
          <w:rPr>
            <w:webHidden/>
          </w:rPr>
          <w:instrText xml:space="preserve"> PAGEREF _Toc181101548 \h </w:instrText>
        </w:r>
        <w:r>
          <w:rPr>
            <w:webHidden/>
          </w:rPr>
        </w:r>
        <w:r>
          <w:rPr>
            <w:webHidden/>
          </w:rPr>
          <w:fldChar w:fldCharType="separate"/>
        </w:r>
        <w:r w:rsidR="002F3676">
          <w:rPr>
            <w:webHidden/>
          </w:rPr>
          <w:t>154</w:t>
        </w:r>
        <w:r>
          <w:rPr>
            <w:webHidden/>
          </w:rPr>
          <w:fldChar w:fldCharType="end"/>
        </w:r>
      </w:hyperlink>
    </w:p>
    <w:p w14:paraId="428B6150" w14:textId="2CE4F400" w:rsidR="00D26760" w:rsidRDefault="00D26760">
      <w:pPr>
        <w:pStyle w:val="TOC2"/>
        <w:rPr>
          <w:rFonts w:asciiTheme="minorHAnsi" w:hAnsiTheme="minorHAnsi"/>
          <w:kern w:val="2"/>
          <w:sz w:val="24"/>
          <w:lang w:val="en-US"/>
          <w14:ligatures w14:val="standardContextual"/>
        </w:rPr>
      </w:pPr>
      <w:hyperlink w:anchor="_Toc181101549" w:history="1">
        <w:r w:rsidRPr="00D727B2">
          <w:rPr>
            <w:rStyle w:val="Hyperlink"/>
          </w:rPr>
          <w:t>4. Disaggregated financial information by output</w:t>
        </w:r>
        <w:r>
          <w:rPr>
            <w:webHidden/>
          </w:rPr>
          <w:tab/>
        </w:r>
        <w:r>
          <w:rPr>
            <w:webHidden/>
          </w:rPr>
          <w:fldChar w:fldCharType="begin"/>
        </w:r>
        <w:r>
          <w:rPr>
            <w:webHidden/>
          </w:rPr>
          <w:instrText xml:space="preserve"> PAGEREF _Toc181101549 \h </w:instrText>
        </w:r>
        <w:r>
          <w:rPr>
            <w:webHidden/>
          </w:rPr>
        </w:r>
        <w:r>
          <w:rPr>
            <w:webHidden/>
          </w:rPr>
          <w:fldChar w:fldCharType="separate"/>
        </w:r>
        <w:r w:rsidR="002F3676">
          <w:rPr>
            <w:webHidden/>
          </w:rPr>
          <w:t>159</w:t>
        </w:r>
        <w:r>
          <w:rPr>
            <w:webHidden/>
          </w:rPr>
          <w:fldChar w:fldCharType="end"/>
        </w:r>
      </w:hyperlink>
    </w:p>
    <w:p w14:paraId="78212355" w14:textId="2937E6D3" w:rsidR="00D26760" w:rsidRDefault="00D26760">
      <w:pPr>
        <w:pStyle w:val="TOC2"/>
        <w:rPr>
          <w:rFonts w:asciiTheme="minorHAnsi" w:hAnsiTheme="minorHAnsi"/>
          <w:kern w:val="2"/>
          <w:sz w:val="24"/>
          <w:lang w:val="en-US"/>
          <w14:ligatures w14:val="standardContextual"/>
        </w:rPr>
      </w:pPr>
      <w:hyperlink w:anchor="_Toc181101550" w:history="1">
        <w:r w:rsidRPr="00D727B2">
          <w:rPr>
            <w:rStyle w:val="Hyperlink"/>
          </w:rPr>
          <w:t>5. Key assets available to support output delivery</w:t>
        </w:r>
        <w:r>
          <w:rPr>
            <w:webHidden/>
          </w:rPr>
          <w:tab/>
        </w:r>
        <w:r>
          <w:rPr>
            <w:webHidden/>
          </w:rPr>
          <w:fldChar w:fldCharType="begin"/>
        </w:r>
        <w:r>
          <w:rPr>
            <w:webHidden/>
          </w:rPr>
          <w:instrText xml:space="preserve"> PAGEREF _Toc181101550 \h </w:instrText>
        </w:r>
        <w:r>
          <w:rPr>
            <w:webHidden/>
          </w:rPr>
        </w:r>
        <w:r>
          <w:rPr>
            <w:webHidden/>
          </w:rPr>
          <w:fldChar w:fldCharType="separate"/>
        </w:r>
        <w:r w:rsidR="002F3676">
          <w:rPr>
            <w:webHidden/>
          </w:rPr>
          <w:t>169</w:t>
        </w:r>
        <w:r>
          <w:rPr>
            <w:webHidden/>
          </w:rPr>
          <w:fldChar w:fldCharType="end"/>
        </w:r>
      </w:hyperlink>
    </w:p>
    <w:p w14:paraId="2A557BF3" w14:textId="4DB5195F" w:rsidR="00D26760" w:rsidRDefault="00D26760">
      <w:pPr>
        <w:pStyle w:val="TOC2"/>
        <w:rPr>
          <w:rFonts w:asciiTheme="minorHAnsi" w:hAnsiTheme="minorHAnsi"/>
          <w:kern w:val="2"/>
          <w:sz w:val="24"/>
          <w:lang w:val="en-US"/>
          <w14:ligatures w14:val="standardContextual"/>
        </w:rPr>
      </w:pPr>
      <w:hyperlink w:anchor="_Toc181101551" w:history="1">
        <w:r w:rsidRPr="00D727B2">
          <w:rPr>
            <w:rStyle w:val="Hyperlink"/>
          </w:rPr>
          <w:t>6. Other assets and liabilities</w:t>
        </w:r>
        <w:r>
          <w:rPr>
            <w:webHidden/>
          </w:rPr>
          <w:tab/>
        </w:r>
        <w:r>
          <w:rPr>
            <w:webHidden/>
          </w:rPr>
          <w:fldChar w:fldCharType="begin"/>
        </w:r>
        <w:r>
          <w:rPr>
            <w:webHidden/>
          </w:rPr>
          <w:instrText xml:space="preserve"> PAGEREF _Toc181101551 \h </w:instrText>
        </w:r>
        <w:r>
          <w:rPr>
            <w:webHidden/>
          </w:rPr>
        </w:r>
        <w:r>
          <w:rPr>
            <w:webHidden/>
          </w:rPr>
          <w:fldChar w:fldCharType="separate"/>
        </w:r>
        <w:r w:rsidR="002F3676">
          <w:rPr>
            <w:webHidden/>
          </w:rPr>
          <w:t>174</w:t>
        </w:r>
        <w:r>
          <w:rPr>
            <w:webHidden/>
          </w:rPr>
          <w:fldChar w:fldCharType="end"/>
        </w:r>
      </w:hyperlink>
    </w:p>
    <w:p w14:paraId="2C80EDB9" w14:textId="560ED68C" w:rsidR="00D26760" w:rsidRDefault="00D26760">
      <w:pPr>
        <w:pStyle w:val="TOC2"/>
        <w:rPr>
          <w:rFonts w:asciiTheme="minorHAnsi" w:hAnsiTheme="minorHAnsi"/>
          <w:kern w:val="2"/>
          <w:sz w:val="24"/>
          <w:lang w:val="en-US"/>
          <w14:ligatures w14:val="standardContextual"/>
        </w:rPr>
      </w:pPr>
      <w:hyperlink w:anchor="_Toc181101552" w:history="1">
        <w:r w:rsidRPr="00D727B2">
          <w:rPr>
            <w:rStyle w:val="Hyperlink"/>
          </w:rPr>
          <w:t>7. How we financed our operations</w:t>
        </w:r>
        <w:r>
          <w:rPr>
            <w:webHidden/>
          </w:rPr>
          <w:tab/>
        </w:r>
        <w:r>
          <w:rPr>
            <w:webHidden/>
          </w:rPr>
          <w:fldChar w:fldCharType="begin"/>
        </w:r>
        <w:r>
          <w:rPr>
            <w:webHidden/>
          </w:rPr>
          <w:instrText xml:space="preserve"> PAGEREF _Toc181101552 \h </w:instrText>
        </w:r>
        <w:r>
          <w:rPr>
            <w:webHidden/>
          </w:rPr>
        </w:r>
        <w:r>
          <w:rPr>
            <w:webHidden/>
          </w:rPr>
          <w:fldChar w:fldCharType="separate"/>
        </w:r>
        <w:r w:rsidR="002F3676">
          <w:rPr>
            <w:webHidden/>
          </w:rPr>
          <w:t>179</w:t>
        </w:r>
        <w:r>
          <w:rPr>
            <w:webHidden/>
          </w:rPr>
          <w:fldChar w:fldCharType="end"/>
        </w:r>
      </w:hyperlink>
    </w:p>
    <w:p w14:paraId="692CA0E1" w14:textId="2F1725F7" w:rsidR="00D26760" w:rsidRDefault="00D26760">
      <w:pPr>
        <w:pStyle w:val="TOC2"/>
        <w:rPr>
          <w:rFonts w:asciiTheme="minorHAnsi" w:hAnsiTheme="minorHAnsi"/>
          <w:kern w:val="2"/>
          <w:sz w:val="24"/>
          <w:lang w:val="en-US"/>
          <w14:ligatures w14:val="standardContextual"/>
        </w:rPr>
      </w:pPr>
      <w:hyperlink w:anchor="_Toc181101553" w:history="1">
        <w:r w:rsidRPr="00D727B2">
          <w:rPr>
            <w:rStyle w:val="Hyperlink"/>
          </w:rPr>
          <w:t>8. Risks, contingencies and valuation judgements</w:t>
        </w:r>
        <w:r>
          <w:rPr>
            <w:webHidden/>
          </w:rPr>
          <w:tab/>
        </w:r>
        <w:r>
          <w:rPr>
            <w:webHidden/>
          </w:rPr>
          <w:fldChar w:fldCharType="begin"/>
        </w:r>
        <w:r>
          <w:rPr>
            <w:webHidden/>
          </w:rPr>
          <w:instrText xml:space="preserve"> PAGEREF _Toc181101553 \h </w:instrText>
        </w:r>
        <w:r>
          <w:rPr>
            <w:webHidden/>
          </w:rPr>
        </w:r>
        <w:r>
          <w:rPr>
            <w:webHidden/>
          </w:rPr>
          <w:fldChar w:fldCharType="separate"/>
        </w:r>
        <w:r w:rsidR="002F3676">
          <w:rPr>
            <w:webHidden/>
          </w:rPr>
          <w:t>188</w:t>
        </w:r>
        <w:r>
          <w:rPr>
            <w:webHidden/>
          </w:rPr>
          <w:fldChar w:fldCharType="end"/>
        </w:r>
      </w:hyperlink>
    </w:p>
    <w:p w14:paraId="7024CD4C" w14:textId="08A8A0F9" w:rsidR="00D26760" w:rsidRDefault="00D26760">
      <w:pPr>
        <w:pStyle w:val="TOC2"/>
        <w:rPr>
          <w:rFonts w:asciiTheme="minorHAnsi" w:hAnsiTheme="minorHAnsi"/>
          <w:kern w:val="2"/>
          <w:sz w:val="24"/>
          <w:lang w:val="en-US"/>
          <w14:ligatures w14:val="standardContextual"/>
        </w:rPr>
      </w:pPr>
      <w:hyperlink w:anchor="_Toc181101554" w:history="1">
        <w:r w:rsidRPr="00D727B2">
          <w:rPr>
            <w:rStyle w:val="Hyperlink"/>
          </w:rPr>
          <w:t>9. Other disclosures</w:t>
        </w:r>
        <w:r>
          <w:rPr>
            <w:webHidden/>
          </w:rPr>
          <w:tab/>
        </w:r>
        <w:r>
          <w:rPr>
            <w:webHidden/>
          </w:rPr>
          <w:fldChar w:fldCharType="begin"/>
        </w:r>
        <w:r>
          <w:rPr>
            <w:webHidden/>
          </w:rPr>
          <w:instrText xml:space="preserve"> PAGEREF _Toc181101554 \h </w:instrText>
        </w:r>
        <w:r>
          <w:rPr>
            <w:webHidden/>
          </w:rPr>
        </w:r>
        <w:r>
          <w:rPr>
            <w:webHidden/>
          </w:rPr>
          <w:fldChar w:fldCharType="separate"/>
        </w:r>
        <w:r w:rsidR="002F3676">
          <w:rPr>
            <w:webHidden/>
          </w:rPr>
          <w:t>202</w:t>
        </w:r>
        <w:r>
          <w:rPr>
            <w:webHidden/>
          </w:rPr>
          <w:fldChar w:fldCharType="end"/>
        </w:r>
      </w:hyperlink>
    </w:p>
    <w:p w14:paraId="1084B2F2" w14:textId="4EE4DC96" w:rsidR="005B131E" w:rsidRPr="00BA7805" w:rsidRDefault="00083017" w:rsidP="000E392F">
      <w:pPr>
        <w:pStyle w:val="ARbody"/>
        <w:rPr>
          <w:highlight w:val="green"/>
          <w:u w:color="004C97"/>
        </w:rPr>
      </w:pPr>
      <w:r>
        <w:rPr>
          <w:rFonts w:eastAsiaTheme="minorEastAsia"/>
          <w:b/>
          <w:u w:color="D50032"/>
        </w:rPr>
        <w:fldChar w:fldCharType="end"/>
      </w:r>
    </w:p>
    <w:p w14:paraId="4DD1A6EF" w14:textId="77777777" w:rsidR="005B131E" w:rsidRPr="00BA7805" w:rsidRDefault="005B131E" w:rsidP="000E392F">
      <w:pPr>
        <w:pStyle w:val="ARbody"/>
        <w:rPr>
          <w:highlight w:val="green"/>
        </w:rPr>
      </w:pPr>
      <w:r w:rsidRPr="00BA7805">
        <w:rPr>
          <w:highlight w:val="green"/>
        </w:rPr>
        <w:br w:type="page"/>
      </w:r>
    </w:p>
    <w:p w14:paraId="7EFE016D" w14:textId="77777777" w:rsidR="005B131E" w:rsidRPr="00CB09EB" w:rsidRDefault="005B131E">
      <w:pPr>
        <w:pStyle w:val="Heading2Financials"/>
      </w:pPr>
      <w:bookmarkStart w:id="255" w:name="_Toc181101539"/>
      <w:bookmarkStart w:id="256" w:name="Declarationinthefinancialstatements"/>
      <w:bookmarkStart w:id="257" w:name="Financials"/>
      <w:r w:rsidRPr="00CB09EB">
        <w:t>Declaration in the financial statements</w:t>
      </w:r>
      <w:bookmarkEnd w:id="255"/>
    </w:p>
    <w:bookmarkEnd w:id="256"/>
    <w:p w14:paraId="7189B44C" w14:textId="77777777" w:rsidR="005B131E" w:rsidRDefault="005B131E" w:rsidP="002542E1">
      <w:pPr>
        <w:pStyle w:val="ARbody"/>
        <w:rPr>
          <w:lang w:val="en-US"/>
        </w:rPr>
      </w:pPr>
      <w:r>
        <w:rPr>
          <w:lang w:val="en-US"/>
        </w:rPr>
        <w:t xml:space="preserve">The attached financial statements for the Department of Families, Fairness and Housing (the department) have been prepared in accordance with Direction 5.2 of the Standing Directions of the Assistant Treasurer under the </w:t>
      </w:r>
      <w:r w:rsidRPr="00CB09EB">
        <w:rPr>
          <w:rStyle w:val="Emphasis"/>
        </w:rPr>
        <w:t>Financial Management Act 1994</w:t>
      </w:r>
      <w:r>
        <w:rPr>
          <w:i/>
          <w:iCs/>
          <w:lang w:val="en-US"/>
        </w:rPr>
        <w:t xml:space="preserve">, </w:t>
      </w:r>
      <w:r>
        <w:rPr>
          <w:lang w:val="en-US"/>
        </w:rPr>
        <w:t>applicable Financial Reporting Directions, Australian Accounting Standards including Interpretations, and other mandatory professional reporting requirements.</w:t>
      </w:r>
    </w:p>
    <w:p w14:paraId="4AD6B1A2" w14:textId="77777777" w:rsidR="005B131E" w:rsidRDefault="005B131E" w:rsidP="002542E1">
      <w:pPr>
        <w:pStyle w:val="ARbody"/>
        <w:rPr>
          <w:lang w:val="en-US"/>
        </w:rPr>
      </w:pPr>
      <w:r>
        <w:rPr>
          <w:lang w:val="en-US"/>
        </w:rPr>
        <w:t>We further state that, in our opinion, the information set out in the Comprehensive Operating Statement, Balance Sheet, Cash Flow Statement, Statement of Changes in Equity and accompanying notes, presents fairly the financial transactions during the year ended 30 June 2024 and financial position of the department as at 30 June 2024.</w:t>
      </w:r>
    </w:p>
    <w:p w14:paraId="29696E97" w14:textId="77777777" w:rsidR="005B131E" w:rsidRDefault="005B131E" w:rsidP="002542E1">
      <w:pPr>
        <w:pStyle w:val="ARbody"/>
        <w:rPr>
          <w:lang w:val="en-US"/>
        </w:rPr>
      </w:pPr>
      <w:r>
        <w:rPr>
          <w:lang w:val="en-US"/>
        </w:rPr>
        <w:t>At the time of signing, we are not aware of any circumstance which would render any particulars included in the financial statements to be misleading or inaccurate.</w:t>
      </w:r>
    </w:p>
    <w:p w14:paraId="4CC46F6C" w14:textId="77777777" w:rsidR="005B131E" w:rsidRDefault="005B131E" w:rsidP="002542E1">
      <w:pPr>
        <w:pStyle w:val="ARbody"/>
        <w:rPr>
          <w:lang w:val="en-US"/>
        </w:rPr>
      </w:pPr>
      <w:r>
        <w:rPr>
          <w:lang w:val="en-US"/>
        </w:rPr>
        <w:t>We authorise the attached financial statements for issue on 13 September 2024.</w:t>
      </w:r>
    </w:p>
    <w:p w14:paraId="26F35089" w14:textId="77777777" w:rsidR="005B131E" w:rsidRDefault="005B131E" w:rsidP="002542E1">
      <w:pPr>
        <w:pStyle w:val="ARbodyforsignatures"/>
        <w:rPr>
          <w:color w:val="000000"/>
          <w:szCs w:val="20"/>
          <w:lang w:val="en-US"/>
        </w:rPr>
      </w:pPr>
      <w:r>
        <w:rPr>
          <w:noProof/>
        </w:rPr>
        <w:drawing>
          <wp:inline distT="0" distB="0" distL="0" distR="0" wp14:anchorId="31BFFB19" wp14:editId="1D5B1BB7">
            <wp:extent cx="1486418" cy="469900"/>
            <wp:effectExtent l="0" t="0" r="0" b="6350"/>
            <wp:docPr id="950367275" name="Picture 950367275" descr="Signature&#10;Peta McCammon&#10;Secretary&#10;Department of Families, Fairness and Hous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67275" name="Picture 950367275" descr="Signature&#10;Peta McCammon&#10;Secretary&#10;Department of Families, Fairness and Housing&#10;"/>
                    <pic:cNvPicPr>
                      <a:picLocks noChangeAspect="1" noChangeArrowheads="1"/>
                    </pic:cNvPicPr>
                  </pic:nvPicPr>
                  <pic:blipFill>
                    <a:blip r:embed="rId138" cstate="screen">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1493134" cy="472023"/>
                    </a:xfrm>
                    <a:prstGeom prst="rect">
                      <a:avLst/>
                    </a:prstGeom>
                    <a:noFill/>
                    <a:ln>
                      <a:noFill/>
                    </a:ln>
                  </pic:spPr>
                </pic:pic>
              </a:graphicData>
            </a:graphic>
          </wp:inline>
        </w:drawing>
      </w:r>
    </w:p>
    <w:p w14:paraId="5F656A7D" w14:textId="77777777" w:rsidR="005B131E" w:rsidRDefault="005B131E" w:rsidP="002542E1">
      <w:pPr>
        <w:pStyle w:val="ARbodynospace"/>
        <w:rPr>
          <w:lang w:val="en-US"/>
        </w:rPr>
      </w:pPr>
      <w:r>
        <w:rPr>
          <w:lang w:val="en-US"/>
        </w:rPr>
        <w:t>Peta McCammon</w:t>
      </w:r>
    </w:p>
    <w:p w14:paraId="50B32BA1" w14:textId="77777777" w:rsidR="005B131E" w:rsidRDefault="005B131E" w:rsidP="002542E1">
      <w:pPr>
        <w:pStyle w:val="ARbodynospace"/>
        <w:rPr>
          <w:lang w:val="en-US"/>
        </w:rPr>
      </w:pPr>
      <w:r>
        <w:rPr>
          <w:lang w:val="en-US"/>
        </w:rPr>
        <w:t>Secretary</w:t>
      </w:r>
    </w:p>
    <w:p w14:paraId="049DA0C0" w14:textId="77777777" w:rsidR="005B131E" w:rsidRDefault="005B131E" w:rsidP="002542E1">
      <w:pPr>
        <w:pStyle w:val="ARbody"/>
        <w:rPr>
          <w:lang w:val="en-US"/>
        </w:rPr>
      </w:pPr>
      <w:r>
        <w:rPr>
          <w:lang w:val="en-US"/>
        </w:rPr>
        <w:t>Department of Families, Fairness and Housing</w:t>
      </w:r>
    </w:p>
    <w:p w14:paraId="2E2C9063" w14:textId="77777777" w:rsidR="005B131E" w:rsidRDefault="005B131E" w:rsidP="002542E1">
      <w:pPr>
        <w:pStyle w:val="ARbodynospace"/>
        <w:rPr>
          <w:lang w:val="en-US"/>
        </w:rPr>
      </w:pPr>
      <w:r>
        <w:rPr>
          <w:lang w:val="en-US"/>
        </w:rPr>
        <w:t>Melbourne</w:t>
      </w:r>
    </w:p>
    <w:p w14:paraId="7EABE700" w14:textId="77777777" w:rsidR="005B131E" w:rsidRDefault="005B131E" w:rsidP="002542E1">
      <w:pPr>
        <w:pStyle w:val="ARbodynospace"/>
        <w:rPr>
          <w:lang w:val="en-US"/>
        </w:rPr>
      </w:pPr>
      <w:r>
        <w:rPr>
          <w:lang w:val="en-US"/>
        </w:rPr>
        <w:t>13 September 2024</w:t>
      </w:r>
    </w:p>
    <w:p w14:paraId="23C9DE51" w14:textId="77777777" w:rsidR="005B131E" w:rsidRPr="00CB09EB" w:rsidRDefault="005B131E" w:rsidP="002542E1">
      <w:pPr>
        <w:pStyle w:val="ARbodyforsignatures"/>
      </w:pPr>
      <w:r>
        <w:rPr>
          <w:noProof/>
        </w:rPr>
        <w:drawing>
          <wp:inline distT="0" distB="0" distL="0" distR="0" wp14:anchorId="744BE303" wp14:editId="4B42FA45">
            <wp:extent cx="1640359" cy="482600"/>
            <wp:effectExtent l="0" t="0" r="0" b="0"/>
            <wp:docPr id="1" name="Picture 1" descr="Signature&#10;Cynthia Lahiff&#10;Chief Finance Officer&#10;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10;Cynthia Lahiff&#10;Chief Finance Officer&#10;Department of Families, Fairness and Housing"/>
                    <pic:cNvPicPr>
                      <a:picLocks noChangeAspect="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1643506" cy="483526"/>
                    </a:xfrm>
                    <a:prstGeom prst="rect">
                      <a:avLst/>
                    </a:prstGeom>
                    <a:noFill/>
                    <a:ln>
                      <a:noFill/>
                    </a:ln>
                  </pic:spPr>
                </pic:pic>
              </a:graphicData>
            </a:graphic>
          </wp:inline>
        </w:drawing>
      </w:r>
    </w:p>
    <w:p w14:paraId="126291E2" w14:textId="77777777" w:rsidR="005B131E" w:rsidRDefault="005B131E" w:rsidP="002542E1">
      <w:pPr>
        <w:pStyle w:val="ARbodynospace"/>
        <w:rPr>
          <w:lang w:val="en-US"/>
        </w:rPr>
      </w:pPr>
      <w:r>
        <w:rPr>
          <w:lang w:val="en-US"/>
        </w:rPr>
        <w:t>Cynthia Lahiff</w:t>
      </w:r>
    </w:p>
    <w:p w14:paraId="6A835760" w14:textId="77777777" w:rsidR="005B131E" w:rsidRDefault="005B131E" w:rsidP="002542E1">
      <w:pPr>
        <w:pStyle w:val="ARbodynospace"/>
        <w:rPr>
          <w:lang w:val="en-US"/>
        </w:rPr>
      </w:pPr>
      <w:r>
        <w:rPr>
          <w:lang w:val="en-US"/>
        </w:rPr>
        <w:t>Chief Finance Officer</w:t>
      </w:r>
    </w:p>
    <w:p w14:paraId="4BBBFAA1" w14:textId="77777777" w:rsidR="005B131E" w:rsidRDefault="005B131E" w:rsidP="002542E1">
      <w:pPr>
        <w:pStyle w:val="ARbody"/>
        <w:rPr>
          <w:lang w:val="en-US"/>
        </w:rPr>
      </w:pPr>
      <w:r>
        <w:rPr>
          <w:lang w:val="en-US"/>
        </w:rPr>
        <w:t>Department of Families, Fairness and Housing</w:t>
      </w:r>
    </w:p>
    <w:p w14:paraId="058ADCE4" w14:textId="77777777" w:rsidR="005B131E" w:rsidRDefault="005B131E" w:rsidP="002542E1">
      <w:pPr>
        <w:pStyle w:val="ARbodynospace"/>
        <w:rPr>
          <w:lang w:val="en-US"/>
        </w:rPr>
      </w:pPr>
      <w:r>
        <w:rPr>
          <w:lang w:val="en-US"/>
        </w:rPr>
        <w:t>Melbourne</w:t>
      </w:r>
    </w:p>
    <w:p w14:paraId="3B48C79B" w14:textId="77777777" w:rsidR="005B131E" w:rsidRPr="00CB09EB" w:rsidRDefault="005B131E" w:rsidP="002542E1">
      <w:pPr>
        <w:pStyle w:val="ARbodynospace"/>
      </w:pPr>
      <w:r>
        <w:rPr>
          <w:lang w:val="en-US"/>
        </w:rPr>
        <w:t>13 September 2024</w:t>
      </w:r>
    </w:p>
    <w:p w14:paraId="721E68A9" w14:textId="77777777" w:rsidR="005B131E" w:rsidRPr="00BA7805" w:rsidRDefault="005B131E" w:rsidP="000E392F">
      <w:pPr>
        <w:pStyle w:val="ARbody"/>
        <w:rPr>
          <w:highlight w:val="green"/>
        </w:rPr>
      </w:pPr>
      <w:r w:rsidRPr="00BA7805">
        <w:rPr>
          <w:highlight w:val="green"/>
        </w:rPr>
        <w:br w:type="page"/>
      </w:r>
    </w:p>
    <w:p w14:paraId="13A2160E" w14:textId="2274F59A" w:rsidR="005B131E" w:rsidRPr="00DE3F66" w:rsidRDefault="005B131E">
      <w:pPr>
        <w:pStyle w:val="Heading2Financials"/>
      </w:pPr>
      <w:bookmarkStart w:id="258" w:name="_Toc181101540"/>
      <w:r w:rsidRPr="00DE3F66">
        <w:t>Independent auditor</w:t>
      </w:r>
      <w:r w:rsidR="00711AE6">
        <w:t>’</w:t>
      </w:r>
      <w:r w:rsidRPr="00DE3F66">
        <w:t>s report</w:t>
      </w:r>
      <w:bookmarkEnd w:id="258"/>
    </w:p>
    <w:p w14:paraId="18DAF4C6" w14:textId="77777777" w:rsidR="00DE3F66" w:rsidRDefault="00DE3F66" w:rsidP="002542E1">
      <w:pPr>
        <w:pStyle w:val="ARbody"/>
      </w:pPr>
      <w:r>
        <w:rPr>
          <w:noProof/>
        </w:rPr>
        <w:drawing>
          <wp:inline distT="0" distB="0" distL="0" distR="0" wp14:anchorId="06757945" wp14:editId="7639D6BF">
            <wp:extent cx="5904000" cy="8348473"/>
            <wp:effectExtent l="19050" t="19050" r="20955" b="14605"/>
            <wp:docPr id="344193731" name="Picture 2" descr="Independent auditor's report, page 1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93731" name="Picture 2" descr="Independent auditor's report, page 1 of 4. To request the full text of the auditor's report, email DFFHcorporate.reporting@dffh.vic.gov.au."/>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904000" cy="8348473"/>
                    </a:xfrm>
                    <a:prstGeom prst="rect">
                      <a:avLst/>
                    </a:prstGeom>
                    <a:ln w="3175">
                      <a:solidFill>
                        <a:schemeClr val="accent2"/>
                      </a:solidFill>
                    </a:ln>
                  </pic:spPr>
                </pic:pic>
              </a:graphicData>
            </a:graphic>
          </wp:inline>
        </w:drawing>
      </w:r>
    </w:p>
    <w:p w14:paraId="4C34D7E6" w14:textId="73297784" w:rsidR="005B131E" w:rsidRDefault="00DE3F66" w:rsidP="002542E1">
      <w:pPr>
        <w:pStyle w:val="ARbody"/>
        <w:rPr>
          <w:highlight w:val="green"/>
        </w:rPr>
      </w:pPr>
      <w:r>
        <w:rPr>
          <w:noProof/>
        </w:rPr>
        <w:drawing>
          <wp:inline distT="0" distB="0" distL="0" distR="0" wp14:anchorId="679F0FF8" wp14:editId="33DB1177">
            <wp:extent cx="6116320" cy="8648700"/>
            <wp:effectExtent l="19050" t="19050" r="17780" b="19050"/>
            <wp:docPr id="105059495" name="Picture 3" descr="Independent auditor's report, page 2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9495" name="Picture 3" descr="Independent auditor's report, page 2 of 4. To request the full text of the auditor's report, email DFFHcorporate.reporting@dffh.vic.gov.au."/>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6116320" cy="8648700"/>
                    </a:xfrm>
                    <a:prstGeom prst="rect">
                      <a:avLst/>
                    </a:prstGeom>
                    <a:ln w="3175">
                      <a:solidFill>
                        <a:schemeClr val="accent2"/>
                      </a:solidFill>
                    </a:ln>
                  </pic:spPr>
                </pic:pic>
              </a:graphicData>
            </a:graphic>
          </wp:inline>
        </w:drawing>
      </w:r>
      <w:r>
        <w:rPr>
          <w:noProof/>
        </w:rPr>
        <w:drawing>
          <wp:inline distT="0" distB="0" distL="0" distR="0" wp14:anchorId="4A279008" wp14:editId="3F3A1F99">
            <wp:extent cx="6116320" cy="8648700"/>
            <wp:effectExtent l="19050" t="19050" r="17780" b="19050"/>
            <wp:docPr id="205239078" name="Picture 4" descr="Independent auditor's report, page 3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9078" name="Picture 4" descr="Independent auditor's report, page 3 of 4. To request the full text of the auditor's report, email DFFHcorporate.reporting@dffh.vic.gov.au."/>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6116320" cy="8648700"/>
                    </a:xfrm>
                    <a:prstGeom prst="rect">
                      <a:avLst/>
                    </a:prstGeom>
                    <a:ln w="3175">
                      <a:solidFill>
                        <a:schemeClr val="accent2"/>
                      </a:solidFill>
                    </a:ln>
                  </pic:spPr>
                </pic:pic>
              </a:graphicData>
            </a:graphic>
          </wp:inline>
        </w:drawing>
      </w:r>
      <w:r>
        <w:rPr>
          <w:noProof/>
        </w:rPr>
        <w:drawing>
          <wp:inline distT="0" distB="0" distL="0" distR="0" wp14:anchorId="06A16560" wp14:editId="4C504A2B">
            <wp:extent cx="6116320" cy="8648700"/>
            <wp:effectExtent l="19050" t="19050" r="17780" b="19050"/>
            <wp:docPr id="2089795030" name="Picture 5" descr="Independent auditor's report, page 4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95030" name="Picture 5" descr="Independent auditor's report, page 4 of 4. To request the full text of the auditor's report, email DFFHcorporate.reporting@dffh.vic.gov.au."/>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116320" cy="8648700"/>
                    </a:xfrm>
                    <a:prstGeom prst="rect">
                      <a:avLst/>
                    </a:prstGeom>
                    <a:ln w="3175">
                      <a:solidFill>
                        <a:schemeClr val="accent2"/>
                      </a:solidFill>
                    </a:ln>
                  </pic:spPr>
                </pic:pic>
              </a:graphicData>
            </a:graphic>
          </wp:inline>
        </w:drawing>
      </w:r>
      <w:r w:rsidR="005B131E">
        <w:rPr>
          <w:highlight w:val="green"/>
        </w:rPr>
        <w:br w:type="page"/>
      </w:r>
    </w:p>
    <w:p w14:paraId="224B70F7" w14:textId="77777777" w:rsidR="005B131E" w:rsidRPr="005477F5" w:rsidRDefault="005B131E">
      <w:pPr>
        <w:pStyle w:val="Heading2Financials"/>
      </w:pPr>
      <w:bookmarkStart w:id="259" w:name="_Toc181101541"/>
      <w:r w:rsidRPr="005477F5">
        <w:t>Comprehensive operating statement</w:t>
      </w:r>
      <w:r w:rsidRPr="005477F5">
        <w:br/>
        <w:t>for the financial year ended 30 June 2024</w:t>
      </w:r>
      <w:bookmarkEnd w:id="259"/>
    </w:p>
    <w:tbl>
      <w:tblPr>
        <w:tblStyle w:val="TableGrid"/>
        <w:tblW w:w="9637" w:type="dxa"/>
        <w:tblLayout w:type="fixed"/>
        <w:tblLook w:val="06A0" w:firstRow="1" w:lastRow="0" w:firstColumn="1" w:lastColumn="0" w:noHBand="1" w:noVBand="1"/>
      </w:tblPr>
      <w:tblGrid>
        <w:gridCol w:w="6064"/>
        <w:gridCol w:w="851"/>
        <w:gridCol w:w="1361"/>
        <w:gridCol w:w="1361"/>
      </w:tblGrid>
      <w:tr w:rsidR="00E57D5B" w:rsidRPr="00BA7805" w14:paraId="32CF7100"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43398879" w14:textId="77777777" w:rsidR="005B131E" w:rsidRPr="00BA7805" w:rsidRDefault="005B131E">
            <w:pPr>
              <w:pStyle w:val="ARfintablecolhead"/>
              <w:rPr>
                <w:highlight w:val="green"/>
              </w:rPr>
            </w:pPr>
          </w:p>
        </w:tc>
        <w:tc>
          <w:tcPr>
            <w:tcW w:w="851" w:type="dxa"/>
            <w:tcBorders>
              <w:bottom w:val="single" w:sz="4" w:space="0" w:color="auto"/>
            </w:tcBorders>
            <w:noWrap/>
            <w:hideMark/>
          </w:tcPr>
          <w:p w14:paraId="11357482" w14:textId="77777777" w:rsidR="005B131E" w:rsidRPr="00666F1B" w:rsidRDefault="005B131E">
            <w:pPr>
              <w:pStyle w:val="ARfintablecolheadright"/>
            </w:pPr>
            <w:r w:rsidRPr="00666F1B">
              <w:t>Note</w:t>
            </w:r>
          </w:p>
        </w:tc>
        <w:tc>
          <w:tcPr>
            <w:tcW w:w="1361" w:type="dxa"/>
            <w:tcBorders>
              <w:bottom w:val="single" w:sz="4" w:space="0" w:color="auto"/>
            </w:tcBorders>
            <w:shd w:val="clear" w:color="auto" w:fill="E7E6E6" w:themeFill="accent4"/>
            <w:hideMark/>
          </w:tcPr>
          <w:p w14:paraId="4AC35DF1" w14:textId="77777777" w:rsidR="005B131E" w:rsidRPr="00666F1B" w:rsidRDefault="005B131E">
            <w:pPr>
              <w:pStyle w:val="ARfintablecolheadright"/>
            </w:pPr>
            <w:r w:rsidRPr="00666F1B">
              <w:t>2024</w:t>
            </w:r>
          </w:p>
          <w:p w14:paraId="43F7C1AA" w14:textId="77777777" w:rsidR="005B131E" w:rsidRPr="00666F1B" w:rsidRDefault="005B131E">
            <w:pPr>
              <w:pStyle w:val="ARfintablecolheadright"/>
            </w:pPr>
            <w:r w:rsidRPr="00666F1B">
              <w:t>$M</w:t>
            </w:r>
          </w:p>
        </w:tc>
        <w:tc>
          <w:tcPr>
            <w:tcW w:w="1361" w:type="dxa"/>
            <w:tcBorders>
              <w:bottom w:val="single" w:sz="4" w:space="0" w:color="auto"/>
            </w:tcBorders>
            <w:hideMark/>
          </w:tcPr>
          <w:p w14:paraId="12CD6BCE" w14:textId="77777777" w:rsidR="005B131E" w:rsidRPr="00666F1B" w:rsidRDefault="005B131E">
            <w:pPr>
              <w:pStyle w:val="ARfintablecolheadright"/>
            </w:pPr>
            <w:r w:rsidRPr="00666F1B">
              <w:t>2023</w:t>
            </w:r>
          </w:p>
          <w:p w14:paraId="6DAD7787" w14:textId="77777777" w:rsidR="005B131E" w:rsidRPr="00666F1B" w:rsidRDefault="005B131E">
            <w:pPr>
              <w:pStyle w:val="ARfintablecolheadright"/>
            </w:pPr>
            <w:r w:rsidRPr="00666F1B">
              <w:t>$M</w:t>
            </w:r>
          </w:p>
        </w:tc>
      </w:tr>
      <w:tr w:rsidR="005B131E" w:rsidRPr="00BA7805" w14:paraId="31C7D2DD" w14:textId="77777777">
        <w:tc>
          <w:tcPr>
            <w:tcW w:w="9637" w:type="dxa"/>
            <w:gridSpan w:val="4"/>
            <w:tcBorders>
              <w:top w:val="single" w:sz="4" w:space="0" w:color="auto"/>
              <w:bottom w:val="single" w:sz="4" w:space="0" w:color="A6A6A6" w:themeColor="background1" w:themeShade="A6"/>
            </w:tcBorders>
            <w:hideMark/>
          </w:tcPr>
          <w:p w14:paraId="5B2EE9AF" w14:textId="77777777" w:rsidR="005B131E" w:rsidRPr="00BA7805" w:rsidRDefault="005B131E" w:rsidP="002542E1">
            <w:pPr>
              <w:pStyle w:val="ARfintablebodybold"/>
              <w:rPr>
                <w:highlight w:val="green"/>
              </w:rPr>
            </w:pPr>
            <w:r w:rsidRPr="007A28E4">
              <w:t>Revenue and income from transactions</w:t>
            </w:r>
          </w:p>
        </w:tc>
      </w:tr>
      <w:tr w:rsidR="005B131E" w:rsidRPr="00BA7805" w14:paraId="35BDC91D" w14:textId="77777777" w:rsidTr="002542E1">
        <w:tc>
          <w:tcPr>
            <w:tcW w:w="6064" w:type="dxa"/>
            <w:tcBorders>
              <w:top w:val="single" w:sz="4" w:space="0" w:color="A6A6A6" w:themeColor="background1" w:themeShade="A6"/>
              <w:bottom w:val="single" w:sz="4" w:space="0" w:color="A6A6A6" w:themeColor="background1" w:themeShade="A6"/>
            </w:tcBorders>
          </w:tcPr>
          <w:p w14:paraId="59F13E87" w14:textId="77777777" w:rsidR="005B131E" w:rsidRPr="00BA7805" w:rsidRDefault="005B131E" w:rsidP="002542E1">
            <w:pPr>
              <w:pStyle w:val="ARfintablebody"/>
              <w:rPr>
                <w:highlight w:val="green"/>
              </w:rPr>
            </w:pPr>
            <w:r w:rsidRPr="007A28E4">
              <w:t>Output appropriations</w:t>
            </w:r>
          </w:p>
        </w:tc>
        <w:tc>
          <w:tcPr>
            <w:tcW w:w="851" w:type="dxa"/>
            <w:tcBorders>
              <w:top w:val="single" w:sz="4" w:space="0" w:color="A6A6A6" w:themeColor="background1" w:themeShade="A6"/>
              <w:bottom w:val="single" w:sz="4" w:space="0" w:color="A6A6A6" w:themeColor="background1" w:themeShade="A6"/>
            </w:tcBorders>
            <w:noWrap/>
          </w:tcPr>
          <w:p w14:paraId="16F89D82" w14:textId="77777777" w:rsidR="005B131E" w:rsidRPr="00BA7805" w:rsidRDefault="005B131E" w:rsidP="002542E1">
            <w:pPr>
              <w:pStyle w:val="ARfintablebodyright"/>
              <w:rPr>
                <w:highlight w:val="green"/>
              </w:rPr>
            </w:pPr>
            <w:r w:rsidRPr="007A28E4">
              <w:t>2.3</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5ABF3D3F" w14:textId="77777777" w:rsidR="005B131E" w:rsidRPr="00BA7805" w:rsidRDefault="005B131E" w:rsidP="002542E1">
            <w:pPr>
              <w:pStyle w:val="ARfintablebodyright"/>
              <w:rPr>
                <w:highlight w:val="green"/>
              </w:rPr>
            </w:pPr>
            <w:r w:rsidRPr="007A28E4">
              <w:t>5,302.2</w:t>
            </w:r>
          </w:p>
        </w:tc>
        <w:tc>
          <w:tcPr>
            <w:tcW w:w="1361" w:type="dxa"/>
            <w:tcBorders>
              <w:top w:val="single" w:sz="4" w:space="0" w:color="A6A6A6" w:themeColor="background1" w:themeShade="A6"/>
              <w:bottom w:val="single" w:sz="4" w:space="0" w:color="A6A6A6" w:themeColor="background1" w:themeShade="A6"/>
            </w:tcBorders>
            <w:noWrap/>
          </w:tcPr>
          <w:p w14:paraId="759D7C7D" w14:textId="77777777" w:rsidR="005B131E" w:rsidRPr="00BA7805" w:rsidRDefault="005B131E" w:rsidP="002542E1">
            <w:pPr>
              <w:pStyle w:val="ARfintablebodyright"/>
              <w:rPr>
                <w:highlight w:val="green"/>
              </w:rPr>
            </w:pPr>
            <w:r w:rsidRPr="007A28E4">
              <w:t>4,968.4</w:t>
            </w:r>
          </w:p>
        </w:tc>
      </w:tr>
      <w:tr w:rsidR="005B131E" w:rsidRPr="00BA7805" w14:paraId="34F91EDA" w14:textId="77777777" w:rsidTr="002542E1">
        <w:tc>
          <w:tcPr>
            <w:tcW w:w="6064" w:type="dxa"/>
            <w:tcBorders>
              <w:top w:val="single" w:sz="4" w:space="0" w:color="A6A6A6" w:themeColor="background1" w:themeShade="A6"/>
              <w:bottom w:val="single" w:sz="4" w:space="0" w:color="A6A6A6" w:themeColor="background1" w:themeShade="A6"/>
            </w:tcBorders>
          </w:tcPr>
          <w:p w14:paraId="4CD92132" w14:textId="77777777" w:rsidR="005B131E" w:rsidRPr="00BA7805" w:rsidRDefault="005B131E" w:rsidP="002542E1">
            <w:pPr>
              <w:pStyle w:val="ARfintablebody"/>
              <w:rPr>
                <w:highlight w:val="green"/>
              </w:rPr>
            </w:pPr>
            <w:r w:rsidRPr="007A28E4">
              <w:t>Special appropriations</w:t>
            </w:r>
          </w:p>
        </w:tc>
        <w:tc>
          <w:tcPr>
            <w:tcW w:w="851" w:type="dxa"/>
            <w:tcBorders>
              <w:top w:val="single" w:sz="4" w:space="0" w:color="A6A6A6" w:themeColor="background1" w:themeShade="A6"/>
              <w:bottom w:val="single" w:sz="4" w:space="0" w:color="A6A6A6" w:themeColor="background1" w:themeShade="A6"/>
            </w:tcBorders>
            <w:noWrap/>
          </w:tcPr>
          <w:p w14:paraId="40DB55D4" w14:textId="77777777" w:rsidR="005B131E" w:rsidRPr="00BA7805" w:rsidRDefault="005B131E" w:rsidP="002542E1">
            <w:pPr>
              <w:pStyle w:val="ARfintablebodyright"/>
              <w:rPr>
                <w:highlight w:val="green"/>
              </w:rPr>
            </w:pPr>
            <w:r w:rsidRPr="007A28E4">
              <w:t>2.3</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978779D" w14:textId="6A35C639" w:rsidR="005B131E" w:rsidRPr="00BA7805" w:rsidRDefault="005B131E" w:rsidP="00B31DF7">
            <w:pPr>
              <w:pStyle w:val="ARfintablebodyright"/>
              <w:rPr>
                <w:highlight w:val="green"/>
              </w:rPr>
            </w:pPr>
            <w:r w:rsidRPr="007A28E4">
              <w:t>79.5</w:t>
            </w:r>
          </w:p>
        </w:tc>
        <w:tc>
          <w:tcPr>
            <w:tcW w:w="1361" w:type="dxa"/>
            <w:tcBorders>
              <w:top w:val="single" w:sz="4" w:space="0" w:color="A6A6A6" w:themeColor="background1" w:themeShade="A6"/>
              <w:bottom w:val="single" w:sz="4" w:space="0" w:color="A6A6A6" w:themeColor="background1" w:themeShade="A6"/>
            </w:tcBorders>
            <w:noWrap/>
          </w:tcPr>
          <w:p w14:paraId="5D919474" w14:textId="77777777" w:rsidR="005B131E" w:rsidRPr="00BA7805" w:rsidRDefault="005B131E" w:rsidP="002542E1">
            <w:pPr>
              <w:pStyle w:val="ARfintablebodyright"/>
              <w:rPr>
                <w:highlight w:val="green"/>
              </w:rPr>
            </w:pPr>
            <w:r w:rsidRPr="007A28E4">
              <w:t>79.1</w:t>
            </w:r>
          </w:p>
        </w:tc>
      </w:tr>
      <w:tr w:rsidR="005B131E" w:rsidRPr="00BA7805" w14:paraId="000AF1E9" w14:textId="77777777" w:rsidTr="002542E1">
        <w:tc>
          <w:tcPr>
            <w:tcW w:w="6064" w:type="dxa"/>
            <w:tcBorders>
              <w:top w:val="single" w:sz="4" w:space="0" w:color="A6A6A6" w:themeColor="background1" w:themeShade="A6"/>
              <w:bottom w:val="single" w:sz="4" w:space="0" w:color="A6A6A6" w:themeColor="background1" w:themeShade="A6"/>
            </w:tcBorders>
          </w:tcPr>
          <w:p w14:paraId="54215C93" w14:textId="77777777" w:rsidR="005B131E" w:rsidRPr="00BA7805" w:rsidRDefault="005B131E" w:rsidP="002542E1">
            <w:pPr>
              <w:pStyle w:val="ARfintablebody"/>
              <w:rPr>
                <w:highlight w:val="green"/>
              </w:rPr>
            </w:pPr>
            <w:r w:rsidRPr="007A28E4">
              <w:t>Rental income</w:t>
            </w:r>
          </w:p>
        </w:tc>
        <w:tc>
          <w:tcPr>
            <w:tcW w:w="851" w:type="dxa"/>
            <w:tcBorders>
              <w:top w:val="single" w:sz="4" w:space="0" w:color="A6A6A6" w:themeColor="background1" w:themeShade="A6"/>
              <w:bottom w:val="single" w:sz="4" w:space="0" w:color="A6A6A6" w:themeColor="background1" w:themeShade="A6"/>
            </w:tcBorders>
            <w:noWrap/>
          </w:tcPr>
          <w:p w14:paraId="1EE942E7" w14:textId="77777777" w:rsidR="005B131E" w:rsidRPr="00BA7805" w:rsidRDefault="005B131E" w:rsidP="002542E1">
            <w:pPr>
              <w:pStyle w:val="ARfintablebodyright"/>
              <w:rPr>
                <w:highlight w:val="green"/>
              </w:rPr>
            </w:pPr>
            <w:r w:rsidRPr="007A28E4">
              <w:t>2.4.1</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5B8670A" w14:textId="77777777" w:rsidR="005B131E" w:rsidRPr="00BA7805" w:rsidRDefault="005B131E" w:rsidP="002542E1">
            <w:pPr>
              <w:pStyle w:val="ARfintablebodyright"/>
              <w:rPr>
                <w:highlight w:val="green"/>
              </w:rPr>
            </w:pPr>
            <w:r w:rsidRPr="007A28E4">
              <w:t>555.5</w:t>
            </w:r>
          </w:p>
        </w:tc>
        <w:tc>
          <w:tcPr>
            <w:tcW w:w="1361" w:type="dxa"/>
            <w:tcBorders>
              <w:top w:val="single" w:sz="4" w:space="0" w:color="A6A6A6" w:themeColor="background1" w:themeShade="A6"/>
              <w:bottom w:val="single" w:sz="4" w:space="0" w:color="A6A6A6" w:themeColor="background1" w:themeShade="A6"/>
            </w:tcBorders>
            <w:noWrap/>
          </w:tcPr>
          <w:p w14:paraId="3E55E3A4" w14:textId="77777777" w:rsidR="005B131E" w:rsidRPr="00BA7805" w:rsidRDefault="005B131E" w:rsidP="002542E1">
            <w:pPr>
              <w:pStyle w:val="ARfintablebodyright"/>
              <w:rPr>
                <w:highlight w:val="green"/>
              </w:rPr>
            </w:pPr>
            <w:r w:rsidRPr="007A28E4">
              <w:t>523.3</w:t>
            </w:r>
          </w:p>
        </w:tc>
      </w:tr>
      <w:tr w:rsidR="005B131E" w:rsidRPr="00BA7805" w14:paraId="20E61324" w14:textId="77777777" w:rsidTr="002542E1">
        <w:tc>
          <w:tcPr>
            <w:tcW w:w="6064" w:type="dxa"/>
            <w:tcBorders>
              <w:top w:val="single" w:sz="4" w:space="0" w:color="A6A6A6" w:themeColor="background1" w:themeShade="A6"/>
              <w:bottom w:val="single" w:sz="4" w:space="0" w:color="A6A6A6" w:themeColor="background1" w:themeShade="A6"/>
            </w:tcBorders>
          </w:tcPr>
          <w:p w14:paraId="3EEF1744" w14:textId="77777777" w:rsidR="005B131E" w:rsidRPr="00BA7805" w:rsidRDefault="005B131E" w:rsidP="002542E1">
            <w:pPr>
              <w:pStyle w:val="ARfintablebody"/>
              <w:rPr>
                <w:highlight w:val="green"/>
              </w:rPr>
            </w:pPr>
            <w:r w:rsidRPr="007A28E4">
              <w:t>Grants</w:t>
            </w:r>
          </w:p>
        </w:tc>
        <w:tc>
          <w:tcPr>
            <w:tcW w:w="851" w:type="dxa"/>
            <w:tcBorders>
              <w:top w:val="single" w:sz="4" w:space="0" w:color="A6A6A6" w:themeColor="background1" w:themeShade="A6"/>
              <w:bottom w:val="single" w:sz="4" w:space="0" w:color="A6A6A6" w:themeColor="background1" w:themeShade="A6"/>
            </w:tcBorders>
            <w:noWrap/>
          </w:tcPr>
          <w:p w14:paraId="755C5834" w14:textId="77777777" w:rsidR="005B131E" w:rsidRPr="00BA7805" w:rsidRDefault="005B131E" w:rsidP="002542E1">
            <w:pPr>
              <w:pStyle w:val="ARfintablebodyright"/>
              <w:rPr>
                <w:highlight w:val="green"/>
              </w:rPr>
            </w:pPr>
            <w:r w:rsidRPr="007A28E4">
              <w:t>2.4.2</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2B0BBD2" w14:textId="77777777" w:rsidR="005B131E" w:rsidRPr="00BA7805" w:rsidRDefault="005B131E" w:rsidP="002542E1">
            <w:pPr>
              <w:pStyle w:val="ARfintablebodyright"/>
              <w:rPr>
                <w:highlight w:val="green"/>
              </w:rPr>
            </w:pPr>
            <w:r w:rsidRPr="007A28E4">
              <w:t>418.2</w:t>
            </w:r>
          </w:p>
        </w:tc>
        <w:tc>
          <w:tcPr>
            <w:tcW w:w="1361" w:type="dxa"/>
            <w:tcBorders>
              <w:top w:val="single" w:sz="4" w:space="0" w:color="A6A6A6" w:themeColor="background1" w:themeShade="A6"/>
              <w:bottom w:val="single" w:sz="4" w:space="0" w:color="A6A6A6" w:themeColor="background1" w:themeShade="A6"/>
            </w:tcBorders>
            <w:noWrap/>
          </w:tcPr>
          <w:p w14:paraId="01226E17" w14:textId="77777777" w:rsidR="005B131E" w:rsidRPr="00BA7805" w:rsidRDefault="005B131E" w:rsidP="002542E1">
            <w:pPr>
              <w:pStyle w:val="ARfintablebodyright"/>
              <w:rPr>
                <w:highlight w:val="green"/>
              </w:rPr>
            </w:pPr>
            <w:r w:rsidRPr="007A28E4">
              <w:t>442.9</w:t>
            </w:r>
          </w:p>
        </w:tc>
      </w:tr>
      <w:tr w:rsidR="005B131E" w:rsidRPr="00BA7805" w14:paraId="71A9371F" w14:textId="77777777" w:rsidTr="002542E1">
        <w:tc>
          <w:tcPr>
            <w:tcW w:w="6064" w:type="dxa"/>
            <w:tcBorders>
              <w:top w:val="single" w:sz="4" w:space="0" w:color="A6A6A6" w:themeColor="background1" w:themeShade="A6"/>
              <w:bottom w:val="single" w:sz="4" w:space="0" w:color="A6A6A6" w:themeColor="background1" w:themeShade="A6"/>
            </w:tcBorders>
          </w:tcPr>
          <w:p w14:paraId="35791B0E" w14:textId="77777777" w:rsidR="005B131E" w:rsidRPr="00BA7805" w:rsidRDefault="005B131E" w:rsidP="002542E1">
            <w:pPr>
              <w:pStyle w:val="ARfintablebody"/>
              <w:rPr>
                <w:highlight w:val="green"/>
              </w:rPr>
            </w:pPr>
            <w:r w:rsidRPr="007A28E4">
              <w:t>Other income</w:t>
            </w:r>
          </w:p>
        </w:tc>
        <w:tc>
          <w:tcPr>
            <w:tcW w:w="851" w:type="dxa"/>
            <w:tcBorders>
              <w:top w:val="single" w:sz="4" w:space="0" w:color="A6A6A6" w:themeColor="background1" w:themeShade="A6"/>
              <w:bottom w:val="single" w:sz="4" w:space="0" w:color="A6A6A6" w:themeColor="background1" w:themeShade="A6"/>
            </w:tcBorders>
            <w:noWrap/>
          </w:tcPr>
          <w:p w14:paraId="020FB84D" w14:textId="77777777" w:rsidR="005B131E" w:rsidRPr="00BA7805" w:rsidRDefault="005B131E" w:rsidP="002542E1">
            <w:pPr>
              <w:pStyle w:val="ARfintablebodyright"/>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01E136D" w14:textId="77777777" w:rsidR="005B131E" w:rsidRPr="00BA7805" w:rsidRDefault="005B131E" w:rsidP="002542E1">
            <w:pPr>
              <w:pStyle w:val="ARfintablebodyright"/>
              <w:rPr>
                <w:highlight w:val="green"/>
              </w:rPr>
            </w:pPr>
            <w:r w:rsidRPr="007A28E4">
              <w:t>42.6</w:t>
            </w:r>
          </w:p>
        </w:tc>
        <w:tc>
          <w:tcPr>
            <w:tcW w:w="1361" w:type="dxa"/>
            <w:tcBorders>
              <w:top w:val="single" w:sz="4" w:space="0" w:color="A6A6A6" w:themeColor="background1" w:themeShade="A6"/>
              <w:bottom w:val="single" w:sz="4" w:space="0" w:color="A6A6A6" w:themeColor="background1" w:themeShade="A6"/>
            </w:tcBorders>
            <w:noWrap/>
          </w:tcPr>
          <w:p w14:paraId="0CDC11F2" w14:textId="77777777" w:rsidR="005B131E" w:rsidRPr="00BA7805" w:rsidRDefault="005B131E" w:rsidP="002542E1">
            <w:pPr>
              <w:pStyle w:val="ARfintablebodyright"/>
              <w:rPr>
                <w:highlight w:val="green"/>
              </w:rPr>
            </w:pPr>
            <w:r w:rsidRPr="007A28E4">
              <w:t>24.3</w:t>
            </w:r>
          </w:p>
        </w:tc>
      </w:tr>
      <w:tr w:rsidR="005B131E" w:rsidRPr="00BA7805" w14:paraId="21816C32" w14:textId="77777777" w:rsidTr="002542E1">
        <w:tc>
          <w:tcPr>
            <w:tcW w:w="6064" w:type="dxa"/>
            <w:tcBorders>
              <w:bottom w:val="single" w:sz="4" w:space="0" w:color="auto"/>
            </w:tcBorders>
          </w:tcPr>
          <w:p w14:paraId="03B481AC" w14:textId="77777777" w:rsidR="005B131E" w:rsidRPr="00BA7805" w:rsidRDefault="005B131E" w:rsidP="002542E1">
            <w:pPr>
              <w:pStyle w:val="ARfintablebodybold"/>
              <w:rPr>
                <w:highlight w:val="green"/>
              </w:rPr>
            </w:pPr>
            <w:r w:rsidRPr="007A28E4">
              <w:t>Total revenue and income from transactions</w:t>
            </w:r>
          </w:p>
        </w:tc>
        <w:tc>
          <w:tcPr>
            <w:tcW w:w="851" w:type="dxa"/>
            <w:tcBorders>
              <w:bottom w:val="single" w:sz="4" w:space="0" w:color="auto"/>
            </w:tcBorders>
          </w:tcPr>
          <w:p w14:paraId="3EDF5C0E" w14:textId="77777777" w:rsidR="005B131E" w:rsidRPr="00BA7805" w:rsidRDefault="005B131E" w:rsidP="002542E1">
            <w:pPr>
              <w:pStyle w:val="ARfintablecolheadright"/>
              <w:rPr>
                <w:highlight w:val="green"/>
              </w:rPr>
            </w:pPr>
          </w:p>
        </w:tc>
        <w:tc>
          <w:tcPr>
            <w:tcW w:w="1361" w:type="dxa"/>
            <w:tcBorders>
              <w:bottom w:val="single" w:sz="4" w:space="0" w:color="auto"/>
            </w:tcBorders>
            <w:shd w:val="clear" w:color="auto" w:fill="E7E6E6" w:themeFill="accent4"/>
            <w:noWrap/>
          </w:tcPr>
          <w:p w14:paraId="19DB643F" w14:textId="77777777" w:rsidR="005B131E" w:rsidRPr="00BA7805" w:rsidRDefault="005B131E" w:rsidP="002542E1">
            <w:pPr>
              <w:pStyle w:val="ARfintablecolheadright"/>
              <w:rPr>
                <w:highlight w:val="green"/>
              </w:rPr>
            </w:pPr>
            <w:r w:rsidRPr="007A28E4">
              <w:t xml:space="preserve"> 6,398.0 </w:t>
            </w:r>
          </w:p>
        </w:tc>
        <w:tc>
          <w:tcPr>
            <w:tcW w:w="1361" w:type="dxa"/>
            <w:tcBorders>
              <w:bottom w:val="single" w:sz="4" w:space="0" w:color="auto"/>
            </w:tcBorders>
            <w:noWrap/>
          </w:tcPr>
          <w:p w14:paraId="10A19297" w14:textId="77777777" w:rsidR="005B131E" w:rsidRPr="00BA7805" w:rsidRDefault="005B131E" w:rsidP="002542E1">
            <w:pPr>
              <w:pStyle w:val="ARfintablecolheadright"/>
              <w:rPr>
                <w:highlight w:val="green"/>
              </w:rPr>
            </w:pPr>
            <w:r w:rsidRPr="007A28E4">
              <w:t xml:space="preserve"> 6,038.0 </w:t>
            </w:r>
          </w:p>
        </w:tc>
      </w:tr>
      <w:tr w:rsidR="005B131E" w:rsidRPr="00BA7805" w14:paraId="6259E462" w14:textId="77777777">
        <w:tc>
          <w:tcPr>
            <w:tcW w:w="9637" w:type="dxa"/>
            <w:gridSpan w:val="4"/>
            <w:tcBorders>
              <w:top w:val="single" w:sz="4" w:space="0" w:color="A6A6A6" w:themeColor="background1" w:themeShade="A6"/>
              <w:bottom w:val="single" w:sz="4" w:space="0" w:color="A6A6A6" w:themeColor="background1" w:themeShade="A6"/>
            </w:tcBorders>
          </w:tcPr>
          <w:p w14:paraId="7D207C9F" w14:textId="77777777" w:rsidR="005B131E" w:rsidRPr="00BA7805" w:rsidRDefault="005B131E" w:rsidP="002542E1">
            <w:pPr>
              <w:pStyle w:val="ARfintablebodybold"/>
              <w:rPr>
                <w:highlight w:val="green"/>
              </w:rPr>
            </w:pPr>
            <w:r w:rsidRPr="00300FEA">
              <w:t>Expenses from transactions</w:t>
            </w:r>
          </w:p>
        </w:tc>
      </w:tr>
      <w:tr w:rsidR="005B131E" w:rsidRPr="00BA7805" w14:paraId="18BECAE5" w14:textId="77777777" w:rsidTr="002542E1">
        <w:tc>
          <w:tcPr>
            <w:tcW w:w="6064" w:type="dxa"/>
            <w:tcBorders>
              <w:top w:val="single" w:sz="4" w:space="0" w:color="A6A6A6" w:themeColor="background1" w:themeShade="A6"/>
              <w:bottom w:val="single" w:sz="4" w:space="0" w:color="A6A6A6" w:themeColor="background1" w:themeShade="A6"/>
            </w:tcBorders>
          </w:tcPr>
          <w:p w14:paraId="2D9B70EC" w14:textId="77777777" w:rsidR="005B131E" w:rsidRPr="00BA7805" w:rsidRDefault="005B131E" w:rsidP="002542E1">
            <w:pPr>
              <w:pStyle w:val="ARfintablebody"/>
              <w:rPr>
                <w:highlight w:val="green"/>
              </w:rPr>
            </w:pPr>
            <w:r w:rsidRPr="00300FEA">
              <w:t>Employee benefits</w:t>
            </w:r>
          </w:p>
        </w:tc>
        <w:tc>
          <w:tcPr>
            <w:tcW w:w="851" w:type="dxa"/>
            <w:tcBorders>
              <w:top w:val="single" w:sz="4" w:space="0" w:color="A6A6A6" w:themeColor="background1" w:themeShade="A6"/>
              <w:bottom w:val="single" w:sz="4" w:space="0" w:color="A6A6A6" w:themeColor="background1" w:themeShade="A6"/>
            </w:tcBorders>
            <w:noWrap/>
          </w:tcPr>
          <w:p w14:paraId="3F47E819" w14:textId="77777777" w:rsidR="005B131E" w:rsidRPr="00BA7805" w:rsidRDefault="005B131E" w:rsidP="002542E1">
            <w:pPr>
              <w:pStyle w:val="ARfintablebodyright"/>
              <w:rPr>
                <w:highlight w:val="green"/>
              </w:rPr>
            </w:pPr>
            <w:r w:rsidRPr="00300FEA">
              <w:t>3.1.1(a)</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49FE32B" w14:textId="77777777" w:rsidR="005B131E" w:rsidRPr="00BA7805" w:rsidRDefault="005B131E" w:rsidP="002542E1">
            <w:pPr>
              <w:pStyle w:val="ARfintablebodyright"/>
              <w:rPr>
                <w:highlight w:val="green"/>
              </w:rPr>
            </w:pPr>
            <w:r w:rsidRPr="00300FEA">
              <w:t>987.9</w:t>
            </w:r>
          </w:p>
        </w:tc>
        <w:tc>
          <w:tcPr>
            <w:tcW w:w="1361" w:type="dxa"/>
            <w:tcBorders>
              <w:top w:val="single" w:sz="4" w:space="0" w:color="A6A6A6" w:themeColor="background1" w:themeShade="A6"/>
              <w:bottom w:val="single" w:sz="4" w:space="0" w:color="A6A6A6" w:themeColor="background1" w:themeShade="A6"/>
            </w:tcBorders>
            <w:noWrap/>
          </w:tcPr>
          <w:p w14:paraId="44DACB87" w14:textId="77777777" w:rsidR="005B131E" w:rsidRPr="00BA7805" w:rsidRDefault="005B131E" w:rsidP="002542E1">
            <w:pPr>
              <w:pStyle w:val="ARfintablebodyright"/>
              <w:rPr>
                <w:highlight w:val="green"/>
              </w:rPr>
            </w:pPr>
            <w:r w:rsidRPr="00300FEA">
              <w:t>920.5</w:t>
            </w:r>
          </w:p>
        </w:tc>
      </w:tr>
      <w:tr w:rsidR="005B131E" w:rsidRPr="00BA7805" w14:paraId="5F4CB875" w14:textId="77777777" w:rsidTr="002542E1">
        <w:tc>
          <w:tcPr>
            <w:tcW w:w="6064" w:type="dxa"/>
            <w:tcBorders>
              <w:top w:val="single" w:sz="4" w:space="0" w:color="A6A6A6" w:themeColor="background1" w:themeShade="A6"/>
              <w:bottom w:val="single" w:sz="4" w:space="0" w:color="A6A6A6" w:themeColor="background1" w:themeShade="A6"/>
            </w:tcBorders>
          </w:tcPr>
          <w:p w14:paraId="6A7A664A" w14:textId="77777777" w:rsidR="005B131E" w:rsidRPr="00BA7805" w:rsidRDefault="005B131E" w:rsidP="002542E1">
            <w:pPr>
              <w:pStyle w:val="ARfintablebody"/>
              <w:rPr>
                <w:highlight w:val="green"/>
              </w:rPr>
            </w:pPr>
            <w:r w:rsidRPr="00300FEA">
              <w:t>Depreciation and amortisation</w:t>
            </w:r>
          </w:p>
        </w:tc>
        <w:tc>
          <w:tcPr>
            <w:tcW w:w="851" w:type="dxa"/>
            <w:tcBorders>
              <w:top w:val="single" w:sz="4" w:space="0" w:color="A6A6A6" w:themeColor="background1" w:themeShade="A6"/>
              <w:bottom w:val="single" w:sz="4" w:space="0" w:color="A6A6A6" w:themeColor="background1" w:themeShade="A6"/>
            </w:tcBorders>
            <w:noWrap/>
          </w:tcPr>
          <w:p w14:paraId="74B32070" w14:textId="77777777" w:rsidR="005B131E" w:rsidRPr="00BA7805" w:rsidRDefault="005B131E" w:rsidP="002542E1">
            <w:pPr>
              <w:pStyle w:val="ARfintablebodyright"/>
              <w:rPr>
                <w:highlight w:val="green"/>
              </w:rPr>
            </w:pPr>
            <w:r w:rsidRPr="00300FEA">
              <w:t>5.1.1</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16F056AF" w14:textId="77777777" w:rsidR="005B131E" w:rsidRPr="00BA7805" w:rsidRDefault="005B131E" w:rsidP="002542E1">
            <w:pPr>
              <w:pStyle w:val="ARfintablebodyright"/>
              <w:rPr>
                <w:highlight w:val="green"/>
              </w:rPr>
            </w:pPr>
            <w:r w:rsidRPr="00300FEA">
              <w:t>410.0</w:t>
            </w:r>
          </w:p>
        </w:tc>
        <w:tc>
          <w:tcPr>
            <w:tcW w:w="1361" w:type="dxa"/>
            <w:tcBorders>
              <w:top w:val="single" w:sz="4" w:space="0" w:color="A6A6A6" w:themeColor="background1" w:themeShade="A6"/>
              <w:bottom w:val="single" w:sz="4" w:space="0" w:color="A6A6A6" w:themeColor="background1" w:themeShade="A6"/>
            </w:tcBorders>
            <w:noWrap/>
          </w:tcPr>
          <w:p w14:paraId="1D3A43EE" w14:textId="77777777" w:rsidR="005B131E" w:rsidRPr="00BA7805" w:rsidRDefault="005B131E" w:rsidP="002542E1">
            <w:pPr>
              <w:pStyle w:val="ARfintablebodyright"/>
              <w:rPr>
                <w:highlight w:val="green"/>
              </w:rPr>
            </w:pPr>
            <w:r w:rsidRPr="00300FEA">
              <w:t>362.3</w:t>
            </w:r>
          </w:p>
        </w:tc>
      </w:tr>
      <w:tr w:rsidR="005B131E" w:rsidRPr="00BA7805" w14:paraId="2225FFCC" w14:textId="77777777" w:rsidTr="002542E1">
        <w:tc>
          <w:tcPr>
            <w:tcW w:w="6064" w:type="dxa"/>
            <w:tcBorders>
              <w:top w:val="single" w:sz="4" w:space="0" w:color="A6A6A6" w:themeColor="background1" w:themeShade="A6"/>
              <w:bottom w:val="single" w:sz="4" w:space="0" w:color="A6A6A6" w:themeColor="background1" w:themeShade="A6"/>
            </w:tcBorders>
          </w:tcPr>
          <w:p w14:paraId="1D4D46C9" w14:textId="77777777" w:rsidR="005B131E" w:rsidRPr="00BA7805" w:rsidRDefault="005B131E" w:rsidP="002542E1">
            <w:pPr>
              <w:pStyle w:val="ARfintablebody"/>
              <w:rPr>
                <w:highlight w:val="green"/>
              </w:rPr>
            </w:pPr>
            <w:r w:rsidRPr="00300FEA">
              <w:t>Grants and other transfers</w:t>
            </w:r>
          </w:p>
        </w:tc>
        <w:tc>
          <w:tcPr>
            <w:tcW w:w="851" w:type="dxa"/>
            <w:tcBorders>
              <w:top w:val="single" w:sz="4" w:space="0" w:color="A6A6A6" w:themeColor="background1" w:themeShade="A6"/>
              <w:bottom w:val="single" w:sz="4" w:space="0" w:color="A6A6A6" w:themeColor="background1" w:themeShade="A6"/>
            </w:tcBorders>
            <w:noWrap/>
          </w:tcPr>
          <w:p w14:paraId="38A13E2C" w14:textId="77777777" w:rsidR="005B131E" w:rsidRPr="00BA7805" w:rsidRDefault="005B131E" w:rsidP="002542E1">
            <w:pPr>
              <w:pStyle w:val="ARfintablebodyright"/>
              <w:rPr>
                <w:highlight w:val="green"/>
              </w:rPr>
            </w:pPr>
            <w:r w:rsidRPr="00300FEA">
              <w:t>3.1.2</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1CDAFDD2" w14:textId="77777777" w:rsidR="005B131E" w:rsidRPr="00BA7805" w:rsidRDefault="005B131E" w:rsidP="002542E1">
            <w:pPr>
              <w:pStyle w:val="ARfintablebodyright"/>
              <w:rPr>
                <w:highlight w:val="green"/>
              </w:rPr>
            </w:pPr>
            <w:r w:rsidRPr="00300FEA">
              <w:t>4,278.6</w:t>
            </w:r>
          </w:p>
        </w:tc>
        <w:tc>
          <w:tcPr>
            <w:tcW w:w="1361" w:type="dxa"/>
            <w:tcBorders>
              <w:top w:val="single" w:sz="4" w:space="0" w:color="A6A6A6" w:themeColor="background1" w:themeShade="A6"/>
              <w:bottom w:val="single" w:sz="4" w:space="0" w:color="A6A6A6" w:themeColor="background1" w:themeShade="A6"/>
            </w:tcBorders>
            <w:noWrap/>
          </w:tcPr>
          <w:p w14:paraId="184820FB" w14:textId="77777777" w:rsidR="005B131E" w:rsidRPr="00BA7805" w:rsidRDefault="005B131E" w:rsidP="002542E1">
            <w:pPr>
              <w:pStyle w:val="ARfintablebodyright"/>
              <w:rPr>
                <w:highlight w:val="green"/>
              </w:rPr>
            </w:pPr>
            <w:r w:rsidRPr="00300FEA">
              <w:t>4,010.7</w:t>
            </w:r>
          </w:p>
        </w:tc>
      </w:tr>
      <w:tr w:rsidR="005B131E" w:rsidRPr="00BA7805" w14:paraId="73C6A88F" w14:textId="77777777" w:rsidTr="002542E1">
        <w:tc>
          <w:tcPr>
            <w:tcW w:w="6064" w:type="dxa"/>
            <w:tcBorders>
              <w:top w:val="single" w:sz="4" w:space="0" w:color="A6A6A6" w:themeColor="background1" w:themeShade="A6"/>
              <w:bottom w:val="single" w:sz="4" w:space="0" w:color="A6A6A6" w:themeColor="background1" w:themeShade="A6"/>
            </w:tcBorders>
          </w:tcPr>
          <w:p w14:paraId="26D2FAF2" w14:textId="77777777" w:rsidR="005B131E" w:rsidRPr="00BA7805" w:rsidRDefault="005B131E" w:rsidP="002542E1">
            <w:pPr>
              <w:pStyle w:val="ARfintablebody"/>
              <w:rPr>
                <w:rStyle w:val="Superscript"/>
                <w:highlight w:val="green"/>
              </w:rPr>
            </w:pPr>
            <w:r w:rsidRPr="00300FEA">
              <w:t>Other operating expenses</w:t>
            </w:r>
          </w:p>
        </w:tc>
        <w:tc>
          <w:tcPr>
            <w:tcW w:w="851" w:type="dxa"/>
            <w:tcBorders>
              <w:top w:val="single" w:sz="4" w:space="0" w:color="A6A6A6" w:themeColor="background1" w:themeShade="A6"/>
              <w:bottom w:val="single" w:sz="4" w:space="0" w:color="A6A6A6" w:themeColor="background1" w:themeShade="A6"/>
            </w:tcBorders>
            <w:noWrap/>
          </w:tcPr>
          <w:p w14:paraId="06F1D47C" w14:textId="77777777" w:rsidR="005B131E" w:rsidRPr="00BA7805" w:rsidRDefault="005B131E" w:rsidP="002542E1">
            <w:pPr>
              <w:pStyle w:val="ARfintablebodyright"/>
              <w:rPr>
                <w:highlight w:val="green"/>
              </w:rPr>
            </w:pPr>
            <w:r w:rsidRPr="00300FEA">
              <w:t>3.1.3</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6713FDD" w14:textId="77777777" w:rsidR="005B131E" w:rsidRPr="00BA7805" w:rsidRDefault="005B131E" w:rsidP="002542E1">
            <w:pPr>
              <w:pStyle w:val="ARfintablebodyright"/>
              <w:rPr>
                <w:highlight w:val="green"/>
              </w:rPr>
            </w:pPr>
            <w:r w:rsidRPr="00300FEA">
              <w:t>770.4</w:t>
            </w:r>
          </w:p>
        </w:tc>
        <w:tc>
          <w:tcPr>
            <w:tcW w:w="1361" w:type="dxa"/>
            <w:tcBorders>
              <w:top w:val="single" w:sz="4" w:space="0" w:color="A6A6A6" w:themeColor="background1" w:themeShade="A6"/>
              <w:bottom w:val="single" w:sz="4" w:space="0" w:color="A6A6A6" w:themeColor="background1" w:themeShade="A6"/>
            </w:tcBorders>
            <w:noWrap/>
          </w:tcPr>
          <w:p w14:paraId="41ABB835" w14:textId="77777777" w:rsidR="005B131E" w:rsidRPr="00BA7805" w:rsidRDefault="005B131E" w:rsidP="002542E1">
            <w:pPr>
              <w:pStyle w:val="ARfintablebodyright"/>
              <w:rPr>
                <w:highlight w:val="green"/>
              </w:rPr>
            </w:pPr>
            <w:r w:rsidRPr="00300FEA">
              <w:t>464.9</w:t>
            </w:r>
          </w:p>
        </w:tc>
      </w:tr>
      <w:tr w:rsidR="005B131E" w:rsidRPr="00BA7805" w14:paraId="06D1B657" w14:textId="77777777" w:rsidTr="002542E1">
        <w:tc>
          <w:tcPr>
            <w:tcW w:w="6064" w:type="dxa"/>
            <w:tcBorders>
              <w:top w:val="single" w:sz="4" w:space="0" w:color="A6A6A6" w:themeColor="background1" w:themeShade="A6"/>
            </w:tcBorders>
          </w:tcPr>
          <w:p w14:paraId="273D77F4" w14:textId="77777777" w:rsidR="005B131E" w:rsidRPr="00BA7805" w:rsidRDefault="005B131E" w:rsidP="002542E1">
            <w:pPr>
              <w:pStyle w:val="ARfintablebody"/>
              <w:rPr>
                <w:highlight w:val="green"/>
              </w:rPr>
            </w:pPr>
            <w:r w:rsidRPr="00300FEA">
              <w:t xml:space="preserve">Property management expenses </w:t>
            </w:r>
          </w:p>
        </w:tc>
        <w:tc>
          <w:tcPr>
            <w:tcW w:w="851" w:type="dxa"/>
            <w:tcBorders>
              <w:top w:val="single" w:sz="4" w:space="0" w:color="A6A6A6" w:themeColor="background1" w:themeShade="A6"/>
            </w:tcBorders>
          </w:tcPr>
          <w:p w14:paraId="7C2F84CF" w14:textId="77777777" w:rsidR="005B131E" w:rsidRPr="00BA7805" w:rsidRDefault="005B131E" w:rsidP="002542E1">
            <w:pPr>
              <w:pStyle w:val="ARfintablebodyright"/>
              <w:rPr>
                <w:highlight w:val="green"/>
              </w:rPr>
            </w:pPr>
            <w:r w:rsidRPr="00300FEA">
              <w:t>3.1.4</w:t>
            </w:r>
          </w:p>
        </w:tc>
        <w:tc>
          <w:tcPr>
            <w:tcW w:w="1361" w:type="dxa"/>
            <w:tcBorders>
              <w:top w:val="single" w:sz="4" w:space="0" w:color="A6A6A6" w:themeColor="background1" w:themeShade="A6"/>
            </w:tcBorders>
            <w:shd w:val="clear" w:color="auto" w:fill="E7E6E6" w:themeFill="accent4"/>
            <w:noWrap/>
          </w:tcPr>
          <w:p w14:paraId="4606E9BE" w14:textId="77777777" w:rsidR="005B131E" w:rsidRPr="00BA7805" w:rsidRDefault="005B131E" w:rsidP="002542E1">
            <w:pPr>
              <w:pStyle w:val="ARfintablebodyright"/>
              <w:rPr>
                <w:highlight w:val="green"/>
              </w:rPr>
            </w:pPr>
            <w:r w:rsidRPr="00300FEA">
              <w:t>552.8</w:t>
            </w:r>
          </w:p>
        </w:tc>
        <w:tc>
          <w:tcPr>
            <w:tcW w:w="1361" w:type="dxa"/>
            <w:tcBorders>
              <w:top w:val="single" w:sz="4" w:space="0" w:color="A6A6A6" w:themeColor="background1" w:themeShade="A6"/>
            </w:tcBorders>
            <w:noWrap/>
          </w:tcPr>
          <w:p w14:paraId="1241F146" w14:textId="77777777" w:rsidR="005B131E" w:rsidRPr="00BA7805" w:rsidRDefault="005B131E" w:rsidP="002542E1">
            <w:pPr>
              <w:pStyle w:val="ARfintablebodyright"/>
              <w:rPr>
                <w:highlight w:val="green"/>
              </w:rPr>
            </w:pPr>
            <w:r w:rsidRPr="00300FEA">
              <w:t>523.7</w:t>
            </w:r>
          </w:p>
        </w:tc>
      </w:tr>
      <w:tr w:rsidR="005B131E" w:rsidRPr="00BA7805" w14:paraId="2056BF63" w14:textId="77777777" w:rsidTr="002542E1">
        <w:tc>
          <w:tcPr>
            <w:tcW w:w="6064" w:type="dxa"/>
            <w:tcBorders>
              <w:bottom w:val="single" w:sz="4" w:space="0" w:color="auto"/>
            </w:tcBorders>
          </w:tcPr>
          <w:p w14:paraId="364CEC04" w14:textId="77777777" w:rsidR="005B131E" w:rsidRPr="00BA7805" w:rsidRDefault="005B131E" w:rsidP="002542E1">
            <w:pPr>
              <w:pStyle w:val="ARfintablebodybold"/>
              <w:rPr>
                <w:highlight w:val="green"/>
              </w:rPr>
            </w:pPr>
            <w:r w:rsidRPr="00300FEA">
              <w:t>Total expenses from transactions</w:t>
            </w:r>
          </w:p>
        </w:tc>
        <w:tc>
          <w:tcPr>
            <w:tcW w:w="851" w:type="dxa"/>
            <w:tcBorders>
              <w:bottom w:val="single" w:sz="4" w:space="0" w:color="auto"/>
            </w:tcBorders>
          </w:tcPr>
          <w:p w14:paraId="40072913" w14:textId="77777777" w:rsidR="005B131E" w:rsidRPr="00BA7805" w:rsidRDefault="005B131E" w:rsidP="002542E1">
            <w:pPr>
              <w:pStyle w:val="ARfintablebodyrightbold"/>
              <w:rPr>
                <w:highlight w:val="green"/>
              </w:rPr>
            </w:pPr>
          </w:p>
        </w:tc>
        <w:tc>
          <w:tcPr>
            <w:tcW w:w="1361" w:type="dxa"/>
            <w:tcBorders>
              <w:bottom w:val="single" w:sz="4" w:space="0" w:color="auto"/>
            </w:tcBorders>
            <w:shd w:val="clear" w:color="auto" w:fill="E7E6E6" w:themeFill="accent4"/>
            <w:noWrap/>
          </w:tcPr>
          <w:p w14:paraId="6DBF8CA6" w14:textId="77777777" w:rsidR="005B131E" w:rsidRPr="00BA7805" w:rsidRDefault="005B131E" w:rsidP="002542E1">
            <w:pPr>
              <w:pStyle w:val="ARfintablebodyrightbold"/>
              <w:rPr>
                <w:highlight w:val="green"/>
              </w:rPr>
            </w:pPr>
            <w:r w:rsidRPr="00300FEA">
              <w:t>6,999.7</w:t>
            </w:r>
          </w:p>
        </w:tc>
        <w:tc>
          <w:tcPr>
            <w:tcW w:w="1361" w:type="dxa"/>
            <w:tcBorders>
              <w:bottom w:val="single" w:sz="4" w:space="0" w:color="auto"/>
            </w:tcBorders>
            <w:noWrap/>
          </w:tcPr>
          <w:p w14:paraId="6883B8D5" w14:textId="77777777" w:rsidR="005B131E" w:rsidRPr="00BA7805" w:rsidRDefault="005B131E" w:rsidP="002542E1">
            <w:pPr>
              <w:pStyle w:val="ARfintablebodyrightbold"/>
              <w:rPr>
                <w:highlight w:val="green"/>
              </w:rPr>
            </w:pPr>
            <w:r w:rsidRPr="00300FEA">
              <w:t>6,282.1</w:t>
            </w:r>
          </w:p>
        </w:tc>
      </w:tr>
      <w:tr w:rsidR="005B131E" w:rsidRPr="00BA7805" w14:paraId="7337CF2F" w14:textId="77777777" w:rsidTr="002542E1">
        <w:tc>
          <w:tcPr>
            <w:tcW w:w="6064" w:type="dxa"/>
            <w:tcBorders>
              <w:bottom w:val="single" w:sz="4" w:space="0" w:color="auto"/>
            </w:tcBorders>
          </w:tcPr>
          <w:p w14:paraId="3AF9040B" w14:textId="77777777" w:rsidR="005B131E" w:rsidRPr="00300FEA" w:rsidRDefault="005B131E" w:rsidP="002542E1">
            <w:pPr>
              <w:pStyle w:val="ARfintablebodybold"/>
            </w:pPr>
            <w:r w:rsidRPr="00B16139">
              <w:t>Net result from transactions (net operating balance)</w:t>
            </w:r>
          </w:p>
        </w:tc>
        <w:tc>
          <w:tcPr>
            <w:tcW w:w="851" w:type="dxa"/>
            <w:tcBorders>
              <w:bottom w:val="single" w:sz="4" w:space="0" w:color="auto"/>
            </w:tcBorders>
          </w:tcPr>
          <w:p w14:paraId="7E1CF3FB" w14:textId="77777777" w:rsidR="005B131E" w:rsidRPr="00BA7805" w:rsidRDefault="005B131E" w:rsidP="002542E1">
            <w:pPr>
              <w:pStyle w:val="ARfintablebodyrightbold"/>
              <w:rPr>
                <w:highlight w:val="green"/>
              </w:rPr>
            </w:pPr>
          </w:p>
        </w:tc>
        <w:tc>
          <w:tcPr>
            <w:tcW w:w="1361" w:type="dxa"/>
            <w:tcBorders>
              <w:bottom w:val="single" w:sz="4" w:space="0" w:color="auto"/>
            </w:tcBorders>
            <w:shd w:val="clear" w:color="auto" w:fill="E7E6E6" w:themeFill="accent4"/>
            <w:noWrap/>
          </w:tcPr>
          <w:p w14:paraId="37C8EA28" w14:textId="77777777" w:rsidR="005B131E" w:rsidRPr="00300FEA" w:rsidRDefault="005B131E" w:rsidP="002542E1">
            <w:pPr>
              <w:pStyle w:val="ARfintablebodyrightbold"/>
            </w:pPr>
            <w:r w:rsidRPr="00B16139">
              <w:t>(601.7)</w:t>
            </w:r>
          </w:p>
        </w:tc>
        <w:tc>
          <w:tcPr>
            <w:tcW w:w="1361" w:type="dxa"/>
            <w:tcBorders>
              <w:bottom w:val="single" w:sz="4" w:space="0" w:color="auto"/>
            </w:tcBorders>
            <w:noWrap/>
          </w:tcPr>
          <w:p w14:paraId="31CBD1AE" w14:textId="77777777" w:rsidR="005B131E" w:rsidRPr="00300FEA" w:rsidRDefault="005B131E" w:rsidP="002542E1">
            <w:pPr>
              <w:pStyle w:val="ARfintablebodyrightbold"/>
            </w:pPr>
            <w:r w:rsidRPr="00B16139">
              <w:t>(244.1)</w:t>
            </w:r>
          </w:p>
        </w:tc>
      </w:tr>
      <w:tr w:rsidR="005B131E" w:rsidRPr="00BA7805" w14:paraId="037B6003" w14:textId="77777777" w:rsidTr="00B84A49">
        <w:tc>
          <w:tcPr>
            <w:tcW w:w="9637" w:type="dxa"/>
            <w:gridSpan w:val="4"/>
            <w:tcBorders>
              <w:top w:val="single" w:sz="4" w:space="0" w:color="auto"/>
              <w:bottom w:val="single" w:sz="4" w:space="0" w:color="A6A6A6" w:themeColor="background1" w:themeShade="A6"/>
            </w:tcBorders>
          </w:tcPr>
          <w:p w14:paraId="3F142926" w14:textId="77777777" w:rsidR="005B131E" w:rsidRPr="00BA7805" w:rsidRDefault="005B131E" w:rsidP="002542E1">
            <w:pPr>
              <w:pStyle w:val="ARfintablebodybold"/>
              <w:rPr>
                <w:highlight w:val="green"/>
              </w:rPr>
            </w:pPr>
            <w:r w:rsidRPr="00E60726">
              <w:t>Other economic flows included in net result</w:t>
            </w:r>
          </w:p>
        </w:tc>
      </w:tr>
      <w:tr w:rsidR="005B131E" w:rsidRPr="00BA7805" w14:paraId="69D46487" w14:textId="77777777" w:rsidTr="002542E1">
        <w:tc>
          <w:tcPr>
            <w:tcW w:w="6064" w:type="dxa"/>
            <w:tcBorders>
              <w:top w:val="single" w:sz="4" w:space="0" w:color="A6A6A6" w:themeColor="background1" w:themeShade="A6"/>
              <w:bottom w:val="single" w:sz="4" w:space="0" w:color="A6A6A6" w:themeColor="background1" w:themeShade="A6"/>
            </w:tcBorders>
          </w:tcPr>
          <w:p w14:paraId="2F1F1853" w14:textId="77777777" w:rsidR="005B131E" w:rsidRPr="00BA7805" w:rsidRDefault="005B131E" w:rsidP="002542E1">
            <w:pPr>
              <w:pStyle w:val="ARfintablebody"/>
              <w:rPr>
                <w:highlight w:val="green"/>
              </w:rPr>
            </w:pPr>
            <w:r w:rsidRPr="00E60726">
              <w:t>Net gain/(loss) on non-financial assets</w:t>
            </w:r>
          </w:p>
        </w:tc>
        <w:tc>
          <w:tcPr>
            <w:tcW w:w="851" w:type="dxa"/>
            <w:tcBorders>
              <w:top w:val="single" w:sz="4" w:space="0" w:color="A6A6A6" w:themeColor="background1" w:themeShade="A6"/>
              <w:bottom w:val="single" w:sz="4" w:space="0" w:color="A6A6A6" w:themeColor="background1" w:themeShade="A6"/>
            </w:tcBorders>
            <w:noWrap/>
          </w:tcPr>
          <w:p w14:paraId="56F4FBB2" w14:textId="77777777" w:rsidR="005B131E" w:rsidRPr="00BA7805" w:rsidRDefault="005B131E" w:rsidP="002542E1">
            <w:pPr>
              <w:pStyle w:val="ARfintablebodyright"/>
              <w:rPr>
                <w:highlight w:val="green"/>
              </w:rPr>
            </w:pPr>
            <w:r w:rsidRPr="00E60726">
              <w:t>9.2(a)</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F68C9D0" w14:textId="77777777" w:rsidR="005B131E" w:rsidRPr="00BA7805" w:rsidRDefault="005B131E" w:rsidP="002542E1">
            <w:pPr>
              <w:pStyle w:val="ARfintablebodyright"/>
              <w:rPr>
                <w:highlight w:val="green"/>
              </w:rPr>
            </w:pPr>
            <w:r w:rsidRPr="00E60726">
              <w:t>(8.6)</w:t>
            </w:r>
          </w:p>
        </w:tc>
        <w:tc>
          <w:tcPr>
            <w:tcW w:w="1361" w:type="dxa"/>
            <w:tcBorders>
              <w:top w:val="single" w:sz="4" w:space="0" w:color="A6A6A6" w:themeColor="background1" w:themeShade="A6"/>
              <w:bottom w:val="single" w:sz="4" w:space="0" w:color="A6A6A6" w:themeColor="background1" w:themeShade="A6"/>
            </w:tcBorders>
            <w:noWrap/>
          </w:tcPr>
          <w:p w14:paraId="4212E47D" w14:textId="77777777" w:rsidR="005B131E" w:rsidRPr="00BA7805" w:rsidRDefault="005B131E" w:rsidP="002542E1">
            <w:pPr>
              <w:pStyle w:val="ARfintablebodyright"/>
              <w:rPr>
                <w:highlight w:val="green"/>
              </w:rPr>
            </w:pPr>
            <w:r w:rsidRPr="00E60726">
              <w:t>(3.4)</w:t>
            </w:r>
          </w:p>
        </w:tc>
      </w:tr>
      <w:tr w:rsidR="005B131E" w:rsidRPr="00BA7805" w14:paraId="4CA1EE26" w14:textId="77777777" w:rsidTr="002542E1">
        <w:tc>
          <w:tcPr>
            <w:tcW w:w="6064" w:type="dxa"/>
            <w:tcBorders>
              <w:top w:val="single" w:sz="4" w:space="0" w:color="A6A6A6" w:themeColor="background1" w:themeShade="A6"/>
              <w:bottom w:val="single" w:sz="4" w:space="0" w:color="A6A6A6" w:themeColor="background1" w:themeShade="A6"/>
            </w:tcBorders>
          </w:tcPr>
          <w:p w14:paraId="14217613" w14:textId="77777777" w:rsidR="005B131E" w:rsidRPr="00BA7805" w:rsidRDefault="005B131E" w:rsidP="002542E1">
            <w:pPr>
              <w:pStyle w:val="ARfintablebody"/>
              <w:rPr>
                <w:highlight w:val="green"/>
              </w:rPr>
            </w:pPr>
            <w:r w:rsidRPr="00E60726">
              <w:t>Net gain/(loss) on financial instruments</w:t>
            </w:r>
          </w:p>
        </w:tc>
        <w:tc>
          <w:tcPr>
            <w:tcW w:w="851" w:type="dxa"/>
            <w:tcBorders>
              <w:top w:val="single" w:sz="4" w:space="0" w:color="A6A6A6" w:themeColor="background1" w:themeShade="A6"/>
              <w:bottom w:val="single" w:sz="4" w:space="0" w:color="A6A6A6" w:themeColor="background1" w:themeShade="A6"/>
            </w:tcBorders>
            <w:noWrap/>
          </w:tcPr>
          <w:p w14:paraId="62BB6103" w14:textId="77777777" w:rsidR="005B131E" w:rsidRPr="00BA7805" w:rsidRDefault="005B131E" w:rsidP="002542E1">
            <w:pPr>
              <w:pStyle w:val="ARfintablebodyright"/>
              <w:rPr>
                <w:highlight w:val="green"/>
              </w:rPr>
            </w:pPr>
            <w:r w:rsidRPr="00E60726">
              <w:t>9.2(b)</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9858D13" w14:textId="77777777" w:rsidR="005B131E" w:rsidRPr="00BA7805" w:rsidRDefault="005B131E" w:rsidP="002542E1">
            <w:pPr>
              <w:pStyle w:val="ARfintablebodyright"/>
              <w:rPr>
                <w:highlight w:val="green"/>
              </w:rPr>
            </w:pPr>
            <w:r w:rsidRPr="00E60726">
              <w:t>2.0</w:t>
            </w:r>
          </w:p>
        </w:tc>
        <w:tc>
          <w:tcPr>
            <w:tcW w:w="1361" w:type="dxa"/>
            <w:tcBorders>
              <w:top w:val="single" w:sz="4" w:space="0" w:color="A6A6A6" w:themeColor="background1" w:themeShade="A6"/>
              <w:bottom w:val="single" w:sz="4" w:space="0" w:color="A6A6A6" w:themeColor="background1" w:themeShade="A6"/>
            </w:tcBorders>
            <w:noWrap/>
          </w:tcPr>
          <w:p w14:paraId="2381FBB4" w14:textId="77777777" w:rsidR="005B131E" w:rsidRPr="00BA7805" w:rsidRDefault="005B131E" w:rsidP="002542E1">
            <w:pPr>
              <w:pStyle w:val="ARfintablebodyright"/>
              <w:rPr>
                <w:highlight w:val="green"/>
              </w:rPr>
            </w:pPr>
            <w:r w:rsidRPr="00E60726">
              <w:t>0.6</w:t>
            </w:r>
          </w:p>
        </w:tc>
      </w:tr>
      <w:tr w:rsidR="005B131E" w:rsidRPr="00BA7805" w14:paraId="6B509875" w14:textId="77777777" w:rsidTr="002542E1">
        <w:tc>
          <w:tcPr>
            <w:tcW w:w="6064" w:type="dxa"/>
            <w:tcBorders>
              <w:top w:val="single" w:sz="4" w:space="0" w:color="A6A6A6" w:themeColor="background1" w:themeShade="A6"/>
            </w:tcBorders>
          </w:tcPr>
          <w:p w14:paraId="7B3A05C3" w14:textId="77777777" w:rsidR="005B131E" w:rsidRPr="00BA7805" w:rsidRDefault="005B131E" w:rsidP="002542E1">
            <w:pPr>
              <w:pStyle w:val="ARfintablebody"/>
              <w:rPr>
                <w:highlight w:val="green"/>
              </w:rPr>
            </w:pPr>
            <w:r w:rsidRPr="00E60726">
              <w:t>Other gains/(losses) from other economic flows</w:t>
            </w:r>
          </w:p>
        </w:tc>
        <w:tc>
          <w:tcPr>
            <w:tcW w:w="851" w:type="dxa"/>
            <w:tcBorders>
              <w:top w:val="single" w:sz="4" w:space="0" w:color="A6A6A6" w:themeColor="background1" w:themeShade="A6"/>
            </w:tcBorders>
            <w:noWrap/>
          </w:tcPr>
          <w:p w14:paraId="7BFC017F" w14:textId="77777777" w:rsidR="005B131E" w:rsidRPr="00BA7805" w:rsidRDefault="005B131E" w:rsidP="002542E1">
            <w:pPr>
              <w:pStyle w:val="ARfintablebodyright"/>
              <w:rPr>
                <w:highlight w:val="green"/>
              </w:rPr>
            </w:pPr>
            <w:r w:rsidRPr="00E60726">
              <w:t>9.2(c)</w:t>
            </w:r>
          </w:p>
        </w:tc>
        <w:tc>
          <w:tcPr>
            <w:tcW w:w="1361" w:type="dxa"/>
            <w:tcBorders>
              <w:top w:val="single" w:sz="4" w:space="0" w:color="A6A6A6" w:themeColor="background1" w:themeShade="A6"/>
            </w:tcBorders>
            <w:shd w:val="clear" w:color="auto" w:fill="E7E6E6" w:themeFill="accent4"/>
            <w:noWrap/>
          </w:tcPr>
          <w:p w14:paraId="0DD2687D" w14:textId="77777777" w:rsidR="005B131E" w:rsidRPr="00BA7805" w:rsidRDefault="005B131E" w:rsidP="002542E1">
            <w:pPr>
              <w:pStyle w:val="ARfintablebodyright"/>
              <w:rPr>
                <w:highlight w:val="green"/>
              </w:rPr>
            </w:pPr>
            <w:r w:rsidRPr="00E60726">
              <w:t>(30.1)</w:t>
            </w:r>
          </w:p>
        </w:tc>
        <w:tc>
          <w:tcPr>
            <w:tcW w:w="1361" w:type="dxa"/>
            <w:tcBorders>
              <w:top w:val="single" w:sz="4" w:space="0" w:color="A6A6A6" w:themeColor="background1" w:themeShade="A6"/>
            </w:tcBorders>
            <w:noWrap/>
          </w:tcPr>
          <w:p w14:paraId="5BFF46EB" w14:textId="77777777" w:rsidR="005B131E" w:rsidRPr="00BA7805" w:rsidRDefault="005B131E" w:rsidP="002542E1">
            <w:pPr>
              <w:pStyle w:val="ARfintablebodyright"/>
              <w:rPr>
                <w:highlight w:val="green"/>
              </w:rPr>
            </w:pPr>
            <w:r w:rsidRPr="00E60726">
              <w:t>(17.9)</w:t>
            </w:r>
          </w:p>
        </w:tc>
      </w:tr>
      <w:tr w:rsidR="005B131E" w:rsidRPr="00BA7805" w14:paraId="52EBC5AB" w14:textId="77777777" w:rsidTr="002542E1">
        <w:tc>
          <w:tcPr>
            <w:tcW w:w="6064" w:type="dxa"/>
          </w:tcPr>
          <w:p w14:paraId="0DF5C0B6" w14:textId="77777777" w:rsidR="005B131E" w:rsidRPr="00BA7805" w:rsidRDefault="005B131E" w:rsidP="002542E1">
            <w:pPr>
              <w:pStyle w:val="ARfintablebodybold"/>
              <w:rPr>
                <w:highlight w:val="green"/>
              </w:rPr>
            </w:pPr>
            <w:r w:rsidRPr="00E60726">
              <w:t>Total other economic flows included in net result</w:t>
            </w:r>
          </w:p>
        </w:tc>
        <w:tc>
          <w:tcPr>
            <w:tcW w:w="851" w:type="dxa"/>
          </w:tcPr>
          <w:p w14:paraId="27EEB181"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0B1C5BDD" w14:textId="77777777" w:rsidR="005B131E" w:rsidRPr="00BA7805" w:rsidRDefault="005B131E" w:rsidP="002542E1">
            <w:pPr>
              <w:pStyle w:val="ARfintablebodyrightbold"/>
              <w:rPr>
                <w:highlight w:val="green"/>
              </w:rPr>
            </w:pPr>
            <w:r w:rsidRPr="00E60726">
              <w:t>(36.7)</w:t>
            </w:r>
          </w:p>
        </w:tc>
        <w:tc>
          <w:tcPr>
            <w:tcW w:w="1361" w:type="dxa"/>
            <w:noWrap/>
          </w:tcPr>
          <w:p w14:paraId="59FCD106" w14:textId="77777777" w:rsidR="005B131E" w:rsidRPr="00BA7805" w:rsidRDefault="005B131E" w:rsidP="002542E1">
            <w:pPr>
              <w:pStyle w:val="ARfintablebodyrightbold"/>
              <w:rPr>
                <w:highlight w:val="green"/>
              </w:rPr>
            </w:pPr>
            <w:r w:rsidRPr="00E60726">
              <w:t>(20.7)</w:t>
            </w:r>
          </w:p>
        </w:tc>
      </w:tr>
      <w:tr w:rsidR="005B131E" w:rsidRPr="00BA7805" w14:paraId="1E6CCADB" w14:textId="77777777" w:rsidTr="002542E1">
        <w:tc>
          <w:tcPr>
            <w:tcW w:w="6064" w:type="dxa"/>
            <w:tcBorders>
              <w:bottom w:val="single" w:sz="4" w:space="0" w:color="auto"/>
            </w:tcBorders>
          </w:tcPr>
          <w:p w14:paraId="3A0B1FF1" w14:textId="77777777" w:rsidR="005B131E" w:rsidRPr="00BA7805" w:rsidRDefault="005B131E" w:rsidP="002542E1">
            <w:pPr>
              <w:pStyle w:val="ARfintablebodybold"/>
              <w:rPr>
                <w:highlight w:val="green"/>
              </w:rPr>
            </w:pPr>
            <w:r w:rsidRPr="00E60726">
              <w:t>Net result</w:t>
            </w:r>
          </w:p>
        </w:tc>
        <w:tc>
          <w:tcPr>
            <w:tcW w:w="851" w:type="dxa"/>
            <w:tcBorders>
              <w:bottom w:val="single" w:sz="4" w:space="0" w:color="auto"/>
            </w:tcBorders>
          </w:tcPr>
          <w:p w14:paraId="57D52CD4" w14:textId="77777777" w:rsidR="005B131E" w:rsidRPr="00BA7805" w:rsidRDefault="005B131E" w:rsidP="002542E1">
            <w:pPr>
              <w:pStyle w:val="ARfintablebodyrightbold"/>
              <w:rPr>
                <w:highlight w:val="green"/>
              </w:rPr>
            </w:pPr>
          </w:p>
        </w:tc>
        <w:tc>
          <w:tcPr>
            <w:tcW w:w="1361" w:type="dxa"/>
            <w:tcBorders>
              <w:bottom w:val="single" w:sz="4" w:space="0" w:color="auto"/>
            </w:tcBorders>
            <w:shd w:val="clear" w:color="auto" w:fill="E7E6E6" w:themeFill="accent4"/>
            <w:noWrap/>
          </w:tcPr>
          <w:p w14:paraId="28259769" w14:textId="77777777" w:rsidR="005B131E" w:rsidRPr="00BA7805" w:rsidRDefault="005B131E" w:rsidP="002542E1">
            <w:pPr>
              <w:pStyle w:val="ARfintablebodyrightbold"/>
              <w:rPr>
                <w:highlight w:val="green"/>
              </w:rPr>
            </w:pPr>
            <w:r w:rsidRPr="00E60726">
              <w:t>(638.4)</w:t>
            </w:r>
          </w:p>
        </w:tc>
        <w:tc>
          <w:tcPr>
            <w:tcW w:w="1361" w:type="dxa"/>
            <w:tcBorders>
              <w:bottom w:val="single" w:sz="4" w:space="0" w:color="auto"/>
            </w:tcBorders>
            <w:noWrap/>
          </w:tcPr>
          <w:p w14:paraId="452E5B2E" w14:textId="77777777" w:rsidR="005B131E" w:rsidRPr="00BA7805" w:rsidRDefault="005B131E" w:rsidP="002542E1">
            <w:pPr>
              <w:pStyle w:val="ARfintablebodyrightbold"/>
              <w:rPr>
                <w:highlight w:val="green"/>
              </w:rPr>
            </w:pPr>
            <w:r w:rsidRPr="00E60726">
              <w:t>(264.7)</w:t>
            </w:r>
          </w:p>
        </w:tc>
      </w:tr>
      <w:tr w:rsidR="005B131E" w:rsidRPr="00BA7805" w14:paraId="284F2585" w14:textId="77777777" w:rsidTr="00B84A49">
        <w:tc>
          <w:tcPr>
            <w:tcW w:w="9637" w:type="dxa"/>
            <w:gridSpan w:val="4"/>
            <w:tcBorders>
              <w:top w:val="single" w:sz="4" w:space="0" w:color="auto"/>
              <w:bottom w:val="single" w:sz="4" w:space="0" w:color="A6A6A6" w:themeColor="background1" w:themeShade="A6"/>
            </w:tcBorders>
          </w:tcPr>
          <w:p w14:paraId="4EAEF08D" w14:textId="77777777" w:rsidR="005B131E" w:rsidRPr="00BA7805" w:rsidRDefault="005B131E" w:rsidP="002542E1">
            <w:pPr>
              <w:pStyle w:val="ARfintablebodybold"/>
              <w:rPr>
                <w:highlight w:val="green"/>
              </w:rPr>
            </w:pPr>
            <w:r w:rsidRPr="00CE2093">
              <w:t xml:space="preserve">Other economic flows </w:t>
            </w:r>
            <w:r>
              <w:t>–</w:t>
            </w:r>
            <w:r w:rsidRPr="00CE2093">
              <w:t xml:space="preserve"> other comprehensive income</w:t>
            </w:r>
          </w:p>
        </w:tc>
      </w:tr>
      <w:tr w:rsidR="005B131E" w:rsidRPr="00BA7805" w14:paraId="7F5D9086" w14:textId="77777777" w:rsidTr="00B84A49">
        <w:tc>
          <w:tcPr>
            <w:tcW w:w="9637" w:type="dxa"/>
            <w:gridSpan w:val="4"/>
            <w:tcBorders>
              <w:top w:val="single" w:sz="4" w:space="0" w:color="A6A6A6" w:themeColor="background1" w:themeShade="A6"/>
              <w:bottom w:val="single" w:sz="4" w:space="0" w:color="A6A6A6" w:themeColor="background1" w:themeShade="A6"/>
            </w:tcBorders>
          </w:tcPr>
          <w:p w14:paraId="7F5F200D" w14:textId="77777777" w:rsidR="005B131E" w:rsidRPr="00BA7805" w:rsidRDefault="005B131E" w:rsidP="002542E1">
            <w:pPr>
              <w:pStyle w:val="ARfintablebodybold"/>
              <w:rPr>
                <w:highlight w:val="green"/>
              </w:rPr>
            </w:pPr>
            <w:r w:rsidRPr="00CE2093">
              <w:t>Items that will not be reclassified to net result</w:t>
            </w:r>
          </w:p>
        </w:tc>
      </w:tr>
      <w:tr w:rsidR="005B131E" w:rsidRPr="00BA7805" w14:paraId="061DD0FC" w14:textId="77777777" w:rsidTr="002542E1">
        <w:tc>
          <w:tcPr>
            <w:tcW w:w="6064" w:type="dxa"/>
            <w:tcBorders>
              <w:top w:val="single" w:sz="4" w:space="0" w:color="A6A6A6" w:themeColor="background1" w:themeShade="A6"/>
              <w:bottom w:val="single" w:sz="4" w:space="0" w:color="A6A6A6" w:themeColor="background1" w:themeShade="A6"/>
            </w:tcBorders>
          </w:tcPr>
          <w:p w14:paraId="437E63FC" w14:textId="77777777" w:rsidR="005B131E" w:rsidRPr="00BA7805" w:rsidRDefault="005B131E" w:rsidP="002542E1">
            <w:pPr>
              <w:pStyle w:val="ARfintablebody"/>
              <w:rPr>
                <w:highlight w:val="green"/>
              </w:rPr>
            </w:pPr>
            <w:r w:rsidRPr="00CE2093">
              <w:t>Changes in physical asset revaluation surplus</w:t>
            </w:r>
          </w:p>
        </w:tc>
        <w:tc>
          <w:tcPr>
            <w:tcW w:w="851" w:type="dxa"/>
            <w:tcBorders>
              <w:top w:val="single" w:sz="4" w:space="0" w:color="A6A6A6" w:themeColor="background1" w:themeShade="A6"/>
              <w:bottom w:val="single" w:sz="4" w:space="0" w:color="A6A6A6" w:themeColor="background1" w:themeShade="A6"/>
            </w:tcBorders>
            <w:noWrap/>
          </w:tcPr>
          <w:p w14:paraId="62CE8566" w14:textId="77777777" w:rsidR="005B131E" w:rsidRPr="00BA7805" w:rsidRDefault="005B131E" w:rsidP="002542E1">
            <w:pPr>
              <w:pStyle w:val="ARfintablebodyright"/>
              <w:rPr>
                <w:highlight w:val="green"/>
              </w:rPr>
            </w:pPr>
            <w:r w:rsidRPr="00CE2093">
              <w:t>9.4(b)</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7E08581" w14:textId="77777777" w:rsidR="005B131E" w:rsidRPr="00BA7805" w:rsidRDefault="005B131E" w:rsidP="002542E1">
            <w:pPr>
              <w:pStyle w:val="ARfintablebodyright"/>
              <w:rPr>
                <w:highlight w:val="green"/>
              </w:rPr>
            </w:pPr>
            <w:r w:rsidRPr="00CE2093">
              <w:t>1,185.</w:t>
            </w:r>
            <w:r>
              <w:t>7</w:t>
            </w:r>
          </w:p>
        </w:tc>
        <w:tc>
          <w:tcPr>
            <w:tcW w:w="1361" w:type="dxa"/>
            <w:tcBorders>
              <w:top w:val="single" w:sz="4" w:space="0" w:color="A6A6A6" w:themeColor="background1" w:themeShade="A6"/>
              <w:bottom w:val="single" w:sz="4" w:space="0" w:color="A6A6A6" w:themeColor="background1" w:themeShade="A6"/>
            </w:tcBorders>
            <w:noWrap/>
          </w:tcPr>
          <w:p w14:paraId="6B6E6B78" w14:textId="77777777" w:rsidR="005B131E" w:rsidRPr="00BA7805" w:rsidRDefault="005B131E" w:rsidP="002542E1">
            <w:pPr>
              <w:pStyle w:val="ARfintablebodyright"/>
              <w:rPr>
                <w:highlight w:val="green"/>
              </w:rPr>
            </w:pPr>
            <w:r w:rsidRPr="00CE2093">
              <w:t>47.7</w:t>
            </w:r>
          </w:p>
        </w:tc>
      </w:tr>
      <w:tr w:rsidR="005B131E" w:rsidRPr="00BA7805" w14:paraId="6A03F710" w14:textId="77777777" w:rsidTr="002542E1">
        <w:tc>
          <w:tcPr>
            <w:tcW w:w="6064" w:type="dxa"/>
            <w:tcBorders>
              <w:top w:val="single" w:sz="4" w:space="0" w:color="A6A6A6" w:themeColor="background1" w:themeShade="A6"/>
            </w:tcBorders>
          </w:tcPr>
          <w:p w14:paraId="40E706B9" w14:textId="77777777" w:rsidR="005B131E" w:rsidRPr="00BA7805" w:rsidRDefault="005B131E" w:rsidP="002542E1">
            <w:pPr>
              <w:pStyle w:val="ARfintablebody"/>
              <w:rPr>
                <w:highlight w:val="green"/>
              </w:rPr>
            </w:pPr>
            <w:r w:rsidRPr="00CE2093">
              <w:t>Remeasurement of superannuation defined benefit plans</w:t>
            </w:r>
          </w:p>
        </w:tc>
        <w:tc>
          <w:tcPr>
            <w:tcW w:w="851" w:type="dxa"/>
            <w:tcBorders>
              <w:top w:val="single" w:sz="4" w:space="0" w:color="A6A6A6" w:themeColor="background1" w:themeShade="A6"/>
            </w:tcBorders>
            <w:noWrap/>
          </w:tcPr>
          <w:p w14:paraId="79F9C35E" w14:textId="77777777" w:rsidR="005B131E" w:rsidRPr="00BA7805" w:rsidRDefault="005B131E" w:rsidP="002542E1">
            <w:pPr>
              <w:pStyle w:val="ARfintablebodyright"/>
              <w:rPr>
                <w:highlight w:val="green"/>
              </w:rPr>
            </w:pPr>
            <w:r w:rsidRPr="00CE2093">
              <w:t>9.4(a)</w:t>
            </w:r>
          </w:p>
        </w:tc>
        <w:tc>
          <w:tcPr>
            <w:tcW w:w="1361" w:type="dxa"/>
            <w:tcBorders>
              <w:top w:val="single" w:sz="4" w:space="0" w:color="A6A6A6" w:themeColor="background1" w:themeShade="A6"/>
            </w:tcBorders>
            <w:shd w:val="clear" w:color="auto" w:fill="E7E6E6" w:themeFill="accent4"/>
            <w:noWrap/>
          </w:tcPr>
          <w:p w14:paraId="7DC8D705" w14:textId="77777777" w:rsidR="005B131E" w:rsidRPr="00BA7805" w:rsidRDefault="005B131E" w:rsidP="002542E1">
            <w:pPr>
              <w:pStyle w:val="ARfintablebodyright"/>
              <w:rPr>
                <w:highlight w:val="green"/>
              </w:rPr>
            </w:pPr>
            <w:r w:rsidRPr="00CE2093">
              <w:t>2.1</w:t>
            </w:r>
          </w:p>
        </w:tc>
        <w:tc>
          <w:tcPr>
            <w:tcW w:w="1361" w:type="dxa"/>
            <w:tcBorders>
              <w:top w:val="single" w:sz="4" w:space="0" w:color="A6A6A6" w:themeColor="background1" w:themeShade="A6"/>
            </w:tcBorders>
            <w:noWrap/>
          </w:tcPr>
          <w:p w14:paraId="1CEDCDFC" w14:textId="77777777" w:rsidR="005B131E" w:rsidRPr="00BA7805" w:rsidRDefault="005B131E" w:rsidP="002542E1">
            <w:pPr>
              <w:pStyle w:val="ARfintablebodyright"/>
              <w:rPr>
                <w:highlight w:val="green"/>
              </w:rPr>
            </w:pPr>
            <w:r w:rsidRPr="00CE2093">
              <w:t>1.0</w:t>
            </w:r>
          </w:p>
        </w:tc>
      </w:tr>
      <w:tr w:rsidR="005B131E" w:rsidRPr="00BA7805" w14:paraId="26E623C4" w14:textId="77777777" w:rsidTr="002542E1">
        <w:tc>
          <w:tcPr>
            <w:tcW w:w="6064" w:type="dxa"/>
          </w:tcPr>
          <w:p w14:paraId="352A1BB2" w14:textId="77777777" w:rsidR="005B131E" w:rsidRPr="00BA7805" w:rsidRDefault="005B131E" w:rsidP="002542E1">
            <w:pPr>
              <w:pStyle w:val="ARfintablebodybold"/>
              <w:rPr>
                <w:highlight w:val="green"/>
              </w:rPr>
            </w:pPr>
            <w:r w:rsidRPr="00CE2093">
              <w:t xml:space="preserve">Total other economic flows </w:t>
            </w:r>
            <w:r>
              <w:t>–</w:t>
            </w:r>
            <w:r w:rsidRPr="00CE2093">
              <w:t xml:space="preserve"> other comprehensive income</w:t>
            </w:r>
          </w:p>
        </w:tc>
        <w:tc>
          <w:tcPr>
            <w:tcW w:w="851" w:type="dxa"/>
          </w:tcPr>
          <w:p w14:paraId="2B75514F"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4EBD0EC7" w14:textId="77777777" w:rsidR="005B131E" w:rsidRPr="00BA7805" w:rsidRDefault="005B131E" w:rsidP="002542E1">
            <w:pPr>
              <w:pStyle w:val="ARfintablebodyrightbold"/>
              <w:rPr>
                <w:highlight w:val="green"/>
              </w:rPr>
            </w:pPr>
            <w:r w:rsidRPr="00CE2093">
              <w:t>1,187.</w:t>
            </w:r>
            <w:r>
              <w:t>8</w:t>
            </w:r>
          </w:p>
        </w:tc>
        <w:tc>
          <w:tcPr>
            <w:tcW w:w="1361" w:type="dxa"/>
            <w:noWrap/>
          </w:tcPr>
          <w:p w14:paraId="45ECC248" w14:textId="77777777" w:rsidR="005B131E" w:rsidRPr="00BA7805" w:rsidRDefault="005B131E" w:rsidP="002542E1">
            <w:pPr>
              <w:pStyle w:val="ARfintablebodyrightbold"/>
              <w:rPr>
                <w:highlight w:val="green"/>
              </w:rPr>
            </w:pPr>
            <w:r w:rsidRPr="00CE2093">
              <w:t>48.7</w:t>
            </w:r>
          </w:p>
        </w:tc>
      </w:tr>
      <w:tr w:rsidR="005B131E" w:rsidRPr="00BA7805" w14:paraId="47811DE0" w14:textId="77777777" w:rsidTr="002542E1">
        <w:tc>
          <w:tcPr>
            <w:tcW w:w="6064" w:type="dxa"/>
          </w:tcPr>
          <w:p w14:paraId="65F6E759" w14:textId="77777777" w:rsidR="005B131E" w:rsidRPr="00BA7805" w:rsidRDefault="005B131E" w:rsidP="002542E1">
            <w:pPr>
              <w:pStyle w:val="ARfintablebodybold"/>
              <w:rPr>
                <w:highlight w:val="green"/>
              </w:rPr>
            </w:pPr>
            <w:r w:rsidRPr="00CE2093">
              <w:t>Comprehensive result</w:t>
            </w:r>
          </w:p>
        </w:tc>
        <w:tc>
          <w:tcPr>
            <w:tcW w:w="851" w:type="dxa"/>
          </w:tcPr>
          <w:p w14:paraId="4C1636AB"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0B3C2932" w14:textId="77777777" w:rsidR="005B131E" w:rsidRPr="00BA7805" w:rsidRDefault="005B131E" w:rsidP="002542E1">
            <w:pPr>
              <w:pStyle w:val="ARfintablebodyrightbold"/>
              <w:rPr>
                <w:highlight w:val="green"/>
              </w:rPr>
            </w:pPr>
            <w:r w:rsidRPr="00CE2093">
              <w:t>549.4</w:t>
            </w:r>
          </w:p>
        </w:tc>
        <w:tc>
          <w:tcPr>
            <w:tcW w:w="1361" w:type="dxa"/>
            <w:noWrap/>
          </w:tcPr>
          <w:p w14:paraId="1E052C4C" w14:textId="77777777" w:rsidR="005B131E" w:rsidRPr="00BA7805" w:rsidRDefault="005B131E" w:rsidP="002542E1">
            <w:pPr>
              <w:pStyle w:val="ARfintablebodyrightbold"/>
              <w:rPr>
                <w:highlight w:val="green"/>
              </w:rPr>
            </w:pPr>
            <w:r w:rsidRPr="00CE2093">
              <w:t>(216.0)</w:t>
            </w:r>
          </w:p>
        </w:tc>
      </w:tr>
    </w:tbl>
    <w:p w14:paraId="3F63F20B" w14:textId="77777777" w:rsidR="005B131E" w:rsidRPr="00BA7805" w:rsidRDefault="005B131E" w:rsidP="002542E1">
      <w:pPr>
        <w:pStyle w:val="ARfintablefootnote"/>
        <w:rPr>
          <w:highlight w:val="green"/>
        </w:rPr>
      </w:pPr>
      <w:r w:rsidRPr="00666F1B">
        <w:t>The comprehensive operating statement should be read in conjunction with the notes to the financial statements.</w:t>
      </w:r>
    </w:p>
    <w:p w14:paraId="78495766" w14:textId="77777777" w:rsidR="005B131E" w:rsidRPr="00BA7805" w:rsidRDefault="005B131E">
      <w:pPr>
        <w:pStyle w:val="ARfinbody"/>
        <w:rPr>
          <w:highlight w:val="green"/>
        </w:rPr>
      </w:pPr>
      <w:r w:rsidRPr="00BA7805">
        <w:rPr>
          <w:highlight w:val="green"/>
        </w:rPr>
        <w:br w:type="page"/>
      </w:r>
    </w:p>
    <w:p w14:paraId="30AAE83B" w14:textId="77777777" w:rsidR="005B131E" w:rsidRPr="007E2B58" w:rsidRDefault="005B131E">
      <w:pPr>
        <w:pStyle w:val="Heading2Financials"/>
      </w:pPr>
      <w:bookmarkStart w:id="260" w:name="_Toc181101542"/>
      <w:r w:rsidRPr="007E2B58">
        <w:t>Balance sheet as at 30 June 2024</w:t>
      </w:r>
      <w:bookmarkEnd w:id="260"/>
    </w:p>
    <w:tbl>
      <w:tblPr>
        <w:tblStyle w:val="TableGrid"/>
        <w:tblW w:w="9637" w:type="dxa"/>
        <w:tblLayout w:type="fixed"/>
        <w:tblLook w:val="06A0" w:firstRow="1" w:lastRow="0" w:firstColumn="1" w:lastColumn="0" w:noHBand="1" w:noVBand="1"/>
      </w:tblPr>
      <w:tblGrid>
        <w:gridCol w:w="6064"/>
        <w:gridCol w:w="851"/>
        <w:gridCol w:w="1361"/>
        <w:gridCol w:w="1361"/>
      </w:tblGrid>
      <w:tr w:rsidR="00E57D5B" w:rsidRPr="00BA7805" w14:paraId="51A411BE"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279BE2CC" w14:textId="77777777" w:rsidR="005B131E" w:rsidRPr="007E2B58" w:rsidRDefault="005B131E">
            <w:pPr>
              <w:pStyle w:val="ARfintablecolhead"/>
            </w:pPr>
          </w:p>
        </w:tc>
        <w:tc>
          <w:tcPr>
            <w:tcW w:w="851" w:type="dxa"/>
            <w:tcBorders>
              <w:bottom w:val="single" w:sz="4" w:space="0" w:color="auto"/>
            </w:tcBorders>
            <w:noWrap/>
            <w:hideMark/>
          </w:tcPr>
          <w:p w14:paraId="22586AE7" w14:textId="77777777" w:rsidR="005B131E" w:rsidRPr="007E2B58" w:rsidRDefault="005B131E">
            <w:pPr>
              <w:pStyle w:val="ARfintablecolheadright"/>
            </w:pPr>
            <w:r w:rsidRPr="007E2B58">
              <w:t>Note</w:t>
            </w:r>
          </w:p>
        </w:tc>
        <w:tc>
          <w:tcPr>
            <w:tcW w:w="1361" w:type="dxa"/>
            <w:tcBorders>
              <w:bottom w:val="single" w:sz="4" w:space="0" w:color="auto"/>
            </w:tcBorders>
            <w:shd w:val="clear" w:color="auto" w:fill="E7E6E6" w:themeFill="accent4"/>
            <w:hideMark/>
          </w:tcPr>
          <w:p w14:paraId="3509DBA3" w14:textId="77777777" w:rsidR="005B131E" w:rsidRPr="007E2B58" w:rsidRDefault="005B131E">
            <w:pPr>
              <w:pStyle w:val="ARfintablecolheadright"/>
            </w:pPr>
            <w:r w:rsidRPr="007E2B58">
              <w:t>2024</w:t>
            </w:r>
          </w:p>
          <w:p w14:paraId="563BCD23" w14:textId="77777777" w:rsidR="005B131E" w:rsidRPr="007E2B58" w:rsidRDefault="005B131E">
            <w:pPr>
              <w:pStyle w:val="ARfintablecolheadright"/>
            </w:pPr>
            <w:r w:rsidRPr="007E2B58">
              <w:t>$M</w:t>
            </w:r>
          </w:p>
        </w:tc>
        <w:tc>
          <w:tcPr>
            <w:tcW w:w="1361" w:type="dxa"/>
            <w:tcBorders>
              <w:bottom w:val="single" w:sz="4" w:space="0" w:color="auto"/>
            </w:tcBorders>
            <w:hideMark/>
          </w:tcPr>
          <w:p w14:paraId="4F399826" w14:textId="77777777" w:rsidR="005B131E" w:rsidRPr="007E2B58" w:rsidRDefault="005B131E">
            <w:pPr>
              <w:pStyle w:val="ARfintablecolheadright"/>
            </w:pPr>
            <w:r w:rsidRPr="007E2B58">
              <w:t>202</w:t>
            </w:r>
            <w:r>
              <w:t>3</w:t>
            </w:r>
          </w:p>
          <w:p w14:paraId="6F8EBAE0" w14:textId="77777777" w:rsidR="005B131E" w:rsidRPr="007E2B58" w:rsidRDefault="005B131E">
            <w:pPr>
              <w:pStyle w:val="ARfintablecolheadright"/>
            </w:pPr>
            <w:r w:rsidRPr="007E2B58">
              <w:t>$M</w:t>
            </w:r>
          </w:p>
        </w:tc>
      </w:tr>
      <w:tr w:rsidR="005B131E" w:rsidRPr="00BA7805" w14:paraId="07F12DF9" w14:textId="77777777">
        <w:tc>
          <w:tcPr>
            <w:tcW w:w="9637" w:type="dxa"/>
            <w:gridSpan w:val="4"/>
            <w:tcBorders>
              <w:top w:val="single" w:sz="4" w:space="0" w:color="auto"/>
              <w:bottom w:val="single" w:sz="4" w:space="0" w:color="A6A6A6" w:themeColor="background1" w:themeShade="A6"/>
            </w:tcBorders>
            <w:hideMark/>
          </w:tcPr>
          <w:p w14:paraId="1E49954B" w14:textId="77777777" w:rsidR="005B131E" w:rsidRPr="00BA7805" w:rsidRDefault="005B131E" w:rsidP="002542E1">
            <w:pPr>
              <w:pStyle w:val="ARfintablebodybold"/>
              <w:rPr>
                <w:highlight w:val="green"/>
              </w:rPr>
            </w:pPr>
            <w:r w:rsidRPr="00033A3C">
              <w:t>Assets</w:t>
            </w:r>
          </w:p>
        </w:tc>
      </w:tr>
      <w:tr w:rsidR="005B131E" w:rsidRPr="00BA7805" w14:paraId="47E9FCE8" w14:textId="77777777" w:rsidTr="00B84A49">
        <w:tc>
          <w:tcPr>
            <w:tcW w:w="9637" w:type="dxa"/>
            <w:gridSpan w:val="4"/>
            <w:tcBorders>
              <w:top w:val="single" w:sz="4" w:space="0" w:color="A6A6A6" w:themeColor="background1" w:themeShade="A6"/>
              <w:bottom w:val="single" w:sz="4" w:space="0" w:color="A6A6A6" w:themeColor="background1" w:themeShade="A6"/>
            </w:tcBorders>
          </w:tcPr>
          <w:p w14:paraId="4A7D671F" w14:textId="77777777" w:rsidR="005B131E" w:rsidRPr="00BA7805" w:rsidRDefault="005B131E" w:rsidP="002542E1">
            <w:pPr>
              <w:pStyle w:val="ARfintablebodybold"/>
              <w:rPr>
                <w:highlight w:val="green"/>
              </w:rPr>
            </w:pPr>
            <w:r w:rsidRPr="00033A3C">
              <w:t>Financial assets</w:t>
            </w:r>
          </w:p>
        </w:tc>
      </w:tr>
      <w:tr w:rsidR="005B131E" w:rsidRPr="00BA7805" w14:paraId="6CC46097" w14:textId="77777777" w:rsidTr="002542E1">
        <w:tc>
          <w:tcPr>
            <w:tcW w:w="6064" w:type="dxa"/>
            <w:tcBorders>
              <w:top w:val="single" w:sz="4" w:space="0" w:color="A6A6A6" w:themeColor="background1" w:themeShade="A6"/>
              <w:bottom w:val="single" w:sz="4" w:space="0" w:color="A6A6A6" w:themeColor="background1" w:themeShade="A6"/>
            </w:tcBorders>
          </w:tcPr>
          <w:p w14:paraId="769838A7" w14:textId="77777777" w:rsidR="005B131E" w:rsidRPr="00BA7805" w:rsidRDefault="005B131E" w:rsidP="002542E1">
            <w:pPr>
              <w:pStyle w:val="ARfintablebody"/>
              <w:rPr>
                <w:highlight w:val="green"/>
              </w:rPr>
            </w:pPr>
            <w:r w:rsidRPr="00033A3C">
              <w:t>Cash and deposits</w:t>
            </w:r>
          </w:p>
        </w:tc>
        <w:tc>
          <w:tcPr>
            <w:tcW w:w="851" w:type="dxa"/>
            <w:tcBorders>
              <w:top w:val="single" w:sz="4" w:space="0" w:color="A6A6A6" w:themeColor="background1" w:themeShade="A6"/>
              <w:bottom w:val="single" w:sz="4" w:space="0" w:color="A6A6A6" w:themeColor="background1" w:themeShade="A6"/>
            </w:tcBorders>
            <w:noWrap/>
          </w:tcPr>
          <w:p w14:paraId="48C25FD8" w14:textId="77777777" w:rsidR="005B131E" w:rsidRPr="00BA7805" w:rsidRDefault="005B131E" w:rsidP="002542E1">
            <w:pPr>
              <w:pStyle w:val="ARfintablebodyright"/>
              <w:rPr>
                <w:highlight w:val="green"/>
              </w:rPr>
            </w:pPr>
            <w:r w:rsidRPr="00033A3C">
              <w:t>7.3</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63E3C100" w14:textId="77777777" w:rsidR="005B131E" w:rsidRPr="00BA7805" w:rsidRDefault="005B131E" w:rsidP="002542E1">
            <w:pPr>
              <w:pStyle w:val="ARfintablebodyright"/>
              <w:rPr>
                <w:highlight w:val="green"/>
              </w:rPr>
            </w:pPr>
            <w:r w:rsidRPr="00033A3C">
              <w:t>600.5</w:t>
            </w:r>
          </w:p>
        </w:tc>
        <w:tc>
          <w:tcPr>
            <w:tcW w:w="1361" w:type="dxa"/>
            <w:tcBorders>
              <w:top w:val="single" w:sz="4" w:space="0" w:color="A6A6A6" w:themeColor="background1" w:themeShade="A6"/>
              <w:bottom w:val="single" w:sz="4" w:space="0" w:color="A6A6A6" w:themeColor="background1" w:themeShade="A6"/>
            </w:tcBorders>
            <w:noWrap/>
          </w:tcPr>
          <w:p w14:paraId="33700D8B" w14:textId="77777777" w:rsidR="005B131E" w:rsidRPr="00BA7805" w:rsidRDefault="005B131E" w:rsidP="002542E1">
            <w:pPr>
              <w:pStyle w:val="ARfintablebodyright"/>
              <w:rPr>
                <w:highlight w:val="green"/>
              </w:rPr>
            </w:pPr>
            <w:r w:rsidRPr="00033A3C">
              <w:t>706.8</w:t>
            </w:r>
          </w:p>
        </w:tc>
      </w:tr>
      <w:tr w:rsidR="005B131E" w:rsidRPr="00BA7805" w14:paraId="6993421D" w14:textId="77777777" w:rsidTr="002542E1">
        <w:tc>
          <w:tcPr>
            <w:tcW w:w="6064" w:type="dxa"/>
            <w:tcBorders>
              <w:top w:val="single" w:sz="4" w:space="0" w:color="A6A6A6" w:themeColor="background1" w:themeShade="A6"/>
              <w:bottom w:val="single" w:sz="4" w:space="0" w:color="A6A6A6" w:themeColor="background1" w:themeShade="A6"/>
            </w:tcBorders>
          </w:tcPr>
          <w:p w14:paraId="44BA6B8E" w14:textId="77777777" w:rsidR="005B131E" w:rsidRPr="00BA7805" w:rsidRDefault="005B131E" w:rsidP="002542E1">
            <w:pPr>
              <w:pStyle w:val="ARfintablebody"/>
              <w:rPr>
                <w:highlight w:val="green"/>
              </w:rPr>
            </w:pPr>
            <w:r w:rsidRPr="00033A3C">
              <w:t>Receivables</w:t>
            </w:r>
          </w:p>
        </w:tc>
        <w:tc>
          <w:tcPr>
            <w:tcW w:w="851" w:type="dxa"/>
            <w:tcBorders>
              <w:top w:val="single" w:sz="4" w:space="0" w:color="A6A6A6" w:themeColor="background1" w:themeShade="A6"/>
              <w:bottom w:val="single" w:sz="4" w:space="0" w:color="A6A6A6" w:themeColor="background1" w:themeShade="A6"/>
            </w:tcBorders>
            <w:noWrap/>
          </w:tcPr>
          <w:p w14:paraId="3EBCF33D" w14:textId="77777777" w:rsidR="005B131E" w:rsidRPr="00BA7805" w:rsidRDefault="005B131E" w:rsidP="002542E1">
            <w:pPr>
              <w:pStyle w:val="ARfintablebodyright"/>
              <w:rPr>
                <w:highlight w:val="green"/>
              </w:rPr>
            </w:pPr>
            <w:r w:rsidRPr="00033A3C">
              <w:t>6.1</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1CC3E07" w14:textId="77777777" w:rsidR="005B131E" w:rsidRPr="00BA7805" w:rsidRDefault="005B131E" w:rsidP="002542E1">
            <w:pPr>
              <w:pStyle w:val="ARfintablebodyright"/>
              <w:rPr>
                <w:highlight w:val="green"/>
              </w:rPr>
            </w:pPr>
            <w:r w:rsidRPr="00033A3C">
              <w:t>1,282.2</w:t>
            </w:r>
          </w:p>
        </w:tc>
        <w:tc>
          <w:tcPr>
            <w:tcW w:w="1361" w:type="dxa"/>
            <w:tcBorders>
              <w:top w:val="single" w:sz="4" w:space="0" w:color="A6A6A6" w:themeColor="background1" w:themeShade="A6"/>
              <w:bottom w:val="single" w:sz="4" w:space="0" w:color="A6A6A6" w:themeColor="background1" w:themeShade="A6"/>
            </w:tcBorders>
            <w:noWrap/>
          </w:tcPr>
          <w:p w14:paraId="43748EB3" w14:textId="77777777" w:rsidR="005B131E" w:rsidRPr="00BA7805" w:rsidRDefault="005B131E" w:rsidP="002542E1">
            <w:pPr>
              <w:pStyle w:val="ARfintablebodyright"/>
              <w:rPr>
                <w:highlight w:val="green"/>
              </w:rPr>
            </w:pPr>
            <w:r w:rsidRPr="00033A3C">
              <w:t>814.3</w:t>
            </w:r>
          </w:p>
        </w:tc>
      </w:tr>
      <w:tr w:rsidR="005B131E" w:rsidRPr="00BA7805" w14:paraId="3CB14777" w14:textId="77777777" w:rsidTr="002542E1">
        <w:tc>
          <w:tcPr>
            <w:tcW w:w="6064" w:type="dxa"/>
            <w:tcBorders>
              <w:top w:val="single" w:sz="4" w:space="0" w:color="A6A6A6" w:themeColor="background1" w:themeShade="A6"/>
            </w:tcBorders>
          </w:tcPr>
          <w:p w14:paraId="515C519D" w14:textId="77777777" w:rsidR="005B131E" w:rsidRPr="00BA7805" w:rsidRDefault="005B131E" w:rsidP="002542E1">
            <w:pPr>
              <w:pStyle w:val="ARfintablebody"/>
              <w:rPr>
                <w:rStyle w:val="Superscript"/>
                <w:highlight w:val="green"/>
              </w:rPr>
            </w:pPr>
            <w:r w:rsidRPr="00033A3C">
              <w:t>Loans</w:t>
            </w:r>
          </w:p>
        </w:tc>
        <w:tc>
          <w:tcPr>
            <w:tcW w:w="851" w:type="dxa"/>
            <w:tcBorders>
              <w:top w:val="single" w:sz="4" w:space="0" w:color="A6A6A6" w:themeColor="background1" w:themeShade="A6"/>
            </w:tcBorders>
            <w:noWrap/>
          </w:tcPr>
          <w:p w14:paraId="5DB3D045" w14:textId="77777777" w:rsidR="005B131E" w:rsidRPr="00BA7805" w:rsidRDefault="005B131E" w:rsidP="002542E1">
            <w:pPr>
              <w:pStyle w:val="ARfintablebodyright"/>
              <w:rPr>
                <w:highlight w:val="green"/>
              </w:rPr>
            </w:pPr>
            <w:r w:rsidRPr="00033A3C">
              <w:t>6.2</w:t>
            </w:r>
          </w:p>
        </w:tc>
        <w:tc>
          <w:tcPr>
            <w:tcW w:w="1361" w:type="dxa"/>
            <w:tcBorders>
              <w:top w:val="single" w:sz="4" w:space="0" w:color="A6A6A6" w:themeColor="background1" w:themeShade="A6"/>
            </w:tcBorders>
            <w:shd w:val="clear" w:color="auto" w:fill="E7E6E6" w:themeFill="accent4"/>
            <w:noWrap/>
          </w:tcPr>
          <w:p w14:paraId="5649D7E8" w14:textId="77777777" w:rsidR="005B131E" w:rsidRPr="00BA7805" w:rsidRDefault="005B131E" w:rsidP="002542E1">
            <w:pPr>
              <w:pStyle w:val="ARfintablebodyright"/>
              <w:rPr>
                <w:highlight w:val="green"/>
              </w:rPr>
            </w:pPr>
            <w:r w:rsidRPr="00033A3C">
              <w:t>28.2</w:t>
            </w:r>
          </w:p>
        </w:tc>
        <w:tc>
          <w:tcPr>
            <w:tcW w:w="1361" w:type="dxa"/>
            <w:tcBorders>
              <w:top w:val="single" w:sz="4" w:space="0" w:color="A6A6A6" w:themeColor="background1" w:themeShade="A6"/>
            </w:tcBorders>
            <w:noWrap/>
          </w:tcPr>
          <w:p w14:paraId="69ECCE3F" w14:textId="77777777" w:rsidR="005B131E" w:rsidRPr="00BA7805" w:rsidRDefault="005B131E" w:rsidP="002542E1">
            <w:pPr>
              <w:pStyle w:val="ARfintablebodyright"/>
              <w:rPr>
                <w:highlight w:val="green"/>
              </w:rPr>
            </w:pPr>
            <w:r w:rsidRPr="00033A3C">
              <w:t>30.0</w:t>
            </w:r>
          </w:p>
        </w:tc>
      </w:tr>
      <w:tr w:rsidR="005B131E" w:rsidRPr="00BA7805" w14:paraId="2CDDE29E" w14:textId="77777777" w:rsidTr="002542E1">
        <w:tc>
          <w:tcPr>
            <w:tcW w:w="6064" w:type="dxa"/>
            <w:tcBorders>
              <w:bottom w:val="single" w:sz="4" w:space="0" w:color="auto"/>
            </w:tcBorders>
          </w:tcPr>
          <w:p w14:paraId="780F6E61" w14:textId="77777777" w:rsidR="005B131E" w:rsidRPr="00BA7805" w:rsidRDefault="005B131E" w:rsidP="002542E1">
            <w:pPr>
              <w:pStyle w:val="ARfintablebodybold"/>
              <w:rPr>
                <w:highlight w:val="green"/>
              </w:rPr>
            </w:pPr>
            <w:r w:rsidRPr="00033A3C">
              <w:t>Total financial assets</w:t>
            </w:r>
          </w:p>
        </w:tc>
        <w:tc>
          <w:tcPr>
            <w:tcW w:w="851" w:type="dxa"/>
            <w:tcBorders>
              <w:bottom w:val="single" w:sz="4" w:space="0" w:color="auto"/>
            </w:tcBorders>
          </w:tcPr>
          <w:p w14:paraId="030A6A64" w14:textId="77777777" w:rsidR="005B131E" w:rsidRPr="00BA7805" w:rsidRDefault="005B131E" w:rsidP="002542E1">
            <w:pPr>
              <w:pStyle w:val="ARfintablebodyrightbold"/>
              <w:rPr>
                <w:highlight w:val="green"/>
              </w:rPr>
            </w:pPr>
          </w:p>
        </w:tc>
        <w:tc>
          <w:tcPr>
            <w:tcW w:w="1361" w:type="dxa"/>
            <w:tcBorders>
              <w:bottom w:val="single" w:sz="4" w:space="0" w:color="auto"/>
            </w:tcBorders>
            <w:shd w:val="clear" w:color="auto" w:fill="E7E6E6" w:themeFill="accent4"/>
            <w:noWrap/>
          </w:tcPr>
          <w:p w14:paraId="41A02837" w14:textId="77777777" w:rsidR="005B131E" w:rsidRPr="00BA7805" w:rsidRDefault="005B131E" w:rsidP="002542E1">
            <w:pPr>
              <w:pStyle w:val="ARfintablebodyrightbold"/>
              <w:rPr>
                <w:highlight w:val="green"/>
              </w:rPr>
            </w:pPr>
            <w:r w:rsidRPr="00033A3C">
              <w:t>1,910.9</w:t>
            </w:r>
          </w:p>
        </w:tc>
        <w:tc>
          <w:tcPr>
            <w:tcW w:w="1361" w:type="dxa"/>
            <w:tcBorders>
              <w:bottom w:val="single" w:sz="4" w:space="0" w:color="auto"/>
            </w:tcBorders>
            <w:noWrap/>
          </w:tcPr>
          <w:p w14:paraId="38338E11" w14:textId="77777777" w:rsidR="005B131E" w:rsidRPr="00BA7805" w:rsidRDefault="005B131E" w:rsidP="002542E1">
            <w:pPr>
              <w:pStyle w:val="ARfintablebodyrightbold"/>
              <w:rPr>
                <w:highlight w:val="green"/>
              </w:rPr>
            </w:pPr>
            <w:r w:rsidRPr="00033A3C">
              <w:t>1,551.1</w:t>
            </w:r>
          </w:p>
        </w:tc>
      </w:tr>
      <w:tr w:rsidR="005B131E" w:rsidRPr="00BA7805" w14:paraId="06EC2715" w14:textId="77777777" w:rsidTr="00B84A49">
        <w:tc>
          <w:tcPr>
            <w:tcW w:w="9637" w:type="dxa"/>
            <w:gridSpan w:val="4"/>
            <w:tcBorders>
              <w:top w:val="single" w:sz="4" w:space="0" w:color="auto"/>
              <w:bottom w:val="single" w:sz="4" w:space="0" w:color="A6A6A6" w:themeColor="background1" w:themeShade="A6"/>
            </w:tcBorders>
          </w:tcPr>
          <w:p w14:paraId="574B82F7" w14:textId="77777777" w:rsidR="005B131E" w:rsidRPr="00BA7805" w:rsidRDefault="005B131E" w:rsidP="002542E1">
            <w:pPr>
              <w:pStyle w:val="ARfintablebodybold"/>
              <w:rPr>
                <w:highlight w:val="green"/>
              </w:rPr>
            </w:pPr>
            <w:r w:rsidRPr="00806278">
              <w:t>Non-financial assets</w:t>
            </w:r>
          </w:p>
        </w:tc>
      </w:tr>
      <w:tr w:rsidR="005B131E" w:rsidRPr="00BA7805" w14:paraId="492918CD" w14:textId="77777777" w:rsidTr="002542E1">
        <w:tc>
          <w:tcPr>
            <w:tcW w:w="6064" w:type="dxa"/>
            <w:tcBorders>
              <w:top w:val="single" w:sz="4" w:space="0" w:color="A6A6A6" w:themeColor="background1" w:themeShade="A6"/>
              <w:bottom w:val="single" w:sz="4" w:space="0" w:color="A6A6A6" w:themeColor="background1" w:themeShade="A6"/>
            </w:tcBorders>
          </w:tcPr>
          <w:p w14:paraId="2CA412F1" w14:textId="77777777" w:rsidR="005B131E" w:rsidRPr="00BA7805" w:rsidRDefault="005B131E" w:rsidP="002542E1">
            <w:pPr>
              <w:pStyle w:val="ARfintablebody"/>
              <w:rPr>
                <w:highlight w:val="green"/>
              </w:rPr>
            </w:pPr>
            <w:r w:rsidRPr="00806278">
              <w:t xml:space="preserve">Non-financial physical assets classified as held for sale </w:t>
            </w:r>
          </w:p>
        </w:tc>
        <w:tc>
          <w:tcPr>
            <w:tcW w:w="851" w:type="dxa"/>
            <w:tcBorders>
              <w:top w:val="single" w:sz="4" w:space="0" w:color="A6A6A6" w:themeColor="background1" w:themeShade="A6"/>
              <w:bottom w:val="single" w:sz="4" w:space="0" w:color="A6A6A6" w:themeColor="background1" w:themeShade="A6"/>
            </w:tcBorders>
            <w:noWrap/>
          </w:tcPr>
          <w:p w14:paraId="2D7777E0" w14:textId="77777777" w:rsidR="005B131E" w:rsidRPr="00BA7805" w:rsidRDefault="005B131E" w:rsidP="002542E1">
            <w:pPr>
              <w:pStyle w:val="ARfintablebodyright"/>
              <w:rPr>
                <w:highlight w:val="green"/>
              </w:rPr>
            </w:pPr>
            <w:r w:rsidRPr="00806278">
              <w:t>9.3</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5B3E9B6C" w14:textId="77777777" w:rsidR="005B131E" w:rsidRPr="00BA7805" w:rsidRDefault="005B131E" w:rsidP="002542E1">
            <w:pPr>
              <w:pStyle w:val="ARfintablebodyright"/>
              <w:rPr>
                <w:highlight w:val="green"/>
              </w:rPr>
            </w:pPr>
            <w:r w:rsidRPr="00806278">
              <w:t>4.2</w:t>
            </w:r>
          </w:p>
        </w:tc>
        <w:tc>
          <w:tcPr>
            <w:tcW w:w="1361" w:type="dxa"/>
            <w:tcBorders>
              <w:top w:val="single" w:sz="4" w:space="0" w:color="A6A6A6" w:themeColor="background1" w:themeShade="A6"/>
              <w:bottom w:val="single" w:sz="4" w:space="0" w:color="A6A6A6" w:themeColor="background1" w:themeShade="A6"/>
            </w:tcBorders>
            <w:noWrap/>
          </w:tcPr>
          <w:p w14:paraId="0BDD7047" w14:textId="77777777" w:rsidR="005B131E" w:rsidRPr="00BA7805" w:rsidRDefault="005B131E" w:rsidP="002542E1">
            <w:pPr>
              <w:pStyle w:val="ARfintablebodyright"/>
              <w:rPr>
                <w:highlight w:val="green"/>
              </w:rPr>
            </w:pPr>
            <w:r w:rsidRPr="00806278">
              <w:t>4.3</w:t>
            </w:r>
          </w:p>
        </w:tc>
      </w:tr>
      <w:tr w:rsidR="005B131E" w:rsidRPr="00BA7805" w14:paraId="5D0D83FD" w14:textId="77777777" w:rsidTr="002542E1">
        <w:tc>
          <w:tcPr>
            <w:tcW w:w="6064" w:type="dxa"/>
            <w:tcBorders>
              <w:top w:val="single" w:sz="4" w:space="0" w:color="A6A6A6" w:themeColor="background1" w:themeShade="A6"/>
              <w:bottom w:val="single" w:sz="4" w:space="0" w:color="A6A6A6" w:themeColor="background1" w:themeShade="A6"/>
            </w:tcBorders>
          </w:tcPr>
          <w:p w14:paraId="48A9557A" w14:textId="77777777" w:rsidR="005B131E" w:rsidRPr="00BA7805" w:rsidRDefault="005B131E" w:rsidP="002542E1">
            <w:pPr>
              <w:pStyle w:val="ARfintablebody"/>
              <w:rPr>
                <w:highlight w:val="green"/>
              </w:rPr>
            </w:pPr>
            <w:r w:rsidRPr="00806278">
              <w:t>Property, plant and equipment</w:t>
            </w:r>
          </w:p>
        </w:tc>
        <w:tc>
          <w:tcPr>
            <w:tcW w:w="851" w:type="dxa"/>
            <w:tcBorders>
              <w:top w:val="single" w:sz="4" w:space="0" w:color="A6A6A6" w:themeColor="background1" w:themeShade="A6"/>
              <w:bottom w:val="single" w:sz="4" w:space="0" w:color="A6A6A6" w:themeColor="background1" w:themeShade="A6"/>
            </w:tcBorders>
            <w:noWrap/>
          </w:tcPr>
          <w:p w14:paraId="2340FD78" w14:textId="77777777" w:rsidR="005B131E" w:rsidRPr="00BA7805" w:rsidRDefault="005B131E" w:rsidP="002542E1">
            <w:pPr>
              <w:pStyle w:val="ARfintablebodyright"/>
              <w:rPr>
                <w:highlight w:val="green"/>
              </w:rPr>
            </w:pPr>
            <w:r w:rsidRPr="00806278">
              <w:t>5.1</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F489766" w14:textId="77777777" w:rsidR="005B131E" w:rsidRPr="00BA7805" w:rsidRDefault="005B131E" w:rsidP="002542E1">
            <w:pPr>
              <w:pStyle w:val="ARfintablebodyright"/>
              <w:rPr>
                <w:highlight w:val="green"/>
              </w:rPr>
            </w:pPr>
            <w:r w:rsidRPr="00806278">
              <w:t>38,484.3</w:t>
            </w:r>
          </w:p>
        </w:tc>
        <w:tc>
          <w:tcPr>
            <w:tcW w:w="1361" w:type="dxa"/>
            <w:tcBorders>
              <w:top w:val="single" w:sz="4" w:space="0" w:color="A6A6A6" w:themeColor="background1" w:themeShade="A6"/>
              <w:bottom w:val="single" w:sz="4" w:space="0" w:color="A6A6A6" w:themeColor="background1" w:themeShade="A6"/>
            </w:tcBorders>
            <w:noWrap/>
          </w:tcPr>
          <w:p w14:paraId="6EE4DD5F" w14:textId="77777777" w:rsidR="005B131E" w:rsidRPr="00BA7805" w:rsidRDefault="005B131E" w:rsidP="002542E1">
            <w:pPr>
              <w:pStyle w:val="ARfintablebodyright"/>
              <w:rPr>
                <w:highlight w:val="green"/>
              </w:rPr>
            </w:pPr>
            <w:r w:rsidRPr="00806278">
              <w:t>36,879.3</w:t>
            </w:r>
          </w:p>
        </w:tc>
      </w:tr>
      <w:tr w:rsidR="005B131E" w:rsidRPr="00BA7805" w14:paraId="49452093" w14:textId="77777777" w:rsidTr="002542E1">
        <w:tc>
          <w:tcPr>
            <w:tcW w:w="6064" w:type="dxa"/>
            <w:tcBorders>
              <w:top w:val="single" w:sz="4" w:space="0" w:color="A6A6A6" w:themeColor="background1" w:themeShade="A6"/>
              <w:bottom w:val="single" w:sz="4" w:space="0" w:color="A6A6A6" w:themeColor="background1" w:themeShade="A6"/>
            </w:tcBorders>
          </w:tcPr>
          <w:p w14:paraId="6A8D7220" w14:textId="77777777" w:rsidR="005B131E" w:rsidRPr="00BA7805" w:rsidRDefault="005B131E" w:rsidP="002542E1">
            <w:pPr>
              <w:pStyle w:val="ARfintablebody"/>
              <w:rPr>
                <w:highlight w:val="green"/>
              </w:rPr>
            </w:pPr>
            <w:r w:rsidRPr="00806278">
              <w:t>Intangible assets</w:t>
            </w:r>
          </w:p>
        </w:tc>
        <w:tc>
          <w:tcPr>
            <w:tcW w:w="851" w:type="dxa"/>
            <w:tcBorders>
              <w:top w:val="single" w:sz="4" w:space="0" w:color="A6A6A6" w:themeColor="background1" w:themeShade="A6"/>
              <w:bottom w:val="single" w:sz="4" w:space="0" w:color="A6A6A6" w:themeColor="background1" w:themeShade="A6"/>
            </w:tcBorders>
            <w:noWrap/>
          </w:tcPr>
          <w:p w14:paraId="4F602112" w14:textId="77777777" w:rsidR="005B131E" w:rsidRPr="00BA7805" w:rsidRDefault="005B131E" w:rsidP="002542E1">
            <w:pPr>
              <w:pStyle w:val="ARfintablebodyright"/>
              <w:rPr>
                <w:highlight w:val="green"/>
              </w:rPr>
            </w:pPr>
            <w:r w:rsidRPr="00806278">
              <w:t>5.2</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5E19B83" w14:textId="77777777" w:rsidR="005B131E" w:rsidRPr="00BA7805" w:rsidRDefault="005B131E" w:rsidP="002542E1">
            <w:pPr>
              <w:pStyle w:val="ARfintablebodyright"/>
              <w:rPr>
                <w:highlight w:val="green"/>
              </w:rPr>
            </w:pPr>
            <w:r w:rsidRPr="00806278">
              <w:t>70.5</w:t>
            </w:r>
          </w:p>
        </w:tc>
        <w:tc>
          <w:tcPr>
            <w:tcW w:w="1361" w:type="dxa"/>
            <w:tcBorders>
              <w:top w:val="single" w:sz="4" w:space="0" w:color="A6A6A6" w:themeColor="background1" w:themeShade="A6"/>
              <w:bottom w:val="single" w:sz="4" w:space="0" w:color="A6A6A6" w:themeColor="background1" w:themeShade="A6"/>
            </w:tcBorders>
            <w:noWrap/>
          </w:tcPr>
          <w:p w14:paraId="2B17C09D" w14:textId="77777777" w:rsidR="005B131E" w:rsidRPr="00BA7805" w:rsidRDefault="005B131E" w:rsidP="002542E1">
            <w:pPr>
              <w:pStyle w:val="ARfintablebodyright"/>
              <w:rPr>
                <w:highlight w:val="green"/>
              </w:rPr>
            </w:pPr>
            <w:r w:rsidRPr="00806278">
              <w:t>80.5</w:t>
            </w:r>
          </w:p>
        </w:tc>
      </w:tr>
      <w:tr w:rsidR="005B131E" w:rsidRPr="00BA7805" w14:paraId="7B6D42A4" w14:textId="77777777" w:rsidTr="002542E1">
        <w:tc>
          <w:tcPr>
            <w:tcW w:w="6064" w:type="dxa"/>
            <w:tcBorders>
              <w:top w:val="single" w:sz="4" w:space="0" w:color="A6A6A6" w:themeColor="background1" w:themeShade="A6"/>
            </w:tcBorders>
          </w:tcPr>
          <w:p w14:paraId="7BFF8390" w14:textId="77777777" w:rsidR="005B131E" w:rsidRPr="00BA7805" w:rsidRDefault="005B131E" w:rsidP="002542E1">
            <w:pPr>
              <w:pStyle w:val="ARfintablebody"/>
              <w:rPr>
                <w:highlight w:val="green"/>
              </w:rPr>
            </w:pPr>
            <w:r w:rsidRPr="00806278">
              <w:t>Prepayments</w:t>
            </w:r>
          </w:p>
        </w:tc>
        <w:tc>
          <w:tcPr>
            <w:tcW w:w="851" w:type="dxa"/>
            <w:tcBorders>
              <w:top w:val="single" w:sz="4" w:space="0" w:color="A6A6A6" w:themeColor="background1" w:themeShade="A6"/>
            </w:tcBorders>
            <w:noWrap/>
          </w:tcPr>
          <w:p w14:paraId="14671530" w14:textId="77777777" w:rsidR="005B131E" w:rsidRPr="00BA7805" w:rsidRDefault="005B131E" w:rsidP="002542E1">
            <w:pPr>
              <w:pStyle w:val="ARfintablebodyright"/>
              <w:rPr>
                <w:highlight w:val="green"/>
              </w:rPr>
            </w:pPr>
          </w:p>
        </w:tc>
        <w:tc>
          <w:tcPr>
            <w:tcW w:w="1361" w:type="dxa"/>
            <w:tcBorders>
              <w:top w:val="single" w:sz="4" w:space="0" w:color="A6A6A6" w:themeColor="background1" w:themeShade="A6"/>
            </w:tcBorders>
            <w:shd w:val="clear" w:color="auto" w:fill="E7E6E6" w:themeFill="accent4"/>
            <w:noWrap/>
          </w:tcPr>
          <w:p w14:paraId="51A49F3D" w14:textId="77777777" w:rsidR="005B131E" w:rsidRPr="00BA7805" w:rsidRDefault="005B131E" w:rsidP="002542E1">
            <w:pPr>
              <w:pStyle w:val="ARfintablebodyright"/>
              <w:rPr>
                <w:highlight w:val="green"/>
              </w:rPr>
            </w:pPr>
            <w:r w:rsidRPr="00806278">
              <w:t>25.5</w:t>
            </w:r>
          </w:p>
        </w:tc>
        <w:tc>
          <w:tcPr>
            <w:tcW w:w="1361" w:type="dxa"/>
            <w:tcBorders>
              <w:top w:val="single" w:sz="4" w:space="0" w:color="A6A6A6" w:themeColor="background1" w:themeShade="A6"/>
            </w:tcBorders>
            <w:noWrap/>
          </w:tcPr>
          <w:p w14:paraId="337DC7F8" w14:textId="77777777" w:rsidR="005B131E" w:rsidRPr="00BA7805" w:rsidRDefault="005B131E" w:rsidP="002542E1">
            <w:pPr>
              <w:pStyle w:val="ARfintablebodyright"/>
              <w:rPr>
                <w:highlight w:val="green"/>
              </w:rPr>
            </w:pPr>
            <w:r w:rsidRPr="00806278">
              <w:t>50.4</w:t>
            </w:r>
          </w:p>
        </w:tc>
      </w:tr>
      <w:tr w:rsidR="005B131E" w:rsidRPr="00BA7805" w14:paraId="620D5004" w14:textId="77777777" w:rsidTr="002542E1">
        <w:tc>
          <w:tcPr>
            <w:tcW w:w="6064" w:type="dxa"/>
          </w:tcPr>
          <w:p w14:paraId="29A28DB5" w14:textId="77777777" w:rsidR="005B131E" w:rsidRPr="00BA7805" w:rsidRDefault="005B131E" w:rsidP="002542E1">
            <w:pPr>
              <w:pStyle w:val="ARfintablebodybold"/>
              <w:rPr>
                <w:highlight w:val="green"/>
              </w:rPr>
            </w:pPr>
            <w:r w:rsidRPr="00806278">
              <w:t>Total non-financial assets</w:t>
            </w:r>
          </w:p>
        </w:tc>
        <w:tc>
          <w:tcPr>
            <w:tcW w:w="851" w:type="dxa"/>
          </w:tcPr>
          <w:p w14:paraId="5C23239B"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4B19DCC1" w14:textId="77777777" w:rsidR="005B131E" w:rsidRPr="00BA7805" w:rsidRDefault="005B131E" w:rsidP="002542E1">
            <w:pPr>
              <w:pStyle w:val="ARfintablebodyrightbold"/>
              <w:rPr>
                <w:highlight w:val="green"/>
              </w:rPr>
            </w:pPr>
            <w:r w:rsidRPr="00806278">
              <w:t>38,584.5</w:t>
            </w:r>
          </w:p>
        </w:tc>
        <w:tc>
          <w:tcPr>
            <w:tcW w:w="1361" w:type="dxa"/>
            <w:noWrap/>
          </w:tcPr>
          <w:p w14:paraId="3A36C416" w14:textId="77777777" w:rsidR="005B131E" w:rsidRPr="00BA7805" w:rsidRDefault="005B131E" w:rsidP="002542E1">
            <w:pPr>
              <w:pStyle w:val="ARfintablebodyrightbold"/>
              <w:rPr>
                <w:highlight w:val="green"/>
              </w:rPr>
            </w:pPr>
            <w:r w:rsidRPr="00806278">
              <w:t>37,014.5</w:t>
            </w:r>
          </w:p>
        </w:tc>
      </w:tr>
      <w:tr w:rsidR="005B131E" w:rsidRPr="00BA7805" w14:paraId="09252E54" w14:textId="77777777" w:rsidTr="002542E1">
        <w:tc>
          <w:tcPr>
            <w:tcW w:w="6064" w:type="dxa"/>
            <w:tcBorders>
              <w:bottom w:val="single" w:sz="4" w:space="0" w:color="auto"/>
            </w:tcBorders>
          </w:tcPr>
          <w:p w14:paraId="33C382FE" w14:textId="77777777" w:rsidR="005B131E" w:rsidRPr="00BA7805" w:rsidRDefault="005B131E" w:rsidP="002542E1">
            <w:pPr>
              <w:pStyle w:val="ARfintablebodybold"/>
              <w:rPr>
                <w:highlight w:val="green"/>
              </w:rPr>
            </w:pPr>
            <w:r w:rsidRPr="00806278">
              <w:t>Total assets</w:t>
            </w:r>
          </w:p>
        </w:tc>
        <w:tc>
          <w:tcPr>
            <w:tcW w:w="851" w:type="dxa"/>
            <w:tcBorders>
              <w:bottom w:val="single" w:sz="4" w:space="0" w:color="auto"/>
            </w:tcBorders>
          </w:tcPr>
          <w:p w14:paraId="6E85266F" w14:textId="77777777" w:rsidR="005B131E" w:rsidRPr="00BA7805" w:rsidRDefault="005B131E" w:rsidP="002542E1">
            <w:pPr>
              <w:pStyle w:val="ARfintablebodyrightbold"/>
              <w:rPr>
                <w:highlight w:val="green"/>
              </w:rPr>
            </w:pPr>
          </w:p>
        </w:tc>
        <w:tc>
          <w:tcPr>
            <w:tcW w:w="1361" w:type="dxa"/>
            <w:tcBorders>
              <w:bottom w:val="single" w:sz="4" w:space="0" w:color="auto"/>
            </w:tcBorders>
            <w:shd w:val="clear" w:color="auto" w:fill="E7E6E6" w:themeFill="accent4"/>
            <w:noWrap/>
          </w:tcPr>
          <w:p w14:paraId="05205A34" w14:textId="77777777" w:rsidR="005B131E" w:rsidRPr="00BA7805" w:rsidRDefault="005B131E" w:rsidP="002542E1">
            <w:pPr>
              <w:pStyle w:val="ARfintablebodyrightbold"/>
              <w:rPr>
                <w:highlight w:val="green"/>
              </w:rPr>
            </w:pPr>
            <w:r w:rsidRPr="00806278">
              <w:t>40,495.4</w:t>
            </w:r>
          </w:p>
        </w:tc>
        <w:tc>
          <w:tcPr>
            <w:tcW w:w="1361" w:type="dxa"/>
            <w:tcBorders>
              <w:bottom w:val="single" w:sz="4" w:space="0" w:color="auto"/>
            </w:tcBorders>
            <w:noWrap/>
          </w:tcPr>
          <w:p w14:paraId="45312354" w14:textId="77777777" w:rsidR="005B131E" w:rsidRPr="00BA7805" w:rsidRDefault="005B131E" w:rsidP="002542E1">
            <w:pPr>
              <w:pStyle w:val="ARfintablebodyrightbold"/>
              <w:rPr>
                <w:highlight w:val="green"/>
              </w:rPr>
            </w:pPr>
            <w:r w:rsidRPr="00806278">
              <w:t>38,565.6</w:t>
            </w:r>
          </w:p>
        </w:tc>
      </w:tr>
      <w:tr w:rsidR="005B131E" w:rsidRPr="00BA7805" w14:paraId="25881A28" w14:textId="77777777" w:rsidTr="00B84A49">
        <w:tc>
          <w:tcPr>
            <w:tcW w:w="9637" w:type="dxa"/>
            <w:gridSpan w:val="4"/>
            <w:tcBorders>
              <w:top w:val="single" w:sz="4" w:space="0" w:color="auto"/>
              <w:bottom w:val="single" w:sz="4" w:space="0" w:color="A6A6A6" w:themeColor="background1" w:themeShade="A6"/>
            </w:tcBorders>
          </w:tcPr>
          <w:p w14:paraId="726EF3B3" w14:textId="77777777" w:rsidR="005B131E" w:rsidRPr="00BA7805" w:rsidRDefault="005B131E" w:rsidP="002542E1">
            <w:pPr>
              <w:pStyle w:val="ARfintablebodybold"/>
              <w:rPr>
                <w:highlight w:val="green"/>
              </w:rPr>
            </w:pPr>
            <w:r w:rsidRPr="009A76EC">
              <w:t>Liabilities</w:t>
            </w:r>
          </w:p>
        </w:tc>
      </w:tr>
      <w:tr w:rsidR="005B131E" w:rsidRPr="00BA7805" w14:paraId="13D30A0D" w14:textId="77777777" w:rsidTr="00B84A49">
        <w:tc>
          <w:tcPr>
            <w:tcW w:w="9637" w:type="dxa"/>
            <w:gridSpan w:val="4"/>
            <w:tcBorders>
              <w:top w:val="single" w:sz="4" w:space="0" w:color="A6A6A6" w:themeColor="background1" w:themeShade="A6"/>
              <w:bottom w:val="single" w:sz="4" w:space="0" w:color="A6A6A6" w:themeColor="background1" w:themeShade="A6"/>
            </w:tcBorders>
          </w:tcPr>
          <w:p w14:paraId="71603B62" w14:textId="77777777" w:rsidR="005B131E" w:rsidRPr="00BA7805" w:rsidRDefault="005B131E" w:rsidP="002542E1">
            <w:pPr>
              <w:pStyle w:val="ARfintablebodybold"/>
              <w:rPr>
                <w:highlight w:val="green"/>
              </w:rPr>
            </w:pPr>
            <w:r w:rsidRPr="009A76EC">
              <w:t>Financial liabilities</w:t>
            </w:r>
          </w:p>
        </w:tc>
      </w:tr>
      <w:tr w:rsidR="005B131E" w:rsidRPr="00BA7805" w14:paraId="3710EB3E" w14:textId="77777777" w:rsidTr="002542E1">
        <w:tc>
          <w:tcPr>
            <w:tcW w:w="6064" w:type="dxa"/>
            <w:tcBorders>
              <w:top w:val="single" w:sz="4" w:space="0" w:color="A6A6A6" w:themeColor="background1" w:themeShade="A6"/>
              <w:bottom w:val="single" w:sz="4" w:space="0" w:color="A6A6A6" w:themeColor="background1" w:themeShade="A6"/>
            </w:tcBorders>
          </w:tcPr>
          <w:p w14:paraId="22355A7C" w14:textId="77777777" w:rsidR="005B131E" w:rsidRPr="00BA7805" w:rsidRDefault="005B131E" w:rsidP="002542E1">
            <w:pPr>
              <w:pStyle w:val="ARfintablebody"/>
              <w:rPr>
                <w:highlight w:val="green"/>
              </w:rPr>
            </w:pPr>
            <w:r w:rsidRPr="009A76EC">
              <w:t>Payables</w:t>
            </w:r>
          </w:p>
        </w:tc>
        <w:tc>
          <w:tcPr>
            <w:tcW w:w="851" w:type="dxa"/>
            <w:tcBorders>
              <w:top w:val="single" w:sz="4" w:space="0" w:color="A6A6A6" w:themeColor="background1" w:themeShade="A6"/>
              <w:bottom w:val="single" w:sz="4" w:space="0" w:color="A6A6A6" w:themeColor="background1" w:themeShade="A6"/>
            </w:tcBorders>
            <w:noWrap/>
          </w:tcPr>
          <w:p w14:paraId="73DCFEA4" w14:textId="77777777" w:rsidR="005B131E" w:rsidRPr="00BA7805" w:rsidRDefault="005B131E" w:rsidP="002542E1">
            <w:pPr>
              <w:pStyle w:val="ARfintablebodyright"/>
              <w:rPr>
                <w:highlight w:val="green"/>
              </w:rPr>
            </w:pPr>
            <w:r w:rsidRPr="009A76EC">
              <w:t>6.3</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021D13E" w14:textId="77777777" w:rsidR="005B131E" w:rsidRPr="00BA7805" w:rsidRDefault="005B131E" w:rsidP="002542E1">
            <w:pPr>
              <w:pStyle w:val="ARfintablebodyright"/>
              <w:rPr>
                <w:highlight w:val="green"/>
              </w:rPr>
            </w:pPr>
            <w:r w:rsidRPr="009A76EC">
              <w:t>565.9</w:t>
            </w:r>
          </w:p>
        </w:tc>
        <w:tc>
          <w:tcPr>
            <w:tcW w:w="1361" w:type="dxa"/>
            <w:tcBorders>
              <w:top w:val="single" w:sz="4" w:space="0" w:color="A6A6A6" w:themeColor="background1" w:themeShade="A6"/>
              <w:bottom w:val="single" w:sz="4" w:space="0" w:color="A6A6A6" w:themeColor="background1" w:themeShade="A6"/>
            </w:tcBorders>
            <w:noWrap/>
          </w:tcPr>
          <w:p w14:paraId="2C64EE26" w14:textId="77777777" w:rsidR="005B131E" w:rsidRPr="00BA7805" w:rsidRDefault="005B131E" w:rsidP="002542E1">
            <w:pPr>
              <w:pStyle w:val="ARfintablebodyright"/>
              <w:rPr>
                <w:highlight w:val="green"/>
              </w:rPr>
            </w:pPr>
            <w:r w:rsidRPr="009A76EC">
              <w:t>454.9</w:t>
            </w:r>
          </w:p>
        </w:tc>
      </w:tr>
      <w:tr w:rsidR="005B131E" w:rsidRPr="00BA7805" w14:paraId="41A70895" w14:textId="77777777" w:rsidTr="002542E1">
        <w:tc>
          <w:tcPr>
            <w:tcW w:w="6064" w:type="dxa"/>
            <w:tcBorders>
              <w:top w:val="single" w:sz="4" w:space="0" w:color="A6A6A6" w:themeColor="background1" w:themeShade="A6"/>
              <w:bottom w:val="single" w:sz="4" w:space="0" w:color="A6A6A6" w:themeColor="background1" w:themeShade="A6"/>
            </w:tcBorders>
          </w:tcPr>
          <w:p w14:paraId="1F1D7DAC" w14:textId="77777777" w:rsidR="005B131E" w:rsidRPr="00BA7805" w:rsidRDefault="005B131E" w:rsidP="002542E1">
            <w:pPr>
              <w:pStyle w:val="ARfintablebody"/>
              <w:rPr>
                <w:highlight w:val="green"/>
              </w:rPr>
            </w:pPr>
            <w:r w:rsidRPr="009A76EC">
              <w:t>Borrowings</w:t>
            </w:r>
          </w:p>
        </w:tc>
        <w:tc>
          <w:tcPr>
            <w:tcW w:w="851" w:type="dxa"/>
            <w:tcBorders>
              <w:top w:val="single" w:sz="4" w:space="0" w:color="A6A6A6" w:themeColor="background1" w:themeShade="A6"/>
              <w:bottom w:val="single" w:sz="4" w:space="0" w:color="A6A6A6" w:themeColor="background1" w:themeShade="A6"/>
            </w:tcBorders>
            <w:noWrap/>
          </w:tcPr>
          <w:p w14:paraId="496AE249" w14:textId="77777777" w:rsidR="005B131E" w:rsidRPr="00BA7805" w:rsidRDefault="005B131E" w:rsidP="002542E1">
            <w:pPr>
              <w:pStyle w:val="ARfintablebodyright"/>
              <w:rPr>
                <w:highlight w:val="green"/>
              </w:rPr>
            </w:pPr>
            <w:r w:rsidRPr="009A76EC">
              <w:t>7.1</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477EA34" w14:textId="77777777" w:rsidR="005B131E" w:rsidRPr="00BA7805" w:rsidRDefault="005B131E" w:rsidP="002542E1">
            <w:pPr>
              <w:pStyle w:val="ARfintablebodyright"/>
              <w:rPr>
                <w:highlight w:val="green"/>
              </w:rPr>
            </w:pPr>
            <w:r w:rsidRPr="009A76EC">
              <w:t>537.2</w:t>
            </w:r>
          </w:p>
        </w:tc>
        <w:tc>
          <w:tcPr>
            <w:tcW w:w="1361" w:type="dxa"/>
            <w:tcBorders>
              <w:top w:val="single" w:sz="4" w:space="0" w:color="A6A6A6" w:themeColor="background1" w:themeShade="A6"/>
              <w:bottom w:val="single" w:sz="4" w:space="0" w:color="A6A6A6" w:themeColor="background1" w:themeShade="A6"/>
            </w:tcBorders>
            <w:noWrap/>
          </w:tcPr>
          <w:p w14:paraId="2760A502" w14:textId="77777777" w:rsidR="005B131E" w:rsidRPr="00BA7805" w:rsidRDefault="005B131E" w:rsidP="002542E1">
            <w:pPr>
              <w:pStyle w:val="ARfintablebodyright"/>
              <w:rPr>
                <w:highlight w:val="green"/>
              </w:rPr>
            </w:pPr>
            <w:r w:rsidRPr="009A76EC">
              <w:t>416.4</w:t>
            </w:r>
          </w:p>
        </w:tc>
      </w:tr>
      <w:tr w:rsidR="005B131E" w:rsidRPr="00BA7805" w14:paraId="2005086C" w14:textId="77777777" w:rsidTr="002542E1">
        <w:tc>
          <w:tcPr>
            <w:tcW w:w="6064" w:type="dxa"/>
            <w:tcBorders>
              <w:top w:val="single" w:sz="4" w:space="0" w:color="A6A6A6" w:themeColor="background1" w:themeShade="A6"/>
              <w:bottom w:val="single" w:sz="4" w:space="0" w:color="A6A6A6" w:themeColor="background1" w:themeShade="A6"/>
            </w:tcBorders>
          </w:tcPr>
          <w:p w14:paraId="40010137" w14:textId="77777777" w:rsidR="005B131E" w:rsidRPr="00BA7805" w:rsidRDefault="005B131E" w:rsidP="002542E1">
            <w:pPr>
              <w:pStyle w:val="ARfintablebody"/>
              <w:rPr>
                <w:highlight w:val="green"/>
              </w:rPr>
            </w:pPr>
            <w:r w:rsidRPr="009A76EC">
              <w:t>Employee related provisions</w:t>
            </w:r>
          </w:p>
        </w:tc>
        <w:tc>
          <w:tcPr>
            <w:tcW w:w="851" w:type="dxa"/>
            <w:tcBorders>
              <w:top w:val="single" w:sz="4" w:space="0" w:color="A6A6A6" w:themeColor="background1" w:themeShade="A6"/>
              <w:bottom w:val="single" w:sz="4" w:space="0" w:color="A6A6A6" w:themeColor="background1" w:themeShade="A6"/>
            </w:tcBorders>
            <w:noWrap/>
          </w:tcPr>
          <w:p w14:paraId="01986098" w14:textId="77777777" w:rsidR="005B131E" w:rsidRPr="00BA7805" w:rsidRDefault="005B131E" w:rsidP="002542E1">
            <w:pPr>
              <w:pStyle w:val="ARfintablebodyright"/>
              <w:rPr>
                <w:highlight w:val="green"/>
              </w:rPr>
            </w:pPr>
            <w:r w:rsidRPr="009A76EC">
              <w:t>3.1.1(b)</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DBE50E1" w14:textId="77777777" w:rsidR="005B131E" w:rsidRPr="00BA7805" w:rsidRDefault="005B131E" w:rsidP="002542E1">
            <w:pPr>
              <w:pStyle w:val="ARfintablebodyright"/>
              <w:rPr>
                <w:highlight w:val="green"/>
              </w:rPr>
            </w:pPr>
            <w:r w:rsidRPr="009A76EC">
              <w:t>299.3</w:t>
            </w:r>
          </w:p>
        </w:tc>
        <w:tc>
          <w:tcPr>
            <w:tcW w:w="1361" w:type="dxa"/>
            <w:tcBorders>
              <w:top w:val="single" w:sz="4" w:space="0" w:color="A6A6A6" w:themeColor="background1" w:themeShade="A6"/>
              <w:bottom w:val="single" w:sz="4" w:space="0" w:color="A6A6A6" w:themeColor="background1" w:themeShade="A6"/>
            </w:tcBorders>
            <w:noWrap/>
          </w:tcPr>
          <w:p w14:paraId="1931A148" w14:textId="77777777" w:rsidR="005B131E" w:rsidRPr="00BA7805" w:rsidRDefault="005B131E" w:rsidP="002542E1">
            <w:pPr>
              <w:pStyle w:val="ARfintablebodyright"/>
              <w:rPr>
                <w:highlight w:val="green"/>
              </w:rPr>
            </w:pPr>
            <w:r w:rsidRPr="009A76EC">
              <w:t>301.0</w:t>
            </w:r>
          </w:p>
        </w:tc>
      </w:tr>
      <w:tr w:rsidR="005B131E" w:rsidRPr="00BA7805" w14:paraId="1DE975A9" w14:textId="77777777" w:rsidTr="002542E1">
        <w:tc>
          <w:tcPr>
            <w:tcW w:w="6064" w:type="dxa"/>
            <w:tcBorders>
              <w:top w:val="single" w:sz="4" w:space="0" w:color="A6A6A6" w:themeColor="background1" w:themeShade="A6"/>
            </w:tcBorders>
          </w:tcPr>
          <w:p w14:paraId="7C20D2B9" w14:textId="77777777" w:rsidR="005B131E" w:rsidRPr="00BA7805" w:rsidRDefault="005B131E" w:rsidP="002542E1">
            <w:pPr>
              <w:pStyle w:val="ARfintablebody"/>
              <w:rPr>
                <w:highlight w:val="green"/>
              </w:rPr>
            </w:pPr>
            <w:r w:rsidRPr="009A76EC">
              <w:t>Other provisions</w:t>
            </w:r>
          </w:p>
        </w:tc>
        <w:tc>
          <w:tcPr>
            <w:tcW w:w="851" w:type="dxa"/>
            <w:tcBorders>
              <w:top w:val="single" w:sz="4" w:space="0" w:color="A6A6A6" w:themeColor="background1" w:themeShade="A6"/>
            </w:tcBorders>
            <w:noWrap/>
          </w:tcPr>
          <w:p w14:paraId="12410BF4" w14:textId="77777777" w:rsidR="005B131E" w:rsidRPr="00BA7805" w:rsidRDefault="005B131E" w:rsidP="002542E1">
            <w:pPr>
              <w:pStyle w:val="ARfintablebodyright"/>
              <w:rPr>
                <w:highlight w:val="green"/>
              </w:rPr>
            </w:pPr>
            <w:r w:rsidRPr="009A76EC">
              <w:t>6.4</w:t>
            </w:r>
          </w:p>
        </w:tc>
        <w:tc>
          <w:tcPr>
            <w:tcW w:w="1361" w:type="dxa"/>
            <w:tcBorders>
              <w:top w:val="single" w:sz="4" w:space="0" w:color="A6A6A6" w:themeColor="background1" w:themeShade="A6"/>
            </w:tcBorders>
            <w:shd w:val="clear" w:color="auto" w:fill="E7E6E6" w:themeFill="accent4"/>
            <w:noWrap/>
          </w:tcPr>
          <w:p w14:paraId="64745625" w14:textId="77777777" w:rsidR="005B131E" w:rsidRPr="00BA7805" w:rsidRDefault="005B131E" w:rsidP="002542E1">
            <w:pPr>
              <w:pStyle w:val="ARfintablebodyright"/>
              <w:rPr>
                <w:highlight w:val="green"/>
              </w:rPr>
            </w:pPr>
            <w:r w:rsidRPr="009A76EC">
              <w:t>530.7</w:t>
            </w:r>
          </w:p>
        </w:tc>
        <w:tc>
          <w:tcPr>
            <w:tcW w:w="1361" w:type="dxa"/>
            <w:tcBorders>
              <w:top w:val="single" w:sz="4" w:space="0" w:color="A6A6A6" w:themeColor="background1" w:themeShade="A6"/>
            </w:tcBorders>
            <w:noWrap/>
          </w:tcPr>
          <w:p w14:paraId="5E19C6B8" w14:textId="77777777" w:rsidR="005B131E" w:rsidRPr="00BA7805" w:rsidRDefault="005B131E" w:rsidP="002542E1">
            <w:pPr>
              <w:pStyle w:val="ARfintablebodyright"/>
              <w:rPr>
                <w:highlight w:val="green"/>
              </w:rPr>
            </w:pPr>
            <w:r w:rsidRPr="009A76EC">
              <w:t>211.3</w:t>
            </w:r>
          </w:p>
        </w:tc>
      </w:tr>
      <w:tr w:rsidR="005B131E" w:rsidRPr="00BA7805" w14:paraId="4EBD8356" w14:textId="77777777" w:rsidTr="002542E1">
        <w:tc>
          <w:tcPr>
            <w:tcW w:w="6064" w:type="dxa"/>
          </w:tcPr>
          <w:p w14:paraId="20538EB1" w14:textId="77777777" w:rsidR="005B131E" w:rsidRPr="00BA7805" w:rsidRDefault="005B131E" w:rsidP="002542E1">
            <w:pPr>
              <w:pStyle w:val="ARfintablebodybold"/>
              <w:rPr>
                <w:highlight w:val="green"/>
              </w:rPr>
            </w:pPr>
            <w:r w:rsidRPr="009A76EC">
              <w:t>Total financial liabilities</w:t>
            </w:r>
          </w:p>
        </w:tc>
        <w:tc>
          <w:tcPr>
            <w:tcW w:w="851" w:type="dxa"/>
          </w:tcPr>
          <w:p w14:paraId="4095DBEA"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50228203" w14:textId="77777777" w:rsidR="005B131E" w:rsidRPr="00BA7805" w:rsidRDefault="005B131E" w:rsidP="002542E1">
            <w:pPr>
              <w:pStyle w:val="ARfintablebodyrightbold"/>
              <w:rPr>
                <w:highlight w:val="green"/>
              </w:rPr>
            </w:pPr>
            <w:r w:rsidRPr="009A76EC">
              <w:t>1,933.1</w:t>
            </w:r>
          </w:p>
        </w:tc>
        <w:tc>
          <w:tcPr>
            <w:tcW w:w="1361" w:type="dxa"/>
            <w:noWrap/>
          </w:tcPr>
          <w:p w14:paraId="56E29D68" w14:textId="77777777" w:rsidR="005B131E" w:rsidRPr="00BA7805" w:rsidRDefault="005B131E" w:rsidP="002542E1">
            <w:pPr>
              <w:pStyle w:val="ARfintablebodyrightbold"/>
              <w:rPr>
                <w:highlight w:val="green"/>
              </w:rPr>
            </w:pPr>
            <w:r w:rsidRPr="009A76EC">
              <w:t>1,383.6</w:t>
            </w:r>
          </w:p>
        </w:tc>
      </w:tr>
      <w:tr w:rsidR="005B131E" w:rsidRPr="00BA7805" w14:paraId="338AC3D3" w14:textId="77777777" w:rsidTr="002542E1">
        <w:tc>
          <w:tcPr>
            <w:tcW w:w="6064" w:type="dxa"/>
          </w:tcPr>
          <w:p w14:paraId="57644AF0" w14:textId="77777777" w:rsidR="005B131E" w:rsidRPr="00BA7805" w:rsidRDefault="005B131E" w:rsidP="002542E1">
            <w:pPr>
              <w:pStyle w:val="ARfintablebodybold"/>
              <w:rPr>
                <w:highlight w:val="green"/>
              </w:rPr>
            </w:pPr>
            <w:r w:rsidRPr="009A76EC">
              <w:t>Total non-financial liabilities</w:t>
            </w:r>
          </w:p>
        </w:tc>
        <w:tc>
          <w:tcPr>
            <w:tcW w:w="851" w:type="dxa"/>
          </w:tcPr>
          <w:p w14:paraId="3D9BCB14"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1CCA9BB4" w14:textId="77777777" w:rsidR="005B131E" w:rsidRPr="00BA7805" w:rsidRDefault="005B131E" w:rsidP="002542E1">
            <w:pPr>
              <w:pStyle w:val="ARfintablebodyrightbold"/>
              <w:rPr>
                <w:highlight w:val="green"/>
              </w:rPr>
            </w:pPr>
            <w:r>
              <w:t>–</w:t>
            </w:r>
          </w:p>
        </w:tc>
        <w:tc>
          <w:tcPr>
            <w:tcW w:w="1361" w:type="dxa"/>
            <w:noWrap/>
          </w:tcPr>
          <w:p w14:paraId="23C40F46" w14:textId="77777777" w:rsidR="005B131E" w:rsidRPr="00BA7805" w:rsidRDefault="005B131E" w:rsidP="002542E1">
            <w:pPr>
              <w:pStyle w:val="ARfintablebodyrightbold"/>
              <w:rPr>
                <w:highlight w:val="green"/>
              </w:rPr>
            </w:pPr>
            <w:r>
              <w:t>–</w:t>
            </w:r>
          </w:p>
        </w:tc>
      </w:tr>
      <w:tr w:rsidR="005B131E" w:rsidRPr="00BA7805" w14:paraId="1D38B2B2" w14:textId="77777777" w:rsidTr="002542E1">
        <w:tc>
          <w:tcPr>
            <w:tcW w:w="6064" w:type="dxa"/>
          </w:tcPr>
          <w:p w14:paraId="6D8755DC" w14:textId="77777777" w:rsidR="005B131E" w:rsidRPr="00BA7805" w:rsidRDefault="005B131E" w:rsidP="002542E1">
            <w:pPr>
              <w:pStyle w:val="ARfintablebodybold"/>
              <w:rPr>
                <w:highlight w:val="green"/>
              </w:rPr>
            </w:pPr>
            <w:r w:rsidRPr="009A76EC">
              <w:t>Total liabilities</w:t>
            </w:r>
          </w:p>
        </w:tc>
        <w:tc>
          <w:tcPr>
            <w:tcW w:w="851" w:type="dxa"/>
          </w:tcPr>
          <w:p w14:paraId="7BF5BB73"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1D252596" w14:textId="77777777" w:rsidR="005B131E" w:rsidRPr="00BA7805" w:rsidRDefault="005B131E" w:rsidP="002542E1">
            <w:pPr>
              <w:pStyle w:val="ARfintablebodyrightbold"/>
              <w:rPr>
                <w:highlight w:val="green"/>
              </w:rPr>
            </w:pPr>
            <w:r w:rsidRPr="009A76EC">
              <w:t>1,933.1</w:t>
            </w:r>
          </w:p>
        </w:tc>
        <w:tc>
          <w:tcPr>
            <w:tcW w:w="1361" w:type="dxa"/>
            <w:noWrap/>
          </w:tcPr>
          <w:p w14:paraId="351FBA3E" w14:textId="77777777" w:rsidR="005B131E" w:rsidRPr="00BA7805" w:rsidRDefault="005B131E" w:rsidP="002542E1">
            <w:pPr>
              <w:pStyle w:val="ARfintablebodyrightbold"/>
              <w:rPr>
                <w:highlight w:val="green"/>
              </w:rPr>
            </w:pPr>
            <w:r w:rsidRPr="009A76EC">
              <w:t>1,383.6</w:t>
            </w:r>
          </w:p>
        </w:tc>
      </w:tr>
      <w:tr w:rsidR="005B131E" w:rsidRPr="00BA7805" w14:paraId="456F268F" w14:textId="77777777" w:rsidTr="002542E1">
        <w:tc>
          <w:tcPr>
            <w:tcW w:w="6064" w:type="dxa"/>
            <w:tcBorders>
              <w:bottom w:val="single" w:sz="4" w:space="0" w:color="auto"/>
            </w:tcBorders>
          </w:tcPr>
          <w:p w14:paraId="232C05CC" w14:textId="77777777" w:rsidR="005B131E" w:rsidRPr="00BA7805" w:rsidRDefault="005B131E" w:rsidP="002542E1">
            <w:pPr>
              <w:pStyle w:val="ARfintablebodybold"/>
              <w:rPr>
                <w:highlight w:val="green"/>
              </w:rPr>
            </w:pPr>
            <w:r w:rsidRPr="009A76EC">
              <w:t>Net assets</w:t>
            </w:r>
          </w:p>
        </w:tc>
        <w:tc>
          <w:tcPr>
            <w:tcW w:w="851" w:type="dxa"/>
            <w:tcBorders>
              <w:bottom w:val="single" w:sz="4" w:space="0" w:color="auto"/>
            </w:tcBorders>
          </w:tcPr>
          <w:p w14:paraId="6AE72040" w14:textId="77777777" w:rsidR="005B131E" w:rsidRPr="00BA7805" w:rsidRDefault="005B131E" w:rsidP="002542E1">
            <w:pPr>
              <w:pStyle w:val="ARfintablebodyrightbold"/>
              <w:rPr>
                <w:highlight w:val="green"/>
              </w:rPr>
            </w:pPr>
          </w:p>
        </w:tc>
        <w:tc>
          <w:tcPr>
            <w:tcW w:w="1361" w:type="dxa"/>
            <w:tcBorders>
              <w:bottom w:val="single" w:sz="4" w:space="0" w:color="auto"/>
            </w:tcBorders>
            <w:shd w:val="clear" w:color="auto" w:fill="E7E6E6" w:themeFill="accent4"/>
            <w:noWrap/>
          </w:tcPr>
          <w:p w14:paraId="3FCD197B" w14:textId="77777777" w:rsidR="005B131E" w:rsidRPr="00BA7805" w:rsidRDefault="005B131E" w:rsidP="002542E1">
            <w:pPr>
              <w:pStyle w:val="ARfintablebodyrightbold"/>
              <w:rPr>
                <w:highlight w:val="green"/>
              </w:rPr>
            </w:pPr>
            <w:r w:rsidRPr="009A76EC">
              <w:t>38,562.3</w:t>
            </w:r>
          </w:p>
        </w:tc>
        <w:tc>
          <w:tcPr>
            <w:tcW w:w="1361" w:type="dxa"/>
            <w:tcBorders>
              <w:bottom w:val="single" w:sz="4" w:space="0" w:color="auto"/>
            </w:tcBorders>
            <w:noWrap/>
          </w:tcPr>
          <w:p w14:paraId="3A57629E" w14:textId="77777777" w:rsidR="005B131E" w:rsidRPr="00BA7805" w:rsidRDefault="005B131E" w:rsidP="002542E1">
            <w:pPr>
              <w:pStyle w:val="ARfintablebodyrightbold"/>
              <w:rPr>
                <w:highlight w:val="green"/>
              </w:rPr>
            </w:pPr>
            <w:r w:rsidRPr="009A76EC">
              <w:t>37,182.0</w:t>
            </w:r>
          </w:p>
        </w:tc>
      </w:tr>
      <w:tr w:rsidR="005B131E" w:rsidRPr="00BA7805" w14:paraId="78AA0D01" w14:textId="77777777" w:rsidTr="00B84A49">
        <w:tc>
          <w:tcPr>
            <w:tcW w:w="9637" w:type="dxa"/>
            <w:gridSpan w:val="4"/>
            <w:tcBorders>
              <w:top w:val="single" w:sz="4" w:space="0" w:color="auto"/>
              <w:bottom w:val="single" w:sz="4" w:space="0" w:color="A6A6A6" w:themeColor="background1" w:themeShade="A6"/>
            </w:tcBorders>
          </w:tcPr>
          <w:p w14:paraId="542709A6" w14:textId="77777777" w:rsidR="005B131E" w:rsidRPr="00BA7805" w:rsidRDefault="005B131E" w:rsidP="002542E1">
            <w:pPr>
              <w:pStyle w:val="ARfintablebodybold"/>
              <w:rPr>
                <w:highlight w:val="green"/>
              </w:rPr>
            </w:pPr>
            <w:r w:rsidRPr="00F63B47">
              <w:t>Equity</w:t>
            </w:r>
          </w:p>
        </w:tc>
      </w:tr>
      <w:tr w:rsidR="005B131E" w:rsidRPr="00BA7805" w14:paraId="0F750028" w14:textId="77777777" w:rsidTr="002542E1">
        <w:tc>
          <w:tcPr>
            <w:tcW w:w="6064" w:type="dxa"/>
            <w:tcBorders>
              <w:top w:val="single" w:sz="4" w:space="0" w:color="A6A6A6" w:themeColor="background1" w:themeShade="A6"/>
              <w:bottom w:val="single" w:sz="4" w:space="0" w:color="A6A6A6" w:themeColor="background1" w:themeShade="A6"/>
            </w:tcBorders>
          </w:tcPr>
          <w:p w14:paraId="2EC1C830" w14:textId="77777777" w:rsidR="005B131E" w:rsidRPr="00BA7805" w:rsidRDefault="005B131E" w:rsidP="002542E1">
            <w:pPr>
              <w:pStyle w:val="ARfintablebody"/>
              <w:rPr>
                <w:highlight w:val="green"/>
              </w:rPr>
            </w:pPr>
            <w:r w:rsidRPr="00F63B47">
              <w:t>Accumulated surplus/(deficit)</w:t>
            </w:r>
          </w:p>
        </w:tc>
        <w:tc>
          <w:tcPr>
            <w:tcW w:w="851" w:type="dxa"/>
            <w:tcBorders>
              <w:top w:val="single" w:sz="4" w:space="0" w:color="A6A6A6" w:themeColor="background1" w:themeShade="A6"/>
              <w:bottom w:val="single" w:sz="4" w:space="0" w:color="A6A6A6" w:themeColor="background1" w:themeShade="A6"/>
            </w:tcBorders>
            <w:noWrap/>
          </w:tcPr>
          <w:p w14:paraId="5B29B7C5" w14:textId="77777777" w:rsidR="005B131E" w:rsidRPr="00BA7805" w:rsidRDefault="005B131E" w:rsidP="002542E1">
            <w:pPr>
              <w:pStyle w:val="ARfintablebodyright"/>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6A7BF4B4" w14:textId="77777777" w:rsidR="005B131E" w:rsidRPr="00BA7805" w:rsidRDefault="005B131E" w:rsidP="002542E1">
            <w:pPr>
              <w:pStyle w:val="ARfintablebodyright"/>
              <w:rPr>
                <w:highlight w:val="green"/>
              </w:rPr>
            </w:pPr>
            <w:r w:rsidRPr="00F63B47">
              <w:t>(455.4)</w:t>
            </w:r>
          </w:p>
        </w:tc>
        <w:tc>
          <w:tcPr>
            <w:tcW w:w="1361" w:type="dxa"/>
            <w:tcBorders>
              <w:top w:val="single" w:sz="4" w:space="0" w:color="A6A6A6" w:themeColor="background1" w:themeShade="A6"/>
              <w:bottom w:val="single" w:sz="4" w:space="0" w:color="A6A6A6" w:themeColor="background1" w:themeShade="A6"/>
            </w:tcBorders>
            <w:noWrap/>
          </w:tcPr>
          <w:p w14:paraId="30678C10" w14:textId="77777777" w:rsidR="005B131E" w:rsidRPr="00BA7805" w:rsidRDefault="005B131E" w:rsidP="002542E1">
            <w:pPr>
              <w:pStyle w:val="ARfintablebodyright"/>
              <w:rPr>
                <w:highlight w:val="green"/>
              </w:rPr>
            </w:pPr>
            <w:r w:rsidRPr="00F63B47">
              <w:t>180.9</w:t>
            </w:r>
          </w:p>
        </w:tc>
      </w:tr>
      <w:tr w:rsidR="005B131E" w:rsidRPr="00BA7805" w14:paraId="14FD47F3" w14:textId="77777777" w:rsidTr="002542E1">
        <w:tc>
          <w:tcPr>
            <w:tcW w:w="6064" w:type="dxa"/>
            <w:tcBorders>
              <w:top w:val="single" w:sz="4" w:space="0" w:color="A6A6A6" w:themeColor="background1" w:themeShade="A6"/>
              <w:bottom w:val="single" w:sz="4" w:space="0" w:color="A6A6A6" w:themeColor="background1" w:themeShade="A6"/>
            </w:tcBorders>
          </w:tcPr>
          <w:p w14:paraId="1693B6CE" w14:textId="77777777" w:rsidR="005B131E" w:rsidRPr="00BA7805" w:rsidRDefault="005B131E" w:rsidP="002542E1">
            <w:pPr>
              <w:pStyle w:val="ARfintablebody"/>
              <w:rPr>
                <w:highlight w:val="green"/>
              </w:rPr>
            </w:pPr>
            <w:r w:rsidRPr="00F63B47">
              <w:t>Physical asset revaluation surplus</w:t>
            </w:r>
          </w:p>
        </w:tc>
        <w:tc>
          <w:tcPr>
            <w:tcW w:w="851" w:type="dxa"/>
            <w:tcBorders>
              <w:top w:val="single" w:sz="4" w:space="0" w:color="A6A6A6" w:themeColor="background1" w:themeShade="A6"/>
              <w:bottom w:val="single" w:sz="4" w:space="0" w:color="A6A6A6" w:themeColor="background1" w:themeShade="A6"/>
            </w:tcBorders>
            <w:noWrap/>
          </w:tcPr>
          <w:p w14:paraId="3BD8C01F" w14:textId="77777777" w:rsidR="005B131E" w:rsidRPr="00BA7805" w:rsidRDefault="005B131E" w:rsidP="002542E1">
            <w:pPr>
              <w:pStyle w:val="ARfintablebodyright"/>
              <w:rPr>
                <w:highlight w:val="green"/>
              </w:rPr>
            </w:pPr>
            <w:r w:rsidRPr="00F63B47">
              <w:t>9.4</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54F4373" w14:textId="77777777" w:rsidR="005B131E" w:rsidRPr="00BA7805" w:rsidRDefault="005B131E" w:rsidP="002542E1">
            <w:pPr>
              <w:pStyle w:val="ARfintablebodyright"/>
              <w:rPr>
                <w:highlight w:val="green"/>
              </w:rPr>
            </w:pPr>
            <w:r w:rsidRPr="00F63B47">
              <w:t>8,756.2</w:t>
            </w:r>
          </w:p>
        </w:tc>
        <w:tc>
          <w:tcPr>
            <w:tcW w:w="1361" w:type="dxa"/>
            <w:tcBorders>
              <w:top w:val="single" w:sz="4" w:space="0" w:color="A6A6A6" w:themeColor="background1" w:themeShade="A6"/>
              <w:bottom w:val="single" w:sz="4" w:space="0" w:color="A6A6A6" w:themeColor="background1" w:themeShade="A6"/>
            </w:tcBorders>
            <w:noWrap/>
          </w:tcPr>
          <w:p w14:paraId="4CDB529E" w14:textId="77777777" w:rsidR="005B131E" w:rsidRPr="00BA7805" w:rsidRDefault="005B131E" w:rsidP="002542E1">
            <w:pPr>
              <w:pStyle w:val="ARfintablebodyright"/>
              <w:rPr>
                <w:highlight w:val="green"/>
              </w:rPr>
            </w:pPr>
            <w:r w:rsidRPr="00F63B47">
              <w:t>7,570.5</w:t>
            </w:r>
          </w:p>
        </w:tc>
      </w:tr>
      <w:tr w:rsidR="005B131E" w:rsidRPr="00BA7805" w14:paraId="76768E13" w14:textId="77777777" w:rsidTr="002542E1">
        <w:tc>
          <w:tcPr>
            <w:tcW w:w="6064" w:type="dxa"/>
            <w:tcBorders>
              <w:top w:val="single" w:sz="4" w:space="0" w:color="A6A6A6" w:themeColor="background1" w:themeShade="A6"/>
            </w:tcBorders>
          </w:tcPr>
          <w:p w14:paraId="53BDF2DE" w14:textId="77777777" w:rsidR="005B131E" w:rsidRPr="00BA7805" w:rsidRDefault="005B131E" w:rsidP="002542E1">
            <w:pPr>
              <w:pStyle w:val="ARfintablebody"/>
              <w:rPr>
                <w:highlight w:val="green"/>
              </w:rPr>
            </w:pPr>
            <w:r w:rsidRPr="00F63B47">
              <w:t>Contributed capital</w:t>
            </w:r>
          </w:p>
        </w:tc>
        <w:tc>
          <w:tcPr>
            <w:tcW w:w="851" w:type="dxa"/>
            <w:tcBorders>
              <w:top w:val="single" w:sz="4" w:space="0" w:color="A6A6A6" w:themeColor="background1" w:themeShade="A6"/>
            </w:tcBorders>
            <w:noWrap/>
          </w:tcPr>
          <w:p w14:paraId="391B1454" w14:textId="77777777" w:rsidR="005B131E" w:rsidRPr="00BA7805" w:rsidRDefault="005B131E" w:rsidP="002542E1">
            <w:pPr>
              <w:pStyle w:val="ARfintablebodyright"/>
              <w:rPr>
                <w:highlight w:val="green"/>
              </w:rPr>
            </w:pPr>
          </w:p>
        </w:tc>
        <w:tc>
          <w:tcPr>
            <w:tcW w:w="1361" w:type="dxa"/>
            <w:tcBorders>
              <w:top w:val="single" w:sz="4" w:space="0" w:color="A6A6A6" w:themeColor="background1" w:themeShade="A6"/>
            </w:tcBorders>
            <w:shd w:val="clear" w:color="auto" w:fill="E7E6E6" w:themeFill="accent4"/>
            <w:noWrap/>
          </w:tcPr>
          <w:p w14:paraId="5EE7A0A6" w14:textId="77777777" w:rsidR="005B131E" w:rsidRPr="00BA7805" w:rsidRDefault="005B131E" w:rsidP="002542E1">
            <w:pPr>
              <w:pStyle w:val="ARfintablebodyright"/>
              <w:rPr>
                <w:highlight w:val="green"/>
              </w:rPr>
            </w:pPr>
            <w:r w:rsidRPr="00F63B47">
              <w:t>30,261.5</w:t>
            </w:r>
          </w:p>
        </w:tc>
        <w:tc>
          <w:tcPr>
            <w:tcW w:w="1361" w:type="dxa"/>
            <w:tcBorders>
              <w:top w:val="single" w:sz="4" w:space="0" w:color="A6A6A6" w:themeColor="background1" w:themeShade="A6"/>
            </w:tcBorders>
            <w:noWrap/>
          </w:tcPr>
          <w:p w14:paraId="770ADABD" w14:textId="77777777" w:rsidR="005B131E" w:rsidRPr="00BA7805" w:rsidRDefault="005B131E" w:rsidP="002542E1">
            <w:pPr>
              <w:pStyle w:val="ARfintablebodyright"/>
              <w:rPr>
                <w:highlight w:val="green"/>
              </w:rPr>
            </w:pPr>
            <w:r w:rsidRPr="00F63B47">
              <w:t>29,430.6</w:t>
            </w:r>
          </w:p>
        </w:tc>
      </w:tr>
      <w:tr w:rsidR="005B131E" w:rsidRPr="00BA7805" w14:paraId="578D6609" w14:textId="77777777" w:rsidTr="002542E1">
        <w:tc>
          <w:tcPr>
            <w:tcW w:w="6064" w:type="dxa"/>
          </w:tcPr>
          <w:p w14:paraId="3D357433" w14:textId="77777777" w:rsidR="005B131E" w:rsidRPr="00BA7805" w:rsidRDefault="005B131E" w:rsidP="002542E1">
            <w:pPr>
              <w:pStyle w:val="ARfintablebodybold"/>
              <w:rPr>
                <w:highlight w:val="green"/>
              </w:rPr>
            </w:pPr>
            <w:r w:rsidRPr="00F63B47">
              <w:t>Net worth</w:t>
            </w:r>
          </w:p>
        </w:tc>
        <w:tc>
          <w:tcPr>
            <w:tcW w:w="851" w:type="dxa"/>
          </w:tcPr>
          <w:p w14:paraId="46B7A7C3" w14:textId="77777777" w:rsidR="005B131E" w:rsidRPr="00BA7805" w:rsidRDefault="005B131E" w:rsidP="002542E1">
            <w:pPr>
              <w:pStyle w:val="ARfintablebodyrightbold"/>
              <w:rPr>
                <w:highlight w:val="green"/>
              </w:rPr>
            </w:pPr>
          </w:p>
        </w:tc>
        <w:tc>
          <w:tcPr>
            <w:tcW w:w="1361" w:type="dxa"/>
            <w:shd w:val="clear" w:color="auto" w:fill="E7E6E6" w:themeFill="accent4"/>
            <w:noWrap/>
          </w:tcPr>
          <w:p w14:paraId="0EABB883" w14:textId="77777777" w:rsidR="005B131E" w:rsidRPr="00BA7805" w:rsidRDefault="005B131E" w:rsidP="002542E1">
            <w:pPr>
              <w:pStyle w:val="ARfintablebodyrightbold"/>
              <w:rPr>
                <w:highlight w:val="green"/>
              </w:rPr>
            </w:pPr>
            <w:r w:rsidRPr="00F63B47">
              <w:t>38,562.3</w:t>
            </w:r>
          </w:p>
        </w:tc>
        <w:tc>
          <w:tcPr>
            <w:tcW w:w="1361" w:type="dxa"/>
            <w:noWrap/>
          </w:tcPr>
          <w:p w14:paraId="6CD236CE" w14:textId="77777777" w:rsidR="005B131E" w:rsidRPr="00BA7805" w:rsidRDefault="005B131E" w:rsidP="002542E1">
            <w:pPr>
              <w:pStyle w:val="ARfintablebodyrightbold"/>
              <w:rPr>
                <w:highlight w:val="green"/>
              </w:rPr>
            </w:pPr>
            <w:r w:rsidRPr="00F63B47">
              <w:t>37,182.0</w:t>
            </w:r>
          </w:p>
        </w:tc>
      </w:tr>
    </w:tbl>
    <w:p w14:paraId="66904201" w14:textId="77777777" w:rsidR="005B131E" w:rsidRPr="00BA7805" w:rsidRDefault="005B131E">
      <w:pPr>
        <w:pStyle w:val="ARfintablefootnote"/>
        <w:rPr>
          <w:highlight w:val="green"/>
          <w:lang w:eastAsia="en-AU"/>
        </w:rPr>
      </w:pPr>
      <w:r w:rsidRPr="00E94122">
        <w:rPr>
          <w:lang w:eastAsia="en-AU"/>
        </w:rPr>
        <w:t>The balance sheet should be read in conjunction with the notes to the financial statements.</w:t>
      </w:r>
      <w:r w:rsidRPr="00E94122">
        <w:rPr>
          <w:lang w:eastAsia="en-AU"/>
        </w:rPr>
        <w:tab/>
      </w:r>
    </w:p>
    <w:p w14:paraId="47411F4B" w14:textId="77777777" w:rsidR="005B131E" w:rsidRPr="00BA7805" w:rsidRDefault="005B131E" w:rsidP="005C7C7D">
      <w:pPr>
        <w:pStyle w:val="ARbody"/>
        <w:rPr>
          <w:highlight w:val="green"/>
        </w:rPr>
      </w:pPr>
      <w:r w:rsidRPr="00BA7805">
        <w:rPr>
          <w:highlight w:val="green"/>
        </w:rPr>
        <w:br w:type="page"/>
      </w:r>
    </w:p>
    <w:p w14:paraId="285A4E8C" w14:textId="77777777" w:rsidR="005B131E" w:rsidRPr="0086679C" w:rsidRDefault="005B131E">
      <w:pPr>
        <w:pStyle w:val="Heading2Financials"/>
        <w:spacing w:after="0"/>
      </w:pPr>
      <w:bookmarkStart w:id="261" w:name="_Toc181101543"/>
      <w:r w:rsidRPr="0086679C">
        <w:t>Cash flow statement for the financial year</w:t>
      </w:r>
      <w:r w:rsidRPr="0086679C">
        <w:br/>
        <w:t>ended 30 June 2024</w:t>
      </w:r>
      <w:bookmarkEnd w:id="261"/>
    </w:p>
    <w:tbl>
      <w:tblPr>
        <w:tblStyle w:val="TableGrid"/>
        <w:tblW w:w="9639" w:type="dxa"/>
        <w:tblLayout w:type="fixed"/>
        <w:tblLook w:val="06A0" w:firstRow="1" w:lastRow="0" w:firstColumn="1" w:lastColumn="0" w:noHBand="1" w:noVBand="1"/>
      </w:tblPr>
      <w:tblGrid>
        <w:gridCol w:w="6066"/>
        <w:gridCol w:w="851"/>
        <w:gridCol w:w="1361"/>
        <w:gridCol w:w="1361"/>
      </w:tblGrid>
      <w:tr w:rsidR="00AF6F94" w:rsidRPr="00BA7805" w14:paraId="782ACD59" w14:textId="77777777" w:rsidTr="002542E1">
        <w:trPr>
          <w:cnfStyle w:val="100000000000" w:firstRow="1" w:lastRow="0" w:firstColumn="0" w:lastColumn="0" w:oddVBand="0" w:evenVBand="0" w:oddHBand="0" w:evenHBand="0" w:firstRowFirstColumn="0" w:firstRowLastColumn="0" w:lastRowFirstColumn="0" w:lastRowLastColumn="0"/>
          <w:trHeight w:val="534"/>
          <w:tblHeader/>
        </w:trPr>
        <w:tc>
          <w:tcPr>
            <w:tcW w:w="6066" w:type="dxa"/>
            <w:tcBorders>
              <w:bottom w:val="single" w:sz="4" w:space="0" w:color="auto"/>
            </w:tcBorders>
            <w:noWrap/>
            <w:hideMark/>
          </w:tcPr>
          <w:p w14:paraId="2B842395" w14:textId="77777777" w:rsidR="005B131E" w:rsidRPr="000B1D83" w:rsidRDefault="005B131E">
            <w:pPr>
              <w:pStyle w:val="ARfintablecolhead"/>
              <w:spacing w:before="24" w:after="12"/>
            </w:pPr>
          </w:p>
        </w:tc>
        <w:tc>
          <w:tcPr>
            <w:tcW w:w="851" w:type="dxa"/>
            <w:tcBorders>
              <w:bottom w:val="single" w:sz="4" w:space="0" w:color="auto"/>
            </w:tcBorders>
          </w:tcPr>
          <w:p w14:paraId="0755D2FD" w14:textId="77777777" w:rsidR="005B131E" w:rsidRPr="000B1D83" w:rsidRDefault="005B131E">
            <w:pPr>
              <w:pStyle w:val="ARfintablecolheadright"/>
              <w:spacing w:before="24" w:after="12"/>
            </w:pPr>
            <w:r w:rsidRPr="000B1D83">
              <w:t>Note</w:t>
            </w:r>
          </w:p>
        </w:tc>
        <w:tc>
          <w:tcPr>
            <w:tcW w:w="1361" w:type="dxa"/>
            <w:tcBorders>
              <w:bottom w:val="single" w:sz="4" w:space="0" w:color="auto"/>
            </w:tcBorders>
            <w:shd w:val="clear" w:color="auto" w:fill="E7E6E6" w:themeFill="accent4"/>
            <w:hideMark/>
          </w:tcPr>
          <w:p w14:paraId="028BEECF" w14:textId="77777777" w:rsidR="005B131E" w:rsidRPr="000B1D83" w:rsidRDefault="005B131E">
            <w:pPr>
              <w:pStyle w:val="ARfintablecolheadright"/>
            </w:pPr>
            <w:r w:rsidRPr="000B1D83">
              <w:t>2024</w:t>
            </w:r>
          </w:p>
          <w:p w14:paraId="4D5525D5" w14:textId="77777777" w:rsidR="005B131E" w:rsidRPr="000B1D83" w:rsidRDefault="005B131E">
            <w:pPr>
              <w:pStyle w:val="ARfintablecolheadright"/>
              <w:spacing w:before="24" w:after="12"/>
            </w:pPr>
            <w:r w:rsidRPr="000B1D83">
              <w:t>$M</w:t>
            </w:r>
          </w:p>
        </w:tc>
        <w:tc>
          <w:tcPr>
            <w:tcW w:w="1361" w:type="dxa"/>
            <w:tcBorders>
              <w:bottom w:val="single" w:sz="4" w:space="0" w:color="auto"/>
            </w:tcBorders>
            <w:hideMark/>
          </w:tcPr>
          <w:p w14:paraId="569943C8" w14:textId="77777777" w:rsidR="005B131E" w:rsidRPr="000B1D83" w:rsidRDefault="005B131E">
            <w:pPr>
              <w:pStyle w:val="ARfintablecolheadright"/>
            </w:pPr>
            <w:r w:rsidRPr="000B1D83">
              <w:t>2023</w:t>
            </w:r>
          </w:p>
          <w:p w14:paraId="50CA339C" w14:textId="77777777" w:rsidR="005B131E" w:rsidRPr="000B1D83" w:rsidRDefault="005B131E">
            <w:pPr>
              <w:pStyle w:val="ARfintablecolheadright"/>
              <w:spacing w:before="24" w:after="12"/>
            </w:pPr>
            <w:r w:rsidRPr="000B1D83">
              <w:t>$M</w:t>
            </w:r>
          </w:p>
        </w:tc>
      </w:tr>
      <w:tr w:rsidR="005B131E" w:rsidRPr="00BA7805" w14:paraId="3F768E74" w14:textId="77777777">
        <w:tc>
          <w:tcPr>
            <w:tcW w:w="9639" w:type="dxa"/>
            <w:gridSpan w:val="4"/>
            <w:tcBorders>
              <w:top w:val="single" w:sz="4" w:space="0" w:color="auto"/>
              <w:bottom w:val="single" w:sz="4" w:space="0" w:color="A6A6A6" w:themeColor="background1" w:themeShade="A6"/>
            </w:tcBorders>
          </w:tcPr>
          <w:p w14:paraId="1D14BBD5" w14:textId="77777777" w:rsidR="005B131E" w:rsidRPr="00BA7805" w:rsidRDefault="005B131E">
            <w:pPr>
              <w:pStyle w:val="ARfintablebodybold"/>
              <w:spacing w:before="24" w:after="12"/>
              <w:rPr>
                <w:highlight w:val="green"/>
              </w:rPr>
            </w:pPr>
          </w:p>
        </w:tc>
      </w:tr>
      <w:tr w:rsidR="005B131E" w:rsidRPr="00BA7805" w14:paraId="403CEBF3" w14:textId="77777777">
        <w:tc>
          <w:tcPr>
            <w:tcW w:w="9639" w:type="dxa"/>
            <w:gridSpan w:val="4"/>
            <w:tcBorders>
              <w:top w:val="single" w:sz="4" w:space="0" w:color="A6A6A6" w:themeColor="background1" w:themeShade="A6"/>
              <w:bottom w:val="single" w:sz="4" w:space="0" w:color="A6A6A6" w:themeColor="background1" w:themeShade="A6"/>
            </w:tcBorders>
          </w:tcPr>
          <w:p w14:paraId="4243DB32" w14:textId="77777777" w:rsidR="005B131E" w:rsidRPr="00BA7805" w:rsidRDefault="005B131E" w:rsidP="002542E1">
            <w:pPr>
              <w:pStyle w:val="ARfintablebodybold"/>
              <w:spacing w:before="24" w:after="12"/>
              <w:rPr>
                <w:highlight w:val="green"/>
              </w:rPr>
            </w:pPr>
            <w:r w:rsidRPr="001B3764">
              <w:t>Cash flows from operating activities</w:t>
            </w:r>
          </w:p>
        </w:tc>
      </w:tr>
      <w:tr w:rsidR="005B131E" w:rsidRPr="00BA7805" w14:paraId="6BB436CB"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7C349A7F" w14:textId="77777777" w:rsidR="005B131E" w:rsidRPr="007B24B9" w:rsidRDefault="005B131E" w:rsidP="002542E1">
            <w:pPr>
              <w:pStyle w:val="ARfintablebodybold"/>
              <w:rPr>
                <w:highlight w:val="green"/>
              </w:rPr>
            </w:pPr>
            <w:r w:rsidRPr="007B24B9">
              <w:t>Receipts</w:t>
            </w:r>
          </w:p>
        </w:tc>
        <w:tc>
          <w:tcPr>
            <w:tcW w:w="851" w:type="dxa"/>
            <w:tcBorders>
              <w:top w:val="single" w:sz="4" w:space="0" w:color="A6A6A6" w:themeColor="background1" w:themeShade="A6"/>
              <w:bottom w:val="single" w:sz="4" w:space="0" w:color="A6A6A6" w:themeColor="background1" w:themeShade="A6"/>
            </w:tcBorders>
          </w:tcPr>
          <w:p w14:paraId="0917F672"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7563413"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noWrap/>
          </w:tcPr>
          <w:p w14:paraId="4118B3BD" w14:textId="77777777" w:rsidR="005B131E" w:rsidRPr="00BA7805" w:rsidRDefault="005B131E" w:rsidP="002542E1">
            <w:pPr>
              <w:pStyle w:val="ARfintablebodyright"/>
              <w:spacing w:before="24" w:after="12"/>
              <w:rPr>
                <w:highlight w:val="green"/>
              </w:rPr>
            </w:pPr>
          </w:p>
        </w:tc>
      </w:tr>
      <w:tr w:rsidR="005B131E" w:rsidRPr="00BA7805" w14:paraId="50742CAF"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7BA7017A" w14:textId="77777777" w:rsidR="005B131E" w:rsidRPr="00BA7805" w:rsidRDefault="005B131E" w:rsidP="002542E1">
            <w:pPr>
              <w:pStyle w:val="ARfintablebody"/>
              <w:spacing w:before="24" w:after="12"/>
              <w:rPr>
                <w:highlight w:val="green"/>
              </w:rPr>
            </w:pPr>
            <w:r w:rsidRPr="001B3764">
              <w:t>Output appropriations</w:t>
            </w:r>
          </w:p>
        </w:tc>
        <w:tc>
          <w:tcPr>
            <w:tcW w:w="851" w:type="dxa"/>
            <w:tcBorders>
              <w:top w:val="single" w:sz="4" w:space="0" w:color="A6A6A6" w:themeColor="background1" w:themeShade="A6"/>
              <w:bottom w:val="single" w:sz="4" w:space="0" w:color="A6A6A6" w:themeColor="background1" w:themeShade="A6"/>
            </w:tcBorders>
          </w:tcPr>
          <w:p w14:paraId="50F0AFB6"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C91C5D7" w14:textId="77777777" w:rsidR="005B131E" w:rsidRPr="00BA7805" w:rsidRDefault="005B131E" w:rsidP="002542E1">
            <w:pPr>
              <w:pStyle w:val="ARfintablebodyright"/>
              <w:spacing w:before="24" w:after="12"/>
              <w:rPr>
                <w:highlight w:val="green"/>
              </w:rPr>
            </w:pPr>
            <w:r w:rsidRPr="001B3764">
              <w:t>5,103.9</w:t>
            </w:r>
          </w:p>
        </w:tc>
        <w:tc>
          <w:tcPr>
            <w:tcW w:w="1361" w:type="dxa"/>
            <w:tcBorders>
              <w:top w:val="single" w:sz="4" w:space="0" w:color="A6A6A6" w:themeColor="background1" w:themeShade="A6"/>
              <w:bottom w:val="single" w:sz="4" w:space="0" w:color="A6A6A6" w:themeColor="background1" w:themeShade="A6"/>
            </w:tcBorders>
            <w:noWrap/>
          </w:tcPr>
          <w:p w14:paraId="3F5F9216" w14:textId="77777777" w:rsidR="005B131E" w:rsidRPr="00BA7805" w:rsidRDefault="005B131E" w:rsidP="002542E1">
            <w:pPr>
              <w:pStyle w:val="ARfintablebodyright"/>
              <w:spacing w:before="24" w:after="12"/>
              <w:rPr>
                <w:highlight w:val="green"/>
              </w:rPr>
            </w:pPr>
            <w:r w:rsidRPr="001B3764">
              <w:t>5,204.9</w:t>
            </w:r>
          </w:p>
        </w:tc>
      </w:tr>
      <w:tr w:rsidR="005B131E" w:rsidRPr="00BA7805" w14:paraId="630BAF20"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13E3157C" w14:textId="77777777" w:rsidR="005B131E" w:rsidRPr="00BA7805" w:rsidRDefault="005B131E" w:rsidP="002542E1">
            <w:pPr>
              <w:pStyle w:val="ARfintablebody"/>
              <w:spacing w:before="24" w:after="12"/>
              <w:rPr>
                <w:highlight w:val="green"/>
              </w:rPr>
            </w:pPr>
            <w:r w:rsidRPr="001B3764">
              <w:t>Special appropriations</w:t>
            </w:r>
          </w:p>
        </w:tc>
        <w:tc>
          <w:tcPr>
            <w:tcW w:w="851" w:type="dxa"/>
            <w:tcBorders>
              <w:top w:val="single" w:sz="4" w:space="0" w:color="A6A6A6" w:themeColor="background1" w:themeShade="A6"/>
              <w:bottom w:val="single" w:sz="4" w:space="0" w:color="A6A6A6" w:themeColor="background1" w:themeShade="A6"/>
            </w:tcBorders>
          </w:tcPr>
          <w:p w14:paraId="09BBFCB5"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BDA6A3F" w14:textId="77777777" w:rsidR="005B131E" w:rsidRPr="00BA7805" w:rsidRDefault="005B131E" w:rsidP="002542E1">
            <w:pPr>
              <w:pStyle w:val="ARfintablebodyright"/>
              <w:spacing w:before="24" w:after="12"/>
              <w:rPr>
                <w:highlight w:val="green"/>
              </w:rPr>
            </w:pPr>
            <w:r w:rsidRPr="001B3764">
              <w:t>79.5</w:t>
            </w:r>
          </w:p>
        </w:tc>
        <w:tc>
          <w:tcPr>
            <w:tcW w:w="1361" w:type="dxa"/>
            <w:tcBorders>
              <w:top w:val="single" w:sz="4" w:space="0" w:color="A6A6A6" w:themeColor="background1" w:themeShade="A6"/>
              <w:bottom w:val="single" w:sz="4" w:space="0" w:color="A6A6A6" w:themeColor="background1" w:themeShade="A6"/>
            </w:tcBorders>
            <w:noWrap/>
          </w:tcPr>
          <w:p w14:paraId="552AB918" w14:textId="77777777" w:rsidR="005B131E" w:rsidRPr="00BA7805" w:rsidRDefault="005B131E" w:rsidP="002542E1">
            <w:pPr>
              <w:pStyle w:val="ARfintablebodyright"/>
              <w:spacing w:before="24" w:after="12"/>
              <w:rPr>
                <w:highlight w:val="green"/>
              </w:rPr>
            </w:pPr>
            <w:r w:rsidRPr="001B3764">
              <w:t>79.1</w:t>
            </w:r>
          </w:p>
        </w:tc>
      </w:tr>
      <w:tr w:rsidR="005B131E" w:rsidRPr="00BA7805" w14:paraId="60BD7DF1"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524A3D8F" w14:textId="77777777" w:rsidR="005B131E" w:rsidRPr="00BA7805" w:rsidRDefault="005B131E" w:rsidP="002542E1">
            <w:pPr>
              <w:pStyle w:val="ARfintablebody"/>
              <w:spacing w:before="24" w:after="12"/>
              <w:rPr>
                <w:highlight w:val="green"/>
              </w:rPr>
            </w:pPr>
            <w:r w:rsidRPr="001B3764">
              <w:t>Funds from other entities</w:t>
            </w:r>
          </w:p>
        </w:tc>
        <w:tc>
          <w:tcPr>
            <w:tcW w:w="851" w:type="dxa"/>
            <w:tcBorders>
              <w:top w:val="single" w:sz="4" w:space="0" w:color="A6A6A6" w:themeColor="background1" w:themeShade="A6"/>
              <w:bottom w:val="single" w:sz="4" w:space="0" w:color="A6A6A6" w:themeColor="background1" w:themeShade="A6"/>
            </w:tcBorders>
          </w:tcPr>
          <w:p w14:paraId="0528761D"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C47DDDF" w14:textId="77777777" w:rsidR="005B131E" w:rsidRPr="00BA7805" w:rsidRDefault="005B131E" w:rsidP="002542E1">
            <w:pPr>
              <w:pStyle w:val="ARfintablebodyright"/>
              <w:spacing w:before="24" w:after="12"/>
              <w:rPr>
                <w:highlight w:val="green"/>
              </w:rPr>
            </w:pPr>
            <w:r w:rsidRPr="001B3764">
              <w:t>253.8</w:t>
            </w:r>
          </w:p>
        </w:tc>
        <w:tc>
          <w:tcPr>
            <w:tcW w:w="1361" w:type="dxa"/>
            <w:tcBorders>
              <w:top w:val="single" w:sz="4" w:space="0" w:color="A6A6A6" w:themeColor="background1" w:themeShade="A6"/>
              <w:bottom w:val="single" w:sz="4" w:space="0" w:color="A6A6A6" w:themeColor="background1" w:themeShade="A6"/>
            </w:tcBorders>
            <w:noWrap/>
          </w:tcPr>
          <w:p w14:paraId="6C179BB6" w14:textId="77777777" w:rsidR="005B131E" w:rsidRPr="00BA7805" w:rsidRDefault="005B131E" w:rsidP="002542E1">
            <w:pPr>
              <w:pStyle w:val="ARfintablebodyright"/>
              <w:spacing w:before="24" w:after="12"/>
              <w:rPr>
                <w:highlight w:val="green"/>
              </w:rPr>
            </w:pPr>
            <w:r w:rsidRPr="001B3764">
              <w:t>519.2</w:t>
            </w:r>
          </w:p>
        </w:tc>
      </w:tr>
      <w:tr w:rsidR="005B131E" w:rsidRPr="00BA7805" w14:paraId="4042B67A"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609564E2" w14:textId="77777777" w:rsidR="005B131E" w:rsidRPr="00BA7805" w:rsidRDefault="005B131E" w:rsidP="002542E1">
            <w:pPr>
              <w:pStyle w:val="ARfintablebody"/>
              <w:spacing w:before="24" w:after="12"/>
              <w:rPr>
                <w:highlight w:val="green"/>
              </w:rPr>
            </w:pPr>
            <w:r w:rsidRPr="001B3764">
              <w:t>Rent received</w:t>
            </w:r>
          </w:p>
        </w:tc>
        <w:tc>
          <w:tcPr>
            <w:tcW w:w="851" w:type="dxa"/>
            <w:tcBorders>
              <w:top w:val="single" w:sz="4" w:space="0" w:color="A6A6A6" w:themeColor="background1" w:themeShade="A6"/>
              <w:bottom w:val="single" w:sz="4" w:space="0" w:color="A6A6A6" w:themeColor="background1" w:themeShade="A6"/>
            </w:tcBorders>
          </w:tcPr>
          <w:p w14:paraId="5E4C263D"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A63E0D5" w14:textId="77777777" w:rsidR="005B131E" w:rsidRPr="00BA7805" w:rsidRDefault="005B131E" w:rsidP="002542E1">
            <w:pPr>
              <w:pStyle w:val="ARfintablebodyright"/>
              <w:spacing w:before="24" w:after="12"/>
              <w:rPr>
                <w:highlight w:val="green"/>
              </w:rPr>
            </w:pPr>
            <w:r w:rsidRPr="001B3764">
              <w:t>557.1</w:t>
            </w:r>
          </w:p>
        </w:tc>
        <w:tc>
          <w:tcPr>
            <w:tcW w:w="1361" w:type="dxa"/>
            <w:tcBorders>
              <w:top w:val="single" w:sz="4" w:space="0" w:color="A6A6A6" w:themeColor="background1" w:themeShade="A6"/>
              <w:bottom w:val="single" w:sz="4" w:space="0" w:color="A6A6A6" w:themeColor="background1" w:themeShade="A6"/>
            </w:tcBorders>
            <w:noWrap/>
          </w:tcPr>
          <w:p w14:paraId="54B509B8" w14:textId="77777777" w:rsidR="005B131E" w:rsidRPr="00BA7805" w:rsidRDefault="005B131E" w:rsidP="002542E1">
            <w:pPr>
              <w:pStyle w:val="ARfintablebodyright"/>
              <w:spacing w:before="24" w:after="12"/>
              <w:rPr>
                <w:highlight w:val="green"/>
              </w:rPr>
            </w:pPr>
            <w:r w:rsidRPr="001B3764">
              <w:t>504.3</w:t>
            </w:r>
          </w:p>
        </w:tc>
      </w:tr>
      <w:tr w:rsidR="005B131E" w:rsidRPr="00BA7805" w14:paraId="2319B208"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5A5F4FF8" w14:textId="77777777" w:rsidR="005B131E" w:rsidRPr="00BA7805" w:rsidRDefault="005B131E" w:rsidP="002542E1">
            <w:pPr>
              <w:pStyle w:val="ARfintablebody"/>
              <w:spacing w:before="24" w:after="12"/>
              <w:rPr>
                <w:highlight w:val="green"/>
              </w:rPr>
            </w:pPr>
            <w:r w:rsidRPr="001B3764">
              <w:t>Interest received</w:t>
            </w:r>
          </w:p>
        </w:tc>
        <w:tc>
          <w:tcPr>
            <w:tcW w:w="851" w:type="dxa"/>
            <w:tcBorders>
              <w:top w:val="single" w:sz="4" w:space="0" w:color="A6A6A6" w:themeColor="background1" w:themeShade="A6"/>
              <w:bottom w:val="single" w:sz="4" w:space="0" w:color="A6A6A6" w:themeColor="background1" w:themeShade="A6"/>
            </w:tcBorders>
          </w:tcPr>
          <w:p w14:paraId="158BBB48"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C9C78FF" w14:textId="77777777" w:rsidR="005B131E" w:rsidRPr="00BA7805" w:rsidRDefault="005B131E" w:rsidP="002542E1">
            <w:pPr>
              <w:pStyle w:val="ARfintablebodyright"/>
              <w:spacing w:before="24" w:after="12"/>
              <w:rPr>
                <w:highlight w:val="green"/>
              </w:rPr>
            </w:pPr>
            <w:r w:rsidRPr="001B3764">
              <w:t>32.7</w:t>
            </w:r>
          </w:p>
        </w:tc>
        <w:tc>
          <w:tcPr>
            <w:tcW w:w="1361" w:type="dxa"/>
            <w:tcBorders>
              <w:top w:val="single" w:sz="4" w:space="0" w:color="A6A6A6" w:themeColor="background1" w:themeShade="A6"/>
              <w:bottom w:val="single" w:sz="4" w:space="0" w:color="A6A6A6" w:themeColor="background1" w:themeShade="A6"/>
            </w:tcBorders>
            <w:noWrap/>
          </w:tcPr>
          <w:p w14:paraId="09DA9F30" w14:textId="77777777" w:rsidR="005B131E" w:rsidRPr="00BA7805" w:rsidRDefault="005B131E" w:rsidP="002542E1">
            <w:pPr>
              <w:pStyle w:val="ARfintablebodyright"/>
              <w:spacing w:before="24" w:after="12"/>
              <w:rPr>
                <w:highlight w:val="green"/>
              </w:rPr>
            </w:pPr>
            <w:r w:rsidRPr="001B3764">
              <w:t>20.9</w:t>
            </w:r>
          </w:p>
        </w:tc>
      </w:tr>
      <w:tr w:rsidR="005B131E" w:rsidRPr="00BA7805" w14:paraId="6C658901"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2BCF9C39" w14:textId="77777777" w:rsidR="005B131E" w:rsidRPr="00BA7805" w:rsidRDefault="005B131E" w:rsidP="002542E1">
            <w:pPr>
              <w:pStyle w:val="ARfintablebody"/>
              <w:spacing w:before="24" w:after="12"/>
              <w:rPr>
                <w:highlight w:val="green"/>
              </w:rPr>
            </w:pPr>
            <w:r w:rsidRPr="001B3764">
              <w:t>Other receipts</w:t>
            </w:r>
          </w:p>
        </w:tc>
        <w:tc>
          <w:tcPr>
            <w:tcW w:w="851" w:type="dxa"/>
            <w:tcBorders>
              <w:top w:val="single" w:sz="4" w:space="0" w:color="A6A6A6" w:themeColor="background1" w:themeShade="A6"/>
              <w:bottom w:val="single" w:sz="4" w:space="0" w:color="A6A6A6" w:themeColor="background1" w:themeShade="A6"/>
            </w:tcBorders>
          </w:tcPr>
          <w:p w14:paraId="56A8FCD7"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BF89E8C" w14:textId="77777777" w:rsidR="005B131E" w:rsidRPr="00BA7805" w:rsidRDefault="005B131E" w:rsidP="002542E1">
            <w:pPr>
              <w:pStyle w:val="ARfintablebodyright"/>
              <w:spacing w:before="24" w:after="12"/>
              <w:rPr>
                <w:highlight w:val="green"/>
              </w:rPr>
            </w:pPr>
            <w:r w:rsidRPr="001B3764">
              <w:t>12.8</w:t>
            </w:r>
          </w:p>
        </w:tc>
        <w:tc>
          <w:tcPr>
            <w:tcW w:w="1361" w:type="dxa"/>
            <w:tcBorders>
              <w:top w:val="single" w:sz="4" w:space="0" w:color="A6A6A6" w:themeColor="background1" w:themeShade="A6"/>
              <w:bottom w:val="single" w:sz="4" w:space="0" w:color="A6A6A6" w:themeColor="background1" w:themeShade="A6"/>
            </w:tcBorders>
            <w:noWrap/>
          </w:tcPr>
          <w:p w14:paraId="7BE71D8C" w14:textId="77777777" w:rsidR="005B131E" w:rsidRPr="00BA7805" w:rsidRDefault="005B131E" w:rsidP="002542E1">
            <w:pPr>
              <w:pStyle w:val="ARfintablebodyright"/>
              <w:spacing w:before="24" w:after="12"/>
              <w:rPr>
                <w:highlight w:val="green"/>
              </w:rPr>
            </w:pPr>
            <w:r w:rsidRPr="001B3764">
              <w:t>10.2</w:t>
            </w:r>
          </w:p>
        </w:tc>
      </w:tr>
      <w:tr w:rsidR="005B131E" w:rsidRPr="00BA7805" w14:paraId="4B7D5F37" w14:textId="77777777" w:rsidTr="002542E1">
        <w:trPr>
          <w:cantSplit w:val="0"/>
        </w:trPr>
        <w:tc>
          <w:tcPr>
            <w:tcW w:w="6066" w:type="dxa"/>
            <w:tcBorders>
              <w:top w:val="single" w:sz="4" w:space="0" w:color="A6A6A6" w:themeColor="background1" w:themeShade="A6"/>
            </w:tcBorders>
          </w:tcPr>
          <w:p w14:paraId="0E45E307" w14:textId="77777777" w:rsidR="005B131E" w:rsidRPr="00BA7805" w:rsidRDefault="005B131E" w:rsidP="002542E1">
            <w:pPr>
              <w:pStyle w:val="ARfintablebody"/>
              <w:spacing w:before="24" w:after="12"/>
              <w:rPr>
                <w:highlight w:val="green"/>
              </w:rPr>
            </w:pPr>
            <w:r w:rsidRPr="001B3764">
              <w:t xml:space="preserve">GST recovered from Australian Taxation Office </w:t>
            </w:r>
            <w:r w:rsidRPr="006503CC">
              <w:rPr>
                <w:vertAlign w:val="superscript"/>
              </w:rPr>
              <w:t>(i)</w:t>
            </w:r>
          </w:p>
        </w:tc>
        <w:tc>
          <w:tcPr>
            <w:tcW w:w="851" w:type="dxa"/>
            <w:tcBorders>
              <w:top w:val="single" w:sz="4" w:space="0" w:color="A6A6A6" w:themeColor="background1" w:themeShade="A6"/>
            </w:tcBorders>
          </w:tcPr>
          <w:p w14:paraId="2A233A2B"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tcBorders>
            <w:shd w:val="clear" w:color="auto" w:fill="E7E6E6" w:themeFill="accent4"/>
            <w:noWrap/>
          </w:tcPr>
          <w:p w14:paraId="247B470F" w14:textId="77777777" w:rsidR="005B131E" w:rsidRPr="00BA7805" w:rsidRDefault="005B131E" w:rsidP="002542E1">
            <w:pPr>
              <w:pStyle w:val="ARfintablebodyright"/>
              <w:spacing w:before="24" w:after="12"/>
              <w:rPr>
                <w:highlight w:val="green"/>
              </w:rPr>
            </w:pPr>
            <w:r w:rsidRPr="001B3764">
              <w:t>330.1</w:t>
            </w:r>
          </w:p>
        </w:tc>
        <w:tc>
          <w:tcPr>
            <w:tcW w:w="1361" w:type="dxa"/>
            <w:tcBorders>
              <w:top w:val="single" w:sz="4" w:space="0" w:color="A6A6A6" w:themeColor="background1" w:themeShade="A6"/>
            </w:tcBorders>
            <w:noWrap/>
          </w:tcPr>
          <w:p w14:paraId="2861D036" w14:textId="77777777" w:rsidR="005B131E" w:rsidRPr="00BA7805" w:rsidRDefault="005B131E" w:rsidP="002542E1">
            <w:pPr>
              <w:pStyle w:val="ARfintablebodyright"/>
              <w:spacing w:before="24" w:after="12"/>
              <w:rPr>
                <w:highlight w:val="green"/>
              </w:rPr>
            </w:pPr>
            <w:r w:rsidRPr="001B3764">
              <w:t>329.5</w:t>
            </w:r>
          </w:p>
        </w:tc>
      </w:tr>
      <w:tr w:rsidR="005B131E" w:rsidRPr="00BA7805" w14:paraId="5F974A13" w14:textId="77777777" w:rsidTr="002542E1">
        <w:trPr>
          <w:cantSplit w:val="0"/>
        </w:trPr>
        <w:tc>
          <w:tcPr>
            <w:tcW w:w="6066" w:type="dxa"/>
            <w:tcBorders>
              <w:bottom w:val="single" w:sz="4" w:space="0" w:color="auto"/>
            </w:tcBorders>
          </w:tcPr>
          <w:p w14:paraId="23BA9248" w14:textId="77777777" w:rsidR="005B131E" w:rsidRPr="00BA7805" w:rsidRDefault="005B131E" w:rsidP="002542E1">
            <w:pPr>
              <w:pStyle w:val="ARfintablebodybold"/>
              <w:spacing w:before="24" w:after="12"/>
              <w:rPr>
                <w:highlight w:val="green"/>
              </w:rPr>
            </w:pPr>
            <w:r w:rsidRPr="001B3764">
              <w:t>Total receipts</w:t>
            </w:r>
          </w:p>
        </w:tc>
        <w:tc>
          <w:tcPr>
            <w:tcW w:w="851" w:type="dxa"/>
            <w:tcBorders>
              <w:bottom w:val="single" w:sz="4" w:space="0" w:color="auto"/>
            </w:tcBorders>
          </w:tcPr>
          <w:p w14:paraId="478A8AB4" w14:textId="77777777" w:rsidR="005B131E" w:rsidRPr="00BA7805" w:rsidRDefault="005B131E" w:rsidP="002542E1">
            <w:pPr>
              <w:pStyle w:val="ARfintablebodyright"/>
              <w:spacing w:before="24" w:after="12"/>
              <w:rPr>
                <w:highlight w:val="green"/>
              </w:rPr>
            </w:pPr>
          </w:p>
        </w:tc>
        <w:tc>
          <w:tcPr>
            <w:tcW w:w="1361" w:type="dxa"/>
            <w:tcBorders>
              <w:bottom w:val="single" w:sz="4" w:space="0" w:color="auto"/>
            </w:tcBorders>
            <w:shd w:val="clear" w:color="auto" w:fill="E7E6E6" w:themeFill="accent4"/>
            <w:noWrap/>
          </w:tcPr>
          <w:p w14:paraId="28F7FE39" w14:textId="77777777" w:rsidR="005B131E" w:rsidRPr="00BA7805" w:rsidRDefault="005B131E" w:rsidP="002542E1">
            <w:pPr>
              <w:pStyle w:val="ARfintablebodyrightbold"/>
              <w:spacing w:before="24" w:after="12"/>
              <w:rPr>
                <w:highlight w:val="green"/>
              </w:rPr>
            </w:pPr>
            <w:r>
              <w:t>6,369.9</w:t>
            </w:r>
          </w:p>
        </w:tc>
        <w:tc>
          <w:tcPr>
            <w:tcW w:w="1361" w:type="dxa"/>
            <w:tcBorders>
              <w:bottom w:val="single" w:sz="4" w:space="0" w:color="auto"/>
            </w:tcBorders>
            <w:noWrap/>
          </w:tcPr>
          <w:p w14:paraId="4CE09A96" w14:textId="77777777" w:rsidR="005B131E" w:rsidRPr="00BA7805" w:rsidRDefault="005B131E" w:rsidP="002542E1">
            <w:pPr>
              <w:pStyle w:val="ARfintablebodyrightbold"/>
              <w:spacing w:before="24" w:after="12"/>
              <w:rPr>
                <w:highlight w:val="green"/>
              </w:rPr>
            </w:pPr>
            <w:r w:rsidRPr="001B3764">
              <w:t>6,668.1</w:t>
            </w:r>
          </w:p>
        </w:tc>
      </w:tr>
      <w:tr w:rsidR="005B131E" w:rsidRPr="00BA7805" w14:paraId="3EB33525" w14:textId="77777777">
        <w:tc>
          <w:tcPr>
            <w:tcW w:w="9639" w:type="dxa"/>
            <w:gridSpan w:val="4"/>
            <w:tcBorders>
              <w:top w:val="single" w:sz="4" w:space="0" w:color="auto"/>
              <w:bottom w:val="single" w:sz="4" w:space="0" w:color="A6A6A6" w:themeColor="background1" w:themeShade="A6"/>
            </w:tcBorders>
          </w:tcPr>
          <w:p w14:paraId="4A01B616" w14:textId="77777777" w:rsidR="005B131E" w:rsidRPr="00BA7805" w:rsidRDefault="005B131E" w:rsidP="002542E1">
            <w:pPr>
              <w:pStyle w:val="ARfintablebodybold"/>
              <w:spacing w:before="24" w:after="12"/>
              <w:rPr>
                <w:highlight w:val="green"/>
              </w:rPr>
            </w:pPr>
            <w:r w:rsidRPr="0037081B">
              <w:t>Payments</w:t>
            </w:r>
          </w:p>
        </w:tc>
      </w:tr>
      <w:tr w:rsidR="005B131E" w:rsidRPr="00BA7805" w14:paraId="3EE35D6D"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7C0AAD65" w14:textId="77777777" w:rsidR="005B131E" w:rsidRPr="00BA7805" w:rsidRDefault="005B131E" w:rsidP="002542E1">
            <w:pPr>
              <w:pStyle w:val="ARfintablebody"/>
              <w:spacing w:before="24" w:after="12"/>
              <w:rPr>
                <w:highlight w:val="green"/>
              </w:rPr>
            </w:pPr>
            <w:r w:rsidRPr="0037081B">
              <w:t>Grants and other</w:t>
            </w:r>
            <w:r>
              <w:t xml:space="preserve"> </w:t>
            </w:r>
            <w:r w:rsidRPr="0037081B">
              <w:t>transfers</w:t>
            </w:r>
          </w:p>
        </w:tc>
        <w:tc>
          <w:tcPr>
            <w:tcW w:w="851" w:type="dxa"/>
            <w:tcBorders>
              <w:top w:val="single" w:sz="4" w:space="0" w:color="A6A6A6" w:themeColor="background1" w:themeShade="A6"/>
              <w:bottom w:val="single" w:sz="4" w:space="0" w:color="A6A6A6" w:themeColor="background1" w:themeShade="A6"/>
            </w:tcBorders>
          </w:tcPr>
          <w:p w14:paraId="40AAFD8B"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ACD8F17" w14:textId="77777777" w:rsidR="005B131E" w:rsidRPr="00BA7805" w:rsidRDefault="005B131E" w:rsidP="002542E1">
            <w:pPr>
              <w:pStyle w:val="ARfintablebodyright"/>
              <w:spacing w:before="24" w:after="12"/>
              <w:rPr>
                <w:highlight w:val="green"/>
              </w:rPr>
            </w:pPr>
            <w:r w:rsidRPr="0037081B">
              <w:t>(4,549.4)</w:t>
            </w:r>
          </w:p>
        </w:tc>
        <w:tc>
          <w:tcPr>
            <w:tcW w:w="1361" w:type="dxa"/>
            <w:tcBorders>
              <w:top w:val="single" w:sz="4" w:space="0" w:color="A6A6A6" w:themeColor="background1" w:themeShade="A6"/>
              <w:bottom w:val="single" w:sz="4" w:space="0" w:color="A6A6A6" w:themeColor="background1" w:themeShade="A6"/>
            </w:tcBorders>
            <w:noWrap/>
          </w:tcPr>
          <w:p w14:paraId="3AF75E24" w14:textId="77777777" w:rsidR="005B131E" w:rsidRPr="00BA7805" w:rsidRDefault="005B131E" w:rsidP="002542E1">
            <w:pPr>
              <w:pStyle w:val="ARfintablebodyright"/>
              <w:spacing w:before="24" w:after="12"/>
              <w:rPr>
                <w:highlight w:val="green"/>
              </w:rPr>
            </w:pPr>
            <w:r w:rsidRPr="0037081B">
              <w:t>(4,388.1)</w:t>
            </w:r>
          </w:p>
        </w:tc>
      </w:tr>
      <w:tr w:rsidR="005B131E" w:rsidRPr="00BA7805" w14:paraId="0EC4D3EC"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3383E9FA" w14:textId="77777777" w:rsidR="005B131E" w:rsidRPr="00BA7805" w:rsidRDefault="005B131E" w:rsidP="002542E1">
            <w:pPr>
              <w:pStyle w:val="ARfintablebody"/>
              <w:spacing w:before="24" w:after="12"/>
              <w:rPr>
                <w:highlight w:val="green"/>
              </w:rPr>
            </w:pPr>
            <w:r w:rsidRPr="0037081B">
              <w:t>Employee benefits</w:t>
            </w:r>
          </w:p>
        </w:tc>
        <w:tc>
          <w:tcPr>
            <w:tcW w:w="851" w:type="dxa"/>
            <w:tcBorders>
              <w:top w:val="single" w:sz="4" w:space="0" w:color="A6A6A6" w:themeColor="background1" w:themeShade="A6"/>
              <w:bottom w:val="single" w:sz="4" w:space="0" w:color="A6A6A6" w:themeColor="background1" w:themeShade="A6"/>
            </w:tcBorders>
          </w:tcPr>
          <w:p w14:paraId="66B3EB51"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1F5777EA" w14:textId="77777777" w:rsidR="005B131E" w:rsidRPr="00BA7805" w:rsidRDefault="005B131E" w:rsidP="002542E1">
            <w:pPr>
              <w:pStyle w:val="ARfintablebodyright"/>
              <w:spacing w:before="24" w:after="12"/>
              <w:rPr>
                <w:highlight w:val="green"/>
              </w:rPr>
            </w:pPr>
            <w:r w:rsidRPr="0037081B">
              <w:t>(993.6)</w:t>
            </w:r>
          </w:p>
        </w:tc>
        <w:tc>
          <w:tcPr>
            <w:tcW w:w="1361" w:type="dxa"/>
            <w:tcBorders>
              <w:top w:val="single" w:sz="4" w:space="0" w:color="A6A6A6" w:themeColor="background1" w:themeShade="A6"/>
              <w:bottom w:val="single" w:sz="4" w:space="0" w:color="A6A6A6" w:themeColor="background1" w:themeShade="A6"/>
            </w:tcBorders>
            <w:noWrap/>
          </w:tcPr>
          <w:p w14:paraId="79A01EA7" w14:textId="77777777" w:rsidR="005B131E" w:rsidRPr="00BA7805" w:rsidRDefault="005B131E" w:rsidP="002542E1">
            <w:pPr>
              <w:pStyle w:val="ARfintablebodyright"/>
              <w:spacing w:before="24" w:after="12"/>
              <w:rPr>
                <w:highlight w:val="green"/>
              </w:rPr>
            </w:pPr>
            <w:r w:rsidRPr="0037081B">
              <w:t>(1,016.2)</w:t>
            </w:r>
          </w:p>
        </w:tc>
      </w:tr>
      <w:tr w:rsidR="005B131E" w:rsidRPr="00BA7805" w14:paraId="26708A38"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3002C3E6" w14:textId="77777777" w:rsidR="005B131E" w:rsidRPr="00BA7805" w:rsidRDefault="005B131E" w:rsidP="002542E1">
            <w:pPr>
              <w:pStyle w:val="ARfintablebody"/>
              <w:spacing w:before="24" w:after="12"/>
              <w:rPr>
                <w:highlight w:val="green"/>
              </w:rPr>
            </w:pPr>
            <w:r w:rsidRPr="0037081B">
              <w:t>Supplies and services</w:t>
            </w:r>
          </w:p>
        </w:tc>
        <w:tc>
          <w:tcPr>
            <w:tcW w:w="851" w:type="dxa"/>
            <w:tcBorders>
              <w:top w:val="single" w:sz="4" w:space="0" w:color="A6A6A6" w:themeColor="background1" w:themeShade="A6"/>
              <w:bottom w:val="single" w:sz="4" w:space="0" w:color="A6A6A6" w:themeColor="background1" w:themeShade="A6"/>
            </w:tcBorders>
          </w:tcPr>
          <w:p w14:paraId="75222D1C"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B299437" w14:textId="77777777" w:rsidR="005B131E" w:rsidRPr="00BA7805" w:rsidRDefault="005B131E" w:rsidP="002542E1">
            <w:pPr>
              <w:pStyle w:val="ARfintablebodyright"/>
              <w:spacing w:before="24" w:after="12"/>
              <w:rPr>
                <w:highlight w:val="green"/>
              </w:rPr>
            </w:pPr>
            <w:r w:rsidRPr="0037081B">
              <w:t>(488.6)</w:t>
            </w:r>
          </w:p>
        </w:tc>
        <w:tc>
          <w:tcPr>
            <w:tcW w:w="1361" w:type="dxa"/>
            <w:tcBorders>
              <w:top w:val="single" w:sz="4" w:space="0" w:color="A6A6A6" w:themeColor="background1" w:themeShade="A6"/>
              <w:bottom w:val="single" w:sz="4" w:space="0" w:color="A6A6A6" w:themeColor="background1" w:themeShade="A6"/>
            </w:tcBorders>
            <w:noWrap/>
          </w:tcPr>
          <w:p w14:paraId="4527E45C" w14:textId="77777777" w:rsidR="005B131E" w:rsidRPr="00BA7805" w:rsidRDefault="005B131E" w:rsidP="002542E1">
            <w:pPr>
              <w:pStyle w:val="ARfintablebodyright"/>
              <w:spacing w:before="24" w:after="12"/>
              <w:rPr>
                <w:highlight w:val="green"/>
              </w:rPr>
            </w:pPr>
            <w:r w:rsidRPr="0037081B">
              <w:t>(526.1)</w:t>
            </w:r>
          </w:p>
        </w:tc>
      </w:tr>
      <w:tr w:rsidR="005B131E" w:rsidRPr="00BA7805" w14:paraId="2AA9B15D"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4673564B" w14:textId="77777777" w:rsidR="005B131E" w:rsidRPr="00BA7805" w:rsidRDefault="005B131E" w:rsidP="002542E1">
            <w:pPr>
              <w:pStyle w:val="ARfintablebody"/>
              <w:spacing w:before="24" w:after="12"/>
              <w:rPr>
                <w:highlight w:val="green"/>
              </w:rPr>
            </w:pPr>
            <w:r w:rsidRPr="0037081B">
              <w:t>Other operating expenses</w:t>
            </w:r>
          </w:p>
        </w:tc>
        <w:tc>
          <w:tcPr>
            <w:tcW w:w="851" w:type="dxa"/>
            <w:tcBorders>
              <w:top w:val="single" w:sz="4" w:space="0" w:color="A6A6A6" w:themeColor="background1" w:themeShade="A6"/>
              <w:bottom w:val="single" w:sz="4" w:space="0" w:color="A6A6A6" w:themeColor="background1" w:themeShade="A6"/>
            </w:tcBorders>
          </w:tcPr>
          <w:p w14:paraId="51C24DD1"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6302B36" w14:textId="77777777" w:rsidR="005B131E" w:rsidRPr="00BA7805" w:rsidRDefault="005B131E" w:rsidP="002542E1">
            <w:pPr>
              <w:pStyle w:val="ARfintablebodyright"/>
              <w:spacing w:before="24" w:after="12"/>
              <w:rPr>
                <w:highlight w:val="green"/>
              </w:rPr>
            </w:pPr>
            <w:r w:rsidRPr="0037081B">
              <w:t>(23.5)</w:t>
            </w:r>
          </w:p>
        </w:tc>
        <w:tc>
          <w:tcPr>
            <w:tcW w:w="1361" w:type="dxa"/>
            <w:tcBorders>
              <w:top w:val="single" w:sz="4" w:space="0" w:color="A6A6A6" w:themeColor="background1" w:themeShade="A6"/>
              <w:bottom w:val="single" w:sz="4" w:space="0" w:color="A6A6A6" w:themeColor="background1" w:themeShade="A6"/>
            </w:tcBorders>
            <w:noWrap/>
          </w:tcPr>
          <w:p w14:paraId="20F679C1" w14:textId="77777777" w:rsidR="005B131E" w:rsidRPr="00BA7805" w:rsidRDefault="005B131E" w:rsidP="002542E1">
            <w:pPr>
              <w:pStyle w:val="ARfintablebodyright"/>
              <w:spacing w:before="24" w:after="12"/>
              <w:rPr>
                <w:highlight w:val="green"/>
              </w:rPr>
            </w:pPr>
            <w:r w:rsidRPr="0037081B">
              <w:t>(16.0)</w:t>
            </w:r>
          </w:p>
        </w:tc>
      </w:tr>
      <w:tr w:rsidR="005B131E" w:rsidRPr="00BA7805" w14:paraId="547FC4DF" w14:textId="77777777" w:rsidTr="002542E1">
        <w:trPr>
          <w:cantSplit w:val="0"/>
        </w:trPr>
        <w:tc>
          <w:tcPr>
            <w:tcW w:w="6066" w:type="dxa"/>
            <w:tcBorders>
              <w:top w:val="single" w:sz="4" w:space="0" w:color="A6A6A6" w:themeColor="background1" w:themeShade="A6"/>
            </w:tcBorders>
          </w:tcPr>
          <w:p w14:paraId="4B0604DE" w14:textId="77777777" w:rsidR="005B131E" w:rsidRPr="00BA7805" w:rsidRDefault="005B131E" w:rsidP="002542E1">
            <w:pPr>
              <w:pStyle w:val="ARfintablebody"/>
              <w:spacing w:before="24" w:after="12"/>
              <w:rPr>
                <w:highlight w:val="green"/>
              </w:rPr>
            </w:pPr>
            <w:r w:rsidRPr="0037081B">
              <w:t>Property management expenses</w:t>
            </w:r>
          </w:p>
        </w:tc>
        <w:tc>
          <w:tcPr>
            <w:tcW w:w="851" w:type="dxa"/>
            <w:tcBorders>
              <w:top w:val="single" w:sz="4" w:space="0" w:color="A6A6A6" w:themeColor="background1" w:themeShade="A6"/>
            </w:tcBorders>
          </w:tcPr>
          <w:p w14:paraId="40F58873"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tcBorders>
            <w:shd w:val="clear" w:color="auto" w:fill="E7E6E6" w:themeFill="accent4"/>
            <w:noWrap/>
          </w:tcPr>
          <w:p w14:paraId="2680686A" w14:textId="77777777" w:rsidR="005B131E" w:rsidRPr="00BA7805" w:rsidRDefault="005B131E" w:rsidP="002542E1">
            <w:pPr>
              <w:pStyle w:val="ARfintablebodyright"/>
              <w:spacing w:before="24" w:after="12"/>
              <w:rPr>
                <w:highlight w:val="green"/>
              </w:rPr>
            </w:pPr>
            <w:r w:rsidRPr="0037081B">
              <w:t>(539.3)</w:t>
            </w:r>
          </w:p>
        </w:tc>
        <w:tc>
          <w:tcPr>
            <w:tcW w:w="1361" w:type="dxa"/>
            <w:tcBorders>
              <w:top w:val="single" w:sz="4" w:space="0" w:color="A6A6A6" w:themeColor="background1" w:themeShade="A6"/>
            </w:tcBorders>
            <w:noWrap/>
          </w:tcPr>
          <w:p w14:paraId="27326CAC" w14:textId="77777777" w:rsidR="005B131E" w:rsidRPr="00BA7805" w:rsidRDefault="005B131E" w:rsidP="002542E1">
            <w:pPr>
              <w:pStyle w:val="ARfintablebodyright"/>
              <w:spacing w:before="24" w:after="12"/>
              <w:rPr>
                <w:highlight w:val="green"/>
              </w:rPr>
            </w:pPr>
            <w:r w:rsidRPr="0037081B">
              <w:t>(539.1)</w:t>
            </w:r>
          </w:p>
        </w:tc>
      </w:tr>
      <w:tr w:rsidR="005B131E" w:rsidRPr="00BA7805" w14:paraId="4BEA1421" w14:textId="77777777" w:rsidTr="002542E1">
        <w:trPr>
          <w:cantSplit w:val="0"/>
        </w:trPr>
        <w:tc>
          <w:tcPr>
            <w:tcW w:w="6066" w:type="dxa"/>
          </w:tcPr>
          <w:p w14:paraId="44B0764E" w14:textId="77777777" w:rsidR="005B131E" w:rsidRPr="00BA7805" w:rsidRDefault="005B131E" w:rsidP="002542E1">
            <w:pPr>
              <w:pStyle w:val="ARfintablebodybold"/>
              <w:spacing w:before="24" w:after="12"/>
              <w:rPr>
                <w:highlight w:val="green"/>
              </w:rPr>
            </w:pPr>
            <w:r w:rsidRPr="0037081B">
              <w:t>Total payments</w:t>
            </w:r>
          </w:p>
        </w:tc>
        <w:tc>
          <w:tcPr>
            <w:tcW w:w="851" w:type="dxa"/>
          </w:tcPr>
          <w:p w14:paraId="40B75944" w14:textId="77777777" w:rsidR="005B131E" w:rsidRPr="00BA7805" w:rsidRDefault="005B131E" w:rsidP="002542E1">
            <w:pPr>
              <w:pStyle w:val="ARfintablebodyright"/>
              <w:spacing w:before="24" w:after="12"/>
              <w:rPr>
                <w:highlight w:val="green"/>
              </w:rPr>
            </w:pPr>
          </w:p>
        </w:tc>
        <w:tc>
          <w:tcPr>
            <w:tcW w:w="1361" w:type="dxa"/>
            <w:shd w:val="clear" w:color="auto" w:fill="E7E6E6" w:themeFill="accent4"/>
            <w:noWrap/>
          </w:tcPr>
          <w:p w14:paraId="54E851C1" w14:textId="77777777" w:rsidR="005B131E" w:rsidRPr="00BA7805" w:rsidRDefault="005B131E" w:rsidP="002542E1">
            <w:pPr>
              <w:pStyle w:val="ARfintablebodyrightbold"/>
              <w:spacing w:before="24" w:after="12"/>
              <w:rPr>
                <w:highlight w:val="green"/>
              </w:rPr>
            </w:pPr>
            <w:r w:rsidRPr="0037081B">
              <w:t>(6,594.4)</w:t>
            </w:r>
          </w:p>
        </w:tc>
        <w:tc>
          <w:tcPr>
            <w:tcW w:w="1361" w:type="dxa"/>
            <w:noWrap/>
          </w:tcPr>
          <w:p w14:paraId="6F9540F6" w14:textId="77777777" w:rsidR="005B131E" w:rsidRPr="00BA7805" w:rsidRDefault="005B131E" w:rsidP="002542E1">
            <w:pPr>
              <w:pStyle w:val="ARfintablebodyrightbold"/>
              <w:spacing w:before="24" w:after="12"/>
              <w:rPr>
                <w:highlight w:val="green"/>
              </w:rPr>
            </w:pPr>
            <w:r w:rsidRPr="0037081B">
              <w:t>(6,485.5)</w:t>
            </w:r>
          </w:p>
        </w:tc>
      </w:tr>
      <w:tr w:rsidR="005B131E" w:rsidRPr="00BA7805" w14:paraId="225B5633" w14:textId="77777777" w:rsidTr="002542E1">
        <w:trPr>
          <w:cantSplit w:val="0"/>
          <w:trHeight w:val="222"/>
        </w:trPr>
        <w:tc>
          <w:tcPr>
            <w:tcW w:w="6066" w:type="dxa"/>
            <w:tcBorders>
              <w:bottom w:val="single" w:sz="4" w:space="0" w:color="auto"/>
            </w:tcBorders>
          </w:tcPr>
          <w:p w14:paraId="6E130C14" w14:textId="77777777" w:rsidR="005B131E" w:rsidRPr="00BA7805" w:rsidRDefault="005B131E" w:rsidP="002542E1">
            <w:pPr>
              <w:pStyle w:val="ARfintablebodybold"/>
              <w:spacing w:before="24" w:after="12"/>
              <w:rPr>
                <w:highlight w:val="green"/>
              </w:rPr>
            </w:pPr>
            <w:r w:rsidRPr="0037081B">
              <w:t>Net cash flows from/(used in) operating activities</w:t>
            </w:r>
          </w:p>
        </w:tc>
        <w:tc>
          <w:tcPr>
            <w:tcW w:w="851" w:type="dxa"/>
            <w:tcBorders>
              <w:bottom w:val="single" w:sz="4" w:space="0" w:color="auto"/>
            </w:tcBorders>
          </w:tcPr>
          <w:p w14:paraId="6BC35027" w14:textId="77777777" w:rsidR="005B131E" w:rsidRPr="00BA7805" w:rsidRDefault="005B131E" w:rsidP="002542E1">
            <w:pPr>
              <w:pStyle w:val="ARfintablebodyright"/>
              <w:spacing w:before="24" w:after="12"/>
              <w:rPr>
                <w:b/>
                <w:bCs/>
                <w:highlight w:val="green"/>
              </w:rPr>
            </w:pPr>
            <w:r w:rsidRPr="0037081B">
              <w:t>7.3.1</w:t>
            </w:r>
          </w:p>
        </w:tc>
        <w:tc>
          <w:tcPr>
            <w:tcW w:w="1361" w:type="dxa"/>
            <w:tcBorders>
              <w:bottom w:val="single" w:sz="4" w:space="0" w:color="auto"/>
            </w:tcBorders>
            <w:shd w:val="clear" w:color="auto" w:fill="E7E6E6" w:themeFill="accent4"/>
            <w:noWrap/>
          </w:tcPr>
          <w:p w14:paraId="3EE6CFCB" w14:textId="77777777" w:rsidR="005B131E" w:rsidRPr="00BA7805" w:rsidRDefault="005B131E" w:rsidP="002542E1">
            <w:pPr>
              <w:pStyle w:val="ARfintablebodyrightbold"/>
              <w:spacing w:before="24" w:after="12"/>
              <w:rPr>
                <w:highlight w:val="green"/>
              </w:rPr>
            </w:pPr>
            <w:r w:rsidRPr="0037081B">
              <w:t>(224.5)</w:t>
            </w:r>
          </w:p>
        </w:tc>
        <w:tc>
          <w:tcPr>
            <w:tcW w:w="1361" w:type="dxa"/>
            <w:tcBorders>
              <w:bottom w:val="single" w:sz="4" w:space="0" w:color="auto"/>
            </w:tcBorders>
            <w:noWrap/>
          </w:tcPr>
          <w:p w14:paraId="37BE80AE" w14:textId="77777777" w:rsidR="005B131E" w:rsidRPr="00BA7805" w:rsidRDefault="005B131E" w:rsidP="002542E1">
            <w:pPr>
              <w:pStyle w:val="ARfintablebodyrightbold"/>
              <w:spacing w:before="24" w:after="12"/>
              <w:rPr>
                <w:highlight w:val="green"/>
              </w:rPr>
            </w:pPr>
            <w:r w:rsidRPr="0037081B">
              <w:t>182.5</w:t>
            </w:r>
          </w:p>
        </w:tc>
      </w:tr>
      <w:tr w:rsidR="005B131E" w:rsidRPr="00BA7805" w14:paraId="0AEE9C6F" w14:textId="77777777">
        <w:tc>
          <w:tcPr>
            <w:tcW w:w="9639" w:type="dxa"/>
            <w:gridSpan w:val="4"/>
            <w:tcBorders>
              <w:top w:val="single" w:sz="4" w:space="0" w:color="auto"/>
              <w:bottom w:val="single" w:sz="4" w:space="0" w:color="A6A6A6" w:themeColor="background1" w:themeShade="A6"/>
            </w:tcBorders>
          </w:tcPr>
          <w:p w14:paraId="2506A4D7" w14:textId="77777777" w:rsidR="005B131E" w:rsidRPr="00BA7805" w:rsidRDefault="005B131E" w:rsidP="002542E1">
            <w:pPr>
              <w:pStyle w:val="ARfintablebodybold"/>
              <w:spacing w:before="24" w:after="12"/>
              <w:rPr>
                <w:highlight w:val="green"/>
              </w:rPr>
            </w:pPr>
            <w:r w:rsidRPr="00D64937">
              <w:t>Cash flows from investing activities</w:t>
            </w:r>
          </w:p>
        </w:tc>
      </w:tr>
      <w:tr w:rsidR="005B131E" w:rsidRPr="00BA7805" w14:paraId="6C79D0A6"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7EF3F702" w14:textId="77777777" w:rsidR="005B131E" w:rsidRPr="00BA7805" w:rsidRDefault="005B131E" w:rsidP="002542E1">
            <w:pPr>
              <w:pStyle w:val="ARfintablebody"/>
              <w:spacing w:before="24" w:after="12"/>
              <w:rPr>
                <w:highlight w:val="green"/>
              </w:rPr>
            </w:pPr>
            <w:r w:rsidRPr="00D64937">
              <w:t>Proceeds from the sale of non-financial assets</w:t>
            </w:r>
          </w:p>
        </w:tc>
        <w:tc>
          <w:tcPr>
            <w:tcW w:w="851" w:type="dxa"/>
            <w:tcBorders>
              <w:top w:val="single" w:sz="4" w:space="0" w:color="A6A6A6" w:themeColor="background1" w:themeShade="A6"/>
              <w:bottom w:val="single" w:sz="4" w:space="0" w:color="A6A6A6" w:themeColor="background1" w:themeShade="A6"/>
            </w:tcBorders>
          </w:tcPr>
          <w:p w14:paraId="7057F9C4"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A15BFB9" w14:textId="77777777" w:rsidR="005B131E" w:rsidRPr="00BA7805" w:rsidRDefault="005B131E" w:rsidP="002542E1">
            <w:pPr>
              <w:pStyle w:val="ARfintablebodyright"/>
              <w:spacing w:before="24" w:after="12"/>
              <w:rPr>
                <w:highlight w:val="green"/>
              </w:rPr>
            </w:pPr>
            <w:r w:rsidRPr="00D64937">
              <w:t>302.5</w:t>
            </w:r>
          </w:p>
        </w:tc>
        <w:tc>
          <w:tcPr>
            <w:tcW w:w="1361" w:type="dxa"/>
            <w:tcBorders>
              <w:top w:val="single" w:sz="4" w:space="0" w:color="A6A6A6" w:themeColor="background1" w:themeShade="A6"/>
              <w:bottom w:val="single" w:sz="4" w:space="0" w:color="A6A6A6" w:themeColor="background1" w:themeShade="A6"/>
            </w:tcBorders>
            <w:noWrap/>
          </w:tcPr>
          <w:p w14:paraId="2F690F39" w14:textId="77777777" w:rsidR="005B131E" w:rsidRPr="00BA7805" w:rsidRDefault="005B131E" w:rsidP="002542E1">
            <w:pPr>
              <w:pStyle w:val="ARfintablebodyright"/>
              <w:spacing w:before="24" w:after="12"/>
              <w:rPr>
                <w:highlight w:val="green"/>
              </w:rPr>
            </w:pPr>
            <w:r w:rsidRPr="00D64937">
              <w:t>136.3</w:t>
            </w:r>
          </w:p>
        </w:tc>
      </w:tr>
      <w:tr w:rsidR="005B131E" w:rsidRPr="00BA7805" w14:paraId="5373E6A0"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1846736F" w14:textId="77777777" w:rsidR="005B131E" w:rsidRPr="00BA7805" w:rsidRDefault="005B131E" w:rsidP="002542E1">
            <w:pPr>
              <w:pStyle w:val="ARfintablebody"/>
              <w:spacing w:before="24" w:after="12"/>
              <w:rPr>
                <w:highlight w:val="green"/>
              </w:rPr>
            </w:pPr>
            <w:r w:rsidRPr="00D64937">
              <w:t>Payments for non-financial assets</w:t>
            </w:r>
          </w:p>
        </w:tc>
        <w:tc>
          <w:tcPr>
            <w:tcW w:w="851" w:type="dxa"/>
            <w:tcBorders>
              <w:top w:val="single" w:sz="4" w:space="0" w:color="A6A6A6" w:themeColor="background1" w:themeShade="A6"/>
              <w:bottom w:val="single" w:sz="4" w:space="0" w:color="A6A6A6" w:themeColor="background1" w:themeShade="A6"/>
            </w:tcBorders>
          </w:tcPr>
          <w:p w14:paraId="61C71801"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DF0BE6C" w14:textId="77777777" w:rsidR="005B131E" w:rsidRPr="00BA7805" w:rsidRDefault="005B131E" w:rsidP="002542E1">
            <w:pPr>
              <w:pStyle w:val="ARfintablebodyright"/>
              <w:spacing w:before="24" w:after="12"/>
              <w:rPr>
                <w:highlight w:val="green"/>
              </w:rPr>
            </w:pPr>
            <w:r w:rsidRPr="00D64937">
              <w:t>(1,138.2)</w:t>
            </w:r>
          </w:p>
        </w:tc>
        <w:tc>
          <w:tcPr>
            <w:tcW w:w="1361" w:type="dxa"/>
            <w:tcBorders>
              <w:top w:val="single" w:sz="4" w:space="0" w:color="A6A6A6" w:themeColor="background1" w:themeShade="A6"/>
              <w:bottom w:val="single" w:sz="4" w:space="0" w:color="A6A6A6" w:themeColor="background1" w:themeShade="A6"/>
            </w:tcBorders>
            <w:noWrap/>
          </w:tcPr>
          <w:p w14:paraId="07C609D5" w14:textId="77777777" w:rsidR="005B131E" w:rsidRPr="00BA7805" w:rsidRDefault="005B131E" w:rsidP="002542E1">
            <w:pPr>
              <w:pStyle w:val="ARfintablebodyright"/>
              <w:spacing w:before="24" w:after="12"/>
              <w:rPr>
                <w:highlight w:val="green"/>
              </w:rPr>
            </w:pPr>
            <w:r w:rsidRPr="00D64937">
              <w:t>(995.6)</w:t>
            </w:r>
          </w:p>
        </w:tc>
      </w:tr>
      <w:tr w:rsidR="005B131E" w:rsidRPr="00BA7805" w14:paraId="2B9C664A" w14:textId="77777777" w:rsidTr="002542E1">
        <w:trPr>
          <w:cantSplit w:val="0"/>
        </w:trPr>
        <w:tc>
          <w:tcPr>
            <w:tcW w:w="6066" w:type="dxa"/>
            <w:tcBorders>
              <w:top w:val="single" w:sz="4" w:space="0" w:color="A6A6A6" w:themeColor="background1" w:themeShade="A6"/>
            </w:tcBorders>
          </w:tcPr>
          <w:p w14:paraId="20637573" w14:textId="77777777" w:rsidR="005B131E" w:rsidRPr="00BA7805" w:rsidRDefault="005B131E" w:rsidP="002542E1">
            <w:pPr>
              <w:pStyle w:val="ARfintablebody"/>
              <w:spacing w:before="24" w:after="12"/>
              <w:rPr>
                <w:highlight w:val="green"/>
              </w:rPr>
            </w:pPr>
            <w:r w:rsidRPr="00D64937">
              <w:t>Repayments of loans from other parties</w:t>
            </w:r>
          </w:p>
        </w:tc>
        <w:tc>
          <w:tcPr>
            <w:tcW w:w="851" w:type="dxa"/>
            <w:tcBorders>
              <w:top w:val="single" w:sz="4" w:space="0" w:color="A6A6A6" w:themeColor="background1" w:themeShade="A6"/>
            </w:tcBorders>
          </w:tcPr>
          <w:p w14:paraId="229D70C8"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tcBorders>
            <w:shd w:val="clear" w:color="auto" w:fill="E7E6E6" w:themeFill="accent4"/>
            <w:noWrap/>
          </w:tcPr>
          <w:p w14:paraId="0CFC5E62" w14:textId="77777777" w:rsidR="005B131E" w:rsidRPr="00BA7805" w:rsidRDefault="005B131E" w:rsidP="002542E1">
            <w:pPr>
              <w:pStyle w:val="ARfintablebodyright"/>
              <w:spacing w:before="24" w:after="12"/>
              <w:rPr>
                <w:highlight w:val="green"/>
              </w:rPr>
            </w:pPr>
            <w:r w:rsidRPr="00D64937">
              <w:t>1.8</w:t>
            </w:r>
          </w:p>
        </w:tc>
        <w:tc>
          <w:tcPr>
            <w:tcW w:w="1361" w:type="dxa"/>
            <w:tcBorders>
              <w:top w:val="single" w:sz="4" w:space="0" w:color="A6A6A6" w:themeColor="background1" w:themeShade="A6"/>
            </w:tcBorders>
            <w:noWrap/>
          </w:tcPr>
          <w:p w14:paraId="48BD9225" w14:textId="77777777" w:rsidR="005B131E" w:rsidRPr="00BA7805" w:rsidRDefault="005B131E" w:rsidP="002542E1">
            <w:pPr>
              <w:pStyle w:val="ARfintablebodyright"/>
              <w:spacing w:before="24" w:after="12"/>
              <w:rPr>
                <w:highlight w:val="green"/>
              </w:rPr>
            </w:pPr>
            <w:r w:rsidRPr="00D64937">
              <w:t>0.7</w:t>
            </w:r>
          </w:p>
        </w:tc>
      </w:tr>
      <w:tr w:rsidR="005B131E" w:rsidRPr="00BA7805" w14:paraId="19E87DF7" w14:textId="77777777" w:rsidTr="002542E1">
        <w:trPr>
          <w:cantSplit w:val="0"/>
        </w:trPr>
        <w:tc>
          <w:tcPr>
            <w:tcW w:w="6066" w:type="dxa"/>
            <w:tcBorders>
              <w:bottom w:val="single" w:sz="4" w:space="0" w:color="auto"/>
            </w:tcBorders>
          </w:tcPr>
          <w:p w14:paraId="2A0CFE59" w14:textId="77777777" w:rsidR="005B131E" w:rsidRPr="00BA7805" w:rsidRDefault="005B131E" w:rsidP="002542E1">
            <w:pPr>
              <w:pStyle w:val="ARfintablebodybold"/>
              <w:spacing w:before="24" w:after="12"/>
              <w:rPr>
                <w:highlight w:val="green"/>
              </w:rPr>
            </w:pPr>
            <w:r w:rsidRPr="00D64937">
              <w:t>Net cash flows from/(used in) investing activities</w:t>
            </w:r>
          </w:p>
        </w:tc>
        <w:tc>
          <w:tcPr>
            <w:tcW w:w="851" w:type="dxa"/>
            <w:tcBorders>
              <w:bottom w:val="single" w:sz="4" w:space="0" w:color="auto"/>
            </w:tcBorders>
          </w:tcPr>
          <w:p w14:paraId="4F867186" w14:textId="77777777" w:rsidR="005B131E" w:rsidRPr="00BA7805" w:rsidRDefault="005B131E" w:rsidP="002542E1">
            <w:pPr>
              <w:pStyle w:val="ARfintablebodyright"/>
              <w:spacing w:before="24" w:after="12"/>
              <w:rPr>
                <w:highlight w:val="green"/>
              </w:rPr>
            </w:pPr>
          </w:p>
        </w:tc>
        <w:tc>
          <w:tcPr>
            <w:tcW w:w="1361" w:type="dxa"/>
            <w:tcBorders>
              <w:bottom w:val="single" w:sz="4" w:space="0" w:color="auto"/>
            </w:tcBorders>
            <w:shd w:val="clear" w:color="auto" w:fill="E7E6E6" w:themeFill="accent4"/>
            <w:noWrap/>
          </w:tcPr>
          <w:p w14:paraId="73BE0FAC" w14:textId="77777777" w:rsidR="005B131E" w:rsidRPr="00BA7805" w:rsidRDefault="005B131E" w:rsidP="002542E1">
            <w:pPr>
              <w:pStyle w:val="ARfintablebodyrightbold"/>
              <w:spacing w:before="24" w:after="12"/>
              <w:rPr>
                <w:highlight w:val="green"/>
              </w:rPr>
            </w:pPr>
            <w:r w:rsidRPr="00D64937">
              <w:t>(833.9)</w:t>
            </w:r>
          </w:p>
        </w:tc>
        <w:tc>
          <w:tcPr>
            <w:tcW w:w="1361" w:type="dxa"/>
            <w:tcBorders>
              <w:bottom w:val="single" w:sz="4" w:space="0" w:color="auto"/>
            </w:tcBorders>
            <w:noWrap/>
          </w:tcPr>
          <w:p w14:paraId="5D6C2C33" w14:textId="77777777" w:rsidR="005B131E" w:rsidRPr="00BA7805" w:rsidRDefault="005B131E" w:rsidP="002542E1">
            <w:pPr>
              <w:pStyle w:val="ARfintablebodyrightbold"/>
              <w:spacing w:before="24" w:after="12"/>
              <w:rPr>
                <w:highlight w:val="green"/>
              </w:rPr>
            </w:pPr>
            <w:r w:rsidRPr="00D64937">
              <w:t>(858.6)</w:t>
            </w:r>
          </w:p>
        </w:tc>
      </w:tr>
      <w:tr w:rsidR="005B131E" w:rsidRPr="00BA7805" w14:paraId="1F09E16F" w14:textId="77777777">
        <w:tc>
          <w:tcPr>
            <w:tcW w:w="9639" w:type="dxa"/>
            <w:gridSpan w:val="4"/>
            <w:tcBorders>
              <w:top w:val="single" w:sz="4" w:space="0" w:color="auto"/>
              <w:bottom w:val="single" w:sz="4" w:space="0" w:color="A6A6A6" w:themeColor="background1" w:themeShade="A6"/>
            </w:tcBorders>
          </w:tcPr>
          <w:p w14:paraId="0735339E" w14:textId="77777777" w:rsidR="005B131E" w:rsidRPr="00BA7805" w:rsidRDefault="005B131E" w:rsidP="002542E1">
            <w:pPr>
              <w:pStyle w:val="ARfintablebodybold"/>
              <w:spacing w:before="24" w:after="12"/>
              <w:rPr>
                <w:highlight w:val="green"/>
              </w:rPr>
            </w:pPr>
            <w:r w:rsidRPr="00037850">
              <w:t>Cash flows from financing activities</w:t>
            </w:r>
          </w:p>
        </w:tc>
      </w:tr>
      <w:tr w:rsidR="005B131E" w:rsidRPr="00BA7805" w14:paraId="07B5A56E"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591A192B" w14:textId="77777777" w:rsidR="005B131E" w:rsidRPr="00BA7805" w:rsidRDefault="005B131E" w:rsidP="002542E1">
            <w:pPr>
              <w:pStyle w:val="ARfintablebody"/>
              <w:spacing w:before="24" w:after="12"/>
              <w:rPr>
                <w:highlight w:val="green"/>
              </w:rPr>
            </w:pPr>
            <w:r w:rsidRPr="00037850">
              <w:t>Net receipts / (payments) for advances</w:t>
            </w:r>
          </w:p>
        </w:tc>
        <w:tc>
          <w:tcPr>
            <w:tcW w:w="851" w:type="dxa"/>
            <w:tcBorders>
              <w:top w:val="single" w:sz="4" w:space="0" w:color="A6A6A6" w:themeColor="background1" w:themeShade="A6"/>
              <w:bottom w:val="single" w:sz="4" w:space="0" w:color="A6A6A6" w:themeColor="background1" w:themeShade="A6"/>
            </w:tcBorders>
          </w:tcPr>
          <w:p w14:paraId="59446927"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082D18A" w14:textId="77777777" w:rsidR="005B131E" w:rsidRPr="00BA7805" w:rsidRDefault="005B131E" w:rsidP="002542E1">
            <w:pPr>
              <w:pStyle w:val="ARfintablebodyright"/>
              <w:spacing w:before="24" w:after="12"/>
              <w:rPr>
                <w:highlight w:val="green"/>
              </w:rPr>
            </w:pPr>
            <w:r w:rsidRPr="00037850">
              <w:t>(2.8)</w:t>
            </w:r>
          </w:p>
        </w:tc>
        <w:tc>
          <w:tcPr>
            <w:tcW w:w="1361" w:type="dxa"/>
            <w:tcBorders>
              <w:top w:val="single" w:sz="4" w:space="0" w:color="A6A6A6" w:themeColor="background1" w:themeShade="A6"/>
              <w:bottom w:val="single" w:sz="4" w:space="0" w:color="A6A6A6" w:themeColor="background1" w:themeShade="A6"/>
            </w:tcBorders>
            <w:noWrap/>
          </w:tcPr>
          <w:p w14:paraId="25AD62D7" w14:textId="77777777" w:rsidR="005B131E" w:rsidRPr="00BA7805" w:rsidRDefault="005B131E" w:rsidP="002542E1">
            <w:pPr>
              <w:pStyle w:val="ARfintablebodyright"/>
              <w:spacing w:before="24" w:after="12"/>
              <w:rPr>
                <w:highlight w:val="green"/>
              </w:rPr>
            </w:pPr>
            <w:r w:rsidRPr="00037850">
              <w:t>1.8</w:t>
            </w:r>
          </w:p>
        </w:tc>
      </w:tr>
      <w:tr w:rsidR="005B131E" w:rsidRPr="00BA7805" w14:paraId="208D1F30"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5E981FD6" w14:textId="77777777" w:rsidR="005B131E" w:rsidRPr="00BA7805" w:rsidRDefault="005B131E" w:rsidP="002542E1">
            <w:pPr>
              <w:pStyle w:val="ARfintablebody"/>
              <w:spacing w:before="24" w:after="12"/>
              <w:rPr>
                <w:highlight w:val="green"/>
              </w:rPr>
            </w:pPr>
            <w:r w:rsidRPr="00037850">
              <w:t xml:space="preserve">Owner contributions by Victorian Government </w:t>
            </w:r>
            <w:r>
              <w:t>–</w:t>
            </w:r>
            <w:r w:rsidRPr="00037850">
              <w:t xml:space="preserve"> appropriation for capital expenditure purposes</w:t>
            </w:r>
          </w:p>
        </w:tc>
        <w:tc>
          <w:tcPr>
            <w:tcW w:w="851" w:type="dxa"/>
            <w:tcBorders>
              <w:top w:val="single" w:sz="4" w:space="0" w:color="A6A6A6" w:themeColor="background1" w:themeShade="A6"/>
              <w:bottom w:val="single" w:sz="4" w:space="0" w:color="A6A6A6" w:themeColor="background1" w:themeShade="A6"/>
            </w:tcBorders>
          </w:tcPr>
          <w:p w14:paraId="0D0A3B66"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5C9565AF" w14:textId="77777777" w:rsidR="005B131E" w:rsidRPr="00BA7805" w:rsidRDefault="005B131E" w:rsidP="002542E1">
            <w:pPr>
              <w:pStyle w:val="ARfintablebodyright"/>
              <w:spacing w:before="24" w:after="12"/>
              <w:rPr>
                <w:highlight w:val="green"/>
              </w:rPr>
            </w:pPr>
            <w:r w:rsidRPr="00037850">
              <w:t>832.1</w:t>
            </w:r>
          </w:p>
        </w:tc>
        <w:tc>
          <w:tcPr>
            <w:tcW w:w="1361" w:type="dxa"/>
            <w:tcBorders>
              <w:top w:val="single" w:sz="4" w:space="0" w:color="A6A6A6" w:themeColor="background1" w:themeShade="A6"/>
              <w:bottom w:val="single" w:sz="4" w:space="0" w:color="A6A6A6" w:themeColor="background1" w:themeShade="A6"/>
            </w:tcBorders>
            <w:noWrap/>
          </w:tcPr>
          <w:p w14:paraId="6A6ADC2A" w14:textId="77777777" w:rsidR="005B131E" w:rsidRPr="00BA7805" w:rsidRDefault="005B131E" w:rsidP="002542E1">
            <w:pPr>
              <w:pStyle w:val="ARfintablebodyright"/>
              <w:spacing w:before="24" w:after="12"/>
              <w:rPr>
                <w:highlight w:val="green"/>
              </w:rPr>
            </w:pPr>
            <w:r w:rsidRPr="00037850">
              <w:t>625.5</w:t>
            </w:r>
          </w:p>
        </w:tc>
      </w:tr>
      <w:tr w:rsidR="005B131E" w:rsidRPr="00BA7805" w14:paraId="3B9A4790" w14:textId="77777777" w:rsidTr="002542E1">
        <w:trPr>
          <w:cantSplit w:val="0"/>
        </w:trPr>
        <w:tc>
          <w:tcPr>
            <w:tcW w:w="6066" w:type="dxa"/>
            <w:tcBorders>
              <w:top w:val="single" w:sz="4" w:space="0" w:color="A6A6A6" w:themeColor="background1" w:themeShade="A6"/>
              <w:bottom w:val="single" w:sz="4" w:space="0" w:color="A6A6A6" w:themeColor="background1" w:themeShade="A6"/>
            </w:tcBorders>
          </w:tcPr>
          <w:p w14:paraId="60F22570" w14:textId="77777777" w:rsidR="005B131E" w:rsidRPr="00BA7805" w:rsidRDefault="005B131E" w:rsidP="002542E1">
            <w:pPr>
              <w:pStyle w:val="ARfintablebody"/>
              <w:spacing w:before="24" w:after="12"/>
              <w:rPr>
                <w:highlight w:val="green"/>
              </w:rPr>
            </w:pPr>
            <w:r w:rsidRPr="00037850">
              <w:t>Payments of capital contributions</w:t>
            </w:r>
          </w:p>
        </w:tc>
        <w:tc>
          <w:tcPr>
            <w:tcW w:w="851" w:type="dxa"/>
            <w:tcBorders>
              <w:top w:val="single" w:sz="4" w:space="0" w:color="A6A6A6" w:themeColor="background1" w:themeShade="A6"/>
              <w:bottom w:val="single" w:sz="4" w:space="0" w:color="A6A6A6" w:themeColor="background1" w:themeShade="A6"/>
            </w:tcBorders>
          </w:tcPr>
          <w:p w14:paraId="449331F3"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5DEFFF35" w14:textId="77777777" w:rsidR="005B131E" w:rsidRPr="00BA7805" w:rsidRDefault="005B131E" w:rsidP="002542E1">
            <w:pPr>
              <w:pStyle w:val="ARfintablebodyright"/>
              <w:spacing w:before="24" w:after="12"/>
              <w:rPr>
                <w:highlight w:val="green"/>
              </w:rPr>
            </w:pPr>
            <w:r w:rsidRPr="00037850">
              <w:t>(0.9)</w:t>
            </w:r>
          </w:p>
        </w:tc>
        <w:tc>
          <w:tcPr>
            <w:tcW w:w="1361" w:type="dxa"/>
            <w:tcBorders>
              <w:top w:val="single" w:sz="4" w:space="0" w:color="A6A6A6" w:themeColor="background1" w:themeShade="A6"/>
              <w:bottom w:val="single" w:sz="4" w:space="0" w:color="A6A6A6" w:themeColor="background1" w:themeShade="A6"/>
            </w:tcBorders>
            <w:noWrap/>
          </w:tcPr>
          <w:p w14:paraId="5B1E7C7A" w14:textId="77777777" w:rsidR="005B131E" w:rsidRPr="00BA7805" w:rsidRDefault="005B131E" w:rsidP="002542E1">
            <w:pPr>
              <w:pStyle w:val="ARfintablebodyright"/>
              <w:spacing w:before="24" w:after="12"/>
              <w:rPr>
                <w:highlight w:val="green"/>
              </w:rPr>
            </w:pPr>
            <w:r>
              <w:t>–</w:t>
            </w:r>
          </w:p>
        </w:tc>
      </w:tr>
      <w:tr w:rsidR="005B131E" w:rsidRPr="00BA7805" w14:paraId="6D47663E" w14:textId="77777777" w:rsidTr="002542E1">
        <w:trPr>
          <w:cantSplit w:val="0"/>
        </w:trPr>
        <w:tc>
          <w:tcPr>
            <w:tcW w:w="6066" w:type="dxa"/>
            <w:tcBorders>
              <w:top w:val="single" w:sz="4" w:space="0" w:color="A6A6A6" w:themeColor="background1" w:themeShade="A6"/>
            </w:tcBorders>
          </w:tcPr>
          <w:p w14:paraId="28B820BA" w14:textId="77777777" w:rsidR="005B131E" w:rsidRPr="00BA7805" w:rsidRDefault="005B131E" w:rsidP="002542E1">
            <w:pPr>
              <w:pStyle w:val="ARfintablebody"/>
              <w:rPr>
                <w:highlight w:val="green"/>
              </w:rPr>
            </w:pPr>
            <w:r w:rsidRPr="00037850">
              <w:t xml:space="preserve">Repayment of borrowings and principal portion of lease liability </w:t>
            </w:r>
            <w:r w:rsidRPr="006503CC">
              <w:rPr>
                <w:vertAlign w:val="superscript"/>
              </w:rPr>
              <w:t>(ii)</w:t>
            </w:r>
          </w:p>
        </w:tc>
        <w:tc>
          <w:tcPr>
            <w:tcW w:w="851" w:type="dxa"/>
            <w:tcBorders>
              <w:top w:val="single" w:sz="4" w:space="0" w:color="A6A6A6" w:themeColor="background1" w:themeShade="A6"/>
            </w:tcBorders>
          </w:tcPr>
          <w:p w14:paraId="3ACC4900" w14:textId="77777777" w:rsidR="005B131E" w:rsidRPr="00BA7805" w:rsidRDefault="005B131E" w:rsidP="002542E1">
            <w:pPr>
              <w:pStyle w:val="ARfintablebodyright"/>
              <w:spacing w:before="24" w:after="12"/>
              <w:rPr>
                <w:highlight w:val="green"/>
              </w:rPr>
            </w:pPr>
          </w:p>
        </w:tc>
        <w:tc>
          <w:tcPr>
            <w:tcW w:w="1361" w:type="dxa"/>
            <w:tcBorders>
              <w:top w:val="single" w:sz="4" w:space="0" w:color="A6A6A6" w:themeColor="background1" w:themeShade="A6"/>
            </w:tcBorders>
            <w:shd w:val="clear" w:color="auto" w:fill="E7E6E6" w:themeFill="accent4"/>
            <w:noWrap/>
          </w:tcPr>
          <w:p w14:paraId="4A195F23" w14:textId="77777777" w:rsidR="005B131E" w:rsidRPr="00BA7805" w:rsidRDefault="005B131E" w:rsidP="002542E1">
            <w:pPr>
              <w:pStyle w:val="ARfintablebodyright"/>
              <w:rPr>
                <w:highlight w:val="green"/>
              </w:rPr>
            </w:pPr>
            <w:r w:rsidRPr="00037850">
              <w:t>123.6</w:t>
            </w:r>
          </w:p>
        </w:tc>
        <w:tc>
          <w:tcPr>
            <w:tcW w:w="1361" w:type="dxa"/>
            <w:tcBorders>
              <w:top w:val="single" w:sz="4" w:space="0" w:color="A6A6A6" w:themeColor="background1" w:themeShade="A6"/>
            </w:tcBorders>
            <w:noWrap/>
          </w:tcPr>
          <w:p w14:paraId="4A63AF42" w14:textId="77777777" w:rsidR="005B131E" w:rsidRPr="00BA7805" w:rsidRDefault="005B131E" w:rsidP="002542E1">
            <w:pPr>
              <w:pStyle w:val="ARfintablebodyright"/>
              <w:rPr>
                <w:highlight w:val="green"/>
              </w:rPr>
            </w:pPr>
            <w:r w:rsidRPr="00037850">
              <w:t>100.7</w:t>
            </w:r>
          </w:p>
        </w:tc>
      </w:tr>
      <w:tr w:rsidR="005B131E" w:rsidRPr="00BA7805" w14:paraId="490801BC" w14:textId="77777777" w:rsidTr="002542E1">
        <w:trPr>
          <w:cantSplit w:val="0"/>
        </w:trPr>
        <w:tc>
          <w:tcPr>
            <w:tcW w:w="6066" w:type="dxa"/>
          </w:tcPr>
          <w:p w14:paraId="672A4E9C" w14:textId="77777777" w:rsidR="005B131E" w:rsidRPr="00BA7805" w:rsidRDefault="005B131E" w:rsidP="002542E1">
            <w:pPr>
              <w:pStyle w:val="ARfintablebodybold"/>
              <w:spacing w:before="24" w:after="12"/>
              <w:rPr>
                <w:highlight w:val="green"/>
              </w:rPr>
            </w:pPr>
            <w:r w:rsidRPr="00037850">
              <w:t>Net cash flows from/(used in) financing activities</w:t>
            </w:r>
          </w:p>
        </w:tc>
        <w:tc>
          <w:tcPr>
            <w:tcW w:w="851" w:type="dxa"/>
          </w:tcPr>
          <w:p w14:paraId="5D169AB3" w14:textId="77777777" w:rsidR="005B131E" w:rsidRPr="00BA7805" w:rsidRDefault="005B131E" w:rsidP="002542E1">
            <w:pPr>
              <w:pStyle w:val="ARfintablebodyright"/>
              <w:spacing w:before="24" w:after="12"/>
              <w:rPr>
                <w:highlight w:val="green"/>
              </w:rPr>
            </w:pPr>
          </w:p>
        </w:tc>
        <w:tc>
          <w:tcPr>
            <w:tcW w:w="1361" w:type="dxa"/>
            <w:shd w:val="clear" w:color="auto" w:fill="E7E6E6" w:themeFill="accent4"/>
            <w:noWrap/>
          </w:tcPr>
          <w:p w14:paraId="4739B1AC" w14:textId="77777777" w:rsidR="005B131E" w:rsidRPr="00BA7805" w:rsidRDefault="005B131E" w:rsidP="002542E1">
            <w:pPr>
              <w:pStyle w:val="ARfintablebodyrightbold"/>
              <w:spacing w:before="24" w:after="12"/>
              <w:rPr>
                <w:highlight w:val="green"/>
              </w:rPr>
            </w:pPr>
            <w:r w:rsidRPr="00037850">
              <w:t>952.1</w:t>
            </w:r>
          </w:p>
        </w:tc>
        <w:tc>
          <w:tcPr>
            <w:tcW w:w="1361" w:type="dxa"/>
            <w:noWrap/>
          </w:tcPr>
          <w:p w14:paraId="0B61FBDD" w14:textId="77777777" w:rsidR="005B131E" w:rsidRPr="00BA7805" w:rsidRDefault="005B131E" w:rsidP="002542E1">
            <w:pPr>
              <w:pStyle w:val="ARfintablebodyrightbold"/>
              <w:spacing w:before="24" w:after="12"/>
              <w:rPr>
                <w:highlight w:val="green"/>
              </w:rPr>
            </w:pPr>
            <w:r w:rsidRPr="00037850">
              <w:t>728.0</w:t>
            </w:r>
          </w:p>
        </w:tc>
      </w:tr>
      <w:tr w:rsidR="005B131E" w:rsidRPr="00BA7805" w14:paraId="0F0F4352" w14:textId="77777777" w:rsidTr="002542E1">
        <w:trPr>
          <w:cantSplit w:val="0"/>
        </w:trPr>
        <w:tc>
          <w:tcPr>
            <w:tcW w:w="6066" w:type="dxa"/>
          </w:tcPr>
          <w:p w14:paraId="533768D4" w14:textId="77777777" w:rsidR="005B131E" w:rsidRPr="007B24B9" w:rsidRDefault="005B131E" w:rsidP="002542E1">
            <w:pPr>
              <w:pStyle w:val="ARfintablebodybold"/>
              <w:rPr>
                <w:highlight w:val="green"/>
              </w:rPr>
            </w:pPr>
            <w:r w:rsidRPr="007B24B9">
              <w:t>Net increase/(decrease) in cash and deposits</w:t>
            </w:r>
          </w:p>
        </w:tc>
        <w:tc>
          <w:tcPr>
            <w:tcW w:w="851" w:type="dxa"/>
          </w:tcPr>
          <w:p w14:paraId="0FBD7D90" w14:textId="77777777" w:rsidR="005B131E" w:rsidRPr="00BA7805" w:rsidRDefault="005B131E" w:rsidP="002542E1">
            <w:pPr>
              <w:pStyle w:val="ARfintablebodyright"/>
              <w:spacing w:before="24" w:after="12"/>
              <w:rPr>
                <w:highlight w:val="green"/>
              </w:rPr>
            </w:pPr>
          </w:p>
        </w:tc>
        <w:tc>
          <w:tcPr>
            <w:tcW w:w="1361" w:type="dxa"/>
            <w:shd w:val="clear" w:color="auto" w:fill="E7E6E6" w:themeFill="accent4"/>
            <w:noWrap/>
          </w:tcPr>
          <w:p w14:paraId="7386AA0B" w14:textId="77777777" w:rsidR="005B131E" w:rsidRPr="007B24B9" w:rsidRDefault="005B131E" w:rsidP="002542E1">
            <w:pPr>
              <w:pStyle w:val="ARfintablebodyrightbold"/>
              <w:rPr>
                <w:highlight w:val="green"/>
              </w:rPr>
            </w:pPr>
            <w:r w:rsidRPr="007B24B9">
              <w:t>(106.3)</w:t>
            </w:r>
          </w:p>
        </w:tc>
        <w:tc>
          <w:tcPr>
            <w:tcW w:w="1361" w:type="dxa"/>
            <w:noWrap/>
          </w:tcPr>
          <w:p w14:paraId="103652B2" w14:textId="77777777" w:rsidR="005B131E" w:rsidRPr="007B24B9" w:rsidRDefault="005B131E" w:rsidP="002542E1">
            <w:pPr>
              <w:pStyle w:val="ARfintablebodyrightbold"/>
              <w:rPr>
                <w:highlight w:val="green"/>
              </w:rPr>
            </w:pPr>
            <w:r w:rsidRPr="007B24B9">
              <w:t>51.9</w:t>
            </w:r>
          </w:p>
        </w:tc>
      </w:tr>
      <w:tr w:rsidR="005B131E" w:rsidRPr="00BA7805" w14:paraId="400838E6" w14:textId="77777777" w:rsidTr="002542E1">
        <w:trPr>
          <w:cantSplit w:val="0"/>
        </w:trPr>
        <w:tc>
          <w:tcPr>
            <w:tcW w:w="6066" w:type="dxa"/>
          </w:tcPr>
          <w:p w14:paraId="57964D4C" w14:textId="77777777" w:rsidR="005B131E" w:rsidRPr="007B24B9" w:rsidRDefault="005B131E" w:rsidP="002542E1">
            <w:pPr>
              <w:pStyle w:val="ARfintablebody"/>
              <w:rPr>
                <w:highlight w:val="green"/>
              </w:rPr>
            </w:pPr>
            <w:r w:rsidRPr="007B24B9">
              <w:t>Cash and deposits at beginning of financial year</w:t>
            </w:r>
          </w:p>
        </w:tc>
        <w:tc>
          <w:tcPr>
            <w:tcW w:w="851" w:type="dxa"/>
          </w:tcPr>
          <w:p w14:paraId="3C203267" w14:textId="77777777" w:rsidR="005B131E" w:rsidRPr="00BA7805" w:rsidRDefault="005B131E" w:rsidP="002542E1">
            <w:pPr>
              <w:pStyle w:val="ARfintablebodyright"/>
              <w:spacing w:before="24" w:after="12"/>
              <w:rPr>
                <w:b/>
                <w:bCs/>
                <w:highlight w:val="green"/>
              </w:rPr>
            </w:pPr>
          </w:p>
        </w:tc>
        <w:tc>
          <w:tcPr>
            <w:tcW w:w="1361" w:type="dxa"/>
            <w:shd w:val="clear" w:color="auto" w:fill="E7E6E6" w:themeFill="accent4"/>
            <w:noWrap/>
          </w:tcPr>
          <w:p w14:paraId="3A3A726F" w14:textId="77777777" w:rsidR="005B131E" w:rsidRPr="007B24B9" w:rsidRDefault="005B131E" w:rsidP="002542E1">
            <w:pPr>
              <w:pStyle w:val="ARfintablebodyright"/>
              <w:rPr>
                <w:highlight w:val="green"/>
              </w:rPr>
            </w:pPr>
            <w:r w:rsidRPr="007B24B9">
              <w:t>706.8</w:t>
            </w:r>
          </w:p>
        </w:tc>
        <w:tc>
          <w:tcPr>
            <w:tcW w:w="1361" w:type="dxa"/>
            <w:noWrap/>
          </w:tcPr>
          <w:p w14:paraId="6F44DE12" w14:textId="77777777" w:rsidR="005B131E" w:rsidRPr="007B24B9" w:rsidRDefault="005B131E" w:rsidP="002542E1">
            <w:pPr>
              <w:pStyle w:val="ARfintablebodyright"/>
              <w:rPr>
                <w:highlight w:val="green"/>
              </w:rPr>
            </w:pPr>
            <w:r w:rsidRPr="007B24B9">
              <w:t>654.9</w:t>
            </w:r>
          </w:p>
        </w:tc>
      </w:tr>
      <w:tr w:rsidR="005B131E" w:rsidRPr="00BA7805" w14:paraId="30E24068" w14:textId="77777777" w:rsidTr="002542E1">
        <w:trPr>
          <w:cantSplit w:val="0"/>
        </w:trPr>
        <w:tc>
          <w:tcPr>
            <w:tcW w:w="6066" w:type="dxa"/>
          </w:tcPr>
          <w:p w14:paraId="167B99D0" w14:textId="77777777" w:rsidR="005B131E" w:rsidRPr="00BA7805" w:rsidRDefault="005B131E" w:rsidP="002542E1">
            <w:pPr>
              <w:pStyle w:val="ARfintablebodybold"/>
              <w:spacing w:before="24" w:after="12"/>
              <w:rPr>
                <w:highlight w:val="green"/>
              </w:rPr>
            </w:pPr>
            <w:r w:rsidRPr="00037850">
              <w:t>Cash and deposits at the end of financial year</w:t>
            </w:r>
          </w:p>
        </w:tc>
        <w:tc>
          <w:tcPr>
            <w:tcW w:w="851" w:type="dxa"/>
          </w:tcPr>
          <w:p w14:paraId="1EC87444" w14:textId="77777777" w:rsidR="005B131E" w:rsidRPr="00BA7805" w:rsidRDefault="005B131E" w:rsidP="002542E1">
            <w:pPr>
              <w:pStyle w:val="ARfintablebodyright"/>
              <w:spacing w:before="24" w:after="12"/>
              <w:rPr>
                <w:b/>
                <w:bCs/>
                <w:highlight w:val="green"/>
              </w:rPr>
            </w:pPr>
            <w:r w:rsidRPr="00037850">
              <w:t>7.3</w:t>
            </w:r>
          </w:p>
        </w:tc>
        <w:tc>
          <w:tcPr>
            <w:tcW w:w="1361" w:type="dxa"/>
            <w:shd w:val="clear" w:color="auto" w:fill="E7E6E6" w:themeFill="accent4"/>
            <w:noWrap/>
          </w:tcPr>
          <w:p w14:paraId="0B2114EC" w14:textId="77777777" w:rsidR="005B131E" w:rsidRPr="00BA7805" w:rsidRDefault="005B131E" w:rsidP="002542E1">
            <w:pPr>
              <w:pStyle w:val="ARfintablebodyrightbold"/>
              <w:spacing w:before="24" w:after="12"/>
              <w:rPr>
                <w:highlight w:val="green"/>
              </w:rPr>
            </w:pPr>
            <w:r w:rsidRPr="00037850">
              <w:t>600.5</w:t>
            </w:r>
          </w:p>
        </w:tc>
        <w:tc>
          <w:tcPr>
            <w:tcW w:w="1361" w:type="dxa"/>
            <w:noWrap/>
          </w:tcPr>
          <w:p w14:paraId="0F2C4867" w14:textId="77777777" w:rsidR="005B131E" w:rsidRPr="00BA7805" w:rsidRDefault="005B131E" w:rsidP="002542E1">
            <w:pPr>
              <w:pStyle w:val="ARfintablebodyrightbold"/>
              <w:spacing w:before="24" w:after="12"/>
              <w:rPr>
                <w:highlight w:val="green"/>
              </w:rPr>
            </w:pPr>
            <w:r w:rsidRPr="00037850">
              <w:t>706.8</w:t>
            </w:r>
          </w:p>
        </w:tc>
      </w:tr>
    </w:tbl>
    <w:p w14:paraId="72CD96F7" w14:textId="77777777" w:rsidR="005B131E" w:rsidRDefault="005B131E" w:rsidP="002542E1">
      <w:pPr>
        <w:pStyle w:val="ARfintablefootnote"/>
      </w:pPr>
      <w:r>
        <w:t>The cash flow statement should be read in conjunction with the notes to the financial statements.</w:t>
      </w:r>
    </w:p>
    <w:p w14:paraId="542582FB" w14:textId="77777777" w:rsidR="005B131E" w:rsidRDefault="005B131E" w:rsidP="002542E1">
      <w:pPr>
        <w:pStyle w:val="ARfintablefootnote"/>
      </w:pPr>
      <w:r>
        <w:t>Notes:</w:t>
      </w:r>
    </w:p>
    <w:p w14:paraId="3E1EBDC3" w14:textId="77777777" w:rsidR="005B131E" w:rsidRPr="00CF52CB" w:rsidRDefault="005B131E" w:rsidP="002542E1">
      <w:pPr>
        <w:pStyle w:val="ARfintablefootnotetabindent"/>
      </w:pPr>
      <w:r>
        <w:t xml:space="preserve">(i) </w:t>
      </w:r>
      <w:r>
        <w:tab/>
      </w:r>
      <w:r w:rsidRPr="00CF52CB">
        <w:t>Goods and services tax (GST) recovered from the Australian Taxation Office is presented on a net basis.</w:t>
      </w:r>
    </w:p>
    <w:p w14:paraId="3C62AEDE" w14:textId="77777777" w:rsidR="005B131E" w:rsidRPr="00BA7805" w:rsidRDefault="005B131E" w:rsidP="002542E1">
      <w:pPr>
        <w:pStyle w:val="ARfintablefootnotetabindent"/>
        <w:rPr>
          <w:highlight w:val="green"/>
        </w:rPr>
      </w:pPr>
      <w:r w:rsidRPr="00CF52CB">
        <w:t xml:space="preserve">(ii) </w:t>
      </w:r>
      <w:r>
        <w:tab/>
      </w:r>
      <w:r w:rsidRPr="00CF52CB">
        <w:t>The department has recognised cash payments for the principal portion of lease payments as financing activities, cash payments for the interest portion as operating activities consistent with the presentation of interest payments and short-term lease payments for leases and low</w:t>
      </w:r>
      <w:r>
        <w:t>-value assets as operating activities.</w:t>
      </w:r>
    </w:p>
    <w:p w14:paraId="30DB4A00" w14:textId="77777777" w:rsidR="005B131E" w:rsidRPr="00BA7805" w:rsidRDefault="005B131E">
      <w:pPr>
        <w:pStyle w:val="ARfinbody"/>
        <w:rPr>
          <w:highlight w:val="green"/>
        </w:rPr>
      </w:pPr>
      <w:r w:rsidRPr="00BA7805">
        <w:rPr>
          <w:highlight w:val="green"/>
        </w:rPr>
        <w:br w:type="page"/>
      </w:r>
    </w:p>
    <w:p w14:paraId="67B2A32F" w14:textId="77777777" w:rsidR="005B131E" w:rsidRPr="00C93DC6" w:rsidRDefault="005B131E">
      <w:pPr>
        <w:pStyle w:val="Heading2Financials"/>
      </w:pPr>
      <w:bookmarkStart w:id="262" w:name="_Toc181101544"/>
      <w:bookmarkStart w:id="263" w:name="Statementofchangesinequite"/>
      <w:r w:rsidRPr="00C93DC6">
        <w:t>Statement of changes in equity</w:t>
      </w:r>
      <w:r w:rsidRPr="00C93DC6">
        <w:br/>
        <w:t>for the financial year ended 30 June 2024</w:t>
      </w:r>
      <w:bookmarkEnd w:id="262"/>
    </w:p>
    <w:bookmarkEnd w:id="263"/>
    <w:tbl>
      <w:tblPr>
        <w:tblStyle w:val="TableGrid"/>
        <w:tblW w:w="9644" w:type="dxa"/>
        <w:tblLayout w:type="fixed"/>
        <w:tblLook w:val="06A0" w:firstRow="1" w:lastRow="0" w:firstColumn="1" w:lastColumn="0" w:noHBand="1" w:noVBand="1"/>
      </w:tblPr>
      <w:tblGrid>
        <w:gridCol w:w="3680"/>
        <w:gridCol w:w="876"/>
        <w:gridCol w:w="1272"/>
        <w:gridCol w:w="1272"/>
        <w:gridCol w:w="1272"/>
        <w:gridCol w:w="1272"/>
      </w:tblGrid>
      <w:tr w:rsidR="00AF6F94" w:rsidRPr="00BA7805" w14:paraId="01449CEB" w14:textId="77777777" w:rsidTr="002542E1">
        <w:trPr>
          <w:cnfStyle w:val="100000000000" w:firstRow="1" w:lastRow="0" w:firstColumn="0" w:lastColumn="0" w:oddVBand="0" w:evenVBand="0" w:oddHBand="0" w:evenHBand="0" w:firstRowFirstColumn="0" w:firstRowLastColumn="0" w:lastRowFirstColumn="0" w:lastRowLastColumn="0"/>
        </w:trPr>
        <w:tc>
          <w:tcPr>
            <w:tcW w:w="3680" w:type="dxa"/>
            <w:hideMark/>
          </w:tcPr>
          <w:p w14:paraId="4B2B4353" w14:textId="77777777" w:rsidR="005B131E" w:rsidRPr="00BA7805" w:rsidRDefault="005B131E">
            <w:pPr>
              <w:pStyle w:val="ARfintablecolhead"/>
              <w:rPr>
                <w:highlight w:val="green"/>
              </w:rPr>
            </w:pPr>
          </w:p>
        </w:tc>
        <w:tc>
          <w:tcPr>
            <w:tcW w:w="876" w:type="dxa"/>
            <w:hideMark/>
          </w:tcPr>
          <w:p w14:paraId="55C2ADA7" w14:textId="77777777" w:rsidR="005B131E" w:rsidRPr="00C93DC6" w:rsidRDefault="005B131E">
            <w:pPr>
              <w:pStyle w:val="ARfintablecolheadright"/>
            </w:pPr>
            <w:r w:rsidRPr="00C93DC6">
              <w:t>Note</w:t>
            </w:r>
          </w:p>
        </w:tc>
        <w:tc>
          <w:tcPr>
            <w:tcW w:w="1272" w:type="dxa"/>
            <w:shd w:val="clear" w:color="auto" w:fill="E7E6E6" w:themeFill="accent4"/>
            <w:hideMark/>
          </w:tcPr>
          <w:p w14:paraId="288CCC17" w14:textId="77777777" w:rsidR="005B131E" w:rsidRPr="00C93DC6" w:rsidRDefault="005B131E">
            <w:pPr>
              <w:pStyle w:val="ARfintablecolheadright"/>
            </w:pPr>
            <w:r w:rsidRPr="00C93DC6">
              <w:t>Physical</w:t>
            </w:r>
            <w:r w:rsidRPr="00C93DC6">
              <w:br/>
              <w:t>asset</w:t>
            </w:r>
            <w:r w:rsidRPr="00C93DC6">
              <w:br/>
              <w:t>revaluation</w:t>
            </w:r>
            <w:r w:rsidRPr="00C93DC6">
              <w:br/>
              <w:t>surplus</w:t>
            </w:r>
          </w:p>
          <w:p w14:paraId="3C7E61D3" w14:textId="77777777" w:rsidR="005B131E" w:rsidRPr="00C93DC6" w:rsidRDefault="005B131E">
            <w:pPr>
              <w:pStyle w:val="ARfintablecolheadright"/>
            </w:pPr>
            <w:r w:rsidRPr="00C93DC6">
              <w:t>$M</w:t>
            </w:r>
          </w:p>
        </w:tc>
        <w:tc>
          <w:tcPr>
            <w:tcW w:w="1272" w:type="dxa"/>
            <w:hideMark/>
          </w:tcPr>
          <w:p w14:paraId="577BC2D4" w14:textId="77777777" w:rsidR="005B131E" w:rsidRPr="00C93DC6" w:rsidRDefault="005B131E">
            <w:pPr>
              <w:pStyle w:val="ARfintablecolheadright"/>
            </w:pPr>
            <w:r w:rsidRPr="00C93DC6">
              <w:t>Accumu</w:t>
            </w:r>
            <w:r w:rsidRPr="00C93DC6">
              <w:rPr>
                <w:rFonts w:ascii="Cambria Math" w:hAnsi="Cambria Math" w:cs="Cambria Math"/>
              </w:rPr>
              <w:t>‐</w:t>
            </w:r>
            <w:r w:rsidRPr="00C93DC6">
              <w:t>lated</w:t>
            </w:r>
            <w:r w:rsidRPr="00C93DC6">
              <w:br/>
              <w:t>surplus/</w:t>
            </w:r>
            <w:r w:rsidRPr="00C93DC6">
              <w:br/>
              <w:t>(deficit)</w:t>
            </w:r>
          </w:p>
          <w:p w14:paraId="41EE1D6D" w14:textId="77777777" w:rsidR="005B131E" w:rsidRPr="00C93DC6" w:rsidRDefault="005B131E">
            <w:pPr>
              <w:pStyle w:val="ARfintablecolheadright"/>
            </w:pPr>
            <w:r w:rsidRPr="00C93DC6">
              <w:t>$M</w:t>
            </w:r>
          </w:p>
        </w:tc>
        <w:tc>
          <w:tcPr>
            <w:tcW w:w="1272" w:type="dxa"/>
            <w:shd w:val="clear" w:color="auto" w:fill="E7E6E6" w:themeFill="accent4"/>
            <w:hideMark/>
          </w:tcPr>
          <w:p w14:paraId="66EBB357" w14:textId="77777777" w:rsidR="005B131E" w:rsidRPr="00C93DC6" w:rsidRDefault="005B131E">
            <w:pPr>
              <w:pStyle w:val="ARfintablecolheadright"/>
            </w:pPr>
            <w:r w:rsidRPr="00C93DC6">
              <w:t>Contributed capital</w:t>
            </w:r>
          </w:p>
          <w:p w14:paraId="7B4BFB26" w14:textId="77777777" w:rsidR="005B131E" w:rsidRPr="00C93DC6" w:rsidRDefault="005B131E">
            <w:pPr>
              <w:pStyle w:val="ARfintablecolheadright"/>
            </w:pPr>
            <w:r w:rsidRPr="00C93DC6">
              <w:t>$M</w:t>
            </w:r>
          </w:p>
        </w:tc>
        <w:tc>
          <w:tcPr>
            <w:tcW w:w="1272" w:type="dxa"/>
            <w:hideMark/>
          </w:tcPr>
          <w:p w14:paraId="2CEEEC3F" w14:textId="77777777" w:rsidR="005B131E" w:rsidRPr="00C93DC6" w:rsidRDefault="005B131E">
            <w:pPr>
              <w:pStyle w:val="ARfintablecolheadright"/>
            </w:pPr>
            <w:r w:rsidRPr="00C93DC6">
              <w:t>Total</w:t>
            </w:r>
          </w:p>
          <w:p w14:paraId="64EA0813" w14:textId="77777777" w:rsidR="005B131E" w:rsidRPr="00C93DC6" w:rsidRDefault="005B131E">
            <w:pPr>
              <w:pStyle w:val="ARfintablecolheadright"/>
            </w:pPr>
            <w:r w:rsidRPr="00C93DC6">
              <w:t>$M</w:t>
            </w:r>
          </w:p>
        </w:tc>
      </w:tr>
      <w:tr w:rsidR="005B131E" w:rsidRPr="00BA7805" w14:paraId="6438CF4B" w14:textId="77777777" w:rsidTr="002542E1">
        <w:tc>
          <w:tcPr>
            <w:tcW w:w="3680" w:type="dxa"/>
            <w:tcBorders>
              <w:bottom w:val="single" w:sz="4" w:space="0" w:color="auto"/>
            </w:tcBorders>
          </w:tcPr>
          <w:p w14:paraId="404498F2" w14:textId="77777777" w:rsidR="005B131E" w:rsidRPr="00BA7805" w:rsidRDefault="005B131E" w:rsidP="002542E1">
            <w:pPr>
              <w:pStyle w:val="ARfintablebodybold"/>
              <w:rPr>
                <w:highlight w:val="green"/>
              </w:rPr>
            </w:pPr>
            <w:r w:rsidRPr="0064124D">
              <w:t>Balance at 1 July 2022</w:t>
            </w:r>
          </w:p>
        </w:tc>
        <w:tc>
          <w:tcPr>
            <w:tcW w:w="876" w:type="dxa"/>
            <w:tcBorders>
              <w:bottom w:val="single" w:sz="4" w:space="0" w:color="auto"/>
            </w:tcBorders>
          </w:tcPr>
          <w:p w14:paraId="22AC50E3" w14:textId="77777777" w:rsidR="005B131E" w:rsidRPr="00BA7805" w:rsidRDefault="005B131E" w:rsidP="002542E1">
            <w:pPr>
              <w:pStyle w:val="ARfintablebodyright"/>
              <w:rPr>
                <w:highlight w:val="green"/>
              </w:rPr>
            </w:pPr>
          </w:p>
        </w:tc>
        <w:tc>
          <w:tcPr>
            <w:tcW w:w="1272" w:type="dxa"/>
            <w:tcBorders>
              <w:bottom w:val="single" w:sz="4" w:space="0" w:color="auto"/>
            </w:tcBorders>
            <w:shd w:val="clear" w:color="auto" w:fill="E7E6E6" w:themeFill="accent4"/>
            <w:noWrap/>
          </w:tcPr>
          <w:p w14:paraId="47A7D2A8" w14:textId="77777777" w:rsidR="005B131E" w:rsidRPr="00BA7805" w:rsidRDefault="005B131E" w:rsidP="002542E1">
            <w:pPr>
              <w:pStyle w:val="ARfintablebodyrightbold"/>
              <w:rPr>
                <w:highlight w:val="green"/>
              </w:rPr>
            </w:pPr>
            <w:r w:rsidRPr="0064124D">
              <w:t>7,522.8</w:t>
            </w:r>
          </w:p>
        </w:tc>
        <w:tc>
          <w:tcPr>
            <w:tcW w:w="1272" w:type="dxa"/>
            <w:tcBorders>
              <w:bottom w:val="single" w:sz="4" w:space="0" w:color="auto"/>
            </w:tcBorders>
            <w:noWrap/>
          </w:tcPr>
          <w:p w14:paraId="0C4947BC" w14:textId="77777777" w:rsidR="005B131E" w:rsidRPr="00BA7805" w:rsidRDefault="005B131E" w:rsidP="002542E1">
            <w:pPr>
              <w:pStyle w:val="ARfintablebodyrightbold"/>
              <w:rPr>
                <w:highlight w:val="green"/>
              </w:rPr>
            </w:pPr>
            <w:r w:rsidRPr="0064124D">
              <w:t>444.6</w:t>
            </w:r>
          </w:p>
        </w:tc>
        <w:tc>
          <w:tcPr>
            <w:tcW w:w="1272" w:type="dxa"/>
            <w:tcBorders>
              <w:bottom w:val="single" w:sz="4" w:space="0" w:color="auto"/>
            </w:tcBorders>
            <w:shd w:val="clear" w:color="auto" w:fill="E7E6E6" w:themeFill="accent4"/>
            <w:noWrap/>
          </w:tcPr>
          <w:p w14:paraId="72519C75" w14:textId="77777777" w:rsidR="005B131E" w:rsidRPr="00BA7805" w:rsidRDefault="005B131E" w:rsidP="002542E1">
            <w:pPr>
              <w:pStyle w:val="ARfintablebodyrightbold"/>
              <w:rPr>
                <w:highlight w:val="green"/>
              </w:rPr>
            </w:pPr>
            <w:r w:rsidRPr="0064124D">
              <w:t>28,808.9</w:t>
            </w:r>
          </w:p>
        </w:tc>
        <w:tc>
          <w:tcPr>
            <w:tcW w:w="1272" w:type="dxa"/>
            <w:tcBorders>
              <w:bottom w:val="single" w:sz="4" w:space="0" w:color="auto"/>
            </w:tcBorders>
            <w:noWrap/>
          </w:tcPr>
          <w:p w14:paraId="3FEC384E" w14:textId="77777777" w:rsidR="005B131E" w:rsidRPr="00BA7805" w:rsidRDefault="005B131E" w:rsidP="002542E1">
            <w:pPr>
              <w:pStyle w:val="ARfintablebodyrightbold"/>
              <w:rPr>
                <w:highlight w:val="green"/>
              </w:rPr>
            </w:pPr>
            <w:r w:rsidRPr="0064124D">
              <w:t>36,776.3</w:t>
            </w:r>
          </w:p>
        </w:tc>
      </w:tr>
      <w:tr w:rsidR="005B131E" w:rsidRPr="00BA7805" w14:paraId="0F193CD9" w14:textId="77777777" w:rsidTr="002542E1">
        <w:tc>
          <w:tcPr>
            <w:tcW w:w="3680" w:type="dxa"/>
            <w:tcBorders>
              <w:top w:val="single" w:sz="4" w:space="0" w:color="auto"/>
              <w:bottom w:val="single" w:sz="2" w:space="0" w:color="A6A6A6" w:themeColor="accent5"/>
            </w:tcBorders>
          </w:tcPr>
          <w:p w14:paraId="72754A9B" w14:textId="77777777" w:rsidR="005B131E" w:rsidRPr="00BA7805" w:rsidRDefault="005B131E" w:rsidP="002542E1">
            <w:pPr>
              <w:pStyle w:val="ARfintablebody"/>
              <w:rPr>
                <w:highlight w:val="green"/>
              </w:rPr>
            </w:pPr>
            <w:r w:rsidRPr="0064124D">
              <w:t>Net result for the year</w:t>
            </w:r>
          </w:p>
        </w:tc>
        <w:tc>
          <w:tcPr>
            <w:tcW w:w="876" w:type="dxa"/>
            <w:tcBorders>
              <w:top w:val="single" w:sz="4" w:space="0" w:color="auto"/>
              <w:bottom w:val="single" w:sz="2" w:space="0" w:color="A6A6A6" w:themeColor="accent5"/>
            </w:tcBorders>
          </w:tcPr>
          <w:p w14:paraId="18BC1EC3" w14:textId="77777777" w:rsidR="005B131E" w:rsidRPr="00BA7805" w:rsidRDefault="005B131E" w:rsidP="002542E1">
            <w:pPr>
              <w:pStyle w:val="ARfintablebodyright"/>
              <w:rPr>
                <w:highlight w:val="green"/>
              </w:rPr>
            </w:pPr>
          </w:p>
        </w:tc>
        <w:tc>
          <w:tcPr>
            <w:tcW w:w="1272" w:type="dxa"/>
            <w:tcBorders>
              <w:top w:val="single" w:sz="4" w:space="0" w:color="auto"/>
              <w:bottom w:val="single" w:sz="2" w:space="0" w:color="A6A6A6" w:themeColor="accent5"/>
            </w:tcBorders>
            <w:shd w:val="clear" w:color="auto" w:fill="E7E6E6" w:themeFill="accent4"/>
            <w:noWrap/>
          </w:tcPr>
          <w:p w14:paraId="03F4DB76" w14:textId="77777777" w:rsidR="005B131E" w:rsidRPr="00BA7805" w:rsidRDefault="005B131E" w:rsidP="002542E1">
            <w:pPr>
              <w:pStyle w:val="ARfintablebodyright"/>
              <w:rPr>
                <w:highlight w:val="green"/>
              </w:rPr>
            </w:pPr>
            <w:r>
              <w:t>–</w:t>
            </w:r>
          </w:p>
        </w:tc>
        <w:tc>
          <w:tcPr>
            <w:tcW w:w="1272" w:type="dxa"/>
            <w:tcBorders>
              <w:top w:val="single" w:sz="4" w:space="0" w:color="auto"/>
              <w:bottom w:val="single" w:sz="2" w:space="0" w:color="A6A6A6" w:themeColor="accent5"/>
            </w:tcBorders>
            <w:noWrap/>
          </w:tcPr>
          <w:p w14:paraId="6393EF51" w14:textId="77777777" w:rsidR="005B131E" w:rsidRPr="00BA7805" w:rsidRDefault="005B131E" w:rsidP="002542E1">
            <w:pPr>
              <w:pStyle w:val="ARfintablebodyright"/>
              <w:rPr>
                <w:highlight w:val="green"/>
              </w:rPr>
            </w:pPr>
            <w:r w:rsidRPr="0064124D">
              <w:t>(264.7)</w:t>
            </w:r>
          </w:p>
        </w:tc>
        <w:tc>
          <w:tcPr>
            <w:tcW w:w="1272" w:type="dxa"/>
            <w:tcBorders>
              <w:top w:val="single" w:sz="4" w:space="0" w:color="auto"/>
              <w:bottom w:val="single" w:sz="2" w:space="0" w:color="A6A6A6" w:themeColor="accent5"/>
            </w:tcBorders>
            <w:shd w:val="clear" w:color="auto" w:fill="E7E6E6" w:themeFill="accent4"/>
            <w:noWrap/>
          </w:tcPr>
          <w:p w14:paraId="3D50F222" w14:textId="77777777" w:rsidR="005B131E" w:rsidRPr="00BA7805" w:rsidRDefault="005B131E" w:rsidP="002542E1">
            <w:pPr>
              <w:pStyle w:val="ARfintablebodyright"/>
              <w:rPr>
                <w:highlight w:val="green"/>
              </w:rPr>
            </w:pPr>
            <w:r>
              <w:t>–</w:t>
            </w:r>
          </w:p>
        </w:tc>
        <w:tc>
          <w:tcPr>
            <w:tcW w:w="1272" w:type="dxa"/>
            <w:tcBorders>
              <w:top w:val="single" w:sz="4" w:space="0" w:color="auto"/>
              <w:bottom w:val="single" w:sz="2" w:space="0" w:color="A6A6A6" w:themeColor="accent5"/>
            </w:tcBorders>
            <w:noWrap/>
          </w:tcPr>
          <w:p w14:paraId="6565D7EB" w14:textId="77777777" w:rsidR="005B131E" w:rsidRPr="00BA7805" w:rsidRDefault="005B131E" w:rsidP="002542E1">
            <w:pPr>
              <w:pStyle w:val="ARfintablebodyright"/>
              <w:rPr>
                <w:highlight w:val="green"/>
              </w:rPr>
            </w:pPr>
            <w:r w:rsidRPr="0064124D">
              <w:t>(264.7)</w:t>
            </w:r>
          </w:p>
        </w:tc>
      </w:tr>
      <w:tr w:rsidR="005B131E" w:rsidRPr="00BA7805" w14:paraId="3AD60D2C" w14:textId="77777777" w:rsidTr="002542E1">
        <w:tc>
          <w:tcPr>
            <w:tcW w:w="3680" w:type="dxa"/>
            <w:tcBorders>
              <w:top w:val="single" w:sz="2" w:space="0" w:color="A6A6A6" w:themeColor="accent5"/>
              <w:bottom w:val="single" w:sz="2" w:space="0" w:color="A6A6A6" w:themeColor="accent5"/>
            </w:tcBorders>
          </w:tcPr>
          <w:p w14:paraId="56400894" w14:textId="77777777" w:rsidR="005B131E" w:rsidRPr="00BA7805" w:rsidRDefault="005B131E" w:rsidP="002542E1">
            <w:pPr>
              <w:pStyle w:val="ARfintablebody"/>
              <w:rPr>
                <w:highlight w:val="green"/>
              </w:rPr>
            </w:pPr>
            <w:r w:rsidRPr="0064124D">
              <w:t>Remeasurement of superannuation defined benefit plans</w:t>
            </w:r>
          </w:p>
        </w:tc>
        <w:tc>
          <w:tcPr>
            <w:tcW w:w="876" w:type="dxa"/>
            <w:tcBorders>
              <w:top w:val="single" w:sz="2" w:space="0" w:color="A6A6A6" w:themeColor="accent5"/>
              <w:bottom w:val="single" w:sz="2" w:space="0" w:color="A6A6A6" w:themeColor="accent5"/>
            </w:tcBorders>
            <w:noWrap/>
          </w:tcPr>
          <w:p w14:paraId="7195F4FF" w14:textId="77777777" w:rsidR="005B131E" w:rsidRPr="00BA7805" w:rsidRDefault="005B131E" w:rsidP="002542E1">
            <w:pPr>
              <w:pStyle w:val="ARfintablebodyright"/>
              <w:rPr>
                <w:highlight w:val="green"/>
              </w:rPr>
            </w:pPr>
            <w:r w:rsidRPr="0064124D">
              <w:t>9.4(a)</w:t>
            </w:r>
          </w:p>
        </w:tc>
        <w:tc>
          <w:tcPr>
            <w:tcW w:w="1272" w:type="dxa"/>
            <w:tcBorders>
              <w:top w:val="single" w:sz="2" w:space="0" w:color="A6A6A6" w:themeColor="accent5"/>
              <w:bottom w:val="single" w:sz="2" w:space="0" w:color="A6A6A6" w:themeColor="accent5"/>
            </w:tcBorders>
            <w:shd w:val="clear" w:color="auto" w:fill="E7E6E6" w:themeFill="accent4"/>
            <w:noWrap/>
          </w:tcPr>
          <w:p w14:paraId="20E4D5AC"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05E5E4DB" w14:textId="77777777" w:rsidR="005B131E" w:rsidRPr="00BA7805" w:rsidRDefault="005B131E" w:rsidP="002542E1">
            <w:pPr>
              <w:pStyle w:val="ARfintablebodyright"/>
              <w:rPr>
                <w:highlight w:val="green"/>
              </w:rPr>
            </w:pPr>
            <w:r w:rsidRPr="0064124D">
              <w:t>1.0</w:t>
            </w:r>
          </w:p>
        </w:tc>
        <w:tc>
          <w:tcPr>
            <w:tcW w:w="1272" w:type="dxa"/>
            <w:tcBorders>
              <w:top w:val="single" w:sz="2" w:space="0" w:color="A6A6A6" w:themeColor="accent5"/>
              <w:bottom w:val="single" w:sz="2" w:space="0" w:color="A6A6A6" w:themeColor="accent5"/>
            </w:tcBorders>
            <w:shd w:val="clear" w:color="auto" w:fill="E7E6E6" w:themeFill="accent4"/>
            <w:noWrap/>
          </w:tcPr>
          <w:p w14:paraId="5F894FF7"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31CDAF97" w14:textId="77777777" w:rsidR="005B131E" w:rsidRPr="00BA7805" w:rsidRDefault="005B131E" w:rsidP="002542E1">
            <w:pPr>
              <w:pStyle w:val="ARfintablebodyright"/>
              <w:rPr>
                <w:highlight w:val="green"/>
              </w:rPr>
            </w:pPr>
            <w:r w:rsidRPr="0064124D">
              <w:t>1.0</w:t>
            </w:r>
          </w:p>
        </w:tc>
      </w:tr>
      <w:tr w:rsidR="005B131E" w:rsidRPr="00BA7805" w14:paraId="094B808D" w14:textId="77777777" w:rsidTr="002542E1">
        <w:tc>
          <w:tcPr>
            <w:tcW w:w="3680" w:type="dxa"/>
            <w:tcBorders>
              <w:top w:val="single" w:sz="2" w:space="0" w:color="A6A6A6" w:themeColor="accent5"/>
              <w:bottom w:val="single" w:sz="2" w:space="0" w:color="A6A6A6" w:themeColor="accent5"/>
            </w:tcBorders>
          </w:tcPr>
          <w:p w14:paraId="40C4183E" w14:textId="77777777" w:rsidR="005B131E" w:rsidRPr="00BA7805" w:rsidRDefault="005B131E" w:rsidP="002542E1">
            <w:pPr>
              <w:pStyle w:val="ARfintablebody"/>
              <w:rPr>
                <w:highlight w:val="green"/>
              </w:rPr>
            </w:pPr>
            <w:r w:rsidRPr="0064124D">
              <w:t>Changes in physical asset revaluation</w:t>
            </w:r>
            <w:r>
              <w:t> </w:t>
            </w:r>
            <w:r w:rsidRPr="0064124D">
              <w:t>surplus</w:t>
            </w:r>
          </w:p>
        </w:tc>
        <w:tc>
          <w:tcPr>
            <w:tcW w:w="876" w:type="dxa"/>
            <w:tcBorders>
              <w:top w:val="single" w:sz="2" w:space="0" w:color="A6A6A6" w:themeColor="accent5"/>
              <w:bottom w:val="single" w:sz="2" w:space="0" w:color="A6A6A6" w:themeColor="accent5"/>
            </w:tcBorders>
            <w:noWrap/>
          </w:tcPr>
          <w:p w14:paraId="3DE2D266" w14:textId="77777777" w:rsidR="005B131E" w:rsidRPr="00BA7805" w:rsidRDefault="005B131E" w:rsidP="002542E1">
            <w:pPr>
              <w:pStyle w:val="ARfintablebodyright"/>
              <w:rPr>
                <w:highlight w:val="green"/>
              </w:rPr>
            </w:pPr>
            <w:r w:rsidRPr="0064124D">
              <w:t>9.4(b)</w:t>
            </w:r>
          </w:p>
        </w:tc>
        <w:tc>
          <w:tcPr>
            <w:tcW w:w="1272" w:type="dxa"/>
            <w:tcBorders>
              <w:top w:val="single" w:sz="2" w:space="0" w:color="A6A6A6" w:themeColor="accent5"/>
              <w:bottom w:val="single" w:sz="2" w:space="0" w:color="A6A6A6" w:themeColor="accent5"/>
            </w:tcBorders>
            <w:shd w:val="clear" w:color="auto" w:fill="E7E6E6" w:themeFill="accent4"/>
            <w:noWrap/>
          </w:tcPr>
          <w:p w14:paraId="41AE5EA8" w14:textId="77777777" w:rsidR="005B131E" w:rsidRPr="00BA7805" w:rsidRDefault="005B131E" w:rsidP="002542E1">
            <w:pPr>
              <w:pStyle w:val="ARfintablebodyright"/>
              <w:rPr>
                <w:highlight w:val="green"/>
              </w:rPr>
            </w:pPr>
            <w:r w:rsidRPr="0064124D">
              <w:t>47.7</w:t>
            </w:r>
          </w:p>
        </w:tc>
        <w:tc>
          <w:tcPr>
            <w:tcW w:w="1272" w:type="dxa"/>
            <w:tcBorders>
              <w:top w:val="single" w:sz="2" w:space="0" w:color="A6A6A6" w:themeColor="accent5"/>
              <w:bottom w:val="single" w:sz="2" w:space="0" w:color="A6A6A6" w:themeColor="accent5"/>
            </w:tcBorders>
            <w:noWrap/>
          </w:tcPr>
          <w:p w14:paraId="5972376F"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shd w:val="clear" w:color="auto" w:fill="E7E6E6" w:themeFill="accent4"/>
            <w:noWrap/>
          </w:tcPr>
          <w:p w14:paraId="0DC58674"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6DC3BD8B" w14:textId="77777777" w:rsidR="005B131E" w:rsidRPr="00BA7805" w:rsidRDefault="005B131E" w:rsidP="002542E1">
            <w:pPr>
              <w:pStyle w:val="ARfintablebodyright"/>
              <w:rPr>
                <w:highlight w:val="green"/>
              </w:rPr>
            </w:pPr>
            <w:r w:rsidRPr="0064124D">
              <w:t>47.7</w:t>
            </w:r>
          </w:p>
        </w:tc>
      </w:tr>
      <w:tr w:rsidR="005B131E" w:rsidRPr="00BA7805" w14:paraId="0CD70532" w14:textId="77777777" w:rsidTr="002542E1">
        <w:tc>
          <w:tcPr>
            <w:tcW w:w="3680" w:type="dxa"/>
            <w:tcBorders>
              <w:top w:val="single" w:sz="2" w:space="0" w:color="A6A6A6" w:themeColor="accent5"/>
              <w:bottom w:val="single" w:sz="2" w:space="0" w:color="A6A6A6" w:themeColor="accent5"/>
            </w:tcBorders>
          </w:tcPr>
          <w:p w14:paraId="308F48DC" w14:textId="77777777" w:rsidR="005B131E" w:rsidRPr="00BA7805" w:rsidRDefault="005B131E" w:rsidP="002542E1">
            <w:pPr>
              <w:pStyle w:val="ARfintablebody"/>
              <w:rPr>
                <w:highlight w:val="green"/>
              </w:rPr>
            </w:pPr>
            <w:r w:rsidRPr="0064124D">
              <w:t>Capital contributions by Victorian State Government</w:t>
            </w:r>
          </w:p>
        </w:tc>
        <w:tc>
          <w:tcPr>
            <w:tcW w:w="876" w:type="dxa"/>
            <w:tcBorders>
              <w:top w:val="single" w:sz="2" w:space="0" w:color="A6A6A6" w:themeColor="accent5"/>
              <w:bottom w:val="single" w:sz="2" w:space="0" w:color="A6A6A6" w:themeColor="accent5"/>
            </w:tcBorders>
          </w:tcPr>
          <w:p w14:paraId="03EAFD23" w14:textId="77777777" w:rsidR="005B131E" w:rsidRPr="00BA7805" w:rsidRDefault="005B131E" w:rsidP="002542E1">
            <w:pPr>
              <w:pStyle w:val="ARfintablebodyright"/>
              <w:rPr>
                <w:highlight w:val="green"/>
              </w:rPr>
            </w:pPr>
          </w:p>
        </w:tc>
        <w:tc>
          <w:tcPr>
            <w:tcW w:w="1272" w:type="dxa"/>
            <w:tcBorders>
              <w:top w:val="single" w:sz="2" w:space="0" w:color="A6A6A6" w:themeColor="accent5"/>
              <w:bottom w:val="single" w:sz="2" w:space="0" w:color="A6A6A6" w:themeColor="accent5"/>
            </w:tcBorders>
            <w:shd w:val="clear" w:color="auto" w:fill="E7E6E6" w:themeFill="accent4"/>
            <w:noWrap/>
          </w:tcPr>
          <w:p w14:paraId="68FDD9B1"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6D953B0F"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shd w:val="clear" w:color="auto" w:fill="E7E6E6" w:themeFill="accent4"/>
            <w:noWrap/>
          </w:tcPr>
          <w:p w14:paraId="11078D89" w14:textId="77777777" w:rsidR="005B131E" w:rsidRPr="00BA7805" w:rsidRDefault="005B131E" w:rsidP="002542E1">
            <w:pPr>
              <w:pStyle w:val="ARfintablebodyright"/>
              <w:rPr>
                <w:highlight w:val="green"/>
              </w:rPr>
            </w:pPr>
            <w:r w:rsidRPr="0064124D">
              <w:t>625.5</w:t>
            </w:r>
          </w:p>
        </w:tc>
        <w:tc>
          <w:tcPr>
            <w:tcW w:w="1272" w:type="dxa"/>
            <w:tcBorders>
              <w:top w:val="single" w:sz="2" w:space="0" w:color="A6A6A6" w:themeColor="accent5"/>
              <w:bottom w:val="single" w:sz="2" w:space="0" w:color="A6A6A6" w:themeColor="accent5"/>
            </w:tcBorders>
            <w:noWrap/>
          </w:tcPr>
          <w:p w14:paraId="69CD8793" w14:textId="77777777" w:rsidR="005B131E" w:rsidRPr="00BA7805" w:rsidRDefault="005B131E" w:rsidP="002542E1">
            <w:pPr>
              <w:pStyle w:val="ARfintablebodyright"/>
              <w:rPr>
                <w:highlight w:val="green"/>
              </w:rPr>
            </w:pPr>
            <w:r w:rsidRPr="0064124D">
              <w:t>625.5</w:t>
            </w:r>
          </w:p>
        </w:tc>
      </w:tr>
      <w:tr w:rsidR="005B131E" w:rsidRPr="00BA7805" w14:paraId="52F1E928" w14:textId="77777777" w:rsidTr="002542E1">
        <w:tc>
          <w:tcPr>
            <w:tcW w:w="3680" w:type="dxa"/>
            <w:tcBorders>
              <w:top w:val="single" w:sz="2" w:space="0" w:color="A6A6A6" w:themeColor="accent5"/>
            </w:tcBorders>
          </w:tcPr>
          <w:p w14:paraId="2FEF0D22" w14:textId="77777777" w:rsidR="005B131E" w:rsidRPr="00BA7805" w:rsidRDefault="005B131E" w:rsidP="002542E1">
            <w:pPr>
              <w:pStyle w:val="ARfintablebody"/>
              <w:rPr>
                <w:highlight w:val="green"/>
              </w:rPr>
            </w:pPr>
            <w:r w:rsidRPr="0064124D">
              <w:t>Capital contributed from asset transfers</w:t>
            </w:r>
          </w:p>
        </w:tc>
        <w:tc>
          <w:tcPr>
            <w:tcW w:w="876" w:type="dxa"/>
            <w:tcBorders>
              <w:top w:val="single" w:sz="2" w:space="0" w:color="A6A6A6" w:themeColor="accent5"/>
            </w:tcBorders>
          </w:tcPr>
          <w:p w14:paraId="00D78D26" w14:textId="77777777" w:rsidR="005B131E" w:rsidRPr="00BA7805" w:rsidRDefault="005B131E" w:rsidP="002542E1">
            <w:pPr>
              <w:pStyle w:val="ARfintablebodyright"/>
              <w:rPr>
                <w:highlight w:val="green"/>
              </w:rPr>
            </w:pPr>
          </w:p>
        </w:tc>
        <w:tc>
          <w:tcPr>
            <w:tcW w:w="1272" w:type="dxa"/>
            <w:tcBorders>
              <w:top w:val="single" w:sz="2" w:space="0" w:color="A6A6A6" w:themeColor="accent5"/>
            </w:tcBorders>
            <w:shd w:val="clear" w:color="auto" w:fill="E7E6E6" w:themeFill="accent4"/>
            <w:noWrap/>
          </w:tcPr>
          <w:p w14:paraId="684E9C55"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tcBorders>
            <w:noWrap/>
          </w:tcPr>
          <w:p w14:paraId="2AD04531"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tcBorders>
            <w:shd w:val="clear" w:color="auto" w:fill="E7E6E6" w:themeFill="accent4"/>
            <w:noWrap/>
          </w:tcPr>
          <w:p w14:paraId="12FB45B7" w14:textId="77777777" w:rsidR="005B131E" w:rsidRPr="00BA7805" w:rsidRDefault="005B131E" w:rsidP="002542E1">
            <w:pPr>
              <w:pStyle w:val="ARfintablebodyright"/>
              <w:rPr>
                <w:highlight w:val="green"/>
              </w:rPr>
            </w:pPr>
            <w:r w:rsidRPr="0064124D">
              <w:t>(3.8)</w:t>
            </w:r>
          </w:p>
        </w:tc>
        <w:tc>
          <w:tcPr>
            <w:tcW w:w="1272" w:type="dxa"/>
            <w:tcBorders>
              <w:top w:val="single" w:sz="2" w:space="0" w:color="A6A6A6" w:themeColor="accent5"/>
            </w:tcBorders>
            <w:noWrap/>
          </w:tcPr>
          <w:p w14:paraId="4CAE39F2" w14:textId="77777777" w:rsidR="005B131E" w:rsidRPr="00BA7805" w:rsidRDefault="005B131E" w:rsidP="002542E1">
            <w:pPr>
              <w:pStyle w:val="ARfintablebodyright"/>
              <w:rPr>
                <w:highlight w:val="green"/>
              </w:rPr>
            </w:pPr>
            <w:r w:rsidRPr="0064124D">
              <w:t>(3.8)</w:t>
            </w:r>
          </w:p>
        </w:tc>
      </w:tr>
      <w:tr w:rsidR="005B131E" w:rsidRPr="00BA7805" w14:paraId="192BD208" w14:textId="77777777" w:rsidTr="002542E1">
        <w:tc>
          <w:tcPr>
            <w:tcW w:w="3680" w:type="dxa"/>
            <w:tcBorders>
              <w:bottom w:val="single" w:sz="4" w:space="0" w:color="auto"/>
            </w:tcBorders>
          </w:tcPr>
          <w:p w14:paraId="258A811E" w14:textId="77777777" w:rsidR="005B131E" w:rsidRPr="00BA7805" w:rsidRDefault="005B131E" w:rsidP="002542E1">
            <w:pPr>
              <w:pStyle w:val="ARfintablebodybold"/>
              <w:rPr>
                <w:highlight w:val="green"/>
              </w:rPr>
            </w:pPr>
            <w:r w:rsidRPr="0064124D">
              <w:t>Balance at 30 June 2023</w:t>
            </w:r>
          </w:p>
        </w:tc>
        <w:tc>
          <w:tcPr>
            <w:tcW w:w="876" w:type="dxa"/>
            <w:tcBorders>
              <w:bottom w:val="single" w:sz="4" w:space="0" w:color="auto"/>
            </w:tcBorders>
          </w:tcPr>
          <w:p w14:paraId="4D8830B7" w14:textId="77777777" w:rsidR="005B131E" w:rsidRPr="00BA7805" w:rsidRDefault="005B131E" w:rsidP="002542E1">
            <w:pPr>
              <w:pStyle w:val="ARfintablebodyright"/>
              <w:rPr>
                <w:highlight w:val="green"/>
              </w:rPr>
            </w:pPr>
          </w:p>
        </w:tc>
        <w:tc>
          <w:tcPr>
            <w:tcW w:w="1272" w:type="dxa"/>
            <w:tcBorders>
              <w:bottom w:val="single" w:sz="4" w:space="0" w:color="auto"/>
            </w:tcBorders>
            <w:shd w:val="clear" w:color="auto" w:fill="E7E6E6" w:themeFill="accent4"/>
            <w:noWrap/>
          </w:tcPr>
          <w:p w14:paraId="7CC1CDFE" w14:textId="77777777" w:rsidR="005B131E" w:rsidRPr="00BA7805" w:rsidRDefault="005B131E" w:rsidP="002542E1">
            <w:pPr>
              <w:pStyle w:val="ARfintablebodyrightbold"/>
              <w:rPr>
                <w:highlight w:val="green"/>
              </w:rPr>
            </w:pPr>
            <w:r w:rsidRPr="0064124D">
              <w:t>7,570.5</w:t>
            </w:r>
          </w:p>
        </w:tc>
        <w:tc>
          <w:tcPr>
            <w:tcW w:w="1272" w:type="dxa"/>
            <w:tcBorders>
              <w:bottom w:val="single" w:sz="4" w:space="0" w:color="auto"/>
            </w:tcBorders>
            <w:noWrap/>
          </w:tcPr>
          <w:p w14:paraId="32089098" w14:textId="77777777" w:rsidR="005B131E" w:rsidRPr="00BA7805" w:rsidRDefault="005B131E" w:rsidP="002542E1">
            <w:pPr>
              <w:pStyle w:val="ARfintablebodyrightbold"/>
              <w:rPr>
                <w:highlight w:val="green"/>
              </w:rPr>
            </w:pPr>
            <w:r w:rsidRPr="0064124D">
              <w:t>180.9</w:t>
            </w:r>
          </w:p>
        </w:tc>
        <w:tc>
          <w:tcPr>
            <w:tcW w:w="1272" w:type="dxa"/>
            <w:tcBorders>
              <w:bottom w:val="single" w:sz="4" w:space="0" w:color="auto"/>
            </w:tcBorders>
            <w:shd w:val="clear" w:color="auto" w:fill="E7E6E6" w:themeFill="accent4"/>
            <w:noWrap/>
          </w:tcPr>
          <w:p w14:paraId="0D9FF2DC" w14:textId="77777777" w:rsidR="005B131E" w:rsidRPr="00BA7805" w:rsidRDefault="005B131E" w:rsidP="002542E1">
            <w:pPr>
              <w:pStyle w:val="ARfintablebodyrightbold"/>
              <w:rPr>
                <w:highlight w:val="green"/>
              </w:rPr>
            </w:pPr>
            <w:r w:rsidRPr="0064124D">
              <w:t>29,430.6</w:t>
            </w:r>
          </w:p>
        </w:tc>
        <w:tc>
          <w:tcPr>
            <w:tcW w:w="1272" w:type="dxa"/>
            <w:tcBorders>
              <w:bottom w:val="single" w:sz="4" w:space="0" w:color="auto"/>
            </w:tcBorders>
            <w:noWrap/>
          </w:tcPr>
          <w:p w14:paraId="4C349B04" w14:textId="77777777" w:rsidR="005B131E" w:rsidRPr="00BA7805" w:rsidRDefault="005B131E" w:rsidP="002542E1">
            <w:pPr>
              <w:pStyle w:val="ARfintablebodyrightbold"/>
              <w:rPr>
                <w:highlight w:val="green"/>
              </w:rPr>
            </w:pPr>
            <w:r w:rsidRPr="0064124D">
              <w:t>37,182.0</w:t>
            </w:r>
          </w:p>
        </w:tc>
      </w:tr>
      <w:tr w:rsidR="005B131E" w:rsidRPr="00BA7805" w14:paraId="26D81C69" w14:textId="77777777" w:rsidTr="002542E1">
        <w:tc>
          <w:tcPr>
            <w:tcW w:w="3680" w:type="dxa"/>
            <w:tcBorders>
              <w:top w:val="single" w:sz="4" w:space="0" w:color="auto"/>
              <w:bottom w:val="single" w:sz="2" w:space="0" w:color="A6A6A6" w:themeColor="accent5"/>
            </w:tcBorders>
          </w:tcPr>
          <w:p w14:paraId="41252DC2" w14:textId="77777777" w:rsidR="005B131E" w:rsidRPr="00BA7805" w:rsidRDefault="005B131E" w:rsidP="002542E1">
            <w:pPr>
              <w:pStyle w:val="ARfintablebody"/>
              <w:rPr>
                <w:highlight w:val="green"/>
              </w:rPr>
            </w:pPr>
            <w:r w:rsidRPr="00EC19C6">
              <w:t>Net result for the year</w:t>
            </w:r>
          </w:p>
        </w:tc>
        <w:tc>
          <w:tcPr>
            <w:tcW w:w="876" w:type="dxa"/>
            <w:tcBorders>
              <w:top w:val="single" w:sz="4" w:space="0" w:color="auto"/>
              <w:bottom w:val="single" w:sz="2" w:space="0" w:color="A6A6A6" w:themeColor="accent5"/>
            </w:tcBorders>
          </w:tcPr>
          <w:p w14:paraId="4A5955CD" w14:textId="77777777" w:rsidR="005B131E" w:rsidRPr="00BA7805" w:rsidRDefault="005B131E" w:rsidP="002542E1">
            <w:pPr>
              <w:pStyle w:val="ARfintablebodyright"/>
              <w:rPr>
                <w:highlight w:val="green"/>
              </w:rPr>
            </w:pPr>
          </w:p>
        </w:tc>
        <w:tc>
          <w:tcPr>
            <w:tcW w:w="1272" w:type="dxa"/>
            <w:tcBorders>
              <w:top w:val="single" w:sz="4" w:space="0" w:color="auto"/>
              <w:bottom w:val="single" w:sz="2" w:space="0" w:color="A6A6A6" w:themeColor="accent5"/>
            </w:tcBorders>
            <w:shd w:val="clear" w:color="auto" w:fill="E7E6E6" w:themeFill="accent4"/>
            <w:noWrap/>
          </w:tcPr>
          <w:p w14:paraId="603D69A5" w14:textId="77777777" w:rsidR="005B131E" w:rsidRPr="00BA7805" w:rsidRDefault="005B131E" w:rsidP="002542E1">
            <w:pPr>
              <w:pStyle w:val="ARfintablebodyright"/>
              <w:rPr>
                <w:highlight w:val="green"/>
              </w:rPr>
            </w:pPr>
            <w:r>
              <w:t>–</w:t>
            </w:r>
          </w:p>
        </w:tc>
        <w:tc>
          <w:tcPr>
            <w:tcW w:w="1272" w:type="dxa"/>
            <w:tcBorders>
              <w:top w:val="single" w:sz="4" w:space="0" w:color="auto"/>
              <w:bottom w:val="single" w:sz="2" w:space="0" w:color="A6A6A6" w:themeColor="accent5"/>
            </w:tcBorders>
            <w:noWrap/>
          </w:tcPr>
          <w:p w14:paraId="2F0AC66B" w14:textId="77777777" w:rsidR="005B131E" w:rsidRPr="00BA7805" w:rsidRDefault="005B131E" w:rsidP="002542E1">
            <w:pPr>
              <w:pStyle w:val="ARfintablebodyright"/>
              <w:rPr>
                <w:highlight w:val="green"/>
              </w:rPr>
            </w:pPr>
            <w:r w:rsidRPr="00EC19C6">
              <w:t>(638.4)</w:t>
            </w:r>
          </w:p>
        </w:tc>
        <w:tc>
          <w:tcPr>
            <w:tcW w:w="1272" w:type="dxa"/>
            <w:tcBorders>
              <w:top w:val="single" w:sz="4" w:space="0" w:color="auto"/>
              <w:bottom w:val="single" w:sz="2" w:space="0" w:color="A6A6A6" w:themeColor="accent5"/>
            </w:tcBorders>
            <w:shd w:val="clear" w:color="auto" w:fill="E7E6E6" w:themeFill="accent4"/>
            <w:noWrap/>
          </w:tcPr>
          <w:p w14:paraId="4B6ACACA" w14:textId="77777777" w:rsidR="005B131E" w:rsidRPr="00BA7805" w:rsidRDefault="005B131E" w:rsidP="002542E1">
            <w:pPr>
              <w:pStyle w:val="ARfintablebodyright"/>
              <w:rPr>
                <w:highlight w:val="green"/>
              </w:rPr>
            </w:pPr>
            <w:r>
              <w:t>–</w:t>
            </w:r>
          </w:p>
        </w:tc>
        <w:tc>
          <w:tcPr>
            <w:tcW w:w="1272" w:type="dxa"/>
            <w:tcBorders>
              <w:top w:val="single" w:sz="4" w:space="0" w:color="auto"/>
              <w:bottom w:val="single" w:sz="2" w:space="0" w:color="A6A6A6" w:themeColor="accent5"/>
            </w:tcBorders>
            <w:noWrap/>
          </w:tcPr>
          <w:p w14:paraId="5AF29201" w14:textId="77777777" w:rsidR="005B131E" w:rsidRPr="00BA7805" w:rsidRDefault="005B131E" w:rsidP="002542E1">
            <w:pPr>
              <w:pStyle w:val="ARfintablebodyright"/>
              <w:rPr>
                <w:highlight w:val="green"/>
              </w:rPr>
            </w:pPr>
            <w:r w:rsidRPr="00EC19C6">
              <w:t>(638.4)</w:t>
            </w:r>
          </w:p>
        </w:tc>
      </w:tr>
      <w:tr w:rsidR="005B131E" w:rsidRPr="00BA7805" w14:paraId="62B033FC" w14:textId="77777777" w:rsidTr="002542E1">
        <w:tc>
          <w:tcPr>
            <w:tcW w:w="3680" w:type="dxa"/>
            <w:tcBorders>
              <w:top w:val="single" w:sz="2" w:space="0" w:color="A6A6A6" w:themeColor="accent5"/>
              <w:bottom w:val="single" w:sz="2" w:space="0" w:color="A6A6A6" w:themeColor="accent5"/>
            </w:tcBorders>
          </w:tcPr>
          <w:p w14:paraId="4BC6BF23" w14:textId="77777777" w:rsidR="005B131E" w:rsidRPr="00BA7805" w:rsidRDefault="005B131E" w:rsidP="002542E1">
            <w:pPr>
              <w:pStyle w:val="ARfintablebody"/>
              <w:rPr>
                <w:highlight w:val="green"/>
              </w:rPr>
            </w:pPr>
            <w:r w:rsidRPr="00EC19C6">
              <w:t>Remeasurement of superannuation defined benefit plans</w:t>
            </w:r>
          </w:p>
        </w:tc>
        <w:tc>
          <w:tcPr>
            <w:tcW w:w="876" w:type="dxa"/>
            <w:tcBorders>
              <w:top w:val="single" w:sz="2" w:space="0" w:color="A6A6A6" w:themeColor="accent5"/>
              <w:bottom w:val="single" w:sz="2" w:space="0" w:color="A6A6A6" w:themeColor="accent5"/>
            </w:tcBorders>
            <w:noWrap/>
          </w:tcPr>
          <w:p w14:paraId="229F7723" w14:textId="77777777" w:rsidR="005B131E" w:rsidRPr="00BA7805" w:rsidRDefault="005B131E" w:rsidP="002542E1">
            <w:pPr>
              <w:pStyle w:val="ARfintablebodyright"/>
              <w:rPr>
                <w:highlight w:val="green"/>
              </w:rPr>
            </w:pPr>
            <w:r w:rsidRPr="00EC19C6">
              <w:t>9.4(a)</w:t>
            </w:r>
          </w:p>
        </w:tc>
        <w:tc>
          <w:tcPr>
            <w:tcW w:w="1272" w:type="dxa"/>
            <w:tcBorders>
              <w:top w:val="single" w:sz="2" w:space="0" w:color="A6A6A6" w:themeColor="accent5"/>
              <w:bottom w:val="single" w:sz="2" w:space="0" w:color="A6A6A6" w:themeColor="accent5"/>
            </w:tcBorders>
            <w:shd w:val="clear" w:color="auto" w:fill="E7E6E6" w:themeFill="accent4"/>
            <w:noWrap/>
          </w:tcPr>
          <w:p w14:paraId="5AAA2FE3"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4DFBFDD1" w14:textId="77777777" w:rsidR="005B131E" w:rsidRPr="00BA7805" w:rsidRDefault="005B131E" w:rsidP="002542E1">
            <w:pPr>
              <w:pStyle w:val="ARfintablebodyright"/>
              <w:rPr>
                <w:highlight w:val="green"/>
              </w:rPr>
            </w:pPr>
            <w:r w:rsidRPr="00EC19C6">
              <w:t>2.1</w:t>
            </w:r>
          </w:p>
        </w:tc>
        <w:tc>
          <w:tcPr>
            <w:tcW w:w="1272" w:type="dxa"/>
            <w:tcBorders>
              <w:top w:val="single" w:sz="2" w:space="0" w:color="A6A6A6" w:themeColor="accent5"/>
              <w:bottom w:val="single" w:sz="2" w:space="0" w:color="A6A6A6" w:themeColor="accent5"/>
            </w:tcBorders>
            <w:shd w:val="clear" w:color="auto" w:fill="E7E6E6" w:themeFill="accent4"/>
            <w:noWrap/>
          </w:tcPr>
          <w:p w14:paraId="57451969"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10ECACDC" w14:textId="77777777" w:rsidR="005B131E" w:rsidRPr="00BA7805" w:rsidRDefault="005B131E" w:rsidP="002542E1">
            <w:pPr>
              <w:pStyle w:val="ARfintablebodyright"/>
              <w:rPr>
                <w:highlight w:val="green"/>
              </w:rPr>
            </w:pPr>
            <w:r w:rsidRPr="00EC19C6">
              <w:t>2.1</w:t>
            </w:r>
          </w:p>
        </w:tc>
      </w:tr>
      <w:tr w:rsidR="005B131E" w:rsidRPr="00BA7805" w14:paraId="19D55DDB" w14:textId="77777777" w:rsidTr="002542E1">
        <w:tc>
          <w:tcPr>
            <w:tcW w:w="3680" w:type="dxa"/>
            <w:tcBorders>
              <w:top w:val="single" w:sz="2" w:space="0" w:color="A6A6A6" w:themeColor="accent5"/>
              <w:bottom w:val="single" w:sz="2" w:space="0" w:color="A6A6A6" w:themeColor="accent5"/>
            </w:tcBorders>
          </w:tcPr>
          <w:p w14:paraId="1CC73001" w14:textId="77777777" w:rsidR="005B131E" w:rsidRPr="00BA7805" w:rsidRDefault="005B131E" w:rsidP="002542E1">
            <w:pPr>
              <w:pStyle w:val="ARfintablebody"/>
              <w:rPr>
                <w:highlight w:val="green"/>
              </w:rPr>
            </w:pPr>
            <w:r w:rsidRPr="00EC19C6">
              <w:t>Changes in physical asset revaluation</w:t>
            </w:r>
            <w:r>
              <w:t> </w:t>
            </w:r>
            <w:r w:rsidRPr="00EC19C6">
              <w:t>surplus</w:t>
            </w:r>
          </w:p>
        </w:tc>
        <w:tc>
          <w:tcPr>
            <w:tcW w:w="876" w:type="dxa"/>
            <w:tcBorders>
              <w:top w:val="single" w:sz="2" w:space="0" w:color="A6A6A6" w:themeColor="accent5"/>
              <w:bottom w:val="single" w:sz="2" w:space="0" w:color="A6A6A6" w:themeColor="accent5"/>
            </w:tcBorders>
            <w:noWrap/>
          </w:tcPr>
          <w:p w14:paraId="20894798" w14:textId="77777777" w:rsidR="005B131E" w:rsidRPr="00BA7805" w:rsidRDefault="005B131E" w:rsidP="002542E1">
            <w:pPr>
              <w:pStyle w:val="ARfintablebodyright"/>
              <w:rPr>
                <w:highlight w:val="green"/>
              </w:rPr>
            </w:pPr>
            <w:r w:rsidRPr="00EC19C6">
              <w:t>9.4(b)</w:t>
            </w:r>
          </w:p>
        </w:tc>
        <w:tc>
          <w:tcPr>
            <w:tcW w:w="1272" w:type="dxa"/>
            <w:tcBorders>
              <w:top w:val="single" w:sz="2" w:space="0" w:color="A6A6A6" w:themeColor="accent5"/>
              <w:bottom w:val="single" w:sz="2" w:space="0" w:color="A6A6A6" w:themeColor="accent5"/>
            </w:tcBorders>
            <w:shd w:val="clear" w:color="auto" w:fill="E7E6E6" w:themeFill="accent4"/>
            <w:noWrap/>
          </w:tcPr>
          <w:p w14:paraId="4D8C52A8" w14:textId="77777777" w:rsidR="005B131E" w:rsidRPr="00BA7805" w:rsidRDefault="005B131E" w:rsidP="002542E1">
            <w:pPr>
              <w:pStyle w:val="ARfintablebodyright"/>
              <w:rPr>
                <w:highlight w:val="green"/>
              </w:rPr>
            </w:pPr>
            <w:r w:rsidRPr="00EC19C6">
              <w:t>1,185.7</w:t>
            </w:r>
          </w:p>
        </w:tc>
        <w:tc>
          <w:tcPr>
            <w:tcW w:w="1272" w:type="dxa"/>
            <w:tcBorders>
              <w:top w:val="single" w:sz="2" w:space="0" w:color="A6A6A6" w:themeColor="accent5"/>
              <w:bottom w:val="single" w:sz="2" w:space="0" w:color="A6A6A6" w:themeColor="accent5"/>
            </w:tcBorders>
            <w:noWrap/>
          </w:tcPr>
          <w:p w14:paraId="1B4BD8F7"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shd w:val="clear" w:color="auto" w:fill="E7E6E6" w:themeFill="accent4"/>
            <w:noWrap/>
          </w:tcPr>
          <w:p w14:paraId="47CF3EB7"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74A5DB27" w14:textId="77777777" w:rsidR="005B131E" w:rsidRPr="00BA7805" w:rsidRDefault="005B131E" w:rsidP="002542E1">
            <w:pPr>
              <w:pStyle w:val="ARfintablebodyright"/>
              <w:rPr>
                <w:highlight w:val="green"/>
              </w:rPr>
            </w:pPr>
            <w:r w:rsidRPr="00EC19C6">
              <w:t>1,185.7</w:t>
            </w:r>
          </w:p>
        </w:tc>
      </w:tr>
      <w:tr w:rsidR="005B131E" w:rsidRPr="00BA7805" w14:paraId="005D803F" w14:textId="77777777" w:rsidTr="002542E1">
        <w:tc>
          <w:tcPr>
            <w:tcW w:w="3680" w:type="dxa"/>
            <w:tcBorders>
              <w:top w:val="single" w:sz="2" w:space="0" w:color="A6A6A6" w:themeColor="accent5"/>
              <w:bottom w:val="single" w:sz="2" w:space="0" w:color="A6A6A6" w:themeColor="accent5"/>
            </w:tcBorders>
          </w:tcPr>
          <w:p w14:paraId="297E699C" w14:textId="77777777" w:rsidR="005B131E" w:rsidRPr="00BA7805" w:rsidRDefault="005B131E" w:rsidP="002542E1">
            <w:pPr>
              <w:pStyle w:val="ARfintablebody"/>
              <w:rPr>
                <w:highlight w:val="green"/>
              </w:rPr>
            </w:pPr>
            <w:r w:rsidRPr="00EC19C6">
              <w:t xml:space="preserve">Administrative restructure </w:t>
            </w:r>
            <w:r>
              <w:t>–</w:t>
            </w:r>
            <w:r w:rsidRPr="00EC19C6">
              <w:t xml:space="preserve"> net</w:t>
            </w:r>
            <w:r>
              <w:t> </w:t>
            </w:r>
            <w:r w:rsidRPr="00EC19C6">
              <w:t>assets</w:t>
            </w:r>
            <w:r>
              <w:t> </w:t>
            </w:r>
            <w:r w:rsidRPr="00EC19C6">
              <w:t>transferred</w:t>
            </w:r>
          </w:p>
        </w:tc>
        <w:tc>
          <w:tcPr>
            <w:tcW w:w="876" w:type="dxa"/>
            <w:tcBorders>
              <w:top w:val="single" w:sz="2" w:space="0" w:color="A6A6A6" w:themeColor="accent5"/>
              <w:bottom w:val="single" w:sz="2" w:space="0" w:color="A6A6A6" w:themeColor="accent5"/>
            </w:tcBorders>
          </w:tcPr>
          <w:p w14:paraId="71A65159" w14:textId="77777777" w:rsidR="005B131E" w:rsidRPr="00BA7805" w:rsidRDefault="005B131E" w:rsidP="002542E1">
            <w:pPr>
              <w:pStyle w:val="ARfintablebodyright"/>
              <w:rPr>
                <w:highlight w:val="green"/>
              </w:rPr>
            </w:pPr>
            <w:r w:rsidRPr="00EC19C6">
              <w:t>4.3</w:t>
            </w:r>
          </w:p>
        </w:tc>
        <w:tc>
          <w:tcPr>
            <w:tcW w:w="1272" w:type="dxa"/>
            <w:tcBorders>
              <w:top w:val="single" w:sz="2" w:space="0" w:color="A6A6A6" w:themeColor="accent5"/>
              <w:bottom w:val="single" w:sz="2" w:space="0" w:color="A6A6A6" w:themeColor="accent5"/>
            </w:tcBorders>
            <w:shd w:val="clear" w:color="auto" w:fill="E7E6E6" w:themeFill="accent4"/>
            <w:noWrap/>
          </w:tcPr>
          <w:p w14:paraId="148BAEB5"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noWrap/>
          </w:tcPr>
          <w:p w14:paraId="4DBA1478"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bottom w:val="single" w:sz="2" w:space="0" w:color="A6A6A6" w:themeColor="accent5"/>
            </w:tcBorders>
            <w:shd w:val="clear" w:color="auto" w:fill="E7E6E6" w:themeFill="accent4"/>
            <w:noWrap/>
          </w:tcPr>
          <w:p w14:paraId="76B01AB4" w14:textId="77777777" w:rsidR="005B131E" w:rsidRPr="00BA7805" w:rsidRDefault="005B131E" w:rsidP="002542E1">
            <w:pPr>
              <w:pStyle w:val="ARfintablebodyright"/>
              <w:rPr>
                <w:highlight w:val="green"/>
              </w:rPr>
            </w:pPr>
            <w:r w:rsidRPr="00EC19C6">
              <w:t>(0.9)</w:t>
            </w:r>
          </w:p>
        </w:tc>
        <w:tc>
          <w:tcPr>
            <w:tcW w:w="1272" w:type="dxa"/>
            <w:tcBorders>
              <w:top w:val="single" w:sz="2" w:space="0" w:color="A6A6A6" w:themeColor="accent5"/>
              <w:bottom w:val="single" w:sz="2" w:space="0" w:color="A6A6A6" w:themeColor="accent5"/>
            </w:tcBorders>
            <w:noWrap/>
          </w:tcPr>
          <w:p w14:paraId="5CFD66CC" w14:textId="77777777" w:rsidR="005B131E" w:rsidRPr="00BA7805" w:rsidRDefault="005B131E" w:rsidP="002542E1">
            <w:pPr>
              <w:pStyle w:val="ARfintablebodyright"/>
              <w:rPr>
                <w:highlight w:val="green"/>
              </w:rPr>
            </w:pPr>
            <w:r w:rsidRPr="00EC19C6">
              <w:t>(0.9)</w:t>
            </w:r>
          </w:p>
        </w:tc>
      </w:tr>
      <w:tr w:rsidR="005B131E" w:rsidRPr="00BA7805" w14:paraId="38836FBA" w14:textId="77777777" w:rsidTr="002542E1">
        <w:tc>
          <w:tcPr>
            <w:tcW w:w="3680" w:type="dxa"/>
            <w:tcBorders>
              <w:top w:val="single" w:sz="2" w:space="0" w:color="A6A6A6" w:themeColor="accent5"/>
            </w:tcBorders>
          </w:tcPr>
          <w:p w14:paraId="1E0DA617" w14:textId="77777777" w:rsidR="005B131E" w:rsidRPr="00BA7805" w:rsidRDefault="005B131E" w:rsidP="002542E1">
            <w:pPr>
              <w:pStyle w:val="ARfintablebody"/>
              <w:rPr>
                <w:highlight w:val="green"/>
              </w:rPr>
            </w:pPr>
            <w:r w:rsidRPr="00EC19C6">
              <w:t>Capital contributions by Victorian State</w:t>
            </w:r>
            <w:r>
              <w:t> </w:t>
            </w:r>
            <w:r w:rsidRPr="00EC19C6">
              <w:t>Government</w:t>
            </w:r>
          </w:p>
        </w:tc>
        <w:tc>
          <w:tcPr>
            <w:tcW w:w="876" w:type="dxa"/>
            <w:tcBorders>
              <w:top w:val="single" w:sz="2" w:space="0" w:color="A6A6A6" w:themeColor="accent5"/>
            </w:tcBorders>
          </w:tcPr>
          <w:p w14:paraId="0CA9727D" w14:textId="77777777" w:rsidR="005B131E" w:rsidRPr="00BA7805" w:rsidRDefault="005B131E" w:rsidP="002542E1">
            <w:pPr>
              <w:pStyle w:val="ARfintablebodyright"/>
              <w:rPr>
                <w:highlight w:val="green"/>
              </w:rPr>
            </w:pPr>
          </w:p>
        </w:tc>
        <w:tc>
          <w:tcPr>
            <w:tcW w:w="1272" w:type="dxa"/>
            <w:tcBorders>
              <w:top w:val="single" w:sz="2" w:space="0" w:color="A6A6A6" w:themeColor="accent5"/>
            </w:tcBorders>
            <w:shd w:val="clear" w:color="auto" w:fill="E7E6E6" w:themeFill="accent4"/>
            <w:noWrap/>
          </w:tcPr>
          <w:p w14:paraId="5B99D4C3"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tcBorders>
            <w:noWrap/>
          </w:tcPr>
          <w:p w14:paraId="37843540" w14:textId="77777777" w:rsidR="005B131E" w:rsidRPr="00BA7805" w:rsidRDefault="005B131E" w:rsidP="002542E1">
            <w:pPr>
              <w:pStyle w:val="ARfintablebodyright"/>
              <w:rPr>
                <w:highlight w:val="green"/>
              </w:rPr>
            </w:pPr>
            <w:r>
              <w:t>–</w:t>
            </w:r>
          </w:p>
        </w:tc>
        <w:tc>
          <w:tcPr>
            <w:tcW w:w="1272" w:type="dxa"/>
            <w:tcBorders>
              <w:top w:val="single" w:sz="2" w:space="0" w:color="A6A6A6" w:themeColor="accent5"/>
            </w:tcBorders>
            <w:shd w:val="clear" w:color="auto" w:fill="E7E6E6" w:themeFill="accent4"/>
            <w:noWrap/>
          </w:tcPr>
          <w:p w14:paraId="65FBAE1E" w14:textId="77777777" w:rsidR="005B131E" w:rsidRPr="00BA7805" w:rsidRDefault="005B131E" w:rsidP="002542E1">
            <w:pPr>
              <w:pStyle w:val="ARfintablebodyright"/>
              <w:rPr>
                <w:highlight w:val="green"/>
              </w:rPr>
            </w:pPr>
            <w:r w:rsidRPr="00EC19C6">
              <w:t>832.2</w:t>
            </w:r>
          </w:p>
        </w:tc>
        <w:tc>
          <w:tcPr>
            <w:tcW w:w="1272" w:type="dxa"/>
            <w:tcBorders>
              <w:top w:val="single" w:sz="2" w:space="0" w:color="A6A6A6" w:themeColor="accent5"/>
            </w:tcBorders>
            <w:noWrap/>
          </w:tcPr>
          <w:p w14:paraId="035394E3" w14:textId="77777777" w:rsidR="005B131E" w:rsidRPr="00BA7805" w:rsidRDefault="005B131E" w:rsidP="002542E1">
            <w:pPr>
              <w:pStyle w:val="ARfintablebodyright"/>
              <w:rPr>
                <w:highlight w:val="green"/>
              </w:rPr>
            </w:pPr>
            <w:r w:rsidRPr="00EC19C6">
              <w:t>832.2</w:t>
            </w:r>
          </w:p>
        </w:tc>
      </w:tr>
      <w:tr w:rsidR="005B131E" w:rsidRPr="0011706E" w14:paraId="291FD8FD" w14:textId="77777777" w:rsidTr="002542E1">
        <w:tc>
          <w:tcPr>
            <w:tcW w:w="3680" w:type="dxa"/>
          </w:tcPr>
          <w:p w14:paraId="2562134F" w14:textId="77777777" w:rsidR="005B131E" w:rsidRPr="007B24B9" w:rsidRDefault="005B131E" w:rsidP="002542E1">
            <w:pPr>
              <w:pStyle w:val="ARfintablebodybold"/>
              <w:rPr>
                <w:b w:val="0"/>
                <w:bCs w:val="0"/>
                <w:highlight w:val="green"/>
              </w:rPr>
            </w:pPr>
            <w:r w:rsidRPr="007B24B9">
              <w:rPr>
                <w:b w:val="0"/>
                <w:bCs w:val="0"/>
              </w:rPr>
              <w:t>Capital contributed from asset transfers</w:t>
            </w:r>
          </w:p>
        </w:tc>
        <w:tc>
          <w:tcPr>
            <w:tcW w:w="876" w:type="dxa"/>
          </w:tcPr>
          <w:p w14:paraId="3E8B74EC" w14:textId="77777777" w:rsidR="005B131E" w:rsidRPr="0011706E" w:rsidRDefault="005B131E" w:rsidP="002542E1">
            <w:pPr>
              <w:pStyle w:val="ARfintablebodyright"/>
              <w:rPr>
                <w:highlight w:val="green"/>
              </w:rPr>
            </w:pPr>
          </w:p>
        </w:tc>
        <w:tc>
          <w:tcPr>
            <w:tcW w:w="1272" w:type="dxa"/>
            <w:shd w:val="clear" w:color="auto" w:fill="E7E6E6" w:themeFill="accent4"/>
            <w:noWrap/>
          </w:tcPr>
          <w:p w14:paraId="0711568F" w14:textId="77777777" w:rsidR="005B131E" w:rsidRPr="007B24B9" w:rsidRDefault="005B131E" w:rsidP="002542E1">
            <w:pPr>
              <w:pStyle w:val="ARfintablebodyrightbold"/>
              <w:rPr>
                <w:b w:val="0"/>
                <w:highlight w:val="green"/>
              </w:rPr>
            </w:pPr>
            <w:r w:rsidRPr="007B24B9">
              <w:rPr>
                <w:b w:val="0"/>
              </w:rPr>
              <w:t>–</w:t>
            </w:r>
          </w:p>
        </w:tc>
        <w:tc>
          <w:tcPr>
            <w:tcW w:w="1272" w:type="dxa"/>
            <w:noWrap/>
          </w:tcPr>
          <w:p w14:paraId="3F3250BD" w14:textId="77777777" w:rsidR="005B131E" w:rsidRPr="007B24B9" w:rsidRDefault="005B131E" w:rsidP="002542E1">
            <w:pPr>
              <w:pStyle w:val="ARfintablebodyrightbold"/>
              <w:rPr>
                <w:b w:val="0"/>
                <w:highlight w:val="green"/>
              </w:rPr>
            </w:pPr>
            <w:r w:rsidRPr="007B24B9">
              <w:rPr>
                <w:b w:val="0"/>
              </w:rPr>
              <w:t>–</w:t>
            </w:r>
          </w:p>
        </w:tc>
        <w:tc>
          <w:tcPr>
            <w:tcW w:w="1272" w:type="dxa"/>
            <w:shd w:val="clear" w:color="auto" w:fill="E7E6E6" w:themeFill="accent4"/>
            <w:noWrap/>
          </w:tcPr>
          <w:p w14:paraId="0850439F" w14:textId="77777777" w:rsidR="005B131E" w:rsidRPr="007B24B9" w:rsidRDefault="005B131E" w:rsidP="002542E1">
            <w:pPr>
              <w:pStyle w:val="ARfintablebodyrightbold"/>
              <w:rPr>
                <w:b w:val="0"/>
                <w:highlight w:val="green"/>
              </w:rPr>
            </w:pPr>
            <w:r w:rsidRPr="007B24B9">
              <w:rPr>
                <w:b w:val="0"/>
              </w:rPr>
              <w:t>(0.4)</w:t>
            </w:r>
          </w:p>
        </w:tc>
        <w:tc>
          <w:tcPr>
            <w:tcW w:w="1272" w:type="dxa"/>
            <w:noWrap/>
          </w:tcPr>
          <w:p w14:paraId="0A3EDFE4" w14:textId="77777777" w:rsidR="005B131E" w:rsidRPr="007B24B9" w:rsidRDefault="005B131E" w:rsidP="002542E1">
            <w:pPr>
              <w:pStyle w:val="ARfintablebodyrightbold"/>
              <w:rPr>
                <w:b w:val="0"/>
                <w:highlight w:val="green"/>
              </w:rPr>
            </w:pPr>
            <w:r w:rsidRPr="007B24B9">
              <w:rPr>
                <w:b w:val="0"/>
              </w:rPr>
              <w:t>(0.4)</w:t>
            </w:r>
          </w:p>
        </w:tc>
      </w:tr>
      <w:tr w:rsidR="005B131E" w:rsidRPr="0011706E" w14:paraId="1ADB7A70" w14:textId="77777777" w:rsidTr="002542E1">
        <w:tc>
          <w:tcPr>
            <w:tcW w:w="3680" w:type="dxa"/>
            <w:shd w:val="clear" w:color="auto" w:fill="auto"/>
          </w:tcPr>
          <w:p w14:paraId="45D42D5D" w14:textId="77777777" w:rsidR="005B131E" w:rsidRPr="00FA62EE" w:rsidRDefault="005B131E" w:rsidP="002542E1">
            <w:pPr>
              <w:pStyle w:val="ARfintablebody"/>
              <w:rPr>
                <w:b/>
                <w:bCs/>
                <w:highlight w:val="green"/>
              </w:rPr>
            </w:pPr>
            <w:r w:rsidRPr="00FA62EE">
              <w:rPr>
                <w:b/>
                <w:bCs/>
              </w:rPr>
              <w:t>Balance at 30 Jun 2024</w:t>
            </w:r>
          </w:p>
        </w:tc>
        <w:tc>
          <w:tcPr>
            <w:tcW w:w="876" w:type="dxa"/>
            <w:shd w:val="clear" w:color="auto" w:fill="auto"/>
            <w:noWrap/>
          </w:tcPr>
          <w:p w14:paraId="77DD1F40" w14:textId="77777777" w:rsidR="005B131E" w:rsidRPr="00FA62EE" w:rsidRDefault="005B131E" w:rsidP="002542E1">
            <w:pPr>
              <w:pStyle w:val="ARfintablebodyright"/>
              <w:rPr>
                <w:b/>
                <w:bCs/>
              </w:rPr>
            </w:pPr>
          </w:p>
        </w:tc>
        <w:tc>
          <w:tcPr>
            <w:tcW w:w="1272" w:type="dxa"/>
            <w:shd w:val="clear" w:color="auto" w:fill="auto"/>
            <w:noWrap/>
          </w:tcPr>
          <w:p w14:paraId="7904CB9D" w14:textId="77777777" w:rsidR="005B131E" w:rsidRPr="00167567" w:rsidRDefault="005B131E" w:rsidP="002542E1">
            <w:pPr>
              <w:pStyle w:val="ARfintablebodyright"/>
              <w:rPr>
                <w:b/>
                <w:bCs/>
              </w:rPr>
            </w:pPr>
            <w:r w:rsidRPr="00FA62EE">
              <w:rPr>
                <w:b/>
                <w:bCs/>
              </w:rPr>
              <w:t xml:space="preserve"> 8,756.2</w:t>
            </w:r>
          </w:p>
        </w:tc>
        <w:tc>
          <w:tcPr>
            <w:tcW w:w="1272" w:type="dxa"/>
            <w:shd w:val="clear" w:color="auto" w:fill="auto"/>
            <w:noWrap/>
          </w:tcPr>
          <w:p w14:paraId="48043F7E" w14:textId="77777777" w:rsidR="005B131E" w:rsidRPr="00167567" w:rsidRDefault="005B131E" w:rsidP="002542E1">
            <w:pPr>
              <w:pStyle w:val="ARfintablebodyright"/>
              <w:rPr>
                <w:b/>
                <w:bCs/>
              </w:rPr>
            </w:pPr>
            <w:r w:rsidRPr="00EF6879">
              <w:rPr>
                <w:b/>
                <w:bCs/>
              </w:rPr>
              <w:t>(455.4)</w:t>
            </w:r>
          </w:p>
        </w:tc>
        <w:tc>
          <w:tcPr>
            <w:tcW w:w="1272" w:type="dxa"/>
            <w:shd w:val="clear" w:color="auto" w:fill="auto"/>
            <w:noWrap/>
          </w:tcPr>
          <w:p w14:paraId="6604AF8B" w14:textId="77777777" w:rsidR="005B131E" w:rsidRPr="00167567" w:rsidRDefault="005B131E" w:rsidP="002542E1">
            <w:pPr>
              <w:pStyle w:val="ARfintablebodyright"/>
              <w:rPr>
                <w:b/>
                <w:bCs/>
              </w:rPr>
            </w:pPr>
            <w:r w:rsidRPr="00EF6879">
              <w:rPr>
                <w:b/>
                <w:bCs/>
              </w:rPr>
              <w:t>30,261.5</w:t>
            </w:r>
          </w:p>
        </w:tc>
        <w:tc>
          <w:tcPr>
            <w:tcW w:w="1272" w:type="dxa"/>
            <w:shd w:val="clear" w:color="auto" w:fill="auto"/>
          </w:tcPr>
          <w:p w14:paraId="5CCF617A" w14:textId="77777777" w:rsidR="005B131E" w:rsidRPr="00167567" w:rsidRDefault="005B131E" w:rsidP="002542E1">
            <w:pPr>
              <w:pStyle w:val="ARfintablebodyright"/>
              <w:rPr>
                <w:b/>
                <w:bCs/>
              </w:rPr>
            </w:pPr>
            <w:r w:rsidRPr="00EF6879">
              <w:rPr>
                <w:b/>
                <w:bCs/>
              </w:rPr>
              <w:t>38,562.3</w:t>
            </w:r>
          </w:p>
        </w:tc>
      </w:tr>
    </w:tbl>
    <w:p w14:paraId="70F4CA7D" w14:textId="77777777" w:rsidR="005B131E" w:rsidRPr="00BA7805" w:rsidRDefault="005B131E" w:rsidP="002542E1">
      <w:pPr>
        <w:pStyle w:val="ARfintablefootnote"/>
        <w:rPr>
          <w:highlight w:val="green"/>
          <w:lang w:eastAsia="en-AU"/>
        </w:rPr>
      </w:pPr>
      <w:r w:rsidRPr="001F7C36">
        <w:rPr>
          <w:lang w:eastAsia="en-AU"/>
        </w:rPr>
        <w:t>The statement of changes in equity should be read in conjunction with the notes to the financial statements.</w:t>
      </w:r>
    </w:p>
    <w:p w14:paraId="7A091943" w14:textId="77777777" w:rsidR="005B131E" w:rsidRPr="00BA7805" w:rsidRDefault="005B131E" w:rsidP="005C7C7D">
      <w:pPr>
        <w:pStyle w:val="ARbody"/>
        <w:rPr>
          <w:highlight w:val="green"/>
        </w:rPr>
      </w:pPr>
      <w:r w:rsidRPr="00BA7805">
        <w:rPr>
          <w:highlight w:val="green"/>
        </w:rPr>
        <w:br w:type="page"/>
      </w:r>
    </w:p>
    <w:p w14:paraId="4A1B2948" w14:textId="77777777" w:rsidR="005B131E" w:rsidRPr="008C5713" w:rsidRDefault="005B131E" w:rsidP="002542E1">
      <w:pPr>
        <w:pStyle w:val="Heading2Financials"/>
        <w:rPr>
          <w:lang w:eastAsia="en-AU"/>
        </w:rPr>
      </w:pPr>
      <w:bookmarkStart w:id="264" w:name="_Toc181101545"/>
      <w:r w:rsidRPr="00227A29">
        <w:rPr>
          <w:lang w:eastAsia="en-AU"/>
        </w:rPr>
        <w:t>Notes to and forming part of the financial statements for the financial year ended 30 June 202</w:t>
      </w:r>
      <w:r>
        <w:rPr>
          <w:lang w:eastAsia="en-AU"/>
        </w:rPr>
        <w:t>4</w:t>
      </w:r>
      <w:bookmarkEnd w:id="264"/>
    </w:p>
    <w:p w14:paraId="0F0B986F" w14:textId="77777777" w:rsidR="005B131E" w:rsidRDefault="005B131E" w:rsidP="002542E1">
      <w:pPr>
        <w:pStyle w:val="Heading3"/>
      </w:pPr>
      <w:bookmarkStart w:id="265" w:name="_Ref178241003"/>
      <w:bookmarkStart w:id="266" w:name="_Toc181101546"/>
      <w:r>
        <w:t>1. About this report</w:t>
      </w:r>
      <w:bookmarkEnd w:id="265"/>
      <w:bookmarkEnd w:id="266"/>
    </w:p>
    <w:p w14:paraId="4AE395AB" w14:textId="77777777" w:rsidR="005B131E" w:rsidRDefault="005B131E" w:rsidP="002542E1">
      <w:pPr>
        <w:pStyle w:val="ARfinbody"/>
      </w:pPr>
      <w:r>
        <w:t xml:space="preserve">The Department of Families, Fairness and Housing (the department) was established on 1 February 2021 as a government department of the State of Victoria, pursuant to an order made by the Premier under the </w:t>
      </w:r>
      <w:r w:rsidRPr="009E0C71">
        <w:rPr>
          <w:rStyle w:val="Emphasis"/>
        </w:rPr>
        <w:t>Public</w:t>
      </w:r>
      <w:r>
        <w:rPr>
          <w:rStyle w:val="Emphasis"/>
        </w:rPr>
        <w:t> </w:t>
      </w:r>
      <w:r w:rsidRPr="009E0C71">
        <w:rPr>
          <w:rStyle w:val="Emphasis"/>
        </w:rPr>
        <w:t>Administration Act 2004</w:t>
      </w:r>
      <w:r>
        <w:t>. It is an administrative agency acting on behalf of the Crown.</w:t>
      </w:r>
    </w:p>
    <w:p w14:paraId="17F19591" w14:textId="77777777" w:rsidR="005B131E" w:rsidRDefault="005B131E" w:rsidP="002542E1">
      <w:pPr>
        <w:pStyle w:val="ARfinbody"/>
      </w:pPr>
      <w:r>
        <w:t xml:space="preserve">Its principal address is: </w:t>
      </w:r>
    </w:p>
    <w:p w14:paraId="2A03AA5A" w14:textId="77777777" w:rsidR="005B131E" w:rsidRDefault="005B131E" w:rsidP="002542E1">
      <w:pPr>
        <w:pStyle w:val="ARfinbodynospace"/>
      </w:pPr>
      <w:r>
        <w:t>Department of Families, Fairness and Housing</w:t>
      </w:r>
    </w:p>
    <w:p w14:paraId="69AB0DE4" w14:textId="77777777" w:rsidR="005B131E" w:rsidRDefault="005B131E" w:rsidP="002542E1">
      <w:pPr>
        <w:pStyle w:val="ARfinbodynospace"/>
      </w:pPr>
      <w:r>
        <w:t>50 Lonsdale Street</w:t>
      </w:r>
    </w:p>
    <w:p w14:paraId="6240E3CE" w14:textId="77777777" w:rsidR="005B131E" w:rsidRDefault="005B131E" w:rsidP="002542E1">
      <w:pPr>
        <w:pStyle w:val="ARfinbody"/>
      </w:pPr>
      <w:r>
        <w:t>Melbourne VIC 3000</w:t>
      </w:r>
    </w:p>
    <w:p w14:paraId="6E7038F7" w14:textId="77777777" w:rsidR="005B131E" w:rsidRDefault="005B131E" w:rsidP="002542E1">
      <w:pPr>
        <w:pStyle w:val="ARfinbody"/>
      </w:pPr>
      <w:r>
        <w:t>A description of the nature of its operations and its principal activities is included in the report of operations, which does not form part of these financial statements.</w:t>
      </w:r>
    </w:p>
    <w:p w14:paraId="6246417B" w14:textId="77777777" w:rsidR="005B131E" w:rsidRDefault="005B131E" w:rsidP="002542E1">
      <w:pPr>
        <w:pStyle w:val="Heading4"/>
      </w:pPr>
      <w:bookmarkStart w:id="267" w:name="_Ref178664838"/>
      <w:r>
        <w:t>Basis of preparation</w:t>
      </w:r>
      <w:bookmarkEnd w:id="267"/>
    </w:p>
    <w:p w14:paraId="3C4AFF4C" w14:textId="77777777" w:rsidR="005B131E" w:rsidRDefault="005B131E" w:rsidP="002542E1">
      <w:pPr>
        <w:pStyle w:val="ARfinbody"/>
      </w:pPr>
      <w:r>
        <w:t>These financial statements cover the Department of Families, Fairness and Housing as an individual reporting entity and include all controlled activities of the department.</w:t>
      </w:r>
    </w:p>
    <w:p w14:paraId="2430EADE" w14:textId="7B6C6599" w:rsidR="005B131E" w:rsidRDefault="005B131E" w:rsidP="002542E1">
      <w:pPr>
        <w:pStyle w:val="ARfinbody"/>
      </w:pPr>
      <w:r>
        <w:t>Where control of an entity is obtained during the financial year, its results are included in the comprehensive operating statement from the date on which control commenced. Where control ceases during the financial year, the entity</w:t>
      </w:r>
      <w:r w:rsidR="00711AE6">
        <w:t>’</w:t>
      </w:r>
      <w:r>
        <w:t xml:space="preserve">s results are included for that part of the period in which control existed. Where entities adopt dissimilar accounting policies and their effect is considered material, adjustments are made to ensure consistent policies are adopted in these financial statements. There were no new entities for which </w:t>
      </w:r>
      <w:r w:rsidR="00C41E2B">
        <w:t xml:space="preserve">the department </w:t>
      </w:r>
      <w:r>
        <w:t>obtained control over in 2023–24.</w:t>
      </w:r>
    </w:p>
    <w:p w14:paraId="03AEFB7A" w14:textId="088291E6" w:rsidR="005B131E" w:rsidRDefault="005B131E" w:rsidP="002542E1">
      <w:pPr>
        <w:pStyle w:val="ARfinbody"/>
      </w:pPr>
      <w:r>
        <w:t xml:space="preserve">Furthermore, in accordance with determinations made by the Assistant Treasurer under s. 53(1)(b) of the </w:t>
      </w:r>
      <w:r w:rsidRPr="008C781B">
        <w:rPr>
          <w:rStyle w:val="Emphasis"/>
        </w:rPr>
        <w:t>Financial Management Act 1994</w:t>
      </w:r>
      <w:r>
        <w:t xml:space="preserve"> (FMA) the Department of Families, Fairness and Housing</w:t>
      </w:r>
      <w:r w:rsidR="00711AE6">
        <w:t>’</w:t>
      </w:r>
      <w:r>
        <w:t xml:space="preserve">s financial statements also include the financial information of the following entities: </w:t>
      </w:r>
    </w:p>
    <w:p w14:paraId="6AF22CF7" w14:textId="77777777" w:rsidR="005B131E" w:rsidRDefault="005B131E" w:rsidP="002542E1">
      <w:pPr>
        <w:pStyle w:val="ARfinbullet1"/>
      </w:pPr>
      <w:r>
        <w:t xml:space="preserve">Homes Victoria </w:t>
      </w:r>
    </w:p>
    <w:p w14:paraId="67B40207" w14:textId="77777777" w:rsidR="005B131E" w:rsidRDefault="005B131E" w:rsidP="002542E1">
      <w:pPr>
        <w:pStyle w:val="ARfinbullet1"/>
      </w:pPr>
      <w:r>
        <w:t xml:space="preserve">Commission for Children and Young People </w:t>
      </w:r>
    </w:p>
    <w:p w14:paraId="7FBEC1F2" w14:textId="77777777" w:rsidR="005B131E" w:rsidRDefault="005B131E" w:rsidP="002542E1">
      <w:pPr>
        <w:pStyle w:val="ARfinbullet1"/>
      </w:pPr>
      <w:r>
        <w:t xml:space="preserve">Disability Worker Registration Board </w:t>
      </w:r>
    </w:p>
    <w:p w14:paraId="54236756" w14:textId="77777777" w:rsidR="005B131E" w:rsidRDefault="005B131E" w:rsidP="002542E1">
      <w:pPr>
        <w:pStyle w:val="ARfinbullet1"/>
      </w:pPr>
      <w:r>
        <w:t xml:space="preserve">Victorian Disability Worker Commission </w:t>
      </w:r>
    </w:p>
    <w:p w14:paraId="6D4022FC" w14:textId="77777777" w:rsidR="005B131E" w:rsidRDefault="005B131E" w:rsidP="002542E1">
      <w:pPr>
        <w:pStyle w:val="ARfinbullet1"/>
      </w:pPr>
      <w:r>
        <w:t xml:space="preserve">Respect Victoria </w:t>
      </w:r>
    </w:p>
    <w:p w14:paraId="508B0818" w14:textId="77777777" w:rsidR="005B131E" w:rsidRDefault="005B131E" w:rsidP="002542E1">
      <w:pPr>
        <w:pStyle w:val="ARfinbullet1"/>
      </w:pPr>
      <w:r>
        <w:t>Victorian Multicultural Commission</w:t>
      </w:r>
    </w:p>
    <w:p w14:paraId="00C265F3" w14:textId="1423ED03" w:rsidR="005B131E" w:rsidRDefault="005B131E" w:rsidP="002542E1">
      <w:pPr>
        <w:pStyle w:val="ARfinbullet1"/>
      </w:pPr>
      <w:r>
        <w:t>Victorian Veterans Council</w:t>
      </w:r>
      <w:r w:rsidR="00F96017">
        <w:t>.</w:t>
      </w:r>
    </w:p>
    <w:p w14:paraId="3CCDDDF7" w14:textId="4148585E" w:rsidR="005B131E" w:rsidRDefault="005B131E" w:rsidP="002542E1">
      <w:pPr>
        <w:pStyle w:val="ARfinbody"/>
      </w:pPr>
      <w:r>
        <w:t>These entities are reported in aggregate even though they are not controlled by the department. The Victorian Multicultural Commission was transferred from the Department of Families, Fairness and Housing to the Department of Premier and Cabinet effective from 1 February 2024 as part of Machinery of Government changes. Where control ceases during a financial period, the entity</w:t>
      </w:r>
      <w:r w:rsidR="00711AE6">
        <w:t>’</w:t>
      </w:r>
      <w:r>
        <w:t>s results are included for that part of the period in which control existed. Please refer to Note 4.3 Restructuring of administrative arrangements.</w:t>
      </w:r>
    </w:p>
    <w:p w14:paraId="40C91989" w14:textId="77777777" w:rsidR="005B131E" w:rsidRDefault="005B131E" w:rsidP="002542E1">
      <w:pPr>
        <w:pStyle w:val="ARfinbody"/>
      </w:pPr>
      <w:r>
        <w:t>In preparing financial statements for the department, all material transactions and balances between the above entities are eliminated.</w:t>
      </w:r>
    </w:p>
    <w:p w14:paraId="7DE562AD" w14:textId="77777777" w:rsidR="005B131E" w:rsidRDefault="005B131E" w:rsidP="002542E1">
      <w:pPr>
        <w:pStyle w:val="ARfinbody"/>
      </w:pPr>
      <w:r>
        <w:t>These financial statements are presented in Australian dollars and the historical cost convention is used unless a different measurement basis is specifically disclosed in the note associated with the item measured on a different basis.</w:t>
      </w:r>
    </w:p>
    <w:p w14:paraId="640772BE" w14:textId="77777777" w:rsidR="005B131E" w:rsidRDefault="005B131E" w:rsidP="002542E1">
      <w:pPr>
        <w:pStyle w:val="ARfinbody"/>
      </w:pPr>
      <w:r>
        <w:t>The accrual basis of accounting has been applied in the preparation of these financial statements, except for cash flow information, whereby assets, liabilities, equity, income and expenses are recognised in the reporting period to which they relate, regardless of when cash is received or paid.</w:t>
      </w:r>
    </w:p>
    <w:p w14:paraId="0CC9D272" w14:textId="77777777" w:rsidR="005B131E" w:rsidRDefault="005B131E" w:rsidP="002542E1">
      <w:pPr>
        <w:pStyle w:val="ARfinbody"/>
      </w:pPr>
      <w:r>
        <w:t xml:space="preserve">Consistent with the requirements of Australian Accounting Standards Board (AASB) 1004 </w:t>
      </w:r>
      <w:r w:rsidRPr="006914C3">
        <w:rPr>
          <w:rStyle w:val="Emphasis"/>
        </w:rPr>
        <w:t>Contributions</w:t>
      </w:r>
      <w:r>
        <w:t>, contributions by owners (that is, contributed capital and its repayment) are treated as equity transactions and, therefore, do not form part of the income and expenses of the department.</w:t>
      </w:r>
    </w:p>
    <w:p w14:paraId="359B16B6" w14:textId="77777777" w:rsidR="005B131E" w:rsidRDefault="005B131E" w:rsidP="002542E1">
      <w:pPr>
        <w:pStyle w:val="ARfinbody"/>
      </w:pPr>
      <w:r>
        <w:t>Additions to net assets which have been designated as contributions by owners are recognised as contributed capital. Other transfers that are in the nature of contributions to or distributions by owners have also been designated as contributions by owners.</w:t>
      </w:r>
    </w:p>
    <w:p w14:paraId="19C31FE8" w14:textId="77777777" w:rsidR="005B131E" w:rsidRDefault="005B131E" w:rsidP="002542E1">
      <w:pPr>
        <w:pStyle w:val="ARfinbody"/>
      </w:pPr>
      <w:r>
        <w:t>Transfers of net assets arising from administrative restructures are treated as distributions to or contributions by owners. Transfers of net liabilities arising from administrative restructures are treated as distributions to owners.</w:t>
      </w:r>
    </w:p>
    <w:p w14:paraId="6DABCE50" w14:textId="77777777" w:rsidR="005B131E" w:rsidRDefault="005B131E" w:rsidP="002542E1">
      <w:pPr>
        <w:pStyle w:val="ARfinbody"/>
      </w:pPr>
      <w:r>
        <w:t>Judgements, estimates and assumptions are required to be made about the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7316B464" w14:textId="75B09788" w:rsidR="005B131E" w:rsidRDefault="005B131E" w:rsidP="002542E1">
      <w:pPr>
        <w:pStyle w:val="ARfinbody"/>
      </w:pPr>
      <w:r>
        <w:t xml:space="preserve">Revisions to accounting estimates are recognised in the period in which the estimate is revised and also in future periods that are affected by the revision. Judgements and assumptions made by management in applying Australian Accounting Standards (AAS) that have significant effect on the financial statements and estimates are disclosed in the Note 8.3 </w:t>
      </w:r>
      <w:r w:rsidR="00711AE6">
        <w:t>‘</w:t>
      </w:r>
      <w:r>
        <w:t>Fair value determination</w:t>
      </w:r>
      <w:r w:rsidR="00711AE6">
        <w:t>’</w:t>
      </w:r>
      <w:r>
        <w:t xml:space="preserve"> and Note 7.5.2 </w:t>
      </w:r>
      <w:r w:rsidR="00711AE6">
        <w:t>‘</w:t>
      </w:r>
      <w:r>
        <w:t>Service concession arrangements commitments</w:t>
      </w:r>
      <w:r w:rsidR="00711AE6">
        <w:t>’</w:t>
      </w:r>
      <w:r>
        <w:t xml:space="preserve"> under the heading </w:t>
      </w:r>
      <w:r w:rsidR="00711AE6">
        <w:t>‘</w:t>
      </w:r>
      <w:r>
        <w:t>Significant judgement</w:t>
      </w:r>
      <w:r w:rsidR="00711AE6">
        <w:t>’</w:t>
      </w:r>
      <w:r>
        <w:t>.</w:t>
      </w:r>
    </w:p>
    <w:p w14:paraId="49135EBB" w14:textId="77777777" w:rsidR="005B131E" w:rsidRDefault="005B131E" w:rsidP="002542E1">
      <w:pPr>
        <w:pStyle w:val="ARfinbody"/>
      </w:pPr>
      <w:r>
        <w:t>The financial statements have been prepared on a going-concern basis.</w:t>
      </w:r>
    </w:p>
    <w:p w14:paraId="07261643" w14:textId="77777777" w:rsidR="005B131E" w:rsidRDefault="005B131E" w:rsidP="002542E1">
      <w:pPr>
        <w:pStyle w:val="ARfinbody"/>
      </w:pPr>
      <w:r>
        <w:t>All amounts in the financial statements have been rounded to the nearest $1 million unless otherwise stated.</w:t>
      </w:r>
    </w:p>
    <w:p w14:paraId="5B30B226" w14:textId="77777777" w:rsidR="005B131E" w:rsidRDefault="005B131E" w:rsidP="002542E1">
      <w:pPr>
        <w:pStyle w:val="Heading4"/>
      </w:pPr>
      <w:r>
        <w:t>Compliance information</w:t>
      </w:r>
    </w:p>
    <w:p w14:paraId="762F4347" w14:textId="77777777" w:rsidR="005B131E" w:rsidRDefault="005B131E" w:rsidP="002542E1">
      <w:pPr>
        <w:pStyle w:val="ARfinbody"/>
      </w:pPr>
      <w:r>
        <w:t xml:space="preserve">These general purpose financial statements have been prepared in accordance with the FMA and applicable AASs which include Interpretations issued by the Australian Accounting Standards Board (AASB). In particular, they are presented in a manner consistent with the requirements of AASB 1049 </w:t>
      </w:r>
      <w:r w:rsidRPr="006914C3">
        <w:rPr>
          <w:rStyle w:val="Emphasis"/>
        </w:rPr>
        <w:t>Whole of Government and General Government Sector Financial Reporting</w:t>
      </w:r>
      <w:r>
        <w:t xml:space="preserve">. </w:t>
      </w:r>
    </w:p>
    <w:p w14:paraId="0E34F514" w14:textId="77777777" w:rsidR="005B131E" w:rsidRDefault="005B131E" w:rsidP="002542E1">
      <w:pPr>
        <w:pStyle w:val="ARfinbody"/>
      </w:pPr>
      <w:r>
        <w:t>Where appropriate, those AAS paragraphs applicable to not-for-profit entities have been applied. Accounting policies selected and applied in these financial statements ensure that the resulting financial information satisfies the concepts of relevance and reliability, thereby ensuring that the substance of the underlying transactions or other events is reported.</w:t>
      </w:r>
    </w:p>
    <w:p w14:paraId="20AAC487" w14:textId="77777777" w:rsidR="005B131E" w:rsidRDefault="005B131E" w:rsidP="002542E1">
      <w:pPr>
        <w:pStyle w:val="ARfinbody"/>
      </w:pPr>
      <w:r>
        <w:t>These annual financial statements were authorised for issue by the Secretary of the Department of Families, Fairness and Housing on 13 September 2024.</w:t>
      </w:r>
    </w:p>
    <w:p w14:paraId="524234BA" w14:textId="77777777" w:rsidR="005B131E" w:rsidRPr="00BA7805" w:rsidRDefault="005B131E">
      <w:pPr>
        <w:pStyle w:val="ARfinbody"/>
        <w:rPr>
          <w:highlight w:val="green"/>
        </w:rPr>
      </w:pPr>
      <w:r w:rsidRPr="00BA7805">
        <w:rPr>
          <w:highlight w:val="green"/>
        </w:rPr>
        <w:br w:type="page"/>
      </w:r>
    </w:p>
    <w:p w14:paraId="50ED9A90" w14:textId="77777777" w:rsidR="005B131E" w:rsidRPr="00240323" w:rsidRDefault="005B131E" w:rsidP="002542E1">
      <w:pPr>
        <w:pStyle w:val="Heading3"/>
      </w:pPr>
      <w:bookmarkStart w:id="268" w:name="_Ref178239217"/>
      <w:bookmarkStart w:id="269" w:name="_Toc181101547"/>
      <w:r w:rsidRPr="00240323">
        <w:t>2. Funding delivery of our services</w:t>
      </w:r>
      <w:bookmarkEnd w:id="268"/>
      <w:bookmarkEnd w:id="269"/>
    </w:p>
    <w:p w14:paraId="464F5BBB" w14:textId="77777777" w:rsidR="005B131E" w:rsidRPr="00240323" w:rsidRDefault="005B131E">
      <w:pPr>
        <w:pStyle w:val="Heading4"/>
        <w:rPr>
          <w:lang w:eastAsia="en-AU"/>
        </w:rPr>
      </w:pPr>
      <w:r w:rsidRPr="00240323">
        <w:rPr>
          <w:lang w:eastAsia="en-AU"/>
        </w:rPr>
        <w:t>Introduction</w:t>
      </w:r>
    </w:p>
    <w:p w14:paraId="6D7EF178" w14:textId="12B23139" w:rsidR="005B131E" w:rsidRDefault="005B131E" w:rsidP="002542E1">
      <w:pPr>
        <w:pStyle w:val="ARfinbody"/>
      </w:pPr>
      <w:r>
        <w:t>The department</w:t>
      </w:r>
      <w:r w:rsidR="00711AE6">
        <w:t>’</w:t>
      </w:r>
      <w:r>
        <w:t>s overall objective is to create equal opportunities for all Victorians to live a safe, respected and valued life.</w:t>
      </w:r>
    </w:p>
    <w:p w14:paraId="3A026EF2" w14:textId="651D4FD9" w:rsidR="005B131E" w:rsidRDefault="005B131E" w:rsidP="002542E1">
      <w:pPr>
        <w:pStyle w:val="ARfinbody"/>
      </w:pPr>
      <w:r>
        <w:t xml:space="preserve">To enable the department to fulfil its objective and provide outputs as described in Section 4 </w:t>
      </w:r>
      <w:r w:rsidR="00711AE6">
        <w:t>‘</w:t>
      </w:r>
      <w:r>
        <w:t>Disaggregated financial information by output</w:t>
      </w:r>
      <w:r w:rsidR="00711AE6">
        <w:t>’</w:t>
      </w:r>
      <w:r>
        <w:t>, it receives income (predominantly accrual-based parliamentary appropriations). The department also receives income from the supply of services and tenancy agreements.</w:t>
      </w:r>
    </w:p>
    <w:p w14:paraId="0A67188D" w14:textId="77777777" w:rsidR="005B131E" w:rsidRDefault="005B131E" w:rsidP="002542E1">
      <w:pPr>
        <w:pStyle w:val="Heading4"/>
      </w:pPr>
      <w:r>
        <w:t>Structure</w:t>
      </w:r>
    </w:p>
    <w:p w14:paraId="30259C82" w14:textId="77777777" w:rsidR="005B131E" w:rsidRDefault="005B131E" w:rsidP="002542E1">
      <w:pPr>
        <w:pStyle w:val="ARfinstructure1"/>
      </w:pPr>
      <w:r>
        <w:t xml:space="preserve">2.1 </w:t>
      </w:r>
      <w:r>
        <w:tab/>
        <w:t>Summary of revenue and income that fund the delivery of our services</w:t>
      </w:r>
    </w:p>
    <w:p w14:paraId="2DF2056A" w14:textId="77777777" w:rsidR="005B131E" w:rsidRDefault="005B131E" w:rsidP="002542E1">
      <w:pPr>
        <w:pStyle w:val="ARfinstructure1"/>
      </w:pPr>
      <w:r>
        <w:t xml:space="preserve">2.2 </w:t>
      </w:r>
      <w:r>
        <w:tab/>
        <w:t>Appropriations</w:t>
      </w:r>
    </w:p>
    <w:p w14:paraId="38C67359" w14:textId="77777777" w:rsidR="005B131E" w:rsidRDefault="005B131E" w:rsidP="002542E1">
      <w:pPr>
        <w:pStyle w:val="ARfinstructure1"/>
      </w:pPr>
      <w:r>
        <w:t xml:space="preserve">2.3 </w:t>
      </w:r>
      <w:r>
        <w:tab/>
        <w:t>Summary of compliance with annual parliamentary and special appropriations</w:t>
      </w:r>
    </w:p>
    <w:p w14:paraId="3043EDE2" w14:textId="77777777" w:rsidR="005B131E" w:rsidRDefault="005B131E" w:rsidP="002542E1">
      <w:pPr>
        <w:pStyle w:val="ARfinstructure1"/>
      </w:pPr>
      <w:r>
        <w:t xml:space="preserve">2.4 </w:t>
      </w:r>
      <w:r>
        <w:tab/>
        <w:t>Income from transactions</w:t>
      </w:r>
    </w:p>
    <w:p w14:paraId="3909B4B2" w14:textId="77777777" w:rsidR="005B131E" w:rsidRDefault="005B131E" w:rsidP="002542E1">
      <w:pPr>
        <w:pStyle w:val="ARfinstructure2"/>
      </w:pPr>
      <w:r>
        <w:t xml:space="preserve">2.4.1 </w:t>
      </w:r>
      <w:r>
        <w:tab/>
        <w:t>Rental income</w:t>
      </w:r>
    </w:p>
    <w:p w14:paraId="4465CFFB" w14:textId="77777777" w:rsidR="005B131E" w:rsidRDefault="005B131E" w:rsidP="002542E1">
      <w:pPr>
        <w:pStyle w:val="ARfinstructure2"/>
      </w:pPr>
      <w:r>
        <w:t xml:space="preserve">2.4.2 </w:t>
      </w:r>
      <w:r>
        <w:tab/>
        <w:t>Grants</w:t>
      </w:r>
    </w:p>
    <w:p w14:paraId="10E89652" w14:textId="77777777" w:rsidR="005B131E" w:rsidRDefault="005B131E" w:rsidP="002542E1">
      <w:pPr>
        <w:pStyle w:val="ARfinstructure1"/>
      </w:pPr>
      <w:r>
        <w:t xml:space="preserve">2.5 </w:t>
      </w:r>
      <w:r>
        <w:tab/>
        <w:t>Annotated income agreements</w:t>
      </w:r>
    </w:p>
    <w:p w14:paraId="45DB7BDD" w14:textId="77777777" w:rsidR="005B131E" w:rsidRPr="00BA7805" w:rsidRDefault="005B131E">
      <w:pPr>
        <w:pStyle w:val="Heading4"/>
        <w:rPr>
          <w:highlight w:val="green"/>
        </w:rPr>
      </w:pPr>
      <w:r w:rsidRPr="002F2C95">
        <w:t>2.1 Summary of revenue and income that fund the delivery of our services</w:t>
      </w:r>
    </w:p>
    <w:tbl>
      <w:tblPr>
        <w:tblStyle w:val="TableGrid"/>
        <w:tblW w:w="9637" w:type="dxa"/>
        <w:tblLayout w:type="fixed"/>
        <w:tblLook w:val="06A0" w:firstRow="1" w:lastRow="0" w:firstColumn="1" w:lastColumn="0" w:noHBand="1" w:noVBand="1"/>
      </w:tblPr>
      <w:tblGrid>
        <w:gridCol w:w="6064"/>
        <w:gridCol w:w="851"/>
        <w:gridCol w:w="1361"/>
        <w:gridCol w:w="1361"/>
      </w:tblGrid>
      <w:tr w:rsidR="00E57D5B" w:rsidRPr="00BA7805" w14:paraId="2E78AD5F" w14:textId="77777777">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102BB058" w14:textId="77777777" w:rsidR="005B131E" w:rsidRPr="00DF748A" w:rsidRDefault="005B131E">
            <w:pPr>
              <w:pStyle w:val="ARfintablecolhead"/>
            </w:pPr>
          </w:p>
        </w:tc>
        <w:tc>
          <w:tcPr>
            <w:tcW w:w="851" w:type="dxa"/>
            <w:tcBorders>
              <w:bottom w:val="single" w:sz="4" w:space="0" w:color="auto"/>
            </w:tcBorders>
            <w:noWrap/>
            <w:hideMark/>
          </w:tcPr>
          <w:p w14:paraId="7718D863" w14:textId="77777777" w:rsidR="005B131E" w:rsidRPr="00DF748A" w:rsidRDefault="005B131E">
            <w:pPr>
              <w:pStyle w:val="ARfintablecolheadright"/>
            </w:pPr>
            <w:r w:rsidRPr="00DF748A">
              <w:t>Note</w:t>
            </w:r>
          </w:p>
        </w:tc>
        <w:tc>
          <w:tcPr>
            <w:tcW w:w="1361" w:type="dxa"/>
            <w:tcBorders>
              <w:bottom w:val="single" w:sz="4" w:space="0" w:color="auto"/>
            </w:tcBorders>
            <w:shd w:val="clear" w:color="auto" w:fill="E7E6E6"/>
            <w:hideMark/>
          </w:tcPr>
          <w:p w14:paraId="0F32458E" w14:textId="77777777" w:rsidR="005B131E" w:rsidRPr="00DF748A" w:rsidRDefault="005B131E">
            <w:pPr>
              <w:pStyle w:val="ARfintablecolheadright"/>
            </w:pPr>
            <w:r w:rsidRPr="00DF748A">
              <w:t>2024</w:t>
            </w:r>
          </w:p>
          <w:p w14:paraId="16A3082B" w14:textId="77777777" w:rsidR="005B131E" w:rsidRPr="00DF748A" w:rsidRDefault="005B131E">
            <w:pPr>
              <w:pStyle w:val="ARfintablecolheadright"/>
            </w:pPr>
            <w:r w:rsidRPr="00DF748A">
              <w:t>$M</w:t>
            </w:r>
          </w:p>
        </w:tc>
        <w:tc>
          <w:tcPr>
            <w:tcW w:w="1361" w:type="dxa"/>
            <w:tcBorders>
              <w:bottom w:val="single" w:sz="4" w:space="0" w:color="auto"/>
            </w:tcBorders>
            <w:hideMark/>
          </w:tcPr>
          <w:p w14:paraId="077D1A37" w14:textId="77777777" w:rsidR="005B131E" w:rsidRPr="00DF748A" w:rsidRDefault="005B131E">
            <w:pPr>
              <w:pStyle w:val="ARfintablecolheadright"/>
            </w:pPr>
            <w:r w:rsidRPr="00DF748A">
              <w:t>2023</w:t>
            </w:r>
          </w:p>
          <w:p w14:paraId="6563531F" w14:textId="77777777" w:rsidR="005B131E" w:rsidRPr="00DF748A" w:rsidRDefault="005B131E">
            <w:pPr>
              <w:pStyle w:val="ARfintablecolheadright"/>
            </w:pPr>
            <w:r w:rsidRPr="00DF748A">
              <w:t>$M</w:t>
            </w:r>
          </w:p>
        </w:tc>
      </w:tr>
      <w:tr w:rsidR="005B131E" w:rsidRPr="00BA7805" w14:paraId="6B742CFF" w14:textId="77777777">
        <w:trPr>
          <w:cantSplit w:val="0"/>
        </w:trPr>
        <w:tc>
          <w:tcPr>
            <w:tcW w:w="6064" w:type="dxa"/>
            <w:tcBorders>
              <w:top w:val="single" w:sz="4" w:space="0" w:color="auto"/>
              <w:bottom w:val="single" w:sz="4" w:space="0" w:color="A6A6A6"/>
            </w:tcBorders>
            <w:hideMark/>
          </w:tcPr>
          <w:p w14:paraId="669FD892" w14:textId="77777777" w:rsidR="005B131E" w:rsidRPr="00BA7805" w:rsidRDefault="005B131E" w:rsidP="002542E1">
            <w:pPr>
              <w:pStyle w:val="ARfintablebody"/>
              <w:rPr>
                <w:highlight w:val="green"/>
              </w:rPr>
            </w:pPr>
            <w:r w:rsidRPr="009F3EF8">
              <w:t xml:space="preserve">Output appropriations </w:t>
            </w:r>
          </w:p>
        </w:tc>
        <w:tc>
          <w:tcPr>
            <w:tcW w:w="851" w:type="dxa"/>
            <w:tcBorders>
              <w:top w:val="single" w:sz="4" w:space="0" w:color="auto"/>
              <w:bottom w:val="single" w:sz="4" w:space="0" w:color="A6A6A6"/>
            </w:tcBorders>
            <w:noWrap/>
            <w:hideMark/>
          </w:tcPr>
          <w:p w14:paraId="1D4448AF" w14:textId="77777777" w:rsidR="005B131E" w:rsidRPr="00BA7805" w:rsidRDefault="005B131E" w:rsidP="002542E1">
            <w:pPr>
              <w:pStyle w:val="ARfintablebodyright"/>
              <w:rPr>
                <w:highlight w:val="green"/>
              </w:rPr>
            </w:pPr>
            <w:r w:rsidRPr="009F3EF8">
              <w:t>2.2,2.3</w:t>
            </w:r>
          </w:p>
        </w:tc>
        <w:tc>
          <w:tcPr>
            <w:tcW w:w="1361" w:type="dxa"/>
            <w:tcBorders>
              <w:top w:val="single" w:sz="4" w:space="0" w:color="auto"/>
              <w:bottom w:val="single" w:sz="4" w:space="0" w:color="A6A6A6"/>
            </w:tcBorders>
            <w:shd w:val="clear" w:color="auto" w:fill="E7E6E6"/>
            <w:noWrap/>
            <w:hideMark/>
          </w:tcPr>
          <w:p w14:paraId="5FA52DC6" w14:textId="77777777" w:rsidR="005B131E" w:rsidRPr="00BA7805" w:rsidRDefault="005B131E" w:rsidP="002542E1">
            <w:pPr>
              <w:pStyle w:val="ARfintablebodyright"/>
              <w:rPr>
                <w:highlight w:val="green"/>
              </w:rPr>
            </w:pPr>
            <w:r w:rsidRPr="009F3EF8">
              <w:t>5,302.2</w:t>
            </w:r>
          </w:p>
        </w:tc>
        <w:tc>
          <w:tcPr>
            <w:tcW w:w="1361" w:type="dxa"/>
            <w:tcBorders>
              <w:top w:val="single" w:sz="4" w:space="0" w:color="auto"/>
              <w:bottom w:val="single" w:sz="4" w:space="0" w:color="A6A6A6"/>
            </w:tcBorders>
            <w:noWrap/>
            <w:hideMark/>
          </w:tcPr>
          <w:p w14:paraId="5ED9FAB7" w14:textId="77777777" w:rsidR="005B131E" w:rsidRPr="00BA7805" w:rsidRDefault="005B131E" w:rsidP="002542E1">
            <w:pPr>
              <w:pStyle w:val="ARfintablebodyright"/>
              <w:rPr>
                <w:highlight w:val="green"/>
              </w:rPr>
            </w:pPr>
            <w:r w:rsidRPr="009F3EF8">
              <w:t>4,968.4</w:t>
            </w:r>
          </w:p>
        </w:tc>
      </w:tr>
      <w:tr w:rsidR="005B131E" w:rsidRPr="00BA7805" w14:paraId="08477381" w14:textId="77777777">
        <w:trPr>
          <w:cantSplit w:val="0"/>
        </w:trPr>
        <w:tc>
          <w:tcPr>
            <w:tcW w:w="6064" w:type="dxa"/>
            <w:tcBorders>
              <w:top w:val="single" w:sz="4" w:space="0" w:color="A6A6A6"/>
              <w:bottom w:val="single" w:sz="4" w:space="0" w:color="A6A6A6"/>
            </w:tcBorders>
            <w:hideMark/>
          </w:tcPr>
          <w:p w14:paraId="62EF2FC4" w14:textId="77777777" w:rsidR="005B131E" w:rsidRPr="00BA7805" w:rsidRDefault="005B131E" w:rsidP="002542E1">
            <w:pPr>
              <w:pStyle w:val="ARfintablebody"/>
              <w:rPr>
                <w:highlight w:val="green"/>
              </w:rPr>
            </w:pPr>
            <w:r w:rsidRPr="009F3EF8">
              <w:t>Special appropriations</w:t>
            </w:r>
          </w:p>
        </w:tc>
        <w:tc>
          <w:tcPr>
            <w:tcW w:w="851" w:type="dxa"/>
            <w:tcBorders>
              <w:top w:val="single" w:sz="4" w:space="0" w:color="A6A6A6"/>
              <w:bottom w:val="single" w:sz="4" w:space="0" w:color="A6A6A6"/>
            </w:tcBorders>
            <w:noWrap/>
            <w:hideMark/>
          </w:tcPr>
          <w:p w14:paraId="0D08593C" w14:textId="77777777" w:rsidR="005B131E" w:rsidRPr="00BA7805" w:rsidRDefault="005B131E" w:rsidP="002542E1">
            <w:pPr>
              <w:pStyle w:val="ARfintablebodyright"/>
              <w:rPr>
                <w:highlight w:val="green"/>
              </w:rPr>
            </w:pPr>
            <w:r w:rsidRPr="009F3EF8">
              <w:t>2.2,2.3</w:t>
            </w:r>
          </w:p>
        </w:tc>
        <w:tc>
          <w:tcPr>
            <w:tcW w:w="1361" w:type="dxa"/>
            <w:tcBorders>
              <w:top w:val="single" w:sz="4" w:space="0" w:color="A6A6A6"/>
              <w:bottom w:val="single" w:sz="4" w:space="0" w:color="A6A6A6"/>
            </w:tcBorders>
            <w:shd w:val="clear" w:color="auto" w:fill="E7E6E6"/>
            <w:noWrap/>
            <w:hideMark/>
          </w:tcPr>
          <w:p w14:paraId="1453FCE9" w14:textId="77777777" w:rsidR="005B131E" w:rsidRPr="00BA7805" w:rsidRDefault="005B131E" w:rsidP="002542E1">
            <w:pPr>
              <w:pStyle w:val="ARfintablebodyright"/>
              <w:rPr>
                <w:highlight w:val="green"/>
              </w:rPr>
            </w:pPr>
            <w:r w:rsidRPr="009F3EF8">
              <w:t>79.5</w:t>
            </w:r>
          </w:p>
        </w:tc>
        <w:tc>
          <w:tcPr>
            <w:tcW w:w="1361" w:type="dxa"/>
            <w:tcBorders>
              <w:top w:val="single" w:sz="4" w:space="0" w:color="A6A6A6"/>
              <w:bottom w:val="single" w:sz="4" w:space="0" w:color="A6A6A6"/>
            </w:tcBorders>
            <w:noWrap/>
            <w:hideMark/>
          </w:tcPr>
          <w:p w14:paraId="751A2D44" w14:textId="77777777" w:rsidR="005B131E" w:rsidRPr="00BA7805" w:rsidRDefault="005B131E" w:rsidP="002542E1">
            <w:pPr>
              <w:pStyle w:val="ARfintablebodyright"/>
              <w:rPr>
                <w:highlight w:val="green"/>
              </w:rPr>
            </w:pPr>
            <w:r w:rsidRPr="009F3EF8">
              <w:t>79.1</w:t>
            </w:r>
          </w:p>
        </w:tc>
      </w:tr>
      <w:tr w:rsidR="005B131E" w:rsidRPr="00BA7805" w14:paraId="251CDBC3" w14:textId="77777777">
        <w:trPr>
          <w:cantSplit w:val="0"/>
        </w:trPr>
        <w:tc>
          <w:tcPr>
            <w:tcW w:w="6064" w:type="dxa"/>
            <w:tcBorders>
              <w:top w:val="single" w:sz="4" w:space="0" w:color="A6A6A6"/>
              <w:bottom w:val="single" w:sz="4" w:space="0" w:color="A6A6A6"/>
            </w:tcBorders>
            <w:hideMark/>
          </w:tcPr>
          <w:p w14:paraId="3826E19F" w14:textId="77777777" w:rsidR="005B131E" w:rsidRPr="00BA7805" w:rsidRDefault="005B131E" w:rsidP="002542E1">
            <w:pPr>
              <w:pStyle w:val="ARfintablebody"/>
              <w:rPr>
                <w:highlight w:val="green"/>
              </w:rPr>
            </w:pPr>
            <w:r w:rsidRPr="009F3EF8">
              <w:t>Rental income</w:t>
            </w:r>
          </w:p>
        </w:tc>
        <w:tc>
          <w:tcPr>
            <w:tcW w:w="851" w:type="dxa"/>
            <w:tcBorders>
              <w:top w:val="single" w:sz="4" w:space="0" w:color="A6A6A6"/>
              <w:bottom w:val="single" w:sz="4" w:space="0" w:color="A6A6A6"/>
            </w:tcBorders>
            <w:noWrap/>
            <w:hideMark/>
          </w:tcPr>
          <w:p w14:paraId="46AA6EB9" w14:textId="77777777" w:rsidR="005B131E" w:rsidRPr="00BA7805" w:rsidRDefault="005B131E" w:rsidP="002542E1">
            <w:pPr>
              <w:pStyle w:val="ARfintablebodyright"/>
              <w:rPr>
                <w:highlight w:val="green"/>
              </w:rPr>
            </w:pPr>
            <w:r w:rsidRPr="009F3EF8">
              <w:t>2.4.1</w:t>
            </w:r>
          </w:p>
        </w:tc>
        <w:tc>
          <w:tcPr>
            <w:tcW w:w="1361" w:type="dxa"/>
            <w:tcBorders>
              <w:top w:val="single" w:sz="4" w:space="0" w:color="A6A6A6"/>
              <w:bottom w:val="single" w:sz="4" w:space="0" w:color="A6A6A6"/>
            </w:tcBorders>
            <w:shd w:val="clear" w:color="auto" w:fill="E7E6E6"/>
            <w:noWrap/>
            <w:hideMark/>
          </w:tcPr>
          <w:p w14:paraId="13668082" w14:textId="77777777" w:rsidR="005B131E" w:rsidRPr="00BA7805" w:rsidRDefault="005B131E" w:rsidP="002542E1">
            <w:pPr>
              <w:pStyle w:val="ARfintablebodyright"/>
              <w:rPr>
                <w:highlight w:val="green"/>
              </w:rPr>
            </w:pPr>
            <w:r w:rsidRPr="009F3EF8">
              <w:t>555.5</w:t>
            </w:r>
          </w:p>
        </w:tc>
        <w:tc>
          <w:tcPr>
            <w:tcW w:w="1361" w:type="dxa"/>
            <w:tcBorders>
              <w:top w:val="single" w:sz="4" w:space="0" w:color="A6A6A6"/>
              <w:bottom w:val="single" w:sz="4" w:space="0" w:color="A6A6A6"/>
            </w:tcBorders>
            <w:noWrap/>
            <w:hideMark/>
          </w:tcPr>
          <w:p w14:paraId="5E5CB1C6" w14:textId="77777777" w:rsidR="005B131E" w:rsidRPr="00BA7805" w:rsidRDefault="005B131E" w:rsidP="002542E1">
            <w:pPr>
              <w:pStyle w:val="ARfintablebodyright"/>
              <w:rPr>
                <w:highlight w:val="green"/>
              </w:rPr>
            </w:pPr>
            <w:r w:rsidRPr="009F3EF8">
              <w:t>523.3</w:t>
            </w:r>
          </w:p>
        </w:tc>
      </w:tr>
      <w:tr w:rsidR="005B131E" w:rsidRPr="00BA7805" w14:paraId="1AA91E29" w14:textId="77777777">
        <w:trPr>
          <w:cantSplit w:val="0"/>
        </w:trPr>
        <w:tc>
          <w:tcPr>
            <w:tcW w:w="6064" w:type="dxa"/>
            <w:tcBorders>
              <w:top w:val="single" w:sz="4" w:space="0" w:color="A6A6A6"/>
              <w:bottom w:val="single" w:sz="4" w:space="0" w:color="A6A6A6"/>
            </w:tcBorders>
            <w:hideMark/>
          </w:tcPr>
          <w:p w14:paraId="5F2791B8" w14:textId="77777777" w:rsidR="005B131E" w:rsidRPr="00BA7805" w:rsidRDefault="005B131E" w:rsidP="002542E1">
            <w:pPr>
              <w:pStyle w:val="ARfintablebody"/>
              <w:rPr>
                <w:highlight w:val="green"/>
              </w:rPr>
            </w:pPr>
            <w:r w:rsidRPr="009F3EF8">
              <w:t>Grants and other income transfers</w:t>
            </w:r>
          </w:p>
        </w:tc>
        <w:tc>
          <w:tcPr>
            <w:tcW w:w="851" w:type="dxa"/>
            <w:tcBorders>
              <w:top w:val="single" w:sz="4" w:space="0" w:color="A6A6A6"/>
              <w:bottom w:val="single" w:sz="4" w:space="0" w:color="A6A6A6"/>
            </w:tcBorders>
            <w:noWrap/>
            <w:hideMark/>
          </w:tcPr>
          <w:p w14:paraId="0C0E1D6F" w14:textId="77777777" w:rsidR="005B131E" w:rsidRPr="00BA7805" w:rsidRDefault="005B131E" w:rsidP="002542E1">
            <w:pPr>
              <w:pStyle w:val="ARfintablebodyright"/>
              <w:rPr>
                <w:highlight w:val="green"/>
              </w:rPr>
            </w:pPr>
            <w:r w:rsidRPr="009F3EF8">
              <w:t>2.4.2</w:t>
            </w:r>
          </w:p>
        </w:tc>
        <w:tc>
          <w:tcPr>
            <w:tcW w:w="1361" w:type="dxa"/>
            <w:tcBorders>
              <w:top w:val="single" w:sz="4" w:space="0" w:color="A6A6A6"/>
              <w:bottom w:val="single" w:sz="4" w:space="0" w:color="A6A6A6"/>
            </w:tcBorders>
            <w:shd w:val="clear" w:color="auto" w:fill="E7E6E6"/>
            <w:noWrap/>
            <w:hideMark/>
          </w:tcPr>
          <w:p w14:paraId="148BD9C8" w14:textId="77777777" w:rsidR="005B131E" w:rsidRPr="00BA7805" w:rsidRDefault="005B131E" w:rsidP="002542E1">
            <w:pPr>
              <w:pStyle w:val="ARfintablebodyright"/>
              <w:rPr>
                <w:highlight w:val="green"/>
              </w:rPr>
            </w:pPr>
            <w:r w:rsidRPr="009F3EF8">
              <w:t>418.2</w:t>
            </w:r>
          </w:p>
        </w:tc>
        <w:tc>
          <w:tcPr>
            <w:tcW w:w="1361" w:type="dxa"/>
            <w:tcBorders>
              <w:top w:val="single" w:sz="4" w:space="0" w:color="A6A6A6"/>
              <w:bottom w:val="single" w:sz="4" w:space="0" w:color="A6A6A6"/>
            </w:tcBorders>
            <w:noWrap/>
            <w:hideMark/>
          </w:tcPr>
          <w:p w14:paraId="542E98CF" w14:textId="77777777" w:rsidR="005B131E" w:rsidRPr="00BA7805" w:rsidRDefault="005B131E" w:rsidP="002542E1">
            <w:pPr>
              <w:pStyle w:val="ARfintablebodyright"/>
              <w:rPr>
                <w:highlight w:val="green"/>
              </w:rPr>
            </w:pPr>
            <w:r w:rsidRPr="009F3EF8">
              <w:t>442.9</w:t>
            </w:r>
          </w:p>
        </w:tc>
      </w:tr>
      <w:tr w:rsidR="005B131E" w:rsidRPr="00BA7805" w14:paraId="49907560" w14:textId="77777777">
        <w:trPr>
          <w:cantSplit w:val="0"/>
        </w:trPr>
        <w:tc>
          <w:tcPr>
            <w:tcW w:w="6064" w:type="dxa"/>
            <w:tcBorders>
              <w:top w:val="single" w:sz="4" w:space="0" w:color="A6A6A6"/>
              <w:bottom w:val="single" w:sz="4" w:space="0" w:color="A6A6A6"/>
            </w:tcBorders>
            <w:hideMark/>
          </w:tcPr>
          <w:p w14:paraId="64F6C004" w14:textId="77777777" w:rsidR="005B131E" w:rsidRPr="00BA7805" w:rsidRDefault="005B131E" w:rsidP="002542E1">
            <w:pPr>
              <w:pStyle w:val="ARfintablebody"/>
              <w:rPr>
                <w:highlight w:val="green"/>
              </w:rPr>
            </w:pPr>
            <w:r w:rsidRPr="009F3EF8">
              <w:t>Other income</w:t>
            </w:r>
          </w:p>
        </w:tc>
        <w:tc>
          <w:tcPr>
            <w:tcW w:w="851" w:type="dxa"/>
            <w:tcBorders>
              <w:top w:val="single" w:sz="4" w:space="0" w:color="A6A6A6"/>
              <w:bottom w:val="single" w:sz="4" w:space="0" w:color="A6A6A6"/>
            </w:tcBorders>
            <w:noWrap/>
            <w:hideMark/>
          </w:tcPr>
          <w:p w14:paraId="69315156" w14:textId="77777777" w:rsidR="005B131E" w:rsidRPr="00BA7805" w:rsidRDefault="005B131E" w:rsidP="002542E1">
            <w:pPr>
              <w:pStyle w:val="ARfintablebodyright"/>
              <w:rPr>
                <w:highlight w:val="green"/>
              </w:rPr>
            </w:pPr>
          </w:p>
        </w:tc>
        <w:tc>
          <w:tcPr>
            <w:tcW w:w="1361" w:type="dxa"/>
            <w:tcBorders>
              <w:top w:val="single" w:sz="4" w:space="0" w:color="A6A6A6"/>
              <w:bottom w:val="single" w:sz="4" w:space="0" w:color="A6A6A6"/>
            </w:tcBorders>
            <w:shd w:val="clear" w:color="auto" w:fill="E7E6E6"/>
            <w:noWrap/>
            <w:hideMark/>
          </w:tcPr>
          <w:p w14:paraId="240A420F" w14:textId="77777777" w:rsidR="005B131E" w:rsidRPr="00BA7805" w:rsidRDefault="005B131E" w:rsidP="002542E1">
            <w:pPr>
              <w:pStyle w:val="ARfintablebodyright"/>
              <w:rPr>
                <w:highlight w:val="green"/>
              </w:rPr>
            </w:pPr>
            <w:r w:rsidRPr="009F3EF8">
              <w:t>42.6</w:t>
            </w:r>
          </w:p>
        </w:tc>
        <w:tc>
          <w:tcPr>
            <w:tcW w:w="1361" w:type="dxa"/>
            <w:tcBorders>
              <w:top w:val="single" w:sz="4" w:space="0" w:color="A6A6A6"/>
              <w:bottom w:val="single" w:sz="4" w:space="0" w:color="A6A6A6"/>
            </w:tcBorders>
            <w:noWrap/>
            <w:hideMark/>
          </w:tcPr>
          <w:p w14:paraId="38950FEB" w14:textId="77777777" w:rsidR="005B131E" w:rsidRPr="00BA7805" w:rsidRDefault="005B131E" w:rsidP="002542E1">
            <w:pPr>
              <w:pStyle w:val="ARfintablebodyright"/>
              <w:rPr>
                <w:highlight w:val="green"/>
              </w:rPr>
            </w:pPr>
            <w:r w:rsidRPr="009F3EF8">
              <w:t>24.4</w:t>
            </w:r>
          </w:p>
        </w:tc>
      </w:tr>
      <w:tr w:rsidR="005B131E" w:rsidRPr="00BA7805" w14:paraId="2CDA4386" w14:textId="77777777">
        <w:trPr>
          <w:cantSplit w:val="0"/>
        </w:trPr>
        <w:tc>
          <w:tcPr>
            <w:tcW w:w="6064" w:type="dxa"/>
            <w:hideMark/>
          </w:tcPr>
          <w:p w14:paraId="45F3B6E5" w14:textId="77777777" w:rsidR="005B131E" w:rsidRPr="00BA7805" w:rsidRDefault="005B131E" w:rsidP="002542E1">
            <w:pPr>
              <w:pStyle w:val="ARfintablebodybold"/>
              <w:rPr>
                <w:highlight w:val="green"/>
              </w:rPr>
            </w:pPr>
            <w:r w:rsidRPr="009F3EF8">
              <w:t>Total revenue and income from transactions</w:t>
            </w:r>
          </w:p>
        </w:tc>
        <w:tc>
          <w:tcPr>
            <w:tcW w:w="851" w:type="dxa"/>
            <w:hideMark/>
          </w:tcPr>
          <w:p w14:paraId="31BC52EC" w14:textId="77777777" w:rsidR="005B131E" w:rsidRPr="00BA7805" w:rsidRDefault="005B131E" w:rsidP="002542E1">
            <w:pPr>
              <w:pStyle w:val="ARfintablebodyrightbold"/>
              <w:rPr>
                <w:highlight w:val="green"/>
              </w:rPr>
            </w:pPr>
          </w:p>
        </w:tc>
        <w:tc>
          <w:tcPr>
            <w:tcW w:w="1361" w:type="dxa"/>
            <w:shd w:val="clear" w:color="auto" w:fill="E7E6E6"/>
            <w:noWrap/>
            <w:hideMark/>
          </w:tcPr>
          <w:p w14:paraId="20C5F882" w14:textId="77777777" w:rsidR="005B131E" w:rsidRPr="00BA7805" w:rsidRDefault="005B131E" w:rsidP="002542E1">
            <w:pPr>
              <w:pStyle w:val="ARfintablebodyrightbold"/>
              <w:rPr>
                <w:highlight w:val="green"/>
              </w:rPr>
            </w:pPr>
            <w:r w:rsidRPr="009F3EF8">
              <w:t>6,398.0</w:t>
            </w:r>
          </w:p>
        </w:tc>
        <w:tc>
          <w:tcPr>
            <w:tcW w:w="1361" w:type="dxa"/>
            <w:noWrap/>
            <w:hideMark/>
          </w:tcPr>
          <w:p w14:paraId="65DB65B8" w14:textId="77777777" w:rsidR="005B131E" w:rsidRPr="00BA7805" w:rsidRDefault="005B131E" w:rsidP="002542E1">
            <w:pPr>
              <w:pStyle w:val="ARfintablebodyrightbold"/>
              <w:rPr>
                <w:highlight w:val="green"/>
              </w:rPr>
            </w:pPr>
            <w:r w:rsidRPr="009F3EF8">
              <w:t>6,038.0</w:t>
            </w:r>
          </w:p>
        </w:tc>
      </w:tr>
    </w:tbl>
    <w:p w14:paraId="4C5D32F0" w14:textId="77777777" w:rsidR="005B131E" w:rsidRPr="00DF748A" w:rsidRDefault="005B131E">
      <w:pPr>
        <w:pStyle w:val="Heading4"/>
        <w:rPr>
          <w:lang w:eastAsia="en-AU"/>
        </w:rPr>
      </w:pPr>
      <w:r w:rsidRPr="00DF748A">
        <w:rPr>
          <w:lang w:eastAsia="en-AU"/>
        </w:rPr>
        <w:t>2.2 Appropriations</w:t>
      </w:r>
    </w:p>
    <w:p w14:paraId="2E77F110" w14:textId="77777777" w:rsidR="005B131E" w:rsidRDefault="005B131E" w:rsidP="002542E1">
      <w:pPr>
        <w:pStyle w:val="ARfinbody"/>
      </w:pPr>
      <w:r>
        <w:t xml:space="preserve">Once annual parliamentary appropriations are applied by the Treasurer, they become controlled by the department and are recognised as income when applied to the purposes defined under the relevant Appropriations Act. </w:t>
      </w:r>
    </w:p>
    <w:p w14:paraId="4A67BE6A" w14:textId="77777777" w:rsidR="005B131E" w:rsidRDefault="005B131E" w:rsidP="002542E1">
      <w:pPr>
        <w:pStyle w:val="ARfinbody"/>
      </w:pPr>
      <w:r w:rsidRPr="00F41503">
        <w:rPr>
          <w:rStyle w:val="Strong"/>
        </w:rPr>
        <w:t>Output appropriations:</w:t>
      </w:r>
      <w:r>
        <w:t xml:space="preserve"> Income from the outputs the department provides to the government is recognised when those outputs have been delivered and the relevant minister has certified delivery of those outputs in accordance with specified performance criteria.</w:t>
      </w:r>
    </w:p>
    <w:p w14:paraId="0900CCEA" w14:textId="77777777" w:rsidR="005B131E" w:rsidRPr="00DF748A" w:rsidRDefault="005B131E" w:rsidP="002542E1">
      <w:pPr>
        <w:pStyle w:val="ARfinbody"/>
        <w:rPr>
          <w:highlight w:val="green"/>
        </w:rPr>
      </w:pPr>
      <w:r w:rsidRPr="00F41503">
        <w:rPr>
          <w:rStyle w:val="Strong"/>
        </w:rPr>
        <w:t>Special appropriations:</w:t>
      </w:r>
      <w:r>
        <w:t xml:space="preserve"> Under s. 5.4.6 of the </w:t>
      </w:r>
      <w:r w:rsidRPr="00F41503">
        <w:rPr>
          <w:rStyle w:val="Emphasis"/>
        </w:rPr>
        <w:t>Gambling Regulation Act 2003</w:t>
      </w:r>
      <w:r>
        <w:t>, income related to the Mental Health Fund is recognised when the amounts appropriated for that purpose are due and payable by the department.</w:t>
      </w:r>
    </w:p>
    <w:p w14:paraId="7EC1EFC4" w14:textId="77777777" w:rsidR="005B131E" w:rsidRPr="00BA7805" w:rsidRDefault="005B131E">
      <w:pPr>
        <w:pStyle w:val="ARfinbody"/>
        <w:rPr>
          <w:highlight w:val="green"/>
        </w:rPr>
      </w:pPr>
    </w:p>
    <w:p w14:paraId="71182C55" w14:textId="77777777" w:rsidR="005B131E" w:rsidRPr="00BA7805" w:rsidRDefault="005B131E">
      <w:pPr>
        <w:pStyle w:val="ARfinbody"/>
        <w:rPr>
          <w:highlight w:val="green"/>
        </w:rPr>
        <w:sectPr w:rsidR="005B131E" w:rsidRPr="00BA7805" w:rsidSect="005B131E">
          <w:footnotePr>
            <w:numFmt w:val="lowerRoman"/>
            <w:numRestart w:val="eachPage"/>
          </w:footnotePr>
          <w:endnotePr>
            <w:numFmt w:val="decimal"/>
          </w:endnotePr>
          <w:pgSz w:w="11900" w:h="16840" w:code="9"/>
          <w:pgMar w:top="1985" w:right="1134" w:bottom="851" w:left="1134" w:header="510" w:footer="340" w:gutter="0"/>
          <w:cols w:space="448"/>
          <w:docGrid w:linePitch="299"/>
        </w:sectPr>
      </w:pPr>
    </w:p>
    <w:p w14:paraId="4769BC14" w14:textId="77777777" w:rsidR="005B131E" w:rsidRPr="00AE105D" w:rsidRDefault="005B131E">
      <w:pPr>
        <w:pStyle w:val="Heading4"/>
        <w:spacing w:before="0"/>
        <w:rPr>
          <w:lang w:eastAsia="en-AU"/>
        </w:rPr>
      </w:pPr>
      <w:bookmarkStart w:id="270" w:name="_Ref178239280"/>
      <w:r w:rsidRPr="00AE105D">
        <w:rPr>
          <w:lang w:eastAsia="en-AU"/>
        </w:rPr>
        <w:t>2.3 Summary of compliance with annual parliamentary and special appropriations</w:t>
      </w:r>
      <w:bookmarkEnd w:id="270"/>
    </w:p>
    <w:p w14:paraId="3E612734" w14:textId="77777777" w:rsidR="005B131E" w:rsidRDefault="005B131E" w:rsidP="002542E1">
      <w:pPr>
        <w:pStyle w:val="ARfinbodylargespace"/>
      </w:pPr>
      <w:r>
        <w:t xml:space="preserve">The following table discloses the details of the various annual parliamentary appropriations received by the department for the year. </w:t>
      </w:r>
    </w:p>
    <w:p w14:paraId="3029CADC" w14:textId="5D69BE2F" w:rsidR="005B131E" w:rsidRPr="00BA7805" w:rsidRDefault="005B131E">
      <w:pPr>
        <w:pStyle w:val="ARfinbodylargespace"/>
        <w:rPr>
          <w:highlight w:val="green"/>
        </w:rPr>
      </w:pPr>
      <w:r>
        <w:t xml:space="preserve">In accordance with accrual output-based management procedures </w:t>
      </w:r>
      <w:r w:rsidR="00711AE6">
        <w:t>‘</w:t>
      </w:r>
      <w:r>
        <w:t>provision of outputs</w:t>
      </w:r>
      <w:r w:rsidR="00711AE6">
        <w:t>’</w:t>
      </w:r>
      <w:r>
        <w:t xml:space="preserve"> and </w:t>
      </w:r>
      <w:r w:rsidR="00711AE6">
        <w:t>‘</w:t>
      </w:r>
      <w:r>
        <w:t>additions to net assets</w:t>
      </w:r>
      <w:r w:rsidR="00711AE6">
        <w:t>’</w:t>
      </w:r>
      <w:r>
        <w:t xml:space="preserve"> are disclosed as </w:t>
      </w:r>
      <w:r w:rsidR="00711AE6">
        <w:t>‘</w:t>
      </w:r>
      <w:r>
        <w:t>controlled</w:t>
      </w:r>
      <w:r w:rsidR="00711AE6">
        <w:t>’</w:t>
      </w:r>
      <w:r>
        <w:t xml:space="preserve"> activities of the department. Administered transactions are those that are undertaken on behalf of the state over which the department has no control or discretion (refer to Note 4.2).</w:t>
      </w:r>
    </w:p>
    <w:tbl>
      <w:tblPr>
        <w:tblStyle w:val="TableGrid"/>
        <w:tblW w:w="5000" w:type="pct"/>
        <w:tblLayout w:type="fixed"/>
        <w:tblCellMar>
          <w:right w:w="113" w:type="dxa"/>
        </w:tblCellMar>
        <w:tblLook w:val="06A0" w:firstRow="1" w:lastRow="0" w:firstColumn="1" w:lastColumn="0" w:noHBand="1" w:noVBand="1"/>
      </w:tblPr>
      <w:tblGrid>
        <w:gridCol w:w="3480"/>
        <w:gridCol w:w="1210"/>
        <w:gridCol w:w="1211"/>
        <w:gridCol w:w="1211"/>
        <w:gridCol w:w="1211"/>
        <w:gridCol w:w="1211"/>
        <w:gridCol w:w="1211"/>
        <w:gridCol w:w="1211"/>
        <w:gridCol w:w="1211"/>
        <w:gridCol w:w="542"/>
      </w:tblGrid>
      <w:tr w:rsidR="005B131E" w:rsidRPr="00BA7805" w14:paraId="1FC03F0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684" w:type="dxa"/>
            <w:vMerge w:val="restart"/>
            <w:noWrap/>
          </w:tcPr>
          <w:p w14:paraId="4E583303" w14:textId="77777777" w:rsidR="005B131E" w:rsidRPr="00BA7805" w:rsidRDefault="005B131E">
            <w:pPr>
              <w:pStyle w:val="ARfintablecolhead"/>
              <w:spacing w:before="30" w:after="10"/>
              <w:rPr>
                <w:highlight w:val="green"/>
              </w:rPr>
            </w:pPr>
          </w:p>
        </w:tc>
        <w:tc>
          <w:tcPr>
            <w:tcW w:w="2552" w:type="dxa"/>
            <w:gridSpan w:val="2"/>
          </w:tcPr>
          <w:p w14:paraId="28A9D2CF" w14:textId="77777777" w:rsidR="005B131E" w:rsidRPr="003E79FE" w:rsidRDefault="005B131E">
            <w:pPr>
              <w:pStyle w:val="ARfintablecolheadcentre"/>
              <w:spacing w:before="30" w:after="10"/>
            </w:pPr>
            <w:r w:rsidRPr="003E79FE">
              <w:t>Appropriation Act</w:t>
            </w:r>
          </w:p>
        </w:tc>
        <w:tc>
          <w:tcPr>
            <w:tcW w:w="3828" w:type="dxa"/>
            <w:gridSpan w:val="3"/>
            <w:tcBorders>
              <w:top w:val="nil"/>
            </w:tcBorders>
            <w:shd w:val="clear" w:color="auto" w:fill="E7E6E6" w:themeFill="accent4"/>
          </w:tcPr>
          <w:p w14:paraId="16090513" w14:textId="77777777" w:rsidR="005B131E" w:rsidRPr="003E79FE" w:rsidRDefault="005B131E">
            <w:pPr>
              <w:pStyle w:val="ARfintablecolheadcentre"/>
              <w:spacing w:before="30" w:after="10"/>
            </w:pPr>
            <w:r w:rsidRPr="003E79FE">
              <w:t>Financial Management Act 1994</w:t>
            </w:r>
          </w:p>
        </w:tc>
        <w:tc>
          <w:tcPr>
            <w:tcW w:w="1276" w:type="dxa"/>
            <w:vMerge w:val="restart"/>
          </w:tcPr>
          <w:p w14:paraId="73147461" w14:textId="77777777" w:rsidR="005B131E" w:rsidRPr="003E79FE" w:rsidRDefault="005B131E">
            <w:pPr>
              <w:pStyle w:val="ARfintablecolheadright"/>
              <w:spacing w:before="30" w:after="10"/>
            </w:pPr>
            <w:r w:rsidRPr="003E79FE">
              <w:t>Total parlia-</w:t>
            </w:r>
            <w:r w:rsidRPr="003E79FE">
              <w:br/>
              <w:t xml:space="preserve">mentary </w:t>
            </w:r>
            <w:r w:rsidRPr="003E79FE">
              <w:br/>
              <w:t>authority</w:t>
            </w:r>
          </w:p>
          <w:p w14:paraId="72C19C34" w14:textId="77777777" w:rsidR="005B131E" w:rsidRPr="003E79FE" w:rsidRDefault="005B131E">
            <w:pPr>
              <w:pStyle w:val="ARfintablecolheadright"/>
              <w:spacing w:before="30" w:after="10"/>
            </w:pPr>
            <w:r w:rsidRPr="003E79FE">
              <w:t>$M</w:t>
            </w:r>
          </w:p>
        </w:tc>
        <w:tc>
          <w:tcPr>
            <w:tcW w:w="1276" w:type="dxa"/>
            <w:vMerge w:val="restart"/>
          </w:tcPr>
          <w:p w14:paraId="0892778C" w14:textId="77777777" w:rsidR="005B131E" w:rsidRPr="003E79FE" w:rsidRDefault="005B131E">
            <w:pPr>
              <w:pStyle w:val="ARfintablecolheadright"/>
              <w:spacing w:before="30" w:after="10"/>
            </w:pPr>
            <w:r w:rsidRPr="003E79FE">
              <w:t>Appro-</w:t>
            </w:r>
            <w:r w:rsidRPr="003E79FE">
              <w:br/>
              <w:t xml:space="preserve">priations </w:t>
            </w:r>
            <w:r w:rsidRPr="003E79FE">
              <w:br/>
              <w:t>applied</w:t>
            </w:r>
          </w:p>
          <w:p w14:paraId="7600E4B0" w14:textId="77777777" w:rsidR="005B131E" w:rsidRPr="003E79FE" w:rsidRDefault="005B131E">
            <w:pPr>
              <w:pStyle w:val="ARfintablecolheadright"/>
              <w:spacing w:before="30" w:after="10"/>
            </w:pPr>
            <w:r w:rsidRPr="003E79FE">
              <w:t>$M</w:t>
            </w:r>
          </w:p>
        </w:tc>
        <w:tc>
          <w:tcPr>
            <w:tcW w:w="1276" w:type="dxa"/>
            <w:vMerge w:val="restart"/>
          </w:tcPr>
          <w:p w14:paraId="1B5221EF" w14:textId="77777777" w:rsidR="005B131E" w:rsidRPr="003E79FE" w:rsidRDefault="005B131E">
            <w:pPr>
              <w:pStyle w:val="ARfintablecolheadright"/>
              <w:spacing w:before="30" w:after="10"/>
            </w:pPr>
            <w:r w:rsidRPr="003E79FE">
              <w:t>Variance</w:t>
            </w:r>
          </w:p>
          <w:p w14:paraId="38EC9A2D" w14:textId="77777777" w:rsidR="005B131E" w:rsidRPr="003E79FE" w:rsidRDefault="005B131E">
            <w:pPr>
              <w:pStyle w:val="ARfintablecolheadright"/>
              <w:spacing w:before="30" w:after="10"/>
            </w:pPr>
            <w:r w:rsidRPr="003E79FE">
              <w:t>$M</w:t>
            </w:r>
          </w:p>
        </w:tc>
        <w:tc>
          <w:tcPr>
            <w:tcW w:w="567" w:type="dxa"/>
            <w:vMerge w:val="restart"/>
          </w:tcPr>
          <w:p w14:paraId="67E38DB5" w14:textId="77777777" w:rsidR="005B131E" w:rsidRPr="00BA7805" w:rsidRDefault="005B131E">
            <w:pPr>
              <w:pStyle w:val="ARfintablecolheadright"/>
              <w:spacing w:before="30" w:after="10"/>
              <w:rPr>
                <w:highlight w:val="green"/>
              </w:rPr>
            </w:pPr>
          </w:p>
        </w:tc>
      </w:tr>
      <w:tr w:rsidR="005B131E" w:rsidRPr="00BA7805" w14:paraId="4C5B1C9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684" w:type="dxa"/>
            <w:vMerge/>
            <w:noWrap/>
            <w:hideMark/>
          </w:tcPr>
          <w:p w14:paraId="2D3EED6D" w14:textId="77777777" w:rsidR="005B131E" w:rsidRPr="00BA7805" w:rsidRDefault="005B131E">
            <w:pPr>
              <w:pStyle w:val="ARfintablecolhead"/>
              <w:spacing w:before="30" w:after="10"/>
              <w:rPr>
                <w:highlight w:val="green"/>
              </w:rPr>
            </w:pPr>
          </w:p>
        </w:tc>
        <w:tc>
          <w:tcPr>
            <w:tcW w:w="1276" w:type="dxa"/>
            <w:hideMark/>
          </w:tcPr>
          <w:p w14:paraId="62272811" w14:textId="77777777" w:rsidR="005B131E" w:rsidRPr="003E79FE" w:rsidRDefault="005B131E">
            <w:pPr>
              <w:pStyle w:val="ARfintablecolheadright"/>
              <w:spacing w:before="30" w:after="10"/>
            </w:pPr>
            <w:r w:rsidRPr="003E79FE">
              <w:t>Annual appro-</w:t>
            </w:r>
            <w:r w:rsidRPr="003E79FE">
              <w:br/>
              <w:t>priation</w:t>
            </w:r>
          </w:p>
          <w:p w14:paraId="1338FA3B" w14:textId="77777777" w:rsidR="005B131E" w:rsidRPr="003E79FE" w:rsidRDefault="005B131E">
            <w:pPr>
              <w:pStyle w:val="ARfintablecolheadright"/>
              <w:spacing w:before="30" w:after="10"/>
            </w:pPr>
            <w:r w:rsidRPr="003E79FE">
              <w:t>$M</w:t>
            </w:r>
          </w:p>
        </w:tc>
        <w:tc>
          <w:tcPr>
            <w:tcW w:w="1276" w:type="dxa"/>
            <w:hideMark/>
          </w:tcPr>
          <w:p w14:paraId="0BE46C0C" w14:textId="77777777" w:rsidR="005B131E" w:rsidRPr="003E79FE" w:rsidRDefault="005B131E">
            <w:pPr>
              <w:pStyle w:val="ARfintablecolheadright"/>
              <w:spacing w:before="30" w:after="10"/>
            </w:pPr>
            <w:r w:rsidRPr="003E79FE">
              <w:t>Advance from Treasurer</w:t>
            </w:r>
          </w:p>
          <w:p w14:paraId="5511CE31" w14:textId="77777777" w:rsidR="005B131E" w:rsidRPr="003E79FE" w:rsidRDefault="005B131E">
            <w:pPr>
              <w:pStyle w:val="ARfintablecolheadright"/>
              <w:spacing w:before="30" w:after="10"/>
            </w:pPr>
            <w:r w:rsidRPr="003E79FE">
              <w:t>$M</w:t>
            </w:r>
          </w:p>
        </w:tc>
        <w:tc>
          <w:tcPr>
            <w:tcW w:w="1276" w:type="dxa"/>
            <w:tcBorders>
              <w:top w:val="single" w:sz="4" w:space="0" w:color="auto"/>
              <w:right w:val="nil"/>
            </w:tcBorders>
            <w:shd w:val="clear" w:color="auto" w:fill="E7E6E6" w:themeFill="accent4"/>
            <w:hideMark/>
          </w:tcPr>
          <w:p w14:paraId="272012BB" w14:textId="77777777" w:rsidR="005B131E" w:rsidRPr="003E79FE" w:rsidRDefault="005B131E">
            <w:pPr>
              <w:pStyle w:val="ARfintablecolheadright"/>
              <w:spacing w:before="30" w:after="10"/>
              <w:rPr>
                <w:rStyle w:val="Superscript"/>
              </w:rPr>
            </w:pPr>
            <w:r w:rsidRPr="003E79FE">
              <w:t xml:space="preserve">Section </w:t>
            </w:r>
            <w:r w:rsidRPr="003E79FE">
              <w:br/>
              <w:t xml:space="preserve">29 </w:t>
            </w:r>
            <w:r w:rsidRPr="003E79FE">
              <w:rPr>
                <w:rStyle w:val="Superscript"/>
              </w:rPr>
              <w:t>(i)</w:t>
            </w:r>
          </w:p>
          <w:p w14:paraId="147B5D1D" w14:textId="77777777" w:rsidR="005B131E" w:rsidRPr="003E79FE" w:rsidRDefault="005B131E">
            <w:pPr>
              <w:pStyle w:val="ARfintablecolheadright"/>
              <w:spacing w:before="30" w:after="10"/>
            </w:pPr>
            <w:r w:rsidRPr="003E79FE">
              <w:t>$M</w:t>
            </w:r>
          </w:p>
        </w:tc>
        <w:tc>
          <w:tcPr>
            <w:tcW w:w="1276" w:type="dxa"/>
            <w:tcBorders>
              <w:top w:val="single" w:sz="4" w:space="0" w:color="auto"/>
              <w:left w:val="nil"/>
              <w:right w:val="nil"/>
            </w:tcBorders>
            <w:shd w:val="clear" w:color="auto" w:fill="E7E6E6" w:themeFill="accent4"/>
            <w:hideMark/>
          </w:tcPr>
          <w:p w14:paraId="5BAFD875" w14:textId="77777777" w:rsidR="005B131E" w:rsidRPr="003E79FE" w:rsidRDefault="005B131E">
            <w:pPr>
              <w:pStyle w:val="ARfintablecolheadright"/>
              <w:spacing w:before="30" w:after="10"/>
            </w:pPr>
            <w:r w:rsidRPr="003E79FE">
              <w:t xml:space="preserve">Section </w:t>
            </w:r>
            <w:r w:rsidRPr="003E79FE">
              <w:br/>
              <w:t>30</w:t>
            </w:r>
          </w:p>
          <w:p w14:paraId="040FDFD1" w14:textId="77777777" w:rsidR="005B131E" w:rsidRPr="003E79FE" w:rsidRDefault="005B131E">
            <w:pPr>
              <w:pStyle w:val="ARfintablecolheadright"/>
              <w:spacing w:before="30" w:after="10"/>
            </w:pPr>
            <w:r w:rsidRPr="003E79FE">
              <w:t>$M</w:t>
            </w:r>
          </w:p>
        </w:tc>
        <w:tc>
          <w:tcPr>
            <w:tcW w:w="1276" w:type="dxa"/>
            <w:tcBorders>
              <w:top w:val="single" w:sz="4" w:space="0" w:color="auto"/>
              <w:left w:val="nil"/>
              <w:right w:val="nil"/>
            </w:tcBorders>
            <w:shd w:val="clear" w:color="auto" w:fill="E7E6E6" w:themeFill="accent4"/>
            <w:hideMark/>
          </w:tcPr>
          <w:p w14:paraId="700A0A32" w14:textId="77777777" w:rsidR="005B131E" w:rsidRPr="003E79FE" w:rsidRDefault="005B131E">
            <w:pPr>
              <w:pStyle w:val="ARfintablecolheadright"/>
              <w:spacing w:before="30" w:after="10"/>
            </w:pPr>
            <w:r w:rsidRPr="003E79FE">
              <w:t xml:space="preserve">Section </w:t>
            </w:r>
            <w:r w:rsidRPr="003E79FE">
              <w:br/>
              <w:t>32</w:t>
            </w:r>
          </w:p>
          <w:p w14:paraId="4C3625FC" w14:textId="77777777" w:rsidR="005B131E" w:rsidRPr="003E79FE" w:rsidRDefault="005B131E">
            <w:pPr>
              <w:pStyle w:val="ARfintablecolheadright"/>
              <w:spacing w:before="30" w:after="10"/>
            </w:pPr>
            <w:r w:rsidRPr="003E79FE">
              <w:t>$M</w:t>
            </w:r>
          </w:p>
        </w:tc>
        <w:tc>
          <w:tcPr>
            <w:tcW w:w="1276" w:type="dxa"/>
            <w:vMerge/>
            <w:hideMark/>
          </w:tcPr>
          <w:p w14:paraId="545C1E45" w14:textId="77777777" w:rsidR="005B131E" w:rsidRPr="003E79FE" w:rsidRDefault="005B131E">
            <w:pPr>
              <w:pStyle w:val="ARfintablecolheadright"/>
              <w:spacing w:before="30" w:after="10"/>
            </w:pPr>
          </w:p>
        </w:tc>
        <w:tc>
          <w:tcPr>
            <w:tcW w:w="1276" w:type="dxa"/>
            <w:vMerge/>
            <w:hideMark/>
          </w:tcPr>
          <w:p w14:paraId="6D022238" w14:textId="77777777" w:rsidR="005B131E" w:rsidRPr="003E79FE" w:rsidRDefault="005B131E">
            <w:pPr>
              <w:pStyle w:val="ARfintablecolheadright"/>
              <w:spacing w:before="30" w:after="10"/>
            </w:pPr>
          </w:p>
        </w:tc>
        <w:tc>
          <w:tcPr>
            <w:tcW w:w="1276" w:type="dxa"/>
            <w:vMerge/>
            <w:hideMark/>
          </w:tcPr>
          <w:p w14:paraId="05E7A06E" w14:textId="77777777" w:rsidR="005B131E" w:rsidRPr="003E79FE" w:rsidRDefault="005B131E">
            <w:pPr>
              <w:pStyle w:val="ARfintablecolheadright"/>
              <w:spacing w:before="30" w:after="10"/>
            </w:pPr>
          </w:p>
        </w:tc>
        <w:tc>
          <w:tcPr>
            <w:tcW w:w="567" w:type="dxa"/>
            <w:vMerge/>
            <w:hideMark/>
          </w:tcPr>
          <w:p w14:paraId="22024699" w14:textId="77777777" w:rsidR="005B131E" w:rsidRPr="00BA7805" w:rsidRDefault="005B131E">
            <w:pPr>
              <w:pStyle w:val="ARfintablecolheadright"/>
              <w:spacing w:before="30" w:after="10"/>
              <w:rPr>
                <w:highlight w:val="green"/>
              </w:rPr>
            </w:pPr>
          </w:p>
        </w:tc>
      </w:tr>
      <w:tr w:rsidR="005B131E" w:rsidRPr="00BA7805" w14:paraId="026B50DE" w14:textId="77777777" w:rsidTr="002542E1">
        <w:trPr>
          <w:cantSplit w:val="0"/>
        </w:trPr>
        <w:tc>
          <w:tcPr>
            <w:tcW w:w="14459" w:type="dxa"/>
            <w:gridSpan w:val="10"/>
            <w:tcBorders>
              <w:bottom w:val="single" w:sz="4" w:space="0" w:color="auto"/>
            </w:tcBorders>
            <w:hideMark/>
          </w:tcPr>
          <w:p w14:paraId="5E65CCB6" w14:textId="77777777" w:rsidR="005B131E" w:rsidRPr="00BA7805" w:rsidRDefault="005B131E">
            <w:pPr>
              <w:pStyle w:val="ARfintablebodybold"/>
              <w:spacing w:before="30" w:after="10"/>
              <w:rPr>
                <w:highlight w:val="green"/>
              </w:rPr>
            </w:pPr>
            <w:r w:rsidRPr="003E79FE">
              <w:t>2024</w:t>
            </w:r>
          </w:p>
        </w:tc>
      </w:tr>
      <w:tr w:rsidR="005B131E" w:rsidRPr="00BA7805" w14:paraId="1AD2E8BD" w14:textId="77777777" w:rsidTr="002542E1">
        <w:trPr>
          <w:cantSplit w:val="0"/>
        </w:trPr>
        <w:tc>
          <w:tcPr>
            <w:tcW w:w="14459" w:type="dxa"/>
            <w:gridSpan w:val="10"/>
            <w:tcBorders>
              <w:top w:val="single" w:sz="4" w:space="0" w:color="auto"/>
              <w:bottom w:val="single" w:sz="4" w:space="0" w:color="A6A6A6" w:themeColor="background1" w:themeShade="A6"/>
            </w:tcBorders>
          </w:tcPr>
          <w:p w14:paraId="6A09F397" w14:textId="77777777" w:rsidR="005B131E" w:rsidRPr="00BA7805" w:rsidRDefault="005B131E">
            <w:pPr>
              <w:pStyle w:val="ARfintablebodybold"/>
              <w:spacing w:before="30" w:after="10"/>
              <w:rPr>
                <w:highlight w:val="green"/>
              </w:rPr>
            </w:pPr>
            <w:r w:rsidRPr="00A90803">
              <w:t>Controlled</w:t>
            </w:r>
          </w:p>
        </w:tc>
      </w:tr>
      <w:tr w:rsidR="005B131E" w:rsidRPr="00BA7805" w14:paraId="6E8F2369" w14:textId="77777777" w:rsidTr="002542E1">
        <w:trPr>
          <w:cantSplit w:val="0"/>
        </w:trPr>
        <w:tc>
          <w:tcPr>
            <w:tcW w:w="3684" w:type="dxa"/>
            <w:tcBorders>
              <w:top w:val="single" w:sz="4" w:space="0" w:color="A6A6A6" w:themeColor="background1" w:themeShade="A6"/>
              <w:bottom w:val="single" w:sz="4" w:space="0" w:color="A6A6A6" w:themeColor="background1" w:themeShade="A6"/>
            </w:tcBorders>
          </w:tcPr>
          <w:p w14:paraId="28374EF6" w14:textId="77777777" w:rsidR="005B131E" w:rsidRPr="00BA7805" w:rsidRDefault="005B131E" w:rsidP="002542E1">
            <w:pPr>
              <w:pStyle w:val="ARfintablebody"/>
              <w:spacing w:before="30" w:after="10"/>
              <w:rPr>
                <w:highlight w:val="green"/>
              </w:rPr>
            </w:pPr>
            <w:r w:rsidRPr="00BD55DF">
              <w:t>Provision of outputs</w:t>
            </w:r>
          </w:p>
        </w:tc>
        <w:tc>
          <w:tcPr>
            <w:tcW w:w="1276" w:type="dxa"/>
            <w:tcBorders>
              <w:top w:val="single" w:sz="4" w:space="0" w:color="A6A6A6" w:themeColor="background1" w:themeShade="A6"/>
              <w:bottom w:val="single" w:sz="4" w:space="0" w:color="A6A6A6" w:themeColor="background1" w:themeShade="A6"/>
            </w:tcBorders>
            <w:noWrap/>
          </w:tcPr>
          <w:p w14:paraId="6CDD04F6" w14:textId="77777777" w:rsidR="005B131E" w:rsidRPr="00BA7805" w:rsidRDefault="005B131E" w:rsidP="002542E1">
            <w:pPr>
              <w:pStyle w:val="ARfintablebodyright"/>
              <w:spacing w:before="30" w:after="10"/>
              <w:rPr>
                <w:highlight w:val="green"/>
              </w:rPr>
            </w:pPr>
            <w:r w:rsidRPr="00E74D55">
              <w:t>4,335.9</w:t>
            </w:r>
          </w:p>
        </w:tc>
        <w:tc>
          <w:tcPr>
            <w:tcW w:w="1276" w:type="dxa"/>
            <w:tcBorders>
              <w:top w:val="single" w:sz="4" w:space="0" w:color="A6A6A6" w:themeColor="background1" w:themeShade="A6"/>
              <w:bottom w:val="single" w:sz="4" w:space="0" w:color="A6A6A6" w:themeColor="background1" w:themeShade="A6"/>
            </w:tcBorders>
            <w:noWrap/>
          </w:tcPr>
          <w:p w14:paraId="76144A26" w14:textId="77777777" w:rsidR="005B131E" w:rsidRPr="00BA7805" w:rsidRDefault="005B131E" w:rsidP="002542E1">
            <w:pPr>
              <w:pStyle w:val="ARfintablebodyright"/>
              <w:spacing w:before="30" w:after="10"/>
              <w:rPr>
                <w:highlight w:val="green"/>
              </w:rPr>
            </w:pPr>
            <w:r w:rsidRPr="00E74D55">
              <w:t>335.8</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036D8C85" w14:textId="77777777" w:rsidR="005B131E" w:rsidRPr="00BA7805" w:rsidRDefault="005B131E" w:rsidP="002542E1">
            <w:pPr>
              <w:pStyle w:val="ARfintablebodyright"/>
              <w:spacing w:before="30" w:after="10"/>
              <w:rPr>
                <w:highlight w:val="green"/>
              </w:rPr>
            </w:pPr>
            <w:r w:rsidRPr="00E74D55">
              <w:t>686.9</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1CB46F69" w14:textId="77777777" w:rsidR="005B131E" w:rsidRPr="00BA7805" w:rsidRDefault="005B131E" w:rsidP="002542E1">
            <w:pPr>
              <w:pStyle w:val="ARfintablebodyright"/>
              <w:spacing w:before="30" w:after="10"/>
              <w:rPr>
                <w:highlight w:val="green"/>
              </w:rPr>
            </w:pPr>
            <w:r w:rsidRPr="00E74D55">
              <w:t>(17.2)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5122BF3F" w14:textId="77777777" w:rsidR="005B131E" w:rsidRPr="00BA7805" w:rsidRDefault="005B131E" w:rsidP="002542E1">
            <w:pPr>
              <w:pStyle w:val="ARfintablebodyright"/>
              <w:spacing w:before="30" w:after="10"/>
              <w:rPr>
                <w:highlight w:val="green"/>
              </w:rPr>
            </w:pPr>
            <w:r w:rsidRPr="00E74D55">
              <w:t>14.7</w:t>
            </w:r>
          </w:p>
        </w:tc>
        <w:tc>
          <w:tcPr>
            <w:tcW w:w="1276" w:type="dxa"/>
            <w:tcBorders>
              <w:top w:val="single" w:sz="4" w:space="0" w:color="A6A6A6" w:themeColor="background1" w:themeShade="A6"/>
              <w:bottom w:val="single" w:sz="4" w:space="0" w:color="A6A6A6" w:themeColor="background1" w:themeShade="A6"/>
            </w:tcBorders>
            <w:noWrap/>
          </w:tcPr>
          <w:p w14:paraId="3D0FC541" w14:textId="77777777" w:rsidR="005B131E" w:rsidRPr="00BA7805" w:rsidRDefault="005B131E" w:rsidP="002542E1">
            <w:pPr>
              <w:pStyle w:val="ARfintablebodyright"/>
              <w:spacing w:before="30" w:after="10"/>
              <w:rPr>
                <w:highlight w:val="green"/>
              </w:rPr>
            </w:pPr>
            <w:r w:rsidRPr="00E74D55">
              <w:t>5,356.0</w:t>
            </w:r>
          </w:p>
        </w:tc>
        <w:tc>
          <w:tcPr>
            <w:tcW w:w="1276" w:type="dxa"/>
            <w:tcBorders>
              <w:top w:val="single" w:sz="4" w:space="0" w:color="A6A6A6" w:themeColor="background1" w:themeShade="A6"/>
              <w:bottom w:val="single" w:sz="4" w:space="0" w:color="A6A6A6" w:themeColor="background1" w:themeShade="A6"/>
            </w:tcBorders>
            <w:noWrap/>
          </w:tcPr>
          <w:p w14:paraId="210F21A3" w14:textId="77777777" w:rsidR="005B131E" w:rsidRPr="00BA7805" w:rsidRDefault="005B131E" w:rsidP="002542E1">
            <w:pPr>
              <w:pStyle w:val="ARfintablebodyright"/>
              <w:spacing w:before="30" w:after="10"/>
              <w:rPr>
                <w:highlight w:val="green"/>
              </w:rPr>
            </w:pPr>
            <w:r w:rsidRPr="00E74D55">
              <w:t>5,302.2</w:t>
            </w:r>
          </w:p>
        </w:tc>
        <w:tc>
          <w:tcPr>
            <w:tcW w:w="1276" w:type="dxa"/>
            <w:tcBorders>
              <w:top w:val="single" w:sz="4" w:space="0" w:color="A6A6A6" w:themeColor="background1" w:themeShade="A6"/>
              <w:bottom w:val="single" w:sz="4" w:space="0" w:color="A6A6A6" w:themeColor="background1" w:themeShade="A6"/>
            </w:tcBorders>
            <w:noWrap/>
          </w:tcPr>
          <w:p w14:paraId="5C8A2794" w14:textId="77777777" w:rsidR="005B131E" w:rsidRPr="00BA7805" w:rsidRDefault="005B131E" w:rsidP="002542E1">
            <w:pPr>
              <w:pStyle w:val="ARfintablebodyright"/>
              <w:spacing w:before="30" w:after="10"/>
              <w:rPr>
                <w:highlight w:val="green"/>
              </w:rPr>
            </w:pPr>
            <w:r w:rsidRPr="00E74D55">
              <w:t>53.9</w:t>
            </w:r>
          </w:p>
        </w:tc>
        <w:tc>
          <w:tcPr>
            <w:tcW w:w="567" w:type="dxa"/>
            <w:tcBorders>
              <w:top w:val="single" w:sz="4" w:space="0" w:color="A6A6A6" w:themeColor="background1" w:themeShade="A6"/>
              <w:bottom w:val="single" w:sz="4" w:space="0" w:color="A6A6A6" w:themeColor="background1" w:themeShade="A6"/>
            </w:tcBorders>
            <w:noWrap/>
          </w:tcPr>
          <w:p w14:paraId="3B1D4FE7" w14:textId="77777777" w:rsidR="005B131E" w:rsidRPr="006503CC" w:rsidRDefault="005B131E" w:rsidP="002542E1">
            <w:pPr>
              <w:pStyle w:val="ARfintablebodyright"/>
              <w:spacing w:before="30" w:after="10"/>
              <w:rPr>
                <w:rStyle w:val="Superscript"/>
                <w:highlight w:val="green"/>
              </w:rPr>
            </w:pPr>
            <w:r w:rsidRPr="006503CC">
              <w:rPr>
                <w:vertAlign w:val="superscript"/>
              </w:rPr>
              <w:t>(ii)</w:t>
            </w:r>
          </w:p>
        </w:tc>
      </w:tr>
      <w:tr w:rsidR="005B131E" w:rsidRPr="00BA7805" w14:paraId="201FB6A8" w14:textId="77777777" w:rsidTr="002542E1">
        <w:trPr>
          <w:cantSplit w:val="0"/>
        </w:trPr>
        <w:tc>
          <w:tcPr>
            <w:tcW w:w="3684" w:type="dxa"/>
            <w:tcBorders>
              <w:top w:val="single" w:sz="4" w:space="0" w:color="A6A6A6" w:themeColor="background1" w:themeShade="A6"/>
              <w:bottom w:val="single" w:sz="4" w:space="0" w:color="A6A6A6" w:themeColor="background1" w:themeShade="A6"/>
            </w:tcBorders>
          </w:tcPr>
          <w:p w14:paraId="044E72D4" w14:textId="77777777" w:rsidR="005B131E" w:rsidRPr="00BA7805" w:rsidRDefault="005B131E" w:rsidP="002542E1">
            <w:pPr>
              <w:pStyle w:val="ARfintablebody"/>
              <w:spacing w:before="30" w:after="10"/>
              <w:rPr>
                <w:highlight w:val="green"/>
              </w:rPr>
            </w:pPr>
            <w:r w:rsidRPr="00BD55DF">
              <w:t>Addition to net assets</w:t>
            </w:r>
          </w:p>
        </w:tc>
        <w:tc>
          <w:tcPr>
            <w:tcW w:w="1276" w:type="dxa"/>
            <w:tcBorders>
              <w:top w:val="single" w:sz="4" w:space="0" w:color="A6A6A6" w:themeColor="background1" w:themeShade="A6"/>
              <w:bottom w:val="single" w:sz="4" w:space="0" w:color="A6A6A6" w:themeColor="background1" w:themeShade="A6"/>
            </w:tcBorders>
            <w:noWrap/>
          </w:tcPr>
          <w:p w14:paraId="5097CFE9" w14:textId="77777777" w:rsidR="005B131E" w:rsidRPr="00BA7805" w:rsidRDefault="005B131E" w:rsidP="002542E1">
            <w:pPr>
              <w:pStyle w:val="ARfintablebodyright"/>
              <w:spacing w:before="30" w:after="10"/>
              <w:rPr>
                <w:highlight w:val="green"/>
              </w:rPr>
            </w:pPr>
            <w:r w:rsidRPr="00E74D55">
              <w:t>606.0</w:t>
            </w:r>
          </w:p>
        </w:tc>
        <w:tc>
          <w:tcPr>
            <w:tcW w:w="1276" w:type="dxa"/>
            <w:tcBorders>
              <w:top w:val="single" w:sz="4" w:space="0" w:color="A6A6A6" w:themeColor="background1" w:themeShade="A6"/>
              <w:bottom w:val="single" w:sz="4" w:space="0" w:color="A6A6A6" w:themeColor="background1" w:themeShade="A6"/>
            </w:tcBorders>
            <w:noWrap/>
          </w:tcPr>
          <w:p w14:paraId="6B0FED84" w14:textId="77777777" w:rsidR="005B131E" w:rsidRPr="00BA7805" w:rsidRDefault="005B131E" w:rsidP="002542E1">
            <w:pPr>
              <w:pStyle w:val="ARfintablebodyright"/>
              <w:spacing w:before="30" w:after="10"/>
              <w:rPr>
                <w:highlight w:val="green"/>
              </w:rPr>
            </w:pPr>
            <w:r w:rsidRPr="00E74D55">
              <w:t>169.5</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5D17D2EB" w14:textId="77777777" w:rsidR="005B131E" w:rsidRPr="00BA7805" w:rsidRDefault="005B131E" w:rsidP="002542E1">
            <w:pPr>
              <w:pStyle w:val="ARfintablebodyright"/>
              <w:spacing w:before="30" w:after="10"/>
              <w:rPr>
                <w:highlight w:val="green"/>
              </w:rPr>
            </w:pPr>
            <w:r w:rsidRPr="00E74D55">
              <w:t>11.6</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760365D9" w14:textId="77777777" w:rsidR="005B131E" w:rsidRPr="00BA7805" w:rsidRDefault="005B131E" w:rsidP="002542E1">
            <w:pPr>
              <w:pStyle w:val="ARfintablebodyright"/>
              <w:spacing w:before="30" w:after="10"/>
              <w:rPr>
                <w:highlight w:val="green"/>
              </w:rPr>
            </w:pPr>
            <w:r w:rsidRPr="00E74D55">
              <w:t>17.2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7B6725EC" w14:textId="77777777" w:rsidR="005B131E" w:rsidRPr="00BA7805" w:rsidRDefault="005B131E" w:rsidP="002542E1">
            <w:pPr>
              <w:pStyle w:val="ARfintablebodyright"/>
              <w:spacing w:before="30" w:after="10"/>
              <w:rPr>
                <w:highlight w:val="green"/>
              </w:rPr>
            </w:pPr>
            <w:r w:rsidRPr="00E74D55">
              <w:t>18.5</w:t>
            </w:r>
          </w:p>
        </w:tc>
        <w:tc>
          <w:tcPr>
            <w:tcW w:w="1276" w:type="dxa"/>
            <w:tcBorders>
              <w:top w:val="single" w:sz="4" w:space="0" w:color="A6A6A6" w:themeColor="background1" w:themeShade="A6"/>
              <w:bottom w:val="single" w:sz="4" w:space="0" w:color="A6A6A6" w:themeColor="background1" w:themeShade="A6"/>
            </w:tcBorders>
            <w:noWrap/>
          </w:tcPr>
          <w:p w14:paraId="3F26C4BF" w14:textId="77777777" w:rsidR="005B131E" w:rsidRPr="00BA7805" w:rsidRDefault="005B131E" w:rsidP="002542E1">
            <w:pPr>
              <w:pStyle w:val="ARfintablebodyright"/>
              <w:spacing w:before="30" w:after="10"/>
              <w:rPr>
                <w:highlight w:val="green"/>
              </w:rPr>
            </w:pPr>
            <w:r w:rsidRPr="00E74D55">
              <w:t>822.8</w:t>
            </w:r>
          </w:p>
        </w:tc>
        <w:tc>
          <w:tcPr>
            <w:tcW w:w="1276" w:type="dxa"/>
            <w:tcBorders>
              <w:top w:val="single" w:sz="4" w:space="0" w:color="A6A6A6" w:themeColor="background1" w:themeShade="A6"/>
              <w:bottom w:val="single" w:sz="4" w:space="0" w:color="A6A6A6" w:themeColor="background1" w:themeShade="A6"/>
            </w:tcBorders>
            <w:noWrap/>
          </w:tcPr>
          <w:p w14:paraId="4D56B086" w14:textId="77777777" w:rsidR="005B131E" w:rsidRPr="00BA7805" w:rsidRDefault="005B131E" w:rsidP="002542E1">
            <w:pPr>
              <w:pStyle w:val="ARfintablebodyright"/>
              <w:spacing w:before="30" w:after="10"/>
              <w:rPr>
                <w:highlight w:val="green"/>
              </w:rPr>
            </w:pPr>
            <w:r w:rsidRPr="00E74D55">
              <w:t>779.3</w:t>
            </w:r>
          </w:p>
        </w:tc>
        <w:tc>
          <w:tcPr>
            <w:tcW w:w="1276" w:type="dxa"/>
            <w:tcBorders>
              <w:top w:val="single" w:sz="4" w:space="0" w:color="A6A6A6" w:themeColor="background1" w:themeShade="A6"/>
              <w:bottom w:val="single" w:sz="4" w:space="0" w:color="A6A6A6" w:themeColor="background1" w:themeShade="A6"/>
            </w:tcBorders>
            <w:noWrap/>
          </w:tcPr>
          <w:p w14:paraId="11BED60E" w14:textId="77777777" w:rsidR="005B131E" w:rsidRPr="00BA7805" w:rsidRDefault="005B131E" w:rsidP="002542E1">
            <w:pPr>
              <w:pStyle w:val="ARfintablebodyright"/>
              <w:spacing w:before="30" w:after="10"/>
              <w:rPr>
                <w:highlight w:val="green"/>
              </w:rPr>
            </w:pPr>
            <w:r w:rsidRPr="00E74D55">
              <w:t>43.5</w:t>
            </w:r>
          </w:p>
        </w:tc>
        <w:tc>
          <w:tcPr>
            <w:tcW w:w="567" w:type="dxa"/>
            <w:tcBorders>
              <w:top w:val="single" w:sz="4" w:space="0" w:color="A6A6A6" w:themeColor="background1" w:themeShade="A6"/>
              <w:bottom w:val="single" w:sz="4" w:space="0" w:color="A6A6A6" w:themeColor="background1" w:themeShade="A6"/>
            </w:tcBorders>
            <w:noWrap/>
          </w:tcPr>
          <w:p w14:paraId="6126949A" w14:textId="77777777" w:rsidR="005B131E" w:rsidRPr="006503CC" w:rsidRDefault="005B131E" w:rsidP="002542E1">
            <w:pPr>
              <w:pStyle w:val="ARfintablebodyright"/>
              <w:spacing w:before="30" w:after="10"/>
              <w:rPr>
                <w:rStyle w:val="Superscript"/>
                <w:highlight w:val="green"/>
              </w:rPr>
            </w:pPr>
            <w:r w:rsidRPr="006503CC">
              <w:rPr>
                <w:vertAlign w:val="superscript"/>
              </w:rPr>
              <w:t>(iii)</w:t>
            </w:r>
          </w:p>
        </w:tc>
      </w:tr>
      <w:tr w:rsidR="005B131E" w:rsidRPr="00BA7805" w14:paraId="06D06B96" w14:textId="77777777" w:rsidTr="002542E1">
        <w:trPr>
          <w:cantSplit w:val="0"/>
        </w:trPr>
        <w:tc>
          <w:tcPr>
            <w:tcW w:w="14459" w:type="dxa"/>
            <w:gridSpan w:val="10"/>
            <w:tcBorders>
              <w:top w:val="single" w:sz="4" w:space="0" w:color="A6A6A6" w:themeColor="background1" w:themeShade="A6"/>
              <w:bottom w:val="single" w:sz="4" w:space="0" w:color="A6A6A6" w:themeColor="background1" w:themeShade="A6"/>
            </w:tcBorders>
          </w:tcPr>
          <w:p w14:paraId="7BAF1548" w14:textId="77777777" w:rsidR="005B131E" w:rsidRPr="00BA7805" w:rsidRDefault="005B131E">
            <w:pPr>
              <w:pStyle w:val="ARfintablebodybold"/>
              <w:spacing w:before="30" w:after="10"/>
              <w:rPr>
                <w:highlight w:val="green"/>
              </w:rPr>
            </w:pPr>
            <w:r w:rsidRPr="00086A1A">
              <w:t>Administered</w:t>
            </w:r>
          </w:p>
        </w:tc>
      </w:tr>
      <w:tr w:rsidR="005B131E" w:rsidRPr="00BA7805" w14:paraId="09A25422" w14:textId="77777777" w:rsidTr="002542E1">
        <w:trPr>
          <w:cantSplit w:val="0"/>
        </w:trPr>
        <w:tc>
          <w:tcPr>
            <w:tcW w:w="3684" w:type="dxa"/>
            <w:tcBorders>
              <w:top w:val="single" w:sz="4" w:space="0" w:color="A6A6A6" w:themeColor="background1" w:themeShade="A6"/>
            </w:tcBorders>
          </w:tcPr>
          <w:p w14:paraId="04BC19DC" w14:textId="77777777" w:rsidR="005B131E" w:rsidRPr="00BA7805" w:rsidRDefault="005B131E" w:rsidP="002542E1">
            <w:pPr>
              <w:pStyle w:val="ARfintablebody"/>
              <w:spacing w:before="30" w:after="10"/>
              <w:rPr>
                <w:highlight w:val="green"/>
              </w:rPr>
            </w:pPr>
            <w:r w:rsidRPr="00550287">
              <w:t xml:space="preserve">Payments made on behalf of the State </w:t>
            </w:r>
          </w:p>
        </w:tc>
        <w:tc>
          <w:tcPr>
            <w:tcW w:w="1276" w:type="dxa"/>
            <w:tcBorders>
              <w:top w:val="single" w:sz="4" w:space="0" w:color="A6A6A6" w:themeColor="background1" w:themeShade="A6"/>
            </w:tcBorders>
            <w:noWrap/>
          </w:tcPr>
          <w:p w14:paraId="3F38C186" w14:textId="77777777" w:rsidR="005B131E" w:rsidRPr="00BA7805" w:rsidRDefault="005B131E" w:rsidP="002542E1">
            <w:pPr>
              <w:pStyle w:val="ARfintablebodyright"/>
              <w:spacing w:before="30" w:after="10"/>
              <w:rPr>
                <w:highlight w:val="green"/>
              </w:rPr>
            </w:pPr>
            <w:r w:rsidRPr="00AC749F">
              <w:t>2,856.8</w:t>
            </w:r>
          </w:p>
        </w:tc>
        <w:tc>
          <w:tcPr>
            <w:tcW w:w="1276" w:type="dxa"/>
            <w:tcBorders>
              <w:top w:val="single" w:sz="4" w:space="0" w:color="A6A6A6" w:themeColor="background1" w:themeShade="A6"/>
            </w:tcBorders>
            <w:noWrap/>
          </w:tcPr>
          <w:p w14:paraId="7F64F8C8" w14:textId="77777777" w:rsidR="005B131E" w:rsidRPr="00BA7805" w:rsidRDefault="005B131E" w:rsidP="002542E1">
            <w:pPr>
              <w:pStyle w:val="ARfintablebodyright"/>
              <w:spacing w:before="30" w:after="10"/>
              <w:rPr>
                <w:highlight w:val="green"/>
              </w:rPr>
            </w:pPr>
            <w:r>
              <w:t>–</w:t>
            </w:r>
          </w:p>
        </w:tc>
        <w:tc>
          <w:tcPr>
            <w:tcW w:w="1276" w:type="dxa"/>
            <w:tcBorders>
              <w:top w:val="single" w:sz="4" w:space="0" w:color="A6A6A6" w:themeColor="background1" w:themeShade="A6"/>
              <w:right w:val="nil"/>
            </w:tcBorders>
            <w:shd w:val="clear" w:color="auto" w:fill="E7E6E6" w:themeFill="accent4"/>
            <w:noWrap/>
          </w:tcPr>
          <w:p w14:paraId="5FA91F51" w14:textId="77777777" w:rsidR="005B131E" w:rsidRPr="00BA7805" w:rsidRDefault="005B131E" w:rsidP="002542E1">
            <w:pPr>
              <w:pStyle w:val="ARfintablebodyright"/>
              <w:spacing w:before="30" w:after="10"/>
              <w:rPr>
                <w:highlight w:val="green"/>
              </w:rPr>
            </w:pPr>
            <w:r>
              <w:t>–</w:t>
            </w:r>
          </w:p>
        </w:tc>
        <w:tc>
          <w:tcPr>
            <w:tcW w:w="1276" w:type="dxa"/>
            <w:tcBorders>
              <w:top w:val="single" w:sz="4" w:space="0" w:color="A6A6A6" w:themeColor="background1" w:themeShade="A6"/>
              <w:left w:val="nil"/>
              <w:right w:val="nil"/>
            </w:tcBorders>
            <w:shd w:val="clear" w:color="auto" w:fill="E7E6E6" w:themeFill="accent4"/>
            <w:noWrap/>
          </w:tcPr>
          <w:p w14:paraId="762360A1" w14:textId="77777777" w:rsidR="005B131E" w:rsidRPr="00BA7805" w:rsidRDefault="005B131E" w:rsidP="002542E1">
            <w:pPr>
              <w:pStyle w:val="ARfintablebodyright"/>
              <w:spacing w:before="30" w:after="10"/>
              <w:rPr>
                <w:highlight w:val="green"/>
              </w:rPr>
            </w:pPr>
            <w:r>
              <w:t>–</w:t>
            </w:r>
          </w:p>
        </w:tc>
        <w:tc>
          <w:tcPr>
            <w:tcW w:w="1276" w:type="dxa"/>
            <w:tcBorders>
              <w:top w:val="single" w:sz="4" w:space="0" w:color="A6A6A6" w:themeColor="background1" w:themeShade="A6"/>
              <w:left w:val="nil"/>
              <w:right w:val="nil"/>
            </w:tcBorders>
            <w:shd w:val="clear" w:color="auto" w:fill="E7E6E6" w:themeFill="accent4"/>
            <w:noWrap/>
          </w:tcPr>
          <w:p w14:paraId="463F0A82" w14:textId="77777777" w:rsidR="005B131E" w:rsidRPr="00BA7805" w:rsidRDefault="005B131E" w:rsidP="002542E1">
            <w:pPr>
              <w:pStyle w:val="ARfintablebodyright"/>
              <w:spacing w:before="30" w:after="10"/>
              <w:rPr>
                <w:highlight w:val="green"/>
              </w:rPr>
            </w:pPr>
            <w:r w:rsidRPr="00AC749F">
              <w:t>54.2</w:t>
            </w:r>
          </w:p>
        </w:tc>
        <w:tc>
          <w:tcPr>
            <w:tcW w:w="1276" w:type="dxa"/>
            <w:tcBorders>
              <w:top w:val="single" w:sz="4" w:space="0" w:color="A6A6A6" w:themeColor="background1" w:themeShade="A6"/>
            </w:tcBorders>
            <w:noWrap/>
          </w:tcPr>
          <w:p w14:paraId="7B82E72D" w14:textId="77777777" w:rsidR="005B131E" w:rsidRPr="00BA7805" w:rsidRDefault="005B131E" w:rsidP="002542E1">
            <w:pPr>
              <w:pStyle w:val="ARfintablebodyright"/>
              <w:spacing w:before="30" w:after="10"/>
              <w:rPr>
                <w:highlight w:val="green"/>
              </w:rPr>
            </w:pPr>
            <w:r w:rsidRPr="00AC749F">
              <w:t>2,911.0</w:t>
            </w:r>
          </w:p>
        </w:tc>
        <w:tc>
          <w:tcPr>
            <w:tcW w:w="1276" w:type="dxa"/>
            <w:tcBorders>
              <w:top w:val="single" w:sz="4" w:space="0" w:color="A6A6A6" w:themeColor="background1" w:themeShade="A6"/>
            </w:tcBorders>
            <w:noWrap/>
          </w:tcPr>
          <w:p w14:paraId="67EBB443" w14:textId="77777777" w:rsidR="005B131E" w:rsidRPr="00BA7805" w:rsidRDefault="005B131E" w:rsidP="002542E1">
            <w:pPr>
              <w:pStyle w:val="ARfintablebodyright"/>
              <w:spacing w:before="30" w:after="10"/>
              <w:rPr>
                <w:highlight w:val="green"/>
              </w:rPr>
            </w:pPr>
            <w:r w:rsidRPr="00AC749F">
              <w:t>2,862.7</w:t>
            </w:r>
          </w:p>
        </w:tc>
        <w:tc>
          <w:tcPr>
            <w:tcW w:w="1276" w:type="dxa"/>
            <w:tcBorders>
              <w:top w:val="single" w:sz="4" w:space="0" w:color="A6A6A6" w:themeColor="background1" w:themeShade="A6"/>
            </w:tcBorders>
            <w:noWrap/>
          </w:tcPr>
          <w:p w14:paraId="586F658D" w14:textId="77777777" w:rsidR="005B131E" w:rsidRPr="00BA7805" w:rsidRDefault="005B131E" w:rsidP="002542E1">
            <w:pPr>
              <w:pStyle w:val="ARfintablebodyright"/>
              <w:spacing w:before="30" w:after="10"/>
              <w:rPr>
                <w:highlight w:val="green"/>
              </w:rPr>
            </w:pPr>
            <w:r w:rsidRPr="00AC749F">
              <w:t>48.3</w:t>
            </w:r>
          </w:p>
        </w:tc>
        <w:tc>
          <w:tcPr>
            <w:tcW w:w="567" w:type="dxa"/>
            <w:tcBorders>
              <w:top w:val="single" w:sz="4" w:space="0" w:color="A6A6A6" w:themeColor="background1" w:themeShade="A6"/>
            </w:tcBorders>
            <w:noWrap/>
          </w:tcPr>
          <w:p w14:paraId="4497ABB0" w14:textId="77777777" w:rsidR="005B131E" w:rsidRPr="00BA7805" w:rsidRDefault="005B131E" w:rsidP="002542E1">
            <w:pPr>
              <w:pStyle w:val="ARfintablebodyright"/>
              <w:spacing w:before="30" w:after="10"/>
              <w:rPr>
                <w:highlight w:val="green"/>
              </w:rPr>
            </w:pPr>
          </w:p>
        </w:tc>
      </w:tr>
      <w:tr w:rsidR="005B131E" w:rsidRPr="00BA7805" w14:paraId="51B0CB71" w14:textId="77777777" w:rsidTr="002542E1">
        <w:trPr>
          <w:cantSplit w:val="0"/>
        </w:trPr>
        <w:tc>
          <w:tcPr>
            <w:tcW w:w="3684" w:type="dxa"/>
            <w:tcBorders>
              <w:bottom w:val="single" w:sz="4" w:space="0" w:color="auto"/>
            </w:tcBorders>
          </w:tcPr>
          <w:p w14:paraId="338263FC" w14:textId="77777777" w:rsidR="005B131E" w:rsidRPr="00BA7805" w:rsidRDefault="005B131E" w:rsidP="002542E1">
            <w:pPr>
              <w:pStyle w:val="ARfintablebodybold"/>
              <w:spacing w:before="30" w:after="10"/>
              <w:rPr>
                <w:highlight w:val="green"/>
              </w:rPr>
            </w:pPr>
            <w:r w:rsidRPr="00550287">
              <w:t>Total</w:t>
            </w:r>
          </w:p>
        </w:tc>
        <w:tc>
          <w:tcPr>
            <w:tcW w:w="1276" w:type="dxa"/>
            <w:tcBorders>
              <w:bottom w:val="single" w:sz="4" w:space="0" w:color="auto"/>
            </w:tcBorders>
            <w:noWrap/>
          </w:tcPr>
          <w:p w14:paraId="2C4286E6" w14:textId="77777777" w:rsidR="005B131E" w:rsidRPr="00BA7805" w:rsidRDefault="005B131E" w:rsidP="002542E1">
            <w:pPr>
              <w:pStyle w:val="ARfintablebodyrightbold"/>
              <w:spacing w:before="30" w:after="10"/>
              <w:rPr>
                <w:highlight w:val="green"/>
              </w:rPr>
            </w:pPr>
            <w:r w:rsidRPr="00AC749F">
              <w:t>7,798.7</w:t>
            </w:r>
          </w:p>
        </w:tc>
        <w:tc>
          <w:tcPr>
            <w:tcW w:w="1276" w:type="dxa"/>
            <w:tcBorders>
              <w:bottom w:val="single" w:sz="4" w:space="0" w:color="auto"/>
            </w:tcBorders>
            <w:noWrap/>
          </w:tcPr>
          <w:p w14:paraId="0F3E02EB" w14:textId="77777777" w:rsidR="005B131E" w:rsidRPr="00BA7805" w:rsidRDefault="005B131E" w:rsidP="002542E1">
            <w:pPr>
              <w:pStyle w:val="ARfintablebodyrightbold"/>
              <w:spacing w:before="30" w:after="10"/>
              <w:rPr>
                <w:highlight w:val="green"/>
              </w:rPr>
            </w:pPr>
            <w:r w:rsidRPr="00AC749F">
              <w:t>505.3</w:t>
            </w:r>
          </w:p>
        </w:tc>
        <w:tc>
          <w:tcPr>
            <w:tcW w:w="1276" w:type="dxa"/>
            <w:tcBorders>
              <w:top w:val="single" w:sz="4" w:space="0" w:color="auto"/>
              <w:bottom w:val="single" w:sz="4" w:space="0" w:color="auto"/>
              <w:right w:val="nil"/>
            </w:tcBorders>
            <w:shd w:val="clear" w:color="auto" w:fill="E7E6E6" w:themeFill="accent4"/>
            <w:noWrap/>
          </w:tcPr>
          <w:p w14:paraId="5902B149" w14:textId="77777777" w:rsidR="005B131E" w:rsidRPr="00BA7805" w:rsidRDefault="005B131E" w:rsidP="002542E1">
            <w:pPr>
              <w:pStyle w:val="ARfintablebodyrightbold"/>
              <w:spacing w:before="30" w:after="10"/>
              <w:rPr>
                <w:highlight w:val="green"/>
              </w:rPr>
            </w:pPr>
            <w:r w:rsidRPr="00AC749F">
              <w:t>698.6</w:t>
            </w:r>
          </w:p>
        </w:tc>
        <w:tc>
          <w:tcPr>
            <w:tcW w:w="1276" w:type="dxa"/>
            <w:tcBorders>
              <w:top w:val="single" w:sz="4" w:space="0" w:color="auto"/>
              <w:left w:val="nil"/>
              <w:bottom w:val="single" w:sz="4" w:space="0" w:color="auto"/>
              <w:right w:val="nil"/>
            </w:tcBorders>
            <w:shd w:val="clear" w:color="auto" w:fill="E7E6E6" w:themeFill="accent4"/>
            <w:noWrap/>
          </w:tcPr>
          <w:p w14:paraId="57581509" w14:textId="77777777" w:rsidR="005B131E" w:rsidRPr="00BA7805" w:rsidRDefault="005B131E" w:rsidP="002542E1">
            <w:pPr>
              <w:pStyle w:val="ARfintablebodyrightbold"/>
              <w:spacing w:before="30" w:after="10"/>
              <w:rPr>
                <w:highlight w:val="green"/>
              </w:rPr>
            </w:pPr>
            <w:r>
              <w:t>–</w:t>
            </w:r>
          </w:p>
        </w:tc>
        <w:tc>
          <w:tcPr>
            <w:tcW w:w="1276" w:type="dxa"/>
            <w:tcBorders>
              <w:left w:val="nil"/>
              <w:bottom w:val="single" w:sz="4" w:space="0" w:color="auto"/>
              <w:right w:val="nil"/>
            </w:tcBorders>
            <w:shd w:val="clear" w:color="auto" w:fill="E7E6E6" w:themeFill="accent4"/>
            <w:noWrap/>
          </w:tcPr>
          <w:p w14:paraId="692BDA1A" w14:textId="77777777" w:rsidR="005B131E" w:rsidRPr="00BA7805" w:rsidRDefault="005B131E" w:rsidP="002542E1">
            <w:pPr>
              <w:pStyle w:val="ARfintablebodyrightbold"/>
              <w:spacing w:before="30" w:after="10"/>
              <w:rPr>
                <w:highlight w:val="green"/>
              </w:rPr>
            </w:pPr>
            <w:r w:rsidRPr="00AC749F">
              <w:t>87.4</w:t>
            </w:r>
          </w:p>
        </w:tc>
        <w:tc>
          <w:tcPr>
            <w:tcW w:w="1276" w:type="dxa"/>
            <w:tcBorders>
              <w:bottom w:val="single" w:sz="4" w:space="0" w:color="auto"/>
            </w:tcBorders>
            <w:noWrap/>
          </w:tcPr>
          <w:p w14:paraId="525AFD7F" w14:textId="77777777" w:rsidR="005B131E" w:rsidRPr="00BA7805" w:rsidRDefault="005B131E" w:rsidP="002542E1">
            <w:pPr>
              <w:pStyle w:val="ARfintablebodyrightbold"/>
              <w:spacing w:before="30" w:after="10"/>
              <w:rPr>
                <w:highlight w:val="green"/>
              </w:rPr>
            </w:pPr>
            <w:r w:rsidRPr="00AC749F">
              <w:t>9,089.9</w:t>
            </w:r>
          </w:p>
        </w:tc>
        <w:tc>
          <w:tcPr>
            <w:tcW w:w="1276" w:type="dxa"/>
            <w:tcBorders>
              <w:bottom w:val="single" w:sz="4" w:space="0" w:color="auto"/>
            </w:tcBorders>
            <w:noWrap/>
          </w:tcPr>
          <w:p w14:paraId="07BBDA1D" w14:textId="77777777" w:rsidR="005B131E" w:rsidRPr="00BA7805" w:rsidRDefault="005B131E" w:rsidP="002542E1">
            <w:pPr>
              <w:pStyle w:val="ARfintablebodyrightbold"/>
              <w:spacing w:before="30" w:after="10"/>
              <w:rPr>
                <w:highlight w:val="green"/>
              </w:rPr>
            </w:pPr>
            <w:r w:rsidRPr="00AC749F">
              <w:t>8,944.2</w:t>
            </w:r>
          </w:p>
        </w:tc>
        <w:tc>
          <w:tcPr>
            <w:tcW w:w="1276" w:type="dxa"/>
            <w:tcBorders>
              <w:bottom w:val="single" w:sz="4" w:space="0" w:color="auto"/>
            </w:tcBorders>
            <w:noWrap/>
          </w:tcPr>
          <w:p w14:paraId="4CAB505E" w14:textId="77777777" w:rsidR="005B131E" w:rsidRPr="00BA7805" w:rsidRDefault="005B131E" w:rsidP="002542E1">
            <w:pPr>
              <w:pStyle w:val="ARfintablebodyrightbold"/>
              <w:spacing w:before="30" w:after="10"/>
              <w:rPr>
                <w:highlight w:val="green"/>
              </w:rPr>
            </w:pPr>
            <w:r w:rsidRPr="00AC749F">
              <w:t>145.7</w:t>
            </w:r>
          </w:p>
        </w:tc>
        <w:tc>
          <w:tcPr>
            <w:tcW w:w="567" w:type="dxa"/>
            <w:tcBorders>
              <w:bottom w:val="single" w:sz="4" w:space="0" w:color="auto"/>
            </w:tcBorders>
            <w:noWrap/>
          </w:tcPr>
          <w:p w14:paraId="63370B13" w14:textId="77777777" w:rsidR="005B131E" w:rsidRPr="00BA7805" w:rsidRDefault="005B131E" w:rsidP="002542E1">
            <w:pPr>
              <w:pStyle w:val="ARfintablebodyrightbold"/>
              <w:spacing w:before="30" w:after="10"/>
              <w:rPr>
                <w:highlight w:val="green"/>
              </w:rPr>
            </w:pPr>
          </w:p>
        </w:tc>
      </w:tr>
      <w:tr w:rsidR="005B131E" w:rsidRPr="00BA7805" w14:paraId="7FE3418C" w14:textId="77777777" w:rsidTr="002542E1">
        <w:trPr>
          <w:cantSplit w:val="0"/>
        </w:trPr>
        <w:tc>
          <w:tcPr>
            <w:tcW w:w="14459" w:type="dxa"/>
            <w:gridSpan w:val="10"/>
            <w:tcBorders>
              <w:top w:val="single" w:sz="4" w:space="0" w:color="auto"/>
              <w:bottom w:val="single" w:sz="4" w:space="0" w:color="A6A6A6" w:themeColor="background1" w:themeShade="A6"/>
            </w:tcBorders>
          </w:tcPr>
          <w:p w14:paraId="06798B57" w14:textId="77777777" w:rsidR="005B131E" w:rsidRPr="00BA7805" w:rsidRDefault="005B131E" w:rsidP="002542E1">
            <w:pPr>
              <w:pStyle w:val="ARfintablebodybold"/>
              <w:spacing w:before="30" w:after="10"/>
              <w:rPr>
                <w:highlight w:val="green"/>
              </w:rPr>
            </w:pPr>
            <w:r w:rsidRPr="00BF4F0D">
              <w:t>2023</w:t>
            </w:r>
          </w:p>
        </w:tc>
      </w:tr>
      <w:tr w:rsidR="005B131E" w:rsidRPr="00BA7805" w14:paraId="31596C75" w14:textId="77777777" w:rsidTr="002542E1">
        <w:trPr>
          <w:cantSplit w:val="0"/>
        </w:trPr>
        <w:tc>
          <w:tcPr>
            <w:tcW w:w="14459" w:type="dxa"/>
            <w:gridSpan w:val="10"/>
            <w:tcBorders>
              <w:top w:val="single" w:sz="4" w:space="0" w:color="A6A6A6" w:themeColor="background1" w:themeShade="A6"/>
              <w:bottom w:val="single" w:sz="4" w:space="0" w:color="A6A6A6" w:themeColor="background1" w:themeShade="A6"/>
            </w:tcBorders>
          </w:tcPr>
          <w:p w14:paraId="4C5699DC" w14:textId="77777777" w:rsidR="005B131E" w:rsidRPr="00BA7805" w:rsidRDefault="005B131E" w:rsidP="002542E1">
            <w:pPr>
              <w:pStyle w:val="ARfintablebodybold"/>
              <w:spacing w:before="30" w:after="10"/>
              <w:rPr>
                <w:highlight w:val="green"/>
              </w:rPr>
            </w:pPr>
            <w:r w:rsidRPr="00BF4F0D">
              <w:t>Controlled</w:t>
            </w:r>
          </w:p>
        </w:tc>
      </w:tr>
      <w:tr w:rsidR="005B131E" w:rsidRPr="00BA7805" w14:paraId="63592B14" w14:textId="77777777" w:rsidTr="002542E1">
        <w:trPr>
          <w:cantSplit w:val="0"/>
        </w:trPr>
        <w:tc>
          <w:tcPr>
            <w:tcW w:w="3684" w:type="dxa"/>
            <w:tcBorders>
              <w:top w:val="single" w:sz="4" w:space="0" w:color="A6A6A6" w:themeColor="background1" w:themeShade="A6"/>
              <w:bottom w:val="single" w:sz="4" w:space="0" w:color="A6A6A6" w:themeColor="background1" w:themeShade="A6"/>
            </w:tcBorders>
          </w:tcPr>
          <w:p w14:paraId="4EA28EAF" w14:textId="77777777" w:rsidR="005B131E" w:rsidRPr="00BA7805" w:rsidRDefault="005B131E" w:rsidP="002542E1">
            <w:pPr>
              <w:pStyle w:val="ARfintablebody"/>
              <w:spacing w:before="30" w:after="10"/>
              <w:rPr>
                <w:highlight w:val="green"/>
              </w:rPr>
            </w:pPr>
            <w:r w:rsidRPr="002D59F0">
              <w:t>Provision of outputs</w:t>
            </w:r>
          </w:p>
        </w:tc>
        <w:tc>
          <w:tcPr>
            <w:tcW w:w="1276" w:type="dxa"/>
            <w:tcBorders>
              <w:top w:val="single" w:sz="4" w:space="0" w:color="A6A6A6" w:themeColor="background1" w:themeShade="A6"/>
              <w:bottom w:val="single" w:sz="4" w:space="0" w:color="A6A6A6" w:themeColor="background1" w:themeShade="A6"/>
            </w:tcBorders>
            <w:noWrap/>
          </w:tcPr>
          <w:p w14:paraId="4D48A2AB" w14:textId="77777777" w:rsidR="005B131E" w:rsidRPr="00BA7805" w:rsidRDefault="005B131E" w:rsidP="002542E1">
            <w:pPr>
              <w:pStyle w:val="ARfintablebodyright"/>
              <w:spacing w:before="30" w:after="10"/>
              <w:rPr>
                <w:highlight w:val="green"/>
              </w:rPr>
            </w:pPr>
            <w:r w:rsidRPr="00D71CE0">
              <w:t>4,247.6</w:t>
            </w:r>
          </w:p>
        </w:tc>
        <w:tc>
          <w:tcPr>
            <w:tcW w:w="1276" w:type="dxa"/>
            <w:tcBorders>
              <w:top w:val="single" w:sz="4" w:space="0" w:color="A6A6A6" w:themeColor="background1" w:themeShade="A6"/>
              <w:bottom w:val="single" w:sz="4" w:space="0" w:color="A6A6A6" w:themeColor="background1" w:themeShade="A6"/>
            </w:tcBorders>
            <w:noWrap/>
          </w:tcPr>
          <w:p w14:paraId="769564D1" w14:textId="77777777" w:rsidR="005B131E" w:rsidRPr="00BA7805" w:rsidRDefault="005B131E" w:rsidP="002542E1">
            <w:pPr>
              <w:pStyle w:val="ARfintablebodyright"/>
              <w:spacing w:before="30" w:after="10"/>
              <w:rPr>
                <w:highlight w:val="green"/>
              </w:rPr>
            </w:pPr>
            <w:r w:rsidRPr="00D71CE0">
              <w:t>213.2</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5C4998F0" w14:textId="77777777" w:rsidR="005B131E" w:rsidRPr="00BA7805" w:rsidRDefault="005B131E" w:rsidP="002542E1">
            <w:pPr>
              <w:pStyle w:val="ARfintablebodyright"/>
              <w:spacing w:before="30" w:after="10"/>
              <w:rPr>
                <w:highlight w:val="green"/>
              </w:rPr>
            </w:pPr>
            <w:r w:rsidRPr="00D71CE0">
              <w:t>459.0</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0E7D2880" w14:textId="77777777" w:rsidR="005B131E" w:rsidRPr="00BA7805" w:rsidRDefault="005B131E" w:rsidP="002542E1">
            <w:pPr>
              <w:pStyle w:val="ARfintablebodyright"/>
              <w:spacing w:before="30" w:after="10"/>
              <w:rPr>
                <w:highlight w:val="green"/>
              </w:rPr>
            </w:pPr>
            <w:r w:rsidRPr="00D71CE0">
              <w:t>110.2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72876CE5" w14:textId="77777777" w:rsidR="005B131E" w:rsidRPr="00BA7805" w:rsidRDefault="005B131E" w:rsidP="002542E1">
            <w:pPr>
              <w:pStyle w:val="ARfintablebodyright"/>
              <w:spacing w:before="30" w:after="10"/>
              <w:rPr>
                <w:highlight w:val="green"/>
              </w:rPr>
            </w:pPr>
            <w:r w:rsidRPr="00D71CE0">
              <w:t>22.3</w:t>
            </w:r>
          </w:p>
        </w:tc>
        <w:tc>
          <w:tcPr>
            <w:tcW w:w="1276" w:type="dxa"/>
            <w:tcBorders>
              <w:top w:val="single" w:sz="4" w:space="0" w:color="A6A6A6" w:themeColor="background1" w:themeShade="A6"/>
              <w:bottom w:val="single" w:sz="4" w:space="0" w:color="A6A6A6" w:themeColor="background1" w:themeShade="A6"/>
            </w:tcBorders>
            <w:noWrap/>
          </w:tcPr>
          <w:p w14:paraId="50698873" w14:textId="77777777" w:rsidR="005B131E" w:rsidRPr="00BA7805" w:rsidRDefault="005B131E" w:rsidP="002542E1">
            <w:pPr>
              <w:pStyle w:val="ARfintablebodyright"/>
              <w:spacing w:before="30" w:after="10"/>
              <w:rPr>
                <w:highlight w:val="green"/>
              </w:rPr>
            </w:pPr>
            <w:r w:rsidRPr="00D71CE0">
              <w:t>5,052.3</w:t>
            </w:r>
          </w:p>
        </w:tc>
        <w:tc>
          <w:tcPr>
            <w:tcW w:w="1276" w:type="dxa"/>
            <w:tcBorders>
              <w:top w:val="single" w:sz="4" w:space="0" w:color="A6A6A6" w:themeColor="background1" w:themeShade="A6"/>
              <w:bottom w:val="single" w:sz="4" w:space="0" w:color="A6A6A6" w:themeColor="background1" w:themeShade="A6"/>
            </w:tcBorders>
            <w:noWrap/>
          </w:tcPr>
          <w:p w14:paraId="7BA475F8" w14:textId="77777777" w:rsidR="005B131E" w:rsidRPr="00BA7805" w:rsidRDefault="005B131E" w:rsidP="002542E1">
            <w:pPr>
              <w:pStyle w:val="ARfintablebodyright"/>
              <w:spacing w:before="30" w:after="10"/>
              <w:rPr>
                <w:highlight w:val="green"/>
              </w:rPr>
            </w:pPr>
            <w:r w:rsidRPr="00D71CE0">
              <w:t>4,968.4</w:t>
            </w:r>
          </w:p>
        </w:tc>
        <w:tc>
          <w:tcPr>
            <w:tcW w:w="1276" w:type="dxa"/>
            <w:tcBorders>
              <w:top w:val="single" w:sz="4" w:space="0" w:color="A6A6A6" w:themeColor="background1" w:themeShade="A6"/>
              <w:bottom w:val="single" w:sz="4" w:space="0" w:color="A6A6A6" w:themeColor="background1" w:themeShade="A6"/>
            </w:tcBorders>
            <w:noWrap/>
          </w:tcPr>
          <w:p w14:paraId="6F4EB542" w14:textId="77777777" w:rsidR="005B131E" w:rsidRPr="00BA7805" w:rsidRDefault="005B131E" w:rsidP="002542E1">
            <w:pPr>
              <w:pStyle w:val="ARfintablebodyright"/>
              <w:spacing w:before="30" w:after="10"/>
              <w:rPr>
                <w:highlight w:val="green"/>
              </w:rPr>
            </w:pPr>
            <w:r w:rsidRPr="00D71CE0">
              <w:t>83.9</w:t>
            </w:r>
          </w:p>
        </w:tc>
        <w:tc>
          <w:tcPr>
            <w:tcW w:w="567" w:type="dxa"/>
            <w:tcBorders>
              <w:top w:val="single" w:sz="4" w:space="0" w:color="A6A6A6" w:themeColor="background1" w:themeShade="A6"/>
              <w:bottom w:val="single" w:sz="4" w:space="0" w:color="A6A6A6" w:themeColor="background1" w:themeShade="A6"/>
            </w:tcBorders>
            <w:noWrap/>
          </w:tcPr>
          <w:p w14:paraId="398CA315" w14:textId="77777777" w:rsidR="005B131E" w:rsidRPr="006503CC" w:rsidRDefault="005B131E" w:rsidP="002542E1">
            <w:pPr>
              <w:pStyle w:val="ARfintablebodyright"/>
              <w:spacing w:before="30" w:after="10"/>
              <w:rPr>
                <w:rStyle w:val="Superscript"/>
                <w:highlight w:val="green"/>
              </w:rPr>
            </w:pPr>
            <w:r w:rsidRPr="006503CC">
              <w:rPr>
                <w:vertAlign w:val="superscript"/>
              </w:rPr>
              <w:t>(iv)</w:t>
            </w:r>
          </w:p>
        </w:tc>
      </w:tr>
      <w:tr w:rsidR="005B131E" w:rsidRPr="00BA7805" w14:paraId="41EE6511" w14:textId="77777777" w:rsidTr="002542E1">
        <w:trPr>
          <w:cantSplit w:val="0"/>
        </w:trPr>
        <w:tc>
          <w:tcPr>
            <w:tcW w:w="3684" w:type="dxa"/>
            <w:tcBorders>
              <w:top w:val="single" w:sz="4" w:space="0" w:color="A6A6A6" w:themeColor="background1" w:themeShade="A6"/>
              <w:bottom w:val="single" w:sz="4" w:space="0" w:color="A6A6A6" w:themeColor="background1" w:themeShade="A6"/>
            </w:tcBorders>
          </w:tcPr>
          <w:p w14:paraId="6ED67EEC" w14:textId="77777777" w:rsidR="005B131E" w:rsidRPr="00BA7805" w:rsidRDefault="005B131E" w:rsidP="002542E1">
            <w:pPr>
              <w:pStyle w:val="ARfintablebody"/>
              <w:spacing w:before="30" w:after="10"/>
              <w:rPr>
                <w:highlight w:val="green"/>
              </w:rPr>
            </w:pPr>
            <w:r w:rsidRPr="002D59F0">
              <w:t>Addition to net assets</w:t>
            </w:r>
          </w:p>
        </w:tc>
        <w:tc>
          <w:tcPr>
            <w:tcW w:w="1276" w:type="dxa"/>
            <w:tcBorders>
              <w:top w:val="single" w:sz="4" w:space="0" w:color="A6A6A6" w:themeColor="background1" w:themeShade="A6"/>
              <w:bottom w:val="single" w:sz="4" w:space="0" w:color="A6A6A6" w:themeColor="background1" w:themeShade="A6"/>
            </w:tcBorders>
            <w:noWrap/>
          </w:tcPr>
          <w:p w14:paraId="35D009B6" w14:textId="77777777" w:rsidR="005B131E" w:rsidRPr="00BA7805" w:rsidRDefault="005B131E" w:rsidP="002542E1">
            <w:pPr>
              <w:pStyle w:val="ARfintablebodyright"/>
              <w:spacing w:before="30" w:after="10"/>
              <w:rPr>
                <w:highlight w:val="green"/>
              </w:rPr>
            </w:pPr>
            <w:r w:rsidRPr="00D71CE0">
              <w:t>784.8</w:t>
            </w:r>
          </w:p>
        </w:tc>
        <w:tc>
          <w:tcPr>
            <w:tcW w:w="1276" w:type="dxa"/>
            <w:tcBorders>
              <w:top w:val="single" w:sz="4" w:space="0" w:color="A6A6A6" w:themeColor="background1" w:themeShade="A6"/>
              <w:bottom w:val="single" w:sz="4" w:space="0" w:color="A6A6A6" w:themeColor="background1" w:themeShade="A6"/>
            </w:tcBorders>
            <w:noWrap/>
          </w:tcPr>
          <w:p w14:paraId="09116D34" w14:textId="77777777" w:rsidR="005B131E" w:rsidRPr="00BA7805" w:rsidRDefault="005B131E" w:rsidP="002542E1">
            <w:pPr>
              <w:pStyle w:val="ARfintablebodyright"/>
              <w:spacing w:before="30" w:after="10"/>
              <w:rPr>
                <w:highlight w:val="green"/>
              </w:rPr>
            </w:pPr>
            <w:r w:rsidRPr="00D71CE0">
              <w:t>38.6</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7C970E72" w14:textId="77777777" w:rsidR="005B131E" w:rsidRPr="00BA7805" w:rsidRDefault="005B131E" w:rsidP="002542E1">
            <w:pPr>
              <w:pStyle w:val="ARfintablebodyright"/>
              <w:spacing w:before="30" w:after="10"/>
              <w:rPr>
                <w:highlight w:val="green"/>
              </w:rPr>
            </w:pPr>
            <w:r w:rsidRPr="00D71CE0">
              <w:t>18.2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4A123236" w14:textId="77777777" w:rsidR="005B131E" w:rsidRPr="00BA7805" w:rsidRDefault="005B131E" w:rsidP="002542E1">
            <w:pPr>
              <w:pStyle w:val="ARfintablebodyright"/>
              <w:spacing w:before="30" w:after="10"/>
              <w:rPr>
                <w:highlight w:val="green"/>
              </w:rPr>
            </w:pPr>
            <w:r w:rsidRPr="00D71CE0">
              <w:t>(110.2)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71D12C4" w14:textId="77777777" w:rsidR="005B131E" w:rsidRPr="00BA7805" w:rsidRDefault="005B131E" w:rsidP="002542E1">
            <w:pPr>
              <w:pStyle w:val="ARfintablebodyright"/>
              <w:spacing w:before="30" w:after="10"/>
              <w:rPr>
                <w:highlight w:val="green"/>
              </w:rPr>
            </w:pPr>
            <w:r w:rsidRPr="00D71CE0">
              <w:t>14.5</w:t>
            </w:r>
          </w:p>
        </w:tc>
        <w:tc>
          <w:tcPr>
            <w:tcW w:w="1276" w:type="dxa"/>
            <w:tcBorders>
              <w:top w:val="single" w:sz="4" w:space="0" w:color="A6A6A6" w:themeColor="background1" w:themeShade="A6"/>
              <w:bottom w:val="single" w:sz="4" w:space="0" w:color="A6A6A6" w:themeColor="background1" w:themeShade="A6"/>
            </w:tcBorders>
            <w:noWrap/>
          </w:tcPr>
          <w:p w14:paraId="7165B82D" w14:textId="77777777" w:rsidR="005B131E" w:rsidRPr="00BA7805" w:rsidRDefault="005B131E" w:rsidP="002542E1">
            <w:pPr>
              <w:pStyle w:val="ARfintablebodyright"/>
              <w:spacing w:before="30" w:after="10"/>
              <w:rPr>
                <w:highlight w:val="green"/>
              </w:rPr>
            </w:pPr>
            <w:r w:rsidRPr="00D71CE0">
              <w:t>745.9</w:t>
            </w:r>
          </w:p>
        </w:tc>
        <w:tc>
          <w:tcPr>
            <w:tcW w:w="1276" w:type="dxa"/>
            <w:tcBorders>
              <w:top w:val="single" w:sz="4" w:space="0" w:color="A6A6A6" w:themeColor="background1" w:themeShade="A6"/>
              <w:bottom w:val="single" w:sz="4" w:space="0" w:color="A6A6A6" w:themeColor="background1" w:themeShade="A6"/>
            </w:tcBorders>
            <w:noWrap/>
          </w:tcPr>
          <w:p w14:paraId="6657816B" w14:textId="77777777" w:rsidR="005B131E" w:rsidRPr="00BA7805" w:rsidRDefault="005B131E" w:rsidP="002542E1">
            <w:pPr>
              <w:pStyle w:val="ARfintablebodyright"/>
              <w:spacing w:before="30" w:after="10"/>
              <w:rPr>
                <w:highlight w:val="green"/>
              </w:rPr>
            </w:pPr>
            <w:r w:rsidRPr="00D71CE0">
              <w:t>625.5</w:t>
            </w:r>
          </w:p>
        </w:tc>
        <w:tc>
          <w:tcPr>
            <w:tcW w:w="1276" w:type="dxa"/>
            <w:tcBorders>
              <w:top w:val="single" w:sz="4" w:space="0" w:color="A6A6A6" w:themeColor="background1" w:themeShade="A6"/>
              <w:bottom w:val="single" w:sz="4" w:space="0" w:color="A6A6A6" w:themeColor="background1" w:themeShade="A6"/>
            </w:tcBorders>
            <w:noWrap/>
          </w:tcPr>
          <w:p w14:paraId="460CD570" w14:textId="77777777" w:rsidR="005B131E" w:rsidRPr="00BA7805" w:rsidRDefault="005B131E" w:rsidP="002542E1">
            <w:pPr>
              <w:pStyle w:val="ARfintablebodyright"/>
              <w:spacing w:before="30" w:after="10"/>
              <w:rPr>
                <w:highlight w:val="green"/>
              </w:rPr>
            </w:pPr>
            <w:r w:rsidRPr="00D71CE0">
              <w:t>120.4</w:t>
            </w:r>
          </w:p>
        </w:tc>
        <w:tc>
          <w:tcPr>
            <w:tcW w:w="567" w:type="dxa"/>
            <w:tcBorders>
              <w:top w:val="single" w:sz="4" w:space="0" w:color="A6A6A6" w:themeColor="background1" w:themeShade="A6"/>
              <w:bottom w:val="single" w:sz="4" w:space="0" w:color="A6A6A6" w:themeColor="background1" w:themeShade="A6"/>
            </w:tcBorders>
            <w:noWrap/>
          </w:tcPr>
          <w:p w14:paraId="75651548" w14:textId="77777777" w:rsidR="005B131E" w:rsidRPr="006503CC" w:rsidRDefault="005B131E" w:rsidP="002542E1">
            <w:pPr>
              <w:pStyle w:val="ARfintablebodyright"/>
              <w:spacing w:before="30" w:after="10"/>
              <w:rPr>
                <w:rStyle w:val="Superscript"/>
                <w:highlight w:val="green"/>
              </w:rPr>
            </w:pPr>
            <w:r w:rsidRPr="006503CC">
              <w:rPr>
                <w:vertAlign w:val="superscript"/>
              </w:rPr>
              <w:t>(v)</w:t>
            </w:r>
          </w:p>
        </w:tc>
      </w:tr>
      <w:tr w:rsidR="005B131E" w:rsidRPr="00BA7805" w14:paraId="55D5E52A" w14:textId="77777777" w:rsidTr="002542E1">
        <w:trPr>
          <w:cantSplit w:val="0"/>
        </w:trPr>
        <w:tc>
          <w:tcPr>
            <w:tcW w:w="14459" w:type="dxa"/>
            <w:gridSpan w:val="10"/>
            <w:tcBorders>
              <w:top w:val="single" w:sz="4" w:space="0" w:color="A6A6A6" w:themeColor="background1" w:themeShade="A6"/>
              <w:bottom w:val="single" w:sz="4" w:space="0" w:color="A6A6A6" w:themeColor="background1" w:themeShade="A6"/>
            </w:tcBorders>
          </w:tcPr>
          <w:p w14:paraId="71A80508" w14:textId="77777777" w:rsidR="005B131E" w:rsidRPr="00BA7805" w:rsidRDefault="005B131E" w:rsidP="002542E1">
            <w:pPr>
              <w:pStyle w:val="ARfintablebodybold"/>
              <w:spacing w:before="30" w:after="10"/>
              <w:rPr>
                <w:highlight w:val="green"/>
              </w:rPr>
            </w:pPr>
            <w:r w:rsidRPr="002D59F0">
              <w:t>Administered</w:t>
            </w:r>
          </w:p>
        </w:tc>
      </w:tr>
      <w:tr w:rsidR="005B131E" w:rsidRPr="00BA7805" w14:paraId="30056E75" w14:textId="77777777" w:rsidTr="002542E1">
        <w:trPr>
          <w:cantSplit w:val="0"/>
        </w:trPr>
        <w:tc>
          <w:tcPr>
            <w:tcW w:w="3684" w:type="dxa"/>
            <w:tcBorders>
              <w:top w:val="single" w:sz="4" w:space="0" w:color="A6A6A6" w:themeColor="background1" w:themeShade="A6"/>
            </w:tcBorders>
          </w:tcPr>
          <w:p w14:paraId="09C54D69" w14:textId="77777777" w:rsidR="005B131E" w:rsidRPr="00BA7805" w:rsidRDefault="005B131E" w:rsidP="002542E1">
            <w:pPr>
              <w:pStyle w:val="ARfintablebody"/>
              <w:spacing w:before="30" w:after="10"/>
              <w:rPr>
                <w:highlight w:val="green"/>
              </w:rPr>
            </w:pPr>
            <w:r w:rsidRPr="002D59F0">
              <w:t>Payments made on behalf of the State</w:t>
            </w:r>
          </w:p>
        </w:tc>
        <w:tc>
          <w:tcPr>
            <w:tcW w:w="1276" w:type="dxa"/>
            <w:tcBorders>
              <w:top w:val="single" w:sz="4" w:space="0" w:color="A6A6A6" w:themeColor="background1" w:themeShade="A6"/>
            </w:tcBorders>
            <w:noWrap/>
          </w:tcPr>
          <w:p w14:paraId="71375DC1" w14:textId="77777777" w:rsidR="005B131E" w:rsidRPr="00BA7805" w:rsidRDefault="005B131E" w:rsidP="002542E1">
            <w:pPr>
              <w:pStyle w:val="ARfintablebodyright"/>
              <w:spacing w:before="30" w:after="10"/>
              <w:rPr>
                <w:highlight w:val="green"/>
              </w:rPr>
            </w:pPr>
            <w:r w:rsidRPr="00D71CE0">
              <w:t>2,741.0</w:t>
            </w:r>
          </w:p>
        </w:tc>
        <w:tc>
          <w:tcPr>
            <w:tcW w:w="1276" w:type="dxa"/>
            <w:tcBorders>
              <w:top w:val="single" w:sz="4" w:space="0" w:color="A6A6A6" w:themeColor="background1" w:themeShade="A6"/>
            </w:tcBorders>
            <w:noWrap/>
          </w:tcPr>
          <w:p w14:paraId="7414A02F" w14:textId="77777777" w:rsidR="005B131E" w:rsidRPr="00BA7805" w:rsidRDefault="005B131E" w:rsidP="002542E1">
            <w:pPr>
              <w:pStyle w:val="ARfintablebodyright"/>
              <w:spacing w:before="30" w:after="10"/>
              <w:rPr>
                <w:highlight w:val="green"/>
              </w:rPr>
            </w:pPr>
            <w:r>
              <w:t>–</w:t>
            </w:r>
          </w:p>
        </w:tc>
        <w:tc>
          <w:tcPr>
            <w:tcW w:w="1276" w:type="dxa"/>
            <w:tcBorders>
              <w:top w:val="single" w:sz="4" w:space="0" w:color="A6A6A6" w:themeColor="background1" w:themeShade="A6"/>
              <w:right w:val="nil"/>
            </w:tcBorders>
            <w:shd w:val="clear" w:color="auto" w:fill="E7E6E6" w:themeFill="accent4"/>
            <w:noWrap/>
          </w:tcPr>
          <w:p w14:paraId="56521AA4" w14:textId="77777777" w:rsidR="005B131E" w:rsidRPr="00BA7805" w:rsidRDefault="005B131E" w:rsidP="002542E1">
            <w:pPr>
              <w:pStyle w:val="ARfintablebodyright"/>
              <w:spacing w:before="30" w:after="10"/>
              <w:rPr>
                <w:highlight w:val="green"/>
              </w:rPr>
            </w:pPr>
            <w:r>
              <w:t>–</w:t>
            </w:r>
          </w:p>
        </w:tc>
        <w:tc>
          <w:tcPr>
            <w:tcW w:w="1276" w:type="dxa"/>
            <w:tcBorders>
              <w:top w:val="single" w:sz="4" w:space="0" w:color="A6A6A6" w:themeColor="background1" w:themeShade="A6"/>
              <w:left w:val="nil"/>
              <w:right w:val="nil"/>
            </w:tcBorders>
            <w:shd w:val="clear" w:color="auto" w:fill="E7E6E6" w:themeFill="accent4"/>
            <w:noWrap/>
          </w:tcPr>
          <w:p w14:paraId="26D4F140" w14:textId="77777777" w:rsidR="005B131E" w:rsidRPr="00BA7805" w:rsidRDefault="005B131E" w:rsidP="002542E1">
            <w:pPr>
              <w:pStyle w:val="ARfintablebodyright"/>
              <w:spacing w:before="30" w:after="10"/>
              <w:rPr>
                <w:highlight w:val="green"/>
              </w:rPr>
            </w:pPr>
            <w:r>
              <w:t>–</w:t>
            </w:r>
          </w:p>
        </w:tc>
        <w:tc>
          <w:tcPr>
            <w:tcW w:w="1276" w:type="dxa"/>
            <w:tcBorders>
              <w:top w:val="single" w:sz="4" w:space="0" w:color="A6A6A6" w:themeColor="background1" w:themeShade="A6"/>
              <w:left w:val="nil"/>
              <w:right w:val="nil"/>
            </w:tcBorders>
            <w:shd w:val="clear" w:color="auto" w:fill="E7E6E6" w:themeFill="accent4"/>
            <w:noWrap/>
          </w:tcPr>
          <w:p w14:paraId="5237FEC3" w14:textId="77777777" w:rsidR="005B131E" w:rsidRPr="00BA7805" w:rsidRDefault="005B131E" w:rsidP="002542E1">
            <w:pPr>
              <w:pStyle w:val="ARfintablebodyright"/>
              <w:spacing w:before="30" w:after="10"/>
              <w:rPr>
                <w:highlight w:val="green"/>
              </w:rPr>
            </w:pPr>
            <w:r>
              <w:t>–</w:t>
            </w:r>
          </w:p>
        </w:tc>
        <w:tc>
          <w:tcPr>
            <w:tcW w:w="1276" w:type="dxa"/>
            <w:tcBorders>
              <w:top w:val="single" w:sz="4" w:space="0" w:color="A6A6A6" w:themeColor="background1" w:themeShade="A6"/>
            </w:tcBorders>
            <w:noWrap/>
          </w:tcPr>
          <w:p w14:paraId="493568DD" w14:textId="77777777" w:rsidR="005B131E" w:rsidRPr="00BA7805" w:rsidRDefault="005B131E" w:rsidP="002542E1">
            <w:pPr>
              <w:pStyle w:val="ARfintablebodyright"/>
              <w:spacing w:before="30" w:after="10"/>
              <w:rPr>
                <w:highlight w:val="green"/>
              </w:rPr>
            </w:pPr>
            <w:r w:rsidRPr="00D71CE0">
              <w:t>2,741.0</w:t>
            </w:r>
          </w:p>
        </w:tc>
        <w:tc>
          <w:tcPr>
            <w:tcW w:w="1276" w:type="dxa"/>
            <w:tcBorders>
              <w:top w:val="single" w:sz="4" w:space="0" w:color="A6A6A6" w:themeColor="background1" w:themeShade="A6"/>
            </w:tcBorders>
            <w:noWrap/>
          </w:tcPr>
          <w:p w14:paraId="2104C0F3" w14:textId="77777777" w:rsidR="005B131E" w:rsidRPr="00BA7805" w:rsidRDefault="005B131E" w:rsidP="002542E1">
            <w:pPr>
              <w:pStyle w:val="ARfintablebodyright"/>
              <w:spacing w:before="30" w:after="10"/>
              <w:rPr>
                <w:highlight w:val="green"/>
              </w:rPr>
            </w:pPr>
            <w:r w:rsidRPr="00D71CE0">
              <w:t>2,686.7</w:t>
            </w:r>
          </w:p>
        </w:tc>
        <w:tc>
          <w:tcPr>
            <w:tcW w:w="1276" w:type="dxa"/>
            <w:tcBorders>
              <w:top w:val="single" w:sz="4" w:space="0" w:color="A6A6A6" w:themeColor="background1" w:themeShade="A6"/>
            </w:tcBorders>
            <w:noWrap/>
          </w:tcPr>
          <w:p w14:paraId="4E6AFBE0" w14:textId="77777777" w:rsidR="005B131E" w:rsidRPr="00BA7805" w:rsidRDefault="005B131E" w:rsidP="002542E1">
            <w:pPr>
              <w:pStyle w:val="ARfintablebodyright"/>
              <w:spacing w:before="30" w:after="10"/>
              <w:rPr>
                <w:highlight w:val="green"/>
              </w:rPr>
            </w:pPr>
            <w:r w:rsidRPr="00D71CE0">
              <w:t>54.2</w:t>
            </w:r>
          </w:p>
        </w:tc>
        <w:tc>
          <w:tcPr>
            <w:tcW w:w="567" w:type="dxa"/>
            <w:tcBorders>
              <w:top w:val="single" w:sz="4" w:space="0" w:color="A6A6A6" w:themeColor="background1" w:themeShade="A6"/>
            </w:tcBorders>
            <w:noWrap/>
            <w:hideMark/>
          </w:tcPr>
          <w:p w14:paraId="794D92CB" w14:textId="77777777" w:rsidR="005B131E" w:rsidRPr="00BA7805" w:rsidRDefault="005B131E" w:rsidP="002542E1">
            <w:pPr>
              <w:pStyle w:val="ARfintablebodyright"/>
              <w:spacing w:before="30" w:after="10"/>
              <w:rPr>
                <w:highlight w:val="green"/>
              </w:rPr>
            </w:pPr>
          </w:p>
        </w:tc>
      </w:tr>
      <w:tr w:rsidR="005B131E" w:rsidRPr="00BA7805" w14:paraId="0896B83C" w14:textId="77777777" w:rsidTr="002542E1">
        <w:trPr>
          <w:cantSplit w:val="0"/>
        </w:trPr>
        <w:tc>
          <w:tcPr>
            <w:tcW w:w="3684" w:type="dxa"/>
          </w:tcPr>
          <w:p w14:paraId="5B6B49F5" w14:textId="77777777" w:rsidR="005B131E" w:rsidRPr="00BA7805" w:rsidRDefault="005B131E" w:rsidP="002542E1">
            <w:pPr>
              <w:pStyle w:val="ARfintablebodybold"/>
              <w:spacing w:before="30" w:after="10"/>
              <w:rPr>
                <w:highlight w:val="green"/>
              </w:rPr>
            </w:pPr>
            <w:r w:rsidRPr="002D59F0">
              <w:t>Total</w:t>
            </w:r>
          </w:p>
        </w:tc>
        <w:tc>
          <w:tcPr>
            <w:tcW w:w="1276" w:type="dxa"/>
            <w:noWrap/>
          </w:tcPr>
          <w:p w14:paraId="3E011279" w14:textId="77777777" w:rsidR="005B131E" w:rsidRPr="00BA7805" w:rsidRDefault="005B131E" w:rsidP="002542E1">
            <w:pPr>
              <w:pStyle w:val="ARfintablebodyrightbold"/>
              <w:spacing w:before="30" w:after="10"/>
              <w:rPr>
                <w:highlight w:val="green"/>
              </w:rPr>
            </w:pPr>
            <w:r w:rsidRPr="00D71CE0">
              <w:t>7,773.4</w:t>
            </w:r>
          </w:p>
        </w:tc>
        <w:tc>
          <w:tcPr>
            <w:tcW w:w="1276" w:type="dxa"/>
            <w:noWrap/>
          </w:tcPr>
          <w:p w14:paraId="4A2E76F6" w14:textId="77777777" w:rsidR="005B131E" w:rsidRPr="00BA7805" w:rsidRDefault="005B131E" w:rsidP="002542E1">
            <w:pPr>
              <w:pStyle w:val="ARfintablebodyrightbold"/>
              <w:spacing w:before="30" w:after="10"/>
              <w:rPr>
                <w:highlight w:val="green"/>
              </w:rPr>
            </w:pPr>
            <w:r w:rsidRPr="00D71CE0">
              <w:t>251.7</w:t>
            </w:r>
          </w:p>
        </w:tc>
        <w:tc>
          <w:tcPr>
            <w:tcW w:w="1276" w:type="dxa"/>
            <w:tcBorders>
              <w:top w:val="single" w:sz="4" w:space="0" w:color="auto"/>
              <w:right w:val="nil"/>
            </w:tcBorders>
            <w:shd w:val="clear" w:color="auto" w:fill="E7E6E6" w:themeFill="accent4"/>
            <w:noWrap/>
          </w:tcPr>
          <w:p w14:paraId="73968E63" w14:textId="77777777" w:rsidR="005B131E" w:rsidRPr="00BA7805" w:rsidRDefault="005B131E" w:rsidP="002542E1">
            <w:pPr>
              <w:pStyle w:val="ARfintablebodyrightbold"/>
              <w:spacing w:before="30" w:after="10"/>
              <w:rPr>
                <w:highlight w:val="green"/>
              </w:rPr>
            </w:pPr>
            <w:r w:rsidRPr="00D71CE0">
              <w:t>477.3</w:t>
            </w:r>
          </w:p>
        </w:tc>
        <w:tc>
          <w:tcPr>
            <w:tcW w:w="1276" w:type="dxa"/>
            <w:tcBorders>
              <w:top w:val="single" w:sz="4" w:space="0" w:color="auto"/>
              <w:left w:val="nil"/>
              <w:right w:val="nil"/>
            </w:tcBorders>
            <w:shd w:val="clear" w:color="auto" w:fill="E7E6E6" w:themeFill="accent4"/>
            <w:noWrap/>
          </w:tcPr>
          <w:p w14:paraId="71E14FB1" w14:textId="77777777" w:rsidR="005B131E" w:rsidRPr="00BA7805" w:rsidRDefault="005B131E" w:rsidP="002542E1">
            <w:pPr>
              <w:pStyle w:val="ARfintablebodyrightbold"/>
              <w:spacing w:before="30" w:after="10"/>
              <w:rPr>
                <w:highlight w:val="green"/>
              </w:rPr>
            </w:pPr>
            <w:r>
              <w:t>–</w:t>
            </w:r>
          </w:p>
        </w:tc>
        <w:tc>
          <w:tcPr>
            <w:tcW w:w="1276" w:type="dxa"/>
            <w:tcBorders>
              <w:left w:val="nil"/>
              <w:right w:val="nil"/>
            </w:tcBorders>
            <w:shd w:val="clear" w:color="auto" w:fill="E7E6E6" w:themeFill="accent4"/>
            <w:noWrap/>
          </w:tcPr>
          <w:p w14:paraId="6BBB3082" w14:textId="77777777" w:rsidR="005B131E" w:rsidRPr="00BA7805" w:rsidRDefault="005B131E" w:rsidP="002542E1">
            <w:pPr>
              <w:pStyle w:val="ARfintablebodyrightbold"/>
              <w:spacing w:before="30" w:after="10"/>
              <w:rPr>
                <w:highlight w:val="green"/>
              </w:rPr>
            </w:pPr>
            <w:r w:rsidRPr="00D71CE0">
              <w:t>36.8</w:t>
            </w:r>
          </w:p>
        </w:tc>
        <w:tc>
          <w:tcPr>
            <w:tcW w:w="1276" w:type="dxa"/>
            <w:noWrap/>
          </w:tcPr>
          <w:p w14:paraId="0740EB22" w14:textId="77777777" w:rsidR="005B131E" w:rsidRPr="00BA7805" w:rsidRDefault="005B131E" w:rsidP="002542E1">
            <w:pPr>
              <w:pStyle w:val="ARfintablebodyrightbold"/>
              <w:spacing w:before="30" w:after="10"/>
              <w:rPr>
                <w:highlight w:val="green"/>
              </w:rPr>
            </w:pPr>
            <w:r w:rsidRPr="00D71CE0">
              <w:t>8,539.1</w:t>
            </w:r>
          </w:p>
        </w:tc>
        <w:tc>
          <w:tcPr>
            <w:tcW w:w="1276" w:type="dxa"/>
            <w:noWrap/>
          </w:tcPr>
          <w:p w14:paraId="60892D39" w14:textId="77777777" w:rsidR="005B131E" w:rsidRPr="00BA7805" w:rsidRDefault="005B131E" w:rsidP="002542E1">
            <w:pPr>
              <w:pStyle w:val="ARfintablebodyrightbold"/>
              <w:spacing w:before="30" w:after="10"/>
              <w:rPr>
                <w:highlight w:val="green"/>
              </w:rPr>
            </w:pPr>
            <w:r w:rsidRPr="00D71CE0">
              <w:t>8,280.7</w:t>
            </w:r>
          </w:p>
        </w:tc>
        <w:tc>
          <w:tcPr>
            <w:tcW w:w="1276" w:type="dxa"/>
            <w:noWrap/>
          </w:tcPr>
          <w:p w14:paraId="0998D48D" w14:textId="77777777" w:rsidR="005B131E" w:rsidRPr="00BA7805" w:rsidRDefault="005B131E" w:rsidP="002542E1">
            <w:pPr>
              <w:pStyle w:val="ARfintablebodyrightbold"/>
              <w:spacing w:before="30" w:after="10"/>
              <w:rPr>
                <w:highlight w:val="green"/>
              </w:rPr>
            </w:pPr>
            <w:r w:rsidRPr="00D71CE0">
              <w:t>258.5</w:t>
            </w:r>
          </w:p>
        </w:tc>
        <w:tc>
          <w:tcPr>
            <w:tcW w:w="567" w:type="dxa"/>
            <w:noWrap/>
            <w:hideMark/>
          </w:tcPr>
          <w:p w14:paraId="471EEDD4" w14:textId="77777777" w:rsidR="005B131E" w:rsidRPr="00BA7805" w:rsidRDefault="005B131E" w:rsidP="002542E1">
            <w:pPr>
              <w:pStyle w:val="ARfintablebodyrightbold"/>
              <w:spacing w:before="30" w:after="10"/>
              <w:rPr>
                <w:highlight w:val="green"/>
              </w:rPr>
            </w:pPr>
          </w:p>
        </w:tc>
      </w:tr>
    </w:tbl>
    <w:p w14:paraId="19267D96" w14:textId="77777777" w:rsidR="005B131E" w:rsidRDefault="005B131E" w:rsidP="002542E1">
      <w:pPr>
        <w:pStyle w:val="ARfintablefootnote"/>
        <w:rPr>
          <w:lang w:eastAsia="en-AU"/>
        </w:rPr>
      </w:pPr>
      <w:r>
        <w:rPr>
          <w:lang w:eastAsia="en-AU"/>
        </w:rPr>
        <w:t>Notes:</w:t>
      </w:r>
    </w:p>
    <w:p w14:paraId="74ACA846" w14:textId="15452E5E" w:rsidR="005B131E" w:rsidRDefault="005B131E" w:rsidP="002542E1">
      <w:pPr>
        <w:pStyle w:val="ARfintablefootnotetabindent"/>
      </w:pPr>
      <w:r>
        <w:t xml:space="preserve">(i) </w:t>
      </w:r>
      <w:r>
        <w:tab/>
        <w:t xml:space="preserve">Revenue annotated to the </w:t>
      </w:r>
      <w:r w:rsidR="00E3343D">
        <w:t>d</w:t>
      </w:r>
      <w:r>
        <w:t>epartment</w:t>
      </w:r>
      <w:r w:rsidR="00711AE6">
        <w:t>’</w:t>
      </w:r>
      <w:r>
        <w:t xml:space="preserve">s appropriation under section 29 of the </w:t>
      </w:r>
      <w:r w:rsidRPr="00846E31">
        <w:rPr>
          <w:rStyle w:val="Emphasis"/>
        </w:rPr>
        <w:t>Financial Management Act 1994</w:t>
      </w:r>
      <w:r>
        <w:t xml:space="preserve"> predominantly include funding provided by the Commonwealth as part of the National Housing and Homelessness Agreement. Refer to Note 2.5 for further detail.</w:t>
      </w:r>
    </w:p>
    <w:p w14:paraId="1EC07BE5" w14:textId="77777777" w:rsidR="005B131E" w:rsidRDefault="005B131E" w:rsidP="002542E1">
      <w:pPr>
        <w:pStyle w:val="ARfintablefootnotetabindent"/>
      </w:pPr>
      <w:r>
        <w:t xml:space="preserve">(ii) </w:t>
      </w:r>
      <w:r>
        <w:tab/>
        <w:t xml:space="preserve">The provision of outputs variance of $53.9 million is primarily due to $39.3 million of funding that will be requested in 2024–25 to deliver services and projects. The remaining variance of $14.6 million relates to output appropriation authority not applied in 2023–24, primarily driven by changes to cashflow of output initiatives and lower than anticipated depreciation expenditure. </w:t>
      </w:r>
    </w:p>
    <w:p w14:paraId="595DBA69" w14:textId="1A107AAE" w:rsidR="005B131E" w:rsidRDefault="005B131E" w:rsidP="002542E1">
      <w:pPr>
        <w:pStyle w:val="ARfintablefootnotetabindent"/>
      </w:pPr>
      <w:r>
        <w:t xml:space="preserve">(iii) </w:t>
      </w:r>
      <w:r>
        <w:tab/>
        <w:t>The additions to net assets variance of $43.5 million predominantly relates to funding for projects that will be delivered in 2024–25 rather than 2023–24, offset by increase in appropriation reinstated as an alternative funding source in lieu of Treasurer</w:t>
      </w:r>
      <w:r w:rsidR="00711AE6">
        <w:t>’</w:t>
      </w:r>
      <w:r>
        <w:t xml:space="preserve">s Advance budget supplementation. </w:t>
      </w:r>
    </w:p>
    <w:p w14:paraId="7BC52D26" w14:textId="77777777" w:rsidR="005B131E" w:rsidRDefault="005B131E" w:rsidP="002542E1">
      <w:pPr>
        <w:pStyle w:val="ARfintablefootnotetabindent"/>
      </w:pPr>
      <w:r>
        <w:t xml:space="preserve">(iv) </w:t>
      </w:r>
      <w:r>
        <w:tab/>
        <w:t>The provision of outputs variance of $83.9 million is primarily due to $43.1 million of funding that will be requested in 2023–24 to deliver services and projects. The remaining variance of $40.7 million relates to output appropriation authority not applied in 2022–23, primarily driven by lower than anticipated demand for concession payments.</w:t>
      </w:r>
    </w:p>
    <w:p w14:paraId="5662174B" w14:textId="053F3756" w:rsidR="005B131E" w:rsidRDefault="005B131E" w:rsidP="002542E1">
      <w:pPr>
        <w:pStyle w:val="ARfintablefootnotetabindent"/>
      </w:pPr>
      <w:r>
        <w:t xml:space="preserve">(v) </w:t>
      </w:r>
      <w:r>
        <w:tab/>
        <w:t>The additions to net assets variance of $120.4 million is mainly driven by funding for projects that will be delivered in 2023–24 rather than 2022–23, offset by an increase in appropriation reinstated as an alternative funding source in lieu of Treasurer</w:t>
      </w:r>
      <w:r w:rsidR="00711AE6">
        <w:t>’</w:t>
      </w:r>
      <w:r>
        <w:t xml:space="preserve">s Advance budget supplementation. </w:t>
      </w:r>
    </w:p>
    <w:p w14:paraId="0C248844" w14:textId="77777777" w:rsidR="005B131E" w:rsidRPr="00BA7805" w:rsidRDefault="005B131E">
      <w:pPr>
        <w:pStyle w:val="ARfintablefootnotetabindent"/>
        <w:rPr>
          <w:rFonts w:cs="Arial"/>
          <w:szCs w:val="16"/>
          <w:highlight w:val="green"/>
        </w:rPr>
        <w:sectPr w:rsidR="005B131E" w:rsidRPr="00BA7805" w:rsidSect="005B131E">
          <w:footerReference w:type="even" r:id="rId144"/>
          <w:footnotePr>
            <w:numFmt w:val="lowerLetter"/>
            <w:numRestart w:val="eachPage"/>
          </w:footnotePr>
          <w:pgSz w:w="16838" w:h="11906" w:orient="landscape" w:code="9"/>
          <w:pgMar w:top="1134" w:right="1985" w:bottom="851" w:left="1134" w:header="510" w:footer="340" w:gutter="0"/>
          <w:cols w:space="708"/>
          <w:docGrid w:linePitch="360"/>
        </w:sectPr>
      </w:pPr>
    </w:p>
    <w:p w14:paraId="708C6162" w14:textId="77777777" w:rsidR="005B131E" w:rsidRPr="00BA7805" w:rsidRDefault="005B131E">
      <w:pPr>
        <w:pStyle w:val="ARfinbodylargespace"/>
        <w:rPr>
          <w:highlight w:val="green"/>
        </w:rPr>
      </w:pPr>
      <w:r w:rsidRPr="003D14D7">
        <w:t>The following table discloses the details of compliance with special appropriations:</w:t>
      </w:r>
    </w:p>
    <w:tbl>
      <w:tblPr>
        <w:tblStyle w:val="TableGrid"/>
        <w:tblW w:w="9637" w:type="dxa"/>
        <w:tblLayout w:type="fixed"/>
        <w:tblLook w:val="06A0" w:firstRow="1" w:lastRow="0" w:firstColumn="1" w:lastColumn="0" w:noHBand="1" w:noVBand="1"/>
      </w:tblPr>
      <w:tblGrid>
        <w:gridCol w:w="3683"/>
        <w:gridCol w:w="3232"/>
        <w:gridCol w:w="1361"/>
        <w:gridCol w:w="1361"/>
      </w:tblGrid>
      <w:tr w:rsidR="005B131E" w:rsidRPr="00BA7805" w14:paraId="24598192" w14:textId="77777777">
        <w:trPr>
          <w:cnfStyle w:val="100000000000" w:firstRow="1" w:lastRow="0" w:firstColumn="0" w:lastColumn="0" w:oddVBand="0" w:evenVBand="0" w:oddHBand="0" w:evenHBand="0" w:firstRowFirstColumn="0" w:firstRowLastColumn="0" w:lastRowFirstColumn="0" w:lastRowLastColumn="0"/>
          <w:tblHeader/>
        </w:trPr>
        <w:tc>
          <w:tcPr>
            <w:tcW w:w="3683" w:type="dxa"/>
            <w:vMerge w:val="restart"/>
            <w:noWrap/>
            <w:hideMark/>
          </w:tcPr>
          <w:p w14:paraId="5480CDC8" w14:textId="77777777" w:rsidR="005B131E" w:rsidRPr="0022097B" w:rsidRDefault="005B131E">
            <w:pPr>
              <w:pStyle w:val="ARfintablecolhead"/>
            </w:pPr>
            <w:r w:rsidRPr="0022097B">
              <w:t>Authority</w:t>
            </w:r>
          </w:p>
        </w:tc>
        <w:tc>
          <w:tcPr>
            <w:tcW w:w="3232" w:type="dxa"/>
            <w:vMerge w:val="restart"/>
            <w:noWrap/>
            <w:hideMark/>
          </w:tcPr>
          <w:p w14:paraId="6C63621F" w14:textId="77777777" w:rsidR="005B131E" w:rsidRPr="0022097B" w:rsidRDefault="005B131E">
            <w:pPr>
              <w:pStyle w:val="ARfintablecolhead"/>
            </w:pPr>
            <w:r w:rsidRPr="0022097B">
              <w:t>Purpose</w:t>
            </w:r>
          </w:p>
        </w:tc>
        <w:tc>
          <w:tcPr>
            <w:tcW w:w="2722" w:type="dxa"/>
            <w:gridSpan w:val="2"/>
            <w:hideMark/>
          </w:tcPr>
          <w:p w14:paraId="3BB831C1" w14:textId="77777777" w:rsidR="005B131E" w:rsidRPr="0022097B" w:rsidRDefault="005B131E">
            <w:pPr>
              <w:pStyle w:val="ARfintablecolheadright"/>
            </w:pPr>
            <w:r w:rsidRPr="0022097B">
              <w:t>Appropriation applied</w:t>
            </w:r>
          </w:p>
        </w:tc>
      </w:tr>
      <w:tr w:rsidR="005B131E" w:rsidRPr="00BA7805" w14:paraId="016DD14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683" w:type="dxa"/>
            <w:vMerge/>
            <w:noWrap/>
            <w:hideMark/>
          </w:tcPr>
          <w:p w14:paraId="18CC8A52" w14:textId="77777777" w:rsidR="005B131E" w:rsidRPr="0022097B" w:rsidRDefault="005B131E">
            <w:pPr>
              <w:pStyle w:val="ARfintablecolhead"/>
            </w:pPr>
          </w:p>
        </w:tc>
        <w:tc>
          <w:tcPr>
            <w:tcW w:w="3232" w:type="dxa"/>
            <w:vMerge/>
            <w:noWrap/>
            <w:hideMark/>
          </w:tcPr>
          <w:p w14:paraId="79E31BD1" w14:textId="77777777" w:rsidR="005B131E" w:rsidRPr="0022097B" w:rsidRDefault="005B131E">
            <w:pPr>
              <w:pStyle w:val="ARfintablecolhead"/>
            </w:pPr>
          </w:p>
        </w:tc>
        <w:tc>
          <w:tcPr>
            <w:tcW w:w="1361" w:type="dxa"/>
            <w:tcBorders>
              <w:bottom w:val="single" w:sz="4" w:space="0" w:color="auto"/>
            </w:tcBorders>
            <w:shd w:val="clear" w:color="auto" w:fill="E7E6E6" w:themeFill="accent4"/>
            <w:hideMark/>
          </w:tcPr>
          <w:p w14:paraId="18AF0B54" w14:textId="77777777" w:rsidR="005B131E" w:rsidRPr="0022097B" w:rsidRDefault="005B131E">
            <w:pPr>
              <w:pStyle w:val="ARfintablecolheadright"/>
            </w:pPr>
            <w:r w:rsidRPr="0022097B">
              <w:t>2024</w:t>
            </w:r>
          </w:p>
          <w:p w14:paraId="0E52464C" w14:textId="77777777" w:rsidR="005B131E" w:rsidRPr="0022097B" w:rsidRDefault="005B131E">
            <w:pPr>
              <w:pStyle w:val="ARfintablecolheadright"/>
            </w:pPr>
            <w:r w:rsidRPr="0022097B">
              <w:t>$M</w:t>
            </w:r>
          </w:p>
        </w:tc>
        <w:tc>
          <w:tcPr>
            <w:tcW w:w="1361" w:type="dxa"/>
            <w:tcBorders>
              <w:bottom w:val="single" w:sz="4" w:space="0" w:color="auto"/>
            </w:tcBorders>
            <w:hideMark/>
          </w:tcPr>
          <w:p w14:paraId="055F8E9B" w14:textId="77777777" w:rsidR="005B131E" w:rsidRPr="0022097B" w:rsidRDefault="005B131E">
            <w:pPr>
              <w:pStyle w:val="ARfintablecolheadright"/>
            </w:pPr>
            <w:r w:rsidRPr="0022097B">
              <w:t>2023</w:t>
            </w:r>
          </w:p>
          <w:p w14:paraId="3DEE7E3D" w14:textId="77777777" w:rsidR="005B131E" w:rsidRPr="0022097B" w:rsidRDefault="005B131E">
            <w:pPr>
              <w:pStyle w:val="ARfintablecolheadright"/>
            </w:pPr>
            <w:r w:rsidRPr="0022097B">
              <w:t>$M</w:t>
            </w:r>
          </w:p>
        </w:tc>
      </w:tr>
      <w:tr w:rsidR="005B131E" w:rsidRPr="00BA7805" w14:paraId="68FD3E8D" w14:textId="77777777" w:rsidTr="002542E1">
        <w:tc>
          <w:tcPr>
            <w:tcW w:w="3683" w:type="dxa"/>
            <w:tcBorders>
              <w:top w:val="single" w:sz="4" w:space="0" w:color="A6A6A6" w:themeColor="background1" w:themeShade="A6"/>
              <w:bottom w:val="single" w:sz="4" w:space="0" w:color="A6A6A6" w:themeColor="background1" w:themeShade="A6"/>
            </w:tcBorders>
          </w:tcPr>
          <w:p w14:paraId="6D01CEC7" w14:textId="77777777" w:rsidR="005B131E" w:rsidRPr="00BA7805" w:rsidRDefault="005B131E" w:rsidP="002542E1">
            <w:pPr>
              <w:pStyle w:val="ARfintablebody"/>
              <w:rPr>
                <w:highlight w:val="green"/>
              </w:rPr>
            </w:pPr>
            <w:r w:rsidRPr="001B720E">
              <w:t xml:space="preserve">Section 5.4.6 of the </w:t>
            </w:r>
            <w:r w:rsidRPr="001E161D">
              <w:rPr>
                <w:rStyle w:val="Emphasis"/>
              </w:rPr>
              <w:t>Gambling Regulation Act 2003</w:t>
            </w:r>
          </w:p>
        </w:tc>
        <w:tc>
          <w:tcPr>
            <w:tcW w:w="3232" w:type="dxa"/>
            <w:tcBorders>
              <w:top w:val="single" w:sz="4" w:space="0" w:color="A6A6A6" w:themeColor="background1" w:themeShade="A6"/>
              <w:bottom w:val="single" w:sz="4" w:space="0" w:color="A6A6A6" w:themeColor="background1" w:themeShade="A6"/>
            </w:tcBorders>
          </w:tcPr>
          <w:p w14:paraId="7966A785" w14:textId="77777777" w:rsidR="005B131E" w:rsidRPr="00BA7805" w:rsidRDefault="005B131E" w:rsidP="002542E1">
            <w:pPr>
              <w:pStyle w:val="ARfintablebody"/>
              <w:rPr>
                <w:highlight w:val="green"/>
              </w:rPr>
            </w:pPr>
            <w:r w:rsidRPr="008A45B0">
              <w:t>Contribution to the Mental Health</w:t>
            </w:r>
            <w:r>
              <w:t> </w:t>
            </w:r>
            <w:r w:rsidRPr="008A45B0">
              <w:t>Fund</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2358F07" w14:textId="77777777" w:rsidR="005B131E" w:rsidRPr="00BA7805" w:rsidRDefault="005B131E" w:rsidP="002542E1">
            <w:pPr>
              <w:pStyle w:val="ARfintablebodyright"/>
              <w:rPr>
                <w:highlight w:val="green"/>
              </w:rPr>
            </w:pPr>
            <w:r w:rsidRPr="00493B55">
              <w:t>63.9</w:t>
            </w:r>
          </w:p>
        </w:tc>
        <w:tc>
          <w:tcPr>
            <w:tcW w:w="1361" w:type="dxa"/>
            <w:tcBorders>
              <w:top w:val="single" w:sz="4" w:space="0" w:color="A6A6A6" w:themeColor="background1" w:themeShade="A6"/>
              <w:bottom w:val="single" w:sz="4" w:space="0" w:color="A6A6A6" w:themeColor="background1" w:themeShade="A6"/>
            </w:tcBorders>
            <w:noWrap/>
          </w:tcPr>
          <w:p w14:paraId="0BBCE72C" w14:textId="77777777" w:rsidR="005B131E" w:rsidRPr="00BA7805" w:rsidRDefault="005B131E" w:rsidP="002542E1">
            <w:pPr>
              <w:pStyle w:val="ARfintablebodyright"/>
              <w:rPr>
                <w:highlight w:val="green"/>
              </w:rPr>
            </w:pPr>
            <w:r w:rsidRPr="00493B55">
              <w:t>63.9</w:t>
            </w:r>
          </w:p>
        </w:tc>
      </w:tr>
      <w:tr w:rsidR="005B131E" w:rsidRPr="00BA7805" w14:paraId="091E4225" w14:textId="77777777" w:rsidTr="002542E1">
        <w:tc>
          <w:tcPr>
            <w:tcW w:w="3683" w:type="dxa"/>
            <w:tcBorders>
              <w:top w:val="single" w:sz="4" w:space="0" w:color="A6A6A6" w:themeColor="background1" w:themeShade="A6"/>
              <w:bottom w:val="single" w:sz="4" w:space="0" w:color="000000" w:themeColor="text1"/>
            </w:tcBorders>
          </w:tcPr>
          <w:p w14:paraId="56559092" w14:textId="77777777" w:rsidR="005B131E" w:rsidRPr="00BA7805" w:rsidRDefault="005B131E" w:rsidP="002542E1">
            <w:pPr>
              <w:pStyle w:val="ARfintablebody"/>
              <w:rPr>
                <w:highlight w:val="green"/>
              </w:rPr>
            </w:pPr>
            <w:r w:rsidRPr="001B720E">
              <w:t xml:space="preserve">Section 10 of the </w:t>
            </w:r>
            <w:r w:rsidRPr="001E161D">
              <w:rPr>
                <w:rStyle w:val="Emphasis"/>
              </w:rPr>
              <w:t>Financial Management Act 1994</w:t>
            </w:r>
          </w:p>
        </w:tc>
        <w:tc>
          <w:tcPr>
            <w:tcW w:w="3232" w:type="dxa"/>
            <w:tcBorders>
              <w:top w:val="single" w:sz="4" w:space="0" w:color="A6A6A6" w:themeColor="background1" w:themeShade="A6"/>
              <w:bottom w:val="single" w:sz="4" w:space="0" w:color="000000" w:themeColor="text1"/>
            </w:tcBorders>
          </w:tcPr>
          <w:p w14:paraId="2B9819B7" w14:textId="77777777" w:rsidR="005B131E" w:rsidRPr="00BA7805" w:rsidRDefault="005B131E" w:rsidP="002542E1">
            <w:pPr>
              <w:pStyle w:val="ARfintablebody"/>
              <w:rPr>
                <w:highlight w:val="green"/>
              </w:rPr>
            </w:pPr>
            <w:r w:rsidRPr="008A45B0">
              <w:t xml:space="preserve">Access to various Commonwealth grants </w:t>
            </w:r>
            <w:r>
              <w:t>–</w:t>
            </w:r>
            <w:r w:rsidRPr="008A45B0">
              <w:t xml:space="preserve"> provision of outputs</w:t>
            </w:r>
          </w:p>
        </w:tc>
        <w:tc>
          <w:tcPr>
            <w:tcW w:w="1361" w:type="dxa"/>
            <w:tcBorders>
              <w:top w:val="single" w:sz="4" w:space="0" w:color="A6A6A6" w:themeColor="background1" w:themeShade="A6"/>
              <w:bottom w:val="single" w:sz="4" w:space="0" w:color="000000" w:themeColor="text1"/>
            </w:tcBorders>
            <w:shd w:val="clear" w:color="auto" w:fill="E7E6E6" w:themeFill="accent4"/>
            <w:noWrap/>
          </w:tcPr>
          <w:p w14:paraId="051F51CF" w14:textId="77777777" w:rsidR="005B131E" w:rsidRPr="00BA7805" w:rsidRDefault="005B131E" w:rsidP="002542E1">
            <w:pPr>
              <w:pStyle w:val="ARfintablebodyright"/>
              <w:rPr>
                <w:highlight w:val="green"/>
              </w:rPr>
            </w:pPr>
            <w:r w:rsidRPr="00493B55">
              <w:t>15.6</w:t>
            </w:r>
          </w:p>
        </w:tc>
        <w:tc>
          <w:tcPr>
            <w:tcW w:w="1361" w:type="dxa"/>
            <w:tcBorders>
              <w:top w:val="single" w:sz="4" w:space="0" w:color="A6A6A6" w:themeColor="background1" w:themeShade="A6"/>
              <w:bottom w:val="single" w:sz="4" w:space="0" w:color="000000" w:themeColor="text1"/>
            </w:tcBorders>
            <w:noWrap/>
          </w:tcPr>
          <w:p w14:paraId="1D921AE3" w14:textId="77777777" w:rsidR="005B131E" w:rsidRPr="00BA7805" w:rsidRDefault="005B131E" w:rsidP="002542E1">
            <w:pPr>
              <w:pStyle w:val="ARfintablebodyright"/>
              <w:rPr>
                <w:highlight w:val="green"/>
              </w:rPr>
            </w:pPr>
            <w:r w:rsidRPr="00493B55">
              <w:t>15.1</w:t>
            </w:r>
          </w:p>
        </w:tc>
      </w:tr>
      <w:tr w:rsidR="005B131E" w:rsidRPr="00BA7805" w14:paraId="00EA2FE7" w14:textId="77777777" w:rsidTr="002542E1">
        <w:tc>
          <w:tcPr>
            <w:tcW w:w="3683" w:type="dxa"/>
            <w:tcBorders>
              <w:top w:val="single" w:sz="4" w:space="0" w:color="000000" w:themeColor="text1"/>
              <w:bottom w:val="single" w:sz="4" w:space="0" w:color="000000" w:themeColor="text1"/>
            </w:tcBorders>
          </w:tcPr>
          <w:p w14:paraId="68DC4A73" w14:textId="77777777" w:rsidR="005B131E" w:rsidRPr="00BA7805" w:rsidRDefault="005B131E" w:rsidP="002542E1">
            <w:pPr>
              <w:pStyle w:val="ARfintablebodybold"/>
              <w:rPr>
                <w:highlight w:val="green"/>
              </w:rPr>
            </w:pPr>
            <w:r w:rsidRPr="001B720E">
              <w:t xml:space="preserve">Total special appropriations </w:t>
            </w:r>
            <w:r>
              <w:t>–</w:t>
            </w:r>
            <w:r w:rsidRPr="001B720E">
              <w:t xml:space="preserve"> Provision of outputs</w:t>
            </w:r>
          </w:p>
        </w:tc>
        <w:tc>
          <w:tcPr>
            <w:tcW w:w="3232" w:type="dxa"/>
            <w:tcBorders>
              <w:top w:val="single" w:sz="4" w:space="0" w:color="000000" w:themeColor="text1"/>
              <w:bottom w:val="single" w:sz="4" w:space="0" w:color="000000" w:themeColor="text1"/>
            </w:tcBorders>
          </w:tcPr>
          <w:p w14:paraId="662102C7" w14:textId="77777777" w:rsidR="005B131E" w:rsidRPr="00BA7805" w:rsidRDefault="005B131E" w:rsidP="002542E1">
            <w:pPr>
              <w:pStyle w:val="ARfintablebodybold"/>
              <w:rPr>
                <w:highlight w:val="green"/>
              </w:rPr>
            </w:pPr>
          </w:p>
        </w:tc>
        <w:tc>
          <w:tcPr>
            <w:tcW w:w="1361" w:type="dxa"/>
            <w:tcBorders>
              <w:top w:val="single" w:sz="4" w:space="0" w:color="000000" w:themeColor="text1"/>
              <w:bottom w:val="single" w:sz="4" w:space="0" w:color="000000" w:themeColor="text1"/>
            </w:tcBorders>
            <w:shd w:val="clear" w:color="auto" w:fill="E7E6E6" w:themeFill="accent4"/>
            <w:noWrap/>
          </w:tcPr>
          <w:p w14:paraId="1B7486CE" w14:textId="77777777" w:rsidR="005B131E" w:rsidRPr="00BA7805" w:rsidRDefault="005B131E" w:rsidP="002542E1">
            <w:pPr>
              <w:pStyle w:val="ARfintablebodyrightbold"/>
              <w:rPr>
                <w:highlight w:val="green"/>
              </w:rPr>
            </w:pPr>
            <w:r w:rsidRPr="00493B55">
              <w:t>79.5</w:t>
            </w:r>
          </w:p>
        </w:tc>
        <w:tc>
          <w:tcPr>
            <w:tcW w:w="1361" w:type="dxa"/>
            <w:tcBorders>
              <w:top w:val="single" w:sz="4" w:space="0" w:color="000000" w:themeColor="text1"/>
              <w:bottom w:val="single" w:sz="4" w:space="0" w:color="000000" w:themeColor="text1"/>
            </w:tcBorders>
            <w:noWrap/>
          </w:tcPr>
          <w:p w14:paraId="60643FA3" w14:textId="77777777" w:rsidR="005B131E" w:rsidRPr="00BA7805" w:rsidRDefault="005B131E" w:rsidP="002542E1">
            <w:pPr>
              <w:pStyle w:val="ARfintablebodyrightbold"/>
              <w:rPr>
                <w:highlight w:val="green"/>
              </w:rPr>
            </w:pPr>
            <w:r w:rsidRPr="00493B55">
              <w:t>79.1</w:t>
            </w:r>
          </w:p>
        </w:tc>
      </w:tr>
      <w:tr w:rsidR="005B131E" w:rsidRPr="00BA7805" w14:paraId="7EEC0CE2" w14:textId="77777777" w:rsidTr="002542E1">
        <w:tc>
          <w:tcPr>
            <w:tcW w:w="3683" w:type="dxa"/>
            <w:tcBorders>
              <w:top w:val="single" w:sz="4" w:space="0" w:color="000000" w:themeColor="text1"/>
              <w:bottom w:val="single" w:sz="2" w:space="0" w:color="000000" w:themeColor="text1"/>
            </w:tcBorders>
          </w:tcPr>
          <w:p w14:paraId="333C62AC" w14:textId="77777777" w:rsidR="005B131E" w:rsidRPr="00BA7805" w:rsidRDefault="005B131E" w:rsidP="002542E1">
            <w:pPr>
              <w:pStyle w:val="ARfintablebody"/>
              <w:rPr>
                <w:highlight w:val="green"/>
              </w:rPr>
            </w:pPr>
            <w:r w:rsidRPr="001B720E">
              <w:t xml:space="preserve">Section 10 of the </w:t>
            </w:r>
            <w:r w:rsidRPr="001E161D">
              <w:rPr>
                <w:rStyle w:val="Emphasis"/>
              </w:rPr>
              <w:t>Financial Management Act 1994</w:t>
            </w:r>
          </w:p>
        </w:tc>
        <w:tc>
          <w:tcPr>
            <w:tcW w:w="3232" w:type="dxa"/>
            <w:tcBorders>
              <w:top w:val="single" w:sz="4" w:space="0" w:color="000000" w:themeColor="text1"/>
              <w:bottom w:val="single" w:sz="2" w:space="0" w:color="000000" w:themeColor="text1"/>
            </w:tcBorders>
          </w:tcPr>
          <w:p w14:paraId="2EA22B57" w14:textId="77777777" w:rsidR="005B131E" w:rsidRPr="00BA7805" w:rsidRDefault="005B131E" w:rsidP="002542E1">
            <w:pPr>
              <w:pStyle w:val="ARfintablebody"/>
              <w:rPr>
                <w:highlight w:val="green"/>
              </w:rPr>
            </w:pPr>
            <w:r w:rsidRPr="00404BBF">
              <w:t xml:space="preserve">Access to various Commonwealth grants </w:t>
            </w:r>
            <w:r>
              <w:t>–</w:t>
            </w:r>
            <w:r w:rsidRPr="00404BBF">
              <w:t xml:space="preserve"> addition to net assets</w:t>
            </w:r>
          </w:p>
        </w:tc>
        <w:tc>
          <w:tcPr>
            <w:tcW w:w="1361" w:type="dxa"/>
            <w:tcBorders>
              <w:top w:val="single" w:sz="4" w:space="0" w:color="000000" w:themeColor="text1"/>
              <w:bottom w:val="single" w:sz="2" w:space="0" w:color="000000" w:themeColor="text1"/>
            </w:tcBorders>
            <w:shd w:val="clear" w:color="auto" w:fill="E7E6E6" w:themeFill="accent4"/>
            <w:noWrap/>
          </w:tcPr>
          <w:p w14:paraId="1E657931" w14:textId="77777777" w:rsidR="005B131E" w:rsidRPr="00BA7805" w:rsidRDefault="005B131E" w:rsidP="002542E1">
            <w:pPr>
              <w:pStyle w:val="ARfintablebodyright"/>
              <w:rPr>
                <w:highlight w:val="green"/>
              </w:rPr>
            </w:pPr>
            <w:r w:rsidRPr="00991CFD">
              <w:t>52.8</w:t>
            </w:r>
          </w:p>
        </w:tc>
        <w:tc>
          <w:tcPr>
            <w:tcW w:w="1361" w:type="dxa"/>
            <w:tcBorders>
              <w:top w:val="single" w:sz="4" w:space="0" w:color="000000" w:themeColor="text1"/>
              <w:bottom w:val="single" w:sz="2" w:space="0" w:color="000000" w:themeColor="text1"/>
            </w:tcBorders>
            <w:noWrap/>
          </w:tcPr>
          <w:p w14:paraId="35E7210F" w14:textId="77777777" w:rsidR="005B131E" w:rsidRPr="00BA7805" w:rsidRDefault="005B131E" w:rsidP="002542E1">
            <w:pPr>
              <w:pStyle w:val="ARfintablebodyright"/>
              <w:rPr>
                <w:highlight w:val="green"/>
              </w:rPr>
            </w:pPr>
            <w:r>
              <w:t>–</w:t>
            </w:r>
          </w:p>
        </w:tc>
      </w:tr>
      <w:tr w:rsidR="005B131E" w:rsidRPr="00BA7805" w14:paraId="33BD577A" w14:textId="77777777" w:rsidTr="002542E1">
        <w:tc>
          <w:tcPr>
            <w:tcW w:w="3683" w:type="dxa"/>
            <w:tcBorders>
              <w:top w:val="single" w:sz="2" w:space="0" w:color="000000" w:themeColor="text1"/>
            </w:tcBorders>
          </w:tcPr>
          <w:p w14:paraId="40B726BF" w14:textId="77777777" w:rsidR="005B131E" w:rsidRPr="00BA7805" w:rsidRDefault="005B131E" w:rsidP="002542E1">
            <w:pPr>
              <w:pStyle w:val="ARfintablebodybold"/>
              <w:rPr>
                <w:highlight w:val="green"/>
              </w:rPr>
            </w:pPr>
            <w:r w:rsidRPr="001B720E">
              <w:t xml:space="preserve">Total special </w:t>
            </w:r>
            <w:r w:rsidRPr="00EF6879">
              <w:t>appropriations</w:t>
            </w:r>
            <w:r w:rsidRPr="001B720E">
              <w:t xml:space="preserve"> </w:t>
            </w:r>
            <w:r>
              <w:t>–</w:t>
            </w:r>
            <w:r w:rsidRPr="001B720E">
              <w:t xml:space="preserve"> Addition to net assets</w:t>
            </w:r>
          </w:p>
        </w:tc>
        <w:tc>
          <w:tcPr>
            <w:tcW w:w="3232" w:type="dxa"/>
            <w:tcBorders>
              <w:top w:val="single" w:sz="2" w:space="0" w:color="000000" w:themeColor="text1"/>
            </w:tcBorders>
          </w:tcPr>
          <w:p w14:paraId="4D5655E9" w14:textId="77777777" w:rsidR="005B131E" w:rsidRPr="00BA7805" w:rsidRDefault="005B131E" w:rsidP="002542E1">
            <w:pPr>
              <w:pStyle w:val="ARfintablebodybold"/>
              <w:rPr>
                <w:highlight w:val="green"/>
              </w:rPr>
            </w:pPr>
          </w:p>
        </w:tc>
        <w:tc>
          <w:tcPr>
            <w:tcW w:w="1361" w:type="dxa"/>
            <w:tcBorders>
              <w:top w:val="single" w:sz="2" w:space="0" w:color="000000" w:themeColor="text1"/>
            </w:tcBorders>
            <w:shd w:val="clear" w:color="auto" w:fill="E7E6E6" w:themeFill="accent4"/>
            <w:noWrap/>
          </w:tcPr>
          <w:p w14:paraId="042AB466" w14:textId="77777777" w:rsidR="005B131E" w:rsidRPr="00EF6879" w:rsidRDefault="005B131E" w:rsidP="002542E1">
            <w:pPr>
              <w:pStyle w:val="ARfintablebodyrightbold"/>
              <w:rPr>
                <w:highlight w:val="green"/>
              </w:rPr>
            </w:pPr>
            <w:r w:rsidRPr="00EF6879">
              <w:t>52.8</w:t>
            </w:r>
          </w:p>
        </w:tc>
        <w:tc>
          <w:tcPr>
            <w:tcW w:w="1361" w:type="dxa"/>
            <w:tcBorders>
              <w:top w:val="single" w:sz="2" w:space="0" w:color="000000" w:themeColor="text1"/>
            </w:tcBorders>
            <w:noWrap/>
          </w:tcPr>
          <w:p w14:paraId="75575DFB" w14:textId="77777777" w:rsidR="005B131E" w:rsidRPr="00EF6879" w:rsidRDefault="005B131E" w:rsidP="002542E1">
            <w:pPr>
              <w:pStyle w:val="ARfintablebodyrightbold"/>
              <w:rPr>
                <w:highlight w:val="green"/>
              </w:rPr>
            </w:pPr>
            <w:r w:rsidRPr="00EF6879">
              <w:t>–</w:t>
            </w:r>
          </w:p>
        </w:tc>
      </w:tr>
      <w:tr w:rsidR="005B131E" w:rsidRPr="00BA7805" w14:paraId="5122E892" w14:textId="77777777" w:rsidTr="002542E1">
        <w:tc>
          <w:tcPr>
            <w:tcW w:w="3683" w:type="dxa"/>
          </w:tcPr>
          <w:p w14:paraId="01D1AF60" w14:textId="77777777" w:rsidR="005B131E" w:rsidRPr="00BA7805" w:rsidRDefault="005B131E" w:rsidP="002542E1">
            <w:pPr>
              <w:pStyle w:val="ARfintablebodybold"/>
              <w:rPr>
                <w:highlight w:val="green"/>
              </w:rPr>
            </w:pPr>
            <w:r w:rsidRPr="001B720E">
              <w:t>Total special appropriations</w:t>
            </w:r>
          </w:p>
        </w:tc>
        <w:tc>
          <w:tcPr>
            <w:tcW w:w="3232" w:type="dxa"/>
          </w:tcPr>
          <w:p w14:paraId="6441B75C" w14:textId="77777777" w:rsidR="005B131E" w:rsidRPr="00BA7805" w:rsidRDefault="005B131E" w:rsidP="002542E1">
            <w:pPr>
              <w:pStyle w:val="ARfintablebody"/>
              <w:rPr>
                <w:highlight w:val="green"/>
              </w:rPr>
            </w:pPr>
          </w:p>
        </w:tc>
        <w:tc>
          <w:tcPr>
            <w:tcW w:w="1361" w:type="dxa"/>
            <w:shd w:val="clear" w:color="auto" w:fill="E7E6E6" w:themeFill="accent4"/>
            <w:noWrap/>
          </w:tcPr>
          <w:p w14:paraId="48243B2F" w14:textId="77777777" w:rsidR="005B131E" w:rsidRPr="00BA7805" w:rsidRDefault="005B131E" w:rsidP="002542E1">
            <w:pPr>
              <w:pStyle w:val="ARfintablebodyrightbold"/>
              <w:rPr>
                <w:highlight w:val="green"/>
              </w:rPr>
            </w:pPr>
            <w:r w:rsidRPr="00991CFD">
              <w:t>132.3</w:t>
            </w:r>
          </w:p>
        </w:tc>
        <w:tc>
          <w:tcPr>
            <w:tcW w:w="1361" w:type="dxa"/>
            <w:noWrap/>
          </w:tcPr>
          <w:p w14:paraId="30FF6719" w14:textId="77777777" w:rsidR="005B131E" w:rsidRPr="00BA7805" w:rsidRDefault="005B131E" w:rsidP="002542E1">
            <w:pPr>
              <w:pStyle w:val="ARfintablebodyrightbold"/>
              <w:rPr>
                <w:highlight w:val="green"/>
              </w:rPr>
            </w:pPr>
            <w:r w:rsidRPr="00991CFD">
              <w:t>79.1</w:t>
            </w:r>
          </w:p>
        </w:tc>
      </w:tr>
    </w:tbl>
    <w:p w14:paraId="4341159C" w14:textId="77777777" w:rsidR="005B131E" w:rsidRPr="00877468" w:rsidRDefault="005B131E">
      <w:pPr>
        <w:pStyle w:val="Heading4"/>
        <w:spacing w:before="400"/>
        <w:rPr>
          <w:lang w:eastAsia="en-AU"/>
        </w:rPr>
      </w:pPr>
      <w:r w:rsidRPr="00877468">
        <w:rPr>
          <w:lang w:eastAsia="en-AU"/>
        </w:rPr>
        <w:t>2.4 Income from transactions</w:t>
      </w:r>
    </w:p>
    <w:p w14:paraId="32E6E314" w14:textId="77777777" w:rsidR="005B131E" w:rsidRPr="00877468" w:rsidRDefault="005B131E" w:rsidP="002542E1">
      <w:pPr>
        <w:pStyle w:val="Heading5"/>
        <w:rPr>
          <w:lang w:eastAsia="en-AU"/>
        </w:rPr>
      </w:pPr>
      <w:r w:rsidRPr="00877468">
        <w:rPr>
          <w:lang w:eastAsia="en-AU"/>
        </w:rPr>
        <w:t>2.4.1 Rental income</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34F7B7A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5EA25533"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14AB64B0" w14:textId="77777777" w:rsidR="005B131E" w:rsidRPr="00877468" w:rsidRDefault="005B131E">
            <w:pPr>
              <w:pStyle w:val="ARfintablecolheadright"/>
            </w:pPr>
            <w:r w:rsidRPr="00877468">
              <w:t>2024</w:t>
            </w:r>
          </w:p>
          <w:p w14:paraId="0E4281A4" w14:textId="77777777" w:rsidR="005B131E" w:rsidRPr="00877468" w:rsidRDefault="005B131E">
            <w:pPr>
              <w:pStyle w:val="ARfintablecolheadright"/>
            </w:pPr>
            <w:r w:rsidRPr="00877468">
              <w:t>$M</w:t>
            </w:r>
          </w:p>
        </w:tc>
        <w:tc>
          <w:tcPr>
            <w:tcW w:w="1361" w:type="dxa"/>
            <w:tcBorders>
              <w:bottom w:val="single" w:sz="4" w:space="0" w:color="auto"/>
            </w:tcBorders>
            <w:hideMark/>
          </w:tcPr>
          <w:p w14:paraId="287431EB" w14:textId="77777777" w:rsidR="005B131E" w:rsidRPr="00877468" w:rsidRDefault="005B131E">
            <w:pPr>
              <w:pStyle w:val="ARfintablecolheadright"/>
            </w:pPr>
            <w:r w:rsidRPr="00877468">
              <w:t>2023</w:t>
            </w:r>
          </w:p>
          <w:p w14:paraId="0CABC6D6" w14:textId="77777777" w:rsidR="005B131E" w:rsidRPr="00877468" w:rsidRDefault="005B131E">
            <w:pPr>
              <w:pStyle w:val="ARfintablecolheadright"/>
            </w:pPr>
            <w:r w:rsidRPr="00877468">
              <w:t>$M</w:t>
            </w:r>
          </w:p>
        </w:tc>
      </w:tr>
      <w:tr w:rsidR="005B131E" w:rsidRPr="00BA7805" w14:paraId="51BACA30" w14:textId="77777777" w:rsidTr="002542E1">
        <w:trPr>
          <w:cantSplit w:val="0"/>
        </w:trPr>
        <w:tc>
          <w:tcPr>
            <w:tcW w:w="6915" w:type="dxa"/>
            <w:tcBorders>
              <w:top w:val="single" w:sz="4" w:space="0" w:color="auto"/>
              <w:bottom w:val="single" w:sz="4" w:space="0" w:color="A6A6A6"/>
            </w:tcBorders>
          </w:tcPr>
          <w:p w14:paraId="1E4CD563" w14:textId="77777777" w:rsidR="005B131E" w:rsidRPr="00BA7805" w:rsidRDefault="005B131E" w:rsidP="002542E1">
            <w:pPr>
              <w:pStyle w:val="ARfintablebody"/>
              <w:rPr>
                <w:highlight w:val="green"/>
              </w:rPr>
            </w:pPr>
            <w:r w:rsidRPr="00066794">
              <w:t>Rental income</w:t>
            </w:r>
          </w:p>
        </w:tc>
        <w:tc>
          <w:tcPr>
            <w:tcW w:w="1361" w:type="dxa"/>
            <w:tcBorders>
              <w:top w:val="single" w:sz="4" w:space="0" w:color="auto"/>
              <w:bottom w:val="single" w:sz="4" w:space="0" w:color="A6A6A6"/>
            </w:tcBorders>
            <w:shd w:val="clear" w:color="auto" w:fill="E7E6E6" w:themeFill="accent4"/>
            <w:noWrap/>
          </w:tcPr>
          <w:p w14:paraId="04A30365" w14:textId="77777777" w:rsidR="005B131E" w:rsidRPr="00BA7805" w:rsidRDefault="005B131E" w:rsidP="002542E1">
            <w:pPr>
              <w:pStyle w:val="ARfintablebodyright"/>
              <w:rPr>
                <w:highlight w:val="green"/>
              </w:rPr>
            </w:pPr>
            <w:r w:rsidRPr="00066794">
              <w:t>1,052.2</w:t>
            </w:r>
          </w:p>
        </w:tc>
        <w:tc>
          <w:tcPr>
            <w:tcW w:w="1361" w:type="dxa"/>
            <w:tcBorders>
              <w:top w:val="single" w:sz="4" w:space="0" w:color="auto"/>
              <w:bottom w:val="single" w:sz="4" w:space="0" w:color="A6A6A6"/>
            </w:tcBorders>
            <w:noWrap/>
          </w:tcPr>
          <w:p w14:paraId="7CC5F7A7" w14:textId="77777777" w:rsidR="005B131E" w:rsidRPr="00BA7805" w:rsidRDefault="005B131E" w:rsidP="002542E1">
            <w:pPr>
              <w:pStyle w:val="ARfintablebodyright"/>
              <w:rPr>
                <w:highlight w:val="green"/>
              </w:rPr>
            </w:pPr>
            <w:r w:rsidRPr="00066794">
              <w:t>1,069.7</w:t>
            </w:r>
          </w:p>
        </w:tc>
      </w:tr>
      <w:tr w:rsidR="005B131E" w:rsidRPr="00BA7805" w14:paraId="7783511E" w14:textId="77777777" w:rsidTr="002542E1">
        <w:trPr>
          <w:cantSplit w:val="0"/>
        </w:trPr>
        <w:tc>
          <w:tcPr>
            <w:tcW w:w="6915" w:type="dxa"/>
            <w:tcBorders>
              <w:top w:val="single" w:sz="4" w:space="0" w:color="A6A6A6"/>
              <w:bottom w:val="single" w:sz="4" w:space="0" w:color="A6A6A6"/>
            </w:tcBorders>
          </w:tcPr>
          <w:p w14:paraId="05EB6B7B" w14:textId="77777777" w:rsidR="005B131E" w:rsidRPr="00BA7805" w:rsidRDefault="005B131E" w:rsidP="002542E1">
            <w:pPr>
              <w:pStyle w:val="ARfintablebody"/>
              <w:rPr>
                <w:highlight w:val="green"/>
              </w:rPr>
            </w:pPr>
            <w:r w:rsidRPr="00066794">
              <w:t>Rental rebates</w:t>
            </w:r>
          </w:p>
        </w:tc>
        <w:tc>
          <w:tcPr>
            <w:tcW w:w="1361" w:type="dxa"/>
            <w:tcBorders>
              <w:top w:val="single" w:sz="4" w:space="0" w:color="A6A6A6"/>
              <w:bottom w:val="single" w:sz="4" w:space="0" w:color="A6A6A6"/>
            </w:tcBorders>
            <w:shd w:val="clear" w:color="auto" w:fill="E7E6E6" w:themeFill="accent4"/>
            <w:noWrap/>
          </w:tcPr>
          <w:p w14:paraId="33871192" w14:textId="77777777" w:rsidR="005B131E" w:rsidRPr="00BA7805" w:rsidRDefault="005B131E" w:rsidP="002542E1">
            <w:pPr>
              <w:pStyle w:val="ARfintablebodyright"/>
              <w:rPr>
                <w:highlight w:val="green"/>
              </w:rPr>
            </w:pPr>
            <w:r w:rsidRPr="00066794">
              <w:t>(493.0)</w:t>
            </w:r>
          </w:p>
        </w:tc>
        <w:tc>
          <w:tcPr>
            <w:tcW w:w="1361" w:type="dxa"/>
            <w:tcBorders>
              <w:top w:val="single" w:sz="4" w:space="0" w:color="A6A6A6"/>
              <w:bottom w:val="single" w:sz="4" w:space="0" w:color="A6A6A6"/>
            </w:tcBorders>
            <w:noWrap/>
          </w:tcPr>
          <w:p w14:paraId="5FB9D73E" w14:textId="77777777" w:rsidR="005B131E" w:rsidRPr="00BA7805" w:rsidRDefault="005B131E" w:rsidP="002542E1">
            <w:pPr>
              <w:pStyle w:val="ARfintablebodyright"/>
              <w:rPr>
                <w:highlight w:val="green"/>
              </w:rPr>
            </w:pPr>
            <w:r w:rsidRPr="00066794">
              <w:t>(543.2)</w:t>
            </w:r>
          </w:p>
        </w:tc>
      </w:tr>
      <w:tr w:rsidR="005B131E" w:rsidRPr="00BA7805" w14:paraId="644740F7" w14:textId="77777777" w:rsidTr="002542E1">
        <w:trPr>
          <w:cantSplit w:val="0"/>
        </w:trPr>
        <w:tc>
          <w:tcPr>
            <w:tcW w:w="6915" w:type="dxa"/>
            <w:tcBorders>
              <w:top w:val="single" w:sz="4" w:space="0" w:color="A6A6A6"/>
              <w:bottom w:val="single" w:sz="4" w:space="0" w:color="auto"/>
            </w:tcBorders>
          </w:tcPr>
          <w:p w14:paraId="03CBE5D0" w14:textId="77777777" w:rsidR="005B131E" w:rsidRPr="00BA7805" w:rsidRDefault="005B131E" w:rsidP="002542E1">
            <w:pPr>
              <w:pStyle w:val="ARfintablebody"/>
              <w:rPr>
                <w:highlight w:val="green"/>
              </w:rPr>
            </w:pPr>
            <w:r w:rsidRPr="00066794">
              <w:t xml:space="preserve">Rental subsidies </w:t>
            </w:r>
            <w:r>
              <w:t>–</w:t>
            </w:r>
            <w:r w:rsidRPr="00066794">
              <w:t xml:space="preserve"> welfare organisations</w:t>
            </w:r>
          </w:p>
        </w:tc>
        <w:tc>
          <w:tcPr>
            <w:tcW w:w="1361" w:type="dxa"/>
            <w:tcBorders>
              <w:top w:val="single" w:sz="4" w:space="0" w:color="A6A6A6"/>
              <w:bottom w:val="single" w:sz="4" w:space="0" w:color="auto"/>
            </w:tcBorders>
            <w:shd w:val="clear" w:color="auto" w:fill="E7E6E6" w:themeFill="accent4"/>
            <w:noWrap/>
          </w:tcPr>
          <w:p w14:paraId="403BFE0E" w14:textId="77777777" w:rsidR="005B131E" w:rsidRPr="00BA7805" w:rsidRDefault="005B131E" w:rsidP="002542E1">
            <w:pPr>
              <w:pStyle w:val="ARfintablebodyright"/>
              <w:rPr>
                <w:highlight w:val="green"/>
              </w:rPr>
            </w:pPr>
            <w:r w:rsidRPr="00066794">
              <w:t>(10.5)</w:t>
            </w:r>
          </w:p>
        </w:tc>
        <w:tc>
          <w:tcPr>
            <w:tcW w:w="1361" w:type="dxa"/>
            <w:tcBorders>
              <w:top w:val="single" w:sz="4" w:space="0" w:color="A6A6A6"/>
              <w:bottom w:val="single" w:sz="4" w:space="0" w:color="auto"/>
            </w:tcBorders>
            <w:noWrap/>
          </w:tcPr>
          <w:p w14:paraId="588E4057" w14:textId="77777777" w:rsidR="005B131E" w:rsidRPr="00BA7805" w:rsidRDefault="005B131E" w:rsidP="002542E1">
            <w:pPr>
              <w:pStyle w:val="ARfintablebodyright"/>
              <w:rPr>
                <w:highlight w:val="green"/>
              </w:rPr>
            </w:pPr>
            <w:r w:rsidRPr="00066794">
              <w:t>(10.2)</w:t>
            </w:r>
          </w:p>
        </w:tc>
      </w:tr>
      <w:tr w:rsidR="005B131E" w:rsidRPr="00BA7805" w14:paraId="2876944E" w14:textId="77777777" w:rsidTr="002542E1">
        <w:trPr>
          <w:cantSplit w:val="0"/>
        </w:trPr>
        <w:tc>
          <w:tcPr>
            <w:tcW w:w="6915" w:type="dxa"/>
            <w:tcBorders>
              <w:top w:val="single" w:sz="4" w:space="0" w:color="auto"/>
              <w:bottom w:val="single" w:sz="4" w:space="0" w:color="A6A6A6"/>
            </w:tcBorders>
          </w:tcPr>
          <w:p w14:paraId="1C942B22" w14:textId="77777777" w:rsidR="005B131E" w:rsidRPr="00BA7805" w:rsidRDefault="005B131E" w:rsidP="002542E1">
            <w:pPr>
              <w:pStyle w:val="ARfintablebodybold"/>
              <w:rPr>
                <w:highlight w:val="green"/>
              </w:rPr>
            </w:pPr>
            <w:r w:rsidRPr="00066794">
              <w:t>Total net rental</w:t>
            </w:r>
          </w:p>
        </w:tc>
        <w:tc>
          <w:tcPr>
            <w:tcW w:w="1361" w:type="dxa"/>
            <w:tcBorders>
              <w:top w:val="single" w:sz="4" w:space="0" w:color="auto"/>
              <w:bottom w:val="single" w:sz="4" w:space="0" w:color="A6A6A6"/>
            </w:tcBorders>
            <w:shd w:val="clear" w:color="auto" w:fill="E7E6E6" w:themeFill="accent4"/>
            <w:noWrap/>
          </w:tcPr>
          <w:p w14:paraId="7B47844D" w14:textId="77777777" w:rsidR="005B131E" w:rsidRPr="00BA7805" w:rsidRDefault="005B131E" w:rsidP="002542E1">
            <w:pPr>
              <w:pStyle w:val="ARfintablebodyrightbold"/>
              <w:rPr>
                <w:highlight w:val="green"/>
              </w:rPr>
            </w:pPr>
            <w:r w:rsidRPr="00066794">
              <w:t>548.7</w:t>
            </w:r>
          </w:p>
        </w:tc>
        <w:tc>
          <w:tcPr>
            <w:tcW w:w="1361" w:type="dxa"/>
            <w:tcBorders>
              <w:top w:val="single" w:sz="4" w:space="0" w:color="auto"/>
              <w:bottom w:val="single" w:sz="4" w:space="0" w:color="A6A6A6"/>
            </w:tcBorders>
            <w:noWrap/>
          </w:tcPr>
          <w:p w14:paraId="01AB6CB9" w14:textId="77777777" w:rsidR="005B131E" w:rsidRPr="00BA7805" w:rsidRDefault="005B131E" w:rsidP="002542E1">
            <w:pPr>
              <w:pStyle w:val="ARfintablebodyrightbold"/>
              <w:rPr>
                <w:highlight w:val="green"/>
              </w:rPr>
            </w:pPr>
            <w:r w:rsidRPr="00066794">
              <w:t>516.4</w:t>
            </w:r>
          </w:p>
        </w:tc>
      </w:tr>
      <w:tr w:rsidR="005B131E" w:rsidRPr="00BA7805" w14:paraId="6FFE96A2" w14:textId="77777777" w:rsidTr="002542E1">
        <w:trPr>
          <w:cantSplit w:val="0"/>
        </w:trPr>
        <w:tc>
          <w:tcPr>
            <w:tcW w:w="6915" w:type="dxa"/>
            <w:tcBorders>
              <w:top w:val="single" w:sz="4" w:space="0" w:color="A6A6A6"/>
              <w:bottom w:val="single" w:sz="4" w:space="0" w:color="auto"/>
            </w:tcBorders>
          </w:tcPr>
          <w:p w14:paraId="6824366C" w14:textId="77777777" w:rsidR="005B131E" w:rsidRPr="00BA7805" w:rsidRDefault="005B131E" w:rsidP="002542E1">
            <w:pPr>
              <w:pStyle w:val="ARfintablebody"/>
              <w:rPr>
                <w:highlight w:val="green"/>
              </w:rPr>
            </w:pPr>
            <w:r w:rsidRPr="00520A32">
              <w:t xml:space="preserve">Total user charges </w:t>
            </w:r>
            <w:r>
              <w:t>–</w:t>
            </w:r>
            <w:r w:rsidRPr="00520A32">
              <w:t xml:space="preserve"> rental properties</w:t>
            </w:r>
          </w:p>
        </w:tc>
        <w:tc>
          <w:tcPr>
            <w:tcW w:w="1361" w:type="dxa"/>
            <w:tcBorders>
              <w:top w:val="single" w:sz="4" w:space="0" w:color="A6A6A6"/>
              <w:bottom w:val="single" w:sz="4" w:space="0" w:color="auto"/>
            </w:tcBorders>
            <w:shd w:val="clear" w:color="auto" w:fill="E7E6E6" w:themeFill="accent4"/>
            <w:noWrap/>
          </w:tcPr>
          <w:p w14:paraId="5048C605" w14:textId="77777777" w:rsidR="005B131E" w:rsidRPr="00BA7805" w:rsidRDefault="005B131E" w:rsidP="002542E1">
            <w:pPr>
              <w:pStyle w:val="ARfintablebodyright"/>
              <w:rPr>
                <w:highlight w:val="green"/>
              </w:rPr>
            </w:pPr>
            <w:r w:rsidRPr="00520A32">
              <w:t>6.8</w:t>
            </w:r>
          </w:p>
        </w:tc>
        <w:tc>
          <w:tcPr>
            <w:tcW w:w="1361" w:type="dxa"/>
            <w:tcBorders>
              <w:top w:val="single" w:sz="4" w:space="0" w:color="A6A6A6"/>
              <w:bottom w:val="single" w:sz="4" w:space="0" w:color="auto"/>
            </w:tcBorders>
            <w:noWrap/>
          </w:tcPr>
          <w:p w14:paraId="12E1802A" w14:textId="77777777" w:rsidR="005B131E" w:rsidRPr="00BA7805" w:rsidRDefault="005B131E" w:rsidP="002542E1">
            <w:pPr>
              <w:pStyle w:val="ARfintablebodyright"/>
              <w:rPr>
                <w:highlight w:val="green"/>
              </w:rPr>
            </w:pPr>
            <w:r w:rsidRPr="00520A32">
              <w:t>6.9</w:t>
            </w:r>
          </w:p>
        </w:tc>
      </w:tr>
      <w:tr w:rsidR="005B131E" w:rsidRPr="00BA7805" w14:paraId="7A4A32C7" w14:textId="77777777" w:rsidTr="002542E1">
        <w:trPr>
          <w:cantSplit w:val="0"/>
        </w:trPr>
        <w:tc>
          <w:tcPr>
            <w:tcW w:w="6915" w:type="dxa"/>
            <w:tcBorders>
              <w:top w:val="single" w:sz="4" w:space="0" w:color="auto"/>
            </w:tcBorders>
          </w:tcPr>
          <w:p w14:paraId="14E5BAB7" w14:textId="77777777" w:rsidR="005B131E" w:rsidRPr="00BA7805" w:rsidRDefault="005B131E" w:rsidP="002542E1">
            <w:pPr>
              <w:pStyle w:val="ARfintablebodybold"/>
              <w:rPr>
                <w:highlight w:val="green"/>
              </w:rPr>
            </w:pPr>
            <w:r w:rsidRPr="00520A32">
              <w:t>Total rental income</w:t>
            </w:r>
          </w:p>
        </w:tc>
        <w:tc>
          <w:tcPr>
            <w:tcW w:w="1361" w:type="dxa"/>
            <w:tcBorders>
              <w:top w:val="single" w:sz="4" w:space="0" w:color="auto"/>
            </w:tcBorders>
            <w:shd w:val="clear" w:color="auto" w:fill="E7E6E6" w:themeFill="accent4"/>
            <w:noWrap/>
          </w:tcPr>
          <w:p w14:paraId="4C38CDAE" w14:textId="77777777" w:rsidR="005B131E" w:rsidRPr="00BA7805" w:rsidRDefault="005B131E" w:rsidP="002542E1">
            <w:pPr>
              <w:pStyle w:val="ARfintablebodyrightbold"/>
              <w:rPr>
                <w:highlight w:val="green"/>
              </w:rPr>
            </w:pPr>
            <w:r w:rsidRPr="00520A32">
              <w:t>555.5</w:t>
            </w:r>
          </w:p>
        </w:tc>
        <w:tc>
          <w:tcPr>
            <w:tcW w:w="1361" w:type="dxa"/>
            <w:tcBorders>
              <w:top w:val="single" w:sz="4" w:space="0" w:color="auto"/>
            </w:tcBorders>
            <w:noWrap/>
          </w:tcPr>
          <w:p w14:paraId="3A3765D3" w14:textId="77777777" w:rsidR="005B131E" w:rsidRPr="00BA7805" w:rsidRDefault="005B131E" w:rsidP="002542E1">
            <w:pPr>
              <w:pStyle w:val="ARfintablebodyrightbold"/>
              <w:rPr>
                <w:highlight w:val="green"/>
              </w:rPr>
            </w:pPr>
            <w:r w:rsidRPr="00520A32">
              <w:t>523.3</w:t>
            </w:r>
          </w:p>
        </w:tc>
      </w:tr>
    </w:tbl>
    <w:p w14:paraId="0B8B086A" w14:textId="653A94B7" w:rsidR="005B131E" w:rsidRDefault="005B131E" w:rsidP="002542E1">
      <w:pPr>
        <w:pStyle w:val="ARfinbodyaftertable"/>
      </w:pPr>
      <w:r w:rsidRPr="005956C8">
        <w:rPr>
          <w:rStyle w:val="Strong"/>
        </w:rPr>
        <w:t>Rental income and rebates</w:t>
      </w:r>
      <w:r>
        <w:t xml:space="preserve"> arising from tenancy operating agreements are recognised on a straight-line basis over the terms of the ongoing agreements. The term of each agreement is subject to annual review. Rental rebates or subsidies provided to tenants are recognised on a straight-line basis over the term of the agreements. These are subject to biannual review.</w:t>
      </w:r>
    </w:p>
    <w:p w14:paraId="6FCE7165" w14:textId="77777777" w:rsidR="005B131E" w:rsidRPr="005956C8" w:rsidRDefault="005B131E" w:rsidP="002542E1">
      <w:pPr>
        <w:pStyle w:val="ARfinbody"/>
        <w:rPr>
          <w:highlight w:val="green"/>
        </w:rPr>
      </w:pPr>
      <w:r>
        <w:t xml:space="preserve">Homes Victoria provides rental accommodation for a range of clients. These are public rental units that are largely owned and operated by the Homes Victoria which have week-to-week tenancy agreements with people on low incomes that are most in need, especially those who have recently experienced homelessness, family violence or have other special needs. These agreements are subject to the </w:t>
      </w:r>
      <w:r w:rsidRPr="005253B5">
        <w:rPr>
          <w:rStyle w:val="Emphasis"/>
        </w:rPr>
        <w:t>Residential Tenancy Act 1997</w:t>
      </w:r>
      <w:r>
        <w:t xml:space="preserve"> provisions which allow termination of a lease under certain circumstances. Accordingly, the future revenue streams from the lease agreements are not required to be reported under AASB 16, and the assets that derive this revenue are classified as property, plant and equipment rather than investment properties, as these assets are held by the department to provide housing and community services to Victorians experiencing disadvantage.</w:t>
      </w:r>
    </w:p>
    <w:p w14:paraId="5DE113F2" w14:textId="77777777" w:rsidR="005B131E" w:rsidRPr="00BA7805" w:rsidRDefault="005B131E">
      <w:pPr>
        <w:pStyle w:val="ARfinbody"/>
        <w:rPr>
          <w:highlight w:val="green"/>
        </w:rPr>
      </w:pPr>
      <w:r w:rsidRPr="00BA7805">
        <w:rPr>
          <w:highlight w:val="green"/>
        </w:rPr>
        <w:br w:type="page"/>
      </w:r>
    </w:p>
    <w:p w14:paraId="1EC70641" w14:textId="77777777" w:rsidR="005B131E" w:rsidRPr="00157D2A" w:rsidRDefault="005B131E" w:rsidP="00207901">
      <w:pPr>
        <w:pStyle w:val="Heading5"/>
      </w:pPr>
      <w:r w:rsidRPr="00157D2A">
        <w:t>2.4.2 Grants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4303522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5447AF33"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5D190B39" w14:textId="77777777" w:rsidR="005B131E" w:rsidRPr="001E6BD1" w:rsidRDefault="005B131E">
            <w:pPr>
              <w:pStyle w:val="ARfintablecolheadright"/>
            </w:pPr>
            <w:r w:rsidRPr="001E6BD1">
              <w:t>2024</w:t>
            </w:r>
          </w:p>
          <w:p w14:paraId="24D05F6D" w14:textId="77777777" w:rsidR="005B131E" w:rsidRPr="001E6BD1" w:rsidRDefault="005B131E">
            <w:pPr>
              <w:pStyle w:val="ARfintablecolheadright"/>
            </w:pPr>
            <w:r w:rsidRPr="001E6BD1">
              <w:t>$M</w:t>
            </w:r>
          </w:p>
        </w:tc>
        <w:tc>
          <w:tcPr>
            <w:tcW w:w="1361" w:type="dxa"/>
            <w:tcBorders>
              <w:bottom w:val="single" w:sz="4" w:space="0" w:color="auto"/>
            </w:tcBorders>
            <w:hideMark/>
          </w:tcPr>
          <w:p w14:paraId="68E9AAA4" w14:textId="77777777" w:rsidR="005B131E" w:rsidRPr="001E6BD1" w:rsidRDefault="005B131E">
            <w:pPr>
              <w:pStyle w:val="ARfintablecolheadright"/>
            </w:pPr>
            <w:r w:rsidRPr="001E6BD1">
              <w:t>2023</w:t>
            </w:r>
          </w:p>
          <w:p w14:paraId="674451CF" w14:textId="77777777" w:rsidR="005B131E" w:rsidRPr="001E6BD1" w:rsidRDefault="005B131E">
            <w:pPr>
              <w:pStyle w:val="ARfintablecolheadright"/>
            </w:pPr>
            <w:r w:rsidRPr="001E6BD1">
              <w:t>$M</w:t>
            </w:r>
          </w:p>
        </w:tc>
      </w:tr>
      <w:tr w:rsidR="005B131E" w:rsidRPr="00BA7805" w14:paraId="3F6544FE" w14:textId="77777777" w:rsidTr="00B84A49">
        <w:trPr>
          <w:cantSplit w:val="0"/>
        </w:trPr>
        <w:tc>
          <w:tcPr>
            <w:tcW w:w="6915" w:type="dxa"/>
            <w:tcBorders>
              <w:top w:val="single" w:sz="4" w:space="0" w:color="auto"/>
              <w:bottom w:val="single" w:sz="4" w:space="0" w:color="A6A6A6"/>
            </w:tcBorders>
          </w:tcPr>
          <w:p w14:paraId="7174A2B2" w14:textId="77777777" w:rsidR="005B131E" w:rsidRPr="00BA7805" w:rsidRDefault="005B131E" w:rsidP="002542E1">
            <w:pPr>
              <w:pStyle w:val="ARfintablebody"/>
              <w:rPr>
                <w:highlight w:val="green"/>
              </w:rPr>
            </w:pPr>
            <w:r w:rsidRPr="0052134D">
              <w:t>Income recognised under AASB 1058</w:t>
            </w:r>
          </w:p>
        </w:tc>
        <w:tc>
          <w:tcPr>
            <w:tcW w:w="1361" w:type="dxa"/>
            <w:tcBorders>
              <w:top w:val="single" w:sz="4" w:space="0" w:color="auto"/>
              <w:bottom w:val="single" w:sz="4" w:space="0" w:color="A6A6A6"/>
            </w:tcBorders>
            <w:shd w:val="clear" w:color="auto" w:fill="E7E6E6"/>
            <w:noWrap/>
          </w:tcPr>
          <w:p w14:paraId="22928DC3" w14:textId="77777777" w:rsidR="005B131E" w:rsidRPr="00BA7805" w:rsidRDefault="005B131E" w:rsidP="002542E1">
            <w:pPr>
              <w:pStyle w:val="ARfintablebodyright"/>
              <w:rPr>
                <w:highlight w:val="green"/>
              </w:rPr>
            </w:pPr>
            <w:r w:rsidRPr="0052134D">
              <w:t>418.2</w:t>
            </w:r>
          </w:p>
        </w:tc>
        <w:tc>
          <w:tcPr>
            <w:tcW w:w="1361" w:type="dxa"/>
            <w:tcBorders>
              <w:top w:val="single" w:sz="4" w:space="0" w:color="auto"/>
              <w:bottom w:val="single" w:sz="4" w:space="0" w:color="A6A6A6"/>
            </w:tcBorders>
            <w:noWrap/>
          </w:tcPr>
          <w:p w14:paraId="6B55387F" w14:textId="77777777" w:rsidR="005B131E" w:rsidRPr="00BA7805" w:rsidRDefault="005B131E" w:rsidP="002542E1">
            <w:pPr>
              <w:pStyle w:val="ARfintablebodyright"/>
              <w:rPr>
                <w:highlight w:val="green"/>
              </w:rPr>
            </w:pPr>
            <w:r w:rsidRPr="0052134D">
              <w:t>442.9</w:t>
            </w:r>
          </w:p>
        </w:tc>
      </w:tr>
      <w:tr w:rsidR="005B131E" w:rsidRPr="00BA7805" w14:paraId="1D808573" w14:textId="77777777" w:rsidTr="002542E1">
        <w:trPr>
          <w:cantSplit w:val="0"/>
        </w:trPr>
        <w:tc>
          <w:tcPr>
            <w:tcW w:w="6915" w:type="dxa"/>
            <w:tcBorders>
              <w:top w:val="single" w:sz="4" w:space="0" w:color="auto"/>
              <w:bottom w:val="single" w:sz="4" w:space="0" w:color="auto"/>
            </w:tcBorders>
          </w:tcPr>
          <w:p w14:paraId="2B148AA2" w14:textId="77777777" w:rsidR="005B131E" w:rsidRPr="00BA7805" w:rsidRDefault="005B131E" w:rsidP="002542E1">
            <w:pPr>
              <w:pStyle w:val="ARfintablebodybold"/>
              <w:rPr>
                <w:highlight w:val="green"/>
              </w:rPr>
            </w:pPr>
            <w:r w:rsidRPr="0052134D">
              <w:t>Total grants</w:t>
            </w:r>
          </w:p>
        </w:tc>
        <w:tc>
          <w:tcPr>
            <w:tcW w:w="1361" w:type="dxa"/>
            <w:tcBorders>
              <w:top w:val="single" w:sz="4" w:space="0" w:color="auto"/>
              <w:bottom w:val="single" w:sz="4" w:space="0" w:color="auto"/>
            </w:tcBorders>
            <w:shd w:val="clear" w:color="auto" w:fill="E7E6E6"/>
            <w:noWrap/>
          </w:tcPr>
          <w:p w14:paraId="4E1731D5" w14:textId="77777777" w:rsidR="005B131E" w:rsidRPr="00BA7805" w:rsidRDefault="005B131E" w:rsidP="002542E1">
            <w:pPr>
              <w:pStyle w:val="ARfintablebodyrightbold"/>
              <w:rPr>
                <w:highlight w:val="green"/>
              </w:rPr>
            </w:pPr>
            <w:r w:rsidRPr="0052134D">
              <w:t>418.2</w:t>
            </w:r>
          </w:p>
        </w:tc>
        <w:tc>
          <w:tcPr>
            <w:tcW w:w="1361" w:type="dxa"/>
            <w:tcBorders>
              <w:top w:val="single" w:sz="4" w:space="0" w:color="auto"/>
              <w:bottom w:val="single" w:sz="4" w:space="0" w:color="auto"/>
            </w:tcBorders>
            <w:noWrap/>
          </w:tcPr>
          <w:p w14:paraId="6ADF8F12" w14:textId="77777777" w:rsidR="005B131E" w:rsidRPr="00BA7805" w:rsidRDefault="005B131E" w:rsidP="002542E1">
            <w:pPr>
              <w:pStyle w:val="ARfintablebodyrightbold"/>
              <w:rPr>
                <w:highlight w:val="green"/>
              </w:rPr>
            </w:pPr>
            <w:r w:rsidRPr="0052134D">
              <w:t>442.9</w:t>
            </w:r>
          </w:p>
        </w:tc>
      </w:tr>
      <w:tr w:rsidR="005B131E" w:rsidRPr="00BA7805" w14:paraId="614BE0EB" w14:textId="77777777" w:rsidTr="002542E1">
        <w:trPr>
          <w:trHeight w:val="585"/>
        </w:trPr>
        <w:tc>
          <w:tcPr>
            <w:tcW w:w="9637" w:type="dxa"/>
            <w:gridSpan w:val="3"/>
            <w:tcBorders>
              <w:top w:val="single" w:sz="4" w:space="0" w:color="auto"/>
              <w:bottom w:val="single" w:sz="2" w:space="0" w:color="A6A6A6" w:themeColor="accent5"/>
            </w:tcBorders>
          </w:tcPr>
          <w:p w14:paraId="668C536F" w14:textId="77777777" w:rsidR="005B131E" w:rsidRPr="00BA7805" w:rsidRDefault="005B131E" w:rsidP="002542E1">
            <w:pPr>
              <w:pStyle w:val="ARfintablebodybold"/>
              <w:rPr>
                <w:highlight w:val="green"/>
              </w:rPr>
            </w:pPr>
            <w:r w:rsidRPr="001B5F17">
              <w:t>Represented by:</w:t>
            </w:r>
          </w:p>
          <w:p w14:paraId="3069AE2E" w14:textId="77777777" w:rsidR="005B131E" w:rsidRPr="00BA7805" w:rsidRDefault="005B131E" w:rsidP="002542E1">
            <w:pPr>
              <w:pStyle w:val="ARfintablebodybold"/>
              <w:rPr>
                <w:highlight w:val="green"/>
              </w:rPr>
            </w:pPr>
            <w:r w:rsidRPr="001B5F17">
              <w:t>Victorian Government</w:t>
            </w:r>
          </w:p>
        </w:tc>
      </w:tr>
      <w:tr w:rsidR="005B131E" w:rsidRPr="00BA7805" w14:paraId="663F4622" w14:textId="77777777" w:rsidTr="002542E1">
        <w:tc>
          <w:tcPr>
            <w:tcW w:w="6915" w:type="dxa"/>
            <w:tcBorders>
              <w:top w:val="single" w:sz="2" w:space="0" w:color="A6A6A6" w:themeColor="accent5"/>
              <w:bottom w:val="single" w:sz="4" w:space="0" w:color="A6A6A6"/>
            </w:tcBorders>
          </w:tcPr>
          <w:p w14:paraId="370078C7" w14:textId="77777777" w:rsidR="005B131E" w:rsidRPr="00BA7805" w:rsidRDefault="005B131E" w:rsidP="002542E1">
            <w:pPr>
              <w:pStyle w:val="ARfintablebody"/>
              <w:rPr>
                <w:highlight w:val="green"/>
              </w:rPr>
            </w:pPr>
            <w:r w:rsidRPr="001B5F17">
              <w:t>Department of Treasury and Finance</w:t>
            </w:r>
          </w:p>
        </w:tc>
        <w:tc>
          <w:tcPr>
            <w:tcW w:w="1361" w:type="dxa"/>
            <w:tcBorders>
              <w:top w:val="single" w:sz="2" w:space="0" w:color="A6A6A6" w:themeColor="accent5"/>
              <w:bottom w:val="single" w:sz="4" w:space="0" w:color="A6A6A6"/>
            </w:tcBorders>
            <w:shd w:val="clear" w:color="auto" w:fill="E7E6E6"/>
            <w:noWrap/>
          </w:tcPr>
          <w:p w14:paraId="2826493B" w14:textId="77777777" w:rsidR="005B131E" w:rsidRPr="00BA7805" w:rsidRDefault="005B131E" w:rsidP="002542E1">
            <w:pPr>
              <w:pStyle w:val="ARfintablebodyright"/>
              <w:rPr>
                <w:highlight w:val="green"/>
              </w:rPr>
            </w:pPr>
            <w:r w:rsidRPr="001B5F17">
              <w:t>375.9</w:t>
            </w:r>
          </w:p>
        </w:tc>
        <w:tc>
          <w:tcPr>
            <w:tcW w:w="1361" w:type="dxa"/>
            <w:tcBorders>
              <w:top w:val="single" w:sz="2" w:space="0" w:color="A6A6A6" w:themeColor="accent5"/>
              <w:bottom w:val="single" w:sz="4" w:space="0" w:color="A6A6A6"/>
            </w:tcBorders>
            <w:noWrap/>
          </w:tcPr>
          <w:p w14:paraId="5FD4153A" w14:textId="77777777" w:rsidR="005B131E" w:rsidRPr="00BA7805" w:rsidRDefault="005B131E" w:rsidP="002542E1">
            <w:pPr>
              <w:pStyle w:val="ARfintablebodyright"/>
              <w:rPr>
                <w:highlight w:val="green"/>
              </w:rPr>
            </w:pPr>
            <w:r w:rsidRPr="001B5F17">
              <w:t>358.5</w:t>
            </w:r>
          </w:p>
        </w:tc>
      </w:tr>
      <w:tr w:rsidR="005B131E" w:rsidRPr="00BA7805" w14:paraId="5E185A11" w14:textId="77777777">
        <w:tc>
          <w:tcPr>
            <w:tcW w:w="6915" w:type="dxa"/>
            <w:tcBorders>
              <w:top w:val="single" w:sz="4" w:space="0" w:color="A6A6A6"/>
              <w:bottom w:val="single" w:sz="4" w:space="0" w:color="A6A6A6"/>
            </w:tcBorders>
          </w:tcPr>
          <w:p w14:paraId="24726E0E" w14:textId="77777777" w:rsidR="005B131E" w:rsidRPr="00BA7805" w:rsidRDefault="005B131E" w:rsidP="002542E1">
            <w:pPr>
              <w:pStyle w:val="ARfintablebody"/>
              <w:rPr>
                <w:highlight w:val="green"/>
              </w:rPr>
            </w:pPr>
            <w:r w:rsidRPr="001B5F17">
              <w:t>Department of Health</w:t>
            </w:r>
          </w:p>
        </w:tc>
        <w:tc>
          <w:tcPr>
            <w:tcW w:w="1361" w:type="dxa"/>
            <w:tcBorders>
              <w:top w:val="single" w:sz="4" w:space="0" w:color="A6A6A6"/>
              <w:bottom w:val="single" w:sz="4" w:space="0" w:color="A6A6A6"/>
            </w:tcBorders>
            <w:shd w:val="clear" w:color="auto" w:fill="E7E6E6"/>
            <w:noWrap/>
          </w:tcPr>
          <w:p w14:paraId="54F4D18C" w14:textId="77777777" w:rsidR="005B131E" w:rsidRPr="00BA7805" w:rsidRDefault="005B131E" w:rsidP="002542E1">
            <w:pPr>
              <w:pStyle w:val="ARfintablebodyright"/>
              <w:rPr>
                <w:highlight w:val="green"/>
              </w:rPr>
            </w:pPr>
            <w:r w:rsidRPr="001B5F17">
              <w:t>16.4</w:t>
            </w:r>
          </w:p>
        </w:tc>
        <w:tc>
          <w:tcPr>
            <w:tcW w:w="1361" w:type="dxa"/>
            <w:tcBorders>
              <w:top w:val="single" w:sz="4" w:space="0" w:color="A6A6A6"/>
              <w:bottom w:val="single" w:sz="4" w:space="0" w:color="A6A6A6"/>
            </w:tcBorders>
            <w:noWrap/>
          </w:tcPr>
          <w:p w14:paraId="4F17C61E" w14:textId="77777777" w:rsidR="005B131E" w:rsidRPr="00BA7805" w:rsidRDefault="005B131E" w:rsidP="002542E1">
            <w:pPr>
              <w:pStyle w:val="ARfintablebodyright"/>
              <w:rPr>
                <w:highlight w:val="green"/>
              </w:rPr>
            </w:pPr>
            <w:r w:rsidRPr="001B5F17">
              <w:t>38.3</w:t>
            </w:r>
          </w:p>
        </w:tc>
      </w:tr>
      <w:tr w:rsidR="005B131E" w:rsidRPr="00BA7805" w14:paraId="52D52733" w14:textId="77777777">
        <w:tc>
          <w:tcPr>
            <w:tcW w:w="6915" w:type="dxa"/>
            <w:tcBorders>
              <w:top w:val="single" w:sz="4" w:space="0" w:color="A6A6A6"/>
              <w:bottom w:val="single" w:sz="4" w:space="0" w:color="A6A6A6"/>
            </w:tcBorders>
          </w:tcPr>
          <w:p w14:paraId="674430F7" w14:textId="77777777" w:rsidR="005B131E" w:rsidRPr="00BA7805" w:rsidRDefault="005B131E" w:rsidP="002542E1">
            <w:pPr>
              <w:pStyle w:val="ARfintablebody"/>
              <w:rPr>
                <w:highlight w:val="green"/>
              </w:rPr>
            </w:pPr>
            <w:r w:rsidRPr="001B5F17">
              <w:t>Department of Energy, Environment and Climate Action</w:t>
            </w:r>
          </w:p>
        </w:tc>
        <w:tc>
          <w:tcPr>
            <w:tcW w:w="1361" w:type="dxa"/>
            <w:tcBorders>
              <w:top w:val="single" w:sz="4" w:space="0" w:color="A6A6A6"/>
              <w:bottom w:val="single" w:sz="4" w:space="0" w:color="A6A6A6"/>
            </w:tcBorders>
            <w:shd w:val="clear" w:color="auto" w:fill="E7E6E6"/>
            <w:noWrap/>
          </w:tcPr>
          <w:p w14:paraId="3E17580F" w14:textId="77777777" w:rsidR="005B131E" w:rsidRPr="00BA7805" w:rsidRDefault="005B131E" w:rsidP="002542E1">
            <w:pPr>
              <w:pStyle w:val="ARfintablebodyright"/>
              <w:rPr>
                <w:highlight w:val="green"/>
              </w:rPr>
            </w:pPr>
            <w:r w:rsidRPr="001B5F17">
              <w:t>12.6</w:t>
            </w:r>
          </w:p>
        </w:tc>
        <w:tc>
          <w:tcPr>
            <w:tcW w:w="1361" w:type="dxa"/>
            <w:tcBorders>
              <w:top w:val="single" w:sz="4" w:space="0" w:color="A6A6A6"/>
              <w:bottom w:val="single" w:sz="4" w:space="0" w:color="A6A6A6"/>
            </w:tcBorders>
            <w:noWrap/>
          </w:tcPr>
          <w:p w14:paraId="209A199C" w14:textId="77777777" w:rsidR="005B131E" w:rsidRPr="00BA7805" w:rsidRDefault="005B131E" w:rsidP="002542E1">
            <w:pPr>
              <w:pStyle w:val="ARfintablebodyright"/>
              <w:rPr>
                <w:highlight w:val="green"/>
              </w:rPr>
            </w:pPr>
            <w:r w:rsidRPr="001B5F17">
              <w:t>35.9</w:t>
            </w:r>
          </w:p>
        </w:tc>
      </w:tr>
      <w:tr w:rsidR="005B131E" w:rsidRPr="00BA7805" w14:paraId="1F535148" w14:textId="77777777">
        <w:tc>
          <w:tcPr>
            <w:tcW w:w="6915" w:type="dxa"/>
            <w:tcBorders>
              <w:top w:val="single" w:sz="4" w:space="0" w:color="A6A6A6"/>
              <w:bottom w:val="single" w:sz="4" w:space="0" w:color="A6A6A6"/>
            </w:tcBorders>
          </w:tcPr>
          <w:p w14:paraId="564DABD7" w14:textId="77777777" w:rsidR="005B131E" w:rsidRPr="00BA7805" w:rsidRDefault="005B131E" w:rsidP="002542E1">
            <w:pPr>
              <w:pStyle w:val="ARfintablebody"/>
              <w:rPr>
                <w:highlight w:val="green"/>
              </w:rPr>
            </w:pPr>
            <w:r w:rsidRPr="001B5F17">
              <w:t>Department of Justice and Community Safety</w:t>
            </w:r>
          </w:p>
        </w:tc>
        <w:tc>
          <w:tcPr>
            <w:tcW w:w="1361" w:type="dxa"/>
            <w:tcBorders>
              <w:top w:val="single" w:sz="4" w:space="0" w:color="A6A6A6"/>
              <w:bottom w:val="single" w:sz="4" w:space="0" w:color="A6A6A6"/>
            </w:tcBorders>
            <w:shd w:val="clear" w:color="auto" w:fill="E7E6E6"/>
            <w:noWrap/>
          </w:tcPr>
          <w:p w14:paraId="7CC6288D" w14:textId="77777777" w:rsidR="005B131E" w:rsidRPr="00BA7805" w:rsidRDefault="005B131E" w:rsidP="002542E1">
            <w:pPr>
              <w:pStyle w:val="ARfintablebodyright"/>
              <w:rPr>
                <w:highlight w:val="green"/>
              </w:rPr>
            </w:pPr>
            <w:r w:rsidRPr="001B5F17">
              <w:t>4.6</w:t>
            </w:r>
          </w:p>
        </w:tc>
        <w:tc>
          <w:tcPr>
            <w:tcW w:w="1361" w:type="dxa"/>
            <w:tcBorders>
              <w:top w:val="single" w:sz="4" w:space="0" w:color="A6A6A6"/>
              <w:bottom w:val="single" w:sz="4" w:space="0" w:color="A6A6A6"/>
            </w:tcBorders>
            <w:noWrap/>
          </w:tcPr>
          <w:p w14:paraId="590E9412" w14:textId="77777777" w:rsidR="005B131E" w:rsidRPr="00BA7805" w:rsidRDefault="005B131E" w:rsidP="002542E1">
            <w:pPr>
              <w:pStyle w:val="ARfintablebodyright"/>
              <w:rPr>
                <w:highlight w:val="green"/>
              </w:rPr>
            </w:pPr>
            <w:r w:rsidRPr="001B5F17">
              <w:t>4.8</w:t>
            </w:r>
          </w:p>
        </w:tc>
      </w:tr>
      <w:tr w:rsidR="005B131E" w:rsidRPr="00BA7805" w14:paraId="5CDA0D51" w14:textId="77777777">
        <w:tc>
          <w:tcPr>
            <w:tcW w:w="6915" w:type="dxa"/>
            <w:tcBorders>
              <w:top w:val="single" w:sz="4" w:space="0" w:color="A6A6A6"/>
              <w:bottom w:val="single" w:sz="4" w:space="0" w:color="A6A6A6"/>
            </w:tcBorders>
          </w:tcPr>
          <w:p w14:paraId="5A61E95B" w14:textId="77777777" w:rsidR="005B131E" w:rsidRPr="00BA7805" w:rsidRDefault="005B131E" w:rsidP="002542E1">
            <w:pPr>
              <w:pStyle w:val="ARfintablebody"/>
              <w:rPr>
                <w:highlight w:val="green"/>
              </w:rPr>
            </w:pPr>
            <w:r w:rsidRPr="001B5F17">
              <w:t>Department of Jobs, Skills, Industry and Regions</w:t>
            </w:r>
          </w:p>
        </w:tc>
        <w:tc>
          <w:tcPr>
            <w:tcW w:w="1361" w:type="dxa"/>
            <w:tcBorders>
              <w:top w:val="single" w:sz="4" w:space="0" w:color="A6A6A6"/>
              <w:bottom w:val="single" w:sz="4" w:space="0" w:color="A6A6A6"/>
            </w:tcBorders>
            <w:shd w:val="clear" w:color="auto" w:fill="E7E6E6"/>
            <w:noWrap/>
          </w:tcPr>
          <w:p w14:paraId="79423CB8" w14:textId="77777777" w:rsidR="005B131E" w:rsidRPr="00BA7805" w:rsidRDefault="005B131E" w:rsidP="002542E1">
            <w:pPr>
              <w:pStyle w:val="ARfintablebodyright"/>
              <w:rPr>
                <w:highlight w:val="green"/>
              </w:rPr>
            </w:pPr>
            <w:r w:rsidRPr="001B5F17">
              <w:t>5.4</w:t>
            </w:r>
          </w:p>
        </w:tc>
        <w:tc>
          <w:tcPr>
            <w:tcW w:w="1361" w:type="dxa"/>
            <w:tcBorders>
              <w:top w:val="single" w:sz="4" w:space="0" w:color="A6A6A6"/>
              <w:bottom w:val="single" w:sz="4" w:space="0" w:color="A6A6A6"/>
            </w:tcBorders>
            <w:noWrap/>
          </w:tcPr>
          <w:p w14:paraId="7D2057ED" w14:textId="77777777" w:rsidR="005B131E" w:rsidRPr="00BA7805" w:rsidRDefault="005B131E" w:rsidP="002542E1">
            <w:pPr>
              <w:pStyle w:val="ARfintablebodyright"/>
              <w:rPr>
                <w:highlight w:val="green"/>
              </w:rPr>
            </w:pPr>
            <w:r>
              <w:t>–</w:t>
            </w:r>
          </w:p>
        </w:tc>
      </w:tr>
      <w:tr w:rsidR="005B131E" w:rsidRPr="00BA7805" w14:paraId="45A23F34" w14:textId="77777777">
        <w:tc>
          <w:tcPr>
            <w:tcW w:w="6915" w:type="dxa"/>
            <w:tcBorders>
              <w:top w:val="single" w:sz="4" w:space="0" w:color="A6A6A6"/>
              <w:bottom w:val="single" w:sz="4" w:space="0" w:color="A6A6A6"/>
            </w:tcBorders>
          </w:tcPr>
          <w:p w14:paraId="343DBDC2" w14:textId="77777777" w:rsidR="005B131E" w:rsidRPr="00BA7805" w:rsidRDefault="005B131E" w:rsidP="002542E1">
            <w:pPr>
              <w:pStyle w:val="ARfintablebody"/>
              <w:rPr>
                <w:highlight w:val="green"/>
              </w:rPr>
            </w:pPr>
            <w:r w:rsidRPr="001B5F17">
              <w:t>Department of Education</w:t>
            </w:r>
          </w:p>
        </w:tc>
        <w:tc>
          <w:tcPr>
            <w:tcW w:w="1361" w:type="dxa"/>
            <w:tcBorders>
              <w:top w:val="single" w:sz="4" w:space="0" w:color="A6A6A6"/>
              <w:bottom w:val="single" w:sz="4" w:space="0" w:color="A6A6A6"/>
            </w:tcBorders>
            <w:shd w:val="clear" w:color="auto" w:fill="E7E6E6"/>
            <w:noWrap/>
          </w:tcPr>
          <w:p w14:paraId="3FA59371" w14:textId="77777777" w:rsidR="005B131E" w:rsidRPr="00BA7805" w:rsidRDefault="005B131E" w:rsidP="002542E1">
            <w:pPr>
              <w:pStyle w:val="ARfintablebodyright"/>
              <w:rPr>
                <w:highlight w:val="green"/>
              </w:rPr>
            </w:pPr>
            <w:r w:rsidRPr="001B5F17">
              <w:t>2.5</w:t>
            </w:r>
          </w:p>
        </w:tc>
        <w:tc>
          <w:tcPr>
            <w:tcW w:w="1361" w:type="dxa"/>
            <w:tcBorders>
              <w:top w:val="single" w:sz="4" w:space="0" w:color="A6A6A6"/>
              <w:bottom w:val="single" w:sz="4" w:space="0" w:color="A6A6A6"/>
            </w:tcBorders>
            <w:noWrap/>
          </w:tcPr>
          <w:p w14:paraId="4E163955" w14:textId="77777777" w:rsidR="005B131E" w:rsidRPr="00BA7805" w:rsidRDefault="005B131E" w:rsidP="002542E1">
            <w:pPr>
              <w:pStyle w:val="ARfintablebodyright"/>
              <w:rPr>
                <w:highlight w:val="green"/>
              </w:rPr>
            </w:pPr>
            <w:r>
              <w:t>–</w:t>
            </w:r>
          </w:p>
        </w:tc>
      </w:tr>
      <w:tr w:rsidR="005B131E" w:rsidRPr="00BA7805" w14:paraId="0664691D" w14:textId="77777777" w:rsidTr="00B84A49">
        <w:tc>
          <w:tcPr>
            <w:tcW w:w="6915" w:type="dxa"/>
            <w:tcBorders>
              <w:top w:val="single" w:sz="4" w:space="0" w:color="A6A6A6"/>
              <w:bottom w:val="single" w:sz="4" w:space="0" w:color="A6A6A6"/>
            </w:tcBorders>
          </w:tcPr>
          <w:p w14:paraId="7C5F991C" w14:textId="77777777" w:rsidR="005B131E" w:rsidRPr="00BA7805" w:rsidRDefault="005B131E" w:rsidP="002542E1">
            <w:pPr>
              <w:pStyle w:val="ARfintablebody"/>
              <w:rPr>
                <w:highlight w:val="green"/>
              </w:rPr>
            </w:pPr>
            <w:r w:rsidRPr="001B5F17">
              <w:t>Other Victorian government bodies</w:t>
            </w:r>
          </w:p>
        </w:tc>
        <w:tc>
          <w:tcPr>
            <w:tcW w:w="1361" w:type="dxa"/>
            <w:tcBorders>
              <w:top w:val="single" w:sz="4" w:space="0" w:color="A6A6A6"/>
              <w:bottom w:val="single" w:sz="4" w:space="0" w:color="A6A6A6"/>
            </w:tcBorders>
            <w:shd w:val="clear" w:color="auto" w:fill="E7E6E6"/>
            <w:noWrap/>
          </w:tcPr>
          <w:p w14:paraId="7A81C499" w14:textId="77777777" w:rsidR="005B131E" w:rsidRPr="00BA7805" w:rsidRDefault="005B131E" w:rsidP="002542E1">
            <w:pPr>
              <w:pStyle w:val="ARfintablebodyright"/>
              <w:rPr>
                <w:highlight w:val="green"/>
              </w:rPr>
            </w:pPr>
            <w:r w:rsidRPr="001B5F17">
              <w:t>0.8</w:t>
            </w:r>
          </w:p>
        </w:tc>
        <w:tc>
          <w:tcPr>
            <w:tcW w:w="1361" w:type="dxa"/>
            <w:tcBorders>
              <w:top w:val="single" w:sz="4" w:space="0" w:color="A6A6A6"/>
              <w:bottom w:val="single" w:sz="4" w:space="0" w:color="A6A6A6"/>
            </w:tcBorders>
            <w:noWrap/>
          </w:tcPr>
          <w:p w14:paraId="5F60247B" w14:textId="77777777" w:rsidR="005B131E" w:rsidRPr="00BA7805" w:rsidRDefault="005B131E" w:rsidP="002542E1">
            <w:pPr>
              <w:pStyle w:val="ARfintablebodyright"/>
              <w:rPr>
                <w:highlight w:val="green"/>
              </w:rPr>
            </w:pPr>
            <w:r w:rsidRPr="001B5F17">
              <w:t>5.5</w:t>
            </w:r>
          </w:p>
        </w:tc>
      </w:tr>
      <w:tr w:rsidR="005B131E" w:rsidRPr="00BA7805" w14:paraId="76CB1816" w14:textId="77777777" w:rsidTr="00B84A49">
        <w:tc>
          <w:tcPr>
            <w:tcW w:w="6915" w:type="dxa"/>
          </w:tcPr>
          <w:p w14:paraId="55213CA0" w14:textId="77777777" w:rsidR="005B131E" w:rsidRPr="00BA7805" w:rsidRDefault="005B131E" w:rsidP="002542E1">
            <w:pPr>
              <w:pStyle w:val="ARfintablebodybold"/>
              <w:rPr>
                <w:highlight w:val="green"/>
              </w:rPr>
            </w:pPr>
            <w:r w:rsidRPr="001B5F17">
              <w:t>Total grants</w:t>
            </w:r>
          </w:p>
        </w:tc>
        <w:tc>
          <w:tcPr>
            <w:tcW w:w="1361" w:type="dxa"/>
            <w:shd w:val="clear" w:color="auto" w:fill="E7E6E6"/>
            <w:noWrap/>
          </w:tcPr>
          <w:p w14:paraId="771F9DB7" w14:textId="77777777" w:rsidR="005B131E" w:rsidRPr="00BA7805" w:rsidRDefault="005B131E" w:rsidP="002542E1">
            <w:pPr>
              <w:pStyle w:val="ARfintablebodyrightbold"/>
              <w:rPr>
                <w:highlight w:val="green"/>
              </w:rPr>
            </w:pPr>
            <w:r w:rsidRPr="001B5F17">
              <w:t>418.2</w:t>
            </w:r>
          </w:p>
        </w:tc>
        <w:tc>
          <w:tcPr>
            <w:tcW w:w="1361" w:type="dxa"/>
            <w:noWrap/>
          </w:tcPr>
          <w:p w14:paraId="12F25C49" w14:textId="77777777" w:rsidR="005B131E" w:rsidRPr="00BA7805" w:rsidRDefault="005B131E" w:rsidP="002542E1">
            <w:pPr>
              <w:pStyle w:val="ARfintablebodyrightbold"/>
              <w:rPr>
                <w:highlight w:val="green"/>
              </w:rPr>
            </w:pPr>
            <w:r w:rsidRPr="001B5F17">
              <w:t>442.9</w:t>
            </w:r>
          </w:p>
        </w:tc>
      </w:tr>
    </w:tbl>
    <w:p w14:paraId="6867ED57" w14:textId="77777777" w:rsidR="005B131E" w:rsidRDefault="005B131E" w:rsidP="002542E1">
      <w:pPr>
        <w:pStyle w:val="Heading6"/>
      </w:pPr>
      <w:r>
        <w:t>Grants income</w:t>
      </w:r>
    </w:p>
    <w:p w14:paraId="76090B6D" w14:textId="77777777" w:rsidR="005B131E" w:rsidRPr="006114CF" w:rsidRDefault="005B131E" w:rsidP="002542E1">
      <w:pPr>
        <w:pStyle w:val="ARfinbody"/>
        <w:rPr>
          <w:highlight w:val="green"/>
        </w:rPr>
      </w:pPr>
      <w:r>
        <w:t>The department receives grants income which are paid for a particular purpose and/or have conditions attached regarding their use. However, these grant agreements for grants received by the department do not contain sufficiently specific performance obligations such as the period over which the service deliveries must be delivered, the specific nature or type of the service deliveries, the cost or value of the service deliveries, or the number of service deliveries to be provided. These grants are received under the agreements between the relevant departments to provide services for a given output and activities to further achieve the objective of the departments. These grants are recognised in accordance with AASB 1058 when the department has an unconditional right to receive cash.</w:t>
      </w:r>
    </w:p>
    <w:p w14:paraId="54085938" w14:textId="77777777" w:rsidR="005B131E" w:rsidRDefault="005B131E" w:rsidP="002542E1">
      <w:pPr>
        <w:pStyle w:val="ARfinbody"/>
      </w:pPr>
      <w:r>
        <w:t>Income from grants to construct the capital assets that are controlled by the department is recognised progressively as the asset is constructed. The progressive percentage costs incurred are used to recognise income because these most closely reflect the progress to completion as costs are incurred as the works are done.</w:t>
      </w:r>
    </w:p>
    <w:p w14:paraId="5F53A6AA" w14:textId="19AE59F9" w:rsidR="005B131E" w:rsidRDefault="005B131E" w:rsidP="002542E1">
      <w:pPr>
        <w:pStyle w:val="ARfinbody"/>
      </w:pPr>
      <w:r>
        <w:t>Income from grants without any sufficiently specific performance obligations, or that are not enforceable, is recognised in accordance with AASB 1058 when the department has an unconditional right to receive the cash which usually coincides with receipt of cash. On initial recognition of the asset, the department recognises any related contributions by owners, increases in liabilities, decreases in assets, and revenue (</w:t>
      </w:r>
      <w:r w:rsidR="00711AE6">
        <w:t>‘</w:t>
      </w:r>
      <w:r>
        <w:t>related amounts</w:t>
      </w:r>
      <w:r w:rsidR="00711AE6">
        <w:t>’</w:t>
      </w:r>
      <w:r>
        <w:t>) in accordance with other Australian Accounting Standards. Related amounts may take the form of:</w:t>
      </w:r>
    </w:p>
    <w:p w14:paraId="272DA220" w14:textId="77777777" w:rsidR="005B131E" w:rsidRDefault="005B131E" w:rsidP="002542E1">
      <w:pPr>
        <w:pStyle w:val="ARfinnumberalpha1"/>
      </w:pPr>
      <w:r>
        <w:t>contributions by owners, in accordance with AASB 1004</w:t>
      </w:r>
    </w:p>
    <w:p w14:paraId="1CB15B5A" w14:textId="77777777" w:rsidR="005B131E" w:rsidRDefault="005B131E" w:rsidP="002542E1">
      <w:pPr>
        <w:pStyle w:val="ARfinnumberalpha1"/>
      </w:pPr>
      <w:r>
        <w:t>revenue or a contract liability arising from a contract with a customer, in accordance with AASB 15</w:t>
      </w:r>
    </w:p>
    <w:p w14:paraId="5B0A483C" w14:textId="77777777" w:rsidR="005B131E" w:rsidRDefault="005B131E" w:rsidP="002542E1">
      <w:pPr>
        <w:pStyle w:val="ARfinnumberalpha1"/>
      </w:pPr>
      <w:r>
        <w:t>a lease liability, in accordance with AASB 16</w:t>
      </w:r>
    </w:p>
    <w:p w14:paraId="34821D02" w14:textId="77777777" w:rsidR="005B131E" w:rsidRDefault="005B131E" w:rsidP="002542E1">
      <w:pPr>
        <w:pStyle w:val="ARfinnumberalpha1"/>
      </w:pPr>
      <w:r>
        <w:t>a financial instrument, in accordance with AASB 9, or</w:t>
      </w:r>
    </w:p>
    <w:p w14:paraId="7E9FAF30" w14:textId="77777777" w:rsidR="005B131E" w:rsidRPr="00865859" w:rsidRDefault="005B131E" w:rsidP="005C7C7D">
      <w:pPr>
        <w:pStyle w:val="ARfinnumberalpha1"/>
      </w:pPr>
      <w:r w:rsidRPr="00865859">
        <w:t>a provision</w:t>
      </w:r>
      <w:r>
        <w:t>, in accordance with AASB 137.</w:t>
      </w:r>
    </w:p>
    <w:p w14:paraId="4F10BFFE" w14:textId="77777777" w:rsidR="005B131E" w:rsidRPr="00BA7805" w:rsidRDefault="005B131E" w:rsidP="005C7C7D">
      <w:pPr>
        <w:pStyle w:val="ARbody"/>
        <w:rPr>
          <w:highlight w:val="green"/>
        </w:rPr>
      </w:pPr>
      <w:r w:rsidRPr="00BA7805">
        <w:rPr>
          <w:highlight w:val="green"/>
        </w:rPr>
        <w:br w:type="page"/>
      </w:r>
    </w:p>
    <w:p w14:paraId="50A26158" w14:textId="77777777" w:rsidR="005B131E" w:rsidRPr="004A22AF" w:rsidRDefault="005B131E">
      <w:pPr>
        <w:pStyle w:val="Heading4"/>
        <w:rPr>
          <w:lang w:eastAsia="en-AU"/>
        </w:rPr>
      </w:pPr>
      <w:r w:rsidRPr="004A22AF">
        <w:rPr>
          <w:lang w:eastAsia="en-AU"/>
        </w:rPr>
        <w:t>2.5 Annotated income agreements</w:t>
      </w:r>
    </w:p>
    <w:p w14:paraId="007D404B" w14:textId="77777777" w:rsidR="005B131E" w:rsidRDefault="005B131E" w:rsidP="002542E1">
      <w:pPr>
        <w:pStyle w:val="ARfinbody"/>
      </w:pPr>
      <w:r>
        <w:t xml:space="preserve">The department is permitted under s. 29 of the </w:t>
      </w:r>
      <w:r w:rsidRPr="00FB711A">
        <w:rPr>
          <w:rStyle w:val="Emphasis"/>
        </w:rPr>
        <w:t>Financial Management Act 1994</w:t>
      </w:r>
      <w:r>
        <w:t xml:space="preserve"> to have certain income annotated to the annual appropriation. The income which forms part of a s. 29 agreement is recognised by the department and the receipts paid into the consolidated fund as an administered item. At the point of income recognition, </w:t>
      </w:r>
      <w:r>
        <w:br/>
        <w:t>s. 29 provides for an equivalent amount to be added to the annual appropriation.</w:t>
      </w:r>
    </w:p>
    <w:p w14:paraId="6018301F" w14:textId="77777777" w:rsidR="005B131E" w:rsidRPr="007C5593" w:rsidRDefault="005B131E" w:rsidP="002542E1">
      <w:pPr>
        <w:pStyle w:val="ARfinbodylargespace"/>
        <w:rPr>
          <w:highlight w:val="green"/>
        </w:rPr>
      </w:pPr>
      <w:r>
        <w:t xml:space="preserve">The following is a listing of annotated income agreements under s. 29 of the </w:t>
      </w:r>
      <w:r w:rsidRPr="00FB711A">
        <w:rPr>
          <w:rStyle w:val="Emphasis"/>
        </w:rPr>
        <w:t>Financial Management Act 1994</w:t>
      </w:r>
      <w:r>
        <w:t xml:space="preserve"> approved by the Treasurer:</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0F5DD089"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1AFAFBEB" w14:textId="77777777" w:rsidR="005B131E" w:rsidRPr="00BA7805" w:rsidRDefault="005B131E">
            <w:pPr>
              <w:pStyle w:val="ARfintablecolhead"/>
              <w:spacing w:before="30"/>
              <w:rPr>
                <w:highlight w:val="green"/>
              </w:rPr>
            </w:pPr>
          </w:p>
        </w:tc>
        <w:tc>
          <w:tcPr>
            <w:tcW w:w="1361" w:type="dxa"/>
            <w:tcBorders>
              <w:bottom w:val="single" w:sz="4" w:space="0" w:color="auto"/>
            </w:tcBorders>
            <w:shd w:val="clear" w:color="auto" w:fill="E7E6E6"/>
            <w:hideMark/>
          </w:tcPr>
          <w:p w14:paraId="299F1F78" w14:textId="77777777" w:rsidR="005B131E" w:rsidRPr="007E296C" w:rsidRDefault="005B131E">
            <w:pPr>
              <w:pStyle w:val="ARfintablecolheadright"/>
            </w:pPr>
            <w:r w:rsidRPr="007E296C">
              <w:t>2024</w:t>
            </w:r>
          </w:p>
          <w:p w14:paraId="588701CE" w14:textId="77777777" w:rsidR="005B131E" w:rsidRPr="007E296C" w:rsidRDefault="005B131E">
            <w:pPr>
              <w:pStyle w:val="ARfintablecolheadright"/>
              <w:spacing w:before="30"/>
            </w:pPr>
            <w:r w:rsidRPr="007E296C">
              <w:t>$M</w:t>
            </w:r>
          </w:p>
        </w:tc>
        <w:tc>
          <w:tcPr>
            <w:tcW w:w="1361" w:type="dxa"/>
            <w:tcBorders>
              <w:bottom w:val="single" w:sz="4" w:space="0" w:color="auto"/>
            </w:tcBorders>
            <w:hideMark/>
          </w:tcPr>
          <w:p w14:paraId="4E5D130D" w14:textId="77777777" w:rsidR="005B131E" w:rsidRPr="007E296C" w:rsidRDefault="005B131E">
            <w:pPr>
              <w:pStyle w:val="ARfintablecolheadright"/>
            </w:pPr>
            <w:r w:rsidRPr="007E296C">
              <w:t>2023</w:t>
            </w:r>
          </w:p>
          <w:p w14:paraId="63B0C40B" w14:textId="77777777" w:rsidR="005B131E" w:rsidRPr="007E296C" w:rsidRDefault="005B131E">
            <w:pPr>
              <w:pStyle w:val="ARfintablecolheadright"/>
              <w:spacing w:before="30"/>
            </w:pPr>
            <w:r w:rsidRPr="007E296C">
              <w:t>$M</w:t>
            </w:r>
          </w:p>
        </w:tc>
      </w:tr>
      <w:tr w:rsidR="005B131E" w:rsidRPr="00BA7805" w14:paraId="6A2E2A05" w14:textId="77777777">
        <w:tc>
          <w:tcPr>
            <w:tcW w:w="9637" w:type="dxa"/>
            <w:gridSpan w:val="3"/>
            <w:tcBorders>
              <w:top w:val="single" w:sz="4" w:space="0" w:color="auto"/>
              <w:bottom w:val="single" w:sz="4" w:space="0" w:color="A6A6A6"/>
            </w:tcBorders>
            <w:hideMark/>
          </w:tcPr>
          <w:p w14:paraId="1D15D8E2" w14:textId="77777777" w:rsidR="005B131E" w:rsidRPr="00BA7805" w:rsidRDefault="005B131E" w:rsidP="002542E1">
            <w:pPr>
              <w:pStyle w:val="ARfintablebodybold"/>
              <w:rPr>
                <w:highlight w:val="green"/>
              </w:rPr>
            </w:pPr>
            <w:r w:rsidRPr="00B9036A">
              <w:t xml:space="preserve">User charges, or sales of goods and services </w:t>
            </w:r>
          </w:p>
        </w:tc>
      </w:tr>
      <w:tr w:rsidR="005B131E" w:rsidRPr="00BA7805" w14:paraId="6850F34D" w14:textId="77777777" w:rsidTr="00B84A49">
        <w:tc>
          <w:tcPr>
            <w:tcW w:w="6915" w:type="dxa"/>
            <w:tcBorders>
              <w:top w:val="single" w:sz="4" w:space="0" w:color="A6A6A6"/>
              <w:bottom w:val="single" w:sz="4" w:space="0" w:color="A6A6A6"/>
            </w:tcBorders>
          </w:tcPr>
          <w:p w14:paraId="080EEC71" w14:textId="77777777" w:rsidR="005B131E" w:rsidRPr="00BA7805" w:rsidRDefault="005B131E" w:rsidP="002542E1">
            <w:pPr>
              <w:pStyle w:val="ARfintablebody"/>
              <w:rPr>
                <w:highlight w:val="green"/>
              </w:rPr>
            </w:pPr>
            <w:r w:rsidRPr="00B9036A">
              <w:t>Community Residential Units Accommodation charges include full Board and</w:t>
            </w:r>
            <w:r>
              <w:t> </w:t>
            </w:r>
            <w:r w:rsidRPr="00B9036A">
              <w:t xml:space="preserve">Lodging Model (Output) </w:t>
            </w:r>
          </w:p>
        </w:tc>
        <w:tc>
          <w:tcPr>
            <w:tcW w:w="1361" w:type="dxa"/>
            <w:tcBorders>
              <w:top w:val="single" w:sz="4" w:space="0" w:color="A6A6A6"/>
              <w:bottom w:val="single" w:sz="4" w:space="0" w:color="A6A6A6"/>
            </w:tcBorders>
            <w:shd w:val="clear" w:color="auto" w:fill="E7E6E6"/>
            <w:noWrap/>
          </w:tcPr>
          <w:p w14:paraId="3F9170BC" w14:textId="77777777" w:rsidR="005B131E" w:rsidRPr="00BA7805" w:rsidRDefault="005B131E" w:rsidP="002542E1">
            <w:pPr>
              <w:pStyle w:val="ARfintablebodyright"/>
              <w:rPr>
                <w:highlight w:val="green"/>
              </w:rPr>
            </w:pPr>
            <w:r w:rsidRPr="00B9036A">
              <w:t>18.0</w:t>
            </w:r>
          </w:p>
        </w:tc>
        <w:tc>
          <w:tcPr>
            <w:tcW w:w="1361" w:type="dxa"/>
            <w:tcBorders>
              <w:top w:val="single" w:sz="4" w:space="0" w:color="A6A6A6"/>
              <w:bottom w:val="single" w:sz="4" w:space="0" w:color="A6A6A6"/>
            </w:tcBorders>
            <w:noWrap/>
          </w:tcPr>
          <w:p w14:paraId="499EB34A" w14:textId="77777777" w:rsidR="005B131E" w:rsidRPr="00BA7805" w:rsidRDefault="005B131E" w:rsidP="002542E1">
            <w:pPr>
              <w:pStyle w:val="ARfintablebodyright"/>
              <w:rPr>
                <w:highlight w:val="green"/>
              </w:rPr>
            </w:pPr>
            <w:r w:rsidRPr="00B9036A">
              <w:t>16.6</w:t>
            </w:r>
          </w:p>
        </w:tc>
      </w:tr>
      <w:tr w:rsidR="005B131E" w:rsidRPr="00BA7805" w14:paraId="02A858F7" w14:textId="77777777" w:rsidTr="00B84A49">
        <w:tc>
          <w:tcPr>
            <w:tcW w:w="6915" w:type="dxa"/>
            <w:tcBorders>
              <w:top w:val="single" w:sz="4" w:space="0" w:color="A6A6A6"/>
              <w:bottom w:val="single" w:sz="4" w:space="0" w:color="A6A6A6"/>
            </w:tcBorders>
          </w:tcPr>
          <w:p w14:paraId="0492AD83" w14:textId="77777777" w:rsidR="005B131E" w:rsidRPr="00BA7805" w:rsidRDefault="005B131E" w:rsidP="002542E1">
            <w:pPr>
              <w:pStyle w:val="ARfintablebody"/>
              <w:rPr>
                <w:highlight w:val="green"/>
              </w:rPr>
            </w:pPr>
            <w:r w:rsidRPr="00B9036A">
              <w:t>Revenue for Services Provided for the National Disability Insurance Agency</w:t>
            </w:r>
            <w:r>
              <w:t> </w:t>
            </w:r>
            <w:r w:rsidRPr="00B9036A">
              <w:t xml:space="preserve">(Output) </w:t>
            </w:r>
          </w:p>
        </w:tc>
        <w:tc>
          <w:tcPr>
            <w:tcW w:w="1361" w:type="dxa"/>
            <w:tcBorders>
              <w:top w:val="single" w:sz="4" w:space="0" w:color="A6A6A6"/>
              <w:bottom w:val="single" w:sz="4" w:space="0" w:color="A6A6A6"/>
            </w:tcBorders>
            <w:shd w:val="clear" w:color="auto" w:fill="E7E6E6"/>
            <w:noWrap/>
          </w:tcPr>
          <w:p w14:paraId="0A173A95" w14:textId="77777777" w:rsidR="005B131E" w:rsidRPr="00BA7805" w:rsidRDefault="005B131E" w:rsidP="002542E1">
            <w:pPr>
              <w:pStyle w:val="ARfintablebodyright"/>
              <w:rPr>
                <w:highlight w:val="green"/>
              </w:rPr>
            </w:pPr>
            <w:r w:rsidRPr="00B9036A">
              <w:t>17.9</w:t>
            </w:r>
          </w:p>
        </w:tc>
        <w:tc>
          <w:tcPr>
            <w:tcW w:w="1361" w:type="dxa"/>
            <w:tcBorders>
              <w:top w:val="single" w:sz="4" w:space="0" w:color="A6A6A6"/>
              <w:bottom w:val="single" w:sz="4" w:space="0" w:color="A6A6A6"/>
            </w:tcBorders>
            <w:noWrap/>
          </w:tcPr>
          <w:p w14:paraId="382F1E40" w14:textId="77777777" w:rsidR="005B131E" w:rsidRPr="00BA7805" w:rsidRDefault="005B131E" w:rsidP="002542E1">
            <w:pPr>
              <w:pStyle w:val="ARfintablebodyright"/>
              <w:rPr>
                <w:highlight w:val="green"/>
              </w:rPr>
            </w:pPr>
            <w:r w:rsidRPr="00B9036A">
              <w:t>18.1</w:t>
            </w:r>
          </w:p>
        </w:tc>
      </w:tr>
      <w:tr w:rsidR="005B131E" w:rsidRPr="00BA7805" w14:paraId="465529FF" w14:textId="77777777" w:rsidTr="00B84A49">
        <w:tc>
          <w:tcPr>
            <w:tcW w:w="6915" w:type="dxa"/>
            <w:tcBorders>
              <w:top w:val="single" w:sz="4" w:space="0" w:color="A6A6A6"/>
              <w:bottom w:val="single" w:sz="4" w:space="0" w:color="A6A6A6"/>
            </w:tcBorders>
          </w:tcPr>
          <w:p w14:paraId="0F69BBCC" w14:textId="77777777" w:rsidR="005B131E" w:rsidRPr="00BA7805" w:rsidRDefault="005B131E" w:rsidP="002542E1">
            <w:pPr>
              <w:pStyle w:val="ARfintablebody"/>
              <w:rPr>
                <w:highlight w:val="green"/>
              </w:rPr>
            </w:pPr>
            <w:r w:rsidRPr="00B9036A">
              <w:t>Revenue for Services Provided for the National Disability Insurance Agency</w:t>
            </w:r>
            <w:r>
              <w:t> </w:t>
            </w:r>
            <w:r w:rsidRPr="00B9036A">
              <w:t xml:space="preserve">(Capital) </w:t>
            </w:r>
          </w:p>
        </w:tc>
        <w:tc>
          <w:tcPr>
            <w:tcW w:w="1361" w:type="dxa"/>
            <w:tcBorders>
              <w:top w:val="single" w:sz="4" w:space="0" w:color="A6A6A6"/>
              <w:bottom w:val="single" w:sz="4" w:space="0" w:color="A6A6A6"/>
            </w:tcBorders>
            <w:shd w:val="clear" w:color="auto" w:fill="E7E6E6"/>
            <w:noWrap/>
          </w:tcPr>
          <w:p w14:paraId="66564033" w14:textId="77777777" w:rsidR="005B131E" w:rsidRPr="00BA7805" w:rsidRDefault="005B131E" w:rsidP="002542E1">
            <w:pPr>
              <w:pStyle w:val="ARfintablebodyright"/>
              <w:rPr>
                <w:highlight w:val="green"/>
              </w:rPr>
            </w:pPr>
            <w:r w:rsidRPr="00B9036A">
              <w:t>11.5</w:t>
            </w:r>
          </w:p>
        </w:tc>
        <w:tc>
          <w:tcPr>
            <w:tcW w:w="1361" w:type="dxa"/>
            <w:tcBorders>
              <w:top w:val="single" w:sz="4" w:space="0" w:color="A6A6A6"/>
              <w:bottom w:val="single" w:sz="4" w:space="0" w:color="A6A6A6"/>
            </w:tcBorders>
            <w:noWrap/>
          </w:tcPr>
          <w:p w14:paraId="15E9D320" w14:textId="77777777" w:rsidR="005B131E" w:rsidRPr="00BA7805" w:rsidRDefault="005B131E" w:rsidP="002542E1">
            <w:pPr>
              <w:pStyle w:val="ARfintablebodyright"/>
              <w:rPr>
                <w:highlight w:val="green"/>
              </w:rPr>
            </w:pPr>
            <w:r w:rsidRPr="00B9036A">
              <w:t>18.2</w:t>
            </w:r>
          </w:p>
        </w:tc>
      </w:tr>
      <w:tr w:rsidR="005B131E" w:rsidRPr="00BA7805" w14:paraId="67189F1C" w14:textId="77777777" w:rsidTr="00B84A49">
        <w:tc>
          <w:tcPr>
            <w:tcW w:w="6915" w:type="dxa"/>
            <w:tcBorders>
              <w:top w:val="single" w:sz="4" w:space="0" w:color="A6A6A6"/>
              <w:bottom w:val="single" w:sz="4" w:space="0" w:color="A6A6A6"/>
            </w:tcBorders>
          </w:tcPr>
          <w:p w14:paraId="4C38FE64" w14:textId="77777777" w:rsidR="005B131E" w:rsidRPr="00BA7805" w:rsidRDefault="005B131E" w:rsidP="002542E1">
            <w:pPr>
              <w:pStyle w:val="ARfintablebody"/>
              <w:rPr>
                <w:highlight w:val="green"/>
              </w:rPr>
            </w:pPr>
            <w:r w:rsidRPr="00B9036A">
              <w:t xml:space="preserve">Office of Senior Victorians – advertising and sponsorship income (Output) </w:t>
            </w:r>
          </w:p>
        </w:tc>
        <w:tc>
          <w:tcPr>
            <w:tcW w:w="1361" w:type="dxa"/>
            <w:tcBorders>
              <w:top w:val="single" w:sz="4" w:space="0" w:color="A6A6A6"/>
              <w:bottom w:val="single" w:sz="4" w:space="0" w:color="A6A6A6"/>
            </w:tcBorders>
            <w:shd w:val="clear" w:color="auto" w:fill="E7E6E6"/>
            <w:noWrap/>
          </w:tcPr>
          <w:p w14:paraId="41842B9A" w14:textId="77777777" w:rsidR="005B131E" w:rsidRPr="00BA7805" w:rsidRDefault="005B131E" w:rsidP="002542E1">
            <w:pPr>
              <w:pStyle w:val="ARfintablebodyright"/>
              <w:rPr>
                <w:highlight w:val="green"/>
              </w:rPr>
            </w:pPr>
            <w:r w:rsidRPr="00B9036A">
              <w:t>0.7</w:t>
            </w:r>
          </w:p>
        </w:tc>
        <w:tc>
          <w:tcPr>
            <w:tcW w:w="1361" w:type="dxa"/>
            <w:tcBorders>
              <w:top w:val="single" w:sz="4" w:space="0" w:color="A6A6A6"/>
              <w:bottom w:val="single" w:sz="4" w:space="0" w:color="A6A6A6"/>
            </w:tcBorders>
            <w:noWrap/>
          </w:tcPr>
          <w:p w14:paraId="068994A8" w14:textId="77777777" w:rsidR="005B131E" w:rsidRPr="00BA7805" w:rsidRDefault="005B131E" w:rsidP="002542E1">
            <w:pPr>
              <w:pStyle w:val="ARfintablebodyright"/>
              <w:rPr>
                <w:highlight w:val="green"/>
              </w:rPr>
            </w:pPr>
            <w:r w:rsidRPr="00B9036A">
              <w:t>0.7</w:t>
            </w:r>
          </w:p>
        </w:tc>
      </w:tr>
      <w:tr w:rsidR="005B131E" w:rsidRPr="00BA7805" w14:paraId="59A65843" w14:textId="77777777" w:rsidTr="002542E1">
        <w:tc>
          <w:tcPr>
            <w:tcW w:w="6915" w:type="dxa"/>
            <w:tcBorders>
              <w:bottom w:val="single" w:sz="4" w:space="0" w:color="auto"/>
            </w:tcBorders>
          </w:tcPr>
          <w:p w14:paraId="369CEA36" w14:textId="77777777" w:rsidR="005B131E" w:rsidRPr="00BA7805" w:rsidRDefault="005B131E" w:rsidP="002542E1">
            <w:pPr>
              <w:pStyle w:val="ARfintablebodybold"/>
              <w:rPr>
                <w:highlight w:val="green"/>
              </w:rPr>
            </w:pPr>
          </w:p>
        </w:tc>
        <w:tc>
          <w:tcPr>
            <w:tcW w:w="1361" w:type="dxa"/>
            <w:tcBorders>
              <w:bottom w:val="single" w:sz="4" w:space="0" w:color="auto"/>
            </w:tcBorders>
            <w:shd w:val="clear" w:color="auto" w:fill="E7E6E6"/>
            <w:noWrap/>
          </w:tcPr>
          <w:p w14:paraId="3CD1E8D1" w14:textId="77777777" w:rsidR="005B131E" w:rsidRPr="00BA7805" w:rsidRDefault="005B131E" w:rsidP="002542E1">
            <w:pPr>
              <w:pStyle w:val="ARfintablebodyrightbold"/>
              <w:rPr>
                <w:highlight w:val="green"/>
              </w:rPr>
            </w:pPr>
            <w:r w:rsidRPr="00B9036A">
              <w:t>48.1</w:t>
            </w:r>
          </w:p>
        </w:tc>
        <w:tc>
          <w:tcPr>
            <w:tcW w:w="1361" w:type="dxa"/>
            <w:tcBorders>
              <w:bottom w:val="single" w:sz="4" w:space="0" w:color="auto"/>
            </w:tcBorders>
            <w:noWrap/>
          </w:tcPr>
          <w:p w14:paraId="5BDD738A" w14:textId="77777777" w:rsidR="005B131E" w:rsidRPr="00BA7805" w:rsidRDefault="005B131E" w:rsidP="002542E1">
            <w:pPr>
              <w:pStyle w:val="ARfintablebodyrightbold"/>
              <w:rPr>
                <w:highlight w:val="green"/>
              </w:rPr>
            </w:pPr>
            <w:r w:rsidRPr="00B9036A">
              <w:t>53.5</w:t>
            </w:r>
          </w:p>
        </w:tc>
      </w:tr>
      <w:tr w:rsidR="005B131E" w:rsidRPr="00BA7805" w14:paraId="246948BE" w14:textId="77777777" w:rsidTr="002542E1">
        <w:tc>
          <w:tcPr>
            <w:tcW w:w="6915" w:type="dxa"/>
            <w:tcBorders>
              <w:top w:val="single" w:sz="4" w:space="0" w:color="auto"/>
              <w:bottom w:val="single" w:sz="4" w:space="0" w:color="A6A6A6" w:themeColor="background1" w:themeShade="A6"/>
            </w:tcBorders>
          </w:tcPr>
          <w:p w14:paraId="5D94E817" w14:textId="77777777" w:rsidR="005B131E" w:rsidRPr="00BA7805" w:rsidRDefault="005B131E" w:rsidP="002542E1">
            <w:pPr>
              <w:pStyle w:val="ARfintablebodybold"/>
              <w:rPr>
                <w:highlight w:val="green"/>
              </w:rPr>
            </w:pPr>
            <w:r w:rsidRPr="00D367D1">
              <w:t xml:space="preserve">Asset sales </w:t>
            </w:r>
          </w:p>
        </w:tc>
        <w:tc>
          <w:tcPr>
            <w:tcW w:w="1361" w:type="dxa"/>
            <w:tcBorders>
              <w:top w:val="single" w:sz="4" w:space="0" w:color="auto"/>
              <w:bottom w:val="single" w:sz="4" w:space="0" w:color="A6A6A6" w:themeColor="background1" w:themeShade="A6"/>
            </w:tcBorders>
            <w:shd w:val="clear" w:color="auto" w:fill="E7E6E6"/>
            <w:noWrap/>
          </w:tcPr>
          <w:p w14:paraId="3498ADD2" w14:textId="77777777" w:rsidR="005B131E" w:rsidRPr="00B9036A" w:rsidRDefault="005B131E" w:rsidP="002542E1">
            <w:pPr>
              <w:pStyle w:val="ARfintablebodyrightbold"/>
            </w:pPr>
          </w:p>
        </w:tc>
        <w:tc>
          <w:tcPr>
            <w:tcW w:w="1361" w:type="dxa"/>
            <w:tcBorders>
              <w:top w:val="single" w:sz="4" w:space="0" w:color="auto"/>
              <w:bottom w:val="single" w:sz="4" w:space="0" w:color="A6A6A6" w:themeColor="background1" w:themeShade="A6"/>
            </w:tcBorders>
            <w:noWrap/>
          </w:tcPr>
          <w:p w14:paraId="6051279B" w14:textId="77777777" w:rsidR="005B131E" w:rsidRPr="00B9036A" w:rsidRDefault="005B131E" w:rsidP="002542E1">
            <w:pPr>
              <w:pStyle w:val="ARfintablebodyrightbold"/>
            </w:pPr>
          </w:p>
        </w:tc>
      </w:tr>
      <w:tr w:rsidR="005B131E" w:rsidRPr="00BA7805" w14:paraId="0AD7B5D4" w14:textId="77777777" w:rsidTr="002542E1">
        <w:tc>
          <w:tcPr>
            <w:tcW w:w="6915" w:type="dxa"/>
            <w:tcBorders>
              <w:top w:val="single" w:sz="4" w:space="0" w:color="A6A6A6" w:themeColor="background1" w:themeShade="A6"/>
              <w:bottom w:val="single" w:sz="4" w:space="0" w:color="A6A6A6" w:themeColor="background1" w:themeShade="A6"/>
            </w:tcBorders>
          </w:tcPr>
          <w:p w14:paraId="761855EB" w14:textId="77777777" w:rsidR="005B131E" w:rsidRPr="00CB00C2" w:rsidRDefault="005B131E" w:rsidP="002542E1">
            <w:pPr>
              <w:pStyle w:val="ARfintablebody"/>
              <w:rPr>
                <w:highlight w:val="green"/>
              </w:rPr>
            </w:pPr>
            <w:r w:rsidRPr="00CB00C2">
              <w:t xml:space="preserve">Proceeds from sale of land and buildings (Capital) </w:t>
            </w:r>
          </w:p>
        </w:tc>
        <w:tc>
          <w:tcPr>
            <w:tcW w:w="1361" w:type="dxa"/>
            <w:tcBorders>
              <w:top w:val="single" w:sz="4" w:space="0" w:color="A6A6A6" w:themeColor="background1" w:themeShade="A6"/>
              <w:bottom w:val="single" w:sz="4" w:space="0" w:color="A6A6A6" w:themeColor="background1" w:themeShade="A6"/>
            </w:tcBorders>
            <w:shd w:val="clear" w:color="auto" w:fill="E7E6E6"/>
            <w:noWrap/>
          </w:tcPr>
          <w:p w14:paraId="1EA521B8" w14:textId="77777777" w:rsidR="005B131E" w:rsidRPr="00CB00C2" w:rsidRDefault="005B131E" w:rsidP="002542E1">
            <w:pPr>
              <w:pStyle w:val="ARfintablebodyright"/>
            </w:pPr>
            <w:r w:rsidRPr="00CB00C2">
              <w:t>0.1</w:t>
            </w:r>
          </w:p>
        </w:tc>
        <w:tc>
          <w:tcPr>
            <w:tcW w:w="1361" w:type="dxa"/>
            <w:tcBorders>
              <w:top w:val="single" w:sz="4" w:space="0" w:color="A6A6A6" w:themeColor="background1" w:themeShade="A6"/>
              <w:bottom w:val="single" w:sz="4" w:space="0" w:color="A6A6A6" w:themeColor="background1" w:themeShade="A6"/>
            </w:tcBorders>
            <w:noWrap/>
          </w:tcPr>
          <w:p w14:paraId="400B415F" w14:textId="77777777" w:rsidR="005B131E" w:rsidRPr="00CB00C2" w:rsidRDefault="005B131E" w:rsidP="002542E1">
            <w:pPr>
              <w:pStyle w:val="ARfintablebodyright"/>
            </w:pPr>
            <w:r>
              <w:t>–</w:t>
            </w:r>
          </w:p>
        </w:tc>
      </w:tr>
      <w:tr w:rsidR="005B131E" w:rsidRPr="00BA7805" w14:paraId="2692B45A" w14:textId="77777777" w:rsidTr="002542E1">
        <w:tc>
          <w:tcPr>
            <w:tcW w:w="6915" w:type="dxa"/>
            <w:tcBorders>
              <w:top w:val="single" w:sz="4" w:space="0" w:color="A6A6A6" w:themeColor="background1" w:themeShade="A6"/>
              <w:bottom w:val="single" w:sz="4" w:space="0" w:color="auto"/>
            </w:tcBorders>
          </w:tcPr>
          <w:p w14:paraId="1067311A" w14:textId="77777777" w:rsidR="005B131E" w:rsidRPr="00BA7805" w:rsidRDefault="005B131E" w:rsidP="002542E1">
            <w:pPr>
              <w:pStyle w:val="ARfintablebodybold"/>
              <w:rPr>
                <w:highlight w:val="green"/>
              </w:rPr>
            </w:pPr>
          </w:p>
        </w:tc>
        <w:tc>
          <w:tcPr>
            <w:tcW w:w="1361" w:type="dxa"/>
            <w:tcBorders>
              <w:top w:val="single" w:sz="4" w:space="0" w:color="A6A6A6" w:themeColor="background1" w:themeShade="A6"/>
              <w:bottom w:val="single" w:sz="4" w:space="0" w:color="auto"/>
            </w:tcBorders>
            <w:shd w:val="clear" w:color="auto" w:fill="E7E6E6"/>
            <w:noWrap/>
          </w:tcPr>
          <w:p w14:paraId="61D376EE" w14:textId="77777777" w:rsidR="005B131E" w:rsidRPr="00B9036A" w:rsidRDefault="005B131E" w:rsidP="002542E1">
            <w:pPr>
              <w:pStyle w:val="ARfintablebodyrightbold"/>
            </w:pPr>
            <w:r w:rsidRPr="00D367D1">
              <w:t>0.1</w:t>
            </w:r>
          </w:p>
        </w:tc>
        <w:tc>
          <w:tcPr>
            <w:tcW w:w="1361" w:type="dxa"/>
            <w:tcBorders>
              <w:top w:val="single" w:sz="4" w:space="0" w:color="A6A6A6" w:themeColor="background1" w:themeShade="A6"/>
              <w:bottom w:val="single" w:sz="4" w:space="0" w:color="auto"/>
            </w:tcBorders>
            <w:noWrap/>
          </w:tcPr>
          <w:p w14:paraId="0886630E" w14:textId="77777777" w:rsidR="005B131E" w:rsidRPr="00B9036A" w:rsidRDefault="005B131E" w:rsidP="002542E1">
            <w:pPr>
              <w:pStyle w:val="ARfintablebodyrightbold"/>
            </w:pPr>
            <w:r>
              <w:t>–</w:t>
            </w:r>
          </w:p>
        </w:tc>
      </w:tr>
      <w:tr w:rsidR="005B131E" w:rsidRPr="00BA7805" w14:paraId="400B7122" w14:textId="77777777">
        <w:tc>
          <w:tcPr>
            <w:tcW w:w="9637" w:type="dxa"/>
            <w:gridSpan w:val="3"/>
            <w:tcBorders>
              <w:top w:val="single" w:sz="4" w:space="0" w:color="auto"/>
              <w:bottom w:val="single" w:sz="4" w:space="0" w:color="A6A6A6"/>
            </w:tcBorders>
            <w:hideMark/>
          </w:tcPr>
          <w:p w14:paraId="651DB73C" w14:textId="77777777" w:rsidR="005B131E" w:rsidRPr="00BA7805" w:rsidRDefault="005B131E" w:rsidP="002542E1">
            <w:pPr>
              <w:pStyle w:val="ARfintablebodybold"/>
              <w:rPr>
                <w:rFonts w:ascii="Calibri Light" w:hAnsi="Calibri Light"/>
                <w:highlight w:val="green"/>
              </w:rPr>
            </w:pPr>
            <w:r w:rsidRPr="0001292E">
              <w:t xml:space="preserve">Commonwealth specific purpose payments </w:t>
            </w:r>
          </w:p>
        </w:tc>
      </w:tr>
      <w:tr w:rsidR="005B131E" w:rsidRPr="00BA7805" w14:paraId="234A1F5B" w14:textId="77777777" w:rsidTr="00B84A49">
        <w:tc>
          <w:tcPr>
            <w:tcW w:w="9637" w:type="dxa"/>
            <w:gridSpan w:val="3"/>
            <w:tcBorders>
              <w:top w:val="single" w:sz="4" w:space="0" w:color="A6A6A6"/>
              <w:bottom w:val="single" w:sz="4" w:space="0" w:color="A6A6A6"/>
            </w:tcBorders>
          </w:tcPr>
          <w:p w14:paraId="11FFF441" w14:textId="77777777" w:rsidR="005B131E" w:rsidRPr="00BA7805" w:rsidRDefault="005B131E" w:rsidP="002542E1">
            <w:pPr>
              <w:pStyle w:val="ARfintablebody"/>
              <w:rPr>
                <w:highlight w:val="green"/>
              </w:rPr>
            </w:pPr>
            <w:r w:rsidRPr="0001292E">
              <w:t xml:space="preserve">National Partnership Agreements </w:t>
            </w:r>
          </w:p>
        </w:tc>
      </w:tr>
      <w:tr w:rsidR="005B131E" w:rsidRPr="00BA7805" w14:paraId="20C4C8D9" w14:textId="77777777" w:rsidTr="00B84A49">
        <w:tc>
          <w:tcPr>
            <w:tcW w:w="6915" w:type="dxa"/>
            <w:tcBorders>
              <w:top w:val="single" w:sz="4" w:space="0" w:color="A6A6A6"/>
              <w:bottom w:val="single" w:sz="4" w:space="0" w:color="A6A6A6"/>
            </w:tcBorders>
          </w:tcPr>
          <w:p w14:paraId="6DA1B34F" w14:textId="77777777" w:rsidR="005B131E" w:rsidRPr="00BA7805" w:rsidRDefault="005B131E" w:rsidP="002542E1">
            <w:pPr>
              <w:pStyle w:val="ARfintablebodyindent"/>
              <w:rPr>
                <w:highlight w:val="green"/>
              </w:rPr>
            </w:pPr>
            <w:r w:rsidRPr="00C30783">
              <w:t xml:space="preserve">Family Law Information Sharing (Output) </w:t>
            </w:r>
          </w:p>
        </w:tc>
        <w:tc>
          <w:tcPr>
            <w:tcW w:w="1361" w:type="dxa"/>
            <w:tcBorders>
              <w:top w:val="single" w:sz="4" w:space="0" w:color="A6A6A6"/>
              <w:bottom w:val="single" w:sz="4" w:space="0" w:color="A6A6A6"/>
            </w:tcBorders>
            <w:shd w:val="clear" w:color="auto" w:fill="E7E6E6"/>
            <w:noWrap/>
          </w:tcPr>
          <w:p w14:paraId="6F68C1F3" w14:textId="77777777" w:rsidR="005B131E" w:rsidRPr="00BA7805" w:rsidRDefault="005B131E" w:rsidP="002542E1">
            <w:pPr>
              <w:pStyle w:val="ARfintablebodyright"/>
              <w:rPr>
                <w:highlight w:val="green"/>
              </w:rPr>
            </w:pPr>
            <w:r>
              <w:t>–</w:t>
            </w:r>
          </w:p>
        </w:tc>
        <w:tc>
          <w:tcPr>
            <w:tcW w:w="1361" w:type="dxa"/>
            <w:tcBorders>
              <w:top w:val="single" w:sz="4" w:space="0" w:color="A6A6A6"/>
              <w:bottom w:val="single" w:sz="4" w:space="0" w:color="A6A6A6"/>
            </w:tcBorders>
            <w:noWrap/>
          </w:tcPr>
          <w:p w14:paraId="20E588FB" w14:textId="77777777" w:rsidR="005B131E" w:rsidRPr="00BA7805" w:rsidRDefault="005B131E" w:rsidP="002542E1">
            <w:pPr>
              <w:pStyle w:val="ARfintablebodyright"/>
              <w:rPr>
                <w:highlight w:val="green"/>
              </w:rPr>
            </w:pPr>
            <w:r w:rsidRPr="00C30783">
              <w:t>1.0</w:t>
            </w:r>
          </w:p>
        </w:tc>
      </w:tr>
      <w:tr w:rsidR="005B131E" w:rsidRPr="00BA7805" w14:paraId="6090C75F" w14:textId="77777777" w:rsidTr="00B84A49">
        <w:tc>
          <w:tcPr>
            <w:tcW w:w="6915" w:type="dxa"/>
            <w:tcBorders>
              <w:top w:val="single" w:sz="4" w:space="0" w:color="A6A6A6"/>
              <w:bottom w:val="single" w:sz="4" w:space="0" w:color="A6A6A6"/>
            </w:tcBorders>
          </w:tcPr>
          <w:p w14:paraId="3859E122" w14:textId="77777777" w:rsidR="005B131E" w:rsidRPr="00BA7805" w:rsidRDefault="005B131E" w:rsidP="002542E1">
            <w:pPr>
              <w:pStyle w:val="ARfintablebodyindent"/>
              <w:rPr>
                <w:highlight w:val="green"/>
              </w:rPr>
            </w:pPr>
            <w:r w:rsidRPr="00C30783">
              <w:t xml:space="preserve">National Housing and Homelessness Agreement (Output) </w:t>
            </w:r>
          </w:p>
        </w:tc>
        <w:tc>
          <w:tcPr>
            <w:tcW w:w="1361" w:type="dxa"/>
            <w:tcBorders>
              <w:top w:val="single" w:sz="4" w:space="0" w:color="A6A6A6"/>
              <w:bottom w:val="single" w:sz="4" w:space="0" w:color="A6A6A6"/>
            </w:tcBorders>
            <w:shd w:val="clear" w:color="auto" w:fill="E7E6E6"/>
            <w:noWrap/>
          </w:tcPr>
          <w:p w14:paraId="6B1EA6F2" w14:textId="77777777" w:rsidR="005B131E" w:rsidRPr="00BA7805" w:rsidRDefault="005B131E" w:rsidP="002542E1">
            <w:pPr>
              <w:pStyle w:val="ARfintablebodyright"/>
              <w:rPr>
                <w:highlight w:val="green"/>
              </w:rPr>
            </w:pPr>
            <w:r w:rsidRPr="00C30783">
              <w:t>436.0</w:t>
            </w:r>
          </w:p>
        </w:tc>
        <w:tc>
          <w:tcPr>
            <w:tcW w:w="1361" w:type="dxa"/>
            <w:tcBorders>
              <w:top w:val="single" w:sz="4" w:space="0" w:color="A6A6A6"/>
              <w:bottom w:val="single" w:sz="4" w:space="0" w:color="A6A6A6"/>
            </w:tcBorders>
            <w:noWrap/>
          </w:tcPr>
          <w:p w14:paraId="11F78AB4" w14:textId="77777777" w:rsidR="005B131E" w:rsidRPr="00BA7805" w:rsidRDefault="005B131E" w:rsidP="002542E1">
            <w:pPr>
              <w:pStyle w:val="ARfintablebodyright"/>
              <w:rPr>
                <w:highlight w:val="green"/>
              </w:rPr>
            </w:pPr>
            <w:r w:rsidRPr="00C30783">
              <w:t>414.5</w:t>
            </w:r>
          </w:p>
        </w:tc>
      </w:tr>
      <w:tr w:rsidR="005B131E" w:rsidRPr="00BA7805" w14:paraId="3DB4630A" w14:textId="77777777" w:rsidTr="00B84A49">
        <w:tc>
          <w:tcPr>
            <w:tcW w:w="6915" w:type="dxa"/>
            <w:tcBorders>
              <w:top w:val="single" w:sz="4" w:space="0" w:color="A6A6A6"/>
              <w:bottom w:val="single" w:sz="4" w:space="0" w:color="A6A6A6"/>
            </w:tcBorders>
          </w:tcPr>
          <w:p w14:paraId="2D3D7941" w14:textId="77777777" w:rsidR="005B131E" w:rsidRPr="00BA7805" w:rsidRDefault="005B131E" w:rsidP="002542E1">
            <w:pPr>
              <w:pStyle w:val="ARfintablebodyindent"/>
              <w:rPr>
                <w:highlight w:val="green"/>
              </w:rPr>
            </w:pPr>
            <w:r w:rsidRPr="00C30783">
              <w:t xml:space="preserve">Family, Domestic and Sexual Violence Support (Output) </w:t>
            </w:r>
          </w:p>
        </w:tc>
        <w:tc>
          <w:tcPr>
            <w:tcW w:w="1361" w:type="dxa"/>
            <w:tcBorders>
              <w:top w:val="single" w:sz="4" w:space="0" w:color="A6A6A6"/>
              <w:bottom w:val="single" w:sz="4" w:space="0" w:color="A6A6A6"/>
            </w:tcBorders>
            <w:shd w:val="clear" w:color="auto" w:fill="E7E6E6"/>
            <w:noWrap/>
          </w:tcPr>
          <w:p w14:paraId="2A61821D" w14:textId="77777777" w:rsidR="005B131E" w:rsidRPr="00BA7805" w:rsidRDefault="005B131E" w:rsidP="002542E1">
            <w:pPr>
              <w:pStyle w:val="ARfintablebodyright"/>
              <w:rPr>
                <w:highlight w:val="green"/>
              </w:rPr>
            </w:pPr>
            <w:r w:rsidRPr="00C30783">
              <w:t>11.7</w:t>
            </w:r>
          </w:p>
        </w:tc>
        <w:tc>
          <w:tcPr>
            <w:tcW w:w="1361" w:type="dxa"/>
            <w:tcBorders>
              <w:top w:val="single" w:sz="4" w:space="0" w:color="A6A6A6"/>
              <w:bottom w:val="single" w:sz="4" w:space="0" w:color="A6A6A6"/>
            </w:tcBorders>
            <w:noWrap/>
          </w:tcPr>
          <w:p w14:paraId="79C961A8" w14:textId="77777777" w:rsidR="005B131E" w:rsidRPr="00BA7805" w:rsidRDefault="005B131E" w:rsidP="002542E1">
            <w:pPr>
              <w:pStyle w:val="ARfintablebodyright"/>
              <w:rPr>
                <w:highlight w:val="green"/>
              </w:rPr>
            </w:pPr>
            <w:r w:rsidRPr="00C30783">
              <w:t>5.2</w:t>
            </w:r>
          </w:p>
        </w:tc>
      </w:tr>
      <w:tr w:rsidR="005B131E" w:rsidRPr="00BA7805" w14:paraId="23D8BA77" w14:textId="77777777" w:rsidTr="00B84A49">
        <w:tc>
          <w:tcPr>
            <w:tcW w:w="6915" w:type="dxa"/>
            <w:tcBorders>
              <w:top w:val="single" w:sz="4" w:space="0" w:color="A6A6A6"/>
              <w:bottom w:val="single" w:sz="4" w:space="0" w:color="A6A6A6"/>
            </w:tcBorders>
          </w:tcPr>
          <w:p w14:paraId="4C485DF5" w14:textId="77777777" w:rsidR="005B131E" w:rsidRPr="00BA7805" w:rsidRDefault="005B131E" w:rsidP="002542E1">
            <w:pPr>
              <w:pStyle w:val="ARfintablebodyindent"/>
              <w:rPr>
                <w:highlight w:val="green"/>
              </w:rPr>
            </w:pPr>
            <w:r w:rsidRPr="00C30783">
              <w:t xml:space="preserve">Energy Bill Relief (Output) </w:t>
            </w:r>
          </w:p>
        </w:tc>
        <w:tc>
          <w:tcPr>
            <w:tcW w:w="1361" w:type="dxa"/>
            <w:tcBorders>
              <w:top w:val="single" w:sz="4" w:space="0" w:color="A6A6A6"/>
              <w:bottom w:val="single" w:sz="4" w:space="0" w:color="A6A6A6"/>
            </w:tcBorders>
            <w:shd w:val="clear" w:color="auto" w:fill="E7E6E6"/>
            <w:noWrap/>
          </w:tcPr>
          <w:p w14:paraId="0F496C5A" w14:textId="77777777" w:rsidR="005B131E" w:rsidRPr="00BA7805" w:rsidRDefault="005B131E" w:rsidP="002542E1">
            <w:pPr>
              <w:pStyle w:val="ARfintablebodyright"/>
              <w:rPr>
                <w:highlight w:val="green"/>
              </w:rPr>
            </w:pPr>
            <w:r w:rsidRPr="00C30783">
              <w:t>199.0</w:t>
            </w:r>
          </w:p>
        </w:tc>
        <w:tc>
          <w:tcPr>
            <w:tcW w:w="1361" w:type="dxa"/>
            <w:tcBorders>
              <w:top w:val="single" w:sz="4" w:space="0" w:color="A6A6A6"/>
              <w:bottom w:val="single" w:sz="4" w:space="0" w:color="A6A6A6"/>
            </w:tcBorders>
            <w:noWrap/>
          </w:tcPr>
          <w:p w14:paraId="0ECE8533" w14:textId="77777777" w:rsidR="005B131E" w:rsidRPr="00BA7805" w:rsidRDefault="005B131E" w:rsidP="002542E1">
            <w:pPr>
              <w:pStyle w:val="ARfintablebodyright"/>
              <w:rPr>
                <w:highlight w:val="green"/>
              </w:rPr>
            </w:pPr>
            <w:r>
              <w:t>–</w:t>
            </w:r>
          </w:p>
        </w:tc>
      </w:tr>
      <w:tr w:rsidR="005B131E" w:rsidRPr="00BA7805" w14:paraId="6A8C5C2E" w14:textId="77777777">
        <w:tc>
          <w:tcPr>
            <w:tcW w:w="9637" w:type="dxa"/>
            <w:gridSpan w:val="3"/>
            <w:tcBorders>
              <w:top w:val="single" w:sz="4" w:space="0" w:color="A6A6A6"/>
              <w:bottom w:val="single" w:sz="4" w:space="0" w:color="A6A6A6"/>
            </w:tcBorders>
          </w:tcPr>
          <w:p w14:paraId="4C761EE7" w14:textId="77777777" w:rsidR="005B131E" w:rsidRPr="00BA7805" w:rsidRDefault="005B131E" w:rsidP="002542E1">
            <w:pPr>
              <w:pStyle w:val="ARfintablebody"/>
              <w:rPr>
                <w:highlight w:val="green"/>
              </w:rPr>
            </w:pPr>
            <w:r w:rsidRPr="00CA397A">
              <w:t>Other</w:t>
            </w:r>
          </w:p>
        </w:tc>
      </w:tr>
      <w:tr w:rsidR="005B131E" w:rsidRPr="00BA7805" w14:paraId="54B43D55" w14:textId="77777777" w:rsidTr="00B84A49">
        <w:tc>
          <w:tcPr>
            <w:tcW w:w="6915" w:type="dxa"/>
            <w:tcBorders>
              <w:top w:val="single" w:sz="4" w:space="0" w:color="A6A6A6"/>
              <w:bottom w:val="single" w:sz="4" w:space="0" w:color="A6A6A6"/>
            </w:tcBorders>
          </w:tcPr>
          <w:p w14:paraId="25B94FDE" w14:textId="77777777" w:rsidR="005B131E" w:rsidRPr="00BA7805" w:rsidRDefault="005B131E" w:rsidP="002542E1">
            <w:pPr>
              <w:pStyle w:val="ARfintablebodyindent"/>
              <w:rPr>
                <w:highlight w:val="green"/>
              </w:rPr>
            </w:pPr>
            <w:r w:rsidRPr="00CA397A">
              <w:t xml:space="preserve">Unattached Refugee Children (Output) </w:t>
            </w:r>
          </w:p>
        </w:tc>
        <w:tc>
          <w:tcPr>
            <w:tcW w:w="1361" w:type="dxa"/>
            <w:tcBorders>
              <w:top w:val="single" w:sz="4" w:space="0" w:color="A6A6A6"/>
              <w:bottom w:val="single" w:sz="4" w:space="0" w:color="A6A6A6"/>
            </w:tcBorders>
            <w:shd w:val="clear" w:color="auto" w:fill="E7E6E6"/>
            <w:noWrap/>
          </w:tcPr>
          <w:p w14:paraId="5139B47D" w14:textId="77777777" w:rsidR="005B131E" w:rsidRPr="00BA7805" w:rsidRDefault="005B131E" w:rsidP="002542E1">
            <w:pPr>
              <w:pStyle w:val="ARfintablebodyright"/>
              <w:rPr>
                <w:highlight w:val="green"/>
              </w:rPr>
            </w:pPr>
            <w:r w:rsidRPr="00CA397A">
              <w:t>2.2</w:t>
            </w:r>
          </w:p>
        </w:tc>
        <w:tc>
          <w:tcPr>
            <w:tcW w:w="1361" w:type="dxa"/>
            <w:tcBorders>
              <w:top w:val="single" w:sz="4" w:space="0" w:color="A6A6A6"/>
              <w:bottom w:val="single" w:sz="4" w:space="0" w:color="A6A6A6"/>
            </w:tcBorders>
            <w:noWrap/>
          </w:tcPr>
          <w:p w14:paraId="2DCE0C22" w14:textId="77777777" w:rsidR="005B131E" w:rsidRPr="00BA7805" w:rsidRDefault="005B131E" w:rsidP="002542E1">
            <w:pPr>
              <w:pStyle w:val="ARfintablebodyright"/>
              <w:rPr>
                <w:highlight w:val="green"/>
              </w:rPr>
            </w:pPr>
            <w:r w:rsidRPr="00CA397A">
              <w:t>1.7</w:t>
            </w:r>
          </w:p>
        </w:tc>
      </w:tr>
      <w:tr w:rsidR="005B131E" w:rsidRPr="00BA7805" w14:paraId="764091AD" w14:textId="77777777" w:rsidTr="00B84A49">
        <w:tc>
          <w:tcPr>
            <w:tcW w:w="6915" w:type="dxa"/>
            <w:tcBorders>
              <w:top w:val="single" w:sz="4" w:space="0" w:color="A6A6A6"/>
              <w:bottom w:val="single" w:sz="4" w:space="0" w:color="A6A6A6"/>
            </w:tcBorders>
          </w:tcPr>
          <w:p w14:paraId="21A1BC93" w14:textId="50BE5C4E" w:rsidR="005B131E" w:rsidRPr="00BA7805" w:rsidRDefault="005B131E" w:rsidP="002542E1">
            <w:pPr>
              <w:pStyle w:val="ARfintablebodyindent"/>
              <w:rPr>
                <w:highlight w:val="green"/>
              </w:rPr>
            </w:pPr>
            <w:r w:rsidRPr="00CA397A">
              <w:t>Women</w:t>
            </w:r>
            <w:r w:rsidR="00711AE6">
              <w:t>’</w:t>
            </w:r>
            <w:r w:rsidRPr="00CA397A">
              <w:t xml:space="preserve">s Safety Measures </w:t>
            </w:r>
            <w:r>
              <w:t>–</w:t>
            </w:r>
            <w:r w:rsidRPr="00CA397A">
              <w:t xml:space="preserve"> Keeping Women Safe in Their Homes (Output) </w:t>
            </w:r>
          </w:p>
        </w:tc>
        <w:tc>
          <w:tcPr>
            <w:tcW w:w="1361" w:type="dxa"/>
            <w:tcBorders>
              <w:top w:val="single" w:sz="4" w:space="0" w:color="A6A6A6"/>
              <w:bottom w:val="single" w:sz="4" w:space="0" w:color="A6A6A6"/>
            </w:tcBorders>
            <w:shd w:val="clear" w:color="auto" w:fill="E7E6E6"/>
            <w:noWrap/>
          </w:tcPr>
          <w:p w14:paraId="54CC0CF2" w14:textId="77777777" w:rsidR="005B131E" w:rsidRPr="00BA7805" w:rsidRDefault="005B131E" w:rsidP="002542E1">
            <w:pPr>
              <w:pStyle w:val="ARfintablebodyright"/>
              <w:rPr>
                <w:highlight w:val="green"/>
              </w:rPr>
            </w:pPr>
            <w:r w:rsidRPr="00CA397A">
              <w:t>1.4</w:t>
            </w:r>
          </w:p>
        </w:tc>
        <w:tc>
          <w:tcPr>
            <w:tcW w:w="1361" w:type="dxa"/>
            <w:tcBorders>
              <w:top w:val="single" w:sz="4" w:space="0" w:color="A6A6A6"/>
              <w:bottom w:val="single" w:sz="4" w:space="0" w:color="A6A6A6"/>
            </w:tcBorders>
            <w:noWrap/>
          </w:tcPr>
          <w:p w14:paraId="33198CF0" w14:textId="77777777" w:rsidR="005B131E" w:rsidRPr="00BA7805" w:rsidRDefault="005B131E" w:rsidP="002542E1">
            <w:pPr>
              <w:pStyle w:val="ARfintablebodyright"/>
              <w:rPr>
                <w:highlight w:val="green"/>
              </w:rPr>
            </w:pPr>
            <w:r w:rsidRPr="00CA397A">
              <w:t>1.0</w:t>
            </w:r>
          </w:p>
        </w:tc>
      </w:tr>
      <w:tr w:rsidR="005B131E" w:rsidRPr="00BA7805" w14:paraId="7812BA9E" w14:textId="77777777" w:rsidTr="00B84A49">
        <w:tc>
          <w:tcPr>
            <w:tcW w:w="6915" w:type="dxa"/>
            <w:tcBorders>
              <w:top w:val="single" w:sz="4" w:space="0" w:color="A6A6A6"/>
              <w:bottom w:val="single" w:sz="4" w:space="0" w:color="A6A6A6"/>
            </w:tcBorders>
          </w:tcPr>
          <w:p w14:paraId="2621866C" w14:textId="31E7F4AD" w:rsidR="005B131E" w:rsidRPr="00BA7805" w:rsidRDefault="005B131E" w:rsidP="002542E1">
            <w:pPr>
              <w:pStyle w:val="ARfintablebodyindent"/>
              <w:rPr>
                <w:highlight w:val="green"/>
              </w:rPr>
            </w:pPr>
            <w:r w:rsidRPr="00CA397A">
              <w:t>Women</w:t>
            </w:r>
            <w:r w:rsidR="00711AE6">
              <w:t>’</w:t>
            </w:r>
            <w:r w:rsidRPr="00CA397A">
              <w:t xml:space="preserve">s Safety Measures </w:t>
            </w:r>
            <w:r>
              <w:t>–</w:t>
            </w:r>
            <w:r w:rsidRPr="00CA397A">
              <w:t xml:space="preserve"> Local Support Coordinator (Output) </w:t>
            </w:r>
          </w:p>
        </w:tc>
        <w:tc>
          <w:tcPr>
            <w:tcW w:w="1361" w:type="dxa"/>
            <w:tcBorders>
              <w:top w:val="single" w:sz="4" w:space="0" w:color="A6A6A6"/>
              <w:bottom w:val="single" w:sz="4" w:space="0" w:color="A6A6A6"/>
            </w:tcBorders>
            <w:shd w:val="clear" w:color="auto" w:fill="E7E6E6"/>
            <w:noWrap/>
          </w:tcPr>
          <w:p w14:paraId="6F2E985A" w14:textId="77777777" w:rsidR="005B131E" w:rsidRPr="00BA7805" w:rsidRDefault="005B131E" w:rsidP="002542E1">
            <w:pPr>
              <w:pStyle w:val="ARfintablebodyright"/>
              <w:rPr>
                <w:highlight w:val="green"/>
              </w:rPr>
            </w:pPr>
            <w:r w:rsidRPr="00CA397A">
              <w:t>0.1</w:t>
            </w:r>
          </w:p>
        </w:tc>
        <w:tc>
          <w:tcPr>
            <w:tcW w:w="1361" w:type="dxa"/>
            <w:tcBorders>
              <w:top w:val="single" w:sz="4" w:space="0" w:color="A6A6A6"/>
              <w:bottom w:val="single" w:sz="4" w:space="0" w:color="A6A6A6"/>
            </w:tcBorders>
            <w:noWrap/>
          </w:tcPr>
          <w:p w14:paraId="69979A98" w14:textId="77777777" w:rsidR="005B131E" w:rsidRPr="00BA7805" w:rsidRDefault="005B131E" w:rsidP="002542E1">
            <w:pPr>
              <w:pStyle w:val="ARfintablebodyright"/>
              <w:rPr>
                <w:highlight w:val="green"/>
              </w:rPr>
            </w:pPr>
            <w:r w:rsidRPr="00CA397A">
              <w:t>0.2</w:t>
            </w:r>
          </w:p>
        </w:tc>
      </w:tr>
      <w:tr w:rsidR="005B131E" w:rsidRPr="00BA7805" w14:paraId="7A527904" w14:textId="77777777" w:rsidTr="00B84A49">
        <w:tc>
          <w:tcPr>
            <w:tcW w:w="6915" w:type="dxa"/>
            <w:tcBorders>
              <w:top w:val="single" w:sz="4" w:space="0" w:color="A6A6A6"/>
              <w:bottom w:val="single" w:sz="4" w:space="0" w:color="A6A6A6"/>
            </w:tcBorders>
          </w:tcPr>
          <w:p w14:paraId="018E33D7" w14:textId="2AA2709C" w:rsidR="005B131E" w:rsidRPr="00BA7805" w:rsidRDefault="005B131E" w:rsidP="002542E1">
            <w:pPr>
              <w:pStyle w:val="ARfintablebodyindent"/>
              <w:rPr>
                <w:highlight w:val="green"/>
              </w:rPr>
            </w:pPr>
            <w:r w:rsidRPr="00CA397A">
              <w:t>Australia</w:t>
            </w:r>
            <w:r w:rsidR="00711AE6">
              <w:t>’</w:t>
            </w:r>
            <w:r w:rsidRPr="00CA397A">
              <w:t xml:space="preserve">s Disability Strategy Safety Targeted Action Plan (Output) </w:t>
            </w:r>
          </w:p>
        </w:tc>
        <w:tc>
          <w:tcPr>
            <w:tcW w:w="1361" w:type="dxa"/>
            <w:tcBorders>
              <w:top w:val="single" w:sz="4" w:space="0" w:color="A6A6A6"/>
              <w:bottom w:val="single" w:sz="4" w:space="0" w:color="A6A6A6"/>
            </w:tcBorders>
            <w:shd w:val="clear" w:color="auto" w:fill="E7E6E6"/>
            <w:noWrap/>
          </w:tcPr>
          <w:p w14:paraId="47677D12" w14:textId="77777777" w:rsidR="005B131E" w:rsidRPr="00BA7805" w:rsidRDefault="005B131E" w:rsidP="002542E1">
            <w:pPr>
              <w:pStyle w:val="ARfintablebodyright"/>
              <w:rPr>
                <w:highlight w:val="green"/>
              </w:rPr>
            </w:pPr>
            <w:r>
              <w:t>–</w:t>
            </w:r>
          </w:p>
        </w:tc>
        <w:tc>
          <w:tcPr>
            <w:tcW w:w="1361" w:type="dxa"/>
            <w:tcBorders>
              <w:top w:val="single" w:sz="4" w:space="0" w:color="A6A6A6"/>
              <w:bottom w:val="single" w:sz="4" w:space="0" w:color="A6A6A6"/>
            </w:tcBorders>
            <w:noWrap/>
          </w:tcPr>
          <w:p w14:paraId="6835FDB2" w14:textId="77777777" w:rsidR="005B131E" w:rsidRPr="00BA7805" w:rsidRDefault="005B131E" w:rsidP="002542E1">
            <w:pPr>
              <w:pStyle w:val="ARfintablebodyright"/>
              <w:rPr>
                <w:highlight w:val="green"/>
              </w:rPr>
            </w:pPr>
            <w:r w:rsidRPr="00CA397A">
              <w:t>0.1</w:t>
            </w:r>
          </w:p>
        </w:tc>
      </w:tr>
      <w:tr w:rsidR="005B131E" w:rsidRPr="00BA7805" w14:paraId="292F7FC5" w14:textId="77777777" w:rsidTr="00B84A49">
        <w:tc>
          <w:tcPr>
            <w:tcW w:w="6915" w:type="dxa"/>
          </w:tcPr>
          <w:p w14:paraId="48F9891C" w14:textId="77777777" w:rsidR="005B131E" w:rsidRPr="00BA7805" w:rsidRDefault="005B131E" w:rsidP="002542E1">
            <w:pPr>
              <w:pStyle w:val="ARfintablebodybold"/>
              <w:rPr>
                <w:highlight w:val="green"/>
              </w:rPr>
            </w:pPr>
            <w:r>
              <w:rPr>
                <w:highlight w:val="green"/>
              </w:rPr>
              <w:t xml:space="preserve"> </w:t>
            </w:r>
          </w:p>
        </w:tc>
        <w:tc>
          <w:tcPr>
            <w:tcW w:w="1361" w:type="dxa"/>
            <w:shd w:val="clear" w:color="auto" w:fill="E7E6E6"/>
            <w:noWrap/>
          </w:tcPr>
          <w:p w14:paraId="280DDE5A" w14:textId="77777777" w:rsidR="005B131E" w:rsidRPr="00BA7805" w:rsidRDefault="005B131E" w:rsidP="002542E1">
            <w:pPr>
              <w:pStyle w:val="ARfintablebodyrightbold"/>
              <w:rPr>
                <w:highlight w:val="green"/>
              </w:rPr>
            </w:pPr>
            <w:r w:rsidRPr="00CA397A">
              <w:t>650.4</w:t>
            </w:r>
          </w:p>
        </w:tc>
        <w:tc>
          <w:tcPr>
            <w:tcW w:w="1361" w:type="dxa"/>
            <w:noWrap/>
          </w:tcPr>
          <w:p w14:paraId="3717DABE" w14:textId="77777777" w:rsidR="005B131E" w:rsidRPr="00BA7805" w:rsidRDefault="005B131E" w:rsidP="002542E1">
            <w:pPr>
              <w:pStyle w:val="ARfintablebodyrightbold"/>
              <w:rPr>
                <w:highlight w:val="green"/>
              </w:rPr>
            </w:pPr>
            <w:r w:rsidRPr="00CA397A">
              <w:t>423.7</w:t>
            </w:r>
          </w:p>
        </w:tc>
      </w:tr>
      <w:tr w:rsidR="005B131E" w:rsidRPr="00BA7805" w14:paraId="5DFB7D08" w14:textId="77777777" w:rsidTr="00B84A49">
        <w:tc>
          <w:tcPr>
            <w:tcW w:w="6915" w:type="dxa"/>
          </w:tcPr>
          <w:p w14:paraId="1E456CC1" w14:textId="77777777" w:rsidR="005B131E" w:rsidRPr="00BA7805" w:rsidRDefault="005B131E" w:rsidP="002542E1">
            <w:pPr>
              <w:pStyle w:val="ARfintablebodybold"/>
              <w:rPr>
                <w:highlight w:val="green"/>
              </w:rPr>
            </w:pPr>
            <w:r w:rsidRPr="00CA397A">
              <w:t xml:space="preserve">Total annotated income agreements </w:t>
            </w:r>
          </w:p>
        </w:tc>
        <w:tc>
          <w:tcPr>
            <w:tcW w:w="1361" w:type="dxa"/>
            <w:shd w:val="clear" w:color="auto" w:fill="E7E6E6"/>
            <w:noWrap/>
          </w:tcPr>
          <w:p w14:paraId="6869E6D3" w14:textId="77777777" w:rsidR="005B131E" w:rsidRPr="00BA7805" w:rsidRDefault="005B131E" w:rsidP="002542E1">
            <w:pPr>
              <w:pStyle w:val="ARfintablebodyrightbold"/>
              <w:rPr>
                <w:highlight w:val="green"/>
              </w:rPr>
            </w:pPr>
            <w:r w:rsidRPr="00CA397A">
              <w:t>698.6</w:t>
            </w:r>
          </w:p>
        </w:tc>
        <w:tc>
          <w:tcPr>
            <w:tcW w:w="1361" w:type="dxa"/>
            <w:noWrap/>
          </w:tcPr>
          <w:p w14:paraId="41C92E21" w14:textId="77777777" w:rsidR="005B131E" w:rsidRPr="00BA7805" w:rsidRDefault="005B131E" w:rsidP="002542E1">
            <w:pPr>
              <w:pStyle w:val="ARfintablebodyrightbold"/>
              <w:rPr>
                <w:highlight w:val="green"/>
              </w:rPr>
            </w:pPr>
            <w:r w:rsidRPr="00CA397A">
              <w:t>477.3</w:t>
            </w:r>
          </w:p>
        </w:tc>
      </w:tr>
    </w:tbl>
    <w:p w14:paraId="13F87BF8" w14:textId="77777777" w:rsidR="005B131E" w:rsidRDefault="005B131E" w:rsidP="002542E1">
      <w:pPr>
        <w:pStyle w:val="ARfinbody"/>
        <w:rPr>
          <w:highlight w:val="green"/>
        </w:rPr>
      </w:pPr>
      <w:r>
        <w:rPr>
          <w:highlight w:val="green"/>
        </w:rPr>
        <w:br w:type="page"/>
      </w:r>
    </w:p>
    <w:p w14:paraId="3EB88753" w14:textId="77777777" w:rsidR="005B131E" w:rsidRPr="006D6015" w:rsidRDefault="005B131E">
      <w:pPr>
        <w:pStyle w:val="Heading3"/>
      </w:pPr>
      <w:bookmarkStart w:id="271" w:name="_Toc181101548"/>
      <w:r w:rsidRPr="006D6015">
        <w:t>3. The cost of delivering services</w:t>
      </w:r>
      <w:bookmarkEnd w:id="271"/>
    </w:p>
    <w:p w14:paraId="482C57C3" w14:textId="77777777" w:rsidR="005B131E" w:rsidRDefault="005B131E" w:rsidP="002542E1">
      <w:pPr>
        <w:pStyle w:val="Heading4"/>
      </w:pPr>
      <w:r>
        <w:t>Introduction</w:t>
      </w:r>
    </w:p>
    <w:p w14:paraId="682FC128" w14:textId="017CAE8A" w:rsidR="005B131E" w:rsidRDefault="005B131E" w:rsidP="002542E1">
      <w:pPr>
        <w:pStyle w:val="ARfinbody"/>
      </w:pPr>
      <w:r>
        <w:t xml:space="preserve">This section provides an account of the expenses incurred by the department in delivering services and outputs. In Note 2 </w:t>
      </w:r>
      <w:r w:rsidR="00711AE6">
        <w:t>‘</w:t>
      </w:r>
      <w:r>
        <w:t>Funding delivery of our services</w:t>
      </w:r>
      <w:r w:rsidR="00711AE6">
        <w:t>’</w:t>
      </w:r>
      <w:r>
        <w:t xml:space="preserve">, the funds that enable the provision of services were disclosed and in this note the costs associated with the provision of services are recorded. Note 4 </w:t>
      </w:r>
      <w:r w:rsidR="00711AE6">
        <w:t>‘</w:t>
      </w:r>
      <w:r>
        <w:t>Disaggregated financial information by output</w:t>
      </w:r>
      <w:r w:rsidR="00711AE6">
        <w:t>’</w:t>
      </w:r>
      <w:r>
        <w:t xml:space="preserve"> discloses aggregated information in relation to the income and expenses by output.</w:t>
      </w:r>
    </w:p>
    <w:p w14:paraId="0B121C43" w14:textId="77777777" w:rsidR="005B131E" w:rsidRDefault="005B131E" w:rsidP="002542E1">
      <w:pPr>
        <w:pStyle w:val="Heading4"/>
      </w:pPr>
      <w:r>
        <w:t>Structure</w:t>
      </w:r>
    </w:p>
    <w:p w14:paraId="50D2EC10" w14:textId="77777777" w:rsidR="005B131E" w:rsidRDefault="005B131E" w:rsidP="002542E1">
      <w:pPr>
        <w:pStyle w:val="ARfinstructure1"/>
      </w:pPr>
      <w:r>
        <w:t xml:space="preserve">3.1 </w:t>
      </w:r>
      <w:r>
        <w:tab/>
        <w:t>Expenses incurred in delivery of services</w:t>
      </w:r>
    </w:p>
    <w:p w14:paraId="46B704B8" w14:textId="77777777" w:rsidR="005B131E" w:rsidRDefault="005B131E" w:rsidP="002542E1">
      <w:pPr>
        <w:pStyle w:val="ARfinstructure2"/>
      </w:pPr>
      <w:r>
        <w:t xml:space="preserve">3.1.1 </w:t>
      </w:r>
      <w:r>
        <w:tab/>
        <w:t>Employee benefits</w:t>
      </w:r>
    </w:p>
    <w:p w14:paraId="763CD7B0" w14:textId="77777777" w:rsidR="005B131E" w:rsidRDefault="005B131E" w:rsidP="002542E1">
      <w:pPr>
        <w:pStyle w:val="ARfinstructure2"/>
      </w:pPr>
      <w:r>
        <w:t xml:space="preserve">3.1.2 </w:t>
      </w:r>
      <w:r>
        <w:tab/>
        <w:t>Grants and other transfers</w:t>
      </w:r>
    </w:p>
    <w:p w14:paraId="172B7AC5" w14:textId="77777777" w:rsidR="005B131E" w:rsidRDefault="005B131E" w:rsidP="002542E1">
      <w:pPr>
        <w:pStyle w:val="ARfinstructure2"/>
      </w:pPr>
      <w:r>
        <w:t xml:space="preserve">3.1.3 </w:t>
      </w:r>
      <w:r>
        <w:tab/>
        <w:t>Other operating expenses</w:t>
      </w:r>
    </w:p>
    <w:p w14:paraId="7A11868B" w14:textId="77777777" w:rsidR="005B131E" w:rsidRDefault="005B131E" w:rsidP="002542E1">
      <w:pPr>
        <w:pStyle w:val="ARfinstructure2"/>
        <w:rPr>
          <w:highlight w:val="green"/>
        </w:rPr>
      </w:pPr>
      <w:r>
        <w:t xml:space="preserve">3.1.4 </w:t>
      </w:r>
      <w:r>
        <w:tab/>
        <w:t>Property management expenses</w:t>
      </w:r>
    </w:p>
    <w:p w14:paraId="0D637E6E" w14:textId="77777777" w:rsidR="005B131E" w:rsidRPr="00D0721A" w:rsidRDefault="005B131E">
      <w:pPr>
        <w:pStyle w:val="Heading4"/>
        <w:rPr>
          <w:lang w:eastAsia="en-AU"/>
        </w:rPr>
      </w:pPr>
      <w:r w:rsidRPr="00D0721A">
        <w:rPr>
          <w:lang w:eastAsia="en-AU"/>
        </w:rPr>
        <w:t>3.1 Expenses incurred in delivery of services</w:t>
      </w:r>
    </w:p>
    <w:tbl>
      <w:tblPr>
        <w:tblStyle w:val="TableGrid"/>
        <w:tblW w:w="9637" w:type="dxa"/>
        <w:tblLayout w:type="fixed"/>
        <w:tblLook w:val="06A0" w:firstRow="1" w:lastRow="0" w:firstColumn="1" w:lastColumn="0" w:noHBand="1" w:noVBand="1"/>
      </w:tblPr>
      <w:tblGrid>
        <w:gridCol w:w="6064"/>
        <w:gridCol w:w="851"/>
        <w:gridCol w:w="1361"/>
        <w:gridCol w:w="1361"/>
      </w:tblGrid>
      <w:tr w:rsidR="00E57D5B" w:rsidRPr="00BA7805" w14:paraId="6C9B22C7" w14:textId="77777777">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3CF60639" w14:textId="77777777" w:rsidR="005B131E" w:rsidRPr="00BA7805" w:rsidRDefault="005B131E">
            <w:pPr>
              <w:pStyle w:val="ARfintablecolhead"/>
              <w:rPr>
                <w:highlight w:val="green"/>
              </w:rPr>
            </w:pPr>
          </w:p>
        </w:tc>
        <w:tc>
          <w:tcPr>
            <w:tcW w:w="851" w:type="dxa"/>
            <w:tcBorders>
              <w:bottom w:val="single" w:sz="4" w:space="0" w:color="auto"/>
            </w:tcBorders>
            <w:noWrap/>
            <w:hideMark/>
          </w:tcPr>
          <w:p w14:paraId="45597E64" w14:textId="77777777" w:rsidR="005B131E" w:rsidRPr="00D0721A" w:rsidRDefault="005B131E">
            <w:pPr>
              <w:pStyle w:val="ARfintablecolheadright"/>
            </w:pPr>
            <w:r w:rsidRPr="00D0721A">
              <w:t>Note</w:t>
            </w:r>
          </w:p>
        </w:tc>
        <w:tc>
          <w:tcPr>
            <w:tcW w:w="1361" w:type="dxa"/>
            <w:tcBorders>
              <w:bottom w:val="single" w:sz="4" w:space="0" w:color="auto"/>
            </w:tcBorders>
            <w:shd w:val="clear" w:color="auto" w:fill="E7E6E6"/>
            <w:hideMark/>
          </w:tcPr>
          <w:p w14:paraId="15529953" w14:textId="77777777" w:rsidR="005B131E" w:rsidRPr="00D0721A" w:rsidRDefault="005B131E">
            <w:pPr>
              <w:pStyle w:val="ARfintablecolheadright"/>
            </w:pPr>
            <w:r w:rsidRPr="00D0721A">
              <w:t>2024</w:t>
            </w:r>
          </w:p>
          <w:p w14:paraId="1CD0B436" w14:textId="77777777" w:rsidR="005B131E" w:rsidRPr="00D0721A" w:rsidRDefault="005B131E">
            <w:pPr>
              <w:pStyle w:val="ARfintablecolheadright"/>
            </w:pPr>
            <w:r w:rsidRPr="00D0721A">
              <w:t>$M</w:t>
            </w:r>
          </w:p>
        </w:tc>
        <w:tc>
          <w:tcPr>
            <w:tcW w:w="1361" w:type="dxa"/>
            <w:tcBorders>
              <w:bottom w:val="single" w:sz="4" w:space="0" w:color="auto"/>
            </w:tcBorders>
            <w:hideMark/>
          </w:tcPr>
          <w:p w14:paraId="0D9E31CB" w14:textId="77777777" w:rsidR="005B131E" w:rsidRPr="00D0721A" w:rsidRDefault="005B131E">
            <w:pPr>
              <w:pStyle w:val="ARfintablecolheadright"/>
            </w:pPr>
            <w:r w:rsidRPr="00D0721A">
              <w:t>2023</w:t>
            </w:r>
          </w:p>
          <w:p w14:paraId="08E8F8BD" w14:textId="77777777" w:rsidR="005B131E" w:rsidRPr="00D0721A" w:rsidRDefault="005B131E">
            <w:pPr>
              <w:pStyle w:val="ARfintablecolheadright"/>
            </w:pPr>
            <w:r w:rsidRPr="00D0721A">
              <w:t>$M</w:t>
            </w:r>
          </w:p>
        </w:tc>
      </w:tr>
      <w:tr w:rsidR="005B131E" w:rsidRPr="00BA7805" w14:paraId="3AA6CF39" w14:textId="77777777" w:rsidTr="00B84A49">
        <w:tc>
          <w:tcPr>
            <w:tcW w:w="6064" w:type="dxa"/>
            <w:tcBorders>
              <w:top w:val="single" w:sz="4" w:space="0" w:color="auto"/>
              <w:bottom w:val="single" w:sz="4" w:space="0" w:color="A6A6A6"/>
            </w:tcBorders>
          </w:tcPr>
          <w:p w14:paraId="16922E5F" w14:textId="77777777" w:rsidR="005B131E" w:rsidRPr="00BA7805" w:rsidRDefault="005B131E" w:rsidP="002542E1">
            <w:pPr>
              <w:pStyle w:val="ARfintablebody"/>
              <w:rPr>
                <w:highlight w:val="green"/>
              </w:rPr>
            </w:pPr>
            <w:r w:rsidRPr="00454099">
              <w:t>Employee benefits</w:t>
            </w:r>
          </w:p>
        </w:tc>
        <w:tc>
          <w:tcPr>
            <w:tcW w:w="851" w:type="dxa"/>
            <w:tcBorders>
              <w:top w:val="single" w:sz="4" w:space="0" w:color="auto"/>
              <w:bottom w:val="single" w:sz="4" w:space="0" w:color="A6A6A6"/>
            </w:tcBorders>
            <w:noWrap/>
          </w:tcPr>
          <w:p w14:paraId="0109B294" w14:textId="77777777" w:rsidR="005B131E" w:rsidRPr="00BA7805" w:rsidRDefault="005B131E" w:rsidP="002542E1">
            <w:pPr>
              <w:pStyle w:val="ARfintablebodyright"/>
              <w:rPr>
                <w:highlight w:val="green"/>
              </w:rPr>
            </w:pPr>
            <w:r w:rsidRPr="00454099">
              <w:t>3.1.1(a)</w:t>
            </w:r>
          </w:p>
        </w:tc>
        <w:tc>
          <w:tcPr>
            <w:tcW w:w="1361" w:type="dxa"/>
            <w:tcBorders>
              <w:top w:val="single" w:sz="4" w:space="0" w:color="auto"/>
              <w:bottom w:val="single" w:sz="4" w:space="0" w:color="A6A6A6"/>
            </w:tcBorders>
            <w:shd w:val="clear" w:color="auto" w:fill="E7E6E6"/>
            <w:noWrap/>
          </w:tcPr>
          <w:p w14:paraId="6C1496DA" w14:textId="77777777" w:rsidR="005B131E" w:rsidRPr="00BA7805" w:rsidRDefault="005B131E" w:rsidP="002542E1">
            <w:pPr>
              <w:pStyle w:val="ARfintablebodyright"/>
              <w:rPr>
                <w:highlight w:val="green"/>
              </w:rPr>
            </w:pPr>
            <w:r w:rsidRPr="00454099">
              <w:t>987.9</w:t>
            </w:r>
          </w:p>
        </w:tc>
        <w:tc>
          <w:tcPr>
            <w:tcW w:w="1361" w:type="dxa"/>
            <w:tcBorders>
              <w:top w:val="single" w:sz="4" w:space="0" w:color="auto"/>
              <w:bottom w:val="single" w:sz="4" w:space="0" w:color="A6A6A6"/>
            </w:tcBorders>
            <w:noWrap/>
          </w:tcPr>
          <w:p w14:paraId="6CEC2726" w14:textId="77777777" w:rsidR="005B131E" w:rsidRPr="00BA7805" w:rsidRDefault="005B131E" w:rsidP="002542E1">
            <w:pPr>
              <w:pStyle w:val="ARfintablebodyright"/>
              <w:rPr>
                <w:highlight w:val="green"/>
              </w:rPr>
            </w:pPr>
            <w:r w:rsidRPr="00454099">
              <w:t>920.5</w:t>
            </w:r>
          </w:p>
        </w:tc>
      </w:tr>
      <w:tr w:rsidR="005B131E" w:rsidRPr="00BA7805" w14:paraId="6AA0C870" w14:textId="77777777" w:rsidTr="00B84A49">
        <w:tc>
          <w:tcPr>
            <w:tcW w:w="6064" w:type="dxa"/>
            <w:tcBorders>
              <w:top w:val="single" w:sz="4" w:space="0" w:color="A6A6A6"/>
              <w:bottom w:val="single" w:sz="4" w:space="0" w:color="A6A6A6"/>
            </w:tcBorders>
          </w:tcPr>
          <w:p w14:paraId="2C687F45" w14:textId="77777777" w:rsidR="005B131E" w:rsidRPr="00BA7805" w:rsidRDefault="005B131E" w:rsidP="002542E1">
            <w:pPr>
              <w:pStyle w:val="ARfintablebody"/>
              <w:rPr>
                <w:highlight w:val="green"/>
              </w:rPr>
            </w:pPr>
            <w:r w:rsidRPr="00454099">
              <w:t>Grants and other transfers</w:t>
            </w:r>
          </w:p>
        </w:tc>
        <w:tc>
          <w:tcPr>
            <w:tcW w:w="851" w:type="dxa"/>
            <w:tcBorders>
              <w:top w:val="single" w:sz="4" w:space="0" w:color="A6A6A6"/>
              <w:bottom w:val="single" w:sz="4" w:space="0" w:color="A6A6A6"/>
            </w:tcBorders>
            <w:noWrap/>
          </w:tcPr>
          <w:p w14:paraId="3FE7516F" w14:textId="77777777" w:rsidR="005B131E" w:rsidRPr="00BA7805" w:rsidRDefault="005B131E" w:rsidP="002542E1">
            <w:pPr>
              <w:pStyle w:val="ARfintablebodyright"/>
              <w:rPr>
                <w:highlight w:val="green"/>
              </w:rPr>
            </w:pPr>
            <w:r w:rsidRPr="00454099">
              <w:t>3.1.2</w:t>
            </w:r>
          </w:p>
        </w:tc>
        <w:tc>
          <w:tcPr>
            <w:tcW w:w="1361" w:type="dxa"/>
            <w:tcBorders>
              <w:top w:val="single" w:sz="4" w:space="0" w:color="A6A6A6"/>
              <w:bottom w:val="single" w:sz="4" w:space="0" w:color="A6A6A6"/>
            </w:tcBorders>
            <w:shd w:val="clear" w:color="auto" w:fill="E7E6E6"/>
            <w:noWrap/>
          </w:tcPr>
          <w:p w14:paraId="282BE139" w14:textId="77777777" w:rsidR="005B131E" w:rsidRPr="00BA7805" w:rsidRDefault="005B131E" w:rsidP="002542E1">
            <w:pPr>
              <w:pStyle w:val="ARfintablebodyright"/>
              <w:rPr>
                <w:highlight w:val="green"/>
              </w:rPr>
            </w:pPr>
            <w:r w:rsidRPr="00454099">
              <w:t>4,278.6</w:t>
            </w:r>
          </w:p>
        </w:tc>
        <w:tc>
          <w:tcPr>
            <w:tcW w:w="1361" w:type="dxa"/>
            <w:tcBorders>
              <w:top w:val="single" w:sz="4" w:space="0" w:color="A6A6A6"/>
              <w:bottom w:val="single" w:sz="4" w:space="0" w:color="A6A6A6"/>
            </w:tcBorders>
            <w:noWrap/>
          </w:tcPr>
          <w:p w14:paraId="366C0FA4" w14:textId="77777777" w:rsidR="005B131E" w:rsidRPr="00BA7805" w:rsidRDefault="005B131E" w:rsidP="002542E1">
            <w:pPr>
              <w:pStyle w:val="ARfintablebodyright"/>
              <w:rPr>
                <w:highlight w:val="green"/>
              </w:rPr>
            </w:pPr>
            <w:r w:rsidRPr="00454099">
              <w:t>4,010.7</w:t>
            </w:r>
          </w:p>
        </w:tc>
      </w:tr>
      <w:tr w:rsidR="005B131E" w:rsidRPr="00BA7805" w14:paraId="6D00C101" w14:textId="77777777" w:rsidTr="00B84A49">
        <w:tc>
          <w:tcPr>
            <w:tcW w:w="6064" w:type="dxa"/>
            <w:tcBorders>
              <w:top w:val="single" w:sz="4" w:space="0" w:color="A6A6A6"/>
              <w:bottom w:val="single" w:sz="4" w:space="0" w:color="A6A6A6"/>
            </w:tcBorders>
          </w:tcPr>
          <w:p w14:paraId="353663EE" w14:textId="77777777" w:rsidR="005B131E" w:rsidRPr="00BA7805" w:rsidRDefault="005B131E" w:rsidP="002542E1">
            <w:pPr>
              <w:pStyle w:val="ARfintablebody"/>
              <w:rPr>
                <w:highlight w:val="green"/>
              </w:rPr>
            </w:pPr>
            <w:r w:rsidRPr="00454099">
              <w:t>Other operating expenses</w:t>
            </w:r>
          </w:p>
        </w:tc>
        <w:tc>
          <w:tcPr>
            <w:tcW w:w="851" w:type="dxa"/>
            <w:tcBorders>
              <w:top w:val="single" w:sz="4" w:space="0" w:color="A6A6A6"/>
              <w:bottom w:val="single" w:sz="4" w:space="0" w:color="A6A6A6"/>
            </w:tcBorders>
            <w:noWrap/>
          </w:tcPr>
          <w:p w14:paraId="02A462E1" w14:textId="77777777" w:rsidR="005B131E" w:rsidRPr="00BA7805" w:rsidRDefault="005B131E" w:rsidP="002542E1">
            <w:pPr>
              <w:pStyle w:val="ARfintablebodyright"/>
              <w:rPr>
                <w:highlight w:val="green"/>
              </w:rPr>
            </w:pPr>
            <w:r w:rsidRPr="00454099">
              <w:t>3.1.3</w:t>
            </w:r>
          </w:p>
        </w:tc>
        <w:tc>
          <w:tcPr>
            <w:tcW w:w="1361" w:type="dxa"/>
            <w:tcBorders>
              <w:top w:val="single" w:sz="4" w:space="0" w:color="A6A6A6"/>
              <w:bottom w:val="single" w:sz="4" w:space="0" w:color="A6A6A6"/>
            </w:tcBorders>
            <w:shd w:val="clear" w:color="auto" w:fill="E7E6E6"/>
            <w:noWrap/>
          </w:tcPr>
          <w:p w14:paraId="7771F4CD" w14:textId="77777777" w:rsidR="005B131E" w:rsidRPr="00BA7805" w:rsidRDefault="005B131E" w:rsidP="002542E1">
            <w:pPr>
              <w:pStyle w:val="ARfintablebodyright"/>
              <w:rPr>
                <w:highlight w:val="green"/>
              </w:rPr>
            </w:pPr>
            <w:r w:rsidRPr="00454099">
              <w:t>770.4</w:t>
            </w:r>
          </w:p>
        </w:tc>
        <w:tc>
          <w:tcPr>
            <w:tcW w:w="1361" w:type="dxa"/>
            <w:tcBorders>
              <w:top w:val="single" w:sz="4" w:space="0" w:color="A6A6A6"/>
              <w:bottom w:val="single" w:sz="4" w:space="0" w:color="A6A6A6"/>
            </w:tcBorders>
            <w:noWrap/>
          </w:tcPr>
          <w:p w14:paraId="69C95CFA" w14:textId="77777777" w:rsidR="005B131E" w:rsidRPr="00BA7805" w:rsidRDefault="005B131E" w:rsidP="002542E1">
            <w:pPr>
              <w:pStyle w:val="ARfintablebodyright"/>
              <w:rPr>
                <w:highlight w:val="green"/>
              </w:rPr>
            </w:pPr>
            <w:r w:rsidRPr="00454099">
              <w:t>464.9</w:t>
            </w:r>
          </w:p>
        </w:tc>
      </w:tr>
      <w:tr w:rsidR="005B131E" w:rsidRPr="00BA7805" w14:paraId="5C9FF909" w14:textId="77777777" w:rsidTr="00B84A49">
        <w:tc>
          <w:tcPr>
            <w:tcW w:w="6064" w:type="dxa"/>
            <w:tcBorders>
              <w:top w:val="single" w:sz="4" w:space="0" w:color="A6A6A6"/>
              <w:bottom w:val="single" w:sz="4" w:space="0" w:color="A6A6A6"/>
            </w:tcBorders>
          </w:tcPr>
          <w:p w14:paraId="50F92991" w14:textId="77777777" w:rsidR="005B131E" w:rsidRPr="00BA7805" w:rsidRDefault="005B131E" w:rsidP="002542E1">
            <w:pPr>
              <w:pStyle w:val="ARfintablebody"/>
              <w:rPr>
                <w:highlight w:val="green"/>
              </w:rPr>
            </w:pPr>
            <w:r w:rsidRPr="00454099">
              <w:t>Property management expenses</w:t>
            </w:r>
          </w:p>
        </w:tc>
        <w:tc>
          <w:tcPr>
            <w:tcW w:w="851" w:type="dxa"/>
            <w:tcBorders>
              <w:top w:val="single" w:sz="4" w:space="0" w:color="A6A6A6"/>
              <w:bottom w:val="single" w:sz="4" w:space="0" w:color="A6A6A6"/>
            </w:tcBorders>
            <w:noWrap/>
          </w:tcPr>
          <w:p w14:paraId="01BC703A" w14:textId="77777777" w:rsidR="005B131E" w:rsidRPr="00BA7805" w:rsidRDefault="005B131E" w:rsidP="002542E1">
            <w:pPr>
              <w:pStyle w:val="ARfintablebodyright"/>
              <w:rPr>
                <w:highlight w:val="green"/>
              </w:rPr>
            </w:pPr>
            <w:r w:rsidRPr="00454099">
              <w:t>3.1.4</w:t>
            </w:r>
          </w:p>
        </w:tc>
        <w:tc>
          <w:tcPr>
            <w:tcW w:w="1361" w:type="dxa"/>
            <w:tcBorders>
              <w:top w:val="single" w:sz="4" w:space="0" w:color="A6A6A6"/>
              <w:bottom w:val="single" w:sz="4" w:space="0" w:color="A6A6A6"/>
            </w:tcBorders>
            <w:shd w:val="clear" w:color="auto" w:fill="E7E6E6"/>
            <w:noWrap/>
          </w:tcPr>
          <w:p w14:paraId="352A1EAA" w14:textId="77777777" w:rsidR="005B131E" w:rsidRPr="00BA7805" w:rsidRDefault="005B131E" w:rsidP="002542E1">
            <w:pPr>
              <w:pStyle w:val="ARfintablebodyright"/>
              <w:rPr>
                <w:highlight w:val="green"/>
              </w:rPr>
            </w:pPr>
            <w:r w:rsidRPr="00454099">
              <w:t>552.8</w:t>
            </w:r>
          </w:p>
        </w:tc>
        <w:tc>
          <w:tcPr>
            <w:tcW w:w="1361" w:type="dxa"/>
            <w:tcBorders>
              <w:top w:val="single" w:sz="4" w:space="0" w:color="A6A6A6"/>
              <w:bottom w:val="single" w:sz="4" w:space="0" w:color="A6A6A6"/>
            </w:tcBorders>
            <w:noWrap/>
          </w:tcPr>
          <w:p w14:paraId="2BE71F13" w14:textId="77777777" w:rsidR="005B131E" w:rsidRPr="00BA7805" w:rsidRDefault="005B131E" w:rsidP="002542E1">
            <w:pPr>
              <w:pStyle w:val="ARfintablebodyright"/>
              <w:rPr>
                <w:highlight w:val="green"/>
              </w:rPr>
            </w:pPr>
            <w:r w:rsidRPr="00454099">
              <w:t>523.7</w:t>
            </w:r>
          </w:p>
        </w:tc>
      </w:tr>
      <w:tr w:rsidR="005B131E" w:rsidRPr="00BA7805" w14:paraId="4EC964F5" w14:textId="77777777" w:rsidTr="00B84A49">
        <w:tc>
          <w:tcPr>
            <w:tcW w:w="6064" w:type="dxa"/>
          </w:tcPr>
          <w:p w14:paraId="0021C602" w14:textId="77777777" w:rsidR="005B131E" w:rsidRPr="00BA7805" w:rsidRDefault="005B131E" w:rsidP="002542E1">
            <w:pPr>
              <w:pStyle w:val="ARfintablebodybold"/>
              <w:rPr>
                <w:highlight w:val="green"/>
              </w:rPr>
            </w:pPr>
            <w:r w:rsidRPr="00454099">
              <w:t>Total expenses incurred in delivery of services</w:t>
            </w:r>
          </w:p>
        </w:tc>
        <w:tc>
          <w:tcPr>
            <w:tcW w:w="851" w:type="dxa"/>
          </w:tcPr>
          <w:p w14:paraId="2AB5F83F" w14:textId="77777777" w:rsidR="005B131E" w:rsidRPr="00BA7805" w:rsidRDefault="005B131E" w:rsidP="002542E1">
            <w:pPr>
              <w:pStyle w:val="ARfintablebodyrightbold"/>
              <w:rPr>
                <w:highlight w:val="green"/>
              </w:rPr>
            </w:pPr>
          </w:p>
        </w:tc>
        <w:tc>
          <w:tcPr>
            <w:tcW w:w="1361" w:type="dxa"/>
            <w:shd w:val="clear" w:color="auto" w:fill="E7E6E6"/>
            <w:noWrap/>
          </w:tcPr>
          <w:p w14:paraId="2201413D" w14:textId="77777777" w:rsidR="005B131E" w:rsidRPr="00BA7805" w:rsidRDefault="005B131E" w:rsidP="002542E1">
            <w:pPr>
              <w:pStyle w:val="ARfintablebodyrightbold"/>
              <w:rPr>
                <w:highlight w:val="green"/>
              </w:rPr>
            </w:pPr>
            <w:r w:rsidRPr="00454099">
              <w:t>6,589.7</w:t>
            </w:r>
          </w:p>
        </w:tc>
        <w:tc>
          <w:tcPr>
            <w:tcW w:w="1361" w:type="dxa"/>
            <w:noWrap/>
          </w:tcPr>
          <w:p w14:paraId="25307370" w14:textId="77777777" w:rsidR="005B131E" w:rsidRPr="00BA7805" w:rsidRDefault="005B131E" w:rsidP="002542E1">
            <w:pPr>
              <w:pStyle w:val="ARfintablebodyrightbold"/>
              <w:rPr>
                <w:highlight w:val="green"/>
              </w:rPr>
            </w:pPr>
            <w:r w:rsidRPr="00454099">
              <w:t>5,919.8</w:t>
            </w:r>
          </w:p>
        </w:tc>
      </w:tr>
    </w:tbl>
    <w:p w14:paraId="1F32D99B" w14:textId="77777777" w:rsidR="005B131E" w:rsidRPr="0074661C" w:rsidRDefault="005B131E" w:rsidP="00207901">
      <w:pPr>
        <w:pStyle w:val="Heading5"/>
        <w:rPr>
          <w:lang w:eastAsia="en-AU"/>
        </w:rPr>
      </w:pPr>
      <w:r w:rsidRPr="0074661C">
        <w:rPr>
          <w:lang w:eastAsia="en-AU"/>
        </w:rPr>
        <w:t>3.1.1 Employee benefits</w:t>
      </w:r>
    </w:p>
    <w:p w14:paraId="7CD2D789" w14:textId="77777777" w:rsidR="005B131E" w:rsidRPr="0074661C" w:rsidRDefault="005B131E">
      <w:pPr>
        <w:pStyle w:val="Heading6"/>
        <w:spacing w:before="160"/>
        <w:rPr>
          <w:lang w:eastAsia="en-AU"/>
        </w:rPr>
      </w:pPr>
      <w:r w:rsidRPr="0074661C">
        <w:rPr>
          <w:lang w:eastAsia="en-AU"/>
        </w:rPr>
        <w:t>3.1.1(a) Employee benefits in the comprehensive operating statement</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2D2FFFE6"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3FA3A6DE"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hideMark/>
          </w:tcPr>
          <w:p w14:paraId="0445757C" w14:textId="77777777" w:rsidR="005B131E" w:rsidRPr="00C609D5" w:rsidRDefault="005B131E">
            <w:pPr>
              <w:pStyle w:val="ARfintablecolheadright"/>
            </w:pPr>
            <w:r w:rsidRPr="00C609D5">
              <w:t>2024</w:t>
            </w:r>
          </w:p>
          <w:p w14:paraId="77B8B98F" w14:textId="77777777" w:rsidR="005B131E" w:rsidRPr="00C609D5" w:rsidRDefault="005B131E">
            <w:pPr>
              <w:pStyle w:val="ARfintablecolheadright"/>
            </w:pPr>
            <w:r w:rsidRPr="00C609D5">
              <w:t>$M</w:t>
            </w:r>
          </w:p>
        </w:tc>
        <w:tc>
          <w:tcPr>
            <w:tcW w:w="1361" w:type="dxa"/>
            <w:tcBorders>
              <w:bottom w:val="single" w:sz="4" w:space="0" w:color="auto"/>
            </w:tcBorders>
            <w:hideMark/>
          </w:tcPr>
          <w:p w14:paraId="04B3A6E7" w14:textId="77777777" w:rsidR="005B131E" w:rsidRPr="00C609D5" w:rsidRDefault="005B131E">
            <w:pPr>
              <w:pStyle w:val="ARfintablecolheadright"/>
            </w:pPr>
            <w:r w:rsidRPr="00C609D5">
              <w:t>2023</w:t>
            </w:r>
          </w:p>
          <w:p w14:paraId="7B169A72" w14:textId="77777777" w:rsidR="005B131E" w:rsidRPr="00C609D5" w:rsidRDefault="005B131E">
            <w:pPr>
              <w:pStyle w:val="ARfintablecolheadright"/>
            </w:pPr>
            <w:r w:rsidRPr="00C609D5">
              <w:t>$M</w:t>
            </w:r>
          </w:p>
        </w:tc>
      </w:tr>
      <w:tr w:rsidR="005B131E" w:rsidRPr="00BA7805" w14:paraId="3FA471AF" w14:textId="77777777" w:rsidTr="00B84A49">
        <w:trPr>
          <w:cantSplit w:val="0"/>
        </w:trPr>
        <w:tc>
          <w:tcPr>
            <w:tcW w:w="6915" w:type="dxa"/>
            <w:tcBorders>
              <w:top w:val="single" w:sz="4" w:space="0" w:color="auto"/>
              <w:bottom w:val="single" w:sz="4" w:space="0" w:color="A6A6A6"/>
            </w:tcBorders>
          </w:tcPr>
          <w:p w14:paraId="2578F765" w14:textId="77777777" w:rsidR="005B131E" w:rsidRPr="00BA7805" w:rsidRDefault="005B131E" w:rsidP="002542E1">
            <w:pPr>
              <w:pStyle w:val="ARfintablebody"/>
              <w:rPr>
                <w:highlight w:val="green"/>
              </w:rPr>
            </w:pPr>
            <w:r w:rsidRPr="00A21C7D">
              <w:t>Defined contribution superannuation expense</w:t>
            </w:r>
          </w:p>
        </w:tc>
        <w:tc>
          <w:tcPr>
            <w:tcW w:w="1361" w:type="dxa"/>
            <w:tcBorders>
              <w:top w:val="single" w:sz="4" w:space="0" w:color="auto"/>
              <w:bottom w:val="single" w:sz="4" w:space="0" w:color="A6A6A6"/>
            </w:tcBorders>
            <w:shd w:val="clear" w:color="auto" w:fill="E7E6E6"/>
            <w:noWrap/>
          </w:tcPr>
          <w:p w14:paraId="2CB79331" w14:textId="77777777" w:rsidR="005B131E" w:rsidRPr="00BA7805" w:rsidRDefault="005B131E" w:rsidP="002542E1">
            <w:pPr>
              <w:pStyle w:val="ARfintablebodyright"/>
              <w:rPr>
                <w:highlight w:val="green"/>
              </w:rPr>
            </w:pPr>
            <w:r w:rsidRPr="00B45A72">
              <w:t>78.1</w:t>
            </w:r>
          </w:p>
        </w:tc>
        <w:tc>
          <w:tcPr>
            <w:tcW w:w="1361" w:type="dxa"/>
            <w:tcBorders>
              <w:top w:val="single" w:sz="4" w:space="0" w:color="auto"/>
              <w:bottom w:val="single" w:sz="4" w:space="0" w:color="A6A6A6"/>
            </w:tcBorders>
            <w:noWrap/>
          </w:tcPr>
          <w:p w14:paraId="19968CCE" w14:textId="77777777" w:rsidR="005B131E" w:rsidRPr="00BA7805" w:rsidRDefault="005B131E" w:rsidP="002542E1">
            <w:pPr>
              <w:pStyle w:val="ARfintablebodyright"/>
              <w:rPr>
                <w:highlight w:val="green"/>
              </w:rPr>
            </w:pPr>
            <w:r w:rsidRPr="00B45A72">
              <w:t>69.5</w:t>
            </w:r>
          </w:p>
        </w:tc>
      </w:tr>
      <w:tr w:rsidR="005B131E" w:rsidRPr="00BA7805" w14:paraId="5A3A69B0" w14:textId="77777777" w:rsidTr="00B84A49">
        <w:trPr>
          <w:cantSplit w:val="0"/>
        </w:trPr>
        <w:tc>
          <w:tcPr>
            <w:tcW w:w="6915" w:type="dxa"/>
            <w:tcBorders>
              <w:top w:val="single" w:sz="4" w:space="0" w:color="A6A6A6"/>
              <w:bottom w:val="single" w:sz="4" w:space="0" w:color="A6A6A6"/>
            </w:tcBorders>
          </w:tcPr>
          <w:p w14:paraId="22AA1EEB" w14:textId="77777777" w:rsidR="005B131E" w:rsidRPr="00BA7805" w:rsidRDefault="005B131E" w:rsidP="002542E1">
            <w:pPr>
              <w:pStyle w:val="ARfintablebody"/>
              <w:rPr>
                <w:highlight w:val="green"/>
              </w:rPr>
            </w:pPr>
            <w:r w:rsidRPr="00A21C7D">
              <w:t>Defined benefit superannuation expense</w:t>
            </w:r>
          </w:p>
        </w:tc>
        <w:tc>
          <w:tcPr>
            <w:tcW w:w="1361" w:type="dxa"/>
            <w:tcBorders>
              <w:top w:val="single" w:sz="4" w:space="0" w:color="A6A6A6"/>
              <w:bottom w:val="single" w:sz="4" w:space="0" w:color="A6A6A6"/>
            </w:tcBorders>
            <w:shd w:val="clear" w:color="auto" w:fill="E7E6E6"/>
            <w:noWrap/>
          </w:tcPr>
          <w:p w14:paraId="7370D6C3" w14:textId="77777777" w:rsidR="005B131E" w:rsidRPr="00BA7805" w:rsidRDefault="005B131E" w:rsidP="002542E1">
            <w:pPr>
              <w:pStyle w:val="ARfintablebodyright"/>
              <w:rPr>
                <w:highlight w:val="green"/>
              </w:rPr>
            </w:pPr>
            <w:r w:rsidRPr="00B45A72">
              <w:t>2.5</w:t>
            </w:r>
          </w:p>
        </w:tc>
        <w:tc>
          <w:tcPr>
            <w:tcW w:w="1361" w:type="dxa"/>
            <w:tcBorders>
              <w:top w:val="single" w:sz="4" w:space="0" w:color="A6A6A6"/>
              <w:bottom w:val="single" w:sz="4" w:space="0" w:color="A6A6A6"/>
            </w:tcBorders>
            <w:noWrap/>
          </w:tcPr>
          <w:p w14:paraId="4AEBFC49" w14:textId="77777777" w:rsidR="005B131E" w:rsidRPr="00BA7805" w:rsidRDefault="005B131E" w:rsidP="002542E1">
            <w:pPr>
              <w:pStyle w:val="ARfintablebodyright"/>
              <w:rPr>
                <w:highlight w:val="green"/>
              </w:rPr>
            </w:pPr>
            <w:r w:rsidRPr="00B45A72">
              <w:t>2.8</w:t>
            </w:r>
          </w:p>
        </w:tc>
      </w:tr>
      <w:tr w:rsidR="005B131E" w:rsidRPr="00BA7805" w14:paraId="0A4CE103" w14:textId="77777777" w:rsidTr="00B84A49">
        <w:trPr>
          <w:cantSplit w:val="0"/>
        </w:trPr>
        <w:tc>
          <w:tcPr>
            <w:tcW w:w="6915" w:type="dxa"/>
            <w:tcBorders>
              <w:top w:val="single" w:sz="4" w:space="0" w:color="A6A6A6"/>
              <w:bottom w:val="single" w:sz="4" w:space="0" w:color="A6A6A6"/>
            </w:tcBorders>
          </w:tcPr>
          <w:p w14:paraId="0DF577BB" w14:textId="77777777" w:rsidR="005B131E" w:rsidRPr="00BA7805" w:rsidRDefault="005B131E" w:rsidP="002542E1">
            <w:pPr>
              <w:pStyle w:val="ARfintablebody"/>
              <w:rPr>
                <w:highlight w:val="green"/>
              </w:rPr>
            </w:pPr>
            <w:r w:rsidRPr="00A21C7D">
              <w:t>Termination benefits</w:t>
            </w:r>
          </w:p>
        </w:tc>
        <w:tc>
          <w:tcPr>
            <w:tcW w:w="1361" w:type="dxa"/>
            <w:tcBorders>
              <w:top w:val="single" w:sz="4" w:space="0" w:color="A6A6A6"/>
              <w:bottom w:val="single" w:sz="4" w:space="0" w:color="A6A6A6"/>
            </w:tcBorders>
            <w:shd w:val="clear" w:color="auto" w:fill="E7E6E6"/>
            <w:noWrap/>
          </w:tcPr>
          <w:p w14:paraId="1CFEFEE7" w14:textId="77777777" w:rsidR="005B131E" w:rsidRPr="00BA7805" w:rsidRDefault="005B131E" w:rsidP="002542E1">
            <w:pPr>
              <w:pStyle w:val="ARfintablebodyright"/>
              <w:rPr>
                <w:highlight w:val="green"/>
              </w:rPr>
            </w:pPr>
            <w:r w:rsidRPr="00B45A72">
              <w:t>29.3</w:t>
            </w:r>
          </w:p>
        </w:tc>
        <w:tc>
          <w:tcPr>
            <w:tcW w:w="1361" w:type="dxa"/>
            <w:tcBorders>
              <w:top w:val="single" w:sz="4" w:space="0" w:color="A6A6A6"/>
              <w:bottom w:val="single" w:sz="4" w:space="0" w:color="A6A6A6"/>
            </w:tcBorders>
            <w:noWrap/>
          </w:tcPr>
          <w:p w14:paraId="7D859FB5" w14:textId="77777777" w:rsidR="005B131E" w:rsidRPr="00BA7805" w:rsidRDefault="005B131E" w:rsidP="002542E1">
            <w:pPr>
              <w:pStyle w:val="ARfintablebodyright"/>
              <w:rPr>
                <w:highlight w:val="green"/>
              </w:rPr>
            </w:pPr>
            <w:r w:rsidRPr="00B45A72">
              <w:t>5.7</w:t>
            </w:r>
          </w:p>
        </w:tc>
      </w:tr>
      <w:tr w:rsidR="005B131E" w:rsidRPr="00BA7805" w14:paraId="20809C54" w14:textId="77777777" w:rsidTr="00B84A49">
        <w:trPr>
          <w:cantSplit w:val="0"/>
        </w:trPr>
        <w:tc>
          <w:tcPr>
            <w:tcW w:w="6915" w:type="dxa"/>
            <w:tcBorders>
              <w:top w:val="single" w:sz="4" w:space="0" w:color="A6A6A6"/>
            </w:tcBorders>
          </w:tcPr>
          <w:p w14:paraId="4260E61D" w14:textId="77777777" w:rsidR="005B131E" w:rsidRPr="00BA7805" w:rsidRDefault="005B131E" w:rsidP="002542E1">
            <w:pPr>
              <w:pStyle w:val="ARfintablebody"/>
              <w:rPr>
                <w:highlight w:val="green"/>
              </w:rPr>
            </w:pPr>
            <w:r w:rsidRPr="00A21C7D">
              <w:t>Salaries and wages, annual leave and long service leave</w:t>
            </w:r>
          </w:p>
        </w:tc>
        <w:tc>
          <w:tcPr>
            <w:tcW w:w="1361" w:type="dxa"/>
            <w:tcBorders>
              <w:top w:val="single" w:sz="4" w:space="0" w:color="A6A6A6"/>
            </w:tcBorders>
            <w:shd w:val="clear" w:color="auto" w:fill="E7E6E6"/>
            <w:noWrap/>
          </w:tcPr>
          <w:p w14:paraId="1A68BEF4" w14:textId="77777777" w:rsidR="005B131E" w:rsidRPr="00BA7805" w:rsidRDefault="005B131E" w:rsidP="002542E1">
            <w:pPr>
              <w:pStyle w:val="ARfintablebodyright"/>
              <w:rPr>
                <w:highlight w:val="green"/>
              </w:rPr>
            </w:pPr>
            <w:r w:rsidRPr="00B45A72">
              <w:t>878.0</w:t>
            </w:r>
          </w:p>
        </w:tc>
        <w:tc>
          <w:tcPr>
            <w:tcW w:w="1361" w:type="dxa"/>
            <w:tcBorders>
              <w:top w:val="single" w:sz="4" w:space="0" w:color="A6A6A6"/>
            </w:tcBorders>
            <w:noWrap/>
          </w:tcPr>
          <w:p w14:paraId="3F725701" w14:textId="77777777" w:rsidR="005B131E" w:rsidRPr="00BA7805" w:rsidRDefault="005B131E" w:rsidP="002542E1">
            <w:pPr>
              <w:pStyle w:val="ARfintablebodyright"/>
              <w:rPr>
                <w:highlight w:val="green"/>
              </w:rPr>
            </w:pPr>
            <w:r w:rsidRPr="00B45A72">
              <w:t>842.4</w:t>
            </w:r>
          </w:p>
        </w:tc>
      </w:tr>
      <w:tr w:rsidR="005B131E" w:rsidRPr="00BA7805" w14:paraId="2BB19A30" w14:textId="77777777" w:rsidTr="00B84A49">
        <w:trPr>
          <w:cantSplit w:val="0"/>
        </w:trPr>
        <w:tc>
          <w:tcPr>
            <w:tcW w:w="6915" w:type="dxa"/>
          </w:tcPr>
          <w:p w14:paraId="00FA09A0" w14:textId="77777777" w:rsidR="005B131E" w:rsidRPr="00BA7805" w:rsidRDefault="005B131E" w:rsidP="002542E1">
            <w:pPr>
              <w:pStyle w:val="ARfintablebodybold"/>
              <w:rPr>
                <w:highlight w:val="green"/>
              </w:rPr>
            </w:pPr>
            <w:r w:rsidRPr="00A21C7D">
              <w:t>Total employee benefits</w:t>
            </w:r>
          </w:p>
        </w:tc>
        <w:tc>
          <w:tcPr>
            <w:tcW w:w="1361" w:type="dxa"/>
            <w:shd w:val="clear" w:color="auto" w:fill="E7E6E6"/>
            <w:noWrap/>
          </w:tcPr>
          <w:p w14:paraId="13500111" w14:textId="77777777" w:rsidR="005B131E" w:rsidRPr="00BA7805" w:rsidRDefault="005B131E" w:rsidP="002542E1">
            <w:pPr>
              <w:pStyle w:val="ARfintablebodyrightbold"/>
              <w:rPr>
                <w:highlight w:val="green"/>
              </w:rPr>
            </w:pPr>
            <w:r w:rsidRPr="00B45A72">
              <w:t>987.9</w:t>
            </w:r>
          </w:p>
        </w:tc>
        <w:tc>
          <w:tcPr>
            <w:tcW w:w="1361" w:type="dxa"/>
            <w:noWrap/>
          </w:tcPr>
          <w:p w14:paraId="7F4596A8" w14:textId="77777777" w:rsidR="005B131E" w:rsidRPr="00BA7805" w:rsidRDefault="005B131E" w:rsidP="002542E1">
            <w:pPr>
              <w:pStyle w:val="ARfintablebodyrightbold"/>
              <w:rPr>
                <w:highlight w:val="green"/>
              </w:rPr>
            </w:pPr>
            <w:r w:rsidRPr="00B45A72">
              <w:t>920.5</w:t>
            </w:r>
          </w:p>
        </w:tc>
      </w:tr>
    </w:tbl>
    <w:p w14:paraId="5774FBED" w14:textId="77777777" w:rsidR="005B131E" w:rsidRDefault="005B131E" w:rsidP="002542E1">
      <w:pPr>
        <w:pStyle w:val="ARfinbodyaftertable"/>
      </w:pPr>
      <w:r>
        <w:t>Employee benefits include all costs related to employment, including salaries and wages, leave entitlements, fringe benefits tax, termination benefits, payroll tax and WorkCover premiums.</w:t>
      </w:r>
    </w:p>
    <w:p w14:paraId="3DF1A0CB" w14:textId="27409F8E" w:rsidR="005B131E" w:rsidRDefault="005B131E" w:rsidP="002542E1">
      <w:pPr>
        <w:pStyle w:val="ARfinbody"/>
      </w:pPr>
      <w:r>
        <w:t>The amount recognised in the comprehensive operating statement in relation to superannuation is employer contributions for members of both defined benefit and defined contribution superannuation plans that are paid or payable during the reporting period. Other than former employees of Homes Victoria, the department does not recognise any defined benefit liabilities because it has no legal or constructive obligation to pay future benefits relating to its employees. Instead, the Department of Treasury and Finance discloses in its annual financial statements the net defined benefit cost related to the members of these plans as an administered liability (on behalf of the State as the sponsoring employer).</w:t>
      </w:r>
    </w:p>
    <w:p w14:paraId="79B26296" w14:textId="77777777" w:rsidR="005B131E" w:rsidRDefault="005B131E" w:rsidP="002542E1">
      <w:pPr>
        <w:pStyle w:val="ARfinbody"/>
      </w:pPr>
      <w:r>
        <w:t>Termination benefits are payable when employment is terminated before normal retirement date, or when an employee accepts an offer of benefits in exchange for the termination of employment. Termination benefits are recognised when the department is demonstrably committed to terminating the employment of current employees according to a detailed formal plan without possibility of withdrawal or providing termination benefits as a result of an offer made to encourage voluntary redundancy.</w:t>
      </w:r>
    </w:p>
    <w:p w14:paraId="4B7D0256" w14:textId="77777777" w:rsidR="005B131E" w:rsidRDefault="005B131E" w:rsidP="002542E1">
      <w:pPr>
        <w:pStyle w:val="ARbody"/>
        <w:rPr>
          <w:rFonts w:eastAsiaTheme="minorEastAsia" w:cs="ArialMT"/>
          <w:color w:val="000000"/>
          <w:sz w:val="18"/>
          <w:szCs w:val="16"/>
          <w:lang w:eastAsia="en-AU"/>
        </w:rPr>
      </w:pPr>
      <w:r>
        <w:br w:type="page"/>
      </w:r>
    </w:p>
    <w:p w14:paraId="15CF822C" w14:textId="77777777" w:rsidR="005B131E" w:rsidRPr="001B4AB9" w:rsidRDefault="005B131E">
      <w:pPr>
        <w:pStyle w:val="Heading6"/>
        <w:rPr>
          <w:lang w:eastAsia="en-AU"/>
        </w:rPr>
      </w:pPr>
      <w:bookmarkStart w:id="272" w:name="_Ref178240011"/>
      <w:r w:rsidRPr="001B4AB9">
        <w:rPr>
          <w:lang w:eastAsia="en-AU"/>
        </w:rPr>
        <w:t>3.1.1(b) Employee benefits in the balance sheet</w:t>
      </w:r>
      <w:bookmarkEnd w:id="272"/>
    </w:p>
    <w:p w14:paraId="54C19F29" w14:textId="77777777" w:rsidR="005B131E" w:rsidRPr="00BA7805" w:rsidRDefault="005B131E" w:rsidP="002542E1">
      <w:pPr>
        <w:pStyle w:val="ARfinbodylargespace"/>
        <w:rPr>
          <w:highlight w:val="green"/>
        </w:rPr>
      </w:pPr>
      <w:r w:rsidRPr="00CF4829">
        <w:t>Provision is made for benefits accruing to employees in respect of annual leave and long service leave (LSL) for services rendered to the reporting date and recorded as an expense during the period the services are delivered.</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764465BF"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303C52F" w14:textId="77777777" w:rsidR="005B131E" w:rsidRPr="00BA7805" w:rsidRDefault="005B131E">
            <w:pPr>
              <w:pStyle w:val="ARfintablecolhead"/>
              <w:spacing w:before="30" w:after="20"/>
              <w:rPr>
                <w:highlight w:val="green"/>
              </w:rPr>
            </w:pPr>
          </w:p>
        </w:tc>
        <w:tc>
          <w:tcPr>
            <w:tcW w:w="1361" w:type="dxa"/>
            <w:tcBorders>
              <w:bottom w:val="single" w:sz="4" w:space="0" w:color="auto"/>
            </w:tcBorders>
            <w:shd w:val="clear" w:color="auto" w:fill="E7E6E6"/>
            <w:hideMark/>
          </w:tcPr>
          <w:p w14:paraId="62B05505" w14:textId="77777777" w:rsidR="005B131E" w:rsidRPr="001245FD" w:rsidRDefault="005B131E">
            <w:pPr>
              <w:pStyle w:val="ARfintablecolheadright"/>
            </w:pPr>
            <w:r w:rsidRPr="001245FD">
              <w:t>2024</w:t>
            </w:r>
          </w:p>
          <w:p w14:paraId="21BA7C75" w14:textId="77777777" w:rsidR="005B131E" w:rsidRPr="001245FD" w:rsidRDefault="005B131E">
            <w:pPr>
              <w:pStyle w:val="ARfintablecolheadright"/>
              <w:spacing w:before="30" w:after="20"/>
            </w:pPr>
            <w:r w:rsidRPr="001245FD">
              <w:t>$M</w:t>
            </w:r>
          </w:p>
        </w:tc>
        <w:tc>
          <w:tcPr>
            <w:tcW w:w="1361" w:type="dxa"/>
            <w:tcBorders>
              <w:bottom w:val="single" w:sz="4" w:space="0" w:color="auto"/>
            </w:tcBorders>
            <w:hideMark/>
          </w:tcPr>
          <w:p w14:paraId="0A454D9A" w14:textId="77777777" w:rsidR="005B131E" w:rsidRPr="001245FD" w:rsidRDefault="005B131E">
            <w:pPr>
              <w:pStyle w:val="ARfintablecolheadright"/>
            </w:pPr>
            <w:r w:rsidRPr="001245FD">
              <w:t>2023</w:t>
            </w:r>
          </w:p>
          <w:p w14:paraId="1FBED029" w14:textId="77777777" w:rsidR="005B131E" w:rsidRPr="001245FD" w:rsidRDefault="005B131E">
            <w:pPr>
              <w:pStyle w:val="ARfintablecolheadright"/>
              <w:spacing w:before="30" w:after="20"/>
            </w:pPr>
            <w:r w:rsidRPr="001245FD">
              <w:t>$M</w:t>
            </w:r>
          </w:p>
        </w:tc>
      </w:tr>
      <w:tr w:rsidR="005B131E" w:rsidRPr="00BA7805" w14:paraId="58D9285D" w14:textId="77777777" w:rsidTr="00B84A49">
        <w:tc>
          <w:tcPr>
            <w:tcW w:w="9637" w:type="dxa"/>
            <w:gridSpan w:val="3"/>
            <w:tcBorders>
              <w:top w:val="single" w:sz="4" w:space="0" w:color="auto"/>
              <w:bottom w:val="single" w:sz="4" w:space="0" w:color="A6A6A6"/>
            </w:tcBorders>
          </w:tcPr>
          <w:p w14:paraId="39003AB6" w14:textId="77777777" w:rsidR="005B131E" w:rsidRPr="00BA7805" w:rsidRDefault="005B131E" w:rsidP="002542E1">
            <w:pPr>
              <w:pStyle w:val="ARfintablebodybold"/>
              <w:spacing w:before="30"/>
              <w:rPr>
                <w:highlight w:val="green"/>
              </w:rPr>
            </w:pPr>
            <w:r w:rsidRPr="007444FB">
              <w:t>Current provisions</w:t>
            </w:r>
          </w:p>
        </w:tc>
      </w:tr>
      <w:tr w:rsidR="005B131E" w:rsidRPr="00BA7805" w14:paraId="5DD4B53B" w14:textId="77777777" w:rsidTr="00B84A49">
        <w:tc>
          <w:tcPr>
            <w:tcW w:w="9637" w:type="dxa"/>
            <w:gridSpan w:val="3"/>
            <w:tcBorders>
              <w:top w:val="single" w:sz="4" w:space="0" w:color="A6A6A6"/>
              <w:bottom w:val="single" w:sz="4" w:space="0" w:color="A6A6A6"/>
            </w:tcBorders>
          </w:tcPr>
          <w:p w14:paraId="1DEE663B" w14:textId="77777777" w:rsidR="005B131E" w:rsidRPr="00BA7805" w:rsidRDefault="005B131E" w:rsidP="002542E1">
            <w:pPr>
              <w:pStyle w:val="ARfintablebody"/>
              <w:spacing w:before="30"/>
              <w:rPr>
                <w:highlight w:val="green"/>
              </w:rPr>
            </w:pPr>
            <w:r w:rsidRPr="007444FB">
              <w:t>Annual leave</w:t>
            </w:r>
          </w:p>
        </w:tc>
      </w:tr>
      <w:tr w:rsidR="005B131E" w:rsidRPr="00BA7805" w14:paraId="7788E58C" w14:textId="77777777" w:rsidTr="00B84A49">
        <w:tc>
          <w:tcPr>
            <w:tcW w:w="6915" w:type="dxa"/>
            <w:tcBorders>
              <w:top w:val="single" w:sz="4" w:space="0" w:color="A6A6A6"/>
              <w:bottom w:val="single" w:sz="4" w:space="0" w:color="A6A6A6"/>
            </w:tcBorders>
          </w:tcPr>
          <w:p w14:paraId="4439836E" w14:textId="77777777" w:rsidR="005B131E" w:rsidRPr="00BA7805" w:rsidRDefault="005B131E" w:rsidP="002542E1">
            <w:pPr>
              <w:pStyle w:val="ARfintablebodyindent"/>
              <w:spacing w:before="30"/>
              <w:rPr>
                <w:highlight w:val="green"/>
              </w:rPr>
            </w:pPr>
            <w:r>
              <w:t xml:space="preserve"> </w:t>
            </w:r>
            <w:r w:rsidRPr="007444FB">
              <w:t>Unconditional and expected to be settled within 12 months</w:t>
            </w:r>
          </w:p>
        </w:tc>
        <w:tc>
          <w:tcPr>
            <w:tcW w:w="1361" w:type="dxa"/>
            <w:tcBorders>
              <w:top w:val="single" w:sz="4" w:space="0" w:color="A6A6A6"/>
              <w:bottom w:val="single" w:sz="4" w:space="0" w:color="A6A6A6"/>
            </w:tcBorders>
            <w:shd w:val="clear" w:color="auto" w:fill="E7E6E6"/>
            <w:noWrap/>
          </w:tcPr>
          <w:p w14:paraId="6D73FB7C" w14:textId="77777777" w:rsidR="005B131E" w:rsidRPr="00BA7805" w:rsidRDefault="005B131E" w:rsidP="002542E1">
            <w:pPr>
              <w:pStyle w:val="ARfintablebodyright"/>
              <w:spacing w:before="30"/>
              <w:rPr>
                <w:highlight w:val="green"/>
              </w:rPr>
            </w:pPr>
            <w:r w:rsidRPr="00A63A7A">
              <w:t>55.7</w:t>
            </w:r>
          </w:p>
        </w:tc>
        <w:tc>
          <w:tcPr>
            <w:tcW w:w="1361" w:type="dxa"/>
            <w:tcBorders>
              <w:top w:val="single" w:sz="4" w:space="0" w:color="A6A6A6"/>
              <w:bottom w:val="single" w:sz="4" w:space="0" w:color="A6A6A6"/>
            </w:tcBorders>
            <w:noWrap/>
          </w:tcPr>
          <w:p w14:paraId="1583ACCD" w14:textId="77777777" w:rsidR="005B131E" w:rsidRPr="00BA7805" w:rsidRDefault="005B131E" w:rsidP="002542E1">
            <w:pPr>
              <w:pStyle w:val="ARfintablebodyright"/>
              <w:spacing w:before="30"/>
              <w:rPr>
                <w:highlight w:val="green"/>
              </w:rPr>
            </w:pPr>
            <w:r w:rsidRPr="00A63A7A">
              <w:t>54.8</w:t>
            </w:r>
          </w:p>
        </w:tc>
      </w:tr>
      <w:tr w:rsidR="005B131E" w:rsidRPr="00BA7805" w14:paraId="14BE5910" w14:textId="77777777" w:rsidTr="00B84A49">
        <w:tc>
          <w:tcPr>
            <w:tcW w:w="6915" w:type="dxa"/>
            <w:tcBorders>
              <w:top w:val="single" w:sz="4" w:space="0" w:color="A6A6A6"/>
              <w:bottom w:val="single" w:sz="4" w:space="0" w:color="A6A6A6"/>
            </w:tcBorders>
          </w:tcPr>
          <w:p w14:paraId="59DB2B16" w14:textId="77777777" w:rsidR="005B131E" w:rsidRPr="00BA7805" w:rsidRDefault="005B131E" w:rsidP="002542E1">
            <w:pPr>
              <w:pStyle w:val="ARfintablebodyindent"/>
              <w:spacing w:before="30"/>
              <w:rPr>
                <w:highlight w:val="green"/>
              </w:rPr>
            </w:pPr>
            <w:r>
              <w:t xml:space="preserve"> </w:t>
            </w:r>
            <w:r w:rsidRPr="007444FB">
              <w:t>Unconditional and expected to be settled after 12 months</w:t>
            </w:r>
          </w:p>
        </w:tc>
        <w:tc>
          <w:tcPr>
            <w:tcW w:w="1361" w:type="dxa"/>
            <w:tcBorders>
              <w:top w:val="single" w:sz="4" w:space="0" w:color="A6A6A6"/>
              <w:bottom w:val="single" w:sz="4" w:space="0" w:color="A6A6A6"/>
            </w:tcBorders>
            <w:shd w:val="clear" w:color="auto" w:fill="E7E6E6"/>
            <w:noWrap/>
          </w:tcPr>
          <w:p w14:paraId="4810D551" w14:textId="77777777" w:rsidR="005B131E" w:rsidRPr="00BA7805" w:rsidRDefault="005B131E" w:rsidP="002542E1">
            <w:pPr>
              <w:pStyle w:val="ARfintablebodyright"/>
              <w:spacing w:before="30"/>
              <w:rPr>
                <w:highlight w:val="green"/>
              </w:rPr>
            </w:pPr>
            <w:r w:rsidRPr="00A63A7A">
              <w:t>29.2</w:t>
            </w:r>
          </w:p>
        </w:tc>
        <w:tc>
          <w:tcPr>
            <w:tcW w:w="1361" w:type="dxa"/>
            <w:tcBorders>
              <w:top w:val="single" w:sz="4" w:space="0" w:color="A6A6A6"/>
              <w:bottom w:val="single" w:sz="4" w:space="0" w:color="A6A6A6"/>
            </w:tcBorders>
            <w:noWrap/>
          </w:tcPr>
          <w:p w14:paraId="48D45499" w14:textId="77777777" w:rsidR="005B131E" w:rsidRPr="00BA7805" w:rsidRDefault="005B131E" w:rsidP="002542E1">
            <w:pPr>
              <w:pStyle w:val="ARfintablebodyright"/>
              <w:spacing w:before="30"/>
              <w:rPr>
                <w:highlight w:val="green"/>
              </w:rPr>
            </w:pPr>
            <w:r w:rsidRPr="00A63A7A">
              <w:t>30.2</w:t>
            </w:r>
          </w:p>
        </w:tc>
      </w:tr>
      <w:tr w:rsidR="005B131E" w:rsidRPr="00BA7805" w14:paraId="648FC8C5" w14:textId="77777777" w:rsidTr="00B84A49">
        <w:tc>
          <w:tcPr>
            <w:tcW w:w="9637" w:type="dxa"/>
            <w:gridSpan w:val="3"/>
            <w:tcBorders>
              <w:top w:val="single" w:sz="4" w:space="0" w:color="A6A6A6"/>
              <w:bottom w:val="single" w:sz="4" w:space="0" w:color="A6A6A6"/>
            </w:tcBorders>
          </w:tcPr>
          <w:p w14:paraId="656B685E" w14:textId="77777777" w:rsidR="005B131E" w:rsidRPr="00BA7805" w:rsidRDefault="005B131E" w:rsidP="002542E1">
            <w:pPr>
              <w:pStyle w:val="ARfintablebody"/>
              <w:spacing w:before="30"/>
              <w:rPr>
                <w:highlight w:val="green"/>
              </w:rPr>
            </w:pPr>
            <w:r w:rsidRPr="007444FB">
              <w:t>Maternity leave</w:t>
            </w:r>
          </w:p>
        </w:tc>
      </w:tr>
      <w:tr w:rsidR="005B131E" w:rsidRPr="00BA7805" w14:paraId="0F8FA1C7" w14:textId="77777777" w:rsidTr="00B84A49">
        <w:tc>
          <w:tcPr>
            <w:tcW w:w="6915" w:type="dxa"/>
            <w:tcBorders>
              <w:top w:val="single" w:sz="4" w:space="0" w:color="A6A6A6"/>
              <w:bottom w:val="single" w:sz="4" w:space="0" w:color="A6A6A6"/>
            </w:tcBorders>
          </w:tcPr>
          <w:p w14:paraId="7B16199C" w14:textId="77777777" w:rsidR="005B131E" w:rsidRPr="00BA7805" w:rsidRDefault="005B131E" w:rsidP="002542E1">
            <w:pPr>
              <w:pStyle w:val="ARfintablebodyindent"/>
              <w:spacing w:before="30"/>
              <w:rPr>
                <w:highlight w:val="green"/>
              </w:rPr>
            </w:pPr>
            <w:r>
              <w:t xml:space="preserve"> </w:t>
            </w:r>
            <w:r w:rsidRPr="007444FB">
              <w:t>Unconditional and expected to be settled within 12 months</w:t>
            </w:r>
          </w:p>
        </w:tc>
        <w:tc>
          <w:tcPr>
            <w:tcW w:w="1361" w:type="dxa"/>
            <w:tcBorders>
              <w:top w:val="single" w:sz="4" w:space="0" w:color="A6A6A6"/>
              <w:bottom w:val="single" w:sz="4" w:space="0" w:color="A6A6A6"/>
            </w:tcBorders>
            <w:shd w:val="clear" w:color="auto" w:fill="E7E6E6"/>
            <w:noWrap/>
          </w:tcPr>
          <w:p w14:paraId="19E17308" w14:textId="77777777" w:rsidR="005B131E" w:rsidRPr="00BA7805" w:rsidRDefault="005B131E" w:rsidP="002542E1">
            <w:pPr>
              <w:pStyle w:val="ARfintablebodyright"/>
              <w:spacing w:before="30"/>
              <w:rPr>
                <w:highlight w:val="green"/>
              </w:rPr>
            </w:pPr>
            <w:r w:rsidRPr="00A63A7A">
              <w:t>15.3</w:t>
            </w:r>
          </w:p>
        </w:tc>
        <w:tc>
          <w:tcPr>
            <w:tcW w:w="1361" w:type="dxa"/>
            <w:tcBorders>
              <w:top w:val="single" w:sz="4" w:space="0" w:color="A6A6A6"/>
              <w:bottom w:val="single" w:sz="4" w:space="0" w:color="A6A6A6"/>
            </w:tcBorders>
            <w:noWrap/>
          </w:tcPr>
          <w:p w14:paraId="7906A908" w14:textId="77777777" w:rsidR="005B131E" w:rsidRPr="00BA7805" w:rsidRDefault="005B131E" w:rsidP="002542E1">
            <w:pPr>
              <w:pStyle w:val="ARfintablebodyright"/>
              <w:spacing w:before="30"/>
              <w:rPr>
                <w:highlight w:val="green"/>
              </w:rPr>
            </w:pPr>
            <w:r w:rsidRPr="00A63A7A">
              <w:t>15.4</w:t>
            </w:r>
          </w:p>
        </w:tc>
      </w:tr>
      <w:tr w:rsidR="005B131E" w:rsidRPr="00BA7805" w14:paraId="2B3F02C1" w14:textId="77777777" w:rsidTr="00B84A49">
        <w:tc>
          <w:tcPr>
            <w:tcW w:w="9637" w:type="dxa"/>
            <w:gridSpan w:val="3"/>
            <w:tcBorders>
              <w:top w:val="single" w:sz="4" w:space="0" w:color="A6A6A6"/>
              <w:bottom w:val="single" w:sz="4" w:space="0" w:color="A6A6A6"/>
            </w:tcBorders>
          </w:tcPr>
          <w:p w14:paraId="143E0B2A" w14:textId="77777777" w:rsidR="005B131E" w:rsidRPr="00BA7805" w:rsidRDefault="005B131E" w:rsidP="002542E1">
            <w:pPr>
              <w:pStyle w:val="ARfintablebody"/>
              <w:spacing w:before="30"/>
              <w:rPr>
                <w:highlight w:val="green"/>
              </w:rPr>
            </w:pPr>
            <w:r w:rsidRPr="007444FB">
              <w:t>Long service leave</w:t>
            </w:r>
          </w:p>
        </w:tc>
      </w:tr>
      <w:tr w:rsidR="005B131E" w:rsidRPr="00BA7805" w14:paraId="387076E8" w14:textId="77777777" w:rsidTr="00B84A49">
        <w:tc>
          <w:tcPr>
            <w:tcW w:w="6915" w:type="dxa"/>
            <w:tcBorders>
              <w:top w:val="single" w:sz="4" w:space="0" w:color="A6A6A6"/>
              <w:bottom w:val="single" w:sz="4" w:space="0" w:color="A6A6A6"/>
            </w:tcBorders>
          </w:tcPr>
          <w:p w14:paraId="2B597E4E" w14:textId="77777777" w:rsidR="005B131E" w:rsidRPr="00BA7805" w:rsidRDefault="005B131E" w:rsidP="002542E1">
            <w:pPr>
              <w:pStyle w:val="ARfintablebodyindent"/>
              <w:spacing w:before="30"/>
              <w:rPr>
                <w:highlight w:val="green"/>
              </w:rPr>
            </w:pPr>
            <w:r>
              <w:t xml:space="preserve"> </w:t>
            </w:r>
            <w:r w:rsidRPr="007444FB">
              <w:t>Unconditional and expected to be settled within 12 months</w:t>
            </w:r>
          </w:p>
        </w:tc>
        <w:tc>
          <w:tcPr>
            <w:tcW w:w="1361" w:type="dxa"/>
            <w:tcBorders>
              <w:top w:val="single" w:sz="4" w:space="0" w:color="A6A6A6"/>
              <w:bottom w:val="single" w:sz="4" w:space="0" w:color="A6A6A6"/>
            </w:tcBorders>
            <w:shd w:val="clear" w:color="auto" w:fill="E7E6E6"/>
            <w:noWrap/>
          </w:tcPr>
          <w:p w14:paraId="234F4829" w14:textId="77777777" w:rsidR="005B131E" w:rsidRPr="00BA7805" w:rsidRDefault="005B131E" w:rsidP="002542E1">
            <w:pPr>
              <w:pStyle w:val="ARfintablebodyright"/>
              <w:spacing w:before="30"/>
              <w:rPr>
                <w:highlight w:val="green"/>
              </w:rPr>
            </w:pPr>
            <w:r w:rsidRPr="00A63A7A">
              <w:t>11.1</w:t>
            </w:r>
          </w:p>
        </w:tc>
        <w:tc>
          <w:tcPr>
            <w:tcW w:w="1361" w:type="dxa"/>
            <w:tcBorders>
              <w:top w:val="single" w:sz="4" w:space="0" w:color="A6A6A6"/>
              <w:bottom w:val="single" w:sz="4" w:space="0" w:color="A6A6A6"/>
            </w:tcBorders>
            <w:noWrap/>
          </w:tcPr>
          <w:p w14:paraId="33900DDC" w14:textId="77777777" w:rsidR="005B131E" w:rsidRPr="00BA7805" w:rsidRDefault="005B131E" w:rsidP="002542E1">
            <w:pPr>
              <w:pStyle w:val="ARfintablebodyright"/>
              <w:spacing w:before="30"/>
              <w:rPr>
                <w:highlight w:val="green"/>
              </w:rPr>
            </w:pPr>
            <w:r w:rsidRPr="00A63A7A">
              <w:t>11.0</w:t>
            </w:r>
          </w:p>
        </w:tc>
      </w:tr>
      <w:tr w:rsidR="005B131E" w:rsidRPr="00BA7805" w14:paraId="216B1C31" w14:textId="77777777" w:rsidTr="00B84A49">
        <w:tc>
          <w:tcPr>
            <w:tcW w:w="6915" w:type="dxa"/>
            <w:tcBorders>
              <w:top w:val="single" w:sz="4" w:space="0" w:color="A6A6A6"/>
              <w:bottom w:val="single" w:sz="4" w:space="0" w:color="A6A6A6"/>
            </w:tcBorders>
          </w:tcPr>
          <w:p w14:paraId="4D8E6EC8" w14:textId="77777777" w:rsidR="005B131E" w:rsidRPr="00BA7805" w:rsidRDefault="005B131E" w:rsidP="002542E1">
            <w:pPr>
              <w:pStyle w:val="ARfintablebodyindent"/>
              <w:spacing w:before="30"/>
              <w:rPr>
                <w:highlight w:val="green"/>
              </w:rPr>
            </w:pPr>
            <w:r>
              <w:t xml:space="preserve"> </w:t>
            </w:r>
            <w:r w:rsidRPr="007444FB">
              <w:t>Unconditional and expected to be settled after 12 months</w:t>
            </w:r>
          </w:p>
        </w:tc>
        <w:tc>
          <w:tcPr>
            <w:tcW w:w="1361" w:type="dxa"/>
            <w:tcBorders>
              <w:top w:val="single" w:sz="4" w:space="0" w:color="A6A6A6"/>
              <w:bottom w:val="single" w:sz="4" w:space="0" w:color="A6A6A6"/>
            </w:tcBorders>
            <w:shd w:val="clear" w:color="auto" w:fill="E7E6E6"/>
            <w:noWrap/>
          </w:tcPr>
          <w:p w14:paraId="6C3CD9F4" w14:textId="77777777" w:rsidR="005B131E" w:rsidRPr="00BA7805" w:rsidRDefault="005B131E" w:rsidP="002542E1">
            <w:pPr>
              <w:pStyle w:val="ARfintablebodyright"/>
              <w:spacing w:before="30"/>
              <w:rPr>
                <w:highlight w:val="green"/>
              </w:rPr>
            </w:pPr>
            <w:r w:rsidRPr="00A63A7A">
              <w:t>96.7</w:t>
            </w:r>
          </w:p>
        </w:tc>
        <w:tc>
          <w:tcPr>
            <w:tcW w:w="1361" w:type="dxa"/>
            <w:tcBorders>
              <w:top w:val="single" w:sz="4" w:space="0" w:color="A6A6A6"/>
              <w:bottom w:val="single" w:sz="4" w:space="0" w:color="A6A6A6"/>
            </w:tcBorders>
            <w:noWrap/>
          </w:tcPr>
          <w:p w14:paraId="758243AC" w14:textId="77777777" w:rsidR="005B131E" w:rsidRPr="00BA7805" w:rsidRDefault="005B131E" w:rsidP="002542E1">
            <w:pPr>
              <w:pStyle w:val="ARfintablebodyright"/>
              <w:spacing w:before="30"/>
              <w:rPr>
                <w:highlight w:val="green"/>
              </w:rPr>
            </w:pPr>
            <w:r w:rsidRPr="00A63A7A">
              <w:t>97.7</w:t>
            </w:r>
          </w:p>
        </w:tc>
      </w:tr>
      <w:tr w:rsidR="005B131E" w:rsidRPr="00BA7805" w14:paraId="20AC661F" w14:textId="77777777" w:rsidTr="00B84A49">
        <w:tc>
          <w:tcPr>
            <w:tcW w:w="9637" w:type="dxa"/>
            <w:gridSpan w:val="3"/>
            <w:tcBorders>
              <w:top w:val="single" w:sz="4" w:space="0" w:color="A6A6A6"/>
              <w:bottom w:val="single" w:sz="4" w:space="0" w:color="A6A6A6"/>
            </w:tcBorders>
          </w:tcPr>
          <w:p w14:paraId="25253D46" w14:textId="77777777" w:rsidR="005B131E" w:rsidRPr="00BA7805" w:rsidRDefault="005B131E" w:rsidP="002542E1">
            <w:pPr>
              <w:pStyle w:val="ARfintablebody"/>
              <w:spacing w:before="30"/>
              <w:rPr>
                <w:highlight w:val="green"/>
              </w:rPr>
            </w:pPr>
            <w:r w:rsidRPr="007444FB">
              <w:t>Superannuation</w:t>
            </w:r>
          </w:p>
        </w:tc>
      </w:tr>
      <w:tr w:rsidR="005B131E" w:rsidRPr="00BA7805" w14:paraId="4E9F2E40" w14:textId="77777777" w:rsidTr="00B84A49">
        <w:tc>
          <w:tcPr>
            <w:tcW w:w="6915" w:type="dxa"/>
            <w:tcBorders>
              <w:top w:val="single" w:sz="4" w:space="0" w:color="A6A6A6"/>
              <w:bottom w:val="single" w:sz="4" w:space="0" w:color="A6A6A6"/>
            </w:tcBorders>
          </w:tcPr>
          <w:p w14:paraId="10D675E0" w14:textId="77777777" w:rsidR="005B131E" w:rsidRPr="00BA7805" w:rsidRDefault="005B131E" w:rsidP="002542E1">
            <w:pPr>
              <w:pStyle w:val="ARfintablebodyindent"/>
              <w:spacing w:before="30"/>
              <w:rPr>
                <w:highlight w:val="green"/>
              </w:rPr>
            </w:pPr>
            <w:r>
              <w:t xml:space="preserve"> </w:t>
            </w:r>
            <w:r w:rsidRPr="007444FB">
              <w:t>Unconditional and expected to be settled within 12 months</w:t>
            </w:r>
          </w:p>
        </w:tc>
        <w:tc>
          <w:tcPr>
            <w:tcW w:w="1361" w:type="dxa"/>
            <w:tcBorders>
              <w:top w:val="single" w:sz="4" w:space="0" w:color="A6A6A6"/>
              <w:bottom w:val="single" w:sz="4" w:space="0" w:color="A6A6A6"/>
            </w:tcBorders>
            <w:shd w:val="clear" w:color="auto" w:fill="E7E6E6"/>
            <w:noWrap/>
          </w:tcPr>
          <w:p w14:paraId="0E74D836" w14:textId="77777777" w:rsidR="005B131E" w:rsidRPr="00BA7805" w:rsidRDefault="005B131E" w:rsidP="002542E1">
            <w:pPr>
              <w:pStyle w:val="ARfintablebodyright"/>
              <w:spacing w:before="30"/>
              <w:rPr>
                <w:highlight w:val="green"/>
              </w:rPr>
            </w:pPr>
            <w:r w:rsidRPr="00A63A7A">
              <w:t>2.1</w:t>
            </w:r>
          </w:p>
        </w:tc>
        <w:tc>
          <w:tcPr>
            <w:tcW w:w="1361" w:type="dxa"/>
            <w:tcBorders>
              <w:top w:val="single" w:sz="4" w:space="0" w:color="A6A6A6"/>
              <w:bottom w:val="single" w:sz="4" w:space="0" w:color="A6A6A6"/>
            </w:tcBorders>
            <w:noWrap/>
          </w:tcPr>
          <w:p w14:paraId="33974E2F" w14:textId="77777777" w:rsidR="005B131E" w:rsidRPr="00BA7805" w:rsidRDefault="005B131E" w:rsidP="002542E1">
            <w:pPr>
              <w:pStyle w:val="ARfintablebodyright"/>
              <w:spacing w:before="30"/>
              <w:rPr>
                <w:highlight w:val="green"/>
              </w:rPr>
            </w:pPr>
            <w:r w:rsidRPr="00A63A7A">
              <w:t>2.3</w:t>
            </w:r>
          </w:p>
        </w:tc>
      </w:tr>
      <w:tr w:rsidR="005B131E" w:rsidRPr="00BA7805" w14:paraId="5972A914" w14:textId="77777777" w:rsidTr="00B84A49">
        <w:tc>
          <w:tcPr>
            <w:tcW w:w="9637" w:type="dxa"/>
            <w:gridSpan w:val="3"/>
            <w:tcBorders>
              <w:top w:val="single" w:sz="4" w:space="0" w:color="A6A6A6"/>
              <w:bottom w:val="single" w:sz="4" w:space="0" w:color="A6A6A6"/>
            </w:tcBorders>
          </w:tcPr>
          <w:p w14:paraId="4BBE2A89" w14:textId="77777777" w:rsidR="005B131E" w:rsidRPr="00BA7805" w:rsidRDefault="005B131E" w:rsidP="002542E1">
            <w:pPr>
              <w:pStyle w:val="ARfintablebody"/>
              <w:spacing w:before="30"/>
              <w:rPr>
                <w:highlight w:val="green"/>
              </w:rPr>
            </w:pPr>
            <w:r w:rsidRPr="007444FB">
              <w:t>Provisions for on-costs</w:t>
            </w:r>
          </w:p>
        </w:tc>
      </w:tr>
      <w:tr w:rsidR="005B131E" w:rsidRPr="00BA7805" w14:paraId="0C1D0EFF" w14:textId="77777777" w:rsidTr="00B84A49">
        <w:tc>
          <w:tcPr>
            <w:tcW w:w="6915" w:type="dxa"/>
            <w:tcBorders>
              <w:top w:val="single" w:sz="4" w:space="0" w:color="A6A6A6"/>
              <w:bottom w:val="single" w:sz="4" w:space="0" w:color="A6A6A6"/>
            </w:tcBorders>
          </w:tcPr>
          <w:p w14:paraId="1ECD3FE8" w14:textId="77777777" w:rsidR="005B131E" w:rsidRPr="00BA7805" w:rsidRDefault="005B131E" w:rsidP="002542E1">
            <w:pPr>
              <w:pStyle w:val="ARfintablebodyindent"/>
              <w:spacing w:before="30"/>
              <w:rPr>
                <w:highlight w:val="green"/>
              </w:rPr>
            </w:pPr>
            <w:r>
              <w:t xml:space="preserve"> </w:t>
            </w:r>
            <w:r w:rsidRPr="007444FB">
              <w:t>Unconditional and expected to be settled within 12 months</w:t>
            </w:r>
          </w:p>
        </w:tc>
        <w:tc>
          <w:tcPr>
            <w:tcW w:w="1361" w:type="dxa"/>
            <w:tcBorders>
              <w:top w:val="single" w:sz="4" w:space="0" w:color="A6A6A6"/>
              <w:bottom w:val="single" w:sz="4" w:space="0" w:color="A6A6A6"/>
            </w:tcBorders>
            <w:shd w:val="clear" w:color="auto" w:fill="E7E6E6"/>
            <w:noWrap/>
          </w:tcPr>
          <w:p w14:paraId="43196060" w14:textId="77777777" w:rsidR="005B131E" w:rsidRPr="00BA7805" w:rsidRDefault="005B131E" w:rsidP="002542E1">
            <w:pPr>
              <w:pStyle w:val="ARfintablebodyright"/>
              <w:spacing w:before="30"/>
              <w:rPr>
                <w:highlight w:val="green"/>
              </w:rPr>
            </w:pPr>
            <w:r w:rsidRPr="00A63A7A">
              <w:t>14.3</w:t>
            </w:r>
          </w:p>
        </w:tc>
        <w:tc>
          <w:tcPr>
            <w:tcW w:w="1361" w:type="dxa"/>
            <w:tcBorders>
              <w:top w:val="single" w:sz="4" w:space="0" w:color="A6A6A6"/>
              <w:bottom w:val="single" w:sz="4" w:space="0" w:color="A6A6A6"/>
            </w:tcBorders>
            <w:noWrap/>
          </w:tcPr>
          <w:p w14:paraId="3F932C73" w14:textId="77777777" w:rsidR="005B131E" w:rsidRPr="00BA7805" w:rsidRDefault="005B131E" w:rsidP="002542E1">
            <w:pPr>
              <w:pStyle w:val="ARfintablebodyright"/>
              <w:spacing w:before="30"/>
              <w:rPr>
                <w:highlight w:val="green"/>
              </w:rPr>
            </w:pPr>
            <w:r w:rsidRPr="00A63A7A">
              <w:t>13.2</w:t>
            </w:r>
          </w:p>
        </w:tc>
      </w:tr>
      <w:tr w:rsidR="005B131E" w:rsidRPr="00BA7805" w14:paraId="20E8D0DA" w14:textId="77777777" w:rsidTr="00B84A49">
        <w:tc>
          <w:tcPr>
            <w:tcW w:w="6915" w:type="dxa"/>
            <w:tcBorders>
              <w:top w:val="single" w:sz="4" w:space="0" w:color="A6A6A6"/>
            </w:tcBorders>
          </w:tcPr>
          <w:p w14:paraId="51D51099" w14:textId="77777777" w:rsidR="005B131E" w:rsidRPr="00BA7805" w:rsidRDefault="005B131E" w:rsidP="002542E1">
            <w:pPr>
              <w:pStyle w:val="ARfintablebodyindent"/>
              <w:spacing w:before="30"/>
              <w:rPr>
                <w:highlight w:val="green"/>
              </w:rPr>
            </w:pPr>
            <w:r>
              <w:t xml:space="preserve"> </w:t>
            </w:r>
            <w:r w:rsidRPr="007444FB">
              <w:t>Unconditional and expected to be settled after 12 months</w:t>
            </w:r>
          </w:p>
        </w:tc>
        <w:tc>
          <w:tcPr>
            <w:tcW w:w="1361" w:type="dxa"/>
            <w:tcBorders>
              <w:top w:val="single" w:sz="4" w:space="0" w:color="A6A6A6"/>
            </w:tcBorders>
            <w:shd w:val="clear" w:color="auto" w:fill="E7E6E6"/>
            <w:noWrap/>
          </w:tcPr>
          <w:p w14:paraId="75EA8DC1" w14:textId="77777777" w:rsidR="005B131E" w:rsidRPr="00BA7805" w:rsidRDefault="005B131E" w:rsidP="002542E1">
            <w:pPr>
              <w:pStyle w:val="ARfintablebodyright"/>
              <w:spacing w:before="30"/>
              <w:rPr>
                <w:highlight w:val="green"/>
              </w:rPr>
            </w:pPr>
            <w:r w:rsidRPr="00A63A7A">
              <w:t>27.9</w:t>
            </w:r>
          </w:p>
        </w:tc>
        <w:tc>
          <w:tcPr>
            <w:tcW w:w="1361" w:type="dxa"/>
            <w:tcBorders>
              <w:top w:val="single" w:sz="4" w:space="0" w:color="A6A6A6"/>
            </w:tcBorders>
            <w:noWrap/>
          </w:tcPr>
          <w:p w14:paraId="424D0C97" w14:textId="77777777" w:rsidR="005B131E" w:rsidRPr="00BA7805" w:rsidRDefault="005B131E" w:rsidP="002542E1">
            <w:pPr>
              <w:pStyle w:val="ARfintablebodyright"/>
              <w:spacing w:before="30"/>
              <w:rPr>
                <w:highlight w:val="green"/>
              </w:rPr>
            </w:pPr>
            <w:r w:rsidRPr="00A63A7A">
              <w:t>26.1</w:t>
            </w:r>
          </w:p>
        </w:tc>
      </w:tr>
      <w:tr w:rsidR="005B131E" w:rsidRPr="00BA7805" w14:paraId="070B953E" w14:textId="77777777" w:rsidTr="00B84A49">
        <w:tc>
          <w:tcPr>
            <w:tcW w:w="6915" w:type="dxa"/>
            <w:tcBorders>
              <w:bottom w:val="single" w:sz="4" w:space="0" w:color="auto"/>
            </w:tcBorders>
          </w:tcPr>
          <w:p w14:paraId="1EA1066D" w14:textId="77777777" w:rsidR="005B131E" w:rsidRPr="00BA7805" w:rsidRDefault="005B131E" w:rsidP="002542E1">
            <w:pPr>
              <w:pStyle w:val="ARfintablebodybold"/>
              <w:spacing w:before="30"/>
              <w:rPr>
                <w:highlight w:val="green"/>
              </w:rPr>
            </w:pPr>
            <w:r w:rsidRPr="007444FB">
              <w:t>Total current provisions for employee benefits</w:t>
            </w:r>
          </w:p>
        </w:tc>
        <w:tc>
          <w:tcPr>
            <w:tcW w:w="1361" w:type="dxa"/>
            <w:tcBorders>
              <w:bottom w:val="single" w:sz="4" w:space="0" w:color="auto"/>
            </w:tcBorders>
            <w:shd w:val="clear" w:color="auto" w:fill="E7E6E6"/>
            <w:noWrap/>
          </w:tcPr>
          <w:p w14:paraId="22804529" w14:textId="77777777" w:rsidR="005B131E" w:rsidRPr="00BA7805" w:rsidRDefault="005B131E" w:rsidP="002542E1">
            <w:pPr>
              <w:pStyle w:val="ARfintablebodyrightbold"/>
              <w:spacing w:before="30"/>
              <w:rPr>
                <w:highlight w:val="green"/>
              </w:rPr>
            </w:pPr>
            <w:r w:rsidRPr="00A63A7A">
              <w:t>252.3</w:t>
            </w:r>
          </w:p>
        </w:tc>
        <w:tc>
          <w:tcPr>
            <w:tcW w:w="1361" w:type="dxa"/>
            <w:tcBorders>
              <w:bottom w:val="single" w:sz="4" w:space="0" w:color="auto"/>
            </w:tcBorders>
            <w:noWrap/>
          </w:tcPr>
          <w:p w14:paraId="2DEA0D43" w14:textId="77777777" w:rsidR="005B131E" w:rsidRPr="00BA7805" w:rsidRDefault="005B131E" w:rsidP="002542E1">
            <w:pPr>
              <w:pStyle w:val="ARfintablebodyrightbold"/>
              <w:spacing w:before="30"/>
              <w:rPr>
                <w:highlight w:val="green"/>
              </w:rPr>
            </w:pPr>
            <w:r w:rsidRPr="00A63A7A">
              <w:t>250.7</w:t>
            </w:r>
          </w:p>
        </w:tc>
      </w:tr>
      <w:tr w:rsidR="005B131E" w:rsidRPr="00BA7805" w14:paraId="73281394" w14:textId="77777777" w:rsidTr="00B84A49">
        <w:tc>
          <w:tcPr>
            <w:tcW w:w="9637" w:type="dxa"/>
            <w:gridSpan w:val="3"/>
            <w:tcBorders>
              <w:top w:val="single" w:sz="4" w:space="0" w:color="auto"/>
              <w:bottom w:val="single" w:sz="4" w:space="0" w:color="A6A6A6"/>
            </w:tcBorders>
          </w:tcPr>
          <w:p w14:paraId="62690D17" w14:textId="77777777" w:rsidR="005B131E" w:rsidRPr="00BA7805" w:rsidRDefault="005B131E" w:rsidP="002542E1">
            <w:pPr>
              <w:pStyle w:val="ARfintablebodybold"/>
              <w:spacing w:before="30"/>
              <w:rPr>
                <w:highlight w:val="green"/>
              </w:rPr>
            </w:pPr>
            <w:r w:rsidRPr="0081227D">
              <w:t>Non-current provisions</w:t>
            </w:r>
          </w:p>
        </w:tc>
      </w:tr>
      <w:tr w:rsidR="005B131E" w:rsidRPr="00BA7805" w14:paraId="02860527" w14:textId="77777777" w:rsidTr="00B84A49">
        <w:tc>
          <w:tcPr>
            <w:tcW w:w="6915" w:type="dxa"/>
            <w:tcBorders>
              <w:top w:val="single" w:sz="4" w:space="0" w:color="A6A6A6"/>
              <w:bottom w:val="single" w:sz="4" w:space="0" w:color="A6A6A6"/>
            </w:tcBorders>
          </w:tcPr>
          <w:p w14:paraId="63840801" w14:textId="77777777" w:rsidR="005B131E" w:rsidRPr="00BA7805" w:rsidRDefault="005B131E" w:rsidP="002542E1">
            <w:pPr>
              <w:pStyle w:val="ARfintablebody"/>
              <w:spacing w:before="30"/>
              <w:rPr>
                <w:highlight w:val="green"/>
              </w:rPr>
            </w:pPr>
            <w:r w:rsidRPr="0081227D">
              <w:t>Conditional long service leave entitlements</w:t>
            </w:r>
          </w:p>
        </w:tc>
        <w:tc>
          <w:tcPr>
            <w:tcW w:w="1361" w:type="dxa"/>
            <w:tcBorders>
              <w:top w:val="single" w:sz="4" w:space="0" w:color="A6A6A6"/>
              <w:bottom w:val="single" w:sz="4" w:space="0" w:color="A6A6A6"/>
            </w:tcBorders>
            <w:shd w:val="clear" w:color="auto" w:fill="E7E6E6"/>
            <w:noWrap/>
          </w:tcPr>
          <w:p w14:paraId="5B33F64A" w14:textId="77777777" w:rsidR="005B131E" w:rsidRPr="00BA7805" w:rsidRDefault="005B131E" w:rsidP="002542E1">
            <w:pPr>
              <w:pStyle w:val="ARfintablebodyright"/>
              <w:spacing w:before="30"/>
              <w:rPr>
                <w:highlight w:val="green"/>
              </w:rPr>
            </w:pPr>
            <w:r w:rsidRPr="00F30D92">
              <w:t>23.5</w:t>
            </w:r>
          </w:p>
        </w:tc>
        <w:tc>
          <w:tcPr>
            <w:tcW w:w="1361" w:type="dxa"/>
            <w:tcBorders>
              <w:top w:val="single" w:sz="4" w:space="0" w:color="A6A6A6"/>
              <w:bottom w:val="single" w:sz="4" w:space="0" w:color="A6A6A6"/>
            </w:tcBorders>
            <w:noWrap/>
          </w:tcPr>
          <w:p w14:paraId="737C4C3F" w14:textId="77777777" w:rsidR="005B131E" w:rsidRPr="00BA7805" w:rsidRDefault="005B131E" w:rsidP="002542E1">
            <w:pPr>
              <w:pStyle w:val="ARfintablebodyright"/>
              <w:spacing w:before="30"/>
              <w:rPr>
                <w:highlight w:val="green"/>
              </w:rPr>
            </w:pPr>
            <w:r w:rsidRPr="00F30D92">
              <w:t>23.1</w:t>
            </w:r>
          </w:p>
        </w:tc>
      </w:tr>
      <w:tr w:rsidR="005B131E" w:rsidRPr="00BA7805" w14:paraId="3D8EDADD" w14:textId="77777777" w:rsidTr="00B84A49">
        <w:tc>
          <w:tcPr>
            <w:tcW w:w="6915" w:type="dxa"/>
            <w:tcBorders>
              <w:top w:val="single" w:sz="4" w:space="0" w:color="A6A6A6"/>
              <w:bottom w:val="single" w:sz="4" w:space="0" w:color="A6A6A6"/>
            </w:tcBorders>
          </w:tcPr>
          <w:p w14:paraId="6A804ACF" w14:textId="77777777" w:rsidR="005B131E" w:rsidRPr="00BA7805" w:rsidRDefault="005B131E" w:rsidP="002542E1">
            <w:pPr>
              <w:pStyle w:val="ARfintablebody"/>
              <w:spacing w:before="30"/>
              <w:rPr>
                <w:highlight w:val="green"/>
              </w:rPr>
            </w:pPr>
            <w:r w:rsidRPr="0081227D">
              <w:t>Superannuation</w:t>
            </w:r>
          </w:p>
        </w:tc>
        <w:tc>
          <w:tcPr>
            <w:tcW w:w="1361" w:type="dxa"/>
            <w:tcBorders>
              <w:top w:val="single" w:sz="4" w:space="0" w:color="A6A6A6"/>
              <w:bottom w:val="single" w:sz="4" w:space="0" w:color="A6A6A6"/>
            </w:tcBorders>
            <w:shd w:val="clear" w:color="auto" w:fill="E7E6E6"/>
            <w:noWrap/>
          </w:tcPr>
          <w:p w14:paraId="56C2D665" w14:textId="77777777" w:rsidR="005B131E" w:rsidRPr="00BA7805" w:rsidRDefault="005B131E" w:rsidP="002542E1">
            <w:pPr>
              <w:pStyle w:val="ARfintablebodyright"/>
              <w:spacing w:before="30"/>
              <w:rPr>
                <w:highlight w:val="green"/>
              </w:rPr>
            </w:pPr>
            <w:r w:rsidRPr="00F30D92">
              <w:t>18.2</w:t>
            </w:r>
          </w:p>
        </w:tc>
        <w:tc>
          <w:tcPr>
            <w:tcW w:w="1361" w:type="dxa"/>
            <w:tcBorders>
              <w:top w:val="single" w:sz="4" w:space="0" w:color="A6A6A6"/>
              <w:bottom w:val="single" w:sz="4" w:space="0" w:color="A6A6A6"/>
            </w:tcBorders>
            <w:noWrap/>
          </w:tcPr>
          <w:p w14:paraId="0BA7C074" w14:textId="77777777" w:rsidR="005B131E" w:rsidRPr="00BA7805" w:rsidRDefault="005B131E" w:rsidP="002542E1">
            <w:pPr>
              <w:pStyle w:val="ARfintablebodyright"/>
              <w:spacing w:before="30"/>
              <w:rPr>
                <w:highlight w:val="green"/>
              </w:rPr>
            </w:pPr>
            <w:r w:rsidRPr="00F30D92">
              <w:t>22.4</w:t>
            </w:r>
          </w:p>
        </w:tc>
      </w:tr>
      <w:tr w:rsidR="005B131E" w:rsidRPr="00BA7805" w14:paraId="7C9E2A84" w14:textId="77777777" w:rsidTr="00B84A49">
        <w:tc>
          <w:tcPr>
            <w:tcW w:w="6915" w:type="dxa"/>
            <w:tcBorders>
              <w:top w:val="single" w:sz="4" w:space="0" w:color="A6A6A6"/>
            </w:tcBorders>
          </w:tcPr>
          <w:p w14:paraId="2C6F1705" w14:textId="77777777" w:rsidR="005B131E" w:rsidRPr="00BA7805" w:rsidRDefault="005B131E" w:rsidP="002542E1">
            <w:pPr>
              <w:pStyle w:val="ARfintablebody"/>
              <w:spacing w:before="30"/>
              <w:rPr>
                <w:highlight w:val="green"/>
              </w:rPr>
            </w:pPr>
            <w:r w:rsidRPr="0081227D">
              <w:t>Provisions for on-costs</w:t>
            </w:r>
          </w:p>
        </w:tc>
        <w:tc>
          <w:tcPr>
            <w:tcW w:w="1361" w:type="dxa"/>
            <w:tcBorders>
              <w:top w:val="single" w:sz="4" w:space="0" w:color="A6A6A6"/>
            </w:tcBorders>
            <w:shd w:val="clear" w:color="auto" w:fill="E7E6E6"/>
            <w:noWrap/>
          </w:tcPr>
          <w:p w14:paraId="3CD2E047" w14:textId="77777777" w:rsidR="005B131E" w:rsidRPr="00BA7805" w:rsidRDefault="005B131E" w:rsidP="002542E1">
            <w:pPr>
              <w:pStyle w:val="ARfintablebodyright"/>
              <w:spacing w:before="30"/>
              <w:rPr>
                <w:highlight w:val="green"/>
              </w:rPr>
            </w:pPr>
            <w:r w:rsidRPr="00F30D92">
              <w:t>5.3</w:t>
            </w:r>
          </w:p>
        </w:tc>
        <w:tc>
          <w:tcPr>
            <w:tcW w:w="1361" w:type="dxa"/>
            <w:tcBorders>
              <w:top w:val="single" w:sz="4" w:space="0" w:color="A6A6A6"/>
            </w:tcBorders>
            <w:noWrap/>
          </w:tcPr>
          <w:p w14:paraId="00F2C5E2" w14:textId="77777777" w:rsidR="005B131E" w:rsidRPr="00BA7805" w:rsidRDefault="005B131E" w:rsidP="002542E1">
            <w:pPr>
              <w:pStyle w:val="ARfintablebodyright"/>
              <w:spacing w:before="30"/>
              <w:rPr>
                <w:highlight w:val="green"/>
              </w:rPr>
            </w:pPr>
            <w:r w:rsidRPr="00F30D92">
              <w:t>4.8</w:t>
            </w:r>
          </w:p>
        </w:tc>
      </w:tr>
      <w:tr w:rsidR="005B131E" w:rsidRPr="00BA7805" w14:paraId="0ECCF5CE" w14:textId="77777777" w:rsidTr="002542E1">
        <w:tc>
          <w:tcPr>
            <w:tcW w:w="6915" w:type="dxa"/>
          </w:tcPr>
          <w:p w14:paraId="5AD20BBB" w14:textId="77777777" w:rsidR="005B131E" w:rsidRPr="00BA7805" w:rsidRDefault="005B131E" w:rsidP="002542E1">
            <w:pPr>
              <w:pStyle w:val="ARfintablebodybold"/>
              <w:spacing w:before="30"/>
              <w:rPr>
                <w:highlight w:val="green"/>
              </w:rPr>
            </w:pPr>
            <w:r w:rsidRPr="0081227D">
              <w:t>Total non-current provisions for employee benefits</w:t>
            </w:r>
          </w:p>
        </w:tc>
        <w:tc>
          <w:tcPr>
            <w:tcW w:w="1361" w:type="dxa"/>
            <w:shd w:val="clear" w:color="auto" w:fill="E7E6E6" w:themeFill="accent4"/>
            <w:noWrap/>
          </w:tcPr>
          <w:p w14:paraId="4718DB07" w14:textId="77777777" w:rsidR="005B131E" w:rsidRPr="00BA7805" w:rsidRDefault="005B131E" w:rsidP="002542E1">
            <w:pPr>
              <w:pStyle w:val="ARfintablebodyrightbold"/>
              <w:spacing w:before="30"/>
              <w:rPr>
                <w:highlight w:val="green"/>
              </w:rPr>
            </w:pPr>
            <w:r w:rsidRPr="00F30D92">
              <w:t>47.0</w:t>
            </w:r>
          </w:p>
        </w:tc>
        <w:tc>
          <w:tcPr>
            <w:tcW w:w="1361" w:type="dxa"/>
            <w:noWrap/>
          </w:tcPr>
          <w:p w14:paraId="1F976A12" w14:textId="77777777" w:rsidR="005B131E" w:rsidRPr="00BA7805" w:rsidRDefault="005B131E" w:rsidP="002542E1">
            <w:pPr>
              <w:pStyle w:val="ARfintablebodyrightbold"/>
              <w:spacing w:before="30"/>
              <w:rPr>
                <w:highlight w:val="green"/>
              </w:rPr>
            </w:pPr>
            <w:r w:rsidRPr="00F30D92">
              <w:t>50.3</w:t>
            </w:r>
          </w:p>
        </w:tc>
      </w:tr>
      <w:tr w:rsidR="005B131E" w:rsidRPr="00BA7805" w14:paraId="4D1221DC" w14:textId="77777777" w:rsidTr="00B84A49">
        <w:tc>
          <w:tcPr>
            <w:tcW w:w="6915" w:type="dxa"/>
          </w:tcPr>
          <w:p w14:paraId="67FE9B54" w14:textId="77777777" w:rsidR="005B131E" w:rsidRPr="00BA7805" w:rsidRDefault="005B131E" w:rsidP="002542E1">
            <w:pPr>
              <w:pStyle w:val="ARfintablebodybold"/>
              <w:spacing w:before="30"/>
              <w:rPr>
                <w:highlight w:val="green"/>
              </w:rPr>
            </w:pPr>
            <w:r w:rsidRPr="0081227D">
              <w:t>Total provisions for employee benefits</w:t>
            </w:r>
          </w:p>
        </w:tc>
        <w:tc>
          <w:tcPr>
            <w:tcW w:w="1361" w:type="dxa"/>
            <w:shd w:val="clear" w:color="auto" w:fill="E7E6E6"/>
            <w:noWrap/>
          </w:tcPr>
          <w:p w14:paraId="2D99C7E6" w14:textId="77777777" w:rsidR="005B131E" w:rsidRPr="00BA7805" w:rsidRDefault="005B131E" w:rsidP="002542E1">
            <w:pPr>
              <w:pStyle w:val="ARfintablebodyrightbold"/>
              <w:spacing w:before="30"/>
              <w:rPr>
                <w:highlight w:val="green"/>
              </w:rPr>
            </w:pPr>
            <w:r w:rsidRPr="00F30D92">
              <w:t>299.3</w:t>
            </w:r>
          </w:p>
        </w:tc>
        <w:tc>
          <w:tcPr>
            <w:tcW w:w="1361" w:type="dxa"/>
            <w:noWrap/>
          </w:tcPr>
          <w:p w14:paraId="7F9688FC" w14:textId="77777777" w:rsidR="005B131E" w:rsidRPr="00BA7805" w:rsidRDefault="005B131E" w:rsidP="002542E1">
            <w:pPr>
              <w:pStyle w:val="ARfintablebodyrightbold"/>
              <w:spacing w:before="30"/>
              <w:rPr>
                <w:highlight w:val="green"/>
              </w:rPr>
            </w:pPr>
            <w:r w:rsidRPr="00F30D92">
              <w:t>301.0</w:t>
            </w:r>
          </w:p>
        </w:tc>
      </w:tr>
    </w:tbl>
    <w:p w14:paraId="4BA9C791" w14:textId="77777777" w:rsidR="005B131E" w:rsidRDefault="005B131E" w:rsidP="002542E1">
      <w:pPr>
        <w:pStyle w:val="ARfinbodyaftertable"/>
      </w:pPr>
      <w:r w:rsidRPr="001833A5">
        <w:rPr>
          <w:rStyle w:val="Strong"/>
        </w:rPr>
        <w:t>Sick leave:</w:t>
      </w:r>
      <w:r>
        <w:t xml:space="preserve"> No provision has been made for sick leave as all sick leave is non-vesting and it is not considered probable that the average sick leave taken in the future will be greater than the benefits accrued in the future. As sick leave is non-vesting, an expense is recognised in the comprehensive operating statement as it is taken.</w:t>
      </w:r>
    </w:p>
    <w:p w14:paraId="4B59ECED" w14:textId="7535BFA2" w:rsidR="005B131E" w:rsidRDefault="005B131E" w:rsidP="002542E1">
      <w:pPr>
        <w:pStyle w:val="ARfinbody"/>
      </w:pPr>
      <w:r w:rsidRPr="001833A5">
        <w:rPr>
          <w:rStyle w:val="Strong"/>
        </w:rPr>
        <w:t>Employment on-cost:</w:t>
      </w:r>
      <w:r>
        <w:t xml:space="preserve"> Employment on-costs such as payroll tax, workers</w:t>
      </w:r>
      <w:r w:rsidR="00711AE6">
        <w:t>’</w:t>
      </w:r>
      <w:r>
        <w:t xml:space="preserve"> compensation and superannuation are not employee benefits. They are disclosed separately as a component of the provision for employee benefits when the employment to which they relate has occurred. </w:t>
      </w:r>
    </w:p>
    <w:p w14:paraId="53E3257A" w14:textId="77777777" w:rsidR="005B131E" w:rsidRDefault="005B131E" w:rsidP="002542E1">
      <w:pPr>
        <w:pStyle w:val="ARfinbody"/>
      </w:pPr>
      <w:r w:rsidRPr="001833A5">
        <w:rPr>
          <w:rStyle w:val="Strong"/>
        </w:rPr>
        <w:t>Unconditional LSL</w:t>
      </w:r>
      <w:r>
        <w:t xml:space="preserve"> is disclosed as a current liability; even where the department does not expect to settle the liability within 12 months because it will not have the unconditional right to defer the settlement of the entitlement should an employee take leave within 12 months. </w:t>
      </w:r>
    </w:p>
    <w:p w14:paraId="4C2189F1" w14:textId="77777777" w:rsidR="005B131E" w:rsidRDefault="005B131E" w:rsidP="002542E1">
      <w:pPr>
        <w:pStyle w:val="ARfinbody"/>
      </w:pPr>
      <w:r>
        <w:t>The components of this current LSL liability are measured at present value where the department does not expect to wholly settle within 12 months. The components of current LSL liability are measured at nominal value where the department expects to settle within 12 months.</w:t>
      </w:r>
    </w:p>
    <w:p w14:paraId="3DB5CD79" w14:textId="77777777" w:rsidR="005B131E" w:rsidRDefault="005B131E" w:rsidP="002542E1">
      <w:pPr>
        <w:pStyle w:val="ARfinbody"/>
      </w:pPr>
      <w:r w:rsidRPr="001833A5">
        <w:rPr>
          <w:rStyle w:val="Strong"/>
        </w:rPr>
        <w:t>Conditional LSL</w:t>
      </w:r>
      <w:r>
        <w:t xml:space="preserve"> is disclosed as a non-current liability. There is an unconditional right to defer the settlement of the entitlement until the employee has completed the requisite years of service. This non-current LSL liability is measured at present value. </w:t>
      </w:r>
    </w:p>
    <w:p w14:paraId="02987C85" w14:textId="35C88367" w:rsidR="005B131E" w:rsidRDefault="005B131E" w:rsidP="002542E1">
      <w:pPr>
        <w:pStyle w:val="ARfinbody"/>
      </w:pPr>
      <w:r>
        <w:t xml:space="preserve">Any gain or loss following the revaluation of the present value of non-current LSL liability is recognised as a transaction, except to the extent that a gain or loss arises due to changes in bond interest rates for which it is then recognised as an </w:t>
      </w:r>
      <w:r w:rsidR="00711AE6">
        <w:t>‘</w:t>
      </w:r>
      <w:r>
        <w:t>other economic flow</w:t>
      </w:r>
      <w:r w:rsidR="00711AE6">
        <w:t>’</w:t>
      </w:r>
      <w:r>
        <w:t xml:space="preserve"> in the net result.</w:t>
      </w:r>
    </w:p>
    <w:p w14:paraId="2EED9A76" w14:textId="77777777" w:rsidR="005B131E" w:rsidRDefault="005B131E" w:rsidP="002542E1">
      <w:pPr>
        <w:pStyle w:val="Heading7"/>
        <w:rPr>
          <w:highlight w:val="green"/>
        </w:rPr>
      </w:pPr>
      <w:r w:rsidRPr="00E45616">
        <w:t xml:space="preserve">Provisions for superannuation </w:t>
      </w:r>
      <w:r>
        <w:t>–</w:t>
      </w:r>
      <w:r w:rsidRPr="00E45616">
        <w:t xml:space="preserve"> Defined benefit obligation</w:t>
      </w:r>
    </w:p>
    <w:p w14:paraId="6C4B77C9" w14:textId="77777777" w:rsidR="005B131E" w:rsidRDefault="005B131E" w:rsidP="002542E1">
      <w:pPr>
        <w:pStyle w:val="ARfinbody"/>
      </w:pPr>
      <w:r>
        <w:t xml:space="preserve">The department reports a liability for unfunded superannuation in respect of former employees of Homes Victoria for the shortfall of superannuation benefits paid to former housing staff who retired or resigned on or before 14 December 1987 or were employed by Homes Victoria as at 14 December 1987 and retired or resigned prior to or on 30 June 1994. </w:t>
      </w:r>
    </w:p>
    <w:p w14:paraId="263F3F79" w14:textId="77777777" w:rsidR="005B131E" w:rsidRDefault="005B131E" w:rsidP="002542E1">
      <w:pPr>
        <w:pStyle w:val="ARfinbody"/>
      </w:pPr>
      <w:r>
        <w:t>In accordance with the requirements of Financial Reporting Directions (FRD) 112, Homes Victoria is required to recognise defined benefit liabilities or surpluses of defined benefit plans in accordance with the requirements of AASB119.</w:t>
      </w:r>
    </w:p>
    <w:p w14:paraId="6372DCB2" w14:textId="77777777" w:rsidR="005B131E" w:rsidRPr="00BA7805" w:rsidRDefault="005B131E" w:rsidP="002542E1">
      <w:pPr>
        <w:pStyle w:val="ARfinbodylargespace"/>
        <w:rPr>
          <w:highlight w:val="green"/>
        </w:rPr>
      </w:pPr>
      <w:r>
        <w:t>This liability represents the shortfall between the total net assets of the superannuation fund at 30 June 2024 and the total benefits that members have accrued up to that date, determined by an actuarial assessment. Information relating to the fund based on the latest actuarial assessment for 30 June 2024 is set out below. The amount expensed in respect of unfunded superannuation represents the contributions made by the department to the superannuation fund, adjusted by the movement in the liability or asset.</w:t>
      </w:r>
    </w:p>
    <w:tbl>
      <w:tblPr>
        <w:tblStyle w:val="TableGrid"/>
        <w:tblW w:w="9639" w:type="dxa"/>
        <w:tblLayout w:type="fixed"/>
        <w:tblLook w:val="06A0" w:firstRow="1" w:lastRow="0" w:firstColumn="1" w:lastColumn="0" w:noHBand="1" w:noVBand="1"/>
      </w:tblPr>
      <w:tblGrid>
        <w:gridCol w:w="6917"/>
        <w:gridCol w:w="1361"/>
        <w:gridCol w:w="1361"/>
      </w:tblGrid>
      <w:tr w:rsidR="005B131E" w:rsidRPr="00BA7805" w14:paraId="10C785D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48898D67" w14:textId="77777777" w:rsidR="005B131E" w:rsidRPr="00BA7805" w:rsidRDefault="005B131E">
            <w:pPr>
              <w:pStyle w:val="ARfintablecolhead"/>
              <w:spacing w:before="36"/>
              <w:rPr>
                <w:highlight w:val="green"/>
              </w:rPr>
            </w:pPr>
          </w:p>
        </w:tc>
        <w:tc>
          <w:tcPr>
            <w:tcW w:w="1361" w:type="dxa"/>
            <w:tcBorders>
              <w:bottom w:val="single" w:sz="4" w:space="0" w:color="auto"/>
            </w:tcBorders>
            <w:shd w:val="clear" w:color="auto" w:fill="E7E6E6" w:themeFill="accent4"/>
            <w:hideMark/>
          </w:tcPr>
          <w:p w14:paraId="6002821B" w14:textId="77777777" w:rsidR="005B131E" w:rsidRPr="006C740D" w:rsidRDefault="005B131E">
            <w:pPr>
              <w:pStyle w:val="ARfintablecolheadright"/>
            </w:pPr>
            <w:r w:rsidRPr="006C740D">
              <w:t>2024</w:t>
            </w:r>
          </w:p>
          <w:p w14:paraId="5B462FE8" w14:textId="77777777" w:rsidR="005B131E" w:rsidRPr="006C740D" w:rsidRDefault="005B131E">
            <w:pPr>
              <w:pStyle w:val="ARfintablecolheadright"/>
              <w:spacing w:before="36"/>
            </w:pPr>
            <w:r w:rsidRPr="006C740D">
              <w:t>$M</w:t>
            </w:r>
          </w:p>
        </w:tc>
        <w:tc>
          <w:tcPr>
            <w:tcW w:w="1361" w:type="dxa"/>
            <w:tcBorders>
              <w:bottom w:val="single" w:sz="4" w:space="0" w:color="auto"/>
            </w:tcBorders>
          </w:tcPr>
          <w:p w14:paraId="2EA8B8EA" w14:textId="77777777" w:rsidR="005B131E" w:rsidRPr="006C740D" w:rsidRDefault="005B131E">
            <w:pPr>
              <w:pStyle w:val="ARfintablecolheadright"/>
            </w:pPr>
            <w:r w:rsidRPr="006C740D">
              <w:t>2023</w:t>
            </w:r>
          </w:p>
          <w:p w14:paraId="19CAB67C" w14:textId="77777777" w:rsidR="005B131E" w:rsidRPr="006C740D" w:rsidRDefault="005B131E">
            <w:pPr>
              <w:pStyle w:val="ARfintablecolheadright"/>
              <w:spacing w:before="36"/>
            </w:pPr>
            <w:r w:rsidRPr="006C740D">
              <w:t>$M</w:t>
            </w:r>
          </w:p>
        </w:tc>
      </w:tr>
      <w:tr w:rsidR="005B131E" w:rsidRPr="00BA7805" w14:paraId="03BE9457" w14:textId="77777777" w:rsidTr="002542E1">
        <w:trPr>
          <w:cantSplit w:val="0"/>
        </w:trPr>
        <w:tc>
          <w:tcPr>
            <w:tcW w:w="6917" w:type="dxa"/>
            <w:tcBorders>
              <w:top w:val="single" w:sz="4" w:space="0" w:color="auto"/>
              <w:bottom w:val="single" w:sz="4" w:space="0" w:color="A6A6A6" w:themeColor="background1" w:themeShade="A6"/>
            </w:tcBorders>
          </w:tcPr>
          <w:p w14:paraId="51667E4B" w14:textId="77777777" w:rsidR="005B131E" w:rsidRPr="00BA7805" w:rsidRDefault="005B131E" w:rsidP="002542E1">
            <w:pPr>
              <w:pStyle w:val="ARfintablebodybold"/>
              <w:spacing w:before="36"/>
              <w:rPr>
                <w:highlight w:val="green"/>
              </w:rPr>
            </w:pPr>
            <w:r w:rsidRPr="009950CA">
              <w:t>Reconciliation of the superannuation liability in the balance sheet</w:t>
            </w:r>
          </w:p>
        </w:tc>
        <w:tc>
          <w:tcPr>
            <w:tcW w:w="1361" w:type="dxa"/>
            <w:tcBorders>
              <w:top w:val="single" w:sz="4" w:space="0" w:color="auto"/>
              <w:bottom w:val="single" w:sz="4" w:space="0" w:color="A6A6A6" w:themeColor="background1" w:themeShade="A6"/>
            </w:tcBorders>
            <w:shd w:val="clear" w:color="auto" w:fill="E7E6E6" w:themeFill="accent4"/>
            <w:noWrap/>
          </w:tcPr>
          <w:p w14:paraId="6407E061" w14:textId="77777777" w:rsidR="005B131E" w:rsidRPr="00BA7805" w:rsidRDefault="005B131E" w:rsidP="002542E1">
            <w:pPr>
              <w:pStyle w:val="ARfintablebodyrightbold"/>
              <w:spacing w:before="36"/>
              <w:rPr>
                <w:highlight w:val="green"/>
              </w:rPr>
            </w:pPr>
          </w:p>
        </w:tc>
        <w:tc>
          <w:tcPr>
            <w:tcW w:w="1361" w:type="dxa"/>
            <w:tcBorders>
              <w:top w:val="single" w:sz="4" w:space="0" w:color="auto"/>
              <w:bottom w:val="single" w:sz="4" w:space="0" w:color="A6A6A6" w:themeColor="background1" w:themeShade="A6"/>
            </w:tcBorders>
          </w:tcPr>
          <w:p w14:paraId="1D37E0FA" w14:textId="77777777" w:rsidR="005B131E" w:rsidRPr="00BA7805" w:rsidRDefault="005B131E" w:rsidP="002542E1">
            <w:pPr>
              <w:pStyle w:val="ARfintablebodyrightbold"/>
              <w:spacing w:before="36"/>
              <w:rPr>
                <w:highlight w:val="green"/>
              </w:rPr>
            </w:pPr>
          </w:p>
        </w:tc>
      </w:tr>
      <w:tr w:rsidR="005B131E" w:rsidRPr="00BA7805" w14:paraId="60388630" w14:textId="77777777" w:rsidTr="002542E1">
        <w:trPr>
          <w:cantSplit w:val="0"/>
        </w:trPr>
        <w:tc>
          <w:tcPr>
            <w:tcW w:w="6917" w:type="dxa"/>
            <w:tcBorders>
              <w:top w:val="single" w:sz="4" w:space="0" w:color="A6A6A6" w:themeColor="background1" w:themeShade="A6"/>
              <w:bottom w:val="single" w:sz="4" w:space="0" w:color="000000" w:themeColor="text1"/>
            </w:tcBorders>
          </w:tcPr>
          <w:p w14:paraId="414D85F4" w14:textId="77777777" w:rsidR="005B131E" w:rsidRPr="00BA7805" w:rsidRDefault="005B131E" w:rsidP="002542E1">
            <w:pPr>
              <w:pStyle w:val="ARfintablebody"/>
              <w:spacing w:before="36"/>
              <w:rPr>
                <w:highlight w:val="green"/>
              </w:rPr>
            </w:pPr>
            <w:r w:rsidRPr="009950CA">
              <w:t>Defined benefit obligation</w:t>
            </w:r>
          </w:p>
        </w:tc>
        <w:tc>
          <w:tcPr>
            <w:tcW w:w="1361" w:type="dxa"/>
            <w:tcBorders>
              <w:top w:val="single" w:sz="4" w:space="0" w:color="A6A6A6" w:themeColor="background1" w:themeShade="A6"/>
              <w:bottom w:val="single" w:sz="4" w:space="0" w:color="000000" w:themeColor="text1"/>
            </w:tcBorders>
            <w:shd w:val="clear" w:color="auto" w:fill="E7E6E6" w:themeFill="accent4"/>
            <w:noWrap/>
          </w:tcPr>
          <w:p w14:paraId="5618ABE5" w14:textId="77777777" w:rsidR="005B131E" w:rsidRPr="00BA7805" w:rsidRDefault="005B131E" w:rsidP="002542E1">
            <w:pPr>
              <w:pStyle w:val="ARfintablebodyright"/>
              <w:spacing w:before="36"/>
              <w:rPr>
                <w:highlight w:val="green"/>
              </w:rPr>
            </w:pPr>
            <w:r w:rsidRPr="00516C09">
              <w:t>20.3</w:t>
            </w:r>
          </w:p>
        </w:tc>
        <w:tc>
          <w:tcPr>
            <w:tcW w:w="1361" w:type="dxa"/>
            <w:tcBorders>
              <w:top w:val="single" w:sz="4" w:space="0" w:color="A6A6A6" w:themeColor="background1" w:themeShade="A6"/>
              <w:bottom w:val="single" w:sz="4" w:space="0" w:color="000000" w:themeColor="text1"/>
            </w:tcBorders>
          </w:tcPr>
          <w:p w14:paraId="0B874A42" w14:textId="77777777" w:rsidR="005B131E" w:rsidRPr="00BA7805" w:rsidRDefault="005B131E" w:rsidP="002542E1">
            <w:pPr>
              <w:pStyle w:val="ARfintablebodyright"/>
              <w:spacing w:before="36"/>
              <w:rPr>
                <w:highlight w:val="green"/>
              </w:rPr>
            </w:pPr>
            <w:r w:rsidRPr="00516C09">
              <w:t>24.6</w:t>
            </w:r>
          </w:p>
        </w:tc>
      </w:tr>
      <w:tr w:rsidR="005B131E" w:rsidRPr="00BA7805" w14:paraId="169F0701" w14:textId="77777777" w:rsidTr="002542E1">
        <w:trPr>
          <w:cantSplit w:val="0"/>
        </w:trPr>
        <w:tc>
          <w:tcPr>
            <w:tcW w:w="6917" w:type="dxa"/>
            <w:tcBorders>
              <w:top w:val="single" w:sz="4" w:space="0" w:color="000000" w:themeColor="text1"/>
              <w:bottom w:val="single" w:sz="4" w:space="0" w:color="000000" w:themeColor="text1"/>
            </w:tcBorders>
          </w:tcPr>
          <w:p w14:paraId="7380D2D3" w14:textId="77777777" w:rsidR="005B131E" w:rsidRPr="00BA7805" w:rsidRDefault="005B131E" w:rsidP="002542E1">
            <w:pPr>
              <w:pStyle w:val="ARfintablebodybold"/>
              <w:rPr>
                <w:highlight w:val="green"/>
              </w:rPr>
            </w:pPr>
            <w:r w:rsidRPr="009950CA">
              <w:t>Net liability/(asset)</w:t>
            </w:r>
          </w:p>
        </w:tc>
        <w:tc>
          <w:tcPr>
            <w:tcW w:w="1361" w:type="dxa"/>
            <w:tcBorders>
              <w:top w:val="single" w:sz="4" w:space="0" w:color="000000" w:themeColor="text1"/>
              <w:bottom w:val="single" w:sz="4" w:space="0" w:color="000000" w:themeColor="text1"/>
            </w:tcBorders>
            <w:shd w:val="clear" w:color="auto" w:fill="E7E6E6" w:themeFill="accent4"/>
            <w:noWrap/>
          </w:tcPr>
          <w:p w14:paraId="3024DE5E" w14:textId="77777777" w:rsidR="005B131E" w:rsidRPr="00BA7805" w:rsidRDefault="005B131E" w:rsidP="002542E1">
            <w:pPr>
              <w:pStyle w:val="ARfintablebodyrightbold"/>
              <w:rPr>
                <w:highlight w:val="green"/>
              </w:rPr>
            </w:pPr>
            <w:r w:rsidRPr="00516C09">
              <w:t>20.3</w:t>
            </w:r>
          </w:p>
        </w:tc>
        <w:tc>
          <w:tcPr>
            <w:tcW w:w="1361" w:type="dxa"/>
            <w:tcBorders>
              <w:top w:val="single" w:sz="4" w:space="0" w:color="000000" w:themeColor="text1"/>
              <w:bottom w:val="single" w:sz="4" w:space="0" w:color="000000" w:themeColor="text1"/>
            </w:tcBorders>
          </w:tcPr>
          <w:p w14:paraId="11737D6A" w14:textId="77777777" w:rsidR="005B131E" w:rsidRPr="00BA7805" w:rsidRDefault="005B131E" w:rsidP="002542E1">
            <w:pPr>
              <w:pStyle w:val="ARfintablebodyrightbold"/>
              <w:rPr>
                <w:highlight w:val="green"/>
              </w:rPr>
            </w:pPr>
            <w:r w:rsidRPr="00516C09">
              <w:t>24.6</w:t>
            </w:r>
          </w:p>
        </w:tc>
      </w:tr>
      <w:tr w:rsidR="005B131E" w:rsidRPr="00BA7805" w14:paraId="5373E2EA" w14:textId="77777777" w:rsidTr="002542E1">
        <w:trPr>
          <w:cantSplit w:val="0"/>
        </w:trPr>
        <w:tc>
          <w:tcPr>
            <w:tcW w:w="6917" w:type="dxa"/>
            <w:tcBorders>
              <w:top w:val="single" w:sz="4" w:space="0" w:color="000000" w:themeColor="text1"/>
              <w:bottom w:val="single" w:sz="4" w:space="0" w:color="auto"/>
            </w:tcBorders>
          </w:tcPr>
          <w:p w14:paraId="6DDC6D61" w14:textId="77777777" w:rsidR="005B131E" w:rsidRPr="00BA7805" w:rsidRDefault="005B131E" w:rsidP="002542E1">
            <w:pPr>
              <w:pStyle w:val="ARfintablebodybold"/>
              <w:rPr>
                <w:highlight w:val="green"/>
              </w:rPr>
            </w:pPr>
            <w:r w:rsidRPr="009950CA">
              <w:t>Total obligation and liability in the balance sheet</w:t>
            </w:r>
          </w:p>
        </w:tc>
        <w:tc>
          <w:tcPr>
            <w:tcW w:w="1361" w:type="dxa"/>
            <w:tcBorders>
              <w:top w:val="single" w:sz="4" w:space="0" w:color="000000" w:themeColor="text1"/>
              <w:bottom w:val="single" w:sz="4" w:space="0" w:color="auto"/>
            </w:tcBorders>
            <w:shd w:val="clear" w:color="auto" w:fill="E7E6E6" w:themeFill="accent4"/>
            <w:noWrap/>
          </w:tcPr>
          <w:p w14:paraId="3C5D0F09" w14:textId="77777777" w:rsidR="005B131E" w:rsidRPr="00BA7805" w:rsidRDefault="005B131E" w:rsidP="002542E1">
            <w:pPr>
              <w:pStyle w:val="ARfintablebodyrightbold"/>
              <w:rPr>
                <w:highlight w:val="green"/>
              </w:rPr>
            </w:pPr>
            <w:r w:rsidRPr="00516C09">
              <w:t>20.3</w:t>
            </w:r>
          </w:p>
        </w:tc>
        <w:tc>
          <w:tcPr>
            <w:tcW w:w="1361" w:type="dxa"/>
            <w:tcBorders>
              <w:top w:val="single" w:sz="4" w:space="0" w:color="000000" w:themeColor="text1"/>
              <w:bottom w:val="single" w:sz="4" w:space="0" w:color="auto"/>
            </w:tcBorders>
          </w:tcPr>
          <w:p w14:paraId="59169C38" w14:textId="77777777" w:rsidR="005B131E" w:rsidRPr="00BA7805" w:rsidRDefault="005B131E" w:rsidP="002542E1">
            <w:pPr>
              <w:pStyle w:val="ARfintablebodyrightbold"/>
              <w:rPr>
                <w:highlight w:val="green"/>
              </w:rPr>
            </w:pPr>
            <w:r w:rsidRPr="00516C09">
              <w:t>24.6</w:t>
            </w:r>
          </w:p>
        </w:tc>
      </w:tr>
      <w:tr w:rsidR="005B131E" w:rsidRPr="00BA7805" w14:paraId="4B1EFF62" w14:textId="77777777" w:rsidTr="002542E1">
        <w:trPr>
          <w:cantSplit w:val="0"/>
        </w:trPr>
        <w:tc>
          <w:tcPr>
            <w:tcW w:w="9639" w:type="dxa"/>
            <w:gridSpan w:val="3"/>
            <w:tcBorders>
              <w:top w:val="single" w:sz="4" w:space="0" w:color="auto"/>
              <w:bottom w:val="single" w:sz="4" w:space="0" w:color="BFBFBF" w:themeColor="background1" w:themeShade="BF"/>
            </w:tcBorders>
          </w:tcPr>
          <w:p w14:paraId="1FD50B4B" w14:textId="77777777" w:rsidR="005B131E" w:rsidRPr="00BA7805" w:rsidRDefault="005B131E" w:rsidP="002542E1">
            <w:pPr>
              <w:pStyle w:val="ARfintablebodybold"/>
              <w:rPr>
                <w:highlight w:val="green"/>
              </w:rPr>
            </w:pPr>
            <w:r w:rsidRPr="002A3A2B">
              <w:t>Represented by:</w:t>
            </w:r>
          </w:p>
        </w:tc>
      </w:tr>
      <w:tr w:rsidR="005B131E" w:rsidRPr="00BA7805" w14:paraId="7BFF0797" w14:textId="77777777" w:rsidTr="002542E1">
        <w:trPr>
          <w:cantSplit w:val="0"/>
        </w:trPr>
        <w:tc>
          <w:tcPr>
            <w:tcW w:w="6917" w:type="dxa"/>
            <w:tcBorders>
              <w:top w:val="single" w:sz="4" w:space="0" w:color="BFBFBF" w:themeColor="background1" w:themeShade="BF"/>
              <w:bottom w:val="single" w:sz="4" w:space="0" w:color="BFBFBF" w:themeColor="background1" w:themeShade="BF"/>
            </w:tcBorders>
          </w:tcPr>
          <w:p w14:paraId="7F3822D9" w14:textId="77777777" w:rsidR="005B131E" w:rsidRPr="00BA7805" w:rsidRDefault="005B131E" w:rsidP="002542E1">
            <w:pPr>
              <w:pStyle w:val="ARfintablebody"/>
              <w:rPr>
                <w:highlight w:val="green"/>
              </w:rPr>
            </w:pPr>
            <w:r w:rsidRPr="002A3A2B">
              <w:t>Current liability</w:t>
            </w:r>
          </w:p>
        </w:tc>
        <w:tc>
          <w:tcPr>
            <w:tcW w:w="1361" w:type="dxa"/>
            <w:tcBorders>
              <w:top w:val="single" w:sz="4" w:space="0" w:color="BFBFBF" w:themeColor="background1" w:themeShade="BF"/>
              <w:bottom w:val="single" w:sz="4" w:space="0" w:color="BFBFBF" w:themeColor="background1" w:themeShade="BF"/>
            </w:tcBorders>
            <w:shd w:val="clear" w:color="auto" w:fill="E7E6E6" w:themeFill="accent4"/>
            <w:noWrap/>
          </w:tcPr>
          <w:p w14:paraId="279DCD47" w14:textId="77777777" w:rsidR="005B131E" w:rsidRPr="00BA7805" w:rsidRDefault="005B131E" w:rsidP="002542E1">
            <w:pPr>
              <w:pStyle w:val="ARfintablebodyright"/>
              <w:rPr>
                <w:highlight w:val="green"/>
              </w:rPr>
            </w:pPr>
            <w:r w:rsidRPr="001E25AB">
              <w:t>2.1</w:t>
            </w:r>
          </w:p>
        </w:tc>
        <w:tc>
          <w:tcPr>
            <w:tcW w:w="1361" w:type="dxa"/>
            <w:tcBorders>
              <w:top w:val="single" w:sz="4" w:space="0" w:color="BFBFBF" w:themeColor="background1" w:themeShade="BF"/>
              <w:bottom w:val="single" w:sz="4" w:space="0" w:color="BFBFBF" w:themeColor="background1" w:themeShade="BF"/>
            </w:tcBorders>
          </w:tcPr>
          <w:p w14:paraId="6BD8ECBD" w14:textId="77777777" w:rsidR="005B131E" w:rsidRPr="00BA7805" w:rsidRDefault="005B131E" w:rsidP="002542E1">
            <w:pPr>
              <w:pStyle w:val="ARfintablebodyright"/>
              <w:rPr>
                <w:highlight w:val="green"/>
              </w:rPr>
            </w:pPr>
            <w:r w:rsidRPr="001E25AB">
              <w:t>2.3</w:t>
            </w:r>
          </w:p>
        </w:tc>
      </w:tr>
      <w:tr w:rsidR="005B131E" w:rsidRPr="00BA7805" w14:paraId="6E97E2A1" w14:textId="77777777" w:rsidTr="002542E1">
        <w:trPr>
          <w:cantSplit w:val="0"/>
        </w:trPr>
        <w:tc>
          <w:tcPr>
            <w:tcW w:w="6917" w:type="dxa"/>
            <w:tcBorders>
              <w:top w:val="single" w:sz="4" w:space="0" w:color="BFBFBF" w:themeColor="background1" w:themeShade="BF"/>
              <w:bottom w:val="single" w:sz="4" w:space="0" w:color="000000" w:themeColor="text1"/>
            </w:tcBorders>
          </w:tcPr>
          <w:p w14:paraId="01D332A8" w14:textId="77777777" w:rsidR="005B131E" w:rsidRPr="00BA7805" w:rsidRDefault="005B131E" w:rsidP="002542E1">
            <w:pPr>
              <w:pStyle w:val="ARfintablebody"/>
              <w:spacing w:before="36"/>
              <w:rPr>
                <w:highlight w:val="green"/>
              </w:rPr>
            </w:pPr>
            <w:r w:rsidRPr="002A3A2B">
              <w:t>Non-current liability</w:t>
            </w:r>
          </w:p>
        </w:tc>
        <w:tc>
          <w:tcPr>
            <w:tcW w:w="1361" w:type="dxa"/>
            <w:tcBorders>
              <w:top w:val="single" w:sz="4" w:space="0" w:color="BFBFBF" w:themeColor="background1" w:themeShade="BF"/>
              <w:bottom w:val="single" w:sz="4" w:space="0" w:color="000000" w:themeColor="text1"/>
            </w:tcBorders>
            <w:shd w:val="clear" w:color="auto" w:fill="E7E6E6" w:themeFill="accent4"/>
            <w:noWrap/>
          </w:tcPr>
          <w:p w14:paraId="1E4B01D1" w14:textId="77777777" w:rsidR="005B131E" w:rsidRPr="00BA7805" w:rsidRDefault="005B131E" w:rsidP="002542E1">
            <w:pPr>
              <w:pStyle w:val="ARfintablebodyright"/>
              <w:spacing w:before="36"/>
              <w:rPr>
                <w:highlight w:val="green"/>
              </w:rPr>
            </w:pPr>
            <w:r w:rsidRPr="001E25AB">
              <w:t>18.2</w:t>
            </w:r>
          </w:p>
        </w:tc>
        <w:tc>
          <w:tcPr>
            <w:tcW w:w="1361" w:type="dxa"/>
            <w:tcBorders>
              <w:top w:val="single" w:sz="4" w:space="0" w:color="BFBFBF" w:themeColor="background1" w:themeShade="BF"/>
              <w:bottom w:val="single" w:sz="4" w:space="0" w:color="000000" w:themeColor="text1"/>
            </w:tcBorders>
          </w:tcPr>
          <w:p w14:paraId="3E917DE7" w14:textId="77777777" w:rsidR="005B131E" w:rsidRPr="00BA7805" w:rsidRDefault="005B131E" w:rsidP="002542E1">
            <w:pPr>
              <w:pStyle w:val="ARfintablebodyright"/>
              <w:spacing w:before="36"/>
              <w:rPr>
                <w:highlight w:val="green"/>
              </w:rPr>
            </w:pPr>
            <w:r w:rsidRPr="001E25AB">
              <w:t>22.4</w:t>
            </w:r>
          </w:p>
        </w:tc>
      </w:tr>
      <w:tr w:rsidR="005B131E" w:rsidRPr="00BA7805" w14:paraId="42FC4D32" w14:textId="77777777" w:rsidTr="002542E1">
        <w:trPr>
          <w:cantSplit w:val="0"/>
        </w:trPr>
        <w:tc>
          <w:tcPr>
            <w:tcW w:w="6917" w:type="dxa"/>
            <w:tcBorders>
              <w:top w:val="single" w:sz="4" w:space="0" w:color="000000" w:themeColor="text1"/>
              <w:bottom w:val="single" w:sz="4" w:space="0" w:color="000000" w:themeColor="text1"/>
            </w:tcBorders>
          </w:tcPr>
          <w:p w14:paraId="53DE20EA" w14:textId="77777777" w:rsidR="005B131E" w:rsidRPr="00BA7805" w:rsidRDefault="005B131E" w:rsidP="002542E1">
            <w:pPr>
              <w:pStyle w:val="ARfintablebodybold"/>
              <w:tabs>
                <w:tab w:val="left" w:pos="1575"/>
              </w:tabs>
              <w:rPr>
                <w:highlight w:val="green"/>
              </w:rPr>
            </w:pPr>
            <w:r w:rsidRPr="002A3A2B">
              <w:t>Total liability</w:t>
            </w:r>
          </w:p>
        </w:tc>
        <w:tc>
          <w:tcPr>
            <w:tcW w:w="1361" w:type="dxa"/>
            <w:tcBorders>
              <w:top w:val="single" w:sz="4" w:space="0" w:color="000000" w:themeColor="text1"/>
              <w:bottom w:val="single" w:sz="4" w:space="0" w:color="000000" w:themeColor="text1"/>
            </w:tcBorders>
            <w:shd w:val="clear" w:color="auto" w:fill="E7E6E6" w:themeFill="accent4"/>
            <w:noWrap/>
          </w:tcPr>
          <w:p w14:paraId="0BA1968A" w14:textId="77777777" w:rsidR="005B131E" w:rsidRPr="00BA7805" w:rsidRDefault="005B131E" w:rsidP="002542E1">
            <w:pPr>
              <w:pStyle w:val="ARfintablebodyrightbold"/>
              <w:rPr>
                <w:highlight w:val="green"/>
              </w:rPr>
            </w:pPr>
            <w:r w:rsidRPr="001E25AB">
              <w:t>20.3</w:t>
            </w:r>
          </w:p>
        </w:tc>
        <w:tc>
          <w:tcPr>
            <w:tcW w:w="1361" w:type="dxa"/>
            <w:tcBorders>
              <w:top w:val="single" w:sz="4" w:space="0" w:color="000000" w:themeColor="text1"/>
              <w:bottom w:val="single" w:sz="4" w:space="0" w:color="000000" w:themeColor="text1"/>
            </w:tcBorders>
          </w:tcPr>
          <w:p w14:paraId="5118E454" w14:textId="77777777" w:rsidR="005B131E" w:rsidRPr="00BA7805" w:rsidRDefault="005B131E" w:rsidP="002542E1">
            <w:pPr>
              <w:pStyle w:val="ARfintablebodyrightbold"/>
              <w:rPr>
                <w:highlight w:val="green"/>
              </w:rPr>
            </w:pPr>
            <w:r w:rsidRPr="001E25AB">
              <w:t>24.6</w:t>
            </w:r>
          </w:p>
        </w:tc>
      </w:tr>
      <w:tr w:rsidR="005B131E" w:rsidRPr="00BA7805" w14:paraId="47B7366C" w14:textId="77777777">
        <w:trPr>
          <w:cantSplit w:val="0"/>
        </w:trPr>
        <w:tc>
          <w:tcPr>
            <w:tcW w:w="9639" w:type="dxa"/>
            <w:gridSpan w:val="3"/>
            <w:tcBorders>
              <w:top w:val="single" w:sz="4" w:space="0" w:color="000000" w:themeColor="text1"/>
              <w:bottom w:val="single" w:sz="4" w:space="0" w:color="000000" w:themeColor="text1"/>
            </w:tcBorders>
          </w:tcPr>
          <w:p w14:paraId="642A5978" w14:textId="77777777" w:rsidR="005B131E" w:rsidRPr="001E25AB" w:rsidRDefault="005B131E" w:rsidP="002542E1">
            <w:pPr>
              <w:pStyle w:val="ARfintablebodybold"/>
            </w:pPr>
            <w:r w:rsidRPr="00175DE3">
              <w:t>Principal actuarial assumptions</w:t>
            </w:r>
          </w:p>
        </w:tc>
      </w:tr>
      <w:tr w:rsidR="005B131E" w:rsidRPr="00BA7805" w14:paraId="70D7375B" w14:textId="77777777" w:rsidTr="002542E1">
        <w:trPr>
          <w:cantSplit w:val="0"/>
        </w:trPr>
        <w:tc>
          <w:tcPr>
            <w:tcW w:w="6917" w:type="dxa"/>
            <w:tcBorders>
              <w:top w:val="single" w:sz="4" w:space="0" w:color="000000" w:themeColor="text1"/>
              <w:bottom w:val="single" w:sz="4" w:space="0" w:color="000000" w:themeColor="text1"/>
            </w:tcBorders>
          </w:tcPr>
          <w:p w14:paraId="5AAFA14D" w14:textId="77777777" w:rsidR="005B131E" w:rsidRPr="002A3A2B" w:rsidRDefault="005B131E" w:rsidP="002542E1">
            <w:pPr>
              <w:pStyle w:val="ARfintablebody"/>
            </w:pPr>
            <w:r w:rsidRPr="00175DE3">
              <w:t>Discount rate</w:t>
            </w:r>
          </w:p>
        </w:tc>
        <w:tc>
          <w:tcPr>
            <w:tcW w:w="1361" w:type="dxa"/>
            <w:tcBorders>
              <w:top w:val="single" w:sz="4" w:space="0" w:color="000000" w:themeColor="text1"/>
              <w:bottom w:val="single" w:sz="4" w:space="0" w:color="000000" w:themeColor="text1"/>
            </w:tcBorders>
            <w:shd w:val="clear" w:color="auto" w:fill="E7E6E6" w:themeFill="accent4"/>
            <w:noWrap/>
          </w:tcPr>
          <w:p w14:paraId="1ECBFF89" w14:textId="77777777" w:rsidR="005B131E" w:rsidRPr="001E25AB" w:rsidRDefault="005B131E" w:rsidP="002542E1">
            <w:pPr>
              <w:pStyle w:val="ARfintablebodyright"/>
            </w:pPr>
            <w:r w:rsidRPr="00201772">
              <w:t>4.6%</w:t>
            </w:r>
          </w:p>
        </w:tc>
        <w:tc>
          <w:tcPr>
            <w:tcW w:w="1361" w:type="dxa"/>
            <w:tcBorders>
              <w:top w:val="single" w:sz="4" w:space="0" w:color="000000" w:themeColor="text1"/>
              <w:bottom w:val="single" w:sz="4" w:space="0" w:color="000000" w:themeColor="text1"/>
            </w:tcBorders>
          </w:tcPr>
          <w:p w14:paraId="1316E837" w14:textId="77777777" w:rsidR="005B131E" w:rsidRPr="001E25AB" w:rsidRDefault="005B131E" w:rsidP="002542E1">
            <w:pPr>
              <w:pStyle w:val="ARfintablebodyright"/>
            </w:pPr>
            <w:r w:rsidRPr="00201772">
              <w:t>3.9%</w:t>
            </w:r>
          </w:p>
        </w:tc>
      </w:tr>
      <w:tr w:rsidR="005B131E" w:rsidRPr="00BA7805" w14:paraId="5C3D8FD1" w14:textId="77777777" w:rsidTr="002542E1">
        <w:trPr>
          <w:cantSplit w:val="0"/>
        </w:trPr>
        <w:tc>
          <w:tcPr>
            <w:tcW w:w="6917" w:type="dxa"/>
            <w:tcBorders>
              <w:top w:val="single" w:sz="4" w:space="0" w:color="000000" w:themeColor="text1"/>
              <w:bottom w:val="single" w:sz="4" w:space="0" w:color="000000" w:themeColor="text1"/>
            </w:tcBorders>
          </w:tcPr>
          <w:p w14:paraId="0B7392CD" w14:textId="77777777" w:rsidR="005B131E" w:rsidRPr="002A3A2B" w:rsidRDefault="005B131E" w:rsidP="002542E1">
            <w:pPr>
              <w:pStyle w:val="ARfintablebody"/>
            </w:pPr>
            <w:r w:rsidRPr="00175DE3">
              <w:t>Expected return on plan assets</w:t>
            </w:r>
          </w:p>
        </w:tc>
        <w:tc>
          <w:tcPr>
            <w:tcW w:w="1361" w:type="dxa"/>
            <w:tcBorders>
              <w:top w:val="single" w:sz="4" w:space="0" w:color="000000" w:themeColor="text1"/>
              <w:bottom w:val="single" w:sz="4" w:space="0" w:color="000000" w:themeColor="text1"/>
            </w:tcBorders>
            <w:shd w:val="clear" w:color="auto" w:fill="E7E6E6" w:themeFill="accent4"/>
            <w:noWrap/>
          </w:tcPr>
          <w:p w14:paraId="6BD375F2" w14:textId="77777777" w:rsidR="005B131E" w:rsidRPr="001E25AB" w:rsidRDefault="005B131E" w:rsidP="002542E1">
            <w:pPr>
              <w:pStyle w:val="ARfintablebodyright"/>
            </w:pPr>
            <w:r w:rsidRPr="00201772">
              <w:t>6.8%</w:t>
            </w:r>
          </w:p>
        </w:tc>
        <w:tc>
          <w:tcPr>
            <w:tcW w:w="1361" w:type="dxa"/>
            <w:tcBorders>
              <w:top w:val="single" w:sz="4" w:space="0" w:color="000000" w:themeColor="text1"/>
              <w:bottom w:val="single" w:sz="4" w:space="0" w:color="000000" w:themeColor="text1"/>
            </w:tcBorders>
          </w:tcPr>
          <w:p w14:paraId="2A60BCF3" w14:textId="77777777" w:rsidR="005B131E" w:rsidRPr="001E25AB" w:rsidRDefault="005B131E" w:rsidP="002542E1">
            <w:pPr>
              <w:pStyle w:val="ARfintablebodyright"/>
            </w:pPr>
            <w:r w:rsidRPr="00201772">
              <w:t>6.8%</w:t>
            </w:r>
          </w:p>
        </w:tc>
      </w:tr>
      <w:tr w:rsidR="005B131E" w:rsidRPr="00BA7805" w14:paraId="7BCFABB6" w14:textId="77777777" w:rsidTr="002542E1">
        <w:trPr>
          <w:cantSplit w:val="0"/>
        </w:trPr>
        <w:tc>
          <w:tcPr>
            <w:tcW w:w="6917" w:type="dxa"/>
            <w:tcBorders>
              <w:top w:val="single" w:sz="4" w:space="0" w:color="000000" w:themeColor="text1"/>
              <w:bottom w:val="single" w:sz="4" w:space="0" w:color="000000" w:themeColor="text1"/>
            </w:tcBorders>
          </w:tcPr>
          <w:p w14:paraId="40C32116" w14:textId="77777777" w:rsidR="005B131E" w:rsidRPr="002A3A2B" w:rsidRDefault="005B131E" w:rsidP="002542E1">
            <w:pPr>
              <w:pStyle w:val="ARfintablebody"/>
            </w:pPr>
            <w:r w:rsidRPr="00175DE3">
              <w:t>Expected rate of salary increase</w:t>
            </w:r>
          </w:p>
        </w:tc>
        <w:tc>
          <w:tcPr>
            <w:tcW w:w="1361" w:type="dxa"/>
            <w:tcBorders>
              <w:top w:val="single" w:sz="4" w:space="0" w:color="000000" w:themeColor="text1"/>
              <w:bottom w:val="single" w:sz="4" w:space="0" w:color="000000" w:themeColor="text1"/>
            </w:tcBorders>
            <w:shd w:val="clear" w:color="auto" w:fill="E7E6E6" w:themeFill="accent4"/>
            <w:noWrap/>
          </w:tcPr>
          <w:p w14:paraId="18D932DE" w14:textId="77777777" w:rsidR="005B131E" w:rsidRPr="001E25AB" w:rsidRDefault="005B131E" w:rsidP="002542E1">
            <w:pPr>
              <w:pStyle w:val="ARfintablebodyright"/>
            </w:pPr>
            <w:r w:rsidRPr="00201772">
              <w:t>3.3%</w:t>
            </w:r>
          </w:p>
        </w:tc>
        <w:tc>
          <w:tcPr>
            <w:tcW w:w="1361" w:type="dxa"/>
            <w:tcBorders>
              <w:top w:val="single" w:sz="4" w:space="0" w:color="000000" w:themeColor="text1"/>
              <w:bottom w:val="single" w:sz="4" w:space="0" w:color="000000" w:themeColor="text1"/>
            </w:tcBorders>
          </w:tcPr>
          <w:p w14:paraId="5F813B60" w14:textId="77777777" w:rsidR="005B131E" w:rsidRPr="001E25AB" w:rsidRDefault="005B131E" w:rsidP="002542E1">
            <w:pPr>
              <w:pStyle w:val="ARfintablebodyright"/>
            </w:pPr>
            <w:r w:rsidRPr="00201772">
              <w:t>3.3%</w:t>
            </w:r>
          </w:p>
        </w:tc>
      </w:tr>
      <w:tr w:rsidR="005B131E" w:rsidRPr="00BA7805" w14:paraId="19E2F3E2" w14:textId="77777777" w:rsidTr="002542E1">
        <w:trPr>
          <w:cantSplit w:val="0"/>
        </w:trPr>
        <w:tc>
          <w:tcPr>
            <w:tcW w:w="6917" w:type="dxa"/>
            <w:tcBorders>
              <w:top w:val="single" w:sz="4" w:space="0" w:color="000000" w:themeColor="text1"/>
              <w:bottom w:val="single" w:sz="4" w:space="0" w:color="000000" w:themeColor="text1"/>
            </w:tcBorders>
          </w:tcPr>
          <w:p w14:paraId="68FB5D26" w14:textId="77777777" w:rsidR="005B131E" w:rsidRPr="002A3A2B" w:rsidRDefault="005B131E" w:rsidP="002542E1">
            <w:pPr>
              <w:pStyle w:val="ARfintablebody"/>
            </w:pPr>
            <w:r w:rsidRPr="00175DE3">
              <w:t>Inflation</w:t>
            </w:r>
          </w:p>
        </w:tc>
        <w:tc>
          <w:tcPr>
            <w:tcW w:w="1361" w:type="dxa"/>
            <w:tcBorders>
              <w:top w:val="single" w:sz="4" w:space="0" w:color="000000" w:themeColor="text1"/>
              <w:bottom w:val="single" w:sz="4" w:space="0" w:color="000000" w:themeColor="text1"/>
            </w:tcBorders>
            <w:shd w:val="clear" w:color="auto" w:fill="E7E6E6" w:themeFill="accent4"/>
            <w:noWrap/>
          </w:tcPr>
          <w:p w14:paraId="0E317AB6" w14:textId="77777777" w:rsidR="005B131E" w:rsidRPr="001E25AB" w:rsidRDefault="005B131E" w:rsidP="002542E1">
            <w:pPr>
              <w:pStyle w:val="ARfintablebodyright"/>
            </w:pPr>
            <w:r w:rsidRPr="00201772">
              <w:t>2.5%</w:t>
            </w:r>
          </w:p>
        </w:tc>
        <w:tc>
          <w:tcPr>
            <w:tcW w:w="1361" w:type="dxa"/>
            <w:tcBorders>
              <w:top w:val="single" w:sz="4" w:space="0" w:color="000000" w:themeColor="text1"/>
              <w:bottom w:val="single" w:sz="4" w:space="0" w:color="000000" w:themeColor="text1"/>
            </w:tcBorders>
          </w:tcPr>
          <w:p w14:paraId="1B3D4DEB" w14:textId="77777777" w:rsidR="005B131E" w:rsidRPr="001E25AB" w:rsidRDefault="005B131E" w:rsidP="002542E1">
            <w:pPr>
              <w:pStyle w:val="ARfintablebodyright"/>
            </w:pPr>
            <w:r w:rsidRPr="00201772">
              <w:t>2.5%</w:t>
            </w:r>
          </w:p>
        </w:tc>
      </w:tr>
    </w:tbl>
    <w:p w14:paraId="32B2F1D4" w14:textId="77777777" w:rsidR="005B131E" w:rsidRPr="00F52281" w:rsidRDefault="005B131E" w:rsidP="002542E1">
      <w:pPr>
        <w:pStyle w:val="ARfinbodyaftertable"/>
        <w:rPr>
          <w:highlight w:val="green"/>
        </w:rPr>
      </w:pPr>
      <w:r>
        <w:t>T</w:t>
      </w:r>
      <w:r w:rsidRPr="00F52281">
        <w:t>he expected return on assets assumption is determined by weighting the expected long-term return for each asset class by the target allocation of assets to each asset class and allowing for the correlations of the investment returns between asset classes. The returns used for each asset class are net of investment tax (where applicable) and investment fees.</w:t>
      </w:r>
    </w:p>
    <w:p w14:paraId="15F42BDC" w14:textId="77777777" w:rsidR="005B131E" w:rsidRDefault="005B131E" w:rsidP="002542E1">
      <w:pPr>
        <w:pStyle w:val="Heading6"/>
      </w:pPr>
      <w:r>
        <w:t>3.1.1 (c) Superannuation contributions</w:t>
      </w:r>
    </w:p>
    <w:p w14:paraId="5343423B" w14:textId="77777777" w:rsidR="005B131E" w:rsidRDefault="005B131E" w:rsidP="002542E1">
      <w:pPr>
        <w:pStyle w:val="ARfinbody"/>
      </w:pPr>
      <w:r>
        <w:t>Employees of the department are entitled to receive superannuation benefits and the department contributes to both defined benefit and defined contribution plans. The defined benefit plans provide benefits based on years of service and final average salary.</w:t>
      </w:r>
    </w:p>
    <w:p w14:paraId="5650AAD2" w14:textId="77777777" w:rsidR="005B131E" w:rsidRPr="00BA7805" w:rsidRDefault="005B131E" w:rsidP="002542E1">
      <w:pPr>
        <w:pStyle w:val="ARfinbodylargespace"/>
        <w:rPr>
          <w:highlight w:val="green"/>
        </w:rPr>
      </w:pPr>
      <w:r>
        <w:t xml:space="preserve">Other than former employees of Homes Victoria, the defined benefit liability is recognised in the Department of Treasury and Finance as an administered liability. </w:t>
      </w:r>
      <w:r w:rsidRPr="007530A7">
        <w:t>However</w:t>
      </w:r>
      <w:r>
        <w:t xml:space="preserve">, the department is still required to make minimum superannuation contributions under Enterprise agreements and legislation, and the </w:t>
      </w:r>
      <w:r w:rsidRPr="007530A7">
        <w:t>contributions</w:t>
      </w:r>
      <w:r>
        <w:t xml:space="preserve"> paid or payable for the reporting period are included as part of </w:t>
      </w:r>
      <w:r w:rsidRPr="005D4A8D">
        <w:t>employee</w:t>
      </w:r>
      <w:r>
        <w:t xml:space="preserve"> benefits in the comprehensive operating statement of the department.</w:t>
      </w:r>
    </w:p>
    <w:tbl>
      <w:tblPr>
        <w:tblStyle w:val="TableGrid"/>
        <w:tblW w:w="9637" w:type="dxa"/>
        <w:tblLayout w:type="fixed"/>
        <w:tblLook w:val="06A0" w:firstRow="1" w:lastRow="0" w:firstColumn="1" w:lastColumn="0" w:noHBand="1" w:noVBand="1"/>
      </w:tblPr>
      <w:tblGrid>
        <w:gridCol w:w="4194"/>
        <w:gridCol w:w="1360"/>
        <w:gridCol w:w="1361"/>
        <w:gridCol w:w="1361"/>
        <w:gridCol w:w="1361"/>
      </w:tblGrid>
      <w:tr w:rsidR="005B131E" w:rsidRPr="00BA7805" w14:paraId="01172082" w14:textId="77777777">
        <w:trPr>
          <w:cnfStyle w:val="100000000000" w:firstRow="1" w:lastRow="0" w:firstColumn="0" w:lastColumn="0" w:oddVBand="0" w:evenVBand="0" w:oddHBand="0" w:evenHBand="0" w:firstRowFirstColumn="0" w:firstRowLastColumn="0" w:lastRowFirstColumn="0" w:lastRowLastColumn="0"/>
          <w:tblHeader/>
        </w:trPr>
        <w:tc>
          <w:tcPr>
            <w:tcW w:w="4194" w:type="dxa"/>
            <w:vMerge w:val="restart"/>
            <w:noWrap/>
            <w:hideMark/>
          </w:tcPr>
          <w:p w14:paraId="6FB62EE0" w14:textId="77777777" w:rsidR="005B131E" w:rsidRPr="00BA7805" w:rsidRDefault="005B131E">
            <w:pPr>
              <w:pStyle w:val="ARfintablecolhead"/>
              <w:rPr>
                <w:highlight w:val="green"/>
              </w:rPr>
            </w:pPr>
          </w:p>
        </w:tc>
        <w:tc>
          <w:tcPr>
            <w:tcW w:w="2721" w:type="dxa"/>
            <w:gridSpan w:val="2"/>
            <w:hideMark/>
          </w:tcPr>
          <w:p w14:paraId="3B31397E" w14:textId="77777777" w:rsidR="005B131E" w:rsidRPr="00A26E75" w:rsidRDefault="005B131E">
            <w:pPr>
              <w:pStyle w:val="ARfintablecolheadcentre"/>
            </w:pPr>
            <w:r w:rsidRPr="00A26E75">
              <w:t xml:space="preserve">Paid contribution </w:t>
            </w:r>
            <w:r w:rsidRPr="00A26E75">
              <w:br/>
              <w:t>for the year</w:t>
            </w:r>
          </w:p>
        </w:tc>
        <w:tc>
          <w:tcPr>
            <w:tcW w:w="2722" w:type="dxa"/>
            <w:gridSpan w:val="2"/>
            <w:hideMark/>
          </w:tcPr>
          <w:p w14:paraId="6A7762D3" w14:textId="77777777" w:rsidR="005B131E" w:rsidRPr="00A26E75" w:rsidRDefault="005B131E">
            <w:pPr>
              <w:pStyle w:val="ARfintablecolheadcentre"/>
            </w:pPr>
            <w:r w:rsidRPr="00A26E75">
              <w:t xml:space="preserve">Contribution outstanding </w:t>
            </w:r>
            <w:r w:rsidRPr="00A26E75">
              <w:br/>
              <w:t>at year end</w:t>
            </w:r>
          </w:p>
        </w:tc>
      </w:tr>
      <w:tr w:rsidR="005B131E" w:rsidRPr="00BA7805" w14:paraId="7AADEEB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4194" w:type="dxa"/>
            <w:vMerge/>
            <w:tcBorders>
              <w:bottom w:val="single" w:sz="4" w:space="0" w:color="auto"/>
            </w:tcBorders>
            <w:noWrap/>
            <w:hideMark/>
          </w:tcPr>
          <w:p w14:paraId="6F46C542" w14:textId="77777777" w:rsidR="005B131E" w:rsidRPr="00BA7805" w:rsidRDefault="005B131E">
            <w:pPr>
              <w:pStyle w:val="ARfintablecolhead"/>
              <w:rPr>
                <w:highlight w:val="green"/>
              </w:rPr>
            </w:pPr>
          </w:p>
        </w:tc>
        <w:tc>
          <w:tcPr>
            <w:tcW w:w="1360" w:type="dxa"/>
            <w:tcBorders>
              <w:bottom w:val="single" w:sz="4" w:space="0" w:color="auto"/>
            </w:tcBorders>
            <w:shd w:val="clear" w:color="auto" w:fill="E7E6E6"/>
            <w:hideMark/>
          </w:tcPr>
          <w:p w14:paraId="090A715D" w14:textId="77777777" w:rsidR="005B131E" w:rsidRPr="00A26E75" w:rsidRDefault="005B131E">
            <w:pPr>
              <w:pStyle w:val="ARfintablecolheadright"/>
            </w:pPr>
            <w:r w:rsidRPr="00A26E75">
              <w:t>2024</w:t>
            </w:r>
          </w:p>
          <w:p w14:paraId="70ABA984" w14:textId="77777777" w:rsidR="005B131E" w:rsidRPr="00BA7805" w:rsidRDefault="005B131E">
            <w:pPr>
              <w:pStyle w:val="ARfintablecolheadright"/>
              <w:rPr>
                <w:highlight w:val="green"/>
              </w:rPr>
            </w:pPr>
            <w:r w:rsidRPr="00A26E75">
              <w:t>$M</w:t>
            </w:r>
          </w:p>
        </w:tc>
        <w:tc>
          <w:tcPr>
            <w:tcW w:w="1361" w:type="dxa"/>
            <w:tcBorders>
              <w:bottom w:val="single" w:sz="4" w:space="0" w:color="auto"/>
            </w:tcBorders>
            <w:hideMark/>
          </w:tcPr>
          <w:p w14:paraId="049317A8" w14:textId="77777777" w:rsidR="005B131E" w:rsidRPr="00A26E75" w:rsidRDefault="005B131E">
            <w:pPr>
              <w:pStyle w:val="ARfintablecolheadright"/>
            </w:pPr>
            <w:r w:rsidRPr="00A26E75">
              <w:t>2023</w:t>
            </w:r>
          </w:p>
          <w:p w14:paraId="19FF2E52" w14:textId="77777777" w:rsidR="005B131E" w:rsidRPr="00A26E75" w:rsidRDefault="005B131E">
            <w:pPr>
              <w:pStyle w:val="ARfintablecolheadright"/>
            </w:pPr>
            <w:r w:rsidRPr="00A26E75">
              <w:t>$M</w:t>
            </w:r>
          </w:p>
        </w:tc>
        <w:tc>
          <w:tcPr>
            <w:tcW w:w="1361" w:type="dxa"/>
            <w:tcBorders>
              <w:bottom w:val="single" w:sz="4" w:space="0" w:color="auto"/>
            </w:tcBorders>
            <w:shd w:val="clear" w:color="auto" w:fill="E7E6E6" w:themeFill="accent4"/>
            <w:hideMark/>
          </w:tcPr>
          <w:p w14:paraId="6DA0D2A8" w14:textId="77777777" w:rsidR="005B131E" w:rsidRPr="00A26E75" w:rsidRDefault="005B131E">
            <w:pPr>
              <w:pStyle w:val="ARfintablecolheadright"/>
            </w:pPr>
            <w:r w:rsidRPr="00A26E75">
              <w:t>2024</w:t>
            </w:r>
          </w:p>
          <w:p w14:paraId="4DBE7330" w14:textId="77777777" w:rsidR="005B131E" w:rsidRPr="00A26E75" w:rsidRDefault="005B131E">
            <w:pPr>
              <w:pStyle w:val="ARfintablecolheadright"/>
            </w:pPr>
            <w:r w:rsidRPr="00A26E75">
              <w:t>$M</w:t>
            </w:r>
          </w:p>
        </w:tc>
        <w:tc>
          <w:tcPr>
            <w:tcW w:w="1361" w:type="dxa"/>
            <w:tcBorders>
              <w:bottom w:val="single" w:sz="4" w:space="0" w:color="auto"/>
            </w:tcBorders>
            <w:hideMark/>
          </w:tcPr>
          <w:p w14:paraId="1E55D188" w14:textId="77777777" w:rsidR="005B131E" w:rsidRPr="00A26E75" w:rsidRDefault="005B131E">
            <w:pPr>
              <w:pStyle w:val="ARfintablecolheadright"/>
            </w:pPr>
            <w:r w:rsidRPr="00A26E75">
              <w:t>2023</w:t>
            </w:r>
          </w:p>
          <w:p w14:paraId="5D5400C2" w14:textId="77777777" w:rsidR="005B131E" w:rsidRPr="00A26E75" w:rsidRDefault="005B131E">
            <w:pPr>
              <w:pStyle w:val="ARfintablecolheadright"/>
            </w:pPr>
            <w:r w:rsidRPr="00A26E75">
              <w:t>$M</w:t>
            </w:r>
          </w:p>
        </w:tc>
      </w:tr>
      <w:tr w:rsidR="005B131E" w:rsidRPr="00BA7805" w14:paraId="3E17221F" w14:textId="77777777" w:rsidTr="00B84A49">
        <w:tc>
          <w:tcPr>
            <w:tcW w:w="9637" w:type="dxa"/>
            <w:gridSpan w:val="5"/>
            <w:tcBorders>
              <w:top w:val="single" w:sz="4" w:space="0" w:color="auto"/>
              <w:bottom w:val="single" w:sz="4" w:space="0" w:color="A6A6A6"/>
            </w:tcBorders>
          </w:tcPr>
          <w:p w14:paraId="7DABACF5" w14:textId="77777777" w:rsidR="005B131E" w:rsidRPr="00BA7805" w:rsidRDefault="005B131E" w:rsidP="002542E1">
            <w:pPr>
              <w:pStyle w:val="ARfintablebodybold"/>
              <w:rPr>
                <w:highlight w:val="green"/>
              </w:rPr>
            </w:pPr>
            <w:r w:rsidRPr="007066CB">
              <w:t>Defined benefit plans</w:t>
            </w:r>
          </w:p>
        </w:tc>
      </w:tr>
      <w:tr w:rsidR="005B131E" w:rsidRPr="00BA7805" w14:paraId="1626381D" w14:textId="77777777" w:rsidTr="00B84A49">
        <w:tc>
          <w:tcPr>
            <w:tcW w:w="4194" w:type="dxa"/>
            <w:tcBorders>
              <w:top w:val="single" w:sz="4" w:space="0" w:color="A6A6A6"/>
              <w:bottom w:val="single" w:sz="4" w:space="0" w:color="A6A6A6"/>
            </w:tcBorders>
          </w:tcPr>
          <w:p w14:paraId="1884E77D" w14:textId="77777777" w:rsidR="005B131E" w:rsidRPr="00BA7805" w:rsidRDefault="005B131E" w:rsidP="002542E1">
            <w:pPr>
              <w:pStyle w:val="ARfintablebody"/>
              <w:rPr>
                <w:highlight w:val="green"/>
              </w:rPr>
            </w:pPr>
            <w:r w:rsidRPr="007066CB">
              <w:t>State superannuation fund</w:t>
            </w:r>
          </w:p>
        </w:tc>
        <w:tc>
          <w:tcPr>
            <w:tcW w:w="1360" w:type="dxa"/>
            <w:tcBorders>
              <w:top w:val="single" w:sz="4" w:space="0" w:color="A6A6A6"/>
              <w:bottom w:val="single" w:sz="4" w:space="0" w:color="A6A6A6"/>
            </w:tcBorders>
            <w:shd w:val="clear" w:color="auto" w:fill="E7E6E6"/>
            <w:noWrap/>
          </w:tcPr>
          <w:p w14:paraId="3DB17349" w14:textId="77777777" w:rsidR="005B131E" w:rsidRPr="00BA7805" w:rsidRDefault="005B131E" w:rsidP="002542E1">
            <w:pPr>
              <w:pStyle w:val="ARfintablebodyright"/>
              <w:rPr>
                <w:highlight w:val="green"/>
              </w:rPr>
            </w:pPr>
            <w:r w:rsidRPr="007066CB">
              <w:t>2.5</w:t>
            </w:r>
          </w:p>
        </w:tc>
        <w:tc>
          <w:tcPr>
            <w:tcW w:w="1361" w:type="dxa"/>
            <w:tcBorders>
              <w:top w:val="single" w:sz="4" w:space="0" w:color="A6A6A6"/>
              <w:bottom w:val="single" w:sz="4" w:space="0" w:color="A6A6A6"/>
            </w:tcBorders>
            <w:noWrap/>
          </w:tcPr>
          <w:p w14:paraId="5BA09F4B" w14:textId="77777777" w:rsidR="005B131E" w:rsidRPr="00BA7805" w:rsidRDefault="005B131E" w:rsidP="002542E1">
            <w:pPr>
              <w:pStyle w:val="ARfintablebodyright"/>
              <w:rPr>
                <w:highlight w:val="green"/>
              </w:rPr>
            </w:pPr>
            <w:r w:rsidRPr="007066CB">
              <w:t>2.8</w:t>
            </w:r>
          </w:p>
        </w:tc>
        <w:tc>
          <w:tcPr>
            <w:tcW w:w="1361" w:type="dxa"/>
            <w:tcBorders>
              <w:top w:val="single" w:sz="4" w:space="0" w:color="A6A6A6"/>
              <w:bottom w:val="single" w:sz="4" w:space="0" w:color="A6A6A6"/>
            </w:tcBorders>
            <w:shd w:val="clear" w:color="auto" w:fill="E7E6E6"/>
            <w:noWrap/>
          </w:tcPr>
          <w:p w14:paraId="3C0BF00A" w14:textId="77777777" w:rsidR="005B131E" w:rsidRPr="00BA7805" w:rsidRDefault="005B131E" w:rsidP="002542E1">
            <w:pPr>
              <w:pStyle w:val="ARfintablebodyright"/>
              <w:rPr>
                <w:highlight w:val="green"/>
              </w:rPr>
            </w:pPr>
            <w:r>
              <w:t>–</w:t>
            </w:r>
          </w:p>
        </w:tc>
        <w:tc>
          <w:tcPr>
            <w:tcW w:w="1361" w:type="dxa"/>
            <w:tcBorders>
              <w:top w:val="single" w:sz="4" w:space="0" w:color="A6A6A6"/>
              <w:bottom w:val="single" w:sz="4" w:space="0" w:color="A6A6A6"/>
            </w:tcBorders>
            <w:noWrap/>
          </w:tcPr>
          <w:p w14:paraId="310489C6" w14:textId="77777777" w:rsidR="005B131E" w:rsidRPr="00BA7805" w:rsidRDefault="005B131E" w:rsidP="002542E1">
            <w:pPr>
              <w:pStyle w:val="ARfintablebodyright"/>
              <w:rPr>
                <w:highlight w:val="green"/>
              </w:rPr>
            </w:pPr>
            <w:r>
              <w:t>–</w:t>
            </w:r>
          </w:p>
        </w:tc>
      </w:tr>
      <w:tr w:rsidR="005B131E" w:rsidRPr="00BA7805" w14:paraId="5E96B3C6" w14:textId="77777777" w:rsidTr="00B84A49">
        <w:tc>
          <w:tcPr>
            <w:tcW w:w="9637" w:type="dxa"/>
            <w:gridSpan w:val="5"/>
            <w:tcBorders>
              <w:top w:val="single" w:sz="4" w:space="0" w:color="A6A6A6"/>
              <w:bottom w:val="single" w:sz="4" w:space="0" w:color="A6A6A6"/>
            </w:tcBorders>
          </w:tcPr>
          <w:p w14:paraId="53437971" w14:textId="77777777" w:rsidR="005B131E" w:rsidRPr="00BA7805" w:rsidRDefault="005B131E" w:rsidP="002542E1">
            <w:pPr>
              <w:pStyle w:val="ARfintablebodybold"/>
              <w:rPr>
                <w:highlight w:val="green"/>
              </w:rPr>
            </w:pPr>
            <w:r w:rsidRPr="007066CB">
              <w:t>Defined contribution plans</w:t>
            </w:r>
          </w:p>
        </w:tc>
      </w:tr>
      <w:tr w:rsidR="005B131E" w:rsidRPr="00BA7805" w14:paraId="52577EA9" w14:textId="77777777" w:rsidTr="00B84A49">
        <w:tc>
          <w:tcPr>
            <w:tcW w:w="4194" w:type="dxa"/>
            <w:tcBorders>
              <w:top w:val="single" w:sz="4" w:space="0" w:color="A6A6A6"/>
              <w:bottom w:val="single" w:sz="4" w:space="0" w:color="A6A6A6"/>
            </w:tcBorders>
          </w:tcPr>
          <w:p w14:paraId="567B96F5" w14:textId="77777777" w:rsidR="005B131E" w:rsidRPr="00BA7805" w:rsidRDefault="005B131E" w:rsidP="002542E1">
            <w:pPr>
              <w:pStyle w:val="ARfintablebody"/>
              <w:rPr>
                <w:highlight w:val="green"/>
              </w:rPr>
            </w:pPr>
            <w:r w:rsidRPr="007066CB">
              <w:t>VicSuper</w:t>
            </w:r>
          </w:p>
        </w:tc>
        <w:tc>
          <w:tcPr>
            <w:tcW w:w="1360" w:type="dxa"/>
            <w:tcBorders>
              <w:top w:val="single" w:sz="4" w:space="0" w:color="A6A6A6"/>
              <w:bottom w:val="single" w:sz="4" w:space="0" w:color="A6A6A6"/>
            </w:tcBorders>
            <w:shd w:val="clear" w:color="auto" w:fill="E7E6E6"/>
            <w:noWrap/>
          </w:tcPr>
          <w:p w14:paraId="5E5B21A6" w14:textId="77777777" w:rsidR="005B131E" w:rsidRPr="00BA7805" w:rsidRDefault="005B131E" w:rsidP="002542E1">
            <w:pPr>
              <w:pStyle w:val="ARfintablebodyright"/>
              <w:rPr>
                <w:highlight w:val="green"/>
              </w:rPr>
            </w:pPr>
            <w:r w:rsidRPr="007066CB">
              <w:t>43.6</w:t>
            </w:r>
          </w:p>
        </w:tc>
        <w:tc>
          <w:tcPr>
            <w:tcW w:w="1361" w:type="dxa"/>
            <w:tcBorders>
              <w:top w:val="single" w:sz="4" w:space="0" w:color="A6A6A6"/>
              <w:bottom w:val="single" w:sz="4" w:space="0" w:color="A6A6A6"/>
            </w:tcBorders>
            <w:noWrap/>
          </w:tcPr>
          <w:p w14:paraId="6926C5AD" w14:textId="77777777" w:rsidR="005B131E" w:rsidRPr="00BA7805" w:rsidRDefault="005B131E" w:rsidP="002542E1">
            <w:pPr>
              <w:pStyle w:val="ARfintablebodyright"/>
              <w:rPr>
                <w:highlight w:val="green"/>
              </w:rPr>
            </w:pPr>
            <w:r w:rsidRPr="007066CB">
              <w:t>40.4</w:t>
            </w:r>
          </w:p>
        </w:tc>
        <w:tc>
          <w:tcPr>
            <w:tcW w:w="1361" w:type="dxa"/>
            <w:tcBorders>
              <w:top w:val="single" w:sz="4" w:space="0" w:color="A6A6A6"/>
              <w:bottom w:val="single" w:sz="4" w:space="0" w:color="A6A6A6"/>
            </w:tcBorders>
            <w:shd w:val="clear" w:color="auto" w:fill="E7E6E6"/>
            <w:noWrap/>
          </w:tcPr>
          <w:p w14:paraId="0F7A7F07" w14:textId="77777777" w:rsidR="005B131E" w:rsidRPr="00BA7805" w:rsidRDefault="005B131E" w:rsidP="002542E1">
            <w:pPr>
              <w:pStyle w:val="ARfintablebodyright"/>
              <w:rPr>
                <w:highlight w:val="green"/>
              </w:rPr>
            </w:pPr>
            <w:r>
              <w:t>–</w:t>
            </w:r>
          </w:p>
        </w:tc>
        <w:tc>
          <w:tcPr>
            <w:tcW w:w="1361" w:type="dxa"/>
            <w:tcBorders>
              <w:top w:val="single" w:sz="4" w:space="0" w:color="A6A6A6"/>
              <w:bottom w:val="single" w:sz="4" w:space="0" w:color="A6A6A6"/>
            </w:tcBorders>
            <w:noWrap/>
          </w:tcPr>
          <w:p w14:paraId="6967E8B6" w14:textId="77777777" w:rsidR="005B131E" w:rsidRPr="00BA7805" w:rsidRDefault="005B131E" w:rsidP="002542E1">
            <w:pPr>
              <w:pStyle w:val="ARfintablebodyright"/>
              <w:rPr>
                <w:highlight w:val="green"/>
              </w:rPr>
            </w:pPr>
            <w:r>
              <w:t>–</w:t>
            </w:r>
          </w:p>
        </w:tc>
      </w:tr>
      <w:tr w:rsidR="005B131E" w:rsidRPr="00BA7805" w14:paraId="0EC0F73F" w14:textId="77777777" w:rsidTr="00B84A49">
        <w:tc>
          <w:tcPr>
            <w:tcW w:w="4194" w:type="dxa"/>
            <w:tcBorders>
              <w:top w:val="single" w:sz="4" w:space="0" w:color="A6A6A6"/>
            </w:tcBorders>
          </w:tcPr>
          <w:p w14:paraId="01A2EC7E" w14:textId="77777777" w:rsidR="005B131E" w:rsidRPr="00BA7805" w:rsidRDefault="005B131E" w:rsidP="002542E1">
            <w:pPr>
              <w:pStyle w:val="ARfintablebody"/>
              <w:rPr>
                <w:highlight w:val="green"/>
              </w:rPr>
            </w:pPr>
            <w:r w:rsidRPr="007066CB">
              <w:t>Other</w:t>
            </w:r>
          </w:p>
        </w:tc>
        <w:tc>
          <w:tcPr>
            <w:tcW w:w="1360" w:type="dxa"/>
            <w:tcBorders>
              <w:top w:val="single" w:sz="4" w:space="0" w:color="A6A6A6"/>
            </w:tcBorders>
            <w:shd w:val="clear" w:color="auto" w:fill="E7E6E6"/>
            <w:noWrap/>
          </w:tcPr>
          <w:p w14:paraId="6257621B" w14:textId="77777777" w:rsidR="005B131E" w:rsidRPr="00BA7805" w:rsidRDefault="005B131E" w:rsidP="002542E1">
            <w:pPr>
              <w:pStyle w:val="ARfintablebodyright"/>
              <w:rPr>
                <w:highlight w:val="green"/>
              </w:rPr>
            </w:pPr>
            <w:r w:rsidRPr="007066CB">
              <w:t>34.4</w:t>
            </w:r>
          </w:p>
        </w:tc>
        <w:tc>
          <w:tcPr>
            <w:tcW w:w="1361" w:type="dxa"/>
            <w:tcBorders>
              <w:top w:val="single" w:sz="4" w:space="0" w:color="A6A6A6"/>
            </w:tcBorders>
            <w:noWrap/>
          </w:tcPr>
          <w:p w14:paraId="4D5B98D3" w14:textId="77777777" w:rsidR="005B131E" w:rsidRPr="00BA7805" w:rsidRDefault="005B131E" w:rsidP="002542E1">
            <w:pPr>
              <w:pStyle w:val="ARfintablebodyright"/>
              <w:rPr>
                <w:highlight w:val="green"/>
              </w:rPr>
            </w:pPr>
            <w:r w:rsidRPr="007066CB">
              <w:t>29.1</w:t>
            </w:r>
          </w:p>
        </w:tc>
        <w:tc>
          <w:tcPr>
            <w:tcW w:w="1361" w:type="dxa"/>
            <w:tcBorders>
              <w:top w:val="single" w:sz="4" w:space="0" w:color="A6A6A6"/>
            </w:tcBorders>
            <w:shd w:val="clear" w:color="auto" w:fill="E7E6E6"/>
            <w:noWrap/>
          </w:tcPr>
          <w:p w14:paraId="4E02B4FD" w14:textId="77777777" w:rsidR="005B131E" w:rsidRPr="00BA7805" w:rsidRDefault="005B131E" w:rsidP="002542E1">
            <w:pPr>
              <w:pStyle w:val="ARfintablebodyright"/>
              <w:rPr>
                <w:highlight w:val="green"/>
              </w:rPr>
            </w:pPr>
            <w:r>
              <w:t>–</w:t>
            </w:r>
          </w:p>
        </w:tc>
        <w:tc>
          <w:tcPr>
            <w:tcW w:w="1361" w:type="dxa"/>
            <w:tcBorders>
              <w:top w:val="single" w:sz="4" w:space="0" w:color="A6A6A6"/>
            </w:tcBorders>
            <w:noWrap/>
          </w:tcPr>
          <w:p w14:paraId="58E61BAF" w14:textId="77777777" w:rsidR="005B131E" w:rsidRPr="00BA7805" w:rsidRDefault="005B131E" w:rsidP="002542E1">
            <w:pPr>
              <w:pStyle w:val="ARfintablebodyright"/>
              <w:rPr>
                <w:highlight w:val="green"/>
              </w:rPr>
            </w:pPr>
            <w:r>
              <w:t>–</w:t>
            </w:r>
          </w:p>
        </w:tc>
      </w:tr>
      <w:tr w:rsidR="005B131E" w:rsidRPr="00BA7805" w14:paraId="163CCF7C" w14:textId="77777777" w:rsidTr="00B84A49">
        <w:tc>
          <w:tcPr>
            <w:tcW w:w="4194" w:type="dxa"/>
          </w:tcPr>
          <w:p w14:paraId="1BD9EA3B" w14:textId="77777777" w:rsidR="005B131E" w:rsidRPr="00BA7805" w:rsidRDefault="005B131E" w:rsidP="002542E1">
            <w:pPr>
              <w:pStyle w:val="ARfintablebodybold"/>
              <w:rPr>
                <w:highlight w:val="green"/>
              </w:rPr>
            </w:pPr>
            <w:r w:rsidRPr="007066CB">
              <w:t>Total</w:t>
            </w:r>
          </w:p>
        </w:tc>
        <w:tc>
          <w:tcPr>
            <w:tcW w:w="1360" w:type="dxa"/>
            <w:shd w:val="clear" w:color="auto" w:fill="E7E6E6"/>
            <w:noWrap/>
          </w:tcPr>
          <w:p w14:paraId="11FB91B5" w14:textId="77777777" w:rsidR="005B131E" w:rsidRPr="00BA7805" w:rsidRDefault="005B131E" w:rsidP="002542E1">
            <w:pPr>
              <w:pStyle w:val="ARfintablebodyrightbold"/>
              <w:rPr>
                <w:highlight w:val="green"/>
              </w:rPr>
            </w:pPr>
            <w:r w:rsidRPr="007066CB">
              <w:t>80.5</w:t>
            </w:r>
          </w:p>
        </w:tc>
        <w:tc>
          <w:tcPr>
            <w:tcW w:w="1361" w:type="dxa"/>
            <w:noWrap/>
          </w:tcPr>
          <w:p w14:paraId="7B119009" w14:textId="77777777" w:rsidR="005B131E" w:rsidRPr="00BA7805" w:rsidRDefault="005B131E" w:rsidP="002542E1">
            <w:pPr>
              <w:pStyle w:val="ARfintablebodyrightbold"/>
              <w:rPr>
                <w:highlight w:val="green"/>
              </w:rPr>
            </w:pPr>
            <w:r w:rsidRPr="007066CB">
              <w:t>72.3</w:t>
            </w:r>
          </w:p>
        </w:tc>
        <w:tc>
          <w:tcPr>
            <w:tcW w:w="1361" w:type="dxa"/>
            <w:shd w:val="clear" w:color="auto" w:fill="E7E6E6"/>
            <w:noWrap/>
          </w:tcPr>
          <w:p w14:paraId="6BCFADD1" w14:textId="77777777" w:rsidR="005B131E" w:rsidRPr="00BA7805" w:rsidRDefault="005B131E" w:rsidP="002542E1">
            <w:pPr>
              <w:pStyle w:val="ARfintablebodyrightbold"/>
              <w:rPr>
                <w:highlight w:val="green"/>
              </w:rPr>
            </w:pPr>
            <w:r>
              <w:t>–</w:t>
            </w:r>
          </w:p>
        </w:tc>
        <w:tc>
          <w:tcPr>
            <w:tcW w:w="1361" w:type="dxa"/>
            <w:noWrap/>
          </w:tcPr>
          <w:p w14:paraId="194C1135" w14:textId="77777777" w:rsidR="005B131E" w:rsidRPr="00BA7805" w:rsidRDefault="005B131E" w:rsidP="002542E1">
            <w:pPr>
              <w:pStyle w:val="ARfintablebodyrightbold"/>
              <w:rPr>
                <w:highlight w:val="green"/>
              </w:rPr>
            </w:pPr>
            <w:r>
              <w:t>–</w:t>
            </w:r>
          </w:p>
        </w:tc>
      </w:tr>
    </w:tbl>
    <w:p w14:paraId="35F0887C" w14:textId="77777777" w:rsidR="005B131E" w:rsidRDefault="005B131E" w:rsidP="002542E1">
      <w:pPr>
        <w:pStyle w:val="ARbody"/>
        <w:rPr>
          <w:highlight w:val="green"/>
          <w:lang w:eastAsia="en-AU"/>
        </w:rPr>
      </w:pPr>
      <w:r>
        <w:rPr>
          <w:highlight w:val="green"/>
          <w:lang w:eastAsia="en-AU"/>
        </w:rPr>
        <w:br w:type="page"/>
      </w:r>
    </w:p>
    <w:p w14:paraId="67B0DEFA" w14:textId="77777777" w:rsidR="005B131E" w:rsidRPr="00793ECE" w:rsidRDefault="005B131E" w:rsidP="002542E1">
      <w:pPr>
        <w:pStyle w:val="Heading5"/>
        <w:rPr>
          <w:lang w:eastAsia="en-AU"/>
        </w:rPr>
      </w:pPr>
      <w:r w:rsidRPr="00793ECE">
        <w:rPr>
          <w:lang w:eastAsia="en-AU"/>
        </w:rPr>
        <w:t>3.1.2 Grants and other transfers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6F608518"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0767062C" w14:textId="77777777" w:rsidR="005B131E" w:rsidRPr="00BA7805" w:rsidRDefault="005B131E">
            <w:pPr>
              <w:pStyle w:val="ARfintablecolhead"/>
              <w:rPr>
                <w:highlight w:val="green"/>
              </w:rPr>
            </w:pPr>
          </w:p>
        </w:tc>
        <w:tc>
          <w:tcPr>
            <w:tcW w:w="1361" w:type="dxa"/>
            <w:shd w:val="clear" w:color="auto" w:fill="E7E6E6" w:themeFill="accent4"/>
            <w:hideMark/>
          </w:tcPr>
          <w:p w14:paraId="1664884C" w14:textId="77777777" w:rsidR="005B131E" w:rsidRPr="007E7921" w:rsidRDefault="005B131E">
            <w:pPr>
              <w:pStyle w:val="ARfintablecolheadright"/>
            </w:pPr>
            <w:r w:rsidRPr="007E7921">
              <w:t>2024</w:t>
            </w:r>
          </w:p>
          <w:p w14:paraId="29CD9BEF" w14:textId="77777777" w:rsidR="005B131E" w:rsidRPr="007E7921" w:rsidRDefault="005B131E">
            <w:pPr>
              <w:pStyle w:val="ARfintablecolheadright"/>
            </w:pPr>
            <w:r w:rsidRPr="007E7921">
              <w:t>$M</w:t>
            </w:r>
          </w:p>
        </w:tc>
        <w:tc>
          <w:tcPr>
            <w:tcW w:w="1361" w:type="dxa"/>
            <w:hideMark/>
          </w:tcPr>
          <w:p w14:paraId="4FE3EEDF" w14:textId="77777777" w:rsidR="005B131E" w:rsidRPr="007E7921" w:rsidRDefault="005B131E">
            <w:pPr>
              <w:pStyle w:val="ARfintablecolheadright"/>
            </w:pPr>
            <w:r w:rsidRPr="007E7921">
              <w:t>2023</w:t>
            </w:r>
          </w:p>
          <w:p w14:paraId="764FD30D" w14:textId="77777777" w:rsidR="005B131E" w:rsidRPr="007E7921" w:rsidRDefault="005B131E">
            <w:pPr>
              <w:pStyle w:val="ARfintablecolheadright"/>
            </w:pPr>
            <w:r w:rsidRPr="007E7921">
              <w:t>$M</w:t>
            </w:r>
          </w:p>
        </w:tc>
      </w:tr>
      <w:tr w:rsidR="005B131E" w:rsidRPr="00BA7805" w14:paraId="52B0434C" w14:textId="77777777" w:rsidTr="00440F34">
        <w:tc>
          <w:tcPr>
            <w:tcW w:w="9637" w:type="dxa"/>
            <w:gridSpan w:val="3"/>
            <w:tcBorders>
              <w:top w:val="single" w:sz="4" w:space="0" w:color="A6A6A6" w:themeColor="background1" w:themeShade="A6"/>
              <w:bottom w:val="single" w:sz="4" w:space="0" w:color="A6A6A6" w:themeColor="background1" w:themeShade="A6"/>
            </w:tcBorders>
          </w:tcPr>
          <w:p w14:paraId="64DECECC" w14:textId="77777777" w:rsidR="005B131E" w:rsidRPr="00BA7805" w:rsidRDefault="005B131E" w:rsidP="002542E1">
            <w:pPr>
              <w:pStyle w:val="ARfintablebodybold"/>
              <w:rPr>
                <w:highlight w:val="green"/>
              </w:rPr>
            </w:pPr>
            <w:r w:rsidRPr="00F14ED5">
              <w:t xml:space="preserve">Non-government agencies and individuals </w:t>
            </w:r>
            <w:r w:rsidRPr="006503CC">
              <w:rPr>
                <w:vertAlign w:val="superscript"/>
              </w:rPr>
              <w:t>(i)</w:t>
            </w:r>
          </w:p>
        </w:tc>
      </w:tr>
      <w:tr w:rsidR="005B131E" w:rsidRPr="00BA7805" w14:paraId="03F20FBB" w14:textId="77777777" w:rsidTr="002542E1">
        <w:tc>
          <w:tcPr>
            <w:tcW w:w="6915" w:type="dxa"/>
            <w:tcBorders>
              <w:top w:val="single" w:sz="4" w:space="0" w:color="A6A6A6" w:themeColor="background1" w:themeShade="A6"/>
              <w:bottom w:val="single" w:sz="4" w:space="0" w:color="A6A6A6" w:themeColor="background1" w:themeShade="A6"/>
            </w:tcBorders>
          </w:tcPr>
          <w:p w14:paraId="4F12969F" w14:textId="77777777" w:rsidR="005B131E" w:rsidRPr="00BA7805" w:rsidRDefault="005B131E" w:rsidP="002542E1">
            <w:pPr>
              <w:pStyle w:val="ARfintablebody"/>
              <w:spacing w:before="30" w:after="10" w:line="252" w:lineRule="auto"/>
              <w:rPr>
                <w:highlight w:val="green"/>
              </w:rPr>
            </w:pPr>
            <w:r w:rsidRPr="00F14ED5">
              <w:t>Assistance payment and other benefits to households and individuals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17292DB4" w14:textId="77777777" w:rsidR="005B131E" w:rsidRPr="00BA7805" w:rsidRDefault="005B131E" w:rsidP="002542E1">
            <w:pPr>
              <w:pStyle w:val="ARfintablebodyright"/>
              <w:spacing w:before="30" w:after="10" w:line="252" w:lineRule="auto"/>
              <w:rPr>
                <w:highlight w:val="green"/>
              </w:rPr>
            </w:pPr>
            <w:r w:rsidRPr="00F14ED5">
              <w:t>1,081.1</w:t>
            </w:r>
          </w:p>
        </w:tc>
        <w:tc>
          <w:tcPr>
            <w:tcW w:w="1361" w:type="dxa"/>
            <w:tcBorders>
              <w:top w:val="single" w:sz="4" w:space="0" w:color="A6A6A6" w:themeColor="background1" w:themeShade="A6"/>
              <w:bottom w:val="single" w:sz="4" w:space="0" w:color="A6A6A6" w:themeColor="background1" w:themeShade="A6"/>
            </w:tcBorders>
            <w:noWrap/>
          </w:tcPr>
          <w:p w14:paraId="21CB0100" w14:textId="77777777" w:rsidR="005B131E" w:rsidRPr="00BA7805" w:rsidRDefault="005B131E" w:rsidP="002542E1">
            <w:pPr>
              <w:pStyle w:val="ARfintablebodyright"/>
              <w:spacing w:before="30" w:after="10" w:line="252" w:lineRule="auto"/>
              <w:rPr>
                <w:highlight w:val="green"/>
              </w:rPr>
            </w:pPr>
            <w:r w:rsidRPr="00F14ED5">
              <w:t>828.3</w:t>
            </w:r>
          </w:p>
        </w:tc>
      </w:tr>
      <w:tr w:rsidR="005B131E" w:rsidRPr="00BA7805" w14:paraId="378F4E7C" w14:textId="77777777" w:rsidTr="002542E1">
        <w:tc>
          <w:tcPr>
            <w:tcW w:w="6915" w:type="dxa"/>
            <w:tcBorders>
              <w:top w:val="single" w:sz="4" w:space="0" w:color="A6A6A6" w:themeColor="background1" w:themeShade="A6"/>
              <w:bottom w:val="single" w:sz="4" w:space="0" w:color="A6A6A6" w:themeColor="background1" w:themeShade="A6"/>
            </w:tcBorders>
          </w:tcPr>
          <w:p w14:paraId="78522B48" w14:textId="77777777" w:rsidR="005B131E" w:rsidRPr="00BA7805" w:rsidRDefault="005B131E" w:rsidP="002542E1">
            <w:pPr>
              <w:pStyle w:val="ARfintablebody"/>
              <w:spacing w:before="30" w:after="10" w:line="252" w:lineRule="auto"/>
              <w:rPr>
                <w:highlight w:val="green"/>
              </w:rPr>
            </w:pPr>
            <w:r w:rsidRPr="00F14ED5">
              <w:t>Community service organisations and other non-government organisations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3536BC3" w14:textId="77777777" w:rsidR="005B131E" w:rsidRPr="00BA7805" w:rsidRDefault="005B131E" w:rsidP="002542E1">
            <w:pPr>
              <w:pStyle w:val="ARfintablebodyright"/>
              <w:spacing w:before="30" w:after="10" w:line="252" w:lineRule="auto"/>
              <w:rPr>
                <w:highlight w:val="green"/>
              </w:rPr>
            </w:pPr>
          </w:p>
        </w:tc>
        <w:tc>
          <w:tcPr>
            <w:tcW w:w="1361" w:type="dxa"/>
            <w:tcBorders>
              <w:top w:val="single" w:sz="4" w:space="0" w:color="A6A6A6" w:themeColor="background1" w:themeShade="A6"/>
              <w:bottom w:val="single" w:sz="4" w:space="0" w:color="A6A6A6" w:themeColor="background1" w:themeShade="A6"/>
            </w:tcBorders>
            <w:noWrap/>
          </w:tcPr>
          <w:p w14:paraId="3259BC08" w14:textId="77777777" w:rsidR="005B131E" w:rsidRPr="00BA7805" w:rsidRDefault="005B131E" w:rsidP="002542E1">
            <w:pPr>
              <w:pStyle w:val="ARfintablebodyright"/>
              <w:spacing w:before="30" w:after="10" w:line="252" w:lineRule="auto"/>
              <w:rPr>
                <w:highlight w:val="green"/>
              </w:rPr>
            </w:pPr>
          </w:p>
        </w:tc>
      </w:tr>
      <w:tr w:rsidR="005B131E" w:rsidRPr="00BA7805" w14:paraId="70E18853" w14:textId="77777777" w:rsidTr="002542E1">
        <w:tc>
          <w:tcPr>
            <w:tcW w:w="6915" w:type="dxa"/>
            <w:tcBorders>
              <w:top w:val="single" w:sz="4" w:space="0" w:color="A6A6A6" w:themeColor="background1" w:themeShade="A6"/>
              <w:bottom w:val="single" w:sz="2" w:space="0" w:color="A6A6A6" w:themeColor="accent5"/>
            </w:tcBorders>
          </w:tcPr>
          <w:p w14:paraId="0FC2B1C8" w14:textId="77777777" w:rsidR="005B131E" w:rsidRPr="00BA7805" w:rsidRDefault="005B131E" w:rsidP="002542E1">
            <w:pPr>
              <w:pStyle w:val="ARfintablebody"/>
              <w:spacing w:before="30" w:after="10" w:line="252" w:lineRule="auto"/>
              <w:rPr>
                <w:highlight w:val="green"/>
              </w:rPr>
            </w:pPr>
            <w:r>
              <w:t xml:space="preserve">– </w:t>
            </w:r>
            <w:r w:rsidRPr="001F1B2B">
              <w:rPr>
                <w:lang w:val="en-US"/>
              </w:rPr>
              <w:t>Provision of housing and homelessness services</w:t>
            </w:r>
          </w:p>
        </w:tc>
        <w:tc>
          <w:tcPr>
            <w:tcW w:w="1361" w:type="dxa"/>
            <w:tcBorders>
              <w:top w:val="single" w:sz="4" w:space="0" w:color="A6A6A6" w:themeColor="background1" w:themeShade="A6"/>
              <w:bottom w:val="single" w:sz="2" w:space="0" w:color="A6A6A6" w:themeColor="accent5"/>
            </w:tcBorders>
            <w:shd w:val="clear" w:color="auto" w:fill="E7E6E6" w:themeFill="accent4"/>
            <w:noWrap/>
          </w:tcPr>
          <w:p w14:paraId="3B2B0B1E" w14:textId="77777777" w:rsidR="005B131E" w:rsidRPr="00BA7805" w:rsidRDefault="005B131E" w:rsidP="002542E1">
            <w:pPr>
              <w:pStyle w:val="ARfintablebodyright"/>
              <w:spacing w:before="30" w:after="10" w:line="252" w:lineRule="auto"/>
              <w:rPr>
                <w:highlight w:val="green"/>
              </w:rPr>
            </w:pPr>
            <w:r w:rsidRPr="00F14ED5">
              <w:t>806.0</w:t>
            </w:r>
          </w:p>
        </w:tc>
        <w:tc>
          <w:tcPr>
            <w:tcW w:w="1361" w:type="dxa"/>
            <w:tcBorders>
              <w:top w:val="single" w:sz="4" w:space="0" w:color="A6A6A6" w:themeColor="background1" w:themeShade="A6"/>
              <w:bottom w:val="single" w:sz="2" w:space="0" w:color="A6A6A6" w:themeColor="accent5"/>
            </w:tcBorders>
            <w:noWrap/>
          </w:tcPr>
          <w:p w14:paraId="7D563FFB" w14:textId="77777777" w:rsidR="005B131E" w:rsidRPr="00BA7805" w:rsidRDefault="005B131E" w:rsidP="002542E1">
            <w:pPr>
              <w:pStyle w:val="ARfintablebodyright"/>
              <w:spacing w:before="30" w:after="10" w:line="252" w:lineRule="auto"/>
              <w:rPr>
                <w:highlight w:val="green"/>
              </w:rPr>
            </w:pPr>
            <w:r w:rsidRPr="00F14ED5">
              <w:t>923.3</w:t>
            </w:r>
          </w:p>
        </w:tc>
      </w:tr>
      <w:tr w:rsidR="005B131E" w:rsidRPr="00BA7805" w14:paraId="3921DBBB" w14:textId="77777777" w:rsidTr="002542E1">
        <w:tc>
          <w:tcPr>
            <w:tcW w:w="6915" w:type="dxa"/>
            <w:tcBorders>
              <w:top w:val="single" w:sz="2" w:space="0" w:color="A6A6A6" w:themeColor="accent5"/>
              <w:bottom w:val="single" w:sz="4" w:space="0" w:color="auto"/>
            </w:tcBorders>
          </w:tcPr>
          <w:p w14:paraId="1737DA02" w14:textId="77777777" w:rsidR="005B131E" w:rsidRPr="00BA7805" w:rsidRDefault="005B131E" w:rsidP="002542E1">
            <w:pPr>
              <w:pStyle w:val="ARfintablebody"/>
              <w:rPr>
                <w:highlight w:val="green"/>
              </w:rPr>
            </w:pPr>
            <w:r>
              <w:t>–</w:t>
            </w:r>
            <w:r w:rsidRPr="00F14ED5">
              <w:t xml:space="preserve"> Other organisations</w:t>
            </w:r>
          </w:p>
        </w:tc>
        <w:tc>
          <w:tcPr>
            <w:tcW w:w="1361" w:type="dxa"/>
            <w:tcBorders>
              <w:top w:val="single" w:sz="2" w:space="0" w:color="A6A6A6" w:themeColor="accent5"/>
              <w:bottom w:val="single" w:sz="4" w:space="0" w:color="auto"/>
            </w:tcBorders>
            <w:shd w:val="clear" w:color="auto" w:fill="E7E6E6" w:themeFill="accent4"/>
            <w:noWrap/>
          </w:tcPr>
          <w:p w14:paraId="54B329F6" w14:textId="77777777" w:rsidR="005B131E" w:rsidRPr="00BA7805" w:rsidRDefault="005B131E" w:rsidP="002542E1">
            <w:pPr>
              <w:pStyle w:val="ARfintablebodyright"/>
              <w:rPr>
                <w:highlight w:val="green"/>
              </w:rPr>
            </w:pPr>
            <w:r w:rsidRPr="00F14ED5">
              <w:t>2,070.2</w:t>
            </w:r>
          </w:p>
        </w:tc>
        <w:tc>
          <w:tcPr>
            <w:tcW w:w="1361" w:type="dxa"/>
            <w:tcBorders>
              <w:top w:val="single" w:sz="2" w:space="0" w:color="A6A6A6" w:themeColor="accent5"/>
              <w:bottom w:val="single" w:sz="4" w:space="0" w:color="auto"/>
            </w:tcBorders>
            <w:noWrap/>
          </w:tcPr>
          <w:p w14:paraId="785D94C9" w14:textId="77777777" w:rsidR="005B131E" w:rsidRPr="00BA7805" w:rsidRDefault="005B131E" w:rsidP="002542E1">
            <w:pPr>
              <w:pStyle w:val="ARfintablebodyright"/>
              <w:rPr>
                <w:highlight w:val="green"/>
              </w:rPr>
            </w:pPr>
            <w:r w:rsidRPr="00F14ED5">
              <w:t>1,927.1</w:t>
            </w:r>
          </w:p>
        </w:tc>
      </w:tr>
      <w:tr w:rsidR="005B131E" w:rsidRPr="00BA7805" w14:paraId="2F82EE8A" w14:textId="77777777" w:rsidTr="002542E1">
        <w:tc>
          <w:tcPr>
            <w:tcW w:w="6915" w:type="dxa"/>
            <w:tcBorders>
              <w:top w:val="single" w:sz="4" w:space="0" w:color="A6A6A6" w:themeColor="background1" w:themeShade="A6"/>
              <w:bottom w:val="single" w:sz="4" w:space="0" w:color="A6A6A6" w:themeColor="background1" w:themeShade="A6"/>
            </w:tcBorders>
          </w:tcPr>
          <w:p w14:paraId="62F76062" w14:textId="77777777" w:rsidR="005B131E" w:rsidRPr="00BA7805" w:rsidRDefault="005B131E" w:rsidP="002542E1">
            <w:pPr>
              <w:pStyle w:val="ARfintablebody"/>
              <w:spacing w:before="30" w:after="10" w:line="252" w:lineRule="auto"/>
              <w:rPr>
                <w:highlight w:val="green"/>
              </w:rPr>
            </w:pP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7398C6F" w14:textId="77777777" w:rsidR="005B131E" w:rsidRPr="00BA7805" w:rsidRDefault="005B131E" w:rsidP="002542E1">
            <w:pPr>
              <w:pStyle w:val="ARfintablebodyrightbold"/>
              <w:rPr>
                <w:highlight w:val="green"/>
              </w:rPr>
            </w:pPr>
            <w:r w:rsidRPr="00AB31F9">
              <w:t>3,957.3</w:t>
            </w:r>
          </w:p>
        </w:tc>
        <w:tc>
          <w:tcPr>
            <w:tcW w:w="1361" w:type="dxa"/>
            <w:tcBorders>
              <w:top w:val="single" w:sz="4" w:space="0" w:color="A6A6A6" w:themeColor="background1" w:themeShade="A6"/>
              <w:bottom w:val="single" w:sz="4" w:space="0" w:color="A6A6A6" w:themeColor="background1" w:themeShade="A6"/>
            </w:tcBorders>
            <w:noWrap/>
          </w:tcPr>
          <w:p w14:paraId="05CD4955" w14:textId="77777777" w:rsidR="005B131E" w:rsidRPr="00BA7805" w:rsidRDefault="005B131E" w:rsidP="002542E1">
            <w:pPr>
              <w:pStyle w:val="ARfintablebodyrightbold"/>
              <w:rPr>
                <w:highlight w:val="green"/>
              </w:rPr>
            </w:pPr>
            <w:r w:rsidRPr="00AB31F9">
              <w:t>3,678.8</w:t>
            </w:r>
          </w:p>
        </w:tc>
      </w:tr>
      <w:tr w:rsidR="005B131E" w:rsidRPr="00BA7805" w14:paraId="75A8BC45" w14:textId="77777777" w:rsidTr="002542E1">
        <w:tc>
          <w:tcPr>
            <w:tcW w:w="9637" w:type="dxa"/>
            <w:gridSpan w:val="3"/>
            <w:tcBorders>
              <w:top w:val="single" w:sz="4" w:space="0" w:color="A6A6A6" w:themeColor="background1" w:themeShade="A6"/>
              <w:bottom w:val="single" w:sz="4" w:space="0" w:color="A6A6A6" w:themeColor="background1" w:themeShade="A6"/>
            </w:tcBorders>
          </w:tcPr>
          <w:p w14:paraId="4D05E180" w14:textId="77777777" w:rsidR="005B131E" w:rsidRPr="00BA7805" w:rsidRDefault="005B131E" w:rsidP="002542E1">
            <w:pPr>
              <w:pStyle w:val="ARfintablebodybold"/>
              <w:rPr>
                <w:highlight w:val="green"/>
              </w:rPr>
            </w:pPr>
            <w:r w:rsidRPr="00AB31F9">
              <w:t>Other state government agencies</w:t>
            </w:r>
          </w:p>
        </w:tc>
      </w:tr>
      <w:tr w:rsidR="005B131E" w:rsidRPr="00BA7805" w14:paraId="612409F7" w14:textId="77777777" w:rsidTr="002542E1">
        <w:tc>
          <w:tcPr>
            <w:tcW w:w="6915" w:type="dxa"/>
            <w:tcBorders>
              <w:top w:val="single" w:sz="4" w:space="0" w:color="A6A6A6" w:themeColor="background1" w:themeShade="A6"/>
              <w:bottom w:val="single" w:sz="2" w:space="0" w:color="A6A6A6" w:themeColor="accent5"/>
            </w:tcBorders>
          </w:tcPr>
          <w:p w14:paraId="654B9BEC" w14:textId="77777777" w:rsidR="005B131E" w:rsidRPr="00BA7805" w:rsidRDefault="005B131E" w:rsidP="002542E1">
            <w:pPr>
              <w:pStyle w:val="ARfintablebody"/>
              <w:spacing w:before="30" w:after="10" w:line="252" w:lineRule="auto"/>
              <w:rPr>
                <w:highlight w:val="green"/>
              </w:rPr>
            </w:pPr>
            <w:r w:rsidRPr="00AB31F9">
              <w:t>Public health services and hospitals</w:t>
            </w:r>
          </w:p>
        </w:tc>
        <w:tc>
          <w:tcPr>
            <w:tcW w:w="1361" w:type="dxa"/>
            <w:tcBorders>
              <w:top w:val="single" w:sz="4" w:space="0" w:color="A6A6A6" w:themeColor="background1" w:themeShade="A6"/>
              <w:bottom w:val="single" w:sz="2" w:space="0" w:color="A6A6A6" w:themeColor="accent5"/>
            </w:tcBorders>
            <w:shd w:val="clear" w:color="auto" w:fill="E7E6E6" w:themeFill="accent4"/>
            <w:noWrap/>
          </w:tcPr>
          <w:p w14:paraId="20A9AC7D" w14:textId="77777777" w:rsidR="005B131E" w:rsidRPr="00BA7805" w:rsidRDefault="005B131E" w:rsidP="002542E1">
            <w:pPr>
              <w:pStyle w:val="ARfintablebodyright"/>
              <w:spacing w:before="30" w:after="10" w:line="252" w:lineRule="auto"/>
              <w:rPr>
                <w:highlight w:val="green"/>
              </w:rPr>
            </w:pPr>
            <w:r w:rsidRPr="00AB31F9">
              <w:t>73.3</w:t>
            </w:r>
          </w:p>
        </w:tc>
        <w:tc>
          <w:tcPr>
            <w:tcW w:w="1361" w:type="dxa"/>
            <w:tcBorders>
              <w:top w:val="single" w:sz="4" w:space="0" w:color="A6A6A6" w:themeColor="background1" w:themeShade="A6"/>
              <w:bottom w:val="single" w:sz="2" w:space="0" w:color="A6A6A6" w:themeColor="accent5"/>
            </w:tcBorders>
            <w:noWrap/>
          </w:tcPr>
          <w:p w14:paraId="284B05A3" w14:textId="77777777" w:rsidR="005B131E" w:rsidRPr="00BA7805" w:rsidRDefault="005B131E" w:rsidP="002542E1">
            <w:pPr>
              <w:pStyle w:val="ARfintablebodyright"/>
              <w:spacing w:before="30" w:after="10" w:line="252" w:lineRule="auto"/>
              <w:rPr>
                <w:highlight w:val="green"/>
              </w:rPr>
            </w:pPr>
            <w:r w:rsidRPr="00AB31F9">
              <w:t>71.4</w:t>
            </w:r>
          </w:p>
        </w:tc>
      </w:tr>
      <w:tr w:rsidR="005B131E" w:rsidRPr="00BA7805" w14:paraId="6F1B6AC1" w14:textId="77777777" w:rsidTr="002542E1">
        <w:tc>
          <w:tcPr>
            <w:tcW w:w="6915" w:type="dxa"/>
            <w:tcBorders>
              <w:top w:val="single" w:sz="2" w:space="0" w:color="A6A6A6" w:themeColor="accent5"/>
              <w:bottom w:val="single" w:sz="4" w:space="0" w:color="auto"/>
            </w:tcBorders>
          </w:tcPr>
          <w:p w14:paraId="3E9F3B12" w14:textId="77777777" w:rsidR="005B131E" w:rsidRPr="00920107" w:rsidRDefault="005B131E" w:rsidP="002542E1">
            <w:pPr>
              <w:pStyle w:val="ARfintablebody"/>
              <w:rPr>
                <w:highlight w:val="green"/>
              </w:rPr>
            </w:pPr>
            <w:r w:rsidRPr="00920107">
              <w:t>Other state government departments and associated entities</w:t>
            </w:r>
          </w:p>
        </w:tc>
        <w:tc>
          <w:tcPr>
            <w:tcW w:w="1361" w:type="dxa"/>
            <w:tcBorders>
              <w:top w:val="single" w:sz="2" w:space="0" w:color="A6A6A6" w:themeColor="accent5"/>
              <w:bottom w:val="single" w:sz="4" w:space="0" w:color="auto"/>
            </w:tcBorders>
            <w:shd w:val="clear" w:color="auto" w:fill="E7E6E6" w:themeFill="accent4"/>
            <w:noWrap/>
          </w:tcPr>
          <w:p w14:paraId="7DAA026B" w14:textId="77777777" w:rsidR="005B131E" w:rsidRPr="00920107" w:rsidRDefault="005B131E" w:rsidP="002542E1">
            <w:pPr>
              <w:pStyle w:val="ARfintablebodyright"/>
              <w:rPr>
                <w:highlight w:val="green"/>
              </w:rPr>
            </w:pPr>
            <w:r w:rsidRPr="00920107">
              <w:t>231.8</w:t>
            </w:r>
          </w:p>
        </w:tc>
        <w:tc>
          <w:tcPr>
            <w:tcW w:w="1361" w:type="dxa"/>
            <w:tcBorders>
              <w:top w:val="single" w:sz="2" w:space="0" w:color="A6A6A6" w:themeColor="accent5"/>
              <w:bottom w:val="single" w:sz="4" w:space="0" w:color="auto"/>
            </w:tcBorders>
            <w:noWrap/>
          </w:tcPr>
          <w:p w14:paraId="7E2BBDC0" w14:textId="77777777" w:rsidR="005B131E" w:rsidRPr="00920107" w:rsidRDefault="005B131E" w:rsidP="002542E1">
            <w:pPr>
              <w:pStyle w:val="ARfintablebodyright"/>
              <w:rPr>
                <w:highlight w:val="green"/>
              </w:rPr>
            </w:pPr>
            <w:r w:rsidRPr="00920107">
              <w:t>245.7</w:t>
            </w:r>
          </w:p>
        </w:tc>
      </w:tr>
      <w:tr w:rsidR="005B131E" w:rsidRPr="00BA7805" w14:paraId="1641AD55" w14:textId="77777777" w:rsidTr="002542E1">
        <w:tc>
          <w:tcPr>
            <w:tcW w:w="6915" w:type="dxa"/>
            <w:tcBorders>
              <w:top w:val="single" w:sz="2" w:space="0" w:color="A6A6A6" w:themeColor="accent5"/>
              <w:bottom w:val="single" w:sz="4" w:space="0" w:color="auto"/>
            </w:tcBorders>
          </w:tcPr>
          <w:p w14:paraId="09DB5FA2" w14:textId="77777777" w:rsidR="005B131E" w:rsidRPr="00920107" w:rsidRDefault="005B131E" w:rsidP="002542E1">
            <w:pPr>
              <w:pStyle w:val="ARfintablebodybold"/>
            </w:pPr>
          </w:p>
        </w:tc>
        <w:tc>
          <w:tcPr>
            <w:tcW w:w="1361" w:type="dxa"/>
            <w:tcBorders>
              <w:top w:val="single" w:sz="2" w:space="0" w:color="A6A6A6" w:themeColor="accent5"/>
              <w:bottom w:val="single" w:sz="4" w:space="0" w:color="auto"/>
            </w:tcBorders>
            <w:shd w:val="clear" w:color="auto" w:fill="E7E6E6" w:themeFill="accent4"/>
            <w:noWrap/>
          </w:tcPr>
          <w:p w14:paraId="3FF08485" w14:textId="77777777" w:rsidR="005B131E" w:rsidRPr="00920107" w:rsidRDefault="005B131E" w:rsidP="002542E1">
            <w:pPr>
              <w:pStyle w:val="ARfintablebodyrightbold"/>
            </w:pPr>
            <w:r>
              <w:t>305.1</w:t>
            </w:r>
          </w:p>
        </w:tc>
        <w:tc>
          <w:tcPr>
            <w:tcW w:w="1361" w:type="dxa"/>
            <w:tcBorders>
              <w:top w:val="single" w:sz="2" w:space="0" w:color="A6A6A6" w:themeColor="accent5"/>
              <w:bottom w:val="single" w:sz="4" w:space="0" w:color="auto"/>
            </w:tcBorders>
            <w:noWrap/>
          </w:tcPr>
          <w:p w14:paraId="0918C4C7" w14:textId="77777777" w:rsidR="005B131E" w:rsidRPr="00920107" w:rsidRDefault="005B131E" w:rsidP="002542E1">
            <w:pPr>
              <w:pStyle w:val="ARfintablebodyrightbold"/>
            </w:pPr>
            <w:r>
              <w:t>317.2</w:t>
            </w:r>
          </w:p>
        </w:tc>
      </w:tr>
      <w:tr w:rsidR="005B131E" w:rsidRPr="00BA7805" w14:paraId="46E82FB3" w14:textId="77777777" w:rsidTr="00440F34">
        <w:tc>
          <w:tcPr>
            <w:tcW w:w="9637" w:type="dxa"/>
            <w:gridSpan w:val="3"/>
            <w:tcBorders>
              <w:top w:val="single" w:sz="4" w:space="0" w:color="auto"/>
              <w:bottom w:val="single" w:sz="4" w:space="0" w:color="A6A6A6" w:themeColor="background1" w:themeShade="A6"/>
            </w:tcBorders>
          </w:tcPr>
          <w:p w14:paraId="70A361B4" w14:textId="77777777" w:rsidR="005B131E" w:rsidRPr="00BA7805" w:rsidRDefault="005B131E" w:rsidP="002542E1">
            <w:pPr>
              <w:pStyle w:val="ARfintablebodybold"/>
              <w:spacing w:before="30" w:after="10" w:line="252" w:lineRule="auto"/>
              <w:rPr>
                <w:highlight w:val="green"/>
              </w:rPr>
            </w:pPr>
            <w:r w:rsidRPr="00C555D1">
              <w:t>Local government</w:t>
            </w:r>
          </w:p>
        </w:tc>
      </w:tr>
      <w:tr w:rsidR="005B131E" w:rsidRPr="00BA7805" w14:paraId="725EF30B" w14:textId="77777777" w:rsidTr="002542E1">
        <w:tc>
          <w:tcPr>
            <w:tcW w:w="6915" w:type="dxa"/>
            <w:tcBorders>
              <w:top w:val="single" w:sz="4" w:space="0" w:color="A6A6A6" w:themeColor="background1" w:themeShade="A6"/>
              <w:bottom w:val="single" w:sz="4" w:space="0" w:color="auto"/>
            </w:tcBorders>
          </w:tcPr>
          <w:p w14:paraId="547AC2DD" w14:textId="77777777" w:rsidR="005B131E" w:rsidRPr="00BA7805" w:rsidRDefault="005B131E" w:rsidP="002542E1">
            <w:pPr>
              <w:pStyle w:val="ARfintablebody"/>
              <w:spacing w:before="30" w:after="10" w:line="252" w:lineRule="auto"/>
              <w:rPr>
                <w:highlight w:val="green"/>
              </w:rPr>
            </w:pPr>
            <w:r w:rsidRPr="00C555D1">
              <w:t>Local councils</w:t>
            </w:r>
          </w:p>
        </w:tc>
        <w:tc>
          <w:tcPr>
            <w:tcW w:w="1361" w:type="dxa"/>
            <w:tcBorders>
              <w:top w:val="single" w:sz="4" w:space="0" w:color="A6A6A6" w:themeColor="background1" w:themeShade="A6"/>
              <w:bottom w:val="single" w:sz="4" w:space="0" w:color="auto"/>
            </w:tcBorders>
            <w:shd w:val="clear" w:color="auto" w:fill="E7E6E6" w:themeFill="accent4"/>
            <w:noWrap/>
          </w:tcPr>
          <w:p w14:paraId="04927427" w14:textId="77777777" w:rsidR="005B131E" w:rsidRPr="00BA7805" w:rsidRDefault="005B131E" w:rsidP="002542E1">
            <w:pPr>
              <w:pStyle w:val="ARfintablebodyright"/>
              <w:spacing w:before="30" w:after="10" w:line="252" w:lineRule="auto"/>
              <w:rPr>
                <w:highlight w:val="green"/>
              </w:rPr>
            </w:pPr>
            <w:r w:rsidRPr="00C555D1">
              <w:t>14.5</w:t>
            </w:r>
          </w:p>
        </w:tc>
        <w:tc>
          <w:tcPr>
            <w:tcW w:w="1361" w:type="dxa"/>
            <w:tcBorders>
              <w:top w:val="single" w:sz="4" w:space="0" w:color="A6A6A6" w:themeColor="background1" w:themeShade="A6"/>
              <w:bottom w:val="single" w:sz="4" w:space="0" w:color="auto"/>
            </w:tcBorders>
            <w:noWrap/>
          </w:tcPr>
          <w:p w14:paraId="017EA3CF" w14:textId="77777777" w:rsidR="005B131E" w:rsidRPr="00BA7805" w:rsidRDefault="005B131E" w:rsidP="002542E1">
            <w:pPr>
              <w:pStyle w:val="ARfintablebodyright"/>
              <w:spacing w:before="30" w:after="10" w:line="252" w:lineRule="auto"/>
              <w:rPr>
                <w:highlight w:val="green"/>
              </w:rPr>
            </w:pPr>
            <w:r w:rsidRPr="00C555D1">
              <w:t>12.5</w:t>
            </w:r>
          </w:p>
        </w:tc>
      </w:tr>
      <w:tr w:rsidR="005B131E" w:rsidRPr="00BA7805" w14:paraId="254C8E98" w14:textId="77777777" w:rsidTr="002542E1">
        <w:tc>
          <w:tcPr>
            <w:tcW w:w="6915" w:type="dxa"/>
            <w:tcBorders>
              <w:top w:val="single" w:sz="4" w:space="0" w:color="auto"/>
              <w:bottom w:val="single" w:sz="4" w:space="0" w:color="A6A6A6" w:themeColor="accent5"/>
            </w:tcBorders>
          </w:tcPr>
          <w:p w14:paraId="3F9EEBB4" w14:textId="77777777" w:rsidR="005B131E" w:rsidRPr="00BA7805" w:rsidRDefault="005B131E" w:rsidP="002542E1">
            <w:pPr>
              <w:pStyle w:val="ARfintablebodybold"/>
              <w:spacing w:before="30" w:after="10" w:line="252" w:lineRule="auto"/>
              <w:rPr>
                <w:highlight w:val="green"/>
              </w:rPr>
            </w:pPr>
          </w:p>
        </w:tc>
        <w:tc>
          <w:tcPr>
            <w:tcW w:w="1361" w:type="dxa"/>
            <w:tcBorders>
              <w:top w:val="single" w:sz="4" w:space="0" w:color="auto"/>
              <w:bottom w:val="single" w:sz="4" w:space="0" w:color="A6A6A6" w:themeColor="accent5"/>
            </w:tcBorders>
            <w:shd w:val="clear" w:color="auto" w:fill="E7E6E6" w:themeFill="accent4"/>
            <w:noWrap/>
          </w:tcPr>
          <w:p w14:paraId="4EC51D66" w14:textId="77777777" w:rsidR="005B131E" w:rsidRPr="00BA7805" w:rsidRDefault="005B131E" w:rsidP="002542E1">
            <w:pPr>
              <w:pStyle w:val="ARfintablebodyrightbold"/>
              <w:spacing w:before="30" w:after="10" w:line="252" w:lineRule="auto"/>
              <w:rPr>
                <w:highlight w:val="green"/>
              </w:rPr>
            </w:pPr>
            <w:r w:rsidRPr="00C555D1">
              <w:t>14.5</w:t>
            </w:r>
          </w:p>
        </w:tc>
        <w:tc>
          <w:tcPr>
            <w:tcW w:w="1361" w:type="dxa"/>
            <w:tcBorders>
              <w:top w:val="single" w:sz="4" w:space="0" w:color="auto"/>
              <w:bottom w:val="single" w:sz="4" w:space="0" w:color="A6A6A6" w:themeColor="accent5"/>
            </w:tcBorders>
            <w:noWrap/>
          </w:tcPr>
          <w:p w14:paraId="7B05B70E" w14:textId="77777777" w:rsidR="005B131E" w:rsidRPr="00BA7805" w:rsidRDefault="005B131E" w:rsidP="002542E1">
            <w:pPr>
              <w:pStyle w:val="ARfintablebodyrightbold"/>
              <w:spacing w:before="30" w:after="10" w:line="252" w:lineRule="auto"/>
              <w:rPr>
                <w:highlight w:val="green"/>
              </w:rPr>
            </w:pPr>
            <w:r w:rsidRPr="00C555D1">
              <w:t>12.5</w:t>
            </w:r>
          </w:p>
        </w:tc>
      </w:tr>
      <w:tr w:rsidR="005B131E" w:rsidRPr="00BA7805" w14:paraId="00C10D29" w14:textId="77777777" w:rsidTr="002542E1">
        <w:tc>
          <w:tcPr>
            <w:tcW w:w="9637" w:type="dxa"/>
            <w:gridSpan w:val="3"/>
            <w:tcBorders>
              <w:top w:val="single" w:sz="4" w:space="0" w:color="A6A6A6" w:themeColor="accent5"/>
              <w:bottom w:val="single" w:sz="4" w:space="0" w:color="A6A6A6" w:themeColor="background1" w:themeShade="A6"/>
            </w:tcBorders>
            <w:hideMark/>
          </w:tcPr>
          <w:p w14:paraId="05073676" w14:textId="77777777" w:rsidR="005B131E" w:rsidRPr="00BA7805" w:rsidRDefault="005B131E" w:rsidP="002542E1">
            <w:pPr>
              <w:pStyle w:val="ARfintablebodybold"/>
              <w:spacing w:before="30" w:after="10" w:line="252" w:lineRule="auto"/>
              <w:rPr>
                <w:highlight w:val="green"/>
              </w:rPr>
            </w:pPr>
            <w:r w:rsidRPr="00C07B71">
              <w:t xml:space="preserve">Commonwealth Government </w:t>
            </w:r>
          </w:p>
        </w:tc>
      </w:tr>
      <w:tr w:rsidR="005B131E" w:rsidRPr="00BA7805" w14:paraId="4B3216CA" w14:textId="77777777" w:rsidTr="002542E1">
        <w:tc>
          <w:tcPr>
            <w:tcW w:w="6915" w:type="dxa"/>
            <w:tcBorders>
              <w:top w:val="single" w:sz="4" w:space="0" w:color="A6A6A6" w:themeColor="background1" w:themeShade="A6"/>
            </w:tcBorders>
          </w:tcPr>
          <w:p w14:paraId="09228B88" w14:textId="77777777" w:rsidR="005B131E" w:rsidRPr="00BA7805" w:rsidRDefault="005B131E" w:rsidP="002542E1">
            <w:pPr>
              <w:pStyle w:val="ARfintablebody"/>
              <w:spacing w:before="30" w:after="10" w:line="252" w:lineRule="auto"/>
              <w:rPr>
                <w:highlight w:val="green"/>
              </w:rPr>
            </w:pPr>
            <w:r w:rsidRPr="00C07B71">
              <w:t>Commonwealth government organisations</w:t>
            </w:r>
          </w:p>
        </w:tc>
        <w:tc>
          <w:tcPr>
            <w:tcW w:w="1361" w:type="dxa"/>
            <w:tcBorders>
              <w:top w:val="single" w:sz="4" w:space="0" w:color="A6A6A6" w:themeColor="background1" w:themeShade="A6"/>
            </w:tcBorders>
            <w:shd w:val="clear" w:color="auto" w:fill="E7E6E6" w:themeFill="accent4"/>
            <w:noWrap/>
          </w:tcPr>
          <w:p w14:paraId="0D4F8547" w14:textId="77777777" w:rsidR="005B131E" w:rsidRPr="00BA7805" w:rsidRDefault="005B131E" w:rsidP="002542E1">
            <w:pPr>
              <w:pStyle w:val="ARfintablebodyright"/>
              <w:spacing w:before="30" w:after="10" w:line="252" w:lineRule="auto"/>
              <w:rPr>
                <w:highlight w:val="green"/>
              </w:rPr>
            </w:pPr>
            <w:r w:rsidRPr="00C07B71">
              <w:t>1.7</w:t>
            </w:r>
          </w:p>
        </w:tc>
        <w:tc>
          <w:tcPr>
            <w:tcW w:w="1361" w:type="dxa"/>
            <w:tcBorders>
              <w:top w:val="single" w:sz="4" w:space="0" w:color="A6A6A6" w:themeColor="background1" w:themeShade="A6"/>
            </w:tcBorders>
            <w:noWrap/>
          </w:tcPr>
          <w:p w14:paraId="3EB89B7E" w14:textId="77777777" w:rsidR="005B131E" w:rsidRPr="00BA7805" w:rsidRDefault="005B131E" w:rsidP="002542E1">
            <w:pPr>
              <w:pStyle w:val="ARfintablebodyright"/>
              <w:spacing w:before="30" w:after="10" w:line="252" w:lineRule="auto"/>
              <w:rPr>
                <w:highlight w:val="green"/>
              </w:rPr>
            </w:pPr>
            <w:r w:rsidRPr="00C07B71">
              <w:t>2.3</w:t>
            </w:r>
          </w:p>
        </w:tc>
      </w:tr>
      <w:tr w:rsidR="005B131E" w:rsidRPr="00BA7805" w14:paraId="7406B13B" w14:textId="77777777" w:rsidTr="002542E1">
        <w:tc>
          <w:tcPr>
            <w:tcW w:w="6915" w:type="dxa"/>
            <w:tcBorders>
              <w:bottom w:val="single" w:sz="4" w:space="0" w:color="auto"/>
            </w:tcBorders>
          </w:tcPr>
          <w:p w14:paraId="5BA115A7" w14:textId="77777777" w:rsidR="005B131E" w:rsidRPr="00BA7805" w:rsidRDefault="005B131E" w:rsidP="002542E1">
            <w:pPr>
              <w:pStyle w:val="ARfintablebodybold"/>
              <w:spacing w:before="30" w:after="10" w:line="252" w:lineRule="auto"/>
              <w:rPr>
                <w:highlight w:val="green"/>
              </w:rPr>
            </w:pPr>
          </w:p>
        </w:tc>
        <w:tc>
          <w:tcPr>
            <w:tcW w:w="1361" w:type="dxa"/>
            <w:tcBorders>
              <w:bottom w:val="single" w:sz="4" w:space="0" w:color="auto"/>
            </w:tcBorders>
            <w:shd w:val="clear" w:color="auto" w:fill="E7E6E6" w:themeFill="accent4"/>
            <w:noWrap/>
          </w:tcPr>
          <w:p w14:paraId="4DC89271" w14:textId="77777777" w:rsidR="005B131E" w:rsidRPr="00BA7805" w:rsidRDefault="005B131E" w:rsidP="002542E1">
            <w:pPr>
              <w:pStyle w:val="ARfintablebodyrightbold"/>
              <w:spacing w:before="30" w:after="10" w:line="252" w:lineRule="auto"/>
              <w:rPr>
                <w:highlight w:val="green"/>
              </w:rPr>
            </w:pPr>
            <w:r w:rsidRPr="00C07B71">
              <w:t>1.7</w:t>
            </w:r>
          </w:p>
        </w:tc>
        <w:tc>
          <w:tcPr>
            <w:tcW w:w="1361" w:type="dxa"/>
            <w:tcBorders>
              <w:bottom w:val="single" w:sz="4" w:space="0" w:color="auto"/>
            </w:tcBorders>
            <w:noWrap/>
          </w:tcPr>
          <w:p w14:paraId="22A6CCAC" w14:textId="77777777" w:rsidR="005B131E" w:rsidRPr="00BA7805" w:rsidRDefault="005B131E" w:rsidP="002542E1">
            <w:pPr>
              <w:pStyle w:val="ARfintablebodyrightbold"/>
              <w:spacing w:before="30" w:after="10" w:line="252" w:lineRule="auto"/>
              <w:rPr>
                <w:highlight w:val="green"/>
              </w:rPr>
            </w:pPr>
            <w:r w:rsidRPr="00C07B71">
              <w:t>2.3</w:t>
            </w:r>
          </w:p>
        </w:tc>
      </w:tr>
      <w:tr w:rsidR="005B131E" w:rsidRPr="00BA7805" w14:paraId="1309C4A2" w14:textId="77777777" w:rsidTr="002542E1">
        <w:tc>
          <w:tcPr>
            <w:tcW w:w="6915" w:type="dxa"/>
          </w:tcPr>
          <w:p w14:paraId="3FCA20F7" w14:textId="77777777" w:rsidR="005B131E" w:rsidRPr="00BA7805" w:rsidRDefault="005B131E" w:rsidP="002542E1">
            <w:pPr>
              <w:pStyle w:val="ARfintablebodybold"/>
              <w:spacing w:before="30" w:after="10" w:line="252" w:lineRule="auto"/>
              <w:rPr>
                <w:highlight w:val="green"/>
              </w:rPr>
            </w:pPr>
            <w:r w:rsidRPr="00C07B71">
              <w:t>Total grant expenses</w:t>
            </w:r>
          </w:p>
        </w:tc>
        <w:tc>
          <w:tcPr>
            <w:tcW w:w="1361" w:type="dxa"/>
            <w:shd w:val="clear" w:color="auto" w:fill="E7E6E6" w:themeFill="accent4"/>
            <w:noWrap/>
          </w:tcPr>
          <w:p w14:paraId="485F7960" w14:textId="77777777" w:rsidR="005B131E" w:rsidRPr="00BA7805" w:rsidRDefault="005B131E" w:rsidP="002542E1">
            <w:pPr>
              <w:pStyle w:val="ARfintablebodyrightbold"/>
              <w:spacing w:before="30" w:after="10" w:line="252" w:lineRule="auto"/>
              <w:rPr>
                <w:highlight w:val="green"/>
              </w:rPr>
            </w:pPr>
            <w:r w:rsidRPr="00C07B71">
              <w:t>4,278.6</w:t>
            </w:r>
          </w:p>
        </w:tc>
        <w:tc>
          <w:tcPr>
            <w:tcW w:w="1361" w:type="dxa"/>
            <w:noWrap/>
          </w:tcPr>
          <w:p w14:paraId="11C022F5" w14:textId="77777777" w:rsidR="005B131E" w:rsidRPr="00BA7805" w:rsidRDefault="005B131E" w:rsidP="002542E1">
            <w:pPr>
              <w:pStyle w:val="ARfintablebodyrightbold"/>
              <w:spacing w:before="30" w:after="10" w:line="252" w:lineRule="auto"/>
              <w:rPr>
                <w:highlight w:val="green"/>
              </w:rPr>
            </w:pPr>
            <w:r w:rsidRPr="00C07B71">
              <w:t>4,010.7</w:t>
            </w:r>
          </w:p>
        </w:tc>
      </w:tr>
    </w:tbl>
    <w:p w14:paraId="78C93418" w14:textId="77777777" w:rsidR="005B131E" w:rsidRPr="00DB1194" w:rsidRDefault="005B131E">
      <w:pPr>
        <w:pStyle w:val="ARfintablefootnote"/>
        <w:rPr>
          <w:lang w:eastAsia="en-AU"/>
        </w:rPr>
      </w:pPr>
      <w:r w:rsidRPr="00DB1194">
        <w:rPr>
          <w:lang w:eastAsia="en-AU"/>
        </w:rPr>
        <w:t>Note:</w:t>
      </w:r>
    </w:p>
    <w:p w14:paraId="59E0743A" w14:textId="6865D431" w:rsidR="005B131E" w:rsidRPr="008D5C61" w:rsidRDefault="005B131E" w:rsidP="002542E1">
      <w:pPr>
        <w:pStyle w:val="ARfintablefootnotetabindent"/>
        <w:rPr>
          <w:rFonts w:cs="HelveticaNeue"/>
        </w:rPr>
      </w:pPr>
      <w:r w:rsidRPr="008D5C61">
        <w:rPr>
          <w:rFonts w:cs="HelveticaNeue"/>
        </w:rPr>
        <w:t xml:space="preserve">(i) </w:t>
      </w:r>
      <w:r>
        <w:rPr>
          <w:rFonts w:cs="HelveticaNeue"/>
        </w:rPr>
        <w:tab/>
      </w:r>
      <w:r w:rsidRPr="008D5C61">
        <w:rPr>
          <w:rFonts w:cs="HelveticaNeue"/>
        </w:rPr>
        <w:t>Grants to non-government agencies and individuals primarily relate to social and affordable housing initiative, concessions to</w:t>
      </w:r>
      <w:r>
        <w:rPr>
          <w:rFonts w:cs="HelveticaNeue"/>
        </w:rPr>
        <w:t> </w:t>
      </w:r>
      <w:r w:rsidRPr="008D5C61">
        <w:rPr>
          <w:rFonts w:cs="HelveticaNeue"/>
        </w:rPr>
        <w:t>pensioners and beneficiaries and services provided by non-</w:t>
      </w:r>
      <w:r w:rsidR="00C41E2B">
        <w:rPr>
          <w:rFonts w:cs="HelveticaNeue"/>
        </w:rPr>
        <w:t>government</w:t>
      </w:r>
      <w:r w:rsidRPr="008D5C61">
        <w:rPr>
          <w:rFonts w:cs="HelveticaNeue"/>
        </w:rPr>
        <w:t xml:space="preserve"> organisations to Victorians.</w:t>
      </w:r>
    </w:p>
    <w:p w14:paraId="12D7CA7C" w14:textId="4557C24C" w:rsidR="005B131E" w:rsidRPr="007530A7" w:rsidRDefault="005B131E" w:rsidP="002542E1">
      <w:pPr>
        <w:pStyle w:val="ARfinbodyaftertable"/>
      </w:pPr>
      <w:r w:rsidRPr="007530A7">
        <w:t xml:space="preserve">Transactions in which the department provides goods, services, assets (or extinguishes a liability) or labour to another party without receiving approximately equal value in return are categorised as </w:t>
      </w:r>
      <w:r w:rsidR="00711AE6">
        <w:t>‘</w:t>
      </w:r>
      <w:r w:rsidRPr="007530A7">
        <w:t>Grant</w:t>
      </w:r>
      <w:r w:rsidRPr="009E6B1A">
        <w:t>s</w:t>
      </w:r>
      <w:r w:rsidRPr="007530A7">
        <w:t xml:space="preserve"> and other transfers</w:t>
      </w:r>
      <w:r w:rsidR="00711AE6">
        <w:t>’</w:t>
      </w:r>
      <w:r w:rsidRPr="007530A7">
        <w:t xml:space="preserve">. Grants can either be operating or capital in nature. </w:t>
      </w:r>
    </w:p>
    <w:p w14:paraId="7B7FC2B9" w14:textId="71E43826" w:rsidR="005B131E" w:rsidRPr="007530A7" w:rsidRDefault="005B131E" w:rsidP="002542E1">
      <w:pPr>
        <w:pStyle w:val="ARfinbody"/>
      </w:pPr>
      <w:r w:rsidRPr="007530A7">
        <w:t>Grants and other transfers to third parties are recognised as an expense in the reporting period in which they are incurred. They include transactions such as grants, subsidies and other transfer payments to other state government agencies, local councils and non-government agencies and individuals. Committed grants and other transfers as at 30</w:t>
      </w:r>
      <w:r w:rsidR="00120540">
        <w:t> </w:t>
      </w:r>
      <w:r w:rsidRPr="007530A7">
        <w:t>June 2024 are disclosed in Note 7.5.1.</w:t>
      </w:r>
    </w:p>
    <w:p w14:paraId="6F5E1E94" w14:textId="77777777" w:rsidR="005B131E" w:rsidRPr="007530A7" w:rsidRDefault="005B131E" w:rsidP="002542E1">
      <w:pPr>
        <w:pStyle w:val="ARfinbodyaftertable"/>
      </w:pPr>
      <w:r w:rsidRPr="007530A7">
        <w:t>Grants to non-government agencies and individuals include payments related to:</w:t>
      </w:r>
    </w:p>
    <w:p w14:paraId="08C7F8D9" w14:textId="52C5BC3E" w:rsidR="005B131E" w:rsidRPr="007530A7" w:rsidRDefault="005B131E" w:rsidP="002542E1">
      <w:pPr>
        <w:pStyle w:val="ARfinbullet1"/>
      </w:pPr>
      <w:r w:rsidRPr="007530A7">
        <w:t>Initiatives to increase social and affordable housing stock as part of the Big Housing Build as well as the Building Works Package to fund the maintenance and upgrade of social housing. Committed grants under the Big Housing Build and Building Works Package initiatives are disclosed in Note 7.5.1</w:t>
      </w:r>
    </w:p>
    <w:p w14:paraId="7AA251A7" w14:textId="06D3802D" w:rsidR="005B131E" w:rsidRPr="007530A7" w:rsidRDefault="005B131E" w:rsidP="002542E1">
      <w:pPr>
        <w:pStyle w:val="ARfinbullet1"/>
      </w:pPr>
      <w:r w:rsidRPr="007530A7">
        <w:t>Concessions to Pensioners and Beneficiaries</w:t>
      </w:r>
      <w:r>
        <w:t>,</w:t>
      </w:r>
      <w:r w:rsidRPr="007530A7">
        <w:t xml:space="preserve"> including the development and coordination of the delivery of concessions and relief grants to eligible consumers and concession card holders</w:t>
      </w:r>
    </w:p>
    <w:p w14:paraId="4023760B" w14:textId="4C6283DB" w:rsidR="005B131E" w:rsidRPr="007530A7" w:rsidRDefault="005B131E" w:rsidP="002542E1">
      <w:pPr>
        <w:pStyle w:val="ARfinbullet1"/>
      </w:pPr>
      <w:r w:rsidRPr="007530A7">
        <w:t xml:space="preserve">Services provided by </w:t>
      </w:r>
      <w:r w:rsidR="00C41E2B" w:rsidRPr="007530A7">
        <w:t xml:space="preserve">non-government organisations </w:t>
      </w:r>
      <w:r w:rsidRPr="007530A7">
        <w:t>to support Victorians, including support family, child protection, early parenting, family violence victims and reform, sexual assault victims, placement care and specialist support. Refer to Note 4.1.2 Departmental outputs – Controlled income and expenses for further details.</w:t>
      </w:r>
    </w:p>
    <w:p w14:paraId="2B745FEF" w14:textId="77777777" w:rsidR="005B131E" w:rsidRPr="007530A7" w:rsidRDefault="005B131E" w:rsidP="002542E1">
      <w:pPr>
        <w:pStyle w:val="ARfinbody"/>
      </w:pPr>
      <w:r w:rsidRPr="007530A7">
        <w:br w:type="page"/>
      </w:r>
    </w:p>
    <w:p w14:paraId="2A9128CB" w14:textId="77777777" w:rsidR="005B131E" w:rsidRPr="007E7921" w:rsidRDefault="005B131E" w:rsidP="00207901">
      <w:pPr>
        <w:pStyle w:val="Heading5"/>
      </w:pPr>
      <w:r w:rsidRPr="007E7921">
        <w:t>3.1.3 Other operating expenses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3A27D3C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1DD6CCD7"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547D0675" w14:textId="77777777" w:rsidR="005B131E" w:rsidRPr="007E7921" w:rsidRDefault="005B131E">
            <w:pPr>
              <w:pStyle w:val="ARfintablecolheadright"/>
            </w:pPr>
            <w:r w:rsidRPr="007E7921">
              <w:t>2024</w:t>
            </w:r>
          </w:p>
          <w:p w14:paraId="5B6D92BD" w14:textId="77777777" w:rsidR="005B131E" w:rsidRPr="007E7921" w:rsidRDefault="005B131E">
            <w:pPr>
              <w:pStyle w:val="ARfintablecolheadright"/>
            </w:pPr>
            <w:r w:rsidRPr="007E7921">
              <w:t>$M</w:t>
            </w:r>
          </w:p>
        </w:tc>
        <w:tc>
          <w:tcPr>
            <w:tcW w:w="1361" w:type="dxa"/>
            <w:tcBorders>
              <w:bottom w:val="single" w:sz="4" w:space="0" w:color="auto"/>
            </w:tcBorders>
            <w:hideMark/>
          </w:tcPr>
          <w:p w14:paraId="15A34D81" w14:textId="77777777" w:rsidR="005B131E" w:rsidRPr="007E7921" w:rsidRDefault="005B131E">
            <w:pPr>
              <w:pStyle w:val="ARfintablecolheadright"/>
            </w:pPr>
            <w:r w:rsidRPr="007E7921">
              <w:t>2023</w:t>
            </w:r>
          </w:p>
          <w:p w14:paraId="34E11678" w14:textId="77777777" w:rsidR="005B131E" w:rsidRPr="007E7921" w:rsidRDefault="005B131E">
            <w:pPr>
              <w:pStyle w:val="ARfintablecolheadright"/>
            </w:pPr>
            <w:r w:rsidRPr="007E7921">
              <w:t>$M</w:t>
            </w:r>
          </w:p>
        </w:tc>
      </w:tr>
      <w:tr w:rsidR="005B131E" w:rsidRPr="00BA7805" w14:paraId="4F6DCA3D" w14:textId="77777777" w:rsidTr="002542E1">
        <w:tc>
          <w:tcPr>
            <w:tcW w:w="6915" w:type="dxa"/>
            <w:tcBorders>
              <w:top w:val="single" w:sz="4" w:space="0" w:color="A6A6A6" w:themeColor="background1" w:themeShade="A6"/>
              <w:bottom w:val="single" w:sz="4" w:space="0" w:color="A6A6A6" w:themeColor="background1" w:themeShade="A6"/>
            </w:tcBorders>
          </w:tcPr>
          <w:p w14:paraId="24F57A5A" w14:textId="77777777" w:rsidR="005B131E" w:rsidRPr="003A63A6" w:rsidRDefault="005B131E" w:rsidP="002542E1">
            <w:pPr>
              <w:pStyle w:val="ARfintablebodybold"/>
            </w:pPr>
            <w:r w:rsidRPr="003A63A6">
              <w:t>Interest expenses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863937A" w14:textId="77777777" w:rsidR="005B131E" w:rsidRPr="00BA7805" w:rsidRDefault="005B131E" w:rsidP="002542E1">
            <w:pPr>
              <w:pStyle w:val="ARfintablebodyrightbold"/>
              <w:rPr>
                <w:highlight w:val="green"/>
              </w:rPr>
            </w:pPr>
            <w:r w:rsidRPr="0076136E">
              <w:t>21.3</w:t>
            </w:r>
          </w:p>
        </w:tc>
        <w:tc>
          <w:tcPr>
            <w:tcW w:w="1361" w:type="dxa"/>
            <w:tcBorders>
              <w:top w:val="single" w:sz="4" w:space="0" w:color="A6A6A6" w:themeColor="background1" w:themeShade="A6"/>
              <w:bottom w:val="single" w:sz="4" w:space="0" w:color="A6A6A6" w:themeColor="background1" w:themeShade="A6"/>
            </w:tcBorders>
            <w:noWrap/>
          </w:tcPr>
          <w:p w14:paraId="1F1DA5C9" w14:textId="77777777" w:rsidR="005B131E" w:rsidRPr="00BA7805" w:rsidRDefault="005B131E" w:rsidP="002542E1">
            <w:pPr>
              <w:pStyle w:val="ARfintablebodyrightbold"/>
              <w:rPr>
                <w:highlight w:val="green"/>
              </w:rPr>
            </w:pPr>
            <w:r w:rsidRPr="0076136E">
              <w:t>14.3</w:t>
            </w:r>
          </w:p>
        </w:tc>
      </w:tr>
      <w:tr w:rsidR="005B131E" w:rsidRPr="00BA7805" w14:paraId="57DA08BF" w14:textId="77777777">
        <w:tc>
          <w:tcPr>
            <w:tcW w:w="9637" w:type="dxa"/>
            <w:gridSpan w:val="3"/>
            <w:tcBorders>
              <w:top w:val="single" w:sz="4" w:space="0" w:color="A6A6A6" w:themeColor="background1" w:themeShade="A6"/>
              <w:bottom w:val="single" w:sz="4" w:space="0" w:color="A6A6A6" w:themeColor="background1" w:themeShade="A6"/>
            </w:tcBorders>
          </w:tcPr>
          <w:p w14:paraId="41F4652B" w14:textId="77777777" w:rsidR="005B131E" w:rsidRPr="00BA7805" w:rsidRDefault="005B131E" w:rsidP="002542E1">
            <w:pPr>
              <w:pStyle w:val="ARfintablebodybold"/>
              <w:rPr>
                <w:highlight w:val="green"/>
              </w:rPr>
            </w:pPr>
            <w:r w:rsidRPr="003A63A6">
              <w:t>Supplies and services</w:t>
            </w:r>
          </w:p>
        </w:tc>
      </w:tr>
      <w:tr w:rsidR="005B131E" w:rsidRPr="00BA7805" w14:paraId="26A8DD8D" w14:textId="77777777" w:rsidTr="002542E1">
        <w:tc>
          <w:tcPr>
            <w:tcW w:w="6915" w:type="dxa"/>
            <w:tcBorders>
              <w:top w:val="single" w:sz="4" w:space="0" w:color="A6A6A6" w:themeColor="background1" w:themeShade="A6"/>
              <w:bottom w:val="single" w:sz="4" w:space="0" w:color="A6A6A6" w:themeColor="background1" w:themeShade="A6"/>
            </w:tcBorders>
          </w:tcPr>
          <w:p w14:paraId="628E7754" w14:textId="77777777" w:rsidR="005B131E" w:rsidRPr="00BA7805" w:rsidRDefault="005B131E" w:rsidP="002542E1">
            <w:pPr>
              <w:pStyle w:val="ARfintablebody"/>
              <w:rPr>
                <w:highlight w:val="green"/>
              </w:rPr>
            </w:pPr>
            <w:r w:rsidRPr="003A63A6">
              <w:t>Lease expenses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E84B998" w14:textId="77777777" w:rsidR="005B131E" w:rsidRPr="00BA7805" w:rsidRDefault="005B131E" w:rsidP="002542E1">
            <w:pPr>
              <w:pStyle w:val="ARfintablebodyright"/>
              <w:rPr>
                <w:highlight w:val="green"/>
              </w:rPr>
            </w:pPr>
            <w:r w:rsidRPr="003A63A6">
              <w:t>1.1</w:t>
            </w:r>
          </w:p>
        </w:tc>
        <w:tc>
          <w:tcPr>
            <w:tcW w:w="1361" w:type="dxa"/>
            <w:tcBorders>
              <w:top w:val="single" w:sz="4" w:space="0" w:color="A6A6A6" w:themeColor="background1" w:themeShade="A6"/>
              <w:bottom w:val="single" w:sz="4" w:space="0" w:color="A6A6A6" w:themeColor="background1" w:themeShade="A6"/>
            </w:tcBorders>
            <w:noWrap/>
          </w:tcPr>
          <w:p w14:paraId="14D0BB29" w14:textId="77777777" w:rsidR="005B131E" w:rsidRPr="00BA7805" w:rsidRDefault="005B131E" w:rsidP="002542E1">
            <w:pPr>
              <w:pStyle w:val="ARfintablebodyright"/>
              <w:rPr>
                <w:highlight w:val="green"/>
              </w:rPr>
            </w:pPr>
            <w:r w:rsidRPr="003A63A6">
              <w:t>0.4</w:t>
            </w:r>
          </w:p>
        </w:tc>
      </w:tr>
      <w:tr w:rsidR="005B131E" w:rsidRPr="00BA7805" w14:paraId="45AF517B" w14:textId="77777777" w:rsidTr="002542E1">
        <w:tc>
          <w:tcPr>
            <w:tcW w:w="6915" w:type="dxa"/>
            <w:tcBorders>
              <w:top w:val="single" w:sz="4" w:space="0" w:color="A6A6A6" w:themeColor="background1" w:themeShade="A6"/>
              <w:bottom w:val="single" w:sz="4" w:space="0" w:color="A6A6A6" w:themeColor="background1" w:themeShade="A6"/>
            </w:tcBorders>
          </w:tcPr>
          <w:p w14:paraId="374832E7" w14:textId="77777777" w:rsidR="005B131E" w:rsidRPr="00BA7805" w:rsidRDefault="005B131E" w:rsidP="002542E1">
            <w:pPr>
              <w:pStyle w:val="ARfintablebody"/>
              <w:rPr>
                <w:highlight w:val="green"/>
              </w:rPr>
            </w:pPr>
            <w:r w:rsidRPr="003A63A6">
              <w:t>Office accommodation and property services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67D5A919" w14:textId="77777777" w:rsidR="005B131E" w:rsidRPr="00BA7805" w:rsidRDefault="005B131E" w:rsidP="002542E1">
            <w:pPr>
              <w:pStyle w:val="ARfintablebodyright"/>
              <w:rPr>
                <w:highlight w:val="green"/>
              </w:rPr>
            </w:pPr>
            <w:r w:rsidRPr="003A63A6">
              <w:t>84.3</w:t>
            </w:r>
          </w:p>
        </w:tc>
        <w:tc>
          <w:tcPr>
            <w:tcW w:w="1361" w:type="dxa"/>
            <w:tcBorders>
              <w:top w:val="single" w:sz="4" w:space="0" w:color="A6A6A6" w:themeColor="background1" w:themeShade="A6"/>
              <w:bottom w:val="single" w:sz="4" w:space="0" w:color="A6A6A6" w:themeColor="background1" w:themeShade="A6"/>
            </w:tcBorders>
            <w:noWrap/>
          </w:tcPr>
          <w:p w14:paraId="0AC5147A" w14:textId="77777777" w:rsidR="005B131E" w:rsidRPr="00BA7805" w:rsidRDefault="005B131E" w:rsidP="002542E1">
            <w:pPr>
              <w:pStyle w:val="ARfintablebodyright"/>
              <w:rPr>
                <w:highlight w:val="green"/>
              </w:rPr>
            </w:pPr>
            <w:r w:rsidRPr="003A63A6">
              <w:t>82.6</w:t>
            </w:r>
          </w:p>
        </w:tc>
      </w:tr>
      <w:tr w:rsidR="005B131E" w:rsidRPr="00BA7805" w14:paraId="22DBE333" w14:textId="77777777" w:rsidTr="002542E1">
        <w:tc>
          <w:tcPr>
            <w:tcW w:w="6915" w:type="dxa"/>
            <w:tcBorders>
              <w:top w:val="single" w:sz="4" w:space="0" w:color="A6A6A6" w:themeColor="background1" w:themeShade="A6"/>
              <w:bottom w:val="single" w:sz="4" w:space="0" w:color="A6A6A6" w:themeColor="background1" w:themeShade="A6"/>
            </w:tcBorders>
          </w:tcPr>
          <w:p w14:paraId="71D5A842" w14:textId="77777777" w:rsidR="005B131E" w:rsidRPr="00BA7805" w:rsidRDefault="005B131E" w:rsidP="002542E1">
            <w:pPr>
              <w:pStyle w:val="ARfintablebody"/>
              <w:rPr>
                <w:highlight w:val="green"/>
              </w:rPr>
            </w:pPr>
            <w:r w:rsidRPr="003A63A6">
              <w:t xml:space="preserve">Administrative costs </w:t>
            </w:r>
            <w:r w:rsidRPr="006503CC">
              <w:rPr>
                <w:vertAlign w:val="superscript"/>
              </w:rPr>
              <w:t>(i)</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CA4DE3E" w14:textId="77777777" w:rsidR="005B131E" w:rsidRPr="00BA7805" w:rsidRDefault="005B131E" w:rsidP="002542E1">
            <w:pPr>
              <w:pStyle w:val="ARfintablebodyright"/>
              <w:rPr>
                <w:highlight w:val="green"/>
              </w:rPr>
            </w:pPr>
            <w:r w:rsidRPr="003A63A6">
              <w:t>393.7</w:t>
            </w:r>
          </w:p>
        </w:tc>
        <w:tc>
          <w:tcPr>
            <w:tcW w:w="1361" w:type="dxa"/>
            <w:tcBorders>
              <w:top w:val="single" w:sz="4" w:space="0" w:color="A6A6A6" w:themeColor="background1" w:themeShade="A6"/>
              <w:bottom w:val="single" w:sz="4" w:space="0" w:color="A6A6A6" w:themeColor="background1" w:themeShade="A6"/>
            </w:tcBorders>
            <w:noWrap/>
          </w:tcPr>
          <w:p w14:paraId="4BEECA83" w14:textId="77777777" w:rsidR="005B131E" w:rsidRPr="00BA7805" w:rsidRDefault="005B131E" w:rsidP="002542E1">
            <w:pPr>
              <w:pStyle w:val="ARfintablebodyright"/>
              <w:rPr>
                <w:highlight w:val="green"/>
              </w:rPr>
            </w:pPr>
            <w:r w:rsidRPr="003A63A6">
              <w:t>265.1</w:t>
            </w:r>
          </w:p>
        </w:tc>
      </w:tr>
      <w:tr w:rsidR="005B131E" w:rsidRPr="00BA7805" w14:paraId="3F0C1EEA" w14:textId="77777777" w:rsidTr="002542E1">
        <w:tc>
          <w:tcPr>
            <w:tcW w:w="6915" w:type="dxa"/>
            <w:tcBorders>
              <w:top w:val="single" w:sz="4" w:space="0" w:color="A6A6A6" w:themeColor="background1" w:themeShade="A6"/>
              <w:bottom w:val="single" w:sz="4" w:space="0" w:color="A6A6A6" w:themeColor="background1" w:themeShade="A6"/>
            </w:tcBorders>
          </w:tcPr>
          <w:p w14:paraId="68A7ECAC" w14:textId="77777777" w:rsidR="005B131E" w:rsidRPr="00BA7805" w:rsidRDefault="005B131E" w:rsidP="002542E1">
            <w:pPr>
              <w:pStyle w:val="ARfintablebody"/>
              <w:rPr>
                <w:highlight w:val="green"/>
              </w:rPr>
            </w:pPr>
            <w:r w:rsidRPr="003A63A6">
              <w:t>Information, communications and technology costs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D2F77D3" w14:textId="77777777" w:rsidR="005B131E" w:rsidRPr="00BA7805" w:rsidRDefault="005B131E" w:rsidP="002542E1">
            <w:pPr>
              <w:pStyle w:val="ARfintablebodyright"/>
              <w:rPr>
                <w:highlight w:val="green"/>
              </w:rPr>
            </w:pPr>
            <w:r w:rsidRPr="003A63A6">
              <w:t>69.9</w:t>
            </w:r>
          </w:p>
        </w:tc>
        <w:tc>
          <w:tcPr>
            <w:tcW w:w="1361" w:type="dxa"/>
            <w:tcBorders>
              <w:top w:val="single" w:sz="4" w:space="0" w:color="A6A6A6" w:themeColor="background1" w:themeShade="A6"/>
              <w:bottom w:val="single" w:sz="4" w:space="0" w:color="A6A6A6" w:themeColor="background1" w:themeShade="A6"/>
            </w:tcBorders>
            <w:noWrap/>
          </w:tcPr>
          <w:p w14:paraId="71149E5C" w14:textId="77777777" w:rsidR="005B131E" w:rsidRPr="00BA7805" w:rsidRDefault="005B131E" w:rsidP="002542E1">
            <w:pPr>
              <w:pStyle w:val="ARfintablebodyright"/>
              <w:rPr>
                <w:highlight w:val="green"/>
              </w:rPr>
            </w:pPr>
            <w:r w:rsidRPr="003A63A6">
              <w:t>70.4</w:t>
            </w:r>
          </w:p>
        </w:tc>
      </w:tr>
      <w:tr w:rsidR="005B131E" w:rsidRPr="00BA7805" w14:paraId="7E54F51C" w14:textId="77777777" w:rsidTr="002542E1">
        <w:tc>
          <w:tcPr>
            <w:tcW w:w="6915" w:type="dxa"/>
            <w:tcBorders>
              <w:top w:val="single" w:sz="4" w:space="0" w:color="A6A6A6" w:themeColor="background1" w:themeShade="A6"/>
              <w:bottom w:val="single" w:sz="4" w:space="0" w:color="A6A6A6" w:themeColor="background1" w:themeShade="A6"/>
            </w:tcBorders>
          </w:tcPr>
          <w:p w14:paraId="4F0ADBA3" w14:textId="77777777" w:rsidR="005B131E" w:rsidRPr="00BA7805" w:rsidRDefault="005B131E" w:rsidP="002542E1">
            <w:pPr>
              <w:pStyle w:val="ARfintablebody"/>
              <w:rPr>
                <w:highlight w:val="green"/>
              </w:rPr>
            </w:pPr>
            <w:r w:rsidRPr="003A63A6">
              <w:t xml:space="preserve">Direct care operating costs </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6E98D3E1" w14:textId="77777777" w:rsidR="005B131E" w:rsidRPr="00BA7805" w:rsidRDefault="005B131E" w:rsidP="002542E1">
            <w:pPr>
              <w:pStyle w:val="ARfintablebodyright"/>
              <w:rPr>
                <w:highlight w:val="green"/>
              </w:rPr>
            </w:pPr>
            <w:r w:rsidRPr="003A63A6">
              <w:t>31.4</w:t>
            </w:r>
          </w:p>
        </w:tc>
        <w:tc>
          <w:tcPr>
            <w:tcW w:w="1361" w:type="dxa"/>
            <w:tcBorders>
              <w:top w:val="single" w:sz="4" w:space="0" w:color="A6A6A6" w:themeColor="background1" w:themeShade="A6"/>
              <w:bottom w:val="single" w:sz="4" w:space="0" w:color="A6A6A6" w:themeColor="background1" w:themeShade="A6"/>
            </w:tcBorders>
            <w:noWrap/>
          </w:tcPr>
          <w:p w14:paraId="78054C81" w14:textId="77777777" w:rsidR="005B131E" w:rsidRPr="00BA7805" w:rsidRDefault="005B131E" w:rsidP="002542E1">
            <w:pPr>
              <w:pStyle w:val="ARfintablebodyright"/>
              <w:rPr>
                <w:highlight w:val="green"/>
              </w:rPr>
            </w:pPr>
            <w:r w:rsidRPr="003A63A6">
              <w:t>30.0</w:t>
            </w:r>
          </w:p>
        </w:tc>
      </w:tr>
      <w:tr w:rsidR="005B131E" w:rsidRPr="00BA7805" w14:paraId="0ACB1C99" w14:textId="77777777" w:rsidTr="002542E1">
        <w:tc>
          <w:tcPr>
            <w:tcW w:w="6915" w:type="dxa"/>
            <w:tcBorders>
              <w:top w:val="single" w:sz="4" w:space="0" w:color="A6A6A6" w:themeColor="background1" w:themeShade="A6"/>
              <w:bottom w:val="single" w:sz="4" w:space="0" w:color="A6A6A6" w:themeColor="background1" w:themeShade="A6"/>
            </w:tcBorders>
          </w:tcPr>
          <w:p w14:paraId="1C4C23F1" w14:textId="77777777" w:rsidR="005B131E" w:rsidRPr="00BA7805" w:rsidRDefault="005B131E" w:rsidP="002542E1">
            <w:pPr>
              <w:pStyle w:val="ARfintablebody"/>
              <w:rPr>
                <w:highlight w:val="green"/>
              </w:rPr>
            </w:pPr>
            <w:r w:rsidRPr="003A63A6">
              <w:t xml:space="preserve">Financial redress payments </w:t>
            </w:r>
            <w:r w:rsidRPr="006503CC">
              <w:rPr>
                <w:vertAlign w:val="superscript"/>
              </w:rPr>
              <w:t>(ii)</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00B9644" w14:textId="77777777" w:rsidR="005B131E" w:rsidRPr="00BA7805" w:rsidRDefault="005B131E" w:rsidP="002542E1">
            <w:pPr>
              <w:pStyle w:val="ARfintablebodyright"/>
              <w:rPr>
                <w:highlight w:val="green"/>
              </w:rPr>
            </w:pPr>
            <w:r w:rsidRPr="003A63A6">
              <w:t>165.0</w:t>
            </w:r>
          </w:p>
        </w:tc>
        <w:tc>
          <w:tcPr>
            <w:tcW w:w="1361" w:type="dxa"/>
            <w:tcBorders>
              <w:top w:val="single" w:sz="4" w:space="0" w:color="A6A6A6" w:themeColor="background1" w:themeShade="A6"/>
              <w:bottom w:val="single" w:sz="4" w:space="0" w:color="A6A6A6" w:themeColor="background1" w:themeShade="A6"/>
            </w:tcBorders>
            <w:noWrap/>
          </w:tcPr>
          <w:p w14:paraId="47906DA5" w14:textId="77777777" w:rsidR="005B131E" w:rsidRPr="00BA7805" w:rsidRDefault="005B131E" w:rsidP="002542E1">
            <w:pPr>
              <w:pStyle w:val="ARfintablebodyright"/>
              <w:rPr>
                <w:highlight w:val="green"/>
              </w:rPr>
            </w:pPr>
            <w:r>
              <w:t>–</w:t>
            </w:r>
          </w:p>
        </w:tc>
      </w:tr>
      <w:tr w:rsidR="005B131E" w:rsidRPr="00BA7805" w14:paraId="15390586" w14:textId="77777777">
        <w:tc>
          <w:tcPr>
            <w:tcW w:w="9637" w:type="dxa"/>
            <w:gridSpan w:val="3"/>
            <w:tcBorders>
              <w:top w:val="single" w:sz="4" w:space="0" w:color="A6A6A6" w:themeColor="background1" w:themeShade="A6"/>
              <w:bottom w:val="single" w:sz="4" w:space="0" w:color="A6A6A6" w:themeColor="background1" w:themeShade="A6"/>
            </w:tcBorders>
          </w:tcPr>
          <w:p w14:paraId="2D14E244" w14:textId="77777777" w:rsidR="005B131E" w:rsidRPr="00BA7805" w:rsidRDefault="005B131E" w:rsidP="002542E1">
            <w:pPr>
              <w:pStyle w:val="ARfintablebodybold"/>
              <w:rPr>
                <w:highlight w:val="green"/>
              </w:rPr>
            </w:pPr>
            <w:r w:rsidRPr="003A63A6">
              <w:t>Fair value of assets and services provided free of charge or for nominal</w:t>
            </w:r>
            <w:r>
              <w:t> </w:t>
            </w:r>
            <w:r w:rsidRPr="003A63A6">
              <w:t>consideration</w:t>
            </w:r>
          </w:p>
        </w:tc>
      </w:tr>
      <w:tr w:rsidR="005B131E" w:rsidRPr="00BA7805" w14:paraId="1872C66B" w14:textId="77777777" w:rsidTr="002542E1">
        <w:tc>
          <w:tcPr>
            <w:tcW w:w="6915" w:type="dxa"/>
            <w:tcBorders>
              <w:top w:val="single" w:sz="4" w:space="0" w:color="A6A6A6" w:themeColor="background1" w:themeShade="A6"/>
              <w:bottom w:val="single" w:sz="4" w:space="0" w:color="000000" w:themeColor="text1"/>
            </w:tcBorders>
          </w:tcPr>
          <w:p w14:paraId="4795AFB5" w14:textId="77777777" w:rsidR="005B131E" w:rsidRPr="00BA7805" w:rsidRDefault="005B131E" w:rsidP="002542E1">
            <w:pPr>
              <w:pStyle w:val="ARfintablebody"/>
              <w:rPr>
                <w:highlight w:val="green"/>
              </w:rPr>
            </w:pPr>
            <w:r w:rsidRPr="003A63A6">
              <w:t>Assets provided free of charge</w:t>
            </w:r>
          </w:p>
        </w:tc>
        <w:tc>
          <w:tcPr>
            <w:tcW w:w="1361" w:type="dxa"/>
            <w:tcBorders>
              <w:top w:val="single" w:sz="4" w:space="0" w:color="A6A6A6" w:themeColor="background1" w:themeShade="A6"/>
              <w:bottom w:val="single" w:sz="4" w:space="0" w:color="000000" w:themeColor="text1"/>
            </w:tcBorders>
            <w:shd w:val="clear" w:color="auto" w:fill="E7E6E6" w:themeFill="accent4"/>
            <w:noWrap/>
          </w:tcPr>
          <w:p w14:paraId="54829E46" w14:textId="77777777" w:rsidR="005B131E" w:rsidRPr="00BA7805" w:rsidRDefault="005B131E" w:rsidP="002542E1">
            <w:pPr>
              <w:pStyle w:val="ARfintablebodyright"/>
              <w:rPr>
                <w:highlight w:val="green"/>
              </w:rPr>
            </w:pPr>
            <w:r w:rsidRPr="003A63A6">
              <w:t>3.7</w:t>
            </w:r>
          </w:p>
        </w:tc>
        <w:tc>
          <w:tcPr>
            <w:tcW w:w="1361" w:type="dxa"/>
            <w:tcBorders>
              <w:top w:val="single" w:sz="4" w:space="0" w:color="A6A6A6" w:themeColor="background1" w:themeShade="A6"/>
              <w:bottom w:val="single" w:sz="4" w:space="0" w:color="000000" w:themeColor="text1"/>
            </w:tcBorders>
            <w:noWrap/>
          </w:tcPr>
          <w:p w14:paraId="31FED65F" w14:textId="77777777" w:rsidR="005B131E" w:rsidRPr="00BA7805" w:rsidRDefault="005B131E" w:rsidP="002542E1">
            <w:pPr>
              <w:pStyle w:val="ARfintablebodyright"/>
              <w:rPr>
                <w:highlight w:val="green"/>
              </w:rPr>
            </w:pPr>
            <w:r w:rsidRPr="003A63A6">
              <w:t>2.1</w:t>
            </w:r>
          </w:p>
        </w:tc>
      </w:tr>
      <w:tr w:rsidR="005B131E" w:rsidRPr="00BA7805" w14:paraId="20E7678B" w14:textId="77777777" w:rsidTr="002542E1">
        <w:tc>
          <w:tcPr>
            <w:tcW w:w="6915" w:type="dxa"/>
            <w:tcBorders>
              <w:top w:val="single" w:sz="4" w:space="0" w:color="000000" w:themeColor="text1"/>
              <w:bottom w:val="single" w:sz="4" w:space="0" w:color="000000" w:themeColor="text1"/>
            </w:tcBorders>
          </w:tcPr>
          <w:p w14:paraId="0632AA6D" w14:textId="77777777" w:rsidR="005B131E" w:rsidRPr="00BA7805" w:rsidRDefault="005B131E" w:rsidP="002542E1">
            <w:pPr>
              <w:pStyle w:val="ARfintablebodybold"/>
              <w:rPr>
                <w:highlight w:val="green"/>
              </w:rPr>
            </w:pPr>
            <w:r w:rsidRPr="003A63A6">
              <w:t>Total other operating expenses</w:t>
            </w:r>
          </w:p>
        </w:tc>
        <w:tc>
          <w:tcPr>
            <w:tcW w:w="1361" w:type="dxa"/>
            <w:tcBorders>
              <w:top w:val="single" w:sz="4" w:space="0" w:color="000000" w:themeColor="text1"/>
              <w:bottom w:val="single" w:sz="4" w:space="0" w:color="000000" w:themeColor="text1"/>
            </w:tcBorders>
            <w:shd w:val="clear" w:color="auto" w:fill="E7E6E6" w:themeFill="accent4"/>
            <w:noWrap/>
          </w:tcPr>
          <w:p w14:paraId="60C0C9DF" w14:textId="77777777" w:rsidR="005B131E" w:rsidRPr="00BA7805" w:rsidRDefault="005B131E" w:rsidP="002542E1">
            <w:pPr>
              <w:pStyle w:val="ARfintablebodyrightbold"/>
              <w:rPr>
                <w:highlight w:val="green"/>
              </w:rPr>
            </w:pPr>
            <w:r w:rsidRPr="003A63A6">
              <w:t>770.4</w:t>
            </w:r>
          </w:p>
        </w:tc>
        <w:tc>
          <w:tcPr>
            <w:tcW w:w="1361" w:type="dxa"/>
            <w:tcBorders>
              <w:top w:val="single" w:sz="4" w:space="0" w:color="000000" w:themeColor="text1"/>
              <w:bottom w:val="single" w:sz="4" w:space="0" w:color="000000" w:themeColor="text1"/>
            </w:tcBorders>
            <w:noWrap/>
          </w:tcPr>
          <w:p w14:paraId="5F0D6BA4" w14:textId="77777777" w:rsidR="005B131E" w:rsidRPr="00BA7805" w:rsidRDefault="005B131E" w:rsidP="002542E1">
            <w:pPr>
              <w:pStyle w:val="ARfintablebodyrightbold"/>
              <w:rPr>
                <w:highlight w:val="green"/>
              </w:rPr>
            </w:pPr>
            <w:r w:rsidRPr="003A63A6">
              <w:t>464.9</w:t>
            </w:r>
          </w:p>
        </w:tc>
      </w:tr>
    </w:tbl>
    <w:p w14:paraId="687C07BA" w14:textId="77777777" w:rsidR="005B131E" w:rsidRDefault="005B131E" w:rsidP="002542E1">
      <w:pPr>
        <w:pStyle w:val="ARfintablefootnote"/>
      </w:pPr>
      <w:r>
        <w:t>Note:</w:t>
      </w:r>
    </w:p>
    <w:p w14:paraId="7941484D" w14:textId="77777777" w:rsidR="005B131E" w:rsidRDefault="005B131E" w:rsidP="002542E1">
      <w:pPr>
        <w:pStyle w:val="ARfintablefootnotetabindent"/>
      </w:pPr>
      <w:r>
        <w:t xml:space="preserve">(i) </w:t>
      </w:r>
      <w:r>
        <w:tab/>
        <w:t xml:space="preserve">Administrative costs mainly include </w:t>
      </w:r>
      <w:r w:rsidRPr="003D238F">
        <w:t>the Community Service Organisation (CSO), Corporate and Civil insurance claims settlement payments managed by Victorian Managed Insurance Authority (VMIA) on behalf of the department</w:t>
      </w:r>
      <w:r>
        <w:t xml:space="preserve">, purchase of </w:t>
      </w:r>
      <w:r w:rsidRPr="007530A7">
        <w:t>intergovernmental</w:t>
      </w:r>
      <w:r>
        <w:t xml:space="preserve"> services and professional services, as well as the unused trust fund returning to the consolidated fund.</w:t>
      </w:r>
    </w:p>
    <w:p w14:paraId="587FBB17" w14:textId="5638B5D2" w:rsidR="005B131E" w:rsidRPr="00BA7805" w:rsidRDefault="005B131E" w:rsidP="002542E1">
      <w:pPr>
        <w:pStyle w:val="ARfintablefootnotetabindent"/>
        <w:rPr>
          <w:highlight w:val="green"/>
        </w:rPr>
      </w:pPr>
      <w:r>
        <w:t>(ii)</w:t>
      </w:r>
      <w:r>
        <w:tab/>
        <w:t>Financial redress payments represent the compensation payments of Redress Scheme for Victorians who were placed in institutional care prior to 1990 (</w:t>
      </w:r>
      <w:r w:rsidR="00711AE6">
        <w:t>‘</w:t>
      </w:r>
      <w:r>
        <w:t>Pre-1990 Care Leavers</w:t>
      </w:r>
      <w:r w:rsidR="00F749D7">
        <w:t>’</w:t>
      </w:r>
      <w:r>
        <w:t>) and experienced physical, psychological, and emotional abuse or neglect. Refer to Note 6.4 Other provision for further details.</w:t>
      </w:r>
    </w:p>
    <w:p w14:paraId="37394AC8" w14:textId="77777777" w:rsidR="005B131E" w:rsidRPr="001270D4" w:rsidRDefault="005B131E" w:rsidP="002542E1">
      <w:pPr>
        <w:pStyle w:val="Heading5"/>
        <w:rPr>
          <w:highlight w:val="green"/>
        </w:rPr>
      </w:pPr>
      <w:r w:rsidRPr="001270D4">
        <w:t>3.1.4 Property management expenses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2A5B7021"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BF6A3F0"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2FFBFA64" w14:textId="77777777" w:rsidR="005B131E" w:rsidRPr="001270D4" w:rsidRDefault="005B131E">
            <w:pPr>
              <w:pStyle w:val="ARfintablecolheadright"/>
            </w:pPr>
            <w:r w:rsidRPr="001270D4">
              <w:t>2024</w:t>
            </w:r>
          </w:p>
          <w:p w14:paraId="70C19DC0" w14:textId="77777777" w:rsidR="005B131E" w:rsidRPr="001270D4" w:rsidRDefault="005B131E">
            <w:pPr>
              <w:pStyle w:val="ARfintablecolheadright"/>
            </w:pPr>
            <w:r w:rsidRPr="001270D4">
              <w:t>$M</w:t>
            </w:r>
          </w:p>
        </w:tc>
        <w:tc>
          <w:tcPr>
            <w:tcW w:w="1361" w:type="dxa"/>
            <w:tcBorders>
              <w:bottom w:val="single" w:sz="4" w:space="0" w:color="auto"/>
            </w:tcBorders>
            <w:hideMark/>
          </w:tcPr>
          <w:p w14:paraId="4ECDBD45" w14:textId="77777777" w:rsidR="005B131E" w:rsidRPr="001270D4" w:rsidRDefault="005B131E">
            <w:pPr>
              <w:pStyle w:val="ARfintablecolheadright"/>
            </w:pPr>
            <w:r w:rsidRPr="001270D4">
              <w:t>2023</w:t>
            </w:r>
          </w:p>
          <w:p w14:paraId="45E2D6E9" w14:textId="77777777" w:rsidR="005B131E" w:rsidRPr="001270D4" w:rsidRDefault="005B131E">
            <w:pPr>
              <w:pStyle w:val="ARfintablecolheadright"/>
            </w:pPr>
            <w:r w:rsidRPr="001270D4">
              <w:t>$M</w:t>
            </w:r>
          </w:p>
        </w:tc>
      </w:tr>
      <w:tr w:rsidR="005B131E" w:rsidRPr="00BA7805" w14:paraId="5C1B9C87" w14:textId="77777777" w:rsidTr="002542E1">
        <w:trPr>
          <w:trHeight w:val="255"/>
        </w:trPr>
        <w:tc>
          <w:tcPr>
            <w:tcW w:w="6915" w:type="dxa"/>
            <w:tcBorders>
              <w:top w:val="single" w:sz="4" w:space="0" w:color="auto"/>
              <w:bottom w:val="single" w:sz="4" w:space="0" w:color="A6A6A6"/>
            </w:tcBorders>
          </w:tcPr>
          <w:p w14:paraId="10E96068" w14:textId="77777777" w:rsidR="005B131E" w:rsidRPr="00BA7805" w:rsidRDefault="005B131E" w:rsidP="002542E1">
            <w:pPr>
              <w:pStyle w:val="ARfintablebody"/>
              <w:rPr>
                <w:highlight w:val="green"/>
              </w:rPr>
            </w:pPr>
            <w:r w:rsidRPr="00C8472C">
              <w:t>Maintenance</w:t>
            </w:r>
            <w:r>
              <w:t xml:space="preserve"> </w:t>
            </w:r>
            <w:r w:rsidRPr="00981279">
              <w:rPr>
                <w:vertAlign w:val="superscript"/>
              </w:rPr>
              <w:t>(i)</w:t>
            </w:r>
          </w:p>
        </w:tc>
        <w:tc>
          <w:tcPr>
            <w:tcW w:w="1361" w:type="dxa"/>
            <w:tcBorders>
              <w:top w:val="single" w:sz="4" w:space="0" w:color="auto"/>
              <w:bottom w:val="single" w:sz="4" w:space="0" w:color="A6A6A6"/>
            </w:tcBorders>
            <w:shd w:val="clear" w:color="auto" w:fill="E7E6E6" w:themeFill="accent4"/>
            <w:noWrap/>
          </w:tcPr>
          <w:p w14:paraId="64243505" w14:textId="77777777" w:rsidR="005B131E" w:rsidRPr="00BA7805" w:rsidRDefault="005B131E" w:rsidP="002542E1">
            <w:pPr>
              <w:pStyle w:val="ARfintablebodyright"/>
              <w:rPr>
                <w:highlight w:val="green"/>
              </w:rPr>
            </w:pPr>
            <w:r w:rsidRPr="00C8472C">
              <w:t>314.5</w:t>
            </w:r>
          </w:p>
        </w:tc>
        <w:tc>
          <w:tcPr>
            <w:tcW w:w="1361" w:type="dxa"/>
            <w:tcBorders>
              <w:top w:val="single" w:sz="4" w:space="0" w:color="auto"/>
              <w:bottom w:val="single" w:sz="4" w:space="0" w:color="A6A6A6"/>
            </w:tcBorders>
            <w:noWrap/>
          </w:tcPr>
          <w:p w14:paraId="5C12E658" w14:textId="77777777" w:rsidR="005B131E" w:rsidRPr="00BA7805" w:rsidRDefault="005B131E" w:rsidP="002542E1">
            <w:pPr>
              <w:pStyle w:val="ARfintablebodyright"/>
              <w:rPr>
                <w:highlight w:val="green"/>
              </w:rPr>
            </w:pPr>
            <w:r w:rsidRPr="00C8472C">
              <w:t>315.5</w:t>
            </w:r>
          </w:p>
        </w:tc>
      </w:tr>
      <w:tr w:rsidR="005B131E" w:rsidRPr="00BA7805" w14:paraId="57E48804" w14:textId="77777777" w:rsidTr="002542E1">
        <w:trPr>
          <w:trHeight w:val="255"/>
        </w:trPr>
        <w:tc>
          <w:tcPr>
            <w:tcW w:w="6915" w:type="dxa"/>
            <w:tcBorders>
              <w:top w:val="single" w:sz="4" w:space="0" w:color="A6A6A6"/>
              <w:bottom w:val="single" w:sz="4" w:space="0" w:color="A6A6A6"/>
            </w:tcBorders>
          </w:tcPr>
          <w:p w14:paraId="2A50C9BA" w14:textId="77777777" w:rsidR="005B131E" w:rsidRPr="00BA7805" w:rsidRDefault="005B131E" w:rsidP="002542E1">
            <w:pPr>
              <w:pStyle w:val="ARfintablebody"/>
              <w:rPr>
                <w:highlight w:val="green"/>
              </w:rPr>
            </w:pPr>
            <w:r w:rsidRPr="00C8472C">
              <w:t>Rates to local government</w:t>
            </w:r>
          </w:p>
        </w:tc>
        <w:tc>
          <w:tcPr>
            <w:tcW w:w="1361" w:type="dxa"/>
            <w:tcBorders>
              <w:top w:val="single" w:sz="4" w:space="0" w:color="A6A6A6"/>
              <w:bottom w:val="single" w:sz="4" w:space="0" w:color="A6A6A6"/>
            </w:tcBorders>
            <w:shd w:val="clear" w:color="auto" w:fill="E7E6E6" w:themeFill="accent4"/>
            <w:noWrap/>
          </w:tcPr>
          <w:p w14:paraId="7857A083" w14:textId="77777777" w:rsidR="005B131E" w:rsidRPr="00BA7805" w:rsidRDefault="005B131E" w:rsidP="002542E1">
            <w:pPr>
              <w:pStyle w:val="ARfintablebodyright"/>
              <w:rPr>
                <w:highlight w:val="green"/>
              </w:rPr>
            </w:pPr>
            <w:r w:rsidRPr="00C8472C">
              <w:t>124.2</w:t>
            </w:r>
          </w:p>
        </w:tc>
        <w:tc>
          <w:tcPr>
            <w:tcW w:w="1361" w:type="dxa"/>
            <w:tcBorders>
              <w:top w:val="single" w:sz="4" w:space="0" w:color="A6A6A6"/>
              <w:bottom w:val="single" w:sz="4" w:space="0" w:color="A6A6A6"/>
            </w:tcBorders>
            <w:noWrap/>
          </w:tcPr>
          <w:p w14:paraId="54B5A76B" w14:textId="77777777" w:rsidR="005B131E" w:rsidRPr="00BA7805" w:rsidRDefault="005B131E" w:rsidP="002542E1">
            <w:pPr>
              <w:pStyle w:val="ARfintablebodyright"/>
              <w:rPr>
                <w:highlight w:val="green"/>
              </w:rPr>
            </w:pPr>
            <w:r w:rsidRPr="00C8472C">
              <w:t>120.4</w:t>
            </w:r>
          </w:p>
        </w:tc>
      </w:tr>
      <w:tr w:rsidR="005B131E" w:rsidRPr="00BA7805" w14:paraId="00F32A1D" w14:textId="77777777" w:rsidTr="002542E1">
        <w:trPr>
          <w:trHeight w:val="255"/>
        </w:trPr>
        <w:tc>
          <w:tcPr>
            <w:tcW w:w="6915" w:type="dxa"/>
            <w:tcBorders>
              <w:top w:val="single" w:sz="4" w:space="0" w:color="A6A6A6"/>
            </w:tcBorders>
          </w:tcPr>
          <w:p w14:paraId="7542DA9D" w14:textId="77777777" w:rsidR="005B131E" w:rsidRPr="00BA7805" w:rsidRDefault="005B131E" w:rsidP="002542E1">
            <w:pPr>
              <w:pStyle w:val="ARfintablebody"/>
              <w:rPr>
                <w:highlight w:val="green"/>
              </w:rPr>
            </w:pPr>
            <w:r w:rsidRPr="00C8472C">
              <w:t>Tenant utilities and other expenses</w:t>
            </w:r>
          </w:p>
        </w:tc>
        <w:tc>
          <w:tcPr>
            <w:tcW w:w="1361" w:type="dxa"/>
            <w:tcBorders>
              <w:top w:val="single" w:sz="4" w:space="0" w:color="A6A6A6"/>
            </w:tcBorders>
            <w:shd w:val="clear" w:color="auto" w:fill="E7E6E6" w:themeFill="accent4"/>
            <w:noWrap/>
          </w:tcPr>
          <w:p w14:paraId="20C9BF16" w14:textId="77777777" w:rsidR="005B131E" w:rsidRPr="00BA7805" w:rsidRDefault="005B131E" w:rsidP="002542E1">
            <w:pPr>
              <w:pStyle w:val="ARfintablebodyright"/>
              <w:rPr>
                <w:highlight w:val="green"/>
              </w:rPr>
            </w:pPr>
            <w:r w:rsidRPr="00C8472C">
              <w:t>114.1</w:t>
            </w:r>
          </w:p>
        </w:tc>
        <w:tc>
          <w:tcPr>
            <w:tcW w:w="1361" w:type="dxa"/>
            <w:tcBorders>
              <w:top w:val="single" w:sz="4" w:space="0" w:color="A6A6A6"/>
            </w:tcBorders>
            <w:noWrap/>
          </w:tcPr>
          <w:p w14:paraId="76B460D1" w14:textId="77777777" w:rsidR="005B131E" w:rsidRPr="00BA7805" w:rsidRDefault="005B131E" w:rsidP="002542E1">
            <w:pPr>
              <w:pStyle w:val="ARfintablebodyright"/>
              <w:rPr>
                <w:highlight w:val="green"/>
              </w:rPr>
            </w:pPr>
            <w:r w:rsidRPr="00C8472C">
              <w:t>87.8</w:t>
            </w:r>
          </w:p>
        </w:tc>
      </w:tr>
      <w:tr w:rsidR="005B131E" w:rsidRPr="00BA7805" w14:paraId="692ABA4E" w14:textId="77777777" w:rsidTr="002542E1">
        <w:trPr>
          <w:trHeight w:val="255"/>
        </w:trPr>
        <w:tc>
          <w:tcPr>
            <w:tcW w:w="6915" w:type="dxa"/>
          </w:tcPr>
          <w:p w14:paraId="0BA35B80" w14:textId="77777777" w:rsidR="005B131E" w:rsidRPr="00BA7805" w:rsidRDefault="005B131E" w:rsidP="002542E1">
            <w:pPr>
              <w:pStyle w:val="ARfintablebodybold"/>
              <w:rPr>
                <w:highlight w:val="green"/>
              </w:rPr>
            </w:pPr>
            <w:r w:rsidRPr="00C8472C">
              <w:t>Total property management expenses</w:t>
            </w:r>
          </w:p>
        </w:tc>
        <w:tc>
          <w:tcPr>
            <w:tcW w:w="1361" w:type="dxa"/>
            <w:shd w:val="clear" w:color="auto" w:fill="E7E6E6" w:themeFill="accent4"/>
            <w:noWrap/>
          </w:tcPr>
          <w:p w14:paraId="14FA037D" w14:textId="77777777" w:rsidR="005B131E" w:rsidRPr="00BA7805" w:rsidRDefault="005B131E" w:rsidP="002542E1">
            <w:pPr>
              <w:pStyle w:val="ARfintablebodyrightbold"/>
              <w:rPr>
                <w:highlight w:val="green"/>
              </w:rPr>
            </w:pPr>
            <w:r w:rsidRPr="00C8472C">
              <w:t>552.8</w:t>
            </w:r>
          </w:p>
        </w:tc>
        <w:tc>
          <w:tcPr>
            <w:tcW w:w="1361" w:type="dxa"/>
            <w:noWrap/>
          </w:tcPr>
          <w:p w14:paraId="5664840D" w14:textId="77777777" w:rsidR="005B131E" w:rsidRPr="00BA7805" w:rsidRDefault="005B131E" w:rsidP="002542E1">
            <w:pPr>
              <w:pStyle w:val="ARfintablebodyrightbold"/>
              <w:rPr>
                <w:highlight w:val="green"/>
              </w:rPr>
            </w:pPr>
            <w:r w:rsidRPr="00C8472C">
              <w:t>523.7</w:t>
            </w:r>
          </w:p>
        </w:tc>
      </w:tr>
    </w:tbl>
    <w:p w14:paraId="273A20BF" w14:textId="77777777" w:rsidR="005B131E" w:rsidRDefault="005B131E" w:rsidP="002542E1">
      <w:pPr>
        <w:pStyle w:val="ARfintablefootnote"/>
      </w:pPr>
      <w:r>
        <w:t>Note:</w:t>
      </w:r>
    </w:p>
    <w:p w14:paraId="7C071421" w14:textId="77777777" w:rsidR="005B131E" w:rsidRDefault="005B131E" w:rsidP="002542E1">
      <w:pPr>
        <w:pStyle w:val="ARfintablefootnotetabindent"/>
        <w:rPr>
          <w:highlight w:val="green"/>
        </w:rPr>
      </w:pPr>
      <w:r>
        <w:t xml:space="preserve">(i) </w:t>
      </w:r>
      <w:r>
        <w:tab/>
        <w:t>Maintenance expenses mainly include statutory maintenance requirements, responding to urgent maintenance works, maintenance works required for vacated properties before re-letting, and maintenance works undertaken to proactively address and respond to asset condition.</w:t>
      </w:r>
      <w:r>
        <w:tab/>
      </w:r>
    </w:p>
    <w:p w14:paraId="369C208A" w14:textId="77777777" w:rsidR="005B131E" w:rsidRDefault="005B131E" w:rsidP="002542E1">
      <w:pPr>
        <w:pStyle w:val="ARbody"/>
        <w:rPr>
          <w:rFonts w:eastAsiaTheme="minorEastAsia"/>
          <w:color w:val="000000"/>
          <w:sz w:val="16"/>
          <w:szCs w:val="14"/>
          <w:highlight w:val="green"/>
          <w:lang w:eastAsia="en-AU"/>
        </w:rPr>
      </w:pPr>
      <w:r>
        <w:rPr>
          <w:highlight w:val="green"/>
        </w:rPr>
        <w:br w:type="page"/>
      </w:r>
    </w:p>
    <w:p w14:paraId="1E990D00" w14:textId="77777777" w:rsidR="005B131E" w:rsidRPr="0053350D" w:rsidRDefault="005B131E">
      <w:pPr>
        <w:pStyle w:val="Heading3"/>
      </w:pPr>
      <w:bookmarkStart w:id="273" w:name="_Toc181101549"/>
      <w:r w:rsidRPr="0053350D">
        <w:t>4. Disaggregated financial information by output</w:t>
      </w:r>
      <w:bookmarkEnd w:id="273"/>
    </w:p>
    <w:p w14:paraId="70947BAF" w14:textId="77777777" w:rsidR="005B131E" w:rsidRPr="0053350D" w:rsidRDefault="005B131E">
      <w:pPr>
        <w:pStyle w:val="Heading4"/>
        <w:rPr>
          <w:lang w:eastAsia="en-AU"/>
        </w:rPr>
      </w:pPr>
      <w:r w:rsidRPr="0053350D">
        <w:rPr>
          <w:lang w:eastAsia="en-AU"/>
        </w:rPr>
        <w:t>Introduction</w:t>
      </w:r>
    </w:p>
    <w:p w14:paraId="0B59DBBE" w14:textId="77777777" w:rsidR="005B131E" w:rsidRPr="0053350D" w:rsidRDefault="005B131E" w:rsidP="002542E1">
      <w:pPr>
        <w:pStyle w:val="ARfinbody"/>
      </w:pPr>
      <w:r w:rsidRPr="0053350D">
        <w:t>The department is predominantly funded by accrual-based parliamentary appropriations for the provision of outputs. This</w:t>
      </w:r>
      <w:r>
        <w:t> </w:t>
      </w:r>
      <w:r w:rsidRPr="0053350D">
        <w:t>section provides a description of the departmental outputs delivered during the year along with the objectives of</w:t>
      </w:r>
      <w:r>
        <w:t> </w:t>
      </w:r>
      <w:r w:rsidRPr="0053350D">
        <w:t>those</w:t>
      </w:r>
      <w:r>
        <w:t> </w:t>
      </w:r>
      <w:r w:rsidRPr="0053350D">
        <w:t>outputs.</w:t>
      </w:r>
    </w:p>
    <w:p w14:paraId="114FC28C" w14:textId="102FF1EC" w:rsidR="005B131E" w:rsidRPr="0053350D" w:rsidRDefault="005B131E" w:rsidP="002542E1">
      <w:pPr>
        <w:pStyle w:val="ARfinbody"/>
      </w:pPr>
      <w:r w:rsidRPr="0053350D">
        <w:t xml:space="preserve">This section disaggregates revenue and expenses that enables the delivery of services (described in section 2 </w:t>
      </w:r>
      <w:r w:rsidR="00711AE6">
        <w:t>‘</w:t>
      </w:r>
      <w:r w:rsidRPr="0053350D">
        <w:t>Funding delivery of our services</w:t>
      </w:r>
      <w:r w:rsidR="00711AE6">
        <w:t>’</w:t>
      </w:r>
      <w:r w:rsidRPr="0053350D">
        <w:t xml:space="preserve">) by output and records the allocation of expenses incurred (described in section 3 </w:t>
      </w:r>
      <w:r w:rsidR="00711AE6">
        <w:t>‘</w:t>
      </w:r>
      <w:r w:rsidRPr="0053350D">
        <w:t>The cost of</w:t>
      </w:r>
      <w:r>
        <w:t> </w:t>
      </w:r>
      <w:r w:rsidRPr="0053350D">
        <w:t>delivering services</w:t>
      </w:r>
      <w:r w:rsidR="00711AE6">
        <w:t>’</w:t>
      </w:r>
      <w:r w:rsidRPr="0053350D">
        <w:t>) also by output, which form part of controlled balances of the department.</w:t>
      </w:r>
    </w:p>
    <w:p w14:paraId="3BE72304" w14:textId="77777777" w:rsidR="005B131E" w:rsidRPr="0053350D" w:rsidRDefault="005B131E" w:rsidP="002542E1">
      <w:pPr>
        <w:pStyle w:val="ARfinbody"/>
      </w:pPr>
      <w:r w:rsidRPr="0053350D">
        <w:t xml:space="preserve">It also provides information on items administered in connection with these outputs. </w:t>
      </w:r>
    </w:p>
    <w:p w14:paraId="2D372619" w14:textId="77777777" w:rsidR="005B131E" w:rsidRPr="0053350D" w:rsidRDefault="005B131E" w:rsidP="002542E1">
      <w:pPr>
        <w:pStyle w:val="ARfinbody"/>
      </w:pPr>
      <w:r w:rsidRPr="0053350D">
        <w:t>Judgement is required in allocating income and expenditure to specific outputs. For the period under review there were no amounts unallocated.</w:t>
      </w:r>
    </w:p>
    <w:p w14:paraId="37BD5829" w14:textId="77777777" w:rsidR="005B131E" w:rsidRPr="0053350D" w:rsidRDefault="005B131E" w:rsidP="002542E1">
      <w:pPr>
        <w:pStyle w:val="ARfinbody"/>
      </w:pPr>
      <w:r w:rsidRPr="0053350D">
        <w:t>The distinction between controlled and administered items is based on whether the department has the ability to deploy the resources in question for its own benefit (controlled items) or whether it does so on behalf of the state (administered). The department remains accountable for transactions involving administered items, but it does not recognise these items in its financial statements.</w:t>
      </w:r>
    </w:p>
    <w:p w14:paraId="75EBF6E1" w14:textId="77777777" w:rsidR="005B131E" w:rsidRPr="0053350D" w:rsidRDefault="005B131E" w:rsidP="002542E1">
      <w:pPr>
        <w:pStyle w:val="Heading4"/>
      </w:pPr>
      <w:r w:rsidRPr="0053350D">
        <w:t>Structure</w:t>
      </w:r>
    </w:p>
    <w:p w14:paraId="786B1BB5" w14:textId="77777777" w:rsidR="005B131E" w:rsidRPr="0053350D" w:rsidRDefault="005B131E" w:rsidP="002542E1">
      <w:pPr>
        <w:pStyle w:val="ARfinstructure1"/>
      </w:pPr>
      <w:r w:rsidRPr="0053350D">
        <w:t xml:space="preserve">4.1 </w:t>
      </w:r>
      <w:r>
        <w:tab/>
      </w:r>
      <w:r w:rsidRPr="0053350D">
        <w:t>Departmental outputs</w:t>
      </w:r>
    </w:p>
    <w:p w14:paraId="4012E644" w14:textId="77777777" w:rsidR="005B131E" w:rsidRPr="0053350D" w:rsidRDefault="005B131E" w:rsidP="002542E1">
      <w:pPr>
        <w:pStyle w:val="ARfinstructure2"/>
      </w:pPr>
      <w:r w:rsidRPr="0053350D">
        <w:t xml:space="preserve">4.1.1 </w:t>
      </w:r>
      <w:r>
        <w:tab/>
      </w:r>
      <w:r w:rsidRPr="0053350D">
        <w:t xml:space="preserve">Departmental outputs </w:t>
      </w:r>
      <w:r>
        <w:t>–</w:t>
      </w:r>
      <w:r w:rsidRPr="0053350D">
        <w:t xml:space="preserve"> Descriptions and objectives</w:t>
      </w:r>
    </w:p>
    <w:p w14:paraId="30188DC1" w14:textId="77777777" w:rsidR="005B131E" w:rsidRPr="0053350D" w:rsidRDefault="005B131E" w:rsidP="002542E1">
      <w:pPr>
        <w:pStyle w:val="ARfinstructure2"/>
      </w:pPr>
      <w:r w:rsidRPr="0053350D">
        <w:t xml:space="preserve">4.1.2 </w:t>
      </w:r>
      <w:r>
        <w:tab/>
      </w:r>
      <w:r w:rsidRPr="0053350D">
        <w:t xml:space="preserve">Departmental outputs </w:t>
      </w:r>
      <w:r>
        <w:t>–</w:t>
      </w:r>
      <w:r w:rsidRPr="0053350D">
        <w:t xml:space="preserve"> Controlled income and expenses</w:t>
      </w:r>
    </w:p>
    <w:p w14:paraId="3902F0CB" w14:textId="77777777" w:rsidR="005B131E" w:rsidRPr="0053350D" w:rsidRDefault="005B131E" w:rsidP="002542E1">
      <w:pPr>
        <w:pStyle w:val="ARfinstructure2"/>
      </w:pPr>
      <w:r w:rsidRPr="0053350D">
        <w:t xml:space="preserve">4.1.3 </w:t>
      </w:r>
      <w:r>
        <w:tab/>
      </w:r>
      <w:r w:rsidRPr="0053350D">
        <w:t xml:space="preserve">Departmental outputs </w:t>
      </w:r>
      <w:r>
        <w:t>–</w:t>
      </w:r>
      <w:r w:rsidRPr="0053350D">
        <w:t xml:space="preserve"> Controlled assets and liabilities</w:t>
      </w:r>
    </w:p>
    <w:p w14:paraId="40DC60C1" w14:textId="77777777" w:rsidR="005B131E" w:rsidRPr="0053350D" w:rsidRDefault="005B131E" w:rsidP="002542E1">
      <w:pPr>
        <w:pStyle w:val="ARfinstructure1"/>
      </w:pPr>
      <w:r w:rsidRPr="0053350D">
        <w:t xml:space="preserve">4.2 </w:t>
      </w:r>
      <w:r>
        <w:tab/>
      </w:r>
      <w:r w:rsidRPr="0053350D">
        <w:t>Administered (non-controlled) items</w:t>
      </w:r>
    </w:p>
    <w:p w14:paraId="6178B11D" w14:textId="77777777" w:rsidR="005B131E" w:rsidRPr="0053350D" w:rsidRDefault="005B131E" w:rsidP="002542E1">
      <w:pPr>
        <w:pStyle w:val="ARfinstructure2"/>
      </w:pPr>
      <w:r w:rsidRPr="0053350D">
        <w:t xml:space="preserve">4.2.1 </w:t>
      </w:r>
      <w:r>
        <w:tab/>
      </w:r>
      <w:r w:rsidRPr="0053350D">
        <w:t>Administered income and expenses</w:t>
      </w:r>
    </w:p>
    <w:p w14:paraId="6E2FA00A" w14:textId="77777777" w:rsidR="005B131E" w:rsidRPr="0053350D" w:rsidRDefault="005B131E" w:rsidP="002542E1">
      <w:pPr>
        <w:pStyle w:val="ARfinstructure2"/>
      </w:pPr>
      <w:r w:rsidRPr="0053350D">
        <w:t xml:space="preserve">4.2.2 </w:t>
      </w:r>
      <w:r>
        <w:tab/>
      </w:r>
      <w:r w:rsidRPr="0053350D">
        <w:t>Administered assets and liabilities</w:t>
      </w:r>
    </w:p>
    <w:p w14:paraId="341B9F29" w14:textId="77777777" w:rsidR="005B131E" w:rsidRPr="0053350D" w:rsidRDefault="005B131E" w:rsidP="002542E1">
      <w:pPr>
        <w:pStyle w:val="ARfinstructure2"/>
      </w:pPr>
      <w:r w:rsidRPr="0053350D">
        <w:t xml:space="preserve">4.2.3 </w:t>
      </w:r>
      <w:r>
        <w:tab/>
      </w:r>
      <w:r w:rsidRPr="0053350D">
        <w:t>Administered grants and other expense transfers</w:t>
      </w:r>
    </w:p>
    <w:p w14:paraId="22B5C7BB" w14:textId="77777777" w:rsidR="005B131E" w:rsidRDefault="005B131E" w:rsidP="002542E1">
      <w:pPr>
        <w:pStyle w:val="ARfinstructure1"/>
        <w:rPr>
          <w:highlight w:val="green"/>
        </w:rPr>
      </w:pPr>
      <w:r w:rsidRPr="0053350D">
        <w:t xml:space="preserve">4.3 </w:t>
      </w:r>
      <w:r>
        <w:tab/>
      </w:r>
      <w:r w:rsidRPr="0053350D">
        <w:t>Restructuring of administrative arrangements</w:t>
      </w:r>
    </w:p>
    <w:p w14:paraId="32BC10A0" w14:textId="77777777" w:rsidR="005B131E" w:rsidRPr="0053350D" w:rsidRDefault="005B131E">
      <w:pPr>
        <w:pStyle w:val="Heading4"/>
        <w:rPr>
          <w:lang w:eastAsia="en-AU"/>
        </w:rPr>
      </w:pPr>
      <w:r w:rsidRPr="0053350D">
        <w:rPr>
          <w:lang w:eastAsia="en-AU"/>
        </w:rPr>
        <w:t>4.1 Departmental outputs</w:t>
      </w:r>
    </w:p>
    <w:p w14:paraId="73D68CBC" w14:textId="77777777" w:rsidR="005B131E" w:rsidRPr="0053350D" w:rsidRDefault="005B131E" w:rsidP="00207901">
      <w:pPr>
        <w:pStyle w:val="Heading5"/>
        <w:rPr>
          <w:lang w:eastAsia="en-AU"/>
        </w:rPr>
      </w:pPr>
      <w:r w:rsidRPr="0053350D">
        <w:rPr>
          <w:lang w:eastAsia="en-AU"/>
        </w:rPr>
        <w:t>4.1.1 Departmental outputs – Descriptions and objectives</w:t>
      </w:r>
    </w:p>
    <w:p w14:paraId="08E1F47F" w14:textId="77777777" w:rsidR="005B131E" w:rsidRPr="00134BA8" w:rsidRDefault="005B131E">
      <w:pPr>
        <w:pStyle w:val="Heading6"/>
        <w:spacing w:before="160"/>
        <w:rPr>
          <w:lang w:eastAsia="en-AU"/>
        </w:rPr>
      </w:pPr>
      <w:r w:rsidRPr="00134BA8">
        <w:rPr>
          <w:lang w:eastAsia="en-AU"/>
        </w:rPr>
        <w:t>Department of Families, Fairness and Housing outputs</w:t>
      </w:r>
    </w:p>
    <w:p w14:paraId="5F6D6AB3" w14:textId="77777777" w:rsidR="005B131E" w:rsidRDefault="005B131E" w:rsidP="002542E1">
      <w:pPr>
        <w:pStyle w:val="Heading7"/>
      </w:pPr>
      <w:r>
        <w:t>Output 1: Disability Services</w:t>
      </w:r>
    </w:p>
    <w:p w14:paraId="03A34892" w14:textId="1A609ED0" w:rsidR="005B131E" w:rsidRDefault="005B131E" w:rsidP="002542E1">
      <w:pPr>
        <w:pStyle w:val="ARfinbody"/>
      </w:pPr>
      <w:r>
        <w:t>The Disability Services output includes provision of continuing care and support services for people with disabilities, their carers and their families, and aims to make a positive difference for Victorians experiencing disadvantage and provide excellent community services to meet clients</w:t>
      </w:r>
      <w:r w:rsidR="00711AE6">
        <w:t>’</w:t>
      </w:r>
      <w:r>
        <w:t xml:space="preserve"> needs.</w:t>
      </w:r>
    </w:p>
    <w:p w14:paraId="2A23BFF7" w14:textId="77777777" w:rsidR="005B131E" w:rsidRDefault="005B131E" w:rsidP="002542E1">
      <w:pPr>
        <w:pStyle w:val="Heading7"/>
      </w:pPr>
      <w:r>
        <w:t>Output 2: Child Protection and Family Services</w:t>
      </w:r>
    </w:p>
    <w:p w14:paraId="38881FAD" w14:textId="77777777" w:rsidR="005B131E" w:rsidRDefault="005B131E" w:rsidP="002542E1">
      <w:pPr>
        <w:pStyle w:val="ARfinbody"/>
      </w:pPr>
      <w:r>
        <w:t>The Child Protection and Family Services output funds statutory child protection services, family support and early parenting services, family violence and sexual assault services, placement care services and specialist support services to ensure the safety and wellbeing of adolescents and children at risk of harm, abuse and neglect.</w:t>
      </w:r>
    </w:p>
    <w:p w14:paraId="59340B7C" w14:textId="77777777" w:rsidR="005B131E" w:rsidRDefault="005B131E" w:rsidP="002542E1">
      <w:pPr>
        <w:pStyle w:val="Heading7"/>
      </w:pPr>
      <w:r>
        <w:t>Output 3: Concessions to Pensioners and Beneficiaries</w:t>
      </w:r>
    </w:p>
    <w:p w14:paraId="3CA97382" w14:textId="77777777" w:rsidR="005B131E" w:rsidRDefault="005B131E" w:rsidP="002542E1">
      <w:pPr>
        <w:pStyle w:val="ARfinbody"/>
      </w:pPr>
      <w:r>
        <w:t>Concessions to Pensioners and Beneficiaries output includes the development and coordination of the delivery of concessions and relief grants to eligible consumers and concession card holders.</w:t>
      </w:r>
    </w:p>
    <w:p w14:paraId="4BC10570" w14:textId="77777777" w:rsidR="005B131E" w:rsidRDefault="005B131E" w:rsidP="002542E1">
      <w:pPr>
        <w:pStyle w:val="ARfinbody"/>
      </w:pPr>
      <w:r>
        <w:t>This output provides reductions in the price of energy, water, and municipal rates to eligible consumers and concession card holders. It also provides trustee services for people on a low income or those who are subject to an order by the Victorian Civil and Administrative Tribunal, and other social and community services, including the provision of emergency relief for individuals or families who are experiencing immediate and personal distress due to a financial or domestic crisis.</w:t>
      </w:r>
    </w:p>
    <w:p w14:paraId="46FA70E7" w14:textId="77777777" w:rsidR="005B131E" w:rsidRDefault="005B131E" w:rsidP="002542E1">
      <w:pPr>
        <w:pStyle w:val="Heading7"/>
      </w:pPr>
      <w:r>
        <w:t>Output 4: Community Participation</w:t>
      </w:r>
    </w:p>
    <w:p w14:paraId="10CA383F" w14:textId="07B94E42" w:rsidR="005B131E" w:rsidRDefault="005B131E" w:rsidP="002542E1">
      <w:pPr>
        <w:pStyle w:val="ARfinbody"/>
      </w:pPr>
      <w:r>
        <w:t>The Community Participation output funds programs that support community participation, including neighbourhood houses, Men</w:t>
      </w:r>
      <w:r w:rsidR="00711AE6">
        <w:t>’</w:t>
      </w:r>
      <w:r>
        <w:t>s Sheds, community support projects and programs for people with a disability. These programs support the social and economic participation of Victorian communities, particularly vulnerable populations.</w:t>
      </w:r>
    </w:p>
    <w:p w14:paraId="38DC72B3" w14:textId="77777777" w:rsidR="005B131E" w:rsidRDefault="005B131E" w:rsidP="002542E1">
      <w:pPr>
        <w:pStyle w:val="Heading7"/>
      </w:pPr>
      <w:r>
        <w:t>Output 5: Office for Disability</w:t>
      </w:r>
    </w:p>
    <w:p w14:paraId="7C28FE23" w14:textId="77777777" w:rsidR="005B131E" w:rsidRDefault="005B131E" w:rsidP="002542E1">
      <w:pPr>
        <w:pStyle w:val="ARfinbody"/>
      </w:pPr>
      <w:r>
        <w:t>The Office for Disability leads and coordinates whole of government policy, disability action planning and funding, and support to disability advocacy and self-advocacy organisations so that people with a disability experience reduced disadvantage, can fully participate in the community and have their rights upheld.</w:t>
      </w:r>
    </w:p>
    <w:p w14:paraId="4BAA7EFF" w14:textId="77777777" w:rsidR="005B131E" w:rsidRDefault="005B131E" w:rsidP="002542E1">
      <w:pPr>
        <w:pStyle w:val="Heading7"/>
      </w:pPr>
      <w:r>
        <w:t>Output 6: Seniors Programs and Participation</w:t>
      </w:r>
    </w:p>
    <w:p w14:paraId="66D6E742" w14:textId="77777777" w:rsidR="005B131E" w:rsidRDefault="005B131E" w:rsidP="002542E1">
      <w:pPr>
        <w:pStyle w:val="ARfinbody"/>
      </w:pPr>
      <w:r>
        <w:t>The Seniors Programs and Participation output, which supports broader community planning processes to facilitate community planning and response approach aimed at enabling older Victorians to fully participate and engage in the community.</w:t>
      </w:r>
    </w:p>
    <w:p w14:paraId="5D72BB06" w14:textId="77777777" w:rsidR="005B131E" w:rsidRDefault="005B131E" w:rsidP="002542E1">
      <w:pPr>
        <w:pStyle w:val="Heading7"/>
      </w:pPr>
      <w:r>
        <w:t>Output 7: Support to Veterans in Victoria</w:t>
      </w:r>
    </w:p>
    <w:p w14:paraId="157DAC2D" w14:textId="77777777" w:rsidR="005B131E" w:rsidRDefault="005B131E" w:rsidP="002542E1">
      <w:pPr>
        <w:pStyle w:val="ARfinbody"/>
      </w:pPr>
      <w:r>
        <w:t>The Support to Veterans in Victoria output, which provides coordination of veteran-related issues at a state level, especially in relation to commemoration, education programs, grant programs, research and veteran welfare.</w:t>
      </w:r>
    </w:p>
    <w:p w14:paraId="1142E968" w14:textId="77777777" w:rsidR="005B131E" w:rsidRDefault="005B131E" w:rsidP="002542E1">
      <w:pPr>
        <w:pStyle w:val="Heading7"/>
      </w:pPr>
      <w:r>
        <w:t>Output 8: LGBTIQ+ Equality Policy and Programs</w:t>
      </w:r>
    </w:p>
    <w:p w14:paraId="4F00F0F4" w14:textId="6AFBF265" w:rsidR="005B131E" w:rsidRDefault="005B131E" w:rsidP="002542E1">
      <w:pPr>
        <w:pStyle w:val="ARfinbody"/>
      </w:pPr>
      <w:r>
        <w:t>The LGBTIQ+ Equality Policy and Programs output, which provides programs and services to promote equality for LGBTIQ+ Victorians and to support these communities</w:t>
      </w:r>
      <w:r w:rsidR="00711AE6">
        <w:t>’</w:t>
      </w:r>
      <w:r>
        <w:t xml:space="preserve"> economic, social and civic participation.</w:t>
      </w:r>
    </w:p>
    <w:p w14:paraId="7228A6FD" w14:textId="5E8F0447" w:rsidR="005B131E" w:rsidRDefault="005B131E" w:rsidP="002542E1">
      <w:pPr>
        <w:pStyle w:val="Heading7"/>
      </w:pPr>
      <w:r>
        <w:t>Output 9: Women</w:t>
      </w:r>
      <w:r w:rsidR="00711AE6">
        <w:t>’</w:t>
      </w:r>
      <w:r>
        <w:t>s policy</w:t>
      </w:r>
    </w:p>
    <w:p w14:paraId="1C9B3CC3" w14:textId="2FA3EDBD" w:rsidR="005B131E" w:rsidRDefault="005B131E" w:rsidP="002542E1">
      <w:pPr>
        <w:pStyle w:val="ARfinbody"/>
      </w:pPr>
      <w:r>
        <w:t>The Women</w:t>
      </w:r>
      <w:r w:rsidR="00711AE6">
        <w:t>’</w:t>
      </w:r>
      <w:r>
        <w:t>s Policy output, which provides initiatives that gender equality and better outcomes for women across all areas of their lives including economic security, safety, leadership, health and wellbeing.</w:t>
      </w:r>
    </w:p>
    <w:p w14:paraId="0A76BA44" w14:textId="77777777" w:rsidR="005B131E" w:rsidRDefault="005B131E" w:rsidP="002542E1">
      <w:pPr>
        <w:pStyle w:val="Heading7"/>
      </w:pPr>
      <w:r>
        <w:t>Output 10: Primary Prevention of Family Violence</w:t>
      </w:r>
    </w:p>
    <w:p w14:paraId="07D489BD" w14:textId="77777777" w:rsidR="005B131E" w:rsidRDefault="005B131E" w:rsidP="002542E1">
      <w:pPr>
        <w:pStyle w:val="ARfinbody"/>
      </w:pPr>
      <w:r>
        <w:t>The Primary Prevention of Family Violence output, which provides initiatives that support primary prevention of family violence and violence against women.</w:t>
      </w:r>
    </w:p>
    <w:p w14:paraId="7FB4D2A0" w14:textId="77777777" w:rsidR="005B131E" w:rsidRDefault="005B131E" w:rsidP="002542E1">
      <w:pPr>
        <w:pStyle w:val="Heading7"/>
      </w:pPr>
      <w:r>
        <w:t>Output 11: Youth</w:t>
      </w:r>
    </w:p>
    <w:p w14:paraId="57014274" w14:textId="77777777" w:rsidR="005B131E" w:rsidRDefault="005B131E" w:rsidP="002542E1">
      <w:pPr>
        <w:pStyle w:val="ARfinbody"/>
      </w:pPr>
      <w:r>
        <w:t>The Youth output, which leads and coordinates whole of government policy advice and delivers a range of initiatives for young people aged between 12 and 25 years to enable them to gain a range of skills and experience and to actively participate in their local communities.</w:t>
      </w:r>
    </w:p>
    <w:p w14:paraId="665F3F92" w14:textId="77777777" w:rsidR="005B131E" w:rsidRDefault="005B131E" w:rsidP="002542E1">
      <w:pPr>
        <w:pStyle w:val="Heading7"/>
      </w:pPr>
      <w:r>
        <w:t>Output 12: Multicultural affairs policy and programs</w:t>
      </w:r>
    </w:p>
    <w:p w14:paraId="6F169F4D" w14:textId="3EE42C40" w:rsidR="005B131E" w:rsidRDefault="005B131E" w:rsidP="002542E1">
      <w:pPr>
        <w:pStyle w:val="ARfinbody"/>
      </w:pPr>
      <w:r>
        <w:t>The Multicultural affairs policy and program output, which provides policy advice on multicultural affairs and social cohesion in Victoria, including settlement coordination for newly arrived migrants and refugees and delivers a range of programs to directly support Victoria</w:t>
      </w:r>
      <w:r w:rsidR="00711AE6">
        <w:t>’</w:t>
      </w:r>
      <w:r>
        <w:t>s multicultural communities.</w:t>
      </w:r>
    </w:p>
    <w:p w14:paraId="51EA2FF4" w14:textId="1FDBF18C" w:rsidR="005B131E" w:rsidRDefault="005B131E" w:rsidP="002542E1">
      <w:pPr>
        <w:pStyle w:val="ARfinbody"/>
      </w:pPr>
      <w:r>
        <w:t>Effective from 1 February 2024, as part of Machinery of Government changes, the Multicultural Affairs function was transferred to the Department of Premier and Cabinet. As of 1 February 2024, this output is no longer with the Department of Families, Fairness and Housing. Please refer to Note 4.3 Restructuring of administrative arrangements.</w:t>
      </w:r>
    </w:p>
    <w:p w14:paraId="203E7B89" w14:textId="77777777" w:rsidR="005B131E" w:rsidRDefault="005B131E" w:rsidP="002542E1">
      <w:pPr>
        <w:pStyle w:val="Heading7"/>
      </w:pPr>
      <w:r>
        <w:t>Output 13: Family Violence Service Delivery</w:t>
      </w:r>
    </w:p>
    <w:p w14:paraId="1815ECB8" w14:textId="52825CC1" w:rsidR="005B131E" w:rsidRDefault="005B131E" w:rsidP="002542E1">
      <w:pPr>
        <w:pStyle w:val="ARfinbody"/>
      </w:pPr>
      <w:r>
        <w:t>The Family Violence Service Delivery output group leads and coordinates whole of government family violence policy and implements and delivers the government</w:t>
      </w:r>
      <w:r w:rsidR="00711AE6">
        <w:t>’</w:t>
      </w:r>
      <w:r>
        <w:t>s family violence reform agenda. This includes establishing and operating Support and Safety Hubs, implementing information-sharing legislation, and delivering risk assessment and management programs.</w:t>
      </w:r>
    </w:p>
    <w:p w14:paraId="1C27204B" w14:textId="77777777" w:rsidR="005B131E" w:rsidRDefault="005B131E" w:rsidP="002542E1">
      <w:pPr>
        <w:pStyle w:val="Heading7"/>
      </w:pPr>
      <w:r>
        <w:t>Output 14: Housing Assistance</w:t>
      </w:r>
    </w:p>
    <w:p w14:paraId="240EA1BC" w14:textId="6E2D3938" w:rsidR="005B131E" w:rsidRDefault="005B131E" w:rsidP="002542E1">
      <w:pPr>
        <w:pStyle w:val="ARfinbody"/>
      </w:pPr>
      <w:r>
        <w:t>The Housing Assistance output, through the provision of homelessness services, crisis and transitional accommodation, and long-term, adequate, affordable, and accessible housing assistance, aims to make a positive difference for Victorians experiencing disadvantage. This is achieved by coordinating with support services where required, offering home renovation assistance, and managing the home loan portfolio to provide excellent housing and community services that meet clients</w:t>
      </w:r>
      <w:r w:rsidR="00711AE6">
        <w:t>’</w:t>
      </w:r>
      <w:r>
        <w:t xml:space="preserve"> needs. This output provides:</w:t>
      </w:r>
    </w:p>
    <w:p w14:paraId="605F5D85" w14:textId="77777777" w:rsidR="005B131E" w:rsidRDefault="005B131E" w:rsidP="002542E1">
      <w:pPr>
        <w:pStyle w:val="ARfinbullet1"/>
      </w:pPr>
      <w:r>
        <w:t>housing assistance for low-income families, older people, singles, youth and other households. It responds to the needs of clients through the provision of appropriate accommodation, including short-term and long-term properties that assist in reducing and preventing homelessness, and</w:t>
      </w:r>
    </w:p>
    <w:p w14:paraId="4593A84F" w14:textId="77777777" w:rsidR="005B131E" w:rsidRDefault="005B131E" w:rsidP="002542E1">
      <w:pPr>
        <w:pStyle w:val="ARfinbullet1"/>
      </w:pPr>
      <w:r>
        <w:t>housing support services to people who are homeless or at risk of homelessness, in short-term housing or crisis situations. Support will assist clients in accessing and maintaining tenancies in appropriate accommodation. Services provided will assist in the prevention and overall reduction of homelessness.</w:t>
      </w:r>
    </w:p>
    <w:p w14:paraId="4CACB53E" w14:textId="77777777" w:rsidR="005B131E" w:rsidRDefault="005B131E" w:rsidP="002542E1">
      <w:pPr>
        <w:pStyle w:val="Heading7"/>
      </w:pPr>
      <w:r>
        <w:t>Output 15: Victorian Contribution to National Disability Insurance Scheme</w:t>
      </w:r>
    </w:p>
    <w:p w14:paraId="18B1DD7F" w14:textId="06EC08ED" w:rsidR="005B131E" w:rsidRDefault="005B131E" w:rsidP="002542E1">
      <w:pPr>
        <w:pStyle w:val="ARfinbody"/>
      </w:pPr>
      <w:r>
        <w:t xml:space="preserve">The Victorian Contribution to National Disability Insurance Scheme is the </w:t>
      </w:r>
      <w:r w:rsidR="00E3343D">
        <w:t>department</w:t>
      </w:r>
      <w:r w:rsidR="00711AE6">
        <w:t>’</w:t>
      </w:r>
      <w:r w:rsidR="00E3343D">
        <w:t xml:space="preserve">s </w:t>
      </w:r>
      <w:r>
        <w:t>contribution to Australia</w:t>
      </w:r>
      <w:r w:rsidR="00711AE6">
        <w:t>’</w:t>
      </w:r>
      <w:r>
        <w:t xml:space="preserve">s National Disability Insurance Scheme. The scheme ensures that people with severe or profound disabilities can access the necessary supports they need to live the life they want and achieve their goals and aspirations. </w:t>
      </w:r>
    </w:p>
    <w:p w14:paraId="7A8B2008" w14:textId="77777777" w:rsidR="005B131E" w:rsidRDefault="005B131E" w:rsidP="002542E1">
      <w:pPr>
        <w:pStyle w:val="ARfinbody"/>
      </w:pPr>
      <w:r>
        <w:t>This output was removed in 2022–23 in the controlled entity disclosure in Note 4.1.2 Departmental outputs – Controlled income and expenses and Note 4.1.3 Departmental outputs – Controlled assets and liabilities. Funding and the related transactions will continue to be reported in Note 4.2.1 Administered (non-controlled) items</w:t>
      </w:r>
    </w:p>
    <w:p w14:paraId="4658DD60" w14:textId="77777777" w:rsidR="005B131E" w:rsidRDefault="005B131E" w:rsidP="002542E1">
      <w:pPr>
        <w:pStyle w:val="ARfinbody"/>
        <w:rPr>
          <w:highlight w:val="green"/>
        </w:rPr>
      </w:pPr>
      <w:r>
        <w:t>Further details on the objectives of each output can be found in Budget Paper No. 3 Service Delivery.</w:t>
      </w:r>
    </w:p>
    <w:p w14:paraId="5A317920" w14:textId="77777777" w:rsidR="005B131E" w:rsidRPr="00BA7805" w:rsidRDefault="005B131E">
      <w:pPr>
        <w:pStyle w:val="ARfinbody"/>
        <w:rPr>
          <w:highlight w:val="green"/>
        </w:rPr>
      </w:pPr>
    </w:p>
    <w:p w14:paraId="3700A4E1" w14:textId="77777777" w:rsidR="005B131E" w:rsidRPr="00BA7805" w:rsidRDefault="005B131E">
      <w:pPr>
        <w:pStyle w:val="ARfinbody"/>
        <w:rPr>
          <w:highlight w:val="green"/>
        </w:rPr>
        <w:sectPr w:rsidR="005B131E" w:rsidRPr="00BA7805" w:rsidSect="005B131E">
          <w:footerReference w:type="even" r:id="rId145"/>
          <w:footnotePr>
            <w:numFmt w:val="lowerLetter"/>
            <w:numRestart w:val="eachPage"/>
          </w:footnotePr>
          <w:pgSz w:w="11906" w:h="16838" w:code="9"/>
          <w:pgMar w:top="1985" w:right="1134" w:bottom="851" w:left="1134" w:header="510" w:footer="340" w:gutter="0"/>
          <w:cols w:space="708"/>
          <w:docGrid w:linePitch="360"/>
        </w:sectPr>
      </w:pPr>
    </w:p>
    <w:p w14:paraId="2EC226ED" w14:textId="77777777" w:rsidR="005B131E" w:rsidRPr="006D3CBD" w:rsidRDefault="005B131E" w:rsidP="002542E1">
      <w:pPr>
        <w:pStyle w:val="Heading5"/>
        <w:spacing w:before="0"/>
      </w:pPr>
      <w:r w:rsidRPr="006D3CBD">
        <w:rPr>
          <w:lang w:eastAsia="en-AU"/>
        </w:rPr>
        <w:t>4.1.2 Departmental outputs – Controlled income and expenses for the year ended 30 June 2024</w:t>
      </w:r>
    </w:p>
    <w:tbl>
      <w:tblPr>
        <w:tblStyle w:val="TableGrid"/>
        <w:tblW w:w="5000" w:type="pct"/>
        <w:tblLayout w:type="fixed"/>
        <w:tblCellMar>
          <w:right w:w="0" w:type="dxa"/>
        </w:tblCellMar>
        <w:tblLook w:val="06A0" w:firstRow="1" w:lastRow="0" w:firstColumn="1" w:lastColumn="0" w:noHBand="1" w:noVBand="1"/>
      </w:tblPr>
      <w:tblGrid>
        <w:gridCol w:w="2343"/>
        <w:gridCol w:w="711"/>
        <w:gridCol w:w="711"/>
        <w:gridCol w:w="711"/>
        <w:gridCol w:w="711"/>
        <w:gridCol w:w="711"/>
        <w:gridCol w:w="711"/>
        <w:gridCol w:w="710"/>
        <w:gridCol w:w="710"/>
        <w:gridCol w:w="710"/>
        <w:gridCol w:w="710"/>
        <w:gridCol w:w="710"/>
        <w:gridCol w:w="710"/>
        <w:gridCol w:w="710"/>
        <w:gridCol w:w="710"/>
        <w:gridCol w:w="710"/>
        <w:gridCol w:w="710"/>
      </w:tblGrid>
      <w:tr w:rsidR="005B131E" w:rsidRPr="00BA7805" w14:paraId="0441D2D4" w14:textId="77777777" w:rsidTr="002542E1">
        <w:trPr>
          <w:cnfStyle w:val="100000000000" w:firstRow="1" w:lastRow="0" w:firstColumn="0" w:lastColumn="0" w:oddVBand="0" w:evenVBand="0" w:oddHBand="0" w:evenHBand="0" w:firstRowFirstColumn="0" w:firstRowLastColumn="0" w:lastRowFirstColumn="0" w:lastRowLastColumn="0"/>
          <w:trHeight w:val="170"/>
          <w:tblHeader/>
        </w:trPr>
        <w:tc>
          <w:tcPr>
            <w:tcW w:w="2343" w:type="dxa"/>
            <w:tcBorders>
              <w:bottom w:val="single" w:sz="4" w:space="0" w:color="auto"/>
            </w:tcBorders>
            <w:hideMark/>
          </w:tcPr>
          <w:p w14:paraId="695C2E1B" w14:textId="77777777" w:rsidR="005B131E" w:rsidRPr="00654A18" w:rsidRDefault="005B131E" w:rsidP="002542E1">
            <w:pPr>
              <w:pStyle w:val="ARfintablecolhead8"/>
              <w:rPr>
                <w:rStyle w:val="Superscript"/>
                <w:sz w:val="15"/>
              </w:rPr>
            </w:pPr>
            <w:r w:rsidRPr="00654A18">
              <w:t xml:space="preserve">Output </w:t>
            </w:r>
            <w:r w:rsidRPr="00654A18">
              <w:rPr>
                <w:rStyle w:val="Superscript"/>
                <w:sz w:val="15"/>
              </w:rPr>
              <w:t>(i)</w:t>
            </w:r>
          </w:p>
          <w:p w14:paraId="1061C41D" w14:textId="77777777" w:rsidR="005B131E" w:rsidRPr="00BA7805" w:rsidRDefault="005B131E">
            <w:pPr>
              <w:pStyle w:val="ARfintablecolhead"/>
              <w:spacing w:before="16" w:after="10" w:line="228" w:lineRule="auto"/>
              <w:ind w:right="0"/>
              <w:rPr>
                <w:rFonts w:cs="Arial"/>
                <w:sz w:val="15"/>
                <w:szCs w:val="15"/>
                <w:highlight w:val="green"/>
              </w:rPr>
            </w:pPr>
            <w:r w:rsidRPr="00654A18">
              <w:rPr>
                <w:rFonts w:cs="Arial"/>
                <w:sz w:val="15"/>
                <w:szCs w:val="15"/>
              </w:rPr>
              <w:t>2024</w:t>
            </w:r>
          </w:p>
        </w:tc>
        <w:tc>
          <w:tcPr>
            <w:tcW w:w="711" w:type="dxa"/>
            <w:tcBorders>
              <w:bottom w:val="single" w:sz="4" w:space="0" w:color="auto"/>
            </w:tcBorders>
            <w:hideMark/>
          </w:tcPr>
          <w:p w14:paraId="11AD3B25" w14:textId="77777777" w:rsidR="005B131E" w:rsidRPr="00F4268B" w:rsidRDefault="005B131E" w:rsidP="002542E1">
            <w:pPr>
              <w:pStyle w:val="ARfintablecolheadright8"/>
            </w:pPr>
            <w:r w:rsidRPr="00F4268B">
              <w:t>1</w:t>
            </w:r>
          </w:p>
          <w:p w14:paraId="3DC2AD2B" w14:textId="77777777" w:rsidR="005B131E" w:rsidRPr="00F4268B" w:rsidRDefault="005B131E" w:rsidP="002542E1">
            <w:pPr>
              <w:pStyle w:val="ARfintablecolheadright8"/>
            </w:pPr>
            <w:r w:rsidRPr="00F4268B">
              <w:t>$M</w:t>
            </w:r>
          </w:p>
        </w:tc>
        <w:tc>
          <w:tcPr>
            <w:tcW w:w="711" w:type="dxa"/>
            <w:tcBorders>
              <w:bottom w:val="single" w:sz="4" w:space="0" w:color="auto"/>
            </w:tcBorders>
            <w:hideMark/>
          </w:tcPr>
          <w:p w14:paraId="707A2355" w14:textId="77777777" w:rsidR="005B131E" w:rsidRPr="00F4268B" w:rsidRDefault="005B131E" w:rsidP="002542E1">
            <w:pPr>
              <w:pStyle w:val="ARfintablecolheadright8"/>
            </w:pPr>
            <w:r w:rsidRPr="00F4268B">
              <w:t>2</w:t>
            </w:r>
          </w:p>
          <w:p w14:paraId="18AA767B" w14:textId="77777777" w:rsidR="005B131E" w:rsidRPr="00F4268B" w:rsidRDefault="005B131E" w:rsidP="002542E1">
            <w:pPr>
              <w:pStyle w:val="ARfintablecolheadright8"/>
            </w:pPr>
            <w:r w:rsidRPr="00F4268B">
              <w:t>$M</w:t>
            </w:r>
          </w:p>
        </w:tc>
        <w:tc>
          <w:tcPr>
            <w:tcW w:w="711" w:type="dxa"/>
            <w:tcBorders>
              <w:bottom w:val="single" w:sz="4" w:space="0" w:color="auto"/>
            </w:tcBorders>
            <w:hideMark/>
          </w:tcPr>
          <w:p w14:paraId="5E90173C" w14:textId="77777777" w:rsidR="005B131E" w:rsidRPr="00F4268B" w:rsidRDefault="005B131E" w:rsidP="002542E1">
            <w:pPr>
              <w:pStyle w:val="ARfintablecolheadright8"/>
            </w:pPr>
            <w:r w:rsidRPr="00F4268B">
              <w:t>3</w:t>
            </w:r>
          </w:p>
          <w:p w14:paraId="58D84EBC" w14:textId="77777777" w:rsidR="005B131E" w:rsidRPr="00F4268B" w:rsidRDefault="005B131E" w:rsidP="002542E1">
            <w:pPr>
              <w:pStyle w:val="ARfintablecolheadright8"/>
            </w:pPr>
            <w:r w:rsidRPr="00F4268B">
              <w:t>$M</w:t>
            </w:r>
          </w:p>
        </w:tc>
        <w:tc>
          <w:tcPr>
            <w:tcW w:w="711" w:type="dxa"/>
            <w:tcBorders>
              <w:bottom w:val="single" w:sz="4" w:space="0" w:color="auto"/>
            </w:tcBorders>
            <w:hideMark/>
          </w:tcPr>
          <w:p w14:paraId="7D515863" w14:textId="77777777" w:rsidR="005B131E" w:rsidRPr="00F4268B" w:rsidRDefault="005B131E" w:rsidP="002542E1">
            <w:pPr>
              <w:pStyle w:val="ARfintablecolheadright8"/>
            </w:pPr>
            <w:r w:rsidRPr="00F4268B">
              <w:t xml:space="preserve">4 </w:t>
            </w:r>
          </w:p>
          <w:p w14:paraId="34B8C2DB" w14:textId="77777777" w:rsidR="005B131E" w:rsidRPr="00F4268B" w:rsidRDefault="005B131E" w:rsidP="002542E1">
            <w:pPr>
              <w:pStyle w:val="ARfintablecolheadright8"/>
            </w:pPr>
            <w:r w:rsidRPr="00F4268B">
              <w:t>$M</w:t>
            </w:r>
          </w:p>
        </w:tc>
        <w:tc>
          <w:tcPr>
            <w:tcW w:w="711" w:type="dxa"/>
            <w:tcBorders>
              <w:bottom w:val="single" w:sz="4" w:space="0" w:color="auto"/>
            </w:tcBorders>
            <w:hideMark/>
          </w:tcPr>
          <w:p w14:paraId="2F180CD3" w14:textId="77777777" w:rsidR="005B131E" w:rsidRPr="00F4268B" w:rsidRDefault="005B131E" w:rsidP="002542E1">
            <w:pPr>
              <w:pStyle w:val="ARfintablecolheadright8"/>
            </w:pPr>
            <w:r w:rsidRPr="00F4268B">
              <w:t>5</w:t>
            </w:r>
          </w:p>
          <w:p w14:paraId="48B0B625" w14:textId="77777777" w:rsidR="005B131E" w:rsidRPr="00F4268B" w:rsidRDefault="005B131E" w:rsidP="002542E1">
            <w:pPr>
              <w:pStyle w:val="ARfintablecolheadright8"/>
            </w:pPr>
            <w:r w:rsidRPr="00F4268B">
              <w:t>$M</w:t>
            </w:r>
          </w:p>
        </w:tc>
        <w:tc>
          <w:tcPr>
            <w:tcW w:w="711" w:type="dxa"/>
            <w:tcBorders>
              <w:bottom w:val="single" w:sz="4" w:space="0" w:color="auto"/>
            </w:tcBorders>
            <w:hideMark/>
          </w:tcPr>
          <w:p w14:paraId="3E488BD3" w14:textId="77777777" w:rsidR="005B131E" w:rsidRPr="00F4268B" w:rsidRDefault="005B131E" w:rsidP="002542E1">
            <w:pPr>
              <w:pStyle w:val="ARfintablecolheadright8"/>
            </w:pPr>
            <w:r w:rsidRPr="00F4268B">
              <w:t>6</w:t>
            </w:r>
          </w:p>
          <w:p w14:paraId="0028E417"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3BC2EFF1" w14:textId="77777777" w:rsidR="005B131E" w:rsidRPr="00F4268B" w:rsidRDefault="005B131E" w:rsidP="002542E1">
            <w:pPr>
              <w:pStyle w:val="ARfintablecolheadright8"/>
            </w:pPr>
            <w:r w:rsidRPr="00F4268B">
              <w:t>7</w:t>
            </w:r>
          </w:p>
          <w:p w14:paraId="407BC320"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66F96AEE" w14:textId="77777777" w:rsidR="005B131E" w:rsidRPr="00F4268B" w:rsidRDefault="005B131E" w:rsidP="002542E1">
            <w:pPr>
              <w:pStyle w:val="ARfintablecolheadright8"/>
            </w:pPr>
            <w:r w:rsidRPr="00F4268B">
              <w:t>8</w:t>
            </w:r>
          </w:p>
          <w:p w14:paraId="0988112B"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440756E4" w14:textId="77777777" w:rsidR="005B131E" w:rsidRPr="00F4268B" w:rsidRDefault="005B131E" w:rsidP="002542E1">
            <w:pPr>
              <w:pStyle w:val="ARfintablecolheadright8"/>
            </w:pPr>
            <w:r w:rsidRPr="00F4268B">
              <w:t>9</w:t>
            </w:r>
          </w:p>
          <w:p w14:paraId="689D527A"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7671F081" w14:textId="77777777" w:rsidR="005B131E" w:rsidRPr="00F4268B" w:rsidRDefault="005B131E" w:rsidP="002542E1">
            <w:pPr>
              <w:pStyle w:val="ARfintablecolheadright8"/>
            </w:pPr>
            <w:r w:rsidRPr="00F4268B">
              <w:t>10</w:t>
            </w:r>
          </w:p>
          <w:p w14:paraId="0C246B12"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6C2C3BB9" w14:textId="77777777" w:rsidR="005B131E" w:rsidRPr="00F4268B" w:rsidRDefault="005B131E" w:rsidP="002542E1">
            <w:pPr>
              <w:pStyle w:val="ARfintablecolheadright8"/>
            </w:pPr>
            <w:r w:rsidRPr="00F4268B">
              <w:t>11</w:t>
            </w:r>
          </w:p>
          <w:p w14:paraId="77FC0C29"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1B6B66BA" w14:textId="77777777" w:rsidR="005B131E" w:rsidRPr="00F4268B" w:rsidRDefault="005B131E" w:rsidP="002542E1">
            <w:pPr>
              <w:pStyle w:val="ARfintablecolheadright8"/>
            </w:pPr>
            <w:r w:rsidRPr="00F4268B">
              <w:t>12</w:t>
            </w:r>
          </w:p>
          <w:p w14:paraId="02509B5B"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6964A4DC" w14:textId="77777777" w:rsidR="005B131E" w:rsidRPr="00F4268B" w:rsidRDefault="005B131E" w:rsidP="002542E1">
            <w:pPr>
              <w:pStyle w:val="ARfintablecolheadright8"/>
            </w:pPr>
            <w:r w:rsidRPr="00F4268B">
              <w:t>13</w:t>
            </w:r>
          </w:p>
          <w:p w14:paraId="55156B9B" w14:textId="77777777" w:rsidR="005B131E" w:rsidRPr="00F4268B" w:rsidRDefault="005B131E" w:rsidP="002542E1">
            <w:pPr>
              <w:pStyle w:val="ARfintablecolheadright8"/>
            </w:pPr>
            <w:r w:rsidRPr="00F4268B">
              <w:t>$M</w:t>
            </w:r>
          </w:p>
        </w:tc>
        <w:tc>
          <w:tcPr>
            <w:tcW w:w="710" w:type="dxa"/>
            <w:tcBorders>
              <w:bottom w:val="single" w:sz="4" w:space="0" w:color="auto"/>
            </w:tcBorders>
            <w:hideMark/>
          </w:tcPr>
          <w:p w14:paraId="31CE086E" w14:textId="77777777" w:rsidR="005B131E" w:rsidRPr="00F4268B" w:rsidRDefault="005B131E" w:rsidP="002542E1">
            <w:pPr>
              <w:pStyle w:val="ARfintablecolheadright8"/>
            </w:pPr>
            <w:r w:rsidRPr="00F4268B">
              <w:t>14</w:t>
            </w:r>
          </w:p>
          <w:p w14:paraId="482625BF" w14:textId="77777777" w:rsidR="005B131E" w:rsidRPr="00F4268B" w:rsidRDefault="005B131E" w:rsidP="002542E1">
            <w:pPr>
              <w:pStyle w:val="ARfintablecolheadright8"/>
            </w:pPr>
            <w:r w:rsidRPr="00F4268B">
              <w:t>$M</w:t>
            </w:r>
          </w:p>
        </w:tc>
        <w:tc>
          <w:tcPr>
            <w:tcW w:w="710" w:type="dxa"/>
            <w:tcBorders>
              <w:bottom w:val="single" w:sz="4" w:space="0" w:color="auto"/>
            </w:tcBorders>
          </w:tcPr>
          <w:p w14:paraId="7A82FCA8" w14:textId="77777777" w:rsidR="005B131E" w:rsidRDefault="005B131E" w:rsidP="002542E1">
            <w:pPr>
              <w:pStyle w:val="ARfintablecolheadright8"/>
            </w:pPr>
            <w:r>
              <w:t>Elimin-</w:t>
            </w:r>
            <w:r>
              <w:br/>
              <w:t>ation</w:t>
            </w:r>
          </w:p>
          <w:p w14:paraId="0E23A4EE" w14:textId="77777777" w:rsidR="005B131E" w:rsidRPr="00F4268B" w:rsidRDefault="005B131E" w:rsidP="002542E1">
            <w:pPr>
              <w:pStyle w:val="ARfintablecolheadright8"/>
            </w:pPr>
            <w:r>
              <w:t>$M</w:t>
            </w:r>
          </w:p>
        </w:tc>
        <w:tc>
          <w:tcPr>
            <w:tcW w:w="710" w:type="dxa"/>
            <w:tcBorders>
              <w:bottom w:val="single" w:sz="4" w:space="0" w:color="auto"/>
            </w:tcBorders>
            <w:hideMark/>
          </w:tcPr>
          <w:p w14:paraId="087B0785" w14:textId="77777777" w:rsidR="005B131E" w:rsidRPr="00F4268B" w:rsidRDefault="005B131E" w:rsidP="002542E1">
            <w:pPr>
              <w:pStyle w:val="ARfintablecolheadright8"/>
            </w:pPr>
            <w:r w:rsidRPr="00F4268B">
              <w:t>Total</w:t>
            </w:r>
          </w:p>
          <w:p w14:paraId="72DC309C" w14:textId="77777777" w:rsidR="005B131E" w:rsidRPr="00F4268B" w:rsidRDefault="005B131E" w:rsidP="002542E1">
            <w:pPr>
              <w:pStyle w:val="ARfintablecolheadright8"/>
            </w:pPr>
            <w:r w:rsidRPr="00F4268B">
              <w:t>$M</w:t>
            </w:r>
          </w:p>
        </w:tc>
      </w:tr>
      <w:tr w:rsidR="005B131E" w:rsidRPr="00BA7805" w14:paraId="2F008DC7" w14:textId="77777777" w:rsidTr="002542E1">
        <w:trPr>
          <w:trHeight w:val="170"/>
        </w:trPr>
        <w:tc>
          <w:tcPr>
            <w:tcW w:w="13709" w:type="dxa"/>
            <w:gridSpan w:val="17"/>
            <w:tcBorders>
              <w:top w:val="single" w:sz="4" w:space="0" w:color="A6A6A6" w:themeColor="background1" w:themeShade="A6"/>
              <w:bottom w:val="single" w:sz="4" w:space="0" w:color="A6A6A6" w:themeColor="background1" w:themeShade="A6"/>
            </w:tcBorders>
          </w:tcPr>
          <w:p w14:paraId="6C41AFC2" w14:textId="77777777" w:rsidR="005B131E" w:rsidRPr="00BA7805" w:rsidRDefault="005B131E" w:rsidP="002542E1">
            <w:pPr>
              <w:pStyle w:val="ARfintablebodybold8pt"/>
              <w:rPr>
                <w:sz w:val="15"/>
                <w:szCs w:val="15"/>
                <w:highlight w:val="green"/>
              </w:rPr>
            </w:pPr>
            <w:r w:rsidRPr="00235104">
              <w:t>Revenue and income from</w:t>
            </w:r>
            <w:r>
              <w:t> </w:t>
            </w:r>
            <w:r w:rsidRPr="00235104">
              <w:t>transactions</w:t>
            </w:r>
          </w:p>
        </w:tc>
      </w:tr>
      <w:tr w:rsidR="005B131E" w:rsidRPr="00BA7805" w14:paraId="1B213137"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434BDF23" w14:textId="77777777" w:rsidR="005B131E" w:rsidRPr="00BA7805" w:rsidRDefault="005B131E" w:rsidP="002542E1">
            <w:pPr>
              <w:pStyle w:val="ARfintablebody8pt"/>
              <w:rPr>
                <w:sz w:val="15"/>
                <w:highlight w:val="green"/>
              </w:rPr>
            </w:pPr>
            <w:r w:rsidRPr="00235104">
              <w:t>Output appropriations</w:t>
            </w:r>
          </w:p>
        </w:tc>
        <w:tc>
          <w:tcPr>
            <w:tcW w:w="711" w:type="dxa"/>
            <w:tcBorders>
              <w:top w:val="single" w:sz="4" w:space="0" w:color="A6A6A6" w:themeColor="background1" w:themeShade="A6"/>
              <w:bottom w:val="single" w:sz="4" w:space="0" w:color="A6A6A6" w:themeColor="background1" w:themeShade="A6"/>
            </w:tcBorders>
            <w:noWrap/>
          </w:tcPr>
          <w:p w14:paraId="50BC255E" w14:textId="77777777" w:rsidR="005B131E" w:rsidRPr="00BA7805" w:rsidRDefault="005B131E" w:rsidP="002542E1">
            <w:pPr>
              <w:pStyle w:val="ARfintablebodyright8pt"/>
              <w:rPr>
                <w:sz w:val="15"/>
                <w:szCs w:val="15"/>
                <w:highlight w:val="green"/>
              </w:rPr>
            </w:pPr>
            <w:r w:rsidRPr="00235104">
              <w:t>342.2</w:t>
            </w:r>
          </w:p>
        </w:tc>
        <w:tc>
          <w:tcPr>
            <w:tcW w:w="711" w:type="dxa"/>
            <w:tcBorders>
              <w:top w:val="single" w:sz="4" w:space="0" w:color="A6A6A6" w:themeColor="background1" w:themeShade="A6"/>
              <w:bottom w:val="single" w:sz="4" w:space="0" w:color="A6A6A6" w:themeColor="background1" w:themeShade="A6"/>
            </w:tcBorders>
            <w:noWrap/>
          </w:tcPr>
          <w:p w14:paraId="5CF27751" w14:textId="77777777" w:rsidR="005B131E" w:rsidRPr="00BA7805" w:rsidRDefault="005B131E" w:rsidP="002542E1">
            <w:pPr>
              <w:pStyle w:val="ARfintablebodyright8pt"/>
              <w:rPr>
                <w:sz w:val="15"/>
                <w:szCs w:val="15"/>
                <w:highlight w:val="green"/>
              </w:rPr>
            </w:pPr>
            <w:r w:rsidRPr="00235104">
              <w:t>2,354.5</w:t>
            </w:r>
          </w:p>
        </w:tc>
        <w:tc>
          <w:tcPr>
            <w:tcW w:w="711" w:type="dxa"/>
            <w:tcBorders>
              <w:top w:val="single" w:sz="4" w:space="0" w:color="A6A6A6" w:themeColor="background1" w:themeShade="A6"/>
              <w:bottom w:val="single" w:sz="4" w:space="0" w:color="A6A6A6" w:themeColor="background1" w:themeShade="A6"/>
            </w:tcBorders>
            <w:noWrap/>
          </w:tcPr>
          <w:p w14:paraId="5CD8350B" w14:textId="77777777" w:rsidR="005B131E" w:rsidRPr="00BA7805" w:rsidRDefault="005B131E" w:rsidP="002542E1">
            <w:pPr>
              <w:pStyle w:val="ARfintablebodyright8pt"/>
              <w:rPr>
                <w:sz w:val="15"/>
                <w:szCs w:val="15"/>
                <w:highlight w:val="green"/>
              </w:rPr>
            </w:pPr>
            <w:r w:rsidRPr="00235104">
              <w:t>1,066.5</w:t>
            </w:r>
          </w:p>
        </w:tc>
        <w:tc>
          <w:tcPr>
            <w:tcW w:w="711" w:type="dxa"/>
            <w:tcBorders>
              <w:top w:val="single" w:sz="4" w:space="0" w:color="A6A6A6" w:themeColor="background1" w:themeShade="A6"/>
              <w:bottom w:val="single" w:sz="4" w:space="0" w:color="A6A6A6" w:themeColor="background1" w:themeShade="A6"/>
            </w:tcBorders>
            <w:noWrap/>
          </w:tcPr>
          <w:p w14:paraId="6D77BFEF" w14:textId="77777777" w:rsidR="005B131E" w:rsidRPr="00BA7805" w:rsidRDefault="005B131E" w:rsidP="002542E1">
            <w:pPr>
              <w:pStyle w:val="ARfintablebodyright8pt"/>
              <w:rPr>
                <w:sz w:val="15"/>
                <w:szCs w:val="15"/>
                <w:highlight w:val="green"/>
              </w:rPr>
            </w:pPr>
            <w:r w:rsidRPr="00235104">
              <w:t>61.6</w:t>
            </w:r>
          </w:p>
        </w:tc>
        <w:tc>
          <w:tcPr>
            <w:tcW w:w="711" w:type="dxa"/>
            <w:tcBorders>
              <w:top w:val="single" w:sz="4" w:space="0" w:color="A6A6A6" w:themeColor="background1" w:themeShade="A6"/>
              <w:bottom w:val="single" w:sz="4" w:space="0" w:color="A6A6A6" w:themeColor="background1" w:themeShade="A6"/>
            </w:tcBorders>
            <w:noWrap/>
          </w:tcPr>
          <w:p w14:paraId="260B24F8" w14:textId="77777777" w:rsidR="005B131E" w:rsidRPr="00BA7805" w:rsidRDefault="005B131E" w:rsidP="002542E1">
            <w:pPr>
              <w:pStyle w:val="ARfintablebodyright8pt"/>
              <w:rPr>
                <w:sz w:val="15"/>
                <w:szCs w:val="15"/>
                <w:highlight w:val="green"/>
              </w:rPr>
            </w:pPr>
            <w:r w:rsidRPr="00235104">
              <w:t>11.6</w:t>
            </w:r>
          </w:p>
        </w:tc>
        <w:tc>
          <w:tcPr>
            <w:tcW w:w="711" w:type="dxa"/>
            <w:tcBorders>
              <w:top w:val="single" w:sz="4" w:space="0" w:color="A6A6A6" w:themeColor="background1" w:themeShade="A6"/>
              <w:bottom w:val="single" w:sz="4" w:space="0" w:color="A6A6A6" w:themeColor="background1" w:themeShade="A6"/>
            </w:tcBorders>
            <w:noWrap/>
          </w:tcPr>
          <w:p w14:paraId="1495FC5D" w14:textId="77777777" w:rsidR="005B131E" w:rsidRPr="00BA7805" w:rsidRDefault="005B131E" w:rsidP="002542E1">
            <w:pPr>
              <w:pStyle w:val="ARfintablebodyright8pt"/>
              <w:rPr>
                <w:sz w:val="15"/>
                <w:szCs w:val="15"/>
                <w:highlight w:val="green"/>
              </w:rPr>
            </w:pPr>
            <w:r w:rsidRPr="00235104">
              <w:t>59.6</w:t>
            </w:r>
          </w:p>
        </w:tc>
        <w:tc>
          <w:tcPr>
            <w:tcW w:w="710" w:type="dxa"/>
            <w:tcBorders>
              <w:top w:val="single" w:sz="4" w:space="0" w:color="A6A6A6" w:themeColor="background1" w:themeShade="A6"/>
              <w:bottom w:val="single" w:sz="4" w:space="0" w:color="A6A6A6" w:themeColor="background1" w:themeShade="A6"/>
            </w:tcBorders>
            <w:noWrap/>
          </w:tcPr>
          <w:p w14:paraId="58FF2D16" w14:textId="77777777" w:rsidR="005B131E" w:rsidRPr="00BA7805" w:rsidRDefault="005B131E" w:rsidP="002542E1">
            <w:pPr>
              <w:pStyle w:val="ARfintablebodyright8pt"/>
              <w:rPr>
                <w:sz w:val="15"/>
                <w:szCs w:val="15"/>
                <w:highlight w:val="green"/>
              </w:rPr>
            </w:pPr>
            <w:r w:rsidRPr="00235104">
              <w:t>9.6</w:t>
            </w:r>
          </w:p>
        </w:tc>
        <w:tc>
          <w:tcPr>
            <w:tcW w:w="710" w:type="dxa"/>
            <w:tcBorders>
              <w:top w:val="single" w:sz="4" w:space="0" w:color="A6A6A6" w:themeColor="background1" w:themeShade="A6"/>
              <w:bottom w:val="single" w:sz="4" w:space="0" w:color="A6A6A6" w:themeColor="background1" w:themeShade="A6"/>
            </w:tcBorders>
            <w:noWrap/>
          </w:tcPr>
          <w:p w14:paraId="507192C3" w14:textId="77777777" w:rsidR="005B131E" w:rsidRPr="00BA7805" w:rsidRDefault="005B131E" w:rsidP="002542E1">
            <w:pPr>
              <w:pStyle w:val="ARfintablebodyright8pt"/>
              <w:rPr>
                <w:sz w:val="15"/>
                <w:szCs w:val="15"/>
                <w:highlight w:val="green"/>
              </w:rPr>
            </w:pPr>
            <w:r w:rsidRPr="00235104">
              <w:t>12.1</w:t>
            </w:r>
          </w:p>
        </w:tc>
        <w:tc>
          <w:tcPr>
            <w:tcW w:w="710" w:type="dxa"/>
            <w:tcBorders>
              <w:top w:val="single" w:sz="4" w:space="0" w:color="A6A6A6" w:themeColor="background1" w:themeShade="A6"/>
              <w:bottom w:val="single" w:sz="4" w:space="0" w:color="A6A6A6" w:themeColor="background1" w:themeShade="A6"/>
            </w:tcBorders>
            <w:noWrap/>
          </w:tcPr>
          <w:p w14:paraId="301820A7" w14:textId="77777777" w:rsidR="005B131E" w:rsidRPr="00BA7805" w:rsidRDefault="005B131E" w:rsidP="002542E1">
            <w:pPr>
              <w:pStyle w:val="ARfintablebodyright8pt"/>
              <w:rPr>
                <w:sz w:val="15"/>
                <w:szCs w:val="15"/>
                <w:highlight w:val="green"/>
              </w:rPr>
            </w:pPr>
            <w:r w:rsidRPr="00235104">
              <w:t>13.7</w:t>
            </w:r>
          </w:p>
        </w:tc>
        <w:tc>
          <w:tcPr>
            <w:tcW w:w="710" w:type="dxa"/>
            <w:tcBorders>
              <w:top w:val="single" w:sz="4" w:space="0" w:color="A6A6A6" w:themeColor="background1" w:themeShade="A6"/>
              <w:bottom w:val="single" w:sz="4" w:space="0" w:color="A6A6A6" w:themeColor="background1" w:themeShade="A6"/>
            </w:tcBorders>
            <w:noWrap/>
          </w:tcPr>
          <w:p w14:paraId="28A96A08" w14:textId="77777777" w:rsidR="005B131E" w:rsidRPr="00BA7805" w:rsidRDefault="005B131E" w:rsidP="002542E1">
            <w:pPr>
              <w:pStyle w:val="ARfintablebodyright8pt"/>
              <w:rPr>
                <w:sz w:val="15"/>
                <w:szCs w:val="15"/>
                <w:highlight w:val="green"/>
              </w:rPr>
            </w:pPr>
            <w:r w:rsidRPr="00235104">
              <w:t>25.0</w:t>
            </w:r>
          </w:p>
        </w:tc>
        <w:tc>
          <w:tcPr>
            <w:tcW w:w="710" w:type="dxa"/>
            <w:tcBorders>
              <w:top w:val="single" w:sz="4" w:space="0" w:color="A6A6A6" w:themeColor="background1" w:themeShade="A6"/>
              <w:bottom w:val="single" w:sz="4" w:space="0" w:color="A6A6A6" w:themeColor="background1" w:themeShade="A6"/>
            </w:tcBorders>
            <w:noWrap/>
          </w:tcPr>
          <w:p w14:paraId="065573B3" w14:textId="77777777" w:rsidR="005B131E" w:rsidRPr="00BA7805" w:rsidRDefault="005B131E" w:rsidP="002542E1">
            <w:pPr>
              <w:pStyle w:val="ARfintablebodyright8pt"/>
              <w:rPr>
                <w:sz w:val="15"/>
                <w:szCs w:val="15"/>
                <w:highlight w:val="green"/>
              </w:rPr>
            </w:pPr>
            <w:r w:rsidRPr="00235104">
              <w:t>27.1</w:t>
            </w:r>
          </w:p>
        </w:tc>
        <w:tc>
          <w:tcPr>
            <w:tcW w:w="710" w:type="dxa"/>
            <w:tcBorders>
              <w:top w:val="single" w:sz="4" w:space="0" w:color="A6A6A6" w:themeColor="background1" w:themeShade="A6"/>
              <w:bottom w:val="single" w:sz="4" w:space="0" w:color="A6A6A6" w:themeColor="background1" w:themeShade="A6"/>
            </w:tcBorders>
            <w:noWrap/>
          </w:tcPr>
          <w:p w14:paraId="174455BF" w14:textId="77777777" w:rsidR="005B131E" w:rsidRPr="00BA7805" w:rsidRDefault="005B131E" w:rsidP="002542E1">
            <w:pPr>
              <w:pStyle w:val="ARfintablebodyright8pt"/>
              <w:rPr>
                <w:sz w:val="15"/>
                <w:szCs w:val="15"/>
                <w:highlight w:val="green"/>
              </w:rPr>
            </w:pPr>
            <w:r w:rsidRPr="00235104">
              <w:t>25.4</w:t>
            </w:r>
          </w:p>
        </w:tc>
        <w:tc>
          <w:tcPr>
            <w:tcW w:w="710" w:type="dxa"/>
            <w:tcBorders>
              <w:top w:val="single" w:sz="4" w:space="0" w:color="A6A6A6" w:themeColor="background1" w:themeShade="A6"/>
              <w:bottom w:val="single" w:sz="4" w:space="0" w:color="A6A6A6" w:themeColor="background1" w:themeShade="A6"/>
            </w:tcBorders>
            <w:noWrap/>
          </w:tcPr>
          <w:p w14:paraId="339A514F" w14:textId="77777777" w:rsidR="005B131E" w:rsidRPr="00BA7805" w:rsidRDefault="005B131E" w:rsidP="002542E1">
            <w:pPr>
              <w:pStyle w:val="ARfintablebodyright8pt"/>
              <w:rPr>
                <w:sz w:val="15"/>
                <w:szCs w:val="15"/>
                <w:highlight w:val="green"/>
              </w:rPr>
            </w:pPr>
            <w:r w:rsidRPr="00235104">
              <w:t>713.2</w:t>
            </w:r>
          </w:p>
        </w:tc>
        <w:tc>
          <w:tcPr>
            <w:tcW w:w="710" w:type="dxa"/>
            <w:tcBorders>
              <w:top w:val="single" w:sz="4" w:space="0" w:color="A6A6A6" w:themeColor="background1" w:themeShade="A6"/>
              <w:bottom w:val="single" w:sz="4" w:space="0" w:color="A6A6A6" w:themeColor="background1" w:themeShade="A6"/>
            </w:tcBorders>
            <w:noWrap/>
          </w:tcPr>
          <w:p w14:paraId="422E2422" w14:textId="77777777" w:rsidR="005B131E" w:rsidRPr="00BA7805" w:rsidRDefault="005B131E" w:rsidP="002542E1">
            <w:pPr>
              <w:pStyle w:val="ARfintablebodyright8pt"/>
              <w:rPr>
                <w:sz w:val="15"/>
                <w:szCs w:val="15"/>
                <w:highlight w:val="green"/>
              </w:rPr>
            </w:pPr>
            <w:r w:rsidRPr="00235104">
              <w:t>580.1</w:t>
            </w:r>
          </w:p>
        </w:tc>
        <w:tc>
          <w:tcPr>
            <w:tcW w:w="710" w:type="dxa"/>
            <w:tcBorders>
              <w:top w:val="single" w:sz="4" w:space="0" w:color="A6A6A6" w:themeColor="background1" w:themeShade="A6"/>
              <w:bottom w:val="single" w:sz="4" w:space="0" w:color="A6A6A6" w:themeColor="background1" w:themeShade="A6"/>
            </w:tcBorders>
          </w:tcPr>
          <w:p w14:paraId="7F2CFD6C" w14:textId="77777777" w:rsidR="005B131E" w:rsidRPr="00235104" w:rsidRDefault="005B131E" w:rsidP="002542E1">
            <w:pPr>
              <w:pStyle w:val="ARfintablebodyright8pt"/>
            </w:pPr>
          </w:p>
        </w:tc>
        <w:tc>
          <w:tcPr>
            <w:tcW w:w="710" w:type="dxa"/>
            <w:tcBorders>
              <w:top w:val="single" w:sz="4" w:space="0" w:color="A6A6A6" w:themeColor="background1" w:themeShade="A6"/>
              <w:bottom w:val="single" w:sz="4" w:space="0" w:color="A6A6A6" w:themeColor="background1" w:themeShade="A6"/>
            </w:tcBorders>
            <w:noWrap/>
          </w:tcPr>
          <w:p w14:paraId="7C03069A" w14:textId="77777777" w:rsidR="005B131E" w:rsidRPr="00BA7805" w:rsidRDefault="005B131E" w:rsidP="002542E1">
            <w:pPr>
              <w:pStyle w:val="ARfintablebodyright8pt"/>
              <w:rPr>
                <w:sz w:val="15"/>
                <w:szCs w:val="15"/>
                <w:highlight w:val="green"/>
              </w:rPr>
            </w:pPr>
            <w:r w:rsidRPr="00235104">
              <w:t>5,302.2</w:t>
            </w:r>
          </w:p>
        </w:tc>
      </w:tr>
      <w:tr w:rsidR="005B131E" w:rsidRPr="00BA7805" w14:paraId="2AD2694B"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6369DAC7" w14:textId="77777777" w:rsidR="005B131E" w:rsidRPr="00BA7805" w:rsidRDefault="005B131E" w:rsidP="002542E1">
            <w:pPr>
              <w:pStyle w:val="ARfintablebody8pt"/>
              <w:rPr>
                <w:sz w:val="15"/>
                <w:highlight w:val="green"/>
              </w:rPr>
            </w:pPr>
            <w:r w:rsidRPr="00235104">
              <w:t>Special appropriations</w:t>
            </w:r>
          </w:p>
        </w:tc>
        <w:tc>
          <w:tcPr>
            <w:tcW w:w="711" w:type="dxa"/>
            <w:tcBorders>
              <w:top w:val="single" w:sz="4" w:space="0" w:color="A6A6A6" w:themeColor="background1" w:themeShade="A6"/>
              <w:bottom w:val="single" w:sz="4" w:space="0" w:color="A6A6A6" w:themeColor="background1" w:themeShade="A6"/>
            </w:tcBorders>
            <w:noWrap/>
          </w:tcPr>
          <w:p w14:paraId="6EFAEF4A" w14:textId="77777777" w:rsidR="005B131E" w:rsidRPr="00BA7805" w:rsidRDefault="005B131E" w:rsidP="002542E1">
            <w:pPr>
              <w:pStyle w:val="ARfintablebodyright8pt"/>
              <w:rPr>
                <w:sz w:val="15"/>
                <w:szCs w:val="15"/>
                <w:highlight w:val="green"/>
              </w:rPr>
            </w:pPr>
            <w:r w:rsidRPr="00235104">
              <w:t>63.9</w:t>
            </w:r>
          </w:p>
        </w:tc>
        <w:tc>
          <w:tcPr>
            <w:tcW w:w="711" w:type="dxa"/>
            <w:tcBorders>
              <w:top w:val="single" w:sz="4" w:space="0" w:color="A6A6A6" w:themeColor="background1" w:themeShade="A6"/>
              <w:bottom w:val="single" w:sz="4" w:space="0" w:color="A6A6A6" w:themeColor="background1" w:themeShade="A6"/>
            </w:tcBorders>
            <w:noWrap/>
          </w:tcPr>
          <w:p w14:paraId="2BBAD269"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3926C89B"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1FEAC092"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0BEA67DA" w14:textId="77777777" w:rsidR="005B131E" w:rsidRPr="00BA7805" w:rsidRDefault="005B131E" w:rsidP="002542E1">
            <w:pPr>
              <w:pStyle w:val="ARfintablebodyright8pt"/>
              <w:rPr>
                <w:sz w:val="15"/>
                <w:szCs w:val="15"/>
                <w:highlight w:val="green"/>
              </w:rPr>
            </w:pPr>
            <w:r w:rsidRPr="00235104">
              <w:t>0.3</w:t>
            </w:r>
          </w:p>
        </w:tc>
        <w:tc>
          <w:tcPr>
            <w:tcW w:w="711" w:type="dxa"/>
            <w:tcBorders>
              <w:top w:val="single" w:sz="4" w:space="0" w:color="A6A6A6" w:themeColor="background1" w:themeShade="A6"/>
              <w:bottom w:val="single" w:sz="4" w:space="0" w:color="A6A6A6" w:themeColor="background1" w:themeShade="A6"/>
            </w:tcBorders>
            <w:noWrap/>
          </w:tcPr>
          <w:p w14:paraId="3A9EBC42"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76A9144D"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4F7CD67E"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033D77D1"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82A50CF" w14:textId="77777777" w:rsidR="005B131E" w:rsidRPr="00BA7805" w:rsidRDefault="005B131E" w:rsidP="002542E1">
            <w:pPr>
              <w:pStyle w:val="ARfintablebodyright8pt"/>
              <w:rPr>
                <w:sz w:val="15"/>
                <w:szCs w:val="15"/>
                <w:highlight w:val="green"/>
              </w:rPr>
            </w:pPr>
            <w:r w:rsidRPr="00235104">
              <w:t>2.0</w:t>
            </w:r>
          </w:p>
        </w:tc>
        <w:tc>
          <w:tcPr>
            <w:tcW w:w="710" w:type="dxa"/>
            <w:tcBorders>
              <w:top w:val="single" w:sz="4" w:space="0" w:color="A6A6A6" w:themeColor="background1" w:themeShade="A6"/>
              <w:bottom w:val="single" w:sz="4" w:space="0" w:color="A6A6A6" w:themeColor="background1" w:themeShade="A6"/>
            </w:tcBorders>
            <w:noWrap/>
          </w:tcPr>
          <w:p w14:paraId="3A6B04C5"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36A2D5CE"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1FF10A51" w14:textId="77777777" w:rsidR="005B131E" w:rsidRPr="00BA7805" w:rsidRDefault="005B131E" w:rsidP="002542E1">
            <w:pPr>
              <w:pStyle w:val="ARfintablebodyright8pt"/>
              <w:rPr>
                <w:sz w:val="15"/>
                <w:szCs w:val="15"/>
                <w:highlight w:val="green"/>
              </w:rPr>
            </w:pPr>
            <w:r w:rsidRPr="00235104">
              <w:t>7.9</w:t>
            </w:r>
          </w:p>
        </w:tc>
        <w:tc>
          <w:tcPr>
            <w:tcW w:w="710" w:type="dxa"/>
            <w:tcBorders>
              <w:top w:val="single" w:sz="4" w:space="0" w:color="A6A6A6" w:themeColor="background1" w:themeShade="A6"/>
              <w:bottom w:val="single" w:sz="4" w:space="0" w:color="A6A6A6" w:themeColor="background1" w:themeShade="A6"/>
            </w:tcBorders>
            <w:noWrap/>
          </w:tcPr>
          <w:p w14:paraId="7D258E07" w14:textId="77777777" w:rsidR="005B131E" w:rsidRPr="00BA7805" w:rsidRDefault="005B131E" w:rsidP="002542E1">
            <w:pPr>
              <w:pStyle w:val="ARfintablebodyright8pt"/>
              <w:rPr>
                <w:sz w:val="15"/>
                <w:szCs w:val="15"/>
                <w:highlight w:val="green"/>
              </w:rPr>
            </w:pPr>
            <w:r w:rsidRPr="00235104">
              <w:t>5.4</w:t>
            </w:r>
          </w:p>
        </w:tc>
        <w:tc>
          <w:tcPr>
            <w:tcW w:w="710" w:type="dxa"/>
            <w:tcBorders>
              <w:top w:val="single" w:sz="4" w:space="0" w:color="A6A6A6" w:themeColor="background1" w:themeShade="A6"/>
              <w:bottom w:val="single" w:sz="4" w:space="0" w:color="A6A6A6" w:themeColor="background1" w:themeShade="A6"/>
            </w:tcBorders>
          </w:tcPr>
          <w:p w14:paraId="24C6A31F" w14:textId="77777777" w:rsidR="005B131E" w:rsidRPr="00235104" w:rsidRDefault="005B131E" w:rsidP="002542E1">
            <w:pPr>
              <w:pStyle w:val="ARfintablebodyright8pt"/>
            </w:pPr>
          </w:p>
        </w:tc>
        <w:tc>
          <w:tcPr>
            <w:tcW w:w="710" w:type="dxa"/>
            <w:tcBorders>
              <w:top w:val="single" w:sz="4" w:space="0" w:color="A6A6A6" w:themeColor="background1" w:themeShade="A6"/>
              <w:bottom w:val="single" w:sz="4" w:space="0" w:color="A6A6A6" w:themeColor="background1" w:themeShade="A6"/>
            </w:tcBorders>
            <w:noWrap/>
          </w:tcPr>
          <w:p w14:paraId="736CAA69" w14:textId="77777777" w:rsidR="005B131E" w:rsidRPr="00BA7805" w:rsidRDefault="005B131E" w:rsidP="002542E1">
            <w:pPr>
              <w:pStyle w:val="ARfintablebodyright8pt"/>
              <w:rPr>
                <w:sz w:val="15"/>
                <w:szCs w:val="15"/>
                <w:highlight w:val="green"/>
              </w:rPr>
            </w:pPr>
            <w:r w:rsidRPr="00235104">
              <w:t>79.5</w:t>
            </w:r>
          </w:p>
        </w:tc>
      </w:tr>
      <w:tr w:rsidR="005B131E" w:rsidRPr="00BA7805" w14:paraId="6FAC792F"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651E327E" w14:textId="77777777" w:rsidR="005B131E" w:rsidRPr="00BA7805" w:rsidRDefault="005B131E" w:rsidP="002542E1">
            <w:pPr>
              <w:pStyle w:val="ARfintablebody8pt"/>
              <w:rPr>
                <w:sz w:val="15"/>
                <w:highlight w:val="green"/>
              </w:rPr>
            </w:pPr>
            <w:r w:rsidRPr="00235104">
              <w:t>Rental income</w:t>
            </w:r>
          </w:p>
        </w:tc>
        <w:tc>
          <w:tcPr>
            <w:tcW w:w="711" w:type="dxa"/>
            <w:tcBorders>
              <w:top w:val="single" w:sz="4" w:space="0" w:color="A6A6A6" w:themeColor="background1" w:themeShade="A6"/>
              <w:bottom w:val="single" w:sz="4" w:space="0" w:color="A6A6A6" w:themeColor="background1" w:themeShade="A6"/>
            </w:tcBorders>
            <w:noWrap/>
          </w:tcPr>
          <w:p w14:paraId="5283FA38"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2C230625"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56AF7E13"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2584876E"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684C4958"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51A6B29F"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031F6F0F"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7F43823"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1F1A7E92"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56766813"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17839438"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2DD9F0BA"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1CF4D4E2"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77979640" w14:textId="77777777" w:rsidR="005B131E" w:rsidRPr="00BA7805" w:rsidRDefault="005B131E" w:rsidP="002542E1">
            <w:pPr>
              <w:pStyle w:val="ARfintablebodyright8pt"/>
              <w:rPr>
                <w:sz w:val="15"/>
                <w:szCs w:val="15"/>
                <w:highlight w:val="green"/>
              </w:rPr>
            </w:pPr>
            <w:r w:rsidRPr="00235104">
              <w:t>555.5</w:t>
            </w:r>
          </w:p>
        </w:tc>
        <w:tc>
          <w:tcPr>
            <w:tcW w:w="710" w:type="dxa"/>
            <w:tcBorders>
              <w:top w:val="single" w:sz="4" w:space="0" w:color="A6A6A6" w:themeColor="background1" w:themeShade="A6"/>
              <w:bottom w:val="single" w:sz="4" w:space="0" w:color="A6A6A6" w:themeColor="background1" w:themeShade="A6"/>
            </w:tcBorders>
          </w:tcPr>
          <w:p w14:paraId="0D6BFF47" w14:textId="77777777" w:rsidR="005B131E" w:rsidRPr="00235104" w:rsidRDefault="005B131E" w:rsidP="002542E1">
            <w:pPr>
              <w:pStyle w:val="ARfintablebodyright8pt"/>
            </w:pPr>
          </w:p>
        </w:tc>
        <w:tc>
          <w:tcPr>
            <w:tcW w:w="710" w:type="dxa"/>
            <w:tcBorders>
              <w:top w:val="single" w:sz="4" w:space="0" w:color="A6A6A6" w:themeColor="background1" w:themeShade="A6"/>
              <w:bottom w:val="single" w:sz="4" w:space="0" w:color="A6A6A6" w:themeColor="background1" w:themeShade="A6"/>
            </w:tcBorders>
            <w:noWrap/>
          </w:tcPr>
          <w:p w14:paraId="032CFB2C" w14:textId="77777777" w:rsidR="005B131E" w:rsidRPr="00BA7805" w:rsidRDefault="005B131E" w:rsidP="002542E1">
            <w:pPr>
              <w:pStyle w:val="ARfintablebodyright8pt"/>
              <w:rPr>
                <w:sz w:val="15"/>
                <w:szCs w:val="15"/>
                <w:highlight w:val="green"/>
              </w:rPr>
            </w:pPr>
            <w:r w:rsidRPr="00235104">
              <w:t>555.5</w:t>
            </w:r>
          </w:p>
        </w:tc>
      </w:tr>
      <w:tr w:rsidR="005B131E" w:rsidRPr="00BA7805" w14:paraId="1610B5A0"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46B1F4BD" w14:textId="77777777" w:rsidR="005B131E" w:rsidRPr="00BA7805" w:rsidRDefault="005B131E" w:rsidP="002542E1">
            <w:pPr>
              <w:pStyle w:val="ARfintablebody8pt"/>
              <w:rPr>
                <w:sz w:val="15"/>
                <w:highlight w:val="green"/>
              </w:rPr>
            </w:pPr>
            <w:r w:rsidRPr="00235104">
              <w:t>Grants</w:t>
            </w:r>
          </w:p>
        </w:tc>
        <w:tc>
          <w:tcPr>
            <w:tcW w:w="711" w:type="dxa"/>
            <w:tcBorders>
              <w:top w:val="single" w:sz="4" w:space="0" w:color="A6A6A6" w:themeColor="background1" w:themeShade="A6"/>
              <w:bottom w:val="single" w:sz="4" w:space="0" w:color="A6A6A6" w:themeColor="background1" w:themeShade="A6"/>
            </w:tcBorders>
            <w:noWrap/>
          </w:tcPr>
          <w:p w14:paraId="3406E063" w14:textId="77777777" w:rsidR="005B131E" w:rsidRPr="00BA7805" w:rsidRDefault="005B131E" w:rsidP="002542E1">
            <w:pPr>
              <w:pStyle w:val="ARfintablebodyright8pt"/>
              <w:rPr>
                <w:sz w:val="15"/>
                <w:szCs w:val="15"/>
                <w:highlight w:val="green"/>
              </w:rPr>
            </w:pPr>
            <w:r w:rsidRPr="00235104">
              <w:t>13.3</w:t>
            </w:r>
          </w:p>
        </w:tc>
        <w:tc>
          <w:tcPr>
            <w:tcW w:w="711" w:type="dxa"/>
            <w:tcBorders>
              <w:top w:val="single" w:sz="4" w:space="0" w:color="A6A6A6" w:themeColor="background1" w:themeShade="A6"/>
              <w:bottom w:val="single" w:sz="4" w:space="0" w:color="A6A6A6" w:themeColor="background1" w:themeShade="A6"/>
            </w:tcBorders>
            <w:noWrap/>
          </w:tcPr>
          <w:p w14:paraId="06DAF4C2" w14:textId="77777777" w:rsidR="005B131E" w:rsidRPr="00BA7805" w:rsidRDefault="005B131E" w:rsidP="002542E1">
            <w:pPr>
              <w:pStyle w:val="ARfintablebodyright8pt"/>
              <w:rPr>
                <w:sz w:val="15"/>
                <w:szCs w:val="15"/>
                <w:highlight w:val="green"/>
              </w:rPr>
            </w:pPr>
            <w:r w:rsidRPr="00235104">
              <w:t>24.4</w:t>
            </w:r>
          </w:p>
        </w:tc>
        <w:tc>
          <w:tcPr>
            <w:tcW w:w="711" w:type="dxa"/>
            <w:tcBorders>
              <w:top w:val="single" w:sz="4" w:space="0" w:color="A6A6A6" w:themeColor="background1" w:themeShade="A6"/>
              <w:bottom w:val="single" w:sz="4" w:space="0" w:color="A6A6A6" w:themeColor="background1" w:themeShade="A6"/>
            </w:tcBorders>
            <w:noWrap/>
          </w:tcPr>
          <w:p w14:paraId="18EC7232" w14:textId="77777777" w:rsidR="005B131E" w:rsidRPr="00BA7805" w:rsidRDefault="005B131E" w:rsidP="002542E1">
            <w:pPr>
              <w:pStyle w:val="ARfintablebodyright8pt"/>
              <w:rPr>
                <w:sz w:val="15"/>
                <w:szCs w:val="15"/>
                <w:highlight w:val="green"/>
              </w:rPr>
            </w:pPr>
            <w:r w:rsidRPr="00235104">
              <w:t>0.3</w:t>
            </w:r>
          </w:p>
        </w:tc>
        <w:tc>
          <w:tcPr>
            <w:tcW w:w="711" w:type="dxa"/>
            <w:tcBorders>
              <w:top w:val="single" w:sz="4" w:space="0" w:color="A6A6A6" w:themeColor="background1" w:themeShade="A6"/>
              <w:bottom w:val="single" w:sz="4" w:space="0" w:color="A6A6A6" w:themeColor="background1" w:themeShade="A6"/>
            </w:tcBorders>
            <w:noWrap/>
          </w:tcPr>
          <w:p w14:paraId="41E5B916" w14:textId="77777777" w:rsidR="005B131E" w:rsidRPr="00BA7805" w:rsidRDefault="005B131E" w:rsidP="002542E1">
            <w:pPr>
              <w:pStyle w:val="ARfintablebodyright8pt"/>
              <w:rPr>
                <w:sz w:val="15"/>
                <w:szCs w:val="15"/>
                <w:highlight w:val="green"/>
              </w:rPr>
            </w:pPr>
            <w:r w:rsidRPr="00235104">
              <w:t>8.6</w:t>
            </w:r>
          </w:p>
        </w:tc>
        <w:tc>
          <w:tcPr>
            <w:tcW w:w="711" w:type="dxa"/>
            <w:tcBorders>
              <w:top w:val="single" w:sz="4" w:space="0" w:color="A6A6A6" w:themeColor="background1" w:themeShade="A6"/>
              <w:bottom w:val="single" w:sz="4" w:space="0" w:color="A6A6A6" w:themeColor="background1" w:themeShade="A6"/>
            </w:tcBorders>
            <w:noWrap/>
          </w:tcPr>
          <w:p w14:paraId="24FA616D" w14:textId="77777777" w:rsidR="005B131E" w:rsidRPr="00BA7805" w:rsidRDefault="005B131E" w:rsidP="002542E1">
            <w:pPr>
              <w:pStyle w:val="ARfintablebodyright8pt"/>
              <w:rPr>
                <w:sz w:val="15"/>
                <w:szCs w:val="15"/>
                <w:highlight w:val="green"/>
              </w:rPr>
            </w:pPr>
            <w:r w:rsidRPr="00235104">
              <w:t>1.4</w:t>
            </w:r>
          </w:p>
        </w:tc>
        <w:tc>
          <w:tcPr>
            <w:tcW w:w="711" w:type="dxa"/>
            <w:tcBorders>
              <w:top w:val="single" w:sz="4" w:space="0" w:color="A6A6A6" w:themeColor="background1" w:themeShade="A6"/>
              <w:bottom w:val="single" w:sz="4" w:space="0" w:color="A6A6A6" w:themeColor="background1" w:themeShade="A6"/>
            </w:tcBorders>
            <w:noWrap/>
          </w:tcPr>
          <w:p w14:paraId="347863AC"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0994857E" w14:textId="77777777" w:rsidR="005B131E" w:rsidRPr="00BA7805" w:rsidRDefault="005B131E" w:rsidP="002542E1">
            <w:pPr>
              <w:pStyle w:val="ARfintablebodyright8pt"/>
              <w:rPr>
                <w:sz w:val="15"/>
                <w:szCs w:val="15"/>
                <w:highlight w:val="green"/>
              </w:rPr>
            </w:pPr>
            <w:r w:rsidRPr="00235104">
              <w:t>1.2</w:t>
            </w:r>
          </w:p>
        </w:tc>
        <w:tc>
          <w:tcPr>
            <w:tcW w:w="710" w:type="dxa"/>
            <w:tcBorders>
              <w:top w:val="single" w:sz="4" w:space="0" w:color="A6A6A6" w:themeColor="background1" w:themeShade="A6"/>
              <w:bottom w:val="single" w:sz="4" w:space="0" w:color="A6A6A6" w:themeColor="background1" w:themeShade="A6"/>
            </w:tcBorders>
            <w:noWrap/>
          </w:tcPr>
          <w:p w14:paraId="21D1FB9B"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0FAE3211" w14:textId="77777777" w:rsidR="005B131E" w:rsidRPr="00BA7805" w:rsidRDefault="005B131E" w:rsidP="002542E1">
            <w:pPr>
              <w:pStyle w:val="ARfintablebodyright8pt"/>
              <w:rPr>
                <w:sz w:val="15"/>
                <w:szCs w:val="15"/>
                <w:highlight w:val="green"/>
              </w:rPr>
            </w:pPr>
            <w:r w:rsidRPr="00235104">
              <w:t>0.1</w:t>
            </w:r>
          </w:p>
        </w:tc>
        <w:tc>
          <w:tcPr>
            <w:tcW w:w="710" w:type="dxa"/>
            <w:tcBorders>
              <w:top w:val="single" w:sz="4" w:space="0" w:color="A6A6A6" w:themeColor="background1" w:themeShade="A6"/>
              <w:bottom w:val="single" w:sz="4" w:space="0" w:color="A6A6A6" w:themeColor="background1" w:themeShade="A6"/>
            </w:tcBorders>
            <w:noWrap/>
          </w:tcPr>
          <w:p w14:paraId="28C377F7" w14:textId="77777777" w:rsidR="005B131E" w:rsidRPr="00BA7805" w:rsidRDefault="005B131E" w:rsidP="002542E1">
            <w:pPr>
              <w:pStyle w:val="ARfintablebodyright8pt"/>
              <w:rPr>
                <w:sz w:val="15"/>
                <w:szCs w:val="15"/>
                <w:highlight w:val="green"/>
              </w:rPr>
            </w:pPr>
            <w:r w:rsidRPr="00235104">
              <w:t>2.2</w:t>
            </w:r>
          </w:p>
        </w:tc>
        <w:tc>
          <w:tcPr>
            <w:tcW w:w="710" w:type="dxa"/>
            <w:tcBorders>
              <w:top w:val="single" w:sz="4" w:space="0" w:color="A6A6A6" w:themeColor="background1" w:themeShade="A6"/>
              <w:bottom w:val="single" w:sz="4" w:space="0" w:color="A6A6A6" w:themeColor="background1" w:themeShade="A6"/>
            </w:tcBorders>
            <w:noWrap/>
          </w:tcPr>
          <w:p w14:paraId="6DDE04A3" w14:textId="77777777" w:rsidR="005B131E" w:rsidRPr="00BA7805" w:rsidRDefault="005B131E" w:rsidP="002542E1">
            <w:pPr>
              <w:pStyle w:val="ARfintablebodyright8pt"/>
              <w:rPr>
                <w:sz w:val="15"/>
                <w:szCs w:val="15"/>
                <w:highlight w:val="green"/>
              </w:rPr>
            </w:pPr>
            <w:r w:rsidRPr="00235104">
              <w:t>0.9</w:t>
            </w:r>
          </w:p>
        </w:tc>
        <w:tc>
          <w:tcPr>
            <w:tcW w:w="710" w:type="dxa"/>
            <w:tcBorders>
              <w:top w:val="single" w:sz="4" w:space="0" w:color="A6A6A6" w:themeColor="background1" w:themeShade="A6"/>
              <w:bottom w:val="single" w:sz="4" w:space="0" w:color="A6A6A6" w:themeColor="background1" w:themeShade="A6"/>
            </w:tcBorders>
            <w:noWrap/>
          </w:tcPr>
          <w:p w14:paraId="7964CD1C" w14:textId="77777777" w:rsidR="005B131E" w:rsidRPr="00BA7805" w:rsidRDefault="005B131E" w:rsidP="002542E1">
            <w:pPr>
              <w:pStyle w:val="ARfintablebodyright8pt"/>
              <w:rPr>
                <w:sz w:val="15"/>
                <w:szCs w:val="15"/>
                <w:highlight w:val="green"/>
              </w:rPr>
            </w:pPr>
            <w:r w:rsidRPr="00235104">
              <w:t>0.1</w:t>
            </w:r>
          </w:p>
        </w:tc>
        <w:tc>
          <w:tcPr>
            <w:tcW w:w="710" w:type="dxa"/>
            <w:tcBorders>
              <w:top w:val="single" w:sz="4" w:space="0" w:color="A6A6A6" w:themeColor="background1" w:themeShade="A6"/>
              <w:bottom w:val="single" w:sz="4" w:space="0" w:color="A6A6A6" w:themeColor="background1" w:themeShade="A6"/>
            </w:tcBorders>
            <w:noWrap/>
          </w:tcPr>
          <w:p w14:paraId="2B1D9A98" w14:textId="77777777" w:rsidR="005B131E" w:rsidRPr="00BA7805" w:rsidRDefault="005B131E" w:rsidP="002542E1">
            <w:pPr>
              <w:pStyle w:val="ARfintablebodyright8pt"/>
              <w:rPr>
                <w:sz w:val="15"/>
                <w:szCs w:val="15"/>
                <w:highlight w:val="green"/>
              </w:rPr>
            </w:pPr>
            <w:r w:rsidRPr="00235104">
              <w:t>1.6</w:t>
            </w:r>
          </w:p>
        </w:tc>
        <w:tc>
          <w:tcPr>
            <w:tcW w:w="710" w:type="dxa"/>
            <w:tcBorders>
              <w:top w:val="single" w:sz="4" w:space="0" w:color="A6A6A6" w:themeColor="background1" w:themeShade="A6"/>
              <w:bottom w:val="single" w:sz="4" w:space="0" w:color="A6A6A6" w:themeColor="background1" w:themeShade="A6"/>
            </w:tcBorders>
            <w:noWrap/>
          </w:tcPr>
          <w:p w14:paraId="29C07098" w14:textId="77777777" w:rsidR="005B131E" w:rsidRPr="00BA7805" w:rsidRDefault="005B131E" w:rsidP="002542E1">
            <w:pPr>
              <w:pStyle w:val="ARfintablebodyright8pt"/>
              <w:rPr>
                <w:sz w:val="15"/>
                <w:szCs w:val="15"/>
                <w:highlight w:val="green"/>
              </w:rPr>
            </w:pPr>
            <w:r w:rsidRPr="00235104">
              <w:t>388.3</w:t>
            </w:r>
          </w:p>
        </w:tc>
        <w:tc>
          <w:tcPr>
            <w:tcW w:w="710" w:type="dxa"/>
            <w:tcBorders>
              <w:top w:val="single" w:sz="4" w:space="0" w:color="A6A6A6" w:themeColor="background1" w:themeShade="A6"/>
              <w:bottom w:val="single" w:sz="4" w:space="0" w:color="A6A6A6" w:themeColor="background1" w:themeShade="A6"/>
            </w:tcBorders>
          </w:tcPr>
          <w:p w14:paraId="56AC339C" w14:textId="77777777" w:rsidR="005B131E" w:rsidRPr="00235104" w:rsidRDefault="005B131E" w:rsidP="002542E1">
            <w:pPr>
              <w:pStyle w:val="ARfintablebodyright8pt"/>
            </w:pPr>
            <w:r>
              <w:t>(24.1)</w:t>
            </w:r>
          </w:p>
        </w:tc>
        <w:tc>
          <w:tcPr>
            <w:tcW w:w="710" w:type="dxa"/>
            <w:tcBorders>
              <w:top w:val="single" w:sz="4" w:space="0" w:color="A6A6A6" w:themeColor="background1" w:themeShade="A6"/>
              <w:bottom w:val="single" w:sz="4" w:space="0" w:color="A6A6A6" w:themeColor="background1" w:themeShade="A6"/>
            </w:tcBorders>
            <w:noWrap/>
          </w:tcPr>
          <w:p w14:paraId="2744D0F3" w14:textId="77777777" w:rsidR="005B131E" w:rsidRPr="00BA7805" w:rsidRDefault="005B131E" w:rsidP="002542E1">
            <w:pPr>
              <w:pStyle w:val="ARfintablebodyright8pt"/>
              <w:rPr>
                <w:sz w:val="15"/>
                <w:szCs w:val="15"/>
                <w:highlight w:val="green"/>
              </w:rPr>
            </w:pPr>
            <w:r w:rsidRPr="00235104">
              <w:t>418.2</w:t>
            </w:r>
          </w:p>
        </w:tc>
      </w:tr>
      <w:tr w:rsidR="005B131E" w:rsidRPr="00BA7805" w14:paraId="67B410CE" w14:textId="77777777" w:rsidTr="002542E1">
        <w:trPr>
          <w:trHeight w:val="170"/>
        </w:trPr>
        <w:tc>
          <w:tcPr>
            <w:tcW w:w="2343" w:type="dxa"/>
            <w:tcBorders>
              <w:top w:val="single" w:sz="4" w:space="0" w:color="A6A6A6" w:themeColor="background1" w:themeShade="A6"/>
              <w:bottom w:val="single" w:sz="4" w:space="0" w:color="000000" w:themeColor="text1"/>
            </w:tcBorders>
          </w:tcPr>
          <w:p w14:paraId="1A146935" w14:textId="77777777" w:rsidR="005B131E" w:rsidRPr="00BA7805" w:rsidRDefault="005B131E" w:rsidP="002542E1">
            <w:pPr>
              <w:pStyle w:val="ARfintablebody8pt"/>
              <w:rPr>
                <w:sz w:val="15"/>
                <w:highlight w:val="green"/>
              </w:rPr>
            </w:pPr>
            <w:r w:rsidRPr="00235104">
              <w:t>Other income</w:t>
            </w:r>
          </w:p>
        </w:tc>
        <w:tc>
          <w:tcPr>
            <w:tcW w:w="711" w:type="dxa"/>
            <w:tcBorders>
              <w:top w:val="single" w:sz="4" w:space="0" w:color="A6A6A6" w:themeColor="background1" w:themeShade="A6"/>
              <w:bottom w:val="single" w:sz="4" w:space="0" w:color="000000" w:themeColor="text1"/>
            </w:tcBorders>
            <w:noWrap/>
          </w:tcPr>
          <w:p w14:paraId="1C14E4EE" w14:textId="77777777" w:rsidR="005B131E" w:rsidRPr="00BA7805" w:rsidRDefault="005B131E" w:rsidP="002542E1">
            <w:pPr>
              <w:pStyle w:val="ARfintablebodyright8pt"/>
              <w:rPr>
                <w:sz w:val="15"/>
                <w:szCs w:val="15"/>
                <w:highlight w:val="green"/>
              </w:rPr>
            </w:pPr>
            <w:r w:rsidRPr="00235104">
              <w:t>1.4</w:t>
            </w:r>
          </w:p>
        </w:tc>
        <w:tc>
          <w:tcPr>
            <w:tcW w:w="711" w:type="dxa"/>
            <w:tcBorders>
              <w:top w:val="single" w:sz="4" w:space="0" w:color="A6A6A6" w:themeColor="background1" w:themeShade="A6"/>
              <w:bottom w:val="single" w:sz="4" w:space="0" w:color="000000" w:themeColor="text1"/>
            </w:tcBorders>
            <w:noWrap/>
          </w:tcPr>
          <w:p w14:paraId="689F4DA8" w14:textId="77777777" w:rsidR="005B131E" w:rsidRPr="00BA7805" w:rsidRDefault="005B131E" w:rsidP="002542E1">
            <w:pPr>
              <w:pStyle w:val="ARfintablebodyright8pt"/>
              <w:rPr>
                <w:sz w:val="15"/>
                <w:szCs w:val="15"/>
                <w:highlight w:val="green"/>
              </w:rPr>
            </w:pPr>
            <w:r w:rsidRPr="00235104">
              <w:t>0.1</w:t>
            </w:r>
          </w:p>
        </w:tc>
        <w:tc>
          <w:tcPr>
            <w:tcW w:w="711" w:type="dxa"/>
            <w:tcBorders>
              <w:top w:val="single" w:sz="4" w:space="0" w:color="A6A6A6" w:themeColor="background1" w:themeShade="A6"/>
              <w:bottom w:val="single" w:sz="4" w:space="0" w:color="000000" w:themeColor="text1"/>
            </w:tcBorders>
            <w:noWrap/>
          </w:tcPr>
          <w:p w14:paraId="42732602"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000000" w:themeColor="text1"/>
            </w:tcBorders>
            <w:noWrap/>
          </w:tcPr>
          <w:p w14:paraId="5685FDDB"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000000" w:themeColor="text1"/>
            </w:tcBorders>
            <w:noWrap/>
          </w:tcPr>
          <w:p w14:paraId="6D68A04F" w14:textId="77777777" w:rsidR="005B131E" w:rsidRPr="00BA7805" w:rsidRDefault="005B131E" w:rsidP="002542E1">
            <w:pPr>
              <w:pStyle w:val="ARfintablebodyright8pt"/>
              <w:rPr>
                <w:sz w:val="15"/>
                <w:szCs w:val="15"/>
                <w:highlight w:val="green"/>
              </w:rPr>
            </w:pPr>
            <w:r>
              <w:t>–</w:t>
            </w:r>
          </w:p>
        </w:tc>
        <w:tc>
          <w:tcPr>
            <w:tcW w:w="711" w:type="dxa"/>
            <w:tcBorders>
              <w:top w:val="single" w:sz="4" w:space="0" w:color="A6A6A6" w:themeColor="background1" w:themeShade="A6"/>
              <w:bottom w:val="single" w:sz="4" w:space="0" w:color="000000" w:themeColor="text1"/>
            </w:tcBorders>
            <w:noWrap/>
          </w:tcPr>
          <w:p w14:paraId="61DAEA29"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265623A7"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51A281B4"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6256AD88"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324C1DC3"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2D1E9623"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09727D75"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0843A296" w14:textId="77777777" w:rsidR="005B131E" w:rsidRPr="00BA7805" w:rsidRDefault="005B131E" w:rsidP="002542E1">
            <w:pPr>
              <w:pStyle w:val="ARfintablebodyright8pt"/>
              <w:rPr>
                <w:sz w:val="15"/>
                <w:szCs w:val="15"/>
                <w:highlight w:val="green"/>
              </w:rPr>
            </w:pPr>
            <w:r>
              <w:t>–</w:t>
            </w:r>
          </w:p>
        </w:tc>
        <w:tc>
          <w:tcPr>
            <w:tcW w:w="710" w:type="dxa"/>
            <w:tcBorders>
              <w:top w:val="single" w:sz="4" w:space="0" w:color="A6A6A6" w:themeColor="background1" w:themeShade="A6"/>
              <w:bottom w:val="single" w:sz="4" w:space="0" w:color="000000" w:themeColor="text1"/>
            </w:tcBorders>
            <w:noWrap/>
          </w:tcPr>
          <w:p w14:paraId="25C106FF" w14:textId="77777777" w:rsidR="005B131E" w:rsidRPr="00BA7805" w:rsidRDefault="005B131E" w:rsidP="002542E1">
            <w:pPr>
              <w:pStyle w:val="ARfintablebodyright8pt"/>
              <w:rPr>
                <w:sz w:val="15"/>
                <w:szCs w:val="15"/>
                <w:highlight w:val="green"/>
              </w:rPr>
            </w:pPr>
            <w:r w:rsidRPr="00235104">
              <w:t>41.1</w:t>
            </w:r>
          </w:p>
        </w:tc>
        <w:tc>
          <w:tcPr>
            <w:tcW w:w="710" w:type="dxa"/>
            <w:tcBorders>
              <w:top w:val="single" w:sz="4" w:space="0" w:color="A6A6A6" w:themeColor="background1" w:themeShade="A6"/>
              <w:bottom w:val="single" w:sz="4" w:space="0" w:color="000000" w:themeColor="text1"/>
            </w:tcBorders>
          </w:tcPr>
          <w:p w14:paraId="79362872" w14:textId="77777777" w:rsidR="005B131E" w:rsidRPr="00235104" w:rsidRDefault="005B131E" w:rsidP="002542E1">
            <w:pPr>
              <w:pStyle w:val="ARfintablebodyright8pt"/>
            </w:pPr>
          </w:p>
        </w:tc>
        <w:tc>
          <w:tcPr>
            <w:tcW w:w="710" w:type="dxa"/>
            <w:tcBorders>
              <w:top w:val="single" w:sz="4" w:space="0" w:color="A6A6A6" w:themeColor="background1" w:themeShade="A6"/>
              <w:bottom w:val="single" w:sz="4" w:space="0" w:color="000000" w:themeColor="text1"/>
            </w:tcBorders>
            <w:noWrap/>
          </w:tcPr>
          <w:p w14:paraId="2DBA8604" w14:textId="77777777" w:rsidR="005B131E" w:rsidRPr="00BA7805" w:rsidRDefault="005B131E" w:rsidP="002542E1">
            <w:pPr>
              <w:pStyle w:val="ARfintablebodyright8pt"/>
              <w:rPr>
                <w:sz w:val="15"/>
                <w:szCs w:val="15"/>
                <w:highlight w:val="green"/>
              </w:rPr>
            </w:pPr>
            <w:r w:rsidRPr="00235104">
              <w:t>42.6</w:t>
            </w:r>
          </w:p>
        </w:tc>
      </w:tr>
      <w:tr w:rsidR="005B131E" w:rsidRPr="00BA7805" w14:paraId="34FC172A" w14:textId="77777777" w:rsidTr="002542E1">
        <w:trPr>
          <w:trHeight w:val="170"/>
        </w:trPr>
        <w:tc>
          <w:tcPr>
            <w:tcW w:w="2343" w:type="dxa"/>
            <w:tcBorders>
              <w:top w:val="single" w:sz="4" w:space="0" w:color="000000" w:themeColor="text1"/>
              <w:bottom w:val="single" w:sz="4" w:space="0" w:color="auto"/>
            </w:tcBorders>
          </w:tcPr>
          <w:p w14:paraId="01F5A860" w14:textId="77777777" w:rsidR="005B131E" w:rsidRPr="00BA7805" w:rsidRDefault="005B131E" w:rsidP="002542E1">
            <w:pPr>
              <w:pStyle w:val="ARfintablebodybold8pt"/>
              <w:rPr>
                <w:sz w:val="15"/>
                <w:highlight w:val="green"/>
              </w:rPr>
            </w:pPr>
            <w:r w:rsidRPr="00235104">
              <w:t>Total revenue and income from</w:t>
            </w:r>
            <w:r>
              <w:t> </w:t>
            </w:r>
            <w:r w:rsidRPr="00235104">
              <w:t>transactions</w:t>
            </w:r>
          </w:p>
        </w:tc>
        <w:tc>
          <w:tcPr>
            <w:tcW w:w="711" w:type="dxa"/>
            <w:tcBorders>
              <w:top w:val="single" w:sz="4" w:space="0" w:color="000000" w:themeColor="text1"/>
              <w:bottom w:val="single" w:sz="4" w:space="0" w:color="auto"/>
            </w:tcBorders>
            <w:noWrap/>
          </w:tcPr>
          <w:p w14:paraId="48490FD1" w14:textId="77777777" w:rsidR="005B131E" w:rsidRPr="006748D0" w:rsidRDefault="005B131E" w:rsidP="002542E1">
            <w:pPr>
              <w:pStyle w:val="ARfintablebodyrightbold8pt"/>
              <w:rPr>
                <w:highlight w:val="green"/>
              </w:rPr>
            </w:pPr>
            <w:r w:rsidRPr="006748D0">
              <w:t>420.9</w:t>
            </w:r>
          </w:p>
        </w:tc>
        <w:tc>
          <w:tcPr>
            <w:tcW w:w="711" w:type="dxa"/>
            <w:tcBorders>
              <w:top w:val="single" w:sz="4" w:space="0" w:color="000000" w:themeColor="text1"/>
              <w:bottom w:val="single" w:sz="4" w:space="0" w:color="auto"/>
            </w:tcBorders>
            <w:noWrap/>
          </w:tcPr>
          <w:p w14:paraId="35F08D76" w14:textId="77777777" w:rsidR="005B131E" w:rsidRPr="006748D0" w:rsidRDefault="005B131E" w:rsidP="002542E1">
            <w:pPr>
              <w:pStyle w:val="ARfintablebodyrightbold8pt"/>
              <w:rPr>
                <w:highlight w:val="green"/>
              </w:rPr>
            </w:pPr>
            <w:r w:rsidRPr="006748D0">
              <w:t>2,378.9</w:t>
            </w:r>
          </w:p>
        </w:tc>
        <w:tc>
          <w:tcPr>
            <w:tcW w:w="711" w:type="dxa"/>
            <w:tcBorders>
              <w:top w:val="single" w:sz="4" w:space="0" w:color="000000" w:themeColor="text1"/>
              <w:bottom w:val="single" w:sz="4" w:space="0" w:color="auto"/>
            </w:tcBorders>
            <w:noWrap/>
          </w:tcPr>
          <w:p w14:paraId="686FABC0" w14:textId="77777777" w:rsidR="005B131E" w:rsidRPr="006748D0" w:rsidRDefault="005B131E" w:rsidP="002542E1">
            <w:pPr>
              <w:pStyle w:val="ARfintablebodyrightbold8pt"/>
              <w:rPr>
                <w:highlight w:val="green"/>
              </w:rPr>
            </w:pPr>
            <w:r w:rsidRPr="006748D0">
              <w:t>1,066.8</w:t>
            </w:r>
          </w:p>
        </w:tc>
        <w:tc>
          <w:tcPr>
            <w:tcW w:w="711" w:type="dxa"/>
            <w:tcBorders>
              <w:top w:val="single" w:sz="4" w:space="0" w:color="000000" w:themeColor="text1"/>
              <w:bottom w:val="single" w:sz="4" w:space="0" w:color="auto"/>
            </w:tcBorders>
            <w:noWrap/>
          </w:tcPr>
          <w:p w14:paraId="1F1CD452" w14:textId="77777777" w:rsidR="005B131E" w:rsidRPr="006748D0" w:rsidRDefault="005B131E" w:rsidP="002542E1">
            <w:pPr>
              <w:pStyle w:val="ARfintablebodyrightbold8pt"/>
              <w:rPr>
                <w:highlight w:val="green"/>
              </w:rPr>
            </w:pPr>
            <w:r w:rsidRPr="006748D0">
              <w:t>70.2</w:t>
            </w:r>
          </w:p>
        </w:tc>
        <w:tc>
          <w:tcPr>
            <w:tcW w:w="711" w:type="dxa"/>
            <w:tcBorders>
              <w:top w:val="single" w:sz="4" w:space="0" w:color="000000" w:themeColor="text1"/>
              <w:bottom w:val="single" w:sz="4" w:space="0" w:color="auto"/>
            </w:tcBorders>
            <w:noWrap/>
          </w:tcPr>
          <w:p w14:paraId="300A1306" w14:textId="77777777" w:rsidR="005B131E" w:rsidRPr="006748D0" w:rsidRDefault="005B131E" w:rsidP="002542E1">
            <w:pPr>
              <w:pStyle w:val="ARfintablebodyrightbold8pt"/>
              <w:rPr>
                <w:highlight w:val="green"/>
              </w:rPr>
            </w:pPr>
            <w:r w:rsidRPr="006748D0">
              <w:t>13.3</w:t>
            </w:r>
          </w:p>
        </w:tc>
        <w:tc>
          <w:tcPr>
            <w:tcW w:w="711" w:type="dxa"/>
            <w:tcBorders>
              <w:top w:val="single" w:sz="4" w:space="0" w:color="000000" w:themeColor="text1"/>
              <w:bottom w:val="single" w:sz="4" w:space="0" w:color="auto"/>
            </w:tcBorders>
            <w:noWrap/>
          </w:tcPr>
          <w:p w14:paraId="0D88A0BA" w14:textId="77777777" w:rsidR="005B131E" w:rsidRPr="006748D0" w:rsidRDefault="005B131E" w:rsidP="002542E1">
            <w:pPr>
              <w:pStyle w:val="ARfintablebodyrightbold8pt"/>
              <w:rPr>
                <w:highlight w:val="green"/>
              </w:rPr>
            </w:pPr>
            <w:r w:rsidRPr="006748D0">
              <w:t>59.6</w:t>
            </w:r>
          </w:p>
        </w:tc>
        <w:tc>
          <w:tcPr>
            <w:tcW w:w="710" w:type="dxa"/>
            <w:tcBorders>
              <w:top w:val="single" w:sz="4" w:space="0" w:color="000000" w:themeColor="text1"/>
              <w:bottom w:val="single" w:sz="4" w:space="0" w:color="auto"/>
            </w:tcBorders>
            <w:noWrap/>
          </w:tcPr>
          <w:p w14:paraId="4D8AC75A" w14:textId="77777777" w:rsidR="005B131E" w:rsidRPr="006748D0" w:rsidRDefault="005B131E" w:rsidP="002542E1">
            <w:pPr>
              <w:pStyle w:val="ARfintablebodyrightbold8pt"/>
              <w:rPr>
                <w:highlight w:val="green"/>
              </w:rPr>
            </w:pPr>
            <w:r w:rsidRPr="006748D0">
              <w:t>10.8</w:t>
            </w:r>
          </w:p>
        </w:tc>
        <w:tc>
          <w:tcPr>
            <w:tcW w:w="710" w:type="dxa"/>
            <w:tcBorders>
              <w:top w:val="single" w:sz="4" w:space="0" w:color="000000" w:themeColor="text1"/>
              <w:bottom w:val="single" w:sz="4" w:space="0" w:color="auto"/>
            </w:tcBorders>
            <w:noWrap/>
          </w:tcPr>
          <w:p w14:paraId="600EA1FB" w14:textId="77777777" w:rsidR="005B131E" w:rsidRPr="006748D0" w:rsidRDefault="005B131E" w:rsidP="002542E1">
            <w:pPr>
              <w:pStyle w:val="ARfintablebodyrightbold8pt"/>
              <w:rPr>
                <w:highlight w:val="green"/>
              </w:rPr>
            </w:pPr>
            <w:r w:rsidRPr="006748D0">
              <w:t>12.1</w:t>
            </w:r>
          </w:p>
        </w:tc>
        <w:tc>
          <w:tcPr>
            <w:tcW w:w="710" w:type="dxa"/>
            <w:tcBorders>
              <w:top w:val="single" w:sz="4" w:space="0" w:color="000000" w:themeColor="text1"/>
              <w:bottom w:val="single" w:sz="4" w:space="0" w:color="auto"/>
            </w:tcBorders>
            <w:noWrap/>
          </w:tcPr>
          <w:p w14:paraId="2C6915AB" w14:textId="77777777" w:rsidR="005B131E" w:rsidRPr="006748D0" w:rsidRDefault="005B131E" w:rsidP="002542E1">
            <w:pPr>
              <w:pStyle w:val="ARfintablebodyrightbold8pt"/>
              <w:rPr>
                <w:highlight w:val="green"/>
              </w:rPr>
            </w:pPr>
            <w:r w:rsidRPr="006748D0">
              <w:t>13.8</w:t>
            </w:r>
          </w:p>
        </w:tc>
        <w:tc>
          <w:tcPr>
            <w:tcW w:w="710" w:type="dxa"/>
            <w:tcBorders>
              <w:top w:val="single" w:sz="4" w:space="0" w:color="000000" w:themeColor="text1"/>
              <w:bottom w:val="single" w:sz="4" w:space="0" w:color="auto"/>
            </w:tcBorders>
            <w:noWrap/>
          </w:tcPr>
          <w:p w14:paraId="567101C8" w14:textId="77777777" w:rsidR="005B131E" w:rsidRPr="006748D0" w:rsidRDefault="005B131E" w:rsidP="002542E1">
            <w:pPr>
              <w:pStyle w:val="ARfintablebodyrightbold8pt"/>
              <w:rPr>
                <w:highlight w:val="green"/>
              </w:rPr>
            </w:pPr>
            <w:r w:rsidRPr="006748D0">
              <w:t>29.2</w:t>
            </w:r>
          </w:p>
        </w:tc>
        <w:tc>
          <w:tcPr>
            <w:tcW w:w="710" w:type="dxa"/>
            <w:tcBorders>
              <w:top w:val="single" w:sz="4" w:space="0" w:color="000000" w:themeColor="text1"/>
              <w:bottom w:val="single" w:sz="4" w:space="0" w:color="auto"/>
            </w:tcBorders>
            <w:noWrap/>
          </w:tcPr>
          <w:p w14:paraId="485E4C7E" w14:textId="77777777" w:rsidR="005B131E" w:rsidRPr="006748D0" w:rsidRDefault="005B131E" w:rsidP="002542E1">
            <w:pPr>
              <w:pStyle w:val="ARfintablebodyrightbold8pt"/>
              <w:rPr>
                <w:highlight w:val="green"/>
              </w:rPr>
            </w:pPr>
            <w:r w:rsidRPr="006748D0">
              <w:t>28.0</w:t>
            </w:r>
          </w:p>
        </w:tc>
        <w:tc>
          <w:tcPr>
            <w:tcW w:w="710" w:type="dxa"/>
            <w:tcBorders>
              <w:top w:val="single" w:sz="4" w:space="0" w:color="000000" w:themeColor="text1"/>
              <w:bottom w:val="single" w:sz="4" w:space="0" w:color="auto"/>
            </w:tcBorders>
            <w:noWrap/>
          </w:tcPr>
          <w:p w14:paraId="64A95AC2" w14:textId="77777777" w:rsidR="005B131E" w:rsidRPr="006748D0" w:rsidRDefault="005B131E" w:rsidP="002542E1">
            <w:pPr>
              <w:pStyle w:val="ARfintablebodyrightbold8pt"/>
              <w:rPr>
                <w:highlight w:val="green"/>
              </w:rPr>
            </w:pPr>
            <w:r w:rsidRPr="006748D0">
              <w:t>25.4</w:t>
            </w:r>
          </w:p>
        </w:tc>
        <w:tc>
          <w:tcPr>
            <w:tcW w:w="710" w:type="dxa"/>
            <w:tcBorders>
              <w:top w:val="single" w:sz="4" w:space="0" w:color="000000" w:themeColor="text1"/>
              <w:bottom w:val="single" w:sz="4" w:space="0" w:color="auto"/>
            </w:tcBorders>
            <w:noWrap/>
          </w:tcPr>
          <w:p w14:paraId="500BAE46" w14:textId="77777777" w:rsidR="005B131E" w:rsidRPr="006748D0" w:rsidRDefault="005B131E" w:rsidP="002542E1">
            <w:pPr>
              <w:pStyle w:val="ARfintablebodyrightbold8pt"/>
              <w:rPr>
                <w:highlight w:val="green"/>
              </w:rPr>
            </w:pPr>
            <w:r w:rsidRPr="006748D0">
              <w:t>722.6</w:t>
            </w:r>
          </w:p>
        </w:tc>
        <w:tc>
          <w:tcPr>
            <w:tcW w:w="710" w:type="dxa"/>
            <w:tcBorders>
              <w:top w:val="single" w:sz="4" w:space="0" w:color="000000" w:themeColor="text1"/>
              <w:bottom w:val="single" w:sz="4" w:space="0" w:color="auto"/>
            </w:tcBorders>
            <w:noWrap/>
          </w:tcPr>
          <w:p w14:paraId="6B299F8D" w14:textId="77777777" w:rsidR="005B131E" w:rsidRPr="006748D0" w:rsidRDefault="005B131E" w:rsidP="002542E1">
            <w:pPr>
              <w:pStyle w:val="ARfintablebodyrightbold8pt"/>
              <w:rPr>
                <w:highlight w:val="green"/>
              </w:rPr>
            </w:pPr>
            <w:r w:rsidRPr="006748D0">
              <w:t>1,570.4</w:t>
            </w:r>
          </w:p>
        </w:tc>
        <w:tc>
          <w:tcPr>
            <w:tcW w:w="710" w:type="dxa"/>
            <w:tcBorders>
              <w:top w:val="single" w:sz="4" w:space="0" w:color="000000" w:themeColor="text1"/>
              <w:bottom w:val="single" w:sz="4" w:space="0" w:color="auto"/>
            </w:tcBorders>
          </w:tcPr>
          <w:p w14:paraId="36DAC22F" w14:textId="77777777" w:rsidR="005B131E" w:rsidRPr="006748D0" w:rsidRDefault="005B131E" w:rsidP="002542E1">
            <w:pPr>
              <w:pStyle w:val="ARfintablebodyrightbold8pt"/>
            </w:pPr>
            <w:r>
              <w:t>(24.1)</w:t>
            </w:r>
          </w:p>
        </w:tc>
        <w:tc>
          <w:tcPr>
            <w:tcW w:w="710" w:type="dxa"/>
            <w:tcBorders>
              <w:top w:val="single" w:sz="4" w:space="0" w:color="000000" w:themeColor="text1"/>
              <w:bottom w:val="single" w:sz="4" w:space="0" w:color="auto"/>
            </w:tcBorders>
            <w:noWrap/>
          </w:tcPr>
          <w:p w14:paraId="01585687" w14:textId="77777777" w:rsidR="005B131E" w:rsidRPr="006748D0" w:rsidRDefault="005B131E" w:rsidP="002542E1">
            <w:pPr>
              <w:pStyle w:val="ARfintablebodyrightbold8pt"/>
              <w:rPr>
                <w:highlight w:val="green"/>
              </w:rPr>
            </w:pPr>
            <w:r w:rsidRPr="006748D0">
              <w:t>6,398.0</w:t>
            </w:r>
          </w:p>
        </w:tc>
      </w:tr>
      <w:tr w:rsidR="005B131E" w:rsidRPr="00BA7805" w14:paraId="0F7B2900" w14:textId="77777777" w:rsidTr="002542E1">
        <w:trPr>
          <w:trHeight w:val="170"/>
        </w:trPr>
        <w:tc>
          <w:tcPr>
            <w:tcW w:w="2343" w:type="dxa"/>
            <w:tcBorders>
              <w:top w:val="single" w:sz="4" w:space="0" w:color="auto"/>
              <w:bottom w:val="single" w:sz="4" w:space="0" w:color="BFBFBF" w:themeColor="background1" w:themeShade="BF"/>
            </w:tcBorders>
          </w:tcPr>
          <w:p w14:paraId="461180D9" w14:textId="77777777" w:rsidR="005B131E" w:rsidRPr="00BA7805" w:rsidRDefault="005B131E" w:rsidP="002542E1">
            <w:pPr>
              <w:pStyle w:val="ARfintablebodybold8pt"/>
              <w:rPr>
                <w:highlight w:val="green"/>
              </w:rPr>
            </w:pPr>
            <w:r w:rsidRPr="00337E9B">
              <w:t>Expenses from transactions</w:t>
            </w:r>
          </w:p>
        </w:tc>
        <w:tc>
          <w:tcPr>
            <w:tcW w:w="711" w:type="dxa"/>
            <w:tcBorders>
              <w:top w:val="single" w:sz="4" w:space="0" w:color="auto"/>
              <w:bottom w:val="single" w:sz="4" w:space="0" w:color="BFBFBF" w:themeColor="background1" w:themeShade="BF"/>
            </w:tcBorders>
            <w:noWrap/>
          </w:tcPr>
          <w:p w14:paraId="2888DAF7" w14:textId="77777777" w:rsidR="005B131E" w:rsidRPr="00BA7805" w:rsidRDefault="005B131E" w:rsidP="002542E1">
            <w:pPr>
              <w:pStyle w:val="ARfintablebodyrightbold"/>
              <w:spacing w:before="16" w:after="10" w:line="228" w:lineRule="auto"/>
              <w:ind w:right="0"/>
              <w:rPr>
                <w:sz w:val="15"/>
                <w:szCs w:val="15"/>
                <w:highlight w:val="green"/>
              </w:rPr>
            </w:pPr>
          </w:p>
        </w:tc>
        <w:tc>
          <w:tcPr>
            <w:tcW w:w="711" w:type="dxa"/>
            <w:tcBorders>
              <w:top w:val="single" w:sz="4" w:space="0" w:color="auto"/>
              <w:bottom w:val="single" w:sz="4" w:space="0" w:color="BFBFBF" w:themeColor="background1" w:themeShade="BF"/>
            </w:tcBorders>
            <w:noWrap/>
          </w:tcPr>
          <w:p w14:paraId="2544F486" w14:textId="77777777" w:rsidR="005B131E" w:rsidRPr="00BA7805" w:rsidRDefault="005B131E" w:rsidP="002542E1">
            <w:pPr>
              <w:pStyle w:val="ARfintablebodyrightbold"/>
              <w:spacing w:before="16" w:after="10" w:line="228" w:lineRule="auto"/>
              <w:ind w:right="0"/>
              <w:rPr>
                <w:sz w:val="15"/>
                <w:szCs w:val="15"/>
                <w:highlight w:val="green"/>
              </w:rPr>
            </w:pPr>
          </w:p>
        </w:tc>
        <w:tc>
          <w:tcPr>
            <w:tcW w:w="711" w:type="dxa"/>
            <w:tcBorders>
              <w:top w:val="single" w:sz="4" w:space="0" w:color="auto"/>
              <w:bottom w:val="single" w:sz="4" w:space="0" w:color="BFBFBF" w:themeColor="background1" w:themeShade="BF"/>
            </w:tcBorders>
            <w:noWrap/>
          </w:tcPr>
          <w:p w14:paraId="61657465" w14:textId="77777777" w:rsidR="005B131E" w:rsidRPr="00BA7805" w:rsidRDefault="005B131E" w:rsidP="002542E1">
            <w:pPr>
              <w:pStyle w:val="ARfintablebodyrightbold"/>
              <w:spacing w:before="16" w:after="10" w:line="228" w:lineRule="auto"/>
              <w:ind w:right="0"/>
              <w:rPr>
                <w:sz w:val="15"/>
                <w:szCs w:val="15"/>
                <w:highlight w:val="green"/>
              </w:rPr>
            </w:pPr>
          </w:p>
        </w:tc>
        <w:tc>
          <w:tcPr>
            <w:tcW w:w="711" w:type="dxa"/>
            <w:tcBorders>
              <w:top w:val="single" w:sz="4" w:space="0" w:color="auto"/>
              <w:bottom w:val="single" w:sz="4" w:space="0" w:color="BFBFBF" w:themeColor="background1" w:themeShade="BF"/>
            </w:tcBorders>
            <w:noWrap/>
          </w:tcPr>
          <w:p w14:paraId="0C2F3DFB" w14:textId="77777777" w:rsidR="005B131E" w:rsidRPr="00BA7805" w:rsidRDefault="005B131E" w:rsidP="002542E1">
            <w:pPr>
              <w:pStyle w:val="ARfintablebodyrightbold"/>
              <w:spacing w:before="16" w:after="10" w:line="228" w:lineRule="auto"/>
              <w:ind w:right="0"/>
              <w:rPr>
                <w:sz w:val="15"/>
                <w:szCs w:val="15"/>
                <w:highlight w:val="green"/>
              </w:rPr>
            </w:pPr>
          </w:p>
        </w:tc>
        <w:tc>
          <w:tcPr>
            <w:tcW w:w="711" w:type="dxa"/>
            <w:tcBorders>
              <w:top w:val="single" w:sz="4" w:space="0" w:color="auto"/>
              <w:bottom w:val="single" w:sz="4" w:space="0" w:color="BFBFBF" w:themeColor="background1" w:themeShade="BF"/>
            </w:tcBorders>
            <w:noWrap/>
          </w:tcPr>
          <w:p w14:paraId="0B698042" w14:textId="77777777" w:rsidR="005B131E" w:rsidRPr="00BA7805" w:rsidRDefault="005B131E" w:rsidP="002542E1">
            <w:pPr>
              <w:pStyle w:val="ARfintablebodyrightbold"/>
              <w:spacing w:before="16" w:after="10" w:line="228" w:lineRule="auto"/>
              <w:ind w:right="0"/>
              <w:rPr>
                <w:sz w:val="15"/>
                <w:szCs w:val="15"/>
                <w:highlight w:val="green"/>
              </w:rPr>
            </w:pPr>
          </w:p>
        </w:tc>
        <w:tc>
          <w:tcPr>
            <w:tcW w:w="711" w:type="dxa"/>
            <w:tcBorders>
              <w:top w:val="single" w:sz="4" w:space="0" w:color="auto"/>
              <w:bottom w:val="single" w:sz="4" w:space="0" w:color="BFBFBF" w:themeColor="background1" w:themeShade="BF"/>
            </w:tcBorders>
            <w:noWrap/>
          </w:tcPr>
          <w:p w14:paraId="696A0EAF"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24C23DF2"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4ACF35BE"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0A4DA925"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605EB23A"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2BE84758"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0905C082"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3CB6DDEB"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4E6C5E08"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tcPr>
          <w:p w14:paraId="2E6034B2" w14:textId="77777777" w:rsidR="005B131E" w:rsidRPr="00BA7805" w:rsidRDefault="005B131E" w:rsidP="002542E1">
            <w:pPr>
              <w:pStyle w:val="ARfintablebodyrightbold"/>
              <w:spacing w:before="16" w:after="10" w:line="228" w:lineRule="auto"/>
              <w:ind w:right="0"/>
              <w:rPr>
                <w:sz w:val="15"/>
                <w:szCs w:val="15"/>
                <w:highlight w:val="green"/>
              </w:rPr>
            </w:pPr>
          </w:p>
        </w:tc>
        <w:tc>
          <w:tcPr>
            <w:tcW w:w="710" w:type="dxa"/>
            <w:tcBorders>
              <w:top w:val="single" w:sz="4" w:space="0" w:color="auto"/>
              <w:bottom w:val="single" w:sz="4" w:space="0" w:color="BFBFBF" w:themeColor="background1" w:themeShade="BF"/>
            </w:tcBorders>
            <w:noWrap/>
          </w:tcPr>
          <w:p w14:paraId="3BD257B2" w14:textId="77777777" w:rsidR="005B131E" w:rsidRPr="00BA7805" w:rsidRDefault="005B131E" w:rsidP="002542E1">
            <w:pPr>
              <w:pStyle w:val="ARfintablebodyrightbold"/>
              <w:spacing w:before="16" w:after="10" w:line="228" w:lineRule="auto"/>
              <w:ind w:right="0"/>
              <w:rPr>
                <w:sz w:val="15"/>
                <w:szCs w:val="15"/>
                <w:highlight w:val="green"/>
              </w:rPr>
            </w:pPr>
          </w:p>
        </w:tc>
      </w:tr>
      <w:tr w:rsidR="005B131E" w:rsidRPr="00BA7805" w14:paraId="2AC11612" w14:textId="77777777" w:rsidTr="002542E1">
        <w:trPr>
          <w:trHeight w:val="170"/>
        </w:trPr>
        <w:tc>
          <w:tcPr>
            <w:tcW w:w="2343" w:type="dxa"/>
            <w:tcBorders>
              <w:top w:val="single" w:sz="4" w:space="0" w:color="BFBFBF" w:themeColor="background1" w:themeShade="BF"/>
              <w:bottom w:val="single" w:sz="4" w:space="0" w:color="A6A6A6" w:themeColor="background1" w:themeShade="A6"/>
            </w:tcBorders>
          </w:tcPr>
          <w:p w14:paraId="02E0969B" w14:textId="77777777" w:rsidR="005B131E" w:rsidRPr="00BA7805" w:rsidRDefault="005B131E" w:rsidP="002542E1">
            <w:pPr>
              <w:pStyle w:val="ARfintablebody8pt"/>
              <w:rPr>
                <w:highlight w:val="green"/>
              </w:rPr>
            </w:pPr>
            <w:r w:rsidRPr="00427A4E">
              <w:t>Employee benefits</w:t>
            </w:r>
          </w:p>
        </w:tc>
        <w:tc>
          <w:tcPr>
            <w:tcW w:w="711" w:type="dxa"/>
            <w:tcBorders>
              <w:top w:val="single" w:sz="4" w:space="0" w:color="BFBFBF" w:themeColor="background1" w:themeShade="BF"/>
              <w:bottom w:val="single" w:sz="4" w:space="0" w:color="A6A6A6" w:themeColor="background1" w:themeShade="A6"/>
            </w:tcBorders>
            <w:noWrap/>
          </w:tcPr>
          <w:p w14:paraId="7CFE7539" w14:textId="77777777" w:rsidR="005B131E" w:rsidRPr="00BA7805" w:rsidRDefault="005B131E" w:rsidP="002542E1">
            <w:pPr>
              <w:pStyle w:val="ARfintablebodyright8pt"/>
              <w:rPr>
                <w:highlight w:val="green"/>
              </w:rPr>
            </w:pPr>
            <w:r w:rsidRPr="00427A4E">
              <w:t>130.5</w:t>
            </w:r>
          </w:p>
        </w:tc>
        <w:tc>
          <w:tcPr>
            <w:tcW w:w="711" w:type="dxa"/>
            <w:tcBorders>
              <w:top w:val="single" w:sz="4" w:space="0" w:color="BFBFBF" w:themeColor="background1" w:themeShade="BF"/>
              <w:bottom w:val="single" w:sz="4" w:space="0" w:color="A6A6A6" w:themeColor="background1" w:themeShade="A6"/>
            </w:tcBorders>
            <w:noWrap/>
          </w:tcPr>
          <w:p w14:paraId="48E3FF66" w14:textId="77777777" w:rsidR="005B131E" w:rsidRPr="00BA7805" w:rsidRDefault="005B131E" w:rsidP="002542E1">
            <w:pPr>
              <w:pStyle w:val="ARfintablebodyright8pt"/>
              <w:rPr>
                <w:highlight w:val="green"/>
              </w:rPr>
            </w:pPr>
            <w:r w:rsidRPr="00427A4E">
              <w:t>557.3</w:t>
            </w:r>
          </w:p>
        </w:tc>
        <w:tc>
          <w:tcPr>
            <w:tcW w:w="711" w:type="dxa"/>
            <w:tcBorders>
              <w:top w:val="single" w:sz="4" w:space="0" w:color="BFBFBF" w:themeColor="background1" w:themeShade="BF"/>
              <w:bottom w:val="single" w:sz="4" w:space="0" w:color="A6A6A6" w:themeColor="background1" w:themeShade="A6"/>
            </w:tcBorders>
            <w:noWrap/>
          </w:tcPr>
          <w:p w14:paraId="6DC9C7FD" w14:textId="77777777" w:rsidR="005B131E" w:rsidRPr="00BA7805" w:rsidRDefault="005B131E" w:rsidP="002542E1">
            <w:pPr>
              <w:pStyle w:val="ARfintablebodyright8pt"/>
              <w:rPr>
                <w:highlight w:val="green"/>
              </w:rPr>
            </w:pPr>
            <w:r w:rsidRPr="00427A4E">
              <w:t>11.1</w:t>
            </w:r>
          </w:p>
        </w:tc>
        <w:tc>
          <w:tcPr>
            <w:tcW w:w="711" w:type="dxa"/>
            <w:tcBorders>
              <w:top w:val="single" w:sz="4" w:space="0" w:color="BFBFBF" w:themeColor="background1" w:themeShade="BF"/>
              <w:bottom w:val="single" w:sz="4" w:space="0" w:color="A6A6A6" w:themeColor="background1" w:themeShade="A6"/>
            </w:tcBorders>
            <w:noWrap/>
          </w:tcPr>
          <w:p w14:paraId="710A303D" w14:textId="77777777" w:rsidR="005B131E" w:rsidRPr="00BA7805" w:rsidRDefault="005B131E" w:rsidP="002542E1">
            <w:pPr>
              <w:pStyle w:val="ARfintablebodyright8pt"/>
              <w:rPr>
                <w:highlight w:val="green"/>
              </w:rPr>
            </w:pPr>
            <w:r w:rsidRPr="00427A4E">
              <w:t>5.1</w:t>
            </w:r>
          </w:p>
        </w:tc>
        <w:tc>
          <w:tcPr>
            <w:tcW w:w="711" w:type="dxa"/>
            <w:tcBorders>
              <w:top w:val="single" w:sz="4" w:space="0" w:color="BFBFBF" w:themeColor="background1" w:themeShade="BF"/>
              <w:bottom w:val="single" w:sz="4" w:space="0" w:color="A6A6A6" w:themeColor="background1" w:themeShade="A6"/>
            </w:tcBorders>
            <w:noWrap/>
          </w:tcPr>
          <w:p w14:paraId="2EE993C4" w14:textId="77777777" w:rsidR="005B131E" w:rsidRPr="00BA7805" w:rsidRDefault="005B131E" w:rsidP="002542E1">
            <w:pPr>
              <w:pStyle w:val="ARfintablebodyright8pt"/>
              <w:rPr>
                <w:highlight w:val="green"/>
              </w:rPr>
            </w:pPr>
            <w:r w:rsidRPr="00427A4E">
              <w:t>1.4</w:t>
            </w:r>
          </w:p>
        </w:tc>
        <w:tc>
          <w:tcPr>
            <w:tcW w:w="711" w:type="dxa"/>
            <w:tcBorders>
              <w:top w:val="single" w:sz="4" w:space="0" w:color="BFBFBF" w:themeColor="background1" w:themeShade="BF"/>
              <w:bottom w:val="single" w:sz="4" w:space="0" w:color="A6A6A6" w:themeColor="background1" w:themeShade="A6"/>
            </w:tcBorders>
            <w:noWrap/>
          </w:tcPr>
          <w:p w14:paraId="51D68691" w14:textId="77777777" w:rsidR="005B131E" w:rsidRPr="00BA7805" w:rsidRDefault="005B131E" w:rsidP="002542E1">
            <w:pPr>
              <w:pStyle w:val="ARfintablebodyright8pt"/>
              <w:rPr>
                <w:highlight w:val="green"/>
              </w:rPr>
            </w:pPr>
            <w:r w:rsidRPr="00427A4E">
              <w:t>4.0</w:t>
            </w:r>
          </w:p>
        </w:tc>
        <w:tc>
          <w:tcPr>
            <w:tcW w:w="710" w:type="dxa"/>
            <w:tcBorders>
              <w:top w:val="single" w:sz="4" w:space="0" w:color="BFBFBF" w:themeColor="background1" w:themeShade="BF"/>
              <w:bottom w:val="single" w:sz="4" w:space="0" w:color="A6A6A6" w:themeColor="background1" w:themeShade="A6"/>
            </w:tcBorders>
            <w:noWrap/>
          </w:tcPr>
          <w:p w14:paraId="2DF543A4" w14:textId="77777777" w:rsidR="005B131E" w:rsidRPr="00BA7805" w:rsidRDefault="005B131E" w:rsidP="002542E1">
            <w:pPr>
              <w:pStyle w:val="ARfintablebodyright8pt"/>
              <w:rPr>
                <w:highlight w:val="green"/>
              </w:rPr>
            </w:pPr>
            <w:r w:rsidRPr="00427A4E">
              <w:t>2.4</w:t>
            </w:r>
          </w:p>
        </w:tc>
        <w:tc>
          <w:tcPr>
            <w:tcW w:w="710" w:type="dxa"/>
            <w:tcBorders>
              <w:top w:val="single" w:sz="4" w:space="0" w:color="BFBFBF" w:themeColor="background1" w:themeShade="BF"/>
              <w:bottom w:val="single" w:sz="4" w:space="0" w:color="A6A6A6" w:themeColor="background1" w:themeShade="A6"/>
            </w:tcBorders>
            <w:noWrap/>
          </w:tcPr>
          <w:p w14:paraId="3530B1B0" w14:textId="77777777" w:rsidR="005B131E" w:rsidRPr="00BA7805" w:rsidRDefault="005B131E" w:rsidP="002542E1">
            <w:pPr>
              <w:pStyle w:val="ARfintablebodyright8pt"/>
              <w:rPr>
                <w:highlight w:val="green"/>
              </w:rPr>
            </w:pPr>
            <w:r w:rsidRPr="00427A4E">
              <w:t>2.1</w:t>
            </w:r>
          </w:p>
        </w:tc>
        <w:tc>
          <w:tcPr>
            <w:tcW w:w="710" w:type="dxa"/>
            <w:tcBorders>
              <w:top w:val="single" w:sz="4" w:space="0" w:color="BFBFBF" w:themeColor="background1" w:themeShade="BF"/>
              <w:bottom w:val="single" w:sz="4" w:space="0" w:color="A6A6A6" w:themeColor="background1" w:themeShade="A6"/>
            </w:tcBorders>
            <w:noWrap/>
          </w:tcPr>
          <w:p w14:paraId="281D6EE0" w14:textId="77777777" w:rsidR="005B131E" w:rsidRPr="00BA7805" w:rsidRDefault="005B131E" w:rsidP="002542E1">
            <w:pPr>
              <w:pStyle w:val="ARfintablebodyright8pt"/>
              <w:rPr>
                <w:highlight w:val="green"/>
              </w:rPr>
            </w:pPr>
            <w:r w:rsidRPr="00427A4E">
              <w:t>7.2</w:t>
            </w:r>
          </w:p>
        </w:tc>
        <w:tc>
          <w:tcPr>
            <w:tcW w:w="710" w:type="dxa"/>
            <w:tcBorders>
              <w:top w:val="single" w:sz="4" w:space="0" w:color="BFBFBF" w:themeColor="background1" w:themeShade="BF"/>
              <w:bottom w:val="single" w:sz="4" w:space="0" w:color="A6A6A6" w:themeColor="background1" w:themeShade="A6"/>
            </w:tcBorders>
            <w:noWrap/>
          </w:tcPr>
          <w:p w14:paraId="0C335B39" w14:textId="77777777" w:rsidR="005B131E" w:rsidRPr="00BA7805" w:rsidRDefault="005B131E" w:rsidP="002542E1">
            <w:pPr>
              <w:pStyle w:val="ARfintablebodyright8pt"/>
              <w:rPr>
                <w:highlight w:val="green"/>
              </w:rPr>
            </w:pPr>
            <w:r w:rsidRPr="00427A4E">
              <w:t>8.7</w:t>
            </w:r>
          </w:p>
        </w:tc>
        <w:tc>
          <w:tcPr>
            <w:tcW w:w="710" w:type="dxa"/>
            <w:tcBorders>
              <w:top w:val="single" w:sz="4" w:space="0" w:color="BFBFBF" w:themeColor="background1" w:themeShade="BF"/>
              <w:bottom w:val="single" w:sz="4" w:space="0" w:color="A6A6A6" w:themeColor="background1" w:themeShade="A6"/>
            </w:tcBorders>
            <w:noWrap/>
          </w:tcPr>
          <w:p w14:paraId="293F5700" w14:textId="77777777" w:rsidR="005B131E" w:rsidRPr="00BA7805" w:rsidRDefault="005B131E" w:rsidP="002542E1">
            <w:pPr>
              <w:pStyle w:val="ARfintablebodyright8pt"/>
              <w:rPr>
                <w:highlight w:val="green"/>
              </w:rPr>
            </w:pPr>
            <w:r w:rsidRPr="00427A4E">
              <w:t>4.2</w:t>
            </w:r>
          </w:p>
        </w:tc>
        <w:tc>
          <w:tcPr>
            <w:tcW w:w="710" w:type="dxa"/>
            <w:tcBorders>
              <w:top w:val="single" w:sz="4" w:space="0" w:color="BFBFBF" w:themeColor="background1" w:themeShade="BF"/>
              <w:bottom w:val="single" w:sz="4" w:space="0" w:color="A6A6A6" w:themeColor="background1" w:themeShade="A6"/>
            </w:tcBorders>
            <w:noWrap/>
          </w:tcPr>
          <w:p w14:paraId="7DF964CD" w14:textId="77777777" w:rsidR="005B131E" w:rsidRPr="00BA7805" w:rsidRDefault="005B131E" w:rsidP="002542E1">
            <w:pPr>
              <w:pStyle w:val="ARfintablebodyright8pt"/>
              <w:rPr>
                <w:highlight w:val="green"/>
              </w:rPr>
            </w:pPr>
            <w:r w:rsidRPr="00427A4E">
              <w:t>8.7</w:t>
            </w:r>
          </w:p>
        </w:tc>
        <w:tc>
          <w:tcPr>
            <w:tcW w:w="710" w:type="dxa"/>
            <w:tcBorders>
              <w:top w:val="single" w:sz="4" w:space="0" w:color="BFBFBF" w:themeColor="background1" w:themeShade="BF"/>
              <w:bottom w:val="single" w:sz="4" w:space="0" w:color="A6A6A6" w:themeColor="background1" w:themeShade="A6"/>
            </w:tcBorders>
            <w:noWrap/>
          </w:tcPr>
          <w:p w14:paraId="639D0974" w14:textId="77777777" w:rsidR="005B131E" w:rsidRPr="00BA7805" w:rsidRDefault="005B131E" w:rsidP="002542E1">
            <w:pPr>
              <w:pStyle w:val="ARfintablebodyright8pt"/>
              <w:rPr>
                <w:highlight w:val="green"/>
              </w:rPr>
            </w:pPr>
            <w:r w:rsidRPr="00427A4E">
              <w:t>62.0</w:t>
            </w:r>
          </w:p>
        </w:tc>
        <w:tc>
          <w:tcPr>
            <w:tcW w:w="710" w:type="dxa"/>
            <w:tcBorders>
              <w:top w:val="single" w:sz="4" w:space="0" w:color="BFBFBF" w:themeColor="background1" w:themeShade="BF"/>
              <w:bottom w:val="single" w:sz="4" w:space="0" w:color="A6A6A6" w:themeColor="background1" w:themeShade="A6"/>
            </w:tcBorders>
            <w:noWrap/>
          </w:tcPr>
          <w:p w14:paraId="1A808015" w14:textId="77777777" w:rsidR="005B131E" w:rsidRPr="00BA7805" w:rsidRDefault="005B131E" w:rsidP="002542E1">
            <w:pPr>
              <w:pStyle w:val="ARfintablebodyright8pt"/>
              <w:rPr>
                <w:highlight w:val="green"/>
              </w:rPr>
            </w:pPr>
            <w:r w:rsidRPr="00427A4E">
              <w:t>183.2</w:t>
            </w:r>
          </w:p>
        </w:tc>
        <w:tc>
          <w:tcPr>
            <w:tcW w:w="710" w:type="dxa"/>
            <w:tcBorders>
              <w:top w:val="single" w:sz="4" w:space="0" w:color="BFBFBF" w:themeColor="background1" w:themeShade="BF"/>
              <w:bottom w:val="single" w:sz="4" w:space="0" w:color="A6A6A6" w:themeColor="background1" w:themeShade="A6"/>
            </w:tcBorders>
          </w:tcPr>
          <w:p w14:paraId="4EBE7068" w14:textId="77777777" w:rsidR="005B131E" w:rsidRPr="00427A4E" w:rsidRDefault="005B131E" w:rsidP="002542E1">
            <w:pPr>
              <w:pStyle w:val="ARfintablebodyright8pt"/>
            </w:pPr>
          </w:p>
        </w:tc>
        <w:tc>
          <w:tcPr>
            <w:tcW w:w="710" w:type="dxa"/>
            <w:tcBorders>
              <w:top w:val="single" w:sz="4" w:space="0" w:color="BFBFBF" w:themeColor="background1" w:themeShade="BF"/>
              <w:bottom w:val="single" w:sz="4" w:space="0" w:color="A6A6A6" w:themeColor="background1" w:themeShade="A6"/>
            </w:tcBorders>
            <w:noWrap/>
          </w:tcPr>
          <w:p w14:paraId="7AEB2A42" w14:textId="77777777" w:rsidR="005B131E" w:rsidRPr="00BA7805" w:rsidRDefault="005B131E" w:rsidP="002542E1">
            <w:pPr>
              <w:pStyle w:val="ARfintablebodyright8pt"/>
              <w:rPr>
                <w:highlight w:val="green"/>
              </w:rPr>
            </w:pPr>
            <w:r w:rsidRPr="00427A4E">
              <w:t>987.9</w:t>
            </w:r>
          </w:p>
        </w:tc>
      </w:tr>
      <w:tr w:rsidR="005B131E" w:rsidRPr="00BA7805" w14:paraId="60365495"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4C788030" w14:textId="77777777" w:rsidR="005B131E" w:rsidRPr="00BA7805" w:rsidRDefault="005B131E" w:rsidP="002542E1">
            <w:pPr>
              <w:pStyle w:val="ARfintablebody8pt"/>
              <w:rPr>
                <w:highlight w:val="green"/>
              </w:rPr>
            </w:pPr>
            <w:r w:rsidRPr="00427A4E">
              <w:t>Depreciation and amortisation</w:t>
            </w:r>
          </w:p>
        </w:tc>
        <w:tc>
          <w:tcPr>
            <w:tcW w:w="711" w:type="dxa"/>
            <w:tcBorders>
              <w:top w:val="single" w:sz="4" w:space="0" w:color="A6A6A6" w:themeColor="background1" w:themeShade="A6"/>
              <w:bottom w:val="single" w:sz="4" w:space="0" w:color="A6A6A6" w:themeColor="background1" w:themeShade="A6"/>
            </w:tcBorders>
            <w:noWrap/>
          </w:tcPr>
          <w:p w14:paraId="45DA8E80" w14:textId="77777777" w:rsidR="005B131E" w:rsidRPr="00BA7805" w:rsidRDefault="005B131E" w:rsidP="002542E1">
            <w:pPr>
              <w:pStyle w:val="ARfintablebodyright8pt"/>
              <w:rPr>
                <w:highlight w:val="green"/>
              </w:rPr>
            </w:pPr>
            <w:r w:rsidRPr="00427A4E">
              <w:t>10.9</w:t>
            </w:r>
          </w:p>
        </w:tc>
        <w:tc>
          <w:tcPr>
            <w:tcW w:w="711" w:type="dxa"/>
            <w:tcBorders>
              <w:top w:val="single" w:sz="4" w:space="0" w:color="A6A6A6" w:themeColor="background1" w:themeShade="A6"/>
              <w:bottom w:val="single" w:sz="4" w:space="0" w:color="A6A6A6" w:themeColor="background1" w:themeShade="A6"/>
            </w:tcBorders>
            <w:noWrap/>
          </w:tcPr>
          <w:p w14:paraId="6C998EE7" w14:textId="77777777" w:rsidR="005B131E" w:rsidRPr="00BA7805" w:rsidRDefault="005B131E" w:rsidP="002542E1">
            <w:pPr>
              <w:pStyle w:val="ARfintablebodyright8pt"/>
              <w:rPr>
                <w:highlight w:val="green"/>
              </w:rPr>
            </w:pPr>
            <w:r w:rsidRPr="00427A4E">
              <w:t>12.2</w:t>
            </w:r>
          </w:p>
        </w:tc>
        <w:tc>
          <w:tcPr>
            <w:tcW w:w="711" w:type="dxa"/>
            <w:tcBorders>
              <w:top w:val="single" w:sz="4" w:space="0" w:color="A6A6A6" w:themeColor="background1" w:themeShade="A6"/>
              <w:bottom w:val="single" w:sz="4" w:space="0" w:color="A6A6A6" w:themeColor="background1" w:themeShade="A6"/>
            </w:tcBorders>
            <w:noWrap/>
          </w:tcPr>
          <w:p w14:paraId="5A0C1BEB" w14:textId="77777777" w:rsidR="005B131E" w:rsidRPr="00BA7805" w:rsidRDefault="005B131E" w:rsidP="002542E1">
            <w:pPr>
              <w:pStyle w:val="ARfintablebodyright8pt"/>
              <w:rPr>
                <w:highlight w:val="green"/>
              </w:rPr>
            </w:pPr>
            <w:r w:rsidRPr="00427A4E">
              <w:t>0.2</w:t>
            </w:r>
          </w:p>
        </w:tc>
        <w:tc>
          <w:tcPr>
            <w:tcW w:w="711" w:type="dxa"/>
            <w:tcBorders>
              <w:top w:val="single" w:sz="4" w:space="0" w:color="A6A6A6" w:themeColor="background1" w:themeShade="A6"/>
              <w:bottom w:val="single" w:sz="4" w:space="0" w:color="A6A6A6" w:themeColor="background1" w:themeShade="A6"/>
            </w:tcBorders>
            <w:noWrap/>
          </w:tcPr>
          <w:p w14:paraId="1D97E4B5"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672DC187"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616646B6"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2BB398D3"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23FA8EED"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5E49DD62" w14:textId="77777777" w:rsidR="005B131E" w:rsidRPr="00BA7805" w:rsidRDefault="005B131E" w:rsidP="002542E1">
            <w:pPr>
              <w:pStyle w:val="ARfintablebodyright8pt"/>
              <w:rPr>
                <w:highlight w:val="green"/>
              </w:rPr>
            </w:pPr>
            <w:r w:rsidRPr="00427A4E">
              <w:t>0.5</w:t>
            </w:r>
          </w:p>
        </w:tc>
        <w:tc>
          <w:tcPr>
            <w:tcW w:w="710" w:type="dxa"/>
            <w:tcBorders>
              <w:top w:val="single" w:sz="4" w:space="0" w:color="A6A6A6" w:themeColor="background1" w:themeShade="A6"/>
              <w:bottom w:val="single" w:sz="4" w:space="0" w:color="A6A6A6" w:themeColor="background1" w:themeShade="A6"/>
            </w:tcBorders>
            <w:noWrap/>
          </w:tcPr>
          <w:p w14:paraId="52BED6C9"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7E42C338"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2483241"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06BCCBA5" w14:textId="77777777" w:rsidR="005B131E" w:rsidRPr="00BA7805" w:rsidRDefault="005B131E" w:rsidP="002542E1">
            <w:pPr>
              <w:pStyle w:val="ARfintablebodyright8pt"/>
              <w:rPr>
                <w:highlight w:val="green"/>
              </w:rPr>
            </w:pPr>
            <w:r w:rsidRPr="00427A4E">
              <w:t>18.9</w:t>
            </w:r>
          </w:p>
        </w:tc>
        <w:tc>
          <w:tcPr>
            <w:tcW w:w="710" w:type="dxa"/>
            <w:tcBorders>
              <w:top w:val="single" w:sz="4" w:space="0" w:color="A6A6A6" w:themeColor="background1" w:themeShade="A6"/>
              <w:bottom w:val="single" w:sz="4" w:space="0" w:color="A6A6A6" w:themeColor="background1" w:themeShade="A6"/>
            </w:tcBorders>
            <w:noWrap/>
          </w:tcPr>
          <w:p w14:paraId="13DD3F3A" w14:textId="77777777" w:rsidR="005B131E" w:rsidRPr="00BA7805" w:rsidRDefault="005B131E" w:rsidP="002542E1">
            <w:pPr>
              <w:pStyle w:val="ARfintablebodyright8pt"/>
              <w:rPr>
                <w:highlight w:val="green"/>
              </w:rPr>
            </w:pPr>
            <w:r w:rsidRPr="00427A4E">
              <w:t>367.3</w:t>
            </w:r>
          </w:p>
        </w:tc>
        <w:tc>
          <w:tcPr>
            <w:tcW w:w="710" w:type="dxa"/>
            <w:tcBorders>
              <w:top w:val="single" w:sz="4" w:space="0" w:color="A6A6A6" w:themeColor="background1" w:themeShade="A6"/>
              <w:bottom w:val="single" w:sz="4" w:space="0" w:color="A6A6A6" w:themeColor="background1" w:themeShade="A6"/>
            </w:tcBorders>
          </w:tcPr>
          <w:p w14:paraId="29CF5615" w14:textId="77777777" w:rsidR="005B131E" w:rsidRPr="00427A4E" w:rsidRDefault="005B131E" w:rsidP="002542E1">
            <w:pPr>
              <w:pStyle w:val="ARfintablebodyright8pt"/>
            </w:pPr>
          </w:p>
        </w:tc>
        <w:tc>
          <w:tcPr>
            <w:tcW w:w="710" w:type="dxa"/>
            <w:tcBorders>
              <w:top w:val="single" w:sz="4" w:space="0" w:color="A6A6A6" w:themeColor="background1" w:themeShade="A6"/>
              <w:bottom w:val="single" w:sz="4" w:space="0" w:color="A6A6A6" w:themeColor="background1" w:themeShade="A6"/>
            </w:tcBorders>
            <w:noWrap/>
          </w:tcPr>
          <w:p w14:paraId="12263E72" w14:textId="77777777" w:rsidR="005B131E" w:rsidRPr="00BA7805" w:rsidRDefault="005B131E" w:rsidP="002542E1">
            <w:pPr>
              <w:pStyle w:val="ARfintablebodyright8pt"/>
              <w:rPr>
                <w:highlight w:val="green"/>
              </w:rPr>
            </w:pPr>
            <w:r w:rsidRPr="00427A4E">
              <w:t>410.0</w:t>
            </w:r>
          </w:p>
        </w:tc>
      </w:tr>
      <w:tr w:rsidR="005B131E" w:rsidRPr="00BA7805" w14:paraId="747FBA55"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1F57C8AC" w14:textId="77777777" w:rsidR="005B131E" w:rsidRPr="00BA7805" w:rsidRDefault="005B131E" w:rsidP="002542E1">
            <w:pPr>
              <w:pStyle w:val="ARfintablebody8pt"/>
              <w:rPr>
                <w:highlight w:val="green"/>
              </w:rPr>
            </w:pPr>
            <w:r w:rsidRPr="00427A4E">
              <w:t>Other operating expenses</w:t>
            </w:r>
          </w:p>
        </w:tc>
        <w:tc>
          <w:tcPr>
            <w:tcW w:w="711" w:type="dxa"/>
            <w:tcBorders>
              <w:top w:val="single" w:sz="4" w:space="0" w:color="A6A6A6" w:themeColor="background1" w:themeShade="A6"/>
              <w:bottom w:val="single" w:sz="4" w:space="0" w:color="A6A6A6" w:themeColor="background1" w:themeShade="A6"/>
            </w:tcBorders>
            <w:noWrap/>
          </w:tcPr>
          <w:p w14:paraId="05BA4195" w14:textId="77777777" w:rsidR="005B131E" w:rsidRPr="00BA7805" w:rsidRDefault="005B131E" w:rsidP="002542E1">
            <w:pPr>
              <w:pStyle w:val="ARfintablebodyright8pt"/>
              <w:rPr>
                <w:highlight w:val="green"/>
              </w:rPr>
            </w:pPr>
            <w:r w:rsidRPr="00427A4E">
              <w:t>107.7</w:t>
            </w:r>
          </w:p>
        </w:tc>
        <w:tc>
          <w:tcPr>
            <w:tcW w:w="711" w:type="dxa"/>
            <w:tcBorders>
              <w:top w:val="single" w:sz="4" w:space="0" w:color="A6A6A6" w:themeColor="background1" w:themeShade="A6"/>
              <w:bottom w:val="single" w:sz="4" w:space="0" w:color="A6A6A6" w:themeColor="background1" w:themeShade="A6"/>
            </w:tcBorders>
            <w:noWrap/>
          </w:tcPr>
          <w:p w14:paraId="5572B576" w14:textId="77777777" w:rsidR="005B131E" w:rsidRPr="00BA7805" w:rsidRDefault="005B131E" w:rsidP="002542E1">
            <w:pPr>
              <w:pStyle w:val="ARfintablebodyright8pt"/>
              <w:rPr>
                <w:highlight w:val="green"/>
              </w:rPr>
            </w:pPr>
            <w:r w:rsidRPr="00427A4E">
              <w:t>499.2</w:t>
            </w:r>
          </w:p>
        </w:tc>
        <w:tc>
          <w:tcPr>
            <w:tcW w:w="711" w:type="dxa"/>
            <w:tcBorders>
              <w:top w:val="single" w:sz="4" w:space="0" w:color="A6A6A6" w:themeColor="background1" w:themeShade="A6"/>
              <w:bottom w:val="single" w:sz="4" w:space="0" w:color="A6A6A6" w:themeColor="background1" w:themeShade="A6"/>
            </w:tcBorders>
            <w:noWrap/>
          </w:tcPr>
          <w:p w14:paraId="2CA862E2" w14:textId="77777777" w:rsidR="005B131E" w:rsidRPr="00BA7805" w:rsidRDefault="005B131E" w:rsidP="002542E1">
            <w:pPr>
              <w:pStyle w:val="ARfintablebodyright8pt"/>
              <w:rPr>
                <w:highlight w:val="green"/>
              </w:rPr>
            </w:pPr>
            <w:r w:rsidRPr="00427A4E">
              <w:t>8.3</w:t>
            </w:r>
          </w:p>
        </w:tc>
        <w:tc>
          <w:tcPr>
            <w:tcW w:w="711" w:type="dxa"/>
            <w:tcBorders>
              <w:top w:val="single" w:sz="4" w:space="0" w:color="A6A6A6" w:themeColor="background1" w:themeShade="A6"/>
              <w:bottom w:val="single" w:sz="4" w:space="0" w:color="A6A6A6" w:themeColor="background1" w:themeShade="A6"/>
            </w:tcBorders>
            <w:noWrap/>
          </w:tcPr>
          <w:p w14:paraId="52E64AF9" w14:textId="77777777" w:rsidR="005B131E" w:rsidRPr="00BA7805" w:rsidRDefault="005B131E" w:rsidP="002542E1">
            <w:pPr>
              <w:pStyle w:val="ARfintablebodyright8pt"/>
              <w:rPr>
                <w:highlight w:val="green"/>
              </w:rPr>
            </w:pPr>
            <w:r w:rsidRPr="00427A4E">
              <w:t>2.0</w:t>
            </w:r>
          </w:p>
        </w:tc>
        <w:tc>
          <w:tcPr>
            <w:tcW w:w="711" w:type="dxa"/>
            <w:tcBorders>
              <w:top w:val="single" w:sz="4" w:space="0" w:color="A6A6A6" w:themeColor="background1" w:themeShade="A6"/>
              <w:bottom w:val="single" w:sz="4" w:space="0" w:color="A6A6A6" w:themeColor="background1" w:themeShade="A6"/>
            </w:tcBorders>
            <w:noWrap/>
          </w:tcPr>
          <w:p w14:paraId="67D7083F" w14:textId="77777777" w:rsidR="005B131E" w:rsidRPr="00BA7805" w:rsidRDefault="005B131E" w:rsidP="002542E1">
            <w:pPr>
              <w:pStyle w:val="ARfintablebodyright8pt"/>
              <w:rPr>
                <w:highlight w:val="green"/>
              </w:rPr>
            </w:pPr>
            <w:r w:rsidRPr="00427A4E">
              <w:t>0.4</w:t>
            </w:r>
          </w:p>
        </w:tc>
        <w:tc>
          <w:tcPr>
            <w:tcW w:w="711" w:type="dxa"/>
            <w:tcBorders>
              <w:top w:val="single" w:sz="4" w:space="0" w:color="A6A6A6" w:themeColor="background1" w:themeShade="A6"/>
              <w:bottom w:val="single" w:sz="4" w:space="0" w:color="A6A6A6" w:themeColor="background1" w:themeShade="A6"/>
            </w:tcBorders>
            <w:noWrap/>
          </w:tcPr>
          <w:p w14:paraId="3F645844" w14:textId="77777777" w:rsidR="005B131E" w:rsidRPr="00BA7805" w:rsidRDefault="005B131E" w:rsidP="002542E1">
            <w:pPr>
              <w:pStyle w:val="ARfintablebodyright8pt"/>
              <w:rPr>
                <w:highlight w:val="green"/>
              </w:rPr>
            </w:pPr>
            <w:r w:rsidRPr="00427A4E">
              <w:t>3.6</w:t>
            </w:r>
          </w:p>
        </w:tc>
        <w:tc>
          <w:tcPr>
            <w:tcW w:w="710" w:type="dxa"/>
            <w:tcBorders>
              <w:top w:val="single" w:sz="4" w:space="0" w:color="A6A6A6" w:themeColor="background1" w:themeShade="A6"/>
              <w:bottom w:val="single" w:sz="4" w:space="0" w:color="A6A6A6" w:themeColor="background1" w:themeShade="A6"/>
            </w:tcBorders>
            <w:noWrap/>
          </w:tcPr>
          <w:p w14:paraId="079AFA74" w14:textId="77777777" w:rsidR="005B131E" w:rsidRPr="00BA7805" w:rsidRDefault="005B131E" w:rsidP="002542E1">
            <w:pPr>
              <w:pStyle w:val="ARfintablebodyright8pt"/>
              <w:rPr>
                <w:highlight w:val="green"/>
              </w:rPr>
            </w:pPr>
            <w:r w:rsidRPr="00427A4E">
              <w:t>1.3</w:t>
            </w:r>
          </w:p>
        </w:tc>
        <w:tc>
          <w:tcPr>
            <w:tcW w:w="710" w:type="dxa"/>
            <w:tcBorders>
              <w:top w:val="single" w:sz="4" w:space="0" w:color="A6A6A6" w:themeColor="background1" w:themeShade="A6"/>
              <w:bottom w:val="single" w:sz="4" w:space="0" w:color="A6A6A6" w:themeColor="background1" w:themeShade="A6"/>
            </w:tcBorders>
            <w:noWrap/>
          </w:tcPr>
          <w:p w14:paraId="5F86EE22" w14:textId="77777777" w:rsidR="005B131E" w:rsidRPr="00BA7805" w:rsidRDefault="005B131E" w:rsidP="002542E1">
            <w:pPr>
              <w:pStyle w:val="ARfintablebodyright8pt"/>
              <w:rPr>
                <w:highlight w:val="green"/>
              </w:rPr>
            </w:pPr>
            <w:r w:rsidRPr="00427A4E">
              <w:t>0.5</w:t>
            </w:r>
          </w:p>
        </w:tc>
        <w:tc>
          <w:tcPr>
            <w:tcW w:w="710" w:type="dxa"/>
            <w:tcBorders>
              <w:top w:val="single" w:sz="4" w:space="0" w:color="A6A6A6" w:themeColor="background1" w:themeShade="A6"/>
              <w:bottom w:val="single" w:sz="4" w:space="0" w:color="A6A6A6" w:themeColor="background1" w:themeShade="A6"/>
            </w:tcBorders>
            <w:noWrap/>
          </w:tcPr>
          <w:p w14:paraId="566A7ED1" w14:textId="77777777" w:rsidR="005B131E" w:rsidRPr="00BA7805" w:rsidRDefault="005B131E" w:rsidP="002542E1">
            <w:pPr>
              <w:pStyle w:val="ARfintablebodyright8pt"/>
              <w:rPr>
                <w:highlight w:val="green"/>
              </w:rPr>
            </w:pPr>
            <w:r w:rsidRPr="00427A4E">
              <w:t>1.9</w:t>
            </w:r>
          </w:p>
        </w:tc>
        <w:tc>
          <w:tcPr>
            <w:tcW w:w="710" w:type="dxa"/>
            <w:tcBorders>
              <w:top w:val="single" w:sz="4" w:space="0" w:color="A6A6A6" w:themeColor="background1" w:themeShade="A6"/>
              <w:bottom w:val="single" w:sz="4" w:space="0" w:color="A6A6A6" w:themeColor="background1" w:themeShade="A6"/>
            </w:tcBorders>
            <w:noWrap/>
          </w:tcPr>
          <w:p w14:paraId="4E900A6A" w14:textId="77777777" w:rsidR="005B131E" w:rsidRPr="00BA7805" w:rsidRDefault="005B131E" w:rsidP="002542E1">
            <w:pPr>
              <w:pStyle w:val="ARfintablebodyright8pt"/>
              <w:rPr>
                <w:highlight w:val="green"/>
              </w:rPr>
            </w:pPr>
            <w:r w:rsidRPr="00427A4E">
              <w:t>5.1</w:t>
            </w:r>
          </w:p>
        </w:tc>
        <w:tc>
          <w:tcPr>
            <w:tcW w:w="710" w:type="dxa"/>
            <w:tcBorders>
              <w:top w:val="single" w:sz="4" w:space="0" w:color="A6A6A6" w:themeColor="background1" w:themeShade="A6"/>
              <w:bottom w:val="single" w:sz="4" w:space="0" w:color="A6A6A6" w:themeColor="background1" w:themeShade="A6"/>
            </w:tcBorders>
            <w:noWrap/>
          </w:tcPr>
          <w:p w14:paraId="06EC7355" w14:textId="77777777" w:rsidR="005B131E" w:rsidRPr="00BA7805" w:rsidRDefault="005B131E" w:rsidP="002542E1">
            <w:pPr>
              <w:pStyle w:val="ARfintablebodyright8pt"/>
              <w:rPr>
                <w:highlight w:val="green"/>
              </w:rPr>
            </w:pPr>
            <w:r w:rsidRPr="00427A4E">
              <w:t>0.4</w:t>
            </w:r>
          </w:p>
        </w:tc>
        <w:tc>
          <w:tcPr>
            <w:tcW w:w="710" w:type="dxa"/>
            <w:tcBorders>
              <w:top w:val="single" w:sz="4" w:space="0" w:color="A6A6A6" w:themeColor="background1" w:themeShade="A6"/>
              <w:bottom w:val="single" w:sz="4" w:space="0" w:color="A6A6A6" w:themeColor="background1" w:themeShade="A6"/>
            </w:tcBorders>
            <w:noWrap/>
          </w:tcPr>
          <w:p w14:paraId="381129CB" w14:textId="77777777" w:rsidR="005B131E" w:rsidRPr="00BA7805" w:rsidRDefault="005B131E" w:rsidP="002542E1">
            <w:pPr>
              <w:pStyle w:val="ARfintablebodyright8pt"/>
              <w:rPr>
                <w:highlight w:val="green"/>
              </w:rPr>
            </w:pPr>
            <w:r w:rsidRPr="00427A4E">
              <w:t>2.5</w:t>
            </w:r>
          </w:p>
        </w:tc>
        <w:tc>
          <w:tcPr>
            <w:tcW w:w="710" w:type="dxa"/>
            <w:tcBorders>
              <w:top w:val="single" w:sz="4" w:space="0" w:color="A6A6A6" w:themeColor="background1" w:themeShade="A6"/>
              <w:bottom w:val="single" w:sz="4" w:space="0" w:color="A6A6A6" w:themeColor="background1" w:themeShade="A6"/>
            </w:tcBorders>
            <w:noWrap/>
          </w:tcPr>
          <w:p w14:paraId="057D2724" w14:textId="77777777" w:rsidR="005B131E" w:rsidRPr="00BA7805" w:rsidRDefault="005B131E" w:rsidP="002542E1">
            <w:pPr>
              <w:pStyle w:val="ARfintablebodyright8pt"/>
              <w:rPr>
                <w:highlight w:val="green"/>
              </w:rPr>
            </w:pPr>
            <w:r w:rsidRPr="00427A4E">
              <w:t>39.3</w:t>
            </w:r>
          </w:p>
        </w:tc>
        <w:tc>
          <w:tcPr>
            <w:tcW w:w="710" w:type="dxa"/>
            <w:tcBorders>
              <w:top w:val="single" w:sz="4" w:space="0" w:color="A6A6A6" w:themeColor="background1" w:themeShade="A6"/>
              <w:bottom w:val="single" w:sz="4" w:space="0" w:color="A6A6A6" w:themeColor="background1" w:themeShade="A6"/>
            </w:tcBorders>
            <w:noWrap/>
          </w:tcPr>
          <w:p w14:paraId="2D53541D" w14:textId="77777777" w:rsidR="005B131E" w:rsidRPr="00BA7805" w:rsidRDefault="005B131E" w:rsidP="002542E1">
            <w:pPr>
              <w:pStyle w:val="ARfintablebodyright8pt"/>
              <w:rPr>
                <w:highlight w:val="green"/>
              </w:rPr>
            </w:pPr>
            <w:r w:rsidRPr="00427A4E">
              <w:t>100.5</w:t>
            </w:r>
          </w:p>
        </w:tc>
        <w:tc>
          <w:tcPr>
            <w:tcW w:w="710" w:type="dxa"/>
            <w:tcBorders>
              <w:top w:val="single" w:sz="4" w:space="0" w:color="A6A6A6" w:themeColor="background1" w:themeShade="A6"/>
              <w:bottom w:val="single" w:sz="4" w:space="0" w:color="A6A6A6" w:themeColor="background1" w:themeShade="A6"/>
            </w:tcBorders>
          </w:tcPr>
          <w:p w14:paraId="70CEB3AD" w14:textId="77777777" w:rsidR="005B131E" w:rsidRPr="00427A4E" w:rsidRDefault="005B131E" w:rsidP="002542E1">
            <w:pPr>
              <w:pStyle w:val="ARfintablebodyright8pt"/>
            </w:pPr>
            <w:r>
              <w:t>(2.1)</w:t>
            </w:r>
          </w:p>
        </w:tc>
        <w:tc>
          <w:tcPr>
            <w:tcW w:w="710" w:type="dxa"/>
            <w:tcBorders>
              <w:top w:val="single" w:sz="4" w:space="0" w:color="A6A6A6" w:themeColor="background1" w:themeShade="A6"/>
              <w:bottom w:val="single" w:sz="4" w:space="0" w:color="A6A6A6" w:themeColor="background1" w:themeShade="A6"/>
            </w:tcBorders>
            <w:noWrap/>
          </w:tcPr>
          <w:p w14:paraId="44CFD734" w14:textId="77777777" w:rsidR="005B131E" w:rsidRPr="00BA7805" w:rsidRDefault="005B131E" w:rsidP="002542E1">
            <w:pPr>
              <w:pStyle w:val="ARfintablebodyright8pt"/>
              <w:rPr>
                <w:highlight w:val="green"/>
              </w:rPr>
            </w:pPr>
            <w:r w:rsidRPr="00427A4E">
              <w:t>770.4</w:t>
            </w:r>
          </w:p>
        </w:tc>
      </w:tr>
      <w:tr w:rsidR="005B131E" w:rsidRPr="00BA7805" w14:paraId="0AA8F8E7"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631C43EA" w14:textId="77777777" w:rsidR="005B131E" w:rsidRPr="00BA7805" w:rsidRDefault="005B131E" w:rsidP="002542E1">
            <w:pPr>
              <w:pStyle w:val="ARfintablebody8pt"/>
              <w:rPr>
                <w:highlight w:val="green"/>
              </w:rPr>
            </w:pPr>
            <w:r w:rsidRPr="00427A4E">
              <w:t>Grants and other transfers</w:t>
            </w:r>
          </w:p>
        </w:tc>
        <w:tc>
          <w:tcPr>
            <w:tcW w:w="711" w:type="dxa"/>
            <w:tcBorders>
              <w:top w:val="single" w:sz="4" w:space="0" w:color="A6A6A6" w:themeColor="background1" w:themeShade="A6"/>
              <w:bottom w:val="single" w:sz="4" w:space="0" w:color="A6A6A6" w:themeColor="background1" w:themeShade="A6"/>
            </w:tcBorders>
            <w:noWrap/>
          </w:tcPr>
          <w:p w14:paraId="4E665DB8" w14:textId="77777777" w:rsidR="005B131E" w:rsidRPr="00BA7805" w:rsidRDefault="005B131E" w:rsidP="002542E1">
            <w:pPr>
              <w:pStyle w:val="ARfintablebodyright8pt"/>
              <w:rPr>
                <w:highlight w:val="green"/>
              </w:rPr>
            </w:pPr>
            <w:r w:rsidRPr="00427A4E">
              <w:t>199.4</w:t>
            </w:r>
          </w:p>
        </w:tc>
        <w:tc>
          <w:tcPr>
            <w:tcW w:w="711" w:type="dxa"/>
            <w:tcBorders>
              <w:top w:val="single" w:sz="4" w:space="0" w:color="A6A6A6" w:themeColor="background1" w:themeShade="A6"/>
              <w:bottom w:val="single" w:sz="4" w:space="0" w:color="A6A6A6" w:themeColor="background1" w:themeShade="A6"/>
            </w:tcBorders>
            <w:noWrap/>
          </w:tcPr>
          <w:p w14:paraId="48264365" w14:textId="77777777" w:rsidR="005B131E" w:rsidRPr="00BA7805" w:rsidRDefault="005B131E" w:rsidP="002542E1">
            <w:pPr>
              <w:pStyle w:val="ARfintablebodyright8pt"/>
              <w:rPr>
                <w:highlight w:val="green"/>
              </w:rPr>
            </w:pPr>
            <w:r w:rsidRPr="00427A4E">
              <w:t>1,421.9</w:t>
            </w:r>
          </w:p>
        </w:tc>
        <w:tc>
          <w:tcPr>
            <w:tcW w:w="711" w:type="dxa"/>
            <w:tcBorders>
              <w:top w:val="single" w:sz="4" w:space="0" w:color="A6A6A6" w:themeColor="background1" w:themeShade="A6"/>
              <w:bottom w:val="single" w:sz="4" w:space="0" w:color="A6A6A6" w:themeColor="background1" w:themeShade="A6"/>
            </w:tcBorders>
            <w:noWrap/>
          </w:tcPr>
          <w:p w14:paraId="7EF45493" w14:textId="77777777" w:rsidR="005B131E" w:rsidRPr="00BA7805" w:rsidRDefault="005B131E" w:rsidP="002542E1">
            <w:pPr>
              <w:pStyle w:val="ARfintablebodyright8pt"/>
              <w:rPr>
                <w:highlight w:val="green"/>
              </w:rPr>
            </w:pPr>
            <w:r w:rsidRPr="00427A4E">
              <w:t>1,051.5</w:t>
            </w:r>
          </w:p>
        </w:tc>
        <w:tc>
          <w:tcPr>
            <w:tcW w:w="711" w:type="dxa"/>
            <w:tcBorders>
              <w:top w:val="single" w:sz="4" w:space="0" w:color="A6A6A6" w:themeColor="background1" w:themeShade="A6"/>
              <w:bottom w:val="single" w:sz="4" w:space="0" w:color="A6A6A6" w:themeColor="background1" w:themeShade="A6"/>
            </w:tcBorders>
            <w:noWrap/>
          </w:tcPr>
          <w:p w14:paraId="7E5D9844" w14:textId="77777777" w:rsidR="005B131E" w:rsidRPr="00BA7805" w:rsidRDefault="005B131E" w:rsidP="002542E1">
            <w:pPr>
              <w:pStyle w:val="ARfintablebodyright8pt"/>
              <w:rPr>
                <w:highlight w:val="green"/>
              </w:rPr>
            </w:pPr>
            <w:r w:rsidRPr="00427A4E">
              <w:t>63.1</w:t>
            </w:r>
          </w:p>
        </w:tc>
        <w:tc>
          <w:tcPr>
            <w:tcW w:w="711" w:type="dxa"/>
            <w:tcBorders>
              <w:top w:val="single" w:sz="4" w:space="0" w:color="A6A6A6" w:themeColor="background1" w:themeShade="A6"/>
              <w:bottom w:val="single" w:sz="4" w:space="0" w:color="A6A6A6" w:themeColor="background1" w:themeShade="A6"/>
            </w:tcBorders>
            <w:noWrap/>
          </w:tcPr>
          <w:p w14:paraId="67A7551F" w14:textId="77777777" w:rsidR="005B131E" w:rsidRPr="00BA7805" w:rsidRDefault="005B131E" w:rsidP="002542E1">
            <w:pPr>
              <w:pStyle w:val="ARfintablebodyright8pt"/>
              <w:rPr>
                <w:highlight w:val="green"/>
              </w:rPr>
            </w:pPr>
            <w:r w:rsidRPr="00427A4E">
              <w:t>10.9</w:t>
            </w:r>
          </w:p>
        </w:tc>
        <w:tc>
          <w:tcPr>
            <w:tcW w:w="711" w:type="dxa"/>
            <w:tcBorders>
              <w:top w:val="single" w:sz="4" w:space="0" w:color="A6A6A6" w:themeColor="background1" w:themeShade="A6"/>
              <w:bottom w:val="single" w:sz="4" w:space="0" w:color="A6A6A6" w:themeColor="background1" w:themeShade="A6"/>
            </w:tcBorders>
            <w:noWrap/>
          </w:tcPr>
          <w:p w14:paraId="1979802C" w14:textId="77777777" w:rsidR="005B131E" w:rsidRPr="00BA7805" w:rsidRDefault="005B131E" w:rsidP="002542E1">
            <w:pPr>
              <w:pStyle w:val="ARfintablebodyright8pt"/>
              <w:rPr>
                <w:highlight w:val="green"/>
              </w:rPr>
            </w:pPr>
            <w:r w:rsidRPr="00427A4E">
              <w:t>53.3</w:t>
            </w:r>
          </w:p>
        </w:tc>
        <w:tc>
          <w:tcPr>
            <w:tcW w:w="710" w:type="dxa"/>
            <w:tcBorders>
              <w:top w:val="single" w:sz="4" w:space="0" w:color="A6A6A6" w:themeColor="background1" w:themeShade="A6"/>
              <w:bottom w:val="single" w:sz="4" w:space="0" w:color="A6A6A6" w:themeColor="background1" w:themeShade="A6"/>
            </w:tcBorders>
            <w:noWrap/>
          </w:tcPr>
          <w:p w14:paraId="6536DFC4" w14:textId="77777777" w:rsidR="005B131E" w:rsidRPr="00BA7805" w:rsidRDefault="005B131E" w:rsidP="002542E1">
            <w:pPr>
              <w:pStyle w:val="ARfintablebodyright8pt"/>
              <w:rPr>
                <w:highlight w:val="green"/>
              </w:rPr>
            </w:pPr>
            <w:r w:rsidRPr="00427A4E">
              <w:t>7.2</w:t>
            </w:r>
          </w:p>
        </w:tc>
        <w:tc>
          <w:tcPr>
            <w:tcW w:w="710" w:type="dxa"/>
            <w:tcBorders>
              <w:top w:val="single" w:sz="4" w:space="0" w:color="A6A6A6" w:themeColor="background1" w:themeShade="A6"/>
              <w:bottom w:val="single" w:sz="4" w:space="0" w:color="A6A6A6" w:themeColor="background1" w:themeShade="A6"/>
            </w:tcBorders>
            <w:noWrap/>
          </w:tcPr>
          <w:p w14:paraId="05333C7F" w14:textId="77777777" w:rsidR="005B131E" w:rsidRPr="00BA7805" w:rsidRDefault="005B131E" w:rsidP="002542E1">
            <w:pPr>
              <w:pStyle w:val="ARfintablebodyright8pt"/>
              <w:rPr>
                <w:highlight w:val="green"/>
              </w:rPr>
            </w:pPr>
            <w:r w:rsidRPr="00427A4E">
              <w:t>9.5</w:t>
            </w:r>
          </w:p>
        </w:tc>
        <w:tc>
          <w:tcPr>
            <w:tcW w:w="710" w:type="dxa"/>
            <w:tcBorders>
              <w:top w:val="single" w:sz="4" w:space="0" w:color="A6A6A6" w:themeColor="background1" w:themeShade="A6"/>
              <w:bottom w:val="single" w:sz="4" w:space="0" w:color="A6A6A6" w:themeColor="background1" w:themeShade="A6"/>
            </w:tcBorders>
            <w:noWrap/>
          </w:tcPr>
          <w:p w14:paraId="19A482E5" w14:textId="77777777" w:rsidR="005B131E" w:rsidRPr="00BA7805" w:rsidRDefault="005B131E" w:rsidP="002542E1">
            <w:pPr>
              <w:pStyle w:val="ARfintablebodyright8pt"/>
              <w:rPr>
                <w:highlight w:val="green"/>
              </w:rPr>
            </w:pPr>
            <w:r w:rsidRPr="00427A4E">
              <w:t>3.5</w:t>
            </w:r>
          </w:p>
        </w:tc>
        <w:tc>
          <w:tcPr>
            <w:tcW w:w="710" w:type="dxa"/>
            <w:tcBorders>
              <w:top w:val="single" w:sz="4" w:space="0" w:color="A6A6A6" w:themeColor="background1" w:themeShade="A6"/>
              <w:bottom w:val="single" w:sz="4" w:space="0" w:color="A6A6A6" w:themeColor="background1" w:themeShade="A6"/>
            </w:tcBorders>
            <w:noWrap/>
          </w:tcPr>
          <w:p w14:paraId="573E4BDA" w14:textId="77777777" w:rsidR="005B131E" w:rsidRPr="00BA7805" w:rsidRDefault="005B131E" w:rsidP="002542E1">
            <w:pPr>
              <w:pStyle w:val="ARfintablebodyright8pt"/>
              <w:rPr>
                <w:highlight w:val="green"/>
              </w:rPr>
            </w:pPr>
            <w:r w:rsidRPr="00427A4E">
              <w:t>13.2</w:t>
            </w:r>
          </w:p>
        </w:tc>
        <w:tc>
          <w:tcPr>
            <w:tcW w:w="710" w:type="dxa"/>
            <w:tcBorders>
              <w:top w:val="single" w:sz="4" w:space="0" w:color="A6A6A6" w:themeColor="background1" w:themeShade="A6"/>
              <w:bottom w:val="single" w:sz="4" w:space="0" w:color="A6A6A6" w:themeColor="background1" w:themeShade="A6"/>
            </w:tcBorders>
            <w:noWrap/>
          </w:tcPr>
          <w:p w14:paraId="0BF0E109" w14:textId="77777777" w:rsidR="005B131E" w:rsidRPr="00BA7805" w:rsidRDefault="005B131E" w:rsidP="002542E1">
            <w:pPr>
              <w:pStyle w:val="ARfintablebodyright8pt"/>
              <w:rPr>
                <w:highlight w:val="green"/>
              </w:rPr>
            </w:pPr>
            <w:r w:rsidRPr="00427A4E">
              <w:t>23.6</w:t>
            </w:r>
          </w:p>
        </w:tc>
        <w:tc>
          <w:tcPr>
            <w:tcW w:w="710" w:type="dxa"/>
            <w:tcBorders>
              <w:top w:val="single" w:sz="4" w:space="0" w:color="A6A6A6" w:themeColor="background1" w:themeShade="A6"/>
              <w:bottom w:val="single" w:sz="4" w:space="0" w:color="A6A6A6" w:themeColor="background1" w:themeShade="A6"/>
            </w:tcBorders>
            <w:noWrap/>
          </w:tcPr>
          <w:p w14:paraId="32F5CCE5" w14:textId="77777777" w:rsidR="005B131E" w:rsidRPr="00BA7805" w:rsidRDefault="005B131E" w:rsidP="002542E1">
            <w:pPr>
              <w:pStyle w:val="ARfintablebodyright8pt"/>
              <w:rPr>
                <w:highlight w:val="green"/>
              </w:rPr>
            </w:pPr>
            <w:r w:rsidRPr="00427A4E">
              <w:t>15.4</w:t>
            </w:r>
          </w:p>
        </w:tc>
        <w:tc>
          <w:tcPr>
            <w:tcW w:w="710" w:type="dxa"/>
            <w:tcBorders>
              <w:top w:val="single" w:sz="4" w:space="0" w:color="A6A6A6" w:themeColor="background1" w:themeShade="A6"/>
              <w:bottom w:val="single" w:sz="4" w:space="0" w:color="A6A6A6" w:themeColor="background1" w:themeShade="A6"/>
            </w:tcBorders>
            <w:noWrap/>
          </w:tcPr>
          <w:p w14:paraId="1AC230A1" w14:textId="77777777" w:rsidR="005B131E" w:rsidRPr="00BA7805" w:rsidRDefault="005B131E" w:rsidP="002542E1">
            <w:pPr>
              <w:pStyle w:val="ARfintablebodyright8pt"/>
              <w:rPr>
                <w:highlight w:val="green"/>
              </w:rPr>
            </w:pPr>
            <w:r w:rsidRPr="00427A4E">
              <w:t>606.3</w:t>
            </w:r>
          </w:p>
        </w:tc>
        <w:tc>
          <w:tcPr>
            <w:tcW w:w="710" w:type="dxa"/>
            <w:tcBorders>
              <w:top w:val="single" w:sz="4" w:space="0" w:color="A6A6A6" w:themeColor="background1" w:themeShade="A6"/>
              <w:bottom w:val="single" w:sz="4" w:space="0" w:color="A6A6A6" w:themeColor="background1" w:themeShade="A6"/>
            </w:tcBorders>
            <w:noWrap/>
          </w:tcPr>
          <w:p w14:paraId="26D05640" w14:textId="77777777" w:rsidR="005B131E" w:rsidRPr="00BA7805" w:rsidRDefault="005B131E" w:rsidP="002542E1">
            <w:pPr>
              <w:pStyle w:val="ARfintablebodyright8pt"/>
              <w:rPr>
                <w:highlight w:val="green"/>
              </w:rPr>
            </w:pPr>
            <w:r w:rsidRPr="00427A4E">
              <w:t>821.8</w:t>
            </w:r>
          </w:p>
        </w:tc>
        <w:tc>
          <w:tcPr>
            <w:tcW w:w="710" w:type="dxa"/>
            <w:tcBorders>
              <w:top w:val="single" w:sz="4" w:space="0" w:color="A6A6A6" w:themeColor="background1" w:themeShade="A6"/>
              <w:bottom w:val="single" w:sz="4" w:space="0" w:color="A6A6A6" w:themeColor="background1" w:themeShade="A6"/>
            </w:tcBorders>
          </w:tcPr>
          <w:p w14:paraId="21898CD9" w14:textId="77777777" w:rsidR="005B131E" w:rsidRPr="00427A4E" w:rsidRDefault="005B131E" w:rsidP="002542E1">
            <w:pPr>
              <w:pStyle w:val="ARfintablebodyright8pt"/>
            </w:pPr>
            <w:r>
              <w:t>(22.0)</w:t>
            </w:r>
          </w:p>
        </w:tc>
        <w:tc>
          <w:tcPr>
            <w:tcW w:w="710" w:type="dxa"/>
            <w:tcBorders>
              <w:top w:val="single" w:sz="4" w:space="0" w:color="A6A6A6" w:themeColor="background1" w:themeShade="A6"/>
              <w:bottom w:val="single" w:sz="4" w:space="0" w:color="A6A6A6" w:themeColor="background1" w:themeShade="A6"/>
            </w:tcBorders>
            <w:noWrap/>
          </w:tcPr>
          <w:p w14:paraId="34ED3221" w14:textId="77777777" w:rsidR="005B131E" w:rsidRPr="00BA7805" w:rsidRDefault="005B131E" w:rsidP="002542E1">
            <w:pPr>
              <w:pStyle w:val="ARfintablebodyright8pt"/>
              <w:rPr>
                <w:highlight w:val="green"/>
              </w:rPr>
            </w:pPr>
            <w:r w:rsidRPr="00427A4E">
              <w:t>4,278.6</w:t>
            </w:r>
          </w:p>
        </w:tc>
      </w:tr>
      <w:tr w:rsidR="005B131E" w:rsidRPr="00BA7805" w14:paraId="3017E88E"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0F617263" w14:textId="77777777" w:rsidR="005B131E" w:rsidRPr="00BA7805" w:rsidRDefault="005B131E" w:rsidP="002542E1">
            <w:pPr>
              <w:pStyle w:val="ARfintablebody8pt"/>
              <w:rPr>
                <w:highlight w:val="green"/>
              </w:rPr>
            </w:pPr>
            <w:r w:rsidRPr="00427A4E">
              <w:t>Property management expenses</w:t>
            </w:r>
          </w:p>
        </w:tc>
        <w:tc>
          <w:tcPr>
            <w:tcW w:w="711" w:type="dxa"/>
            <w:tcBorders>
              <w:top w:val="single" w:sz="4" w:space="0" w:color="A6A6A6" w:themeColor="background1" w:themeShade="A6"/>
              <w:bottom w:val="single" w:sz="4" w:space="0" w:color="A6A6A6" w:themeColor="background1" w:themeShade="A6"/>
            </w:tcBorders>
            <w:noWrap/>
          </w:tcPr>
          <w:p w14:paraId="286E09D9" w14:textId="77777777" w:rsidR="005B131E" w:rsidRPr="00BA7805" w:rsidRDefault="005B131E" w:rsidP="002542E1">
            <w:pPr>
              <w:pStyle w:val="ARfintablebodyright8pt"/>
              <w:rPr>
                <w:highlight w:val="green"/>
              </w:rPr>
            </w:pPr>
            <w:r w:rsidRPr="00427A4E">
              <w:t>16.3</w:t>
            </w:r>
          </w:p>
        </w:tc>
        <w:tc>
          <w:tcPr>
            <w:tcW w:w="711" w:type="dxa"/>
            <w:tcBorders>
              <w:top w:val="single" w:sz="4" w:space="0" w:color="A6A6A6" w:themeColor="background1" w:themeShade="A6"/>
              <w:bottom w:val="single" w:sz="4" w:space="0" w:color="A6A6A6" w:themeColor="background1" w:themeShade="A6"/>
            </w:tcBorders>
            <w:noWrap/>
          </w:tcPr>
          <w:p w14:paraId="207C810E" w14:textId="77777777" w:rsidR="005B131E" w:rsidRPr="00BA7805" w:rsidRDefault="005B131E" w:rsidP="002542E1">
            <w:pPr>
              <w:pStyle w:val="ARfintablebodyright8pt"/>
              <w:rPr>
                <w:highlight w:val="green"/>
              </w:rPr>
            </w:pPr>
            <w:r w:rsidRPr="00427A4E">
              <w:t>9.4</w:t>
            </w:r>
          </w:p>
        </w:tc>
        <w:tc>
          <w:tcPr>
            <w:tcW w:w="711" w:type="dxa"/>
            <w:tcBorders>
              <w:top w:val="single" w:sz="4" w:space="0" w:color="A6A6A6" w:themeColor="background1" w:themeShade="A6"/>
              <w:bottom w:val="single" w:sz="4" w:space="0" w:color="A6A6A6" w:themeColor="background1" w:themeShade="A6"/>
            </w:tcBorders>
            <w:noWrap/>
          </w:tcPr>
          <w:p w14:paraId="636FCAE7"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52C7F16F"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5B861048"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412B75A5"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3B4D0C77"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15E3FCB0"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6619C0A" w14:textId="77777777" w:rsidR="005B131E" w:rsidRPr="00BA7805" w:rsidRDefault="005B131E" w:rsidP="002542E1">
            <w:pPr>
              <w:pStyle w:val="ARfintablebodyright8pt"/>
              <w:rPr>
                <w:highlight w:val="green"/>
              </w:rPr>
            </w:pPr>
            <w:r w:rsidRPr="00427A4E">
              <w:t>0.9</w:t>
            </w:r>
          </w:p>
        </w:tc>
        <w:tc>
          <w:tcPr>
            <w:tcW w:w="710" w:type="dxa"/>
            <w:tcBorders>
              <w:top w:val="single" w:sz="4" w:space="0" w:color="A6A6A6" w:themeColor="background1" w:themeShade="A6"/>
              <w:bottom w:val="single" w:sz="4" w:space="0" w:color="A6A6A6" w:themeColor="background1" w:themeShade="A6"/>
            </w:tcBorders>
            <w:noWrap/>
          </w:tcPr>
          <w:p w14:paraId="49AC1D00"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AE15C05"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2940F8B"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5253EB4"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0E37F37" w14:textId="77777777" w:rsidR="005B131E" w:rsidRPr="00BA7805" w:rsidRDefault="005B131E" w:rsidP="002542E1">
            <w:pPr>
              <w:pStyle w:val="ARfintablebodyright8pt"/>
              <w:rPr>
                <w:highlight w:val="green"/>
              </w:rPr>
            </w:pPr>
            <w:r w:rsidRPr="00427A4E">
              <w:t>526.3</w:t>
            </w:r>
          </w:p>
        </w:tc>
        <w:tc>
          <w:tcPr>
            <w:tcW w:w="710" w:type="dxa"/>
            <w:tcBorders>
              <w:top w:val="single" w:sz="4" w:space="0" w:color="A6A6A6" w:themeColor="background1" w:themeShade="A6"/>
              <w:bottom w:val="single" w:sz="4" w:space="0" w:color="A6A6A6" w:themeColor="background1" w:themeShade="A6"/>
            </w:tcBorders>
          </w:tcPr>
          <w:p w14:paraId="12945C8A" w14:textId="77777777" w:rsidR="005B131E" w:rsidRPr="00427A4E" w:rsidRDefault="005B131E" w:rsidP="002542E1">
            <w:pPr>
              <w:pStyle w:val="ARfintablebodyright8pt"/>
            </w:pPr>
          </w:p>
        </w:tc>
        <w:tc>
          <w:tcPr>
            <w:tcW w:w="710" w:type="dxa"/>
            <w:tcBorders>
              <w:top w:val="single" w:sz="4" w:space="0" w:color="A6A6A6" w:themeColor="background1" w:themeShade="A6"/>
              <w:bottom w:val="single" w:sz="4" w:space="0" w:color="A6A6A6" w:themeColor="background1" w:themeShade="A6"/>
            </w:tcBorders>
            <w:noWrap/>
          </w:tcPr>
          <w:p w14:paraId="60AEE1C3" w14:textId="77777777" w:rsidR="005B131E" w:rsidRPr="00BA7805" w:rsidRDefault="005B131E" w:rsidP="002542E1">
            <w:pPr>
              <w:pStyle w:val="ARfintablebodyright8pt"/>
              <w:rPr>
                <w:highlight w:val="green"/>
              </w:rPr>
            </w:pPr>
            <w:r w:rsidRPr="00427A4E">
              <w:t>552.8</w:t>
            </w:r>
          </w:p>
        </w:tc>
      </w:tr>
      <w:tr w:rsidR="005B131E" w:rsidRPr="00BA7805" w14:paraId="6F137F1C" w14:textId="77777777" w:rsidTr="002542E1">
        <w:trPr>
          <w:trHeight w:val="170"/>
        </w:trPr>
        <w:tc>
          <w:tcPr>
            <w:tcW w:w="2343" w:type="dxa"/>
          </w:tcPr>
          <w:p w14:paraId="20416CF3" w14:textId="77777777" w:rsidR="005B131E" w:rsidRPr="00BA7805" w:rsidRDefault="005B131E" w:rsidP="002542E1">
            <w:pPr>
              <w:pStyle w:val="ARfintablebodybold8pt"/>
              <w:rPr>
                <w:highlight w:val="green"/>
              </w:rPr>
            </w:pPr>
            <w:r w:rsidRPr="00427A4E">
              <w:t>Total expenses from transactions</w:t>
            </w:r>
          </w:p>
        </w:tc>
        <w:tc>
          <w:tcPr>
            <w:tcW w:w="711" w:type="dxa"/>
            <w:noWrap/>
          </w:tcPr>
          <w:p w14:paraId="08FD6632" w14:textId="77777777" w:rsidR="005B131E" w:rsidRPr="00BA7805" w:rsidRDefault="005B131E" w:rsidP="002542E1">
            <w:pPr>
              <w:pStyle w:val="ARfintablebodyrightbold8pt"/>
              <w:rPr>
                <w:highlight w:val="green"/>
              </w:rPr>
            </w:pPr>
            <w:r w:rsidRPr="00427A4E">
              <w:t>464.7</w:t>
            </w:r>
          </w:p>
        </w:tc>
        <w:tc>
          <w:tcPr>
            <w:tcW w:w="711" w:type="dxa"/>
            <w:noWrap/>
          </w:tcPr>
          <w:p w14:paraId="7C463D50" w14:textId="77777777" w:rsidR="005B131E" w:rsidRPr="00BA7805" w:rsidRDefault="005B131E" w:rsidP="002542E1">
            <w:pPr>
              <w:pStyle w:val="ARfintablebodyrightbold8pt"/>
              <w:rPr>
                <w:highlight w:val="green"/>
              </w:rPr>
            </w:pPr>
            <w:r w:rsidRPr="00427A4E">
              <w:t>2,500.0</w:t>
            </w:r>
          </w:p>
        </w:tc>
        <w:tc>
          <w:tcPr>
            <w:tcW w:w="711" w:type="dxa"/>
            <w:noWrap/>
          </w:tcPr>
          <w:p w14:paraId="2DAB2C43" w14:textId="77777777" w:rsidR="005B131E" w:rsidRPr="00BA7805" w:rsidRDefault="005B131E" w:rsidP="002542E1">
            <w:pPr>
              <w:pStyle w:val="ARfintablebodyrightbold8pt"/>
              <w:rPr>
                <w:highlight w:val="green"/>
              </w:rPr>
            </w:pPr>
            <w:r w:rsidRPr="00427A4E">
              <w:t>1,071.1</w:t>
            </w:r>
          </w:p>
        </w:tc>
        <w:tc>
          <w:tcPr>
            <w:tcW w:w="711" w:type="dxa"/>
            <w:noWrap/>
          </w:tcPr>
          <w:p w14:paraId="1ACDC61B" w14:textId="77777777" w:rsidR="005B131E" w:rsidRPr="00BA7805" w:rsidRDefault="005B131E" w:rsidP="002542E1">
            <w:pPr>
              <w:pStyle w:val="ARfintablebodyrightbold8pt"/>
              <w:rPr>
                <w:highlight w:val="green"/>
              </w:rPr>
            </w:pPr>
            <w:r w:rsidRPr="00427A4E">
              <w:t>70.1</w:t>
            </w:r>
          </w:p>
        </w:tc>
        <w:tc>
          <w:tcPr>
            <w:tcW w:w="711" w:type="dxa"/>
            <w:noWrap/>
          </w:tcPr>
          <w:p w14:paraId="6335C363" w14:textId="77777777" w:rsidR="005B131E" w:rsidRPr="00BA7805" w:rsidRDefault="005B131E" w:rsidP="002542E1">
            <w:pPr>
              <w:pStyle w:val="ARfintablebodyrightbold8pt"/>
              <w:rPr>
                <w:highlight w:val="green"/>
              </w:rPr>
            </w:pPr>
            <w:r w:rsidRPr="00427A4E">
              <w:t>12.7</w:t>
            </w:r>
          </w:p>
        </w:tc>
        <w:tc>
          <w:tcPr>
            <w:tcW w:w="711" w:type="dxa"/>
            <w:noWrap/>
          </w:tcPr>
          <w:p w14:paraId="2095950B" w14:textId="77777777" w:rsidR="005B131E" w:rsidRPr="00BA7805" w:rsidRDefault="005B131E" w:rsidP="002542E1">
            <w:pPr>
              <w:pStyle w:val="ARfintablebodyrightbold8pt"/>
              <w:rPr>
                <w:highlight w:val="green"/>
              </w:rPr>
            </w:pPr>
            <w:r w:rsidRPr="00427A4E">
              <w:t>60.9</w:t>
            </w:r>
          </w:p>
        </w:tc>
        <w:tc>
          <w:tcPr>
            <w:tcW w:w="710" w:type="dxa"/>
            <w:noWrap/>
          </w:tcPr>
          <w:p w14:paraId="258385F0" w14:textId="77777777" w:rsidR="005B131E" w:rsidRPr="00BA7805" w:rsidRDefault="005B131E" w:rsidP="002542E1">
            <w:pPr>
              <w:pStyle w:val="ARfintablebodyrightbold8pt"/>
              <w:rPr>
                <w:highlight w:val="green"/>
              </w:rPr>
            </w:pPr>
            <w:r w:rsidRPr="00427A4E">
              <w:t>10.9</w:t>
            </w:r>
          </w:p>
        </w:tc>
        <w:tc>
          <w:tcPr>
            <w:tcW w:w="710" w:type="dxa"/>
            <w:noWrap/>
          </w:tcPr>
          <w:p w14:paraId="41B611D8" w14:textId="77777777" w:rsidR="005B131E" w:rsidRPr="00BA7805" w:rsidRDefault="005B131E" w:rsidP="002542E1">
            <w:pPr>
              <w:pStyle w:val="ARfintablebodyrightbold8pt"/>
              <w:rPr>
                <w:highlight w:val="green"/>
              </w:rPr>
            </w:pPr>
            <w:r w:rsidRPr="00427A4E">
              <w:t>12.1</w:t>
            </w:r>
          </w:p>
        </w:tc>
        <w:tc>
          <w:tcPr>
            <w:tcW w:w="710" w:type="dxa"/>
            <w:noWrap/>
          </w:tcPr>
          <w:p w14:paraId="00D75427" w14:textId="77777777" w:rsidR="005B131E" w:rsidRPr="00BA7805" w:rsidRDefault="005B131E" w:rsidP="002542E1">
            <w:pPr>
              <w:pStyle w:val="ARfintablebodyrightbold8pt"/>
              <w:rPr>
                <w:highlight w:val="green"/>
              </w:rPr>
            </w:pPr>
            <w:r w:rsidRPr="00427A4E">
              <w:t>13.9</w:t>
            </w:r>
          </w:p>
        </w:tc>
        <w:tc>
          <w:tcPr>
            <w:tcW w:w="710" w:type="dxa"/>
            <w:noWrap/>
          </w:tcPr>
          <w:p w14:paraId="5FC416FC" w14:textId="77777777" w:rsidR="005B131E" w:rsidRPr="00BA7805" w:rsidRDefault="005B131E" w:rsidP="002542E1">
            <w:pPr>
              <w:pStyle w:val="ARfintablebodyrightbold8pt"/>
              <w:rPr>
                <w:highlight w:val="green"/>
              </w:rPr>
            </w:pPr>
            <w:r w:rsidRPr="00427A4E">
              <w:t>27.0</w:t>
            </w:r>
          </w:p>
        </w:tc>
        <w:tc>
          <w:tcPr>
            <w:tcW w:w="710" w:type="dxa"/>
            <w:noWrap/>
          </w:tcPr>
          <w:p w14:paraId="00B2B1F2" w14:textId="77777777" w:rsidR="005B131E" w:rsidRPr="00BA7805" w:rsidRDefault="005B131E" w:rsidP="002542E1">
            <w:pPr>
              <w:pStyle w:val="ARfintablebodyrightbold8pt"/>
              <w:rPr>
                <w:highlight w:val="green"/>
              </w:rPr>
            </w:pPr>
            <w:r w:rsidRPr="00427A4E">
              <w:t>28.2</w:t>
            </w:r>
          </w:p>
        </w:tc>
        <w:tc>
          <w:tcPr>
            <w:tcW w:w="710" w:type="dxa"/>
            <w:noWrap/>
          </w:tcPr>
          <w:p w14:paraId="62613B2C" w14:textId="77777777" w:rsidR="005B131E" w:rsidRPr="00BA7805" w:rsidRDefault="005B131E" w:rsidP="002542E1">
            <w:pPr>
              <w:pStyle w:val="ARfintablebodyrightbold8pt"/>
              <w:rPr>
                <w:highlight w:val="green"/>
              </w:rPr>
            </w:pPr>
            <w:r w:rsidRPr="00427A4E">
              <w:t>26.5</w:t>
            </w:r>
          </w:p>
        </w:tc>
        <w:tc>
          <w:tcPr>
            <w:tcW w:w="710" w:type="dxa"/>
            <w:noWrap/>
          </w:tcPr>
          <w:p w14:paraId="4727F1E8" w14:textId="77777777" w:rsidR="005B131E" w:rsidRPr="00BA7805" w:rsidRDefault="005B131E" w:rsidP="002542E1">
            <w:pPr>
              <w:pStyle w:val="ARfintablebodyrightbold8pt"/>
              <w:rPr>
                <w:highlight w:val="green"/>
              </w:rPr>
            </w:pPr>
            <w:r w:rsidRPr="00427A4E">
              <w:t>726.5</w:t>
            </w:r>
          </w:p>
        </w:tc>
        <w:tc>
          <w:tcPr>
            <w:tcW w:w="710" w:type="dxa"/>
            <w:noWrap/>
          </w:tcPr>
          <w:p w14:paraId="62783E4D" w14:textId="77777777" w:rsidR="005B131E" w:rsidRPr="00BA7805" w:rsidRDefault="005B131E" w:rsidP="002542E1">
            <w:pPr>
              <w:pStyle w:val="ARfintablebodyrightbold8pt"/>
              <w:rPr>
                <w:highlight w:val="green"/>
              </w:rPr>
            </w:pPr>
            <w:r w:rsidRPr="00427A4E">
              <w:t>1,999.0</w:t>
            </w:r>
          </w:p>
        </w:tc>
        <w:tc>
          <w:tcPr>
            <w:tcW w:w="710" w:type="dxa"/>
          </w:tcPr>
          <w:p w14:paraId="39FAF4D4" w14:textId="77777777" w:rsidR="005B131E" w:rsidRPr="00427A4E" w:rsidRDefault="005B131E" w:rsidP="002542E1">
            <w:pPr>
              <w:pStyle w:val="ARfintablebodyrightbold8pt"/>
            </w:pPr>
            <w:r>
              <w:t>(24.1)</w:t>
            </w:r>
          </w:p>
        </w:tc>
        <w:tc>
          <w:tcPr>
            <w:tcW w:w="710" w:type="dxa"/>
            <w:noWrap/>
          </w:tcPr>
          <w:p w14:paraId="6B8F2F39" w14:textId="77777777" w:rsidR="005B131E" w:rsidRPr="00BA7805" w:rsidRDefault="005B131E" w:rsidP="002542E1">
            <w:pPr>
              <w:pStyle w:val="ARfintablebodyrightbold8pt"/>
              <w:rPr>
                <w:highlight w:val="green"/>
              </w:rPr>
            </w:pPr>
            <w:r w:rsidRPr="00427A4E">
              <w:t>6,999.7</w:t>
            </w:r>
          </w:p>
        </w:tc>
      </w:tr>
      <w:tr w:rsidR="005B131E" w:rsidRPr="00BA7805" w14:paraId="13BE8DC9" w14:textId="77777777" w:rsidTr="002542E1">
        <w:trPr>
          <w:trHeight w:val="170"/>
        </w:trPr>
        <w:tc>
          <w:tcPr>
            <w:tcW w:w="2343" w:type="dxa"/>
            <w:tcBorders>
              <w:bottom w:val="single" w:sz="4" w:space="0" w:color="auto"/>
            </w:tcBorders>
          </w:tcPr>
          <w:p w14:paraId="5A005A78" w14:textId="77777777" w:rsidR="005B131E" w:rsidRPr="00BA7805" w:rsidRDefault="005B131E" w:rsidP="002542E1">
            <w:pPr>
              <w:pStyle w:val="ARfintablebodybold8pt"/>
              <w:rPr>
                <w:highlight w:val="green"/>
              </w:rPr>
            </w:pPr>
            <w:r w:rsidRPr="003273BC">
              <w:t>Net result from transactions (net operating balance)</w:t>
            </w:r>
          </w:p>
        </w:tc>
        <w:tc>
          <w:tcPr>
            <w:tcW w:w="711" w:type="dxa"/>
            <w:tcBorders>
              <w:bottom w:val="single" w:sz="4" w:space="0" w:color="auto"/>
            </w:tcBorders>
            <w:noWrap/>
          </w:tcPr>
          <w:p w14:paraId="5A9B8CD4" w14:textId="77777777" w:rsidR="005B131E" w:rsidRPr="00BA7805" w:rsidRDefault="005B131E" w:rsidP="002542E1">
            <w:pPr>
              <w:pStyle w:val="ARfintablebodyrightbold8pt"/>
              <w:rPr>
                <w:highlight w:val="green"/>
              </w:rPr>
            </w:pPr>
            <w:r w:rsidRPr="003273BC">
              <w:t>(43.9)</w:t>
            </w:r>
          </w:p>
        </w:tc>
        <w:tc>
          <w:tcPr>
            <w:tcW w:w="711" w:type="dxa"/>
            <w:tcBorders>
              <w:bottom w:val="single" w:sz="4" w:space="0" w:color="auto"/>
            </w:tcBorders>
            <w:noWrap/>
          </w:tcPr>
          <w:p w14:paraId="1C7675B0" w14:textId="77777777" w:rsidR="005B131E" w:rsidRPr="00BA7805" w:rsidRDefault="005B131E" w:rsidP="002542E1">
            <w:pPr>
              <w:pStyle w:val="ARfintablebodyrightbold8pt"/>
              <w:rPr>
                <w:highlight w:val="green"/>
              </w:rPr>
            </w:pPr>
            <w:r w:rsidRPr="003273BC">
              <w:t>(121.1)</w:t>
            </w:r>
          </w:p>
        </w:tc>
        <w:tc>
          <w:tcPr>
            <w:tcW w:w="711" w:type="dxa"/>
            <w:tcBorders>
              <w:bottom w:val="single" w:sz="4" w:space="0" w:color="auto"/>
            </w:tcBorders>
            <w:noWrap/>
          </w:tcPr>
          <w:p w14:paraId="078D9E28" w14:textId="77777777" w:rsidR="005B131E" w:rsidRPr="00BA7805" w:rsidRDefault="005B131E" w:rsidP="002542E1">
            <w:pPr>
              <w:pStyle w:val="ARfintablebodyrightbold8pt"/>
              <w:rPr>
                <w:highlight w:val="green"/>
              </w:rPr>
            </w:pPr>
            <w:r w:rsidRPr="003273BC">
              <w:t>(4.4)</w:t>
            </w:r>
          </w:p>
        </w:tc>
        <w:tc>
          <w:tcPr>
            <w:tcW w:w="711" w:type="dxa"/>
            <w:tcBorders>
              <w:bottom w:val="single" w:sz="4" w:space="0" w:color="auto"/>
            </w:tcBorders>
            <w:noWrap/>
          </w:tcPr>
          <w:p w14:paraId="5EF9275E" w14:textId="77777777" w:rsidR="005B131E" w:rsidRPr="00BA7805" w:rsidRDefault="005B131E" w:rsidP="002542E1">
            <w:pPr>
              <w:pStyle w:val="ARfintablebodyrightbold8pt"/>
              <w:rPr>
                <w:highlight w:val="green"/>
              </w:rPr>
            </w:pPr>
            <w:r>
              <w:t>–</w:t>
            </w:r>
          </w:p>
        </w:tc>
        <w:tc>
          <w:tcPr>
            <w:tcW w:w="711" w:type="dxa"/>
            <w:tcBorders>
              <w:bottom w:val="single" w:sz="4" w:space="0" w:color="auto"/>
            </w:tcBorders>
            <w:noWrap/>
          </w:tcPr>
          <w:p w14:paraId="17681BE4" w14:textId="77777777" w:rsidR="005B131E" w:rsidRPr="00BA7805" w:rsidRDefault="005B131E" w:rsidP="002542E1">
            <w:pPr>
              <w:pStyle w:val="ARfintablebodyrightbold8pt"/>
              <w:rPr>
                <w:highlight w:val="green"/>
              </w:rPr>
            </w:pPr>
            <w:r w:rsidRPr="003273BC">
              <w:t>0.6</w:t>
            </w:r>
          </w:p>
        </w:tc>
        <w:tc>
          <w:tcPr>
            <w:tcW w:w="711" w:type="dxa"/>
            <w:tcBorders>
              <w:bottom w:val="single" w:sz="4" w:space="0" w:color="auto"/>
            </w:tcBorders>
            <w:noWrap/>
          </w:tcPr>
          <w:p w14:paraId="1002AC09" w14:textId="77777777" w:rsidR="005B131E" w:rsidRPr="00BA7805" w:rsidRDefault="005B131E" w:rsidP="002542E1">
            <w:pPr>
              <w:pStyle w:val="ARfintablebodyrightbold8pt"/>
              <w:rPr>
                <w:highlight w:val="green"/>
              </w:rPr>
            </w:pPr>
            <w:r w:rsidRPr="003273BC">
              <w:t>(1.3)</w:t>
            </w:r>
          </w:p>
        </w:tc>
        <w:tc>
          <w:tcPr>
            <w:tcW w:w="710" w:type="dxa"/>
            <w:tcBorders>
              <w:bottom w:val="single" w:sz="4" w:space="0" w:color="auto"/>
            </w:tcBorders>
            <w:noWrap/>
          </w:tcPr>
          <w:p w14:paraId="518E7D35" w14:textId="77777777" w:rsidR="005B131E" w:rsidRPr="00BA7805" w:rsidRDefault="005B131E" w:rsidP="002542E1">
            <w:pPr>
              <w:pStyle w:val="ARfintablebodyrightbold8pt"/>
              <w:rPr>
                <w:highlight w:val="green"/>
              </w:rPr>
            </w:pPr>
            <w:r>
              <w:t>–</w:t>
            </w:r>
          </w:p>
        </w:tc>
        <w:tc>
          <w:tcPr>
            <w:tcW w:w="710" w:type="dxa"/>
            <w:tcBorders>
              <w:bottom w:val="single" w:sz="4" w:space="0" w:color="auto"/>
            </w:tcBorders>
            <w:noWrap/>
          </w:tcPr>
          <w:p w14:paraId="62662CF9" w14:textId="77777777" w:rsidR="005B131E" w:rsidRPr="00BA7805" w:rsidRDefault="005B131E" w:rsidP="002542E1">
            <w:pPr>
              <w:pStyle w:val="ARfintablebodyrightbold8pt"/>
              <w:rPr>
                <w:highlight w:val="green"/>
              </w:rPr>
            </w:pPr>
            <w:r>
              <w:t>–</w:t>
            </w:r>
          </w:p>
        </w:tc>
        <w:tc>
          <w:tcPr>
            <w:tcW w:w="710" w:type="dxa"/>
            <w:tcBorders>
              <w:bottom w:val="single" w:sz="4" w:space="0" w:color="auto"/>
            </w:tcBorders>
            <w:noWrap/>
          </w:tcPr>
          <w:p w14:paraId="04D83AAE" w14:textId="77777777" w:rsidR="005B131E" w:rsidRPr="00BA7805" w:rsidRDefault="005B131E" w:rsidP="002542E1">
            <w:pPr>
              <w:pStyle w:val="ARfintablebodyrightbold8pt"/>
              <w:rPr>
                <w:highlight w:val="green"/>
              </w:rPr>
            </w:pPr>
            <w:r w:rsidRPr="003273BC">
              <w:t>(0.1)</w:t>
            </w:r>
          </w:p>
        </w:tc>
        <w:tc>
          <w:tcPr>
            <w:tcW w:w="710" w:type="dxa"/>
            <w:tcBorders>
              <w:bottom w:val="single" w:sz="4" w:space="0" w:color="auto"/>
            </w:tcBorders>
            <w:noWrap/>
          </w:tcPr>
          <w:p w14:paraId="764FE01A" w14:textId="77777777" w:rsidR="005B131E" w:rsidRPr="00BA7805" w:rsidRDefault="005B131E" w:rsidP="002542E1">
            <w:pPr>
              <w:pStyle w:val="ARfintablebodyrightbold8pt"/>
              <w:rPr>
                <w:highlight w:val="green"/>
              </w:rPr>
            </w:pPr>
            <w:r w:rsidRPr="003273BC">
              <w:t>2.2</w:t>
            </w:r>
          </w:p>
        </w:tc>
        <w:tc>
          <w:tcPr>
            <w:tcW w:w="710" w:type="dxa"/>
            <w:tcBorders>
              <w:bottom w:val="single" w:sz="4" w:space="0" w:color="auto"/>
            </w:tcBorders>
            <w:noWrap/>
          </w:tcPr>
          <w:p w14:paraId="71553CCE" w14:textId="77777777" w:rsidR="005B131E" w:rsidRPr="00BA7805" w:rsidRDefault="005B131E" w:rsidP="002542E1">
            <w:pPr>
              <w:pStyle w:val="ARfintablebodyrightbold8pt"/>
              <w:rPr>
                <w:highlight w:val="green"/>
              </w:rPr>
            </w:pPr>
            <w:r w:rsidRPr="003273BC">
              <w:t>(0.2)</w:t>
            </w:r>
          </w:p>
        </w:tc>
        <w:tc>
          <w:tcPr>
            <w:tcW w:w="710" w:type="dxa"/>
            <w:tcBorders>
              <w:bottom w:val="single" w:sz="4" w:space="0" w:color="auto"/>
            </w:tcBorders>
            <w:noWrap/>
          </w:tcPr>
          <w:p w14:paraId="6E0A924F" w14:textId="77777777" w:rsidR="005B131E" w:rsidRPr="00BA7805" w:rsidRDefault="005B131E" w:rsidP="002542E1">
            <w:pPr>
              <w:pStyle w:val="ARfintablebodyrightbold8pt"/>
              <w:rPr>
                <w:highlight w:val="green"/>
              </w:rPr>
            </w:pPr>
            <w:r w:rsidRPr="003273BC">
              <w:t>(1.1)</w:t>
            </w:r>
          </w:p>
        </w:tc>
        <w:tc>
          <w:tcPr>
            <w:tcW w:w="710" w:type="dxa"/>
            <w:tcBorders>
              <w:bottom w:val="single" w:sz="4" w:space="0" w:color="auto"/>
            </w:tcBorders>
            <w:noWrap/>
          </w:tcPr>
          <w:p w14:paraId="269BDB0F" w14:textId="77777777" w:rsidR="005B131E" w:rsidRPr="00BA7805" w:rsidRDefault="005B131E" w:rsidP="002542E1">
            <w:pPr>
              <w:pStyle w:val="ARfintablebodyrightbold8pt"/>
              <w:rPr>
                <w:highlight w:val="green"/>
              </w:rPr>
            </w:pPr>
            <w:r w:rsidRPr="003273BC">
              <w:t>(3.8)</w:t>
            </w:r>
          </w:p>
        </w:tc>
        <w:tc>
          <w:tcPr>
            <w:tcW w:w="710" w:type="dxa"/>
            <w:tcBorders>
              <w:bottom w:val="single" w:sz="4" w:space="0" w:color="auto"/>
            </w:tcBorders>
            <w:noWrap/>
          </w:tcPr>
          <w:p w14:paraId="442F99C1" w14:textId="77777777" w:rsidR="005B131E" w:rsidRPr="00BA7805" w:rsidRDefault="005B131E" w:rsidP="002542E1">
            <w:pPr>
              <w:pStyle w:val="ARfintablebodyrightbold8pt"/>
              <w:rPr>
                <w:highlight w:val="green"/>
              </w:rPr>
            </w:pPr>
            <w:r w:rsidRPr="003273BC">
              <w:t>(428.6)</w:t>
            </w:r>
          </w:p>
        </w:tc>
        <w:tc>
          <w:tcPr>
            <w:tcW w:w="710" w:type="dxa"/>
            <w:tcBorders>
              <w:bottom w:val="single" w:sz="4" w:space="0" w:color="auto"/>
            </w:tcBorders>
          </w:tcPr>
          <w:p w14:paraId="712A49A4" w14:textId="77777777" w:rsidR="005B131E" w:rsidRPr="003273BC" w:rsidRDefault="005B131E" w:rsidP="002542E1">
            <w:pPr>
              <w:pStyle w:val="ARfintablebodyrightbold8pt"/>
            </w:pPr>
            <w:r>
              <w:t>–</w:t>
            </w:r>
          </w:p>
        </w:tc>
        <w:tc>
          <w:tcPr>
            <w:tcW w:w="710" w:type="dxa"/>
            <w:tcBorders>
              <w:bottom w:val="single" w:sz="4" w:space="0" w:color="auto"/>
            </w:tcBorders>
            <w:noWrap/>
          </w:tcPr>
          <w:p w14:paraId="7E58122F" w14:textId="77777777" w:rsidR="005B131E" w:rsidRPr="00BA7805" w:rsidRDefault="005B131E" w:rsidP="002542E1">
            <w:pPr>
              <w:pStyle w:val="ARfintablebodyrightbold8pt"/>
              <w:rPr>
                <w:highlight w:val="green"/>
              </w:rPr>
            </w:pPr>
            <w:r w:rsidRPr="003273BC">
              <w:t>(601.7)</w:t>
            </w:r>
          </w:p>
        </w:tc>
      </w:tr>
      <w:tr w:rsidR="005B131E" w:rsidRPr="00BA7805" w14:paraId="3A27AF6D" w14:textId="77777777" w:rsidTr="002542E1">
        <w:trPr>
          <w:trHeight w:val="170"/>
        </w:trPr>
        <w:tc>
          <w:tcPr>
            <w:tcW w:w="13709" w:type="dxa"/>
            <w:gridSpan w:val="17"/>
            <w:tcBorders>
              <w:top w:val="single" w:sz="4" w:space="0" w:color="A6A6A6" w:themeColor="background1" w:themeShade="A6"/>
              <w:bottom w:val="single" w:sz="4" w:space="0" w:color="A6A6A6" w:themeColor="background1" w:themeShade="A6"/>
            </w:tcBorders>
          </w:tcPr>
          <w:p w14:paraId="1052237A" w14:textId="77777777" w:rsidR="005B131E" w:rsidRPr="00BA7805" w:rsidRDefault="005B131E" w:rsidP="002542E1">
            <w:pPr>
              <w:pStyle w:val="ARfintablebodybold8pt"/>
              <w:rPr>
                <w:highlight w:val="green"/>
              </w:rPr>
            </w:pPr>
            <w:r w:rsidRPr="00BB2766">
              <w:t>Other economic flows included in net result</w:t>
            </w:r>
          </w:p>
        </w:tc>
      </w:tr>
      <w:tr w:rsidR="005B131E" w:rsidRPr="00BA7805" w14:paraId="36E57678" w14:textId="77777777" w:rsidTr="002542E1">
        <w:trPr>
          <w:trHeight w:val="170"/>
        </w:trPr>
        <w:tc>
          <w:tcPr>
            <w:tcW w:w="2343" w:type="dxa"/>
            <w:tcBorders>
              <w:top w:val="single" w:sz="4" w:space="0" w:color="A6A6A6" w:themeColor="background1" w:themeShade="A6"/>
              <w:bottom w:val="single" w:sz="4" w:space="0" w:color="A6A6A6" w:themeColor="background1" w:themeShade="A6"/>
            </w:tcBorders>
          </w:tcPr>
          <w:p w14:paraId="1F81B39A" w14:textId="77777777" w:rsidR="005B131E" w:rsidRPr="00BA7805" w:rsidRDefault="005B131E" w:rsidP="002542E1">
            <w:pPr>
              <w:pStyle w:val="ARfintablebody8pt"/>
              <w:rPr>
                <w:highlight w:val="green"/>
              </w:rPr>
            </w:pPr>
            <w:r w:rsidRPr="00522781">
              <w:t xml:space="preserve">Net gain/(loss) on </w:t>
            </w:r>
            <w:r>
              <w:br/>
            </w:r>
            <w:r w:rsidRPr="00522781">
              <w:t>non-financial</w:t>
            </w:r>
            <w:r>
              <w:t> </w:t>
            </w:r>
            <w:r w:rsidRPr="00522781">
              <w:t>assets</w:t>
            </w:r>
          </w:p>
        </w:tc>
        <w:tc>
          <w:tcPr>
            <w:tcW w:w="711" w:type="dxa"/>
            <w:tcBorders>
              <w:top w:val="single" w:sz="4" w:space="0" w:color="A6A6A6" w:themeColor="background1" w:themeShade="A6"/>
              <w:bottom w:val="single" w:sz="4" w:space="0" w:color="A6A6A6" w:themeColor="background1" w:themeShade="A6"/>
            </w:tcBorders>
            <w:noWrap/>
          </w:tcPr>
          <w:p w14:paraId="4DD3EDF7" w14:textId="77777777" w:rsidR="005B131E" w:rsidRPr="00BA7805" w:rsidRDefault="005B131E" w:rsidP="002542E1">
            <w:pPr>
              <w:pStyle w:val="ARfintablebodyright8pt"/>
              <w:rPr>
                <w:highlight w:val="green"/>
              </w:rPr>
            </w:pPr>
            <w:r w:rsidRPr="002B73AC">
              <w:t>0.1</w:t>
            </w:r>
          </w:p>
        </w:tc>
        <w:tc>
          <w:tcPr>
            <w:tcW w:w="711" w:type="dxa"/>
            <w:tcBorders>
              <w:top w:val="single" w:sz="4" w:space="0" w:color="A6A6A6" w:themeColor="background1" w:themeShade="A6"/>
              <w:bottom w:val="single" w:sz="4" w:space="0" w:color="A6A6A6" w:themeColor="background1" w:themeShade="A6"/>
            </w:tcBorders>
            <w:noWrap/>
          </w:tcPr>
          <w:p w14:paraId="565D0076" w14:textId="77777777" w:rsidR="005B131E" w:rsidRPr="00BA7805" w:rsidRDefault="005B131E" w:rsidP="002542E1">
            <w:pPr>
              <w:pStyle w:val="ARfintablebodyright8pt"/>
              <w:rPr>
                <w:highlight w:val="green"/>
              </w:rPr>
            </w:pPr>
            <w:r w:rsidRPr="002B73AC">
              <w:t>5.6</w:t>
            </w:r>
          </w:p>
        </w:tc>
        <w:tc>
          <w:tcPr>
            <w:tcW w:w="711" w:type="dxa"/>
            <w:tcBorders>
              <w:top w:val="single" w:sz="4" w:space="0" w:color="A6A6A6" w:themeColor="background1" w:themeShade="A6"/>
              <w:bottom w:val="single" w:sz="4" w:space="0" w:color="A6A6A6" w:themeColor="background1" w:themeShade="A6"/>
            </w:tcBorders>
            <w:noWrap/>
          </w:tcPr>
          <w:p w14:paraId="48E77FA4"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74188912"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6C4F7737"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A6A6A6" w:themeColor="background1" w:themeShade="A6"/>
            </w:tcBorders>
            <w:noWrap/>
          </w:tcPr>
          <w:p w14:paraId="3F9D669A"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1475F1E6"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0BCDB0C4"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6D03091F"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2881D3C3"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17A5B017"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4A612A70"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0CA5DA7D"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A6A6A6" w:themeColor="background1" w:themeShade="A6"/>
            </w:tcBorders>
            <w:noWrap/>
          </w:tcPr>
          <w:p w14:paraId="51BBB20B" w14:textId="77777777" w:rsidR="005B131E" w:rsidRPr="00BA7805" w:rsidRDefault="005B131E" w:rsidP="002542E1">
            <w:pPr>
              <w:pStyle w:val="ARfintablebodyright8pt"/>
              <w:rPr>
                <w:highlight w:val="green"/>
              </w:rPr>
            </w:pPr>
            <w:r w:rsidRPr="002B73AC">
              <w:t>(14.3)</w:t>
            </w:r>
          </w:p>
        </w:tc>
        <w:tc>
          <w:tcPr>
            <w:tcW w:w="710" w:type="dxa"/>
            <w:tcBorders>
              <w:top w:val="single" w:sz="4" w:space="0" w:color="A6A6A6" w:themeColor="background1" w:themeShade="A6"/>
              <w:bottom w:val="single" w:sz="4" w:space="0" w:color="A6A6A6" w:themeColor="background1" w:themeShade="A6"/>
            </w:tcBorders>
          </w:tcPr>
          <w:p w14:paraId="28AA3886" w14:textId="77777777" w:rsidR="005B131E" w:rsidRPr="002B73AC" w:rsidRDefault="005B131E" w:rsidP="002542E1">
            <w:pPr>
              <w:pStyle w:val="ARfintablebodyright8pt"/>
            </w:pPr>
          </w:p>
        </w:tc>
        <w:tc>
          <w:tcPr>
            <w:tcW w:w="710" w:type="dxa"/>
            <w:tcBorders>
              <w:top w:val="single" w:sz="4" w:space="0" w:color="A6A6A6" w:themeColor="background1" w:themeShade="A6"/>
              <w:bottom w:val="single" w:sz="4" w:space="0" w:color="A6A6A6" w:themeColor="background1" w:themeShade="A6"/>
            </w:tcBorders>
            <w:noWrap/>
          </w:tcPr>
          <w:p w14:paraId="25472F11" w14:textId="77777777" w:rsidR="005B131E" w:rsidRPr="00BA7805" w:rsidRDefault="005B131E" w:rsidP="002542E1">
            <w:pPr>
              <w:pStyle w:val="ARfintablebodyright8pt"/>
              <w:rPr>
                <w:highlight w:val="green"/>
              </w:rPr>
            </w:pPr>
            <w:r w:rsidRPr="002B73AC">
              <w:t>(8.6)</w:t>
            </w:r>
          </w:p>
        </w:tc>
      </w:tr>
      <w:tr w:rsidR="005B131E" w:rsidRPr="00BA7805" w14:paraId="5E45D671" w14:textId="77777777" w:rsidTr="002542E1">
        <w:trPr>
          <w:trHeight w:val="170"/>
        </w:trPr>
        <w:tc>
          <w:tcPr>
            <w:tcW w:w="2343" w:type="dxa"/>
            <w:tcBorders>
              <w:top w:val="single" w:sz="4" w:space="0" w:color="A6A6A6" w:themeColor="background1" w:themeShade="A6"/>
              <w:bottom w:val="single" w:sz="4" w:space="0" w:color="BFBFBF" w:themeColor="background1" w:themeShade="BF"/>
            </w:tcBorders>
          </w:tcPr>
          <w:p w14:paraId="1BFEA486" w14:textId="77777777" w:rsidR="005B131E" w:rsidRPr="00BA7805" w:rsidRDefault="005B131E" w:rsidP="002542E1">
            <w:pPr>
              <w:pStyle w:val="ARfintablebody8pt"/>
              <w:rPr>
                <w:highlight w:val="green"/>
              </w:rPr>
            </w:pPr>
            <w:r w:rsidRPr="00522781">
              <w:t>Net gain/(loss) on financial instruments</w:t>
            </w:r>
          </w:p>
        </w:tc>
        <w:tc>
          <w:tcPr>
            <w:tcW w:w="711" w:type="dxa"/>
            <w:tcBorders>
              <w:top w:val="single" w:sz="4" w:space="0" w:color="A6A6A6" w:themeColor="background1" w:themeShade="A6"/>
              <w:bottom w:val="single" w:sz="4" w:space="0" w:color="BFBFBF" w:themeColor="background1" w:themeShade="BF"/>
            </w:tcBorders>
            <w:noWrap/>
          </w:tcPr>
          <w:p w14:paraId="12FA74BC" w14:textId="77777777" w:rsidR="005B131E" w:rsidRPr="00BA7805" w:rsidRDefault="005B131E" w:rsidP="002542E1">
            <w:pPr>
              <w:pStyle w:val="ARfintablebodyright8pt"/>
              <w:rPr>
                <w:highlight w:val="green"/>
              </w:rPr>
            </w:pPr>
            <w:r w:rsidRPr="002B73AC">
              <w:t>0.1</w:t>
            </w:r>
          </w:p>
        </w:tc>
        <w:tc>
          <w:tcPr>
            <w:tcW w:w="711" w:type="dxa"/>
            <w:tcBorders>
              <w:top w:val="single" w:sz="4" w:space="0" w:color="A6A6A6" w:themeColor="background1" w:themeShade="A6"/>
              <w:bottom w:val="single" w:sz="4" w:space="0" w:color="BFBFBF" w:themeColor="background1" w:themeShade="BF"/>
            </w:tcBorders>
            <w:noWrap/>
          </w:tcPr>
          <w:p w14:paraId="2D5D11C9" w14:textId="77777777" w:rsidR="005B131E" w:rsidRPr="00BA7805" w:rsidRDefault="005B131E" w:rsidP="002542E1">
            <w:pPr>
              <w:pStyle w:val="ARfintablebodyright8pt"/>
              <w:rPr>
                <w:highlight w:val="green"/>
              </w:rPr>
            </w:pPr>
            <w:r w:rsidRPr="002B73AC">
              <w:t>2.0</w:t>
            </w:r>
          </w:p>
        </w:tc>
        <w:tc>
          <w:tcPr>
            <w:tcW w:w="711" w:type="dxa"/>
            <w:tcBorders>
              <w:top w:val="single" w:sz="4" w:space="0" w:color="A6A6A6" w:themeColor="background1" w:themeShade="A6"/>
              <w:bottom w:val="single" w:sz="4" w:space="0" w:color="BFBFBF" w:themeColor="background1" w:themeShade="BF"/>
            </w:tcBorders>
            <w:noWrap/>
          </w:tcPr>
          <w:p w14:paraId="66801C6A"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BFBFBF" w:themeColor="background1" w:themeShade="BF"/>
            </w:tcBorders>
            <w:noWrap/>
          </w:tcPr>
          <w:p w14:paraId="5BCF0AE3"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BFBFBF" w:themeColor="background1" w:themeShade="BF"/>
            </w:tcBorders>
            <w:noWrap/>
          </w:tcPr>
          <w:p w14:paraId="30E19463" w14:textId="77777777" w:rsidR="005B131E" w:rsidRPr="00BA7805" w:rsidRDefault="005B131E" w:rsidP="002542E1">
            <w:pPr>
              <w:pStyle w:val="ARfintablebodyright8pt"/>
              <w:rPr>
                <w:highlight w:val="green"/>
              </w:rPr>
            </w:pPr>
            <w:r>
              <w:t>–</w:t>
            </w:r>
          </w:p>
        </w:tc>
        <w:tc>
          <w:tcPr>
            <w:tcW w:w="711" w:type="dxa"/>
            <w:tcBorders>
              <w:top w:val="single" w:sz="4" w:space="0" w:color="A6A6A6" w:themeColor="background1" w:themeShade="A6"/>
              <w:bottom w:val="single" w:sz="4" w:space="0" w:color="BFBFBF" w:themeColor="background1" w:themeShade="BF"/>
            </w:tcBorders>
            <w:noWrap/>
          </w:tcPr>
          <w:p w14:paraId="59065F59"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6484BAD0"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52FFA377"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342EE745"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066B1025"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54571942"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2C70CD33"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7E7CD74B"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noWrap/>
          </w:tcPr>
          <w:p w14:paraId="165C5A2D" w14:textId="77777777" w:rsidR="005B131E" w:rsidRPr="00BA7805" w:rsidRDefault="005B131E" w:rsidP="002542E1">
            <w:pPr>
              <w:pStyle w:val="ARfintablebodyright8pt"/>
              <w:rPr>
                <w:highlight w:val="green"/>
              </w:rPr>
            </w:pPr>
            <w:r>
              <w:t>–</w:t>
            </w:r>
          </w:p>
        </w:tc>
        <w:tc>
          <w:tcPr>
            <w:tcW w:w="710" w:type="dxa"/>
            <w:tcBorders>
              <w:top w:val="single" w:sz="4" w:space="0" w:color="A6A6A6" w:themeColor="background1" w:themeShade="A6"/>
              <w:bottom w:val="single" w:sz="4" w:space="0" w:color="BFBFBF" w:themeColor="background1" w:themeShade="BF"/>
            </w:tcBorders>
          </w:tcPr>
          <w:p w14:paraId="6FFC229F" w14:textId="77777777" w:rsidR="005B131E" w:rsidRPr="002B73AC" w:rsidRDefault="005B131E" w:rsidP="002542E1">
            <w:pPr>
              <w:pStyle w:val="ARfintablebodyright8pt"/>
            </w:pPr>
          </w:p>
        </w:tc>
        <w:tc>
          <w:tcPr>
            <w:tcW w:w="710" w:type="dxa"/>
            <w:tcBorders>
              <w:top w:val="single" w:sz="4" w:space="0" w:color="A6A6A6" w:themeColor="background1" w:themeShade="A6"/>
              <w:bottom w:val="single" w:sz="4" w:space="0" w:color="BFBFBF" w:themeColor="background1" w:themeShade="BF"/>
            </w:tcBorders>
            <w:noWrap/>
          </w:tcPr>
          <w:p w14:paraId="36C92965" w14:textId="77777777" w:rsidR="005B131E" w:rsidRPr="00BA7805" w:rsidRDefault="005B131E" w:rsidP="002542E1">
            <w:pPr>
              <w:pStyle w:val="ARfintablebodyright8pt"/>
              <w:rPr>
                <w:highlight w:val="green"/>
              </w:rPr>
            </w:pPr>
            <w:r w:rsidRPr="002B73AC">
              <w:t>2.0</w:t>
            </w:r>
          </w:p>
        </w:tc>
      </w:tr>
      <w:tr w:rsidR="005B131E" w:rsidRPr="00BA7805" w14:paraId="41E29713" w14:textId="77777777" w:rsidTr="002542E1">
        <w:trPr>
          <w:trHeight w:val="170"/>
        </w:trPr>
        <w:tc>
          <w:tcPr>
            <w:tcW w:w="2343" w:type="dxa"/>
            <w:tcBorders>
              <w:top w:val="single" w:sz="4" w:space="0" w:color="BFBFBF" w:themeColor="background1" w:themeShade="BF"/>
            </w:tcBorders>
          </w:tcPr>
          <w:p w14:paraId="38408338" w14:textId="77777777" w:rsidR="005B131E" w:rsidRPr="00BA7805" w:rsidRDefault="005B131E" w:rsidP="002542E1">
            <w:pPr>
              <w:pStyle w:val="ARfintablebody8pt"/>
              <w:rPr>
                <w:highlight w:val="green"/>
              </w:rPr>
            </w:pPr>
            <w:r w:rsidRPr="00522781">
              <w:t>Other gains/(losses) from other economic flows</w:t>
            </w:r>
          </w:p>
        </w:tc>
        <w:tc>
          <w:tcPr>
            <w:tcW w:w="711" w:type="dxa"/>
            <w:tcBorders>
              <w:top w:val="single" w:sz="4" w:space="0" w:color="BFBFBF" w:themeColor="background1" w:themeShade="BF"/>
            </w:tcBorders>
            <w:noWrap/>
          </w:tcPr>
          <w:p w14:paraId="1DF6D0D7" w14:textId="77777777" w:rsidR="005B131E" w:rsidRPr="00BA7805" w:rsidRDefault="005B131E" w:rsidP="002542E1">
            <w:pPr>
              <w:pStyle w:val="ARfintablebodyright8pt"/>
              <w:rPr>
                <w:highlight w:val="green"/>
              </w:rPr>
            </w:pPr>
            <w:r w:rsidRPr="002B73AC">
              <w:t>(4.1)</w:t>
            </w:r>
          </w:p>
        </w:tc>
        <w:tc>
          <w:tcPr>
            <w:tcW w:w="711" w:type="dxa"/>
            <w:tcBorders>
              <w:top w:val="single" w:sz="4" w:space="0" w:color="BFBFBF" w:themeColor="background1" w:themeShade="BF"/>
            </w:tcBorders>
            <w:noWrap/>
          </w:tcPr>
          <w:p w14:paraId="20B68540" w14:textId="77777777" w:rsidR="005B131E" w:rsidRPr="00BA7805" w:rsidRDefault="005B131E" w:rsidP="002542E1">
            <w:pPr>
              <w:pStyle w:val="ARfintablebodyright8pt"/>
              <w:rPr>
                <w:highlight w:val="green"/>
              </w:rPr>
            </w:pPr>
            <w:r w:rsidRPr="002B73AC">
              <w:t>(23.1)</w:t>
            </w:r>
          </w:p>
        </w:tc>
        <w:tc>
          <w:tcPr>
            <w:tcW w:w="711" w:type="dxa"/>
            <w:tcBorders>
              <w:top w:val="single" w:sz="4" w:space="0" w:color="BFBFBF" w:themeColor="background1" w:themeShade="BF"/>
            </w:tcBorders>
            <w:noWrap/>
          </w:tcPr>
          <w:p w14:paraId="1522A41F" w14:textId="77777777" w:rsidR="005B131E" w:rsidRPr="00BA7805" w:rsidRDefault="005B131E" w:rsidP="002542E1">
            <w:pPr>
              <w:pStyle w:val="ARfintablebodyright8pt"/>
              <w:rPr>
                <w:highlight w:val="green"/>
              </w:rPr>
            </w:pPr>
            <w:r w:rsidRPr="00EE3FFC">
              <w:t>–</w:t>
            </w:r>
          </w:p>
        </w:tc>
        <w:tc>
          <w:tcPr>
            <w:tcW w:w="711" w:type="dxa"/>
            <w:tcBorders>
              <w:top w:val="single" w:sz="4" w:space="0" w:color="BFBFBF" w:themeColor="background1" w:themeShade="BF"/>
            </w:tcBorders>
            <w:noWrap/>
          </w:tcPr>
          <w:p w14:paraId="6CFEF1C1" w14:textId="77777777" w:rsidR="005B131E" w:rsidRPr="00BA7805" w:rsidRDefault="005B131E" w:rsidP="002542E1">
            <w:pPr>
              <w:pStyle w:val="ARfintablebodyright8pt"/>
              <w:rPr>
                <w:highlight w:val="green"/>
              </w:rPr>
            </w:pPr>
            <w:r w:rsidRPr="00EE3FFC">
              <w:t>–</w:t>
            </w:r>
          </w:p>
        </w:tc>
        <w:tc>
          <w:tcPr>
            <w:tcW w:w="711" w:type="dxa"/>
            <w:tcBorders>
              <w:top w:val="single" w:sz="4" w:space="0" w:color="BFBFBF" w:themeColor="background1" w:themeShade="BF"/>
            </w:tcBorders>
            <w:noWrap/>
          </w:tcPr>
          <w:p w14:paraId="0B8D77AC" w14:textId="77777777" w:rsidR="005B131E" w:rsidRPr="00BA7805" w:rsidRDefault="005B131E" w:rsidP="002542E1">
            <w:pPr>
              <w:pStyle w:val="ARfintablebodyright8pt"/>
              <w:rPr>
                <w:highlight w:val="green"/>
              </w:rPr>
            </w:pPr>
            <w:r w:rsidRPr="00EE3FFC">
              <w:t>–</w:t>
            </w:r>
          </w:p>
        </w:tc>
        <w:tc>
          <w:tcPr>
            <w:tcW w:w="711" w:type="dxa"/>
            <w:tcBorders>
              <w:top w:val="single" w:sz="4" w:space="0" w:color="BFBFBF" w:themeColor="background1" w:themeShade="BF"/>
            </w:tcBorders>
            <w:noWrap/>
          </w:tcPr>
          <w:p w14:paraId="4D34AD04" w14:textId="77777777" w:rsidR="005B131E" w:rsidRPr="00BA7805" w:rsidRDefault="005B131E" w:rsidP="002542E1">
            <w:pPr>
              <w:pStyle w:val="ARfintablebodyright8pt"/>
              <w:rPr>
                <w:highlight w:val="green"/>
              </w:rPr>
            </w:pPr>
            <w:r w:rsidRPr="00EE3FFC">
              <w:t>–</w:t>
            </w:r>
          </w:p>
        </w:tc>
        <w:tc>
          <w:tcPr>
            <w:tcW w:w="710" w:type="dxa"/>
            <w:tcBorders>
              <w:top w:val="single" w:sz="4" w:space="0" w:color="BFBFBF" w:themeColor="background1" w:themeShade="BF"/>
            </w:tcBorders>
            <w:noWrap/>
          </w:tcPr>
          <w:p w14:paraId="78DE60BF" w14:textId="77777777" w:rsidR="005B131E" w:rsidRPr="00BA7805" w:rsidRDefault="005B131E" w:rsidP="002542E1">
            <w:pPr>
              <w:pStyle w:val="ARfintablebodyright8pt"/>
              <w:rPr>
                <w:highlight w:val="green"/>
              </w:rPr>
            </w:pPr>
            <w:r w:rsidRPr="00EE3FFC">
              <w:t>–</w:t>
            </w:r>
          </w:p>
        </w:tc>
        <w:tc>
          <w:tcPr>
            <w:tcW w:w="710" w:type="dxa"/>
            <w:tcBorders>
              <w:top w:val="single" w:sz="4" w:space="0" w:color="BFBFBF" w:themeColor="background1" w:themeShade="BF"/>
            </w:tcBorders>
            <w:noWrap/>
          </w:tcPr>
          <w:p w14:paraId="0632679E" w14:textId="77777777" w:rsidR="005B131E" w:rsidRPr="00BA7805" w:rsidRDefault="005B131E" w:rsidP="002542E1">
            <w:pPr>
              <w:pStyle w:val="ARfintablebodyright8pt"/>
              <w:rPr>
                <w:highlight w:val="green"/>
              </w:rPr>
            </w:pPr>
            <w:r w:rsidRPr="00EE3FFC">
              <w:t>–</w:t>
            </w:r>
          </w:p>
        </w:tc>
        <w:tc>
          <w:tcPr>
            <w:tcW w:w="710" w:type="dxa"/>
            <w:tcBorders>
              <w:top w:val="single" w:sz="4" w:space="0" w:color="BFBFBF" w:themeColor="background1" w:themeShade="BF"/>
            </w:tcBorders>
            <w:noWrap/>
          </w:tcPr>
          <w:p w14:paraId="56BDBEFC" w14:textId="77777777" w:rsidR="005B131E" w:rsidRPr="00BA7805" w:rsidRDefault="005B131E" w:rsidP="002542E1">
            <w:pPr>
              <w:pStyle w:val="ARfintablebodyright8pt"/>
              <w:rPr>
                <w:highlight w:val="green"/>
              </w:rPr>
            </w:pPr>
            <w:r w:rsidRPr="00EE3FFC">
              <w:t>–</w:t>
            </w:r>
          </w:p>
        </w:tc>
        <w:tc>
          <w:tcPr>
            <w:tcW w:w="710" w:type="dxa"/>
            <w:tcBorders>
              <w:top w:val="single" w:sz="4" w:space="0" w:color="BFBFBF" w:themeColor="background1" w:themeShade="BF"/>
            </w:tcBorders>
            <w:noWrap/>
          </w:tcPr>
          <w:p w14:paraId="4854B84A" w14:textId="77777777" w:rsidR="005B131E" w:rsidRPr="00BA7805" w:rsidRDefault="005B131E" w:rsidP="002542E1">
            <w:pPr>
              <w:pStyle w:val="ARfintablebodyright8pt"/>
              <w:rPr>
                <w:highlight w:val="green"/>
              </w:rPr>
            </w:pPr>
            <w:r w:rsidRPr="00EE3FFC">
              <w:t>–</w:t>
            </w:r>
          </w:p>
        </w:tc>
        <w:tc>
          <w:tcPr>
            <w:tcW w:w="710" w:type="dxa"/>
            <w:tcBorders>
              <w:top w:val="single" w:sz="4" w:space="0" w:color="BFBFBF" w:themeColor="background1" w:themeShade="BF"/>
            </w:tcBorders>
            <w:noWrap/>
          </w:tcPr>
          <w:p w14:paraId="752EDA8D" w14:textId="77777777" w:rsidR="005B131E" w:rsidRPr="00BA7805" w:rsidRDefault="005B131E" w:rsidP="002542E1">
            <w:pPr>
              <w:pStyle w:val="ARfintablebodyright8pt"/>
              <w:rPr>
                <w:highlight w:val="green"/>
              </w:rPr>
            </w:pPr>
            <w:r w:rsidRPr="00EE3FFC">
              <w:t>–</w:t>
            </w:r>
          </w:p>
        </w:tc>
        <w:tc>
          <w:tcPr>
            <w:tcW w:w="710" w:type="dxa"/>
            <w:tcBorders>
              <w:top w:val="single" w:sz="4" w:space="0" w:color="BFBFBF" w:themeColor="background1" w:themeShade="BF"/>
            </w:tcBorders>
            <w:noWrap/>
          </w:tcPr>
          <w:p w14:paraId="2183541A" w14:textId="77777777" w:rsidR="005B131E" w:rsidRPr="00BA7805" w:rsidRDefault="005B131E" w:rsidP="002542E1">
            <w:pPr>
              <w:pStyle w:val="ARfintablebodyright8pt"/>
              <w:rPr>
                <w:highlight w:val="green"/>
              </w:rPr>
            </w:pPr>
            <w:r w:rsidRPr="00EE3FFC">
              <w:t>–</w:t>
            </w:r>
          </w:p>
        </w:tc>
        <w:tc>
          <w:tcPr>
            <w:tcW w:w="710" w:type="dxa"/>
            <w:tcBorders>
              <w:top w:val="single" w:sz="4" w:space="0" w:color="BFBFBF" w:themeColor="background1" w:themeShade="BF"/>
            </w:tcBorders>
            <w:noWrap/>
          </w:tcPr>
          <w:p w14:paraId="463E2D1B" w14:textId="77777777" w:rsidR="005B131E" w:rsidRPr="00BA7805" w:rsidRDefault="005B131E" w:rsidP="002542E1">
            <w:pPr>
              <w:pStyle w:val="ARfintablebodyright8pt"/>
              <w:rPr>
                <w:highlight w:val="green"/>
              </w:rPr>
            </w:pPr>
            <w:r w:rsidRPr="002B73AC">
              <w:t>(0.1)</w:t>
            </w:r>
          </w:p>
        </w:tc>
        <w:tc>
          <w:tcPr>
            <w:tcW w:w="710" w:type="dxa"/>
            <w:tcBorders>
              <w:top w:val="single" w:sz="4" w:space="0" w:color="BFBFBF" w:themeColor="background1" w:themeShade="BF"/>
            </w:tcBorders>
            <w:noWrap/>
          </w:tcPr>
          <w:p w14:paraId="5A553F78" w14:textId="77777777" w:rsidR="005B131E" w:rsidRPr="00BA7805" w:rsidRDefault="005B131E" w:rsidP="002542E1">
            <w:pPr>
              <w:pStyle w:val="ARfintablebodyright8pt"/>
              <w:rPr>
                <w:highlight w:val="green"/>
              </w:rPr>
            </w:pPr>
            <w:r w:rsidRPr="002B73AC">
              <w:t>(2.7)</w:t>
            </w:r>
          </w:p>
        </w:tc>
        <w:tc>
          <w:tcPr>
            <w:tcW w:w="710" w:type="dxa"/>
            <w:tcBorders>
              <w:top w:val="single" w:sz="4" w:space="0" w:color="BFBFBF" w:themeColor="background1" w:themeShade="BF"/>
            </w:tcBorders>
          </w:tcPr>
          <w:p w14:paraId="1370D68F" w14:textId="77777777" w:rsidR="005B131E" w:rsidRPr="002B73AC" w:rsidRDefault="005B131E" w:rsidP="002542E1">
            <w:pPr>
              <w:pStyle w:val="ARfintablebodyright8pt"/>
            </w:pPr>
          </w:p>
        </w:tc>
        <w:tc>
          <w:tcPr>
            <w:tcW w:w="710" w:type="dxa"/>
            <w:tcBorders>
              <w:top w:val="single" w:sz="4" w:space="0" w:color="BFBFBF" w:themeColor="background1" w:themeShade="BF"/>
            </w:tcBorders>
            <w:noWrap/>
          </w:tcPr>
          <w:p w14:paraId="6AE3D801" w14:textId="77777777" w:rsidR="005B131E" w:rsidRPr="00BA7805" w:rsidRDefault="005B131E" w:rsidP="002542E1">
            <w:pPr>
              <w:pStyle w:val="ARfintablebodyright8pt"/>
              <w:rPr>
                <w:highlight w:val="green"/>
              </w:rPr>
            </w:pPr>
            <w:r w:rsidRPr="002B73AC">
              <w:t>(30.1)</w:t>
            </w:r>
          </w:p>
        </w:tc>
      </w:tr>
      <w:tr w:rsidR="005B131E" w:rsidRPr="00BA7805" w14:paraId="27BF848E" w14:textId="77777777" w:rsidTr="002542E1">
        <w:trPr>
          <w:trHeight w:val="170"/>
        </w:trPr>
        <w:tc>
          <w:tcPr>
            <w:tcW w:w="2343" w:type="dxa"/>
            <w:tcBorders>
              <w:bottom w:val="single" w:sz="4" w:space="0" w:color="auto"/>
            </w:tcBorders>
          </w:tcPr>
          <w:p w14:paraId="2CCA7F5B" w14:textId="77777777" w:rsidR="005B131E" w:rsidRPr="00BA7805" w:rsidRDefault="005B131E" w:rsidP="002542E1">
            <w:pPr>
              <w:pStyle w:val="ARfintablebodybold8pt"/>
              <w:rPr>
                <w:highlight w:val="green"/>
              </w:rPr>
            </w:pPr>
            <w:r w:rsidRPr="00522781">
              <w:t>Total other economic flows included in net result</w:t>
            </w:r>
          </w:p>
        </w:tc>
        <w:tc>
          <w:tcPr>
            <w:tcW w:w="711" w:type="dxa"/>
            <w:tcBorders>
              <w:bottom w:val="single" w:sz="4" w:space="0" w:color="auto"/>
            </w:tcBorders>
            <w:noWrap/>
          </w:tcPr>
          <w:p w14:paraId="6F849C86" w14:textId="77777777" w:rsidR="005B131E" w:rsidRPr="00BA7805" w:rsidRDefault="005B131E" w:rsidP="002542E1">
            <w:pPr>
              <w:pStyle w:val="ARfintablebodyrightbold8pt"/>
              <w:rPr>
                <w:highlight w:val="green"/>
              </w:rPr>
            </w:pPr>
            <w:r w:rsidRPr="002B73AC">
              <w:t>(4.0)</w:t>
            </w:r>
          </w:p>
        </w:tc>
        <w:tc>
          <w:tcPr>
            <w:tcW w:w="711" w:type="dxa"/>
            <w:tcBorders>
              <w:bottom w:val="single" w:sz="4" w:space="0" w:color="auto"/>
            </w:tcBorders>
            <w:noWrap/>
          </w:tcPr>
          <w:p w14:paraId="4D75B20C" w14:textId="77777777" w:rsidR="005B131E" w:rsidRPr="00BA7805" w:rsidRDefault="005B131E" w:rsidP="002542E1">
            <w:pPr>
              <w:pStyle w:val="ARfintablebodyrightbold8pt"/>
              <w:rPr>
                <w:highlight w:val="green"/>
              </w:rPr>
            </w:pPr>
            <w:r w:rsidRPr="002B73AC">
              <w:t>(15.5)</w:t>
            </w:r>
          </w:p>
        </w:tc>
        <w:tc>
          <w:tcPr>
            <w:tcW w:w="711" w:type="dxa"/>
            <w:tcBorders>
              <w:bottom w:val="single" w:sz="4" w:space="0" w:color="auto"/>
            </w:tcBorders>
            <w:noWrap/>
          </w:tcPr>
          <w:p w14:paraId="373C4975" w14:textId="77777777" w:rsidR="005B131E" w:rsidRPr="00BA7805" w:rsidRDefault="005B131E" w:rsidP="002542E1">
            <w:pPr>
              <w:pStyle w:val="ARfintablebodyrightbold8pt"/>
              <w:rPr>
                <w:highlight w:val="green"/>
              </w:rPr>
            </w:pPr>
            <w:r w:rsidRPr="002A440E">
              <w:t>–</w:t>
            </w:r>
          </w:p>
        </w:tc>
        <w:tc>
          <w:tcPr>
            <w:tcW w:w="711" w:type="dxa"/>
            <w:tcBorders>
              <w:bottom w:val="single" w:sz="4" w:space="0" w:color="auto"/>
            </w:tcBorders>
            <w:noWrap/>
          </w:tcPr>
          <w:p w14:paraId="1EDAD1D7" w14:textId="77777777" w:rsidR="005B131E" w:rsidRPr="00BA7805" w:rsidRDefault="005B131E" w:rsidP="002542E1">
            <w:pPr>
              <w:pStyle w:val="ARfintablebodyrightbold8pt"/>
              <w:rPr>
                <w:highlight w:val="green"/>
              </w:rPr>
            </w:pPr>
            <w:r w:rsidRPr="002A440E">
              <w:t>–</w:t>
            </w:r>
          </w:p>
        </w:tc>
        <w:tc>
          <w:tcPr>
            <w:tcW w:w="711" w:type="dxa"/>
            <w:tcBorders>
              <w:bottom w:val="single" w:sz="4" w:space="0" w:color="auto"/>
            </w:tcBorders>
            <w:noWrap/>
          </w:tcPr>
          <w:p w14:paraId="4BB0F1C2" w14:textId="77777777" w:rsidR="005B131E" w:rsidRPr="00BA7805" w:rsidRDefault="005B131E" w:rsidP="002542E1">
            <w:pPr>
              <w:pStyle w:val="ARfintablebodyrightbold8pt"/>
              <w:rPr>
                <w:highlight w:val="green"/>
              </w:rPr>
            </w:pPr>
            <w:r w:rsidRPr="002A440E">
              <w:t>–</w:t>
            </w:r>
          </w:p>
        </w:tc>
        <w:tc>
          <w:tcPr>
            <w:tcW w:w="711" w:type="dxa"/>
            <w:tcBorders>
              <w:bottom w:val="single" w:sz="4" w:space="0" w:color="auto"/>
            </w:tcBorders>
            <w:noWrap/>
          </w:tcPr>
          <w:p w14:paraId="5E377259" w14:textId="77777777" w:rsidR="005B131E" w:rsidRPr="00BA7805" w:rsidRDefault="005B131E" w:rsidP="002542E1">
            <w:pPr>
              <w:pStyle w:val="ARfintablebodyrightbold8pt"/>
              <w:rPr>
                <w:highlight w:val="green"/>
              </w:rPr>
            </w:pPr>
            <w:r w:rsidRPr="002A440E">
              <w:t>–</w:t>
            </w:r>
          </w:p>
        </w:tc>
        <w:tc>
          <w:tcPr>
            <w:tcW w:w="710" w:type="dxa"/>
            <w:tcBorders>
              <w:bottom w:val="single" w:sz="4" w:space="0" w:color="auto"/>
            </w:tcBorders>
            <w:noWrap/>
          </w:tcPr>
          <w:p w14:paraId="102A9621" w14:textId="77777777" w:rsidR="005B131E" w:rsidRPr="00BA7805" w:rsidRDefault="005B131E" w:rsidP="002542E1">
            <w:pPr>
              <w:pStyle w:val="ARfintablebodyrightbold8pt"/>
              <w:rPr>
                <w:highlight w:val="green"/>
              </w:rPr>
            </w:pPr>
            <w:r w:rsidRPr="002A440E">
              <w:t>–</w:t>
            </w:r>
          </w:p>
        </w:tc>
        <w:tc>
          <w:tcPr>
            <w:tcW w:w="710" w:type="dxa"/>
            <w:tcBorders>
              <w:bottom w:val="single" w:sz="4" w:space="0" w:color="auto"/>
            </w:tcBorders>
            <w:noWrap/>
          </w:tcPr>
          <w:p w14:paraId="4CCE22A4" w14:textId="77777777" w:rsidR="005B131E" w:rsidRPr="00BA7805" w:rsidRDefault="005B131E" w:rsidP="002542E1">
            <w:pPr>
              <w:pStyle w:val="ARfintablebodyrightbold8pt"/>
              <w:rPr>
                <w:highlight w:val="green"/>
              </w:rPr>
            </w:pPr>
            <w:r w:rsidRPr="002A440E">
              <w:t>–</w:t>
            </w:r>
          </w:p>
        </w:tc>
        <w:tc>
          <w:tcPr>
            <w:tcW w:w="710" w:type="dxa"/>
            <w:tcBorders>
              <w:bottom w:val="single" w:sz="4" w:space="0" w:color="auto"/>
            </w:tcBorders>
            <w:noWrap/>
          </w:tcPr>
          <w:p w14:paraId="1B13BF54" w14:textId="77777777" w:rsidR="005B131E" w:rsidRPr="00BA7805" w:rsidRDefault="005B131E" w:rsidP="002542E1">
            <w:pPr>
              <w:pStyle w:val="ARfintablebodyrightbold8pt"/>
              <w:rPr>
                <w:highlight w:val="green"/>
              </w:rPr>
            </w:pPr>
            <w:r w:rsidRPr="002A440E">
              <w:t>–</w:t>
            </w:r>
          </w:p>
        </w:tc>
        <w:tc>
          <w:tcPr>
            <w:tcW w:w="710" w:type="dxa"/>
            <w:tcBorders>
              <w:bottom w:val="single" w:sz="4" w:space="0" w:color="auto"/>
            </w:tcBorders>
            <w:noWrap/>
          </w:tcPr>
          <w:p w14:paraId="5F9FB382" w14:textId="77777777" w:rsidR="005B131E" w:rsidRPr="00BA7805" w:rsidRDefault="005B131E" w:rsidP="002542E1">
            <w:pPr>
              <w:pStyle w:val="ARfintablebodyrightbold8pt"/>
              <w:rPr>
                <w:highlight w:val="green"/>
              </w:rPr>
            </w:pPr>
            <w:r w:rsidRPr="002A440E">
              <w:t>–</w:t>
            </w:r>
          </w:p>
        </w:tc>
        <w:tc>
          <w:tcPr>
            <w:tcW w:w="710" w:type="dxa"/>
            <w:tcBorders>
              <w:bottom w:val="single" w:sz="4" w:space="0" w:color="auto"/>
            </w:tcBorders>
            <w:noWrap/>
          </w:tcPr>
          <w:p w14:paraId="0CB672B3" w14:textId="77777777" w:rsidR="005B131E" w:rsidRPr="00BA7805" w:rsidRDefault="005B131E" w:rsidP="002542E1">
            <w:pPr>
              <w:pStyle w:val="ARfintablebodyrightbold8pt"/>
              <w:rPr>
                <w:highlight w:val="green"/>
              </w:rPr>
            </w:pPr>
            <w:r w:rsidRPr="002A440E">
              <w:t>–</w:t>
            </w:r>
          </w:p>
        </w:tc>
        <w:tc>
          <w:tcPr>
            <w:tcW w:w="710" w:type="dxa"/>
            <w:tcBorders>
              <w:bottom w:val="single" w:sz="4" w:space="0" w:color="auto"/>
            </w:tcBorders>
            <w:noWrap/>
          </w:tcPr>
          <w:p w14:paraId="4E5AE2CA" w14:textId="77777777" w:rsidR="005B131E" w:rsidRPr="00BA7805" w:rsidRDefault="005B131E" w:rsidP="002542E1">
            <w:pPr>
              <w:pStyle w:val="ARfintablebodyrightbold8pt"/>
              <w:rPr>
                <w:highlight w:val="green"/>
              </w:rPr>
            </w:pPr>
            <w:r w:rsidRPr="002A440E">
              <w:t>–</w:t>
            </w:r>
          </w:p>
        </w:tc>
        <w:tc>
          <w:tcPr>
            <w:tcW w:w="710" w:type="dxa"/>
            <w:tcBorders>
              <w:bottom w:val="single" w:sz="4" w:space="0" w:color="auto"/>
            </w:tcBorders>
            <w:noWrap/>
          </w:tcPr>
          <w:p w14:paraId="0FBB4E34" w14:textId="77777777" w:rsidR="005B131E" w:rsidRPr="00BA7805" w:rsidRDefault="005B131E" w:rsidP="002542E1">
            <w:pPr>
              <w:pStyle w:val="ARfintablebodyrightbold8pt"/>
              <w:rPr>
                <w:highlight w:val="green"/>
              </w:rPr>
            </w:pPr>
            <w:r w:rsidRPr="002B73AC">
              <w:t>(0.1)</w:t>
            </w:r>
          </w:p>
        </w:tc>
        <w:tc>
          <w:tcPr>
            <w:tcW w:w="710" w:type="dxa"/>
            <w:tcBorders>
              <w:bottom w:val="single" w:sz="4" w:space="0" w:color="auto"/>
            </w:tcBorders>
            <w:noWrap/>
          </w:tcPr>
          <w:p w14:paraId="1FB3ED2C" w14:textId="77777777" w:rsidR="005B131E" w:rsidRPr="00BA7805" w:rsidRDefault="005B131E" w:rsidP="002542E1">
            <w:pPr>
              <w:pStyle w:val="ARfintablebodyrightbold8pt"/>
              <w:rPr>
                <w:highlight w:val="green"/>
              </w:rPr>
            </w:pPr>
            <w:r w:rsidRPr="002B73AC">
              <w:t>(17.0)</w:t>
            </w:r>
          </w:p>
        </w:tc>
        <w:tc>
          <w:tcPr>
            <w:tcW w:w="710" w:type="dxa"/>
            <w:tcBorders>
              <w:bottom w:val="single" w:sz="4" w:space="0" w:color="auto"/>
            </w:tcBorders>
          </w:tcPr>
          <w:p w14:paraId="549E6103" w14:textId="77777777" w:rsidR="005B131E" w:rsidRPr="002B73AC" w:rsidRDefault="005B131E" w:rsidP="002542E1">
            <w:pPr>
              <w:pStyle w:val="ARfintablebodyrightbold8pt"/>
            </w:pPr>
            <w:r>
              <w:t>–</w:t>
            </w:r>
          </w:p>
        </w:tc>
        <w:tc>
          <w:tcPr>
            <w:tcW w:w="710" w:type="dxa"/>
            <w:tcBorders>
              <w:bottom w:val="single" w:sz="4" w:space="0" w:color="auto"/>
            </w:tcBorders>
            <w:noWrap/>
          </w:tcPr>
          <w:p w14:paraId="5AFC9A7D" w14:textId="77777777" w:rsidR="005B131E" w:rsidRPr="00BA7805" w:rsidRDefault="005B131E" w:rsidP="002542E1">
            <w:pPr>
              <w:pStyle w:val="ARfintablebodyrightbold8pt"/>
              <w:rPr>
                <w:highlight w:val="green"/>
              </w:rPr>
            </w:pPr>
            <w:r w:rsidRPr="002B73AC">
              <w:t>(36.7)</w:t>
            </w:r>
          </w:p>
        </w:tc>
      </w:tr>
      <w:tr w:rsidR="005B131E" w:rsidRPr="00BA7805" w14:paraId="17893778" w14:textId="77777777" w:rsidTr="002542E1">
        <w:trPr>
          <w:trHeight w:val="170"/>
        </w:trPr>
        <w:tc>
          <w:tcPr>
            <w:tcW w:w="2343" w:type="dxa"/>
            <w:tcBorders>
              <w:top w:val="single" w:sz="4" w:space="0" w:color="A6A6A6" w:themeColor="background1" w:themeShade="A6"/>
              <w:bottom w:val="single" w:sz="4" w:space="0" w:color="auto"/>
            </w:tcBorders>
          </w:tcPr>
          <w:p w14:paraId="794CF893" w14:textId="77777777" w:rsidR="005B131E" w:rsidRPr="00BA7805" w:rsidRDefault="005B131E" w:rsidP="002542E1">
            <w:pPr>
              <w:pStyle w:val="ARfintablebodybold8pt"/>
              <w:rPr>
                <w:highlight w:val="green"/>
              </w:rPr>
            </w:pPr>
            <w:r w:rsidRPr="00522781">
              <w:t>Net result</w:t>
            </w:r>
          </w:p>
        </w:tc>
        <w:tc>
          <w:tcPr>
            <w:tcW w:w="711" w:type="dxa"/>
            <w:tcBorders>
              <w:top w:val="single" w:sz="4" w:space="0" w:color="A6A6A6" w:themeColor="background1" w:themeShade="A6"/>
              <w:bottom w:val="single" w:sz="4" w:space="0" w:color="auto"/>
            </w:tcBorders>
            <w:noWrap/>
          </w:tcPr>
          <w:p w14:paraId="18E91A10" w14:textId="77777777" w:rsidR="005B131E" w:rsidRPr="00BA7805" w:rsidRDefault="005B131E" w:rsidP="002542E1">
            <w:pPr>
              <w:pStyle w:val="ARfintablebodyrightbold8pt"/>
              <w:rPr>
                <w:color w:val="000000" w:themeColor="text1"/>
                <w:highlight w:val="green"/>
              </w:rPr>
            </w:pPr>
            <w:r w:rsidRPr="002B73AC">
              <w:t>(47.8)</w:t>
            </w:r>
          </w:p>
        </w:tc>
        <w:tc>
          <w:tcPr>
            <w:tcW w:w="711" w:type="dxa"/>
            <w:tcBorders>
              <w:top w:val="single" w:sz="4" w:space="0" w:color="A6A6A6" w:themeColor="background1" w:themeShade="A6"/>
              <w:bottom w:val="single" w:sz="4" w:space="0" w:color="auto"/>
            </w:tcBorders>
            <w:noWrap/>
          </w:tcPr>
          <w:p w14:paraId="419998A0" w14:textId="77777777" w:rsidR="005B131E" w:rsidRPr="00BA7805" w:rsidRDefault="005B131E" w:rsidP="002542E1">
            <w:pPr>
              <w:pStyle w:val="ARfintablebodyrightbold8pt"/>
              <w:rPr>
                <w:highlight w:val="green"/>
              </w:rPr>
            </w:pPr>
            <w:r w:rsidRPr="002B73AC">
              <w:t>(136.5)</w:t>
            </w:r>
          </w:p>
        </w:tc>
        <w:tc>
          <w:tcPr>
            <w:tcW w:w="711" w:type="dxa"/>
            <w:tcBorders>
              <w:top w:val="single" w:sz="4" w:space="0" w:color="A6A6A6" w:themeColor="background1" w:themeShade="A6"/>
              <w:bottom w:val="single" w:sz="4" w:space="0" w:color="auto"/>
            </w:tcBorders>
            <w:noWrap/>
          </w:tcPr>
          <w:p w14:paraId="3C811089" w14:textId="77777777" w:rsidR="005B131E" w:rsidRPr="00BA7805" w:rsidRDefault="005B131E" w:rsidP="002542E1">
            <w:pPr>
              <w:pStyle w:val="ARfintablebodyrightbold8pt"/>
              <w:rPr>
                <w:highlight w:val="green"/>
              </w:rPr>
            </w:pPr>
            <w:r w:rsidRPr="002B73AC">
              <w:t>(4.4)</w:t>
            </w:r>
          </w:p>
        </w:tc>
        <w:tc>
          <w:tcPr>
            <w:tcW w:w="711" w:type="dxa"/>
            <w:tcBorders>
              <w:top w:val="single" w:sz="4" w:space="0" w:color="A6A6A6" w:themeColor="background1" w:themeShade="A6"/>
              <w:bottom w:val="single" w:sz="4" w:space="0" w:color="auto"/>
            </w:tcBorders>
            <w:noWrap/>
          </w:tcPr>
          <w:p w14:paraId="3E642C84" w14:textId="77777777" w:rsidR="005B131E" w:rsidRPr="00BA7805" w:rsidRDefault="005B131E" w:rsidP="002542E1">
            <w:pPr>
              <w:pStyle w:val="ARfintablebodyrightbold8pt"/>
              <w:rPr>
                <w:highlight w:val="green"/>
              </w:rPr>
            </w:pPr>
            <w:r>
              <w:t>–</w:t>
            </w:r>
          </w:p>
        </w:tc>
        <w:tc>
          <w:tcPr>
            <w:tcW w:w="711" w:type="dxa"/>
            <w:tcBorders>
              <w:top w:val="single" w:sz="4" w:space="0" w:color="A6A6A6" w:themeColor="background1" w:themeShade="A6"/>
              <w:bottom w:val="single" w:sz="4" w:space="0" w:color="auto"/>
            </w:tcBorders>
            <w:noWrap/>
          </w:tcPr>
          <w:p w14:paraId="240C8824" w14:textId="77777777" w:rsidR="005B131E" w:rsidRPr="00BA7805" w:rsidRDefault="005B131E" w:rsidP="002542E1">
            <w:pPr>
              <w:pStyle w:val="ARfintablebodyrightbold8pt"/>
              <w:rPr>
                <w:highlight w:val="green"/>
              </w:rPr>
            </w:pPr>
            <w:r w:rsidRPr="002B73AC">
              <w:t>0.6</w:t>
            </w:r>
          </w:p>
        </w:tc>
        <w:tc>
          <w:tcPr>
            <w:tcW w:w="711" w:type="dxa"/>
            <w:tcBorders>
              <w:top w:val="single" w:sz="4" w:space="0" w:color="A6A6A6" w:themeColor="background1" w:themeShade="A6"/>
              <w:bottom w:val="single" w:sz="4" w:space="0" w:color="auto"/>
            </w:tcBorders>
            <w:noWrap/>
          </w:tcPr>
          <w:p w14:paraId="0FCF8BCC" w14:textId="77777777" w:rsidR="005B131E" w:rsidRPr="00BA7805" w:rsidRDefault="005B131E" w:rsidP="002542E1">
            <w:pPr>
              <w:pStyle w:val="ARfintablebodyrightbold8pt"/>
              <w:rPr>
                <w:highlight w:val="green"/>
              </w:rPr>
            </w:pPr>
            <w:r w:rsidRPr="002B73AC">
              <w:t>(1.3)</w:t>
            </w:r>
          </w:p>
        </w:tc>
        <w:tc>
          <w:tcPr>
            <w:tcW w:w="710" w:type="dxa"/>
            <w:tcBorders>
              <w:top w:val="single" w:sz="4" w:space="0" w:color="A6A6A6" w:themeColor="background1" w:themeShade="A6"/>
              <w:bottom w:val="single" w:sz="4" w:space="0" w:color="auto"/>
            </w:tcBorders>
            <w:noWrap/>
          </w:tcPr>
          <w:p w14:paraId="2832C5DC" w14:textId="77777777" w:rsidR="005B131E" w:rsidRPr="00BA7805" w:rsidRDefault="005B131E" w:rsidP="002542E1">
            <w:pPr>
              <w:pStyle w:val="ARfintablebodyrightbold8pt"/>
              <w:rPr>
                <w:highlight w:val="green"/>
              </w:rPr>
            </w:pPr>
            <w:r w:rsidRPr="00AD1383">
              <w:t>–</w:t>
            </w:r>
          </w:p>
        </w:tc>
        <w:tc>
          <w:tcPr>
            <w:tcW w:w="710" w:type="dxa"/>
            <w:tcBorders>
              <w:top w:val="single" w:sz="4" w:space="0" w:color="A6A6A6" w:themeColor="background1" w:themeShade="A6"/>
              <w:bottom w:val="single" w:sz="4" w:space="0" w:color="auto"/>
            </w:tcBorders>
            <w:noWrap/>
          </w:tcPr>
          <w:p w14:paraId="3EDD5DF7" w14:textId="77777777" w:rsidR="005B131E" w:rsidRPr="00BA7805" w:rsidRDefault="005B131E" w:rsidP="002542E1">
            <w:pPr>
              <w:pStyle w:val="ARfintablebodyrightbold8pt"/>
              <w:rPr>
                <w:highlight w:val="green"/>
              </w:rPr>
            </w:pPr>
            <w:r w:rsidRPr="00AD1383">
              <w:t>–</w:t>
            </w:r>
          </w:p>
        </w:tc>
        <w:tc>
          <w:tcPr>
            <w:tcW w:w="710" w:type="dxa"/>
            <w:tcBorders>
              <w:top w:val="single" w:sz="4" w:space="0" w:color="A6A6A6" w:themeColor="background1" w:themeShade="A6"/>
              <w:bottom w:val="single" w:sz="4" w:space="0" w:color="auto"/>
            </w:tcBorders>
            <w:noWrap/>
          </w:tcPr>
          <w:p w14:paraId="4D6AACCA" w14:textId="77777777" w:rsidR="005B131E" w:rsidRPr="00BA7805" w:rsidRDefault="005B131E" w:rsidP="002542E1">
            <w:pPr>
              <w:pStyle w:val="ARfintablebodyrightbold8pt"/>
              <w:rPr>
                <w:highlight w:val="green"/>
              </w:rPr>
            </w:pPr>
            <w:r w:rsidRPr="002B73AC">
              <w:t>(0.2)</w:t>
            </w:r>
          </w:p>
        </w:tc>
        <w:tc>
          <w:tcPr>
            <w:tcW w:w="710" w:type="dxa"/>
            <w:tcBorders>
              <w:top w:val="single" w:sz="4" w:space="0" w:color="A6A6A6" w:themeColor="background1" w:themeShade="A6"/>
              <w:bottom w:val="single" w:sz="4" w:space="0" w:color="auto"/>
            </w:tcBorders>
            <w:noWrap/>
          </w:tcPr>
          <w:p w14:paraId="107395FB" w14:textId="77777777" w:rsidR="005B131E" w:rsidRPr="00BA7805" w:rsidRDefault="005B131E" w:rsidP="002542E1">
            <w:pPr>
              <w:pStyle w:val="ARfintablebodyrightbold8pt"/>
              <w:rPr>
                <w:highlight w:val="green"/>
              </w:rPr>
            </w:pPr>
            <w:r w:rsidRPr="002B73AC">
              <w:t>2.2</w:t>
            </w:r>
          </w:p>
        </w:tc>
        <w:tc>
          <w:tcPr>
            <w:tcW w:w="710" w:type="dxa"/>
            <w:tcBorders>
              <w:top w:val="single" w:sz="4" w:space="0" w:color="A6A6A6" w:themeColor="background1" w:themeShade="A6"/>
              <w:bottom w:val="single" w:sz="4" w:space="0" w:color="auto"/>
            </w:tcBorders>
            <w:noWrap/>
          </w:tcPr>
          <w:p w14:paraId="3D4D746F" w14:textId="77777777" w:rsidR="005B131E" w:rsidRPr="00BA7805" w:rsidRDefault="005B131E" w:rsidP="002542E1">
            <w:pPr>
              <w:pStyle w:val="ARfintablebodyrightbold8pt"/>
              <w:rPr>
                <w:highlight w:val="green"/>
              </w:rPr>
            </w:pPr>
            <w:r w:rsidRPr="002B73AC">
              <w:t>(0.2)</w:t>
            </w:r>
          </w:p>
        </w:tc>
        <w:tc>
          <w:tcPr>
            <w:tcW w:w="710" w:type="dxa"/>
            <w:tcBorders>
              <w:top w:val="single" w:sz="4" w:space="0" w:color="A6A6A6" w:themeColor="background1" w:themeShade="A6"/>
              <w:bottom w:val="single" w:sz="4" w:space="0" w:color="auto"/>
            </w:tcBorders>
            <w:noWrap/>
          </w:tcPr>
          <w:p w14:paraId="5F788D48" w14:textId="77777777" w:rsidR="005B131E" w:rsidRPr="00BA7805" w:rsidRDefault="005B131E" w:rsidP="002542E1">
            <w:pPr>
              <w:pStyle w:val="ARfintablebodyrightbold8pt"/>
              <w:rPr>
                <w:highlight w:val="green"/>
              </w:rPr>
            </w:pPr>
            <w:r w:rsidRPr="002B73AC">
              <w:t>(1.1)</w:t>
            </w:r>
          </w:p>
        </w:tc>
        <w:tc>
          <w:tcPr>
            <w:tcW w:w="710" w:type="dxa"/>
            <w:tcBorders>
              <w:top w:val="single" w:sz="4" w:space="0" w:color="A6A6A6" w:themeColor="background1" w:themeShade="A6"/>
              <w:bottom w:val="single" w:sz="4" w:space="0" w:color="auto"/>
            </w:tcBorders>
            <w:noWrap/>
          </w:tcPr>
          <w:p w14:paraId="2ED0DD85" w14:textId="77777777" w:rsidR="005B131E" w:rsidRPr="00BA7805" w:rsidRDefault="005B131E" w:rsidP="002542E1">
            <w:pPr>
              <w:pStyle w:val="ARfintablebodyrightbold8pt"/>
              <w:rPr>
                <w:highlight w:val="green"/>
              </w:rPr>
            </w:pPr>
            <w:r w:rsidRPr="002B73AC">
              <w:t>(4.0)</w:t>
            </w:r>
          </w:p>
        </w:tc>
        <w:tc>
          <w:tcPr>
            <w:tcW w:w="710" w:type="dxa"/>
            <w:tcBorders>
              <w:top w:val="single" w:sz="4" w:space="0" w:color="A6A6A6" w:themeColor="background1" w:themeShade="A6"/>
              <w:bottom w:val="single" w:sz="4" w:space="0" w:color="auto"/>
            </w:tcBorders>
            <w:noWrap/>
          </w:tcPr>
          <w:p w14:paraId="1DCF1368" w14:textId="77777777" w:rsidR="005B131E" w:rsidRPr="00BA7805" w:rsidRDefault="005B131E" w:rsidP="002542E1">
            <w:pPr>
              <w:pStyle w:val="ARfintablebodyrightbold8pt"/>
              <w:rPr>
                <w:highlight w:val="green"/>
              </w:rPr>
            </w:pPr>
            <w:r w:rsidRPr="002B73AC">
              <w:t>(445.6)</w:t>
            </w:r>
          </w:p>
        </w:tc>
        <w:tc>
          <w:tcPr>
            <w:tcW w:w="710" w:type="dxa"/>
            <w:tcBorders>
              <w:top w:val="single" w:sz="4" w:space="0" w:color="A6A6A6" w:themeColor="background1" w:themeShade="A6"/>
              <w:bottom w:val="single" w:sz="4" w:space="0" w:color="auto"/>
            </w:tcBorders>
          </w:tcPr>
          <w:p w14:paraId="2C283953" w14:textId="77777777" w:rsidR="005B131E" w:rsidRPr="002B73AC" w:rsidRDefault="005B131E" w:rsidP="002542E1">
            <w:pPr>
              <w:pStyle w:val="ARfintablebodyrightbold8pt"/>
            </w:pPr>
            <w:r>
              <w:t>–</w:t>
            </w:r>
          </w:p>
        </w:tc>
        <w:tc>
          <w:tcPr>
            <w:tcW w:w="710" w:type="dxa"/>
            <w:tcBorders>
              <w:top w:val="single" w:sz="4" w:space="0" w:color="A6A6A6" w:themeColor="background1" w:themeShade="A6"/>
              <w:bottom w:val="single" w:sz="4" w:space="0" w:color="auto"/>
            </w:tcBorders>
            <w:noWrap/>
          </w:tcPr>
          <w:p w14:paraId="1E2BF601" w14:textId="77777777" w:rsidR="005B131E" w:rsidRPr="00BA7805" w:rsidRDefault="005B131E" w:rsidP="002542E1">
            <w:pPr>
              <w:pStyle w:val="ARfintablebodyrightbold8pt"/>
              <w:rPr>
                <w:highlight w:val="green"/>
              </w:rPr>
            </w:pPr>
            <w:r w:rsidRPr="002B73AC">
              <w:t>(638.4)</w:t>
            </w:r>
          </w:p>
        </w:tc>
      </w:tr>
      <w:tr w:rsidR="005B131E" w:rsidRPr="00BA7805" w14:paraId="53D40E3A" w14:textId="77777777" w:rsidTr="002542E1">
        <w:trPr>
          <w:trHeight w:val="170"/>
        </w:trPr>
        <w:tc>
          <w:tcPr>
            <w:tcW w:w="13709" w:type="dxa"/>
            <w:gridSpan w:val="17"/>
            <w:tcBorders>
              <w:top w:val="single" w:sz="4" w:space="0" w:color="auto"/>
              <w:bottom w:val="single" w:sz="4" w:space="0" w:color="BFBFBF" w:themeColor="background1" w:themeShade="BF"/>
            </w:tcBorders>
          </w:tcPr>
          <w:p w14:paraId="0621A56E" w14:textId="77777777" w:rsidR="005B131E" w:rsidRPr="00BA7805" w:rsidRDefault="005B131E" w:rsidP="002542E1">
            <w:pPr>
              <w:pStyle w:val="ARfintablebodybold8pt"/>
              <w:rPr>
                <w:highlight w:val="green"/>
              </w:rPr>
            </w:pPr>
            <w:r w:rsidRPr="00041FB8">
              <w:t xml:space="preserve">Other economic flows </w:t>
            </w:r>
            <w:r>
              <w:t>–</w:t>
            </w:r>
            <w:r w:rsidRPr="00041FB8">
              <w:t xml:space="preserve"> other comprehensive income</w:t>
            </w:r>
          </w:p>
        </w:tc>
      </w:tr>
      <w:tr w:rsidR="005B131E" w:rsidRPr="00BA7805" w14:paraId="7A0E3161" w14:textId="77777777" w:rsidTr="002542E1">
        <w:trPr>
          <w:trHeight w:val="170"/>
        </w:trPr>
        <w:tc>
          <w:tcPr>
            <w:tcW w:w="13709" w:type="dxa"/>
            <w:gridSpan w:val="17"/>
            <w:tcBorders>
              <w:top w:val="single" w:sz="4" w:space="0" w:color="BFBFBF" w:themeColor="background1" w:themeShade="BF"/>
              <w:bottom w:val="single" w:sz="4" w:space="0" w:color="BFBFBF" w:themeColor="background1" w:themeShade="BF"/>
            </w:tcBorders>
          </w:tcPr>
          <w:p w14:paraId="0932B9CA" w14:textId="77777777" w:rsidR="005B131E" w:rsidRPr="00BA7805" w:rsidRDefault="005B131E" w:rsidP="002542E1">
            <w:pPr>
              <w:pStyle w:val="ARfintablebodybold8pt"/>
              <w:rPr>
                <w:highlight w:val="green"/>
              </w:rPr>
            </w:pPr>
            <w:r w:rsidRPr="00041FB8">
              <w:t>Items that will not be reclassified to net result</w:t>
            </w:r>
          </w:p>
        </w:tc>
      </w:tr>
      <w:tr w:rsidR="005B131E" w:rsidRPr="00BA7805" w14:paraId="3DCA3B48" w14:textId="77777777" w:rsidTr="002542E1">
        <w:trPr>
          <w:trHeight w:val="170"/>
        </w:trPr>
        <w:tc>
          <w:tcPr>
            <w:tcW w:w="2343" w:type="dxa"/>
            <w:tcBorders>
              <w:top w:val="single" w:sz="4" w:space="0" w:color="BFBFBF" w:themeColor="background1" w:themeShade="BF"/>
              <w:bottom w:val="single" w:sz="4" w:space="0" w:color="BFBFBF" w:themeColor="background1" w:themeShade="BF"/>
            </w:tcBorders>
          </w:tcPr>
          <w:p w14:paraId="0D893C85" w14:textId="77777777" w:rsidR="005B131E" w:rsidRPr="00BA7805" w:rsidRDefault="005B131E" w:rsidP="002542E1">
            <w:pPr>
              <w:pStyle w:val="ARfintablebody8pt"/>
              <w:rPr>
                <w:highlight w:val="green"/>
              </w:rPr>
            </w:pPr>
            <w:r w:rsidRPr="00041FB8">
              <w:t>Changes in physical asset revaluation surplus</w:t>
            </w:r>
          </w:p>
        </w:tc>
        <w:tc>
          <w:tcPr>
            <w:tcW w:w="711" w:type="dxa"/>
            <w:tcBorders>
              <w:top w:val="single" w:sz="4" w:space="0" w:color="BFBFBF" w:themeColor="background1" w:themeShade="BF"/>
              <w:bottom w:val="single" w:sz="4" w:space="0" w:color="BFBFBF" w:themeColor="background1" w:themeShade="BF"/>
            </w:tcBorders>
            <w:noWrap/>
          </w:tcPr>
          <w:p w14:paraId="64E36B8B" w14:textId="77777777" w:rsidR="005B131E" w:rsidRPr="00BA7805" w:rsidRDefault="005B131E" w:rsidP="002542E1">
            <w:pPr>
              <w:pStyle w:val="ARfintablebodyright8pt"/>
              <w:rPr>
                <w:bCs/>
                <w:highlight w:val="green"/>
              </w:rPr>
            </w:pPr>
            <w:r w:rsidRPr="002C74C0">
              <w:t>(37.5)</w:t>
            </w:r>
          </w:p>
        </w:tc>
        <w:tc>
          <w:tcPr>
            <w:tcW w:w="711" w:type="dxa"/>
            <w:tcBorders>
              <w:top w:val="single" w:sz="4" w:space="0" w:color="BFBFBF" w:themeColor="background1" w:themeShade="BF"/>
              <w:bottom w:val="single" w:sz="4" w:space="0" w:color="BFBFBF" w:themeColor="background1" w:themeShade="BF"/>
            </w:tcBorders>
            <w:noWrap/>
          </w:tcPr>
          <w:p w14:paraId="03A19A4D" w14:textId="77777777" w:rsidR="005B131E" w:rsidRPr="00BA7805" w:rsidRDefault="005B131E" w:rsidP="002542E1">
            <w:pPr>
              <w:pStyle w:val="ARfintablebodyright8pt"/>
              <w:rPr>
                <w:bCs/>
                <w:color w:val="000000" w:themeColor="text1"/>
                <w:highlight w:val="green"/>
              </w:rPr>
            </w:pPr>
            <w:r w:rsidRPr="002C74C0">
              <w:t>(15.7)</w:t>
            </w:r>
          </w:p>
        </w:tc>
        <w:tc>
          <w:tcPr>
            <w:tcW w:w="711" w:type="dxa"/>
            <w:tcBorders>
              <w:top w:val="single" w:sz="4" w:space="0" w:color="BFBFBF" w:themeColor="background1" w:themeShade="BF"/>
              <w:bottom w:val="single" w:sz="4" w:space="0" w:color="BFBFBF" w:themeColor="background1" w:themeShade="BF"/>
            </w:tcBorders>
            <w:noWrap/>
          </w:tcPr>
          <w:p w14:paraId="69A9378A" w14:textId="77777777" w:rsidR="005B131E" w:rsidRPr="00BA7805" w:rsidRDefault="005B131E" w:rsidP="002542E1">
            <w:pPr>
              <w:pStyle w:val="ARfintablebodyright8pt"/>
              <w:rPr>
                <w:bCs/>
                <w:highlight w:val="green"/>
              </w:rPr>
            </w:pPr>
            <w:r>
              <w:t>–</w:t>
            </w:r>
          </w:p>
        </w:tc>
        <w:tc>
          <w:tcPr>
            <w:tcW w:w="711" w:type="dxa"/>
            <w:tcBorders>
              <w:top w:val="single" w:sz="4" w:space="0" w:color="BFBFBF" w:themeColor="background1" w:themeShade="BF"/>
              <w:bottom w:val="single" w:sz="4" w:space="0" w:color="BFBFBF" w:themeColor="background1" w:themeShade="BF"/>
            </w:tcBorders>
            <w:noWrap/>
          </w:tcPr>
          <w:p w14:paraId="1BC4927C" w14:textId="77777777" w:rsidR="005B131E" w:rsidRPr="00BA7805" w:rsidRDefault="005B131E" w:rsidP="002542E1">
            <w:pPr>
              <w:pStyle w:val="ARfintablebodyright8pt"/>
              <w:rPr>
                <w:bCs/>
                <w:highlight w:val="green"/>
              </w:rPr>
            </w:pPr>
            <w:r>
              <w:t>–</w:t>
            </w:r>
          </w:p>
        </w:tc>
        <w:tc>
          <w:tcPr>
            <w:tcW w:w="711" w:type="dxa"/>
            <w:tcBorders>
              <w:top w:val="single" w:sz="4" w:space="0" w:color="BFBFBF" w:themeColor="background1" w:themeShade="BF"/>
              <w:bottom w:val="single" w:sz="4" w:space="0" w:color="BFBFBF" w:themeColor="background1" w:themeShade="BF"/>
            </w:tcBorders>
            <w:noWrap/>
          </w:tcPr>
          <w:p w14:paraId="5F34615B" w14:textId="77777777" w:rsidR="005B131E" w:rsidRPr="00BA7805" w:rsidRDefault="005B131E" w:rsidP="002542E1">
            <w:pPr>
              <w:pStyle w:val="ARfintablebodyright8pt"/>
              <w:rPr>
                <w:bCs/>
                <w:highlight w:val="green"/>
              </w:rPr>
            </w:pPr>
            <w:r>
              <w:t>–</w:t>
            </w:r>
          </w:p>
        </w:tc>
        <w:tc>
          <w:tcPr>
            <w:tcW w:w="711" w:type="dxa"/>
            <w:tcBorders>
              <w:top w:val="single" w:sz="4" w:space="0" w:color="BFBFBF" w:themeColor="background1" w:themeShade="BF"/>
              <w:bottom w:val="single" w:sz="4" w:space="0" w:color="BFBFBF" w:themeColor="background1" w:themeShade="BF"/>
            </w:tcBorders>
            <w:noWrap/>
          </w:tcPr>
          <w:p w14:paraId="7787D6BE"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31462C70"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6C239070"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2B690B08"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77D8EC92"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57F8A5DB"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78FFB678"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050819BA"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bottom w:val="single" w:sz="4" w:space="0" w:color="BFBFBF" w:themeColor="background1" w:themeShade="BF"/>
            </w:tcBorders>
            <w:noWrap/>
          </w:tcPr>
          <w:p w14:paraId="22CF9910" w14:textId="77777777" w:rsidR="005B131E" w:rsidRPr="00BA7805" w:rsidRDefault="005B131E" w:rsidP="002542E1">
            <w:pPr>
              <w:pStyle w:val="ARfintablebodyright8pt"/>
              <w:rPr>
                <w:bCs/>
                <w:highlight w:val="green"/>
              </w:rPr>
            </w:pPr>
            <w:r w:rsidRPr="002C74C0">
              <w:t>1,238.9</w:t>
            </w:r>
          </w:p>
        </w:tc>
        <w:tc>
          <w:tcPr>
            <w:tcW w:w="710" w:type="dxa"/>
            <w:tcBorders>
              <w:top w:val="single" w:sz="4" w:space="0" w:color="BFBFBF" w:themeColor="background1" w:themeShade="BF"/>
              <w:bottom w:val="single" w:sz="4" w:space="0" w:color="BFBFBF" w:themeColor="background1" w:themeShade="BF"/>
            </w:tcBorders>
          </w:tcPr>
          <w:p w14:paraId="112FBFE6" w14:textId="77777777" w:rsidR="005B131E" w:rsidRPr="002C74C0" w:rsidRDefault="005B131E" w:rsidP="002542E1">
            <w:pPr>
              <w:pStyle w:val="ARfintablebodyright8pt"/>
            </w:pPr>
          </w:p>
        </w:tc>
        <w:tc>
          <w:tcPr>
            <w:tcW w:w="710" w:type="dxa"/>
            <w:tcBorders>
              <w:top w:val="single" w:sz="4" w:space="0" w:color="BFBFBF" w:themeColor="background1" w:themeShade="BF"/>
              <w:bottom w:val="single" w:sz="4" w:space="0" w:color="BFBFBF" w:themeColor="background1" w:themeShade="BF"/>
            </w:tcBorders>
            <w:noWrap/>
          </w:tcPr>
          <w:p w14:paraId="6FE1A029" w14:textId="77777777" w:rsidR="005B131E" w:rsidRPr="00BA7805" w:rsidRDefault="005B131E" w:rsidP="002542E1">
            <w:pPr>
              <w:pStyle w:val="ARfintablebodyright8pt"/>
              <w:rPr>
                <w:bCs/>
                <w:highlight w:val="green"/>
              </w:rPr>
            </w:pPr>
            <w:r w:rsidRPr="002C74C0">
              <w:t>1,185.</w:t>
            </w:r>
            <w:r>
              <w:t>7</w:t>
            </w:r>
          </w:p>
        </w:tc>
      </w:tr>
      <w:tr w:rsidR="005B131E" w:rsidRPr="00BA7805" w14:paraId="5E66C527" w14:textId="77777777" w:rsidTr="002542E1">
        <w:trPr>
          <w:trHeight w:val="170"/>
        </w:trPr>
        <w:tc>
          <w:tcPr>
            <w:tcW w:w="2343" w:type="dxa"/>
            <w:tcBorders>
              <w:top w:val="single" w:sz="4" w:space="0" w:color="BFBFBF" w:themeColor="background1" w:themeShade="BF"/>
            </w:tcBorders>
          </w:tcPr>
          <w:p w14:paraId="125112B3" w14:textId="089FF1F3" w:rsidR="005B131E" w:rsidRPr="00BA7805" w:rsidRDefault="005B131E" w:rsidP="002542E1">
            <w:pPr>
              <w:pStyle w:val="ARfintablebody8pt"/>
              <w:rPr>
                <w:highlight w:val="green"/>
              </w:rPr>
            </w:pPr>
            <w:r w:rsidRPr="00041FB8">
              <w:t>Remeasurement of superannuation defined benefit</w:t>
            </w:r>
            <w:r w:rsidR="007215DB">
              <w:t> </w:t>
            </w:r>
            <w:r w:rsidRPr="00041FB8">
              <w:t>plans</w:t>
            </w:r>
          </w:p>
        </w:tc>
        <w:tc>
          <w:tcPr>
            <w:tcW w:w="711" w:type="dxa"/>
            <w:tcBorders>
              <w:top w:val="single" w:sz="4" w:space="0" w:color="BFBFBF" w:themeColor="background1" w:themeShade="BF"/>
            </w:tcBorders>
            <w:noWrap/>
          </w:tcPr>
          <w:p w14:paraId="4B4712D3" w14:textId="77777777" w:rsidR="005B131E" w:rsidRPr="00BA7805" w:rsidRDefault="005B131E" w:rsidP="002542E1">
            <w:pPr>
              <w:pStyle w:val="ARfintablebodyright8pt"/>
              <w:rPr>
                <w:bCs/>
                <w:color w:val="000000" w:themeColor="text1"/>
                <w:highlight w:val="green"/>
              </w:rPr>
            </w:pPr>
            <w:r>
              <w:t>–</w:t>
            </w:r>
          </w:p>
        </w:tc>
        <w:tc>
          <w:tcPr>
            <w:tcW w:w="711" w:type="dxa"/>
            <w:tcBorders>
              <w:top w:val="single" w:sz="4" w:space="0" w:color="BFBFBF" w:themeColor="background1" w:themeShade="BF"/>
            </w:tcBorders>
            <w:noWrap/>
          </w:tcPr>
          <w:p w14:paraId="00AA1288" w14:textId="77777777" w:rsidR="005B131E" w:rsidRPr="00BA7805" w:rsidRDefault="005B131E" w:rsidP="002542E1">
            <w:pPr>
              <w:pStyle w:val="ARfintablebodyright8pt"/>
              <w:rPr>
                <w:bCs/>
                <w:color w:val="000000" w:themeColor="text1"/>
                <w:highlight w:val="green"/>
              </w:rPr>
            </w:pPr>
            <w:r>
              <w:t>–</w:t>
            </w:r>
          </w:p>
        </w:tc>
        <w:tc>
          <w:tcPr>
            <w:tcW w:w="711" w:type="dxa"/>
            <w:tcBorders>
              <w:top w:val="single" w:sz="4" w:space="0" w:color="BFBFBF" w:themeColor="background1" w:themeShade="BF"/>
            </w:tcBorders>
            <w:noWrap/>
          </w:tcPr>
          <w:p w14:paraId="179591C6" w14:textId="77777777" w:rsidR="005B131E" w:rsidRPr="00BA7805" w:rsidRDefault="005B131E" w:rsidP="002542E1">
            <w:pPr>
              <w:pStyle w:val="ARfintablebodyright8pt"/>
              <w:rPr>
                <w:bCs/>
                <w:highlight w:val="green"/>
              </w:rPr>
            </w:pPr>
            <w:r>
              <w:t>–</w:t>
            </w:r>
          </w:p>
        </w:tc>
        <w:tc>
          <w:tcPr>
            <w:tcW w:w="711" w:type="dxa"/>
            <w:tcBorders>
              <w:top w:val="single" w:sz="4" w:space="0" w:color="BFBFBF" w:themeColor="background1" w:themeShade="BF"/>
            </w:tcBorders>
            <w:noWrap/>
          </w:tcPr>
          <w:p w14:paraId="60060C68" w14:textId="77777777" w:rsidR="005B131E" w:rsidRPr="00BA7805" w:rsidRDefault="005B131E" w:rsidP="002542E1">
            <w:pPr>
              <w:pStyle w:val="ARfintablebodyright8pt"/>
              <w:rPr>
                <w:bCs/>
                <w:highlight w:val="green"/>
              </w:rPr>
            </w:pPr>
            <w:r>
              <w:t>–</w:t>
            </w:r>
          </w:p>
        </w:tc>
        <w:tc>
          <w:tcPr>
            <w:tcW w:w="711" w:type="dxa"/>
            <w:tcBorders>
              <w:top w:val="single" w:sz="4" w:space="0" w:color="BFBFBF" w:themeColor="background1" w:themeShade="BF"/>
            </w:tcBorders>
            <w:noWrap/>
          </w:tcPr>
          <w:p w14:paraId="6316CEF4" w14:textId="77777777" w:rsidR="005B131E" w:rsidRPr="00BA7805" w:rsidRDefault="005B131E" w:rsidP="002542E1">
            <w:pPr>
              <w:pStyle w:val="ARfintablebodyright8pt"/>
              <w:rPr>
                <w:bCs/>
                <w:highlight w:val="green"/>
              </w:rPr>
            </w:pPr>
            <w:r>
              <w:t>–</w:t>
            </w:r>
          </w:p>
        </w:tc>
        <w:tc>
          <w:tcPr>
            <w:tcW w:w="711" w:type="dxa"/>
            <w:tcBorders>
              <w:top w:val="single" w:sz="4" w:space="0" w:color="BFBFBF" w:themeColor="background1" w:themeShade="BF"/>
            </w:tcBorders>
            <w:noWrap/>
          </w:tcPr>
          <w:p w14:paraId="7D0E4EA3"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28EBC7EA"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786129DB"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428FAC32"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1CCDDAE6"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20537024"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3C01CC9A"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2C12FA47" w14:textId="77777777" w:rsidR="005B131E" w:rsidRPr="00BA7805" w:rsidRDefault="005B131E" w:rsidP="002542E1">
            <w:pPr>
              <w:pStyle w:val="ARfintablebodyright8pt"/>
              <w:rPr>
                <w:bCs/>
                <w:highlight w:val="green"/>
              </w:rPr>
            </w:pPr>
            <w:r>
              <w:t>–</w:t>
            </w:r>
          </w:p>
        </w:tc>
        <w:tc>
          <w:tcPr>
            <w:tcW w:w="710" w:type="dxa"/>
            <w:tcBorders>
              <w:top w:val="single" w:sz="4" w:space="0" w:color="BFBFBF" w:themeColor="background1" w:themeShade="BF"/>
            </w:tcBorders>
            <w:noWrap/>
          </w:tcPr>
          <w:p w14:paraId="6F183076" w14:textId="77777777" w:rsidR="005B131E" w:rsidRPr="00BA7805" w:rsidRDefault="005B131E" w:rsidP="002542E1">
            <w:pPr>
              <w:pStyle w:val="ARfintablebodyright8pt"/>
              <w:rPr>
                <w:bCs/>
                <w:highlight w:val="green"/>
              </w:rPr>
            </w:pPr>
            <w:r w:rsidRPr="002C74C0">
              <w:t>2.</w:t>
            </w:r>
            <w:r>
              <w:t>1</w:t>
            </w:r>
          </w:p>
        </w:tc>
        <w:tc>
          <w:tcPr>
            <w:tcW w:w="710" w:type="dxa"/>
            <w:tcBorders>
              <w:top w:val="single" w:sz="4" w:space="0" w:color="BFBFBF" w:themeColor="background1" w:themeShade="BF"/>
            </w:tcBorders>
          </w:tcPr>
          <w:p w14:paraId="0E080154" w14:textId="77777777" w:rsidR="005B131E" w:rsidRPr="002C74C0" w:rsidRDefault="005B131E" w:rsidP="002542E1">
            <w:pPr>
              <w:pStyle w:val="ARfintablebodyright8pt"/>
            </w:pPr>
          </w:p>
        </w:tc>
        <w:tc>
          <w:tcPr>
            <w:tcW w:w="710" w:type="dxa"/>
            <w:tcBorders>
              <w:top w:val="single" w:sz="4" w:space="0" w:color="BFBFBF" w:themeColor="background1" w:themeShade="BF"/>
            </w:tcBorders>
            <w:noWrap/>
          </w:tcPr>
          <w:p w14:paraId="64279AB4" w14:textId="77777777" w:rsidR="005B131E" w:rsidRPr="00BA7805" w:rsidRDefault="005B131E" w:rsidP="002542E1">
            <w:pPr>
              <w:pStyle w:val="ARfintablebodyright8pt"/>
              <w:rPr>
                <w:bCs/>
                <w:highlight w:val="green"/>
              </w:rPr>
            </w:pPr>
            <w:r w:rsidRPr="002C74C0">
              <w:t>2.</w:t>
            </w:r>
            <w:r>
              <w:t>1</w:t>
            </w:r>
          </w:p>
        </w:tc>
      </w:tr>
      <w:tr w:rsidR="005B131E" w:rsidRPr="00BA7805" w14:paraId="18091AB0" w14:textId="77777777" w:rsidTr="002542E1">
        <w:trPr>
          <w:trHeight w:val="170"/>
        </w:trPr>
        <w:tc>
          <w:tcPr>
            <w:tcW w:w="2343" w:type="dxa"/>
          </w:tcPr>
          <w:p w14:paraId="27A65A3D" w14:textId="77777777" w:rsidR="005B131E" w:rsidRPr="00041FB8" w:rsidRDefault="005B131E" w:rsidP="002542E1">
            <w:pPr>
              <w:pStyle w:val="ARfintablebodybold8pt"/>
            </w:pPr>
            <w:r w:rsidRPr="00B90E7D">
              <w:t xml:space="preserve">Total other economic flows </w:t>
            </w:r>
            <w:r>
              <w:t>–</w:t>
            </w:r>
            <w:r w:rsidRPr="00B90E7D">
              <w:t xml:space="preserve"> other comprehensive income</w:t>
            </w:r>
          </w:p>
        </w:tc>
        <w:tc>
          <w:tcPr>
            <w:tcW w:w="711" w:type="dxa"/>
            <w:noWrap/>
          </w:tcPr>
          <w:p w14:paraId="33E08D4F" w14:textId="77777777" w:rsidR="005B131E" w:rsidRPr="00BA7805" w:rsidRDefault="005B131E" w:rsidP="002542E1">
            <w:pPr>
              <w:pStyle w:val="ARfintablebodyrightbold8pt"/>
              <w:rPr>
                <w:bCs/>
                <w:color w:val="000000" w:themeColor="text1"/>
                <w:highlight w:val="green"/>
              </w:rPr>
            </w:pPr>
            <w:r w:rsidRPr="002C74C0">
              <w:t>(37.5)</w:t>
            </w:r>
          </w:p>
        </w:tc>
        <w:tc>
          <w:tcPr>
            <w:tcW w:w="711" w:type="dxa"/>
            <w:noWrap/>
          </w:tcPr>
          <w:p w14:paraId="4899DD8D" w14:textId="77777777" w:rsidR="005B131E" w:rsidRPr="00BA7805" w:rsidRDefault="005B131E" w:rsidP="002542E1">
            <w:pPr>
              <w:pStyle w:val="ARfintablebodyrightbold8pt"/>
              <w:rPr>
                <w:bCs/>
                <w:color w:val="000000" w:themeColor="text1"/>
                <w:highlight w:val="green"/>
              </w:rPr>
            </w:pPr>
            <w:r w:rsidRPr="002C74C0">
              <w:t>(15.7)</w:t>
            </w:r>
          </w:p>
        </w:tc>
        <w:tc>
          <w:tcPr>
            <w:tcW w:w="711" w:type="dxa"/>
            <w:noWrap/>
          </w:tcPr>
          <w:p w14:paraId="51D5397F" w14:textId="77777777" w:rsidR="005B131E" w:rsidRPr="00BA7805" w:rsidRDefault="005B131E" w:rsidP="002542E1">
            <w:pPr>
              <w:pStyle w:val="ARfintablebodyrightbold8pt"/>
              <w:rPr>
                <w:bCs/>
                <w:highlight w:val="green"/>
              </w:rPr>
            </w:pPr>
            <w:r>
              <w:t>–</w:t>
            </w:r>
          </w:p>
        </w:tc>
        <w:tc>
          <w:tcPr>
            <w:tcW w:w="711" w:type="dxa"/>
            <w:noWrap/>
          </w:tcPr>
          <w:p w14:paraId="7C0B9DB7" w14:textId="77777777" w:rsidR="005B131E" w:rsidRPr="00BA7805" w:rsidRDefault="005B131E" w:rsidP="002542E1">
            <w:pPr>
              <w:pStyle w:val="ARfintablebodyrightbold8pt"/>
              <w:rPr>
                <w:bCs/>
                <w:highlight w:val="green"/>
              </w:rPr>
            </w:pPr>
            <w:r>
              <w:t>–</w:t>
            </w:r>
          </w:p>
        </w:tc>
        <w:tc>
          <w:tcPr>
            <w:tcW w:w="711" w:type="dxa"/>
            <w:noWrap/>
          </w:tcPr>
          <w:p w14:paraId="64AE7ADA" w14:textId="77777777" w:rsidR="005B131E" w:rsidRPr="00BA7805" w:rsidRDefault="005B131E" w:rsidP="002542E1">
            <w:pPr>
              <w:pStyle w:val="ARfintablebodyrightbold8pt"/>
              <w:rPr>
                <w:bCs/>
                <w:highlight w:val="green"/>
              </w:rPr>
            </w:pPr>
            <w:r>
              <w:t>–</w:t>
            </w:r>
          </w:p>
        </w:tc>
        <w:tc>
          <w:tcPr>
            <w:tcW w:w="711" w:type="dxa"/>
            <w:noWrap/>
          </w:tcPr>
          <w:p w14:paraId="14ABE353" w14:textId="77777777" w:rsidR="005B131E" w:rsidRPr="00BA7805" w:rsidRDefault="005B131E" w:rsidP="002542E1">
            <w:pPr>
              <w:pStyle w:val="ARfintablebodyrightbold8pt"/>
              <w:rPr>
                <w:bCs/>
                <w:highlight w:val="green"/>
              </w:rPr>
            </w:pPr>
            <w:r>
              <w:t>–</w:t>
            </w:r>
          </w:p>
        </w:tc>
        <w:tc>
          <w:tcPr>
            <w:tcW w:w="710" w:type="dxa"/>
            <w:noWrap/>
          </w:tcPr>
          <w:p w14:paraId="213CB0BC" w14:textId="77777777" w:rsidR="005B131E" w:rsidRPr="00BA7805" w:rsidRDefault="005B131E" w:rsidP="002542E1">
            <w:pPr>
              <w:pStyle w:val="ARfintablebodyrightbold8pt"/>
              <w:rPr>
                <w:bCs/>
                <w:highlight w:val="green"/>
              </w:rPr>
            </w:pPr>
            <w:r>
              <w:t>–</w:t>
            </w:r>
          </w:p>
        </w:tc>
        <w:tc>
          <w:tcPr>
            <w:tcW w:w="710" w:type="dxa"/>
            <w:noWrap/>
          </w:tcPr>
          <w:p w14:paraId="3054DE03" w14:textId="77777777" w:rsidR="005B131E" w:rsidRPr="00BA7805" w:rsidRDefault="005B131E" w:rsidP="002542E1">
            <w:pPr>
              <w:pStyle w:val="ARfintablebodyrightbold8pt"/>
              <w:rPr>
                <w:bCs/>
                <w:highlight w:val="green"/>
              </w:rPr>
            </w:pPr>
            <w:r>
              <w:t>–</w:t>
            </w:r>
          </w:p>
        </w:tc>
        <w:tc>
          <w:tcPr>
            <w:tcW w:w="710" w:type="dxa"/>
            <w:noWrap/>
          </w:tcPr>
          <w:p w14:paraId="42D5D808" w14:textId="77777777" w:rsidR="005B131E" w:rsidRPr="00BA7805" w:rsidRDefault="005B131E" w:rsidP="002542E1">
            <w:pPr>
              <w:pStyle w:val="ARfintablebodyrightbold8pt"/>
              <w:rPr>
                <w:bCs/>
                <w:highlight w:val="green"/>
              </w:rPr>
            </w:pPr>
            <w:r>
              <w:t>–</w:t>
            </w:r>
          </w:p>
        </w:tc>
        <w:tc>
          <w:tcPr>
            <w:tcW w:w="710" w:type="dxa"/>
            <w:noWrap/>
          </w:tcPr>
          <w:p w14:paraId="20CD7490" w14:textId="77777777" w:rsidR="005B131E" w:rsidRPr="00BA7805" w:rsidRDefault="005B131E" w:rsidP="002542E1">
            <w:pPr>
              <w:pStyle w:val="ARfintablebodyrightbold8pt"/>
              <w:rPr>
                <w:bCs/>
                <w:highlight w:val="green"/>
              </w:rPr>
            </w:pPr>
            <w:r>
              <w:t>–</w:t>
            </w:r>
          </w:p>
        </w:tc>
        <w:tc>
          <w:tcPr>
            <w:tcW w:w="710" w:type="dxa"/>
            <w:noWrap/>
          </w:tcPr>
          <w:p w14:paraId="04FD80FF" w14:textId="77777777" w:rsidR="005B131E" w:rsidRPr="00BA7805" w:rsidRDefault="005B131E" w:rsidP="002542E1">
            <w:pPr>
              <w:pStyle w:val="ARfintablebodyrightbold8pt"/>
              <w:rPr>
                <w:bCs/>
                <w:highlight w:val="green"/>
              </w:rPr>
            </w:pPr>
            <w:r>
              <w:t>–</w:t>
            </w:r>
          </w:p>
        </w:tc>
        <w:tc>
          <w:tcPr>
            <w:tcW w:w="710" w:type="dxa"/>
            <w:noWrap/>
          </w:tcPr>
          <w:p w14:paraId="0C4A7175" w14:textId="77777777" w:rsidR="005B131E" w:rsidRPr="00BA7805" w:rsidRDefault="005B131E" w:rsidP="002542E1">
            <w:pPr>
              <w:pStyle w:val="ARfintablebodyrightbold8pt"/>
              <w:rPr>
                <w:bCs/>
                <w:highlight w:val="green"/>
              </w:rPr>
            </w:pPr>
            <w:r>
              <w:t>–</w:t>
            </w:r>
          </w:p>
        </w:tc>
        <w:tc>
          <w:tcPr>
            <w:tcW w:w="710" w:type="dxa"/>
            <w:noWrap/>
          </w:tcPr>
          <w:p w14:paraId="1EEF5F89" w14:textId="77777777" w:rsidR="005B131E" w:rsidRPr="00BA7805" w:rsidRDefault="005B131E" w:rsidP="002542E1">
            <w:pPr>
              <w:pStyle w:val="ARfintablebodyrightbold8pt"/>
              <w:rPr>
                <w:bCs/>
                <w:highlight w:val="green"/>
              </w:rPr>
            </w:pPr>
            <w:r>
              <w:t>–</w:t>
            </w:r>
          </w:p>
        </w:tc>
        <w:tc>
          <w:tcPr>
            <w:tcW w:w="710" w:type="dxa"/>
            <w:noWrap/>
          </w:tcPr>
          <w:p w14:paraId="6030CFED" w14:textId="77777777" w:rsidR="005B131E" w:rsidRPr="00BA7805" w:rsidRDefault="005B131E" w:rsidP="002542E1">
            <w:pPr>
              <w:pStyle w:val="ARfintablebodyrightbold8pt"/>
              <w:rPr>
                <w:bCs/>
                <w:highlight w:val="green"/>
              </w:rPr>
            </w:pPr>
            <w:r w:rsidRPr="002C74C0">
              <w:t>1,24</w:t>
            </w:r>
            <w:r>
              <w:t>1</w:t>
            </w:r>
            <w:r w:rsidRPr="002C74C0">
              <w:t>.</w:t>
            </w:r>
            <w:r>
              <w:t>0</w:t>
            </w:r>
          </w:p>
        </w:tc>
        <w:tc>
          <w:tcPr>
            <w:tcW w:w="710" w:type="dxa"/>
          </w:tcPr>
          <w:p w14:paraId="4BA5AA0A" w14:textId="77777777" w:rsidR="005B131E" w:rsidRPr="002C74C0" w:rsidRDefault="005B131E" w:rsidP="002542E1">
            <w:pPr>
              <w:pStyle w:val="ARfintablebodyright8pt"/>
            </w:pPr>
            <w:r>
              <w:t>–</w:t>
            </w:r>
          </w:p>
        </w:tc>
        <w:tc>
          <w:tcPr>
            <w:tcW w:w="710" w:type="dxa"/>
            <w:noWrap/>
          </w:tcPr>
          <w:p w14:paraId="2D790D89" w14:textId="77777777" w:rsidR="005B131E" w:rsidRPr="00BA7805" w:rsidRDefault="005B131E" w:rsidP="002542E1">
            <w:pPr>
              <w:pStyle w:val="ARfintablebodyrightbold8pt"/>
              <w:rPr>
                <w:bCs/>
                <w:highlight w:val="green"/>
              </w:rPr>
            </w:pPr>
            <w:r w:rsidRPr="002C74C0">
              <w:t>1,187.</w:t>
            </w:r>
            <w:r>
              <w:t>8</w:t>
            </w:r>
          </w:p>
        </w:tc>
      </w:tr>
      <w:tr w:rsidR="005B131E" w:rsidRPr="00BA7805" w14:paraId="4DFDE5F5" w14:textId="77777777" w:rsidTr="002542E1">
        <w:trPr>
          <w:trHeight w:val="170"/>
        </w:trPr>
        <w:tc>
          <w:tcPr>
            <w:tcW w:w="2343" w:type="dxa"/>
          </w:tcPr>
          <w:p w14:paraId="30518437" w14:textId="77777777" w:rsidR="005B131E" w:rsidRPr="00041FB8" w:rsidRDefault="005B131E" w:rsidP="002542E1">
            <w:pPr>
              <w:pStyle w:val="ARfintablebodybold8pt"/>
            </w:pPr>
            <w:r w:rsidRPr="00B90E7D">
              <w:t>Comprehensive result</w:t>
            </w:r>
          </w:p>
        </w:tc>
        <w:tc>
          <w:tcPr>
            <w:tcW w:w="711" w:type="dxa"/>
            <w:noWrap/>
          </w:tcPr>
          <w:p w14:paraId="424A0740" w14:textId="77777777" w:rsidR="005B131E" w:rsidRPr="00BA7805" w:rsidRDefault="005B131E" w:rsidP="002542E1">
            <w:pPr>
              <w:pStyle w:val="ARfintablebodyrightbold8pt"/>
              <w:rPr>
                <w:bCs/>
                <w:color w:val="000000" w:themeColor="text1"/>
                <w:highlight w:val="green"/>
              </w:rPr>
            </w:pPr>
            <w:r w:rsidRPr="002C74C0">
              <w:t>(85.3)</w:t>
            </w:r>
          </w:p>
        </w:tc>
        <w:tc>
          <w:tcPr>
            <w:tcW w:w="711" w:type="dxa"/>
            <w:noWrap/>
          </w:tcPr>
          <w:p w14:paraId="2D04F0DA" w14:textId="77777777" w:rsidR="005B131E" w:rsidRPr="00BA7805" w:rsidRDefault="005B131E" w:rsidP="002542E1">
            <w:pPr>
              <w:pStyle w:val="ARfintablebodyrightbold8pt"/>
              <w:rPr>
                <w:bCs/>
                <w:color w:val="000000" w:themeColor="text1"/>
                <w:highlight w:val="green"/>
              </w:rPr>
            </w:pPr>
            <w:r w:rsidRPr="002C74C0">
              <w:t>(152.3)</w:t>
            </w:r>
          </w:p>
        </w:tc>
        <w:tc>
          <w:tcPr>
            <w:tcW w:w="711" w:type="dxa"/>
            <w:noWrap/>
          </w:tcPr>
          <w:p w14:paraId="3198A36D" w14:textId="77777777" w:rsidR="005B131E" w:rsidRPr="00BA7805" w:rsidRDefault="005B131E" w:rsidP="002542E1">
            <w:pPr>
              <w:pStyle w:val="ARfintablebodyrightbold8pt"/>
              <w:rPr>
                <w:bCs/>
                <w:highlight w:val="green"/>
              </w:rPr>
            </w:pPr>
            <w:r w:rsidRPr="002C74C0">
              <w:t>(4.4)</w:t>
            </w:r>
          </w:p>
        </w:tc>
        <w:tc>
          <w:tcPr>
            <w:tcW w:w="711" w:type="dxa"/>
            <w:noWrap/>
          </w:tcPr>
          <w:p w14:paraId="47C26A55" w14:textId="77777777" w:rsidR="005B131E" w:rsidRPr="00BA7805" w:rsidRDefault="005B131E" w:rsidP="002542E1">
            <w:pPr>
              <w:pStyle w:val="ARfintablebodyrightbold8pt"/>
              <w:rPr>
                <w:bCs/>
                <w:highlight w:val="green"/>
              </w:rPr>
            </w:pPr>
            <w:r>
              <w:t>–</w:t>
            </w:r>
          </w:p>
        </w:tc>
        <w:tc>
          <w:tcPr>
            <w:tcW w:w="711" w:type="dxa"/>
            <w:noWrap/>
          </w:tcPr>
          <w:p w14:paraId="087621A3" w14:textId="77777777" w:rsidR="005B131E" w:rsidRPr="00BA7805" w:rsidRDefault="005B131E" w:rsidP="002542E1">
            <w:pPr>
              <w:pStyle w:val="ARfintablebodyrightbold8pt"/>
              <w:rPr>
                <w:bCs/>
                <w:highlight w:val="green"/>
              </w:rPr>
            </w:pPr>
            <w:r w:rsidRPr="002C74C0">
              <w:t>0.6</w:t>
            </w:r>
          </w:p>
        </w:tc>
        <w:tc>
          <w:tcPr>
            <w:tcW w:w="711" w:type="dxa"/>
            <w:noWrap/>
          </w:tcPr>
          <w:p w14:paraId="36F52D20" w14:textId="77777777" w:rsidR="005B131E" w:rsidRPr="00BA7805" w:rsidRDefault="005B131E" w:rsidP="002542E1">
            <w:pPr>
              <w:pStyle w:val="ARfintablebodyrightbold8pt"/>
              <w:rPr>
                <w:bCs/>
                <w:highlight w:val="green"/>
              </w:rPr>
            </w:pPr>
            <w:r w:rsidRPr="002C74C0">
              <w:t>(1.3)</w:t>
            </w:r>
          </w:p>
        </w:tc>
        <w:tc>
          <w:tcPr>
            <w:tcW w:w="710" w:type="dxa"/>
            <w:noWrap/>
          </w:tcPr>
          <w:p w14:paraId="76D10654" w14:textId="77777777" w:rsidR="005B131E" w:rsidRPr="00BA7805" w:rsidRDefault="005B131E" w:rsidP="002542E1">
            <w:pPr>
              <w:pStyle w:val="ARfintablebodyrightbold8pt"/>
              <w:rPr>
                <w:bCs/>
                <w:highlight w:val="green"/>
              </w:rPr>
            </w:pPr>
            <w:r w:rsidRPr="00516FD8">
              <w:t>–</w:t>
            </w:r>
          </w:p>
        </w:tc>
        <w:tc>
          <w:tcPr>
            <w:tcW w:w="710" w:type="dxa"/>
            <w:noWrap/>
          </w:tcPr>
          <w:p w14:paraId="4BECBF53" w14:textId="77777777" w:rsidR="005B131E" w:rsidRPr="00BA7805" w:rsidRDefault="005B131E" w:rsidP="002542E1">
            <w:pPr>
              <w:pStyle w:val="ARfintablebodyrightbold8pt"/>
              <w:rPr>
                <w:bCs/>
                <w:highlight w:val="green"/>
              </w:rPr>
            </w:pPr>
            <w:r w:rsidRPr="00516FD8">
              <w:t>–</w:t>
            </w:r>
          </w:p>
        </w:tc>
        <w:tc>
          <w:tcPr>
            <w:tcW w:w="710" w:type="dxa"/>
            <w:noWrap/>
          </w:tcPr>
          <w:p w14:paraId="5474A1E7" w14:textId="77777777" w:rsidR="005B131E" w:rsidRPr="00BA7805" w:rsidRDefault="005B131E" w:rsidP="002542E1">
            <w:pPr>
              <w:pStyle w:val="ARfintablebodyrightbold8pt"/>
              <w:rPr>
                <w:bCs/>
                <w:highlight w:val="green"/>
              </w:rPr>
            </w:pPr>
            <w:r w:rsidRPr="002C74C0">
              <w:t>(0.2)</w:t>
            </w:r>
          </w:p>
        </w:tc>
        <w:tc>
          <w:tcPr>
            <w:tcW w:w="710" w:type="dxa"/>
            <w:noWrap/>
          </w:tcPr>
          <w:p w14:paraId="1973F117" w14:textId="77777777" w:rsidR="005B131E" w:rsidRPr="00BA7805" w:rsidRDefault="005B131E" w:rsidP="002542E1">
            <w:pPr>
              <w:pStyle w:val="ARfintablebodyrightbold8pt"/>
              <w:rPr>
                <w:bCs/>
                <w:highlight w:val="green"/>
              </w:rPr>
            </w:pPr>
            <w:r w:rsidRPr="002C74C0">
              <w:t>2.2</w:t>
            </w:r>
          </w:p>
        </w:tc>
        <w:tc>
          <w:tcPr>
            <w:tcW w:w="710" w:type="dxa"/>
            <w:noWrap/>
          </w:tcPr>
          <w:p w14:paraId="0FF4AE7D" w14:textId="77777777" w:rsidR="005B131E" w:rsidRPr="00BA7805" w:rsidRDefault="005B131E" w:rsidP="002542E1">
            <w:pPr>
              <w:pStyle w:val="ARfintablebodyrightbold8pt"/>
              <w:rPr>
                <w:bCs/>
                <w:highlight w:val="green"/>
              </w:rPr>
            </w:pPr>
            <w:r w:rsidRPr="002C74C0">
              <w:t>(0.2)</w:t>
            </w:r>
          </w:p>
        </w:tc>
        <w:tc>
          <w:tcPr>
            <w:tcW w:w="710" w:type="dxa"/>
            <w:noWrap/>
          </w:tcPr>
          <w:p w14:paraId="38D6AE8D" w14:textId="77777777" w:rsidR="005B131E" w:rsidRPr="00BA7805" w:rsidRDefault="005B131E" w:rsidP="002542E1">
            <w:pPr>
              <w:pStyle w:val="ARfintablebodyrightbold8pt"/>
              <w:rPr>
                <w:bCs/>
                <w:highlight w:val="green"/>
              </w:rPr>
            </w:pPr>
            <w:r w:rsidRPr="002C74C0">
              <w:t>(1.1)</w:t>
            </w:r>
          </w:p>
        </w:tc>
        <w:tc>
          <w:tcPr>
            <w:tcW w:w="710" w:type="dxa"/>
            <w:noWrap/>
          </w:tcPr>
          <w:p w14:paraId="1EF33975" w14:textId="77777777" w:rsidR="005B131E" w:rsidRPr="00BA7805" w:rsidRDefault="005B131E" w:rsidP="002542E1">
            <w:pPr>
              <w:pStyle w:val="ARfintablebodyrightbold8pt"/>
              <w:rPr>
                <w:bCs/>
                <w:highlight w:val="green"/>
              </w:rPr>
            </w:pPr>
            <w:r w:rsidRPr="002C74C0">
              <w:t>(4.0)</w:t>
            </w:r>
          </w:p>
        </w:tc>
        <w:tc>
          <w:tcPr>
            <w:tcW w:w="710" w:type="dxa"/>
            <w:noWrap/>
          </w:tcPr>
          <w:p w14:paraId="73EFF5FF" w14:textId="77777777" w:rsidR="005B131E" w:rsidRPr="00BA7805" w:rsidRDefault="005B131E" w:rsidP="002542E1">
            <w:pPr>
              <w:pStyle w:val="ARfintablebodyrightbold8pt"/>
              <w:rPr>
                <w:bCs/>
                <w:highlight w:val="green"/>
              </w:rPr>
            </w:pPr>
            <w:r w:rsidRPr="002C74C0">
              <w:t>795.</w:t>
            </w:r>
            <w:r>
              <w:t>4</w:t>
            </w:r>
          </w:p>
        </w:tc>
        <w:tc>
          <w:tcPr>
            <w:tcW w:w="710" w:type="dxa"/>
          </w:tcPr>
          <w:p w14:paraId="57BD3631" w14:textId="77777777" w:rsidR="005B131E" w:rsidRPr="002C74C0" w:rsidRDefault="005B131E" w:rsidP="002542E1">
            <w:pPr>
              <w:pStyle w:val="ARfintablebodyrightbold8pt"/>
            </w:pPr>
            <w:r>
              <w:t>–</w:t>
            </w:r>
          </w:p>
        </w:tc>
        <w:tc>
          <w:tcPr>
            <w:tcW w:w="710" w:type="dxa"/>
            <w:noWrap/>
          </w:tcPr>
          <w:p w14:paraId="10D4C7B3" w14:textId="77777777" w:rsidR="005B131E" w:rsidRPr="00BA7805" w:rsidRDefault="005B131E" w:rsidP="002542E1">
            <w:pPr>
              <w:pStyle w:val="ARfintablebodyrightbold8pt"/>
              <w:rPr>
                <w:bCs/>
                <w:highlight w:val="green"/>
              </w:rPr>
            </w:pPr>
            <w:r w:rsidRPr="002C74C0">
              <w:t>549.4</w:t>
            </w:r>
          </w:p>
        </w:tc>
      </w:tr>
    </w:tbl>
    <w:p w14:paraId="206BD03B" w14:textId="77777777" w:rsidR="005B131E" w:rsidRPr="0031250D" w:rsidRDefault="005B131E" w:rsidP="002542E1">
      <w:pPr>
        <w:pStyle w:val="ARfintablefootnote"/>
      </w:pPr>
      <w:r w:rsidRPr="0031250D">
        <w:t>Note:</w:t>
      </w:r>
    </w:p>
    <w:p w14:paraId="6320344F" w14:textId="77777777" w:rsidR="005B131E" w:rsidRDefault="005B131E" w:rsidP="00440F34">
      <w:pPr>
        <w:pStyle w:val="ARfintablefootnotetabindent"/>
        <w:rPr>
          <w:sz w:val="15"/>
          <w:szCs w:val="15"/>
        </w:rPr>
      </w:pPr>
      <w:r w:rsidRPr="0031250D">
        <w:rPr>
          <w:sz w:val="15"/>
          <w:szCs w:val="15"/>
        </w:rPr>
        <w:t xml:space="preserve">(i) </w:t>
      </w:r>
      <w:r>
        <w:rPr>
          <w:sz w:val="15"/>
          <w:szCs w:val="15"/>
        </w:rPr>
        <w:tab/>
      </w:r>
      <w:r w:rsidRPr="0031250D">
        <w:rPr>
          <w:sz w:val="15"/>
          <w:szCs w:val="15"/>
        </w:rPr>
        <w:t>Refer to Note 4.1.1 for output definitions.</w:t>
      </w:r>
      <w:r>
        <w:rPr>
          <w:sz w:val="15"/>
          <w:szCs w:val="15"/>
        </w:rPr>
        <w:br w:type="page"/>
      </w:r>
    </w:p>
    <w:tbl>
      <w:tblPr>
        <w:tblStyle w:val="TableGrid"/>
        <w:tblW w:w="5000" w:type="pct"/>
        <w:tblLayout w:type="fixed"/>
        <w:tblCellMar>
          <w:right w:w="0" w:type="dxa"/>
        </w:tblCellMar>
        <w:tblLook w:val="06A0" w:firstRow="1" w:lastRow="0" w:firstColumn="1" w:lastColumn="0" w:noHBand="1" w:noVBand="1"/>
      </w:tblPr>
      <w:tblGrid>
        <w:gridCol w:w="2394"/>
        <w:gridCol w:w="707"/>
        <w:gridCol w:w="707"/>
        <w:gridCol w:w="707"/>
        <w:gridCol w:w="707"/>
        <w:gridCol w:w="707"/>
        <w:gridCol w:w="708"/>
        <w:gridCol w:w="707"/>
        <w:gridCol w:w="707"/>
        <w:gridCol w:w="707"/>
        <w:gridCol w:w="707"/>
        <w:gridCol w:w="708"/>
        <w:gridCol w:w="707"/>
        <w:gridCol w:w="707"/>
        <w:gridCol w:w="707"/>
        <w:gridCol w:w="707"/>
        <w:gridCol w:w="708"/>
      </w:tblGrid>
      <w:tr w:rsidR="005B131E" w:rsidRPr="00BA7805" w14:paraId="7907EC37" w14:textId="77777777" w:rsidTr="002542E1">
        <w:trPr>
          <w:cnfStyle w:val="100000000000" w:firstRow="1" w:lastRow="0" w:firstColumn="0" w:lastColumn="0" w:oddVBand="0" w:evenVBand="0" w:oddHBand="0" w:evenHBand="0" w:firstRowFirstColumn="0" w:firstRowLastColumn="0" w:lastRowFirstColumn="0" w:lastRowLastColumn="0"/>
          <w:trHeight w:val="170"/>
          <w:tblHeader/>
        </w:trPr>
        <w:tc>
          <w:tcPr>
            <w:tcW w:w="2394" w:type="dxa"/>
            <w:tcBorders>
              <w:bottom w:val="single" w:sz="4" w:space="0" w:color="auto"/>
            </w:tcBorders>
            <w:hideMark/>
          </w:tcPr>
          <w:p w14:paraId="6583A279" w14:textId="77777777" w:rsidR="005B131E" w:rsidRPr="00654A18" w:rsidRDefault="005B131E">
            <w:pPr>
              <w:pStyle w:val="ARfintablecolhead8"/>
              <w:rPr>
                <w:rStyle w:val="Superscript"/>
                <w:sz w:val="15"/>
              </w:rPr>
            </w:pPr>
            <w:r w:rsidRPr="00654A18">
              <w:t xml:space="preserve">Output </w:t>
            </w:r>
            <w:r w:rsidRPr="00654A18">
              <w:rPr>
                <w:rStyle w:val="Superscript"/>
                <w:sz w:val="15"/>
              </w:rPr>
              <w:t>(i)</w:t>
            </w:r>
          </w:p>
          <w:p w14:paraId="05FCEBC1" w14:textId="77777777" w:rsidR="005B131E" w:rsidRPr="00BA7805" w:rsidRDefault="005B131E">
            <w:pPr>
              <w:pStyle w:val="ARfintablecolhead"/>
              <w:spacing w:before="16" w:after="10" w:line="228" w:lineRule="auto"/>
              <w:ind w:right="0"/>
              <w:rPr>
                <w:rFonts w:cs="Arial"/>
                <w:sz w:val="15"/>
                <w:szCs w:val="15"/>
                <w:highlight w:val="green"/>
              </w:rPr>
            </w:pPr>
            <w:r w:rsidRPr="00654A18">
              <w:rPr>
                <w:rFonts w:cs="Arial"/>
                <w:sz w:val="15"/>
                <w:szCs w:val="15"/>
              </w:rPr>
              <w:t>2023</w:t>
            </w:r>
          </w:p>
        </w:tc>
        <w:tc>
          <w:tcPr>
            <w:tcW w:w="707" w:type="dxa"/>
            <w:tcBorders>
              <w:bottom w:val="single" w:sz="4" w:space="0" w:color="auto"/>
            </w:tcBorders>
            <w:hideMark/>
          </w:tcPr>
          <w:p w14:paraId="52ECFEE3" w14:textId="77777777" w:rsidR="005B131E" w:rsidRPr="00F4268B" w:rsidRDefault="005B131E">
            <w:pPr>
              <w:pStyle w:val="ARfintablecolheadright8"/>
            </w:pPr>
            <w:r w:rsidRPr="00F4268B">
              <w:t>1</w:t>
            </w:r>
          </w:p>
          <w:p w14:paraId="68FB3802" w14:textId="77777777" w:rsidR="005B131E" w:rsidRPr="00F4268B" w:rsidRDefault="005B131E">
            <w:pPr>
              <w:pStyle w:val="ARfintablecolheadright8"/>
            </w:pPr>
            <w:r w:rsidRPr="00F4268B">
              <w:t>$M</w:t>
            </w:r>
          </w:p>
        </w:tc>
        <w:tc>
          <w:tcPr>
            <w:tcW w:w="707" w:type="dxa"/>
            <w:tcBorders>
              <w:bottom w:val="single" w:sz="4" w:space="0" w:color="auto"/>
            </w:tcBorders>
            <w:hideMark/>
          </w:tcPr>
          <w:p w14:paraId="08A09400" w14:textId="77777777" w:rsidR="005B131E" w:rsidRPr="00F4268B" w:rsidRDefault="005B131E">
            <w:pPr>
              <w:pStyle w:val="ARfintablecolheadright8"/>
            </w:pPr>
            <w:r w:rsidRPr="00F4268B">
              <w:t>2</w:t>
            </w:r>
          </w:p>
          <w:p w14:paraId="135A6D5D" w14:textId="77777777" w:rsidR="005B131E" w:rsidRPr="00F4268B" w:rsidRDefault="005B131E">
            <w:pPr>
              <w:pStyle w:val="ARfintablecolheadright8"/>
            </w:pPr>
            <w:r w:rsidRPr="00F4268B">
              <w:t>$M</w:t>
            </w:r>
          </w:p>
        </w:tc>
        <w:tc>
          <w:tcPr>
            <w:tcW w:w="707" w:type="dxa"/>
            <w:tcBorders>
              <w:bottom w:val="single" w:sz="4" w:space="0" w:color="auto"/>
            </w:tcBorders>
            <w:hideMark/>
          </w:tcPr>
          <w:p w14:paraId="0F224674" w14:textId="77777777" w:rsidR="005B131E" w:rsidRPr="00F4268B" w:rsidRDefault="005B131E">
            <w:pPr>
              <w:pStyle w:val="ARfintablecolheadright8"/>
            </w:pPr>
            <w:r w:rsidRPr="00F4268B">
              <w:t>3</w:t>
            </w:r>
          </w:p>
          <w:p w14:paraId="30F5966D" w14:textId="77777777" w:rsidR="005B131E" w:rsidRPr="00F4268B" w:rsidRDefault="005B131E">
            <w:pPr>
              <w:pStyle w:val="ARfintablecolheadright8"/>
            </w:pPr>
            <w:r w:rsidRPr="00F4268B">
              <w:t>$M</w:t>
            </w:r>
          </w:p>
        </w:tc>
        <w:tc>
          <w:tcPr>
            <w:tcW w:w="707" w:type="dxa"/>
            <w:tcBorders>
              <w:bottom w:val="single" w:sz="4" w:space="0" w:color="auto"/>
            </w:tcBorders>
            <w:hideMark/>
          </w:tcPr>
          <w:p w14:paraId="5898959C" w14:textId="77777777" w:rsidR="005B131E" w:rsidRPr="00F4268B" w:rsidRDefault="005B131E">
            <w:pPr>
              <w:pStyle w:val="ARfintablecolheadright8"/>
            </w:pPr>
            <w:r w:rsidRPr="00F4268B">
              <w:t xml:space="preserve">4 </w:t>
            </w:r>
          </w:p>
          <w:p w14:paraId="70B05C7B" w14:textId="77777777" w:rsidR="005B131E" w:rsidRPr="00F4268B" w:rsidRDefault="005B131E">
            <w:pPr>
              <w:pStyle w:val="ARfintablecolheadright8"/>
            </w:pPr>
            <w:r w:rsidRPr="00F4268B">
              <w:t>$M</w:t>
            </w:r>
          </w:p>
        </w:tc>
        <w:tc>
          <w:tcPr>
            <w:tcW w:w="707" w:type="dxa"/>
            <w:tcBorders>
              <w:bottom w:val="single" w:sz="4" w:space="0" w:color="auto"/>
            </w:tcBorders>
            <w:hideMark/>
          </w:tcPr>
          <w:p w14:paraId="38D8E095" w14:textId="77777777" w:rsidR="005B131E" w:rsidRPr="00F4268B" w:rsidRDefault="005B131E">
            <w:pPr>
              <w:pStyle w:val="ARfintablecolheadright8"/>
            </w:pPr>
            <w:r w:rsidRPr="00F4268B">
              <w:t>5</w:t>
            </w:r>
          </w:p>
          <w:p w14:paraId="732C7E61" w14:textId="77777777" w:rsidR="005B131E" w:rsidRPr="00F4268B" w:rsidRDefault="005B131E">
            <w:pPr>
              <w:pStyle w:val="ARfintablecolheadright8"/>
            </w:pPr>
            <w:r w:rsidRPr="00F4268B">
              <w:t>$M</w:t>
            </w:r>
          </w:p>
        </w:tc>
        <w:tc>
          <w:tcPr>
            <w:tcW w:w="708" w:type="dxa"/>
            <w:tcBorders>
              <w:bottom w:val="single" w:sz="4" w:space="0" w:color="auto"/>
            </w:tcBorders>
            <w:hideMark/>
          </w:tcPr>
          <w:p w14:paraId="0CF94FAB" w14:textId="77777777" w:rsidR="005B131E" w:rsidRPr="00F4268B" w:rsidRDefault="005B131E">
            <w:pPr>
              <w:pStyle w:val="ARfintablecolheadright8"/>
            </w:pPr>
            <w:r w:rsidRPr="00F4268B">
              <w:t>6</w:t>
            </w:r>
          </w:p>
          <w:p w14:paraId="5372137C" w14:textId="77777777" w:rsidR="005B131E" w:rsidRPr="00F4268B" w:rsidRDefault="005B131E">
            <w:pPr>
              <w:pStyle w:val="ARfintablecolheadright8"/>
            </w:pPr>
            <w:r w:rsidRPr="00F4268B">
              <w:t>$M</w:t>
            </w:r>
          </w:p>
        </w:tc>
        <w:tc>
          <w:tcPr>
            <w:tcW w:w="707" w:type="dxa"/>
            <w:tcBorders>
              <w:bottom w:val="single" w:sz="4" w:space="0" w:color="auto"/>
            </w:tcBorders>
            <w:hideMark/>
          </w:tcPr>
          <w:p w14:paraId="5A625702" w14:textId="77777777" w:rsidR="005B131E" w:rsidRPr="00F4268B" w:rsidRDefault="005B131E">
            <w:pPr>
              <w:pStyle w:val="ARfintablecolheadright8"/>
            </w:pPr>
            <w:r w:rsidRPr="00F4268B">
              <w:t>7</w:t>
            </w:r>
          </w:p>
          <w:p w14:paraId="09B0D533" w14:textId="77777777" w:rsidR="005B131E" w:rsidRPr="00F4268B" w:rsidRDefault="005B131E">
            <w:pPr>
              <w:pStyle w:val="ARfintablecolheadright8"/>
            </w:pPr>
            <w:r w:rsidRPr="00F4268B">
              <w:t>$M</w:t>
            </w:r>
          </w:p>
        </w:tc>
        <w:tc>
          <w:tcPr>
            <w:tcW w:w="707" w:type="dxa"/>
            <w:tcBorders>
              <w:bottom w:val="single" w:sz="4" w:space="0" w:color="auto"/>
            </w:tcBorders>
            <w:hideMark/>
          </w:tcPr>
          <w:p w14:paraId="5FEFC776" w14:textId="77777777" w:rsidR="005B131E" w:rsidRPr="00F4268B" w:rsidRDefault="005B131E">
            <w:pPr>
              <w:pStyle w:val="ARfintablecolheadright8"/>
            </w:pPr>
            <w:r w:rsidRPr="00F4268B">
              <w:t>8</w:t>
            </w:r>
          </w:p>
          <w:p w14:paraId="0CC3F414" w14:textId="77777777" w:rsidR="005B131E" w:rsidRPr="00F4268B" w:rsidRDefault="005B131E">
            <w:pPr>
              <w:pStyle w:val="ARfintablecolheadright8"/>
            </w:pPr>
            <w:r w:rsidRPr="00F4268B">
              <w:t>$M</w:t>
            </w:r>
          </w:p>
        </w:tc>
        <w:tc>
          <w:tcPr>
            <w:tcW w:w="707" w:type="dxa"/>
            <w:tcBorders>
              <w:bottom w:val="single" w:sz="4" w:space="0" w:color="auto"/>
            </w:tcBorders>
            <w:hideMark/>
          </w:tcPr>
          <w:p w14:paraId="5477608E" w14:textId="77777777" w:rsidR="005B131E" w:rsidRPr="00F4268B" w:rsidRDefault="005B131E">
            <w:pPr>
              <w:pStyle w:val="ARfintablecolheadright8"/>
            </w:pPr>
            <w:r w:rsidRPr="00F4268B">
              <w:t>9</w:t>
            </w:r>
          </w:p>
          <w:p w14:paraId="02C017C2" w14:textId="77777777" w:rsidR="005B131E" w:rsidRPr="00F4268B" w:rsidRDefault="005B131E">
            <w:pPr>
              <w:pStyle w:val="ARfintablecolheadright8"/>
            </w:pPr>
            <w:r w:rsidRPr="00F4268B">
              <w:t>$M</w:t>
            </w:r>
          </w:p>
        </w:tc>
        <w:tc>
          <w:tcPr>
            <w:tcW w:w="707" w:type="dxa"/>
            <w:tcBorders>
              <w:bottom w:val="single" w:sz="4" w:space="0" w:color="auto"/>
            </w:tcBorders>
            <w:hideMark/>
          </w:tcPr>
          <w:p w14:paraId="1E5C1DBC" w14:textId="77777777" w:rsidR="005B131E" w:rsidRPr="00F4268B" w:rsidRDefault="005B131E">
            <w:pPr>
              <w:pStyle w:val="ARfintablecolheadright8"/>
            </w:pPr>
            <w:r w:rsidRPr="00F4268B">
              <w:t>10</w:t>
            </w:r>
          </w:p>
          <w:p w14:paraId="4EED67E0" w14:textId="77777777" w:rsidR="005B131E" w:rsidRPr="00F4268B" w:rsidRDefault="005B131E">
            <w:pPr>
              <w:pStyle w:val="ARfintablecolheadright8"/>
            </w:pPr>
            <w:r w:rsidRPr="00F4268B">
              <w:t>$M</w:t>
            </w:r>
          </w:p>
        </w:tc>
        <w:tc>
          <w:tcPr>
            <w:tcW w:w="708" w:type="dxa"/>
            <w:tcBorders>
              <w:bottom w:val="single" w:sz="4" w:space="0" w:color="auto"/>
            </w:tcBorders>
            <w:hideMark/>
          </w:tcPr>
          <w:p w14:paraId="04B6DE29" w14:textId="77777777" w:rsidR="005B131E" w:rsidRPr="00F4268B" w:rsidRDefault="005B131E">
            <w:pPr>
              <w:pStyle w:val="ARfintablecolheadright8"/>
            </w:pPr>
            <w:r w:rsidRPr="00F4268B">
              <w:t>11</w:t>
            </w:r>
          </w:p>
          <w:p w14:paraId="76757FF1" w14:textId="77777777" w:rsidR="005B131E" w:rsidRPr="00F4268B" w:rsidRDefault="005B131E">
            <w:pPr>
              <w:pStyle w:val="ARfintablecolheadright8"/>
            </w:pPr>
            <w:r w:rsidRPr="00F4268B">
              <w:t>$M</w:t>
            </w:r>
          </w:p>
        </w:tc>
        <w:tc>
          <w:tcPr>
            <w:tcW w:w="707" w:type="dxa"/>
            <w:tcBorders>
              <w:bottom w:val="single" w:sz="4" w:space="0" w:color="auto"/>
            </w:tcBorders>
            <w:hideMark/>
          </w:tcPr>
          <w:p w14:paraId="14BA3178" w14:textId="77777777" w:rsidR="005B131E" w:rsidRPr="00F4268B" w:rsidRDefault="005B131E">
            <w:pPr>
              <w:pStyle w:val="ARfintablecolheadright8"/>
            </w:pPr>
            <w:r w:rsidRPr="00F4268B">
              <w:t>12</w:t>
            </w:r>
          </w:p>
          <w:p w14:paraId="4608983E" w14:textId="77777777" w:rsidR="005B131E" w:rsidRPr="00F4268B" w:rsidRDefault="005B131E">
            <w:pPr>
              <w:pStyle w:val="ARfintablecolheadright8"/>
            </w:pPr>
            <w:r w:rsidRPr="00F4268B">
              <w:t>$M</w:t>
            </w:r>
          </w:p>
        </w:tc>
        <w:tc>
          <w:tcPr>
            <w:tcW w:w="707" w:type="dxa"/>
            <w:tcBorders>
              <w:bottom w:val="single" w:sz="4" w:space="0" w:color="auto"/>
            </w:tcBorders>
            <w:hideMark/>
          </w:tcPr>
          <w:p w14:paraId="52C55F95" w14:textId="77777777" w:rsidR="005B131E" w:rsidRPr="00F4268B" w:rsidRDefault="005B131E">
            <w:pPr>
              <w:pStyle w:val="ARfintablecolheadright8"/>
            </w:pPr>
            <w:r w:rsidRPr="00F4268B">
              <w:t>13</w:t>
            </w:r>
          </w:p>
          <w:p w14:paraId="78F0C7E5" w14:textId="77777777" w:rsidR="005B131E" w:rsidRPr="00F4268B" w:rsidRDefault="005B131E">
            <w:pPr>
              <w:pStyle w:val="ARfintablecolheadright8"/>
            </w:pPr>
            <w:r w:rsidRPr="00F4268B">
              <w:t>$M</w:t>
            </w:r>
          </w:p>
        </w:tc>
        <w:tc>
          <w:tcPr>
            <w:tcW w:w="707" w:type="dxa"/>
            <w:tcBorders>
              <w:bottom w:val="single" w:sz="4" w:space="0" w:color="auto"/>
            </w:tcBorders>
            <w:hideMark/>
          </w:tcPr>
          <w:p w14:paraId="48318431" w14:textId="77777777" w:rsidR="005B131E" w:rsidRPr="00F4268B" w:rsidRDefault="005B131E">
            <w:pPr>
              <w:pStyle w:val="ARfintablecolheadright8"/>
            </w:pPr>
            <w:r w:rsidRPr="00F4268B">
              <w:t>14</w:t>
            </w:r>
          </w:p>
          <w:p w14:paraId="2EA92A23" w14:textId="77777777" w:rsidR="005B131E" w:rsidRPr="00F4268B" w:rsidRDefault="005B131E">
            <w:pPr>
              <w:pStyle w:val="ARfintablecolheadright8"/>
            </w:pPr>
            <w:r w:rsidRPr="00F4268B">
              <w:t>$M</w:t>
            </w:r>
          </w:p>
        </w:tc>
        <w:tc>
          <w:tcPr>
            <w:tcW w:w="707" w:type="dxa"/>
            <w:tcBorders>
              <w:bottom w:val="single" w:sz="4" w:space="0" w:color="auto"/>
            </w:tcBorders>
          </w:tcPr>
          <w:p w14:paraId="2AC24E7E" w14:textId="77777777" w:rsidR="005B131E" w:rsidRDefault="005B131E" w:rsidP="002542E1">
            <w:pPr>
              <w:pStyle w:val="ARfintablecolheadright8"/>
            </w:pPr>
            <w:r>
              <w:t>Elimin-</w:t>
            </w:r>
            <w:r>
              <w:br/>
              <w:t>ation</w:t>
            </w:r>
          </w:p>
          <w:p w14:paraId="7B4A0013" w14:textId="77777777" w:rsidR="005B131E" w:rsidRPr="00F4268B" w:rsidRDefault="005B131E" w:rsidP="002542E1">
            <w:pPr>
              <w:pStyle w:val="ARfintablecolheadright8"/>
            </w:pPr>
            <w:r>
              <w:t>$M</w:t>
            </w:r>
          </w:p>
        </w:tc>
        <w:tc>
          <w:tcPr>
            <w:tcW w:w="708" w:type="dxa"/>
            <w:tcBorders>
              <w:bottom w:val="single" w:sz="4" w:space="0" w:color="auto"/>
            </w:tcBorders>
            <w:hideMark/>
          </w:tcPr>
          <w:p w14:paraId="60F1E3F8" w14:textId="77777777" w:rsidR="005B131E" w:rsidRPr="00F4268B" w:rsidRDefault="005B131E">
            <w:pPr>
              <w:pStyle w:val="ARfintablecolheadright8"/>
            </w:pPr>
            <w:r w:rsidRPr="00F4268B">
              <w:t>Total</w:t>
            </w:r>
          </w:p>
          <w:p w14:paraId="3AC37FBB" w14:textId="77777777" w:rsidR="005B131E" w:rsidRPr="00F4268B" w:rsidRDefault="005B131E">
            <w:pPr>
              <w:pStyle w:val="ARfintablecolheadright8"/>
            </w:pPr>
            <w:r w:rsidRPr="00F4268B">
              <w:t>$M</w:t>
            </w:r>
          </w:p>
        </w:tc>
      </w:tr>
      <w:tr w:rsidR="005B131E" w:rsidRPr="00BA7805" w14:paraId="0E1A6753" w14:textId="77777777">
        <w:trPr>
          <w:trHeight w:val="170"/>
        </w:trPr>
        <w:tc>
          <w:tcPr>
            <w:tcW w:w="13709" w:type="dxa"/>
            <w:gridSpan w:val="17"/>
            <w:tcBorders>
              <w:top w:val="single" w:sz="4" w:space="0" w:color="A6A6A6" w:themeColor="background1" w:themeShade="A6"/>
              <w:bottom w:val="single" w:sz="4" w:space="0" w:color="A6A6A6" w:themeColor="background1" w:themeShade="A6"/>
            </w:tcBorders>
          </w:tcPr>
          <w:p w14:paraId="3FFDFE87" w14:textId="77777777" w:rsidR="005B131E" w:rsidRPr="00BA7805" w:rsidRDefault="005B131E" w:rsidP="002542E1">
            <w:pPr>
              <w:pStyle w:val="ARfintablebodybold8pt"/>
              <w:rPr>
                <w:sz w:val="15"/>
                <w:szCs w:val="15"/>
                <w:highlight w:val="green"/>
              </w:rPr>
            </w:pPr>
            <w:r w:rsidRPr="00747B6C">
              <w:t>Total revenue and income from transactions</w:t>
            </w:r>
          </w:p>
        </w:tc>
      </w:tr>
      <w:tr w:rsidR="005B131E" w:rsidRPr="00BA7805" w14:paraId="12F1C7A0"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25FA8C4F" w14:textId="77777777" w:rsidR="005B131E" w:rsidRPr="00BA7805" w:rsidRDefault="005B131E" w:rsidP="002542E1">
            <w:pPr>
              <w:pStyle w:val="ARfintablebody8pt"/>
              <w:rPr>
                <w:sz w:val="15"/>
                <w:highlight w:val="green"/>
              </w:rPr>
            </w:pPr>
            <w:r w:rsidRPr="00747B6C">
              <w:t>Output appropriations</w:t>
            </w:r>
          </w:p>
        </w:tc>
        <w:tc>
          <w:tcPr>
            <w:tcW w:w="707" w:type="dxa"/>
            <w:tcBorders>
              <w:top w:val="single" w:sz="4" w:space="0" w:color="A6A6A6" w:themeColor="background1" w:themeShade="A6"/>
              <w:bottom w:val="single" w:sz="4" w:space="0" w:color="A6A6A6" w:themeColor="background1" w:themeShade="A6"/>
            </w:tcBorders>
            <w:noWrap/>
          </w:tcPr>
          <w:p w14:paraId="17E56C2C" w14:textId="77777777" w:rsidR="005B131E" w:rsidRPr="00BA7805" w:rsidRDefault="005B131E" w:rsidP="002542E1">
            <w:pPr>
              <w:pStyle w:val="ARfintablebodyright8pt"/>
              <w:rPr>
                <w:sz w:val="15"/>
                <w:szCs w:val="15"/>
                <w:highlight w:val="green"/>
              </w:rPr>
            </w:pPr>
            <w:r w:rsidRPr="00630A9E">
              <w:t>392.3</w:t>
            </w:r>
          </w:p>
        </w:tc>
        <w:tc>
          <w:tcPr>
            <w:tcW w:w="707" w:type="dxa"/>
            <w:tcBorders>
              <w:top w:val="single" w:sz="4" w:space="0" w:color="A6A6A6" w:themeColor="background1" w:themeShade="A6"/>
              <w:bottom w:val="single" w:sz="4" w:space="0" w:color="A6A6A6" w:themeColor="background1" w:themeShade="A6"/>
            </w:tcBorders>
            <w:noWrap/>
          </w:tcPr>
          <w:p w14:paraId="577393AC" w14:textId="77777777" w:rsidR="005B131E" w:rsidRPr="00BA7805" w:rsidRDefault="005B131E" w:rsidP="002542E1">
            <w:pPr>
              <w:pStyle w:val="ARfintablebodyright8pt"/>
              <w:rPr>
                <w:sz w:val="15"/>
                <w:szCs w:val="15"/>
                <w:highlight w:val="green"/>
              </w:rPr>
            </w:pPr>
            <w:r w:rsidRPr="00630A9E">
              <w:t>2,017.1</w:t>
            </w:r>
          </w:p>
        </w:tc>
        <w:tc>
          <w:tcPr>
            <w:tcW w:w="707" w:type="dxa"/>
            <w:tcBorders>
              <w:top w:val="single" w:sz="4" w:space="0" w:color="A6A6A6" w:themeColor="background1" w:themeShade="A6"/>
              <w:bottom w:val="single" w:sz="4" w:space="0" w:color="A6A6A6" w:themeColor="background1" w:themeShade="A6"/>
            </w:tcBorders>
            <w:noWrap/>
          </w:tcPr>
          <w:p w14:paraId="07F51676" w14:textId="77777777" w:rsidR="005B131E" w:rsidRPr="00BA7805" w:rsidRDefault="005B131E" w:rsidP="002542E1">
            <w:pPr>
              <w:pStyle w:val="ARfintablebodyright8pt"/>
              <w:rPr>
                <w:sz w:val="15"/>
                <w:szCs w:val="15"/>
                <w:highlight w:val="green"/>
              </w:rPr>
            </w:pPr>
            <w:r w:rsidRPr="00630A9E">
              <w:t>831.9</w:t>
            </w:r>
          </w:p>
        </w:tc>
        <w:tc>
          <w:tcPr>
            <w:tcW w:w="707" w:type="dxa"/>
            <w:tcBorders>
              <w:top w:val="single" w:sz="4" w:space="0" w:color="A6A6A6" w:themeColor="background1" w:themeShade="A6"/>
              <w:bottom w:val="single" w:sz="4" w:space="0" w:color="A6A6A6" w:themeColor="background1" w:themeShade="A6"/>
            </w:tcBorders>
            <w:noWrap/>
          </w:tcPr>
          <w:p w14:paraId="606B72B3" w14:textId="77777777" w:rsidR="005B131E" w:rsidRPr="00BA7805" w:rsidRDefault="005B131E" w:rsidP="002542E1">
            <w:pPr>
              <w:pStyle w:val="ARfintablebodyright8pt"/>
              <w:rPr>
                <w:sz w:val="15"/>
                <w:szCs w:val="15"/>
                <w:highlight w:val="green"/>
              </w:rPr>
            </w:pPr>
            <w:r w:rsidRPr="00630A9E">
              <w:t>70.1</w:t>
            </w:r>
          </w:p>
        </w:tc>
        <w:tc>
          <w:tcPr>
            <w:tcW w:w="707" w:type="dxa"/>
            <w:tcBorders>
              <w:top w:val="single" w:sz="4" w:space="0" w:color="A6A6A6" w:themeColor="background1" w:themeShade="A6"/>
              <w:bottom w:val="single" w:sz="4" w:space="0" w:color="A6A6A6" w:themeColor="background1" w:themeShade="A6"/>
            </w:tcBorders>
            <w:noWrap/>
          </w:tcPr>
          <w:p w14:paraId="151C21F5" w14:textId="77777777" w:rsidR="005B131E" w:rsidRPr="00BA7805" w:rsidRDefault="005B131E" w:rsidP="002542E1">
            <w:pPr>
              <w:pStyle w:val="ARfintablebodyright8pt"/>
              <w:rPr>
                <w:sz w:val="15"/>
                <w:szCs w:val="15"/>
                <w:highlight w:val="green"/>
              </w:rPr>
            </w:pPr>
            <w:r w:rsidRPr="00630A9E">
              <w:t>22.1</w:t>
            </w:r>
          </w:p>
        </w:tc>
        <w:tc>
          <w:tcPr>
            <w:tcW w:w="708" w:type="dxa"/>
            <w:tcBorders>
              <w:top w:val="single" w:sz="4" w:space="0" w:color="A6A6A6" w:themeColor="background1" w:themeShade="A6"/>
              <w:bottom w:val="single" w:sz="4" w:space="0" w:color="A6A6A6" w:themeColor="background1" w:themeShade="A6"/>
            </w:tcBorders>
            <w:noWrap/>
          </w:tcPr>
          <w:p w14:paraId="734F812D" w14:textId="77777777" w:rsidR="005B131E" w:rsidRPr="00BA7805" w:rsidRDefault="005B131E" w:rsidP="002542E1">
            <w:pPr>
              <w:pStyle w:val="ARfintablebodyright8pt"/>
              <w:rPr>
                <w:sz w:val="15"/>
                <w:szCs w:val="15"/>
                <w:highlight w:val="green"/>
              </w:rPr>
            </w:pPr>
            <w:r w:rsidRPr="00630A9E">
              <w:t>67.0</w:t>
            </w:r>
          </w:p>
        </w:tc>
        <w:tc>
          <w:tcPr>
            <w:tcW w:w="707" w:type="dxa"/>
            <w:tcBorders>
              <w:top w:val="single" w:sz="4" w:space="0" w:color="A6A6A6" w:themeColor="background1" w:themeShade="A6"/>
              <w:bottom w:val="single" w:sz="4" w:space="0" w:color="A6A6A6" w:themeColor="background1" w:themeShade="A6"/>
            </w:tcBorders>
            <w:noWrap/>
          </w:tcPr>
          <w:p w14:paraId="4C1B9EFF" w14:textId="77777777" w:rsidR="005B131E" w:rsidRPr="00BA7805" w:rsidRDefault="005B131E" w:rsidP="002542E1">
            <w:pPr>
              <w:pStyle w:val="ARfintablebodyright8pt"/>
              <w:rPr>
                <w:sz w:val="15"/>
                <w:szCs w:val="15"/>
                <w:highlight w:val="green"/>
              </w:rPr>
            </w:pPr>
            <w:r w:rsidRPr="00630A9E">
              <w:t>10.9</w:t>
            </w:r>
          </w:p>
        </w:tc>
        <w:tc>
          <w:tcPr>
            <w:tcW w:w="707" w:type="dxa"/>
            <w:tcBorders>
              <w:top w:val="single" w:sz="4" w:space="0" w:color="A6A6A6" w:themeColor="background1" w:themeShade="A6"/>
              <w:bottom w:val="single" w:sz="4" w:space="0" w:color="A6A6A6" w:themeColor="background1" w:themeShade="A6"/>
            </w:tcBorders>
            <w:noWrap/>
          </w:tcPr>
          <w:p w14:paraId="5AAF7C05" w14:textId="77777777" w:rsidR="005B131E" w:rsidRPr="00BA7805" w:rsidRDefault="005B131E" w:rsidP="002542E1">
            <w:pPr>
              <w:pStyle w:val="ARfintablebodyright8pt"/>
              <w:rPr>
                <w:sz w:val="15"/>
                <w:szCs w:val="15"/>
                <w:highlight w:val="green"/>
              </w:rPr>
            </w:pPr>
            <w:r w:rsidRPr="00630A9E">
              <w:t>10.1</w:t>
            </w:r>
          </w:p>
        </w:tc>
        <w:tc>
          <w:tcPr>
            <w:tcW w:w="707" w:type="dxa"/>
            <w:tcBorders>
              <w:top w:val="single" w:sz="4" w:space="0" w:color="A6A6A6" w:themeColor="background1" w:themeShade="A6"/>
              <w:bottom w:val="single" w:sz="4" w:space="0" w:color="A6A6A6" w:themeColor="background1" w:themeShade="A6"/>
            </w:tcBorders>
            <w:noWrap/>
          </w:tcPr>
          <w:p w14:paraId="1935AE6D" w14:textId="77777777" w:rsidR="005B131E" w:rsidRPr="00BA7805" w:rsidRDefault="005B131E" w:rsidP="002542E1">
            <w:pPr>
              <w:pStyle w:val="ARfintablebodyright8pt"/>
              <w:rPr>
                <w:sz w:val="15"/>
                <w:szCs w:val="15"/>
                <w:highlight w:val="green"/>
              </w:rPr>
            </w:pPr>
            <w:r w:rsidRPr="00630A9E">
              <w:t>14.6</w:t>
            </w:r>
          </w:p>
        </w:tc>
        <w:tc>
          <w:tcPr>
            <w:tcW w:w="707" w:type="dxa"/>
            <w:tcBorders>
              <w:top w:val="single" w:sz="4" w:space="0" w:color="A6A6A6" w:themeColor="background1" w:themeShade="A6"/>
              <w:bottom w:val="single" w:sz="4" w:space="0" w:color="A6A6A6" w:themeColor="background1" w:themeShade="A6"/>
            </w:tcBorders>
            <w:noWrap/>
          </w:tcPr>
          <w:p w14:paraId="3B714093" w14:textId="77777777" w:rsidR="005B131E" w:rsidRPr="00BA7805" w:rsidRDefault="005B131E" w:rsidP="002542E1">
            <w:pPr>
              <w:pStyle w:val="ARfintablebodyright8pt"/>
              <w:rPr>
                <w:sz w:val="15"/>
                <w:szCs w:val="15"/>
                <w:highlight w:val="green"/>
              </w:rPr>
            </w:pPr>
            <w:r w:rsidRPr="00630A9E">
              <w:t>32.8</w:t>
            </w:r>
          </w:p>
        </w:tc>
        <w:tc>
          <w:tcPr>
            <w:tcW w:w="708" w:type="dxa"/>
            <w:tcBorders>
              <w:top w:val="single" w:sz="4" w:space="0" w:color="A6A6A6" w:themeColor="background1" w:themeShade="A6"/>
              <w:bottom w:val="single" w:sz="4" w:space="0" w:color="A6A6A6" w:themeColor="background1" w:themeShade="A6"/>
            </w:tcBorders>
            <w:noWrap/>
          </w:tcPr>
          <w:p w14:paraId="02C70AFE" w14:textId="77777777" w:rsidR="005B131E" w:rsidRPr="00BA7805" w:rsidRDefault="005B131E" w:rsidP="002542E1">
            <w:pPr>
              <w:pStyle w:val="ARfintablebodyright8pt"/>
              <w:rPr>
                <w:sz w:val="15"/>
                <w:szCs w:val="15"/>
                <w:highlight w:val="green"/>
              </w:rPr>
            </w:pPr>
            <w:r w:rsidRPr="00630A9E">
              <w:t>31.3</w:t>
            </w:r>
          </w:p>
        </w:tc>
        <w:tc>
          <w:tcPr>
            <w:tcW w:w="707" w:type="dxa"/>
            <w:tcBorders>
              <w:top w:val="single" w:sz="4" w:space="0" w:color="A6A6A6" w:themeColor="background1" w:themeShade="A6"/>
              <w:bottom w:val="single" w:sz="4" w:space="0" w:color="A6A6A6" w:themeColor="background1" w:themeShade="A6"/>
            </w:tcBorders>
            <w:noWrap/>
          </w:tcPr>
          <w:p w14:paraId="28FD5F9B" w14:textId="77777777" w:rsidR="005B131E" w:rsidRPr="00BA7805" w:rsidRDefault="005B131E" w:rsidP="002542E1">
            <w:pPr>
              <w:pStyle w:val="ARfintablebodyright8pt"/>
              <w:rPr>
                <w:sz w:val="15"/>
                <w:szCs w:val="15"/>
                <w:highlight w:val="green"/>
              </w:rPr>
            </w:pPr>
            <w:r w:rsidRPr="00630A9E">
              <w:t>55.9</w:t>
            </w:r>
          </w:p>
        </w:tc>
        <w:tc>
          <w:tcPr>
            <w:tcW w:w="707" w:type="dxa"/>
            <w:tcBorders>
              <w:top w:val="single" w:sz="4" w:space="0" w:color="A6A6A6" w:themeColor="background1" w:themeShade="A6"/>
              <w:bottom w:val="single" w:sz="4" w:space="0" w:color="A6A6A6" w:themeColor="background1" w:themeShade="A6"/>
            </w:tcBorders>
            <w:noWrap/>
          </w:tcPr>
          <w:p w14:paraId="1B499308" w14:textId="77777777" w:rsidR="005B131E" w:rsidRPr="00BA7805" w:rsidRDefault="005B131E" w:rsidP="002542E1">
            <w:pPr>
              <w:pStyle w:val="ARfintablebodyright8pt"/>
              <w:rPr>
                <w:sz w:val="15"/>
                <w:szCs w:val="15"/>
                <w:highlight w:val="green"/>
              </w:rPr>
            </w:pPr>
            <w:r w:rsidRPr="00630A9E">
              <w:t>572.8</w:t>
            </w:r>
          </w:p>
        </w:tc>
        <w:tc>
          <w:tcPr>
            <w:tcW w:w="707" w:type="dxa"/>
            <w:tcBorders>
              <w:top w:val="single" w:sz="4" w:space="0" w:color="A6A6A6" w:themeColor="background1" w:themeShade="A6"/>
              <w:bottom w:val="single" w:sz="4" w:space="0" w:color="A6A6A6" w:themeColor="background1" w:themeShade="A6"/>
            </w:tcBorders>
            <w:noWrap/>
          </w:tcPr>
          <w:p w14:paraId="709A5C97" w14:textId="77777777" w:rsidR="005B131E" w:rsidRPr="00BA7805" w:rsidRDefault="005B131E" w:rsidP="002542E1">
            <w:pPr>
              <w:pStyle w:val="ARfintablebodyright8pt"/>
              <w:rPr>
                <w:sz w:val="15"/>
                <w:szCs w:val="15"/>
                <w:highlight w:val="green"/>
              </w:rPr>
            </w:pPr>
            <w:r w:rsidRPr="00630A9E">
              <w:t>839.4</w:t>
            </w:r>
          </w:p>
        </w:tc>
        <w:tc>
          <w:tcPr>
            <w:tcW w:w="707" w:type="dxa"/>
            <w:tcBorders>
              <w:top w:val="single" w:sz="4" w:space="0" w:color="A6A6A6" w:themeColor="background1" w:themeShade="A6"/>
              <w:bottom w:val="single" w:sz="4" w:space="0" w:color="A6A6A6" w:themeColor="background1" w:themeShade="A6"/>
            </w:tcBorders>
          </w:tcPr>
          <w:p w14:paraId="6CDF0005"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A6A6A6" w:themeColor="background1" w:themeShade="A6"/>
            </w:tcBorders>
            <w:noWrap/>
          </w:tcPr>
          <w:p w14:paraId="4210A0B3" w14:textId="77777777" w:rsidR="005B131E" w:rsidRPr="00BA7805" w:rsidRDefault="005B131E" w:rsidP="002542E1">
            <w:pPr>
              <w:pStyle w:val="ARfintablebodyright8pt"/>
              <w:rPr>
                <w:sz w:val="15"/>
                <w:szCs w:val="15"/>
                <w:highlight w:val="green"/>
              </w:rPr>
            </w:pPr>
            <w:r w:rsidRPr="00630A9E">
              <w:t>4,968.4</w:t>
            </w:r>
          </w:p>
        </w:tc>
      </w:tr>
      <w:tr w:rsidR="005B131E" w:rsidRPr="00BA7805" w14:paraId="7C38075B"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6083FB5F" w14:textId="77777777" w:rsidR="005B131E" w:rsidRPr="00BA7805" w:rsidRDefault="005B131E" w:rsidP="002542E1">
            <w:pPr>
              <w:pStyle w:val="ARfintablebody8pt"/>
              <w:rPr>
                <w:sz w:val="15"/>
                <w:highlight w:val="green"/>
              </w:rPr>
            </w:pPr>
            <w:r w:rsidRPr="00747B6C">
              <w:t>Special appropriations</w:t>
            </w:r>
          </w:p>
        </w:tc>
        <w:tc>
          <w:tcPr>
            <w:tcW w:w="707" w:type="dxa"/>
            <w:tcBorders>
              <w:top w:val="single" w:sz="4" w:space="0" w:color="A6A6A6" w:themeColor="background1" w:themeShade="A6"/>
              <w:bottom w:val="single" w:sz="4" w:space="0" w:color="A6A6A6" w:themeColor="background1" w:themeShade="A6"/>
            </w:tcBorders>
            <w:noWrap/>
          </w:tcPr>
          <w:p w14:paraId="424F58D5" w14:textId="77777777" w:rsidR="005B131E" w:rsidRPr="00BA7805" w:rsidRDefault="005B131E" w:rsidP="002542E1">
            <w:pPr>
              <w:pStyle w:val="ARfintablebodyright8pt"/>
              <w:rPr>
                <w:sz w:val="15"/>
                <w:szCs w:val="15"/>
                <w:highlight w:val="green"/>
              </w:rPr>
            </w:pPr>
            <w:r w:rsidRPr="00630A9E">
              <w:t>64.8</w:t>
            </w:r>
          </w:p>
        </w:tc>
        <w:tc>
          <w:tcPr>
            <w:tcW w:w="707" w:type="dxa"/>
            <w:tcBorders>
              <w:top w:val="single" w:sz="4" w:space="0" w:color="A6A6A6" w:themeColor="background1" w:themeShade="A6"/>
              <w:bottom w:val="single" w:sz="4" w:space="0" w:color="A6A6A6" w:themeColor="background1" w:themeShade="A6"/>
            </w:tcBorders>
            <w:noWrap/>
          </w:tcPr>
          <w:p w14:paraId="790FBDBD"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6BEEFE1C"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A975B27"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2B90BF0F" w14:textId="77777777" w:rsidR="005B131E" w:rsidRPr="00BA7805" w:rsidRDefault="005B131E" w:rsidP="002542E1">
            <w:pPr>
              <w:pStyle w:val="ARfintablebodyright8pt"/>
              <w:rPr>
                <w:sz w:val="15"/>
                <w:szCs w:val="15"/>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6AFE7EC2"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051D04A"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1DB06B72"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1416AF9C"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55BBA2E" w14:textId="77777777" w:rsidR="005B131E" w:rsidRPr="00BA7805" w:rsidRDefault="005B131E" w:rsidP="002542E1">
            <w:pPr>
              <w:pStyle w:val="ARfintablebodyright8pt"/>
              <w:rPr>
                <w:sz w:val="15"/>
                <w:szCs w:val="15"/>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6B024DA0"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268E7F0"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1D96C2EC" w14:textId="77777777" w:rsidR="005B131E" w:rsidRPr="00BA7805" w:rsidRDefault="005B131E" w:rsidP="002542E1">
            <w:pPr>
              <w:pStyle w:val="ARfintablebodyright8pt"/>
              <w:rPr>
                <w:sz w:val="15"/>
                <w:szCs w:val="15"/>
                <w:highlight w:val="green"/>
              </w:rPr>
            </w:pPr>
            <w:r w:rsidRPr="00630A9E">
              <w:t>14.2</w:t>
            </w:r>
          </w:p>
        </w:tc>
        <w:tc>
          <w:tcPr>
            <w:tcW w:w="707" w:type="dxa"/>
            <w:tcBorders>
              <w:top w:val="single" w:sz="4" w:space="0" w:color="A6A6A6" w:themeColor="background1" w:themeShade="A6"/>
              <w:bottom w:val="single" w:sz="4" w:space="0" w:color="A6A6A6" w:themeColor="background1" w:themeShade="A6"/>
            </w:tcBorders>
            <w:noWrap/>
          </w:tcPr>
          <w:p w14:paraId="3BC09E51"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tcPr>
          <w:p w14:paraId="6786674F"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A6A6A6" w:themeColor="background1" w:themeShade="A6"/>
            </w:tcBorders>
            <w:noWrap/>
          </w:tcPr>
          <w:p w14:paraId="2A363265" w14:textId="77777777" w:rsidR="005B131E" w:rsidRPr="00BA7805" w:rsidRDefault="005B131E" w:rsidP="002542E1">
            <w:pPr>
              <w:pStyle w:val="ARfintablebodyright8pt"/>
              <w:rPr>
                <w:sz w:val="15"/>
                <w:szCs w:val="15"/>
                <w:highlight w:val="green"/>
              </w:rPr>
            </w:pPr>
            <w:r w:rsidRPr="00630A9E">
              <w:t>79.1</w:t>
            </w:r>
          </w:p>
        </w:tc>
      </w:tr>
      <w:tr w:rsidR="005B131E" w:rsidRPr="00BA7805" w14:paraId="76BD3750"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0C7F36E2" w14:textId="77777777" w:rsidR="005B131E" w:rsidRPr="00BA7805" w:rsidRDefault="005B131E" w:rsidP="002542E1">
            <w:pPr>
              <w:pStyle w:val="ARfintablebody8pt"/>
              <w:rPr>
                <w:sz w:val="15"/>
                <w:highlight w:val="green"/>
              </w:rPr>
            </w:pPr>
            <w:r w:rsidRPr="00747B6C">
              <w:t>Rental income</w:t>
            </w:r>
          </w:p>
        </w:tc>
        <w:tc>
          <w:tcPr>
            <w:tcW w:w="707" w:type="dxa"/>
            <w:tcBorders>
              <w:top w:val="single" w:sz="4" w:space="0" w:color="A6A6A6" w:themeColor="background1" w:themeShade="A6"/>
              <w:bottom w:val="single" w:sz="4" w:space="0" w:color="A6A6A6" w:themeColor="background1" w:themeShade="A6"/>
            </w:tcBorders>
            <w:noWrap/>
          </w:tcPr>
          <w:p w14:paraId="0769234B"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677BA7A5"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0DDB5603"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327F683D"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CCEBA02" w14:textId="77777777" w:rsidR="005B131E" w:rsidRPr="00BA7805" w:rsidRDefault="005B131E" w:rsidP="002542E1">
            <w:pPr>
              <w:pStyle w:val="ARfintablebodyright8pt"/>
              <w:rPr>
                <w:sz w:val="15"/>
                <w:szCs w:val="15"/>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01C2D45E"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2A59D45F"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334F929"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324770AA"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79B9EA45" w14:textId="77777777" w:rsidR="005B131E" w:rsidRPr="00BA7805" w:rsidRDefault="005B131E" w:rsidP="002542E1">
            <w:pPr>
              <w:pStyle w:val="ARfintablebodyright8pt"/>
              <w:rPr>
                <w:sz w:val="15"/>
                <w:szCs w:val="15"/>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6C5D41F7"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0B885F5"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1F7F121"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2FEA52C2" w14:textId="77777777" w:rsidR="005B131E" w:rsidRPr="00BA7805" w:rsidRDefault="005B131E" w:rsidP="002542E1">
            <w:pPr>
              <w:pStyle w:val="ARfintablebodyright8pt"/>
              <w:rPr>
                <w:sz w:val="15"/>
                <w:szCs w:val="15"/>
                <w:highlight w:val="green"/>
              </w:rPr>
            </w:pPr>
            <w:r w:rsidRPr="00630A9E">
              <w:t>523.3</w:t>
            </w:r>
          </w:p>
        </w:tc>
        <w:tc>
          <w:tcPr>
            <w:tcW w:w="707" w:type="dxa"/>
            <w:tcBorders>
              <w:top w:val="single" w:sz="4" w:space="0" w:color="A6A6A6" w:themeColor="background1" w:themeShade="A6"/>
              <w:bottom w:val="single" w:sz="4" w:space="0" w:color="A6A6A6" w:themeColor="background1" w:themeShade="A6"/>
            </w:tcBorders>
          </w:tcPr>
          <w:p w14:paraId="4B75B92A"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A6A6A6" w:themeColor="background1" w:themeShade="A6"/>
            </w:tcBorders>
            <w:noWrap/>
          </w:tcPr>
          <w:p w14:paraId="7E4D4E2E" w14:textId="77777777" w:rsidR="005B131E" w:rsidRPr="00BA7805" w:rsidRDefault="005B131E" w:rsidP="002542E1">
            <w:pPr>
              <w:pStyle w:val="ARfintablebodyright8pt"/>
              <w:rPr>
                <w:sz w:val="15"/>
                <w:szCs w:val="15"/>
                <w:highlight w:val="green"/>
              </w:rPr>
            </w:pPr>
            <w:r w:rsidRPr="00630A9E">
              <w:t>523.3</w:t>
            </w:r>
          </w:p>
        </w:tc>
      </w:tr>
      <w:tr w:rsidR="005B131E" w:rsidRPr="00BA7805" w14:paraId="05B0C8FC"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53FFFAF6" w14:textId="77777777" w:rsidR="005B131E" w:rsidRPr="00BA7805" w:rsidRDefault="005B131E" w:rsidP="002542E1">
            <w:pPr>
              <w:pStyle w:val="ARfintablebody8pt"/>
              <w:rPr>
                <w:sz w:val="15"/>
                <w:highlight w:val="green"/>
              </w:rPr>
            </w:pPr>
            <w:r w:rsidRPr="00747B6C">
              <w:t>Grants</w:t>
            </w:r>
          </w:p>
        </w:tc>
        <w:tc>
          <w:tcPr>
            <w:tcW w:w="707" w:type="dxa"/>
            <w:tcBorders>
              <w:top w:val="single" w:sz="4" w:space="0" w:color="A6A6A6" w:themeColor="background1" w:themeShade="A6"/>
              <w:bottom w:val="single" w:sz="4" w:space="0" w:color="A6A6A6" w:themeColor="background1" w:themeShade="A6"/>
            </w:tcBorders>
            <w:noWrap/>
          </w:tcPr>
          <w:p w14:paraId="1E4B95CC" w14:textId="77777777" w:rsidR="005B131E" w:rsidRPr="00BA7805" w:rsidRDefault="005B131E" w:rsidP="002542E1">
            <w:pPr>
              <w:pStyle w:val="ARfintablebodyright8pt"/>
              <w:rPr>
                <w:sz w:val="15"/>
                <w:szCs w:val="15"/>
                <w:highlight w:val="green"/>
              </w:rPr>
            </w:pPr>
            <w:r w:rsidRPr="00630A9E">
              <w:t>22.1</w:t>
            </w:r>
          </w:p>
        </w:tc>
        <w:tc>
          <w:tcPr>
            <w:tcW w:w="707" w:type="dxa"/>
            <w:tcBorders>
              <w:top w:val="single" w:sz="4" w:space="0" w:color="A6A6A6" w:themeColor="background1" w:themeShade="A6"/>
              <w:bottom w:val="single" w:sz="4" w:space="0" w:color="A6A6A6" w:themeColor="background1" w:themeShade="A6"/>
            </w:tcBorders>
            <w:noWrap/>
          </w:tcPr>
          <w:p w14:paraId="54BE7233" w14:textId="77777777" w:rsidR="005B131E" w:rsidRPr="00BA7805" w:rsidRDefault="005B131E" w:rsidP="002542E1">
            <w:pPr>
              <w:pStyle w:val="ARfintablebodyright8pt"/>
              <w:rPr>
                <w:sz w:val="15"/>
                <w:szCs w:val="15"/>
                <w:highlight w:val="green"/>
              </w:rPr>
            </w:pPr>
            <w:r w:rsidRPr="00630A9E">
              <w:t>33.4</w:t>
            </w:r>
          </w:p>
        </w:tc>
        <w:tc>
          <w:tcPr>
            <w:tcW w:w="707" w:type="dxa"/>
            <w:tcBorders>
              <w:top w:val="single" w:sz="4" w:space="0" w:color="A6A6A6" w:themeColor="background1" w:themeShade="A6"/>
              <w:bottom w:val="single" w:sz="4" w:space="0" w:color="A6A6A6" w:themeColor="background1" w:themeShade="A6"/>
            </w:tcBorders>
            <w:noWrap/>
          </w:tcPr>
          <w:p w14:paraId="292FE61F" w14:textId="77777777" w:rsidR="005B131E" w:rsidRPr="00BA7805" w:rsidRDefault="005B131E" w:rsidP="002542E1">
            <w:pPr>
              <w:pStyle w:val="ARfintablebodyright8pt"/>
              <w:rPr>
                <w:sz w:val="15"/>
                <w:szCs w:val="15"/>
                <w:highlight w:val="green"/>
              </w:rPr>
            </w:pPr>
            <w:r w:rsidRPr="00630A9E">
              <w:t>5.4</w:t>
            </w:r>
          </w:p>
        </w:tc>
        <w:tc>
          <w:tcPr>
            <w:tcW w:w="707" w:type="dxa"/>
            <w:tcBorders>
              <w:top w:val="single" w:sz="4" w:space="0" w:color="A6A6A6" w:themeColor="background1" w:themeShade="A6"/>
              <w:bottom w:val="single" w:sz="4" w:space="0" w:color="A6A6A6" w:themeColor="background1" w:themeShade="A6"/>
            </w:tcBorders>
            <w:noWrap/>
          </w:tcPr>
          <w:p w14:paraId="2D9BF3B4" w14:textId="77777777" w:rsidR="005B131E" w:rsidRPr="00BA7805" w:rsidRDefault="005B131E" w:rsidP="002542E1">
            <w:pPr>
              <w:pStyle w:val="ARfintablebodyright8pt"/>
              <w:rPr>
                <w:sz w:val="15"/>
                <w:szCs w:val="15"/>
                <w:highlight w:val="green"/>
              </w:rPr>
            </w:pPr>
            <w:r w:rsidRPr="00630A9E">
              <w:t>3.1</w:t>
            </w:r>
          </w:p>
        </w:tc>
        <w:tc>
          <w:tcPr>
            <w:tcW w:w="707" w:type="dxa"/>
            <w:tcBorders>
              <w:top w:val="single" w:sz="4" w:space="0" w:color="A6A6A6" w:themeColor="background1" w:themeShade="A6"/>
              <w:bottom w:val="single" w:sz="4" w:space="0" w:color="A6A6A6" w:themeColor="background1" w:themeShade="A6"/>
            </w:tcBorders>
            <w:noWrap/>
          </w:tcPr>
          <w:p w14:paraId="52E0FBF5" w14:textId="77777777" w:rsidR="005B131E" w:rsidRPr="00BA7805" w:rsidRDefault="005B131E" w:rsidP="002542E1">
            <w:pPr>
              <w:pStyle w:val="ARfintablebodyright8pt"/>
              <w:rPr>
                <w:sz w:val="15"/>
                <w:szCs w:val="15"/>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1C2ECF5B"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AD5985F" w14:textId="77777777" w:rsidR="005B131E" w:rsidRPr="00BA7805" w:rsidRDefault="005B131E" w:rsidP="002542E1">
            <w:pPr>
              <w:pStyle w:val="ARfintablebodyright8pt"/>
              <w:rPr>
                <w:sz w:val="15"/>
                <w:szCs w:val="15"/>
                <w:highlight w:val="green"/>
              </w:rPr>
            </w:pPr>
            <w:r w:rsidRPr="00630A9E">
              <w:t>1.3</w:t>
            </w:r>
          </w:p>
        </w:tc>
        <w:tc>
          <w:tcPr>
            <w:tcW w:w="707" w:type="dxa"/>
            <w:tcBorders>
              <w:top w:val="single" w:sz="4" w:space="0" w:color="A6A6A6" w:themeColor="background1" w:themeShade="A6"/>
              <w:bottom w:val="single" w:sz="4" w:space="0" w:color="A6A6A6" w:themeColor="background1" w:themeShade="A6"/>
            </w:tcBorders>
            <w:noWrap/>
          </w:tcPr>
          <w:p w14:paraId="7F4344D5"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2B494CA" w14:textId="77777777" w:rsidR="005B131E" w:rsidRPr="00BA7805" w:rsidRDefault="005B131E" w:rsidP="002542E1">
            <w:pPr>
              <w:pStyle w:val="ARfintablebodyright8pt"/>
              <w:rPr>
                <w:sz w:val="15"/>
                <w:szCs w:val="15"/>
                <w:highlight w:val="green"/>
              </w:rPr>
            </w:pPr>
            <w:r w:rsidRPr="00630A9E">
              <w:t>0.2</w:t>
            </w:r>
          </w:p>
        </w:tc>
        <w:tc>
          <w:tcPr>
            <w:tcW w:w="707" w:type="dxa"/>
            <w:tcBorders>
              <w:top w:val="single" w:sz="4" w:space="0" w:color="A6A6A6" w:themeColor="background1" w:themeShade="A6"/>
              <w:bottom w:val="single" w:sz="4" w:space="0" w:color="A6A6A6" w:themeColor="background1" w:themeShade="A6"/>
            </w:tcBorders>
            <w:noWrap/>
          </w:tcPr>
          <w:p w14:paraId="74BCFB7F" w14:textId="77777777" w:rsidR="005B131E" w:rsidRPr="00BA7805" w:rsidRDefault="005B131E" w:rsidP="002542E1">
            <w:pPr>
              <w:pStyle w:val="ARfintablebodyright8pt"/>
              <w:rPr>
                <w:sz w:val="15"/>
                <w:szCs w:val="15"/>
                <w:highlight w:val="green"/>
              </w:rPr>
            </w:pPr>
            <w:r w:rsidRPr="00630A9E">
              <w:t>2.2</w:t>
            </w:r>
          </w:p>
        </w:tc>
        <w:tc>
          <w:tcPr>
            <w:tcW w:w="708" w:type="dxa"/>
            <w:tcBorders>
              <w:top w:val="single" w:sz="4" w:space="0" w:color="A6A6A6" w:themeColor="background1" w:themeShade="A6"/>
              <w:bottom w:val="single" w:sz="4" w:space="0" w:color="A6A6A6" w:themeColor="background1" w:themeShade="A6"/>
            </w:tcBorders>
            <w:noWrap/>
          </w:tcPr>
          <w:p w14:paraId="1109297B"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27890E5B" w14:textId="77777777" w:rsidR="005B131E" w:rsidRPr="00BA7805" w:rsidRDefault="005B131E" w:rsidP="002542E1">
            <w:pPr>
              <w:pStyle w:val="ARfintablebodyright8pt"/>
              <w:rPr>
                <w:sz w:val="15"/>
                <w:szCs w:val="15"/>
                <w:highlight w:val="green"/>
              </w:rPr>
            </w:pPr>
            <w:r w:rsidRPr="00630A9E">
              <w:t>0.8</w:t>
            </w:r>
          </w:p>
        </w:tc>
        <w:tc>
          <w:tcPr>
            <w:tcW w:w="707" w:type="dxa"/>
            <w:tcBorders>
              <w:top w:val="single" w:sz="4" w:space="0" w:color="A6A6A6" w:themeColor="background1" w:themeShade="A6"/>
              <w:bottom w:val="single" w:sz="4" w:space="0" w:color="A6A6A6" w:themeColor="background1" w:themeShade="A6"/>
            </w:tcBorders>
            <w:noWrap/>
          </w:tcPr>
          <w:p w14:paraId="4FF87527" w14:textId="77777777" w:rsidR="005B131E" w:rsidRPr="00BA7805" w:rsidRDefault="005B131E" w:rsidP="002542E1">
            <w:pPr>
              <w:pStyle w:val="ARfintablebodyright8pt"/>
              <w:rPr>
                <w:sz w:val="15"/>
                <w:szCs w:val="15"/>
                <w:highlight w:val="green"/>
              </w:rPr>
            </w:pPr>
            <w:r w:rsidRPr="00630A9E">
              <w:t>1.0</w:t>
            </w:r>
          </w:p>
        </w:tc>
        <w:tc>
          <w:tcPr>
            <w:tcW w:w="707" w:type="dxa"/>
            <w:tcBorders>
              <w:top w:val="single" w:sz="4" w:space="0" w:color="A6A6A6" w:themeColor="background1" w:themeShade="A6"/>
              <w:bottom w:val="single" w:sz="4" w:space="0" w:color="A6A6A6" w:themeColor="background1" w:themeShade="A6"/>
            </w:tcBorders>
            <w:noWrap/>
          </w:tcPr>
          <w:p w14:paraId="09B32693" w14:textId="77777777" w:rsidR="005B131E" w:rsidRPr="00BA7805" w:rsidRDefault="005B131E" w:rsidP="002542E1">
            <w:pPr>
              <w:pStyle w:val="ARfintablebodyright8pt"/>
              <w:rPr>
                <w:sz w:val="15"/>
                <w:szCs w:val="15"/>
                <w:highlight w:val="green"/>
              </w:rPr>
            </w:pPr>
            <w:r w:rsidRPr="00630A9E">
              <w:t>395.2</w:t>
            </w:r>
          </w:p>
        </w:tc>
        <w:tc>
          <w:tcPr>
            <w:tcW w:w="707" w:type="dxa"/>
            <w:tcBorders>
              <w:top w:val="single" w:sz="4" w:space="0" w:color="A6A6A6" w:themeColor="background1" w:themeShade="A6"/>
              <w:bottom w:val="single" w:sz="4" w:space="0" w:color="A6A6A6" w:themeColor="background1" w:themeShade="A6"/>
            </w:tcBorders>
          </w:tcPr>
          <w:p w14:paraId="38DB7ADE" w14:textId="77777777" w:rsidR="005B131E" w:rsidRPr="00630A9E" w:rsidRDefault="005B131E" w:rsidP="002542E1">
            <w:pPr>
              <w:pStyle w:val="ARfintablebodyright8pt"/>
            </w:pPr>
            <w:r>
              <w:t>(21.6)</w:t>
            </w:r>
          </w:p>
        </w:tc>
        <w:tc>
          <w:tcPr>
            <w:tcW w:w="708" w:type="dxa"/>
            <w:tcBorders>
              <w:top w:val="single" w:sz="4" w:space="0" w:color="A6A6A6" w:themeColor="background1" w:themeShade="A6"/>
              <w:bottom w:val="single" w:sz="4" w:space="0" w:color="A6A6A6" w:themeColor="background1" w:themeShade="A6"/>
            </w:tcBorders>
            <w:noWrap/>
          </w:tcPr>
          <w:p w14:paraId="57056998" w14:textId="77777777" w:rsidR="005B131E" w:rsidRPr="00BA7805" w:rsidRDefault="005B131E" w:rsidP="002542E1">
            <w:pPr>
              <w:pStyle w:val="ARfintablebodyright8pt"/>
              <w:rPr>
                <w:sz w:val="15"/>
                <w:szCs w:val="15"/>
                <w:highlight w:val="green"/>
              </w:rPr>
            </w:pPr>
            <w:r w:rsidRPr="00630A9E">
              <w:t>442.9</w:t>
            </w:r>
          </w:p>
        </w:tc>
      </w:tr>
      <w:tr w:rsidR="005B131E" w:rsidRPr="00BA7805" w14:paraId="3DBC268C" w14:textId="77777777" w:rsidTr="002542E1">
        <w:trPr>
          <w:trHeight w:val="170"/>
        </w:trPr>
        <w:tc>
          <w:tcPr>
            <w:tcW w:w="2394" w:type="dxa"/>
            <w:tcBorders>
              <w:top w:val="single" w:sz="4" w:space="0" w:color="A6A6A6" w:themeColor="background1" w:themeShade="A6"/>
              <w:bottom w:val="single" w:sz="4" w:space="0" w:color="000000" w:themeColor="text1"/>
            </w:tcBorders>
          </w:tcPr>
          <w:p w14:paraId="6A1B1A13" w14:textId="77777777" w:rsidR="005B131E" w:rsidRPr="00BA7805" w:rsidRDefault="005B131E" w:rsidP="002542E1">
            <w:pPr>
              <w:pStyle w:val="ARfintablebody8pt"/>
              <w:rPr>
                <w:sz w:val="15"/>
                <w:highlight w:val="green"/>
              </w:rPr>
            </w:pPr>
            <w:r w:rsidRPr="00747B6C">
              <w:t>Other income</w:t>
            </w:r>
          </w:p>
        </w:tc>
        <w:tc>
          <w:tcPr>
            <w:tcW w:w="707" w:type="dxa"/>
            <w:tcBorders>
              <w:top w:val="single" w:sz="4" w:space="0" w:color="A6A6A6" w:themeColor="background1" w:themeShade="A6"/>
              <w:bottom w:val="single" w:sz="4" w:space="0" w:color="000000" w:themeColor="text1"/>
            </w:tcBorders>
            <w:noWrap/>
          </w:tcPr>
          <w:p w14:paraId="2CC44363" w14:textId="77777777" w:rsidR="005B131E" w:rsidRPr="00BA7805" w:rsidRDefault="005B131E" w:rsidP="002542E1">
            <w:pPr>
              <w:pStyle w:val="ARfintablebodyright8pt"/>
              <w:rPr>
                <w:sz w:val="15"/>
                <w:szCs w:val="15"/>
                <w:highlight w:val="green"/>
              </w:rPr>
            </w:pPr>
            <w:r w:rsidRPr="00630A9E">
              <w:t>3.0</w:t>
            </w:r>
          </w:p>
        </w:tc>
        <w:tc>
          <w:tcPr>
            <w:tcW w:w="707" w:type="dxa"/>
            <w:tcBorders>
              <w:top w:val="single" w:sz="4" w:space="0" w:color="A6A6A6" w:themeColor="background1" w:themeShade="A6"/>
              <w:bottom w:val="single" w:sz="4" w:space="0" w:color="000000" w:themeColor="text1"/>
            </w:tcBorders>
            <w:noWrap/>
          </w:tcPr>
          <w:p w14:paraId="005A09CE" w14:textId="77777777" w:rsidR="005B131E" w:rsidRPr="00BA7805" w:rsidRDefault="005B131E" w:rsidP="002542E1">
            <w:pPr>
              <w:pStyle w:val="ARfintablebodyright8pt"/>
              <w:rPr>
                <w:sz w:val="15"/>
                <w:szCs w:val="15"/>
                <w:highlight w:val="green"/>
              </w:rPr>
            </w:pPr>
            <w:r w:rsidRPr="00630A9E">
              <w:t>0.1</w:t>
            </w:r>
          </w:p>
        </w:tc>
        <w:tc>
          <w:tcPr>
            <w:tcW w:w="707" w:type="dxa"/>
            <w:tcBorders>
              <w:top w:val="single" w:sz="4" w:space="0" w:color="A6A6A6" w:themeColor="background1" w:themeShade="A6"/>
              <w:bottom w:val="single" w:sz="4" w:space="0" w:color="000000" w:themeColor="text1"/>
            </w:tcBorders>
            <w:noWrap/>
          </w:tcPr>
          <w:p w14:paraId="1936D956"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683C863E"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74F6E419" w14:textId="77777777" w:rsidR="005B131E" w:rsidRPr="00BA7805" w:rsidRDefault="005B131E" w:rsidP="002542E1">
            <w:pPr>
              <w:pStyle w:val="ARfintablebodyright8pt"/>
              <w:rPr>
                <w:sz w:val="15"/>
                <w:szCs w:val="15"/>
                <w:highlight w:val="green"/>
              </w:rPr>
            </w:pPr>
            <w:r>
              <w:t>–</w:t>
            </w:r>
          </w:p>
        </w:tc>
        <w:tc>
          <w:tcPr>
            <w:tcW w:w="708" w:type="dxa"/>
            <w:tcBorders>
              <w:top w:val="single" w:sz="4" w:space="0" w:color="A6A6A6" w:themeColor="background1" w:themeShade="A6"/>
              <w:bottom w:val="single" w:sz="4" w:space="0" w:color="000000" w:themeColor="text1"/>
            </w:tcBorders>
            <w:noWrap/>
          </w:tcPr>
          <w:p w14:paraId="3E9994DC"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24F0867A"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3A63C5E5"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20ABB849"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76C9970B" w14:textId="77777777" w:rsidR="005B131E" w:rsidRPr="00BA7805" w:rsidRDefault="005B131E" w:rsidP="002542E1">
            <w:pPr>
              <w:pStyle w:val="ARfintablebodyright8pt"/>
              <w:rPr>
                <w:sz w:val="15"/>
                <w:szCs w:val="15"/>
                <w:highlight w:val="green"/>
              </w:rPr>
            </w:pPr>
            <w:r>
              <w:t>–</w:t>
            </w:r>
          </w:p>
        </w:tc>
        <w:tc>
          <w:tcPr>
            <w:tcW w:w="708" w:type="dxa"/>
            <w:tcBorders>
              <w:top w:val="single" w:sz="4" w:space="0" w:color="A6A6A6" w:themeColor="background1" w:themeShade="A6"/>
              <w:bottom w:val="single" w:sz="4" w:space="0" w:color="000000" w:themeColor="text1"/>
            </w:tcBorders>
            <w:noWrap/>
          </w:tcPr>
          <w:p w14:paraId="2EB468A0"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5A1E7DB1" w14:textId="77777777" w:rsidR="005B131E" w:rsidRPr="00BA7805" w:rsidRDefault="005B131E" w:rsidP="002542E1">
            <w:pPr>
              <w:pStyle w:val="ARfintablebodyright8pt"/>
              <w:rPr>
                <w:sz w:val="15"/>
                <w:szCs w:val="15"/>
                <w:highlight w:val="green"/>
              </w:rPr>
            </w:pPr>
            <w:r w:rsidRPr="00630A9E">
              <w:t>0.1</w:t>
            </w:r>
          </w:p>
        </w:tc>
        <w:tc>
          <w:tcPr>
            <w:tcW w:w="707" w:type="dxa"/>
            <w:tcBorders>
              <w:top w:val="single" w:sz="4" w:space="0" w:color="A6A6A6" w:themeColor="background1" w:themeShade="A6"/>
              <w:bottom w:val="single" w:sz="4" w:space="0" w:color="000000" w:themeColor="text1"/>
            </w:tcBorders>
            <w:noWrap/>
          </w:tcPr>
          <w:p w14:paraId="5EC8D8A6" w14:textId="77777777" w:rsidR="005B131E" w:rsidRPr="00BA7805" w:rsidRDefault="005B131E" w:rsidP="002542E1">
            <w:pPr>
              <w:pStyle w:val="ARfintablebodyright8pt"/>
              <w:rPr>
                <w:sz w:val="15"/>
                <w:szCs w:val="15"/>
                <w:highlight w:val="green"/>
              </w:rPr>
            </w:pPr>
            <w:r>
              <w:t>–</w:t>
            </w:r>
          </w:p>
        </w:tc>
        <w:tc>
          <w:tcPr>
            <w:tcW w:w="707" w:type="dxa"/>
            <w:tcBorders>
              <w:top w:val="single" w:sz="4" w:space="0" w:color="A6A6A6" w:themeColor="background1" w:themeShade="A6"/>
              <w:bottom w:val="single" w:sz="4" w:space="0" w:color="000000" w:themeColor="text1"/>
            </w:tcBorders>
            <w:noWrap/>
          </w:tcPr>
          <w:p w14:paraId="5A2C40FA" w14:textId="77777777" w:rsidR="005B131E" w:rsidRPr="00BA7805" w:rsidRDefault="005B131E" w:rsidP="002542E1">
            <w:pPr>
              <w:pStyle w:val="ARfintablebodyright8pt"/>
              <w:rPr>
                <w:sz w:val="15"/>
                <w:szCs w:val="15"/>
                <w:highlight w:val="green"/>
              </w:rPr>
            </w:pPr>
            <w:r w:rsidRPr="00630A9E">
              <w:t>21.1</w:t>
            </w:r>
          </w:p>
        </w:tc>
        <w:tc>
          <w:tcPr>
            <w:tcW w:w="707" w:type="dxa"/>
            <w:tcBorders>
              <w:top w:val="single" w:sz="4" w:space="0" w:color="A6A6A6" w:themeColor="background1" w:themeShade="A6"/>
              <w:bottom w:val="single" w:sz="4" w:space="0" w:color="000000" w:themeColor="text1"/>
            </w:tcBorders>
          </w:tcPr>
          <w:p w14:paraId="6EC5AD81"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000000" w:themeColor="text1"/>
            </w:tcBorders>
            <w:noWrap/>
          </w:tcPr>
          <w:p w14:paraId="309E2347" w14:textId="77777777" w:rsidR="005B131E" w:rsidRPr="00BA7805" w:rsidRDefault="005B131E" w:rsidP="002542E1">
            <w:pPr>
              <w:pStyle w:val="ARfintablebodyright8pt"/>
              <w:rPr>
                <w:sz w:val="15"/>
                <w:szCs w:val="15"/>
                <w:highlight w:val="green"/>
              </w:rPr>
            </w:pPr>
            <w:r w:rsidRPr="00630A9E">
              <w:t>24.3</w:t>
            </w:r>
          </w:p>
        </w:tc>
      </w:tr>
      <w:tr w:rsidR="005B131E" w:rsidRPr="00BA7805" w14:paraId="5B8B1780" w14:textId="77777777" w:rsidTr="002542E1">
        <w:trPr>
          <w:trHeight w:val="170"/>
        </w:trPr>
        <w:tc>
          <w:tcPr>
            <w:tcW w:w="2394" w:type="dxa"/>
            <w:tcBorders>
              <w:top w:val="single" w:sz="4" w:space="0" w:color="000000" w:themeColor="text1"/>
              <w:bottom w:val="single" w:sz="4" w:space="0" w:color="auto"/>
            </w:tcBorders>
          </w:tcPr>
          <w:p w14:paraId="761F94D5" w14:textId="77777777" w:rsidR="005B131E" w:rsidRPr="00BA7805" w:rsidRDefault="005B131E" w:rsidP="002542E1">
            <w:pPr>
              <w:pStyle w:val="ARfintablebodybold8pt"/>
              <w:rPr>
                <w:sz w:val="15"/>
                <w:highlight w:val="green"/>
              </w:rPr>
            </w:pPr>
            <w:r w:rsidRPr="00747B6C">
              <w:t>Total revenue and income from transactions</w:t>
            </w:r>
          </w:p>
        </w:tc>
        <w:tc>
          <w:tcPr>
            <w:tcW w:w="707" w:type="dxa"/>
            <w:tcBorders>
              <w:top w:val="single" w:sz="4" w:space="0" w:color="000000" w:themeColor="text1"/>
              <w:bottom w:val="single" w:sz="4" w:space="0" w:color="auto"/>
            </w:tcBorders>
            <w:noWrap/>
          </w:tcPr>
          <w:p w14:paraId="349DB6A0" w14:textId="77777777" w:rsidR="005B131E" w:rsidRPr="006748D0" w:rsidRDefault="005B131E" w:rsidP="002542E1">
            <w:pPr>
              <w:pStyle w:val="ARfintablebodyrightbold8pt"/>
              <w:rPr>
                <w:highlight w:val="green"/>
              </w:rPr>
            </w:pPr>
            <w:r w:rsidRPr="00630A9E">
              <w:t>482.3</w:t>
            </w:r>
          </w:p>
        </w:tc>
        <w:tc>
          <w:tcPr>
            <w:tcW w:w="707" w:type="dxa"/>
            <w:tcBorders>
              <w:top w:val="single" w:sz="4" w:space="0" w:color="000000" w:themeColor="text1"/>
              <w:bottom w:val="single" w:sz="4" w:space="0" w:color="auto"/>
            </w:tcBorders>
            <w:noWrap/>
          </w:tcPr>
          <w:p w14:paraId="2173ECB9" w14:textId="77777777" w:rsidR="005B131E" w:rsidRPr="006748D0" w:rsidRDefault="005B131E" w:rsidP="002542E1">
            <w:pPr>
              <w:pStyle w:val="ARfintablebodyrightbold8pt"/>
              <w:rPr>
                <w:highlight w:val="green"/>
              </w:rPr>
            </w:pPr>
            <w:r w:rsidRPr="00630A9E">
              <w:t>2,050.6</w:t>
            </w:r>
          </w:p>
        </w:tc>
        <w:tc>
          <w:tcPr>
            <w:tcW w:w="707" w:type="dxa"/>
            <w:tcBorders>
              <w:top w:val="single" w:sz="4" w:space="0" w:color="000000" w:themeColor="text1"/>
              <w:bottom w:val="single" w:sz="4" w:space="0" w:color="auto"/>
            </w:tcBorders>
            <w:noWrap/>
          </w:tcPr>
          <w:p w14:paraId="774D2B74" w14:textId="77777777" w:rsidR="005B131E" w:rsidRPr="006748D0" w:rsidRDefault="005B131E" w:rsidP="002542E1">
            <w:pPr>
              <w:pStyle w:val="ARfintablebodyrightbold8pt"/>
              <w:rPr>
                <w:highlight w:val="green"/>
              </w:rPr>
            </w:pPr>
            <w:r w:rsidRPr="00630A9E">
              <w:t>837.3</w:t>
            </w:r>
          </w:p>
        </w:tc>
        <w:tc>
          <w:tcPr>
            <w:tcW w:w="707" w:type="dxa"/>
            <w:tcBorders>
              <w:top w:val="single" w:sz="4" w:space="0" w:color="000000" w:themeColor="text1"/>
              <w:bottom w:val="single" w:sz="4" w:space="0" w:color="auto"/>
            </w:tcBorders>
            <w:noWrap/>
          </w:tcPr>
          <w:p w14:paraId="6688EE75" w14:textId="77777777" w:rsidR="005B131E" w:rsidRPr="006748D0" w:rsidRDefault="005B131E" w:rsidP="002542E1">
            <w:pPr>
              <w:pStyle w:val="ARfintablebodyrightbold8pt"/>
              <w:rPr>
                <w:highlight w:val="green"/>
              </w:rPr>
            </w:pPr>
            <w:r w:rsidRPr="00630A9E">
              <w:t>73.1</w:t>
            </w:r>
          </w:p>
        </w:tc>
        <w:tc>
          <w:tcPr>
            <w:tcW w:w="707" w:type="dxa"/>
            <w:tcBorders>
              <w:top w:val="single" w:sz="4" w:space="0" w:color="000000" w:themeColor="text1"/>
              <w:bottom w:val="single" w:sz="4" w:space="0" w:color="auto"/>
            </w:tcBorders>
            <w:noWrap/>
          </w:tcPr>
          <w:p w14:paraId="2E30FF4F" w14:textId="77777777" w:rsidR="005B131E" w:rsidRPr="006748D0" w:rsidRDefault="005B131E" w:rsidP="002542E1">
            <w:pPr>
              <w:pStyle w:val="ARfintablebodyrightbold8pt"/>
              <w:rPr>
                <w:highlight w:val="green"/>
              </w:rPr>
            </w:pPr>
            <w:r w:rsidRPr="00630A9E">
              <w:t>22.1</w:t>
            </w:r>
          </w:p>
        </w:tc>
        <w:tc>
          <w:tcPr>
            <w:tcW w:w="708" w:type="dxa"/>
            <w:tcBorders>
              <w:top w:val="single" w:sz="4" w:space="0" w:color="000000" w:themeColor="text1"/>
              <w:bottom w:val="single" w:sz="4" w:space="0" w:color="auto"/>
            </w:tcBorders>
            <w:noWrap/>
          </w:tcPr>
          <w:p w14:paraId="28BF3665" w14:textId="77777777" w:rsidR="005B131E" w:rsidRPr="006748D0" w:rsidRDefault="005B131E" w:rsidP="002542E1">
            <w:pPr>
              <w:pStyle w:val="ARfintablebodyrightbold8pt"/>
              <w:rPr>
                <w:highlight w:val="green"/>
              </w:rPr>
            </w:pPr>
            <w:r w:rsidRPr="00630A9E">
              <w:t>67.0</w:t>
            </w:r>
          </w:p>
        </w:tc>
        <w:tc>
          <w:tcPr>
            <w:tcW w:w="707" w:type="dxa"/>
            <w:tcBorders>
              <w:top w:val="single" w:sz="4" w:space="0" w:color="000000" w:themeColor="text1"/>
              <w:bottom w:val="single" w:sz="4" w:space="0" w:color="auto"/>
            </w:tcBorders>
            <w:noWrap/>
          </w:tcPr>
          <w:p w14:paraId="4A96791D" w14:textId="77777777" w:rsidR="005B131E" w:rsidRPr="006748D0" w:rsidRDefault="005B131E" w:rsidP="002542E1">
            <w:pPr>
              <w:pStyle w:val="ARfintablebodyrightbold8pt"/>
              <w:rPr>
                <w:highlight w:val="green"/>
              </w:rPr>
            </w:pPr>
            <w:r w:rsidRPr="00630A9E">
              <w:t>12.2</w:t>
            </w:r>
          </w:p>
        </w:tc>
        <w:tc>
          <w:tcPr>
            <w:tcW w:w="707" w:type="dxa"/>
            <w:tcBorders>
              <w:top w:val="single" w:sz="4" w:space="0" w:color="000000" w:themeColor="text1"/>
              <w:bottom w:val="single" w:sz="4" w:space="0" w:color="auto"/>
            </w:tcBorders>
            <w:noWrap/>
          </w:tcPr>
          <w:p w14:paraId="09B11EC3" w14:textId="77777777" w:rsidR="005B131E" w:rsidRPr="006748D0" w:rsidRDefault="005B131E" w:rsidP="002542E1">
            <w:pPr>
              <w:pStyle w:val="ARfintablebodyrightbold8pt"/>
              <w:rPr>
                <w:highlight w:val="green"/>
              </w:rPr>
            </w:pPr>
            <w:r w:rsidRPr="00630A9E">
              <w:t>10.1</w:t>
            </w:r>
          </w:p>
        </w:tc>
        <w:tc>
          <w:tcPr>
            <w:tcW w:w="707" w:type="dxa"/>
            <w:tcBorders>
              <w:top w:val="single" w:sz="4" w:space="0" w:color="000000" w:themeColor="text1"/>
              <w:bottom w:val="single" w:sz="4" w:space="0" w:color="auto"/>
            </w:tcBorders>
            <w:noWrap/>
          </w:tcPr>
          <w:p w14:paraId="6AF5CE6B" w14:textId="77777777" w:rsidR="005B131E" w:rsidRPr="006748D0" w:rsidRDefault="005B131E" w:rsidP="002542E1">
            <w:pPr>
              <w:pStyle w:val="ARfintablebodyrightbold8pt"/>
              <w:rPr>
                <w:highlight w:val="green"/>
              </w:rPr>
            </w:pPr>
            <w:r w:rsidRPr="00630A9E">
              <w:t>14.8</w:t>
            </w:r>
          </w:p>
        </w:tc>
        <w:tc>
          <w:tcPr>
            <w:tcW w:w="707" w:type="dxa"/>
            <w:tcBorders>
              <w:top w:val="single" w:sz="4" w:space="0" w:color="000000" w:themeColor="text1"/>
              <w:bottom w:val="single" w:sz="4" w:space="0" w:color="auto"/>
            </w:tcBorders>
            <w:noWrap/>
          </w:tcPr>
          <w:p w14:paraId="72FCC5D2" w14:textId="77777777" w:rsidR="005B131E" w:rsidRPr="006748D0" w:rsidRDefault="005B131E" w:rsidP="002542E1">
            <w:pPr>
              <w:pStyle w:val="ARfintablebodyrightbold8pt"/>
              <w:rPr>
                <w:highlight w:val="green"/>
              </w:rPr>
            </w:pPr>
            <w:r w:rsidRPr="00630A9E">
              <w:t>34.9</w:t>
            </w:r>
          </w:p>
        </w:tc>
        <w:tc>
          <w:tcPr>
            <w:tcW w:w="708" w:type="dxa"/>
            <w:tcBorders>
              <w:top w:val="single" w:sz="4" w:space="0" w:color="000000" w:themeColor="text1"/>
              <w:bottom w:val="single" w:sz="4" w:space="0" w:color="auto"/>
            </w:tcBorders>
            <w:noWrap/>
          </w:tcPr>
          <w:p w14:paraId="663DF94E" w14:textId="77777777" w:rsidR="005B131E" w:rsidRPr="006748D0" w:rsidRDefault="005B131E" w:rsidP="002542E1">
            <w:pPr>
              <w:pStyle w:val="ARfintablebodyrightbold8pt"/>
              <w:rPr>
                <w:highlight w:val="green"/>
              </w:rPr>
            </w:pPr>
            <w:r w:rsidRPr="00630A9E">
              <w:t>31.3</w:t>
            </w:r>
          </w:p>
        </w:tc>
        <w:tc>
          <w:tcPr>
            <w:tcW w:w="707" w:type="dxa"/>
            <w:tcBorders>
              <w:top w:val="single" w:sz="4" w:space="0" w:color="000000" w:themeColor="text1"/>
              <w:bottom w:val="single" w:sz="4" w:space="0" w:color="auto"/>
            </w:tcBorders>
            <w:noWrap/>
          </w:tcPr>
          <w:p w14:paraId="72921474" w14:textId="77777777" w:rsidR="005B131E" w:rsidRPr="006748D0" w:rsidRDefault="005B131E" w:rsidP="002542E1">
            <w:pPr>
              <w:pStyle w:val="ARfintablebodyrightbold8pt"/>
              <w:rPr>
                <w:highlight w:val="green"/>
              </w:rPr>
            </w:pPr>
            <w:r w:rsidRPr="00630A9E">
              <w:t>56.9</w:t>
            </w:r>
          </w:p>
        </w:tc>
        <w:tc>
          <w:tcPr>
            <w:tcW w:w="707" w:type="dxa"/>
            <w:tcBorders>
              <w:top w:val="single" w:sz="4" w:space="0" w:color="000000" w:themeColor="text1"/>
              <w:bottom w:val="single" w:sz="4" w:space="0" w:color="auto"/>
            </w:tcBorders>
            <w:noWrap/>
          </w:tcPr>
          <w:p w14:paraId="69278E4A" w14:textId="77777777" w:rsidR="005B131E" w:rsidRPr="006748D0" w:rsidRDefault="005B131E" w:rsidP="002542E1">
            <w:pPr>
              <w:pStyle w:val="ARfintablebodyrightbold8pt"/>
              <w:rPr>
                <w:highlight w:val="green"/>
              </w:rPr>
            </w:pPr>
            <w:r w:rsidRPr="00630A9E">
              <w:t>588.0</w:t>
            </w:r>
          </w:p>
        </w:tc>
        <w:tc>
          <w:tcPr>
            <w:tcW w:w="707" w:type="dxa"/>
            <w:tcBorders>
              <w:top w:val="single" w:sz="4" w:space="0" w:color="000000" w:themeColor="text1"/>
              <w:bottom w:val="single" w:sz="4" w:space="0" w:color="auto"/>
            </w:tcBorders>
            <w:noWrap/>
          </w:tcPr>
          <w:p w14:paraId="2D8A994E" w14:textId="77777777" w:rsidR="005B131E" w:rsidRPr="006748D0" w:rsidRDefault="005B131E" w:rsidP="002542E1">
            <w:pPr>
              <w:pStyle w:val="ARfintablebodyrightbold8pt"/>
              <w:rPr>
                <w:highlight w:val="green"/>
              </w:rPr>
            </w:pPr>
            <w:r w:rsidRPr="00630A9E">
              <w:t>1,779.0</w:t>
            </w:r>
          </w:p>
        </w:tc>
        <w:tc>
          <w:tcPr>
            <w:tcW w:w="707" w:type="dxa"/>
            <w:tcBorders>
              <w:top w:val="single" w:sz="4" w:space="0" w:color="000000" w:themeColor="text1"/>
              <w:bottom w:val="single" w:sz="4" w:space="0" w:color="auto"/>
            </w:tcBorders>
          </w:tcPr>
          <w:p w14:paraId="392818CF" w14:textId="77777777" w:rsidR="005B131E" w:rsidRPr="00630A9E" w:rsidRDefault="005B131E" w:rsidP="002542E1">
            <w:pPr>
              <w:pStyle w:val="ARfintablebodyrightbold8pt"/>
            </w:pPr>
            <w:r>
              <w:t>(21.6)</w:t>
            </w:r>
          </w:p>
        </w:tc>
        <w:tc>
          <w:tcPr>
            <w:tcW w:w="708" w:type="dxa"/>
            <w:tcBorders>
              <w:top w:val="single" w:sz="4" w:space="0" w:color="000000" w:themeColor="text1"/>
              <w:bottom w:val="single" w:sz="4" w:space="0" w:color="auto"/>
            </w:tcBorders>
            <w:noWrap/>
          </w:tcPr>
          <w:p w14:paraId="524C7E03" w14:textId="77777777" w:rsidR="005B131E" w:rsidRPr="006748D0" w:rsidRDefault="005B131E" w:rsidP="002542E1">
            <w:pPr>
              <w:pStyle w:val="ARfintablebodyrightbold8pt"/>
              <w:rPr>
                <w:highlight w:val="green"/>
              </w:rPr>
            </w:pPr>
            <w:r w:rsidRPr="00630A9E">
              <w:t>6,038.0</w:t>
            </w:r>
          </w:p>
        </w:tc>
      </w:tr>
      <w:tr w:rsidR="005B131E" w:rsidRPr="00BA7805" w14:paraId="2544E1FC" w14:textId="77777777" w:rsidTr="002542E1">
        <w:trPr>
          <w:trHeight w:val="170"/>
        </w:trPr>
        <w:tc>
          <w:tcPr>
            <w:tcW w:w="2394" w:type="dxa"/>
            <w:tcBorders>
              <w:top w:val="single" w:sz="4" w:space="0" w:color="auto"/>
              <w:bottom w:val="single" w:sz="4" w:space="0" w:color="BFBFBF" w:themeColor="background1" w:themeShade="BF"/>
            </w:tcBorders>
          </w:tcPr>
          <w:p w14:paraId="02115E3F" w14:textId="77777777" w:rsidR="005B131E" w:rsidRPr="00BA7805" w:rsidRDefault="005B131E" w:rsidP="002542E1">
            <w:pPr>
              <w:pStyle w:val="ARfintablebodybold8pt"/>
              <w:rPr>
                <w:highlight w:val="green"/>
              </w:rPr>
            </w:pPr>
            <w:r w:rsidRPr="00747B6C">
              <w:t>Expenses from transactions</w:t>
            </w:r>
          </w:p>
        </w:tc>
        <w:tc>
          <w:tcPr>
            <w:tcW w:w="707" w:type="dxa"/>
            <w:tcBorders>
              <w:top w:val="single" w:sz="4" w:space="0" w:color="auto"/>
              <w:bottom w:val="single" w:sz="4" w:space="0" w:color="BFBFBF" w:themeColor="background1" w:themeShade="BF"/>
            </w:tcBorders>
            <w:noWrap/>
          </w:tcPr>
          <w:p w14:paraId="6F595B12"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5207A69E"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0A8FED85"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4E97ACEE"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2BD20758" w14:textId="77777777" w:rsidR="005B131E" w:rsidRPr="00BA7805" w:rsidRDefault="005B131E" w:rsidP="002542E1">
            <w:pPr>
              <w:pStyle w:val="ARfintablebodyrightbold"/>
              <w:spacing w:before="16" w:after="10" w:line="228" w:lineRule="auto"/>
              <w:ind w:right="0"/>
              <w:rPr>
                <w:sz w:val="15"/>
                <w:szCs w:val="15"/>
                <w:highlight w:val="green"/>
              </w:rPr>
            </w:pPr>
          </w:p>
        </w:tc>
        <w:tc>
          <w:tcPr>
            <w:tcW w:w="708" w:type="dxa"/>
            <w:tcBorders>
              <w:top w:val="single" w:sz="4" w:space="0" w:color="auto"/>
              <w:bottom w:val="single" w:sz="4" w:space="0" w:color="BFBFBF" w:themeColor="background1" w:themeShade="BF"/>
            </w:tcBorders>
            <w:noWrap/>
          </w:tcPr>
          <w:p w14:paraId="33708F7D"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003D840F"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52FFD82A"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3C149D40"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7DE167E1" w14:textId="77777777" w:rsidR="005B131E" w:rsidRPr="00BA7805" w:rsidRDefault="005B131E" w:rsidP="002542E1">
            <w:pPr>
              <w:pStyle w:val="ARfintablebodyrightbold"/>
              <w:spacing w:before="16" w:after="10" w:line="228" w:lineRule="auto"/>
              <w:ind w:right="0"/>
              <w:rPr>
                <w:sz w:val="15"/>
                <w:szCs w:val="15"/>
                <w:highlight w:val="green"/>
              </w:rPr>
            </w:pPr>
          </w:p>
        </w:tc>
        <w:tc>
          <w:tcPr>
            <w:tcW w:w="708" w:type="dxa"/>
            <w:tcBorders>
              <w:top w:val="single" w:sz="4" w:space="0" w:color="auto"/>
              <w:bottom w:val="single" w:sz="4" w:space="0" w:color="BFBFBF" w:themeColor="background1" w:themeShade="BF"/>
            </w:tcBorders>
            <w:noWrap/>
          </w:tcPr>
          <w:p w14:paraId="4B5B1574"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0052E095"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067E54A7"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noWrap/>
          </w:tcPr>
          <w:p w14:paraId="378237B4" w14:textId="77777777" w:rsidR="005B131E" w:rsidRPr="00BA7805" w:rsidRDefault="005B131E" w:rsidP="002542E1">
            <w:pPr>
              <w:pStyle w:val="ARfintablebodyrightbold"/>
              <w:spacing w:before="16" w:after="10" w:line="228" w:lineRule="auto"/>
              <w:ind w:right="0"/>
              <w:rPr>
                <w:sz w:val="15"/>
                <w:szCs w:val="15"/>
                <w:highlight w:val="green"/>
              </w:rPr>
            </w:pPr>
          </w:p>
        </w:tc>
        <w:tc>
          <w:tcPr>
            <w:tcW w:w="707" w:type="dxa"/>
            <w:tcBorders>
              <w:top w:val="single" w:sz="4" w:space="0" w:color="auto"/>
              <w:bottom w:val="single" w:sz="4" w:space="0" w:color="BFBFBF" w:themeColor="background1" w:themeShade="BF"/>
            </w:tcBorders>
          </w:tcPr>
          <w:p w14:paraId="199FBC9C" w14:textId="77777777" w:rsidR="005B131E" w:rsidRPr="00BA7805" w:rsidRDefault="005B131E" w:rsidP="002542E1">
            <w:pPr>
              <w:pStyle w:val="ARfintablebodyrightbold"/>
              <w:spacing w:before="16" w:after="10" w:line="228" w:lineRule="auto"/>
              <w:ind w:right="0"/>
              <w:rPr>
                <w:sz w:val="15"/>
                <w:szCs w:val="15"/>
                <w:highlight w:val="green"/>
              </w:rPr>
            </w:pPr>
          </w:p>
        </w:tc>
        <w:tc>
          <w:tcPr>
            <w:tcW w:w="708" w:type="dxa"/>
            <w:tcBorders>
              <w:top w:val="single" w:sz="4" w:space="0" w:color="auto"/>
              <w:bottom w:val="single" w:sz="4" w:space="0" w:color="BFBFBF" w:themeColor="background1" w:themeShade="BF"/>
            </w:tcBorders>
            <w:noWrap/>
          </w:tcPr>
          <w:p w14:paraId="2013738E" w14:textId="77777777" w:rsidR="005B131E" w:rsidRPr="00BA7805" w:rsidRDefault="005B131E" w:rsidP="002542E1">
            <w:pPr>
              <w:pStyle w:val="ARfintablebodyrightbold"/>
              <w:spacing w:before="16" w:after="10" w:line="228" w:lineRule="auto"/>
              <w:ind w:right="0"/>
              <w:rPr>
                <w:sz w:val="15"/>
                <w:szCs w:val="15"/>
                <w:highlight w:val="green"/>
              </w:rPr>
            </w:pPr>
          </w:p>
        </w:tc>
      </w:tr>
      <w:tr w:rsidR="005B131E" w:rsidRPr="00BA7805" w14:paraId="06708476" w14:textId="77777777" w:rsidTr="002542E1">
        <w:trPr>
          <w:trHeight w:val="170"/>
        </w:trPr>
        <w:tc>
          <w:tcPr>
            <w:tcW w:w="2394" w:type="dxa"/>
            <w:tcBorders>
              <w:top w:val="single" w:sz="4" w:space="0" w:color="BFBFBF" w:themeColor="background1" w:themeShade="BF"/>
              <w:bottom w:val="single" w:sz="4" w:space="0" w:color="A6A6A6" w:themeColor="background1" w:themeShade="A6"/>
            </w:tcBorders>
          </w:tcPr>
          <w:p w14:paraId="5E9E3A64" w14:textId="77777777" w:rsidR="005B131E" w:rsidRPr="00BA7805" w:rsidRDefault="005B131E" w:rsidP="002542E1">
            <w:pPr>
              <w:pStyle w:val="ARfintablebody8pt"/>
              <w:rPr>
                <w:highlight w:val="green"/>
              </w:rPr>
            </w:pPr>
            <w:r w:rsidRPr="00747B6C">
              <w:t>Employee benefits</w:t>
            </w:r>
          </w:p>
        </w:tc>
        <w:tc>
          <w:tcPr>
            <w:tcW w:w="707" w:type="dxa"/>
            <w:tcBorders>
              <w:top w:val="single" w:sz="4" w:space="0" w:color="BFBFBF" w:themeColor="background1" w:themeShade="BF"/>
              <w:bottom w:val="single" w:sz="4" w:space="0" w:color="A6A6A6" w:themeColor="background1" w:themeShade="A6"/>
            </w:tcBorders>
            <w:noWrap/>
          </w:tcPr>
          <w:p w14:paraId="7732F0DB" w14:textId="77777777" w:rsidR="005B131E" w:rsidRPr="00BA7805" w:rsidRDefault="005B131E" w:rsidP="002542E1">
            <w:pPr>
              <w:pStyle w:val="ARfintablebodyright8pt"/>
              <w:rPr>
                <w:highlight w:val="green"/>
              </w:rPr>
            </w:pPr>
            <w:r w:rsidRPr="00630A9E">
              <w:t>123.5</w:t>
            </w:r>
          </w:p>
        </w:tc>
        <w:tc>
          <w:tcPr>
            <w:tcW w:w="707" w:type="dxa"/>
            <w:tcBorders>
              <w:top w:val="single" w:sz="4" w:space="0" w:color="BFBFBF" w:themeColor="background1" w:themeShade="BF"/>
              <w:bottom w:val="single" w:sz="4" w:space="0" w:color="A6A6A6" w:themeColor="background1" w:themeShade="A6"/>
            </w:tcBorders>
            <w:noWrap/>
          </w:tcPr>
          <w:p w14:paraId="784EFC4A" w14:textId="77777777" w:rsidR="005B131E" w:rsidRPr="00BA7805" w:rsidRDefault="005B131E" w:rsidP="002542E1">
            <w:pPr>
              <w:pStyle w:val="ARfintablebodyright8pt"/>
              <w:rPr>
                <w:highlight w:val="green"/>
              </w:rPr>
            </w:pPr>
            <w:r w:rsidRPr="00630A9E">
              <w:t>494.8</w:t>
            </w:r>
          </w:p>
        </w:tc>
        <w:tc>
          <w:tcPr>
            <w:tcW w:w="707" w:type="dxa"/>
            <w:tcBorders>
              <w:top w:val="single" w:sz="4" w:space="0" w:color="BFBFBF" w:themeColor="background1" w:themeShade="BF"/>
              <w:bottom w:val="single" w:sz="4" w:space="0" w:color="A6A6A6" w:themeColor="background1" w:themeShade="A6"/>
            </w:tcBorders>
            <w:noWrap/>
          </w:tcPr>
          <w:p w14:paraId="0931911B" w14:textId="77777777" w:rsidR="005B131E" w:rsidRPr="00BA7805" w:rsidRDefault="005B131E" w:rsidP="002542E1">
            <w:pPr>
              <w:pStyle w:val="ARfintablebodyright8pt"/>
              <w:rPr>
                <w:highlight w:val="green"/>
              </w:rPr>
            </w:pPr>
            <w:r w:rsidRPr="00630A9E">
              <w:t>10.7</w:t>
            </w:r>
          </w:p>
        </w:tc>
        <w:tc>
          <w:tcPr>
            <w:tcW w:w="707" w:type="dxa"/>
            <w:tcBorders>
              <w:top w:val="single" w:sz="4" w:space="0" w:color="BFBFBF" w:themeColor="background1" w:themeShade="BF"/>
              <w:bottom w:val="single" w:sz="4" w:space="0" w:color="A6A6A6" w:themeColor="background1" w:themeShade="A6"/>
            </w:tcBorders>
            <w:noWrap/>
          </w:tcPr>
          <w:p w14:paraId="4D9873C7" w14:textId="77777777" w:rsidR="005B131E" w:rsidRPr="00BA7805" w:rsidRDefault="005B131E" w:rsidP="002542E1">
            <w:pPr>
              <w:pStyle w:val="ARfintablebodyright8pt"/>
              <w:rPr>
                <w:highlight w:val="green"/>
              </w:rPr>
            </w:pPr>
            <w:r w:rsidRPr="00630A9E">
              <w:t>12.4</w:t>
            </w:r>
          </w:p>
        </w:tc>
        <w:tc>
          <w:tcPr>
            <w:tcW w:w="707" w:type="dxa"/>
            <w:tcBorders>
              <w:top w:val="single" w:sz="4" w:space="0" w:color="BFBFBF" w:themeColor="background1" w:themeShade="BF"/>
              <w:bottom w:val="single" w:sz="4" w:space="0" w:color="A6A6A6" w:themeColor="background1" w:themeShade="A6"/>
            </w:tcBorders>
            <w:noWrap/>
          </w:tcPr>
          <w:p w14:paraId="6C9E7142" w14:textId="77777777" w:rsidR="005B131E" w:rsidRPr="00BA7805" w:rsidRDefault="005B131E" w:rsidP="002542E1">
            <w:pPr>
              <w:pStyle w:val="ARfintablebodyright8pt"/>
              <w:rPr>
                <w:highlight w:val="green"/>
              </w:rPr>
            </w:pPr>
            <w:r w:rsidRPr="00630A9E">
              <w:t>1.5</w:t>
            </w:r>
          </w:p>
        </w:tc>
        <w:tc>
          <w:tcPr>
            <w:tcW w:w="708" w:type="dxa"/>
            <w:tcBorders>
              <w:top w:val="single" w:sz="4" w:space="0" w:color="BFBFBF" w:themeColor="background1" w:themeShade="BF"/>
              <w:bottom w:val="single" w:sz="4" w:space="0" w:color="A6A6A6" w:themeColor="background1" w:themeShade="A6"/>
            </w:tcBorders>
            <w:noWrap/>
          </w:tcPr>
          <w:p w14:paraId="156BD442" w14:textId="77777777" w:rsidR="005B131E" w:rsidRPr="00BA7805" w:rsidRDefault="005B131E" w:rsidP="002542E1">
            <w:pPr>
              <w:pStyle w:val="ARfintablebodyright8pt"/>
              <w:rPr>
                <w:highlight w:val="green"/>
              </w:rPr>
            </w:pPr>
            <w:r w:rsidRPr="00630A9E">
              <w:t>5.6</w:t>
            </w:r>
          </w:p>
        </w:tc>
        <w:tc>
          <w:tcPr>
            <w:tcW w:w="707" w:type="dxa"/>
            <w:tcBorders>
              <w:top w:val="single" w:sz="4" w:space="0" w:color="BFBFBF" w:themeColor="background1" w:themeShade="BF"/>
              <w:bottom w:val="single" w:sz="4" w:space="0" w:color="A6A6A6" w:themeColor="background1" w:themeShade="A6"/>
            </w:tcBorders>
            <w:noWrap/>
          </w:tcPr>
          <w:p w14:paraId="64BAB560" w14:textId="77777777" w:rsidR="005B131E" w:rsidRPr="00BA7805" w:rsidRDefault="005B131E" w:rsidP="002542E1">
            <w:pPr>
              <w:pStyle w:val="ARfintablebodyright8pt"/>
              <w:rPr>
                <w:highlight w:val="green"/>
              </w:rPr>
            </w:pPr>
            <w:r w:rsidRPr="00630A9E">
              <w:t>1.8</w:t>
            </w:r>
          </w:p>
        </w:tc>
        <w:tc>
          <w:tcPr>
            <w:tcW w:w="707" w:type="dxa"/>
            <w:tcBorders>
              <w:top w:val="single" w:sz="4" w:space="0" w:color="BFBFBF" w:themeColor="background1" w:themeShade="BF"/>
              <w:bottom w:val="single" w:sz="4" w:space="0" w:color="A6A6A6" w:themeColor="background1" w:themeShade="A6"/>
            </w:tcBorders>
            <w:noWrap/>
          </w:tcPr>
          <w:p w14:paraId="69CD1610" w14:textId="77777777" w:rsidR="005B131E" w:rsidRPr="00BA7805" w:rsidRDefault="005B131E" w:rsidP="002542E1">
            <w:pPr>
              <w:pStyle w:val="ARfintablebodyright8pt"/>
              <w:rPr>
                <w:highlight w:val="green"/>
              </w:rPr>
            </w:pPr>
            <w:r w:rsidRPr="00630A9E">
              <w:t>2.4</w:t>
            </w:r>
          </w:p>
        </w:tc>
        <w:tc>
          <w:tcPr>
            <w:tcW w:w="707" w:type="dxa"/>
            <w:tcBorders>
              <w:top w:val="single" w:sz="4" w:space="0" w:color="BFBFBF" w:themeColor="background1" w:themeShade="BF"/>
              <w:bottom w:val="single" w:sz="4" w:space="0" w:color="A6A6A6" w:themeColor="background1" w:themeShade="A6"/>
            </w:tcBorders>
            <w:noWrap/>
          </w:tcPr>
          <w:p w14:paraId="7BD45D1E" w14:textId="77777777" w:rsidR="005B131E" w:rsidRPr="00BA7805" w:rsidRDefault="005B131E" w:rsidP="002542E1">
            <w:pPr>
              <w:pStyle w:val="ARfintablebodyright8pt"/>
              <w:rPr>
                <w:highlight w:val="green"/>
              </w:rPr>
            </w:pPr>
            <w:r w:rsidRPr="00630A9E">
              <w:t>7.1</w:t>
            </w:r>
          </w:p>
        </w:tc>
        <w:tc>
          <w:tcPr>
            <w:tcW w:w="707" w:type="dxa"/>
            <w:tcBorders>
              <w:top w:val="single" w:sz="4" w:space="0" w:color="BFBFBF" w:themeColor="background1" w:themeShade="BF"/>
              <w:bottom w:val="single" w:sz="4" w:space="0" w:color="A6A6A6" w:themeColor="background1" w:themeShade="A6"/>
            </w:tcBorders>
            <w:noWrap/>
          </w:tcPr>
          <w:p w14:paraId="1D054B07" w14:textId="77777777" w:rsidR="005B131E" w:rsidRPr="00BA7805" w:rsidRDefault="005B131E" w:rsidP="002542E1">
            <w:pPr>
              <w:pStyle w:val="ARfintablebodyright8pt"/>
              <w:rPr>
                <w:highlight w:val="green"/>
              </w:rPr>
            </w:pPr>
            <w:r w:rsidRPr="00630A9E">
              <w:t>10.6</w:t>
            </w:r>
          </w:p>
        </w:tc>
        <w:tc>
          <w:tcPr>
            <w:tcW w:w="708" w:type="dxa"/>
            <w:tcBorders>
              <w:top w:val="single" w:sz="4" w:space="0" w:color="BFBFBF" w:themeColor="background1" w:themeShade="BF"/>
              <w:bottom w:val="single" w:sz="4" w:space="0" w:color="A6A6A6" w:themeColor="background1" w:themeShade="A6"/>
            </w:tcBorders>
            <w:noWrap/>
          </w:tcPr>
          <w:p w14:paraId="6F1BFA39" w14:textId="77777777" w:rsidR="005B131E" w:rsidRPr="00BA7805" w:rsidRDefault="005B131E" w:rsidP="002542E1">
            <w:pPr>
              <w:pStyle w:val="ARfintablebodyright8pt"/>
              <w:rPr>
                <w:highlight w:val="green"/>
              </w:rPr>
            </w:pPr>
            <w:r w:rsidRPr="00630A9E">
              <w:t>4.4</w:t>
            </w:r>
          </w:p>
        </w:tc>
        <w:tc>
          <w:tcPr>
            <w:tcW w:w="707" w:type="dxa"/>
            <w:tcBorders>
              <w:top w:val="single" w:sz="4" w:space="0" w:color="BFBFBF" w:themeColor="background1" w:themeShade="BF"/>
              <w:bottom w:val="single" w:sz="4" w:space="0" w:color="A6A6A6" w:themeColor="background1" w:themeShade="A6"/>
            </w:tcBorders>
            <w:noWrap/>
          </w:tcPr>
          <w:p w14:paraId="1F5B3CC4" w14:textId="77777777" w:rsidR="005B131E" w:rsidRPr="00BA7805" w:rsidRDefault="005B131E" w:rsidP="002542E1">
            <w:pPr>
              <w:pStyle w:val="ARfintablebodyright8pt"/>
              <w:rPr>
                <w:highlight w:val="green"/>
              </w:rPr>
            </w:pPr>
            <w:r w:rsidRPr="00630A9E">
              <w:t>14.3</w:t>
            </w:r>
          </w:p>
        </w:tc>
        <w:tc>
          <w:tcPr>
            <w:tcW w:w="707" w:type="dxa"/>
            <w:tcBorders>
              <w:top w:val="single" w:sz="4" w:space="0" w:color="BFBFBF" w:themeColor="background1" w:themeShade="BF"/>
              <w:bottom w:val="single" w:sz="4" w:space="0" w:color="A6A6A6" w:themeColor="background1" w:themeShade="A6"/>
            </w:tcBorders>
            <w:noWrap/>
          </w:tcPr>
          <w:p w14:paraId="0A36FFF3" w14:textId="77777777" w:rsidR="005B131E" w:rsidRPr="00BA7805" w:rsidRDefault="005B131E" w:rsidP="002542E1">
            <w:pPr>
              <w:pStyle w:val="ARfintablebodyright8pt"/>
              <w:rPr>
                <w:highlight w:val="green"/>
              </w:rPr>
            </w:pPr>
            <w:r w:rsidRPr="00630A9E">
              <w:t>64.9</w:t>
            </w:r>
          </w:p>
        </w:tc>
        <w:tc>
          <w:tcPr>
            <w:tcW w:w="707" w:type="dxa"/>
            <w:tcBorders>
              <w:top w:val="single" w:sz="4" w:space="0" w:color="BFBFBF" w:themeColor="background1" w:themeShade="BF"/>
              <w:bottom w:val="single" w:sz="4" w:space="0" w:color="A6A6A6" w:themeColor="background1" w:themeShade="A6"/>
            </w:tcBorders>
            <w:noWrap/>
          </w:tcPr>
          <w:p w14:paraId="7B05D175" w14:textId="77777777" w:rsidR="005B131E" w:rsidRPr="00BA7805" w:rsidRDefault="005B131E" w:rsidP="002542E1">
            <w:pPr>
              <w:pStyle w:val="ARfintablebodyright8pt"/>
              <w:rPr>
                <w:highlight w:val="green"/>
              </w:rPr>
            </w:pPr>
            <w:r w:rsidRPr="00630A9E">
              <w:t>166.4</w:t>
            </w:r>
          </w:p>
        </w:tc>
        <w:tc>
          <w:tcPr>
            <w:tcW w:w="707" w:type="dxa"/>
            <w:tcBorders>
              <w:top w:val="single" w:sz="4" w:space="0" w:color="BFBFBF" w:themeColor="background1" w:themeShade="BF"/>
              <w:bottom w:val="single" w:sz="4" w:space="0" w:color="A6A6A6" w:themeColor="background1" w:themeShade="A6"/>
            </w:tcBorders>
          </w:tcPr>
          <w:p w14:paraId="294180F2" w14:textId="77777777" w:rsidR="005B131E" w:rsidRPr="00630A9E" w:rsidRDefault="005B131E" w:rsidP="002542E1">
            <w:pPr>
              <w:pStyle w:val="ARfintablebodyright8pt"/>
            </w:pPr>
          </w:p>
        </w:tc>
        <w:tc>
          <w:tcPr>
            <w:tcW w:w="708" w:type="dxa"/>
            <w:tcBorders>
              <w:top w:val="single" w:sz="4" w:space="0" w:color="BFBFBF" w:themeColor="background1" w:themeShade="BF"/>
              <w:bottom w:val="single" w:sz="4" w:space="0" w:color="A6A6A6" w:themeColor="background1" w:themeShade="A6"/>
            </w:tcBorders>
            <w:noWrap/>
          </w:tcPr>
          <w:p w14:paraId="50FC9F1A" w14:textId="77777777" w:rsidR="005B131E" w:rsidRPr="00BA7805" w:rsidRDefault="005B131E" w:rsidP="002542E1">
            <w:pPr>
              <w:pStyle w:val="ARfintablebodyright8pt"/>
              <w:rPr>
                <w:highlight w:val="green"/>
              </w:rPr>
            </w:pPr>
            <w:r w:rsidRPr="00630A9E">
              <w:t>920.5</w:t>
            </w:r>
          </w:p>
        </w:tc>
      </w:tr>
      <w:tr w:rsidR="005B131E" w:rsidRPr="00BA7805" w14:paraId="6F1C187D"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25965871" w14:textId="77777777" w:rsidR="005B131E" w:rsidRPr="00BA7805" w:rsidRDefault="005B131E" w:rsidP="002542E1">
            <w:pPr>
              <w:pStyle w:val="ARfintablebody8pt"/>
              <w:rPr>
                <w:highlight w:val="green"/>
              </w:rPr>
            </w:pPr>
            <w:r w:rsidRPr="00747B6C">
              <w:t>Depreciation and amortisation</w:t>
            </w:r>
          </w:p>
        </w:tc>
        <w:tc>
          <w:tcPr>
            <w:tcW w:w="707" w:type="dxa"/>
            <w:tcBorders>
              <w:top w:val="single" w:sz="4" w:space="0" w:color="A6A6A6" w:themeColor="background1" w:themeShade="A6"/>
              <w:bottom w:val="single" w:sz="4" w:space="0" w:color="A6A6A6" w:themeColor="background1" w:themeShade="A6"/>
            </w:tcBorders>
            <w:noWrap/>
          </w:tcPr>
          <w:p w14:paraId="13CBBC06" w14:textId="77777777" w:rsidR="005B131E" w:rsidRPr="00BA7805" w:rsidRDefault="005B131E" w:rsidP="002542E1">
            <w:pPr>
              <w:pStyle w:val="ARfintablebodyright8pt"/>
              <w:rPr>
                <w:highlight w:val="green"/>
              </w:rPr>
            </w:pPr>
            <w:r w:rsidRPr="00630A9E">
              <w:t>9.6</w:t>
            </w:r>
          </w:p>
        </w:tc>
        <w:tc>
          <w:tcPr>
            <w:tcW w:w="707" w:type="dxa"/>
            <w:tcBorders>
              <w:top w:val="single" w:sz="4" w:space="0" w:color="A6A6A6" w:themeColor="background1" w:themeShade="A6"/>
              <w:bottom w:val="single" w:sz="4" w:space="0" w:color="A6A6A6" w:themeColor="background1" w:themeShade="A6"/>
            </w:tcBorders>
            <w:noWrap/>
          </w:tcPr>
          <w:p w14:paraId="09F8E4E9" w14:textId="77777777" w:rsidR="005B131E" w:rsidRPr="00BA7805" w:rsidRDefault="005B131E" w:rsidP="002542E1">
            <w:pPr>
              <w:pStyle w:val="ARfintablebodyright8pt"/>
              <w:rPr>
                <w:highlight w:val="green"/>
              </w:rPr>
            </w:pPr>
            <w:r w:rsidRPr="00630A9E">
              <w:t>12.7</w:t>
            </w:r>
          </w:p>
        </w:tc>
        <w:tc>
          <w:tcPr>
            <w:tcW w:w="707" w:type="dxa"/>
            <w:tcBorders>
              <w:top w:val="single" w:sz="4" w:space="0" w:color="A6A6A6" w:themeColor="background1" w:themeShade="A6"/>
              <w:bottom w:val="single" w:sz="4" w:space="0" w:color="A6A6A6" w:themeColor="background1" w:themeShade="A6"/>
            </w:tcBorders>
            <w:noWrap/>
          </w:tcPr>
          <w:p w14:paraId="2C7270FF" w14:textId="77777777" w:rsidR="005B131E" w:rsidRPr="00BA7805" w:rsidRDefault="005B131E" w:rsidP="002542E1">
            <w:pPr>
              <w:pStyle w:val="ARfintablebodyright8pt"/>
              <w:rPr>
                <w:highlight w:val="green"/>
              </w:rPr>
            </w:pPr>
            <w:r w:rsidRPr="00630A9E">
              <w:t>0.4</w:t>
            </w:r>
          </w:p>
        </w:tc>
        <w:tc>
          <w:tcPr>
            <w:tcW w:w="707" w:type="dxa"/>
            <w:tcBorders>
              <w:top w:val="single" w:sz="4" w:space="0" w:color="A6A6A6" w:themeColor="background1" w:themeShade="A6"/>
              <w:bottom w:val="single" w:sz="4" w:space="0" w:color="A6A6A6" w:themeColor="background1" w:themeShade="A6"/>
            </w:tcBorders>
            <w:noWrap/>
          </w:tcPr>
          <w:p w14:paraId="3D65C2E0"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03F1D5DC" w14:textId="77777777" w:rsidR="005B131E" w:rsidRPr="00BA7805" w:rsidRDefault="005B131E" w:rsidP="002542E1">
            <w:pPr>
              <w:pStyle w:val="ARfintablebodyright8pt"/>
              <w:rPr>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6FA5FB29"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DA15479"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132741C"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79D1AF5" w14:textId="77777777" w:rsidR="005B131E" w:rsidRPr="00BA7805" w:rsidRDefault="005B131E" w:rsidP="002542E1">
            <w:pPr>
              <w:pStyle w:val="ARfintablebodyright8pt"/>
              <w:rPr>
                <w:highlight w:val="green"/>
              </w:rPr>
            </w:pPr>
            <w:r w:rsidRPr="00630A9E">
              <w:t>0.1</w:t>
            </w:r>
          </w:p>
        </w:tc>
        <w:tc>
          <w:tcPr>
            <w:tcW w:w="707" w:type="dxa"/>
            <w:tcBorders>
              <w:top w:val="single" w:sz="4" w:space="0" w:color="A6A6A6" w:themeColor="background1" w:themeShade="A6"/>
              <w:bottom w:val="single" w:sz="4" w:space="0" w:color="A6A6A6" w:themeColor="background1" w:themeShade="A6"/>
            </w:tcBorders>
            <w:noWrap/>
          </w:tcPr>
          <w:p w14:paraId="711FF919" w14:textId="77777777" w:rsidR="005B131E" w:rsidRPr="00BA7805" w:rsidRDefault="005B131E" w:rsidP="002542E1">
            <w:pPr>
              <w:pStyle w:val="ARfintablebodyright8pt"/>
              <w:rPr>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72A43AF3"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21767AAF" w14:textId="77777777" w:rsidR="005B131E" w:rsidRPr="00BA7805" w:rsidRDefault="005B131E" w:rsidP="002542E1">
            <w:pPr>
              <w:pStyle w:val="ARfintablebodyright8pt"/>
              <w:rPr>
                <w:highlight w:val="green"/>
              </w:rPr>
            </w:pPr>
            <w:r w:rsidRPr="00630A9E">
              <w:t>0.1</w:t>
            </w:r>
          </w:p>
        </w:tc>
        <w:tc>
          <w:tcPr>
            <w:tcW w:w="707" w:type="dxa"/>
            <w:tcBorders>
              <w:top w:val="single" w:sz="4" w:space="0" w:color="A6A6A6" w:themeColor="background1" w:themeShade="A6"/>
              <w:bottom w:val="single" w:sz="4" w:space="0" w:color="A6A6A6" w:themeColor="background1" w:themeShade="A6"/>
            </w:tcBorders>
            <w:noWrap/>
          </w:tcPr>
          <w:p w14:paraId="594D4F88" w14:textId="77777777" w:rsidR="005B131E" w:rsidRPr="00BA7805" w:rsidRDefault="005B131E" w:rsidP="002542E1">
            <w:pPr>
              <w:pStyle w:val="ARfintablebodyright8pt"/>
              <w:rPr>
                <w:highlight w:val="green"/>
              </w:rPr>
            </w:pPr>
            <w:r w:rsidRPr="00630A9E">
              <w:t>24.3</w:t>
            </w:r>
          </w:p>
        </w:tc>
        <w:tc>
          <w:tcPr>
            <w:tcW w:w="707" w:type="dxa"/>
            <w:tcBorders>
              <w:top w:val="single" w:sz="4" w:space="0" w:color="A6A6A6" w:themeColor="background1" w:themeShade="A6"/>
              <w:bottom w:val="single" w:sz="4" w:space="0" w:color="A6A6A6" w:themeColor="background1" w:themeShade="A6"/>
            </w:tcBorders>
            <w:noWrap/>
          </w:tcPr>
          <w:p w14:paraId="05F10AF2" w14:textId="77777777" w:rsidR="005B131E" w:rsidRPr="00BA7805" w:rsidRDefault="005B131E" w:rsidP="002542E1">
            <w:pPr>
              <w:pStyle w:val="ARfintablebodyright8pt"/>
              <w:rPr>
                <w:highlight w:val="green"/>
              </w:rPr>
            </w:pPr>
            <w:r w:rsidRPr="00630A9E">
              <w:t>315.0</w:t>
            </w:r>
          </w:p>
        </w:tc>
        <w:tc>
          <w:tcPr>
            <w:tcW w:w="707" w:type="dxa"/>
            <w:tcBorders>
              <w:top w:val="single" w:sz="4" w:space="0" w:color="A6A6A6" w:themeColor="background1" w:themeShade="A6"/>
              <w:bottom w:val="single" w:sz="4" w:space="0" w:color="A6A6A6" w:themeColor="background1" w:themeShade="A6"/>
            </w:tcBorders>
          </w:tcPr>
          <w:p w14:paraId="0B3DA708"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A6A6A6" w:themeColor="background1" w:themeShade="A6"/>
            </w:tcBorders>
            <w:noWrap/>
          </w:tcPr>
          <w:p w14:paraId="573D8B76" w14:textId="77777777" w:rsidR="005B131E" w:rsidRPr="00BA7805" w:rsidRDefault="005B131E" w:rsidP="002542E1">
            <w:pPr>
              <w:pStyle w:val="ARfintablebodyright8pt"/>
              <w:rPr>
                <w:highlight w:val="green"/>
              </w:rPr>
            </w:pPr>
            <w:r w:rsidRPr="00630A9E">
              <w:t>362.3</w:t>
            </w:r>
          </w:p>
        </w:tc>
      </w:tr>
      <w:tr w:rsidR="005B131E" w:rsidRPr="00BA7805" w14:paraId="0E87CB84"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23E45F75" w14:textId="77777777" w:rsidR="005B131E" w:rsidRPr="00BA7805" w:rsidRDefault="005B131E" w:rsidP="002542E1">
            <w:pPr>
              <w:pStyle w:val="ARfintablebody8pt"/>
              <w:rPr>
                <w:highlight w:val="green"/>
              </w:rPr>
            </w:pPr>
            <w:r w:rsidRPr="00747B6C">
              <w:t>Other operating expenses</w:t>
            </w:r>
          </w:p>
        </w:tc>
        <w:tc>
          <w:tcPr>
            <w:tcW w:w="707" w:type="dxa"/>
            <w:tcBorders>
              <w:top w:val="single" w:sz="4" w:space="0" w:color="A6A6A6" w:themeColor="background1" w:themeShade="A6"/>
              <w:bottom w:val="single" w:sz="4" w:space="0" w:color="A6A6A6" w:themeColor="background1" w:themeShade="A6"/>
            </w:tcBorders>
            <w:noWrap/>
          </w:tcPr>
          <w:p w14:paraId="0B2EE2A6" w14:textId="77777777" w:rsidR="005B131E" w:rsidRPr="00BA7805" w:rsidRDefault="005B131E" w:rsidP="002542E1">
            <w:pPr>
              <w:pStyle w:val="ARfintablebodyright8pt"/>
              <w:rPr>
                <w:highlight w:val="green"/>
              </w:rPr>
            </w:pPr>
            <w:r w:rsidRPr="00630A9E">
              <w:t>131.4</w:t>
            </w:r>
          </w:p>
        </w:tc>
        <w:tc>
          <w:tcPr>
            <w:tcW w:w="707" w:type="dxa"/>
            <w:tcBorders>
              <w:top w:val="single" w:sz="4" w:space="0" w:color="A6A6A6" w:themeColor="background1" w:themeShade="A6"/>
              <w:bottom w:val="single" w:sz="4" w:space="0" w:color="A6A6A6" w:themeColor="background1" w:themeShade="A6"/>
            </w:tcBorders>
            <w:noWrap/>
          </w:tcPr>
          <w:p w14:paraId="20B9B74C" w14:textId="77777777" w:rsidR="005B131E" w:rsidRPr="00BA7805" w:rsidRDefault="005B131E" w:rsidP="002542E1">
            <w:pPr>
              <w:pStyle w:val="ARfintablebodyright8pt"/>
              <w:rPr>
                <w:highlight w:val="green"/>
              </w:rPr>
            </w:pPr>
            <w:r w:rsidRPr="00630A9E">
              <w:t>191.6</w:t>
            </w:r>
          </w:p>
        </w:tc>
        <w:tc>
          <w:tcPr>
            <w:tcW w:w="707" w:type="dxa"/>
            <w:tcBorders>
              <w:top w:val="single" w:sz="4" w:space="0" w:color="A6A6A6" w:themeColor="background1" w:themeShade="A6"/>
              <w:bottom w:val="single" w:sz="4" w:space="0" w:color="A6A6A6" w:themeColor="background1" w:themeShade="A6"/>
            </w:tcBorders>
            <w:noWrap/>
          </w:tcPr>
          <w:p w14:paraId="0FB9B2E8" w14:textId="77777777" w:rsidR="005B131E" w:rsidRPr="00BA7805" w:rsidRDefault="005B131E" w:rsidP="002542E1">
            <w:pPr>
              <w:pStyle w:val="ARfintablebodyright8pt"/>
              <w:rPr>
                <w:highlight w:val="green"/>
              </w:rPr>
            </w:pPr>
            <w:r w:rsidRPr="00630A9E">
              <w:t>9.2</w:t>
            </w:r>
          </w:p>
        </w:tc>
        <w:tc>
          <w:tcPr>
            <w:tcW w:w="707" w:type="dxa"/>
            <w:tcBorders>
              <w:top w:val="single" w:sz="4" w:space="0" w:color="A6A6A6" w:themeColor="background1" w:themeShade="A6"/>
              <w:bottom w:val="single" w:sz="4" w:space="0" w:color="A6A6A6" w:themeColor="background1" w:themeShade="A6"/>
            </w:tcBorders>
            <w:noWrap/>
          </w:tcPr>
          <w:p w14:paraId="62112F04" w14:textId="77777777" w:rsidR="005B131E" w:rsidRPr="00BA7805" w:rsidRDefault="005B131E" w:rsidP="002542E1">
            <w:pPr>
              <w:pStyle w:val="ARfintablebodyright8pt"/>
              <w:rPr>
                <w:highlight w:val="green"/>
              </w:rPr>
            </w:pPr>
            <w:r w:rsidRPr="00630A9E">
              <w:t>(2.5)</w:t>
            </w:r>
          </w:p>
        </w:tc>
        <w:tc>
          <w:tcPr>
            <w:tcW w:w="707" w:type="dxa"/>
            <w:tcBorders>
              <w:top w:val="single" w:sz="4" w:space="0" w:color="A6A6A6" w:themeColor="background1" w:themeShade="A6"/>
              <w:bottom w:val="single" w:sz="4" w:space="0" w:color="A6A6A6" w:themeColor="background1" w:themeShade="A6"/>
            </w:tcBorders>
            <w:noWrap/>
          </w:tcPr>
          <w:p w14:paraId="4845AA42" w14:textId="77777777" w:rsidR="005B131E" w:rsidRPr="00BA7805" w:rsidRDefault="005B131E" w:rsidP="002542E1">
            <w:pPr>
              <w:pStyle w:val="ARfintablebodyright8pt"/>
              <w:rPr>
                <w:highlight w:val="green"/>
              </w:rPr>
            </w:pPr>
            <w:r w:rsidRPr="00630A9E">
              <w:t>0.5</w:t>
            </w:r>
          </w:p>
        </w:tc>
        <w:tc>
          <w:tcPr>
            <w:tcW w:w="708" w:type="dxa"/>
            <w:tcBorders>
              <w:top w:val="single" w:sz="4" w:space="0" w:color="A6A6A6" w:themeColor="background1" w:themeShade="A6"/>
              <w:bottom w:val="single" w:sz="4" w:space="0" w:color="A6A6A6" w:themeColor="background1" w:themeShade="A6"/>
            </w:tcBorders>
            <w:noWrap/>
          </w:tcPr>
          <w:p w14:paraId="33A17ED8" w14:textId="77777777" w:rsidR="005B131E" w:rsidRPr="00BA7805" w:rsidRDefault="005B131E" w:rsidP="002542E1">
            <w:pPr>
              <w:pStyle w:val="ARfintablebodyright8pt"/>
              <w:rPr>
                <w:highlight w:val="green"/>
              </w:rPr>
            </w:pPr>
            <w:r w:rsidRPr="00630A9E">
              <w:t>4.1</w:t>
            </w:r>
          </w:p>
        </w:tc>
        <w:tc>
          <w:tcPr>
            <w:tcW w:w="707" w:type="dxa"/>
            <w:tcBorders>
              <w:top w:val="single" w:sz="4" w:space="0" w:color="A6A6A6" w:themeColor="background1" w:themeShade="A6"/>
              <w:bottom w:val="single" w:sz="4" w:space="0" w:color="A6A6A6" w:themeColor="background1" w:themeShade="A6"/>
            </w:tcBorders>
            <w:noWrap/>
          </w:tcPr>
          <w:p w14:paraId="558BE847" w14:textId="77777777" w:rsidR="005B131E" w:rsidRPr="00BA7805" w:rsidRDefault="005B131E" w:rsidP="002542E1">
            <w:pPr>
              <w:pStyle w:val="ARfintablebodyright8pt"/>
              <w:rPr>
                <w:highlight w:val="green"/>
              </w:rPr>
            </w:pPr>
            <w:r w:rsidRPr="00630A9E">
              <w:t>0.6</w:t>
            </w:r>
          </w:p>
        </w:tc>
        <w:tc>
          <w:tcPr>
            <w:tcW w:w="707" w:type="dxa"/>
            <w:tcBorders>
              <w:top w:val="single" w:sz="4" w:space="0" w:color="A6A6A6" w:themeColor="background1" w:themeShade="A6"/>
              <w:bottom w:val="single" w:sz="4" w:space="0" w:color="A6A6A6" w:themeColor="background1" w:themeShade="A6"/>
            </w:tcBorders>
            <w:noWrap/>
          </w:tcPr>
          <w:p w14:paraId="735AD464" w14:textId="77777777" w:rsidR="005B131E" w:rsidRPr="00BA7805" w:rsidRDefault="005B131E" w:rsidP="002542E1">
            <w:pPr>
              <w:pStyle w:val="ARfintablebodyright8pt"/>
              <w:rPr>
                <w:highlight w:val="green"/>
              </w:rPr>
            </w:pPr>
            <w:r w:rsidRPr="00630A9E">
              <w:t>0.5</w:t>
            </w:r>
          </w:p>
        </w:tc>
        <w:tc>
          <w:tcPr>
            <w:tcW w:w="707" w:type="dxa"/>
            <w:tcBorders>
              <w:top w:val="single" w:sz="4" w:space="0" w:color="A6A6A6" w:themeColor="background1" w:themeShade="A6"/>
              <w:bottom w:val="single" w:sz="4" w:space="0" w:color="A6A6A6" w:themeColor="background1" w:themeShade="A6"/>
            </w:tcBorders>
            <w:noWrap/>
          </w:tcPr>
          <w:p w14:paraId="7E92F00B" w14:textId="77777777" w:rsidR="005B131E" w:rsidRPr="00BA7805" w:rsidRDefault="005B131E" w:rsidP="002542E1">
            <w:pPr>
              <w:pStyle w:val="ARfintablebodyright8pt"/>
              <w:rPr>
                <w:highlight w:val="green"/>
              </w:rPr>
            </w:pPr>
            <w:r w:rsidRPr="00630A9E">
              <w:t>2.6</w:t>
            </w:r>
          </w:p>
        </w:tc>
        <w:tc>
          <w:tcPr>
            <w:tcW w:w="707" w:type="dxa"/>
            <w:tcBorders>
              <w:top w:val="single" w:sz="4" w:space="0" w:color="A6A6A6" w:themeColor="background1" w:themeShade="A6"/>
              <w:bottom w:val="single" w:sz="4" w:space="0" w:color="A6A6A6" w:themeColor="background1" w:themeShade="A6"/>
            </w:tcBorders>
            <w:noWrap/>
          </w:tcPr>
          <w:p w14:paraId="660FCF9A" w14:textId="77777777" w:rsidR="005B131E" w:rsidRPr="00BA7805" w:rsidRDefault="005B131E" w:rsidP="002542E1">
            <w:pPr>
              <w:pStyle w:val="ARfintablebodyright8pt"/>
              <w:rPr>
                <w:highlight w:val="green"/>
              </w:rPr>
            </w:pPr>
            <w:r w:rsidRPr="00630A9E">
              <w:t>5.8</w:t>
            </w:r>
          </w:p>
        </w:tc>
        <w:tc>
          <w:tcPr>
            <w:tcW w:w="708" w:type="dxa"/>
            <w:tcBorders>
              <w:top w:val="single" w:sz="4" w:space="0" w:color="A6A6A6" w:themeColor="background1" w:themeShade="A6"/>
              <w:bottom w:val="single" w:sz="4" w:space="0" w:color="A6A6A6" w:themeColor="background1" w:themeShade="A6"/>
            </w:tcBorders>
            <w:noWrap/>
          </w:tcPr>
          <w:p w14:paraId="079C3FA9" w14:textId="77777777" w:rsidR="005B131E" w:rsidRPr="00BA7805" w:rsidRDefault="005B131E" w:rsidP="002542E1">
            <w:pPr>
              <w:pStyle w:val="ARfintablebodyright8pt"/>
              <w:rPr>
                <w:highlight w:val="green"/>
              </w:rPr>
            </w:pPr>
            <w:r w:rsidRPr="00630A9E">
              <w:t>0.9</w:t>
            </w:r>
          </w:p>
        </w:tc>
        <w:tc>
          <w:tcPr>
            <w:tcW w:w="707" w:type="dxa"/>
            <w:tcBorders>
              <w:top w:val="single" w:sz="4" w:space="0" w:color="A6A6A6" w:themeColor="background1" w:themeShade="A6"/>
              <w:bottom w:val="single" w:sz="4" w:space="0" w:color="A6A6A6" w:themeColor="background1" w:themeShade="A6"/>
            </w:tcBorders>
            <w:noWrap/>
          </w:tcPr>
          <w:p w14:paraId="1042DB6A" w14:textId="77777777" w:rsidR="005B131E" w:rsidRPr="00BA7805" w:rsidRDefault="005B131E" w:rsidP="002542E1">
            <w:pPr>
              <w:pStyle w:val="ARfintablebodyright8pt"/>
              <w:rPr>
                <w:highlight w:val="green"/>
              </w:rPr>
            </w:pPr>
            <w:r w:rsidRPr="00630A9E">
              <w:t>4.4</w:t>
            </w:r>
          </w:p>
        </w:tc>
        <w:tc>
          <w:tcPr>
            <w:tcW w:w="707" w:type="dxa"/>
            <w:tcBorders>
              <w:top w:val="single" w:sz="4" w:space="0" w:color="A6A6A6" w:themeColor="background1" w:themeShade="A6"/>
              <w:bottom w:val="single" w:sz="4" w:space="0" w:color="A6A6A6" w:themeColor="background1" w:themeShade="A6"/>
            </w:tcBorders>
            <w:noWrap/>
          </w:tcPr>
          <w:p w14:paraId="6FE81AA4" w14:textId="77777777" w:rsidR="005B131E" w:rsidRPr="00BA7805" w:rsidRDefault="005B131E" w:rsidP="002542E1">
            <w:pPr>
              <w:pStyle w:val="ARfintablebodyright8pt"/>
              <w:rPr>
                <w:highlight w:val="green"/>
              </w:rPr>
            </w:pPr>
            <w:r w:rsidRPr="00630A9E">
              <w:t>37.7</w:t>
            </w:r>
          </w:p>
        </w:tc>
        <w:tc>
          <w:tcPr>
            <w:tcW w:w="707" w:type="dxa"/>
            <w:tcBorders>
              <w:top w:val="single" w:sz="4" w:space="0" w:color="A6A6A6" w:themeColor="background1" w:themeShade="A6"/>
              <w:bottom w:val="single" w:sz="4" w:space="0" w:color="A6A6A6" w:themeColor="background1" w:themeShade="A6"/>
            </w:tcBorders>
            <w:noWrap/>
          </w:tcPr>
          <w:p w14:paraId="3652FB11" w14:textId="77777777" w:rsidR="005B131E" w:rsidRPr="00BA7805" w:rsidRDefault="005B131E" w:rsidP="002542E1">
            <w:pPr>
              <w:pStyle w:val="ARfintablebodyright8pt"/>
              <w:rPr>
                <w:highlight w:val="green"/>
              </w:rPr>
            </w:pPr>
            <w:r w:rsidRPr="00630A9E">
              <w:t>78.1</w:t>
            </w:r>
          </w:p>
        </w:tc>
        <w:tc>
          <w:tcPr>
            <w:tcW w:w="707" w:type="dxa"/>
            <w:tcBorders>
              <w:top w:val="single" w:sz="4" w:space="0" w:color="A6A6A6" w:themeColor="background1" w:themeShade="A6"/>
              <w:bottom w:val="single" w:sz="4" w:space="0" w:color="A6A6A6" w:themeColor="background1" w:themeShade="A6"/>
            </w:tcBorders>
          </w:tcPr>
          <w:p w14:paraId="28768DD3"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A6A6A6" w:themeColor="background1" w:themeShade="A6"/>
            </w:tcBorders>
            <w:noWrap/>
          </w:tcPr>
          <w:p w14:paraId="672B988A" w14:textId="77777777" w:rsidR="005B131E" w:rsidRPr="00BA7805" w:rsidRDefault="005B131E" w:rsidP="002542E1">
            <w:pPr>
              <w:pStyle w:val="ARfintablebodyright8pt"/>
              <w:rPr>
                <w:highlight w:val="green"/>
              </w:rPr>
            </w:pPr>
            <w:r w:rsidRPr="00630A9E">
              <w:t>464.9</w:t>
            </w:r>
          </w:p>
        </w:tc>
      </w:tr>
      <w:tr w:rsidR="005B131E" w:rsidRPr="00BA7805" w14:paraId="6C0D010E"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0A973137" w14:textId="77777777" w:rsidR="005B131E" w:rsidRPr="00BA7805" w:rsidRDefault="005B131E" w:rsidP="002542E1">
            <w:pPr>
              <w:pStyle w:val="ARfintablebody8pt"/>
              <w:rPr>
                <w:highlight w:val="green"/>
              </w:rPr>
            </w:pPr>
            <w:r w:rsidRPr="00747B6C">
              <w:t>Grants and other transfers</w:t>
            </w:r>
          </w:p>
        </w:tc>
        <w:tc>
          <w:tcPr>
            <w:tcW w:w="707" w:type="dxa"/>
            <w:tcBorders>
              <w:top w:val="single" w:sz="4" w:space="0" w:color="A6A6A6" w:themeColor="background1" w:themeShade="A6"/>
              <w:bottom w:val="single" w:sz="4" w:space="0" w:color="A6A6A6" w:themeColor="background1" w:themeShade="A6"/>
            </w:tcBorders>
            <w:noWrap/>
          </w:tcPr>
          <w:p w14:paraId="6547CF8A" w14:textId="77777777" w:rsidR="005B131E" w:rsidRPr="00BA7805" w:rsidRDefault="005B131E" w:rsidP="002542E1">
            <w:pPr>
              <w:pStyle w:val="ARfintablebodyright8pt"/>
              <w:rPr>
                <w:highlight w:val="green"/>
              </w:rPr>
            </w:pPr>
            <w:r w:rsidRPr="00630A9E">
              <w:t>211.4</w:t>
            </w:r>
          </w:p>
        </w:tc>
        <w:tc>
          <w:tcPr>
            <w:tcW w:w="707" w:type="dxa"/>
            <w:tcBorders>
              <w:top w:val="single" w:sz="4" w:space="0" w:color="A6A6A6" w:themeColor="background1" w:themeShade="A6"/>
              <w:bottom w:val="single" w:sz="4" w:space="0" w:color="A6A6A6" w:themeColor="background1" w:themeShade="A6"/>
            </w:tcBorders>
            <w:noWrap/>
          </w:tcPr>
          <w:p w14:paraId="0EF1C2B1" w14:textId="77777777" w:rsidR="005B131E" w:rsidRPr="00BA7805" w:rsidRDefault="005B131E" w:rsidP="002542E1">
            <w:pPr>
              <w:pStyle w:val="ARfintablebodyright8pt"/>
              <w:rPr>
                <w:highlight w:val="green"/>
              </w:rPr>
            </w:pPr>
            <w:r w:rsidRPr="00630A9E">
              <w:t>1,362.1</w:t>
            </w:r>
          </w:p>
        </w:tc>
        <w:tc>
          <w:tcPr>
            <w:tcW w:w="707" w:type="dxa"/>
            <w:tcBorders>
              <w:top w:val="single" w:sz="4" w:space="0" w:color="A6A6A6" w:themeColor="background1" w:themeShade="A6"/>
              <w:bottom w:val="single" w:sz="4" w:space="0" w:color="A6A6A6" w:themeColor="background1" w:themeShade="A6"/>
            </w:tcBorders>
            <w:noWrap/>
          </w:tcPr>
          <w:p w14:paraId="6BC6C6CE" w14:textId="77777777" w:rsidR="005B131E" w:rsidRPr="00BA7805" w:rsidRDefault="005B131E" w:rsidP="002542E1">
            <w:pPr>
              <w:pStyle w:val="ARfintablebodyright8pt"/>
              <w:rPr>
                <w:highlight w:val="green"/>
              </w:rPr>
            </w:pPr>
            <w:r w:rsidRPr="00630A9E">
              <w:t>808.9</w:t>
            </w:r>
          </w:p>
        </w:tc>
        <w:tc>
          <w:tcPr>
            <w:tcW w:w="707" w:type="dxa"/>
            <w:tcBorders>
              <w:top w:val="single" w:sz="4" w:space="0" w:color="A6A6A6" w:themeColor="background1" w:themeShade="A6"/>
              <w:bottom w:val="single" w:sz="4" w:space="0" w:color="A6A6A6" w:themeColor="background1" w:themeShade="A6"/>
            </w:tcBorders>
            <w:noWrap/>
          </w:tcPr>
          <w:p w14:paraId="43C5CA1E" w14:textId="77777777" w:rsidR="005B131E" w:rsidRPr="00BA7805" w:rsidRDefault="005B131E" w:rsidP="002542E1">
            <w:pPr>
              <w:pStyle w:val="ARfintablebodyright8pt"/>
              <w:rPr>
                <w:highlight w:val="green"/>
              </w:rPr>
            </w:pPr>
            <w:r w:rsidRPr="00630A9E">
              <w:t>63.1</w:t>
            </w:r>
          </w:p>
        </w:tc>
        <w:tc>
          <w:tcPr>
            <w:tcW w:w="707" w:type="dxa"/>
            <w:tcBorders>
              <w:top w:val="single" w:sz="4" w:space="0" w:color="A6A6A6" w:themeColor="background1" w:themeShade="A6"/>
              <w:bottom w:val="single" w:sz="4" w:space="0" w:color="A6A6A6" w:themeColor="background1" w:themeShade="A6"/>
            </w:tcBorders>
            <w:noWrap/>
          </w:tcPr>
          <w:p w14:paraId="15E7AF5A" w14:textId="77777777" w:rsidR="005B131E" w:rsidRPr="00BA7805" w:rsidRDefault="005B131E" w:rsidP="002542E1">
            <w:pPr>
              <w:pStyle w:val="ARfintablebodyright8pt"/>
              <w:rPr>
                <w:highlight w:val="green"/>
              </w:rPr>
            </w:pPr>
            <w:r w:rsidRPr="00630A9E">
              <w:t>20.1</w:t>
            </w:r>
          </w:p>
        </w:tc>
        <w:tc>
          <w:tcPr>
            <w:tcW w:w="708" w:type="dxa"/>
            <w:tcBorders>
              <w:top w:val="single" w:sz="4" w:space="0" w:color="A6A6A6" w:themeColor="background1" w:themeShade="A6"/>
              <w:bottom w:val="single" w:sz="4" w:space="0" w:color="A6A6A6" w:themeColor="background1" w:themeShade="A6"/>
            </w:tcBorders>
            <w:noWrap/>
          </w:tcPr>
          <w:p w14:paraId="743EC9FD" w14:textId="77777777" w:rsidR="005B131E" w:rsidRPr="00BA7805" w:rsidRDefault="005B131E" w:rsidP="002542E1">
            <w:pPr>
              <w:pStyle w:val="ARfintablebodyright8pt"/>
              <w:rPr>
                <w:highlight w:val="green"/>
              </w:rPr>
            </w:pPr>
            <w:r w:rsidRPr="00630A9E">
              <w:t>57.1</w:t>
            </w:r>
          </w:p>
        </w:tc>
        <w:tc>
          <w:tcPr>
            <w:tcW w:w="707" w:type="dxa"/>
            <w:tcBorders>
              <w:top w:val="single" w:sz="4" w:space="0" w:color="A6A6A6" w:themeColor="background1" w:themeShade="A6"/>
              <w:bottom w:val="single" w:sz="4" w:space="0" w:color="A6A6A6" w:themeColor="background1" w:themeShade="A6"/>
            </w:tcBorders>
            <w:noWrap/>
          </w:tcPr>
          <w:p w14:paraId="27D7D4E4" w14:textId="77777777" w:rsidR="005B131E" w:rsidRPr="00BA7805" w:rsidRDefault="005B131E" w:rsidP="002542E1">
            <w:pPr>
              <w:pStyle w:val="ARfintablebodyright8pt"/>
              <w:rPr>
                <w:highlight w:val="green"/>
              </w:rPr>
            </w:pPr>
            <w:r w:rsidRPr="00630A9E">
              <w:t>9.6</w:t>
            </w:r>
          </w:p>
        </w:tc>
        <w:tc>
          <w:tcPr>
            <w:tcW w:w="707" w:type="dxa"/>
            <w:tcBorders>
              <w:top w:val="single" w:sz="4" w:space="0" w:color="A6A6A6" w:themeColor="background1" w:themeShade="A6"/>
              <w:bottom w:val="single" w:sz="4" w:space="0" w:color="A6A6A6" w:themeColor="background1" w:themeShade="A6"/>
            </w:tcBorders>
            <w:noWrap/>
          </w:tcPr>
          <w:p w14:paraId="1E0EEA8C" w14:textId="77777777" w:rsidR="005B131E" w:rsidRPr="00BA7805" w:rsidRDefault="005B131E" w:rsidP="002542E1">
            <w:pPr>
              <w:pStyle w:val="ARfintablebodyright8pt"/>
              <w:rPr>
                <w:highlight w:val="green"/>
              </w:rPr>
            </w:pPr>
            <w:r w:rsidRPr="00630A9E">
              <w:t>7.2</w:t>
            </w:r>
          </w:p>
        </w:tc>
        <w:tc>
          <w:tcPr>
            <w:tcW w:w="707" w:type="dxa"/>
            <w:tcBorders>
              <w:top w:val="single" w:sz="4" w:space="0" w:color="A6A6A6" w:themeColor="background1" w:themeShade="A6"/>
              <w:bottom w:val="single" w:sz="4" w:space="0" w:color="A6A6A6" w:themeColor="background1" w:themeShade="A6"/>
            </w:tcBorders>
            <w:noWrap/>
          </w:tcPr>
          <w:p w14:paraId="3D48CDC8" w14:textId="77777777" w:rsidR="005B131E" w:rsidRPr="00BA7805" w:rsidRDefault="005B131E" w:rsidP="002542E1">
            <w:pPr>
              <w:pStyle w:val="ARfintablebodyright8pt"/>
              <w:rPr>
                <w:highlight w:val="green"/>
              </w:rPr>
            </w:pPr>
            <w:r w:rsidRPr="00630A9E">
              <w:t>4.7</w:t>
            </w:r>
          </w:p>
        </w:tc>
        <w:tc>
          <w:tcPr>
            <w:tcW w:w="707" w:type="dxa"/>
            <w:tcBorders>
              <w:top w:val="single" w:sz="4" w:space="0" w:color="A6A6A6" w:themeColor="background1" w:themeShade="A6"/>
              <w:bottom w:val="single" w:sz="4" w:space="0" w:color="A6A6A6" w:themeColor="background1" w:themeShade="A6"/>
            </w:tcBorders>
            <w:noWrap/>
          </w:tcPr>
          <w:p w14:paraId="2D0B5217" w14:textId="77777777" w:rsidR="005B131E" w:rsidRPr="00BA7805" w:rsidRDefault="005B131E" w:rsidP="002542E1">
            <w:pPr>
              <w:pStyle w:val="ARfintablebodyright8pt"/>
              <w:rPr>
                <w:highlight w:val="green"/>
              </w:rPr>
            </w:pPr>
            <w:r w:rsidRPr="00630A9E">
              <w:t>18.4</w:t>
            </w:r>
          </w:p>
        </w:tc>
        <w:tc>
          <w:tcPr>
            <w:tcW w:w="708" w:type="dxa"/>
            <w:tcBorders>
              <w:top w:val="single" w:sz="4" w:space="0" w:color="A6A6A6" w:themeColor="background1" w:themeShade="A6"/>
              <w:bottom w:val="single" w:sz="4" w:space="0" w:color="A6A6A6" w:themeColor="background1" w:themeShade="A6"/>
            </w:tcBorders>
            <w:noWrap/>
          </w:tcPr>
          <w:p w14:paraId="26590D6E" w14:textId="77777777" w:rsidR="005B131E" w:rsidRPr="00BA7805" w:rsidRDefault="005B131E" w:rsidP="002542E1">
            <w:pPr>
              <w:pStyle w:val="ARfintablebodyright8pt"/>
              <w:rPr>
                <w:highlight w:val="green"/>
              </w:rPr>
            </w:pPr>
            <w:r w:rsidRPr="00630A9E">
              <w:t>26.4</w:t>
            </w:r>
          </w:p>
        </w:tc>
        <w:tc>
          <w:tcPr>
            <w:tcW w:w="707" w:type="dxa"/>
            <w:tcBorders>
              <w:top w:val="single" w:sz="4" w:space="0" w:color="A6A6A6" w:themeColor="background1" w:themeShade="A6"/>
              <w:bottom w:val="single" w:sz="4" w:space="0" w:color="A6A6A6" w:themeColor="background1" w:themeShade="A6"/>
            </w:tcBorders>
            <w:noWrap/>
          </w:tcPr>
          <w:p w14:paraId="4164FCF8" w14:textId="77777777" w:rsidR="005B131E" w:rsidRPr="00BA7805" w:rsidRDefault="005B131E" w:rsidP="002542E1">
            <w:pPr>
              <w:pStyle w:val="ARfintablebodyright8pt"/>
              <w:rPr>
                <w:highlight w:val="green"/>
              </w:rPr>
            </w:pPr>
            <w:r w:rsidRPr="00630A9E">
              <w:t>37.4</w:t>
            </w:r>
          </w:p>
        </w:tc>
        <w:tc>
          <w:tcPr>
            <w:tcW w:w="707" w:type="dxa"/>
            <w:tcBorders>
              <w:top w:val="single" w:sz="4" w:space="0" w:color="A6A6A6" w:themeColor="background1" w:themeShade="A6"/>
              <w:bottom w:val="single" w:sz="4" w:space="0" w:color="A6A6A6" w:themeColor="background1" w:themeShade="A6"/>
            </w:tcBorders>
            <w:noWrap/>
          </w:tcPr>
          <w:p w14:paraId="5A497EEC" w14:textId="77777777" w:rsidR="005B131E" w:rsidRPr="00BA7805" w:rsidRDefault="005B131E" w:rsidP="002542E1">
            <w:pPr>
              <w:pStyle w:val="ARfintablebodyright8pt"/>
              <w:rPr>
                <w:highlight w:val="green"/>
              </w:rPr>
            </w:pPr>
            <w:r w:rsidRPr="00630A9E">
              <w:t>466.2</w:t>
            </w:r>
          </w:p>
        </w:tc>
        <w:tc>
          <w:tcPr>
            <w:tcW w:w="707" w:type="dxa"/>
            <w:tcBorders>
              <w:top w:val="single" w:sz="4" w:space="0" w:color="A6A6A6" w:themeColor="background1" w:themeShade="A6"/>
              <w:bottom w:val="single" w:sz="4" w:space="0" w:color="A6A6A6" w:themeColor="background1" w:themeShade="A6"/>
            </w:tcBorders>
            <w:noWrap/>
          </w:tcPr>
          <w:p w14:paraId="509712DA" w14:textId="77777777" w:rsidR="005B131E" w:rsidRPr="00BA7805" w:rsidRDefault="005B131E" w:rsidP="002542E1">
            <w:pPr>
              <w:pStyle w:val="ARfintablebodyright8pt"/>
              <w:rPr>
                <w:highlight w:val="green"/>
              </w:rPr>
            </w:pPr>
            <w:r w:rsidRPr="00630A9E">
              <w:t>939.5</w:t>
            </w:r>
          </w:p>
        </w:tc>
        <w:tc>
          <w:tcPr>
            <w:tcW w:w="707" w:type="dxa"/>
            <w:tcBorders>
              <w:top w:val="single" w:sz="4" w:space="0" w:color="A6A6A6" w:themeColor="background1" w:themeShade="A6"/>
              <w:bottom w:val="single" w:sz="4" w:space="0" w:color="A6A6A6" w:themeColor="background1" w:themeShade="A6"/>
            </w:tcBorders>
          </w:tcPr>
          <w:p w14:paraId="4EBB1D58" w14:textId="77777777" w:rsidR="005B131E" w:rsidRPr="00630A9E" w:rsidRDefault="005B131E" w:rsidP="002542E1">
            <w:pPr>
              <w:pStyle w:val="ARfintablebodyright8pt"/>
            </w:pPr>
            <w:r>
              <w:t>(21.6)</w:t>
            </w:r>
          </w:p>
        </w:tc>
        <w:tc>
          <w:tcPr>
            <w:tcW w:w="708" w:type="dxa"/>
            <w:tcBorders>
              <w:top w:val="single" w:sz="4" w:space="0" w:color="A6A6A6" w:themeColor="background1" w:themeShade="A6"/>
              <w:bottom w:val="single" w:sz="4" w:space="0" w:color="A6A6A6" w:themeColor="background1" w:themeShade="A6"/>
            </w:tcBorders>
            <w:noWrap/>
          </w:tcPr>
          <w:p w14:paraId="7B61A53D" w14:textId="77777777" w:rsidR="005B131E" w:rsidRPr="00BA7805" w:rsidRDefault="005B131E" w:rsidP="002542E1">
            <w:pPr>
              <w:pStyle w:val="ARfintablebodyright8pt"/>
              <w:rPr>
                <w:highlight w:val="green"/>
              </w:rPr>
            </w:pPr>
            <w:r w:rsidRPr="00630A9E">
              <w:t>4,010.7</w:t>
            </w:r>
          </w:p>
        </w:tc>
      </w:tr>
      <w:tr w:rsidR="005B131E" w:rsidRPr="00BA7805" w14:paraId="23A854F1"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49EE6581" w14:textId="77777777" w:rsidR="005B131E" w:rsidRPr="00BA7805" w:rsidRDefault="005B131E" w:rsidP="002542E1">
            <w:pPr>
              <w:pStyle w:val="ARfintablebody8pt"/>
              <w:rPr>
                <w:highlight w:val="green"/>
              </w:rPr>
            </w:pPr>
            <w:r w:rsidRPr="00747B6C">
              <w:t>Property management expenses</w:t>
            </w:r>
          </w:p>
        </w:tc>
        <w:tc>
          <w:tcPr>
            <w:tcW w:w="707" w:type="dxa"/>
            <w:tcBorders>
              <w:top w:val="single" w:sz="4" w:space="0" w:color="A6A6A6" w:themeColor="background1" w:themeShade="A6"/>
              <w:bottom w:val="single" w:sz="4" w:space="0" w:color="A6A6A6" w:themeColor="background1" w:themeShade="A6"/>
            </w:tcBorders>
            <w:noWrap/>
          </w:tcPr>
          <w:p w14:paraId="59B8E399" w14:textId="77777777" w:rsidR="005B131E" w:rsidRPr="00BA7805" w:rsidRDefault="005B131E" w:rsidP="002542E1">
            <w:pPr>
              <w:pStyle w:val="ARfintablebodyright8pt"/>
              <w:rPr>
                <w:highlight w:val="green"/>
              </w:rPr>
            </w:pPr>
            <w:r w:rsidRPr="00630A9E">
              <w:t>12.9</w:t>
            </w:r>
          </w:p>
        </w:tc>
        <w:tc>
          <w:tcPr>
            <w:tcW w:w="707" w:type="dxa"/>
            <w:tcBorders>
              <w:top w:val="single" w:sz="4" w:space="0" w:color="A6A6A6" w:themeColor="background1" w:themeShade="A6"/>
              <w:bottom w:val="single" w:sz="4" w:space="0" w:color="A6A6A6" w:themeColor="background1" w:themeShade="A6"/>
            </w:tcBorders>
            <w:noWrap/>
          </w:tcPr>
          <w:p w14:paraId="25004757" w14:textId="77777777" w:rsidR="005B131E" w:rsidRPr="00BA7805" w:rsidRDefault="005B131E" w:rsidP="002542E1">
            <w:pPr>
              <w:pStyle w:val="ARfintablebodyright8pt"/>
              <w:rPr>
                <w:highlight w:val="green"/>
              </w:rPr>
            </w:pPr>
            <w:r w:rsidRPr="00630A9E">
              <w:t>8.4</w:t>
            </w:r>
          </w:p>
        </w:tc>
        <w:tc>
          <w:tcPr>
            <w:tcW w:w="707" w:type="dxa"/>
            <w:tcBorders>
              <w:top w:val="single" w:sz="4" w:space="0" w:color="A6A6A6" w:themeColor="background1" w:themeShade="A6"/>
              <w:bottom w:val="single" w:sz="4" w:space="0" w:color="A6A6A6" w:themeColor="background1" w:themeShade="A6"/>
            </w:tcBorders>
            <w:noWrap/>
          </w:tcPr>
          <w:p w14:paraId="16BD9785"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026A84AA"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B701BD7" w14:textId="77777777" w:rsidR="005B131E" w:rsidRPr="00BA7805" w:rsidRDefault="005B131E" w:rsidP="002542E1">
            <w:pPr>
              <w:pStyle w:val="ARfintablebodyright8pt"/>
              <w:rPr>
                <w:highlight w:val="green"/>
              </w:rPr>
            </w:pPr>
            <w:r w:rsidRPr="00585763">
              <w:t>–</w:t>
            </w:r>
          </w:p>
        </w:tc>
        <w:tc>
          <w:tcPr>
            <w:tcW w:w="708" w:type="dxa"/>
            <w:tcBorders>
              <w:top w:val="single" w:sz="4" w:space="0" w:color="A6A6A6" w:themeColor="background1" w:themeShade="A6"/>
              <w:bottom w:val="single" w:sz="4" w:space="0" w:color="A6A6A6" w:themeColor="background1" w:themeShade="A6"/>
            </w:tcBorders>
            <w:noWrap/>
          </w:tcPr>
          <w:p w14:paraId="26E8D5C9" w14:textId="77777777" w:rsidR="005B131E" w:rsidRPr="00BA7805" w:rsidRDefault="005B131E" w:rsidP="002542E1">
            <w:pPr>
              <w:pStyle w:val="ARfintablebodyright8pt"/>
              <w:rPr>
                <w:highlight w:val="green"/>
              </w:rPr>
            </w:pPr>
            <w:r w:rsidRPr="00585763">
              <w:t>–</w:t>
            </w:r>
          </w:p>
        </w:tc>
        <w:tc>
          <w:tcPr>
            <w:tcW w:w="707" w:type="dxa"/>
            <w:tcBorders>
              <w:top w:val="single" w:sz="4" w:space="0" w:color="A6A6A6" w:themeColor="background1" w:themeShade="A6"/>
              <w:bottom w:val="single" w:sz="4" w:space="0" w:color="A6A6A6" w:themeColor="background1" w:themeShade="A6"/>
            </w:tcBorders>
            <w:noWrap/>
          </w:tcPr>
          <w:p w14:paraId="4D5E3FDC" w14:textId="77777777" w:rsidR="005B131E" w:rsidRPr="00BA7805" w:rsidRDefault="005B131E" w:rsidP="002542E1">
            <w:pPr>
              <w:pStyle w:val="ARfintablebodyright8pt"/>
              <w:rPr>
                <w:highlight w:val="green"/>
              </w:rPr>
            </w:pPr>
            <w:r w:rsidRPr="00585763">
              <w:t>–</w:t>
            </w:r>
          </w:p>
        </w:tc>
        <w:tc>
          <w:tcPr>
            <w:tcW w:w="707" w:type="dxa"/>
            <w:tcBorders>
              <w:top w:val="single" w:sz="4" w:space="0" w:color="A6A6A6" w:themeColor="background1" w:themeShade="A6"/>
              <w:bottom w:val="single" w:sz="4" w:space="0" w:color="A6A6A6" w:themeColor="background1" w:themeShade="A6"/>
            </w:tcBorders>
            <w:noWrap/>
          </w:tcPr>
          <w:p w14:paraId="33C4AB79" w14:textId="77777777" w:rsidR="005B131E" w:rsidRPr="00BA7805" w:rsidRDefault="005B131E" w:rsidP="002542E1">
            <w:pPr>
              <w:pStyle w:val="ARfintablebodyright8pt"/>
              <w:rPr>
                <w:highlight w:val="green"/>
              </w:rPr>
            </w:pPr>
            <w:r w:rsidRPr="00585763">
              <w:t>–</w:t>
            </w:r>
          </w:p>
        </w:tc>
        <w:tc>
          <w:tcPr>
            <w:tcW w:w="707" w:type="dxa"/>
            <w:tcBorders>
              <w:top w:val="single" w:sz="4" w:space="0" w:color="A6A6A6" w:themeColor="background1" w:themeShade="A6"/>
              <w:bottom w:val="single" w:sz="4" w:space="0" w:color="A6A6A6" w:themeColor="background1" w:themeShade="A6"/>
            </w:tcBorders>
            <w:noWrap/>
          </w:tcPr>
          <w:p w14:paraId="1AF2FE8D" w14:textId="77777777" w:rsidR="005B131E" w:rsidRPr="00BA7805" w:rsidRDefault="005B131E" w:rsidP="002542E1">
            <w:pPr>
              <w:pStyle w:val="ARfintablebodyright8pt"/>
              <w:rPr>
                <w:highlight w:val="green"/>
              </w:rPr>
            </w:pPr>
            <w:r w:rsidRPr="00585763">
              <w:t>–</w:t>
            </w:r>
          </w:p>
        </w:tc>
        <w:tc>
          <w:tcPr>
            <w:tcW w:w="707" w:type="dxa"/>
            <w:tcBorders>
              <w:top w:val="single" w:sz="4" w:space="0" w:color="A6A6A6" w:themeColor="background1" w:themeShade="A6"/>
              <w:bottom w:val="single" w:sz="4" w:space="0" w:color="A6A6A6" w:themeColor="background1" w:themeShade="A6"/>
            </w:tcBorders>
            <w:noWrap/>
          </w:tcPr>
          <w:p w14:paraId="771C2689" w14:textId="77777777" w:rsidR="005B131E" w:rsidRPr="00BA7805" w:rsidRDefault="005B131E" w:rsidP="002542E1">
            <w:pPr>
              <w:pStyle w:val="ARfintablebodyright8pt"/>
              <w:rPr>
                <w:highlight w:val="green"/>
              </w:rPr>
            </w:pPr>
            <w:r w:rsidRPr="00585763">
              <w:t>–</w:t>
            </w:r>
          </w:p>
        </w:tc>
        <w:tc>
          <w:tcPr>
            <w:tcW w:w="708" w:type="dxa"/>
            <w:tcBorders>
              <w:top w:val="single" w:sz="4" w:space="0" w:color="A6A6A6" w:themeColor="background1" w:themeShade="A6"/>
              <w:bottom w:val="single" w:sz="4" w:space="0" w:color="A6A6A6" w:themeColor="background1" w:themeShade="A6"/>
            </w:tcBorders>
            <w:noWrap/>
          </w:tcPr>
          <w:p w14:paraId="0DFF4245" w14:textId="77777777" w:rsidR="005B131E" w:rsidRPr="00BA7805" w:rsidRDefault="005B131E" w:rsidP="002542E1">
            <w:pPr>
              <w:pStyle w:val="ARfintablebodyright8pt"/>
              <w:rPr>
                <w:highlight w:val="green"/>
              </w:rPr>
            </w:pPr>
            <w:r w:rsidRPr="00585763">
              <w:t>–</w:t>
            </w:r>
          </w:p>
        </w:tc>
        <w:tc>
          <w:tcPr>
            <w:tcW w:w="707" w:type="dxa"/>
            <w:tcBorders>
              <w:top w:val="single" w:sz="4" w:space="0" w:color="A6A6A6" w:themeColor="background1" w:themeShade="A6"/>
              <w:bottom w:val="single" w:sz="4" w:space="0" w:color="A6A6A6" w:themeColor="background1" w:themeShade="A6"/>
            </w:tcBorders>
            <w:noWrap/>
          </w:tcPr>
          <w:p w14:paraId="149E0525" w14:textId="77777777" w:rsidR="005B131E" w:rsidRPr="00BA7805" w:rsidRDefault="005B131E" w:rsidP="002542E1">
            <w:pPr>
              <w:pStyle w:val="ARfintablebodyright8pt"/>
              <w:rPr>
                <w:highlight w:val="green"/>
              </w:rPr>
            </w:pPr>
            <w:r w:rsidRPr="00585763">
              <w:t>–</w:t>
            </w:r>
          </w:p>
        </w:tc>
        <w:tc>
          <w:tcPr>
            <w:tcW w:w="707" w:type="dxa"/>
            <w:tcBorders>
              <w:top w:val="single" w:sz="4" w:space="0" w:color="A6A6A6" w:themeColor="background1" w:themeShade="A6"/>
              <w:bottom w:val="single" w:sz="4" w:space="0" w:color="A6A6A6" w:themeColor="background1" w:themeShade="A6"/>
            </w:tcBorders>
            <w:noWrap/>
          </w:tcPr>
          <w:p w14:paraId="0D381923"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3C290C23" w14:textId="77777777" w:rsidR="005B131E" w:rsidRPr="00BA7805" w:rsidRDefault="005B131E" w:rsidP="002542E1">
            <w:pPr>
              <w:pStyle w:val="ARfintablebodyright8pt"/>
              <w:rPr>
                <w:highlight w:val="green"/>
              </w:rPr>
            </w:pPr>
            <w:r>
              <w:t>502.3</w:t>
            </w:r>
          </w:p>
        </w:tc>
        <w:tc>
          <w:tcPr>
            <w:tcW w:w="707" w:type="dxa"/>
            <w:tcBorders>
              <w:top w:val="single" w:sz="4" w:space="0" w:color="A6A6A6" w:themeColor="background1" w:themeShade="A6"/>
              <w:bottom w:val="single" w:sz="4" w:space="0" w:color="A6A6A6" w:themeColor="background1" w:themeShade="A6"/>
            </w:tcBorders>
          </w:tcPr>
          <w:p w14:paraId="0DC36BF1"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A6A6A6" w:themeColor="background1" w:themeShade="A6"/>
            </w:tcBorders>
            <w:noWrap/>
          </w:tcPr>
          <w:p w14:paraId="1D10AC22" w14:textId="77777777" w:rsidR="005B131E" w:rsidRPr="00BA7805" w:rsidRDefault="005B131E" w:rsidP="002542E1">
            <w:pPr>
              <w:pStyle w:val="ARfintablebodyright8pt"/>
              <w:rPr>
                <w:highlight w:val="green"/>
              </w:rPr>
            </w:pPr>
            <w:r w:rsidRPr="00630A9E">
              <w:t>523.7</w:t>
            </w:r>
          </w:p>
        </w:tc>
      </w:tr>
      <w:tr w:rsidR="005B131E" w:rsidRPr="00BA7805" w14:paraId="65CB6857" w14:textId="77777777" w:rsidTr="002542E1">
        <w:trPr>
          <w:trHeight w:val="170"/>
        </w:trPr>
        <w:tc>
          <w:tcPr>
            <w:tcW w:w="2394" w:type="dxa"/>
          </w:tcPr>
          <w:p w14:paraId="0BCF6B0F" w14:textId="77777777" w:rsidR="005B131E" w:rsidRPr="00BA7805" w:rsidRDefault="005B131E" w:rsidP="002542E1">
            <w:pPr>
              <w:pStyle w:val="ARfintablebodybold8pt"/>
              <w:rPr>
                <w:highlight w:val="green"/>
              </w:rPr>
            </w:pPr>
            <w:r w:rsidRPr="00747B6C">
              <w:t>Total expenses from transactions</w:t>
            </w:r>
          </w:p>
        </w:tc>
        <w:tc>
          <w:tcPr>
            <w:tcW w:w="707" w:type="dxa"/>
            <w:noWrap/>
          </w:tcPr>
          <w:p w14:paraId="2F4AD932" w14:textId="77777777" w:rsidR="005B131E" w:rsidRPr="00BA7805" w:rsidRDefault="005B131E" w:rsidP="002542E1">
            <w:pPr>
              <w:pStyle w:val="ARfintablebodyrightbold8pt"/>
              <w:rPr>
                <w:highlight w:val="green"/>
              </w:rPr>
            </w:pPr>
            <w:r w:rsidRPr="00630A9E">
              <w:t>488.8</w:t>
            </w:r>
          </w:p>
        </w:tc>
        <w:tc>
          <w:tcPr>
            <w:tcW w:w="707" w:type="dxa"/>
            <w:noWrap/>
          </w:tcPr>
          <w:p w14:paraId="657B1639" w14:textId="77777777" w:rsidR="005B131E" w:rsidRPr="00BA7805" w:rsidRDefault="005B131E" w:rsidP="002542E1">
            <w:pPr>
              <w:pStyle w:val="ARfintablebodyrightbold8pt"/>
              <w:rPr>
                <w:highlight w:val="green"/>
              </w:rPr>
            </w:pPr>
            <w:r w:rsidRPr="00630A9E">
              <w:t>2,069.7</w:t>
            </w:r>
          </w:p>
        </w:tc>
        <w:tc>
          <w:tcPr>
            <w:tcW w:w="707" w:type="dxa"/>
            <w:noWrap/>
          </w:tcPr>
          <w:p w14:paraId="3E10785A" w14:textId="77777777" w:rsidR="005B131E" w:rsidRPr="00BA7805" w:rsidRDefault="005B131E" w:rsidP="002542E1">
            <w:pPr>
              <w:pStyle w:val="ARfintablebodyrightbold8pt"/>
              <w:rPr>
                <w:highlight w:val="green"/>
              </w:rPr>
            </w:pPr>
            <w:r w:rsidRPr="00630A9E">
              <w:t>829.3</w:t>
            </w:r>
          </w:p>
        </w:tc>
        <w:tc>
          <w:tcPr>
            <w:tcW w:w="707" w:type="dxa"/>
            <w:noWrap/>
          </w:tcPr>
          <w:p w14:paraId="18E5E0E6" w14:textId="77777777" w:rsidR="005B131E" w:rsidRPr="00BA7805" w:rsidRDefault="005B131E" w:rsidP="002542E1">
            <w:pPr>
              <w:pStyle w:val="ARfintablebodyrightbold8pt"/>
              <w:rPr>
                <w:highlight w:val="green"/>
              </w:rPr>
            </w:pPr>
            <w:r w:rsidRPr="00630A9E">
              <w:t>73.1</w:t>
            </w:r>
          </w:p>
        </w:tc>
        <w:tc>
          <w:tcPr>
            <w:tcW w:w="707" w:type="dxa"/>
            <w:noWrap/>
          </w:tcPr>
          <w:p w14:paraId="45F1A6FB" w14:textId="77777777" w:rsidR="005B131E" w:rsidRPr="00BA7805" w:rsidRDefault="005B131E" w:rsidP="002542E1">
            <w:pPr>
              <w:pStyle w:val="ARfintablebodyrightbold8pt"/>
              <w:rPr>
                <w:highlight w:val="green"/>
              </w:rPr>
            </w:pPr>
            <w:r w:rsidRPr="00630A9E">
              <w:t>22.1</w:t>
            </w:r>
          </w:p>
        </w:tc>
        <w:tc>
          <w:tcPr>
            <w:tcW w:w="708" w:type="dxa"/>
            <w:noWrap/>
          </w:tcPr>
          <w:p w14:paraId="629FB356" w14:textId="77777777" w:rsidR="005B131E" w:rsidRPr="00BA7805" w:rsidRDefault="005B131E" w:rsidP="002542E1">
            <w:pPr>
              <w:pStyle w:val="ARfintablebodyrightbold8pt"/>
              <w:rPr>
                <w:highlight w:val="green"/>
              </w:rPr>
            </w:pPr>
            <w:r w:rsidRPr="00630A9E">
              <w:t>66.8</w:t>
            </w:r>
          </w:p>
        </w:tc>
        <w:tc>
          <w:tcPr>
            <w:tcW w:w="707" w:type="dxa"/>
            <w:noWrap/>
          </w:tcPr>
          <w:p w14:paraId="23AFE760" w14:textId="77777777" w:rsidR="005B131E" w:rsidRPr="00BA7805" w:rsidRDefault="005B131E" w:rsidP="002542E1">
            <w:pPr>
              <w:pStyle w:val="ARfintablebodyrightbold8pt"/>
              <w:rPr>
                <w:highlight w:val="green"/>
              </w:rPr>
            </w:pPr>
            <w:r w:rsidRPr="00630A9E">
              <w:t>12.1</w:t>
            </w:r>
          </w:p>
        </w:tc>
        <w:tc>
          <w:tcPr>
            <w:tcW w:w="707" w:type="dxa"/>
            <w:noWrap/>
          </w:tcPr>
          <w:p w14:paraId="2E4C0E64" w14:textId="77777777" w:rsidR="005B131E" w:rsidRPr="00BA7805" w:rsidRDefault="005B131E" w:rsidP="002542E1">
            <w:pPr>
              <w:pStyle w:val="ARfintablebodyrightbold8pt"/>
              <w:rPr>
                <w:highlight w:val="green"/>
              </w:rPr>
            </w:pPr>
            <w:r w:rsidRPr="00630A9E">
              <w:t>10.2</w:t>
            </w:r>
          </w:p>
        </w:tc>
        <w:tc>
          <w:tcPr>
            <w:tcW w:w="707" w:type="dxa"/>
            <w:noWrap/>
          </w:tcPr>
          <w:p w14:paraId="36D0D4DE" w14:textId="77777777" w:rsidR="005B131E" w:rsidRPr="00BA7805" w:rsidRDefault="005B131E" w:rsidP="002542E1">
            <w:pPr>
              <w:pStyle w:val="ARfintablebodyrightbold8pt"/>
              <w:rPr>
                <w:highlight w:val="green"/>
              </w:rPr>
            </w:pPr>
            <w:r w:rsidRPr="00630A9E">
              <w:t>14.6</w:t>
            </w:r>
          </w:p>
        </w:tc>
        <w:tc>
          <w:tcPr>
            <w:tcW w:w="707" w:type="dxa"/>
            <w:noWrap/>
          </w:tcPr>
          <w:p w14:paraId="04830784" w14:textId="77777777" w:rsidR="005B131E" w:rsidRPr="00BA7805" w:rsidRDefault="005B131E" w:rsidP="002542E1">
            <w:pPr>
              <w:pStyle w:val="ARfintablebodyrightbold8pt"/>
              <w:rPr>
                <w:highlight w:val="green"/>
              </w:rPr>
            </w:pPr>
            <w:r w:rsidRPr="00630A9E">
              <w:t>34.8</w:t>
            </w:r>
          </w:p>
        </w:tc>
        <w:tc>
          <w:tcPr>
            <w:tcW w:w="708" w:type="dxa"/>
            <w:noWrap/>
          </w:tcPr>
          <w:p w14:paraId="31C415A4" w14:textId="77777777" w:rsidR="005B131E" w:rsidRPr="00BA7805" w:rsidRDefault="005B131E" w:rsidP="002542E1">
            <w:pPr>
              <w:pStyle w:val="ARfintablebodyrightbold8pt"/>
              <w:rPr>
                <w:highlight w:val="green"/>
              </w:rPr>
            </w:pPr>
            <w:r w:rsidRPr="00630A9E">
              <w:t>31.7</w:t>
            </w:r>
          </w:p>
        </w:tc>
        <w:tc>
          <w:tcPr>
            <w:tcW w:w="707" w:type="dxa"/>
            <w:noWrap/>
          </w:tcPr>
          <w:p w14:paraId="4A7F0161" w14:textId="77777777" w:rsidR="005B131E" w:rsidRPr="00BA7805" w:rsidRDefault="005B131E" w:rsidP="002542E1">
            <w:pPr>
              <w:pStyle w:val="ARfintablebodyrightbold8pt"/>
              <w:rPr>
                <w:highlight w:val="green"/>
              </w:rPr>
            </w:pPr>
            <w:r w:rsidRPr="00630A9E">
              <w:t>56.2</w:t>
            </w:r>
          </w:p>
        </w:tc>
        <w:tc>
          <w:tcPr>
            <w:tcW w:w="707" w:type="dxa"/>
            <w:noWrap/>
          </w:tcPr>
          <w:p w14:paraId="0564C70D" w14:textId="77777777" w:rsidR="005B131E" w:rsidRPr="00BA7805" w:rsidRDefault="005B131E" w:rsidP="002542E1">
            <w:pPr>
              <w:pStyle w:val="ARfintablebodyrightbold8pt"/>
              <w:rPr>
                <w:highlight w:val="green"/>
              </w:rPr>
            </w:pPr>
            <w:r w:rsidRPr="00630A9E">
              <w:t>593.2</w:t>
            </w:r>
          </w:p>
        </w:tc>
        <w:tc>
          <w:tcPr>
            <w:tcW w:w="707" w:type="dxa"/>
            <w:noWrap/>
          </w:tcPr>
          <w:p w14:paraId="0634E4EA" w14:textId="77777777" w:rsidR="005B131E" w:rsidRPr="00BA7805" w:rsidRDefault="005B131E" w:rsidP="002542E1">
            <w:pPr>
              <w:pStyle w:val="ARfintablebodyrightbold8pt"/>
              <w:rPr>
                <w:highlight w:val="green"/>
              </w:rPr>
            </w:pPr>
            <w:r>
              <w:t>2,001.3</w:t>
            </w:r>
          </w:p>
        </w:tc>
        <w:tc>
          <w:tcPr>
            <w:tcW w:w="707" w:type="dxa"/>
          </w:tcPr>
          <w:p w14:paraId="363E9869" w14:textId="77777777" w:rsidR="005B131E" w:rsidRPr="00630A9E" w:rsidRDefault="005B131E" w:rsidP="002542E1">
            <w:pPr>
              <w:pStyle w:val="ARfintablebodyrightbold8pt"/>
            </w:pPr>
            <w:r>
              <w:t>(21.6)</w:t>
            </w:r>
          </w:p>
        </w:tc>
        <w:tc>
          <w:tcPr>
            <w:tcW w:w="708" w:type="dxa"/>
            <w:noWrap/>
          </w:tcPr>
          <w:p w14:paraId="1A69BEDA" w14:textId="77777777" w:rsidR="005B131E" w:rsidRPr="00BA7805" w:rsidRDefault="005B131E" w:rsidP="002542E1">
            <w:pPr>
              <w:pStyle w:val="ARfintablebodyrightbold8pt"/>
              <w:rPr>
                <w:highlight w:val="green"/>
              </w:rPr>
            </w:pPr>
            <w:r w:rsidRPr="00630A9E">
              <w:t>6,282.1</w:t>
            </w:r>
          </w:p>
        </w:tc>
      </w:tr>
      <w:tr w:rsidR="005B131E" w:rsidRPr="00BA7805" w14:paraId="58C33D1C" w14:textId="77777777" w:rsidTr="002542E1">
        <w:trPr>
          <w:trHeight w:val="170"/>
        </w:trPr>
        <w:tc>
          <w:tcPr>
            <w:tcW w:w="2394" w:type="dxa"/>
            <w:tcBorders>
              <w:bottom w:val="single" w:sz="4" w:space="0" w:color="auto"/>
            </w:tcBorders>
          </w:tcPr>
          <w:p w14:paraId="476EC5D2" w14:textId="77777777" w:rsidR="005B131E" w:rsidRPr="00BA7805" w:rsidRDefault="005B131E" w:rsidP="002542E1">
            <w:pPr>
              <w:pStyle w:val="ARfintablebodybold8pt"/>
              <w:rPr>
                <w:highlight w:val="green"/>
              </w:rPr>
            </w:pPr>
            <w:r w:rsidRPr="00747B6C">
              <w:t>Net result from transactions (net operating balance)</w:t>
            </w:r>
          </w:p>
        </w:tc>
        <w:tc>
          <w:tcPr>
            <w:tcW w:w="707" w:type="dxa"/>
            <w:tcBorders>
              <w:bottom w:val="single" w:sz="4" w:space="0" w:color="auto"/>
            </w:tcBorders>
            <w:noWrap/>
          </w:tcPr>
          <w:p w14:paraId="7FA7D88F" w14:textId="77777777" w:rsidR="005B131E" w:rsidRPr="00BA7805" w:rsidRDefault="005B131E" w:rsidP="002542E1">
            <w:pPr>
              <w:pStyle w:val="ARfintablebodyrightbold8pt"/>
              <w:rPr>
                <w:highlight w:val="green"/>
              </w:rPr>
            </w:pPr>
            <w:r w:rsidRPr="00630A9E">
              <w:t>(6.5)</w:t>
            </w:r>
          </w:p>
        </w:tc>
        <w:tc>
          <w:tcPr>
            <w:tcW w:w="707" w:type="dxa"/>
            <w:tcBorders>
              <w:bottom w:val="single" w:sz="4" w:space="0" w:color="auto"/>
            </w:tcBorders>
            <w:noWrap/>
          </w:tcPr>
          <w:p w14:paraId="652BECE5" w14:textId="77777777" w:rsidR="005B131E" w:rsidRPr="00BA7805" w:rsidRDefault="005B131E" w:rsidP="002542E1">
            <w:pPr>
              <w:pStyle w:val="ARfintablebodyrightbold8pt"/>
              <w:rPr>
                <w:highlight w:val="green"/>
              </w:rPr>
            </w:pPr>
            <w:r w:rsidRPr="00630A9E">
              <w:t>(19.0)</w:t>
            </w:r>
          </w:p>
        </w:tc>
        <w:tc>
          <w:tcPr>
            <w:tcW w:w="707" w:type="dxa"/>
            <w:tcBorders>
              <w:bottom w:val="single" w:sz="4" w:space="0" w:color="auto"/>
            </w:tcBorders>
            <w:noWrap/>
          </w:tcPr>
          <w:p w14:paraId="612BEC46" w14:textId="77777777" w:rsidR="005B131E" w:rsidRPr="00BA7805" w:rsidRDefault="005B131E" w:rsidP="002542E1">
            <w:pPr>
              <w:pStyle w:val="ARfintablebodyrightbold8pt"/>
              <w:rPr>
                <w:highlight w:val="green"/>
              </w:rPr>
            </w:pPr>
            <w:r w:rsidRPr="00630A9E">
              <w:t>8.0</w:t>
            </w:r>
          </w:p>
        </w:tc>
        <w:tc>
          <w:tcPr>
            <w:tcW w:w="707" w:type="dxa"/>
            <w:tcBorders>
              <w:bottom w:val="single" w:sz="4" w:space="0" w:color="auto"/>
            </w:tcBorders>
            <w:noWrap/>
          </w:tcPr>
          <w:p w14:paraId="6D142686" w14:textId="77777777" w:rsidR="005B131E" w:rsidRPr="00BA7805" w:rsidRDefault="005B131E" w:rsidP="002542E1">
            <w:pPr>
              <w:pStyle w:val="ARfintablebodyrightbold8pt"/>
              <w:rPr>
                <w:highlight w:val="green"/>
              </w:rPr>
            </w:pPr>
            <w:r w:rsidRPr="00630A9E">
              <w:t>0.1</w:t>
            </w:r>
          </w:p>
        </w:tc>
        <w:tc>
          <w:tcPr>
            <w:tcW w:w="707" w:type="dxa"/>
            <w:tcBorders>
              <w:bottom w:val="single" w:sz="4" w:space="0" w:color="auto"/>
            </w:tcBorders>
            <w:noWrap/>
          </w:tcPr>
          <w:p w14:paraId="3916CE81" w14:textId="77777777" w:rsidR="005B131E" w:rsidRPr="00BA7805" w:rsidRDefault="005B131E" w:rsidP="002542E1">
            <w:pPr>
              <w:pStyle w:val="ARfintablebodyrightbold8pt"/>
              <w:rPr>
                <w:highlight w:val="green"/>
              </w:rPr>
            </w:pPr>
            <w:r>
              <w:t>–</w:t>
            </w:r>
          </w:p>
        </w:tc>
        <w:tc>
          <w:tcPr>
            <w:tcW w:w="708" w:type="dxa"/>
            <w:tcBorders>
              <w:bottom w:val="single" w:sz="4" w:space="0" w:color="auto"/>
            </w:tcBorders>
            <w:noWrap/>
          </w:tcPr>
          <w:p w14:paraId="3AFCED07" w14:textId="77777777" w:rsidR="005B131E" w:rsidRPr="00BA7805" w:rsidRDefault="005B131E" w:rsidP="002542E1">
            <w:pPr>
              <w:pStyle w:val="ARfintablebodyrightbold8pt"/>
              <w:rPr>
                <w:highlight w:val="green"/>
              </w:rPr>
            </w:pPr>
            <w:r w:rsidRPr="00630A9E">
              <w:t>0.2</w:t>
            </w:r>
          </w:p>
        </w:tc>
        <w:tc>
          <w:tcPr>
            <w:tcW w:w="707" w:type="dxa"/>
            <w:tcBorders>
              <w:bottom w:val="single" w:sz="4" w:space="0" w:color="auto"/>
            </w:tcBorders>
            <w:noWrap/>
          </w:tcPr>
          <w:p w14:paraId="141DE7EF" w14:textId="77777777" w:rsidR="005B131E" w:rsidRPr="00BA7805" w:rsidRDefault="005B131E" w:rsidP="002542E1">
            <w:pPr>
              <w:pStyle w:val="ARfintablebodyrightbold8pt"/>
              <w:rPr>
                <w:highlight w:val="green"/>
              </w:rPr>
            </w:pPr>
            <w:r w:rsidRPr="00630A9E">
              <w:t>0.1</w:t>
            </w:r>
          </w:p>
        </w:tc>
        <w:tc>
          <w:tcPr>
            <w:tcW w:w="707" w:type="dxa"/>
            <w:tcBorders>
              <w:bottom w:val="single" w:sz="4" w:space="0" w:color="auto"/>
            </w:tcBorders>
            <w:noWrap/>
          </w:tcPr>
          <w:p w14:paraId="5A576CC0" w14:textId="77777777" w:rsidR="005B131E" w:rsidRPr="00BA7805" w:rsidRDefault="005B131E" w:rsidP="002542E1">
            <w:pPr>
              <w:pStyle w:val="ARfintablebodyrightbold8pt"/>
              <w:rPr>
                <w:highlight w:val="green"/>
              </w:rPr>
            </w:pPr>
            <w:r w:rsidRPr="00630A9E">
              <w:t>(0.1)</w:t>
            </w:r>
          </w:p>
        </w:tc>
        <w:tc>
          <w:tcPr>
            <w:tcW w:w="707" w:type="dxa"/>
            <w:tcBorders>
              <w:bottom w:val="single" w:sz="4" w:space="0" w:color="auto"/>
            </w:tcBorders>
            <w:noWrap/>
          </w:tcPr>
          <w:p w14:paraId="66F3F30A" w14:textId="77777777" w:rsidR="005B131E" w:rsidRPr="00BA7805" w:rsidRDefault="005B131E" w:rsidP="002542E1">
            <w:pPr>
              <w:pStyle w:val="ARfintablebodyrightbold8pt"/>
              <w:rPr>
                <w:highlight w:val="green"/>
              </w:rPr>
            </w:pPr>
            <w:r w:rsidRPr="00630A9E">
              <w:t>0.2</w:t>
            </w:r>
          </w:p>
        </w:tc>
        <w:tc>
          <w:tcPr>
            <w:tcW w:w="707" w:type="dxa"/>
            <w:tcBorders>
              <w:bottom w:val="single" w:sz="4" w:space="0" w:color="auto"/>
            </w:tcBorders>
            <w:noWrap/>
          </w:tcPr>
          <w:p w14:paraId="37BFB90D" w14:textId="77777777" w:rsidR="005B131E" w:rsidRPr="00BA7805" w:rsidRDefault="005B131E" w:rsidP="002542E1">
            <w:pPr>
              <w:pStyle w:val="ARfintablebodyrightbold8pt"/>
              <w:rPr>
                <w:highlight w:val="green"/>
              </w:rPr>
            </w:pPr>
            <w:r w:rsidRPr="00630A9E">
              <w:t>0.1</w:t>
            </w:r>
          </w:p>
        </w:tc>
        <w:tc>
          <w:tcPr>
            <w:tcW w:w="708" w:type="dxa"/>
            <w:tcBorders>
              <w:bottom w:val="single" w:sz="4" w:space="0" w:color="auto"/>
            </w:tcBorders>
            <w:noWrap/>
          </w:tcPr>
          <w:p w14:paraId="512AE936" w14:textId="77777777" w:rsidR="005B131E" w:rsidRPr="00BA7805" w:rsidRDefault="005B131E" w:rsidP="002542E1">
            <w:pPr>
              <w:pStyle w:val="ARfintablebodyrightbold8pt"/>
              <w:rPr>
                <w:highlight w:val="green"/>
              </w:rPr>
            </w:pPr>
            <w:r w:rsidRPr="00630A9E">
              <w:t>(0.4)</w:t>
            </w:r>
          </w:p>
        </w:tc>
        <w:tc>
          <w:tcPr>
            <w:tcW w:w="707" w:type="dxa"/>
            <w:tcBorders>
              <w:bottom w:val="single" w:sz="4" w:space="0" w:color="auto"/>
            </w:tcBorders>
            <w:noWrap/>
          </w:tcPr>
          <w:p w14:paraId="76418D03" w14:textId="77777777" w:rsidR="005B131E" w:rsidRPr="00BA7805" w:rsidRDefault="005B131E" w:rsidP="002542E1">
            <w:pPr>
              <w:pStyle w:val="ARfintablebodyrightbold8pt"/>
              <w:rPr>
                <w:highlight w:val="green"/>
              </w:rPr>
            </w:pPr>
            <w:r w:rsidRPr="00630A9E">
              <w:t>0.8</w:t>
            </w:r>
          </w:p>
        </w:tc>
        <w:tc>
          <w:tcPr>
            <w:tcW w:w="707" w:type="dxa"/>
            <w:tcBorders>
              <w:bottom w:val="single" w:sz="4" w:space="0" w:color="auto"/>
            </w:tcBorders>
            <w:noWrap/>
          </w:tcPr>
          <w:p w14:paraId="4BCBA878" w14:textId="77777777" w:rsidR="005B131E" w:rsidRPr="00BA7805" w:rsidRDefault="005B131E" w:rsidP="002542E1">
            <w:pPr>
              <w:pStyle w:val="ARfintablebodyrightbold8pt"/>
              <w:rPr>
                <w:highlight w:val="green"/>
              </w:rPr>
            </w:pPr>
            <w:r w:rsidRPr="00630A9E">
              <w:t>(5.1)</w:t>
            </w:r>
          </w:p>
        </w:tc>
        <w:tc>
          <w:tcPr>
            <w:tcW w:w="707" w:type="dxa"/>
            <w:tcBorders>
              <w:bottom w:val="single" w:sz="4" w:space="0" w:color="auto"/>
            </w:tcBorders>
            <w:noWrap/>
          </w:tcPr>
          <w:p w14:paraId="5F0AF183" w14:textId="77777777" w:rsidR="005B131E" w:rsidRPr="00BA7805" w:rsidRDefault="005B131E" w:rsidP="002542E1">
            <w:pPr>
              <w:pStyle w:val="ARfintablebodyrightbold8pt"/>
              <w:rPr>
                <w:highlight w:val="green"/>
              </w:rPr>
            </w:pPr>
            <w:r w:rsidRPr="00630A9E">
              <w:t>(222.4)</w:t>
            </w:r>
          </w:p>
        </w:tc>
        <w:tc>
          <w:tcPr>
            <w:tcW w:w="707" w:type="dxa"/>
            <w:tcBorders>
              <w:bottom w:val="single" w:sz="4" w:space="0" w:color="auto"/>
            </w:tcBorders>
          </w:tcPr>
          <w:p w14:paraId="41E01A56" w14:textId="77777777" w:rsidR="005B131E" w:rsidRPr="001A0D17" w:rsidRDefault="005B131E" w:rsidP="002542E1">
            <w:pPr>
              <w:pStyle w:val="ARfintablebodyrightbold8pt"/>
            </w:pPr>
            <w:r>
              <w:t>–</w:t>
            </w:r>
          </w:p>
        </w:tc>
        <w:tc>
          <w:tcPr>
            <w:tcW w:w="708" w:type="dxa"/>
            <w:tcBorders>
              <w:bottom w:val="single" w:sz="4" w:space="0" w:color="auto"/>
            </w:tcBorders>
            <w:noWrap/>
          </w:tcPr>
          <w:p w14:paraId="4D5F36B9" w14:textId="77777777" w:rsidR="005B131E" w:rsidRPr="00BA7805" w:rsidRDefault="005B131E" w:rsidP="002542E1">
            <w:pPr>
              <w:pStyle w:val="ARfintablebodyrightbold8pt"/>
              <w:rPr>
                <w:highlight w:val="green"/>
              </w:rPr>
            </w:pPr>
            <w:r w:rsidRPr="00630A9E">
              <w:t>(244.1)</w:t>
            </w:r>
          </w:p>
        </w:tc>
      </w:tr>
      <w:tr w:rsidR="005B131E" w:rsidRPr="00BA7805" w14:paraId="508883B1" w14:textId="77777777">
        <w:trPr>
          <w:trHeight w:val="170"/>
        </w:trPr>
        <w:tc>
          <w:tcPr>
            <w:tcW w:w="13709" w:type="dxa"/>
            <w:gridSpan w:val="17"/>
            <w:tcBorders>
              <w:top w:val="single" w:sz="4" w:space="0" w:color="A6A6A6" w:themeColor="background1" w:themeShade="A6"/>
              <w:bottom w:val="single" w:sz="4" w:space="0" w:color="A6A6A6" w:themeColor="background1" w:themeShade="A6"/>
            </w:tcBorders>
          </w:tcPr>
          <w:p w14:paraId="550C3635" w14:textId="77777777" w:rsidR="005B131E" w:rsidRPr="00BA7805" w:rsidRDefault="005B131E" w:rsidP="002542E1">
            <w:pPr>
              <w:pStyle w:val="ARfintablebodybold8pt"/>
              <w:rPr>
                <w:highlight w:val="green"/>
              </w:rPr>
            </w:pPr>
            <w:r w:rsidRPr="00747B6C">
              <w:t>Other economic flows included in net result</w:t>
            </w:r>
          </w:p>
        </w:tc>
      </w:tr>
      <w:tr w:rsidR="005B131E" w:rsidRPr="00BA7805" w14:paraId="4FB8A0C6" w14:textId="77777777" w:rsidTr="002542E1">
        <w:trPr>
          <w:trHeight w:val="170"/>
        </w:trPr>
        <w:tc>
          <w:tcPr>
            <w:tcW w:w="2394" w:type="dxa"/>
            <w:tcBorders>
              <w:top w:val="single" w:sz="4" w:space="0" w:color="A6A6A6" w:themeColor="background1" w:themeShade="A6"/>
              <w:bottom w:val="single" w:sz="4" w:space="0" w:color="A6A6A6" w:themeColor="background1" w:themeShade="A6"/>
            </w:tcBorders>
          </w:tcPr>
          <w:p w14:paraId="2031017B" w14:textId="77777777" w:rsidR="005B131E" w:rsidRPr="00052E70" w:rsidRDefault="005B131E" w:rsidP="002542E1">
            <w:pPr>
              <w:pStyle w:val="ARfintablebody8pt"/>
              <w:rPr>
                <w:spacing w:val="-4"/>
                <w:highlight w:val="green"/>
              </w:rPr>
            </w:pPr>
            <w:r w:rsidRPr="00052E70">
              <w:rPr>
                <w:spacing w:val="-4"/>
              </w:rPr>
              <w:t>Net gain/(loss) on non-financial assets</w:t>
            </w:r>
          </w:p>
        </w:tc>
        <w:tc>
          <w:tcPr>
            <w:tcW w:w="707" w:type="dxa"/>
            <w:tcBorders>
              <w:top w:val="single" w:sz="4" w:space="0" w:color="A6A6A6" w:themeColor="background1" w:themeShade="A6"/>
              <w:bottom w:val="single" w:sz="4" w:space="0" w:color="A6A6A6" w:themeColor="background1" w:themeShade="A6"/>
            </w:tcBorders>
            <w:noWrap/>
          </w:tcPr>
          <w:p w14:paraId="13129FE8" w14:textId="77777777" w:rsidR="005B131E" w:rsidRPr="00BA7805" w:rsidRDefault="005B131E" w:rsidP="002542E1">
            <w:pPr>
              <w:pStyle w:val="ARfintablebodyright8pt"/>
              <w:rPr>
                <w:highlight w:val="green"/>
              </w:rPr>
            </w:pPr>
            <w:r w:rsidRPr="00630A9E">
              <w:t>0.3</w:t>
            </w:r>
          </w:p>
        </w:tc>
        <w:tc>
          <w:tcPr>
            <w:tcW w:w="707" w:type="dxa"/>
            <w:tcBorders>
              <w:top w:val="single" w:sz="4" w:space="0" w:color="A6A6A6" w:themeColor="background1" w:themeShade="A6"/>
              <w:bottom w:val="single" w:sz="4" w:space="0" w:color="A6A6A6" w:themeColor="background1" w:themeShade="A6"/>
            </w:tcBorders>
            <w:noWrap/>
          </w:tcPr>
          <w:p w14:paraId="4C8D410D" w14:textId="77777777" w:rsidR="005B131E" w:rsidRPr="00BA7805" w:rsidRDefault="005B131E" w:rsidP="002542E1">
            <w:pPr>
              <w:pStyle w:val="ARfintablebodyright8pt"/>
              <w:rPr>
                <w:highlight w:val="green"/>
              </w:rPr>
            </w:pPr>
            <w:r w:rsidRPr="00630A9E">
              <w:t>5.5</w:t>
            </w:r>
          </w:p>
        </w:tc>
        <w:tc>
          <w:tcPr>
            <w:tcW w:w="707" w:type="dxa"/>
            <w:tcBorders>
              <w:top w:val="single" w:sz="4" w:space="0" w:color="A6A6A6" w:themeColor="background1" w:themeShade="A6"/>
              <w:bottom w:val="single" w:sz="4" w:space="0" w:color="A6A6A6" w:themeColor="background1" w:themeShade="A6"/>
            </w:tcBorders>
            <w:noWrap/>
          </w:tcPr>
          <w:p w14:paraId="62056B49"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04F1A804"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5C7426C" w14:textId="77777777" w:rsidR="005B131E" w:rsidRPr="00BA7805" w:rsidRDefault="005B131E" w:rsidP="002542E1">
            <w:pPr>
              <w:pStyle w:val="ARfintablebodyright8pt"/>
              <w:rPr>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084C0014"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66ABC6BF"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66F4722A"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4ACC9ADC"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265DCF74" w14:textId="77777777" w:rsidR="005B131E" w:rsidRPr="00BA7805" w:rsidRDefault="005B131E" w:rsidP="002542E1">
            <w:pPr>
              <w:pStyle w:val="ARfintablebodyright8pt"/>
              <w:rPr>
                <w:highlight w:val="green"/>
              </w:rPr>
            </w:pPr>
            <w:r>
              <w:t>–</w:t>
            </w:r>
          </w:p>
        </w:tc>
        <w:tc>
          <w:tcPr>
            <w:tcW w:w="708" w:type="dxa"/>
            <w:tcBorders>
              <w:top w:val="single" w:sz="4" w:space="0" w:color="A6A6A6" w:themeColor="background1" w:themeShade="A6"/>
              <w:bottom w:val="single" w:sz="4" w:space="0" w:color="A6A6A6" w:themeColor="background1" w:themeShade="A6"/>
            </w:tcBorders>
            <w:noWrap/>
          </w:tcPr>
          <w:p w14:paraId="77EC4D55"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3F5FBEEC"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72C461D"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A6A6A6" w:themeColor="background1" w:themeShade="A6"/>
            </w:tcBorders>
            <w:noWrap/>
          </w:tcPr>
          <w:p w14:paraId="588AB354" w14:textId="77777777" w:rsidR="005B131E" w:rsidRPr="00BA7805" w:rsidRDefault="005B131E" w:rsidP="002542E1">
            <w:pPr>
              <w:pStyle w:val="ARfintablebodyright8pt"/>
              <w:rPr>
                <w:highlight w:val="green"/>
              </w:rPr>
            </w:pPr>
            <w:r w:rsidRPr="00630A9E">
              <w:t>(9.1)</w:t>
            </w:r>
          </w:p>
        </w:tc>
        <w:tc>
          <w:tcPr>
            <w:tcW w:w="707" w:type="dxa"/>
            <w:tcBorders>
              <w:top w:val="single" w:sz="4" w:space="0" w:color="A6A6A6" w:themeColor="background1" w:themeShade="A6"/>
              <w:bottom w:val="single" w:sz="4" w:space="0" w:color="A6A6A6" w:themeColor="background1" w:themeShade="A6"/>
            </w:tcBorders>
          </w:tcPr>
          <w:p w14:paraId="5C0E93D3"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A6A6A6" w:themeColor="background1" w:themeShade="A6"/>
            </w:tcBorders>
            <w:noWrap/>
          </w:tcPr>
          <w:p w14:paraId="3649FE96" w14:textId="77777777" w:rsidR="005B131E" w:rsidRPr="00BA7805" w:rsidRDefault="005B131E" w:rsidP="002542E1">
            <w:pPr>
              <w:pStyle w:val="ARfintablebodyright8pt"/>
              <w:rPr>
                <w:highlight w:val="green"/>
              </w:rPr>
            </w:pPr>
            <w:r w:rsidRPr="00630A9E">
              <w:t>(3.4)</w:t>
            </w:r>
          </w:p>
        </w:tc>
      </w:tr>
      <w:tr w:rsidR="005B131E" w:rsidRPr="00BA7805" w14:paraId="4075B82E" w14:textId="77777777" w:rsidTr="002542E1">
        <w:trPr>
          <w:trHeight w:val="170"/>
        </w:trPr>
        <w:tc>
          <w:tcPr>
            <w:tcW w:w="2394" w:type="dxa"/>
            <w:tcBorders>
              <w:top w:val="single" w:sz="4" w:space="0" w:color="A6A6A6" w:themeColor="background1" w:themeShade="A6"/>
              <w:bottom w:val="single" w:sz="4" w:space="0" w:color="BFBFBF" w:themeColor="background1" w:themeShade="BF"/>
            </w:tcBorders>
          </w:tcPr>
          <w:p w14:paraId="78FCB56D" w14:textId="77777777" w:rsidR="005B131E" w:rsidRPr="00052E70" w:rsidRDefault="005B131E" w:rsidP="002542E1">
            <w:pPr>
              <w:pStyle w:val="ARfintablebody8pt"/>
              <w:rPr>
                <w:spacing w:val="-4"/>
                <w:highlight w:val="green"/>
              </w:rPr>
            </w:pPr>
            <w:r w:rsidRPr="00052E70">
              <w:rPr>
                <w:spacing w:val="-4"/>
              </w:rPr>
              <w:t>Net gain/(loss) on financial instruments</w:t>
            </w:r>
          </w:p>
        </w:tc>
        <w:tc>
          <w:tcPr>
            <w:tcW w:w="707" w:type="dxa"/>
            <w:tcBorders>
              <w:top w:val="single" w:sz="4" w:space="0" w:color="A6A6A6" w:themeColor="background1" w:themeShade="A6"/>
              <w:bottom w:val="single" w:sz="4" w:space="0" w:color="BFBFBF" w:themeColor="background1" w:themeShade="BF"/>
            </w:tcBorders>
            <w:noWrap/>
          </w:tcPr>
          <w:p w14:paraId="11C90D36" w14:textId="77777777" w:rsidR="005B131E" w:rsidRPr="00BA7805" w:rsidRDefault="005B131E" w:rsidP="002542E1">
            <w:pPr>
              <w:pStyle w:val="ARfintablebodyright8pt"/>
              <w:rPr>
                <w:highlight w:val="green"/>
              </w:rPr>
            </w:pPr>
            <w:r w:rsidRPr="00630A9E">
              <w:t>0.2</w:t>
            </w:r>
          </w:p>
        </w:tc>
        <w:tc>
          <w:tcPr>
            <w:tcW w:w="707" w:type="dxa"/>
            <w:tcBorders>
              <w:top w:val="single" w:sz="4" w:space="0" w:color="A6A6A6" w:themeColor="background1" w:themeShade="A6"/>
              <w:bottom w:val="single" w:sz="4" w:space="0" w:color="BFBFBF" w:themeColor="background1" w:themeShade="BF"/>
            </w:tcBorders>
            <w:noWrap/>
          </w:tcPr>
          <w:p w14:paraId="690C98C5" w14:textId="77777777" w:rsidR="005B131E" w:rsidRPr="00BA7805" w:rsidRDefault="005B131E" w:rsidP="002542E1">
            <w:pPr>
              <w:pStyle w:val="ARfintablebodyright8pt"/>
              <w:rPr>
                <w:highlight w:val="green"/>
              </w:rPr>
            </w:pPr>
            <w:r w:rsidRPr="00630A9E">
              <w:t>0.3</w:t>
            </w:r>
          </w:p>
        </w:tc>
        <w:tc>
          <w:tcPr>
            <w:tcW w:w="707" w:type="dxa"/>
            <w:tcBorders>
              <w:top w:val="single" w:sz="4" w:space="0" w:color="A6A6A6" w:themeColor="background1" w:themeShade="A6"/>
              <w:bottom w:val="single" w:sz="4" w:space="0" w:color="BFBFBF" w:themeColor="background1" w:themeShade="BF"/>
            </w:tcBorders>
            <w:noWrap/>
          </w:tcPr>
          <w:p w14:paraId="234DBAB3"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7800258A"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38AD0808" w14:textId="77777777" w:rsidR="005B131E" w:rsidRPr="00BA7805" w:rsidRDefault="005B131E" w:rsidP="002542E1">
            <w:pPr>
              <w:pStyle w:val="ARfintablebodyright8pt"/>
              <w:rPr>
                <w:highlight w:val="green"/>
              </w:rPr>
            </w:pPr>
            <w:r>
              <w:t>–</w:t>
            </w:r>
          </w:p>
        </w:tc>
        <w:tc>
          <w:tcPr>
            <w:tcW w:w="708" w:type="dxa"/>
            <w:tcBorders>
              <w:top w:val="single" w:sz="4" w:space="0" w:color="A6A6A6" w:themeColor="background1" w:themeShade="A6"/>
              <w:bottom w:val="single" w:sz="4" w:space="0" w:color="BFBFBF" w:themeColor="background1" w:themeShade="BF"/>
            </w:tcBorders>
            <w:noWrap/>
          </w:tcPr>
          <w:p w14:paraId="611A0022"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3D840167"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0C369939"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25A0DA27"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26DDD7B8" w14:textId="77777777" w:rsidR="005B131E" w:rsidRPr="00BA7805" w:rsidRDefault="005B131E" w:rsidP="002542E1">
            <w:pPr>
              <w:pStyle w:val="ARfintablebodyright8pt"/>
              <w:rPr>
                <w:highlight w:val="green"/>
              </w:rPr>
            </w:pPr>
            <w:r>
              <w:t>–</w:t>
            </w:r>
          </w:p>
        </w:tc>
        <w:tc>
          <w:tcPr>
            <w:tcW w:w="708" w:type="dxa"/>
            <w:tcBorders>
              <w:top w:val="single" w:sz="4" w:space="0" w:color="A6A6A6" w:themeColor="background1" w:themeShade="A6"/>
              <w:bottom w:val="single" w:sz="4" w:space="0" w:color="BFBFBF" w:themeColor="background1" w:themeShade="BF"/>
            </w:tcBorders>
            <w:noWrap/>
          </w:tcPr>
          <w:p w14:paraId="27A9879C"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2DC43660"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5B66DE62"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noWrap/>
          </w:tcPr>
          <w:p w14:paraId="146E49D1" w14:textId="77777777" w:rsidR="005B131E" w:rsidRPr="00BA7805" w:rsidRDefault="005B131E" w:rsidP="002542E1">
            <w:pPr>
              <w:pStyle w:val="ARfintablebodyright8pt"/>
              <w:rPr>
                <w:highlight w:val="green"/>
              </w:rPr>
            </w:pPr>
            <w:r>
              <w:t>–</w:t>
            </w:r>
          </w:p>
        </w:tc>
        <w:tc>
          <w:tcPr>
            <w:tcW w:w="707" w:type="dxa"/>
            <w:tcBorders>
              <w:top w:val="single" w:sz="4" w:space="0" w:color="A6A6A6" w:themeColor="background1" w:themeShade="A6"/>
              <w:bottom w:val="single" w:sz="4" w:space="0" w:color="BFBFBF" w:themeColor="background1" w:themeShade="BF"/>
            </w:tcBorders>
          </w:tcPr>
          <w:p w14:paraId="6612A633" w14:textId="77777777" w:rsidR="005B131E" w:rsidRPr="00630A9E" w:rsidRDefault="005B131E" w:rsidP="002542E1">
            <w:pPr>
              <w:pStyle w:val="ARfintablebodyright8pt"/>
            </w:pPr>
          </w:p>
        </w:tc>
        <w:tc>
          <w:tcPr>
            <w:tcW w:w="708" w:type="dxa"/>
            <w:tcBorders>
              <w:top w:val="single" w:sz="4" w:space="0" w:color="A6A6A6" w:themeColor="background1" w:themeShade="A6"/>
              <w:bottom w:val="single" w:sz="4" w:space="0" w:color="BFBFBF" w:themeColor="background1" w:themeShade="BF"/>
            </w:tcBorders>
            <w:noWrap/>
          </w:tcPr>
          <w:p w14:paraId="747ED31B" w14:textId="77777777" w:rsidR="005B131E" w:rsidRPr="00BA7805" w:rsidRDefault="005B131E" w:rsidP="002542E1">
            <w:pPr>
              <w:pStyle w:val="ARfintablebodyright8pt"/>
              <w:rPr>
                <w:highlight w:val="green"/>
              </w:rPr>
            </w:pPr>
            <w:r w:rsidRPr="00630A9E">
              <w:t>0.6</w:t>
            </w:r>
          </w:p>
        </w:tc>
      </w:tr>
      <w:tr w:rsidR="005B131E" w:rsidRPr="00BA7805" w14:paraId="41F2AF10" w14:textId="77777777" w:rsidTr="002542E1">
        <w:trPr>
          <w:trHeight w:val="170"/>
        </w:trPr>
        <w:tc>
          <w:tcPr>
            <w:tcW w:w="2394" w:type="dxa"/>
            <w:tcBorders>
              <w:top w:val="single" w:sz="4" w:space="0" w:color="BFBFBF" w:themeColor="background1" w:themeShade="BF"/>
            </w:tcBorders>
          </w:tcPr>
          <w:p w14:paraId="7F27A2D6" w14:textId="77777777" w:rsidR="005B131E" w:rsidRPr="00BA7805" w:rsidRDefault="005B131E" w:rsidP="002542E1">
            <w:pPr>
              <w:pStyle w:val="ARfintablebody8pt"/>
              <w:rPr>
                <w:highlight w:val="green"/>
              </w:rPr>
            </w:pPr>
            <w:r w:rsidRPr="00747B6C">
              <w:t>Other gains/(losses) from other economic flows</w:t>
            </w:r>
          </w:p>
        </w:tc>
        <w:tc>
          <w:tcPr>
            <w:tcW w:w="707" w:type="dxa"/>
            <w:tcBorders>
              <w:top w:val="single" w:sz="4" w:space="0" w:color="BFBFBF" w:themeColor="background1" w:themeShade="BF"/>
            </w:tcBorders>
            <w:noWrap/>
          </w:tcPr>
          <w:p w14:paraId="2E9EDBB0" w14:textId="77777777" w:rsidR="005B131E" w:rsidRPr="00BA7805" w:rsidRDefault="005B131E" w:rsidP="002542E1">
            <w:pPr>
              <w:pStyle w:val="ARfintablebodyright8pt"/>
              <w:rPr>
                <w:highlight w:val="green"/>
              </w:rPr>
            </w:pPr>
            <w:r w:rsidRPr="00630A9E">
              <w:t>(7.9)</w:t>
            </w:r>
          </w:p>
        </w:tc>
        <w:tc>
          <w:tcPr>
            <w:tcW w:w="707" w:type="dxa"/>
            <w:tcBorders>
              <w:top w:val="single" w:sz="4" w:space="0" w:color="BFBFBF" w:themeColor="background1" w:themeShade="BF"/>
            </w:tcBorders>
            <w:noWrap/>
          </w:tcPr>
          <w:p w14:paraId="1F5EB0CD" w14:textId="77777777" w:rsidR="005B131E" w:rsidRPr="00BA7805" w:rsidRDefault="005B131E" w:rsidP="002542E1">
            <w:pPr>
              <w:pStyle w:val="ARfintablebodyright8pt"/>
              <w:rPr>
                <w:highlight w:val="green"/>
              </w:rPr>
            </w:pPr>
            <w:r w:rsidRPr="00630A9E">
              <w:t>(5.3)</w:t>
            </w:r>
          </w:p>
        </w:tc>
        <w:tc>
          <w:tcPr>
            <w:tcW w:w="707" w:type="dxa"/>
            <w:tcBorders>
              <w:top w:val="single" w:sz="4" w:space="0" w:color="BFBFBF" w:themeColor="background1" w:themeShade="BF"/>
            </w:tcBorders>
            <w:noWrap/>
          </w:tcPr>
          <w:p w14:paraId="0EB1755A" w14:textId="77777777" w:rsidR="005B131E" w:rsidRPr="00BA7805" w:rsidRDefault="005B131E" w:rsidP="002542E1">
            <w:pPr>
              <w:pStyle w:val="ARfintablebodyright8pt"/>
              <w:rPr>
                <w:highlight w:val="green"/>
              </w:rPr>
            </w:pPr>
            <w:r>
              <w:t>–</w:t>
            </w:r>
          </w:p>
        </w:tc>
        <w:tc>
          <w:tcPr>
            <w:tcW w:w="707" w:type="dxa"/>
            <w:tcBorders>
              <w:top w:val="single" w:sz="4" w:space="0" w:color="BFBFBF" w:themeColor="background1" w:themeShade="BF"/>
            </w:tcBorders>
            <w:noWrap/>
          </w:tcPr>
          <w:p w14:paraId="48EFBF1C" w14:textId="77777777" w:rsidR="005B131E" w:rsidRPr="00BA7805" w:rsidRDefault="005B131E" w:rsidP="002542E1">
            <w:pPr>
              <w:pStyle w:val="ARfintablebodyright8pt"/>
              <w:rPr>
                <w:highlight w:val="green"/>
              </w:rPr>
            </w:pPr>
            <w:r w:rsidRPr="00630A9E">
              <w:t>(0.4)</w:t>
            </w:r>
          </w:p>
        </w:tc>
        <w:tc>
          <w:tcPr>
            <w:tcW w:w="707" w:type="dxa"/>
            <w:tcBorders>
              <w:top w:val="single" w:sz="4" w:space="0" w:color="BFBFBF" w:themeColor="background1" w:themeShade="BF"/>
            </w:tcBorders>
            <w:noWrap/>
          </w:tcPr>
          <w:p w14:paraId="30835E9A" w14:textId="77777777" w:rsidR="005B131E" w:rsidRPr="00BA7805" w:rsidRDefault="005B131E" w:rsidP="002542E1">
            <w:pPr>
              <w:pStyle w:val="ARfintablebodyright8pt"/>
              <w:rPr>
                <w:highlight w:val="green"/>
              </w:rPr>
            </w:pPr>
            <w:r w:rsidRPr="00B916B8">
              <w:t>–</w:t>
            </w:r>
          </w:p>
        </w:tc>
        <w:tc>
          <w:tcPr>
            <w:tcW w:w="708" w:type="dxa"/>
            <w:tcBorders>
              <w:top w:val="single" w:sz="4" w:space="0" w:color="BFBFBF" w:themeColor="background1" w:themeShade="BF"/>
            </w:tcBorders>
            <w:noWrap/>
          </w:tcPr>
          <w:p w14:paraId="3AD11416" w14:textId="77777777" w:rsidR="005B131E" w:rsidRPr="00BA7805" w:rsidRDefault="005B131E" w:rsidP="002542E1">
            <w:pPr>
              <w:pStyle w:val="ARfintablebodyright8pt"/>
              <w:rPr>
                <w:highlight w:val="green"/>
              </w:rPr>
            </w:pPr>
            <w:r w:rsidRPr="00B916B8">
              <w:t>–</w:t>
            </w:r>
          </w:p>
        </w:tc>
        <w:tc>
          <w:tcPr>
            <w:tcW w:w="707" w:type="dxa"/>
            <w:tcBorders>
              <w:top w:val="single" w:sz="4" w:space="0" w:color="BFBFBF" w:themeColor="background1" w:themeShade="BF"/>
            </w:tcBorders>
            <w:noWrap/>
          </w:tcPr>
          <w:p w14:paraId="01FC572E" w14:textId="77777777" w:rsidR="005B131E" w:rsidRPr="00BA7805" w:rsidRDefault="005B131E" w:rsidP="002542E1">
            <w:pPr>
              <w:pStyle w:val="ARfintablebodyright8pt"/>
              <w:rPr>
                <w:highlight w:val="green"/>
              </w:rPr>
            </w:pPr>
            <w:r w:rsidRPr="00B916B8">
              <w:t>–</w:t>
            </w:r>
          </w:p>
        </w:tc>
        <w:tc>
          <w:tcPr>
            <w:tcW w:w="707" w:type="dxa"/>
            <w:tcBorders>
              <w:top w:val="single" w:sz="4" w:space="0" w:color="BFBFBF" w:themeColor="background1" w:themeShade="BF"/>
            </w:tcBorders>
            <w:noWrap/>
          </w:tcPr>
          <w:p w14:paraId="48A92241" w14:textId="77777777" w:rsidR="005B131E" w:rsidRPr="00BA7805" w:rsidRDefault="005B131E" w:rsidP="002542E1">
            <w:pPr>
              <w:pStyle w:val="ARfintablebodyright8pt"/>
              <w:rPr>
                <w:highlight w:val="green"/>
              </w:rPr>
            </w:pPr>
            <w:r w:rsidRPr="00B916B8">
              <w:t>–</w:t>
            </w:r>
          </w:p>
        </w:tc>
        <w:tc>
          <w:tcPr>
            <w:tcW w:w="707" w:type="dxa"/>
            <w:tcBorders>
              <w:top w:val="single" w:sz="4" w:space="0" w:color="BFBFBF" w:themeColor="background1" w:themeShade="BF"/>
            </w:tcBorders>
            <w:noWrap/>
          </w:tcPr>
          <w:p w14:paraId="1B93E758" w14:textId="77777777" w:rsidR="005B131E" w:rsidRPr="00BA7805" w:rsidRDefault="005B131E" w:rsidP="002542E1">
            <w:pPr>
              <w:pStyle w:val="ARfintablebodyright8pt"/>
              <w:rPr>
                <w:highlight w:val="green"/>
              </w:rPr>
            </w:pPr>
            <w:r w:rsidRPr="00B916B8">
              <w:t>–</w:t>
            </w:r>
          </w:p>
        </w:tc>
        <w:tc>
          <w:tcPr>
            <w:tcW w:w="707" w:type="dxa"/>
            <w:tcBorders>
              <w:top w:val="single" w:sz="4" w:space="0" w:color="BFBFBF" w:themeColor="background1" w:themeShade="BF"/>
            </w:tcBorders>
            <w:noWrap/>
          </w:tcPr>
          <w:p w14:paraId="141EC947" w14:textId="77777777" w:rsidR="005B131E" w:rsidRPr="00BA7805" w:rsidRDefault="005B131E" w:rsidP="002542E1">
            <w:pPr>
              <w:pStyle w:val="ARfintablebodyright8pt"/>
              <w:rPr>
                <w:highlight w:val="green"/>
              </w:rPr>
            </w:pPr>
            <w:r w:rsidRPr="00B916B8">
              <w:t>–</w:t>
            </w:r>
          </w:p>
        </w:tc>
        <w:tc>
          <w:tcPr>
            <w:tcW w:w="708" w:type="dxa"/>
            <w:tcBorders>
              <w:top w:val="single" w:sz="4" w:space="0" w:color="BFBFBF" w:themeColor="background1" w:themeShade="BF"/>
            </w:tcBorders>
            <w:noWrap/>
          </w:tcPr>
          <w:p w14:paraId="7C1C6602" w14:textId="77777777" w:rsidR="005B131E" w:rsidRPr="00BA7805" w:rsidRDefault="005B131E" w:rsidP="002542E1">
            <w:pPr>
              <w:pStyle w:val="ARfintablebodyright8pt"/>
              <w:rPr>
                <w:highlight w:val="green"/>
              </w:rPr>
            </w:pPr>
            <w:r w:rsidRPr="00B916B8">
              <w:t>–</w:t>
            </w:r>
          </w:p>
        </w:tc>
        <w:tc>
          <w:tcPr>
            <w:tcW w:w="707" w:type="dxa"/>
            <w:tcBorders>
              <w:top w:val="single" w:sz="4" w:space="0" w:color="BFBFBF" w:themeColor="background1" w:themeShade="BF"/>
            </w:tcBorders>
            <w:noWrap/>
          </w:tcPr>
          <w:p w14:paraId="688243EC" w14:textId="77777777" w:rsidR="005B131E" w:rsidRPr="00BA7805" w:rsidRDefault="005B131E" w:rsidP="002542E1">
            <w:pPr>
              <w:pStyle w:val="ARfintablebodyright8pt"/>
              <w:rPr>
                <w:highlight w:val="green"/>
              </w:rPr>
            </w:pPr>
            <w:r w:rsidRPr="00B916B8">
              <w:t>–</w:t>
            </w:r>
          </w:p>
        </w:tc>
        <w:tc>
          <w:tcPr>
            <w:tcW w:w="707" w:type="dxa"/>
            <w:tcBorders>
              <w:top w:val="single" w:sz="4" w:space="0" w:color="BFBFBF" w:themeColor="background1" w:themeShade="BF"/>
            </w:tcBorders>
            <w:noWrap/>
          </w:tcPr>
          <w:p w14:paraId="6874B5D5" w14:textId="77777777" w:rsidR="005B131E" w:rsidRPr="00BA7805" w:rsidRDefault="005B131E" w:rsidP="002542E1">
            <w:pPr>
              <w:pStyle w:val="ARfintablebodyright8pt"/>
              <w:rPr>
                <w:highlight w:val="green"/>
              </w:rPr>
            </w:pPr>
            <w:r w:rsidRPr="00630A9E">
              <w:t>0.2</w:t>
            </w:r>
          </w:p>
        </w:tc>
        <w:tc>
          <w:tcPr>
            <w:tcW w:w="707" w:type="dxa"/>
            <w:tcBorders>
              <w:top w:val="single" w:sz="4" w:space="0" w:color="BFBFBF" w:themeColor="background1" w:themeShade="BF"/>
            </w:tcBorders>
            <w:noWrap/>
          </w:tcPr>
          <w:p w14:paraId="6070AB4E" w14:textId="77777777" w:rsidR="005B131E" w:rsidRPr="00BA7805" w:rsidRDefault="005B131E" w:rsidP="002542E1">
            <w:pPr>
              <w:pStyle w:val="ARfintablebodyright8pt"/>
              <w:rPr>
                <w:highlight w:val="green"/>
              </w:rPr>
            </w:pPr>
            <w:r w:rsidRPr="00630A9E">
              <w:t>(4.7)</w:t>
            </w:r>
          </w:p>
        </w:tc>
        <w:tc>
          <w:tcPr>
            <w:tcW w:w="707" w:type="dxa"/>
            <w:tcBorders>
              <w:top w:val="single" w:sz="4" w:space="0" w:color="BFBFBF" w:themeColor="background1" w:themeShade="BF"/>
            </w:tcBorders>
          </w:tcPr>
          <w:p w14:paraId="5D68C3FF" w14:textId="77777777" w:rsidR="005B131E" w:rsidRPr="00630A9E" w:rsidRDefault="005B131E" w:rsidP="002542E1">
            <w:pPr>
              <w:pStyle w:val="ARfintablebodyright8pt"/>
            </w:pPr>
          </w:p>
        </w:tc>
        <w:tc>
          <w:tcPr>
            <w:tcW w:w="708" w:type="dxa"/>
            <w:tcBorders>
              <w:top w:val="single" w:sz="4" w:space="0" w:color="BFBFBF" w:themeColor="background1" w:themeShade="BF"/>
            </w:tcBorders>
            <w:noWrap/>
          </w:tcPr>
          <w:p w14:paraId="173406B9" w14:textId="77777777" w:rsidR="005B131E" w:rsidRPr="00BA7805" w:rsidRDefault="005B131E" w:rsidP="002542E1">
            <w:pPr>
              <w:pStyle w:val="ARfintablebodyright8pt"/>
              <w:rPr>
                <w:highlight w:val="green"/>
              </w:rPr>
            </w:pPr>
            <w:r w:rsidRPr="00630A9E">
              <w:t>(17.9)</w:t>
            </w:r>
          </w:p>
        </w:tc>
      </w:tr>
      <w:tr w:rsidR="005B131E" w:rsidRPr="00BA7805" w14:paraId="53EFFC20" w14:textId="77777777" w:rsidTr="002542E1">
        <w:trPr>
          <w:trHeight w:val="170"/>
        </w:trPr>
        <w:tc>
          <w:tcPr>
            <w:tcW w:w="2394" w:type="dxa"/>
            <w:tcBorders>
              <w:bottom w:val="single" w:sz="4" w:space="0" w:color="auto"/>
            </w:tcBorders>
          </w:tcPr>
          <w:p w14:paraId="1632DA13" w14:textId="77777777" w:rsidR="005B131E" w:rsidRPr="00BA7805" w:rsidRDefault="005B131E" w:rsidP="002542E1">
            <w:pPr>
              <w:pStyle w:val="ARfintablebodybold8pt"/>
              <w:rPr>
                <w:highlight w:val="green"/>
              </w:rPr>
            </w:pPr>
            <w:r w:rsidRPr="00747B6C">
              <w:t>Total other economic flows included in net result</w:t>
            </w:r>
          </w:p>
        </w:tc>
        <w:tc>
          <w:tcPr>
            <w:tcW w:w="707" w:type="dxa"/>
            <w:tcBorders>
              <w:bottom w:val="single" w:sz="4" w:space="0" w:color="auto"/>
            </w:tcBorders>
            <w:noWrap/>
          </w:tcPr>
          <w:p w14:paraId="37E4B58A" w14:textId="77777777" w:rsidR="005B131E" w:rsidRPr="00BA7805" w:rsidRDefault="005B131E" w:rsidP="002542E1">
            <w:pPr>
              <w:pStyle w:val="ARfintablebodyrightbold8pt"/>
              <w:rPr>
                <w:highlight w:val="green"/>
              </w:rPr>
            </w:pPr>
            <w:r w:rsidRPr="00630A9E">
              <w:t>(7.4)</w:t>
            </w:r>
          </w:p>
        </w:tc>
        <w:tc>
          <w:tcPr>
            <w:tcW w:w="707" w:type="dxa"/>
            <w:tcBorders>
              <w:bottom w:val="single" w:sz="4" w:space="0" w:color="auto"/>
            </w:tcBorders>
            <w:noWrap/>
          </w:tcPr>
          <w:p w14:paraId="5C15302B" w14:textId="77777777" w:rsidR="005B131E" w:rsidRPr="00BA7805" w:rsidRDefault="005B131E" w:rsidP="002542E1">
            <w:pPr>
              <w:pStyle w:val="ARfintablebodyrightbold8pt"/>
              <w:rPr>
                <w:highlight w:val="green"/>
              </w:rPr>
            </w:pPr>
            <w:r w:rsidRPr="00630A9E">
              <w:t>0.5</w:t>
            </w:r>
          </w:p>
        </w:tc>
        <w:tc>
          <w:tcPr>
            <w:tcW w:w="707" w:type="dxa"/>
            <w:tcBorders>
              <w:bottom w:val="single" w:sz="4" w:space="0" w:color="auto"/>
            </w:tcBorders>
            <w:noWrap/>
          </w:tcPr>
          <w:p w14:paraId="33E5D4F0" w14:textId="77777777" w:rsidR="005B131E" w:rsidRPr="00BA7805" w:rsidRDefault="005B131E" w:rsidP="002542E1">
            <w:pPr>
              <w:pStyle w:val="ARfintablebodyrightbold8pt"/>
              <w:rPr>
                <w:highlight w:val="green"/>
              </w:rPr>
            </w:pPr>
            <w:r>
              <w:t>–</w:t>
            </w:r>
          </w:p>
        </w:tc>
        <w:tc>
          <w:tcPr>
            <w:tcW w:w="707" w:type="dxa"/>
            <w:tcBorders>
              <w:bottom w:val="single" w:sz="4" w:space="0" w:color="auto"/>
            </w:tcBorders>
            <w:noWrap/>
          </w:tcPr>
          <w:p w14:paraId="1326C392" w14:textId="77777777" w:rsidR="005B131E" w:rsidRPr="00BA7805" w:rsidRDefault="005B131E" w:rsidP="002542E1">
            <w:pPr>
              <w:pStyle w:val="ARfintablebodyrightbold8pt"/>
              <w:rPr>
                <w:highlight w:val="green"/>
              </w:rPr>
            </w:pPr>
            <w:r w:rsidRPr="00630A9E">
              <w:t>(0.4)</w:t>
            </w:r>
          </w:p>
        </w:tc>
        <w:tc>
          <w:tcPr>
            <w:tcW w:w="707" w:type="dxa"/>
            <w:tcBorders>
              <w:bottom w:val="single" w:sz="4" w:space="0" w:color="auto"/>
            </w:tcBorders>
            <w:noWrap/>
          </w:tcPr>
          <w:p w14:paraId="51297D59" w14:textId="77777777" w:rsidR="005B131E" w:rsidRPr="00BA7805" w:rsidRDefault="005B131E" w:rsidP="002542E1">
            <w:pPr>
              <w:pStyle w:val="ARfintablebodyrightbold8pt"/>
              <w:rPr>
                <w:highlight w:val="green"/>
              </w:rPr>
            </w:pPr>
            <w:r w:rsidRPr="005A67F6">
              <w:t>–</w:t>
            </w:r>
          </w:p>
        </w:tc>
        <w:tc>
          <w:tcPr>
            <w:tcW w:w="708" w:type="dxa"/>
            <w:tcBorders>
              <w:bottom w:val="single" w:sz="4" w:space="0" w:color="auto"/>
            </w:tcBorders>
            <w:noWrap/>
          </w:tcPr>
          <w:p w14:paraId="3FBA99D9" w14:textId="77777777" w:rsidR="005B131E" w:rsidRPr="00BA7805" w:rsidRDefault="005B131E" w:rsidP="002542E1">
            <w:pPr>
              <w:pStyle w:val="ARfintablebodyrightbold8pt"/>
              <w:rPr>
                <w:highlight w:val="green"/>
              </w:rPr>
            </w:pPr>
            <w:r w:rsidRPr="005A67F6">
              <w:t>–</w:t>
            </w:r>
          </w:p>
        </w:tc>
        <w:tc>
          <w:tcPr>
            <w:tcW w:w="707" w:type="dxa"/>
            <w:tcBorders>
              <w:bottom w:val="single" w:sz="4" w:space="0" w:color="auto"/>
            </w:tcBorders>
            <w:noWrap/>
          </w:tcPr>
          <w:p w14:paraId="74ACDD7D" w14:textId="77777777" w:rsidR="005B131E" w:rsidRPr="00BA7805" w:rsidRDefault="005B131E" w:rsidP="002542E1">
            <w:pPr>
              <w:pStyle w:val="ARfintablebodyrightbold8pt"/>
              <w:rPr>
                <w:highlight w:val="green"/>
              </w:rPr>
            </w:pPr>
            <w:r w:rsidRPr="005A67F6">
              <w:t>–</w:t>
            </w:r>
          </w:p>
        </w:tc>
        <w:tc>
          <w:tcPr>
            <w:tcW w:w="707" w:type="dxa"/>
            <w:tcBorders>
              <w:bottom w:val="single" w:sz="4" w:space="0" w:color="auto"/>
            </w:tcBorders>
            <w:noWrap/>
          </w:tcPr>
          <w:p w14:paraId="26BA0570" w14:textId="77777777" w:rsidR="005B131E" w:rsidRPr="00BA7805" w:rsidRDefault="005B131E" w:rsidP="002542E1">
            <w:pPr>
              <w:pStyle w:val="ARfintablebodyrightbold8pt"/>
              <w:rPr>
                <w:highlight w:val="green"/>
              </w:rPr>
            </w:pPr>
            <w:r w:rsidRPr="005A67F6">
              <w:t>–</w:t>
            </w:r>
          </w:p>
        </w:tc>
        <w:tc>
          <w:tcPr>
            <w:tcW w:w="707" w:type="dxa"/>
            <w:tcBorders>
              <w:bottom w:val="single" w:sz="4" w:space="0" w:color="auto"/>
            </w:tcBorders>
            <w:noWrap/>
          </w:tcPr>
          <w:p w14:paraId="496F6B6F" w14:textId="77777777" w:rsidR="005B131E" w:rsidRPr="00BA7805" w:rsidRDefault="005B131E" w:rsidP="002542E1">
            <w:pPr>
              <w:pStyle w:val="ARfintablebodyrightbold8pt"/>
              <w:rPr>
                <w:highlight w:val="green"/>
              </w:rPr>
            </w:pPr>
            <w:r w:rsidRPr="005A67F6">
              <w:t>–</w:t>
            </w:r>
          </w:p>
        </w:tc>
        <w:tc>
          <w:tcPr>
            <w:tcW w:w="707" w:type="dxa"/>
            <w:tcBorders>
              <w:bottom w:val="single" w:sz="4" w:space="0" w:color="auto"/>
            </w:tcBorders>
            <w:noWrap/>
          </w:tcPr>
          <w:p w14:paraId="527961AE" w14:textId="77777777" w:rsidR="005B131E" w:rsidRPr="00BA7805" w:rsidRDefault="005B131E" w:rsidP="002542E1">
            <w:pPr>
              <w:pStyle w:val="ARfintablebodyrightbold8pt"/>
              <w:rPr>
                <w:highlight w:val="green"/>
              </w:rPr>
            </w:pPr>
            <w:r w:rsidRPr="005A67F6">
              <w:t>–</w:t>
            </w:r>
          </w:p>
        </w:tc>
        <w:tc>
          <w:tcPr>
            <w:tcW w:w="708" w:type="dxa"/>
            <w:tcBorders>
              <w:bottom w:val="single" w:sz="4" w:space="0" w:color="auto"/>
            </w:tcBorders>
            <w:noWrap/>
          </w:tcPr>
          <w:p w14:paraId="15A540AE" w14:textId="77777777" w:rsidR="005B131E" w:rsidRPr="00BA7805" w:rsidRDefault="005B131E" w:rsidP="002542E1">
            <w:pPr>
              <w:pStyle w:val="ARfintablebodyrightbold8pt"/>
              <w:rPr>
                <w:highlight w:val="green"/>
              </w:rPr>
            </w:pPr>
            <w:r w:rsidRPr="005A67F6">
              <w:t>–</w:t>
            </w:r>
          </w:p>
        </w:tc>
        <w:tc>
          <w:tcPr>
            <w:tcW w:w="707" w:type="dxa"/>
            <w:tcBorders>
              <w:bottom w:val="single" w:sz="4" w:space="0" w:color="auto"/>
            </w:tcBorders>
            <w:noWrap/>
          </w:tcPr>
          <w:p w14:paraId="7FAF1F56" w14:textId="77777777" w:rsidR="005B131E" w:rsidRPr="00BA7805" w:rsidRDefault="005B131E" w:rsidP="002542E1">
            <w:pPr>
              <w:pStyle w:val="ARfintablebodyrightbold8pt"/>
              <w:rPr>
                <w:highlight w:val="green"/>
              </w:rPr>
            </w:pPr>
            <w:r w:rsidRPr="005A67F6">
              <w:t>–</w:t>
            </w:r>
          </w:p>
        </w:tc>
        <w:tc>
          <w:tcPr>
            <w:tcW w:w="707" w:type="dxa"/>
            <w:tcBorders>
              <w:bottom w:val="single" w:sz="4" w:space="0" w:color="auto"/>
            </w:tcBorders>
            <w:noWrap/>
          </w:tcPr>
          <w:p w14:paraId="7C52150F" w14:textId="77777777" w:rsidR="005B131E" w:rsidRPr="00BA7805" w:rsidRDefault="005B131E" w:rsidP="002542E1">
            <w:pPr>
              <w:pStyle w:val="ARfintablebodyrightbold8pt"/>
              <w:rPr>
                <w:highlight w:val="green"/>
              </w:rPr>
            </w:pPr>
            <w:r w:rsidRPr="00630A9E">
              <w:t>0.2</w:t>
            </w:r>
          </w:p>
        </w:tc>
        <w:tc>
          <w:tcPr>
            <w:tcW w:w="707" w:type="dxa"/>
            <w:tcBorders>
              <w:bottom w:val="single" w:sz="4" w:space="0" w:color="auto"/>
            </w:tcBorders>
            <w:noWrap/>
          </w:tcPr>
          <w:p w14:paraId="73FED329" w14:textId="77777777" w:rsidR="005B131E" w:rsidRPr="00BA7805" w:rsidRDefault="005B131E" w:rsidP="002542E1">
            <w:pPr>
              <w:pStyle w:val="ARfintablebodyrightbold8pt"/>
              <w:rPr>
                <w:highlight w:val="green"/>
              </w:rPr>
            </w:pPr>
            <w:r w:rsidRPr="00630A9E">
              <w:t>(13.8)</w:t>
            </w:r>
          </w:p>
        </w:tc>
        <w:tc>
          <w:tcPr>
            <w:tcW w:w="707" w:type="dxa"/>
            <w:tcBorders>
              <w:bottom w:val="single" w:sz="4" w:space="0" w:color="auto"/>
            </w:tcBorders>
          </w:tcPr>
          <w:p w14:paraId="11F7CFB2" w14:textId="77777777" w:rsidR="005B131E" w:rsidRPr="00630A9E" w:rsidRDefault="005B131E" w:rsidP="002542E1">
            <w:pPr>
              <w:pStyle w:val="ARfintablebodyrightbold8pt"/>
            </w:pPr>
            <w:r>
              <w:t>–</w:t>
            </w:r>
          </w:p>
        </w:tc>
        <w:tc>
          <w:tcPr>
            <w:tcW w:w="708" w:type="dxa"/>
            <w:tcBorders>
              <w:bottom w:val="single" w:sz="4" w:space="0" w:color="auto"/>
            </w:tcBorders>
            <w:noWrap/>
          </w:tcPr>
          <w:p w14:paraId="6AE7A69E" w14:textId="77777777" w:rsidR="005B131E" w:rsidRPr="00BA7805" w:rsidRDefault="005B131E" w:rsidP="002542E1">
            <w:pPr>
              <w:pStyle w:val="ARfintablebodyrightbold8pt"/>
              <w:rPr>
                <w:highlight w:val="green"/>
              </w:rPr>
            </w:pPr>
            <w:r w:rsidRPr="00630A9E">
              <w:t>(20.7)</w:t>
            </w:r>
          </w:p>
        </w:tc>
      </w:tr>
      <w:tr w:rsidR="005B131E" w:rsidRPr="00BA7805" w14:paraId="115C3F6C" w14:textId="77777777" w:rsidTr="002542E1">
        <w:trPr>
          <w:trHeight w:val="170"/>
        </w:trPr>
        <w:tc>
          <w:tcPr>
            <w:tcW w:w="2394" w:type="dxa"/>
            <w:tcBorders>
              <w:top w:val="single" w:sz="4" w:space="0" w:color="A6A6A6" w:themeColor="background1" w:themeShade="A6"/>
            </w:tcBorders>
          </w:tcPr>
          <w:p w14:paraId="38A833DD" w14:textId="77777777" w:rsidR="005B131E" w:rsidRPr="00BA7805" w:rsidRDefault="005B131E" w:rsidP="002542E1">
            <w:pPr>
              <w:pStyle w:val="ARfintablebodybold8pt"/>
              <w:rPr>
                <w:highlight w:val="green"/>
              </w:rPr>
            </w:pPr>
            <w:r w:rsidRPr="00747B6C">
              <w:t>Net result</w:t>
            </w:r>
          </w:p>
        </w:tc>
        <w:tc>
          <w:tcPr>
            <w:tcW w:w="707" w:type="dxa"/>
            <w:tcBorders>
              <w:top w:val="single" w:sz="4" w:space="0" w:color="A6A6A6" w:themeColor="background1" w:themeShade="A6"/>
            </w:tcBorders>
            <w:noWrap/>
          </w:tcPr>
          <w:p w14:paraId="27DA6FC4" w14:textId="77777777" w:rsidR="005B131E" w:rsidRPr="00BA7805" w:rsidRDefault="005B131E" w:rsidP="002542E1">
            <w:pPr>
              <w:pStyle w:val="ARfintablebodyrightbold8pt"/>
              <w:rPr>
                <w:color w:val="000000" w:themeColor="text1"/>
                <w:highlight w:val="green"/>
              </w:rPr>
            </w:pPr>
            <w:r w:rsidRPr="00630A9E">
              <w:t>(13.9)</w:t>
            </w:r>
          </w:p>
        </w:tc>
        <w:tc>
          <w:tcPr>
            <w:tcW w:w="707" w:type="dxa"/>
            <w:tcBorders>
              <w:top w:val="single" w:sz="4" w:space="0" w:color="A6A6A6" w:themeColor="background1" w:themeShade="A6"/>
            </w:tcBorders>
            <w:noWrap/>
          </w:tcPr>
          <w:p w14:paraId="01FE7AD0" w14:textId="77777777" w:rsidR="005B131E" w:rsidRPr="00BA7805" w:rsidRDefault="005B131E" w:rsidP="002542E1">
            <w:pPr>
              <w:pStyle w:val="ARfintablebodyrightbold8pt"/>
              <w:rPr>
                <w:highlight w:val="green"/>
              </w:rPr>
            </w:pPr>
            <w:r w:rsidRPr="00630A9E">
              <w:t>(18.5)</w:t>
            </w:r>
          </w:p>
        </w:tc>
        <w:tc>
          <w:tcPr>
            <w:tcW w:w="707" w:type="dxa"/>
            <w:tcBorders>
              <w:top w:val="single" w:sz="4" w:space="0" w:color="A6A6A6" w:themeColor="background1" w:themeShade="A6"/>
            </w:tcBorders>
            <w:noWrap/>
          </w:tcPr>
          <w:p w14:paraId="1ABA316A" w14:textId="77777777" w:rsidR="005B131E" w:rsidRPr="00BA7805" w:rsidRDefault="005B131E" w:rsidP="002542E1">
            <w:pPr>
              <w:pStyle w:val="ARfintablebodyrightbold8pt"/>
              <w:rPr>
                <w:highlight w:val="green"/>
              </w:rPr>
            </w:pPr>
            <w:r w:rsidRPr="00630A9E">
              <w:t>8.0</w:t>
            </w:r>
          </w:p>
        </w:tc>
        <w:tc>
          <w:tcPr>
            <w:tcW w:w="707" w:type="dxa"/>
            <w:tcBorders>
              <w:top w:val="single" w:sz="4" w:space="0" w:color="A6A6A6" w:themeColor="background1" w:themeShade="A6"/>
            </w:tcBorders>
            <w:noWrap/>
          </w:tcPr>
          <w:p w14:paraId="74067DA8" w14:textId="77777777" w:rsidR="005B131E" w:rsidRPr="00BA7805" w:rsidRDefault="005B131E" w:rsidP="002542E1">
            <w:pPr>
              <w:pStyle w:val="ARfintablebodyrightbold8pt"/>
              <w:rPr>
                <w:highlight w:val="green"/>
              </w:rPr>
            </w:pPr>
            <w:r w:rsidRPr="00630A9E">
              <w:t>(0.4)</w:t>
            </w:r>
          </w:p>
        </w:tc>
        <w:tc>
          <w:tcPr>
            <w:tcW w:w="707" w:type="dxa"/>
            <w:tcBorders>
              <w:top w:val="single" w:sz="4" w:space="0" w:color="A6A6A6" w:themeColor="background1" w:themeShade="A6"/>
            </w:tcBorders>
            <w:noWrap/>
          </w:tcPr>
          <w:p w14:paraId="380F982F" w14:textId="77777777" w:rsidR="005B131E" w:rsidRPr="00BA7805" w:rsidRDefault="005B131E" w:rsidP="002542E1">
            <w:pPr>
              <w:pStyle w:val="ARfintablebodyrightbold8pt"/>
              <w:rPr>
                <w:highlight w:val="green"/>
              </w:rPr>
            </w:pPr>
            <w:r w:rsidRPr="00630A9E">
              <w:t>0.1</w:t>
            </w:r>
          </w:p>
        </w:tc>
        <w:tc>
          <w:tcPr>
            <w:tcW w:w="708" w:type="dxa"/>
            <w:tcBorders>
              <w:top w:val="single" w:sz="4" w:space="0" w:color="A6A6A6" w:themeColor="background1" w:themeShade="A6"/>
            </w:tcBorders>
            <w:noWrap/>
          </w:tcPr>
          <w:p w14:paraId="494E0A2E" w14:textId="77777777" w:rsidR="005B131E" w:rsidRPr="00BA7805" w:rsidRDefault="005B131E" w:rsidP="002542E1">
            <w:pPr>
              <w:pStyle w:val="ARfintablebodyrightbold8pt"/>
              <w:rPr>
                <w:highlight w:val="green"/>
              </w:rPr>
            </w:pPr>
            <w:r w:rsidRPr="00630A9E">
              <w:t>0.3</w:t>
            </w:r>
          </w:p>
        </w:tc>
        <w:tc>
          <w:tcPr>
            <w:tcW w:w="707" w:type="dxa"/>
            <w:tcBorders>
              <w:top w:val="single" w:sz="4" w:space="0" w:color="A6A6A6" w:themeColor="background1" w:themeShade="A6"/>
            </w:tcBorders>
            <w:noWrap/>
          </w:tcPr>
          <w:p w14:paraId="51E96F03" w14:textId="77777777" w:rsidR="005B131E" w:rsidRPr="00BA7805" w:rsidRDefault="005B131E" w:rsidP="002542E1">
            <w:pPr>
              <w:pStyle w:val="ARfintablebodyrightbold8pt"/>
              <w:rPr>
                <w:highlight w:val="green"/>
              </w:rPr>
            </w:pPr>
            <w:r w:rsidRPr="00630A9E">
              <w:t>0.1</w:t>
            </w:r>
          </w:p>
        </w:tc>
        <w:tc>
          <w:tcPr>
            <w:tcW w:w="707" w:type="dxa"/>
            <w:tcBorders>
              <w:top w:val="single" w:sz="4" w:space="0" w:color="A6A6A6" w:themeColor="background1" w:themeShade="A6"/>
            </w:tcBorders>
            <w:noWrap/>
          </w:tcPr>
          <w:p w14:paraId="035499F0" w14:textId="77777777" w:rsidR="005B131E" w:rsidRPr="00BA7805" w:rsidRDefault="005B131E" w:rsidP="002542E1">
            <w:pPr>
              <w:pStyle w:val="ARfintablebodyrightbold8pt"/>
              <w:rPr>
                <w:highlight w:val="green"/>
              </w:rPr>
            </w:pPr>
            <w:r w:rsidRPr="00630A9E">
              <w:t>(0.1)</w:t>
            </w:r>
          </w:p>
        </w:tc>
        <w:tc>
          <w:tcPr>
            <w:tcW w:w="707" w:type="dxa"/>
            <w:tcBorders>
              <w:top w:val="single" w:sz="4" w:space="0" w:color="A6A6A6" w:themeColor="background1" w:themeShade="A6"/>
            </w:tcBorders>
            <w:noWrap/>
          </w:tcPr>
          <w:p w14:paraId="5FA2497A" w14:textId="77777777" w:rsidR="005B131E" w:rsidRPr="00BA7805" w:rsidRDefault="005B131E" w:rsidP="002542E1">
            <w:pPr>
              <w:pStyle w:val="ARfintablebodyrightbold8pt"/>
              <w:rPr>
                <w:highlight w:val="green"/>
              </w:rPr>
            </w:pPr>
            <w:r w:rsidRPr="00630A9E">
              <w:t>0.2</w:t>
            </w:r>
          </w:p>
        </w:tc>
        <w:tc>
          <w:tcPr>
            <w:tcW w:w="707" w:type="dxa"/>
            <w:tcBorders>
              <w:top w:val="single" w:sz="4" w:space="0" w:color="A6A6A6" w:themeColor="background1" w:themeShade="A6"/>
            </w:tcBorders>
            <w:noWrap/>
          </w:tcPr>
          <w:p w14:paraId="6FE9BD7D" w14:textId="77777777" w:rsidR="005B131E" w:rsidRPr="00BA7805" w:rsidRDefault="005B131E" w:rsidP="002542E1">
            <w:pPr>
              <w:pStyle w:val="ARfintablebodyrightbold8pt"/>
              <w:rPr>
                <w:highlight w:val="green"/>
              </w:rPr>
            </w:pPr>
            <w:r w:rsidRPr="00630A9E">
              <w:t>0.2</w:t>
            </w:r>
          </w:p>
        </w:tc>
        <w:tc>
          <w:tcPr>
            <w:tcW w:w="708" w:type="dxa"/>
            <w:tcBorders>
              <w:top w:val="single" w:sz="4" w:space="0" w:color="A6A6A6" w:themeColor="background1" w:themeShade="A6"/>
            </w:tcBorders>
            <w:noWrap/>
          </w:tcPr>
          <w:p w14:paraId="75175207" w14:textId="77777777" w:rsidR="005B131E" w:rsidRPr="00BA7805" w:rsidRDefault="005B131E" w:rsidP="002542E1">
            <w:pPr>
              <w:pStyle w:val="ARfintablebodyrightbold8pt"/>
              <w:rPr>
                <w:highlight w:val="green"/>
              </w:rPr>
            </w:pPr>
            <w:r w:rsidRPr="00630A9E">
              <w:t>(0.4)</w:t>
            </w:r>
          </w:p>
        </w:tc>
        <w:tc>
          <w:tcPr>
            <w:tcW w:w="707" w:type="dxa"/>
            <w:tcBorders>
              <w:top w:val="single" w:sz="4" w:space="0" w:color="A6A6A6" w:themeColor="background1" w:themeShade="A6"/>
            </w:tcBorders>
            <w:noWrap/>
          </w:tcPr>
          <w:p w14:paraId="1AB2CCDB" w14:textId="77777777" w:rsidR="005B131E" w:rsidRPr="00BA7805" w:rsidRDefault="005B131E" w:rsidP="002542E1">
            <w:pPr>
              <w:pStyle w:val="ARfintablebodyrightbold8pt"/>
              <w:rPr>
                <w:highlight w:val="green"/>
              </w:rPr>
            </w:pPr>
            <w:r w:rsidRPr="00630A9E">
              <w:t>0.8</w:t>
            </w:r>
          </w:p>
        </w:tc>
        <w:tc>
          <w:tcPr>
            <w:tcW w:w="707" w:type="dxa"/>
            <w:tcBorders>
              <w:top w:val="single" w:sz="4" w:space="0" w:color="A6A6A6" w:themeColor="background1" w:themeShade="A6"/>
            </w:tcBorders>
            <w:noWrap/>
          </w:tcPr>
          <w:p w14:paraId="5869C034" w14:textId="77777777" w:rsidR="005B131E" w:rsidRPr="00BA7805" w:rsidRDefault="005B131E" w:rsidP="002542E1">
            <w:pPr>
              <w:pStyle w:val="ARfintablebodyrightbold8pt"/>
              <w:rPr>
                <w:highlight w:val="green"/>
              </w:rPr>
            </w:pPr>
            <w:r w:rsidRPr="00630A9E">
              <w:t>(4.9)</w:t>
            </w:r>
          </w:p>
        </w:tc>
        <w:tc>
          <w:tcPr>
            <w:tcW w:w="707" w:type="dxa"/>
            <w:tcBorders>
              <w:top w:val="single" w:sz="4" w:space="0" w:color="A6A6A6" w:themeColor="background1" w:themeShade="A6"/>
            </w:tcBorders>
            <w:noWrap/>
          </w:tcPr>
          <w:p w14:paraId="6BFF7224" w14:textId="77777777" w:rsidR="005B131E" w:rsidRPr="00BA7805" w:rsidRDefault="005B131E" w:rsidP="002542E1">
            <w:pPr>
              <w:pStyle w:val="ARfintablebodyrightbold8pt"/>
              <w:rPr>
                <w:highlight w:val="green"/>
              </w:rPr>
            </w:pPr>
            <w:r w:rsidRPr="00630A9E">
              <w:t>(236.2)</w:t>
            </w:r>
          </w:p>
        </w:tc>
        <w:tc>
          <w:tcPr>
            <w:tcW w:w="707" w:type="dxa"/>
            <w:tcBorders>
              <w:top w:val="single" w:sz="4" w:space="0" w:color="A6A6A6" w:themeColor="background1" w:themeShade="A6"/>
            </w:tcBorders>
          </w:tcPr>
          <w:p w14:paraId="41CAB475" w14:textId="77777777" w:rsidR="005B131E" w:rsidRPr="00630A9E" w:rsidRDefault="005B131E" w:rsidP="002542E1">
            <w:pPr>
              <w:pStyle w:val="ARfintablebodyrightbold8pt"/>
            </w:pPr>
            <w:r>
              <w:t>–</w:t>
            </w:r>
          </w:p>
        </w:tc>
        <w:tc>
          <w:tcPr>
            <w:tcW w:w="708" w:type="dxa"/>
            <w:tcBorders>
              <w:top w:val="single" w:sz="4" w:space="0" w:color="A6A6A6" w:themeColor="background1" w:themeShade="A6"/>
            </w:tcBorders>
            <w:noWrap/>
          </w:tcPr>
          <w:p w14:paraId="1879BD34" w14:textId="77777777" w:rsidR="005B131E" w:rsidRPr="00BA7805" w:rsidRDefault="005B131E" w:rsidP="002542E1">
            <w:pPr>
              <w:pStyle w:val="ARfintablebodyrightbold8pt"/>
              <w:rPr>
                <w:highlight w:val="green"/>
              </w:rPr>
            </w:pPr>
            <w:r w:rsidRPr="00630A9E">
              <w:t>(264.7)</w:t>
            </w:r>
          </w:p>
        </w:tc>
      </w:tr>
      <w:tr w:rsidR="005B131E" w:rsidRPr="00BA7805" w14:paraId="7BACA294" w14:textId="77777777">
        <w:trPr>
          <w:trHeight w:val="170"/>
        </w:trPr>
        <w:tc>
          <w:tcPr>
            <w:tcW w:w="13709" w:type="dxa"/>
            <w:gridSpan w:val="17"/>
            <w:tcBorders>
              <w:bottom w:val="single" w:sz="4" w:space="0" w:color="auto"/>
            </w:tcBorders>
          </w:tcPr>
          <w:p w14:paraId="1AF9C94F" w14:textId="77777777" w:rsidR="005B131E" w:rsidRPr="00BA7805" w:rsidRDefault="005B131E" w:rsidP="002542E1">
            <w:pPr>
              <w:pStyle w:val="ARfintablebodybold8pt"/>
              <w:rPr>
                <w:highlight w:val="green"/>
              </w:rPr>
            </w:pPr>
            <w:r w:rsidRPr="00747B6C">
              <w:t xml:space="preserve">Other economic flows </w:t>
            </w:r>
            <w:r>
              <w:t>–</w:t>
            </w:r>
            <w:r w:rsidRPr="00747B6C">
              <w:t xml:space="preserve"> other comprehensive income</w:t>
            </w:r>
          </w:p>
        </w:tc>
      </w:tr>
      <w:tr w:rsidR="005B131E" w:rsidRPr="00BA7805" w14:paraId="1AD551F7" w14:textId="77777777">
        <w:trPr>
          <w:trHeight w:val="170"/>
        </w:trPr>
        <w:tc>
          <w:tcPr>
            <w:tcW w:w="13709" w:type="dxa"/>
            <w:gridSpan w:val="17"/>
            <w:tcBorders>
              <w:top w:val="single" w:sz="4" w:space="0" w:color="auto"/>
              <w:bottom w:val="single" w:sz="4" w:space="0" w:color="BFBFBF" w:themeColor="background1" w:themeShade="BF"/>
            </w:tcBorders>
          </w:tcPr>
          <w:p w14:paraId="28E60187" w14:textId="77777777" w:rsidR="005B131E" w:rsidRPr="00BA7805" w:rsidRDefault="005B131E" w:rsidP="002542E1">
            <w:pPr>
              <w:pStyle w:val="ARfintablebodybold8pt"/>
              <w:rPr>
                <w:highlight w:val="green"/>
              </w:rPr>
            </w:pPr>
            <w:r w:rsidRPr="00747B6C">
              <w:t>Items that will not be reclassified to net result</w:t>
            </w:r>
          </w:p>
        </w:tc>
      </w:tr>
      <w:tr w:rsidR="005B131E" w:rsidRPr="00BA7805" w14:paraId="499B461E" w14:textId="77777777" w:rsidTr="002542E1">
        <w:trPr>
          <w:trHeight w:val="170"/>
        </w:trPr>
        <w:tc>
          <w:tcPr>
            <w:tcW w:w="2394" w:type="dxa"/>
            <w:tcBorders>
              <w:top w:val="single" w:sz="4" w:space="0" w:color="BFBFBF" w:themeColor="background1" w:themeShade="BF"/>
              <w:bottom w:val="single" w:sz="4" w:space="0" w:color="BFBFBF" w:themeColor="background1" w:themeShade="BF"/>
            </w:tcBorders>
          </w:tcPr>
          <w:p w14:paraId="04B633DF" w14:textId="77777777" w:rsidR="005B131E" w:rsidRPr="00BA7805" w:rsidRDefault="005B131E" w:rsidP="002542E1">
            <w:pPr>
              <w:pStyle w:val="ARfintablebody8pt"/>
              <w:rPr>
                <w:highlight w:val="green"/>
              </w:rPr>
            </w:pPr>
            <w:r w:rsidRPr="00747B6C">
              <w:t>Changes in physical asset revaluation surplus</w:t>
            </w:r>
          </w:p>
        </w:tc>
        <w:tc>
          <w:tcPr>
            <w:tcW w:w="707" w:type="dxa"/>
            <w:tcBorders>
              <w:top w:val="single" w:sz="4" w:space="0" w:color="BFBFBF" w:themeColor="background1" w:themeShade="BF"/>
              <w:bottom w:val="single" w:sz="4" w:space="0" w:color="BFBFBF" w:themeColor="background1" w:themeShade="BF"/>
            </w:tcBorders>
            <w:noWrap/>
          </w:tcPr>
          <w:p w14:paraId="5CF09BE5" w14:textId="77777777" w:rsidR="005B131E" w:rsidRPr="00BA7805" w:rsidRDefault="005B131E" w:rsidP="002542E1">
            <w:pPr>
              <w:pStyle w:val="ARfintablebodyright8pt"/>
              <w:rPr>
                <w:bCs/>
                <w:highlight w:val="green"/>
              </w:rPr>
            </w:pPr>
            <w:r w:rsidRPr="00630A9E">
              <w:t>(1.8)</w:t>
            </w:r>
          </w:p>
        </w:tc>
        <w:tc>
          <w:tcPr>
            <w:tcW w:w="707" w:type="dxa"/>
            <w:tcBorders>
              <w:top w:val="single" w:sz="4" w:space="0" w:color="BFBFBF" w:themeColor="background1" w:themeShade="BF"/>
              <w:bottom w:val="single" w:sz="4" w:space="0" w:color="BFBFBF" w:themeColor="background1" w:themeShade="BF"/>
            </w:tcBorders>
            <w:noWrap/>
          </w:tcPr>
          <w:p w14:paraId="15998EA3" w14:textId="77777777" w:rsidR="005B131E" w:rsidRPr="00BA7805" w:rsidRDefault="005B131E" w:rsidP="002542E1">
            <w:pPr>
              <w:pStyle w:val="ARfintablebodyright8pt"/>
              <w:rPr>
                <w:bCs/>
                <w:color w:val="000000" w:themeColor="text1"/>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3F01D304"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44090516"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29150585" w14:textId="77777777" w:rsidR="005B131E" w:rsidRPr="00BA7805" w:rsidRDefault="005B131E" w:rsidP="002542E1">
            <w:pPr>
              <w:pStyle w:val="ARfintablebodyright8pt"/>
              <w:rPr>
                <w:bCs/>
                <w:highlight w:val="green"/>
              </w:rPr>
            </w:pPr>
            <w:r>
              <w:t>–</w:t>
            </w:r>
          </w:p>
        </w:tc>
        <w:tc>
          <w:tcPr>
            <w:tcW w:w="708" w:type="dxa"/>
            <w:tcBorders>
              <w:top w:val="single" w:sz="4" w:space="0" w:color="BFBFBF" w:themeColor="background1" w:themeShade="BF"/>
              <w:bottom w:val="single" w:sz="4" w:space="0" w:color="BFBFBF" w:themeColor="background1" w:themeShade="BF"/>
            </w:tcBorders>
            <w:noWrap/>
          </w:tcPr>
          <w:p w14:paraId="268181B4"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5159ADAE"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7868DD80"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6A0669EA"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131A1DF0" w14:textId="77777777" w:rsidR="005B131E" w:rsidRPr="00BA7805" w:rsidRDefault="005B131E" w:rsidP="002542E1">
            <w:pPr>
              <w:pStyle w:val="ARfintablebodyright8pt"/>
              <w:rPr>
                <w:bCs/>
                <w:highlight w:val="green"/>
              </w:rPr>
            </w:pPr>
            <w:r>
              <w:t>–</w:t>
            </w:r>
          </w:p>
        </w:tc>
        <w:tc>
          <w:tcPr>
            <w:tcW w:w="708" w:type="dxa"/>
            <w:tcBorders>
              <w:top w:val="single" w:sz="4" w:space="0" w:color="BFBFBF" w:themeColor="background1" w:themeShade="BF"/>
              <w:bottom w:val="single" w:sz="4" w:space="0" w:color="BFBFBF" w:themeColor="background1" w:themeShade="BF"/>
            </w:tcBorders>
            <w:noWrap/>
          </w:tcPr>
          <w:p w14:paraId="6BFB3130"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1E9AF6B3"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39F6F909"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bottom w:val="single" w:sz="4" w:space="0" w:color="BFBFBF" w:themeColor="background1" w:themeShade="BF"/>
            </w:tcBorders>
            <w:noWrap/>
          </w:tcPr>
          <w:p w14:paraId="52BC9719" w14:textId="77777777" w:rsidR="005B131E" w:rsidRPr="00BA7805" w:rsidRDefault="005B131E" w:rsidP="002542E1">
            <w:pPr>
              <w:pStyle w:val="ARfintablebodyright8pt"/>
              <w:rPr>
                <w:bCs/>
                <w:highlight w:val="green"/>
              </w:rPr>
            </w:pPr>
            <w:r w:rsidRPr="00630A9E">
              <w:t>49.5</w:t>
            </w:r>
          </w:p>
        </w:tc>
        <w:tc>
          <w:tcPr>
            <w:tcW w:w="707" w:type="dxa"/>
            <w:tcBorders>
              <w:top w:val="single" w:sz="4" w:space="0" w:color="BFBFBF" w:themeColor="background1" w:themeShade="BF"/>
              <w:bottom w:val="single" w:sz="4" w:space="0" w:color="BFBFBF" w:themeColor="background1" w:themeShade="BF"/>
            </w:tcBorders>
          </w:tcPr>
          <w:p w14:paraId="27FD8934" w14:textId="77777777" w:rsidR="005B131E" w:rsidRPr="00630A9E" w:rsidRDefault="005B131E" w:rsidP="002542E1">
            <w:pPr>
              <w:pStyle w:val="ARfintablebodyright8pt"/>
            </w:pPr>
          </w:p>
        </w:tc>
        <w:tc>
          <w:tcPr>
            <w:tcW w:w="708" w:type="dxa"/>
            <w:tcBorders>
              <w:top w:val="single" w:sz="4" w:space="0" w:color="BFBFBF" w:themeColor="background1" w:themeShade="BF"/>
              <w:bottom w:val="single" w:sz="4" w:space="0" w:color="BFBFBF" w:themeColor="background1" w:themeShade="BF"/>
            </w:tcBorders>
            <w:noWrap/>
          </w:tcPr>
          <w:p w14:paraId="448551AD" w14:textId="77777777" w:rsidR="005B131E" w:rsidRPr="00BA7805" w:rsidRDefault="005B131E" w:rsidP="002542E1">
            <w:pPr>
              <w:pStyle w:val="ARfintablebodyright8pt"/>
              <w:rPr>
                <w:bCs/>
                <w:highlight w:val="green"/>
              </w:rPr>
            </w:pPr>
            <w:r w:rsidRPr="00630A9E">
              <w:t>47.7</w:t>
            </w:r>
          </w:p>
        </w:tc>
      </w:tr>
      <w:tr w:rsidR="005B131E" w:rsidRPr="00BA7805" w14:paraId="673C5685" w14:textId="77777777" w:rsidTr="002542E1">
        <w:trPr>
          <w:trHeight w:val="170"/>
        </w:trPr>
        <w:tc>
          <w:tcPr>
            <w:tcW w:w="2394" w:type="dxa"/>
            <w:tcBorders>
              <w:top w:val="single" w:sz="4" w:space="0" w:color="BFBFBF" w:themeColor="background1" w:themeShade="BF"/>
            </w:tcBorders>
          </w:tcPr>
          <w:p w14:paraId="64DDD8CB" w14:textId="77777777" w:rsidR="005B131E" w:rsidRPr="00BA7805" w:rsidRDefault="005B131E" w:rsidP="002542E1">
            <w:pPr>
              <w:pStyle w:val="ARfintablebody8pt"/>
              <w:rPr>
                <w:highlight w:val="green"/>
              </w:rPr>
            </w:pPr>
            <w:r w:rsidRPr="00747B6C">
              <w:t>Remeasurement of superannuation defined benefit plans</w:t>
            </w:r>
          </w:p>
        </w:tc>
        <w:tc>
          <w:tcPr>
            <w:tcW w:w="707" w:type="dxa"/>
            <w:tcBorders>
              <w:top w:val="single" w:sz="4" w:space="0" w:color="BFBFBF" w:themeColor="background1" w:themeShade="BF"/>
            </w:tcBorders>
            <w:noWrap/>
          </w:tcPr>
          <w:p w14:paraId="2DD2D32A" w14:textId="77777777" w:rsidR="005B131E" w:rsidRPr="00BA7805" w:rsidRDefault="005B131E" w:rsidP="002542E1">
            <w:pPr>
              <w:pStyle w:val="ARfintablebodyright8pt"/>
              <w:rPr>
                <w:bCs/>
                <w:color w:val="000000" w:themeColor="text1"/>
                <w:highlight w:val="green"/>
              </w:rPr>
            </w:pPr>
            <w:r>
              <w:t>–</w:t>
            </w:r>
          </w:p>
        </w:tc>
        <w:tc>
          <w:tcPr>
            <w:tcW w:w="707" w:type="dxa"/>
            <w:tcBorders>
              <w:top w:val="single" w:sz="4" w:space="0" w:color="BFBFBF" w:themeColor="background1" w:themeShade="BF"/>
            </w:tcBorders>
            <w:noWrap/>
          </w:tcPr>
          <w:p w14:paraId="0BFBCFEC" w14:textId="77777777" w:rsidR="005B131E" w:rsidRPr="00BA7805" w:rsidRDefault="005B131E" w:rsidP="002542E1">
            <w:pPr>
              <w:pStyle w:val="ARfintablebodyright8pt"/>
              <w:rPr>
                <w:bCs/>
                <w:color w:val="000000" w:themeColor="text1"/>
                <w:highlight w:val="green"/>
              </w:rPr>
            </w:pPr>
            <w:r>
              <w:t>–</w:t>
            </w:r>
          </w:p>
        </w:tc>
        <w:tc>
          <w:tcPr>
            <w:tcW w:w="707" w:type="dxa"/>
            <w:tcBorders>
              <w:top w:val="single" w:sz="4" w:space="0" w:color="BFBFBF" w:themeColor="background1" w:themeShade="BF"/>
            </w:tcBorders>
            <w:noWrap/>
          </w:tcPr>
          <w:p w14:paraId="56644628"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5FE459ED"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565ABA6E" w14:textId="77777777" w:rsidR="005B131E" w:rsidRPr="00BA7805" w:rsidRDefault="005B131E" w:rsidP="002542E1">
            <w:pPr>
              <w:pStyle w:val="ARfintablebodyright8pt"/>
              <w:rPr>
                <w:bCs/>
                <w:highlight w:val="green"/>
              </w:rPr>
            </w:pPr>
            <w:r>
              <w:t>–</w:t>
            </w:r>
          </w:p>
        </w:tc>
        <w:tc>
          <w:tcPr>
            <w:tcW w:w="708" w:type="dxa"/>
            <w:tcBorders>
              <w:top w:val="single" w:sz="4" w:space="0" w:color="BFBFBF" w:themeColor="background1" w:themeShade="BF"/>
            </w:tcBorders>
            <w:noWrap/>
          </w:tcPr>
          <w:p w14:paraId="71AEE5ED"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5DB79860"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675D8EA3"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0B35F569"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301469BA" w14:textId="77777777" w:rsidR="005B131E" w:rsidRPr="00BA7805" w:rsidRDefault="005B131E" w:rsidP="002542E1">
            <w:pPr>
              <w:pStyle w:val="ARfintablebodyright8pt"/>
              <w:rPr>
                <w:bCs/>
                <w:highlight w:val="green"/>
              </w:rPr>
            </w:pPr>
            <w:r>
              <w:t>–</w:t>
            </w:r>
          </w:p>
        </w:tc>
        <w:tc>
          <w:tcPr>
            <w:tcW w:w="708" w:type="dxa"/>
            <w:tcBorders>
              <w:top w:val="single" w:sz="4" w:space="0" w:color="BFBFBF" w:themeColor="background1" w:themeShade="BF"/>
            </w:tcBorders>
            <w:noWrap/>
          </w:tcPr>
          <w:p w14:paraId="1A28E156"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2D594EC6"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562FD40D" w14:textId="77777777" w:rsidR="005B131E" w:rsidRPr="00BA7805" w:rsidRDefault="005B131E" w:rsidP="002542E1">
            <w:pPr>
              <w:pStyle w:val="ARfintablebodyright8pt"/>
              <w:rPr>
                <w:bCs/>
                <w:highlight w:val="green"/>
              </w:rPr>
            </w:pPr>
            <w:r>
              <w:t>–</w:t>
            </w:r>
          </w:p>
        </w:tc>
        <w:tc>
          <w:tcPr>
            <w:tcW w:w="707" w:type="dxa"/>
            <w:tcBorders>
              <w:top w:val="single" w:sz="4" w:space="0" w:color="BFBFBF" w:themeColor="background1" w:themeShade="BF"/>
            </w:tcBorders>
            <w:noWrap/>
          </w:tcPr>
          <w:p w14:paraId="03E6D390" w14:textId="77777777" w:rsidR="005B131E" w:rsidRPr="00BA7805" w:rsidRDefault="005B131E" w:rsidP="002542E1">
            <w:pPr>
              <w:pStyle w:val="ARfintablebodyright8pt"/>
              <w:rPr>
                <w:bCs/>
                <w:highlight w:val="green"/>
              </w:rPr>
            </w:pPr>
            <w:r w:rsidRPr="00630A9E">
              <w:t>1.0</w:t>
            </w:r>
          </w:p>
        </w:tc>
        <w:tc>
          <w:tcPr>
            <w:tcW w:w="707" w:type="dxa"/>
            <w:tcBorders>
              <w:top w:val="single" w:sz="4" w:space="0" w:color="BFBFBF" w:themeColor="background1" w:themeShade="BF"/>
            </w:tcBorders>
          </w:tcPr>
          <w:p w14:paraId="494EF0D0" w14:textId="77777777" w:rsidR="005B131E" w:rsidRPr="00630A9E" w:rsidRDefault="005B131E" w:rsidP="002542E1">
            <w:pPr>
              <w:pStyle w:val="ARfintablebodyright8pt"/>
            </w:pPr>
          </w:p>
        </w:tc>
        <w:tc>
          <w:tcPr>
            <w:tcW w:w="708" w:type="dxa"/>
            <w:tcBorders>
              <w:top w:val="single" w:sz="4" w:space="0" w:color="BFBFBF" w:themeColor="background1" w:themeShade="BF"/>
            </w:tcBorders>
            <w:noWrap/>
          </w:tcPr>
          <w:p w14:paraId="7479298F" w14:textId="77777777" w:rsidR="005B131E" w:rsidRPr="00BA7805" w:rsidRDefault="005B131E" w:rsidP="002542E1">
            <w:pPr>
              <w:pStyle w:val="ARfintablebodyright8pt"/>
              <w:rPr>
                <w:bCs/>
                <w:highlight w:val="green"/>
              </w:rPr>
            </w:pPr>
            <w:r w:rsidRPr="00630A9E">
              <w:t>1.0</w:t>
            </w:r>
          </w:p>
        </w:tc>
      </w:tr>
      <w:tr w:rsidR="005B131E" w:rsidRPr="00BA7805" w14:paraId="242F05DE" w14:textId="77777777" w:rsidTr="002542E1">
        <w:trPr>
          <w:trHeight w:val="170"/>
        </w:trPr>
        <w:tc>
          <w:tcPr>
            <w:tcW w:w="2394" w:type="dxa"/>
          </w:tcPr>
          <w:p w14:paraId="10D02B06" w14:textId="77777777" w:rsidR="005B131E" w:rsidRPr="00041FB8" w:rsidRDefault="005B131E" w:rsidP="002542E1">
            <w:pPr>
              <w:pStyle w:val="ARfintablebodybold8pt"/>
            </w:pPr>
            <w:r w:rsidRPr="00747B6C">
              <w:t xml:space="preserve">Total other economic flows </w:t>
            </w:r>
            <w:r>
              <w:t>–</w:t>
            </w:r>
            <w:r w:rsidRPr="00747B6C">
              <w:t xml:space="preserve"> other comprehensive income</w:t>
            </w:r>
          </w:p>
        </w:tc>
        <w:tc>
          <w:tcPr>
            <w:tcW w:w="707" w:type="dxa"/>
            <w:noWrap/>
          </w:tcPr>
          <w:p w14:paraId="1D0F3E94" w14:textId="77777777" w:rsidR="005B131E" w:rsidRPr="00BA7805" w:rsidRDefault="005B131E" w:rsidP="002542E1">
            <w:pPr>
              <w:pStyle w:val="ARfintablebodyrightbold8pt"/>
              <w:rPr>
                <w:bCs/>
                <w:color w:val="000000" w:themeColor="text1"/>
                <w:highlight w:val="green"/>
              </w:rPr>
            </w:pPr>
            <w:r w:rsidRPr="00630A9E">
              <w:t>(1.8)</w:t>
            </w:r>
          </w:p>
        </w:tc>
        <w:tc>
          <w:tcPr>
            <w:tcW w:w="707" w:type="dxa"/>
            <w:noWrap/>
          </w:tcPr>
          <w:p w14:paraId="6CE06C7C" w14:textId="77777777" w:rsidR="005B131E" w:rsidRPr="00BA7805" w:rsidRDefault="005B131E" w:rsidP="002542E1">
            <w:pPr>
              <w:pStyle w:val="ARfintablebodyrightbold8pt"/>
              <w:rPr>
                <w:bCs/>
                <w:color w:val="000000" w:themeColor="text1"/>
                <w:highlight w:val="green"/>
              </w:rPr>
            </w:pPr>
            <w:r>
              <w:t>–</w:t>
            </w:r>
          </w:p>
        </w:tc>
        <w:tc>
          <w:tcPr>
            <w:tcW w:w="707" w:type="dxa"/>
            <w:noWrap/>
          </w:tcPr>
          <w:p w14:paraId="78AEBE24" w14:textId="77777777" w:rsidR="005B131E" w:rsidRPr="00BA7805" w:rsidRDefault="005B131E" w:rsidP="002542E1">
            <w:pPr>
              <w:pStyle w:val="ARfintablebodyrightbold8pt"/>
              <w:rPr>
                <w:bCs/>
                <w:highlight w:val="green"/>
              </w:rPr>
            </w:pPr>
            <w:r>
              <w:t>–</w:t>
            </w:r>
          </w:p>
        </w:tc>
        <w:tc>
          <w:tcPr>
            <w:tcW w:w="707" w:type="dxa"/>
            <w:noWrap/>
          </w:tcPr>
          <w:p w14:paraId="62C156E6" w14:textId="77777777" w:rsidR="005B131E" w:rsidRPr="00BA7805" w:rsidRDefault="005B131E" w:rsidP="002542E1">
            <w:pPr>
              <w:pStyle w:val="ARfintablebodyrightbold8pt"/>
              <w:rPr>
                <w:bCs/>
                <w:highlight w:val="green"/>
              </w:rPr>
            </w:pPr>
            <w:r>
              <w:t>–</w:t>
            </w:r>
          </w:p>
        </w:tc>
        <w:tc>
          <w:tcPr>
            <w:tcW w:w="707" w:type="dxa"/>
            <w:noWrap/>
          </w:tcPr>
          <w:p w14:paraId="2E2F9E15" w14:textId="77777777" w:rsidR="005B131E" w:rsidRPr="00BA7805" w:rsidRDefault="005B131E" w:rsidP="002542E1">
            <w:pPr>
              <w:pStyle w:val="ARfintablebodyrightbold8pt"/>
              <w:rPr>
                <w:bCs/>
                <w:highlight w:val="green"/>
              </w:rPr>
            </w:pPr>
            <w:r>
              <w:t>–</w:t>
            </w:r>
          </w:p>
        </w:tc>
        <w:tc>
          <w:tcPr>
            <w:tcW w:w="708" w:type="dxa"/>
            <w:noWrap/>
          </w:tcPr>
          <w:p w14:paraId="73D04E03" w14:textId="77777777" w:rsidR="005B131E" w:rsidRPr="00BA7805" w:rsidRDefault="005B131E" w:rsidP="002542E1">
            <w:pPr>
              <w:pStyle w:val="ARfintablebodyrightbold8pt"/>
              <w:rPr>
                <w:bCs/>
                <w:highlight w:val="green"/>
              </w:rPr>
            </w:pPr>
            <w:r>
              <w:t>–</w:t>
            </w:r>
          </w:p>
        </w:tc>
        <w:tc>
          <w:tcPr>
            <w:tcW w:w="707" w:type="dxa"/>
            <w:noWrap/>
          </w:tcPr>
          <w:p w14:paraId="194DC6BF" w14:textId="77777777" w:rsidR="005B131E" w:rsidRPr="00BA7805" w:rsidRDefault="005B131E" w:rsidP="002542E1">
            <w:pPr>
              <w:pStyle w:val="ARfintablebodyrightbold8pt"/>
              <w:rPr>
                <w:bCs/>
                <w:highlight w:val="green"/>
              </w:rPr>
            </w:pPr>
            <w:r>
              <w:t>–</w:t>
            </w:r>
          </w:p>
        </w:tc>
        <w:tc>
          <w:tcPr>
            <w:tcW w:w="707" w:type="dxa"/>
            <w:noWrap/>
          </w:tcPr>
          <w:p w14:paraId="57CE5864" w14:textId="77777777" w:rsidR="005B131E" w:rsidRPr="00BA7805" w:rsidRDefault="005B131E" w:rsidP="002542E1">
            <w:pPr>
              <w:pStyle w:val="ARfintablebodyrightbold8pt"/>
              <w:rPr>
                <w:bCs/>
                <w:highlight w:val="green"/>
              </w:rPr>
            </w:pPr>
            <w:r>
              <w:t>–</w:t>
            </w:r>
          </w:p>
        </w:tc>
        <w:tc>
          <w:tcPr>
            <w:tcW w:w="707" w:type="dxa"/>
            <w:noWrap/>
          </w:tcPr>
          <w:p w14:paraId="2221C75A" w14:textId="77777777" w:rsidR="005B131E" w:rsidRPr="00BA7805" w:rsidRDefault="005B131E" w:rsidP="002542E1">
            <w:pPr>
              <w:pStyle w:val="ARfintablebodyrightbold8pt"/>
              <w:rPr>
                <w:bCs/>
                <w:highlight w:val="green"/>
              </w:rPr>
            </w:pPr>
            <w:r>
              <w:t>–</w:t>
            </w:r>
          </w:p>
        </w:tc>
        <w:tc>
          <w:tcPr>
            <w:tcW w:w="707" w:type="dxa"/>
            <w:noWrap/>
          </w:tcPr>
          <w:p w14:paraId="04E98511" w14:textId="77777777" w:rsidR="005B131E" w:rsidRPr="00BA7805" w:rsidRDefault="005B131E" w:rsidP="002542E1">
            <w:pPr>
              <w:pStyle w:val="ARfintablebodyrightbold8pt"/>
              <w:rPr>
                <w:bCs/>
                <w:highlight w:val="green"/>
              </w:rPr>
            </w:pPr>
            <w:r>
              <w:t>–</w:t>
            </w:r>
          </w:p>
        </w:tc>
        <w:tc>
          <w:tcPr>
            <w:tcW w:w="708" w:type="dxa"/>
            <w:noWrap/>
          </w:tcPr>
          <w:p w14:paraId="0DA28797" w14:textId="77777777" w:rsidR="005B131E" w:rsidRPr="00BA7805" w:rsidRDefault="005B131E" w:rsidP="002542E1">
            <w:pPr>
              <w:pStyle w:val="ARfintablebodyrightbold8pt"/>
              <w:rPr>
                <w:bCs/>
                <w:highlight w:val="green"/>
              </w:rPr>
            </w:pPr>
            <w:r>
              <w:t>–</w:t>
            </w:r>
          </w:p>
        </w:tc>
        <w:tc>
          <w:tcPr>
            <w:tcW w:w="707" w:type="dxa"/>
            <w:noWrap/>
          </w:tcPr>
          <w:p w14:paraId="2F3857FD" w14:textId="77777777" w:rsidR="005B131E" w:rsidRPr="00BA7805" w:rsidRDefault="005B131E" w:rsidP="002542E1">
            <w:pPr>
              <w:pStyle w:val="ARfintablebodyrightbold8pt"/>
              <w:rPr>
                <w:bCs/>
                <w:highlight w:val="green"/>
              </w:rPr>
            </w:pPr>
            <w:r>
              <w:t>–</w:t>
            </w:r>
          </w:p>
        </w:tc>
        <w:tc>
          <w:tcPr>
            <w:tcW w:w="707" w:type="dxa"/>
            <w:noWrap/>
          </w:tcPr>
          <w:p w14:paraId="1F945E3A" w14:textId="77777777" w:rsidR="005B131E" w:rsidRPr="00BA7805" w:rsidRDefault="005B131E" w:rsidP="002542E1">
            <w:pPr>
              <w:pStyle w:val="ARfintablebodyrightbold8pt"/>
              <w:rPr>
                <w:bCs/>
                <w:highlight w:val="green"/>
              </w:rPr>
            </w:pPr>
            <w:r>
              <w:t>–</w:t>
            </w:r>
          </w:p>
        </w:tc>
        <w:tc>
          <w:tcPr>
            <w:tcW w:w="707" w:type="dxa"/>
            <w:noWrap/>
          </w:tcPr>
          <w:p w14:paraId="19EF9E54" w14:textId="77777777" w:rsidR="005B131E" w:rsidRPr="00BA7805" w:rsidRDefault="005B131E" w:rsidP="002542E1">
            <w:pPr>
              <w:pStyle w:val="ARfintablebodyrightbold8pt"/>
              <w:rPr>
                <w:bCs/>
                <w:highlight w:val="green"/>
              </w:rPr>
            </w:pPr>
            <w:r w:rsidRPr="00630A9E">
              <w:t>50.5</w:t>
            </w:r>
          </w:p>
        </w:tc>
        <w:tc>
          <w:tcPr>
            <w:tcW w:w="707" w:type="dxa"/>
          </w:tcPr>
          <w:p w14:paraId="1899CC64" w14:textId="77777777" w:rsidR="005B131E" w:rsidRPr="00630A9E" w:rsidRDefault="005B131E" w:rsidP="002542E1">
            <w:pPr>
              <w:pStyle w:val="ARfintablebodyrightbold8pt"/>
            </w:pPr>
            <w:r>
              <w:t>–</w:t>
            </w:r>
          </w:p>
        </w:tc>
        <w:tc>
          <w:tcPr>
            <w:tcW w:w="708" w:type="dxa"/>
            <w:noWrap/>
          </w:tcPr>
          <w:p w14:paraId="5F42E3EE" w14:textId="77777777" w:rsidR="005B131E" w:rsidRPr="00BA7805" w:rsidRDefault="005B131E" w:rsidP="002542E1">
            <w:pPr>
              <w:pStyle w:val="ARfintablebodyrightbold8pt"/>
              <w:rPr>
                <w:bCs/>
                <w:highlight w:val="green"/>
              </w:rPr>
            </w:pPr>
            <w:r w:rsidRPr="00630A9E">
              <w:t>48.7</w:t>
            </w:r>
          </w:p>
        </w:tc>
      </w:tr>
      <w:tr w:rsidR="005B131E" w:rsidRPr="00BA7805" w14:paraId="49A57C28" w14:textId="77777777" w:rsidTr="002542E1">
        <w:trPr>
          <w:trHeight w:val="170"/>
        </w:trPr>
        <w:tc>
          <w:tcPr>
            <w:tcW w:w="2394" w:type="dxa"/>
          </w:tcPr>
          <w:p w14:paraId="3B00D869" w14:textId="77777777" w:rsidR="005B131E" w:rsidRPr="00041FB8" w:rsidRDefault="005B131E" w:rsidP="002542E1">
            <w:pPr>
              <w:pStyle w:val="ARfintablebodybold8pt"/>
            </w:pPr>
            <w:r w:rsidRPr="00747B6C">
              <w:t>Comprehensive result</w:t>
            </w:r>
          </w:p>
        </w:tc>
        <w:tc>
          <w:tcPr>
            <w:tcW w:w="707" w:type="dxa"/>
            <w:noWrap/>
          </w:tcPr>
          <w:p w14:paraId="2A7B07EA" w14:textId="77777777" w:rsidR="005B131E" w:rsidRPr="00BA7805" w:rsidRDefault="005B131E" w:rsidP="002542E1">
            <w:pPr>
              <w:pStyle w:val="ARfintablebodyrightbold8pt"/>
              <w:rPr>
                <w:bCs/>
                <w:color w:val="000000" w:themeColor="text1"/>
                <w:highlight w:val="green"/>
              </w:rPr>
            </w:pPr>
            <w:r w:rsidRPr="00630A9E">
              <w:t>(15.7)</w:t>
            </w:r>
          </w:p>
        </w:tc>
        <w:tc>
          <w:tcPr>
            <w:tcW w:w="707" w:type="dxa"/>
            <w:noWrap/>
          </w:tcPr>
          <w:p w14:paraId="4CEB78B2" w14:textId="77777777" w:rsidR="005B131E" w:rsidRPr="00BA7805" w:rsidRDefault="005B131E" w:rsidP="002542E1">
            <w:pPr>
              <w:pStyle w:val="ARfintablebodyrightbold8pt"/>
              <w:rPr>
                <w:bCs/>
                <w:color w:val="000000" w:themeColor="text1"/>
                <w:highlight w:val="green"/>
              </w:rPr>
            </w:pPr>
            <w:r w:rsidRPr="00630A9E">
              <w:t>(18.5)</w:t>
            </w:r>
          </w:p>
        </w:tc>
        <w:tc>
          <w:tcPr>
            <w:tcW w:w="707" w:type="dxa"/>
            <w:noWrap/>
          </w:tcPr>
          <w:p w14:paraId="00821298" w14:textId="77777777" w:rsidR="005B131E" w:rsidRPr="00BA7805" w:rsidRDefault="005B131E" w:rsidP="002542E1">
            <w:pPr>
              <w:pStyle w:val="ARfintablebodyrightbold8pt"/>
              <w:rPr>
                <w:bCs/>
                <w:highlight w:val="green"/>
              </w:rPr>
            </w:pPr>
            <w:r w:rsidRPr="00630A9E">
              <w:t>8.0</w:t>
            </w:r>
          </w:p>
        </w:tc>
        <w:tc>
          <w:tcPr>
            <w:tcW w:w="707" w:type="dxa"/>
            <w:noWrap/>
          </w:tcPr>
          <w:p w14:paraId="1910011A" w14:textId="77777777" w:rsidR="005B131E" w:rsidRPr="00BA7805" w:rsidRDefault="005B131E" w:rsidP="002542E1">
            <w:pPr>
              <w:pStyle w:val="ARfintablebodyrightbold8pt"/>
              <w:rPr>
                <w:bCs/>
                <w:highlight w:val="green"/>
              </w:rPr>
            </w:pPr>
            <w:r w:rsidRPr="00630A9E">
              <w:t>(0.4)</w:t>
            </w:r>
          </w:p>
        </w:tc>
        <w:tc>
          <w:tcPr>
            <w:tcW w:w="707" w:type="dxa"/>
            <w:noWrap/>
          </w:tcPr>
          <w:p w14:paraId="1606F88C" w14:textId="77777777" w:rsidR="005B131E" w:rsidRPr="00BA7805" w:rsidRDefault="005B131E" w:rsidP="002542E1">
            <w:pPr>
              <w:pStyle w:val="ARfintablebodyrightbold8pt"/>
              <w:rPr>
                <w:bCs/>
                <w:highlight w:val="green"/>
              </w:rPr>
            </w:pPr>
            <w:r w:rsidRPr="00630A9E">
              <w:t>0.1</w:t>
            </w:r>
          </w:p>
        </w:tc>
        <w:tc>
          <w:tcPr>
            <w:tcW w:w="708" w:type="dxa"/>
            <w:noWrap/>
          </w:tcPr>
          <w:p w14:paraId="2479D762" w14:textId="77777777" w:rsidR="005B131E" w:rsidRPr="00BA7805" w:rsidRDefault="005B131E" w:rsidP="002542E1">
            <w:pPr>
              <w:pStyle w:val="ARfintablebodyrightbold8pt"/>
              <w:rPr>
                <w:bCs/>
                <w:highlight w:val="green"/>
              </w:rPr>
            </w:pPr>
            <w:r w:rsidRPr="00630A9E">
              <w:t>0.3</w:t>
            </w:r>
          </w:p>
        </w:tc>
        <w:tc>
          <w:tcPr>
            <w:tcW w:w="707" w:type="dxa"/>
            <w:noWrap/>
          </w:tcPr>
          <w:p w14:paraId="7148957D" w14:textId="77777777" w:rsidR="005B131E" w:rsidRPr="00BA7805" w:rsidRDefault="005B131E" w:rsidP="002542E1">
            <w:pPr>
              <w:pStyle w:val="ARfintablebodyrightbold8pt"/>
              <w:rPr>
                <w:bCs/>
                <w:highlight w:val="green"/>
              </w:rPr>
            </w:pPr>
            <w:r w:rsidRPr="00630A9E">
              <w:t>0.1</w:t>
            </w:r>
          </w:p>
        </w:tc>
        <w:tc>
          <w:tcPr>
            <w:tcW w:w="707" w:type="dxa"/>
            <w:noWrap/>
          </w:tcPr>
          <w:p w14:paraId="089BDE87" w14:textId="77777777" w:rsidR="005B131E" w:rsidRPr="00BA7805" w:rsidRDefault="005B131E" w:rsidP="002542E1">
            <w:pPr>
              <w:pStyle w:val="ARfintablebodyrightbold8pt"/>
              <w:rPr>
                <w:bCs/>
                <w:highlight w:val="green"/>
              </w:rPr>
            </w:pPr>
            <w:r w:rsidRPr="00630A9E">
              <w:t>(0.1)</w:t>
            </w:r>
          </w:p>
        </w:tc>
        <w:tc>
          <w:tcPr>
            <w:tcW w:w="707" w:type="dxa"/>
            <w:noWrap/>
          </w:tcPr>
          <w:p w14:paraId="5EB49185" w14:textId="77777777" w:rsidR="005B131E" w:rsidRPr="00BA7805" w:rsidRDefault="005B131E" w:rsidP="002542E1">
            <w:pPr>
              <w:pStyle w:val="ARfintablebodyrightbold8pt"/>
              <w:rPr>
                <w:bCs/>
                <w:highlight w:val="green"/>
              </w:rPr>
            </w:pPr>
            <w:r w:rsidRPr="00630A9E">
              <w:t>0.2</w:t>
            </w:r>
          </w:p>
        </w:tc>
        <w:tc>
          <w:tcPr>
            <w:tcW w:w="707" w:type="dxa"/>
            <w:noWrap/>
          </w:tcPr>
          <w:p w14:paraId="503F8929" w14:textId="77777777" w:rsidR="005B131E" w:rsidRPr="00BA7805" w:rsidRDefault="005B131E" w:rsidP="002542E1">
            <w:pPr>
              <w:pStyle w:val="ARfintablebodyrightbold8pt"/>
              <w:rPr>
                <w:bCs/>
                <w:highlight w:val="green"/>
              </w:rPr>
            </w:pPr>
            <w:r w:rsidRPr="00630A9E">
              <w:t>0.2</w:t>
            </w:r>
          </w:p>
        </w:tc>
        <w:tc>
          <w:tcPr>
            <w:tcW w:w="708" w:type="dxa"/>
            <w:noWrap/>
          </w:tcPr>
          <w:p w14:paraId="307DCEAD" w14:textId="77777777" w:rsidR="005B131E" w:rsidRPr="00BA7805" w:rsidRDefault="005B131E" w:rsidP="002542E1">
            <w:pPr>
              <w:pStyle w:val="ARfintablebodyrightbold8pt"/>
              <w:rPr>
                <w:bCs/>
                <w:highlight w:val="green"/>
              </w:rPr>
            </w:pPr>
            <w:r w:rsidRPr="00630A9E">
              <w:t>(0.4)</w:t>
            </w:r>
          </w:p>
        </w:tc>
        <w:tc>
          <w:tcPr>
            <w:tcW w:w="707" w:type="dxa"/>
            <w:noWrap/>
          </w:tcPr>
          <w:p w14:paraId="656E8216" w14:textId="77777777" w:rsidR="005B131E" w:rsidRPr="00BA7805" w:rsidRDefault="005B131E" w:rsidP="002542E1">
            <w:pPr>
              <w:pStyle w:val="ARfintablebodyrightbold8pt"/>
              <w:rPr>
                <w:bCs/>
                <w:highlight w:val="green"/>
              </w:rPr>
            </w:pPr>
            <w:r w:rsidRPr="00630A9E">
              <w:t>0.8</w:t>
            </w:r>
          </w:p>
        </w:tc>
        <w:tc>
          <w:tcPr>
            <w:tcW w:w="707" w:type="dxa"/>
            <w:noWrap/>
          </w:tcPr>
          <w:p w14:paraId="5B816B85" w14:textId="77777777" w:rsidR="005B131E" w:rsidRPr="00BA7805" w:rsidRDefault="005B131E" w:rsidP="002542E1">
            <w:pPr>
              <w:pStyle w:val="ARfintablebodyrightbold8pt"/>
              <w:rPr>
                <w:bCs/>
                <w:highlight w:val="green"/>
              </w:rPr>
            </w:pPr>
            <w:r w:rsidRPr="00630A9E">
              <w:t>(4.9)</w:t>
            </w:r>
          </w:p>
        </w:tc>
        <w:tc>
          <w:tcPr>
            <w:tcW w:w="707" w:type="dxa"/>
            <w:noWrap/>
          </w:tcPr>
          <w:p w14:paraId="0F06ABE1" w14:textId="77777777" w:rsidR="005B131E" w:rsidRPr="00BA7805" w:rsidRDefault="005B131E" w:rsidP="002542E1">
            <w:pPr>
              <w:pStyle w:val="ARfintablebodyrightbold8pt"/>
              <w:rPr>
                <w:bCs/>
                <w:highlight w:val="green"/>
              </w:rPr>
            </w:pPr>
            <w:r w:rsidRPr="00630A9E">
              <w:t>(185.7)</w:t>
            </w:r>
          </w:p>
        </w:tc>
        <w:tc>
          <w:tcPr>
            <w:tcW w:w="707" w:type="dxa"/>
          </w:tcPr>
          <w:p w14:paraId="0DFC930F" w14:textId="77777777" w:rsidR="005B131E" w:rsidRPr="00630A9E" w:rsidRDefault="005B131E" w:rsidP="002542E1">
            <w:pPr>
              <w:pStyle w:val="ARfintablebodyrightbold8pt"/>
            </w:pPr>
            <w:r>
              <w:t>–</w:t>
            </w:r>
          </w:p>
        </w:tc>
        <w:tc>
          <w:tcPr>
            <w:tcW w:w="708" w:type="dxa"/>
            <w:noWrap/>
          </w:tcPr>
          <w:p w14:paraId="2DA26265" w14:textId="77777777" w:rsidR="005B131E" w:rsidRPr="00BA7805" w:rsidRDefault="005B131E" w:rsidP="002542E1">
            <w:pPr>
              <w:pStyle w:val="ARfintablebodyrightbold8pt"/>
              <w:rPr>
                <w:bCs/>
                <w:highlight w:val="green"/>
              </w:rPr>
            </w:pPr>
            <w:r w:rsidRPr="00630A9E">
              <w:t>(216.0)</w:t>
            </w:r>
          </w:p>
        </w:tc>
      </w:tr>
    </w:tbl>
    <w:p w14:paraId="6C98DE99" w14:textId="77777777" w:rsidR="005B131E" w:rsidRPr="0031250D" w:rsidRDefault="005B131E" w:rsidP="002542E1">
      <w:pPr>
        <w:pStyle w:val="ARfintablefootnote"/>
      </w:pPr>
      <w:r w:rsidRPr="0031250D">
        <w:t>Note:</w:t>
      </w:r>
    </w:p>
    <w:p w14:paraId="3FA08C24" w14:textId="77777777" w:rsidR="005B131E" w:rsidRDefault="005B131E" w:rsidP="002542E1">
      <w:pPr>
        <w:pStyle w:val="ARfintablefootnotetabindent"/>
        <w:rPr>
          <w:highlight w:val="green"/>
        </w:rPr>
      </w:pPr>
      <w:r w:rsidRPr="00043C8A">
        <w:t xml:space="preserve">(i) </w:t>
      </w:r>
      <w:r>
        <w:tab/>
      </w:r>
      <w:r w:rsidRPr="00043C8A">
        <w:t>Refer to Note 4.1.1 for output definitions.</w:t>
      </w:r>
    </w:p>
    <w:p w14:paraId="0D2D24F6" w14:textId="77777777" w:rsidR="005B131E" w:rsidRDefault="005B131E" w:rsidP="00440F34">
      <w:pPr>
        <w:pStyle w:val="ARfintablefootnotetabindent"/>
        <w:rPr>
          <w:sz w:val="15"/>
          <w:szCs w:val="15"/>
          <w:highlight w:val="green"/>
        </w:rPr>
      </w:pPr>
      <w:r>
        <w:rPr>
          <w:sz w:val="15"/>
          <w:szCs w:val="15"/>
          <w:highlight w:val="green"/>
        </w:rPr>
        <w:br w:type="page"/>
      </w:r>
    </w:p>
    <w:p w14:paraId="17EFA9B7" w14:textId="77777777" w:rsidR="005B131E" w:rsidRDefault="005B131E" w:rsidP="00207901">
      <w:pPr>
        <w:pStyle w:val="Heading5"/>
        <w:rPr>
          <w:lang w:eastAsia="en-AU"/>
        </w:rPr>
      </w:pPr>
      <w:r w:rsidRPr="00B256CB">
        <w:rPr>
          <w:lang w:eastAsia="en-AU"/>
        </w:rPr>
        <w:t>4.1.3 Departmental outputs – Controlled assets and liabilities for the year ended 30 June 2024</w:t>
      </w:r>
    </w:p>
    <w:tbl>
      <w:tblPr>
        <w:tblStyle w:val="TableGrid"/>
        <w:tblW w:w="5000" w:type="pct"/>
        <w:tblLayout w:type="fixed"/>
        <w:tblCellMar>
          <w:right w:w="0" w:type="dxa"/>
        </w:tblCellMar>
        <w:tblLook w:val="06A0" w:firstRow="1" w:lastRow="0" w:firstColumn="1" w:lastColumn="0" w:noHBand="1" w:noVBand="1"/>
      </w:tblPr>
      <w:tblGrid>
        <w:gridCol w:w="1889"/>
        <w:gridCol w:w="738"/>
        <w:gridCol w:w="739"/>
        <w:gridCol w:w="739"/>
        <w:gridCol w:w="739"/>
        <w:gridCol w:w="738"/>
        <w:gridCol w:w="739"/>
        <w:gridCol w:w="739"/>
        <w:gridCol w:w="739"/>
        <w:gridCol w:w="738"/>
        <w:gridCol w:w="739"/>
        <w:gridCol w:w="739"/>
        <w:gridCol w:w="739"/>
        <w:gridCol w:w="738"/>
        <w:gridCol w:w="739"/>
        <w:gridCol w:w="739"/>
        <w:gridCol w:w="739"/>
      </w:tblGrid>
      <w:tr w:rsidR="005B131E" w:rsidRPr="00BA7805" w14:paraId="69203AAE" w14:textId="77777777" w:rsidTr="002542E1">
        <w:trPr>
          <w:cnfStyle w:val="100000000000" w:firstRow="1" w:lastRow="0" w:firstColumn="0" w:lastColumn="0" w:oddVBand="0" w:evenVBand="0" w:oddHBand="0" w:evenHBand="0" w:firstRowFirstColumn="0" w:firstRowLastColumn="0" w:lastRowFirstColumn="0" w:lastRowLastColumn="0"/>
          <w:trHeight w:val="170"/>
          <w:tblHeader/>
        </w:trPr>
        <w:tc>
          <w:tcPr>
            <w:tcW w:w="1889" w:type="dxa"/>
            <w:tcBorders>
              <w:bottom w:val="single" w:sz="4" w:space="0" w:color="auto"/>
            </w:tcBorders>
            <w:hideMark/>
          </w:tcPr>
          <w:p w14:paraId="604E9BBC" w14:textId="77777777" w:rsidR="005B131E" w:rsidRPr="00EA7D34" w:rsidRDefault="005B131E" w:rsidP="002542E1">
            <w:pPr>
              <w:pStyle w:val="ARfintablecolhead8"/>
              <w:rPr>
                <w:rStyle w:val="Superscript"/>
                <w:sz w:val="15"/>
              </w:rPr>
            </w:pPr>
            <w:r w:rsidRPr="00EA7D34">
              <w:t xml:space="preserve">Output </w:t>
            </w:r>
            <w:r w:rsidRPr="00EA7D34">
              <w:rPr>
                <w:rStyle w:val="Superscript"/>
                <w:sz w:val="15"/>
              </w:rPr>
              <w:t>(i)</w:t>
            </w:r>
          </w:p>
          <w:p w14:paraId="42B9555C" w14:textId="77777777" w:rsidR="005B131E" w:rsidRPr="00BA7805" w:rsidRDefault="005B131E" w:rsidP="002542E1">
            <w:pPr>
              <w:pStyle w:val="ARfintablecolhead"/>
              <w:spacing w:before="16" w:after="10" w:line="228" w:lineRule="auto"/>
              <w:ind w:right="0"/>
              <w:rPr>
                <w:rFonts w:cs="Arial"/>
                <w:sz w:val="15"/>
                <w:szCs w:val="15"/>
                <w:highlight w:val="green"/>
              </w:rPr>
            </w:pPr>
            <w:r w:rsidRPr="00EA7D34">
              <w:rPr>
                <w:rFonts w:cs="Arial"/>
                <w:sz w:val="15"/>
                <w:szCs w:val="15"/>
              </w:rPr>
              <w:t>2024</w:t>
            </w:r>
          </w:p>
        </w:tc>
        <w:tc>
          <w:tcPr>
            <w:tcW w:w="738" w:type="dxa"/>
            <w:tcBorders>
              <w:bottom w:val="single" w:sz="4" w:space="0" w:color="auto"/>
            </w:tcBorders>
            <w:hideMark/>
          </w:tcPr>
          <w:p w14:paraId="5B0C90FF" w14:textId="77777777" w:rsidR="005B131E" w:rsidRPr="00F4268B" w:rsidRDefault="005B131E" w:rsidP="002542E1">
            <w:pPr>
              <w:pStyle w:val="ARfintablecolheadright8"/>
            </w:pPr>
            <w:r w:rsidRPr="00F4268B">
              <w:t>1</w:t>
            </w:r>
          </w:p>
          <w:p w14:paraId="0C237A08"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480D2DE4" w14:textId="77777777" w:rsidR="005B131E" w:rsidRPr="00F4268B" w:rsidRDefault="005B131E" w:rsidP="002542E1">
            <w:pPr>
              <w:pStyle w:val="ARfintablecolheadright8"/>
            </w:pPr>
            <w:r w:rsidRPr="00F4268B">
              <w:t>2</w:t>
            </w:r>
          </w:p>
          <w:p w14:paraId="3CA66B61"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57724320" w14:textId="77777777" w:rsidR="005B131E" w:rsidRPr="00F4268B" w:rsidRDefault="005B131E" w:rsidP="002542E1">
            <w:pPr>
              <w:pStyle w:val="ARfintablecolheadright8"/>
            </w:pPr>
            <w:r w:rsidRPr="00F4268B">
              <w:t>3</w:t>
            </w:r>
          </w:p>
          <w:p w14:paraId="55860920"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1218FD0D" w14:textId="77777777" w:rsidR="005B131E" w:rsidRPr="00F4268B" w:rsidRDefault="005B131E" w:rsidP="002542E1">
            <w:pPr>
              <w:pStyle w:val="ARfintablecolheadright8"/>
            </w:pPr>
            <w:r w:rsidRPr="00F4268B">
              <w:t xml:space="preserve">4 </w:t>
            </w:r>
          </w:p>
          <w:p w14:paraId="63B088D4" w14:textId="77777777" w:rsidR="005B131E" w:rsidRPr="00F4268B" w:rsidRDefault="005B131E" w:rsidP="002542E1">
            <w:pPr>
              <w:pStyle w:val="ARfintablecolheadright8"/>
            </w:pPr>
            <w:r w:rsidRPr="00F4268B">
              <w:t>$M</w:t>
            </w:r>
          </w:p>
        </w:tc>
        <w:tc>
          <w:tcPr>
            <w:tcW w:w="738" w:type="dxa"/>
            <w:tcBorders>
              <w:bottom w:val="single" w:sz="4" w:space="0" w:color="auto"/>
            </w:tcBorders>
            <w:hideMark/>
          </w:tcPr>
          <w:p w14:paraId="067E1432" w14:textId="77777777" w:rsidR="005B131E" w:rsidRPr="00F4268B" w:rsidRDefault="005B131E" w:rsidP="002542E1">
            <w:pPr>
              <w:pStyle w:val="ARfintablecolheadright8"/>
            </w:pPr>
            <w:r w:rsidRPr="00F4268B">
              <w:t>5</w:t>
            </w:r>
          </w:p>
          <w:p w14:paraId="2DD97A36"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0B323E5D" w14:textId="77777777" w:rsidR="005B131E" w:rsidRPr="00F4268B" w:rsidRDefault="005B131E" w:rsidP="002542E1">
            <w:pPr>
              <w:pStyle w:val="ARfintablecolheadright8"/>
            </w:pPr>
            <w:r w:rsidRPr="00F4268B">
              <w:t>6</w:t>
            </w:r>
          </w:p>
          <w:p w14:paraId="218F39F9"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0EAFC42D" w14:textId="77777777" w:rsidR="005B131E" w:rsidRPr="00F4268B" w:rsidRDefault="005B131E" w:rsidP="002542E1">
            <w:pPr>
              <w:pStyle w:val="ARfintablecolheadright8"/>
            </w:pPr>
            <w:r w:rsidRPr="00F4268B">
              <w:t>7</w:t>
            </w:r>
          </w:p>
          <w:p w14:paraId="0805A71A"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5BE83F20" w14:textId="77777777" w:rsidR="005B131E" w:rsidRPr="00F4268B" w:rsidRDefault="005B131E" w:rsidP="002542E1">
            <w:pPr>
              <w:pStyle w:val="ARfintablecolheadright8"/>
            </w:pPr>
            <w:r w:rsidRPr="00F4268B">
              <w:t>8</w:t>
            </w:r>
          </w:p>
          <w:p w14:paraId="77CA8EAE" w14:textId="77777777" w:rsidR="005B131E" w:rsidRPr="00F4268B" w:rsidRDefault="005B131E" w:rsidP="002542E1">
            <w:pPr>
              <w:pStyle w:val="ARfintablecolheadright8"/>
            </w:pPr>
            <w:r w:rsidRPr="00F4268B">
              <w:t>$M</w:t>
            </w:r>
          </w:p>
        </w:tc>
        <w:tc>
          <w:tcPr>
            <w:tcW w:w="738" w:type="dxa"/>
            <w:tcBorders>
              <w:bottom w:val="single" w:sz="4" w:space="0" w:color="auto"/>
            </w:tcBorders>
            <w:hideMark/>
          </w:tcPr>
          <w:p w14:paraId="30D0A42B" w14:textId="77777777" w:rsidR="005B131E" w:rsidRPr="00F4268B" w:rsidRDefault="005B131E" w:rsidP="002542E1">
            <w:pPr>
              <w:pStyle w:val="ARfintablecolheadright8"/>
            </w:pPr>
            <w:r w:rsidRPr="00F4268B">
              <w:t>9</w:t>
            </w:r>
          </w:p>
          <w:p w14:paraId="4F36E24F"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0794BEA1" w14:textId="77777777" w:rsidR="005B131E" w:rsidRPr="00F4268B" w:rsidRDefault="005B131E" w:rsidP="002542E1">
            <w:pPr>
              <w:pStyle w:val="ARfintablecolheadright8"/>
            </w:pPr>
            <w:r w:rsidRPr="00F4268B">
              <w:t>10</w:t>
            </w:r>
          </w:p>
          <w:p w14:paraId="7061D65D"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7469B09B" w14:textId="77777777" w:rsidR="005B131E" w:rsidRPr="00F4268B" w:rsidRDefault="005B131E" w:rsidP="002542E1">
            <w:pPr>
              <w:pStyle w:val="ARfintablecolheadright8"/>
            </w:pPr>
            <w:r w:rsidRPr="00F4268B">
              <w:t>11</w:t>
            </w:r>
          </w:p>
          <w:p w14:paraId="15A93035"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16AB2B83" w14:textId="77777777" w:rsidR="005B131E" w:rsidRPr="00F4268B" w:rsidRDefault="005B131E" w:rsidP="002542E1">
            <w:pPr>
              <w:pStyle w:val="ARfintablecolheadright8"/>
            </w:pPr>
            <w:r w:rsidRPr="00F4268B">
              <w:t>12</w:t>
            </w:r>
          </w:p>
          <w:p w14:paraId="3FB0F44A" w14:textId="77777777" w:rsidR="005B131E" w:rsidRPr="00F4268B" w:rsidRDefault="005B131E" w:rsidP="002542E1">
            <w:pPr>
              <w:pStyle w:val="ARfintablecolheadright8"/>
            </w:pPr>
            <w:r w:rsidRPr="00F4268B">
              <w:t>$M</w:t>
            </w:r>
          </w:p>
        </w:tc>
        <w:tc>
          <w:tcPr>
            <w:tcW w:w="738" w:type="dxa"/>
            <w:tcBorders>
              <w:bottom w:val="single" w:sz="4" w:space="0" w:color="auto"/>
            </w:tcBorders>
            <w:hideMark/>
          </w:tcPr>
          <w:p w14:paraId="0298A177" w14:textId="77777777" w:rsidR="005B131E" w:rsidRPr="00F4268B" w:rsidRDefault="005B131E" w:rsidP="002542E1">
            <w:pPr>
              <w:pStyle w:val="ARfintablecolheadright8"/>
            </w:pPr>
            <w:r w:rsidRPr="00F4268B">
              <w:t>13</w:t>
            </w:r>
          </w:p>
          <w:p w14:paraId="3476F8E5" w14:textId="77777777" w:rsidR="005B131E" w:rsidRPr="00F4268B" w:rsidRDefault="005B131E" w:rsidP="002542E1">
            <w:pPr>
              <w:pStyle w:val="ARfintablecolheadright8"/>
            </w:pPr>
            <w:r w:rsidRPr="00F4268B">
              <w:t>$M</w:t>
            </w:r>
          </w:p>
        </w:tc>
        <w:tc>
          <w:tcPr>
            <w:tcW w:w="739" w:type="dxa"/>
            <w:tcBorders>
              <w:bottom w:val="single" w:sz="4" w:space="0" w:color="auto"/>
            </w:tcBorders>
            <w:hideMark/>
          </w:tcPr>
          <w:p w14:paraId="5337388B" w14:textId="77777777" w:rsidR="005B131E" w:rsidRPr="00F4268B" w:rsidRDefault="005B131E" w:rsidP="002542E1">
            <w:pPr>
              <w:pStyle w:val="ARfintablecolheadright8"/>
            </w:pPr>
            <w:r w:rsidRPr="00F4268B">
              <w:t>14</w:t>
            </w:r>
          </w:p>
          <w:p w14:paraId="088104B1" w14:textId="77777777" w:rsidR="005B131E" w:rsidRPr="00F4268B" w:rsidRDefault="005B131E" w:rsidP="002542E1">
            <w:pPr>
              <w:pStyle w:val="ARfintablecolheadright8"/>
            </w:pPr>
            <w:r w:rsidRPr="00F4268B">
              <w:t>$M</w:t>
            </w:r>
          </w:p>
        </w:tc>
        <w:tc>
          <w:tcPr>
            <w:tcW w:w="739" w:type="dxa"/>
            <w:tcBorders>
              <w:bottom w:val="single" w:sz="4" w:space="0" w:color="auto"/>
            </w:tcBorders>
          </w:tcPr>
          <w:p w14:paraId="589DA5C2" w14:textId="77777777" w:rsidR="005B131E" w:rsidRDefault="005B131E" w:rsidP="002542E1">
            <w:pPr>
              <w:pStyle w:val="ARfintablecolheadright8"/>
            </w:pPr>
            <w:r>
              <w:t>Elimin-</w:t>
            </w:r>
            <w:r>
              <w:br/>
              <w:t>ation</w:t>
            </w:r>
          </w:p>
          <w:p w14:paraId="32ECEACE" w14:textId="77777777" w:rsidR="005B131E" w:rsidRPr="00F4268B" w:rsidRDefault="005B131E" w:rsidP="002542E1">
            <w:pPr>
              <w:pStyle w:val="ARfintablecolheadright8"/>
            </w:pPr>
            <w:r>
              <w:t>$M</w:t>
            </w:r>
          </w:p>
        </w:tc>
        <w:tc>
          <w:tcPr>
            <w:tcW w:w="739" w:type="dxa"/>
            <w:tcBorders>
              <w:bottom w:val="single" w:sz="4" w:space="0" w:color="auto"/>
            </w:tcBorders>
            <w:hideMark/>
          </w:tcPr>
          <w:p w14:paraId="45F8A6D2" w14:textId="77777777" w:rsidR="005B131E" w:rsidRPr="00F4268B" w:rsidRDefault="005B131E" w:rsidP="002542E1">
            <w:pPr>
              <w:pStyle w:val="ARfintablecolheadright8"/>
            </w:pPr>
            <w:r w:rsidRPr="00F4268B">
              <w:t>Total</w:t>
            </w:r>
          </w:p>
          <w:p w14:paraId="6F2492CA" w14:textId="77777777" w:rsidR="005B131E" w:rsidRPr="00F4268B" w:rsidRDefault="005B131E" w:rsidP="002542E1">
            <w:pPr>
              <w:pStyle w:val="ARfintablecolheadright8"/>
            </w:pPr>
            <w:r w:rsidRPr="00F4268B">
              <w:t>$M</w:t>
            </w:r>
          </w:p>
        </w:tc>
      </w:tr>
      <w:tr w:rsidR="005B131E" w:rsidRPr="00BA7805" w14:paraId="5B216027" w14:textId="77777777">
        <w:trPr>
          <w:trHeight w:val="170"/>
        </w:trPr>
        <w:tc>
          <w:tcPr>
            <w:tcW w:w="13709" w:type="dxa"/>
            <w:gridSpan w:val="17"/>
            <w:tcBorders>
              <w:top w:val="single" w:sz="4" w:space="0" w:color="A6A6A6" w:themeColor="background1" w:themeShade="A6"/>
              <w:bottom w:val="single" w:sz="4" w:space="0" w:color="A6A6A6" w:themeColor="background1" w:themeShade="A6"/>
            </w:tcBorders>
            <w:shd w:val="clear" w:color="auto" w:fill="auto"/>
          </w:tcPr>
          <w:p w14:paraId="14780340" w14:textId="77777777" w:rsidR="005B131E" w:rsidRPr="00BA7805" w:rsidRDefault="005B131E" w:rsidP="002542E1">
            <w:pPr>
              <w:pStyle w:val="ARfintablebodybold8pt"/>
              <w:rPr>
                <w:highlight w:val="green"/>
              </w:rPr>
            </w:pPr>
            <w:r w:rsidRPr="000205E9">
              <w:t>Assets</w:t>
            </w:r>
          </w:p>
        </w:tc>
      </w:tr>
      <w:tr w:rsidR="005B131E" w:rsidRPr="00BA7805" w14:paraId="3643FDC4" w14:textId="77777777" w:rsidTr="002542E1">
        <w:trPr>
          <w:trHeight w:val="170"/>
        </w:trPr>
        <w:tc>
          <w:tcPr>
            <w:tcW w:w="1889" w:type="dxa"/>
            <w:tcBorders>
              <w:top w:val="single" w:sz="4" w:space="0" w:color="A6A6A6" w:themeColor="background1" w:themeShade="A6"/>
              <w:bottom w:val="single" w:sz="4" w:space="0" w:color="A6A6A6" w:themeColor="background1" w:themeShade="A6"/>
            </w:tcBorders>
            <w:shd w:val="clear" w:color="auto" w:fill="auto"/>
          </w:tcPr>
          <w:p w14:paraId="2A7290F6" w14:textId="77777777" w:rsidR="005B131E" w:rsidRPr="00BA7805" w:rsidRDefault="005B131E" w:rsidP="002542E1">
            <w:pPr>
              <w:pStyle w:val="ARfintablebody8pt"/>
              <w:rPr>
                <w:sz w:val="15"/>
                <w:highlight w:val="green"/>
              </w:rPr>
            </w:pPr>
            <w:r w:rsidRPr="00F975E0">
              <w:t>Financial assets</w:t>
            </w:r>
          </w:p>
        </w:tc>
        <w:tc>
          <w:tcPr>
            <w:tcW w:w="738" w:type="dxa"/>
            <w:tcBorders>
              <w:top w:val="single" w:sz="4" w:space="0" w:color="A6A6A6" w:themeColor="background1" w:themeShade="A6"/>
              <w:bottom w:val="single" w:sz="4" w:space="0" w:color="A6A6A6" w:themeColor="background1" w:themeShade="A6"/>
            </w:tcBorders>
            <w:noWrap/>
          </w:tcPr>
          <w:p w14:paraId="082FEA36" w14:textId="77777777" w:rsidR="005B131E" w:rsidRPr="00BA7805" w:rsidRDefault="005B131E" w:rsidP="002542E1">
            <w:pPr>
              <w:pStyle w:val="ARfintablebodyright8pt"/>
              <w:rPr>
                <w:sz w:val="15"/>
                <w:szCs w:val="15"/>
                <w:highlight w:val="green"/>
              </w:rPr>
            </w:pPr>
            <w:r w:rsidRPr="00124992">
              <w:t>258.6</w:t>
            </w:r>
          </w:p>
        </w:tc>
        <w:tc>
          <w:tcPr>
            <w:tcW w:w="739" w:type="dxa"/>
            <w:tcBorders>
              <w:top w:val="single" w:sz="4" w:space="0" w:color="A6A6A6" w:themeColor="background1" w:themeShade="A6"/>
              <w:bottom w:val="single" w:sz="4" w:space="0" w:color="A6A6A6" w:themeColor="background1" w:themeShade="A6"/>
            </w:tcBorders>
            <w:noWrap/>
          </w:tcPr>
          <w:p w14:paraId="3138DFFA" w14:textId="77777777" w:rsidR="005B131E" w:rsidRPr="00BA7805" w:rsidRDefault="005B131E" w:rsidP="002542E1">
            <w:pPr>
              <w:pStyle w:val="ARfintablebodyright8pt"/>
              <w:rPr>
                <w:sz w:val="15"/>
                <w:szCs w:val="15"/>
                <w:highlight w:val="green"/>
              </w:rPr>
            </w:pPr>
            <w:r w:rsidRPr="00124992">
              <w:t>233.6</w:t>
            </w:r>
          </w:p>
        </w:tc>
        <w:tc>
          <w:tcPr>
            <w:tcW w:w="739" w:type="dxa"/>
            <w:tcBorders>
              <w:top w:val="single" w:sz="4" w:space="0" w:color="A6A6A6" w:themeColor="background1" w:themeShade="A6"/>
              <w:bottom w:val="single" w:sz="4" w:space="0" w:color="A6A6A6" w:themeColor="background1" w:themeShade="A6"/>
            </w:tcBorders>
            <w:noWrap/>
          </w:tcPr>
          <w:p w14:paraId="6DF542CC" w14:textId="77777777" w:rsidR="005B131E" w:rsidRPr="00BA7805" w:rsidRDefault="005B131E" w:rsidP="002542E1">
            <w:pPr>
              <w:pStyle w:val="ARfintablebodyright8pt"/>
              <w:rPr>
                <w:sz w:val="15"/>
                <w:szCs w:val="15"/>
                <w:highlight w:val="green"/>
              </w:rPr>
            </w:pPr>
            <w:r w:rsidRPr="00124992">
              <w:t>207.7</w:t>
            </w:r>
          </w:p>
        </w:tc>
        <w:tc>
          <w:tcPr>
            <w:tcW w:w="739" w:type="dxa"/>
            <w:tcBorders>
              <w:top w:val="single" w:sz="4" w:space="0" w:color="A6A6A6" w:themeColor="background1" w:themeShade="A6"/>
              <w:bottom w:val="single" w:sz="4" w:space="0" w:color="A6A6A6" w:themeColor="background1" w:themeShade="A6"/>
            </w:tcBorders>
            <w:noWrap/>
          </w:tcPr>
          <w:p w14:paraId="75108929" w14:textId="77777777" w:rsidR="005B131E" w:rsidRPr="00BA7805" w:rsidRDefault="005B131E" w:rsidP="002542E1">
            <w:pPr>
              <w:pStyle w:val="ARfintablebodyright8pt"/>
              <w:rPr>
                <w:sz w:val="15"/>
                <w:szCs w:val="15"/>
                <w:highlight w:val="green"/>
              </w:rPr>
            </w:pPr>
            <w:r w:rsidRPr="00124992">
              <w:t>15.8</w:t>
            </w:r>
          </w:p>
        </w:tc>
        <w:tc>
          <w:tcPr>
            <w:tcW w:w="738" w:type="dxa"/>
            <w:tcBorders>
              <w:top w:val="single" w:sz="4" w:space="0" w:color="A6A6A6" w:themeColor="background1" w:themeShade="A6"/>
              <w:bottom w:val="single" w:sz="4" w:space="0" w:color="A6A6A6" w:themeColor="background1" w:themeShade="A6"/>
            </w:tcBorders>
            <w:noWrap/>
          </w:tcPr>
          <w:p w14:paraId="166AF03E" w14:textId="77777777" w:rsidR="005B131E" w:rsidRPr="00BA7805" w:rsidRDefault="005B131E" w:rsidP="002542E1">
            <w:pPr>
              <w:pStyle w:val="ARfintablebodyright8pt"/>
              <w:rPr>
                <w:sz w:val="15"/>
                <w:szCs w:val="15"/>
                <w:highlight w:val="green"/>
              </w:rPr>
            </w:pPr>
            <w:r w:rsidRPr="00124992">
              <w:t>15.6</w:t>
            </w:r>
          </w:p>
        </w:tc>
        <w:tc>
          <w:tcPr>
            <w:tcW w:w="739" w:type="dxa"/>
            <w:tcBorders>
              <w:top w:val="single" w:sz="4" w:space="0" w:color="A6A6A6" w:themeColor="background1" w:themeShade="A6"/>
              <w:bottom w:val="single" w:sz="4" w:space="0" w:color="A6A6A6" w:themeColor="background1" w:themeShade="A6"/>
            </w:tcBorders>
            <w:noWrap/>
          </w:tcPr>
          <w:p w14:paraId="1F8F483A" w14:textId="77777777" w:rsidR="005B131E" w:rsidRPr="00BA7805" w:rsidRDefault="005B131E" w:rsidP="002542E1">
            <w:pPr>
              <w:pStyle w:val="ARfintablebodyright8pt"/>
              <w:rPr>
                <w:sz w:val="15"/>
                <w:szCs w:val="15"/>
                <w:highlight w:val="green"/>
              </w:rPr>
            </w:pPr>
            <w:r w:rsidRPr="00124992">
              <w:t>17.7</w:t>
            </w:r>
          </w:p>
        </w:tc>
        <w:tc>
          <w:tcPr>
            <w:tcW w:w="739" w:type="dxa"/>
            <w:tcBorders>
              <w:top w:val="single" w:sz="4" w:space="0" w:color="A6A6A6" w:themeColor="background1" w:themeShade="A6"/>
              <w:bottom w:val="single" w:sz="4" w:space="0" w:color="A6A6A6" w:themeColor="background1" w:themeShade="A6"/>
            </w:tcBorders>
            <w:noWrap/>
          </w:tcPr>
          <w:p w14:paraId="56D29A68" w14:textId="77777777" w:rsidR="005B131E" w:rsidRPr="00BA7805" w:rsidRDefault="005B131E" w:rsidP="002542E1">
            <w:pPr>
              <w:pStyle w:val="ARfintablebodyright8pt"/>
              <w:rPr>
                <w:sz w:val="15"/>
                <w:szCs w:val="15"/>
                <w:highlight w:val="green"/>
              </w:rPr>
            </w:pPr>
            <w:r w:rsidRPr="00124992">
              <w:t>17.3</w:t>
            </w:r>
          </w:p>
        </w:tc>
        <w:tc>
          <w:tcPr>
            <w:tcW w:w="739" w:type="dxa"/>
            <w:tcBorders>
              <w:top w:val="single" w:sz="4" w:space="0" w:color="A6A6A6" w:themeColor="background1" w:themeShade="A6"/>
              <w:bottom w:val="single" w:sz="4" w:space="0" w:color="A6A6A6" w:themeColor="background1" w:themeShade="A6"/>
            </w:tcBorders>
            <w:noWrap/>
          </w:tcPr>
          <w:p w14:paraId="687A709B" w14:textId="77777777" w:rsidR="005B131E" w:rsidRPr="00BA7805" w:rsidRDefault="005B131E" w:rsidP="002542E1">
            <w:pPr>
              <w:pStyle w:val="ARfintablebodyright8pt"/>
              <w:rPr>
                <w:sz w:val="15"/>
                <w:szCs w:val="15"/>
                <w:highlight w:val="green"/>
              </w:rPr>
            </w:pPr>
            <w:r w:rsidRPr="00124992">
              <w:t>13.2</w:t>
            </w:r>
          </w:p>
        </w:tc>
        <w:tc>
          <w:tcPr>
            <w:tcW w:w="738" w:type="dxa"/>
            <w:tcBorders>
              <w:top w:val="single" w:sz="4" w:space="0" w:color="A6A6A6" w:themeColor="background1" w:themeShade="A6"/>
              <w:bottom w:val="single" w:sz="4" w:space="0" w:color="A6A6A6" w:themeColor="background1" w:themeShade="A6"/>
            </w:tcBorders>
            <w:noWrap/>
          </w:tcPr>
          <w:p w14:paraId="3C3EC892" w14:textId="77777777" w:rsidR="005B131E" w:rsidRPr="00BA7805" w:rsidRDefault="005B131E" w:rsidP="002542E1">
            <w:pPr>
              <w:pStyle w:val="ARfintablebodyright8pt"/>
              <w:rPr>
                <w:sz w:val="15"/>
                <w:szCs w:val="15"/>
                <w:highlight w:val="green"/>
              </w:rPr>
            </w:pPr>
            <w:r w:rsidRPr="00124992">
              <w:t>22.5</w:t>
            </w:r>
          </w:p>
        </w:tc>
        <w:tc>
          <w:tcPr>
            <w:tcW w:w="739" w:type="dxa"/>
            <w:tcBorders>
              <w:top w:val="single" w:sz="4" w:space="0" w:color="A6A6A6" w:themeColor="background1" w:themeShade="A6"/>
              <w:bottom w:val="single" w:sz="4" w:space="0" w:color="A6A6A6" w:themeColor="background1" w:themeShade="A6"/>
            </w:tcBorders>
            <w:noWrap/>
          </w:tcPr>
          <w:p w14:paraId="4FA14FD8" w14:textId="77777777" w:rsidR="005B131E" w:rsidRPr="00BA7805" w:rsidRDefault="005B131E" w:rsidP="002542E1">
            <w:pPr>
              <w:pStyle w:val="ARfintablebodyright8pt"/>
              <w:rPr>
                <w:sz w:val="15"/>
                <w:szCs w:val="15"/>
                <w:highlight w:val="green"/>
              </w:rPr>
            </w:pPr>
            <w:r w:rsidRPr="00124992">
              <w:t>43.1</w:t>
            </w:r>
          </w:p>
        </w:tc>
        <w:tc>
          <w:tcPr>
            <w:tcW w:w="739" w:type="dxa"/>
            <w:tcBorders>
              <w:top w:val="single" w:sz="4" w:space="0" w:color="A6A6A6" w:themeColor="background1" w:themeShade="A6"/>
              <w:bottom w:val="single" w:sz="4" w:space="0" w:color="A6A6A6" w:themeColor="background1" w:themeShade="A6"/>
            </w:tcBorders>
            <w:noWrap/>
          </w:tcPr>
          <w:p w14:paraId="7A810441" w14:textId="77777777" w:rsidR="005B131E" w:rsidRPr="00BA7805" w:rsidRDefault="005B131E" w:rsidP="002542E1">
            <w:pPr>
              <w:pStyle w:val="ARfintablebodyright8pt"/>
              <w:rPr>
                <w:sz w:val="15"/>
                <w:szCs w:val="15"/>
                <w:highlight w:val="green"/>
              </w:rPr>
            </w:pPr>
            <w:r w:rsidRPr="00124992">
              <w:t>35.4</w:t>
            </w:r>
          </w:p>
        </w:tc>
        <w:tc>
          <w:tcPr>
            <w:tcW w:w="739" w:type="dxa"/>
            <w:tcBorders>
              <w:top w:val="single" w:sz="4" w:space="0" w:color="A6A6A6" w:themeColor="background1" w:themeShade="A6"/>
              <w:bottom w:val="single" w:sz="4" w:space="0" w:color="A6A6A6" w:themeColor="background1" w:themeShade="A6"/>
            </w:tcBorders>
            <w:noWrap/>
          </w:tcPr>
          <w:p w14:paraId="428D3C4E" w14:textId="77777777" w:rsidR="005B131E" w:rsidRPr="00BA7805" w:rsidRDefault="005B131E" w:rsidP="002542E1">
            <w:pPr>
              <w:pStyle w:val="ARfintablebodyright8pt"/>
              <w:rPr>
                <w:sz w:val="15"/>
                <w:szCs w:val="15"/>
                <w:highlight w:val="green"/>
              </w:rPr>
            </w:pPr>
            <w:r w:rsidRPr="00124992">
              <w:t>20.1</w:t>
            </w:r>
          </w:p>
        </w:tc>
        <w:tc>
          <w:tcPr>
            <w:tcW w:w="738" w:type="dxa"/>
            <w:tcBorders>
              <w:top w:val="single" w:sz="4" w:space="0" w:color="A6A6A6" w:themeColor="background1" w:themeShade="A6"/>
              <w:bottom w:val="single" w:sz="4" w:space="0" w:color="A6A6A6" w:themeColor="background1" w:themeShade="A6"/>
            </w:tcBorders>
            <w:noWrap/>
          </w:tcPr>
          <w:p w14:paraId="3F4F5E91" w14:textId="77777777" w:rsidR="005B131E" w:rsidRPr="00BA7805" w:rsidRDefault="005B131E" w:rsidP="002542E1">
            <w:pPr>
              <w:pStyle w:val="ARfintablebodyright8pt"/>
              <w:rPr>
                <w:sz w:val="15"/>
                <w:szCs w:val="15"/>
                <w:highlight w:val="green"/>
              </w:rPr>
            </w:pPr>
            <w:r w:rsidRPr="00124992">
              <w:t>65.1</w:t>
            </w:r>
          </w:p>
        </w:tc>
        <w:tc>
          <w:tcPr>
            <w:tcW w:w="739" w:type="dxa"/>
            <w:tcBorders>
              <w:top w:val="single" w:sz="4" w:space="0" w:color="A6A6A6" w:themeColor="background1" w:themeShade="A6"/>
              <w:bottom w:val="single" w:sz="4" w:space="0" w:color="A6A6A6" w:themeColor="background1" w:themeShade="A6"/>
            </w:tcBorders>
            <w:noWrap/>
          </w:tcPr>
          <w:p w14:paraId="62EBBF88" w14:textId="77777777" w:rsidR="005B131E" w:rsidRPr="00BA7805" w:rsidRDefault="005B131E" w:rsidP="002542E1">
            <w:pPr>
              <w:pStyle w:val="ARfintablebodyright8pt"/>
              <w:rPr>
                <w:sz w:val="15"/>
                <w:szCs w:val="15"/>
                <w:highlight w:val="green"/>
              </w:rPr>
            </w:pPr>
            <w:r w:rsidRPr="00124992">
              <w:t>953.9</w:t>
            </w:r>
          </w:p>
        </w:tc>
        <w:tc>
          <w:tcPr>
            <w:tcW w:w="739" w:type="dxa"/>
            <w:tcBorders>
              <w:top w:val="single" w:sz="4" w:space="0" w:color="A6A6A6" w:themeColor="background1" w:themeShade="A6"/>
              <w:bottom w:val="single" w:sz="4" w:space="0" w:color="A6A6A6" w:themeColor="background1" w:themeShade="A6"/>
            </w:tcBorders>
          </w:tcPr>
          <w:p w14:paraId="091FC2F7" w14:textId="77777777" w:rsidR="005B131E" w:rsidRPr="00124992" w:rsidRDefault="005B131E" w:rsidP="002542E1">
            <w:pPr>
              <w:pStyle w:val="ARfintablebodyright8pt"/>
            </w:pPr>
            <w:r>
              <w:t>(8.6)</w:t>
            </w:r>
          </w:p>
        </w:tc>
        <w:tc>
          <w:tcPr>
            <w:tcW w:w="739" w:type="dxa"/>
            <w:tcBorders>
              <w:top w:val="single" w:sz="4" w:space="0" w:color="A6A6A6" w:themeColor="background1" w:themeShade="A6"/>
              <w:bottom w:val="single" w:sz="4" w:space="0" w:color="A6A6A6" w:themeColor="background1" w:themeShade="A6"/>
            </w:tcBorders>
            <w:noWrap/>
          </w:tcPr>
          <w:p w14:paraId="22872931" w14:textId="77777777" w:rsidR="005B131E" w:rsidRPr="00BA7805" w:rsidRDefault="005B131E" w:rsidP="002542E1">
            <w:pPr>
              <w:pStyle w:val="ARfintablebodyright8pt"/>
              <w:rPr>
                <w:sz w:val="15"/>
                <w:szCs w:val="15"/>
                <w:highlight w:val="green"/>
              </w:rPr>
            </w:pPr>
            <w:r w:rsidRPr="00124992">
              <w:t>1,910.9</w:t>
            </w:r>
          </w:p>
        </w:tc>
      </w:tr>
      <w:tr w:rsidR="005B131E" w:rsidRPr="00BA7805" w14:paraId="3994B7E1" w14:textId="77777777" w:rsidTr="002542E1">
        <w:trPr>
          <w:trHeight w:val="170"/>
        </w:trPr>
        <w:tc>
          <w:tcPr>
            <w:tcW w:w="1889" w:type="dxa"/>
            <w:tcBorders>
              <w:top w:val="single" w:sz="4" w:space="0" w:color="A6A6A6" w:themeColor="background1" w:themeShade="A6"/>
              <w:bottom w:val="single" w:sz="4" w:space="0" w:color="000000" w:themeColor="text1"/>
            </w:tcBorders>
            <w:shd w:val="clear" w:color="auto" w:fill="auto"/>
          </w:tcPr>
          <w:p w14:paraId="696B0E2F" w14:textId="77777777" w:rsidR="005B131E" w:rsidRPr="00F975E0" w:rsidRDefault="005B131E" w:rsidP="002542E1">
            <w:pPr>
              <w:pStyle w:val="ARfintablebody8pt"/>
            </w:pPr>
            <w:r w:rsidRPr="00F975E0">
              <w:t>Non-financial assets</w:t>
            </w:r>
          </w:p>
        </w:tc>
        <w:tc>
          <w:tcPr>
            <w:tcW w:w="738" w:type="dxa"/>
            <w:tcBorders>
              <w:top w:val="single" w:sz="4" w:space="0" w:color="A6A6A6" w:themeColor="background1" w:themeShade="A6"/>
              <w:bottom w:val="single" w:sz="4" w:space="0" w:color="000000" w:themeColor="text1"/>
            </w:tcBorders>
            <w:noWrap/>
          </w:tcPr>
          <w:p w14:paraId="4B0C13F0" w14:textId="77777777" w:rsidR="005B131E" w:rsidRPr="00BA7805" w:rsidRDefault="005B131E" w:rsidP="002542E1">
            <w:pPr>
              <w:pStyle w:val="ARfintablebodyright8pt"/>
              <w:rPr>
                <w:sz w:val="15"/>
                <w:szCs w:val="15"/>
                <w:highlight w:val="green"/>
              </w:rPr>
            </w:pPr>
            <w:r w:rsidRPr="00124992">
              <w:t>1,244.5</w:t>
            </w:r>
          </w:p>
        </w:tc>
        <w:tc>
          <w:tcPr>
            <w:tcW w:w="739" w:type="dxa"/>
            <w:tcBorders>
              <w:top w:val="single" w:sz="4" w:space="0" w:color="A6A6A6" w:themeColor="background1" w:themeShade="A6"/>
              <w:bottom w:val="single" w:sz="4" w:space="0" w:color="000000" w:themeColor="text1"/>
            </w:tcBorders>
            <w:noWrap/>
          </w:tcPr>
          <w:p w14:paraId="2965C97D" w14:textId="77777777" w:rsidR="005B131E" w:rsidRPr="00BA7805" w:rsidRDefault="005B131E" w:rsidP="002542E1">
            <w:pPr>
              <w:pStyle w:val="ARfintablebodyright8pt"/>
              <w:rPr>
                <w:sz w:val="15"/>
                <w:szCs w:val="15"/>
                <w:highlight w:val="green"/>
              </w:rPr>
            </w:pPr>
            <w:r w:rsidRPr="00124992">
              <w:t>344.4</w:t>
            </w:r>
          </w:p>
        </w:tc>
        <w:tc>
          <w:tcPr>
            <w:tcW w:w="739" w:type="dxa"/>
            <w:tcBorders>
              <w:top w:val="single" w:sz="4" w:space="0" w:color="A6A6A6" w:themeColor="background1" w:themeShade="A6"/>
              <w:bottom w:val="single" w:sz="4" w:space="0" w:color="000000" w:themeColor="text1"/>
            </w:tcBorders>
            <w:noWrap/>
          </w:tcPr>
          <w:p w14:paraId="40EF7815" w14:textId="77777777" w:rsidR="005B131E" w:rsidRPr="00BA7805" w:rsidRDefault="005B131E" w:rsidP="002542E1">
            <w:pPr>
              <w:pStyle w:val="ARfintablebodyright8pt"/>
              <w:rPr>
                <w:sz w:val="15"/>
                <w:szCs w:val="15"/>
                <w:highlight w:val="green"/>
              </w:rPr>
            </w:pPr>
            <w:r w:rsidRPr="00124992">
              <w:t>0.1</w:t>
            </w:r>
          </w:p>
        </w:tc>
        <w:tc>
          <w:tcPr>
            <w:tcW w:w="739" w:type="dxa"/>
            <w:tcBorders>
              <w:top w:val="single" w:sz="4" w:space="0" w:color="A6A6A6" w:themeColor="background1" w:themeShade="A6"/>
              <w:bottom w:val="single" w:sz="4" w:space="0" w:color="000000" w:themeColor="text1"/>
            </w:tcBorders>
            <w:noWrap/>
          </w:tcPr>
          <w:p w14:paraId="3DDE95E5" w14:textId="77777777" w:rsidR="005B131E" w:rsidRPr="00BA7805" w:rsidRDefault="005B131E" w:rsidP="002542E1">
            <w:pPr>
              <w:pStyle w:val="ARfintablebodyright8pt"/>
              <w:rPr>
                <w:sz w:val="15"/>
                <w:szCs w:val="15"/>
                <w:highlight w:val="green"/>
              </w:rPr>
            </w:pPr>
            <w:r w:rsidRPr="00D10566">
              <w:t>–</w:t>
            </w:r>
          </w:p>
        </w:tc>
        <w:tc>
          <w:tcPr>
            <w:tcW w:w="738" w:type="dxa"/>
            <w:tcBorders>
              <w:top w:val="single" w:sz="4" w:space="0" w:color="A6A6A6" w:themeColor="background1" w:themeShade="A6"/>
              <w:bottom w:val="single" w:sz="4" w:space="0" w:color="000000" w:themeColor="text1"/>
            </w:tcBorders>
            <w:noWrap/>
          </w:tcPr>
          <w:p w14:paraId="1F294AFC" w14:textId="77777777" w:rsidR="005B131E" w:rsidRPr="00BA7805" w:rsidRDefault="005B131E" w:rsidP="002542E1">
            <w:pPr>
              <w:pStyle w:val="ARfintablebodyright8pt"/>
              <w:rPr>
                <w:sz w:val="15"/>
                <w:szCs w:val="15"/>
                <w:highlight w:val="green"/>
              </w:rPr>
            </w:pPr>
            <w:r w:rsidRPr="00D10566">
              <w:t>–</w:t>
            </w:r>
          </w:p>
        </w:tc>
        <w:tc>
          <w:tcPr>
            <w:tcW w:w="739" w:type="dxa"/>
            <w:tcBorders>
              <w:top w:val="single" w:sz="4" w:space="0" w:color="A6A6A6" w:themeColor="background1" w:themeShade="A6"/>
              <w:bottom w:val="single" w:sz="4" w:space="0" w:color="000000" w:themeColor="text1"/>
            </w:tcBorders>
            <w:noWrap/>
          </w:tcPr>
          <w:p w14:paraId="0E2E6264" w14:textId="77777777" w:rsidR="005B131E" w:rsidRPr="00BA7805" w:rsidRDefault="005B131E" w:rsidP="002542E1">
            <w:pPr>
              <w:pStyle w:val="ARfintablebodyright8pt"/>
              <w:rPr>
                <w:sz w:val="15"/>
                <w:szCs w:val="15"/>
                <w:highlight w:val="green"/>
              </w:rPr>
            </w:pPr>
            <w:r w:rsidRPr="00124992">
              <w:t>0.3</w:t>
            </w:r>
          </w:p>
        </w:tc>
        <w:tc>
          <w:tcPr>
            <w:tcW w:w="739" w:type="dxa"/>
            <w:tcBorders>
              <w:top w:val="single" w:sz="4" w:space="0" w:color="A6A6A6" w:themeColor="background1" w:themeShade="A6"/>
              <w:bottom w:val="single" w:sz="4" w:space="0" w:color="000000" w:themeColor="text1"/>
            </w:tcBorders>
            <w:noWrap/>
          </w:tcPr>
          <w:p w14:paraId="24815CB0" w14:textId="77777777" w:rsidR="005B131E" w:rsidRPr="00BA7805" w:rsidRDefault="005B131E" w:rsidP="002542E1">
            <w:pPr>
              <w:pStyle w:val="ARfintablebodyright8pt"/>
              <w:rPr>
                <w:sz w:val="15"/>
                <w:szCs w:val="15"/>
                <w:highlight w:val="green"/>
              </w:rPr>
            </w:pPr>
            <w:r w:rsidRPr="00A403F6">
              <w:t>–</w:t>
            </w:r>
          </w:p>
        </w:tc>
        <w:tc>
          <w:tcPr>
            <w:tcW w:w="739" w:type="dxa"/>
            <w:tcBorders>
              <w:top w:val="single" w:sz="4" w:space="0" w:color="A6A6A6" w:themeColor="background1" w:themeShade="A6"/>
              <w:bottom w:val="single" w:sz="4" w:space="0" w:color="000000" w:themeColor="text1"/>
            </w:tcBorders>
            <w:noWrap/>
          </w:tcPr>
          <w:p w14:paraId="11CD94EC" w14:textId="77777777" w:rsidR="005B131E" w:rsidRPr="00BA7805" w:rsidRDefault="005B131E" w:rsidP="002542E1">
            <w:pPr>
              <w:pStyle w:val="ARfintablebodyright8pt"/>
              <w:rPr>
                <w:sz w:val="15"/>
                <w:szCs w:val="15"/>
                <w:highlight w:val="green"/>
              </w:rPr>
            </w:pPr>
            <w:r w:rsidRPr="00A403F6">
              <w:t>–</w:t>
            </w:r>
          </w:p>
        </w:tc>
        <w:tc>
          <w:tcPr>
            <w:tcW w:w="738" w:type="dxa"/>
            <w:tcBorders>
              <w:top w:val="single" w:sz="4" w:space="0" w:color="A6A6A6" w:themeColor="background1" w:themeShade="A6"/>
              <w:bottom w:val="single" w:sz="4" w:space="0" w:color="000000" w:themeColor="text1"/>
            </w:tcBorders>
            <w:noWrap/>
          </w:tcPr>
          <w:p w14:paraId="16D6D211" w14:textId="77777777" w:rsidR="005B131E" w:rsidRPr="00BA7805" w:rsidRDefault="005B131E" w:rsidP="002542E1">
            <w:pPr>
              <w:pStyle w:val="ARfintablebodyright8pt"/>
              <w:rPr>
                <w:sz w:val="15"/>
                <w:szCs w:val="15"/>
                <w:highlight w:val="green"/>
              </w:rPr>
            </w:pPr>
            <w:r w:rsidRPr="00124992">
              <w:t>2.3</w:t>
            </w:r>
          </w:p>
        </w:tc>
        <w:tc>
          <w:tcPr>
            <w:tcW w:w="739" w:type="dxa"/>
            <w:tcBorders>
              <w:top w:val="single" w:sz="4" w:space="0" w:color="A6A6A6" w:themeColor="background1" w:themeShade="A6"/>
              <w:bottom w:val="single" w:sz="4" w:space="0" w:color="000000" w:themeColor="text1"/>
            </w:tcBorders>
            <w:noWrap/>
          </w:tcPr>
          <w:p w14:paraId="4A458FB8" w14:textId="77777777" w:rsidR="005B131E" w:rsidRPr="00BA7805" w:rsidRDefault="005B131E" w:rsidP="002542E1">
            <w:pPr>
              <w:pStyle w:val="ARfintablebodyright8pt"/>
              <w:rPr>
                <w:sz w:val="15"/>
                <w:szCs w:val="15"/>
                <w:highlight w:val="green"/>
              </w:rPr>
            </w:pPr>
            <w:r>
              <w:t>–</w:t>
            </w:r>
          </w:p>
        </w:tc>
        <w:tc>
          <w:tcPr>
            <w:tcW w:w="739" w:type="dxa"/>
            <w:tcBorders>
              <w:top w:val="single" w:sz="4" w:space="0" w:color="A6A6A6" w:themeColor="background1" w:themeShade="A6"/>
              <w:bottom w:val="single" w:sz="4" w:space="0" w:color="000000" w:themeColor="text1"/>
            </w:tcBorders>
            <w:noWrap/>
          </w:tcPr>
          <w:p w14:paraId="69A772DD" w14:textId="77777777" w:rsidR="005B131E" w:rsidRPr="00BA7805" w:rsidRDefault="005B131E" w:rsidP="002542E1">
            <w:pPr>
              <w:pStyle w:val="ARfintablebodyright8pt"/>
              <w:rPr>
                <w:sz w:val="15"/>
                <w:szCs w:val="15"/>
                <w:highlight w:val="green"/>
              </w:rPr>
            </w:pPr>
            <w:r w:rsidRPr="00124992">
              <w:t>0.3</w:t>
            </w:r>
          </w:p>
        </w:tc>
        <w:tc>
          <w:tcPr>
            <w:tcW w:w="739" w:type="dxa"/>
            <w:tcBorders>
              <w:top w:val="single" w:sz="4" w:space="0" w:color="A6A6A6" w:themeColor="background1" w:themeShade="A6"/>
              <w:bottom w:val="single" w:sz="4" w:space="0" w:color="000000" w:themeColor="text1"/>
            </w:tcBorders>
            <w:noWrap/>
          </w:tcPr>
          <w:p w14:paraId="57EE6D23" w14:textId="77777777" w:rsidR="005B131E" w:rsidRPr="00BA7805" w:rsidRDefault="005B131E" w:rsidP="002542E1">
            <w:pPr>
              <w:pStyle w:val="ARfintablebodyright8pt"/>
              <w:rPr>
                <w:sz w:val="15"/>
                <w:szCs w:val="15"/>
                <w:highlight w:val="green"/>
              </w:rPr>
            </w:pPr>
            <w:r>
              <w:t>–</w:t>
            </w:r>
          </w:p>
        </w:tc>
        <w:tc>
          <w:tcPr>
            <w:tcW w:w="738" w:type="dxa"/>
            <w:tcBorders>
              <w:top w:val="single" w:sz="4" w:space="0" w:color="A6A6A6" w:themeColor="background1" w:themeShade="A6"/>
              <w:bottom w:val="single" w:sz="4" w:space="0" w:color="000000" w:themeColor="text1"/>
            </w:tcBorders>
            <w:noWrap/>
          </w:tcPr>
          <w:p w14:paraId="70DDC449" w14:textId="77777777" w:rsidR="005B131E" w:rsidRPr="00BA7805" w:rsidRDefault="005B131E" w:rsidP="002542E1">
            <w:pPr>
              <w:pStyle w:val="ARfintablebodyright8pt"/>
              <w:rPr>
                <w:sz w:val="15"/>
                <w:szCs w:val="15"/>
                <w:highlight w:val="green"/>
              </w:rPr>
            </w:pPr>
            <w:r w:rsidRPr="00124992">
              <w:t>63.1</w:t>
            </w:r>
          </w:p>
        </w:tc>
        <w:tc>
          <w:tcPr>
            <w:tcW w:w="739" w:type="dxa"/>
            <w:tcBorders>
              <w:top w:val="single" w:sz="4" w:space="0" w:color="A6A6A6" w:themeColor="background1" w:themeShade="A6"/>
              <w:bottom w:val="single" w:sz="4" w:space="0" w:color="000000" w:themeColor="text1"/>
            </w:tcBorders>
            <w:noWrap/>
          </w:tcPr>
          <w:p w14:paraId="06C005EE" w14:textId="77777777" w:rsidR="005B131E" w:rsidRPr="00BA7805" w:rsidRDefault="005B131E" w:rsidP="002542E1">
            <w:pPr>
              <w:pStyle w:val="ARfintablebodyright8pt"/>
              <w:rPr>
                <w:sz w:val="15"/>
                <w:szCs w:val="15"/>
                <w:highlight w:val="green"/>
              </w:rPr>
            </w:pPr>
            <w:r w:rsidRPr="00124992">
              <w:t>36,929.4</w:t>
            </w:r>
          </w:p>
        </w:tc>
        <w:tc>
          <w:tcPr>
            <w:tcW w:w="739" w:type="dxa"/>
            <w:tcBorders>
              <w:top w:val="single" w:sz="4" w:space="0" w:color="A6A6A6" w:themeColor="background1" w:themeShade="A6"/>
              <w:bottom w:val="single" w:sz="4" w:space="0" w:color="000000" w:themeColor="text1"/>
            </w:tcBorders>
          </w:tcPr>
          <w:p w14:paraId="0FB03409" w14:textId="77777777" w:rsidR="005B131E" w:rsidRPr="00124992" w:rsidRDefault="005B131E" w:rsidP="002542E1">
            <w:pPr>
              <w:pStyle w:val="ARfintablebodyright8pt"/>
            </w:pPr>
          </w:p>
        </w:tc>
        <w:tc>
          <w:tcPr>
            <w:tcW w:w="739" w:type="dxa"/>
            <w:tcBorders>
              <w:top w:val="single" w:sz="4" w:space="0" w:color="A6A6A6" w:themeColor="background1" w:themeShade="A6"/>
              <w:bottom w:val="single" w:sz="4" w:space="0" w:color="000000" w:themeColor="text1"/>
            </w:tcBorders>
            <w:noWrap/>
          </w:tcPr>
          <w:p w14:paraId="75C8F610" w14:textId="77777777" w:rsidR="005B131E" w:rsidRPr="00BA7805" w:rsidRDefault="005B131E" w:rsidP="002542E1">
            <w:pPr>
              <w:pStyle w:val="ARfintablebodyright8pt"/>
              <w:rPr>
                <w:sz w:val="15"/>
                <w:szCs w:val="15"/>
                <w:highlight w:val="green"/>
              </w:rPr>
            </w:pPr>
            <w:r w:rsidRPr="00124992">
              <w:t>38,584.5</w:t>
            </w:r>
          </w:p>
        </w:tc>
      </w:tr>
      <w:tr w:rsidR="005B131E" w:rsidRPr="00BA7805" w14:paraId="3F53FE82" w14:textId="77777777" w:rsidTr="002542E1">
        <w:trPr>
          <w:trHeight w:val="170"/>
        </w:trPr>
        <w:tc>
          <w:tcPr>
            <w:tcW w:w="1889" w:type="dxa"/>
            <w:tcBorders>
              <w:top w:val="single" w:sz="4" w:space="0" w:color="000000" w:themeColor="text1"/>
              <w:bottom w:val="single" w:sz="4" w:space="0" w:color="000000" w:themeColor="text1"/>
            </w:tcBorders>
            <w:shd w:val="clear" w:color="auto" w:fill="auto"/>
          </w:tcPr>
          <w:p w14:paraId="195EF427" w14:textId="77777777" w:rsidR="005B131E" w:rsidRPr="00BA7805" w:rsidRDefault="005B131E" w:rsidP="002542E1">
            <w:pPr>
              <w:pStyle w:val="ARfintablebodybold8pt"/>
              <w:rPr>
                <w:sz w:val="15"/>
                <w:highlight w:val="green"/>
              </w:rPr>
            </w:pPr>
            <w:r w:rsidRPr="00F975E0">
              <w:t>Total assets</w:t>
            </w:r>
          </w:p>
        </w:tc>
        <w:tc>
          <w:tcPr>
            <w:tcW w:w="738" w:type="dxa"/>
            <w:tcBorders>
              <w:top w:val="single" w:sz="4" w:space="0" w:color="000000" w:themeColor="text1"/>
              <w:bottom w:val="single" w:sz="4" w:space="0" w:color="000000" w:themeColor="text1"/>
            </w:tcBorders>
            <w:noWrap/>
          </w:tcPr>
          <w:p w14:paraId="6AC94598" w14:textId="77777777" w:rsidR="005B131E" w:rsidRPr="00A74DB7" w:rsidRDefault="005B131E" w:rsidP="002542E1">
            <w:pPr>
              <w:pStyle w:val="ARfintablebodyrightbold8pt"/>
              <w:rPr>
                <w:highlight w:val="green"/>
              </w:rPr>
            </w:pPr>
            <w:r w:rsidRPr="00A74DB7">
              <w:t>1,503.1</w:t>
            </w:r>
          </w:p>
        </w:tc>
        <w:tc>
          <w:tcPr>
            <w:tcW w:w="739" w:type="dxa"/>
            <w:tcBorders>
              <w:top w:val="single" w:sz="4" w:space="0" w:color="000000" w:themeColor="text1"/>
              <w:bottom w:val="single" w:sz="4" w:space="0" w:color="000000" w:themeColor="text1"/>
            </w:tcBorders>
            <w:noWrap/>
          </w:tcPr>
          <w:p w14:paraId="467FD8B9" w14:textId="77777777" w:rsidR="005B131E" w:rsidRPr="00A74DB7" w:rsidRDefault="005B131E" w:rsidP="002542E1">
            <w:pPr>
              <w:pStyle w:val="ARfintablebodyrightbold8pt"/>
              <w:rPr>
                <w:highlight w:val="green"/>
              </w:rPr>
            </w:pPr>
            <w:r w:rsidRPr="00A74DB7">
              <w:t>578.0</w:t>
            </w:r>
          </w:p>
        </w:tc>
        <w:tc>
          <w:tcPr>
            <w:tcW w:w="739" w:type="dxa"/>
            <w:tcBorders>
              <w:top w:val="single" w:sz="4" w:space="0" w:color="000000" w:themeColor="text1"/>
              <w:bottom w:val="single" w:sz="4" w:space="0" w:color="000000" w:themeColor="text1"/>
            </w:tcBorders>
            <w:noWrap/>
          </w:tcPr>
          <w:p w14:paraId="31A9F877" w14:textId="77777777" w:rsidR="005B131E" w:rsidRPr="00A74DB7" w:rsidRDefault="005B131E" w:rsidP="002542E1">
            <w:pPr>
              <w:pStyle w:val="ARfintablebodyrightbold8pt"/>
              <w:rPr>
                <w:highlight w:val="green"/>
              </w:rPr>
            </w:pPr>
            <w:r w:rsidRPr="00A74DB7">
              <w:t>207.8</w:t>
            </w:r>
          </w:p>
        </w:tc>
        <w:tc>
          <w:tcPr>
            <w:tcW w:w="739" w:type="dxa"/>
            <w:tcBorders>
              <w:top w:val="single" w:sz="4" w:space="0" w:color="000000" w:themeColor="text1"/>
              <w:bottom w:val="single" w:sz="4" w:space="0" w:color="000000" w:themeColor="text1"/>
            </w:tcBorders>
            <w:noWrap/>
          </w:tcPr>
          <w:p w14:paraId="60ADBD1A" w14:textId="77777777" w:rsidR="005B131E" w:rsidRPr="00A74DB7" w:rsidRDefault="005B131E" w:rsidP="002542E1">
            <w:pPr>
              <w:pStyle w:val="ARfintablebodyrightbold8pt"/>
              <w:rPr>
                <w:highlight w:val="green"/>
              </w:rPr>
            </w:pPr>
            <w:r w:rsidRPr="00A74DB7">
              <w:t>15.8</w:t>
            </w:r>
          </w:p>
        </w:tc>
        <w:tc>
          <w:tcPr>
            <w:tcW w:w="738" w:type="dxa"/>
            <w:tcBorders>
              <w:top w:val="single" w:sz="4" w:space="0" w:color="000000" w:themeColor="text1"/>
              <w:bottom w:val="single" w:sz="4" w:space="0" w:color="000000" w:themeColor="text1"/>
            </w:tcBorders>
            <w:noWrap/>
          </w:tcPr>
          <w:p w14:paraId="043C806A" w14:textId="77777777" w:rsidR="005B131E" w:rsidRPr="00A74DB7" w:rsidRDefault="005B131E" w:rsidP="002542E1">
            <w:pPr>
              <w:pStyle w:val="ARfintablebodyrightbold8pt"/>
              <w:rPr>
                <w:highlight w:val="green"/>
              </w:rPr>
            </w:pPr>
            <w:r w:rsidRPr="00A74DB7">
              <w:t>15.6</w:t>
            </w:r>
          </w:p>
        </w:tc>
        <w:tc>
          <w:tcPr>
            <w:tcW w:w="739" w:type="dxa"/>
            <w:tcBorders>
              <w:top w:val="single" w:sz="4" w:space="0" w:color="000000" w:themeColor="text1"/>
              <w:bottom w:val="single" w:sz="4" w:space="0" w:color="000000" w:themeColor="text1"/>
            </w:tcBorders>
            <w:noWrap/>
          </w:tcPr>
          <w:p w14:paraId="2017208D" w14:textId="77777777" w:rsidR="005B131E" w:rsidRPr="00A74DB7" w:rsidRDefault="005B131E" w:rsidP="002542E1">
            <w:pPr>
              <w:pStyle w:val="ARfintablebodyrightbold8pt"/>
              <w:rPr>
                <w:highlight w:val="green"/>
              </w:rPr>
            </w:pPr>
            <w:r w:rsidRPr="00A74DB7">
              <w:t>18.0</w:t>
            </w:r>
          </w:p>
        </w:tc>
        <w:tc>
          <w:tcPr>
            <w:tcW w:w="739" w:type="dxa"/>
            <w:tcBorders>
              <w:top w:val="single" w:sz="4" w:space="0" w:color="000000" w:themeColor="text1"/>
              <w:bottom w:val="single" w:sz="4" w:space="0" w:color="000000" w:themeColor="text1"/>
            </w:tcBorders>
            <w:noWrap/>
          </w:tcPr>
          <w:p w14:paraId="324883FC" w14:textId="77777777" w:rsidR="005B131E" w:rsidRPr="00A74DB7" w:rsidRDefault="005B131E" w:rsidP="002542E1">
            <w:pPr>
              <w:pStyle w:val="ARfintablebodyrightbold8pt"/>
              <w:rPr>
                <w:highlight w:val="green"/>
              </w:rPr>
            </w:pPr>
            <w:r w:rsidRPr="00A74DB7">
              <w:t>17.2</w:t>
            </w:r>
          </w:p>
        </w:tc>
        <w:tc>
          <w:tcPr>
            <w:tcW w:w="739" w:type="dxa"/>
            <w:tcBorders>
              <w:top w:val="single" w:sz="4" w:space="0" w:color="000000" w:themeColor="text1"/>
              <w:bottom w:val="single" w:sz="4" w:space="0" w:color="000000" w:themeColor="text1"/>
            </w:tcBorders>
            <w:noWrap/>
          </w:tcPr>
          <w:p w14:paraId="22FC2E52" w14:textId="77777777" w:rsidR="005B131E" w:rsidRPr="00A74DB7" w:rsidRDefault="005B131E" w:rsidP="002542E1">
            <w:pPr>
              <w:pStyle w:val="ARfintablebodyrightbold8pt"/>
              <w:rPr>
                <w:highlight w:val="green"/>
              </w:rPr>
            </w:pPr>
            <w:r w:rsidRPr="00A74DB7">
              <w:t>13.2</w:t>
            </w:r>
          </w:p>
        </w:tc>
        <w:tc>
          <w:tcPr>
            <w:tcW w:w="738" w:type="dxa"/>
            <w:tcBorders>
              <w:top w:val="single" w:sz="4" w:space="0" w:color="000000" w:themeColor="text1"/>
              <w:bottom w:val="single" w:sz="4" w:space="0" w:color="000000" w:themeColor="text1"/>
            </w:tcBorders>
            <w:noWrap/>
          </w:tcPr>
          <w:p w14:paraId="3F89B61D" w14:textId="77777777" w:rsidR="005B131E" w:rsidRPr="00A74DB7" w:rsidRDefault="005B131E" w:rsidP="002542E1">
            <w:pPr>
              <w:pStyle w:val="ARfintablebodyrightbold8pt"/>
              <w:rPr>
                <w:highlight w:val="green"/>
              </w:rPr>
            </w:pPr>
            <w:r w:rsidRPr="00A74DB7">
              <w:t>24.9</w:t>
            </w:r>
          </w:p>
        </w:tc>
        <w:tc>
          <w:tcPr>
            <w:tcW w:w="739" w:type="dxa"/>
            <w:tcBorders>
              <w:top w:val="single" w:sz="4" w:space="0" w:color="000000" w:themeColor="text1"/>
              <w:bottom w:val="single" w:sz="4" w:space="0" w:color="000000" w:themeColor="text1"/>
            </w:tcBorders>
            <w:noWrap/>
          </w:tcPr>
          <w:p w14:paraId="211C4476" w14:textId="77777777" w:rsidR="005B131E" w:rsidRPr="00A74DB7" w:rsidRDefault="005B131E" w:rsidP="002542E1">
            <w:pPr>
              <w:pStyle w:val="ARfintablebodyrightbold8pt"/>
              <w:rPr>
                <w:highlight w:val="green"/>
              </w:rPr>
            </w:pPr>
            <w:r w:rsidRPr="00A74DB7">
              <w:t>43.1</w:t>
            </w:r>
          </w:p>
        </w:tc>
        <w:tc>
          <w:tcPr>
            <w:tcW w:w="739" w:type="dxa"/>
            <w:tcBorders>
              <w:top w:val="single" w:sz="4" w:space="0" w:color="000000" w:themeColor="text1"/>
              <w:bottom w:val="single" w:sz="4" w:space="0" w:color="000000" w:themeColor="text1"/>
            </w:tcBorders>
            <w:noWrap/>
          </w:tcPr>
          <w:p w14:paraId="547B391C" w14:textId="77777777" w:rsidR="005B131E" w:rsidRPr="00A74DB7" w:rsidRDefault="005B131E" w:rsidP="002542E1">
            <w:pPr>
              <w:pStyle w:val="ARfintablebodyrightbold8pt"/>
              <w:rPr>
                <w:highlight w:val="green"/>
              </w:rPr>
            </w:pPr>
            <w:r w:rsidRPr="00A74DB7">
              <w:t>35.7</w:t>
            </w:r>
          </w:p>
        </w:tc>
        <w:tc>
          <w:tcPr>
            <w:tcW w:w="739" w:type="dxa"/>
            <w:tcBorders>
              <w:top w:val="single" w:sz="4" w:space="0" w:color="000000" w:themeColor="text1"/>
              <w:bottom w:val="single" w:sz="4" w:space="0" w:color="000000" w:themeColor="text1"/>
            </w:tcBorders>
            <w:noWrap/>
          </w:tcPr>
          <w:p w14:paraId="164AC3A3" w14:textId="77777777" w:rsidR="005B131E" w:rsidRPr="00A74DB7" w:rsidRDefault="005B131E" w:rsidP="002542E1">
            <w:pPr>
              <w:pStyle w:val="ARfintablebodyrightbold8pt"/>
              <w:rPr>
                <w:highlight w:val="green"/>
              </w:rPr>
            </w:pPr>
            <w:r w:rsidRPr="00A74DB7">
              <w:t>20.1</w:t>
            </w:r>
          </w:p>
        </w:tc>
        <w:tc>
          <w:tcPr>
            <w:tcW w:w="738" w:type="dxa"/>
            <w:tcBorders>
              <w:top w:val="single" w:sz="4" w:space="0" w:color="000000" w:themeColor="text1"/>
              <w:bottom w:val="single" w:sz="4" w:space="0" w:color="000000" w:themeColor="text1"/>
            </w:tcBorders>
            <w:noWrap/>
          </w:tcPr>
          <w:p w14:paraId="4D3FFD3C" w14:textId="77777777" w:rsidR="005B131E" w:rsidRPr="00A74DB7" w:rsidRDefault="005B131E" w:rsidP="002542E1">
            <w:pPr>
              <w:pStyle w:val="ARfintablebodyrightbold8pt"/>
              <w:rPr>
                <w:highlight w:val="green"/>
              </w:rPr>
            </w:pPr>
            <w:r w:rsidRPr="00A74DB7">
              <w:t>128.2</w:t>
            </w:r>
          </w:p>
        </w:tc>
        <w:tc>
          <w:tcPr>
            <w:tcW w:w="739" w:type="dxa"/>
            <w:tcBorders>
              <w:top w:val="single" w:sz="4" w:space="0" w:color="000000" w:themeColor="text1"/>
              <w:bottom w:val="single" w:sz="4" w:space="0" w:color="000000" w:themeColor="text1"/>
            </w:tcBorders>
            <w:noWrap/>
          </w:tcPr>
          <w:p w14:paraId="2AE2C967" w14:textId="77777777" w:rsidR="005B131E" w:rsidRPr="00A74DB7" w:rsidRDefault="005B131E" w:rsidP="002542E1">
            <w:pPr>
              <w:pStyle w:val="ARfintablebodyrightbold8pt"/>
              <w:rPr>
                <w:highlight w:val="green"/>
              </w:rPr>
            </w:pPr>
            <w:r w:rsidRPr="00A74DB7">
              <w:t>37,883.3</w:t>
            </w:r>
          </w:p>
        </w:tc>
        <w:tc>
          <w:tcPr>
            <w:tcW w:w="739" w:type="dxa"/>
            <w:tcBorders>
              <w:top w:val="single" w:sz="4" w:space="0" w:color="000000" w:themeColor="text1"/>
              <w:bottom w:val="single" w:sz="4" w:space="0" w:color="000000" w:themeColor="text1"/>
            </w:tcBorders>
          </w:tcPr>
          <w:p w14:paraId="59554FC1" w14:textId="77777777" w:rsidR="005B131E" w:rsidRPr="00A74DB7" w:rsidRDefault="005B131E" w:rsidP="002542E1">
            <w:pPr>
              <w:pStyle w:val="ARfintablebodyrightbold8pt"/>
            </w:pPr>
            <w:r>
              <w:t>(8.6)</w:t>
            </w:r>
          </w:p>
        </w:tc>
        <w:tc>
          <w:tcPr>
            <w:tcW w:w="739" w:type="dxa"/>
            <w:tcBorders>
              <w:top w:val="single" w:sz="4" w:space="0" w:color="000000" w:themeColor="text1"/>
              <w:bottom w:val="single" w:sz="4" w:space="0" w:color="000000" w:themeColor="text1"/>
            </w:tcBorders>
            <w:noWrap/>
          </w:tcPr>
          <w:p w14:paraId="38E18910" w14:textId="77777777" w:rsidR="005B131E" w:rsidRPr="00A74DB7" w:rsidRDefault="005B131E" w:rsidP="002542E1">
            <w:pPr>
              <w:pStyle w:val="ARfintablebodyrightbold8pt"/>
              <w:rPr>
                <w:highlight w:val="green"/>
              </w:rPr>
            </w:pPr>
            <w:r w:rsidRPr="00A74DB7">
              <w:t>40,495.4</w:t>
            </w:r>
          </w:p>
        </w:tc>
      </w:tr>
      <w:tr w:rsidR="005B131E" w:rsidRPr="00BA7805" w14:paraId="1E979CCC" w14:textId="77777777" w:rsidTr="002542E1">
        <w:trPr>
          <w:trHeight w:val="170"/>
        </w:trPr>
        <w:tc>
          <w:tcPr>
            <w:tcW w:w="1889" w:type="dxa"/>
            <w:tcBorders>
              <w:top w:val="single" w:sz="4" w:space="0" w:color="000000" w:themeColor="text1"/>
              <w:bottom w:val="single" w:sz="4" w:space="0" w:color="A6A6A6" w:themeColor="background1" w:themeShade="A6"/>
            </w:tcBorders>
            <w:shd w:val="clear" w:color="auto" w:fill="auto"/>
          </w:tcPr>
          <w:p w14:paraId="145796F3" w14:textId="77777777" w:rsidR="005B131E" w:rsidRPr="00BA7805" w:rsidRDefault="005B131E" w:rsidP="002542E1">
            <w:pPr>
              <w:pStyle w:val="ARfintablebodybold8pt"/>
              <w:rPr>
                <w:sz w:val="15"/>
                <w:highlight w:val="green"/>
              </w:rPr>
            </w:pPr>
            <w:r w:rsidRPr="00F975E0">
              <w:t>Liabilities</w:t>
            </w:r>
          </w:p>
        </w:tc>
        <w:tc>
          <w:tcPr>
            <w:tcW w:w="738" w:type="dxa"/>
            <w:tcBorders>
              <w:top w:val="single" w:sz="4" w:space="0" w:color="000000" w:themeColor="text1"/>
              <w:bottom w:val="single" w:sz="4" w:space="0" w:color="A6A6A6" w:themeColor="background1" w:themeShade="A6"/>
            </w:tcBorders>
            <w:noWrap/>
          </w:tcPr>
          <w:p w14:paraId="7F4693F5"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51A71A3C"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12A64FEF"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11553907" w14:textId="77777777" w:rsidR="005B131E" w:rsidRPr="00BA7805" w:rsidRDefault="005B131E" w:rsidP="002542E1">
            <w:pPr>
              <w:pStyle w:val="ARfintablebodyright8pt"/>
              <w:rPr>
                <w:sz w:val="15"/>
                <w:szCs w:val="15"/>
                <w:highlight w:val="green"/>
              </w:rPr>
            </w:pPr>
          </w:p>
        </w:tc>
        <w:tc>
          <w:tcPr>
            <w:tcW w:w="738" w:type="dxa"/>
            <w:tcBorders>
              <w:top w:val="single" w:sz="4" w:space="0" w:color="000000" w:themeColor="text1"/>
              <w:bottom w:val="single" w:sz="4" w:space="0" w:color="A6A6A6" w:themeColor="background1" w:themeShade="A6"/>
            </w:tcBorders>
            <w:noWrap/>
          </w:tcPr>
          <w:p w14:paraId="0D7973AC"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075754D2"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3C5DACC5"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70B9C90C" w14:textId="77777777" w:rsidR="005B131E" w:rsidRPr="00BA7805" w:rsidRDefault="005B131E" w:rsidP="002542E1">
            <w:pPr>
              <w:pStyle w:val="ARfintablebodyright8pt"/>
              <w:rPr>
                <w:sz w:val="15"/>
                <w:szCs w:val="15"/>
                <w:highlight w:val="green"/>
              </w:rPr>
            </w:pPr>
          </w:p>
        </w:tc>
        <w:tc>
          <w:tcPr>
            <w:tcW w:w="738" w:type="dxa"/>
            <w:tcBorders>
              <w:top w:val="single" w:sz="4" w:space="0" w:color="000000" w:themeColor="text1"/>
              <w:bottom w:val="single" w:sz="4" w:space="0" w:color="A6A6A6" w:themeColor="background1" w:themeShade="A6"/>
            </w:tcBorders>
            <w:noWrap/>
          </w:tcPr>
          <w:p w14:paraId="2262B624"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3FF24265"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4BE9E2D3"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66AF9317" w14:textId="77777777" w:rsidR="005B131E" w:rsidRPr="00BA7805" w:rsidRDefault="005B131E" w:rsidP="002542E1">
            <w:pPr>
              <w:pStyle w:val="ARfintablebodyright8pt"/>
              <w:rPr>
                <w:sz w:val="15"/>
                <w:szCs w:val="15"/>
                <w:highlight w:val="green"/>
              </w:rPr>
            </w:pPr>
          </w:p>
        </w:tc>
        <w:tc>
          <w:tcPr>
            <w:tcW w:w="738" w:type="dxa"/>
            <w:tcBorders>
              <w:top w:val="single" w:sz="4" w:space="0" w:color="000000" w:themeColor="text1"/>
              <w:bottom w:val="single" w:sz="4" w:space="0" w:color="A6A6A6" w:themeColor="background1" w:themeShade="A6"/>
            </w:tcBorders>
            <w:noWrap/>
          </w:tcPr>
          <w:p w14:paraId="78AABC68"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490AE6EE"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tcPr>
          <w:p w14:paraId="424A09C2" w14:textId="77777777" w:rsidR="005B131E" w:rsidRPr="00BA7805" w:rsidRDefault="005B131E" w:rsidP="002542E1">
            <w:pPr>
              <w:pStyle w:val="ARfintablebodyright8pt"/>
              <w:rPr>
                <w:sz w:val="15"/>
                <w:szCs w:val="15"/>
                <w:highlight w:val="green"/>
              </w:rPr>
            </w:pPr>
          </w:p>
        </w:tc>
        <w:tc>
          <w:tcPr>
            <w:tcW w:w="739" w:type="dxa"/>
            <w:tcBorders>
              <w:top w:val="single" w:sz="4" w:space="0" w:color="000000" w:themeColor="text1"/>
              <w:bottom w:val="single" w:sz="4" w:space="0" w:color="A6A6A6" w:themeColor="background1" w:themeShade="A6"/>
            </w:tcBorders>
            <w:noWrap/>
          </w:tcPr>
          <w:p w14:paraId="2D653464" w14:textId="77777777" w:rsidR="005B131E" w:rsidRPr="00BA7805" w:rsidRDefault="005B131E" w:rsidP="002542E1">
            <w:pPr>
              <w:pStyle w:val="ARfintablebodyright8pt"/>
              <w:rPr>
                <w:sz w:val="15"/>
                <w:szCs w:val="15"/>
                <w:highlight w:val="green"/>
              </w:rPr>
            </w:pPr>
          </w:p>
        </w:tc>
      </w:tr>
      <w:tr w:rsidR="005B131E" w:rsidRPr="00BA7805" w14:paraId="0323B38D" w14:textId="77777777" w:rsidTr="002542E1">
        <w:trPr>
          <w:trHeight w:val="170"/>
        </w:trPr>
        <w:tc>
          <w:tcPr>
            <w:tcW w:w="1889" w:type="dxa"/>
            <w:tcBorders>
              <w:top w:val="single" w:sz="4" w:space="0" w:color="A6A6A6" w:themeColor="background1" w:themeShade="A6"/>
              <w:bottom w:val="single" w:sz="4" w:space="0" w:color="000000" w:themeColor="text1"/>
            </w:tcBorders>
            <w:shd w:val="clear" w:color="auto" w:fill="auto"/>
          </w:tcPr>
          <w:p w14:paraId="396707FD" w14:textId="77777777" w:rsidR="005B131E" w:rsidRPr="00BA7805" w:rsidRDefault="005B131E" w:rsidP="002542E1">
            <w:pPr>
              <w:pStyle w:val="ARfintablebody8pt"/>
              <w:rPr>
                <w:sz w:val="15"/>
                <w:highlight w:val="green"/>
              </w:rPr>
            </w:pPr>
            <w:r w:rsidRPr="00F975E0">
              <w:t>Liabilities</w:t>
            </w:r>
          </w:p>
        </w:tc>
        <w:tc>
          <w:tcPr>
            <w:tcW w:w="738" w:type="dxa"/>
            <w:tcBorders>
              <w:top w:val="single" w:sz="4" w:space="0" w:color="A6A6A6" w:themeColor="background1" w:themeShade="A6"/>
              <w:bottom w:val="single" w:sz="4" w:space="0" w:color="000000" w:themeColor="text1"/>
            </w:tcBorders>
            <w:noWrap/>
          </w:tcPr>
          <w:p w14:paraId="40AA527F" w14:textId="77777777" w:rsidR="005B131E" w:rsidRPr="00BA7805" w:rsidRDefault="005B131E" w:rsidP="002542E1">
            <w:pPr>
              <w:pStyle w:val="ARfintablebodyright8pt"/>
              <w:rPr>
                <w:sz w:val="15"/>
                <w:szCs w:val="15"/>
                <w:highlight w:val="green"/>
              </w:rPr>
            </w:pPr>
            <w:r w:rsidRPr="004673CE">
              <w:t>(343.6)</w:t>
            </w:r>
          </w:p>
        </w:tc>
        <w:tc>
          <w:tcPr>
            <w:tcW w:w="739" w:type="dxa"/>
            <w:tcBorders>
              <w:top w:val="single" w:sz="4" w:space="0" w:color="A6A6A6" w:themeColor="background1" w:themeShade="A6"/>
              <w:bottom w:val="single" w:sz="4" w:space="0" w:color="000000" w:themeColor="text1"/>
            </w:tcBorders>
            <w:noWrap/>
          </w:tcPr>
          <w:p w14:paraId="612BA6F4" w14:textId="77777777" w:rsidR="005B131E" w:rsidRPr="00BA7805" w:rsidRDefault="005B131E" w:rsidP="002542E1">
            <w:pPr>
              <w:pStyle w:val="ARfintablebodyright8pt"/>
              <w:rPr>
                <w:sz w:val="15"/>
                <w:szCs w:val="15"/>
                <w:highlight w:val="green"/>
              </w:rPr>
            </w:pPr>
            <w:r w:rsidRPr="004673CE">
              <w:t>(607.4)</w:t>
            </w:r>
          </w:p>
        </w:tc>
        <w:tc>
          <w:tcPr>
            <w:tcW w:w="739" w:type="dxa"/>
            <w:tcBorders>
              <w:top w:val="single" w:sz="4" w:space="0" w:color="A6A6A6" w:themeColor="background1" w:themeShade="A6"/>
              <w:bottom w:val="single" w:sz="4" w:space="0" w:color="000000" w:themeColor="text1"/>
            </w:tcBorders>
            <w:noWrap/>
          </w:tcPr>
          <w:p w14:paraId="62B0D028" w14:textId="77777777" w:rsidR="005B131E" w:rsidRPr="00BA7805" w:rsidRDefault="005B131E" w:rsidP="002542E1">
            <w:pPr>
              <w:pStyle w:val="ARfintablebodyright8pt"/>
              <w:rPr>
                <w:sz w:val="15"/>
                <w:szCs w:val="15"/>
                <w:highlight w:val="green"/>
              </w:rPr>
            </w:pPr>
            <w:r w:rsidRPr="004673CE">
              <w:t>(162.7)</w:t>
            </w:r>
          </w:p>
        </w:tc>
        <w:tc>
          <w:tcPr>
            <w:tcW w:w="739" w:type="dxa"/>
            <w:tcBorders>
              <w:top w:val="single" w:sz="4" w:space="0" w:color="A6A6A6" w:themeColor="background1" w:themeShade="A6"/>
              <w:bottom w:val="single" w:sz="4" w:space="0" w:color="000000" w:themeColor="text1"/>
            </w:tcBorders>
            <w:noWrap/>
          </w:tcPr>
          <w:p w14:paraId="342E6F7D" w14:textId="77777777" w:rsidR="005B131E" w:rsidRPr="00BA7805" w:rsidRDefault="005B131E" w:rsidP="002542E1">
            <w:pPr>
              <w:pStyle w:val="ARfintablebodyright8pt"/>
              <w:rPr>
                <w:sz w:val="15"/>
                <w:szCs w:val="15"/>
                <w:highlight w:val="green"/>
              </w:rPr>
            </w:pPr>
            <w:r w:rsidRPr="004673CE">
              <w:t>(4.8)</w:t>
            </w:r>
          </w:p>
        </w:tc>
        <w:tc>
          <w:tcPr>
            <w:tcW w:w="738" w:type="dxa"/>
            <w:tcBorders>
              <w:top w:val="single" w:sz="4" w:space="0" w:color="A6A6A6" w:themeColor="background1" w:themeShade="A6"/>
              <w:bottom w:val="single" w:sz="4" w:space="0" w:color="000000" w:themeColor="text1"/>
            </w:tcBorders>
            <w:noWrap/>
          </w:tcPr>
          <w:p w14:paraId="7477E9E5" w14:textId="77777777" w:rsidR="005B131E" w:rsidRPr="00BA7805" w:rsidRDefault="005B131E" w:rsidP="002542E1">
            <w:pPr>
              <w:pStyle w:val="ARfintablebodyright8pt"/>
              <w:rPr>
                <w:sz w:val="15"/>
                <w:szCs w:val="15"/>
                <w:highlight w:val="green"/>
              </w:rPr>
            </w:pPr>
            <w:r w:rsidRPr="004673CE">
              <w:t>(2.0)</w:t>
            </w:r>
          </w:p>
        </w:tc>
        <w:tc>
          <w:tcPr>
            <w:tcW w:w="739" w:type="dxa"/>
            <w:tcBorders>
              <w:top w:val="single" w:sz="4" w:space="0" w:color="A6A6A6" w:themeColor="background1" w:themeShade="A6"/>
              <w:bottom w:val="single" w:sz="4" w:space="0" w:color="000000" w:themeColor="text1"/>
            </w:tcBorders>
            <w:noWrap/>
          </w:tcPr>
          <w:p w14:paraId="3754EE14" w14:textId="77777777" w:rsidR="005B131E" w:rsidRPr="00BA7805" w:rsidRDefault="005B131E" w:rsidP="002542E1">
            <w:pPr>
              <w:pStyle w:val="ARfintablebodyright8pt"/>
              <w:rPr>
                <w:sz w:val="15"/>
                <w:szCs w:val="15"/>
                <w:highlight w:val="green"/>
              </w:rPr>
            </w:pPr>
            <w:r w:rsidRPr="004673CE">
              <w:t>(3.8)</w:t>
            </w:r>
          </w:p>
        </w:tc>
        <w:tc>
          <w:tcPr>
            <w:tcW w:w="739" w:type="dxa"/>
            <w:tcBorders>
              <w:top w:val="single" w:sz="4" w:space="0" w:color="A6A6A6" w:themeColor="background1" w:themeShade="A6"/>
              <w:bottom w:val="single" w:sz="4" w:space="0" w:color="000000" w:themeColor="text1"/>
            </w:tcBorders>
            <w:noWrap/>
          </w:tcPr>
          <w:p w14:paraId="503E40B8" w14:textId="77777777" w:rsidR="005B131E" w:rsidRPr="00BA7805" w:rsidRDefault="005B131E" w:rsidP="002542E1">
            <w:pPr>
              <w:pStyle w:val="ARfintablebodyright8pt"/>
              <w:rPr>
                <w:sz w:val="15"/>
                <w:szCs w:val="15"/>
                <w:highlight w:val="green"/>
              </w:rPr>
            </w:pPr>
            <w:r w:rsidRPr="004673CE">
              <w:t>(0.9)</w:t>
            </w:r>
          </w:p>
        </w:tc>
        <w:tc>
          <w:tcPr>
            <w:tcW w:w="739" w:type="dxa"/>
            <w:tcBorders>
              <w:top w:val="single" w:sz="4" w:space="0" w:color="A6A6A6" w:themeColor="background1" w:themeShade="A6"/>
              <w:bottom w:val="single" w:sz="4" w:space="0" w:color="000000" w:themeColor="text1"/>
            </w:tcBorders>
            <w:noWrap/>
          </w:tcPr>
          <w:p w14:paraId="7F45A94F" w14:textId="77777777" w:rsidR="005B131E" w:rsidRPr="00BA7805" w:rsidRDefault="005B131E" w:rsidP="002542E1">
            <w:pPr>
              <w:pStyle w:val="ARfintablebodyright8pt"/>
              <w:rPr>
                <w:sz w:val="15"/>
                <w:szCs w:val="15"/>
                <w:highlight w:val="green"/>
              </w:rPr>
            </w:pPr>
            <w:r w:rsidRPr="004673CE">
              <w:t>(1.4)</w:t>
            </w:r>
          </w:p>
        </w:tc>
        <w:tc>
          <w:tcPr>
            <w:tcW w:w="738" w:type="dxa"/>
            <w:tcBorders>
              <w:top w:val="single" w:sz="4" w:space="0" w:color="A6A6A6" w:themeColor="background1" w:themeShade="A6"/>
              <w:bottom w:val="single" w:sz="4" w:space="0" w:color="000000" w:themeColor="text1"/>
            </w:tcBorders>
            <w:noWrap/>
          </w:tcPr>
          <w:p w14:paraId="2E7D2D11" w14:textId="77777777" w:rsidR="005B131E" w:rsidRPr="00BA7805" w:rsidRDefault="005B131E" w:rsidP="002542E1">
            <w:pPr>
              <w:pStyle w:val="ARfintablebodyright8pt"/>
              <w:rPr>
                <w:sz w:val="15"/>
                <w:szCs w:val="15"/>
                <w:highlight w:val="green"/>
              </w:rPr>
            </w:pPr>
            <w:r w:rsidRPr="004673CE">
              <w:t>(2.2)</w:t>
            </w:r>
          </w:p>
        </w:tc>
        <w:tc>
          <w:tcPr>
            <w:tcW w:w="739" w:type="dxa"/>
            <w:tcBorders>
              <w:top w:val="single" w:sz="4" w:space="0" w:color="A6A6A6" w:themeColor="background1" w:themeShade="A6"/>
              <w:bottom w:val="single" w:sz="4" w:space="0" w:color="000000" w:themeColor="text1"/>
            </w:tcBorders>
            <w:noWrap/>
          </w:tcPr>
          <w:p w14:paraId="1336B846" w14:textId="77777777" w:rsidR="005B131E" w:rsidRPr="00BA7805" w:rsidRDefault="005B131E" w:rsidP="002542E1">
            <w:pPr>
              <w:pStyle w:val="ARfintablebodyright8pt"/>
              <w:rPr>
                <w:sz w:val="15"/>
                <w:szCs w:val="15"/>
                <w:highlight w:val="green"/>
              </w:rPr>
            </w:pPr>
            <w:r w:rsidRPr="004673CE">
              <w:t>(6.2)</w:t>
            </w:r>
          </w:p>
        </w:tc>
        <w:tc>
          <w:tcPr>
            <w:tcW w:w="739" w:type="dxa"/>
            <w:tcBorders>
              <w:top w:val="single" w:sz="4" w:space="0" w:color="A6A6A6" w:themeColor="background1" w:themeShade="A6"/>
              <w:bottom w:val="single" w:sz="4" w:space="0" w:color="000000" w:themeColor="text1"/>
            </w:tcBorders>
            <w:noWrap/>
          </w:tcPr>
          <w:p w14:paraId="354819C4" w14:textId="77777777" w:rsidR="005B131E" w:rsidRPr="00BA7805" w:rsidRDefault="005B131E" w:rsidP="002542E1">
            <w:pPr>
              <w:pStyle w:val="ARfintablebodyright8pt"/>
              <w:rPr>
                <w:sz w:val="15"/>
                <w:szCs w:val="15"/>
                <w:highlight w:val="green"/>
              </w:rPr>
            </w:pPr>
            <w:r w:rsidRPr="004673CE">
              <w:t>(2.0)</w:t>
            </w:r>
          </w:p>
        </w:tc>
        <w:tc>
          <w:tcPr>
            <w:tcW w:w="739" w:type="dxa"/>
            <w:tcBorders>
              <w:top w:val="single" w:sz="4" w:space="0" w:color="A6A6A6" w:themeColor="background1" w:themeShade="A6"/>
              <w:bottom w:val="single" w:sz="4" w:space="0" w:color="000000" w:themeColor="text1"/>
            </w:tcBorders>
            <w:noWrap/>
          </w:tcPr>
          <w:p w14:paraId="2A1140DB" w14:textId="77777777" w:rsidR="005B131E" w:rsidRPr="00BA7805" w:rsidRDefault="005B131E" w:rsidP="002542E1">
            <w:pPr>
              <w:pStyle w:val="ARfintablebodyright8pt"/>
              <w:rPr>
                <w:sz w:val="15"/>
                <w:szCs w:val="15"/>
                <w:highlight w:val="green"/>
              </w:rPr>
            </w:pPr>
            <w:r w:rsidRPr="004673CE">
              <w:t>(0.3)</w:t>
            </w:r>
          </w:p>
        </w:tc>
        <w:tc>
          <w:tcPr>
            <w:tcW w:w="738" w:type="dxa"/>
            <w:tcBorders>
              <w:top w:val="single" w:sz="4" w:space="0" w:color="A6A6A6" w:themeColor="background1" w:themeShade="A6"/>
              <w:bottom w:val="single" w:sz="4" w:space="0" w:color="000000" w:themeColor="text1"/>
            </w:tcBorders>
            <w:noWrap/>
          </w:tcPr>
          <w:p w14:paraId="72F1E46D" w14:textId="77777777" w:rsidR="005B131E" w:rsidRPr="00BA7805" w:rsidRDefault="005B131E" w:rsidP="002542E1">
            <w:pPr>
              <w:pStyle w:val="ARfintablebodyright8pt"/>
              <w:rPr>
                <w:sz w:val="15"/>
                <w:szCs w:val="15"/>
                <w:highlight w:val="green"/>
              </w:rPr>
            </w:pPr>
            <w:r w:rsidRPr="004673CE">
              <w:t>(18.5)</w:t>
            </w:r>
          </w:p>
        </w:tc>
        <w:tc>
          <w:tcPr>
            <w:tcW w:w="739" w:type="dxa"/>
            <w:tcBorders>
              <w:top w:val="single" w:sz="4" w:space="0" w:color="A6A6A6" w:themeColor="background1" w:themeShade="A6"/>
              <w:bottom w:val="single" w:sz="4" w:space="0" w:color="000000" w:themeColor="text1"/>
            </w:tcBorders>
            <w:noWrap/>
          </w:tcPr>
          <w:p w14:paraId="44D525C1" w14:textId="77777777" w:rsidR="005B131E" w:rsidRPr="00BA7805" w:rsidRDefault="005B131E" w:rsidP="002542E1">
            <w:pPr>
              <w:pStyle w:val="ARfintablebodyright8pt"/>
              <w:rPr>
                <w:sz w:val="15"/>
                <w:szCs w:val="15"/>
                <w:highlight w:val="green"/>
              </w:rPr>
            </w:pPr>
            <w:r w:rsidRPr="004673CE">
              <w:t>(785.8)</w:t>
            </w:r>
          </w:p>
        </w:tc>
        <w:tc>
          <w:tcPr>
            <w:tcW w:w="739" w:type="dxa"/>
            <w:tcBorders>
              <w:top w:val="single" w:sz="4" w:space="0" w:color="A6A6A6" w:themeColor="background1" w:themeShade="A6"/>
              <w:bottom w:val="single" w:sz="4" w:space="0" w:color="000000" w:themeColor="text1"/>
            </w:tcBorders>
          </w:tcPr>
          <w:p w14:paraId="40163634" w14:textId="77777777" w:rsidR="005B131E" w:rsidRPr="004673CE" w:rsidRDefault="005B131E" w:rsidP="002542E1">
            <w:pPr>
              <w:pStyle w:val="ARfintablebodyright8pt"/>
            </w:pPr>
            <w:r>
              <w:t>8.6</w:t>
            </w:r>
          </w:p>
        </w:tc>
        <w:tc>
          <w:tcPr>
            <w:tcW w:w="739" w:type="dxa"/>
            <w:tcBorders>
              <w:top w:val="single" w:sz="4" w:space="0" w:color="A6A6A6" w:themeColor="background1" w:themeShade="A6"/>
              <w:bottom w:val="single" w:sz="4" w:space="0" w:color="000000" w:themeColor="text1"/>
            </w:tcBorders>
            <w:noWrap/>
          </w:tcPr>
          <w:p w14:paraId="2F2A419B" w14:textId="77777777" w:rsidR="005B131E" w:rsidRPr="00BA7805" w:rsidRDefault="005B131E" w:rsidP="002542E1">
            <w:pPr>
              <w:pStyle w:val="ARfintablebodyright8pt"/>
              <w:rPr>
                <w:sz w:val="15"/>
                <w:szCs w:val="15"/>
                <w:highlight w:val="green"/>
              </w:rPr>
            </w:pPr>
            <w:r w:rsidRPr="004673CE">
              <w:t>(1,933.1)</w:t>
            </w:r>
          </w:p>
        </w:tc>
      </w:tr>
      <w:tr w:rsidR="005B131E" w:rsidRPr="00BA7805" w14:paraId="7BBEA49B" w14:textId="77777777" w:rsidTr="002542E1">
        <w:trPr>
          <w:trHeight w:val="170"/>
        </w:trPr>
        <w:tc>
          <w:tcPr>
            <w:tcW w:w="1889" w:type="dxa"/>
            <w:tcBorders>
              <w:top w:val="single" w:sz="4" w:space="0" w:color="000000" w:themeColor="text1"/>
              <w:bottom w:val="single" w:sz="4" w:space="0" w:color="000000" w:themeColor="text1"/>
            </w:tcBorders>
            <w:shd w:val="clear" w:color="auto" w:fill="auto"/>
          </w:tcPr>
          <w:p w14:paraId="0BABCC57" w14:textId="77777777" w:rsidR="005B131E" w:rsidRPr="00BA7805" w:rsidRDefault="005B131E" w:rsidP="002542E1">
            <w:pPr>
              <w:pStyle w:val="ARfintablebodybold8pt"/>
              <w:rPr>
                <w:sz w:val="15"/>
                <w:highlight w:val="green"/>
              </w:rPr>
            </w:pPr>
            <w:r w:rsidRPr="00F975E0">
              <w:t>Total liabilities</w:t>
            </w:r>
          </w:p>
        </w:tc>
        <w:tc>
          <w:tcPr>
            <w:tcW w:w="738" w:type="dxa"/>
            <w:tcBorders>
              <w:top w:val="single" w:sz="4" w:space="0" w:color="000000" w:themeColor="text1"/>
              <w:bottom w:val="single" w:sz="4" w:space="0" w:color="000000" w:themeColor="text1"/>
            </w:tcBorders>
            <w:noWrap/>
          </w:tcPr>
          <w:p w14:paraId="58CAEE36" w14:textId="77777777" w:rsidR="005B131E" w:rsidRPr="00BA7805" w:rsidRDefault="005B131E" w:rsidP="002542E1">
            <w:pPr>
              <w:pStyle w:val="ARfintablebodyrightbold8pt"/>
              <w:rPr>
                <w:sz w:val="15"/>
                <w:szCs w:val="15"/>
                <w:highlight w:val="green"/>
              </w:rPr>
            </w:pPr>
            <w:r w:rsidRPr="004673CE">
              <w:t>(343.6)</w:t>
            </w:r>
          </w:p>
        </w:tc>
        <w:tc>
          <w:tcPr>
            <w:tcW w:w="739" w:type="dxa"/>
            <w:tcBorders>
              <w:top w:val="single" w:sz="4" w:space="0" w:color="000000" w:themeColor="text1"/>
              <w:bottom w:val="single" w:sz="4" w:space="0" w:color="000000" w:themeColor="text1"/>
            </w:tcBorders>
            <w:noWrap/>
          </w:tcPr>
          <w:p w14:paraId="7C217ED2" w14:textId="77777777" w:rsidR="005B131E" w:rsidRPr="00BA7805" w:rsidRDefault="005B131E" w:rsidP="002542E1">
            <w:pPr>
              <w:pStyle w:val="ARfintablebodyrightbold8pt"/>
              <w:rPr>
                <w:sz w:val="15"/>
                <w:szCs w:val="15"/>
                <w:highlight w:val="green"/>
              </w:rPr>
            </w:pPr>
            <w:r w:rsidRPr="004673CE">
              <w:t>(607.4)</w:t>
            </w:r>
          </w:p>
        </w:tc>
        <w:tc>
          <w:tcPr>
            <w:tcW w:w="739" w:type="dxa"/>
            <w:tcBorders>
              <w:top w:val="single" w:sz="4" w:space="0" w:color="000000" w:themeColor="text1"/>
              <w:bottom w:val="single" w:sz="4" w:space="0" w:color="000000" w:themeColor="text1"/>
            </w:tcBorders>
            <w:noWrap/>
          </w:tcPr>
          <w:p w14:paraId="2C0B40D1" w14:textId="77777777" w:rsidR="005B131E" w:rsidRPr="00BA7805" w:rsidRDefault="005B131E" w:rsidP="002542E1">
            <w:pPr>
              <w:pStyle w:val="ARfintablebodyrightbold8pt"/>
              <w:rPr>
                <w:sz w:val="15"/>
                <w:szCs w:val="15"/>
                <w:highlight w:val="green"/>
              </w:rPr>
            </w:pPr>
            <w:r w:rsidRPr="004673CE">
              <w:t>(162.7)</w:t>
            </w:r>
          </w:p>
        </w:tc>
        <w:tc>
          <w:tcPr>
            <w:tcW w:w="739" w:type="dxa"/>
            <w:tcBorders>
              <w:top w:val="single" w:sz="4" w:space="0" w:color="000000" w:themeColor="text1"/>
              <w:bottom w:val="single" w:sz="4" w:space="0" w:color="000000" w:themeColor="text1"/>
            </w:tcBorders>
            <w:noWrap/>
          </w:tcPr>
          <w:p w14:paraId="46C25596" w14:textId="77777777" w:rsidR="005B131E" w:rsidRPr="00BA7805" w:rsidRDefault="005B131E" w:rsidP="002542E1">
            <w:pPr>
              <w:pStyle w:val="ARfintablebodyrightbold8pt"/>
              <w:rPr>
                <w:sz w:val="15"/>
                <w:szCs w:val="15"/>
                <w:highlight w:val="green"/>
              </w:rPr>
            </w:pPr>
            <w:r w:rsidRPr="004673CE">
              <w:t>(4.8)</w:t>
            </w:r>
          </w:p>
        </w:tc>
        <w:tc>
          <w:tcPr>
            <w:tcW w:w="738" w:type="dxa"/>
            <w:tcBorders>
              <w:top w:val="single" w:sz="4" w:space="0" w:color="000000" w:themeColor="text1"/>
              <w:bottom w:val="single" w:sz="4" w:space="0" w:color="000000" w:themeColor="text1"/>
            </w:tcBorders>
            <w:noWrap/>
          </w:tcPr>
          <w:p w14:paraId="285A3628" w14:textId="77777777" w:rsidR="005B131E" w:rsidRPr="00BA7805" w:rsidRDefault="005B131E" w:rsidP="002542E1">
            <w:pPr>
              <w:pStyle w:val="ARfintablebodyrightbold8pt"/>
              <w:rPr>
                <w:sz w:val="15"/>
                <w:szCs w:val="15"/>
                <w:highlight w:val="green"/>
              </w:rPr>
            </w:pPr>
            <w:r w:rsidRPr="004673CE">
              <w:t>(2.0)</w:t>
            </w:r>
          </w:p>
        </w:tc>
        <w:tc>
          <w:tcPr>
            <w:tcW w:w="739" w:type="dxa"/>
            <w:tcBorders>
              <w:top w:val="single" w:sz="4" w:space="0" w:color="000000" w:themeColor="text1"/>
              <w:bottom w:val="single" w:sz="4" w:space="0" w:color="000000" w:themeColor="text1"/>
            </w:tcBorders>
            <w:noWrap/>
          </w:tcPr>
          <w:p w14:paraId="27DC6E21" w14:textId="77777777" w:rsidR="005B131E" w:rsidRPr="00BA7805" w:rsidRDefault="005B131E" w:rsidP="002542E1">
            <w:pPr>
              <w:pStyle w:val="ARfintablebodyrightbold8pt"/>
              <w:rPr>
                <w:sz w:val="15"/>
                <w:szCs w:val="15"/>
                <w:highlight w:val="green"/>
              </w:rPr>
            </w:pPr>
            <w:r w:rsidRPr="004673CE">
              <w:t>(3.8)</w:t>
            </w:r>
          </w:p>
        </w:tc>
        <w:tc>
          <w:tcPr>
            <w:tcW w:w="739" w:type="dxa"/>
            <w:tcBorders>
              <w:top w:val="single" w:sz="4" w:space="0" w:color="000000" w:themeColor="text1"/>
              <w:bottom w:val="single" w:sz="4" w:space="0" w:color="000000" w:themeColor="text1"/>
            </w:tcBorders>
            <w:noWrap/>
          </w:tcPr>
          <w:p w14:paraId="4E79BA69" w14:textId="77777777" w:rsidR="005B131E" w:rsidRPr="00BA7805" w:rsidRDefault="005B131E" w:rsidP="002542E1">
            <w:pPr>
              <w:pStyle w:val="ARfintablebodyrightbold8pt"/>
              <w:rPr>
                <w:sz w:val="15"/>
                <w:szCs w:val="15"/>
                <w:highlight w:val="green"/>
              </w:rPr>
            </w:pPr>
            <w:r w:rsidRPr="004673CE">
              <w:t>(0.9)</w:t>
            </w:r>
          </w:p>
        </w:tc>
        <w:tc>
          <w:tcPr>
            <w:tcW w:w="739" w:type="dxa"/>
            <w:tcBorders>
              <w:top w:val="single" w:sz="4" w:space="0" w:color="000000" w:themeColor="text1"/>
              <w:bottom w:val="single" w:sz="4" w:space="0" w:color="000000" w:themeColor="text1"/>
            </w:tcBorders>
            <w:noWrap/>
          </w:tcPr>
          <w:p w14:paraId="2EF1207E" w14:textId="77777777" w:rsidR="005B131E" w:rsidRPr="00BA7805" w:rsidRDefault="005B131E" w:rsidP="002542E1">
            <w:pPr>
              <w:pStyle w:val="ARfintablebodyrightbold8pt"/>
              <w:rPr>
                <w:sz w:val="15"/>
                <w:szCs w:val="15"/>
                <w:highlight w:val="green"/>
              </w:rPr>
            </w:pPr>
            <w:r w:rsidRPr="004673CE">
              <w:t>(1.4)</w:t>
            </w:r>
          </w:p>
        </w:tc>
        <w:tc>
          <w:tcPr>
            <w:tcW w:w="738" w:type="dxa"/>
            <w:tcBorders>
              <w:top w:val="single" w:sz="4" w:space="0" w:color="000000" w:themeColor="text1"/>
              <w:bottom w:val="single" w:sz="4" w:space="0" w:color="000000" w:themeColor="text1"/>
            </w:tcBorders>
            <w:noWrap/>
          </w:tcPr>
          <w:p w14:paraId="73784D26" w14:textId="77777777" w:rsidR="005B131E" w:rsidRPr="00BA7805" w:rsidRDefault="005B131E" w:rsidP="002542E1">
            <w:pPr>
              <w:pStyle w:val="ARfintablebodyrightbold8pt"/>
              <w:rPr>
                <w:sz w:val="15"/>
                <w:szCs w:val="15"/>
                <w:highlight w:val="green"/>
              </w:rPr>
            </w:pPr>
            <w:r w:rsidRPr="004673CE">
              <w:t>(2.2)</w:t>
            </w:r>
          </w:p>
        </w:tc>
        <w:tc>
          <w:tcPr>
            <w:tcW w:w="739" w:type="dxa"/>
            <w:tcBorders>
              <w:top w:val="single" w:sz="4" w:space="0" w:color="000000" w:themeColor="text1"/>
              <w:bottom w:val="single" w:sz="4" w:space="0" w:color="000000" w:themeColor="text1"/>
            </w:tcBorders>
            <w:noWrap/>
          </w:tcPr>
          <w:p w14:paraId="6934A0AA" w14:textId="77777777" w:rsidR="005B131E" w:rsidRPr="00BA7805" w:rsidRDefault="005B131E" w:rsidP="002542E1">
            <w:pPr>
              <w:pStyle w:val="ARfintablebodyrightbold8pt"/>
              <w:rPr>
                <w:sz w:val="15"/>
                <w:szCs w:val="15"/>
                <w:highlight w:val="green"/>
              </w:rPr>
            </w:pPr>
            <w:r w:rsidRPr="004673CE">
              <w:t>(6.2)</w:t>
            </w:r>
          </w:p>
        </w:tc>
        <w:tc>
          <w:tcPr>
            <w:tcW w:w="739" w:type="dxa"/>
            <w:tcBorders>
              <w:top w:val="single" w:sz="4" w:space="0" w:color="000000" w:themeColor="text1"/>
              <w:bottom w:val="single" w:sz="4" w:space="0" w:color="000000" w:themeColor="text1"/>
            </w:tcBorders>
            <w:noWrap/>
          </w:tcPr>
          <w:p w14:paraId="23048F53" w14:textId="77777777" w:rsidR="005B131E" w:rsidRPr="00BA7805" w:rsidRDefault="005B131E" w:rsidP="002542E1">
            <w:pPr>
              <w:pStyle w:val="ARfintablebodyrightbold8pt"/>
              <w:rPr>
                <w:sz w:val="15"/>
                <w:szCs w:val="15"/>
                <w:highlight w:val="green"/>
              </w:rPr>
            </w:pPr>
            <w:r w:rsidRPr="004673CE">
              <w:t>(2.0)</w:t>
            </w:r>
          </w:p>
        </w:tc>
        <w:tc>
          <w:tcPr>
            <w:tcW w:w="739" w:type="dxa"/>
            <w:tcBorders>
              <w:top w:val="single" w:sz="4" w:space="0" w:color="000000" w:themeColor="text1"/>
              <w:bottom w:val="single" w:sz="4" w:space="0" w:color="000000" w:themeColor="text1"/>
            </w:tcBorders>
            <w:noWrap/>
          </w:tcPr>
          <w:p w14:paraId="00FB1668" w14:textId="77777777" w:rsidR="005B131E" w:rsidRPr="00BA7805" w:rsidRDefault="005B131E" w:rsidP="002542E1">
            <w:pPr>
              <w:pStyle w:val="ARfintablebodyrightbold8pt"/>
              <w:rPr>
                <w:sz w:val="15"/>
                <w:szCs w:val="15"/>
                <w:highlight w:val="green"/>
              </w:rPr>
            </w:pPr>
            <w:r w:rsidRPr="004673CE">
              <w:t>(0.3)</w:t>
            </w:r>
          </w:p>
        </w:tc>
        <w:tc>
          <w:tcPr>
            <w:tcW w:w="738" w:type="dxa"/>
            <w:tcBorders>
              <w:top w:val="single" w:sz="4" w:space="0" w:color="000000" w:themeColor="text1"/>
              <w:bottom w:val="single" w:sz="4" w:space="0" w:color="000000" w:themeColor="text1"/>
            </w:tcBorders>
            <w:noWrap/>
          </w:tcPr>
          <w:p w14:paraId="3B97508C" w14:textId="77777777" w:rsidR="005B131E" w:rsidRPr="00BA7805" w:rsidRDefault="005B131E" w:rsidP="002542E1">
            <w:pPr>
              <w:pStyle w:val="ARfintablebodyrightbold8pt"/>
              <w:rPr>
                <w:sz w:val="15"/>
                <w:szCs w:val="15"/>
                <w:highlight w:val="green"/>
              </w:rPr>
            </w:pPr>
            <w:r w:rsidRPr="004673CE">
              <w:t>(18.5)</w:t>
            </w:r>
          </w:p>
        </w:tc>
        <w:tc>
          <w:tcPr>
            <w:tcW w:w="739" w:type="dxa"/>
            <w:tcBorders>
              <w:top w:val="single" w:sz="4" w:space="0" w:color="000000" w:themeColor="text1"/>
              <w:bottom w:val="single" w:sz="4" w:space="0" w:color="000000" w:themeColor="text1"/>
            </w:tcBorders>
            <w:noWrap/>
          </w:tcPr>
          <w:p w14:paraId="36F9F09D" w14:textId="77777777" w:rsidR="005B131E" w:rsidRPr="00BA7805" w:rsidRDefault="005B131E" w:rsidP="002542E1">
            <w:pPr>
              <w:pStyle w:val="ARfintablebodyrightbold8pt"/>
              <w:rPr>
                <w:sz w:val="15"/>
                <w:szCs w:val="15"/>
                <w:highlight w:val="green"/>
              </w:rPr>
            </w:pPr>
            <w:r w:rsidRPr="004673CE">
              <w:t>(785.8)</w:t>
            </w:r>
          </w:p>
        </w:tc>
        <w:tc>
          <w:tcPr>
            <w:tcW w:w="739" w:type="dxa"/>
            <w:tcBorders>
              <w:top w:val="single" w:sz="4" w:space="0" w:color="000000" w:themeColor="text1"/>
              <w:bottom w:val="single" w:sz="4" w:space="0" w:color="000000" w:themeColor="text1"/>
            </w:tcBorders>
          </w:tcPr>
          <w:p w14:paraId="2D908F9A" w14:textId="77777777" w:rsidR="005B131E" w:rsidRPr="004673CE" w:rsidRDefault="005B131E" w:rsidP="002542E1">
            <w:pPr>
              <w:pStyle w:val="ARfintablebodyrightbold8pt"/>
            </w:pPr>
            <w:r>
              <w:t>8.6</w:t>
            </w:r>
          </w:p>
        </w:tc>
        <w:tc>
          <w:tcPr>
            <w:tcW w:w="739" w:type="dxa"/>
            <w:tcBorders>
              <w:top w:val="single" w:sz="4" w:space="0" w:color="000000" w:themeColor="text1"/>
              <w:bottom w:val="single" w:sz="4" w:space="0" w:color="000000" w:themeColor="text1"/>
            </w:tcBorders>
            <w:noWrap/>
          </w:tcPr>
          <w:p w14:paraId="1DE1D53F" w14:textId="77777777" w:rsidR="005B131E" w:rsidRPr="00BA7805" w:rsidRDefault="005B131E" w:rsidP="002542E1">
            <w:pPr>
              <w:pStyle w:val="ARfintablebodyrightbold8pt"/>
              <w:rPr>
                <w:sz w:val="15"/>
                <w:szCs w:val="15"/>
                <w:highlight w:val="green"/>
              </w:rPr>
            </w:pPr>
            <w:r w:rsidRPr="004673CE">
              <w:t>(1,933.1)</w:t>
            </w:r>
          </w:p>
        </w:tc>
      </w:tr>
      <w:tr w:rsidR="005B131E" w:rsidRPr="00BA7805" w14:paraId="47424A3F" w14:textId="77777777" w:rsidTr="002542E1">
        <w:trPr>
          <w:trHeight w:val="170"/>
        </w:trPr>
        <w:tc>
          <w:tcPr>
            <w:tcW w:w="1889" w:type="dxa"/>
            <w:tcBorders>
              <w:top w:val="single" w:sz="4" w:space="0" w:color="000000" w:themeColor="text1"/>
              <w:bottom w:val="single" w:sz="4" w:space="0" w:color="000000" w:themeColor="text1"/>
            </w:tcBorders>
            <w:shd w:val="clear" w:color="auto" w:fill="auto"/>
          </w:tcPr>
          <w:p w14:paraId="5BBDBC87" w14:textId="77777777" w:rsidR="005B131E" w:rsidRPr="00BA7805" w:rsidRDefault="005B131E" w:rsidP="002542E1">
            <w:pPr>
              <w:pStyle w:val="ARfintablebodybold8pt"/>
              <w:rPr>
                <w:sz w:val="15"/>
                <w:highlight w:val="green"/>
              </w:rPr>
            </w:pPr>
            <w:r w:rsidRPr="00F975E0">
              <w:t>Net assets</w:t>
            </w:r>
          </w:p>
        </w:tc>
        <w:tc>
          <w:tcPr>
            <w:tcW w:w="738" w:type="dxa"/>
            <w:tcBorders>
              <w:top w:val="single" w:sz="4" w:space="0" w:color="000000" w:themeColor="text1"/>
              <w:bottom w:val="single" w:sz="4" w:space="0" w:color="000000" w:themeColor="text1"/>
            </w:tcBorders>
            <w:noWrap/>
          </w:tcPr>
          <w:p w14:paraId="18F66861" w14:textId="77777777" w:rsidR="005B131E" w:rsidRPr="00BA7805" w:rsidRDefault="005B131E" w:rsidP="002542E1">
            <w:pPr>
              <w:pStyle w:val="ARfintablebodyrightbold8pt"/>
              <w:rPr>
                <w:sz w:val="15"/>
                <w:szCs w:val="15"/>
                <w:highlight w:val="green"/>
              </w:rPr>
            </w:pPr>
            <w:r w:rsidRPr="004673CE">
              <w:t>1,159.5</w:t>
            </w:r>
          </w:p>
        </w:tc>
        <w:tc>
          <w:tcPr>
            <w:tcW w:w="739" w:type="dxa"/>
            <w:tcBorders>
              <w:top w:val="single" w:sz="4" w:space="0" w:color="000000" w:themeColor="text1"/>
              <w:bottom w:val="single" w:sz="4" w:space="0" w:color="000000" w:themeColor="text1"/>
            </w:tcBorders>
            <w:noWrap/>
          </w:tcPr>
          <w:p w14:paraId="400F02D7" w14:textId="77777777" w:rsidR="005B131E" w:rsidRPr="00BA7805" w:rsidRDefault="005B131E" w:rsidP="002542E1">
            <w:pPr>
              <w:pStyle w:val="ARfintablebodyrightbold8pt"/>
              <w:rPr>
                <w:sz w:val="15"/>
                <w:szCs w:val="15"/>
                <w:highlight w:val="green"/>
              </w:rPr>
            </w:pPr>
            <w:r w:rsidRPr="004673CE">
              <w:t>(29.4)</w:t>
            </w:r>
          </w:p>
        </w:tc>
        <w:tc>
          <w:tcPr>
            <w:tcW w:w="739" w:type="dxa"/>
            <w:tcBorders>
              <w:top w:val="single" w:sz="4" w:space="0" w:color="000000" w:themeColor="text1"/>
              <w:bottom w:val="single" w:sz="4" w:space="0" w:color="000000" w:themeColor="text1"/>
            </w:tcBorders>
            <w:noWrap/>
          </w:tcPr>
          <w:p w14:paraId="1AECD563" w14:textId="77777777" w:rsidR="005B131E" w:rsidRPr="00BA7805" w:rsidRDefault="005B131E" w:rsidP="002542E1">
            <w:pPr>
              <w:pStyle w:val="ARfintablebodyrightbold8pt"/>
              <w:rPr>
                <w:sz w:val="15"/>
                <w:szCs w:val="15"/>
                <w:highlight w:val="green"/>
              </w:rPr>
            </w:pPr>
            <w:r w:rsidRPr="004673CE">
              <w:t>45.0</w:t>
            </w:r>
          </w:p>
        </w:tc>
        <w:tc>
          <w:tcPr>
            <w:tcW w:w="739" w:type="dxa"/>
            <w:tcBorders>
              <w:top w:val="single" w:sz="4" w:space="0" w:color="000000" w:themeColor="text1"/>
              <w:bottom w:val="single" w:sz="4" w:space="0" w:color="000000" w:themeColor="text1"/>
            </w:tcBorders>
            <w:noWrap/>
          </w:tcPr>
          <w:p w14:paraId="0AC3044B" w14:textId="77777777" w:rsidR="005B131E" w:rsidRPr="00BA7805" w:rsidRDefault="005B131E" w:rsidP="002542E1">
            <w:pPr>
              <w:pStyle w:val="ARfintablebodyrightbold8pt"/>
              <w:rPr>
                <w:sz w:val="15"/>
                <w:szCs w:val="15"/>
                <w:highlight w:val="green"/>
              </w:rPr>
            </w:pPr>
            <w:r w:rsidRPr="004673CE">
              <w:t>11.1</w:t>
            </w:r>
          </w:p>
        </w:tc>
        <w:tc>
          <w:tcPr>
            <w:tcW w:w="738" w:type="dxa"/>
            <w:tcBorders>
              <w:top w:val="single" w:sz="4" w:space="0" w:color="000000" w:themeColor="text1"/>
              <w:bottom w:val="single" w:sz="4" w:space="0" w:color="000000" w:themeColor="text1"/>
            </w:tcBorders>
            <w:noWrap/>
          </w:tcPr>
          <w:p w14:paraId="7688761A" w14:textId="77777777" w:rsidR="005B131E" w:rsidRPr="00BA7805" w:rsidRDefault="005B131E" w:rsidP="002542E1">
            <w:pPr>
              <w:pStyle w:val="ARfintablebodyrightbold8pt"/>
              <w:rPr>
                <w:sz w:val="15"/>
                <w:szCs w:val="15"/>
                <w:highlight w:val="green"/>
              </w:rPr>
            </w:pPr>
            <w:r w:rsidRPr="004673CE">
              <w:t>13.5</w:t>
            </w:r>
          </w:p>
        </w:tc>
        <w:tc>
          <w:tcPr>
            <w:tcW w:w="739" w:type="dxa"/>
            <w:tcBorders>
              <w:top w:val="single" w:sz="4" w:space="0" w:color="000000" w:themeColor="text1"/>
              <w:bottom w:val="single" w:sz="4" w:space="0" w:color="000000" w:themeColor="text1"/>
            </w:tcBorders>
            <w:noWrap/>
          </w:tcPr>
          <w:p w14:paraId="6C27C0DF" w14:textId="77777777" w:rsidR="005B131E" w:rsidRPr="00BA7805" w:rsidRDefault="005B131E" w:rsidP="002542E1">
            <w:pPr>
              <w:pStyle w:val="ARfintablebodyrightbold8pt"/>
              <w:rPr>
                <w:sz w:val="15"/>
                <w:szCs w:val="15"/>
                <w:highlight w:val="green"/>
              </w:rPr>
            </w:pPr>
            <w:r w:rsidRPr="004673CE">
              <w:t>14.2</w:t>
            </w:r>
          </w:p>
        </w:tc>
        <w:tc>
          <w:tcPr>
            <w:tcW w:w="739" w:type="dxa"/>
            <w:tcBorders>
              <w:top w:val="single" w:sz="4" w:space="0" w:color="000000" w:themeColor="text1"/>
              <w:bottom w:val="single" w:sz="4" w:space="0" w:color="000000" w:themeColor="text1"/>
            </w:tcBorders>
            <w:noWrap/>
          </w:tcPr>
          <w:p w14:paraId="4C1F2DE9" w14:textId="77777777" w:rsidR="005B131E" w:rsidRPr="00BA7805" w:rsidRDefault="005B131E" w:rsidP="002542E1">
            <w:pPr>
              <w:pStyle w:val="ARfintablebodyrightbold8pt"/>
              <w:rPr>
                <w:sz w:val="15"/>
                <w:szCs w:val="15"/>
                <w:highlight w:val="green"/>
              </w:rPr>
            </w:pPr>
            <w:r w:rsidRPr="004673CE">
              <w:t>16.4</w:t>
            </w:r>
          </w:p>
        </w:tc>
        <w:tc>
          <w:tcPr>
            <w:tcW w:w="739" w:type="dxa"/>
            <w:tcBorders>
              <w:top w:val="single" w:sz="4" w:space="0" w:color="000000" w:themeColor="text1"/>
              <w:bottom w:val="single" w:sz="4" w:space="0" w:color="000000" w:themeColor="text1"/>
            </w:tcBorders>
            <w:noWrap/>
          </w:tcPr>
          <w:p w14:paraId="63312A12" w14:textId="77777777" w:rsidR="005B131E" w:rsidRPr="00BA7805" w:rsidRDefault="005B131E" w:rsidP="002542E1">
            <w:pPr>
              <w:pStyle w:val="ARfintablebodyrightbold8pt"/>
              <w:rPr>
                <w:sz w:val="15"/>
                <w:szCs w:val="15"/>
                <w:highlight w:val="green"/>
              </w:rPr>
            </w:pPr>
            <w:r w:rsidRPr="004673CE">
              <w:t>11.8</w:t>
            </w:r>
          </w:p>
        </w:tc>
        <w:tc>
          <w:tcPr>
            <w:tcW w:w="738" w:type="dxa"/>
            <w:tcBorders>
              <w:top w:val="single" w:sz="4" w:space="0" w:color="000000" w:themeColor="text1"/>
              <w:bottom w:val="single" w:sz="4" w:space="0" w:color="000000" w:themeColor="text1"/>
            </w:tcBorders>
            <w:noWrap/>
          </w:tcPr>
          <w:p w14:paraId="7027D9FD" w14:textId="77777777" w:rsidR="005B131E" w:rsidRPr="00BA7805" w:rsidRDefault="005B131E" w:rsidP="002542E1">
            <w:pPr>
              <w:pStyle w:val="ARfintablebodyrightbold8pt"/>
              <w:rPr>
                <w:sz w:val="15"/>
                <w:szCs w:val="15"/>
                <w:highlight w:val="green"/>
              </w:rPr>
            </w:pPr>
            <w:r w:rsidRPr="004673CE">
              <w:t>22.7</w:t>
            </w:r>
          </w:p>
        </w:tc>
        <w:tc>
          <w:tcPr>
            <w:tcW w:w="739" w:type="dxa"/>
            <w:tcBorders>
              <w:top w:val="single" w:sz="4" w:space="0" w:color="000000" w:themeColor="text1"/>
              <w:bottom w:val="single" w:sz="4" w:space="0" w:color="000000" w:themeColor="text1"/>
            </w:tcBorders>
            <w:noWrap/>
          </w:tcPr>
          <w:p w14:paraId="43E2BCDD" w14:textId="77777777" w:rsidR="005B131E" w:rsidRPr="00BA7805" w:rsidRDefault="005B131E" w:rsidP="002542E1">
            <w:pPr>
              <w:pStyle w:val="ARfintablebodyrightbold8pt"/>
              <w:rPr>
                <w:sz w:val="15"/>
                <w:szCs w:val="15"/>
                <w:highlight w:val="green"/>
              </w:rPr>
            </w:pPr>
            <w:r w:rsidRPr="004673CE">
              <w:t>36.9</w:t>
            </w:r>
          </w:p>
        </w:tc>
        <w:tc>
          <w:tcPr>
            <w:tcW w:w="739" w:type="dxa"/>
            <w:tcBorders>
              <w:top w:val="single" w:sz="4" w:space="0" w:color="000000" w:themeColor="text1"/>
              <w:bottom w:val="single" w:sz="4" w:space="0" w:color="000000" w:themeColor="text1"/>
            </w:tcBorders>
            <w:noWrap/>
          </w:tcPr>
          <w:p w14:paraId="6C745129" w14:textId="77777777" w:rsidR="005B131E" w:rsidRPr="00BA7805" w:rsidRDefault="005B131E" w:rsidP="002542E1">
            <w:pPr>
              <w:pStyle w:val="ARfintablebodyrightbold8pt"/>
              <w:rPr>
                <w:sz w:val="15"/>
                <w:szCs w:val="15"/>
                <w:highlight w:val="green"/>
              </w:rPr>
            </w:pPr>
            <w:r w:rsidRPr="004673CE">
              <w:t>33.7</w:t>
            </w:r>
          </w:p>
        </w:tc>
        <w:tc>
          <w:tcPr>
            <w:tcW w:w="739" w:type="dxa"/>
            <w:tcBorders>
              <w:top w:val="single" w:sz="4" w:space="0" w:color="000000" w:themeColor="text1"/>
              <w:bottom w:val="single" w:sz="4" w:space="0" w:color="000000" w:themeColor="text1"/>
            </w:tcBorders>
            <w:noWrap/>
          </w:tcPr>
          <w:p w14:paraId="455A7ACB" w14:textId="77777777" w:rsidR="005B131E" w:rsidRPr="00BA7805" w:rsidRDefault="005B131E" w:rsidP="002542E1">
            <w:pPr>
              <w:pStyle w:val="ARfintablebodyrightbold8pt"/>
              <w:rPr>
                <w:sz w:val="15"/>
                <w:szCs w:val="15"/>
                <w:highlight w:val="green"/>
              </w:rPr>
            </w:pPr>
            <w:r w:rsidRPr="004673CE">
              <w:t>19.8</w:t>
            </w:r>
          </w:p>
        </w:tc>
        <w:tc>
          <w:tcPr>
            <w:tcW w:w="738" w:type="dxa"/>
            <w:tcBorders>
              <w:top w:val="single" w:sz="4" w:space="0" w:color="000000" w:themeColor="text1"/>
              <w:bottom w:val="single" w:sz="4" w:space="0" w:color="000000" w:themeColor="text1"/>
            </w:tcBorders>
            <w:noWrap/>
          </w:tcPr>
          <w:p w14:paraId="3B25A2FA" w14:textId="77777777" w:rsidR="005B131E" w:rsidRPr="00BA7805" w:rsidRDefault="005B131E" w:rsidP="002542E1">
            <w:pPr>
              <w:pStyle w:val="ARfintablebodyrightbold8pt"/>
              <w:rPr>
                <w:sz w:val="15"/>
                <w:szCs w:val="15"/>
                <w:highlight w:val="green"/>
              </w:rPr>
            </w:pPr>
            <w:r w:rsidRPr="004673CE">
              <w:t>109.7</w:t>
            </w:r>
          </w:p>
        </w:tc>
        <w:tc>
          <w:tcPr>
            <w:tcW w:w="739" w:type="dxa"/>
            <w:tcBorders>
              <w:top w:val="single" w:sz="4" w:space="0" w:color="000000" w:themeColor="text1"/>
              <w:bottom w:val="single" w:sz="4" w:space="0" w:color="000000" w:themeColor="text1"/>
            </w:tcBorders>
            <w:noWrap/>
          </w:tcPr>
          <w:p w14:paraId="2DEA1382" w14:textId="77777777" w:rsidR="005B131E" w:rsidRPr="00BA7805" w:rsidRDefault="005B131E" w:rsidP="002542E1">
            <w:pPr>
              <w:pStyle w:val="ARfintablebodyrightbold8pt"/>
              <w:rPr>
                <w:sz w:val="15"/>
                <w:szCs w:val="15"/>
                <w:highlight w:val="green"/>
              </w:rPr>
            </w:pPr>
            <w:r w:rsidRPr="004673CE">
              <w:t>37,097.5</w:t>
            </w:r>
          </w:p>
        </w:tc>
        <w:tc>
          <w:tcPr>
            <w:tcW w:w="739" w:type="dxa"/>
            <w:tcBorders>
              <w:top w:val="single" w:sz="4" w:space="0" w:color="000000" w:themeColor="text1"/>
              <w:bottom w:val="single" w:sz="4" w:space="0" w:color="000000" w:themeColor="text1"/>
            </w:tcBorders>
          </w:tcPr>
          <w:p w14:paraId="07FB2F08" w14:textId="77777777" w:rsidR="005B131E" w:rsidRPr="004673CE" w:rsidRDefault="005B131E" w:rsidP="002542E1">
            <w:pPr>
              <w:pStyle w:val="ARfintablebodyrightbold8pt"/>
            </w:pPr>
            <w:r>
              <w:t>–</w:t>
            </w:r>
          </w:p>
        </w:tc>
        <w:tc>
          <w:tcPr>
            <w:tcW w:w="739" w:type="dxa"/>
            <w:tcBorders>
              <w:top w:val="single" w:sz="4" w:space="0" w:color="000000" w:themeColor="text1"/>
              <w:bottom w:val="single" w:sz="4" w:space="0" w:color="000000" w:themeColor="text1"/>
            </w:tcBorders>
            <w:noWrap/>
          </w:tcPr>
          <w:p w14:paraId="4A48005A" w14:textId="77777777" w:rsidR="005B131E" w:rsidRPr="00BA7805" w:rsidRDefault="005B131E" w:rsidP="002542E1">
            <w:pPr>
              <w:pStyle w:val="ARfintablebodyrightbold8pt"/>
              <w:rPr>
                <w:sz w:val="15"/>
                <w:szCs w:val="15"/>
                <w:highlight w:val="green"/>
              </w:rPr>
            </w:pPr>
            <w:r w:rsidRPr="004673CE">
              <w:t>38,562.</w:t>
            </w:r>
            <w:r>
              <w:t>3</w:t>
            </w:r>
          </w:p>
        </w:tc>
      </w:tr>
    </w:tbl>
    <w:p w14:paraId="55272CA6" w14:textId="77777777" w:rsidR="005B131E" w:rsidRDefault="005B131E" w:rsidP="002542E1">
      <w:pPr>
        <w:pStyle w:val="ARfintablefootnote"/>
      </w:pPr>
      <w:r>
        <w:t>Note:</w:t>
      </w:r>
    </w:p>
    <w:p w14:paraId="5AE8CD5F" w14:textId="77777777" w:rsidR="005B131E" w:rsidRDefault="005B131E" w:rsidP="002542E1">
      <w:pPr>
        <w:pStyle w:val="ARfintablefootnotetabindent"/>
      </w:pPr>
      <w:r w:rsidRPr="00F975E0">
        <w:t xml:space="preserve">(i) </w:t>
      </w:r>
      <w:r>
        <w:tab/>
      </w:r>
      <w:r w:rsidRPr="00F975E0">
        <w:t>Refer to Note 4.1.1 for output definitions.</w:t>
      </w:r>
    </w:p>
    <w:p w14:paraId="301B9306" w14:textId="77777777" w:rsidR="005B131E" w:rsidRDefault="005B131E" w:rsidP="002542E1">
      <w:pPr>
        <w:pStyle w:val="ARbody"/>
      </w:pPr>
    </w:p>
    <w:tbl>
      <w:tblPr>
        <w:tblStyle w:val="TableGrid"/>
        <w:tblW w:w="5000" w:type="pct"/>
        <w:tblLayout w:type="fixed"/>
        <w:tblCellMar>
          <w:right w:w="0" w:type="dxa"/>
        </w:tblCellMar>
        <w:tblLook w:val="06A0" w:firstRow="1" w:lastRow="0" w:firstColumn="1" w:lastColumn="0" w:noHBand="1" w:noVBand="1"/>
      </w:tblPr>
      <w:tblGrid>
        <w:gridCol w:w="1887"/>
        <w:gridCol w:w="738"/>
        <w:gridCol w:w="739"/>
        <w:gridCol w:w="739"/>
        <w:gridCol w:w="739"/>
        <w:gridCol w:w="739"/>
        <w:gridCol w:w="739"/>
        <w:gridCol w:w="739"/>
        <w:gridCol w:w="739"/>
        <w:gridCol w:w="738"/>
        <w:gridCol w:w="739"/>
        <w:gridCol w:w="739"/>
        <w:gridCol w:w="739"/>
        <w:gridCol w:w="739"/>
        <w:gridCol w:w="739"/>
        <w:gridCol w:w="739"/>
        <w:gridCol w:w="739"/>
      </w:tblGrid>
      <w:tr w:rsidR="005B131E" w:rsidRPr="00BA7805" w14:paraId="13E8E64F" w14:textId="77777777" w:rsidTr="002542E1">
        <w:trPr>
          <w:cnfStyle w:val="100000000000" w:firstRow="1" w:lastRow="0" w:firstColumn="0" w:lastColumn="0" w:oddVBand="0" w:evenVBand="0" w:oddHBand="0" w:evenHBand="0" w:firstRowFirstColumn="0" w:firstRowLastColumn="0" w:lastRowFirstColumn="0" w:lastRowLastColumn="0"/>
          <w:trHeight w:val="170"/>
        </w:trPr>
        <w:tc>
          <w:tcPr>
            <w:tcW w:w="1887" w:type="dxa"/>
            <w:tcBorders>
              <w:top w:val="single" w:sz="4" w:space="0" w:color="BFBFBF" w:themeColor="background1" w:themeShade="BF"/>
              <w:bottom w:val="single" w:sz="4" w:space="0" w:color="000000" w:themeColor="text1"/>
            </w:tcBorders>
            <w:shd w:val="clear" w:color="auto" w:fill="auto"/>
          </w:tcPr>
          <w:p w14:paraId="2CE41B08" w14:textId="77777777" w:rsidR="005B131E" w:rsidRDefault="005B131E" w:rsidP="002542E1">
            <w:pPr>
              <w:pStyle w:val="ARfintablebodybold8pt"/>
            </w:pPr>
            <w:r w:rsidRPr="00F975E0">
              <w:t xml:space="preserve">Output </w:t>
            </w:r>
            <w:r w:rsidRPr="008A69DE">
              <w:rPr>
                <w:vertAlign w:val="superscript"/>
              </w:rPr>
              <w:t>(i)</w:t>
            </w:r>
          </w:p>
          <w:p w14:paraId="45EDD12E" w14:textId="77777777" w:rsidR="005B131E" w:rsidRPr="00BA7805" w:rsidRDefault="005B131E" w:rsidP="002542E1">
            <w:pPr>
              <w:pStyle w:val="ARfintablebodybold8pt"/>
              <w:rPr>
                <w:sz w:val="15"/>
                <w:highlight w:val="green"/>
              </w:rPr>
            </w:pPr>
            <w:r w:rsidRPr="00F975E0">
              <w:t>2023</w:t>
            </w:r>
          </w:p>
        </w:tc>
        <w:tc>
          <w:tcPr>
            <w:tcW w:w="738" w:type="dxa"/>
            <w:tcBorders>
              <w:top w:val="single" w:sz="4" w:space="0" w:color="BFBFBF" w:themeColor="background1" w:themeShade="BF"/>
              <w:bottom w:val="single" w:sz="4" w:space="0" w:color="000000" w:themeColor="text1"/>
            </w:tcBorders>
            <w:noWrap/>
          </w:tcPr>
          <w:p w14:paraId="4F7EB24B" w14:textId="77777777" w:rsidR="005B131E" w:rsidRPr="00F4268B" w:rsidRDefault="005B131E" w:rsidP="002542E1">
            <w:pPr>
              <w:pStyle w:val="ARfintablecolheadright8"/>
            </w:pPr>
            <w:r w:rsidRPr="00F4268B">
              <w:t>1</w:t>
            </w:r>
          </w:p>
          <w:p w14:paraId="4A8AC641"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48E491BE" w14:textId="77777777" w:rsidR="005B131E" w:rsidRPr="00F4268B" w:rsidRDefault="005B131E" w:rsidP="002542E1">
            <w:pPr>
              <w:pStyle w:val="ARfintablecolheadright8"/>
            </w:pPr>
            <w:r w:rsidRPr="00F4268B">
              <w:t>2</w:t>
            </w:r>
          </w:p>
          <w:p w14:paraId="03B7EF9B"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426FCF05" w14:textId="77777777" w:rsidR="005B131E" w:rsidRPr="00F4268B" w:rsidRDefault="005B131E" w:rsidP="002542E1">
            <w:pPr>
              <w:pStyle w:val="ARfintablecolheadright8"/>
            </w:pPr>
            <w:r w:rsidRPr="00F4268B">
              <w:t>3</w:t>
            </w:r>
          </w:p>
          <w:p w14:paraId="5665D81E"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1C20E6EB" w14:textId="77777777" w:rsidR="005B131E" w:rsidRPr="00F4268B" w:rsidRDefault="005B131E" w:rsidP="002542E1">
            <w:pPr>
              <w:pStyle w:val="ARfintablecolheadright8"/>
            </w:pPr>
            <w:r w:rsidRPr="00F4268B">
              <w:t xml:space="preserve">4 </w:t>
            </w:r>
          </w:p>
          <w:p w14:paraId="35478E0D"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152169E8" w14:textId="77777777" w:rsidR="005B131E" w:rsidRPr="00F4268B" w:rsidRDefault="005B131E" w:rsidP="002542E1">
            <w:pPr>
              <w:pStyle w:val="ARfintablecolheadright8"/>
            </w:pPr>
            <w:r w:rsidRPr="00F4268B">
              <w:t>5</w:t>
            </w:r>
          </w:p>
          <w:p w14:paraId="3DE8B350"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2333C939" w14:textId="77777777" w:rsidR="005B131E" w:rsidRPr="00F4268B" w:rsidRDefault="005B131E" w:rsidP="002542E1">
            <w:pPr>
              <w:pStyle w:val="ARfintablecolheadright8"/>
            </w:pPr>
            <w:r w:rsidRPr="00F4268B">
              <w:t>6</w:t>
            </w:r>
          </w:p>
          <w:p w14:paraId="14BB5C49"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72D0286B" w14:textId="77777777" w:rsidR="005B131E" w:rsidRPr="00F4268B" w:rsidRDefault="005B131E" w:rsidP="002542E1">
            <w:pPr>
              <w:pStyle w:val="ARfintablecolheadright8"/>
            </w:pPr>
            <w:r w:rsidRPr="00F4268B">
              <w:t>7</w:t>
            </w:r>
          </w:p>
          <w:p w14:paraId="36AB9126"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6EEC3771" w14:textId="77777777" w:rsidR="005B131E" w:rsidRPr="00F4268B" w:rsidRDefault="005B131E" w:rsidP="002542E1">
            <w:pPr>
              <w:pStyle w:val="ARfintablecolheadright8"/>
            </w:pPr>
            <w:r w:rsidRPr="00F4268B">
              <w:t>8</w:t>
            </w:r>
          </w:p>
          <w:p w14:paraId="7717E5AE" w14:textId="77777777" w:rsidR="005B131E" w:rsidRPr="006748D0" w:rsidRDefault="005B131E" w:rsidP="002542E1">
            <w:pPr>
              <w:pStyle w:val="ARfintablebodyrightbold8pt"/>
              <w:rPr>
                <w:highlight w:val="green"/>
              </w:rPr>
            </w:pPr>
            <w:r w:rsidRPr="00F4268B">
              <w:t>$M</w:t>
            </w:r>
          </w:p>
        </w:tc>
        <w:tc>
          <w:tcPr>
            <w:tcW w:w="738" w:type="dxa"/>
            <w:tcBorders>
              <w:top w:val="single" w:sz="4" w:space="0" w:color="BFBFBF" w:themeColor="background1" w:themeShade="BF"/>
              <w:bottom w:val="single" w:sz="4" w:space="0" w:color="000000" w:themeColor="text1"/>
            </w:tcBorders>
            <w:noWrap/>
          </w:tcPr>
          <w:p w14:paraId="6AD33952" w14:textId="77777777" w:rsidR="005B131E" w:rsidRPr="00F4268B" w:rsidRDefault="005B131E" w:rsidP="002542E1">
            <w:pPr>
              <w:pStyle w:val="ARfintablecolheadright8"/>
            </w:pPr>
            <w:r w:rsidRPr="00F4268B">
              <w:t>9</w:t>
            </w:r>
          </w:p>
          <w:p w14:paraId="444AFB65"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0B9B2E3B" w14:textId="77777777" w:rsidR="005B131E" w:rsidRPr="00F4268B" w:rsidRDefault="005B131E" w:rsidP="002542E1">
            <w:pPr>
              <w:pStyle w:val="ARfintablecolheadright8"/>
            </w:pPr>
            <w:r w:rsidRPr="00F4268B">
              <w:t>10</w:t>
            </w:r>
          </w:p>
          <w:p w14:paraId="5B494D6C"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262C06B9" w14:textId="77777777" w:rsidR="005B131E" w:rsidRPr="00F4268B" w:rsidRDefault="005B131E" w:rsidP="002542E1">
            <w:pPr>
              <w:pStyle w:val="ARfintablecolheadright8"/>
            </w:pPr>
            <w:r w:rsidRPr="00F4268B">
              <w:t>11</w:t>
            </w:r>
          </w:p>
          <w:p w14:paraId="020A9C8F"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6C24DA03" w14:textId="77777777" w:rsidR="005B131E" w:rsidRPr="00F4268B" w:rsidRDefault="005B131E" w:rsidP="002542E1">
            <w:pPr>
              <w:pStyle w:val="ARfintablecolheadright8"/>
            </w:pPr>
            <w:r w:rsidRPr="00F4268B">
              <w:t>12</w:t>
            </w:r>
          </w:p>
          <w:p w14:paraId="5CCC8A8B"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2DEBE52B" w14:textId="77777777" w:rsidR="005B131E" w:rsidRPr="00F4268B" w:rsidRDefault="005B131E" w:rsidP="002542E1">
            <w:pPr>
              <w:pStyle w:val="ARfintablecolheadright8"/>
            </w:pPr>
            <w:r w:rsidRPr="00F4268B">
              <w:t>13</w:t>
            </w:r>
          </w:p>
          <w:p w14:paraId="4DC360F6"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noWrap/>
          </w:tcPr>
          <w:p w14:paraId="5B6B9C00" w14:textId="77777777" w:rsidR="005B131E" w:rsidRPr="00F4268B" w:rsidRDefault="005B131E" w:rsidP="002542E1">
            <w:pPr>
              <w:pStyle w:val="ARfintablecolheadright8"/>
            </w:pPr>
            <w:r w:rsidRPr="00F4268B">
              <w:t>14</w:t>
            </w:r>
          </w:p>
          <w:p w14:paraId="4A4C95A6" w14:textId="77777777" w:rsidR="005B131E" w:rsidRPr="006748D0" w:rsidRDefault="005B131E" w:rsidP="002542E1">
            <w:pPr>
              <w:pStyle w:val="ARfintablebodyrightbold8pt"/>
              <w:rPr>
                <w:highlight w:val="green"/>
              </w:rPr>
            </w:pPr>
            <w:r w:rsidRPr="00F4268B">
              <w:t>$M</w:t>
            </w:r>
          </w:p>
        </w:tc>
        <w:tc>
          <w:tcPr>
            <w:tcW w:w="739" w:type="dxa"/>
            <w:tcBorders>
              <w:top w:val="single" w:sz="4" w:space="0" w:color="BFBFBF" w:themeColor="background1" w:themeShade="BF"/>
              <w:bottom w:val="single" w:sz="4" w:space="0" w:color="000000" w:themeColor="text1"/>
            </w:tcBorders>
          </w:tcPr>
          <w:p w14:paraId="7715DF7D" w14:textId="77777777" w:rsidR="005B131E" w:rsidRDefault="005B131E" w:rsidP="002542E1">
            <w:pPr>
              <w:pStyle w:val="ARfintablecolheadright8"/>
            </w:pPr>
            <w:r>
              <w:t>Elimin-</w:t>
            </w:r>
            <w:r>
              <w:br/>
              <w:t>ation</w:t>
            </w:r>
          </w:p>
          <w:p w14:paraId="1D2BA49D" w14:textId="77777777" w:rsidR="005B131E" w:rsidRPr="00F4268B" w:rsidRDefault="005B131E" w:rsidP="002542E1">
            <w:pPr>
              <w:pStyle w:val="ARfintablecolheadright8"/>
            </w:pPr>
            <w:r>
              <w:t>$M</w:t>
            </w:r>
          </w:p>
        </w:tc>
        <w:tc>
          <w:tcPr>
            <w:tcW w:w="739" w:type="dxa"/>
            <w:tcBorders>
              <w:top w:val="single" w:sz="4" w:space="0" w:color="BFBFBF" w:themeColor="background1" w:themeShade="BF"/>
              <w:bottom w:val="single" w:sz="4" w:space="0" w:color="000000" w:themeColor="text1"/>
            </w:tcBorders>
            <w:noWrap/>
          </w:tcPr>
          <w:p w14:paraId="2E56EB96" w14:textId="77777777" w:rsidR="005B131E" w:rsidRPr="00F4268B" w:rsidRDefault="005B131E" w:rsidP="002542E1">
            <w:pPr>
              <w:pStyle w:val="ARfintablecolheadright8"/>
            </w:pPr>
            <w:r w:rsidRPr="00F4268B">
              <w:t>Total</w:t>
            </w:r>
          </w:p>
          <w:p w14:paraId="57989715" w14:textId="77777777" w:rsidR="005B131E" w:rsidRPr="006748D0" w:rsidRDefault="005B131E" w:rsidP="002542E1">
            <w:pPr>
              <w:pStyle w:val="ARfintablebodyrightbold8pt"/>
              <w:rPr>
                <w:highlight w:val="green"/>
              </w:rPr>
            </w:pPr>
            <w:r w:rsidRPr="00F4268B">
              <w:t>$M</w:t>
            </w:r>
          </w:p>
        </w:tc>
      </w:tr>
      <w:tr w:rsidR="005B131E" w:rsidRPr="00BA7805" w14:paraId="5C36C662" w14:textId="77777777" w:rsidTr="002542E1">
        <w:trPr>
          <w:trHeight w:val="170"/>
        </w:trPr>
        <w:tc>
          <w:tcPr>
            <w:tcW w:w="1887" w:type="dxa"/>
            <w:tcBorders>
              <w:top w:val="single" w:sz="4" w:space="0" w:color="000000" w:themeColor="text1"/>
              <w:bottom w:val="single" w:sz="4" w:space="0" w:color="BFBFBF" w:themeColor="background1" w:themeShade="BF"/>
            </w:tcBorders>
            <w:shd w:val="clear" w:color="auto" w:fill="auto"/>
          </w:tcPr>
          <w:p w14:paraId="68D82AD4" w14:textId="77777777" w:rsidR="005B131E" w:rsidRPr="00BA7805" w:rsidRDefault="005B131E" w:rsidP="002542E1">
            <w:pPr>
              <w:pStyle w:val="ARfintablebodybold8pt"/>
              <w:rPr>
                <w:highlight w:val="green"/>
              </w:rPr>
            </w:pPr>
            <w:r w:rsidRPr="00F975E0">
              <w:t>Assets</w:t>
            </w:r>
          </w:p>
        </w:tc>
        <w:tc>
          <w:tcPr>
            <w:tcW w:w="738" w:type="dxa"/>
            <w:tcBorders>
              <w:top w:val="single" w:sz="4" w:space="0" w:color="000000" w:themeColor="text1"/>
              <w:bottom w:val="single" w:sz="4" w:space="0" w:color="BFBFBF" w:themeColor="background1" w:themeShade="BF"/>
            </w:tcBorders>
            <w:noWrap/>
          </w:tcPr>
          <w:p w14:paraId="47F007D1"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5E68BFFB"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399DEF7"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10BA150"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6638765E"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1F21DB2D"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0E21DD1"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2D9EDE47" w14:textId="77777777" w:rsidR="005B131E" w:rsidRPr="00BA7805" w:rsidRDefault="005B131E" w:rsidP="002542E1">
            <w:pPr>
              <w:pStyle w:val="ARfintablebodyright8pt"/>
              <w:rPr>
                <w:highlight w:val="green"/>
              </w:rPr>
            </w:pPr>
          </w:p>
        </w:tc>
        <w:tc>
          <w:tcPr>
            <w:tcW w:w="738" w:type="dxa"/>
            <w:tcBorders>
              <w:top w:val="single" w:sz="4" w:space="0" w:color="000000" w:themeColor="text1"/>
              <w:bottom w:val="single" w:sz="4" w:space="0" w:color="BFBFBF" w:themeColor="background1" w:themeShade="BF"/>
            </w:tcBorders>
            <w:noWrap/>
          </w:tcPr>
          <w:p w14:paraId="42C20D4E"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29853610"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677DDA6"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6F7F2156"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B2EE024"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5059C7AD"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tcPr>
          <w:p w14:paraId="1F4E28C4"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147EB6C8" w14:textId="77777777" w:rsidR="005B131E" w:rsidRPr="00BA7805" w:rsidRDefault="005B131E" w:rsidP="002542E1">
            <w:pPr>
              <w:pStyle w:val="ARfintablebodyright8pt"/>
              <w:rPr>
                <w:highlight w:val="green"/>
              </w:rPr>
            </w:pPr>
          </w:p>
        </w:tc>
      </w:tr>
      <w:tr w:rsidR="005B131E" w:rsidRPr="00BA7805" w14:paraId="689A17FA" w14:textId="77777777" w:rsidTr="002542E1">
        <w:trPr>
          <w:trHeight w:val="170"/>
        </w:trPr>
        <w:tc>
          <w:tcPr>
            <w:tcW w:w="1887" w:type="dxa"/>
            <w:tcBorders>
              <w:top w:val="single" w:sz="4" w:space="0" w:color="BFBFBF" w:themeColor="background1" w:themeShade="BF"/>
              <w:bottom w:val="single" w:sz="4" w:space="0" w:color="BFBFBF" w:themeColor="background1" w:themeShade="BF"/>
            </w:tcBorders>
            <w:shd w:val="clear" w:color="auto" w:fill="auto"/>
          </w:tcPr>
          <w:p w14:paraId="3C65927E" w14:textId="77777777" w:rsidR="005B131E" w:rsidRPr="00BA7805" w:rsidRDefault="005B131E" w:rsidP="002542E1">
            <w:pPr>
              <w:pStyle w:val="ARfintablebody8pt"/>
              <w:rPr>
                <w:highlight w:val="green"/>
              </w:rPr>
            </w:pPr>
            <w:r w:rsidRPr="00F975E0">
              <w:t>Financial assets</w:t>
            </w:r>
          </w:p>
        </w:tc>
        <w:tc>
          <w:tcPr>
            <w:tcW w:w="738" w:type="dxa"/>
            <w:tcBorders>
              <w:top w:val="single" w:sz="4" w:space="0" w:color="BFBFBF" w:themeColor="background1" w:themeShade="BF"/>
              <w:bottom w:val="single" w:sz="4" w:space="0" w:color="BFBFBF" w:themeColor="background1" w:themeShade="BF"/>
            </w:tcBorders>
            <w:noWrap/>
          </w:tcPr>
          <w:p w14:paraId="1FB1AD0A" w14:textId="77777777" w:rsidR="005B131E" w:rsidRPr="00BA7805" w:rsidRDefault="005B131E" w:rsidP="002542E1">
            <w:pPr>
              <w:pStyle w:val="ARfintablebodyright8pt"/>
              <w:rPr>
                <w:highlight w:val="green"/>
              </w:rPr>
            </w:pPr>
            <w:r w:rsidRPr="00CD1DD1">
              <w:t>197.6</w:t>
            </w:r>
          </w:p>
        </w:tc>
        <w:tc>
          <w:tcPr>
            <w:tcW w:w="739" w:type="dxa"/>
            <w:tcBorders>
              <w:top w:val="single" w:sz="4" w:space="0" w:color="BFBFBF" w:themeColor="background1" w:themeShade="BF"/>
              <w:bottom w:val="single" w:sz="4" w:space="0" w:color="BFBFBF" w:themeColor="background1" w:themeShade="BF"/>
            </w:tcBorders>
            <w:noWrap/>
          </w:tcPr>
          <w:p w14:paraId="7E48141F" w14:textId="77777777" w:rsidR="005B131E" w:rsidRPr="00BA7805" w:rsidRDefault="005B131E" w:rsidP="002542E1">
            <w:pPr>
              <w:pStyle w:val="ARfintablebodyright8pt"/>
              <w:rPr>
                <w:highlight w:val="green"/>
              </w:rPr>
            </w:pPr>
            <w:r w:rsidRPr="00CD1DD1">
              <w:t>193.3</w:t>
            </w:r>
          </w:p>
        </w:tc>
        <w:tc>
          <w:tcPr>
            <w:tcW w:w="739" w:type="dxa"/>
            <w:tcBorders>
              <w:top w:val="single" w:sz="4" w:space="0" w:color="BFBFBF" w:themeColor="background1" w:themeShade="BF"/>
              <w:bottom w:val="single" w:sz="4" w:space="0" w:color="BFBFBF" w:themeColor="background1" w:themeShade="BF"/>
            </w:tcBorders>
            <w:noWrap/>
          </w:tcPr>
          <w:p w14:paraId="2E38F202" w14:textId="77777777" w:rsidR="005B131E" w:rsidRPr="00BA7805" w:rsidRDefault="005B131E" w:rsidP="002542E1">
            <w:pPr>
              <w:pStyle w:val="ARfintablebodyright8pt"/>
              <w:rPr>
                <w:highlight w:val="green"/>
              </w:rPr>
            </w:pPr>
            <w:r w:rsidRPr="00CD1DD1">
              <w:t>169.8</w:t>
            </w:r>
          </w:p>
        </w:tc>
        <w:tc>
          <w:tcPr>
            <w:tcW w:w="739" w:type="dxa"/>
            <w:tcBorders>
              <w:top w:val="single" w:sz="4" w:space="0" w:color="BFBFBF" w:themeColor="background1" w:themeShade="BF"/>
              <w:bottom w:val="single" w:sz="4" w:space="0" w:color="BFBFBF" w:themeColor="background1" w:themeShade="BF"/>
            </w:tcBorders>
            <w:noWrap/>
          </w:tcPr>
          <w:p w14:paraId="59A8FD3C" w14:textId="77777777" w:rsidR="005B131E" w:rsidRPr="00BA7805" w:rsidRDefault="005B131E" w:rsidP="002542E1">
            <w:pPr>
              <w:pStyle w:val="ARfintablebodyright8pt"/>
              <w:rPr>
                <w:highlight w:val="green"/>
              </w:rPr>
            </w:pPr>
            <w:r w:rsidRPr="00CD1DD1">
              <w:t>10.4</w:t>
            </w:r>
          </w:p>
        </w:tc>
        <w:tc>
          <w:tcPr>
            <w:tcW w:w="739" w:type="dxa"/>
            <w:tcBorders>
              <w:top w:val="single" w:sz="4" w:space="0" w:color="BFBFBF" w:themeColor="background1" w:themeShade="BF"/>
              <w:bottom w:val="single" w:sz="4" w:space="0" w:color="BFBFBF" w:themeColor="background1" w:themeShade="BF"/>
            </w:tcBorders>
            <w:noWrap/>
          </w:tcPr>
          <w:p w14:paraId="4307BDB7" w14:textId="77777777" w:rsidR="005B131E" w:rsidRPr="00BA7805" w:rsidRDefault="005B131E" w:rsidP="002542E1">
            <w:pPr>
              <w:pStyle w:val="ARfintablebodyright8pt"/>
              <w:rPr>
                <w:highlight w:val="green"/>
              </w:rPr>
            </w:pPr>
            <w:r w:rsidRPr="00CD1DD1">
              <w:t>8.2</w:t>
            </w:r>
          </w:p>
        </w:tc>
        <w:tc>
          <w:tcPr>
            <w:tcW w:w="739" w:type="dxa"/>
            <w:tcBorders>
              <w:top w:val="single" w:sz="4" w:space="0" w:color="BFBFBF" w:themeColor="background1" w:themeShade="BF"/>
              <w:bottom w:val="single" w:sz="4" w:space="0" w:color="BFBFBF" w:themeColor="background1" w:themeShade="BF"/>
            </w:tcBorders>
            <w:noWrap/>
          </w:tcPr>
          <w:p w14:paraId="1B05E3EF" w14:textId="77777777" w:rsidR="005B131E" w:rsidRPr="00BA7805" w:rsidRDefault="005B131E" w:rsidP="002542E1">
            <w:pPr>
              <w:pStyle w:val="ARfintablebodyright8pt"/>
              <w:rPr>
                <w:highlight w:val="green"/>
              </w:rPr>
            </w:pPr>
            <w:r w:rsidRPr="00CD1DD1">
              <w:t>14.5</w:t>
            </w:r>
          </w:p>
        </w:tc>
        <w:tc>
          <w:tcPr>
            <w:tcW w:w="739" w:type="dxa"/>
            <w:tcBorders>
              <w:top w:val="single" w:sz="4" w:space="0" w:color="BFBFBF" w:themeColor="background1" w:themeShade="BF"/>
              <w:bottom w:val="single" w:sz="4" w:space="0" w:color="BFBFBF" w:themeColor="background1" w:themeShade="BF"/>
            </w:tcBorders>
            <w:noWrap/>
          </w:tcPr>
          <w:p w14:paraId="4C06021E" w14:textId="77777777" w:rsidR="005B131E" w:rsidRPr="00BA7805" w:rsidRDefault="005B131E" w:rsidP="002542E1">
            <w:pPr>
              <w:pStyle w:val="ARfintablebodyright8pt"/>
              <w:rPr>
                <w:highlight w:val="green"/>
              </w:rPr>
            </w:pPr>
            <w:r w:rsidRPr="00CD1DD1">
              <w:t>13.9</w:t>
            </w:r>
          </w:p>
        </w:tc>
        <w:tc>
          <w:tcPr>
            <w:tcW w:w="739" w:type="dxa"/>
            <w:tcBorders>
              <w:top w:val="single" w:sz="4" w:space="0" w:color="BFBFBF" w:themeColor="background1" w:themeShade="BF"/>
              <w:bottom w:val="single" w:sz="4" w:space="0" w:color="BFBFBF" w:themeColor="background1" w:themeShade="BF"/>
            </w:tcBorders>
            <w:noWrap/>
          </w:tcPr>
          <w:p w14:paraId="1D8C1EE1" w14:textId="77777777" w:rsidR="005B131E" w:rsidRPr="00BA7805" w:rsidRDefault="005B131E" w:rsidP="002542E1">
            <w:pPr>
              <w:pStyle w:val="ARfintablebodyright8pt"/>
              <w:rPr>
                <w:highlight w:val="green"/>
              </w:rPr>
            </w:pPr>
            <w:r w:rsidRPr="00CD1DD1">
              <w:t>3.7</w:t>
            </w:r>
          </w:p>
        </w:tc>
        <w:tc>
          <w:tcPr>
            <w:tcW w:w="738" w:type="dxa"/>
            <w:tcBorders>
              <w:top w:val="single" w:sz="4" w:space="0" w:color="BFBFBF" w:themeColor="background1" w:themeShade="BF"/>
              <w:bottom w:val="single" w:sz="4" w:space="0" w:color="BFBFBF" w:themeColor="background1" w:themeShade="BF"/>
            </w:tcBorders>
            <w:noWrap/>
          </w:tcPr>
          <w:p w14:paraId="23895962" w14:textId="77777777" w:rsidR="005B131E" w:rsidRPr="00BA7805" w:rsidRDefault="005B131E" w:rsidP="002542E1">
            <w:pPr>
              <w:pStyle w:val="ARfintablebodyright8pt"/>
              <w:rPr>
                <w:highlight w:val="green"/>
              </w:rPr>
            </w:pPr>
            <w:r w:rsidRPr="00CD1DD1">
              <w:t>13.7</w:t>
            </w:r>
          </w:p>
        </w:tc>
        <w:tc>
          <w:tcPr>
            <w:tcW w:w="739" w:type="dxa"/>
            <w:tcBorders>
              <w:top w:val="single" w:sz="4" w:space="0" w:color="BFBFBF" w:themeColor="background1" w:themeShade="BF"/>
              <w:bottom w:val="single" w:sz="4" w:space="0" w:color="BFBFBF" w:themeColor="background1" w:themeShade="BF"/>
            </w:tcBorders>
            <w:noWrap/>
          </w:tcPr>
          <w:p w14:paraId="6736CE8E" w14:textId="77777777" w:rsidR="005B131E" w:rsidRPr="00BA7805" w:rsidRDefault="005B131E" w:rsidP="002542E1">
            <w:pPr>
              <w:pStyle w:val="ARfintablebodyright8pt"/>
              <w:rPr>
                <w:highlight w:val="green"/>
              </w:rPr>
            </w:pPr>
            <w:r w:rsidRPr="00CD1DD1">
              <w:t>21.1</w:t>
            </w:r>
          </w:p>
        </w:tc>
        <w:tc>
          <w:tcPr>
            <w:tcW w:w="739" w:type="dxa"/>
            <w:tcBorders>
              <w:top w:val="single" w:sz="4" w:space="0" w:color="BFBFBF" w:themeColor="background1" w:themeShade="BF"/>
              <w:bottom w:val="single" w:sz="4" w:space="0" w:color="BFBFBF" w:themeColor="background1" w:themeShade="BF"/>
            </w:tcBorders>
            <w:noWrap/>
          </w:tcPr>
          <w:p w14:paraId="3C9F0224" w14:textId="77777777" w:rsidR="005B131E" w:rsidRPr="00BA7805" w:rsidRDefault="005B131E" w:rsidP="002542E1">
            <w:pPr>
              <w:pStyle w:val="ARfintablebodyright8pt"/>
              <w:rPr>
                <w:highlight w:val="green"/>
              </w:rPr>
            </w:pPr>
            <w:r w:rsidRPr="00CD1DD1">
              <w:t>32.8</w:t>
            </w:r>
          </w:p>
        </w:tc>
        <w:tc>
          <w:tcPr>
            <w:tcW w:w="739" w:type="dxa"/>
            <w:tcBorders>
              <w:top w:val="single" w:sz="4" w:space="0" w:color="BFBFBF" w:themeColor="background1" w:themeShade="BF"/>
              <w:bottom w:val="single" w:sz="4" w:space="0" w:color="BFBFBF" w:themeColor="background1" w:themeShade="BF"/>
            </w:tcBorders>
            <w:noWrap/>
          </w:tcPr>
          <w:p w14:paraId="3B21EFC7" w14:textId="77777777" w:rsidR="005B131E" w:rsidRPr="00BA7805" w:rsidRDefault="005B131E" w:rsidP="002542E1">
            <w:pPr>
              <w:pStyle w:val="ARfintablebodyright8pt"/>
              <w:rPr>
                <w:highlight w:val="green"/>
              </w:rPr>
            </w:pPr>
            <w:r w:rsidRPr="00CD1DD1">
              <w:t>58.1</w:t>
            </w:r>
          </w:p>
        </w:tc>
        <w:tc>
          <w:tcPr>
            <w:tcW w:w="739" w:type="dxa"/>
            <w:tcBorders>
              <w:top w:val="single" w:sz="4" w:space="0" w:color="BFBFBF" w:themeColor="background1" w:themeShade="BF"/>
              <w:bottom w:val="single" w:sz="4" w:space="0" w:color="BFBFBF" w:themeColor="background1" w:themeShade="BF"/>
            </w:tcBorders>
            <w:noWrap/>
          </w:tcPr>
          <w:p w14:paraId="1FF870D3" w14:textId="77777777" w:rsidR="005B131E" w:rsidRPr="00BA7805" w:rsidRDefault="005B131E" w:rsidP="002542E1">
            <w:pPr>
              <w:pStyle w:val="ARfintablebodyright8pt"/>
              <w:rPr>
                <w:highlight w:val="green"/>
              </w:rPr>
            </w:pPr>
            <w:r w:rsidRPr="00CD1DD1">
              <w:t>54.8</w:t>
            </w:r>
          </w:p>
        </w:tc>
        <w:tc>
          <w:tcPr>
            <w:tcW w:w="739" w:type="dxa"/>
            <w:tcBorders>
              <w:top w:val="single" w:sz="4" w:space="0" w:color="BFBFBF" w:themeColor="background1" w:themeShade="BF"/>
              <w:bottom w:val="single" w:sz="4" w:space="0" w:color="BFBFBF" w:themeColor="background1" w:themeShade="BF"/>
            </w:tcBorders>
            <w:noWrap/>
          </w:tcPr>
          <w:p w14:paraId="190D05BA" w14:textId="77777777" w:rsidR="005B131E" w:rsidRPr="00BA7805" w:rsidRDefault="005B131E" w:rsidP="002542E1">
            <w:pPr>
              <w:pStyle w:val="ARfintablebodyright8pt"/>
              <w:rPr>
                <w:highlight w:val="green"/>
              </w:rPr>
            </w:pPr>
            <w:r>
              <w:t>795.3</w:t>
            </w:r>
          </w:p>
        </w:tc>
        <w:tc>
          <w:tcPr>
            <w:tcW w:w="739" w:type="dxa"/>
            <w:tcBorders>
              <w:top w:val="single" w:sz="4" w:space="0" w:color="BFBFBF" w:themeColor="background1" w:themeShade="BF"/>
              <w:bottom w:val="single" w:sz="4" w:space="0" w:color="BFBFBF" w:themeColor="background1" w:themeShade="BF"/>
            </w:tcBorders>
          </w:tcPr>
          <w:p w14:paraId="23A17774" w14:textId="77777777" w:rsidR="005B131E" w:rsidRPr="00CD1DD1" w:rsidRDefault="005B131E" w:rsidP="002542E1">
            <w:pPr>
              <w:pStyle w:val="ARfintablebodyright8pt"/>
            </w:pPr>
            <w:r>
              <w:t>(36.0)</w:t>
            </w:r>
          </w:p>
        </w:tc>
        <w:tc>
          <w:tcPr>
            <w:tcW w:w="739" w:type="dxa"/>
            <w:tcBorders>
              <w:top w:val="single" w:sz="4" w:space="0" w:color="BFBFBF" w:themeColor="background1" w:themeShade="BF"/>
              <w:bottom w:val="single" w:sz="4" w:space="0" w:color="BFBFBF" w:themeColor="background1" w:themeShade="BF"/>
            </w:tcBorders>
            <w:noWrap/>
          </w:tcPr>
          <w:p w14:paraId="0470708A" w14:textId="77777777" w:rsidR="005B131E" w:rsidRPr="00BA7805" w:rsidRDefault="005B131E" w:rsidP="002542E1">
            <w:pPr>
              <w:pStyle w:val="ARfintablebodyright8pt"/>
              <w:rPr>
                <w:highlight w:val="green"/>
              </w:rPr>
            </w:pPr>
            <w:r w:rsidRPr="00CD1DD1">
              <w:t>1,551.1</w:t>
            </w:r>
          </w:p>
        </w:tc>
      </w:tr>
      <w:tr w:rsidR="005B131E" w:rsidRPr="00BA7805" w14:paraId="6A186429" w14:textId="77777777" w:rsidTr="002542E1">
        <w:trPr>
          <w:trHeight w:val="170"/>
        </w:trPr>
        <w:tc>
          <w:tcPr>
            <w:tcW w:w="1887" w:type="dxa"/>
            <w:tcBorders>
              <w:top w:val="single" w:sz="4" w:space="0" w:color="BFBFBF" w:themeColor="background1" w:themeShade="BF"/>
              <w:bottom w:val="single" w:sz="4" w:space="0" w:color="000000" w:themeColor="text1"/>
            </w:tcBorders>
            <w:shd w:val="clear" w:color="auto" w:fill="auto"/>
          </w:tcPr>
          <w:p w14:paraId="7A96B459" w14:textId="77777777" w:rsidR="005B131E" w:rsidRPr="00BA7805" w:rsidRDefault="005B131E" w:rsidP="002542E1">
            <w:pPr>
              <w:pStyle w:val="ARfintablebody8pt"/>
              <w:rPr>
                <w:highlight w:val="green"/>
              </w:rPr>
            </w:pPr>
            <w:r w:rsidRPr="00F975E0">
              <w:t>Non-financial assets</w:t>
            </w:r>
          </w:p>
        </w:tc>
        <w:tc>
          <w:tcPr>
            <w:tcW w:w="738" w:type="dxa"/>
            <w:tcBorders>
              <w:top w:val="single" w:sz="4" w:space="0" w:color="BFBFBF" w:themeColor="background1" w:themeShade="BF"/>
              <w:bottom w:val="single" w:sz="4" w:space="0" w:color="000000" w:themeColor="text1"/>
            </w:tcBorders>
            <w:noWrap/>
          </w:tcPr>
          <w:p w14:paraId="0291B512" w14:textId="77777777" w:rsidR="005B131E" w:rsidRPr="00BA7805" w:rsidRDefault="005B131E" w:rsidP="002542E1">
            <w:pPr>
              <w:pStyle w:val="ARfintablebodyright8pt"/>
              <w:rPr>
                <w:highlight w:val="green"/>
              </w:rPr>
            </w:pPr>
            <w:r w:rsidRPr="00CD1DD1">
              <w:t>1,275.4</w:t>
            </w:r>
          </w:p>
        </w:tc>
        <w:tc>
          <w:tcPr>
            <w:tcW w:w="739" w:type="dxa"/>
            <w:tcBorders>
              <w:top w:val="single" w:sz="4" w:space="0" w:color="BFBFBF" w:themeColor="background1" w:themeShade="BF"/>
              <w:bottom w:val="single" w:sz="4" w:space="0" w:color="000000" w:themeColor="text1"/>
            </w:tcBorders>
            <w:noWrap/>
          </w:tcPr>
          <w:p w14:paraId="2ADC1509" w14:textId="77777777" w:rsidR="005B131E" w:rsidRPr="00BA7805" w:rsidRDefault="005B131E" w:rsidP="002542E1">
            <w:pPr>
              <w:pStyle w:val="ARfintablebodyright8pt"/>
              <w:rPr>
                <w:highlight w:val="green"/>
              </w:rPr>
            </w:pPr>
            <w:r w:rsidRPr="00CD1DD1">
              <w:t>315.2</w:t>
            </w:r>
          </w:p>
        </w:tc>
        <w:tc>
          <w:tcPr>
            <w:tcW w:w="739" w:type="dxa"/>
            <w:tcBorders>
              <w:top w:val="single" w:sz="4" w:space="0" w:color="BFBFBF" w:themeColor="background1" w:themeShade="BF"/>
              <w:bottom w:val="single" w:sz="4" w:space="0" w:color="000000" w:themeColor="text1"/>
            </w:tcBorders>
            <w:noWrap/>
          </w:tcPr>
          <w:p w14:paraId="581FB52A" w14:textId="77777777" w:rsidR="005B131E" w:rsidRPr="00BA7805" w:rsidRDefault="005B131E" w:rsidP="002542E1">
            <w:pPr>
              <w:pStyle w:val="ARfintablebodyright8pt"/>
              <w:rPr>
                <w:highlight w:val="green"/>
              </w:rPr>
            </w:pPr>
            <w:r w:rsidRPr="00CD1DD1">
              <w:t>0.2</w:t>
            </w:r>
          </w:p>
        </w:tc>
        <w:tc>
          <w:tcPr>
            <w:tcW w:w="739" w:type="dxa"/>
            <w:tcBorders>
              <w:top w:val="single" w:sz="4" w:space="0" w:color="BFBFBF" w:themeColor="background1" w:themeShade="BF"/>
              <w:bottom w:val="single" w:sz="4" w:space="0" w:color="000000" w:themeColor="text1"/>
            </w:tcBorders>
            <w:noWrap/>
          </w:tcPr>
          <w:p w14:paraId="5375F442" w14:textId="77777777" w:rsidR="005B131E" w:rsidRPr="00BA7805" w:rsidRDefault="005B131E" w:rsidP="002542E1">
            <w:pPr>
              <w:pStyle w:val="ARfintablebodyright8pt"/>
              <w:rPr>
                <w:highlight w:val="green"/>
              </w:rPr>
            </w:pPr>
            <w:r>
              <w:t>–</w:t>
            </w:r>
          </w:p>
        </w:tc>
        <w:tc>
          <w:tcPr>
            <w:tcW w:w="739" w:type="dxa"/>
            <w:tcBorders>
              <w:top w:val="single" w:sz="4" w:space="0" w:color="BFBFBF" w:themeColor="background1" w:themeShade="BF"/>
              <w:bottom w:val="single" w:sz="4" w:space="0" w:color="000000" w:themeColor="text1"/>
            </w:tcBorders>
            <w:noWrap/>
          </w:tcPr>
          <w:p w14:paraId="6F28664F" w14:textId="77777777" w:rsidR="005B131E" w:rsidRPr="00BA7805" w:rsidRDefault="005B131E" w:rsidP="002542E1">
            <w:pPr>
              <w:pStyle w:val="ARfintablebodyright8pt"/>
              <w:rPr>
                <w:highlight w:val="green"/>
              </w:rPr>
            </w:pPr>
            <w:r>
              <w:t>–</w:t>
            </w:r>
          </w:p>
        </w:tc>
        <w:tc>
          <w:tcPr>
            <w:tcW w:w="739" w:type="dxa"/>
            <w:tcBorders>
              <w:top w:val="single" w:sz="4" w:space="0" w:color="BFBFBF" w:themeColor="background1" w:themeShade="BF"/>
              <w:bottom w:val="single" w:sz="4" w:space="0" w:color="000000" w:themeColor="text1"/>
            </w:tcBorders>
            <w:noWrap/>
          </w:tcPr>
          <w:p w14:paraId="7BE9D8D6" w14:textId="77777777" w:rsidR="005B131E" w:rsidRPr="00BA7805" w:rsidRDefault="005B131E" w:rsidP="002542E1">
            <w:pPr>
              <w:pStyle w:val="ARfintablebodyright8pt"/>
              <w:rPr>
                <w:highlight w:val="green"/>
              </w:rPr>
            </w:pPr>
            <w:r w:rsidRPr="00CD1DD1">
              <w:t>0.3</w:t>
            </w:r>
          </w:p>
        </w:tc>
        <w:tc>
          <w:tcPr>
            <w:tcW w:w="739" w:type="dxa"/>
            <w:tcBorders>
              <w:top w:val="single" w:sz="4" w:space="0" w:color="BFBFBF" w:themeColor="background1" w:themeShade="BF"/>
              <w:bottom w:val="single" w:sz="4" w:space="0" w:color="000000" w:themeColor="text1"/>
            </w:tcBorders>
            <w:noWrap/>
          </w:tcPr>
          <w:p w14:paraId="5530788F" w14:textId="77777777" w:rsidR="005B131E" w:rsidRPr="00BA7805" w:rsidRDefault="005B131E" w:rsidP="002542E1">
            <w:pPr>
              <w:pStyle w:val="ARfintablebodyright8pt"/>
              <w:rPr>
                <w:highlight w:val="green"/>
              </w:rPr>
            </w:pPr>
            <w:r w:rsidRPr="005D73A4">
              <w:t>–</w:t>
            </w:r>
          </w:p>
        </w:tc>
        <w:tc>
          <w:tcPr>
            <w:tcW w:w="739" w:type="dxa"/>
            <w:tcBorders>
              <w:top w:val="single" w:sz="4" w:space="0" w:color="BFBFBF" w:themeColor="background1" w:themeShade="BF"/>
              <w:bottom w:val="single" w:sz="4" w:space="0" w:color="000000" w:themeColor="text1"/>
            </w:tcBorders>
            <w:noWrap/>
          </w:tcPr>
          <w:p w14:paraId="3F8DF8AA" w14:textId="77777777" w:rsidR="005B131E" w:rsidRPr="00BA7805" w:rsidRDefault="005B131E" w:rsidP="002542E1">
            <w:pPr>
              <w:pStyle w:val="ARfintablebodyright8pt"/>
              <w:rPr>
                <w:highlight w:val="green"/>
              </w:rPr>
            </w:pPr>
            <w:r w:rsidRPr="005D73A4">
              <w:t>–</w:t>
            </w:r>
          </w:p>
        </w:tc>
        <w:tc>
          <w:tcPr>
            <w:tcW w:w="738" w:type="dxa"/>
            <w:tcBorders>
              <w:top w:val="single" w:sz="4" w:space="0" w:color="BFBFBF" w:themeColor="background1" w:themeShade="BF"/>
              <w:bottom w:val="single" w:sz="4" w:space="0" w:color="000000" w:themeColor="text1"/>
            </w:tcBorders>
            <w:noWrap/>
          </w:tcPr>
          <w:p w14:paraId="44896F1E" w14:textId="77777777" w:rsidR="005B131E" w:rsidRPr="00BA7805" w:rsidRDefault="005B131E" w:rsidP="002542E1">
            <w:pPr>
              <w:pStyle w:val="ARfintablebodyright8pt"/>
              <w:rPr>
                <w:highlight w:val="green"/>
              </w:rPr>
            </w:pPr>
            <w:r w:rsidRPr="00CD1DD1">
              <w:t>2.9</w:t>
            </w:r>
          </w:p>
        </w:tc>
        <w:tc>
          <w:tcPr>
            <w:tcW w:w="739" w:type="dxa"/>
            <w:tcBorders>
              <w:top w:val="single" w:sz="4" w:space="0" w:color="BFBFBF" w:themeColor="background1" w:themeShade="BF"/>
              <w:bottom w:val="single" w:sz="4" w:space="0" w:color="000000" w:themeColor="text1"/>
            </w:tcBorders>
            <w:noWrap/>
          </w:tcPr>
          <w:p w14:paraId="6778B82C" w14:textId="77777777" w:rsidR="005B131E" w:rsidRPr="00BA7805" w:rsidRDefault="005B131E" w:rsidP="002542E1">
            <w:pPr>
              <w:pStyle w:val="ARfintablebodyright8pt"/>
              <w:rPr>
                <w:highlight w:val="green"/>
              </w:rPr>
            </w:pPr>
            <w:r w:rsidRPr="00FA69AC">
              <w:t>–</w:t>
            </w:r>
          </w:p>
        </w:tc>
        <w:tc>
          <w:tcPr>
            <w:tcW w:w="739" w:type="dxa"/>
            <w:tcBorders>
              <w:top w:val="single" w:sz="4" w:space="0" w:color="BFBFBF" w:themeColor="background1" w:themeShade="BF"/>
              <w:bottom w:val="single" w:sz="4" w:space="0" w:color="000000" w:themeColor="text1"/>
            </w:tcBorders>
            <w:noWrap/>
          </w:tcPr>
          <w:p w14:paraId="1D3E6DDE" w14:textId="77777777" w:rsidR="005B131E" w:rsidRPr="00BA7805" w:rsidRDefault="005B131E" w:rsidP="002542E1">
            <w:pPr>
              <w:pStyle w:val="ARfintablebodyright8pt"/>
              <w:rPr>
                <w:highlight w:val="green"/>
              </w:rPr>
            </w:pPr>
            <w:r w:rsidRPr="00FA69AC">
              <w:t>–</w:t>
            </w:r>
          </w:p>
        </w:tc>
        <w:tc>
          <w:tcPr>
            <w:tcW w:w="739" w:type="dxa"/>
            <w:tcBorders>
              <w:top w:val="single" w:sz="4" w:space="0" w:color="BFBFBF" w:themeColor="background1" w:themeShade="BF"/>
              <w:bottom w:val="single" w:sz="4" w:space="0" w:color="000000" w:themeColor="text1"/>
            </w:tcBorders>
            <w:noWrap/>
          </w:tcPr>
          <w:p w14:paraId="7F09971D" w14:textId="77777777" w:rsidR="005B131E" w:rsidRPr="00BA7805" w:rsidRDefault="005B131E" w:rsidP="002542E1">
            <w:pPr>
              <w:pStyle w:val="ARfintablebodyright8pt"/>
              <w:rPr>
                <w:highlight w:val="green"/>
              </w:rPr>
            </w:pPr>
            <w:r w:rsidRPr="00FA69AC">
              <w:t>–</w:t>
            </w:r>
          </w:p>
        </w:tc>
        <w:tc>
          <w:tcPr>
            <w:tcW w:w="739" w:type="dxa"/>
            <w:tcBorders>
              <w:top w:val="single" w:sz="4" w:space="0" w:color="BFBFBF" w:themeColor="background1" w:themeShade="BF"/>
              <w:bottom w:val="single" w:sz="4" w:space="0" w:color="000000" w:themeColor="text1"/>
            </w:tcBorders>
            <w:noWrap/>
          </w:tcPr>
          <w:p w14:paraId="2DF73FF4" w14:textId="77777777" w:rsidR="005B131E" w:rsidRPr="00BA7805" w:rsidRDefault="005B131E" w:rsidP="002542E1">
            <w:pPr>
              <w:pStyle w:val="ARfintablebodyright8pt"/>
              <w:rPr>
                <w:highlight w:val="green"/>
              </w:rPr>
            </w:pPr>
            <w:r w:rsidRPr="00CD1DD1">
              <w:t>92.2</w:t>
            </w:r>
          </w:p>
        </w:tc>
        <w:tc>
          <w:tcPr>
            <w:tcW w:w="739" w:type="dxa"/>
            <w:tcBorders>
              <w:top w:val="single" w:sz="4" w:space="0" w:color="BFBFBF" w:themeColor="background1" w:themeShade="BF"/>
              <w:bottom w:val="single" w:sz="4" w:space="0" w:color="000000" w:themeColor="text1"/>
            </w:tcBorders>
            <w:noWrap/>
          </w:tcPr>
          <w:p w14:paraId="015D3668" w14:textId="77777777" w:rsidR="005B131E" w:rsidRPr="00BA7805" w:rsidRDefault="005B131E" w:rsidP="002542E1">
            <w:pPr>
              <w:pStyle w:val="ARfintablebodyright8pt"/>
              <w:rPr>
                <w:highlight w:val="green"/>
              </w:rPr>
            </w:pPr>
            <w:r w:rsidRPr="00CD1DD1">
              <w:t>35,328.4</w:t>
            </w:r>
          </w:p>
        </w:tc>
        <w:tc>
          <w:tcPr>
            <w:tcW w:w="739" w:type="dxa"/>
            <w:tcBorders>
              <w:top w:val="single" w:sz="4" w:space="0" w:color="BFBFBF" w:themeColor="background1" w:themeShade="BF"/>
              <w:bottom w:val="single" w:sz="4" w:space="0" w:color="000000" w:themeColor="text1"/>
            </w:tcBorders>
          </w:tcPr>
          <w:p w14:paraId="6FFCE12F" w14:textId="77777777" w:rsidR="005B131E" w:rsidRPr="00CD1DD1" w:rsidRDefault="005B131E" w:rsidP="002542E1">
            <w:pPr>
              <w:pStyle w:val="ARfintablebodyright8pt"/>
            </w:pPr>
          </w:p>
        </w:tc>
        <w:tc>
          <w:tcPr>
            <w:tcW w:w="739" w:type="dxa"/>
            <w:tcBorders>
              <w:top w:val="single" w:sz="4" w:space="0" w:color="BFBFBF" w:themeColor="background1" w:themeShade="BF"/>
              <w:bottom w:val="single" w:sz="4" w:space="0" w:color="000000" w:themeColor="text1"/>
            </w:tcBorders>
            <w:noWrap/>
          </w:tcPr>
          <w:p w14:paraId="5357CB20" w14:textId="77777777" w:rsidR="005B131E" w:rsidRPr="00BA7805" w:rsidRDefault="005B131E" w:rsidP="002542E1">
            <w:pPr>
              <w:pStyle w:val="ARfintablebodyright8pt"/>
              <w:rPr>
                <w:highlight w:val="green"/>
              </w:rPr>
            </w:pPr>
            <w:r w:rsidRPr="00CD1DD1">
              <w:t>37,014.5</w:t>
            </w:r>
          </w:p>
        </w:tc>
      </w:tr>
      <w:tr w:rsidR="005B131E" w:rsidRPr="00BA7805" w14:paraId="0410EEE4" w14:textId="77777777" w:rsidTr="002542E1">
        <w:trPr>
          <w:trHeight w:val="170"/>
        </w:trPr>
        <w:tc>
          <w:tcPr>
            <w:tcW w:w="1887" w:type="dxa"/>
            <w:tcBorders>
              <w:top w:val="single" w:sz="4" w:space="0" w:color="000000" w:themeColor="text1"/>
              <w:bottom w:val="single" w:sz="4" w:space="0" w:color="000000" w:themeColor="text1"/>
            </w:tcBorders>
            <w:shd w:val="clear" w:color="auto" w:fill="auto"/>
          </w:tcPr>
          <w:p w14:paraId="44C77B6B" w14:textId="77777777" w:rsidR="005B131E" w:rsidRPr="00BA7805" w:rsidRDefault="005B131E" w:rsidP="002542E1">
            <w:pPr>
              <w:pStyle w:val="ARfintablebodybold8pt"/>
              <w:rPr>
                <w:highlight w:val="green"/>
              </w:rPr>
            </w:pPr>
            <w:r w:rsidRPr="00F975E0">
              <w:t>Total assets</w:t>
            </w:r>
          </w:p>
        </w:tc>
        <w:tc>
          <w:tcPr>
            <w:tcW w:w="738" w:type="dxa"/>
            <w:tcBorders>
              <w:top w:val="single" w:sz="4" w:space="0" w:color="000000" w:themeColor="text1"/>
              <w:bottom w:val="single" w:sz="4" w:space="0" w:color="000000" w:themeColor="text1"/>
            </w:tcBorders>
            <w:noWrap/>
          </w:tcPr>
          <w:p w14:paraId="33D6A1BF" w14:textId="77777777" w:rsidR="005B131E" w:rsidRPr="00BA7805" w:rsidRDefault="005B131E" w:rsidP="002542E1">
            <w:pPr>
              <w:pStyle w:val="ARfintablebodyrightbold8pt"/>
              <w:rPr>
                <w:highlight w:val="green"/>
              </w:rPr>
            </w:pPr>
            <w:r w:rsidRPr="00CD1DD1">
              <w:t>1,472.9</w:t>
            </w:r>
          </w:p>
        </w:tc>
        <w:tc>
          <w:tcPr>
            <w:tcW w:w="739" w:type="dxa"/>
            <w:tcBorders>
              <w:top w:val="single" w:sz="4" w:space="0" w:color="000000" w:themeColor="text1"/>
              <w:bottom w:val="single" w:sz="4" w:space="0" w:color="000000" w:themeColor="text1"/>
            </w:tcBorders>
            <w:noWrap/>
          </w:tcPr>
          <w:p w14:paraId="4C07E91D" w14:textId="77777777" w:rsidR="005B131E" w:rsidRPr="00BA7805" w:rsidRDefault="005B131E" w:rsidP="002542E1">
            <w:pPr>
              <w:pStyle w:val="ARfintablebodyrightbold8pt"/>
              <w:rPr>
                <w:highlight w:val="green"/>
              </w:rPr>
            </w:pPr>
            <w:r w:rsidRPr="00CD1DD1">
              <w:t>508.5</w:t>
            </w:r>
          </w:p>
        </w:tc>
        <w:tc>
          <w:tcPr>
            <w:tcW w:w="739" w:type="dxa"/>
            <w:tcBorders>
              <w:top w:val="single" w:sz="4" w:space="0" w:color="000000" w:themeColor="text1"/>
              <w:bottom w:val="single" w:sz="4" w:space="0" w:color="000000" w:themeColor="text1"/>
            </w:tcBorders>
            <w:noWrap/>
          </w:tcPr>
          <w:p w14:paraId="6686D75F" w14:textId="77777777" w:rsidR="005B131E" w:rsidRPr="00BA7805" w:rsidRDefault="005B131E" w:rsidP="002542E1">
            <w:pPr>
              <w:pStyle w:val="ARfintablebodyrightbold8pt"/>
              <w:rPr>
                <w:highlight w:val="green"/>
              </w:rPr>
            </w:pPr>
            <w:r w:rsidRPr="00CD1DD1">
              <w:t>170.0</w:t>
            </w:r>
          </w:p>
        </w:tc>
        <w:tc>
          <w:tcPr>
            <w:tcW w:w="739" w:type="dxa"/>
            <w:tcBorders>
              <w:top w:val="single" w:sz="4" w:space="0" w:color="000000" w:themeColor="text1"/>
              <w:bottom w:val="single" w:sz="4" w:space="0" w:color="000000" w:themeColor="text1"/>
            </w:tcBorders>
            <w:noWrap/>
          </w:tcPr>
          <w:p w14:paraId="5E014F8C" w14:textId="77777777" w:rsidR="005B131E" w:rsidRPr="00BA7805" w:rsidRDefault="005B131E" w:rsidP="002542E1">
            <w:pPr>
              <w:pStyle w:val="ARfintablebodyrightbold8pt"/>
              <w:rPr>
                <w:highlight w:val="green"/>
              </w:rPr>
            </w:pPr>
            <w:r w:rsidRPr="00CD1DD1">
              <w:t>10.4</w:t>
            </w:r>
          </w:p>
        </w:tc>
        <w:tc>
          <w:tcPr>
            <w:tcW w:w="739" w:type="dxa"/>
            <w:tcBorders>
              <w:top w:val="single" w:sz="4" w:space="0" w:color="000000" w:themeColor="text1"/>
              <w:bottom w:val="single" w:sz="4" w:space="0" w:color="000000" w:themeColor="text1"/>
            </w:tcBorders>
            <w:noWrap/>
          </w:tcPr>
          <w:p w14:paraId="7355873F" w14:textId="77777777" w:rsidR="005B131E" w:rsidRPr="00BA7805" w:rsidRDefault="005B131E" w:rsidP="002542E1">
            <w:pPr>
              <w:pStyle w:val="ARfintablebodyrightbold8pt"/>
              <w:rPr>
                <w:highlight w:val="green"/>
              </w:rPr>
            </w:pPr>
            <w:r w:rsidRPr="00CD1DD1">
              <w:t>8.2</w:t>
            </w:r>
          </w:p>
        </w:tc>
        <w:tc>
          <w:tcPr>
            <w:tcW w:w="739" w:type="dxa"/>
            <w:tcBorders>
              <w:top w:val="single" w:sz="4" w:space="0" w:color="000000" w:themeColor="text1"/>
              <w:bottom w:val="single" w:sz="4" w:space="0" w:color="000000" w:themeColor="text1"/>
            </w:tcBorders>
            <w:noWrap/>
          </w:tcPr>
          <w:p w14:paraId="3332707A" w14:textId="77777777" w:rsidR="005B131E" w:rsidRPr="00BA7805" w:rsidRDefault="005B131E" w:rsidP="002542E1">
            <w:pPr>
              <w:pStyle w:val="ARfintablebodyrightbold8pt"/>
              <w:rPr>
                <w:highlight w:val="green"/>
              </w:rPr>
            </w:pPr>
            <w:r w:rsidRPr="00CD1DD1">
              <w:t>14.8</w:t>
            </w:r>
          </w:p>
        </w:tc>
        <w:tc>
          <w:tcPr>
            <w:tcW w:w="739" w:type="dxa"/>
            <w:tcBorders>
              <w:top w:val="single" w:sz="4" w:space="0" w:color="000000" w:themeColor="text1"/>
              <w:bottom w:val="single" w:sz="4" w:space="0" w:color="000000" w:themeColor="text1"/>
            </w:tcBorders>
            <w:noWrap/>
          </w:tcPr>
          <w:p w14:paraId="3111C413" w14:textId="77777777" w:rsidR="005B131E" w:rsidRPr="00BA7805" w:rsidRDefault="005B131E" w:rsidP="002542E1">
            <w:pPr>
              <w:pStyle w:val="ARfintablebodyrightbold8pt"/>
              <w:rPr>
                <w:highlight w:val="green"/>
              </w:rPr>
            </w:pPr>
            <w:r w:rsidRPr="00CD1DD1">
              <w:t>13.9</w:t>
            </w:r>
          </w:p>
        </w:tc>
        <w:tc>
          <w:tcPr>
            <w:tcW w:w="739" w:type="dxa"/>
            <w:tcBorders>
              <w:top w:val="single" w:sz="4" w:space="0" w:color="000000" w:themeColor="text1"/>
              <w:bottom w:val="single" w:sz="4" w:space="0" w:color="000000" w:themeColor="text1"/>
            </w:tcBorders>
            <w:noWrap/>
          </w:tcPr>
          <w:p w14:paraId="119BD8E2" w14:textId="77777777" w:rsidR="005B131E" w:rsidRPr="00BA7805" w:rsidRDefault="005B131E" w:rsidP="002542E1">
            <w:pPr>
              <w:pStyle w:val="ARfintablebodyrightbold8pt"/>
              <w:rPr>
                <w:highlight w:val="green"/>
              </w:rPr>
            </w:pPr>
            <w:r w:rsidRPr="00CD1DD1">
              <w:t>3.7</w:t>
            </w:r>
          </w:p>
        </w:tc>
        <w:tc>
          <w:tcPr>
            <w:tcW w:w="738" w:type="dxa"/>
            <w:tcBorders>
              <w:top w:val="single" w:sz="4" w:space="0" w:color="000000" w:themeColor="text1"/>
              <w:bottom w:val="single" w:sz="4" w:space="0" w:color="000000" w:themeColor="text1"/>
            </w:tcBorders>
            <w:noWrap/>
          </w:tcPr>
          <w:p w14:paraId="22DC109F" w14:textId="77777777" w:rsidR="005B131E" w:rsidRPr="00BA7805" w:rsidRDefault="005B131E" w:rsidP="002542E1">
            <w:pPr>
              <w:pStyle w:val="ARfintablebodyrightbold8pt"/>
              <w:rPr>
                <w:highlight w:val="green"/>
              </w:rPr>
            </w:pPr>
            <w:r w:rsidRPr="00CD1DD1">
              <w:t>16.6</w:t>
            </w:r>
          </w:p>
        </w:tc>
        <w:tc>
          <w:tcPr>
            <w:tcW w:w="739" w:type="dxa"/>
            <w:tcBorders>
              <w:top w:val="single" w:sz="4" w:space="0" w:color="000000" w:themeColor="text1"/>
              <w:bottom w:val="single" w:sz="4" w:space="0" w:color="000000" w:themeColor="text1"/>
            </w:tcBorders>
            <w:noWrap/>
          </w:tcPr>
          <w:p w14:paraId="6F767847" w14:textId="77777777" w:rsidR="005B131E" w:rsidRPr="00BA7805" w:rsidRDefault="005B131E" w:rsidP="002542E1">
            <w:pPr>
              <w:pStyle w:val="ARfintablebodyrightbold8pt"/>
              <w:rPr>
                <w:highlight w:val="green"/>
              </w:rPr>
            </w:pPr>
            <w:r w:rsidRPr="00CD1DD1">
              <w:t>21.1</w:t>
            </w:r>
          </w:p>
        </w:tc>
        <w:tc>
          <w:tcPr>
            <w:tcW w:w="739" w:type="dxa"/>
            <w:tcBorders>
              <w:top w:val="single" w:sz="4" w:space="0" w:color="000000" w:themeColor="text1"/>
              <w:bottom w:val="single" w:sz="4" w:space="0" w:color="000000" w:themeColor="text1"/>
            </w:tcBorders>
            <w:noWrap/>
          </w:tcPr>
          <w:p w14:paraId="2EF137CD" w14:textId="77777777" w:rsidR="005B131E" w:rsidRPr="00BA7805" w:rsidRDefault="005B131E" w:rsidP="002542E1">
            <w:pPr>
              <w:pStyle w:val="ARfintablebodyrightbold8pt"/>
              <w:rPr>
                <w:highlight w:val="green"/>
              </w:rPr>
            </w:pPr>
            <w:r w:rsidRPr="00CD1DD1">
              <w:t>32.8</w:t>
            </w:r>
          </w:p>
        </w:tc>
        <w:tc>
          <w:tcPr>
            <w:tcW w:w="739" w:type="dxa"/>
            <w:tcBorders>
              <w:top w:val="single" w:sz="4" w:space="0" w:color="000000" w:themeColor="text1"/>
              <w:bottom w:val="single" w:sz="4" w:space="0" w:color="000000" w:themeColor="text1"/>
            </w:tcBorders>
            <w:noWrap/>
          </w:tcPr>
          <w:p w14:paraId="76F67E9F" w14:textId="77777777" w:rsidR="005B131E" w:rsidRPr="00BA7805" w:rsidRDefault="005B131E" w:rsidP="002542E1">
            <w:pPr>
              <w:pStyle w:val="ARfintablebodyrightbold8pt"/>
              <w:rPr>
                <w:highlight w:val="green"/>
              </w:rPr>
            </w:pPr>
            <w:r w:rsidRPr="00CD1DD1">
              <w:t>58.1</w:t>
            </w:r>
          </w:p>
        </w:tc>
        <w:tc>
          <w:tcPr>
            <w:tcW w:w="739" w:type="dxa"/>
            <w:tcBorders>
              <w:top w:val="single" w:sz="4" w:space="0" w:color="000000" w:themeColor="text1"/>
              <w:bottom w:val="single" w:sz="4" w:space="0" w:color="000000" w:themeColor="text1"/>
            </w:tcBorders>
            <w:noWrap/>
          </w:tcPr>
          <w:p w14:paraId="6964A114" w14:textId="77777777" w:rsidR="005B131E" w:rsidRPr="00BA7805" w:rsidRDefault="005B131E" w:rsidP="002542E1">
            <w:pPr>
              <w:pStyle w:val="ARfintablebodyrightbold8pt"/>
              <w:rPr>
                <w:highlight w:val="green"/>
              </w:rPr>
            </w:pPr>
            <w:r w:rsidRPr="00CD1DD1">
              <w:t>146.9</w:t>
            </w:r>
          </w:p>
        </w:tc>
        <w:tc>
          <w:tcPr>
            <w:tcW w:w="739" w:type="dxa"/>
            <w:tcBorders>
              <w:top w:val="single" w:sz="4" w:space="0" w:color="000000" w:themeColor="text1"/>
              <w:bottom w:val="single" w:sz="4" w:space="0" w:color="000000" w:themeColor="text1"/>
            </w:tcBorders>
            <w:noWrap/>
          </w:tcPr>
          <w:p w14:paraId="54847E44" w14:textId="77777777" w:rsidR="005B131E" w:rsidRPr="00BA7805" w:rsidRDefault="005B131E" w:rsidP="002542E1">
            <w:pPr>
              <w:pStyle w:val="ARfintablebodyrightbold8pt"/>
              <w:rPr>
                <w:highlight w:val="green"/>
              </w:rPr>
            </w:pPr>
            <w:r>
              <w:t>36,123.7</w:t>
            </w:r>
          </w:p>
        </w:tc>
        <w:tc>
          <w:tcPr>
            <w:tcW w:w="739" w:type="dxa"/>
            <w:tcBorders>
              <w:top w:val="single" w:sz="4" w:space="0" w:color="000000" w:themeColor="text1"/>
              <w:bottom w:val="single" w:sz="4" w:space="0" w:color="000000" w:themeColor="text1"/>
            </w:tcBorders>
          </w:tcPr>
          <w:p w14:paraId="79ECD629" w14:textId="77777777" w:rsidR="005B131E" w:rsidRPr="00CD1DD1" w:rsidRDefault="005B131E" w:rsidP="002542E1">
            <w:pPr>
              <w:pStyle w:val="ARfintablebodyrightbold8pt"/>
            </w:pPr>
            <w:r>
              <w:t>(36.0)</w:t>
            </w:r>
          </w:p>
        </w:tc>
        <w:tc>
          <w:tcPr>
            <w:tcW w:w="739" w:type="dxa"/>
            <w:tcBorders>
              <w:top w:val="single" w:sz="4" w:space="0" w:color="000000" w:themeColor="text1"/>
              <w:bottom w:val="single" w:sz="4" w:space="0" w:color="000000" w:themeColor="text1"/>
            </w:tcBorders>
            <w:noWrap/>
          </w:tcPr>
          <w:p w14:paraId="0DE0CC79" w14:textId="77777777" w:rsidR="005B131E" w:rsidRPr="00BA7805" w:rsidRDefault="005B131E" w:rsidP="002542E1">
            <w:pPr>
              <w:pStyle w:val="ARfintablebodyrightbold8pt"/>
              <w:rPr>
                <w:highlight w:val="green"/>
              </w:rPr>
            </w:pPr>
            <w:r w:rsidRPr="00CD1DD1">
              <w:t>38,565.6</w:t>
            </w:r>
          </w:p>
        </w:tc>
      </w:tr>
      <w:tr w:rsidR="005B131E" w:rsidRPr="00BA7805" w14:paraId="27B2AA06" w14:textId="77777777" w:rsidTr="002542E1">
        <w:trPr>
          <w:trHeight w:val="170"/>
        </w:trPr>
        <w:tc>
          <w:tcPr>
            <w:tcW w:w="1887" w:type="dxa"/>
            <w:tcBorders>
              <w:top w:val="single" w:sz="4" w:space="0" w:color="000000" w:themeColor="text1"/>
              <w:bottom w:val="single" w:sz="4" w:space="0" w:color="BFBFBF" w:themeColor="background1" w:themeShade="BF"/>
            </w:tcBorders>
            <w:shd w:val="clear" w:color="auto" w:fill="auto"/>
          </w:tcPr>
          <w:p w14:paraId="18A94565" w14:textId="77777777" w:rsidR="005B131E" w:rsidRPr="00BA7805" w:rsidRDefault="005B131E" w:rsidP="002542E1">
            <w:pPr>
              <w:pStyle w:val="ARfintablebodybold8pt"/>
              <w:rPr>
                <w:highlight w:val="green"/>
              </w:rPr>
            </w:pPr>
            <w:r w:rsidRPr="00F975E0">
              <w:t>Liabilities</w:t>
            </w:r>
          </w:p>
        </w:tc>
        <w:tc>
          <w:tcPr>
            <w:tcW w:w="738" w:type="dxa"/>
            <w:tcBorders>
              <w:top w:val="single" w:sz="4" w:space="0" w:color="000000" w:themeColor="text1"/>
              <w:bottom w:val="single" w:sz="4" w:space="0" w:color="BFBFBF" w:themeColor="background1" w:themeShade="BF"/>
            </w:tcBorders>
            <w:noWrap/>
          </w:tcPr>
          <w:p w14:paraId="30D7FFBF"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697B03DF"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2F5078C6"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3D3619F3"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5F8E46D5"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0404520"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6CA8BE1B"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2091F7CA" w14:textId="77777777" w:rsidR="005B131E" w:rsidRPr="00BA7805" w:rsidRDefault="005B131E" w:rsidP="002542E1">
            <w:pPr>
              <w:pStyle w:val="ARfintablebodyright8pt"/>
              <w:rPr>
                <w:highlight w:val="green"/>
              </w:rPr>
            </w:pPr>
          </w:p>
        </w:tc>
        <w:tc>
          <w:tcPr>
            <w:tcW w:w="738" w:type="dxa"/>
            <w:tcBorders>
              <w:top w:val="single" w:sz="4" w:space="0" w:color="000000" w:themeColor="text1"/>
              <w:bottom w:val="single" w:sz="4" w:space="0" w:color="BFBFBF" w:themeColor="background1" w:themeShade="BF"/>
            </w:tcBorders>
            <w:noWrap/>
          </w:tcPr>
          <w:p w14:paraId="1ADBBC1A"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ACC025D"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F83B094"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7A1A1546"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55AF13D7"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38991139"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tcPr>
          <w:p w14:paraId="633683AF" w14:textId="77777777" w:rsidR="005B131E" w:rsidRPr="00BA7805" w:rsidRDefault="005B131E" w:rsidP="002542E1">
            <w:pPr>
              <w:pStyle w:val="ARfintablebodyright8pt"/>
              <w:rPr>
                <w:highlight w:val="green"/>
              </w:rPr>
            </w:pPr>
          </w:p>
        </w:tc>
        <w:tc>
          <w:tcPr>
            <w:tcW w:w="739" w:type="dxa"/>
            <w:tcBorders>
              <w:top w:val="single" w:sz="4" w:space="0" w:color="000000" w:themeColor="text1"/>
              <w:bottom w:val="single" w:sz="4" w:space="0" w:color="BFBFBF" w:themeColor="background1" w:themeShade="BF"/>
            </w:tcBorders>
            <w:noWrap/>
          </w:tcPr>
          <w:p w14:paraId="3D66B175" w14:textId="77777777" w:rsidR="005B131E" w:rsidRPr="00BA7805" w:rsidRDefault="005B131E" w:rsidP="002542E1">
            <w:pPr>
              <w:pStyle w:val="ARfintablebodyright8pt"/>
              <w:rPr>
                <w:highlight w:val="green"/>
              </w:rPr>
            </w:pPr>
          </w:p>
        </w:tc>
      </w:tr>
      <w:tr w:rsidR="005B131E" w:rsidRPr="00BA7805" w14:paraId="361E5154" w14:textId="77777777" w:rsidTr="002542E1">
        <w:trPr>
          <w:trHeight w:val="170"/>
        </w:trPr>
        <w:tc>
          <w:tcPr>
            <w:tcW w:w="1887" w:type="dxa"/>
            <w:tcBorders>
              <w:top w:val="single" w:sz="4" w:space="0" w:color="BFBFBF" w:themeColor="background1" w:themeShade="BF"/>
              <w:bottom w:val="single" w:sz="4" w:space="0" w:color="000000" w:themeColor="text1"/>
            </w:tcBorders>
            <w:shd w:val="clear" w:color="auto" w:fill="auto"/>
          </w:tcPr>
          <w:p w14:paraId="0C317DD4" w14:textId="77777777" w:rsidR="005B131E" w:rsidRPr="00BA7805" w:rsidRDefault="005B131E" w:rsidP="002542E1">
            <w:pPr>
              <w:pStyle w:val="ARfintablebody8pt"/>
              <w:rPr>
                <w:highlight w:val="green"/>
              </w:rPr>
            </w:pPr>
            <w:r w:rsidRPr="00F975E0">
              <w:t>Liabilities</w:t>
            </w:r>
          </w:p>
        </w:tc>
        <w:tc>
          <w:tcPr>
            <w:tcW w:w="738" w:type="dxa"/>
            <w:tcBorders>
              <w:top w:val="single" w:sz="4" w:space="0" w:color="BFBFBF" w:themeColor="background1" w:themeShade="BF"/>
              <w:bottom w:val="single" w:sz="4" w:space="0" w:color="000000" w:themeColor="text1"/>
            </w:tcBorders>
            <w:noWrap/>
          </w:tcPr>
          <w:p w14:paraId="61B4D2BB" w14:textId="77777777" w:rsidR="005B131E" w:rsidRPr="00BA7805" w:rsidRDefault="005B131E" w:rsidP="002542E1">
            <w:pPr>
              <w:pStyle w:val="ARfintablebodyright8pt"/>
              <w:rPr>
                <w:highlight w:val="green"/>
              </w:rPr>
            </w:pPr>
            <w:r w:rsidRPr="00FB1869">
              <w:t>(254.3)</w:t>
            </w:r>
          </w:p>
        </w:tc>
        <w:tc>
          <w:tcPr>
            <w:tcW w:w="739" w:type="dxa"/>
            <w:tcBorders>
              <w:top w:val="single" w:sz="4" w:space="0" w:color="BFBFBF" w:themeColor="background1" w:themeShade="BF"/>
              <w:bottom w:val="single" w:sz="4" w:space="0" w:color="000000" w:themeColor="text1"/>
            </w:tcBorders>
            <w:noWrap/>
          </w:tcPr>
          <w:p w14:paraId="710529EB" w14:textId="77777777" w:rsidR="005B131E" w:rsidRPr="00BA7805" w:rsidRDefault="005B131E" w:rsidP="002542E1">
            <w:pPr>
              <w:pStyle w:val="ARfintablebodyright8pt"/>
              <w:rPr>
                <w:highlight w:val="green"/>
              </w:rPr>
            </w:pPr>
            <w:r w:rsidRPr="00FB1869">
              <w:t>(340.9)</w:t>
            </w:r>
          </w:p>
        </w:tc>
        <w:tc>
          <w:tcPr>
            <w:tcW w:w="739" w:type="dxa"/>
            <w:tcBorders>
              <w:top w:val="single" w:sz="4" w:space="0" w:color="BFBFBF" w:themeColor="background1" w:themeShade="BF"/>
              <w:bottom w:val="single" w:sz="4" w:space="0" w:color="000000" w:themeColor="text1"/>
            </w:tcBorders>
            <w:noWrap/>
          </w:tcPr>
          <w:p w14:paraId="6E262257" w14:textId="77777777" w:rsidR="005B131E" w:rsidRPr="00BA7805" w:rsidRDefault="005B131E" w:rsidP="002542E1">
            <w:pPr>
              <w:pStyle w:val="ARfintablebodyright8pt"/>
              <w:rPr>
                <w:highlight w:val="green"/>
              </w:rPr>
            </w:pPr>
            <w:r w:rsidRPr="00FB1869">
              <w:t>(146.1)</w:t>
            </w:r>
          </w:p>
        </w:tc>
        <w:tc>
          <w:tcPr>
            <w:tcW w:w="739" w:type="dxa"/>
            <w:tcBorders>
              <w:top w:val="single" w:sz="4" w:space="0" w:color="BFBFBF" w:themeColor="background1" w:themeShade="BF"/>
              <w:bottom w:val="single" w:sz="4" w:space="0" w:color="000000" w:themeColor="text1"/>
            </w:tcBorders>
            <w:noWrap/>
          </w:tcPr>
          <w:p w14:paraId="48005B1E" w14:textId="77777777" w:rsidR="005B131E" w:rsidRPr="00BA7805" w:rsidRDefault="005B131E" w:rsidP="002542E1">
            <w:pPr>
              <w:pStyle w:val="ARfintablebodyright8pt"/>
              <w:rPr>
                <w:highlight w:val="green"/>
              </w:rPr>
            </w:pPr>
            <w:r w:rsidRPr="00FB1869">
              <w:t>(5.1)</w:t>
            </w:r>
          </w:p>
        </w:tc>
        <w:tc>
          <w:tcPr>
            <w:tcW w:w="739" w:type="dxa"/>
            <w:tcBorders>
              <w:top w:val="single" w:sz="4" w:space="0" w:color="BFBFBF" w:themeColor="background1" w:themeShade="BF"/>
              <w:bottom w:val="single" w:sz="4" w:space="0" w:color="000000" w:themeColor="text1"/>
            </w:tcBorders>
            <w:noWrap/>
          </w:tcPr>
          <w:p w14:paraId="50B45CF2" w14:textId="77777777" w:rsidR="005B131E" w:rsidRPr="00BA7805" w:rsidRDefault="005B131E" w:rsidP="002542E1">
            <w:pPr>
              <w:pStyle w:val="ARfintablebodyright8pt"/>
              <w:rPr>
                <w:highlight w:val="green"/>
              </w:rPr>
            </w:pPr>
            <w:r w:rsidRPr="00FB1869">
              <w:t>(3.8)</w:t>
            </w:r>
          </w:p>
        </w:tc>
        <w:tc>
          <w:tcPr>
            <w:tcW w:w="739" w:type="dxa"/>
            <w:tcBorders>
              <w:top w:val="single" w:sz="4" w:space="0" w:color="BFBFBF" w:themeColor="background1" w:themeShade="BF"/>
              <w:bottom w:val="single" w:sz="4" w:space="0" w:color="000000" w:themeColor="text1"/>
            </w:tcBorders>
            <w:noWrap/>
          </w:tcPr>
          <w:p w14:paraId="325EA1F5" w14:textId="77777777" w:rsidR="005B131E" w:rsidRPr="00BA7805" w:rsidRDefault="005B131E" w:rsidP="002542E1">
            <w:pPr>
              <w:pStyle w:val="ARfintablebodyright8pt"/>
              <w:rPr>
                <w:highlight w:val="green"/>
              </w:rPr>
            </w:pPr>
            <w:r w:rsidRPr="00FB1869">
              <w:t>(5.4)</w:t>
            </w:r>
          </w:p>
        </w:tc>
        <w:tc>
          <w:tcPr>
            <w:tcW w:w="739" w:type="dxa"/>
            <w:tcBorders>
              <w:top w:val="single" w:sz="4" w:space="0" w:color="BFBFBF" w:themeColor="background1" w:themeShade="BF"/>
              <w:bottom w:val="single" w:sz="4" w:space="0" w:color="000000" w:themeColor="text1"/>
            </w:tcBorders>
            <w:noWrap/>
          </w:tcPr>
          <w:p w14:paraId="7377F903" w14:textId="77777777" w:rsidR="005B131E" w:rsidRPr="00BA7805" w:rsidRDefault="005B131E" w:rsidP="002542E1">
            <w:pPr>
              <w:pStyle w:val="ARfintablebodyright8pt"/>
              <w:rPr>
                <w:highlight w:val="green"/>
              </w:rPr>
            </w:pPr>
            <w:r w:rsidRPr="00FB1869">
              <w:t>(0.5)</w:t>
            </w:r>
          </w:p>
        </w:tc>
        <w:tc>
          <w:tcPr>
            <w:tcW w:w="739" w:type="dxa"/>
            <w:tcBorders>
              <w:top w:val="single" w:sz="4" w:space="0" w:color="BFBFBF" w:themeColor="background1" w:themeShade="BF"/>
              <w:bottom w:val="single" w:sz="4" w:space="0" w:color="000000" w:themeColor="text1"/>
            </w:tcBorders>
            <w:noWrap/>
          </w:tcPr>
          <w:p w14:paraId="5C98CD17" w14:textId="77777777" w:rsidR="005B131E" w:rsidRPr="00BA7805" w:rsidRDefault="005B131E" w:rsidP="002542E1">
            <w:pPr>
              <w:pStyle w:val="ARfintablebodyright8pt"/>
              <w:rPr>
                <w:highlight w:val="green"/>
              </w:rPr>
            </w:pPr>
            <w:r w:rsidRPr="00FB1869">
              <w:t>(1.0)</w:t>
            </w:r>
          </w:p>
        </w:tc>
        <w:tc>
          <w:tcPr>
            <w:tcW w:w="738" w:type="dxa"/>
            <w:tcBorders>
              <w:top w:val="single" w:sz="4" w:space="0" w:color="BFBFBF" w:themeColor="background1" w:themeShade="BF"/>
              <w:bottom w:val="single" w:sz="4" w:space="0" w:color="000000" w:themeColor="text1"/>
            </w:tcBorders>
            <w:noWrap/>
          </w:tcPr>
          <w:p w14:paraId="6D00E5DC" w14:textId="77777777" w:rsidR="005B131E" w:rsidRPr="00BA7805" w:rsidRDefault="005B131E" w:rsidP="002542E1">
            <w:pPr>
              <w:pStyle w:val="ARfintablebodyright8pt"/>
              <w:rPr>
                <w:highlight w:val="green"/>
              </w:rPr>
            </w:pPr>
            <w:r w:rsidRPr="00FB1869">
              <w:t>(3.2)</w:t>
            </w:r>
          </w:p>
        </w:tc>
        <w:tc>
          <w:tcPr>
            <w:tcW w:w="739" w:type="dxa"/>
            <w:tcBorders>
              <w:top w:val="single" w:sz="4" w:space="0" w:color="BFBFBF" w:themeColor="background1" w:themeShade="BF"/>
              <w:bottom w:val="single" w:sz="4" w:space="0" w:color="000000" w:themeColor="text1"/>
            </w:tcBorders>
            <w:noWrap/>
          </w:tcPr>
          <w:p w14:paraId="567F2873" w14:textId="77777777" w:rsidR="005B131E" w:rsidRPr="00BA7805" w:rsidRDefault="005B131E" w:rsidP="002542E1">
            <w:pPr>
              <w:pStyle w:val="ARfintablebodyright8pt"/>
              <w:rPr>
                <w:highlight w:val="green"/>
              </w:rPr>
            </w:pPr>
            <w:r w:rsidRPr="00FB1869">
              <w:t>(1.5)</w:t>
            </w:r>
          </w:p>
        </w:tc>
        <w:tc>
          <w:tcPr>
            <w:tcW w:w="739" w:type="dxa"/>
            <w:tcBorders>
              <w:top w:val="single" w:sz="4" w:space="0" w:color="BFBFBF" w:themeColor="background1" w:themeShade="BF"/>
              <w:bottom w:val="single" w:sz="4" w:space="0" w:color="000000" w:themeColor="text1"/>
            </w:tcBorders>
            <w:noWrap/>
          </w:tcPr>
          <w:p w14:paraId="673FA39C" w14:textId="77777777" w:rsidR="005B131E" w:rsidRPr="00BA7805" w:rsidRDefault="005B131E" w:rsidP="002542E1">
            <w:pPr>
              <w:pStyle w:val="ARfintablebodyright8pt"/>
              <w:rPr>
                <w:highlight w:val="green"/>
              </w:rPr>
            </w:pPr>
            <w:r w:rsidRPr="00FB1869">
              <w:t>(1.2)</w:t>
            </w:r>
          </w:p>
        </w:tc>
        <w:tc>
          <w:tcPr>
            <w:tcW w:w="739" w:type="dxa"/>
            <w:tcBorders>
              <w:top w:val="single" w:sz="4" w:space="0" w:color="BFBFBF" w:themeColor="background1" w:themeShade="BF"/>
              <w:bottom w:val="single" w:sz="4" w:space="0" w:color="000000" w:themeColor="text1"/>
            </w:tcBorders>
            <w:noWrap/>
          </w:tcPr>
          <w:p w14:paraId="0F747DBA" w14:textId="77777777" w:rsidR="005B131E" w:rsidRPr="00BA7805" w:rsidRDefault="005B131E" w:rsidP="002542E1">
            <w:pPr>
              <w:pStyle w:val="ARfintablebodyright8pt"/>
              <w:rPr>
                <w:highlight w:val="green"/>
              </w:rPr>
            </w:pPr>
            <w:r w:rsidRPr="00FB1869">
              <w:t>(4.8)</w:t>
            </w:r>
          </w:p>
        </w:tc>
        <w:tc>
          <w:tcPr>
            <w:tcW w:w="739" w:type="dxa"/>
            <w:tcBorders>
              <w:top w:val="single" w:sz="4" w:space="0" w:color="BFBFBF" w:themeColor="background1" w:themeShade="BF"/>
              <w:bottom w:val="single" w:sz="4" w:space="0" w:color="000000" w:themeColor="text1"/>
            </w:tcBorders>
            <w:noWrap/>
          </w:tcPr>
          <w:p w14:paraId="03080B30" w14:textId="77777777" w:rsidR="005B131E" w:rsidRPr="00BA7805" w:rsidRDefault="005B131E" w:rsidP="002542E1">
            <w:pPr>
              <w:pStyle w:val="ARfintablebodyright8pt"/>
              <w:rPr>
                <w:highlight w:val="green"/>
              </w:rPr>
            </w:pPr>
            <w:r w:rsidRPr="00FB1869">
              <w:t>(20.7)</w:t>
            </w:r>
          </w:p>
        </w:tc>
        <w:tc>
          <w:tcPr>
            <w:tcW w:w="739" w:type="dxa"/>
            <w:tcBorders>
              <w:top w:val="single" w:sz="4" w:space="0" w:color="BFBFBF" w:themeColor="background1" w:themeShade="BF"/>
              <w:bottom w:val="single" w:sz="4" w:space="0" w:color="000000" w:themeColor="text1"/>
            </w:tcBorders>
            <w:noWrap/>
          </w:tcPr>
          <w:p w14:paraId="66A1CFE8" w14:textId="77777777" w:rsidR="005B131E" w:rsidRPr="00BA7805" w:rsidRDefault="005B131E" w:rsidP="002542E1">
            <w:pPr>
              <w:pStyle w:val="ARfintablebodyright8pt"/>
              <w:rPr>
                <w:highlight w:val="green"/>
              </w:rPr>
            </w:pPr>
            <w:r>
              <w:t>(631.2)</w:t>
            </w:r>
          </w:p>
        </w:tc>
        <w:tc>
          <w:tcPr>
            <w:tcW w:w="739" w:type="dxa"/>
            <w:tcBorders>
              <w:top w:val="single" w:sz="4" w:space="0" w:color="BFBFBF" w:themeColor="background1" w:themeShade="BF"/>
              <w:bottom w:val="single" w:sz="4" w:space="0" w:color="000000" w:themeColor="text1"/>
            </w:tcBorders>
          </w:tcPr>
          <w:p w14:paraId="68B1DC36" w14:textId="77777777" w:rsidR="005B131E" w:rsidRPr="00FB1869" w:rsidRDefault="005B131E" w:rsidP="002542E1">
            <w:pPr>
              <w:pStyle w:val="ARfintablebodyright8pt"/>
            </w:pPr>
            <w:r>
              <w:t>36.0</w:t>
            </w:r>
          </w:p>
        </w:tc>
        <w:tc>
          <w:tcPr>
            <w:tcW w:w="739" w:type="dxa"/>
            <w:tcBorders>
              <w:top w:val="single" w:sz="4" w:space="0" w:color="BFBFBF" w:themeColor="background1" w:themeShade="BF"/>
              <w:bottom w:val="single" w:sz="4" w:space="0" w:color="000000" w:themeColor="text1"/>
            </w:tcBorders>
            <w:noWrap/>
          </w:tcPr>
          <w:p w14:paraId="0A59E7CD" w14:textId="77777777" w:rsidR="005B131E" w:rsidRPr="00BA7805" w:rsidRDefault="005B131E" w:rsidP="002542E1">
            <w:pPr>
              <w:pStyle w:val="ARfintablebodyright8pt"/>
              <w:rPr>
                <w:highlight w:val="green"/>
              </w:rPr>
            </w:pPr>
            <w:r w:rsidRPr="00FB1869">
              <w:t>(1,383.6)</w:t>
            </w:r>
          </w:p>
        </w:tc>
      </w:tr>
      <w:tr w:rsidR="005B131E" w:rsidRPr="00BA7805" w14:paraId="5FF49CC7" w14:textId="77777777" w:rsidTr="002542E1">
        <w:trPr>
          <w:trHeight w:val="170"/>
        </w:trPr>
        <w:tc>
          <w:tcPr>
            <w:tcW w:w="1887" w:type="dxa"/>
            <w:tcBorders>
              <w:top w:val="single" w:sz="4" w:space="0" w:color="000000" w:themeColor="text1"/>
              <w:bottom w:val="single" w:sz="4" w:space="0" w:color="000000" w:themeColor="text1"/>
            </w:tcBorders>
            <w:shd w:val="clear" w:color="auto" w:fill="auto"/>
          </w:tcPr>
          <w:p w14:paraId="4422E3A6" w14:textId="77777777" w:rsidR="005B131E" w:rsidRPr="00BA7805" w:rsidRDefault="005B131E" w:rsidP="002542E1">
            <w:pPr>
              <w:pStyle w:val="ARfintablebodybold8pt"/>
              <w:rPr>
                <w:highlight w:val="green"/>
              </w:rPr>
            </w:pPr>
            <w:r w:rsidRPr="00F975E0">
              <w:t>Total liabilities</w:t>
            </w:r>
          </w:p>
        </w:tc>
        <w:tc>
          <w:tcPr>
            <w:tcW w:w="738" w:type="dxa"/>
            <w:tcBorders>
              <w:top w:val="single" w:sz="4" w:space="0" w:color="000000" w:themeColor="text1"/>
              <w:bottom w:val="single" w:sz="4" w:space="0" w:color="000000" w:themeColor="text1"/>
            </w:tcBorders>
            <w:noWrap/>
          </w:tcPr>
          <w:p w14:paraId="098432DF" w14:textId="77777777" w:rsidR="005B131E" w:rsidRPr="00BA7805" w:rsidRDefault="005B131E" w:rsidP="002542E1">
            <w:pPr>
              <w:pStyle w:val="ARfintablebodyrightbold8pt"/>
              <w:rPr>
                <w:highlight w:val="green"/>
              </w:rPr>
            </w:pPr>
            <w:r w:rsidRPr="00FB1869">
              <w:t>(254.3)</w:t>
            </w:r>
          </w:p>
        </w:tc>
        <w:tc>
          <w:tcPr>
            <w:tcW w:w="739" w:type="dxa"/>
            <w:tcBorders>
              <w:top w:val="single" w:sz="4" w:space="0" w:color="000000" w:themeColor="text1"/>
              <w:bottom w:val="single" w:sz="4" w:space="0" w:color="000000" w:themeColor="text1"/>
            </w:tcBorders>
            <w:noWrap/>
          </w:tcPr>
          <w:p w14:paraId="2FA04724" w14:textId="77777777" w:rsidR="005B131E" w:rsidRPr="00BA7805" w:rsidRDefault="005B131E" w:rsidP="002542E1">
            <w:pPr>
              <w:pStyle w:val="ARfintablebodyrightbold8pt"/>
              <w:rPr>
                <w:highlight w:val="green"/>
              </w:rPr>
            </w:pPr>
            <w:r w:rsidRPr="00FB1869">
              <w:t>(340.9)</w:t>
            </w:r>
          </w:p>
        </w:tc>
        <w:tc>
          <w:tcPr>
            <w:tcW w:w="739" w:type="dxa"/>
            <w:tcBorders>
              <w:top w:val="single" w:sz="4" w:space="0" w:color="000000" w:themeColor="text1"/>
              <w:bottom w:val="single" w:sz="4" w:space="0" w:color="000000" w:themeColor="text1"/>
            </w:tcBorders>
            <w:noWrap/>
          </w:tcPr>
          <w:p w14:paraId="32D5F769" w14:textId="77777777" w:rsidR="005B131E" w:rsidRPr="00BA7805" w:rsidRDefault="005B131E" w:rsidP="002542E1">
            <w:pPr>
              <w:pStyle w:val="ARfintablebodyrightbold8pt"/>
              <w:rPr>
                <w:highlight w:val="green"/>
              </w:rPr>
            </w:pPr>
            <w:r w:rsidRPr="00FB1869">
              <w:t>(146.1)</w:t>
            </w:r>
          </w:p>
        </w:tc>
        <w:tc>
          <w:tcPr>
            <w:tcW w:w="739" w:type="dxa"/>
            <w:tcBorders>
              <w:top w:val="single" w:sz="4" w:space="0" w:color="000000" w:themeColor="text1"/>
              <w:bottom w:val="single" w:sz="4" w:space="0" w:color="000000" w:themeColor="text1"/>
            </w:tcBorders>
            <w:noWrap/>
          </w:tcPr>
          <w:p w14:paraId="55814DFC" w14:textId="77777777" w:rsidR="005B131E" w:rsidRPr="00BA7805" w:rsidRDefault="005B131E" w:rsidP="002542E1">
            <w:pPr>
              <w:pStyle w:val="ARfintablebodyrightbold8pt"/>
              <w:rPr>
                <w:highlight w:val="green"/>
              </w:rPr>
            </w:pPr>
            <w:r w:rsidRPr="00FB1869">
              <w:t>(5.1)</w:t>
            </w:r>
          </w:p>
        </w:tc>
        <w:tc>
          <w:tcPr>
            <w:tcW w:w="739" w:type="dxa"/>
            <w:tcBorders>
              <w:top w:val="single" w:sz="4" w:space="0" w:color="000000" w:themeColor="text1"/>
              <w:bottom w:val="single" w:sz="4" w:space="0" w:color="000000" w:themeColor="text1"/>
            </w:tcBorders>
            <w:noWrap/>
          </w:tcPr>
          <w:p w14:paraId="5C99AA64" w14:textId="77777777" w:rsidR="005B131E" w:rsidRPr="00BA7805" w:rsidRDefault="005B131E" w:rsidP="002542E1">
            <w:pPr>
              <w:pStyle w:val="ARfintablebodyrightbold8pt"/>
              <w:rPr>
                <w:highlight w:val="green"/>
              </w:rPr>
            </w:pPr>
            <w:r w:rsidRPr="00FB1869">
              <w:t>(3.8)</w:t>
            </w:r>
          </w:p>
        </w:tc>
        <w:tc>
          <w:tcPr>
            <w:tcW w:w="739" w:type="dxa"/>
            <w:tcBorders>
              <w:top w:val="single" w:sz="4" w:space="0" w:color="000000" w:themeColor="text1"/>
              <w:bottom w:val="single" w:sz="4" w:space="0" w:color="000000" w:themeColor="text1"/>
            </w:tcBorders>
            <w:noWrap/>
          </w:tcPr>
          <w:p w14:paraId="0E2AA31C" w14:textId="77777777" w:rsidR="005B131E" w:rsidRPr="00BA7805" w:rsidRDefault="005B131E" w:rsidP="002542E1">
            <w:pPr>
              <w:pStyle w:val="ARfintablebodyrightbold8pt"/>
              <w:rPr>
                <w:highlight w:val="green"/>
              </w:rPr>
            </w:pPr>
            <w:r w:rsidRPr="00FB1869">
              <w:t>(5.4)</w:t>
            </w:r>
          </w:p>
        </w:tc>
        <w:tc>
          <w:tcPr>
            <w:tcW w:w="739" w:type="dxa"/>
            <w:tcBorders>
              <w:top w:val="single" w:sz="4" w:space="0" w:color="000000" w:themeColor="text1"/>
              <w:bottom w:val="single" w:sz="4" w:space="0" w:color="000000" w:themeColor="text1"/>
            </w:tcBorders>
            <w:noWrap/>
          </w:tcPr>
          <w:p w14:paraId="14C0286A" w14:textId="77777777" w:rsidR="005B131E" w:rsidRPr="00BA7805" w:rsidRDefault="005B131E" w:rsidP="002542E1">
            <w:pPr>
              <w:pStyle w:val="ARfintablebodyrightbold8pt"/>
              <w:rPr>
                <w:highlight w:val="green"/>
              </w:rPr>
            </w:pPr>
            <w:r w:rsidRPr="00FB1869">
              <w:t>(0.5)</w:t>
            </w:r>
          </w:p>
        </w:tc>
        <w:tc>
          <w:tcPr>
            <w:tcW w:w="739" w:type="dxa"/>
            <w:tcBorders>
              <w:top w:val="single" w:sz="4" w:space="0" w:color="000000" w:themeColor="text1"/>
              <w:bottom w:val="single" w:sz="4" w:space="0" w:color="000000" w:themeColor="text1"/>
            </w:tcBorders>
            <w:noWrap/>
          </w:tcPr>
          <w:p w14:paraId="2ADB29AD" w14:textId="77777777" w:rsidR="005B131E" w:rsidRPr="00BA7805" w:rsidRDefault="005B131E" w:rsidP="002542E1">
            <w:pPr>
              <w:pStyle w:val="ARfintablebodyrightbold8pt"/>
              <w:rPr>
                <w:highlight w:val="green"/>
              </w:rPr>
            </w:pPr>
            <w:r w:rsidRPr="00FB1869">
              <w:t>(1.0)</w:t>
            </w:r>
          </w:p>
        </w:tc>
        <w:tc>
          <w:tcPr>
            <w:tcW w:w="738" w:type="dxa"/>
            <w:tcBorders>
              <w:top w:val="single" w:sz="4" w:space="0" w:color="000000" w:themeColor="text1"/>
              <w:bottom w:val="single" w:sz="4" w:space="0" w:color="000000" w:themeColor="text1"/>
            </w:tcBorders>
            <w:noWrap/>
          </w:tcPr>
          <w:p w14:paraId="34DA8A0B" w14:textId="77777777" w:rsidR="005B131E" w:rsidRPr="00BA7805" w:rsidRDefault="005B131E" w:rsidP="002542E1">
            <w:pPr>
              <w:pStyle w:val="ARfintablebodyrightbold8pt"/>
              <w:rPr>
                <w:highlight w:val="green"/>
              </w:rPr>
            </w:pPr>
            <w:r w:rsidRPr="00FB1869">
              <w:t>(3.2)</w:t>
            </w:r>
          </w:p>
        </w:tc>
        <w:tc>
          <w:tcPr>
            <w:tcW w:w="739" w:type="dxa"/>
            <w:tcBorders>
              <w:top w:val="single" w:sz="4" w:space="0" w:color="000000" w:themeColor="text1"/>
              <w:bottom w:val="single" w:sz="4" w:space="0" w:color="000000" w:themeColor="text1"/>
            </w:tcBorders>
            <w:noWrap/>
          </w:tcPr>
          <w:p w14:paraId="3EEEAAAD" w14:textId="77777777" w:rsidR="005B131E" w:rsidRPr="00BA7805" w:rsidRDefault="005B131E" w:rsidP="002542E1">
            <w:pPr>
              <w:pStyle w:val="ARfintablebodyrightbold8pt"/>
              <w:rPr>
                <w:highlight w:val="green"/>
              </w:rPr>
            </w:pPr>
            <w:r w:rsidRPr="00FB1869">
              <w:t>(1.5)</w:t>
            </w:r>
          </w:p>
        </w:tc>
        <w:tc>
          <w:tcPr>
            <w:tcW w:w="739" w:type="dxa"/>
            <w:tcBorders>
              <w:top w:val="single" w:sz="4" w:space="0" w:color="000000" w:themeColor="text1"/>
              <w:bottom w:val="single" w:sz="4" w:space="0" w:color="000000" w:themeColor="text1"/>
            </w:tcBorders>
            <w:noWrap/>
          </w:tcPr>
          <w:p w14:paraId="65169127" w14:textId="77777777" w:rsidR="005B131E" w:rsidRPr="00BA7805" w:rsidRDefault="005B131E" w:rsidP="002542E1">
            <w:pPr>
              <w:pStyle w:val="ARfintablebodyrightbold8pt"/>
              <w:rPr>
                <w:highlight w:val="green"/>
              </w:rPr>
            </w:pPr>
            <w:r w:rsidRPr="00FB1869">
              <w:t>(1.2)</w:t>
            </w:r>
          </w:p>
        </w:tc>
        <w:tc>
          <w:tcPr>
            <w:tcW w:w="739" w:type="dxa"/>
            <w:tcBorders>
              <w:top w:val="single" w:sz="4" w:space="0" w:color="000000" w:themeColor="text1"/>
              <w:bottom w:val="single" w:sz="4" w:space="0" w:color="000000" w:themeColor="text1"/>
            </w:tcBorders>
            <w:noWrap/>
          </w:tcPr>
          <w:p w14:paraId="2DCB6AFF" w14:textId="77777777" w:rsidR="005B131E" w:rsidRPr="00BA7805" w:rsidRDefault="005B131E" w:rsidP="002542E1">
            <w:pPr>
              <w:pStyle w:val="ARfintablebodyrightbold8pt"/>
              <w:rPr>
                <w:highlight w:val="green"/>
              </w:rPr>
            </w:pPr>
            <w:r w:rsidRPr="00FB1869">
              <w:t>(4.8)</w:t>
            </w:r>
          </w:p>
        </w:tc>
        <w:tc>
          <w:tcPr>
            <w:tcW w:w="739" w:type="dxa"/>
            <w:tcBorders>
              <w:top w:val="single" w:sz="4" w:space="0" w:color="000000" w:themeColor="text1"/>
              <w:bottom w:val="single" w:sz="4" w:space="0" w:color="000000" w:themeColor="text1"/>
            </w:tcBorders>
            <w:noWrap/>
          </w:tcPr>
          <w:p w14:paraId="6FD48CB4" w14:textId="77777777" w:rsidR="005B131E" w:rsidRPr="00BA7805" w:rsidRDefault="005B131E" w:rsidP="002542E1">
            <w:pPr>
              <w:pStyle w:val="ARfintablebodyrightbold8pt"/>
              <w:rPr>
                <w:highlight w:val="green"/>
              </w:rPr>
            </w:pPr>
            <w:r w:rsidRPr="00FB1869">
              <w:t>(20.7)</w:t>
            </w:r>
          </w:p>
        </w:tc>
        <w:tc>
          <w:tcPr>
            <w:tcW w:w="739" w:type="dxa"/>
            <w:tcBorders>
              <w:top w:val="single" w:sz="4" w:space="0" w:color="000000" w:themeColor="text1"/>
              <w:bottom w:val="single" w:sz="4" w:space="0" w:color="000000" w:themeColor="text1"/>
            </w:tcBorders>
            <w:noWrap/>
          </w:tcPr>
          <w:p w14:paraId="4826CDF3" w14:textId="77777777" w:rsidR="005B131E" w:rsidRPr="00BA7805" w:rsidRDefault="005B131E" w:rsidP="002542E1">
            <w:pPr>
              <w:pStyle w:val="ARfintablebodyrightbold8pt"/>
              <w:rPr>
                <w:highlight w:val="green"/>
              </w:rPr>
            </w:pPr>
            <w:r>
              <w:t>(631.2</w:t>
            </w:r>
            <w:r w:rsidRPr="00FB1869">
              <w:t>)</w:t>
            </w:r>
          </w:p>
        </w:tc>
        <w:tc>
          <w:tcPr>
            <w:tcW w:w="739" w:type="dxa"/>
            <w:tcBorders>
              <w:top w:val="single" w:sz="4" w:space="0" w:color="000000" w:themeColor="text1"/>
              <w:bottom w:val="single" w:sz="4" w:space="0" w:color="000000" w:themeColor="text1"/>
            </w:tcBorders>
          </w:tcPr>
          <w:p w14:paraId="13B7C729" w14:textId="77777777" w:rsidR="005B131E" w:rsidRPr="00FB1869" w:rsidRDefault="005B131E" w:rsidP="002542E1">
            <w:pPr>
              <w:pStyle w:val="ARfintablebodyrightbold8pt"/>
            </w:pPr>
            <w:r>
              <w:t>36.0</w:t>
            </w:r>
          </w:p>
        </w:tc>
        <w:tc>
          <w:tcPr>
            <w:tcW w:w="739" w:type="dxa"/>
            <w:tcBorders>
              <w:top w:val="single" w:sz="4" w:space="0" w:color="000000" w:themeColor="text1"/>
              <w:bottom w:val="single" w:sz="4" w:space="0" w:color="000000" w:themeColor="text1"/>
            </w:tcBorders>
            <w:noWrap/>
          </w:tcPr>
          <w:p w14:paraId="0C60283E" w14:textId="77777777" w:rsidR="005B131E" w:rsidRPr="00BA7805" w:rsidRDefault="005B131E" w:rsidP="002542E1">
            <w:pPr>
              <w:pStyle w:val="ARfintablebodyrightbold8pt"/>
              <w:rPr>
                <w:highlight w:val="green"/>
              </w:rPr>
            </w:pPr>
            <w:r w:rsidRPr="00FB1869">
              <w:t>(1,383.6)</w:t>
            </w:r>
          </w:p>
        </w:tc>
      </w:tr>
      <w:tr w:rsidR="005B131E" w:rsidRPr="00BA7805" w14:paraId="17614BF3" w14:textId="77777777" w:rsidTr="002542E1">
        <w:trPr>
          <w:trHeight w:val="170"/>
        </w:trPr>
        <w:tc>
          <w:tcPr>
            <w:tcW w:w="1887" w:type="dxa"/>
            <w:tcBorders>
              <w:top w:val="single" w:sz="4" w:space="0" w:color="000000" w:themeColor="text1"/>
              <w:bottom w:val="single" w:sz="4" w:space="0" w:color="000000" w:themeColor="text1"/>
            </w:tcBorders>
            <w:shd w:val="clear" w:color="auto" w:fill="auto"/>
          </w:tcPr>
          <w:p w14:paraId="462F585B" w14:textId="77777777" w:rsidR="005B131E" w:rsidRPr="00BA7805" w:rsidRDefault="005B131E" w:rsidP="002542E1">
            <w:pPr>
              <w:pStyle w:val="ARfintablebodybold8pt"/>
              <w:rPr>
                <w:highlight w:val="green"/>
              </w:rPr>
            </w:pPr>
            <w:r w:rsidRPr="00F975E0">
              <w:t>Net assets</w:t>
            </w:r>
          </w:p>
        </w:tc>
        <w:tc>
          <w:tcPr>
            <w:tcW w:w="738" w:type="dxa"/>
            <w:tcBorders>
              <w:top w:val="single" w:sz="4" w:space="0" w:color="000000" w:themeColor="text1"/>
              <w:bottom w:val="single" w:sz="4" w:space="0" w:color="000000" w:themeColor="text1"/>
            </w:tcBorders>
            <w:noWrap/>
          </w:tcPr>
          <w:p w14:paraId="215D81A3" w14:textId="77777777" w:rsidR="005B131E" w:rsidRPr="00BA7805" w:rsidRDefault="005B131E" w:rsidP="002542E1">
            <w:pPr>
              <w:pStyle w:val="ARfintablebodyrightbold8pt"/>
              <w:rPr>
                <w:highlight w:val="green"/>
              </w:rPr>
            </w:pPr>
            <w:r w:rsidRPr="00FB1869">
              <w:t>1,218.7</w:t>
            </w:r>
          </w:p>
        </w:tc>
        <w:tc>
          <w:tcPr>
            <w:tcW w:w="739" w:type="dxa"/>
            <w:tcBorders>
              <w:top w:val="single" w:sz="4" w:space="0" w:color="000000" w:themeColor="text1"/>
              <w:bottom w:val="single" w:sz="4" w:space="0" w:color="000000" w:themeColor="text1"/>
            </w:tcBorders>
            <w:noWrap/>
          </w:tcPr>
          <w:p w14:paraId="1B43173E" w14:textId="77777777" w:rsidR="005B131E" w:rsidRPr="00BA7805" w:rsidRDefault="005B131E" w:rsidP="002542E1">
            <w:pPr>
              <w:pStyle w:val="ARfintablebodyrightbold8pt"/>
              <w:rPr>
                <w:highlight w:val="green"/>
              </w:rPr>
            </w:pPr>
            <w:r w:rsidRPr="00FB1869">
              <w:t>167.6</w:t>
            </w:r>
          </w:p>
        </w:tc>
        <w:tc>
          <w:tcPr>
            <w:tcW w:w="739" w:type="dxa"/>
            <w:tcBorders>
              <w:top w:val="single" w:sz="4" w:space="0" w:color="000000" w:themeColor="text1"/>
              <w:bottom w:val="single" w:sz="4" w:space="0" w:color="000000" w:themeColor="text1"/>
            </w:tcBorders>
            <w:noWrap/>
          </w:tcPr>
          <w:p w14:paraId="77DF74DF" w14:textId="77777777" w:rsidR="005B131E" w:rsidRPr="00BA7805" w:rsidRDefault="005B131E" w:rsidP="002542E1">
            <w:pPr>
              <w:pStyle w:val="ARfintablebodyrightbold8pt"/>
              <w:rPr>
                <w:highlight w:val="green"/>
              </w:rPr>
            </w:pPr>
            <w:r w:rsidRPr="00FB1869">
              <w:t>23.9</w:t>
            </w:r>
          </w:p>
        </w:tc>
        <w:tc>
          <w:tcPr>
            <w:tcW w:w="739" w:type="dxa"/>
            <w:tcBorders>
              <w:top w:val="single" w:sz="4" w:space="0" w:color="000000" w:themeColor="text1"/>
              <w:bottom w:val="single" w:sz="4" w:space="0" w:color="000000" w:themeColor="text1"/>
            </w:tcBorders>
            <w:noWrap/>
          </w:tcPr>
          <w:p w14:paraId="52937690" w14:textId="77777777" w:rsidR="005B131E" w:rsidRPr="00BA7805" w:rsidRDefault="005B131E" w:rsidP="002542E1">
            <w:pPr>
              <w:pStyle w:val="ARfintablebodyrightbold8pt"/>
              <w:rPr>
                <w:highlight w:val="green"/>
              </w:rPr>
            </w:pPr>
            <w:r w:rsidRPr="00FB1869">
              <w:t>5.3</w:t>
            </w:r>
          </w:p>
        </w:tc>
        <w:tc>
          <w:tcPr>
            <w:tcW w:w="739" w:type="dxa"/>
            <w:tcBorders>
              <w:top w:val="single" w:sz="4" w:space="0" w:color="000000" w:themeColor="text1"/>
              <w:bottom w:val="single" w:sz="4" w:space="0" w:color="000000" w:themeColor="text1"/>
            </w:tcBorders>
            <w:noWrap/>
          </w:tcPr>
          <w:p w14:paraId="7E384D59" w14:textId="77777777" w:rsidR="005B131E" w:rsidRPr="00BA7805" w:rsidRDefault="005B131E" w:rsidP="002542E1">
            <w:pPr>
              <w:pStyle w:val="ARfintablebodyrightbold8pt"/>
              <w:rPr>
                <w:highlight w:val="green"/>
              </w:rPr>
            </w:pPr>
            <w:r w:rsidRPr="00FB1869">
              <w:t>4.4</w:t>
            </w:r>
          </w:p>
        </w:tc>
        <w:tc>
          <w:tcPr>
            <w:tcW w:w="739" w:type="dxa"/>
            <w:tcBorders>
              <w:top w:val="single" w:sz="4" w:space="0" w:color="000000" w:themeColor="text1"/>
              <w:bottom w:val="single" w:sz="4" w:space="0" w:color="000000" w:themeColor="text1"/>
            </w:tcBorders>
            <w:noWrap/>
          </w:tcPr>
          <w:p w14:paraId="50FC43C5" w14:textId="77777777" w:rsidR="005B131E" w:rsidRPr="00BA7805" w:rsidRDefault="005B131E" w:rsidP="002542E1">
            <w:pPr>
              <w:pStyle w:val="ARfintablebodyrightbold8pt"/>
              <w:rPr>
                <w:highlight w:val="green"/>
              </w:rPr>
            </w:pPr>
            <w:r w:rsidRPr="00FB1869">
              <w:t>9.4</w:t>
            </w:r>
          </w:p>
        </w:tc>
        <w:tc>
          <w:tcPr>
            <w:tcW w:w="739" w:type="dxa"/>
            <w:tcBorders>
              <w:top w:val="single" w:sz="4" w:space="0" w:color="000000" w:themeColor="text1"/>
              <w:bottom w:val="single" w:sz="4" w:space="0" w:color="000000" w:themeColor="text1"/>
            </w:tcBorders>
            <w:noWrap/>
          </w:tcPr>
          <w:p w14:paraId="78C0C0E4" w14:textId="77777777" w:rsidR="005B131E" w:rsidRPr="00BA7805" w:rsidRDefault="005B131E" w:rsidP="002542E1">
            <w:pPr>
              <w:pStyle w:val="ARfintablebodyrightbold8pt"/>
              <w:rPr>
                <w:highlight w:val="green"/>
              </w:rPr>
            </w:pPr>
            <w:r w:rsidRPr="00FB1869">
              <w:t>13.4</w:t>
            </w:r>
          </w:p>
        </w:tc>
        <w:tc>
          <w:tcPr>
            <w:tcW w:w="739" w:type="dxa"/>
            <w:tcBorders>
              <w:top w:val="single" w:sz="4" w:space="0" w:color="000000" w:themeColor="text1"/>
              <w:bottom w:val="single" w:sz="4" w:space="0" w:color="000000" w:themeColor="text1"/>
            </w:tcBorders>
            <w:noWrap/>
          </w:tcPr>
          <w:p w14:paraId="15B4F35A" w14:textId="77777777" w:rsidR="005B131E" w:rsidRPr="00BA7805" w:rsidRDefault="005B131E" w:rsidP="002542E1">
            <w:pPr>
              <w:pStyle w:val="ARfintablebodyrightbold8pt"/>
              <w:rPr>
                <w:highlight w:val="green"/>
              </w:rPr>
            </w:pPr>
            <w:r w:rsidRPr="00FB1869">
              <w:t>2.7</w:t>
            </w:r>
          </w:p>
        </w:tc>
        <w:tc>
          <w:tcPr>
            <w:tcW w:w="738" w:type="dxa"/>
            <w:tcBorders>
              <w:top w:val="single" w:sz="4" w:space="0" w:color="000000" w:themeColor="text1"/>
              <w:bottom w:val="single" w:sz="4" w:space="0" w:color="000000" w:themeColor="text1"/>
            </w:tcBorders>
            <w:noWrap/>
          </w:tcPr>
          <w:p w14:paraId="59E8755F" w14:textId="77777777" w:rsidR="005B131E" w:rsidRPr="00BA7805" w:rsidRDefault="005B131E" w:rsidP="002542E1">
            <w:pPr>
              <w:pStyle w:val="ARfintablebodyrightbold8pt"/>
              <w:rPr>
                <w:highlight w:val="green"/>
              </w:rPr>
            </w:pPr>
            <w:r w:rsidRPr="00FB1869">
              <w:t>13.4</w:t>
            </w:r>
          </w:p>
        </w:tc>
        <w:tc>
          <w:tcPr>
            <w:tcW w:w="739" w:type="dxa"/>
            <w:tcBorders>
              <w:top w:val="single" w:sz="4" w:space="0" w:color="000000" w:themeColor="text1"/>
              <w:bottom w:val="single" w:sz="4" w:space="0" w:color="000000" w:themeColor="text1"/>
            </w:tcBorders>
            <w:noWrap/>
          </w:tcPr>
          <w:p w14:paraId="45EBA7C3" w14:textId="77777777" w:rsidR="005B131E" w:rsidRPr="00BA7805" w:rsidRDefault="005B131E" w:rsidP="002542E1">
            <w:pPr>
              <w:pStyle w:val="ARfintablebodyrightbold8pt"/>
              <w:rPr>
                <w:highlight w:val="green"/>
              </w:rPr>
            </w:pPr>
            <w:r w:rsidRPr="00FB1869">
              <w:t>19.7</w:t>
            </w:r>
          </w:p>
        </w:tc>
        <w:tc>
          <w:tcPr>
            <w:tcW w:w="739" w:type="dxa"/>
            <w:tcBorders>
              <w:top w:val="single" w:sz="4" w:space="0" w:color="000000" w:themeColor="text1"/>
              <w:bottom w:val="single" w:sz="4" w:space="0" w:color="000000" w:themeColor="text1"/>
            </w:tcBorders>
            <w:noWrap/>
          </w:tcPr>
          <w:p w14:paraId="7C8FAD0B" w14:textId="77777777" w:rsidR="005B131E" w:rsidRPr="00BA7805" w:rsidRDefault="005B131E" w:rsidP="002542E1">
            <w:pPr>
              <w:pStyle w:val="ARfintablebodyrightbold8pt"/>
              <w:rPr>
                <w:highlight w:val="green"/>
              </w:rPr>
            </w:pPr>
            <w:r w:rsidRPr="00FB1869">
              <w:t>31.6</w:t>
            </w:r>
          </w:p>
        </w:tc>
        <w:tc>
          <w:tcPr>
            <w:tcW w:w="739" w:type="dxa"/>
            <w:tcBorders>
              <w:top w:val="single" w:sz="4" w:space="0" w:color="000000" w:themeColor="text1"/>
              <w:bottom w:val="single" w:sz="4" w:space="0" w:color="000000" w:themeColor="text1"/>
            </w:tcBorders>
            <w:noWrap/>
          </w:tcPr>
          <w:p w14:paraId="2EEE6A98" w14:textId="77777777" w:rsidR="005B131E" w:rsidRPr="00BA7805" w:rsidRDefault="005B131E" w:rsidP="002542E1">
            <w:pPr>
              <w:pStyle w:val="ARfintablebodyrightbold8pt"/>
              <w:rPr>
                <w:highlight w:val="green"/>
              </w:rPr>
            </w:pPr>
            <w:r w:rsidRPr="00FB1869">
              <w:t>53.3</w:t>
            </w:r>
          </w:p>
        </w:tc>
        <w:tc>
          <w:tcPr>
            <w:tcW w:w="739" w:type="dxa"/>
            <w:tcBorders>
              <w:top w:val="single" w:sz="4" w:space="0" w:color="000000" w:themeColor="text1"/>
              <w:bottom w:val="single" w:sz="4" w:space="0" w:color="000000" w:themeColor="text1"/>
            </w:tcBorders>
            <w:noWrap/>
          </w:tcPr>
          <w:p w14:paraId="0B7C1CC4" w14:textId="77777777" w:rsidR="005B131E" w:rsidRPr="00BA7805" w:rsidRDefault="005B131E" w:rsidP="002542E1">
            <w:pPr>
              <w:pStyle w:val="ARfintablebodyrightbold8pt"/>
              <w:rPr>
                <w:highlight w:val="green"/>
              </w:rPr>
            </w:pPr>
            <w:r w:rsidRPr="00FB1869">
              <w:t>126.2</w:t>
            </w:r>
          </w:p>
        </w:tc>
        <w:tc>
          <w:tcPr>
            <w:tcW w:w="739" w:type="dxa"/>
            <w:tcBorders>
              <w:top w:val="single" w:sz="4" w:space="0" w:color="000000" w:themeColor="text1"/>
              <w:bottom w:val="single" w:sz="4" w:space="0" w:color="000000" w:themeColor="text1"/>
            </w:tcBorders>
            <w:noWrap/>
          </w:tcPr>
          <w:p w14:paraId="336852FC" w14:textId="77777777" w:rsidR="005B131E" w:rsidRPr="00BA7805" w:rsidRDefault="005B131E" w:rsidP="002542E1">
            <w:pPr>
              <w:pStyle w:val="ARfintablebodyrightbold8pt"/>
              <w:rPr>
                <w:highlight w:val="green"/>
              </w:rPr>
            </w:pPr>
            <w:r w:rsidRPr="00FB1869">
              <w:t>35,492.5</w:t>
            </w:r>
          </w:p>
        </w:tc>
        <w:tc>
          <w:tcPr>
            <w:tcW w:w="739" w:type="dxa"/>
            <w:tcBorders>
              <w:top w:val="single" w:sz="4" w:space="0" w:color="000000" w:themeColor="text1"/>
              <w:bottom w:val="single" w:sz="4" w:space="0" w:color="000000" w:themeColor="text1"/>
            </w:tcBorders>
          </w:tcPr>
          <w:p w14:paraId="444467D6" w14:textId="77777777" w:rsidR="005B131E" w:rsidRPr="00FB1869" w:rsidRDefault="005B131E" w:rsidP="002542E1">
            <w:pPr>
              <w:pStyle w:val="ARfintablebodyrightbold8pt"/>
            </w:pPr>
            <w:r w:rsidRPr="005A67F6">
              <w:t>–</w:t>
            </w:r>
          </w:p>
        </w:tc>
        <w:tc>
          <w:tcPr>
            <w:tcW w:w="739" w:type="dxa"/>
            <w:tcBorders>
              <w:top w:val="single" w:sz="4" w:space="0" w:color="000000" w:themeColor="text1"/>
              <w:bottom w:val="single" w:sz="4" w:space="0" w:color="000000" w:themeColor="text1"/>
            </w:tcBorders>
            <w:noWrap/>
          </w:tcPr>
          <w:p w14:paraId="0F5051DD" w14:textId="77777777" w:rsidR="005B131E" w:rsidRPr="00BA7805" w:rsidRDefault="005B131E" w:rsidP="002542E1">
            <w:pPr>
              <w:pStyle w:val="ARfintablebodyrightbold8pt"/>
              <w:rPr>
                <w:highlight w:val="green"/>
              </w:rPr>
            </w:pPr>
            <w:r w:rsidRPr="00FB1869">
              <w:t>37,182.0</w:t>
            </w:r>
          </w:p>
        </w:tc>
      </w:tr>
    </w:tbl>
    <w:p w14:paraId="0AAB79C1" w14:textId="77777777" w:rsidR="005B131E" w:rsidRDefault="005B131E" w:rsidP="002542E1">
      <w:pPr>
        <w:pStyle w:val="ARfintablefootnote"/>
      </w:pPr>
      <w:r>
        <w:t>Note:</w:t>
      </w:r>
    </w:p>
    <w:p w14:paraId="6F6A97BC" w14:textId="77777777" w:rsidR="005B131E" w:rsidRDefault="005B131E" w:rsidP="002542E1">
      <w:pPr>
        <w:pStyle w:val="ARfintablefootnotetabindent"/>
      </w:pPr>
      <w:r w:rsidRPr="00F975E0">
        <w:t xml:space="preserve">(i) </w:t>
      </w:r>
      <w:r>
        <w:tab/>
      </w:r>
      <w:r w:rsidRPr="00F975E0">
        <w:t>Refer to Note 4.1.1 for output definitions.</w:t>
      </w:r>
    </w:p>
    <w:p w14:paraId="674BF118" w14:textId="77777777" w:rsidR="005B131E" w:rsidRPr="00B767C2" w:rsidRDefault="005B131E" w:rsidP="002542E1">
      <w:pPr>
        <w:pStyle w:val="ARfinbody"/>
        <w:rPr>
          <w:highlight w:val="green"/>
        </w:rPr>
      </w:pPr>
      <w:r w:rsidRPr="00BA7805">
        <w:rPr>
          <w:highlight w:val="green"/>
        </w:rPr>
        <w:br w:type="page"/>
      </w:r>
    </w:p>
    <w:p w14:paraId="676D11D7" w14:textId="77777777" w:rsidR="005B131E" w:rsidRDefault="005B131E" w:rsidP="002542E1">
      <w:pPr>
        <w:pStyle w:val="Heading4"/>
        <w:spacing w:before="0"/>
        <w:rPr>
          <w:lang w:eastAsia="en-AU"/>
        </w:rPr>
      </w:pPr>
      <w:r w:rsidRPr="004C40F3">
        <w:rPr>
          <w:lang w:eastAsia="en-AU"/>
        </w:rPr>
        <w:t>4.2 Administered (non-controlled) items</w:t>
      </w:r>
    </w:p>
    <w:p w14:paraId="5E524310" w14:textId="157A6DFC" w:rsidR="005B131E" w:rsidRDefault="005B131E" w:rsidP="002542E1">
      <w:pPr>
        <w:pStyle w:val="ARfinbody"/>
        <w:spacing w:line="240" w:lineRule="atLeast"/>
      </w:pPr>
      <w:r>
        <w:t xml:space="preserve">The </w:t>
      </w:r>
      <w:r w:rsidR="006943E3">
        <w:t>d</w:t>
      </w:r>
      <w:r>
        <w:t>epartment</w:t>
      </w:r>
      <w:r w:rsidR="00711AE6">
        <w:t>’</w:t>
      </w:r>
      <w:r>
        <w:t>s administered activities mainly relate to the output of disability services. The distinction between controlled and administered items is drawn based on whether the </w:t>
      </w:r>
      <w:r w:rsidR="00ED0326">
        <w:t>d</w:t>
      </w:r>
      <w:r>
        <w:t xml:space="preserve">epartment has the ability to deploy the resources in question for its own benefits (controlled items) or whether it does so on behalf of the State (administered). The </w:t>
      </w:r>
      <w:r w:rsidR="006943E3">
        <w:t xml:space="preserve">department </w:t>
      </w:r>
      <w:r>
        <w:t>remains accountable for transactions involving administered items, but it does not recognise these items in its controlled financial statements. Administered income includes Victoria</w:t>
      </w:r>
      <w:r w:rsidR="00711AE6">
        <w:t>’</w:t>
      </w:r>
      <w:r>
        <w:t>s contribution to the National Disability Insurance Scheme, Natural Disaster Relief and Recovery Arrangements, fees, Commonwealth grants and the proceeds from the sale of administered surplus land and building.</w:t>
      </w:r>
    </w:p>
    <w:p w14:paraId="14E3B47A" w14:textId="77777777" w:rsidR="005B131E" w:rsidRDefault="005B131E" w:rsidP="002542E1">
      <w:pPr>
        <w:pStyle w:val="ARfinbody"/>
        <w:spacing w:line="240" w:lineRule="atLeast"/>
      </w:pPr>
      <w:r>
        <w:t>Except as otherwise disclosed, administered resources are accounted for on an accrual basis using the same accounting policies adopted for recognition of the departmental items in the financial statements. Both the controlled department financial statements and these administered items are consolidated into the financial statements of the state.</w:t>
      </w:r>
    </w:p>
    <w:p w14:paraId="7E8F62DD" w14:textId="1D665ADF" w:rsidR="005B131E" w:rsidRDefault="005B131E" w:rsidP="002542E1">
      <w:pPr>
        <w:pStyle w:val="ARfinbody"/>
        <w:spacing w:line="240" w:lineRule="atLeast"/>
      </w:pPr>
      <w:r>
        <w:t>The department does not gain control over assets arising from statutory income, consequently no income is recognised in the department</w:t>
      </w:r>
      <w:r w:rsidR="00711AE6">
        <w:t>’</w:t>
      </w:r>
      <w:r>
        <w:t>s financial statements. The department collects these amounts on behalf of the state. Accordingly, the amounts are disclosed as income in the schedule of Administered Items.</w:t>
      </w:r>
    </w:p>
    <w:p w14:paraId="5DD0C17A" w14:textId="77777777" w:rsidR="005B131E" w:rsidRPr="00970A1A" w:rsidRDefault="005B131E" w:rsidP="00207901">
      <w:pPr>
        <w:pStyle w:val="Heading5"/>
      </w:pPr>
      <w:r w:rsidRPr="00970A1A">
        <w:rPr>
          <w:lang w:eastAsia="en-AU"/>
        </w:rPr>
        <w:t>4.2.1 Administered income and expenses for the year ended 30 June 2024</w:t>
      </w:r>
    </w:p>
    <w:tbl>
      <w:tblPr>
        <w:tblStyle w:val="TableGrid"/>
        <w:tblW w:w="5000" w:type="pct"/>
        <w:tblLayout w:type="fixed"/>
        <w:tblCellMar>
          <w:right w:w="0" w:type="dxa"/>
        </w:tblCellMar>
        <w:tblLook w:val="06A0" w:firstRow="1" w:lastRow="0" w:firstColumn="1" w:lastColumn="0" w:noHBand="1" w:noVBand="1"/>
      </w:tblPr>
      <w:tblGrid>
        <w:gridCol w:w="3486"/>
        <w:gridCol w:w="681"/>
        <w:gridCol w:w="682"/>
        <w:gridCol w:w="681"/>
        <w:gridCol w:w="682"/>
        <w:gridCol w:w="681"/>
        <w:gridCol w:w="682"/>
        <w:gridCol w:w="681"/>
        <w:gridCol w:w="682"/>
        <w:gridCol w:w="681"/>
        <w:gridCol w:w="682"/>
        <w:gridCol w:w="681"/>
        <w:gridCol w:w="682"/>
        <w:gridCol w:w="681"/>
        <w:gridCol w:w="682"/>
        <w:gridCol w:w="682"/>
      </w:tblGrid>
      <w:tr w:rsidR="005B131E" w:rsidRPr="00BA7805" w14:paraId="3D8D608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486" w:type="dxa"/>
            <w:tcBorders>
              <w:bottom w:val="single" w:sz="4" w:space="0" w:color="auto"/>
            </w:tcBorders>
            <w:hideMark/>
          </w:tcPr>
          <w:p w14:paraId="2C9B55A4" w14:textId="77777777" w:rsidR="005B131E" w:rsidRPr="005D7D5C" w:rsidRDefault="005B131E">
            <w:pPr>
              <w:pStyle w:val="ARfintablecolhead"/>
              <w:spacing w:before="10" w:after="10" w:line="216" w:lineRule="auto"/>
              <w:ind w:right="0"/>
              <w:rPr>
                <w:rStyle w:val="Superscript"/>
                <w:rFonts w:cs="Arial"/>
                <w:sz w:val="15"/>
                <w:szCs w:val="15"/>
              </w:rPr>
            </w:pPr>
            <w:r w:rsidRPr="005D7D5C">
              <w:rPr>
                <w:rFonts w:cs="Arial"/>
                <w:sz w:val="15"/>
                <w:szCs w:val="15"/>
              </w:rPr>
              <w:t xml:space="preserve">Output </w:t>
            </w:r>
            <w:r w:rsidRPr="005D7D5C">
              <w:rPr>
                <w:rStyle w:val="Superscript"/>
                <w:rFonts w:cs="Arial"/>
                <w:sz w:val="15"/>
                <w:szCs w:val="15"/>
              </w:rPr>
              <w:t>(i)(ii)</w:t>
            </w:r>
          </w:p>
          <w:p w14:paraId="5E3132C4" w14:textId="77777777" w:rsidR="005B131E" w:rsidRPr="005D7D5C" w:rsidRDefault="005B131E">
            <w:pPr>
              <w:pStyle w:val="ARfintablecolhead"/>
              <w:spacing w:before="10" w:after="10" w:line="216" w:lineRule="auto"/>
              <w:rPr>
                <w:rFonts w:cs="Arial"/>
                <w:sz w:val="15"/>
                <w:szCs w:val="15"/>
              </w:rPr>
            </w:pPr>
            <w:r w:rsidRPr="005D7D5C">
              <w:rPr>
                <w:rFonts w:cs="Arial"/>
                <w:sz w:val="15"/>
                <w:szCs w:val="15"/>
              </w:rPr>
              <w:t>2024</w:t>
            </w:r>
          </w:p>
        </w:tc>
        <w:tc>
          <w:tcPr>
            <w:tcW w:w="681" w:type="dxa"/>
            <w:tcBorders>
              <w:bottom w:val="single" w:sz="4" w:space="0" w:color="auto"/>
            </w:tcBorders>
            <w:hideMark/>
          </w:tcPr>
          <w:p w14:paraId="20758044"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w:t>
            </w:r>
          </w:p>
          <w:p w14:paraId="56C67C3B"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2" w:type="dxa"/>
            <w:tcBorders>
              <w:bottom w:val="single" w:sz="4" w:space="0" w:color="auto"/>
            </w:tcBorders>
            <w:hideMark/>
          </w:tcPr>
          <w:p w14:paraId="1798C0DF"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2</w:t>
            </w:r>
          </w:p>
          <w:p w14:paraId="5A2BF1E5"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1" w:type="dxa"/>
            <w:tcBorders>
              <w:bottom w:val="single" w:sz="4" w:space="0" w:color="auto"/>
            </w:tcBorders>
            <w:hideMark/>
          </w:tcPr>
          <w:p w14:paraId="62EBB196"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3</w:t>
            </w:r>
          </w:p>
          <w:p w14:paraId="0708A7B4"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2" w:type="dxa"/>
            <w:tcBorders>
              <w:bottom w:val="single" w:sz="4" w:space="0" w:color="auto"/>
            </w:tcBorders>
            <w:hideMark/>
          </w:tcPr>
          <w:p w14:paraId="7216608E" w14:textId="77777777" w:rsidR="005B131E" w:rsidRDefault="005B131E" w:rsidP="002542E1">
            <w:pPr>
              <w:pStyle w:val="ARfintablecolheadright"/>
              <w:spacing w:before="10" w:after="10" w:line="216" w:lineRule="auto"/>
              <w:rPr>
                <w:rStyle w:val="Superscript"/>
              </w:rPr>
            </w:pPr>
            <w:r w:rsidRPr="005D7D5C">
              <w:rPr>
                <w:rFonts w:cs="Arial"/>
                <w:sz w:val="15"/>
                <w:szCs w:val="15"/>
              </w:rPr>
              <w:t>4</w:t>
            </w:r>
          </w:p>
          <w:p w14:paraId="5F832251" w14:textId="77777777" w:rsidR="005B131E" w:rsidRPr="005D7D5C" w:rsidRDefault="005B131E" w:rsidP="002542E1">
            <w:pPr>
              <w:pStyle w:val="ARfintablecolheadright"/>
              <w:spacing w:before="10" w:after="10" w:line="216" w:lineRule="auto"/>
              <w:rPr>
                <w:rFonts w:cs="Arial"/>
                <w:sz w:val="15"/>
                <w:szCs w:val="15"/>
              </w:rPr>
            </w:pPr>
            <w:r w:rsidRPr="005D7D5C">
              <w:rPr>
                <w:rFonts w:cs="Arial"/>
                <w:sz w:val="15"/>
                <w:szCs w:val="15"/>
              </w:rPr>
              <w:t>$M</w:t>
            </w:r>
          </w:p>
        </w:tc>
        <w:tc>
          <w:tcPr>
            <w:tcW w:w="681" w:type="dxa"/>
            <w:tcBorders>
              <w:bottom w:val="single" w:sz="4" w:space="0" w:color="auto"/>
            </w:tcBorders>
            <w:hideMark/>
          </w:tcPr>
          <w:p w14:paraId="44C86BA5"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5</w:t>
            </w:r>
          </w:p>
          <w:p w14:paraId="57D67A32"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2" w:type="dxa"/>
            <w:tcBorders>
              <w:bottom w:val="single" w:sz="4" w:space="0" w:color="auto"/>
            </w:tcBorders>
            <w:hideMark/>
          </w:tcPr>
          <w:p w14:paraId="5A1AC786"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6</w:t>
            </w:r>
          </w:p>
          <w:p w14:paraId="50654714"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1" w:type="dxa"/>
            <w:tcBorders>
              <w:bottom w:val="single" w:sz="4" w:space="0" w:color="auto"/>
            </w:tcBorders>
            <w:hideMark/>
          </w:tcPr>
          <w:p w14:paraId="5864BD94"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7</w:t>
            </w:r>
          </w:p>
          <w:p w14:paraId="2BC9C583"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2" w:type="dxa"/>
            <w:tcBorders>
              <w:bottom w:val="single" w:sz="4" w:space="0" w:color="auto"/>
            </w:tcBorders>
            <w:hideMark/>
          </w:tcPr>
          <w:p w14:paraId="76AAF7E5"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8</w:t>
            </w:r>
          </w:p>
          <w:p w14:paraId="17F50D12"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1" w:type="dxa"/>
            <w:tcBorders>
              <w:bottom w:val="single" w:sz="4" w:space="0" w:color="auto"/>
            </w:tcBorders>
            <w:hideMark/>
          </w:tcPr>
          <w:p w14:paraId="2F032F33"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9</w:t>
            </w:r>
          </w:p>
          <w:p w14:paraId="28369231"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2" w:type="dxa"/>
            <w:tcBorders>
              <w:bottom w:val="single" w:sz="4" w:space="0" w:color="auto"/>
            </w:tcBorders>
            <w:hideMark/>
          </w:tcPr>
          <w:p w14:paraId="50933366"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10</w:t>
            </w:r>
          </w:p>
          <w:p w14:paraId="3A27A27A"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1" w:type="dxa"/>
            <w:tcBorders>
              <w:bottom w:val="single" w:sz="4" w:space="0" w:color="auto"/>
            </w:tcBorders>
            <w:hideMark/>
          </w:tcPr>
          <w:p w14:paraId="1D90F4AB"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11</w:t>
            </w:r>
          </w:p>
          <w:p w14:paraId="5D070F7F"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2" w:type="dxa"/>
            <w:tcBorders>
              <w:bottom w:val="single" w:sz="4" w:space="0" w:color="auto"/>
            </w:tcBorders>
            <w:hideMark/>
          </w:tcPr>
          <w:p w14:paraId="72EA70FF"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12</w:t>
            </w:r>
          </w:p>
          <w:p w14:paraId="26FDDC20"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1" w:type="dxa"/>
            <w:tcBorders>
              <w:bottom w:val="single" w:sz="4" w:space="0" w:color="auto"/>
            </w:tcBorders>
            <w:hideMark/>
          </w:tcPr>
          <w:p w14:paraId="73F28A45"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13</w:t>
            </w:r>
          </w:p>
          <w:p w14:paraId="3AAF6051"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82" w:type="dxa"/>
            <w:tcBorders>
              <w:bottom w:val="single" w:sz="4" w:space="0" w:color="auto"/>
            </w:tcBorders>
            <w:hideMark/>
          </w:tcPr>
          <w:p w14:paraId="750EE8F3" w14:textId="77777777" w:rsidR="005B131E" w:rsidRDefault="005B131E">
            <w:pPr>
              <w:pStyle w:val="ARfintablecolheadright"/>
              <w:spacing w:before="10" w:after="10" w:line="216" w:lineRule="auto"/>
              <w:rPr>
                <w:rFonts w:cs="Arial"/>
                <w:sz w:val="15"/>
                <w:szCs w:val="15"/>
              </w:rPr>
            </w:pPr>
            <w:r>
              <w:rPr>
                <w:rFonts w:cs="Arial"/>
                <w:sz w:val="15"/>
                <w:szCs w:val="15"/>
              </w:rPr>
              <w:t>15</w:t>
            </w:r>
          </w:p>
          <w:p w14:paraId="580BB733"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r>
              <w:rPr>
                <w:rFonts w:cs="Arial"/>
                <w:sz w:val="15"/>
                <w:szCs w:val="15"/>
              </w:rPr>
              <w:t xml:space="preserve"> </w:t>
            </w:r>
            <w:r w:rsidRPr="008C4181">
              <w:rPr>
                <w:vertAlign w:val="superscript"/>
              </w:rPr>
              <w:t>(iii)</w:t>
            </w:r>
          </w:p>
        </w:tc>
        <w:tc>
          <w:tcPr>
            <w:tcW w:w="682" w:type="dxa"/>
            <w:tcBorders>
              <w:bottom w:val="single" w:sz="4" w:space="0" w:color="auto"/>
            </w:tcBorders>
            <w:hideMark/>
          </w:tcPr>
          <w:p w14:paraId="5480025B"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Total</w:t>
            </w:r>
          </w:p>
          <w:p w14:paraId="4DE74D4D"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r>
      <w:tr w:rsidR="005B131E" w:rsidRPr="00BA7805" w14:paraId="6048AAB8" w14:textId="77777777" w:rsidTr="002542E1">
        <w:trPr>
          <w:cantSplit w:val="0"/>
        </w:trPr>
        <w:tc>
          <w:tcPr>
            <w:tcW w:w="13709" w:type="dxa"/>
            <w:gridSpan w:val="16"/>
            <w:tcBorders>
              <w:top w:val="single" w:sz="4" w:space="0" w:color="auto"/>
              <w:bottom w:val="single" w:sz="4" w:space="0" w:color="BFBFBF" w:themeColor="background1" w:themeShade="BF"/>
            </w:tcBorders>
          </w:tcPr>
          <w:p w14:paraId="73BE22C4" w14:textId="77777777" w:rsidR="005B131E" w:rsidRPr="00BA7805" w:rsidRDefault="005B131E" w:rsidP="002542E1">
            <w:pPr>
              <w:pStyle w:val="ARfintablebodybold8pt"/>
              <w:rPr>
                <w:sz w:val="15"/>
                <w:highlight w:val="green"/>
              </w:rPr>
            </w:pPr>
            <w:r w:rsidRPr="0028081E">
              <w:t>Administered income from transactions</w:t>
            </w:r>
          </w:p>
        </w:tc>
      </w:tr>
      <w:tr w:rsidR="005B131E" w:rsidRPr="00BA7805" w14:paraId="4DF129B9"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5ECA35E0" w14:textId="77777777" w:rsidR="005B131E" w:rsidRPr="00BA7805" w:rsidRDefault="005B131E" w:rsidP="002542E1">
            <w:pPr>
              <w:pStyle w:val="ARfintablebody8pt"/>
              <w:rPr>
                <w:sz w:val="15"/>
                <w:highlight w:val="green"/>
              </w:rPr>
            </w:pPr>
            <w:r w:rsidRPr="0028081E">
              <w:t>State contribution to the National Disability Insurance Agency</w:t>
            </w:r>
          </w:p>
        </w:tc>
        <w:tc>
          <w:tcPr>
            <w:tcW w:w="681" w:type="dxa"/>
            <w:tcBorders>
              <w:top w:val="single" w:sz="4" w:space="0" w:color="BFBFBF" w:themeColor="background1" w:themeShade="BF"/>
              <w:bottom w:val="single" w:sz="4" w:space="0" w:color="BFBFBF" w:themeColor="background1" w:themeShade="BF"/>
            </w:tcBorders>
            <w:noWrap/>
          </w:tcPr>
          <w:p w14:paraId="0E81B4D6"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21031CC8"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0F73F07D"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DDD97FD"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691CC808"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032D651"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09549B20"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DCFC8DC"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7759562B"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94B9CF1"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24D0A3FE"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733003F6"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414F98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3B50E4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3F08A29" w14:textId="77777777" w:rsidR="005B131E" w:rsidRPr="00BA7805" w:rsidRDefault="005B131E" w:rsidP="002542E1">
            <w:pPr>
              <w:pStyle w:val="ARfintablebodyright8pt"/>
              <w:rPr>
                <w:highlight w:val="green"/>
              </w:rPr>
            </w:pPr>
            <w:r>
              <w:t>–</w:t>
            </w:r>
          </w:p>
        </w:tc>
      </w:tr>
      <w:tr w:rsidR="005B131E" w:rsidRPr="00BA7805" w14:paraId="6C631BFD"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37DA8E73" w14:textId="77777777" w:rsidR="005B131E" w:rsidRPr="00BA7805" w:rsidRDefault="005B131E" w:rsidP="002542E1">
            <w:pPr>
              <w:pStyle w:val="ARfintablebody8pt"/>
              <w:rPr>
                <w:sz w:val="15"/>
                <w:highlight w:val="green"/>
              </w:rPr>
            </w:pPr>
            <w:r w:rsidRPr="0028081E">
              <w:t>Commonwealth grants</w:t>
            </w:r>
          </w:p>
        </w:tc>
        <w:tc>
          <w:tcPr>
            <w:tcW w:w="681" w:type="dxa"/>
            <w:tcBorders>
              <w:top w:val="single" w:sz="4" w:space="0" w:color="BFBFBF" w:themeColor="background1" w:themeShade="BF"/>
              <w:bottom w:val="single" w:sz="4" w:space="0" w:color="BFBFBF" w:themeColor="background1" w:themeShade="BF"/>
            </w:tcBorders>
            <w:noWrap/>
          </w:tcPr>
          <w:p w14:paraId="5697AF5D"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42F579B" w14:textId="77777777" w:rsidR="005B131E" w:rsidRPr="00BA7805" w:rsidRDefault="005B131E" w:rsidP="002542E1">
            <w:pPr>
              <w:pStyle w:val="ARfintablebodyright8pt"/>
              <w:rPr>
                <w:highlight w:val="green"/>
              </w:rPr>
            </w:pPr>
            <w:r w:rsidRPr="00847838">
              <w:t>2.2</w:t>
            </w:r>
          </w:p>
        </w:tc>
        <w:tc>
          <w:tcPr>
            <w:tcW w:w="681" w:type="dxa"/>
            <w:tcBorders>
              <w:top w:val="single" w:sz="4" w:space="0" w:color="BFBFBF" w:themeColor="background1" w:themeShade="BF"/>
              <w:bottom w:val="single" w:sz="4" w:space="0" w:color="BFBFBF" w:themeColor="background1" w:themeShade="BF"/>
            </w:tcBorders>
            <w:noWrap/>
          </w:tcPr>
          <w:p w14:paraId="7740A07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558AFD4"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65E0D4A"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130AF57"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53C3862E"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EFF69EE"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778F936B"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A176668"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4EC08B68"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4BB0F6A3"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5EF2AD98" w14:textId="77777777" w:rsidR="005B131E" w:rsidRPr="00BA7805" w:rsidRDefault="005B131E" w:rsidP="002542E1">
            <w:pPr>
              <w:pStyle w:val="ARfintablebodyright8pt"/>
              <w:rPr>
                <w:highlight w:val="green"/>
              </w:rPr>
            </w:pPr>
            <w:r w:rsidRPr="00847838">
              <w:t>1.5</w:t>
            </w:r>
          </w:p>
        </w:tc>
        <w:tc>
          <w:tcPr>
            <w:tcW w:w="682" w:type="dxa"/>
            <w:tcBorders>
              <w:top w:val="single" w:sz="4" w:space="0" w:color="BFBFBF" w:themeColor="background1" w:themeShade="BF"/>
              <w:bottom w:val="single" w:sz="4" w:space="0" w:color="BFBFBF" w:themeColor="background1" w:themeShade="BF"/>
            </w:tcBorders>
            <w:noWrap/>
          </w:tcPr>
          <w:p w14:paraId="1EFA8D04"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D00A268" w14:textId="77777777" w:rsidR="005B131E" w:rsidRPr="00BA7805" w:rsidRDefault="005B131E" w:rsidP="002542E1">
            <w:pPr>
              <w:pStyle w:val="ARfintablebodyright8pt"/>
              <w:rPr>
                <w:highlight w:val="green"/>
              </w:rPr>
            </w:pPr>
            <w:r w:rsidRPr="00847838">
              <w:t>3.6</w:t>
            </w:r>
          </w:p>
        </w:tc>
      </w:tr>
      <w:tr w:rsidR="005B131E" w:rsidRPr="00BA7805" w14:paraId="4F7B6A6D"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31359932" w14:textId="77777777" w:rsidR="005B131E" w:rsidRPr="00BA7805" w:rsidRDefault="005B131E" w:rsidP="002542E1">
            <w:pPr>
              <w:pStyle w:val="ARfintablebody8pt"/>
              <w:rPr>
                <w:sz w:val="15"/>
                <w:highlight w:val="green"/>
              </w:rPr>
            </w:pPr>
            <w:r w:rsidRPr="0028081E">
              <w:t>Sales of goods and services</w:t>
            </w:r>
          </w:p>
        </w:tc>
        <w:tc>
          <w:tcPr>
            <w:tcW w:w="681" w:type="dxa"/>
            <w:tcBorders>
              <w:top w:val="single" w:sz="4" w:space="0" w:color="BFBFBF" w:themeColor="background1" w:themeShade="BF"/>
              <w:bottom w:val="single" w:sz="4" w:space="0" w:color="BFBFBF" w:themeColor="background1" w:themeShade="BF"/>
            </w:tcBorders>
            <w:noWrap/>
          </w:tcPr>
          <w:p w14:paraId="7042D65F" w14:textId="77777777" w:rsidR="005B131E" w:rsidRPr="00BA7805" w:rsidRDefault="005B131E" w:rsidP="002542E1">
            <w:pPr>
              <w:pStyle w:val="ARfintablebodyright8pt"/>
              <w:rPr>
                <w:highlight w:val="green"/>
              </w:rPr>
            </w:pPr>
            <w:r w:rsidRPr="00847838">
              <w:t>35.9</w:t>
            </w:r>
          </w:p>
        </w:tc>
        <w:tc>
          <w:tcPr>
            <w:tcW w:w="682" w:type="dxa"/>
            <w:tcBorders>
              <w:top w:val="single" w:sz="4" w:space="0" w:color="BFBFBF" w:themeColor="background1" w:themeShade="BF"/>
              <w:bottom w:val="single" w:sz="4" w:space="0" w:color="BFBFBF" w:themeColor="background1" w:themeShade="BF"/>
            </w:tcBorders>
            <w:noWrap/>
          </w:tcPr>
          <w:p w14:paraId="4F26F817"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250874AE"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0710762"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B35221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0692D2F" w14:textId="77777777" w:rsidR="005B131E" w:rsidRPr="00BA7805" w:rsidRDefault="005B131E" w:rsidP="002542E1">
            <w:pPr>
              <w:pStyle w:val="ARfintablebodyright8pt"/>
              <w:rPr>
                <w:highlight w:val="green"/>
              </w:rPr>
            </w:pPr>
            <w:r w:rsidRPr="00847838">
              <w:t>0.7</w:t>
            </w:r>
          </w:p>
        </w:tc>
        <w:tc>
          <w:tcPr>
            <w:tcW w:w="681" w:type="dxa"/>
            <w:tcBorders>
              <w:top w:val="single" w:sz="4" w:space="0" w:color="BFBFBF" w:themeColor="background1" w:themeShade="BF"/>
              <w:bottom w:val="single" w:sz="4" w:space="0" w:color="BFBFBF" w:themeColor="background1" w:themeShade="BF"/>
            </w:tcBorders>
            <w:noWrap/>
          </w:tcPr>
          <w:p w14:paraId="3DF74EB3"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392EEB6"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46DC931C"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7046E98"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2013736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253EA9AF"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700056B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80AC660"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069374E" w14:textId="77777777" w:rsidR="005B131E" w:rsidRPr="00BA7805" w:rsidRDefault="005B131E" w:rsidP="002542E1">
            <w:pPr>
              <w:pStyle w:val="ARfintablebodyright8pt"/>
              <w:rPr>
                <w:highlight w:val="green"/>
              </w:rPr>
            </w:pPr>
            <w:r w:rsidRPr="00847838">
              <w:t>36.6</w:t>
            </w:r>
          </w:p>
        </w:tc>
      </w:tr>
      <w:tr w:rsidR="005B131E" w:rsidRPr="00BA7805" w14:paraId="0511D5FB"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4CAEAF30" w14:textId="77777777" w:rsidR="005B131E" w:rsidRPr="005A731F" w:rsidRDefault="005B131E" w:rsidP="002542E1">
            <w:pPr>
              <w:pStyle w:val="ARfintablebody8pt"/>
              <w:rPr>
                <w:spacing w:val="-6"/>
                <w:sz w:val="15"/>
                <w:highlight w:val="green"/>
              </w:rPr>
            </w:pPr>
            <w:r w:rsidRPr="005A731F">
              <w:rPr>
                <w:spacing w:val="-6"/>
              </w:rPr>
              <w:t>Appropriations – payments made on behalf of the state</w:t>
            </w:r>
          </w:p>
        </w:tc>
        <w:tc>
          <w:tcPr>
            <w:tcW w:w="681" w:type="dxa"/>
            <w:tcBorders>
              <w:top w:val="single" w:sz="4" w:space="0" w:color="BFBFBF" w:themeColor="background1" w:themeShade="BF"/>
              <w:bottom w:val="single" w:sz="4" w:space="0" w:color="BFBFBF" w:themeColor="background1" w:themeShade="BF"/>
            </w:tcBorders>
            <w:noWrap/>
          </w:tcPr>
          <w:p w14:paraId="6483AB3D" w14:textId="77777777" w:rsidR="005B131E" w:rsidRPr="00BA7805" w:rsidRDefault="005B131E" w:rsidP="002542E1">
            <w:pPr>
              <w:pStyle w:val="ARfintablebodyright8pt"/>
              <w:rPr>
                <w:highlight w:val="green"/>
              </w:rPr>
            </w:pPr>
            <w:r w:rsidRPr="00847838">
              <w:t>74.0</w:t>
            </w:r>
          </w:p>
        </w:tc>
        <w:tc>
          <w:tcPr>
            <w:tcW w:w="682" w:type="dxa"/>
            <w:tcBorders>
              <w:top w:val="single" w:sz="4" w:space="0" w:color="BFBFBF" w:themeColor="background1" w:themeShade="BF"/>
              <w:bottom w:val="single" w:sz="4" w:space="0" w:color="BFBFBF" w:themeColor="background1" w:themeShade="BF"/>
            </w:tcBorders>
            <w:noWrap/>
          </w:tcPr>
          <w:p w14:paraId="2A4D2518"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6C94CCB4"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237DFE11"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388A293"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BD1B76C"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577671CA"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75F83E20"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4F745978"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D993692"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9CF610C"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3CAD350"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7719889D"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299AE619" w14:textId="77777777" w:rsidR="005B131E" w:rsidRPr="00BA7805" w:rsidRDefault="005B131E" w:rsidP="002542E1">
            <w:pPr>
              <w:pStyle w:val="ARfintablebodyright8pt"/>
              <w:rPr>
                <w:highlight w:val="green"/>
              </w:rPr>
            </w:pPr>
            <w:r w:rsidRPr="00847838">
              <w:t>2,788.7</w:t>
            </w:r>
          </w:p>
        </w:tc>
        <w:tc>
          <w:tcPr>
            <w:tcW w:w="682" w:type="dxa"/>
            <w:tcBorders>
              <w:top w:val="single" w:sz="4" w:space="0" w:color="BFBFBF" w:themeColor="background1" w:themeShade="BF"/>
              <w:bottom w:val="single" w:sz="4" w:space="0" w:color="BFBFBF" w:themeColor="background1" w:themeShade="BF"/>
            </w:tcBorders>
            <w:noWrap/>
          </w:tcPr>
          <w:p w14:paraId="367A18B0" w14:textId="77777777" w:rsidR="005B131E" w:rsidRPr="00BA7805" w:rsidRDefault="005B131E" w:rsidP="002542E1">
            <w:pPr>
              <w:pStyle w:val="ARfintablebodyright8pt"/>
              <w:rPr>
                <w:highlight w:val="green"/>
              </w:rPr>
            </w:pPr>
            <w:r w:rsidRPr="00847838">
              <w:t>2,862.7</w:t>
            </w:r>
          </w:p>
        </w:tc>
      </w:tr>
      <w:tr w:rsidR="005B131E" w:rsidRPr="00BA7805" w14:paraId="74508B41"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184AC0F3" w14:textId="77777777" w:rsidR="005B131E" w:rsidRPr="00BA7805" w:rsidRDefault="005B131E" w:rsidP="002542E1">
            <w:pPr>
              <w:pStyle w:val="ARfintablebody8pt"/>
              <w:rPr>
                <w:sz w:val="15"/>
                <w:highlight w:val="green"/>
              </w:rPr>
            </w:pPr>
            <w:r w:rsidRPr="0028081E">
              <w:t xml:space="preserve">Grants </w:t>
            </w:r>
            <w:r w:rsidRPr="005535C4">
              <w:rPr>
                <w:vertAlign w:val="superscript"/>
              </w:rPr>
              <w:t>(iii)</w:t>
            </w:r>
          </w:p>
        </w:tc>
        <w:tc>
          <w:tcPr>
            <w:tcW w:w="681" w:type="dxa"/>
            <w:tcBorders>
              <w:top w:val="single" w:sz="4" w:space="0" w:color="BFBFBF" w:themeColor="background1" w:themeShade="BF"/>
              <w:bottom w:val="single" w:sz="4" w:space="0" w:color="BFBFBF" w:themeColor="background1" w:themeShade="BF"/>
            </w:tcBorders>
            <w:noWrap/>
          </w:tcPr>
          <w:p w14:paraId="06D8D7B0" w14:textId="77777777" w:rsidR="005B131E" w:rsidRPr="00BA7805" w:rsidRDefault="005B131E" w:rsidP="002542E1">
            <w:pPr>
              <w:pStyle w:val="ARfintablebodyright8pt"/>
              <w:rPr>
                <w:highlight w:val="green"/>
              </w:rPr>
            </w:pPr>
            <w:r w:rsidRPr="00847838">
              <w:t>11.5</w:t>
            </w:r>
          </w:p>
        </w:tc>
        <w:tc>
          <w:tcPr>
            <w:tcW w:w="682" w:type="dxa"/>
            <w:tcBorders>
              <w:top w:val="single" w:sz="4" w:space="0" w:color="BFBFBF" w:themeColor="background1" w:themeShade="BF"/>
              <w:bottom w:val="single" w:sz="4" w:space="0" w:color="BFBFBF" w:themeColor="background1" w:themeShade="BF"/>
            </w:tcBorders>
            <w:noWrap/>
          </w:tcPr>
          <w:p w14:paraId="47D73143" w14:textId="77777777" w:rsidR="005B131E" w:rsidRPr="00BA7805" w:rsidRDefault="005B131E" w:rsidP="002542E1">
            <w:pPr>
              <w:pStyle w:val="ARfintablebodyright8pt"/>
              <w:rPr>
                <w:highlight w:val="green"/>
              </w:rPr>
            </w:pPr>
            <w:r w:rsidRPr="00847838">
              <w:t>0.3</w:t>
            </w:r>
          </w:p>
        </w:tc>
        <w:tc>
          <w:tcPr>
            <w:tcW w:w="681" w:type="dxa"/>
            <w:tcBorders>
              <w:top w:val="single" w:sz="4" w:space="0" w:color="BFBFBF" w:themeColor="background1" w:themeShade="BF"/>
              <w:bottom w:val="single" w:sz="4" w:space="0" w:color="BFBFBF" w:themeColor="background1" w:themeShade="BF"/>
            </w:tcBorders>
            <w:noWrap/>
          </w:tcPr>
          <w:p w14:paraId="2589A544" w14:textId="77777777" w:rsidR="005B131E" w:rsidRPr="00BA7805" w:rsidRDefault="005B131E" w:rsidP="002542E1">
            <w:pPr>
              <w:pStyle w:val="ARfintablebodyright8pt"/>
              <w:rPr>
                <w:highlight w:val="green"/>
              </w:rPr>
            </w:pPr>
            <w:r w:rsidRPr="00847838">
              <w:t>6.1</w:t>
            </w:r>
          </w:p>
        </w:tc>
        <w:tc>
          <w:tcPr>
            <w:tcW w:w="682" w:type="dxa"/>
            <w:tcBorders>
              <w:top w:val="single" w:sz="4" w:space="0" w:color="BFBFBF" w:themeColor="background1" w:themeShade="BF"/>
              <w:bottom w:val="single" w:sz="4" w:space="0" w:color="BFBFBF" w:themeColor="background1" w:themeShade="BF"/>
            </w:tcBorders>
            <w:noWrap/>
          </w:tcPr>
          <w:p w14:paraId="2C95F7F2"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055DB6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48CDD142"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AE1B396"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FB33677"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793D5D2D"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422C8168"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406D4893"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B86086B"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FFDC29F"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52007C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8D66795" w14:textId="77777777" w:rsidR="005B131E" w:rsidRPr="00BA7805" w:rsidRDefault="005B131E" w:rsidP="002542E1">
            <w:pPr>
              <w:pStyle w:val="ARfintablebodyright8pt"/>
              <w:rPr>
                <w:highlight w:val="green"/>
              </w:rPr>
            </w:pPr>
            <w:r w:rsidRPr="00847838">
              <w:t>17.9</w:t>
            </w:r>
          </w:p>
        </w:tc>
      </w:tr>
      <w:tr w:rsidR="005B131E" w:rsidRPr="00BA7805" w14:paraId="010B7514" w14:textId="77777777" w:rsidTr="002542E1">
        <w:trPr>
          <w:cantSplit w:val="0"/>
        </w:trPr>
        <w:tc>
          <w:tcPr>
            <w:tcW w:w="3486" w:type="dxa"/>
            <w:tcBorders>
              <w:top w:val="single" w:sz="4" w:space="0" w:color="BFBFBF" w:themeColor="background1" w:themeShade="BF"/>
              <w:bottom w:val="single" w:sz="4" w:space="0" w:color="000000" w:themeColor="text1"/>
            </w:tcBorders>
          </w:tcPr>
          <w:p w14:paraId="50FB2B6E" w14:textId="77777777" w:rsidR="005B131E" w:rsidRPr="00BA7805" w:rsidRDefault="005B131E" w:rsidP="002542E1">
            <w:pPr>
              <w:pStyle w:val="ARfintablebody8pt"/>
              <w:rPr>
                <w:sz w:val="15"/>
                <w:highlight w:val="green"/>
              </w:rPr>
            </w:pPr>
            <w:r w:rsidRPr="0028081E">
              <w:t>Other</w:t>
            </w:r>
          </w:p>
        </w:tc>
        <w:tc>
          <w:tcPr>
            <w:tcW w:w="681" w:type="dxa"/>
            <w:tcBorders>
              <w:top w:val="single" w:sz="4" w:space="0" w:color="BFBFBF" w:themeColor="background1" w:themeShade="BF"/>
              <w:bottom w:val="single" w:sz="4" w:space="0" w:color="000000" w:themeColor="text1"/>
            </w:tcBorders>
            <w:noWrap/>
          </w:tcPr>
          <w:p w14:paraId="4EBE0DAD" w14:textId="77777777" w:rsidR="005B131E" w:rsidRPr="00BA7805" w:rsidRDefault="005B131E" w:rsidP="002542E1">
            <w:pPr>
              <w:pStyle w:val="ARfintablebodyright8pt"/>
              <w:rPr>
                <w:highlight w:val="green"/>
              </w:rPr>
            </w:pPr>
            <w:r w:rsidRPr="00847838">
              <w:t>16.7</w:t>
            </w:r>
          </w:p>
        </w:tc>
        <w:tc>
          <w:tcPr>
            <w:tcW w:w="682" w:type="dxa"/>
            <w:tcBorders>
              <w:top w:val="single" w:sz="4" w:space="0" w:color="BFBFBF" w:themeColor="background1" w:themeShade="BF"/>
              <w:bottom w:val="single" w:sz="4" w:space="0" w:color="000000" w:themeColor="text1"/>
            </w:tcBorders>
            <w:noWrap/>
          </w:tcPr>
          <w:p w14:paraId="6C1F8335" w14:textId="77777777" w:rsidR="005B131E" w:rsidRPr="00BA7805" w:rsidRDefault="005B131E" w:rsidP="002542E1">
            <w:pPr>
              <w:pStyle w:val="ARfintablebodyright8pt"/>
              <w:rPr>
                <w:highlight w:val="green"/>
              </w:rPr>
            </w:pPr>
            <w:r w:rsidRPr="00847838">
              <w:t>2.5</w:t>
            </w:r>
          </w:p>
        </w:tc>
        <w:tc>
          <w:tcPr>
            <w:tcW w:w="681" w:type="dxa"/>
            <w:tcBorders>
              <w:top w:val="single" w:sz="4" w:space="0" w:color="BFBFBF" w:themeColor="background1" w:themeShade="BF"/>
              <w:bottom w:val="single" w:sz="4" w:space="0" w:color="000000" w:themeColor="text1"/>
            </w:tcBorders>
            <w:noWrap/>
          </w:tcPr>
          <w:p w14:paraId="0FF96E89"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6F122EFF" w14:textId="77777777" w:rsidR="005B131E" w:rsidRPr="00BA7805" w:rsidRDefault="005B131E" w:rsidP="002542E1">
            <w:pPr>
              <w:pStyle w:val="ARfintablebodyright8pt"/>
              <w:rPr>
                <w:highlight w:val="green"/>
              </w:rPr>
            </w:pPr>
            <w:r w:rsidRPr="00847838">
              <w:t>0.2</w:t>
            </w:r>
          </w:p>
        </w:tc>
        <w:tc>
          <w:tcPr>
            <w:tcW w:w="681" w:type="dxa"/>
            <w:tcBorders>
              <w:top w:val="single" w:sz="4" w:space="0" w:color="BFBFBF" w:themeColor="background1" w:themeShade="BF"/>
              <w:bottom w:val="single" w:sz="4" w:space="0" w:color="000000" w:themeColor="text1"/>
            </w:tcBorders>
            <w:noWrap/>
          </w:tcPr>
          <w:p w14:paraId="27A1D37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0639519F" w14:textId="77777777" w:rsidR="005B131E" w:rsidRPr="00BA7805" w:rsidRDefault="005B131E" w:rsidP="002542E1">
            <w:pPr>
              <w:pStyle w:val="ARfintablebodyright8pt"/>
              <w:rPr>
                <w:highlight w:val="green"/>
              </w:rPr>
            </w:pPr>
            <w:r w:rsidRPr="00847838">
              <w:t>1.3</w:t>
            </w:r>
          </w:p>
        </w:tc>
        <w:tc>
          <w:tcPr>
            <w:tcW w:w="681" w:type="dxa"/>
            <w:tcBorders>
              <w:top w:val="single" w:sz="4" w:space="0" w:color="BFBFBF" w:themeColor="background1" w:themeShade="BF"/>
              <w:bottom w:val="single" w:sz="4" w:space="0" w:color="000000" w:themeColor="text1"/>
            </w:tcBorders>
            <w:noWrap/>
          </w:tcPr>
          <w:p w14:paraId="5FFD03BF"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08859F11"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0933F924" w14:textId="77777777" w:rsidR="005B131E" w:rsidRPr="00BA7805" w:rsidRDefault="005B131E" w:rsidP="002542E1">
            <w:pPr>
              <w:pStyle w:val="ARfintablebodyright8pt"/>
              <w:rPr>
                <w:highlight w:val="green"/>
              </w:rPr>
            </w:pPr>
            <w:r w:rsidRPr="00847838">
              <w:t>0.1</w:t>
            </w:r>
          </w:p>
        </w:tc>
        <w:tc>
          <w:tcPr>
            <w:tcW w:w="682" w:type="dxa"/>
            <w:tcBorders>
              <w:top w:val="single" w:sz="4" w:space="0" w:color="BFBFBF" w:themeColor="background1" w:themeShade="BF"/>
              <w:bottom w:val="single" w:sz="4" w:space="0" w:color="000000" w:themeColor="text1"/>
            </w:tcBorders>
            <w:noWrap/>
          </w:tcPr>
          <w:p w14:paraId="29E982C4"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7E4A64E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070CF71D" w14:textId="77777777" w:rsidR="005B131E" w:rsidRPr="00BA7805" w:rsidRDefault="005B131E" w:rsidP="002542E1">
            <w:pPr>
              <w:pStyle w:val="ARfintablebodyright8pt"/>
              <w:rPr>
                <w:highlight w:val="green"/>
              </w:rPr>
            </w:pPr>
            <w:r w:rsidRPr="00847838">
              <w:t>1.1</w:t>
            </w:r>
          </w:p>
        </w:tc>
        <w:tc>
          <w:tcPr>
            <w:tcW w:w="681" w:type="dxa"/>
            <w:tcBorders>
              <w:top w:val="single" w:sz="4" w:space="0" w:color="BFBFBF" w:themeColor="background1" w:themeShade="BF"/>
              <w:bottom w:val="single" w:sz="4" w:space="0" w:color="000000" w:themeColor="text1"/>
            </w:tcBorders>
            <w:noWrap/>
          </w:tcPr>
          <w:p w14:paraId="1770D241" w14:textId="77777777" w:rsidR="005B131E" w:rsidRPr="00BA7805" w:rsidRDefault="005B131E" w:rsidP="002542E1">
            <w:pPr>
              <w:pStyle w:val="ARfintablebodyright8pt"/>
              <w:rPr>
                <w:highlight w:val="green"/>
              </w:rPr>
            </w:pPr>
            <w:r w:rsidRPr="00847838">
              <w:t>5.1</w:t>
            </w:r>
          </w:p>
        </w:tc>
        <w:tc>
          <w:tcPr>
            <w:tcW w:w="682" w:type="dxa"/>
            <w:tcBorders>
              <w:top w:val="single" w:sz="4" w:space="0" w:color="BFBFBF" w:themeColor="background1" w:themeShade="BF"/>
              <w:bottom w:val="single" w:sz="4" w:space="0" w:color="000000" w:themeColor="text1"/>
            </w:tcBorders>
            <w:noWrap/>
          </w:tcPr>
          <w:p w14:paraId="5E3EBC5C"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27CD10D5" w14:textId="77777777" w:rsidR="005B131E" w:rsidRPr="00BA7805" w:rsidRDefault="005B131E" w:rsidP="002542E1">
            <w:pPr>
              <w:pStyle w:val="ARfintablebodyright8pt"/>
              <w:rPr>
                <w:highlight w:val="green"/>
              </w:rPr>
            </w:pPr>
            <w:r w:rsidRPr="00847838">
              <w:t>27.2</w:t>
            </w:r>
          </w:p>
        </w:tc>
      </w:tr>
      <w:tr w:rsidR="005B131E" w:rsidRPr="00BA7805" w14:paraId="0EA77F2B" w14:textId="77777777" w:rsidTr="002542E1">
        <w:trPr>
          <w:cantSplit w:val="0"/>
        </w:trPr>
        <w:tc>
          <w:tcPr>
            <w:tcW w:w="3486" w:type="dxa"/>
            <w:tcBorders>
              <w:top w:val="single" w:sz="4" w:space="0" w:color="000000" w:themeColor="text1"/>
              <w:bottom w:val="single" w:sz="4" w:space="0" w:color="000000" w:themeColor="text1"/>
            </w:tcBorders>
          </w:tcPr>
          <w:p w14:paraId="2F972E7F" w14:textId="77777777" w:rsidR="005B131E" w:rsidRPr="00BA7805" w:rsidRDefault="005B131E" w:rsidP="002542E1">
            <w:pPr>
              <w:pStyle w:val="ARfintablebodybold8pt"/>
              <w:rPr>
                <w:sz w:val="15"/>
                <w:highlight w:val="green"/>
              </w:rPr>
            </w:pPr>
            <w:r w:rsidRPr="0028081E">
              <w:t>Total administered revenue and income from</w:t>
            </w:r>
            <w:r>
              <w:t> </w:t>
            </w:r>
            <w:r w:rsidRPr="0028081E">
              <w:t>transactions</w:t>
            </w:r>
          </w:p>
        </w:tc>
        <w:tc>
          <w:tcPr>
            <w:tcW w:w="681" w:type="dxa"/>
            <w:tcBorders>
              <w:top w:val="single" w:sz="4" w:space="0" w:color="000000" w:themeColor="text1"/>
              <w:bottom w:val="single" w:sz="4" w:space="0" w:color="000000" w:themeColor="text1"/>
            </w:tcBorders>
            <w:noWrap/>
          </w:tcPr>
          <w:p w14:paraId="55DF9AC0" w14:textId="77777777" w:rsidR="005B131E" w:rsidRPr="00BA7805" w:rsidRDefault="005B131E" w:rsidP="002542E1">
            <w:pPr>
              <w:pStyle w:val="ARfintablebodyrightbold8pt"/>
              <w:rPr>
                <w:highlight w:val="green"/>
              </w:rPr>
            </w:pPr>
            <w:r w:rsidRPr="00847838">
              <w:t>138.2</w:t>
            </w:r>
          </w:p>
        </w:tc>
        <w:tc>
          <w:tcPr>
            <w:tcW w:w="682" w:type="dxa"/>
            <w:tcBorders>
              <w:top w:val="single" w:sz="4" w:space="0" w:color="000000" w:themeColor="text1"/>
              <w:bottom w:val="single" w:sz="4" w:space="0" w:color="000000" w:themeColor="text1"/>
            </w:tcBorders>
            <w:noWrap/>
          </w:tcPr>
          <w:p w14:paraId="7E408A35" w14:textId="77777777" w:rsidR="005B131E" w:rsidRPr="00BA7805" w:rsidRDefault="005B131E" w:rsidP="002542E1">
            <w:pPr>
              <w:pStyle w:val="ARfintablebodyrightbold8pt"/>
              <w:rPr>
                <w:highlight w:val="green"/>
              </w:rPr>
            </w:pPr>
            <w:r w:rsidRPr="00847838">
              <w:t>5.0</w:t>
            </w:r>
          </w:p>
        </w:tc>
        <w:tc>
          <w:tcPr>
            <w:tcW w:w="681" w:type="dxa"/>
            <w:tcBorders>
              <w:top w:val="single" w:sz="4" w:space="0" w:color="000000" w:themeColor="text1"/>
              <w:bottom w:val="single" w:sz="4" w:space="0" w:color="000000" w:themeColor="text1"/>
            </w:tcBorders>
            <w:noWrap/>
          </w:tcPr>
          <w:p w14:paraId="0D02FC4F" w14:textId="77777777" w:rsidR="005B131E" w:rsidRPr="00BA7805" w:rsidRDefault="005B131E" w:rsidP="002542E1">
            <w:pPr>
              <w:pStyle w:val="ARfintablebodyrightbold8pt"/>
              <w:rPr>
                <w:highlight w:val="green"/>
              </w:rPr>
            </w:pPr>
            <w:r w:rsidRPr="00847838">
              <w:t>6.1</w:t>
            </w:r>
          </w:p>
        </w:tc>
        <w:tc>
          <w:tcPr>
            <w:tcW w:w="682" w:type="dxa"/>
            <w:tcBorders>
              <w:top w:val="single" w:sz="4" w:space="0" w:color="000000" w:themeColor="text1"/>
              <w:bottom w:val="single" w:sz="4" w:space="0" w:color="000000" w:themeColor="text1"/>
            </w:tcBorders>
            <w:noWrap/>
          </w:tcPr>
          <w:p w14:paraId="4696094A" w14:textId="77777777" w:rsidR="005B131E" w:rsidRPr="00BA7805" w:rsidRDefault="005B131E" w:rsidP="002542E1">
            <w:pPr>
              <w:pStyle w:val="ARfintablebodyrightbold8pt"/>
              <w:rPr>
                <w:highlight w:val="green"/>
              </w:rPr>
            </w:pPr>
            <w:r w:rsidRPr="00847838">
              <w:t>0.2</w:t>
            </w:r>
          </w:p>
        </w:tc>
        <w:tc>
          <w:tcPr>
            <w:tcW w:w="681" w:type="dxa"/>
            <w:tcBorders>
              <w:top w:val="single" w:sz="4" w:space="0" w:color="000000" w:themeColor="text1"/>
              <w:bottom w:val="single" w:sz="4" w:space="0" w:color="000000" w:themeColor="text1"/>
            </w:tcBorders>
            <w:noWrap/>
          </w:tcPr>
          <w:p w14:paraId="04EF2444"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654F0A03" w14:textId="77777777" w:rsidR="005B131E" w:rsidRPr="00BA7805" w:rsidRDefault="005B131E" w:rsidP="002542E1">
            <w:pPr>
              <w:pStyle w:val="ARfintablebodyrightbold8pt"/>
              <w:rPr>
                <w:highlight w:val="green"/>
              </w:rPr>
            </w:pPr>
            <w:r w:rsidRPr="00847838">
              <w:t>2.0</w:t>
            </w:r>
          </w:p>
        </w:tc>
        <w:tc>
          <w:tcPr>
            <w:tcW w:w="681" w:type="dxa"/>
            <w:tcBorders>
              <w:top w:val="single" w:sz="4" w:space="0" w:color="000000" w:themeColor="text1"/>
              <w:bottom w:val="single" w:sz="4" w:space="0" w:color="000000" w:themeColor="text1"/>
            </w:tcBorders>
            <w:noWrap/>
          </w:tcPr>
          <w:p w14:paraId="243FEF9B"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43D7D0F8"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497894C2" w14:textId="77777777" w:rsidR="005B131E" w:rsidRPr="00BA7805" w:rsidRDefault="005B131E" w:rsidP="002542E1">
            <w:pPr>
              <w:pStyle w:val="ARfintablebodyrightbold8pt"/>
              <w:rPr>
                <w:highlight w:val="green"/>
              </w:rPr>
            </w:pPr>
            <w:r w:rsidRPr="00847838">
              <w:t>0.1</w:t>
            </w:r>
          </w:p>
        </w:tc>
        <w:tc>
          <w:tcPr>
            <w:tcW w:w="682" w:type="dxa"/>
            <w:tcBorders>
              <w:top w:val="single" w:sz="4" w:space="0" w:color="000000" w:themeColor="text1"/>
              <w:bottom w:val="single" w:sz="4" w:space="0" w:color="000000" w:themeColor="text1"/>
            </w:tcBorders>
            <w:noWrap/>
          </w:tcPr>
          <w:p w14:paraId="31EFA813"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520FB353"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3F5F4980" w14:textId="77777777" w:rsidR="005B131E" w:rsidRPr="00BA7805" w:rsidRDefault="005B131E" w:rsidP="002542E1">
            <w:pPr>
              <w:pStyle w:val="ARfintablebodyrightbold8pt"/>
              <w:rPr>
                <w:highlight w:val="green"/>
              </w:rPr>
            </w:pPr>
            <w:r w:rsidRPr="00847838">
              <w:t>1.1</w:t>
            </w:r>
          </w:p>
        </w:tc>
        <w:tc>
          <w:tcPr>
            <w:tcW w:w="681" w:type="dxa"/>
            <w:tcBorders>
              <w:top w:val="single" w:sz="4" w:space="0" w:color="000000" w:themeColor="text1"/>
              <w:bottom w:val="single" w:sz="4" w:space="0" w:color="000000" w:themeColor="text1"/>
            </w:tcBorders>
            <w:noWrap/>
          </w:tcPr>
          <w:p w14:paraId="45937EE1" w14:textId="77777777" w:rsidR="005B131E" w:rsidRPr="00BA7805" w:rsidRDefault="005B131E" w:rsidP="002542E1">
            <w:pPr>
              <w:pStyle w:val="ARfintablebodyrightbold8pt"/>
              <w:rPr>
                <w:highlight w:val="green"/>
              </w:rPr>
            </w:pPr>
            <w:r w:rsidRPr="00847838">
              <w:t>6.6</w:t>
            </w:r>
          </w:p>
        </w:tc>
        <w:tc>
          <w:tcPr>
            <w:tcW w:w="682" w:type="dxa"/>
            <w:tcBorders>
              <w:top w:val="single" w:sz="4" w:space="0" w:color="000000" w:themeColor="text1"/>
              <w:bottom w:val="single" w:sz="4" w:space="0" w:color="000000" w:themeColor="text1"/>
            </w:tcBorders>
            <w:noWrap/>
          </w:tcPr>
          <w:p w14:paraId="46774D3D" w14:textId="77777777" w:rsidR="005B131E" w:rsidRPr="00BA7805" w:rsidRDefault="005B131E" w:rsidP="002542E1">
            <w:pPr>
              <w:pStyle w:val="ARfintablebodyrightbold8pt"/>
              <w:rPr>
                <w:highlight w:val="green"/>
              </w:rPr>
            </w:pPr>
            <w:r w:rsidRPr="00847838">
              <w:t>2,788.7</w:t>
            </w:r>
          </w:p>
        </w:tc>
        <w:tc>
          <w:tcPr>
            <w:tcW w:w="682" w:type="dxa"/>
            <w:tcBorders>
              <w:top w:val="single" w:sz="4" w:space="0" w:color="000000" w:themeColor="text1"/>
              <w:bottom w:val="single" w:sz="4" w:space="0" w:color="000000" w:themeColor="text1"/>
            </w:tcBorders>
            <w:noWrap/>
          </w:tcPr>
          <w:p w14:paraId="69DAEC48" w14:textId="77777777" w:rsidR="005B131E" w:rsidRPr="00BA7805" w:rsidRDefault="005B131E" w:rsidP="002542E1">
            <w:pPr>
              <w:pStyle w:val="ARfintablebodyrightbold8pt"/>
              <w:rPr>
                <w:highlight w:val="green"/>
              </w:rPr>
            </w:pPr>
            <w:r w:rsidRPr="00847838">
              <w:t>2,948.0</w:t>
            </w:r>
          </w:p>
        </w:tc>
      </w:tr>
      <w:tr w:rsidR="005B131E" w:rsidRPr="00BA7805" w14:paraId="35CB419B" w14:textId="77777777" w:rsidTr="002542E1">
        <w:trPr>
          <w:cantSplit w:val="0"/>
        </w:trPr>
        <w:tc>
          <w:tcPr>
            <w:tcW w:w="13709" w:type="dxa"/>
            <w:gridSpan w:val="16"/>
            <w:tcBorders>
              <w:top w:val="single" w:sz="4" w:space="0" w:color="000000" w:themeColor="text1"/>
              <w:bottom w:val="single" w:sz="4" w:space="0" w:color="BFBFBF" w:themeColor="background1" w:themeShade="BF"/>
            </w:tcBorders>
          </w:tcPr>
          <w:p w14:paraId="4AC65582" w14:textId="77777777" w:rsidR="005B131E" w:rsidRPr="00BA7805" w:rsidRDefault="005B131E" w:rsidP="002542E1">
            <w:pPr>
              <w:pStyle w:val="ARfintablebodybold8pt"/>
              <w:rPr>
                <w:sz w:val="15"/>
                <w:szCs w:val="15"/>
                <w:highlight w:val="green"/>
              </w:rPr>
            </w:pPr>
            <w:r w:rsidRPr="0028081E">
              <w:t>Administered expenses from transactions</w:t>
            </w:r>
          </w:p>
        </w:tc>
      </w:tr>
      <w:tr w:rsidR="005B131E" w:rsidRPr="00BA7805" w14:paraId="4F0F17F6"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51A0A7EE" w14:textId="77777777" w:rsidR="005B131E" w:rsidRPr="00BA7805" w:rsidRDefault="005B131E" w:rsidP="002542E1">
            <w:pPr>
              <w:pStyle w:val="ARfintablebody8pt"/>
              <w:rPr>
                <w:sz w:val="15"/>
                <w:highlight w:val="green"/>
              </w:rPr>
            </w:pPr>
            <w:r w:rsidRPr="0028081E">
              <w:t xml:space="preserve">Grants and other transfers </w:t>
            </w:r>
            <w:r w:rsidRPr="005535C4">
              <w:rPr>
                <w:vertAlign w:val="superscript"/>
              </w:rPr>
              <w:t>(iv)</w:t>
            </w:r>
          </w:p>
        </w:tc>
        <w:tc>
          <w:tcPr>
            <w:tcW w:w="681" w:type="dxa"/>
            <w:tcBorders>
              <w:top w:val="single" w:sz="4" w:space="0" w:color="BFBFBF" w:themeColor="background1" w:themeShade="BF"/>
              <w:bottom w:val="single" w:sz="4" w:space="0" w:color="BFBFBF" w:themeColor="background1" w:themeShade="BF"/>
            </w:tcBorders>
            <w:noWrap/>
          </w:tcPr>
          <w:p w14:paraId="1B574063" w14:textId="77777777" w:rsidR="005B131E" w:rsidRPr="00BA7805" w:rsidRDefault="005B131E" w:rsidP="002542E1">
            <w:pPr>
              <w:pStyle w:val="ARfintablebodyright8pt"/>
              <w:rPr>
                <w:highlight w:val="green"/>
              </w:rPr>
            </w:pPr>
            <w:r w:rsidRPr="00D474DF">
              <w:t>74.0</w:t>
            </w:r>
          </w:p>
        </w:tc>
        <w:tc>
          <w:tcPr>
            <w:tcW w:w="682" w:type="dxa"/>
            <w:tcBorders>
              <w:top w:val="single" w:sz="4" w:space="0" w:color="BFBFBF" w:themeColor="background1" w:themeShade="BF"/>
              <w:bottom w:val="single" w:sz="4" w:space="0" w:color="BFBFBF" w:themeColor="background1" w:themeShade="BF"/>
            </w:tcBorders>
            <w:noWrap/>
          </w:tcPr>
          <w:p w14:paraId="7D4DD128"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2D5DD867" w14:textId="77777777" w:rsidR="005B131E" w:rsidRPr="00BA7805" w:rsidRDefault="005B131E" w:rsidP="002542E1">
            <w:pPr>
              <w:pStyle w:val="ARfintablebodyright8pt"/>
              <w:rPr>
                <w:highlight w:val="green"/>
              </w:rPr>
            </w:pPr>
            <w:r w:rsidRPr="00D474DF">
              <w:t>6.1</w:t>
            </w:r>
          </w:p>
        </w:tc>
        <w:tc>
          <w:tcPr>
            <w:tcW w:w="682" w:type="dxa"/>
            <w:tcBorders>
              <w:top w:val="single" w:sz="4" w:space="0" w:color="BFBFBF" w:themeColor="background1" w:themeShade="BF"/>
              <w:bottom w:val="single" w:sz="4" w:space="0" w:color="BFBFBF" w:themeColor="background1" w:themeShade="BF"/>
            </w:tcBorders>
            <w:noWrap/>
          </w:tcPr>
          <w:p w14:paraId="0443BE6A"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5EC9790"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07F4BD9"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E8DAA2F"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BC6AB8F"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6FB068A9"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DAC01D2"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2ACEBAD2"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7E1C27C"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0AEEF1BB"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BBC4EE1" w14:textId="77777777" w:rsidR="005B131E" w:rsidRPr="00BA7805" w:rsidRDefault="005B131E" w:rsidP="002542E1">
            <w:pPr>
              <w:pStyle w:val="ARfintablebodyright8pt"/>
              <w:rPr>
                <w:highlight w:val="green"/>
              </w:rPr>
            </w:pPr>
            <w:r w:rsidRPr="00D474DF">
              <w:t>2,788.7</w:t>
            </w:r>
          </w:p>
        </w:tc>
        <w:tc>
          <w:tcPr>
            <w:tcW w:w="682" w:type="dxa"/>
            <w:tcBorders>
              <w:top w:val="single" w:sz="4" w:space="0" w:color="BFBFBF" w:themeColor="background1" w:themeShade="BF"/>
              <w:bottom w:val="single" w:sz="4" w:space="0" w:color="BFBFBF" w:themeColor="background1" w:themeShade="BF"/>
            </w:tcBorders>
            <w:noWrap/>
          </w:tcPr>
          <w:p w14:paraId="522ACD34" w14:textId="77777777" w:rsidR="005B131E" w:rsidRPr="00BA7805" w:rsidRDefault="005B131E" w:rsidP="002542E1">
            <w:pPr>
              <w:pStyle w:val="ARfintablebodyright8pt"/>
              <w:rPr>
                <w:highlight w:val="green"/>
              </w:rPr>
            </w:pPr>
            <w:r w:rsidRPr="00D474DF">
              <w:t>2,868.8</w:t>
            </w:r>
          </w:p>
        </w:tc>
      </w:tr>
      <w:tr w:rsidR="005B131E" w:rsidRPr="00BA7805" w14:paraId="67514022"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11170A91" w14:textId="77777777" w:rsidR="005B131E" w:rsidRPr="00BA7805" w:rsidRDefault="005B131E" w:rsidP="002542E1">
            <w:pPr>
              <w:pStyle w:val="ARfintablebody8pt"/>
              <w:rPr>
                <w:sz w:val="15"/>
                <w:highlight w:val="green"/>
              </w:rPr>
            </w:pPr>
            <w:r w:rsidRPr="0028081E">
              <w:t>Employee benefits</w:t>
            </w:r>
          </w:p>
        </w:tc>
        <w:tc>
          <w:tcPr>
            <w:tcW w:w="681" w:type="dxa"/>
            <w:tcBorders>
              <w:top w:val="single" w:sz="4" w:space="0" w:color="BFBFBF" w:themeColor="background1" w:themeShade="BF"/>
              <w:bottom w:val="single" w:sz="4" w:space="0" w:color="BFBFBF" w:themeColor="background1" w:themeShade="BF"/>
            </w:tcBorders>
            <w:noWrap/>
          </w:tcPr>
          <w:p w14:paraId="3BFD1A1E"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77DFC8A3"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5F2109F4"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187AF7C"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D63D35C"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9B02373"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54CC10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C950F1E"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D71BDE0"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4F8E1B42"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9B88780"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732E8C7"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57190BBC"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76E40548"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24ABA121" w14:textId="77777777" w:rsidR="005B131E" w:rsidRPr="00BA7805" w:rsidRDefault="005B131E" w:rsidP="002542E1">
            <w:pPr>
              <w:pStyle w:val="ARfintablebodyright8pt"/>
              <w:rPr>
                <w:highlight w:val="green"/>
              </w:rPr>
            </w:pPr>
            <w:r>
              <w:t>–</w:t>
            </w:r>
          </w:p>
        </w:tc>
      </w:tr>
      <w:tr w:rsidR="005B131E" w:rsidRPr="00BA7805" w14:paraId="44561E29"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33164DB1" w14:textId="77777777" w:rsidR="005B131E" w:rsidRPr="00BA7805" w:rsidRDefault="005B131E" w:rsidP="002542E1">
            <w:pPr>
              <w:pStyle w:val="ARfintablebody8pt"/>
              <w:rPr>
                <w:sz w:val="15"/>
                <w:highlight w:val="green"/>
              </w:rPr>
            </w:pPr>
            <w:r w:rsidRPr="0028081E">
              <w:t>Other operating expenses</w:t>
            </w:r>
          </w:p>
        </w:tc>
        <w:tc>
          <w:tcPr>
            <w:tcW w:w="681" w:type="dxa"/>
            <w:tcBorders>
              <w:top w:val="single" w:sz="4" w:space="0" w:color="BFBFBF" w:themeColor="background1" w:themeShade="BF"/>
              <w:bottom w:val="single" w:sz="4" w:space="0" w:color="BFBFBF" w:themeColor="background1" w:themeShade="BF"/>
            </w:tcBorders>
            <w:noWrap/>
          </w:tcPr>
          <w:p w14:paraId="79AF4402" w14:textId="77777777" w:rsidR="005B131E" w:rsidRPr="00BA7805" w:rsidRDefault="005B131E" w:rsidP="002542E1">
            <w:pPr>
              <w:pStyle w:val="ARfintablebodyright8pt"/>
              <w:rPr>
                <w:highlight w:val="green"/>
              </w:rPr>
            </w:pPr>
            <w:r w:rsidRPr="006C2219">
              <w:t>–</w:t>
            </w:r>
          </w:p>
        </w:tc>
        <w:tc>
          <w:tcPr>
            <w:tcW w:w="682" w:type="dxa"/>
            <w:tcBorders>
              <w:top w:val="single" w:sz="4" w:space="0" w:color="BFBFBF" w:themeColor="background1" w:themeShade="BF"/>
              <w:bottom w:val="single" w:sz="4" w:space="0" w:color="BFBFBF" w:themeColor="background1" w:themeShade="BF"/>
            </w:tcBorders>
            <w:noWrap/>
          </w:tcPr>
          <w:p w14:paraId="53D0F038" w14:textId="77777777" w:rsidR="005B131E" w:rsidRPr="00BA7805" w:rsidRDefault="005B131E" w:rsidP="002542E1">
            <w:pPr>
              <w:pStyle w:val="ARfintablebodyright8pt"/>
              <w:rPr>
                <w:highlight w:val="green"/>
              </w:rPr>
            </w:pPr>
            <w:r w:rsidRPr="006C2219">
              <w:t>–</w:t>
            </w:r>
          </w:p>
        </w:tc>
        <w:tc>
          <w:tcPr>
            <w:tcW w:w="681" w:type="dxa"/>
            <w:tcBorders>
              <w:top w:val="single" w:sz="4" w:space="0" w:color="BFBFBF" w:themeColor="background1" w:themeShade="BF"/>
              <w:bottom w:val="single" w:sz="4" w:space="0" w:color="BFBFBF" w:themeColor="background1" w:themeShade="BF"/>
            </w:tcBorders>
            <w:noWrap/>
          </w:tcPr>
          <w:p w14:paraId="119C78FA"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AD9C020"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4EAC5308"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43FA37B7"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71385134"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8901D0C"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6BB7113A"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91CBCED"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0E88CECE"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1726E3B"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0DFBAC8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B16310D"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D64852E" w14:textId="77777777" w:rsidR="005B131E" w:rsidRPr="00BA7805" w:rsidRDefault="005B131E" w:rsidP="002542E1">
            <w:pPr>
              <w:pStyle w:val="ARfintablebodyright8pt"/>
              <w:rPr>
                <w:highlight w:val="green"/>
              </w:rPr>
            </w:pPr>
            <w:r w:rsidRPr="00D474DF">
              <w:t>0.1</w:t>
            </w:r>
          </w:p>
        </w:tc>
      </w:tr>
      <w:tr w:rsidR="005B131E" w:rsidRPr="00BA7805" w14:paraId="47B84432"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36CFECD4" w14:textId="77777777" w:rsidR="005B131E" w:rsidRPr="00BA7805" w:rsidRDefault="005B131E" w:rsidP="002542E1">
            <w:pPr>
              <w:pStyle w:val="ARfintablebody8pt"/>
              <w:rPr>
                <w:sz w:val="15"/>
                <w:highlight w:val="green"/>
              </w:rPr>
            </w:pPr>
            <w:r w:rsidRPr="0028081E">
              <w:t>Payments into the consolidated fund</w:t>
            </w:r>
          </w:p>
        </w:tc>
        <w:tc>
          <w:tcPr>
            <w:tcW w:w="681" w:type="dxa"/>
            <w:tcBorders>
              <w:top w:val="single" w:sz="4" w:space="0" w:color="BFBFBF" w:themeColor="background1" w:themeShade="BF"/>
              <w:bottom w:val="single" w:sz="4" w:space="0" w:color="BFBFBF" w:themeColor="background1" w:themeShade="BF"/>
            </w:tcBorders>
            <w:noWrap/>
          </w:tcPr>
          <w:p w14:paraId="61BD4400" w14:textId="77777777" w:rsidR="005B131E" w:rsidRPr="00BA7805" w:rsidRDefault="005B131E" w:rsidP="002542E1">
            <w:pPr>
              <w:pStyle w:val="ARfintablebodyright8pt"/>
              <w:rPr>
                <w:highlight w:val="green"/>
              </w:rPr>
            </w:pPr>
            <w:r w:rsidRPr="00D474DF">
              <w:t>62.5</w:t>
            </w:r>
          </w:p>
        </w:tc>
        <w:tc>
          <w:tcPr>
            <w:tcW w:w="682" w:type="dxa"/>
            <w:tcBorders>
              <w:top w:val="single" w:sz="4" w:space="0" w:color="BFBFBF" w:themeColor="background1" w:themeShade="BF"/>
              <w:bottom w:val="single" w:sz="4" w:space="0" w:color="BFBFBF" w:themeColor="background1" w:themeShade="BF"/>
            </w:tcBorders>
            <w:noWrap/>
          </w:tcPr>
          <w:p w14:paraId="34E69CAD" w14:textId="77777777" w:rsidR="005B131E" w:rsidRPr="00BA7805" w:rsidRDefault="005B131E" w:rsidP="002542E1">
            <w:pPr>
              <w:pStyle w:val="ARfintablebodyright8pt"/>
              <w:rPr>
                <w:highlight w:val="green"/>
              </w:rPr>
            </w:pPr>
            <w:r w:rsidRPr="00D474DF">
              <w:t>4.8</w:t>
            </w:r>
          </w:p>
        </w:tc>
        <w:tc>
          <w:tcPr>
            <w:tcW w:w="681" w:type="dxa"/>
            <w:tcBorders>
              <w:top w:val="single" w:sz="4" w:space="0" w:color="BFBFBF" w:themeColor="background1" w:themeShade="BF"/>
              <w:bottom w:val="single" w:sz="4" w:space="0" w:color="BFBFBF" w:themeColor="background1" w:themeShade="BF"/>
            </w:tcBorders>
            <w:noWrap/>
          </w:tcPr>
          <w:p w14:paraId="0E15692D"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6708C08" w14:textId="77777777" w:rsidR="005B131E" w:rsidRPr="00BA7805" w:rsidRDefault="005B131E" w:rsidP="002542E1">
            <w:pPr>
              <w:pStyle w:val="ARfintablebodyright8pt"/>
              <w:rPr>
                <w:highlight w:val="green"/>
              </w:rPr>
            </w:pPr>
            <w:r w:rsidRPr="00D474DF">
              <w:t>0.2</w:t>
            </w:r>
          </w:p>
        </w:tc>
        <w:tc>
          <w:tcPr>
            <w:tcW w:w="681" w:type="dxa"/>
            <w:tcBorders>
              <w:top w:val="single" w:sz="4" w:space="0" w:color="BFBFBF" w:themeColor="background1" w:themeShade="BF"/>
              <w:bottom w:val="single" w:sz="4" w:space="0" w:color="BFBFBF" w:themeColor="background1" w:themeShade="BF"/>
            </w:tcBorders>
            <w:noWrap/>
          </w:tcPr>
          <w:p w14:paraId="06B900F3"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2662F4A" w14:textId="77777777" w:rsidR="005B131E" w:rsidRPr="00BA7805" w:rsidRDefault="005B131E" w:rsidP="002542E1">
            <w:pPr>
              <w:pStyle w:val="ARfintablebodyright8pt"/>
              <w:rPr>
                <w:highlight w:val="green"/>
              </w:rPr>
            </w:pPr>
            <w:r w:rsidRPr="00D474DF">
              <w:t>2.0</w:t>
            </w:r>
          </w:p>
        </w:tc>
        <w:tc>
          <w:tcPr>
            <w:tcW w:w="681" w:type="dxa"/>
            <w:tcBorders>
              <w:top w:val="single" w:sz="4" w:space="0" w:color="BFBFBF" w:themeColor="background1" w:themeShade="BF"/>
              <w:bottom w:val="single" w:sz="4" w:space="0" w:color="BFBFBF" w:themeColor="background1" w:themeShade="BF"/>
            </w:tcBorders>
            <w:noWrap/>
          </w:tcPr>
          <w:p w14:paraId="2530E886"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605530D3"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F3EFED2" w14:textId="77777777" w:rsidR="005B131E" w:rsidRPr="00BA7805" w:rsidRDefault="005B131E" w:rsidP="002542E1">
            <w:pPr>
              <w:pStyle w:val="ARfintablebodyright8pt"/>
              <w:rPr>
                <w:highlight w:val="green"/>
              </w:rPr>
            </w:pPr>
            <w:r w:rsidRPr="00D474DF">
              <w:t>0.1</w:t>
            </w:r>
          </w:p>
        </w:tc>
        <w:tc>
          <w:tcPr>
            <w:tcW w:w="682" w:type="dxa"/>
            <w:tcBorders>
              <w:top w:val="single" w:sz="4" w:space="0" w:color="BFBFBF" w:themeColor="background1" w:themeShade="BF"/>
              <w:bottom w:val="single" w:sz="4" w:space="0" w:color="BFBFBF" w:themeColor="background1" w:themeShade="BF"/>
            </w:tcBorders>
            <w:noWrap/>
          </w:tcPr>
          <w:p w14:paraId="6EC294E7"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9D76139"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6B99290" w14:textId="77777777" w:rsidR="005B131E" w:rsidRPr="00BA7805" w:rsidRDefault="005B131E" w:rsidP="002542E1">
            <w:pPr>
              <w:pStyle w:val="ARfintablebodyright8pt"/>
              <w:rPr>
                <w:highlight w:val="green"/>
              </w:rPr>
            </w:pPr>
            <w:r w:rsidRPr="00D474DF">
              <w:t>1.1</w:t>
            </w:r>
          </w:p>
        </w:tc>
        <w:tc>
          <w:tcPr>
            <w:tcW w:w="681" w:type="dxa"/>
            <w:tcBorders>
              <w:top w:val="single" w:sz="4" w:space="0" w:color="BFBFBF" w:themeColor="background1" w:themeShade="BF"/>
              <w:bottom w:val="single" w:sz="4" w:space="0" w:color="BFBFBF" w:themeColor="background1" w:themeShade="BF"/>
            </w:tcBorders>
            <w:noWrap/>
          </w:tcPr>
          <w:p w14:paraId="68386365" w14:textId="77777777" w:rsidR="005B131E" w:rsidRPr="00BA7805" w:rsidRDefault="005B131E" w:rsidP="002542E1">
            <w:pPr>
              <w:pStyle w:val="ARfintablebodyright8pt"/>
              <w:rPr>
                <w:highlight w:val="green"/>
              </w:rPr>
            </w:pPr>
            <w:r w:rsidRPr="00D474DF">
              <w:t>6.6</w:t>
            </w:r>
          </w:p>
        </w:tc>
        <w:tc>
          <w:tcPr>
            <w:tcW w:w="682" w:type="dxa"/>
            <w:tcBorders>
              <w:top w:val="single" w:sz="4" w:space="0" w:color="BFBFBF" w:themeColor="background1" w:themeShade="BF"/>
              <w:bottom w:val="single" w:sz="4" w:space="0" w:color="BFBFBF" w:themeColor="background1" w:themeShade="BF"/>
            </w:tcBorders>
            <w:noWrap/>
          </w:tcPr>
          <w:p w14:paraId="564A05A9"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70C81AC7" w14:textId="77777777" w:rsidR="005B131E" w:rsidRPr="00BA7805" w:rsidRDefault="005B131E" w:rsidP="002542E1">
            <w:pPr>
              <w:pStyle w:val="ARfintablebodyright8pt"/>
              <w:rPr>
                <w:highlight w:val="green"/>
              </w:rPr>
            </w:pPr>
            <w:r w:rsidRPr="00D474DF">
              <w:t>77.4</w:t>
            </w:r>
          </w:p>
        </w:tc>
      </w:tr>
      <w:tr w:rsidR="005B131E" w:rsidRPr="00BA7805" w14:paraId="005BFCF4" w14:textId="77777777" w:rsidTr="002542E1">
        <w:trPr>
          <w:cantSplit w:val="0"/>
        </w:trPr>
        <w:tc>
          <w:tcPr>
            <w:tcW w:w="3486" w:type="dxa"/>
            <w:tcBorders>
              <w:top w:val="single" w:sz="4" w:space="0" w:color="BFBFBF" w:themeColor="background1" w:themeShade="BF"/>
              <w:bottom w:val="single" w:sz="4" w:space="0" w:color="000000" w:themeColor="text1"/>
            </w:tcBorders>
          </w:tcPr>
          <w:p w14:paraId="031D0E68" w14:textId="77777777" w:rsidR="005B131E" w:rsidRPr="00BA7805" w:rsidRDefault="005B131E" w:rsidP="002542E1">
            <w:pPr>
              <w:pStyle w:val="ARfintablebody8pt"/>
              <w:rPr>
                <w:sz w:val="15"/>
                <w:highlight w:val="green"/>
              </w:rPr>
            </w:pPr>
            <w:r w:rsidRPr="0028081E">
              <w:t>Fair value of assets and services provided free of charge or for nominal consideration</w:t>
            </w:r>
          </w:p>
        </w:tc>
        <w:tc>
          <w:tcPr>
            <w:tcW w:w="681" w:type="dxa"/>
            <w:tcBorders>
              <w:top w:val="single" w:sz="4" w:space="0" w:color="BFBFBF" w:themeColor="background1" w:themeShade="BF"/>
              <w:bottom w:val="single" w:sz="4" w:space="0" w:color="000000" w:themeColor="text1"/>
            </w:tcBorders>
            <w:noWrap/>
          </w:tcPr>
          <w:p w14:paraId="0CBE4FE6"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7C0BF329"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717C5D19"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4B0C8AAF"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3B312621"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67908F8F"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2FE05D68"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4D6C2D4E"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4A12F0F6"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53B2EF39"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12904017"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42F778CA"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2AE1AD5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2EC36874"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198AE410" w14:textId="77777777" w:rsidR="005B131E" w:rsidRPr="00BA7805" w:rsidRDefault="005B131E" w:rsidP="002542E1">
            <w:pPr>
              <w:pStyle w:val="ARfintablebodyright8pt"/>
              <w:rPr>
                <w:highlight w:val="green"/>
              </w:rPr>
            </w:pPr>
            <w:r>
              <w:t>–</w:t>
            </w:r>
          </w:p>
        </w:tc>
      </w:tr>
      <w:tr w:rsidR="005B131E" w:rsidRPr="00BA7805" w14:paraId="596C4AA6" w14:textId="77777777" w:rsidTr="002542E1">
        <w:trPr>
          <w:cantSplit w:val="0"/>
        </w:trPr>
        <w:tc>
          <w:tcPr>
            <w:tcW w:w="3486" w:type="dxa"/>
            <w:tcBorders>
              <w:top w:val="single" w:sz="4" w:space="0" w:color="000000" w:themeColor="text1"/>
              <w:bottom w:val="single" w:sz="4" w:space="0" w:color="000000" w:themeColor="text1"/>
            </w:tcBorders>
          </w:tcPr>
          <w:p w14:paraId="6403C686" w14:textId="77777777" w:rsidR="005B131E" w:rsidRPr="00BA7805" w:rsidRDefault="005B131E" w:rsidP="002542E1">
            <w:pPr>
              <w:pStyle w:val="ARfintablebodybold8pt"/>
              <w:rPr>
                <w:sz w:val="15"/>
                <w:highlight w:val="green"/>
              </w:rPr>
            </w:pPr>
            <w:r w:rsidRPr="0028081E">
              <w:t>Total administered expenses from transactions</w:t>
            </w:r>
          </w:p>
        </w:tc>
        <w:tc>
          <w:tcPr>
            <w:tcW w:w="681" w:type="dxa"/>
            <w:tcBorders>
              <w:top w:val="single" w:sz="4" w:space="0" w:color="000000" w:themeColor="text1"/>
              <w:bottom w:val="single" w:sz="4" w:space="0" w:color="000000" w:themeColor="text1"/>
            </w:tcBorders>
            <w:noWrap/>
          </w:tcPr>
          <w:p w14:paraId="7FE3F11F" w14:textId="77777777" w:rsidR="005B131E" w:rsidRPr="00BA7805" w:rsidRDefault="005B131E" w:rsidP="002542E1">
            <w:pPr>
              <w:pStyle w:val="ARfintablebodyrightbold8pt"/>
              <w:rPr>
                <w:highlight w:val="green"/>
              </w:rPr>
            </w:pPr>
            <w:r w:rsidRPr="00D474DF">
              <w:t>136.6</w:t>
            </w:r>
          </w:p>
        </w:tc>
        <w:tc>
          <w:tcPr>
            <w:tcW w:w="682" w:type="dxa"/>
            <w:tcBorders>
              <w:top w:val="single" w:sz="4" w:space="0" w:color="000000" w:themeColor="text1"/>
              <w:bottom w:val="single" w:sz="4" w:space="0" w:color="000000" w:themeColor="text1"/>
            </w:tcBorders>
            <w:noWrap/>
          </w:tcPr>
          <w:p w14:paraId="66A636CF" w14:textId="77777777" w:rsidR="005B131E" w:rsidRPr="00BA7805" w:rsidRDefault="005B131E" w:rsidP="002542E1">
            <w:pPr>
              <w:pStyle w:val="ARfintablebodyrightbold8pt"/>
              <w:rPr>
                <w:highlight w:val="green"/>
              </w:rPr>
            </w:pPr>
            <w:r w:rsidRPr="00D474DF">
              <w:t>4.9</w:t>
            </w:r>
          </w:p>
        </w:tc>
        <w:tc>
          <w:tcPr>
            <w:tcW w:w="681" w:type="dxa"/>
            <w:tcBorders>
              <w:top w:val="single" w:sz="4" w:space="0" w:color="000000" w:themeColor="text1"/>
              <w:bottom w:val="single" w:sz="4" w:space="0" w:color="000000" w:themeColor="text1"/>
            </w:tcBorders>
            <w:noWrap/>
          </w:tcPr>
          <w:p w14:paraId="1191897B" w14:textId="77777777" w:rsidR="005B131E" w:rsidRPr="00BA7805" w:rsidRDefault="005B131E" w:rsidP="002542E1">
            <w:pPr>
              <w:pStyle w:val="ARfintablebodyrightbold8pt"/>
              <w:rPr>
                <w:highlight w:val="green"/>
              </w:rPr>
            </w:pPr>
            <w:r w:rsidRPr="00D474DF">
              <w:t>6.1</w:t>
            </w:r>
          </w:p>
        </w:tc>
        <w:tc>
          <w:tcPr>
            <w:tcW w:w="682" w:type="dxa"/>
            <w:tcBorders>
              <w:top w:val="single" w:sz="4" w:space="0" w:color="000000" w:themeColor="text1"/>
              <w:bottom w:val="single" w:sz="4" w:space="0" w:color="000000" w:themeColor="text1"/>
            </w:tcBorders>
            <w:noWrap/>
          </w:tcPr>
          <w:p w14:paraId="1753E4D7" w14:textId="77777777" w:rsidR="005B131E" w:rsidRPr="00BA7805" w:rsidRDefault="005B131E" w:rsidP="002542E1">
            <w:pPr>
              <w:pStyle w:val="ARfintablebodyrightbold8pt"/>
              <w:rPr>
                <w:highlight w:val="green"/>
              </w:rPr>
            </w:pPr>
            <w:r w:rsidRPr="00D474DF">
              <w:t>0.2</w:t>
            </w:r>
          </w:p>
        </w:tc>
        <w:tc>
          <w:tcPr>
            <w:tcW w:w="681" w:type="dxa"/>
            <w:tcBorders>
              <w:top w:val="single" w:sz="4" w:space="0" w:color="000000" w:themeColor="text1"/>
              <w:bottom w:val="single" w:sz="4" w:space="0" w:color="000000" w:themeColor="text1"/>
            </w:tcBorders>
            <w:noWrap/>
          </w:tcPr>
          <w:p w14:paraId="087EC594"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026E7E75" w14:textId="77777777" w:rsidR="005B131E" w:rsidRPr="00BA7805" w:rsidRDefault="005B131E" w:rsidP="002542E1">
            <w:pPr>
              <w:pStyle w:val="ARfintablebodyrightbold8pt"/>
              <w:rPr>
                <w:highlight w:val="green"/>
              </w:rPr>
            </w:pPr>
            <w:r w:rsidRPr="00D474DF">
              <w:t>2.0</w:t>
            </w:r>
          </w:p>
        </w:tc>
        <w:tc>
          <w:tcPr>
            <w:tcW w:w="681" w:type="dxa"/>
            <w:tcBorders>
              <w:top w:val="single" w:sz="4" w:space="0" w:color="000000" w:themeColor="text1"/>
              <w:bottom w:val="single" w:sz="4" w:space="0" w:color="000000" w:themeColor="text1"/>
            </w:tcBorders>
            <w:noWrap/>
          </w:tcPr>
          <w:p w14:paraId="63F6111D"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71FB71BB"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56470EDD" w14:textId="77777777" w:rsidR="005B131E" w:rsidRPr="00BA7805" w:rsidRDefault="005B131E" w:rsidP="002542E1">
            <w:pPr>
              <w:pStyle w:val="ARfintablebodyrightbold8pt"/>
              <w:rPr>
                <w:highlight w:val="green"/>
              </w:rPr>
            </w:pPr>
            <w:r w:rsidRPr="00D474DF">
              <w:t>0.1</w:t>
            </w:r>
          </w:p>
        </w:tc>
        <w:tc>
          <w:tcPr>
            <w:tcW w:w="682" w:type="dxa"/>
            <w:tcBorders>
              <w:top w:val="single" w:sz="4" w:space="0" w:color="000000" w:themeColor="text1"/>
              <w:bottom w:val="single" w:sz="4" w:space="0" w:color="000000" w:themeColor="text1"/>
            </w:tcBorders>
            <w:noWrap/>
          </w:tcPr>
          <w:p w14:paraId="7F121EE8"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75389653"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16EBEBA9" w14:textId="77777777" w:rsidR="005B131E" w:rsidRPr="00BA7805" w:rsidRDefault="005B131E" w:rsidP="002542E1">
            <w:pPr>
              <w:pStyle w:val="ARfintablebodyrightbold8pt"/>
              <w:rPr>
                <w:highlight w:val="green"/>
              </w:rPr>
            </w:pPr>
            <w:r w:rsidRPr="00D474DF">
              <w:t>1.1</w:t>
            </w:r>
          </w:p>
        </w:tc>
        <w:tc>
          <w:tcPr>
            <w:tcW w:w="681" w:type="dxa"/>
            <w:tcBorders>
              <w:top w:val="single" w:sz="4" w:space="0" w:color="000000" w:themeColor="text1"/>
              <w:bottom w:val="single" w:sz="4" w:space="0" w:color="000000" w:themeColor="text1"/>
            </w:tcBorders>
            <w:noWrap/>
          </w:tcPr>
          <w:p w14:paraId="73BC6F75" w14:textId="77777777" w:rsidR="005B131E" w:rsidRPr="00BA7805" w:rsidRDefault="005B131E" w:rsidP="002542E1">
            <w:pPr>
              <w:pStyle w:val="ARfintablebodyrightbold8pt"/>
              <w:rPr>
                <w:highlight w:val="green"/>
              </w:rPr>
            </w:pPr>
            <w:r w:rsidRPr="00D474DF">
              <w:t>6.6</w:t>
            </w:r>
          </w:p>
        </w:tc>
        <w:tc>
          <w:tcPr>
            <w:tcW w:w="682" w:type="dxa"/>
            <w:tcBorders>
              <w:top w:val="single" w:sz="4" w:space="0" w:color="000000" w:themeColor="text1"/>
              <w:bottom w:val="single" w:sz="4" w:space="0" w:color="000000" w:themeColor="text1"/>
            </w:tcBorders>
            <w:noWrap/>
          </w:tcPr>
          <w:p w14:paraId="1F0CDD22" w14:textId="77777777" w:rsidR="005B131E" w:rsidRPr="00BA7805" w:rsidRDefault="005B131E" w:rsidP="002542E1">
            <w:pPr>
              <w:pStyle w:val="ARfintablebodyrightbold8pt"/>
              <w:rPr>
                <w:highlight w:val="green"/>
              </w:rPr>
            </w:pPr>
            <w:r w:rsidRPr="00D474DF">
              <w:t>2,788.7</w:t>
            </w:r>
          </w:p>
        </w:tc>
        <w:tc>
          <w:tcPr>
            <w:tcW w:w="682" w:type="dxa"/>
            <w:tcBorders>
              <w:top w:val="single" w:sz="4" w:space="0" w:color="000000" w:themeColor="text1"/>
              <w:bottom w:val="single" w:sz="4" w:space="0" w:color="000000" w:themeColor="text1"/>
            </w:tcBorders>
            <w:noWrap/>
          </w:tcPr>
          <w:p w14:paraId="4B8C1E1E" w14:textId="77777777" w:rsidR="005B131E" w:rsidRPr="00BA7805" w:rsidRDefault="005B131E" w:rsidP="002542E1">
            <w:pPr>
              <w:pStyle w:val="ARfintablebodyrightbold8pt"/>
              <w:rPr>
                <w:highlight w:val="green"/>
              </w:rPr>
            </w:pPr>
            <w:r w:rsidRPr="00D474DF">
              <w:t>2,946.3</w:t>
            </w:r>
          </w:p>
        </w:tc>
      </w:tr>
      <w:tr w:rsidR="005B131E" w:rsidRPr="00BA7805" w14:paraId="2540E1CF" w14:textId="77777777" w:rsidTr="002542E1">
        <w:trPr>
          <w:cantSplit w:val="0"/>
        </w:trPr>
        <w:tc>
          <w:tcPr>
            <w:tcW w:w="3486" w:type="dxa"/>
            <w:tcBorders>
              <w:top w:val="single" w:sz="4" w:space="0" w:color="000000" w:themeColor="text1"/>
              <w:bottom w:val="single" w:sz="4" w:space="0" w:color="000000" w:themeColor="text1"/>
            </w:tcBorders>
          </w:tcPr>
          <w:p w14:paraId="2A78B5C5" w14:textId="77777777" w:rsidR="005B131E" w:rsidRPr="00BA7805" w:rsidRDefault="005B131E" w:rsidP="002542E1">
            <w:pPr>
              <w:pStyle w:val="ARfintablebodybold8pt"/>
              <w:rPr>
                <w:sz w:val="15"/>
                <w:highlight w:val="green"/>
              </w:rPr>
            </w:pPr>
            <w:r w:rsidRPr="0028081E">
              <w:t>Total administered net result from transactions</w:t>
            </w:r>
          </w:p>
        </w:tc>
        <w:tc>
          <w:tcPr>
            <w:tcW w:w="681" w:type="dxa"/>
            <w:tcBorders>
              <w:top w:val="single" w:sz="4" w:space="0" w:color="000000" w:themeColor="text1"/>
              <w:bottom w:val="single" w:sz="4" w:space="0" w:color="000000" w:themeColor="text1"/>
            </w:tcBorders>
            <w:noWrap/>
          </w:tcPr>
          <w:p w14:paraId="73E21CE2" w14:textId="77777777" w:rsidR="005B131E" w:rsidRPr="00BA7805" w:rsidRDefault="005B131E" w:rsidP="002542E1">
            <w:pPr>
              <w:pStyle w:val="ARfintablebodyrightbold8pt"/>
              <w:rPr>
                <w:highlight w:val="green"/>
              </w:rPr>
            </w:pPr>
            <w:r w:rsidRPr="00D474DF">
              <w:t>1.6</w:t>
            </w:r>
          </w:p>
        </w:tc>
        <w:tc>
          <w:tcPr>
            <w:tcW w:w="682" w:type="dxa"/>
            <w:tcBorders>
              <w:top w:val="single" w:sz="4" w:space="0" w:color="000000" w:themeColor="text1"/>
              <w:bottom w:val="single" w:sz="4" w:space="0" w:color="000000" w:themeColor="text1"/>
            </w:tcBorders>
            <w:noWrap/>
          </w:tcPr>
          <w:p w14:paraId="447AED88" w14:textId="77777777" w:rsidR="005B131E" w:rsidRPr="00BA7805" w:rsidRDefault="005B131E" w:rsidP="002542E1">
            <w:pPr>
              <w:pStyle w:val="ARfintablebodyrightbold8pt"/>
              <w:rPr>
                <w:highlight w:val="green"/>
              </w:rPr>
            </w:pPr>
            <w:r w:rsidRPr="00D474DF">
              <w:t>0.1</w:t>
            </w:r>
          </w:p>
        </w:tc>
        <w:tc>
          <w:tcPr>
            <w:tcW w:w="681" w:type="dxa"/>
            <w:tcBorders>
              <w:top w:val="single" w:sz="4" w:space="0" w:color="000000" w:themeColor="text1"/>
              <w:bottom w:val="single" w:sz="4" w:space="0" w:color="000000" w:themeColor="text1"/>
            </w:tcBorders>
            <w:noWrap/>
          </w:tcPr>
          <w:p w14:paraId="3AF755BF" w14:textId="77777777" w:rsidR="005B131E" w:rsidRPr="00BA7805" w:rsidRDefault="005B131E" w:rsidP="002542E1">
            <w:pPr>
              <w:pStyle w:val="ARfintablebodyrightbold8pt"/>
              <w:rPr>
                <w:highlight w:val="green"/>
              </w:rPr>
            </w:pPr>
            <w:r w:rsidRPr="009375B6">
              <w:t>–</w:t>
            </w:r>
          </w:p>
        </w:tc>
        <w:tc>
          <w:tcPr>
            <w:tcW w:w="682" w:type="dxa"/>
            <w:tcBorders>
              <w:top w:val="single" w:sz="4" w:space="0" w:color="000000" w:themeColor="text1"/>
              <w:bottom w:val="single" w:sz="4" w:space="0" w:color="000000" w:themeColor="text1"/>
            </w:tcBorders>
            <w:noWrap/>
          </w:tcPr>
          <w:p w14:paraId="3DA143F9" w14:textId="77777777" w:rsidR="005B131E" w:rsidRPr="00BA7805" w:rsidRDefault="005B131E" w:rsidP="002542E1">
            <w:pPr>
              <w:pStyle w:val="ARfintablebodyrightbold8pt"/>
              <w:rPr>
                <w:highlight w:val="green"/>
              </w:rPr>
            </w:pPr>
            <w:r w:rsidRPr="009375B6">
              <w:t>–</w:t>
            </w:r>
          </w:p>
        </w:tc>
        <w:tc>
          <w:tcPr>
            <w:tcW w:w="681" w:type="dxa"/>
            <w:tcBorders>
              <w:top w:val="single" w:sz="4" w:space="0" w:color="000000" w:themeColor="text1"/>
              <w:bottom w:val="single" w:sz="4" w:space="0" w:color="000000" w:themeColor="text1"/>
            </w:tcBorders>
            <w:noWrap/>
          </w:tcPr>
          <w:p w14:paraId="6EB97B26"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5CB65CE2"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5B164283"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00027176"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78C7757C"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16F30A0A"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04D4E9F1"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771F80E3"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0EA08977" w14:textId="77777777" w:rsidR="005B131E" w:rsidRPr="00BA7805" w:rsidRDefault="005B131E" w:rsidP="002542E1">
            <w:pPr>
              <w:pStyle w:val="ARfintablebodyrightbold8pt"/>
              <w:rPr>
                <w:highlight w:val="green"/>
              </w:rPr>
            </w:pPr>
            <w:r w:rsidRPr="006F6075">
              <w:t>–</w:t>
            </w:r>
          </w:p>
        </w:tc>
        <w:tc>
          <w:tcPr>
            <w:tcW w:w="682" w:type="dxa"/>
            <w:tcBorders>
              <w:top w:val="single" w:sz="4" w:space="0" w:color="000000" w:themeColor="text1"/>
              <w:bottom w:val="single" w:sz="4" w:space="0" w:color="000000" w:themeColor="text1"/>
            </w:tcBorders>
            <w:noWrap/>
          </w:tcPr>
          <w:p w14:paraId="3FC65D97" w14:textId="77777777" w:rsidR="005B131E" w:rsidRPr="00BA7805" w:rsidRDefault="005B131E" w:rsidP="002542E1">
            <w:pPr>
              <w:pStyle w:val="ARfintablebodyrightbold8pt"/>
              <w:rPr>
                <w:highlight w:val="green"/>
              </w:rPr>
            </w:pPr>
            <w:r w:rsidRPr="006F6075">
              <w:t>–</w:t>
            </w:r>
          </w:p>
        </w:tc>
        <w:tc>
          <w:tcPr>
            <w:tcW w:w="682" w:type="dxa"/>
            <w:tcBorders>
              <w:top w:val="single" w:sz="4" w:space="0" w:color="000000" w:themeColor="text1"/>
              <w:bottom w:val="single" w:sz="4" w:space="0" w:color="000000" w:themeColor="text1"/>
            </w:tcBorders>
            <w:noWrap/>
          </w:tcPr>
          <w:p w14:paraId="38014F02" w14:textId="77777777" w:rsidR="005B131E" w:rsidRPr="00BA7805" w:rsidRDefault="005B131E" w:rsidP="002542E1">
            <w:pPr>
              <w:pStyle w:val="ARfintablebodyrightbold8pt"/>
              <w:rPr>
                <w:highlight w:val="green"/>
              </w:rPr>
            </w:pPr>
            <w:r w:rsidRPr="00D474DF">
              <w:t>1.7</w:t>
            </w:r>
          </w:p>
        </w:tc>
      </w:tr>
      <w:tr w:rsidR="005B131E" w:rsidRPr="00BA7805" w14:paraId="00CFECB3" w14:textId="77777777" w:rsidTr="002542E1">
        <w:trPr>
          <w:cantSplit w:val="0"/>
        </w:trPr>
        <w:tc>
          <w:tcPr>
            <w:tcW w:w="13709" w:type="dxa"/>
            <w:gridSpan w:val="16"/>
            <w:tcBorders>
              <w:top w:val="single" w:sz="4" w:space="0" w:color="000000" w:themeColor="text1"/>
              <w:bottom w:val="single" w:sz="4" w:space="0" w:color="BFBFBF" w:themeColor="background1" w:themeShade="BF"/>
            </w:tcBorders>
          </w:tcPr>
          <w:p w14:paraId="4523931F" w14:textId="77777777" w:rsidR="005B131E" w:rsidRPr="00BA7805" w:rsidRDefault="005B131E" w:rsidP="002542E1">
            <w:pPr>
              <w:pStyle w:val="ARfintablebodybold8pt"/>
              <w:rPr>
                <w:sz w:val="15"/>
                <w:szCs w:val="15"/>
                <w:highlight w:val="green"/>
              </w:rPr>
            </w:pPr>
            <w:r w:rsidRPr="0028081E">
              <w:t>Administered other economic flows included in net result</w:t>
            </w:r>
          </w:p>
        </w:tc>
      </w:tr>
      <w:tr w:rsidR="005B131E" w:rsidRPr="00BA7805" w14:paraId="5F13076B" w14:textId="77777777" w:rsidTr="002542E1">
        <w:trPr>
          <w:cantSplit w:val="0"/>
        </w:trPr>
        <w:tc>
          <w:tcPr>
            <w:tcW w:w="3486" w:type="dxa"/>
            <w:tcBorders>
              <w:top w:val="single" w:sz="4" w:space="0" w:color="BFBFBF" w:themeColor="background1" w:themeShade="BF"/>
              <w:bottom w:val="single" w:sz="4" w:space="0" w:color="BFBFBF" w:themeColor="background1" w:themeShade="BF"/>
            </w:tcBorders>
          </w:tcPr>
          <w:p w14:paraId="43B839BD" w14:textId="77777777" w:rsidR="005B131E" w:rsidRPr="00BA7805" w:rsidRDefault="005B131E" w:rsidP="002542E1">
            <w:pPr>
              <w:pStyle w:val="ARfintablebody8pt"/>
              <w:rPr>
                <w:sz w:val="15"/>
                <w:highlight w:val="green"/>
              </w:rPr>
            </w:pPr>
            <w:r w:rsidRPr="0028081E">
              <w:t>Net gain/(loss) on non-financial assets</w:t>
            </w:r>
          </w:p>
        </w:tc>
        <w:tc>
          <w:tcPr>
            <w:tcW w:w="681" w:type="dxa"/>
            <w:tcBorders>
              <w:top w:val="single" w:sz="4" w:space="0" w:color="BFBFBF" w:themeColor="background1" w:themeShade="BF"/>
              <w:bottom w:val="single" w:sz="4" w:space="0" w:color="BFBFBF" w:themeColor="background1" w:themeShade="BF"/>
            </w:tcBorders>
            <w:noWrap/>
          </w:tcPr>
          <w:p w14:paraId="0D8BCFAC"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47AAA76A" w14:textId="77777777" w:rsidR="005B131E" w:rsidRPr="00BA7805" w:rsidRDefault="005B131E" w:rsidP="002542E1">
            <w:pPr>
              <w:pStyle w:val="ARfintablebodyright8pt"/>
              <w:rPr>
                <w:highlight w:val="green"/>
              </w:rPr>
            </w:pPr>
            <w:r w:rsidRPr="00011118">
              <w:t>(0.3)</w:t>
            </w:r>
          </w:p>
        </w:tc>
        <w:tc>
          <w:tcPr>
            <w:tcW w:w="681" w:type="dxa"/>
            <w:tcBorders>
              <w:top w:val="single" w:sz="4" w:space="0" w:color="BFBFBF" w:themeColor="background1" w:themeShade="BF"/>
              <w:bottom w:val="single" w:sz="4" w:space="0" w:color="BFBFBF" w:themeColor="background1" w:themeShade="BF"/>
            </w:tcBorders>
            <w:noWrap/>
          </w:tcPr>
          <w:p w14:paraId="78E5749B"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15B75C1E"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36559D7A"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0D871C1A"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34DCF90"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2B20910B"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1B6922A6"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2B62F101"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0DC47DC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4619B034"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BFBFBF" w:themeColor="background1" w:themeShade="BF"/>
            </w:tcBorders>
            <w:noWrap/>
          </w:tcPr>
          <w:p w14:paraId="62899939"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53C813D8"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BFBFBF" w:themeColor="background1" w:themeShade="BF"/>
            </w:tcBorders>
            <w:noWrap/>
          </w:tcPr>
          <w:p w14:paraId="3DAE3423" w14:textId="77777777" w:rsidR="005B131E" w:rsidRPr="00BA7805" w:rsidRDefault="005B131E" w:rsidP="002542E1">
            <w:pPr>
              <w:pStyle w:val="ARfintablebodyright8pt"/>
              <w:rPr>
                <w:highlight w:val="green"/>
              </w:rPr>
            </w:pPr>
            <w:r w:rsidRPr="00011118">
              <w:t>(0.3)</w:t>
            </w:r>
          </w:p>
        </w:tc>
      </w:tr>
      <w:tr w:rsidR="005B131E" w:rsidRPr="00BA7805" w14:paraId="290D2514" w14:textId="77777777" w:rsidTr="002542E1">
        <w:trPr>
          <w:cantSplit w:val="0"/>
        </w:trPr>
        <w:tc>
          <w:tcPr>
            <w:tcW w:w="3486" w:type="dxa"/>
            <w:tcBorders>
              <w:top w:val="single" w:sz="4" w:space="0" w:color="BFBFBF" w:themeColor="background1" w:themeShade="BF"/>
              <w:bottom w:val="single" w:sz="4" w:space="0" w:color="000000" w:themeColor="text1"/>
            </w:tcBorders>
          </w:tcPr>
          <w:p w14:paraId="78107281" w14:textId="77777777" w:rsidR="005B131E" w:rsidRPr="00BA7805" w:rsidRDefault="005B131E" w:rsidP="002542E1">
            <w:pPr>
              <w:pStyle w:val="ARfintablebody8pt"/>
              <w:rPr>
                <w:sz w:val="15"/>
                <w:highlight w:val="green"/>
              </w:rPr>
            </w:pPr>
            <w:r w:rsidRPr="0028081E">
              <w:t>Other gains/(losses) from other economic flows</w:t>
            </w:r>
          </w:p>
        </w:tc>
        <w:tc>
          <w:tcPr>
            <w:tcW w:w="681" w:type="dxa"/>
            <w:tcBorders>
              <w:top w:val="single" w:sz="4" w:space="0" w:color="BFBFBF" w:themeColor="background1" w:themeShade="BF"/>
              <w:bottom w:val="single" w:sz="4" w:space="0" w:color="000000" w:themeColor="text1"/>
            </w:tcBorders>
            <w:noWrap/>
          </w:tcPr>
          <w:p w14:paraId="2A05A884"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361E87ED"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4C515CDF"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6864C5AE"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7D0088E9"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189157A5"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1ADC184E"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089D2721"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0FF2D8B6"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727068AC"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5D6C9547"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29A7BC4E" w14:textId="77777777" w:rsidR="005B131E" w:rsidRPr="00BA7805" w:rsidRDefault="005B131E" w:rsidP="002542E1">
            <w:pPr>
              <w:pStyle w:val="ARfintablebodyright8pt"/>
              <w:rPr>
                <w:highlight w:val="green"/>
              </w:rPr>
            </w:pPr>
            <w:r>
              <w:t>–</w:t>
            </w:r>
          </w:p>
        </w:tc>
        <w:tc>
          <w:tcPr>
            <w:tcW w:w="681" w:type="dxa"/>
            <w:tcBorders>
              <w:top w:val="single" w:sz="4" w:space="0" w:color="BFBFBF" w:themeColor="background1" w:themeShade="BF"/>
              <w:bottom w:val="single" w:sz="4" w:space="0" w:color="000000" w:themeColor="text1"/>
            </w:tcBorders>
            <w:noWrap/>
          </w:tcPr>
          <w:p w14:paraId="22EFCB50"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645780C5" w14:textId="77777777" w:rsidR="005B131E" w:rsidRPr="00BA7805" w:rsidRDefault="005B131E" w:rsidP="002542E1">
            <w:pPr>
              <w:pStyle w:val="ARfintablebodyright8pt"/>
              <w:rPr>
                <w:highlight w:val="green"/>
              </w:rPr>
            </w:pPr>
            <w:r>
              <w:t>–</w:t>
            </w:r>
          </w:p>
        </w:tc>
        <w:tc>
          <w:tcPr>
            <w:tcW w:w="682" w:type="dxa"/>
            <w:tcBorders>
              <w:top w:val="single" w:sz="4" w:space="0" w:color="BFBFBF" w:themeColor="background1" w:themeShade="BF"/>
              <w:bottom w:val="single" w:sz="4" w:space="0" w:color="000000" w:themeColor="text1"/>
            </w:tcBorders>
            <w:noWrap/>
          </w:tcPr>
          <w:p w14:paraId="0BF3F510" w14:textId="77777777" w:rsidR="005B131E" w:rsidRPr="00BA7805" w:rsidRDefault="005B131E" w:rsidP="002542E1">
            <w:pPr>
              <w:pStyle w:val="ARfintablebodyright8pt"/>
              <w:rPr>
                <w:highlight w:val="green"/>
              </w:rPr>
            </w:pPr>
            <w:r>
              <w:t>–</w:t>
            </w:r>
          </w:p>
        </w:tc>
      </w:tr>
      <w:tr w:rsidR="005B131E" w:rsidRPr="00BA7805" w14:paraId="7C24B56C" w14:textId="77777777" w:rsidTr="002542E1">
        <w:trPr>
          <w:cantSplit w:val="0"/>
        </w:trPr>
        <w:tc>
          <w:tcPr>
            <w:tcW w:w="3486" w:type="dxa"/>
            <w:tcBorders>
              <w:top w:val="single" w:sz="4" w:space="0" w:color="000000" w:themeColor="text1"/>
              <w:bottom w:val="single" w:sz="4" w:space="0" w:color="000000" w:themeColor="text1"/>
            </w:tcBorders>
          </w:tcPr>
          <w:p w14:paraId="785447EE" w14:textId="77777777" w:rsidR="005B131E" w:rsidRPr="00BA7805" w:rsidRDefault="005B131E" w:rsidP="002542E1">
            <w:pPr>
              <w:pStyle w:val="ARfintablebodybold8pt"/>
              <w:pageBreakBefore/>
              <w:rPr>
                <w:sz w:val="15"/>
                <w:highlight w:val="green"/>
              </w:rPr>
            </w:pPr>
            <w:r w:rsidRPr="0028081E">
              <w:t>Total administered other economic flows</w:t>
            </w:r>
          </w:p>
        </w:tc>
        <w:tc>
          <w:tcPr>
            <w:tcW w:w="681" w:type="dxa"/>
            <w:tcBorders>
              <w:top w:val="single" w:sz="4" w:space="0" w:color="000000" w:themeColor="text1"/>
              <w:bottom w:val="single" w:sz="4" w:space="0" w:color="000000" w:themeColor="text1"/>
            </w:tcBorders>
            <w:noWrap/>
          </w:tcPr>
          <w:p w14:paraId="5458633B"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5DE3AC51" w14:textId="77777777" w:rsidR="005B131E" w:rsidRPr="00BA7805" w:rsidRDefault="005B131E" w:rsidP="002542E1">
            <w:pPr>
              <w:pStyle w:val="ARfintablebodyrightbold8pt"/>
              <w:rPr>
                <w:highlight w:val="green"/>
              </w:rPr>
            </w:pPr>
            <w:r w:rsidRPr="00011118">
              <w:t>(0.3)</w:t>
            </w:r>
          </w:p>
        </w:tc>
        <w:tc>
          <w:tcPr>
            <w:tcW w:w="681" w:type="dxa"/>
            <w:tcBorders>
              <w:top w:val="single" w:sz="4" w:space="0" w:color="000000" w:themeColor="text1"/>
              <w:bottom w:val="single" w:sz="4" w:space="0" w:color="000000" w:themeColor="text1"/>
            </w:tcBorders>
            <w:noWrap/>
          </w:tcPr>
          <w:p w14:paraId="0256901F"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4DE3AFEE"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32E11FEC"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01925EC7"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674ABB0D"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38F6DBDC"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715D48B5"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22BB3407"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02C7B628"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42A3C631"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1FF71F58"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667A3FC5"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7AED495F" w14:textId="77777777" w:rsidR="005B131E" w:rsidRPr="00BA7805" w:rsidRDefault="005B131E" w:rsidP="002542E1">
            <w:pPr>
              <w:pStyle w:val="ARfintablebodyrightbold8pt"/>
              <w:rPr>
                <w:highlight w:val="green"/>
              </w:rPr>
            </w:pPr>
            <w:r w:rsidRPr="00011118">
              <w:t>(0.3)</w:t>
            </w:r>
          </w:p>
        </w:tc>
      </w:tr>
      <w:tr w:rsidR="005B131E" w:rsidRPr="00BA7805" w14:paraId="09DEB13A" w14:textId="77777777" w:rsidTr="002542E1">
        <w:trPr>
          <w:cantSplit w:val="0"/>
        </w:trPr>
        <w:tc>
          <w:tcPr>
            <w:tcW w:w="3486" w:type="dxa"/>
            <w:tcBorders>
              <w:top w:val="single" w:sz="4" w:space="0" w:color="000000" w:themeColor="text1"/>
              <w:bottom w:val="single" w:sz="4" w:space="0" w:color="000000" w:themeColor="text1"/>
            </w:tcBorders>
          </w:tcPr>
          <w:p w14:paraId="2750F070" w14:textId="77777777" w:rsidR="005B131E" w:rsidRPr="00BA7805" w:rsidRDefault="005B131E" w:rsidP="002542E1">
            <w:pPr>
              <w:pStyle w:val="ARfintablebodybold8pt"/>
              <w:rPr>
                <w:sz w:val="15"/>
                <w:highlight w:val="green"/>
              </w:rPr>
            </w:pPr>
            <w:r w:rsidRPr="0028081E">
              <w:t>Administered net result</w:t>
            </w:r>
          </w:p>
        </w:tc>
        <w:tc>
          <w:tcPr>
            <w:tcW w:w="681" w:type="dxa"/>
            <w:tcBorders>
              <w:top w:val="single" w:sz="4" w:space="0" w:color="000000" w:themeColor="text1"/>
              <w:bottom w:val="single" w:sz="4" w:space="0" w:color="000000" w:themeColor="text1"/>
            </w:tcBorders>
            <w:noWrap/>
          </w:tcPr>
          <w:p w14:paraId="6724CA6F" w14:textId="77777777" w:rsidR="005B131E" w:rsidRPr="00BA7805" w:rsidRDefault="005B131E" w:rsidP="002542E1">
            <w:pPr>
              <w:pStyle w:val="ARfintablebodyrightbold8pt"/>
              <w:rPr>
                <w:highlight w:val="green"/>
              </w:rPr>
            </w:pPr>
            <w:r w:rsidRPr="00011118">
              <w:t>1.6</w:t>
            </w:r>
          </w:p>
        </w:tc>
        <w:tc>
          <w:tcPr>
            <w:tcW w:w="682" w:type="dxa"/>
            <w:tcBorders>
              <w:top w:val="single" w:sz="4" w:space="0" w:color="000000" w:themeColor="text1"/>
              <w:bottom w:val="single" w:sz="4" w:space="0" w:color="000000" w:themeColor="text1"/>
            </w:tcBorders>
            <w:noWrap/>
          </w:tcPr>
          <w:p w14:paraId="0976E4B0" w14:textId="77777777" w:rsidR="005B131E" w:rsidRPr="00BA7805" w:rsidRDefault="005B131E" w:rsidP="002542E1">
            <w:pPr>
              <w:pStyle w:val="ARfintablebodyrightbold8pt"/>
              <w:rPr>
                <w:highlight w:val="green"/>
              </w:rPr>
            </w:pPr>
            <w:r w:rsidRPr="00011118">
              <w:t>(0.1)</w:t>
            </w:r>
          </w:p>
        </w:tc>
        <w:tc>
          <w:tcPr>
            <w:tcW w:w="681" w:type="dxa"/>
            <w:tcBorders>
              <w:top w:val="single" w:sz="4" w:space="0" w:color="000000" w:themeColor="text1"/>
              <w:bottom w:val="single" w:sz="4" w:space="0" w:color="000000" w:themeColor="text1"/>
            </w:tcBorders>
            <w:noWrap/>
          </w:tcPr>
          <w:p w14:paraId="312FD7AE" w14:textId="77777777" w:rsidR="005B131E" w:rsidRPr="00BA7805" w:rsidRDefault="005B131E" w:rsidP="002542E1">
            <w:pPr>
              <w:pStyle w:val="ARfintablebodyrightbold8pt"/>
              <w:rPr>
                <w:highlight w:val="green"/>
              </w:rPr>
            </w:pPr>
            <w:r w:rsidRPr="009A282D">
              <w:t>–</w:t>
            </w:r>
          </w:p>
        </w:tc>
        <w:tc>
          <w:tcPr>
            <w:tcW w:w="682" w:type="dxa"/>
            <w:tcBorders>
              <w:top w:val="single" w:sz="4" w:space="0" w:color="000000" w:themeColor="text1"/>
              <w:bottom w:val="single" w:sz="4" w:space="0" w:color="000000" w:themeColor="text1"/>
            </w:tcBorders>
            <w:noWrap/>
          </w:tcPr>
          <w:p w14:paraId="1371FA57" w14:textId="77777777" w:rsidR="005B131E" w:rsidRPr="00BA7805" w:rsidRDefault="005B131E" w:rsidP="002542E1">
            <w:pPr>
              <w:pStyle w:val="ARfintablebodyrightbold8pt"/>
              <w:rPr>
                <w:highlight w:val="green"/>
              </w:rPr>
            </w:pPr>
            <w:r w:rsidRPr="009A282D">
              <w:t>–</w:t>
            </w:r>
          </w:p>
        </w:tc>
        <w:tc>
          <w:tcPr>
            <w:tcW w:w="681" w:type="dxa"/>
            <w:tcBorders>
              <w:top w:val="single" w:sz="4" w:space="0" w:color="000000" w:themeColor="text1"/>
              <w:bottom w:val="single" w:sz="4" w:space="0" w:color="000000" w:themeColor="text1"/>
            </w:tcBorders>
            <w:noWrap/>
          </w:tcPr>
          <w:p w14:paraId="169DA410"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38ABC617"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30DB36C0"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64D027C8"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2093212A"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476C0540"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16123C8C" w14:textId="77777777" w:rsidR="005B131E" w:rsidRPr="00BA7805" w:rsidRDefault="005B131E" w:rsidP="002542E1">
            <w:pPr>
              <w:pStyle w:val="ARfintablebodyrightbold8pt"/>
              <w:rPr>
                <w:highlight w:val="green"/>
              </w:rPr>
            </w:pPr>
            <w:r>
              <w:t>–</w:t>
            </w:r>
          </w:p>
        </w:tc>
        <w:tc>
          <w:tcPr>
            <w:tcW w:w="682" w:type="dxa"/>
            <w:tcBorders>
              <w:top w:val="single" w:sz="4" w:space="0" w:color="000000" w:themeColor="text1"/>
              <w:bottom w:val="single" w:sz="4" w:space="0" w:color="000000" w:themeColor="text1"/>
            </w:tcBorders>
            <w:noWrap/>
          </w:tcPr>
          <w:p w14:paraId="54A98799" w14:textId="77777777" w:rsidR="005B131E" w:rsidRPr="00BA7805" w:rsidRDefault="005B131E" w:rsidP="002542E1">
            <w:pPr>
              <w:pStyle w:val="ARfintablebodyrightbold8pt"/>
              <w:rPr>
                <w:highlight w:val="green"/>
              </w:rPr>
            </w:pPr>
            <w:r>
              <w:t>–</w:t>
            </w:r>
          </w:p>
        </w:tc>
        <w:tc>
          <w:tcPr>
            <w:tcW w:w="681" w:type="dxa"/>
            <w:tcBorders>
              <w:top w:val="single" w:sz="4" w:space="0" w:color="000000" w:themeColor="text1"/>
              <w:bottom w:val="single" w:sz="4" w:space="0" w:color="000000" w:themeColor="text1"/>
            </w:tcBorders>
            <w:noWrap/>
          </w:tcPr>
          <w:p w14:paraId="06C3D007" w14:textId="77777777" w:rsidR="005B131E" w:rsidRPr="00BA7805" w:rsidRDefault="005B131E" w:rsidP="002542E1">
            <w:pPr>
              <w:pStyle w:val="ARfintablebodyrightbold8pt"/>
              <w:rPr>
                <w:highlight w:val="green"/>
              </w:rPr>
            </w:pPr>
            <w:r w:rsidRPr="00684448">
              <w:t>–</w:t>
            </w:r>
          </w:p>
        </w:tc>
        <w:tc>
          <w:tcPr>
            <w:tcW w:w="682" w:type="dxa"/>
            <w:tcBorders>
              <w:top w:val="single" w:sz="4" w:space="0" w:color="000000" w:themeColor="text1"/>
              <w:bottom w:val="single" w:sz="4" w:space="0" w:color="000000" w:themeColor="text1"/>
            </w:tcBorders>
            <w:noWrap/>
          </w:tcPr>
          <w:p w14:paraId="21104F0C" w14:textId="77777777" w:rsidR="005B131E" w:rsidRPr="00BA7805" w:rsidRDefault="005B131E" w:rsidP="002542E1">
            <w:pPr>
              <w:pStyle w:val="ARfintablebodyrightbold8pt"/>
              <w:rPr>
                <w:highlight w:val="green"/>
              </w:rPr>
            </w:pPr>
            <w:r w:rsidRPr="00684448">
              <w:t>–</w:t>
            </w:r>
          </w:p>
        </w:tc>
        <w:tc>
          <w:tcPr>
            <w:tcW w:w="682" w:type="dxa"/>
            <w:tcBorders>
              <w:top w:val="single" w:sz="4" w:space="0" w:color="000000" w:themeColor="text1"/>
              <w:bottom w:val="single" w:sz="4" w:space="0" w:color="000000" w:themeColor="text1"/>
            </w:tcBorders>
            <w:noWrap/>
          </w:tcPr>
          <w:p w14:paraId="09B5432C" w14:textId="77777777" w:rsidR="005B131E" w:rsidRPr="00BA7805" w:rsidRDefault="005B131E" w:rsidP="002542E1">
            <w:pPr>
              <w:pStyle w:val="ARfintablebodyrightbold8pt"/>
              <w:rPr>
                <w:highlight w:val="green"/>
              </w:rPr>
            </w:pPr>
            <w:r w:rsidRPr="00011118">
              <w:t>1.4</w:t>
            </w:r>
          </w:p>
        </w:tc>
      </w:tr>
    </w:tbl>
    <w:p w14:paraId="3F41A110" w14:textId="77777777" w:rsidR="005B131E" w:rsidRDefault="005B131E" w:rsidP="002542E1">
      <w:pPr>
        <w:pStyle w:val="ARfintablefootnote"/>
        <w:spacing w:after="0"/>
      </w:pPr>
      <w:r>
        <w:t>Notes:</w:t>
      </w:r>
    </w:p>
    <w:p w14:paraId="53CCB5FB" w14:textId="77777777" w:rsidR="005B131E" w:rsidRPr="00B91F7E" w:rsidRDefault="005B131E" w:rsidP="002542E1">
      <w:pPr>
        <w:pStyle w:val="ARfintablefootnotetabindent"/>
      </w:pPr>
      <w:r>
        <w:t xml:space="preserve">(i) </w:t>
      </w:r>
      <w:r>
        <w:tab/>
      </w:r>
      <w:r w:rsidRPr="00B91F7E">
        <w:t>Refer to Note 4.1.1 for output definitions.</w:t>
      </w:r>
    </w:p>
    <w:p w14:paraId="6F6E4FD9" w14:textId="77777777" w:rsidR="005B131E" w:rsidRPr="00B91F7E" w:rsidRDefault="005B131E" w:rsidP="002542E1">
      <w:pPr>
        <w:pStyle w:val="ARfintablefootnotetabindent"/>
      </w:pPr>
      <w:r w:rsidRPr="00B91F7E">
        <w:t xml:space="preserve">(ii) </w:t>
      </w:r>
      <w:r w:rsidRPr="00B91F7E">
        <w:tab/>
        <w:t xml:space="preserve">Output </w:t>
      </w:r>
      <w:r>
        <w:t>14</w:t>
      </w:r>
      <w:r w:rsidRPr="00B91F7E">
        <w:t xml:space="preserve"> Housing Assistance is not applicable for administered activities.</w:t>
      </w:r>
    </w:p>
    <w:p w14:paraId="75FA26B9" w14:textId="77777777" w:rsidR="005B131E" w:rsidRPr="00B91F7E" w:rsidRDefault="005B131E" w:rsidP="002542E1">
      <w:pPr>
        <w:pStyle w:val="ARfintablefootnotetabindent"/>
      </w:pPr>
      <w:r w:rsidRPr="00B91F7E">
        <w:t xml:space="preserve">(iii) </w:t>
      </w:r>
      <w:r w:rsidRPr="00B91F7E">
        <w:tab/>
        <w:t>Grant income includes National Disability Insurance Scheme funding contribution from other departments within the State, payment reimbursement from DJCS relating to Natural Disaster Relief and recovery Arrangements (NDRA) expenses.</w:t>
      </w:r>
    </w:p>
    <w:p w14:paraId="18AC80D2" w14:textId="77777777" w:rsidR="005B131E" w:rsidRDefault="005B131E" w:rsidP="002542E1">
      <w:pPr>
        <w:pStyle w:val="ARfintablefootnotetabindent"/>
      </w:pPr>
      <w:r w:rsidRPr="00B91F7E">
        <w:t xml:space="preserve">(iv) </w:t>
      </w:r>
      <w:r w:rsidRPr="00B91F7E">
        <w:tab/>
        <w:t>Refer to Note 4.2.3 details of administered grants and other expense transfers</w:t>
      </w:r>
      <w:r>
        <w:t>.</w:t>
      </w:r>
    </w:p>
    <w:p w14:paraId="2CD6A446" w14:textId="77777777" w:rsidR="005B131E" w:rsidRDefault="005B131E" w:rsidP="002542E1">
      <w:pPr>
        <w:pStyle w:val="ARbody"/>
        <w:rPr>
          <w:highlight w:val="green"/>
        </w:rPr>
      </w:pPr>
    </w:p>
    <w:tbl>
      <w:tblPr>
        <w:tblStyle w:val="TableGrid"/>
        <w:tblW w:w="5000" w:type="pct"/>
        <w:tblLayout w:type="fixed"/>
        <w:tblCellMar>
          <w:right w:w="0" w:type="dxa"/>
        </w:tblCellMar>
        <w:tblLook w:val="06A0" w:firstRow="1" w:lastRow="0" w:firstColumn="1" w:lastColumn="0" w:noHBand="1" w:noVBand="1"/>
      </w:tblPr>
      <w:tblGrid>
        <w:gridCol w:w="3618"/>
        <w:gridCol w:w="672"/>
        <w:gridCol w:w="672"/>
        <w:gridCol w:w="672"/>
        <w:gridCol w:w="672"/>
        <w:gridCol w:w="672"/>
        <w:gridCol w:w="673"/>
        <w:gridCol w:w="673"/>
        <w:gridCol w:w="673"/>
        <w:gridCol w:w="673"/>
        <w:gridCol w:w="673"/>
        <w:gridCol w:w="673"/>
        <w:gridCol w:w="673"/>
        <w:gridCol w:w="673"/>
        <w:gridCol w:w="673"/>
        <w:gridCol w:w="674"/>
      </w:tblGrid>
      <w:tr w:rsidR="005B131E" w:rsidRPr="005D7D5C" w14:paraId="4EEDAF3C"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618" w:type="dxa"/>
            <w:tcBorders>
              <w:bottom w:val="single" w:sz="4" w:space="0" w:color="auto"/>
            </w:tcBorders>
            <w:hideMark/>
          </w:tcPr>
          <w:p w14:paraId="4168DCCF" w14:textId="77777777" w:rsidR="005B131E" w:rsidRPr="005D7D5C" w:rsidRDefault="005B131E">
            <w:pPr>
              <w:pStyle w:val="ARfintablecolhead"/>
              <w:spacing w:before="10" w:after="10" w:line="216" w:lineRule="auto"/>
              <w:ind w:right="0"/>
              <w:rPr>
                <w:rStyle w:val="Superscript"/>
                <w:rFonts w:cs="Arial"/>
                <w:sz w:val="15"/>
                <w:szCs w:val="15"/>
              </w:rPr>
            </w:pPr>
            <w:r w:rsidRPr="005D7D5C">
              <w:rPr>
                <w:rFonts w:cs="Arial"/>
                <w:sz w:val="15"/>
                <w:szCs w:val="15"/>
              </w:rPr>
              <w:t xml:space="preserve">Output </w:t>
            </w:r>
            <w:r w:rsidRPr="005D7D5C">
              <w:rPr>
                <w:rStyle w:val="Superscript"/>
                <w:rFonts w:cs="Arial"/>
                <w:sz w:val="15"/>
                <w:szCs w:val="15"/>
              </w:rPr>
              <w:t>(i)(ii)</w:t>
            </w:r>
          </w:p>
          <w:p w14:paraId="6EEBC0B2" w14:textId="77777777" w:rsidR="005B131E" w:rsidRPr="005D7D5C" w:rsidRDefault="005B131E">
            <w:pPr>
              <w:pStyle w:val="ARfintablecolhead"/>
              <w:spacing w:before="10" w:after="10" w:line="216" w:lineRule="auto"/>
              <w:rPr>
                <w:rFonts w:cs="Arial"/>
                <w:sz w:val="15"/>
                <w:szCs w:val="15"/>
              </w:rPr>
            </w:pPr>
            <w:r w:rsidRPr="005D7D5C">
              <w:rPr>
                <w:rFonts w:cs="Arial"/>
                <w:sz w:val="15"/>
                <w:szCs w:val="15"/>
              </w:rPr>
              <w:t>202</w:t>
            </w:r>
            <w:r>
              <w:rPr>
                <w:rFonts w:cs="Arial"/>
                <w:sz w:val="15"/>
                <w:szCs w:val="15"/>
              </w:rPr>
              <w:t>3</w:t>
            </w:r>
          </w:p>
        </w:tc>
        <w:tc>
          <w:tcPr>
            <w:tcW w:w="672" w:type="dxa"/>
            <w:tcBorders>
              <w:bottom w:val="single" w:sz="4" w:space="0" w:color="auto"/>
            </w:tcBorders>
            <w:hideMark/>
          </w:tcPr>
          <w:p w14:paraId="654C6226"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w:t>
            </w:r>
          </w:p>
          <w:p w14:paraId="3E5E44D0"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2" w:type="dxa"/>
            <w:tcBorders>
              <w:bottom w:val="single" w:sz="4" w:space="0" w:color="auto"/>
            </w:tcBorders>
            <w:hideMark/>
          </w:tcPr>
          <w:p w14:paraId="4182C6D0"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2</w:t>
            </w:r>
          </w:p>
          <w:p w14:paraId="5111FEF1"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2" w:type="dxa"/>
            <w:tcBorders>
              <w:bottom w:val="single" w:sz="4" w:space="0" w:color="auto"/>
            </w:tcBorders>
            <w:hideMark/>
          </w:tcPr>
          <w:p w14:paraId="3A6E342D"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3</w:t>
            </w:r>
          </w:p>
          <w:p w14:paraId="30D466E9"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2" w:type="dxa"/>
            <w:tcBorders>
              <w:bottom w:val="single" w:sz="4" w:space="0" w:color="auto"/>
            </w:tcBorders>
            <w:hideMark/>
          </w:tcPr>
          <w:p w14:paraId="5F7CB3D6" w14:textId="77777777" w:rsidR="005B131E" w:rsidRDefault="005B131E">
            <w:pPr>
              <w:pStyle w:val="ARfintablecolheadright"/>
              <w:spacing w:before="10" w:after="10" w:line="216" w:lineRule="auto"/>
              <w:rPr>
                <w:rStyle w:val="Superscript"/>
              </w:rPr>
            </w:pPr>
            <w:r w:rsidRPr="005D7D5C">
              <w:rPr>
                <w:rFonts w:cs="Arial"/>
                <w:sz w:val="15"/>
                <w:szCs w:val="15"/>
              </w:rPr>
              <w:t>4</w:t>
            </w:r>
          </w:p>
          <w:p w14:paraId="4E0C059D"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2" w:type="dxa"/>
            <w:tcBorders>
              <w:bottom w:val="single" w:sz="4" w:space="0" w:color="auto"/>
            </w:tcBorders>
            <w:hideMark/>
          </w:tcPr>
          <w:p w14:paraId="3E402EF4"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5</w:t>
            </w:r>
          </w:p>
          <w:p w14:paraId="3F561517"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6473F403"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6</w:t>
            </w:r>
          </w:p>
          <w:p w14:paraId="4F64FD11"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704D572E"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7</w:t>
            </w:r>
          </w:p>
          <w:p w14:paraId="62167007"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11D4A12D"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8</w:t>
            </w:r>
          </w:p>
          <w:p w14:paraId="2537ECA7"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6D7E8A12"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9</w:t>
            </w:r>
          </w:p>
          <w:p w14:paraId="2A83D8B7"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1F1DA7D8"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10</w:t>
            </w:r>
          </w:p>
          <w:p w14:paraId="4FBCC842"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185B6E0F"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11</w:t>
            </w:r>
          </w:p>
          <w:p w14:paraId="069A0660"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5DF34AF1"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12</w:t>
            </w:r>
          </w:p>
          <w:p w14:paraId="598EF6FC"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5CA60FEA"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13</w:t>
            </w:r>
          </w:p>
          <w:p w14:paraId="69BD7333"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c>
          <w:tcPr>
            <w:tcW w:w="673" w:type="dxa"/>
            <w:tcBorders>
              <w:bottom w:val="single" w:sz="4" w:space="0" w:color="auto"/>
            </w:tcBorders>
            <w:hideMark/>
          </w:tcPr>
          <w:p w14:paraId="23F95AA6" w14:textId="77777777" w:rsidR="005B131E" w:rsidRPr="005D7D5C" w:rsidRDefault="005B131E">
            <w:pPr>
              <w:pStyle w:val="ARfintablecolheadright"/>
              <w:spacing w:before="10" w:after="10" w:line="216" w:lineRule="auto"/>
              <w:rPr>
                <w:rFonts w:cs="Arial"/>
                <w:sz w:val="15"/>
                <w:szCs w:val="15"/>
              </w:rPr>
            </w:pPr>
            <w:r>
              <w:rPr>
                <w:rFonts w:cs="Arial"/>
                <w:sz w:val="15"/>
                <w:szCs w:val="15"/>
              </w:rPr>
              <w:t>15</w:t>
            </w:r>
          </w:p>
          <w:p w14:paraId="30175418"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r>
              <w:rPr>
                <w:rFonts w:cs="Arial"/>
                <w:sz w:val="15"/>
                <w:szCs w:val="15"/>
              </w:rPr>
              <w:t xml:space="preserve"> </w:t>
            </w:r>
            <w:r w:rsidRPr="008C4181">
              <w:rPr>
                <w:vertAlign w:val="superscript"/>
              </w:rPr>
              <w:t>(iii)</w:t>
            </w:r>
          </w:p>
        </w:tc>
        <w:tc>
          <w:tcPr>
            <w:tcW w:w="674" w:type="dxa"/>
            <w:tcBorders>
              <w:bottom w:val="single" w:sz="4" w:space="0" w:color="auto"/>
            </w:tcBorders>
            <w:hideMark/>
          </w:tcPr>
          <w:p w14:paraId="0A01E2A1"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Total</w:t>
            </w:r>
          </w:p>
          <w:p w14:paraId="05600007" w14:textId="77777777" w:rsidR="005B131E" w:rsidRPr="005D7D5C" w:rsidRDefault="005B131E">
            <w:pPr>
              <w:pStyle w:val="ARfintablecolheadright"/>
              <w:spacing w:before="10" w:after="10" w:line="216" w:lineRule="auto"/>
              <w:rPr>
                <w:rFonts w:cs="Arial"/>
                <w:sz w:val="15"/>
                <w:szCs w:val="15"/>
              </w:rPr>
            </w:pPr>
            <w:r w:rsidRPr="005D7D5C">
              <w:rPr>
                <w:rFonts w:cs="Arial"/>
                <w:sz w:val="15"/>
                <w:szCs w:val="15"/>
              </w:rPr>
              <w:t>$M</w:t>
            </w:r>
          </w:p>
        </w:tc>
      </w:tr>
      <w:tr w:rsidR="005B131E" w:rsidRPr="00BA7805" w14:paraId="34625A4B" w14:textId="77777777" w:rsidTr="002542E1">
        <w:trPr>
          <w:cantSplit w:val="0"/>
        </w:trPr>
        <w:tc>
          <w:tcPr>
            <w:tcW w:w="13709" w:type="dxa"/>
            <w:gridSpan w:val="16"/>
            <w:tcBorders>
              <w:top w:val="single" w:sz="4" w:space="0" w:color="auto"/>
              <w:bottom w:val="single" w:sz="4" w:space="0" w:color="BFBFBF" w:themeColor="background1" w:themeShade="BF"/>
            </w:tcBorders>
          </w:tcPr>
          <w:p w14:paraId="0F686E76" w14:textId="77777777" w:rsidR="005B131E" w:rsidRPr="00BA7805" w:rsidRDefault="005B131E" w:rsidP="002542E1">
            <w:pPr>
              <w:pStyle w:val="ARfintablebodybold8pt"/>
              <w:rPr>
                <w:sz w:val="15"/>
                <w:highlight w:val="green"/>
              </w:rPr>
            </w:pPr>
            <w:r w:rsidRPr="00D5739B">
              <w:t>Administered income from transactions</w:t>
            </w:r>
          </w:p>
        </w:tc>
      </w:tr>
      <w:tr w:rsidR="005B131E" w:rsidRPr="00BA7805" w14:paraId="26894157"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3C2EB647" w14:textId="77777777" w:rsidR="005B131E" w:rsidRPr="00BA7805" w:rsidRDefault="005B131E" w:rsidP="002542E1">
            <w:pPr>
              <w:pStyle w:val="ARfintablebody8pt"/>
              <w:rPr>
                <w:sz w:val="15"/>
                <w:highlight w:val="green"/>
              </w:rPr>
            </w:pPr>
            <w:r w:rsidRPr="00D5739B">
              <w:t>State contribution to the National Disability Insurance</w:t>
            </w:r>
            <w:r>
              <w:t> </w:t>
            </w:r>
            <w:r w:rsidRPr="00D5739B">
              <w:t>Agency</w:t>
            </w:r>
          </w:p>
        </w:tc>
        <w:tc>
          <w:tcPr>
            <w:tcW w:w="672" w:type="dxa"/>
            <w:tcBorders>
              <w:top w:val="single" w:sz="4" w:space="0" w:color="BFBFBF" w:themeColor="background1" w:themeShade="BF"/>
              <w:bottom w:val="single" w:sz="4" w:space="0" w:color="BFBFBF" w:themeColor="background1" w:themeShade="BF"/>
            </w:tcBorders>
            <w:noWrap/>
          </w:tcPr>
          <w:p w14:paraId="6713A31F"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7765DA96"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197FB623"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537B2A1D"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370B8CBA"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1228E8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5C23AB7"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753535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2B25BF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F80227A"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1B757D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1B0E14A"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9BFB11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9F9BE10"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BFBFBF" w:themeColor="background1" w:themeShade="BF"/>
            </w:tcBorders>
            <w:noWrap/>
          </w:tcPr>
          <w:p w14:paraId="4CFD2535" w14:textId="77777777" w:rsidR="005B131E" w:rsidRPr="00BA7805" w:rsidRDefault="005B131E" w:rsidP="002542E1">
            <w:pPr>
              <w:pStyle w:val="ARfintablebodyright8pt"/>
              <w:rPr>
                <w:highlight w:val="green"/>
              </w:rPr>
            </w:pPr>
            <w:r>
              <w:t>–</w:t>
            </w:r>
          </w:p>
        </w:tc>
      </w:tr>
      <w:tr w:rsidR="005B131E" w:rsidRPr="00BA7805" w14:paraId="3726C32B"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7A9C6D56" w14:textId="77777777" w:rsidR="005B131E" w:rsidRPr="00BA7805" w:rsidRDefault="005B131E" w:rsidP="002542E1">
            <w:pPr>
              <w:pStyle w:val="ARfintablebody8pt"/>
              <w:rPr>
                <w:sz w:val="15"/>
                <w:highlight w:val="green"/>
              </w:rPr>
            </w:pPr>
            <w:r w:rsidRPr="00D5739B">
              <w:t>Commonwealth grants</w:t>
            </w:r>
          </w:p>
        </w:tc>
        <w:tc>
          <w:tcPr>
            <w:tcW w:w="672" w:type="dxa"/>
            <w:tcBorders>
              <w:top w:val="single" w:sz="4" w:space="0" w:color="BFBFBF" w:themeColor="background1" w:themeShade="BF"/>
              <w:bottom w:val="single" w:sz="4" w:space="0" w:color="BFBFBF" w:themeColor="background1" w:themeShade="BF"/>
            </w:tcBorders>
            <w:noWrap/>
          </w:tcPr>
          <w:p w14:paraId="5E1B6810" w14:textId="77777777" w:rsidR="005B131E" w:rsidRPr="00BA7805" w:rsidRDefault="005B131E" w:rsidP="002542E1">
            <w:pPr>
              <w:pStyle w:val="ARfintablebodyright8pt"/>
              <w:rPr>
                <w:highlight w:val="green"/>
              </w:rPr>
            </w:pPr>
            <w:r w:rsidRPr="00E24210">
              <w:t>0.1</w:t>
            </w:r>
          </w:p>
        </w:tc>
        <w:tc>
          <w:tcPr>
            <w:tcW w:w="672" w:type="dxa"/>
            <w:tcBorders>
              <w:top w:val="single" w:sz="4" w:space="0" w:color="BFBFBF" w:themeColor="background1" w:themeShade="BF"/>
              <w:bottom w:val="single" w:sz="4" w:space="0" w:color="BFBFBF" w:themeColor="background1" w:themeShade="BF"/>
            </w:tcBorders>
            <w:noWrap/>
          </w:tcPr>
          <w:p w14:paraId="5C741656" w14:textId="77777777" w:rsidR="005B131E" w:rsidRPr="00BA7805" w:rsidRDefault="005B131E" w:rsidP="002542E1">
            <w:pPr>
              <w:pStyle w:val="ARfintablebodyright8pt"/>
              <w:rPr>
                <w:highlight w:val="green"/>
              </w:rPr>
            </w:pPr>
            <w:r w:rsidRPr="00E24210">
              <w:t>1.7</w:t>
            </w:r>
          </w:p>
        </w:tc>
        <w:tc>
          <w:tcPr>
            <w:tcW w:w="672" w:type="dxa"/>
            <w:tcBorders>
              <w:top w:val="single" w:sz="4" w:space="0" w:color="BFBFBF" w:themeColor="background1" w:themeShade="BF"/>
              <w:bottom w:val="single" w:sz="4" w:space="0" w:color="BFBFBF" w:themeColor="background1" w:themeShade="BF"/>
            </w:tcBorders>
            <w:noWrap/>
          </w:tcPr>
          <w:p w14:paraId="6C89C9FD"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7D16EC90"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737E41A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DAA834E"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217C321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49B2FCB"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0854D7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4FAD74E"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622A0D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980C88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C99788D" w14:textId="77777777" w:rsidR="005B131E" w:rsidRPr="00BA7805" w:rsidRDefault="005B131E" w:rsidP="002542E1">
            <w:pPr>
              <w:pStyle w:val="ARfintablebodyright8pt"/>
              <w:rPr>
                <w:highlight w:val="green"/>
              </w:rPr>
            </w:pPr>
            <w:r w:rsidRPr="00E24210">
              <w:t>1.2</w:t>
            </w:r>
          </w:p>
        </w:tc>
        <w:tc>
          <w:tcPr>
            <w:tcW w:w="673" w:type="dxa"/>
            <w:tcBorders>
              <w:top w:val="single" w:sz="4" w:space="0" w:color="BFBFBF" w:themeColor="background1" w:themeShade="BF"/>
              <w:bottom w:val="single" w:sz="4" w:space="0" w:color="BFBFBF" w:themeColor="background1" w:themeShade="BF"/>
            </w:tcBorders>
            <w:noWrap/>
          </w:tcPr>
          <w:p w14:paraId="76B271B7"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BFBFBF" w:themeColor="background1" w:themeShade="BF"/>
            </w:tcBorders>
            <w:noWrap/>
          </w:tcPr>
          <w:p w14:paraId="36C17809" w14:textId="77777777" w:rsidR="005B131E" w:rsidRPr="00BA7805" w:rsidRDefault="005B131E" w:rsidP="002542E1">
            <w:pPr>
              <w:pStyle w:val="ARfintablebodyright8pt"/>
              <w:rPr>
                <w:highlight w:val="green"/>
              </w:rPr>
            </w:pPr>
            <w:r w:rsidRPr="00E24210">
              <w:t>3.0</w:t>
            </w:r>
          </w:p>
        </w:tc>
      </w:tr>
      <w:tr w:rsidR="005B131E" w:rsidRPr="00BA7805" w14:paraId="4DB88AFD"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651A108D" w14:textId="77777777" w:rsidR="005B131E" w:rsidRPr="00BA7805" w:rsidRDefault="005B131E" w:rsidP="002542E1">
            <w:pPr>
              <w:pStyle w:val="ARfintablebody8pt"/>
              <w:rPr>
                <w:sz w:val="15"/>
                <w:highlight w:val="green"/>
              </w:rPr>
            </w:pPr>
            <w:r w:rsidRPr="00D5739B">
              <w:t>Sales of goods and services</w:t>
            </w:r>
          </w:p>
        </w:tc>
        <w:tc>
          <w:tcPr>
            <w:tcW w:w="672" w:type="dxa"/>
            <w:tcBorders>
              <w:top w:val="single" w:sz="4" w:space="0" w:color="BFBFBF" w:themeColor="background1" w:themeShade="BF"/>
              <w:bottom w:val="single" w:sz="4" w:space="0" w:color="BFBFBF" w:themeColor="background1" w:themeShade="BF"/>
            </w:tcBorders>
            <w:noWrap/>
          </w:tcPr>
          <w:p w14:paraId="33F9D973" w14:textId="77777777" w:rsidR="005B131E" w:rsidRPr="00BA7805" w:rsidRDefault="005B131E" w:rsidP="002542E1">
            <w:pPr>
              <w:pStyle w:val="ARfintablebodyright8pt"/>
              <w:rPr>
                <w:highlight w:val="green"/>
              </w:rPr>
            </w:pPr>
            <w:r w:rsidRPr="00E24210">
              <w:t>34.7</w:t>
            </w:r>
          </w:p>
        </w:tc>
        <w:tc>
          <w:tcPr>
            <w:tcW w:w="672" w:type="dxa"/>
            <w:tcBorders>
              <w:top w:val="single" w:sz="4" w:space="0" w:color="BFBFBF" w:themeColor="background1" w:themeShade="BF"/>
              <w:bottom w:val="single" w:sz="4" w:space="0" w:color="BFBFBF" w:themeColor="background1" w:themeShade="BF"/>
            </w:tcBorders>
            <w:noWrap/>
          </w:tcPr>
          <w:p w14:paraId="1317DDA8" w14:textId="77777777" w:rsidR="005B131E" w:rsidRPr="00BA7805" w:rsidRDefault="005B131E" w:rsidP="002542E1">
            <w:pPr>
              <w:pStyle w:val="ARfintablebodyright8pt"/>
              <w:rPr>
                <w:highlight w:val="green"/>
              </w:rPr>
            </w:pPr>
            <w:r w:rsidRPr="00FB1B24">
              <w:t>–</w:t>
            </w:r>
          </w:p>
        </w:tc>
        <w:tc>
          <w:tcPr>
            <w:tcW w:w="672" w:type="dxa"/>
            <w:tcBorders>
              <w:top w:val="single" w:sz="4" w:space="0" w:color="BFBFBF" w:themeColor="background1" w:themeShade="BF"/>
              <w:bottom w:val="single" w:sz="4" w:space="0" w:color="BFBFBF" w:themeColor="background1" w:themeShade="BF"/>
            </w:tcBorders>
            <w:noWrap/>
          </w:tcPr>
          <w:p w14:paraId="159F3772" w14:textId="77777777" w:rsidR="005B131E" w:rsidRPr="00BA7805" w:rsidRDefault="005B131E" w:rsidP="002542E1">
            <w:pPr>
              <w:pStyle w:val="ARfintablebodyright8pt"/>
              <w:rPr>
                <w:highlight w:val="green"/>
              </w:rPr>
            </w:pPr>
            <w:r w:rsidRPr="00FB1B24">
              <w:t>–</w:t>
            </w:r>
          </w:p>
        </w:tc>
        <w:tc>
          <w:tcPr>
            <w:tcW w:w="672" w:type="dxa"/>
            <w:tcBorders>
              <w:top w:val="single" w:sz="4" w:space="0" w:color="BFBFBF" w:themeColor="background1" w:themeShade="BF"/>
              <w:bottom w:val="single" w:sz="4" w:space="0" w:color="BFBFBF" w:themeColor="background1" w:themeShade="BF"/>
            </w:tcBorders>
            <w:noWrap/>
          </w:tcPr>
          <w:p w14:paraId="181ED9D9"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72980D9B"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E4EE0DA" w14:textId="77777777" w:rsidR="005B131E" w:rsidRPr="00BA7805" w:rsidRDefault="005B131E" w:rsidP="002542E1">
            <w:pPr>
              <w:pStyle w:val="ARfintablebodyright8pt"/>
              <w:rPr>
                <w:highlight w:val="green"/>
              </w:rPr>
            </w:pPr>
            <w:r w:rsidRPr="00E24210">
              <w:t>0.7</w:t>
            </w:r>
          </w:p>
        </w:tc>
        <w:tc>
          <w:tcPr>
            <w:tcW w:w="673" w:type="dxa"/>
            <w:tcBorders>
              <w:top w:val="single" w:sz="4" w:space="0" w:color="BFBFBF" w:themeColor="background1" w:themeShade="BF"/>
              <w:bottom w:val="single" w:sz="4" w:space="0" w:color="BFBFBF" w:themeColor="background1" w:themeShade="BF"/>
            </w:tcBorders>
            <w:noWrap/>
          </w:tcPr>
          <w:p w14:paraId="4314FA9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6DF36B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C42267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0C9F72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F1C3451"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80FDF6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3F9E29B"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4774800"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BFBFBF" w:themeColor="background1" w:themeShade="BF"/>
            </w:tcBorders>
            <w:noWrap/>
          </w:tcPr>
          <w:p w14:paraId="5F11ECDC" w14:textId="77777777" w:rsidR="005B131E" w:rsidRPr="00BA7805" w:rsidRDefault="005B131E" w:rsidP="002542E1">
            <w:pPr>
              <w:pStyle w:val="ARfintablebodyright8pt"/>
              <w:rPr>
                <w:highlight w:val="green"/>
              </w:rPr>
            </w:pPr>
            <w:r w:rsidRPr="00E24210">
              <w:t>35.4</w:t>
            </w:r>
          </w:p>
        </w:tc>
      </w:tr>
      <w:tr w:rsidR="005B131E" w:rsidRPr="00BA7805" w14:paraId="36DC5B0D"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3BB8E84C" w14:textId="77777777" w:rsidR="005B131E" w:rsidRPr="00BA7805" w:rsidRDefault="005B131E" w:rsidP="002542E1">
            <w:pPr>
              <w:pStyle w:val="ARfintablebody8pt"/>
              <w:rPr>
                <w:sz w:val="15"/>
                <w:highlight w:val="green"/>
              </w:rPr>
            </w:pPr>
            <w:r w:rsidRPr="00D5739B">
              <w:t xml:space="preserve">Appropriations </w:t>
            </w:r>
            <w:r>
              <w:t>–</w:t>
            </w:r>
            <w:r w:rsidRPr="00D5739B">
              <w:t xml:space="preserve"> payments made on behalf of the</w:t>
            </w:r>
            <w:r>
              <w:t> </w:t>
            </w:r>
            <w:r w:rsidRPr="00D5739B">
              <w:t>state</w:t>
            </w:r>
          </w:p>
        </w:tc>
        <w:tc>
          <w:tcPr>
            <w:tcW w:w="672" w:type="dxa"/>
            <w:tcBorders>
              <w:top w:val="single" w:sz="4" w:space="0" w:color="BFBFBF" w:themeColor="background1" w:themeShade="BF"/>
              <w:bottom w:val="single" w:sz="4" w:space="0" w:color="BFBFBF" w:themeColor="background1" w:themeShade="BF"/>
            </w:tcBorders>
            <w:noWrap/>
          </w:tcPr>
          <w:p w14:paraId="3FB48406" w14:textId="77777777" w:rsidR="005B131E" w:rsidRPr="00BA7805" w:rsidRDefault="005B131E" w:rsidP="002542E1">
            <w:pPr>
              <w:pStyle w:val="ARfintablebodyright8pt"/>
              <w:rPr>
                <w:highlight w:val="green"/>
              </w:rPr>
            </w:pPr>
            <w:r w:rsidRPr="00E24210">
              <w:t>71.5</w:t>
            </w:r>
          </w:p>
        </w:tc>
        <w:tc>
          <w:tcPr>
            <w:tcW w:w="672" w:type="dxa"/>
            <w:tcBorders>
              <w:top w:val="single" w:sz="4" w:space="0" w:color="BFBFBF" w:themeColor="background1" w:themeShade="BF"/>
              <w:bottom w:val="single" w:sz="4" w:space="0" w:color="BFBFBF" w:themeColor="background1" w:themeShade="BF"/>
            </w:tcBorders>
            <w:noWrap/>
          </w:tcPr>
          <w:p w14:paraId="0B39C0E9"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41AA5F3F"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4014BAFE"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76568A92"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10EFD3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7163D9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B46A73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08AF55A"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2DF352E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ABFBC7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8ADC73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DC08CB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EE2BBAA" w14:textId="77777777" w:rsidR="005B131E" w:rsidRPr="00BA7805" w:rsidRDefault="005B131E" w:rsidP="002542E1">
            <w:pPr>
              <w:pStyle w:val="ARfintablebodyright8pt"/>
              <w:rPr>
                <w:highlight w:val="green"/>
              </w:rPr>
            </w:pPr>
            <w:r w:rsidRPr="00E24210">
              <w:t>2,615.2</w:t>
            </w:r>
          </w:p>
        </w:tc>
        <w:tc>
          <w:tcPr>
            <w:tcW w:w="674" w:type="dxa"/>
            <w:tcBorders>
              <w:top w:val="single" w:sz="4" w:space="0" w:color="BFBFBF" w:themeColor="background1" w:themeShade="BF"/>
              <w:bottom w:val="single" w:sz="4" w:space="0" w:color="BFBFBF" w:themeColor="background1" w:themeShade="BF"/>
            </w:tcBorders>
            <w:noWrap/>
          </w:tcPr>
          <w:p w14:paraId="5B4666A3" w14:textId="77777777" w:rsidR="005B131E" w:rsidRPr="00BA7805" w:rsidRDefault="005B131E" w:rsidP="002542E1">
            <w:pPr>
              <w:pStyle w:val="ARfintablebodyright8pt"/>
              <w:rPr>
                <w:highlight w:val="green"/>
              </w:rPr>
            </w:pPr>
            <w:r w:rsidRPr="00E24210">
              <w:t>2,686.7</w:t>
            </w:r>
          </w:p>
        </w:tc>
      </w:tr>
      <w:tr w:rsidR="005B131E" w:rsidRPr="00BA7805" w14:paraId="28B209A1"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3E9DC16A" w14:textId="77777777" w:rsidR="005B131E" w:rsidRPr="00BA7805" w:rsidRDefault="005B131E" w:rsidP="002542E1">
            <w:pPr>
              <w:pStyle w:val="ARfintablebody8pt"/>
              <w:rPr>
                <w:sz w:val="15"/>
                <w:highlight w:val="green"/>
              </w:rPr>
            </w:pPr>
            <w:r w:rsidRPr="00D5739B">
              <w:t xml:space="preserve">Grants </w:t>
            </w:r>
            <w:r w:rsidRPr="008C4181">
              <w:rPr>
                <w:vertAlign w:val="superscript"/>
              </w:rPr>
              <w:t>(iii)</w:t>
            </w:r>
          </w:p>
        </w:tc>
        <w:tc>
          <w:tcPr>
            <w:tcW w:w="672" w:type="dxa"/>
            <w:tcBorders>
              <w:top w:val="single" w:sz="4" w:space="0" w:color="BFBFBF" w:themeColor="background1" w:themeShade="BF"/>
              <w:bottom w:val="single" w:sz="4" w:space="0" w:color="BFBFBF" w:themeColor="background1" w:themeShade="BF"/>
            </w:tcBorders>
            <w:noWrap/>
          </w:tcPr>
          <w:p w14:paraId="4511C21E" w14:textId="77777777" w:rsidR="005B131E" w:rsidRPr="00BA7805" w:rsidRDefault="005B131E" w:rsidP="002542E1">
            <w:pPr>
              <w:pStyle w:val="ARfintablebodyright8pt"/>
              <w:rPr>
                <w:highlight w:val="green"/>
              </w:rPr>
            </w:pPr>
            <w:r w:rsidRPr="00E24210">
              <w:t>18.2</w:t>
            </w:r>
          </w:p>
        </w:tc>
        <w:tc>
          <w:tcPr>
            <w:tcW w:w="672" w:type="dxa"/>
            <w:tcBorders>
              <w:top w:val="single" w:sz="4" w:space="0" w:color="BFBFBF" w:themeColor="background1" w:themeShade="BF"/>
              <w:bottom w:val="single" w:sz="4" w:space="0" w:color="BFBFBF" w:themeColor="background1" w:themeShade="BF"/>
            </w:tcBorders>
            <w:noWrap/>
          </w:tcPr>
          <w:p w14:paraId="5550E518" w14:textId="77777777" w:rsidR="005B131E" w:rsidRPr="00BA7805" w:rsidRDefault="005B131E" w:rsidP="002542E1">
            <w:pPr>
              <w:pStyle w:val="ARfintablebodyright8pt"/>
              <w:rPr>
                <w:highlight w:val="green"/>
              </w:rPr>
            </w:pPr>
            <w:r w:rsidRPr="00E24210">
              <w:t>4.3</w:t>
            </w:r>
          </w:p>
        </w:tc>
        <w:tc>
          <w:tcPr>
            <w:tcW w:w="672" w:type="dxa"/>
            <w:tcBorders>
              <w:top w:val="single" w:sz="4" w:space="0" w:color="BFBFBF" w:themeColor="background1" w:themeShade="BF"/>
              <w:bottom w:val="single" w:sz="4" w:space="0" w:color="BFBFBF" w:themeColor="background1" w:themeShade="BF"/>
            </w:tcBorders>
            <w:noWrap/>
          </w:tcPr>
          <w:p w14:paraId="1B71AEA6" w14:textId="77777777" w:rsidR="005B131E" w:rsidRPr="00BA7805" w:rsidRDefault="005B131E" w:rsidP="002542E1">
            <w:pPr>
              <w:pStyle w:val="ARfintablebodyright8pt"/>
              <w:rPr>
                <w:highlight w:val="green"/>
              </w:rPr>
            </w:pPr>
            <w:r w:rsidRPr="00E24210">
              <w:t>31.7</w:t>
            </w:r>
          </w:p>
        </w:tc>
        <w:tc>
          <w:tcPr>
            <w:tcW w:w="672" w:type="dxa"/>
            <w:tcBorders>
              <w:top w:val="single" w:sz="4" w:space="0" w:color="BFBFBF" w:themeColor="background1" w:themeShade="BF"/>
              <w:bottom w:val="single" w:sz="4" w:space="0" w:color="BFBFBF" w:themeColor="background1" w:themeShade="BF"/>
            </w:tcBorders>
            <w:noWrap/>
          </w:tcPr>
          <w:p w14:paraId="7345E37A"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5B34C2F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228837B"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748C1E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D447C6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7669846"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5EC8946"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E5B2616"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29D0E3C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DBFDFBA"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4F6BB82"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BFBFBF" w:themeColor="background1" w:themeShade="BF"/>
            </w:tcBorders>
            <w:noWrap/>
          </w:tcPr>
          <w:p w14:paraId="18845B5F" w14:textId="77777777" w:rsidR="005B131E" w:rsidRPr="00BA7805" w:rsidRDefault="005B131E" w:rsidP="002542E1">
            <w:pPr>
              <w:pStyle w:val="ARfintablebodyright8pt"/>
              <w:rPr>
                <w:highlight w:val="green"/>
              </w:rPr>
            </w:pPr>
            <w:r w:rsidRPr="00E24210">
              <w:t>54.1</w:t>
            </w:r>
          </w:p>
        </w:tc>
      </w:tr>
      <w:tr w:rsidR="005B131E" w:rsidRPr="00BA7805" w14:paraId="43A975DC" w14:textId="77777777" w:rsidTr="002542E1">
        <w:trPr>
          <w:cantSplit w:val="0"/>
        </w:trPr>
        <w:tc>
          <w:tcPr>
            <w:tcW w:w="3618" w:type="dxa"/>
            <w:tcBorders>
              <w:top w:val="single" w:sz="4" w:space="0" w:color="BFBFBF" w:themeColor="background1" w:themeShade="BF"/>
              <w:bottom w:val="single" w:sz="4" w:space="0" w:color="000000" w:themeColor="text1"/>
            </w:tcBorders>
          </w:tcPr>
          <w:p w14:paraId="51282F38" w14:textId="77777777" w:rsidR="005B131E" w:rsidRPr="00BA7805" w:rsidRDefault="005B131E" w:rsidP="002542E1">
            <w:pPr>
              <w:pStyle w:val="ARfintablebody8pt"/>
              <w:rPr>
                <w:sz w:val="15"/>
                <w:highlight w:val="green"/>
              </w:rPr>
            </w:pPr>
            <w:r w:rsidRPr="00D5739B">
              <w:t>Other</w:t>
            </w:r>
          </w:p>
        </w:tc>
        <w:tc>
          <w:tcPr>
            <w:tcW w:w="672" w:type="dxa"/>
            <w:tcBorders>
              <w:top w:val="single" w:sz="4" w:space="0" w:color="BFBFBF" w:themeColor="background1" w:themeShade="BF"/>
              <w:bottom w:val="single" w:sz="4" w:space="0" w:color="000000" w:themeColor="text1"/>
            </w:tcBorders>
            <w:noWrap/>
          </w:tcPr>
          <w:p w14:paraId="0DA846FF" w14:textId="77777777" w:rsidR="005B131E" w:rsidRPr="00BA7805" w:rsidRDefault="005B131E" w:rsidP="002542E1">
            <w:pPr>
              <w:pStyle w:val="ARfintablebodyright8pt"/>
              <w:rPr>
                <w:highlight w:val="green"/>
              </w:rPr>
            </w:pPr>
            <w:r w:rsidRPr="00E24210">
              <w:t>(0.1)</w:t>
            </w:r>
          </w:p>
        </w:tc>
        <w:tc>
          <w:tcPr>
            <w:tcW w:w="672" w:type="dxa"/>
            <w:tcBorders>
              <w:top w:val="single" w:sz="4" w:space="0" w:color="BFBFBF" w:themeColor="background1" w:themeShade="BF"/>
              <w:bottom w:val="single" w:sz="4" w:space="0" w:color="000000" w:themeColor="text1"/>
            </w:tcBorders>
            <w:noWrap/>
          </w:tcPr>
          <w:p w14:paraId="0BB85B57" w14:textId="77777777" w:rsidR="005B131E" w:rsidRPr="00BA7805" w:rsidRDefault="005B131E" w:rsidP="002542E1">
            <w:pPr>
              <w:pStyle w:val="ARfintablebodyright8pt"/>
              <w:rPr>
                <w:highlight w:val="green"/>
              </w:rPr>
            </w:pPr>
            <w:r w:rsidRPr="00E24210">
              <w:t>(0.6)</w:t>
            </w:r>
          </w:p>
        </w:tc>
        <w:tc>
          <w:tcPr>
            <w:tcW w:w="672" w:type="dxa"/>
            <w:tcBorders>
              <w:top w:val="single" w:sz="4" w:space="0" w:color="BFBFBF" w:themeColor="background1" w:themeShade="BF"/>
              <w:bottom w:val="single" w:sz="4" w:space="0" w:color="000000" w:themeColor="text1"/>
            </w:tcBorders>
            <w:noWrap/>
          </w:tcPr>
          <w:p w14:paraId="3A94BCA6"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7715EDF0"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1F5614E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446C1651"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01A0F0B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163EE39D" w14:textId="77777777" w:rsidR="005B131E" w:rsidRPr="00BA7805" w:rsidRDefault="005B131E" w:rsidP="002542E1">
            <w:pPr>
              <w:pStyle w:val="ARfintablebodyright8pt"/>
              <w:rPr>
                <w:highlight w:val="green"/>
              </w:rPr>
            </w:pPr>
            <w:r w:rsidRPr="00E24210">
              <w:t>(0.1)</w:t>
            </w:r>
          </w:p>
        </w:tc>
        <w:tc>
          <w:tcPr>
            <w:tcW w:w="673" w:type="dxa"/>
            <w:tcBorders>
              <w:top w:val="single" w:sz="4" w:space="0" w:color="BFBFBF" w:themeColor="background1" w:themeShade="BF"/>
              <w:bottom w:val="single" w:sz="4" w:space="0" w:color="000000" w:themeColor="text1"/>
            </w:tcBorders>
            <w:noWrap/>
          </w:tcPr>
          <w:p w14:paraId="05AEB6B0"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1AA322D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F7C6A5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6308275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4ADB135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5181FAC6"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000000" w:themeColor="text1"/>
            </w:tcBorders>
            <w:noWrap/>
          </w:tcPr>
          <w:p w14:paraId="027E55AD" w14:textId="77777777" w:rsidR="005B131E" w:rsidRPr="00BA7805" w:rsidRDefault="005B131E" w:rsidP="002542E1">
            <w:pPr>
              <w:pStyle w:val="ARfintablebodyright8pt"/>
              <w:rPr>
                <w:highlight w:val="green"/>
              </w:rPr>
            </w:pPr>
            <w:r w:rsidRPr="00E24210">
              <w:t>(0.7)</w:t>
            </w:r>
          </w:p>
        </w:tc>
      </w:tr>
      <w:tr w:rsidR="005B131E" w:rsidRPr="00BA7805" w14:paraId="78F87017" w14:textId="77777777" w:rsidTr="002542E1">
        <w:trPr>
          <w:cantSplit w:val="0"/>
        </w:trPr>
        <w:tc>
          <w:tcPr>
            <w:tcW w:w="3618" w:type="dxa"/>
            <w:tcBorders>
              <w:top w:val="single" w:sz="4" w:space="0" w:color="000000" w:themeColor="text1"/>
              <w:bottom w:val="single" w:sz="4" w:space="0" w:color="000000" w:themeColor="text1"/>
            </w:tcBorders>
          </w:tcPr>
          <w:p w14:paraId="571B529D" w14:textId="77777777" w:rsidR="005B131E" w:rsidRPr="00BA7805" w:rsidRDefault="005B131E" w:rsidP="002542E1">
            <w:pPr>
              <w:pStyle w:val="ARfintablebodybold8pt"/>
              <w:rPr>
                <w:sz w:val="15"/>
                <w:highlight w:val="green"/>
              </w:rPr>
            </w:pPr>
            <w:r w:rsidRPr="00D5739B">
              <w:t>Total administered revenue and income from</w:t>
            </w:r>
            <w:r>
              <w:t> </w:t>
            </w:r>
            <w:r w:rsidRPr="00D5739B">
              <w:t>transactions</w:t>
            </w:r>
          </w:p>
        </w:tc>
        <w:tc>
          <w:tcPr>
            <w:tcW w:w="672" w:type="dxa"/>
            <w:tcBorders>
              <w:top w:val="single" w:sz="4" w:space="0" w:color="000000" w:themeColor="text1"/>
              <w:bottom w:val="single" w:sz="4" w:space="0" w:color="000000" w:themeColor="text1"/>
            </w:tcBorders>
            <w:noWrap/>
          </w:tcPr>
          <w:p w14:paraId="4E3D2BC6" w14:textId="77777777" w:rsidR="005B131E" w:rsidRPr="00BA7805" w:rsidRDefault="005B131E" w:rsidP="002542E1">
            <w:pPr>
              <w:pStyle w:val="ARfintablebodyrightbold8pt"/>
              <w:rPr>
                <w:highlight w:val="green"/>
              </w:rPr>
            </w:pPr>
            <w:r w:rsidRPr="00E24210">
              <w:t>124.4</w:t>
            </w:r>
          </w:p>
        </w:tc>
        <w:tc>
          <w:tcPr>
            <w:tcW w:w="672" w:type="dxa"/>
            <w:tcBorders>
              <w:top w:val="single" w:sz="4" w:space="0" w:color="000000" w:themeColor="text1"/>
              <w:bottom w:val="single" w:sz="4" w:space="0" w:color="000000" w:themeColor="text1"/>
            </w:tcBorders>
            <w:noWrap/>
          </w:tcPr>
          <w:p w14:paraId="1BC5237F" w14:textId="77777777" w:rsidR="005B131E" w:rsidRPr="00BA7805" w:rsidRDefault="005B131E" w:rsidP="002542E1">
            <w:pPr>
              <w:pStyle w:val="ARfintablebodyrightbold8pt"/>
              <w:rPr>
                <w:highlight w:val="green"/>
              </w:rPr>
            </w:pPr>
            <w:r w:rsidRPr="00E24210">
              <w:t>5.5</w:t>
            </w:r>
          </w:p>
        </w:tc>
        <w:tc>
          <w:tcPr>
            <w:tcW w:w="672" w:type="dxa"/>
            <w:tcBorders>
              <w:top w:val="single" w:sz="4" w:space="0" w:color="000000" w:themeColor="text1"/>
              <w:bottom w:val="single" w:sz="4" w:space="0" w:color="000000" w:themeColor="text1"/>
            </w:tcBorders>
            <w:noWrap/>
          </w:tcPr>
          <w:p w14:paraId="74EF8D6F" w14:textId="77777777" w:rsidR="005B131E" w:rsidRPr="00BA7805" w:rsidRDefault="005B131E" w:rsidP="002542E1">
            <w:pPr>
              <w:pStyle w:val="ARfintablebodyrightbold8pt"/>
              <w:rPr>
                <w:highlight w:val="green"/>
              </w:rPr>
            </w:pPr>
            <w:r w:rsidRPr="00E24210">
              <w:t>31.7</w:t>
            </w:r>
          </w:p>
        </w:tc>
        <w:tc>
          <w:tcPr>
            <w:tcW w:w="672" w:type="dxa"/>
            <w:tcBorders>
              <w:top w:val="single" w:sz="4" w:space="0" w:color="000000" w:themeColor="text1"/>
              <w:bottom w:val="single" w:sz="4" w:space="0" w:color="000000" w:themeColor="text1"/>
            </w:tcBorders>
            <w:noWrap/>
          </w:tcPr>
          <w:p w14:paraId="2511D469" w14:textId="77777777" w:rsidR="005B131E" w:rsidRPr="00BA7805" w:rsidRDefault="005B131E" w:rsidP="002542E1">
            <w:pPr>
              <w:pStyle w:val="ARfintablebodyrightbold8pt"/>
              <w:rPr>
                <w:highlight w:val="green"/>
              </w:rPr>
            </w:pPr>
            <w:r>
              <w:t>–</w:t>
            </w:r>
          </w:p>
        </w:tc>
        <w:tc>
          <w:tcPr>
            <w:tcW w:w="672" w:type="dxa"/>
            <w:tcBorders>
              <w:top w:val="single" w:sz="4" w:space="0" w:color="000000" w:themeColor="text1"/>
              <w:bottom w:val="single" w:sz="4" w:space="0" w:color="000000" w:themeColor="text1"/>
            </w:tcBorders>
            <w:noWrap/>
          </w:tcPr>
          <w:p w14:paraId="380E8800"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20844942" w14:textId="77777777" w:rsidR="005B131E" w:rsidRPr="00BA7805" w:rsidRDefault="005B131E" w:rsidP="002542E1">
            <w:pPr>
              <w:pStyle w:val="ARfintablebodyrightbold8pt"/>
              <w:rPr>
                <w:highlight w:val="green"/>
              </w:rPr>
            </w:pPr>
            <w:r w:rsidRPr="00E24210">
              <w:t>0.7</w:t>
            </w:r>
          </w:p>
        </w:tc>
        <w:tc>
          <w:tcPr>
            <w:tcW w:w="673" w:type="dxa"/>
            <w:tcBorders>
              <w:top w:val="single" w:sz="4" w:space="0" w:color="000000" w:themeColor="text1"/>
              <w:bottom w:val="single" w:sz="4" w:space="0" w:color="000000" w:themeColor="text1"/>
            </w:tcBorders>
            <w:noWrap/>
          </w:tcPr>
          <w:p w14:paraId="0DFB39FA"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79EBECDB" w14:textId="77777777" w:rsidR="005B131E" w:rsidRPr="00BA7805" w:rsidRDefault="005B131E" w:rsidP="002542E1">
            <w:pPr>
              <w:pStyle w:val="ARfintablebodyrightbold8pt"/>
              <w:rPr>
                <w:highlight w:val="green"/>
              </w:rPr>
            </w:pPr>
            <w:r w:rsidRPr="00E24210">
              <w:t>(0.1)</w:t>
            </w:r>
          </w:p>
        </w:tc>
        <w:tc>
          <w:tcPr>
            <w:tcW w:w="673" w:type="dxa"/>
            <w:tcBorders>
              <w:top w:val="single" w:sz="4" w:space="0" w:color="000000" w:themeColor="text1"/>
              <w:bottom w:val="single" w:sz="4" w:space="0" w:color="000000" w:themeColor="text1"/>
            </w:tcBorders>
            <w:noWrap/>
          </w:tcPr>
          <w:p w14:paraId="6AEA80DF"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415ED9D5"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6ED78CBA"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5E3EBF4B"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283D86AD" w14:textId="77777777" w:rsidR="005B131E" w:rsidRPr="00BA7805" w:rsidRDefault="005B131E" w:rsidP="002542E1">
            <w:pPr>
              <w:pStyle w:val="ARfintablebodyrightbold8pt"/>
              <w:rPr>
                <w:highlight w:val="green"/>
              </w:rPr>
            </w:pPr>
            <w:r w:rsidRPr="00E24210">
              <w:t>1.2</w:t>
            </w:r>
          </w:p>
        </w:tc>
        <w:tc>
          <w:tcPr>
            <w:tcW w:w="673" w:type="dxa"/>
            <w:tcBorders>
              <w:top w:val="single" w:sz="4" w:space="0" w:color="000000" w:themeColor="text1"/>
              <w:bottom w:val="single" w:sz="4" w:space="0" w:color="000000" w:themeColor="text1"/>
            </w:tcBorders>
            <w:noWrap/>
          </w:tcPr>
          <w:p w14:paraId="5B6459F0" w14:textId="77777777" w:rsidR="005B131E" w:rsidRPr="00BA7805" w:rsidRDefault="005B131E" w:rsidP="002542E1">
            <w:pPr>
              <w:pStyle w:val="ARfintablebodyrightbold8pt"/>
              <w:rPr>
                <w:highlight w:val="green"/>
              </w:rPr>
            </w:pPr>
            <w:r w:rsidRPr="00E24210">
              <w:t>2,615.2</w:t>
            </w:r>
          </w:p>
        </w:tc>
        <w:tc>
          <w:tcPr>
            <w:tcW w:w="674" w:type="dxa"/>
            <w:tcBorders>
              <w:top w:val="single" w:sz="4" w:space="0" w:color="000000" w:themeColor="text1"/>
              <w:bottom w:val="single" w:sz="4" w:space="0" w:color="000000" w:themeColor="text1"/>
            </w:tcBorders>
            <w:noWrap/>
          </w:tcPr>
          <w:p w14:paraId="33DB23C8" w14:textId="77777777" w:rsidR="005B131E" w:rsidRPr="00BA7805" w:rsidRDefault="005B131E" w:rsidP="002542E1">
            <w:pPr>
              <w:pStyle w:val="ARfintablebodyrightbold8pt"/>
              <w:rPr>
                <w:highlight w:val="green"/>
              </w:rPr>
            </w:pPr>
            <w:r w:rsidRPr="00E24210">
              <w:t>2,778.5</w:t>
            </w:r>
          </w:p>
        </w:tc>
      </w:tr>
      <w:tr w:rsidR="005B131E" w:rsidRPr="00BA7805" w14:paraId="57FE0BBA" w14:textId="77777777" w:rsidTr="002542E1">
        <w:trPr>
          <w:cantSplit w:val="0"/>
        </w:trPr>
        <w:tc>
          <w:tcPr>
            <w:tcW w:w="13709" w:type="dxa"/>
            <w:gridSpan w:val="16"/>
            <w:tcBorders>
              <w:top w:val="single" w:sz="4" w:space="0" w:color="000000" w:themeColor="text1"/>
              <w:bottom w:val="single" w:sz="4" w:space="0" w:color="BFBFBF" w:themeColor="background1" w:themeShade="BF"/>
            </w:tcBorders>
          </w:tcPr>
          <w:p w14:paraId="6DF12AA6" w14:textId="77777777" w:rsidR="005B131E" w:rsidRPr="00BA7805" w:rsidRDefault="005B131E" w:rsidP="002542E1">
            <w:pPr>
              <w:pStyle w:val="ARfintablebodybold8pt"/>
              <w:rPr>
                <w:sz w:val="15"/>
                <w:szCs w:val="15"/>
                <w:highlight w:val="green"/>
              </w:rPr>
            </w:pPr>
            <w:r w:rsidRPr="00D5739B">
              <w:t>Administered expenses from transactions</w:t>
            </w:r>
          </w:p>
        </w:tc>
      </w:tr>
      <w:tr w:rsidR="005B131E" w:rsidRPr="00BA7805" w14:paraId="2B118D60"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4814CE4A" w14:textId="77777777" w:rsidR="005B131E" w:rsidRPr="00BA7805" w:rsidRDefault="005B131E" w:rsidP="002542E1">
            <w:pPr>
              <w:pStyle w:val="ARfintablebody8pt"/>
              <w:rPr>
                <w:sz w:val="15"/>
                <w:highlight w:val="green"/>
              </w:rPr>
            </w:pPr>
            <w:r w:rsidRPr="00D5739B">
              <w:t xml:space="preserve">Grants and other expense transfers </w:t>
            </w:r>
            <w:r w:rsidRPr="008C4181">
              <w:rPr>
                <w:vertAlign w:val="superscript"/>
              </w:rPr>
              <w:t>(iv)</w:t>
            </w:r>
          </w:p>
        </w:tc>
        <w:tc>
          <w:tcPr>
            <w:tcW w:w="672" w:type="dxa"/>
            <w:tcBorders>
              <w:top w:val="single" w:sz="4" w:space="0" w:color="BFBFBF" w:themeColor="background1" w:themeShade="BF"/>
              <w:bottom w:val="single" w:sz="4" w:space="0" w:color="BFBFBF" w:themeColor="background1" w:themeShade="BF"/>
            </w:tcBorders>
            <w:noWrap/>
          </w:tcPr>
          <w:p w14:paraId="613AC00D" w14:textId="77777777" w:rsidR="005B131E" w:rsidRPr="00BA7805" w:rsidRDefault="005B131E" w:rsidP="002542E1">
            <w:pPr>
              <w:pStyle w:val="ARfintablebodyright8pt"/>
              <w:rPr>
                <w:highlight w:val="green"/>
              </w:rPr>
            </w:pPr>
            <w:r w:rsidRPr="00F834C0">
              <w:t>71.5</w:t>
            </w:r>
          </w:p>
        </w:tc>
        <w:tc>
          <w:tcPr>
            <w:tcW w:w="672" w:type="dxa"/>
            <w:tcBorders>
              <w:top w:val="single" w:sz="4" w:space="0" w:color="BFBFBF" w:themeColor="background1" w:themeShade="BF"/>
              <w:bottom w:val="single" w:sz="4" w:space="0" w:color="BFBFBF" w:themeColor="background1" w:themeShade="BF"/>
            </w:tcBorders>
            <w:noWrap/>
          </w:tcPr>
          <w:p w14:paraId="25E6A464" w14:textId="77777777" w:rsidR="005B131E" w:rsidRPr="00BA7805" w:rsidRDefault="005B131E" w:rsidP="002542E1">
            <w:pPr>
              <w:pStyle w:val="ARfintablebodyright8pt"/>
              <w:rPr>
                <w:highlight w:val="green"/>
              </w:rPr>
            </w:pPr>
            <w:r w:rsidRPr="00F834C0">
              <w:t>1.6</w:t>
            </w:r>
          </w:p>
        </w:tc>
        <w:tc>
          <w:tcPr>
            <w:tcW w:w="672" w:type="dxa"/>
            <w:tcBorders>
              <w:top w:val="single" w:sz="4" w:space="0" w:color="BFBFBF" w:themeColor="background1" w:themeShade="BF"/>
              <w:bottom w:val="single" w:sz="4" w:space="0" w:color="BFBFBF" w:themeColor="background1" w:themeShade="BF"/>
            </w:tcBorders>
            <w:noWrap/>
          </w:tcPr>
          <w:p w14:paraId="1C3D58DC" w14:textId="77777777" w:rsidR="005B131E" w:rsidRPr="00BA7805" w:rsidRDefault="005B131E" w:rsidP="002542E1">
            <w:pPr>
              <w:pStyle w:val="ARfintablebodyright8pt"/>
              <w:rPr>
                <w:highlight w:val="green"/>
              </w:rPr>
            </w:pPr>
            <w:r w:rsidRPr="00F834C0">
              <w:t>31.7</w:t>
            </w:r>
          </w:p>
        </w:tc>
        <w:tc>
          <w:tcPr>
            <w:tcW w:w="672" w:type="dxa"/>
            <w:tcBorders>
              <w:top w:val="single" w:sz="4" w:space="0" w:color="BFBFBF" w:themeColor="background1" w:themeShade="BF"/>
              <w:bottom w:val="single" w:sz="4" w:space="0" w:color="BFBFBF" w:themeColor="background1" w:themeShade="BF"/>
            </w:tcBorders>
            <w:noWrap/>
          </w:tcPr>
          <w:p w14:paraId="7886C32A"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64FA1AE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9E687C0" w14:textId="77777777" w:rsidR="005B131E" w:rsidRPr="00BA7805" w:rsidRDefault="005B131E" w:rsidP="002542E1">
            <w:pPr>
              <w:pStyle w:val="ARfintablebodyright8pt"/>
              <w:rPr>
                <w:highlight w:val="green"/>
              </w:rPr>
            </w:pPr>
            <w:r w:rsidRPr="00F834C0">
              <w:t>12.0</w:t>
            </w:r>
          </w:p>
        </w:tc>
        <w:tc>
          <w:tcPr>
            <w:tcW w:w="673" w:type="dxa"/>
            <w:tcBorders>
              <w:top w:val="single" w:sz="4" w:space="0" w:color="BFBFBF" w:themeColor="background1" w:themeShade="BF"/>
              <w:bottom w:val="single" w:sz="4" w:space="0" w:color="BFBFBF" w:themeColor="background1" w:themeShade="BF"/>
            </w:tcBorders>
            <w:noWrap/>
          </w:tcPr>
          <w:p w14:paraId="4BF2B24E"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8AF473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74B932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959CD6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52AFBF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D11B229"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AECB0E7"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254B57E0" w14:textId="77777777" w:rsidR="005B131E" w:rsidRPr="00BA7805" w:rsidRDefault="005B131E" w:rsidP="002542E1">
            <w:pPr>
              <w:pStyle w:val="ARfintablebodyright8pt"/>
              <w:rPr>
                <w:highlight w:val="green"/>
              </w:rPr>
            </w:pPr>
            <w:r w:rsidRPr="00F834C0">
              <w:t>2,603.2</w:t>
            </w:r>
          </w:p>
        </w:tc>
        <w:tc>
          <w:tcPr>
            <w:tcW w:w="674" w:type="dxa"/>
            <w:tcBorders>
              <w:top w:val="single" w:sz="4" w:space="0" w:color="BFBFBF" w:themeColor="background1" w:themeShade="BF"/>
              <w:bottom w:val="single" w:sz="4" w:space="0" w:color="BFBFBF" w:themeColor="background1" w:themeShade="BF"/>
            </w:tcBorders>
            <w:noWrap/>
          </w:tcPr>
          <w:p w14:paraId="5676EA90" w14:textId="77777777" w:rsidR="005B131E" w:rsidRPr="00BA7805" w:rsidRDefault="005B131E" w:rsidP="002542E1">
            <w:pPr>
              <w:pStyle w:val="ARfintablebodyright8pt"/>
              <w:rPr>
                <w:highlight w:val="green"/>
              </w:rPr>
            </w:pPr>
            <w:r w:rsidRPr="00F834C0">
              <w:t>2,720.1</w:t>
            </w:r>
          </w:p>
        </w:tc>
      </w:tr>
      <w:tr w:rsidR="005B131E" w:rsidRPr="00BA7805" w14:paraId="4F9A1263"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5B696767" w14:textId="77777777" w:rsidR="005B131E" w:rsidRPr="00BA7805" w:rsidRDefault="005B131E" w:rsidP="002542E1">
            <w:pPr>
              <w:pStyle w:val="ARfintablebody8pt"/>
              <w:rPr>
                <w:sz w:val="15"/>
                <w:highlight w:val="green"/>
              </w:rPr>
            </w:pPr>
            <w:r w:rsidRPr="00D5739B">
              <w:t>Employee benefits</w:t>
            </w:r>
          </w:p>
        </w:tc>
        <w:tc>
          <w:tcPr>
            <w:tcW w:w="672" w:type="dxa"/>
            <w:tcBorders>
              <w:top w:val="single" w:sz="4" w:space="0" w:color="BFBFBF" w:themeColor="background1" w:themeShade="BF"/>
              <w:bottom w:val="single" w:sz="4" w:space="0" w:color="BFBFBF" w:themeColor="background1" w:themeShade="BF"/>
            </w:tcBorders>
            <w:noWrap/>
          </w:tcPr>
          <w:p w14:paraId="75B0B7DA"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178A1372" w14:textId="77777777" w:rsidR="005B131E" w:rsidRPr="00BA7805" w:rsidRDefault="005B131E" w:rsidP="002542E1">
            <w:pPr>
              <w:pStyle w:val="ARfintablebodyright8pt"/>
              <w:rPr>
                <w:highlight w:val="green"/>
              </w:rPr>
            </w:pPr>
            <w:r w:rsidRPr="00F834C0">
              <w:t>0.1</w:t>
            </w:r>
          </w:p>
        </w:tc>
        <w:tc>
          <w:tcPr>
            <w:tcW w:w="672" w:type="dxa"/>
            <w:tcBorders>
              <w:top w:val="single" w:sz="4" w:space="0" w:color="BFBFBF" w:themeColor="background1" w:themeShade="BF"/>
              <w:bottom w:val="single" w:sz="4" w:space="0" w:color="BFBFBF" w:themeColor="background1" w:themeShade="BF"/>
            </w:tcBorders>
            <w:noWrap/>
          </w:tcPr>
          <w:p w14:paraId="2718A999"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782F1A5C"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42133C1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6F47A1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BFCD8B7"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E12B0D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E16B8B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8BA10F1"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5289EB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25D3F39"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2E4F53C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344D2274"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BFBFBF" w:themeColor="background1" w:themeShade="BF"/>
            </w:tcBorders>
            <w:noWrap/>
          </w:tcPr>
          <w:p w14:paraId="0E2F81FA" w14:textId="77777777" w:rsidR="005B131E" w:rsidRPr="00BA7805" w:rsidRDefault="005B131E" w:rsidP="002542E1">
            <w:pPr>
              <w:pStyle w:val="ARfintablebodyright8pt"/>
              <w:rPr>
                <w:highlight w:val="green"/>
              </w:rPr>
            </w:pPr>
            <w:r w:rsidRPr="00F834C0">
              <w:t>0.1</w:t>
            </w:r>
          </w:p>
        </w:tc>
      </w:tr>
      <w:tr w:rsidR="005B131E" w:rsidRPr="00BA7805" w14:paraId="31397F79"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64C02D24" w14:textId="77777777" w:rsidR="005B131E" w:rsidRPr="00BA7805" w:rsidRDefault="005B131E" w:rsidP="002542E1">
            <w:pPr>
              <w:pStyle w:val="ARfintablebody8pt"/>
              <w:rPr>
                <w:sz w:val="15"/>
                <w:highlight w:val="green"/>
              </w:rPr>
            </w:pPr>
            <w:r w:rsidRPr="00D5739B">
              <w:t>Other operating expenses</w:t>
            </w:r>
          </w:p>
        </w:tc>
        <w:tc>
          <w:tcPr>
            <w:tcW w:w="672" w:type="dxa"/>
            <w:tcBorders>
              <w:top w:val="single" w:sz="4" w:space="0" w:color="BFBFBF" w:themeColor="background1" w:themeShade="BF"/>
              <w:bottom w:val="single" w:sz="4" w:space="0" w:color="BFBFBF" w:themeColor="background1" w:themeShade="BF"/>
            </w:tcBorders>
            <w:noWrap/>
          </w:tcPr>
          <w:p w14:paraId="3B909B5D"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35A51E18" w14:textId="77777777" w:rsidR="005B131E" w:rsidRPr="00BA7805" w:rsidRDefault="005B131E" w:rsidP="002542E1">
            <w:pPr>
              <w:pStyle w:val="ARfintablebodyright8pt"/>
              <w:rPr>
                <w:highlight w:val="green"/>
              </w:rPr>
            </w:pPr>
            <w:r w:rsidRPr="00F834C0">
              <w:t>3.2</w:t>
            </w:r>
          </w:p>
        </w:tc>
        <w:tc>
          <w:tcPr>
            <w:tcW w:w="672" w:type="dxa"/>
            <w:tcBorders>
              <w:top w:val="single" w:sz="4" w:space="0" w:color="BFBFBF" w:themeColor="background1" w:themeShade="BF"/>
              <w:bottom w:val="single" w:sz="4" w:space="0" w:color="BFBFBF" w:themeColor="background1" w:themeShade="BF"/>
            </w:tcBorders>
            <w:noWrap/>
          </w:tcPr>
          <w:p w14:paraId="1A805A5C"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49173484"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1A46958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20E3334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732554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0FF3B2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A8CE1E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9C3C85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6EA8960"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2EA50FC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D5C02D8"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DE5C401"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BFBFBF" w:themeColor="background1" w:themeShade="BF"/>
            </w:tcBorders>
            <w:noWrap/>
          </w:tcPr>
          <w:p w14:paraId="129D224C" w14:textId="77777777" w:rsidR="005B131E" w:rsidRPr="00BA7805" w:rsidRDefault="005B131E" w:rsidP="002542E1">
            <w:pPr>
              <w:pStyle w:val="ARfintablebodyright8pt"/>
              <w:rPr>
                <w:highlight w:val="green"/>
              </w:rPr>
            </w:pPr>
            <w:r w:rsidRPr="00F834C0">
              <w:t>3.2</w:t>
            </w:r>
          </w:p>
        </w:tc>
      </w:tr>
      <w:tr w:rsidR="005B131E" w:rsidRPr="00BA7805" w14:paraId="70DB0098"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05DC11D6" w14:textId="77777777" w:rsidR="005B131E" w:rsidRPr="00BA7805" w:rsidRDefault="005B131E" w:rsidP="002542E1">
            <w:pPr>
              <w:pStyle w:val="ARfintablebody8pt"/>
              <w:rPr>
                <w:sz w:val="15"/>
                <w:highlight w:val="green"/>
              </w:rPr>
            </w:pPr>
            <w:r w:rsidRPr="00D5739B">
              <w:t>Payments into the consolidated fund</w:t>
            </w:r>
          </w:p>
        </w:tc>
        <w:tc>
          <w:tcPr>
            <w:tcW w:w="672" w:type="dxa"/>
            <w:tcBorders>
              <w:top w:val="single" w:sz="4" w:space="0" w:color="BFBFBF" w:themeColor="background1" w:themeShade="BF"/>
              <w:bottom w:val="single" w:sz="4" w:space="0" w:color="BFBFBF" w:themeColor="background1" w:themeShade="BF"/>
            </w:tcBorders>
            <w:noWrap/>
          </w:tcPr>
          <w:p w14:paraId="66A50027" w14:textId="77777777" w:rsidR="005B131E" w:rsidRPr="00BA7805" w:rsidRDefault="005B131E" w:rsidP="002542E1">
            <w:pPr>
              <w:pStyle w:val="ARfintablebodyright8pt"/>
              <w:rPr>
                <w:highlight w:val="green"/>
              </w:rPr>
            </w:pPr>
            <w:r w:rsidRPr="00F834C0">
              <w:t>58.2</w:t>
            </w:r>
          </w:p>
        </w:tc>
        <w:tc>
          <w:tcPr>
            <w:tcW w:w="672" w:type="dxa"/>
            <w:tcBorders>
              <w:top w:val="single" w:sz="4" w:space="0" w:color="BFBFBF" w:themeColor="background1" w:themeShade="BF"/>
              <w:bottom w:val="single" w:sz="4" w:space="0" w:color="BFBFBF" w:themeColor="background1" w:themeShade="BF"/>
            </w:tcBorders>
            <w:noWrap/>
          </w:tcPr>
          <w:p w14:paraId="6303C7F6" w14:textId="77777777" w:rsidR="005B131E" w:rsidRPr="00BA7805" w:rsidRDefault="005B131E" w:rsidP="002542E1">
            <w:pPr>
              <w:pStyle w:val="ARfintablebodyright8pt"/>
              <w:rPr>
                <w:highlight w:val="green"/>
              </w:rPr>
            </w:pPr>
            <w:r w:rsidRPr="00F834C0">
              <w:t>1.2</w:t>
            </w:r>
          </w:p>
        </w:tc>
        <w:tc>
          <w:tcPr>
            <w:tcW w:w="672" w:type="dxa"/>
            <w:tcBorders>
              <w:top w:val="single" w:sz="4" w:space="0" w:color="BFBFBF" w:themeColor="background1" w:themeShade="BF"/>
              <w:bottom w:val="single" w:sz="4" w:space="0" w:color="BFBFBF" w:themeColor="background1" w:themeShade="BF"/>
            </w:tcBorders>
            <w:noWrap/>
          </w:tcPr>
          <w:p w14:paraId="231B0282"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5E3BFC68"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3E4F110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A4DEF71" w14:textId="77777777" w:rsidR="005B131E" w:rsidRPr="00BA7805" w:rsidRDefault="005B131E" w:rsidP="002542E1">
            <w:pPr>
              <w:pStyle w:val="ARfintablebodyright8pt"/>
              <w:rPr>
                <w:highlight w:val="green"/>
              </w:rPr>
            </w:pPr>
            <w:r w:rsidRPr="00F834C0">
              <w:t>0.7</w:t>
            </w:r>
          </w:p>
        </w:tc>
        <w:tc>
          <w:tcPr>
            <w:tcW w:w="673" w:type="dxa"/>
            <w:tcBorders>
              <w:top w:val="single" w:sz="4" w:space="0" w:color="BFBFBF" w:themeColor="background1" w:themeShade="BF"/>
              <w:bottom w:val="single" w:sz="4" w:space="0" w:color="BFBFBF" w:themeColor="background1" w:themeShade="BF"/>
            </w:tcBorders>
            <w:noWrap/>
          </w:tcPr>
          <w:p w14:paraId="1AE7CC72"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99AF7C5" w14:textId="77777777" w:rsidR="005B131E" w:rsidRPr="00BA7805" w:rsidRDefault="005B131E" w:rsidP="002542E1">
            <w:pPr>
              <w:pStyle w:val="ARfintablebodyright8pt"/>
              <w:rPr>
                <w:highlight w:val="green"/>
              </w:rPr>
            </w:pPr>
            <w:r w:rsidRPr="00F834C0">
              <w:t>(0.1)</w:t>
            </w:r>
          </w:p>
        </w:tc>
        <w:tc>
          <w:tcPr>
            <w:tcW w:w="673" w:type="dxa"/>
            <w:tcBorders>
              <w:top w:val="single" w:sz="4" w:space="0" w:color="BFBFBF" w:themeColor="background1" w:themeShade="BF"/>
              <w:bottom w:val="single" w:sz="4" w:space="0" w:color="BFBFBF" w:themeColor="background1" w:themeShade="BF"/>
            </w:tcBorders>
            <w:noWrap/>
          </w:tcPr>
          <w:p w14:paraId="59202FE9"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2DAD456"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6010C726"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EB4E9D2"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D7B2881" w14:textId="77777777" w:rsidR="005B131E" w:rsidRPr="00BA7805" w:rsidRDefault="005B131E" w:rsidP="002542E1">
            <w:pPr>
              <w:pStyle w:val="ARfintablebodyright8pt"/>
              <w:rPr>
                <w:highlight w:val="green"/>
              </w:rPr>
            </w:pPr>
            <w:r w:rsidRPr="00F834C0">
              <w:t>1.2</w:t>
            </w:r>
          </w:p>
        </w:tc>
        <w:tc>
          <w:tcPr>
            <w:tcW w:w="673" w:type="dxa"/>
            <w:tcBorders>
              <w:top w:val="single" w:sz="4" w:space="0" w:color="BFBFBF" w:themeColor="background1" w:themeShade="BF"/>
              <w:bottom w:val="single" w:sz="4" w:space="0" w:color="BFBFBF" w:themeColor="background1" w:themeShade="BF"/>
            </w:tcBorders>
            <w:noWrap/>
          </w:tcPr>
          <w:p w14:paraId="78CDC995" w14:textId="77777777" w:rsidR="005B131E" w:rsidRPr="00BA7805" w:rsidRDefault="005B131E" w:rsidP="002542E1">
            <w:pPr>
              <w:pStyle w:val="ARfintablebodyright8pt"/>
              <w:rPr>
                <w:highlight w:val="green"/>
              </w:rPr>
            </w:pPr>
            <w:r w:rsidRPr="00F834C0">
              <w:t>93.4</w:t>
            </w:r>
          </w:p>
        </w:tc>
        <w:tc>
          <w:tcPr>
            <w:tcW w:w="674" w:type="dxa"/>
            <w:tcBorders>
              <w:top w:val="single" w:sz="4" w:space="0" w:color="BFBFBF" w:themeColor="background1" w:themeShade="BF"/>
              <w:bottom w:val="single" w:sz="4" w:space="0" w:color="BFBFBF" w:themeColor="background1" w:themeShade="BF"/>
            </w:tcBorders>
            <w:noWrap/>
          </w:tcPr>
          <w:p w14:paraId="09BB488D" w14:textId="77777777" w:rsidR="005B131E" w:rsidRPr="00BA7805" w:rsidRDefault="005B131E" w:rsidP="002542E1">
            <w:pPr>
              <w:pStyle w:val="ARfintablebodyright8pt"/>
              <w:rPr>
                <w:highlight w:val="green"/>
              </w:rPr>
            </w:pPr>
            <w:r w:rsidRPr="00F834C0">
              <w:t>154.5</w:t>
            </w:r>
          </w:p>
        </w:tc>
      </w:tr>
      <w:tr w:rsidR="005B131E" w:rsidRPr="00BA7805" w14:paraId="02C9DB50" w14:textId="77777777" w:rsidTr="002542E1">
        <w:trPr>
          <w:cantSplit w:val="0"/>
        </w:trPr>
        <w:tc>
          <w:tcPr>
            <w:tcW w:w="3618" w:type="dxa"/>
            <w:tcBorders>
              <w:top w:val="single" w:sz="4" w:space="0" w:color="BFBFBF" w:themeColor="background1" w:themeShade="BF"/>
              <w:bottom w:val="single" w:sz="4" w:space="0" w:color="000000" w:themeColor="text1"/>
            </w:tcBorders>
          </w:tcPr>
          <w:p w14:paraId="1CB2A9FA" w14:textId="77777777" w:rsidR="005B131E" w:rsidRPr="00BA7805" w:rsidRDefault="005B131E" w:rsidP="002542E1">
            <w:pPr>
              <w:pStyle w:val="ARfintablebody8pt"/>
              <w:rPr>
                <w:sz w:val="15"/>
                <w:highlight w:val="green"/>
              </w:rPr>
            </w:pPr>
            <w:r w:rsidRPr="00D5739B">
              <w:t>Fair value of assets and services provided free of</w:t>
            </w:r>
            <w:r>
              <w:t> </w:t>
            </w:r>
            <w:r w:rsidRPr="00D5739B">
              <w:t>charge or for nominal consideration</w:t>
            </w:r>
          </w:p>
        </w:tc>
        <w:tc>
          <w:tcPr>
            <w:tcW w:w="672" w:type="dxa"/>
            <w:tcBorders>
              <w:top w:val="single" w:sz="4" w:space="0" w:color="BFBFBF" w:themeColor="background1" w:themeShade="BF"/>
              <w:bottom w:val="single" w:sz="4" w:space="0" w:color="000000" w:themeColor="text1"/>
            </w:tcBorders>
            <w:noWrap/>
          </w:tcPr>
          <w:p w14:paraId="0D2F9EE2"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76EF0D61"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4BE134CE"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19B39256"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1901BC5F"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2A434CB"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208A3700"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16CBA29"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32EBBD1"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62E823C1"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EB0936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5714C78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5336E3C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BCE08EF"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000000" w:themeColor="text1"/>
            </w:tcBorders>
            <w:noWrap/>
          </w:tcPr>
          <w:p w14:paraId="2A39B462" w14:textId="77777777" w:rsidR="005B131E" w:rsidRPr="00BA7805" w:rsidRDefault="005B131E" w:rsidP="002542E1">
            <w:pPr>
              <w:pStyle w:val="ARfintablebodyright8pt"/>
              <w:rPr>
                <w:highlight w:val="green"/>
              </w:rPr>
            </w:pPr>
            <w:r>
              <w:t>–</w:t>
            </w:r>
          </w:p>
        </w:tc>
      </w:tr>
      <w:tr w:rsidR="005B131E" w:rsidRPr="00BA7805" w14:paraId="52E469D4" w14:textId="77777777" w:rsidTr="002542E1">
        <w:trPr>
          <w:cantSplit w:val="0"/>
        </w:trPr>
        <w:tc>
          <w:tcPr>
            <w:tcW w:w="3618" w:type="dxa"/>
            <w:tcBorders>
              <w:top w:val="single" w:sz="4" w:space="0" w:color="000000" w:themeColor="text1"/>
              <w:bottom w:val="single" w:sz="4" w:space="0" w:color="000000" w:themeColor="text1"/>
            </w:tcBorders>
          </w:tcPr>
          <w:p w14:paraId="14EF3906" w14:textId="77777777" w:rsidR="005B131E" w:rsidRPr="00BA7805" w:rsidRDefault="005B131E" w:rsidP="002542E1">
            <w:pPr>
              <w:pStyle w:val="ARfintablebodybold8pt"/>
              <w:rPr>
                <w:sz w:val="15"/>
                <w:highlight w:val="green"/>
              </w:rPr>
            </w:pPr>
            <w:r w:rsidRPr="00D5739B">
              <w:t>Total administered expenses from transactions</w:t>
            </w:r>
          </w:p>
        </w:tc>
        <w:tc>
          <w:tcPr>
            <w:tcW w:w="672" w:type="dxa"/>
            <w:tcBorders>
              <w:top w:val="single" w:sz="4" w:space="0" w:color="000000" w:themeColor="text1"/>
              <w:bottom w:val="single" w:sz="4" w:space="0" w:color="000000" w:themeColor="text1"/>
            </w:tcBorders>
            <w:noWrap/>
          </w:tcPr>
          <w:p w14:paraId="386B4E0F" w14:textId="77777777" w:rsidR="005B131E" w:rsidRPr="00BA7805" w:rsidRDefault="005B131E" w:rsidP="002542E1">
            <w:pPr>
              <w:pStyle w:val="ARfintablebodyrightbold8pt"/>
              <w:rPr>
                <w:highlight w:val="green"/>
              </w:rPr>
            </w:pPr>
            <w:r w:rsidRPr="00F834C0">
              <w:t>129.7</w:t>
            </w:r>
          </w:p>
        </w:tc>
        <w:tc>
          <w:tcPr>
            <w:tcW w:w="672" w:type="dxa"/>
            <w:tcBorders>
              <w:top w:val="single" w:sz="4" w:space="0" w:color="000000" w:themeColor="text1"/>
              <w:bottom w:val="single" w:sz="4" w:space="0" w:color="000000" w:themeColor="text1"/>
            </w:tcBorders>
            <w:noWrap/>
          </w:tcPr>
          <w:p w14:paraId="079E6CBF" w14:textId="77777777" w:rsidR="005B131E" w:rsidRPr="00BA7805" w:rsidRDefault="005B131E" w:rsidP="002542E1">
            <w:pPr>
              <w:pStyle w:val="ARfintablebodyrightbold8pt"/>
              <w:rPr>
                <w:highlight w:val="green"/>
              </w:rPr>
            </w:pPr>
            <w:r w:rsidRPr="00F834C0">
              <w:t>6.0</w:t>
            </w:r>
          </w:p>
        </w:tc>
        <w:tc>
          <w:tcPr>
            <w:tcW w:w="672" w:type="dxa"/>
            <w:tcBorders>
              <w:top w:val="single" w:sz="4" w:space="0" w:color="000000" w:themeColor="text1"/>
              <w:bottom w:val="single" w:sz="4" w:space="0" w:color="000000" w:themeColor="text1"/>
            </w:tcBorders>
            <w:noWrap/>
          </w:tcPr>
          <w:p w14:paraId="63BE7FF3" w14:textId="77777777" w:rsidR="005B131E" w:rsidRPr="00BA7805" w:rsidRDefault="005B131E" w:rsidP="002542E1">
            <w:pPr>
              <w:pStyle w:val="ARfintablebodyrightbold8pt"/>
              <w:rPr>
                <w:highlight w:val="green"/>
              </w:rPr>
            </w:pPr>
            <w:r w:rsidRPr="00F834C0">
              <w:t>31.7</w:t>
            </w:r>
          </w:p>
        </w:tc>
        <w:tc>
          <w:tcPr>
            <w:tcW w:w="672" w:type="dxa"/>
            <w:tcBorders>
              <w:top w:val="single" w:sz="4" w:space="0" w:color="000000" w:themeColor="text1"/>
              <w:bottom w:val="single" w:sz="4" w:space="0" w:color="000000" w:themeColor="text1"/>
            </w:tcBorders>
            <w:noWrap/>
          </w:tcPr>
          <w:p w14:paraId="1E3F7FB2" w14:textId="77777777" w:rsidR="005B131E" w:rsidRPr="00BA7805" w:rsidRDefault="005B131E" w:rsidP="002542E1">
            <w:pPr>
              <w:pStyle w:val="ARfintablebodyrightbold8pt"/>
              <w:rPr>
                <w:highlight w:val="green"/>
              </w:rPr>
            </w:pPr>
            <w:r>
              <w:t>–</w:t>
            </w:r>
          </w:p>
        </w:tc>
        <w:tc>
          <w:tcPr>
            <w:tcW w:w="672" w:type="dxa"/>
            <w:tcBorders>
              <w:top w:val="single" w:sz="4" w:space="0" w:color="000000" w:themeColor="text1"/>
              <w:bottom w:val="single" w:sz="4" w:space="0" w:color="000000" w:themeColor="text1"/>
            </w:tcBorders>
            <w:noWrap/>
          </w:tcPr>
          <w:p w14:paraId="05129128"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34575591" w14:textId="77777777" w:rsidR="005B131E" w:rsidRPr="00BA7805" w:rsidRDefault="005B131E" w:rsidP="002542E1">
            <w:pPr>
              <w:pStyle w:val="ARfintablebodyrightbold8pt"/>
              <w:rPr>
                <w:highlight w:val="green"/>
              </w:rPr>
            </w:pPr>
            <w:r w:rsidRPr="00F834C0">
              <w:t>12.7</w:t>
            </w:r>
          </w:p>
        </w:tc>
        <w:tc>
          <w:tcPr>
            <w:tcW w:w="673" w:type="dxa"/>
            <w:tcBorders>
              <w:top w:val="single" w:sz="4" w:space="0" w:color="000000" w:themeColor="text1"/>
              <w:bottom w:val="single" w:sz="4" w:space="0" w:color="000000" w:themeColor="text1"/>
            </w:tcBorders>
            <w:noWrap/>
          </w:tcPr>
          <w:p w14:paraId="157A71B2"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15688139" w14:textId="77777777" w:rsidR="005B131E" w:rsidRPr="00BA7805" w:rsidRDefault="005B131E" w:rsidP="002542E1">
            <w:pPr>
              <w:pStyle w:val="ARfintablebodyrightbold8pt"/>
              <w:rPr>
                <w:highlight w:val="green"/>
              </w:rPr>
            </w:pPr>
            <w:r w:rsidRPr="00F834C0">
              <w:t>(0.1)</w:t>
            </w:r>
          </w:p>
        </w:tc>
        <w:tc>
          <w:tcPr>
            <w:tcW w:w="673" w:type="dxa"/>
            <w:tcBorders>
              <w:top w:val="single" w:sz="4" w:space="0" w:color="000000" w:themeColor="text1"/>
              <w:bottom w:val="single" w:sz="4" w:space="0" w:color="000000" w:themeColor="text1"/>
            </w:tcBorders>
            <w:noWrap/>
          </w:tcPr>
          <w:p w14:paraId="65322D17"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50F8ACD6"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6F0B73A4"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25605BFB"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7CB57A55" w14:textId="77777777" w:rsidR="005B131E" w:rsidRPr="00BA7805" w:rsidRDefault="005B131E" w:rsidP="002542E1">
            <w:pPr>
              <w:pStyle w:val="ARfintablebodyrightbold8pt"/>
              <w:rPr>
                <w:highlight w:val="green"/>
              </w:rPr>
            </w:pPr>
            <w:r w:rsidRPr="00F834C0">
              <w:t>1.2</w:t>
            </w:r>
          </w:p>
        </w:tc>
        <w:tc>
          <w:tcPr>
            <w:tcW w:w="673" w:type="dxa"/>
            <w:tcBorders>
              <w:top w:val="single" w:sz="4" w:space="0" w:color="000000" w:themeColor="text1"/>
              <w:bottom w:val="single" w:sz="4" w:space="0" w:color="000000" w:themeColor="text1"/>
            </w:tcBorders>
            <w:noWrap/>
          </w:tcPr>
          <w:p w14:paraId="5922FA06" w14:textId="77777777" w:rsidR="005B131E" w:rsidRPr="00BA7805" w:rsidRDefault="005B131E" w:rsidP="002542E1">
            <w:pPr>
              <w:pStyle w:val="ARfintablebodyrightbold8pt"/>
              <w:rPr>
                <w:highlight w:val="green"/>
              </w:rPr>
            </w:pPr>
            <w:r w:rsidRPr="00F834C0">
              <w:t>2,696.6</w:t>
            </w:r>
          </w:p>
        </w:tc>
        <w:tc>
          <w:tcPr>
            <w:tcW w:w="674" w:type="dxa"/>
            <w:tcBorders>
              <w:top w:val="single" w:sz="4" w:space="0" w:color="000000" w:themeColor="text1"/>
              <w:bottom w:val="single" w:sz="4" w:space="0" w:color="000000" w:themeColor="text1"/>
            </w:tcBorders>
            <w:noWrap/>
          </w:tcPr>
          <w:p w14:paraId="2DDEAECB" w14:textId="77777777" w:rsidR="005B131E" w:rsidRPr="00BA7805" w:rsidRDefault="005B131E" w:rsidP="002542E1">
            <w:pPr>
              <w:pStyle w:val="ARfintablebodyrightbold8pt"/>
              <w:rPr>
                <w:highlight w:val="green"/>
              </w:rPr>
            </w:pPr>
            <w:r w:rsidRPr="00F834C0">
              <w:t>2,877.9</w:t>
            </w:r>
          </w:p>
        </w:tc>
      </w:tr>
      <w:tr w:rsidR="005B131E" w:rsidRPr="00BA7805" w14:paraId="00EEE9DA" w14:textId="77777777" w:rsidTr="002542E1">
        <w:trPr>
          <w:cantSplit w:val="0"/>
        </w:trPr>
        <w:tc>
          <w:tcPr>
            <w:tcW w:w="3618" w:type="dxa"/>
            <w:tcBorders>
              <w:top w:val="single" w:sz="4" w:space="0" w:color="000000" w:themeColor="text1"/>
              <w:bottom w:val="single" w:sz="4" w:space="0" w:color="000000" w:themeColor="text1"/>
            </w:tcBorders>
          </w:tcPr>
          <w:p w14:paraId="1FBCB9D1" w14:textId="77777777" w:rsidR="005B131E" w:rsidRPr="00BA7805" w:rsidRDefault="005B131E" w:rsidP="002542E1">
            <w:pPr>
              <w:pStyle w:val="ARfintablebodybold8pt"/>
              <w:rPr>
                <w:sz w:val="15"/>
                <w:highlight w:val="green"/>
              </w:rPr>
            </w:pPr>
            <w:r w:rsidRPr="00D5739B">
              <w:t>Total administered net result from transactions</w:t>
            </w:r>
          </w:p>
        </w:tc>
        <w:tc>
          <w:tcPr>
            <w:tcW w:w="672" w:type="dxa"/>
            <w:tcBorders>
              <w:top w:val="single" w:sz="4" w:space="0" w:color="000000" w:themeColor="text1"/>
              <w:bottom w:val="single" w:sz="4" w:space="0" w:color="000000" w:themeColor="text1"/>
            </w:tcBorders>
            <w:noWrap/>
          </w:tcPr>
          <w:p w14:paraId="26314B90" w14:textId="77777777" w:rsidR="005B131E" w:rsidRPr="00BA7805" w:rsidRDefault="005B131E" w:rsidP="002542E1">
            <w:pPr>
              <w:pStyle w:val="ARfintablebodyrightbold8pt"/>
              <w:rPr>
                <w:highlight w:val="green"/>
              </w:rPr>
            </w:pPr>
            <w:r w:rsidRPr="00F834C0">
              <w:t>(5.3)</w:t>
            </w:r>
          </w:p>
        </w:tc>
        <w:tc>
          <w:tcPr>
            <w:tcW w:w="672" w:type="dxa"/>
            <w:tcBorders>
              <w:top w:val="single" w:sz="4" w:space="0" w:color="000000" w:themeColor="text1"/>
              <w:bottom w:val="single" w:sz="4" w:space="0" w:color="000000" w:themeColor="text1"/>
            </w:tcBorders>
            <w:noWrap/>
          </w:tcPr>
          <w:p w14:paraId="4C2C9579" w14:textId="77777777" w:rsidR="005B131E" w:rsidRPr="00BA7805" w:rsidRDefault="005B131E" w:rsidP="002542E1">
            <w:pPr>
              <w:pStyle w:val="ARfintablebodyrightbold8pt"/>
              <w:rPr>
                <w:highlight w:val="green"/>
              </w:rPr>
            </w:pPr>
            <w:r w:rsidRPr="00F834C0">
              <w:t>(0.5)</w:t>
            </w:r>
          </w:p>
        </w:tc>
        <w:tc>
          <w:tcPr>
            <w:tcW w:w="672" w:type="dxa"/>
            <w:tcBorders>
              <w:top w:val="single" w:sz="4" w:space="0" w:color="000000" w:themeColor="text1"/>
              <w:bottom w:val="single" w:sz="4" w:space="0" w:color="000000" w:themeColor="text1"/>
            </w:tcBorders>
            <w:noWrap/>
          </w:tcPr>
          <w:p w14:paraId="656F2BB4" w14:textId="77777777" w:rsidR="005B131E" w:rsidRPr="00BA7805" w:rsidRDefault="005B131E" w:rsidP="002542E1">
            <w:pPr>
              <w:pStyle w:val="ARfintablebodyrightbold8pt"/>
              <w:rPr>
                <w:highlight w:val="green"/>
              </w:rPr>
            </w:pPr>
            <w:r w:rsidRPr="00F834C0">
              <w:t>(0.1)</w:t>
            </w:r>
          </w:p>
        </w:tc>
        <w:tc>
          <w:tcPr>
            <w:tcW w:w="672" w:type="dxa"/>
            <w:tcBorders>
              <w:top w:val="single" w:sz="4" w:space="0" w:color="000000" w:themeColor="text1"/>
              <w:bottom w:val="single" w:sz="4" w:space="0" w:color="000000" w:themeColor="text1"/>
            </w:tcBorders>
            <w:noWrap/>
          </w:tcPr>
          <w:p w14:paraId="74EC960B" w14:textId="77777777" w:rsidR="005B131E" w:rsidRPr="00BA7805" w:rsidRDefault="005B131E" w:rsidP="002542E1">
            <w:pPr>
              <w:pStyle w:val="ARfintablebodyrightbold8pt"/>
              <w:rPr>
                <w:highlight w:val="green"/>
              </w:rPr>
            </w:pPr>
            <w:r>
              <w:t>–</w:t>
            </w:r>
          </w:p>
        </w:tc>
        <w:tc>
          <w:tcPr>
            <w:tcW w:w="672" w:type="dxa"/>
            <w:tcBorders>
              <w:top w:val="single" w:sz="4" w:space="0" w:color="000000" w:themeColor="text1"/>
              <w:bottom w:val="single" w:sz="4" w:space="0" w:color="000000" w:themeColor="text1"/>
            </w:tcBorders>
            <w:noWrap/>
          </w:tcPr>
          <w:p w14:paraId="3345154A"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7C4E83EF" w14:textId="77777777" w:rsidR="005B131E" w:rsidRPr="00BA7805" w:rsidRDefault="005B131E" w:rsidP="002542E1">
            <w:pPr>
              <w:pStyle w:val="ARfintablebodyrightbold8pt"/>
              <w:rPr>
                <w:highlight w:val="green"/>
              </w:rPr>
            </w:pPr>
            <w:r w:rsidRPr="00F834C0">
              <w:t>(12.0)</w:t>
            </w:r>
          </w:p>
        </w:tc>
        <w:tc>
          <w:tcPr>
            <w:tcW w:w="673" w:type="dxa"/>
            <w:tcBorders>
              <w:top w:val="single" w:sz="4" w:space="0" w:color="000000" w:themeColor="text1"/>
              <w:bottom w:val="single" w:sz="4" w:space="0" w:color="000000" w:themeColor="text1"/>
            </w:tcBorders>
            <w:noWrap/>
          </w:tcPr>
          <w:p w14:paraId="6B284FAC"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04857066"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0E35B6B9"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3DAF9D7E"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1539ACCA"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60A675D5"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6D034BE9"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32841A30" w14:textId="77777777" w:rsidR="005B131E" w:rsidRPr="00BA7805" w:rsidRDefault="005B131E" w:rsidP="002542E1">
            <w:pPr>
              <w:pStyle w:val="ARfintablebodyrightbold8pt"/>
              <w:rPr>
                <w:highlight w:val="green"/>
              </w:rPr>
            </w:pPr>
            <w:r w:rsidRPr="00F834C0">
              <w:t>(81.4)</w:t>
            </w:r>
          </w:p>
        </w:tc>
        <w:tc>
          <w:tcPr>
            <w:tcW w:w="674" w:type="dxa"/>
            <w:tcBorders>
              <w:top w:val="single" w:sz="4" w:space="0" w:color="000000" w:themeColor="text1"/>
              <w:bottom w:val="single" w:sz="4" w:space="0" w:color="000000" w:themeColor="text1"/>
            </w:tcBorders>
            <w:noWrap/>
          </w:tcPr>
          <w:p w14:paraId="10ED76B0" w14:textId="77777777" w:rsidR="005B131E" w:rsidRPr="00BA7805" w:rsidRDefault="005B131E" w:rsidP="002542E1">
            <w:pPr>
              <w:pStyle w:val="ARfintablebodyrightbold8pt"/>
              <w:rPr>
                <w:highlight w:val="green"/>
              </w:rPr>
            </w:pPr>
            <w:r w:rsidRPr="00F834C0">
              <w:t>(99.4)</w:t>
            </w:r>
          </w:p>
        </w:tc>
      </w:tr>
      <w:tr w:rsidR="005B131E" w:rsidRPr="00BA7805" w14:paraId="27F99425" w14:textId="77777777" w:rsidTr="002542E1">
        <w:trPr>
          <w:cantSplit w:val="0"/>
        </w:trPr>
        <w:tc>
          <w:tcPr>
            <w:tcW w:w="13709" w:type="dxa"/>
            <w:gridSpan w:val="16"/>
            <w:tcBorders>
              <w:top w:val="single" w:sz="4" w:space="0" w:color="000000" w:themeColor="text1"/>
              <w:bottom w:val="single" w:sz="4" w:space="0" w:color="BFBFBF" w:themeColor="background1" w:themeShade="BF"/>
            </w:tcBorders>
          </w:tcPr>
          <w:p w14:paraId="688DEE3D" w14:textId="77777777" w:rsidR="005B131E" w:rsidRPr="00BA7805" w:rsidRDefault="005B131E" w:rsidP="002542E1">
            <w:pPr>
              <w:pStyle w:val="ARfintablebodybold8pt"/>
              <w:rPr>
                <w:sz w:val="15"/>
                <w:szCs w:val="15"/>
                <w:highlight w:val="green"/>
              </w:rPr>
            </w:pPr>
            <w:r w:rsidRPr="00D5739B">
              <w:t>Administered other economic flows included in net result</w:t>
            </w:r>
          </w:p>
        </w:tc>
      </w:tr>
      <w:tr w:rsidR="005B131E" w:rsidRPr="00BA7805" w14:paraId="01D18440" w14:textId="77777777" w:rsidTr="002542E1">
        <w:trPr>
          <w:cantSplit w:val="0"/>
        </w:trPr>
        <w:tc>
          <w:tcPr>
            <w:tcW w:w="3618" w:type="dxa"/>
            <w:tcBorders>
              <w:top w:val="single" w:sz="4" w:space="0" w:color="BFBFBF" w:themeColor="background1" w:themeShade="BF"/>
              <w:bottom w:val="single" w:sz="4" w:space="0" w:color="BFBFBF" w:themeColor="background1" w:themeShade="BF"/>
            </w:tcBorders>
          </w:tcPr>
          <w:p w14:paraId="2CB529A8" w14:textId="77777777" w:rsidR="005B131E" w:rsidRPr="00BA7805" w:rsidRDefault="005B131E" w:rsidP="002542E1">
            <w:pPr>
              <w:pStyle w:val="ARfintablebody8pt"/>
              <w:rPr>
                <w:sz w:val="15"/>
                <w:highlight w:val="green"/>
              </w:rPr>
            </w:pPr>
            <w:r w:rsidRPr="00D5739B">
              <w:t>Net gain/(loss) on non-financial assets</w:t>
            </w:r>
          </w:p>
        </w:tc>
        <w:tc>
          <w:tcPr>
            <w:tcW w:w="672" w:type="dxa"/>
            <w:tcBorders>
              <w:top w:val="single" w:sz="4" w:space="0" w:color="BFBFBF" w:themeColor="background1" w:themeShade="BF"/>
              <w:bottom w:val="single" w:sz="4" w:space="0" w:color="BFBFBF" w:themeColor="background1" w:themeShade="BF"/>
            </w:tcBorders>
            <w:noWrap/>
          </w:tcPr>
          <w:p w14:paraId="3D0BE02F" w14:textId="77777777" w:rsidR="005B131E" w:rsidRPr="00BA7805" w:rsidRDefault="005B131E" w:rsidP="002542E1">
            <w:pPr>
              <w:pStyle w:val="ARfintablebodyright8pt"/>
              <w:rPr>
                <w:highlight w:val="green"/>
              </w:rPr>
            </w:pPr>
            <w:r w:rsidRPr="00A23E60">
              <w:t>(3.7)</w:t>
            </w:r>
          </w:p>
        </w:tc>
        <w:tc>
          <w:tcPr>
            <w:tcW w:w="672" w:type="dxa"/>
            <w:tcBorders>
              <w:top w:val="single" w:sz="4" w:space="0" w:color="BFBFBF" w:themeColor="background1" w:themeShade="BF"/>
              <w:bottom w:val="single" w:sz="4" w:space="0" w:color="BFBFBF" w:themeColor="background1" w:themeShade="BF"/>
            </w:tcBorders>
            <w:noWrap/>
          </w:tcPr>
          <w:p w14:paraId="0BA42FDD"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34CCDB05"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31FB2F53"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BFBFBF" w:themeColor="background1" w:themeShade="BF"/>
            </w:tcBorders>
            <w:noWrap/>
          </w:tcPr>
          <w:p w14:paraId="0C535B32"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4DE510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FD828EE"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72A6F7C4"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0A7C1B1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5627B84A"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CD5C98C"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40A1D175"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AED47E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BFBFBF" w:themeColor="background1" w:themeShade="BF"/>
            </w:tcBorders>
            <w:noWrap/>
          </w:tcPr>
          <w:p w14:paraId="1BED2172"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BFBFBF" w:themeColor="background1" w:themeShade="BF"/>
            </w:tcBorders>
            <w:noWrap/>
          </w:tcPr>
          <w:p w14:paraId="7328DDCA" w14:textId="77777777" w:rsidR="005B131E" w:rsidRPr="00BA7805" w:rsidRDefault="005B131E" w:rsidP="002542E1">
            <w:pPr>
              <w:pStyle w:val="ARfintablebodyright8pt"/>
              <w:rPr>
                <w:highlight w:val="green"/>
              </w:rPr>
            </w:pPr>
            <w:r w:rsidRPr="00A23E60">
              <w:t>(3.7)</w:t>
            </w:r>
          </w:p>
        </w:tc>
      </w:tr>
      <w:tr w:rsidR="005B131E" w:rsidRPr="00BA7805" w14:paraId="477FCC30" w14:textId="77777777" w:rsidTr="002542E1">
        <w:trPr>
          <w:cantSplit w:val="0"/>
        </w:trPr>
        <w:tc>
          <w:tcPr>
            <w:tcW w:w="3618" w:type="dxa"/>
            <w:tcBorders>
              <w:top w:val="single" w:sz="4" w:space="0" w:color="BFBFBF" w:themeColor="background1" w:themeShade="BF"/>
              <w:bottom w:val="single" w:sz="4" w:space="0" w:color="000000" w:themeColor="text1"/>
            </w:tcBorders>
          </w:tcPr>
          <w:p w14:paraId="5DCB3416" w14:textId="77777777" w:rsidR="005B131E" w:rsidRPr="00BA7805" w:rsidRDefault="005B131E" w:rsidP="002542E1">
            <w:pPr>
              <w:pStyle w:val="ARfintablebody8pt"/>
              <w:rPr>
                <w:sz w:val="15"/>
                <w:highlight w:val="green"/>
              </w:rPr>
            </w:pPr>
            <w:r w:rsidRPr="00D5739B">
              <w:t>Other gains/(losses) from other economic flows</w:t>
            </w:r>
          </w:p>
        </w:tc>
        <w:tc>
          <w:tcPr>
            <w:tcW w:w="672" w:type="dxa"/>
            <w:tcBorders>
              <w:top w:val="single" w:sz="4" w:space="0" w:color="BFBFBF" w:themeColor="background1" w:themeShade="BF"/>
              <w:bottom w:val="single" w:sz="4" w:space="0" w:color="000000" w:themeColor="text1"/>
            </w:tcBorders>
            <w:noWrap/>
          </w:tcPr>
          <w:p w14:paraId="579A099C"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4B6F7971" w14:textId="77777777" w:rsidR="005B131E" w:rsidRPr="00BA7805" w:rsidRDefault="005B131E" w:rsidP="002542E1">
            <w:pPr>
              <w:pStyle w:val="ARfintablebodyright8pt"/>
              <w:rPr>
                <w:highlight w:val="green"/>
              </w:rPr>
            </w:pPr>
            <w:r w:rsidRPr="00A23E60">
              <w:t>(0.1)</w:t>
            </w:r>
          </w:p>
        </w:tc>
        <w:tc>
          <w:tcPr>
            <w:tcW w:w="672" w:type="dxa"/>
            <w:tcBorders>
              <w:top w:val="single" w:sz="4" w:space="0" w:color="BFBFBF" w:themeColor="background1" w:themeShade="BF"/>
              <w:bottom w:val="single" w:sz="4" w:space="0" w:color="000000" w:themeColor="text1"/>
            </w:tcBorders>
            <w:noWrap/>
          </w:tcPr>
          <w:p w14:paraId="0E92C0BE"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2EF8E096" w14:textId="77777777" w:rsidR="005B131E" w:rsidRPr="00BA7805" w:rsidRDefault="005B131E" w:rsidP="002542E1">
            <w:pPr>
              <w:pStyle w:val="ARfintablebodyright8pt"/>
              <w:rPr>
                <w:highlight w:val="green"/>
              </w:rPr>
            </w:pPr>
            <w:r>
              <w:t>–</w:t>
            </w:r>
          </w:p>
        </w:tc>
        <w:tc>
          <w:tcPr>
            <w:tcW w:w="672" w:type="dxa"/>
            <w:tcBorders>
              <w:top w:val="single" w:sz="4" w:space="0" w:color="BFBFBF" w:themeColor="background1" w:themeShade="BF"/>
              <w:bottom w:val="single" w:sz="4" w:space="0" w:color="000000" w:themeColor="text1"/>
            </w:tcBorders>
            <w:noWrap/>
          </w:tcPr>
          <w:p w14:paraId="1CCCB0B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3A4F8C1"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1AE809DD"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52CF1F9A"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6EFC3940"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5D2D3213"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29E6FD69"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1D947E50"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64BE7C61" w14:textId="77777777" w:rsidR="005B131E" w:rsidRPr="00BA7805" w:rsidRDefault="005B131E" w:rsidP="002542E1">
            <w:pPr>
              <w:pStyle w:val="ARfintablebodyright8pt"/>
              <w:rPr>
                <w:highlight w:val="green"/>
              </w:rPr>
            </w:pPr>
            <w:r>
              <w:t>–</w:t>
            </w:r>
          </w:p>
        </w:tc>
        <w:tc>
          <w:tcPr>
            <w:tcW w:w="673" w:type="dxa"/>
            <w:tcBorders>
              <w:top w:val="single" w:sz="4" w:space="0" w:color="BFBFBF" w:themeColor="background1" w:themeShade="BF"/>
              <w:bottom w:val="single" w:sz="4" w:space="0" w:color="000000" w:themeColor="text1"/>
            </w:tcBorders>
            <w:noWrap/>
          </w:tcPr>
          <w:p w14:paraId="7AB693B7" w14:textId="77777777" w:rsidR="005B131E" w:rsidRPr="00BA7805" w:rsidRDefault="005B131E" w:rsidP="002542E1">
            <w:pPr>
              <w:pStyle w:val="ARfintablebodyright8pt"/>
              <w:rPr>
                <w:highlight w:val="green"/>
              </w:rPr>
            </w:pPr>
            <w:r>
              <w:t>–</w:t>
            </w:r>
          </w:p>
        </w:tc>
        <w:tc>
          <w:tcPr>
            <w:tcW w:w="674" w:type="dxa"/>
            <w:tcBorders>
              <w:top w:val="single" w:sz="4" w:space="0" w:color="BFBFBF" w:themeColor="background1" w:themeShade="BF"/>
              <w:bottom w:val="single" w:sz="4" w:space="0" w:color="000000" w:themeColor="text1"/>
            </w:tcBorders>
            <w:noWrap/>
          </w:tcPr>
          <w:p w14:paraId="494DC4B2" w14:textId="77777777" w:rsidR="005B131E" w:rsidRPr="00BA7805" w:rsidRDefault="005B131E" w:rsidP="002542E1">
            <w:pPr>
              <w:pStyle w:val="ARfintablebodyright8pt"/>
              <w:rPr>
                <w:highlight w:val="green"/>
              </w:rPr>
            </w:pPr>
            <w:r w:rsidRPr="00A23E60">
              <w:t>(0.1)</w:t>
            </w:r>
          </w:p>
        </w:tc>
      </w:tr>
      <w:tr w:rsidR="005B131E" w:rsidRPr="00BA7805" w14:paraId="593E9C52" w14:textId="77777777" w:rsidTr="002542E1">
        <w:trPr>
          <w:cantSplit w:val="0"/>
        </w:trPr>
        <w:tc>
          <w:tcPr>
            <w:tcW w:w="3618" w:type="dxa"/>
            <w:tcBorders>
              <w:top w:val="single" w:sz="4" w:space="0" w:color="000000" w:themeColor="text1"/>
              <w:bottom w:val="single" w:sz="4" w:space="0" w:color="000000" w:themeColor="text1"/>
            </w:tcBorders>
          </w:tcPr>
          <w:p w14:paraId="0CC91A05" w14:textId="77777777" w:rsidR="005B131E" w:rsidRPr="00BA7805" w:rsidRDefault="005B131E" w:rsidP="002542E1">
            <w:pPr>
              <w:pStyle w:val="ARfintablebodybold8pt"/>
              <w:rPr>
                <w:sz w:val="15"/>
                <w:highlight w:val="green"/>
              </w:rPr>
            </w:pPr>
            <w:r w:rsidRPr="00D5739B">
              <w:t>Total administered other economic flows</w:t>
            </w:r>
          </w:p>
        </w:tc>
        <w:tc>
          <w:tcPr>
            <w:tcW w:w="672" w:type="dxa"/>
            <w:tcBorders>
              <w:top w:val="single" w:sz="4" w:space="0" w:color="000000" w:themeColor="text1"/>
              <w:bottom w:val="single" w:sz="4" w:space="0" w:color="000000" w:themeColor="text1"/>
            </w:tcBorders>
            <w:noWrap/>
          </w:tcPr>
          <w:p w14:paraId="19F7D75C" w14:textId="77777777" w:rsidR="005B131E" w:rsidRPr="00BA7805" w:rsidRDefault="005B131E" w:rsidP="002542E1">
            <w:pPr>
              <w:pStyle w:val="ARfintablebodyrightbold8pt"/>
              <w:rPr>
                <w:highlight w:val="green"/>
              </w:rPr>
            </w:pPr>
            <w:r w:rsidRPr="00A23E60">
              <w:t>(3.7)</w:t>
            </w:r>
          </w:p>
        </w:tc>
        <w:tc>
          <w:tcPr>
            <w:tcW w:w="672" w:type="dxa"/>
            <w:tcBorders>
              <w:top w:val="single" w:sz="4" w:space="0" w:color="000000" w:themeColor="text1"/>
              <w:bottom w:val="single" w:sz="4" w:space="0" w:color="000000" w:themeColor="text1"/>
            </w:tcBorders>
            <w:noWrap/>
          </w:tcPr>
          <w:p w14:paraId="540D97F9" w14:textId="77777777" w:rsidR="005B131E" w:rsidRPr="00BA7805" w:rsidRDefault="005B131E" w:rsidP="002542E1">
            <w:pPr>
              <w:pStyle w:val="ARfintablebodyrightbold8pt"/>
              <w:rPr>
                <w:highlight w:val="green"/>
              </w:rPr>
            </w:pPr>
            <w:r w:rsidRPr="00A23E60">
              <w:t>(0.1)</w:t>
            </w:r>
          </w:p>
        </w:tc>
        <w:tc>
          <w:tcPr>
            <w:tcW w:w="672" w:type="dxa"/>
            <w:tcBorders>
              <w:top w:val="single" w:sz="4" w:space="0" w:color="000000" w:themeColor="text1"/>
              <w:bottom w:val="single" w:sz="4" w:space="0" w:color="000000" w:themeColor="text1"/>
            </w:tcBorders>
            <w:noWrap/>
          </w:tcPr>
          <w:p w14:paraId="288C0419" w14:textId="77777777" w:rsidR="005B131E" w:rsidRPr="00BA7805" w:rsidRDefault="005B131E" w:rsidP="002542E1">
            <w:pPr>
              <w:pStyle w:val="ARfintablebodyrightbold8pt"/>
              <w:rPr>
                <w:highlight w:val="green"/>
              </w:rPr>
            </w:pPr>
            <w:r>
              <w:t>–</w:t>
            </w:r>
          </w:p>
        </w:tc>
        <w:tc>
          <w:tcPr>
            <w:tcW w:w="672" w:type="dxa"/>
            <w:tcBorders>
              <w:top w:val="single" w:sz="4" w:space="0" w:color="000000" w:themeColor="text1"/>
              <w:bottom w:val="single" w:sz="4" w:space="0" w:color="000000" w:themeColor="text1"/>
            </w:tcBorders>
            <w:noWrap/>
          </w:tcPr>
          <w:p w14:paraId="1E86085A" w14:textId="77777777" w:rsidR="005B131E" w:rsidRPr="00BA7805" w:rsidRDefault="005B131E" w:rsidP="002542E1">
            <w:pPr>
              <w:pStyle w:val="ARfintablebodyrightbold8pt"/>
              <w:rPr>
                <w:highlight w:val="green"/>
              </w:rPr>
            </w:pPr>
            <w:r>
              <w:t>–</w:t>
            </w:r>
          </w:p>
        </w:tc>
        <w:tc>
          <w:tcPr>
            <w:tcW w:w="672" w:type="dxa"/>
            <w:tcBorders>
              <w:top w:val="single" w:sz="4" w:space="0" w:color="000000" w:themeColor="text1"/>
              <w:bottom w:val="single" w:sz="4" w:space="0" w:color="000000" w:themeColor="text1"/>
            </w:tcBorders>
            <w:noWrap/>
          </w:tcPr>
          <w:p w14:paraId="16FB334C"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3DEBB2D7"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1638BFD8"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1A247DDD"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04FD4A33"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041441E0"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182FDC75"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7F29432D"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6D030AE8"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28C66656" w14:textId="77777777" w:rsidR="005B131E" w:rsidRPr="00BA7805" w:rsidRDefault="005B131E" w:rsidP="002542E1">
            <w:pPr>
              <w:pStyle w:val="ARfintablebodyrightbold8pt"/>
              <w:rPr>
                <w:highlight w:val="green"/>
              </w:rPr>
            </w:pPr>
            <w:r>
              <w:t>–</w:t>
            </w:r>
          </w:p>
        </w:tc>
        <w:tc>
          <w:tcPr>
            <w:tcW w:w="674" w:type="dxa"/>
            <w:tcBorders>
              <w:top w:val="single" w:sz="4" w:space="0" w:color="000000" w:themeColor="text1"/>
              <w:bottom w:val="single" w:sz="4" w:space="0" w:color="000000" w:themeColor="text1"/>
            </w:tcBorders>
            <w:noWrap/>
          </w:tcPr>
          <w:p w14:paraId="5E50B50D" w14:textId="77777777" w:rsidR="005B131E" w:rsidRPr="00BA7805" w:rsidRDefault="005B131E" w:rsidP="002542E1">
            <w:pPr>
              <w:pStyle w:val="ARfintablebodyrightbold8pt"/>
              <w:rPr>
                <w:highlight w:val="green"/>
              </w:rPr>
            </w:pPr>
            <w:r w:rsidRPr="00A23E60">
              <w:t>(3.8)</w:t>
            </w:r>
          </w:p>
        </w:tc>
      </w:tr>
      <w:tr w:rsidR="005B131E" w:rsidRPr="00BA7805" w14:paraId="76E88D42" w14:textId="77777777" w:rsidTr="002542E1">
        <w:trPr>
          <w:cantSplit w:val="0"/>
        </w:trPr>
        <w:tc>
          <w:tcPr>
            <w:tcW w:w="3618" w:type="dxa"/>
            <w:tcBorders>
              <w:top w:val="single" w:sz="4" w:space="0" w:color="000000" w:themeColor="text1"/>
              <w:bottom w:val="single" w:sz="4" w:space="0" w:color="000000" w:themeColor="text1"/>
            </w:tcBorders>
          </w:tcPr>
          <w:p w14:paraId="51FFE582" w14:textId="77777777" w:rsidR="005B131E" w:rsidRPr="00BA7805" w:rsidRDefault="005B131E" w:rsidP="002542E1">
            <w:pPr>
              <w:pStyle w:val="ARfintablebodybold8pt"/>
              <w:rPr>
                <w:sz w:val="15"/>
                <w:highlight w:val="green"/>
              </w:rPr>
            </w:pPr>
            <w:r w:rsidRPr="00D5739B">
              <w:t>Administered net result</w:t>
            </w:r>
          </w:p>
        </w:tc>
        <w:tc>
          <w:tcPr>
            <w:tcW w:w="672" w:type="dxa"/>
            <w:tcBorders>
              <w:top w:val="single" w:sz="4" w:space="0" w:color="000000" w:themeColor="text1"/>
              <w:bottom w:val="single" w:sz="4" w:space="0" w:color="000000" w:themeColor="text1"/>
            </w:tcBorders>
            <w:noWrap/>
          </w:tcPr>
          <w:p w14:paraId="61147F65" w14:textId="77777777" w:rsidR="005B131E" w:rsidRPr="00BA7805" w:rsidRDefault="005B131E" w:rsidP="002542E1">
            <w:pPr>
              <w:pStyle w:val="ARfintablebodyrightbold8pt"/>
              <w:rPr>
                <w:highlight w:val="green"/>
              </w:rPr>
            </w:pPr>
            <w:r w:rsidRPr="00A23E60">
              <w:t>(9.0)</w:t>
            </w:r>
          </w:p>
        </w:tc>
        <w:tc>
          <w:tcPr>
            <w:tcW w:w="672" w:type="dxa"/>
            <w:tcBorders>
              <w:top w:val="single" w:sz="4" w:space="0" w:color="000000" w:themeColor="text1"/>
              <w:bottom w:val="single" w:sz="4" w:space="0" w:color="000000" w:themeColor="text1"/>
            </w:tcBorders>
            <w:noWrap/>
          </w:tcPr>
          <w:p w14:paraId="6A68375B" w14:textId="77777777" w:rsidR="005B131E" w:rsidRPr="00BA7805" w:rsidRDefault="005B131E" w:rsidP="002542E1">
            <w:pPr>
              <w:pStyle w:val="ARfintablebodyrightbold8pt"/>
              <w:rPr>
                <w:highlight w:val="green"/>
              </w:rPr>
            </w:pPr>
            <w:r w:rsidRPr="00A23E60">
              <w:t>(0.6)</w:t>
            </w:r>
          </w:p>
        </w:tc>
        <w:tc>
          <w:tcPr>
            <w:tcW w:w="672" w:type="dxa"/>
            <w:tcBorders>
              <w:top w:val="single" w:sz="4" w:space="0" w:color="000000" w:themeColor="text1"/>
              <w:bottom w:val="single" w:sz="4" w:space="0" w:color="000000" w:themeColor="text1"/>
            </w:tcBorders>
            <w:noWrap/>
          </w:tcPr>
          <w:p w14:paraId="3B208CF4" w14:textId="77777777" w:rsidR="005B131E" w:rsidRPr="00BA7805" w:rsidRDefault="005B131E" w:rsidP="002542E1">
            <w:pPr>
              <w:pStyle w:val="ARfintablebodyrightbold8pt"/>
              <w:rPr>
                <w:highlight w:val="green"/>
              </w:rPr>
            </w:pPr>
            <w:r w:rsidRPr="00A23E60">
              <w:t>(0.1)</w:t>
            </w:r>
          </w:p>
        </w:tc>
        <w:tc>
          <w:tcPr>
            <w:tcW w:w="672" w:type="dxa"/>
            <w:tcBorders>
              <w:top w:val="single" w:sz="4" w:space="0" w:color="000000" w:themeColor="text1"/>
              <w:bottom w:val="single" w:sz="4" w:space="0" w:color="000000" w:themeColor="text1"/>
            </w:tcBorders>
            <w:noWrap/>
          </w:tcPr>
          <w:p w14:paraId="6ACC3FE2" w14:textId="77777777" w:rsidR="005B131E" w:rsidRPr="00BA7805" w:rsidRDefault="005B131E" w:rsidP="002542E1">
            <w:pPr>
              <w:pStyle w:val="ARfintablebodyrightbold8pt"/>
              <w:rPr>
                <w:highlight w:val="green"/>
              </w:rPr>
            </w:pPr>
            <w:r>
              <w:t>–</w:t>
            </w:r>
          </w:p>
        </w:tc>
        <w:tc>
          <w:tcPr>
            <w:tcW w:w="672" w:type="dxa"/>
            <w:tcBorders>
              <w:top w:val="single" w:sz="4" w:space="0" w:color="000000" w:themeColor="text1"/>
              <w:bottom w:val="single" w:sz="4" w:space="0" w:color="000000" w:themeColor="text1"/>
            </w:tcBorders>
            <w:noWrap/>
          </w:tcPr>
          <w:p w14:paraId="38BBB9BD"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14D14C39" w14:textId="77777777" w:rsidR="005B131E" w:rsidRPr="00BA7805" w:rsidRDefault="005B131E" w:rsidP="002542E1">
            <w:pPr>
              <w:pStyle w:val="ARfintablebodyrightbold8pt"/>
              <w:rPr>
                <w:highlight w:val="green"/>
              </w:rPr>
            </w:pPr>
            <w:r w:rsidRPr="00A23E60">
              <w:t>(12.0)</w:t>
            </w:r>
          </w:p>
        </w:tc>
        <w:tc>
          <w:tcPr>
            <w:tcW w:w="673" w:type="dxa"/>
            <w:tcBorders>
              <w:top w:val="single" w:sz="4" w:space="0" w:color="000000" w:themeColor="text1"/>
              <w:bottom w:val="single" w:sz="4" w:space="0" w:color="000000" w:themeColor="text1"/>
            </w:tcBorders>
            <w:noWrap/>
          </w:tcPr>
          <w:p w14:paraId="3C65E1E7"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2B98216D"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06472985"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73107B66"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5A5AFF13"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6FF86207"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26D5967D" w14:textId="77777777" w:rsidR="005B131E" w:rsidRPr="00BA7805" w:rsidRDefault="005B131E" w:rsidP="002542E1">
            <w:pPr>
              <w:pStyle w:val="ARfintablebodyrightbold8pt"/>
              <w:rPr>
                <w:highlight w:val="green"/>
              </w:rPr>
            </w:pPr>
            <w:r>
              <w:t>–</w:t>
            </w:r>
          </w:p>
        </w:tc>
        <w:tc>
          <w:tcPr>
            <w:tcW w:w="673" w:type="dxa"/>
            <w:tcBorders>
              <w:top w:val="single" w:sz="4" w:space="0" w:color="000000" w:themeColor="text1"/>
              <w:bottom w:val="single" w:sz="4" w:space="0" w:color="000000" w:themeColor="text1"/>
            </w:tcBorders>
            <w:noWrap/>
          </w:tcPr>
          <w:p w14:paraId="6AFAFB45" w14:textId="77777777" w:rsidR="005B131E" w:rsidRPr="00BA7805" w:rsidRDefault="005B131E" w:rsidP="002542E1">
            <w:pPr>
              <w:pStyle w:val="ARfintablebodyrightbold8pt"/>
              <w:rPr>
                <w:highlight w:val="green"/>
              </w:rPr>
            </w:pPr>
            <w:r w:rsidRPr="00A23E60">
              <w:t>(81.4)</w:t>
            </w:r>
          </w:p>
        </w:tc>
        <w:tc>
          <w:tcPr>
            <w:tcW w:w="674" w:type="dxa"/>
            <w:tcBorders>
              <w:top w:val="single" w:sz="4" w:space="0" w:color="000000" w:themeColor="text1"/>
              <w:bottom w:val="single" w:sz="4" w:space="0" w:color="000000" w:themeColor="text1"/>
            </w:tcBorders>
            <w:noWrap/>
          </w:tcPr>
          <w:p w14:paraId="3986794F" w14:textId="77777777" w:rsidR="005B131E" w:rsidRPr="00BA7805" w:rsidRDefault="005B131E" w:rsidP="002542E1">
            <w:pPr>
              <w:pStyle w:val="ARfintablebodyrightbold8pt"/>
              <w:rPr>
                <w:highlight w:val="green"/>
              </w:rPr>
            </w:pPr>
            <w:r w:rsidRPr="00A23E60">
              <w:t>(103.2)</w:t>
            </w:r>
          </w:p>
        </w:tc>
      </w:tr>
    </w:tbl>
    <w:p w14:paraId="52801AB5" w14:textId="77777777" w:rsidR="005B131E" w:rsidRDefault="005B131E" w:rsidP="002542E1">
      <w:pPr>
        <w:pStyle w:val="ARfintablefootnote"/>
      </w:pPr>
      <w:r w:rsidRPr="00A22C3B">
        <w:t>Notes</w:t>
      </w:r>
      <w:r>
        <w:t>:</w:t>
      </w:r>
    </w:p>
    <w:p w14:paraId="178D63CE" w14:textId="77777777" w:rsidR="005B131E" w:rsidRDefault="005B131E" w:rsidP="002542E1">
      <w:pPr>
        <w:pStyle w:val="ARfintablefootnotetabindent"/>
      </w:pPr>
      <w:r>
        <w:t xml:space="preserve">(i) </w:t>
      </w:r>
      <w:r>
        <w:tab/>
        <w:t>Refer to Note 4.1.1 for output definitions.</w:t>
      </w:r>
    </w:p>
    <w:p w14:paraId="263A8558" w14:textId="77777777" w:rsidR="005B131E" w:rsidRDefault="005B131E" w:rsidP="002542E1">
      <w:pPr>
        <w:pStyle w:val="ARfintablefootnotetabindent"/>
      </w:pPr>
      <w:r>
        <w:t xml:space="preserve">(ii) </w:t>
      </w:r>
      <w:r>
        <w:tab/>
        <w:t>Output 14 Housing Assistance is not applicable for administered activities.</w:t>
      </w:r>
    </w:p>
    <w:p w14:paraId="2E1A3A97" w14:textId="77777777" w:rsidR="005B131E" w:rsidRDefault="005B131E" w:rsidP="002542E1">
      <w:pPr>
        <w:pStyle w:val="ARfintablefootnotetabindent"/>
      </w:pPr>
      <w:r>
        <w:t xml:space="preserve">(iii) </w:t>
      </w:r>
      <w:r>
        <w:tab/>
        <w:t>Grant income includes National Disability Insurance Scheme funding contribution from other departments within the State, payment reimbursement from DJCS relating to Natural Disaster Relief and recovery Arrangements (NDRA) expenses.</w:t>
      </w:r>
    </w:p>
    <w:p w14:paraId="3F46807B" w14:textId="77777777" w:rsidR="005B131E" w:rsidRDefault="005B131E" w:rsidP="002542E1">
      <w:pPr>
        <w:pStyle w:val="ARfintablefootnotetabindent"/>
        <w:rPr>
          <w:highlight w:val="green"/>
        </w:rPr>
      </w:pPr>
      <w:r>
        <w:t xml:space="preserve">(iv) </w:t>
      </w:r>
      <w:r>
        <w:tab/>
        <w:t>Refer to Note 4.2.3 details of administered grants and other expense transfers.</w:t>
      </w:r>
    </w:p>
    <w:p w14:paraId="0EBBCF6B" w14:textId="77777777" w:rsidR="005B131E" w:rsidRPr="00BA7805" w:rsidRDefault="005B131E">
      <w:pPr>
        <w:pStyle w:val="ARfintablefootnotetabindent"/>
        <w:spacing w:before="10" w:after="10"/>
        <w:rPr>
          <w:sz w:val="15"/>
          <w:szCs w:val="15"/>
          <w:highlight w:val="green"/>
        </w:rPr>
      </w:pPr>
    </w:p>
    <w:p w14:paraId="56110274" w14:textId="77777777" w:rsidR="005B131E" w:rsidRPr="00BA7805" w:rsidRDefault="005B131E">
      <w:pPr>
        <w:pStyle w:val="ARfinbody"/>
        <w:rPr>
          <w:highlight w:val="green"/>
        </w:rPr>
        <w:sectPr w:rsidR="005B131E" w:rsidRPr="00BA7805" w:rsidSect="005B131E">
          <w:footerReference w:type="even" r:id="rId146"/>
          <w:footnotePr>
            <w:numFmt w:val="lowerLetter"/>
            <w:numRestart w:val="eachPage"/>
          </w:footnotePr>
          <w:pgSz w:w="16838" w:h="11906" w:orient="landscape" w:code="9"/>
          <w:pgMar w:top="1134" w:right="1985" w:bottom="851" w:left="1134" w:header="510" w:footer="340" w:gutter="0"/>
          <w:cols w:space="708"/>
          <w:docGrid w:linePitch="360"/>
        </w:sectPr>
      </w:pPr>
    </w:p>
    <w:p w14:paraId="6597FA06" w14:textId="77777777" w:rsidR="005B131E" w:rsidRPr="009E4744" w:rsidRDefault="005B131E" w:rsidP="002542E1">
      <w:pPr>
        <w:pStyle w:val="Heading5"/>
        <w:spacing w:before="0"/>
      </w:pPr>
      <w:r w:rsidRPr="009E4744">
        <w:t xml:space="preserve">4.2.2 Administered assets and liabilities </w:t>
      </w:r>
      <w:r w:rsidRPr="009E4744">
        <w:rPr>
          <w:rStyle w:val="Superscript"/>
          <w:rFonts w:eastAsia="Times"/>
        </w:rPr>
        <w:t>(i)</w:t>
      </w:r>
    </w:p>
    <w:tbl>
      <w:tblPr>
        <w:tblStyle w:val="TableGrid"/>
        <w:tblW w:w="9637" w:type="dxa"/>
        <w:tblLayout w:type="fixed"/>
        <w:tblLook w:val="06A0" w:firstRow="1" w:lastRow="0" w:firstColumn="1" w:lastColumn="0" w:noHBand="1" w:noVBand="1"/>
      </w:tblPr>
      <w:tblGrid>
        <w:gridCol w:w="6941"/>
        <w:gridCol w:w="1348"/>
        <w:gridCol w:w="1348"/>
      </w:tblGrid>
      <w:tr w:rsidR="005B131E" w:rsidRPr="00BA7805" w14:paraId="31DA59E1"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41" w:type="dxa"/>
            <w:tcBorders>
              <w:bottom w:val="single" w:sz="4" w:space="0" w:color="auto"/>
            </w:tcBorders>
            <w:hideMark/>
          </w:tcPr>
          <w:p w14:paraId="125FA8E0" w14:textId="77777777" w:rsidR="005B131E" w:rsidRPr="00BA7805" w:rsidRDefault="005B131E">
            <w:pPr>
              <w:pStyle w:val="ARfintablecolhead"/>
              <w:rPr>
                <w:highlight w:val="green"/>
              </w:rPr>
            </w:pPr>
          </w:p>
        </w:tc>
        <w:tc>
          <w:tcPr>
            <w:tcW w:w="1348" w:type="dxa"/>
            <w:tcBorders>
              <w:bottom w:val="single" w:sz="4" w:space="0" w:color="auto"/>
            </w:tcBorders>
            <w:shd w:val="clear" w:color="auto" w:fill="E7E6E6" w:themeFill="accent4"/>
            <w:hideMark/>
          </w:tcPr>
          <w:p w14:paraId="7ADE540A" w14:textId="77777777" w:rsidR="005B131E" w:rsidRPr="009E4744" w:rsidRDefault="005B131E">
            <w:pPr>
              <w:pStyle w:val="ARfintablecolheadright"/>
            </w:pPr>
            <w:r w:rsidRPr="009E4744">
              <w:t>2024</w:t>
            </w:r>
          </w:p>
          <w:p w14:paraId="3E4B0C74" w14:textId="77777777" w:rsidR="005B131E" w:rsidRPr="009E4744" w:rsidRDefault="005B131E">
            <w:pPr>
              <w:pStyle w:val="ARfintablecolheadright"/>
            </w:pPr>
            <w:r w:rsidRPr="009E4744">
              <w:t>$M</w:t>
            </w:r>
          </w:p>
        </w:tc>
        <w:tc>
          <w:tcPr>
            <w:tcW w:w="1348" w:type="dxa"/>
            <w:tcBorders>
              <w:bottom w:val="single" w:sz="4" w:space="0" w:color="auto"/>
            </w:tcBorders>
            <w:hideMark/>
          </w:tcPr>
          <w:p w14:paraId="60298BB1" w14:textId="77777777" w:rsidR="005B131E" w:rsidRPr="009E4744" w:rsidRDefault="005B131E">
            <w:pPr>
              <w:pStyle w:val="ARfintablecolheadright"/>
            </w:pPr>
            <w:r w:rsidRPr="009E4744">
              <w:t>2023</w:t>
            </w:r>
          </w:p>
          <w:p w14:paraId="34E0DF11" w14:textId="77777777" w:rsidR="005B131E" w:rsidRPr="009E4744" w:rsidRDefault="005B131E">
            <w:pPr>
              <w:pStyle w:val="ARfintablecolheadright"/>
            </w:pPr>
            <w:r w:rsidRPr="009E4744">
              <w:t>$M</w:t>
            </w:r>
          </w:p>
        </w:tc>
      </w:tr>
      <w:tr w:rsidR="005B131E" w:rsidRPr="00BA7805" w14:paraId="2445671A" w14:textId="77777777" w:rsidTr="003D7AC8">
        <w:tc>
          <w:tcPr>
            <w:tcW w:w="9637" w:type="dxa"/>
            <w:gridSpan w:val="3"/>
            <w:tcBorders>
              <w:top w:val="single" w:sz="4" w:space="0" w:color="auto"/>
              <w:bottom w:val="single" w:sz="4" w:space="0" w:color="A6A6A6"/>
            </w:tcBorders>
          </w:tcPr>
          <w:p w14:paraId="20B6EA40" w14:textId="77777777" w:rsidR="005B131E" w:rsidRPr="00BA7805" w:rsidRDefault="005B131E" w:rsidP="002542E1">
            <w:pPr>
              <w:pStyle w:val="ARfintablebodybold"/>
              <w:rPr>
                <w:highlight w:val="green"/>
              </w:rPr>
            </w:pPr>
            <w:r w:rsidRPr="00273A6F">
              <w:t>Administered assets</w:t>
            </w:r>
          </w:p>
        </w:tc>
      </w:tr>
      <w:tr w:rsidR="005B131E" w:rsidRPr="00BA7805" w14:paraId="7B7AB66C" w14:textId="77777777" w:rsidTr="003D7AC8">
        <w:tc>
          <w:tcPr>
            <w:tcW w:w="9637" w:type="dxa"/>
            <w:gridSpan w:val="3"/>
            <w:tcBorders>
              <w:top w:val="single" w:sz="4" w:space="0" w:color="A6A6A6"/>
              <w:bottom w:val="single" w:sz="4" w:space="0" w:color="A6A6A6"/>
            </w:tcBorders>
          </w:tcPr>
          <w:p w14:paraId="15911FB9" w14:textId="77777777" w:rsidR="005B131E" w:rsidRPr="00BA7805" w:rsidRDefault="005B131E" w:rsidP="002542E1">
            <w:pPr>
              <w:pStyle w:val="ARfintablebodybold"/>
              <w:rPr>
                <w:highlight w:val="green"/>
              </w:rPr>
            </w:pPr>
            <w:r w:rsidRPr="00273A6F">
              <w:t>Financial assets</w:t>
            </w:r>
          </w:p>
        </w:tc>
      </w:tr>
      <w:tr w:rsidR="005B131E" w:rsidRPr="00BA7805" w14:paraId="5618DCC7" w14:textId="77777777" w:rsidTr="002542E1">
        <w:tc>
          <w:tcPr>
            <w:tcW w:w="6941" w:type="dxa"/>
            <w:tcBorders>
              <w:top w:val="single" w:sz="4" w:space="0" w:color="A6A6A6"/>
              <w:bottom w:val="single" w:sz="4" w:space="0" w:color="A6A6A6"/>
            </w:tcBorders>
          </w:tcPr>
          <w:p w14:paraId="2DB5529C" w14:textId="77777777" w:rsidR="005B131E" w:rsidRPr="00BA7805" w:rsidRDefault="005B131E" w:rsidP="002542E1">
            <w:pPr>
              <w:pStyle w:val="ARfintablebody"/>
              <w:rPr>
                <w:highlight w:val="green"/>
              </w:rPr>
            </w:pPr>
            <w:r w:rsidRPr="00273A6F">
              <w:t>Receivables</w:t>
            </w:r>
          </w:p>
        </w:tc>
        <w:tc>
          <w:tcPr>
            <w:tcW w:w="1348" w:type="dxa"/>
            <w:tcBorders>
              <w:top w:val="single" w:sz="4" w:space="0" w:color="A6A6A6"/>
              <w:bottom w:val="single" w:sz="4" w:space="0" w:color="A6A6A6"/>
            </w:tcBorders>
            <w:shd w:val="clear" w:color="auto" w:fill="E7E6E6"/>
            <w:noWrap/>
          </w:tcPr>
          <w:p w14:paraId="202EEA70" w14:textId="77777777" w:rsidR="005B131E" w:rsidRPr="00BA7805" w:rsidRDefault="005B131E" w:rsidP="002542E1">
            <w:pPr>
              <w:pStyle w:val="ARfintablebodyright"/>
              <w:rPr>
                <w:highlight w:val="green"/>
              </w:rPr>
            </w:pPr>
            <w:r w:rsidRPr="00273A6F">
              <w:t>3.6</w:t>
            </w:r>
          </w:p>
        </w:tc>
        <w:tc>
          <w:tcPr>
            <w:tcW w:w="1348" w:type="dxa"/>
            <w:tcBorders>
              <w:top w:val="single" w:sz="4" w:space="0" w:color="A6A6A6"/>
              <w:bottom w:val="single" w:sz="4" w:space="0" w:color="A6A6A6"/>
            </w:tcBorders>
            <w:noWrap/>
          </w:tcPr>
          <w:p w14:paraId="42E49444" w14:textId="77777777" w:rsidR="005B131E" w:rsidRPr="00BA7805" w:rsidRDefault="005B131E" w:rsidP="002542E1">
            <w:pPr>
              <w:pStyle w:val="ARfintablebodyright"/>
              <w:rPr>
                <w:highlight w:val="green"/>
              </w:rPr>
            </w:pPr>
            <w:r w:rsidRPr="00273A6F">
              <w:t>1.7</w:t>
            </w:r>
          </w:p>
        </w:tc>
      </w:tr>
      <w:tr w:rsidR="005B131E" w:rsidRPr="00BA7805" w14:paraId="6FEEB349" w14:textId="77777777" w:rsidTr="002542E1">
        <w:tc>
          <w:tcPr>
            <w:tcW w:w="6941" w:type="dxa"/>
            <w:tcBorders>
              <w:bottom w:val="single" w:sz="4" w:space="0" w:color="auto"/>
            </w:tcBorders>
          </w:tcPr>
          <w:p w14:paraId="12DAA399" w14:textId="77777777" w:rsidR="005B131E" w:rsidRPr="00BA7805" w:rsidRDefault="005B131E" w:rsidP="002542E1">
            <w:pPr>
              <w:pStyle w:val="ARfintablebodybold"/>
              <w:rPr>
                <w:highlight w:val="green"/>
              </w:rPr>
            </w:pPr>
            <w:r w:rsidRPr="00273A6F">
              <w:t>Total administered assets</w:t>
            </w:r>
          </w:p>
        </w:tc>
        <w:tc>
          <w:tcPr>
            <w:tcW w:w="1348" w:type="dxa"/>
            <w:tcBorders>
              <w:bottom w:val="single" w:sz="4" w:space="0" w:color="auto"/>
            </w:tcBorders>
            <w:shd w:val="clear" w:color="auto" w:fill="E7E6E6"/>
            <w:noWrap/>
          </w:tcPr>
          <w:p w14:paraId="68C2EE3C" w14:textId="77777777" w:rsidR="005B131E" w:rsidRPr="00BA7805" w:rsidRDefault="005B131E" w:rsidP="002542E1">
            <w:pPr>
              <w:pStyle w:val="ARfintablebodyrightbold"/>
              <w:rPr>
                <w:highlight w:val="green"/>
              </w:rPr>
            </w:pPr>
            <w:r w:rsidRPr="00273A6F">
              <w:t>3.6</w:t>
            </w:r>
          </w:p>
        </w:tc>
        <w:tc>
          <w:tcPr>
            <w:tcW w:w="1348" w:type="dxa"/>
            <w:tcBorders>
              <w:bottom w:val="single" w:sz="4" w:space="0" w:color="auto"/>
            </w:tcBorders>
            <w:noWrap/>
          </w:tcPr>
          <w:p w14:paraId="193A62D8" w14:textId="77777777" w:rsidR="005B131E" w:rsidRPr="00BA7805" w:rsidRDefault="005B131E" w:rsidP="002542E1">
            <w:pPr>
              <w:pStyle w:val="ARfintablebodyrightbold"/>
              <w:rPr>
                <w:highlight w:val="green"/>
              </w:rPr>
            </w:pPr>
            <w:r w:rsidRPr="00273A6F">
              <w:t>1.7</w:t>
            </w:r>
          </w:p>
        </w:tc>
      </w:tr>
      <w:tr w:rsidR="005B131E" w:rsidRPr="00BA7805" w14:paraId="27ADC12B" w14:textId="77777777" w:rsidTr="003D7AC8">
        <w:tc>
          <w:tcPr>
            <w:tcW w:w="9637" w:type="dxa"/>
            <w:gridSpan w:val="3"/>
            <w:tcBorders>
              <w:top w:val="single" w:sz="4" w:space="0" w:color="auto"/>
              <w:bottom w:val="single" w:sz="4" w:space="0" w:color="A6A6A6"/>
            </w:tcBorders>
          </w:tcPr>
          <w:p w14:paraId="3360E7EA" w14:textId="77777777" w:rsidR="005B131E" w:rsidRPr="00BA7805" w:rsidRDefault="005B131E" w:rsidP="002542E1">
            <w:pPr>
              <w:pStyle w:val="ARfintablebodybold"/>
              <w:rPr>
                <w:highlight w:val="green"/>
              </w:rPr>
            </w:pPr>
            <w:r w:rsidRPr="00DA4052">
              <w:t>Administered liabilities</w:t>
            </w:r>
          </w:p>
        </w:tc>
      </w:tr>
      <w:tr w:rsidR="005B131E" w:rsidRPr="00BA7805" w14:paraId="3A2F7F6E" w14:textId="77777777" w:rsidTr="003D7AC8">
        <w:tc>
          <w:tcPr>
            <w:tcW w:w="9637" w:type="dxa"/>
            <w:gridSpan w:val="3"/>
            <w:tcBorders>
              <w:top w:val="single" w:sz="4" w:space="0" w:color="A6A6A6"/>
              <w:bottom w:val="single" w:sz="4" w:space="0" w:color="A6A6A6"/>
            </w:tcBorders>
          </w:tcPr>
          <w:p w14:paraId="4FD85B32" w14:textId="77777777" w:rsidR="005B131E" w:rsidRPr="00BA7805" w:rsidRDefault="005B131E" w:rsidP="002542E1">
            <w:pPr>
              <w:pStyle w:val="ARfintablebodybold"/>
              <w:rPr>
                <w:highlight w:val="green"/>
              </w:rPr>
            </w:pPr>
            <w:r w:rsidRPr="00DA4052">
              <w:t>Financial liabilities</w:t>
            </w:r>
          </w:p>
        </w:tc>
      </w:tr>
      <w:tr w:rsidR="005B131E" w:rsidRPr="00BA7805" w14:paraId="1CEB0FCF" w14:textId="77777777" w:rsidTr="002542E1">
        <w:tc>
          <w:tcPr>
            <w:tcW w:w="6941" w:type="dxa"/>
            <w:tcBorders>
              <w:top w:val="single" w:sz="4" w:space="0" w:color="A6A6A6"/>
              <w:bottom w:val="single" w:sz="4" w:space="0" w:color="A6A6A6"/>
            </w:tcBorders>
          </w:tcPr>
          <w:p w14:paraId="4B3878E0" w14:textId="77777777" w:rsidR="005B131E" w:rsidRPr="00BA7805" w:rsidRDefault="005B131E" w:rsidP="002542E1">
            <w:pPr>
              <w:pStyle w:val="ARfintablebody"/>
              <w:rPr>
                <w:highlight w:val="green"/>
              </w:rPr>
            </w:pPr>
            <w:r w:rsidRPr="00DA4052">
              <w:t>Amounts payable to the consolidated fund</w:t>
            </w:r>
          </w:p>
        </w:tc>
        <w:tc>
          <w:tcPr>
            <w:tcW w:w="1348" w:type="dxa"/>
            <w:tcBorders>
              <w:top w:val="single" w:sz="4" w:space="0" w:color="A6A6A6"/>
              <w:bottom w:val="single" w:sz="4" w:space="0" w:color="A6A6A6"/>
            </w:tcBorders>
            <w:shd w:val="clear" w:color="auto" w:fill="E7E6E6"/>
            <w:noWrap/>
          </w:tcPr>
          <w:p w14:paraId="50820204" w14:textId="77777777" w:rsidR="005B131E" w:rsidRPr="00BA7805" w:rsidRDefault="005B131E" w:rsidP="002542E1">
            <w:pPr>
              <w:pStyle w:val="ARfintablebodyright"/>
              <w:rPr>
                <w:highlight w:val="green"/>
              </w:rPr>
            </w:pPr>
            <w:r w:rsidRPr="00DA4052">
              <w:t>3.6</w:t>
            </w:r>
          </w:p>
        </w:tc>
        <w:tc>
          <w:tcPr>
            <w:tcW w:w="1348" w:type="dxa"/>
            <w:tcBorders>
              <w:top w:val="single" w:sz="4" w:space="0" w:color="A6A6A6"/>
              <w:bottom w:val="single" w:sz="4" w:space="0" w:color="A6A6A6"/>
            </w:tcBorders>
            <w:noWrap/>
          </w:tcPr>
          <w:p w14:paraId="269428B9" w14:textId="77777777" w:rsidR="005B131E" w:rsidRPr="00BA7805" w:rsidRDefault="005B131E" w:rsidP="002542E1">
            <w:pPr>
              <w:pStyle w:val="ARfintablebodyright"/>
              <w:rPr>
                <w:highlight w:val="green"/>
              </w:rPr>
            </w:pPr>
            <w:r w:rsidRPr="00DA4052">
              <w:t>1.7</w:t>
            </w:r>
          </w:p>
        </w:tc>
      </w:tr>
      <w:tr w:rsidR="005B131E" w:rsidRPr="00BA7805" w14:paraId="7969119B" w14:textId="77777777" w:rsidTr="002542E1">
        <w:tc>
          <w:tcPr>
            <w:tcW w:w="6941" w:type="dxa"/>
          </w:tcPr>
          <w:p w14:paraId="00CA406F" w14:textId="77777777" w:rsidR="005B131E" w:rsidRPr="00BA7805" w:rsidRDefault="005B131E" w:rsidP="002542E1">
            <w:pPr>
              <w:pStyle w:val="ARfintablebodybold"/>
              <w:rPr>
                <w:highlight w:val="green"/>
              </w:rPr>
            </w:pPr>
            <w:r w:rsidRPr="00DA4052">
              <w:t>Total administered liabilities</w:t>
            </w:r>
          </w:p>
        </w:tc>
        <w:tc>
          <w:tcPr>
            <w:tcW w:w="1348" w:type="dxa"/>
            <w:shd w:val="clear" w:color="auto" w:fill="E7E6E6"/>
            <w:noWrap/>
          </w:tcPr>
          <w:p w14:paraId="6A1699B2" w14:textId="77777777" w:rsidR="005B131E" w:rsidRPr="00BA7805" w:rsidRDefault="005B131E" w:rsidP="002542E1">
            <w:pPr>
              <w:pStyle w:val="ARfintablebodyrightbold"/>
              <w:rPr>
                <w:highlight w:val="green"/>
              </w:rPr>
            </w:pPr>
            <w:r w:rsidRPr="00DA4052">
              <w:t>3.6</w:t>
            </w:r>
          </w:p>
        </w:tc>
        <w:tc>
          <w:tcPr>
            <w:tcW w:w="1348" w:type="dxa"/>
            <w:noWrap/>
          </w:tcPr>
          <w:p w14:paraId="0013246D" w14:textId="77777777" w:rsidR="005B131E" w:rsidRPr="00BA7805" w:rsidRDefault="005B131E" w:rsidP="002542E1">
            <w:pPr>
              <w:pStyle w:val="ARfintablebodyrightbold"/>
              <w:rPr>
                <w:highlight w:val="green"/>
              </w:rPr>
            </w:pPr>
            <w:r w:rsidRPr="00DA4052">
              <w:t>1.7</w:t>
            </w:r>
          </w:p>
        </w:tc>
      </w:tr>
      <w:tr w:rsidR="005B131E" w:rsidRPr="00BA7805" w14:paraId="5BECAAE5" w14:textId="77777777" w:rsidTr="002542E1">
        <w:tc>
          <w:tcPr>
            <w:tcW w:w="6941" w:type="dxa"/>
          </w:tcPr>
          <w:p w14:paraId="4ED5675D" w14:textId="77777777" w:rsidR="005B131E" w:rsidRPr="00BA7805" w:rsidRDefault="005B131E" w:rsidP="002542E1">
            <w:pPr>
              <w:pStyle w:val="ARfintablebodybold"/>
              <w:rPr>
                <w:highlight w:val="green"/>
              </w:rPr>
            </w:pPr>
            <w:r w:rsidRPr="00DA4052">
              <w:t>Total administered net assets</w:t>
            </w:r>
          </w:p>
        </w:tc>
        <w:tc>
          <w:tcPr>
            <w:tcW w:w="1348" w:type="dxa"/>
            <w:shd w:val="clear" w:color="auto" w:fill="E7E6E6"/>
            <w:noWrap/>
          </w:tcPr>
          <w:p w14:paraId="6BEB2C3B" w14:textId="77777777" w:rsidR="005B131E" w:rsidRPr="00BA7805" w:rsidRDefault="005B131E" w:rsidP="002542E1">
            <w:pPr>
              <w:pStyle w:val="ARfintablebodyrightbold"/>
              <w:rPr>
                <w:highlight w:val="green"/>
              </w:rPr>
            </w:pPr>
            <w:r>
              <w:t>–</w:t>
            </w:r>
          </w:p>
        </w:tc>
        <w:tc>
          <w:tcPr>
            <w:tcW w:w="1348" w:type="dxa"/>
            <w:noWrap/>
          </w:tcPr>
          <w:p w14:paraId="380CBE48" w14:textId="77777777" w:rsidR="005B131E" w:rsidRPr="00BA7805" w:rsidRDefault="005B131E" w:rsidP="002542E1">
            <w:pPr>
              <w:pStyle w:val="ARfintablebodyrightbold"/>
              <w:rPr>
                <w:highlight w:val="green"/>
              </w:rPr>
            </w:pPr>
            <w:r>
              <w:t>–</w:t>
            </w:r>
          </w:p>
        </w:tc>
      </w:tr>
    </w:tbl>
    <w:p w14:paraId="2164EBC2" w14:textId="77777777" w:rsidR="005B131E" w:rsidRPr="002D7CDD" w:rsidRDefault="005B131E">
      <w:pPr>
        <w:pStyle w:val="ARfintablefootnote"/>
        <w:rPr>
          <w:lang w:eastAsia="en-AU"/>
        </w:rPr>
      </w:pPr>
      <w:r w:rsidRPr="002D7CDD">
        <w:rPr>
          <w:lang w:eastAsia="en-AU"/>
        </w:rPr>
        <w:t>Note:</w:t>
      </w:r>
    </w:p>
    <w:p w14:paraId="37B53FC7" w14:textId="77777777" w:rsidR="005B131E" w:rsidRPr="00BA7805" w:rsidRDefault="005B131E">
      <w:pPr>
        <w:pStyle w:val="ARfintablefootnotetabindent"/>
        <w:rPr>
          <w:highlight w:val="green"/>
        </w:rPr>
      </w:pPr>
      <w:r w:rsidRPr="002D7CDD">
        <w:t xml:space="preserve">(i) </w:t>
      </w:r>
      <w:r>
        <w:tab/>
      </w:r>
      <w:r w:rsidRPr="002D7CDD">
        <w:t>The administered assets and liabilities are not disclosed by output, which is due to the fact that the administered assets and</w:t>
      </w:r>
      <w:r>
        <w:t> </w:t>
      </w:r>
      <w:r w:rsidRPr="002D7CDD">
        <w:t>liabilities predominantly relates to the Victorian Natural Disasters Relief Trust Account (NDRA) and Specialist Disability Accommodation (SDA).</w:t>
      </w:r>
    </w:p>
    <w:p w14:paraId="3F5C8804" w14:textId="77777777" w:rsidR="005B131E" w:rsidRPr="00BA7805" w:rsidRDefault="005B131E" w:rsidP="00207901">
      <w:pPr>
        <w:pStyle w:val="Heading5"/>
        <w:rPr>
          <w:highlight w:val="green"/>
        </w:rPr>
      </w:pPr>
      <w:r w:rsidRPr="00DD0814">
        <w:t>4.2.3 Administered grants and other transfers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4665BDC8"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hideMark/>
          </w:tcPr>
          <w:p w14:paraId="5BDAC94F"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hideMark/>
          </w:tcPr>
          <w:p w14:paraId="7369BCF4" w14:textId="77777777" w:rsidR="005B131E" w:rsidRPr="00973E0A" w:rsidRDefault="005B131E">
            <w:pPr>
              <w:pStyle w:val="ARfintablecolheadright"/>
            </w:pPr>
            <w:r w:rsidRPr="00973E0A">
              <w:t>2024</w:t>
            </w:r>
          </w:p>
          <w:p w14:paraId="3A82D401" w14:textId="77777777" w:rsidR="005B131E" w:rsidRPr="00973E0A" w:rsidRDefault="005B131E">
            <w:pPr>
              <w:pStyle w:val="ARfintablecolheadright"/>
            </w:pPr>
            <w:r w:rsidRPr="00973E0A">
              <w:t>$M</w:t>
            </w:r>
          </w:p>
        </w:tc>
        <w:tc>
          <w:tcPr>
            <w:tcW w:w="1361" w:type="dxa"/>
            <w:tcBorders>
              <w:bottom w:val="single" w:sz="4" w:space="0" w:color="auto"/>
            </w:tcBorders>
            <w:hideMark/>
          </w:tcPr>
          <w:p w14:paraId="480BEB7A" w14:textId="77777777" w:rsidR="005B131E" w:rsidRPr="00973E0A" w:rsidRDefault="005B131E">
            <w:pPr>
              <w:pStyle w:val="ARfintablecolheadright"/>
            </w:pPr>
            <w:r w:rsidRPr="00973E0A">
              <w:t>2023</w:t>
            </w:r>
          </w:p>
          <w:p w14:paraId="0C557B3E" w14:textId="77777777" w:rsidR="005B131E" w:rsidRPr="00973E0A" w:rsidRDefault="005B131E">
            <w:pPr>
              <w:pStyle w:val="ARfintablecolheadright"/>
            </w:pPr>
            <w:r w:rsidRPr="00973E0A">
              <w:t>$M</w:t>
            </w:r>
          </w:p>
        </w:tc>
      </w:tr>
      <w:tr w:rsidR="005B131E" w:rsidRPr="00BA7805" w14:paraId="3CFF0962" w14:textId="77777777" w:rsidTr="003D7AC8">
        <w:tc>
          <w:tcPr>
            <w:tcW w:w="9637" w:type="dxa"/>
            <w:gridSpan w:val="3"/>
            <w:tcBorders>
              <w:top w:val="single" w:sz="4" w:space="0" w:color="auto"/>
              <w:bottom w:val="single" w:sz="4" w:space="0" w:color="A6A6A6"/>
            </w:tcBorders>
          </w:tcPr>
          <w:p w14:paraId="482E8DB4" w14:textId="77777777" w:rsidR="005B131E" w:rsidRPr="00BA7805" w:rsidRDefault="005B131E" w:rsidP="002542E1">
            <w:pPr>
              <w:pStyle w:val="ARfintablebodybold"/>
              <w:rPr>
                <w:highlight w:val="green"/>
              </w:rPr>
            </w:pPr>
            <w:r w:rsidRPr="0011412D">
              <w:t>Commonwealth Government</w:t>
            </w:r>
          </w:p>
        </w:tc>
      </w:tr>
      <w:tr w:rsidR="005B131E" w:rsidRPr="00BA7805" w14:paraId="3B790FFF" w14:textId="77777777" w:rsidTr="002542E1">
        <w:tc>
          <w:tcPr>
            <w:tcW w:w="6915" w:type="dxa"/>
            <w:tcBorders>
              <w:top w:val="single" w:sz="4" w:space="0" w:color="A6A6A6"/>
              <w:bottom w:val="single" w:sz="4" w:space="0" w:color="auto"/>
            </w:tcBorders>
          </w:tcPr>
          <w:p w14:paraId="1F17CA06" w14:textId="77777777" w:rsidR="005B131E" w:rsidRPr="00BA7805" w:rsidRDefault="005B131E" w:rsidP="002542E1">
            <w:pPr>
              <w:pStyle w:val="ARfintablebody"/>
              <w:rPr>
                <w:highlight w:val="green"/>
              </w:rPr>
            </w:pPr>
            <w:r w:rsidRPr="0011412D">
              <w:t xml:space="preserve">National Disability Insurance Agency </w:t>
            </w:r>
          </w:p>
        </w:tc>
        <w:tc>
          <w:tcPr>
            <w:tcW w:w="1361" w:type="dxa"/>
            <w:tcBorders>
              <w:top w:val="single" w:sz="4" w:space="0" w:color="A6A6A6"/>
              <w:bottom w:val="single" w:sz="4" w:space="0" w:color="auto"/>
            </w:tcBorders>
            <w:shd w:val="clear" w:color="auto" w:fill="E7E6E6"/>
            <w:noWrap/>
          </w:tcPr>
          <w:p w14:paraId="6EADFE5A" w14:textId="77777777" w:rsidR="005B131E" w:rsidRPr="00BA7805" w:rsidRDefault="005B131E" w:rsidP="002542E1">
            <w:pPr>
              <w:pStyle w:val="ARfintablebodyright"/>
              <w:rPr>
                <w:highlight w:val="green"/>
              </w:rPr>
            </w:pPr>
            <w:r w:rsidRPr="0011412D">
              <w:t>2,850.4</w:t>
            </w:r>
          </w:p>
        </w:tc>
        <w:tc>
          <w:tcPr>
            <w:tcW w:w="1361" w:type="dxa"/>
            <w:tcBorders>
              <w:top w:val="single" w:sz="4" w:space="0" w:color="A6A6A6"/>
              <w:bottom w:val="single" w:sz="4" w:space="0" w:color="auto"/>
            </w:tcBorders>
            <w:noWrap/>
          </w:tcPr>
          <w:p w14:paraId="2403A90D" w14:textId="77777777" w:rsidR="005B131E" w:rsidRPr="00BA7805" w:rsidRDefault="005B131E" w:rsidP="002542E1">
            <w:pPr>
              <w:pStyle w:val="ARfintablebodyright"/>
              <w:rPr>
                <w:highlight w:val="green"/>
              </w:rPr>
            </w:pPr>
            <w:r w:rsidRPr="0011412D">
              <w:t>2,674.7</w:t>
            </w:r>
          </w:p>
        </w:tc>
      </w:tr>
      <w:tr w:rsidR="005B131E" w:rsidRPr="00BA7805" w14:paraId="50CA77EB" w14:textId="77777777" w:rsidTr="003D7AC8">
        <w:tc>
          <w:tcPr>
            <w:tcW w:w="9637" w:type="dxa"/>
            <w:gridSpan w:val="3"/>
            <w:tcBorders>
              <w:top w:val="single" w:sz="4" w:space="0" w:color="auto"/>
              <w:bottom w:val="single" w:sz="4" w:space="0" w:color="A6A6A6"/>
            </w:tcBorders>
          </w:tcPr>
          <w:p w14:paraId="2E676CEC" w14:textId="77777777" w:rsidR="005B131E" w:rsidRPr="00BA7805" w:rsidRDefault="005B131E" w:rsidP="002542E1">
            <w:pPr>
              <w:pStyle w:val="ARfintablebodybold"/>
              <w:rPr>
                <w:highlight w:val="green"/>
              </w:rPr>
            </w:pPr>
            <w:r w:rsidRPr="000C0231">
              <w:t>Other</w:t>
            </w:r>
          </w:p>
        </w:tc>
      </w:tr>
      <w:tr w:rsidR="005B131E" w:rsidRPr="00BA7805" w14:paraId="0E6DB11E" w14:textId="77777777" w:rsidTr="002542E1">
        <w:tc>
          <w:tcPr>
            <w:tcW w:w="6915" w:type="dxa"/>
            <w:tcBorders>
              <w:top w:val="single" w:sz="4" w:space="0" w:color="A6A6A6"/>
            </w:tcBorders>
          </w:tcPr>
          <w:p w14:paraId="02675894" w14:textId="77777777" w:rsidR="005B131E" w:rsidRPr="00BA7805" w:rsidRDefault="005B131E" w:rsidP="002542E1">
            <w:pPr>
              <w:pStyle w:val="ARfintablebody"/>
              <w:rPr>
                <w:highlight w:val="green"/>
              </w:rPr>
            </w:pPr>
            <w:r w:rsidRPr="00E43646">
              <w:t>Other organisations with payments totalling less than $10 million</w:t>
            </w:r>
          </w:p>
        </w:tc>
        <w:tc>
          <w:tcPr>
            <w:tcW w:w="1361" w:type="dxa"/>
            <w:tcBorders>
              <w:top w:val="single" w:sz="4" w:space="0" w:color="A6A6A6"/>
            </w:tcBorders>
            <w:shd w:val="clear" w:color="auto" w:fill="E7E6E6"/>
            <w:noWrap/>
          </w:tcPr>
          <w:p w14:paraId="51BDCFF3" w14:textId="77777777" w:rsidR="005B131E" w:rsidRPr="00BA7805" w:rsidRDefault="005B131E" w:rsidP="002542E1">
            <w:pPr>
              <w:pStyle w:val="ARfintablebodyright"/>
              <w:rPr>
                <w:highlight w:val="green"/>
              </w:rPr>
            </w:pPr>
            <w:r w:rsidRPr="00E43646">
              <w:t>18.4</w:t>
            </w:r>
          </w:p>
        </w:tc>
        <w:tc>
          <w:tcPr>
            <w:tcW w:w="1361" w:type="dxa"/>
            <w:tcBorders>
              <w:top w:val="single" w:sz="4" w:space="0" w:color="A6A6A6"/>
            </w:tcBorders>
            <w:noWrap/>
          </w:tcPr>
          <w:p w14:paraId="79DF813B" w14:textId="77777777" w:rsidR="005B131E" w:rsidRPr="00BA7805" w:rsidRDefault="005B131E" w:rsidP="002542E1">
            <w:pPr>
              <w:pStyle w:val="ARfintablebodyright"/>
              <w:rPr>
                <w:highlight w:val="green"/>
              </w:rPr>
            </w:pPr>
            <w:r w:rsidRPr="00E43646">
              <w:t>45.3</w:t>
            </w:r>
          </w:p>
        </w:tc>
      </w:tr>
      <w:tr w:rsidR="005B131E" w:rsidRPr="00BA7805" w14:paraId="01EAD26F" w14:textId="77777777" w:rsidTr="002542E1">
        <w:tc>
          <w:tcPr>
            <w:tcW w:w="6915" w:type="dxa"/>
          </w:tcPr>
          <w:p w14:paraId="213088F8" w14:textId="77777777" w:rsidR="005B131E" w:rsidRPr="00BA7805" w:rsidRDefault="005B131E" w:rsidP="002542E1">
            <w:pPr>
              <w:pStyle w:val="ARfintablebodybold"/>
              <w:rPr>
                <w:highlight w:val="green"/>
              </w:rPr>
            </w:pPr>
            <w:r w:rsidRPr="00E43646">
              <w:t>Total grants and other expense transfers</w:t>
            </w:r>
          </w:p>
        </w:tc>
        <w:tc>
          <w:tcPr>
            <w:tcW w:w="1361" w:type="dxa"/>
            <w:shd w:val="clear" w:color="auto" w:fill="E7E6E6"/>
            <w:noWrap/>
          </w:tcPr>
          <w:p w14:paraId="5E0346FE" w14:textId="77777777" w:rsidR="005B131E" w:rsidRPr="00BA7805" w:rsidRDefault="005B131E" w:rsidP="002542E1">
            <w:pPr>
              <w:pStyle w:val="ARfintablebodyrightbold"/>
              <w:rPr>
                <w:highlight w:val="green"/>
              </w:rPr>
            </w:pPr>
            <w:r w:rsidRPr="00E43646">
              <w:t>2,868.8</w:t>
            </w:r>
          </w:p>
        </w:tc>
        <w:tc>
          <w:tcPr>
            <w:tcW w:w="1361" w:type="dxa"/>
            <w:noWrap/>
          </w:tcPr>
          <w:p w14:paraId="3EC76141" w14:textId="77777777" w:rsidR="005B131E" w:rsidRPr="00BA7805" w:rsidRDefault="005B131E" w:rsidP="002542E1">
            <w:pPr>
              <w:pStyle w:val="ARfintablebodyrightbold"/>
              <w:rPr>
                <w:highlight w:val="green"/>
              </w:rPr>
            </w:pPr>
            <w:r w:rsidRPr="00E43646">
              <w:t>2,720.1</w:t>
            </w:r>
          </w:p>
        </w:tc>
      </w:tr>
    </w:tbl>
    <w:p w14:paraId="28979B4E" w14:textId="77777777" w:rsidR="005B131E" w:rsidRPr="00BA7805" w:rsidRDefault="005B131E">
      <w:pPr>
        <w:pStyle w:val="ARfinbody"/>
        <w:rPr>
          <w:highlight w:val="green"/>
        </w:rPr>
      </w:pPr>
      <w:r w:rsidRPr="00BA7805">
        <w:rPr>
          <w:highlight w:val="green"/>
        </w:rPr>
        <w:br w:type="page"/>
      </w:r>
    </w:p>
    <w:p w14:paraId="5B2DD4E8" w14:textId="77777777" w:rsidR="005B131E" w:rsidRPr="000F1D8D" w:rsidRDefault="005B131E">
      <w:pPr>
        <w:pStyle w:val="Heading4"/>
        <w:rPr>
          <w:lang w:eastAsia="en-AU"/>
        </w:rPr>
      </w:pPr>
      <w:r w:rsidRPr="000F1D8D">
        <w:rPr>
          <w:lang w:eastAsia="en-AU"/>
        </w:rPr>
        <w:t>4.3 Restructuring of administrative arrangements</w:t>
      </w:r>
    </w:p>
    <w:p w14:paraId="084DA366" w14:textId="77777777" w:rsidR="005B131E" w:rsidRPr="006A0AAD" w:rsidRDefault="005B131E" w:rsidP="002542E1">
      <w:pPr>
        <w:pStyle w:val="ARfinbody"/>
        <w:rPr>
          <w:rStyle w:val="Strong"/>
        </w:rPr>
      </w:pPr>
      <w:r w:rsidRPr="006A0AAD">
        <w:rPr>
          <w:rStyle w:val="Strong"/>
        </w:rPr>
        <w:t>Transfer of function and net assets from Department of Families, Fairness and Housing to Department of Premier and Cabinet from 1 February 2024</w:t>
      </w:r>
    </w:p>
    <w:p w14:paraId="25822EBD" w14:textId="77777777" w:rsidR="005B131E" w:rsidRDefault="005B131E" w:rsidP="002542E1">
      <w:pPr>
        <w:pStyle w:val="ARfinbody"/>
      </w:pPr>
      <w:r>
        <w:t>The Department of Families, Fairness and Housing (as transferor) transferred the Multicultural Affairs functions to the Department of Premier and Cabinet (as transferee) effective from 1 February 2024.</w:t>
      </w:r>
    </w:p>
    <w:p w14:paraId="0E47C25C" w14:textId="7AB8E16B" w:rsidR="005B131E" w:rsidRDefault="005B131E" w:rsidP="002542E1">
      <w:pPr>
        <w:pStyle w:val="ARfinbodylargespace"/>
      </w:pPr>
      <w:r>
        <w:t>The net assets transferred by the department for these functions are at the carrying amount of those assets in the department</w:t>
      </w:r>
      <w:r w:rsidR="00711AE6">
        <w:t>’</w:t>
      </w:r>
      <w:r>
        <w:t>s respective balance sheets immediately before the transfers:</w:t>
      </w:r>
    </w:p>
    <w:tbl>
      <w:tblPr>
        <w:tblStyle w:val="TableGrid"/>
        <w:tblW w:w="0" w:type="auto"/>
        <w:tblLook w:val="04A0" w:firstRow="1" w:lastRow="0" w:firstColumn="1" w:lastColumn="0" w:noHBand="0" w:noVBand="1"/>
      </w:tblPr>
      <w:tblGrid>
        <w:gridCol w:w="5382"/>
        <w:gridCol w:w="1415"/>
        <w:gridCol w:w="1415"/>
        <w:gridCol w:w="1416"/>
      </w:tblGrid>
      <w:tr w:rsidR="00AF6F94" w14:paraId="639FE439" w14:textId="77777777" w:rsidTr="002542E1">
        <w:trPr>
          <w:cnfStyle w:val="100000000000" w:firstRow="1" w:lastRow="0" w:firstColumn="0" w:lastColumn="0" w:oddVBand="0" w:evenVBand="0" w:oddHBand="0" w:evenHBand="0" w:firstRowFirstColumn="0" w:firstRowLastColumn="0" w:lastRowFirstColumn="0" w:lastRowLastColumn="0"/>
        </w:trPr>
        <w:tc>
          <w:tcPr>
            <w:tcW w:w="5382" w:type="dxa"/>
            <w:tcBorders>
              <w:top w:val="single" w:sz="4" w:space="0" w:color="000000" w:themeColor="text1"/>
            </w:tcBorders>
          </w:tcPr>
          <w:p w14:paraId="71F7F1A6" w14:textId="77777777" w:rsidR="005B131E" w:rsidRDefault="005B131E" w:rsidP="002542E1">
            <w:pPr>
              <w:pStyle w:val="ARfintablecolhead"/>
            </w:pPr>
            <w:r w:rsidRPr="00320506">
              <w:t>Function</w:t>
            </w:r>
          </w:p>
        </w:tc>
        <w:tc>
          <w:tcPr>
            <w:tcW w:w="1415" w:type="dxa"/>
            <w:tcBorders>
              <w:top w:val="single" w:sz="4" w:space="0" w:color="000000" w:themeColor="text1"/>
            </w:tcBorders>
            <w:shd w:val="clear" w:color="auto" w:fill="E7E6E6" w:themeFill="accent4"/>
          </w:tcPr>
          <w:p w14:paraId="4FFE7047" w14:textId="77777777" w:rsidR="005B131E" w:rsidRDefault="005B131E" w:rsidP="002542E1">
            <w:pPr>
              <w:pStyle w:val="ARtablecolheadright"/>
            </w:pPr>
            <w:r w:rsidRPr="00320506">
              <w:t>Transferor</w:t>
            </w:r>
          </w:p>
        </w:tc>
        <w:tc>
          <w:tcPr>
            <w:tcW w:w="1415" w:type="dxa"/>
            <w:tcBorders>
              <w:top w:val="single" w:sz="4" w:space="0" w:color="000000" w:themeColor="text1"/>
            </w:tcBorders>
          </w:tcPr>
          <w:p w14:paraId="6F26411C" w14:textId="77777777" w:rsidR="005B131E" w:rsidRDefault="005B131E" w:rsidP="002542E1">
            <w:pPr>
              <w:pStyle w:val="ARtablecolheadright"/>
            </w:pPr>
            <w:r w:rsidRPr="00320506">
              <w:t>Transferee</w:t>
            </w:r>
          </w:p>
        </w:tc>
        <w:tc>
          <w:tcPr>
            <w:tcW w:w="1416" w:type="dxa"/>
            <w:tcBorders>
              <w:top w:val="single" w:sz="4" w:space="0" w:color="000000" w:themeColor="text1"/>
            </w:tcBorders>
            <w:shd w:val="clear" w:color="auto" w:fill="E7E6E6" w:themeFill="accent4"/>
          </w:tcPr>
          <w:p w14:paraId="299CCFE6" w14:textId="77777777" w:rsidR="005B131E" w:rsidRDefault="005B131E" w:rsidP="002542E1">
            <w:pPr>
              <w:pStyle w:val="ARtablecolheadright"/>
            </w:pPr>
            <w:r w:rsidRPr="00320506">
              <w:t>2024</w:t>
            </w:r>
          </w:p>
          <w:p w14:paraId="7FE086CA" w14:textId="77777777" w:rsidR="005B131E" w:rsidRDefault="005B131E" w:rsidP="002542E1">
            <w:pPr>
              <w:pStyle w:val="ARtablecolheadright"/>
            </w:pPr>
            <w:r w:rsidRPr="00320506">
              <w:t>$M</w:t>
            </w:r>
          </w:p>
        </w:tc>
      </w:tr>
      <w:tr w:rsidR="005B131E" w14:paraId="48A4D0CB" w14:textId="77777777" w:rsidTr="002542E1">
        <w:tc>
          <w:tcPr>
            <w:tcW w:w="5382" w:type="dxa"/>
          </w:tcPr>
          <w:p w14:paraId="08034DD4" w14:textId="77777777" w:rsidR="005B131E" w:rsidRDefault="005B131E" w:rsidP="002542E1">
            <w:pPr>
              <w:pStyle w:val="ARfintablebody"/>
            </w:pPr>
            <w:r w:rsidRPr="0037594B">
              <w:t>Multicultural Affairs</w:t>
            </w:r>
          </w:p>
        </w:tc>
        <w:tc>
          <w:tcPr>
            <w:tcW w:w="1415" w:type="dxa"/>
            <w:shd w:val="clear" w:color="auto" w:fill="E7E6E6" w:themeFill="accent4"/>
          </w:tcPr>
          <w:p w14:paraId="01CD7FCF" w14:textId="77777777" w:rsidR="005B131E" w:rsidRDefault="005B131E" w:rsidP="002542E1">
            <w:pPr>
              <w:pStyle w:val="ARtabletextright"/>
            </w:pPr>
            <w:r w:rsidRPr="0037594B">
              <w:t>Department of Families, Fairness and Housing</w:t>
            </w:r>
          </w:p>
        </w:tc>
        <w:tc>
          <w:tcPr>
            <w:tcW w:w="1415" w:type="dxa"/>
          </w:tcPr>
          <w:p w14:paraId="43ACC7BE" w14:textId="77777777" w:rsidR="005B131E" w:rsidRDefault="005B131E" w:rsidP="002542E1">
            <w:pPr>
              <w:pStyle w:val="ARtabletextright"/>
            </w:pPr>
            <w:r w:rsidRPr="0037594B">
              <w:t>Department of Premier and Cabinet</w:t>
            </w:r>
          </w:p>
        </w:tc>
        <w:tc>
          <w:tcPr>
            <w:tcW w:w="1416" w:type="dxa"/>
            <w:shd w:val="clear" w:color="auto" w:fill="E7E6E6" w:themeFill="accent4"/>
          </w:tcPr>
          <w:p w14:paraId="5677AFEC" w14:textId="77777777" w:rsidR="005B131E" w:rsidRDefault="005B131E" w:rsidP="002542E1">
            <w:pPr>
              <w:pStyle w:val="ARtabletextright"/>
            </w:pPr>
            <w:r w:rsidRPr="0037594B">
              <w:t xml:space="preserve"> 0.9 </w:t>
            </w:r>
          </w:p>
        </w:tc>
      </w:tr>
    </w:tbl>
    <w:p w14:paraId="75EAD056" w14:textId="77777777" w:rsidR="005B131E" w:rsidRPr="009951B1" w:rsidRDefault="005B131E" w:rsidP="002542E1">
      <w:pPr>
        <w:pStyle w:val="ARfinbodyaftertable"/>
        <w:spacing w:after="240"/>
      </w:pPr>
      <w:r w:rsidRPr="009951B1">
        <w:t>The net asset transfers were treated as a contribution of capital by the state.</w:t>
      </w:r>
    </w:p>
    <w:tbl>
      <w:tblPr>
        <w:tblStyle w:val="TableGrid"/>
        <w:tblW w:w="9639" w:type="dxa"/>
        <w:tblLayout w:type="fixed"/>
        <w:tblLook w:val="06A0" w:firstRow="1" w:lastRow="0" w:firstColumn="1" w:lastColumn="0" w:noHBand="1" w:noVBand="1"/>
      </w:tblPr>
      <w:tblGrid>
        <w:gridCol w:w="6091"/>
        <w:gridCol w:w="1842"/>
        <w:gridCol w:w="1706"/>
      </w:tblGrid>
      <w:tr w:rsidR="005B131E" w:rsidRPr="00BA7805" w14:paraId="09F5608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091" w:type="dxa"/>
            <w:tcBorders>
              <w:bottom w:val="single" w:sz="4" w:space="0" w:color="auto"/>
            </w:tcBorders>
            <w:hideMark/>
          </w:tcPr>
          <w:p w14:paraId="4C477637" w14:textId="77777777" w:rsidR="005B131E" w:rsidRPr="00BA7805" w:rsidRDefault="005B131E">
            <w:pPr>
              <w:pStyle w:val="ARfintablecolhead"/>
              <w:rPr>
                <w:highlight w:val="green"/>
              </w:rPr>
            </w:pPr>
          </w:p>
        </w:tc>
        <w:tc>
          <w:tcPr>
            <w:tcW w:w="1842" w:type="dxa"/>
            <w:tcBorders>
              <w:bottom w:val="single" w:sz="4" w:space="0" w:color="auto"/>
            </w:tcBorders>
            <w:shd w:val="clear" w:color="auto" w:fill="E7E6E6" w:themeFill="accent4"/>
            <w:hideMark/>
          </w:tcPr>
          <w:p w14:paraId="6C8F094C" w14:textId="77777777" w:rsidR="005B131E" w:rsidRDefault="005B131E">
            <w:pPr>
              <w:pStyle w:val="ARfintablecolheadright"/>
            </w:pPr>
            <w:r w:rsidRPr="000F1D8D">
              <w:t>2024</w:t>
            </w:r>
          </w:p>
          <w:p w14:paraId="4664A956" w14:textId="77777777" w:rsidR="005B131E" w:rsidRPr="000F1D8D" w:rsidRDefault="005B131E">
            <w:pPr>
              <w:pStyle w:val="ARfintablecolheadright"/>
            </w:pPr>
            <w:r w:rsidRPr="000F1D8D">
              <w:t xml:space="preserve">DFFH – transfer </w:t>
            </w:r>
            <w:r>
              <w:t>out</w:t>
            </w:r>
          </w:p>
          <w:p w14:paraId="1EC1247B" w14:textId="77777777" w:rsidR="005B131E" w:rsidRPr="000F1D8D" w:rsidRDefault="005B131E">
            <w:pPr>
              <w:pStyle w:val="ARfintablecolheadright"/>
            </w:pPr>
            <w:r w:rsidRPr="000F1D8D">
              <w:t>$M</w:t>
            </w:r>
          </w:p>
        </w:tc>
        <w:tc>
          <w:tcPr>
            <w:tcW w:w="1706" w:type="dxa"/>
            <w:tcBorders>
              <w:bottom w:val="single" w:sz="4" w:space="0" w:color="auto"/>
            </w:tcBorders>
            <w:hideMark/>
          </w:tcPr>
          <w:p w14:paraId="72A14D29" w14:textId="77777777" w:rsidR="005B131E" w:rsidRDefault="005B131E">
            <w:pPr>
              <w:pStyle w:val="ARfintablecolheadright"/>
            </w:pPr>
            <w:r>
              <w:t>2024</w:t>
            </w:r>
          </w:p>
          <w:p w14:paraId="311A0CDD" w14:textId="77777777" w:rsidR="005B131E" w:rsidRPr="000F1D8D" w:rsidRDefault="005B131E">
            <w:pPr>
              <w:pStyle w:val="ARfintablecolheadright"/>
            </w:pPr>
            <w:r w:rsidRPr="000F1D8D">
              <w:t>Net transfer</w:t>
            </w:r>
          </w:p>
          <w:p w14:paraId="4F6C5493" w14:textId="77777777" w:rsidR="005B131E" w:rsidRPr="000F1D8D" w:rsidRDefault="005B131E">
            <w:pPr>
              <w:pStyle w:val="ARfintablecolheadright"/>
            </w:pPr>
            <w:r w:rsidRPr="000F1D8D">
              <w:t>$M</w:t>
            </w:r>
          </w:p>
        </w:tc>
      </w:tr>
      <w:tr w:rsidR="005B131E" w:rsidRPr="00BA7805" w14:paraId="6F2DC170" w14:textId="77777777" w:rsidTr="002542E1">
        <w:tc>
          <w:tcPr>
            <w:tcW w:w="9639" w:type="dxa"/>
            <w:gridSpan w:val="3"/>
            <w:tcBorders>
              <w:top w:val="single" w:sz="4" w:space="0" w:color="auto"/>
              <w:bottom w:val="single" w:sz="4" w:space="0" w:color="A6A6A6"/>
            </w:tcBorders>
            <w:shd w:val="clear" w:color="auto" w:fill="auto"/>
            <w:hideMark/>
          </w:tcPr>
          <w:p w14:paraId="2584B558" w14:textId="77777777" w:rsidR="005B131E" w:rsidRPr="00BA7805" w:rsidRDefault="005B131E">
            <w:pPr>
              <w:pStyle w:val="ARfintablebodybold"/>
              <w:rPr>
                <w:highlight w:val="green"/>
              </w:rPr>
            </w:pPr>
            <w:r w:rsidRPr="00150801">
              <w:t>Assets</w:t>
            </w:r>
          </w:p>
        </w:tc>
      </w:tr>
      <w:tr w:rsidR="005B131E" w:rsidRPr="00BA7805" w14:paraId="2C6D6B76" w14:textId="77777777" w:rsidTr="002542E1">
        <w:tc>
          <w:tcPr>
            <w:tcW w:w="6091" w:type="dxa"/>
            <w:tcBorders>
              <w:top w:val="single" w:sz="4" w:space="0" w:color="A6A6A6"/>
              <w:bottom w:val="single" w:sz="4" w:space="0" w:color="A6A6A6"/>
            </w:tcBorders>
          </w:tcPr>
          <w:p w14:paraId="4962E909" w14:textId="77777777" w:rsidR="005B131E" w:rsidRPr="00BA7805" w:rsidRDefault="005B131E" w:rsidP="002542E1">
            <w:pPr>
              <w:pStyle w:val="ARfintablebody"/>
              <w:rPr>
                <w:highlight w:val="green"/>
              </w:rPr>
            </w:pPr>
            <w:r w:rsidRPr="00B23DA0">
              <w:t>Cash and deposits</w:t>
            </w:r>
          </w:p>
        </w:tc>
        <w:tc>
          <w:tcPr>
            <w:tcW w:w="1842" w:type="dxa"/>
            <w:tcBorders>
              <w:top w:val="single" w:sz="4" w:space="0" w:color="A6A6A6"/>
              <w:bottom w:val="single" w:sz="4" w:space="0" w:color="A6A6A6"/>
            </w:tcBorders>
            <w:shd w:val="clear" w:color="auto" w:fill="E7E6E6" w:themeFill="accent4"/>
            <w:noWrap/>
          </w:tcPr>
          <w:p w14:paraId="7292E824" w14:textId="77777777" w:rsidR="005B131E" w:rsidRPr="00BA7805" w:rsidRDefault="005B131E" w:rsidP="002542E1">
            <w:pPr>
              <w:pStyle w:val="ARfintablebodyright"/>
              <w:rPr>
                <w:highlight w:val="green"/>
              </w:rPr>
            </w:pPr>
            <w:r w:rsidRPr="00B23DA0">
              <w:t>0.9</w:t>
            </w:r>
          </w:p>
        </w:tc>
        <w:tc>
          <w:tcPr>
            <w:tcW w:w="1706" w:type="dxa"/>
            <w:tcBorders>
              <w:top w:val="single" w:sz="4" w:space="0" w:color="A6A6A6"/>
              <w:bottom w:val="single" w:sz="4" w:space="0" w:color="A6A6A6"/>
            </w:tcBorders>
            <w:noWrap/>
          </w:tcPr>
          <w:p w14:paraId="08E0A02C" w14:textId="77777777" w:rsidR="005B131E" w:rsidRPr="00BA7805" w:rsidRDefault="005B131E" w:rsidP="002542E1">
            <w:pPr>
              <w:pStyle w:val="ARfintablebodyright"/>
              <w:rPr>
                <w:highlight w:val="green"/>
              </w:rPr>
            </w:pPr>
            <w:r w:rsidRPr="00B23DA0">
              <w:t>0.9</w:t>
            </w:r>
          </w:p>
        </w:tc>
      </w:tr>
      <w:tr w:rsidR="005B131E" w:rsidRPr="00BA7805" w14:paraId="25A863FB" w14:textId="77777777" w:rsidTr="002542E1">
        <w:tc>
          <w:tcPr>
            <w:tcW w:w="6091" w:type="dxa"/>
            <w:tcBorders>
              <w:top w:val="single" w:sz="4" w:space="0" w:color="A6A6A6"/>
              <w:bottom w:val="single" w:sz="4" w:space="0" w:color="A6A6A6"/>
            </w:tcBorders>
          </w:tcPr>
          <w:p w14:paraId="7CC05F89" w14:textId="77777777" w:rsidR="005B131E" w:rsidRPr="00BA7805" w:rsidRDefault="005B131E" w:rsidP="002542E1">
            <w:pPr>
              <w:pStyle w:val="ARfintablebody"/>
              <w:rPr>
                <w:highlight w:val="green"/>
              </w:rPr>
            </w:pPr>
            <w:r w:rsidRPr="00B23DA0">
              <w:t>Receivables</w:t>
            </w:r>
          </w:p>
        </w:tc>
        <w:tc>
          <w:tcPr>
            <w:tcW w:w="1842" w:type="dxa"/>
            <w:tcBorders>
              <w:top w:val="single" w:sz="4" w:space="0" w:color="A6A6A6"/>
              <w:bottom w:val="single" w:sz="4" w:space="0" w:color="A6A6A6"/>
            </w:tcBorders>
            <w:shd w:val="clear" w:color="auto" w:fill="E7E6E6" w:themeFill="accent4"/>
            <w:noWrap/>
          </w:tcPr>
          <w:p w14:paraId="7B1E0A85" w14:textId="77777777" w:rsidR="005B131E" w:rsidRPr="00BA7805" w:rsidRDefault="005B131E" w:rsidP="002542E1">
            <w:pPr>
              <w:pStyle w:val="ARfintablebodyright"/>
              <w:rPr>
                <w:highlight w:val="green"/>
              </w:rPr>
            </w:pPr>
            <w:r w:rsidRPr="00B23DA0">
              <w:t>2.5</w:t>
            </w:r>
          </w:p>
        </w:tc>
        <w:tc>
          <w:tcPr>
            <w:tcW w:w="1706" w:type="dxa"/>
            <w:tcBorders>
              <w:top w:val="single" w:sz="4" w:space="0" w:color="A6A6A6"/>
              <w:bottom w:val="single" w:sz="4" w:space="0" w:color="A6A6A6"/>
            </w:tcBorders>
            <w:noWrap/>
          </w:tcPr>
          <w:p w14:paraId="4A8684FB" w14:textId="77777777" w:rsidR="005B131E" w:rsidRPr="00BA7805" w:rsidRDefault="005B131E" w:rsidP="002542E1">
            <w:pPr>
              <w:pStyle w:val="ARfintablebodyright"/>
              <w:rPr>
                <w:highlight w:val="green"/>
              </w:rPr>
            </w:pPr>
            <w:r w:rsidRPr="00B23DA0">
              <w:t>2.5</w:t>
            </w:r>
          </w:p>
        </w:tc>
      </w:tr>
      <w:tr w:rsidR="005B131E" w:rsidRPr="00BA7805" w14:paraId="269403EA" w14:textId="77777777" w:rsidTr="002542E1">
        <w:tc>
          <w:tcPr>
            <w:tcW w:w="6091" w:type="dxa"/>
            <w:tcBorders>
              <w:top w:val="single" w:sz="4" w:space="0" w:color="A6A6A6"/>
              <w:bottom w:val="single" w:sz="4" w:space="0" w:color="A6A6A6"/>
            </w:tcBorders>
          </w:tcPr>
          <w:p w14:paraId="48106302" w14:textId="77777777" w:rsidR="005B131E" w:rsidRPr="00BA7805" w:rsidRDefault="005B131E" w:rsidP="002542E1">
            <w:pPr>
              <w:pStyle w:val="ARfintablebody"/>
              <w:rPr>
                <w:highlight w:val="green"/>
              </w:rPr>
            </w:pPr>
            <w:r w:rsidRPr="00B23DA0">
              <w:t>Leased assets</w:t>
            </w:r>
          </w:p>
        </w:tc>
        <w:tc>
          <w:tcPr>
            <w:tcW w:w="1842" w:type="dxa"/>
            <w:tcBorders>
              <w:top w:val="single" w:sz="4" w:space="0" w:color="A6A6A6"/>
              <w:bottom w:val="single" w:sz="4" w:space="0" w:color="A6A6A6"/>
            </w:tcBorders>
            <w:shd w:val="clear" w:color="auto" w:fill="E7E6E6" w:themeFill="accent4"/>
            <w:noWrap/>
          </w:tcPr>
          <w:p w14:paraId="37B320DD" w14:textId="77777777" w:rsidR="005B131E" w:rsidRPr="00BA7805" w:rsidRDefault="005B131E" w:rsidP="002542E1">
            <w:pPr>
              <w:pStyle w:val="ARfintablebodyright"/>
              <w:rPr>
                <w:highlight w:val="green"/>
              </w:rPr>
            </w:pPr>
            <w:r w:rsidRPr="00B23DA0">
              <w:t>0.1</w:t>
            </w:r>
          </w:p>
        </w:tc>
        <w:tc>
          <w:tcPr>
            <w:tcW w:w="1706" w:type="dxa"/>
            <w:tcBorders>
              <w:top w:val="single" w:sz="4" w:space="0" w:color="A6A6A6"/>
              <w:bottom w:val="single" w:sz="4" w:space="0" w:color="A6A6A6"/>
            </w:tcBorders>
            <w:noWrap/>
          </w:tcPr>
          <w:p w14:paraId="6E008FA8" w14:textId="77777777" w:rsidR="005B131E" w:rsidRPr="00BA7805" w:rsidRDefault="005B131E" w:rsidP="002542E1">
            <w:pPr>
              <w:pStyle w:val="ARfintablebodyright"/>
              <w:rPr>
                <w:highlight w:val="green"/>
              </w:rPr>
            </w:pPr>
            <w:r w:rsidRPr="00B23DA0">
              <w:t>0.1</w:t>
            </w:r>
          </w:p>
        </w:tc>
      </w:tr>
      <w:tr w:rsidR="005B131E" w:rsidRPr="00BA7805" w14:paraId="60BCAD2E" w14:textId="77777777" w:rsidTr="002542E1">
        <w:tc>
          <w:tcPr>
            <w:tcW w:w="9639" w:type="dxa"/>
            <w:gridSpan w:val="3"/>
            <w:tcBorders>
              <w:top w:val="single" w:sz="4" w:space="0" w:color="A6A6A6"/>
              <w:bottom w:val="single" w:sz="4" w:space="0" w:color="A6A6A6"/>
            </w:tcBorders>
            <w:shd w:val="clear" w:color="auto" w:fill="auto"/>
          </w:tcPr>
          <w:p w14:paraId="1766E06E" w14:textId="77777777" w:rsidR="005B131E" w:rsidRPr="00BA7805" w:rsidRDefault="005B131E" w:rsidP="002542E1">
            <w:pPr>
              <w:pStyle w:val="ARfintablebodybold"/>
              <w:rPr>
                <w:highlight w:val="green"/>
              </w:rPr>
            </w:pPr>
            <w:r w:rsidRPr="00B23DA0">
              <w:t>Liabilities</w:t>
            </w:r>
          </w:p>
        </w:tc>
      </w:tr>
      <w:tr w:rsidR="005B131E" w:rsidRPr="00BA7805" w14:paraId="656976A0" w14:textId="77777777" w:rsidTr="002542E1">
        <w:tc>
          <w:tcPr>
            <w:tcW w:w="6091" w:type="dxa"/>
            <w:tcBorders>
              <w:top w:val="single" w:sz="4" w:space="0" w:color="A6A6A6"/>
              <w:bottom w:val="single" w:sz="4" w:space="0" w:color="A6A6A6"/>
            </w:tcBorders>
          </w:tcPr>
          <w:p w14:paraId="414CBA04" w14:textId="77777777" w:rsidR="005B131E" w:rsidRPr="00BA7805" w:rsidRDefault="005B131E" w:rsidP="002542E1">
            <w:pPr>
              <w:pStyle w:val="ARfintablebody"/>
              <w:rPr>
                <w:highlight w:val="green"/>
              </w:rPr>
            </w:pPr>
            <w:r w:rsidRPr="00B23DA0">
              <w:t>Payables and accruals</w:t>
            </w:r>
          </w:p>
        </w:tc>
        <w:tc>
          <w:tcPr>
            <w:tcW w:w="1842" w:type="dxa"/>
            <w:tcBorders>
              <w:top w:val="single" w:sz="4" w:space="0" w:color="A6A6A6"/>
              <w:bottom w:val="single" w:sz="4" w:space="0" w:color="A6A6A6"/>
            </w:tcBorders>
            <w:shd w:val="clear" w:color="auto" w:fill="E7E6E6" w:themeFill="accent4"/>
            <w:noWrap/>
          </w:tcPr>
          <w:p w14:paraId="37891268" w14:textId="77777777" w:rsidR="005B131E" w:rsidRPr="00BA7805" w:rsidRDefault="005B131E" w:rsidP="002542E1">
            <w:pPr>
              <w:pStyle w:val="ARfintablebodyright"/>
              <w:rPr>
                <w:highlight w:val="green"/>
              </w:rPr>
            </w:pPr>
            <w:r w:rsidRPr="00B23DA0">
              <w:t>(0.6)</w:t>
            </w:r>
          </w:p>
        </w:tc>
        <w:tc>
          <w:tcPr>
            <w:tcW w:w="1706" w:type="dxa"/>
            <w:tcBorders>
              <w:top w:val="single" w:sz="4" w:space="0" w:color="A6A6A6"/>
              <w:bottom w:val="single" w:sz="4" w:space="0" w:color="A6A6A6"/>
            </w:tcBorders>
            <w:noWrap/>
          </w:tcPr>
          <w:p w14:paraId="2093E94A" w14:textId="77777777" w:rsidR="005B131E" w:rsidRPr="00BA7805" w:rsidRDefault="005B131E" w:rsidP="002542E1">
            <w:pPr>
              <w:pStyle w:val="ARfintablebodyright"/>
              <w:rPr>
                <w:highlight w:val="green"/>
              </w:rPr>
            </w:pPr>
            <w:r w:rsidRPr="00B23DA0">
              <w:t>(0.6)</w:t>
            </w:r>
          </w:p>
        </w:tc>
      </w:tr>
      <w:tr w:rsidR="005B131E" w:rsidRPr="00BA7805" w14:paraId="13A7D7AD" w14:textId="77777777" w:rsidTr="002542E1">
        <w:tc>
          <w:tcPr>
            <w:tcW w:w="6091" w:type="dxa"/>
            <w:tcBorders>
              <w:top w:val="single" w:sz="4" w:space="0" w:color="A6A6A6"/>
              <w:bottom w:val="single" w:sz="4" w:space="0" w:color="A6A6A6"/>
            </w:tcBorders>
          </w:tcPr>
          <w:p w14:paraId="19F8C18D" w14:textId="77777777" w:rsidR="005B131E" w:rsidRPr="00BA7805" w:rsidRDefault="005B131E" w:rsidP="002542E1">
            <w:pPr>
              <w:pStyle w:val="ARfintablebody"/>
              <w:rPr>
                <w:highlight w:val="green"/>
              </w:rPr>
            </w:pPr>
            <w:r w:rsidRPr="00B23DA0">
              <w:t>Employee related provisions</w:t>
            </w:r>
          </w:p>
        </w:tc>
        <w:tc>
          <w:tcPr>
            <w:tcW w:w="1842" w:type="dxa"/>
            <w:tcBorders>
              <w:top w:val="single" w:sz="4" w:space="0" w:color="A6A6A6"/>
              <w:bottom w:val="single" w:sz="4" w:space="0" w:color="A6A6A6"/>
            </w:tcBorders>
            <w:shd w:val="clear" w:color="auto" w:fill="E7E6E6" w:themeFill="accent4"/>
            <w:noWrap/>
          </w:tcPr>
          <w:p w14:paraId="77260780" w14:textId="77777777" w:rsidR="005B131E" w:rsidRPr="00BA7805" w:rsidRDefault="005B131E" w:rsidP="002542E1">
            <w:pPr>
              <w:pStyle w:val="ARfintablebodyright"/>
              <w:rPr>
                <w:highlight w:val="green"/>
              </w:rPr>
            </w:pPr>
            <w:r w:rsidRPr="00B23DA0">
              <w:t>(1.9)</w:t>
            </w:r>
          </w:p>
        </w:tc>
        <w:tc>
          <w:tcPr>
            <w:tcW w:w="1706" w:type="dxa"/>
            <w:tcBorders>
              <w:top w:val="single" w:sz="4" w:space="0" w:color="A6A6A6"/>
              <w:bottom w:val="single" w:sz="4" w:space="0" w:color="A6A6A6"/>
            </w:tcBorders>
            <w:noWrap/>
          </w:tcPr>
          <w:p w14:paraId="08FAAC12" w14:textId="77777777" w:rsidR="005B131E" w:rsidRPr="00BA7805" w:rsidRDefault="005B131E" w:rsidP="002542E1">
            <w:pPr>
              <w:pStyle w:val="ARfintablebodyright"/>
              <w:rPr>
                <w:highlight w:val="green"/>
              </w:rPr>
            </w:pPr>
            <w:r w:rsidRPr="00B23DA0">
              <w:t>(1.9)</w:t>
            </w:r>
          </w:p>
        </w:tc>
      </w:tr>
      <w:tr w:rsidR="005B131E" w:rsidRPr="00BA7805" w14:paraId="481F5731" w14:textId="77777777" w:rsidTr="002542E1">
        <w:tc>
          <w:tcPr>
            <w:tcW w:w="6091" w:type="dxa"/>
            <w:tcBorders>
              <w:top w:val="single" w:sz="4" w:space="0" w:color="A6A6A6"/>
              <w:bottom w:val="single" w:sz="4" w:space="0" w:color="000000" w:themeColor="text1"/>
            </w:tcBorders>
          </w:tcPr>
          <w:p w14:paraId="2909D6F9" w14:textId="77777777" w:rsidR="005B131E" w:rsidRPr="00BA7805" w:rsidRDefault="005B131E" w:rsidP="002542E1">
            <w:pPr>
              <w:pStyle w:val="ARfintablebody"/>
              <w:rPr>
                <w:highlight w:val="green"/>
              </w:rPr>
            </w:pPr>
            <w:r w:rsidRPr="00B23DA0">
              <w:t>Lease liabilities</w:t>
            </w:r>
          </w:p>
        </w:tc>
        <w:tc>
          <w:tcPr>
            <w:tcW w:w="1842" w:type="dxa"/>
            <w:tcBorders>
              <w:top w:val="single" w:sz="4" w:space="0" w:color="A6A6A6"/>
              <w:bottom w:val="single" w:sz="4" w:space="0" w:color="000000" w:themeColor="text1"/>
            </w:tcBorders>
            <w:shd w:val="clear" w:color="auto" w:fill="E7E6E6" w:themeFill="accent4"/>
            <w:noWrap/>
          </w:tcPr>
          <w:p w14:paraId="7988E11A" w14:textId="77777777" w:rsidR="005B131E" w:rsidRPr="00BA7805" w:rsidRDefault="005B131E" w:rsidP="002542E1">
            <w:pPr>
              <w:pStyle w:val="ARfintablebodyright"/>
              <w:rPr>
                <w:highlight w:val="green"/>
              </w:rPr>
            </w:pPr>
            <w:r w:rsidRPr="00B23DA0">
              <w:t>(0.1)</w:t>
            </w:r>
          </w:p>
        </w:tc>
        <w:tc>
          <w:tcPr>
            <w:tcW w:w="1706" w:type="dxa"/>
            <w:tcBorders>
              <w:top w:val="single" w:sz="4" w:space="0" w:color="A6A6A6"/>
              <w:bottom w:val="single" w:sz="4" w:space="0" w:color="000000" w:themeColor="text1"/>
            </w:tcBorders>
            <w:noWrap/>
          </w:tcPr>
          <w:p w14:paraId="133089B3" w14:textId="77777777" w:rsidR="005B131E" w:rsidRPr="00BA7805" w:rsidRDefault="005B131E" w:rsidP="002542E1">
            <w:pPr>
              <w:pStyle w:val="ARfintablebodyright"/>
              <w:rPr>
                <w:highlight w:val="green"/>
              </w:rPr>
            </w:pPr>
            <w:r w:rsidRPr="00B23DA0">
              <w:t>(0.1)</w:t>
            </w:r>
          </w:p>
        </w:tc>
      </w:tr>
      <w:tr w:rsidR="005B131E" w:rsidRPr="00BA7805" w14:paraId="6BE7F772" w14:textId="77777777" w:rsidTr="002542E1">
        <w:tc>
          <w:tcPr>
            <w:tcW w:w="6091" w:type="dxa"/>
            <w:tcBorders>
              <w:top w:val="single" w:sz="4" w:space="0" w:color="000000" w:themeColor="text1"/>
              <w:bottom w:val="single" w:sz="4" w:space="0" w:color="000000" w:themeColor="text1"/>
            </w:tcBorders>
          </w:tcPr>
          <w:p w14:paraId="7560D15B" w14:textId="77777777" w:rsidR="005B131E" w:rsidRPr="00BA7805" w:rsidRDefault="005B131E" w:rsidP="002542E1">
            <w:pPr>
              <w:pStyle w:val="ARfintablebodybold"/>
              <w:rPr>
                <w:highlight w:val="green"/>
              </w:rPr>
            </w:pPr>
            <w:r w:rsidRPr="00B23DA0">
              <w:t>Net assets recognised/(transferred)</w:t>
            </w:r>
          </w:p>
        </w:tc>
        <w:tc>
          <w:tcPr>
            <w:tcW w:w="1842" w:type="dxa"/>
            <w:tcBorders>
              <w:top w:val="single" w:sz="4" w:space="0" w:color="000000" w:themeColor="text1"/>
              <w:bottom w:val="single" w:sz="4" w:space="0" w:color="000000" w:themeColor="text1"/>
            </w:tcBorders>
            <w:shd w:val="clear" w:color="auto" w:fill="E7E6E6" w:themeFill="accent4"/>
            <w:noWrap/>
          </w:tcPr>
          <w:p w14:paraId="1E4C991B" w14:textId="77777777" w:rsidR="005B131E" w:rsidRPr="00BA7805" w:rsidRDefault="005B131E" w:rsidP="002542E1">
            <w:pPr>
              <w:pStyle w:val="ARfintablebodyrightbold"/>
              <w:rPr>
                <w:highlight w:val="green"/>
              </w:rPr>
            </w:pPr>
            <w:r w:rsidRPr="00B23DA0">
              <w:t>0.9</w:t>
            </w:r>
          </w:p>
        </w:tc>
        <w:tc>
          <w:tcPr>
            <w:tcW w:w="1706" w:type="dxa"/>
            <w:tcBorders>
              <w:top w:val="single" w:sz="4" w:space="0" w:color="000000" w:themeColor="text1"/>
              <w:bottom w:val="single" w:sz="4" w:space="0" w:color="000000" w:themeColor="text1"/>
            </w:tcBorders>
            <w:noWrap/>
          </w:tcPr>
          <w:p w14:paraId="7B9A5CD3" w14:textId="77777777" w:rsidR="005B131E" w:rsidRPr="00BA7805" w:rsidRDefault="005B131E" w:rsidP="002542E1">
            <w:pPr>
              <w:pStyle w:val="ARfintablebodyrightbold"/>
              <w:rPr>
                <w:highlight w:val="green"/>
              </w:rPr>
            </w:pPr>
            <w:r w:rsidRPr="00B23DA0">
              <w:t>0.9</w:t>
            </w:r>
          </w:p>
        </w:tc>
      </w:tr>
      <w:tr w:rsidR="005B131E" w:rsidRPr="00BA7805" w14:paraId="1F8FCDD0" w14:textId="77777777" w:rsidTr="002542E1">
        <w:tc>
          <w:tcPr>
            <w:tcW w:w="6091" w:type="dxa"/>
            <w:tcBorders>
              <w:top w:val="single" w:sz="4" w:space="0" w:color="000000" w:themeColor="text1"/>
              <w:bottom w:val="single" w:sz="4" w:space="0" w:color="000000" w:themeColor="text1"/>
            </w:tcBorders>
          </w:tcPr>
          <w:p w14:paraId="3D0CC6BA" w14:textId="77777777" w:rsidR="005B131E" w:rsidRPr="00BA7805" w:rsidRDefault="005B131E" w:rsidP="002542E1">
            <w:pPr>
              <w:pStyle w:val="ARfintablebodybold"/>
              <w:rPr>
                <w:highlight w:val="green"/>
              </w:rPr>
            </w:pPr>
            <w:r w:rsidRPr="00B23DA0">
              <w:t>Net capital contribution from the Crown</w:t>
            </w:r>
          </w:p>
        </w:tc>
        <w:tc>
          <w:tcPr>
            <w:tcW w:w="1842" w:type="dxa"/>
            <w:tcBorders>
              <w:top w:val="single" w:sz="4" w:space="0" w:color="000000" w:themeColor="text1"/>
              <w:bottom w:val="single" w:sz="4" w:space="0" w:color="000000" w:themeColor="text1"/>
            </w:tcBorders>
            <w:shd w:val="clear" w:color="auto" w:fill="E7E6E6" w:themeFill="accent4"/>
            <w:noWrap/>
          </w:tcPr>
          <w:p w14:paraId="2E30A038" w14:textId="77777777" w:rsidR="005B131E" w:rsidRPr="00BA7805" w:rsidRDefault="005B131E" w:rsidP="002542E1">
            <w:pPr>
              <w:pStyle w:val="ARfintablebodyrightbold"/>
              <w:rPr>
                <w:highlight w:val="green"/>
              </w:rPr>
            </w:pPr>
            <w:r w:rsidRPr="00B23DA0">
              <w:t>0.9</w:t>
            </w:r>
          </w:p>
        </w:tc>
        <w:tc>
          <w:tcPr>
            <w:tcW w:w="1706" w:type="dxa"/>
            <w:tcBorders>
              <w:top w:val="single" w:sz="4" w:space="0" w:color="000000" w:themeColor="text1"/>
              <w:bottom w:val="single" w:sz="4" w:space="0" w:color="000000" w:themeColor="text1"/>
            </w:tcBorders>
            <w:noWrap/>
          </w:tcPr>
          <w:p w14:paraId="1A7F453C" w14:textId="77777777" w:rsidR="005B131E" w:rsidRPr="00BA7805" w:rsidRDefault="005B131E" w:rsidP="002542E1">
            <w:pPr>
              <w:pStyle w:val="ARfintablebodyrightbold"/>
              <w:rPr>
                <w:highlight w:val="green"/>
              </w:rPr>
            </w:pPr>
            <w:r w:rsidRPr="00B23DA0">
              <w:t>0.9</w:t>
            </w:r>
          </w:p>
        </w:tc>
      </w:tr>
    </w:tbl>
    <w:p w14:paraId="6AD7752F" w14:textId="2913CD3F" w:rsidR="005B131E" w:rsidRPr="00E502FC" w:rsidRDefault="005B131E" w:rsidP="002542E1">
      <w:pPr>
        <w:pStyle w:val="ARfinbodyaftertable"/>
        <w:rPr>
          <w:highlight w:val="green"/>
        </w:rPr>
      </w:pPr>
      <w:r w:rsidRPr="00BF0418">
        <w:t>During 2022</w:t>
      </w:r>
      <w:r w:rsidR="006943E3">
        <w:t>–</w:t>
      </w:r>
      <w:r w:rsidRPr="00BF0418">
        <w:t xml:space="preserve">23, there were no </w:t>
      </w:r>
      <w:r w:rsidR="0042274E">
        <w:t>M</w:t>
      </w:r>
      <w:r w:rsidRPr="00BF0418">
        <w:t xml:space="preserve">achinery of </w:t>
      </w:r>
      <w:r w:rsidR="0042274E">
        <w:t>G</w:t>
      </w:r>
      <w:r w:rsidRPr="00BF0418">
        <w:t>overnment changes for the Department of Families, Fairness and</w:t>
      </w:r>
      <w:r>
        <w:t> </w:t>
      </w:r>
      <w:r w:rsidRPr="00BF0418">
        <w:t>Housing.</w:t>
      </w:r>
      <w:r w:rsidRPr="00BA7805">
        <w:rPr>
          <w:highlight w:val="green"/>
        </w:rPr>
        <w:br w:type="page"/>
      </w:r>
    </w:p>
    <w:p w14:paraId="66B776FF" w14:textId="77777777" w:rsidR="005B131E" w:rsidRPr="00675D30" w:rsidRDefault="005B131E" w:rsidP="002542E1">
      <w:pPr>
        <w:pStyle w:val="Heading3"/>
        <w:spacing w:before="0"/>
      </w:pPr>
      <w:bookmarkStart w:id="274" w:name="_Toc181101550"/>
      <w:r w:rsidRPr="00675D30">
        <w:t>5. Key assets available to support output delivery</w:t>
      </w:r>
      <w:bookmarkEnd w:id="274"/>
    </w:p>
    <w:p w14:paraId="275CF645" w14:textId="77777777" w:rsidR="005B131E" w:rsidRPr="00675D30" w:rsidRDefault="005B131E">
      <w:pPr>
        <w:pStyle w:val="Heading4"/>
        <w:rPr>
          <w:lang w:eastAsia="en-AU"/>
        </w:rPr>
      </w:pPr>
      <w:r w:rsidRPr="00675D30">
        <w:rPr>
          <w:lang w:eastAsia="en-AU"/>
        </w:rPr>
        <w:t>Introduction</w:t>
      </w:r>
    </w:p>
    <w:p w14:paraId="3460828B" w14:textId="77777777" w:rsidR="005B131E" w:rsidRDefault="005B131E" w:rsidP="002542E1">
      <w:pPr>
        <w:pStyle w:val="ARfinbody"/>
      </w:pPr>
      <w:r>
        <w:t>The department controls infrastructure and other investments that are utilised in fulfilling its objectives and conducting its activities. They represent the key resources that have been entrusted to the department to be utilised for delivery of those outputs, which primarily relates to the delivery of housing output.</w:t>
      </w:r>
    </w:p>
    <w:p w14:paraId="757CE14A" w14:textId="77777777" w:rsidR="005B131E" w:rsidRDefault="005B131E" w:rsidP="002542E1">
      <w:pPr>
        <w:pStyle w:val="Heading4"/>
      </w:pPr>
      <w:r>
        <w:t>Fair value measurement</w:t>
      </w:r>
    </w:p>
    <w:p w14:paraId="52DBC912" w14:textId="77777777" w:rsidR="005B131E" w:rsidRDefault="005B131E" w:rsidP="002542E1">
      <w:pPr>
        <w:pStyle w:val="ARfinbody"/>
      </w:pPr>
      <w:r>
        <w:t>Other than assets under construction, these assets are carried at fair value, additional information is disclosed in Note 8.3 in connection with how those fair values were determined.</w:t>
      </w:r>
    </w:p>
    <w:p w14:paraId="54BD94AD" w14:textId="77777777" w:rsidR="005B131E" w:rsidRDefault="005B131E" w:rsidP="002542E1">
      <w:pPr>
        <w:pStyle w:val="Heading4"/>
      </w:pPr>
      <w:r>
        <w:t>Structure</w:t>
      </w:r>
    </w:p>
    <w:p w14:paraId="07FD8239" w14:textId="77777777" w:rsidR="005B131E" w:rsidRDefault="005B131E" w:rsidP="002542E1">
      <w:pPr>
        <w:pStyle w:val="ARfinstructure1"/>
      </w:pPr>
      <w:r>
        <w:t xml:space="preserve">5.1 </w:t>
      </w:r>
      <w:r>
        <w:tab/>
        <w:t>Total property, plant and equipment</w:t>
      </w:r>
    </w:p>
    <w:p w14:paraId="2379823A" w14:textId="77777777" w:rsidR="005B131E" w:rsidRDefault="005B131E" w:rsidP="002542E1">
      <w:pPr>
        <w:pStyle w:val="ARfinstructure2"/>
      </w:pPr>
      <w:r>
        <w:t xml:space="preserve">5.1(a) </w:t>
      </w:r>
      <w:r>
        <w:tab/>
        <w:t>Total right-of-use assets</w:t>
      </w:r>
    </w:p>
    <w:p w14:paraId="0785A36C" w14:textId="77777777" w:rsidR="005B131E" w:rsidRDefault="005B131E" w:rsidP="002542E1">
      <w:pPr>
        <w:pStyle w:val="ARfinstructure2"/>
      </w:pPr>
      <w:r>
        <w:t xml:space="preserve">5.1(b) </w:t>
      </w:r>
      <w:r>
        <w:tab/>
        <w:t>Total service concession assets</w:t>
      </w:r>
    </w:p>
    <w:p w14:paraId="2CDB0A20" w14:textId="77777777" w:rsidR="005B131E" w:rsidRDefault="005B131E" w:rsidP="002542E1">
      <w:pPr>
        <w:pStyle w:val="ARfinstructure2"/>
      </w:pPr>
      <w:r>
        <w:t xml:space="preserve">5.1.1 </w:t>
      </w:r>
      <w:r>
        <w:tab/>
        <w:t>Depreciation and amortisation</w:t>
      </w:r>
    </w:p>
    <w:p w14:paraId="6A2047B0" w14:textId="77777777" w:rsidR="005B131E" w:rsidRDefault="005B131E" w:rsidP="002542E1">
      <w:pPr>
        <w:pStyle w:val="ARfinstructure2"/>
      </w:pPr>
      <w:r>
        <w:t xml:space="preserve">5.1.2 </w:t>
      </w:r>
      <w:r>
        <w:tab/>
        <w:t>Reconciliation of movements in carrying values of land, buildings, plant and equipment, motor vehicles and assets under construction</w:t>
      </w:r>
    </w:p>
    <w:p w14:paraId="736B1183" w14:textId="77777777" w:rsidR="005B131E" w:rsidRDefault="005B131E" w:rsidP="002542E1">
      <w:pPr>
        <w:pStyle w:val="ARfinstructure1"/>
      </w:pPr>
      <w:r>
        <w:t xml:space="preserve">5.2 </w:t>
      </w:r>
      <w:r>
        <w:tab/>
        <w:t>Intangible assets</w:t>
      </w:r>
    </w:p>
    <w:p w14:paraId="6D8BC1FA" w14:textId="77777777" w:rsidR="005B131E" w:rsidRPr="00CE41D5" w:rsidRDefault="005B131E">
      <w:pPr>
        <w:pStyle w:val="Heading4"/>
        <w:rPr>
          <w:lang w:eastAsia="en-AU"/>
        </w:rPr>
      </w:pPr>
      <w:r w:rsidRPr="00CE41D5">
        <w:rPr>
          <w:lang w:eastAsia="en-AU"/>
        </w:rPr>
        <w:t>5.1 Total property, plant and equipment</w:t>
      </w:r>
    </w:p>
    <w:tbl>
      <w:tblPr>
        <w:tblStyle w:val="TableGrid"/>
        <w:tblW w:w="9637" w:type="dxa"/>
        <w:tblLayout w:type="fixed"/>
        <w:tblLook w:val="06A0" w:firstRow="1" w:lastRow="0" w:firstColumn="1" w:lastColumn="0" w:noHBand="1" w:noVBand="1"/>
      </w:tblPr>
      <w:tblGrid>
        <w:gridCol w:w="3512"/>
        <w:gridCol w:w="1020"/>
        <w:gridCol w:w="1021"/>
        <w:gridCol w:w="1021"/>
        <w:gridCol w:w="1021"/>
        <w:gridCol w:w="1021"/>
        <w:gridCol w:w="1021"/>
      </w:tblGrid>
      <w:tr w:rsidR="005B131E" w:rsidRPr="00BA7805" w14:paraId="339F1A37" w14:textId="77777777">
        <w:trPr>
          <w:cnfStyle w:val="100000000000" w:firstRow="1" w:lastRow="0" w:firstColumn="0" w:lastColumn="0" w:oddVBand="0" w:evenVBand="0" w:oddHBand="0" w:evenHBand="0" w:firstRowFirstColumn="0" w:firstRowLastColumn="0" w:lastRowFirstColumn="0" w:lastRowLastColumn="0"/>
          <w:tblHeader/>
        </w:trPr>
        <w:tc>
          <w:tcPr>
            <w:tcW w:w="3512" w:type="dxa"/>
            <w:vMerge w:val="restart"/>
            <w:noWrap/>
            <w:hideMark/>
          </w:tcPr>
          <w:p w14:paraId="259D8989" w14:textId="77777777" w:rsidR="005B131E" w:rsidRPr="00BA7805" w:rsidRDefault="005B131E">
            <w:pPr>
              <w:pStyle w:val="ARfintablecolhead"/>
              <w:rPr>
                <w:highlight w:val="green"/>
              </w:rPr>
            </w:pPr>
          </w:p>
        </w:tc>
        <w:tc>
          <w:tcPr>
            <w:tcW w:w="2041" w:type="dxa"/>
            <w:gridSpan w:val="2"/>
            <w:hideMark/>
          </w:tcPr>
          <w:p w14:paraId="27B20E09" w14:textId="77777777" w:rsidR="005B131E" w:rsidRPr="00CE41D5" w:rsidRDefault="005B131E">
            <w:pPr>
              <w:pStyle w:val="ARfintablecolheadcentre"/>
            </w:pPr>
            <w:r w:rsidRPr="00CE41D5">
              <w:t>Gross carrying amount</w:t>
            </w:r>
          </w:p>
        </w:tc>
        <w:tc>
          <w:tcPr>
            <w:tcW w:w="2042" w:type="dxa"/>
            <w:gridSpan w:val="2"/>
            <w:hideMark/>
          </w:tcPr>
          <w:p w14:paraId="74D12AC2" w14:textId="77777777" w:rsidR="005B131E" w:rsidRPr="00CE41D5" w:rsidRDefault="005B131E">
            <w:pPr>
              <w:pStyle w:val="ARfintablecolheadcentre"/>
            </w:pPr>
            <w:r w:rsidRPr="00CE41D5">
              <w:t>Accumulated depreciation</w:t>
            </w:r>
          </w:p>
        </w:tc>
        <w:tc>
          <w:tcPr>
            <w:tcW w:w="2042" w:type="dxa"/>
            <w:gridSpan w:val="2"/>
            <w:hideMark/>
          </w:tcPr>
          <w:p w14:paraId="17625D39" w14:textId="77777777" w:rsidR="005B131E" w:rsidRPr="00CE41D5" w:rsidRDefault="005B131E">
            <w:pPr>
              <w:pStyle w:val="ARfintablecolheadcentre"/>
            </w:pPr>
            <w:r w:rsidRPr="00CE41D5">
              <w:t xml:space="preserve">Net carrying </w:t>
            </w:r>
            <w:r w:rsidRPr="00CE41D5">
              <w:br/>
              <w:t>amount</w:t>
            </w:r>
          </w:p>
        </w:tc>
      </w:tr>
      <w:tr w:rsidR="005B131E" w:rsidRPr="00BA7805" w14:paraId="6F338989" w14:textId="77777777">
        <w:trPr>
          <w:cnfStyle w:val="100000000000" w:firstRow="1" w:lastRow="0" w:firstColumn="0" w:lastColumn="0" w:oddVBand="0" w:evenVBand="0" w:oddHBand="0" w:evenHBand="0" w:firstRowFirstColumn="0" w:firstRowLastColumn="0" w:lastRowFirstColumn="0" w:lastRowLastColumn="0"/>
          <w:tblHeader/>
        </w:trPr>
        <w:tc>
          <w:tcPr>
            <w:tcW w:w="3512" w:type="dxa"/>
            <w:vMerge/>
            <w:tcBorders>
              <w:bottom w:val="single" w:sz="4" w:space="0" w:color="auto"/>
            </w:tcBorders>
            <w:hideMark/>
          </w:tcPr>
          <w:p w14:paraId="79BD86E5" w14:textId="77777777" w:rsidR="005B131E" w:rsidRPr="00BA7805" w:rsidRDefault="005B131E" w:rsidP="002542E1">
            <w:pPr>
              <w:pStyle w:val="ARfintablecolhead"/>
              <w:rPr>
                <w:highlight w:val="green"/>
              </w:rPr>
            </w:pPr>
          </w:p>
        </w:tc>
        <w:tc>
          <w:tcPr>
            <w:tcW w:w="1020" w:type="dxa"/>
            <w:tcBorders>
              <w:bottom w:val="single" w:sz="4" w:space="0" w:color="auto"/>
            </w:tcBorders>
            <w:shd w:val="clear" w:color="auto" w:fill="E7E6E6"/>
            <w:hideMark/>
          </w:tcPr>
          <w:p w14:paraId="76ECF400" w14:textId="77777777" w:rsidR="005B131E" w:rsidRPr="00CE41D5" w:rsidRDefault="005B131E" w:rsidP="002542E1">
            <w:pPr>
              <w:pStyle w:val="ARfintablecolheadright"/>
            </w:pPr>
            <w:r w:rsidRPr="00CE41D5">
              <w:t>2024</w:t>
            </w:r>
          </w:p>
          <w:p w14:paraId="7B59AB18" w14:textId="77777777" w:rsidR="005B131E" w:rsidRPr="00CE41D5" w:rsidRDefault="005B131E" w:rsidP="002542E1">
            <w:pPr>
              <w:pStyle w:val="ARfintablecolheadright"/>
            </w:pPr>
            <w:r w:rsidRPr="00CE41D5">
              <w:t>$M</w:t>
            </w:r>
          </w:p>
        </w:tc>
        <w:tc>
          <w:tcPr>
            <w:tcW w:w="1021" w:type="dxa"/>
            <w:tcBorders>
              <w:bottom w:val="single" w:sz="4" w:space="0" w:color="auto"/>
            </w:tcBorders>
            <w:hideMark/>
          </w:tcPr>
          <w:p w14:paraId="3A05A4BD" w14:textId="77777777" w:rsidR="005B131E" w:rsidRPr="00CE41D5" w:rsidRDefault="005B131E" w:rsidP="002542E1">
            <w:pPr>
              <w:pStyle w:val="ARfintablecolheadright"/>
            </w:pPr>
            <w:r w:rsidRPr="00CE41D5">
              <w:t>2023</w:t>
            </w:r>
          </w:p>
          <w:p w14:paraId="058DCB98" w14:textId="77777777" w:rsidR="005B131E" w:rsidRPr="00CE41D5" w:rsidRDefault="005B131E" w:rsidP="002542E1">
            <w:pPr>
              <w:pStyle w:val="ARfintablecolheadright"/>
            </w:pPr>
            <w:r w:rsidRPr="00CE41D5">
              <w:t>$M</w:t>
            </w:r>
          </w:p>
        </w:tc>
        <w:tc>
          <w:tcPr>
            <w:tcW w:w="1021" w:type="dxa"/>
            <w:tcBorders>
              <w:bottom w:val="single" w:sz="4" w:space="0" w:color="auto"/>
            </w:tcBorders>
            <w:shd w:val="clear" w:color="auto" w:fill="E7E6E6"/>
            <w:hideMark/>
          </w:tcPr>
          <w:p w14:paraId="2BC82D08" w14:textId="77777777" w:rsidR="005B131E" w:rsidRPr="00CE41D5" w:rsidRDefault="005B131E" w:rsidP="002542E1">
            <w:pPr>
              <w:pStyle w:val="ARfintablecolheadright"/>
            </w:pPr>
            <w:r w:rsidRPr="00CE41D5">
              <w:t>2024</w:t>
            </w:r>
          </w:p>
          <w:p w14:paraId="39746931" w14:textId="77777777" w:rsidR="005B131E" w:rsidRPr="00CE41D5" w:rsidRDefault="005B131E" w:rsidP="002542E1">
            <w:pPr>
              <w:pStyle w:val="ARfintablecolheadright"/>
            </w:pPr>
            <w:r w:rsidRPr="00CE41D5">
              <w:t>$M</w:t>
            </w:r>
          </w:p>
        </w:tc>
        <w:tc>
          <w:tcPr>
            <w:tcW w:w="1021" w:type="dxa"/>
            <w:tcBorders>
              <w:bottom w:val="single" w:sz="4" w:space="0" w:color="auto"/>
            </w:tcBorders>
            <w:hideMark/>
          </w:tcPr>
          <w:p w14:paraId="41F45C1C" w14:textId="77777777" w:rsidR="005B131E" w:rsidRPr="00CE41D5" w:rsidRDefault="005B131E" w:rsidP="002542E1">
            <w:pPr>
              <w:pStyle w:val="ARfintablecolheadright"/>
            </w:pPr>
            <w:r w:rsidRPr="00CE41D5">
              <w:t>2023</w:t>
            </w:r>
          </w:p>
          <w:p w14:paraId="567E79CF" w14:textId="77777777" w:rsidR="005B131E" w:rsidRPr="00CE41D5" w:rsidRDefault="005B131E" w:rsidP="002542E1">
            <w:pPr>
              <w:pStyle w:val="ARfintablecolheadright"/>
            </w:pPr>
            <w:r w:rsidRPr="00CE41D5">
              <w:t>$M</w:t>
            </w:r>
          </w:p>
        </w:tc>
        <w:tc>
          <w:tcPr>
            <w:tcW w:w="1021" w:type="dxa"/>
            <w:tcBorders>
              <w:bottom w:val="single" w:sz="4" w:space="0" w:color="auto"/>
            </w:tcBorders>
            <w:shd w:val="clear" w:color="auto" w:fill="E7E6E6"/>
            <w:hideMark/>
          </w:tcPr>
          <w:p w14:paraId="4D13D9A8" w14:textId="77777777" w:rsidR="005B131E" w:rsidRPr="00CE41D5" w:rsidRDefault="005B131E" w:rsidP="002542E1">
            <w:pPr>
              <w:pStyle w:val="ARfintablecolheadright"/>
            </w:pPr>
            <w:r w:rsidRPr="00CE41D5">
              <w:t>2024</w:t>
            </w:r>
          </w:p>
          <w:p w14:paraId="0D91EB9C" w14:textId="77777777" w:rsidR="005B131E" w:rsidRPr="00CE41D5" w:rsidRDefault="005B131E" w:rsidP="002542E1">
            <w:pPr>
              <w:pStyle w:val="ARfintablecolheadright"/>
            </w:pPr>
            <w:r w:rsidRPr="00CE41D5">
              <w:t>$M</w:t>
            </w:r>
          </w:p>
        </w:tc>
        <w:tc>
          <w:tcPr>
            <w:tcW w:w="1021" w:type="dxa"/>
            <w:tcBorders>
              <w:bottom w:val="single" w:sz="4" w:space="0" w:color="auto"/>
            </w:tcBorders>
            <w:hideMark/>
          </w:tcPr>
          <w:p w14:paraId="32087087" w14:textId="77777777" w:rsidR="005B131E" w:rsidRPr="00CE41D5" w:rsidRDefault="005B131E" w:rsidP="002542E1">
            <w:pPr>
              <w:pStyle w:val="ARfintablecolheadright"/>
            </w:pPr>
            <w:r w:rsidRPr="00CE41D5">
              <w:t>2023</w:t>
            </w:r>
          </w:p>
          <w:p w14:paraId="08D1AF02" w14:textId="77777777" w:rsidR="005B131E" w:rsidRPr="00CE41D5" w:rsidRDefault="005B131E" w:rsidP="002542E1">
            <w:pPr>
              <w:pStyle w:val="ARfintablecolheadright"/>
            </w:pPr>
            <w:r w:rsidRPr="00CE41D5">
              <w:t>$M</w:t>
            </w:r>
          </w:p>
        </w:tc>
      </w:tr>
      <w:tr w:rsidR="005B131E" w:rsidRPr="00BA7805" w14:paraId="0F0A0C3C" w14:textId="77777777" w:rsidTr="003D7AC8">
        <w:tc>
          <w:tcPr>
            <w:tcW w:w="3512" w:type="dxa"/>
            <w:tcBorders>
              <w:top w:val="single" w:sz="4" w:space="0" w:color="auto"/>
              <w:bottom w:val="single" w:sz="4" w:space="0" w:color="A6A6A6"/>
            </w:tcBorders>
          </w:tcPr>
          <w:p w14:paraId="2730343F" w14:textId="77777777" w:rsidR="005B131E" w:rsidRPr="00BA7805" w:rsidRDefault="005B131E" w:rsidP="002542E1">
            <w:pPr>
              <w:pStyle w:val="ARfintablebody"/>
              <w:rPr>
                <w:highlight w:val="green"/>
              </w:rPr>
            </w:pPr>
            <w:r w:rsidRPr="00D94AE7">
              <w:t>Land at fair value</w:t>
            </w:r>
            <w:r>
              <w:t xml:space="preserve"> </w:t>
            </w:r>
            <w:r w:rsidRPr="008A69DE">
              <w:rPr>
                <w:vertAlign w:val="superscript"/>
              </w:rPr>
              <w:t>(i)</w:t>
            </w:r>
          </w:p>
        </w:tc>
        <w:tc>
          <w:tcPr>
            <w:tcW w:w="1020" w:type="dxa"/>
            <w:tcBorders>
              <w:top w:val="single" w:sz="4" w:space="0" w:color="auto"/>
              <w:bottom w:val="single" w:sz="4" w:space="0" w:color="A6A6A6"/>
            </w:tcBorders>
            <w:shd w:val="clear" w:color="auto" w:fill="E7E6E6"/>
            <w:noWrap/>
          </w:tcPr>
          <w:p w14:paraId="7F5128E1" w14:textId="77777777" w:rsidR="005B131E" w:rsidRPr="00BA7805" w:rsidRDefault="005B131E" w:rsidP="002542E1">
            <w:pPr>
              <w:pStyle w:val="ARfintablebodyright"/>
              <w:rPr>
                <w:highlight w:val="green"/>
              </w:rPr>
            </w:pPr>
            <w:r w:rsidRPr="00D94AE7">
              <w:t>24,114.9</w:t>
            </w:r>
          </w:p>
        </w:tc>
        <w:tc>
          <w:tcPr>
            <w:tcW w:w="1021" w:type="dxa"/>
            <w:tcBorders>
              <w:top w:val="single" w:sz="4" w:space="0" w:color="auto"/>
              <w:bottom w:val="single" w:sz="4" w:space="0" w:color="A6A6A6"/>
            </w:tcBorders>
            <w:noWrap/>
          </w:tcPr>
          <w:p w14:paraId="679A3154" w14:textId="77777777" w:rsidR="005B131E" w:rsidRPr="00BA7805" w:rsidRDefault="005B131E" w:rsidP="002542E1">
            <w:pPr>
              <w:pStyle w:val="ARfintablebodyright"/>
              <w:rPr>
                <w:highlight w:val="green"/>
              </w:rPr>
            </w:pPr>
            <w:r w:rsidRPr="00D94AE7">
              <w:t>24,145.6</w:t>
            </w:r>
          </w:p>
        </w:tc>
        <w:tc>
          <w:tcPr>
            <w:tcW w:w="1021" w:type="dxa"/>
            <w:tcBorders>
              <w:top w:val="single" w:sz="4" w:space="0" w:color="auto"/>
              <w:bottom w:val="single" w:sz="4" w:space="0" w:color="A6A6A6"/>
            </w:tcBorders>
            <w:shd w:val="clear" w:color="auto" w:fill="E7E6E6"/>
            <w:noWrap/>
          </w:tcPr>
          <w:p w14:paraId="21634B71" w14:textId="77777777" w:rsidR="005B131E" w:rsidRPr="00BA7805" w:rsidRDefault="005B131E" w:rsidP="002542E1">
            <w:pPr>
              <w:pStyle w:val="ARfintablebodyright"/>
              <w:rPr>
                <w:highlight w:val="green"/>
              </w:rPr>
            </w:pPr>
            <w:r w:rsidRPr="00D94AE7">
              <w:t>(4.3)</w:t>
            </w:r>
          </w:p>
        </w:tc>
        <w:tc>
          <w:tcPr>
            <w:tcW w:w="1021" w:type="dxa"/>
            <w:tcBorders>
              <w:top w:val="single" w:sz="4" w:space="0" w:color="auto"/>
              <w:bottom w:val="single" w:sz="4" w:space="0" w:color="A6A6A6"/>
            </w:tcBorders>
            <w:noWrap/>
          </w:tcPr>
          <w:p w14:paraId="7952056A" w14:textId="77777777" w:rsidR="005B131E" w:rsidRPr="00BA7805" w:rsidRDefault="005B131E" w:rsidP="002542E1">
            <w:pPr>
              <w:pStyle w:val="ARfintablebodyright"/>
              <w:rPr>
                <w:highlight w:val="green"/>
              </w:rPr>
            </w:pPr>
            <w:r w:rsidRPr="00D94AE7">
              <w:t>(3.4)</w:t>
            </w:r>
          </w:p>
        </w:tc>
        <w:tc>
          <w:tcPr>
            <w:tcW w:w="1021" w:type="dxa"/>
            <w:tcBorders>
              <w:top w:val="single" w:sz="4" w:space="0" w:color="auto"/>
              <w:bottom w:val="single" w:sz="4" w:space="0" w:color="A6A6A6"/>
            </w:tcBorders>
            <w:shd w:val="clear" w:color="auto" w:fill="E7E6E6"/>
            <w:noWrap/>
          </w:tcPr>
          <w:p w14:paraId="5AA6ABC4" w14:textId="77777777" w:rsidR="005B131E" w:rsidRPr="00BA7805" w:rsidRDefault="005B131E" w:rsidP="002542E1">
            <w:pPr>
              <w:pStyle w:val="ARfintablebodyright"/>
              <w:rPr>
                <w:highlight w:val="green"/>
              </w:rPr>
            </w:pPr>
            <w:r w:rsidRPr="00D94AE7">
              <w:t>24,110.6</w:t>
            </w:r>
          </w:p>
        </w:tc>
        <w:tc>
          <w:tcPr>
            <w:tcW w:w="1021" w:type="dxa"/>
            <w:tcBorders>
              <w:top w:val="single" w:sz="4" w:space="0" w:color="auto"/>
              <w:bottom w:val="single" w:sz="4" w:space="0" w:color="A6A6A6"/>
            </w:tcBorders>
            <w:noWrap/>
          </w:tcPr>
          <w:p w14:paraId="47186C93" w14:textId="77777777" w:rsidR="005B131E" w:rsidRPr="00BA7805" w:rsidRDefault="005B131E" w:rsidP="002542E1">
            <w:pPr>
              <w:pStyle w:val="ARfintablebodyright"/>
              <w:rPr>
                <w:highlight w:val="green"/>
              </w:rPr>
            </w:pPr>
            <w:r w:rsidRPr="00B9494F">
              <w:t>24,142.2</w:t>
            </w:r>
          </w:p>
        </w:tc>
      </w:tr>
      <w:tr w:rsidR="005B131E" w:rsidRPr="00BA7805" w14:paraId="7E41B44E" w14:textId="77777777" w:rsidTr="003D7AC8">
        <w:tc>
          <w:tcPr>
            <w:tcW w:w="3512" w:type="dxa"/>
            <w:tcBorders>
              <w:top w:val="single" w:sz="4" w:space="0" w:color="A6A6A6"/>
              <w:bottom w:val="single" w:sz="4" w:space="0" w:color="A6A6A6"/>
            </w:tcBorders>
          </w:tcPr>
          <w:p w14:paraId="0F84228E" w14:textId="77777777" w:rsidR="005B131E" w:rsidRPr="00BA7805" w:rsidRDefault="005B131E" w:rsidP="002542E1">
            <w:pPr>
              <w:pStyle w:val="ARfintablebody"/>
              <w:rPr>
                <w:highlight w:val="green"/>
              </w:rPr>
            </w:pPr>
            <w:r w:rsidRPr="00D94AE7">
              <w:t>Buildings at fair value</w:t>
            </w:r>
          </w:p>
        </w:tc>
        <w:tc>
          <w:tcPr>
            <w:tcW w:w="1020" w:type="dxa"/>
            <w:tcBorders>
              <w:top w:val="single" w:sz="4" w:space="0" w:color="A6A6A6"/>
              <w:bottom w:val="single" w:sz="4" w:space="0" w:color="A6A6A6"/>
            </w:tcBorders>
            <w:shd w:val="clear" w:color="auto" w:fill="E7E6E6"/>
            <w:noWrap/>
          </w:tcPr>
          <w:p w14:paraId="5B2E635F" w14:textId="77777777" w:rsidR="005B131E" w:rsidRPr="00BA7805" w:rsidRDefault="005B131E" w:rsidP="002542E1">
            <w:pPr>
              <w:pStyle w:val="ARfintablebodyright"/>
              <w:rPr>
                <w:highlight w:val="green"/>
              </w:rPr>
            </w:pPr>
            <w:r w:rsidRPr="00D94AE7">
              <w:t>13,284.1</w:t>
            </w:r>
          </w:p>
        </w:tc>
        <w:tc>
          <w:tcPr>
            <w:tcW w:w="1021" w:type="dxa"/>
            <w:tcBorders>
              <w:top w:val="single" w:sz="4" w:space="0" w:color="A6A6A6"/>
              <w:bottom w:val="single" w:sz="4" w:space="0" w:color="A6A6A6"/>
            </w:tcBorders>
            <w:noWrap/>
          </w:tcPr>
          <w:p w14:paraId="1DA71FC9" w14:textId="77777777" w:rsidR="005B131E" w:rsidRPr="00BA7805" w:rsidRDefault="005B131E" w:rsidP="002542E1">
            <w:pPr>
              <w:pStyle w:val="ARfintablebodyright"/>
              <w:rPr>
                <w:highlight w:val="green"/>
              </w:rPr>
            </w:pPr>
            <w:r w:rsidRPr="00D94AE7">
              <w:t>11,774.9</w:t>
            </w:r>
          </w:p>
        </w:tc>
        <w:tc>
          <w:tcPr>
            <w:tcW w:w="1021" w:type="dxa"/>
            <w:tcBorders>
              <w:top w:val="single" w:sz="4" w:space="0" w:color="A6A6A6"/>
              <w:bottom w:val="single" w:sz="4" w:space="0" w:color="A6A6A6"/>
            </w:tcBorders>
            <w:shd w:val="clear" w:color="auto" w:fill="E7E6E6"/>
            <w:noWrap/>
          </w:tcPr>
          <w:p w14:paraId="2F7B278E" w14:textId="77777777" w:rsidR="005B131E" w:rsidRPr="00BA7805" w:rsidRDefault="005B131E" w:rsidP="002542E1">
            <w:pPr>
              <w:pStyle w:val="ARfintablebodyright"/>
              <w:rPr>
                <w:highlight w:val="green"/>
              </w:rPr>
            </w:pPr>
            <w:r w:rsidRPr="00D94AE7">
              <w:t>(125.3)</w:t>
            </w:r>
          </w:p>
        </w:tc>
        <w:tc>
          <w:tcPr>
            <w:tcW w:w="1021" w:type="dxa"/>
            <w:tcBorders>
              <w:top w:val="single" w:sz="4" w:space="0" w:color="A6A6A6"/>
              <w:bottom w:val="single" w:sz="4" w:space="0" w:color="A6A6A6"/>
            </w:tcBorders>
            <w:noWrap/>
          </w:tcPr>
          <w:p w14:paraId="22A93BA5" w14:textId="77777777" w:rsidR="005B131E" w:rsidRPr="00BA7805" w:rsidRDefault="005B131E" w:rsidP="002542E1">
            <w:pPr>
              <w:pStyle w:val="ARfintablebodyright"/>
              <w:rPr>
                <w:highlight w:val="green"/>
              </w:rPr>
            </w:pPr>
            <w:r w:rsidRPr="00D94AE7">
              <w:t>(386.5)</w:t>
            </w:r>
          </w:p>
        </w:tc>
        <w:tc>
          <w:tcPr>
            <w:tcW w:w="1021" w:type="dxa"/>
            <w:tcBorders>
              <w:top w:val="single" w:sz="4" w:space="0" w:color="A6A6A6"/>
              <w:bottom w:val="single" w:sz="4" w:space="0" w:color="A6A6A6"/>
            </w:tcBorders>
            <w:shd w:val="clear" w:color="auto" w:fill="E7E6E6"/>
            <w:noWrap/>
          </w:tcPr>
          <w:p w14:paraId="5161E03D" w14:textId="77777777" w:rsidR="005B131E" w:rsidRPr="00BA7805" w:rsidRDefault="005B131E" w:rsidP="002542E1">
            <w:pPr>
              <w:pStyle w:val="ARfintablebodyright"/>
              <w:rPr>
                <w:highlight w:val="green"/>
              </w:rPr>
            </w:pPr>
            <w:r w:rsidRPr="00D94AE7">
              <w:t>13,158.8</w:t>
            </w:r>
          </w:p>
        </w:tc>
        <w:tc>
          <w:tcPr>
            <w:tcW w:w="1021" w:type="dxa"/>
            <w:tcBorders>
              <w:top w:val="single" w:sz="4" w:space="0" w:color="A6A6A6"/>
              <w:bottom w:val="single" w:sz="4" w:space="0" w:color="A6A6A6"/>
            </w:tcBorders>
            <w:noWrap/>
          </w:tcPr>
          <w:p w14:paraId="32E45FF3" w14:textId="77777777" w:rsidR="005B131E" w:rsidRPr="00BA7805" w:rsidRDefault="005B131E" w:rsidP="002542E1">
            <w:pPr>
              <w:pStyle w:val="ARfintablebodyright"/>
              <w:rPr>
                <w:highlight w:val="green"/>
              </w:rPr>
            </w:pPr>
            <w:r w:rsidRPr="00B9494F">
              <w:t>11,388.4</w:t>
            </w:r>
          </w:p>
        </w:tc>
      </w:tr>
      <w:tr w:rsidR="005B131E" w:rsidRPr="00BA7805" w14:paraId="4C240F65" w14:textId="77777777" w:rsidTr="003D7AC8">
        <w:tc>
          <w:tcPr>
            <w:tcW w:w="3512" w:type="dxa"/>
            <w:tcBorders>
              <w:top w:val="single" w:sz="4" w:space="0" w:color="A6A6A6"/>
              <w:bottom w:val="single" w:sz="4" w:space="0" w:color="A6A6A6"/>
            </w:tcBorders>
          </w:tcPr>
          <w:p w14:paraId="39AF1C08" w14:textId="77777777" w:rsidR="005B131E" w:rsidRPr="00BA7805" w:rsidRDefault="005B131E" w:rsidP="002542E1">
            <w:pPr>
              <w:pStyle w:val="ARfintablebody"/>
              <w:rPr>
                <w:highlight w:val="green"/>
              </w:rPr>
            </w:pPr>
            <w:r w:rsidRPr="00D94AE7">
              <w:t>Plant and equipment at fair value</w:t>
            </w:r>
          </w:p>
        </w:tc>
        <w:tc>
          <w:tcPr>
            <w:tcW w:w="1020" w:type="dxa"/>
            <w:tcBorders>
              <w:top w:val="single" w:sz="4" w:space="0" w:color="A6A6A6"/>
              <w:bottom w:val="single" w:sz="4" w:space="0" w:color="A6A6A6"/>
            </w:tcBorders>
            <w:shd w:val="clear" w:color="auto" w:fill="E7E6E6"/>
            <w:noWrap/>
          </w:tcPr>
          <w:p w14:paraId="0DD336F3" w14:textId="77777777" w:rsidR="005B131E" w:rsidRPr="00BA7805" w:rsidRDefault="005B131E" w:rsidP="002542E1">
            <w:pPr>
              <w:pStyle w:val="ARfintablebodyright"/>
              <w:rPr>
                <w:highlight w:val="green"/>
              </w:rPr>
            </w:pPr>
            <w:r w:rsidRPr="00D94AE7">
              <w:t>3.0</w:t>
            </w:r>
          </w:p>
        </w:tc>
        <w:tc>
          <w:tcPr>
            <w:tcW w:w="1021" w:type="dxa"/>
            <w:tcBorders>
              <w:top w:val="single" w:sz="4" w:space="0" w:color="A6A6A6"/>
              <w:bottom w:val="single" w:sz="4" w:space="0" w:color="A6A6A6"/>
            </w:tcBorders>
            <w:noWrap/>
          </w:tcPr>
          <w:p w14:paraId="7AEFCC29" w14:textId="77777777" w:rsidR="005B131E" w:rsidRPr="00BA7805" w:rsidRDefault="005B131E" w:rsidP="002542E1">
            <w:pPr>
              <w:pStyle w:val="ARfintablebodyright"/>
              <w:rPr>
                <w:highlight w:val="green"/>
              </w:rPr>
            </w:pPr>
            <w:r w:rsidRPr="00D94AE7">
              <w:t>2.7</w:t>
            </w:r>
          </w:p>
        </w:tc>
        <w:tc>
          <w:tcPr>
            <w:tcW w:w="1021" w:type="dxa"/>
            <w:tcBorders>
              <w:top w:val="single" w:sz="4" w:space="0" w:color="A6A6A6"/>
              <w:bottom w:val="single" w:sz="4" w:space="0" w:color="A6A6A6"/>
            </w:tcBorders>
            <w:shd w:val="clear" w:color="auto" w:fill="E7E6E6"/>
            <w:noWrap/>
          </w:tcPr>
          <w:p w14:paraId="5C783076" w14:textId="77777777" w:rsidR="005B131E" w:rsidRPr="00BA7805" w:rsidRDefault="005B131E" w:rsidP="002542E1">
            <w:pPr>
              <w:pStyle w:val="ARfintablebodyright"/>
              <w:rPr>
                <w:highlight w:val="green"/>
              </w:rPr>
            </w:pPr>
            <w:r w:rsidRPr="00D94AE7">
              <w:t>(2.6)</w:t>
            </w:r>
          </w:p>
        </w:tc>
        <w:tc>
          <w:tcPr>
            <w:tcW w:w="1021" w:type="dxa"/>
            <w:tcBorders>
              <w:top w:val="single" w:sz="4" w:space="0" w:color="A6A6A6"/>
              <w:bottom w:val="single" w:sz="4" w:space="0" w:color="A6A6A6"/>
            </w:tcBorders>
            <w:noWrap/>
          </w:tcPr>
          <w:p w14:paraId="09E80A8B" w14:textId="77777777" w:rsidR="005B131E" w:rsidRPr="00BA7805" w:rsidRDefault="005B131E" w:rsidP="002542E1">
            <w:pPr>
              <w:pStyle w:val="ARfintablebodyright"/>
              <w:rPr>
                <w:highlight w:val="green"/>
              </w:rPr>
            </w:pPr>
            <w:r w:rsidRPr="00D94AE7">
              <w:t>(2.5)</w:t>
            </w:r>
          </w:p>
        </w:tc>
        <w:tc>
          <w:tcPr>
            <w:tcW w:w="1021" w:type="dxa"/>
            <w:tcBorders>
              <w:top w:val="single" w:sz="4" w:space="0" w:color="A6A6A6"/>
              <w:bottom w:val="single" w:sz="4" w:space="0" w:color="A6A6A6"/>
            </w:tcBorders>
            <w:shd w:val="clear" w:color="auto" w:fill="E7E6E6"/>
            <w:noWrap/>
          </w:tcPr>
          <w:p w14:paraId="25E92AA6" w14:textId="77777777" w:rsidR="005B131E" w:rsidRPr="00BA7805" w:rsidRDefault="005B131E" w:rsidP="002542E1">
            <w:pPr>
              <w:pStyle w:val="ARfintablebodyright"/>
              <w:rPr>
                <w:highlight w:val="green"/>
              </w:rPr>
            </w:pPr>
            <w:r w:rsidRPr="00D94AE7">
              <w:t>0.4</w:t>
            </w:r>
          </w:p>
        </w:tc>
        <w:tc>
          <w:tcPr>
            <w:tcW w:w="1021" w:type="dxa"/>
            <w:tcBorders>
              <w:top w:val="single" w:sz="4" w:space="0" w:color="A6A6A6"/>
              <w:bottom w:val="single" w:sz="4" w:space="0" w:color="A6A6A6"/>
            </w:tcBorders>
            <w:noWrap/>
          </w:tcPr>
          <w:p w14:paraId="7D15E5F6" w14:textId="77777777" w:rsidR="005B131E" w:rsidRPr="00BA7805" w:rsidRDefault="005B131E" w:rsidP="002542E1">
            <w:pPr>
              <w:pStyle w:val="ARfintablebodyright"/>
              <w:rPr>
                <w:highlight w:val="green"/>
              </w:rPr>
            </w:pPr>
            <w:r w:rsidRPr="00B9494F">
              <w:t>0.2</w:t>
            </w:r>
          </w:p>
        </w:tc>
      </w:tr>
      <w:tr w:rsidR="005B131E" w:rsidRPr="00BA7805" w14:paraId="1DE8179C" w14:textId="77777777" w:rsidTr="003D7AC8">
        <w:tc>
          <w:tcPr>
            <w:tcW w:w="3512" w:type="dxa"/>
            <w:tcBorders>
              <w:top w:val="single" w:sz="4" w:space="0" w:color="A6A6A6"/>
              <w:bottom w:val="single" w:sz="4" w:space="0" w:color="A6A6A6"/>
            </w:tcBorders>
          </w:tcPr>
          <w:p w14:paraId="1E6F6771" w14:textId="77777777" w:rsidR="005B131E" w:rsidRPr="00BA7805" w:rsidRDefault="005B131E" w:rsidP="002542E1">
            <w:pPr>
              <w:pStyle w:val="ARfintablebody"/>
              <w:rPr>
                <w:highlight w:val="green"/>
              </w:rPr>
            </w:pPr>
            <w:r w:rsidRPr="00D94AE7">
              <w:t xml:space="preserve">Motor vehicles at fair value </w:t>
            </w:r>
            <w:r w:rsidRPr="008A69DE">
              <w:rPr>
                <w:vertAlign w:val="superscript"/>
              </w:rPr>
              <w:t>(ii)</w:t>
            </w:r>
          </w:p>
        </w:tc>
        <w:tc>
          <w:tcPr>
            <w:tcW w:w="1020" w:type="dxa"/>
            <w:tcBorders>
              <w:top w:val="single" w:sz="4" w:space="0" w:color="A6A6A6"/>
              <w:bottom w:val="single" w:sz="4" w:space="0" w:color="A6A6A6"/>
            </w:tcBorders>
            <w:shd w:val="clear" w:color="auto" w:fill="E7E6E6"/>
            <w:noWrap/>
          </w:tcPr>
          <w:p w14:paraId="32E0140C" w14:textId="77777777" w:rsidR="005B131E" w:rsidRPr="00BA7805" w:rsidRDefault="005B131E" w:rsidP="002542E1">
            <w:pPr>
              <w:pStyle w:val="ARfintablebodyright"/>
              <w:rPr>
                <w:highlight w:val="green"/>
              </w:rPr>
            </w:pPr>
            <w:r w:rsidRPr="00D94AE7">
              <w:t>36.5</w:t>
            </w:r>
          </w:p>
        </w:tc>
        <w:tc>
          <w:tcPr>
            <w:tcW w:w="1021" w:type="dxa"/>
            <w:tcBorders>
              <w:top w:val="single" w:sz="4" w:space="0" w:color="A6A6A6"/>
              <w:bottom w:val="single" w:sz="4" w:space="0" w:color="A6A6A6"/>
            </w:tcBorders>
            <w:noWrap/>
          </w:tcPr>
          <w:p w14:paraId="596DDA76" w14:textId="77777777" w:rsidR="005B131E" w:rsidRPr="00BA7805" w:rsidRDefault="005B131E" w:rsidP="002542E1">
            <w:pPr>
              <w:pStyle w:val="ARfintablebodyright"/>
              <w:rPr>
                <w:highlight w:val="green"/>
              </w:rPr>
            </w:pPr>
            <w:r w:rsidRPr="00D94AE7">
              <w:t>31.8</w:t>
            </w:r>
          </w:p>
        </w:tc>
        <w:tc>
          <w:tcPr>
            <w:tcW w:w="1021" w:type="dxa"/>
            <w:tcBorders>
              <w:top w:val="single" w:sz="4" w:space="0" w:color="A6A6A6"/>
              <w:bottom w:val="single" w:sz="4" w:space="0" w:color="A6A6A6"/>
            </w:tcBorders>
            <w:shd w:val="clear" w:color="auto" w:fill="E7E6E6"/>
            <w:noWrap/>
          </w:tcPr>
          <w:p w14:paraId="6662D35B" w14:textId="77777777" w:rsidR="005B131E" w:rsidRPr="00BA7805" w:rsidRDefault="005B131E" w:rsidP="002542E1">
            <w:pPr>
              <w:pStyle w:val="ARfintablebodyright"/>
              <w:rPr>
                <w:highlight w:val="green"/>
              </w:rPr>
            </w:pPr>
            <w:r w:rsidRPr="00D94AE7">
              <w:t>2.5</w:t>
            </w:r>
          </w:p>
        </w:tc>
        <w:tc>
          <w:tcPr>
            <w:tcW w:w="1021" w:type="dxa"/>
            <w:tcBorders>
              <w:top w:val="single" w:sz="4" w:space="0" w:color="A6A6A6"/>
              <w:bottom w:val="single" w:sz="4" w:space="0" w:color="A6A6A6"/>
            </w:tcBorders>
            <w:noWrap/>
          </w:tcPr>
          <w:p w14:paraId="785338E0" w14:textId="77777777" w:rsidR="005B131E" w:rsidRPr="00BA7805" w:rsidRDefault="005B131E" w:rsidP="002542E1">
            <w:pPr>
              <w:pStyle w:val="ARfintablebodyright"/>
              <w:rPr>
                <w:highlight w:val="green"/>
              </w:rPr>
            </w:pPr>
            <w:r w:rsidRPr="00D94AE7">
              <w:t>0.4</w:t>
            </w:r>
          </w:p>
        </w:tc>
        <w:tc>
          <w:tcPr>
            <w:tcW w:w="1021" w:type="dxa"/>
            <w:tcBorders>
              <w:top w:val="single" w:sz="4" w:space="0" w:color="A6A6A6"/>
              <w:bottom w:val="single" w:sz="4" w:space="0" w:color="A6A6A6"/>
            </w:tcBorders>
            <w:shd w:val="clear" w:color="auto" w:fill="E7E6E6"/>
            <w:noWrap/>
          </w:tcPr>
          <w:p w14:paraId="2BB9DC04" w14:textId="77777777" w:rsidR="005B131E" w:rsidRPr="00BA7805" w:rsidRDefault="005B131E" w:rsidP="002542E1">
            <w:pPr>
              <w:pStyle w:val="ARfintablebodyright"/>
              <w:rPr>
                <w:highlight w:val="green"/>
              </w:rPr>
            </w:pPr>
            <w:r w:rsidRPr="00D94AE7">
              <w:t>39.0</w:t>
            </w:r>
          </w:p>
        </w:tc>
        <w:tc>
          <w:tcPr>
            <w:tcW w:w="1021" w:type="dxa"/>
            <w:tcBorders>
              <w:top w:val="single" w:sz="4" w:space="0" w:color="A6A6A6"/>
              <w:bottom w:val="single" w:sz="4" w:space="0" w:color="A6A6A6"/>
            </w:tcBorders>
            <w:noWrap/>
          </w:tcPr>
          <w:p w14:paraId="143A5C00" w14:textId="77777777" w:rsidR="005B131E" w:rsidRPr="00BA7805" w:rsidRDefault="005B131E" w:rsidP="002542E1">
            <w:pPr>
              <w:pStyle w:val="ARfintablebodyright"/>
              <w:rPr>
                <w:highlight w:val="green"/>
              </w:rPr>
            </w:pPr>
            <w:r w:rsidRPr="00B9494F">
              <w:t>32.2</w:t>
            </w:r>
          </w:p>
        </w:tc>
      </w:tr>
      <w:tr w:rsidR="005B131E" w:rsidRPr="00BA7805" w14:paraId="50E53F61" w14:textId="77777777" w:rsidTr="003D7AC8">
        <w:tc>
          <w:tcPr>
            <w:tcW w:w="3512" w:type="dxa"/>
            <w:tcBorders>
              <w:top w:val="single" w:sz="4" w:space="0" w:color="A6A6A6"/>
            </w:tcBorders>
          </w:tcPr>
          <w:p w14:paraId="6BDE8A92" w14:textId="77777777" w:rsidR="005B131E" w:rsidRPr="00BA7805" w:rsidRDefault="005B131E" w:rsidP="002542E1">
            <w:pPr>
              <w:pStyle w:val="ARfintablebody"/>
              <w:rPr>
                <w:highlight w:val="green"/>
              </w:rPr>
            </w:pPr>
            <w:r w:rsidRPr="00D94AE7">
              <w:t>Assets under construction</w:t>
            </w:r>
          </w:p>
        </w:tc>
        <w:tc>
          <w:tcPr>
            <w:tcW w:w="1020" w:type="dxa"/>
            <w:tcBorders>
              <w:top w:val="single" w:sz="4" w:space="0" w:color="A6A6A6"/>
            </w:tcBorders>
            <w:shd w:val="clear" w:color="auto" w:fill="E7E6E6"/>
            <w:noWrap/>
          </w:tcPr>
          <w:p w14:paraId="5376E724" w14:textId="77777777" w:rsidR="005B131E" w:rsidRPr="00BA7805" w:rsidRDefault="005B131E" w:rsidP="002542E1">
            <w:pPr>
              <w:pStyle w:val="ARfintablebodyright"/>
              <w:rPr>
                <w:highlight w:val="green"/>
              </w:rPr>
            </w:pPr>
            <w:r w:rsidRPr="00D94AE7">
              <w:t>1,175.5</w:t>
            </w:r>
          </w:p>
        </w:tc>
        <w:tc>
          <w:tcPr>
            <w:tcW w:w="1021" w:type="dxa"/>
            <w:tcBorders>
              <w:top w:val="single" w:sz="4" w:space="0" w:color="A6A6A6"/>
            </w:tcBorders>
            <w:noWrap/>
          </w:tcPr>
          <w:p w14:paraId="138E43B2" w14:textId="77777777" w:rsidR="005B131E" w:rsidRPr="00BA7805" w:rsidRDefault="005B131E" w:rsidP="002542E1">
            <w:pPr>
              <w:pStyle w:val="ARfintablebodyright"/>
              <w:rPr>
                <w:highlight w:val="green"/>
              </w:rPr>
            </w:pPr>
            <w:r w:rsidRPr="00D94AE7">
              <w:t>1,316.3</w:t>
            </w:r>
          </w:p>
        </w:tc>
        <w:tc>
          <w:tcPr>
            <w:tcW w:w="1021" w:type="dxa"/>
            <w:tcBorders>
              <w:top w:val="single" w:sz="4" w:space="0" w:color="A6A6A6"/>
            </w:tcBorders>
            <w:shd w:val="clear" w:color="auto" w:fill="E7E6E6"/>
            <w:noWrap/>
          </w:tcPr>
          <w:p w14:paraId="53C7C18E" w14:textId="77777777" w:rsidR="005B131E" w:rsidRPr="00BA7805" w:rsidRDefault="005B131E" w:rsidP="002542E1">
            <w:pPr>
              <w:pStyle w:val="ARfintablebodyright"/>
              <w:rPr>
                <w:highlight w:val="green"/>
              </w:rPr>
            </w:pPr>
            <w:r>
              <w:t>–</w:t>
            </w:r>
          </w:p>
        </w:tc>
        <w:tc>
          <w:tcPr>
            <w:tcW w:w="1021" w:type="dxa"/>
            <w:tcBorders>
              <w:top w:val="single" w:sz="4" w:space="0" w:color="A6A6A6"/>
            </w:tcBorders>
            <w:noWrap/>
          </w:tcPr>
          <w:p w14:paraId="31593FC6" w14:textId="77777777" w:rsidR="005B131E" w:rsidRPr="00BA7805" w:rsidRDefault="005B131E" w:rsidP="002542E1">
            <w:pPr>
              <w:pStyle w:val="ARfintablebodyright"/>
              <w:rPr>
                <w:highlight w:val="green"/>
              </w:rPr>
            </w:pPr>
            <w:r>
              <w:t>–</w:t>
            </w:r>
          </w:p>
        </w:tc>
        <w:tc>
          <w:tcPr>
            <w:tcW w:w="1021" w:type="dxa"/>
            <w:tcBorders>
              <w:top w:val="single" w:sz="4" w:space="0" w:color="A6A6A6"/>
            </w:tcBorders>
            <w:shd w:val="clear" w:color="auto" w:fill="E7E6E6"/>
            <w:noWrap/>
          </w:tcPr>
          <w:p w14:paraId="47F06AF1" w14:textId="77777777" w:rsidR="005B131E" w:rsidRPr="00BA7805" w:rsidRDefault="005B131E" w:rsidP="002542E1">
            <w:pPr>
              <w:pStyle w:val="ARfintablebodyright"/>
              <w:rPr>
                <w:highlight w:val="green"/>
              </w:rPr>
            </w:pPr>
            <w:r w:rsidRPr="00D94AE7">
              <w:t>1,175.5</w:t>
            </w:r>
          </w:p>
        </w:tc>
        <w:tc>
          <w:tcPr>
            <w:tcW w:w="1021" w:type="dxa"/>
            <w:tcBorders>
              <w:top w:val="single" w:sz="4" w:space="0" w:color="A6A6A6"/>
            </w:tcBorders>
            <w:noWrap/>
          </w:tcPr>
          <w:p w14:paraId="6D437B7C" w14:textId="77777777" w:rsidR="005B131E" w:rsidRPr="00BA7805" w:rsidRDefault="005B131E" w:rsidP="002542E1">
            <w:pPr>
              <w:pStyle w:val="ARfintablebodyright"/>
              <w:rPr>
                <w:highlight w:val="green"/>
              </w:rPr>
            </w:pPr>
            <w:r w:rsidRPr="00B9494F">
              <w:t>1,316.3</w:t>
            </w:r>
          </w:p>
        </w:tc>
      </w:tr>
      <w:tr w:rsidR="005B131E" w:rsidRPr="00BA7805" w14:paraId="209F7168" w14:textId="77777777" w:rsidTr="003D7AC8">
        <w:tc>
          <w:tcPr>
            <w:tcW w:w="3512" w:type="dxa"/>
          </w:tcPr>
          <w:p w14:paraId="05BD457B" w14:textId="77777777" w:rsidR="005B131E" w:rsidRPr="00BA7805" w:rsidRDefault="005B131E" w:rsidP="002542E1">
            <w:pPr>
              <w:pStyle w:val="ARfintablebodybold"/>
              <w:rPr>
                <w:highlight w:val="green"/>
              </w:rPr>
            </w:pPr>
            <w:r w:rsidRPr="00D94AE7">
              <w:t>Net carrying amount</w:t>
            </w:r>
          </w:p>
        </w:tc>
        <w:tc>
          <w:tcPr>
            <w:tcW w:w="1020" w:type="dxa"/>
            <w:shd w:val="clear" w:color="auto" w:fill="E7E6E6"/>
            <w:noWrap/>
          </w:tcPr>
          <w:p w14:paraId="491F3FF9" w14:textId="77777777" w:rsidR="005B131E" w:rsidRPr="00BA7805" w:rsidRDefault="005B131E" w:rsidP="002542E1">
            <w:pPr>
              <w:pStyle w:val="ARfintablebodyrightbold"/>
              <w:rPr>
                <w:highlight w:val="green"/>
              </w:rPr>
            </w:pPr>
            <w:r w:rsidRPr="00D94AE7">
              <w:t>38,614.0</w:t>
            </w:r>
          </w:p>
        </w:tc>
        <w:tc>
          <w:tcPr>
            <w:tcW w:w="1021" w:type="dxa"/>
            <w:noWrap/>
          </w:tcPr>
          <w:p w14:paraId="4EE60773" w14:textId="77777777" w:rsidR="005B131E" w:rsidRPr="00BA7805" w:rsidRDefault="005B131E" w:rsidP="002542E1">
            <w:pPr>
              <w:pStyle w:val="ARfintablebodyrightbold"/>
              <w:rPr>
                <w:highlight w:val="green"/>
              </w:rPr>
            </w:pPr>
            <w:r w:rsidRPr="00D94AE7">
              <w:t>37,271.3</w:t>
            </w:r>
          </w:p>
        </w:tc>
        <w:tc>
          <w:tcPr>
            <w:tcW w:w="1021" w:type="dxa"/>
            <w:shd w:val="clear" w:color="auto" w:fill="E7E6E6"/>
            <w:noWrap/>
          </w:tcPr>
          <w:p w14:paraId="69B8B85E" w14:textId="77777777" w:rsidR="005B131E" w:rsidRPr="00BA7805" w:rsidRDefault="005B131E" w:rsidP="002542E1">
            <w:pPr>
              <w:pStyle w:val="ARfintablebodyrightbold"/>
              <w:rPr>
                <w:highlight w:val="green"/>
              </w:rPr>
            </w:pPr>
            <w:r w:rsidRPr="00D94AE7">
              <w:t>(129.7)</w:t>
            </w:r>
          </w:p>
        </w:tc>
        <w:tc>
          <w:tcPr>
            <w:tcW w:w="1021" w:type="dxa"/>
            <w:noWrap/>
          </w:tcPr>
          <w:p w14:paraId="6E85D612" w14:textId="77777777" w:rsidR="005B131E" w:rsidRPr="00BA7805" w:rsidRDefault="005B131E" w:rsidP="002542E1">
            <w:pPr>
              <w:pStyle w:val="ARfintablebodyrightbold"/>
              <w:rPr>
                <w:highlight w:val="green"/>
              </w:rPr>
            </w:pPr>
            <w:r w:rsidRPr="00D94AE7">
              <w:t>(392.0)</w:t>
            </w:r>
          </w:p>
        </w:tc>
        <w:tc>
          <w:tcPr>
            <w:tcW w:w="1021" w:type="dxa"/>
            <w:shd w:val="clear" w:color="auto" w:fill="E7E6E6"/>
            <w:noWrap/>
          </w:tcPr>
          <w:p w14:paraId="1F726E45" w14:textId="77777777" w:rsidR="005B131E" w:rsidRPr="00BA7805" w:rsidRDefault="005B131E" w:rsidP="002542E1">
            <w:pPr>
              <w:pStyle w:val="ARfintablebodyrightbold"/>
              <w:rPr>
                <w:highlight w:val="green"/>
              </w:rPr>
            </w:pPr>
            <w:r w:rsidRPr="00D94AE7">
              <w:t>38,484.3</w:t>
            </w:r>
          </w:p>
        </w:tc>
        <w:tc>
          <w:tcPr>
            <w:tcW w:w="1021" w:type="dxa"/>
            <w:noWrap/>
          </w:tcPr>
          <w:p w14:paraId="03FD1F1E" w14:textId="77777777" w:rsidR="005B131E" w:rsidRPr="00BA7805" w:rsidRDefault="005B131E" w:rsidP="002542E1">
            <w:pPr>
              <w:pStyle w:val="ARfintablebodyrightbold"/>
              <w:rPr>
                <w:highlight w:val="green"/>
              </w:rPr>
            </w:pPr>
            <w:r w:rsidRPr="00B9494F">
              <w:t>36,879.3</w:t>
            </w:r>
          </w:p>
        </w:tc>
      </w:tr>
    </w:tbl>
    <w:p w14:paraId="1FCE5C67" w14:textId="77777777" w:rsidR="005B131E" w:rsidRPr="00DE4A7A" w:rsidRDefault="005B131E">
      <w:pPr>
        <w:pStyle w:val="ARfintablefootnote"/>
        <w:rPr>
          <w:lang w:eastAsia="en-AU"/>
        </w:rPr>
      </w:pPr>
      <w:r w:rsidRPr="00DE4A7A">
        <w:rPr>
          <w:lang w:eastAsia="en-AU"/>
        </w:rPr>
        <w:t>Notes:</w:t>
      </w:r>
    </w:p>
    <w:p w14:paraId="4ABBA90B" w14:textId="77777777" w:rsidR="005B131E" w:rsidRDefault="005B131E" w:rsidP="002542E1">
      <w:pPr>
        <w:pStyle w:val="ARfintablefootnotetabindent"/>
      </w:pPr>
      <w:r>
        <w:t xml:space="preserve">(i) </w:t>
      </w:r>
      <w:r>
        <w:tab/>
        <w:t>Accumulated depreciation of land at fair value relates to right-of-use assets.</w:t>
      </w:r>
    </w:p>
    <w:p w14:paraId="1C50EBBB" w14:textId="77777777" w:rsidR="005B131E" w:rsidRPr="00BA7805" w:rsidRDefault="005B131E" w:rsidP="002542E1">
      <w:pPr>
        <w:pStyle w:val="ARfintablefootnotetabindent"/>
        <w:rPr>
          <w:highlight w:val="green"/>
        </w:rPr>
      </w:pPr>
      <w:r>
        <w:t xml:space="preserve">(ii) </w:t>
      </w:r>
      <w:r>
        <w:tab/>
        <w:t>Motor vehicles at fair value relate to Vic Fleet Assets.</w:t>
      </w:r>
    </w:p>
    <w:p w14:paraId="67702B84" w14:textId="77777777" w:rsidR="005B131E" w:rsidRPr="00852FCD" w:rsidRDefault="005B131E" w:rsidP="00207901">
      <w:pPr>
        <w:pStyle w:val="Heading5"/>
      </w:pPr>
      <w:r w:rsidRPr="00852FCD">
        <w:t>5.1(a) Total right-of-use assets</w:t>
      </w:r>
    </w:p>
    <w:tbl>
      <w:tblPr>
        <w:tblStyle w:val="TableGrid"/>
        <w:tblW w:w="9628" w:type="dxa"/>
        <w:tblLayout w:type="fixed"/>
        <w:tblLook w:val="06A0" w:firstRow="1" w:lastRow="0" w:firstColumn="1" w:lastColumn="0" w:noHBand="1" w:noVBand="1"/>
      </w:tblPr>
      <w:tblGrid>
        <w:gridCol w:w="3508"/>
        <w:gridCol w:w="1020"/>
        <w:gridCol w:w="1020"/>
        <w:gridCol w:w="1020"/>
        <w:gridCol w:w="1020"/>
        <w:gridCol w:w="1020"/>
        <w:gridCol w:w="1020"/>
      </w:tblGrid>
      <w:tr w:rsidR="005B131E" w:rsidRPr="00BA7805" w14:paraId="504A4F5A"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val="restart"/>
            <w:noWrap/>
            <w:hideMark/>
          </w:tcPr>
          <w:p w14:paraId="554244D6" w14:textId="77777777" w:rsidR="005B131E" w:rsidRPr="00BA7805" w:rsidRDefault="005B131E">
            <w:pPr>
              <w:pStyle w:val="ARfintablecolhead"/>
              <w:rPr>
                <w:highlight w:val="green"/>
              </w:rPr>
            </w:pPr>
          </w:p>
        </w:tc>
        <w:tc>
          <w:tcPr>
            <w:tcW w:w="2040" w:type="dxa"/>
            <w:gridSpan w:val="2"/>
          </w:tcPr>
          <w:p w14:paraId="6A57B66F" w14:textId="77777777" w:rsidR="005B131E" w:rsidRPr="00852FCD" w:rsidRDefault="005B131E">
            <w:pPr>
              <w:pStyle w:val="ARfintablecolheadcentre"/>
            </w:pPr>
            <w:r w:rsidRPr="00852FCD">
              <w:t>Gross carrying amount</w:t>
            </w:r>
          </w:p>
        </w:tc>
        <w:tc>
          <w:tcPr>
            <w:tcW w:w="2040" w:type="dxa"/>
            <w:gridSpan w:val="2"/>
          </w:tcPr>
          <w:p w14:paraId="41FEA15B" w14:textId="77777777" w:rsidR="005B131E" w:rsidRPr="00852FCD" w:rsidRDefault="005B131E">
            <w:pPr>
              <w:pStyle w:val="ARfintablecolheadcentre"/>
            </w:pPr>
            <w:r w:rsidRPr="00852FCD">
              <w:t>Accumulated depreciation</w:t>
            </w:r>
          </w:p>
        </w:tc>
        <w:tc>
          <w:tcPr>
            <w:tcW w:w="2040" w:type="dxa"/>
            <w:gridSpan w:val="2"/>
          </w:tcPr>
          <w:p w14:paraId="60810283" w14:textId="77777777" w:rsidR="005B131E" w:rsidRPr="00852FCD" w:rsidRDefault="005B131E">
            <w:pPr>
              <w:pStyle w:val="ARfintablecolheadcentre"/>
            </w:pPr>
            <w:r w:rsidRPr="00852FCD">
              <w:t xml:space="preserve">Net carrying </w:t>
            </w:r>
            <w:r w:rsidRPr="00852FCD">
              <w:br/>
              <w:t>amount</w:t>
            </w:r>
          </w:p>
        </w:tc>
      </w:tr>
      <w:tr w:rsidR="005B131E" w:rsidRPr="00BA7805" w14:paraId="52B70C04"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hideMark/>
          </w:tcPr>
          <w:p w14:paraId="4DD321E3" w14:textId="77777777" w:rsidR="005B131E" w:rsidRPr="00BA7805" w:rsidRDefault="005B131E" w:rsidP="002542E1">
            <w:pPr>
              <w:pStyle w:val="ARfintablecolhead"/>
              <w:rPr>
                <w:highlight w:val="green"/>
              </w:rPr>
            </w:pPr>
          </w:p>
        </w:tc>
        <w:tc>
          <w:tcPr>
            <w:tcW w:w="1020" w:type="dxa"/>
            <w:tcBorders>
              <w:bottom w:val="single" w:sz="4" w:space="0" w:color="auto"/>
            </w:tcBorders>
            <w:shd w:val="clear" w:color="auto" w:fill="E7E6E6" w:themeFill="accent4"/>
          </w:tcPr>
          <w:p w14:paraId="37C7D469" w14:textId="77777777" w:rsidR="005B131E" w:rsidRPr="00CE41D5" w:rsidRDefault="005B131E" w:rsidP="002542E1">
            <w:pPr>
              <w:pStyle w:val="ARfintablecolheadright"/>
            </w:pPr>
            <w:r w:rsidRPr="00CE41D5">
              <w:t>2024</w:t>
            </w:r>
          </w:p>
          <w:p w14:paraId="082C9CE9" w14:textId="77777777" w:rsidR="005B131E" w:rsidRPr="00BA7805" w:rsidRDefault="005B131E" w:rsidP="002542E1">
            <w:pPr>
              <w:pStyle w:val="ARfintablecolheadright"/>
              <w:rPr>
                <w:highlight w:val="green"/>
              </w:rPr>
            </w:pPr>
            <w:r w:rsidRPr="00CE41D5">
              <w:t>$M</w:t>
            </w:r>
          </w:p>
        </w:tc>
        <w:tc>
          <w:tcPr>
            <w:tcW w:w="1020" w:type="dxa"/>
            <w:tcBorders>
              <w:bottom w:val="single" w:sz="4" w:space="0" w:color="auto"/>
            </w:tcBorders>
            <w:hideMark/>
          </w:tcPr>
          <w:p w14:paraId="328C452D" w14:textId="77777777" w:rsidR="005B131E" w:rsidRPr="00CE41D5" w:rsidRDefault="005B131E" w:rsidP="002542E1">
            <w:pPr>
              <w:pStyle w:val="ARfintablecolheadright"/>
            </w:pPr>
            <w:r w:rsidRPr="00CE41D5">
              <w:t>2023</w:t>
            </w:r>
          </w:p>
          <w:p w14:paraId="4A46A178" w14:textId="77777777" w:rsidR="005B131E" w:rsidRPr="00BA7805" w:rsidRDefault="005B131E" w:rsidP="002542E1">
            <w:pPr>
              <w:pStyle w:val="ARfintablecolheadright"/>
              <w:rPr>
                <w:highlight w:val="green"/>
              </w:rPr>
            </w:pPr>
            <w:r w:rsidRPr="00CE41D5">
              <w:t>$M</w:t>
            </w:r>
          </w:p>
        </w:tc>
        <w:tc>
          <w:tcPr>
            <w:tcW w:w="1020" w:type="dxa"/>
            <w:tcBorders>
              <w:bottom w:val="single" w:sz="4" w:space="0" w:color="auto"/>
            </w:tcBorders>
            <w:shd w:val="clear" w:color="auto" w:fill="E7E6E6" w:themeFill="accent4"/>
          </w:tcPr>
          <w:p w14:paraId="12AD556F" w14:textId="77777777" w:rsidR="005B131E" w:rsidRPr="00CE41D5" w:rsidRDefault="005B131E" w:rsidP="002542E1">
            <w:pPr>
              <w:pStyle w:val="ARfintablecolheadright"/>
            </w:pPr>
            <w:r w:rsidRPr="00CE41D5">
              <w:t>2024</w:t>
            </w:r>
          </w:p>
          <w:p w14:paraId="1EB338D3" w14:textId="77777777" w:rsidR="005B131E" w:rsidRPr="00BA7805" w:rsidRDefault="005B131E" w:rsidP="002542E1">
            <w:pPr>
              <w:pStyle w:val="ARfintablecolheadright"/>
              <w:rPr>
                <w:highlight w:val="green"/>
              </w:rPr>
            </w:pPr>
            <w:r w:rsidRPr="00CE41D5">
              <w:t>$M</w:t>
            </w:r>
          </w:p>
        </w:tc>
        <w:tc>
          <w:tcPr>
            <w:tcW w:w="1020" w:type="dxa"/>
            <w:tcBorders>
              <w:bottom w:val="single" w:sz="4" w:space="0" w:color="auto"/>
            </w:tcBorders>
            <w:hideMark/>
          </w:tcPr>
          <w:p w14:paraId="5C97C4A7" w14:textId="77777777" w:rsidR="005B131E" w:rsidRPr="00CE41D5" w:rsidRDefault="005B131E" w:rsidP="002542E1">
            <w:pPr>
              <w:pStyle w:val="ARfintablecolheadright"/>
            </w:pPr>
            <w:r w:rsidRPr="00CE41D5">
              <w:t>2023</w:t>
            </w:r>
          </w:p>
          <w:p w14:paraId="456017E1" w14:textId="77777777" w:rsidR="005B131E" w:rsidRPr="00BA7805" w:rsidRDefault="005B131E" w:rsidP="002542E1">
            <w:pPr>
              <w:pStyle w:val="ARfintablecolheadright"/>
              <w:rPr>
                <w:highlight w:val="green"/>
              </w:rPr>
            </w:pPr>
            <w:r w:rsidRPr="00CE41D5">
              <w:t>$M</w:t>
            </w:r>
          </w:p>
        </w:tc>
        <w:tc>
          <w:tcPr>
            <w:tcW w:w="1020" w:type="dxa"/>
            <w:tcBorders>
              <w:bottom w:val="single" w:sz="4" w:space="0" w:color="auto"/>
            </w:tcBorders>
            <w:shd w:val="clear" w:color="auto" w:fill="E7E6E6" w:themeFill="accent4"/>
          </w:tcPr>
          <w:p w14:paraId="1280EB15" w14:textId="77777777" w:rsidR="005B131E" w:rsidRPr="00CE41D5" w:rsidRDefault="005B131E" w:rsidP="002542E1">
            <w:pPr>
              <w:pStyle w:val="ARfintablecolheadright"/>
            </w:pPr>
            <w:r w:rsidRPr="00CE41D5">
              <w:t>2024</w:t>
            </w:r>
          </w:p>
          <w:p w14:paraId="76C73E05" w14:textId="77777777" w:rsidR="005B131E" w:rsidRPr="00BA7805" w:rsidRDefault="005B131E" w:rsidP="002542E1">
            <w:pPr>
              <w:pStyle w:val="ARfintablecolheadright"/>
              <w:rPr>
                <w:highlight w:val="green"/>
              </w:rPr>
            </w:pPr>
            <w:r w:rsidRPr="00CE41D5">
              <w:t>$M</w:t>
            </w:r>
          </w:p>
        </w:tc>
        <w:tc>
          <w:tcPr>
            <w:tcW w:w="1020" w:type="dxa"/>
            <w:tcBorders>
              <w:bottom w:val="single" w:sz="4" w:space="0" w:color="auto"/>
            </w:tcBorders>
            <w:hideMark/>
          </w:tcPr>
          <w:p w14:paraId="54A34B43" w14:textId="77777777" w:rsidR="005B131E" w:rsidRPr="00CE41D5" w:rsidRDefault="005B131E" w:rsidP="002542E1">
            <w:pPr>
              <w:pStyle w:val="ARfintablecolheadright"/>
            </w:pPr>
            <w:r w:rsidRPr="00CE41D5">
              <w:t>2023</w:t>
            </w:r>
          </w:p>
          <w:p w14:paraId="178B3683" w14:textId="77777777" w:rsidR="005B131E" w:rsidRPr="00BA7805" w:rsidRDefault="005B131E" w:rsidP="002542E1">
            <w:pPr>
              <w:pStyle w:val="ARfintablecolheadright"/>
              <w:rPr>
                <w:highlight w:val="green"/>
              </w:rPr>
            </w:pPr>
            <w:r w:rsidRPr="00CE41D5">
              <w:t>$M</w:t>
            </w:r>
          </w:p>
        </w:tc>
      </w:tr>
      <w:tr w:rsidR="005B131E" w:rsidRPr="00BA7805" w14:paraId="17939C09" w14:textId="77777777" w:rsidTr="002542E1">
        <w:trPr>
          <w:cantSplit w:val="0"/>
          <w:trHeight w:val="255"/>
        </w:trPr>
        <w:tc>
          <w:tcPr>
            <w:tcW w:w="3508" w:type="dxa"/>
            <w:tcBorders>
              <w:top w:val="single" w:sz="4" w:space="0" w:color="auto"/>
              <w:bottom w:val="single" w:sz="4" w:space="0" w:color="A6A6A6" w:themeColor="background1" w:themeShade="A6"/>
            </w:tcBorders>
          </w:tcPr>
          <w:p w14:paraId="5354D9C8" w14:textId="77777777" w:rsidR="005B131E" w:rsidRPr="00BA7805" w:rsidRDefault="005B131E" w:rsidP="002542E1">
            <w:pPr>
              <w:pStyle w:val="ARfintablebody"/>
              <w:rPr>
                <w:highlight w:val="green"/>
              </w:rPr>
            </w:pPr>
            <w:r w:rsidRPr="00F33B81">
              <w:t>Land at fair value</w:t>
            </w:r>
          </w:p>
        </w:tc>
        <w:tc>
          <w:tcPr>
            <w:tcW w:w="1020" w:type="dxa"/>
            <w:tcBorders>
              <w:top w:val="single" w:sz="4" w:space="0" w:color="auto"/>
              <w:bottom w:val="single" w:sz="4" w:space="0" w:color="A6A6A6" w:themeColor="background1" w:themeShade="A6"/>
            </w:tcBorders>
            <w:shd w:val="clear" w:color="auto" w:fill="E7E6E6" w:themeFill="accent4"/>
          </w:tcPr>
          <w:p w14:paraId="7933AFCF" w14:textId="77777777" w:rsidR="005B131E" w:rsidRPr="00BA7805" w:rsidRDefault="005B131E" w:rsidP="002542E1">
            <w:pPr>
              <w:pStyle w:val="ARfintablebodyright"/>
              <w:rPr>
                <w:highlight w:val="green"/>
              </w:rPr>
            </w:pPr>
            <w:r w:rsidRPr="00F33B81">
              <w:t>12.2</w:t>
            </w:r>
          </w:p>
        </w:tc>
        <w:tc>
          <w:tcPr>
            <w:tcW w:w="1020" w:type="dxa"/>
            <w:tcBorders>
              <w:top w:val="single" w:sz="4" w:space="0" w:color="auto"/>
              <w:bottom w:val="single" w:sz="4" w:space="0" w:color="A6A6A6" w:themeColor="background1" w:themeShade="A6"/>
            </w:tcBorders>
            <w:noWrap/>
          </w:tcPr>
          <w:p w14:paraId="4EEC9674" w14:textId="77777777" w:rsidR="005B131E" w:rsidRPr="00BA7805" w:rsidRDefault="005B131E" w:rsidP="002542E1">
            <w:pPr>
              <w:pStyle w:val="ARfintablebodyright"/>
              <w:rPr>
                <w:highlight w:val="green"/>
              </w:rPr>
            </w:pPr>
            <w:r w:rsidRPr="00F33B81">
              <w:t>12.1</w:t>
            </w:r>
          </w:p>
        </w:tc>
        <w:tc>
          <w:tcPr>
            <w:tcW w:w="1020" w:type="dxa"/>
            <w:tcBorders>
              <w:top w:val="single" w:sz="4" w:space="0" w:color="auto"/>
              <w:bottom w:val="single" w:sz="4" w:space="0" w:color="A6A6A6" w:themeColor="background1" w:themeShade="A6"/>
            </w:tcBorders>
            <w:shd w:val="clear" w:color="auto" w:fill="E7E6E6" w:themeFill="accent4"/>
          </w:tcPr>
          <w:p w14:paraId="6554BC86" w14:textId="77777777" w:rsidR="005B131E" w:rsidRPr="00BA7805" w:rsidRDefault="005B131E" w:rsidP="002542E1">
            <w:pPr>
              <w:pStyle w:val="ARfintablebodyright"/>
              <w:rPr>
                <w:highlight w:val="green"/>
              </w:rPr>
            </w:pPr>
            <w:r w:rsidRPr="00F33B81">
              <w:t>(4.3)</w:t>
            </w:r>
          </w:p>
        </w:tc>
        <w:tc>
          <w:tcPr>
            <w:tcW w:w="1020" w:type="dxa"/>
            <w:tcBorders>
              <w:top w:val="single" w:sz="4" w:space="0" w:color="auto"/>
              <w:bottom w:val="single" w:sz="4" w:space="0" w:color="A6A6A6" w:themeColor="background1" w:themeShade="A6"/>
            </w:tcBorders>
            <w:noWrap/>
          </w:tcPr>
          <w:p w14:paraId="7ED15F74" w14:textId="77777777" w:rsidR="005B131E" w:rsidRPr="00BA7805" w:rsidRDefault="005B131E" w:rsidP="002542E1">
            <w:pPr>
              <w:pStyle w:val="ARfintablebodyright"/>
              <w:rPr>
                <w:highlight w:val="green"/>
              </w:rPr>
            </w:pPr>
            <w:r w:rsidRPr="00F33B81">
              <w:t>(3.4)</w:t>
            </w:r>
          </w:p>
        </w:tc>
        <w:tc>
          <w:tcPr>
            <w:tcW w:w="1020" w:type="dxa"/>
            <w:tcBorders>
              <w:top w:val="single" w:sz="4" w:space="0" w:color="auto"/>
              <w:bottom w:val="single" w:sz="4" w:space="0" w:color="A6A6A6" w:themeColor="background1" w:themeShade="A6"/>
            </w:tcBorders>
            <w:shd w:val="clear" w:color="auto" w:fill="E7E6E6" w:themeFill="accent4"/>
          </w:tcPr>
          <w:p w14:paraId="4147F23B" w14:textId="77777777" w:rsidR="005B131E" w:rsidRPr="00BA7805" w:rsidRDefault="005B131E" w:rsidP="002542E1">
            <w:pPr>
              <w:pStyle w:val="ARfintablebodyright"/>
              <w:rPr>
                <w:highlight w:val="green"/>
              </w:rPr>
            </w:pPr>
            <w:r w:rsidRPr="00F33B81">
              <w:t>7.9</w:t>
            </w:r>
          </w:p>
        </w:tc>
        <w:tc>
          <w:tcPr>
            <w:tcW w:w="1020" w:type="dxa"/>
            <w:tcBorders>
              <w:top w:val="single" w:sz="4" w:space="0" w:color="auto"/>
              <w:bottom w:val="single" w:sz="4" w:space="0" w:color="A6A6A6" w:themeColor="background1" w:themeShade="A6"/>
            </w:tcBorders>
            <w:noWrap/>
          </w:tcPr>
          <w:p w14:paraId="00249C7A" w14:textId="77777777" w:rsidR="005B131E" w:rsidRPr="00BA7805" w:rsidRDefault="005B131E" w:rsidP="002542E1">
            <w:pPr>
              <w:pStyle w:val="ARfintablebodyright"/>
              <w:rPr>
                <w:highlight w:val="green"/>
              </w:rPr>
            </w:pPr>
            <w:r w:rsidRPr="00F33B81">
              <w:t>8.7</w:t>
            </w:r>
          </w:p>
        </w:tc>
      </w:tr>
      <w:tr w:rsidR="005B131E" w:rsidRPr="00BA7805" w14:paraId="4AF6EA31" w14:textId="77777777" w:rsidTr="002542E1">
        <w:trPr>
          <w:cantSplit w:val="0"/>
          <w:trHeight w:val="255"/>
        </w:trPr>
        <w:tc>
          <w:tcPr>
            <w:tcW w:w="3508" w:type="dxa"/>
            <w:tcBorders>
              <w:top w:val="single" w:sz="4" w:space="0" w:color="A6A6A6" w:themeColor="background1" w:themeShade="A6"/>
              <w:bottom w:val="single" w:sz="4" w:space="0" w:color="A6A6A6" w:themeColor="background1" w:themeShade="A6"/>
            </w:tcBorders>
          </w:tcPr>
          <w:p w14:paraId="14D5C317" w14:textId="77777777" w:rsidR="005B131E" w:rsidRPr="00BA7805" w:rsidRDefault="005B131E" w:rsidP="002542E1">
            <w:pPr>
              <w:pStyle w:val="ARfintablebody"/>
              <w:rPr>
                <w:highlight w:val="green"/>
              </w:rPr>
            </w:pPr>
            <w:r w:rsidRPr="00F33B81">
              <w:t>Buildings at fair value</w:t>
            </w:r>
          </w:p>
        </w:tc>
        <w:tc>
          <w:tcPr>
            <w:tcW w:w="1020" w:type="dxa"/>
            <w:tcBorders>
              <w:top w:val="single" w:sz="4" w:space="0" w:color="A6A6A6" w:themeColor="background1" w:themeShade="A6"/>
              <w:bottom w:val="single" w:sz="4" w:space="0" w:color="A6A6A6" w:themeColor="background1" w:themeShade="A6"/>
            </w:tcBorders>
            <w:shd w:val="clear" w:color="auto" w:fill="E7E6E6" w:themeFill="accent4"/>
          </w:tcPr>
          <w:p w14:paraId="67AA0594" w14:textId="77777777" w:rsidR="005B131E" w:rsidRPr="00BA7805" w:rsidRDefault="005B131E" w:rsidP="002542E1">
            <w:pPr>
              <w:pStyle w:val="ARfintablebodyright"/>
              <w:rPr>
                <w:highlight w:val="green"/>
              </w:rPr>
            </w:pPr>
            <w:r w:rsidRPr="00F33B81">
              <w:t>104.9</w:t>
            </w:r>
          </w:p>
        </w:tc>
        <w:tc>
          <w:tcPr>
            <w:tcW w:w="1020" w:type="dxa"/>
            <w:tcBorders>
              <w:top w:val="single" w:sz="4" w:space="0" w:color="A6A6A6" w:themeColor="background1" w:themeShade="A6"/>
              <w:bottom w:val="single" w:sz="4" w:space="0" w:color="A6A6A6" w:themeColor="background1" w:themeShade="A6"/>
            </w:tcBorders>
            <w:noWrap/>
          </w:tcPr>
          <w:p w14:paraId="00A4E1F5" w14:textId="77777777" w:rsidR="005B131E" w:rsidRPr="00BA7805" w:rsidRDefault="005B131E" w:rsidP="002542E1">
            <w:pPr>
              <w:pStyle w:val="ARfintablebodyright"/>
              <w:rPr>
                <w:highlight w:val="green"/>
              </w:rPr>
            </w:pPr>
            <w:r w:rsidRPr="00F33B81">
              <w:t>94.7</w:t>
            </w:r>
          </w:p>
        </w:tc>
        <w:tc>
          <w:tcPr>
            <w:tcW w:w="1020" w:type="dxa"/>
            <w:tcBorders>
              <w:top w:val="single" w:sz="4" w:space="0" w:color="A6A6A6" w:themeColor="background1" w:themeShade="A6"/>
              <w:bottom w:val="single" w:sz="4" w:space="0" w:color="A6A6A6" w:themeColor="background1" w:themeShade="A6"/>
            </w:tcBorders>
            <w:shd w:val="clear" w:color="auto" w:fill="E7E6E6" w:themeFill="accent4"/>
          </w:tcPr>
          <w:p w14:paraId="507D1BDD" w14:textId="77777777" w:rsidR="005B131E" w:rsidRPr="00BA7805" w:rsidRDefault="005B131E" w:rsidP="002542E1">
            <w:pPr>
              <w:pStyle w:val="ARfintablebodyright"/>
              <w:rPr>
                <w:highlight w:val="green"/>
              </w:rPr>
            </w:pPr>
            <w:r w:rsidRPr="00F33B81">
              <w:t>(61.6)</w:t>
            </w:r>
          </w:p>
        </w:tc>
        <w:tc>
          <w:tcPr>
            <w:tcW w:w="1020" w:type="dxa"/>
            <w:tcBorders>
              <w:top w:val="single" w:sz="4" w:space="0" w:color="A6A6A6" w:themeColor="background1" w:themeShade="A6"/>
              <w:bottom w:val="single" w:sz="4" w:space="0" w:color="A6A6A6" w:themeColor="background1" w:themeShade="A6"/>
            </w:tcBorders>
            <w:noWrap/>
          </w:tcPr>
          <w:p w14:paraId="6AA2DF66" w14:textId="77777777" w:rsidR="005B131E" w:rsidRPr="00BA7805" w:rsidRDefault="005B131E" w:rsidP="002542E1">
            <w:pPr>
              <w:pStyle w:val="ARfintablebodyright"/>
              <w:rPr>
                <w:highlight w:val="green"/>
              </w:rPr>
            </w:pPr>
            <w:r w:rsidRPr="00F33B81">
              <w:t>(59.5)</w:t>
            </w:r>
          </w:p>
        </w:tc>
        <w:tc>
          <w:tcPr>
            <w:tcW w:w="1020" w:type="dxa"/>
            <w:tcBorders>
              <w:top w:val="single" w:sz="4" w:space="0" w:color="A6A6A6" w:themeColor="background1" w:themeShade="A6"/>
              <w:bottom w:val="single" w:sz="4" w:space="0" w:color="A6A6A6" w:themeColor="background1" w:themeShade="A6"/>
            </w:tcBorders>
            <w:shd w:val="clear" w:color="auto" w:fill="E7E6E6" w:themeFill="accent4"/>
          </w:tcPr>
          <w:p w14:paraId="056149DD" w14:textId="77777777" w:rsidR="005B131E" w:rsidRPr="00BA7805" w:rsidRDefault="005B131E" w:rsidP="002542E1">
            <w:pPr>
              <w:pStyle w:val="ARfintablebodyright"/>
              <w:rPr>
                <w:highlight w:val="green"/>
              </w:rPr>
            </w:pPr>
            <w:r w:rsidRPr="00F33B81">
              <w:t>43.3</w:t>
            </w:r>
          </w:p>
        </w:tc>
        <w:tc>
          <w:tcPr>
            <w:tcW w:w="1020" w:type="dxa"/>
            <w:tcBorders>
              <w:top w:val="single" w:sz="4" w:space="0" w:color="A6A6A6" w:themeColor="background1" w:themeShade="A6"/>
              <w:bottom w:val="single" w:sz="4" w:space="0" w:color="A6A6A6" w:themeColor="background1" w:themeShade="A6"/>
            </w:tcBorders>
            <w:noWrap/>
          </w:tcPr>
          <w:p w14:paraId="005B55CB" w14:textId="77777777" w:rsidR="005B131E" w:rsidRPr="00BA7805" w:rsidRDefault="005B131E" w:rsidP="002542E1">
            <w:pPr>
              <w:pStyle w:val="ARfintablebodyright"/>
              <w:rPr>
                <w:highlight w:val="green"/>
              </w:rPr>
            </w:pPr>
            <w:r w:rsidRPr="00F33B81">
              <w:t>35.2</w:t>
            </w:r>
          </w:p>
        </w:tc>
      </w:tr>
      <w:tr w:rsidR="005B131E" w:rsidRPr="00BA7805" w14:paraId="13A97847" w14:textId="77777777" w:rsidTr="002542E1">
        <w:trPr>
          <w:cantSplit w:val="0"/>
          <w:trHeight w:val="255"/>
        </w:trPr>
        <w:tc>
          <w:tcPr>
            <w:tcW w:w="3508" w:type="dxa"/>
            <w:tcBorders>
              <w:top w:val="single" w:sz="4" w:space="0" w:color="A6A6A6" w:themeColor="background1" w:themeShade="A6"/>
            </w:tcBorders>
          </w:tcPr>
          <w:p w14:paraId="7D834266" w14:textId="77777777" w:rsidR="005B131E" w:rsidRPr="00BA7805" w:rsidRDefault="005B131E" w:rsidP="002542E1">
            <w:pPr>
              <w:pStyle w:val="ARfintablebody"/>
              <w:rPr>
                <w:highlight w:val="green"/>
              </w:rPr>
            </w:pPr>
            <w:r w:rsidRPr="00F33B81">
              <w:t>Motor vehicles at fair value</w:t>
            </w:r>
          </w:p>
        </w:tc>
        <w:tc>
          <w:tcPr>
            <w:tcW w:w="1020" w:type="dxa"/>
            <w:tcBorders>
              <w:top w:val="single" w:sz="4" w:space="0" w:color="A6A6A6" w:themeColor="background1" w:themeShade="A6"/>
            </w:tcBorders>
            <w:shd w:val="clear" w:color="auto" w:fill="E7E6E6" w:themeFill="accent4"/>
          </w:tcPr>
          <w:p w14:paraId="2F974129" w14:textId="77777777" w:rsidR="005B131E" w:rsidRPr="00BA7805" w:rsidRDefault="005B131E" w:rsidP="002542E1">
            <w:pPr>
              <w:pStyle w:val="ARfintablebodyright"/>
              <w:rPr>
                <w:highlight w:val="green"/>
              </w:rPr>
            </w:pPr>
            <w:r w:rsidRPr="00F33B81">
              <w:t>36.5</w:t>
            </w:r>
          </w:p>
        </w:tc>
        <w:tc>
          <w:tcPr>
            <w:tcW w:w="1020" w:type="dxa"/>
            <w:tcBorders>
              <w:top w:val="single" w:sz="4" w:space="0" w:color="A6A6A6" w:themeColor="background1" w:themeShade="A6"/>
            </w:tcBorders>
            <w:noWrap/>
          </w:tcPr>
          <w:p w14:paraId="58AB9058" w14:textId="77777777" w:rsidR="005B131E" w:rsidRPr="00BA7805" w:rsidRDefault="005B131E" w:rsidP="002542E1">
            <w:pPr>
              <w:pStyle w:val="ARfintablebodyright"/>
              <w:rPr>
                <w:highlight w:val="green"/>
              </w:rPr>
            </w:pPr>
            <w:r w:rsidRPr="00F33B81">
              <w:t>31.8</w:t>
            </w:r>
          </w:p>
        </w:tc>
        <w:tc>
          <w:tcPr>
            <w:tcW w:w="1020" w:type="dxa"/>
            <w:tcBorders>
              <w:top w:val="single" w:sz="4" w:space="0" w:color="A6A6A6" w:themeColor="background1" w:themeShade="A6"/>
            </w:tcBorders>
            <w:shd w:val="clear" w:color="auto" w:fill="E7E6E6" w:themeFill="accent4"/>
          </w:tcPr>
          <w:p w14:paraId="48CD60A0" w14:textId="77777777" w:rsidR="005B131E" w:rsidRPr="00BA7805" w:rsidRDefault="005B131E" w:rsidP="002542E1">
            <w:pPr>
              <w:pStyle w:val="ARfintablebodyright"/>
              <w:rPr>
                <w:highlight w:val="green"/>
              </w:rPr>
            </w:pPr>
            <w:r w:rsidRPr="00F33B81">
              <w:t>2.5</w:t>
            </w:r>
          </w:p>
        </w:tc>
        <w:tc>
          <w:tcPr>
            <w:tcW w:w="1020" w:type="dxa"/>
            <w:tcBorders>
              <w:top w:val="single" w:sz="4" w:space="0" w:color="A6A6A6" w:themeColor="background1" w:themeShade="A6"/>
            </w:tcBorders>
            <w:noWrap/>
          </w:tcPr>
          <w:p w14:paraId="0A00C01B" w14:textId="77777777" w:rsidR="005B131E" w:rsidRPr="00BA7805" w:rsidRDefault="005B131E" w:rsidP="002542E1">
            <w:pPr>
              <w:pStyle w:val="ARfintablebodyright"/>
              <w:rPr>
                <w:highlight w:val="green"/>
              </w:rPr>
            </w:pPr>
            <w:r w:rsidRPr="00F33B81">
              <w:t>0.4</w:t>
            </w:r>
          </w:p>
        </w:tc>
        <w:tc>
          <w:tcPr>
            <w:tcW w:w="1020" w:type="dxa"/>
            <w:tcBorders>
              <w:top w:val="single" w:sz="4" w:space="0" w:color="A6A6A6" w:themeColor="background1" w:themeShade="A6"/>
            </w:tcBorders>
            <w:shd w:val="clear" w:color="auto" w:fill="E7E6E6" w:themeFill="accent4"/>
          </w:tcPr>
          <w:p w14:paraId="59D68773" w14:textId="77777777" w:rsidR="005B131E" w:rsidRPr="00BA7805" w:rsidRDefault="005B131E" w:rsidP="002542E1">
            <w:pPr>
              <w:pStyle w:val="ARfintablebodyright"/>
              <w:rPr>
                <w:highlight w:val="green"/>
              </w:rPr>
            </w:pPr>
            <w:r w:rsidRPr="00F33B81">
              <w:t>38.9</w:t>
            </w:r>
          </w:p>
        </w:tc>
        <w:tc>
          <w:tcPr>
            <w:tcW w:w="1020" w:type="dxa"/>
            <w:tcBorders>
              <w:top w:val="single" w:sz="4" w:space="0" w:color="A6A6A6" w:themeColor="background1" w:themeShade="A6"/>
            </w:tcBorders>
            <w:noWrap/>
          </w:tcPr>
          <w:p w14:paraId="16173719" w14:textId="77777777" w:rsidR="005B131E" w:rsidRPr="00BA7805" w:rsidRDefault="005B131E" w:rsidP="002542E1">
            <w:pPr>
              <w:pStyle w:val="ARfintablebodyright"/>
              <w:rPr>
                <w:highlight w:val="green"/>
              </w:rPr>
            </w:pPr>
            <w:r w:rsidRPr="00F33B81">
              <w:t>32.2</w:t>
            </w:r>
          </w:p>
        </w:tc>
      </w:tr>
      <w:tr w:rsidR="005B131E" w:rsidRPr="00BA7805" w14:paraId="3BD841E9" w14:textId="77777777" w:rsidTr="002542E1">
        <w:trPr>
          <w:cantSplit w:val="0"/>
          <w:trHeight w:val="255"/>
        </w:trPr>
        <w:tc>
          <w:tcPr>
            <w:tcW w:w="3508" w:type="dxa"/>
          </w:tcPr>
          <w:p w14:paraId="6777E620" w14:textId="77777777" w:rsidR="005B131E" w:rsidRPr="00BA7805" w:rsidRDefault="005B131E" w:rsidP="002542E1">
            <w:pPr>
              <w:pStyle w:val="ARfintablebodybold"/>
              <w:rPr>
                <w:highlight w:val="green"/>
              </w:rPr>
            </w:pPr>
            <w:r w:rsidRPr="00F33B81">
              <w:t>Net carrying amount</w:t>
            </w:r>
          </w:p>
        </w:tc>
        <w:tc>
          <w:tcPr>
            <w:tcW w:w="1020" w:type="dxa"/>
            <w:shd w:val="clear" w:color="auto" w:fill="E7E6E6" w:themeFill="accent4"/>
          </w:tcPr>
          <w:p w14:paraId="7DC44B83" w14:textId="77777777" w:rsidR="005B131E" w:rsidRPr="00BA7805" w:rsidRDefault="005B131E" w:rsidP="002542E1">
            <w:pPr>
              <w:pStyle w:val="ARfintablebodyrightbold"/>
              <w:rPr>
                <w:highlight w:val="green"/>
              </w:rPr>
            </w:pPr>
            <w:r w:rsidRPr="00F33B81">
              <w:t>153.6</w:t>
            </w:r>
          </w:p>
        </w:tc>
        <w:tc>
          <w:tcPr>
            <w:tcW w:w="1020" w:type="dxa"/>
            <w:noWrap/>
          </w:tcPr>
          <w:p w14:paraId="6E91E463" w14:textId="77777777" w:rsidR="005B131E" w:rsidRPr="00BA7805" w:rsidRDefault="005B131E" w:rsidP="002542E1">
            <w:pPr>
              <w:pStyle w:val="ARfintablebodyrightbold"/>
              <w:rPr>
                <w:highlight w:val="green"/>
              </w:rPr>
            </w:pPr>
            <w:r w:rsidRPr="00F33B81">
              <w:t>138.6</w:t>
            </w:r>
          </w:p>
        </w:tc>
        <w:tc>
          <w:tcPr>
            <w:tcW w:w="1020" w:type="dxa"/>
            <w:shd w:val="clear" w:color="auto" w:fill="E7E6E6" w:themeFill="accent4"/>
          </w:tcPr>
          <w:p w14:paraId="6DF39748" w14:textId="77777777" w:rsidR="005B131E" w:rsidRPr="00BA7805" w:rsidRDefault="005B131E" w:rsidP="002542E1">
            <w:pPr>
              <w:pStyle w:val="ARfintablebodyrightbold"/>
              <w:rPr>
                <w:highlight w:val="green"/>
              </w:rPr>
            </w:pPr>
            <w:r w:rsidRPr="00F33B81">
              <w:t>(63.4)</w:t>
            </w:r>
          </w:p>
        </w:tc>
        <w:tc>
          <w:tcPr>
            <w:tcW w:w="1020" w:type="dxa"/>
            <w:noWrap/>
          </w:tcPr>
          <w:p w14:paraId="34FFA5F6" w14:textId="77777777" w:rsidR="005B131E" w:rsidRPr="00BA7805" w:rsidRDefault="005B131E" w:rsidP="002542E1">
            <w:pPr>
              <w:pStyle w:val="ARfintablebodyrightbold"/>
              <w:rPr>
                <w:highlight w:val="green"/>
              </w:rPr>
            </w:pPr>
            <w:r w:rsidRPr="00F33B81">
              <w:t>(62.5)</w:t>
            </w:r>
          </w:p>
        </w:tc>
        <w:tc>
          <w:tcPr>
            <w:tcW w:w="1020" w:type="dxa"/>
            <w:shd w:val="clear" w:color="auto" w:fill="E7E6E6" w:themeFill="accent4"/>
          </w:tcPr>
          <w:p w14:paraId="4E8E8B22" w14:textId="77777777" w:rsidR="005B131E" w:rsidRPr="00BA7805" w:rsidRDefault="005B131E" w:rsidP="002542E1">
            <w:pPr>
              <w:pStyle w:val="ARfintablebodyrightbold"/>
              <w:rPr>
                <w:highlight w:val="green"/>
              </w:rPr>
            </w:pPr>
            <w:r w:rsidRPr="00F33B81">
              <w:t>90.1</w:t>
            </w:r>
          </w:p>
        </w:tc>
        <w:tc>
          <w:tcPr>
            <w:tcW w:w="1020" w:type="dxa"/>
            <w:noWrap/>
          </w:tcPr>
          <w:p w14:paraId="4D7C7D1B" w14:textId="77777777" w:rsidR="005B131E" w:rsidRPr="00BA7805" w:rsidRDefault="005B131E" w:rsidP="002542E1">
            <w:pPr>
              <w:pStyle w:val="ARfintablebodyrightbold"/>
              <w:rPr>
                <w:highlight w:val="green"/>
              </w:rPr>
            </w:pPr>
            <w:r w:rsidRPr="00F33B81">
              <w:t>76.1</w:t>
            </w:r>
          </w:p>
        </w:tc>
      </w:tr>
    </w:tbl>
    <w:p w14:paraId="72655DF6" w14:textId="77777777" w:rsidR="005B131E" w:rsidRDefault="005B131E" w:rsidP="002542E1">
      <w:pPr>
        <w:pStyle w:val="ARfinbody"/>
      </w:pPr>
      <w:r>
        <w:br w:type="page"/>
      </w:r>
    </w:p>
    <w:p w14:paraId="35D289CC" w14:textId="77777777" w:rsidR="005B131E" w:rsidRDefault="005B131E" w:rsidP="002542E1">
      <w:pPr>
        <w:pStyle w:val="Heading5"/>
        <w:spacing w:before="0"/>
      </w:pPr>
      <w:bookmarkStart w:id="275" w:name="_Ref178665174"/>
      <w:r w:rsidRPr="00852FCD">
        <w:t>5.1(</w:t>
      </w:r>
      <w:r>
        <w:t>b</w:t>
      </w:r>
      <w:r w:rsidRPr="00852FCD">
        <w:t xml:space="preserve">) Total </w:t>
      </w:r>
      <w:r w:rsidRPr="00414D5A">
        <w:t>service concession assets</w:t>
      </w:r>
      <w:bookmarkEnd w:id="275"/>
    </w:p>
    <w:tbl>
      <w:tblPr>
        <w:tblStyle w:val="TableGrid"/>
        <w:tblW w:w="9637" w:type="dxa"/>
        <w:tblLayout w:type="fixed"/>
        <w:tblLook w:val="06A0" w:firstRow="1" w:lastRow="0" w:firstColumn="1" w:lastColumn="0" w:noHBand="1" w:noVBand="1"/>
      </w:tblPr>
      <w:tblGrid>
        <w:gridCol w:w="7145"/>
        <w:gridCol w:w="1245"/>
        <w:gridCol w:w="1247"/>
      </w:tblGrid>
      <w:tr w:rsidR="00AF6F94" w:rsidRPr="006153A2" w14:paraId="54304310"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145" w:type="dxa"/>
            <w:tcBorders>
              <w:top w:val="nil"/>
              <w:bottom w:val="single" w:sz="4" w:space="0" w:color="auto"/>
            </w:tcBorders>
            <w:noWrap/>
            <w:hideMark/>
          </w:tcPr>
          <w:p w14:paraId="5485295D" w14:textId="77777777" w:rsidR="005B131E" w:rsidRPr="00BA7805" w:rsidRDefault="005B131E">
            <w:pPr>
              <w:pStyle w:val="ARfintablecolhead"/>
              <w:rPr>
                <w:highlight w:val="green"/>
              </w:rPr>
            </w:pPr>
          </w:p>
        </w:tc>
        <w:tc>
          <w:tcPr>
            <w:tcW w:w="1245" w:type="dxa"/>
            <w:tcBorders>
              <w:top w:val="nil"/>
              <w:bottom w:val="single" w:sz="4" w:space="0" w:color="auto"/>
            </w:tcBorders>
            <w:shd w:val="clear" w:color="auto" w:fill="E7E6E6" w:themeFill="accent4"/>
            <w:hideMark/>
          </w:tcPr>
          <w:p w14:paraId="1390A87C" w14:textId="77777777" w:rsidR="005B131E" w:rsidRPr="006153A2" w:rsidRDefault="005B131E">
            <w:pPr>
              <w:pStyle w:val="ARfintablecolheadright"/>
            </w:pPr>
            <w:r w:rsidRPr="006153A2">
              <w:t>2024</w:t>
            </w:r>
          </w:p>
          <w:p w14:paraId="2F9C4C67" w14:textId="77777777" w:rsidR="005B131E" w:rsidRPr="006153A2" w:rsidRDefault="005B131E">
            <w:pPr>
              <w:pStyle w:val="ARfintablecolheadright"/>
            </w:pPr>
            <w:r w:rsidRPr="006153A2">
              <w:t>$M</w:t>
            </w:r>
          </w:p>
        </w:tc>
        <w:tc>
          <w:tcPr>
            <w:tcW w:w="1247" w:type="dxa"/>
            <w:tcBorders>
              <w:top w:val="nil"/>
              <w:bottom w:val="single" w:sz="4" w:space="0" w:color="auto"/>
            </w:tcBorders>
            <w:hideMark/>
          </w:tcPr>
          <w:p w14:paraId="1A2BDD78" w14:textId="77777777" w:rsidR="005B131E" w:rsidRPr="006153A2" w:rsidRDefault="005B131E">
            <w:pPr>
              <w:pStyle w:val="ARfintablecolheadright"/>
            </w:pPr>
            <w:r w:rsidRPr="006153A2">
              <w:t>2023</w:t>
            </w:r>
          </w:p>
          <w:p w14:paraId="1FDBF41A" w14:textId="77777777" w:rsidR="005B131E" w:rsidRPr="006153A2" w:rsidRDefault="005B131E">
            <w:pPr>
              <w:pStyle w:val="ARfintablecolheadright"/>
            </w:pPr>
            <w:r w:rsidRPr="006153A2">
              <w:t>$M</w:t>
            </w:r>
          </w:p>
        </w:tc>
      </w:tr>
      <w:tr w:rsidR="005B131E" w:rsidRPr="00BA7805" w14:paraId="173DFBC8"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145" w:type="dxa"/>
            <w:tcBorders>
              <w:top w:val="single" w:sz="4" w:space="0" w:color="A6A6A6" w:themeColor="background1" w:themeShade="A6"/>
              <w:bottom w:val="single" w:sz="4" w:space="0" w:color="A6A6A6" w:themeColor="background1" w:themeShade="A6"/>
            </w:tcBorders>
            <w:noWrap/>
          </w:tcPr>
          <w:p w14:paraId="5A89B0CD" w14:textId="77777777" w:rsidR="005B131E" w:rsidRPr="00BA7805" w:rsidRDefault="005B131E" w:rsidP="002542E1">
            <w:pPr>
              <w:pStyle w:val="ARfintablebody"/>
              <w:rPr>
                <w:highlight w:val="green"/>
              </w:rPr>
            </w:pPr>
            <w:r w:rsidRPr="0037485D">
              <w:t>Buildings at fair value</w:t>
            </w:r>
          </w:p>
        </w:tc>
        <w:tc>
          <w:tcPr>
            <w:tcW w:w="1245" w:type="dxa"/>
            <w:tcBorders>
              <w:top w:val="single" w:sz="4" w:space="0" w:color="A6A6A6" w:themeColor="background1" w:themeShade="A6"/>
              <w:bottom w:val="single" w:sz="4" w:space="0" w:color="A6A6A6" w:themeColor="background1" w:themeShade="A6"/>
            </w:tcBorders>
            <w:shd w:val="clear" w:color="auto" w:fill="E7E6E6" w:themeFill="accent4"/>
          </w:tcPr>
          <w:p w14:paraId="6F508934" w14:textId="15DA6B1E" w:rsidR="005B131E" w:rsidRPr="00BA7805" w:rsidRDefault="005B131E" w:rsidP="002542E1">
            <w:pPr>
              <w:pStyle w:val="ARfintablebodyright"/>
              <w:rPr>
                <w:highlight w:val="green"/>
              </w:rPr>
            </w:pPr>
            <w:r w:rsidRPr="0037485D">
              <w:t xml:space="preserve">352.5 </w:t>
            </w:r>
          </w:p>
        </w:tc>
        <w:tc>
          <w:tcPr>
            <w:tcW w:w="1247" w:type="dxa"/>
            <w:tcBorders>
              <w:top w:val="single" w:sz="4" w:space="0" w:color="A6A6A6" w:themeColor="background1" w:themeShade="A6"/>
              <w:bottom w:val="single" w:sz="4" w:space="0" w:color="A6A6A6" w:themeColor="background1" w:themeShade="A6"/>
            </w:tcBorders>
          </w:tcPr>
          <w:p w14:paraId="7FAC7CD5" w14:textId="6B474862" w:rsidR="005B131E" w:rsidRPr="00BA7805" w:rsidRDefault="005B131E" w:rsidP="002542E1">
            <w:pPr>
              <w:pStyle w:val="ARfintablebodyright"/>
              <w:rPr>
                <w:highlight w:val="green"/>
              </w:rPr>
            </w:pPr>
            <w:r>
              <w:t>–</w:t>
            </w:r>
          </w:p>
        </w:tc>
      </w:tr>
      <w:tr w:rsidR="005B131E" w:rsidRPr="00BA7805" w14:paraId="3423CF3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145" w:type="dxa"/>
            <w:tcBorders>
              <w:top w:val="single" w:sz="4" w:space="0" w:color="A6A6A6" w:themeColor="background1" w:themeShade="A6"/>
              <w:bottom w:val="single" w:sz="4" w:space="0" w:color="A6A6A6" w:themeColor="background1" w:themeShade="A6"/>
            </w:tcBorders>
            <w:noWrap/>
          </w:tcPr>
          <w:p w14:paraId="3FF0D9A2" w14:textId="77777777" w:rsidR="005B131E" w:rsidRPr="00BA7805" w:rsidRDefault="005B131E" w:rsidP="002542E1">
            <w:pPr>
              <w:pStyle w:val="ARfintablebody"/>
              <w:rPr>
                <w:highlight w:val="green"/>
              </w:rPr>
            </w:pPr>
            <w:r w:rsidRPr="0037485D">
              <w:t xml:space="preserve">Assets under construction </w:t>
            </w:r>
            <w:r w:rsidRPr="00267A76">
              <w:rPr>
                <w:vertAlign w:val="superscript"/>
              </w:rPr>
              <w:t>(i)</w:t>
            </w:r>
          </w:p>
        </w:tc>
        <w:tc>
          <w:tcPr>
            <w:tcW w:w="1245" w:type="dxa"/>
            <w:tcBorders>
              <w:top w:val="single" w:sz="4" w:space="0" w:color="A6A6A6" w:themeColor="background1" w:themeShade="A6"/>
              <w:bottom w:val="single" w:sz="4" w:space="0" w:color="A6A6A6" w:themeColor="background1" w:themeShade="A6"/>
            </w:tcBorders>
            <w:shd w:val="clear" w:color="auto" w:fill="E7E6E6" w:themeFill="accent4"/>
          </w:tcPr>
          <w:p w14:paraId="15D9FB9D" w14:textId="3FA77258" w:rsidR="005B131E" w:rsidRPr="00BA7805" w:rsidRDefault="005B131E" w:rsidP="002542E1">
            <w:pPr>
              <w:pStyle w:val="ARfintablebodyright"/>
              <w:rPr>
                <w:highlight w:val="green"/>
              </w:rPr>
            </w:pPr>
            <w:r w:rsidRPr="0037485D">
              <w:t xml:space="preserve">91.2 </w:t>
            </w:r>
          </w:p>
        </w:tc>
        <w:tc>
          <w:tcPr>
            <w:tcW w:w="1247" w:type="dxa"/>
            <w:tcBorders>
              <w:top w:val="single" w:sz="4" w:space="0" w:color="A6A6A6" w:themeColor="background1" w:themeShade="A6"/>
              <w:bottom w:val="single" w:sz="4" w:space="0" w:color="A6A6A6" w:themeColor="background1" w:themeShade="A6"/>
            </w:tcBorders>
          </w:tcPr>
          <w:p w14:paraId="66966EC1" w14:textId="24C66CC3" w:rsidR="005B131E" w:rsidRPr="00BA7805" w:rsidRDefault="005B131E" w:rsidP="002542E1">
            <w:pPr>
              <w:pStyle w:val="ARfintablebodyright"/>
              <w:rPr>
                <w:highlight w:val="green"/>
              </w:rPr>
            </w:pPr>
            <w:r w:rsidRPr="0037485D">
              <w:t>315.4</w:t>
            </w:r>
          </w:p>
        </w:tc>
      </w:tr>
      <w:tr w:rsidR="005B131E" w:rsidRPr="00BA7805" w14:paraId="121822BC" w14:textId="77777777" w:rsidTr="002542E1">
        <w:trPr>
          <w:trHeight w:val="255"/>
        </w:trPr>
        <w:tc>
          <w:tcPr>
            <w:tcW w:w="7145" w:type="dxa"/>
            <w:tcBorders>
              <w:top w:val="single" w:sz="4" w:space="0" w:color="A6A6A6" w:themeColor="background1" w:themeShade="A6"/>
            </w:tcBorders>
          </w:tcPr>
          <w:p w14:paraId="5CD11013" w14:textId="77777777" w:rsidR="005B131E" w:rsidRPr="00BA7805" w:rsidRDefault="005B131E" w:rsidP="002542E1">
            <w:pPr>
              <w:pStyle w:val="ARfintablebody"/>
              <w:rPr>
                <w:highlight w:val="green"/>
              </w:rPr>
            </w:pPr>
            <w:r w:rsidRPr="0037485D">
              <w:t xml:space="preserve">Buildings at fair value </w:t>
            </w:r>
            <w:r>
              <w:t>–</w:t>
            </w:r>
            <w:r w:rsidRPr="0037485D">
              <w:t xml:space="preserve"> accu</w:t>
            </w:r>
            <w:r>
              <w:t>mulated</w:t>
            </w:r>
            <w:r w:rsidRPr="0037485D">
              <w:t xml:space="preserve"> depreciation</w:t>
            </w:r>
          </w:p>
        </w:tc>
        <w:tc>
          <w:tcPr>
            <w:tcW w:w="1245" w:type="dxa"/>
            <w:tcBorders>
              <w:top w:val="single" w:sz="4" w:space="0" w:color="A6A6A6" w:themeColor="background1" w:themeShade="A6"/>
            </w:tcBorders>
            <w:shd w:val="clear" w:color="auto" w:fill="E7E6E6" w:themeFill="accent4"/>
            <w:noWrap/>
          </w:tcPr>
          <w:p w14:paraId="5B62915A" w14:textId="774C2CDF" w:rsidR="005B131E" w:rsidRPr="00BA7805" w:rsidRDefault="005B131E" w:rsidP="002542E1">
            <w:pPr>
              <w:pStyle w:val="ARfintablebodyright"/>
              <w:rPr>
                <w:highlight w:val="green"/>
              </w:rPr>
            </w:pPr>
            <w:r w:rsidRPr="0037485D">
              <w:t>(3.5)</w:t>
            </w:r>
          </w:p>
        </w:tc>
        <w:tc>
          <w:tcPr>
            <w:tcW w:w="1247" w:type="dxa"/>
            <w:tcBorders>
              <w:top w:val="single" w:sz="4" w:space="0" w:color="A6A6A6" w:themeColor="background1" w:themeShade="A6"/>
            </w:tcBorders>
            <w:noWrap/>
          </w:tcPr>
          <w:p w14:paraId="6F6F0B79" w14:textId="16F3DF33" w:rsidR="005B131E" w:rsidRPr="00BA7805" w:rsidRDefault="005B131E" w:rsidP="002542E1">
            <w:pPr>
              <w:pStyle w:val="ARfintablebodyright"/>
              <w:rPr>
                <w:highlight w:val="green"/>
              </w:rPr>
            </w:pPr>
            <w:r>
              <w:t>–</w:t>
            </w:r>
          </w:p>
        </w:tc>
      </w:tr>
      <w:tr w:rsidR="005B131E" w:rsidRPr="00BA7805" w14:paraId="38308AFF" w14:textId="77777777" w:rsidTr="002542E1">
        <w:trPr>
          <w:trHeight w:val="255"/>
        </w:trPr>
        <w:tc>
          <w:tcPr>
            <w:tcW w:w="7145" w:type="dxa"/>
          </w:tcPr>
          <w:p w14:paraId="42F950DA" w14:textId="77777777" w:rsidR="005B131E" w:rsidRPr="00BA7805" w:rsidRDefault="005B131E" w:rsidP="002542E1">
            <w:pPr>
              <w:pStyle w:val="ARfintablebodybold"/>
              <w:rPr>
                <w:highlight w:val="green"/>
              </w:rPr>
            </w:pPr>
            <w:r w:rsidRPr="0037485D">
              <w:t>Net carrying amount</w:t>
            </w:r>
          </w:p>
        </w:tc>
        <w:tc>
          <w:tcPr>
            <w:tcW w:w="1245" w:type="dxa"/>
            <w:shd w:val="clear" w:color="auto" w:fill="E7E6E6" w:themeFill="accent4"/>
            <w:noWrap/>
          </w:tcPr>
          <w:p w14:paraId="719F8AC4" w14:textId="12B9B58B" w:rsidR="005B131E" w:rsidRPr="00BA7805" w:rsidRDefault="005B131E" w:rsidP="002542E1">
            <w:pPr>
              <w:pStyle w:val="ARfintablebodyrightbold"/>
              <w:rPr>
                <w:highlight w:val="green"/>
              </w:rPr>
            </w:pPr>
            <w:r w:rsidRPr="0037485D">
              <w:t>440.2</w:t>
            </w:r>
          </w:p>
        </w:tc>
        <w:tc>
          <w:tcPr>
            <w:tcW w:w="1247" w:type="dxa"/>
            <w:noWrap/>
          </w:tcPr>
          <w:p w14:paraId="109B7DAA" w14:textId="209F0AD4" w:rsidR="005B131E" w:rsidRPr="00BA7805" w:rsidRDefault="005B131E" w:rsidP="002542E1">
            <w:pPr>
              <w:pStyle w:val="ARfintablebodyrightbold"/>
              <w:rPr>
                <w:highlight w:val="green"/>
              </w:rPr>
            </w:pPr>
            <w:r w:rsidRPr="0037485D">
              <w:t>315.4</w:t>
            </w:r>
          </w:p>
        </w:tc>
      </w:tr>
    </w:tbl>
    <w:p w14:paraId="395120DE" w14:textId="77777777" w:rsidR="005B131E" w:rsidRPr="00C65E0F" w:rsidRDefault="005B131E" w:rsidP="002542E1">
      <w:pPr>
        <w:pStyle w:val="ARtablefootnote"/>
      </w:pPr>
      <w:r w:rsidRPr="00C65E0F">
        <w:t>Note:</w:t>
      </w:r>
    </w:p>
    <w:p w14:paraId="7866C261" w14:textId="77777777" w:rsidR="005B131E" w:rsidRDefault="005B131E" w:rsidP="002542E1">
      <w:pPr>
        <w:pStyle w:val="ARfintablefootnotetabindent"/>
      </w:pPr>
      <w:r w:rsidRPr="00C65E0F">
        <w:t xml:space="preserve">(i) </w:t>
      </w:r>
      <w:r>
        <w:tab/>
      </w:r>
      <w:r w:rsidRPr="00C65E0F">
        <w:t>Refer to Note 7.5.3 Service concession arrangements for further details.</w:t>
      </w:r>
    </w:p>
    <w:p w14:paraId="193C0C5C" w14:textId="77777777" w:rsidR="005B131E" w:rsidRDefault="005B131E" w:rsidP="002542E1">
      <w:pPr>
        <w:pStyle w:val="Heading6"/>
      </w:pPr>
      <w:r>
        <w:t>Initial recognition</w:t>
      </w:r>
    </w:p>
    <w:p w14:paraId="2FB2E87C" w14:textId="699EE3CC" w:rsidR="005B131E" w:rsidRDefault="005B131E" w:rsidP="002542E1">
      <w:pPr>
        <w:pStyle w:val="ARfinbody"/>
      </w:pPr>
      <w:r>
        <w:t>Items of property, plant and equipment, are measured initially at cost and subsequently revalued at fair value less accumulated depreciation and impairment. Where an asset is acquired for no or nominal consideration, the cost is the asset</w:t>
      </w:r>
      <w:r w:rsidR="00711AE6">
        <w:t>’</w:t>
      </w:r>
      <w:r>
        <w:t xml:space="preserve">s fair value at the date of acquisition. Assets transferred as part of a </w:t>
      </w:r>
      <w:r w:rsidR="0042274E">
        <w:t>M</w:t>
      </w:r>
      <w:r>
        <w:t xml:space="preserve">achinery of </w:t>
      </w:r>
      <w:r w:rsidR="0042274E">
        <w:t>G</w:t>
      </w:r>
      <w:r>
        <w:t xml:space="preserve">overnment change are transferred at their carrying amount. </w:t>
      </w:r>
    </w:p>
    <w:p w14:paraId="7D8DA653" w14:textId="77777777" w:rsidR="005B131E" w:rsidRDefault="005B131E" w:rsidP="002542E1">
      <w:pPr>
        <w:pStyle w:val="ARfinbody"/>
      </w:pPr>
      <w:r>
        <w:t>The cost of constructed non-financial physical assets includes the cost of all materials used in construction, direct labour on the project and an appropriate proportion of variable and fixed overheads. Homes Victoria uses specific estimates to allocate these overheads to capital projects, ensuring each project bears its fair share of indirect costs.</w:t>
      </w:r>
    </w:p>
    <w:p w14:paraId="3E32B0B8" w14:textId="77777777" w:rsidR="005B131E" w:rsidRDefault="005B131E" w:rsidP="002542E1">
      <w:pPr>
        <w:pStyle w:val="ARfinbody"/>
      </w:pPr>
      <w:r>
        <w:t>The cost of leasehold improvements is capitalised and depreciated over the shorter of the remaining term of the leases or their estimated useful lives.</w:t>
      </w:r>
    </w:p>
    <w:p w14:paraId="39B25258" w14:textId="77777777" w:rsidR="005B131E" w:rsidRPr="005E6E75" w:rsidRDefault="005B131E" w:rsidP="002542E1">
      <w:pPr>
        <w:pStyle w:val="Heading7"/>
      </w:pPr>
      <w:r w:rsidRPr="006A0AAD">
        <w:t>Right-of-</w:t>
      </w:r>
      <w:r w:rsidRPr="005E6E75">
        <w:t>use</w:t>
      </w:r>
      <w:r w:rsidRPr="006A0AAD">
        <w:t xml:space="preserve"> asset acquired by lessees – Initial measurement</w:t>
      </w:r>
    </w:p>
    <w:p w14:paraId="090DC919" w14:textId="77777777" w:rsidR="005B131E" w:rsidRDefault="005B131E" w:rsidP="002542E1">
      <w:pPr>
        <w:pStyle w:val="ARfinbody"/>
      </w:pPr>
      <w:r>
        <w:t>The department recognises a right-of-use asset and a lease liability at the lease commencement date. The right-of-use asset is initially measured at cost, which comprises the initial amount of the lease liability adjusted for:</w:t>
      </w:r>
    </w:p>
    <w:p w14:paraId="70E8705D" w14:textId="77777777" w:rsidR="005B131E" w:rsidRDefault="005B131E" w:rsidP="002542E1">
      <w:pPr>
        <w:pStyle w:val="ARfinbullet1"/>
      </w:pPr>
      <w:r>
        <w:t>any lease payments made at or before the commencement date, plus</w:t>
      </w:r>
    </w:p>
    <w:p w14:paraId="202B870A" w14:textId="77777777" w:rsidR="005B131E" w:rsidRDefault="005B131E" w:rsidP="002542E1">
      <w:pPr>
        <w:pStyle w:val="ARfinbullet1"/>
      </w:pPr>
      <w:r>
        <w:t>any initial direct costs incurred, and</w:t>
      </w:r>
    </w:p>
    <w:p w14:paraId="40E849CC" w14:textId="77777777" w:rsidR="005B131E" w:rsidRDefault="005B131E" w:rsidP="002542E1">
      <w:pPr>
        <w:pStyle w:val="ARfinbullet1"/>
      </w:pPr>
      <w:r>
        <w:t>an estimate of costs to dismantle and remove the underlying asset or to restore the underlying asset or the site on which it is located.</w:t>
      </w:r>
    </w:p>
    <w:p w14:paraId="2A63F5AC" w14:textId="77777777" w:rsidR="005B131E" w:rsidRPr="00EC63C8" w:rsidRDefault="005B131E" w:rsidP="002542E1">
      <w:pPr>
        <w:pStyle w:val="Heading7"/>
      </w:pPr>
      <w:r w:rsidRPr="00EC63C8">
        <w:t>Service concession assets (under AASB 1059 – Service Concession Assets: Grantors) – Initial measurement</w:t>
      </w:r>
    </w:p>
    <w:p w14:paraId="57D483CD" w14:textId="77777777" w:rsidR="005B131E" w:rsidRDefault="005B131E" w:rsidP="002542E1">
      <w:pPr>
        <w:pStyle w:val="ARfinbody"/>
      </w:pPr>
      <w:r>
        <w:t xml:space="preserve">The department initially recognises service concession assets and service concession assets under construction at current replacement cost in accordance with the cost approach to fair value in AASB 13 </w:t>
      </w:r>
      <w:r w:rsidRPr="003D7CE7">
        <w:rPr>
          <w:rStyle w:val="Emphasis"/>
        </w:rPr>
        <w:t>Fair Value Measurement</w:t>
      </w:r>
      <w:r>
        <w:t>. Where existing assets and assets under construction meet the definition of service concession assets under AASB 1059, the department reclassifies the existing assets as service concession assets and measures the assets at current replacement cost in accordance with the cost approach to fair value in AASB 13 as at the date of reclassification.</w:t>
      </w:r>
    </w:p>
    <w:p w14:paraId="0ED131C8" w14:textId="77777777" w:rsidR="005B131E" w:rsidRDefault="005B131E" w:rsidP="002542E1">
      <w:pPr>
        <w:pStyle w:val="Heading6"/>
      </w:pPr>
      <w:r w:rsidRPr="4037C74A">
        <w:rPr>
          <w:lang w:val="en-AU"/>
        </w:rPr>
        <w:t>Subsequent measurement</w:t>
      </w:r>
    </w:p>
    <w:p w14:paraId="0A6F8520" w14:textId="3B10C3DE" w:rsidR="005B131E" w:rsidRDefault="005B131E" w:rsidP="002542E1">
      <w:pPr>
        <w:pStyle w:val="ARfinbody"/>
        <w:rPr>
          <w:highlight w:val="green"/>
        </w:rPr>
      </w:pPr>
      <w:r>
        <w:t>Property, plant and equipment (PPE) as well as right-of-use assets under leases are subsequently measured at fair value less accumulated depreciation and impairment. Fair value is determined with regard to the asset</w:t>
      </w:r>
      <w:r w:rsidR="00711AE6">
        <w:t>’</w:t>
      </w:r>
      <w:r>
        <w:t>s highest and best use (considering legal or physical restrictions imposed on the asset, public announcements or commitments made in relation to the intended use of the asset) and is summarised below by asset category.</w:t>
      </w:r>
    </w:p>
    <w:p w14:paraId="7352CA54" w14:textId="77777777" w:rsidR="005B131E" w:rsidRPr="00627881" w:rsidRDefault="005B131E" w:rsidP="002542E1">
      <w:pPr>
        <w:pStyle w:val="Heading7"/>
      </w:pPr>
      <w:r w:rsidRPr="00627881">
        <w:t>Right-of-use asset – Subsequent measurement</w:t>
      </w:r>
    </w:p>
    <w:p w14:paraId="4A28F113" w14:textId="77777777" w:rsidR="005B131E" w:rsidRDefault="005B131E" w:rsidP="002542E1">
      <w:pPr>
        <w:pStyle w:val="ARfinbody"/>
      </w:pPr>
      <w:r>
        <w:t xml:space="preserve">The department depreciates the right-of-use assets on a straight-line basis from the lease commencement date to the earlier of the end of the useful life of the right-of-use asset or the end of the lease term. </w:t>
      </w:r>
    </w:p>
    <w:p w14:paraId="1FB549C9" w14:textId="77777777" w:rsidR="005B131E" w:rsidRDefault="005B131E" w:rsidP="002542E1">
      <w:pPr>
        <w:pStyle w:val="ARfinbody"/>
      </w:pPr>
      <w:r>
        <w:t>The right-of-use assets are periodically reduced by impairment losses, if any, and adjusted for certain remeasurements of the lease liability.</w:t>
      </w:r>
    </w:p>
    <w:p w14:paraId="08DC5C5F" w14:textId="77777777" w:rsidR="005B131E" w:rsidRPr="00627881" w:rsidRDefault="005B131E" w:rsidP="002542E1">
      <w:pPr>
        <w:pStyle w:val="Heading7"/>
      </w:pPr>
      <w:r w:rsidRPr="00627881">
        <w:t>Service concession assets – Subsequent measurement</w:t>
      </w:r>
    </w:p>
    <w:p w14:paraId="08D04C68" w14:textId="77777777" w:rsidR="005B131E" w:rsidRDefault="005B131E" w:rsidP="002542E1">
      <w:pPr>
        <w:pStyle w:val="ARfinbody"/>
      </w:pPr>
      <w:r>
        <w:t>Service concession assets are subject to revaluation as required by FRD 103. When revalued, the fair value of service concession assets will be determined based on current replacement cost.</w:t>
      </w:r>
    </w:p>
    <w:p w14:paraId="3A0FE57C" w14:textId="77777777" w:rsidR="005B131E" w:rsidRPr="00627881" w:rsidRDefault="005B131E" w:rsidP="002542E1">
      <w:pPr>
        <w:pStyle w:val="Heading7"/>
      </w:pPr>
      <w:r w:rsidRPr="00627881">
        <w:t>Non-specialised land and non-specialised buildings – Subsequent measurement</w:t>
      </w:r>
    </w:p>
    <w:p w14:paraId="0EE38644" w14:textId="77777777" w:rsidR="005B131E" w:rsidRDefault="005B131E" w:rsidP="002542E1">
      <w:pPr>
        <w:pStyle w:val="ARfinbody"/>
      </w:pPr>
      <w:r>
        <w:t>Non-specialised land and non-specialised buildings are valued using the market approach, whereby assets are compared to recent comparable sales or sales of comparable assets that are considered to have nominal value.</w:t>
      </w:r>
    </w:p>
    <w:p w14:paraId="49A2855E" w14:textId="77777777" w:rsidR="005B131E" w:rsidRPr="00627881" w:rsidRDefault="005B131E" w:rsidP="002542E1">
      <w:pPr>
        <w:pStyle w:val="Heading7"/>
      </w:pPr>
      <w:r w:rsidRPr="00627881">
        <w:t xml:space="preserve">Specialised land and specialised buildings – Subsequent measurement </w:t>
      </w:r>
    </w:p>
    <w:p w14:paraId="7AE3367F" w14:textId="77777777" w:rsidR="005B131E" w:rsidRDefault="005B131E" w:rsidP="002542E1">
      <w:pPr>
        <w:pStyle w:val="ARfinbody"/>
      </w:pPr>
      <w:r>
        <w:t>The market approach is also used for specialised land, although is adjusted for the community service obligation (CSO) to reflect the specialised nature of the land being valued.</w:t>
      </w:r>
    </w:p>
    <w:p w14:paraId="79AE8DAF" w14:textId="0D36F14B" w:rsidR="005B131E" w:rsidRDefault="005B131E" w:rsidP="002542E1">
      <w:pPr>
        <w:pStyle w:val="ARfinbody"/>
      </w:pPr>
      <w:r>
        <w:t>The CSO adjustment is a reflection of the valuer</w:t>
      </w:r>
      <w:r w:rsidR="00711AE6">
        <w:t>’</w:t>
      </w:r>
      <w:r>
        <w:t>s assessment of the impact of restrictions associated with an asset to the extent that is also equally applicable to market participants. This is a material estimate.</w:t>
      </w:r>
    </w:p>
    <w:p w14:paraId="387E73FA" w14:textId="0FD39554" w:rsidR="005B131E" w:rsidRDefault="005B131E" w:rsidP="002542E1">
      <w:pPr>
        <w:pStyle w:val="ARfinbody"/>
      </w:pPr>
      <w:r>
        <w:t>For the majority of the department</w:t>
      </w:r>
      <w:r w:rsidR="00711AE6">
        <w:t>’</w:t>
      </w:r>
      <w:r>
        <w:t>s specialised buildings which are under the Homes Victoria, the current replacement cost method is used, adjusting for the associated depreciation.</w:t>
      </w:r>
    </w:p>
    <w:p w14:paraId="66340BF8" w14:textId="77777777" w:rsidR="005B131E" w:rsidRDefault="005B131E" w:rsidP="002542E1">
      <w:pPr>
        <w:pStyle w:val="ARfinbody"/>
      </w:pPr>
      <w:r>
        <w:t>Refer to Note 8.3.2 for additional information on fair value determination of property, plant and equipment.</w:t>
      </w:r>
    </w:p>
    <w:p w14:paraId="75BC143D" w14:textId="77777777" w:rsidR="005B131E" w:rsidRDefault="005B131E" w:rsidP="002542E1">
      <w:pPr>
        <w:pStyle w:val="Heading6"/>
      </w:pPr>
      <w:r w:rsidRPr="4037C74A">
        <w:rPr>
          <w:lang w:val="en-AU"/>
        </w:rPr>
        <w:t>Impairment of property, plant and equipment</w:t>
      </w:r>
    </w:p>
    <w:p w14:paraId="4B615E9F" w14:textId="77777777" w:rsidR="005B131E" w:rsidRDefault="005B131E" w:rsidP="002542E1">
      <w:pPr>
        <w:pStyle w:val="ARfinbody"/>
        <w:rPr>
          <w:highlight w:val="green"/>
        </w:rPr>
      </w:pPr>
      <w:r>
        <w:t xml:space="preserve">The recoverable amounts of these assets are expected to be materially the same as fair value determined under AASB 13 </w:t>
      </w:r>
      <w:r w:rsidRPr="003D7CE7">
        <w:rPr>
          <w:rStyle w:val="Emphasis"/>
        </w:rPr>
        <w:t>Fair Value Measurement</w:t>
      </w:r>
      <w:r>
        <w:t>, with the consequence that AASB 136 does not apply to such assets that are regularly revalued.</w:t>
      </w:r>
    </w:p>
    <w:p w14:paraId="7177DA57" w14:textId="77777777" w:rsidR="005B131E" w:rsidRPr="006153A2" w:rsidRDefault="005B131E" w:rsidP="00207901">
      <w:pPr>
        <w:pStyle w:val="Heading5"/>
      </w:pPr>
      <w:r w:rsidRPr="006153A2">
        <w:t>5.1.1 Depreciation and amortisation</w:t>
      </w:r>
    </w:p>
    <w:p w14:paraId="1E0040FB" w14:textId="77777777" w:rsidR="005B131E" w:rsidRPr="006153A2" w:rsidRDefault="005B131E">
      <w:pPr>
        <w:pStyle w:val="Heading6"/>
        <w:spacing w:before="160"/>
      </w:pPr>
      <w:r w:rsidRPr="006153A2">
        <w:t>Charge for the period</w:t>
      </w:r>
    </w:p>
    <w:tbl>
      <w:tblPr>
        <w:tblStyle w:val="TableGrid"/>
        <w:tblW w:w="9637" w:type="dxa"/>
        <w:tblLayout w:type="fixed"/>
        <w:tblLook w:val="06A0" w:firstRow="1" w:lastRow="0" w:firstColumn="1" w:lastColumn="0" w:noHBand="1" w:noVBand="1"/>
      </w:tblPr>
      <w:tblGrid>
        <w:gridCol w:w="7083"/>
        <w:gridCol w:w="1276"/>
        <w:gridCol w:w="1278"/>
      </w:tblGrid>
      <w:tr w:rsidR="005B131E" w:rsidRPr="00BA7805" w14:paraId="6BDD23E0"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083" w:type="dxa"/>
            <w:tcBorders>
              <w:bottom w:val="single" w:sz="4" w:space="0" w:color="auto"/>
            </w:tcBorders>
            <w:noWrap/>
            <w:hideMark/>
          </w:tcPr>
          <w:p w14:paraId="0AC99CF3" w14:textId="77777777" w:rsidR="005B131E" w:rsidRPr="00BA7805" w:rsidRDefault="005B131E">
            <w:pPr>
              <w:pStyle w:val="ARfintablecolhead"/>
              <w:rPr>
                <w:highlight w:val="green"/>
              </w:rPr>
            </w:pPr>
          </w:p>
        </w:tc>
        <w:tc>
          <w:tcPr>
            <w:tcW w:w="1276" w:type="dxa"/>
            <w:tcBorders>
              <w:bottom w:val="single" w:sz="4" w:space="0" w:color="auto"/>
            </w:tcBorders>
            <w:shd w:val="clear" w:color="auto" w:fill="E7E6E6" w:themeFill="accent4"/>
            <w:hideMark/>
          </w:tcPr>
          <w:p w14:paraId="7396DFDB" w14:textId="77777777" w:rsidR="005B131E" w:rsidRPr="006153A2" w:rsidRDefault="005B131E">
            <w:pPr>
              <w:pStyle w:val="ARfintablecolheadright"/>
            </w:pPr>
            <w:r w:rsidRPr="006153A2">
              <w:t>2024</w:t>
            </w:r>
          </w:p>
          <w:p w14:paraId="7E16BCA1" w14:textId="77777777" w:rsidR="005B131E" w:rsidRPr="006153A2" w:rsidRDefault="005B131E">
            <w:pPr>
              <w:pStyle w:val="ARfintablecolheadright"/>
            </w:pPr>
            <w:r w:rsidRPr="006153A2">
              <w:t>$M</w:t>
            </w:r>
          </w:p>
        </w:tc>
        <w:tc>
          <w:tcPr>
            <w:tcW w:w="1278" w:type="dxa"/>
            <w:tcBorders>
              <w:bottom w:val="single" w:sz="4" w:space="0" w:color="auto"/>
            </w:tcBorders>
            <w:hideMark/>
          </w:tcPr>
          <w:p w14:paraId="494F783B" w14:textId="77777777" w:rsidR="005B131E" w:rsidRPr="006153A2" w:rsidRDefault="005B131E">
            <w:pPr>
              <w:pStyle w:val="ARfintablecolheadright"/>
            </w:pPr>
            <w:r w:rsidRPr="006153A2">
              <w:t>2023</w:t>
            </w:r>
          </w:p>
          <w:p w14:paraId="08C44023" w14:textId="77777777" w:rsidR="005B131E" w:rsidRPr="006153A2" w:rsidRDefault="005B131E">
            <w:pPr>
              <w:pStyle w:val="ARfintablecolheadright"/>
            </w:pPr>
            <w:r w:rsidRPr="006153A2">
              <w:t>$M</w:t>
            </w:r>
          </w:p>
        </w:tc>
      </w:tr>
      <w:tr w:rsidR="00AF6F94" w:rsidRPr="00BA7805" w14:paraId="2201BA4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uto"/>
              <w:bottom w:val="single" w:sz="4" w:space="0" w:color="A6A6A6" w:themeColor="background1" w:themeShade="A6"/>
            </w:tcBorders>
            <w:noWrap/>
          </w:tcPr>
          <w:p w14:paraId="1DB64C2D" w14:textId="77777777" w:rsidR="005B131E" w:rsidRPr="00BA7805" w:rsidRDefault="005B131E" w:rsidP="002542E1">
            <w:pPr>
              <w:pStyle w:val="ARfintablebody"/>
              <w:rPr>
                <w:highlight w:val="green"/>
              </w:rPr>
            </w:pPr>
            <w:r w:rsidRPr="00CF0932">
              <w:t>Buildings</w:t>
            </w:r>
          </w:p>
        </w:tc>
        <w:tc>
          <w:tcPr>
            <w:tcW w:w="1276" w:type="dxa"/>
            <w:tcBorders>
              <w:top w:val="single" w:sz="4" w:space="0" w:color="auto"/>
              <w:bottom w:val="single" w:sz="4" w:space="0" w:color="A6A6A6" w:themeColor="background1" w:themeShade="A6"/>
            </w:tcBorders>
            <w:shd w:val="clear" w:color="auto" w:fill="E7E6E6" w:themeFill="accent4"/>
          </w:tcPr>
          <w:p w14:paraId="7595214D" w14:textId="77777777" w:rsidR="005B131E" w:rsidRPr="00BA7805" w:rsidRDefault="005B131E" w:rsidP="002542E1">
            <w:pPr>
              <w:pStyle w:val="ARfintablebodyright"/>
              <w:rPr>
                <w:highlight w:val="green"/>
              </w:rPr>
            </w:pPr>
            <w:r w:rsidRPr="00CF0932">
              <w:t>358.9</w:t>
            </w:r>
          </w:p>
        </w:tc>
        <w:tc>
          <w:tcPr>
            <w:tcW w:w="1278" w:type="dxa"/>
            <w:tcBorders>
              <w:top w:val="single" w:sz="4" w:space="0" w:color="auto"/>
              <w:bottom w:val="single" w:sz="4" w:space="0" w:color="A6A6A6" w:themeColor="background1" w:themeShade="A6"/>
            </w:tcBorders>
          </w:tcPr>
          <w:p w14:paraId="752B87B2" w14:textId="77777777" w:rsidR="005B131E" w:rsidRPr="00BA7805" w:rsidRDefault="005B131E" w:rsidP="002542E1">
            <w:pPr>
              <w:pStyle w:val="ARfintablebodyright"/>
              <w:rPr>
                <w:highlight w:val="green"/>
              </w:rPr>
            </w:pPr>
            <w:r w:rsidRPr="00CF0932">
              <w:t>306.8</w:t>
            </w:r>
          </w:p>
        </w:tc>
      </w:tr>
      <w:tr w:rsidR="00AF6F94" w:rsidRPr="00BA7805" w14:paraId="26DCF8F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uto"/>
              <w:bottom w:val="single" w:sz="4" w:space="0" w:color="A6A6A6" w:themeColor="background1" w:themeShade="A6"/>
            </w:tcBorders>
            <w:noWrap/>
          </w:tcPr>
          <w:p w14:paraId="37538D42" w14:textId="77777777" w:rsidR="005B131E" w:rsidRPr="00BA7805" w:rsidRDefault="005B131E" w:rsidP="002542E1">
            <w:pPr>
              <w:pStyle w:val="ARfintablebody"/>
              <w:rPr>
                <w:highlight w:val="green"/>
              </w:rPr>
            </w:pPr>
            <w:r w:rsidRPr="00CF0932">
              <w:t>Plant and equipment</w:t>
            </w:r>
          </w:p>
        </w:tc>
        <w:tc>
          <w:tcPr>
            <w:tcW w:w="1276" w:type="dxa"/>
            <w:tcBorders>
              <w:top w:val="single" w:sz="4" w:space="0" w:color="auto"/>
              <w:bottom w:val="single" w:sz="4" w:space="0" w:color="A6A6A6" w:themeColor="background1" w:themeShade="A6"/>
            </w:tcBorders>
            <w:shd w:val="clear" w:color="auto" w:fill="E7E6E6" w:themeFill="accent4"/>
          </w:tcPr>
          <w:p w14:paraId="1B5EEC8E" w14:textId="77777777" w:rsidR="005B131E" w:rsidRPr="00BA7805" w:rsidRDefault="005B131E" w:rsidP="002542E1">
            <w:pPr>
              <w:pStyle w:val="ARfintablebodyright"/>
              <w:rPr>
                <w:highlight w:val="green"/>
              </w:rPr>
            </w:pPr>
            <w:r w:rsidRPr="00CF0932">
              <w:t>0.1</w:t>
            </w:r>
          </w:p>
        </w:tc>
        <w:tc>
          <w:tcPr>
            <w:tcW w:w="1278" w:type="dxa"/>
            <w:tcBorders>
              <w:top w:val="single" w:sz="4" w:space="0" w:color="auto"/>
              <w:bottom w:val="single" w:sz="4" w:space="0" w:color="A6A6A6" w:themeColor="background1" w:themeShade="A6"/>
            </w:tcBorders>
          </w:tcPr>
          <w:p w14:paraId="23A5B351" w14:textId="77777777" w:rsidR="005B131E" w:rsidRPr="00BA7805" w:rsidRDefault="005B131E" w:rsidP="002542E1">
            <w:pPr>
              <w:pStyle w:val="ARfintablebodyright"/>
              <w:rPr>
                <w:highlight w:val="green"/>
              </w:rPr>
            </w:pPr>
            <w:r w:rsidRPr="00CF0932">
              <w:t>0.1</w:t>
            </w:r>
          </w:p>
        </w:tc>
      </w:tr>
      <w:tr w:rsidR="005B131E" w:rsidRPr="00BA7805" w14:paraId="691D1D91"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064769E8" w14:textId="77777777" w:rsidR="005B131E" w:rsidRPr="00BA7805" w:rsidRDefault="005B131E" w:rsidP="002542E1">
            <w:pPr>
              <w:pStyle w:val="ARfintablebody"/>
              <w:rPr>
                <w:highlight w:val="green"/>
              </w:rPr>
            </w:pPr>
            <w:r w:rsidRPr="00CF0932">
              <w:t>Intangible assets</w:t>
            </w:r>
          </w:p>
        </w:tc>
        <w:tc>
          <w:tcPr>
            <w:tcW w:w="1276" w:type="dxa"/>
            <w:tcBorders>
              <w:top w:val="single" w:sz="4" w:space="0" w:color="A6A6A6" w:themeColor="background1" w:themeShade="A6"/>
              <w:bottom w:val="single" w:sz="4" w:space="0" w:color="A6A6A6" w:themeColor="background1" w:themeShade="A6"/>
            </w:tcBorders>
            <w:shd w:val="clear" w:color="auto" w:fill="E7E6E6" w:themeFill="accent4"/>
          </w:tcPr>
          <w:p w14:paraId="7CB6A4C5" w14:textId="77777777" w:rsidR="005B131E" w:rsidRPr="00BA7805" w:rsidRDefault="005B131E" w:rsidP="002542E1">
            <w:pPr>
              <w:pStyle w:val="ARfintablebodyright"/>
              <w:rPr>
                <w:highlight w:val="green"/>
              </w:rPr>
            </w:pPr>
            <w:r w:rsidRPr="00CF0932">
              <w:t>23.4</w:t>
            </w:r>
          </w:p>
        </w:tc>
        <w:tc>
          <w:tcPr>
            <w:tcW w:w="1278" w:type="dxa"/>
            <w:tcBorders>
              <w:top w:val="single" w:sz="4" w:space="0" w:color="A6A6A6" w:themeColor="background1" w:themeShade="A6"/>
              <w:bottom w:val="single" w:sz="4" w:space="0" w:color="A6A6A6" w:themeColor="background1" w:themeShade="A6"/>
            </w:tcBorders>
          </w:tcPr>
          <w:p w14:paraId="05DC2250" w14:textId="77777777" w:rsidR="005B131E" w:rsidRPr="00BA7805" w:rsidRDefault="005B131E" w:rsidP="002542E1">
            <w:pPr>
              <w:pStyle w:val="ARfintablebodyright"/>
              <w:rPr>
                <w:highlight w:val="green"/>
              </w:rPr>
            </w:pPr>
            <w:r w:rsidRPr="00CF0932">
              <w:t>27.0</w:t>
            </w:r>
          </w:p>
        </w:tc>
      </w:tr>
      <w:tr w:rsidR="005B131E" w:rsidRPr="00BA7805" w14:paraId="3A1D1F1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1D0440F5" w14:textId="77777777" w:rsidR="005B131E" w:rsidRPr="00BA7805" w:rsidRDefault="005B131E" w:rsidP="002542E1">
            <w:pPr>
              <w:pStyle w:val="ARfintablebody"/>
              <w:rPr>
                <w:highlight w:val="green"/>
              </w:rPr>
            </w:pPr>
            <w:r w:rsidRPr="00CF0932">
              <w:t>Right-of-use assets</w:t>
            </w:r>
          </w:p>
        </w:tc>
        <w:tc>
          <w:tcPr>
            <w:tcW w:w="1276" w:type="dxa"/>
            <w:tcBorders>
              <w:top w:val="single" w:sz="4" w:space="0" w:color="A6A6A6" w:themeColor="background1" w:themeShade="A6"/>
              <w:bottom w:val="single" w:sz="4" w:space="0" w:color="A6A6A6" w:themeColor="background1" w:themeShade="A6"/>
            </w:tcBorders>
            <w:shd w:val="clear" w:color="auto" w:fill="E7E6E6" w:themeFill="accent4"/>
          </w:tcPr>
          <w:p w14:paraId="473CC574" w14:textId="77777777" w:rsidR="005B131E" w:rsidRPr="00BA7805" w:rsidRDefault="005B131E" w:rsidP="002542E1">
            <w:pPr>
              <w:pStyle w:val="ARfintablebodyright"/>
              <w:rPr>
                <w:highlight w:val="green"/>
              </w:rPr>
            </w:pPr>
            <w:r w:rsidRPr="00CF0932">
              <w:t>25.2</w:t>
            </w:r>
          </w:p>
        </w:tc>
        <w:tc>
          <w:tcPr>
            <w:tcW w:w="1278" w:type="dxa"/>
            <w:tcBorders>
              <w:top w:val="single" w:sz="4" w:space="0" w:color="A6A6A6" w:themeColor="background1" w:themeShade="A6"/>
              <w:bottom w:val="single" w:sz="4" w:space="0" w:color="A6A6A6" w:themeColor="background1" w:themeShade="A6"/>
            </w:tcBorders>
          </w:tcPr>
          <w:p w14:paraId="016FD3CD" w14:textId="77777777" w:rsidR="005B131E" w:rsidRPr="00BA7805" w:rsidRDefault="005B131E" w:rsidP="002542E1">
            <w:pPr>
              <w:pStyle w:val="ARfintablebodyright"/>
              <w:rPr>
                <w:highlight w:val="green"/>
              </w:rPr>
            </w:pPr>
            <w:r w:rsidRPr="00CF0932">
              <w:t>29.3</w:t>
            </w:r>
          </w:p>
        </w:tc>
      </w:tr>
      <w:tr w:rsidR="005B131E" w:rsidRPr="00BA7805" w14:paraId="7E6E1F21"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0A3E7101" w14:textId="77777777" w:rsidR="005B131E" w:rsidRPr="00BA7805" w:rsidRDefault="005B131E" w:rsidP="002542E1">
            <w:pPr>
              <w:pStyle w:val="ARfintablebody"/>
              <w:rPr>
                <w:highlight w:val="green"/>
              </w:rPr>
            </w:pPr>
            <w:r w:rsidRPr="00CF0932">
              <w:t>Service concession assets</w:t>
            </w:r>
          </w:p>
        </w:tc>
        <w:tc>
          <w:tcPr>
            <w:tcW w:w="1276" w:type="dxa"/>
            <w:tcBorders>
              <w:top w:val="single" w:sz="4" w:space="0" w:color="A6A6A6" w:themeColor="background1" w:themeShade="A6"/>
              <w:bottom w:val="single" w:sz="4" w:space="0" w:color="A6A6A6" w:themeColor="background1" w:themeShade="A6"/>
            </w:tcBorders>
            <w:shd w:val="clear" w:color="auto" w:fill="E7E6E6" w:themeFill="accent4"/>
          </w:tcPr>
          <w:p w14:paraId="1881E26C" w14:textId="77777777" w:rsidR="005B131E" w:rsidRPr="00BA7805" w:rsidRDefault="005B131E" w:rsidP="002542E1">
            <w:pPr>
              <w:pStyle w:val="ARfintablebodyright"/>
              <w:rPr>
                <w:highlight w:val="green"/>
              </w:rPr>
            </w:pPr>
            <w:r w:rsidRPr="00CF0932">
              <w:t>3.5</w:t>
            </w:r>
          </w:p>
        </w:tc>
        <w:tc>
          <w:tcPr>
            <w:tcW w:w="1278" w:type="dxa"/>
            <w:tcBorders>
              <w:top w:val="single" w:sz="4" w:space="0" w:color="A6A6A6" w:themeColor="background1" w:themeShade="A6"/>
              <w:bottom w:val="single" w:sz="4" w:space="0" w:color="A6A6A6" w:themeColor="background1" w:themeShade="A6"/>
            </w:tcBorders>
          </w:tcPr>
          <w:p w14:paraId="49D7FF68" w14:textId="77777777" w:rsidR="005B131E" w:rsidRPr="00BA7805" w:rsidRDefault="005B131E" w:rsidP="002542E1">
            <w:pPr>
              <w:pStyle w:val="ARfintablebodyright"/>
              <w:rPr>
                <w:highlight w:val="green"/>
              </w:rPr>
            </w:pPr>
            <w:r>
              <w:t>–</w:t>
            </w:r>
          </w:p>
        </w:tc>
      </w:tr>
      <w:tr w:rsidR="005B131E" w:rsidRPr="00BA7805" w14:paraId="6E42640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61AD39D6" w14:textId="77777777" w:rsidR="005B131E" w:rsidRPr="00BA7805" w:rsidRDefault="005B131E" w:rsidP="002542E1">
            <w:pPr>
              <w:pStyle w:val="ARfintablebody"/>
              <w:rPr>
                <w:highlight w:val="green"/>
              </w:rPr>
            </w:pPr>
            <w:r w:rsidRPr="00CF0932">
              <w:t>Aggregate depreciation and amortisation allocated</w:t>
            </w:r>
          </w:p>
        </w:tc>
        <w:tc>
          <w:tcPr>
            <w:tcW w:w="1276" w:type="dxa"/>
            <w:tcBorders>
              <w:top w:val="single" w:sz="4" w:space="0" w:color="A6A6A6" w:themeColor="background1" w:themeShade="A6"/>
              <w:bottom w:val="single" w:sz="4" w:space="0" w:color="A6A6A6" w:themeColor="background1" w:themeShade="A6"/>
            </w:tcBorders>
            <w:shd w:val="clear" w:color="auto" w:fill="E7E6E6" w:themeFill="accent4"/>
          </w:tcPr>
          <w:p w14:paraId="4D90A287" w14:textId="77777777" w:rsidR="005B131E" w:rsidRPr="00BA7805" w:rsidRDefault="005B131E" w:rsidP="002542E1">
            <w:pPr>
              <w:pStyle w:val="ARfintablebodyright"/>
              <w:rPr>
                <w:highlight w:val="green"/>
              </w:rPr>
            </w:pPr>
            <w:r w:rsidRPr="00CF0932">
              <w:t>411.1</w:t>
            </w:r>
          </w:p>
        </w:tc>
        <w:tc>
          <w:tcPr>
            <w:tcW w:w="1278" w:type="dxa"/>
            <w:tcBorders>
              <w:top w:val="single" w:sz="4" w:space="0" w:color="A6A6A6" w:themeColor="background1" w:themeShade="A6"/>
              <w:bottom w:val="single" w:sz="4" w:space="0" w:color="A6A6A6" w:themeColor="background1" w:themeShade="A6"/>
            </w:tcBorders>
          </w:tcPr>
          <w:p w14:paraId="40B80270" w14:textId="77777777" w:rsidR="005B131E" w:rsidRPr="00BA7805" w:rsidRDefault="005B131E" w:rsidP="002542E1">
            <w:pPr>
              <w:pStyle w:val="ARfintablebodyright"/>
              <w:rPr>
                <w:highlight w:val="green"/>
              </w:rPr>
            </w:pPr>
            <w:r w:rsidRPr="00CF0932">
              <w:t>363.2</w:t>
            </w:r>
          </w:p>
        </w:tc>
      </w:tr>
      <w:tr w:rsidR="005B131E" w:rsidRPr="00BA7805" w14:paraId="477D1E98" w14:textId="77777777" w:rsidTr="002542E1">
        <w:trPr>
          <w:trHeight w:val="255"/>
        </w:trPr>
        <w:tc>
          <w:tcPr>
            <w:tcW w:w="7083" w:type="dxa"/>
            <w:tcBorders>
              <w:top w:val="single" w:sz="4" w:space="0" w:color="A6A6A6" w:themeColor="background1" w:themeShade="A6"/>
            </w:tcBorders>
          </w:tcPr>
          <w:p w14:paraId="0403EBC9" w14:textId="77777777" w:rsidR="005B131E" w:rsidRPr="00BA7805" w:rsidRDefault="005B131E" w:rsidP="002542E1">
            <w:pPr>
              <w:pStyle w:val="ARfintablebody"/>
              <w:rPr>
                <w:highlight w:val="green"/>
              </w:rPr>
            </w:pPr>
            <w:r w:rsidRPr="00CF0932">
              <w:t>Less depreciation and amortisation capitalised to carrying amount of other assets during the year</w:t>
            </w:r>
          </w:p>
        </w:tc>
        <w:tc>
          <w:tcPr>
            <w:tcW w:w="1276" w:type="dxa"/>
            <w:tcBorders>
              <w:top w:val="single" w:sz="4" w:space="0" w:color="A6A6A6" w:themeColor="background1" w:themeShade="A6"/>
            </w:tcBorders>
            <w:shd w:val="clear" w:color="auto" w:fill="E7E6E6" w:themeFill="accent4"/>
            <w:noWrap/>
          </w:tcPr>
          <w:p w14:paraId="25793B17" w14:textId="77777777" w:rsidR="005B131E" w:rsidRPr="00BA7805" w:rsidRDefault="005B131E" w:rsidP="002542E1">
            <w:pPr>
              <w:pStyle w:val="ARfintablebodyright"/>
              <w:rPr>
                <w:highlight w:val="green"/>
              </w:rPr>
            </w:pPr>
            <w:r w:rsidRPr="00CF0932">
              <w:t>(1.1)</w:t>
            </w:r>
          </w:p>
        </w:tc>
        <w:tc>
          <w:tcPr>
            <w:tcW w:w="1278" w:type="dxa"/>
            <w:tcBorders>
              <w:top w:val="single" w:sz="4" w:space="0" w:color="A6A6A6" w:themeColor="background1" w:themeShade="A6"/>
            </w:tcBorders>
            <w:noWrap/>
          </w:tcPr>
          <w:p w14:paraId="36DC9641" w14:textId="77777777" w:rsidR="005B131E" w:rsidRPr="00BA7805" w:rsidRDefault="005B131E" w:rsidP="002542E1">
            <w:pPr>
              <w:pStyle w:val="ARfintablebodyright"/>
              <w:rPr>
                <w:highlight w:val="green"/>
              </w:rPr>
            </w:pPr>
            <w:r w:rsidRPr="00CF0932">
              <w:t>(0.8)</w:t>
            </w:r>
          </w:p>
        </w:tc>
      </w:tr>
      <w:tr w:rsidR="005B131E" w:rsidRPr="00BA7805" w14:paraId="423B216B" w14:textId="77777777" w:rsidTr="002542E1">
        <w:trPr>
          <w:trHeight w:val="255"/>
        </w:trPr>
        <w:tc>
          <w:tcPr>
            <w:tcW w:w="7083" w:type="dxa"/>
          </w:tcPr>
          <w:p w14:paraId="260B8509" w14:textId="77777777" w:rsidR="005B131E" w:rsidRPr="00BA7805" w:rsidRDefault="005B131E" w:rsidP="002542E1">
            <w:pPr>
              <w:pStyle w:val="ARfintablebodybold"/>
              <w:rPr>
                <w:highlight w:val="green"/>
              </w:rPr>
            </w:pPr>
            <w:r w:rsidRPr="00CF0932">
              <w:t>Total depreciation and amortisation</w:t>
            </w:r>
          </w:p>
        </w:tc>
        <w:tc>
          <w:tcPr>
            <w:tcW w:w="1276" w:type="dxa"/>
            <w:shd w:val="clear" w:color="auto" w:fill="E7E6E6" w:themeFill="accent4"/>
            <w:noWrap/>
          </w:tcPr>
          <w:p w14:paraId="22FB7F9D" w14:textId="77777777" w:rsidR="005B131E" w:rsidRPr="00BA7805" w:rsidRDefault="005B131E" w:rsidP="002542E1">
            <w:pPr>
              <w:pStyle w:val="ARfintablebodyrightbold"/>
              <w:rPr>
                <w:highlight w:val="green"/>
              </w:rPr>
            </w:pPr>
            <w:r w:rsidRPr="00CF0932">
              <w:t>410.0</w:t>
            </w:r>
          </w:p>
        </w:tc>
        <w:tc>
          <w:tcPr>
            <w:tcW w:w="1278" w:type="dxa"/>
            <w:noWrap/>
          </w:tcPr>
          <w:p w14:paraId="255B7F9B" w14:textId="77777777" w:rsidR="005B131E" w:rsidRPr="00BA7805" w:rsidRDefault="005B131E" w:rsidP="002542E1">
            <w:pPr>
              <w:pStyle w:val="ARfintablebodyrightbold"/>
              <w:rPr>
                <w:highlight w:val="green"/>
              </w:rPr>
            </w:pPr>
            <w:r w:rsidRPr="00CF0932">
              <w:t>362.3</w:t>
            </w:r>
          </w:p>
        </w:tc>
      </w:tr>
    </w:tbl>
    <w:p w14:paraId="717DE3FA" w14:textId="77777777" w:rsidR="005B131E" w:rsidRDefault="005B131E" w:rsidP="002542E1">
      <w:pPr>
        <w:pStyle w:val="ARfinbodyaftertable"/>
      </w:pPr>
      <w:r>
        <w:t>All buildings, plant, equipment and vehicles that have finite useful lives are depreciated. The exceptions to this rule include items under assets held for sale and land.</w:t>
      </w:r>
    </w:p>
    <w:p w14:paraId="059FF36C" w14:textId="77777777" w:rsidR="005B131E" w:rsidRDefault="005B131E" w:rsidP="002542E1">
      <w:pPr>
        <w:pStyle w:val="ARfinbody"/>
      </w:pPr>
      <w:r>
        <w:t>Depreciation is calculated on a straight-line basis at rates that allocate the asset value, less any estimated residual value, over its estimated useful life.</w:t>
      </w:r>
    </w:p>
    <w:p w14:paraId="644A249D" w14:textId="77777777" w:rsidR="005B131E" w:rsidRPr="00BA7805" w:rsidRDefault="005B131E" w:rsidP="002542E1">
      <w:pPr>
        <w:pStyle w:val="ARfinbodylargespace"/>
        <w:rPr>
          <w:highlight w:val="green"/>
        </w:rPr>
      </w:pPr>
      <w:r>
        <w:t>Typical estimated useful lives for the different asset classes for the current and prior year are included in the table below:</w:t>
      </w:r>
    </w:p>
    <w:tbl>
      <w:tblPr>
        <w:tblStyle w:val="TableGrid"/>
        <w:tblW w:w="9639" w:type="dxa"/>
        <w:tblLook w:val="06A0" w:firstRow="1" w:lastRow="0" w:firstColumn="1" w:lastColumn="0" w:noHBand="1" w:noVBand="1"/>
      </w:tblPr>
      <w:tblGrid>
        <w:gridCol w:w="6232"/>
        <w:gridCol w:w="1701"/>
        <w:gridCol w:w="1706"/>
      </w:tblGrid>
      <w:tr w:rsidR="005B131E" w:rsidRPr="00BA7805" w14:paraId="36AF6131"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232" w:type="dxa"/>
            <w:tcBorders>
              <w:bottom w:val="single" w:sz="4" w:space="0" w:color="auto"/>
            </w:tcBorders>
          </w:tcPr>
          <w:p w14:paraId="0B6B8596" w14:textId="77777777" w:rsidR="005B131E" w:rsidRPr="00E849B6" w:rsidRDefault="005B131E">
            <w:pPr>
              <w:pStyle w:val="ARfintablecolhead"/>
            </w:pPr>
            <w:r w:rsidRPr="00E849B6">
              <w:t>Asset class</w:t>
            </w:r>
          </w:p>
        </w:tc>
        <w:tc>
          <w:tcPr>
            <w:tcW w:w="1701" w:type="dxa"/>
            <w:tcBorders>
              <w:bottom w:val="single" w:sz="4" w:space="0" w:color="auto"/>
            </w:tcBorders>
            <w:shd w:val="clear" w:color="auto" w:fill="E7E6E6" w:themeFill="accent4"/>
          </w:tcPr>
          <w:p w14:paraId="36F08A35" w14:textId="77777777" w:rsidR="005B131E" w:rsidRPr="00E849B6" w:rsidRDefault="005B131E" w:rsidP="002542E1">
            <w:pPr>
              <w:pStyle w:val="ARfintablecolheadcentre"/>
            </w:pPr>
            <w:r w:rsidRPr="00E849B6">
              <w:t>2024</w:t>
            </w:r>
          </w:p>
        </w:tc>
        <w:tc>
          <w:tcPr>
            <w:tcW w:w="1706" w:type="dxa"/>
            <w:tcBorders>
              <w:bottom w:val="single" w:sz="4" w:space="0" w:color="auto"/>
            </w:tcBorders>
          </w:tcPr>
          <w:p w14:paraId="44F2EE5E" w14:textId="77777777" w:rsidR="005B131E" w:rsidRPr="00E849B6" w:rsidRDefault="005B131E" w:rsidP="002542E1">
            <w:pPr>
              <w:pStyle w:val="ARfintablecolheadcentre"/>
            </w:pPr>
            <w:r w:rsidRPr="00E849B6">
              <w:t>2023</w:t>
            </w:r>
          </w:p>
        </w:tc>
      </w:tr>
      <w:tr w:rsidR="005B131E" w:rsidRPr="00BA7805" w14:paraId="25799119" w14:textId="77777777" w:rsidTr="002542E1">
        <w:trPr>
          <w:cantSplit w:val="0"/>
        </w:trPr>
        <w:tc>
          <w:tcPr>
            <w:tcW w:w="6232" w:type="dxa"/>
            <w:tcBorders>
              <w:top w:val="single" w:sz="4" w:space="0" w:color="auto"/>
              <w:bottom w:val="single" w:sz="4" w:space="0" w:color="A6A6A6"/>
            </w:tcBorders>
          </w:tcPr>
          <w:p w14:paraId="013074DD" w14:textId="77777777" w:rsidR="005B131E" w:rsidRPr="00BA7805" w:rsidRDefault="005B131E" w:rsidP="002542E1">
            <w:pPr>
              <w:pStyle w:val="ARfintablebody"/>
              <w:rPr>
                <w:highlight w:val="green"/>
              </w:rPr>
            </w:pPr>
            <w:r w:rsidRPr="00870105">
              <w:t xml:space="preserve">Buildings </w:t>
            </w:r>
          </w:p>
        </w:tc>
        <w:tc>
          <w:tcPr>
            <w:tcW w:w="1701" w:type="dxa"/>
            <w:tcBorders>
              <w:top w:val="single" w:sz="4" w:space="0" w:color="auto"/>
              <w:bottom w:val="single" w:sz="4" w:space="0" w:color="A6A6A6"/>
            </w:tcBorders>
            <w:shd w:val="clear" w:color="auto" w:fill="E7E6E6" w:themeFill="accent4"/>
          </w:tcPr>
          <w:p w14:paraId="3AFFF084" w14:textId="77777777" w:rsidR="005B131E" w:rsidRPr="00BA7805" w:rsidRDefault="005B131E" w:rsidP="002542E1">
            <w:pPr>
              <w:pStyle w:val="ARtabletextcentre"/>
              <w:rPr>
                <w:highlight w:val="green"/>
              </w:rPr>
            </w:pPr>
            <w:r w:rsidRPr="00870105">
              <w:t>5 to 85 years</w:t>
            </w:r>
          </w:p>
        </w:tc>
        <w:tc>
          <w:tcPr>
            <w:tcW w:w="1706" w:type="dxa"/>
            <w:tcBorders>
              <w:top w:val="single" w:sz="4" w:space="0" w:color="auto"/>
              <w:bottom w:val="single" w:sz="4" w:space="0" w:color="A6A6A6"/>
            </w:tcBorders>
          </w:tcPr>
          <w:p w14:paraId="07BAD492" w14:textId="77777777" w:rsidR="005B131E" w:rsidRPr="00BA7805" w:rsidRDefault="005B131E" w:rsidP="002542E1">
            <w:pPr>
              <w:pStyle w:val="ARtabletextcentre"/>
              <w:rPr>
                <w:highlight w:val="green"/>
              </w:rPr>
            </w:pPr>
            <w:r w:rsidRPr="00870105">
              <w:t>5 to 85 years</w:t>
            </w:r>
          </w:p>
        </w:tc>
      </w:tr>
      <w:tr w:rsidR="005B131E" w:rsidRPr="00BA7805" w14:paraId="4743A4EF" w14:textId="77777777" w:rsidTr="002542E1">
        <w:trPr>
          <w:cantSplit w:val="0"/>
        </w:trPr>
        <w:tc>
          <w:tcPr>
            <w:tcW w:w="6232" w:type="dxa"/>
            <w:tcBorders>
              <w:top w:val="single" w:sz="4" w:space="0" w:color="auto"/>
              <w:bottom w:val="single" w:sz="4" w:space="0" w:color="A6A6A6"/>
            </w:tcBorders>
          </w:tcPr>
          <w:p w14:paraId="43C03E6E" w14:textId="77777777" w:rsidR="005B131E" w:rsidRPr="00BA7805" w:rsidRDefault="005B131E" w:rsidP="002542E1">
            <w:pPr>
              <w:pStyle w:val="ARfintablebody"/>
              <w:rPr>
                <w:highlight w:val="green"/>
              </w:rPr>
            </w:pPr>
            <w:r>
              <w:t>–</w:t>
            </w:r>
            <w:r w:rsidRPr="00870105">
              <w:t xml:space="preserve"> Leasehold improvements</w:t>
            </w:r>
          </w:p>
        </w:tc>
        <w:tc>
          <w:tcPr>
            <w:tcW w:w="1701" w:type="dxa"/>
            <w:tcBorders>
              <w:top w:val="single" w:sz="4" w:space="0" w:color="auto"/>
              <w:bottom w:val="single" w:sz="4" w:space="0" w:color="A6A6A6"/>
            </w:tcBorders>
            <w:shd w:val="clear" w:color="auto" w:fill="E7E6E6" w:themeFill="accent4"/>
          </w:tcPr>
          <w:p w14:paraId="4127CD57" w14:textId="77777777" w:rsidR="005B131E" w:rsidRPr="00BA7805" w:rsidRDefault="005B131E" w:rsidP="002542E1">
            <w:pPr>
              <w:pStyle w:val="ARtabletextcentre"/>
              <w:rPr>
                <w:highlight w:val="green"/>
              </w:rPr>
            </w:pPr>
            <w:r w:rsidRPr="00870105">
              <w:t>5 to 10 years</w:t>
            </w:r>
          </w:p>
        </w:tc>
        <w:tc>
          <w:tcPr>
            <w:tcW w:w="1706" w:type="dxa"/>
            <w:tcBorders>
              <w:top w:val="single" w:sz="4" w:space="0" w:color="auto"/>
              <w:bottom w:val="single" w:sz="4" w:space="0" w:color="A6A6A6"/>
            </w:tcBorders>
          </w:tcPr>
          <w:p w14:paraId="2EFD521B" w14:textId="77777777" w:rsidR="005B131E" w:rsidRPr="00BA7805" w:rsidRDefault="005B131E" w:rsidP="002542E1">
            <w:pPr>
              <w:pStyle w:val="ARtabletextcentre"/>
              <w:rPr>
                <w:highlight w:val="green"/>
              </w:rPr>
            </w:pPr>
            <w:r w:rsidRPr="00870105">
              <w:t>5 to 10 years</w:t>
            </w:r>
          </w:p>
        </w:tc>
      </w:tr>
      <w:tr w:rsidR="005B131E" w:rsidRPr="00BA7805" w14:paraId="2E2A3188" w14:textId="77777777" w:rsidTr="002542E1">
        <w:trPr>
          <w:cantSplit w:val="0"/>
        </w:trPr>
        <w:tc>
          <w:tcPr>
            <w:tcW w:w="6232" w:type="dxa"/>
            <w:tcBorders>
              <w:top w:val="single" w:sz="4" w:space="0" w:color="auto"/>
              <w:bottom w:val="single" w:sz="4" w:space="0" w:color="A6A6A6"/>
            </w:tcBorders>
          </w:tcPr>
          <w:p w14:paraId="091B3779" w14:textId="77777777" w:rsidR="005B131E" w:rsidRPr="00BA7805" w:rsidRDefault="005B131E" w:rsidP="002542E1">
            <w:pPr>
              <w:pStyle w:val="ARfintablebody"/>
              <w:rPr>
                <w:highlight w:val="green"/>
              </w:rPr>
            </w:pPr>
            <w:r>
              <w:t>–</w:t>
            </w:r>
            <w:r w:rsidRPr="00870105">
              <w:t xml:space="preserve"> Buildings</w:t>
            </w:r>
          </w:p>
        </w:tc>
        <w:tc>
          <w:tcPr>
            <w:tcW w:w="1701" w:type="dxa"/>
            <w:tcBorders>
              <w:top w:val="single" w:sz="4" w:space="0" w:color="auto"/>
              <w:bottom w:val="single" w:sz="4" w:space="0" w:color="A6A6A6"/>
            </w:tcBorders>
            <w:shd w:val="clear" w:color="auto" w:fill="E7E6E6" w:themeFill="accent4"/>
          </w:tcPr>
          <w:p w14:paraId="742BDDD8" w14:textId="77777777" w:rsidR="005B131E" w:rsidRPr="00BA7805" w:rsidRDefault="005B131E" w:rsidP="002542E1">
            <w:pPr>
              <w:pStyle w:val="ARtabletextcentre"/>
              <w:rPr>
                <w:highlight w:val="green"/>
              </w:rPr>
            </w:pPr>
            <w:r w:rsidRPr="00870105">
              <w:t>45 to 85 years</w:t>
            </w:r>
          </w:p>
        </w:tc>
        <w:tc>
          <w:tcPr>
            <w:tcW w:w="1706" w:type="dxa"/>
            <w:tcBorders>
              <w:top w:val="single" w:sz="4" w:space="0" w:color="auto"/>
              <w:bottom w:val="single" w:sz="4" w:space="0" w:color="A6A6A6"/>
            </w:tcBorders>
          </w:tcPr>
          <w:p w14:paraId="51EA8CD9" w14:textId="77777777" w:rsidR="005B131E" w:rsidRPr="00BA7805" w:rsidRDefault="005B131E" w:rsidP="002542E1">
            <w:pPr>
              <w:pStyle w:val="ARtabletextcentre"/>
              <w:rPr>
                <w:highlight w:val="green"/>
              </w:rPr>
            </w:pPr>
            <w:r w:rsidRPr="00870105">
              <w:t>45 to 85 years</w:t>
            </w:r>
          </w:p>
        </w:tc>
      </w:tr>
      <w:tr w:rsidR="005B131E" w:rsidRPr="00BA7805" w14:paraId="7142C619" w14:textId="77777777" w:rsidTr="002542E1">
        <w:trPr>
          <w:cantSplit w:val="0"/>
        </w:trPr>
        <w:tc>
          <w:tcPr>
            <w:tcW w:w="6232" w:type="dxa"/>
            <w:tcBorders>
              <w:top w:val="single" w:sz="4" w:space="0" w:color="A6A6A6"/>
              <w:bottom w:val="single" w:sz="4" w:space="0" w:color="A6A6A6"/>
            </w:tcBorders>
          </w:tcPr>
          <w:p w14:paraId="23BAF9F0" w14:textId="77777777" w:rsidR="005B131E" w:rsidRPr="00BA7805" w:rsidRDefault="005B131E" w:rsidP="002542E1">
            <w:pPr>
              <w:pStyle w:val="ARfintablebody"/>
              <w:rPr>
                <w:highlight w:val="green"/>
              </w:rPr>
            </w:pPr>
            <w:r w:rsidRPr="00870105">
              <w:t>Plant, equipment and vehicles</w:t>
            </w:r>
          </w:p>
        </w:tc>
        <w:tc>
          <w:tcPr>
            <w:tcW w:w="1701" w:type="dxa"/>
            <w:tcBorders>
              <w:top w:val="single" w:sz="4" w:space="0" w:color="A6A6A6"/>
              <w:bottom w:val="single" w:sz="4" w:space="0" w:color="A6A6A6"/>
            </w:tcBorders>
            <w:shd w:val="clear" w:color="auto" w:fill="E7E6E6" w:themeFill="accent4"/>
          </w:tcPr>
          <w:p w14:paraId="57132342" w14:textId="77777777" w:rsidR="005B131E" w:rsidRPr="00BA7805" w:rsidRDefault="005B131E" w:rsidP="002542E1">
            <w:pPr>
              <w:pStyle w:val="ARtabletextcentre"/>
              <w:rPr>
                <w:highlight w:val="green"/>
              </w:rPr>
            </w:pPr>
            <w:r w:rsidRPr="00870105">
              <w:t>3 to 15 years</w:t>
            </w:r>
          </w:p>
        </w:tc>
        <w:tc>
          <w:tcPr>
            <w:tcW w:w="1706" w:type="dxa"/>
            <w:tcBorders>
              <w:top w:val="single" w:sz="4" w:space="0" w:color="A6A6A6"/>
              <w:bottom w:val="single" w:sz="4" w:space="0" w:color="A6A6A6"/>
            </w:tcBorders>
          </w:tcPr>
          <w:p w14:paraId="143C883A" w14:textId="77777777" w:rsidR="005B131E" w:rsidRPr="00BA7805" w:rsidRDefault="005B131E" w:rsidP="002542E1">
            <w:pPr>
              <w:pStyle w:val="ARtabletextcentre"/>
              <w:rPr>
                <w:highlight w:val="green"/>
              </w:rPr>
            </w:pPr>
            <w:r w:rsidRPr="00870105">
              <w:t>3 to 15 years</w:t>
            </w:r>
          </w:p>
        </w:tc>
      </w:tr>
      <w:tr w:rsidR="005B131E" w:rsidRPr="00BA7805" w14:paraId="35A14743" w14:textId="77777777" w:rsidTr="002542E1">
        <w:trPr>
          <w:cantSplit w:val="0"/>
        </w:trPr>
        <w:tc>
          <w:tcPr>
            <w:tcW w:w="6232" w:type="dxa"/>
            <w:tcBorders>
              <w:top w:val="single" w:sz="4" w:space="0" w:color="A6A6A6"/>
            </w:tcBorders>
          </w:tcPr>
          <w:p w14:paraId="29B6B3A8" w14:textId="77777777" w:rsidR="005B131E" w:rsidRPr="00BA7805" w:rsidRDefault="005B131E" w:rsidP="002542E1">
            <w:pPr>
              <w:pStyle w:val="ARfintablebody"/>
              <w:rPr>
                <w:highlight w:val="green"/>
              </w:rPr>
            </w:pPr>
            <w:r w:rsidRPr="00870105">
              <w:t>Intangible assets</w:t>
            </w:r>
          </w:p>
        </w:tc>
        <w:tc>
          <w:tcPr>
            <w:tcW w:w="1701" w:type="dxa"/>
            <w:tcBorders>
              <w:top w:val="single" w:sz="4" w:space="0" w:color="A6A6A6"/>
            </w:tcBorders>
            <w:shd w:val="clear" w:color="auto" w:fill="E7E6E6" w:themeFill="accent4"/>
          </w:tcPr>
          <w:p w14:paraId="6116F032" w14:textId="77777777" w:rsidR="005B131E" w:rsidRPr="00BA7805" w:rsidRDefault="005B131E" w:rsidP="002542E1">
            <w:pPr>
              <w:pStyle w:val="ARtabletextcentre"/>
              <w:rPr>
                <w:highlight w:val="green"/>
              </w:rPr>
            </w:pPr>
            <w:r w:rsidRPr="00870105">
              <w:t>3 to 20 years</w:t>
            </w:r>
          </w:p>
        </w:tc>
        <w:tc>
          <w:tcPr>
            <w:tcW w:w="1706" w:type="dxa"/>
            <w:tcBorders>
              <w:top w:val="single" w:sz="4" w:space="0" w:color="A6A6A6"/>
            </w:tcBorders>
          </w:tcPr>
          <w:p w14:paraId="4809A8E5" w14:textId="77777777" w:rsidR="005B131E" w:rsidRPr="00BA7805" w:rsidRDefault="005B131E" w:rsidP="002542E1">
            <w:pPr>
              <w:pStyle w:val="ARtabletextcentre"/>
              <w:rPr>
                <w:highlight w:val="green"/>
              </w:rPr>
            </w:pPr>
            <w:r w:rsidRPr="00870105">
              <w:t>3 to 20 years</w:t>
            </w:r>
          </w:p>
        </w:tc>
      </w:tr>
    </w:tbl>
    <w:p w14:paraId="0737A8AA" w14:textId="77777777" w:rsidR="005B131E" w:rsidRDefault="005B131E" w:rsidP="002542E1">
      <w:pPr>
        <w:pStyle w:val="ARfinbodyaftertable"/>
      </w:pPr>
      <w:r>
        <w:t>The estimated useful lives, residual value and depreciation method are reviewed at the end of each annual reporting period. Estimated useful lives for buildings, and plant, equipment and vehicles remain unchanged since June 2019. Note the estimated useful lives of assets directly impact their depreciation rates, which in turn materially affects the annual depreciation expense.</w:t>
      </w:r>
    </w:p>
    <w:p w14:paraId="7D4E34A1" w14:textId="015F23B1" w:rsidR="005B131E" w:rsidRPr="00E849B6" w:rsidRDefault="005B131E" w:rsidP="002542E1">
      <w:pPr>
        <w:pStyle w:val="ARfinbody"/>
        <w:rPr>
          <w:highlight w:val="green"/>
        </w:rPr>
      </w:pPr>
      <w:r>
        <w:t xml:space="preserve">AASB 116 requires annual reviews and adjustments of fixed asset useful life estimates for accurate depreciation. Buildings depreciate in accordance with the straight-line depreciation method. For buildings marked for early retirement and demolition, accelerated depreciation is applied if approval is given well in advance. If approval is given close to the demolition/retirement date, the building assets are impaired. This ensures buildings are fully depreciated or impaired, leaving no residual value by the end of their serviceable period. Depreciation for 2023–24 includes the impact of accelerated depreciation of $35.9 million which relates to the high-rise towers with established demolition plans that are part of the </w:t>
      </w:r>
      <w:r w:rsidR="00711AE6">
        <w:t>‘</w:t>
      </w:r>
      <w:r>
        <w:t>44 ageing high-rise renewal project</w:t>
      </w:r>
      <w:r w:rsidR="007D0824">
        <w:t>’</w:t>
      </w:r>
      <w:r>
        <w:t>.</w:t>
      </w:r>
    </w:p>
    <w:p w14:paraId="3C461181" w14:textId="77777777" w:rsidR="005B131E" w:rsidRDefault="005B131E" w:rsidP="002542E1">
      <w:pPr>
        <w:pStyle w:val="ARbody"/>
        <w:rPr>
          <w:highlight w:val="green"/>
          <w:lang w:eastAsia="en-AU"/>
        </w:rPr>
      </w:pPr>
      <w:r w:rsidRPr="005037A7">
        <w:rPr>
          <w:rFonts w:eastAsia="Times New Roman" w:cs="Times New Roman"/>
          <w:b/>
          <w:color w:val="007CBC" w:themeColor="accent1"/>
          <w:sz w:val="22"/>
          <w:lang w:eastAsia="en-AU"/>
        </w:rPr>
        <w:t>5.1.2 Reconciliation of movements in carrying values of land, buildings, plant and</w:t>
      </w:r>
      <w:r>
        <w:rPr>
          <w:rFonts w:eastAsia="Times New Roman" w:cs="Times New Roman"/>
          <w:b/>
          <w:color w:val="007CBC" w:themeColor="accent1"/>
          <w:sz w:val="22"/>
          <w:lang w:eastAsia="en-AU"/>
        </w:rPr>
        <w:t> </w:t>
      </w:r>
      <w:r w:rsidRPr="005037A7">
        <w:rPr>
          <w:rFonts w:eastAsia="Times New Roman" w:cs="Times New Roman"/>
          <w:b/>
          <w:color w:val="007CBC" w:themeColor="accent1"/>
          <w:sz w:val="22"/>
          <w:lang w:eastAsia="en-AU"/>
        </w:rPr>
        <w:t>equipment, motor vehicles and assets under construction</w:t>
      </w:r>
    </w:p>
    <w:tbl>
      <w:tblPr>
        <w:tblStyle w:val="TableGrid"/>
        <w:tblW w:w="9637" w:type="dxa"/>
        <w:tblLayout w:type="fixed"/>
        <w:tblCellMar>
          <w:right w:w="0" w:type="dxa"/>
        </w:tblCellMar>
        <w:tblLook w:val="06A0" w:firstRow="1" w:lastRow="0" w:firstColumn="1" w:lastColumn="0" w:noHBand="1" w:noVBand="1"/>
      </w:tblPr>
      <w:tblGrid>
        <w:gridCol w:w="3175"/>
        <w:gridCol w:w="1077"/>
        <w:gridCol w:w="1077"/>
        <w:gridCol w:w="1077"/>
        <w:gridCol w:w="1077"/>
        <w:gridCol w:w="1077"/>
        <w:gridCol w:w="1077"/>
      </w:tblGrid>
      <w:tr w:rsidR="00AF6F94" w:rsidRPr="00BA7805" w14:paraId="163C863F"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3175" w:type="dxa"/>
            <w:tcBorders>
              <w:bottom w:val="single" w:sz="4" w:space="0" w:color="auto"/>
            </w:tcBorders>
            <w:hideMark/>
          </w:tcPr>
          <w:p w14:paraId="671A5601" w14:textId="77777777" w:rsidR="005B131E" w:rsidRPr="005037A7" w:rsidRDefault="005B131E">
            <w:pPr>
              <w:pStyle w:val="ARfintablecolhead"/>
              <w:spacing w:before="30" w:line="228" w:lineRule="auto"/>
            </w:pPr>
          </w:p>
        </w:tc>
        <w:tc>
          <w:tcPr>
            <w:tcW w:w="1077" w:type="dxa"/>
            <w:tcBorders>
              <w:bottom w:val="single" w:sz="4" w:space="0" w:color="auto"/>
            </w:tcBorders>
            <w:shd w:val="clear" w:color="auto" w:fill="E7E6E6" w:themeFill="accent4"/>
            <w:hideMark/>
          </w:tcPr>
          <w:p w14:paraId="786263E3" w14:textId="77777777" w:rsidR="005B131E" w:rsidRPr="005037A7" w:rsidRDefault="005B131E">
            <w:pPr>
              <w:pStyle w:val="ARfintablecolheadright"/>
              <w:spacing w:before="30" w:line="228" w:lineRule="auto"/>
            </w:pPr>
            <w:r w:rsidRPr="005037A7">
              <w:t>Land at fair value</w:t>
            </w:r>
          </w:p>
          <w:p w14:paraId="719F0182" w14:textId="77777777" w:rsidR="005B131E" w:rsidRPr="005037A7" w:rsidRDefault="005B131E">
            <w:pPr>
              <w:pStyle w:val="ARfintablecolheadright"/>
              <w:spacing w:before="30" w:line="228" w:lineRule="auto"/>
            </w:pPr>
            <w:r w:rsidRPr="005037A7">
              <w:t>$M</w:t>
            </w:r>
          </w:p>
        </w:tc>
        <w:tc>
          <w:tcPr>
            <w:tcW w:w="1077" w:type="dxa"/>
            <w:tcBorders>
              <w:bottom w:val="single" w:sz="4" w:space="0" w:color="auto"/>
            </w:tcBorders>
            <w:hideMark/>
          </w:tcPr>
          <w:p w14:paraId="7C09D6C7" w14:textId="77777777" w:rsidR="005B131E" w:rsidRPr="005037A7" w:rsidRDefault="005B131E">
            <w:pPr>
              <w:pStyle w:val="ARfintablecolheadright"/>
              <w:spacing w:before="30" w:line="228" w:lineRule="auto"/>
            </w:pPr>
            <w:r w:rsidRPr="005037A7">
              <w:t>Buildings at fair value</w:t>
            </w:r>
          </w:p>
          <w:p w14:paraId="2081888E" w14:textId="77777777" w:rsidR="005B131E" w:rsidRPr="005037A7" w:rsidRDefault="005B131E">
            <w:pPr>
              <w:pStyle w:val="ARfintablecolheadright"/>
              <w:spacing w:before="30" w:line="228" w:lineRule="auto"/>
            </w:pPr>
            <w:r w:rsidRPr="005037A7">
              <w:t>$M</w:t>
            </w:r>
          </w:p>
        </w:tc>
        <w:tc>
          <w:tcPr>
            <w:tcW w:w="1077" w:type="dxa"/>
            <w:tcBorders>
              <w:bottom w:val="single" w:sz="4" w:space="0" w:color="auto"/>
            </w:tcBorders>
            <w:shd w:val="clear" w:color="auto" w:fill="E7E6E6" w:themeFill="accent4"/>
            <w:hideMark/>
          </w:tcPr>
          <w:p w14:paraId="24607798" w14:textId="77777777" w:rsidR="005B131E" w:rsidRPr="005037A7" w:rsidRDefault="005B131E">
            <w:pPr>
              <w:pStyle w:val="ARfintablecolheadright"/>
              <w:spacing w:before="30" w:line="228" w:lineRule="auto"/>
            </w:pPr>
            <w:r w:rsidRPr="005037A7">
              <w:t>Plant and equipment at fair value</w:t>
            </w:r>
          </w:p>
          <w:p w14:paraId="23D8CB0D" w14:textId="77777777" w:rsidR="005B131E" w:rsidRPr="005037A7" w:rsidRDefault="005B131E">
            <w:pPr>
              <w:pStyle w:val="ARfintablecolheadright"/>
              <w:spacing w:before="30" w:line="228" w:lineRule="auto"/>
            </w:pPr>
            <w:r w:rsidRPr="005037A7">
              <w:t>$M</w:t>
            </w:r>
          </w:p>
        </w:tc>
        <w:tc>
          <w:tcPr>
            <w:tcW w:w="1077" w:type="dxa"/>
            <w:tcBorders>
              <w:bottom w:val="single" w:sz="4" w:space="0" w:color="auto"/>
            </w:tcBorders>
            <w:hideMark/>
          </w:tcPr>
          <w:p w14:paraId="4EF27A7A" w14:textId="77777777" w:rsidR="005B131E" w:rsidRPr="005037A7" w:rsidRDefault="005B131E">
            <w:pPr>
              <w:pStyle w:val="ARfintablecolheadright"/>
              <w:spacing w:before="30" w:line="228" w:lineRule="auto"/>
            </w:pPr>
            <w:r w:rsidRPr="005037A7">
              <w:t>Motor vehicles at fair value</w:t>
            </w:r>
          </w:p>
          <w:p w14:paraId="47518278" w14:textId="77777777" w:rsidR="005B131E" w:rsidRPr="005037A7" w:rsidRDefault="005B131E">
            <w:pPr>
              <w:pStyle w:val="ARfintablecolheadright"/>
              <w:spacing w:before="30" w:line="228" w:lineRule="auto"/>
            </w:pPr>
            <w:r w:rsidRPr="005037A7">
              <w:t>$M</w:t>
            </w:r>
          </w:p>
        </w:tc>
        <w:tc>
          <w:tcPr>
            <w:tcW w:w="1077" w:type="dxa"/>
            <w:tcBorders>
              <w:bottom w:val="single" w:sz="4" w:space="0" w:color="auto"/>
            </w:tcBorders>
            <w:shd w:val="clear" w:color="auto" w:fill="E7E6E6" w:themeFill="accent4"/>
            <w:hideMark/>
          </w:tcPr>
          <w:p w14:paraId="1D0721DE" w14:textId="77777777" w:rsidR="005B131E" w:rsidRPr="005037A7" w:rsidRDefault="005B131E">
            <w:pPr>
              <w:pStyle w:val="ARfintablecolheadright"/>
              <w:spacing w:before="30" w:line="228" w:lineRule="auto"/>
            </w:pPr>
            <w:r w:rsidRPr="005037A7">
              <w:t>Assets under construc-tion at cost</w:t>
            </w:r>
          </w:p>
          <w:p w14:paraId="35AB072F" w14:textId="77777777" w:rsidR="005B131E" w:rsidRPr="005037A7" w:rsidRDefault="005B131E">
            <w:pPr>
              <w:pStyle w:val="ARfintablecolheadright"/>
              <w:spacing w:before="30" w:line="228" w:lineRule="auto"/>
            </w:pPr>
            <w:r w:rsidRPr="005037A7">
              <w:t>$M</w:t>
            </w:r>
          </w:p>
        </w:tc>
        <w:tc>
          <w:tcPr>
            <w:tcW w:w="1077" w:type="dxa"/>
            <w:tcBorders>
              <w:bottom w:val="single" w:sz="4" w:space="0" w:color="auto"/>
            </w:tcBorders>
            <w:hideMark/>
          </w:tcPr>
          <w:p w14:paraId="7D3F5F20" w14:textId="77777777" w:rsidR="005B131E" w:rsidRPr="005037A7" w:rsidRDefault="005B131E">
            <w:pPr>
              <w:pStyle w:val="ARfintablecolheadright"/>
              <w:spacing w:before="30" w:line="228" w:lineRule="auto"/>
            </w:pPr>
            <w:r w:rsidRPr="005037A7">
              <w:t>Total</w:t>
            </w:r>
          </w:p>
          <w:p w14:paraId="033152A7" w14:textId="77777777" w:rsidR="005B131E" w:rsidRPr="005037A7" w:rsidRDefault="005B131E">
            <w:pPr>
              <w:pStyle w:val="ARfintablecolheadright"/>
              <w:spacing w:before="30" w:line="228" w:lineRule="auto"/>
            </w:pPr>
            <w:r w:rsidRPr="005037A7">
              <w:t>$M</w:t>
            </w:r>
          </w:p>
        </w:tc>
      </w:tr>
      <w:tr w:rsidR="005B131E" w:rsidRPr="00BA7805" w14:paraId="2981A974"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2AF6CD7F" w14:textId="77777777" w:rsidR="005B131E" w:rsidRPr="00BA7805" w:rsidRDefault="005B131E" w:rsidP="002542E1">
            <w:pPr>
              <w:pStyle w:val="ARfintablebodybold"/>
              <w:spacing w:before="30" w:line="240" w:lineRule="auto"/>
              <w:rPr>
                <w:highlight w:val="green"/>
              </w:rPr>
            </w:pPr>
            <w:r w:rsidRPr="00940197">
              <w:t>Balance at 1 July 2022</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9364ADD" w14:textId="77777777" w:rsidR="005B131E" w:rsidRPr="00BA7805" w:rsidRDefault="005B131E" w:rsidP="002542E1">
            <w:pPr>
              <w:pStyle w:val="ARfintablebodyrightbold"/>
              <w:spacing w:before="30" w:line="240" w:lineRule="auto"/>
              <w:rPr>
                <w:highlight w:val="green"/>
              </w:rPr>
            </w:pPr>
            <w:r w:rsidRPr="00940197">
              <w:t>24,069.0</w:t>
            </w:r>
          </w:p>
        </w:tc>
        <w:tc>
          <w:tcPr>
            <w:tcW w:w="1077" w:type="dxa"/>
            <w:tcBorders>
              <w:top w:val="single" w:sz="4" w:space="0" w:color="A6A6A6" w:themeColor="background1" w:themeShade="A6"/>
              <w:bottom w:val="single" w:sz="4" w:space="0" w:color="A6A6A6" w:themeColor="background1" w:themeShade="A6"/>
            </w:tcBorders>
            <w:noWrap/>
          </w:tcPr>
          <w:p w14:paraId="12E2F64D" w14:textId="77777777" w:rsidR="005B131E" w:rsidRPr="00BA7805" w:rsidRDefault="005B131E" w:rsidP="002542E1">
            <w:pPr>
              <w:pStyle w:val="ARfintablebodyrightbold"/>
              <w:spacing w:before="30" w:line="240" w:lineRule="auto"/>
              <w:rPr>
                <w:highlight w:val="green"/>
              </w:rPr>
            </w:pPr>
            <w:r w:rsidRPr="00940197">
              <w:t>10,975.7</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80F9EAC" w14:textId="77777777" w:rsidR="005B131E" w:rsidRPr="00BA7805" w:rsidRDefault="005B131E" w:rsidP="002542E1">
            <w:pPr>
              <w:pStyle w:val="ARfintablebodyrightbold"/>
              <w:spacing w:before="30" w:line="240" w:lineRule="auto"/>
              <w:rPr>
                <w:highlight w:val="green"/>
              </w:rPr>
            </w:pPr>
            <w:r w:rsidRPr="00940197">
              <w:t>0.1</w:t>
            </w:r>
          </w:p>
        </w:tc>
        <w:tc>
          <w:tcPr>
            <w:tcW w:w="1077" w:type="dxa"/>
            <w:tcBorders>
              <w:top w:val="single" w:sz="4" w:space="0" w:color="A6A6A6" w:themeColor="background1" w:themeShade="A6"/>
              <w:bottom w:val="single" w:sz="4" w:space="0" w:color="A6A6A6" w:themeColor="background1" w:themeShade="A6"/>
            </w:tcBorders>
            <w:noWrap/>
          </w:tcPr>
          <w:p w14:paraId="7A46F6E3" w14:textId="77777777" w:rsidR="005B131E" w:rsidRPr="00BA7805" w:rsidRDefault="005B131E" w:rsidP="002542E1">
            <w:pPr>
              <w:pStyle w:val="ARfintablebodyrightbold"/>
              <w:spacing w:before="30" w:line="240" w:lineRule="auto"/>
              <w:rPr>
                <w:highlight w:val="green"/>
              </w:rPr>
            </w:pPr>
            <w:r w:rsidRPr="00940197">
              <w:t>27.3</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0F7A4A78" w14:textId="77777777" w:rsidR="005B131E" w:rsidRPr="00BA7805" w:rsidRDefault="005B131E" w:rsidP="002542E1">
            <w:pPr>
              <w:pStyle w:val="ARfintablebodyrightbold"/>
              <w:spacing w:before="30" w:line="240" w:lineRule="auto"/>
              <w:rPr>
                <w:highlight w:val="green"/>
              </w:rPr>
            </w:pPr>
            <w:r w:rsidRPr="00940197">
              <w:t>1,125.1</w:t>
            </w:r>
          </w:p>
        </w:tc>
        <w:tc>
          <w:tcPr>
            <w:tcW w:w="1077" w:type="dxa"/>
            <w:tcBorders>
              <w:top w:val="single" w:sz="4" w:space="0" w:color="A6A6A6" w:themeColor="background1" w:themeShade="A6"/>
              <w:bottom w:val="single" w:sz="4" w:space="0" w:color="A6A6A6" w:themeColor="background1" w:themeShade="A6"/>
            </w:tcBorders>
            <w:noWrap/>
          </w:tcPr>
          <w:p w14:paraId="61879590" w14:textId="77777777" w:rsidR="005B131E" w:rsidRPr="00BA7805" w:rsidRDefault="005B131E" w:rsidP="002542E1">
            <w:pPr>
              <w:pStyle w:val="ARfintablebodyrightbold"/>
              <w:spacing w:before="30" w:line="240" w:lineRule="auto"/>
              <w:rPr>
                <w:highlight w:val="green"/>
              </w:rPr>
            </w:pPr>
            <w:r w:rsidRPr="00940197">
              <w:t>36,197.2</w:t>
            </w:r>
          </w:p>
        </w:tc>
      </w:tr>
      <w:tr w:rsidR="005B131E" w:rsidRPr="00BA7805" w14:paraId="3E3CC6FD"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6E4E8F72" w14:textId="77777777" w:rsidR="005B131E" w:rsidRPr="00BA7805" w:rsidRDefault="005B131E" w:rsidP="002542E1">
            <w:pPr>
              <w:pStyle w:val="ARfintablebody"/>
              <w:spacing w:before="30" w:line="240" w:lineRule="auto"/>
              <w:rPr>
                <w:highlight w:val="green"/>
              </w:rPr>
            </w:pPr>
            <w:r w:rsidRPr="00940197">
              <w:t>Additions</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6E1ED1E"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34527689" w14:textId="77777777" w:rsidR="005B131E" w:rsidRPr="00BA7805" w:rsidRDefault="005B131E" w:rsidP="002542E1">
            <w:pPr>
              <w:pStyle w:val="ARfintablebodyright"/>
              <w:spacing w:before="30" w:line="240" w:lineRule="auto"/>
              <w:rPr>
                <w:highlight w:val="green"/>
              </w:rPr>
            </w:pPr>
            <w:r w:rsidRPr="00940197">
              <w:t>3.5</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A9A290E" w14:textId="77777777" w:rsidR="005B131E" w:rsidRPr="00BA7805" w:rsidRDefault="005B131E" w:rsidP="002542E1">
            <w:pPr>
              <w:pStyle w:val="ARfintablebodyright"/>
              <w:spacing w:before="30" w:line="240" w:lineRule="auto"/>
              <w:rPr>
                <w:highlight w:val="green"/>
              </w:rPr>
            </w:pPr>
            <w:r w:rsidRPr="00940197">
              <w:t>0.2</w:t>
            </w:r>
          </w:p>
        </w:tc>
        <w:tc>
          <w:tcPr>
            <w:tcW w:w="1077" w:type="dxa"/>
            <w:tcBorders>
              <w:top w:val="single" w:sz="4" w:space="0" w:color="A6A6A6" w:themeColor="background1" w:themeShade="A6"/>
              <w:bottom w:val="single" w:sz="4" w:space="0" w:color="A6A6A6" w:themeColor="background1" w:themeShade="A6"/>
            </w:tcBorders>
            <w:noWrap/>
          </w:tcPr>
          <w:p w14:paraId="6725DC45" w14:textId="77777777" w:rsidR="005B131E" w:rsidRPr="00BA7805" w:rsidRDefault="005B131E" w:rsidP="002542E1">
            <w:pPr>
              <w:pStyle w:val="ARfintablebodyright"/>
              <w:spacing w:before="30" w:line="240" w:lineRule="auto"/>
              <w:rPr>
                <w:highlight w:val="green"/>
              </w:rPr>
            </w:pPr>
            <w:r w:rsidRPr="00940197">
              <w:t>16.5</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2802945" w14:textId="77777777" w:rsidR="005B131E" w:rsidRPr="00BA7805" w:rsidRDefault="005B131E" w:rsidP="002542E1">
            <w:pPr>
              <w:pStyle w:val="ARfintablebodyright"/>
              <w:spacing w:before="30" w:line="240" w:lineRule="auto"/>
              <w:rPr>
                <w:highlight w:val="green"/>
              </w:rPr>
            </w:pPr>
            <w:r w:rsidRPr="00940197">
              <w:t>1,090.0</w:t>
            </w:r>
          </w:p>
        </w:tc>
        <w:tc>
          <w:tcPr>
            <w:tcW w:w="1077" w:type="dxa"/>
            <w:tcBorders>
              <w:top w:val="single" w:sz="4" w:space="0" w:color="A6A6A6" w:themeColor="background1" w:themeShade="A6"/>
              <w:bottom w:val="single" w:sz="4" w:space="0" w:color="A6A6A6" w:themeColor="background1" w:themeShade="A6"/>
            </w:tcBorders>
            <w:noWrap/>
          </w:tcPr>
          <w:p w14:paraId="79BC0C9C" w14:textId="77777777" w:rsidR="005B131E" w:rsidRPr="00BA7805" w:rsidRDefault="005B131E" w:rsidP="002542E1">
            <w:pPr>
              <w:pStyle w:val="ARfintablebodyright"/>
              <w:spacing w:before="30" w:line="240" w:lineRule="auto"/>
              <w:rPr>
                <w:highlight w:val="green"/>
              </w:rPr>
            </w:pPr>
            <w:r w:rsidRPr="00940197">
              <w:t>1,110.1</w:t>
            </w:r>
          </w:p>
        </w:tc>
      </w:tr>
      <w:tr w:rsidR="005B131E" w:rsidRPr="00BA7805" w14:paraId="1137ED39"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3CAABDBD" w14:textId="77777777" w:rsidR="005B131E" w:rsidRPr="00BA7805" w:rsidRDefault="005B131E" w:rsidP="002542E1">
            <w:pPr>
              <w:pStyle w:val="ARfintablebody"/>
              <w:spacing w:before="30" w:line="240" w:lineRule="auto"/>
              <w:rPr>
                <w:highlight w:val="green"/>
              </w:rPr>
            </w:pPr>
            <w:r w:rsidRPr="00940197">
              <w:t>Disposals</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7D3DCFBA" w14:textId="77777777" w:rsidR="005B131E" w:rsidRPr="00BA7805" w:rsidRDefault="005B131E" w:rsidP="002542E1">
            <w:pPr>
              <w:pStyle w:val="ARfintablebodyright"/>
              <w:spacing w:before="30" w:line="240" w:lineRule="auto"/>
              <w:rPr>
                <w:highlight w:val="green"/>
              </w:rPr>
            </w:pPr>
            <w:r w:rsidRPr="00940197">
              <w:t>(103.7)</w:t>
            </w:r>
          </w:p>
        </w:tc>
        <w:tc>
          <w:tcPr>
            <w:tcW w:w="1077" w:type="dxa"/>
            <w:tcBorders>
              <w:top w:val="single" w:sz="4" w:space="0" w:color="A6A6A6" w:themeColor="background1" w:themeShade="A6"/>
              <w:bottom w:val="single" w:sz="4" w:space="0" w:color="A6A6A6" w:themeColor="background1" w:themeShade="A6"/>
            </w:tcBorders>
            <w:noWrap/>
          </w:tcPr>
          <w:p w14:paraId="47570B21" w14:textId="77777777" w:rsidR="005B131E" w:rsidRPr="00BA7805" w:rsidRDefault="005B131E" w:rsidP="002542E1">
            <w:pPr>
              <w:pStyle w:val="ARfintablebodyright"/>
              <w:spacing w:before="30" w:line="240" w:lineRule="auto"/>
              <w:rPr>
                <w:highlight w:val="green"/>
              </w:rPr>
            </w:pPr>
            <w:r w:rsidRPr="00940197">
              <w:t>(27.5)</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7152D4DD"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11BD275C" w14:textId="77777777" w:rsidR="005B131E" w:rsidRPr="00BA7805" w:rsidRDefault="005B131E" w:rsidP="002542E1">
            <w:pPr>
              <w:pStyle w:val="ARfintablebodyright"/>
              <w:spacing w:before="30" w:line="240" w:lineRule="auto"/>
              <w:rPr>
                <w:highlight w:val="green"/>
              </w:rPr>
            </w:pPr>
            <w:r w:rsidRPr="00940197">
              <w:t>(5.0)</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09BBEAE"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11EECCEA" w14:textId="77777777" w:rsidR="005B131E" w:rsidRPr="00BA7805" w:rsidRDefault="005B131E" w:rsidP="002542E1">
            <w:pPr>
              <w:pStyle w:val="ARfintablebodyright"/>
              <w:spacing w:before="30" w:line="240" w:lineRule="auto"/>
              <w:rPr>
                <w:highlight w:val="green"/>
              </w:rPr>
            </w:pPr>
            <w:r w:rsidRPr="00940197">
              <w:t>(136.2)</w:t>
            </w:r>
          </w:p>
        </w:tc>
      </w:tr>
      <w:tr w:rsidR="005B131E" w:rsidRPr="00BA7805" w14:paraId="24670BFD"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299470BC" w14:textId="77777777" w:rsidR="005B131E" w:rsidRPr="00BA7805" w:rsidRDefault="005B131E" w:rsidP="002542E1">
            <w:pPr>
              <w:pStyle w:val="ARfintablebody"/>
              <w:spacing w:before="30" w:line="240" w:lineRule="auto"/>
              <w:rPr>
                <w:highlight w:val="green"/>
              </w:rPr>
            </w:pPr>
            <w:r w:rsidRPr="00940197">
              <w:t>Net revaluation increments/(decrements)</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EB5ABA5" w14:textId="77777777" w:rsidR="005B131E" w:rsidRPr="00BA7805" w:rsidRDefault="005B131E" w:rsidP="002542E1">
            <w:pPr>
              <w:pStyle w:val="ARfintablebodyright"/>
              <w:spacing w:before="30" w:line="240" w:lineRule="auto"/>
              <w:rPr>
                <w:highlight w:val="green"/>
              </w:rPr>
            </w:pPr>
            <w:r w:rsidRPr="00940197">
              <w:t>77.8</w:t>
            </w:r>
          </w:p>
        </w:tc>
        <w:tc>
          <w:tcPr>
            <w:tcW w:w="1077" w:type="dxa"/>
            <w:tcBorders>
              <w:top w:val="single" w:sz="4" w:space="0" w:color="A6A6A6" w:themeColor="background1" w:themeShade="A6"/>
              <w:bottom w:val="single" w:sz="4" w:space="0" w:color="A6A6A6" w:themeColor="background1" w:themeShade="A6"/>
            </w:tcBorders>
            <w:noWrap/>
          </w:tcPr>
          <w:p w14:paraId="5A86C07E" w14:textId="77777777" w:rsidR="005B131E" w:rsidRPr="00BA7805" w:rsidRDefault="005B131E" w:rsidP="002542E1">
            <w:pPr>
              <w:pStyle w:val="ARfintablebodyright"/>
              <w:spacing w:before="30" w:line="240" w:lineRule="auto"/>
              <w:rPr>
                <w:highlight w:val="green"/>
              </w:rPr>
            </w:pPr>
            <w:r w:rsidRPr="00940197">
              <w:t>(40.8)</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7E937CA8"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7B2245E5"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6CE04E9C" w14:textId="77777777" w:rsidR="005B131E" w:rsidRPr="00BA7805" w:rsidRDefault="005B131E" w:rsidP="002542E1">
            <w:pPr>
              <w:pStyle w:val="ARfintablebodyright"/>
              <w:spacing w:before="30" w:line="240" w:lineRule="auto"/>
              <w:rPr>
                <w:highlight w:val="green"/>
              </w:rPr>
            </w:pPr>
            <w:r w:rsidRPr="00940197">
              <w:t>10.7</w:t>
            </w:r>
          </w:p>
        </w:tc>
        <w:tc>
          <w:tcPr>
            <w:tcW w:w="1077" w:type="dxa"/>
            <w:tcBorders>
              <w:top w:val="single" w:sz="4" w:space="0" w:color="A6A6A6" w:themeColor="background1" w:themeShade="A6"/>
              <w:bottom w:val="single" w:sz="4" w:space="0" w:color="A6A6A6" w:themeColor="background1" w:themeShade="A6"/>
            </w:tcBorders>
            <w:noWrap/>
          </w:tcPr>
          <w:p w14:paraId="7434B094" w14:textId="77777777" w:rsidR="005B131E" w:rsidRPr="00BA7805" w:rsidRDefault="005B131E" w:rsidP="002542E1">
            <w:pPr>
              <w:pStyle w:val="ARfintablebodyright"/>
              <w:spacing w:before="30" w:line="240" w:lineRule="auto"/>
              <w:rPr>
                <w:highlight w:val="green"/>
              </w:rPr>
            </w:pPr>
            <w:r w:rsidRPr="00940197">
              <w:t>47.7</w:t>
            </w:r>
          </w:p>
        </w:tc>
      </w:tr>
      <w:tr w:rsidR="005B131E" w:rsidRPr="00BA7805" w14:paraId="3B5E1AD6"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2043A3E2" w14:textId="77777777" w:rsidR="005B131E" w:rsidRPr="00BA7805" w:rsidRDefault="005B131E" w:rsidP="002542E1">
            <w:pPr>
              <w:pStyle w:val="ARfintablebody"/>
              <w:spacing w:before="30" w:line="240" w:lineRule="auto"/>
              <w:rPr>
                <w:highlight w:val="green"/>
              </w:rPr>
            </w:pPr>
            <w:r w:rsidRPr="00940197">
              <w:t>Asset impairment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DF2C6B4"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45BDCAAC"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1D14F5D0"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4826F16C"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1908934E"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7907CD5B" w14:textId="77777777" w:rsidR="005B131E" w:rsidRPr="00BA7805" w:rsidRDefault="005B131E" w:rsidP="002542E1">
            <w:pPr>
              <w:pStyle w:val="ARfintablebodyright"/>
              <w:spacing w:before="30" w:line="240" w:lineRule="auto"/>
              <w:rPr>
                <w:highlight w:val="green"/>
              </w:rPr>
            </w:pPr>
            <w:r>
              <w:t>–</w:t>
            </w:r>
          </w:p>
        </w:tc>
      </w:tr>
      <w:tr w:rsidR="005B131E" w:rsidRPr="00BA7805" w14:paraId="4D790467"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24386A79" w14:textId="77777777" w:rsidR="005B131E" w:rsidRPr="00BA7805" w:rsidRDefault="005B131E" w:rsidP="002542E1">
            <w:pPr>
              <w:pStyle w:val="ARfintablebody"/>
              <w:spacing w:before="30" w:line="240" w:lineRule="auto"/>
              <w:rPr>
                <w:highlight w:val="green"/>
              </w:rPr>
            </w:pPr>
            <w:r w:rsidRPr="00940197">
              <w:t>Depreciation and amortisation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359588F" w14:textId="77777777" w:rsidR="005B131E" w:rsidRPr="00BA7805" w:rsidRDefault="005B131E" w:rsidP="002542E1">
            <w:pPr>
              <w:pStyle w:val="ARfintablebodyright"/>
              <w:spacing w:before="30" w:line="240" w:lineRule="auto"/>
              <w:rPr>
                <w:highlight w:val="green"/>
              </w:rPr>
            </w:pPr>
            <w:r w:rsidRPr="00940197">
              <w:t>(0.9)</w:t>
            </w:r>
          </w:p>
        </w:tc>
        <w:tc>
          <w:tcPr>
            <w:tcW w:w="1077" w:type="dxa"/>
            <w:tcBorders>
              <w:top w:val="single" w:sz="4" w:space="0" w:color="A6A6A6" w:themeColor="background1" w:themeShade="A6"/>
              <w:bottom w:val="single" w:sz="4" w:space="0" w:color="A6A6A6" w:themeColor="background1" w:themeShade="A6"/>
            </w:tcBorders>
            <w:noWrap/>
          </w:tcPr>
          <w:p w14:paraId="35A72D0F" w14:textId="77777777" w:rsidR="005B131E" w:rsidRPr="00BA7805" w:rsidRDefault="005B131E" w:rsidP="002542E1">
            <w:pPr>
              <w:pStyle w:val="ARfintablebodyright"/>
              <w:spacing w:before="30" w:line="240" w:lineRule="auto"/>
              <w:rPr>
                <w:highlight w:val="green"/>
              </w:rPr>
            </w:pPr>
            <w:r w:rsidRPr="00940197">
              <w:t>(328.7)</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69785A62" w14:textId="77777777" w:rsidR="005B131E" w:rsidRPr="00BA7805" w:rsidRDefault="005B131E" w:rsidP="002542E1">
            <w:pPr>
              <w:pStyle w:val="ARfintablebodyright"/>
              <w:spacing w:before="30" w:line="240" w:lineRule="auto"/>
              <w:rPr>
                <w:highlight w:val="green"/>
              </w:rPr>
            </w:pPr>
            <w:r w:rsidRPr="00940197">
              <w:t>(0.1)</w:t>
            </w:r>
          </w:p>
        </w:tc>
        <w:tc>
          <w:tcPr>
            <w:tcW w:w="1077" w:type="dxa"/>
            <w:tcBorders>
              <w:top w:val="single" w:sz="4" w:space="0" w:color="A6A6A6" w:themeColor="background1" w:themeShade="A6"/>
              <w:bottom w:val="single" w:sz="4" w:space="0" w:color="A6A6A6" w:themeColor="background1" w:themeShade="A6"/>
            </w:tcBorders>
            <w:noWrap/>
          </w:tcPr>
          <w:p w14:paraId="49305BCF" w14:textId="77777777" w:rsidR="005B131E" w:rsidRPr="00BA7805" w:rsidRDefault="005B131E" w:rsidP="002542E1">
            <w:pPr>
              <w:pStyle w:val="ARfintablebodyright"/>
              <w:spacing w:before="30" w:line="240" w:lineRule="auto"/>
              <w:rPr>
                <w:highlight w:val="green"/>
              </w:rPr>
            </w:pPr>
            <w:r w:rsidRPr="00940197">
              <w:t>(6.4)</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F3EF7DA"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0DB7565E" w14:textId="77777777" w:rsidR="005B131E" w:rsidRPr="00BA7805" w:rsidRDefault="005B131E" w:rsidP="002542E1">
            <w:pPr>
              <w:pStyle w:val="ARfintablebodyright"/>
              <w:spacing w:before="30" w:line="240" w:lineRule="auto"/>
              <w:rPr>
                <w:highlight w:val="green"/>
              </w:rPr>
            </w:pPr>
            <w:r w:rsidRPr="00940197">
              <w:t>(336.2)</w:t>
            </w:r>
          </w:p>
        </w:tc>
      </w:tr>
      <w:tr w:rsidR="005B131E" w:rsidRPr="00BA7805" w14:paraId="349CF6BE"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36AABC5C" w14:textId="77777777" w:rsidR="005B131E" w:rsidRPr="00BA7805" w:rsidRDefault="005B131E" w:rsidP="002542E1">
            <w:pPr>
              <w:pStyle w:val="ARfintablebody"/>
              <w:spacing w:before="30" w:line="240" w:lineRule="auto"/>
              <w:rPr>
                <w:highlight w:val="green"/>
              </w:rPr>
            </w:pPr>
            <w:r w:rsidRPr="00940197">
              <w:t>Fair value of assets received free of charge or for nominal consideration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4F08E033"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228DE902"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930BB75"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1D944728" w14:textId="77777777" w:rsidR="005B131E" w:rsidRPr="00BA7805" w:rsidRDefault="005B131E" w:rsidP="002542E1">
            <w:pPr>
              <w:pStyle w:val="ARfintablebodyright"/>
              <w:spacing w:before="30" w:line="240" w:lineRule="auto"/>
              <w:rPr>
                <w:highlight w:val="green"/>
              </w:rPr>
            </w:pPr>
            <w:r w:rsidRPr="00940197">
              <w:t>(0.1)</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C7A803A"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629621D6" w14:textId="77777777" w:rsidR="005B131E" w:rsidRPr="00BA7805" w:rsidRDefault="005B131E" w:rsidP="002542E1">
            <w:pPr>
              <w:pStyle w:val="ARfintablebodyright"/>
              <w:spacing w:before="30" w:line="240" w:lineRule="auto"/>
              <w:rPr>
                <w:highlight w:val="green"/>
              </w:rPr>
            </w:pPr>
            <w:r w:rsidRPr="00940197">
              <w:t>(0.1)</w:t>
            </w:r>
          </w:p>
        </w:tc>
      </w:tr>
      <w:tr w:rsidR="005B131E" w:rsidRPr="00BA7805" w14:paraId="3A9FD3D0"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04B2B55D" w14:textId="77777777" w:rsidR="005B131E" w:rsidRPr="00BA7805" w:rsidRDefault="005B131E" w:rsidP="002542E1">
            <w:pPr>
              <w:pStyle w:val="ARfintablebody"/>
              <w:spacing w:before="30" w:line="240" w:lineRule="auto"/>
              <w:rPr>
                <w:highlight w:val="green"/>
              </w:rPr>
            </w:pPr>
            <w:r w:rsidRPr="00940197">
              <w:t>Fair value of assets provided free of charge or for nominal consideration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6E45832" w14:textId="77777777" w:rsidR="005B131E" w:rsidRPr="00BA7805" w:rsidRDefault="005B131E" w:rsidP="002542E1">
            <w:pPr>
              <w:pStyle w:val="ARfintablebodyright"/>
              <w:spacing w:before="30" w:line="240" w:lineRule="auto"/>
              <w:rPr>
                <w:highlight w:val="green"/>
              </w:rPr>
            </w:pPr>
            <w:r w:rsidRPr="00940197">
              <w:t>(1.1)</w:t>
            </w:r>
          </w:p>
        </w:tc>
        <w:tc>
          <w:tcPr>
            <w:tcW w:w="1077" w:type="dxa"/>
            <w:tcBorders>
              <w:top w:val="single" w:sz="4" w:space="0" w:color="A6A6A6" w:themeColor="background1" w:themeShade="A6"/>
              <w:bottom w:val="single" w:sz="4" w:space="0" w:color="A6A6A6" w:themeColor="background1" w:themeShade="A6"/>
            </w:tcBorders>
            <w:noWrap/>
          </w:tcPr>
          <w:p w14:paraId="111864D6" w14:textId="77777777" w:rsidR="005B131E" w:rsidRPr="00BA7805" w:rsidRDefault="005B131E" w:rsidP="002542E1">
            <w:pPr>
              <w:pStyle w:val="ARfintablebodyright"/>
              <w:spacing w:before="30" w:line="240" w:lineRule="auto"/>
              <w:rPr>
                <w:highlight w:val="green"/>
              </w:rPr>
            </w:pPr>
            <w:r w:rsidRPr="00940197">
              <w:t>(0.7)</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6FE12414"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2B321844" w14:textId="77777777" w:rsidR="005B131E" w:rsidRPr="00BA7805" w:rsidRDefault="005B131E" w:rsidP="002542E1">
            <w:pPr>
              <w:pStyle w:val="ARfintablebodyright"/>
              <w:spacing w:before="30" w:line="240" w:lineRule="auto"/>
              <w:rPr>
                <w:highlight w:val="green"/>
              </w:rPr>
            </w:pPr>
            <w:r w:rsidRPr="00940197">
              <w:t>0.2</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BD9AC10"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28AAC6F8" w14:textId="77777777" w:rsidR="005B131E" w:rsidRPr="00BA7805" w:rsidRDefault="005B131E" w:rsidP="002542E1">
            <w:pPr>
              <w:pStyle w:val="ARfintablebodyright"/>
              <w:spacing w:before="30" w:line="240" w:lineRule="auto"/>
              <w:rPr>
                <w:highlight w:val="green"/>
              </w:rPr>
            </w:pPr>
            <w:r w:rsidRPr="00940197">
              <w:t>(1.6)</w:t>
            </w:r>
          </w:p>
        </w:tc>
      </w:tr>
      <w:tr w:rsidR="005B131E" w:rsidRPr="00BA7805" w14:paraId="193B67BF"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208DA37D" w14:textId="77777777" w:rsidR="005B131E" w:rsidRPr="00BA7805" w:rsidRDefault="005B131E" w:rsidP="002542E1">
            <w:pPr>
              <w:pStyle w:val="ARfintablebody"/>
              <w:spacing w:before="30" w:line="240" w:lineRule="auto"/>
              <w:rPr>
                <w:highlight w:val="green"/>
              </w:rPr>
            </w:pPr>
            <w:r w:rsidRPr="00940197">
              <w:t>Transfers in/(out) of assets under</w:t>
            </w:r>
            <w:r>
              <w:t> </w:t>
            </w:r>
            <w:r w:rsidRPr="00940197">
              <w:t>construction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74C5AC7A" w14:textId="77777777" w:rsidR="005B131E" w:rsidRPr="00BA7805" w:rsidRDefault="005B131E" w:rsidP="002542E1">
            <w:pPr>
              <w:pStyle w:val="ARfintablebodyright"/>
              <w:spacing w:before="30" w:line="240" w:lineRule="auto"/>
              <w:rPr>
                <w:highlight w:val="green"/>
              </w:rPr>
            </w:pPr>
            <w:r w:rsidRPr="00940197">
              <w:t>100.3</w:t>
            </w:r>
          </w:p>
        </w:tc>
        <w:tc>
          <w:tcPr>
            <w:tcW w:w="1077" w:type="dxa"/>
            <w:tcBorders>
              <w:top w:val="single" w:sz="4" w:space="0" w:color="A6A6A6" w:themeColor="background1" w:themeShade="A6"/>
              <w:bottom w:val="single" w:sz="4" w:space="0" w:color="A6A6A6" w:themeColor="background1" w:themeShade="A6"/>
            </w:tcBorders>
            <w:noWrap/>
          </w:tcPr>
          <w:p w14:paraId="5E76BBC1" w14:textId="77777777" w:rsidR="005B131E" w:rsidRPr="00BA7805" w:rsidRDefault="005B131E" w:rsidP="002542E1">
            <w:pPr>
              <w:pStyle w:val="ARfintablebodyright"/>
              <w:spacing w:before="30" w:line="240" w:lineRule="auto"/>
              <w:rPr>
                <w:highlight w:val="green"/>
              </w:rPr>
            </w:pPr>
            <w:r w:rsidRPr="00940197">
              <w:t>809.2</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0C0DC9A3"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07FD229F"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1525EE47" w14:textId="77777777" w:rsidR="005B131E" w:rsidRPr="00BA7805" w:rsidRDefault="005B131E" w:rsidP="002542E1">
            <w:pPr>
              <w:pStyle w:val="ARfintablebodyright"/>
              <w:spacing w:before="30" w:line="240" w:lineRule="auto"/>
              <w:rPr>
                <w:highlight w:val="green"/>
              </w:rPr>
            </w:pPr>
            <w:r w:rsidRPr="00940197">
              <w:t>(909.5)</w:t>
            </w:r>
          </w:p>
        </w:tc>
        <w:tc>
          <w:tcPr>
            <w:tcW w:w="1077" w:type="dxa"/>
            <w:tcBorders>
              <w:top w:val="single" w:sz="4" w:space="0" w:color="A6A6A6" w:themeColor="background1" w:themeShade="A6"/>
              <w:bottom w:val="single" w:sz="4" w:space="0" w:color="A6A6A6" w:themeColor="background1" w:themeShade="A6"/>
            </w:tcBorders>
            <w:noWrap/>
          </w:tcPr>
          <w:p w14:paraId="6B32DC54" w14:textId="77777777" w:rsidR="005B131E" w:rsidRPr="00BA7805" w:rsidRDefault="005B131E" w:rsidP="002542E1">
            <w:pPr>
              <w:pStyle w:val="ARfintablebodyright"/>
              <w:spacing w:before="30" w:line="240" w:lineRule="auto"/>
              <w:rPr>
                <w:highlight w:val="green"/>
              </w:rPr>
            </w:pPr>
            <w:r>
              <w:t>–</w:t>
            </w:r>
          </w:p>
        </w:tc>
      </w:tr>
      <w:tr w:rsidR="005B131E" w:rsidRPr="00BA7805" w14:paraId="4527BFD9" w14:textId="77777777" w:rsidTr="002542E1">
        <w:trPr>
          <w:trHeight w:val="255"/>
        </w:trPr>
        <w:tc>
          <w:tcPr>
            <w:tcW w:w="3175" w:type="dxa"/>
            <w:tcBorders>
              <w:top w:val="single" w:sz="4" w:space="0" w:color="A6A6A6" w:themeColor="background1" w:themeShade="A6"/>
              <w:bottom w:val="single" w:sz="4" w:space="0" w:color="A6A6A6" w:themeColor="background1" w:themeShade="A6"/>
            </w:tcBorders>
          </w:tcPr>
          <w:p w14:paraId="1707CD27" w14:textId="77777777" w:rsidR="005B131E" w:rsidRPr="00BA7805" w:rsidRDefault="005B131E" w:rsidP="002542E1">
            <w:pPr>
              <w:pStyle w:val="ARfintablebody"/>
              <w:spacing w:before="30" w:line="240" w:lineRule="auto"/>
              <w:rPr>
                <w:highlight w:val="green"/>
              </w:rPr>
            </w:pPr>
            <w:r w:rsidRPr="00940197">
              <w:t>Transfers (to)/from assets held for</w:t>
            </w:r>
            <w:r>
              <w:t> </w:t>
            </w:r>
            <w:r w:rsidRPr="00940197">
              <w:t>sale</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155FE94"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7B142A16" w14:textId="77777777" w:rsidR="005B131E" w:rsidRPr="00BA7805" w:rsidRDefault="005B131E" w:rsidP="002542E1">
            <w:pPr>
              <w:pStyle w:val="ARfintablebodyright"/>
              <w:spacing w:before="30" w:line="240" w:lineRule="auto"/>
              <w:rPr>
                <w:highlight w:val="green"/>
              </w:rPr>
            </w:pPr>
            <w:r w:rsidRPr="00940197">
              <w:t>(15.5)</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4F9F8248"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3555DA66" w14:textId="77777777" w:rsidR="005B131E" w:rsidRPr="00BA7805" w:rsidRDefault="005B131E" w:rsidP="002542E1">
            <w:pPr>
              <w:pStyle w:val="ARfintablebodyright"/>
              <w:spacing w:before="30" w:line="240" w:lineRule="auto"/>
              <w:rPr>
                <w:highlight w:val="green"/>
              </w:rPr>
            </w:pPr>
            <w:r w:rsidRPr="00940197">
              <w:t>(0.4)</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9A85784"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0A324257" w14:textId="77777777" w:rsidR="005B131E" w:rsidRPr="00BA7805" w:rsidRDefault="005B131E" w:rsidP="002542E1">
            <w:pPr>
              <w:pStyle w:val="ARfintablebodyright"/>
              <w:spacing w:before="30" w:line="240" w:lineRule="auto"/>
              <w:rPr>
                <w:highlight w:val="green"/>
              </w:rPr>
            </w:pPr>
            <w:r w:rsidRPr="00940197">
              <w:t>(15.9)</w:t>
            </w:r>
          </w:p>
        </w:tc>
      </w:tr>
      <w:tr w:rsidR="005B131E" w:rsidRPr="00BA7805" w14:paraId="308710DF" w14:textId="77777777" w:rsidTr="002542E1">
        <w:trPr>
          <w:trHeight w:val="255"/>
        </w:trPr>
        <w:tc>
          <w:tcPr>
            <w:tcW w:w="3175" w:type="dxa"/>
            <w:tcBorders>
              <w:top w:val="single" w:sz="4" w:space="0" w:color="A6A6A6" w:themeColor="background1" w:themeShade="A6"/>
            </w:tcBorders>
          </w:tcPr>
          <w:p w14:paraId="20F7C32C" w14:textId="77777777" w:rsidR="005B131E" w:rsidRPr="00BA7805" w:rsidRDefault="005B131E" w:rsidP="002542E1">
            <w:pPr>
              <w:pStyle w:val="ARfintablebody"/>
              <w:spacing w:before="30" w:line="240" w:lineRule="auto"/>
              <w:rPr>
                <w:highlight w:val="green"/>
              </w:rPr>
            </w:pPr>
            <w:r w:rsidRPr="00940197">
              <w:t>Other changes</w:t>
            </w:r>
          </w:p>
        </w:tc>
        <w:tc>
          <w:tcPr>
            <w:tcW w:w="1077" w:type="dxa"/>
            <w:tcBorders>
              <w:top w:val="single" w:sz="4" w:space="0" w:color="A6A6A6" w:themeColor="background1" w:themeShade="A6"/>
            </w:tcBorders>
            <w:shd w:val="clear" w:color="auto" w:fill="E7E6E6" w:themeFill="accent4"/>
            <w:noWrap/>
          </w:tcPr>
          <w:p w14:paraId="5C073291" w14:textId="77777777" w:rsidR="005B131E" w:rsidRPr="00BA7805" w:rsidRDefault="005B131E" w:rsidP="002542E1">
            <w:pPr>
              <w:pStyle w:val="ARfintablebodyright"/>
              <w:spacing w:before="30" w:line="240" w:lineRule="auto"/>
              <w:rPr>
                <w:highlight w:val="green"/>
              </w:rPr>
            </w:pPr>
            <w:r w:rsidRPr="00940197">
              <w:t>0.8</w:t>
            </w:r>
          </w:p>
        </w:tc>
        <w:tc>
          <w:tcPr>
            <w:tcW w:w="1077" w:type="dxa"/>
            <w:tcBorders>
              <w:top w:val="single" w:sz="4" w:space="0" w:color="A6A6A6" w:themeColor="background1" w:themeShade="A6"/>
            </w:tcBorders>
            <w:noWrap/>
          </w:tcPr>
          <w:p w14:paraId="1B2BDEBD" w14:textId="77777777" w:rsidR="005B131E" w:rsidRPr="00BA7805" w:rsidRDefault="005B131E" w:rsidP="002542E1">
            <w:pPr>
              <w:pStyle w:val="ARfintablebodyright"/>
              <w:spacing w:before="30" w:line="240" w:lineRule="auto"/>
              <w:rPr>
                <w:highlight w:val="green"/>
              </w:rPr>
            </w:pPr>
            <w:r w:rsidRPr="00940197">
              <w:t>13.5</w:t>
            </w:r>
          </w:p>
        </w:tc>
        <w:tc>
          <w:tcPr>
            <w:tcW w:w="1077" w:type="dxa"/>
            <w:tcBorders>
              <w:top w:val="single" w:sz="4" w:space="0" w:color="A6A6A6" w:themeColor="background1" w:themeShade="A6"/>
            </w:tcBorders>
            <w:shd w:val="clear" w:color="auto" w:fill="E7E6E6" w:themeFill="accent4"/>
            <w:noWrap/>
          </w:tcPr>
          <w:p w14:paraId="7D0CA803"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tcBorders>
            <w:noWrap/>
          </w:tcPr>
          <w:p w14:paraId="6996737F"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tcBorders>
            <w:shd w:val="clear" w:color="auto" w:fill="E7E6E6" w:themeFill="accent4"/>
            <w:noWrap/>
          </w:tcPr>
          <w:p w14:paraId="4BD9CB71"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tcBorders>
            <w:noWrap/>
          </w:tcPr>
          <w:p w14:paraId="7D5E9500" w14:textId="77777777" w:rsidR="005B131E" w:rsidRPr="00BA7805" w:rsidRDefault="005B131E" w:rsidP="002542E1">
            <w:pPr>
              <w:pStyle w:val="ARfintablebodyright"/>
              <w:spacing w:before="30" w:line="240" w:lineRule="auto"/>
              <w:rPr>
                <w:highlight w:val="green"/>
              </w:rPr>
            </w:pPr>
            <w:r w:rsidRPr="00940197">
              <w:t>14.3</w:t>
            </w:r>
          </w:p>
        </w:tc>
      </w:tr>
      <w:tr w:rsidR="005B131E" w:rsidRPr="00BA7805" w14:paraId="5A12831F" w14:textId="77777777" w:rsidTr="002542E1">
        <w:trPr>
          <w:trHeight w:val="255"/>
        </w:trPr>
        <w:tc>
          <w:tcPr>
            <w:tcW w:w="3175" w:type="dxa"/>
          </w:tcPr>
          <w:p w14:paraId="489EF5D5" w14:textId="77777777" w:rsidR="005B131E" w:rsidRPr="00BA7805" w:rsidRDefault="005B131E" w:rsidP="002542E1">
            <w:pPr>
              <w:pStyle w:val="ARfintablebodybold"/>
              <w:spacing w:before="30" w:line="240" w:lineRule="auto"/>
              <w:rPr>
                <w:highlight w:val="green"/>
              </w:rPr>
            </w:pPr>
            <w:r w:rsidRPr="00940197">
              <w:t>Balance at 1 July 2023</w:t>
            </w:r>
          </w:p>
        </w:tc>
        <w:tc>
          <w:tcPr>
            <w:tcW w:w="1077" w:type="dxa"/>
            <w:shd w:val="clear" w:color="auto" w:fill="E7E6E6" w:themeFill="accent4"/>
            <w:noWrap/>
          </w:tcPr>
          <w:p w14:paraId="1549B669" w14:textId="77777777" w:rsidR="005B131E" w:rsidRPr="00BA7805" w:rsidRDefault="005B131E" w:rsidP="002542E1">
            <w:pPr>
              <w:pStyle w:val="ARfintablebodyrightbold"/>
              <w:spacing w:before="30" w:line="240" w:lineRule="auto"/>
              <w:rPr>
                <w:highlight w:val="green"/>
              </w:rPr>
            </w:pPr>
            <w:r w:rsidRPr="00940197">
              <w:t>24,142.2</w:t>
            </w:r>
          </w:p>
        </w:tc>
        <w:tc>
          <w:tcPr>
            <w:tcW w:w="1077" w:type="dxa"/>
            <w:noWrap/>
          </w:tcPr>
          <w:p w14:paraId="47E79F4E" w14:textId="77777777" w:rsidR="005B131E" w:rsidRPr="00BA7805" w:rsidRDefault="005B131E" w:rsidP="002542E1">
            <w:pPr>
              <w:pStyle w:val="ARfintablebodyrightbold"/>
              <w:spacing w:before="30" w:line="240" w:lineRule="auto"/>
              <w:rPr>
                <w:highlight w:val="green"/>
              </w:rPr>
            </w:pPr>
            <w:r w:rsidRPr="00940197">
              <w:t>11,388.4</w:t>
            </w:r>
          </w:p>
        </w:tc>
        <w:tc>
          <w:tcPr>
            <w:tcW w:w="1077" w:type="dxa"/>
            <w:shd w:val="clear" w:color="auto" w:fill="E7E6E6" w:themeFill="accent4"/>
            <w:noWrap/>
          </w:tcPr>
          <w:p w14:paraId="1BD73FEA" w14:textId="77777777" w:rsidR="005B131E" w:rsidRPr="00BA7805" w:rsidRDefault="005B131E" w:rsidP="002542E1">
            <w:pPr>
              <w:pStyle w:val="ARfintablebodyrightbold"/>
              <w:spacing w:before="30" w:line="240" w:lineRule="auto"/>
              <w:rPr>
                <w:highlight w:val="green"/>
              </w:rPr>
            </w:pPr>
            <w:r w:rsidRPr="00940197">
              <w:t>0.2</w:t>
            </w:r>
          </w:p>
        </w:tc>
        <w:tc>
          <w:tcPr>
            <w:tcW w:w="1077" w:type="dxa"/>
            <w:noWrap/>
          </w:tcPr>
          <w:p w14:paraId="2BBBBFE9" w14:textId="77777777" w:rsidR="005B131E" w:rsidRPr="00BA7805" w:rsidRDefault="005B131E" w:rsidP="002542E1">
            <w:pPr>
              <w:pStyle w:val="ARfintablebodyrightbold"/>
              <w:spacing w:before="30" w:line="240" w:lineRule="auto"/>
              <w:rPr>
                <w:highlight w:val="green"/>
              </w:rPr>
            </w:pPr>
            <w:r w:rsidRPr="00940197">
              <w:t>32.2</w:t>
            </w:r>
          </w:p>
        </w:tc>
        <w:tc>
          <w:tcPr>
            <w:tcW w:w="1077" w:type="dxa"/>
            <w:shd w:val="clear" w:color="auto" w:fill="E7E6E6" w:themeFill="accent4"/>
            <w:noWrap/>
          </w:tcPr>
          <w:p w14:paraId="5CBE278F" w14:textId="77777777" w:rsidR="005B131E" w:rsidRPr="00BA7805" w:rsidRDefault="005B131E" w:rsidP="002542E1">
            <w:pPr>
              <w:pStyle w:val="ARfintablebodyrightbold"/>
              <w:spacing w:before="30" w:line="240" w:lineRule="auto"/>
              <w:rPr>
                <w:highlight w:val="green"/>
              </w:rPr>
            </w:pPr>
            <w:r w:rsidRPr="00940197">
              <w:t>1,316.3</w:t>
            </w:r>
          </w:p>
        </w:tc>
        <w:tc>
          <w:tcPr>
            <w:tcW w:w="1077" w:type="dxa"/>
            <w:noWrap/>
          </w:tcPr>
          <w:p w14:paraId="06007198" w14:textId="77777777" w:rsidR="005B131E" w:rsidRPr="00BA7805" w:rsidRDefault="005B131E" w:rsidP="002542E1">
            <w:pPr>
              <w:pStyle w:val="ARfintablebodyrightbold"/>
              <w:spacing w:before="30" w:line="240" w:lineRule="auto"/>
              <w:rPr>
                <w:highlight w:val="green"/>
              </w:rPr>
            </w:pPr>
            <w:r w:rsidRPr="00940197">
              <w:t>36,879.3</w:t>
            </w:r>
          </w:p>
        </w:tc>
      </w:tr>
      <w:tr w:rsidR="005B131E" w:rsidRPr="00BA7805" w14:paraId="29882A1C" w14:textId="77777777" w:rsidTr="002542E1">
        <w:tc>
          <w:tcPr>
            <w:tcW w:w="3175" w:type="dxa"/>
            <w:tcBorders>
              <w:top w:val="single" w:sz="4" w:space="0" w:color="A6A6A6" w:themeColor="background1" w:themeShade="A6"/>
              <w:bottom w:val="single" w:sz="4" w:space="0" w:color="A6A6A6" w:themeColor="background1" w:themeShade="A6"/>
            </w:tcBorders>
          </w:tcPr>
          <w:p w14:paraId="133D313A" w14:textId="77777777" w:rsidR="005B131E" w:rsidRPr="00BA7805" w:rsidRDefault="005B131E" w:rsidP="002542E1">
            <w:pPr>
              <w:pStyle w:val="ARfintablebody"/>
              <w:spacing w:before="30" w:line="240" w:lineRule="auto"/>
              <w:rPr>
                <w:highlight w:val="green"/>
              </w:rPr>
            </w:pPr>
            <w:r w:rsidRPr="00940197">
              <w:t>Additions</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D96464D" w14:textId="77777777" w:rsidR="005B131E" w:rsidRPr="00BA7805" w:rsidRDefault="005B131E" w:rsidP="002542E1">
            <w:pPr>
              <w:pStyle w:val="ARfintablebodyright"/>
              <w:spacing w:before="30" w:line="240" w:lineRule="auto"/>
              <w:rPr>
                <w:highlight w:val="green"/>
              </w:rPr>
            </w:pPr>
            <w:r w:rsidRPr="00940197">
              <w:t>0.3</w:t>
            </w:r>
          </w:p>
        </w:tc>
        <w:tc>
          <w:tcPr>
            <w:tcW w:w="1077" w:type="dxa"/>
            <w:tcBorders>
              <w:top w:val="single" w:sz="4" w:space="0" w:color="A6A6A6" w:themeColor="background1" w:themeShade="A6"/>
              <w:bottom w:val="single" w:sz="4" w:space="0" w:color="A6A6A6" w:themeColor="background1" w:themeShade="A6"/>
            </w:tcBorders>
            <w:noWrap/>
          </w:tcPr>
          <w:p w14:paraId="7913D5B4" w14:textId="77777777" w:rsidR="005B131E" w:rsidRPr="00BA7805" w:rsidRDefault="005B131E" w:rsidP="002542E1">
            <w:pPr>
              <w:pStyle w:val="ARfintablebodyright"/>
              <w:spacing w:before="30" w:line="240" w:lineRule="auto"/>
              <w:rPr>
                <w:highlight w:val="green"/>
              </w:rPr>
            </w:pPr>
            <w:r w:rsidRPr="00940197">
              <w:t>4.4</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08FA6383" w14:textId="77777777" w:rsidR="005B131E" w:rsidRPr="00BA7805" w:rsidRDefault="005B131E" w:rsidP="002542E1">
            <w:pPr>
              <w:pStyle w:val="ARfintablebodyright"/>
              <w:spacing w:before="30" w:line="240" w:lineRule="auto"/>
              <w:rPr>
                <w:highlight w:val="green"/>
              </w:rPr>
            </w:pPr>
            <w:r w:rsidRPr="00940197">
              <w:t>0.3</w:t>
            </w:r>
          </w:p>
        </w:tc>
        <w:tc>
          <w:tcPr>
            <w:tcW w:w="1077" w:type="dxa"/>
            <w:tcBorders>
              <w:top w:val="single" w:sz="4" w:space="0" w:color="A6A6A6" w:themeColor="background1" w:themeShade="A6"/>
              <w:bottom w:val="single" w:sz="4" w:space="0" w:color="A6A6A6" w:themeColor="background1" w:themeShade="A6"/>
            </w:tcBorders>
            <w:noWrap/>
          </w:tcPr>
          <w:p w14:paraId="08C85BA8" w14:textId="77777777" w:rsidR="005B131E" w:rsidRPr="00BA7805" w:rsidRDefault="005B131E" w:rsidP="002542E1">
            <w:pPr>
              <w:pStyle w:val="ARfintablebodyright"/>
              <w:spacing w:before="30" w:line="240" w:lineRule="auto"/>
              <w:rPr>
                <w:highlight w:val="green"/>
              </w:rPr>
            </w:pPr>
            <w:r w:rsidRPr="00940197">
              <w:t>19.3</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0970DEF4" w14:textId="77777777" w:rsidR="005B131E" w:rsidRPr="00BA7805" w:rsidRDefault="005B131E" w:rsidP="002542E1">
            <w:pPr>
              <w:pStyle w:val="ARfintablebodyright"/>
              <w:spacing w:before="30" w:line="240" w:lineRule="auto"/>
              <w:rPr>
                <w:highlight w:val="green"/>
              </w:rPr>
            </w:pPr>
            <w:r w:rsidRPr="00940197">
              <w:t>1,057.0</w:t>
            </w:r>
          </w:p>
        </w:tc>
        <w:tc>
          <w:tcPr>
            <w:tcW w:w="1077" w:type="dxa"/>
            <w:tcBorders>
              <w:top w:val="single" w:sz="4" w:space="0" w:color="A6A6A6" w:themeColor="background1" w:themeShade="A6"/>
              <w:bottom w:val="single" w:sz="4" w:space="0" w:color="A6A6A6" w:themeColor="background1" w:themeShade="A6"/>
            </w:tcBorders>
            <w:noWrap/>
          </w:tcPr>
          <w:p w14:paraId="4A25DC7B" w14:textId="77777777" w:rsidR="005B131E" w:rsidRPr="00BA7805" w:rsidRDefault="005B131E" w:rsidP="002542E1">
            <w:pPr>
              <w:pStyle w:val="ARfintablebodyright"/>
              <w:spacing w:before="30" w:line="240" w:lineRule="auto"/>
              <w:rPr>
                <w:highlight w:val="green"/>
              </w:rPr>
            </w:pPr>
            <w:r w:rsidRPr="00940197">
              <w:t>1,081.3</w:t>
            </w:r>
          </w:p>
        </w:tc>
      </w:tr>
      <w:tr w:rsidR="005B131E" w:rsidRPr="00BA7805" w14:paraId="41CAEE2B" w14:textId="77777777" w:rsidTr="002542E1">
        <w:tc>
          <w:tcPr>
            <w:tcW w:w="3175" w:type="dxa"/>
            <w:tcBorders>
              <w:top w:val="single" w:sz="4" w:space="0" w:color="A6A6A6" w:themeColor="background1" w:themeShade="A6"/>
              <w:bottom w:val="single" w:sz="4" w:space="0" w:color="A6A6A6" w:themeColor="background1" w:themeShade="A6"/>
            </w:tcBorders>
          </w:tcPr>
          <w:p w14:paraId="67C43C53" w14:textId="77777777" w:rsidR="005B131E" w:rsidRPr="00BA7805" w:rsidRDefault="005B131E" w:rsidP="002542E1">
            <w:pPr>
              <w:pStyle w:val="ARfintablebody"/>
              <w:spacing w:before="30" w:line="240" w:lineRule="auto"/>
              <w:rPr>
                <w:highlight w:val="green"/>
              </w:rPr>
            </w:pPr>
            <w:r w:rsidRPr="00940197">
              <w:t>Disposals</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6E4B3948" w14:textId="77777777" w:rsidR="005B131E" w:rsidRPr="00BA7805" w:rsidRDefault="005B131E" w:rsidP="002542E1">
            <w:pPr>
              <w:pStyle w:val="ARfintablebodyright"/>
              <w:spacing w:before="30" w:line="240" w:lineRule="auto"/>
              <w:rPr>
                <w:highlight w:val="green"/>
              </w:rPr>
            </w:pPr>
            <w:r w:rsidRPr="00940197">
              <w:t>(111.9)</w:t>
            </w:r>
          </w:p>
        </w:tc>
        <w:tc>
          <w:tcPr>
            <w:tcW w:w="1077" w:type="dxa"/>
            <w:tcBorders>
              <w:top w:val="single" w:sz="4" w:space="0" w:color="A6A6A6" w:themeColor="background1" w:themeShade="A6"/>
              <w:bottom w:val="single" w:sz="4" w:space="0" w:color="A6A6A6" w:themeColor="background1" w:themeShade="A6"/>
            </w:tcBorders>
            <w:noWrap/>
          </w:tcPr>
          <w:p w14:paraId="56E16608" w14:textId="77777777" w:rsidR="005B131E" w:rsidRPr="00BA7805" w:rsidRDefault="005B131E" w:rsidP="002542E1">
            <w:pPr>
              <w:pStyle w:val="ARfintablebodyright"/>
              <w:spacing w:before="30" w:line="240" w:lineRule="auto"/>
              <w:rPr>
                <w:highlight w:val="green"/>
              </w:rPr>
            </w:pPr>
            <w:r w:rsidRPr="00940197">
              <w:t>(169.4)</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01429E2"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409788EF" w14:textId="77777777" w:rsidR="005B131E" w:rsidRPr="00BA7805" w:rsidRDefault="005B131E" w:rsidP="002542E1">
            <w:pPr>
              <w:pStyle w:val="ARfintablebodyright"/>
              <w:spacing w:before="30" w:line="240" w:lineRule="auto"/>
              <w:rPr>
                <w:highlight w:val="green"/>
              </w:rPr>
            </w:pPr>
            <w:r w:rsidRPr="00940197">
              <w:t>(6.3)</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106D1DC1"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451B424A" w14:textId="77777777" w:rsidR="005B131E" w:rsidRPr="00BA7805" w:rsidRDefault="005B131E" w:rsidP="002542E1">
            <w:pPr>
              <w:pStyle w:val="ARfintablebodyright"/>
              <w:spacing w:before="30" w:line="240" w:lineRule="auto"/>
              <w:rPr>
                <w:highlight w:val="green"/>
              </w:rPr>
            </w:pPr>
            <w:r w:rsidRPr="00940197">
              <w:t>(287.7)</w:t>
            </w:r>
          </w:p>
        </w:tc>
      </w:tr>
      <w:tr w:rsidR="005B131E" w:rsidRPr="00BA7805" w14:paraId="66B6C59F" w14:textId="77777777" w:rsidTr="002542E1">
        <w:tc>
          <w:tcPr>
            <w:tcW w:w="3175" w:type="dxa"/>
            <w:tcBorders>
              <w:top w:val="single" w:sz="4" w:space="0" w:color="A6A6A6" w:themeColor="background1" w:themeShade="A6"/>
              <w:bottom w:val="single" w:sz="4" w:space="0" w:color="A6A6A6" w:themeColor="background1" w:themeShade="A6"/>
            </w:tcBorders>
          </w:tcPr>
          <w:p w14:paraId="211FC6EF" w14:textId="77777777" w:rsidR="005B131E" w:rsidRPr="00BA7805" w:rsidRDefault="005B131E" w:rsidP="002542E1">
            <w:pPr>
              <w:pStyle w:val="ARfintablebody"/>
              <w:spacing w:before="30" w:line="240" w:lineRule="auto"/>
              <w:rPr>
                <w:highlight w:val="green"/>
              </w:rPr>
            </w:pPr>
            <w:r w:rsidRPr="00940197">
              <w:t>Net revaluation increments/(decrements)</w:t>
            </w:r>
            <w:r>
              <w:t xml:space="preserve"> </w:t>
            </w:r>
            <w:r w:rsidRPr="00DA2FA1">
              <w:rPr>
                <w:vertAlign w:val="superscript"/>
              </w:rPr>
              <w:t>(i)</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B1F7419" w14:textId="77777777" w:rsidR="005B131E" w:rsidRPr="00BA7805" w:rsidRDefault="005B131E" w:rsidP="002542E1">
            <w:pPr>
              <w:pStyle w:val="ARfintablebodyright"/>
              <w:spacing w:before="30" w:line="240" w:lineRule="auto"/>
              <w:rPr>
                <w:highlight w:val="green"/>
              </w:rPr>
            </w:pPr>
            <w:r w:rsidRPr="00940197">
              <w:t>26.3</w:t>
            </w:r>
          </w:p>
        </w:tc>
        <w:tc>
          <w:tcPr>
            <w:tcW w:w="1077" w:type="dxa"/>
            <w:tcBorders>
              <w:top w:val="single" w:sz="4" w:space="0" w:color="A6A6A6" w:themeColor="background1" w:themeShade="A6"/>
              <w:bottom w:val="single" w:sz="4" w:space="0" w:color="A6A6A6" w:themeColor="background1" w:themeShade="A6"/>
            </w:tcBorders>
            <w:noWrap/>
          </w:tcPr>
          <w:p w14:paraId="60B5C28A" w14:textId="77777777" w:rsidR="005B131E" w:rsidRPr="00BA7805" w:rsidRDefault="005B131E" w:rsidP="002542E1">
            <w:pPr>
              <w:pStyle w:val="ARfintablebodyright"/>
              <w:spacing w:before="30" w:line="240" w:lineRule="auto"/>
              <w:rPr>
                <w:highlight w:val="green"/>
              </w:rPr>
            </w:pPr>
            <w:r w:rsidRPr="00940197">
              <w:t>1,150.2</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7F511B5"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4FB523F8"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7331CB6A" w14:textId="77777777" w:rsidR="005B131E" w:rsidRPr="00BA7805" w:rsidRDefault="005B131E" w:rsidP="002542E1">
            <w:pPr>
              <w:pStyle w:val="ARfintablebodyright"/>
              <w:spacing w:before="30" w:line="240" w:lineRule="auto"/>
              <w:rPr>
                <w:highlight w:val="green"/>
              </w:rPr>
            </w:pPr>
            <w:r w:rsidRPr="00940197">
              <w:t>8.3</w:t>
            </w:r>
          </w:p>
        </w:tc>
        <w:tc>
          <w:tcPr>
            <w:tcW w:w="1077" w:type="dxa"/>
            <w:tcBorders>
              <w:top w:val="single" w:sz="4" w:space="0" w:color="A6A6A6" w:themeColor="background1" w:themeShade="A6"/>
              <w:bottom w:val="single" w:sz="4" w:space="0" w:color="A6A6A6" w:themeColor="background1" w:themeShade="A6"/>
            </w:tcBorders>
            <w:noWrap/>
          </w:tcPr>
          <w:p w14:paraId="5855980B" w14:textId="77777777" w:rsidR="005B131E" w:rsidRPr="00BA7805" w:rsidRDefault="005B131E" w:rsidP="002542E1">
            <w:pPr>
              <w:pStyle w:val="ARfintablebodyright"/>
              <w:spacing w:before="30" w:line="240" w:lineRule="auto"/>
              <w:rPr>
                <w:highlight w:val="green"/>
              </w:rPr>
            </w:pPr>
            <w:r w:rsidRPr="00940197">
              <w:t>1,184.8</w:t>
            </w:r>
          </w:p>
        </w:tc>
      </w:tr>
      <w:tr w:rsidR="005B131E" w:rsidRPr="00BA7805" w14:paraId="083EFCAF" w14:textId="77777777" w:rsidTr="002542E1">
        <w:tc>
          <w:tcPr>
            <w:tcW w:w="3175" w:type="dxa"/>
            <w:tcBorders>
              <w:top w:val="single" w:sz="4" w:space="0" w:color="A6A6A6" w:themeColor="background1" w:themeShade="A6"/>
              <w:bottom w:val="single" w:sz="4" w:space="0" w:color="A6A6A6" w:themeColor="background1" w:themeShade="A6"/>
            </w:tcBorders>
          </w:tcPr>
          <w:p w14:paraId="0CC8469F" w14:textId="77777777" w:rsidR="005B131E" w:rsidRPr="00BA7805" w:rsidRDefault="005B131E" w:rsidP="002542E1">
            <w:pPr>
              <w:pStyle w:val="ARfintablebody"/>
              <w:spacing w:before="30" w:line="240" w:lineRule="auto"/>
              <w:rPr>
                <w:highlight w:val="green"/>
              </w:rPr>
            </w:pPr>
            <w:r w:rsidRPr="00940197">
              <w:t>Depreciation and amortisation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7A49FDC7" w14:textId="77777777" w:rsidR="005B131E" w:rsidRPr="00BA7805" w:rsidRDefault="005B131E" w:rsidP="002542E1">
            <w:pPr>
              <w:pStyle w:val="ARfintablebodyright"/>
              <w:spacing w:before="30" w:line="240" w:lineRule="auto"/>
              <w:rPr>
                <w:highlight w:val="green"/>
              </w:rPr>
            </w:pPr>
            <w:r w:rsidRPr="00940197">
              <w:t>(0.9)</w:t>
            </w:r>
          </w:p>
        </w:tc>
        <w:tc>
          <w:tcPr>
            <w:tcW w:w="1077" w:type="dxa"/>
            <w:tcBorders>
              <w:top w:val="single" w:sz="4" w:space="0" w:color="A6A6A6" w:themeColor="background1" w:themeShade="A6"/>
              <w:bottom w:val="single" w:sz="4" w:space="0" w:color="A6A6A6" w:themeColor="background1" w:themeShade="A6"/>
            </w:tcBorders>
            <w:noWrap/>
          </w:tcPr>
          <w:p w14:paraId="0399A818" w14:textId="77777777" w:rsidR="005B131E" w:rsidRPr="00BA7805" w:rsidRDefault="005B131E" w:rsidP="002542E1">
            <w:pPr>
              <w:pStyle w:val="ARfintablebodyright"/>
              <w:spacing w:before="30" w:line="240" w:lineRule="auto"/>
              <w:rPr>
                <w:highlight w:val="green"/>
              </w:rPr>
            </w:pPr>
            <w:r w:rsidRPr="00940197">
              <w:t>(379.7)</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8D24A4E" w14:textId="77777777" w:rsidR="005B131E" w:rsidRPr="00BA7805" w:rsidRDefault="005B131E" w:rsidP="002542E1">
            <w:pPr>
              <w:pStyle w:val="ARfintablebodyright"/>
              <w:spacing w:before="30" w:line="240" w:lineRule="auto"/>
              <w:rPr>
                <w:highlight w:val="green"/>
              </w:rPr>
            </w:pPr>
            <w:r w:rsidRPr="00940197">
              <w:t>(0.1)</w:t>
            </w:r>
          </w:p>
        </w:tc>
        <w:tc>
          <w:tcPr>
            <w:tcW w:w="1077" w:type="dxa"/>
            <w:tcBorders>
              <w:top w:val="single" w:sz="4" w:space="0" w:color="A6A6A6" w:themeColor="background1" w:themeShade="A6"/>
              <w:bottom w:val="single" w:sz="4" w:space="0" w:color="A6A6A6" w:themeColor="background1" w:themeShade="A6"/>
            </w:tcBorders>
            <w:noWrap/>
          </w:tcPr>
          <w:p w14:paraId="767964E7" w14:textId="77777777" w:rsidR="005B131E" w:rsidRPr="00BA7805" w:rsidRDefault="005B131E" w:rsidP="002542E1">
            <w:pPr>
              <w:pStyle w:val="ARfintablebodyright"/>
              <w:spacing w:before="30" w:line="240" w:lineRule="auto"/>
              <w:rPr>
                <w:highlight w:val="green"/>
              </w:rPr>
            </w:pPr>
            <w:r w:rsidRPr="00940197">
              <w:t>(6.9)</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A20F891"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4DEC95E3" w14:textId="77777777" w:rsidR="005B131E" w:rsidRPr="00BA7805" w:rsidRDefault="005B131E" w:rsidP="002542E1">
            <w:pPr>
              <w:pStyle w:val="ARfintablebodyright"/>
              <w:spacing w:before="30" w:line="240" w:lineRule="auto"/>
              <w:rPr>
                <w:highlight w:val="green"/>
              </w:rPr>
            </w:pPr>
            <w:r w:rsidRPr="00940197">
              <w:t>(387.6)</w:t>
            </w:r>
          </w:p>
        </w:tc>
      </w:tr>
      <w:tr w:rsidR="005B131E" w:rsidRPr="00BA7805" w14:paraId="354A3F5E" w14:textId="77777777" w:rsidTr="002542E1">
        <w:tc>
          <w:tcPr>
            <w:tcW w:w="3175" w:type="dxa"/>
            <w:tcBorders>
              <w:top w:val="single" w:sz="4" w:space="0" w:color="A6A6A6" w:themeColor="background1" w:themeShade="A6"/>
              <w:bottom w:val="single" w:sz="4" w:space="0" w:color="A6A6A6" w:themeColor="background1" w:themeShade="A6"/>
            </w:tcBorders>
          </w:tcPr>
          <w:p w14:paraId="73708988" w14:textId="77777777" w:rsidR="005B131E" w:rsidRPr="00BA7805" w:rsidRDefault="005B131E" w:rsidP="002542E1">
            <w:pPr>
              <w:pStyle w:val="ARfintablebody"/>
              <w:spacing w:before="30" w:line="240" w:lineRule="auto"/>
              <w:rPr>
                <w:highlight w:val="green"/>
              </w:rPr>
            </w:pPr>
            <w:r w:rsidRPr="00940197">
              <w:t>Fair value of assets received free of charge or for nominal consideration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F591CF1" w14:textId="77777777" w:rsidR="005B131E" w:rsidRPr="00BA7805" w:rsidRDefault="005B131E" w:rsidP="002542E1">
            <w:pPr>
              <w:pStyle w:val="ARfintablebodyright"/>
              <w:spacing w:before="30" w:line="240" w:lineRule="auto"/>
              <w:rPr>
                <w:highlight w:val="green"/>
              </w:rPr>
            </w:pPr>
            <w:r w:rsidRPr="00940197">
              <w:t>1.4</w:t>
            </w:r>
          </w:p>
        </w:tc>
        <w:tc>
          <w:tcPr>
            <w:tcW w:w="1077" w:type="dxa"/>
            <w:tcBorders>
              <w:top w:val="single" w:sz="4" w:space="0" w:color="A6A6A6" w:themeColor="background1" w:themeShade="A6"/>
              <w:bottom w:val="single" w:sz="4" w:space="0" w:color="A6A6A6" w:themeColor="background1" w:themeShade="A6"/>
            </w:tcBorders>
            <w:noWrap/>
          </w:tcPr>
          <w:p w14:paraId="58B8312D" w14:textId="77777777" w:rsidR="005B131E" w:rsidRPr="00BA7805" w:rsidRDefault="005B131E" w:rsidP="002542E1">
            <w:pPr>
              <w:pStyle w:val="ARfintablebodyright"/>
              <w:spacing w:before="30" w:line="240" w:lineRule="auto"/>
              <w:rPr>
                <w:highlight w:val="green"/>
              </w:rPr>
            </w:pPr>
            <w:r w:rsidRPr="00940197">
              <w:t>1.8</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D436D35"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0EC14646" w14:textId="77777777" w:rsidR="005B131E" w:rsidRPr="00BA7805" w:rsidRDefault="005B131E" w:rsidP="002542E1">
            <w:pPr>
              <w:pStyle w:val="ARfintablebodyright"/>
              <w:spacing w:before="30" w:line="240" w:lineRule="auto"/>
              <w:rPr>
                <w:highlight w:val="green"/>
              </w:rPr>
            </w:pPr>
            <w:r w:rsidRPr="00940197">
              <w:t>0.5</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7B1B1DD"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67013B3B" w14:textId="77777777" w:rsidR="005B131E" w:rsidRPr="00BA7805" w:rsidRDefault="005B131E" w:rsidP="002542E1">
            <w:pPr>
              <w:pStyle w:val="ARfintablebodyright"/>
              <w:spacing w:before="30" w:line="240" w:lineRule="auto"/>
              <w:rPr>
                <w:highlight w:val="green"/>
              </w:rPr>
            </w:pPr>
            <w:r w:rsidRPr="00940197">
              <w:t>3.7</w:t>
            </w:r>
          </w:p>
        </w:tc>
      </w:tr>
      <w:tr w:rsidR="005B131E" w:rsidRPr="00BA7805" w14:paraId="1C191071" w14:textId="77777777" w:rsidTr="002542E1">
        <w:tc>
          <w:tcPr>
            <w:tcW w:w="3175" w:type="dxa"/>
            <w:tcBorders>
              <w:top w:val="single" w:sz="4" w:space="0" w:color="A6A6A6" w:themeColor="background1" w:themeShade="A6"/>
              <w:bottom w:val="single" w:sz="4" w:space="0" w:color="A6A6A6" w:themeColor="background1" w:themeShade="A6"/>
            </w:tcBorders>
          </w:tcPr>
          <w:p w14:paraId="7C6DD96E" w14:textId="77777777" w:rsidR="005B131E" w:rsidRPr="00BA7805" w:rsidRDefault="005B131E" w:rsidP="002542E1">
            <w:pPr>
              <w:pStyle w:val="ARfintablebody"/>
              <w:spacing w:before="30" w:line="240" w:lineRule="auto"/>
              <w:rPr>
                <w:highlight w:val="green"/>
              </w:rPr>
            </w:pPr>
            <w:r w:rsidRPr="00940197">
              <w:t>Fair value of assets provided free of charge or for nominal consideration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1D3B3A76" w14:textId="77777777" w:rsidR="005B131E" w:rsidRPr="00BA7805" w:rsidRDefault="005B131E" w:rsidP="002542E1">
            <w:pPr>
              <w:pStyle w:val="ARfintablebodyright"/>
              <w:spacing w:before="30" w:line="240" w:lineRule="auto"/>
              <w:rPr>
                <w:highlight w:val="green"/>
              </w:rPr>
            </w:pPr>
            <w:r w:rsidRPr="00940197">
              <w:t>(1.4)</w:t>
            </w:r>
          </w:p>
        </w:tc>
        <w:tc>
          <w:tcPr>
            <w:tcW w:w="1077" w:type="dxa"/>
            <w:tcBorders>
              <w:top w:val="single" w:sz="4" w:space="0" w:color="A6A6A6" w:themeColor="background1" w:themeShade="A6"/>
              <w:bottom w:val="single" w:sz="4" w:space="0" w:color="A6A6A6" w:themeColor="background1" w:themeShade="A6"/>
            </w:tcBorders>
            <w:noWrap/>
          </w:tcPr>
          <w:p w14:paraId="043E911F" w14:textId="77777777" w:rsidR="005B131E" w:rsidRPr="00BA7805" w:rsidRDefault="005B131E" w:rsidP="002542E1">
            <w:pPr>
              <w:pStyle w:val="ARfintablebodyright"/>
              <w:spacing w:before="30" w:line="240" w:lineRule="auto"/>
              <w:rPr>
                <w:highlight w:val="green"/>
              </w:rPr>
            </w:pPr>
            <w:r w:rsidRPr="00940197">
              <w:t>(1.8)</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6F51F3FA"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3609B3FC" w14:textId="77777777" w:rsidR="005B131E" w:rsidRPr="00BA7805" w:rsidRDefault="005B131E" w:rsidP="002542E1">
            <w:pPr>
              <w:pStyle w:val="ARfintablebodyright"/>
              <w:spacing w:before="30" w:line="240" w:lineRule="auto"/>
              <w:rPr>
                <w:highlight w:val="green"/>
              </w:rPr>
            </w:pPr>
            <w:r w:rsidRPr="00940197">
              <w:t>(0.5)</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D4A8F42" w14:textId="77777777" w:rsidR="005B131E" w:rsidRPr="00BA7805" w:rsidRDefault="005B131E" w:rsidP="002542E1">
            <w:pPr>
              <w:pStyle w:val="ARfintablebodyright"/>
              <w:spacing w:before="30" w:line="240" w:lineRule="auto"/>
              <w:rPr>
                <w:highlight w:val="green"/>
              </w:rPr>
            </w:pPr>
            <w:r w:rsidRPr="00940197">
              <w:t>(3.2)</w:t>
            </w:r>
          </w:p>
        </w:tc>
        <w:tc>
          <w:tcPr>
            <w:tcW w:w="1077" w:type="dxa"/>
            <w:tcBorders>
              <w:top w:val="single" w:sz="4" w:space="0" w:color="A6A6A6" w:themeColor="background1" w:themeShade="A6"/>
              <w:bottom w:val="single" w:sz="4" w:space="0" w:color="A6A6A6" w:themeColor="background1" w:themeShade="A6"/>
            </w:tcBorders>
            <w:noWrap/>
          </w:tcPr>
          <w:p w14:paraId="2066A01C" w14:textId="77777777" w:rsidR="005B131E" w:rsidRPr="00BA7805" w:rsidRDefault="005B131E" w:rsidP="002542E1">
            <w:pPr>
              <w:pStyle w:val="ARfintablebodyright"/>
              <w:spacing w:before="30" w:line="240" w:lineRule="auto"/>
              <w:rPr>
                <w:highlight w:val="green"/>
              </w:rPr>
            </w:pPr>
            <w:r w:rsidRPr="00940197">
              <w:t>(6.8)</w:t>
            </w:r>
          </w:p>
        </w:tc>
      </w:tr>
      <w:tr w:rsidR="005B131E" w:rsidRPr="00BA7805" w14:paraId="5812585C" w14:textId="77777777" w:rsidTr="002542E1">
        <w:tc>
          <w:tcPr>
            <w:tcW w:w="3175" w:type="dxa"/>
            <w:tcBorders>
              <w:top w:val="single" w:sz="4" w:space="0" w:color="A6A6A6" w:themeColor="background1" w:themeShade="A6"/>
              <w:bottom w:val="single" w:sz="4" w:space="0" w:color="A6A6A6" w:themeColor="background1" w:themeShade="A6"/>
            </w:tcBorders>
          </w:tcPr>
          <w:p w14:paraId="0898705B" w14:textId="77777777" w:rsidR="005B131E" w:rsidRPr="00BA7805" w:rsidRDefault="005B131E" w:rsidP="002542E1">
            <w:pPr>
              <w:pStyle w:val="ARfintablebody"/>
              <w:spacing w:before="30" w:line="240" w:lineRule="auto"/>
              <w:rPr>
                <w:highlight w:val="green"/>
              </w:rPr>
            </w:pPr>
            <w:r w:rsidRPr="00940197">
              <w:t>Transfers in/(out) of assets under construction</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5B1B1A77" w14:textId="77777777" w:rsidR="005B131E" w:rsidRPr="00BA7805" w:rsidRDefault="005B131E" w:rsidP="002542E1">
            <w:pPr>
              <w:pStyle w:val="ARfintablebodyright"/>
              <w:spacing w:before="30" w:line="240" w:lineRule="auto"/>
              <w:rPr>
                <w:highlight w:val="green"/>
              </w:rPr>
            </w:pPr>
            <w:r w:rsidRPr="00940197">
              <w:t>54.5</w:t>
            </w:r>
          </w:p>
        </w:tc>
        <w:tc>
          <w:tcPr>
            <w:tcW w:w="1077" w:type="dxa"/>
            <w:tcBorders>
              <w:top w:val="single" w:sz="4" w:space="0" w:color="A6A6A6" w:themeColor="background1" w:themeShade="A6"/>
              <w:bottom w:val="single" w:sz="4" w:space="0" w:color="A6A6A6" w:themeColor="background1" w:themeShade="A6"/>
            </w:tcBorders>
            <w:noWrap/>
          </w:tcPr>
          <w:p w14:paraId="39D3250B" w14:textId="77777777" w:rsidR="005B131E" w:rsidRPr="00BA7805" w:rsidRDefault="005B131E" w:rsidP="002542E1">
            <w:pPr>
              <w:pStyle w:val="ARfintablebodyright"/>
              <w:spacing w:before="30" w:line="240" w:lineRule="auto"/>
              <w:rPr>
                <w:highlight w:val="green"/>
              </w:rPr>
            </w:pPr>
            <w:r w:rsidRPr="00940197">
              <w:t>1,148.4</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7440DA5B"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7705BA35"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31C58BD9" w14:textId="77777777" w:rsidR="005B131E" w:rsidRPr="00BA7805" w:rsidRDefault="005B131E" w:rsidP="002542E1">
            <w:pPr>
              <w:pStyle w:val="ARfintablebodyright"/>
              <w:spacing w:before="30" w:line="240" w:lineRule="auto"/>
              <w:rPr>
                <w:highlight w:val="green"/>
              </w:rPr>
            </w:pPr>
            <w:r w:rsidRPr="00940197">
              <w:t>(1,202.9)</w:t>
            </w:r>
          </w:p>
        </w:tc>
        <w:tc>
          <w:tcPr>
            <w:tcW w:w="1077" w:type="dxa"/>
            <w:tcBorders>
              <w:top w:val="single" w:sz="4" w:space="0" w:color="A6A6A6" w:themeColor="background1" w:themeShade="A6"/>
              <w:bottom w:val="single" w:sz="4" w:space="0" w:color="A6A6A6" w:themeColor="background1" w:themeShade="A6"/>
            </w:tcBorders>
            <w:noWrap/>
          </w:tcPr>
          <w:p w14:paraId="0292E2C5" w14:textId="77777777" w:rsidR="005B131E" w:rsidRPr="00BA7805" w:rsidRDefault="005B131E" w:rsidP="002542E1">
            <w:pPr>
              <w:pStyle w:val="ARfintablebodyright"/>
              <w:spacing w:before="30" w:line="240" w:lineRule="auto"/>
              <w:rPr>
                <w:highlight w:val="green"/>
              </w:rPr>
            </w:pPr>
            <w:r>
              <w:t>–</w:t>
            </w:r>
          </w:p>
        </w:tc>
      </w:tr>
      <w:tr w:rsidR="005B131E" w:rsidRPr="00BA7805" w14:paraId="571B7168" w14:textId="77777777" w:rsidTr="002542E1">
        <w:tc>
          <w:tcPr>
            <w:tcW w:w="3175" w:type="dxa"/>
            <w:tcBorders>
              <w:top w:val="single" w:sz="4" w:space="0" w:color="A6A6A6" w:themeColor="background1" w:themeShade="A6"/>
              <w:bottom w:val="single" w:sz="4" w:space="0" w:color="A6A6A6" w:themeColor="background1" w:themeShade="A6"/>
            </w:tcBorders>
          </w:tcPr>
          <w:p w14:paraId="52D4B57D" w14:textId="77777777" w:rsidR="005B131E" w:rsidRPr="00BA7805" w:rsidRDefault="005B131E" w:rsidP="002542E1">
            <w:pPr>
              <w:pStyle w:val="ARfintablebody"/>
              <w:spacing w:before="30" w:line="240" w:lineRule="auto"/>
              <w:rPr>
                <w:highlight w:val="green"/>
              </w:rPr>
            </w:pPr>
            <w:r w:rsidRPr="00940197">
              <w:t>Transfers (to)/from assets held for</w:t>
            </w:r>
            <w:r>
              <w:t> </w:t>
            </w:r>
            <w:r w:rsidRPr="00940197">
              <w:t>sale</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454354C0"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43172982" w14:textId="77777777" w:rsidR="005B131E" w:rsidRPr="00BA7805" w:rsidRDefault="005B131E" w:rsidP="002542E1">
            <w:pPr>
              <w:pStyle w:val="ARfintablebodyright"/>
              <w:spacing w:before="30" w:line="240" w:lineRule="auto"/>
              <w:rPr>
                <w:highlight w:val="green"/>
              </w:rPr>
            </w:pPr>
            <w:r w:rsidRPr="00940197">
              <w:t>(8.2)</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6AA03F4F"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20A9A6CC" w14:textId="77777777" w:rsidR="005B131E" w:rsidRPr="00BA7805" w:rsidRDefault="005B131E" w:rsidP="002542E1">
            <w:pPr>
              <w:pStyle w:val="ARfintablebodyright"/>
              <w:spacing w:before="30" w:line="240" w:lineRule="auto"/>
              <w:rPr>
                <w:highlight w:val="green"/>
              </w:rPr>
            </w:pPr>
            <w:r w:rsidRPr="00940197">
              <w:t>0.1</w:t>
            </w:r>
          </w:p>
        </w:tc>
        <w:tc>
          <w:tcPr>
            <w:tcW w:w="1077" w:type="dxa"/>
            <w:tcBorders>
              <w:top w:val="single" w:sz="4" w:space="0" w:color="A6A6A6" w:themeColor="background1" w:themeShade="A6"/>
              <w:bottom w:val="single" w:sz="4" w:space="0" w:color="A6A6A6" w:themeColor="background1" w:themeShade="A6"/>
            </w:tcBorders>
            <w:shd w:val="clear" w:color="auto" w:fill="E7E6E6" w:themeFill="accent4"/>
            <w:noWrap/>
          </w:tcPr>
          <w:p w14:paraId="2770A592"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bottom w:val="single" w:sz="4" w:space="0" w:color="A6A6A6" w:themeColor="background1" w:themeShade="A6"/>
            </w:tcBorders>
            <w:noWrap/>
          </w:tcPr>
          <w:p w14:paraId="278C9421" w14:textId="77777777" w:rsidR="005B131E" w:rsidRPr="00BA7805" w:rsidRDefault="005B131E" w:rsidP="002542E1">
            <w:pPr>
              <w:pStyle w:val="ARfintablebodyright"/>
              <w:spacing w:before="30" w:line="240" w:lineRule="auto"/>
              <w:rPr>
                <w:highlight w:val="green"/>
              </w:rPr>
            </w:pPr>
            <w:r w:rsidRPr="00940197">
              <w:t>(8.1)</w:t>
            </w:r>
          </w:p>
        </w:tc>
      </w:tr>
      <w:tr w:rsidR="005B131E" w:rsidRPr="00BA7805" w14:paraId="011AA6D7" w14:textId="77777777" w:rsidTr="002542E1">
        <w:tc>
          <w:tcPr>
            <w:tcW w:w="3175" w:type="dxa"/>
            <w:tcBorders>
              <w:top w:val="single" w:sz="4" w:space="0" w:color="A6A6A6" w:themeColor="background1" w:themeShade="A6"/>
            </w:tcBorders>
          </w:tcPr>
          <w:p w14:paraId="52DA7E31" w14:textId="77777777" w:rsidR="005B131E" w:rsidRPr="00BA7805" w:rsidRDefault="005B131E" w:rsidP="002542E1">
            <w:pPr>
              <w:pStyle w:val="ARfintablebody"/>
              <w:spacing w:before="30" w:line="240" w:lineRule="auto"/>
              <w:rPr>
                <w:highlight w:val="green"/>
              </w:rPr>
            </w:pPr>
            <w:r w:rsidRPr="00940197">
              <w:t>Other changes</w:t>
            </w:r>
          </w:p>
        </w:tc>
        <w:tc>
          <w:tcPr>
            <w:tcW w:w="1077" w:type="dxa"/>
            <w:tcBorders>
              <w:top w:val="single" w:sz="4" w:space="0" w:color="A6A6A6" w:themeColor="background1" w:themeShade="A6"/>
            </w:tcBorders>
            <w:shd w:val="clear" w:color="auto" w:fill="E7E6E6" w:themeFill="accent4"/>
            <w:noWrap/>
          </w:tcPr>
          <w:p w14:paraId="23280EB8" w14:textId="77777777" w:rsidR="005B131E" w:rsidRPr="00BA7805" w:rsidRDefault="005B131E" w:rsidP="002542E1">
            <w:pPr>
              <w:pStyle w:val="ARfintablebodyright"/>
              <w:spacing w:before="30" w:line="240" w:lineRule="auto"/>
              <w:rPr>
                <w:highlight w:val="green"/>
              </w:rPr>
            </w:pPr>
            <w:r w:rsidRPr="00940197">
              <w:t>0.1</w:t>
            </w:r>
          </w:p>
        </w:tc>
        <w:tc>
          <w:tcPr>
            <w:tcW w:w="1077" w:type="dxa"/>
            <w:tcBorders>
              <w:top w:val="single" w:sz="4" w:space="0" w:color="A6A6A6" w:themeColor="background1" w:themeShade="A6"/>
            </w:tcBorders>
            <w:noWrap/>
          </w:tcPr>
          <w:p w14:paraId="52C9786B" w14:textId="77777777" w:rsidR="005B131E" w:rsidRPr="00BA7805" w:rsidRDefault="005B131E" w:rsidP="002542E1">
            <w:pPr>
              <w:pStyle w:val="ARfintablebodyright"/>
              <w:spacing w:before="30" w:line="240" w:lineRule="auto"/>
              <w:rPr>
                <w:highlight w:val="green"/>
              </w:rPr>
            </w:pPr>
            <w:r w:rsidRPr="00940197">
              <w:t>24.7</w:t>
            </w:r>
          </w:p>
        </w:tc>
        <w:tc>
          <w:tcPr>
            <w:tcW w:w="1077" w:type="dxa"/>
            <w:tcBorders>
              <w:top w:val="single" w:sz="4" w:space="0" w:color="A6A6A6" w:themeColor="background1" w:themeShade="A6"/>
            </w:tcBorders>
            <w:shd w:val="clear" w:color="auto" w:fill="E7E6E6" w:themeFill="accent4"/>
            <w:noWrap/>
          </w:tcPr>
          <w:p w14:paraId="161D76F7"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tcBorders>
            <w:noWrap/>
          </w:tcPr>
          <w:p w14:paraId="0369B042" w14:textId="77777777" w:rsidR="005B131E" w:rsidRPr="00BA7805" w:rsidRDefault="005B131E" w:rsidP="002542E1">
            <w:pPr>
              <w:pStyle w:val="ARfintablebodyright"/>
              <w:spacing w:before="30" w:line="240" w:lineRule="auto"/>
              <w:rPr>
                <w:highlight w:val="green"/>
              </w:rPr>
            </w:pPr>
            <w:r w:rsidRPr="00940197">
              <w:t>0.7</w:t>
            </w:r>
          </w:p>
        </w:tc>
        <w:tc>
          <w:tcPr>
            <w:tcW w:w="1077" w:type="dxa"/>
            <w:tcBorders>
              <w:top w:val="single" w:sz="4" w:space="0" w:color="A6A6A6" w:themeColor="background1" w:themeShade="A6"/>
            </w:tcBorders>
            <w:shd w:val="clear" w:color="auto" w:fill="E7E6E6" w:themeFill="accent4"/>
            <w:noWrap/>
          </w:tcPr>
          <w:p w14:paraId="089B953E" w14:textId="77777777" w:rsidR="005B131E" w:rsidRPr="00BA7805" w:rsidRDefault="005B131E" w:rsidP="002542E1">
            <w:pPr>
              <w:pStyle w:val="ARfintablebodyright"/>
              <w:spacing w:before="30" w:line="240" w:lineRule="auto"/>
              <w:rPr>
                <w:highlight w:val="green"/>
              </w:rPr>
            </w:pPr>
            <w:r>
              <w:t>–</w:t>
            </w:r>
          </w:p>
        </w:tc>
        <w:tc>
          <w:tcPr>
            <w:tcW w:w="1077" w:type="dxa"/>
            <w:tcBorders>
              <w:top w:val="single" w:sz="4" w:space="0" w:color="A6A6A6" w:themeColor="background1" w:themeShade="A6"/>
            </w:tcBorders>
            <w:noWrap/>
          </w:tcPr>
          <w:p w14:paraId="53B92704" w14:textId="77777777" w:rsidR="005B131E" w:rsidRPr="00BA7805" w:rsidRDefault="005B131E" w:rsidP="002542E1">
            <w:pPr>
              <w:pStyle w:val="ARfintablebodyright"/>
              <w:spacing w:before="30" w:line="240" w:lineRule="auto"/>
              <w:rPr>
                <w:highlight w:val="green"/>
              </w:rPr>
            </w:pPr>
            <w:r w:rsidRPr="00940197">
              <w:t>25.5</w:t>
            </w:r>
          </w:p>
        </w:tc>
      </w:tr>
      <w:tr w:rsidR="005B131E" w:rsidRPr="00BA7805" w14:paraId="61B3710B" w14:textId="77777777" w:rsidTr="002542E1">
        <w:tc>
          <w:tcPr>
            <w:tcW w:w="3175" w:type="dxa"/>
          </w:tcPr>
          <w:p w14:paraId="767F262C" w14:textId="77777777" w:rsidR="005B131E" w:rsidRPr="00BA7805" w:rsidRDefault="005B131E" w:rsidP="002542E1">
            <w:pPr>
              <w:pStyle w:val="ARfintablebodybold"/>
              <w:spacing w:before="30" w:line="240" w:lineRule="auto"/>
              <w:rPr>
                <w:highlight w:val="green"/>
              </w:rPr>
            </w:pPr>
            <w:r w:rsidRPr="00940197">
              <w:t>Balance at 30 June 2024</w:t>
            </w:r>
          </w:p>
        </w:tc>
        <w:tc>
          <w:tcPr>
            <w:tcW w:w="1077" w:type="dxa"/>
            <w:shd w:val="clear" w:color="auto" w:fill="E7E6E6" w:themeFill="accent4"/>
            <w:noWrap/>
          </w:tcPr>
          <w:p w14:paraId="06E85C4D" w14:textId="77777777" w:rsidR="005B131E" w:rsidRPr="00BA7805" w:rsidRDefault="005B131E" w:rsidP="002542E1">
            <w:pPr>
              <w:pStyle w:val="ARfintablebodyrightbold"/>
              <w:spacing w:before="30" w:line="240" w:lineRule="auto"/>
              <w:rPr>
                <w:highlight w:val="green"/>
              </w:rPr>
            </w:pPr>
            <w:r w:rsidRPr="00940197">
              <w:t>24,110.6</w:t>
            </w:r>
          </w:p>
        </w:tc>
        <w:tc>
          <w:tcPr>
            <w:tcW w:w="1077" w:type="dxa"/>
            <w:noWrap/>
          </w:tcPr>
          <w:p w14:paraId="1B29ADCC" w14:textId="77777777" w:rsidR="005B131E" w:rsidRPr="00BA7805" w:rsidRDefault="005B131E" w:rsidP="002542E1">
            <w:pPr>
              <w:pStyle w:val="ARfintablebodyrightbold"/>
              <w:spacing w:before="30" w:line="240" w:lineRule="auto"/>
              <w:rPr>
                <w:highlight w:val="green"/>
              </w:rPr>
            </w:pPr>
            <w:r w:rsidRPr="00940197">
              <w:t>13,158.8</w:t>
            </w:r>
          </w:p>
        </w:tc>
        <w:tc>
          <w:tcPr>
            <w:tcW w:w="1077" w:type="dxa"/>
            <w:shd w:val="clear" w:color="auto" w:fill="E7E6E6" w:themeFill="accent4"/>
            <w:noWrap/>
          </w:tcPr>
          <w:p w14:paraId="28FD2AF3" w14:textId="77777777" w:rsidR="005B131E" w:rsidRPr="00BA7805" w:rsidRDefault="005B131E" w:rsidP="002542E1">
            <w:pPr>
              <w:pStyle w:val="ARfintablebodyrightbold"/>
              <w:spacing w:before="30" w:line="240" w:lineRule="auto"/>
              <w:rPr>
                <w:highlight w:val="green"/>
              </w:rPr>
            </w:pPr>
            <w:r w:rsidRPr="00940197">
              <w:t>0.4</w:t>
            </w:r>
          </w:p>
        </w:tc>
        <w:tc>
          <w:tcPr>
            <w:tcW w:w="1077" w:type="dxa"/>
            <w:noWrap/>
          </w:tcPr>
          <w:p w14:paraId="13657CD4" w14:textId="77777777" w:rsidR="005B131E" w:rsidRPr="00BA7805" w:rsidRDefault="005B131E" w:rsidP="002542E1">
            <w:pPr>
              <w:pStyle w:val="ARfintablebodyrightbold"/>
              <w:spacing w:before="30" w:line="240" w:lineRule="auto"/>
              <w:rPr>
                <w:highlight w:val="green"/>
              </w:rPr>
            </w:pPr>
            <w:r w:rsidRPr="00940197">
              <w:t>39.0</w:t>
            </w:r>
          </w:p>
        </w:tc>
        <w:tc>
          <w:tcPr>
            <w:tcW w:w="1077" w:type="dxa"/>
            <w:shd w:val="clear" w:color="auto" w:fill="E7E6E6" w:themeFill="accent4"/>
            <w:noWrap/>
          </w:tcPr>
          <w:p w14:paraId="37728E9C" w14:textId="77777777" w:rsidR="005B131E" w:rsidRPr="00BA7805" w:rsidRDefault="005B131E" w:rsidP="002542E1">
            <w:pPr>
              <w:pStyle w:val="ARfintablebodyrightbold"/>
              <w:spacing w:before="30" w:line="240" w:lineRule="auto"/>
              <w:rPr>
                <w:highlight w:val="green"/>
              </w:rPr>
            </w:pPr>
            <w:r w:rsidRPr="00940197">
              <w:t>1,175.5</w:t>
            </w:r>
          </w:p>
        </w:tc>
        <w:tc>
          <w:tcPr>
            <w:tcW w:w="1077" w:type="dxa"/>
            <w:noWrap/>
          </w:tcPr>
          <w:p w14:paraId="40D5B5FD" w14:textId="77777777" w:rsidR="005B131E" w:rsidRPr="00BA7805" w:rsidRDefault="005B131E" w:rsidP="002542E1">
            <w:pPr>
              <w:pStyle w:val="ARfintablebodyrightbold"/>
              <w:spacing w:before="30" w:line="240" w:lineRule="auto"/>
              <w:rPr>
                <w:highlight w:val="green"/>
              </w:rPr>
            </w:pPr>
            <w:r w:rsidRPr="00940197">
              <w:t>38,484.3</w:t>
            </w:r>
          </w:p>
        </w:tc>
      </w:tr>
    </w:tbl>
    <w:p w14:paraId="3C048D6F" w14:textId="77777777" w:rsidR="005B131E" w:rsidRPr="00E8343D" w:rsidRDefault="005B131E" w:rsidP="002542E1">
      <w:pPr>
        <w:pStyle w:val="ARfintablefootnote"/>
      </w:pPr>
      <w:r w:rsidRPr="00E8343D">
        <w:t>Note:</w:t>
      </w:r>
    </w:p>
    <w:p w14:paraId="15B2BE62" w14:textId="39E8E816" w:rsidR="005B131E" w:rsidRDefault="005B131E" w:rsidP="002542E1">
      <w:pPr>
        <w:pStyle w:val="ARfintablefootnotetabindent"/>
        <w:rPr>
          <w:highlight w:val="green"/>
        </w:rPr>
      </w:pPr>
      <w:r w:rsidRPr="00E8343D">
        <w:t xml:space="preserve">(i) </w:t>
      </w:r>
      <w:r>
        <w:tab/>
      </w:r>
      <w:r w:rsidRPr="00E8343D">
        <w:t>In the financial year ending 30 June 2024, a full revaluation of the departments</w:t>
      </w:r>
      <w:r w:rsidR="00711AE6">
        <w:t>’</w:t>
      </w:r>
      <w:r w:rsidRPr="00E8343D">
        <w:t xml:space="preserve"> land and buildings was performed by the independent valuer Valuer-General Victoria. This has been performed in accordance with FRD103. Refer to Note 8.3.2 for additional</w:t>
      </w:r>
      <w:r>
        <w:t> </w:t>
      </w:r>
      <w:r w:rsidRPr="00E8343D">
        <w:t>information on fair value determination of property, plant and equipment.</w:t>
      </w:r>
    </w:p>
    <w:p w14:paraId="053E6E07" w14:textId="77777777" w:rsidR="005B131E" w:rsidRPr="00BA7805" w:rsidRDefault="005B131E">
      <w:pPr>
        <w:pStyle w:val="ARfinbody"/>
        <w:rPr>
          <w:highlight w:val="green"/>
        </w:rPr>
      </w:pPr>
      <w:r w:rsidRPr="00BA7805">
        <w:rPr>
          <w:highlight w:val="green"/>
        </w:rPr>
        <w:br w:type="page"/>
      </w:r>
    </w:p>
    <w:p w14:paraId="470FAD67" w14:textId="77777777" w:rsidR="005B131E" w:rsidRPr="003F73E7" w:rsidRDefault="005B131E">
      <w:pPr>
        <w:pStyle w:val="Heading4"/>
      </w:pPr>
      <w:r w:rsidRPr="003F73E7">
        <w:t>5.2 Intangible assets</w:t>
      </w:r>
      <w:r>
        <w:t xml:space="preserve"> </w:t>
      </w:r>
      <w:r w:rsidRPr="003F73E7">
        <w:rPr>
          <w:rStyle w:val="Superscript"/>
        </w:rPr>
        <w:t>(i)</w:t>
      </w:r>
    </w:p>
    <w:tbl>
      <w:tblPr>
        <w:tblStyle w:val="TableGrid"/>
        <w:tblW w:w="9637" w:type="dxa"/>
        <w:tblLayout w:type="fixed"/>
        <w:tblLook w:val="06A0" w:firstRow="1" w:lastRow="0" w:firstColumn="1" w:lastColumn="0" w:noHBand="1" w:noVBand="1"/>
      </w:tblPr>
      <w:tblGrid>
        <w:gridCol w:w="6915"/>
        <w:gridCol w:w="1361"/>
        <w:gridCol w:w="1361"/>
      </w:tblGrid>
      <w:tr w:rsidR="00E57D5B" w:rsidRPr="00BA7805" w14:paraId="22868CF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3F7C1E5C" w14:textId="77777777" w:rsidR="005B131E" w:rsidRPr="00BA7805" w:rsidRDefault="005B131E" w:rsidP="002542E1">
            <w:pPr>
              <w:pStyle w:val="ARfintablecolhead"/>
              <w:rPr>
                <w:highlight w:val="green"/>
              </w:rPr>
            </w:pPr>
          </w:p>
        </w:tc>
        <w:tc>
          <w:tcPr>
            <w:tcW w:w="1361" w:type="dxa"/>
            <w:tcBorders>
              <w:bottom w:val="single" w:sz="4" w:space="0" w:color="auto"/>
            </w:tcBorders>
            <w:shd w:val="clear" w:color="auto" w:fill="E7E6E6" w:themeFill="accent4"/>
            <w:hideMark/>
          </w:tcPr>
          <w:p w14:paraId="17A59660" w14:textId="77777777" w:rsidR="005B131E" w:rsidRPr="006153A2" w:rsidRDefault="005B131E" w:rsidP="002542E1">
            <w:pPr>
              <w:pStyle w:val="ARfintablecolheadright"/>
            </w:pPr>
            <w:r w:rsidRPr="006153A2">
              <w:t>2024</w:t>
            </w:r>
          </w:p>
          <w:p w14:paraId="4686AA61" w14:textId="77777777" w:rsidR="005B131E" w:rsidRPr="00BA7805" w:rsidRDefault="005B131E" w:rsidP="002542E1">
            <w:pPr>
              <w:pStyle w:val="ARfintablecolheadright"/>
              <w:rPr>
                <w:highlight w:val="green"/>
              </w:rPr>
            </w:pPr>
            <w:r w:rsidRPr="006153A2">
              <w:t>$M</w:t>
            </w:r>
          </w:p>
        </w:tc>
        <w:tc>
          <w:tcPr>
            <w:tcW w:w="1361" w:type="dxa"/>
            <w:tcBorders>
              <w:bottom w:val="single" w:sz="4" w:space="0" w:color="auto"/>
            </w:tcBorders>
            <w:shd w:val="clear" w:color="auto" w:fill="auto"/>
            <w:hideMark/>
          </w:tcPr>
          <w:p w14:paraId="37432C59" w14:textId="77777777" w:rsidR="005B131E" w:rsidRPr="006153A2" w:rsidRDefault="005B131E" w:rsidP="002542E1">
            <w:pPr>
              <w:pStyle w:val="ARfintablecolheadright"/>
            </w:pPr>
            <w:r w:rsidRPr="006153A2">
              <w:t>2023</w:t>
            </w:r>
          </w:p>
          <w:p w14:paraId="27091565" w14:textId="77777777" w:rsidR="005B131E" w:rsidRPr="00BA7805" w:rsidRDefault="005B131E" w:rsidP="002542E1">
            <w:pPr>
              <w:pStyle w:val="ARfintablecolheadright"/>
              <w:rPr>
                <w:highlight w:val="green"/>
              </w:rPr>
            </w:pPr>
            <w:r w:rsidRPr="006153A2">
              <w:t>$M</w:t>
            </w:r>
          </w:p>
        </w:tc>
      </w:tr>
      <w:tr w:rsidR="005B131E" w:rsidRPr="00BA7805" w14:paraId="51823AD1" w14:textId="77777777" w:rsidTr="002542E1">
        <w:tc>
          <w:tcPr>
            <w:tcW w:w="9637" w:type="dxa"/>
            <w:gridSpan w:val="3"/>
            <w:tcBorders>
              <w:top w:val="single" w:sz="4" w:space="0" w:color="auto"/>
              <w:bottom w:val="single" w:sz="4" w:space="0" w:color="A6A6A6" w:themeColor="accent5"/>
            </w:tcBorders>
          </w:tcPr>
          <w:p w14:paraId="1EDAF8A9" w14:textId="77777777" w:rsidR="005B131E" w:rsidRPr="00BA7805" w:rsidRDefault="005B131E" w:rsidP="002542E1">
            <w:pPr>
              <w:pStyle w:val="ARfintablebodybold"/>
              <w:rPr>
                <w:highlight w:val="green"/>
              </w:rPr>
            </w:pPr>
            <w:r w:rsidRPr="00D06980">
              <w:t>Gross carrying amount</w:t>
            </w:r>
          </w:p>
        </w:tc>
      </w:tr>
      <w:tr w:rsidR="005B131E" w:rsidRPr="00BA7805" w14:paraId="61B50877" w14:textId="77777777" w:rsidTr="002542E1">
        <w:tc>
          <w:tcPr>
            <w:tcW w:w="6915" w:type="dxa"/>
            <w:tcBorders>
              <w:top w:val="single" w:sz="4" w:space="0" w:color="A6A6A6" w:themeColor="accent5"/>
              <w:bottom w:val="single" w:sz="4" w:space="0" w:color="A6A6A6" w:themeColor="accent5"/>
            </w:tcBorders>
          </w:tcPr>
          <w:p w14:paraId="0C175273" w14:textId="77777777" w:rsidR="005B131E" w:rsidRPr="00BA7805" w:rsidRDefault="005B131E" w:rsidP="002542E1">
            <w:pPr>
              <w:pStyle w:val="ARfintablebodybold"/>
              <w:rPr>
                <w:highlight w:val="green"/>
              </w:rPr>
            </w:pPr>
            <w:r w:rsidRPr="00D06980">
              <w:t>Opening balance</w:t>
            </w:r>
          </w:p>
        </w:tc>
        <w:tc>
          <w:tcPr>
            <w:tcW w:w="1361" w:type="dxa"/>
            <w:tcBorders>
              <w:top w:val="single" w:sz="4" w:space="0" w:color="A6A6A6" w:themeColor="accent5"/>
              <w:bottom w:val="single" w:sz="4" w:space="0" w:color="A6A6A6" w:themeColor="accent5"/>
            </w:tcBorders>
            <w:shd w:val="clear" w:color="auto" w:fill="E7E6E6" w:themeFill="accent4"/>
            <w:noWrap/>
          </w:tcPr>
          <w:p w14:paraId="75C2B62E" w14:textId="488FB900" w:rsidR="005B131E" w:rsidRPr="00BA7805" w:rsidRDefault="005B131E" w:rsidP="002542E1">
            <w:pPr>
              <w:pStyle w:val="ARfintablebodyrightbold"/>
              <w:rPr>
                <w:highlight w:val="green"/>
              </w:rPr>
            </w:pPr>
            <w:r w:rsidRPr="00306334">
              <w:t>241.8</w:t>
            </w:r>
          </w:p>
        </w:tc>
        <w:tc>
          <w:tcPr>
            <w:tcW w:w="1361" w:type="dxa"/>
            <w:tcBorders>
              <w:top w:val="single" w:sz="4" w:space="0" w:color="A6A6A6" w:themeColor="accent5"/>
              <w:bottom w:val="single" w:sz="4" w:space="0" w:color="A6A6A6" w:themeColor="accent5"/>
            </w:tcBorders>
            <w:noWrap/>
          </w:tcPr>
          <w:p w14:paraId="49D3E996" w14:textId="74750903" w:rsidR="005B131E" w:rsidRPr="00DA2FA1" w:rsidRDefault="005B131E" w:rsidP="002542E1">
            <w:pPr>
              <w:pStyle w:val="ARfintablebodyrightbold"/>
              <w:rPr>
                <w:highlight w:val="cyan"/>
              </w:rPr>
            </w:pPr>
            <w:r w:rsidRPr="00306334">
              <w:t>217.1</w:t>
            </w:r>
          </w:p>
        </w:tc>
      </w:tr>
      <w:tr w:rsidR="005B131E" w:rsidRPr="00BA7805" w14:paraId="3D71E080" w14:textId="77777777" w:rsidTr="002542E1">
        <w:tc>
          <w:tcPr>
            <w:tcW w:w="6915" w:type="dxa"/>
            <w:tcBorders>
              <w:top w:val="single" w:sz="4" w:space="0" w:color="A6A6A6" w:themeColor="accent5"/>
              <w:bottom w:val="single" w:sz="4" w:space="0" w:color="A6A6A6" w:themeColor="accent5"/>
            </w:tcBorders>
          </w:tcPr>
          <w:p w14:paraId="7912A96C" w14:textId="77777777" w:rsidR="005B131E" w:rsidRPr="00BA7805" w:rsidRDefault="005B131E" w:rsidP="002542E1">
            <w:pPr>
              <w:pStyle w:val="ARfintablebody"/>
              <w:rPr>
                <w:highlight w:val="green"/>
              </w:rPr>
            </w:pPr>
            <w:r w:rsidRPr="00D06980">
              <w:t>Additions from internal development</w:t>
            </w:r>
          </w:p>
        </w:tc>
        <w:tc>
          <w:tcPr>
            <w:tcW w:w="1361" w:type="dxa"/>
            <w:tcBorders>
              <w:top w:val="single" w:sz="4" w:space="0" w:color="A6A6A6" w:themeColor="accent5"/>
              <w:bottom w:val="single" w:sz="4" w:space="0" w:color="A6A6A6" w:themeColor="accent5"/>
            </w:tcBorders>
            <w:shd w:val="clear" w:color="auto" w:fill="E7E6E6" w:themeFill="accent4"/>
            <w:noWrap/>
          </w:tcPr>
          <w:p w14:paraId="5BFA9F86" w14:textId="3C9A77E1" w:rsidR="005B131E" w:rsidRPr="00BA7805" w:rsidRDefault="005B131E" w:rsidP="002542E1">
            <w:pPr>
              <w:pStyle w:val="ARfintablebodyright"/>
              <w:rPr>
                <w:highlight w:val="green"/>
              </w:rPr>
            </w:pPr>
            <w:r w:rsidRPr="00306334">
              <w:t xml:space="preserve">13.5 </w:t>
            </w:r>
          </w:p>
        </w:tc>
        <w:tc>
          <w:tcPr>
            <w:tcW w:w="1361" w:type="dxa"/>
            <w:tcBorders>
              <w:top w:val="single" w:sz="4" w:space="0" w:color="A6A6A6" w:themeColor="accent5"/>
              <w:bottom w:val="single" w:sz="4" w:space="0" w:color="A6A6A6" w:themeColor="accent5"/>
            </w:tcBorders>
            <w:noWrap/>
          </w:tcPr>
          <w:p w14:paraId="38C6CB4B" w14:textId="7D0EA18F" w:rsidR="005B131E" w:rsidRPr="00DA2FA1" w:rsidRDefault="005B131E" w:rsidP="002542E1">
            <w:pPr>
              <w:pStyle w:val="ARfintablebodyright"/>
              <w:rPr>
                <w:highlight w:val="cyan"/>
              </w:rPr>
            </w:pPr>
            <w:r w:rsidRPr="00306334">
              <w:t>24.7</w:t>
            </w:r>
          </w:p>
        </w:tc>
      </w:tr>
      <w:tr w:rsidR="005B131E" w:rsidRPr="00BA7805" w14:paraId="0E7BE0F4" w14:textId="77777777" w:rsidTr="002542E1">
        <w:tc>
          <w:tcPr>
            <w:tcW w:w="6915" w:type="dxa"/>
            <w:tcBorders>
              <w:top w:val="single" w:sz="4" w:space="0" w:color="A6A6A6" w:themeColor="accent5"/>
              <w:bottom w:val="single" w:sz="4" w:space="0" w:color="A6A6A6" w:themeColor="accent5"/>
            </w:tcBorders>
          </w:tcPr>
          <w:p w14:paraId="54BE69B0" w14:textId="77777777" w:rsidR="005B131E" w:rsidRPr="00BA7805" w:rsidRDefault="005B131E" w:rsidP="002542E1">
            <w:pPr>
              <w:pStyle w:val="ARfintablebodybold"/>
              <w:rPr>
                <w:highlight w:val="green"/>
              </w:rPr>
            </w:pPr>
            <w:r w:rsidRPr="00D06980">
              <w:t>Closing balance</w:t>
            </w:r>
          </w:p>
        </w:tc>
        <w:tc>
          <w:tcPr>
            <w:tcW w:w="1361" w:type="dxa"/>
            <w:tcBorders>
              <w:top w:val="single" w:sz="4" w:space="0" w:color="A6A6A6" w:themeColor="accent5"/>
              <w:bottom w:val="single" w:sz="4" w:space="0" w:color="A6A6A6" w:themeColor="accent5"/>
            </w:tcBorders>
            <w:shd w:val="clear" w:color="auto" w:fill="E7E6E6" w:themeFill="accent4"/>
            <w:noWrap/>
          </w:tcPr>
          <w:p w14:paraId="27E960F4" w14:textId="313796A1" w:rsidR="005B131E" w:rsidRPr="00BA7805" w:rsidRDefault="005B131E" w:rsidP="002542E1">
            <w:pPr>
              <w:pStyle w:val="ARfintablebodyrightbold"/>
              <w:rPr>
                <w:highlight w:val="green"/>
              </w:rPr>
            </w:pPr>
            <w:r w:rsidRPr="00306334">
              <w:t xml:space="preserve">255.3 </w:t>
            </w:r>
          </w:p>
        </w:tc>
        <w:tc>
          <w:tcPr>
            <w:tcW w:w="1361" w:type="dxa"/>
            <w:tcBorders>
              <w:top w:val="single" w:sz="4" w:space="0" w:color="A6A6A6" w:themeColor="accent5"/>
              <w:bottom w:val="single" w:sz="4" w:space="0" w:color="A6A6A6" w:themeColor="accent5"/>
            </w:tcBorders>
            <w:noWrap/>
          </w:tcPr>
          <w:p w14:paraId="3F392637" w14:textId="2D4AFF79" w:rsidR="005B131E" w:rsidRPr="00DA2FA1" w:rsidRDefault="005B131E" w:rsidP="002542E1">
            <w:pPr>
              <w:pStyle w:val="ARfintablebodyrightbold"/>
              <w:rPr>
                <w:highlight w:val="cyan"/>
              </w:rPr>
            </w:pPr>
            <w:r w:rsidRPr="00306334">
              <w:t>241.8</w:t>
            </w:r>
          </w:p>
        </w:tc>
      </w:tr>
      <w:tr w:rsidR="005B131E" w:rsidRPr="00BA7805" w14:paraId="3F9525DD" w14:textId="77777777" w:rsidTr="002542E1">
        <w:tc>
          <w:tcPr>
            <w:tcW w:w="9637" w:type="dxa"/>
            <w:gridSpan w:val="3"/>
            <w:tcBorders>
              <w:top w:val="single" w:sz="4" w:space="0" w:color="A6A6A6" w:themeColor="accent5"/>
              <w:bottom w:val="single" w:sz="4" w:space="0" w:color="A6A6A6" w:themeColor="accent5"/>
            </w:tcBorders>
          </w:tcPr>
          <w:p w14:paraId="4171A35E" w14:textId="77777777" w:rsidR="005B131E" w:rsidRPr="00DA2FA1" w:rsidRDefault="005B131E" w:rsidP="002542E1">
            <w:pPr>
              <w:pStyle w:val="ARfintablebodybold"/>
              <w:rPr>
                <w:highlight w:val="cyan"/>
              </w:rPr>
            </w:pPr>
            <w:r w:rsidRPr="00DA2FA1">
              <w:t>Accumulated amortisation and impairment</w:t>
            </w:r>
          </w:p>
        </w:tc>
      </w:tr>
      <w:tr w:rsidR="005B131E" w:rsidRPr="00BA7805" w14:paraId="3E7C4FCA" w14:textId="77777777" w:rsidTr="002542E1">
        <w:tc>
          <w:tcPr>
            <w:tcW w:w="6915" w:type="dxa"/>
            <w:tcBorders>
              <w:top w:val="single" w:sz="4" w:space="0" w:color="A6A6A6" w:themeColor="accent5"/>
              <w:bottom w:val="single" w:sz="4" w:space="0" w:color="A6A6A6" w:themeColor="accent5"/>
            </w:tcBorders>
          </w:tcPr>
          <w:p w14:paraId="57DA6B85" w14:textId="77777777" w:rsidR="005B131E" w:rsidRPr="00BA7805" w:rsidRDefault="005B131E" w:rsidP="002542E1">
            <w:pPr>
              <w:pStyle w:val="ARfintablebodybold"/>
              <w:rPr>
                <w:highlight w:val="green"/>
              </w:rPr>
            </w:pPr>
            <w:r w:rsidRPr="00D06980">
              <w:t>Opening balance</w:t>
            </w:r>
          </w:p>
        </w:tc>
        <w:tc>
          <w:tcPr>
            <w:tcW w:w="1361" w:type="dxa"/>
            <w:tcBorders>
              <w:top w:val="single" w:sz="4" w:space="0" w:color="A6A6A6" w:themeColor="accent5"/>
              <w:bottom w:val="single" w:sz="4" w:space="0" w:color="A6A6A6" w:themeColor="accent5"/>
            </w:tcBorders>
            <w:shd w:val="clear" w:color="auto" w:fill="E7E6E6" w:themeFill="accent4"/>
            <w:noWrap/>
          </w:tcPr>
          <w:p w14:paraId="715BBE28" w14:textId="0CF5C0F8" w:rsidR="005B131E" w:rsidRPr="00BA7805" w:rsidRDefault="005B131E" w:rsidP="002542E1">
            <w:pPr>
              <w:pStyle w:val="ARfintablebodyrightbold"/>
              <w:rPr>
                <w:highlight w:val="green"/>
              </w:rPr>
            </w:pPr>
            <w:r w:rsidRPr="00306334">
              <w:t>(161.3)</w:t>
            </w:r>
          </w:p>
        </w:tc>
        <w:tc>
          <w:tcPr>
            <w:tcW w:w="1361" w:type="dxa"/>
            <w:tcBorders>
              <w:top w:val="single" w:sz="4" w:space="0" w:color="A6A6A6" w:themeColor="accent5"/>
              <w:bottom w:val="single" w:sz="4" w:space="0" w:color="A6A6A6" w:themeColor="accent5"/>
            </w:tcBorders>
            <w:noWrap/>
          </w:tcPr>
          <w:p w14:paraId="679AF37F" w14:textId="4FBDEE77" w:rsidR="005B131E" w:rsidRPr="00DA2FA1" w:rsidRDefault="005B131E" w:rsidP="002542E1">
            <w:pPr>
              <w:pStyle w:val="ARfintablebodyrightbold"/>
              <w:rPr>
                <w:highlight w:val="cyan"/>
              </w:rPr>
            </w:pPr>
            <w:r w:rsidRPr="00306334">
              <w:t>(134.3)</w:t>
            </w:r>
          </w:p>
        </w:tc>
      </w:tr>
      <w:tr w:rsidR="005B131E" w:rsidRPr="00BA7805" w14:paraId="0DE221F1" w14:textId="77777777" w:rsidTr="002542E1">
        <w:tc>
          <w:tcPr>
            <w:tcW w:w="6915" w:type="dxa"/>
            <w:tcBorders>
              <w:top w:val="single" w:sz="4" w:space="0" w:color="A6A6A6" w:themeColor="accent5"/>
              <w:bottom w:val="single" w:sz="4" w:space="0" w:color="A6A6A6" w:themeColor="accent5"/>
            </w:tcBorders>
          </w:tcPr>
          <w:p w14:paraId="420DCD80" w14:textId="77777777" w:rsidR="005B131E" w:rsidRPr="00BA7805" w:rsidRDefault="005B131E" w:rsidP="002542E1">
            <w:pPr>
              <w:pStyle w:val="ARfintablebody"/>
              <w:rPr>
                <w:highlight w:val="green"/>
              </w:rPr>
            </w:pPr>
            <w:r w:rsidRPr="00D06980">
              <w:t>Amortisation of intangible produced assets</w:t>
            </w:r>
          </w:p>
        </w:tc>
        <w:tc>
          <w:tcPr>
            <w:tcW w:w="1361" w:type="dxa"/>
            <w:tcBorders>
              <w:top w:val="single" w:sz="4" w:space="0" w:color="A6A6A6" w:themeColor="accent5"/>
              <w:bottom w:val="single" w:sz="4" w:space="0" w:color="A6A6A6" w:themeColor="accent5"/>
            </w:tcBorders>
            <w:shd w:val="clear" w:color="auto" w:fill="E7E6E6" w:themeFill="accent4"/>
            <w:noWrap/>
          </w:tcPr>
          <w:p w14:paraId="26918E87" w14:textId="4AF88F7C" w:rsidR="005B131E" w:rsidRPr="00BA7805" w:rsidRDefault="005B131E" w:rsidP="002542E1">
            <w:pPr>
              <w:pStyle w:val="ARfintablebodyright"/>
              <w:rPr>
                <w:highlight w:val="green"/>
              </w:rPr>
            </w:pPr>
            <w:r w:rsidRPr="00306334">
              <w:t>(23.5)</w:t>
            </w:r>
          </w:p>
        </w:tc>
        <w:tc>
          <w:tcPr>
            <w:tcW w:w="1361" w:type="dxa"/>
            <w:tcBorders>
              <w:top w:val="single" w:sz="4" w:space="0" w:color="A6A6A6" w:themeColor="accent5"/>
              <w:bottom w:val="single" w:sz="4" w:space="0" w:color="A6A6A6" w:themeColor="accent5"/>
            </w:tcBorders>
            <w:noWrap/>
          </w:tcPr>
          <w:p w14:paraId="3915A184" w14:textId="595FEAC2" w:rsidR="005B131E" w:rsidRPr="00DA2FA1" w:rsidRDefault="005B131E" w:rsidP="002542E1">
            <w:pPr>
              <w:pStyle w:val="ARfintablebodyright"/>
              <w:rPr>
                <w:highlight w:val="cyan"/>
              </w:rPr>
            </w:pPr>
            <w:r w:rsidRPr="00306334">
              <w:t>(27.0)</w:t>
            </w:r>
          </w:p>
        </w:tc>
      </w:tr>
      <w:tr w:rsidR="005B131E" w:rsidRPr="00BA7805" w14:paraId="4D9674ED" w14:textId="77777777" w:rsidTr="002542E1">
        <w:tc>
          <w:tcPr>
            <w:tcW w:w="6915" w:type="dxa"/>
            <w:tcBorders>
              <w:top w:val="single" w:sz="4" w:space="0" w:color="A6A6A6" w:themeColor="accent5"/>
            </w:tcBorders>
          </w:tcPr>
          <w:p w14:paraId="373CDDFD" w14:textId="77777777" w:rsidR="005B131E" w:rsidRPr="00BA7805" w:rsidRDefault="005B131E" w:rsidP="002542E1">
            <w:pPr>
              <w:pStyle w:val="ARfintablebodybold"/>
              <w:rPr>
                <w:highlight w:val="green"/>
              </w:rPr>
            </w:pPr>
            <w:r w:rsidRPr="00D06980">
              <w:t>Closing balance</w:t>
            </w:r>
          </w:p>
        </w:tc>
        <w:tc>
          <w:tcPr>
            <w:tcW w:w="1361" w:type="dxa"/>
            <w:tcBorders>
              <w:top w:val="single" w:sz="4" w:space="0" w:color="A6A6A6" w:themeColor="accent5"/>
            </w:tcBorders>
            <w:shd w:val="clear" w:color="auto" w:fill="E7E6E6" w:themeFill="accent4"/>
            <w:noWrap/>
          </w:tcPr>
          <w:p w14:paraId="351CF8AB" w14:textId="3CA55406" w:rsidR="005B131E" w:rsidRPr="00BA7805" w:rsidRDefault="005B131E" w:rsidP="002542E1">
            <w:pPr>
              <w:pStyle w:val="ARfintablebodyrightbold"/>
              <w:rPr>
                <w:highlight w:val="green"/>
              </w:rPr>
            </w:pPr>
            <w:r w:rsidRPr="00306334">
              <w:t>(184.8)</w:t>
            </w:r>
          </w:p>
        </w:tc>
        <w:tc>
          <w:tcPr>
            <w:tcW w:w="1361" w:type="dxa"/>
            <w:tcBorders>
              <w:top w:val="single" w:sz="4" w:space="0" w:color="A6A6A6" w:themeColor="accent5"/>
            </w:tcBorders>
            <w:noWrap/>
          </w:tcPr>
          <w:p w14:paraId="337C9615" w14:textId="29D48786" w:rsidR="005B131E" w:rsidRPr="00DA2FA1" w:rsidRDefault="005B131E" w:rsidP="002542E1">
            <w:pPr>
              <w:pStyle w:val="ARfintablebodyrightbold"/>
              <w:rPr>
                <w:highlight w:val="cyan"/>
              </w:rPr>
            </w:pPr>
            <w:r w:rsidRPr="00306334">
              <w:t>(161.3)</w:t>
            </w:r>
          </w:p>
        </w:tc>
      </w:tr>
      <w:tr w:rsidR="005B131E" w:rsidRPr="00BA7805" w14:paraId="3C0C1D9A" w14:textId="77777777" w:rsidTr="002542E1">
        <w:tc>
          <w:tcPr>
            <w:tcW w:w="6915" w:type="dxa"/>
          </w:tcPr>
          <w:p w14:paraId="20108503" w14:textId="77777777" w:rsidR="005B131E" w:rsidRPr="00BA7805" w:rsidRDefault="005B131E" w:rsidP="002542E1">
            <w:pPr>
              <w:pStyle w:val="ARfintablebodybold"/>
              <w:rPr>
                <w:highlight w:val="green"/>
              </w:rPr>
            </w:pPr>
            <w:r w:rsidRPr="00D06980">
              <w:t>Net book value at end of financial year</w:t>
            </w:r>
          </w:p>
        </w:tc>
        <w:tc>
          <w:tcPr>
            <w:tcW w:w="1361" w:type="dxa"/>
            <w:shd w:val="clear" w:color="auto" w:fill="E7E6E6" w:themeFill="accent4"/>
            <w:noWrap/>
          </w:tcPr>
          <w:p w14:paraId="34CB808F" w14:textId="2D954B10" w:rsidR="005B131E" w:rsidRPr="00BA7805" w:rsidRDefault="005B131E" w:rsidP="002542E1">
            <w:pPr>
              <w:pStyle w:val="ARfintablebodyrightbold"/>
              <w:rPr>
                <w:highlight w:val="green"/>
              </w:rPr>
            </w:pPr>
            <w:r w:rsidRPr="00306334">
              <w:t xml:space="preserve">70.5 </w:t>
            </w:r>
          </w:p>
        </w:tc>
        <w:tc>
          <w:tcPr>
            <w:tcW w:w="1361" w:type="dxa"/>
            <w:noWrap/>
          </w:tcPr>
          <w:p w14:paraId="7E0FB7D3" w14:textId="536D7955" w:rsidR="005B131E" w:rsidRPr="00DA2FA1" w:rsidRDefault="005B131E" w:rsidP="002542E1">
            <w:pPr>
              <w:pStyle w:val="ARfintablebodyrightbold"/>
              <w:rPr>
                <w:highlight w:val="cyan"/>
              </w:rPr>
            </w:pPr>
            <w:r w:rsidRPr="00306334">
              <w:t xml:space="preserve">80.5 </w:t>
            </w:r>
          </w:p>
        </w:tc>
      </w:tr>
    </w:tbl>
    <w:p w14:paraId="37D871D7" w14:textId="77777777" w:rsidR="005B131E" w:rsidRPr="0022135C" w:rsidRDefault="005B131E">
      <w:pPr>
        <w:pStyle w:val="ARfintablefootnote"/>
        <w:rPr>
          <w:lang w:eastAsia="en-AU"/>
        </w:rPr>
      </w:pPr>
      <w:r w:rsidRPr="0022135C">
        <w:rPr>
          <w:lang w:eastAsia="en-AU"/>
        </w:rPr>
        <w:t>Note:</w:t>
      </w:r>
    </w:p>
    <w:p w14:paraId="0594173B" w14:textId="77777777" w:rsidR="005B131E" w:rsidRPr="00BA7805" w:rsidRDefault="005B131E">
      <w:pPr>
        <w:pStyle w:val="ARfintablefootnotetabindent"/>
        <w:rPr>
          <w:highlight w:val="green"/>
        </w:rPr>
      </w:pPr>
      <w:r w:rsidRPr="0022135C">
        <w:t xml:space="preserve">(i) </w:t>
      </w:r>
      <w:r>
        <w:tab/>
      </w:r>
      <w:r w:rsidRPr="0022135C">
        <w:t>Intangible assets comprise of computer software</w:t>
      </w:r>
      <w:r>
        <w:t>.</w:t>
      </w:r>
    </w:p>
    <w:p w14:paraId="1D4BE8E9" w14:textId="77777777" w:rsidR="005B131E" w:rsidRDefault="005B131E" w:rsidP="002542E1">
      <w:pPr>
        <w:pStyle w:val="Heading5"/>
      </w:pPr>
      <w:r>
        <w:t>Initial recognition</w:t>
      </w:r>
    </w:p>
    <w:p w14:paraId="0432E826" w14:textId="77777777" w:rsidR="005B131E" w:rsidRDefault="005B131E" w:rsidP="002542E1">
      <w:pPr>
        <w:pStyle w:val="ARfinbody"/>
      </w:pPr>
      <w:r>
        <w:t xml:space="preserve">An </w:t>
      </w:r>
      <w:r w:rsidRPr="005E6E75">
        <w:rPr>
          <w:rStyle w:val="Strong"/>
        </w:rPr>
        <w:t>internally generated intangible asset</w:t>
      </w:r>
      <w:r>
        <w:t xml:space="preserve"> arising from development (or from the development phase of an internal project) is recognised if, and only if, all of the following are demonstrated:</w:t>
      </w:r>
    </w:p>
    <w:p w14:paraId="3000A171" w14:textId="77777777" w:rsidR="005B131E" w:rsidRDefault="005B131E" w:rsidP="002542E1">
      <w:pPr>
        <w:pStyle w:val="ARfinbullet1"/>
      </w:pPr>
      <w:r>
        <w:t>the technical feasibility of completing the intangible asset so that it will be available for use or sale</w:t>
      </w:r>
    </w:p>
    <w:p w14:paraId="233E4943" w14:textId="77777777" w:rsidR="005B131E" w:rsidRDefault="005B131E" w:rsidP="002542E1">
      <w:pPr>
        <w:pStyle w:val="ARfinbullet1"/>
      </w:pPr>
      <w:r>
        <w:t>an intention to complete the intangible asset and use or sell it</w:t>
      </w:r>
    </w:p>
    <w:p w14:paraId="278D67AF" w14:textId="77777777" w:rsidR="005B131E" w:rsidRDefault="005B131E" w:rsidP="002542E1">
      <w:pPr>
        <w:pStyle w:val="ARfinbullet1"/>
      </w:pPr>
      <w:r>
        <w:t>the ability to use or sell the intangible asset</w:t>
      </w:r>
    </w:p>
    <w:p w14:paraId="76CF5DF7" w14:textId="77777777" w:rsidR="005B131E" w:rsidRDefault="005B131E" w:rsidP="002542E1">
      <w:pPr>
        <w:pStyle w:val="ARfinbullet1"/>
      </w:pPr>
      <w:r>
        <w:t>the intangible asset will generate probable future economic benefits</w:t>
      </w:r>
    </w:p>
    <w:p w14:paraId="0C54D22E" w14:textId="77777777" w:rsidR="005B131E" w:rsidRDefault="005B131E" w:rsidP="002542E1">
      <w:pPr>
        <w:pStyle w:val="ARfinbullet1"/>
      </w:pPr>
      <w:r>
        <w:t>the availability of adequate technical, financial and other resources to complete the development and to use or sell the intangible asset</w:t>
      </w:r>
    </w:p>
    <w:p w14:paraId="2D0FF585" w14:textId="77777777" w:rsidR="005B131E" w:rsidRDefault="005B131E" w:rsidP="002542E1">
      <w:pPr>
        <w:pStyle w:val="ARfinbullet1"/>
      </w:pPr>
      <w:r>
        <w:t>the ability to measure reliably the expenditure attributable to the intangible asset during its development.</w:t>
      </w:r>
    </w:p>
    <w:p w14:paraId="584ABBBE" w14:textId="77777777" w:rsidR="005B131E" w:rsidRDefault="005B131E" w:rsidP="002542E1">
      <w:pPr>
        <w:pStyle w:val="Heading5"/>
      </w:pPr>
      <w:r>
        <w:t>Impairment of intangible assets</w:t>
      </w:r>
    </w:p>
    <w:p w14:paraId="46114C5A" w14:textId="77777777" w:rsidR="005B131E" w:rsidRDefault="005B131E" w:rsidP="002542E1">
      <w:pPr>
        <w:pStyle w:val="ARfinbody"/>
      </w:pPr>
      <w:r>
        <w:t>Intangible assets with finite useful lives are tested for impairment whenever an indication of impairment is identified.</w:t>
      </w:r>
    </w:p>
    <w:p w14:paraId="20AAFADB" w14:textId="77777777" w:rsidR="005B131E" w:rsidRPr="006D79F5" w:rsidRDefault="005B131E" w:rsidP="002542E1">
      <w:pPr>
        <w:pStyle w:val="ARfinbody"/>
        <w:rPr>
          <w:highlight w:val="green"/>
        </w:rPr>
      </w:pPr>
      <w:r w:rsidRPr="00BA7805">
        <w:rPr>
          <w:highlight w:val="green"/>
        </w:rPr>
        <w:br w:type="page"/>
      </w:r>
    </w:p>
    <w:p w14:paraId="5A665516" w14:textId="77777777" w:rsidR="005B131E" w:rsidRPr="00F900D3" w:rsidRDefault="005B131E">
      <w:pPr>
        <w:pStyle w:val="Heading3"/>
      </w:pPr>
      <w:bookmarkStart w:id="276" w:name="_Toc181101551"/>
      <w:r w:rsidRPr="00F900D3">
        <w:t>6. Other assets and liabilities</w:t>
      </w:r>
      <w:bookmarkEnd w:id="276"/>
    </w:p>
    <w:p w14:paraId="22DB094E" w14:textId="77777777" w:rsidR="005B131E" w:rsidRDefault="005B131E" w:rsidP="002542E1">
      <w:pPr>
        <w:pStyle w:val="Heading4"/>
      </w:pPr>
      <w:r>
        <w:t>Introduction</w:t>
      </w:r>
    </w:p>
    <w:p w14:paraId="4800C6C8" w14:textId="371C62F8" w:rsidR="005B131E" w:rsidRDefault="005B131E" w:rsidP="002542E1">
      <w:pPr>
        <w:pStyle w:val="ARfinbody"/>
      </w:pPr>
      <w:r>
        <w:t>This section sets out those assets and liabilities that arose from the department</w:t>
      </w:r>
      <w:r w:rsidR="00711AE6">
        <w:t>’</w:t>
      </w:r>
      <w:r>
        <w:t>s controlled operations.</w:t>
      </w:r>
    </w:p>
    <w:p w14:paraId="60D6D181" w14:textId="77777777" w:rsidR="005B131E" w:rsidRDefault="005B131E" w:rsidP="002542E1">
      <w:pPr>
        <w:pStyle w:val="Heading4"/>
      </w:pPr>
      <w:r>
        <w:t>Structure</w:t>
      </w:r>
    </w:p>
    <w:p w14:paraId="2C301C74" w14:textId="77777777" w:rsidR="005B131E" w:rsidRDefault="005B131E" w:rsidP="002542E1">
      <w:pPr>
        <w:pStyle w:val="ARfinstructure1"/>
      </w:pPr>
      <w:r>
        <w:t xml:space="preserve">6.1 </w:t>
      </w:r>
      <w:r>
        <w:tab/>
        <w:t>Receivables</w:t>
      </w:r>
    </w:p>
    <w:p w14:paraId="4CC058C5" w14:textId="77777777" w:rsidR="005B131E" w:rsidRDefault="005B131E" w:rsidP="002542E1">
      <w:pPr>
        <w:pStyle w:val="ARfinstructure1"/>
      </w:pPr>
      <w:r>
        <w:t xml:space="preserve">6.2 </w:t>
      </w:r>
      <w:r>
        <w:tab/>
        <w:t>Loans</w:t>
      </w:r>
    </w:p>
    <w:p w14:paraId="0A1A541D" w14:textId="77777777" w:rsidR="005B131E" w:rsidRDefault="005B131E" w:rsidP="002542E1">
      <w:pPr>
        <w:pStyle w:val="ARfinstructure1"/>
      </w:pPr>
      <w:r>
        <w:t xml:space="preserve">6.3 </w:t>
      </w:r>
      <w:r>
        <w:tab/>
        <w:t>Payables</w:t>
      </w:r>
    </w:p>
    <w:p w14:paraId="2F198825" w14:textId="77777777" w:rsidR="005B131E" w:rsidRDefault="005B131E" w:rsidP="002542E1">
      <w:pPr>
        <w:pStyle w:val="ARfinstructure2"/>
      </w:pPr>
      <w:r>
        <w:t xml:space="preserve">6.3.1 </w:t>
      </w:r>
      <w:r>
        <w:tab/>
        <w:t>Maturity analysis of contractual payables</w:t>
      </w:r>
    </w:p>
    <w:p w14:paraId="0188C258" w14:textId="77777777" w:rsidR="005B131E" w:rsidRDefault="005B131E" w:rsidP="002542E1">
      <w:pPr>
        <w:pStyle w:val="ARfinstructure1"/>
      </w:pPr>
      <w:r>
        <w:t xml:space="preserve">6.4 </w:t>
      </w:r>
      <w:r>
        <w:tab/>
        <w:t>Other provisions</w:t>
      </w:r>
    </w:p>
    <w:p w14:paraId="769467B5" w14:textId="77777777" w:rsidR="005B131E" w:rsidRDefault="005B131E" w:rsidP="002542E1">
      <w:pPr>
        <w:pStyle w:val="ARfinstructure2"/>
        <w:rPr>
          <w:highlight w:val="green"/>
        </w:rPr>
      </w:pPr>
      <w:r>
        <w:t xml:space="preserve">6.4.1 </w:t>
      </w:r>
      <w:r>
        <w:tab/>
        <w:t>Reconciliation of movements in other provisions</w:t>
      </w:r>
    </w:p>
    <w:p w14:paraId="365B7E5F" w14:textId="77777777" w:rsidR="005B131E" w:rsidRPr="00F24892" w:rsidRDefault="005B131E">
      <w:pPr>
        <w:pStyle w:val="Heading4"/>
        <w:rPr>
          <w:lang w:eastAsia="en-AU"/>
        </w:rPr>
      </w:pPr>
      <w:r w:rsidRPr="00F24892">
        <w:rPr>
          <w:lang w:eastAsia="en-AU"/>
        </w:rPr>
        <w:t>6.1 Receivables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594012B8"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6F0BCC04"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329E9690" w14:textId="77777777" w:rsidR="005B131E" w:rsidRPr="00F24892" w:rsidRDefault="005B131E">
            <w:pPr>
              <w:pStyle w:val="ARfintablecolheadright"/>
            </w:pPr>
            <w:r w:rsidRPr="00F24892">
              <w:t>2024</w:t>
            </w:r>
          </w:p>
          <w:p w14:paraId="0902D561" w14:textId="77777777" w:rsidR="005B131E" w:rsidRPr="00F24892" w:rsidRDefault="005B131E">
            <w:pPr>
              <w:pStyle w:val="ARfintablecolheadright"/>
            </w:pPr>
            <w:r w:rsidRPr="00F24892">
              <w:t>$M</w:t>
            </w:r>
          </w:p>
        </w:tc>
        <w:tc>
          <w:tcPr>
            <w:tcW w:w="1361" w:type="dxa"/>
            <w:tcBorders>
              <w:bottom w:val="single" w:sz="4" w:space="0" w:color="auto"/>
            </w:tcBorders>
            <w:hideMark/>
          </w:tcPr>
          <w:p w14:paraId="4CC08D28" w14:textId="77777777" w:rsidR="005B131E" w:rsidRPr="00F24892" w:rsidRDefault="005B131E">
            <w:pPr>
              <w:pStyle w:val="ARfintablecolheadright"/>
            </w:pPr>
            <w:r w:rsidRPr="00F24892">
              <w:t>2023</w:t>
            </w:r>
          </w:p>
          <w:p w14:paraId="11F403BD" w14:textId="77777777" w:rsidR="005B131E" w:rsidRPr="00F24892" w:rsidRDefault="005B131E">
            <w:pPr>
              <w:pStyle w:val="ARfintablecolheadright"/>
            </w:pPr>
            <w:r w:rsidRPr="00F24892">
              <w:t>$M</w:t>
            </w:r>
          </w:p>
        </w:tc>
      </w:tr>
      <w:tr w:rsidR="005B131E" w:rsidRPr="00BA7805" w14:paraId="4A8FC58D" w14:textId="77777777">
        <w:tc>
          <w:tcPr>
            <w:tcW w:w="9637" w:type="dxa"/>
            <w:gridSpan w:val="3"/>
            <w:tcBorders>
              <w:top w:val="single" w:sz="4" w:space="0" w:color="auto"/>
              <w:bottom w:val="single" w:sz="4" w:space="0" w:color="A6A6A6"/>
            </w:tcBorders>
            <w:hideMark/>
          </w:tcPr>
          <w:p w14:paraId="0A1B0B5E" w14:textId="77777777" w:rsidR="005B131E" w:rsidRPr="00BA7805" w:rsidRDefault="005B131E" w:rsidP="002542E1">
            <w:pPr>
              <w:pStyle w:val="ARfintablebodybold"/>
              <w:rPr>
                <w:highlight w:val="green"/>
              </w:rPr>
            </w:pPr>
            <w:r w:rsidRPr="008F7639">
              <w:t>Current receivables</w:t>
            </w:r>
          </w:p>
        </w:tc>
      </w:tr>
      <w:tr w:rsidR="005B131E" w:rsidRPr="00BA7805" w14:paraId="2DF03CFC" w14:textId="77777777" w:rsidTr="003D7AC8">
        <w:tc>
          <w:tcPr>
            <w:tcW w:w="9637" w:type="dxa"/>
            <w:gridSpan w:val="3"/>
            <w:tcBorders>
              <w:top w:val="single" w:sz="4" w:space="0" w:color="A6A6A6"/>
              <w:bottom w:val="single" w:sz="4" w:space="0" w:color="A6A6A6"/>
            </w:tcBorders>
          </w:tcPr>
          <w:p w14:paraId="089A991A" w14:textId="77777777" w:rsidR="005B131E" w:rsidRPr="00EA2C4E" w:rsidRDefault="005B131E" w:rsidP="002542E1">
            <w:pPr>
              <w:pStyle w:val="ARfintablebody"/>
              <w:rPr>
                <w:rStyle w:val="Emphasis"/>
                <w:highlight w:val="green"/>
              </w:rPr>
            </w:pPr>
            <w:r w:rsidRPr="00EA2C4E">
              <w:rPr>
                <w:rStyle w:val="Emphasis"/>
              </w:rPr>
              <w:t xml:space="preserve">Contractual </w:t>
            </w:r>
          </w:p>
        </w:tc>
      </w:tr>
      <w:tr w:rsidR="005B131E" w:rsidRPr="00BA7805" w14:paraId="4BB29947" w14:textId="77777777" w:rsidTr="002542E1">
        <w:tc>
          <w:tcPr>
            <w:tcW w:w="6915" w:type="dxa"/>
            <w:tcBorders>
              <w:top w:val="single" w:sz="4" w:space="0" w:color="A6A6A6"/>
              <w:bottom w:val="single" w:sz="4" w:space="0" w:color="A6A6A6"/>
            </w:tcBorders>
          </w:tcPr>
          <w:p w14:paraId="74604E69" w14:textId="77777777" w:rsidR="005B131E" w:rsidRPr="00BA7805" w:rsidRDefault="005B131E" w:rsidP="002542E1">
            <w:pPr>
              <w:pStyle w:val="ARfintablebody"/>
              <w:rPr>
                <w:highlight w:val="green"/>
              </w:rPr>
            </w:pPr>
            <w:r w:rsidRPr="008F7639">
              <w:t>Tenants in arrears</w:t>
            </w:r>
          </w:p>
        </w:tc>
        <w:tc>
          <w:tcPr>
            <w:tcW w:w="1361" w:type="dxa"/>
            <w:tcBorders>
              <w:top w:val="single" w:sz="4" w:space="0" w:color="A6A6A6"/>
              <w:bottom w:val="single" w:sz="4" w:space="0" w:color="A6A6A6"/>
            </w:tcBorders>
            <w:shd w:val="clear" w:color="auto" w:fill="E7E6E6" w:themeFill="accent4"/>
            <w:noWrap/>
          </w:tcPr>
          <w:p w14:paraId="2DACFB32" w14:textId="77777777" w:rsidR="005B131E" w:rsidRPr="00BA7805" w:rsidRDefault="005B131E" w:rsidP="002542E1">
            <w:pPr>
              <w:pStyle w:val="ARfintablebodyright"/>
              <w:rPr>
                <w:highlight w:val="green"/>
              </w:rPr>
            </w:pPr>
            <w:r w:rsidRPr="008F7639">
              <w:t>21.0</w:t>
            </w:r>
          </w:p>
        </w:tc>
        <w:tc>
          <w:tcPr>
            <w:tcW w:w="1361" w:type="dxa"/>
            <w:tcBorders>
              <w:top w:val="single" w:sz="4" w:space="0" w:color="A6A6A6"/>
              <w:bottom w:val="single" w:sz="4" w:space="0" w:color="A6A6A6"/>
            </w:tcBorders>
            <w:noWrap/>
          </w:tcPr>
          <w:p w14:paraId="602D7A1D" w14:textId="77777777" w:rsidR="005B131E" w:rsidRPr="00BA7805" w:rsidRDefault="005B131E" w:rsidP="002542E1">
            <w:pPr>
              <w:pStyle w:val="ARfintablebodyright"/>
              <w:rPr>
                <w:highlight w:val="green"/>
              </w:rPr>
            </w:pPr>
            <w:r w:rsidRPr="008F7639">
              <w:t>23.1</w:t>
            </w:r>
          </w:p>
        </w:tc>
      </w:tr>
      <w:tr w:rsidR="005B131E" w:rsidRPr="00BA7805" w14:paraId="359FB906" w14:textId="77777777" w:rsidTr="003D7AC8">
        <w:tc>
          <w:tcPr>
            <w:tcW w:w="6915" w:type="dxa"/>
            <w:tcBorders>
              <w:top w:val="single" w:sz="4" w:space="0" w:color="A6A6A6"/>
              <w:bottom w:val="single" w:sz="4" w:space="0" w:color="A6A6A6"/>
            </w:tcBorders>
          </w:tcPr>
          <w:p w14:paraId="1DAF2478" w14:textId="77777777" w:rsidR="005B131E" w:rsidRPr="00BA7805" w:rsidRDefault="005B131E" w:rsidP="002542E1">
            <w:pPr>
              <w:pStyle w:val="ARfintablebody"/>
              <w:rPr>
                <w:highlight w:val="green"/>
              </w:rPr>
            </w:pPr>
            <w:r w:rsidRPr="008F7639">
              <w:t>Other receivables</w:t>
            </w:r>
          </w:p>
        </w:tc>
        <w:tc>
          <w:tcPr>
            <w:tcW w:w="1361" w:type="dxa"/>
            <w:tcBorders>
              <w:top w:val="single" w:sz="4" w:space="0" w:color="A6A6A6"/>
              <w:bottom w:val="single" w:sz="4" w:space="0" w:color="A6A6A6"/>
            </w:tcBorders>
            <w:shd w:val="clear" w:color="auto" w:fill="E7E6E6"/>
            <w:noWrap/>
          </w:tcPr>
          <w:p w14:paraId="6316C3BE" w14:textId="77777777" w:rsidR="005B131E" w:rsidRPr="00BA7805" w:rsidRDefault="005B131E" w:rsidP="002542E1">
            <w:pPr>
              <w:pStyle w:val="ARfintablebodyright"/>
              <w:rPr>
                <w:highlight w:val="green"/>
              </w:rPr>
            </w:pPr>
            <w:r w:rsidRPr="008F7639">
              <w:t>422.3</w:t>
            </w:r>
          </w:p>
        </w:tc>
        <w:tc>
          <w:tcPr>
            <w:tcW w:w="1361" w:type="dxa"/>
            <w:tcBorders>
              <w:top w:val="single" w:sz="4" w:space="0" w:color="A6A6A6"/>
              <w:bottom w:val="single" w:sz="4" w:space="0" w:color="A6A6A6"/>
            </w:tcBorders>
            <w:noWrap/>
          </w:tcPr>
          <w:p w14:paraId="7B603A0B" w14:textId="77777777" w:rsidR="005B131E" w:rsidRPr="00BA7805" w:rsidRDefault="005B131E" w:rsidP="002542E1">
            <w:pPr>
              <w:pStyle w:val="ARfintablebodyright"/>
              <w:rPr>
                <w:highlight w:val="green"/>
              </w:rPr>
            </w:pPr>
            <w:r w:rsidRPr="008F7639">
              <w:t>158.7</w:t>
            </w:r>
          </w:p>
        </w:tc>
      </w:tr>
      <w:tr w:rsidR="005B131E" w:rsidRPr="00BA7805" w14:paraId="623816CC" w14:textId="77777777" w:rsidTr="003D7AC8">
        <w:tc>
          <w:tcPr>
            <w:tcW w:w="6915" w:type="dxa"/>
            <w:tcBorders>
              <w:top w:val="single" w:sz="4" w:space="0" w:color="A6A6A6"/>
              <w:bottom w:val="single" w:sz="4" w:space="0" w:color="auto"/>
            </w:tcBorders>
          </w:tcPr>
          <w:p w14:paraId="4B89ECED" w14:textId="77777777" w:rsidR="005B131E" w:rsidRPr="00C4572F" w:rsidRDefault="005B131E" w:rsidP="002542E1">
            <w:pPr>
              <w:pStyle w:val="ARfintablebody"/>
              <w:rPr>
                <w:rStyle w:val="Emphasis"/>
                <w:highlight w:val="green"/>
              </w:rPr>
            </w:pPr>
            <w:r w:rsidRPr="00C4572F">
              <w:rPr>
                <w:rStyle w:val="Emphasis"/>
              </w:rPr>
              <w:t>Less allowance for impairment losses of contractual receivables</w:t>
            </w:r>
          </w:p>
        </w:tc>
        <w:tc>
          <w:tcPr>
            <w:tcW w:w="1361" w:type="dxa"/>
            <w:tcBorders>
              <w:top w:val="single" w:sz="4" w:space="0" w:color="A6A6A6"/>
              <w:bottom w:val="single" w:sz="4" w:space="0" w:color="auto"/>
            </w:tcBorders>
            <w:shd w:val="clear" w:color="auto" w:fill="E7E6E6"/>
            <w:noWrap/>
          </w:tcPr>
          <w:p w14:paraId="05532076" w14:textId="77777777" w:rsidR="005B131E" w:rsidRPr="00BA7805" w:rsidRDefault="005B131E" w:rsidP="002542E1">
            <w:pPr>
              <w:pStyle w:val="ARfintablebodyright"/>
              <w:rPr>
                <w:highlight w:val="green"/>
              </w:rPr>
            </w:pPr>
            <w:r w:rsidRPr="008F7639">
              <w:t>(7.1)</w:t>
            </w:r>
          </w:p>
        </w:tc>
        <w:tc>
          <w:tcPr>
            <w:tcW w:w="1361" w:type="dxa"/>
            <w:tcBorders>
              <w:top w:val="single" w:sz="4" w:space="0" w:color="A6A6A6"/>
              <w:bottom w:val="single" w:sz="4" w:space="0" w:color="auto"/>
            </w:tcBorders>
            <w:noWrap/>
          </w:tcPr>
          <w:p w14:paraId="6110F29B" w14:textId="77777777" w:rsidR="005B131E" w:rsidRPr="00BA7805" w:rsidRDefault="005B131E" w:rsidP="002542E1">
            <w:pPr>
              <w:pStyle w:val="ARfintablebodyright"/>
              <w:rPr>
                <w:highlight w:val="green"/>
              </w:rPr>
            </w:pPr>
            <w:r w:rsidRPr="008F7639">
              <w:t>(10.7)</w:t>
            </w:r>
          </w:p>
        </w:tc>
      </w:tr>
      <w:tr w:rsidR="005B131E" w:rsidRPr="00BA7805" w14:paraId="43C0DE1F" w14:textId="77777777" w:rsidTr="003D7AC8">
        <w:tc>
          <w:tcPr>
            <w:tcW w:w="6915" w:type="dxa"/>
            <w:tcBorders>
              <w:top w:val="single" w:sz="4" w:space="0" w:color="auto"/>
              <w:bottom w:val="single" w:sz="4" w:space="0" w:color="A6A6A6"/>
            </w:tcBorders>
          </w:tcPr>
          <w:p w14:paraId="1CCF7EEE" w14:textId="77777777" w:rsidR="005B131E" w:rsidRPr="00BA7805" w:rsidRDefault="005B131E" w:rsidP="002542E1">
            <w:pPr>
              <w:pStyle w:val="ARfintablebody"/>
              <w:rPr>
                <w:highlight w:val="green"/>
              </w:rPr>
            </w:pPr>
          </w:p>
        </w:tc>
        <w:tc>
          <w:tcPr>
            <w:tcW w:w="1361" w:type="dxa"/>
            <w:tcBorders>
              <w:top w:val="single" w:sz="4" w:space="0" w:color="auto"/>
              <w:bottom w:val="single" w:sz="4" w:space="0" w:color="A6A6A6"/>
            </w:tcBorders>
            <w:shd w:val="clear" w:color="auto" w:fill="E7E6E6"/>
            <w:noWrap/>
          </w:tcPr>
          <w:p w14:paraId="5F453CBD" w14:textId="77777777" w:rsidR="005B131E" w:rsidRPr="00BA7805" w:rsidRDefault="005B131E" w:rsidP="002542E1">
            <w:pPr>
              <w:pStyle w:val="ARfintablebodyrightbold"/>
              <w:rPr>
                <w:highlight w:val="green"/>
              </w:rPr>
            </w:pPr>
            <w:r w:rsidRPr="008F7639">
              <w:t>436.2</w:t>
            </w:r>
          </w:p>
        </w:tc>
        <w:tc>
          <w:tcPr>
            <w:tcW w:w="1361" w:type="dxa"/>
            <w:tcBorders>
              <w:top w:val="single" w:sz="4" w:space="0" w:color="auto"/>
              <w:bottom w:val="single" w:sz="4" w:space="0" w:color="A6A6A6"/>
            </w:tcBorders>
            <w:noWrap/>
          </w:tcPr>
          <w:p w14:paraId="7E37F50D" w14:textId="77777777" w:rsidR="005B131E" w:rsidRPr="00BA7805" w:rsidRDefault="005B131E" w:rsidP="002542E1">
            <w:pPr>
              <w:pStyle w:val="ARfintablebodyrightbold"/>
              <w:rPr>
                <w:highlight w:val="green"/>
              </w:rPr>
            </w:pPr>
            <w:r w:rsidRPr="008F7639">
              <w:t>171.1</w:t>
            </w:r>
          </w:p>
        </w:tc>
      </w:tr>
      <w:tr w:rsidR="005B131E" w:rsidRPr="00BA7805" w14:paraId="4132ACC6" w14:textId="77777777" w:rsidTr="003D7AC8">
        <w:tc>
          <w:tcPr>
            <w:tcW w:w="9637" w:type="dxa"/>
            <w:gridSpan w:val="3"/>
            <w:tcBorders>
              <w:top w:val="single" w:sz="4" w:space="0" w:color="A6A6A6"/>
              <w:bottom w:val="single" w:sz="4" w:space="0" w:color="A6A6A6"/>
            </w:tcBorders>
          </w:tcPr>
          <w:p w14:paraId="59162267" w14:textId="77777777" w:rsidR="005B131E" w:rsidRPr="00EA2C4E" w:rsidRDefault="005B131E" w:rsidP="002542E1">
            <w:pPr>
              <w:pStyle w:val="ARfintablebody"/>
              <w:rPr>
                <w:rStyle w:val="Emphasis"/>
                <w:highlight w:val="green"/>
              </w:rPr>
            </w:pPr>
            <w:r w:rsidRPr="00EA2C4E">
              <w:rPr>
                <w:rStyle w:val="Emphasis"/>
              </w:rPr>
              <w:t>Statutory</w:t>
            </w:r>
          </w:p>
        </w:tc>
      </w:tr>
      <w:tr w:rsidR="005B131E" w:rsidRPr="00BA7805" w14:paraId="3D65FD72" w14:textId="77777777" w:rsidTr="003D7AC8">
        <w:tc>
          <w:tcPr>
            <w:tcW w:w="6915" w:type="dxa"/>
            <w:tcBorders>
              <w:top w:val="single" w:sz="4" w:space="0" w:color="A6A6A6"/>
              <w:bottom w:val="single" w:sz="4" w:space="0" w:color="A6A6A6"/>
            </w:tcBorders>
          </w:tcPr>
          <w:p w14:paraId="501AFC39" w14:textId="77777777" w:rsidR="005B131E" w:rsidRPr="00BA7805" w:rsidRDefault="005B131E" w:rsidP="002542E1">
            <w:pPr>
              <w:pStyle w:val="ARfintablebody"/>
              <w:rPr>
                <w:highlight w:val="green"/>
              </w:rPr>
            </w:pPr>
            <w:r w:rsidRPr="008F7639">
              <w:t>Amounts owing from Victorian Government</w:t>
            </w:r>
          </w:p>
        </w:tc>
        <w:tc>
          <w:tcPr>
            <w:tcW w:w="1361" w:type="dxa"/>
            <w:tcBorders>
              <w:top w:val="single" w:sz="4" w:space="0" w:color="A6A6A6"/>
              <w:bottom w:val="single" w:sz="4" w:space="0" w:color="A6A6A6"/>
            </w:tcBorders>
            <w:shd w:val="clear" w:color="auto" w:fill="E7E6E6"/>
            <w:noWrap/>
          </w:tcPr>
          <w:p w14:paraId="364AFDCF" w14:textId="77777777" w:rsidR="005B131E" w:rsidRPr="00BA7805" w:rsidRDefault="005B131E" w:rsidP="002542E1">
            <w:pPr>
              <w:pStyle w:val="ARfintablebodyright"/>
              <w:rPr>
                <w:highlight w:val="green"/>
              </w:rPr>
            </w:pPr>
            <w:r w:rsidRPr="008F7639">
              <w:t>625.9</w:t>
            </w:r>
          </w:p>
        </w:tc>
        <w:tc>
          <w:tcPr>
            <w:tcW w:w="1361" w:type="dxa"/>
            <w:tcBorders>
              <w:top w:val="single" w:sz="4" w:space="0" w:color="A6A6A6"/>
              <w:bottom w:val="single" w:sz="4" w:space="0" w:color="A6A6A6"/>
            </w:tcBorders>
            <w:noWrap/>
          </w:tcPr>
          <w:p w14:paraId="75F7C5A3" w14:textId="77777777" w:rsidR="005B131E" w:rsidRPr="00BA7805" w:rsidRDefault="005B131E" w:rsidP="002542E1">
            <w:pPr>
              <w:pStyle w:val="ARfintablebodyright"/>
              <w:rPr>
                <w:highlight w:val="green"/>
              </w:rPr>
            </w:pPr>
            <w:r w:rsidRPr="008F7639">
              <w:t>434.2</w:t>
            </w:r>
          </w:p>
        </w:tc>
      </w:tr>
      <w:tr w:rsidR="005B131E" w:rsidRPr="00BA7805" w14:paraId="0543C1AA" w14:textId="77777777" w:rsidTr="003D7AC8">
        <w:tc>
          <w:tcPr>
            <w:tcW w:w="6915" w:type="dxa"/>
            <w:tcBorders>
              <w:top w:val="single" w:sz="4" w:space="0" w:color="A6A6A6"/>
            </w:tcBorders>
          </w:tcPr>
          <w:p w14:paraId="0CB8C261" w14:textId="77777777" w:rsidR="005B131E" w:rsidRPr="00BA7805" w:rsidRDefault="005B131E" w:rsidP="002542E1">
            <w:pPr>
              <w:pStyle w:val="ARfintablebody"/>
              <w:rPr>
                <w:highlight w:val="green"/>
              </w:rPr>
            </w:pPr>
            <w:r w:rsidRPr="008F7639">
              <w:t>GST input tax credit recoverable</w:t>
            </w:r>
          </w:p>
        </w:tc>
        <w:tc>
          <w:tcPr>
            <w:tcW w:w="1361" w:type="dxa"/>
            <w:tcBorders>
              <w:top w:val="single" w:sz="4" w:space="0" w:color="A6A6A6"/>
            </w:tcBorders>
            <w:shd w:val="clear" w:color="auto" w:fill="E7E6E6"/>
            <w:noWrap/>
          </w:tcPr>
          <w:p w14:paraId="2705AD0D" w14:textId="77777777" w:rsidR="005B131E" w:rsidRPr="00BA7805" w:rsidRDefault="005B131E" w:rsidP="002542E1">
            <w:pPr>
              <w:pStyle w:val="ARfintablebodyright"/>
              <w:rPr>
                <w:highlight w:val="green"/>
              </w:rPr>
            </w:pPr>
            <w:r w:rsidRPr="008F7639">
              <w:t>48.7</w:t>
            </w:r>
          </w:p>
        </w:tc>
        <w:tc>
          <w:tcPr>
            <w:tcW w:w="1361" w:type="dxa"/>
            <w:tcBorders>
              <w:top w:val="single" w:sz="4" w:space="0" w:color="A6A6A6"/>
            </w:tcBorders>
            <w:noWrap/>
          </w:tcPr>
          <w:p w14:paraId="1FCC8CD6" w14:textId="77777777" w:rsidR="005B131E" w:rsidRPr="00BA7805" w:rsidRDefault="005B131E" w:rsidP="002542E1">
            <w:pPr>
              <w:pStyle w:val="ARfintablebodyright"/>
              <w:rPr>
                <w:highlight w:val="green"/>
              </w:rPr>
            </w:pPr>
            <w:r w:rsidRPr="008F7639">
              <w:t>44.3</w:t>
            </w:r>
          </w:p>
        </w:tc>
      </w:tr>
      <w:tr w:rsidR="005B131E" w:rsidRPr="00BA7805" w14:paraId="5B74BC31" w14:textId="77777777" w:rsidTr="003D7AC8">
        <w:tc>
          <w:tcPr>
            <w:tcW w:w="6915" w:type="dxa"/>
          </w:tcPr>
          <w:p w14:paraId="13695B05" w14:textId="77777777" w:rsidR="005B131E" w:rsidRPr="00BA7805" w:rsidRDefault="005B131E" w:rsidP="002542E1">
            <w:pPr>
              <w:pStyle w:val="ARfintablebody"/>
              <w:rPr>
                <w:highlight w:val="green"/>
              </w:rPr>
            </w:pPr>
          </w:p>
        </w:tc>
        <w:tc>
          <w:tcPr>
            <w:tcW w:w="1361" w:type="dxa"/>
            <w:shd w:val="clear" w:color="auto" w:fill="E7E6E6"/>
            <w:noWrap/>
          </w:tcPr>
          <w:p w14:paraId="4BD59480" w14:textId="77777777" w:rsidR="005B131E" w:rsidRPr="00BA7805" w:rsidRDefault="005B131E" w:rsidP="002542E1">
            <w:pPr>
              <w:pStyle w:val="ARfintablebodyrightbold"/>
              <w:rPr>
                <w:highlight w:val="green"/>
              </w:rPr>
            </w:pPr>
            <w:r w:rsidRPr="008F7639">
              <w:t>674.6</w:t>
            </w:r>
          </w:p>
        </w:tc>
        <w:tc>
          <w:tcPr>
            <w:tcW w:w="1361" w:type="dxa"/>
            <w:noWrap/>
          </w:tcPr>
          <w:p w14:paraId="5BAEC97E" w14:textId="77777777" w:rsidR="005B131E" w:rsidRPr="00BA7805" w:rsidRDefault="005B131E" w:rsidP="002542E1">
            <w:pPr>
              <w:pStyle w:val="ARfintablebodyrightbold"/>
              <w:rPr>
                <w:highlight w:val="green"/>
              </w:rPr>
            </w:pPr>
            <w:r w:rsidRPr="008F7639">
              <w:t>478.5</w:t>
            </w:r>
          </w:p>
        </w:tc>
      </w:tr>
      <w:tr w:rsidR="005B131E" w:rsidRPr="00BA7805" w14:paraId="5733171A" w14:textId="77777777" w:rsidTr="003D7AC8">
        <w:tc>
          <w:tcPr>
            <w:tcW w:w="6915" w:type="dxa"/>
            <w:tcBorders>
              <w:bottom w:val="single" w:sz="4" w:space="0" w:color="auto"/>
            </w:tcBorders>
          </w:tcPr>
          <w:p w14:paraId="28648057" w14:textId="77777777" w:rsidR="005B131E" w:rsidRPr="00BA7805" w:rsidRDefault="005B131E" w:rsidP="002542E1">
            <w:pPr>
              <w:pStyle w:val="ARfintablebodybold"/>
              <w:rPr>
                <w:highlight w:val="green"/>
              </w:rPr>
            </w:pPr>
            <w:r w:rsidRPr="008F7639">
              <w:t>Total current receivables</w:t>
            </w:r>
          </w:p>
        </w:tc>
        <w:tc>
          <w:tcPr>
            <w:tcW w:w="1361" w:type="dxa"/>
            <w:tcBorders>
              <w:bottom w:val="single" w:sz="4" w:space="0" w:color="auto"/>
            </w:tcBorders>
            <w:shd w:val="clear" w:color="auto" w:fill="E7E6E6"/>
            <w:noWrap/>
          </w:tcPr>
          <w:p w14:paraId="329C4998" w14:textId="77777777" w:rsidR="005B131E" w:rsidRPr="00BA7805" w:rsidRDefault="005B131E" w:rsidP="002542E1">
            <w:pPr>
              <w:pStyle w:val="ARfintablebodyrightbold"/>
              <w:rPr>
                <w:highlight w:val="green"/>
              </w:rPr>
            </w:pPr>
            <w:r w:rsidRPr="008F7639">
              <w:t>1,110.8</w:t>
            </w:r>
          </w:p>
        </w:tc>
        <w:tc>
          <w:tcPr>
            <w:tcW w:w="1361" w:type="dxa"/>
            <w:tcBorders>
              <w:bottom w:val="single" w:sz="4" w:space="0" w:color="auto"/>
            </w:tcBorders>
            <w:noWrap/>
          </w:tcPr>
          <w:p w14:paraId="30C02AB4" w14:textId="77777777" w:rsidR="005B131E" w:rsidRPr="00BA7805" w:rsidRDefault="005B131E" w:rsidP="002542E1">
            <w:pPr>
              <w:pStyle w:val="ARfintablebodyrightbold"/>
              <w:rPr>
                <w:highlight w:val="green"/>
              </w:rPr>
            </w:pPr>
            <w:r w:rsidRPr="008F7639">
              <w:t>649.6</w:t>
            </w:r>
          </w:p>
        </w:tc>
      </w:tr>
      <w:tr w:rsidR="005B131E" w:rsidRPr="00BA7805" w14:paraId="46821E77" w14:textId="77777777" w:rsidTr="003D7AC8">
        <w:tc>
          <w:tcPr>
            <w:tcW w:w="9637" w:type="dxa"/>
            <w:gridSpan w:val="3"/>
            <w:tcBorders>
              <w:top w:val="single" w:sz="4" w:space="0" w:color="auto"/>
              <w:bottom w:val="single" w:sz="4" w:space="0" w:color="A6A6A6"/>
            </w:tcBorders>
          </w:tcPr>
          <w:p w14:paraId="5E0A26DF" w14:textId="77777777" w:rsidR="005B131E" w:rsidRPr="00BA7805" w:rsidRDefault="005B131E" w:rsidP="002542E1">
            <w:pPr>
              <w:pStyle w:val="ARfintablebodybold"/>
              <w:rPr>
                <w:highlight w:val="green"/>
              </w:rPr>
            </w:pPr>
            <w:r w:rsidRPr="008F7639">
              <w:t>Non-current receivables</w:t>
            </w:r>
          </w:p>
        </w:tc>
      </w:tr>
      <w:tr w:rsidR="005B131E" w:rsidRPr="00BA7805" w14:paraId="51286917" w14:textId="77777777" w:rsidTr="003D7AC8">
        <w:tc>
          <w:tcPr>
            <w:tcW w:w="9637" w:type="dxa"/>
            <w:gridSpan w:val="3"/>
            <w:tcBorders>
              <w:top w:val="single" w:sz="4" w:space="0" w:color="A6A6A6"/>
              <w:bottom w:val="single" w:sz="4" w:space="0" w:color="A6A6A6"/>
            </w:tcBorders>
          </w:tcPr>
          <w:p w14:paraId="08D792D3" w14:textId="77777777" w:rsidR="005B131E" w:rsidRPr="00EA2C4E" w:rsidRDefault="005B131E" w:rsidP="002542E1">
            <w:pPr>
              <w:pStyle w:val="ARfintablebody"/>
              <w:rPr>
                <w:rStyle w:val="Emphasis"/>
                <w:highlight w:val="green"/>
              </w:rPr>
            </w:pPr>
            <w:r w:rsidRPr="00EA2C4E">
              <w:rPr>
                <w:rStyle w:val="Emphasis"/>
              </w:rPr>
              <w:t>Statutory</w:t>
            </w:r>
          </w:p>
        </w:tc>
      </w:tr>
      <w:tr w:rsidR="005B131E" w:rsidRPr="00BA7805" w14:paraId="46AA577A" w14:textId="77777777" w:rsidTr="003D7AC8">
        <w:tc>
          <w:tcPr>
            <w:tcW w:w="6915" w:type="dxa"/>
            <w:tcBorders>
              <w:top w:val="single" w:sz="4" w:space="0" w:color="A6A6A6"/>
            </w:tcBorders>
          </w:tcPr>
          <w:p w14:paraId="1654794A" w14:textId="77777777" w:rsidR="005B131E" w:rsidRPr="00BA7805" w:rsidRDefault="005B131E" w:rsidP="002542E1">
            <w:pPr>
              <w:pStyle w:val="ARfintablebody"/>
              <w:rPr>
                <w:highlight w:val="green"/>
              </w:rPr>
            </w:pPr>
            <w:r w:rsidRPr="008F7639">
              <w:t>Amounts owing from Victorian Government</w:t>
            </w:r>
          </w:p>
        </w:tc>
        <w:tc>
          <w:tcPr>
            <w:tcW w:w="1361" w:type="dxa"/>
            <w:tcBorders>
              <w:top w:val="single" w:sz="4" w:space="0" w:color="A6A6A6"/>
            </w:tcBorders>
            <w:shd w:val="clear" w:color="auto" w:fill="E7E6E6"/>
            <w:noWrap/>
          </w:tcPr>
          <w:p w14:paraId="41BDCEDE" w14:textId="77777777" w:rsidR="005B131E" w:rsidRPr="00BA7805" w:rsidRDefault="005B131E" w:rsidP="002542E1">
            <w:pPr>
              <w:pStyle w:val="ARfintablebodyright"/>
              <w:rPr>
                <w:highlight w:val="green"/>
              </w:rPr>
            </w:pPr>
            <w:r w:rsidRPr="008F7639">
              <w:t>171.4</w:t>
            </w:r>
          </w:p>
        </w:tc>
        <w:tc>
          <w:tcPr>
            <w:tcW w:w="1361" w:type="dxa"/>
            <w:tcBorders>
              <w:top w:val="single" w:sz="4" w:space="0" w:color="A6A6A6"/>
            </w:tcBorders>
            <w:noWrap/>
          </w:tcPr>
          <w:p w14:paraId="29B60353" w14:textId="77777777" w:rsidR="005B131E" w:rsidRPr="00BA7805" w:rsidRDefault="005B131E" w:rsidP="002542E1">
            <w:pPr>
              <w:pStyle w:val="ARfintablebodyright"/>
              <w:rPr>
                <w:highlight w:val="green"/>
              </w:rPr>
            </w:pPr>
            <w:r w:rsidRPr="008F7639">
              <w:t>164.7</w:t>
            </w:r>
          </w:p>
        </w:tc>
      </w:tr>
      <w:tr w:rsidR="005B131E" w:rsidRPr="00BA7805" w14:paraId="0368D835" w14:textId="77777777" w:rsidTr="003D7AC8">
        <w:tc>
          <w:tcPr>
            <w:tcW w:w="6915" w:type="dxa"/>
          </w:tcPr>
          <w:p w14:paraId="0FEAB25F" w14:textId="77777777" w:rsidR="005B131E" w:rsidRPr="00BA7805" w:rsidRDefault="005B131E" w:rsidP="002542E1">
            <w:pPr>
              <w:pStyle w:val="ARfintablebodybold"/>
              <w:rPr>
                <w:highlight w:val="green"/>
              </w:rPr>
            </w:pPr>
            <w:r w:rsidRPr="008F7639">
              <w:t>Total non-current receivables</w:t>
            </w:r>
          </w:p>
        </w:tc>
        <w:tc>
          <w:tcPr>
            <w:tcW w:w="1361" w:type="dxa"/>
            <w:shd w:val="clear" w:color="auto" w:fill="E7E6E6"/>
            <w:noWrap/>
          </w:tcPr>
          <w:p w14:paraId="39C9B231" w14:textId="77777777" w:rsidR="005B131E" w:rsidRPr="00BA7805" w:rsidRDefault="005B131E" w:rsidP="002542E1">
            <w:pPr>
              <w:pStyle w:val="ARfintablebodyrightbold"/>
              <w:rPr>
                <w:highlight w:val="green"/>
              </w:rPr>
            </w:pPr>
            <w:r w:rsidRPr="008F7639">
              <w:t>171.4</w:t>
            </w:r>
          </w:p>
        </w:tc>
        <w:tc>
          <w:tcPr>
            <w:tcW w:w="1361" w:type="dxa"/>
            <w:noWrap/>
          </w:tcPr>
          <w:p w14:paraId="09C5C6D0" w14:textId="77777777" w:rsidR="005B131E" w:rsidRPr="00BA7805" w:rsidRDefault="005B131E" w:rsidP="002542E1">
            <w:pPr>
              <w:pStyle w:val="ARfintablebodyrightbold"/>
              <w:rPr>
                <w:highlight w:val="green"/>
              </w:rPr>
            </w:pPr>
            <w:r w:rsidRPr="008F7639">
              <w:t>164.7</w:t>
            </w:r>
          </w:p>
        </w:tc>
      </w:tr>
      <w:tr w:rsidR="005B131E" w:rsidRPr="00BA7805" w14:paraId="054013D9" w14:textId="77777777" w:rsidTr="003D7AC8">
        <w:tc>
          <w:tcPr>
            <w:tcW w:w="6915" w:type="dxa"/>
          </w:tcPr>
          <w:p w14:paraId="683B1708" w14:textId="77777777" w:rsidR="005B131E" w:rsidRPr="00BA7805" w:rsidRDefault="005B131E" w:rsidP="002542E1">
            <w:pPr>
              <w:pStyle w:val="ARfintablebodybold"/>
              <w:rPr>
                <w:highlight w:val="green"/>
              </w:rPr>
            </w:pPr>
            <w:r w:rsidRPr="008F7639">
              <w:t>Total receivables</w:t>
            </w:r>
          </w:p>
        </w:tc>
        <w:tc>
          <w:tcPr>
            <w:tcW w:w="1361" w:type="dxa"/>
            <w:shd w:val="clear" w:color="auto" w:fill="E7E6E6"/>
            <w:noWrap/>
          </w:tcPr>
          <w:p w14:paraId="3DEF8D6F" w14:textId="77777777" w:rsidR="005B131E" w:rsidRPr="00BA7805" w:rsidRDefault="005B131E" w:rsidP="002542E1">
            <w:pPr>
              <w:pStyle w:val="ARfintablebodyrightbold"/>
              <w:rPr>
                <w:highlight w:val="green"/>
              </w:rPr>
            </w:pPr>
            <w:r w:rsidRPr="008F7639">
              <w:t>1,282.2</w:t>
            </w:r>
          </w:p>
        </w:tc>
        <w:tc>
          <w:tcPr>
            <w:tcW w:w="1361" w:type="dxa"/>
            <w:noWrap/>
          </w:tcPr>
          <w:p w14:paraId="2A11BB02" w14:textId="77777777" w:rsidR="005B131E" w:rsidRPr="00BA7805" w:rsidRDefault="005B131E" w:rsidP="002542E1">
            <w:pPr>
              <w:pStyle w:val="ARfintablebodyrightbold"/>
              <w:rPr>
                <w:highlight w:val="green"/>
              </w:rPr>
            </w:pPr>
            <w:r w:rsidRPr="008F7639">
              <w:t>814.3</w:t>
            </w:r>
          </w:p>
        </w:tc>
      </w:tr>
    </w:tbl>
    <w:p w14:paraId="06461053" w14:textId="3EFDDC2E" w:rsidR="005B131E" w:rsidRDefault="005B131E" w:rsidP="002542E1">
      <w:pPr>
        <w:pStyle w:val="ARfinbodyaftertable"/>
      </w:pPr>
      <w:r w:rsidRPr="007613D5">
        <w:rPr>
          <w:rStyle w:val="Strong"/>
        </w:rPr>
        <w:t>Contractual receivables</w:t>
      </w:r>
      <w:r>
        <w:t xml:space="preserve"> are classified as financial instruments and categorised as </w:t>
      </w:r>
      <w:r w:rsidR="00711AE6">
        <w:t>‘</w:t>
      </w:r>
      <w:r>
        <w:t>financial assets at amortised costs</w:t>
      </w:r>
      <w:r w:rsidR="00711AE6">
        <w:t>’</w:t>
      </w:r>
      <w:r>
        <w:t>. They are initially recognised at fair value plus any directly attributable transaction costs. The department holds the contractual receivables with the objective to collect the contractual cash flows and therefore subsequent to initial measurement they are measured at amortised cost using the effective interest method, less any impairment.</w:t>
      </w:r>
    </w:p>
    <w:p w14:paraId="48ED053C" w14:textId="77777777" w:rsidR="005B131E" w:rsidRDefault="005B131E" w:rsidP="002542E1">
      <w:pPr>
        <w:pStyle w:val="ARfinbody"/>
      </w:pPr>
      <w:r w:rsidRPr="007613D5">
        <w:rPr>
          <w:rStyle w:val="Strong"/>
        </w:rPr>
        <w:t>Statutory receivables</w:t>
      </w:r>
      <w:r>
        <w:t xml:space="preserve"> do not arise from contracts and are recognised and measured similarly to contractual receivables (except for impairment) but are not classified as financial instruments for disclosure purposes. The department applies AASB 9 for initial measurement of the statutory receivables and, as a result, statutory receivables are initially recognised at fair value plus any directly attributable transaction costs.</w:t>
      </w:r>
    </w:p>
    <w:p w14:paraId="47EEBAC5" w14:textId="635C9F1C" w:rsidR="005B131E" w:rsidRPr="00BA7805" w:rsidRDefault="005B131E" w:rsidP="002542E1">
      <w:pPr>
        <w:pStyle w:val="ARfinbody"/>
        <w:rPr>
          <w:highlight w:val="green"/>
        </w:rPr>
      </w:pPr>
      <w:r>
        <w:t>Details about the department</w:t>
      </w:r>
      <w:r w:rsidR="00711AE6">
        <w:t>’</w:t>
      </w:r>
      <w:r>
        <w:t>s impairment policies, the department</w:t>
      </w:r>
      <w:r w:rsidR="00711AE6">
        <w:t>’</w:t>
      </w:r>
      <w:r>
        <w:t>s exposure to credit risks and the calculation of the loss allowance are set out in Note 8.1.3.</w:t>
      </w:r>
    </w:p>
    <w:p w14:paraId="2C7FE797" w14:textId="77777777" w:rsidR="005B131E" w:rsidRPr="00BA7805" w:rsidRDefault="005B131E">
      <w:pPr>
        <w:pStyle w:val="ARfinbody"/>
        <w:rPr>
          <w:highlight w:val="green"/>
        </w:rPr>
      </w:pPr>
      <w:r w:rsidRPr="00BA7805">
        <w:rPr>
          <w:highlight w:val="green"/>
        </w:rPr>
        <w:br w:type="page"/>
      </w:r>
    </w:p>
    <w:p w14:paraId="41E46565" w14:textId="77777777" w:rsidR="005B131E" w:rsidRPr="006A4005" w:rsidRDefault="005B131E">
      <w:pPr>
        <w:pStyle w:val="Heading4"/>
      </w:pPr>
      <w:r w:rsidRPr="006A4005">
        <w:t>6.2 Loans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7234E64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7212AFDA" w14:textId="77777777" w:rsidR="005B131E" w:rsidRPr="006A4005" w:rsidRDefault="005B131E">
            <w:pPr>
              <w:pStyle w:val="ARfintablecolhead"/>
            </w:pPr>
          </w:p>
        </w:tc>
        <w:tc>
          <w:tcPr>
            <w:tcW w:w="1361" w:type="dxa"/>
            <w:tcBorders>
              <w:bottom w:val="single" w:sz="4" w:space="0" w:color="auto"/>
            </w:tcBorders>
            <w:shd w:val="clear" w:color="auto" w:fill="E7E6E6" w:themeFill="accent4"/>
            <w:hideMark/>
          </w:tcPr>
          <w:p w14:paraId="51F12811" w14:textId="77777777" w:rsidR="005B131E" w:rsidRPr="006A4005" w:rsidRDefault="005B131E">
            <w:pPr>
              <w:pStyle w:val="ARfintablecolheadright"/>
            </w:pPr>
            <w:r w:rsidRPr="006A4005">
              <w:t>2024</w:t>
            </w:r>
          </w:p>
          <w:p w14:paraId="2B9B0758" w14:textId="77777777" w:rsidR="005B131E" w:rsidRPr="006A4005" w:rsidRDefault="005B131E">
            <w:pPr>
              <w:pStyle w:val="ARfintablecolheadright"/>
            </w:pPr>
            <w:r w:rsidRPr="006A4005">
              <w:t>$M</w:t>
            </w:r>
          </w:p>
        </w:tc>
        <w:tc>
          <w:tcPr>
            <w:tcW w:w="1361" w:type="dxa"/>
            <w:tcBorders>
              <w:bottom w:val="single" w:sz="4" w:space="0" w:color="auto"/>
            </w:tcBorders>
            <w:hideMark/>
          </w:tcPr>
          <w:p w14:paraId="75757569" w14:textId="77777777" w:rsidR="005B131E" w:rsidRPr="006A4005" w:rsidRDefault="005B131E">
            <w:pPr>
              <w:pStyle w:val="ARfintablecolheadright"/>
            </w:pPr>
            <w:r w:rsidRPr="006A4005">
              <w:t>2023</w:t>
            </w:r>
          </w:p>
          <w:p w14:paraId="3626310F" w14:textId="77777777" w:rsidR="005B131E" w:rsidRPr="006A4005" w:rsidRDefault="005B131E">
            <w:pPr>
              <w:pStyle w:val="ARfintablecolheadright"/>
            </w:pPr>
            <w:r w:rsidRPr="006A4005">
              <w:t>$M</w:t>
            </w:r>
          </w:p>
        </w:tc>
      </w:tr>
      <w:tr w:rsidR="005B131E" w:rsidRPr="00BA7805" w14:paraId="5297FF20" w14:textId="77777777">
        <w:tc>
          <w:tcPr>
            <w:tcW w:w="9637" w:type="dxa"/>
            <w:gridSpan w:val="3"/>
            <w:tcBorders>
              <w:top w:val="single" w:sz="4" w:space="0" w:color="auto"/>
              <w:bottom w:val="single" w:sz="4" w:space="0" w:color="A6A6A6" w:themeColor="background1" w:themeShade="A6"/>
            </w:tcBorders>
            <w:hideMark/>
          </w:tcPr>
          <w:p w14:paraId="7273768D" w14:textId="77777777" w:rsidR="005B131E" w:rsidRPr="00BA7805" w:rsidRDefault="005B131E" w:rsidP="002542E1">
            <w:pPr>
              <w:pStyle w:val="ARfintablebodybold"/>
              <w:rPr>
                <w:highlight w:val="green"/>
              </w:rPr>
            </w:pPr>
            <w:r w:rsidRPr="005A6665">
              <w:t xml:space="preserve">Current loans </w:t>
            </w:r>
          </w:p>
        </w:tc>
      </w:tr>
      <w:tr w:rsidR="005B131E" w:rsidRPr="00BA7805" w14:paraId="60FBCAC3" w14:textId="77777777" w:rsidTr="002542E1">
        <w:tc>
          <w:tcPr>
            <w:tcW w:w="9637" w:type="dxa"/>
            <w:gridSpan w:val="3"/>
            <w:tcBorders>
              <w:top w:val="single" w:sz="4" w:space="0" w:color="A6A6A6" w:themeColor="background1" w:themeShade="A6"/>
              <w:bottom w:val="single" w:sz="4" w:space="0" w:color="A6A6A6" w:themeColor="background1" w:themeShade="A6"/>
            </w:tcBorders>
            <w:shd w:val="clear" w:color="auto" w:fill="auto"/>
          </w:tcPr>
          <w:p w14:paraId="2C234ADD" w14:textId="77777777" w:rsidR="005B131E" w:rsidRPr="001F08B4" w:rsidRDefault="005B131E" w:rsidP="002542E1">
            <w:pPr>
              <w:pStyle w:val="ARfintablebody"/>
              <w:rPr>
                <w:rStyle w:val="Emphasis"/>
                <w:highlight w:val="green"/>
              </w:rPr>
            </w:pPr>
            <w:r w:rsidRPr="001F08B4">
              <w:rPr>
                <w:rStyle w:val="Emphasis"/>
              </w:rPr>
              <w:t>Contractual</w:t>
            </w:r>
          </w:p>
        </w:tc>
      </w:tr>
      <w:tr w:rsidR="005B131E" w:rsidRPr="00BA7805" w14:paraId="27E7CC41" w14:textId="77777777" w:rsidTr="002542E1">
        <w:tc>
          <w:tcPr>
            <w:tcW w:w="6915" w:type="dxa"/>
            <w:tcBorders>
              <w:top w:val="single" w:sz="4" w:space="0" w:color="A6A6A6" w:themeColor="background1" w:themeShade="A6"/>
              <w:bottom w:val="single" w:sz="4" w:space="0" w:color="A6A6A6" w:themeColor="background1" w:themeShade="A6"/>
            </w:tcBorders>
          </w:tcPr>
          <w:p w14:paraId="369E89CF" w14:textId="77777777" w:rsidR="005B131E" w:rsidRPr="00BA7805" w:rsidRDefault="005B131E" w:rsidP="002542E1">
            <w:pPr>
              <w:pStyle w:val="ARfintablebody"/>
              <w:rPr>
                <w:highlight w:val="green"/>
              </w:rPr>
            </w:pPr>
            <w:r w:rsidRPr="005A6665">
              <w:t>Fixed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B19A469" w14:textId="77777777" w:rsidR="005B131E" w:rsidRPr="00BA7805" w:rsidRDefault="005B131E" w:rsidP="002542E1">
            <w:pPr>
              <w:pStyle w:val="ARfintablebodyright"/>
              <w:rPr>
                <w:highlight w:val="green"/>
              </w:rPr>
            </w:pPr>
            <w:r w:rsidRPr="005A6665">
              <w:t>0.5</w:t>
            </w:r>
          </w:p>
        </w:tc>
        <w:tc>
          <w:tcPr>
            <w:tcW w:w="1361" w:type="dxa"/>
            <w:tcBorders>
              <w:top w:val="single" w:sz="4" w:space="0" w:color="A6A6A6" w:themeColor="background1" w:themeShade="A6"/>
              <w:bottom w:val="single" w:sz="4" w:space="0" w:color="A6A6A6" w:themeColor="background1" w:themeShade="A6"/>
            </w:tcBorders>
            <w:noWrap/>
          </w:tcPr>
          <w:p w14:paraId="21C544A9" w14:textId="77777777" w:rsidR="005B131E" w:rsidRPr="00BA7805" w:rsidRDefault="005B131E" w:rsidP="002542E1">
            <w:pPr>
              <w:pStyle w:val="ARfintablebodyright"/>
              <w:rPr>
                <w:highlight w:val="green"/>
              </w:rPr>
            </w:pPr>
            <w:r w:rsidRPr="005A6665">
              <w:t>0.6</w:t>
            </w:r>
          </w:p>
        </w:tc>
      </w:tr>
      <w:tr w:rsidR="005B131E" w:rsidRPr="00BA7805" w14:paraId="25D6DC71" w14:textId="77777777" w:rsidTr="002542E1">
        <w:tc>
          <w:tcPr>
            <w:tcW w:w="6915" w:type="dxa"/>
            <w:tcBorders>
              <w:top w:val="single" w:sz="4" w:space="0" w:color="A6A6A6" w:themeColor="background1" w:themeShade="A6"/>
              <w:bottom w:val="single" w:sz="4" w:space="0" w:color="A6A6A6" w:themeColor="background1" w:themeShade="A6"/>
            </w:tcBorders>
          </w:tcPr>
          <w:p w14:paraId="0293B0AF" w14:textId="77777777" w:rsidR="005B131E" w:rsidRPr="00BA7805" w:rsidRDefault="005B131E" w:rsidP="002542E1">
            <w:pPr>
              <w:pStyle w:val="ARfintablebody"/>
              <w:rPr>
                <w:highlight w:val="green"/>
              </w:rPr>
            </w:pPr>
            <w:r w:rsidRPr="005A6665">
              <w:t>Indexed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6EDDF98" w14:textId="77777777" w:rsidR="005B131E" w:rsidRPr="00BA7805" w:rsidRDefault="005B131E" w:rsidP="002542E1">
            <w:pPr>
              <w:pStyle w:val="ARfintablebodyright"/>
              <w:rPr>
                <w:highlight w:val="green"/>
              </w:rPr>
            </w:pPr>
            <w:r w:rsidRPr="005A6665">
              <w:t>7.0</w:t>
            </w:r>
          </w:p>
        </w:tc>
        <w:tc>
          <w:tcPr>
            <w:tcW w:w="1361" w:type="dxa"/>
            <w:tcBorders>
              <w:top w:val="single" w:sz="4" w:space="0" w:color="A6A6A6" w:themeColor="background1" w:themeShade="A6"/>
              <w:bottom w:val="single" w:sz="4" w:space="0" w:color="A6A6A6" w:themeColor="background1" w:themeShade="A6"/>
            </w:tcBorders>
            <w:noWrap/>
          </w:tcPr>
          <w:p w14:paraId="1EA7C901" w14:textId="77777777" w:rsidR="005B131E" w:rsidRPr="00BA7805" w:rsidRDefault="005B131E" w:rsidP="002542E1">
            <w:pPr>
              <w:pStyle w:val="ARfintablebodyright"/>
              <w:rPr>
                <w:highlight w:val="green"/>
              </w:rPr>
            </w:pPr>
            <w:r w:rsidRPr="005A6665">
              <w:t>7.6</w:t>
            </w:r>
          </w:p>
        </w:tc>
      </w:tr>
      <w:tr w:rsidR="005B131E" w:rsidRPr="00BA7805" w14:paraId="12ADD16C" w14:textId="77777777" w:rsidTr="002542E1">
        <w:tc>
          <w:tcPr>
            <w:tcW w:w="6915" w:type="dxa"/>
            <w:tcBorders>
              <w:bottom w:val="single" w:sz="4" w:space="0" w:color="auto"/>
            </w:tcBorders>
          </w:tcPr>
          <w:p w14:paraId="3ED3B3EB" w14:textId="77777777" w:rsidR="005B131E" w:rsidRPr="00BA7805" w:rsidRDefault="005B131E" w:rsidP="002542E1">
            <w:pPr>
              <w:pStyle w:val="ARfintablebodybold"/>
              <w:rPr>
                <w:highlight w:val="green"/>
              </w:rPr>
            </w:pPr>
            <w:r w:rsidRPr="005A6665">
              <w:t>Total current loans</w:t>
            </w:r>
          </w:p>
        </w:tc>
        <w:tc>
          <w:tcPr>
            <w:tcW w:w="1361" w:type="dxa"/>
            <w:tcBorders>
              <w:bottom w:val="single" w:sz="4" w:space="0" w:color="auto"/>
            </w:tcBorders>
            <w:shd w:val="clear" w:color="auto" w:fill="E7E6E6" w:themeFill="accent4"/>
            <w:noWrap/>
          </w:tcPr>
          <w:p w14:paraId="5AAA022E" w14:textId="77777777" w:rsidR="005B131E" w:rsidRPr="00BA7805" w:rsidRDefault="005B131E" w:rsidP="002542E1">
            <w:pPr>
              <w:pStyle w:val="ARfintablebodyrightbold"/>
              <w:rPr>
                <w:highlight w:val="green"/>
              </w:rPr>
            </w:pPr>
            <w:r w:rsidRPr="005A6665">
              <w:t>7.5</w:t>
            </w:r>
          </w:p>
        </w:tc>
        <w:tc>
          <w:tcPr>
            <w:tcW w:w="1361" w:type="dxa"/>
            <w:tcBorders>
              <w:bottom w:val="single" w:sz="4" w:space="0" w:color="auto"/>
            </w:tcBorders>
            <w:noWrap/>
          </w:tcPr>
          <w:p w14:paraId="47228750" w14:textId="77777777" w:rsidR="005B131E" w:rsidRPr="00BA7805" w:rsidRDefault="005B131E" w:rsidP="002542E1">
            <w:pPr>
              <w:pStyle w:val="ARfintablebodyrightbold"/>
              <w:rPr>
                <w:highlight w:val="green"/>
              </w:rPr>
            </w:pPr>
            <w:r w:rsidRPr="005A6665">
              <w:t>8.2</w:t>
            </w:r>
          </w:p>
        </w:tc>
      </w:tr>
      <w:tr w:rsidR="005B131E" w:rsidRPr="00BA7805" w14:paraId="29F8764D" w14:textId="77777777" w:rsidTr="003D7AC8">
        <w:tc>
          <w:tcPr>
            <w:tcW w:w="9637" w:type="dxa"/>
            <w:gridSpan w:val="3"/>
            <w:tcBorders>
              <w:top w:val="single" w:sz="4" w:space="0" w:color="auto"/>
              <w:bottom w:val="single" w:sz="4" w:space="0" w:color="A6A6A6" w:themeColor="background1" w:themeShade="A6"/>
            </w:tcBorders>
          </w:tcPr>
          <w:p w14:paraId="3147C90B" w14:textId="77777777" w:rsidR="005B131E" w:rsidRPr="00BA7805" w:rsidRDefault="005B131E" w:rsidP="002542E1">
            <w:pPr>
              <w:pStyle w:val="ARfintablebodybold"/>
              <w:rPr>
                <w:highlight w:val="green"/>
              </w:rPr>
            </w:pPr>
            <w:r w:rsidRPr="005A6665">
              <w:t xml:space="preserve">Non-current loans </w:t>
            </w:r>
          </w:p>
        </w:tc>
      </w:tr>
      <w:tr w:rsidR="005B131E" w:rsidRPr="00BA7805" w14:paraId="7C54981B" w14:textId="77777777" w:rsidTr="003D7AC8">
        <w:tc>
          <w:tcPr>
            <w:tcW w:w="9637" w:type="dxa"/>
            <w:gridSpan w:val="3"/>
            <w:tcBorders>
              <w:top w:val="single" w:sz="4" w:space="0" w:color="A6A6A6" w:themeColor="background1" w:themeShade="A6"/>
              <w:bottom w:val="single" w:sz="4" w:space="0" w:color="A6A6A6" w:themeColor="background1" w:themeShade="A6"/>
            </w:tcBorders>
          </w:tcPr>
          <w:p w14:paraId="3BDF3081" w14:textId="77777777" w:rsidR="005B131E" w:rsidRPr="001F08B4" w:rsidRDefault="005B131E" w:rsidP="002542E1">
            <w:pPr>
              <w:pStyle w:val="ARfintablebody"/>
              <w:rPr>
                <w:rStyle w:val="Emphasis"/>
                <w:highlight w:val="green"/>
              </w:rPr>
            </w:pPr>
            <w:r w:rsidRPr="001F08B4">
              <w:rPr>
                <w:rStyle w:val="Emphasis"/>
              </w:rPr>
              <w:t>Contractual</w:t>
            </w:r>
          </w:p>
        </w:tc>
      </w:tr>
      <w:tr w:rsidR="005B131E" w:rsidRPr="00BA7805" w14:paraId="5307171C" w14:textId="77777777" w:rsidTr="002542E1">
        <w:tc>
          <w:tcPr>
            <w:tcW w:w="6915" w:type="dxa"/>
            <w:tcBorders>
              <w:top w:val="single" w:sz="4" w:space="0" w:color="A6A6A6" w:themeColor="background1" w:themeShade="A6"/>
              <w:bottom w:val="single" w:sz="4" w:space="0" w:color="A6A6A6" w:themeColor="background1" w:themeShade="A6"/>
            </w:tcBorders>
          </w:tcPr>
          <w:p w14:paraId="545C3C71" w14:textId="77777777" w:rsidR="005B131E" w:rsidRPr="00BA7805" w:rsidRDefault="005B131E" w:rsidP="002542E1">
            <w:pPr>
              <w:pStyle w:val="ARfintablebody"/>
              <w:rPr>
                <w:highlight w:val="green"/>
              </w:rPr>
            </w:pPr>
            <w:r w:rsidRPr="005A6665">
              <w:t>Fixed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187A5F9" w14:textId="77777777" w:rsidR="005B131E" w:rsidRPr="00BA7805" w:rsidRDefault="005B131E" w:rsidP="002542E1">
            <w:pPr>
              <w:pStyle w:val="ARfintablebodyright"/>
              <w:rPr>
                <w:highlight w:val="green"/>
              </w:rPr>
            </w:pPr>
            <w:r w:rsidRPr="005A6665">
              <w:t>0.3</w:t>
            </w:r>
          </w:p>
        </w:tc>
        <w:tc>
          <w:tcPr>
            <w:tcW w:w="1361" w:type="dxa"/>
            <w:tcBorders>
              <w:top w:val="single" w:sz="4" w:space="0" w:color="A6A6A6" w:themeColor="background1" w:themeShade="A6"/>
              <w:bottom w:val="single" w:sz="4" w:space="0" w:color="A6A6A6" w:themeColor="background1" w:themeShade="A6"/>
            </w:tcBorders>
            <w:noWrap/>
          </w:tcPr>
          <w:p w14:paraId="7BF72303" w14:textId="77777777" w:rsidR="005B131E" w:rsidRPr="00BA7805" w:rsidRDefault="005B131E" w:rsidP="002542E1">
            <w:pPr>
              <w:pStyle w:val="ARfintablebodyright"/>
              <w:rPr>
                <w:highlight w:val="green"/>
              </w:rPr>
            </w:pPr>
            <w:r w:rsidRPr="005A6665">
              <w:t>0.5</w:t>
            </w:r>
          </w:p>
        </w:tc>
      </w:tr>
      <w:tr w:rsidR="005B131E" w:rsidRPr="00BA7805" w14:paraId="2486F4AC" w14:textId="77777777" w:rsidTr="002542E1">
        <w:tc>
          <w:tcPr>
            <w:tcW w:w="6915" w:type="dxa"/>
            <w:tcBorders>
              <w:top w:val="single" w:sz="4" w:space="0" w:color="A6A6A6" w:themeColor="background1" w:themeShade="A6"/>
              <w:bottom w:val="single" w:sz="4" w:space="0" w:color="A6A6A6" w:themeColor="background1" w:themeShade="A6"/>
            </w:tcBorders>
          </w:tcPr>
          <w:p w14:paraId="520E7219" w14:textId="77777777" w:rsidR="005B131E" w:rsidRPr="00BA7805" w:rsidRDefault="005B131E" w:rsidP="002542E1">
            <w:pPr>
              <w:pStyle w:val="ARfintablebody"/>
              <w:rPr>
                <w:highlight w:val="green"/>
              </w:rPr>
            </w:pPr>
            <w:r w:rsidRPr="005A6665">
              <w:t>Indexed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F3C1CA0" w14:textId="77777777" w:rsidR="005B131E" w:rsidRPr="00BA7805" w:rsidRDefault="005B131E" w:rsidP="002542E1">
            <w:pPr>
              <w:pStyle w:val="ARfintablebodyright"/>
              <w:rPr>
                <w:highlight w:val="green"/>
              </w:rPr>
            </w:pPr>
            <w:r w:rsidRPr="005A6665">
              <w:t>0.3</w:t>
            </w:r>
          </w:p>
        </w:tc>
        <w:tc>
          <w:tcPr>
            <w:tcW w:w="1361" w:type="dxa"/>
            <w:tcBorders>
              <w:top w:val="single" w:sz="4" w:space="0" w:color="A6A6A6" w:themeColor="background1" w:themeShade="A6"/>
              <w:bottom w:val="single" w:sz="4" w:space="0" w:color="A6A6A6" w:themeColor="background1" w:themeShade="A6"/>
            </w:tcBorders>
            <w:noWrap/>
          </w:tcPr>
          <w:p w14:paraId="1022DD0D" w14:textId="77777777" w:rsidR="005B131E" w:rsidRPr="00BA7805" w:rsidRDefault="005B131E" w:rsidP="002542E1">
            <w:pPr>
              <w:pStyle w:val="ARfintablebodyright"/>
              <w:rPr>
                <w:highlight w:val="green"/>
              </w:rPr>
            </w:pPr>
            <w:r w:rsidRPr="005A6665">
              <w:t>1.2</w:t>
            </w:r>
          </w:p>
        </w:tc>
      </w:tr>
      <w:tr w:rsidR="005B131E" w:rsidRPr="00BA7805" w14:paraId="68788645" w14:textId="77777777" w:rsidTr="002542E1">
        <w:tc>
          <w:tcPr>
            <w:tcW w:w="6915" w:type="dxa"/>
            <w:tcBorders>
              <w:top w:val="single" w:sz="4" w:space="0" w:color="A6A6A6" w:themeColor="background1" w:themeShade="A6"/>
              <w:bottom w:val="single" w:sz="4" w:space="0" w:color="A6A6A6" w:themeColor="background1" w:themeShade="A6"/>
            </w:tcBorders>
          </w:tcPr>
          <w:p w14:paraId="68651FC2" w14:textId="77777777" w:rsidR="005B131E" w:rsidRPr="00BA7805" w:rsidRDefault="005B131E" w:rsidP="002542E1">
            <w:pPr>
              <w:pStyle w:val="ARfintablebody"/>
              <w:rPr>
                <w:highlight w:val="green"/>
              </w:rPr>
            </w:pPr>
            <w:r w:rsidRPr="005A6665">
              <w:t>Community housing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A8034F0" w14:textId="77777777" w:rsidR="005B131E" w:rsidRPr="00BA7805" w:rsidRDefault="005B131E" w:rsidP="002542E1">
            <w:pPr>
              <w:pStyle w:val="ARfintablebodyright"/>
              <w:rPr>
                <w:highlight w:val="green"/>
              </w:rPr>
            </w:pPr>
            <w:r w:rsidRPr="005A6665">
              <w:t>20.2</w:t>
            </w:r>
          </w:p>
        </w:tc>
        <w:tc>
          <w:tcPr>
            <w:tcW w:w="1361" w:type="dxa"/>
            <w:tcBorders>
              <w:top w:val="single" w:sz="4" w:space="0" w:color="A6A6A6" w:themeColor="background1" w:themeShade="A6"/>
              <w:bottom w:val="single" w:sz="4" w:space="0" w:color="A6A6A6" w:themeColor="background1" w:themeShade="A6"/>
            </w:tcBorders>
            <w:noWrap/>
          </w:tcPr>
          <w:p w14:paraId="737B9E65" w14:textId="77777777" w:rsidR="005B131E" w:rsidRPr="00BA7805" w:rsidRDefault="005B131E" w:rsidP="002542E1">
            <w:pPr>
              <w:pStyle w:val="ARfintablebodyright"/>
              <w:rPr>
                <w:highlight w:val="green"/>
              </w:rPr>
            </w:pPr>
            <w:r w:rsidRPr="005A6665">
              <w:t>20.2</w:t>
            </w:r>
          </w:p>
        </w:tc>
      </w:tr>
      <w:tr w:rsidR="005B131E" w:rsidRPr="00BA7805" w14:paraId="08F8827C" w14:textId="77777777" w:rsidTr="002542E1">
        <w:tc>
          <w:tcPr>
            <w:tcW w:w="6915" w:type="dxa"/>
            <w:tcBorders>
              <w:bottom w:val="single" w:sz="4" w:space="0" w:color="auto"/>
            </w:tcBorders>
          </w:tcPr>
          <w:p w14:paraId="72C3EF63" w14:textId="77777777" w:rsidR="005B131E" w:rsidRPr="00BA7805" w:rsidRDefault="005B131E" w:rsidP="002542E1">
            <w:pPr>
              <w:pStyle w:val="ARfintablebodybold"/>
              <w:rPr>
                <w:highlight w:val="green"/>
              </w:rPr>
            </w:pPr>
            <w:r w:rsidRPr="005A6665">
              <w:t xml:space="preserve">Total non-current loans </w:t>
            </w:r>
          </w:p>
        </w:tc>
        <w:tc>
          <w:tcPr>
            <w:tcW w:w="1361" w:type="dxa"/>
            <w:tcBorders>
              <w:bottom w:val="single" w:sz="4" w:space="0" w:color="auto"/>
            </w:tcBorders>
            <w:shd w:val="clear" w:color="auto" w:fill="E7E6E6" w:themeFill="accent4"/>
            <w:noWrap/>
          </w:tcPr>
          <w:p w14:paraId="61C39F80" w14:textId="77777777" w:rsidR="005B131E" w:rsidRPr="00BA7805" w:rsidRDefault="005B131E" w:rsidP="002542E1">
            <w:pPr>
              <w:pStyle w:val="ARfintablebodyrightbold"/>
              <w:rPr>
                <w:highlight w:val="green"/>
              </w:rPr>
            </w:pPr>
            <w:r w:rsidRPr="005A6665">
              <w:t>20.8</w:t>
            </w:r>
          </w:p>
        </w:tc>
        <w:tc>
          <w:tcPr>
            <w:tcW w:w="1361" w:type="dxa"/>
            <w:tcBorders>
              <w:bottom w:val="single" w:sz="4" w:space="0" w:color="auto"/>
            </w:tcBorders>
            <w:noWrap/>
          </w:tcPr>
          <w:p w14:paraId="28CAD921" w14:textId="77777777" w:rsidR="005B131E" w:rsidRPr="00BA7805" w:rsidRDefault="005B131E" w:rsidP="002542E1">
            <w:pPr>
              <w:pStyle w:val="ARfintablebodyrightbold"/>
              <w:rPr>
                <w:highlight w:val="green"/>
              </w:rPr>
            </w:pPr>
            <w:r w:rsidRPr="005A6665">
              <w:t>21.8</w:t>
            </w:r>
          </w:p>
        </w:tc>
      </w:tr>
      <w:tr w:rsidR="005B131E" w:rsidRPr="00BA7805" w14:paraId="1C8DD19C" w14:textId="77777777" w:rsidTr="003D7AC8">
        <w:tc>
          <w:tcPr>
            <w:tcW w:w="9637" w:type="dxa"/>
            <w:gridSpan w:val="3"/>
            <w:tcBorders>
              <w:top w:val="single" w:sz="4" w:space="0" w:color="auto"/>
              <w:bottom w:val="single" w:sz="4" w:space="0" w:color="A6A6A6" w:themeColor="background1" w:themeShade="A6"/>
            </w:tcBorders>
          </w:tcPr>
          <w:p w14:paraId="40B28B11" w14:textId="77777777" w:rsidR="005B131E" w:rsidRPr="00BA7805" w:rsidRDefault="005B131E" w:rsidP="002542E1">
            <w:pPr>
              <w:pStyle w:val="ARfintablebodybold"/>
              <w:rPr>
                <w:highlight w:val="green"/>
              </w:rPr>
            </w:pPr>
            <w:r w:rsidRPr="005A6665">
              <w:t>Less allowance for impairment losses of contractual loans</w:t>
            </w:r>
          </w:p>
        </w:tc>
      </w:tr>
      <w:tr w:rsidR="005B131E" w:rsidRPr="00BA7805" w14:paraId="5516FE65" w14:textId="77777777" w:rsidTr="002542E1">
        <w:tc>
          <w:tcPr>
            <w:tcW w:w="6915" w:type="dxa"/>
            <w:tcBorders>
              <w:top w:val="single" w:sz="4" w:space="0" w:color="A6A6A6" w:themeColor="background1" w:themeShade="A6"/>
            </w:tcBorders>
          </w:tcPr>
          <w:p w14:paraId="07AF1DA0" w14:textId="77777777" w:rsidR="005B131E" w:rsidRPr="00BA7805" w:rsidRDefault="005B131E" w:rsidP="002542E1">
            <w:pPr>
              <w:pStyle w:val="ARfintablebody"/>
              <w:rPr>
                <w:highlight w:val="green"/>
              </w:rPr>
            </w:pPr>
            <w:r w:rsidRPr="005A6665">
              <w:t>Indexed interest home loans</w:t>
            </w:r>
          </w:p>
        </w:tc>
        <w:tc>
          <w:tcPr>
            <w:tcW w:w="1361" w:type="dxa"/>
            <w:tcBorders>
              <w:top w:val="single" w:sz="4" w:space="0" w:color="A6A6A6" w:themeColor="background1" w:themeShade="A6"/>
            </w:tcBorders>
            <w:shd w:val="clear" w:color="auto" w:fill="E7E6E6" w:themeFill="accent4"/>
            <w:noWrap/>
          </w:tcPr>
          <w:p w14:paraId="64102F55" w14:textId="77777777" w:rsidR="005B131E" w:rsidRPr="00BA7805" w:rsidRDefault="005B131E" w:rsidP="002542E1">
            <w:pPr>
              <w:pStyle w:val="ARfintablebodyright"/>
              <w:rPr>
                <w:highlight w:val="green"/>
              </w:rPr>
            </w:pPr>
            <w:r w:rsidRPr="005A6665">
              <w:t>(0.1)</w:t>
            </w:r>
          </w:p>
        </w:tc>
        <w:tc>
          <w:tcPr>
            <w:tcW w:w="1361" w:type="dxa"/>
            <w:tcBorders>
              <w:top w:val="single" w:sz="4" w:space="0" w:color="A6A6A6" w:themeColor="background1" w:themeShade="A6"/>
            </w:tcBorders>
            <w:noWrap/>
          </w:tcPr>
          <w:p w14:paraId="5BF4B029" w14:textId="77777777" w:rsidR="005B131E" w:rsidRPr="00BA7805" w:rsidRDefault="005B131E" w:rsidP="002542E1">
            <w:pPr>
              <w:pStyle w:val="ARfintablebodyright"/>
              <w:rPr>
                <w:highlight w:val="green"/>
              </w:rPr>
            </w:pPr>
            <w:r w:rsidRPr="005A6665">
              <w:t>(0.1)</w:t>
            </w:r>
          </w:p>
        </w:tc>
      </w:tr>
      <w:tr w:rsidR="005B131E" w:rsidRPr="00BA7805" w14:paraId="10F06E0C" w14:textId="77777777" w:rsidTr="002542E1">
        <w:tc>
          <w:tcPr>
            <w:tcW w:w="6915" w:type="dxa"/>
          </w:tcPr>
          <w:p w14:paraId="6E2A38F0" w14:textId="77777777" w:rsidR="005B131E" w:rsidRPr="00BA7805" w:rsidRDefault="005B131E" w:rsidP="002542E1">
            <w:pPr>
              <w:pStyle w:val="ARfintablebodybold"/>
              <w:rPr>
                <w:highlight w:val="green"/>
              </w:rPr>
            </w:pPr>
            <w:r w:rsidRPr="005A6665">
              <w:t>Total allowance for impairment losses of contractual loans</w:t>
            </w:r>
          </w:p>
        </w:tc>
        <w:tc>
          <w:tcPr>
            <w:tcW w:w="1361" w:type="dxa"/>
            <w:shd w:val="clear" w:color="auto" w:fill="E7E6E6" w:themeFill="accent4"/>
            <w:noWrap/>
          </w:tcPr>
          <w:p w14:paraId="64D73DA1" w14:textId="77777777" w:rsidR="005B131E" w:rsidRPr="00BA7805" w:rsidRDefault="005B131E" w:rsidP="002542E1">
            <w:pPr>
              <w:pStyle w:val="ARfintablebodyrightbold"/>
              <w:rPr>
                <w:highlight w:val="green"/>
              </w:rPr>
            </w:pPr>
            <w:r w:rsidRPr="005A6665">
              <w:t>(0.1)</w:t>
            </w:r>
          </w:p>
        </w:tc>
        <w:tc>
          <w:tcPr>
            <w:tcW w:w="1361" w:type="dxa"/>
            <w:noWrap/>
          </w:tcPr>
          <w:p w14:paraId="30643FCD" w14:textId="77777777" w:rsidR="005B131E" w:rsidRPr="00BA7805" w:rsidRDefault="005B131E" w:rsidP="002542E1">
            <w:pPr>
              <w:pStyle w:val="ARfintablebodyrightbold"/>
              <w:rPr>
                <w:highlight w:val="green"/>
              </w:rPr>
            </w:pPr>
            <w:r w:rsidRPr="005A6665">
              <w:t>(0.1)</w:t>
            </w:r>
          </w:p>
        </w:tc>
      </w:tr>
      <w:tr w:rsidR="005B131E" w:rsidRPr="00BA7805" w14:paraId="02E5AA4C" w14:textId="77777777" w:rsidTr="002542E1">
        <w:tc>
          <w:tcPr>
            <w:tcW w:w="6915" w:type="dxa"/>
          </w:tcPr>
          <w:p w14:paraId="72BA7C47" w14:textId="77777777" w:rsidR="005B131E" w:rsidRPr="00BA7805" w:rsidRDefault="005B131E" w:rsidP="002542E1">
            <w:pPr>
              <w:pStyle w:val="ARfintablebodybold"/>
              <w:rPr>
                <w:highlight w:val="green"/>
              </w:rPr>
            </w:pPr>
            <w:r w:rsidRPr="005A6665">
              <w:t xml:space="preserve">Total loans </w:t>
            </w:r>
          </w:p>
        </w:tc>
        <w:tc>
          <w:tcPr>
            <w:tcW w:w="1361" w:type="dxa"/>
            <w:shd w:val="clear" w:color="auto" w:fill="E7E6E6" w:themeFill="accent4"/>
            <w:noWrap/>
          </w:tcPr>
          <w:p w14:paraId="773E994A" w14:textId="77777777" w:rsidR="005B131E" w:rsidRPr="00BA7805" w:rsidRDefault="005B131E" w:rsidP="002542E1">
            <w:pPr>
              <w:pStyle w:val="ARfintablebodyrightbold"/>
              <w:rPr>
                <w:highlight w:val="green"/>
              </w:rPr>
            </w:pPr>
            <w:r w:rsidRPr="005A6665">
              <w:t>28.2</w:t>
            </w:r>
          </w:p>
        </w:tc>
        <w:tc>
          <w:tcPr>
            <w:tcW w:w="1361" w:type="dxa"/>
            <w:noWrap/>
          </w:tcPr>
          <w:p w14:paraId="378BA27F" w14:textId="77777777" w:rsidR="005B131E" w:rsidRPr="00BA7805" w:rsidRDefault="005B131E" w:rsidP="002542E1">
            <w:pPr>
              <w:pStyle w:val="ARfintablebodyrightbold"/>
              <w:rPr>
                <w:highlight w:val="green"/>
              </w:rPr>
            </w:pPr>
            <w:r w:rsidRPr="005A6665">
              <w:t>30.0</w:t>
            </w:r>
          </w:p>
        </w:tc>
      </w:tr>
    </w:tbl>
    <w:p w14:paraId="3FC2D603" w14:textId="382FD0BC" w:rsidR="005B131E" w:rsidRDefault="005B131E" w:rsidP="002542E1">
      <w:pPr>
        <w:pStyle w:val="ARfinbodyaftertable"/>
      </w:pPr>
      <w:r>
        <w:t xml:space="preserve">The </w:t>
      </w:r>
      <w:r w:rsidR="00D26CB0">
        <w:t>d</w:t>
      </w:r>
      <w:r>
        <w:t>epartment</w:t>
      </w:r>
      <w:r w:rsidR="00711AE6">
        <w:t>’</w:t>
      </w:r>
      <w:r>
        <w:t>s loans are related to housing loan programs that are no longer active. The majority of these housing loans are secured by a registered mortgage. However, there are a small number of loans that are on terms incorporated in the contracts of sale. Whil</w:t>
      </w:r>
      <w:r w:rsidR="00353BC8">
        <w:t>e</w:t>
      </w:r>
      <w:r>
        <w:t xml:space="preserve"> the title remains in the name of the vendor, Homes Victoria has claim to the title until the amount owing under the contract of sale is paid in full.</w:t>
      </w:r>
    </w:p>
    <w:p w14:paraId="309917F8" w14:textId="77777777" w:rsidR="005B131E" w:rsidRDefault="005B131E" w:rsidP="002542E1">
      <w:pPr>
        <w:pStyle w:val="ARfinbody"/>
      </w:pPr>
      <w:r>
        <w:t>Loans are initially recognised at fair value plus any directly attributable transaction costs. Subsequent to initial measurement they are measured at amortised cost using the effective interest method, less any impairment.</w:t>
      </w:r>
    </w:p>
    <w:p w14:paraId="7C395EA1" w14:textId="77777777" w:rsidR="005B131E" w:rsidRDefault="005B131E" w:rsidP="002542E1">
      <w:pPr>
        <w:pStyle w:val="ARfinbodylargespace"/>
        <w:rPr>
          <w:highlight w:val="green"/>
        </w:rPr>
      </w:pPr>
      <w:r w:rsidRPr="00120EBC">
        <w:rPr>
          <w:rStyle w:val="Strong"/>
        </w:rPr>
        <w:t>Defaults and breaches:</w:t>
      </w:r>
      <w:r>
        <w:t xml:space="preserve"> During the current and prior year, there were no defaults and breaches of any of the loans.</w:t>
      </w:r>
    </w:p>
    <w:p w14:paraId="3FF04904" w14:textId="77777777" w:rsidR="005B131E" w:rsidRPr="00BA7805" w:rsidRDefault="005B131E" w:rsidP="005C7C7D">
      <w:pPr>
        <w:pStyle w:val="ARbody"/>
        <w:rPr>
          <w:highlight w:val="green"/>
        </w:rPr>
      </w:pPr>
      <w:r w:rsidRPr="00BA7805">
        <w:rPr>
          <w:highlight w:val="green"/>
        </w:rPr>
        <w:br w:type="page"/>
      </w:r>
    </w:p>
    <w:p w14:paraId="002DE21E" w14:textId="77777777" w:rsidR="005B131E" w:rsidRPr="00E24EDF" w:rsidRDefault="005B131E">
      <w:pPr>
        <w:pStyle w:val="Heading4"/>
        <w:rPr>
          <w:highlight w:val="cyan"/>
        </w:rPr>
      </w:pPr>
      <w:r w:rsidRPr="00F17E25">
        <w:t>6.</w:t>
      </w:r>
      <w:r>
        <w:t>3</w:t>
      </w:r>
      <w:r w:rsidRPr="00F17E25">
        <w:t xml:space="preserve"> </w:t>
      </w:r>
      <w:r w:rsidRPr="00770AFF">
        <w:t>Payables</w:t>
      </w:r>
    </w:p>
    <w:tbl>
      <w:tblPr>
        <w:tblStyle w:val="TableGrid"/>
        <w:tblW w:w="9637" w:type="dxa"/>
        <w:tblLayout w:type="fixed"/>
        <w:tblLook w:val="06A0" w:firstRow="1" w:lastRow="0" w:firstColumn="1" w:lastColumn="0" w:noHBand="1" w:noVBand="1"/>
      </w:tblPr>
      <w:tblGrid>
        <w:gridCol w:w="6941"/>
        <w:gridCol w:w="1418"/>
        <w:gridCol w:w="1278"/>
      </w:tblGrid>
      <w:tr w:rsidR="005B131E" w:rsidRPr="00E24EDF" w14:paraId="798E80FB"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41" w:type="dxa"/>
            <w:tcBorders>
              <w:bottom w:val="single" w:sz="4" w:space="0" w:color="auto"/>
            </w:tcBorders>
            <w:noWrap/>
            <w:hideMark/>
          </w:tcPr>
          <w:p w14:paraId="7B484D32" w14:textId="77777777" w:rsidR="005B131E" w:rsidRPr="00E24EDF" w:rsidRDefault="005B131E">
            <w:pPr>
              <w:pStyle w:val="ARfintablecolhead"/>
              <w:rPr>
                <w:highlight w:val="cyan"/>
              </w:rPr>
            </w:pPr>
          </w:p>
        </w:tc>
        <w:tc>
          <w:tcPr>
            <w:tcW w:w="1418" w:type="dxa"/>
            <w:tcBorders>
              <w:bottom w:val="single" w:sz="4" w:space="0" w:color="auto"/>
            </w:tcBorders>
            <w:shd w:val="clear" w:color="auto" w:fill="E7E6E6" w:themeFill="accent4"/>
            <w:hideMark/>
          </w:tcPr>
          <w:p w14:paraId="1FC66F21" w14:textId="77777777" w:rsidR="005B131E" w:rsidRPr="001C69A0" w:rsidRDefault="005B131E">
            <w:pPr>
              <w:pStyle w:val="ARfintablecolheadright"/>
            </w:pPr>
            <w:r w:rsidRPr="001C69A0">
              <w:t>2024</w:t>
            </w:r>
          </w:p>
          <w:p w14:paraId="1AA1FF83" w14:textId="77777777" w:rsidR="005B131E" w:rsidRPr="001C69A0" w:rsidRDefault="005B131E">
            <w:pPr>
              <w:pStyle w:val="ARfintablecolheadright"/>
            </w:pPr>
            <w:r w:rsidRPr="001C69A0">
              <w:t>$M</w:t>
            </w:r>
          </w:p>
        </w:tc>
        <w:tc>
          <w:tcPr>
            <w:tcW w:w="1278" w:type="dxa"/>
            <w:tcBorders>
              <w:bottom w:val="single" w:sz="4" w:space="0" w:color="auto"/>
            </w:tcBorders>
            <w:hideMark/>
          </w:tcPr>
          <w:p w14:paraId="53D3F2BF" w14:textId="77777777" w:rsidR="005B131E" w:rsidRPr="001C69A0" w:rsidRDefault="005B131E">
            <w:pPr>
              <w:pStyle w:val="ARfintablecolheadright"/>
            </w:pPr>
            <w:r w:rsidRPr="001C69A0">
              <w:t>2023</w:t>
            </w:r>
          </w:p>
          <w:p w14:paraId="05145F09" w14:textId="77777777" w:rsidR="005B131E" w:rsidRPr="001C69A0" w:rsidRDefault="005B131E">
            <w:pPr>
              <w:pStyle w:val="ARfintablecolheadright"/>
            </w:pPr>
            <w:r w:rsidRPr="001C69A0">
              <w:t>$M</w:t>
            </w:r>
          </w:p>
        </w:tc>
      </w:tr>
      <w:tr w:rsidR="005B131E" w:rsidRPr="00E24EDF" w14:paraId="2534F074" w14:textId="77777777">
        <w:tc>
          <w:tcPr>
            <w:tcW w:w="9637" w:type="dxa"/>
            <w:gridSpan w:val="3"/>
            <w:tcBorders>
              <w:top w:val="single" w:sz="4" w:space="0" w:color="auto"/>
              <w:bottom w:val="single" w:sz="4" w:space="0" w:color="A6A6A6"/>
            </w:tcBorders>
            <w:hideMark/>
          </w:tcPr>
          <w:p w14:paraId="6AF71D89" w14:textId="77777777" w:rsidR="005B131E" w:rsidRPr="001C69A0" w:rsidRDefault="005B131E" w:rsidP="002542E1">
            <w:pPr>
              <w:pStyle w:val="ARfintablebodybold"/>
            </w:pPr>
            <w:r w:rsidRPr="001C69A0">
              <w:t>Current payables</w:t>
            </w:r>
          </w:p>
        </w:tc>
      </w:tr>
      <w:tr w:rsidR="005B131E" w:rsidRPr="00E24EDF" w14:paraId="4D7110B3" w14:textId="77777777" w:rsidTr="003D7AC8">
        <w:tc>
          <w:tcPr>
            <w:tcW w:w="9637" w:type="dxa"/>
            <w:gridSpan w:val="3"/>
            <w:tcBorders>
              <w:top w:val="single" w:sz="4" w:space="0" w:color="A6A6A6"/>
              <w:bottom w:val="single" w:sz="4" w:space="0" w:color="A6A6A6"/>
            </w:tcBorders>
          </w:tcPr>
          <w:p w14:paraId="7AF96A54" w14:textId="77777777" w:rsidR="005B131E" w:rsidRPr="001C69A0" w:rsidRDefault="005B131E" w:rsidP="002542E1">
            <w:pPr>
              <w:pStyle w:val="ARfintablebody"/>
              <w:rPr>
                <w:rStyle w:val="Emphasis"/>
              </w:rPr>
            </w:pPr>
            <w:r w:rsidRPr="001C69A0">
              <w:rPr>
                <w:rStyle w:val="Emphasis"/>
              </w:rPr>
              <w:t>Statutory</w:t>
            </w:r>
          </w:p>
        </w:tc>
      </w:tr>
      <w:tr w:rsidR="005B131E" w:rsidRPr="00E24EDF" w14:paraId="4861806F" w14:textId="77777777" w:rsidTr="003D7AC8">
        <w:tc>
          <w:tcPr>
            <w:tcW w:w="6941" w:type="dxa"/>
            <w:tcBorders>
              <w:top w:val="single" w:sz="4" w:space="0" w:color="A6A6A6"/>
              <w:bottom w:val="single" w:sz="4" w:space="0" w:color="A6A6A6"/>
            </w:tcBorders>
          </w:tcPr>
          <w:p w14:paraId="059A8A5B" w14:textId="77777777" w:rsidR="005B131E" w:rsidRPr="001C69A0" w:rsidRDefault="005B131E" w:rsidP="002542E1">
            <w:pPr>
              <w:pStyle w:val="ARfintablebody"/>
            </w:pPr>
            <w:r w:rsidRPr="001C69A0">
              <w:t>FBT payable</w:t>
            </w:r>
          </w:p>
        </w:tc>
        <w:tc>
          <w:tcPr>
            <w:tcW w:w="1418" w:type="dxa"/>
            <w:tcBorders>
              <w:top w:val="single" w:sz="4" w:space="0" w:color="A6A6A6"/>
              <w:bottom w:val="single" w:sz="4" w:space="0" w:color="A6A6A6"/>
            </w:tcBorders>
            <w:shd w:val="clear" w:color="auto" w:fill="E7E6E6"/>
            <w:noWrap/>
          </w:tcPr>
          <w:p w14:paraId="14BA8B0B" w14:textId="729655FB" w:rsidR="005B131E" w:rsidRPr="00E24EDF" w:rsidRDefault="005B131E" w:rsidP="002542E1">
            <w:pPr>
              <w:pStyle w:val="ARfintablebodyright"/>
              <w:rPr>
                <w:highlight w:val="cyan"/>
              </w:rPr>
            </w:pPr>
            <w:r w:rsidRPr="00C77E2A">
              <w:t>0.1</w:t>
            </w:r>
          </w:p>
        </w:tc>
        <w:tc>
          <w:tcPr>
            <w:tcW w:w="1278" w:type="dxa"/>
            <w:tcBorders>
              <w:top w:val="single" w:sz="4" w:space="0" w:color="A6A6A6"/>
              <w:bottom w:val="single" w:sz="4" w:space="0" w:color="A6A6A6"/>
            </w:tcBorders>
            <w:noWrap/>
          </w:tcPr>
          <w:p w14:paraId="5374F17F" w14:textId="5CD85734" w:rsidR="005B131E" w:rsidRPr="00E24EDF" w:rsidRDefault="005B131E" w:rsidP="002542E1">
            <w:pPr>
              <w:pStyle w:val="ARfintablebodyright"/>
              <w:rPr>
                <w:highlight w:val="cyan"/>
              </w:rPr>
            </w:pPr>
            <w:r w:rsidRPr="00C77E2A">
              <w:t>(0.3)</w:t>
            </w:r>
          </w:p>
        </w:tc>
      </w:tr>
      <w:tr w:rsidR="005B131E" w:rsidRPr="00E24EDF" w14:paraId="25DFA1B0" w14:textId="77777777" w:rsidTr="003D7AC8">
        <w:tc>
          <w:tcPr>
            <w:tcW w:w="9637" w:type="dxa"/>
            <w:gridSpan w:val="3"/>
            <w:tcBorders>
              <w:top w:val="single" w:sz="4" w:space="0" w:color="A6A6A6"/>
              <w:bottom w:val="single" w:sz="4" w:space="0" w:color="A6A6A6"/>
            </w:tcBorders>
          </w:tcPr>
          <w:p w14:paraId="5F89005C" w14:textId="77777777" w:rsidR="005B131E" w:rsidRPr="001C69A0" w:rsidRDefault="005B131E" w:rsidP="002542E1">
            <w:pPr>
              <w:pStyle w:val="ARfintablebody"/>
              <w:rPr>
                <w:rStyle w:val="Emphasis"/>
              </w:rPr>
            </w:pPr>
            <w:r w:rsidRPr="001C69A0">
              <w:rPr>
                <w:rStyle w:val="Emphasis"/>
              </w:rPr>
              <w:t>Contractual</w:t>
            </w:r>
          </w:p>
        </w:tc>
      </w:tr>
      <w:tr w:rsidR="005B131E" w:rsidRPr="00E24EDF" w14:paraId="4D46E2A6" w14:textId="77777777" w:rsidTr="003D7AC8">
        <w:tc>
          <w:tcPr>
            <w:tcW w:w="6941" w:type="dxa"/>
            <w:tcBorders>
              <w:top w:val="single" w:sz="4" w:space="0" w:color="A6A6A6"/>
              <w:bottom w:val="single" w:sz="4" w:space="0" w:color="A6A6A6"/>
            </w:tcBorders>
          </w:tcPr>
          <w:p w14:paraId="0F4AB5BB" w14:textId="77777777" w:rsidR="005B131E" w:rsidRPr="001C69A0" w:rsidRDefault="005B131E" w:rsidP="002542E1">
            <w:pPr>
              <w:pStyle w:val="ARfintablebody"/>
            </w:pPr>
            <w:r w:rsidRPr="001C69A0">
              <w:t xml:space="preserve">Employee benefits payable </w:t>
            </w:r>
          </w:p>
        </w:tc>
        <w:tc>
          <w:tcPr>
            <w:tcW w:w="1418" w:type="dxa"/>
            <w:tcBorders>
              <w:top w:val="single" w:sz="4" w:space="0" w:color="A6A6A6"/>
              <w:bottom w:val="single" w:sz="4" w:space="0" w:color="A6A6A6"/>
            </w:tcBorders>
            <w:shd w:val="clear" w:color="auto" w:fill="E7E6E6"/>
            <w:noWrap/>
          </w:tcPr>
          <w:p w14:paraId="402A83C7" w14:textId="0C6D7433" w:rsidR="005B131E" w:rsidRPr="00E24EDF" w:rsidRDefault="005B131E" w:rsidP="002542E1">
            <w:pPr>
              <w:pStyle w:val="ARfintablebodyright"/>
              <w:rPr>
                <w:highlight w:val="cyan"/>
              </w:rPr>
            </w:pPr>
            <w:r w:rsidRPr="00C77E2A">
              <w:t>24.6</w:t>
            </w:r>
          </w:p>
        </w:tc>
        <w:tc>
          <w:tcPr>
            <w:tcW w:w="1278" w:type="dxa"/>
            <w:tcBorders>
              <w:top w:val="single" w:sz="4" w:space="0" w:color="A6A6A6"/>
              <w:bottom w:val="single" w:sz="4" w:space="0" w:color="A6A6A6"/>
            </w:tcBorders>
            <w:noWrap/>
          </w:tcPr>
          <w:p w14:paraId="3A0E2FA7" w14:textId="1584FD2D" w:rsidR="005B131E" w:rsidRPr="00E24EDF" w:rsidRDefault="005B131E" w:rsidP="002542E1">
            <w:pPr>
              <w:pStyle w:val="ARfintablebodyright"/>
              <w:rPr>
                <w:highlight w:val="cyan"/>
              </w:rPr>
            </w:pPr>
            <w:r w:rsidRPr="00C77E2A">
              <w:t>29.9</w:t>
            </w:r>
          </w:p>
        </w:tc>
      </w:tr>
      <w:tr w:rsidR="005B131E" w:rsidRPr="00E24EDF" w14:paraId="511D1FCE" w14:textId="77777777" w:rsidTr="003D7AC8">
        <w:tc>
          <w:tcPr>
            <w:tcW w:w="6941" w:type="dxa"/>
            <w:tcBorders>
              <w:top w:val="single" w:sz="4" w:space="0" w:color="A6A6A6"/>
              <w:bottom w:val="single" w:sz="4" w:space="0" w:color="A6A6A6"/>
            </w:tcBorders>
          </w:tcPr>
          <w:p w14:paraId="3371D0FF" w14:textId="77777777" w:rsidR="005B131E" w:rsidRPr="001C69A0" w:rsidRDefault="005B131E" w:rsidP="002542E1">
            <w:pPr>
              <w:pStyle w:val="ARfintablebody"/>
            </w:pPr>
            <w:r w:rsidRPr="001C69A0">
              <w:t>Supplies and services</w:t>
            </w:r>
          </w:p>
        </w:tc>
        <w:tc>
          <w:tcPr>
            <w:tcW w:w="1418" w:type="dxa"/>
            <w:tcBorders>
              <w:top w:val="single" w:sz="4" w:space="0" w:color="A6A6A6"/>
              <w:bottom w:val="single" w:sz="4" w:space="0" w:color="A6A6A6"/>
            </w:tcBorders>
            <w:shd w:val="clear" w:color="auto" w:fill="E7E6E6"/>
            <w:noWrap/>
          </w:tcPr>
          <w:p w14:paraId="306BA68C" w14:textId="5E0F7F4C" w:rsidR="005B131E" w:rsidRPr="00E24EDF" w:rsidRDefault="005B131E" w:rsidP="002542E1">
            <w:pPr>
              <w:pStyle w:val="ARfintablebodyright"/>
              <w:rPr>
                <w:highlight w:val="cyan"/>
              </w:rPr>
            </w:pPr>
            <w:r w:rsidRPr="00C77E2A">
              <w:t>165.1</w:t>
            </w:r>
          </w:p>
        </w:tc>
        <w:tc>
          <w:tcPr>
            <w:tcW w:w="1278" w:type="dxa"/>
            <w:tcBorders>
              <w:top w:val="single" w:sz="4" w:space="0" w:color="A6A6A6"/>
              <w:bottom w:val="single" w:sz="4" w:space="0" w:color="A6A6A6"/>
            </w:tcBorders>
            <w:noWrap/>
          </w:tcPr>
          <w:p w14:paraId="2CE10F85" w14:textId="29F16610" w:rsidR="005B131E" w:rsidRPr="00E24EDF" w:rsidRDefault="005B131E" w:rsidP="002542E1">
            <w:pPr>
              <w:pStyle w:val="ARfintablebodyright"/>
              <w:rPr>
                <w:highlight w:val="cyan"/>
              </w:rPr>
            </w:pPr>
            <w:r w:rsidRPr="00C77E2A">
              <w:t>131.0</w:t>
            </w:r>
          </w:p>
        </w:tc>
      </w:tr>
      <w:tr w:rsidR="005B131E" w:rsidRPr="00E24EDF" w14:paraId="61ABA0AB" w14:textId="77777777" w:rsidTr="003D7AC8">
        <w:tc>
          <w:tcPr>
            <w:tcW w:w="6941" w:type="dxa"/>
            <w:tcBorders>
              <w:top w:val="single" w:sz="4" w:space="0" w:color="A6A6A6"/>
              <w:bottom w:val="single" w:sz="4" w:space="0" w:color="A6A6A6"/>
            </w:tcBorders>
          </w:tcPr>
          <w:p w14:paraId="655A0E68" w14:textId="77777777" w:rsidR="005B131E" w:rsidRPr="001C69A0" w:rsidRDefault="005B131E" w:rsidP="002542E1">
            <w:pPr>
              <w:pStyle w:val="ARfintablebody"/>
            </w:pPr>
            <w:r w:rsidRPr="001C69A0">
              <w:t xml:space="preserve">Grant of right to operate liability </w:t>
            </w:r>
            <w:r w:rsidRPr="00771279">
              <w:rPr>
                <w:vertAlign w:val="superscript"/>
              </w:rPr>
              <w:t>(i)</w:t>
            </w:r>
          </w:p>
        </w:tc>
        <w:tc>
          <w:tcPr>
            <w:tcW w:w="1418" w:type="dxa"/>
            <w:tcBorders>
              <w:top w:val="single" w:sz="4" w:space="0" w:color="A6A6A6"/>
              <w:bottom w:val="single" w:sz="4" w:space="0" w:color="A6A6A6"/>
            </w:tcBorders>
            <w:shd w:val="clear" w:color="auto" w:fill="E7E6E6"/>
            <w:noWrap/>
          </w:tcPr>
          <w:p w14:paraId="4AE78D30" w14:textId="13937E59" w:rsidR="005B131E" w:rsidRPr="00E24EDF" w:rsidRDefault="005B131E" w:rsidP="002542E1">
            <w:pPr>
              <w:pStyle w:val="ARfintablebodyright"/>
              <w:rPr>
                <w:highlight w:val="cyan"/>
              </w:rPr>
            </w:pPr>
            <w:r w:rsidRPr="00C77E2A">
              <w:t>2.0</w:t>
            </w:r>
          </w:p>
        </w:tc>
        <w:tc>
          <w:tcPr>
            <w:tcW w:w="1278" w:type="dxa"/>
            <w:tcBorders>
              <w:top w:val="single" w:sz="4" w:space="0" w:color="A6A6A6"/>
              <w:bottom w:val="single" w:sz="4" w:space="0" w:color="A6A6A6"/>
            </w:tcBorders>
            <w:noWrap/>
          </w:tcPr>
          <w:p w14:paraId="3020495F" w14:textId="2CE54EED" w:rsidR="005B131E" w:rsidRPr="00E24EDF" w:rsidRDefault="005B131E" w:rsidP="002542E1">
            <w:pPr>
              <w:pStyle w:val="ARfintablebodyright"/>
              <w:rPr>
                <w:highlight w:val="cyan"/>
              </w:rPr>
            </w:pPr>
            <w:r w:rsidRPr="00C77E2A">
              <w:t>1.0</w:t>
            </w:r>
          </w:p>
        </w:tc>
      </w:tr>
      <w:tr w:rsidR="005B131E" w:rsidRPr="00E24EDF" w14:paraId="47CB1473" w14:textId="77777777">
        <w:tc>
          <w:tcPr>
            <w:tcW w:w="6941" w:type="dxa"/>
            <w:tcBorders>
              <w:top w:val="single" w:sz="4" w:space="0" w:color="A6A6A6"/>
              <w:bottom w:val="single" w:sz="4" w:space="0" w:color="A6A6A6"/>
            </w:tcBorders>
          </w:tcPr>
          <w:p w14:paraId="103FB430" w14:textId="77777777" w:rsidR="005B131E" w:rsidRPr="001C69A0" w:rsidRDefault="005B131E" w:rsidP="002542E1">
            <w:pPr>
              <w:pStyle w:val="ARfintablebody"/>
            </w:pPr>
            <w:r w:rsidRPr="001C69A0">
              <w:t>Amounts payable to external agencies</w:t>
            </w:r>
          </w:p>
        </w:tc>
        <w:tc>
          <w:tcPr>
            <w:tcW w:w="1418" w:type="dxa"/>
            <w:tcBorders>
              <w:top w:val="single" w:sz="4" w:space="0" w:color="A6A6A6"/>
              <w:bottom w:val="single" w:sz="4" w:space="0" w:color="A6A6A6"/>
            </w:tcBorders>
            <w:shd w:val="clear" w:color="auto" w:fill="E7E6E6"/>
            <w:noWrap/>
          </w:tcPr>
          <w:p w14:paraId="76F056C6" w14:textId="1C62D9DA" w:rsidR="005B131E" w:rsidRPr="00E24EDF" w:rsidRDefault="005B131E" w:rsidP="002542E1">
            <w:pPr>
              <w:pStyle w:val="ARfintablebodyright"/>
              <w:rPr>
                <w:highlight w:val="cyan"/>
              </w:rPr>
            </w:pPr>
            <w:r w:rsidRPr="00C77E2A">
              <w:t>86.5</w:t>
            </w:r>
          </w:p>
        </w:tc>
        <w:tc>
          <w:tcPr>
            <w:tcW w:w="1278" w:type="dxa"/>
            <w:tcBorders>
              <w:top w:val="single" w:sz="4" w:space="0" w:color="A6A6A6"/>
              <w:bottom w:val="single" w:sz="4" w:space="0" w:color="A6A6A6"/>
            </w:tcBorders>
            <w:noWrap/>
          </w:tcPr>
          <w:p w14:paraId="7D3DD2C0" w14:textId="7411AF23" w:rsidR="005B131E" w:rsidRPr="00E24EDF" w:rsidRDefault="005B131E" w:rsidP="002542E1">
            <w:pPr>
              <w:pStyle w:val="ARfintablebodyright"/>
              <w:rPr>
                <w:highlight w:val="cyan"/>
              </w:rPr>
            </w:pPr>
            <w:r w:rsidRPr="00C77E2A">
              <w:t>36.1</w:t>
            </w:r>
          </w:p>
        </w:tc>
      </w:tr>
      <w:tr w:rsidR="005B131E" w:rsidRPr="00E24EDF" w14:paraId="5A064B3E" w14:textId="77777777" w:rsidTr="003D7AC8">
        <w:tc>
          <w:tcPr>
            <w:tcW w:w="6941" w:type="dxa"/>
            <w:tcBorders>
              <w:top w:val="single" w:sz="4" w:space="0" w:color="A6A6A6"/>
              <w:bottom w:val="single" w:sz="4" w:space="0" w:color="A6A6A6"/>
            </w:tcBorders>
          </w:tcPr>
          <w:p w14:paraId="54DC4DA0" w14:textId="77777777" w:rsidR="005B131E" w:rsidRPr="001C69A0" w:rsidRDefault="005B131E" w:rsidP="002542E1">
            <w:pPr>
              <w:pStyle w:val="ARfintablebody"/>
            </w:pPr>
            <w:r w:rsidRPr="001C69A0">
              <w:t xml:space="preserve">Concession payments to pensioners </w:t>
            </w:r>
          </w:p>
        </w:tc>
        <w:tc>
          <w:tcPr>
            <w:tcW w:w="1418" w:type="dxa"/>
            <w:tcBorders>
              <w:top w:val="single" w:sz="4" w:space="0" w:color="A6A6A6"/>
              <w:bottom w:val="single" w:sz="4" w:space="0" w:color="A6A6A6"/>
            </w:tcBorders>
            <w:shd w:val="clear" w:color="auto" w:fill="E7E6E6"/>
            <w:noWrap/>
          </w:tcPr>
          <w:p w14:paraId="229AE8C4" w14:textId="174C388B" w:rsidR="005B131E" w:rsidRPr="00E24EDF" w:rsidRDefault="005B131E" w:rsidP="002542E1">
            <w:pPr>
              <w:pStyle w:val="ARfintablebodyright"/>
              <w:rPr>
                <w:highlight w:val="cyan"/>
              </w:rPr>
            </w:pPr>
            <w:r w:rsidRPr="00C77E2A">
              <w:t>106.6</w:t>
            </w:r>
          </w:p>
        </w:tc>
        <w:tc>
          <w:tcPr>
            <w:tcW w:w="1278" w:type="dxa"/>
            <w:tcBorders>
              <w:top w:val="single" w:sz="4" w:space="0" w:color="A6A6A6"/>
              <w:bottom w:val="single" w:sz="4" w:space="0" w:color="A6A6A6"/>
            </w:tcBorders>
            <w:noWrap/>
          </w:tcPr>
          <w:p w14:paraId="2BE0616D" w14:textId="6578D822" w:rsidR="005B131E" w:rsidRPr="00E24EDF" w:rsidRDefault="005B131E" w:rsidP="002542E1">
            <w:pPr>
              <w:pStyle w:val="ARfintablebodyright"/>
              <w:rPr>
                <w:highlight w:val="cyan"/>
              </w:rPr>
            </w:pPr>
            <w:r w:rsidRPr="00C77E2A">
              <w:t>109.4</w:t>
            </w:r>
          </w:p>
        </w:tc>
      </w:tr>
      <w:tr w:rsidR="005B131E" w:rsidRPr="00E24EDF" w14:paraId="02DF35AD" w14:textId="77777777" w:rsidTr="002542E1">
        <w:tc>
          <w:tcPr>
            <w:tcW w:w="6941" w:type="dxa"/>
            <w:tcBorders>
              <w:top w:val="single" w:sz="4" w:space="0" w:color="A6A6A6"/>
              <w:bottom w:val="single" w:sz="4" w:space="0" w:color="A6A6A6"/>
            </w:tcBorders>
          </w:tcPr>
          <w:p w14:paraId="3E816FA7" w14:textId="77777777" w:rsidR="005B131E" w:rsidRPr="001C69A0" w:rsidRDefault="005B131E" w:rsidP="002542E1">
            <w:pPr>
              <w:pStyle w:val="ARfintablebody"/>
            </w:pPr>
            <w:r w:rsidRPr="001C69A0">
              <w:t>Tenants in advance</w:t>
            </w:r>
          </w:p>
        </w:tc>
        <w:tc>
          <w:tcPr>
            <w:tcW w:w="1418" w:type="dxa"/>
            <w:tcBorders>
              <w:top w:val="single" w:sz="4" w:space="0" w:color="A6A6A6"/>
              <w:bottom w:val="single" w:sz="4" w:space="0" w:color="A6A6A6"/>
            </w:tcBorders>
            <w:shd w:val="clear" w:color="auto" w:fill="E7E6E6"/>
            <w:noWrap/>
          </w:tcPr>
          <w:p w14:paraId="06A52340" w14:textId="6221F6C0" w:rsidR="005B131E" w:rsidRPr="00E24EDF" w:rsidRDefault="005B131E" w:rsidP="002542E1">
            <w:pPr>
              <w:pStyle w:val="ARfintablebodyright"/>
              <w:rPr>
                <w:highlight w:val="cyan"/>
              </w:rPr>
            </w:pPr>
            <w:r w:rsidRPr="00C77E2A">
              <w:t>30.1</w:t>
            </w:r>
          </w:p>
        </w:tc>
        <w:tc>
          <w:tcPr>
            <w:tcW w:w="1278" w:type="dxa"/>
            <w:tcBorders>
              <w:top w:val="single" w:sz="4" w:space="0" w:color="A6A6A6"/>
              <w:bottom w:val="single" w:sz="4" w:space="0" w:color="A6A6A6"/>
            </w:tcBorders>
            <w:noWrap/>
          </w:tcPr>
          <w:p w14:paraId="08460FF7" w14:textId="68088B75" w:rsidR="005B131E" w:rsidRPr="00E24EDF" w:rsidRDefault="005B131E" w:rsidP="002542E1">
            <w:pPr>
              <w:pStyle w:val="ARfintablebodyright"/>
              <w:rPr>
                <w:highlight w:val="cyan"/>
              </w:rPr>
            </w:pPr>
            <w:r w:rsidRPr="00C77E2A">
              <w:t>20.7</w:t>
            </w:r>
          </w:p>
        </w:tc>
      </w:tr>
      <w:tr w:rsidR="005B131E" w:rsidRPr="00E24EDF" w14:paraId="153446B9" w14:textId="77777777" w:rsidTr="002542E1">
        <w:tc>
          <w:tcPr>
            <w:tcW w:w="6941" w:type="dxa"/>
            <w:tcBorders>
              <w:top w:val="single" w:sz="4" w:space="0" w:color="A6A6A6"/>
              <w:bottom w:val="single" w:sz="4" w:space="0" w:color="000000" w:themeColor="text1"/>
            </w:tcBorders>
          </w:tcPr>
          <w:p w14:paraId="481AD124" w14:textId="77777777" w:rsidR="005B131E" w:rsidRPr="001C69A0" w:rsidRDefault="005B131E" w:rsidP="002542E1">
            <w:pPr>
              <w:pStyle w:val="ARfintablebody"/>
            </w:pPr>
            <w:r w:rsidRPr="001C69A0">
              <w:t>Other</w:t>
            </w:r>
          </w:p>
        </w:tc>
        <w:tc>
          <w:tcPr>
            <w:tcW w:w="1418" w:type="dxa"/>
            <w:tcBorders>
              <w:top w:val="single" w:sz="4" w:space="0" w:color="A6A6A6"/>
              <w:bottom w:val="single" w:sz="4" w:space="0" w:color="000000" w:themeColor="text1"/>
            </w:tcBorders>
            <w:shd w:val="clear" w:color="auto" w:fill="E7E6E6"/>
            <w:noWrap/>
          </w:tcPr>
          <w:p w14:paraId="47D61AC3" w14:textId="4C03FDD0" w:rsidR="005B131E" w:rsidRPr="00E24EDF" w:rsidRDefault="005B131E" w:rsidP="002542E1">
            <w:pPr>
              <w:pStyle w:val="ARfintablebodyright"/>
              <w:rPr>
                <w:highlight w:val="cyan"/>
              </w:rPr>
            </w:pPr>
            <w:r w:rsidRPr="00C77E2A">
              <w:t>65.8</w:t>
            </w:r>
          </w:p>
        </w:tc>
        <w:tc>
          <w:tcPr>
            <w:tcW w:w="1278" w:type="dxa"/>
            <w:tcBorders>
              <w:top w:val="single" w:sz="4" w:space="0" w:color="A6A6A6"/>
              <w:bottom w:val="single" w:sz="4" w:space="0" w:color="000000" w:themeColor="text1"/>
            </w:tcBorders>
            <w:noWrap/>
          </w:tcPr>
          <w:p w14:paraId="7BCD7CA9" w14:textId="2ADAF20E" w:rsidR="005B131E" w:rsidRPr="00E24EDF" w:rsidRDefault="005B131E" w:rsidP="002542E1">
            <w:pPr>
              <w:pStyle w:val="ARfintablebodyright"/>
              <w:rPr>
                <w:highlight w:val="cyan"/>
              </w:rPr>
            </w:pPr>
            <w:r w:rsidRPr="00C77E2A">
              <w:t>52.8</w:t>
            </w:r>
          </w:p>
        </w:tc>
      </w:tr>
      <w:tr w:rsidR="005B131E" w:rsidRPr="00E24EDF" w14:paraId="04E1EB62" w14:textId="77777777" w:rsidTr="002542E1">
        <w:tc>
          <w:tcPr>
            <w:tcW w:w="6941" w:type="dxa"/>
            <w:tcBorders>
              <w:top w:val="single" w:sz="4" w:space="0" w:color="000000" w:themeColor="text1"/>
              <w:bottom w:val="single" w:sz="4" w:space="0" w:color="auto"/>
            </w:tcBorders>
          </w:tcPr>
          <w:p w14:paraId="1189ED45" w14:textId="77777777" w:rsidR="005B131E" w:rsidRPr="001C69A0" w:rsidRDefault="005B131E" w:rsidP="002542E1">
            <w:pPr>
              <w:pStyle w:val="ARfintablebodybold"/>
            </w:pPr>
            <w:r w:rsidRPr="001C69A0">
              <w:t>Total current payables</w:t>
            </w:r>
          </w:p>
        </w:tc>
        <w:tc>
          <w:tcPr>
            <w:tcW w:w="1418" w:type="dxa"/>
            <w:tcBorders>
              <w:top w:val="single" w:sz="4" w:space="0" w:color="000000" w:themeColor="text1"/>
              <w:bottom w:val="single" w:sz="4" w:space="0" w:color="auto"/>
            </w:tcBorders>
            <w:shd w:val="clear" w:color="auto" w:fill="E7E6E6"/>
            <w:noWrap/>
          </w:tcPr>
          <w:p w14:paraId="73601D2C" w14:textId="3F1AE8FE" w:rsidR="005B131E" w:rsidRPr="00E24EDF" w:rsidRDefault="005B131E" w:rsidP="002542E1">
            <w:pPr>
              <w:pStyle w:val="ARfintablebodyrightbold"/>
              <w:rPr>
                <w:highlight w:val="cyan"/>
              </w:rPr>
            </w:pPr>
            <w:r w:rsidRPr="00C77E2A">
              <w:t xml:space="preserve">480.8 </w:t>
            </w:r>
          </w:p>
        </w:tc>
        <w:tc>
          <w:tcPr>
            <w:tcW w:w="1278" w:type="dxa"/>
            <w:tcBorders>
              <w:top w:val="single" w:sz="4" w:space="0" w:color="000000" w:themeColor="text1"/>
              <w:bottom w:val="single" w:sz="4" w:space="0" w:color="auto"/>
            </w:tcBorders>
            <w:noWrap/>
          </w:tcPr>
          <w:p w14:paraId="494C0829" w14:textId="2C84C1CD" w:rsidR="005B131E" w:rsidRPr="00E24EDF" w:rsidRDefault="005B131E" w:rsidP="002542E1">
            <w:pPr>
              <w:pStyle w:val="ARfintablebodyrightbold"/>
              <w:rPr>
                <w:highlight w:val="cyan"/>
              </w:rPr>
            </w:pPr>
            <w:r w:rsidRPr="00C77E2A">
              <w:t>380.6</w:t>
            </w:r>
          </w:p>
        </w:tc>
      </w:tr>
      <w:tr w:rsidR="005B131E" w:rsidRPr="00E24EDF" w14:paraId="79DD27B3" w14:textId="77777777">
        <w:tc>
          <w:tcPr>
            <w:tcW w:w="9637" w:type="dxa"/>
            <w:gridSpan w:val="3"/>
            <w:tcBorders>
              <w:top w:val="single" w:sz="4" w:space="0" w:color="auto"/>
              <w:bottom w:val="single" w:sz="4" w:space="0" w:color="A6A6A6" w:themeColor="accent5"/>
            </w:tcBorders>
          </w:tcPr>
          <w:p w14:paraId="6A0FC3F3" w14:textId="77777777" w:rsidR="005B131E" w:rsidRPr="00E24EDF" w:rsidRDefault="005B131E" w:rsidP="002542E1">
            <w:pPr>
              <w:pStyle w:val="ARfintablebodybold"/>
              <w:rPr>
                <w:highlight w:val="cyan"/>
              </w:rPr>
            </w:pPr>
            <w:r w:rsidRPr="001C69A0">
              <w:t>Non-current payables</w:t>
            </w:r>
          </w:p>
        </w:tc>
      </w:tr>
      <w:tr w:rsidR="005B131E" w:rsidRPr="00E24EDF" w14:paraId="710B7B35" w14:textId="77777777" w:rsidTr="002542E1">
        <w:tc>
          <w:tcPr>
            <w:tcW w:w="9637" w:type="dxa"/>
            <w:gridSpan w:val="3"/>
            <w:tcBorders>
              <w:top w:val="single" w:sz="4" w:space="0" w:color="A6A6A6" w:themeColor="accent5"/>
              <w:bottom w:val="single" w:sz="4" w:space="0" w:color="A6A6A6"/>
            </w:tcBorders>
          </w:tcPr>
          <w:p w14:paraId="344909D8" w14:textId="77777777" w:rsidR="005B131E" w:rsidRPr="001C69A0" w:rsidRDefault="005B131E" w:rsidP="002542E1">
            <w:pPr>
              <w:pStyle w:val="ARfintablebody"/>
              <w:rPr>
                <w:rStyle w:val="Emphasis"/>
              </w:rPr>
            </w:pPr>
            <w:r w:rsidRPr="001C69A0">
              <w:rPr>
                <w:rStyle w:val="Emphasis"/>
              </w:rPr>
              <w:t>Contractual</w:t>
            </w:r>
          </w:p>
        </w:tc>
      </w:tr>
      <w:tr w:rsidR="005B131E" w:rsidRPr="00E24EDF" w14:paraId="6675AAA4" w14:textId="77777777" w:rsidTr="003D7AC8">
        <w:tc>
          <w:tcPr>
            <w:tcW w:w="6941" w:type="dxa"/>
            <w:tcBorders>
              <w:top w:val="single" w:sz="4" w:space="0" w:color="A6A6A6"/>
              <w:bottom w:val="single" w:sz="4" w:space="0" w:color="A6A6A6"/>
            </w:tcBorders>
          </w:tcPr>
          <w:p w14:paraId="608294FE" w14:textId="77777777" w:rsidR="005B131E" w:rsidRPr="001C69A0" w:rsidRDefault="005B131E" w:rsidP="002542E1">
            <w:pPr>
              <w:pStyle w:val="ARfintablebody"/>
            </w:pPr>
            <w:r w:rsidRPr="001C69A0">
              <w:t xml:space="preserve">Grant of right to operate liability </w:t>
            </w:r>
            <w:r w:rsidRPr="001C69A0">
              <w:rPr>
                <w:vertAlign w:val="superscript"/>
              </w:rPr>
              <w:t>(i)</w:t>
            </w:r>
          </w:p>
        </w:tc>
        <w:tc>
          <w:tcPr>
            <w:tcW w:w="1418" w:type="dxa"/>
            <w:tcBorders>
              <w:top w:val="single" w:sz="4" w:space="0" w:color="A6A6A6"/>
              <w:bottom w:val="single" w:sz="4" w:space="0" w:color="A6A6A6"/>
            </w:tcBorders>
            <w:shd w:val="clear" w:color="auto" w:fill="E7E6E6"/>
            <w:noWrap/>
          </w:tcPr>
          <w:p w14:paraId="0C9AAE1E" w14:textId="77777777" w:rsidR="005B131E" w:rsidRPr="00C77E2A" w:rsidRDefault="005B131E" w:rsidP="002542E1">
            <w:pPr>
              <w:pStyle w:val="ARfintablebodyright"/>
            </w:pPr>
            <w:r>
              <w:t>84.3</w:t>
            </w:r>
          </w:p>
        </w:tc>
        <w:tc>
          <w:tcPr>
            <w:tcW w:w="1278" w:type="dxa"/>
            <w:tcBorders>
              <w:top w:val="single" w:sz="4" w:space="0" w:color="A6A6A6"/>
              <w:bottom w:val="single" w:sz="4" w:space="0" w:color="A6A6A6"/>
            </w:tcBorders>
            <w:noWrap/>
          </w:tcPr>
          <w:p w14:paraId="25166035" w14:textId="77777777" w:rsidR="005B131E" w:rsidRPr="00C77E2A" w:rsidRDefault="005B131E" w:rsidP="002542E1">
            <w:pPr>
              <w:pStyle w:val="ARfintablebodyright"/>
            </w:pPr>
            <w:r>
              <w:t>73.5</w:t>
            </w:r>
          </w:p>
        </w:tc>
      </w:tr>
      <w:tr w:rsidR="005B131E" w:rsidRPr="00E24EDF" w14:paraId="25769914" w14:textId="77777777" w:rsidTr="003D7AC8">
        <w:tc>
          <w:tcPr>
            <w:tcW w:w="6941" w:type="dxa"/>
            <w:tcBorders>
              <w:top w:val="single" w:sz="4" w:space="0" w:color="A6A6A6"/>
              <w:bottom w:val="single" w:sz="4" w:space="0" w:color="A6A6A6"/>
            </w:tcBorders>
          </w:tcPr>
          <w:p w14:paraId="4B204A2B" w14:textId="77777777" w:rsidR="005B131E" w:rsidRPr="001C69A0" w:rsidRDefault="005B131E" w:rsidP="002542E1">
            <w:pPr>
              <w:pStyle w:val="ARfintablebody"/>
            </w:pPr>
            <w:r w:rsidRPr="001C69A0">
              <w:t>Other</w:t>
            </w:r>
          </w:p>
        </w:tc>
        <w:tc>
          <w:tcPr>
            <w:tcW w:w="1418" w:type="dxa"/>
            <w:tcBorders>
              <w:top w:val="single" w:sz="4" w:space="0" w:color="A6A6A6"/>
              <w:bottom w:val="single" w:sz="4" w:space="0" w:color="A6A6A6"/>
            </w:tcBorders>
            <w:shd w:val="clear" w:color="auto" w:fill="E7E6E6"/>
            <w:noWrap/>
          </w:tcPr>
          <w:p w14:paraId="30CA1F60" w14:textId="68AB611A" w:rsidR="005B131E" w:rsidRPr="00E24EDF" w:rsidRDefault="005B131E" w:rsidP="002542E1">
            <w:pPr>
              <w:pStyle w:val="ARfintablebodyright"/>
              <w:rPr>
                <w:highlight w:val="cyan"/>
              </w:rPr>
            </w:pPr>
            <w:r w:rsidRPr="00C77E2A">
              <w:t>0.8</w:t>
            </w:r>
          </w:p>
        </w:tc>
        <w:tc>
          <w:tcPr>
            <w:tcW w:w="1278" w:type="dxa"/>
            <w:tcBorders>
              <w:top w:val="single" w:sz="4" w:space="0" w:color="A6A6A6"/>
              <w:bottom w:val="single" w:sz="4" w:space="0" w:color="A6A6A6"/>
            </w:tcBorders>
            <w:noWrap/>
          </w:tcPr>
          <w:p w14:paraId="552271DA" w14:textId="1B9DF321" w:rsidR="005B131E" w:rsidRPr="00E24EDF" w:rsidRDefault="005B131E" w:rsidP="002542E1">
            <w:pPr>
              <w:pStyle w:val="ARfintablebodyright"/>
              <w:rPr>
                <w:highlight w:val="cyan"/>
              </w:rPr>
            </w:pPr>
            <w:r w:rsidRPr="00C77E2A">
              <w:t>0.8</w:t>
            </w:r>
          </w:p>
        </w:tc>
      </w:tr>
      <w:tr w:rsidR="005B131E" w:rsidRPr="00E24EDF" w14:paraId="77923BBA" w14:textId="77777777" w:rsidTr="003D7AC8">
        <w:tc>
          <w:tcPr>
            <w:tcW w:w="6941" w:type="dxa"/>
            <w:tcBorders>
              <w:top w:val="single" w:sz="4" w:space="0" w:color="A6A6A6"/>
            </w:tcBorders>
          </w:tcPr>
          <w:p w14:paraId="51DB68C9" w14:textId="77777777" w:rsidR="005B131E" w:rsidRPr="001C69A0" w:rsidRDefault="005B131E" w:rsidP="002542E1">
            <w:pPr>
              <w:pStyle w:val="ARfintablebodybold"/>
            </w:pPr>
            <w:r w:rsidRPr="001C69A0">
              <w:t>Total non-current payables</w:t>
            </w:r>
          </w:p>
        </w:tc>
        <w:tc>
          <w:tcPr>
            <w:tcW w:w="1418" w:type="dxa"/>
            <w:tcBorders>
              <w:top w:val="single" w:sz="4" w:space="0" w:color="A6A6A6"/>
            </w:tcBorders>
            <w:shd w:val="clear" w:color="auto" w:fill="E7E6E6"/>
            <w:noWrap/>
          </w:tcPr>
          <w:p w14:paraId="694FBCA9" w14:textId="381D6685" w:rsidR="005B131E" w:rsidRPr="00E24EDF" w:rsidRDefault="005B131E" w:rsidP="002542E1">
            <w:pPr>
              <w:pStyle w:val="ARfintablebodyrightbold"/>
              <w:rPr>
                <w:highlight w:val="cyan"/>
              </w:rPr>
            </w:pPr>
            <w:r w:rsidRPr="00C77E2A">
              <w:t>85.1</w:t>
            </w:r>
          </w:p>
        </w:tc>
        <w:tc>
          <w:tcPr>
            <w:tcW w:w="1278" w:type="dxa"/>
            <w:tcBorders>
              <w:top w:val="single" w:sz="4" w:space="0" w:color="A6A6A6"/>
            </w:tcBorders>
            <w:noWrap/>
          </w:tcPr>
          <w:p w14:paraId="330590D6" w14:textId="4C3EADCA" w:rsidR="005B131E" w:rsidRPr="00E24EDF" w:rsidRDefault="005B131E" w:rsidP="002542E1">
            <w:pPr>
              <w:pStyle w:val="ARfintablebodyrightbold"/>
              <w:rPr>
                <w:highlight w:val="cyan"/>
              </w:rPr>
            </w:pPr>
            <w:r w:rsidRPr="00C77E2A">
              <w:t>74.3</w:t>
            </w:r>
          </w:p>
        </w:tc>
      </w:tr>
      <w:tr w:rsidR="005B131E" w:rsidRPr="00E24EDF" w14:paraId="57119514" w14:textId="77777777" w:rsidTr="003D7AC8">
        <w:tc>
          <w:tcPr>
            <w:tcW w:w="6941" w:type="dxa"/>
          </w:tcPr>
          <w:p w14:paraId="400A548B" w14:textId="77777777" w:rsidR="005B131E" w:rsidRPr="001C69A0" w:rsidRDefault="005B131E" w:rsidP="002542E1">
            <w:pPr>
              <w:pStyle w:val="ARfintablebodybold"/>
            </w:pPr>
            <w:r w:rsidRPr="001C69A0">
              <w:t>Total payables</w:t>
            </w:r>
          </w:p>
        </w:tc>
        <w:tc>
          <w:tcPr>
            <w:tcW w:w="1418" w:type="dxa"/>
            <w:shd w:val="clear" w:color="auto" w:fill="E7E6E6"/>
            <w:noWrap/>
          </w:tcPr>
          <w:p w14:paraId="675A29A4" w14:textId="04E09E16" w:rsidR="005B131E" w:rsidRPr="00E24EDF" w:rsidRDefault="005B131E" w:rsidP="002542E1">
            <w:pPr>
              <w:pStyle w:val="ARfintablebodyrightbold"/>
              <w:rPr>
                <w:highlight w:val="cyan"/>
              </w:rPr>
            </w:pPr>
            <w:r w:rsidRPr="00C77E2A">
              <w:t xml:space="preserve">565.9 </w:t>
            </w:r>
          </w:p>
        </w:tc>
        <w:tc>
          <w:tcPr>
            <w:tcW w:w="1278" w:type="dxa"/>
            <w:noWrap/>
          </w:tcPr>
          <w:p w14:paraId="08FC6DEB" w14:textId="4BF334D5" w:rsidR="005B131E" w:rsidRPr="00E24EDF" w:rsidRDefault="005B131E" w:rsidP="002542E1">
            <w:pPr>
              <w:pStyle w:val="ARfintablebodyrightbold"/>
              <w:rPr>
                <w:highlight w:val="cyan"/>
              </w:rPr>
            </w:pPr>
            <w:r w:rsidRPr="00C77E2A">
              <w:t>454.9</w:t>
            </w:r>
          </w:p>
        </w:tc>
      </w:tr>
    </w:tbl>
    <w:p w14:paraId="58910FC2" w14:textId="77777777" w:rsidR="005B131E" w:rsidRPr="00EE4A8D" w:rsidRDefault="005B131E">
      <w:pPr>
        <w:pStyle w:val="ARfintablefootnote"/>
        <w:rPr>
          <w:lang w:eastAsia="en-AU"/>
        </w:rPr>
      </w:pPr>
      <w:r w:rsidRPr="00EE4A8D">
        <w:rPr>
          <w:lang w:eastAsia="en-AU"/>
        </w:rPr>
        <w:t>Note:</w:t>
      </w:r>
    </w:p>
    <w:p w14:paraId="50166A1B" w14:textId="77777777" w:rsidR="005B131E" w:rsidRDefault="005B131E" w:rsidP="003D7AC8">
      <w:pPr>
        <w:pStyle w:val="ARfintablefootnotetabindent"/>
      </w:pPr>
      <w:r w:rsidRPr="00EE4A8D">
        <w:t xml:space="preserve">(i) </w:t>
      </w:r>
      <w:r>
        <w:tab/>
      </w:r>
      <w:r w:rsidRPr="00EE4A8D">
        <w:t xml:space="preserve">This relates to the ground lease model </w:t>
      </w:r>
      <w:r>
        <w:t>–</w:t>
      </w:r>
      <w:r w:rsidRPr="00EE4A8D">
        <w:t xml:space="preserve"> public housing renewal program. This liability is recognised under AASB 1059 involving material estimate and is progressively reduced over the period of the arrangement. Further information is included in Note 7.5.3 Service concession arrangements.</w:t>
      </w:r>
    </w:p>
    <w:p w14:paraId="06F1657A" w14:textId="77777777" w:rsidR="005B131E" w:rsidRDefault="005B131E" w:rsidP="002542E1">
      <w:pPr>
        <w:pStyle w:val="ARfinbodyaftertable"/>
      </w:pPr>
      <w:r>
        <w:t>Payables consist of:</w:t>
      </w:r>
    </w:p>
    <w:p w14:paraId="75CEC0B9" w14:textId="77777777" w:rsidR="005B131E" w:rsidRDefault="005B131E" w:rsidP="002542E1">
      <w:pPr>
        <w:pStyle w:val="ARfinbullet1"/>
      </w:pPr>
      <w:r w:rsidRPr="00AD5C55">
        <w:rPr>
          <w:rStyle w:val="Strong"/>
        </w:rPr>
        <w:t>contractual payables</w:t>
      </w:r>
      <w:r>
        <w:t>, other than the Grant of right to operate liability, classified as financial instruments and measured at amortised cost. Accounts payable represent liabilities for goods and services provided to the department prior to the end of the reporting period that are unpaid, and</w:t>
      </w:r>
    </w:p>
    <w:p w14:paraId="17C47D62" w14:textId="77777777" w:rsidR="005B131E" w:rsidRDefault="005B131E" w:rsidP="002542E1">
      <w:pPr>
        <w:pStyle w:val="ARfinbullet1"/>
      </w:pPr>
      <w:r w:rsidRPr="00AD5C55">
        <w:rPr>
          <w:rStyle w:val="Strong"/>
        </w:rPr>
        <w:t>statutory payables</w:t>
      </w:r>
      <w:r>
        <w:t>, that are recognised and measured similarly to contractual payables, but are not classified as financial instruments and are not included in financial liabilities at amortised cost, because they do not arise from a contract.</w:t>
      </w:r>
    </w:p>
    <w:p w14:paraId="680ADBF6" w14:textId="77777777" w:rsidR="005B131E" w:rsidRDefault="005B131E" w:rsidP="002542E1">
      <w:pPr>
        <w:pStyle w:val="ARfinbody"/>
      </w:pPr>
      <w:r>
        <w:t xml:space="preserve">Payables for supplies and services have an average credit period of 30 days. </w:t>
      </w:r>
    </w:p>
    <w:p w14:paraId="03A55186" w14:textId="77777777" w:rsidR="005B131E" w:rsidRDefault="005B131E" w:rsidP="002542E1">
      <w:pPr>
        <w:pStyle w:val="ARfinbodylargespace"/>
      </w:pPr>
      <w:r>
        <w:t>The terms and conditions of amounts payable to the government and agencies vary according to the particular agreements and as they are not legislative payables, they are not classified as financial instruments.</w:t>
      </w:r>
    </w:p>
    <w:p w14:paraId="78353D65" w14:textId="77777777" w:rsidR="005B131E" w:rsidRDefault="005B131E" w:rsidP="002542E1">
      <w:pPr>
        <w:pStyle w:val="ARbody"/>
        <w:rPr>
          <w:rFonts w:eastAsiaTheme="minorEastAsia"/>
          <w:color w:val="000000"/>
          <w:sz w:val="18"/>
          <w:szCs w:val="16"/>
          <w:lang w:eastAsia="en-AU"/>
        </w:rPr>
      </w:pPr>
      <w:r>
        <w:br w:type="page"/>
      </w:r>
    </w:p>
    <w:p w14:paraId="2D8142FB" w14:textId="77777777" w:rsidR="005B131E" w:rsidRPr="005D27DE" w:rsidRDefault="005B131E" w:rsidP="00207901">
      <w:pPr>
        <w:pStyle w:val="Heading5"/>
      </w:pPr>
      <w:r w:rsidRPr="005D27DE">
        <w:t>6.</w:t>
      </w:r>
      <w:r>
        <w:t>3</w:t>
      </w:r>
      <w:r w:rsidRPr="005D27DE">
        <w:t>.1 Maturity analysis of contractual payables</w:t>
      </w:r>
      <w:r>
        <w:t xml:space="preserve"> </w:t>
      </w:r>
      <w:r w:rsidRPr="005D27DE">
        <w:rPr>
          <w:rStyle w:val="Superscript"/>
          <w:rFonts w:eastAsia="Times"/>
        </w:rPr>
        <w:t>(i)</w:t>
      </w:r>
    </w:p>
    <w:tbl>
      <w:tblPr>
        <w:tblStyle w:val="TableGrid"/>
        <w:tblW w:w="9637" w:type="dxa"/>
        <w:tblLayout w:type="fixed"/>
        <w:tblLook w:val="06A0" w:firstRow="1" w:lastRow="0" w:firstColumn="1" w:lastColumn="0" w:noHBand="1" w:noVBand="1"/>
      </w:tblPr>
      <w:tblGrid>
        <w:gridCol w:w="1700"/>
        <w:gridCol w:w="1133"/>
        <w:gridCol w:w="1134"/>
        <w:gridCol w:w="1134"/>
        <w:gridCol w:w="1134"/>
        <w:gridCol w:w="1134"/>
        <w:gridCol w:w="1134"/>
        <w:gridCol w:w="1134"/>
      </w:tblGrid>
      <w:tr w:rsidR="005B131E" w:rsidRPr="00BA7805" w14:paraId="372DB058"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val="restart"/>
            <w:noWrap/>
            <w:hideMark/>
          </w:tcPr>
          <w:p w14:paraId="52F35141" w14:textId="77777777" w:rsidR="005B131E" w:rsidRPr="003C3F67" w:rsidRDefault="005B131E">
            <w:pPr>
              <w:pStyle w:val="ARfintablecolhead"/>
            </w:pPr>
          </w:p>
        </w:tc>
        <w:tc>
          <w:tcPr>
            <w:tcW w:w="1133" w:type="dxa"/>
            <w:vMerge w:val="restart"/>
            <w:noWrap/>
            <w:hideMark/>
          </w:tcPr>
          <w:p w14:paraId="5B80FBAF" w14:textId="77777777" w:rsidR="005B131E" w:rsidRPr="003C3F67" w:rsidRDefault="005B131E">
            <w:pPr>
              <w:pStyle w:val="ARfintablecolheadright"/>
            </w:pPr>
            <w:r w:rsidRPr="003C3F67">
              <w:t>Carrying amount</w:t>
            </w:r>
          </w:p>
          <w:p w14:paraId="7E4456F1" w14:textId="77777777" w:rsidR="005B131E" w:rsidRPr="003C3F67" w:rsidRDefault="005B131E">
            <w:pPr>
              <w:pStyle w:val="ARfintablecolheadright"/>
            </w:pPr>
            <w:r w:rsidRPr="003C3F67">
              <w:t>$M</w:t>
            </w:r>
          </w:p>
        </w:tc>
        <w:tc>
          <w:tcPr>
            <w:tcW w:w="1134" w:type="dxa"/>
            <w:vMerge w:val="restart"/>
            <w:noWrap/>
            <w:hideMark/>
          </w:tcPr>
          <w:p w14:paraId="1EC84ABF" w14:textId="77777777" w:rsidR="005B131E" w:rsidRPr="003C3F67" w:rsidRDefault="005B131E">
            <w:pPr>
              <w:pStyle w:val="ARfintablecolheadright"/>
            </w:pPr>
            <w:r w:rsidRPr="003C3F67">
              <w:t>Nominal amount</w:t>
            </w:r>
          </w:p>
          <w:p w14:paraId="04E84A25" w14:textId="77777777" w:rsidR="005B131E" w:rsidRPr="003C3F67" w:rsidRDefault="005B131E">
            <w:pPr>
              <w:pStyle w:val="ARfintablecolheadright"/>
            </w:pPr>
            <w:r w:rsidRPr="003C3F67">
              <w:t>$M</w:t>
            </w:r>
          </w:p>
        </w:tc>
        <w:tc>
          <w:tcPr>
            <w:tcW w:w="5670" w:type="dxa"/>
            <w:gridSpan w:val="5"/>
            <w:shd w:val="clear" w:color="auto" w:fill="E7E6E6" w:themeFill="accent4"/>
            <w:noWrap/>
            <w:hideMark/>
          </w:tcPr>
          <w:p w14:paraId="5E712F3A" w14:textId="77777777" w:rsidR="005B131E" w:rsidRPr="003C3F67" w:rsidRDefault="005B131E">
            <w:pPr>
              <w:pStyle w:val="ARfintablecolheadcentre"/>
            </w:pPr>
            <w:r w:rsidRPr="003C3F67">
              <w:t>Maturity dates</w:t>
            </w:r>
          </w:p>
        </w:tc>
      </w:tr>
      <w:tr w:rsidR="005B131E" w:rsidRPr="00BA7805" w14:paraId="6AA4775F"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hideMark/>
          </w:tcPr>
          <w:p w14:paraId="6ED2E580" w14:textId="77777777" w:rsidR="005B131E" w:rsidRPr="003C3F67" w:rsidRDefault="005B131E">
            <w:pPr>
              <w:pStyle w:val="ARfintablecolhead"/>
            </w:pPr>
          </w:p>
        </w:tc>
        <w:tc>
          <w:tcPr>
            <w:tcW w:w="1133" w:type="dxa"/>
            <w:vMerge/>
            <w:hideMark/>
          </w:tcPr>
          <w:p w14:paraId="2BBB4EEC" w14:textId="77777777" w:rsidR="005B131E" w:rsidRPr="003C3F67" w:rsidRDefault="005B131E">
            <w:pPr>
              <w:pStyle w:val="ARfintablecolheadright"/>
            </w:pPr>
          </w:p>
        </w:tc>
        <w:tc>
          <w:tcPr>
            <w:tcW w:w="1134" w:type="dxa"/>
            <w:vMerge/>
            <w:hideMark/>
          </w:tcPr>
          <w:p w14:paraId="4BCF6B1B" w14:textId="77777777" w:rsidR="005B131E" w:rsidRPr="003C3F67" w:rsidRDefault="005B131E">
            <w:pPr>
              <w:pStyle w:val="ARfintablecolheadright"/>
            </w:pPr>
          </w:p>
        </w:tc>
        <w:tc>
          <w:tcPr>
            <w:tcW w:w="1134" w:type="dxa"/>
            <w:tcBorders>
              <w:bottom w:val="single" w:sz="4" w:space="0" w:color="auto"/>
            </w:tcBorders>
            <w:shd w:val="clear" w:color="auto" w:fill="E7E6E6" w:themeFill="accent4"/>
            <w:hideMark/>
          </w:tcPr>
          <w:p w14:paraId="6F4CCD90" w14:textId="77777777" w:rsidR="005B131E" w:rsidRPr="003C3F67" w:rsidRDefault="005B131E">
            <w:pPr>
              <w:pStyle w:val="ARfintablecolheadright"/>
            </w:pPr>
            <w:r w:rsidRPr="003C3F67">
              <w:t>Less than 1 month</w:t>
            </w:r>
          </w:p>
          <w:p w14:paraId="7076F696" w14:textId="77777777" w:rsidR="005B131E" w:rsidRPr="003C3F67" w:rsidRDefault="005B131E">
            <w:pPr>
              <w:pStyle w:val="ARfintablecolheadright"/>
            </w:pPr>
            <w:r w:rsidRPr="003C3F67">
              <w:t>$M</w:t>
            </w:r>
          </w:p>
        </w:tc>
        <w:tc>
          <w:tcPr>
            <w:tcW w:w="1134" w:type="dxa"/>
            <w:tcBorders>
              <w:bottom w:val="single" w:sz="4" w:space="0" w:color="auto"/>
            </w:tcBorders>
            <w:shd w:val="clear" w:color="auto" w:fill="E7E6E6" w:themeFill="accent4"/>
            <w:hideMark/>
          </w:tcPr>
          <w:p w14:paraId="1EDEBA47" w14:textId="77777777" w:rsidR="005B131E" w:rsidRPr="003C3F67" w:rsidRDefault="005B131E">
            <w:pPr>
              <w:pStyle w:val="ARfintablecolheadright"/>
            </w:pPr>
            <w:r w:rsidRPr="003C3F67">
              <w:t>1–3 months</w:t>
            </w:r>
          </w:p>
          <w:p w14:paraId="619CEAEA" w14:textId="77777777" w:rsidR="005B131E" w:rsidRPr="003C3F67" w:rsidRDefault="005B131E">
            <w:pPr>
              <w:pStyle w:val="ARfintablecolheadright"/>
            </w:pPr>
            <w:r w:rsidRPr="003C3F67">
              <w:t>$M</w:t>
            </w:r>
          </w:p>
        </w:tc>
        <w:tc>
          <w:tcPr>
            <w:tcW w:w="1134" w:type="dxa"/>
            <w:tcBorders>
              <w:bottom w:val="single" w:sz="4" w:space="0" w:color="auto"/>
            </w:tcBorders>
            <w:shd w:val="clear" w:color="auto" w:fill="E7E6E6" w:themeFill="accent4"/>
            <w:hideMark/>
          </w:tcPr>
          <w:p w14:paraId="5BED0AE4" w14:textId="77777777" w:rsidR="005B131E" w:rsidRPr="003C3F67" w:rsidRDefault="005B131E">
            <w:pPr>
              <w:pStyle w:val="ARfintablecolheadright"/>
            </w:pPr>
            <w:r w:rsidRPr="003C3F67">
              <w:t>3 months – 1 year</w:t>
            </w:r>
          </w:p>
          <w:p w14:paraId="2FC7BEA5" w14:textId="77777777" w:rsidR="005B131E" w:rsidRPr="003C3F67" w:rsidRDefault="005B131E">
            <w:pPr>
              <w:pStyle w:val="ARfintablecolheadright"/>
            </w:pPr>
            <w:r w:rsidRPr="003C3F67">
              <w:t>$M</w:t>
            </w:r>
          </w:p>
        </w:tc>
        <w:tc>
          <w:tcPr>
            <w:tcW w:w="1134" w:type="dxa"/>
            <w:tcBorders>
              <w:bottom w:val="single" w:sz="4" w:space="0" w:color="auto"/>
            </w:tcBorders>
            <w:shd w:val="clear" w:color="auto" w:fill="E7E6E6" w:themeFill="accent4"/>
            <w:hideMark/>
          </w:tcPr>
          <w:p w14:paraId="1CE99669" w14:textId="77777777" w:rsidR="005B131E" w:rsidRPr="003C3F67" w:rsidRDefault="005B131E">
            <w:pPr>
              <w:pStyle w:val="ARfintablecolheadright"/>
            </w:pPr>
            <w:r w:rsidRPr="003C3F67">
              <w:t>1–5 years</w:t>
            </w:r>
          </w:p>
          <w:p w14:paraId="483C0526" w14:textId="77777777" w:rsidR="005B131E" w:rsidRPr="003C3F67" w:rsidRDefault="005B131E">
            <w:pPr>
              <w:pStyle w:val="ARfintablecolheadright"/>
            </w:pPr>
            <w:r w:rsidRPr="003C3F67">
              <w:t>$M</w:t>
            </w:r>
          </w:p>
        </w:tc>
        <w:tc>
          <w:tcPr>
            <w:tcW w:w="1134" w:type="dxa"/>
            <w:tcBorders>
              <w:bottom w:val="single" w:sz="4" w:space="0" w:color="auto"/>
            </w:tcBorders>
            <w:shd w:val="clear" w:color="auto" w:fill="E7E6E6" w:themeFill="accent4"/>
            <w:hideMark/>
          </w:tcPr>
          <w:p w14:paraId="419E55D3" w14:textId="77777777" w:rsidR="005B131E" w:rsidRPr="003C3F67" w:rsidRDefault="005B131E">
            <w:pPr>
              <w:pStyle w:val="ARfintablecolheadright"/>
            </w:pPr>
            <w:r w:rsidRPr="003C3F67">
              <w:t>5+ years</w:t>
            </w:r>
          </w:p>
          <w:p w14:paraId="724F6361" w14:textId="77777777" w:rsidR="005B131E" w:rsidRPr="003C3F67" w:rsidRDefault="005B131E">
            <w:pPr>
              <w:pStyle w:val="ARfintablecolheadright"/>
            </w:pPr>
            <w:r w:rsidRPr="003C3F67">
              <w:t>$M</w:t>
            </w:r>
          </w:p>
        </w:tc>
      </w:tr>
      <w:tr w:rsidR="005B131E" w:rsidRPr="00BA7805" w14:paraId="6DDD8591" w14:textId="77777777" w:rsidTr="002542E1">
        <w:trPr>
          <w:trHeight w:val="255"/>
        </w:trPr>
        <w:tc>
          <w:tcPr>
            <w:tcW w:w="9637" w:type="dxa"/>
            <w:gridSpan w:val="8"/>
            <w:tcBorders>
              <w:top w:val="single" w:sz="4" w:space="0" w:color="auto"/>
              <w:bottom w:val="single" w:sz="4" w:space="0" w:color="A6A6A6" w:themeColor="background1" w:themeShade="A6"/>
            </w:tcBorders>
            <w:shd w:val="clear" w:color="auto" w:fill="auto"/>
          </w:tcPr>
          <w:p w14:paraId="42847085" w14:textId="77777777" w:rsidR="005B131E" w:rsidRPr="00BA7805" w:rsidRDefault="005B131E" w:rsidP="002542E1">
            <w:pPr>
              <w:pStyle w:val="ARfintablebodybold"/>
              <w:rPr>
                <w:highlight w:val="green"/>
              </w:rPr>
            </w:pPr>
            <w:r w:rsidRPr="003C3F67">
              <w:t>2024</w:t>
            </w:r>
          </w:p>
        </w:tc>
      </w:tr>
      <w:tr w:rsidR="005B131E" w:rsidRPr="00BA7805" w14:paraId="6011664D" w14:textId="77777777" w:rsidTr="002542E1">
        <w:trPr>
          <w:trHeight w:val="255"/>
        </w:trPr>
        <w:tc>
          <w:tcPr>
            <w:tcW w:w="1700" w:type="dxa"/>
            <w:tcBorders>
              <w:top w:val="single" w:sz="4" w:space="0" w:color="A6A6A6" w:themeColor="background1" w:themeShade="A6"/>
            </w:tcBorders>
          </w:tcPr>
          <w:p w14:paraId="6659F10D" w14:textId="77777777" w:rsidR="005B131E" w:rsidRPr="00BA7805" w:rsidRDefault="005B131E" w:rsidP="002542E1">
            <w:pPr>
              <w:pStyle w:val="ARfintablebody"/>
              <w:rPr>
                <w:highlight w:val="green"/>
              </w:rPr>
            </w:pPr>
            <w:r w:rsidRPr="00A97127">
              <w:t>Payables</w:t>
            </w:r>
          </w:p>
        </w:tc>
        <w:tc>
          <w:tcPr>
            <w:tcW w:w="1133" w:type="dxa"/>
            <w:tcBorders>
              <w:top w:val="single" w:sz="4" w:space="0" w:color="A6A6A6" w:themeColor="background1" w:themeShade="A6"/>
            </w:tcBorders>
            <w:noWrap/>
          </w:tcPr>
          <w:p w14:paraId="238176C9" w14:textId="77777777" w:rsidR="005B131E" w:rsidRPr="00BA7805" w:rsidRDefault="005B131E" w:rsidP="002542E1">
            <w:pPr>
              <w:pStyle w:val="ARfintablebodyright"/>
              <w:rPr>
                <w:highlight w:val="green"/>
              </w:rPr>
            </w:pPr>
            <w:r w:rsidRPr="00A97127">
              <w:t>479.5</w:t>
            </w:r>
          </w:p>
        </w:tc>
        <w:tc>
          <w:tcPr>
            <w:tcW w:w="1134" w:type="dxa"/>
            <w:tcBorders>
              <w:top w:val="single" w:sz="4" w:space="0" w:color="A6A6A6" w:themeColor="background1" w:themeShade="A6"/>
            </w:tcBorders>
            <w:noWrap/>
          </w:tcPr>
          <w:p w14:paraId="38B6C88C" w14:textId="77777777" w:rsidR="005B131E" w:rsidRPr="00BA7805" w:rsidRDefault="005B131E" w:rsidP="002542E1">
            <w:pPr>
              <w:pStyle w:val="ARfintablebodyright"/>
              <w:rPr>
                <w:highlight w:val="green"/>
              </w:rPr>
            </w:pPr>
            <w:r w:rsidRPr="00A97127">
              <w:t>479.4</w:t>
            </w:r>
          </w:p>
        </w:tc>
        <w:tc>
          <w:tcPr>
            <w:tcW w:w="1134" w:type="dxa"/>
            <w:tcBorders>
              <w:top w:val="single" w:sz="4" w:space="0" w:color="A6A6A6" w:themeColor="background1" w:themeShade="A6"/>
            </w:tcBorders>
            <w:shd w:val="clear" w:color="auto" w:fill="E7E6E6" w:themeFill="accent4"/>
            <w:noWrap/>
          </w:tcPr>
          <w:p w14:paraId="5738804B" w14:textId="77777777" w:rsidR="005B131E" w:rsidRPr="00BA7805" w:rsidRDefault="005B131E" w:rsidP="002542E1">
            <w:pPr>
              <w:pStyle w:val="ARfintablebodyright"/>
              <w:rPr>
                <w:highlight w:val="green"/>
              </w:rPr>
            </w:pPr>
            <w:r w:rsidRPr="00A97127">
              <w:t>390.8</w:t>
            </w:r>
          </w:p>
        </w:tc>
        <w:tc>
          <w:tcPr>
            <w:tcW w:w="1134" w:type="dxa"/>
            <w:tcBorders>
              <w:top w:val="single" w:sz="4" w:space="0" w:color="A6A6A6" w:themeColor="background1" w:themeShade="A6"/>
            </w:tcBorders>
            <w:shd w:val="clear" w:color="auto" w:fill="E7E6E6" w:themeFill="accent4"/>
            <w:noWrap/>
          </w:tcPr>
          <w:p w14:paraId="2D9EAA7E" w14:textId="77777777" w:rsidR="005B131E" w:rsidRPr="00BA7805" w:rsidRDefault="005B131E" w:rsidP="002542E1">
            <w:pPr>
              <w:pStyle w:val="ARfintablebodyright"/>
              <w:rPr>
                <w:highlight w:val="green"/>
              </w:rPr>
            </w:pPr>
            <w:r w:rsidRPr="00A97127">
              <w:t>80.2</w:t>
            </w:r>
          </w:p>
        </w:tc>
        <w:tc>
          <w:tcPr>
            <w:tcW w:w="1134" w:type="dxa"/>
            <w:tcBorders>
              <w:top w:val="single" w:sz="4" w:space="0" w:color="A6A6A6" w:themeColor="background1" w:themeShade="A6"/>
            </w:tcBorders>
            <w:shd w:val="clear" w:color="auto" w:fill="E7E6E6" w:themeFill="accent4"/>
            <w:noWrap/>
          </w:tcPr>
          <w:p w14:paraId="3AFF772B" w14:textId="77777777" w:rsidR="005B131E" w:rsidRPr="00BA7805" w:rsidRDefault="005B131E" w:rsidP="002542E1">
            <w:pPr>
              <w:pStyle w:val="ARfintablebodyright"/>
              <w:rPr>
                <w:highlight w:val="green"/>
              </w:rPr>
            </w:pPr>
            <w:r w:rsidRPr="00A97127">
              <w:t>0.3</w:t>
            </w:r>
          </w:p>
        </w:tc>
        <w:tc>
          <w:tcPr>
            <w:tcW w:w="1134" w:type="dxa"/>
            <w:tcBorders>
              <w:top w:val="single" w:sz="4" w:space="0" w:color="A6A6A6" w:themeColor="background1" w:themeShade="A6"/>
            </w:tcBorders>
            <w:shd w:val="clear" w:color="auto" w:fill="E7E6E6" w:themeFill="accent4"/>
            <w:noWrap/>
          </w:tcPr>
          <w:p w14:paraId="758B8CD3" w14:textId="77777777" w:rsidR="005B131E" w:rsidRPr="00BA7805" w:rsidRDefault="005B131E" w:rsidP="002542E1">
            <w:pPr>
              <w:pStyle w:val="ARfintablebodyright"/>
              <w:rPr>
                <w:highlight w:val="green"/>
              </w:rPr>
            </w:pPr>
            <w:r w:rsidRPr="00A97127">
              <w:t>7.3</w:t>
            </w:r>
          </w:p>
        </w:tc>
        <w:tc>
          <w:tcPr>
            <w:tcW w:w="1134" w:type="dxa"/>
            <w:tcBorders>
              <w:top w:val="single" w:sz="4" w:space="0" w:color="A6A6A6" w:themeColor="background1" w:themeShade="A6"/>
            </w:tcBorders>
            <w:shd w:val="clear" w:color="auto" w:fill="E7E6E6" w:themeFill="accent4"/>
            <w:noWrap/>
          </w:tcPr>
          <w:p w14:paraId="05A6838D" w14:textId="77777777" w:rsidR="005B131E" w:rsidRPr="00695376" w:rsidRDefault="005B131E" w:rsidP="002542E1">
            <w:pPr>
              <w:pStyle w:val="ARfintablebodyright"/>
            </w:pPr>
            <w:r w:rsidRPr="00695376">
              <w:t>0.9</w:t>
            </w:r>
          </w:p>
        </w:tc>
      </w:tr>
      <w:tr w:rsidR="005B131E" w:rsidRPr="00BA7805" w14:paraId="1AB1B0DA" w14:textId="77777777" w:rsidTr="002542E1">
        <w:trPr>
          <w:trHeight w:val="255"/>
        </w:trPr>
        <w:tc>
          <w:tcPr>
            <w:tcW w:w="1700" w:type="dxa"/>
            <w:tcBorders>
              <w:bottom w:val="single" w:sz="4" w:space="0" w:color="auto"/>
            </w:tcBorders>
          </w:tcPr>
          <w:p w14:paraId="168E8D03" w14:textId="77777777" w:rsidR="005B131E" w:rsidRPr="001F08B4" w:rsidRDefault="005B131E" w:rsidP="002542E1">
            <w:pPr>
              <w:pStyle w:val="ARfintablebodybold"/>
              <w:rPr>
                <w:highlight w:val="green"/>
              </w:rPr>
            </w:pPr>
            <w:r w:rsidRPr="001F08B4">
              <w:t>Total</w:t>
            </w:r>
          </w:p>
        </w:tc>
        <w:tc>
          <w:tcPr>
            <w:tcW w:w="1133" w:type="dxa"/>
            <w:tcBorders>
              <w:bottom w:val="single" w:sz="4" w:space="0" w:color="auto"/>
            </w:tcBorders>
            <w:noWrap/>
          </w:tcPr>
          <w:p w14:paraId="75C47B49" w14:textId="77777777" w:rsidR="005B131E" w:rsidRPr="001F08B4" w:rsidRDefault="005B131E" w:rsidP="002542E1">
            <w:pPr>
              <w:pStyle w:val="ARfintablebodyrightbold"/>
              <w:rPr>
                <w:highlight w:val="green"/>
              </w:rPr>
            </w:pPr>
            <w:r w:rsidRPr="001F08B4">
              <w:t>479.5</w:t>
            </w:r>
          </w:p>
        </w:tc>
        <w:tc>
          <w:tcPr>
            <w:tcW w:w="1134" w:type="dxa"/>
            <w:tcBorders>
              <w:bottom w:val="single" w:sz="4" w:space="0" w:color="auto"/>
            </w:tcBorders>
            <w:noWrap/>
          </w:tcPr>
          <w:p w14:paraId="0DBA9F80" w14:textId="77777777" w:rsidR="005B131E" w:rsidRPr="001F08B4" w:rsidRDefault="005B131E" w:rsidP="002542E1">
            <w:pPr>
              <w:pStyle w:val="ARfintablebodyrightbold"/>
              <w:rPr>
                <w:highlight w:val="green"/>
              </w:rPr>
            </w:pPr>
            <w:r w:rsidRPr="001F08B4">
              <w:t>479.4</w:t>
            </w:r>
          </w:p>
        </w:tc>
        <w:tc>
          <w:tcPr>
            <w:tcW w:w="1134" w:type="dxa"/>
            <w:tcBorders>
              <w:bottom w:val="single" w:sz="4" w:space="0" w:color="auto"/>
            </w:tcBorders>
            <w:shd w:val="clear" w:color="auto" w:fill="E7E6E6" w:themeFill="accent4"/>
            <w:noWrap/>
          </w:tcPr>
          <w:p w14:paraId="4B85AE44" w14:textId="77777777" w:rsidR="005B131E" w:rsidRPr="001F08B4" w:rsidRDefault="005B131E" w:rsidP="002542E1">
            <w:pPr>
              <w:pStyle w:val="ARfintablebodyrightbold"/>
              <w:rPr>
                <w:highlight w:val="green"/>
              </w:rPr>
            </w:pPr>
            <w:r w:rsidRPr="001F08B4">
              <w:t>390.8</w:t>
            </w:r>
          </w:p>
        </w:tc>
        <w:tc>
          <w:tcPr>
            <w:tcW w:w="1134" w:type="dxa"/>
            <w:tcBorders>
              <w:bottom w:val="single" w:sz="4" w:space="0" w:color="auto"/>
            </w:tcBorders>
            <w:shd w:val="clear" w:color="auto" w:fill="E7E6E6" w:themeFill="accent4"/>
            <w:noWrap/>
          </w:tcPr>
          <w:p w14:paraId="627B4C74" w14:textId="77777777" w:rsidR="005B131E" w:rsidRPr="001F08B4" w:rsidRDefault="005B131E" w:rsidP="002542E1">
            <w:pPr>
              <w:pStyle w:val="ARfintablebodyrightbold"/>
              <w:rPr>
                <w:highlight w:val="green"/>
              </w:rPr>
            </w:pPr>
            <w:r w:rsidRPr="001F08B4">
              <w:t>80.2</w:t>
            </w:r>
          </w:p>
        </w:tc>
        <w:tc>
          <w:tcPr>
            <w:tcW w:w="1134" w:type="dxa"/>
            <w:tcBorders>
              <w:bottom w:val="single" w:sz="4" w:space="0" w:color="auto"/>
            </w:tcBorders>
            <w:shd w:val="clear" w:color="auto" w:fill="E7E6E6" w:themeFill="accent4"/>
            <w:noWrap/>
          </w:tcPr>
          <w:p w14:paraId="2F30F19B" w14:textId="77777777" w:rsidR="005B131E" w:rsidRPr="001F08B4" w:rsidRDefault="005B131E" w:rsidP="002542E1">
            <w:pPr>
              <w:pStyle w:val="ARfintablebodyrightbold"/>
              <w:rPr>
                <w:highlight w:val="green"/>
              </w:rPr>
            </w:pPr>
            <w:r w:rsidRPr="001F08B4">
              <w:t>0.3</w:t>
            </w:r>
          </w:p>
        </w:tc>
        <w:tc>
          <w:tcPr>
            <w:tcW w:w="1134" w:type="dxa"/>
            <w:tcBorders>
              <w:bottom w:val="single" w:sz="4" w:space="0" w:color="auto"/>
            </w:tcBorders>
            <w:shd w:val="clear" w:color="auto" w:fill="E7E6E6" w:themeFill="accent4"/>
            <w:noWrap/>
          </w:tcPr>
          <w:p w14:paraId="03B19DA1" w14:textId="77777777" w:rsidR="005B131E" w:rsidRPr="001F08B4" w:rsidRDefault="005B131E" w:rsidP="002542E1">
            <w:pPr>
              <w:pStyle w:val="ARfintablebodyrightbold"/>
              <w:rPr>
                <w:highlight w:val="green"/>
              </w:rPr>
            </w:pPr>
            <w:r w:rsidRPr="001F08B4">
              <w:t>7.3</w:t>
            </w:r>
          </w:p>
        </w:tc>
        <w:tc>
          <w:tcPr>
            <w:tcW w:w="1134" w:type="dxa"/>
            <w:tcBorders>
              <w:bottom w:val="single" w:sz="4" w:space="0" w:color="auto"/>
            </w:tcBorders>
            <w:shd w:val="clear" w:color="auto" w:fill="E7E6E6" w:themeFill="accent4"/>
            <w:noWrap/>
          </w:tcPr>
          <w:p w14:paraId="4FF8E68E" w14:textId="77777777" w:rsidR="005B131E" w:rsidRPr="001F08B4" w:rsidRDefault="005B131E" w:rsidP="002542E1">
            <w:pPr>
              <w:pStyle w:val="ARfintablebodyrightbold"/>
            </w:pPr>
            <w:r w:rsidRPr="001F08B4">
              <w:t>0.9</w:t>
            </w:r>
          </w:p>
        </w:tc>
      </w:tr>
      <w:tr w:rsidR="005B131E" w:rsidRPr="00BA7805" w14:paraId="2C679E61" w14:textId="77777777" w:rsidTr="002542E1">
        <w:trPr>
          <w:trHeight w:val="255"/>
        </w:trPr>
        <w:tc>
          <w:tcPr>
            <w:tcW w:w="9637" w:type="dxa"/>
            <w:gridSpan w:val="8"/>
            <w:tcBorders>
              <w:top w:val="single" w:sz="4" w:space="0" w:color="auto"/>
              <w:bottom w:val="single" w:sz="4" w:space="0" w:color="A6A6A6" w:themeColor="background1" w:themeShade="A6"/>
            </w:tcBorders>
            <w:shd w:val="clear" w:color="auto" w:fill="auto"/>
          </w:tcPr>
          <w:p w14:paraId="2DDA57D0" w14:textId="77777777" w:rsidR="005B131E" w:rsidRPr="00181FDC" w:rsidRDefault="005B131E" w:rsidP="002542E1">
            <w:pPr>
              <w:pStyle w:val="ARfintablebodybold"/>
              <w:rPr>
                <w:rStyle w:val="Superscript"/>
                <w:highlight w:val="green"/>
                <w:vertAlign w:val="baseline"/>
              </w:rPr>
            </w:pPr>
            <w:r w:rsidRPr="00181FDC">
              <w:rPr>
                <w:rStyle w:val="Superscript"/>
                <w:vertAlign w:val="baseline"/>
              </w:rPr>
              <w:t>2023</w:t>
            </w:r>
          </w:p>
        </w:tc>
      </w:tr>
      <w:tr w:rsidR="005B131E" w:rsidRPr="00BA7805" w14:paraId="3C733E22" w14:textId="77777777" w:rsidTr="002542E1">
        <w:trPr>
          <w:trHeight w:val="255"/>
        </w:trPr>
        <w:tc>
          <w:tcPr>
            <w:tcW w:w="1700" w:type="dxa"/>
            <w:tcBorders>
              <w:top w:val="single" w:sz="4" w:space="0" w:color="A6A6A6" w:themeColor="background1" w:themeShade="A6"/>
            </w:tcBorders>
          </w:tcPr>
          <w:p w14:paraId="1E33C496" w14:textId="77777777" w:rsidR="005B131E" w:rsidRPr="00BA7805" w:rsidRDefault="005B131E" w:rsidP="002542E1">
            <w:pPr>
              <w:pStyle w:val="ARfintablebody"/>
              <w:rPr>
                <w:highlight w:val="green"/>
              </w:rPr>
            </w:pPr>
            <w:r w:rsidRPr="005D1C66">
              <w:t>Payables</w:t>
            </w:r>
          </w:p>
        </w:tc>
        <w:tc>
          <w:tcPr>
            <w:tcW w:w="1133" w:type="dxa"/>
            <w:tcBorders>
              <w:top w:val="single" w:sz="4" w:space="0" w:color="A6A6A6" w:themeColor="background1" w:themeShade="A6"/>
            </w:tcBorders>
            <w:noWrap/>
          </w:tcPr>
          <w:p w14:paraId="43095DB2" w14:textId="77777777" w:rsidR="005B131E" w:rsidRPr="00BA7805" w:rsidRDefault="005B131E" w:rsidP="002542E1">
            <w:pPr>
              <w:pStyle w:val="ARfintablebodyright"/>
              <w:rPr>
                <w:highlight w:val="green"/>
              </w:rPr>
            </w:pPr>
            <w:r w:rsidRPr="005D1C66">
              <w:t>380.7</w:t>
            </w:r>
          </w:p>
        </w:tc>
        <w:tc>
          <w:tcPr>
            <w:tcW w:w="1134" w:type="dxa"/>
            <w:tcBorders>
              <w:top w:val="single" w:sz="4" w:space="0" w:color="A6A6A6" w:themeColor="background1" w:themeShade="A6"/>
            </w:tcBorders>
            <w:noWrap/>
          </w:tcPr>
          <w:p w14:paraId="595C6023" w14:textId="77777777" w:rsidR="005B131E" w:rsidRPr="00BA7805" w:rsidRDefault="005B131E" w:rsidP="002542E1">
            <w:pPr>
              <w:pStyle w:val="ARfintablebodyright"/>
              <w:rPr>
                <w:highlight w:val="green"/>
              </w:rPr>
            </w:pPr>
            <w:r w:rsidRPr="005D1C66">
              <w:t>380.7</w:t>
            </w:r>
          </w:p>
        </w:tc>
        <w:tc>
          <w:tcPr>
            <w:tcW w:w="1134" w:type="dxa"/>
            <w:tcBorders>
              <w:top w:val="single" w:sz="4" w:space="0" w:color="A6A6A6" w:themeColor="background1" w:themeShade="A6"/>
            </w:tcBorders>
            <w:shd w:val="clear" w:color="auto" w:fill="E7E6E6" w:themeFill="accent4"/>
            <w:noWrap/>
          </w:tcPr>
          <w:p w14:paraId="47E0FCD3" w14:textId="77777777" w:rsidR="005B131E" w:rsidRPr="00BA7805" w:rsidRDefault="005B131E" w:rsidP="002542E1">
            <w:pPr>
              <w:pStyle w:val="ARfintablebodyright"/>
              <w:rPr>
                <w:highlight w:val="green"/>
              </w:rPr>
            </w:pPr>
            <w:r w:rsidRPr="005D1C66">
              <w:t>348.4</w:t>
            </w:r>
          </w:p>
        </w:tc>
        <w:tc>
          <w:tcPr>
            <w:tcW w:w="1134" w:type="dxa"/>
            <w:tcBorders>
              <w:top w:val="single" w:sz="4" w:space="0" w:color="A6A6A6" w:themeColor="background1" w:themeShade="A6"/>
            </w:tcBorders>
            <w:shd w:val="clear" w:color="auto" w:fill="E7E6E6" w:themeFill="accent4"/>
            <w:noWrap/>
          </w:tcPr>
          <w:p w14:paraId="1D5009E3" w14:textId="77777777" w:rsidR="005B131E" w:rsidRPr="00BA7805" w:rsidRDefault="005B131E" w:rsidP="002542E1">
            <w:pPr>
              <w:pStyle w:val="ARfintablebodyright"/>
              <w:rPr>
                <w:highlight w:val="green"/>
              </w:rPr>
            </w:pPr>
            <w:r w:rsidRPr="005D1C66">
              <w:t>6.0</w:t>
            </w:r>
          </w:p>
        </w:tc>
        <w:tc>
          <w:tcPr>
            <w:tcW w:w="1134" w:type="dxa"/>
            <w:tcBorders>
              <w:top w:val="single" w:sz="4" w:space="0" w:color="A6A6A6" w:themeColor="background1" w:themeShade="A6"/>
            </w:tcBorders>
            <w:shd w:val="clear" w:color="auto" w:fill="E7E6E6" w:themeFill="accent4"/>
            <w:noWrap/>
          </w:tcPr>
          <w:p w14:paraId="22981E23" w14:textId="77777777" w:rsidR="005B131E" w:rsidRPr="00BA7805" w:rsidRDefault="005B131E" w:rsidP="002542E1">
            <w:pPr>
              <w:pStyle w:val="ARfintablebodyright"/>
              <w:rPr>
                <w:highlight w:val="green"/>
              </w:rPr>
            </w:pPr>
            <w:r w:rsidRPr="005D1C66">
              <w:t>17.3</w:t>
            </w:r>
          </w:p>
        </w:tc>
        <w:tc>
          <w:tcPr>
            <w:tcW w:w="1134" w:type="dxa"/>
            <w:tcBorders>
              <w:top w:val="single" w:sz="4" w:space="0" w:color="A6A6A6" w:themeColor="background1" w:themeShade="A6"/>
            </w:tcBorders>
            <w:shd w:val="clear" w:color="auto" w:fill="E7E6E6" w:themeFill="accent4"/>
            <w:noWrap/>
          </w:tcPr>
          <w:p w14:paraId="40C8E1EE" w14:textId="77777777" w:rsidR="005B131E" w:rsidRPr="00BA7805" w:rsidRDefault="005B131E" w:rsidP="002542E1">
            <w:pPr>
              <w:pStyle w:val="ARfintablebodyright"/>
              <w:rPr>
                <w:color w:val="000000" w:themeColor="text1"/>
                <w:szCs w:val="18"/>
                <w:highlight w:val="green"/>
              </w:rPr>
            </w:pPr>
            <w:r w:rsidRPr="005D1C66">
              <w:t>7.5</w:t>
            </w:r>
          </w:p>
        </w:tc>
        <w:tc>
          <w:tcPr>
            <w:tcW w:w="1134" w:type="dxa"/>
            <w:tcBorders>
              <w:top w:val="single" w:sz="4" w:space="0" w:color="A6A6A6" w:themeColor="background1" w:themeShade="A6"/>
            </w:tcBorders>
            <w:shd w:val="clear" w:color="auto" w:fill="E7E6E6" w:themeFill="accent4"/>
            <w:noWrap/>
          </w:tcPr>
          <w:p w14:paraId="759050A8" w14:textId="77777777" w:rsidR="005B131E" w:rsidRPr="00695376" w:rsidRDefault="005B131E" w:rsidP="002542E1">
            <w:pPr>
              <w:pStyle w:val="ARfintablebodyright"/>
            </w:pPr>
            <w:r w:rsidRPr="00695376">
              <w:t>1.5</w:t>
            </w:r>
          </w:p>
        </w:tc>
      </w:tr>
      <w:tr w:rsidR="005B131E" w:rsidRPr="00BA7805" w14:paraId="4FFD567A" w14:textId="77777777" w:rsidTr="002542E1">
        <w:trPr>
          <w:trHeight w:val="255"/>
        </w:trPr>
        <w:tc>
          <w:tcPr>
            <w:tcW w:w="1700" w:type="dxa"/>
          </w:tcPr>
          <w:p w14:paraId="2C2376FE" w14:textId="77777777" w:rsidR="005B131E" w:rsidRPr="00BA7805" w:rsidRDefault="005B131E" w:rsidP="002542E1">
            <w:pPr>
              <w:pStyle w:val="ARfintablebodybold"/>
              <w:rPr>
                <w:highlight w:val="green"/>
              </w:rPr>
            </w:pPr>
            <w:r w:rsidRPr="005D1C66">
              <w:t>Total</w:t>
            </w:r>
          </w:p>
        </w:tc>
        <w:tc>
          <w:tcPr>
            <w:tcW w:w="1133" w:type="dxa"/>
            <w:noWrap/>
          </w:tcPr>
          <w:p w14:paraId="6798C38A" w14:textId="77777777" w:rsidR="005B131E" w:rsidRPr="00BA7805" w:rsidRDefault="005B131E" w:rsidP="002542E1">
            <w:pPr>
              <w:pStyle w:val="ARfintablebodyrightbold"/>
              <w:rPr>
                <w:highlight w:val="green"/>
              </w:rPr>
            </w:pPr>
            <w:r w:rsidRPr="005D1C66">
              <w:t>380.7</w:t>
            </w:r>
          </w:p>
        </w:tc>
        <w:tc>
          <w:tcPr>
            <w:tcW w:w="1134" w:type="dxa"/>
            <w:noWrap/>
          </w:tcPr>
          <w:p w14:paraId="6A927A18" w14:textId="77777777" w:rsidR="005B131E" w:rsidRPr="00BA7805" w:rsidRDefault="005B131E" w:rsidP="002542E1">
            <w:pPr>
              <w:pStyle w:val="ARfintablebodyrightbold"/>
              <w:rPr>
                <w:highlight w:val="green"/>
              </w:rPr>
            </w:pPr>
            <w:r w:rsidRPr="005D1C66">
              <w:t>380.7</w:t>
            </w:r>
          </w:p>
        </w:tc>
        <w:tc>
          <w:tcPr>
            <w:tcW w:w="1134" w:type="dxa"/>
            <w:shd w:val="clear" w:color="auto" w:fill="E7E6E6" w:themeFill="accent4"/>
            <w:noWrap/>
          </w:tcPr>
          <w:p w14:paraId="1062D951" w14:textId="77777777" w:rsidR="005B131E" w:rsidRPr="00BA7805" w:rsidRDefault="005B131E" w:rsidP="002542E1">
            <w:pPr>
              <w:pStyle w:val="ARfintablebodyrightbold"/>
              <w:rPr>
                <w:highlight w:val="green"/>
              </w:rPr>
            </w:pPr>
            <w:r w:rsidRPr="005D1C66">
              <w:t>348.4</w:t>
            </w:r>
          </w:p>
        </w:tc>
        <w:tc>
          <w:tcPr>
            <w:tcW w:w="1134" w:type="dxa"/>
            <w:shd w:val="clear" w:color="auto" w:fill="E7E6E6" w:themeFill="accent4"/>
            <w:noWrap/>
          </w:tcPr>
          <w:p w14:paraId="3B37AFCC" w14:textId="77777777" w:rsidR="005B131E" w:rsidRPr="00BA7805" w:rsidRDefault="005B131E" w:rsidP="002542E1">
            <w:pPr>
              <w:pStyle w:val="ARfintablebodyrightbold"/>
              <w:rPr>
                <w:highlight w:val="green"/>
              </w:rPr>
            </w:pPr>
            <w:r w:rsidRPr="005D1C66">
              <w:t>6.0</w:t>
            </w:r>
          </w:p>
        </w:tc>
        <w:tc>
          <w:tcPr>
            <w:tcW w:w="1134" w:type="dxa"/>
            <w:shd w:val="clear" w:color="auto" w:fill="E7E6E6" w:themeFill="accent4"/>
            <w:noWrap/>
          </w:tcPr>
          <w:p w14:paraId="626007DD" w14:textId="77777777" w:rsidR="005B131E" w:rsidRPr="00BA7805" w:rsidRDefault="005B131E" w:rsidP="002542E1">
            <w:pPr>
              <w:pStyle w:val="ARfintablebodyrightbold"/>
              <w:rPr>
                <w:highlight w:val="green"/>
              </w:rPr>
            </w:pPr>
            <w:r w:rsidRPr="005D1C66">
              <w:t>17.3</w:t>
            </w:r>
          </w:p>
        </w:tc>
        <w:tc>
          <w:tcPr>
            <w:tcW w:w="1134" w:type="dxa"/>
            <w:shd w:val="clear" w:color="auto" w:fill="E7E6E6" w:themeFill="accent4"/>
            <w:noWrap/>
          </w:tcPr>
          <w:p w14:paraId="191A9290" w14:textId="77777777" w:rsidR="005B131E" w:rsidRPr="00BA7805" w:rsidRDefault="005B131E" w:rsidP="002542E1">
            <w:pPr>
              <w:pStyle w:val="ARfintablebodyrightbold"/>
              <w:rPr>
                <w:highlight w:val="green"/>
              </w:rPr>
            </w:pPr>
            <w:r w:rsidRPr="005D1C66">
              <w:t>7.5</w:t>
            </w:r>
          </w:p>
        </w:tc>
        <w:tc>
          <w:tcPr>
            <w:tcW w:w="1134" w:type="dxa"/>
            <w:shd w:val="clear" w:color="auto" w:fill="E7E6E6" w:themeFill="accent4"/>
            <w:noWrap/>
          </w:tcPr>
          <w:p w14:paraId="2B7559A8" w14:textId="77777777" w:rsidR="005B131E" w:rsidRPr="00695376" w:rsidRDefault="005B131E" w:rsidP="002542E1">
            <w:pPr>
              <w:pStyle w:val="ARfintablebodyrightbold"/>
            </w:pPr>
            <w:r w:rsidRPr="00695376">
              <w:t>1.5</w:t>
            </w:r>
          </w:p>
        </w:tc>
      </w:tr>
    </w:tbl>
    <w:p w14:paraId="44EB54FF" w14:textId="77777777" w:rsidR="005B131E" w:rsidRPr="001C2A73" w:rsidRDefault="005B131E" w:rsidP="002542E1">
      <w:pPr>
        <w:pStyle w:val="ARfintablefootnote"/>
      </w:pPr>
      <w:r w:rsidRPr="001C2A73">
        <w:rPr>
          <w:lang w:eastAsia="en-AU"/>
        </w:rPr>
        <w:t>Notes:</w:t>
      </w:r>
    </w:p>
    <w:p w14:paraId="132889D7" w14:textId="77777777" w:rsidR="005B131E" w:rsidRPr="00BA7805" w:rsidRDefault="005B131E" w:rsidP="003D7AC8">
      <w:pPr>
        <w:pStyle w:val="ARfintablefootnotetabindent"/>
        <w:rPr>
          <w:highlight w:val="green"/>
        </w:rPr>
      </w:pPr>
      <w:r w:rsidRPr="001C2A73">
        <w:t xml:space="preserve">(i) </w:t>
      </w:r>
      <w:r>
        <w:tab/>
      </w:r>
      <w:r w:rsidRPr="001C2A73">
        <w:t>Maturity analysis is presented using the contractual undiscounted cash flows.</w:t>
      </w:r>
    </w:p>
    <w:p w14:paraId="153CB05C" w14:textId="77777777" w:rsidR="005B131E" w:rsidRPr="006074D0" w:rsidRDefault="005B131E">
      <w:pPr>
        <w:pStyle w:val="Heading4"/>
      </w:pPr>
      <w:r w:rsidRPr="006074D0">
        <w:t>6.</w:t>
      </w:r>
      <w:r>
        <w:t>4</w:t>
      </w:r>
      <w:r w:rsidRPr="006074D0">
        <w:t xml:space="preserve"> Other provisions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1664165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54467630" w14:textId="77777777" w:rsidR="005B131E" w:rsidRPr="00BA7805" w:rsidRDefault="005B131E">
            <w:pPr>
              <w:pStyle w:val="ARfintablecolhead"/>
              <w:spacing w:before="30"/>
              <w:rPr>
                <w:highlight w:val="green"/>
              </w:rPr>
            </w:pPr>
          </w:p>
        </w:tc>
        <w:tc>
          <w:tcPr>
            <w:tcW w:w="1361" w:type="dxa"/>
            <w:tcBorders>
              <w:bottom w:val="single" w:sz="4" w:space="0" w:color="auto"/>
            </w:tcBorders>
            <w:shd w:val="clear" w:color="auto" w:fill="E7E6E6" w:themeFill="accent4"/>
            <w:hideMark/>
          </w:tcPr>
          <w:p w14:paraId="2E30F531" w14:textId="77777777" w:rsidR="005B131E" w:rsidRPr="006074D0" w:rsidRDefault="005B131E">
            <w:pPr>
              <w:pStyle w:val="ARfintablecolheadright"/>
            </w:pPr>
            <w:r w:rsidRPr="006074D0">
              <w:t>2024</w:t>
            </w:r>
          </w:p>
          <w:p w14:paraId="273B25E7" w14:textId="77777777" w:rsidR="005B131E" w:rsidRPr="006074D0" w:rsidRDefault="005B131E">
            <w:pPr>
              <w:pStyle w:val="ARfintablecolheadright"/>
              <w:spacing w:before="30"/>
            </w:pPr>
            <w:r w:rsidRPr="006074D0">
              <w:t>$M</w:t>
            </w:r>
          </w:p>
        </w:tc>
        <w:tc>
          <w:tcPr>
            <w:tcW w:w="1361" w:type="dxa"/>
            <w:tcBorders>
              <w:bottom w:val="single" w:sz="4" w:space="0" w:color="auto"/>
            </w:tcBorders>
            <w:hideMark/>
          </w:tcPr>
          <w:p w14:paraId="2329E53D" w14:textId="77777777" w:rsidR="005B131E" w:rsidRPr="006074D0" w:rsidRDefault="005B131E">
            <w:pPr>
              <w:pStyle w:val="ARfintablecolheadright"/>
            </w:pPr>
            <w:r w:rsidRPr="006074D0">
              <w:t>2023</w:t>
            </w:r>
          </w:p>
          <w:p w14:paraId="194C123B" w14:textId="77777777" w:rsidR="005B131E" w:rsidRPr="006074D0" w:rsidRDefault="005B131E">
            <w:pPr>
              <w:pStyle w:val="ARfintablecolheadright"/>
              <w:spacing w:before="30"/>
            </w:pPr>
            <w:r w:rsidRPr="006074D0">
              <w:t>$M</w:t>
            </w:r>
          </w:p>
        </w:tc>
      </w:tr>
      <w:tr w:rsidR="005B131E" w:rsidRPr="00BA7805" w14:paraId="23E9D8BD" w14:textId="77777777" w:rsidTr="003D7AC8">
        <w:tc>
          <w:tcPr>
            <w:tcW w:w="9637" w:type="dxa"/>
            <w:gridSpan w:val="3"/>
            <w:tcBorders>
              <w:top w:val="single" w:sz="4" w:space="0" w:color="auto"/>
              <w:bottom w:val="single" w:sz="4" w:space="0" w:color="A6A6A6"/>
            </w:tcBorders>
          </w:tcPr>
          <w:p w14:paraId="18B99DDD" w14:textId="77777777" w:rsidR="005B131E" w:rsidRPr="00BA7805" w:rsidRDefault="005B131E" w:rsidP="002542E1">
            <w:pPr>
              <w:pStyle w:val="ARfintablebodybold"/>
              <w:spacing w:before="30"/>
              <w:rPr>
                <w:highlight w:val="green"/>
              </w:rPr>
            </w:pPr>
            <w:r w:rsidRPr="0021019A">
              <w:t>Current provisions</w:t>
            </w:r>
          </w:p>
        </w:tc>
      </w:tr>
      <w:tr w:rsidR="005B131E" w:rsidRPr="00BA7805" w14:paraId="582DA5EF" w14:textId="77777777" w:rsidTr="002542E1">
        <w:tc>
          <w:tcPr>
            <w:tcW w:w="6915" w:type="dxa"/>
            <w:tcBorders>
              <w:top w:val="single" w:sz="4" w:space="0" w:color="A6A6A6"/>
              <w:bottom w:val="single" w:sz="4" w:space="0" w:color="A6A6A6"/>
            </w:tcBorders>
          </w:tcPr>
          <w:p w14:paraId="5D2CA001" w14:textId="77777777" w:rsidR="005B131E" w:rsidRPr="00BA7805" w:rsidRDefault="005B131E" w:rsidP="002542E1">
            <w:pPr>
              <w:pStyle w:val="ARfintablebody"/>
              <w:spacing w:before="30"/>
              <w:rPr>
                <w:highlight w:val="green"/>
              </w:rPr>
            </w:pPr>
            <w:r w:rsidRPr="0021019A">
              <w:t>Insurance claims</w:t>
            </w:r>
          </w:p>
        </w:tc>
        <w:tc>
          <w:tcPr>
            <w:tcW w:w="1361" w:type="dxa"/>
            <w:tcBorders>
              <w:top w:val="single" w:sz="4" w:space="0" w:color="A6A6A6"/>
              <w:bottom w:val="single" w:sz="4" w:space="0" w:color="A6A6A6"/>
            </w:tcBorders>
            <w:shd w:val="clear" w:color="auto" w:fill="E7E6E6"/>
            <w:noWrap/>
          </w:tcPr>
          <w:p w14:paraId="14031BEF" w14:textId="77777777" w:rsidR="005B131E" w:rsidRPr="00BA7805" w:rsidRDefault="005B131E" w:rsidP="002542E1">
            <w:pPr>
              <w:pStyle w:val="ARfintablebodyright"/>
              <w:spacing w:before="30"/>
              <w:rPr>
                <w:highlight w:val="green"/>
              </w:rPr>
            </w:pPr>
            <w:r w:rsidRPr="00B51A7A">
              <w:t>168.1</w:t>
            </w:r>
          </w:p>
        </w:tc>
        <w:tc>
          <w:tcPr>
            <w:tcW w:w="1361" w:type="dxa"/>
            <w:tcBorders>
              <w:top w:val="single" w:sz="4" w:space="0" w:color="A6A6A6"/>
              <w:bottom w:val="single" w:sz="4" w:space="0" w:color="A6A6A6"/>
            </w:tcBorders>
            <w:noWrap/>
          </w:tcPr>
          <w:p w14:paraId="565363EF" w14:textId="77777777" w:rsidR="005B131E" w:rsidRPr="00BA7805" w:rsidRDefault="005B131E" w:rsidP="002542E1">
            <w:pPr>
              <w:pStyle w:val="ARfintablebodyright"/>
              <w:spacing w:before="30"/>
              <w:rPr>
                <w:highlight w:val="green"/>
              </w:rPr>
            </w:pPr>
            <w:r w:rsidRPr="00B51A7A">
              <w:t>92.4</w:t>
            </w:r>
          </w:p>
        </w:tc>
      </w:tr>
      <w:tr w:rsidR="005B131E" w:rsidRPr="00BA7805" w14:paraId="6DB0A484" w14:textId="77777777" w:rsidTr="002542E1">
        <w:tc>
          <w:tcPr>
            <w:tcW w:w="6915" w:type="dxa"/>
            <w:tcBorders>
              <w:top w:val="single" w:sz="4" w:space="0" w:color="A6A6A6"/>
              <w:bottom w:val="single" w:sz="4" w:space="0" w:color="auto"/>
            </w:tcBorders>
          </w:tcPr>
          <w:p w14:paraId="6A43A10E" w14:textId="77777777" w:rsidR="005B131E" w:rsidRPr="00BA7805" w:rsidRDefault="005B131E" w:rsidP="002542E1">
            <w:pPr>
              <w:pStyle w:val="ARfintablebody"/>
              <w:spacing w:before="30"/>
              <w:rPr>
                <w:highlight w:val="green"/>
              </w:rPr>
            </w:pPr>
            <w:r w:rsidRPr="0021019A">
              <w:t>Make-good provision</w:t>
            </w:r>
          </w:p>
        </w:tc>
        <w:tc>
          <w:tcPr>
            <w:tcW w:w="1361" w:type="dxa"/>
            <w:tcBorders>
              <w:top w:val="single" w:sz="4" w:space="0" w:color="A6A6A6"/>
              <w:bottom w:val="single" w:sz="4" w:space="0" w:color="auto"/>
            </w:tcBorders>
            <w:shd w:val="clear" w:color="auto" w:fill="E7E6E6"/>
            <w:noWrap/>
          </w:tcPr>
          <w:p w14:paraId="3F86911E" w14:textId="77777777" w:rsidR="005B131E" w:rsidRPr="00BA7805" w:rsidRDefault="005B131E" w:rsidP="002542E1">
            <w:pPr>
              <w:pStyle w:val="ARfintablebodyright"/>
              <w:spacing w:before="30"/>
              <w:rPr>
                <w:highlight w:val="green"/>
              </w:rPr>
            </w:pPr>
            <w:r w:rsidRPr="00B51A7A">
              <w:t>3.1</w:t>
            </w:r>
          </w:p>
        </w:tc>
        <w:tc>
          <w:tcPr>
            <w:tcW w:w="1361" w:type="dxa"/>
            <w:tcBorders>
              <w:top w:val="single" w:sz="4" w:space="0" w:color="A6A6A6"/>
              <w:bottom w:val="single" w:sz="4" w:space="0" w:color="auto"/>
            </w:tcBorders>
            <w:noWrap/>
          </w:tcPr>
          <w:p w14:paraId="287A0F7B" w14:textId="77777777" w:rsidR="005B131E" w:rsidRPr="00BA7805" w:rsidRDefault="005B131E" w:rsidP="002542E1">
            <w:pPr>
              <w:pStyle w:val="ARfintablebodyright"/>
              <w:spacing w:before="30"/>
              <w:rPr>
                <w:highlight w:val="green"/>
              </w:rPr>
            </w:pPr>
            <w:r w:rsidRPr="00B51A7A">
              <w:t>3.1</w:t>
            </w:r>
          </w:p>
        </w:tc>
      </w:tr>
      <w:tr w:rsidR="005B131E" w:rsidRPr="00BA7805" w14:paraId="083474B6" w14:textId="77777777" w:rsidTr="002542E1">
        <w:tc>
          <w:tcPr>
            <w:tcW w:w="6915" w:type="dxa"/>
            <w:tcBorders>
              <w:top w:val="single" w:sz="4" w:space="0" w:color="auto"/>
              <w:bottom w:val="single" w:sz="4" w:space="0" w:color="auto"/>
            </w:tcBorders>
          </w:tcPr>
          <w:p w14:paraId="2CA45D0E" w14:textId="77777777" w:rsidR="005B131E" w:rsidRPr="00BA7805" w:rsidRDefault="005B131E" w:rsidP="002542E1">
            <w:pPr>
              <w:pStyle w:val="ARfintablebodybold"/>
              <w:rPr>
                <w:highlight w:val="green"/>
              </w:rPr>
            </w:pPr>
            <w:r w:rsidRPr="0021019A">
              <w:t>Total current provisions</w:t>
            </w:r>
          </w:p>
        </w:tc>
        <w:tc>
          <w:tcPr>
            <w:tcW w:w="1361" w:type="dxa"/>
            <w:tcBorders>
              <w:top w:val="single" w:sz="4" w:space="0" w:color="auto"/>
              <w:bottom w:val="single" w:sz="4" w:space="0" w:color="auto"/>
            </w:tcBorders>
            <w:shd w:val="clear" w:color="auto" w:fill="E7E6E6"/>
            <w:noWrap/>
          </w:tcPr>
          <w:p w14:paraId="3892BABA" w14:textId="77777777" w:rsidR="005B131E" w:rsidRPr="00BA7805" w:rsidRDefault="005B131E" w:rsidP="002542E1">
            <w:pPr>
              <w:pStyle w:val="ARfintablebodyrightbold"/>
              <w:rPr>
                <w:highlight w:val="green"/>
              </w:rPr>
            </w:pPr>
            <w:r w:rsidRPr="00B51A7A">
              <w:t>171.2</w:t>
            </w:r>
          </w:p>
        </w:tc>
        <w:tc>
          <w:tcPr>
            <w:tcW w:w="1361" w:type="dxa"/>
            <w:tcBorders>
              <w:top w:val="single" w:sz="4" w:space="0" w:color="auto"/>
              <w:bottom w:val="single" w:sz="4" w:space="0" w:color="auto"/>
            </w:tcBorders>
            <w:noWrap/>
          </w:tcPr>
          <w:p w14:paraId="701246D6" w14:textId="77777777" w:rsidR="005B131E" w:rsidRPr="00BA7805" w:rsidRDefault="005B131E" w:rsidP="002542E1">
            <w:pPr>
              <w:pStyle w:val="ARfintablebodyrightbold"/>
              <w:rPr>
                <w:highlight w:val="green"/>
              </w:rPr>
            </w:pPr>
            <w:r w:rsidRPr="00B51A7A">
              <w:t>95.5</w:t>
            </w:r>
          </w:p>
        </w:tc>
      </w:tr>
      <w:tr w:rsidR="005B131E" w:rsidRPr="00BA7805" w14:paraId="1BD18028" w14:textId="77777777" w:rsidTr="002542E1">
        <w:tc>
          <w:tcPr>
            <w:tcW w:w="9637" w:type="dxa"/>
            <w:gridSpan w:val="3"/>
            <w:tcBorders>
              <w:top w:val="single" w:sz="4" w:space="0" w:color="auto"/>
              <w:bottom w:val="single" w:sz="4" w:space="0" w:color="A6A6A6"/>
            </w:tcBorders>
          </w:tcPr>
          <w:p w14:paraId="5F6E0C0F" w14:textId="77777777" w:rsidR="005B131E" w:rsidRPr="00BA7805" w:rsidRDefault="005B131E" w:rsidP="002542E1">
            <w:pPr>
              <w:pStyle w:val="ARfintablebodybold"/>
              <w:rPr>
                <w:highlight w:val="green"/>
              </w:rPr>
            </w:pPr>
            <w:r w:rsidRPr="0021019A">
              <w:t>Non-current provisions</w:t>
            </w:r>
          </w:p>
        </w:tc>
      </w:tr>
      <w:tr w:rsidR="005B131E" w:rsidRPr="00BA7805" w14:paraId="1BDFD29E" w14:textId="77777777" w:rsidTr="003D7AC8">
        <w:tc>
          <w:tcPr>
            <w:tcW w:w="6915" w:type="dxa"/>
            <w:tcBorders>
              <w:top w:val="single" w:sz="4" w:space="0" w:color="A6A6A6"/>
              <w:bottom w:val="single" w:sz="4" w:space="0" w:color="A6A6A6"/>
            </w:tcBorders>
          </w:tcPr>
          <w:p w14:paraId="4F2E36CD" w14:textId="77777777" w:rsidR="005B131E" w:rsidRPr="00BA7805" w:rsidRDefault="005B131E" w:rsidP="002542E1">
            <w:pPr>
              <w:pStyle w:val="ARfintablebody"/>
              <w:spacing w:before="30"/>
              <w:rPr>
                <w:highlight w:val="green"/>
              </w:rPr>
            </w:pPr>
            <w:r w:rsidRPr="0021019A">
              <w:t>Redress scheme provision</w:t>
            </w:r>
          </w:p>
        </w:tc>
        <w:tc>
          <w:tcPr>
            <w:tcW w:w="1361" w:type="dxa"/>
            <w:tcBorders>
              <w:top w:val="single" w:sz="4" w:space="0" w:color="A6A6A6"/>
              <w:bottom w:val="single" w:sz="4" w:space="0" w:color="A6A6A6"/>
            </w:tcBorders>
            <w:shd w:val="clear" w:color="auto" w:fill="E7E6E6"/>
            <w:noWrap/>
          </w:tcPr>
          <w:p w14:paraId="3AF9401F" w14:textId="77777777" w:rsidR="005B131E" w:rsidRPr="00BA7805" w:rsidRDefault="005B131E" w:rsidP="002542E1">
            <w:pPr>
              <w:pStyle w:val="ARfintablebodyright"/>
              <w:spacing w:before="30"/>
              <w:rPr>
                <w:highlight w:val="green"/>
              </w:rPr>
            </w:pPr>
            <w:r w:rsidRPr="00AA0BA9">
              <w:t>170.7</w:t>
            </w:r>
          </w:p>
        </w:tc>
        <w:tc>
          <w:tcPr>
            <w:tcW w:w="1361" w:type="dxa"/>
            <w:tcBorders>
              <w:top w:val="single" w:sz="4" w:space="0" w:color="A6A6A6"/>
              <w:bottom w:val="single" w:sz="4" w:space="0" w:color="A6A6A6"/>
            </w:tcBorders>
            <w:noWrap/>
          </w:tcPr>
          <w:p w14:paraId="071DC373" w14:textId="77777777" w:rsidR="005B131E" w:rsidRPr="00BA7805" w:rsidRDefault="005B131E" w:rsidP="002542E1">
            <w:pPr>
              <w:pStyle w:val="ARfintablebodyright"/>
              <w:spacing w:before="30"/>
              <w:rPr>
                <w:highlight w:val="green"/>
              </w:rPr>
            </w:pPr>
            <w:r>
              <w:t>–</w:t>
            </w:r>
          </w:p>
        </w:tc>
      </w:tr>
      <w:tr w:rsidR="005B131E" w:rsidRPr="00BA7805" w14:paraId="3119E064" w14:textId="77777777" w:rsidTr="002542E1">
        <w:tc>
          <w:tcPr>
            <w:tcW w:w="6915" w:type="dxa"/>
            <w:tcBorders>
              <w:top w:val="single" w:sz="4" w:space="0" w:color="A6A6A6"/>
              <w:bottom w:val="single" w:sz="4" w:space="0" w:color="A6A6A6"/>
            </w:tcBorders>
          </w:tcPr>
          <w:p w14:paraId="749FC7F2" w14:textId="77777777" w:rsidR="005B131E" w:rsidRPr="00BA7805" w:rsidRDefault="005B131E" w:rsidP="002542E1">
            <w:pPr>
              <w:pStyle w:val="ARfintablebody"/>
              <w:spacing w:before="30"/>
              <w:rPr>
                <w:highlight w:val="green"/>
              </w:rPr>
            </w:pPr>
            <w:r w:rsidRPr="0021019A">
              <w:t>Insurance claims</w:t>
            </w:r>
          </w:p>
        </w:tc>
        <w:tc>
          <w:tcPr>
            <w:tcW w:w="1361" w:type="dxa"/>
            <w:tcBorders>
              <w:top w:val="single" w:sz="4" w:space="0" w:color="A6A6A6"/>
              <w:bottom w:val="single" w:sz="4" w:space="0" w:color="A6A6A6"/>
            </w:tcBorders>
            <w:shd w:val="clear" w:color="auto" w:fill="E7E6E6"/>
            <w:noWrap/>
          </w:tcPr>
          <w:p w14:paraId="30C672DF" w14:textId="77777777" w:rsidR="005B131E" w:rsidRPr="00BA7805" w:rsidRDefault="005B131E" w:rsidP="002542E1">
            <w:pPr>
              <w:pStyle w:val="ARfintablebodyright"/>
              <w:spacing w:before="30"/>
              <w:rPr>
                <w:highlight w:val="green"/>
              </w:rPr>
            </w:pPr>
            <w:r w:rsidRPr="00AA0BA9">
              <w:t>181.1</w:t>
            </w:r>
          </w:p>
        </w:tc>
        <w:tc>
          <w:tcPr>
            <w:tcW w:w="1361" w:type="dxa"/>
            <w:tcBorders>
              <w:top w:val="single" w:sz="4" w:space="0" w:color="A6A6A6"/>
              <w:bottom w:val="single" w:sz="4" w:space="0" w:color="A6A6A6"/>
            </w:tcBorders>
            <w:noWrap/>
          </w:tcPr>
          <w:p w14:paraId="4831947A" w14:textId="77777777" w:rsidR="005B131E" w:rsidRPr="00BA7805" w:rsidRDefault="005B131E" w:rsidP="002542E1">
            <w:pPr>
              <w:pStyle w:val="ARfintablebodyright"/>
              <w:spacing w:before="30"/>
              <w:rPr>
                <w:highlight w:val="green"/>
              </w:rPr>
            </w:pPr>
            <w:r w:rsidRPr="00AA0BA9">
              <w:t>110.1</w:t>
            </w:r>
          </w:p>
        </w:tc>
      </w:tr>
      <w:tr w:rsidR="005B131E" w:rsidRPr="00BA7805" w14:paraId="5552EDC2" w14:textId="77777777" w:rsidTr="002542E1">
        <w:tc>
          <w:tcPr>
            <w:tcW w:w="6915" w:type="dxa"/>
            <w:tcBorders>
              <w:top w:val="single" w:sz="4" w:space="0" w:color="A6A6A6"/>
              <w:bottom w:val="single" w:sz="4" w:space="0" w:color="auto"/>
            </w:tcBorders>
          </w:tcPr>
          <w:p w14:paraId="48C22E86" w14:textId="77777777" w:rsidR="005B131E" w:rsidRPr="00BA7805" w:rsidRDefault="005B131E" w:rsidP="002542E1">
            <w:pPr>
              <w:pStyle w:val="ARfintablebody"/>
              <w:spacing w:before="30"/>
              <w:rPr>
                <w:highlight w:val="green"/>
              </w:rPr>
            </w:pPr>
            <w:r w:rsidRPr="0021019A">
              <w:t>Make-good provision</w:t>
            </w:r>
          </w:p>
        </w:tc>
        <w:tc>
          <w:tcPr>
            <w:tcW w:w="1361" w:type="dxa"/>
            <w:tcBorders>
              <w:top w:val="single" w:sz="4" w:space="0" w:color="A6A6A6"/>
              <w:bottom w:val="single" w:sz="4" w:space="0" w:color="auto"/>
            </w:tcBorders>
            <w:shd w:val="clear" w:color="auto" w:fill="E7E6E6"/>
            <w:noWrap/>
          </w:tcPr>
          <w:p w14:paraId="5C7FAE7C" w14:textId="77777777" w:rsidR="005B131E" w:rsidRPr="00BA7805" w:rsidRDefault="005B131E" w:rsidP="002542E1">
            <w:pPr>
              <w:pStyle w:val="ARfintablebodyright"/>
              <w:spacing w:before="30"/>
              <w:rPr>
                <w:highlight w:val="green"/>
              </w:rPr>
            </w:pPr>
            <w:r w:rsidRPr="00AA0BA9">
              <w:t>7.7</w:t>
            </w:r>
          </w:p>
        </w:tc>
        <w:tc>
          <w:tcPr>
            <w:tcW w:w="1361" w:type="dxa"/>
            <w:tcBorders>
              <w:top w:val="single" w:sz="4" w:space="0" w:color="A6A6A6"/>
              <w:bottom w:val="single" w:sz="4" w:space="0" w:color="auto"/>
            </w:tcBorders>
            <w:noWrap/>
          </w:tcPr>
          <w:p w14:paraId="2955A2CA" w14:textId="77777777" w:rsidR="005B131E" w:rsidRPr="00BA7805" w:rsidRDefault="005B131E" w:rsidP="002542E1">
            <w:pPr>
              <w:pStyle w:val="ARfintablebodyright"/>
              <w:spacing w:before="30"/>
              <w:rPr>
                <w:highlight w:val="green"/>
              </w:rPr>
            </w:pPr>
            <w:r w:rsidRPr="00AA0BA9">
              <w:t>5.6</w:t>
            </w:r>
          </w:p>
        </w:tc>
      </w:tr>
      <w:tr w:rsidR="005B131E" w:rsidRPr="00BA7805" w14:paraId="50D6FDC7" w14:textId="77777777" w:rsidTr="002542E1">
        <w:tc>
          <w:tcPr>
            <w:tcW w:w="6915" w:type="dxa"/>
            <w:tcBorders>
              <w:top w:val="single" w:sz="4" w:space="0" w:color="auto"/>
              <w:bottom w:val="single" w:sz="4" w:space="0" w:color="auto"/>
            </w:tcBorders>
          </w:tcPr>
          <w:p w14:paraId="6978052A" w14:textId="77777777" w:rsidR="005B131E" w:rsidRPr="00BA7805" w:rsidRDefault="005B131E" w:rsidP="002542E1">
            <w:pPr>
              <w:pStyle w:val="ARfintablebodybold"/>
              <w:rPr>
                <w:highlight w:val="green"/>
              </w:rPr>
            </w:pPr>
            <w:r w:rsidRPr="0021019A">
              <w:t>Total non-current provisions</w:t>
            </w:r>
          </w:p>
        </w:tc>
        <w:tc>
          <w:tcPr>
            <w:tcW w:w="1361" w:type="dxa"/>
            <w:tcBorders>
              <w:top w:val="single" w:sz="4" w:space="0" w:color="auto"/>
              <w:bottom w:val="single" w:sz="4" w:space="0" w:color="auto"/>
            </w:tcBorders>
            <w:shd w:val="clear" w:color="auto" w:fill="E7E6E6"/>
            <w:noWrap/>
          </w:tcPr>
          <w:p w14:paraId="3C6B065B" w14:textId="77777777" w:rsidR="005B131E" w:rsidRPr="00BA7805" w:rsidRDefault="005B131E" w:rsidP="002542E1">
            <w:pPr>
              <w:pStyle w:val="ARfintablebodyrightbold"/>
              <w:rPr>
                <w:highlight w:val="green"/>
              </w:rPr>
            </w:pPr>
            <w:r w:rsidRPr="00AA0BA9">
              <w:t>359.5</w:t>
            </w:r>
          </w:p>
        </w:tc>
        <w:tc>
          <w:tcPr>
            <w:tcW w:w="1361" w:type="dxa"/>
            <w:tcBorders>
              <w:top w:val="single" w:sz="4" w:space="0" w:color="auto"/>
              <w:bottom w:val="single" w:sz="4" w:space="0" w:color="auto"/>
            </w:tcBorders>
            <w:noWrap/>
          </w:tcPr>
          <w:p w14:paraId="70DFB2B0" w14:textId="77777777" w:rsidR="005B131E" w:rsidRPr="00BA7805" w:rsidRDefault="005B131E" w:rsidP="002542E1">
            <w:pPr>
              <w:pStyle w:val="ARfintablebodyrightbold"/>
              <w:rPr>
                <w:highlight w:val="green"/>
              </w:rPr>
            </w:pPr>
            <w:r w:rsidRPr="00AA0BA9">
              <w:t>115.7</w:t>
            </w:r>
          </w:p>
        </w:tc>
      </w:tr>
      <w:tr w:rsidR="005B131E" w:rsidRPr="00BA7805" w14:paraId="1C65E29D" w14:textId="77777777" w:rsidTr="002542E1">
        <w:tc>
          <w:tcPr>
            <w:tcW w:w="6915" w:type="dxa"/>
            <w:tcBorders>
              <w:top w:val="single" w:sz="4" w:space="0" w:color="auto"/>
              <w:bottom w:val="single" w:sz="4" w:space="0" w:color="auto"/>
            </w:tcBorders>
          </w:tcPr>
          <w:p w14:paraId="62D28E3D" w14:textId="77777777" w:rsidR="005B131E" w:rsidRPr="00BA7805" w:rsidRDefault="005B131E" w:rsidP="002542E1">
            <w:pPr>
              <w:pStyle w:val="ARfintablebodybold"/>
              <w:rPr>
                <w:highlight w:val="green"/>
              </w:rPr>
            </w:pPr>
            <w:r w:rsidRPr="0021019A">
              <w:t>Total other provisions</w:t>
            </w:r>
          </w:p>
        </w:tc>
        <w:tc>
          <w:tcPr>
            <w:tcW w:w="1361" w:type="dxa"/>
            <w:tcBorders>
              <w:top w:val="single" w:sz="4" w:space="0" w:color="auto"/>
              <w:bottom w:val="single" w:sz="4" w:space="0" w:color="auto"/>
            </w:tcBorders>
            <w:shd w:val="clear" w:color="auto" w:fill="E7E6E6"/>
            <w:noWrap/>
          </w:tcPr>
          <w:p w14:paraId="42A796EC" w14:textId="77777777" w:rsidR="005B131E" w:rsidRPr="00BA7805" w:rsidRDefault="005B131E" w:rsidP="002542E1">
            <w:pPr>
              <w:pStyle w:val="ARfintablebodyrightbold"/>
              <w:rPr>
                <w:highlight w:val="green"/>
              </w:rPr>
            </w:pPr>
            <w:r w:rsidRPr="00AA0BA9">
              <w:t>530.7</w:t>
            </w:r>
          </w:p>
        </w:tc>
        <w:tc>
          <w:tcPr>
            <w:tcW w:w="1361" w:type="dxa"/>
            <w:tcBorders>
              <w:top w:val="single" w:sz="4" w:space="0" w:color="auto"/>
              <w:bottom w:val="single" w:sz="4" w:space="0" w:color="auto"/>
            </w:tcBorders>
            <w:noWrap/>
          </w:tcPr>
          <w:p w14:paraId="3255B0A1" w14:textId="77777777" w:rsidR="005B131E" w:rsidRPr="00BA7805" w:rsidRDefault="005B131E" w:rsidP="002542E1">
            <w:pPr>
              <w:pStyle w:val="ARfintablebodyrightbold"/>
              <w:rPr>
                <w:highlight w:val="green"/>
              </w:rPr>
            </w:pPr>
            <w:r w:rsidRPr="00AA0BA9">
              <w:t>211.3</w:t>
            </w:r>
          </w:p>
        </w:tc>
      </w:tr>
    </w:tbl>
    <w:p w14:paraId="0BB35783" w14:textId="77777777" w:rsidR="005B131E" w:rsidRDefault="005B131E" w:rsidP="002542E1">
      <w:pPr>
        <w:pStyle w:val="ARfinbodyaftertable"/>
      </w:pPr>
      <w:r>
        <w:t>Provisions are recognised when the department has a present obligation, the future sacrifice of economic benefits is probable, and the amount of the provision can be measured reliably. The amount recognised as a provision is the best estimate of the consideration required to settle the present obligation at reporting date, taking into account the risks and uncertainties surrounding the obligation.</w:t>
      </w:r>
    </w:p>
    <w:p w14:paraId="7A30F216" w14:textId="77777777" w:rsidR="005B131E" w:rsidRDefault="005B131E" w:rsidP="002542E1">
      <w:pPr>
        <w:pStyle w:val="ARfinbody"/>
      </w:pPr>
      <w:r>
        <w:t>Where a provision is measured using the cash flows estimated to settle the present obligation, its carrying amount is the present value of those cash flows, using a discount rate that reflects the time, value of money and risks specific to the provision.</w:t>
      </w:r>
    </w:p>
    <w:p w14:paraId="42C42A5B" w14:textId="77777777" w:rsidR="005B131E" w:rsidRDefault="005B131E" w:rsidP="002542E1">
      <w:pPr>
        <w:pStyle w:val="ARbody"/>
        <w:rPr>
          <w:rFonts w:eastAsiaTheme="minorEastAsia" w:cs="ArialMT"/>
          <w:color w:val="000000"/>
          <w:sz w:val="18"/>
          <w:szCs w:val="16"/>
          <w:lang w:eastAsia="en-AU"/>
        </w:rPr>
      </w:pPr>
      <w:r>
        <w:br w:type="page"/>
      </w:r>
    </w:p>
    <w:p w14:paraId="7A99C257" w14:textId="77777777" w:rsidR="005B131E" w:rsidRPr="00DA1D59" w:rsidRDefault="005B131E" w:rsidP="00207901">
      <w:pPr>
        <w:pStyle w:val="Heading5"/>
        <w:rPr>
          <w:lang w:eastAsia="en-AU"/>
        </w:rPr>
      </w:pPr>
      <w:r w:rsidRPr="00DA1D59">
        <w:t>6.4.1 Reconciliation of movements in other provisions</w:t>
      </w:r>
    </w:p>
    <w:tbl>
      <w:tblPr>
        <w:tblStyle w:val="TableGrid"/>
        <w:tblW w:w="5000" w:type="pct"/>
        <w:tblLayout w:type="fixed"/>
        <w:tblLook w:val="06A0" w:firstRow="1" w:lastRow="0" w:firstColumn="1" w:lastColumn="0" w:noHBand="1" w:noVBand="1"/>
      </w:tblPr>
      <w:tblGrid>
        <w:gridCol w:w="3490"/>
        <w:gridCol w:w="1534"/>
        <w:gridCol w:w="1535"/>
        <w:gridCol w:w="1534"/>
        <w:gridCol w:w="1535"/>
      </w:tblGrid>
      <w:tr w:rsidR="00067C8D" w:rsidRPr="00BA7805" w14:paraId="2EC09461"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3490" w:type="dxa"/>
            <w:tcBorders>
              <w:bottom w:val="single" w:sz="4" w:space="0" w:color="auto"/>
            </w:tcBorders>
            <w:hideMark/>
          </w:tcPr>
          <w:p w14:paraId="77C18946" w14:textId="77777777" w:rsidR="005B131E" w:rsidRPr="00BA7805" w:rsidRDefault="005B131E">
            <w:pPr>
              <w:pStyle w:val="ARfintablecolhead"/>
              <w:rPr>
                <w:highlight w:val="green"/>
              </w:rPr>
            </w:pPr>
          </w:p>
        </w:tc>
        <w:tc>
          <w:tcPr>
            <w:tcW w:w="1534" w:type="dxa"/>
            <w:tcBorders>
              <w:bottom w:val="single" w:sz="4" w:space="0" w:color="auto"/>
            </w:tcBorders>
            <w:shd w:val="clear" w:color="auto" w:fill="E7E6E6" w:themeFill="accent4"/>
          </w:tcPr>
          <w:p w14:paraId="56BC446E" w14:textId="77777777" w:rsidR="005B131E" w:rsidRPr="00DA1D59" w:rsidRDefault="005B131E">
            <w:pPr>
              <w:pStyle w:val="ARfintablecolheadright"/>
            </w:pPr>
            <w:r w:rsidRPr="00354542">
              <w:t>Redress Scheme provision</w:t>
            </w:r>
            <w:r w:rsidRPr="00DA1D59">
              <w:br/>
              <w:t>2024</w:t>
            </w:r>
          </w:p>
          <w:p w14:paraId="0F9A0F7F" w14:textId="77777777" w:rsidR="005B131E" w:rsidRPr="00DA1D59" w:rsidRDefault="005B131E">
            <w:pPr>
              <w:pStyle w:val="ARfintablecolheadright"/>
            </w:pPr>
            <w:r w:rsidRPr="00DA1D59">
              <w:t>$M</w:t>
            </w:r>
          </w:p>
        </w:tc>
        <w:tc>
          <w:tcPr>
            <w:tcW w:w="1535" w:type="dxa"/>
            <w:tcBorders>
              <w:bottom w:val="single" w:sz="4" w:space="0" w:color="auto"/>
            </w:tcBorders>
            <w:hideMark/>
          </w:tcPr>
          <w:p w14:paraId="24514551" w14:textId="77777777" w:rsidR="005B131E" w:rsidRPr="00DA1D59" w:rsidRDefault="005B131E">
            <w:pPr>
              <w:pStyle w:val="ARfintablecolheadright"/>
            </w:pPr>
            <w:r w:rsidRPr="00DA1D59">
              <w:t xml:space="preserve">Make-good </w:t>
            </w:r>
            <w:r w:rsidRPr="00DA1D59">
              <w:br/>
              <w:t>2024</w:t>
            </w:r>
          </w:p>
          <w:p w14:paraId="5CDD0785" w14:textId="77777777" w:rsidR="005B131E" w:rsidRPr="00DA1D59" w:rsidRDefault="005B131E">
            <w:pPr>
              <w:pStyle w:val="ARfintablecolheadright"/>
            </w:pPr>
            <w:r w:rsidRPr="00DA1D59">
              <w:t>$M</w:t>
            </w:r>
          </w:p>
        </w:tc>
        <w:tc>
          <w:tcPr>
            <w:tcW w:w="1534" w:type="dxa"/>
            <w:tcBorders>
              <w:bottom w:val="single" w:sz="4" w:space="0" w:color="auto"/>
            </w:tcBorders>
            <w:shd w:val="clear" w:color="auto" w:fill="E7E6E6" w:themeFill="accent4"/>
            <w:hideMark/>
          </w:tcPr>
          <w:p w14:paraId="26766404" w14:textId="77777777" w:rsidR="005B131E" w:rsidRPr="00DA1D59" w:rsidRDefault="005B131E">
            <w:pPr>
              <w:pStyle w:val="ARfintablecolheadright"/>
            </w:pPr>
            <w:r w:rsidRPr="00DA1D59">
              <w:t>Insurance claims</w:t>
            </w:r>
            <w:r w:rsidRPr="00DA1D59">
              <w:br/>
              <w:t>2024</w:t>
            </w:r>
          </w:p>
          <w:p w14:paraId="26E7BA1B" w14:textId="77777777" w:rsidR="005B131E" w:rsidRPr="00DA1D59" w:rsidRDefault="005B131E">
            <w:pPr>
              <w:pStyle w:val="ARfintablecolheadright"/>
            </w:pPr>
            <w:r w:rsidRPr="00DA1D59">
              <w:t>$M</w:t>
            </w:r>
          </w:p>
        </w:tc>
        <w:tc>
          <w:tcPr>
            <w:tcW w:w="1535" w:type="dxa"/>
            <w:tcBorders>
              <w:bottom w:val="single" w:sz="4" w:space="0" w:color="auto"/>
            </w:tcBorders>
            <w:hideMark/>
          </w:tcPr>
          <w:p w14:paraId="22DB70AE" w14:textId="77777777" w:rsidR="005B131E" w:rsidRPr="00DA1D59" w:rsidRDefault="005B131E">
            <w:pPr>
              <w:pStyle w:val="ARfintablecolheadright"/>
            </w:pPr>
            <w:r w:rsidRPr="00DA1D59">
              <w:t xml:space="preserve">Total </w:t>
            </w:r>
            <w:r w:rsidRPr="00DA1D59">
              <w:br/>
              <w:t>2024</w:t>
            </w:r>
          </w:p>
          <w:p w14:paraId="577E9901" w14:textId="77777777" w:rsidR="005B131E" w:rsidRPr="00DA1D59" w:rsidRDefault="005B131E">
            <w:pPr>
              <w:pStyle w:val="ARfintablecolheadright"/>
            </w:pPr>
            <w:r w:rsidRPr="00DA1D59">
              <w:t>$M</w:t>
            </w:r>
          </w:p>
        </w:tc>
      </w:tr>
      <w:tr w:rsidR="005B131E" w:rsidRPr="00BA7805" w14:paraId="5FFB989F" w14:textId="77777777" w:rsidTr="002542E1">
        <w:trPr>
          <w:cantSplit w:val="0"/>
          <w:trHeight w:val="255"/>
        </w:trPr>
        <w:tc>
          <w:tcPr>
            <w:tcW w:w="3490" w:type="dxa"/>
            <w:tcBorders>
              <w:top w:val="single" w:sz="4" w:space="0" w:color="auto"/>
              <w:bottom w:val="single" w:sz="4" w:space="0" w:color="A6A6A6"/>
            </w:tcBorders>
          </w:tcPr>
          <w:p w14:paraId="2D091EFD" w14:textId="77777777" w:rsidR="005B131E" w:rsidRPr="00BA7805" w:rsidRDefault="005B131E" w:rsidP="002542E1">
            <w:pPr>
              <w:pStyle w:val="ARfintablebodybold"/>
              <w:rPr>
                <w:highlight w:val="green"/>
              </w:rPr>
            </w:pPr>
            <w:r w:rsidRPr="00851F1F">
              <w:t>Opening balance</w:t>
            </w:r>
          </w:p>
        </w:tc>
        <w:tc>
          <w:tcPr>
            <w:tcW w:w="1534" w:type="dxa"/>
            <w:tcBorders>
              <w:top w:val="single" w:sz="4" w:space="0" w:color="auto"/>
              <w:bottom w:val="single" w:sz="4" w:space="0" w:color="A6A6A6"/>
            </w:tcBorders>
            <w:shd w:val="clear" w:color="auto" w:fill="E7E6E6" w:themeFill="accent4"/>
          </w:tcPr>
          <w:p w14:paraId="51F689E7" w14:textId="77777777" w:rsidR="005B131E" w:rsidRPr="00BA7805" w:rsidRDefault="005B131E" w:rsidP="002542E1">
            <w:pPr>
              <w:pStyle w:val="ARfintablebodyright"/>
              <w:rPr>
                <w:highlight w:val="green"/>
              </w:rPr>
            </w:pPr>
            <w:r>
              <w:t>–</w:t>
            </w:r>
          </w:p>
        </w:tc>
        <w:tc>
          <w:tcPr>
            <w:tcW w:w="1535" w:type="dxa"/>
            <w:tcBorders>
              <w:top w:val="single" w:sz="4" w:space="0" w:color="auto"/>
              <w:bottom w:val="single" w:sz="4" w:space="0" w:color="A6A6A6"/>
            </w:tcBorders>
            <w:noWrap/>
          </w:tcPr>
          <w:p w14:paraId="7A155362" w14:textId="77777777" w:rsidR="005B131E" w:rsidRPr="00BA7805" w:rsidRDefault="005B131E" w:rsidP="002542E1">
            <w:pPr>
              <w:pStyle w:val="ARfintablebodyright"/>
              <w:rPr>
                <w:highlight w:val="green"/>
              </w:rPr>
            </w:pPr>
            <w:r w:rsidRPr="00796D9A">
              <w:t>8.7</w:t>
            </w:r>
          </w:p>
        </w:tc>
        <w:tc>
          <w:tcPr>
            <w:tcW w:w="1534" w:type="dxa"/>
            <w:tcBorders>
              <w:top w:val="single" w:sz="4" w:space="0" w:color="auto"/>
              <w:bottom w:val="single" w:sz="4" w:space="0" w:color="A6A6A6"/>
            </w:tcBorders>
            <w:shd w:val="clear" w:color="auto" w:fill="E7E6E6" w:themeFill="accent4"/>
            <w:noWrap/>
          </w:tcPr>
          <w:p w14:paraId="1F2CC918" w14:textId="77777777" w:rsidR="005B131E" w:rsidRPr="00BA7805" w:rsidRDefault="005B131E" w:rsidP="002542E1">
            <w:pPr>
              <w:pStyle w:val="ARfintablebodyright"/>
              <w:rPr>
                <w:highlight w:val="green"/>
              </w:rPr>
            </w:pPr>
            <w:r w:rsidRPr="00796D9A">
              <w:t>202.5</w:t>
            </w:r>
          </w:p>
        </w:tc>
        <w:tc>
          <w:tcPr>
            <w:tcW w:w="1535" w:type="dxa"/>
            <w:tcBorders>
              <w:top w:val="single" w:sz="4" w:space="0" w:color="auto"/>
              <w:bottom w:val="single" w:sz="4" w:space="0" w:color="A6A6A6"/>
            </w:tcBorders>
            <w:noWrap/>
          </w:tcPr>
          <w:p w14:paraId="142B662D" w14:textId="77777777" w:rsidR="005B131E" w:rsidRPr="00BA7805" w:rsidRDefault="005B131E" w:rsidP="002542E1">
            <w:pPr>
              <w:pStyle w:val="ARfintablebodyright"/>
              <w:rPr>
                <w:highlight w:val="green"/>
              </w:rPr>
            </w:pPr>
            <w:r w:rsidRPr="00796D9A">
              <w:t>211.3</w:t>
            </w:r>
          </w:p>
        </w:tc>
      </w:tr>
      <w:tr w:rsidR="005B131E" w:rsidRPr="00BA7805" w14:paraId="01F7D105" w14:textId="77777777" w:rsidTr="002542E1">
        <w:trPr>
          <w:cantSplit w:val="0"/>
          <w:trHeight w:val="255"/>
        </w:trPr>
        <w:tc>
          <w:tcPr>
            <w:tcW w:w="3490" w:type="dxa"/>
            <w:tcBorders>
              <w:top w:val="single" w:sz="4" w:space="0" w:color="A6A6A6"/>
              <w:bottom w:val="single" w:sz="4" w:space="0" w:color="A6A6A6"/>
            </w:tcBorders>
          </w:tcPr>
          <w:p w14:paraId="521B0884" w14:textId="77777777" w:rsidR="005B131E" w:rsidRPr="00BA7805" w:rsidRDefault="005B131E" w:rsidP="002542E1">
            <w:pPr>
              <w:pStyle w:val="ARfintablebody"/>
              <w:rPr>
                <w:highlight w:val="green"/>
              </w:rPr>
            </w:pPr>
            <w:r w:rsidRPr="00851F1F">
              <w:t>Additional provisions recognised</w:t>
            </w:r>
          </w:p>
        </w:tc>
        <w:tc>
          <w:tcPr>
            <w:tcW w:w="1534" w:type="dxa"/>
            <w:tcBorders>
              <w:top w:val="single" w:sz="4" w:space="0" w:color="A6A6A6"/>
              <w:bottom w:val="single" w:sz="4" w:space="0" w:color="A6A6A6"/>
            </w:tcBorders>
            <w:shd w:val="clear" w:color="auto" w:fill="E7E6E6" w:themeFill="accent4"/>
          </w:tcPr>
          <w:p w14:paraId="72229A59" w14:textId="77777777" w:rsidR="005B131E" w:rsidRPr="00BA7805" w:rsidRDefault="005B131E" w:rsidP="002542E1">
            <w:pPr>
              <w:pStyle w:val="ARfintablebodyright"/>
              <w:rPr>
                <w:highlight w:val="green"/>
              </w:rPr>
            </w:pPr>
            <w:r w:rsidRPr="00796D9A">
              <w:t>170.7</w:t>
            </w:r>
          </w:p>
        </w:tc>
        <w:tc>
          <w:tcPr>
            <w:tcW w:w="1535" w:type="dxa"/>
            <w:tcBorders>
              <w:top w:val="single" w:sz="4" w:space="0" w:color="A6A6A6"/>
              <w:bottom w:val="single" w:sz="4" w:space="0" w:color="A6A6A6"/>
            </w:tcBorders>
            <w:noWrap/>
          </w:tcPr>
          <w:p w14:paraId="348845D7" w14:textId="77777777" w:rsidR="005B131E" w:rsidRPr="00BA7805" w:rsidRDefault="005B131E" w:rsidP="002542E1">
            <w:pPr>
              <w:pStyle w:val="ARfintablebodyright"/>
              <w:rPr>
                <w:highlight w:val="green"/>
              </w:rPr>
            </w:pPr>
            <w:r w:rsidRPr="00796D9A">
              <w:t>2.1</w:t>
            </w:r>
          </w:p>
        </w:tc>
        <w:tc>
          <w:tcPr>
            <w:tcW w:w="1534" w:type="dxa"/>
            <w:tcBorders>
              <w:top w:val="single" w:sz="4" w:space="0" w:color="A6A6A6"/>
              <w:bottom w:val="single" w:sz="4" w:space="0" w:color="A6A6A6"/>
            </w:tcBorders>
            <w:shd w:val="clear" w:color="auto" w:fill="E7E6E6" w:themeFill="accent4"/>
            <w:noWrap/>
          </w:tcPr>
          <w:p w14:paraId="6AEC062B" w14:textId="77777777" w:rsidR="005B131E" w:rsidRPr="00BA7805" w:rsidRDefault="005B131E" w:rsidP="002542E1">
            <w:pPr>
              <w:pStyle w:val="ARfintablebodyright"/>
              <w:rPr>
                <w:highlight w:val="green"/>
              </w:rPr>
            </w:pPr>
            <w:r w:rsidRPr="00796D9A">
              <w:t>75.0</w:t>
            </w:r>
          </w:p>
        </w:tc>
        <w:tc>
          <w:tcPr>
            <w:tcW w:w="1535" w:type="dxa"/>
            <w:tcBorders>
              <w:top w:val="single" w:sz="4" w:space="0" w:color="A6A6A6"/>
              <w:bottom w:val="single" w:sz="4" w:space="0" w:color="A6A6A6"/>
            </w:tcBorders>
            <w:noWrap/>
          </w:tcPr>
          <w:p w14:paraId="7BB5A13E" w14:textId="77777777" w:rsidR="005B131E" w:rsidRPr="00BA7805" w:rsidRDefault="005B131E" w:rsidP="002542E1">
            <w:pPr>
              <w:pStyle w:val="ARfintablebodyright"/>
              <w:rPr>
                <w:highlight w:val="green"/>
              </w:rPr>
            </w:pPr>
            <w:r w:rsidRPr="00796D9A">
              <w:t>247.7</w:t>
            </w:r>
          </w:p>
        </w:tc>
      </w:tr>
      <w:tr w:rsidR="005B131E" w:rsidRPr="00BA7805" w14:paraId="05E62DDF" w14:textId="77777777" w:rsidTr="002542E1">
        <w:trPr>
          <w:cantSplit w:val="0"/>
          <w:trHeight w:val="255"/>
        </w:trPr>
        <w:tc>
          <w:tcPr>
            <w:tcW w:w="3490" w:type="dxa"/>
            <w:tcBorders>
              <w:top w:val="single" w:sz="4" w:space="0" w:color="A6A6A6"/>
              <w:bottom w:val="single" w:sz="4" w:space="0" w:color="A6A6A6"/>
            </w:tcBorders>
          </w:tcPr>
          <w:p w14:paraId="1B1A6C49" w14:textId="77777777" w:rsidR="005B131E" w:rsidRPr="00BA7805" w:rsidRDefault="005B131E" w:rsidP="002542E1">
            <w:pPr>
              <w:pStyle w:val="ARfintablebody"/>
              <w:rPr>
                <w:highlight w:val="green"/>
              </w:rPr>
            </w:pPr>
            <w:r w:rsidRPr="00851F1F">
              <w:t>Reductions arising from payments/claims handling expenses/other sacrifices of future economic benefits</w:t>
            </w:r>
          </w:p>
        </w:tc>
        <w:tc>
          <w:tcPr>
            <w:tcW w:w="1534" w:type="dxa"/>
            <w:tcBorders>
              <w:top w:val="single" w:sz="4" w:space="0" w:color="A6A6A6"/>
              <w:bottom w:val="single" w:sz="4" w:space="0" w:color="A6A6A6"/>
            </w:tcBorders>
            <w:shd w:val="clear" w:color="auto" w:fill="E7E6E6" w:themeFill="accent4"/>
          </w:tcPr>
          <w:p w14:paraId="5FB8DA3A" w14:textId="77777777" w:rsidR="005B131E" w:rsidRPr="00BA7805" w:rsidRDefault="005B131E" w:rsidP="002542E1">
            <w:pPr>
              <w:pStyle w:val="ARfintablebodyright"/>
              <w:rPr>
                <w:highlight w:val="green"/>
              </w:rPr>
            </w:pPr>
            <w:r>
              <w:t>–</w:t>
            </w:r>
          </w:p>
        </w:tc>
        <w:tc>
          <w:tcPr>
            <w:tcW w:w="1535" w:type="dxa"/>
            <w:tcBorders>
              <w:top w:val="single" w:sz="4" w:space="0" w:color="A6A6A6"/>
              <w:bottom w:val="single" w:sz="4" w:space="0" w:color="A6A6A6"/>
            </w:tcBorders>
            <w:noWrap/>
          </w:tcPr>
          <w:p w14:paraId="5198CC45" w14:textId="77777777" w:rsidR="005B131E" w:rsidRPr="00BA7805" w:rsidRDefault="005B131E" w:rsidP="002542E1">
            <w:pPr>
              <w:pStyle w:val="ARfintablebodyright"/>
              <w:rPr>
                <w:highlight w:val="green"/>
              </w:rPr>
            </w:pPr>
            <w:r>
              <w:t>–</w:t>
            </w:r>
          </w:p>
        </w:tc>
        <w:tc>
          <w:tcPr>
            <w:tcW w:w="1534" w:type="dxa"/>
            <w:tcBorders>
              <w:top w:val="single" w:sz="4" w:space="0" w:color="A6A6A6"/>
              <w:bottom w:val="single" w:sz="4" w:space="0" w:color="A6A6A6"/>
            </w:tcBorders>
            <w:shd w:val="clear" w:color="auto" w:fill="E7E6E6" w:themeFill="accent4"/>
            <w:noWrap/>
          </w:tcPr>
          <w:p w14:paraId="6DE14DCD" w14:textId="77777777" w:rsidR="005B131E" w:rsidRPr="00BA7805" w:rsidRDefault="005B131E" w:rsidP="002542E1">
            <w:pPr>
              <w:pStyle w:val="ARfintablebodyright"/>
              <w:rPr>
                <w:highlight w:val="green"/>
              </w:rPr>
            </w:pPr>
            <w:r w:rsidRPr="00796D9A">
              <w:t>(89.1)</w:t>
            </w:r>
          </w:p>
        </w:tc>
        <w:tc>
          <w:tcPr>
            <w:tcW w:w="1535" w:type="dxa"/>
            <w:tcBorders>
              <w:top w:val="single" w:sz="4" w:space="0" w:color="A6A6A6"/>
              <w:bottom w:val="single" w:sz="4" w:space="0" w:color="A6A6A6"/>
            </w:tcBorders>
            <w:noWrap/>
          </w:tcPr>
          <w:p w14:paraId="7772B066" w14:textId="77777777" w:rsidR="005B131E" w:rsidRPr="00BA7805" w:rsidRDefault="005B131E" w:rsidP="002542E1">
            <w:pPr>
              <w:pStyle w:val="ARfintablebodyright"/>
              <w:rPr>
                <w:highlight w:val="green"/>
              </w:rPr>
            </w:pPr>
            <w:r w:rsidRPr="00796D9A">
              <w:t>(89.1)</w:t>
            </w:r>
          </w:p>
        </w:tc>
      </w:tr>
      <w:tr w:rsidR="005B131E" w:rsidRPr="00BA7805" w14:paraId="4778D503" w14:textId="77777777" w:rsidTr="002542E1">
        <w:trPr>
          <w:cantSplit w:val="0"/>
          <w:trHeight w:val="255"/>
        </w:trPr>
        <w:tc>
          <w:tcPr>
            <w:tcW w:w="3490" w:type="dxa"/>
            <w:tcBorders>
              <w:top w:val="single" w:sz="4" w:space="0" w:color="A6A6A6"/>
              <w:bottom w:val="single" w:sz="4" w:space="0" w:color="A6A6A6"/>
            </w:tcBorders>
          </w:tcPr>
          <w:p w14:paraId="6A7A7E61" w14:textId="77777777" w:rsidR="005B131E" w:rsidRPr="00BA7805" w:rsidRDefault="005B131E" w:rsidP="002542E1">
            <w:pPr>
              <w:pStyle w:val="ARfintablebody"/>
              <w:rPr>
                <w:highlight w:val="green"/>
              </w:rPr>
            </w:pPr>
            <w:r w:rsidRPr="00851F1F">
              <w:t>Actuarial revaluations of insurance claims liability inclusive of risk margin</w:t>
            </w:r>
          </w:p>
        </w:tc>
        <w:tc>
          <w:tcPr>
            <w:tcW w:w="1534" w:type="dxa"/>
            <w:tcBorders>
              <w:top w:val="single" w:sz="4" w:space="0" w:color="A6A6A6"/>
              <w:bottom w:val="single" w:sz="4" w:space="0" w:color="A6A6A6"/>
            </w:tcBorders>
            <w:shd w:val="clear" w:color="auto" w:fill="E7E6E6" w:themeFill="accent4"/>
          </w:tcPr>
          <w:p w14:paraId="784F3C2E" w14:textId="77777777" w:rsidR="005B131E" w:rsidRPr="00BA7805" w:rsidRDefault="005B131E" w:rsidP="002542E1">
            <w:pPr>
              <w:pStyle w:val="ARfintablebodyright"/>
              <w:rPr>
                <w:highlight w:val="green"/>
              </w:rPr>
            </w:pPr>
            <w:r>
              <w:t>–</w:t>
            </w:r>
          </w:p>
        </w:tc>
        <w:tc>
          <w:tcPr>
            <w:tcW w:w="1535" w:type="dxa"/>
            <w:tcBorders>
              <w:top w:val="single" w:sz="4" w:space="0" w:color="A6A6A6"/>
              <w:bottom w:val="single" w:sz="4" w:space="0" w:color="A6A6A6"/>
            </w:tcBorders>
            <w:noWrap/>
          </w:tcPr>
          <w:p w14:paraId="12C4B4F6" w14:textId="77777777" w:rsidR="005B131E" w:rsidRPr="00BA7805" w:rsidRDefault="005B131E" w:rsidP="002542E1">
            <w:pPr>
              <w:pStyle w:val="ARfintablebodyright"/>
              <w:rPr>
                <w:highlight w:val="green"/>
              </w:rPr>
            </w:pPr>
            <w:r>
              <w:t>–</w:t>
            </w:r>
          </w:p>
        </w:tc>
        <w:tc>
          <w:tcPr>
            <w:tcW w:w="1534" w:type="dxa"/>
            <w:tcBorders>
              <w:top w:val="single" w:sz="4" w:space="0" w:color="A6A6A6"/>
              <w:bottom w:val="single" w:sz="4" w:space="0" w:color="A6A6A6"/>
            </w:tcBorders>
            <w:shd w:val="clear" w:color="auto" w:fill="E7E6E6" w:themeFill="accent4"/>
            <w:noWrap/>
          </w:tcPr>
          <w:p w14:paraId="1F5F0BC6" w14:textId="77777777" w:rsidR="005B131E" w:rsidRPr="00BA7805" w:rsidRDefault="005B131E" w:rsidP="002542E1">
            <w:pPr>
              <w:pStyle w:val="ARfintablebodyright"/>
              <w:rPr>
                <w:highlight w:val="green"/>
              </w:rPr>
            </w:pPr>
            <w:r w:rsidRPr="00796D9A">
              <w:t>152.8</w:t>
            </w:r>
          </w:p>
        </w:tc>
        <w:tc>
          <w:tcPr>
            <w:tcW w:w="1535" w:type="dxa"/>
            <w:tcBorders>
              <w:top w:val="single" w:sz="4" w:space="0" w:color="A6A6A6"/>
              <w:bottom w:val="single" w:sz="4" w:space="0" w:color="A6A6A6"/>
            </w:tcBorders>
            <w:noWrap/>
          </w:tcPr>
          <w:p w14:paraId="1C536C92" w14:textId="77777777" w:rsidR="005B131E" w:rsidRPr="00BA7805" w:rsidRDefault="005B131E" w:rsidP="002542E1">
            <w:pPr>
              <w:pStyle w:val="ARfintablebodyright"/>
              <w:rPr>
                <w:highlight w:val="green"/>
              </w:rPr>
            </w:pPr>
            <w:r w:rsidRPr="00796D9A">
              <w:t>152.8</w:t>
            </w:r>
          </w:p>
        </w:tc>
      </w:tr>
      <w:tr w:rsidR="005B131E" w:rsidRPr="00BA7805" w14:paraId="4CB87C6D" w14:textId="77777777" w:rsidTr="002542E1">
        <w:trPr>
          <w:cantSplit w:val="0"/>
          <w:trHeight w:val="255"/>
        </w:trPr>
        <w:tc>
          <w:tcPr>
            <w:tcW w:w="3490" w:type="dxa"/>
            <w:tcBorders>
              <w:top w:val="single" w:sz="4" w:space="0" w:color="A6A6A6"/>
            </w:tcBorders>
          </w:tcPr>
          <w:p w14:paraId="0190A1DF" w14:textId="77777777" w:rsidR="005B131E" w:rsidRPr="00BA7805" w:rsidRDefault="005B131E" w:rsidP="002542E1">
            <w:pPr>
              <w:pStyle w:val="ARfintablebody"/>
              <w:rPr>
                <w:highlight w:val="green"/>
              </w:rPr>
            </w:pPr>
            <w:r w:rsidRPr="00851F1F">
              <w:t>Unwind of discount and effect of changes in the discount rate</w:t>
            </w:r>
          </w:p>
        </w:tc>
        <w:tc>
          <w:tcPr>
            <w:tcW w:w="1534" w:type="dxa"/>
            <w:tcBorders>
              <w:top w:val="single" w:sz="4" w:space="0" w:color="A6A6A6"/>
            </w:tcBorders>
            <w:shd w:val="clear" w:color="auto" w:fill="E7E6E6" w:themeFill="accent4"/>
          </w:tcPr>
          <w:p w14:paraId="249E89F5" w14:textId="77777777" w:rsidR="005B131E" w:rsidRPr="00BA7805" w:rsidRDefault="005B131E" w:rsidP="002542E1">
            <w:pPr>
              <w:pStyle w:val="ARfintablebodyright"/>
              <w:rPr>
                <w:highlight w:val="green"/>
              </w:rPr>
            </w:pPr>
            <w:r>
              <w:t>–</w:t>
            </w:r>
          </w:p>
        </w:tc>
        <w:tc>
          <w:tcPr>
            <w:tcW w:w="1535" w:type="dxa"/>
            <w:tcBorders>
              <w:top w:val="single" w:sz="4" w:space="0" w:color="A6A6A6"/>
            </w:tcBorders>
            <w:noWrap/>
          </w:tcPr>
          <w:p w14:paraId="711F3A58" w14:textId="77777777" w:rsidR="005B131E" w:rsidRPr="00BA7805" w:rsidRDefault="005B131E" w:rsidP="002542E1">
            <w:pPr>
              <w:pStyle w:val="ARfintablebodyright"/>
              <w:rPr>
                <w:highlight w:val="green"/>
              </w:rPr>
            </w:pPr>
            <w:r>
              <w:t>–</w:t>
            </w:r>
          </w:p>
        </w:tc>
        <w:tc>
          <w:tcPr>
            <w:tcW w:w="1534" w:type="dxa"/>
            <w:tcBorders>
              <w:top w:val="single" w:sz="4" w:space="0" w:color="A6A6A6"/>
            </w:tcBorders>
            <w:shd w:val="clear" w:color="auto" w:fill="E7E6E6" w:themeFill="accent4"/>
            <w:noWrap/>
          </w:tcPr>
          <w:p w14:paraId="560E2C1B" w14:textId="77777777" w:rsidR="005B131E" w:rsidRPr="00BA7805" w:rsidRDefault="005B131E" w:rsidP="002542E1">
            <w:pPr>
              <w:pStyle w:val="ARfintablebodyright"/>
              <w:rPr>
                <w:highlight w:val="green"/>
              </w:rPr>
            </w:pPr>
            <w:r w:rsidRPr="00796D9A">
              <w:t>8.0</w:t>
            </w:r>
          </w:p>
        </w:tc>
        <w:tc>
          <w:tcPr>
            <w:tcW w:w="1535" w:type="dxa"/>
            <w:tcBorders>
              <w:top w:val="single" w:sz="4" w:space="0" w:color="A6A6A6"/>
            </w:tcBorders>
            <w:noWrap/>
          </w:tcPr>
          <w:p w14:paraId="78BED9DA" w14:textId="77777777" w:rsidR="005B131E" w:rsidRPr="00BA7805" w:rsidRDefault="005B131E" w:rsidP="002542E1">
            <w:pPr>
              <w:pStyle w:val="ARfintablebodyright"/>
              <w:rPr>
                <w:highlight w:val="green"/>
              </w:rPr>
            </w:pPr>
            <w:r w:rsidRPr="00796D9A">
              <w:t>8.0</w:t>
            </w:r>
          </w:p>
        </w:tc>
      </w:tr>
      <w:tr w:rsidR="005B131E" w:rsidRPr="00BA7805" w14:paraId="24A92FE9" w14:textId="77777777" w:rsidTr="002542E1">
        <w:trPr>
          <w:cantSplit w:val="0"/>
          <w:trHeight w:val="255"/>
        </w:trPr>
        <w:tc>
          <w:tcPr>
            <w:tcW w:w="3490" w:type="dxa"/>
          </w:tcPr>
          <w:p w14:paraId="5C8A41BB" w14:textId="77777777" w:rsidR="005B131E" w:rsidRPr="00BA7805" w:rsidRDefault="005B131E" w:rsidP="002542E1">
            <w:pPr>
              <w:pStyle w:val="ARfintablebodybold"/>
              <w:rPr>
                <w:highlight w:val="green"/>
              </w:rPr>
            </w:pPr>
            <w:r w:rsidRPr="00851F1F">
              <w:t>Closing balance</w:t>
            </w:r>
          </w:p>
        </w:tc>
        <w:tc>
          <w:tcPr>
            <w:tcW w:w="1534" w:type="dxa"/>
            <w:shd w:val="clear" w:color="auto" w:fill="E7E6E6" w:themeFill="accent4"/>
          </w:tcPr>
          <w:p w14:paraId="3F087E7F" w14:textId="77777777" w:rsidR="005B131E" w:rsidRPr="00BA7805" w:rsidRDefault="005B131E" w:rsidP="002542E1">
            <w:pPr>
              <w:pStyle w:val="ARfintablebodyrightbold"/>
              <w:rPr>
                <w:highlight w:val="green"/>
              </w:rPr>
            </w:pPr>
            <w:r w:rsidRPr="00796D9A">
              <w:t>170.7</w:t>
            </w:r>
          </w:p>
        </w:tc>
        <w:tc>
          <w:tcPr>
            <w:tcW w:w="1535" w:type="dxa"/>
            <w:noWrap/>
          </w:tcPr>
          <w:p w14:paraId="43E9A6A1" w14:textId="77777777" w:rsidR="005B131E" w:rsidRPr="00BA7805" w:rsidRDefault="005B131E" w:rsidP="002542E1">
            <w:pPr>
              <w:pStyle w:val="ARfintablebodyrightbold"/>
              <w:rPr>
                <w:highlight w:val="green"/>
              </w:rPr>
            </w:pPr>
            <w:r w:rsidRPr="00796D9A">
              <w:t>10.8</w:t>
            </w:r>
          </w:p>
        </w:tc>
        <w:tc>
          <w:tcPr>
            <w:tcW w:w="1534" w:type="dxa"/>
            <w:shd w:val="clear" w:color="auto" w:fill="E7E6E6" w:themeFill="accent4"/>
            <w:noWrap/>
          </w:tcPr>
          <w:p w14:paraId="75AA35D1" w14:textId="77777777" w:rsidR="005B131E" w:rsidRPr="00BA7805" w:rsidRDefault="005B131E" w:rsidP="002542E1">
            <w:pPr>
              <w:pStyle w:val="ARfintablebodyrightbold"/>
              <w:rPr>
                <w:highlight w:val="green"/>
              </w:rPr>
            </w:pPr>
            <w:r w:rsidRPr="00796D9A">
              <w:t>349.2</w:t>
            </w:r>
          </w:p>
        </w:tc>
        <w:tc>
          <w:tcPr>
            <w:tcW w:w="1535" w:type="dxa"/>
            <w:noWrap/>
          </w:tcPr>
          <w:p w14:paraId="1DDF9022" w14:textId="77777777" w:rsidR="005B131E" w:rsidRPr="00BA7805" w:rsidRDefault="005B131E" w:rsidP="002542E1">
            <w:pPr>
              <w:pStyle w:val="ARfintablebodyrightbold"/>
              <w:rPr>
                <w:highlight w:val="green"/>
              </w:rPr>
            </w:pPr>
            <w:r w:rsidRPr="00796D9A">
              <w:t>530.7</w:t>
            </w:r>
          </w:p>
        </w:tc>
      </w:tr>
    </w:tbl>
    <w:p w14:paraId="099FC308" w14:textId="77777777" w:rsidR="005B131E" w:rsidRDefault="005B131E" w:rsidP="002542E1">
      <w:pPr>
        <w:pStyle w:val="ARfinbodyaftertable"/>
      </w:pPr>
      <w:r>
        <w:t>When some or all of the economic benefits required to settle a provision are expected to be received from a third party, the receivable is recognised as an asset if it is virtually certain that recovery will be received, and the amount of the receivable can be measured reliably.</w:t>
      </w:r>
    </w:p>
    <w:p w14:paraId="5109C506" w14:textId="77777777" w:rsidR="005B131E" w:rsidRDefault="005B131E" w:rsidP="002542E1">
      <w:pPr>
        <w:pStyle w:val="ARfinbody"/>
      </w:pPr>
      <w:r>
        <w:t xml:space="preserve">The </w:t>
      </w:r>
      <w:r w:rsidRPr="003C3CC8">
        <w:rPr>
          <w:rStyle w:val="Strong"/>
        </w:rPr>
        <w:t>make-good</w:t>
      </w:r>
      <w:r>
        <w:t xml:space="preserve"> provision is recognised in accordance with the lease agreement over the building facilities. The department must remove any leasehold improvements from the leased building and restore the premises to its original condition at the end of the lease term. </w:t>
      </w:r>
    </w:p>
    <w:p w14:paraId="7ED85D14" w14:textId="2B6A692B" w:rsidR="005B131E" w:rsidRDefault="005B131E" w:rsidP="002542E1">
      <w:pPr>
        <w:pStyle w:val="ARfinbody"/>
      </w:pPr>
      <w:r w:rsidRPr="003C3CC8">
        <w:rPr>
          <w:rStyle w:val="Strong"/>
        </w:rPr>
        <w:t>Insurance claims:</w:t>
      </w:r>
      <w:r>
        <w:t xml:space="preserve"> The department engaged the Victorian Managed Insurance Authority (VMIA) under a claims administration agreement to manage non-medical indemnity claims resulting from community related incidents occurring on or after 1 July 2005. These claims are managed by VMIA on behalf of the department under a service level agreement. VMIA has engaged an independent actuary to determine these liability provisions in accordance with the Institute of Actuaries of Australia</w:t>
      </w:r>
      <w:r w:rsidR="00711AE6">
        <w:t>’</w:t>
      </w:r>
      <w:r>
        <w:t xml:space="preserve">s professional standard PS302 for </w:t>
      </w:r>
      <w:r w:rsidR="00C41E2B">
        <w:t>the department</w:t>
      </w:r>
      <w:r w:rsidR="00711AE6">
        <w:t>’</w:t>
      </w:r>
      <w:r w:rsidR="00C41E2B">
        <w:t xml:space="preserve">s </w:t>
      </w:r>
      <w:r>
        <w:t>civil claims, corporate and community service organisations (CSOs). The estimation of outstanding claims liabilities is based on actuarial modelling including analysis of claims experience, loss trends, risk exposure data and industry data.</w:t>
      </w:r>
    </w:p>
    <w:p w14:paraId="4D77C9AB" w14:textId="4AE135B6" w:rsidR="005B131E" w:rsidRPr="00DA1D59" w:rsidRDefault="005B131E" w:rsidP="002542E1">
      <w:pPr>
        <w:pStyle w:val="ARfinbody"/>
        <w:rPr>
          <w:highlight w:val="green"/>
        </w:rPr>
      </w:pPr>
      <w:r>
        <w:t xml:space="preserve">The </w:t>
      </w:r>
      <w:r w:rsidRPr="003C3CC8">
        <w:rPr>
          <w:rStyle w:val="Strong"/>
        </w:rPr>
        <w:t>Redress scheme</w:t>
      </w:r>
      <w:r>
        <w:t xml:space="preserve"> provision is the recognition of the compensation amount of Redress Scheme for Victorians who were placed in institutional care prior to 1990 (</w:t>
      </w:r>
      <w:r w:rsidR="00711AE6">
        <w:t>‘</w:t>
      </w:r>
      <w:r>
        <w:t>Pre-1990 Care Leavers</w:t>
      </w:r>
      <w:r w:rsidR="006943E3">
        <w:t>’</w:t>
      </w:r>
      <w:r>
        <w:t>) and experienced physical, psychological, and emotional abuse or neglect.</w:t>
      </w:r>
    </w:p>
    <w:p w14:paraId="07807346" w14:textId="77777777" w:rsidR="005B131E" w:rsidRPr="00BA7805" w:rsidRDefault="005B131E">
      <w:pPr>
        <w:pStyle w:val="ARfinbody"/>
        <w:rPr>
          <w:highlight w:val="green"/>
        </w:rPr>
      </w:pPr>
      <w:r w:rsidRPr="00BA7805">
        <w:rPr>
          <w:highlight w:val="green"/>
        </w:rPr>
        <w:br w:type="page"/>
      </w:r>
    </w:p>
    <w:p w14:paraId="65D30936" w14:textId="77777777" w:rsidR="005B131E" w:rsidRPr="00AB2F62" w:rsidRDefault="005B131E">
      <w:pPr>
        <w:pStyle w:val="Heading3"/>
      </w:pPr>
      <w:bookmarkStart w:id="277" w:name="_Toc181101552"/>
      <w:r w:rsidRPr="00AB2F62">
        <w:t>7. How we financed our operations</w:t>
      </w:r>
      <w:bookmarkEnd w:id="277"/>
    </w:p>
    <w:p w14:paraId="6C155314" w14:textId="77777777" w:rsidR="005B131E" w:rsidRDefault="005B131E" w:rsidP="002542E1">
      <w:pPr>
        <w:pStyle w:val="Heading4"/>
      </w:pPr>
      <w:r>
        <w:t>Introduction</w:t>
      </w:r>
    </w:p>
    <w:p w14:paraId="092106C7" w14:textId="77777777" w:rsidR="005B131E" w:rsidRDefault="005B131E" w:rsidP="002542E1">
      <w:pPr>
        <w:pStyle w:val="ARfinbody"/>
      </w:pPr>
      <w:r>
        <w:t>This section provides information on the sources of finance utilised by the department during its operations, along with interest expenses (the cost of borrowings) and other information related to financing activities of the department.</w:t>
      </w:r>
    </w:p>
    <w:p w14:paraId="530DB1F8" w14:textId="77777777" w:rsidR="005B131E" w:rsidRDefault="005B131E" w:rsidP="002542E1">
      <w:pPr>
        <w:pStyle w:val="ARfinbody"/>
      </w:pPr>
      <w:r>
        <w:t>This section includes disclosures of balances that are financial instruments (such as borrowings and cash balances). Notes 8.1 and 8.3 provide additional, specific financial instrument disclosures.</w:t>
      </w:r>
    </w:p>
    <w:p w14:paraId="4F716157" w14:textId="77777777" w:rsidR="005B131E" w:rsidRDefault="005B131E" w:rsidP="002542E1">
      <w:pPr>
        <w:pStyle w:val="Heading4"/>
      </w:pPr>
      <w:r>
        <w:t>Structure</w:t>
      </w:r>
    </w:p>
    <w:p w14:paraId="4BB0362C" w14:textId="77777777" w:rsidR="005B131E" w:rsidRDefault="005B131E" w:rsidP="002542E1">
      <w:pPr>
        <w:pStyle w:val="ARfinstructure1"/>
      </w:pPr>
      <w:r>
        <w:t xml:space="preserve">7.1 </w:t>
      </w:r>
      <w:r>
        <w:tab/>
        <w:t xml:space="preserve">Borrowings </w:t>
      </w:r>
    </w:p>
    <w:p w14:paraId="421B2195" w14:textId="77777777" w:rsidR="005B131E" w:rsidRDefault="005B131E" w:rsidP="002542E1">
      <w:pPr>
        <w:pStyle w:val="ARfinstructure1"/>
      </w:pPr>
      <w:r>
        <w:t xml:space="preserve">7.2 </w:t>
      </w:r>
      <w:r>
        <w:tab/>
        <w:t>Maturity analysis of borrowings</w:t>
      </w:r>
    </w:p>
    <w:p w14:paraId="25E424AD" w14:textId="77777777" w:rsidR="005B131E" w:rsidRDefault="005B131E" w:rsidP="002542E1">
      <w:pPr>
        <w:pStyle w:val="ARfinstructure1"/>
      </w:pPr>
      <w:r>
        <w:t xml:space="preserve">7.3 </w:t>
      </w:r>
      <w:r>
        <w:tab/>
        <w:t>Cash flow information and balances</w:t>
      </w:r>
    </w:p>
    <w:p w14:paraId="3C5FC8A1" w14:textId="77777777" w:rsidR="005B131E" w:rsidRDefault="005B131E" w:rsidP="002542E1">
      <w:pPr>
        <w:pStyle w:val="ARfinstructure2"/>
      </w:pPr>
      <w:r>
        <w:t>7.3.1 Reconciliation of net result for the period to net cash flow from operating activities</w:t>
      </w:r>
    </w:p>
    <w:p w14:paraId="41A0A2C7" w14:textId="77777777" w:rsidR="005B131E" w:rsidRDefault="005B131E" w:rsidP="002542E1">
      <w:pPr>
        <w:pStyle w:val="ARfinstructure1"/>
      </w:pPr>
      <w:r>
        <w:t xml:space="preserve">7.4 </w:t>
      </w:r>
      <w:r>
        <w:tab/>
        <w:t>Trust account</w:t>
      </w:r>
    </w:p>
    <w:p w14:paraId="4A918169" w14:textId="77777777" w:rsidR="005B131E" w:rsidRDefault="005B131E" w:rsidP="002542E1">
      <w:pPr>
        <w:pStyle w:val="ARfinstructure2"/>
      </w:pPr>
      <w:r>
        <w:t xml:space="preserve">7.4.1 </w:t>
      </w:r>
      <w:r>
        <w:tab/>
        <w:t>Trust account balances</w:t>
      </w:r>
    </w:p>
    <w:p w14:paraId="4B1E802C" w14:textId="77777777" w:rsidR="005B131E" w:rsidRDefault="005B131E" w:rsidP="002542E1">
      <w:pPr>
        <w:pStyle w:val="ARfinstructure2"/>
      </w:pPr>
      <w:r>
        <w:t xml:space="preserve">7.4.2 </w:t>
      </w:r>
      <w:r>
        <w:tab/>
        <w:t xml:space="preserve">Trust account – Legislative references and nature </w:t>
      </w:r>
    </w:p>
    <w:p w14:paraId="6C27E874" w14:textId="77777777" w:rsidR="005B131E" w:rsidRDefault="005B131E" w:rsidP="002542E1">
      <w:pPr>
        <w:pStyle w:val="ARfinstructure1"/>
      </w:pPr>
      <w:r>
        <w:t xml:space="preserve">7.5 </w:t>
      </w:r>
      <w:r>
        <w:tab/>
        <w:t>Commitments for expenditure</w:t>
      </w:r>
    </w:p>
    <w:p w14:paraId="520DAD7D" w14:textId="77777777" w:rsidR="005B131E" w:rsidRDefault="005B131E" w:rsidP="002542E1">
      <w:pPr>
        <w:pStyle w:val="ARfinstructure2"/>
      </w:pPr>
      <w:r>
        <w:t xml:space="preserve">7.5.1 </w:t>
      </w:r>
      <w:r>
        <w:tab/>
        <w:t>Total commitments payable</w:t>
      </w:r>
    </w:p>
    <w:p w14:paraId="71C57E48" w14:textId="77777777" w:rsidR="005B131E" w:rsidRDefault="005B131E" w:rsidP="002542E1">
      <w:pPr>
        <w:pStyle w:val="ARfinstructure2"/>
      </w:pPr>
      <w:r>
        <w:t xml:space="preserve">7.5.2 </w:t>
      </w:r>
      <w:r>
        <w:tab/>
        <w:t>Service concession arrangements commitments</w:t>
      </w:r>
    </w:p>
    <w:p w14:paraId="408A833F" w14:textId="77777777" w:rsidR="005B131E" w:rsidRDefault="005B131E" w:rsidP="002542E1">
      <w:pPr>
        <w:pStyle w:val="ARfinstructure2"/>
      </w:pPr>
      <w:r>
        <w:t xml:space="preserve">7.5.3 </w:t>
      </w:r>
      <w:r>
        <w:tab/>
        <w:t>Service concession arrangements</w:t>
      </w:r>
    </w:p>
    <w:p w14:paraId="1CD9E1BA" w14:textId="77777777" w:rsidR="005B131E" w:rsidRPr="00AB2F62" w:rsidRDefault="005B131E">
      <w:pPr>
        <w:pStyle w:val="Heading4"/>
        <w:rPr>
          <w:lang w:eastAsia="en-AU"/>
        </w:rPr>
      </w:pPr>
      <w:r w:rsidRPr="00AB2F62">
        <w:rPr>
          <w:lang w:eastAsia="en-AU"/>
        </w:rPr>
        <w:t xml:space="preserve">7.1 </w:t>
      </w:r>
      <w:r w:rsidRPr="00E27223">
        <w:t>Borrowings</w:t>
      </w:r>
    </w:p>
    <w:tbl>
      <w:tblPr>
        <w:tblStyle w:val="TableGrid"/>
        <w:tblW w:w="9637" w:type="dxa"/>
        <w:tblLayout w:type="fixed"/>
        <w:tblLook w:val="06A0" w:firstRow="1" w:lastRow="0" w:firstColumn="1" w:lastColumn="0" w:noHBand="1" w:noVBand="1"/>
      </w:tblPr>
      <w:tblGrid>
        <w:gridCol w:w="6822"/>
        <w:gridCol w:w="1407"/>
        <w:gridCol w:w="1408"/>
      </w:tblGrid>
      <w:tr w:rsidR="005B131E" w:rsidRPr="00BA7805" w14:paraId="056F839E"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822" w:type="dxa"/>
            <w:tcBorders>
              <w:bottom w:val="single" w:sz="4" w:space="0" w:color="auto"/>
            </w:tcBorders>
            <w:noWrap/>
            <w:hideMark/>
          </w:tcPr>
          <w:p w14:paraId="6DB56E3D" w14:textId="77777777" w:rsidR="005B131E" w:rsidRPr="00BA7805" w:rsidRDefault="005B131E">
            <w:pPr>
              <w:pStyle w:val="ARfintablecolhead"/>
              <w:rPr>
                <w:highlight w:val="green"/>
              </w:rPr>
            </w:pPr>
          </w:p>
        </w:tc>
        <w:tc>
          <w:tcPr>
            <w:tcW w:w="1407" w:type="dxa"/>
            <w:tcBorders>
              <w:bottom w:val="single" w:sz="4" w:space="0" w:color="auto"/>
            </w:tcBorders>
            <w:shd w:val="clear" w:color="auto" w:fill="E7E6E6" w:themeFill="accent4"/>
            <w:hideMark/>
          </w:tcPr>
          <w:p w14:paraId="645319E9" w14:textId="77777777" w:rsidR="005B131E" w:rsidRPr="000F42E2" w:rsidRDefault="005B131E">
            <w:pPr>
              <w:pStyle w:val="ARfintablecolheadright"/>
            </w:pPr>
            <w:r w:rsidRPr="000F42E2">
              <w:t>2024</w:t>
            </w:r>
          </w:p>
          <w:p w14:paraId="6315F44E" w14:textId="77777777" w:rsidR="005B131E" w:rsidRPr="000F42E2" w:rsidRDefault="005B131E">
            <w:pPr>
              <w:pStyle w:val="ARfintablecolheadright"/>
            </w:pPr>
            <w:r w:rsidRPr="000F42E2">
              <w:t>$M</w:t>
            </w:r>
          </w:p>
        </w:tc>
        <w:tc>
          <w:tcPr>
            <w:tcW w:w="1408" w:type="dxa"/>
            <w:tcBorders>
              <w:bottom w:val="single" w:sz="4" w:space="0" w:color="auto"/>
            </w:tcBorders>
            <w:hideMark/>
          </w:tcPr>
          <w:p w14:paraId="5C4A4D6B" w14:textId="77777777" w:rsidR="005B131E" w:rsidRPr="000F42E2" w:rsidRDefault="005B131E">
            <w:pPr>
              <w:pStyle w:val="ARfintablecolheadright"/>
            </w:pPr>
            <w:r w:rsidRPr="000F42E2">
              <w:t>2023</w:t>
            </w:r>
          </w:p>
          <w:p w14:paraId="2988F018" w14:textId="77777777" w:rsidR="005B131E" w:rsidRPr="000F42E2" w:rsidRDefault="005B131E">
            <w:pPr>
              <w:pStyle w:val="ARfintablecolheadright"/>
            </w:pPr>
            <w:r w:rsidRPr="000F42E2">
              <w:t>$M</w:t>
            </w:r>
          </w:p>
        </w:tc>
      </w:tr>
      <w:tr w:rsidR="005B131E" w:rsidRPr="00BA7805" w14:paraId="3196ED4F" w14:textId="77777777" w:rsidTr="003D7AC8">
        <w:tc>
          <w:tcPr>
            <w:tcW w:w="9637" w:type="dxa"/>
            <w:gridSpan w:val="3"/>
            <w:tcBorders>
              <w:top w:val="single" w:sz="4" w:space="0" w:color="auto"/>
              <w:bottom w:val="single" w:sz="4" w:space="0" w:color="A6A6A6" w:themeColor="background1" w:themeShade="A6"/>
            </w:tcBorders>
          </w:tcPr>
          <w:p w14:paraId="2218EF09" w14:textId="77777777" w:rsidR="005B131E" w:rsidRPr="00BA7805" w:rsidRDefault="005B131E" w:rsidP="002542E1">
            <w:pPr>
              <w:pStyle w:val="ARfintablebodybold"/>
              <w:rPr>
                <w:highlight w:val="green"/>
              </w:rPr>
            </w:pPr>
            <w:r w:rsidRPr="00C75CDB">
              <w:t>Current borrowings</w:t>
            </w:r>
          </w:p>
        </w:tc>
      </w:tr>
      <w:tr w:rsidR="005B131E" w:rsidRPr="00BA7805" w14:paraId="3F9F186C" w14:textId="77777777" w:rsidTr="002542E1">
        <w:tc>
          <w:tcPr>
            <w:tcW w:w="6822" w:type="dxa"/>
            <w:tcBorders>
              <w:top w:val="single" w:sz="4" w:space="0" w:color="A6A6A6" w:themeColor="background1" w:themeShade="A6"/>
              <w:bottom w:val="single" w:sz="4" w:space="0" w:color="A6A6A6" w:themeColor="background1" w:themeShade="A6"/>
            </w:tcBorders>
          </w:tcPr>
          <w:p w14:paraId="061ABCA8" w14:textId="77777777" w:rsidR="005B131E" w:rsidRPr="00BA7805" w:rsidRDefault="005B131E" w:rsidP="002542E1">
            <w:pPr>
              <w:pStyle w:val="ARfintablebody"/>
              <w:rPr>
                <w:highlight w:val="green"/>
              </w:rPr>
            </w:pPr>
            <w:r w:rsidRPr="00C75CDB">
              <w:t>Advances from Victorian Government</w:t>
            </w:r>
          </w:p>
        </w:tc>
        <w:tc>
          <w:tcPr>
            <w:tcW w:w="1407" w:type="dxa"/>
            <w:tcBorders>
              <w:top w:val="single" w:sz="4" w:space="0" w:color="A6A6A6" w:themeColor="background1" w:themeShade="A6"/>
              <w:bottom w:val="single" w:sz="4" w:space="0" w:color="A6A6A6" w:themeColor="background1" w:themeShade="A6"/>
            </w:tcBorders>
            <w:shd w:val="clear" w:color="auto" w:fill="E7E6E6" w:themeFill="accent4"/>
            <w:noWrap/>
          </w:tcPr>
          <w:p w14:paraId="4AC41B0C" w14:textId="77777777" w:rsidR="005B131E" w:rsidRPr="00BA7805" w:rsidRDefault="005B131E" w:rsidP="002542E1">
            <w:pPr>
              <w:pStyle w:val="ARfintablebodyright"/>
              <w:rPr>
                <w:highlight w:val="green"/>
              </w:rPr>
            </w:pPr>
            <w:r w:rsidRPr="00C75CDB">
              <w:t>35.3</w:t>
            </w:r>
          </w:p>
        </w:tc>
        <w:tc>
          <w:tcPr>
            <w:tcW w:w="1408" w:type="dxa"/>
            <w:tcBorders>
              <w:top w:val="single" w:sz="4" w:space="0" w:color="A6A6A6" w:themeColor="background1" w:themeShade="A6"/>
              <w:bottom w:val="single" w:sz="4" w:space="0" w:color="A6A6A6" w:themeColor="background1" w:themeShade="A6"/>
            </w:tcBorders>
            <w:noWrap/>
          </w:tcPr>
          <w:p w14:paraId="604E8708" w14:textId="77777777" w:rsidR="005B131E" w:rsidRPr="00BA7805" w:rsidRDefault="005B131E" w:rsidP="002542E1">
            <w:pPr>
              <w:pStyle w:val="ARfintablebodyright"/>
              <w:rPr>
                <w:highlight w:val="green"/>
              </w:rPr>
            </w:pPr>
            <w:r w:rsidRPr="00C75CDB">
              <w:t>36.3</w:t>
            </w:r>
          </w:p>
        </w:tc>
      </w:tr>
      <w:tr w:rsidR="005B131E" w:rsidRPr="00BA7805" w14:paraId="0ECC1CF5" w14:textId="77777777" w:rsidTr="002542E1">
        <w:tc>
          <w:tcPr>
            <w:tcW w:w="6822" w:type="dxa"/>
            <w:tcBorders>
              <w:top w:val="single" w:sz="4" w:space="0" w:color="A6A6A6" w:themeColor="background1" w:themeShade="A6"/>
              <w:bottom w:val="single" w:sz="4" w:space="0" w:color="A6A6A6" w:themeColor="accent5"/>
            </w:tcBorders>
          </w:tcPr>
          <w:p w14:paraId="5578AAE5" w14:textId="77777777" w:rsidR="005B131E" w:rsidRPr="00BA7805" w:rsidRDefault="005B131E" w:rsidP="002542E1">
            <w:pPr>
              <w:pStyle w:val="ARfintablebody"/>
              <w:rPr>
                <w:highlight w:val="green"/>
              </w:rPr>
            </w:pPr>
            <w:r w:rsidRPr="00C75CDB">
              <w:t>Service concession financial liability</w:t>
            </w:r>
          </w:p>
        </w:tc>
        <w:tc>
          <w:tcPr>
            <w:tcW w:w="1407" w:type="dxa"/>
            <w:tcBorders>
              <w:top w:val="single" w:sz="4" w:space="0" w:color="A6A6A6" w:themeColor="background1" w:themeShade="A6"/>
              <w:bottom w:val="single" w:sz="4" w:space="0" w:color="A6A6A6" w:themeColor="accent5"/>
            </w:tcBorders>
            <w:shd w:val="clear" w:color="auto" w:fill="E7E6E6" w:themeFill="accent4"/>
            <w:noWrap/>
          </w:tcPr>
          <w:p w14:paraId="1140EDDC" w14:textId="77777777" w:rsidR="005B131E" w:rsidRPr="00BA7805" w:rsidRDefault="005B131E" w:rsidP="002542E1">
            <w:pPr>
              <w:pStyle w:val="ARfintablebodyright"/>
              <w:rPr>
                <w:highlight w:val="green"/>
              </w:rPr>
            </w:pPr>
            <w:r w:rsidRPr="00C75CDB">
              <w:t>1.9</w:t>
            </w:r>
          </w:p>
        </w:tc>
        <w:tc>
          <w:tcPr>
            <w:tcW w:w="1408" w:type="dxa"/>
            <w:tcBorders>
              <w:top w:val="single" w:sz="4" w:space="0" w:color="A6A6A6" w:themeColor="background1" w:themeShade="A6"/>
              <w:bottom w:val="single" w:sz="4" w:space="0" w:color="A6A6A6" w:themeColor="accent5"/>
            </w:tcBorders>
            <w:noWrap/>
          </w:tcPr>
          <w:p w14:paraId="02F1BC29" w14:textId="77777777" w:rsidR="005B131E" w:rsidRPr="00BA7805" w:rsidRDefault="005B131E" w:rsidP="002542E1">
            <w:pPr>
              <w:pStyle w:val="ARfintablebodyright"/>
              <w:rPr>
                <w:highlight w:val="green"/>
              </w:rPr>
            </w:pPr>
            <w:r w:rsidRPr="00C75CDB">
              <w:t>2.3</w:t>
            </w:r>
          </w:p>
        </w:tc>
      </w:tr>
      <w:tr w:rsidR="005B131E" w:rsidRPr="00BA7805" w14:paraId="293DEC29" w14:textId="77777777" w:rsidTr="002542E1">
        <w:tc>
          <w:tcPr>
            <w:tcW w:w="6822" w:type="dxa"/>
            <w:tcBorders>
              <w:top w:val="single" w:sz="4" w:space="0" w:color="A6A6A6" w:themeColor="accent5"/>
            </w:tcBorders>
          </w:tcPr>
          <w:p w14:paraId="477F8EFD" w14:textId="77777777" w:rsidR="005B131E" w:rsidRPr="00BA7805" w:rsidRDefault="005B131E" w:rsidP="002542E1">
            <w:pPr>
              <w:pStyle w:val="ARfintablebody"/>
              <w:rPr>
                <w:highlight w:val="green"/>
              </w:rPr>
            </w:pPr>
            <w:r w:rsidRPr="00C75CDB">
              <w:t>Lease liabilities</w:t>
            </w:r>
          </w:p>
        </w:tc>
        <w:tc>
          <w:tcPr>
            <w:tcW w:w="1407" w:type="dxa"/>
            <w:tcBorders>
              <w:top w:val="single" w:sz="4" w:space="0" w:color="A6A6A6" w:themeColor="accent5"/>
            </w:tcBorders>
            <w:shd w:val="clear" w:color="auto" w:fill="E7E6E6" w:themeFill="accent4"/>
            <w:noWrap/>
          </w:tcPr>
          <w:p w14:paraId="039D624C" w14:textId="77777777" w:rsidR="005B131E" w:rsidRPr="00BA7805" w:rsidRDefault="005B131E" w:rsidP="002542E1">
            <w:pPr>
              <w:pStyle w:val="ARfintablebodyright"/>
              <w:rPr>
                <w:highlight w:val="green"/>
              </w:rPr>
            </w:pPr>
            <w:r w:rsidRPr="00C75CDB">
              <w:t>30.8</w:t>
            </w:r>
          </w:p>
        </w:tc>
        <w:tc>
          <w:tcPr>
            <w:tcW w:w="1408" w:type="dxa"/>
            <w:tcBorders>
              <w:top w:val="single" w:sz="4" w:space="0" w:color="A6A6A6" w:themeColor="accent5"/>
            </w:tcBorders>
            <w:noWrap/>
          </w:tcPr>
          <w:p w14:paraId="47D09DAE" w14:textId="77777777" w:rsidR="005B131E" w:rsidRPr="00BA7805" w:rsidRDefault="005B131E" w:rsidP="002542E1">
            <w:pPr>
              <w:pStyle w:val="ARfintablebodyright"/>
              <w:rPr>
                <w:highlight w:val="green"/>
              </w:rPr>
            </w:pPr>
            <w:r w:rsidRPr="00C75CDB">
              <w:t>29.2</w:t>
            </w:r>
          </w:p>
        </w:tc>
      </w:tr>
      <w:tr w:rsidR="005B131E" w:rsidRPr="00BA7805" w14:paraId="4F1A5D9A" w14:textId="77777777" w:rsidTr="002542E1">
        <w:tc>
          <w:tcPr>
            <w:tcW w:w="6822" w:type="dxa"/>
            <w:tcBorders>
              <w:bottom w:val="single" w:sz="4" w:space="0" w:color="auto"/>
            </w:tcBorders>
          </w:tcPr>
          <w:p w14:paraId="4799B377" w14:textId="77777777" w:rsidR="005B131E" w:rsidRPr="00BA7805" w:rsidRDefault="005B131E" w:rsidP="002542E1">
            <w:pPr>
              <w:pStyle w:val="ARfintablebodybold"/>
              <w:rPr>
                <w:highlight w:val="green"/>
              </w:rPr>
            </w:pPr>
            <w:r w:rsidRPr="00C75CDB">
              <w:t>Total current borrowings</w:t>
            </w:r>
          </w:p>
        </w:tc>
        <w:tc>
          <w:tcPr>
            <w:tcW w:w="1407" w:type="dxa"/>
            <w:tcBorders>
              <w:bottom w:val="single" w:sz="4" w:space="0" w:color="auto"/>
            </w:tcBorders>
            <w:shd w:val="clear" w:color="auto" w:fill="E7E6E6" w:themeFill="accent4"/>
            <w:noWrap/>
          </w:tcPr>
          <w:p w14:paraId="6E86BC83" w14:textId="77777777" w:rsidR="005B131E" w:rsidRPr="00BA7805" w:rsidRDefault="005B131E" w:rsidP="002542E1">
            <w:pPr>
              <w:pStyle w:val="ARfintablebodyrightbold"/>
              <w:rPr>
                <w:highlight w:val="green"/>
              </w:rPr>
            </w:pPr>
            <w:r w:rsidRPr="00C75CDB">
              <w:t>68.0</w:t>
            </w:r>
          </w:p>
        </w:tc>
        <w:tc>
          <w:tcPr>
            <w:tcW w:w="1408" w:type="dxa"/>
            <w:tcBorders>
              <w:bottom w:val="single" w:sz="4" w:space="0" w:color="auto"/>
            </w:tcBorders>
            <w:noWrap/>
          </w:tcPr>
          <w:p w14:paraId="41FAD717" w14:textId="77777777" w:rsidR="005B131E" w:rsidRPr="00BA7805" w:rsidRDefault="005B131E" w:rsidP="002542E1">
            <w:pPr>
              <w:pStyle w:val="ARfintablebodyrightbold"/>
              <w:rPr>
                <w:highlight w:val="green"/>
              </w:rPr>
            </w:pPr>
            <w:r w:rsidRPr="00C75CDB">
              <w:t>67.7</w:t>
            </w:r>
          </w:p>
        </w:tc>
      </w:tr>
      <w:tr w:rsidR="005B131E" w:rsidRPr="00BA7805" w14:paraId="44D88B20" w14:textId="77777777" w:rsidTr="003D7AC8">
        <w:tc>
          <w:tcPr>
            <w:tcW w:w="9637" w:type="dxa"/>
            <w:gridSpan w:val="3"/>
            <w:tcBorders>
              <w:top w:val="single" w:sz="4" w:space="0" w:color="auto"/>
              <w:bottom w:val="single" w:sz="4" w:space="0" w:color="A6A6A6" w:themeColor="background1" w:themeShade="A6"/>
            </w:tcBorders>
          </w:tcPr>
          <w:p w14:paraId="4185CB64" w14:textId="77777777" w:rsidR="005B131E" w:rsidRPr="00BA7805" w:rsidRDefault="005B131E" w:rsidP="002542E1">
            <w:pPr>
              <w:pStyle w:val="ARfintablebodybold"/>
              <w:rPr>
                <w:highlight w:val="green"/>
              </w:rPr>
            </w:pPr>
            <w:r w:rsidRPr="00C75CDB">
              <w:t>Non-current borrowings</w:t>
            </w:r>
          </w:p>
        </w:tc>
      </w:tr>
      <w:tr w:rsidR="005B131E" w:rsidRPr="00BA7805" w14:paraId="43D9A85C" w14:textId="77777777" w:rsidTr="002542E1">
        <w:tc>
          <w:tcPr>
            <w:tcW w:w="6822" w:type="dxa"/>
            <w:tcBorders>
              <w:top w:val="single" w:sz="4" w:space="0" w:color="A6A6A6" w:themeColor="background1" w:themeShade="A6"/>
              <w:bottom w:val="single" w:sz="4" w:space="0" w:color="A6A6A6" w:themeColor="background1" w:themeShade="A6"/>
            </w:tcBorders>
          </w:tcPr>
          <w:p w14:paraId="425E359F" w14:textId="77777777" w:rsidR="005B131E" w:rsidRPr="00BA7805" w:rsidRDefault="005B131E" w:rsidP="002542E1">
            <w:pPr>
              <w:pStyle w:val="ARfintablebody"/>
              <w:rPr>
                <w:highlight w:val="green"/>
              </w:rPr>
            </w:pPr>
            <w:r w:rsidRPr="00C75CDB">
              <w:t>Advances from Victorian Government</w:t>
            </w:r>
          </w:p>
        </w:tc>
        <w:tc>
          <w:tcPr>
            <w:tcW w:w="1407" w:type="dxa"/>
            <w:tcBorders>
              <w:top w:val="single" w:sz="4" w:space="0" w:color="A6A6A6" w:themeColor="background1" w:themeShade="A6"/>
              <w:bottom w:val="single" w:sz="4" w:space="0" w:color="A6A6A6" w:themeColor="background1" w:themeShade="A6"/>
            </w:tcBorders>
            <w:shd w:val="clear" w:color="auto" w:fill="E7E6E6" w:themeFill="accent4"/>
            <w:noWrap/>
          </w:tcPr>
          <w:p w14:paraId="333BFD4A" w14:textId="77777777" w:rsidR="005B131E" w:rsidRPr="00BA7805" w:rsidRDefault="005B131E" w:rsidP="002542E1">
            <w:pPr>
              <w:pStyle w:val="ARfintablebodyright"/>
              <w:rPr>
                <w:highlight w:val="green"/>
              </w:rPr>
            </w:pPr>
            <w:r w:rsidRPr="00C75CDB">
              <w:t>130.9</w:t>
            </w:r>
          </w:p>
        </w:tc>
        <w:tc>
          <w:tcPr>
            <w:tcW w:w="1408" w:type="dxa"/>
            <w:tcBorders>
              <w:top w:val="single" w:sz="4" w:space="0" w:color="A6A6A6" w:themeColor="background1" w:themeShade="A6"/>
              <w:bottom w:val="single" w:sz="4" w:space="0" w:color="A6A6A6" w:themeColor="background1" w:themeShade="A6"/>
            </w:tcBorders>
            <w:noWrap/>
          </w:tcPr>
          <w:p w14:paraId="1F70C246" w14:textId="77777777" w:rsidR="005B131E" w:rsidRPr="00BA7805" w:rsidRDefault="005B131E" w:rsidP="002542E1">
            <w:pPr>
              <w:pStyle w:val="ARfintablebodyright"/>
              <w:rPr>
                <w:highlight w:val="green"/>
              </w:rPr>
            </w:pPr>
            <w:r w:rsidRPr="00C75CDB">
              <w:t>108.0</w:t>
            </w:r>
          </w:p>
        </w:tc>
      </w:tr>
      <w:tr w:rsidR="005B131E" w:rsidRPr="00BA7805" w14:paraId="486F938F" w14:textId="77777777" w:rsidTr="002542E1">
        <w:tc>
          <w:tcPr>
            <w:tcW w:w="6822" w:type="dxa"/>
            <w:tcBorders>
              <w:top w:val="single" w:sz="4" w:space="0" w:color="A6A6A6" w:themeColor="background1" w:themeShade="A6"/>
              <w:bottom w:val="single" w:sz="4" w:space="0" w:color="A6A6A6" w:themeColor="background1" w:themeShade="A6"/>
            </w:tcBorders>
          </w:tcPr>
          <w:p w14:paraId="101C9C5A" w14:textId="77777777" w:rsidR="005B131E" w:rsidRPr="00BA7805" w:rsidRDefault="005B131E" w:rsidP="002542E1">
            <w:pPr>
              <w:pStyle w:val="ARfintablebody"/>
              <w:rPr>
                <w:highlight w:val="green"/>
              </w:rPr>
            </w:pPr>
            <w:r w:rsidRPr="00C75CDB">
              <w:t>Service concession financial liabilities</w:t>
            </w:r>
          </w:p>
        </w:tc>
        <w:tc>
          <w:tcPr>
            <w:tcW w:w="1407" w:type="dxa"/>
            <w:tcBorders>
              <w:top w:val="single" w:sz="4" w:space="0" w:color="A6A6A6" w:themeColor="background1" w:themeShade="A6"/>
              <w:bottom w:val="single" w:sz="4" w:space="0" w:color="A6A6A6" w:themeColor="background1" w:themeShade="A6"/>
            </w:tcBorders>
            <w:shd w:val="clear" w:color="auto" w:fill="E7E6E6" w:themeFill="accent4"/>
            <w:noWrap/>
          </w:tcPr>
          <w:p w14:paraId="34A6F4C0" w14:textId="77777777" w:rsidR="005B131E" w:rsidRPr="00BA7805" w:rsidRDefault="005B131E" w:rsidP="002542E1">
            <w:pPr>
              <w:pStyle w:val="ARfintablebodyright"/>
              <w:rPr>
                <w:highlight w:val="green"/>
              </w:rPr>
            </w:pPr>
            <w:r w:rsidRPr="00C75CDB">
              <w:t>287.8</w:t>
            </w:r>
          </w:p>
        </w:tc>
        <w:tc>
          <w:tcPr>
            <w:tcW w:w="1408" w:type="dxa"/>
            <w:tcBorders>
              <w:top w:val="single" w:sz="4" w:space="0" w:color="A6A6A6" w:themeColor="background1" w:themeShade="A6"/>
              <w:bottom w:val="single" w:sz="4" w:space="0" w:color="A6A6A6" w:themeColor="background1" w:themeShade="A6"/>
            </w:tcBorders>
            <w:noWrap/>
          </w:tcPr>
          <w:p w14:paraId="04082B3E" w14:textId="77777777" w:rsidR="005B131E" w:rsidRPr="00BA7805" w:rsidRDefault="005B131E" w:rsidP="002542E1">
            <w:pPr>
              <w:pStyle w:val="ARfintablebodyright"/>
              <w:rPr>
                <w:highlight w:val="green"/>
              </w:rPr>
            </w:pPr>
            <w:r w:rsidRPr="00C75CDB">
              <w:t>200.7</w:t>
            </w:r>
          </w:p>
        </w:tc>
      </w:tr>
      <w:tr w:rsidR="005B131E" w:rsidRPr="00BA7805" w14:paraId="08775B27" w14:textId="77777777" w:rsidTr="002542E1">
        <w:tc>
          <w:tcPr>
            <w:tcW w:w="6822" w:type="dxa"/>
            <w:tcBorders>
              <w:top w:val="single" w:sz="4" w:space="0" w:color="A6A6A6" w:themeColor="background1" w:themeShade="A6"/>
            </w:tcBorders>
          </w:tcPr>
          <w:p w14:paraId="7B7CAAF7" w14:textId="77777777" w:rsidR="005B131E" w:rsidRPr="00BA7805" w:rsidRDefault="005B131E" w:rsidP="002542E1">
            <w:pPr>
              <w:pStyle w:val="ARfintablebody"/>
              <w:rPr>
                <w:highlight w:val="green"/>
              </w:rPr>
            </w:pPr>
            <w:r w:rsidRPr="00C75CDB">
              <w:t>Lease liabilities</w:t>
            </w:r>
          </w:p>
        </w:tc>
        <w:tc>
          <w:tcPr>
            <w:tcW w:w="1407" w:type="dxa"/>
            <w:tcBorders>
              <w:top w:val="single" w:sz="4" w:space="0" w:color="A6A6A6" w:themeColor="background1" w:themeShade="A6"/>
            </w:tcBorders>
            <w:shd w:val="clear" w:color="auto" w:fill="E7E6E6" w:themeFill="accent4"/>
            <w:noWrap/>
          </w:tcPr>
          <w:p w14:paraId="78B7B3A6" w14:textId="77777777" w:rsidR="005B131E" w:rsidRPr="00BA7805" w:rsidRDefault="005B131E" w:rsidP="002542E1">
            <w:pPr>
              <w:pStyle w:val="ARfintablebodyright"/>
              <w:rPr>
                <w:highlight w:val="green"/>
              </w:rPr>
            </w:pPr>
            <w:r w:rsidRPr="00C75CDB">
              <w:t>50.6</w:t>
            </w:r>
          </w:p>
        </w:tc>
        <w:tc>
          <w:tcPr>
            <w:tcW w:w="1408" w:type="dxa"/>
            <w:tcBorders>
              <w:top w:val="single" w:sz="4" w:space="0" w:color="A6A6A6" w:themeColor="background1" w:themeShade="A6"/>
            </w:tcBorders>
            <w:noWrap/>
          </w:tcPr>
          <w:p w14:paraId="3A73D321" w14:textId="77777777" w:rsidR="005B131E" w:rsidRPr="00BA7805" w:rsidRDefault="005B131E" w:rsidP="002542E1">
            <w:pPr>
              <w:pStyle w:val="ARfintablebodyright"/>
              <w:rPr>
                <w:highlight w:val="green"/>
              </w:rPr>
            </w:pPr>
            <w:r w:rsidRPr="00C75CDB">
              <w:t>40.0</w:t>
            </w:r>
          </w:p>
        </w:tc>
      </w:tr>
      <w:tr w:rsidR="005B131E" w:rsidRPr="00BA7805" w14:paraId="0F02812D" w14:textId="77777777" w:rsidTr="002542E1">
        <w:tc>
          <w:tcPr>
            <w:tcW w:w="6822" w:type="dxa"/>
          </w:tcPr>
          <w:p w14:paraId="65F0A98D" w14:textId="77777777" w:rsidR="005B131E" w:rsidRPr="00BA7805" w:rsidRDefault="005B131E" w:rsidP="002542E1">
            <w:pPr>
              <w:pStyle w:val="ARfintablebodybold"/>
              <w:rPr>
                <w:highlight w:val="green"/>
              </w:rPr>
            </w:pPr>
            <w:r w:rsidRPr="00C75CDB">
              <w:t>Total non-current borrowings</w:t>
            </w:r>
          </w:p>
        </w:tc>
        <w:tc>
          <w:tcPr>
            <w:tcW w:w="1407" w:type="dxa"/>
            <w:shd w:val="clear" w:color="auto" w:fill="E7E6E6" w:themeFill="accent4"/>
            <w:noWrap/>
          </w:tcPr>
          <w:p w14:paraId="5CA583E0" w14:textId="77777777" w:rsidR="005B131E" w:rsidRPr="00BA7805" w:rsidRDefault="005B131E" w:rsidP="002542E1">
            <w:pPr>
              <w:pStyle w:val="ARfintablebodyrightbold"/>
              <w:rPr>
                <w:highlight w:val="green"/>
              </w:rPr>
            </w:pPr>
            <w:r w:rsidRPr="00C75CDB">
              <w:t>469.2</w:t>
            </w:r>
          </w:p>
        </w:tc>
        <w:tc>
          <w:tcPr>
            <w:tcW w:w="1408" w:type="dxa"/>
            <w:noWrap/>
          </w:tcPr>
          <w:p w14:paraId="54C119AA" w14:textId="77777777" w:rsidR="005B131E" w:rsidRPr="00BA7805" w:rsidRDefault="005B131E" w:rsidP="002542E1">
            <w:pPr>
              <w:pStyle w:val="ARfintablebodyrightbold"/>
              <w:rPr>
                <w:highlight w:val="green"/>
              </w:rPr>
            </w:pPr>
            <w:r w:rsidRPr="00C75CDB">
              <w:t>348.7</w:t>
            </w:r>
          </w:p>
        </w:tc>
      </w:tr>
      <w:tr w:rsidR="005B131E" w:rsidRPr="00BA7805" w14:paraId="0F181383" w14:textId="77777777" w:rsidTr="002542E1">
        <w:tc>
          <w:tcPr>
            <w:tcW w:w="6822" w:type="dxa"/>
          </w:tcPr>
          <w:p w14:paraId="6E225CD5" w14:textId="77777777" w:rsidR="005B131E" w:rsidRPr="00BA7805" w:rsidRDefault="005B131E" w:rsidP="002542E1">
            <w:pPr>
              <w:pStyle w:val="ARfintablebodybold"/>
              <w:rPr>
                <w:highlight w:val="green"/>
              </w:rPr>
            </w:pPr>
            <w:r w:rsidRPr="00C75CDB">
              <w:t>Total borrowings</w:t>
            </w:r>
          </w:p>
        </w:tc>
        <w:tc>
          <w:tcPr>
            <w:tcW w:w="1407" w:type="dxa"/>
            <w:shd w:val="clear" w:color="auto" w:fill="E7E6E6" w:themeFill="accent4"/>
            <w:noWrap/>
          </w:tcPr>
          <w:p w14:paraId="37504E24" w14:textId="77777777" w:rsidR="005B131E" w:rsidRPr="00BA7805" w:rsidRDefault="005B131E" w:rsidP="002542E1">
            <w:pPr>
              <w:pStyle w:val="ARfintablebodyrightbold"/>
              <w:rPr>
                <w:highlight w:val="green"/>
              </w:rPr>
            </w:pPr>
            <w:r w:rsidRPr="00C75CDB">
              <w:t>537.2</w:t>
            </w:r>
          </w:p>
        </w:tc>
        <w:tc>
          <w:tcPr>
            <w:tcW w:w="1408" w:type="dxa"/>
            <w:noWrap/>
          </w:tcPr>
          <w:p w14:paraId="1ED2912C" w14:textId="77777777" w:rsidR="005B131E" w:rsidRPr="00BA7805" w:rsidRDefault="005B131E" w:rsidP="002542E1">
            <w:pPr>
              <w:pStyle w:val="ARfintablebodyrightbold"/>
              <w:rPr>
                <w:highlight w:val="green"/>
              </w:rPr>
            </w:pPr>
            <w:r w:rsidRPr="00C75CDB">
              <w:t>416.4</w:t>
            </w:r>
          </w:p>
        </w:tc>
      </w:tr>
    </w:tbl>
    <w:p w14:paraId="29B149DB" w14:textId="77777777" w:rsidR="005B131E" w:rsidRDefault="005B131E" w:rsidP="002542E1">
      <w:pPr>
        <w:pStyle w:val="ARfinbodyaftertable"/>
      </w:pPr>
      <w:r w:rsidRPr="00B429F2">
        <w:rPr>
          <w:rStyle w:val="Strong"/>
        </w:rPr>
        <w:t>Service concession financial liability</w:t>
      </w:r>
      <w:r>
        <w:t xml:space="preserve"> relates to the Ground Lease Model – public housing renewal program arrangement recognised applying AASB 1059. Interest is charged on the liability and recognised in the interest expense section below. The liability is reduced over the term of the arrangement through quarterly cash payments to the operator. Further information is included in Note 7.5.3 Service concession arrangements. </w:t>
      </w:r>
    </w:p>
    <w:p w14:paraId="116B120E" w14:textId="499145FD" w:rsidR="005B131E" w:rsidRDefault="005B131E" w:rsidP="002542E1">
      <w:pPr>
        <w:pStyle w:val="ARfinbody"/>
      </w:pPr>
      <w:r w:rsidRPr="00B429F2">
        <w:rPr>
          <w:rStyle w:val="Strong"/>
        </w:rPr>
        <w:t>Borrowings</w:t>
      </w:r>
      <w:r>
        <w:t xml:space="preserve"> are classified as financial instruments. All interest-bearing liabilities are initially recognised at the fair value of the consideration received, less directly attributable transaction costs. The measurement basis subsequent to initial recognition depends on whether the department has categorised its interest-bearing liabilities as either </w:t>
      </w:r>
      <w:r w:rsidR="00711AE6">
        <w:t>‘</w:t>
      </w:r>
      <w:r>
        <w:t>financial liabilities designated at fair value through profit or loss</w:t>
      </w:r>
      <w:r w:rsidR="00711AE6">
        <w:t>’</w:t>
      </w:r>
      <w:r>
        <w:t xml:space="preserve">, or financial liabilities at </w:t>
      </w:r>
      <w:r w:rsidR="00711AE6">
        <w:t>‘</w:t>
      </w:r>
      <w:r>
        <w:t>amortised cost</w:t>
      </w:r>
      <w:r w:rsidR="00711AE6">
        <w:t>’</w:t>
      </w:r>
      <w:r>
        <w:t>. The classification depends on the nature and purpose of the interest-bearing liabilities. The department determines the classification of interest-bearing liabilities at initial recognition.</w:t>
      </w:r>
    </w:p>
    <w:p w14:paraId="53A05F1A" w14:textId="77777777" w:rsidR="005B131E" w:rsidRDefault="005B131E" w:rsidP="002542E1">
      <w:pPr>
        <w:pStyle w:val="ARfinbody"/>
      </w:pPr>
      <w:r w:rsidRPr="00B429F2">
        <w:rPr>
          <w:rStyle w:val="Strong"/>
        </w:rPr>
        <w:t>Defaults and breaches:</w:t>
      </w:r>
      <w:r>
        <w:t xml:space="preserve"> During the current and previous financial year, there were no defaults or breaches of required conditions in relation to any of the borrowings.</w:t>
      </w:r>
    </w:p>
    <w:p w14:paraId="4A6D553E" w14:textId="77777777" w:rsidR="005B131E" w:rsidRPr="00BA7805" w:rsidRDefault="005B131E" w:rsidP="002542E1">
      <w:pPr>
        <w:pStyle w:val="ARfinbody"/>
        <w:rPr>
          <w:highlight w:val="green"/>
        </w:rPr>
      </w:pPr>
      <w:r w:rsidRPr="00B429F2">
        <w:rPr>
          <w:rStyle w:val="Strong"/>
        </w:rPr>
        <w:t>Advances from Victorian Government</w:t>
      </w:r>
      <w:r>
        <w:t xml:space="preserve"> are advances from the Department of Treasury and Finance. These advances are non-interest bearing.</w:t>
      </w:r>
    </w:p>
    <w:p w14:paraId="5F6BFB78" w14:textId="77777777" w:rsidR="005B131E" w:rsidRPr="00FB4CC1" w:rsidRDefault="005B131E" w:rsidP="002542E1">
      <w:pPr>
        <w:pStyle w:val="Heading4"/>
      </w:pPr>
      <w:r w:rsidRPr="00FB4CC1">
        <w:t>7.2 Maturity analysis of borrowings</w:t>
      </w:r>
    </w:p>
    <w:tbl>
      <w:tblPr>
        <w:tblStyle w:val="TableGrid"/>
        <w:tblW w:w="9637" w:type="dxa"/>
        <w:tblLayout w:type="fixed"/>
        <w:tblLook w:val="06A0" w:firstRow="1" w:lastRow="0" w:firstColumn="1" w:lastColumn="0" w:noHBand="1" w:noVBand="1"/>
      </w:tblPr>
      <w:tblGrid>
        <w:gridCol w:w="2495"/>
        <w:gridCol w:w="1021"/>
        <w:gridCol w:w="1021"/>
        <w:gridCol w:w="1020"/>
        <w:gridCol w:w="1020"/>
        <w:gridCol w:w="1020"/>
        <w:gridCol w:w="1020"/>
        <w:gridCol w:w="1020"/>
      </w:tblGrid>
      <w:tr w:rsidR="005B131E" w:rsidRPr="00BA7805" w14:paraId="62DF2742"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val="restart"/>
            <w:noWrap/>
            <w:hideMark/>
          </w:tcPr>
          <w:p w14:paraId="4C9B2387" w14:textId="77777777" w:rsidR="005B131E" w:rsidRPr="00BA7805" w:rsidRDefault="005B131E">
            <w:pPr>
              <w:pStyle w:val="ARfintablecolhead"/>
              <w:rPr>
                <w:highlight w:val="green"/>
              </w:rPr>
            </w:pPr>
          </w:p>
        </w:tc>
        <w:tc>
          <w:tcPr>
            <w:tcW w:w="1021" w:type="dxa"/>
            <w:vMerge w:val="restart"/>
            <w:noWrap/>
            <w:hideMark/>
          </w:tcPr>
          <w:p w14:paraId="76AED253" w14:textId="77777777" w:rsidR="005B131E" w:rsidRPr="00FB4CC1" w:rsidRDefault="005B131E">
            <w:pPr>
              <w:pStyle w:val="ARfintablecolheadright"/>
              <w:ind w:right="0"/>
            </w:pPr>
            <w:r w:rsidRPr="00FB4CC1">
              <w:t>Carrying amount</w:t>
            </w:r>
          </w:p>
          <w:p w14:paraId="2BC7A3A7" w14:textId="77777777" w:rsidR="005B131E" w:rsidRPr="00FB4CC1" w:rsidRDefault="005B131E">
            <w:pPr>
              <w:pStyle w:val="ARfintablecolheadright"/>
              <w:ind w:right="0"/>
            </w:pPr>
            <w:r w:rsidRPr="00FB4CC1">
              <w:t>$M</w:t>
            </w:r>
          </w:p>
        </w:tc>
        <w:tc>
          <w:tcPr>
            <w:tcW w:w="1021" w:type="dxa"/>
            <w:vMerge w:val="restart"/>
            <w:noWrap/>
            <w:hideMark/>
          </w:tcPr>
          <w:p w14:paraId="24DE0DEB" w14:textId="77777777" w:rsidR="005B131E" w:rsidRPr="00FB4CC1" w:rsidRDefault="005B131E">
            <w:pPr>
              <w:pStyle w:val="ARfintablecolheadright"/>
              <w:ind w:right="0"/>
            </w:pPr>
            <w:r w:rsidRPr="00FB4CC1">
              <w:t>Nominal amount</w:t>
            </w:r>
          </w:p>
          <w:p w14:paraId="75C8B873" w14:textId="77777777" w:rsidR="005B131E" w:rsidRPr="00FB4CC1" w:rsidRDefault="005B131E">
            <w:pPr>
              <w:pStyle w:val="ARfintablecolheadright"/>
              <w:ind w:right="0"/>
            </w:pPr>
            <w:r w:rsidRPr="00FB4CC1">
              <w:t>$M</w:t>
            </w:r>
          </w:p>
        </w:tc>
        <w:tc>
          <w:tcPr>
            <w:tcW w:w="5100" w:type="dxa"/>
            <w:gridSpan w:val="5"/>
            <w:shd w:val="clear" w:color="auto" w:fill="E7E6E6" w:themeFill="accent4"/>
            <w:noWrap/>
            <w:hideMark/>
          </w:tcPr>
          <w:p w14:paraId="305909F1" w14:textId="77777777" w:rsidR="005B131E" w:rsidRPr="00FB4CC1" w:rsidRDefault="005B131E">
            <w:pPr>
              <w:pStyle w:val="ARfintablecolheadcentre"/>
            </w:pPr>
            <w:r w:rsidRPr="00FB4CC1">
              <w:t>Maturity dates</w:t>
            </w:r>
          </w:p>
        </w:tc>
      </w:tr>
      <w:tr w:rsidR="005B131E" w:rsidRPr="00BA7805" w14:paraId="26DF5A0F"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tcBorders>
              <w:bottom w:val="single" w:sz="4" w:space="0" w:color="auto"/>
            </w:tcBorders>
            <w:hideMark/>
          </w:tcPr>
          <w:p w14:paraId="25F1FE79" w14:textId="77777777" w:rsidR="005B131E" w:rsidRPr="00BA7805" w:rsidRDefault="005B131E">
            <w:pPr>
              <w:pStyle w:val="ARfintablecolhead"/>
              <w:rPr>
                <w:highlight w:val="green"/>
              </w:rPr>
            </w:pPr>
          </w:p>
        </w:tc>
        <w:tc>
          <w:tcPr>
            <w:tcW w:w="1021" w:type="dxa"/>
            <w:vMerge/>
            <w:tcBorders>
              <w:bottom w:val="single" w:sz="4" w:space="0" w:color="auto"/>
            </w:tcBorders>
            <w:hideMark/>
          </w:tcPr>
          <w:p w14:paraId="4FBC2639" w14:textId="77777777" w:rsidR="005B131E" w:rsidRPr="00FB4CC1" w:rsidRDefault="005B131E">
            <w:pPr>
              <w:pStyle w:val="ARfintablecolheadright"/>
              <w:ind w:right="0"/>
            </w:pPr>
          </w:p>
        </w:tc>
        <w:tc>
          <w:tcPr>
            <w:tcW w:w="1021" w:type="dxa"/>
            <w:vMerge/>
            <w:tcBorders>
              <w:bottom w:val="single" w:sz="4" w:space="0" w:color="auto"/>
            </w:tcBorders>
            <w:hideMark/>
          </w:tcPr>
          <w:p w14:paraId="00133061" w14:textId="77777777" w:rsidR="005B131E" w:rsidRPr="00FB4CC1" w:rsidRDefault="005B131E">
            <w:pPr>
              <w:pStyle w:val="ARfintablecolheadright"/>
              <w:ind w:right="0"/>
            </w:pPr>
          </w:p>
        </w:tc>
        <w:tc>
          <w:tcPr>
            <w:tcW w:w="1020" w:type="dxa"/>
            <w:tcBorders>
              <w:bottom w:val="single" w:sz="4" w:space="0" w:color="auto"/>
            </w:tcBorders>
            <w:shd w:val="clear" w:color="auto" w:fill="E7E6E6" w:themeFill="accent4"/>
            <w:hideMark/>
          </w:tcPr>
          <w:p w14:paraId="7B339A47" w14:textId="77777777" w:rsidR="005B131E" w:rsidRPr="00FB4CC1" w:rsidRDefault="005B131E">
            <w:pPr>
              <w:pStyle w:val="ARfintablecolheadright"/>
              <w:ind w:right="0"/>
            </w:pPr>
            <w:r w:rsidRPr="00FB4CC1">
              <w:t>Less than 1 month</w:t>
            </w:r>
          </w:p>
          <w:p w14:paraId="05B299F9" w14:textId="77777777" w:rsidR="005B131E" w:rsidRPr="00FB4CC1" w:rsidRDefault="005B131E">
            <w:pPr>
              <w:pStyle w:val="ARfintablecolheadright"/>
              <w:ind w:right="0"/>
            </w:pPr>
            <w:r w:rsidRPr="00FB4CC1">
              <w:t>$M</w:t>
            </w:r>
          </w:p>
        </w:tc>
        <w:tc>
          <w:tcPr>
            <w:tcW w:w="1020" w:type="dxa"/>
            <w:tcBorders>
              <w:bottom w:val="single" w:sz="4" w:space="0" w:color="auto"/>
            </w:tcBorders>
            <w:shd w:val="clear" w:color="auto" w:fill="E7E6E6" w:themeFill="accent4"/>
            <w:hideMark/>
          </w:tcPr>
          <w:p w14:paraId="2FC9903E" w14:textId="77777777" w:rsidR="005B131E" w:rsidRPr="00FB4CC1" w:rsidRDefault="005B131E">
            <w:pPr>
              <w:pStyle w:val="ARfintablecolheadright"/>
              <w:ind w:right="0"/>
            </w:pPr>
            <w:r w:rsidRPr="00FB4CC1">
              <w:t>1–3 months</w:t>
            </w:r>
          </w:p>
          <w:p w14:paraId="62AF697F" w14:textId="77777777" w:rsidR="005B131E" w:rsidRPr="00FB4CC1" w:rsidRDefault="005B131E">
            <w:pPr>
              <w:pStyle w:val="ARfintablecolheadright"/>
              <w:ind w:right="0"/>
            </w:pPr>
            <w:r w:rsidRPr="00FB4CC1">
              <w:t>$M</w:t>
            </w:r>
          </w:p>
        </w:tc>
        <w:tc>
          <w:tcPr>
            <w:tcW w:w="1020" w:type="dxa"/>
            <w:tcBorders>
              <w:bottom w:val="single" w:sz="4" w:space="0" w:color="auto"/>
            </w:tcBorders>
            <w:shd w:val="clear" w:color="auto" w:fill="E7E6E6" w:themeFill="accent4"/>
            <w:hideMark/>
          </w:tcPr>
          <w:p w14:paraId="7E6F1835" w14:textId="77777777" w:rsidR="005B131E" w:rsidRPr="00FB4CC1" w:rsidRDefault="005B131E">
            <w:pPr>
              <w:pStyle w:val="ARfintablecolheadright"/>
              <w:ind w:right="0"/>
            </w:pPr>
            <w:r w:rsidRPr="00FB4CC1">
              <w:t>3 months – 1 year</w:t>
            </w:r>
          </w:p>
          <w:p w14:paraId="070098C0" w14:textId="77777777" w:rsidR="005B131E" w:rsidRPr="00FB4CC1" w:rsidRDefault="005B131E">
            <w:pPr>
              <w:pStyle w:val="ARfintablecolheadright"/>
              <w:ind w:right="0"/>
            </w:pPr>
            <w:r w:rsidRPr="00FB4CC1">
              <w:t>$M</w:t>
            </w:r>
          </w:p>
        </w:tc>
        <w:tc>
          <w:tcPr>
            <w:tcW w:w="1020" w:type="dxa"/>
            <w:tcBorders>
              <w:bottom w:val="single" w:sz="4" w:space="0" w:color="auto"/>
            </w:tcBorders>
            <w:shd w:val="clear" w:color="auto" w:fill="E7E6E6" w:themeFill="accent4"/>
            <w:hideMark/>
          </w:tcPr>
          <w:p w14:paraId="3CF0BC04" w14:textId="77777777" w:rsidR="005B131E" w:rsidRPr="00FB4CC1" w:rsidRDefault="005B131E">
            <w:pPr>
              <w:pStyle w:val="ARfintablecolheadright"/>
              <w:ind w:right="0"/>
            </w:pPr>
            <w:r w:rsidRPr="00FB4CC1">
              <w:t>1–5 years</w:t>
            </w:r>
          </w:p>
          <w:p w14:paraId="7A69BD1E" w14:textId="77777777" w:rsidR="005B131E" w:rsidRPr="00FB4CC1" w:rsidRDefault="005B131E">
            <w:pPr>
              <w:pStyle w:val="ARfintablecolheadright"/>
              <w:ind w:right="0"/>
            </w:pPr>
            <w:r w:rsidRPr="00FB4CC1">
              <w:t>$M</w:t>
            </w:r>
          </w:p>
        </w:tc>
        <w:tc>
          <w:tcPr>
            <w:tcW w:w="1020" w:type="dxa"/>
            <w:tcBorders>
              <w:bottom w:val="single" w:sz="4" w:space="0" w:color="auto"/>
            </w:tcBorders>
            <w:shd w:val="clear" w:color="auto" w:fill="E7E6E6" w:themeFill="accent4"/>
            <w:hideMark/>
          </w:tcPr>
          <w:p w14:paraId="458915AB" w14:textId="77777777" w:rsidR="005B131E" w:rsidRPr="00FB4CC1" w:rsidRDefault="005B131E">
            <w:pPr>
              <w:pStyle w:val="ARfintablecolheadright"/>
              <w:ind w:right="0"/>
            </w:pPr>
            <w:r w:rsidRPr="00FB4CC1">
              <w:t>5+ years</w:t>
            </w:r>
          </w:p>
          <w:p w14:paraId="37111F02" w14:textId="77777777" w:rsidR="005B131E" w:rsidRPr="00FB4CC1" w:rsidRDefault="005B131E">
            <w:pPr>
              <w:pStyle w:val="ARfintablecolheadright"/>
              <w:ind w:right="0"/>
            </w:pPr>
            <w:r w:rsidRPr="00FB4CC1">
              <w:t>$M</w:t>
            </w:r>
          </w:p>
        </w:tc>
      </w:tr>
      <w:tr w:rsidR="005B131E" w:rsidRPr="00BA7805" w14:paraId="396DDD5B" w14:textId="77777777" w:rsidTr="002542E1">
        <w:trPr>
          <w:trHeight w:val="255"/>
        </w:trPr>
        <w:tc>
          <w:tcPr>
            <w:tcW w:w="9637" w:type="dxa"/>
            <w:gridSpan w:val="8"/>
            <w:tcBorders>
              <w:top w:val="single" w:sz="4" w:space="0" w:color="auto"/>
              <w:bottom w:val="single" w:sz="4" w:space="0" w:color="A6A6A6"/>
            </w:tcBorders>
            <w:shd w:val="clear" w:color="auto" w:fill="auto"/>
            <w:hideMark/>
          </w:tcPr>
          <w:p w14:paraId="618EAC1E" w14:textId="77777777" w:rsidR="005B131E" w:rsidRPr="00BA7805" w:rsidRDefault="005B131E">
            <w:pPr>
              <w:pStyle w:val="ARfintablebodybold"/>
              <w:rPr>
                <w:highlight w:val="green"/>
              </w:rPr>
            </w:pPr>
            <w:r w:rsidRPr="00715772">
              <w:t>2024</w:t>
            </w:r>
          </w:p>
        </w:tc>
      </w:tr>
      <w:tr w:rsidR="005B131E" w:rsidRPr="00BA7805" w14:paraId="20B261E9" w14:textId="77777777" w:rsidTr="002542E1">
        <w:trPr>
          <w:trHeight w:val="255"/>
        </w:trPr>
        <w:tc>
          <w:tcPr>
            <w:tcW w:w="2495" w:type="dxa"/>
            <w:tcBorders>
              <w:top w:val="single" w:sz="4" w:space="0" w:color="A6A6A6"/>
              <w:bottom w:val="single" w:sz="4" w:space="0" w:color="A6A6A6"/>
            </w:tcBorders>
          </w:tcPr>
          <w:p w14:paraId="46D1B976" w14:textId="77777777" w:rsidR="005B131E" w:rsidRPr="00BA7805" w:rsidRDefault="005B131E" w:rsidP="002542E1">
            <w:pPr>
              <w:pStyle w:val="ARfintablebody"/>
              <w:rPr>
                <w:highlight w:val="green"/>
              </w:rPr>
            </w:pPr>
            <w:r w:rsidRPr="005428C7">
              <w:t>Advances from Victorian</w:t>
            </w:r>
            <w:r>
              <w:t> </w:t>
            </w:r>
            <w:r w:rsidRPr="005428C7">
              <w:t>Government</w:t>
            </w:r>
          </w:p>
        </w:tc>
        <w:tc>
          <w:tcPr>
            <w:tcW w:w="1021" w:type="dxa"/>
            <w:tcBorders>
              <w:top w:val="single" w:sz="4" w:space="0" w:color="A6A6A6"/>
              <w:bottom w:val="single" w:sz="4" w:space="0" w:color="A6A6A6"/>
            </w:tcBorders>
            <w:noWrap/>
          </w:tcPr>
          <w:p w14:paraId="76C4AFB1" w14:textId="77777777" w:rsidR="005B131E" w:rsidRPr="00BA7805" w:rsidRDefault="005B131E" w:rsidP="002542E1">
            <w:pPr>
              <w:pStyle w:val="ARfintablebodyright"/>
              <w:ind w:right="0"/>
              <w:rPr>
                <w:highlight w:val="green"/>
              </w:rPr>
            </w:pPr>
            <w:r w:rsidRPr="005428C7">
              <w:t>166.3</w:t>
            </w:r>
          </w:p>
        </w:tc>
        <w:tc>
          <w:tcPr>
            <w:tcW w:w="1021" w:type="dxa"/>
            <w:tcBorders>
              <w:top w:val="single" w:sz="4" w:space="0" w:color="A6A6A6"/>
              <w:bottom w:val="single" w:sz="4" w:space="0" w:color="A6A6A6"/>
            </w:tcBorders>
            <w:noWrap/>
          </w:tcPr>
          <w:p w14:paraId="7295129B" w14:textId="77777777" w:rsidR="005B131E" w:rsidRPr="00BA7805" w:rsidRDefault="005B131E" w:rsidP="002542E1">
            <w:pPr>
              <w:pStyle w:val="ARfintablebodyright"/>
              <w:ind w:right="0"/>
              <w:rPr>
                <w:highlight w:val="green"/>
              </w:rPr>
            </w:pPr>
            <w:r w:rsidRPr="005428C7">
              <w:t>166.3</w:t>
            </w:r>
          </w:p>
        </w:tc>
        <w:tc>
          <w:tcPr>
            <w:tcW w:w="1020" w:type="dxa"/>
            <w:tcBorders>
              <w:top w:val="single" w:sz="4" w:space="0" w:color="A6A6A6"/>
              <w:bottom w:val="single" w:sz="4" w:space="0" w:color="A6A6A6"/>
            </w:tcBorders>
            <w:shd w:val="clear" w:color="auto" w:fill="E7E6E6" w:themeFill="accent4"/>
            <w:noWrap/>
          </w:tcPr>
          <w:p w14:paraId="5BF7C782" w14:textId="77777777" w:rsidR="005B131E" w:rsidRPr="00BA7805" w:rsidRDefault="005B131E" w:rsidP="002542E1">
            <w:pPr>
              <w:pStyle w:val="ARfintablebodyright"/>
              <w:ind w:right="0"/>
              <w:rPr>
                <w:highlight w:val="green"/>
              </w:rPr>
            </w:pPr>
            <w:r w:rsidRPr="005428C7">
              <w:t>33.5</w:t>
            </w:r>
          </w:p>
        </w:tc>
        <w:tc>
          <w:tcPr>
            <w:tcW w:w="1020" w:type="dxa"/>
            <w:tcBorders>
              <w:top w:val="single" w:sz="4" w:space="0" w:color="A6A6A6"/>
              <w:bottom w:val="single" w:sz="4" w:space="0" w:color="A6A6A6"/>
            </w:tcBorders>
            <w:shd w:val="clear" w:color="auto" w:fill="E7E6E6" w:themeFill="accent4"/>
            <w:noWrap/>
          </w:tcPr>
          <w:p w14:paraId="4BADA22A" w14:textId="77777777" w:rsidR="005B131E" w:rsidRPr="00BA7805" w:rsidRDefault="005B131E" w:rsidP="002542E1">
            <w:pPr>
              <w:pStyle w:val="ARfintablebodyright"/>
              <w:ind w:right="0"/>
              <w:rPr>
                <w:highlight w:val="green"/>
              </w:rPr>
            </w:pPr>
            <w:r>
              <w:t>–</w:t>
            </w:r>
          </w:p>
        </w:tc>
        <w:tc>
          <w:tcPr>
            <w:tcW w:w="1020" w:type="dxa"/>
            <w:tcBorders>
              <w:top w:val="single" w:sz="4" w:space="0" w:color="A6A6A6"/>
              <w:bottom w:val="single" w:sz="4" w:space="0" w:color="A6A6A6"/>
            </w:tcBorders>
            <w:shd w:val="clear" w:color="auto" w:fill="E7E6E6" w:themeFill="accent4"/>
            <w:noWrap/>
          </w:tcPr>
          <w:p w14:paraId="5F32FA3A" w14:textId="77777777" w:rsidR="005B131E" w:rsidRPr="00BA7805" w:rsidRDefault="005B131E" w:rsidP="002542E1">
            <w:pPr>
              <w:pStyle w:val="ARfintablebodyright"/>
              <w:ind w:right="0"/>
              <w:rPr>
                <w:highlight w:val="green"/>
              </w:rPr>
            </w:pPr>
            <w:r w:rsidRPr="005428C7">
              <w:t>1.9</w:t>
            </w:r>
          </w:p>
        </w:tc>
        <w:tc>
          <w:tcPr>
            <w:tcW w:w="1020" w:type="dxa"/>
            <w:tcBorders>
              <w:top w:val="single" w:sz="4" w:space="0" w:color="A6A6A6"/>
              <w:bottom w:val="single" w:sz="4" w:space="0" w:color="A6A6A6"/>
            </w:tcBorders>
            <w:shd w:val="clear" w:color="auto" w:fill="E7E6E6" w:themeFill="accent4"/>
            <w:noWrap/>
          </w:tcPr>
          <w:p w14:paraId="41B65C29" w14:textId="77777777" w:rsidR="005B131E" w:rsidRPr="00BA7805" w:rsidRDefault="005B131E" w:rsidP="002542E1">
            <w:pPr>
              <w:pStyle w:val="ARfintablebodyright"/>
              <w:ind w:right="0"/>
              <w:rPr>
                <w:highlight w:val="green"/>
              </w:rPr>
            </w:pPr>
            <w:r w:rsidRPr="005428C7">
              <w:t>130.9</w:t>
            </w:r>
          </w:p>
        </w:tc>
        <w:tc>
          <w:tcPr>
            <w:tcW w:w="1020" w:type="dxa"/>
            <w:tcBorders>
              <w:top w:val="single" w:sz="4" w:space="0" w:color="A6A6A6"/>
              <w:bottom w:val="single" w:sz="4" w:space="0" w:color="A6A6A6"/>
            </w:tcBorders>
            <w:shd w:val="clear" w:color="auto" w:fill="E7E6E6" w:themeFill="accent4"/>
            <w:noWrap/>
          </w:tcPr>
          <w:p w14:paraId="0BFA699D" w14:textId="77777777" w:rsidR="005B131E" w:rsidRPr="00BA7805" w:rsidRDefault="005B131E" w:rsidP="002542E1">
            <w:pPr>
              <w:pStyle w:val="ARfintablebodyright"/>
              <w:ind w:right="0"/>
              <w:rPr>
                <w:highlight w:val="green"/>
              </w:rPr>
            </w:pPr>
            <w:r>
              <w:t>–</w:t>
            </w:r>
          </w:p>
        </w:tc>
      </w:tr>
      <w:tr w:rsidR="005B131E" w:rsidRPr="00BA7805" w14:paraId="6C5C0F02" w14:textId="77777777" w:rsidTr="002542E1">
        <w:trPr>
          <w:trHeight w:val="255"/>
        </w:trPr>
        <w:tc>
          <w:tcPr>
            <w:tcW w:w="2495" w:type="dxa"/>
            <w:tcBorders>
              <w:top w:val="single" w:sz="4" w:space="0" w:color="A6A6A6"/>
              <w:bottom w:val="single" w:sz="4" w:space="0" w:color="A6A6A6"/>
            </w:tcBorders>
          </w:tcPr>
          <w:p w14:paraId="7662F21F" w14:textId="77777777" w:rsidR="005B131E" w:rsidRPr="00BA7805" w:rsidRDefault="005B131E" w:rsidP="002542E1">
            <w:pPr>
              <w:pStyle w:val="ARfintablebody"/>
              <w:rPr>
                <w:highlight w:val="green"/>
              </w:rPr>
            </w:pPr>
            <w:r w:rsidRPr="005428C7">
              <w:t>Service concession financial</w:t>
            </w:r>
            <w:r>
              <w:t> </w:t>
            </w:r>
            <w:r w:rsidRPr="005428C7">
              <w:t>liability</w:t>
            </w:r>
          </w:p>
        </w:tc>
        <w:tc>
          <w:tcPr>
            <w:tcW w:w="1021" w:type="dxa"/>
            <w:tcBorders>
              <w:top w:val="single" w:sz="4" w:space="0" w:color="A6A6A6"/>
              <w:bottom w:val="single" w:sz="4" w:space="0" w:color="A6A6A6"/>
            </w:tcBorders>
            <w:noWrap/>
          </w:tcPr>
          <w:p w14:paraId="4CEF7E3B" w14:textId="77777777" w:rsidR="005B131E" w:rsidRPr="00BA7805" w:rsidRDefault="005B131E" w:rsidP="002542E1">
            <w:pPr>
              <w:pStyle w:val="ARfintablebodyright"/>
              <w:ind w:right="0"/>
              <w:rPr>
                <w:highlight w:val="green"/>
              </w:rPr>
            </w:pPr>
            <w:r w:rsidRPr="005428C7">
              <w:t>289.6</w:t>
            </w:r>
          </w:p>
        </w:tc>
        <w:tc>
          <w:tcPr>
            <w:tcW w:w="1021" w:type="dxa"/>
            <w:tcBorders>
              <w:top w:val="single" w:sz="4" w:space="0" w:color="A6A6A6"/>
              <w:bottom w:val="single" w:sz="4" w:space="0" w:color="A6A6A6"/>
            </w:tcBorders>
            <w:noWrap/>
          </w:tcPr>
          <w:p w14:paraId="1ACA77BA" w14:textId="77777777" w:rsidR="005B131E" w:rsidRPr="00BA7805" w:rsidRDefault="005B131E" w:rsidP="002542E1">
            <w:pPr>
              <w:pStyle w:val="ARfintablebodyright"/>
              <w:ind w:right="0"/>
              <w:rPr>
                <w:highlight w:val="green"/>
              </w:rPr>
            </w:pPr>
            <w:r w:rsidRPr="005428C7">
              <w:t>703.8</w:t>
            </w:r>
          </w:p>
        </w:tc>
        <w:tc>
          <w:tcPr>
            <w:tcW w:w="1020" w:type="dxa"/>
            <w:tcBorders>
              <w:top w:val="single" w:sz="4" w:space="0" w:color="A6A6A6"/>
              <w:bottom w:val="single" w:sz="4" w:space="0" w:color="A6A6A6"/>
            </w:tcBorders>
            <w:shd w:val="clear" w:color="auto" w:fill="E7E6E6" w:themeFill="accent4"/>
            <w:noWrap/>
          </w:tcPr>
          <w:p w14:paraId="645FC953" w14:textId="77777777" w:rsidR="005B131E" w:rsidRPr="00BA7805" w:rsidRDefault="005B131E" w:rsidP="002542E1">
            <w:pPr>
              <w:pStyle w:val="ARfintablebodyright"/>
              <w:ind w:right="0"/>
              <w:rPr>
                <w:highlight w:val="green"/>
              </w:rPr>
            </w:pPr>
            <w:r>
              <w:t>–</w:t>
            </w:r>
          </w:p>
        </w:tc>
        <w:tc>
          <w:tcPr>
            <w:tcW w:w="1020" w:type="dxa"/>
            <w:tcBorders>
              <w:top w:val="single" w:sz="4" w:space="0" w:color="A6A6A6"/>
              <w:bottom w:val="single" w:sz="4" w:space="0" w:color="A6A6A6"/>
            </w:tcBorders>
            <w:shd w:val="clear" w:color="auto" w:fill="E7E6E6" w:themeFill="accent4"/>
            <w:noWrap/>
          </w:tcPr>
          <w:p w14:paraId="49BB5C2E" w14:textId="77777777" w:rsidR="005B131E" w:rsidRPr="00BA7805" w:rsidRDefault="005B131E" w:rsidP="002542E1">
            <w:pPr>
              <w:pStyle w:val="ARfintablebodyright"/>
              <w:ind w:right="0"/>
              <w:rPr>
                <w:highlight w:val="green"/>
              </w:rPr>
            </w:pPr>
            <w:r w:rsidRPr="005428C7">
              <w:t>0.4</w:t>
            </w:r>
          </w:p>
        </w:tc>
        <w:tc>
          <w:tcPr>
            <w:tcW w:w="1020" w:type="dxa"/>
            <w:tcBorders>
              <w:top w:val="single" w:sz="4" w:space="0" w:color="A6A6A6"/>
              <w:bottom w:val="single" w:sz="4" w:space="0" w:color="A6A6A6"/>
            </w:tcBorders>
            <w:shd w:val="clear" w:color="auto" w:fill="E7E6E6" w:themeFill="accent4"/>
            <w:noWrap/>
          </w:tcPr>
          <w:p w14:paraId="33CC212F" w14:textId="77777777" w:rsidR="005B131E" w:rsidRPr="00BA7805" w:rsidRDefault="005B131E" w:rsidP="002542E1">
            <w:pPr>
              <w:pStyle w:val="ARfintablebodyright"/>
              <w:ind w:right="0"/>
              <w:rPr>
                <w:highlight w:val="green"/>
              </w:rPr>
            </w:pPr>
            <w:r w:rsidRPr="005428C7">
              <w:t>1.4</w:t>
            </w:r>
          </w:p>
        </w:tc>
        <w:tc>
          <w:tcPr>
            <w:tcW w:w="1020" w:type="dxa"/>
            <w:tcBorders>
              <w:top w:val="single" w:sz="4" w:space="0" w:color="A6A6A6"/>
              <w:bottom w:val="single" w:sz="4" w:space="0" w:color="A6A6A6"/>
            </w:tcBorders>
            <w:shd w:val="clear" w:color="auto" w:fill="E7E6E6" w:themeFill="accent4"/>
            <w:noWrap/>
          </w:tcPr>
          <w:p w14:paraId="3921E510" w14:textId="77777777" w:rsidR="005B131E" w:rsidRPr="00BA7805" w:rsidRDefault="005B131E" w:rsidP="002542E1">
            <w:pPr>
              <w:pStyle w:val="ARfintablebodyright"/>
              <w:ind w:right="0"/>
              <w:rPr>
                <w:highlight w:val="green"/>
              </w:rPr>
            </w:pPr>
            <w:r w:rsidRPr="005428C7">
              <w:t>28.5</w:t>
            </w:r>
          </w:p>
        </w:tc>
        <w:tc>
          <w:tcPr>
            <w:tcW w:w="1020" w:type="dxa"/>
            <w:tcBorders>
              <w:top w:val="single" w:sz="4" w:space="0" w:color="A6A6A6"/>
              <w:bottom w:val="single" w:sz="4" w:space="0" w:color="A6A6A6"/>
            </w:tcBorders>
            <w:shd w:val="clear" w:color="auto" w:fill="E7E6E6" w:themeFill="accent4"/>
            <w:noWrap/>
          </w:tcPr>
          <w:p w14:paraId="645D5A3F" w14:textId="77777777" w:rsidR="005B131E" w:rsidRPr="00BA7805" w:rsidRDefault="005B131E" w:rsidP="002542E1">
            <w:pPr>
              <w:pStyle w:val="ARfintablebodyright"/>
              <w:ind w:right="0"/>
              <w:rPr>
                <w:highlight w:val="green"/>
              </w:rPr>
            </w:pPr>
            <w:r w:rsidRPr="005428C7">
              <w:t>673.4</w:t>
            </w:r>
          </w:p>
        </w:tc>
      </w:tr>
      <w:tr w:rsidR="005B131E" w:rsidRPr="00BA7805" w14:paraId="50D440B6" w14:textId="77777777" w:rsidTr="002542E1">
        <w:trPr>
          <w:trHeight w:val="255"/>
        </w:trPr>
        <w:tc>
          <w:tcPr>
            <w:tcW w:w="2495" w:type="dxa"/>
            <w:tcBorders>
              <w:top w:val="single" w:sz="4" w:space="0" w:color="A6A6A6"/>
            </w:tcBorders>
          </w:tcPr>
          <w:p w14:paraId="22B89DB0" w14:textId="77777777" w:rsidR="005B131E" w:rsidRPr="00BA7805" w:rsidRDefault="005B131E" w:rsidP="002542E1">
            <w:pPr>
              <w:pStyle w:val="ARfintablebody"/>
              <w:rPr>
                <w:highlight w:val="green"/>
              </w:rPr>
            </w:pPr>
            <w:r w:rsidRPr="005428C7">
              <w:t>Lease liabilities</w:t>
            </w:r>
          </w:p>
        </w:tc>
        <w:tc>
          <w:tcPr>
            <w:tcW w:w="1021" w:type="dxa"/>
            <w:tcBorders>
              <w:top w:val="single" w:sz="4" w:space="0" w:color="A6A6A6"/>
            </w:tcBorders>
            <w:noWrap/>
          </w:tcPr>
          <w:p w14:paraId="1F863A63" w14:textId="77777777" w:rsidR="005B131E" w:rsidRPr="00BA7805" w:rsidRDefault="005B131E" w:rsidP="002542E1">
            <w:pPr>
              <w:pStyle w:val="ARfintablebodyright"/>
              <w:ind w:right="0"/>
              <w:rPr>
                <w:highlight w:val="green"/>
              </w:rPr>
            </w:pPr>
            <w:r w:rsidRPr="005428C7">
              <w:t>81.3</w:t>
            </w:r>
          </w:p>
        </w:tc>
        <w:tc>
          <w:tcPr>
            <w:tcW w:w="1021" w:type="dxa"/>
            <w:tcBorders>
              <w:top w:val="single" w:sz="4" w:space="0" w:color="A6A6A6"/>
            </w:tcBorders>
            <w:noWrap/>
          </w:tcPr>
          <w:p w14:paraId="7B7AAC72" w14:textId="77777777" w:rsidR="005B131E" w:rsidRPr="00BA7805" w:rsidRDefault="005B131E" w:rsidP="002542E1">
            <w:pPr>
              <w:pStyle w:val="ARfintablebodyright"/>
              <w:ind w:right="0"/>
              <w:rPr>
                <w:highlight w:val="green"/>
              </w:rPr>
            </w:pPr>
            <w:r w:rsidRPr="005428C7">
              <w:t>87.4</w:t>
            </w:r>
          </w:p>
        </w:tc>
        <w:tc>
          <w:tcPr>
            <w:tcW w:w="1020" w:type="dxa"/>
            <w:tcBorders>
              <w:top w:val="single" w:sz="4" w:space="0" w:color="A6A6A6"/>
            </w:tcBorders>
            <w:shd w:val="clear" w:color="auto" w:fill="E7E6E6" w:themeFill="accent4"/>
            <w:noWrap/>
          </w:tcPr>
          <w:p w14:paraId="2C36925E" w14:textId="77777777" w:rsidR="005B131E" w:rsidRPr="00BA7805" w:rsidRDefault="005B131E" w:rsidP="002542E1">
            <w:pPr>
              <w:pStyle w:val="ARfintablebodyright"/>
              <w:ind w:right="0"/>
              <w:rPr>
                <w:highlight w:val="green"/>
              </w:rPr>
            </w:pPr>
            <w:r w:rsidRPr="005428C7">
              <w:t>4.6</w:t>
            </w:r>
          </w:p>
        </w:tc>
        <w:tc>
          <w:tcPr>
            <w:tcW w:w="1020" w:type="dxa"/>
            <w:tcBorders>
              <w:top w:val="single" w:sz="4" w:space="0" w:color="A6A6A6"/>
            </w:tcBorders>
            <w:shd w:val="clear" w:color="auto" w:fill="E7E6E6" w:themeFill="accent4"/>
            <w:noWrap/>
          </w:tcPr>
          <w:p w14:paraId="4499EADA" w14:textId="77777777" w:rsidR="005B131E" w:rsidRPr="00BA7805" w:rsidRDefault="005B131E" w:rsidP="002542E1">
            <w:pPr>
              <w:pStyle w:val="ARfintablebodyright"/>
              <w:ind w:right="0"/>
              <w:rPr>
                <w:highlight w:val="green"/>
              </w:rPr>
            </w:pPr>
            <w:r w:rsidRPr="005428C7">
              <w:t>5.2</w:t>
            </w:r>
          </w:p>
        </w:tc>
        <w:tc>
          <w:tcPr>
            <w:tcW w:w="1020" w:type="dxa"/>
            <w:tcBorders>
              <w:top w:val="single" w:sz="4" w:space="0" w:color="A6A6A6"/>
            </w:tcBorders>
            <w:shd w:val="clear" w:color="auto" w:fill="E7E6E6" w:themeFill="accent4"/>
            <w:noWrap/>
          </w:tcPr>
          <w:p w14:paraId="5FD38AB4" w14:textId="77777777" w:rsidR="005B131E" w:rsidRPr="00BA7805" w:rsidRDefault="005B131E" w:rsidP="002542E1">
            <w:pPr>
              <w:pStyle w:val="ARfintablebodyright"/>
              <w:ind w:right="0"/>
              <w:rPr>
                <w:highlight w:val="green"/>
              </w:rPr>
            </w:pPr>
            <w:r w:rsidRPr="005428C7">
              <w:t>22.7</w:t>
            </w:r>
          </w:p>
        </w:tc>
        <w:tc>
          <w:tcPr>
            <w:tcW w:w="1020" w:type="dxa"/>
            <w:tcBorders>
              <w:top w:val="single" w:sz="4" w:space="0" w:color="A6A6A6"/>
            </w:tcBorders>
            <w:shd w:val="clear" w:color="auto" w:fill="E7E6E6" w:themeFill="accent4"/>
            <w:noWrap/>
          </w:tcPr>
          <w:p w14:paraId="517D0F9B" w14:textId="77777777" w:rsidR="005B131E" w:rsidRPr="00BA7805" w:rsidRDefault="005B131E" w:rsidP="002542E1">
            <w:pPr>
              <w:pStyle w:val="ARfintablebodyright"/>
              <w:ind w:right="0"/>
              <w:rPr>
                <w:highlight w:val="green"/>
              </w:rPr>
            </w:pPr>
            <w:r w:rsidRPr="005428C7">
              <w:t>48.7</w:t>
            </w:r>
          </w:p>
        </w:tc>
        <w:tc>
          <w:tcPr>
            <w:tcW w:w="1020" w:type="dxa"/>
            <w:tcBorders>
              <w:top w:val="single" w:sz="4" w:space="0" w:color="A6A6A6"/>
            </w:tcBorders>
            <w:shd w:val="clear" w:color="auto" w:fill="E7E6E6" w:themeFill="accent4"/>
            <w:noWrap/>
          </w:tcPr>
          <w:p w14:paraId="45CC7C95" w14:textId="77777777" w:rsidR="005B131E" w:rsidRPr="00BA7805" w:rsidRDefault="005B131E" w:rsidP="002542E1">
            <w:pPr>
              <w:pStyle w:val="ARfintablebodyright"/>
              <w:ind w:right="0"/>
              <w:rPr>
                <w:highlight w:val="green"/>
              </w:rPr>
            </w:pPr>
            <w:r w:rsidRPr="005428C7">
              <w:t>6.1</w:t>
            </w:r>
          </w:p>
        </w:tc>
      </w:tr>
      <w:tr w:rsidR="005B131E" w:rsidRPr="00BA7805" w14:paraId="6E2C85B5" w14:textId="77777777" w:rsidTr="002542E1">
        <w:trPr>
          <w:trHeight w:val="255"/>
        </w:trPr>
        <w:tc>
          <w:tcPr>
            <w:tcW w:w="2495" w:type="dxa"/>
            <w:tcBorders>
              <w:bottom w:val="single" w:sz="4" w:space="0" w:color="auto"/>
            </w:tcBorders>
          </w:tcPr>
          <w:p w14:paraId="79C36520" w14:textId="77777777" w:rsidR="005B131E" w:rsidRPr="00BA7805" w:rsidRDefault="005B131E" w:rsidP="002542E1">
            <w:pPr>
              <w:pStyle w:val="ARfintablebodybold"/>
              <w:rPr>
                <w:highlight w:val="green"/>
              </w:rPr>
            </w:pPr>
            <w:r w:rsidRPr="005428C7">
              <w:t>Total</w:t>
            </w:r>
          </w:p>
        </w:tc>
        <w:tc>
          <w:tcPr>
            <w:tcW w:w="1021" w:type="dxa"/>
            <w:tcBorders>
              <w:bottom w:val="single" w:sz="4" w:space="0" w:color="auto"/>
            </w:tcBorders>
            <w:noWrap/>
          </w:tcPr>
          <w:p w14:paraId="580B62C0" w14:textId="77777777" w:rsidR="005B131E" w:rsidRPr="00BA7805" w:rsidRDefault="005B131E" w:rsidP="002542E1">
            <w:pPr>
              <w:pStyle w:val="ARfintablebodyrightbold"/>
              <w:ind w:right="0"/>
              <w:rPr>
                <w:highlight w:val="green"/>
              </w:rPr>
            </w:pPr>
            <w:r w:rsidRPr="005428C7">
              <w:t>537.2</w:t>
            </w:r>
          </w:p>
        </w:tc>
        <w:tc>
          <w:tcPr>
            <w:tcW w:w="1021" w:type="dxa"/>
            <w:tcBorders>
              <w:bottom w:val="single" w:sz="4" w:space="0" w:color="auto"/>
            </w:tcBorders>
            <w:noWrap/>
          </w:tcPr>
          <w:p w14:paraId="47D84FC5" w14:textId="77777777" w:rsidR="005B131E" w:rsidRPr="00BA7805" w:rsidRDefault="005B131E" w:rsidP="002542E1">
            <w:pPr>
              <w:pStyle w:val="ARfintablebodyrightbold"/>
              <w:ind w:right="0"/>
              <w:rPr>
                <w:highlight w:val="green"/>
              </w:rPr>
            </w:pPr>
            <w:r w:rsidRPr="005428C7">
              <w:t>957.4</w:t>
            </w:r>
          </w:p>
        </w:tc>
        <w:tc>
          <w:tcPr>
            <w:tcW w:w="1020" w:type="dxa"/>
            <w:tcBorders>
              <w:bottom w:val="single" w:sz="4" w:space="0" w:color="auto"/>
            </w:tcBorders>
            <w:shd w:val="clear" w:color="auto" w:fill="E7E6E6" w:themeFill="accent4"/>
            <w:noWrap/>
          </w:tcPr>
          <w:p w14:paraId="5079013F" w14:textId="77777777" w:rsidR="005B131E" w:rsidRPr="00BA7805" w:rsidRDefault="005B131E" w:rsidP="002542E1">
            <w:pPr>
              <w:pStyle w:val="ARfintablebodyrightbold"/>
              <w:ind w:right="0"/>
              <w:rPr>
                <w:highlight w:val="green"/>
              </w:rPr>
            </w:pPr>
            <w:r w:rsidRPr="005428C7">
              <w:t>38.1</w:t>
            </w:r>
          </w:p>
        </w:tc>
        <w:tc>
          <w:tcPr>
            <w:tcW w:w="1020" w:type="dxa"/>
            <w:tcBorders>
              <w:bottom w:val="single" w:sz="4" w:space="0" w:color="auto"/>
            </w:tcBorders>
            <w:shd w:val="clear" w:color="auto" w:fill="E7E6E6" w:themeFill="accent4"/>
            <w:noWrap/>
          </w:tcPr>
          <w:p w14:paraId="4D31AF11" w14:textId="77777777" w:rsidR="005B131E" w:rsidRPr="00BA7805" w:rsidRDefault="005B131E" w:rsidP="002542E1">
            <w:pPr>
              <w:pStyle w:val="ARfintablebodyrightbold"/>
              <w:ind w:right="0"/>
              <w:rPr>
                <w:highlight w:val="green"/>
              </w:rPr>
            </w:pPr>
            <w:r w:rsidRPr="005428C7">
              <w:t>5.7</w:t>
            </w:r>
          </w:p>
        </w:tc>
        <w:tc>
          <w:tcPr>
            <w:tcW w:w="1020" w:type="dxa"/>
            <w:tcBorders>
              <w:bottom w:val="single" w:sz="4" w:space="0" w:color="auto"/>
            </w:tcBorders>
            <w:shd w:val="clear" w:color="auto" w:fill="E7E6E6" w:themeFill="accent4"/>
            <w:noWrap/>
          </w:tcPr>
          <w:p w14:paraId="06160F92" w14:textId="77777777" w:rsidR="005B131E" w:rsidRPr="00BA7805" w:rsidRDefault="005B131E" w:rsidP="002542E1">
            <w:pPr>
              <w:pStyle w:val="ARfintablebodyrightbold"/>
              <w:ind w:right="0"/>
              <w:rPr>
                <w:highlight w:val="green"/>
              </w:rPr>
            </w:pPr>
            <w:r w:rsidRPr="005428C7">
              <w:t>26.0</w:t>
            </w:r>
          </w:p>
        </w:tc>
        <w:tc>
          <w:tcPr>
            <w:tcW w:w="1020" w:type="dxa"/>
            <w:tcBorders>
              <w:bottom w:val="single" w:sz="4" w:space="0" w:color="auto"/>
            </w:tcBorders>
            <w:shd w:val="clear" w:color="auto" w:fill="E7E6E6" w:themeFill="accent4"/>
            <w:noWrap/>
          </w:tcPr>
          <w:p w14:paraId="17601933" w14:textId="77777777" w:rsidR="005B131E" w:rsidRPr="00BA7805" w:rsidRDefault="005B131E" w:rsidP="002542E1">
            <w:pPr>
              <w:pStyle w:val="ARfintablebodyrightbold"/>
              <w:ind w:right="0"/>
              <w:rPr>
                <w:highlight w:val="green"/>
              </w:rPr>
            </w:pPr>
            <w:r w:rsidRPr="005428C7">
              <w:t>208.1</w:t>
            </w:r>
          </w:p>
        </w:tc>
        <w:tc>
          <w:tcPr>
            <w:tcW w:w="1020" w:type="dxa"/>
            <w:tcBorders>
              <w:bottom w:val="single" w:sz="4" w:space="0" w:color="auto"/>
            </w:tcBorders>
            <w:shd w:val="clear" w:color="auto" w:fill="E7E6E6" w:themeFill="accent4"/>
            <w:noWrap/>
          </w:tcPr>
          <w:p w14:paraId="5CB3861A" w14:textId="77777777" w:rsidR="005B131E" w:rsidRPr="00BA7805" w:rsidRDefault="005B131E" w:rsidP="002542E1">
            <w:pPr>
              <w:pStyle w:val="ARfintablebodyrightbold"/>
              <w:ind w:right="0"/>
              <w:rPr>
                <w:highlight w:val="green"/>
              </w:rPr>
            </w:pPr>
            <w:r w:rsidRPr="005428C7">
              <w:t>679.5</w:t>
            </w:r>
          </w:p>
        </w:tc>
      </w:tr>
      <w:tr w:rsidR="005B131E" w:rsidRPr="00BA7805" w14:paraId="0787188D" w14:textId="77777777" w:rsidTr="002542E1">
        <w:trPr>
          <w:trHeight w:val="255"/>
        </w:trPr>
        <w:tc>
          <w:tcPr>
            <w:tcW w:w="9637" w:type="dxa"/>
            <w:gridSpan w:val="8"/>
            <w:tcBorders>
              <w:top w:val="single" w:sz="4" w:space="0" w:color="auto"/>
              <w:bottom w:val="single" w:sz="4" w:space="0" w:color="A6A6A6"/>
            </w:tcBorders>
            <w:shd w:val="clear" w:color="auto" w:fill="auto"/>
          </w:tcPr>
          <w:p w14:paraId="3D127108" w14:textId="77777777" w:rsidR="005B131E" w:rsidRPr="00BA7805" w:rsidRDefault="005B131E">
            <w:pPr>
              <w:pStyle w:val="ARfintablebodybold"/>
              <w:rPr>
                <w:highlight w:val="green"/>
              </w:rPr>
            </w:pPr>
            <w:r w:rsidRPr="00715772">
              <w:t>2023</w:t>
            </w:r>
          </w:p>
        </w:tc>
      </w:tr>
      <w:tr w:rsidR="005B131E" w:rsidRPr="00BA7805" w14:paraId="4CB85EB3" w14:textId="77777777" w:rsidTr="002542E1">
        <w:trPr>
          <w:trHeight w:val="255"/>
        </w:trPr>
        <w:tc>
          <w:tcPr>
            <w:tcW w:w="2495" w:type="dxa"/>
            <w:tcBorders>
              <w:top w:val="single" w:sz="4" w:space="0" w:color="A6A6A6"/>
              <w:bottom w:val="single" w:sz="4" w:space="0" w:color="A6A6A6"/>
            </w:tcBorders>
          </w:tcPr>
          <w:p w14:paraId="64C58820" w14:textId="77777777" w:rsidR="005B131E" w:rsidRPr="00BA7805" w:rsidRDefault="005B131E" w:rsidP="002542E1">
            <w:pPr>
              <w:pStyle w:val="ARfintablebody"/>
              <w:rPr>
                <w:highlight w:val="green"/>
              </w:rPr>
            </w:pPr>
            <w:r w:rsidRPr="00602403">
              <w:t>Advances from Victorian</w:t>
            </w:r>
            <w:r>
              <w:t> </w:t>
            </w:r>
            <w:r w:rsidRPr="00602403">
              <w:t>Government</w:t>
            </w:r>
          </w:p>
        </w:tc>
        <w:tc>
          <w:tcPr>
            <w:tcW w:w="1021" w:type="dxa"/>
            <w:tcBorders>
              <w:top w:val="single" w:sz="4" w:space="0" w:color="A6A6A6"/>
              <w:bottom w:val="single" w:sz="4" w:space="0" w:color="A6A6A6"/>
            </w:tcBorders>
            <w:noWrap/>
          </w:tcPr>
          <w:p w14:paraId="09042897" w14:textId="77777777" w:rsidR="005B131E" w:rsidRPr="00BA7805" w:rsidRDefault="005B131E" w:rsidP="002542E1">
            <w:pPr>
              <w:pStyle w:val="ARfintablebodyright"/>
              <w:ind w:right="0"/>
              <w:rPr>
                <w:highlight w:val="green"/>
              </w:rPr>
            </w:pPr>
            <w:r w:rsidRPr="00602403">
              <w:t>144.3</w:t>
            </w:r>
          </w:p>
        </w:tc>
        <w:tc>
          <w:tcPr>
            <w:tcW w:w="1021" w:type="dxa"/>
            <w:tcBorders>
              <w:top w:val="single" w:sz="4" w:space="0" w:color="A6A6A6"/>
              <w:bottom w:val="single" w:sz="4" w:space="0" w:color="A6A6A6"/>
            </w:tcBorders>
            <w:noWrap/>
          </w:tcPr>
          <w:p w14:paraId="7F95F115" w14:textId="77777777" w:rsidR="005B131E" w:rsidRPr="00BA7805" w:rsidRDefault="005B131E" w:rsidP="002542E1">
            <w:pPr>
              <w:pStyle w:val="ARfintablebodyright"/>
              <w:ind w:right="0"/>
              <w:rPr>
                <w:highlight w:val="green"/>
              </w:rPr>
            </w:pPr>
            <w:r w:rsidRPr="00602403">
              <w:t>144.3</w:t>
            </w:r>
          </w:p>
        </w:tc>
        <w:tc>
          <w:tcPr>
            <w:tcW w:w="1020" w:type="dxa"/>
            <w:tcBorders>
              <w:top w:val="single" w:sz="4" w:space="0" w:color="A6A6A6"/>
              <w:bottom w:val="single" w:sz="4" w:space="0" w:color="A6A6A6"/>
            </w:tcBorders>
            <w:shd w:val="clear" w:color="auto" w:fill="E7E6E6" w:themeFill="accent4"/>
            <w:noWrap/>
          </w:tcPr>
          <w:p w14:paraId="364EB6BA" w14:textId="77777777" w:rsidR="005B131E" w:rsidRPr="00BA7805" w:rsidRDefault="005B131E" w:rsidP="002542E1">
            <w:pPr>
              <w:pStyle w:val="ARfintablebodyright"/>
              <w:ind w:right="0"/>
              <w:rPr>
                <w:highlight w:val="green"/>
              </w:rPr>
            </w:pPr>
            <w:r w:rsidRPr="00602403">
              <w:t>34.4</w:t>
            </w:r>
          </w:p>
        </w:tc>
        <w:tc>
          <w:tcPr>
            <w:tcW w:w="1020" w:type="dxa"/>
            <w:tcBorders>
              <w:top w:val="single" w:sz="4" w:space="0" w:color="A6A6A6"/>
              <w:bottom w:val="single" w:sz="4" w:space="0" w:color="A6A6A6"/>
            </w:tcBorders>
            <w:shd w:val="clear" w:color="auto" w:fill="E7E6E6" w:themeFill="accent4"/>
            <w:noWrap/>
          </w:tcPr>
          <w:p w14:paraId="04C4E068" w14:textId="77777777" w:rsidR="005B131E" w:rsidRPr="00BA7805" w:rsidRDefault="005B131E" w:rsidP="002542E1">
            <w:pPr>
              <w:pStyle w:val="ARfintablebodyright"/>
              <w:ind w:right="0"/>
              <w:rPr>
                <w:highlight w:val="green"/>
              </w:rPr>
            </w:pPr>
            <w:r>
              <w:t>–</w:t>
            </w:r>
          </w:p>
        </w:tc>
        <w:tc>
          <w:tcPr>
            <w:tcW w:w="1020" w:type="dxa"/>
            <w:tcBorders>
              <w:top w:val="single" w:sz="4" w:space="0" w:color="A6A6A6"/>
              <w:bottom w:val="single" w:sz="4" w:space="0" w:color="A6A6A6"/>
            </w:tcBorders>
            <w:shd w:val="clear" w:color="auto" w:fill="E7E6E6" w:themeFill="accent4"/>
            <w:noWrap/>
          </w:tcPr>
          <w:p w14:paraId="0FE1994D" w14:textId="77777777" w:rsidR="005B131E" w:rsidRPr="00BA7805" w:rsidRDefault="005B131E" w:rsidP="002542E1">
            <w:pPr>
              <w:pStyle w:val="ARfintablebodyright"/>
              <w:ind w:right="0"/>
              <w:rPr>
                <w:highlight w:val="green"/>
              </w:rPr>
            </w:pPr>
            <w:r w:rsidRPr="00602403">
              <w:t>1.9</w:t>
            </w:r>
          </w:p>
        </w:tc>
        <w:tc>
          <w:tcPr>
            <w:tcW w:w="1020" w:type="dxa"/>
            <w:tcBorders>
              <w:top w:val="single" w:sz="4" w:space="0" w:color="A6A6A6"/>
              <w:bottom w:val="single" w:sz="4" w:space="0" w:color="A6A6A6"/>
            </w:tcBorders>
            <w:shd w:val="clear" w:color="auto" w:fill="E7E6E6" w:themeFill="accent4"/>
            <w:noWrap/>
          </w:tcPr>
          <w:p w14:paraId="5CC2D632" w14:textId="77777777" w:rsidR="005B131E" w:rsidRPr="00BA7805" w:rsidRDefault="005B131E" w:rsidP="002542E1">
            <w:pPr>
              <w:pStyle w:val="ARfintablebodyright"/>
              <w:ind w:right="0"/>
              <w:rPr>
                <w:highlight w:val="green"/>
              </w:rPr>
            </w:pPr>
            <w:r w:rsidRPr="00602403">
              <w:t>3.0</w:t>
            </w:r>
          </w:p>
        </w:tc>
        <w:tc>
          <w:tcPr>
            <w:tcW w:w="1020" w:type="dxa"/>
            <w:tcBorders>
              <w:top w:val="single" w:sz="4" w:space="0" w:color="A6A6A6"/>
              <w:bottom w:val="single" w:sz="4" w:space="0" w:color="A6A6A6"/>
            </w:tcBorders>
            <w:shd w:val="clear" w:color="auto" w:fill="E7E6E6" w:themeFill="accent4"/>
            <w:noWrap/>
          </w:tcPr>
          <w:p w14:paraId="39A010FC" w14:textId="77777777" w:rsidR="005B131E" w:rsidRPr="00BA7805" w:rsidRDefault="005B131E" w:rsidP="002542E1">
            <w:pPr>
              <w:pStyle w:val="ARfintablebodyright"/>
              <w:ind w:right="0"/>
              <w:rPr>
                <w:highlight w:val="green"/>
              </w:rPr>
            </w:pPr>
            <w:r w:rsidRPr="00602403">
              <w:t>105.0</w:t>
            </w:r>
          </w:p>
        </w:tc>
      </w:tr>
      <w:tr w:rsidR="005B131E" w:rsidRPr="00BA7805" w14:paraId="7956F8D5" w14:textId="77777777" w:rsidTr="002542E1">
        <w:trPr>
          <w:trHeight w:val="255"/>
        </w:trPr>
        <w:tc>
          <w:tcPr>
            <w:tcW w:w="2495" w:type="dxa"/>
            <w:tcBorders>
              <w:top w:val="single" w:sz="4" w:space="0" w:color="A6A6A6"/>
              <w:bottom w:val="single" w:sz="4" w:space="0" w:color="A6A6A6"/>
            </w:tcBorders>
          </w:tcPr>
          <w:p w14:paraId="5815D9FC" w14:textId="77777777" w:rsidR="005B131E" w:rsidRPr="00BA7805" w:rsidRDefault="005B131E" w:rsidP="002542E1">
            <w:pPr>
              <w:pStyle w:val="ARfintablebody"/>
              <w:rPr>
                <w:highlight w:val="green"/>
              </w:rPr>
            </w:pPr>
            <w:r w:rsidRPr="00602403">
              <w:t>Service concession financial</w:t>
            </w:r>
            <w:r>
              <w:t> </w:t>
            </w:r>
            <w:r w:rsidRPr="00602403">
              <w:t>liability</w:t>
            </w:r>
          </w:p>
        </w:tc>
        <w:tc>
          <w:tcPr>
            <w:tcW w:w="1021" w:type="dxa"/>
            <w:tcBorders>
              <w:top w:val="single" w:sz="4" w:space="0" w:color="A6A6A6"/>
              <w:bottom w:val="single" w:sz="4" w:space="0" w:color="A6A6A6"/>
            </w:tcBorders>
            <w:noWrap/>
          </w:tcPr>
          <w:p w14:paraId="59587408" w14:textId="77777777" w:rsidR="005B131E" w:rsidRPr="00BA7805" w:rsidRDefault="005B131E" w:rsidP="002542E1">
            <w:pPr>
              <w:pStyle w:val="ARfintablebodyright"/>
              <w:ind w:right="0"/>
              <w:rPr>
                <w:highlight w:val="green"/>
              </w:rPr>
            </w:pPr>
            <w:r w:rsidRPr="00602403">
              <w:t>203.0</w:t>
            </w:r>
          </w:p>
        </w:tc>
        <w:tc>
          <w:tcPr>
            <w:tcW w:w="1021" w:type="dxa"/>
            <w:tcBorders>
              <w:top w:val="single" w:sz="4" w:space="0" w:color="A6A6A6"/>
              <w:bottom w:val="single" w:sz="4" w:space="0" w:color="A6A6A6"/>
            </w:tcBorders>
            <w:noWrap/>
          </w:tcPr>
          <w:p w14:paraId="31684ECB" w14:textId="77777777" w:rsidR="005B131E" w:rsidRPr="00BA7805" w:rsidRDefault="005B131E" w:rsidP="002542E1">
            <w:pPr>
              <w:pStyle w:val="ARfintablebodyright"/>
              <w:ind w:right="0"/>
              <w:rPr>
                <w:highlight w:val="green"/>
              </w:rPr>
            </w:pPr>
            <w:r w:rsidRPr="00602403">
              <w:t>222.1</w:t>
            </w:r>
          </w:p>
        </w:tc>
        <w:tc>
          <w:tcPr>
            <w:tcW w:w="1020" w:type="dxa"/>
            <w:tcBorders>
              <w:top w:val="single" w:sz="4" w:space="0" w:color="A6A6A6"/>
              <w:bottom w:val="single" w:sz="4" w:space="0" w:color="A6A6A6"/>
            </w:tcBorders>
            <w:shd w:val="clear" w:color="auto" w:fill="E7E6E6" w:themeFill="accent4"/>
            <w:noWrap/>
          </w:tcPr>
          <w:p w14:paraId="09A38D34" w14:textId="77777777" w:rsidR="005B131E" w:rsidRPr="00BA7805" w:rsidRDefault="005B131E" w:rsidP="002542E1">
            <w:pPr>
              <w:pStyle w:val="ARfintablebodyright"/>
              <w:ind w:right="0"/>
              <w:rPr>
                <w:highlight w:val="green"/>
              </w:rPr>
            </w:pPr>
            <w:r>
              <w:t>–</w:t>
            </w:r>
          </w:p>
        </w:tc>
        <w:tc>
          <w:tcPr>
            <w:tcW w:w="1020" w:type="dxa"/>
            <w:tcBorders>
              <w:top w:val="single" w:sz="4" w:space="0" w:color="A6A6A6"/>
              <w:bottom w:val="single" w:sz="4" w:space="0" w:color="A6A6A6"/>
            </w:tcBorders>
            <w:shd w:val="clear" w:color="auto" w:fill="E7E6E6" w:themeFill="accent4"/>
            <w:noWrap/>
          </w:tcPr>
          <w:p w14:paraId="626CB3FE" w14:textId="77777777" w:rsidR="005B131E" w:rsidRPr="00BA7805" w:rsidRDefault="005B131E" w:rsidP="002542E1">
            <w:pPr>
              <w:pStyle w:val="ARfintablebodyright"/>
              <w:ind w:right="0"/>
              <w:rPr>
                <w:highlight w:val="green"/>
              </w:rPr>
            </w:pPr>
            <w:r>
              <w:t>–</w:t>
            </w:r>
          </w:p>
        </w:tc>
        <w:tc>
          <w:tcPr>
            <w:tcW w:w="1020" w:type="dxa"/>
            <w:tcBorders>
              <w:top w:val="single" w:sz="4" w:space="0" w:color="A6A6A6"/>
              <w:bottom w:val="single" w:sz="4" w:space="0" w:color="A6A6A6"/>
            </w:tcBorders>
            <w:shd w:val="clear" w:color="auto" w:fill="E7E6E6" w:themeFill="accent4"/>
            <w:noWrap/>
          </w:tcPr>
          <w:p w14:paraId="7F4208A3" w14:textId="77777777" w:rsidR="005B131E" w:rsidRPr="00BA7805" w:rsidRDefault="005B131E" w:rsidP="002542E1">
            <w:pPr>
              <w:pStyle w:val="ARfintablebodyright"/>
              <w:ind w:right="0"/>
              <w:rPr>
                <w:highlight w:val="green"/>
              </w:rPr>
            </w:pPr>
            <w:r w:rsidRPr="00602403">
              <w:t>2.3</w:t>
            </w:r>
          </w:p>
        </w:tc>
        <w:tc>
          <w:tcPr>
            <w:tcW w:w="1020" w:type="dxa"/>
            <w:tcBorders>
              <w:top w:val="single" w:sz="4" w:space="0" w:color="A6A6A6"/>
              <w:bottom w:val="single" w:sz="4" w:space="0" w:color="A6A6A6"/>
            </w:tcBorders>
            <w:shd w:val="clear" w:color="auto" w:fill="E7E6E6" w:themeFill="accent4"/>
            <w:noWrap/>
          </w:tcPr>
          <w:p w14:paraId="23524E9A" w14:textId="77777777" w:rsidR="005B131E" w:rsidRPr="00BA7805" w:rsidRDefault="005B131E" w:rsidP="002542E1">
            <w:pPr>
              <w:pStyle w:val="ARfintablebodyright"/>
              <w:ind w:right="0"/>
              <w:rPr>
                <w:highlight w:val="green"/>
              </w:rPr>
            </w:pPr>
            <w:r w:rsidRPr="00602403">
              <w:t>10.3</w:t>
            </w:r>
          </w:p>
        </w:tc>
        <w:tc>
          <w:tcPr>
            <w:tcW w:w="1020" w:type="dxa"/>
            <w:tcBorders>
              <w:top w:val="single" w:sz="4" w:space="0" w:color="A6A6A6"/>
              <w:bottom w:val="single" w:sz="4" w:space="0" w:color="A6A6A6"/>
            </w:tcBorders>
            <w:shd w:val="clear" w:color="auto" w:fill="E7E6E6" w:themeFill="accent4"/>
            <w:noWrap/>
          </w:tcPr>
          <w:p w14:paraId="279E2750" w14:textId="77777777" w:rsidR="005B131E" w:rsidRPr="00BA7805" w:rsidRDefault="005B131E" w:rsidP="002542E1">
            <w:pPr>
              <w:pStyle w:val="ARfintablebodyright"/>
              <w:ind w:right="0"/>
              <w:rPr>
                <w:highlight w:val="green"/>
              </w:rPr>
            </w:pPr>
            <w:r w:rsidRPr="00602403">
              <w:t>209.5</w:t>
            </w:r>
          </w:p>
        </w:tc>
      </w:tr>
      <w:tr w:rsidR="005B131E" w:rsidRPr="00BA7805" w14:paraId="601471DE" w14:textId="77777777" w:rsidTr="002542E1">
        <w:trPr>
          <w:trHeight w:val="255"/>
        </w:trPr>
        <w:tc>
          <w:tcPr>
            <w:tcW w:w="2495" w:type="dxa"/>
            <w:tcBorders>
              <w:top w:val="single" w:sz="4" w:space="0" w:color="A6A6A6"/>
            </w:tcBorders>
            <w:noWrap/>
          </w:tcPr>
          <w:p w14:paraId="1894FC3E" w14:textId="77777777" w:rsidR="005B131E" w:rsidRPr="00BA7805" w:rsidRDefault="005B131E" w:rsidP="002542E1">
            <w:pPr>
              <w:pStyle w:val="ARfintablebody"/>
              <w:rPr>
                <w:highlight w:val="green"/>
              </w:rPr>
            </w:pPr>
            <w:r w:rsidRPr="00602403">
              <w:t>Lease liabilities</w:t>
            </w:r>
          </w:p>
        </w:tc>
        <w:tc>
          <w:tcPr>
            <w:tcW w:w="1021" w:type="dxa"/>
            <w:tcBorders>
              <w:top w:val="single" w:sz="4" w:space="0" w:color="A6A6A6"/>
            </w:tcBorders>
            <w:noWrap/>
          </w:tcPr>
          <w:p w14:paraId="269D898D" w14:textId="77777777" w:rsidR="005B131E" w:rsidRPr="00BA7805" w:rsidRDefault="005B131E" w:rsidP="002542E1">
            <w:pPr>
              <w:pStyle w:val="ARfintablebodyright"/>
              <w:ind w:right="0"/>
              <w:rPr>
                <w:highlight w:val="green"/>
              </w:rPr>
            </w:pPr>
            <w:r w:rsidRPr="00602403">
              <w:t>69.2</w:t>
            </w:r>
          </w:p>
        </w:tc>
        <w:tc>
          <w:tcPr>
            <w:tcW w:w="1021" w:type="dxa"/>
            <w:tcBorders>
              <w:top w:val="single" w:sz="4" w:space="0" w:color="A6A6A6"/>
            </w:tcBorders>
            <w:noWrap/>
          </w:tcPr>
          <w:p w14:paraId="04B2B474" w14:textId="77777777" w:rsidR="005B131E" w:rsidRPr="00BA7805" w:rsidRDefault="005B131E" w:rsidP="002542E1">
            <w:pPr>
              <w:pStyle w:val="ARfintablebodyright"/>
              <w:ind w:right="0"/>
              <w:rPr>
                <w:highlight w:val="green"/>
              </w:rPr>
            </w:pPr>
            <w:r w:rsidRPr="00602403">
              <w:t>72.5</w:t>
            </w:r>
          </w:p>
        </w:tc>
        <w:tc>
          <w:tcPr>
            <w:tcW w:w="1020" w:type="dxa"/>
            <w:tcBorders>
              <w:top w:val="single" w:sz="4" w:space="0" w:color="A6A6A6"/>
            </w:tcBorders>
            <w:shd w:val="clear" w:color="auto" w:fill="E7E6E6" w:themeFill="accent4"/>
            <w:noWrap/>
          </w:tcPr>
          <w:p w14:paraId="56C16B87" w14:textId="77777777" w:rsidR="005B131E" w:rsidRPr="00BA7805" w:rsidRDefault="005B131E" w:rsidP="002542E1">
            <w:pPr>
              <w:pStyle w:val="ARfintablebodyright"/>
              <w:ind w:right="0"/>
              <w:rPr>
                <w:highlight w:val="green"/>
              </w:rPr>
            </w:pPr>
            <w:r w:rsidRPr="00602403">
              <w:t>5.1</w:t>
            </w:r>
          </w:p>
        </w:tc>
        <w:tc>
          <w:tcPr>
            <w:tcW w:w="1020" w:type="dxa"/>
            <w:tcBorders>
              <w:top w:val="single" w:sz="4" w:space="0" w:color="A6A6A6"/>
            </w:tcBorders>
            <w:shd w:val="clear" w:color="auto" w:fill="E7E6E6" w:themeFill="accent4"/>
            <w:noWrap/>
          </w:tcPr>
          <w:p w14:paraId="55470C62" w14:textId="77777777" w:rsidR="005B131E" w:rsidRPr="00BA7805" w:rsidRDefault="005B131E" w:rsidP="002542E1">
            <w:pPr>
              <w:pStyle w:val="ARfintablebodyright"/>
              <w:ind w:right="0"/>
              <w:rPr>
                <w:highlight w:val="green"/>
              </w:rPr>
            </w:pPr>
            <w:r w:rsidRPr="00602403">
              <w:t>5.3</w:t>
            </w:r>
          </w:p>
        </w:tc>
        <w:tc>
          <w:tcPr>
            <w:tcW w:w="1020" w:type="dxa"/>
            <w:tcBorders>
              <w:top w:val="single" w:sz="4" w:space="0" w:color="A6A6A6"/>
            </w:tcBorders>
            <w:shd w:val="clear" w:color="auto" w:fill="E7E6E6" w:themeFill="accent4"/>
            <w:noWrap/>
          </w:tcPr>
          <w:p w14:paraId="21B2EC7C" w14:textId="77777777" w:rsidR="005B131E" w:rsidRPr="00BA7805" w:rsidRDefault="005B131E" w:rsidP="002542E1">
            <w:pPr>
              <w:pStyle w:val="ARfintablebodyright"/>
              <w:ind w:right="0"/>
              <w:rPr>
                <w:highlight w:val="green"/>
              </w:rPr>
            </w:pPr>
            <w:r w:rsidRPr="00602403">
              <w:t>19.3</w:t>
            </w:r>
          </w:p>
        </w:tc>
        <w:tc>
          <w:tcPr>
            <w:tcW w:w="1020" w:type="dxa"/>
            <w:tcBorders>
              <w:top w:val="single" w:sz="4" w:space="0" w:color="A6A6A6"/>
            </w:tcBorders>
            <w:shd w:val="clear" w:color="auto" w:fill="E7E6E6" w:themeFill="accent4"/>
            <w:noWrap/>
          </w:tcPr>
          <w:p w14:paraId="68272590" w14:textId="77777777" w:rsidR="005B131E" w:rsidRPr="00BA7805" w:rsidRDefault="005B131E" w:rsidP="002542E1">
            <w:pPr>
              <w:pStyle w:val="ARfintablebodyright"/>
              <w:ind w:right="0"/>
              <w:rPr>
                <w:highlight w:val="green"/>
              </w:rPr>
            </w:pPr>
            <w:r w:rsidRPr="00602403">
              <w:t>36.7</w:t>
            </w:r>
          </w:p>
        </w:tc>
        <w:tc>
          <w:tcPr>
            <w:tcW w:w="1020" w:type="dxa"/>
            <w:tcBorders>
              <w:top w:val="single" w:sz="4" w:space="0" w:color="A6A6A6"/>
            </w:tcBorders>
            <w:shd w:val="clear" w:color="auto" w:fill="E7E6E6" w:themeFill="accent4"/>
            <w:noWrap/>
          </w:tcPr>
          <w:p w14:paraId="40D90152" w14:textId="77777777" w:rsidR="005B131E" w:rsidRPr="00BA7805" w:rsidRDefault="005B131E" w:rsidP="002542E1">
            <w:pPr>
              <w:pStyle w:val="ARfintablebodyright"/>
              <w:ind w:right="0"/>
              <w:rPr>
                <w:highlight w:val="green"/>
              </w:rPr>
            </w:pPr>
            <w:r w:rsidRPr="00602403">
              <w:t>6.1</w:t>
            </w:r>
          </w:p>
        </w:tc>
      </w:tr>
      <w:tr w:rsidR="005B131E" w:rsidRPr="00BA7805" w14:paraId="050761A3" w14:textId="77777777" w:rsidTr="002542E1">
        <w:trPr>
          <w:trHeight w:val="255"/>
        </w:trPr>
        <w:tc>
          <w:tcPr>
            <w:tcW w:w="2495" w:type="dxa"/>
          </w:tcPr>
          <w:p w14:paraId="0B612BA4" w14:textId="77777777" w:rsidR="005B131E" w:rsidRPr="00BA7805" w:rsidRDefault="005B131E" w:rsidP="002542E1">
            <w:pPr>
              <w:pStyle w:val="ARfintablebodybold"/>
              <w:rPr>
                <w:highlight w:val="green"/>
              </w:rPr>
            </w:pPr>
            <w:r w:rsidRPr="00602403">
              <w:t>Total</w:t>
            </w:r>
          </w:p>
        </w:tc>
        <w:tc>
          <w:tcPr>
            <w:tcW w:w="1021" w:type="dxa"/>
            <w:noWrap/>
          </w:tcPr>
          <w:p w14:paraId="29D3EBD3" w14:textId="77777777" w:rsidR="005B131E" w:rsidRPr="00BA7805" w:rsidRDefault="005B131E" w:rsidP="002542E1">
            <w:pPr>
              <w:pStyle w:val="ARfintablebodyrightbold"/>
              <w:ind w:right="0"/>
              <w:rPr>
                <w:highlight w:val="green"/>
              </w:rPr>
            </w:pPr>
            <w:r w:rsidRPr="00602403">
              <w:t>416.4</w:t>
            </w:r>
          </w:p>
        </w:tc>
        <w:tc>
          <w:tcPr>
            <w:tcW w:w="1021" w:type="dxa"/>
            <w:noWrap/>
          </w:tcPr>
          <w:p w14:paraId="420ACECD" w14:textId="77777777" w:rsidR="005B131E" w:rsidRPr="00BA7805" w:rsidRDefault="005B131E" w:rsidP="002542E1">
            <w:pPr>
              <w:pStyle w:val="ARfintablebodyrightbold"/>
              <w:ind w:right="0"/>
              <w:rPr>
                <w:highlight w:val="green"/>
              </w:rPr>
            </w:pPr>
            <w:r w:rsidRPr="00602403">
              <w:t>438.9</w:t>
            </w:r>
          </w:p>
        </w:tc>
        <w:tc>
          <w:tcPr>
            <w:tcW w:w="1020" w:type="dxa"/>
            <w:shd w:val="clear" w:color="auto" w:fill="E7E6E6" w:themeFill="accent4"/>
            <w:noWrap/>
          </w:tcPr>
          <w:p w14:paraId="33AC5D73" w14:textId="77777777" w:rsidR="005B131E" w:rsidRPr="00BA7805" w:rsidRDefault="005B131E" w:rsidP="002542E1">
            <w:pPr>
              <w:pStyle w:val="ARfintablebodyrightbold"/>
              <w:ind w:right="0"/>
              <w:rPr>
                <w:highlight w:val="green"/>
              </w:rPr>
            </w:pPr>
            <w:r w:rsidRPr="00602403">
              <w:t>39.5</w:t>
            </w:r>
          </w:p>
        </w:tc>
        <w:tc>
          <w:tcPr>
            <w:tcW w:w="1020" w:type="dxa"/>
            <w:shd w:val="clear" w:color="auto" w:fill="E7E6E6" w:themeFill="accent4"/>
            <w:noWrap/>
          </w:tcPr>
          <w:p w14:paraId="7689C97C" w14:textId="77777777" w:rsidR="005B131E" w:rsidRPr="00BA7805" w:rsidRDefault="005B131E" w:rsidP="002542E1">
            <w:pPr>
              <w:pStyle w:val="ARfintablebodyrightbold"/>
              <w:ind w:right="0"/>
              <w:rPr>
                <w:highlight w:val="green"/>
              </w:rPr>
            </w:pPr>
            <w:r w:rsidRPr="00602403">
              <w:t>5.3</w:t>
            </w:r>
          </w:p>
        </w:tc>
        <w:tc>
          <w:tcPr>
            <w:tcW w:w="1020" w:type="dxa"/>
            <w:shd w:val="clear" w:color="auto" w:fill="E7E6E6" w:themeFill="accent4"/>
            <w:noWrap/>
          </w:tcPr>
          <w:p w14:paraId="1F03898B" w14:textId="77777777" w:rsidR="005B131E" w:rsidRPr="00BA7805" w:rsidRDefault="005B131E" w:rsidP="002542E1">
            <w:pPr>
              <w:pStyle w:val="ARfintablebodyrightbold"/>
              <w:ind w:right="0"/>
              <w:rPr>
                <w:highlight w:val="green"/>
              </w:rPr>
            </w:pPr>
            <w:r w:rsidRPr="00602403">
              <w:t>23.5</w:t>
            </w:r>
          </w:p>
        </w:tc>
        <w:tc>
          <w:tcPr>
            <w:tcW w:w="1020" w:type="dxa"/>
            <w:shd w:val="clear" w:color="auto" w:fill="E7E6E6" w:themeFill="accent4"/>
            <w:noWrap/>
          </w:tcPr>
          <w:p w14:paraId="65C057C2" w14:textId="77777777" w:rsidR="005B131E" w:rsidRPr="00BA7805" w:rsidRDefault="005B131E" w:rsidP="002542E1">
            <w:pPr>
              <w:pStyle w:val="ARfintablebodyrightbold"/>
              <w:ind w:right="0"/>
              <w:rPr>
                <w:highlight w:val="green"/>
              </w:rPr>
            </w:pPr>
            <w:r w:rsidRPr="00602403">
              <w:t>50.0</w:t>
            </w:r>
          </w:p>
        </w:tc>
        <w:tc>
          <w:tcPr>
            <w:tcW w:w="1020" w:type="dxa"/>
            <w:shd w:val="clear" w:color="auto" w:fill="E7E6E6" w:themeFill="accent4"/>
            <w:noWrap/>
          </w:tcPr>
          <w:p w14:paraId="1EF3AB82" w14:textId="77777777" w:rsidR="005B131E" w:rsidRPr="00BA7805" w:rsidRDefault="005B131E" w:rsidP="002542E1">
            <w:pPr>
              <w:pStyle w:val="ARfintablebodyrightbold"/>
              <w:ind w:right="0"/>
              <w:rPr>
                <w:highlight w:val="green"/>
              </w:rPr>
            </w:pPr>
            <w:r w:rsidRPr="00602403">
              <w:t>320.6</w:t>
            </w:r>
          </w:p>
        </w:tc>
      </w:tr>
    </w:tbl>
    <w:p w14:paraId="073961AA" w14:textId="77777777" w:rsidR="005B131E" w:rsidRDefault="005B131E" w:rsidP="002542E1">
      <w:pPr>
        <w:pStyle w:val="Heading4"/>
      </w:pPr>
      <w:bookmarkStart w:id="278" w:name="_Ref178665431"/>
      <w:r>
        <w:t>7.3 Cash flow information and balances</w:t>
      </w:r>
      <w:bookmarkEnd w:id="278"/>
    </w:p>
    <w:p w14:paraId="3F647A1E" w14:textId="6536DD97" w:rsidR="005B131E" w:rsidRPr="002F75CB" w:rsidRDefault="005B131E" w:rsidP="002542E1">
      <w:pPr>
        <w:pStyle w:val="ARfinbodylargespace"/>
        <w:rPr>
          <w:highlight w:val="green"/>
        </w:rPr>
      </w:pPr>
      <w:r>
        <w:t xml:space="preserve">Cash and deposits, including cash equivalents, comprise cash on hand and cash at bank, deposits at call and highly liquid investments with an original maturity of </w:t>
      </w:r>
      <w:r w:rsidR="00124B01">
        <w:t>3</w:t>
      </w:r>
      <w:r>
        <w:t xml:space="preserve"> months or less, which are held for the purpose of meeting short-term cash commitments rather than for investment purposes and are readily convertible to known amounts of cash with an insignificant risk of changes in value.</w:t>
      </w:r>
    </w:p>
    <w:tbl>
      <w:tblPr>
        <w:tblStyle w:val="TableGrid"/>
        <w:tblW w:w="9639" w:type="dxa"/>
        <w:tblLayout w:type="fixed"/>
        <w:tblLook w:val="06A0" w:firstRow="1" w:lastRow="0" w:firstColumn="1" w:lastColumn="0" w:noHBand="1" w:noVBand="1"/>
      </w:tblPr>
      <w:tblGrid>
        <w:gridCol w:w="6917"/>
        <w:gridCol w:w="1361"/>
        <w:gridCol w:w="1361"/>
      </w:tblGrid>
      <w:tr w:rsidR="005B131E" w:rsidRPr="00BA7805" w14:paraId="614D48D9" w14:textId="77777777">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0CADB60E"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hideMark/>
          </w:tcPr>
          <w:p w14:paraId="7F2DF2CD" w14:textId="77777777" w:rsidR="005B131E" w:rsidRPr="00715772" w:rsidRDefault="005B131E">
            <w:pPr>
              <w:pStyle w:val="ARfintablecolheadright"/>
            </w:pPr>
            <w:r w:rsidRPr="00715772">
              <w:t>2024</w:t>
            </w:r>
          </w:p>
          <w:p w14:paraId="20C899C3" w14:textId="77777777" w:rsidR="005B131E" w:rsidRPr="00715772" w:rsidRDefault="005B131E">
            <w:pPr>
              <w:pStyle w:val="ARfintablecolheadright"/>
            </w:pPr>
            <w:r w:rsidRPr="00715772">
              <w:t>$M</w:t>
            </w:r>
          </w:p>
        </w:tc>
        <w:tc>
          <w:tcPr>
            <w:tcW w:w="1361" w:type="dxa"/>
            <w:tcBorders>
              <w:bottom w:val="single" w:sz="4" w:space="0" w:color="auto"/>
            </w:tcBorders>
          </w:tcPr>
          <w:p w14:paraId="4ABF87E9" w14:textId="77777777" w:rsidR="005B131E" w:rsidRPr="00715772" w:rsidRDefault="005B131E">
            <w:pPr>
              <w:pStyle w:val="ARfintablecolheadright"/>
            </w:pPr>
            <w:r w:rsidRPr="00715772">
              <w:t>2023</w:t>
            </w:r>
          </w:p>
          <w:p w14:paraId="30CDC6B8" w14:textId="77777777" w:rsidR="005B131E" w:rsidRPr="00715772" w:rsidRDefault="005B131E">
            <w:pPr>
              <w:pStyle w:val="ARfintablecolheadright"/>
            </w:pPr>
            <w:r w:rsidRPr="00715772">
              <w:t>$M</w:t>
            </w:r>
          </w:p>
        </w:tc>
      </w:tr>
      <w:tr w:rsidR="005B131E" w:rsidRPr="00BA7805" w14:paraId="0CD328D7" w14:textId="77777777" w:rsidTr="003D7AC8">
        <w:tc>
          <w:tcPr>
            <w:tcW w:w="8278" w:type="dxa"/>
            <w:gridSpan w:val="2"/>
            <w:tcBorders>
              <w:top w:val="single" w:sz="4" w:space="0" w:color="auto"/>
              <w:bottom w:val="single" w:sz="4" w:space="0" w:color="A6A6A6"/>
            </w:tcBorders>
          </w:tcPr>
          <w:p w14:paraId="6CF09C06" w14:textId="77777777" w:rsidR="005B131E" w:rsidRPr="00BA7805" w:rsidRDefault="005B131E">
            <w:pPr>
              <w:pStyle w:val="ARfintablebodybold"/>
              <w:rPr>
                <w:highlight w:val="green"/>
              </w:rPr>
            </w:pPr>
            <w:r w:rsidRPr="001D1232">
              <w:t>Total cash and deposits disclosed in the balance sheet</w:t>
            </w:r>
          </w:p>
        </w:tc>
        <w:tc>
          <w:tcPr>
            <w:tcW w:w="1361" w:type="dxa"/>
            <w:tcBorders>
              <w:top w:val="single" w:sz="4" w:space="0" w:color="auto"/>
              <w:bottom w:val="single" w:sz="4" w:space="0" w:color="A6A6A6"/>
            </w:tcBorders>
          </w:tcPr>
          <w:p w14:paraId="659E814C" w14:textId="77777777" w:rsidR="005B131E" w:rsidRPr="00BA7805" w:rsidRDefault="005B131E">
            <w:pPr>
              <w:pStyle w:val="ARfintablebodybold"/>
              <w:rPr>
                <w:highlight w:val="green"/>
              </w:rPr>
            </w:pPr>
          </w:p>
        </w:tc>
      </w:tr>
      <w:tr w:rsidR="005B131E" w:rsidRPr="00BA7805" w14:paraId="50D2B26E" w14:textId="77777777" w:rsidTr="003D7AC8">
        <w:tc>
          <w:tcPr>
            <w:tcW w:w="6917" w:type="dxa"/>
            <w:tcBorders>
              <w:top w:val="single" w:sz="4" w:space="0" w:color="A6A6A6"/>
              <w:bottom w:val="single" w:sz="4" w:space="0" w:color="A6A6A6"/>
            </w:tcBorders>
          </w:tcPr>
          <w:p w14:paraId="1BD2669F" w14:textId="77777777" w:rsidR="005B131E" w:rsidRPr="00BA7805" w:rsidRDefault="005B131E" w:rsidP="002542E1">
            <w:pPr>
              <w:pStyle w:val="ARfintablebody"/>
              <w:rPr>
                <w:highlight w:val="green"/>
              </w:rPr>
            </w:pPr>
            <w:r w:rsidRPr="002C30AB">
              <w:t xml:space="preserve">Short-term deposits </w:t>
            </w:r>
            <w:r w:rsidRPr="00603AAE">
              <w:rPr>
                <w:vertAlign w:val="superscript"/>
              </w:rPr>
              <w:t>(i)</w:t>
            </w:r>
          </w:p>
        </w:tc>
        <w:tc>
          <w:tcPr>
            <w:tcW w:w="1361" w:type="dxa"/>
            <w:tcBorders>
              <w:top w:val="single" w:sz="4" w:space="0" w:color="A6A6A6"/>
              <w:bottom w:val="single" w:sz="4" w:space="0" w:color="A6A6A6"/>
            </w:tcBorders>
            <w:shd w:val="clear" w:color="auto" w:fill="E7E6E6"/>
            <w:noWrap/>
          </w:tcPr>
          <w:p w14:paraId="71B7A32C" w14:textId="77777777" w:rsidR="005B131E" w:rsidRPr="00BA7805" w:rsidRDefault="005B131E" w:rsidP="002542E1">
            <w:pPr>
              <w:pStyle w:val="ARfintablebodyright"/>
              <w:rPr>
                <w:highlight w:val="green"/>
              </w:rPr>
            </w:pPr>
            <w:r w:rsidRPr="002C30AB">
              <w:t>528.2</w:t>
            </w:r>
          </w:p>
        </w:tc>
        <w:tc>
          <w:tcPr>
            <w:tcW w:w="1361" w:type="dxa"/>
            <w:tcBorders>
              <w:top w:val="single" w:sz="4" w:space="0" w:color="A6A6A6"/>
              <w:bottom w:val="single" w:sz="4" w:space="0" w:color="A6A6A6"/>
            </w:tcBorders>
          </w:tcPr>
          <w:p w14:paraId="2CFBBEC7" w14:textId="77777777" w:rsidR="005B131E" w:rsidRPr="00BA7805" w:rsidRDefault="005B131E" w:rsidP="002542E1">
            <w:pPr>
              <w:pStyle w:val="ARfintablebodyright"/>
              <w:rPr>
                <w:highlight w:val="green"/>
              </w:rPr>
            </w:pPr>
            <w:r w:rsidRPr="002C30AB">
              <w:t>643.9</w:t>
            </w:r>
          </w:p>
        </w:tc>
      </w:tr>
      <w:tr w:rsidR="005B131E" w:rsidRPr="00BA7805" w14:paraId="01C6C7F0" w14:textId="77777777" w:rsidTr="003D7AC8">
        <w:tc>
          <w:tcPr>
            <w:tcW w:w="6917" w:type="dxa"/>
            <w:tcBorders>
              <w:top w:val="single" w:sz="4" w:space="0" w:color="A6A6A6"/>
              <w:bottom w:val="single" w:sz="4" w:space="0" w:color="A6A6A6"/>
            </w:tcBorders>
          </w:tcPr>
          <w:p w14:paraId="3E141382" w14:textId="77777777" w:rsidR="005B131E" w:rsidRPr="00BA7805" w:rsidRDefault="005B131E" w:rsidP="002542E1">
            <w:pPr>
              <w:pStyle w:val="ARfintablebody"/>
              <w:rPr>
                <w:highlight w:val="green"/>
              </w:rPr>
            </w:pPr>
            <w:r w:rsidRPr="002C30AB">
              <w:t xml:space="preserve">Cash at bank </w:t>
            </w:r>
            <w:r w:rsidRPr="00603AAE">
              <w:rPr>
                <w:vertAlign w:val="superscript"/>
              </w:rPr>
              <w:t>(i)</w:t>
            </w:r>
          </w:p>
        </w:tc>
        <w:tc>
          <w:tcPr>
            <w:tcW w:w="1361" w:type="dxa"/>
            <w:tcBorders>
              <w:top w:val="single" w:sz="4" w:space="0" w:color="A6A6A6"/>
              <w:bottom w:val="single" w:sz="4" w:space="0" w:color="A6A6A6"/>
            </w:tcBorders>
            <w:shd w:val="clear" w:color="auto" w:fill="E7E6E6"/>
            <w:noWrap/>
          </w:tcPr>
          <w:p w14:paraId="233D2B22" w14:textId="77777777" w:rsidR="005B131E" w:rsidRPr="00BA7805" w:rsidRDefault="005B131E" w:rsidP="002542E1">
            <w:pPr>
              <w:pStyle w:val="ARfintablebodyright"/>
              <w:rPr>
                <w:highlight w:val="green"/>
              </w:rPr>
            </w:pPr>
            <w:r w:rsidRPr="002C30AB">
              <w:t>24.9</w:t>
            </w:r>
          </w:p>
        </w:tc>
        <w:tc>
          <w:tcPr>
            <w:tcW w:w="1361" w:type="dxa"/>
            <w:tcBorders>
              <w:top w:val="single" w:sz="4" w:space="0" w:color="A6A6A6"/>
              <w:bottom w:val="single" w:sz="4" w:space="0" w:color="A6A6A6"/>
            </w:tcBorders>
          </w:tcPr>
          <w:p w14:paraId="7CAC8712" w14:textId="77777777" w:rsidR="005B131E" w:rsidRPr="00BA7805" w:rsidRDefault="005B131E" w:rsidP="002542E1">
            <w:pPr>
              <w:pStyle w:val="ARfintablebodyright"/>
              <w:rPr>
                <w:highlight w:val="green"/>
              </w:rPr>
            </w:pPr>
            <w:r w:rsidRPr="002C30AB">
              <w:t>(7.2)</w:t>
            </w:r>
          </w:p>
        </w:tc>
      </w:tr>
      <w:tr w:rsidR="005B131E" w:rsidRPr="00BA7805" w14:paraId="7CDDDB7F" w14:textId="77777777" w:rsidTr="003D7AC8">
        <w:tc>
          <w:tcPr>
            <w:tcW w:w="6917" w:type="dxa"/>
            <w:tcBorders>
              <w:top w:val="single" w:sz="4" w:space="0" w:color="A6A6A6"/>
              <w:bottom w:val="single" w:sz="4" w:space="0" w:color="A6A6A6"/>
            </w:tcBorders>
          </w:tcPr>
          <w:p w14:paraId="41F0E22F" w14:textId="77777777" w:rsidR="005B131E" w:rsidRPr="00BA7805" w:rsidRDefault="005B131E" w:rsidP="002542E1">
            <w:pPr>
              <w:pStyle w:val="ARfintablebody"/>
              <w:rPr>
                <w:highlight w:val="green"/>
              </w:rPr>
            </w:pPr>
            <w:r w:rsidRPr="002C30AB">
              <w:t>Funds held in trust</w:t>
            </w:r>
          </w:p>
        </w:tc>
        <w:tc>
          <w:tcPr>
            <w:tcW w:w="1361" w:type="dxa"/>
            <w:tcBorders>
              <w:top w:val="single" w:sz="4" w:space="0" w:color="A6A6A6"/>
              <w:bottom w:val="single" w:sz="4" w:space="0" w:color="A6A6A6"/>
            </w:tcBorders>
            <w:shd w:val="clear" w:color="auto" w:fill="E7E6E6"/>
            <w:noWrap/>
          </w:tcPr>
          <w:p w14:paraId="5121EE0E" w14:textId="77777777" w:rsidR="005B131E" w:rsidRPr="00BA7805" w:rsidRDefault="005B131E" w:rsidP="002542E1">
            <w:pPr>
              <w:pStyle w:val="ARfintablebodyright"/>
              <w:rPr>
                <w:highlight w:val="green"/>
              </w:rPr>
            </w:pPr>
            <w:r w:rsidRPr="002C30AB">
              <w:t>47.1</w:t>
            </w:r>
          </w:p>
        </w:tc>
        <w:tc>
          <w:tcPr>
            <w:tcW w:w="1361" w:type="dxa"/>
            <w:tcBorders>
              <w:top w:val="single" w:sz="4" w:space="0" w:color="A6A6A6"/>
              <w:bottom w:val="single" w:sz="4" w:space="0" w:color="A6A6A6"/>
            </w:tcBorders>
          </w:tcPr>
          <w:p w14:paraId="1DB67CC9" w14:textId="77777777" w:rsidR="005B131E" w:rsidRPr="00BA7805" w:rsidRDefault="005B131E" w:rsidP="002542E1">
            <w:pPr>
              <w:pStyle w:val="ARfintablebodyright"/>
              <w:rPr>
                <w:highlight w:val="green"/>
              </w:rPr>
            </w:pPr>
            <w:r w:rsidRPr="002C30AB">
              <w:t>70.0</w:t>
            </w:r>
          </w:p>
        </w:tc>
      </w:tr>
      <w:tr w:rsidR="005B131E" w:rsidRPr="00BA7805" w14:paraId="20C73A8E" w14:textId="77777777" w:rsidTr="003D7AC8">
        <w:tc>
          <w:tcPr>
            <w:tcW w:w="6917" w:type="dxa"/>
            <w:tcBorders>
              <w:top w:val="single" w:sz="4" w:space="0" w:color="A6A6A6"/>
            </w:tcBorders>
          </w:tcPr>
          <w:p w14:paraId="663A84FB" w14:textId="77777777" w:rsidR="005B131E" w:rsidRPr="00BA7805" w:rsidRDefault="005B131E" w:rsidP="002542E1">
            <w:pPr>
              <w:pStyle w:val="ARfintablebody"/>
              <w:rPr>
                <w:highlight w:val="green"/>
              </w:rPr>
            </w:pPr>
            <w:r w:rsidRPr="002C30AB">
              <w:t>RentAssist bonds</w:t>
            </w:r>
          </w:p>
        </w:tc>
        <w:tc>
          <w:tcPr>
            <w:tcW w:w="1361" w:type="dxa"/>
            <w:tcBorders>
              <w:top w:val="single" w:sz="4" w:space="0" w:color="A6A6A6"/>
            </w:tcBorders>
            <w:shd w:val="clear" w:color="auto" w:fill="E7E6E6"/>
            <w:noWrap/>
          </w:tcPr>
          <w:p w14:paraId="6E0C761C" w14:textId="77777777" w:rsidR="005B131E" w:rsidRPr="00BA7805" w:rsidRDefault="005B131E" w:rsidP="002542E1">
            <w:pPr>
              <w:pStyle w:val="ARfintablebodyright"/>
              <w:rPr>
                <w:highlight w:val="green"/>
              </w:rPr>
            </w:pPr>
            <w:r w:rsidRPr="002C30AB">
              <w:t>0.3</w:t>
            </w:r>
          </w:p>
        </w:tc>
        <w:tc>
          <w:tcPr>
            <w:tcW w:w="1361" w:type="dxa"/>
            <w:tcBorders>
              <w:top w:val="single" w:sz="4" w:space="0" w:color="A6A6A6"/>
            </w:tcBorders>
          </w:tcPr>
          <w:p w14:paraId="6F1C03B5" w14:textId="77777777" w:rsidR="005B131E" w:rsidRPr="00BA7805" w:rsidRDefault="005B131E" w:rsidP="002542E1">
            <w:pPr>
              <w:pStyle w:val="ARfintablebodyright"/>
              <w:rPr>
                <w:highlight w:val="green"/>
              </w:rPr>
            </w:pPr>
            <w:r>
              <w:t>–</w:t>
            </w:r>
          </w:p>
        </w:tc>
      </w:tr>
      <w:tr w:rsidR="005B131E" w:rsidRPr="00BA7805" w14:paraId="1CA971A2" w14:textId="77777777" w:rsidTr="003D7AC8">
        <w:tc>
          <w:tcPr>
            <w:tcW w:w="6917" w:type="dxa"/>
          </w:tcPr>
          <w:p w14:paraId="161E208C" w14:textId="77777777" w:rsidR="005B131E" w:rsidRPr="00BA7805" w:rsidRDefault="005B131E" w:rsidP="002542E1">
            <w:pPr>
              <w:pStyle w:val="ARfintablebodybold"/>
              <w:rPr>
                <w:highlight w:val="green"/>
              </w:rPr>
            </w:pPr>
            <w:r w:rsidRPr="002C30AB">
              <w:t>Balance as per cash flow statement</w:t>
            </w:r>
          </w:p>
        </w:tc>
        <w:tc>
          <w:tcPr>
            <w:tcW w:w="1361" w:type="dxa"/>
            <w:shd w:val="clear" w:color="auto" w:fill="E7E6E6"/>
            <w:noWrap/>
          </w:tcPr>
          <w:p w14:paraId="1CD34EDD" w14:textId="77777777" w:rsidR="005B131E" w:rsidRPr="00BA7805" w:rsidRDefault="005B131E" w:rsidP="002542E1">
            <w:pPr>
              <w:pStyle w:val="ARfintablebodyrightbold"/>
              <w:rPr>
                <w:highlight w:val="green"/>
              </w:rPr>
            </w:pPr>
            <w:r w:rsidRPr="002C30AB">
              <w:t>600.5</w:t>
            </w:r>
          </w:p>
        </w:tc>
        <w:tc>
          <w:tcPr>
            <w:tcW w:w="1361" w:type="dxa"/>
          </w:tcPr>
          <w:p w14:paraId="71852A02" w14:textId="77777777" w:rsidR="005B131E" w:rsidRPr="00BA7805" w:rsidRDefault="005B131E" w:rsidP="002542E1">
            <w:pPr>
              <w:pStyle w:val="ARfintablebodyrightbold"/>
              <w:rPr>
                <w:highlight w:val="green"/>
              </w:rPr>
            </w:pPr>
            <w:r w:rsidRPr="002C30AB">
              <w:t>706.8</w:t>
            </w:r>
          </w:p>
        </w:tc>
      </w:tr>
    </w:tbl>
    <w:p w14:paraId="2B7924B3" w14:textId="77777777" w:rsidR="005B131E" w:rsidRDefault="005B131E" w:rsidP="002542E1">
      <w:pPr>
        <w:pStyle w:val="ARfintablefootnote"/>
      </w:pPr>
      <w:r>
        <w:t>Notes:</w:t>
      </w:r>
    </w:p>
    <w:p w14:paraId="6181C07D" w14:textId="77777777" w:rsidR="005B131E" w:rsidRDefault="005B131E" w:rsidP="002542E1">
      <w:pPr>
        <w:pStyle w:val="ARfintablefootnotetabindent"/>
      </w:pPr>
      <w:r>
        <w:t xml:space="preserve">(i) </w:t>
      </w:r>
      <w:r>
        <w:tab/>
        <w:t>Cash and short-term deposits include funds held by Homes Victoria in the Central Banking System as well as funds that have been committed to a number of significant projects and are expected to be expensed in 2024-25 (as disclosed in Note 7.5).</w:t>
      </w:r>
    </w:p>
    <w:p w14:paraId="49C276F7" w14:textId="0EFEC1B8" w:rsidR="005B131E" w:rsidRDefault="005B131E" w:rsidP="002542E1">
      <w:pPr>
        <w:pStyle w:val="ARfinbodyaftertable"/>
      </w:pPr>
      <w:r>
        <w:t>Due to the state</w:t>
      </w:r>
      <w:r w:rsidR="00711AE6">
        <w:t>’</w:t>
      </w:r>
      <w:r>
        <w:t>s investment policy and funding arrangements, the department does not hold a large cash reserve in its bank accounts. Cash received from generation of income is generally paid into the state</w:t>
      </w:r>
      <w:r w:rsidR="00711AE6">
        <w:t>’</w:t>
      </w:r>
      <w:r>
        <w:t>s bank account (</w:t>
      </w:r>
      <w:r w:rsidR="00711AE6">
        <w:t>‘</w:t>
      </w:r>
      <w:r>
        <w:t>public account</w:t>
      </w:r>
      <w:r w:rsidR="00711AE6">
        <w:t>’</w:t>
      </w:r>
      <w:r>
        <w:t>). Similarly, departmental expenditure, including in the form of cheques drawn for the payments to its suppliers and creditors, are made via the public account. The public account remits to the department the cash required upon presentation of cheques by the department</w:t>
      </w:r>
      <w:r w:rsidR="00711AE6">
        <w:t>’</w:t>
      </w:r>
      <w:r>
        <w:t>s suppliers or creditors.</w:t>
      </w:r>
    </w:p>
    <w:p w14:paraId="445ACFBA" w14:textId="77777777" w:rsidR="005B131E" w:rsidRDefault="005B131E" w:rsidP="002542E1">
      <w:pPr>
        <w:pStyle w:val="ARbody"/>
        <w:rPr>
          <w:rFonts w:eastAsia="MS Mincho"/>
          <w:color w:val="000000"/>
          <w:sz w:val="18"/>
          <w:szCs w:val="16"/>
          <w:lang w:eastAsia="en-AU"/>
        </w:rPr>
      </w:pPr>
      <w:r>
        <w:br w:type="page"/>
      </w:r>
    </w:p>
    <w:p w14:paraId="6ADFDEEC" w14:textId="77777777" w:rsidR="005B131E" w:rsidRPr="00BA7805" w:rsidRDefault="005B131E" w:rsidP="00207901">
      <w:pPr>
        <w:pStyle w:val="Heading5"/>
        <w:rPr>
          <w:highlight w:val="green"/>
        </w:rPr>
      </w:pPr>
      <w:r w:rsidRPr="006B2B33">
        <w:t>7.3.1 Reconciliation of net result for the period to net cash flow from operating activities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698AD537"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hideMark/>
          </w:tcPr>
          <w:p w14:paraId="2977E119" w14:textId="77777777" w:rsidR="005B131E" w:rsidRPr="00BA7805" w:rsidRDefault="005B131E">
            <w:pPr>
              <w:pStyle w:val="ARfintablecolhead"/>
              <w:rPr>
                <w:highlight w:val="green"/>
              </w:rPr>
            </w:pPr>
          </w:p>
        </w:tc>
        <w:tc>
          <w:tcPr>
            <w:tcW w:w="1361" w:type="dxa"/>
            <w:shd w:val="clear" w:color="auto" w:fill="E7E6E6" w:themeFill="accent4"/>
            <w:hideMark/>
          </w:tcPr>
          <w:p w14:paraId="77033C25" w14:textId="77777777" w:rsidR="005B131E" w:rsidRPr="00877DF9" w:rsidRDefault="005B131E">
            <w:pPr>
              <w:pStyle w:val="ARfintablecolheadright"/>
            </w:pPr>
            <w:r w:rsidRPr="00877DF9">
              <w:t>2024</w:t>
            </w:r>
          </w:p>
          <w:p w14:paraId="52273CE5" w14:textId="77777777" w:rsidR="005B131E" w:rsidRPr="00877DF9" w:rsidRDefault="005B131E">
            <w:pPr>
              <w:pStyle w:val="ARfintablecolheadright"/>
            </w:pPr>
            <w:r w:rsidRPr="00877DF9">
              <w:t>$M</w:t>
            </w:r>
          </w:p>
        </w:tc>
        <w:tc>
          <w:tcPr>
            <w:tcW w:w="1361" w:type="dxa"/>
            <w:hideMark/>
          </w:tcPr>
          <w:p w14:paraId="4657F4EF" w14:textId="77777777" w:rsidR="005B131E" w:rsidRPr="00877DF9" w:rsidRDefault="005B131E">
            <w:pPr>
              <w:pStyle w:val="ARfintablecolheadright"/>
            </w:pPr>
            <w:r w:rsidRPr="00877DF9">
              <w:t>2023</w:t>
            </w:r>
          </w:p>
          <w:p w14:paraId="375C4333" w14:textId="77777777" w:rsidR="005B131E" w:rsidRPr="00877DF9" w:rsidRDefault="005B131E">
            <w:pPr>
              <w:pStyle w:val="ARfintablecolheadright"/>
            </w:pPr>
            <w:r w:rsidRPr="00877DF9">
              <w:t>$M</w:t>
            </w:r>
          </w:p>
        </w:tc>
      </w:tr>
      <w:tr w:rsidR="005B131E" w:rsidRPr="00BA7805" w14:paraId="4403A3B4" w14:textId="77777777" w:rsidTr="002542E1">
        <w:tc>
          <w:tcPr>
            <w:tcW w:w="6915" w:type="dxa"/>
            <w:tcBorders>
              <w:bottom w:val="single" w:sz="4" w:space="0" w:color="auto"/>
            </w:tcBorders>
          </w:tcPr>
          <w:p w14:paraId="0E228915" w14:textId="77777777" w:rsidR="005B131E" w:rsidRPr="00BA7805" w:rsidRDefault="005B131E" w:rsidP="002542E1">
            <w:pPr>
              <w:pStyle w:val="ARfintablebodybold"/>
              <w:rPr>
                <w:highlight w:val="green"/>
              </w:rPr>
            </w:pPr>
            <w:r w:rsidRPr="00B526A6">
              <w:t xml:space="preserve">Net result for the period </w:t>
            </w:r>
          </w:p>
        </w:tc>
        <w:tc>
          <w:tcPr>
            <w:tcW w:w="1361" w:type="dxa"/>
            <w:tcBorders>
              <w:bottom w:val="single" w:sz="4" w:space="0" w:color="auto"/>
            </w:tcBorders>
            <w:shd w:val="clear" w:color="auto" w:fill="E7E6E6" w:themeFill="accent4"/>
            <w:noWrap/>
          </w:tcPr>
          <w:p w14:paraId="5DF1A5E5" w14:textId="77777777" w:rsidR="005B131E" w:rsidRPr="00BA7805" w:rsidRDefault="005B131E" w:rsidP="002542E1">
            <w:pPr>
              <w:pStyle w:val="ARfintablebodyright"/>
              <w:rPr>
                <w:highlight w:val="green"/>
              </w:rPr>
            </w:pPr>
            <w:r w:rsidRPr="00B526A6">
              <w:t>(638.4)</w:t>
            </w:r>
          </w:p>
        </w:tc>
        <w:tc>
          <w:tcPr>
            <w:tcW w:w="1361" w:type="dxa"/>
            <w:tcBorders>
              <w:bottom w:val="single" w:sz="4" w:space="0" w:color="auto"/>
            </w:tcBorders>
            <w:noWrap/>
          </w:tcPr>
          <w:p w14:paraId="1A763608" w14:textId="77777777" w:rsidR="005B131E" w:rsidRPr="00BA7805" w:rsidRDefault="005B131E" w:rsidP="002542E1">
            <w:pPr>
              <w:pStyle w:val="ARfintablebodyright"/>
              <w:rPr>
                <w:highlight w:val="green"/>
              </w:rPr>
            </w:pPr>
            <w:r w:rsidRPr="00B526A6">
              <w:t>(264.7)</w:t>
            </w:r>
          </w:p>
        </w:tc>
      </w:tr>
      <w:tr w:rsidR="005B131E" w:rsidRPr="00BA7805" w14:paraId="136ABE1F" w14:textId="77777777" w:rsidTr="003D7AC8">
        <w:tc>
          <w:tcPr>
            <w:tcW w:w="9637" w:type="dxa"/>
            <w:gridSpan w:val="3"/>
            <w:tcBorders>
              <w:top w:val="single" w:sz="4" w:space="0" w:color="auto"/>
              <w:bottom w:val="single" w:sz="4" w:space="0" w:color="A6A6A6" w:themeColor="background1" w:themeShade="A6"/>
            </w:tcBorders>
          </w:tcPr>
          <w:p w14:paraId="5AABFF37" w14:textId="77777777" w:rsidR="005B131E" w:rsidRPr="00BA7805" w:rsidRDefault="005B131E" w:rsidP="002542E1">
            <w:pPr>
              <w:pStyle w:val="ARfintablebodybold"/>
              <w:rPr>
                <w:highlight w:val="green"/>
              </w:rPr>
            </w:pPr>
            <w:r w:rsidRPr="00B526A6">
              <w:t xml:space="preserve">Non-cash movements </w:t>
            </w:r>
          </w:p>
        </w:tc>
      </w:tr>
      <w:tr w:rsidR="005B131E" w:rsidRPr="00BA7805" w14:paraId="028661D9" w14:textId="77777777" w:rsidTr="002542E1">
        <w:tc>
          <w:tcPr>
            <w:tcW w:w="6915" w:type="dxa"/>
            <w:tcBorders>
              <w:top w:val="single" w:sz="4" w:space="0" w:color="A6A6A6" w:themeColor="background1" w:themeShade="A6"/>
              <w:bottom w:val="single" w:sz="4" w:space="0" w:color="A6A6A6" w:themeColor="background1" w:themeShade="A6"/>
            </w:tcBorders>
          </w:tcPr>
          <w:p w14:paraId="010C5646" w14:textId="77777777" w:rsidR="005B131E" w:rsidRPr="00BA7805" w:rsidRDefault="005B131E" w:rsidP="002542E1">
            <w:pPr>
              <w:pStyle w:val="ARfintablebody"/>
              <w:rPr>
                <w:highlight w:val="green"/>
              </w:rPr>
            </w:pPr>
            <w:r w:rsidRPr="00B526A6">
              <w:t xml:space="preserve">(Gain)/loss on sale of non-financial assets </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515678F2" w14:textId="77777777" w:rsidR="005B131E" w:rsidRPr="00BA7805" w:rsidRDefault="005B131E" w:rsidP="002542E1">
            <w:pPr>
              <w:pStyle w:val="ARfintablebodyright"/>
              <w:rPr>
                <w:highlight w:val="green"/>
              </w:rPr>
            </w:pPr>
            <w:r w:rsidRPr="00B526A6">
              <w:t>8.6</w:t>
            </w:r>
          </w:p>
        </w:tc>
        <w:tc>
          <w:tcPr>
            <w:tcW w:w="1361" w:type="dxa"/>
            <w:tcBorders>
              <w:top w:val="single" w:sz="4" w:space="0" w:color="A6A6A6" w:themeColor="background1" w:themeShade="A6"/>
              <w:bottom w:val="single" w:sz="4" w:space="0" w:color="A6A6A6" w:themeColor="background1" w:themeShade="A6"/>
            </w:tcBorders>
            <w:noWrap/>
          </w:tcPr>
          <w:p w14:paraId="7D6ABA9F" w14:textId="77777777" w:rsidR="005B131E" w:rsidRPr="00BA7805" w:rsidRDefault="005B131E" w:rsidP="002542E1">
            <w:pPr>
              <w:pStyle w:val="ARfintablebodyright"/>
              <w:rPr>
                <w:highlight w:val="green"/>
              </w:rPr>
            </w:pPr>
            <w:r w:rsidRPr="00B526A6">
              <w:t>3.4</w:t>
            </w:r>
          </w:p>
        </w:tc>
      </w:tr>
      <w:tr w:rsidR="005B131E" w:rsidRPr="00BA7805" w14:paraId="3C5B0139" w14:textId="77777777" w:rsidTr="002542E1">
        <w:tc>
          <w:tcPr>
            <w:tcW w:w="6915" w:type="dxa"/>
            <w:tcBorders>
              <w:top w:val="single" w:sz="4" w:space="0" w:color="A6A6A6" w:themeColor="background1" w:themeShade="A6"/>
              <w:bottom w:val="single" w:sz="4" w:space="0" w:color="A6A6A6" w:themeColor="background1" w:themeShade="A6"/>
            </w:tcBorders>
          </w:tcPr>
          <w:p w14:paraId="78646D83" w14:textId="77777777" w:rsidR="005B131E" w:rsidRPr="00BA7805" w:rsidRDefault="005B131E" w:rsidP="002542E1">
            <w:pPr>
              <w:pStyle w:val="ARfintablebody"/>
              <w:rPr>
                <w:highlight w:val="green"/>
              </w:rPr>
            </w:pPr>
            <w:r w:rsidRPr="00B526A6">
              <w:t xml:space="preserve">Depreciation and amortisation </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FCA36D3" w14:textId="77777777" w:rsidR="005B131E" w:rsidRPr="00BA7805" w:rsidRDefault="005B131E" w:rsidP="002542E1">
            <w:pPr>
              <w:pStyle w:val="ARfintablebodyright"/>
              <w:rPr>
                <w:highlight w:val="green"/>
              </w:rPr>
            </w:pPr>
            <w:r w:rsidRPr="00B526A6">
              <w:t>410.0</w:t>
            </w:r>
          </w:p>
        </w:tc>
        <w:tc>
          <w:tcPr>
            <w:tcW w:w="1361" w:type="dxa"/>
            <w:tcBorders>
              <w:top w:val="single" w:sz="4" w:space="0" w:color="A6A6A6" w:themeColor="background1" w:themeShade="A6"/>
              <w:bottom w:val="single" w:sz="4" w:space="0" w:color="A6A6A6" w:themeColor="background1" w:themeShade="A6"/>
            </w:tcBorders>
            <w:noWrap/>
          </w:tcPr>
          <w:p w14:paraId="4BA60D5A" w14:textId="77777777" w:rsidR="005B131E" w:rsidRPr="00BA7805" w:rsidRDefault="005B131E" w:rsidP="002542E1">
            <w:pPr>
              <w:pStyle w:val="ARfintablebodyright"/>
              <w:rPr>
                <w:color w:val="000000" w:themeColor="text1"/>
                <w:szCs w:val="18"/>
                <w:highlight w:val="green"/>
              </w:rPr>
            </w:pPr>
            <w:r w:rsidRPr="00B526A6">
              <w:t>362.3</w:t>
            </w:r>
          </w:p>
        </w:tc>
      </w:tr>
      <w:tr w:rsidR="005B131E" w:rsidRPr="00BA7805" w14:paraId="258B6D25" w14:textId="77777777" w:rsidTr="002542E1">
        <w:tc>
          <w:tcPr>
            <w:tcW w:w="6915" w:type="dxa"/>
            <w:tcBorders>
              <w:top w:val="single" w:sz="4" w:space="0" w:color="A6A6A6" w:themeColor="background1" w:themeShade="A6"/>
              <w:bottom w:val="single" w:sz="4" w:space="0" w:color="A6A6A6" w:themeColor="background1" w:themeShade="A6"/>
            </w:tcBorders>
          </w:tcPr>
          <w:p w14:paraId="0A4AC525" w14:textId="77777777" w:rsidR="005B131E" w:rsidRPr="00BA7805" w:rsidRDefault="005B131E" w:rsidP="002542E1">
            <w:pPr>
              <w:pStyle w:val="ARfintablebody"/>
              <w:rPr>
                <w:highlight w:val="green"/>
              </w:rPr>
            </w:pPr>
            <w:r w:rsidRPr="00B526A6">
              <w:t xml:space="preserve">Resources (received)/provided free of charge </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7179E352" w14:textId="77777777" w:rsidR="005B131E" w:rsidRPr="00BA7805" w:rsidRDefault="005B131E" w:rsidP="002542E1">
            <w:pPr>
              <w:pStyle w:val="ARfintablebodyright"/>
              <w:rPr>
                <w:highlight w:val="green"/>
              </w:rPr>
            </w:pPr>
            <w:r>
              <w:t>–</w:t>
            </w:r>
          </w:p>
        </w:tc>
        <w:tc>
          <w:tcPr>
            <w:tcW w:w="1361" w:type="dxa"/>
            <w:tcBorders>
              <w:top w:val="single" w:sz="4" w:space="0" w:color="A6A6A6" w:themeColor="background1" w:themeShade="A6"/>
              <w:bottom w:val="single" w:sz="4" w:space="0" w:color="A6A6A6" w:themeColor="background1" w:themeShade="A6"/>
            </w:tcBorders>
            <w:noWrap/>
          </w:tcPr>
          <w:p w14:paraId="6C12BA8C" w14:textId="77777777" w:rsidR="005B131E" w:rsidRPr="00BA7805" w:rsidRDefault="005B131E" w:rsidP="002542E1">
            <w:pPr>
              <w:pStyle w:val="ARfintablebodyright"/>
              <w:rPr>
                <w:highlight w:val="green"/>
              </w:rPr>
            </w:pPr>
            <w:r w:rsidRPr="00B526A6">
              <w:t>1.8</w:t>
            </w:r>
          </w:p>
        </w:tc>
      </w:tr>
      <w:tr w:rsidR="005B131E" w:rsidRPr="00BA7805" w14:paraId="6551C8E2" w14:textId="77777777">
        <w:tc>
          <w:tcPr>
            <w:tcW w:w="9637" w:type="dxa"/>
            <w:gridSpan w:val="3"/>
            <w:tcBorders>
              <w:top w:val="single" w:sz="4" w:space="0" w:color="A6A6A6" w:themeColor="background1" w:themeShade="A6"/>
              <w:bottom w:val="single" w:sz="4" w:space="0" w:color="A6A6A6" w:themeColor="background1" w:themeShade="A6"/>
            </w:tcBorders>
          </w:tcPr>
          <w:p w14:paraId="70E6E7A6" w14:textId="77777777" w:rsidR="005B131E" w:rsidRPr="00BA7805" w:rsidRDefault="005B131E" w:rsidP="002542E1">
            <w:pPr>
              <w:pStyle w:val="ARfintablebodybold"/>
              <w:rPr>
                <w:highlight w:val="green"/>
              </w:rPr>
            </w:pPr>
            <w:r w:rsidRPr="00B526A6">
              <w:t xml:space="preserve">Movements in assets and liabilities </w:t>
            </w:r>
          </w:p>
        </w:tc>
      </w:tr>
      <w:tr w:rsidR="005B131E" w:rsidRPr="00BA7805" w14:paraId="12A9D5C6" w14:textId="77777777" w:rsidTr="003D7AC8">
        <w:tc>
          <w:tcPr>
            <w:tcW w:w="9637" w:type="dxa"/>
            <w:gridSpan w:val="3"/>
            <w:tcBorders>
              <w:top w:val="single" w:sz="4" w:space="0" w:color="A6A6A6" w:themeColor="background1" w:themeShade="A6"/>
              <w:bottom w:val="single" w:sz="4" w:space="0" w:color="A6A6A6" w:themeColor="background1" w:themeShade="A6"/>
            </w:tcBorders>
          </w:tcPr>
          <w:p w14:paraId="0D94706E" w14:textId="77777777" w:rsidR="005B131E" w:rsidRPr="00BA7805" w:rsidRDefault="005B131E" w:rsidP="002542E1">
            <w:pPr>
              <w:pStyle w:val="ARfintablebodybold"/>
              <w:rPr>
                <w:highlight w:val="green"/>
              </w:rPr>
            </w:pPr>
            <w:r w:rsidRPr="00B526A6">
              <w:t xml:space="preserve">Financial assets </w:t>
            </w:r>
          </w:p>
        </w:tc>
      </w:tr>
      <w:tr w:rsidR="005B131E" w:rsidRPr="00BA7805" w14:paraId="04DD428A" w14:textId="77777777" w:rsidTr="002542E1">
        <w:tc>
          <w:tcPr>
            <w:tcW w:w="6915" w:type="dxa"/>
            <w:tcBorders>
              <w:top w:val="single" w:sz="4" w:space="0" w:color="A6A6A6" w:themeColor="background1" w:themeShade="A6"/>
              <w:bottom w:val="single" w:sz="4" w:space="0" w:color="A6A6A6" w:themeColor="background1" w:themeShade="A6"/>
            </w:tcBorders>
          </w:tcPr>
          <w:p w14:paraId="187ACE0C" w14:textId="77777777" w:rsidR="005B131E" w:rsidRPr="00B526A6" w:rsidRDefault="005B131E" w:rsidP="002542E1">
            <w:pPr>
              <w:pStyle w:val="ARfintablebody"/>
            </w:pPr>
            <w:r w:rsidRPr="00B526A6">
              <w:t>(Increase)/decrease in receivables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A3F4FEB" w14:textId="77777777" w:rsidR="005B131E" w:rsidRPr="00C24F2B" w:rsidRDefault="005B131E" w:rsidP="002542E1">
            <w:pPr>
              <w:pStyle w:val="ARfintablebodyright"/>
            </w:pPr>
            <w:r w:rsidRPr="00C24F2B">
              <w:t>(467.9)</w:t>
            </w:r>
          </w:p>
        </w:tc>
        <w:tc>
          <w:tcPr>
            <w:tcW w:w="1361" w:type="dxa"/>
            <w:tcBorders>
              <w:top w:val="single" w:sz="4" w:space="0" w:color="A6A6A6" w:themeColor="background1" w:themeShade="A6"/>
              <w:bottom w:val="single" w:sz="4" w:space="0" w:color="A6A6A6" w:themeColor="background1" w:themeShade="A6"/>
            </w:tcBorders>
            <w:noWrap/>
          </w:tcPr>
          <w:p w14:paraId="29E9AEA2" w14:textId="77777777" w:rsidR="005B131E" w:rsidRPr="00C24F2B" w:rsidRDefault="005B131E" w:rsidP="002542E1">
            <w:pPr>
              <w:pStyle w:val="ARfintablebodyright"/>
            </w:pPr>
            <w:r w:rsidRPr="00C24F2B">
              <w:t>366.4</w:t>
            </w:r>
          </w:p>
        </w:tc>
      </w:tr>
      <w:tr w:rsidR="005B131E" w:rsidRPr="00BA7805" w14:paraId="7686FDF0" w14:textId="77777777" w:rsidTr="002542E1">
        <w:tc>
          <w:tcPr>
            <w:tcW w:w="6915" w:type="dxa"/>
            <w:tcBorders>
              <w:top w:val="single" w:sz="4" w:space="0" w:color="A6A6A6" w:themeColor="background1" w:themeShade="A6"/>
              <w:bottom w:val="single" w:sz="4" w:space="0" w:color="A6A6A6" w:themeColor="background1" w:themeShade="A6"/>
            </w:tcBorders>
          </w:tcPr>
          <w:p w14:paraId="374E58C3" w14:textId="77777777" w:rsidR="005B131E" w:rsidRPr="00BA7805" w:rsidRDefault="005B131E" w:rsidP="002542E1">
            <w:pPr>
              <w:pStyle w:val="ARfintablebody"/>
              <w:rPr>
                <w:highlight w:val="green"/>
              </w:rPr>
            </w:pPr>
            <w:r w:rsidRPr="00B526A6">
              <w:t xml:space="preserve">(Increase)/decrease in prepayments </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53B00642" w14:textId="77777777" w:rsidR="005B131E" w:rsidRPr="00BA7805" w:rsidRDefault="005B131E" w:rsidP="002542E1">
            <w:pPr>
              <w:pStyle w:val="ARfintablebodyright"/>
              <w:rPr>
                <w:highlight w:val="green"/>
              </w:rPr>
            </w:pPr>
            <w:r w:rsidRPr="00B526A6">
              <w:t>25.0</w:t>
            </w:r>
          </w:p>
        </w:tc>
        <w:tc>
          <w:tcPr>
            <w:tcW w:w="1361" w:type="dxa"/>
            <w:tcBorders>
              <w:top w:val="single" w:sz="4" w:space="0" w:color="A6A6A6" w:themeColor="background1" w:themeShade="A6"/>
              <w:bottom w:val="single" w:sz="4" w:space="0" w:color="A6A6A6" w:themeColor="background1" w:themeShade="A6"/>
            </w:tcBorders>
            <w:noWrap/>
          </w:tcPr>
          <w:p w14:paraId="22ECEE84" w14:textId="77777777" w:rsidR="005B131E" w:rsidRPr="00BA7805" w:rsidRDefault="005B131E" w:rsidP="002542E1">
            <w:pPr>
              <w:pStyle w:val="ARfintablebodyright"/>
              <w:rPr>
                <w:highlight w:val="green"/>
              </w:rPr>
            </w:pPr>
            <w:r w:rsidRPr="00B526A6">
              <w:t>(14.9)</w:t>
            </w:r>
          </w:p>
        </w:tc>
      </w:tr>
      <w:tr w:rsidR="005B131E" w:rsidRPr="00BA7805" w14:paraId="3D07660F" w14:textId="77777777" w:rsidTr="003D7AC8">
        <w:tc>
          <w:tcPr>
            <w:tcW w:w="9637" w:type="dxa"/>
            <w:gridSpan w:val="3"/>
            <w:tcBorders>
              <w:top w:val="single" w:sz="4" w:space="0" w:color="A6A6A6" w:themeColor="background1" w:themeShade="A6"/>
              <w:bottom w:val="single" w:sz="4" w:space="0" w:color="A6A6A6" w:themeColor="background1" w:themeShade="A6"/>
            </w:tcBorders>
          </w:tcPr>
          <w:p w14:paraId="33C8E509" w14:textId="77777777" w:rsidR="005B131E" w:rsidRPr="00BA7805" w:rsidRDefault="005B131E" w:rsidP="002542E1">
            <w:pPr>
              <w:pStyle w:val="ARfintablebodybold"/>
              <w:rPr>
                <w:highlight w:val="green"/>
              </w:rPr>
            </w:pPr>
            <w:r w:rsidRPr="00B526A6">
              <w:t>Financial liabilities</w:t>
            </w:r>
          </w:p>
        </w:tc>
      </w:tr>
      <w:tr w:rsidR="005B131E" w:rsidRPr="00BA7805" w14:paraId="4A7A2D27" w14:textId="77777777" w:rsidTr="002542E1">
        <w:tc>
          <w:tcPr>
            <w:tcW w:w="6915" w:type="dxa"/>
            <w:tcBorders>
              <w:top w:val="single" w:sz="4" w:space="0" w:color="A6A6A6" w:themeColor="background1" w:themeShade="A6"/>
              <w:bottom w:val="single" w:sz="4" w:space="0" w:color="A6A6A6" w:themeColor="background1" w:themeShade="A6"/>
            </w:tcBorders>
          </w:tcPr>
          <w:p w14:paraId="5FE3147B" w14:textId="77777777" w:rsidR="005B131E" w:rsidRPr="00B526A6" w:rsidRDefault="005B131E" w:rsidP="002542E1">
            <w:pPr>
              <w:pStyle w:val="ARfintablebody"/>
            </w:pPr>
            <w:r w:rsidRPr="00B526A6">
              <w:t>Increase/(decrease) in payables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5959404" w14:textId="77777777" w:rsidR="005B131E" w:rsidRPr="00B526A6" w:rsidRDefault="005B131E" w:rsidP="002542E1">
            <w:pPr>
              <w:pStyle w:val="ARfintablebodyright"/>
            </w:pPr>
            <w:r>
              <w:t>120.5</w:t>
            </w:r>
          </w:p>
        </w:tc>
        <w:tc>
          <w:tcPr>
            <w:tcW w:w="1361" w:type="dxa"/>
            <w:tcBorders>
              <w:top w:val="single" w:sz="4" w:space="0" w:color="A6A6A6" w:themeColor="background1" w:themeShade="A6"/>
              <w:bottom w:val="single" w:sz="4" w:space="0" w:color="A6A6A6" w:themeColor="background1" w:themeShade="A6"/>
            </w:tcBorders>
            <w:noWrap/>
          </w:tcPr>
          <w:p w14:paraId="765C356A" w14:textId="77777777" w:rsidR="005B131E" w:rsidRPr="00B526A6" w:rsidRDefault="005B131E" w:rsidP="002542E1">
            <w:pPr>
              <w:pStyle w:val="ARfintablebodyright"/>
            </w:pPr>
            <w:r>
              <w:t>(297.2)</w:t>
            </w:r>
          </w:p>
        </w:tc>
      </w:tr>
      <w:tr w:rsidR="005B131E" w:rsidRPr="00BA7805" w14:paraId="3AA0010E" w14:textId="77777777" w:rsidTr="002542E1">
        <w:tc>
          <w:tcPr>
            <w:tcW w:w="6915" w:type="dxa"/>
            <w:tcBorders>
              <w:top w:val="single" w:sz="4" w:space="0" w:color="A6A6A6" w:themeColor="background1" w:themeShade="A6"/>
              <w:bottom w:val="single" w:sz="4" w:space="0" w:color="000000" w:themeColor="text1"/>
            </w:tcBorders>
          </w:tcPr>
          <w:p w14:paraId="4C22FE92" w14:textId="77777777" w:rsidR="005B131E" w:rsidRPr="00BA7805" w:rsidRDefault="005B131E" w:rsidP="002542E1">
            <w:pPr>
              <w:pStyle w:val="ARfintablebody"/>
              <w:rPr>
                <w:highlight w:val="green"/>
              </w:rPr>
            </w:pPr>
            <w:r w:rsidRPr="00B526A6">
              <w:t xml:space="preserve">Increase/(decrease) in employee related provisions and other provisions </w:t>
            </w:r>
          </w:p>
        </w:tc>
        <w:tc>
          <w:tcPr>
            <w:tcW w:w="1361" w:type="dxa"/>
            <w:tcBorders>
              <w:top w:val="single" w:sz="4" w:space="0" w:color="A6A6A6" w:themeColor="background1" w:themeShade="A6"/>
              <w:bottom w:val="single" w:sz="4" w:space="0" w:color="000000" w:themeColor="text1"/>
            </w:tcBorders>
            <w:shd w:val="clear" w:color="auto" w:fill="E7E6E6" w:themeFill="accent4"/>
            <w:noWrap/>
          </w:tcPr>
          <w:p w14:paraId="758CF2DD" w14:textId="77777777" w:rsidR="005B131E" w:rsidRPr="00BA7805" w:rsidRDefault="005B131E" w:rsidP="002542E1">
            <w:pPr>
              <w:pStyle w:val="ARfintablebodyright"/>
              <w:rPr>
                <w:highlight w:val="green"/>
              </w:rPr>
            </w:pPr>
            <w:r w:rsidRPr="00B526A6">
              <w:t>317.7</w:t>
            </w:r>
          </w:p>
        </w:tc>
        <w:tc>
          <w:tcPr>
            <w:tcW w:w="1361" w:type="dxa"/>
            <w:tcBorders>
              <w:top w:val="single" w:sz="4" w:space="0" w:color="A6A6A6" w:themeColor="background1" w:themeShade="A6"/>
              <w:bottom w:val="single" w:sz="4" w:space="0" w:color="000000" w:themeColor="text1"/>
            </w:tcBorders>
            <w:noWrap/>
          </w:tcPr>
          <w:p w14:paraId="3B4E0198" w14:textId="77777777" w:rsidR="005B131E" w:rsidRPr="00BA7805" w:rsidRDefault="005B131E" w:rsidP="002542E1">
            <w:pPr>
              <w:pStyle w:val="ARfintablebodyright"/>
              <w:rPr>
                <w:color w:val="000000" w:themeColor="text1"/>
                <w:szCs w:val="18"/>
                <w:highlight w:val="green"/>
              </w:rPr>
            </w:pPr>
            <w:r w:rsidRPr="00B526A6">
              <w:t>25.4</w:t>
            </w:r>
          </w:p>
        </w:tc>
      </w:tr>
      <w:tr w:rsidR="005B131E" w:rsidRPr="00BA7805" w14:paraId="16AC68B5" w14:textId="77777777" w:rsidTr="002542E1">
        <w:tc>
          <w:tcPr>
            <w:tcW w:w="6915" w:type="dxa"/>
            <w:tcBorders>
              <w:top w:val="single" w:sz="4" w:space="0" w:color="000000" w:themeColor="text1"/>
            </w:tcBorders>
          </w:tcPr>
          <w:p w14:paraId="275551F3" w14:textId="77777777" w:rsidR="005B131E" w:rsidRPr="00BA7805" w:rsidRDefault="005B131E" w:rsidP="002542E1">
            <w:pPr>
              <w:pStyle w:val="ARfintablebodybold"/>
              <w:rPr>
                <w:highlight w:val="green"/>
              </w:rPr>
            </w:pPr>
            <w:r w:rsidRPr="00B526A6">
              <w:t xml:space="preserve">Net cash flows from/(used in) operating activities </w:t>
            </w:r>
          </w:p>
        </w:tc>
        <w:tc>
          <w:tcPr>
            <w:tcW w:w="1361" w:type="dxa"/>
            <w:tcBorders>
              <w:top w:val="single" w:sz="4" w:space="0" w:color="000000" w:themeColor="text1"/>
            </w:tcBorders>
            <w:shd w:val="clear" w:color="auto" w:fill="E7E6E6" w:themeFill="accent4"/>
            <w:noWrap/>
          </w:tcPr>
          <w:p w14:paraId="0F35A548" w14:textId="77777777" w:rsidR="005B131E" w:rsidRPr="00BA7805" w:rsidRDefault="005B131E" w:rsidP="002542E1">
            <w:pPr>
              <w:pStyle w:val="ARfintablebodyrightbold"/>
              <w:rPr>
                <w:highlight w:val="green"/>
              </w:rPr>
            </w:pPr>
            <w:r w:rsidRPr="00B526A6">
              <w:t>(224.5)</w:t>
            </w:r>
          </w:p>
        </w:tc>
        <w:tc>
          <w:tcPr>
            <w:tcW w:w="1361" w:type="dxa"/>
            <w:tcBorders>
              <w:top w:val="single" w:sz="4" w:space="0" w:color="000000" w:themeColor="text1"/>
            </w:tcBorders>
            <w:noWrap/>
          </w:tcPr>
          <w:p w14:paraId="18127202" w14:textId="77777777" w:rsidR="005B131E" w:rsidRPr="00BA7805" w:rsidRDefault="005B131E" w:rsidP="002542E1">
            <w:pPr>
              <w:pStyle w:val="ARfintablebodyrightbold"/>
              <w:rPr>
                <w:highlight w:val="green"/>
              </w:rPr>
            </w:pPr>
            <w:r w:rsidRPr="00B526A6">
              <w:t>182.5</w:t>
            </w:r>
          </w:p>
        </w:tc>
      </w:tr>
    </w:tbl>
    <w:p w14:paraId="6F39A125" w14:textId="77777777" w:rsidR="005B131E" w:rsidRPr="00FD1FEA" w:rsidRDefault="005B131E" w:rsidP="002542E1">
      <w:pPr>
        <w:pStyle w:val="ARfinbody"/>
        <w:rPr>
          <w:highlight w:val="green"/>
        </w:rPr>
      </w:pPr>
    </w:p>
    <w:p w14:paraId="10E80DE4" w14:textId="77777777" w:rsidR="005B131E" w:rsidRPr="00BA7805" w:rsidRDefault="005B131E">
      <w:pPr>
        <w:pStyle w:val="ARfinbody"/>
        <w:rPr>
          <w:highlight w:val="green"/>
        </w:rPr>
        <w:sectPr w:rsidR="005B131E" w:rsidRPr="00BA7805" w:rsidSect="005B131E">
          <w:footerReference w:type="even" r:id="rId147"/>
          <w:footnotePr>
            <w:numFmt w:val="lowerLetter"/>
            <w:numRestart w:val="eachPage"/>
          </w:footnotePr>
          <w:pgSz w:w="11906" w:h="16838" w:code="9"/>
          <w:pgMar w:top="1985" w:right="1134" w:bottom="851" w:left="1134" w:header="510" w:footer="340" w:gutter="0"/>
          <w:cols w:space="708"/>
          <w:docGrid w:linePitch="360"/>
        </w:sectPr>
      </w:pPr>
    </w:p>
    <w:p w14:paraId="3169AAA3" w14:textId="77777777" w:rsidR="005B131E" w:rsidRPr="000F3599" w:rsidRDefault="005B131E">
      <w:pPr>
        <w:pStyle w:val="Heading4"/>
        <w:spacing w:before="0"/>
        <w:rPr>
          <w:lang w:eastAsia="en-AU"/>
        </w:rPr>
      </w:pPr>
      <w:r w:rsidRPr="000F3599">
        <w:rPr>
          <w:lang w:eastAsia="en-AU"/>
        </w:rPr>
        <w:t>7.4 Trust account</w:t>
      </w:r>
    </w:p>
    <w:p w14:paraId="3DC3FBA4" w14:textId="77777777" w:rsidR="005B131E" w:rsidRPr="000F3599" w:rsidRDefault="005B131E" w:rsidP="00207901">
      <w:pPr>
        <w:pStyle w:val="Heading5"/>
        <w:rPr>
          <w:lang w:eastAsia="en-AU"/>
        </w:rPr>
      </w:pPr>
      <w:r w:rsidRPr="000F3599">
        <w:rPr>
          <w:lang w:eastAsia="en-AU"/>
        </w:rPr>
        <w:t>7.4.1 Trust account balances</w:t>
      </w:r>
    </w:p>
    <w:p w14:paraId="2299A6E9" w14:textId="5E5A6138" w:rsidR="005B131E" w:rsidRDefault="005B131E" w:rsidP="002542E1">
      <w:pPr>
        <w:pStyle w:val="ARfinbody"/>
      </w:pPr>
      <w:r>
        <w:t>The department has responsibility for transactions and balances relating to trust funds held on behalf of third parties external to the department. Funds managed on behalf of third parties are not recognised in these financial statements as they are managed on a fiduciary and custodial basis, and therefore are not controlled by the department. For trust accounts that are controlled by the department, the transactions are incorporated as part of the department</w:t>
      </w:r>
      <w:r w:rsidR="00711AE6">
        <w:t>’</w:t>
      </w:r>
      <w:r>
        <w:t>s financial statements.</w:t>
      </w:r>
    </w:p>
    <w:p w14:paraId="7BA4F46F" w14:textId="77777777" w:rsidR="005B131E" w:rsidRDefault="005B131E" w:rsidP="002542E1">
      <w:pPr>
        <w:pStyle w:val="ARfinbody"/>
      </w:pPr>
      <w:r>
        <w:t>Any earnings on the funds held pending distribution are also applied to the trust funds under management as appropriate.</w:t>
      </w:r>
    </w:p>
    <w:p w14:paraId="02424495" w14:textId="77777777" w:rsidR="005B131E" w:rsidRPr="005A36A0" w:rsidRDefault="005B131E" w:rsidP="002542E1">
      <w:pPr>
        <w:pStyle w:val="ARfinbodylargespace"/>
        <w:rPr>
          <w:highlight w:val="green"/>
        </w:rPr>
      </w:pPr>
      <w:r>
        <w:t>The following is a listing of trust account balances relating to trust accounts controlled and administered by the department. During 2022–23, the National Disability Insurance Scheme (NDIS) Trust Account was closed.</w:t>
      </w:r>
    </w:p>
    <w:tbl>
      <w:tblPr>
        <w:tblStyle w:val="TableGrid"/>
        <w:tblW w:w="14560" w:type="dxa"/>
        <w:tblLayout w:type="fixed"/>
        <w:tblLook w:val="06A0" w:firstRow="1" w:lastRow="0" w:firstColumn="1" w:lastColumn="0" w:noHBand="1" w:noVBand="1"/>
      </w:tblPr>
      <w:tblGrid>
        <w:gridCol w:w="3114"/>
        <w:gridCol w:w="1040"/>
        <w:gridCol w:w="1041"/>
        <w:gridCol w:w="1040"/>
        <w:gridCol w:w="1041"/>
        <w:gridCol w:w="1040"/>
        <w:gridCol w:w="1035"/>
        <w:gridCol w:w="6"/>
        <w:gridCol w:w="1040"/>
        <w:gridCol w:w="1041"/>
        <w:gridCol w:w="1040"/>
        <w:gridCol w:w="1041"/>
        <w:gridCol w:w="1041"/>
      </w:tblGrid>
      <w:tr w:rsidR="005B131E" w:rsidRPr="00BA7805" w14:paraId="39991CD2"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114" w:type="dxa"/>
            <w:vMerge w:val="restart"/>
          </w:tcPr>
          <w:p w14:paraId="434DBE27" w14:textId="77777777" w:rsidR="005B131E" w:rsidRPr="00BA7805" w:rsidRDefault="005B131E">
            <w:pPr>
              <w:pStyle w:val="ARfintablecolhead"/>
              <w:spacing w:before="30" w:after="30" w:line="216" w:lineRule="auto"/>
              <w:rPr>
                <w:sz w:val="15"/>
                <w:szCs w:val="15"/>
                <w:highlight w:val="green"/>
              </w:rPr>
            </w:pPr>
          </w:p>
        </w:tc>
        <w:tc>
          <w:tcPr>
            <w:tcW w:w="6237" w:type="dxa"/>
            <w:gridSpan w:val="6"/>
            <w:shd w:val="clear" w:color="auto" w:fill="E7E6E6" w:themeFill="accent4"/>
          </w:tcPr>
          <w:p w14:paraId="1884B697" w14:textId="77777777" w:rsidR="005B131E" w:rsidRPr="00632D0A" w:rsidRDefault="005B131E">
            <w:pPr>
              <w:pStyle w:val="ARfintablecolheadcentre"/>
              <w:spacing w:before="30" w:after="30" w:line="216" w:lineRule="auto"/>
              <w:rPr>
                <w:sz w:val="15"/>
                <w:szCs w:val="15"/>
              </w:rPr>
            </w:pPr>
            <w:r w:rsidRPr="00632D0A">
              <w:rPr>
                <w:sz w:val="15"/>
                <w:szCs w:val="15"/>
              </w:rPr>
              <w:t>2024</w:t>
            </w:r>
          </w:p>
        </w:tc>
        <w:tc>
          <w:tcPr>
            <w:tcW w:w="5209" w:type="dxa"/>
            <w:gridSpan w:val="6"/>
            <w:tcBorders>
              <w:bottom w:val="single" w:sz="4" w:space="0" w:color="auto"/>
            </w:tcBorders>
          </w:tcPr>
          <w:p w14:paraId="365D6FDC" w14:textId="77777777" w:rsidR="005B131E" w:rsidRPr="00632D0A" w:rsidRDefault="005B131E">
            <w:pPr>
              <w:pStyle w:val="ARfintablecolheadcentre"/>
              <w:spacing w:before="30" w:after="30" w:line="216" w:lineRule="auto"/>
              <w:rPr>
                <w:sz w:val="15"/>
                <w:szCs w:val="15"/>
              </w:rPr>
            </w:pPr>
            <w:r w:rsidRPr="00632D0A">
              <w:rPr>
                <w:sz w:val="15"/>
                <w:szCs w:val="15"/>
              </w:rPr>
              <w:t>2023</w:t>
            </w:r>
          </w:p>
        </w:tc>
      </w:tr>
      <w:tr w:rsidR="005B131E" w:rsidRPr="00BA7805" w14:paraId="7B070C58"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114" w:type="dxa"/>
            <w:vMerge/>
            <w:hideMark/>
          </w:tcPr>
          <w:p w14:paraId="41F36C38" w14:textId="77777777" w:rsidR="005B131E" w:rsidRPr="00BA7805" w:rsidRDefault="005B131E">
            <w:pPr>
              <w:pStyle w:val="ARfintablecolhead"/>
              <w:spacing w:before="30" w:after="30" w:line="216" w:lineRule="auto"/>
              <w:rPr>
                <w:sz w:val="15"/>
                <w:szCs w:val="15"/>
                <w:highlight w:val="green"/>
              </w:rPr>
            </w:pPr>
          </w:p>
        </w:tc>
        <w:tc>
          <w:tcPr>
            <w:tcW w:w="1040" w:type="dxa"/>
            <w:tcBorders>
              <w:top w:val="single" w:sz="4" w:space="0" w:color="auto"/>
              <w:bottom w:val="single" w:sz="4" w:space="0" w:color="auto"/>
              <w:right w:val="nil"/>
            </w:tcBorders>
            <w:shd w:val="clear" w:color="auto" w:fill="E7E6E6" w:themeFill="accent4"/>
            <w:hideMark/>
          </w:tcPr>
          <w:p w14:paraId="328B8892" w14:textId="77777777" w:rsidR="005B131E" w:rsidRPr="00BE649C" w:rsidRDefault="005B131E">
            <w:pPr>
              <w:pStyle w:val="ARfintablecolheadright"/>
              <w:spacing w:before="30" w:after="30" w:line="216" w:lineRule="auto"/>
              <w:ind w:right="57"/>
              <w:rPr>
                <w:sz w:val="15"/>
                <w:szCs w:val="15"/>
              </w:rPr>
            </w:pPr>
            <w:r w:rsidRPr="00BE649C">
              <w:rPr>
                <w:sz w:val="15"/>
                <w:szCs w:val="15"/>
              </w:rPr>
              <w:t xml:space="preserve">Opening balance </w:t>
            </w:r>
            <w:r w:rsidRPr="00BE649C">
              <w:rPr>
                <w:sz w:val="15"/>
                <w:szCs w:val="15"/>
              </w:rPr>
              <w:br/>
              <w:t xml:space="preserve">as at </w:t>
            </w:r>
            <w:r w:rsidRPr="00BE649C">
              <w:rPr>
                <w:sz w:val="15"/>
                <w:szCs w:val="15"/>
              </w:rPr>
              <w:br/>
              <w:t xml:space="preserve">1 July </w:t>
            </w:r>
            <w:r w:rsidRPr="00BE649C">
              <w:rPr>
                <w:sz w:val="15"/>
                <w:szCs w:val="15"/>
              </w:rPr>
              <w:br/>
              <w:t>2023</w:t>
            </w:r>
          </w:p>
          <w:p w14:paraId="2E0315EB"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1" w:type="dxa"/>
            <w:tcBorders>
              <w:top w:val="single" w:sz="4" w:space="0" w:color="auto"/>
              <w:bottom w:val="single" w:sz="4" w:space="0" w:color="auto"/>
              <w:right w:val="nil"/>
            </w:tcBorders>
            <w:shd w:val="clear" w:color="auto" w:fill="E7E6E6" w:themeFill="accent4"/>
          </w:tcPr>
          <w:p w14:paraId="476C99C9" w14:textId="77777777" w:rsidR="005B131E" w:rsidRPr="00BE649C" w:rsidRDefault="005B131E">
            <w:pPr>
              <w:pStyle w:val="ARfintablecolheadright"/>
              <w:spacing w:before="30" w:after="30" w:line="216" w:lineRule="auto"/>
              <w:ind w:right="57"/>
              <w:rPr>
                <w:sz w:val="15"/>
                <w:szCs w:val="15"/>
              </w:rPr>
            </w:pPr>
            <w:r w:rsidRPr="00BE649C">
              <w:rPr>
                <w:sz w:val="15"/>
                <w:szCs w:val="15"/>
              </w:rPr>
              <w:t xml:space="preserve">Machinery of Govern-ment </w:t>
            </w:r>
            <w:r>
              <w:rPr>
                <w:sz w:val="15"/>
                <w:szCs w:val="15"/>
              </w:rPr>
              <w:t>–</w:t>
            </w:r>
            <w:r w:rsidRPr="00BE649C">
              <w:rPr>
                <w:sz w:val="15"/>
                <w:szCs w:val="15"/>
              </w:rPr>
              <w:t xml:space="preserve"> transfer in/(out)</w:t>
            </w:r>
          </w:p>
          <w:p w14:paraId="2C547D73"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0" w:type="dxa"/>
            <w:tcBorders>
              <w:top w:val="single" w:sz="4" w:space="0" w:color="auto"/>
              <w:left w:val="nil"/>
              <w:bottom w:val="single" w:sz="4" w:space="0" w:color="auto"/>
              <w:right w:val="nil"/>
            </w:tcBorders>
            <w:shd w:val="clear" w:color="auto" w:fill="E7E6E6" w:themeFill="accent4"/>
            <w:hideMark/>
          </w:tcPr>
          <w:p w14:paraId="405D7EEB" w14:textId="77777777" w:rsidR="005B131E" w:rsidRPr="00BE649C" w:rsidRDefault="005B131E">
            <w:pPr>
              <w:pStyle w:val="ARfintablecolheadright"/>
              <w:spacing w:before="30" w:after="30" w:line="216" w:lineRule="auto"/>
              <w:ind w:right="57"/>
              <w:rPr>
                <w:sz w:val="15"/>
                <w:szCs w:val="15"/>
              </w:rPr>
            </w:pPr>
            <w:r w:rsidRPr="00BE649C">
              <w:rPr>
                <w:sz w:val="15"/>
                <w:szCs w:val="15"/>
              </w:rPr>
              <w:t>Total receipts</w:t>
            </w:r>
          </w:p>
          <w:p w14:paraId="5DDAC48D"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1" w:type="dxa"/>
            <w:tcBorders>
              <w:top w:val="single" w:sz="4" w:space="0" w:color="auto"/>
              <w:left w:val="nil"/>
              <w:bottom w:val="single" w:sz="4" w:space="0" w:color="auto"/>
              <w:right w:val="nil"/>
            </w:tcBorders>
            <w:shd w:val="clear" w:color="auto" w:fill="E7E6E6" w:themeFill="accent4"/>
            <w:hideMark/>
          </w:tcPr>
          <w:p w14:paraId="2CB3447E" w14:textId="77777777" w:rsidR="005B131E" w:rsidRPr="00BE649C" w:rsidRDefault="005B131E">
            <w:pPr>
              <w:pStyle w:val="ARfintablecolheadright"/>
              <w:spacing w:before="30" w:after="30" w:line="216" w:lineRule="auto"/>
              <w:ind w:right="57"/>
              <w:rPr>
                <w:sz w:val="15"/>
                <w:szCs w:val="15"/>
              </w:rPr>
            </w:pPr>
            <w:r w:rsidRPr="00BE649C">
              <w:rPr>
                <w:sz w:val="15"/>
                <w:szCs w:val="15"/>
              </w:rPr>
              <w:t>Total payments</w:t>
            </w:r>
          </w:p>
          <w:p w14:paraId="7457657F"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0" w:type="dxa"/>
            <w:tcBorders>
              <w:top w:val="single" w:sz="4" w:space="0" w:color="auto"/>
              <w:left w:val="nil"/>
              <w:bottom w:val="single" w:sz="4" w:space="0" w:color="auto"/>
              <w:right w:val="nil"/>
            </w:tcBorders>
            <w:shd w:val="clear" w:color="auto" w:fill="E7E6E6" w:themeFill="accent4"/>
            <w:hideMark/>
          </w:tcPr>
          <w:p w14:paraId="57DD9D2A" w14:textId="77777777" w:rsidR="005B131E" w:rsidRPr="00BE649C" w:rsidRDefault="005B131E">
            <w:pPr>
              <w:pStyle w:val="ARfintablecolheadright"/>
              <w:spacing w:before="30" w:after="30" w:line="216" w:lineRule="auto"/>
              <w:ind w:right="57"/>
              <w:rPr>
                <w:sz w:val="15"/>
                <w:szCs w:val="15"/>
              </w:rPr>
            </w:pPr>
            <w:r w:rsidRPr="00BE649C">
              <w:rPr>
                <w:sz w:val="15"/>
                <w:szCs w:val="15"/>
              </w:rPr>
              <w:t>Non-cash movement</w:t>
            </w:r>
          </w:p>
          <w:p w14:paraId="6BE340FA"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1" w:type="dxa"/>
            <w:gridSpan w:val="2"/>
            <w:tcBorders>
              <w:top w:val="single" w:sz="4" w:space="0" w:color="auto"/>
              <w:left w:val="nil"/>
              <w:bottom w:val="single" w:sz="4" w:space="0" w:color="auto"/>
            </w:tcBorders>
            <w:shd w:val="clear" w:color="auto" w:fill="E7E6E6" w:themeFill="accent4"/>
            <w:hideMark/>
          </w:tcPr>
          <w:p w14:paraId="0840A62B" w14:textId="77777777" w:rsidR="005B131E" w:rsidRPr="00BE649C" w:rsidRDefault="005B131E">
            <w:pPr>
              <w:pStyle w:val="ARfintablecolheadright"/>
              <w:spacing w:before="30" w:after="30" w:line="216" w:lineRule="auto"/>
              <w:ind w:right="57"/>
              <w:rPr>
                <w:sz w:val="15"/>
                <w:szCs w:val="15"/>
              </w:rPr>
            </w:pPr>
            <w:r w:rsidRPr="00BE649C">
              <w:rPr>
                <w:sz w:val="15"/>
                <w:szCs w:val="15"/>
              </w:rPr>
              <w:t xml:space="preserve">Closing balance </w:t>
            </w:r>
            <w:r w:rsidRPr="00BE649C">
              <w:rPr>
                <w:sz w:val="15"/>
                <w:szCs w:val="15"/>
              </w:rPr>
              <w:br/>
              <w:t xml:space="preserve">as at </w:t>
            </w:r>
            <w:r w:rsidRPr="00BE649C">
              <w:rPr>
                <w:sz w:val="15"/>
                <w:szCs w:val="15"/>
              </w:rPr>
              <w:br/>
              <w:t>30 June 202</w:t>
            </w:r>
            <w:r>
              <w:rPr>
                <w:sz w:val="15"/>
                <w:szCs w:val="15"/>
              </w:rPr>
              <w:t>4</w:t>
            </w:r>
          </w:p>
          <w:p w14:paraId="3333701A"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0" w:type="dxa"/>
            <w:tcBorders>
              <w:bottom w:val="single" w:sz="4" w:space="0" w:color="auto"/>
            </w:tcBorders>
            <w:hideMark/>
          </w:tcPr>
          <w:p w14:paraId="57605CED" w14:textId="77777777" w:rsidR="005B131E" w:rsidRPr="00BE649C" w:rsidRDefault="005B131E">
            <w:pPr>
              <w:pStyle w:val="ARfintablecolheadright"/>
              <w:spacing w:before="30" w:after="30" w:line="216" w:lineRule="auto"/>
              <w:ind w:right="57"/>
              <w:rPr>
                <w:sz w:val="15"/>
                <w:szCs w:val="15"/>
              </w:rPr>
            </w:pPr>
            <w:r w:rsidRPr="00BE649C">
              <w:rPr>
                <w:sz w:val="15"/>
                <w:szCs w:val="15"/>
              </w:rPr>
              <w:t xml:space="preserve">Opening balance </w:t>
            </w:r>
            <w:r w:rsidRPr="00BE649C">
              <w:rPr>
                <w:sz w:val="15"/>
                <w:szCs w:val="15"/>
              </w:rPr>
              <w:br/>
              <w:t xml:space="preserve">as at </w:t>
            </w:r>
            <w:r w:rsidRPr="00BE649C">
              <w:rPr>
                <w:sz w:val="15"/>
                <w:szCs w:val="15"/>
              </w:rPr>
              <w:br/>
              <w:t xml:space="preserve">1 July </w:t>
            </w:r>
            <w:r w:rsidRPr="00BE649C">
              <w:rPr>
                <w:sz w:val="15"/>
                <w:szCs w:val="15"/>
              </w:rPr>
              <w:br/>
              <w:t>202</w:t>
            </w:r>
            <w:r>
              <w:rPr>
                <w:sz w:val="15"/>
                <w:szCs w:val="15"/>
              </w:rPr>
              <w:t>2</w:t>
            </w:r>
          </w:p>
          <w:p w14:paraId="26D9D4E1"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1" w:type="dxa"/>
            <w:tcBorders>
              <w:bottom w:val="single" w:sz="4" w:space="0" w:color="auto"/>
            </w:tcBorders>
            <w:hideMark/>
          </w:tcPr>
          <w:p w14:paraId="0DC87AFB" w14:textId="77777777" w:rsidR="005B131E" w:rsidRPr="00BE649C" w:rsidRDefault="005B131E">
            <w:pPr>
              <w:pStyle w:val="ARfintablecolheadright"/>
              <w:spacing w:before="30" w:after="30" w:line="216" w:lineRule="auto"/>
              <w:ind w:right="57"/>
              <w:rPr>
                <w:sz w:val="15"/>
                <w:szCs w:val="15"/>
              </w:rPr>
            </w:pPr>
            <w:r w:rsidRPr="00BE649C">
              <w:rPr>
                <w:sz w:val="15"/>
                <w:szCs w:val="15"/>
              </w:rPr>
              <w:t>Total receipts</w:t>
            </w:r>
          </w:p>
          <w:p w14:paraId="5F22AE59"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0" w:type="dxa"/>
            <w:tcBorders>
              <w:bottom w:val="single" w:sz="4" w:space="0" w:color="auto"/>
            </w:tcBorders>
            <w:hideMark/>
          </w:tcPr>
          <w:p w14:paraId="50876AE4" w14:textId="77777777" w:rsidR="005B131E" w:rsidRPr="00BE649C" w:rsidRDefault="005B131E">
            <w:pPr>
              <w:pStyle w:val="ARfintablecolheadright"/>
              <w:spacing w:before="30" w:after="30" w:line="216" w:lineRule="auto"/>
              <w:ind w:right="57"/>
              <w:rPr>
                <w:sz w:val="15"/>
                <w:szCs w:val="15"/>
              </w:rPr>
            </w:pPr>
            <w:r w:rsidRPr="00BE649C">
              <w:rPr>
                <w:sz w:val="15"/>
                <w:szCs w:val="15"/>
              </w:rPr>
              <w:t>Total payments</w:t>
            </w:r>
          </w:p>
          <w:p w14:paraId="761C8F81"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1" w:type="dxa"/>
            <w:tcBorders>
              <w:bottom w:val="single" w:sz="4" w:space="0" w:color="auto"/>
            </w:tcBorders>
            <w:hideMark/>
          </w:tcPr>
          <w:p w14:paraId="40BA5088" w14:textId="77777777" w:rsidR="005B131E" w:rsidRPr="00BE649C" w:rsidRDefault="005B131E">
            <w:pPr>
              <w:pStyle w:val="ARfintablecolheadright"/>
              <w:spacing w:before="30" w:after="30" w:line="216" w:lineRule="auto"/>
              <w:ind w:right="57"/>
              <w:rPr>
                <w:sz w:val="15"/>
                <w:szCs w:val="15"/>
              </w:rPr>
            </w:pPr>
            <w:r w:rsidRPr="00BE649C">
              <w:rPr>
                <w:sz w:val="15"/>
                <w:szCs w:val="15"/>
              </w:rPr>
              <w:t>Non-cash movement</w:t>
            </w:r>
          </w:p>
          <w:p w14:paraId="46B0573C"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c>
          <w:tcPr>
            <w:tcW w:w="1041" w:type="dxa"/>
            <w:tcBorders>
              <w:bottom w:val="single" w:sz="4" w:space="0" w:color="auto"/>
            </w:tcBorders>
            <w:hideMark/>
          </w:tcPr>
          <w:p w14:paraId="760F6CDD" w14:textId="77777777" w:rsidR="005B131E" w:rsidRPr="00BE649C" w:rsidRDefault="005B131E">
            <w:pPr>
              <w:pStyle w:val="ARfintablecolheadright"/>
              <w:spacing w:before="30" w:after="30" w:line="216" w:lineRule="auto"/>
              <w:ind w:right="57"/>
              <w:rPr>
                <w:sz w:val="15"/>
                <w:szCs w:val="15"/>
              </w:rPr>
            </w:pPr>
            <w:r w:rsidRPr="00BE649C">
              <w:rPr>
                <w:sz w:val="15"/>
                <w:szCs w:val="15"/>
              </w:rPr>
              <w:t xml:space="preserve">Closing balance </w:t>
            </w:r>
            <w:r w:rsidRPr="00BE649C">
              <w:rPr>
                <w:sz w:val="15"/>
                <w:szCs w:val="15"/>
              </w:rPr>
              <w:br/>
              <w:t xml:space="preserve">as at </w:t>
            </w:r>
            <w:r w:rsidRPr="00BE649C">
              <w:rPr>
                <w:sz w:val="15"/>
                <w:szCs w:val="15"/>
              </w:rPr>
              <w:br/>
              <w:t>30 June 202</w:t>
            </w:r>
            <w:r>
              <w:rPr>
                <w:sz w:val="15"/>
                <w:szCs w:val="15"/>
              </w:rPr>
              <w:t>3</w:t>
            </w:r>
          </w:p>
          <w:p w14:paraId="48D052D8" w14:textId="77777777" w:rsidR="005B131E" w:rsidRPr="00BE649C" w:rsidRDefault="005B131E">
            <w:pPr>
              <w:pStyle w:val="ARfintablecolheadright"/>
              <w:spacing w:before="30" w:after="30" w:line="216" w:lineRule="auto"/>
              <w:ind w:right="57"/>
              <w:rPr>
                <w:sz w:val="15"/>
                <w:szCs w:val="15"/>
              </w:rPr>
            </w:pPr>
            <w:r w:rsidRPr="00BE649C">
              <w:rPr>
                <w:sz w:val="15"/>
                <w:szCs w:val="15"/>
              </w:rPr>
              <w:t>$M</w:t>
            </w:r>
          </w:p>
        </w:tc>
      </w:tr>
      <w:tr w:rsidR="005B131E" w:rsidRPr="00BA7805" w14:paraId="17D61D41" w14:textId="77777777" w:rsidTr="002542E1">
        <w:trPr>
          <w:cantSplit w:val="0"/>
        </w:trPr>
        <w:tc>
          <w:tcPr>
            <w:tcW w:w="14560" w:type="dxa"/>
            <w:gridSpan w:val="13"/>
            <w:tcBorders>
              <w:top w:val="single" w:sz="4" w:space="0" w:color="auto"/>
              <w:bottom w:val="single" w:sz="4" w:space="0" w:color="A6A6A6" w:themeColor="background1" w:themeShade="A6"/>
            </w:tcBorders>
            <w:shd w:val="clear" w:color="auto" w:fill="auto"/>
          </w:tcPr>
          <w:p w14:paraId="5871910A" w14:textId="77777777" w:rsidR="005B131E" w:rsidRPr="00BA7805" w:rsidRDefault="005B131E" w:rsidP="002542E1">
            <w:pPr>
              <w:pStyle w:val="ARfintablebodybold8pt"/>
              <w:jc w:val="both"/>
              <w:rPr>
                <w:highlight w:val="green"/>
              </w:rPr>
            </w:pPr>
            <w:r w:rsidRPr="00985EE5">
              <w:t>Controlled trusts</w:t>
            </w:r>
          </w:p>
        </w:tc>
      </w:tr>
      <w:tr w:rsidR="005B131E" w:rsidRPr="00BA7805" w14:paraId="43D7C423"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0C2CFA51" w14:textId="4C509615" w:rsidR="005B131E" w:rsidRPr="00BA7805" w:rsidRDefault="005B131E" w:rsidP="002542E1">
            <w:pPr>
              <w:pStyle w:val="ARfintablebody8pt"/>
              <w:rPr>
                <w:highlight w:val="green"/>
              </w:rPr>
            </w:pPr>
            <w:r w:rsidRPr="00A82FA8">
              <w:t>Intellectually Handicapped Children</w:t>
            </w:r>
            <w:r w:rsidR="00711AE6">
              <w:t>’</w:t>
            </w:r>
            <w:r w:rsidRPr="00A82FA8">
              <w:t>s Amenities Fund</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348BB5A4" w14:textId="77777777" w:rsidR="005B131E" w:rsidRPr="00BA7805" w:rsidRDefault="005B131E" w:rsidP="002542E1">
            <w:pPr>
              <w:pStyle w:val="ARfintablebodyright8pt"/>
              <w:rPr>
                <w:highlight w:val="green"/>
              </w:rPr>
            </w:pPr>
            <w:r w:rsidRPr="00A82FA8">
              <w:t>0.1</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6EC4219A"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754A06A8"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3EE42A8"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568008F6" w14:textId="77777777" w:rsidR="005B131E" w:rsidRPr="00BA7805" w:rsidRDefault="005B131E" w:rsidP="002542E1">
            <w:pPr>
              <w:pStyle w:val="ARfintablebodyright8pt"/>
              <w:rPr>
                <w:highlight w:val="green"/>
              </w:rPr>
            </w:pPr>
            <w:r>
              <w:t>–</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08E4AEB8" w14:textId="77777777" w:rsidR="005B131E" w:rsidRPr="00BA7805" w:rsidRDefault="005B131E" w:rsidP="002542E1">
            <w:pPr>
              <w:pStyle w:val="ARfintablebodyright8pt"/>
              <w:rPr>
                <w:highlight w:val="green"/>
              </w:rPr>
            </w:pPr>
            <w:r w:rsidRPr="00A82FA8">
              <w:t>0.1</w:t>
            </w:r>
          </w:p>
        </w:tc>
        <w:tc>
          <w:tcPr>
            <w:tcW w:w="1040" w:type="dxa"/>
            <w:tcBorders>
              <w:top w:val="single" w:sz="4" w:space="0" w:color="A6A6A6" w:themeColor="background1" w:themeShade="A6"/>
              <w:bottom w:val="single" w:sz="4" w:space="0" w:color="A6A6A6" w:themeColor="background1" w:themeShade="A6"/>
            </w:tcBorders>
            <w:noWrap/>
          </w:tcPr>
          <w:p w14:paraId="480F8B28" w14:textId="77777777" w:rsidR="005B131E" w:rsidRPr="00BA7805" w:rsidRDefault="005B131E" w:rsidP="002542E1">
            <w:pPr>
              <w:pStyle w:val="ARfintablebodyright8pt"/>
              <w:rPr>
                <w:highlight w:val="green"/>
              </w:rPr>
            </w:pPr>
            <w:r w:rsidRPr="00A82FA8">
              <w:t>0.1</w:t>
            </w:r>
          </w:p>
        </w:tc>
        <w:tc>
          <w:tcPr>
            <w:tcW w:w="1041" w:type="dxa"/>
            <w:tcBorders>
              <w:top w:val="single" w:sz="4" w:space="0" w:color="A6A6A6" w:themeColor="background1" w:themeShade="A6"/>
              <w:bottom w:val="single" w:sz="4" w:space="0" w:color="A6A6A6" w:themeColor="background1" w:themeShade="A6"/>
            </w:tcBorders>
            <w:noWrap/>
          </w:tcPr>
          <w:p w14:paraId="175A4DDB"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bottom w:val="single" w:sz="4" w:space="0" w:color="A6A6A6" w:themeColor="background1" w:themeShade="A6"/>
            </w:tcBorders>
            <w:noWrap/>
          </w:tcPr>
          <w:p w14:paraId="7E69999B"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3436C15A"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33A45EDB" w14:textId="77777777" w:rsidR="005B131E" w:rsidRPr="00BA7805" w:rsidRDefault="005B131E" w:rsidP="002542E1">
            <w:pPr>
              <w:pStyle w:val="ARfintablebodyright8pt"/>
              <w:rPr>
                <w:highlight w:val="green"/>
              </w:rPr>
            </w:pPr>
            <w:r w:rsidRPr="00A82FA8">
              <w:t>0.1</w:t>
            </w:r>
          </w:p>
        </w:tc>
      </w:tr>
      <w:tr w:rsidR="005B131E" w:rsidRPr="00BA7805" w14:paraId="200F55B0" w14:textId="77777777" w:rsidTr="002542E1">
        <w:trPr>
          <w:cantSplit w:val="0"/>
        </w:trPr>
        <w:tc>
          <w:tcPr>
            <w:tcW w:w="3114" w:type="dxa"/>
            <w:tcBorders>
              <w:top w:val="single" w:sz="4" w:space="0" w:color="A6A6A6" w:themeColor="background1" w:themeShade="A6"/>
              <w:bottom w:val="single" w:sz="4" w:space="0" w:color="A6A6A6" w:themeColor="background1" w:themeShade="A6"/>
            </w:tcBorders>
          </w:tcPr>
          <w:p w14:paraId="478C3E9E" w14:textId="77777777" w:rsidR="005B131E" w:rsidRPr="00BA7805" w:rsidRDefault="005B131E" w:rsidP="002542E1">
            <w:pPr>
              <w:pStyle w:val="ARfintablebody8pt"/>
              <w:rPr>
                <w:highlight w:val="green"/>
              </w:rPr>
            </w:pPr>
            <w:r w:rsidRPr="00A82FA8">
              <w:t>Mental Health Fund</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6A4B0D4F" w14:textId="77777777" w:rsidR="005B131E" w:rsidRPr="00BA7805" w:rsidRDefault="005B131E" w:rsidP="002542E1">
            <w:pPr>
              <w:pStyle w:val="ARfintablebodyright8pt"/>
              <w:rPr>
                <w:highlight w:val="green"/>
              </w:rPr>
            </w:pPr>
            <w:r w:rsidRPr="00A82FA8">
              <w:t>2.1</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5C4A8EB4"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35164A9" w14:textId="77777777" w:rsidR="005B131E" w:rsidRPr="00BA7805" w:rsidRDefault="005B131E" w:rsidP="002542E1">
            <w:pPr>
              <w:pStyle w:val="ARfintablebodyright8pt"/>
              <w:rPr>
                <w:highlight w:val="green"/>
              </w:rPr>
            </w:pPr>
            <w:r w:rsidRPr="00A82FA8">
              <w:t>63.9</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548F75FE" w14:textId="77777777" w:rsidR="005B131E" w:rsidRPr="00BA7805" w:rsidRDefault="005B131E" w:rsidP="002542E1">
            <w:pPr>
              <w:pStyle w:val="ARfintablebodyright8pt"/>
              <w:rPr>
                <w:highlight w:val="green"/>
              </w:rPr>
            </w:pPr>
            <w:r w:rsidRPr="00A82FA8">
              <w:t>63.9</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1EAE7FDF" w14:textId="77777777" w:rsidR="005B131E" w:rsidRPr="00BA7805" w:rsidRDefault="005B131E" w:rsidP="002542E1">
            <w:pPr>
              <w:pStyle w:val="ARfintablebodyright8pt"/>
              <w:rPr>
                <w:highlight w:val="green"/>
              </w:rPr>
            </w:pPr>
            <w:r>
              <w:t>–</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276C4563" w14:textId="77777777" w:rsidR="005B131E" w:rsidRPr="00BA7805" w:rsidRDefault="005B131E" w:rsidP="002542E1">
            <w:pPr>
              <w:pStyle w:val="ARfintablebodyright8pt"/>
              <w:rPr>
                <w:highlight w:val="green"/>
              </w:rPr>
            </w:pPr>
            <w:r w:rsidRPr="00A82FA8">
              <w:t>2.1</w:t>
            </w:r>
          </w:p>
        </w:tc>
        <w:tc>
          <w:tcPr>
            <w:tcW w:w="1040" w:type="dxa"/>
            <w:tcBorders>
              <w:top w:val="single" w:sz="4" w:space="0" w:color="A6A6A6" w:themeColor="background1" w:themeShade="A6"/>
              <w:bottom w:val="single" w:sz="4" w:space="0" w:color="A6A6A6" w:themeColor="background1" w:themeShade="A6"/>
            </w:tcBorders>
            <w:noWrap/>
          </w:tcPr>
          <w:p w14:paraId="7FAEA35A" w14:textId="77777777" w:rsidR="005B131E" w:rsidRPr="00BA7805" w:rsidRDefault="005B131E" w:rsidP="002542E1">
            <w:pPr>
              <w:pStyle w:val="ARfintablebodyright8pt"/>
              <w:rPr>
                <w:highlight w:val="green"/>
              </w:rPr>
            </w:pPr>
            <w:r w:rsidRPr="00A82FA8">
              <w:t>2.1</w:t>
            </w:r>
          </w:p>
        </w:tc>
        <w:tc>
          <w:tcPr>
            <w:tcW w:w="1041" w:type="dxa"/>
            <w:tcBorders>
              <w:top w:val="single" w:sz="4" w:space="0" w:color="A6A6A6" w:themeColor="background1" w:themeShade="A6"/>
              <w:bottom w:val="single" w:sz="4" w:space="0" w:color="A6A6A6" w:themeColor="background1" w:themeShade="A6"/>
            </w:tcBorders>
            <w:noWrap/>
          </w:tcPr>
          <w:p w14:paraId="69BDC355" w14:textId="77777777" w:rsidR="005B131E" w:rsidRPr="00BA7805" w:rsidRDefault="005B131E" w:rsidP="002542E1">
            <w:pPr>
              <w:pStyle w:val="ARfintablebodyright8pt"/>
              <w:rPr>
                <w:highlight w:val="green"/>
              </w:rPr>
            </w:pPr>
            <w:r w:rsidRPr="00A82FA8">
              <w:t>63.9</w:t>
            </w:r>
          </w:p>
        </w:tc>
        <w:tc>
          <w:tcPr>
            <w:tcW w:w="1040" w:type="dxa"/>
            <w:tcBorders>
              <w:top w:val="single" w:sz="4" w:space="0" w:color="A6A6A6" w:themeColor="background1" w:themeShade="A6"/>
              <w:bottom w:val="single" w:sz="4" w:space="0" w:color="A6A6A6" w:themeColor="background1" w:themeShade="A6"/>
            </w:tcBorders>
            <w:noWrap/>
          </w:tcPr>
          <w:p w14:paraId="2FFB75A9" w14:textId="77777777" w:rsidR="005B131E" w:rsidRPr="00BA7805" w:rsidRDefault="005B131E" w:rsidP="002542E1">
            <w:pPr>
              <w:pStyle w:val="ARfintablebodyright8pt"/>
              <w:rPr>
                <w:highlight w:val="green"/>
              </w:rPr>
            </w:pPr>
            <w:r w:rsidRPr="00A82FA8">
              <w:t>63.9</w:t>
            </w:r>
          </w:p>
        </w:tc>
        <w:tc>
          <w:tcPr>
            <w:tcW w:w="1041" w:type="dxa"/>
            <w:tcBorders>
              <w:top w:val="single" w:sz="4" w:space="0" w:color="A6A6A6" w:themeColor="background1" w:themeShade="A6"/>
              <w:bottom w:val="single" w:sz="4" w:space="0" w:color="A6A6A6" w:themeColor="background1" w:themeShade="A6"/>
            </w:tcBorders>
            <w:noWrap/>
          </w:tcPr>
          <w:p w14:paraId="5CDDAFCE"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3FAE62C1" w14:textId="77777777" w:rsidR="005B131E" w:rsidRPr="00BA7805" w:rsidRDefault="005B131E" w:rsidP="002542E1">
            <w:pPr>
              <w:pStyle w:val="ARfintablebodyright8pt"/>
              <w:rPr>
                <w:highlight w:val="green"/>
              </w:rPr>
            </w:pPr>
            <w:r w:rsidRPr="00A82FA8">
              <w:t>2.1</w:t>
            </w:r>
          </w:p>
        </w:tc>
      </w:tr>
      <w:tr w:rsidR="005B131E" w:rsidRPr="00BA7805" w14:paraId="2E11A841"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07571709" w14:textId="77777777" w:rsidR="005B131E" w:rsidRPr="00BA7805" w:rsidRDefault="005B131E" w:rsidP="002542E1">
            <w:pPr>
              <w:pStyle w:val="ARfintablebody8pt"/>
              <w:rPr>
                <w:highlight w:val="green"/>
              </w:rPr>
            </w:pPr>
            <w:r w:rsidRPr="00A82FA8">
              <w:t>Treasury Trust</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331B5C6F" w14:textId="77777777" w:rsidR="005B131E" w:rsidRPr="00BA7805" w:rsidRDefault="005B131E" w:rsidP="002542E1">
            <w:pPr>
              <w:pStyle w:val="ARfintablebodyright8pt"/>
              <w:rPr>
                <w:highlight w:val="green"/>
              </w:rPr>
            </w:pPr>
            <w:r w:rsidRPr="00A82FA8">
              <w:t>34.1</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3BB5CF96" w14:textId="77777777" w:rsidR="005B131E" w:rsidRPr="00BA7805" w:rsidRDefault="005B131E" w:rsidP="002542E1">
            <w:pPr>
              <w:pStyle w:val="ARfintablebodyright8pt"/>
              <w:rPr>
                <w:highlight w:val="green"/>
              </w:rPr>
            </w:pPr>
            <w:r w:rsidRPr="00A82FA8">
              <w:t>(0.5)</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48E98F59" w14:textId="77777777" w:rsidR="005B131E" w:rsidRPr="00BA7805" w:rsidRDefault="005B131E" w:rsidP="002542E1">
            <w:pPr>
              <w:pStyle w:val="ARfintablebodyright8pt"/>
              <w:rPr>
                <w:highlight w:val="green"/>
              </w:rPr>
            </w:pPr>
            <w:r w:rsidRPr="00A82FA8">
              <w:t>5.3</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432D2BB7" w14:textId="77777777" w:rsidR="005B131E" w:rsidRPr="00BA7805" w:rsidRDefault="005B131E" w:rsidP="002542E1">
            <w:pPr>
              <w:pStyle w:val="ARfintablebodyright8pt"/>
              <w:rPr>
                <w:highlight w:val="green"/>
              </w:rPr>
            </w:pPr>
            <w:r w:rsidRPr="00A82FA8">
              <w:t>26.4</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6F2D1EA" w14:textId="77777777" w:rsidR="005B131E" w:rsidRPr="00BA7805" w:rsidRDefault="005B131E" w:rsidP="002542E1">
            <w:pPr>
              <w:pStyle w:val="ARfintablebodyright8pt"/>
              <w:rPr>
                <w:highlight w:val="green"/>
              </w:rPr>
            </w:pPr>
            <w:r w:rsidRPr="00A82FA8">
              <w:t>(0.1)</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1C6BCDF5" w14:textId="77777777" w:rsidR="005B131E" w:rsidRPr="00BA7805" w:rsidRDefault="005B131E" w:rsidP="002542E1">
            <w:pPr>
              <w:pStyle w:val="ARfintablebodyright8pt"/>
              <w:rPr>
                <w:highlight w:val="green"/>
              </w:rPr>
            </w:pPr>
            <w:r w:rsidRPr="00A82FA8">
              <w:t>12.4</w:t>
            </w:r>
          </w:p>
        </w:tc>
        <w:tc>
          <w:tcPr>
            <w:tcW w:w="1040" w:type="dxa"/>
            <w:tcBorders>
              <w:top w:val="single" w:sz="4" w:space="0" w:color="A6A6A6" w:themeColor="background1" w:themeShade="A6"/>
              <w:bottom w:val="single" w:sz="4" w:space="0" w:color="A6A6A6" w:themeColor="background1" w:themeShade="A6"/>
            </w:tcBorders>
            <w:noWrap/>
          </w:tcPr>
          <w:p w14:paraId="6EC90293" w14:textId="77777777" w:rsidR="005B131E" w:rsidRPr="00BA7805" w:rsidRDefault="005B131E" w:rsidP="002542E1">
            <w:pPr>
              <w:pStyle w:val="ARfintablebodyright8pt"/>
              <w:rPr>
                <w:highlight w:val="green"/>
              </w:rPr>
            </w:pPr>
            <w:r w:rsidRPr="00A82FA8">
              <w:t>25.9</w:t>
            </w:r>
          </w:p>
        </w:tc>
        <w:tc>
          <w:tcPr>
            <w:tcW w:w="1041" w:type="dxa"/>
            <w:tcBorders>
              <w:top w:val="single" w:sz="4" w:space="0" w:color="A6A6A6" w:themeColor="background1" w:themeShade="A6"/>
              <w:bottom w:val="single" w:sz="4" w:space="0" w:color="A6A6A6" w:themeColor="background1" w:themeShade="A6"/>
            </w:tcBorders>
            <w:noWrap/>
          </w:tcPr>
          <w:p w14:paraId="3074A1B0" w14:textId="77777777" w:rsidR="005B131E" w:rsidRPr="00BA7805" w:rsidRDefault="005B131E" w:rsidP="002542E1">
            <w:pPr>
              <w:pStyle w:val="ARfintablebodyright8pt"/>
              <w:rPr>
                <w:highlight w:val="green"/>
              </w:rPr>
            </w:pPr>
            <w:r w:rsidRPr="00A82FA8">
              <w:t>23.1</w:t>
            </w:r>
          </w:p>
        </w:tc>
        <w:tc>
          <w:tcPr>
            <w:tcW w:w="1040" w:type="dxa"/>
            <w:tcBorders>
              <w:top w:val="single" w:sz="4" w:space="0" w:color="A6A6A6" w:themeColor="background1" w:themeShade="A6"/>
              <w:bottom w:val="single" w:sz="4" w:space="0" w:color="A6A6A6" w:themeColor="background1" w:themeShade="A6"/>
            </w:tcBorders>
            <w:noWrap/>
          </w:tcPr>
          <w:p w14:paraId="056BA027" w14:textId="77777777" w:rsidR="005B131E" w:rsidRPr="00BA7805" w:rsidRDefault="005B131E" w:rsidP="002542E1">
            <w:pPr>
              <w:pStyle w:val="ARfintablebodyright8pt"/>
              <w:rPr>
                <w:highlight w:val="green"/>
              </w:rPr>
            </w:pPr>
            <w:r w:rsidRPr="00A82FA8">
              <w:t>14.9</w:t>
            </w:r>
          </w:p>
        </w:tc>
        <w:tc>
          <w:tcPr>
            <w:tcW w:w="1041" w:type="dxa"/>
            <w:tcBorders>
              <w:top w:val="single" w:sz="4" w:space="0" w:color="A6A6A6" w:themeColor="background1" w:themeShade="A6"/>
              <w:bottom w:val="single" w:sz="4" w:space="0" w:color="A6A6A6" w:themeColor="background1" w:themeShade="A6"/>
            </w:tcBorders>
            <w:noWrap/>
          </w:tcPr>
          <w:p w14:paraId="0CEBA906"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47C00F24" w14:textId="77777777" w:rsidR="005B131E" w:rsidRPr="00BA7805" w:rsidRDefault="005B131E" w:rsidP="002542E1">
            <w:pPr>
              <w:pStyle w:val="ARfintablebodyright8pt"/>
              <w:rPr>
                <w:highlight w:val="green"/>
              </w:rPr>
            </w:pPr>
            <w:r w:rsidRPr="00A82FA8">
              <w:t>34.1</w:t>
            </w:r>
          </w:p>
        </w:tc>
      </w:tr>
      <w:tr w:rsidR="005B131E" w:rsidRPr="00BA7805" w14:paraId="47A60855" w14:textId="77777777" w:rsidTr="002542E1">
        <w:trPr>
          <w:cantSplit w:val="0"/>
        </w:trPr>
        <w:tc>
          <w:tcPr>
            <w:tcW w:w="3114" w:type="dxa"/>
            <w:tcBorders>
              <w:top w:val="single" w:sz="4" w:space="0" w:color="A6A6A6" w:themeColor="background1" w:themeShade="A6"/>
              <w:bottom w:val="single" w:sz="4" w:space="0" w:color="A6A6A6" w:themeColor="background1" w:themeShade="A6"/>
            </w:tcBorders>
          </w:tcPr>
          <w:p w14:paraId="767086B9" w14:textId="77777777" w:rsidR="005B131E" w:rsidRPr="00BA7805" w:rsidRDefault="005B131E" w:rsidP="002542E1">
            <w:pPr>
              <w:pStyle w:val="ARfintablebody8pt"/>
              <w:rPr>
                <w:highlight w:val="green"/>
              </w:rPr>
            </w:pPr>
            <w:r w:rsidRPr="00A82FA8">
              <w:t>Inter-departmental Transfer Trust</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55ED617D" w14:textId="77777777" w:rsidR="005B131E" w:rsidRPr="00BA7805" w:rsidRDefault="005B131E" w:rsidP="002542E1">
            <w:pPr>
              <w:pStyle w:val="ARfintablebodyright8pt"/>
              <w:rPr>
                <w:highlight w:val="green"/>
              </w:rPr>
            </w:pPr>
            <w:r w:rsidRPr="00A82FA8">
              <w:t>22.7</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0EC1E309" w14:textId="77777777" w:rsidR="005B131E" w:rsidRPr="00BA7805" w:rsidRDefault="005B131E" w:rsidP="002542E1">
            <w:pPr>
              <w:pStyle w:val="ARfintablebodyright8pt"/>
              <w:rPr>
                <w:highlight w:val="green"/>
              </w:rPr>
            </w:pPr>
            <w:r w:rsidRPr="00A82FA8">
              <w:t>(0.4)</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F2F95F4" w14:textId="77777777" w:rsidR="005B131E" w:rsidRPr="00BA7805" w:rsidRDefault="005B131E" w:rsidP="002542E1">
            <w:pPr>
              <w:pStyle w:val="ARfintablebodyright8pt"/>
              <w:rPr>
                <w:highlight w:val="green"/>
              </w:rPr>
            </w:pPr>
            <w:r w:rsidRPr="00A82FA8">
              <w:t>36.7</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1F9888A2" w14:textId="77777777" w:rsidR="005B131E" w:rsidRPr="00BA7805" w:rsidRDefault="005B131E" w:rsidP="002542E1">
            <w:pPr>
              <w:pStyle w:val="ARfintablebodyright8pt"/>
              <w:rPr>
                <w:highlight w:val="green"/>
              </w:rPr>
            </w:pPr>
            <w:r w:rsidRPr="00A82FA8">
              <w:t>44.6</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9BE8445" w14:textId="77777777" w:rsidR="005B131E" w:rsidRPr="00BA7805" w:rsidRDefault="005B131E" w:rsidP="002542E1">
            <w:pPr>
              <w:pStyle w:val="ARfintablebodyright8pt"/>
              <w:rPr>
                <w:highlight w:val="green"/>
              </w:rPr>
            </w:pPr>
            <w:r w:rsidRPr="00A82FA8">
              <w:t>3.9</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5CE5279A" w14:textId="77777777" w:rsidR="005B131E" w:rsidRPr="00BA7805" w:rsidRDefault="005B131E" w:rsidP="002542E1">
            <w:pPr>
              <w:pStyle w:val="ARfintablebodyright8pt"/>
              <w:rPr>
                <w:highlight w:val="green"/>
              </w:rPr>
            </w:pPr>
            <w:r w:rsidRPr="00A82FA8">
              <w:t>18.3</w:t>
            </w:r>
          </w:p>
        </w:tc>
        <w:tc>
          <w:tcPr>
            <w:tcW w:w="1040" w:type="dxa"/>
            <w:tcBorders>
              <w:top w:val="single" w:sz="4" w:space="0" w:color="A6A6A6" w:themeColor="background1" w:themeShade="A6"/>
              <w:bottom w:val="single" w:sz="4" w:space="0" w:color="A6A6A6" w:themeColor="background1" w:themeShade="A6"/>
            </w:tcBorders>
            <w:noWrap/>
          </w:tcPr>
          <w:p w14:paraId="5E2D254C" w14:textId="77777777" w:rsidR="005B131E" w:rsidRPr="00BA7805" w:rsidRDefault="005B131E" w:rsidP="002542E1">
            <w:pPr>
              <w:pStyle w:val="ARfintablebodyright8pt"/>
              <w:rPr>
                <w:highlight w:val="green"/>
              </w:rPr>
            </w:pPr>
            <w:r w:rsidRPr="00A82FA8">
              <w:t>24.5</w:t>
            </w:r>
          </w:p>
        </w:tc>
        <w:tc>
          <w:tcPr>
            <w:tcW w:w="1041" w:type="dxa"/>
            <w:tcBorders>
              <w:top w:val="single" w:sz="4" w:space="0" w:color="A6A6A6" w:themeColor="background1" w:themeShade="A6"/>
              <w:bottom w:val="single" w:sz="4" w:space="0" w:color="A6A6A6" w:themeColor="background1" w:themeShade="A6"/>
            </w:tcBorders>
            <w:noWrap/>
          </w:tcPr>
          <w:p w14:paraId="04FCB319" w14:textId="77777777" w:rsidR="005B131E" w:rsidRPr="00BA7805" w:rsidRDefault="005B131E" w:rsidP="002542E1">
            <w:pPr>
              <w:pStyle w:val="ARfintablebodyright8pt"/>
              <w:rPr>
                <w:highlight w:val="green"/>
              </w:rPr>
            </w:pPr>
            <w:r w:rsidRPr="00A82FA8">
              <w:t>37.3</w:t>
            </w:r>
          </w:p>
        </w:tc>
        <w:tc>
          <w:tcPr>
            <w:tcW w:w="1040" w:type="dxa"/>
            <w:tcBorders>
              <w:top w:val="single" w:sz="4" w:space="0" w:color="A6A6A6" w:themeColor="background1" w:themeShade="A6"/>
              <w:bottom w:val="single" w:sz="4" w:space="0" w:color="A6A6A6" w:themeColor="background1" w:themeShade="A6"/>
            </w:tcBorders>
            <w:noWrap/>
          </w:tcPr>
          <w:p w14:paraId="6D6F7B6E" w14:textId="77777777" w:rsidR="005B131E" w:rsidRPr="00BA7805" w:rsidRDefault="005B131E" w:rsidP="002542E1">
            <w:pPr>
              <w:pStyle w:val="ARfintablebodyright8pt"/>
              <w:rPr>
                <w:highlight w:val="green"/>
              </w:rPr>
            </w:pPr>
            <w:r w:rsidRPr="00A82FA8">
              <w:t>39.8</w:t>
            </w:r>
          </w:p>
        </w:tc>
        <w:tc>
          <w:tcPr>
            <w:tcW w:w="1041" w:type="dxa"/>
            <w:tcBorders>
              <w:top w:val="single" w:sz="4" w:space="0" w:color="A6A6A6" w:themeColor="background1" w:themeShade="A6"/>
              <w:bottom w:val="single" w:sz="4" w:space="0" w:color="A6A6A6" w:themeColor="background1" w:themeShade="A6"/>
            </w:tcBorders>
            <w:noWrap/>
          </w:tcPr>
          <w:p w14:paraId="68DF1163" w14:textId="77777777" w:rsidR="005B131E" w:rsidRPr="00BA7805" w:rsidRDefault="005B131E" w:rsidP="002542E1">
            <w:pPr>
              <w:pStyle w:val="ARfintablebodyright8pt"/>
              <w:rPr>
                <w:highlight w:val="green"/>
              </w:rPr>
            </w:pPr>
            <w:r w:rsidRPr="00A82FA8">
              <w:t>0.7</w:t>
            </w:r>
          </w:p>
        </w:tc>
        <w:tc>
          <w:tcPr>
            <w:tcW w:w="1041" w:type="dxa"/>
            <w:tcBorders>
              <w:top w:val="single" w:sz="4" w:space="0" w:color="A6A6A6" w:themeColor="background1" w:themeShade="A6"/>
              <w:bottom w:val="single" w:sz="4" w:space="0" w:color="A6A6A6" w:themeColor="background1" w:themeShade="A6"/>
            </w:tcBorders>
            <w:noWrap/>
          </w:tcPr>
          <w:p w14:paraId="50AAE87E" w14:textId="77777777" w:rsidR="005B131E" w:rsidRPr="00BA7805" w:rsidRDefault="005B131E" w:rsidP="002542E1">
            <w:pPr>
              <w:pStyle w:val="ARfintablebodyright8pt"/>
              <w:rPr>
                <w:highlight w:val="green"/>
              </w:rPr>
            </w:pPr>
            <w:r w:rsidRPr="00A82FA8">
              <w:t>22.7</w:t>
            </w:r>
          </w:p>
        </w:tc>
      </w:tr>
      <w:tr w:rsidR="005B131E" w:rsidRPr="00BA7805" w14:paraId="092B4D67"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479A878F" w14:textId="77777777" w:rsidR="005B131E" w:rsidRPr="00BA7805" w:rsidRDefault="005B131E" w:rsidP="002542E1">
            <w:pPr>
              <w:pStyle w:val="ARfintablebody8pt"/>
              <w:rPr>
                <w:highlight w:val="green"/>
              </w:rPr>
            </w:pPr>
            <w:r w:rsidRPr="00A82FA8">
              <w:t>Vehicle Lease Trust Account</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0E4F5B42" w14:textId="77777777" w:rsidR="005B131E" w:rsidRPr="00BA7805" w:rsidRDefault="005B131E" w:rsidP="002542E1">
            <w:pPr>
              <w:pStyle w:val="ARfintablebodyright8pt"/>
              <w:rPr>
                <w:highlight w:val="green"/>
              </w:rPr>
            </w:pPr>
            <w:r w:rsidRPr="00A82FA8">
              <w:t>10.1</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56CB272"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06066D20" w14:textId="77777777" w:rsidR="005B131E" w:rsidRPr="00BA7805" w:rsidRDefault="005B131E" w:rsidP="002542E1">
            <w:pPr>
              <w:pStyle w:val="ARfintablebodyright8pt"/>
              <w:rPr>
                <w:highlight w:val="green"/>
              </w:rPr>
            </w:pPr>
            <w:r w:rsidRPr="00A82FA8">
              <w:t>5.7</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F951075" w14:textId="77777777" w:rsidR="005B131E" w:rsidRPr="00BA7805" w:rsidRDefault="005B131E" w:rsidP="002542E1">
            <w:pPr>
              <w:pStyle w:val="ARfintablebodyright8pt"/>
              <w:rPr>
                <w:highlight w:val="green"/>
              </w:rPr>
            </w:pPr>
            <w:r w:rsidRPr="00A82FA8">
              <w:t>2.7</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54A53C4F" w14:textId="77777777" w:rsidR="005B131E" w:rsidRPr="00BA7805" w:rsidRDefault="005B131E" w:rsidP="002542E1">
            <w:pPr>
              <w:pStyle w:val="ARfintablebodyright8pt"/>
              <w:rPr>
                <w:highlight w:val="green"/>
              </w:rPr>
            </w:pPr>
            <w:r w:rsidRPr="00A82FA8">
              <w:t>0.1</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62077A70" w14:textId="77777777" w:rsidR="005B131E" w:rsidRPr="00BA7805" w:rsidRDefault="005B131E" w:rsidP="002542E1">
            <w:pPr>
              <w:pStyle w:val="ARfintablebodyright8pt"/>
              <w:rPr>
                <w:highlight w:val="green"/>
              </w:rPr>
            </w:pPr>
            <w:r w:rsidRPr="00A82FA8">
              <w:t>13.2</w:t>
            </w:r>
          </w:p>
        </w:tc>
        <w:tc>
          <w:tcPr>
            <w:tcW w:w="1040" w:type="dxa"/>
            <w:tcBorders>
              <w:top w:val="single" w:sz="4" w:space="0" w:color="A6A6A6" w:themeColor="background1" w:themeShade="A6"/>
              <w:bottom w:val="single" w:sz="4" w:space="0" w:color="A6A6A6" w:themeColor="background1" w:themeShade="A6"/>
            </w:tcBorders>
            <w:noWrap/>
          </w:tcPr>
          <w:p w14:paraId="53F10F6D" w14:textId="77777777" w:rsidR="005B131E" w:rsidRPr="00BA7805" w:rsidRDefault="005B131E" w:rsidP="002542E1">
            <w:pPr>
              <w:pStyle w:val="ARfintablebodyright8pt"/>
              <w:rPr>
                <w:highlight w:val="green"/>
              </w:rPr>
            </w:pPr>
            <w:r w:rsidRPr="00A82FA8">
              <w:t>9.0</w:t>
            </w:r>
          </w:p>
        </w:tc>
        <w:tc>
          <w:tcPr>
            <w:tcW w:w="1041" w:type="dxa"/>
            <w:tcBorders>
              <w:top w:val="single" w:sz="4" w:space="0" w:color="A6A6A6" w:themeColor="background1" w:themeShade="A6"/>
              <w:bottom w:val="single" w:sz="4" w:space="0" w:color="A6A6A6" w:themeColor="background1" w:themeShade="A6"/>
            </w:tcBorders>
            <w:noWrap/>
          </w:tcPr>
          <w:p w14:paraId="61E9A249" w14:textId="77777777" w:rsidR="005B131E" w:rsidRPr="00BA7805" w:rsidRDefault="005B131E" w:rsidP="002542E1">
            <w:pPr>
              <w:pStyle w:val="ARfintablebodyright8pt"/>
              <w:rPr>
                <w:highlight w:val="green"/>
              </w:rPr>
            </w:pPr>
            <w:r w:rsidRPr="00A82FA8">
              <w:t>5.8</w:t>
            </w:r>
          </w:p>
        </w:tc>
        <w:tc>
          <w:tcPr>
            <w:tcW w:w="1040" w:type="dxa"/>
            <w:tcBorders>
              <w:top w:val="single" w:sz="4" w:space="0" w:color="A6A6A6" w:themeColor="background1" w:themeShade="A6"/>
              <w:bottom w:val="single" w:sz="4" w:space="0" w:color="A6A6A6" w:themeColor="background1" w:themeShade="A6"/>
            </w:tcBorders>
            <w:noWrap/>
          </w:tcPr>
          <w:p w14:paraId="5B03B49E" w14:textId="77777777" w:rsidR="005B131E" w:rsidRPr="00BA7805" w:rsidRDefault="005B131E" w:rsidP="002542E1">
            <w:pPr>
              <w:pStyle w:val="ARfintablebodyright8pt"/>
              <w:rPr>
                <w:highlight w:val="green"/>
              </w:rPr>
            </w:pPr>
            <w:r w:rsidRPr="00A82FA8">
              <w:t>4.5</w:t>
            </w:r>
          </w:p>
        </w:tc>
        <w:tc>
          <w:tcPr>
            <w:tcW w:w="1041" w:type="dxa"/>
            <w:tcBorders>
              <w:top w:val="single" w:sz="4" w:space="0" w:color="A6A6A6" w:themeColor="background1" w:themeShade="A6"/>
              <w:bottom w:val="single" w:sz="4" w:space="0" w:color="A6A6A6" w:themeColor="background1" w:themeShade="A6"/>
            </w:tcBorders>
            <w:noWrap/>
          </w:tcPr>
          <w:p w14:paraId="3834F308" w14:textId="77777777" w:rsidR="005B131E" w:rsidRPr="00BA7805" w:rsidRDefault="005B131E" w:rsidP="002542E1">
            <w:pPr>
              <w:pStyle w:val="ARfintablebodyright8pt"/>
              <w:rPr>
                <w:highlight w:val="green"/>
              </w:rPr>
            </w:pPr>
            <w:r w:rsidRPr="00A82FA8">
              <w:t>(0.1)</w:t>
            </w:r>
          </w:p>
        </w:tc>
        <w:tc>
          <w:tcPr>
            <w:tcW w:w="1041" w:type="dxa"/>
            <w:tcBorders>
              <w:top w:val="single" w:sz="4" w:space="0" w:color="A6A6A6" w:themeColor="background1" w:themeShade="A6"/>
              <w:bottom w:val="single" w:sz="4" w:space="0" w:color="A6A6A6" w:themeColor="background1" w:themeShade="A6"/>
            </w:tcBorders>
            <w:noWrap/>
          </w:tcPr>
          <w:p w14:paraId="625C4761" w14:textId="77777777" w:rsidR="005B131E" w:rsidRPr="00BA7805" w:rsidRDefault="005B131E" w:rsidP="002542E1">
            <w:pPr>
              <w:pStyle w:val="ARfintablebodyright8pt"/>
              <w:rPr>
                <w:highlight w:val="green"/>
              </w:rPr>
            </w:pPr>
            <w:r w:rsidRPr="00A82FA8">
              <w:t>10.1</w:t>
            </w:r>
          </w:p>
        </w:tc>
      </w:tr>
      <w:tr w:rsidR="005B131E" w:rsidRPr="00BA7805" w14:paraId="30502997"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5D4510E1" w14:textId="77777777" w:rsidR="005B131E" w:rsidRPr="00BA7805" w:rsidRDefault="005B131E" w:rsidP="002542E1">
            <w:pPr>
              <w:pStyle w:val="ARfintablebody8pt"/>
              <w:rPr>
                <w:highlight w:val="green"/>
              </w:rPr>
            </w:pPr>
            <w:r w:rsidRPr="00A82FA8">
              <w:t>Departmental Suspense Account</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3DA564E0"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0D1BB6C0"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7B3EA143"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2CBD8C6A"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7EC088C2" w14:textId="77777777" w:rsidR="005B131E" w:rsidRPr="00BA7805" w:rsidRDefault="005B131E" w:rsidP="002542E1">
            <w:pPr>
              <w:pStyle w:val="ARfintablebodyright8pt"/>
              <w:rPr>
                <w:highlight w:val="green"/>
              </w:rPr>
            </w:pPr>
            <w:r>
              <w:t>–</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3B4B7AE7"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bottom w:val="single" w:sz="4" w:space="0" w:color="A6A6A6" w:themeColor="background1" w:themeShade="A6"/>
            </w:tcBorders>
            <w:noWrap/>
          </w:tcPr>
          <w:p w14:paraId="59B6D6A5" w14:textId="77777777" w:rsidR="005B131E" w:rsidRPr="00BA7805" w:rsidRDefault="005B131E" w:rsidP="002542E1">
            <w:pPr>
              <w:pStyle w:val="ARfintablebodyright8pt"/>
              <w:rPr>
                <w:highlight w:val="green"/>
              </w:rPr>
            </w:pPr>
            <w:r w:rsidRPr="00A82FA8">
              <w:t>1.7</w:t>
            </w:r>
          </w:p>
        </w:tc>
        <w:tc>
          <w:tcPr>
            <w:tcW w:w="1041" w:type="dxa"/>
            <w:tcBorders>
              <w:top w:val="single" w:sz="4" w:space="0" w:color="A6A6A6" w:themeColor="background1" w:themeShade="A6"/>
              <w:bottom w:val="single" w:sz="4" w:space="0" w:color="A6A6A6" w:themeColor="background1" w:themeShade="A6"/>
            </w:tcBorders>
            <w:noWrap/>
          </w:tcPr>
          <w:p w14:paraId="565552E7"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bottom w:val="single" w:sz="4" w:space="0" w:color="A6A6A6" w:themeColor="background1" w:themeShade="A6"/>
            </w:tcBorders>
            <w:noWrap/>
          </w:tcPr>
          <w:p w14:paraId="225A5564" w14:textId="77777777" w:rsidR="005B131E" w:rsidRPr="00BA7805" w:rsidRDefault="005B131E" w:rsidP="002542E1">
            <w:pPr>
              <w:pStyle w:val="ARfintablebodyright8pt"/>
              <w:rPr>
                <w:highlight w:val="green"/>
              </w:rPr>
            </w:pPr>
            <w:r w:rsidRPr="00A82FA8">
              <w:t>1.7</w:t>
            </w:r>
          </w:p>
        </w:tc>
        <w:tc>
          <w:tcPr>
            <w:tcW w:w="1041" w:type="dxa"/>
            <w:tcBorders>
              <w:top w:val="single" w:sz="4" w:space="0" w:color="A6A6A6" w:themeColor="background1" w:themeShade="A6"/>
              <w:bottom w:val="single" w:sz="4" w:space="0" w:color="A6A6A6" w:themeColor="background1" w:themeShade="A6"/>
            </w:tcBorders>
            <w:noWrap/>
          </w:tcPr>
          <w:p w14:paraId="7E8A9F43"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270CC78D" w14:textId="77777777" w:rsidR="005B131E" w:rsidRPr="00BA7805" w:rsidRDefault="005B131E" w:rsidP="002542E1">
            <w:pPr>
              <w:pStyle w:val="ARfintablebodyright8pt"/>
              <w:rPr>
                <w:highlight w:val="green"/>
              </w:rPr>
            </w:pPr>
            <w:r>
              <w:t>–</w:t>
            </w:r>
          </w:p>
        </w:tc>
      </w:tr>
      <w:tr w:rsidR="005B131E" w:rsidRPr="00BA7805" w14:paraId="7BC25265"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0E5856A2" w14:textId="77777777" w:rsidR="005B131E" w:rsidRPr="00BA7805" w:rsidRDefault="005B131E" w:rsidP="002542E1">
            <w:pPr>
              <w:pStyle w:val="ARfintablebody8pt"/>
              <w:rPr>
                <w:highlight w:val="green"/>
              </w:rPr>
            </w:pPr>
            <w:r w:rsidRPr="00A82FA8">
              <w:t>Victorian Veterans Fund</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6E0030FB" w14:textId="77777777" w:rsidR="005B131E" w:rsidRPr="00BA7805" w:rsidRDefault="005B131E" w:rsidP="002542E1">
            <w:pPr>
              <w:pStyle w:val="ARfintablebodyright8pt"/>
              <w:rPr>
                <w:highlight w:val="green"/>
              </w:rPr>
            </w:pPr>
            <w:r w:rsidRPr="00A82FA8">
              <w:t>0.2</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8640CDD"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514E418B" w14:textId="77777777" w:rsidR="005B131E" w:rsidRPr="00BA7805" w:rsidRDefault="005B131E" w:rsidP="002542E1">
            <w:pPr>
              <w:pStyle w:val="ARfintablebodyright8pt"/>
              <w:rPr>
                <w:highlight w:val="green"/>
              </w:rPr>
            </w:pPr>
            <w:r w:rsidRPr="00A82FA8">
              <w:t>0.5</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4235415F" w14:textId="77777777" w:rsidR="005B131E" w:rsidRPr="00BA7805" w:rsidRDefault="005B131E" w:rsidP="002542E1">
            <w:pPr>
              <w:pStyle w:val="ARfintablebodyright8pt"/>
              <w:rPr>
                <w:highlight w:val="green"/>
              </w:rPr>
            </w:pPr>
            <w:r w:rsidRPr="00A82FA8">
              <w:t>0.4</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1019A51E" w14:textId="77777777" w:rsidR="005B131E" w:rsidRPr="00BA7805" w:rsidRDefault="005B131E" w:rsidP="002542E1">
            <w:pPr>
              <w:pStyle w:val="ARfintablebodyright8pt"/>
              <w:rPr>
                <w:highlight w:val="green"/>
              </w:rPr>
            </w:pPr>
            <w:r>
              <w:t>–</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42E02DF0" w14:textId="77777777" w:rsidR="005B131E" w:rsidRPr="00BA7805" w:rsidRDefault="005B131E" w:rsidP="002542E1">
            <w:pPr>
              <w:pStyle w:val="ARfintablebodyright8pt"/>
              <w:rPr>
                <w:highlight w:val="green"/>
              </w:rPr>
            </w:pPr>
            <w:r w:rsidRPr="00A82FA8">
              <w:t>0.2</w:t>
            </w:r>
          </w:p>
        </w:tc>
        <w:tc>
          <w:tcPr>
            <w:tcW w:w="1040" w:type="dxa"/>
            <w:tcBorders>
              <w:top w:val="single" w:sz="4" w:space="0" w:color="A6A6A6" w:themeColor="background1" w:themeShade="A6"/>
              <w:bottom w:val="single" w:sz="4" w:space="0" w:color="A6A6A6" w:themeColor="background1" w:themeShade="A6"/>
            </w:tcBorders>
            <w:noWrap/>
          </w:tcPr>
          <w:p w14:paraId="2D4F3950" w14:textId="77777777" w:rsidR="005B131E" w:rsidRPr="00BA7805" w:rsidRDefault="005B131E" w:rsidP="002542E1">
            <w:pPr>
              <w:pStyle w:val="ARfintablebodyright8pt"/>
              <w:rPr>
                <w:highlight w:val="green"/>
              </w:rPr>
            </w:pPr>
            <w:r w:rsidRPr="00A82FA8">
              <w:t>0.3</w:t>
            </w:r>
          </w:p>
        </w:tc>
        <w:tc>
          <w:tcPr>
            <w:tcW w:w="1041" w:type="dxa"/>
            <w:tcBorders>
              <w:top w:val="single" w:sz="4" w:space="0" w:color="A6A6A6" w:themeColor="background1" w:themeShade="A6"/>
              <w:bottom w:val="single" w:sz="4" w:space="0" w:color="A6A6A6" w:themeColor="background1" w:themeShade="A6"/>
            </w:tcBorders>
            <w:noWrap/>
          </w:tcPr>
          <w:p w14:paraId="535685D5" w14:textId="77777777" w:rsidR="005B131E" w:rsidRPr="00BA7805" w:rsidRDefault="005B131E" w:rsidP="002542E1">
            <w:pPr>
              <w:pStyle w:val="ARfintablebodyright8pt"/>
              <w:rPr>
                <w:highlight w:val="green"/>
              </w:rPr>
            </w:pPr>
            <w:r w:rsidRPr="00A82FA8">
              <w:t>0.3</w:t>
            </w:r>
          </w:p>
        </w:tc>
        <w:tc>
          <w:tcPr>
            <w:tcW w:w="1040" w:type="dxa"/>
            <w:tcBorders>
              <w:top w:val="single" w:sz="4" w:space="0" w:color="A6A6A6" w:themeColor="background1" w:themeShade="A6"/>
              <w:bottom w:val="single" w:sz="4" w:space="0" w:color="A6A6A6" w:themeColor="background1" w:themeShade="A6"/>
            </w:tcBorders>
            <w:noWrap/>
          </w:tcPr>
          <w:p w14:paraId="39591911" w14:textId="77777777" w:rsidR="005B131E" w:rsidRPr="00BA7805" w:rsidRDefault="005B131E" w:rsidP="002542E1">
            <w:pPr>
              <w:pStyle w:val="ARfintablebodyright8pt"/>
              <w:rPr>
                <w:highlight w:val="green"/>
              </w:rPr>
            </w:pPr>
            <w:r w:rsidRPr="00A82FA8">
              <w:t>0.4</w:t>
            </w:r>
          </w:p>
        </w:tc>
        <w:tc>
          <w:tcPr>
            <w:tcW w:w="1041" w:type="dxa"/>
            <w:tcBorders>
              <w:top w:val="single" w:sz="4" w:space="0" w:color="A6A6A6" w:themeColor="background1" w:themeShade="A6"/>
              <w:bottom w:val="single" w:sz="4" w:space="0" w:color="A6A6A6" w:themeColor="background1" w:themeShade="A6"/>
            </w:tcBorders>
            <w:noWrap/>
          </w:tcPr>
          <w:p w14:paraId="2A236F1A"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2C6A0EB0" w14:textId="77777777" w:rsidR="005B131E" w:rsidRPr="00BA7805" w:rsidRDefault="005B131E" w:rsidP="002542E1">
            <w:pPr>
              <w:pStyle w:val="ARfintablebodyright8pt"/>
              <w:rPr>
                <w:highlight w:val="green"/>
              </w:rPr>
            </w:pPr>
            <w:r w:rsidRPr="00A82FA8">
              <w:t>0.2</w:t>
            </w:r>
          </w:p>
        </w:tc>
      </w:tr>
      <w:tr w:rsidR="005B131E" w:rsidRPr="00BA7805" w14:paraId="03A7B34E"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68DFF270" w14:textId="77777777" w:rsidR="005B131E" w:rsidRPr="00BA7805" w:rsidRDefault="005B131E" w:rsidP="002542E1">
            <w:pPr>
              <w:pStyle w:val="ARfintablebody8pt"/>
              <w:rPr>
                <w:highlight w:val="green"/>
              </w:rPr>
            </w:pPr>
            <w:r w:rsidRPr="00A82FA8">
              <w:t>Anzac Day Proceeds Fund</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7264955E" w14:textId="77777777" w:rsidR="005B131E" w:rsidRPr="00BA7805" w:rsidRDefault="005B131E" w:rsidP="002542E1">
            <w:pPr>
              <w:pStyle w:val="ARfintablebodyright8pt"/>
              <w:rPr>
                <w:highlight w:val="green"/>
              </w:rPr>
            </w:pPr>
            <w:r w:rsidRPr="00A82FA8">
              <w:t>0.7</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17C31975"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2B45CF8" w14:textId="77777777" w:rsidR="005B131E" w:rsidRPr="00BA7805" w:rsidRDefault="005B131E" w:rsidP="002542E1">
            <w:pPr>
              <w:pStyle w:val="ARfintablebodyright8pt"/>
              <w:rPr>
                <w:highlight w:val="green"/>
              </w:rPr>
            </w:pPr>
            <w:r w:rsidRPr="00A82FA8">
              <w:t>0.7</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4C5F6A2A" w14:textId="77777777" w:rsidR="005B131E" w:rsidRPr="00BA7805" w:rsidRDefault="005B131E" w:rsidP="002542E1">
            <w:pPr>
              <w:pStyle w:val="ARfintablebodyright8pt"/>
              <w:rPr>
                <w:highlight w:val="green"/>
              </w:rPr>
            </w:pPr>
            <w:r w:rsidRPr="00A82FA8">
              <w:t>0.7</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03789F75" w14:textId="77777777" w:rsidR="005B131E" w:rsidRPr="00BA7805" w:rsidRDefault="005B131E" w:rsidP="002542E1">
            <w:pPr>
              <w:pStyle w:val="ARfintablebodyright8pt"/>
              <w:rPr>
                <w:highlight w:val="green"/>
              </w:rPr>
            </w:pPr>
            <w:r>
              <w:t>–</w:t>
            </w:r>
          </w:p>
        </w:tc>
        <w:tc>
          <w:tcPr>
            <w:tcW w:w="1041" w:type="dxa"/>
            <w:gridSpan w:val="2"/>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458A08F2" w14:textId="77777777" w:rsidR="005B131E" w:rsidRPr="00BA7805" w:rsidRDefault="005B131E" w:rsidP="002542E1">
            <w:pPr>
              <w:pStyle w:val="ARfintablebodyright8pt"/>
              <w:rPr>
                <w:highlight w:val="green"/>
              </w:rPr>
            </w:pPr>
            <w:r w:rsidRPr="00A82FA8">
              <w:t>0.8</w:t>
            </w:r>
          </w:p>
        </w:tc>
        <w:tc>
          <w:tcPr>
            <w:tcW w:w="1040" w:type="dxa"/>
            <w:tcBorders>
              <w:top w:val="single" w:sz="4" w:space="0" w:color="A6A6A6" w:themeColor="background1" w:themeShade="A6"/>
              <w:bottom w:val="single" w:sz="4" w:space="0" w:color="A6A6A6" w:themeColor="background1" w:themeShade="A6"/>
            </w:tcBorders>
            <w:noWrap/>
          </w:tcPr>
          <w:p w14:paraId="5B8603A7" w14:textId="77777777" w:rsidR="005B131E" w:rsidRPr="00BA7805" w:rsidRDefault="005B131E" w:rsidP="002542E1">
            <w:pPr>
              <w:pStyle w:val="ARfintablebodyright8pt"/>
              <w:rPr>
                <w:highlight w:val="green"/>
              </w:rPr>
            </w:pPr>
            <w:r w:rsidRPr="00A82FA8">
              <w:t>0.7</w:t>
            </w:r>
          </w:p>
        </w:tc>
        <w:tc>
          <w:tcPr>
            <w:tcW w:w="1041" w:type="dxa"/>
            <w:tcBorders>
              <w:top w:val="single" w:sz="4" w:space="0" w:color="A6A6A6" w:themeColor="background1" w:themeShade="A6"/>
              <w:bottom w:val="single" w:sz="4" w:space="0" w:color="A6A6A6" w:themeColor="background1" w:themeShade="A6"/>
            </w:tcBorders>
            <w:noWrap/>
          </w:tcPr>
          <w:p w14:paraId="3F471268" w14:textId="77777777" w:rsidR="005B131E" w:rsidRPr="00BA7805" w:rsidRDefault="005B131E" w:rsidP="002542E1">
            <w:pPr>
              <w:pStyle w:val="ARfintablebodyright8pt"/>
              <w:rPr>
                <w:highlight w:val="green"/>
              </w:rPr>
            </w:pPr>
            <w:r w:rsidRPr="00A82FA8">
              <w:t>0.8</w:t>
            </w:r>
          </w:p>
        </w:tc>
        <w:tc>
          <w:tcPr>
            <w:tcW w:w="1040" w:type="dxa"/>
            <w:tcBorders>
              <w:top w:val="single" w:sz="4" w:space="0" w:color="A6A6A6" w:themeColor="background1" w:themeShade="A6"/>
              <w:bottom w:val="single" w:sz="4" w:space="0" w:color="A6A6A6" w:themeColor="background1" w:themeShade="A6"/>
            </w:tcBorders>
            <w:noWrap/>
          </w:tcPr>
          <w:p w14:paraId="2499F979" w14:textId="77777777" w:rsidR="005B131E" w:rsidRPr="00BA7805" w:rsidRDefault="005B131E" w:rsidP="002542E1">
            <w:pPr>
              <w:pStyle w:val="ARfintablebodyright8pt"/>
              <w:rPr>
                <w:highlight w:val="green"/>
              </w:rPr>
            </w:pPr>
            <w:r w:rsidRPr="00A82FA8">
              <w:t>0.8</w:t>
            </w:r>
          </w:p>
        </w:tc>
        <w:tc>
          <w:tcPr>
            <w:tcW w:w="1041" w:type="dxa"/>
            <w:tcBorders>
              <w:top w:val="single" w:sz="4" w:space="0" w:color="A6A6A6" w:themeColor="background1" w:themeShade="A6"/>
              <w:bottom w:val="single" w:sz="4" w:space="0" w:color="A6A6A6" w:themeColor="background1" w:themeShade="A6"/>
            </w:tcBorders>
            <w:noWrap/>
          </w:tcPr>
          <w:p w14:paraId="42045AB1"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3C1819EF" w14:textId="77777777" w:rsidR="005B131E" w:rsidRPr="00BA7805" w:rsidRDefault="005B131E" w:rsidP="002542E1">
            <w:pPr>
              <w:pStyle w:val="ARfintablebodyright8pt"/>
              <w:rPr>
                <w:highlight w:val="green"/>
              </w:rPr>
            </w:pPr>
            <w:r w:rsidRPr="00A82FA8">
              <w:t>0.7</w:t>
            </w:r>
          </w:p>
        </w:tc>
      </w:tr>
      <w:tr w:rsidR="005B131E" w:rsidRPr="00BA7805" w14:paraId="14D616BF" w14:textId="77777777" w:rsidTr="002542E1">
        <w:trPr>
          <w:cantSplit w:val="0"/>
        </w:trPr>
        <w:tc>
          <w:tcPr>
            <w:tcW w:w="3114" w:type="dxa"/>
          </w:tcPr>
          <w:p w14:paraId="539663C4" w14:textId="77777777" w:rsidR="005B131E" w:rsidRPr="00BA7805" w:rsidRDefault="005B131E" w:rsidP="002542E1">
            <w:pPr>
              <w:pStyle w:val="ARfintablebodybold8pt"/>
              <w:rPr>
                <w:highlight w:val="green"/>
              </w:rPr>
            </w:pPr>
            <w:r w:rsidRPr="00A82FA8">
              <w:t>Total controlled trusts</w:t>
            </w:r>
          </w:p>
        </w:tc>
        <w:tc>
          <w:tcPr>
            <w:tcW w:w="1040" w:type="dxa"/>
            <w:tcBorders>
              <w:right w:val="nil"/>
            </w:tcBorders>
            <w:shd w:val="clear" w:color="auto" w:fill="E7E6E6" w:themeFill="accent4"/>
            <w:noWrap/>
          </w:tcPr>
          <w:p w14:paraId="4B7E4B64" w14:textId="77777777" w:rsidR="005B131E" w:rsidRPr="00BA7805" w:rsidRDefault="005B131E" w:rsidP="002542E1">
            <w:pPr>
              <w:pStyle w:val="ARfintablebodyrightbold8pt"/>
              <w:rPr>
                <w:highlight w:val="green"/>
              </w:rPr>
            </w:pPr>
            <w:r w:rsidRPr="00A82FA8">
              <w:t>70.0</w:t>
            </w:r>
          </w:p>
        </w:tc>
        <w:tc>
          <w:tcPr>
            <w:tcW w:w="1041" w:type="dxa"/>
            <w:tcBorders>
              <w:right w:val="nil"/>
            </w:tcBorders>
            <w:shd w:val="clear" w:color="auto" w:fill="E7E6E6" w:themeFill="accent4"/>
          </w:tcPr>
          <w:p w14:paraId="471F1877" w14:textId="77777777" w:rsidR="005B131E" w:rsidRPr="00BA7805" w:rsidRDefault="005B131E" w:rsidP="002542E1">
            <w:pPr>
              <w:pStyle w:val="ARfintablebodyrightbold8pt"/>
              <w:rPr>
                <w:highlight w:val="green"/>
              </w:rPr>
            </w:pPr>
            <w:r w:rsidRPr="00A82FA8">
              <w:t>(0.9)</w:t>
            </w:r>
          </w:p>
        </w:tc>
        <w:tc>
          <w:tcPr>
            <w:tcW w:w="1040" w:type="dxa"/>
            <w:tcBorders>
              <w:left w:val="nil"/>
              <w:right w:val="nil"/>
            </w:tcBorders>
            <w:shd w:val="clear" w:color="auto" w:fill="E7E6E6" w:themeFill="accent4"/>
            <w:noWrap/>
          </w:tcPr>
          <w:p w14:paraId="0EFA5E9B" w14:textId="77777777" w:rsidR="005B131E" w:rsidRPr="00BA7805" w:rsidRDefault="005B131E" w:rsidP="002542E1">
            <w:pPr>
              <w:pStyle w:val="ARfintablebodyrightbold8pt"/>
              <w:rPr>
                <w:highlight w:val="green"/>
              </w:rPr>
            </w:pPr>
            <w:r w:rsidRPr="00A82FA8">
              <w:t>112.9</w:t>
            </w:r>
          </w:p>
        </w:tc>
        <w:tc>
          <w:tcPr>
            <w:tcW w:w="1041" w:type="dxa"/>
            <w:tcBorders>
              <w:left w:val="nil"/>
              <w:right w:val="nil"/>
            </w:tcBorders>
            <w:shd w:val="clear" w:color="auto" w:fill="E7E6E6" w:themeFill="accent4"/>
            <w:noWrap/>
          </w:tcPr>
          <w:p w14:paraId="360C1DD3" w14:textId="77777777" w:rsidR="005B131E" w:rsidRPr="00BA7805" w:rsidRDefault="005B131E" w:rsidP="002542E1">
            <w:pPr>
              <w:pStyle w:val="ARfintablebodyrightbold8pt"/>
              <w:rPr>
                <w:highlight w:val="green"/>
              </w:rPr>
            </w:pPr>
            <w:r w:rsidRPr="00A82FA8">
              <w:t>138.8</w:t>
            </w:r>
          </w:p>
        </w:tc>
        <w:tc>
          <w:tcPr>
            <w:tcW w:w="1040" w:type="dxa"/>
            <w:tcBorders>
              <w:left w:val="nil"/>
              <w:right w:val="nil"/>
            </w:tcBorders>
            <w:shd w:val="clear" w:color="auto" w:fill="E7E6E6" w:themeFill="accent4"/>
            <w:noWrap/>
          </w:tcPr>
          <w:p w14:paraId="09E1065E" w14:textId="77777777" w:rsidR="005B131E" w:rsidRPr="00BA7805" w:rsidRDefault="005B131E" w:rsidP="002542E1">
            <w:pPr>
              <w:pStyle w:val="ARfintablebodyrightbold8pt"/>
              <w:rPr>
                <w:highlight w:val="green"/>
              </w:rPr>
            </w:pPr>
            <w:r w:rsidRPr="00A82FA8">
              <w:t>4.1</w:t>
            </w:r>
          </w:p>
        </w:tc>
        <w:tc>
          <w:tcPr>
            <w:tcW w:w="1041" w:type="dxa"/>
            <w:gridSpan w:val="2"/>
            <w:tcBorders>
              <w:left w:val="nil"/>
            </w:tcBorders>
            <w:shd w:val="clear" w:color="auto" w:fill="E7E6E6" w:themeFill="accent4"/>
            <w:noWrap/>
          </w:tcPr>
          <w:p w14:paraId="18BDE80B" w14:textId="77777777" w:rsidR="005B131E" w:rsidRPr="00BA7805" w:rsidRDefault="005B131E" w:rsidP="002542E1">
            <w:pPr>
              <w:pStyle w:val="ARfintablebodyrightbold8pt"/>
              <w:rPr>
                <w:highlight w:val="green"/>
              </w:rPr>
            </w:pPr>
            <w:r w:rsidRPr="00A82FA8">
              <w:t>47.1</w:t>
            </w:r>
          </w:p>
        </w:tc>
        <w:tc>
          <w:tcPr>
            <w:tcW w:w="1040" w:type="dxa"/>
            <w:noWrap/>
          </w:tcPr>
          <w:p w14:paraId="487BA1B2" w14:textId="77777777" w:rsidR="005B131E" w:rsidRPr="00BA7805" w:rsidRDefault="005B131E" w:rsidP="002542E1">
            <w:pPr>
              <w:pStyle w:val="ARfintablebodyrightbold8pt"/>
              <w:rPr>
                <w:highlight w:val="green"/>
              </w:rPr>
            </w:pPr>
            <w:r w:rsidRPr="00A82FA8">
              <w:t>64.3</w:t>
            </w:r>
          </w:p>
        </w:tc>
        <w:tc>
          <w:tcPr>
            <w:tcW w:w="1041" w:type="dxa"/>
            <w:noWrap/>
          </w:tcPr>
          <w:p w14:paraId="49F7103E" w14:textId="77777777" w:rsidR="005B131E" w:rsidRPr="00BA7805" w:rsidRDefault="005B131E" w:rsidP="002542E1">
            <w:pPr>
              <w:pStyle w:val="ARfintablebodyrightbold8pt"/>
              <w:rPr>
                <w:highlight w:val="green"/>
              </w:rPr>
            </w:pPr>
            <w:r w:rsidRPr="00A82FA8">
              <w:t>131.2</w:t>
            </w:r>
          </w:p>
        </w:tc>
        <w:tc>
          <w:tcPr>
            <w:tcW w:w="1040" w:type="dxa"/>
            <w:noWrap/>
          </w:tcPr>
          <w:p w14:paraId="2636E78D" w14:textId="77777777" w:rsidR="005B131E" w:rsidRPr="00BA7805" w:rsidRDefault="005B131E" w:rsidP="002542E1">
            <w:pPr>
              <w:pStyle w:val="ARfintablebodyrightbold8pt"/>
              <w:rPr>
                <w:highlight w:val="green"/>
              </w:rPr>
            </w:pPr>
            <w:r w:rsidRPr="00A82FA8">
              <w:t>126.0</w:t>
            </w:r>
          </w:p>
        </w:tc>
        <w:tc>
          <w:tcPr>
            <w:tcW w:w="1041" w:type="dxa"/>
            <w:noWrap/>
          </w:tcPr>
          <w:p w14:paraId="235DDB93" w14:textId="77777777" w:rsidR="005B131E" w:rsidRPr="00BA7805" w:rsidRDefault="005B131E" w:rsidP="002542E1">
            <w:pPr>
              <w:pStyle w:val="ARfintablebodyrightbold8pt"/>
              <w:rPr>
                <w:highlight w:val="green"/>
              </w:rPr>
            </w:pPr>
            <w:r w:rsidRPr="00A82FA8">
              <w:t>0.6</w:t>
            </w:r>
          </w:p>
        </w:tc>
        <w:tc>
          <w:tcPr>
            <w:tcW w:w="1041" w:type="dxa"/>
            <w:noWrap/>
          </w:tcPr>
          <w:p w14:paraId="62BD5797" w14:textId="77777777" w:rsidR="005B131E" w:rsidRPr="00BA7805" w:rsidRDefault="005B131E" w:rsidP="002542E1">
            <w:pPr>
              <w:pStyle w:val="ARfintablebodyrightbold8pt"/>
              <w:rPr>
                <w:highlight w:val="green"/>
              </w:rPr>
            </w:pPr>
            <w:r w:rsidRPr="00A82FA8">
              <w:t>70.0</w:t>
            </w:r>
          </w:p>
        </w:tc>
      </w:tr>
    </w:tbl>
    <w:p w14:paraId="74335D86" w14:textId="77777777" w:rsidR="005B131E" w:rsidRPr="00BA7805" w:rsidRDefault="005B131E" w:rsidP="002542E1">
      <w:pPr>
        <w:pStyle w:val="ARfinbody"/>
        <w:rPr>
          <w:highlight w:val="green"/>
        </w:rPr>
      </w:pPr>
    </w:p>
    <w:tbl>
      <w:tblPr>
        <w:tblStyle w:val="TableGrid"/>
        <w:tblW w:w="14560" w:type="dxa"/>
        <w:tblLayout w:type="fixed"/>
        <w:tblLook w:val="06A0" w:firstRow="1" w:lastRow="0" w:firstColumn="1" w:lastColumn="0" w:noHBand="1" w:noVBand="1"/>
      </w:tblPr>
      <w:tblGrid>
        <w:gridCol w:w="3114"/>
        <w:gridCol w:w="1040"/>
        <w:gridCol w:w="1041"/>
        <w:gridCol w:w="1040"/>
        <w:gridCol w:w="1041"/>
        <w:gridCol w:w="1040"/>
        <w:gridCol w:w="1035"/>
        <w:gridCol w:w="1046"/>
        <w:gridCol w:w="1041"/>
        <w:gridCol w:w="1040"/>
        <w:gridCol w:w="1041"/>
        <w:gridCol w:w="1041"/>
      </w:tblGrid>
      <w:tr w:rsidR="005B131E" w:rsidRPr="00BA7805" w14:paraId="3459B53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114" w:type="dxa"/>
            <w:vMerge w:val="restart"/>
          </w:tcPr>
          <w:p w14:paraId="7197CA19" w14:textId="77777777" w:rsidR="005B131E" w:rsidRPr="00BA7805" w:rsidRDefault="005B131E">
            <w:pPr>
              <w:pStyle w:val="ARfintablecolhead"/>
              <w:spacing w:before="30" w:after="30" w:line="216" w:lineRule="auto"/>
              <w:rPr>
                <w:sz w:val="15"/>
                <w:szCs w:val="15"/>
                <w:highlight w:val="green"/>
              </w:rPr>
            </w:pPr>
          </w:p>
        </w:tc>
        <w:tc>
          <w:tcPr>
            <w:tcW w:w="6237" w:type="dxa"/>
            <w:gridSpan w:val="6"/>
            <w:shd w:val="clear" w:color="auto" w:fill="E7E6E6" w:themeFill="accent4"/>
          </w:tcPr>
          <w:p w14:paraId="67311AFD" w14:textId="77777777" w:rsidR="005B131E" w:rsidRPr="00985EE5" w:rsidRDefault="005B131E">
            <w:pPr>
              <w:pStyle w:val="ARfintablecolheadcentre"/>
              <w:spacing w:before="30" w:after="30" w:line="216" w:lineRule="auto"/>
              <w:rPr>
                <w:sz w:val="15"/>
                <w:szCs w:val="15"/>
              </w:rPr>
            </w:pPr>
            <w:r w:rsidRPr="00985EE5">
              <w:rPr>
                <w:sz w:val="15"/>
                <w:szCs w:val="15"/>
              </w:rPr>
              <w:t>2024</w:t>
            </w:r>
          </w:p>
        </w:tc>
        <w:tc>
          <w:tcPr>
            <w:tcW w:w="5209" w:type="dxa"/>
            <w:gridSpan w:val="5"/>
            <w:tcBorders>
              <w:bottom w:val="single" w:sz="4" w:space="0" w:color="auto"/>
            </w:tcBorders>
          </w:tcPr>
          <w:p w14:paraId="61E54A21" w14:textId="77777777" w:rsidR="005B131E" w:rsidRPr="00985EE5" w:rsidRDefault="005B131E">
            <w:pPr>
              <w:pStyle w:val="ARfintablecolheadcentre"/>
              <w:spacing w:before="30" w:after="30" w:line="216" w:lineRule="auto"/>
              <w:rPr>
                <w:sz w:val="15"/>
                <w:szCs w:val="15"/>
              </w:rPr>
            </w:pPr>
            <w:r w:rsidRPr="00985EE5">
              <w:rPr>
                <w:sz w:val="15"/>
                <w:szCs w:val="15"/>
              </w:rPr>
              <w:t>2023</w:t>
            </w:r>
          </w:p>
        </w:tc>
      </w:tr>
      <w:tr w:rsidR="005B131E" w:rsidRPr="00BA7805" w14:paraId="1766CC60"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114" w:type="dxa"/>
            <w:vMerge/>
            <w:hideMark/>
          </w:tcPr>
          <w:p w14:paraId="708B02E2" w14:textId="77777777" w:rsidR="005B131E" w:rsidRPr="00BA7805" w:rsidRDefault="005B131E" w:rsidP="002542E1">
            <w:pPr>
              <w:pStyle w:val="ARfintablecolhead"/>
              <w:spacing w:before="30" w:after="30" w:line="216" w:lineRule="auto"/>
              <w:rPr>
                <w:sz w:val="15"/>
                <w:szCs w:val="15"/>
                <w:highlight w:val="green"/>
              </w:rPr>
            </w:pPr>
          </w:p>
        </w:tc>
        <w:tc>
          <w:tcPr>
            <w:tcW w:w="1040" w:type="dxa"/>
            <w:tcBorders>
              <w:top w:val="single" w:sz="4" w:space="0" w:color="auto"/>
              <w:bottom w:val="single" w:sz="4" w:space="0" w:color="auto"/>
              <w:right w:val="nil"/>
            </w:tcBorders>
            <w:shd w:val="clear" w:color="auto" w:fill="E7E6E6" w:themeFill="accent4"/>
            <w:hideMark/>
          </w:tcPr>
          <w:p w14:paraId="1FFA7F81" w14:textId="77777777" w:rsidR="005B131E" w:rsidRPr="00BE649C" w:rsidRDefault="005B131E" w:rsidP="002542E1">
            <w:pPr>
              <w:pStyle w:val="ARfintablecolheadright"/>
              <w:spacing w:before="30" w:after="30" w:line="216" w:lineRule="auto"/>
              <w:ind w:right="57"/>
              <w:rPr>
                <w:sz w:val="15"/>
                <w:szCs w:val="15"/>
              </w:rPr>
            </w:pPr>
            <w:r w:rsidRPr="00BE649C">
              <w:rPr>
                <w:sz w:val="15"/>
                <w:szCs w:val="15"/>
              </w:rPr>
              <w:t xml:space="preserve">Opening balance </w:t>
            </w:r>
            <w:r w:rsidRPr="00BE649C">
              <w:rPr>
                <w:sz w:val="15"/>
                <w:szCs w:val="15"/>
              </w:rPr>
              <w:br/>
              <w:t xml:space="preserve">as at </w:t>
            </w:r>
            <w:r w:rsidRPr="00BE649C">
              <w:rPr>
                <w:sz w:val="15"/>
                <w:szCs w:val="15"/>
              </w:rPr>
              <w:br/>
              <w:t xml:space="preserve">1 July </w:t>
            </w:r>
            <w:r w:rsidRPr="00BE649C">
              <w:rPr>
                <w:sz w:val="15"/>
                <w:szCs w:val="15"/>
              </w:rPr>
              <w:br/>
              <w:t>2023</w:t>
            </w:r>
          </w:p>
          <w:p w14:paraId="67FA44D0" w14:textId="77777777" w:rsidR="005B131E" w:rsidRPr="00BA7805" w:rsidRDefault="005B131E" w:rsidP="002542E1">
            <w:pPr>
              <w:pStyle w:val="ARfintablecolheadright"/>
              <w:spacing w:before="30" w:after="30" w:line="216" w:lineRule="auto"/>
              <w:ind w:right="57"/>
              <w:rPr>
                <w:sz w:val="15"/>
                <w:szCs w:val="15"/>
                <w:highlight w:val="green"/>
              </w:rPr>
            </w:pPr>
            <w:r w:rsidRPr="00BE649C">
              <w:rPr>
                <w:sz w:val="15"/>
                <w:szCs w:val="15"/>
              </w:rPr>
              <w:t>$M</w:t>
            </w:r>
          </w:p>
        </w:tc>
        <w:tc>
          <w:tcPr>
            <w:tcW w:w="1041" w:type="dxa"/>
            <w:tcBorders>
              <w:top w:val="single" w:sz="4" w:space="0" w:color="auto"/>
              <w:bottom w:val="single" w:sz="4" w:space="0" w:color="auto"/>
              <w:right w:val="nil"/>
            </w:tcBorders>
            <w:shd w:val="clear" w:color="auto" w:fill="E7E6E6" w:themeFill="accent4"/>
          </w:tcPr>
          <w:p w14:paraId="072ECE4F" w14:textId="77777777" w:rsidR="005B131E" w:rsidRPr="00BE649C" w:rsidRDefault="005B131E" w:rsidP="002542E1">
            <w:pPr>
              <w:pStyle w:val="ARfintablecolheadright"/>
              <w:spacing w:before="30" w:after="30" w:line="216" w:lineRule="auto"/>
              <w:ind w:right="57"/>
              <w:rPr>
                <w:sz w:val="15"/>
                <w:szCs w:val="15"/>
              </w:rPr>
            </w:pPr>
            <w:r w:rsidRPr="00BE649C">
              <w:rPr>
                <w:sz w:val="15"/>
                <w:szCs w:val="15"/>
              </w:rPr>
              <w:t>Machinery of Govern-ment - transfer in/(out)</w:t>
            </w:r>
          </w:p>
          <w:p w14:paraId="29AD7202" w14:textId="77777777" w:rsidR="005B131E" w:rsidRPr="00BA7805" w:rsidRDefault="005B131E" w:rsidP="002542E1">
            <w:pPr>
              <w:pStyle w:val="ARfintablecolheadright"/>
              <w:spacing w:before="30" w:after="30" w:line="216" w:lineRule="auto"/>
              <w:ind w:right="57"/>
              <w:rPr>
                <w:sz w:val="15"/>
                <w:szCs w:val="15"/>
                <w:highlight w:val="green"/>
              </w:rPr>
            </w:pPr>
            <w:r w:rsidRPr="00BE649C">
              <w:rPr>
                <w:sz w:val="15"/>
                <w:szCs w:val="15"/>
              </w:rPr>
              <w:t>$M</w:t>
            </w:r>
          </w:p>
        </w:tc>
        <w:tc>
          <w:tcPr>
            <w:tcW w:w="1040" w:type="dxa"/>
            <w:tcBorders>
              <w:top w:val="single" w:sz="4" w:space="0" w:color="auto"/>
              <w:left w:val="nil"/>
              <w:bottom w:val="single" w:sz="4" w:space="0" w:color="auto"/>
              <w:right w:val="nil"/>
            </w:tcBorders>
            <w:shd w:val="clear" w:color="auto" w:fill="E7E6E6" w:themeFill="accent4"/>
            <w:hideMark/>
          </w:tcPr>
          <w:p w14:paraId="7DFB913D" w14:textId="77777777" w:rsidR="005B131E" w:rsidRPr="00BE649C" w:rsidRDefault="005B131E" w:rsidP="002542E1">
            <w:pPr>
              <w:pStyle w:val="ARfintablecolheadright"/>
              <w:spacing w:before="30" w:after="30" w:line="216" w:lineRule="auto"/>
              <w:ind w:right="57"/>
              <w:rPr>
                <w:sz w:val="15"/>
                <w:szCs w:val="15"/>
              </w:rPr>
            </w:pPr>
            <w:r w:rsidRPr="00BE649C">
              <w:rPr>
                <w:sz w:val="15"/>
                <w:szCs w:val="15"/>
              </w:rPr>
              <w:t>Total receipts</w:t>
            </w:r>
          </w:p>
          <w:p w14:paraId="36FFBB2F" w14:textId="77777777" w:rsidR="005B131E" w:rsidRPr="00BA7805" w:rsidRDefault="005B131E" w:rsidP="002542E1">
            <w:pPr>
              <w:pStyle w:val="ARfintablecolheadright"/>
              <w:spacing w:before="30" w:after="30" w:line="216" w:lineRule="auto"/>
              <w:ind w:right="57"/>
              <w:rPr>
                <w:sz w:val="15"/>
                <w:szCs w:val="15"/>
                <w:highlight w:val="green"/>
              </w:rPr>
            </w:pPr>
            <w:r w:rsidRPr="00BE649C">
              <w:rPr>
                <w:sz w:val="15"/>
                <w:szCs w:val="15"/>
              </w:rPr>
              <w:t>$M</w:t>
            </w:r>
          </w:p>
        </w:tc>
        <w:tc>
          <w:tcPr>
            <w:tcW w:w="1041" w:type="dxa"/>
            <w:tcBorders>
              <w:top w:val="single" w:sz="4" w:space="0" w:color="auto"/>
              <w:left w:val="nil"/>
              <w:bottom w:val="single" w:sz="4" w:space="0" w:color="auto"/>
              <w:right w:val="nil"/>
            </w:tcBorders>
            <w:shd w:val="clear" w:color="auto" w:fill="E7E6E6" w:themeFill="accent4"/>
            <w:hideMark/>
          </w:tcPr>
          <w:p w14:paraId="0BBCD4D1" w14:textId="77777777" w:rsidR="005B131E" w:rsidRPr="00BE649C" w:rsidRDefault="005B131E" w:rsidP="002542E1">
            <w:pPr>
              <w:pStyle w:val="ARfintablecolheadright"/>
              <w:spacing w:before="30" w:after="30" w:line="216" w:lineRule="auto"/>
              <w:ind w:right="57"/>
              <w:rPr>
                <w:sz w:val="15"/>
                <w:szCs w:val="15"/>
              </w:rPr>
            </w:pPr>
            <w:r w:rsidRPr="00BE649C">
              <w:rPr>
                <w:sz w:val="15"/>
                <w:szCs w:val="15"/>
              </w:rPr>
              <w:t>Total payments</w:t>
            </w:r>
          </w:p>
          <w:p w14:paraId="663D0820" w14:textId="77777777" w:rsidR="005B131E" w:rsidRPr="00BA7805" w:rsidRDefault="005B131E" w:rsidP="002542E1">
            <w:pPr>
              <w:pStyle w:val="ARfintablecolheadright"/>
              <w:spacing w:before="30" w:after="30" w:line="216" w:lineRule="auto"/>
              <w:ind w:right="57"/>
              <w:rPr>
                <w:sz w:val="15"/>
                <w:szCs w:val="15"/>
                <w:highlight w:val="green"/>
              </w:rPr>
            </w:pPr>
            <w:r w:rsidRPr="00BE649C">
              <w:rPr>
                <w:sz w:val="15"/>
                <w:szCs w:val="15"/>
              </w:rPr>
              <w:t>$M</w:t>
            </w:r>
          </w:p>
        </w:tc>
        <w:tc>
          <w:tcPr>
            <w:tcW w:w="1040" w:type="dxa"/>
            <w:tcBorders>
              <w:top w:val="single" w:sz="4" w:space="0" w:color="auto"/>
              <w:left w:val="nil"/>
              <w:bottom w:val="single" w:sz="4" w:space="0" w:color="auto"/>
              <w:right w:val="nil"/>
            </w:tcBorders>
            <w:shd w:val="clear" w:color="auto" w:fill="E7E6E6" w:themeFill="accent4"/>
            <w:hideMark/>
          </w:tcPr>
          <w:p w14:paraId="4E6DA84A" w14:textId="77777777" w:rsidR="005B131E" w:rsidRPr="00BE649C" w:rsidRDefault="005B131E" w:rsidP="002542E1">
            <w:pPr>
              <w:pStyle w:val="ARfintablecolheadright"/>
              <w:spacing w:before="30" w:after="30" w:line="216" w:lineRule="auto"/>
              <w:ind w:right="57"/>
              <w:rPr>
                <w:sz w:val="15"/>
                <w:szCs w:val="15"/>
              </w:rPr>
            </w:pPr>
            <w:r w:rsidRPr="00BE649C">
              <w:rPr>
                <w:sz w:val="15"/>
                <w:szCs w:val="15"/>
              </w:rPr>
              <w:t>Non-cash movement</w:t>
            </w:r>
          </w:p>
          <w:p w14:paraId="5FDDF19A" w14:textId="77777777" w:rsidR="005B131E" w:rsidRPr="00BA7805" w:rsidRDefault="005B131E" w:rsidP="002542E1">
            <w:pPr>
              <w:pStyle w:val="ARfintablecolheadright"/>
              <w:spacing w:before="30" w:after="30" w:line="216" w:lineRule="auto"/>
              <w:ind w:right="57"/>
              <w:rPr>
                <w:sz w:val="15"/>
                <w:szCs w:val="15"/>
                <w:highlight w:val="green"/>
              </w:rPr>
            </w:pPr>
            <w:r w:rsidRPr="00BE649C">
              <w:rPr>
                <w:sz w:val="15"/>
                <w:szCs w:val="15"/>
              </w:rPr>
              <w:t>$M</w:t>
            </w:r>
          </w:p>
        </w:tc>
        <w:tc>
          <w:tcPr>
            <w:tcW w:w="1035" w:type="dxa"/>
            <w:tcBorders>
              <w:top w:val="single" w:sz="4" w:space="0" w:color="auto"/>
              <w:left w:val="nil"/>
              <w:bottom w:val="single" w:sz="4" w:space="0" w:color="auto"/>
            </w:tcBorders>
            <w:shd w:val="clear" w:color="auto" w:fill="E7E6E6" w:themeFill="accent4"/>
            <w:hideMark/>
          </w:tcPr>
          <w:p w14:paraId="608A8F2A"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 xml:space="preserve">Closing balance </w:t>
            </w:r>
            <w:r w:rsidRPr="00985EE5">
              <w:rPr>
                <w:sz w:val="15"/>
                <w:szCs w:val="15"/>
              </w:rPr>
              <w:br/>
              <w:t xml:space="preserve">as at </w:t>
            </w:r>
            <w:r w:rsidRPr="00985EE5">
              <w:rPr>
                <w:sz w:val="15"/>
                <w:szCs w:val="15"/>
              </w:rPr>
              <w:br/>
              <w:t>30 June 2024</w:t>
            </w:r>
          </w:p>
          <w:p w14:paraId="3EA31F84"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$M</w:t>
            </w:r>
          </w:p>
        </w:tc>
        <w:tc>
          <w:tcPr>
            <w:tcW w:w="1046" w:type="dxa"/>
            <w:tcBorders>
              <w:bottom w:val="single" w:sz="4" w:space="0" w:color="auto"/>
            </w:tcBorders>
            <w:hideMark/>
          </w:tcPr>
          <w:p w14:paraId="12FCDBF4"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 xml:space="preserve">Opening balance </w:t>
            </w:r>
            <w:r w:rsidRPr="00985EE5">
              <w:rPr>
                <w:sz w:val="15"/>
                <w:szCs w:val="15"/>
              </w:rPr>
              <w:br/>
              <w:t xml:space="preserve">as at </w:t>
            </w:r>
            <w:r w:rsidRPr="00985EE5">
              <w:rPr>
                <w:sz w:val="15"/>
                <w:szCs w:val="15"/>
              </w:rPr>
              <w:br/>
              <w:t xml:space="preserve">1 July </w:t>
            </w:r>
            <w:r w:rsidRPr="00985EE5">
              <w:rPr>
                <w:sz w:val="15"/>
                <w:szCs w:val="15"/>
              </w:rPr>
              <w:br/>
              <w:t>2022</w:t>
            </w:r>
          </w:p>
          <w:p w14:paraId="098EE0AF"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$M</w:t>
            </w:r>
          </w:p>
        </w:tc>
        <w:tc>
          <w:tcPr>
            <w:tcW w:w="1041" w:type="dxa"/>
            <w:tcBorders>
              <w:bottom w:val="single" w:sz="4" w:space="0" w:color="auto"/>
            </w:tcBorders>
            <w:hideMark/>
          </w:tcPr>
          <w:p w14:paraId="494E4029"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Total receipts</w:t>
            </w:r>
          </w:p>
          <w:p w14:paraId="5A0053A3"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$M</w:t>
            </w:r>
          </w:p>
        </w:tc>
        <w:tc>
          <w:tcPr>
            <w:tcW w:w="1040" w:type="dxa"/>
            <w:tcBorders>
              <w:bottom w:val="single" w:sz="4" w:space="0" w:color="auto"/>
            </w:tcBorders>
            <w:hideMark/>
          </w:tcPr>
          <w:p w14:paraId="59957FE3"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Total payments</w:t>
            </w:r>
          </w:p>
          <w:p w14:paraId="575801FA"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$M</w:t>
            </w:r>
          </w:p>
        </w:tc>
        <w:tc>
          <w:tcPr>
            <w:tcW w:w="1041" w:type="dxa"/>
            <w:tcBorders>
              <w:bottom w:val="single" w:sz="4" w:space="0" w:color="auto"/>
            </w:tcBorders>
            <w:hideMark/>
          </w:tcPr>
          <w:p w14:paraId="6650BDD8"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Non-cash movement</w:t>
            </w:r>
          </w:p>
          <w:p w14:paraId="428FE222" w14:textId="77777777" w:rsidR="005B131E" w:rsidRPr="00985EE5" w:rsidRDefault="005B131E" w:rsidP="002542E1">
            <w:pPr>
              <w:pStyle w:val="ARfintablecolheadright"/>
              <w:spacing w:before="30" w:after="30" w:line="216" w:lineRule="auto"/>
              <w:ind w:right="57"/>
              <w:rPr>
                <w:sz w:val="15"/>
                <w:szCs w:val="15"/>
              </w:rPr>
            </w:pPr>
            <w:r w:rsidRPr="00985EE5">
              <w:rPr>
                <w:sz w:val="15"/>
                <w:szCs w:val="15"/>
              </w:rPr>
              <w:t>$M</w:t>
            </w:r>
          </w:p>
        </w:tc>
        <w:tc>
          <w:tcPr>
            <w:tcW w:w="1041" w:type="dxa"/>
            <w:tcBorders>
              <w:bottom w:val="single" w:sz="4" w:space="0" w:color="auto"/>
            </w:tcBorders>
            <w:hideMark/>
          </w:tcPr>
          <w:p w14:paraId="24E303F3" w14:textId="77777777" w:rsidR="005B131E" w:rsidRPr="00BE649C" w:rsidRDefault="005B131E" w:rsidP="002542E1">
            <w:pPr>
              <w:pStyle w:val="ARfintablecolheadright"/>
              <w:spacing w:before="30" w:after="30" w:line="216" w:lineRule="auto"/>
              <w:ind w:right="57"/>
              <w:rPr>
                <w:sz w:val="15"/>
                <w:szCs w:val="15"/>
              </w:rPr>
            </w:pPr>
            <w:r w:rsidRPr="00BE649C">
              <w:rPr>
                <w:sz w:val="15"/>
                <w:szCs w:val="15"/>
              </w:rPr>
              <w:t xml:space="preserve">Closing balance </w:t>
            </w:r>
            <w:r w:rsidRPr="00BE649C">
              <w:rPr>
                <w:sz w:val="15"/>
                <w:szCs w:val="15"/>
              </w:rPr>
              <w:br/>
              <w:t xml:space="preserve">as at </w:t>
            </w:r>
            <w:r w:rsidRPr="00BE649C">
              <w:rPr>
                <w:sz w:val="15"/>
                <w:szCs w:val="15"/>
              </w:rPr>
              <w:br/>
              <w:t>30 June 202</w:t>
            </w:r>
            <w:r>
              <w:rPr>
                <w:sz w:val="15"/>
                <w:szCs w:val="15"/>
              </w:rPr>
              <w:t>3</w:t>
            </w:r>
          </w:p>
          <w:p w14:paraId="341B53B3" w14:textId="77777777" w:rsidR="005B131E" w:rsidRPr="00BA7805" w:rsidRDefault="005B131E" w:rsidP="002542E1">
            <w:pPr>
              <w:pStyle w:val="ARfintablecolheadright"/>
              <w:spacing w:before="30" w:after="30" w:line="216" w:lineRule="auto"/>
              <w:ind w:right="57"/>
              <w:rPr>
                <w:sz w:val="15"/>
                <w:szCs w:val="15"/>
                <w:highlight w:val="green"/>
              </w:rPr>
            </w:pPr>
            <w:r w:rsidRPr="00BE649C">
              <w:rPr>
                <w:sz w:val="15"/>
                <w:szCs w:val="15"/>
              </w:rPr>
              <w:t>$M</w:t>
            </w:r>
          </w:p>
        </w:tc>
      </w:tr>
      <w:tr w:rsidR="005B131E" w:rsidRPr="00BA7805" w14:paraId="751C6F1C" w14:textId="77777777" w:rsidTr="002542E1">
        <w:trPr>
          <w:cantSplit w:val="0"/>
        </w:trPr>
        <w:tc>
          <w:tcPr>
            <w:tcW w:w="14560" w:type="dxa"/>
            <w:gridSpan w:val="12"/>
            <w:tcBorders>
              <w:top w:val="single" w:sz="4" w:space="0" w:color="auto"/>
              <w:bottom w:val="single" w:sz="4" w:space="0" w:color="A6A6A6" w:themeColor="background1" w:themeShade="A6"/>
            </w:tcBorders>
            <w:shd w:val="clear" w:color="auto" w:fill="auto"/>
          </w:tcPr>
          <w:p w14:paraId="5DBB4A40" w14:textId="77777777" w:rsidR="005B131E" w:rsidRPr="00BA7805" w:rsidRDefault="005B131E" w:rsidP="002542E1">
            <w:pPr>
              <w:pStyle w:val="ARfintablebodybold8pt"/>
              <w:rPr>
                <w:highlight w:val="green"/>
              </w:rPr>
            </w:pPr>
            <w:r w:rsidRPr="00985EE5">
              <w:t>Administered trusts</w:t>
            </w:r>
          </w:p>
        </w:tc>
      </w:tr>
      <w:tr w:rsidR="005B131E" w:rsidRPr="00BA7805" w14:paraId="77CDF260"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5EDF7AA8" w14:textId="77777777" w:rsidR="005B131E" w:rsidRPr="00BA7805" w:rsidRDefault="005B131E" w:rsidP="002542E1">
            <w:pPr>
              <w:pStyle w:val="ARfintablebody8pt"/>
              <w:rPr>
                <w:highlight w:val="green"/>
              </w:rPr>
            </w:pPr>
            <w:r w:rsidRPr="00165BAA">
              <w:t>National Disability Insurance Scheme Trust Account</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3E71780A"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2216FEE3"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673D097A"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2BA1844F"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6E5D8F42" w14:textId="77777777" w:rsidR="005B131E" w:rsidRPr="00BA7805" w:rsidRDefault="005B131E" w:rsidP="002542E1">
            <w:pPr>
              <w:pStyle w:val="ARfintablebodyright8pt"/>
              <w:rPr>
                <w:highlight w:val="green"/>
              </w:rPr>
            </w:pPr>
            <w:r>
              <w:t>–</w:t>
            </w:r>
          </w:p>
        </w:tc>
        <w:tc>
          <w:tcPr>
            <w:tcW w:w="1035" w:type="dxa"/>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164DB889" w14:textId="77777777" w:rsidR="005B131E" w:rsidRPr="00BA7805" w:rsidRDefault="005B131E" w:rsidP="002542E1">
            <w:pPr>
              <w:pStyle w:val="ARfintablebodyright8pt"/>
              <w:rPr>
                <w:highlight w:val="green"/>
              </w:rPr>
            </w:pPr>
            <w:r>
              <w:t>–</w:t>
            </w:r>
          </w:p>
        </w:tc>
        <w:tc>
          <w:tcPr>
            <w:tcW w:w="1046" w:type="dxa"/>
            <w:tcBorders>
              <w:top w:val="single" w:sz="4" w:space="0" w:color="A6A6A6" w:themeColor="background1" w:themeShade="A6"/>
              <w:bottom w:val="single" w:sz="4" w:space="0" w:color="A6A6A6" w:themeColor="background1" w:themeShade="A6"/>
            </w:tcBorders>
            <w:noWrap/>
          </w:tcPr>
          <w:p w14:paraId="3EAD266D"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13A80874"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bottom w:val="single" w:sz="4" w:space="0" w:color="A6A6A6" w:themeColor="background1" w:themeShade="A6"/>
            </w:tcBorders>
            <w:noWrap/>
          </w:tcPr>
          <w:p w14:paraId="3059105A" w14:textId="77777777" w:rsidR="005B131E" w:rsidRPr="00BA7805" w:rsidRDefault="005B131E" w:rsidP="002542E1">
            <w:pPr>
              <w:pStyle w:val="ARfintablebodyright8pt"/>
              <w:rPr>
                <w:highlight w:val="green"/>
              </w:rPr>
            </w:pPr>
            <w:r w:rsidRPr="00165BAA">
              <w:t>93.4</w:t>
            </w:r>
          </w:p>
        </w:tc>
        <w:tc>
          <w:tcPr>
            <w:tcW w:w="1041" w:type="dxa"/>
            <w:tcBorders>
              <w:top w:val="single" w:sz="4" w:space="0" w:color="A6A6A6" w:themeColor="background1" w:themeShade="A6"/>
              <w:bottom w:val="single" w:sz="4" w:space="0" w:color="A6A6A6" w:themeColor="background1" w:themeShade="A6"/>
            </w:tcBorders>
            <w:noWrap/>
          </w:tcPr>
          <w:p w14:paraId="63D507BD" w14:textId="77777777" w:rsidR="005B131E" w:rsidRPr="00BA7805" w:rsidRDefault="005B131E" w:rsidP="002542E1">
            <w:pPr>
              <w:pStyle w:val="ARfintablebodyright8pt"/>
              <w:rPr>
                <w:highlight w:val="green"/>
              </w:rPr>
            </w:pPr>
            <w:r w:rsidRPr="00165BAA">
              <w:t>93.4</w:t>
            </w:r>
          </w:p>
        </w:tc>
        <w:tc>
          <w:tcPr>
            <w:tcW w:w="1041" w:type="dxa"/>
            <w:tcBorders>
              <w:top w:val="single" w:sz="4" w:space="0" w:color="A6A6A6" w:themeColor="background1" w:themeShade="A6"/>
              <w:bottom w:val="single" w:sz="4" w:space="0" w:color="A6A6A6" w:themeColor="background1" w:themeShade="A6"/>
            </w:tcBorders>
            <w:noWrap/>
          </w:tcPr>
          <w:p w14:paraId="7E96BC97" w14:textId="77777777" w:rsidR="005B131E" w:rsidRPr="00BA7805" w:rsidRDefault="005B131E" w:rsidP="002542E1">
            <w:pPr>
              <w:pStyle w:val="ARfintablebodyright8pt"/>
              <w:rPr>
                <w:highlight w:val="green"/>
              </w:rPr>
            </w:pPr>
            <w:r>
              <w:t>–</w:t>
            </w:r>
          </w:p>
        </w:tc>
      </w:tr>
      <w:tr w:rsidR="005B131E" w:rsidRPr="00BA7805" w14:paraId="3C496AD4" w14:textId="77777777" w:rsidTr="002542E1">
        <w:trPr>
          <w:cantSplit w:val="0"/>
        </w:trPr>
        <w:tc>
          <w:tcPr>
            <w:tcW w:w="3114" w:type="dxa"/>
            <w:tcBorders>
              <w:top w:val="single" w:sz="4" w:space="0" w:color="A6A6A6" w:themeColor="background1" w:themeShade="A6"/>
              <w:bottom w:val="single" w:sz="4" w:space="0" w:color="A6A6A6" w:themeColor="background1" w:themeShade="A6"/>
            </w:tcBorders>
          </w:tcPr>
          <w:p w14:paraId="32D84117" w14:textId="77777777" w:rsidR="005B131E" w:rsidRPr="00BA7805" w:rsidRDefault="005B131E" w:rsidP="002542E1">
            <w:pPr>
              <w:pStyle w:val="ARfintablebody8pt"/>
              <w:rPr>
                <w:highlight w:val="green"/>
              </w:rPr>
            </w:pPr>
            <w:r w:rsidRPr="00165BAA">
              <w:t>Public Service Commuter Club</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2D45DEB5" w14:textId="77777777" w:rsidR="005B131E" w:rsidRPr="00BA7805" w:rsidRDefault="005B131E" w:rsidP="002542E1">
            <w:pPr>
              <w:pStyle w:val="ARfintablebodyright8pt"/>
              <w:rPr>
                <w:highlight w:val="green"/>
              </w:rPr>
            </w:pPr>
            <w:r w:rsidRPr="00165BAA">
              <w:t>(0.1)</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6C7D86F0"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26AEA671" w14:textId="77777777" w:rsidR="005B131E" w:rsidRPr="00BA7805" w:rsidRDefault="005B131E" w:rsidP="002542E1">
            <w:pPr>
              <w:pStyle w:val="ARfintablebodyright8pt"/>
              <w:rPr>
                <w:highlight w:val="green"/>
              </w:rPr>
            </w:pPr>
            <w:r w:rsidRPr="00165BAA">
              <w:t>0.1</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1533FD44" w14:textId="77777777" w:rsidR="005B131E" w:rsidRPr="00BA7805" w:rsidRDefault="005B131E" w:rsidP="002542E1">
            <w:pPr>
              <w:pStyle w:val="ARfintablebodyright8pt"/>
              <w:rPr>
                <w:highlight w:val="green"/>
              </w:rPr>
            </w:pPr>
            <w:r w:rsidRPr="00165BAA">
              <w:t>0.1</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0687E6BC" w14:textId="77777777" w:rsidR="005B131E" w:rsidRPr="00BA7805" w:rsidRDefault="005B131E" w:rsidP="002542E1">
            <w:pPr>
              <w:pStyle w:val="ARfintablebodyright8pt"/>
              <w:rPr>
                <w:highlight w:val="green"/>
              </w:rPr>
            </w:pPr>
            <w:r>
              <w:t>–</w:t>
            </w:r>
          </w:p>
        </w:tc>
        <w:tc>
          <w:tcPr>
            <w:tcW w:w="1035" w:type="dxa"/>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26AB6349" w14:textId="77777777" w:rsidR="005B131E" w:rsidRPr="00BA7805" w:rsidRDefault="005B131E" w:rsidP="002542E1">
            <w:pPr>
              <w:pStyle w:val="ARfintablebodyright8pt"/>
              <w:rPr>
                <w:highlight w:val="green"/>
              </w:rPr>
            </w:pPr>
            <w:r w:rsidRPr="00165BAA">
              <w:t>(0.1)</w:t>
            </w:r>
          </w:p>
        </w:tc>
        <w:tc>
          <w:tcPr>
            <w:tcW w:w="1046" w:type="dxa"/>
            <w:tcBorders>
              <w:top w:val="single" w:sz="4" w:space="0" w:color="A6A6A6" w:themeColor="background1" w:themeShade="A6"/>
              <w:bottom w:val="single" w:sz="4" w:space="0" w:color="A6A6A6" w:themeColor="background1" w:themeShade="A6"/>
            </w:tcBorders>
            <w:noWrap/>
          </w:tcPr>
          <w:p w14:paraId="180CA8B6" w14:textId="77777777" w:rsidR="005B131E" w:rsidRPr="00BA7805" w:rsidRDefault="005B131E" w:rsidP="002542E1">
            <w:pPr>
              <w:pStyle w:val="ARfintablebodyright8pt"/>
              <w:rPr>
                <w:highlight w:val="green"/>
              </w:rPr>
            </w:pPr>
            <w:r w:rsidRPr="00165BAA">
              <w:t>(0.1)</w:t>
            </w:r>
          </w:p>
        </w:tc>
        <w:tc>
          <w:tcPr>
            <w:tcW w:w="1041" w:type="dxa"/>
            <w:tcBorders>
              <w:top w:val="single" w:sz="4" w:space="0" w:color="A6A6A6" w:themeColor="background1" w:themeShade="A6"/>
              <w:bottom w:val="single" w:sz="4" w:space="0" w:color="A6A6A6" w:themeColor="background1" w:themeShade="A6"/>
            </w:tcBorders>
            <w:noWrap/>
          </w:tcPr>
          <w:p w14:paraId="38B102A5"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bottom w:val="single" w:sz="4" w:space="0" w:color="A6A6A6" w:themeColor="background1" w:themeShade="A6"/>
            </w:tcBorders>
            <w:noWrap/>
          </w:tcPr>
          <w:p w14:paraId="79BF3414" w14:textId="77777777" w:rsidR="005B131E" w:rsidRPr="00BA7805" w:rsidRDefault="005B131E" w:rsidP="002542E1">
            <w:pPr>
              <w:pStyle w:val="ARfintablebodyright8pt"/>
              <w:rPr>
                <w:highlight w:val="green"/>
              </w:rPr>
            </w:pPr>
            <w:r w:rsidRPr="00165BAA">
              <w:t>0.1</w:t>
            </w:r>
          </w:p>
        </w:tc>
        <w:tc>
          <w:tcPr>
            <w:tcW w:w="1041" w:type="dxa"/>
            <w:tcBorders>
              <w:top w:val="single" w:sz="4" w:space="0" w:color="A6A6A6" w:themeColor="background1" w:themeShade="A6"/>
              <w:bottom w:val="single" w:sz="4" w:space="0" w:color="A6A6A6" w:themeColor="background1" w:themeShade="A6"/>
            </w:tcBorders>
            <w:noWrap/>
          </w:tcPr>
          <w:p w14:paraId="373DCFB0"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5955667B" w14:textId="77777777" w:rsidR="005B131E" w:rsidRPr="00BA7805" w:rsidRDefault="005B131E" w:rsidP="002542E1">
            <w:pPr>
              <w:pStyle w:val="ARfintablebodyright8pt"/>
              <w:rPr>
                <w:highlight w:val="green"/>
              </w:rPr>
            </w:pPr>
            <w:r w:rsidRPr="00165BAA">
              <w:t>(0.1)</w:t>
            </w:r>
          </w:p>
        </w:tc>
      </w:tr>
      <w:tr w:rsidR="005B131E" w:rsidRPr="00BA7805" w14:paraId="264B17CF" w14:textId="77777777" w:rsidTr="002542E1">
        <w:trPr>
          <w:cantSplit w:val="0"/>
        </w:trPr>
        <w:tc>
          <w:tcPr>
            <w:tcW w:w="3114" w:type="dxa"/>
            <w:tcBorders>
              <w:top w:val="single" w:sz="4" w:space="0" w:color="A6A6A6" w:themeColor="background1" w:themeShade="A6"/>
              <w:bottom w:val="single" w:sz="4" w:space="0" w:color="A6A6A6" w:themeColor="background1" w:themeShade="A6"/>
            </w:tcBorders>
            <w:noWrap/>
          </w:tcPr>
          <w:p w14:paraId="6794214D" w14:textId="77777777" w:rsidR="005B131E" w:rsidRPr="00BA7805" w:rsidRDefault="005B131E" w:rsidP="002542E1">
            <w:pPr>
              <w:pStyle w:val="ARfintablebody8pt"/>
              <w:rPr>
                <w:highlight w:val="green"/>
              </w:rPr>
            </w:pPr>
            <w:r w:rsidRPr="00165BAA">
              <w:t>Revenue Suspense Account</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38CE8275" w14:textId="77777777" w:rsidR="005B131E" w:rsidRPr="00BA7805" w:rsidRDefault="005B131E" w:rsidP="002542E1">
            <w:pPr>
              <w:pStyle w:val="ARfintablebodyright8pt"/>
              <w:rPr>
                <w:highlight w:val="green"/>
              </w:rPr>
            </w:pPr>
            <w:r w:rsidRPr="00165BAA">
              <w:t>0.2</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656F832A"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0207D919" w14:textId="77777777" w:rsidR="005B131E" w:rsidRPr="00BA7805" w:rsidRDefault="005B131E" w:rsidP="002542E1">
            <w:pPr>
              <w:pStyle w:val="ARfintablebodyright8pt"/>
              <w:rPr>
                <w:highlight w:val="green"/>
              </w:rPr>
            </w:pPr>
            <w:r w:rsidRPr="00165BAA">
              <w:t>0.3</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02204AB5"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2BDEC531" w14:textId="77777777" w:rsidR="005B131E" w:rsidRPr="00BA7805" w:rsidRDefault="005B131E" w:rsidP="002542E1">
            <w:pPr>
              <w:pStyle w:val="ARfintablebodyright8pt"/>
              <w:rPr>
                <w:highlight w:val="green"/>
              </w:rPr>
            </w:pPr>
            <w:r>
              <w:t>–</w:t>
            </w:r>
          </w:p>
        </w:tc>
        <w:tc>
          <w:tcPr>
            <w:tcW w:w="1035" w:type="dxa"/>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1C3FC58F" w14:textId="77777777" w:rsidR="005B131E" w:rsidRPr="00BA7805" w:rsidRDefault="005B131E" w:rsidP="002542E1">
            <w:pPr>
              <w:pStyle w:val="ARfintablebodyright8pt"/>
              <w:rPr>
                <w:highlight w:val="green"/>
              </w:rPr>
            </w:pPr>
            <w:r w:rsidRPr="00165BAA">
              <w:t>0.5</w:t>
            </w:r>
          </w:p>
        </w:tc>
        <w:tc>
          <w:tcPr>
            <w:tcW w:w="1046" w:type="dxa"/>
            <w:tcBorders>
              <w:top w:val="single" w:sz="4" w:space="0" w:color="A6A6A6" w:themeColor="background1" w:themeShade="A6"/>
              <w:bottom w:val="single" w:sz="4" w:space="0" w:color="A6A6A6" w:themeColor="background1" w:themeShade="A6"/>
            </w:tcBorders>
            <w:noWrap/>
          </w:tcPr>
          <w:p w14:paraId="558ACC33"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48C8A4C8" w14:textId="77777777" w:rsidR="005B131E" w:rsidRPr="00BA7805" w:rsidRDefault="005B131E" w:rsidP="002542E1">
            <w:pPr>
              <w:pStyle w:val="ARfintablebodyright8pt"/>
              <w:rPr>
                <w:highlight w:val="green"/>
              </w:rPr>
            </w:pPr>
            <w:r w:rsidRPr="00165BAA">
              <w:t>0.2</w:t>
            </w:r>
          </w:p>
        </w:tc>
        <w:tc>
          <w:tcPr>
            <w:tcW w:w="1040" w:type="dxa"/>
            <w:tcBorders>
              <w:top w:val="single" w:sz="4" w:space="0" w:color="A6A6A6" w:themeColor="background1" w:themeShade="A6"/>
              <w:bottom w:val="single" w:sz="4" w:space="0" w:color="A6A6A6" w:themeColor="background1" w:themeShade="A6"/>
            </w:tcBorders>
            <w:noWrap/>
          </w:tcPr>
          <w:p w14:paraId="546667D8"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77AAA57A" w14:textId="77777777" w:rsidR="005B131E" w:rsidRPr="00BA7805" w:rsidRDefault="005B131E" w:rsidP="002542E1">
            <w:pPr>
              <w:pStyle w:val="ARfintablebodyright8pt"/>
              <w:rPr>
                <w:highlight w:val="green"/>
              </w:rPr>
            </w:pPr>
            <w:r>
              <w:t>–</w:t>
            </w:r>
          </w:p>
        </w:tc>
        <w:tc>
          <w:tcPr>
            <w:tcW w:w="1041" w:type="dxa"/>
            <w:tcBorders>
              <w:top w:val="single" w:sz="4" w:space="0" w:color="A6A6A6" w:themeColor="background1" w:themeShade="A6"/>
              <w:bottom w:val="single" w:sz="4" w:space="0" w:color="A6A6A6" w:themeColor="background1" w:themeShade="A6"/>
            </w:tcBorders>
            <w:noWrap/>
          </w:tcPr>
          <w:p w14:paraId="689B3B9E" w14:textId="77777777" w:rsidR="005B131E" w:rsidRPr="00BA7805" w:rsidRDefault="005B131E" w:rsidP="002542E1">
            <w:pPr>
              <w:pStyle w:val="ARfintablebodyright8pt"/>
              <w:rPr>
                <w:highlight w:val="green"/>
              </w:rPr>
            </w:pPr>
            <w:r w:rsidRPr="00165BAA">
              <w:t>0.2</w:t>
            </w:r>
          </w:p>
        </w:tc>
      </w:tr>
      <w:tr w:rsidR="005B131E" w:rsidRPr="00BA7805" w14:paraId="63463073" w14:textId="77777777" w:rsidTr="002542E1">
        <w:trPr>
          <w:cantSplit w:val="0"/>
        </w:trPr>
        <w:tc>
          <w:tcPr>
            <w:tcW w:w="3114" w:type="dxa"/>
            <w:tcBorders>
              <w:top w:val="single" w:sz="4" w:space="0" w:color="A6A6A6" w:themeColor="background1" w:themeShade="A6"/>
              <w:bottom w:val="single" w:sz="4" w:space="0" w:color="A6A6A6" w:themeColor="background1" w:themeShade="A6"/>
            </w:tcBorders>
          </w:tcPr>
          <w:p w14:paraId="29DD19E5" w14:textId="77777777" w:rsidR="005B131E" w:rsidRPr="00BA7805" w:rsidRDefault="005B131E" w:rsidP="002542E1">
            <w:pPr>
              <w:pStyle w:val="ARfintablebody8pt"/>
              <w:rPr>
                <w:highlight w:val="green"/>
              </w:rPr>
            </w:pPr>
            <w:r w:rsidRPr="00165BAA">
              <w:t>Victorian Natural Disasters Relief Fund</w:t>
            </w:r>
          </w:p>
        </w:tc>
        <w:tc>
          <w:tcPr>
            <w:tcW w:w="1040" w:type="dxa"/>
            <w:tcBorders>
              <w:top w:val="single" w:sz="4" w:space="0" w:color="A6A6A6" w:themeColor="background1" w:themeShade="A6"/>
              <w:bottom w:val="single" w:sz="4" w:space="0" w:color="A6A6A6" w:themeColor="background1" w:themeShade="A6"/>
              <w:right w:val="nil"/>
            </w:tcBorders>
            <w:shd w:val="clear" w:color="auto" w:fill="E7E6E6" w:themeFill="accent4"/>
            <w:noWrap/>
          </w:tcPr>
          <w:p w14:paraId="22373ACA" w14:textId="77777777" w:rsidR="005B131E" w:rsidRPr="00BA7805" w:rsidRDefault="005B131E" w:rsidP="002542E1">
            <w:pPr>
              <w:pStyle w:val="ARfintablebodyright8pt"/>
              <w:rPr>
                <w:highlight w:val="green"/>
              </w:rPr>
            </w:pPr>
            <w:r w:rsidRPr="00165BAA">
              <w:t>(46.0)</w:t>
            </w:r>
          </w:p>
        </w:tc>
        <w:tc>
          <w:tcPr>
            <w:tcW w:w="1041" w:type="dxa"/>
            <w:tcBorders>
              <w:top w:val="single" w:sz="4" w:space="0" w:color="A6A6A6" w:themeColor="background1" w:themeShade="A6"/>
              <w:bottom w:val="single" w:sz="4" w:space="0" w:color="A6A6A6" w:themeColor="background1" w:themeShade="A6"/>
              <w:right w:val="nil"/>
            </w:tcBorders>
            <w:shd w:val="clear" w:color="auto" w:fill="E7E6E6" w:themeFill="accent4"/>
          </w:tcPr>
          <w:p w14:paraId="3BD70DA2" w14:textId="77777777" w:rsidR="005B131E" w:rsidRPr="00BA7805" w:rsidRDefault="005B131E" w:rsidP="002542E1">
            <w:pPr>
              <w:pStyle w:val="ARfintablebodyright8pt"/>
              <w:rPr>
                <w:highlight w:val="green"/>
              </w:rPr>
            </w:pPr>
            <w:r>
              <w:t>–</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4432C6CF" w14:textId="77777777" w:rsidR="005B131E" w:rsidRPr="00BA7805" w:rsidRDefault="005B131E" w:rsidP="002542E1">
            <w:pPr>
              <w:pStyle w:val="ARfintablebodyright8pt"/>
              <w:rPr>
                <w:highlight w:val="green"/>
              </w:rPr>
            </w:pPr>
            <w:r w:rsidRPr="00165BAA">
              <w:t>6.1</w:t>
            </w:r>
          </w:p>
        </w:tc>
        <w:tc>
          <w:tcPr>
            <w:tcW w:w="1041"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6B01CD8F" w14:textId="77777777" w:rsidR="005B131E" w:rsidRPr="00BA7805" w:rsidRDefault="005B131E" w:rsidP="002542E1">
            <w:pPr>
              <w:pStyle w:val="ARfintablebodyright8pt"/>
              <w:rPr>
                <w:highlight w:val="green"/>
              </w:rPr>
            </w:pPr>
            <w:r w:rsidRPr="00165BAA">
              <w:t>6.1</w:t>
            </w:r>
          </w:p>
        </w:tc>
        <w:tc>
          <w:tcPr>
            <w:tcW w:w="1040" w:type="dxa"/>
            <w:tcBorders>
              <w:top w:val="single" w:sz="4" w:space="0" w:color="A6A6A6" w:themeColor="background1" w:themeShade="A6"/>
              <w:left w:val="nil"/>
              <w:bottom w:val="single" w:sz="4" w:space="0" w:color="A6A6A6" w:themeColor="background1" w:themeShade="A6"/>
              <w:right w:val="nil"/>
            </w:tcBorders>
            <w:shd w:val="clear" w:color="auto" w:fill="E7E6E6" w:themeFill="accent4"/>
            <w:noWrap/>
          </w:tcPr>
          <w:p w14:paraId="3F37E966" w14:textId="77777777" w:rsidR="005B131E" w:rsidRPr="00BA7805" w:rsidRDefault="005B131E" w:rsidP="002542E1">
            <w:pPr>
              <w:pStyle w:val="ARfintablebodyright8pt"/>
              <w:rPr>
                <w:highlight w:val="green"/>
              </w:rPr>
            </w:pPr>
            <w:r w:rsidRPr="00165BAA">
              <w:t>35.8</w:t>
            </w:r>
          </w:p>
        </w:tc>
        <w:tc>
          <w:tcPr>
            <w:tcW w:w="1035" w:type="dxa"/>
            <w:tcBorders>
              <w:top w:val="single" w:sz="4" w:space="0" w:color="A6A6A6" w:themeColor="background1" w:themeShade="A6"/>
              <w:left w:val="nil"/>
              <w:bottom w:val="single" w:sz="4" w:space="0" w:color="A6A6A6" w:themeColor="background1" w:themeShade="A6"/>
            </w:tcBorders>
            <w:shd w:val="clear" w:color="auto" w:fill="E7E6E6" w:themeFill="accent4"/>
            <w:noWrap/>
          </w:tcPr>
          <w:p w14:paraId="5F01D109" w14:textId="77777777" w:rsidR="005B131E" w:rsidRPr="00BA7805" w:rsidRDefault="005B131E" w:rsidP="002542E1">
            <w:pPr>
              <w:pStyle w:val="ARfintablebodyright8pt"/>
              <w:rPr>
                <w:highlight w:val="green"/>
              </w:rPr>
            </w:pPr>
            <w:r w:rsidRPr="00165BAA">
              <w:t>(10.3)</w:t>
            </w:r>
          </w:p>
        </w:tc>
        <w:tc>
          <w:tcPr>
            <w:tcW w:w="1046" w:type="dxa"/>
            <w:tcBorders>
              <w:top w:val="single" w:sz="4" w:space="0" w:color="A6A6A6" w:themeColor="background1" w:themeShade="A6"/>
              <w:bottom w:val="single" w:sz="4" w:space="0" w:color="A6A6A6" w:themeColor="background1" w:themeShade="A6"/>
            </w:tcBorders>
            <w:noWrap/>
          </w:tcPr>
          <w:p w14:paraId="63BD1E15" w14:textId="77777777" w:rsidR="005B131E" w:rsidRPr="00BA7805" w:rsidRDefault="005B131E" w:rsidP="002542E1">
            <w:pPr>
              <w:pStyle w:val="ARfintablebodyright8pt"/>
              <w:rPr>
                <w:highlight w:val="green"/>
              </w:rPr>
            </w:pPr>
            <w:r w:rsidRPr="00165BAA">
              <w:t>(11.7)</w:t>
            </w:r>
          </w:p>
        </w:tc>
        <w:tc>
          <w:tcPr>
            <w:tcW w:w="1041" w:type="dxa"/>
            <w:tcBorders>
              <w:top w:val="single" w:sz="4" w:space="0" w:color="A6A6A6" w:themeColor="background1" w:themeShade="A6"/>
              <w:bottom w:val="single" w:sz="4" w:space="0" w:color="A6A6A6" w:themeColor="background1" w:themeShade="A6"/>
            </w:tcBorders>
            <w:noWrap/>
          </w:tcPr>
          <w:p w14:paraId="69380755" w14:textId="77777777" w:rsidR="005B131E" w:rsidRPr="00BA7805" w:rsidRDefault="005B131E" w:rsidP="002542E1">
            <w:pPr>
              <w:pStyle w:val="ARfintablebodyright8pt"/>
              <w:rPr>
                <w:highlight w:val="green"/>
              </w:rPr>
            </w:pPr>
            <w:r w:rsidRPr="00165BAA">
              <w:t>35.8</w:t>
            </w:r>
          </w:p>
        </w:tc>
        <w:tc>
          <w:tcPr>
            <w:tcW w:w="1040" w:type="dxa"/>
            <w:tcBorders>
              <w:top w:val="single" w:sz="4" w:space="0" w:color="A6A6A6" w:themeColor="background1" w:themeShade="A6"/>
              <w:bottom w:val="single" w:sz="4" w:space="0" w:color="A6A6A6" w:themeColor="background1" w:themeShade="A6"/>
            </w:tcBorders>
            <w:noWrap/>
          </w:tcPr>
          <w:p w14:paraId="257E43D0" w14:textId="77777777" w:rsidR="005B131E" w:rsidRPr="00BA7805" w:rsidRDefault="005B131E" w:rsidP="002542E1">
            <w:pPr>
              <w:pStyle w:val="ARfintablebodyright8pt"/>
              <w:rPr>
                <w:highlight w:val="green"/>
              </w:rPr>
            </w:pPr>
            <w:r w:rsidRPr="00165BAA">
              <w:t>36.6</w:t>
            </w:r>
          </w:p>
        </w:tc>
        <w:tc>
          <w:tcPr>
            <w:tcW w:w="1041" w:type="dxa"/>
            <w:tcBorders>
              <w:top w:val="single" w:sz="4" w:space="0" w:color="A6A6A6" w:themeColor="background1" w:themeShade="A6"/>
              <w:bottom w:val="single" w:sz="4" w:space="0" w:color="A6A6A6" w:themeColor="background1" w:themeShade="A6"/>
            </w:tcBorders>
            <w:noWrap/>
          </w:tcPr>
          <w:p w14:paraId="77FC46AB" w14:textId="77777777" w:rsidR="005B131E" w:rsidRPr="00BA7805" w:rsidRDefault="005B131E" w:rsidP="002542E1">
            <w:pPr>
              <w:pStyle w:val="ARfintablebodyright8pt"/>
              <w:rPr>
                <w:highlight w:val="green"/>
              </w:rPr>
            </w:pPr>
            <w:r w:rsidRPr="00165BAA">
              <w:t>(33.5)</w:t>
            </w:r>
          </w:p>
        </w:tc>
        <w:tc>
          <w:tcPr>
            <w:tcW w:w="1041" w:type="dxa"/>
            <w:tcBorders>
              <w:top w:val="single" w:sz="4" w:space="0" w:color="A6A6A6" w:themeColor="background1" w:themeShade="A6"/>
              <w:bottom w:val="single" w:sz="4" w:space="0" w:color="A6A6A6" w:themeColor="background1" w:themeShade="A6"/>
            </w:tcBorders>
            <w:noWrap/>
          </w:tcPr>
          <w:p w14:paraId="24301299" w14:textId="77777777" w:rsidR="005B131E" w:rsidRPr="00BA7805" w:rsidRDefault="005B131E" w:rsidP="002542E1">
            <w:pPr>
              <w:pStyle w:val="ARfintablebodyright8pt"/>
              <w:rPr>
                <w:highlight w:val="green"/>
              </w:rPr>
            </w:pPr>
            <w:r w:rsidRPr="00165BAA">
              <w:t>(46.0)</w:t>
            </w:r>
          </w:p>
        </w:tc>
      </w:tr>
      <w:tr w:rsidR="005B131E" w:rsidRPr="00BA7805" w14:paraId="42A93F0B" w14:textId="77777777" w:rsidTr="002542E1">
        <w:trPr>
          <w:cantSplit w:val="0"/>
        </w:trPr>
        <w:tc>
          <w:tcPr>
            <w:tcW w:w="3114" w:type="dxa"/>
          </w:tcPr>
          <w:p w14:paraId="16BDA6D0" w14:textId="77777777" w:rsidR="005B131E" w:rsidRPr="00BA7805" w:rsidRDefault="005B131E" w:rsidP="002542E1">
            <w:pPr>
              <w:pStyle w:val="ARfintablebodybold8pt"/>
              <w:rPr>
                <w:highlight w:val="green"/>
              </w:rPr>
            </w:pPr>
            <w:r w:rsidRPr="00165BAA">
              <w:t>Total administered trusts</w:t>
            </w:r>
          </w:p>
        </w:tc>
        <w:tc>
          <w:tcPr>
            <w:tcW w:w="1040" w:type="dxa"/>
            <w:tcBorders>
              <w:right w:val="nil"/>
            </w:tcBorders>
            <w:shd w:val="clear" w:color="auto" w:fill="E7E6E6" w:themeFill="accent4"/>
            <w:noWrap/>
          </w:tcPr>
          <w:p w14:paraId="04B536C8" w14:textId="77777777" w:rsidR="005B131E" w:rsidRPr="00BA7805" w:rsidRDefault="005B131E" w:rsidP="002542E1">
            <w:pPr>
              <w:pStyle w:val="ARfintablebodyrightbold8pt"/>
              <w:rPr>
                <w:highlight w:val="green"/>
              </w:rPr>
            </w:pPr>
            <w:r w:rsidRPr="00165BAA">
              <w:t>(45.9)</w:t>
            </w:r>
          </w:p>
        </w:tc>
        <w:tc>
          <w:tcPr>
            <w:tcW w:w="1041" w:type="dxa"/>
            <w:tcBorders>
              <w:right w:val="nil"/>
            </w:tcBorders>
            <w:shd w:val="clear" w:color="auto" w:fill="E7E6E6" w:themeFill="accent4"/>
          </w:tcPr>
          <w:p w14:paraId="3703597E" w14:textId="77777777" w:rsidR="005B131E" w:rsidRPr="00BA7805" w:rsidRDefault="005B131E" w:rsidP="002542E1">
            <w:pPr>
              <w:pStyle w:val="ARfintablebodyrightbold8pt"/>
              <w:rPr>
                <w:highlight w:val="green"/>
              </w:rPr>
            </w:pPr>
            <w:r>
              <w:t>–</w:t>
            </w:r>
          </w:p>
        </w:tc>
        <w:tc>
          <w:tcPr>
            <w:tcW w:w="1040" w:type="dxa"/>
            <w:tcBorders>
              <w:left w:val="nil"/>
              <w:right w:val="nil"/>
            </w:tcBorders>
            <w:shd w:val="clear" w:color="auto" w:fill="E7E6E6" w:themeFill="accent4"/>
            <w:noWrap/>
          </w:tcPr>
          <w:p w14:paraId="168D1184" w14:textId="77777777" w:rsidR="005B131E" w:rsidRPr="00BA7805" w:rsidRDefault="005B131E" w:rsidP="002542E1">
            <w:pPr>
              <w:pStyle w:val="ARfintablebodyrightbold8pt"/>
              <w:rPr>
                <w:highlight w:val="green"/>
              </w:rPr>
            </w:pPr>
            <w:r w:rsidRPr="00165BAA">
              <w:t>6.5</w:t>
            </w:r>
          </w:p>
        </w:tc>
        <w:tc>
          <w:tcPr>
            <w:tcW w:w="1041" w:type="dxa"/>
            <w:tcBorders>
              <w:left w:val="nil"/>
              <w:right w:val="nil"/>
            </w:tcBorders>
            <w:shd w:val="clear" w:color="auto" w:fill="E7E6E6" w:themeFill="accent4"/>
            <w:noWrap/>
          </w:tcPr>
          <w:p w14:paraId="3CE5A728" w14:textId="77777777" w:rsidR="005B131E" w:rsidRPr="00BA7805" w:rsidRDefault="005B131E" w:rsidP="002542E1">
            <w:pPr>
              <w:pStyle w:val="ARfintablebodyrightbold8pt"/>
              <w:rPr>
                <w:highlight w:val="green"/>
              </w:rPr>
            </w:pPr>
            <w:r w:rsidRPr="00165BAA">
              <w:t>6.2</w:t>
            </w:r>
          </w:p>
        </w:tc>
        <w:tc>
          <w:tcPr>
            <w:tcW w:w="1040" w:type="dxa"/>
            <w:tcBorders>
              <w:left w:val="nil"/>
              <w:right w:val="nil"/>
            </w:tcBorders>
            <w:shd w:val="clear" w:color="auto" w:fill="E7E6E6" w:themeFill="accent4"/>
            <w:noWrap/>
          </w:tcPr>
          <w:p w14:paraId="514A77D5" w14:textId="77777777" w:rsidR="005B131E" w:rsidRPr="00BA7805" w:rsidRDefault="005B131E" w:rsidP="002542E1">
            <w:pPr>
              <w:pStyle w:val="ARfintablebodyrightbold8pt"/>
              <w:rPr>
                <w:highlight w:val="green"/>
              </w:rPr>
            </w:pPr>
            <w:r w:rsidRPr="00165BAA">
              <w:t>35.8</w:t>
            </w:r>
          </w:p>
        </w:tc>
        <w:tc>
          <w:tcPr>
            <w:tcW w:w="1035" w:type="dxa"/>
            <w:tcBorders>
              <w:left w:val="nil"/>
            </w:tcBorders>
            <w:shd w:val="clear" w:color="auto" w:fill="E7E6E6" w:themeFill="accent4"/>
            <w:noWrap/>
          </w:tcPr>
          <w:p w14:paraId="30E3F91A" w14:textId="77777777" w:rsidR="005B131E" w:rsidRPr="00BA7805" w:rsidRDefault="005B131E" w:rsidP="002542E1">
            <w:pPr>
              <w:pStyle w:val="ARfintablebodyrightbold8pt"/>
              <w:rPr>
                <w:highlight w:val="green"/>
              </w:rPr>
            </w:pPr>
            <w:r w:rsidRPr="00165BAA">
              <w:t>(9.9)</w:t>
            </w:r>
          </w:p>
        </w:tc>
        <w:tc>
          <w:tcPr>
            <w:tcW w:w="1046" w:type="dxa"/>
            <w:noWrap/>
          </w:tcPr>
          <w:p w14:paraId="34D8224D" w14:textId="77777777" w:rsidR="005B131E" w:rsidRPr="00BA7805" w:rsidRDefault="005B131E" w:rsidP="002542E1">
            <w:pPr>
              <w:pStyle w:val="ARfintablebodyrightbold8pt"/>
              <w:rPr>
                <w:highlight w:val="green"/>
              </w:rPr>
            </w:pPr>
            <w:r w:rsidRPr="00165BAA">
              <w:t>(11.8)</w:t>
            </w:r>
          </w:p>
        </w:tc>
        <w:tc>
          <w:tcPr>
            <w:tcW w:w="1041" w:type="dxa"/>
            <w:noWrap/>
          </w:tcPr>
          <w:p w14:paraId="62A8C53A" w14:textId="77777777" w:rsidR="005B131E" w:rsidRPr="00BA7805" w:rsidRDefault="005B131E" w:rsidP="002542E1">
            <w:pPr>
              <w:pStyle w:val="ARfintablebodyrightbold8pt"/>
              <w:rPr>
                <w:highlight w:val="green"/>
              </w:rPr>
            </w:pPr>
            <w:r w:rsidRPr="00165BAA">
              <w:t>36.0</w:t>
            </w:r>
          </w:p>
        </w:tc>
        <w:tc>
          <w:tcPr>
            <w:tcW w:w="1040" w:type="dxa"/>
            <w:noWrap/>
          </w:tcPr>
          <w:p w14:paraId="7FA3396D" w14:textId="77777777" w:rsidR="005B131E" w:rsidRPr="00BA7805" w:rsidRDefault="005B131E" w:rsidP="002542E1">
            <w:pPr>
              <w:pStyle w:val="ARfintablebodyrightbold8pt"/>
              <w:rPr>
                <w:highlight w:val="green"/>
              </w:rPr>
            </w:pPr>
            <w:r w:rsidRPr="00165BAA">
              <w:t>130.1</w:t>
            </w:r>
          </w:p>
        </w:tc>
        <w:tc>
          <w:tcPr>
            <w:tcW w:w="1041" w:type="dxa"/>
            <w:noWrap/>
          </w:tcPr>
          <w:p w14:paraId="33DF185D" w14:textId="77777777" w:rsidR="005B131E" w:rsidRPr="00BA7805" w:rsidRDefault="005B131E" w:rsidP="002542E1">
            <w:pPr>
              <w:pStyle w:val="ARfintablebodyrightbold8pt"/>
              <w:rPr>
                <w:highlight w:val="green"/>
              </w:rPr>
            </w:pPr>
            <w:r w:rsidRPr="00165BAA">
              <w:t>59.9</w:t>
            </w:r>
          </w:p>
        </w:tc>
        <w:tc>
          <w:tcPr>
            <w:tcW w:w="1041" w:type="dxa"/>
            <w:noWrap/>
          </w:tcPr>
          <w:p w14:paraId="10B674BD" w14:textId="77777777" w:rsidR="005B131E" w:rsidRPr="00BA7805" w:rsidRDefault="005B131E" w:rsidP="002542E1">
            <w:pPr>
              <w:pStyle w:val="ARfintablebodyrightbold8pt"/>
              <w:rPr>
                <w:highlight w:val="green"/>
              </w:rPr>
            </w:pPr>
            <w:r w:rsidRPr="00165BAA">
              <w:t>(45.9)</w:t>
            </w:r>
          </w:p>
        </w:tc>
      </w:tr>
    </w:tbl>
    <w:p w14:paraId="71E44E4D" w14:textId="77777777" w:rsidR="005B131E" w:rsidRPr="00BA7805" w:rsidRDefault="005B131E">
      <w:pPr>
        <w:pStyle w:val="ARfintablefootnotetabindent"/>
        <w:spacing w:before="10" w:after="10"/>
        <w:rPr>
          <w:highlight w:val="green"/>
        </w:rPr>
      </w:pPr>
    </w:p>
    <w:p w14:paraId="5E9CE0D9" w14:textId="77777777" w:rsidR="005B131E" w:rsidRPr="00CF4F23" w:rsidRDefault="005B131E" w:rsidP="002542E1">
      <w:pPr>
        <w:pStyle w:val="ARfinbody"/>
        <w:rPr>
          <w:highlight w:val="green"/>
        </w:rPr>
        <w:sectPr w:rsidR="005B131E" w:rsidRPr="00CF4F23" w:rsidSect="005B131E">
          <w:footerReference w:type="even" r:id="rId148"/>
          <w:footnotePr>
            <w:numFmt w:val="lowerLetter"/>
            <w:numRestart w:val="eachPage"/>
          </w:footnotePr>
          <w:pgSz w:w="16838" w:h="11906" w:orient="landscape" w:code="9"/>
          <w:pgMar w:top="1134" w:right="1134" w:bottom="851" w:left="1134" w:header="510" w:footer="340" w:gutter="0"/>
          <w:cols w:space="708"/>
          <w:docGrid w:linePitch="360"/>
        </w:sectPr>
      </w:pPr>
    </w:p>
    <w:p w14:paraId="436ACEDB" w14:textId="77777777" w:rsidR="005B131E" w:rsidRPr="00CF4F23" w:rsidRDefault="005B131E" w:rsidP="002542E1">
      <w:pPr>
        <w:pStyle w:val="Heading5"/>
        <w:spacing w:before="0"/>
        <w:rPr>
          <w:lang w:eastAsia="en-AU"/>
        </w:rPr>
      </w:pPr>
      <w:r w:rsidRPr="00CF4F23">
        <w:rPr>
          <w:lang w:eastAsia="en-AU"/>
        </w:rPr>
        <w:t>7.4.2 Trust account – Legislative references and nature</w:t>
      </w:r>
    </w:p>
    <w:p w14:paraId="738E8238" w14:textId="77777777" w:rsidR="005B131E" w:rsidRDefault="005B131E">
      <w:pPr>
        <w:pStyle w:val="Heading6"/>
        <w:spacing w:before="160"/>
        <w:rPr>
          <w:lang w:eastAsia="en-AU"/>
        </w:rPr>
      </w:pPr>
      <w:r w:rsidRPr="00CF4F23">
        <w:rPr>
          <w:lang w:eastAsia="en-AU"/>
        </w:rPr>
        <w:t>Controlled trusts</w:t>
      </w:r>
    </w:p>
    <w:p w14:paraId="3D26964E" w14:textId="4A9A7D51" w:rsidR="005B131E" w:rsidRDefault="005B131E" w:rsidP="002542E1">
      <w:pPr>
        <w:pStyle w:val="Heading7"/>
      </w:pPr>
      <w:r>
        <w:t>Intellectually Handicapped Children</w:t>
      </w:r>
      <w:r w:rsidR="00711AE6">
        <w:t>’</w:t>
      </w:r>
      <w:r>
        <w:t>s Amenities Fund</w:t>
      </w:r>
    </w:p>
    <w:p w14:paraId="0C6100D6" w14:textId="77777777" w:rsidR="005B131E" w:rsidRDefault="005B131E" w:rsidP="002542E1">
      <w:pPr>
        <w:pStyle w:val="ARfinbody"/>
      </w:pPr>
      <w:r>
        <w:t xml:space="preserve">Established under the </w:t>
      </w:r>
      <w:r w:rsidRPr="000F7D29">
        <w:rPr>
          <w:rStyle w:val="Emphasis"/>
        </w:rPr>
        <w:t>Intellectually Disabled Persons Act 1986</w:t>
      </w:r>
      <w:r>
        <w:t xml:space="preserve"> which was then repealed by the </w:t>
      </w:r>
      <w:r w:rsidRPr="00D918BB">
        <w:rPr>
          <w:rStyle w:val="Emphasis"/>
        </w:rPr>
        <w:t>Disability Act 2006</w:t>
      </w:r>
      <w:r>
        <w:t>. The trust was established to meet the cost of the provision of amenities for children under the age of 16 years in the care of the department.</w:t>
      </w:r>
    </w:p>
    <w:p w14:paraId="0069C4B3" w14:textId="77777777" w:rsidR="005B131E" w:rsidRDefault="005B131E" w:rsidP="002542E1">
      <w:pPr>
        <w:pStyle w:val="Heading7"/>
      </w:pPr>
      <w:r>
        <w:t>Mental Health Fund</w:t>
      </w:r>
    </w:p>
    <w:p w14:paraId="74ABA7EB" w14:textId="77777777" w:rsidR="005B131E" w:rsidRDefault="005B131E" w:rsidP="002542E1">
      <w:pPr>
        <w:pStyle w:val="ARfinbody"/>
      </w:pPr>
      <w:r>
        <w:t xml:space="preserve">Established under the </w:t>
      </w:r>
      <w:r w:rsidRPr="000F7D29">
        <w:rPr>
          <w:rStyle w:val="Emphasis"/>
        </w:rPr>
        <w:t>Gaming Regulation Act 2003</w:t>
      </w:r>
      <w:r>
        <w:t xml:space="preserve"> for the establishment and maintenance of mental health services and residential institutions and facilities, for the administration of the </w:t>
      </w:r>
      <w:r w:rsidRPr="000F7D29">
        <w:rPr>
          <w:rStyle w:val="Emphasis"/>
        </w:rPr>
        <w:t>Mental Health Act 1986</w:t>
      </w:r>
      <w:r>
        <w:t xml:space="preserve"> and for the administration of the </w:t>
      </w:r>
      <w:r w:rsidRPr="000F7D29">
        <w:rPr>
          <w:rStyle w:val="Emphasis"/>
        </w:rPr>
        <w:t>Disability Act 2006</w:t>
      </w:r>
      <w:r>
        <w:t>.</w:t>
      </w:r>
    </w:p>
    <w:p w14:paraId="7855D89B" w14:textId="77777777" w:rsidR="005B131E" w:rsidRDefault="005B131E" w:rsidP="002542E1">
      <w:pPr>
        <w:pStyle w:val="Heading7"/>
      </w:pPr>
      <w:r>
        <w:t>Treasury Trust</w:t>
      </w:r>
    </w:p>
    <w:p w14:paraId="1063B2AA" w14:textId="77777777" w:rsidR="005B131E" w:rsidRDefault="005B131E" w:rsidP="002542E1">
      <w:pPr>
        <w:pStyle w:val="ARfinbody"/>
      </w:pPr>
      <w:r>
        <w:t>Established to record the receipt and disbursement of unclaimed monies and other funds held in trust.</w:t>
      </w:r>
    </w:p>
    <w:p w14:paraId="5BC9DD14" w14:textId="77777777" w:rsidR="005B131E" w:rsidRDefault="005B131E" w:rsidP="002542E1">
      <w:pPr>
        <w:pStyle w:val="Heading7"/>
      </w:pPr>
      <w:r>
        <w:t>Inter-Departmental Transfer Trust</w:t>
      </w:r>
    </w:p>
    <w:p w14:paraId="6A332061" w14:textId="77777777" w:rsidR="005B131E" w:rsidRDefault="005B131E" w:rsidP="002542E1">
      <w:pPr>
        <w:pStyle w:val="ARfinbody"/>
      </w:pPr>
      <w:r>
        <w:t xml:space="preserve">Established under s. 19 of the </w:t>
      </w:r>
      <w:r w:rsidRPr="000F7D29">
        <w:rPr>
          <w:rStyle w:val="Emphasis"/>
        </w:rPr>
        <w:t>Financial Management Act 1994</w:t>
      </w:r>
      <w:r>
        <w:t xml:space="preserve"> by the Assistant Treasurer to record inter-departmental transfers when no other trust arrangement exists.</w:t>
      </w:r>
    </w:p>
    <w:p w14:paraId="466E1A74" w14:textId="77777777" w:rsidR="005B131E" w:rsidRDefault="005B131E" w:rsidP="002542E1">
      <w:pPr>
        <w:pStyle w:val="Heading7"/>
      </w:pPr>
      <w:r>
        <w:t>Vehicle Lease Trust Account</w:t>
      </w:r>
    </w:p>
    <w:p w14:paraId="08F9BF97" w14:textId="23C67687" w:rsidR="005B131E" w:rsidRDefault="005B131E" w:rsidP="002542E1">
      <w:pPr>
        <w:pStyle w:val="ARfinbody"/>
      </w:pPr>
      <w:r>
        <w:t>Established to record transactions relating to the government</w:t>
      </w:r>
      <w:r w:rsidR="00711AE6">
        <w:t>’</w:t>
      </w:r>
      <w:r>
        <w:t>s vehicle pool and fleet management business.</w:t>
      </w:r>
    </w:p>
    <w:p w14:paraId="7037C976" w14:textId="77777777" w:rsidR="005B131E" w:rsidRDefault="005B131E" w:rsidP="002542E1">
      <w:pPr>
        <w:pStyle w:val="Heading7"/>
      </w:pPr>
      <w:r>
        <w:t>Departmental Suspense Account</w:t>
      </w:r>
    </w:p>
    <w:p w14:paraId="2738AA41" w14:textId="77777777" w:rsidR="005B131E" w:rsidRDefault="005B131E" w:rsidP="002542E1">
      <w:pPr>
        <w:pStyle w:val="ARfinbody"/>
      </w:pPr>
      <w:r>
        <w:t>Short-term clearing account pending correct identification of payments.</w:t>
      </w:r>
    </w:p>
    <w:p w14:paraId="43E85927" w14:textId="77777777" w:rsidR="005B131E" w:rsidRDefault="005B131E" w:rsidP="002542E1">
      <w:pPr>
        <w:pStyle w:val="Heading7"/>
      </w:pPr>
      <w:r>
        <w:t>Victorian Veterans Fund</w:t>
      </w:r>
    </w:p>
    <w:p w14:paraId="43B10954" w14:textId="4EAE56EE" w:rsidR="005B131E" w:rsidRDefault="005B131E" w:rsidP="002542E1">
      <w:pPr>
        <w:pStyle w:val="ARfinbody"/>
      </w:pPr>
      <w:r>
        <w:t xml:space="preserve">Established under s. 20 of the </w:t>
      </w:r>
      <w:r w:rsidRPr="000F7D29">
        <w:rPr>
          <w:rStyle w:val="Emphasis"/>
        </w:rPr>
        <w:t>Veterans Act 2005</w:t>
      </w:r>
      <w:r>
        <w:t xml:space="preserve"> to educate Victorians about Victoria</w:t>
      </w:r>
      <w:r w:rsidR="00711AE6">
        <w:t>’</w:t>
      </w:r>
      <w:r>
        <w:t>s involvement in Australia</w:t>
      </w:r>
      <w:r w:rsidR="00711AE6">
        <w:t>’</w:t>
      </w:r>
      <w:r>
        <w:t>s war and service history, to honour or commemorate the service or sacrifice of veterans, to assist the education of veterans</w:t>
      </w:r>
      <w:r w:rsidR="00711AE6">
        <w:t>’</w:t>
      </w:r>
      <w:r>
        <w:t xml:space="preserve"> dependants and any other purpose agreed in writing by the Minister for Veterans. The Victorian Veterans Council may invest any part of the Victorian Veterans Fund not immediately required for the purposes of the Victorian Veterans Fund in any manner approved by the Treasurer.</w:t>
      </w:r>
    </w:p>
    <w:p w14:paraId="79BFC563" w14:textId="77777777" w:rsidR="005B131E" w:rsidRDefault="005B131E" w:rsidP="002542E1">
      <w:pPr>
        <w:pStyle w:val="Heading7"/>
      </w:pPr>
      <w:r>
        <w:t>Anzac Day Proceeds Fund</w:t>
      </w:r>
    </w:p>
    <w:p w14:paraId="4D045A0E" w14:textId="77777777" w:rsidR="005B131E" w:rsidRDefault="005B131E" w:rsidP="002542E1">
      <w:pPr>
        <w:pStyle w:val="ARfinbody"/>
      </w:pPr>
      <w:r>
        <w:t xml:space="preserve">Established under s. 4A of the </w:t>
      </w:r>
      <w:r w:rsidRPr="002B2644">
        <w:rPr>
          <w:rStyle w:val="Emphasis"/>
        </w:rPr>
        <w:t>ANZAC Day Act 1958</w:t>
      </w:r>
      <w:r>
        <w:t xml:space="preserve"> to receive funds as required to be paid by the </w:t>
      </w:r>
      <w:r w:rsidRPr="000F7D29">
        <w:rPr>
          <w:rStyle w:val="Emphasis"/>
        </w:rPr>
        <w:t>ANZAC Day Act 1958</w:t>
      </w:r>
      <w:r>
        <w:t xml:space="preserve"> and the </w:t>
      </w:r>
      <w:r w:rsidRPr="000F7D29">
        <w:rPr>
          <w:rStyle w:val="Emphasis"/>
        </w:rPr>
        <w:t>Racing Act 1958</w:t>
      </w:r>
      <w:r>
        <w:t xml:space="preserve"> and to be credited to the Victorian Veterans Fund.</w:t>
      </w:r>
    </w:p>
    <w:p w14:paraId="3AFFA4ED" w14:textId="77777777" w:rsidR="005B131E" w:rsidRDefault="005B131E" w:rsidP="002542E1">
      <w:pPr>
        <w:pStyle w:val="Heading6"/>
      </w:pPr>
      <w:r>
        <w:t>Administered trusts</w:t>
      </w:r>
    </w:p>
    <w:p w14:paraId="7C66E9C4" w14:textId="77777777" w:rsidR="005B131E" w:rsidRDefault="005B131E" w:rsidP="002542E1">
      <w:pPr>
        <w:pStyle w:val="Heading7"/>
      </w:pPr>
      <w:r>
        <w:t>Public Service Commuter Club</w:t>
      </w:r>
    </w:p>
    <w:p w14:paraId="132303F5" w14:textId="1149B74A" w:rsidR="005B131E" w:rsidRDefault="005B131E" w:rsidP="002542E1">
      <w:pPr>
        <w:pStyle w:val="ARfinbody"/>
      </w:pPr>
      <w:r>
        <w:t>Established to record the receipt of amounts associated with the Public Service Commuter Club Scheme and deductions from club members</w:t>
      </w:r>
      <w:r w:rsidR="00711AE6">
        <w:t>’</w:t>
      </w:r>
      <w:r>
        <w:t xml:space="preserve"> salaries as well as to record payment to the Public Transport Corporation.</w:t>
      </w:r>
    </w:p>
    <w:p w14:paraId="415B9C4E" w14:textId="77777777" w:rsidR="005B131E" w:rsidRDefault="005B131E" w:rsidP="002542E1">
      <w:pPr>
        <w:pStyle w:val="Heading7"/>
      </w:pPr>
      <w:r>
        <w:t>Revenue Suspense Account</w:t>
      </w:r>
    </w:p>
    <w:p w14:paraId="72882F0E" w14:textId="77777777" w:rsidR="005B131E" w:rsidRDefault="005B131E" w:rsidP="002542E1">
      <w:pPr>
        <w:pStyle w:val="ARfinbody"/>
      </w:pPr>
      <w:r>
        <w:t>Short-term clearing account pending correct identification of receipts.</w:t>
      </w:r>
    </w:p>
    <w:p w14:paraId="6D821A4E" w14:textId="77777777" w:rsidR="005B131E" w:rsidRDefault="005B131E" w:rsidP="002542E1">
      <w:pPr>
        <w:pStyle w:val="Heading7"/>
      </w:pPr>
      <w:r>
        <w:t>Victorian Natural Disasters Relief Fund</w:t>
      </w:r>
    </w:p>
    <w:p w14:paraId="333803AB" w14:textId="68023D04" w:rsidR="005B131E" w:rsidRPr="00B635AD" w:rsidRDefault="005B131E" w:rsidP="002542E1">
      <w:pPr>
        <w:pStyle w:val="ARfinbody"/>
      </w:pPr>
      <w:r>
        <w:t>Established for the purpose of granting assistance to persons who suffer losses as a result of flood, bushfires and other natural disasters</w:t>
      </w:r>
      <w:r w:rsidR="001F0ED3">
        <w:t>.</w:t>
      </w:r>
    </w:p>
    <w:p w14:paraId="06F18F2A" w14:textId="77777777" w:rsidR="005B131E" w:rsidRPr="00BA7805" w:rsidRDefault="005B131E">
      <w:pPr>
        <w:pStyle w:val="ARfinbody"/>
        <w:rPr>
          <w:highlight w:val="green"/>
        </w:rPr>
      </w:pPr>
      <w:r w:rsidRPr="00BA7805">
        <w:rPr>
          <w:highlight w:val="green"/>
        </w:rPr>
        <w:br w:type="page"/>
      </w:r>
    </w:p>
    <w:p w14:paraId="7C0E0224" w14:textId="77777777" w:rsidR="005B131E" w:rsidRPr="00D918BB" w:rsidRDefault="005B131E">
      <w:pPr>
        <w:pStyle w:val="Heading4"/>
        <w:rPr>
          <w:lang w:eastAsia="en-AU"/>
        </w:rPr>
      </w:pPr>
      <w:r w:rsidRPr="00D918BB">
        <w:rPr>
          <w:lang w:eastAsia="en-AU"/>
        </w:rPr>
        <w:t>7.5 Commitments for expenditure</w:t>
      </w:r>
    </w:p>
    <w:p w14:paraId="40750EA6" w14:textId="77777777" w:rsidR="005B131E" w:rsidRPr="00827677" w:rsidRDefault="005B131E" w:rsidP="002542E1">
      <w:pPr>
        <w:pStyle w:val="ARfinbody"/>
      </w:pPr>
      <w:r>
        <w:t xml:space="preserve">Commitments for future expenditure include operating and capital commitments arising from contracts. These commitments are recorded below at their nominal value and inclusive of GST where applicable. These future expenditures cease to be disclosed as commitments once the </w:t>
      </w:r>
      <w:r w:rsidRPr="00827677">
        <w:t>related</w:t>
      </w:r>
      <w:r>
        <w:t xml:space="preserve"> liabilities are recognised in the balance sheet.</w:t>
      </w:r>
    </w:p>
    <w:p w14:paraId="65BFBB9D" w14:textId="77777777" w:rsidR="005B131E" w:rsidRPr="00827677" w:rsidRDefault="005B131E" w:rsidP="00207901">
      <w:pPr>
        <w:pStyle w:val="Heading5"/>
        <w:rPr>
          <w:lang w:eastAsia="en-AU"/>
        </w:rPr>
      </w:pPr>
      <w:r w:rsidRPr="00827677">
        <w:rPr>
          <w:lang w:eastAsia="en-AU"/>
        </w:rPr>
        <w:t xml:space="preserve">7.5.1 Total commitments payable </w:t>
      </w:r>
    </w:p>
    <w:p w14:paraId="078D508D" w14:textId="77777777" w:rsidR="005B131E" w:rsidRPr="00BA7805" w:rsidRDefault="005B131E">
      <w:pPr>
        <w:pStyle w:val="ARfinbodylargespace"/>
        <w:rPr>
          <w:highlight w:val="green"/>
        </w:rPr>
      </w:pPr>
      <w:r w:rsidRPr="00C474EA">
        <w:t>The following commitments have not been recognised as liabilities in the financial statements.</w:t>
      </w:r>
    </w:p>
    <w:tbl>
      <w:tblPr>
        <w:tblStyle w:val="TableGrid"/>
        <w:tblW w:w="9637" w:type="dxa"/>
        <w:tblLayout w:type="fixed"/>
        <w:tblLook w:val="06A0" w:firstRow="1" w:lastRow="0" w:firstColumn="1" w:lastColumn="0" w:noHBand="1" w:noVBand="1"/>
      </w:tblPr>
      <w:tblGrid>
        <w:gridCol w:w="6901"/>
        <w:gridCol w:w="40"/>
        <w:gridCol w:w="1418"/>
        <w:gridCol w:w="1278"/>
      </w:tblGrid>
      <w:tr w:rsidR="005B131E" w:rsidRPr="00BA7805" w14:paraId="7AE7006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01" w:type="dxa"/>
            <w:noWrap/>
            <w:hideMark/>
          </w:tcPr>
          <w:p w14:paraId="5357F4E2" w14:textId="77777777" w:rsidR="005B131E" w:rsidRPr="00BA7805" w:rsidRDefault="005B131E">
            <w:pPr>
              <w:pStyle w:val="ARfintablecolhead"/>
              <w:rPr>
                <w:highlight w:val="green"/>
              </w:rPr>
            </w:pPr>
          </w:p>
        </w:tc>
        <w:tc>
          <w:tcPr>
            <w:tcW w:w="1458" w:type="dxa"/>
            <w:gridSpan w:val="2"/>
            <w:shd w:val="clear" w:color="auto" w:fill="E7E6E6" w:themeFill="accent4"/>
            <w:hideMark/>
          </w:tcPr>
          <w:p w14:paraId="705A5CC3" w14:textId="77777777" w:rsidR="005B131E" w:rsidRPr="005F5474" w:rsidRDefault="005B131E">
            <w:pPr>
              <w:pStyle w:val="ARfintablecolheadright"/>
            </w:pPr>
            <w:r w:rsidRPr="005F5474">
              <w:t>2024</w:t>
            </w:r>
          </w:p>
          <w:p w14:paraId="55A59CCD" w14:textId="77777777" w:rsidR="005B131E" w:rsidRPr="005F5474" w:rsidRDefault="005B131E">
            <w:pPr>
              <w:pStyle w:val="ARfintablecolheadright"/>
            </w:pPr>
            <w:r w:rsidRPr="005F5474">
              <w:t>$M</w:t>
            </w:r>
          </w:p>
        </w:tc>
        <w:tc>
          <w:tcPr>
            <w:tcW w:w="1278" w:type="dxa"/>
            <w:hideMark/>
          </w:tcPr>
          <w:p w14:paraId="4D7D36F8" w14:textId="77777777" w:rsidR="005B131E" w:rsidRPr="005F5474" w:rsidRDefault="005B131E">
            <w:pPr>
              <w:pStyle w:val="ARfintablecolheadright"/>
            </w:pPr>
            <w:r w:rsidRPr="005F5474">
              <w:t>2023</w:t>
            </w:r>
          </w:p>
          <w:p w14:paraId="57B2A168" w14:textId="77777777" w:rsidR="005B131E" w:rsidRPr="005F5474" w:rsidRDefault="005B131E">
            <w:pPr>
              <w:pStyle w:val="ARfintablecolheadright"/>
            </w:pPr>
            <w:r w:rsidRPr="005F5474">
              <w:t>$M</w:t>
            </w:r>
          </w:p>
        </w:tc>
      </w:tr>
      <w:tr w:rsidR="005B131E" w:rsidRPr="00BA7805" w14:paraId="3013EC00" w14:textId="77777777" w:rsidTr="003D7AC8">
        <w:tc>
          <w:tcPr>
            <w:tcW w:w="9637" w:type="dxa"/>
            <w:gridSpan w:val="4"/>
            <w:tcBorders>
              <w:top w:val="single" w:sz="4" w:space="0" w:color="auto"/>
              <w:bottom w:val="single" w:sz="4" w:space="0" w:color="A6A6A6" w:themeColor="background1" w:themeShade="A6"/>
            </w:tcBorders>
          </w:tcPr>
          <w:p w14:paraId="0B073F4C" w14:textId="77777777" w:rsidR="005B131E" w:rsidRPr="00BA7805" w:rsidRDefault="005B131E" w:rsidP="002542E1">
            <w:pPr>
              <w:pStyle w:val="ARfintablebodybold"/>
              <w:spacing w:before="10" w:after="10"/>
              <w:rPr>
                <w:highlight w:val="green"/>
              </w:rPr>
            </w:pPr>
            <w:r w:rsidRPr="00C7408E">
              <w:t xml:space="preserve">(a) Capital expenditure commitments </w:t>
            </w:r>
          </w:p>
        </w:tc>
      </w:tr>
      <w:tr w:rsidR="005B131E" w:rsidRPr="00BA7805" w14:paraId="69E42B49"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075187FB" w14:textId="77777777" w:rsidR="005B131E" w:rsidRPr="00BA7805" w:rsidRDefault="005B131E" w:rsidP="002542E1">
            <w:pPr>
              <w:pStyle w:val="ARfintablebody"/>
              <w:spacing w:before="10" w:after="10"/>
              <w:rPr>
                <w:highlight w:val="green"/>
              </w:rPr>
            </w:pPr>
            <w:r w:rsidRPr="00C7408E">
              <w:t>Less than 1 year</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5DDA62B3" w14:textId="77777777" w:rsidR="005B131E" w:rsidRPr="00BA7805" w:rsidRDefault="005B131E" w:rsidP="002542E1">
            <w:pPr>
              <w:pStyle w:val="ARfintablebodyright"/>
              <w:spacing w:before="10" w:after="10"/>
              <w:rPr>
                <w:highlight w:val="green"/>
              </w:rPr>
            </w:pPr>
            <w:r w:rsidRPr="00D7262A">
              <w:t>247.8</w:t>
            </w:r>
          </w:p>
        </w:tc>
        <w:tc>
          <w:tcPr>
            <w:tcW w:w="1278" w:type="dxa"/>
            <w:tcBorders>
              <w:top w:val="single" w:sz="4" w:space="0" w:color="A6A6A6" w:themeColor="background1" w:themeShade="A6"/>
              <w:bottom w:val="single" w:sz="4" w:space="0" w:color="A6A6A6" w:themeColor="background1" w:themeShade="A6"/>
            </w:tcBorders>
            <w:noWrap/>
          </w:tcPr>
          <w:p w14:paraId="1E0967EA" w14:textId="77777777" w:rsidR="005B131E" w:rsidRPr="00BA7805" w:rsidRDefault="005B131E" w:rsidP="002542E1">
            <w:pPr>
              <w:pStyle w:val="ARfintablebodyright"/>
              <w:spacing w:before="10" w:after="10"/>
              <w:rPr>
                <w:highlight w:val="green"/>
              </w:rPr>
            </w:pPr>
            <w:r w:rsidRPr="00D7262A">
              <w:t>430.3</w:t>
            </w:r>
          </w:p>
        </w:tc>
      </w:tr>
      <w:tr w:rsidR="005B131E" w:rsidRPr="00BA7805" w14:paraId="3D0DBA24"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715D80F5" w14:textId="77777777" w:rsidR="005B131E" w:rsidRPr="00BA7805" w:rsidRDefault="005B131E" w:rsidP="002542E1">
            <w:pPr>
              <w:pStyle w:val="ARfintablebody"/>
              <w:spacing w:before="10" w:after="10"/>
              <w:rPr>
                <w:highlight w:val="green"/>
              </w:rPr>
            </w:pPr>
            <w:r w:rsidRPr="00C7408E">
              <w:t>Longer than 1 year and not longer than 5 years</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2B29375C" w14:textId="77777777" w:rsidR="005B131E" w:rsidRPr="00BA7805" w:rsidRDefault="005B131E" w:rsidP="002542E1">
            <w:pPr>
              <w:pStyle w:val="ARfintablebodyright"/>
              <w:spacing w:before="10" w:after="10"/>
              <w:rPr>
                <w:highlight w:val="green"/>
              </w:rPr>
            </w:pPr>
            <w:r>
              <w:t>–</w:t>
            </w:r>
          </w:p>
        </w:tc>
        <w:tc>
          <w:tcPr>
            <w:tcW w:w="1278" w:type="dxa"/>
            <w:tcBorders>
              <w:top w:val="single" w:sz="4" w:space="0" w:color="A6A6A6" w:themeColor="background1" w:themeShade="A6"/>
              <w:bottom w:val="single" w:sz="4" w:space="0" w:color="A6A6A6" w:themeColor="background1" w:themeShade="A6"/>
            </w:tcBorders>
            <w:noWrap/>
          </w:tcPr>
          <w:p w14:paraId="673D7DBD" w14:textId="77777777" w:rsidR="005B131E" w:rsidRPr="00BA7805" w:rsidRDefault="005B131E" w:rsidP="002542E1">
            <w:pPr>
              <w:pStyle w:val="ARfintablebodyright"/>
              <w:spacing w:before="10" w:after="10"/>
              <w:rPr>
                <w:highlight w:val="green"/>
              </w:rPr>
            </w:pPr>
            <w:r>
              <w:t>–</w:t>
            </w:r>
          </w:p>
        </w:tc>
      </w:tr>
      <w:tr w:rsidR="005B131E" w:rsidRPr="00BA7805" w14:paraId="08CD3FB7" w14:textId="77777777" w:rsidTr="002542E1">
        <w:tc>
          <w:tcPr>
            <w:tcW w:w="6941" w:type="dxa"/>
            <w:gridSpan w:val="2"/>
            <w:tcBorders>
              <w:top w:val="single" w:sz="4" w:space="0" w:color="A6A6A6" w:themeColor="background1" w:themeShade="A6"/>
              <w:bottom w:val="single" w:sz="4" w:space="0" w:color="000000" w:themeColor="text1"/>
            </w:tcBorders>
          </w:tcPr>
          <w:p w14:paraId="52AAC1EE" w14:textId="77777777" w:rsidR="005B131E" w:rsidRPr="00BA7805" w:rsidRDefault="005B131E" w:rsidP="002542E1">
            <w:pPr>
              <w:pStyle w:val="ARfintablebody"/>
              <w:spacing w:before="10" w:after="10"/>
              <w:rPr>
                <w:highlight w:val="green"/>
              </w:rPr>
            </w:pPr>
            <w:r w:rsidRPr="00C7408E">
              <w:t>Longer than 5 years</w:t>
            </w:r>
          </w:p>
        </w:tc>
        <w:tc>
          <w:tcPr>
            <w:tcW w:w="1418" w:type="dxa"/>
            <w:tcBorders>
              <w:top w:val="single" w:sz="4" w:space="0" w:color="A6A6A6" w:themeColor="background1" w:themeShade="A6"/>
              <w:bottom w:val="single" w:sz="4" w:space="0" w:color="000000" w:themeColor="text1"/>
            </w:tcBorders>
            <w:shd w:val="clear" w:color="auto" w:fill="E7E6E6" w:themeFill="accent4"/>
            <w:noWrap/>
          </w:tcPr>
          <w:p w14:paraId="7BDEB2E8" w14:textId="77777777" w:rsidR="005B131E" w:rsidRPr="00BA7805" w:rsidRDefault="005B131E" w:rsidP="002542E1">
            <w:pPr>
              <w:pStyle w:val="ARfintablebodyright"/>
              <w:spacing w:before="10" w:after="10"/>
              <w:rPr>
                <w:highlight w:val="green"/>
              </w:rPr>
            </w:pPr>
            <w:r>
              <w:t>–</w:t>
            </w:r>
          </w:p>
        </w:tc>
        <w:tc>
          <w:tcPr>
            <w:tcW w:w="1278" w:type="dxa"/>
            <w:tcBorders>
              <w:top w:val="single" w:sz="4" w:space="0" w:color="A6A6A6" w:themeColor="background1" w:themeShade="A6"/>
              <w:bottom w:val="single" w:sz="4" w:space="0" w:color="000000" w:themeColor="text1"/>
            </w:tcBorders>
            <w:noWrap/>
          </w:tcPr>
          <w:p w14:paraId="29825A41" w14:textId="77777777" w:rsidR="005B131E" w:rsidRPr="00BA7805" w:rsidRDefault="005B131E" w:rsidP="002542E1">
            <w:pPr>
              <w:pStyle w:val="ARfintablebodyright"/>
              <w:spacing w:before="10" w:after="10"/>
              <w:rPr>
                <w:highlight w:val="green"/>
              </w:rPr>
            </w:pPr>
            <w:r>
              <w:t>–</w:t>
            </w:r>
          </w:p>
        </w:tc>
      </w:tr>
      <w:tr w:rsidR="005B131E" w:rsidRPr="00BA7805" w14:paraId="534D946E" w14:textId="77777777" w:rsidTr="002542E1">
        <w:tc>
          <w:tcPr>
            <w:tcW w:w="6941" w:type="dxa"/>
            <w:gridSpan w:val="2"/>
            <w:tcBorders>
              <w:top w:val="single" w:sz="4" w:space="0" w:color="000000" w:themeColor="text1"/>
              <w:bottom w:val="single" w:sz="4" w:space="0" w:color="000000" w:themeColor="text1"/>
            </w:tcBorders>
          </w:tcPr>
          <w:p w14:paraId="451209A0" w14:textId="77777777" w:rsidR="005B131E" w:rsidRPr="00BA7805" w:rsidRDefault="005B131E" w:rsidP="002542E1">
            <w:pPr>
              <w:pStyle w:val="ARfintablebodybold"/>
              <w:spacing w:before="10" w:after="10"/>
              <w:rPr>
                <w:highlight w:val="green"/>
              </w:rPr>
            </w:pPr>
            <w:r w:rsidRPr="00C7408E">
              <w:t>Total capital expenditure commitments</w:t>
            </w:r>
          </w:p>
        </w:tc>
        <w:tc>
          <w:tcPr>
            <w:tcW w:w="1418" w:type="dxa"/>
            <w:tcBorders>
              <w:top w:val="single" w:sz="4" w:space="0" w:color="000000" w:themeColor="text1"/>
              <w:bottom w:val="single" w:sz="4" w:space="0" w:color="000000" w:themeColor="text1"/>
            </w:tcBorders>
            <w:shd w:val="clear" w:color="auto" w:fill="E7E6E6" w:themeFill="accent4"/>
            <w:noWrap/>
          </w:tcPr>
          <w:p w14:paraId="6008172A" w14:textId="77777777" w:rsidR="005B131E" w:rsidRPr="00BA7805" w:rsidRDefault="005B131E" w:rsidP="002542E1">
            <w:pPr>
              <w:pStyle w:val="ARfintablebodyrightbold"/>
              <w:spacing w:before="10" w:after="10"/>
              <w:rPr>
                <w:highlight w:val="green"/>
              </w:rPr>
            </w:pPr>
            <w:r w:rsidRPr="00D7262A">
              <w:t>247.8</w:t>
            </w:r>
          </w:p>
        </w:tc>
        <w:tc>
          <w:tcPr>
            <w:tcW w:w="1278" w:type="dxa"/>
            <w:tcBorders>
              <w:top w:val="single" w:sz="4" w:space="0" w:color="000000" w:themeColor="text1"/>
              <w:bottom w:val="single" w:sz="4" w:space="0" w:color="000000" w:themeColor="text1"/>
            </w:tcBorders>
            <w:noWrap/>
          </w:tcPr>
          <w:p w14:paraId="316D9082" w14:textId="77777777" w:rsidR="005B131E" w:rsidRPr="00BA7805" w:rsidRDefault="005B131E" w:rsidP="002542E1">
            <w:pPr>
              <w:pStyle w:val="ARfintablebodyrightbold"/>
              <w:spacing w:before="10" w:after="10"/>
              <w:rPr>
                <w:highlight w:val="green"/>
              </w:rPr>
            </w:pPr>
            <w:r w:rsidRPr="00D7262A">
              <w:t>430.3</w:t>
            </w:r>
          </w:p>
        </w:tc>
      </w:tr>
      <w:tr w:rsidR="005B131E" w:rsidRPr="00BA7805" w14:paraId="6C47E07E" w14:textId="77777777" w:rsidTr="002542E1">
        <w:tc>
          <w:tcPr>
            <w:tcW w:w="9637" w:type="dxa"/>
            <w:gridSpan w:val="4"/>
            <w:tcBorders>
              <w:top w:val="single" w:sz="4" w:space="0" w:color="000000" w:themeColor="text1"/>
              <w:bottom w:val="single" w:sz="4" w:space="0" w:color="A6A6A6" w:themeColor="background1" w:themeShade="A6"/>
            </w:tcBorders>
          </w:tcPr>
          <w:p w14:paraId="62442B8E" w14:textId="77777777" w:rsidR="005B131E" w:rsidRPr="00BA7805" w:rsidRDefault="005B131E" w:rsidP="002542E1">
            <w:pPr>
              <w:pStyle w:val="ARfintablebodybold"/>
              <w:spacing w:before="10" w:after="10"/>
              <w:rPr>
                <w:highlight w:val="green"/>
              </w:rPr>
            </w:pPr>
            <w:r w:rsidRPr="00C7408E">
              <w:t>(b) Accommodation expenses payable</w:t>
            </w:r>
          </w:p>
        </w:tc>
      </w:tr>
      <w:tr w:rsidR="005B131E" w:rsidRPr="00BA7805" w14:paraId="52E92866"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1C7C2FEC" w14:textId="77777777" w:rsidR="005B131E" w:rsidRPr="00BA7805" w:rsidRDefault="005B131E" w:rsidP="002542E1">
            <w:pPr>
              <w:pStyle w:val="ARfintablebody"/>
              <w:spacing w:before="10" w:after="10"/>
              <w:rPr>
                <w:highlight w:val="green"/>
              </w:rPr>
            </w:pPr>
            <w:r w:rsidRPr="00C7408E">
              <w:t>Less than 1 year</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634724CF" w14:textId="77777777" w:rsidR="005B131E" w:rsidRPr="00BA7805" w:rsidRDefault="005B131E" w:rsidP="002542E1">
            <w:pPr>
              <w:pStyle w:val="ARfintablebodyright"/>
              <w:spacing w:before="10" w:after="10"/>
              <w:rPr>
                <w:highlight w:val="green"/>
              </w:rPr>
            </w:pPr>
            <w:r w:rsidRPr="00D7262A">
              <w:t>86.5</w:t>
            </w:r>
          </w:p>
        </w:tc>
        <w:tc>
          <w:tcPr>
            <w:tcW w:w="1278" w:type="dxa"/>
            <w:tcBorders>
              <w:top w:val="single" w:sz="4" w:space="0" w:color="A6A6A6" w:themeColor="background1" w:themeShade="A6"/>
              <w:bottom w:val="single" w:sz="4" w:space="0" w:color="A6A6A6" w:themeColor="background1" w:themeShade="A6"/>
            </w:tcBorders>
            <w:noWrap/>
          </w:tcPr>
          <w:p w14:paraId="3B5BFC41" w14:textId="77777777" w:rsidR="005B131E" w:rsidRPr="00BA7805" w:rsidRDefault="005B131E" w:rsidP="002542E1">
            <w:pPr>
              <w:pStyle w:val="ARfintablebodyright"/>
              <w:spacing w:before="10" w:after="10"/>
              <w:rPr>
                <w:highlight w:val="green"/>
              </w:rPr>
            </w:pPr>
            <w:r w:rsidRPr="00D7262A">
              <w:t>74.1</w:t>
            </w:r>
          </w:p>
        </w:tc>
      </w:tr>
      <w:tr w:rsidR="005B131E" w:rsidRPr="00BA7805" w14:paraId="5BE572C1"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55BFA247" w14:textId="77777777" w:rsidR="005B131E" w:rsidRPr="00BA7805" w:rsidRDefault="005B131E" w:rsidP="002542E1">
            <w:pPr>
              <w:pStyle w:val="ARfintablebody"/>
              <w:spacing w:before="10" w:after="10"/>
              <w:rPr>
                <w:highlight w:val="green"/>
              </w:rPr>
            </w:pPr>
            <w:r w:rsidRPr="00C7408E">
              <w:t>Longer than 1 year and not longer than 5 years</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33C153BD" w14:textId="77777777" w:rsidR="005B131E" w:rsidRPr="00BA7805" w:rsidRDefault="005B131E" w:rsidP="002542E1">
            <w:pPr>
              <w:pStyle w:val="ARfintablebodyright"/>
              <w:spacing w:before="10" w:after="10"/>
              <w:rPr>
                <w:highlight w:val="green"/>
              </w:rPr>
            </w:pPr>
            <w:r>
              <w:t>–</w:t>
            </w:r>
          </w:p>
        </w:tc>
        <w:tc>
          <w:tcPr>
            <w:tcW w:w="1278" w:type="dxa"/>
            <w:tcBorders>
              <w:top w:val="single" w:sz="4" w:space="0" w:color="A6A6A6" w:themeColor="background1" w:themeShade="A6"/>
              <w:bottom w:val="single" w:sz="4" w:space="0" w:color="A6A6A6" w:themeColor="background1" w:themeShade="A6"/>
            </w:tcBorders>
            <w:noWrap/>
          </w:tcPr>
          <w:p w14:paraId="1AB63A40" w14:textId="77777777" w:rsidR="005B131E" w:rsidRPr="00BA7805" w:rsidRDefault="005B131E" w:rsidP="002542E1">
            <w:pPr>
              <w:pStyle w:val="ARfintablebodyright"/>
              <w:spacing w:before="10" w:after="10"/>
              <w:rPr>
                <w:highlight w:val="green"/>
              </w:rPr>
            </w:pPr>
            <w:r>
              <w:t>–</w:t>
            </w:r>
          </w:p>
        </w:tc>
      </w:tr>
      <w:tr w:rsidR="005B131E" w:rsidRPr="00BA7805" w14:paraId="6FDB2F08" w14:textId="77777777" w:rsidTr="002542E1">
        <w:tc>
          <w:tcPr>
            <w:tcW w:w="6941" w:type="dxa"/>
            <w:gridSpan w:val="2"/>
            <w:tcBorders>
              <w:top w:val="single" w:sz="4" w:space="0" w:color="A6A6A6" w:themeColor="background1" w:themeShade="A6"/>
              <w:bottom w:val="single" w:sz="4" w:space="0" w:color="000000" w:themeColor="text1"/>
            </w:tcBorders>
          </w:tcPr>
          <w:p w14:paraId="0C703739" w14:textId="77777777" w:rsidR="005B131E" w:rsidRPr="00BA7805" w:rsidRDefault="005B131E" w:rsidP="002542E1">
            <w:pPr>
              <w:pStyle w:val="ARfintablebody"/>
              <w:spacing w:before="10" w:after="10"/>
              <w:rPr>
                <w:highlight w:val="green"/>
              </w:rPr>
            </w:pPr>
            <w:r w:rsidRPr="00C7408E">
              <w:t>Longer than 5 years</w:t>
            </w:r>
          </w:p>
        </w:tc>
        <w:tc>
          <w:tcPr>
            <w:tcW w:w="1418" w:type="dxa"/>
            <w:tcBorders>
              <w:top w:val="single" w:sz="4" w:space="0" w:color="A6A6A6" w:themeColor="background1" w:themeShade="A6"/>
              <w:bottom w:val="single" w:sz="4" w:space="0" w:color="000000" w:themeColor="text1"/>
            </w:tcBorders>
            <w:shd w:val="clear" w:color="auto" w:fill="E7E6E6" w:themeFill="accent4"/>
            <w:noWrap/>
          </w:tcPr>
          <w:p w14:paraId="480348C5" w14:textId="77777777" w:rsidR="005B131E" w:rsidRPr="00BA7805" w:rsidRDefault="005B131E" w:rsidP="002542E1">
            <w:pPr>
              <w:pStyle w:val="ARfintablebodyright"/>
              <w:spacing w:before="10" w:after="10"/>
              <w:rPr>
                <w:highlight w:val="green"/>
              </w:rPr>
            </w:pPr>
            <w:r>
              <w:t>–</w:t>
            </w:r>
          </w:p>
        </w:tc>
        <w:tc>
          <w:tcPr>
            <w:tcW w:w="1278" w:type="dxa"/>
            <w:tcBorders>
              <w:top w:val="single" w:sz="4" w:space="0" w:color="A6A6A6" w:themeColor="background1" w:themeShade="A6"/>
              <w:bottom w:val="single" w:sz="4" w:space="0" w:color="000000" w:themeColor="text1"/>
            </w:tcBorders>
            <w:noWrap/>
          </w:tcPr>
          <w:p w14:paraId="410B76D9" w14:textId="77777777" w:rsidR="005B131E" w:rsidRPr="00BA7805" w:rsidRDefault="005B131E" w:rsidP="002542E1">
            <w:pPr>
              <w:pStyle w:val="ARfintablebodyright"/>
              <w:spacing w:before="10" w:after="10"/>
              <w:rPr>
                <w:highlight w:val="green"/>
              </w:rPr>
            </w:pPr>
            <w:r>
              <w:t>–</w:t>
            </w:r>
          </w:p>
        </w:tc>
      </w:tr>
      <w:tr w:rsidR="005B131E" w:rsidRPr="00BA7805" w14:paraId="7CE0EDF6" w14:textId="77777777" w:rsidTr="002542E1">
        <w:tc>
          <w:tcPr>
            <w:tcW w:w="6941" w:type="dxa"/>
            <w:gridSpan w:val="2"/>
            <w:tcBorders>
              <w:top w:val="single" w:sz="4" w:space="0" w:color="000000" w:themeColor="text1"/>
              <w:bottom w:val="single" w:sz="4" w:space="0" w:color="000000" w:themeColor="text1"/>
            </w:tcBorders>
          </w:tcPr>
          <w:p w14:paraId="46A83BB2" w14:textId="77777777" w:rsidR="005B131E" w:rsidRPr="00BA7805" w:rsidRDefault="005B131E" w:rsidP="002542E1">
            <w:pPr>
              <w:pStyle w:val="ARfintablebodybold"/>
              <w:spacing w:before="10" w:after="10"/>
              <w:rPr>
                <w:highlight w:val="green"/>
              </w:rPr>
            </w:pPr>
            <w:r w:rsidRPr="00C7408E">
              <w:t>Total accommodation expenses payable</w:t>
            </w:r>
          </w:p>
        </w:tc>
        <w:tc>
          <w:tcPr>
            <w:tcW w:w="1418" w:type="dxa"/>
            <w:tcBorders>
              <w:top w:val="single" w:sz="4" w:space="0" w:color="000000" w:themeColor="text1"/>
              <w:bottom w:val="single" w:sz="4" w:space="0" w:color="000000" w:themeColor="text1"/>
            </w:tcBorders>
            <w:shd w:val="clear" w:color="auto" w:fill="E7E6E6" w:themeFill="accent4"/>
            <w:noWrap/>
          </w:tcPr>
          <w:p w14:paraId="3F06E3D2" w14:textId="77777777" w:rsidR="005B131E" w:rsidRPr="00BA7805" w:rsidRDefault="005B131E" w:rsidP="002542E1">
            <w:pPr>
              <w:pStyle w:val="ARfintablebodyrightbold"/>
              <w:spacing w:before="10" w:after="10"/>
              <w:rPr>
                <w:highlight w:val="green"/>
              </w:rPr>
            </w:pPr>
            <w:r w:rsidRPr="00D7262A">
              <w:t>86.5</w:t>
            </w:r>
          </w:p>
        </w:tc>
        <w:tc>
          <w:tcPr>
            <w:tcW w:w="1278" w:type="dxa"/>
            <w:tcBorders>
              <w:top w:val="single" w:sz="4" w:space="0" w:color="000000" w:themeColor="text1"/>
              <w:bottom w:val="single" w:sz="4" w:space="0" w:color="000000" w:themeColor="text1"/>
            </w:tcBorders>
            <w:noWrap/>
          </w:tcPr>
          <w:p w14:paraId="065EC60F" w14:textId="77777777" w:rsidR="005B131E" w:rsidRPr="00BA7805" w:rsidRDefault="005B131E" w:rsidP="002542E1">
            <w:pPr>
              <w:pStyle w:val="ARfintablebodyrightbold"/>
              <w:spacing w:before="10" w:after="10"/>
              <w:rPr>
                <w:highlight w:val="green"/>
              </w:rPr>
            </w:pPr>
            <w:r w:rsidRPr="00D7262A">
              <w:t>74.1</w:t>
            </w:r>
          </w:p>
        </w:tc>
      </w:tr>
      <w:tr w:rsidR="005B131E" w:rsidRPr="00BA7805" w14:paraId="4E2318EE" w14:textId="77777777" w:rsidTr="002542E1">
        <w:tc>
          <w:tcPr>
            <w:tcW w:w="9637" w:type="dxa"/>
            <w:gridSpan w:val="4"/>
            <w:tcBorders>
              <w:top w:val="single" w:sz="4" w:space="0" w:color="000000" w:themeColor="text1"/>
              <w:bottom w:val="single" w:sz="4" w:space="0" w:color="A6A6A6" w:themeColor="background1" w:themeShade="A6"/>
            </w:tcBorders>
          </w:tcPr>
          <w:p w14:paraId="5C15DF44" w14:textId="77777777" w:rsidR="005B131E" w:rsidRPr="00BA7805" w:rsidRDefault="005B131E" w:rsidP="002542E1">
            <w:pPr>
              <w:pStyle w:val="ARfintablebodybold"/>
              <w:spacing w:before="10" w:after="10"/>
              <w:rPr>
                <w:highlight w:val="green"/>
              </w:rPr>
            </w:pPr>
            <w:r w:rsidRPr="00C7408E">
              <w:t xml:space="preserve">(c) Other operating commitments </w:t>
            </w:r>
          </w:p>
        </w:tc>
      </w:tr>
      <w:tr w:rsidR="005B131E" w:rsidRPr="00BA7805" w14:paraId="73C52A43"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33804B83" w14:textId="77777777" w:rsidR="005B131E" w:rsidRPr="00BA7805" w:rsidRDefault="005B131E" w:rsidP="002542E1">
            <w:pPr>
              <w:pStyle w:val="ARfintablebody"/>
              <w:spacing w:before="10" w:after="10"/>
              <w:rPr>
                <w:highlight w:val="green"/>
              </w:rPr>
            </w:pPr>
            <w:r w:rsidRPr="00C7408E">
              <w:t>Less than 1 year</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5BDDAD64" w14:textId="77777777" w:rsidR="005B131E" w:rsidRPr="00BA7805" w:rsidRDefault="005B131E" w:rsidP="002542E1">
            <w:pPr>
              <w:pStyle w:val="ARfintablebodyright"/>
              <w:spacing w:before="10" w:after="10"/>
              <w:rPr>
                <w:highlight w:val="green"/>
              </w:rPr>
            </w:pPr>
            <w:r w:rsidRPr="00D7262A">
              <w:t>170.5</w:t>
            </w:r>
          </w:p>
        </w:tc>
        <w:tc>
          <w:tcPr>
            <w:tcW w:w="1278" w:type="dxa"/>
            <w:tcBorders>
              <w:top w:val="single" w:sz="4" w:space="0" w:color="A6A6A6" w:themeColor="background1" w:themeShade="A6"/>
              <w:bottom w:val="single" w:sz="4" w:space="0" w:color="A6A6A6" w:themeColor="background1" w:themeShade="A6"/>
            </w:tcBorders>
            <w:noWrap/>
          </w:tcPr>
          <w:p w14:paraId="6251B622" w14:textId="77777777" w:rsidR="005B131E" w:rsidRPr="00BA7805" w:rsidRDefault="005B131E" w:rsidP="002542E1">
            <w:pPr>
              <w:pStyle w:val="ARfintablebodyright"/>
              <w:spacing w:before="10" w:after="10"/>
              <w:rPr>
                <w:highlight w:val="green"/>
              </w:rPr>
            </w:pPr>
            <w:r w:rsidRPr="00D7262A">
              <w:t>294.7</w:t>
            </w:r>
          </w:p>
        </w:tc>
      </w:tr>
      <w:tr w:rsidR="005B131E" w:rsidRPr="00BA7805" w14:paraId="038EB5C5"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6DF34C77" w14:textId="77777777" w:rsidR="005B131E" w:rsidRPr="00BA7805" w:rsidRDefault="005B131E" w:rsidP="002542E1">
            <w:pPr>
              <w:pStyle w:val="ARfintablebody"/>
              <w:spacing w:before="10" w:after="10"/>
              <w:rPr>
                <w:highlight w:val="green"/>
              </w:rPr>
            </w:pPr>
            <w:r w:rsidRPr="00C7408E">
              <w:t>Longer than 1 year and not longer than 5 years</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29C96273" w14:textId="77777777" w:rsidR="005B131E" w:rsidRPr="00BA7805" w:rsidRDefault="005B131E" w:rsidP="002542E1">
            <w:pPr>
              <w:pStyle w:val="ARfintablebodyright"/>
              <w:spacing w:before="10" w:after="10"/>
              <w:rPr>
                <w:highlight w:val="green"/>
              </w:rPr>
            </w:pPr>
            <w:r w:rsidRPr="00D7262A">
              <w:t>24.5</w:t>
            </w:r>
          </w:p>
        </w:tc>
        <w:tc>
          <w:tcPr>
            <w:tcW w:w="1278" w:type="dxa"/>
            <w:tcBorders>
              <w:top w:val="single" w:sz="4" w:space="0" w:color="A6A6A6" w:themeColor="background1" w:themeShade="A6"/>
              <w:bottom w:val="single" w:sz="4" w:space="0" w:color="A6A6A6" w:themeColor="background1" w:themeShade="A6"/>
            </w:tcBorders>
            <w:noWrap/>
          </w:tcPr>
          <w:p w14:paraId="2DD29AF0" w14:textId="77777777" w:rsidR="005B131E" w:rsidRPr="00BA7805" w:rsidRDefault="005B131E" w:rsidP="002542E1">
            <w:pPr>
              <w:pStyle w:val="ARfintablebodyright"/>
              <w:spacing w:before="10" w:after="10"/>
              <w:rPr>
                <w:highlight w:val="green"/>
              </w:rPr>
            </w:pPr>
            <w:r w:rsidRPr="00D7262A">
              <w:t>8.6</w:t>
            </w:r>
          </w:p>
        </w:tc>
      </w:tr>
      <w:tr w:rsidR="005B131E" w:rsidRPr="00BA7805" w14:paraId="6F84702C" w14:textId="77777777" w:rsidTr="002542E1">
        <w:tc>
          <w:tcPr>
            <w:tcW w:w="6941" w:type="dxa"/>
            <w:gridSpan w:val="2"/>
            <w:tcBorders>
              <w:top w:val="single" w:sz="4" w:space="0" w:color="A6A6A6" w:themeColor="background1" w:themeShade="A6"/>
              <w:bottom w:val="single" w:sz="4" w:space="0" w:color="000000" w:themeColor="text1"/>
            </w:tcBorders>
          </w:tcPr>
          <w:p w14:paraId="14DFEC1C" w14:textId="77777777" w:rsidR="005B131E" w:rsidRPr="00BA7805" w:rsidRDefault="005B131E" w:rsidP="002542E1">
            <w:pPr>
              <w:pStyle w:val="ARfintablebody"/>
              <w:spacing w:before="10" w:after="10"/>
              <w:rPr>
                <w:highlight w:val="green"/>
              </w:rPr>
            </w:pPr>
            <w:r w:rsidRPr="00C7408E">
              <w:t>Longer than 5 years</w:t>
            </w:r>
          </w:p>
        </w:tc>
        <w:tc>
          <w:tcPr>
            <w:tcW w:w="1418" w:type="dxa"/>
            <w:tcBorders>
              <w:top w:val="single" w:sz="4" w:space="0" w:color="A6A6A6" w:themeColor="background1" w:themeShade="A6"/>
              <w:bottom w:val="single" w:sz="4" w:space="0" w:color="000000" w:themeColor="text1"/>
            </w:tcBorders>
            <w:shd w:val="clear" w:color="auto" w:fill="E7E6E6" w:themeFill="accent4"/>
            <w:noWrap/>
          </w:tcPr>
          <w:p w14:paraId="6D71A1B8" w14:textId="77777777" w:rsidR="005B131E" w:rsidRPr="00BA7805" w:rsidRDefault="005B131E" w:rsidP="002542E1">
            <w:pPr>
              <w:pStyle w:val="ARfintablebodyright"/>
              <w:spacing w:before="10" w:after="10"/>
              <w:rPr>
                <w:highlight w:val="green"/>
              </w:rPr>
            </w:pPr>
            <w:r>
              <w:t>–</w:t>
            </w:r>
          </w:p>
        </w:tc>
        <w:tc>
          <w:tcPr>
            <w:tcW w:w="1278" w:type="dxa"/>
            <w:tcBorders>
              <w:top w:val="single" w:sz="4" w:space="0" w:color="A6A6A6" w:themeColor="background1" w:themeShade="A6"/>
              <w:bottom w:val="single" w:sz="4" w:space="0" w:color="000000" w:themeColor="text1"/>
            </w:tcBorders>
            <w:noWrap/>
          </w:tcPr>
          <w:p w14:paraId="3B560ED9" w14:textId="77777777" w:rsidR="005B131E" w:rsidRPr="00BA7805" w:rsidRDefault="005B131E" w:rsidP="002542E1">
            <w:pPr>
              <w:pStyle w:val="ARfintablebodyright"/>
              <w:spacing w:before="10" w:after="10"/>
              <w:rPr>
                <w:highlight w:val="green"/>
              </w:rPr>
            </w:pPr>
            <w:r>
              <w:t>–</w:t>
            </w:r>
          </w:p>
        </w:tc>
      </w:tr>
      <w:tr w:rsidR="005B131E" w:rsidRPr="00BA7805" w14:paraId="50C31CC3" w14:textId="77777777" w:rsidTr="002542E1">
        <w:tc>
          <w:tcPr>
            <w:tcW w:w="6941" w:type="dxa"/>
            <w:gridSpan w:val="2"/>
            <w:tcBorders>
              <w:top w:val="single" w:sz="4" w:space="0" w:color="000000" w:themeColor="text1"/>
              <w:bottom w:val="single" w:sz="4" w:space="0" w:color="000000" w:themeColor="text1"/>
            </w:tcBorders>
          </w:tcPr>
          <w:p w14:paraId="46D043EA" w14:textId="77777777" w:rsidR="005B131E" w:rsidRPr="00BA7805" w:rsidRDefault="005B131E" w:rsidP="002542E1">
            <w:pPr>
              <w:pStyle w:val="ARfintablebodybold"/>
              <w:spacing w:before="10" w:after="10"/>
              <w:rPr>
                <w:highlight w:val="green"/>
              </w:rPr>
            </w:pPr>
            <w:r w:rsidRPr="00C7408E">
              <w:t>Total other operating commitments</w:t>
            </w:r>
          </w:p>
        </w:tc>
        <w:tc>
          <w:tcPr>
            <w:tcW w:w="1418" w:type="dxa"/>
            <w:tcBorders>
              <w:top w:val="single" w:sz="4" w:space="0" w:color="000000" w:themeColor="text1"/>
              <w:bottom w:val="single" w:sz="4" w:space="0" w:color="000000" w:themeColor="text1"/>
            </w:tcBorders>
            <w:shd w:val="clear" w:color="auto" w:fill="E7E6E6" w:themeFill="accent4"/>
            <w:noWrap/>
          </w:tcPr>
          <w:p w14:paraId="3ECA52A2" w14:textId="77777777" w:rsidR="005B131E" w:rsidRPr="00BA7805" w:rsidRDefault="005B131E" w:rsidP="002542E1">
            <w:pPr>
              <w:pStyle w:val="ARfintablebodyrightbold"/>
              <w:spacing w:before="10" w:after="10"/>
              <w:rPr>
                <w:highlight w:val="green"/>
              </w:rPr>
            </w:pPr>
            <w:r w:rsidRPr="00D7262A">
              <w:t>195.0</w:t>
            </w:r>
          </w:p>
        </w:tc>
        <w:tc>
          <w:tcPr>
            <w:tcW w:w="1278" w:type="dxa"/>
            <w:tcBorders>
              <w:top w:val="single" w:sz="4" w:space="0" w:color="000000" w:themeColor="text1"/>
              <w:bottom w:val="single" w:sz="4" w:space="0" w:color="000000" w:themeColor="text1"/>
            </w:tcBorders>
            <w:noWrap/>
          </w:tcPr>
          <w:p w14:paraId="72D0D688" w14:textId="77777777" w:rsidR="005B131E" w:rsidRPr="00BA7805" w:rsidRDefault="005B131E" w:rsidP="002542E1">
            <w:pPr>
              <w:pStyle w:val="ARfintablebodyrightbold"/>
              <w:spacing w:before="10" w:after="10"/>
              <w:rPr>
                <w:highlight w:val="green"/>
              </w:rPr>
            </w:pPr>
            <w:r w:rsidRPr="00D7262A">
              <w:t>303.3</w:t>
            </w:r>
          </w:p>
        </w:tc>
      </w:tr>
      <w:tr w:rsidR="005B131E" w:rsidRPr="00BA7805" w14:paraId="1051B263" w14:textId="77777777" w:rsidTr="002542E1">
        <w:tc>
          <w:tcPr>
            <w:tcW w:w="9637" w:type="dxa"/>
            <w:gridSpan w:val="4"/>
            <w:tcBorders>
              <w:top w:val="single" w:sz="4" w:space="0" w:color="000000" w:themeColor="text1"/>
              <w:bottom w:val="single" w:sz="4" w:space="0" w:color="A6A6A6" w:themeColor="background1" w:themeShade="A6"/>
            </w:tcBorders>
          </w:tcPr>
          <w:p w14:paraId="68333A55" w14:textId="77777777" w:rsidR="005B131E" w:rsidRPr="00BA7805" w:rsidRDefault="005B131E" w:rsidP="002542E1">
            <w:pPr>
              <w:pStyle w:val="ARfintablebodybold"/>
              <w:spacing w:before="10" w:after="10"/>
              <w:rPr>
                <w:highlight w:val="green"/>
              </w:rPr>
            </w:pPr>
            <w:r w:rsidRPr="00C7408E">
              <w:t xml:space="preserve">(d) Grant and other expense transfers to NGO </w:t>
            </w:r>
            <w:r w:rsidRPr="00E85DBE">
              <w:rPr>
                <w:vertAlign w:val="superscript"/>
              </w:rPr>
              <w:t>(i)</w:t>
            </w:r>
          </w:p>
        </w:tc>
      </w:tr>
      <w:tr w:rsidR="005B131E" w:rsidRPr="00BA7805" w14:paraId="57ED9B97"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29353BD6" w14:textId="77777777" w:rsidR="005B131E" w:rsidRPr="00BA7805" w:rsidRDefault="005B131E" w:rsidP="002542E1">
            <w:pPr>
              <w:pStyle w:val="ARfintablebody"/>
              <w:spacing w:before="10" w:after="10"/>
              <w:rPr>
                <w:highlight w:val="green"/>
              </w:rPr>
            </w:pPr>
            <w:r w:rsidRPr="00C7408E">
              <w:t>Less than 1 year</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7A45393C" w14:textId="77777777" w:rsidR="005B131E" w:rsidRPr="00BA7805" w:rsidRDefault="005B131E" w:rsidP="002542E1">
            <w:pPr>
              <w:pStyle w:val="ARfintablebodyright"/>
              <w:spacing w:before="10" w:after="10"/>
              <w:rPr>
                <w:highlight w:val="green"/>
              </w:rPr>
            </w:pPr>
            <w:r w:rsidRPr="00D7262A">
              <w:t>593.1</w:t>
            </w:r>
          </w:p>
        </w:tc>
        <w:tc>
          <w:tcPr>
            <w:tcW w:w="1278" w:type="dxa"/>
            <w:tcBorders>
              <w:top w:val="single" w:sz="4" w:space="0" w:color="A6A6A6" w:themeColor="background1" w:themeShade="A6"/>
              <w:bottom w:val="single" w:sz="4" w:space="0" w:color="A6A6A6" w:themeColor="background1" w:themeShade="A6"/>
            </w:tcBorders>
            <w:noWrap/>
          </w:tcPr>
          <w:p w14:paraId="4CB1B15A" w14:textId="77777777" w:rsidR="005B131E" w:rsidRPr="00BA7805" w:rsidRDefault="005B131E" w:rsidP="002542E1">
            <w:pPr>
              <w:pStyle w:val="ARfintablebodyright"/>
              <w:spacing w:before="10" w:after="10"/>
              <w:rPr>
                <w:highlight w:val="green"/>
              </w:rPr>
            </w:pPr>
            <w:r w:rsidRPr="00D7262A">
              <w:t>965.5</w:t>
            </w:r>
          </w:p>
        </w:tc>
      </w:tr>
      <w:tr w:rsidR="005B131E" w:rsidRPr="00BA7805" w14:paraId="5529C36E"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5176DE26" w14:textId="77777777" w:rsidR="005B131E" w:rsidRPr="00BA7805" w:rsidRDefault="005B131E" w:rsidP="002542E1">
            <w:pPr>
              <w:pStyle w:val="ARfintablebody"/>
              <w:spacing w:before="10" w:after="10"/>
              <w:rPr>
                <w:highlight w:val="green"/>
              </w:rPr>
            </w:pPr>
            <w:r w:rsidRPr="00C7408E">
              <w:t>Longer than 1 year and not longer than 5 years</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58354007" w14:textId="77777777" w:rsidR="005B131E" w:rsidRPr="00BA7805" w:rsidRDefault="005B131E" w:rsidP="002542E1">
            <w:pPr>
              <w:pStyle w:val="ARfintablebodyright"/>
              <w:spacing w:before="10" w:after="10"/>
              <w:rPr>
                <w:highlight w:val="green"/>
              </w:rPr>
            </w:pPr>
            <w:r w:rsidRPr="00D7262A">
              <w:t>67.3</w:t>
            </w:r>
          </w:p>
        </w:tc>
        <w:tc>
          <w:tcPr>
            <w:tcW w:w="1278" w:type="dxa"/>
            <w:tcBorders>
              <w:top w:val="single" w:sz="4" w:space="0" w:color="A6A6A6" w:themeColor="background1" w:themeShade="A6"/>
              <w:bottom w:val="single" w:sz="4" w:space="0" w:color="A6A6A6" w:themeColor="background1" w:themeShade="A6"/>
            </w:tcBorders>
            <w:noWrap/>
          </w:tcPr>
          <w:p w14:paraId="0DE63FC9" w14:textId="77777777" w:rsidR="005B131E" w:rsidRPr="00BA7805" w:rsidRDefault="005B131E" w:rsidP="002542E1">
            <w:pPr>
              <w:pStyle w:val="ARfintablebodyright"/>
              <w:spacing w:before="10" w:after="10"/>
              <w:rPr>
                <w:highlight w:val="green"/>
              </w:rPr>
            </w:pPr>
            <w:r w:rsidRPr="00D7262A">
              <w:t>8.9</w:t>
            </w:r>
          </w:p>
        </w:tc>
      </w:tr>
      <w:tr w:rsidR="005B131E" w:rsidRPr="00BA7805" w14:paraId="17A40F05" w14:textId="77777777" w:rsidTr="002542E1">
        <w:tc>
          <w:tcPr>
            <w:tcW w:w="6941" w:type="dxa"/>
            <w:gridSpan w:val="2"/>
            <w:tcBorders>
              <w:top w:val="single" w:sz="4" w:space="0" w:color="A6A6A6" w:themeColor="background1" w:themeShade="A6"/>
              <w:bottom w:val="single" w:sz="4" w:space="0" w:color="000000" w:themeColor="text1"/>
            </w:tcBorders>
          </w:tcPr>
          <w:p w14:paraId="3E3B42C1" w14:textId="77777777" w:rsidR="005B131E" w:rsidRPr="00BA7805" w:rsidRDefault="005B131E" w:rsidP="002542E1">
            <w:pPr>
              <w:pStyle w:val="ARfintablebody"/>
              <w:spacing w:before="10" w:after="10"/>
              <w:rPr>
                <w:highlight w:val="green"/>
              </w:rPr>
            </w:pPr>
            <w:r w:rsidRPr="00C7408E">
              <w:t>Longer than 5 years</w:t>
            </w:r>
          </w:p>
        </w:tc>
        <w:tc>
          <w:tcPr>
            <w:tcW w:w="1418" w:type="dxa"/>
            <w:tcBorders>
              <w:top w:val="single" w:sz="4" w:space="0" w:color="A6A6A6" w:themeColor="background1" w:themeShade="A6"/>
              <w:bottom w:val="single" w:sz="4" w:space="0" w:color="000000" w:themeColor="text1"/>
            </w:tcBorders>
            <w:shd w:val="clear" w:color="auto" w:fill="E7E6E6" w:themeFill="accent4"/>
            <w:noWrap/>
          </w:tcPr>
          <w:p w14:paraId="027CC042" w14:textId="77777777" w:rsidR="005B131E" w:rsidRPr="00BA7805" w:rsidRDefault="005B131E" w:rsidP="002542E1">
            <w:pPr>
              <w:pStyle w:val="ARfintablebodyright"/>
              <w:spacing w:before="10" w:after="10"/>
              <w:rPr>
                <w:highlight w:val="green"/>
              </w:rPr>
            </w:pPr>
            <w:r w:rsidRPr="00D7262A">
              <w:t>243.5</w:t>
            </w:r>
          </w:p>
        </w:tc>
        <w:tc>
          <w:tcPr>
            <w:tcW w:w="1278" w:type="dxa"/>
            <w:tcBorders>
              <w:top w:val="single" w:sz="4" w:space="0" w:color="A6A6A6" w:themeColor="background1" w:themeShade="A6"/>
              <w:bottom w:val="single" w:sz="4" w:space="0" w:color="000000" w:themeColor="text1"/>
            </w:tcBorders>
            <w:noWrap/>
          </w:tcPr>
          <w:p w14:paraId="06E844CD" w14:textId="77777777" w:rsidR="005B131E" w:rsidRPr="00BA7805" w:rsidRDefault="005B131E" w:rsidP="002542E1">
            <w:pPr>
              <w:pStyle w:val="ARfintablebodyright"/>
              <w:spacing w:before="10" w:after="10"/>
              <w:rPr>
                <w:highlight w:val="green"/>
              </w:rPr>
            </w:pPr>
            <w:r>
              <w:t>–</w:t>
            </w:r>
          </w:p>
        </w:tc>
      </w:tr>
      <w:tr w:rsidR="005B131E" w:rsidRPr="00BA7805" w14:paraId="0DF2791E" w14:textId="77777777" w:rsidTr="002542E1">
        <w:tc>
          <w:tcPr>
            <w:tcW w:w="6941" w:type="dxa"/>
            <w:gridSpan w:val="2"/>
            <w:tcBorders>
              <w:top w:val="single" w:sz="4" w:space="0" w:color="000000" w:themeColor="text1"/>
              <w:bottom w:val="single" w:sz="4" w:space="0" w:color="000000" w:themeColor="text1"/>
            </w:tcBorders>
          </w:tcPr>
          <w:p w14:paraId="0BE0F32D" w14:textId="77777777" w:rsidR="005B131E" w:rsidRPr="00FA2C43" w:rsidRDefault="005B131E" w:rsidP="002542E1">
            <w:pPr>
              <w:pStyle w:val="ARfintablebodybold"/>
              <w:spacing w:before="10" w:after="10"/>
              <w:rPr>
                <w:highlight w:val="green"/>
              </w:rPr>
            </w:pPr>
            <w:r w:rsidRPr="00FA2C43">
              <w:t>Total grant and other expense transfers to NGO</w:t>
            </w:r>
          </w:p>
        </w:tc>
        <w:tc>
          <w:tcPr>
            <w:tcW w:w="1418" w:type="dxa"/>
            <w:tcBorders>
              <w:top w:val="single" w:sz="4" w:space="0" w:color="000000" w:themeColor="text1"/>
              <w:bottom w:val="single" w:sz="4" w:space="0" w:color="000000" w:themeColor="text1"/>
            </w:tcBorders>
            <w:shd w:val="clear" w:color="auto" w:fill="E7E6E6" w:themeFill="accent4"/>
            <w:noWrap/>
          </w:tcPr>
          <w:p w14:paraId="4FDDAAB3" w14:textId="77777777" w:rsidR="005B131E" w:rsidRPr="00FA2C43" w:rsidRDefault="005B131E" w:rsidP="002542E1">
            <w:pPr>
              <w:pStyle w:val="ARfintablebodyrightbold"/>
              <w:spacing w:before="10" w:after="10"/>
              <w:rPr>
                <w:highlight w:val="green"/>
              </w:rPr>
            </w:pPr>
            <w:r>
              <w:rPr>
                <w:bCs/>
              </w:rPr>
              <w:t>903.9</w:t>
            </w:r>
          </w:p>
        </w:tc>
        <w:tc>
          <w:tcPr>
            <w:tcW w:w="1278" w:type="dxa"/>
            <w:tcBorders>
              <w:top w:val="single" w:sz="4" w:space="0" w:color="000000" w:themeColor="text1"/>
              <w:bottom w:val="single" w:sz="4" w:space="0" w:color="000000" w:themeColor="text1"/>
            </w:tcBorders>
            <w:noWrap/>
          </w:tcPr>
          <w:p w14:paraId="05EA70B5" w14:textId="77777777" w:rsidR="005B131E" w:rsidRPr="00FA2C43" w:rsidRDefault="005B131E" w:rsidP="002542E1">
            <w:pPr>
              <w:pStyle w:val="ARfintablebodyright"/>
              <w:spacing w:before="10" w:after="10"/>
              <w:rPr>
                <w:b/>
                <w:highlight w:val="green"/>
              </w:rPr>
            </w:pPr>
            <w:r w:rsidRPr="00FA2C43">
              <w:rPr>
                <w:b/>
              </w:rPr>
              <w:t>974.4</w:t>
            </w:r>
          </w:p>
        </w:tc>
      </w:tr>
      <w:tr w:rsidR="005B131E" w:rsidRPr="00BA7805" w14:paraId="242C9C0E" w14:textId="77777777" w:rsidTr="002542E1">
        <w:tc>
          <w:tcPr>
            <w:tcW w:w="6941" w:type="dxa"/>
            <w:gridSpan w:val="2"/>
            <w:tcBorders>
              <w:top w:val="single" w:sz="4" w:space="0" w:color="000000" w:themeColor="text1"/>
              <w:bottom w:val="single" w:sz="4" w:space="0" w:color="000000" w:themeColor="text1"/>
            </w:tcBorders>
          </w:tcPr>
          <w:p w14:paraId="2A1D3191" w14:textId="77777777" w:rsidR="005B131E" w:rsidRPr="00BA7805" w:rsidRDefault="005B131E" w:rsidP="002542E1">
            <w:pPr>
              <w:pStyle w:val="ARfintablebodybold"/>
              <w:spacing w:before="10" w:after="10"/>
              <w:rPr>
                <w:highlight w:val="green"/>
              </w:rPr>
            </w:pPr>
            <w:r w:rsidRPr="00C7408E">
              <w:t>Total commitments other than SCA commitments</w:t>
            </w:r>
          </w:p>
        </w:tc>
        <w:tc>
          <w:tcPr>
            <w:tcW w:w="1418" w:type="dxa"/>
            <w:tcBorders>
              <w:top w:val="single" w:sz="4" w:space="0" w:color="000000" w:themeColor="text1"/>
              <w:bottom w:val="single" w:sz="4" w:space="0" w:color="000000" w:themeColor="text1"/>
            </w:tcBorders>
            <w:shd w:val="clear" w:color="auto" w:fill="E7E6E6" w:themeFill="accent4"/>
            <w:noWrap/>
          </w:tcPr>
          <w:p w14:paraId="3D034DF6" w14:textId="77777777" w:rsidR="005B131E" w:rsidRPr="00BA7805" w:rsidRDefault="005B131E" w:rsidP="002542E1">
            <w:pPr>
              <w:pStyle w:val="ARfintablebodyrightbold"/>
              <w:spacing w:before="10" w:after="10"/>
              <w:rPr>
                <w:highlight w:val="green"/>
              </w:rPr>
            </w:pPr>
            <w:r w:rsidRPr="00D7262A">
              <w:t>1,433.2</w:t>
            </w:r>
          </w:p>
        </w:tc>
        <w:tc>
          <w:tcPr>
            <w:tcW w:w="1278" w:type="dxa"/>
            <w:tcBorders>
              <w:top w:val="single" w:sz="4" w:space="0" w:color="000000" w:themeColor="text1"/>
              <w:bottom w:val="single" w:sz="4" w:space="0" w:color="000000" w:themeColor="text1"/>
            </w:tcBorders>
            <w:noWrap/>
          </w:tcPr>
          <w:p w14:paraId="42D29861" w14:textId="77777777" w:rsidR="005B131E" w:rsidRPr="00BA7805" w:rsidRDefault="005B131E" w:rsidP="002542E1">
            <w:pPr>
              <w:pStyle w:val="ARfintablebodyrightbold"/>
              <w:spacing w:before="10" w:after="10"/>
              <w:rPr>
                <w:highlight w:val="green"/>
              </w:rPr>
            </w:pPr>
            <w:r w:rsidRPr="00D7262A">
              <w:t>1,782.1</w:t>
            </w:r>
          </w:p>
        </w:tc>
      </w:tr>
      <w:tr w:rsidR="005B131E" w:rsidRPr="00BA7805" w14:paraId="5CD77427" w14:textId="77777777" w:rsidTr="002542E1">
        <w:tc>
          <w:tcPr>
            <w:tcW w:w="9637" w:type="dxa"/>
            <w:gridSpan w:val="4"/>
            <w:tcBorders>
              <w:top w:val="single" w:sz="4" w:space="0" w:color="000000" w:themeColor="text1"/>
              <w:bottom w:val="single" w:sz="4" w:space="0" w:color="A6A6A6" w:themeColor="background1" w:themeShade="A6"/>
            </w:tcBorders>
          </w:tcPr>
          <w:p w14:paraId="5E6B7E41" w14:textId="77777777" w:rsidR="005B131E" w:rsidRPr="00BA7805" w:rsidRDefault="005B131E" w:rsidP="002542E1">
            <w:pPr>
              <w:pStyle w:val="ARfintablebodybold"/>
              <w:spacing w:before="10" w:after="10"/>
              <w:rPr>
                <w:highlight w:val="green"/>
              </w:rPr>
            </w:pPr>
            <w:r w:rsidRPr="00C7408E">
              <w:t>(e) SCA commitments</w:t>
            </w:r>
            <w:r>
              <w:t xml:space="preserve"> </w:t>
            </w:r>
            <w:r w:rsidRPr="0046119E">
              <w:rPr>
                <w:vertAlign w:val="superscript"/>
              </w:rPr>
              <w:t>(ii)</w:t>
            </w:r>
          </w:p>
        </w:tc>
      </w:tr>
      <w:tr w:rsidR="005B131E" w:rsidRPr="00BA7805" w14:paraId="33A02F35"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508FF5A0" w14:textId="77777777" w:rsidR="005B131E" w:rsidRPr="001F08B4" w:rsidRDefault="005B131E" w:rsidP="002542E1">
            <w:pPr>
              <w:pStyle w:val="ARfintablebodybold"/>
              <w:spacing w:before="10" w:after="10"/>
              <w:rPr>
                <w:highlight w:val="green"/>
              </w:rPr>
            </w:pPr>
            <w:r w:rsidRPr="001F08B4">
              <w:t>Ground Lease Model 1 – Public Housing Renewal Program</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3DCEE5D3" w14:textId="77777777" w:rsidR="005B131E" w:rsidRPr="00BA7805" w:rsidRDefault="005B131E" w:rsidP="002542E1">
            <w:pPr>
              <w:pStyle w:val="ARfintablebodyrightbold"/>
              <w:spacing w:before="10" w:after="10"/>
              <w:rPr>
                <w:highlight w:val="green"/>
              </w:rPr>
            </w:pPr>
          </w:p>
        </w:tc>
        <w:tc>
          <w:tcPr>
            <w:tcW w:w="1278" w:type="dxa"/>
            <w:tcBorders>
              <w:top w:val="single" w:sz="4" w:space="0" w:color="A6A6A6" w:themeColor="background1" w:themeShade="A6"/>
              <w:bottom w:val="single" w:sz="4" w:space="0" w:color="A6A6A6" w:themeColor="background1" w:themeShade="A6"/>
            </w:tcBorders>
            <w:noWrap/>
          </w:tcPr>
          <w:p w14:paraId="45539C4E" w14:textId="77777777" w:rsidR="005B131E" w:rsidRPr="00BA7805" w:rsidRDefault="005B131E" w:rsidP="002542E1">
            <w:pPr>
              <w:pStyle w:val="ARfintablebodyrightbold"/>
              <w:spacing w:before="10" w:after="10"/>
              <w:rPr>
                <w:highlight w:val="green"/>
              </w:rPr>
            </w:pPr>
          </w:p>
        </w:tc>
      </w:tr>
      <w:tr w:rsidR="005B131E" w:rsidRPr="00BA7805" w14:paraId="679E671E"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233FDA0D" w14:textId="77777777" w:rsidR="005B131E" w:rsidRPr="00BA7805" w:rsidRDefault="005B131E" w:rsidP="002542E1">
            <w:pPr>
              <w:pStyle w:val="ARfintablebody"/>
              <w:spacing w:before="10" w:after="10"/>
              <w:rPr>
                <w:highlight w:val="green"/>
              </w:rPr>
            </w:pPr>
            <w:r w:rsidRPr="00C7408E">
              <w:t>Less than 1 year</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639CD75F" w14:textId="77777777" w:rsidR="005B131E" w:rsidRPr="00BA7805" w:rsidRDefault="005B131E" w:rsidP="002542E1">
            <w:pPr>
              <w:pStyle w:val="ARfintablebodyright"/>
              <w:spacing w:before="10" w:after="10"/>
              <w:rPr>
                <w:highlight w:val="green"/>
              </w:rPr>
            </w:pPr>
            <w:r>
              <w:t>0.3</w:t>
            </w:r>
          </w:p>
        </w:tc>
        <w:tc>
          <w:tcPr>
            <w:tcW w:w="1278" w:type="dxa"/>
            <w:tcBorders>
              <w:top w:val="single" w:sz="4" w:space="0" w:color="A6A6A6" w:themeColor="background1" w:themeShade="A6"/>
              <w:bottom w:val="single" w:sz="4" w:space="0" w:color="A6A6A6" w:themeColor="background1" w:themeShade="A6"/>
            </w:tcBorders>
            <w:noWrap/>
          </w:tcPr>
          <w:p w14:paraId="12FF4FA0" w14:textId="77777777" w:rsidR="005B131E" w:rsidRPr="00BA7805" w:rsidRDefault="005B131E" w:rsidP="002542E1">
            <w:pPr>
              <w:pStyle w:val="ARfintablebodyright"/>
              <w:spacing w:before="10" w:after="10"/>
              <w:rPr>
                <w:highlight w:val="green"/>
              </w:rPr>
            </w:pPr>
            <w:r w:rsidRPr="00D7262A">
              <w:t>8.8</w:t>
            </w:r>
          </w:p>
        </w:tc>
      </w:tr>
      <w:tr w:rsidR="005B131E" w:rsidRPr="00BA7805" w14:paraId="02685388"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42E6DA5E" w14:textId="77777777" w:rsidR="005B131E" w:rsidRPr="00BA7805" w:rsidRDefault="005B131E" w:rsidP="002542E1">
            <w:pPr>
              <w:pStyle w:val="ARfintablebody"/>
              <w:spacing w:before="10" w:after="10"/>
              <w:rPr>
                <w:highlight w:val="green"/>
              </w:rPr>
            </w:pPr>
            <w:r w:rsidRPr="00C7408E">
              <w:t>Longer than 1 year and not longer than 5 years</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2D541447" w14:textId="77777777" w:rsidR="005B131E" w:rsidRPr="00BA7805" w:rsidRDefault="005B131E" w:rsidP="002542E1">
            <w:pPr>
              <w:pStyle w:val="ARfintablebodyright"/>
              <w:spacing w:before="10" w:after="10"/>
              <w:rPr>
                <w:highlight w:val="green"/>
              </w:rPr>
            </w:pPr>
            <w:r>
              <w:t>1.2</w:t>
            </w:r>
          </w:p>
        </w:tc>
        <w:tc>
          <w:tcPr>
            <w:tcW w:w="1278" w:type="dxa"/>
            <w:tcBorders>
              <w:top w:val="single" w:sz="4" w:space="0" w:color="A6A6A6" w:themeColor="background1" w:themeShade="A6"/>
              <w:bottom w:val="single" w:sz="4" w:space="0" w:color="A6A6A6" w:themeColor="background1" w:themeShade="A6"/>
            </w:tcBorders>
            <w:noWrap/>
          </w:tcPr>
          <w:p w14:paraId="0D9AB041" w14:textId="77777777" w:rsidR="005B131E" w:rsidRPr="00BA7805" w:rsidRDefault="005B131E" w:rsidP="002542E1">
            <w:pPr>
              <w:pStyle w:val="ARfintablebodyright"/>
              <w:spacing w:before="10" w:after="10"/>
              <w:rPr>
                <w:highlight w:val="green"/>
              </w:rPr>
            </w:pPr>
            <w:r w:rsidRPr="00D7262A">
              <w:t>57.0</w:t>
            </w:r>
          </w:p>
        </w:tc>
      </w:tr>
      <w:tr w:rsidR="005B131E" w:rsidRPr="00BA7805" w14:paraId="40B8E5DB" w14:textId="77777777" w:rsidTr="002542E1">
        <w:tc>
          <w:tcPr>
            <w:tcW w:w="6941" w:type="dxa"/>
            <w:gridSpan w:val="2"/>
            <w:tcBorders>
              <w:top w:val="single" w:sz="4" w:space="0" w:color="A6A6A6" w:themeColor="background1" w:themeShade="A6"/>
              <w:bottom w:val="single" w:sz="4" w:space="0" w:color="000000" w:themeColor="text1"/>
            </w:tcBorders>
          </w:tcPr>
          <w:p w14:paraId="7759386F" w14:textId="77777777" w:rsidR="005B131E" w:rsidRPr="00BA7805" w:rsidRDefault="005B131E" w:rsidP="002542E1">
            <w:pPr>
              <w:pStyle w:val="ARfintablebody"/>
              <w:spacing w:before="10" w:after="10"/>
              <w:rPr>
                <w:highlight w:val="green"/>
              </w:rPr>
            </w:pPr>
            <w:r w:rsidRPr="00C7408E">
              <w:t>Longer than 5 years</w:t>
            </w:r>
          </w:p>
        </w:tc>
        <w:tc>
          <w:tcPr>
            <w:tcW w:w="1418" w:type="dxa"/>
            <w:tcBorders>
              <w:top w:val="single" w:sz="4" w:space="0" w:color="A6A6A6" w:themeColor="background1" w:themeShade="A6"/>
              <w:bottom w:val="single" w:sz="4" w:space="0" w:color="000000" w:themeColor="text1"/>
            </w:tcBorders>
            <w:shd w:val="clear" w:color="auto" w:fill="E7E6E6" w:themeFill="accent4"/>
            <w:noWrap/>
          </w:tcPr>
          <w:p w14:paraId="34D6E4BA" w14:textId="77777777" w:rsidR="005B131E" w:rsidRPr="00BA7805" w:rsidRDefault="005B131E" w:rsidP="002542E1">
            <w:pPr>
              <w:pStyle w:val="ARfintablebodyright"/>
              <w:spacing w:before="10" w:after="10"/>
              <w:rPr>
                <w:highlight w:val="green"/>
              </w:rPr>
            </w:pPr>
            <w:r>
              <w:t>140.3</w:t>
            </w:r>
          </w:p>
        </w:tc>
        <w:tc>
          <w:tcPr>
            <w:tcW w:w="1278" w:type="dxa"/>
            <w:tcBorders>
              <w:top w:val="single" w:sz="4" w:space="0" w:color="A6A6A6" w:themeColor="background1" w:themeShade="A6"/>
              <w:bottom w:val="single" w:sz="4" w:space="0" w:color="000000" w:themeColor="text1"/>
            </w:tcBorders>
            <w:noWrap/>
          </w:tcPr>
          <w:p w14:paraId="33117B6D" w14:textId="77777777" w:rsidR="005B131E" w:rsidRPr="00BA7805" w:rsidRDefault="005B131E" w:rsidP="002542E1">
            <w:pPr>
              <w:pStyle w:val="ARfintablebodyright"/>
              <w:spacing w:before="10" w:after="10"/>
              <w:rPr>
                <w:highlight w:val="green"/>
              </w:rPr>
            </w:pPr>
            <w:r w:rsidRPr="00D7262A">
              <w:t>636.4</w:t>
            </w:r>
          </w:p>
        </w:tc>
      </w:tr>
      <w:tr w:rsidR="005B131E" w:rsidRPr="00BA7805" w14:paraId="6EF441BD" w14:textId="77777777" w:rsidTr="002542E1">
        <w:tc>
          <w:tcPr>
            <w:tcW w:w="6941" w:type="dxa"/>
            <w:gridSpan w:val="2"/>
            <w:tcBorders>
              <w:top w:val="single" w:sz="4" w:space="0" w:color="000000" w:themeColor="text1"/>
              <w:bottom w:val="single" w:sz="4" w:space="0" w:color="000000" w:themeColor="text1"/>
            </w:tcBorders>
          </w:tcPr>
          <w:p w14:paraId="1056D38F" w14:textId="77777777" w:rsidR="005B131E" w:rsidRPr="00BA7805" w:rsidRDefault="005B131E" w:rsidP="002542E1">
            <w:pPr>
              <w:pStyle w:val="ARfintablebodybold"/>
              <w:spacing w:before="10" w:after="10"/>
              <w:rPr>
                <w:highlight w:val="green"/>
              </w:rPr>
            </w:pPr>
            <w:r w:rsidRPr="00C7408E">
              <w:t xml:space="preserve">Total Ground Lease Model 1 </w:t>
            </w:r>
            <w:r>
              <w:t>–</w:t>
            </w:r>
            <w:r w:rsidRPr="00C7408E">
              <w:t xml:space="preserve"> Public Housing Renewal Program</w:t>
            </w:r>
            <w:r>
              <w:t> </w:t>
            </w:r>
            <w:r w:rsidRPr="00C7408E">
              <w:t>commitments</w:t>
            </w:r>
          </w:p>
        </w:tc>
        <w:tc>
          <w:tcPr>
            <w:tcW w:w="1418" w:type="dxa"/>
            <w:tcBorders>
              <w:top w:val="single" w:sz="4" w:space="0" w:color="000000" w:themeColor="text1"/>
              <w:bottom w:val="single" w:sz="4" w:space="0" w:color="000000" w:themeColor="text1"/>
            </w:tcBorders>
            <w:shd w:val="clear" w:color="auto" w:fill="E7E6E6" w:themeFill="accent4"/>
            <w:noWrap/>
          </w:tcPr>
          <w:p w14:paraId="6DFED5FC" w14:textId="77777777" w:rsidR="005B131E" w:rsidRPr="00BA7805" w:rsidRDefault="005B131E" w:rsidP="002542E1">
            <w:pPr>
              <w:pStyle w:val="ARfintablebodyrightbold"/>
              <w:spacing w:before="10" w:after="10"/>
              <w:rPr>
                <w:highlight w:val="green"/>
              </w:rPr>
            </w:pPr>
            <w:r>
              <w:t>141.8</w:t>
            </w:r>
          </w:p>
        </w:tc>
        <w:tc>
          <w:tcPr>
            <w:tcW w:w="1278" w:type="dxa"/>
            <w:tcBorders>
              <w:top w:val="single" w:sz="4" w:space="0" w:color="000000" w:themeColor="text1"/>
              <w:bottom w:val="single" w:sz="4" w:space="0" w:color="000000" w:themeColor="text1"/>
            </w:tcBorders>
            <w:noWrap/>
          </w:tcPr>
          <w:p w14:paraId="646417DC" w14:textId="77777777" w:rsidR="005B131E" w:rsidRPr="00BA7805" w:rsidRDefault="005B131E" w:rsidP="002542E1">
            <w:pPr>
              <w:pStyle w:val="ARfintablebodyrightbold"/>
              <w:spacing w:before="10" w:after="10"/>
              <w:rPr>
                <w:highlight w:val="green"/>
              </w:rPr>
            </w:pPr>
            <w:r w:rsidRPr="00D7262A">
              <w:t>702.2</w:t>
            </w:r>
          </w:p>
        </w:tc>
      </w:tr>
      <w:tr w:rsidR="005B131E" w:rsidRPr="00BA7805" w14:paraId="0A187A85" w14:textId="77777777" w:rsidTr="002542E1">
        <w:tc>
          <w:tcPr>
            <w:tcW w:w="9637" w:type="dxa"/>
            <w:gridSpan w:val="4"/>
            <w:tcBorders>
              <w:top w:val="single" w:sz="4" w:space="0" w:color="000000" w:themeColor="text1"/>
              <w:bottom w:val="single" w:sz="4" w:space="0" w:color="A6A6A6" w:themeColor="background1" w:themeShade="A6"/>
            </w:tcBorders>
          </w:tcPr>
          <w:p w14:paraId="2B8AE24D" w14:textId="77777777" w:rsidR="005B131E" w:rsidRPr="00BA7805" w:rsidRDefault="005B131E" w:rsidP="002542E1">
            <w:pPr>
              <w:pStyle w:val="ARfintablebodybold"/>
              <w:spacing w:before="10" w:after="10"/>
              <w:rPr>
                <w:highlight w:val="green"/>
              </w:rPr>
            </w:pPr>
            <w:r w:rsidRPr="00C7408E">
              <w:t>Ground Lease Model 2</w:t>
            </w:r>
          </w:p>
        </w:tc>
      </w:tr>
      <w:tr w:rsidR="005B131E" w:rsidRPr="00BA7805" w14:paraId="374CB146"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6820EBEC" w14:textId="77777777" w:rsidR="005B131E" w:rsidRPr="00BA7805" w:rsidRDefault="005B131E" w:rsidP="002542E1">
            <w:pPr>
              <w:pStyle w:val="ARfintablebody"/>
              <w:spacing w:before="10" w:after="10"/>
              <w:rPr>
                <w:highlight w:val="green"/>
              </w:rPr>
            </w:pPr>
            <w:r w:rsidRPr="00C7408E">
              <w:t>Less than 1 year</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5207B1FF" w14:textId="77777777" w:rsidR="005B131E" w:rsidRPr="00BA7805" w:rsidRDefault="005B131E" w:rsidP="002542E1">
            <w:pPr>
              <w:pStyle w:val="ARfintablebodyright"/>
              <w:spacing w:before="10" w:after="10"/>
              <w:rPr>
                <w:highlight w:val="green"/>
              </w:rPr>
            </w:pPr>
            <w:r>
              <w:t>–</w:t>
            </w:r>
          </w:p>
        </w:tc>
        <w:tc>
          <w:tcPr>
            <w:tcW w:w="1278" w:type="dxa"/>
            <w:tcBorders>
              <w:top w:val="single" w:sz="4" w:space="0" w:color="A6A6A6" w:themeColor="background1" w:themeShade="A6"/>
              <w:bottom w:val="single" w:sz="4" w:space="0" w:color="A6A6A6" w:themeColor="background1" w:themeShade="A6"/>
            </w:tcBorders>
            <w:noWrap/>
          </w:tcPr>
          <w:p w14:paraId="0C4467BF" w14:textId="77777777" w:rsidR="005B131E" w:rsidRPr="00BA7805" w:rsidRDefault="005B131E" w:rsidP="002542E1">
            <w:pPr>
              <w:pStyle w:val="ARfintablebodyright"/>
              <w:spacing w:before="10" w:after="10"/>
              <w:rPr>
                <w:highlight w:val="green"/>
              </w:rPr>
            </w:pPr>
            <w:r>
              <w:t>–</w:t>
            </w:r>
          </w:p>
        </w:tc>
      </w:tr>
      <w:tr w:rsidR="005B131E" w:rsidRPr="00BA7805" w14:paraId="2EF1E522"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1439AEB0" w14:textId="77777777" w:rsidR="005B131E" w:rsidRPr="00BA7805" w:rsidRDefault="005B131E" w:rsidP="002542E1">
            <w:pPr>
              <w:pStyle w:val="ARfintablebody"/>
              <w:spacing w:before="10" w:after="10"/>
              <w:rPr>
                <w:highlight w:val="green"/>
              </w:rPr>
            </w:pPr>
            <w:r w:rsidRPr="00C7408E">
              <w:t>Longer than 1 year and not longer than 5 years</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03EF4AC4" w14:textId="77777777" w:rsidR="005B131E" w:rsidRPr="00BA7805" w:rsidRDefault="005B131E" w:rsidP="002542E1">
            <w:pPr>
              <w:pStyle w:val="ARfintablebodyright"/>
              <w:spacing w:before="10" w:after="10"/>
              <w:rPr>
                <w:highlight w:val="green"/>
              </w:rPr>
            </w:pPr>
            <w:r w:rsidRPr="00D7262A">
              <w:t>305.9</w:t>
            </w:r>
          </w:p>
        </w:tc>
        <w:tc>
          <w:tcPr>
            <w:tcW w:w="1278" w:type="dxa"/>
            <w:tcBorders>
              <w:top w:val="single" w:sz="4" w:space="0" w:color="A6A6A6" w:themeColor="background1" w:themeShade="A6"/>
              <w:bottom w:val="single" w:sz="4" w:space="0" w:color="A6A6A6" w:themeColor="background1" w:themeShade="A6"/>
            </w:tcBorders>
            <w:noWrap/>
          </w:tcPr>
          <w:p w14:paraId="0E13F6DB" w14:textId="77777777" w:rsidR="005B131E" w:rsidRPr="00BA7805" w:rsidRDefault="005B131E" w:rsidP="002542E1">
            <w:pPr>
              <w:pStyle w:val="ARfintablebodyright"/>
              <w:spacing w:before="10" w:after="10"/>
              <w:rPr>
                <w:highlight w:val="green"/>
              </w:rPr>
            </w:pPr>
            <w:r>
              <w:t>–</w:t>
            </w:r>
          </w:p>
        </w:tc>
      </w:tr>
      <w:tr w:rsidR="005B131E" w:rsidRPr="00BA7805" w14:paraId="3D5ED661" w14:textId="77777777" w:rsidTr="002542E1">
        <w:tc>
          <w:tcPr>
            <w:tcW w:w="6941" w:type="dxa"/>
            <w:gridSpan w:val="2"/>
            <w:tcBorders>
              <w:top w:val="single" w:sz="4" w:space="0" w:color="A6A6A6" w:themeColor="background1" w:themeShade="A6"/>
              <w:bottom w:val="single" w:sz="4" w:space="0" w:color="A6A6A6" w:themeColor="background1" w:themeShade="A6"/>
            </w:tcBorders>
          </w:tcPr>
          <w:p w14:paraId="10F01E53" w14:textId="77777777" w:rsidR="005B131E" w:rsidRPr="00BA7805" w:rsidRDefault="005B131E" w:rsidP="002542E1">
            <w:pPr>
              <w:pStyle w:val="ARfintablebody"/>
              <w:spacing w:before="10" w:after="10"/>
              <w:rPr>
                <w:highlight w:val="green"/>
              </w:rPr>
            </w:pPr>
            <w:r w:rsidRPr="00C7408E">
              <w:t>Longer than 5 years</w:t>
            </w:r>
          </w:p>
        </w:tc>
        <w:tc>
          <w:tcPr>
            <w:tcW w:w="1418" w:type="dxa"/>
            <w:tcBorders>
              <w:top w:val="single" w:sz="4" w:space="0" w:color="A6A6A6" w:themeColor="background1" w:themeShade="A6"/>
              <w:bottom w:val="single" w:sz="4" w:space="0" w:color="A6A6A6" w:themeColor="background1" w:themeShade="A6"/>
            </w:tcBorders>
            <w:shd w:val="clear" w:color="auto" w:fill="E7E6E6" w:themeFill="accent4"/>
            <w:noWrap/>
          </w:tcPr>
          <w:p w14:paraId="66C808E0" w14:textId="77777777" w:rsidR="005B131E" w:rsidRPr="00BA7805" w:rsidRDefault="005B131E" w:rsidP="002542E1">
            <w:pPr>
              <w:pStyle w:val="ARfintablebodyright"/>
              <w:spacing w:before="10" w:after="10"/>
              <w:rPr>
                <w:highlight w:val="green"/>
              </w:rPr>
            </w:pPr>
            <w:r w:rsidRPr="00D7262A">
              <w:t>1,589.5</w:t>
            </w:r>
          </w:p>
        </w:tc>
        <w:tc>
          <w:tcPr>
            <w:tcW w:w="1278" w:type="dxa"/>
            <w:tcBorders>
              <w:top w:val="single" w:sz="4" w:space="0" w:color="A6A6A6" w:themeColor="background1" w:themeShade="A6"/>
              <w:bottom w:val="single" w:sz="4" w:space="0" w:color="A6A6A6" w:themeColor="background1" w:themeShade="A6"/>
            </w:tcBorders>
            <w:noWrap/>
          </w:tcPr>
          <w:p w14:paraId="23097875" w14:textId="77777777" w:rsidR="005B131E" w:rsidRPr="00BA7805" w:rsidRDefault="005B131E" w:rsidP="002542E1">
            <w:pPr>
              <w:pStyle w:val="ARfintablebodyright"/>
              <w:spacing w:before="10" w:after="10"/>
              <w:rPr>
                <w:highlight w:val="green"/>
              </w:rPr>
            </w:pPr>
            <w:r>
              <w:t>–</w:t>
            </w:r>
          </w:p>
        </w:tc>
      </w:tr>
      <w:tr w:rsidR="005B131E" w:rsidRPr="00BA7805" w14:paraId="3B07274C" w14:textId="77777777" w:rsidTr="002542E1">
        <w:tc>
          <w:tcPr>
            <w:tcW w:w="6941" w:type="dxa"/>
            <w:gridSpan w:val="2"/>
            <w:tcBorders>
              <w:top w:val="single" w:sz="4" w:space="0" w:color="A6A6A6" w:themeColor="background1" w:themeShade="A6"/>
              <w:bottom w:val="single" w:sz="4" w:space="0" w:color="000000" w:themeColor="text1"/>
            </w:tcBorders>
          </w:tcPr>
          <w:p w14:paraId="7A5311B7" w14:textId="77777777" w:rsidR="005B131E" w:rsidRPr="00BA7805" w:rsidRDefault="005B131E" w:rsidP="002542E1">
            <w:pPr>
              <w:pStyle w:val="ARfintablebodybold"/>
              <w:spacing w:before="10" w:after="10"/>
              <w:rPr>
                <w:highlight w:val="green"/>
              </w:rPr>
            </w:pPr>
            <w:r w:rsidRPr="00C7408E">
              <w:t>Total Ground Lease Model 2</w:t>
            </w:r>
          </w:p>
        </w:tc>
        <w:tc>
          <w:tcPr>
            <w:tcW w:w="1418" w:type="dxa"/>
            <w:tcBorders>
              <w:top w:val="single" w:sz="4" w:space="0" w:color="A6A6A6" w:themeColor="background1" w:themeShade="A6"/>
              <w:bottom w:val="single" w:sz="4" w:space="0" w:color="000000" w:themeColor="text1"/>
            </w:tcBorders>
            <w:shd w:val="clear" w:color="auto" w:fill="E7E6E6" w:themeFill="accent4"/>
            <w:noWrap/>
          </w:tcPr>
          <w:p w14:paraId="5FDB8873" w14:textId="77777777" w:rsidR="005B131E" w:rsidRPr="00BA7805" w:rsidRDefault="005B131E" w:rsidP="002542E1">
            <w:pPr>
              <w:pStyle w:val="ARfintablebodyrightbold"/>
              <w:spacing w:before="10" w:after="10"/>
              <w:rPr>
                <w:highlight w:val="green"/>
              </w:rPr>
            </w:pPr>
            <w:r w:rsidRPr="00D7262A">
              <w:t>1,895.4</w:t>
            </w:r>
          </w:p>
        </w:tc>
        <w:tc>
          <w:tcPr>
            <w:tcW w:w="1278" w:type="dxa"/>
            <w:tcBorders>
              <w:top w:val="single" w:sz="4" w:space="0" w:color="A6A6A6" w:themeColor="background1" w:themeShade="A6"/>
              <w:bottom w:val="single" w:sz="4" w:space="0" w:color="000000" w:themeColor="text1"/>
            </w:tcBorders>
            <w:noWrap/>
          </w:tcPr>
          <w:p w14:paraId="040E7E12" w14:textId="77777777" w:rsidR="005B131E" w:rsidRPr="00BA7805" w:rsidRDefault="005B131E" w:rsidP="002542E1">
            <w:pPr>
              <w:pStyle w:val="ARfintablebodyrightbold"/>
              <w:spacing w:before="10" w:after="10"/>
              <w:rPr>
                <w:highlight w:val="green"/>
              </w:rPr>
            </w:pPr>
            <w:r>
              <w:t>–</w:t>
            </w:r>
          </w:p>
        </w:tc>
      </w:tr>
      <w:tr w:rsidR="005B131E" w:rsidRPr="00BA7805" w14:paraId="74CFD9B7" w14:textId="77777777" w:rsidTr="002542E1">
        <w:tc>
          <w:tcPr>
            <w:tcW w:w="6941" w:type="dxa"/>
            <w:gridSpan w:val="2"/>
            <w:tcBorders>
              <w:top w:val="single" w:sz="4" w:space="0" w:color="000000" w:themeColor="text1"/>
              <w:bottom w:val="single" w:sz="4" w:space="0" w:color="000000" w:themeColor="text1"/>
            </w:tcBorders>
          </w:tcPr>
          <w:p w14:paraId="1C7B4F46" w14:textId="77777777" w:rsidR="005B131E" w:rsidRPr="00BA7805" w:rsidRDefault="005B131E" w:rsidP="002542E1">
            <w:pPr>
              <w:pStyle w:val="ARfintablebodybold"/>
              <w:spacing w:before="10" w:after="10"/>
              <w:rPr>
                <w:highlight w:val="green"/>
              </w:rPr>
            </w:pPr>
            <w:r w:rsidRPr="00C7408E">
              <w:t>Total SCA commitments</w:t>
            </w:r>
          </w:p>
        </w:tc>
        <w:tc>
          <w:tcPr>
            <w:tcW w:w="1418" w:type="dxa"/>
            <w:tcBorders>
              <w:top w:val="single" w:sz="4" w:space="0" w:color="000000" w:themeColor="text1"/>
              <w:bottom w:val="single" w:sz="4" w:space="0" w:color="000000" w:themeColor="text1"/>
            </w:tcBorders>
            <w:shd w:val="clear" w:color="auto" w:fill="E7E6E6" w:themeFill="accent4"/>
            <w:noWrap/>
          </w:tcPr>
          <w:p w14:paraId="419D00E7" w14:textId="77777777" w:rsidR="005B131E" w:rsidRPr="00BA7805" w:rsidRDefault="005B131E" w:rsidP="002542E1">
            <w:pPr>
              <w:pStyle w:val="ARfintablebodyrightbold"/>
              <w:spacing w:before="10" w:after="10"/>
              <w:rPr>
                <w:highlight w:val="green"/>
              </w:rPr>
            </w:pPr>
            <w:r>
              <w:t>2,037.2</w:t>
            </w:r>
          </w:p>
        </w:tc>
        <w:tc>
          <w:tcPr>
            <w:tcW w:w="1278" w:type="dxa"/>
            <w:tcBorders>
              <w:top w:val="single" w:sz="4" w:space="0" w:color="000000" w:themeColor="text1"/>
              <w:bottom w:val="single" w:sz="4" w:space="0" w:color="000000" w:themeColor="text1"/>
            </w:tcBorders>
            <w:noWrap/>
          </w:tcPr>
          <w:p w14:paraId="3F387AE8" w14:textId="77777777" w:rsidR="005B131E" w:rsidRPr="00BA7805" w:rsidRDefault="005B131E" w:rsidP="002542E1">
            <w:pPr>
              <w:pStyle w:val="ARfintablebodyrightbold"/>
              <w:spacing w:before="10" w:after="10"/>
              <w:rPr>
                <w:highlight w:val="green"/>
              </w:rPr>
            </w:pPr>
            <w:r w:rsidRPr="00D7262A">
              <w:t>702.2</w:t>
            </w:r>
          </w:p>
        </w:tc>
      </w:tr>
      <w:tr w:rsidR="005B131E" w:rsidRPr="00BA7805" w14:paraId="537EAF91" w14:textId="77777777" w:rsidTr="002542E1">
        <w:tc>
          <w:tcPr>
            <w:tcW w:w="6941" w:type="dxa"/>
            <w:gridSpan w:val="2"/>
            <w:tcBorders>
              <w:top w:val="single" w:sz="4" w:space="0" w:color="000000" w:themeColor="text1"/>
              <w:bottom w:val="single" w:sz="4" w:space="0" w:color="A6A6A6" w:themeColor="background1" w:themeShade="A6"/>
            </w:tcBorders>
          </w:tcPr>
          <w:p w14:paraId="64E02D9A" w14:textId="77777777" w:rsidR="005B131E" w:rsidRPr="00BA7805" w:rsidRDefault="005B131E" w:rsidP="002542E1">
            <w:pPr>
              <w:pStyle w:val="ARfintablebodybold"/>
              <w:spacing w:before="10" w:after="10"/>
              <w:rPr>
                <w:highlight w:val="green"/>
              </w:rPr>
            </w:pPr>
            <w:r w:rsidRPr="00C7408E">
              <w:t xml:space="preserve">Total commitments for expenditure (inclusive of GST) </w:t>
            </w:r>
          </w:p>
        </w:tc>
        <w:tc>
          <w:tcPr>
            <w:tcW w:w="1418" w:type="dxa"/>
            <w:tcBorders>
              <w:top w:val="single" w:sz="4" w:space="0" w:color="000000" w:themeColor="text1"/>
              <w:bottom w:val="single" w:sz="4" w:space="0" w:color="A6A6A6" w:themeColor="background1" w:themeShade="A6"/>
            </w:tcBorders>
            <w:shd w:val="clear" w:color="auto" w:fill="E7E6E6" w:themeFill="accent4"/>
            <w:noWrap/>
          </w:tcPr>
          <w:p w14:paraId="07424AFC" w14:textId="77777777" w:rsidR="005B131E" w:rsidRPr="00BA7805" w:rsidRDefault="005B131E" w:rsidP="002542E1">
            <w:pPr>
              <w:pStyle w:val="ARfintablebodyrightbold"/>
              <w:spacing w:before="10" w:after="10"/>
              <w:rPr>
                <w:highlight w:val="green"/>
              </w:rPr>
            </w:pPr>
            <w:r>
              <w:t>3,470.4</w:t>
            </w:r>
          </w:p>
        </w:tc>
        <w:tc>
          <w:tcPr>
            <w:tcW w:w="1278" w:type="dxa"/>
            <w:tcBorders>
              <w:top w:val="single" w:sz="4" w:space="0" w:color="000000" w:themeColor="text1"/>
              <w:bottom w:val="single" w:sz="4" w:space="0" w:color="A6A6A6" w:themeColor="background1" w:themeShade="A6"/>
            </w:tcBorders>
            <w:noWrap/>
          </w:tcPr>
          <w:p w14:paraId="15435774" w14:textId="77777777" w:rsidR="005B131E" w:rsidRPr="00BA7805" w:rsidRDefault="005B131E" w:rsidP="002542E1">
            <w:pPr>
              <w:pStyle w:val="ARfintablebodyrightbold"/>
              <w:spacing w:before="10" w:after="10"/>
              <w:rPr>
                <w:highlight w:val="green"/>
              </w:rPr>
            </w:pPr>
            <w:r w:rsidRPr="00D7262A">
              <w:t>2,484.3</w:t>
            </w:r>
          </w:p>
        </w:tc>
      </w:tr>
      <w:tr w:rsidR="005B131E" w:rsidRPr="00BA7805" w14:paraId="19C64A87" w14:textId="77777777" w:rsidTr="002542E1">
        <w:tc>
          <w:tcPr>
            <w:tcW w:w="6941" w:type="dxa"/>
            <w:gridSpan w:val="2"/>
            <w:tcBorders>
              <w:top w:val="single" w:sz="4" w:space="0" w:color="A6A6A6" w:themeColor="background1" w:themeShade="A6"/>
              <w:bottom w:val="single" w:sz="4" w:space="0" w:color="000000" w:themeColor="text1"/>
            </w:tcBorders>
          </w:tcPr>
          <w:p w14:paraId="3E2230E2" w14:textId="77777777" w:rsidR="005B131E" w:rsidRPr="00BA7805" w:rsidRDefault="005B131E" w:rsidP="002542E1">
            <w:pPr>
              <w:pStyle w:val="ARfintablebody"/>
              <w:spacing w:before="10" w:after="10"/>
              <w:rPr>
                <w:highlight w:val="green"/>
              </w:rPr>
            </w:pPr>
            <w:r w:rsidRPr="00C7408E">
              <w:t>Less GST recoverable from the ATO</w:t>
            </w:r>
          </w:p>
        </w:tc>
        <w:tc>
          <w:tcPr>
            <w:tcW w:w="1418" w:type="dxa"/>
            <w:tcBorders>
              <w:top w:val="single" w:sz="4" w:space="0" w:color="A6A6A6" w:themeColor="background1" w:themeShade="A6"/>
              <w:bottom w:val="single" w:sz="4" w:space="0" w:color="000000" w:themeColor="text1"/>
            </w:tcBorders>
            <w:shd w:val="clear" w:color="auto" w:fill="E7E6E6" w:themeFill="accent4"/>
            <w:noWrap/>
          </w:tcPr>
          <w:p w14:paraId="40BA1476" w14:textId="77777777" w:rsidR="005B131E" w:rsidRPr="00BA7805" w:rsidRDefault="005B131E" w:rsidP="002542E1">
            <w:pPr>
              <w:pStyle w:val="ARfintablebodyright"/>
              <w:spacing w:before="10" w:after="10"/>
              <w:rPr>
                <w:highlight w:val="green"/>
              </w:rPr>
            </w:pPr>
            <w:r>
              <w:t>299.4</w:t>
            </w:r>
          </w:p>
        </w:tc>
        <w:tc>
          <w:tcPr>
            <w:tcW w:w="1278" w:type="dxa"/>
            <w:tcBorders>
              <w:top w:val="single" w:sz="4" w:space="0" w:color="A6A6A6" w:themeColor="background1" w:themeShade="A6"/>
              <w:bottom w:val="single" w:sz="4" w:space="0" w:color="000000" w:themeColor="text1"/>
            </w:tcBorders>
            <w:noWrap/>
          </w:tcPr>
          <w:p w14:paraId="3DAFBBD9" w14:textId="77777777" w:rsidR="005B131E" w:rsidRPr="00BA7805" w:rsidRDefault="005B131E" w:rsidP="002542E1">
            <w:pPr>
              <w:pStyle w:val="ARfintablebodyright"/>
              <w:spacing w:before="10" w:after="10"/>
              <w:rPr>
                <w:highlight w:val="green"/>
              </w:rPr>
            </w:pPr>
            <w:r w:rsidRPr="00D7262A">
              <w:t>133.8</w:t>
            </w:r>
          </w:p>
        </w:tc>
      </w:tr>
      <w:tr w:rsidR="005B131E" w:rsidRPr="00BA7805" w14:paraId="099696A0" w14:textId="77777777" w:rsidTr="002542E1">
        <w:tc>
          <w:tcPr>
            <w:tcW w:w="6941" w:type="dxa"/>
            <w:gridSpan w:val="2"/>
            <w:tcBorders>
              <w:top w:val="single" w:sz="4" w:space="0" w:color="000000" w:themeColor="text1"/>
              <w:bottom w:val="single" w:sz="4" w:space="0" w:color="000000" w:themeColor="text1"/>
            </w:tcBorders>
          </w:tcPr>
          <w:p w14:paraId="6725D696" w14:textId="77777777" w:rsidR="005B131E" w:rsidRPr="00BA7805" w:rsidRDefault="005B131E" w:rsidP="002542E1">
            <w:pPr>
              <w:pStyle w:val="ARfintablebodybold"/>
              <w:spacing w:before="10" w:after="10"/>
              <w:rPr>
                <w:highlight w:val="green"/>
              </w:rPr>
            </w:pPr>
            <w:r w:rsidRPr="00C7408E">
              <w:t>Total commitments for expenditure (exclusive of GST)</w:t>
            </w:r>
          </w:p>
        </w:tc>
        <w:tc>
          <w:tcPr>
            <w:tcW w:w="1418" w:type="dxa"/>
            <w:tcBorders>
              <w:top w:val="single" w:sz="4" w:space="0" w:color="000000" w:themeColor="text1"/>
              <w:bottom w:val="single" w:sz="4" w:space="0" w:color="000000" w:themeColor="text1"/>
            </w:tcBorders>
            <w:shd w:val="clear" w:color="auto" w:fill="E7E6E6" w:themeFill="accent4"/>
            <w:noWrap/>
          </w:tcPr>
          <w:p w14:paraId="31A62584" w14:textId="77777777" w:rsidR="005B131E" w:rsidRPr="00BA7805" w:rsidRDefault="005B131E" w:rsidP="002542E1">
            <w:pPr>
              <w:pStyle w:val="ARfintablebodyrightbold"/>
              <w:spacing w:before="10" w:after="10"/>
              <w:rPr>
                <w:highlight w:val="green"/>
              </w:rPr>
            </w:pPr>
            <w:r>
              <w:t>3,171.0</w:t>
            </w:r>
          </w:p>
        </w:tc>
        <w:tc>
          <w:tcPr>
            <w:tcW w:w="1278" w:type="dxa"/>
            <w:tcBorders>
              <w:top w:val="single" w:sz="4" w:space="0" w:color="000000" w:themeColor="text1"/>
              <w:bottom w:val="single" w:sz="4" w:space="0" w:color="000000" w:themeColor="text1"/>
            </w:tcBorders>
            <w:noWrap/>
          </w:tcPr>
          <w:p w14:paraId="4DF9F771" w14:textId="77777777" w:rsidR="005B131E" w:rsidRPr="00BA7805" w:rsidRDefault="005B131E" w:rsidP="002542E1">
            <w:pPr>
              <w:pStyle w:val="ARfintablebodyrightbold"/>
              <w:spacing w:before="10" w:after="10"/>
              <w:rPr>
                <w:highlight w:val="green"/>
              </w:rPr>
            </w:pPr>
            <w:r w:rsidRPr="00D7262A">
              <w:t>2,350.5</w:t>
            </w:r>
          </w:p>
        </w:tc>
      </w:tr>
    </w:tbl>
    <w:p w14:paraId="711D332A" w14:textId="77777777" w:rsidR="005B131E" w:rsidRPr="008162E3" w:rsidRDefault="005B131E" w:rsidP="002542E1">
      <w:pPr>
        <w:pStyle w:val="ARfintablefootnote"/>
      </w:pPr>
      <w:r w:rsidRPr="008162E3">
        <w:t>Notes:</w:t>
      </w:r>
    </w:p>
    <w:p w14:paraId="0840D78F" w14:textId="78D96CA8" w:rsidR="005B131E" w:rsidRDefault="005B131E" w:rsidP="002542E1">
      <w:pPr>
        <w:pStyle w:val="ARfintablefootnotetabindent"/>
      </w:pPr>
      <w:r>
        <w:t>(i)</w:t>
      </w:r>
      <w:r w:rsidR="00B04C06">
        <w:t xml:space="preserve"> </w:t>
      </w:r>
      <w:r w:rsidR="00711AE6">
        <w:t>‘</w:t>
      </w:r>
      <w:r w:rsidRPr="00F4156B">
        <w:t>NGO</w:t>
      </w:r>
      <w:r w:rsidR="006943E3">
        <w:t>’</w:t>
      </w:r>
      <w:r w:rsidR="00C41E2B" w:rsidRPr="00F4156B">
        <w:t xml:space="preserve"> </w:t>
      </w:r>
      <w:r w:rsidRPr="00F4156B">
        <w:t xml:space="preserve">stands for </w:t>
      </w:r>
      <w:r w:rsidR="00711AE6">
        <w:t>‘</w:t>
      </w:r>
      <w:r w:rsidR="00C41E2B">
        <w:t>n</w:t>
      </w:r>
      <w:r w:rsidR="00C41E2B" w:rsidRPr="00F4156B">
        <w:t>on</w:t>
      </w:r>
      <w:r w:rsidRPr="00F4156B">
        <w:t>-</w:t>
      </w:r>
      <w:r w:rsidR="00C41E2B">
        <w:t>g</w:t>
      </w:r>
      <w:r w:rsidR="00C41E2B" w:rsidRPr="00F4156B">
        <w:t xml:space="preserve">overnment </w:t>
      </w:r>
      <w:r w:rsidR="00C41E2B">
        <w:t>or</w:t>
      </w:r>
      <w:r w:rsidR="00C41E2B" w:rsidRPr="00F4156B">
        <w:t>ganisations</w:t>
      </w:r>
      <w:r w:rsidR="006943E3">
        <w:t>’</w:t>
      </w:r>
      <w:r w:rsidRPr="00F4156B">
        <w:t>, which includes</w:t>
      </w:r>
      <w:r w:rsidR="00B04C06">
        <w:t xml:space="preserve"> </w:t>
      </w:r>
      <w:r w:rsidRPr="008162E3">
        <w:t>initiatives to increase social and affordable community housing stock as part of the Big Housing Build as well as the</w:t>
      </w:r>
      <w:r>
        <w:t> </w:t>
      </w:r>
      <w:r w:rsidRPr="008162E3">
        <w:t>Building Works Package to fund the maintenance and upgrade of social</w:t>
      </w:r>
      <w:r>
        <w:t> </w:t>
      </w:r>
      <w:r w:rsidRPr="008162E3">
        <w:t>housing.</w:t>
      </w:r>
    </w:p>
    <w:p w14:paraId="3A9A41D2" w14:textId="77777777" w:rsidR="005B131E" w:rsidRPr="00BA7805" w:rsidRDefault="005B131E" w:rsidP="002542E1">
      <w:pPr>
        <w:pStyle w:val="ARfintablefootnotetabindent"/>
        <w:rPr>
          <w:highlight w:val="green"/>
        </w:rPr>
      </w:pPr>
      <w:r w:rsidRPr="00A91D65">
        <w:t xml:space="preserve">(ii) </w:t>
      </w:r>
      <w:r w:rsidRPr="00A91D65">
        <w:tab/>
        <w:t xml:space="preserve">The department has determined that the arrangements Homes Victoria entered into in June 2021 (Ground Lease Model 1) and August </w:t>
      </w:r>
      <w:r w:rsidRPr="0046119E">
        <w:t>2023</w:t>
      </w:r>
      <w:r w:rsidRPr="00A91D65">
        <w:t xml:space="preserve"> (Ground Lease Model 1 Modification, Flemington Phase 2) with Building Communities (Vic) Limited and November 2023 (Ground Lease Model 2) with Building Even Better Communities Limited for the design, construction, financing, management and maintenance of residential rental dwellings should be accounted for under AASB 1059</w:t>
      </w:r>
      <w:r>
        <w:t xml:space="preserve"> </w:t>
      </w:r>
      <w:r w:rsidRPr="00A91D65">
        <w:t>as service concession arrangements</w:t>
      </w:r>
      <w:r>
        <w:t> </w:t>
      </w:r>
      <w:r w:rsidRPr="00A91D65">
        <w:t>(SCAs).</w:t>
      </w:r>
      <w:r w:rsidRPr="00BA7805">
        <w:rPr>
          <w:highlight w:val="green"/>
        </w:rPr>
        <w:br w:type="page"/>
      </w:r>
    </w:p>
    <w:p w14:paraId="4ADBE9F5" w14:textId="77777777" w:rsidR="005B131E" w:rsidRDefault="005B131E" w:rsidP="002542E1">
      <w:pPr>
        <w:pStyle w:val="Heading5"/>
        <w:spacing w:before="0"/>
      </w:pPr>
      <w:r>
        <w:t>7.5.2 Service concession arrangements commitments</w:t>
      </w:r>
    </w:p>
    <w:p w14:paraId="71AB3F95" w14:textId="77777777" w:rsidR="005B131E" w:rsidRDefault="005B131E" w:rsidP="002542E1">
      <w:pPr>
        <w:pStyle w:val="ARfinbody"/>
      </w:pPr>
      <w:r>
        <w:t xml:space="preserve">AASB 1059 Service Concession Arrangements: Grantors applies to arrangements where an operator provides public services, using a service concession asset, on behalf of the state and importantly, the operator manages at least some of the public service at its own discretion. The department must also control the asset for AASB 1059 to apply. </w:t>
      </w:r>
    </w:p>
    <w:p w14:paraId="51B32054" w14:textId="77777777" w:rsidR="005B131E" w:rsidRDefault="005B131E" w:rsidP="002542E1">
      <w:pPr>
        <w:pStyle w:val="Heading5"/>
      </w:pPr>
      <w:r>
        <w:t>Significant judgement – service concession arrangements</w:t>
      </w:r>
    </w:p>
    <w:p w14:paraId="5FEC1141" w14:textId="1ADDD989" w:rsidR="005B131E" w:rsidRDefault="005B131E" w:rsidP="002542E1">
      <w:pPr>
        <w:pStyle w:val="ARfinbody"/>
      </w:pPr>
      <w:r>
        <w:t xml:space="preserve">There is significant judgement involved in determining what constitutes </w:t>
      </w:r>
      <w:r w:rsidR="00711AE6">
        <w:t>‘</w:t>
      </w:r>
      <w:r>
        <w:t>public service</w:t>
      </w:r>
      <w:r w:rsidR="00711AE6">
        <w:t>’</w:t>
      </w:r>
      <w:r>
        <w:t xml:space="preserve"> and furthermore whether the operators manage at least some of that public service at their own discretion.</w:t>
      </w:r>
    </w:p>
    <w:p w14:paraId="7E5EC32D" w14:textId="2CB0F9AC" w:rsidR="005B131E" w:rsidRDefault="005B131E" w:rsidP="002542E1">
      <w:pPr>
        <w:pStyle w:val="ARfinbody"/>
      </w:pPr>
      <w:r>
        <w:t xml:space="preserve">In the housing portfolio, Registered Housing Agencies (RHAs) are contracted to provide community housing services to the public with either existing or newly constructed dwellings and qualify as </w:t>
      </w:r>
      <w:r w:rsidR="00711AE6">
        <w:t>‘</w:t>
      </w:r>
      <w:r>
        <w:t>Operators</w:t>
      </w:r>
      <w:r w:rsidR="006943E3">
        <w:t>’</w:t>
      </w:r>
      <w:r>
        <w:t xml:space="preserve">. RHAs are required to be not-for-profit entities by the </w:t>
      </w:r>
      <w:r w:rsidRPr="002C5360">
        <w:rPr>
          <w:rStyle w:val="Emphasis"/>
        </w:rPr>
        <w:t>Housing Act 1983</w:t>
      </w:r>
      <w:r>
        <w:t>.</w:t>
      </w:r>
    </w:p>
    <w:p w14:paraId="14728A04" w14:textId="391189AE" w:rsidR="005B131E" w:rsidRDefault="005B131E" w:rsidP="002542E1">
      <w:pPr>
        <w:pStyle w:val="ARfinbody"/>
      </w:pPr>
      <w:r>
        <w:t>The department considers that only the activities that involve the supply of dwellings (</w:t>
      </w:r>
      <w:r w:rsidR="00E02ED7">
        <w:t>that is,</w:t>
      </w:r>
      <w:r>
        <w:t xml:space="preserve"> providing housing capacity) are fundamental to the overall delivery of public service. In other words, public housing services cannot be provided without the supply of dwellings, even if other peripheral activities (</w:t>
      </w:r>
      <w:r w:rsidR="003557B4">
        <w:t>for example,</w:t>
      </w:r>
      <w:r>
        <w:t xml:space="preserve"> tenancy management, cleaning and maintenance) are conducted.</w:t>
      </w:r>
    </w:p>
    <w:p w14:paraId="092567E4" w14:textId="06A485FB" w:rsidR="005B131E" w:rsidRDefault="005B131E" w:rsidP="002542E1">
      <w:pPr>
        <w:pStyle w:val="ARfinbody"/>
      </w:pPr>
      <w:r>
        <w:t>As only the supply of dwellings is considered public service in the context of the housing portfolio, the operators are considered to have discretion in providing public service if they make decisions on the delivery of dwellings (</w:t>
      </w:r>
      <w:r w:rsidR="003557B4">
        <w:t>for example,</w:t>
      </w:r>
      <w:r>
        <w:t xml:space="preserve"> the detailed design of the dwellings, material used in the construction and scheduling of subcontractors, </w:t>
      </w:r>
      <w:r w:rsidR="003557B4">
        <w:t>et cetera</w:t>
      </w:r>
      <w:r>
        <w:t>).</w:t>
      </w:r>
    </w:p>
    <w:p w14:paraId="7B0F3E49" w14:textId="70B4ACAC" w:rsidR="005B131E" w:rsidRDefault="005B131E" w:rsidP="002542E1">
      <w:pPr>
        <w:pStyle w:val="ARfinbody"/>
        <w:rPr>
          <w:highlight w:val="green"/>
        </w:rPr>
      </w:pPr>
      <w:r>
        <w:t xml:space="preserve">The department has determined that the arrangements Homes Victoria entered into in June 2021 (Ground Lease Model 1) and August 2023 (Ground Lease Model 1 Modification, Flemington Phase 2) with Building Communities (Vic) Limited and November 2023 (Ground Lease Model 2) with Building Even Better Communities Limited for the design, construction, financing, management and maintenance of residential rental dwellings should be accounted for under AASB 1059. These projects deliver a mixture of dwellings, being social housing, affordable housing, specialist disability accommodation and private rentals across multiple sites for 40-year concession periods, whereby all land remains in public ownership. Private rental dwellings do not form part of the Service Concession Asset, however, at the end of the 40-year concession </w:t>
      </w:r>
      <w:r w:rsidRPr="00E85DBE">
        <w:t>period</w:t>
      </w:r>
      <w:r>
        <w:t>, all dwellings, including the private rental dwellings return to Homes Victoria</w:t>
      </w:r>
      <w:r w:rsidR="00711AE6">
        <w:t>’</w:t>
      </w:r>
      <w:r>
        <w:t>s management. The details are provided in Note 7.5.3 below.</w:t>
      </w:r>
    </w:p>
    <w:p w14:paraId="12D57A06" w14:textId="77777777" w:rsidR="005B131E" w:rsidRDefault="005B131E" w:rsidP="002542E1">
      <w:pPr>
        <w:pStyle w:val="Heading5"/>
      </w:pPr>
      <w:r>
        <w:t>7.5.3 Service concession arrangements</w:t>
      </w:r>
    </w:p>
    <w:p w14:paraId="22B6E344" w14:textId="1E90E59E" w:rsidR="005B131E" w:rsidRDefault="005B131E" w:rsidP="002542E1">
      <w:pPr>
        <w:pStyle w:val="ARfinbody"/>
      </w:pPr>
      <w:r>
        <w:t xml:space="preserve">For arrangements within the scope of AASB 1059, at initial recognition the department records a </w:t>
      </w:r>
      <w:r w:rsidRPr="0036194B">
        <w:rPr>
          <w:rStyle w:val="Strong"/>
        </w:rPr>
        <w:t>service concession asset</w:t>
      </w:r>
      <w:r>
        <w:t xml:space="preserve"> (SCA) at current replacement cost, with a related liability, which could be a financial liability, an accrued revenue liability (referred to as the </w:t>
      </w:r>
      <w:r w:rsidR="00711AE6">
        <w:t>‘</w:t>
      </w:r>
      <w:r w:rsidR="006336E7">
        <w:t>grant of a r</w:t>
      </w:r>
      <w:r>
        <w:t xml:space="preserve">ight </w:t>
      </w:r>
      <w:r w:rsidR="006336E7">
        <w:t>to t</w:t>
      </w:r>
      <w:r>
        <w:t xml:space="preserve">he </w:t>
      </w:r>
      <w:r w:rsidR="006336E7">
        <w:t>operator</w:t>
      </w:r>
      <w:r w:rsidR="00711AE6">
        <w:t>’</w:t>
      </w:r>
      <w:r w:rsidR="006336E7">
        <w:t xml:space="preserve"> </w:t>
      </w:r>
      <w:r>
        <w:t>or GORTO liability) or a combination of both.</w:t>
      </w:r>
    </w:p>
    <w:p w14:paraId="5D396C30" w14:textId="2F4BF8F4" w:rsidR="005B131E" w:rsidRDefault="005B131E" w:rsidP="002542E1">
      <w:pPr>
        <w:pStyle w:val="ARfinbody"/>
      </w:pPr>
      <w:r>
        <w:t>For both Ground Lease Model 1 – Public Housing renewal program phase 1</w:t>
      </w:r>
      <w:r w:rsidR="00A06CF3">
        <w:t xml:space="preserve"> </w:t>
      </w:r>
      <w:r>
        <w:t>&amp;</w:t>
      </w:r>
      <w:r w:rsidR="00A06CF3">
        <w:t xml:space="preserve"> </w:t>
      </w:r>
      <w:r>
        <w:t>2 and Ground Lease Model 2, the department initially recognised the liability at the same amount as the SCA, adjusted by the amount of any consideration from the department to the operator, or from the operator to the department.</w:t>
      </w:r>
    </w:p>
    <w:p w14:paraId="7EF84806" w14:textId="77777777" w:rsidR="005B131E" w:rsidRDefault="005B131E" w:rsidP="002542E1">
      <w:pPr>
        <w:pStyle w:val="ARfinbody"/>
      </w:pPr>
      <w:r>
        <w:t>Exception to this occurs when the department reclassifies an existing asset to a SCA. When this occurs, no liability is recognised unless additional consideration is provided to the operator. Instead, the department recognises a SCA and a corresponding liability for the amounts spent on the upgrade/expansion work.</w:t>
      </w:r>
    </w:p>
    <w:p w14:paraId="15EFFF2D" w14:textId="77777777" w:rsidR="005B131E" w:rsidRDefault="005B131E" w:rsidP="002542E1">
      <w:pPr>
        <w:pStyle w:val="ARfinbody"/>
      </w:pPr>
      <w:r>
        <w:t xml:space="preserve">A </w:t>
      </w:r>
      <w:r w:rsidRPr="0036194B">
        <w:rPr>
          <w:rStyle w:val="Strong"/>
        </w:rPr>
        <w:t>financial liability</w:t>
      </w:r>
      <w:r>
        <w:t xml:space="preserve"> is recognised where the department has a contractual obligation to pay the operator for providing the SCA. It is measured in accordance with AASB 9 </w:t>
      </w:r>
      <w:r w:rsidRPr="00C96010">
        <w:rPr>
          <w:rStyle w:val="Emphasis"/>
        </w:rPr>
        <w:t>Financial Instruments</w:t>
      </w:r>
      <w:r>
        <w:t xml:space="preserve"> and is recognised as a borrowing (Note 7.1). The liability is increased by interest charges, based on the interest rate implicit in the arrangement. Where the interest rate is not specified in the arrangement, the prevailing market rate of interest for a similar instrument with similar credit ratings is used. The liability is reduced by any payments made by the department to the operator as required by the contract.</w:t>
      </w:r>
    </w:p>
    <w:p w14:paraId="331D1187" w14:textId="77777777" w:rsidR="005B131E" w:rsidRDefault="005B131E" w:rsidP="002542E1">
      <w:pPr>
        <w:pStyle w:val="ARfinbody"/>
      </w:pPr>
      <w:r>
        <w:t xml:space="preserve">A </w:t>
      </w:r>
      <w:r w:rsidRPr="0036194B">
        <w:rPr>
          <w:rStyle w:val="Strong"/>
        </w:rPr>
        <w:t>grant of right to the operator (GORTO) liability</w:t>
      </w:r>
      <w:r>
        <w:t xml:space="preserve"> is recognised where the department does not have a contractual obligation to pay cash or another financial asset but grants the right to the operator to earn revenue from the public use of the asset (Note 6.3). This type of arrangement is commonly referred to as an economic service concession arrangement. It represents unearned revenue and is progressively reduced over the period of the arrangement in accordance with its substance.</w:t>
      </w:r>
    </w:p>
    <w:p w14:paraId="7D363A03" w14:textId="77777777" w:rsidR="005B131E" w:rsidRDefault="005B131E" w:rsidP="002542E1">
      <w:pPr>
        <w:pStyle w:val="ARfinbody"/>
      </w:pPr>
      <w:r>
        <w:t xml:space="preserve">After initial recognition, SCAs are subsequently measured applying the revaluation model (refer to Note 5.1 </w:t>
      </w:r>
      <w:r w:rsidRPr="0036194B">
        <w:rPr>
          <w:rStyle w:val="Emphasis"/>
        </w:rPr>
        <w:t>Total Property, Plant and Equipment</w:t>
      </w:r>
      <w:r>
        <w:t>).</w:t>
      </w:r>
    </w:p>
    <w:p w14:paraId="245C7A5B" w14:textId="77777777" w:rsidR="005B131E" w:rsidRDefault="005B131E" w:rsidP="002542E1">
      <w:pPr>
        <w:pStyle w:val="ARbody"/>
        <w:rPr>
          <w:rFonts w:eastAsiaTheme="minorEastAsia" w:cs="ArialMT"/>
          <w:color w:val="000000"/>
          <w:sz w:val="18"/>
          <w:szCs w:val="16"/>
          <w:lang w:eastAsia="en-AU"/>
        </w:rPr>
      </w:pPr>
      <w:r>
        <w:br w:type="page"/>
      </w:r>
    </w:p>
    <w:p w14:paraId="0ACEB2E1" w14:textId="77777777" w:rsidR="005B131E" w:rsidRDefault="005B131E" w:rsidP="002542E1">
      <w:pPr>
        <w:pStyle w:val="ARfinbodylargespace"/>
        <w:rPr>
          <w:highlight w:val="green"/>
        </w:rPr>
      </w:pPr>
      <w:r>
        <w:t>The Department has the following service concession arrangements:</w:t>
      </w:r>
    </w:p>
    <w:tbl>
      <w:tblPr>
        <w:tblStyle w:val="TableGrid"/>
        <w:tblW w:w="5000" w:type="pct"/>
        <w:tblLook w:val="06A0" w:firstRow="1" w:lastRow="0" w:firstColumn="1" w:lastColumn="0" w:noHBand="1" w:noVBand="1"/>
      </w:tblPr>
      <w:tblGrid>
        <w:gridCol w:w="2342"/>
        <w:gridCol w:w="772"/>
        <w:gridCol w:w="1416"/>
        <w:gridCol w:w="1274"/>
        <w:gridCol w:w="1274"/>
        <w:gridCol w:w="1274"/>
        <w:gridCol w:w="1270"/>
      </w:tblGrid>
      <w:tr w:rsidR="00067C8D" w:rsidRPr="00BA7805" w14:paraId="00B62560"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1217" w:type="pct"/>
          </w:tcPr>
          <w:p w14:paraId="36B10F98" w14:textId="77777777" w:rsidR="005B131E" w:rsidRPr="001735BC" w:rsidRDefault="005B131E">
            <w:pPr>
              <w:pStyle w:val="ARfintablecolhead"/>
            </w:pPr>
            <w:r>
              <w:t>Commissioned</w:t>
            </w:r>
            <w:r w:rsidRPr="001735BC">
              <w:t xml:space="preserve"> 2024</w:t>
            </w:r>
          </w:p>
        </w:tc>
        <w:tc>
          <w:tcPr>
            <w:tcW w:w="401" w:type="pct"/>
            <w:shd w:val="clear" w:color="auto" w:fill="auto"/>
          </w:tcPr>
          <w:p w14:paraId="41B01A5A" w14:textId="77777777" w:rsidR="005B131E" w:rsidRPr="001735BC" w:rsidRDefault="005B131E">
            <w:pPr>
              <w:pStyle w:val="ARfintablecolhead"/>
            </w:pPr>
            <w:r w:rsidRPr="001735BC">
              <w:t>Notes</w:t>
            </w:r>
          </w:p>
        </w:tc>
        <w:tc>
          <w:tcPr>
            <w:tcW w:w="736" w:type="pct"/>
            <w:shd w:val="clear" w:color="auto" w:fill="auto"/>
          </w:tcPr>
          <w:p w14:paraId="1BEFCA43" w14:textId="77777777" w:rsidR="005B131E" w:rsidRPr="001735BC" w:rsidRDefault="005B131E">
            <w:pPr>
              <w:pStyle w:val="ARfintablecolhead"/>
            </w:pPr>
            <w:r w:rsidRPr="001735BC">
              <w:t>Classification of arrangement</w:t>
            </w:r>
          </w:p>
        </w:tc>
        <w:tc>
          <w:tcPr>
            <w:tcW w:w="662" w:type="pct"/>
            <w:shd w:val="clear" w:color="auto" w:fill="E7E6E6" w:themeFill="accent4"/>
          </w:tcPr>
          <w:p w14:paraId="592F1E77" w14:textId="77777777" w:rsidR="005B131E" w:rsidRPr="001735BC" w:rsidRDefault="005B131E">
            <w:pPr>
              <w:pStyle w:val="ARfintablecolheadright"/>
            </w:pPr>
            <w:r w:rsidRPr="001735BC">
              <w:t>Carrying amount of asset as at 30 June</w:t>
            </w:r>
            <w:r>
              <w:t xml:space="preserve"> </w:t>
            </w:r>
            <w:r w:rsidRPr="001735BC">
              <w:rPr>
                <w:rStyle w:val="Superscript"/>
              </w:rPr>
              <w:t>(</w:t>
            </w:r>
            <w:r>
              <w:rPr>
                <w:rStyle w:val="Superscript"/>
              </w:rPr>
              <w:t>i</w:t>
            </w:r>
            <w:r w:rsidRPr="001735BC">
              <w:rPr>
                <w:rStyle w:val="Superscript"/>
              </w:rPr>
              <w:t>)</w:t>
            </w:r>
          </w:p>
          <w:p w14:paraId="7FB0A8EC" w14:textId="77777777" w:rsidR="005B131E" w:rsidRPr="001735BC" w:rsidRDefault="005B131E">
            <w:pPr>
              <w:pStyle w:val="ARfintablecolheadright"/>
            </w:pPr>
            <w:r w:rsidRPr="001735BC">
              <w:t>$000</w:t>
            </w:r>
          </w:p>
        </w:tc>
        <w:tc>
          <w:tcPr>
            <w:tcW w:w="662" w:type="pct"/>
            <w:shd w:val="clear" w:color="auto" w:fill="auto"/>
          </w:tcPr>
          <w:p w14:paraId="374D62F1" w14:textId="77777777" w:rsidR="005B131E" w:rsidRPr="001735BC" w:rsidRDefault="005B131E">
            <w:pPr>
              <w:pStyle w:val="ARfintablecolheadright"/>
            </w:pPr>
            <w:r w:rsidRPr="001735BC">
              <w:t>Carrying amount of liability as at 30 June</w:t>
            </w:r>
            <w:r>
              <w:t xml:space="preserve"> </w:t>
            </w:r>
            <w:r w:rsidRPr="001735BC">
              <w:rPr>
                <w:rStyle w:val="Superscript"/>
              </w:rPr>
              <w:t>(</w:t>
            </w:r>
            <w:r>
              <w:rPr>
                <w:rStyle w:val="Superscript"/>
              </w:rPr>
              <w:t>i</w:t>
            </w:r>
            <w:r w:rsidRPr="001735BC">
              <w:rPr>
                <w:rStyle w:val="Superscript"/>
              </w:rPr>
              <w:t>)</w:t>
            </w:r>
          </w:p>
          <w:p w14:paraId="2ED97F1C" w14:textId="77777777" w:rsidR="005B131E" w:rsidRPr="001735BC" w:rsidRDefault="005B131E">
            <w:pPr>
              <w:pStyle w:val="ARfintablecolheadright"/>
            </w:pPr>
            <w:r w:rsidRPr="001735BC">
              <w:t>$000</w:t>
            </w:r>
          </w:p>
        </w:tc>
        <w:tc>
          <w:tcPr>
            <w:tcW w:w="662" w:type="pct"/>
            <w:shd w:val="clear" w:color="auto" w:fill="E7E6E6" w:themeFill="accent4"/>
          </w:tcPr>
          <w:p w14:paraId="68EE1A8E" w14:textId="77777777" w:rsidR="005B131E" w:rsidRPr="001735BC" w:rsidRDefault="005B131E">
            <w:pPr>
              <w:pStyle w:val="ARfintablecolheadright"/>
            </w:pPr>
            <w:r w:rsidRPr="001735BC">
              <w:t>Capital contribution</w:t>
            </w:r>
          </w:p>
          <w:p w14:paraId="117D9B12" w14:textId="77777777" w:rsidR="005B131E" w:rsidRPr="001735BC" w:rsidRDefault="005B131E">
            <w:pPr>
              <w:pStyle w:val="ARfintablecolheadright"/>
            </w:pPr>
            <w:r w:rsidRPr="001735BC">
              <w:t xml:space="preserve">Nominal </w:t>
            </w:r>
            <w:r w:rsidRPr="001735BC">
              <w:br/>
              <w:t>value</w:t>
            </w:r>
          </w:p>
          <w:p w14:paraId="1AB2C115" w14:textId="77777777" w:rsidR="005B131E" w:rsidRPr="001735BC" w:rsidRDefault="005B131E">
            <w:pPr>
              <w:pStyle w:val="ARfintablecolheadright"/>
            </w:pPr>
            <w:r w:rsidRPr="001735BC">
              <w:t>$000</w:t>
            </w:r>
          </w:p>
        </w:tc>
        <w:tc>
          <w:tcPr>
            <w:tcW w:w="662" w:type="pct"/>
            <w:shd w:val="clear" w:color="auto" w:fill="auto"/>
          </w:tcPr>
          <w:p w14:paraId="56A5F74D" w14:textId="77777777" w:rsidR="005B131E" w:rsidRPr="001735BC" w:rsidRDefault="005B131E">
            <w:pPr>
              <w:pStyle w:val="ARfintablecolheadright"/>
            </w:pPr>
            <w:r>
              <w:t xml:space="preserve">Other </w:t>
            </w:r>
            <w:r w:rsidRPr="001735BC">
              <w:t>Commit-ments</w:t>
            </w:r>
            <w:r>
              <w:t xml:space="preserve"> </w:t>
            </w:r>
            <w:r>
              <w:rPr>
                <w:rStyle w:val="Superscript"/>
              </w:rPr>
              <w:t>(ii)</w:t>
            </w:r>
            <w:r w:rsidRPr="001735BC">
              <w:rPr>
                <w:rStyle w:val="Superscript"/>
              </w:rPr>
              <w:t>(i</w:t>
            </w:r>
            <w:r>
              <w:rPr>
                <w:rStyle w:val="Superscript"/>
              </w:rPr>
              <w:t>i</w:t>
            </w:r>
            <w:r w:rsidRPr="001735BC">
              <w:rPr>
                <w:rStyle w:val="Superscript"/>
              </w:rPr>
              <w:t>i)</w:t>
            </w:r>
          </w:p>
          <w:p w14:paraId="380D3969" w14:textId="77777777" w:rsidR="005B131E" w:rsidRPr="001735BC" w:rsidRDefault="005B131E">
            <w:pPr>
              <w:pStyle w:val="ARfintablecolheadright"/>
            </w:pPr>
            <w:r w:rsidRPr="001735BC">
              <w:t xml:space="preserve">Nominal </w:t>
            </w:r>
            <w:r w:rsidRPr="001735BC">
              <w:br/>
              <w:t>value</w:t>
            </w:r>
          </w:p>
          <w:p w14:paraId="6E605552" w14:textId="77777777" w:rsidR="005B131E" w:rsidRPr="001735BC" w:rsidRDefault="005B131E">
            <w:pPr>
              <w:pStyle w:val="ARfintablecolheadright"/>
            </w:pPr>
            <w:r w:rsidRPr="001735BC">
              <w:t>$000</w:t>
            </w:r>
          </w:p>
        </w:tc>
      </w:tr>
      <w:tr w:rsidR="005B131E" w:rsidRPr="00BA7805" w14:paraId="6B16C803" w14:textId="77777777" w:rsidTr="002542E1">
        <w:trPr>
          <w:cantSplit w:val="0"/>
        </w:trPr>
        <w:tc>
          <w:tcPr>
            <w:tcW w:w="1217" w:type="pct"/>
          </w:tcPr>
          <w:p w14:paraId="66C48DA5" w14:textId="1B8DEFA5" w:rsidR="005B131E" w:rsidRPr="00BA7805" w:rsidRDefault="005B131E" w:rsidP="002542E1">
            <w:pPr>
              <w:pStyle w:val="ARfintablebody"/>
              <w:rPr>
                <w:highlight w:val="green"/>
              </w:rPr>
            </w:pPr>
            <w:r w:rsidRPr="00B1707D">
              <w:t xml:space="preserve">Ground Lease Model 1 </w:t>
            </w:r>
            <w:r>
              <w:t>–</w:t>
            </w:r>
            <w:r w:rsidRPr="00B1707D">
              <w:t xml:space="preserve"> PHRP phase 1</w:t>
            </w:r>
            <w:r w:rsidR="008125ED">
              <w:t xml:space="preserve"> </w:t>
            </w:r>
            <w:r w:rsidRPr="001735BC">
              <w:rPr>
                <w:rStyle w:val="Superscript"/>
              </w:rPr>
              <w:t>(</w:t>
            </w:r>
            <w:r>
              <w:rPr>
                <w:rStyle w:val="Superscript"/>
              </w:rPr>
              <w:t>iv)</w:t>
            </w:r>
          </w:p>
        </w:tc>
        <w:tc>
          <w:tcPr>
            <w:tcW w:w="401" w:type="pct"/>
            <w:shd w:val="clear" w:color="auto" w:fill="auto"/>
          </w:tcPr>
          <w:p w14:paraId="1D7ACE82" w14:textId="77777777" w:rsidR="005B131E" w:rsidRPr="00BA7805" w:rsidRDefault="005B131E" w:rsidP="002542E1">
            <w:pPr>
              <w:pStyle w:val="ARfintablebody"/>
              <w:rPr>
                <w:highlight w:val="green"/>
              </w:rPr>
            </w:pPr>
            <w:r w:rsidRPr="00B1707D">
              <w:t>7.5.3.1</w:t>
            </w:r>
          </w:p>
        </w:tc>
        <w:tc>
          <w:tcPr>
            <w:tcW w:w="736" w:type="pct"/>
            <w:shd w:val="clear" w:color="auto" w:fill="auto"/>
          </w:tcPr>
          <w:p w14:paraId="0B510ED2" w14:textId="77777777" w:rsidR="005B131E" w:rsidRPr="00BA7805" w:rsidRDefault="005B131E" w:rsidP="002542E1">
            <w:pPr>
              <w:pStyle w:val="ARfintablebody"/>
              <w:rPr>
                <w:highlight w:val="green"/>
              </w:rPr>
            </w:pPr>
            <w:r w:rsidRPr="00B1707D">
              <w:t>Hybrid (GORTO &amp; Financial Liability)</w:t>
            </w:r>
          </w:p>
        </w:tc>
        <w:tc>
          <w:tcPr>
            <w:tcW w:w="662" w:type="pct"/>
            <w:shd w:val="clear" w:color="auto" w:fill="E7E6E6" w:themeFill="accent4"/>
          </w:tcPr>
          <w:p w14:paraId="3FB24D9B" w14:textId="77777777" w:rsidR="005B131E" w:rsidRPr="00BA7805" w:rsidRDefault="005B131E" w:rsidP="002542E1">
            <w:pPr>
              <w:pStyle w:val="ARfintablebodyright"/>
              <w:rPr>
                <w:highlight w:val="green"/>
              </w:rPr>
            </w:pPr>
            <w:r w:rsidRPr="00B1707D">
              <w:t>349,015</w:t>
            </w:r>
          </w:p>
        </w:tc>
        <w:tc>
          <w:tcPr>
            <w:tcW w:w="662" w:type="pct"/>
            <w:shd w:val="clear" w:color="auto" w:fill="auto"/>
          </w:tcPr>
          <w:p w14:paraId="3657F971" w14:textId="77777777" w:rsidR="005B131E" w:rsidRPr="00BA7805" w:rsidRDefault="005B131E" w:rsidP="002542E1">
            <w:pPr>
              <w:pStyle w:val="ARfintablebodyright"/>
              <w:rPr>
                <w:highlight w:val="green"/>
              </w:rPr>
            </w:pPr>
            <w:r w:rsidRPr="00B1707D">
              <w:t>301,535</w:t>
            </w:r>
          </w:p>
        </w:tc>
        <w:tc>
          <w:tcPr>
            <w:tcW w:w="662" w:type="pct"/>
            <w:shd w:val="clear" w:color="auto" w:fill="E7E6E6" w:themeFill="accent4"/>
          </w:tcPr>
          <w:p w14:paraId="68093E7D" w14:textId="77777777" w:rsidR="005B131E" w:rsidRPr="00BA7805" w:rsidRDefault="005B131E" w:rsidP="002542E1">
            <w:pPr>
              <w:pStyle w:val="ARfintablebodyright"/>
              <w:rPr>
                <w:highlight w:val="green"/>
              </w:rPr>
            </w:pPr>
            <w:r>
              <w:t>–</w:t>
            </w:r>
          </w:p>
        </w:tc>
        <w:tc>
          <w:tcPr>
            <w:tcW w:w="662" w:type="pct"/>
            <w:shd w:val="clear" w:color="auto" w:fill="auto"/>
          </w:tcPr>
          <w:p w14:paraId="45AF2477" w14:textId="77777777" w:rsidR="005B131E" w:rsidRPr="00BA7805" w:rsidRDefault="005B131E" w:rsidP="002542E1">
            <w:pPr>
              <w:pStyle w:val="ARfintablebodyright"/>
              <w:rPr>
                <w:highlight w:val="green"/>
              </w:rPr>
            </w:pPr>
            <w:r>
              <w:t>141,846</w:t>
            </w:r>
          </w:p>
        </w:tc>
      </w:tr>
      <w:tr w:rsidR="005B131E" w:rsidRPr="00BA7805" w14:paraId="0B4D4CCB" w14:textId="77777777" w:rsidTr="002542E1">
        <w:trPr>
          <w:cantSplit w:val="0"/>
        </w:trPr>
        <w:tc>
          <w:tcPr>
            <w:tcW w:w="5000" w:type="pct"/>
            <w:gridSpan w:val="7"/>
            <w:shd w:val="clear" w:color="auto" w:fill="auto"/>
          </w:tcPr>
          <w:p w14:paraId="640412AC" w14:textId="77777777" w:rsidR="005B131E" w:rsidRPr="00BA7805" w:rsidRDefault="005B131E" w:rsidP="002542E1">
            <w:pPr>
              <w:pStyle w:val="ARfintablebodybold"/>
              <w:rPr>
                <w:highlight w:val="green"/>
              </w:rPr>
            </w:pPr>
            <w:r w:rsidRPr="001735BC">
              <w:t>Uncommissioned 2024</w:t>
            </w:r>
          </w:p>
        </w:tc>
      </w:tr>
      <w:tr w:rsidR="005B131E" w:rsidRPr="00BA7805" w14:paraId="3013357F" w14:textId="77777777" w:rsidTr="002542E1">
        <w:trPr>
          <w:cantSplit w:val="0"/>
        </w:trPr>
        <w:tc>
          <w:tcPr>
            <w:tcW w:w="1217" w:type="pct"/>
          </w:tcPr>
          <w:p w14:paraId="2F87C856" w14:textId="77777777" w:rsidR="005B131E" w:rsidRPr="00BA7805" w:rsidRDefault="005B131E" w:rsidP="002542E1">
            <w:pPr>
              <w:pStyle w:val="ARfintablebody"/>
              <w:rPr>
                <w:highlight w:val="green"/>
              </w:rPr>
            </w:pPr>
            <w:r w:rsidRPr="000F1139">
              <w:t xml:space="preserve">Ground Lease Model 1 </w:t>
            </w:r>
            <w:r>
              <w:t>–</w:t>
            </w:r>
            <w:r w:rsidRPr="000F1139">
              <w:t xml:space="preserve"> Flemington phase 2</w:t>
            </w:r>
          </w:p>
        </w:tc>
        <w:tc>
          <w:tcPr>
            <w:tcW w:w="401" w:type="pct"/>
            <w:shd w:val="clear" w:color="auto" w:fill="auto"/>
          </w:tcPr>
          <w:p w14:paraId="071D54C0" w14:textId="77777777" w:rsidR="005B131E" w:rsidRPr="00BA7805" w:rsidRDefault="005B131E" w:rsidP="002542E1">
            <w:pPr>
              <w:pStyle w:val="ARfintablebody"/>
              <w:rPr>
                <w:highlight w:val="green"/>
              </w:rPr>
            </w:pPr>
            <w:r w:rsidRPr="000F1139">
              <w:t>7.5.3.2</w:t>
            </w:r>
          </w:p>
        </w:tc>
        <w:tc>
          <w:tcPr>
            <w:tcW w:w="736" w:type="pct"/>
            <w:shd w:val="clear" w:color="auto" w:fill="auto"/>
          </w:tcPr>
          <w:p w14:paraId="0B49047F" w14:textId="77777777" w:rsidR="005B131E" w:rsidRPr="00BA7805" w:rsidRDefault="005B131E" w:rsidP="002542E1">
            <w:pPr>
              <w:pStyle w:val="ARfintablebody"/>
              <w:rPr>
                <w:highlight w:val="green"/>
              </w:rPr>
            </w:pPr>
            <w:r w:rsidRPr="000F1139">
              <w:t>GORTO Liability</w:t>
            </w:r>
          </w:p>
        </w:tc>
        <w:tc>
          <w:tcPr>
            <w:tcW w:w="662" w:type="pct"/>
            <w:shd w:val="clear" w:color="auto" w:fill="E7E6E6" w:themeFill="accent4"/>
          </w:tcPr>
          <w:p w14:paraId="0B3E3F33" w14:textId="77777777" w:rsidR="005B131E" w:rsidRPr="00BA7805" w:rsidRDefault="005B131E" w:rsidP="002542E1">
            <w:pPr>
              <w:pStyle w:val="ARfintablebodyright"/>
              <w:rPr>
                <w:highlight w:val="green"/>
              </w:rPr>
            </w:pPr>
            <w:r w:rsidRPr="000F1139">
              <w:t>21,258</w:t>
            </w:r>
          </w:p>
        </w:tc>
        <w:tc>
          <w:tcPr>
            <w:tcW w:w="662" w:type="pct"/>
            <w:shd w:val="clear" w:color="auto" w:fill="auto"/>
          </w:tcPr>
          <w:p w14:paraId="6E0B50CE" w14:textId="77777777" w:rsidR="005B131E" w:rsidRPr="00BA7805" w:rsidRDefault="005B131E" w:rsidP="002542E1">
            <w:pPr>
              <w:pStyle w:val="ARfintablebodyright"/>
              <w:rPr>
                <w:highlight w:val="green"/>
              </w:rPr>
            </w:pPr>
            <w:r w:rsidRPr="000F1139">
              <w:t>4,480</w:t>
            </w:r>
          </w:p>
        </w:tc>
        <w:tc>
          <w:tcPr>
            <w:tcW w:w="662" w:type="pct"/>
            <w:shd w:val="clear" w:color="auto" w:fill="E7E6E6" w:themeFill="accent4"/>
          </w:tcPr>
          <w:p w14:paraId="4327E167" w14:textId="77777777" w:rsidR="005B131E" w:rsidRPr="00BA7805" w:rsidRDefault="005B131E" w:rsidP="002542E1">
            <w:pPr>
              <w:pStyle w:val="ARfintablebodyright"/>
              <w:rPr>
                <w:highlight w:val="green"/>
              </w:rPr>
            </w:pPr>
            <w:r w:rsidRPr="000F1139">
              <w:t>121,266</w:t>
            </w:r>
          </w:p>
        </w:tc>
        <w:tc>
          <w:tcPr>
            <w:tcW w:w="662" w:type="pct"/>
            <w:shd w:val="clear" w:color="auto" w:fill="auto"/>
          </w:tcPr>
          <w:p w14:paraId="6BFEFBEA" w14:textId="77777777" w:rsidR="005B131E" w:rsidRPr="00BA7805" w:rsidRDefault="005B131E" w:rsidP="002542E1">
            <w:pPr>
              <w:pStyle w:val="ARfintablebodyright"/>
              <w:rPr>
                <w:highlight w:val="green"/>
              </w:rPr>
            </w:pPr>
            <w:r>
              <w:t>-</w:t>
            </w:r>
          </w:p>
        </w:tc>
      </w:tr>
      <w:tr w:rsidR="005B131E" w:rsidRPr="00BA7805" w14:paraId="409A7F84" w14:textId="77777777" w:rsidTr="002542E1">
        <w:trPr>
          <w:cantSplit w:val="0"/>
        </w:trPr>
        <w:tc>
          <w:tcPr>
            <w:tcW w:w="1217" w:type="pct"/>
          </w:tcPr>
          <w:p w14:paraId="6BF81BC8" w14:textId="2F2F5121" w:rsidR="005B131E" w:rsidRPr="00BA7805" w:rsidRDefault="005B131E" w:rsidP="002542E1">
            <w:pPr>
              <w:pStyle w:val="ARfintablebody"/>
              <w:rPr>
                <w:highlight w:val="green"/>
              </w:rPr>
            </w:pPr>
            <w:r w:rsidRPr="000F1139">
              <w:t>Ground Lease Model 2</w:t>
            </w:r>
            <w:r w:rsidR="008125ED">
              <w:t xml:space="preserve"> </w:t>
            </w:r>
            <w:r w:rsidRPr="001735BC">
              <w:rPr>
                <w:rStyle w:val="Superscript"/>
              </w:rPr>
              <w:t>(</w:t>
            </w:r>
            <w:r>
              <w:rPr>
                <w:rStyle w:val="Superscript"/>
              </w:rPr>
              <w:t>v)</w:t>
            </w:r>
          </w:p>
        </w:tc>
        <w:tc>
          <w:tcPr>
            <w:tcW w:w="401" w:type="pct"/>
            <w:shd w:val="clear" w:color="auto" w:fill="auto"/>
          </w:tcPr>
          <w:p w14:paraId="284EAEE9" w14:textId="77777777" w:rsidR="005B131E" w:rsidRPr="00BA7805" w:rsidRDefault="005B131E" w:rsidP="002542E1">
            <w:pPr>
              <w:pStyle w:val="ARfintablebody"/>
              <w:rPr>
                <w:highlight w:val="green"/>
              </w:rPr>
            </w:pPr>
            <w:r w:rsidRPr="000F1139">
              <w:t>7.5.3.3</w:t>
            </w:r>
          </w:p>
        </w:tc>
        <w:tc>
          <w:tcPr>
            <w:tcW w:w="736" w:type="pct"/>
            <w:shd w:val="clear" w:color="auto" w:fill="auto"/>
          </w:tcPr>
          <w:p w14:paraId="6D98DFCE" w14:textId="77777777" w:rsidR="005B131E" w:rsidRPr="00BA7805" w:rsidRDefault="005B131E" w:rsidP="002542E1">
            <w:pPr>
              <w:pStyle w:val="ARfintablebody"/>
              <w:rPr>
                <w:highlight w:val="green"/>
              </w:rPr>
            </w:pPr>
            <w:r w:rsidRPr="000F1139">
              <w:t>Hybrid (GORTO &amp; Financial Liability)</w:t>
            </w:r>
          </w:p>
        </w:tc>
        <w:tc>
          <w:tcPr>
            <w:tcW w:w="662" w:type="pct"/>
            <w:shd w:val="clear" w:color="auto" w:fill="E7E6E6" w:themeFill="accent4"/>
          </w:tcPr>
          <w:p w14:paraId="1CCEE6C3" w14:textId="77777777" w:rsidR="005B131E" w:rsidRPr="00BA7805" w:rsidRDefault="005B131E" w:rsidP="002542E1">
            <w:pPr>
              <w:pStyle w:val="ARfintablebodyright"/>
              <w:rPr>
                <w:highlight w:val="green"/>
              </w:rPr>
            </w:pPr>
            <w:r w:rsidRPr="000F1139">
              <w:t>69,926</w:t>
            </w:r>
          </w:p>
        </w:tc>
        <w:tc>
          <w:tcPr>
            <w:tcW w:w="662" w:type="pct"/>
            <w:shd w:val="clear" w:color="auto" w:fill="auto"/>
          </w:tcPr>
          <w:p w14:paraId="4877834F" w14:textId="77777777" w:rsidR="005B131E" w:rsidRPr="00BA7805" w:rsidRDefault="005B131E" w:rsidP="002542E1">
            <w:pPr>
              <w:pStyle w:val="ARfintablebodyright"/>
              <w:rPr>
                <w:highlight w:val="green"/>
              </w:rPr>
            </w:pPr>
            <w:r w:rsidRPr="000F1139">
              <w:t>69,926</w:t>
            </w:r>
          </w:p>
        </w:tc>
        <w:tc>
          <w:tcPr>
            <w:tcW w:w="662" w:type="pct"/>
            <w:shd w:val="clear" w:color="auto" w:fill="E7E6E6" w:themeFill="accent4"/>
          </w:tcPr>
          <w:p w14:paraId="2BF53794" w14:textId="77777777" w:rsidR="005B131E" w:rsidRPr="00BA7805" w:rsidRDefault="005B131E" w:rsidP="002542E1">
            <w:pPr>
              <w:pStyle w:val="ARfintablebodyright"/>
              <w:rPr>
                <w:highlight w:val="green"/>
              </w:rPr>
            </w:pPr>
            <w:r>
              <w:t>180,000</w:t>
            </w:r>
          </w:p>
        </w:tc>
        <w:tc>
          <w:tcPr>
            <w:tcW w:w="662" w:type="pct"/>
            <w:shd w:val="clear" w:color="auto" w:fill="auto"/>
          </w:tcPr>
          <w:p w14:paraId="79620659" w14:textId="77777777" w:rsidR="005B131E" w:rsidRPr="00BA7805" w:rsidRDefault="005B131E" w:rsidP="002542E1">
            <w:pPr>
              <w:pStyle w:val="ARfintablebodyright"/>
              <w:rPr>
                <w:highlight w:val="green"/>
              </w:rPr>
            </w:pPr>
            <w:r>
              <w:t>1,715,364</w:t>
            </w:r>
          </w:p>
        </w:tc>
      </w:tr>
    </w:tbl>
    <w:p w14:paraId="021AB61C" w14:textId="77777777" w:rsidR="005B131E" w:rsidRPr="00CD67DA" w:rsidRDefault="005B131E" w:rsidP="002542E1">
      <w:pPr>
        <w:pStyle w:val="ARfintablefootnote"/>
      </w:pPr>
      <w:r w:rsidRPr="00CD67DA">
        <w:t>Notes:</w:t>
      </w:r>
    </w:p>
    <w:p w14:paraId="55C90AC4" w14:textId="314D5081" w:rsidR="005B131E" w:rsidRPr="00CD387B" w:rsidRDefault="005B131E" w:rsidP="002542E1">
      <w:pPr>
        <w:pStyle w:val="ARfintablefootnotetabindent"/>
        <w:rPr>
          <w:color w:val="auto"/>
        </w:rPr>
      </w:pPr>
      <w:r w:rsidRPr="00CD387B">
        <w:rPr>
          <w:color w:val="auto"/>
        </w:rPr>
        <w:t>(i)</w:t>
      </w:r>
      <w:r w:rsidRPr="00CD387B">
        <w:rPr>
          <w:color w:val="auto"/>
        </w:rPr>
        <w:tab/>
        <w:t xml:space="preserve">For arrangements within the scope of AASB 1059, on transition and at initial recognition a public sector grantor is required to record the asset(s) used in the service concession arrangement at current replacement cost in accordance with the cost approach to fair value under AASB 13 Fair Value Measurement, with a related liability, which in the case of the </w:t>
      </w:r>
      <w:r w:rsidR="00170A10">
        <w:rPr>
          <w:color w:val="auto"/>
        </w:rPr>
        <w:t>p</w:t>
      </w:r>
      <w:r w:rsidR="00170A10" w:rsidRPr="00CD387B">
        <w:rPr>
          <w:color w:val="auto"/>
        </w:rPr>
        <w:t xml:space="preserve">roject </w:t>
      </w:r>
      <w:r w:rsidRPr="00CD387B">
        <w:rPr>
          <w:color w:val="auto"/>
        </w:rPr>
        <w:t xml:space="preserve">results in the combination of a financial liability and a </w:t>
      </w:r>
      <w:r w:rsidR="00711AE6">
        <w:rPr>
          <w:color w:val="auto"/>
        </w:rPr>
        <w:t>‘</w:t>
      </w:r>
      <w:r w:rsidR="006336E7">
        <w:rPr>
          <w:color w:val="auto"/>
        </w:rPr>
        <w:t>g</w:t>
      </w:r>
      <w:r w:rsidRPr="00CD387B">
        <w:rPr>
          <w:color w:val="auto"/>
        </w:rPr>
        <w:t xml:space="preserve">rant </w:t>
      </w:r>
      <w:r w:rsidR="006336E7">
        <w:rPr>
          <w:color w:val="auto"/>
        </w:rPr>
        <w:t>o</w:t>
      </w:r>
      <w:r w:rsidRPr="00CD387B">
        <w:rPr>
          <w:color w:val="auto"/>
        </w:rPr>
        <w:t xml:space="preserve">f </w:t>
      </w:r>
      <w:r w:rsidR="006336E7">
        <w:rPr>
          <w:color w:val="auto"/>
        </w:rPr>
        <w:t>a</w:t>
      </w:r>
      <w:r w:rsidRPr="00CD387B">
        <w:rPr>
          <w:color w:val="auto"/>
        </w:rPr>
        <w:t xml:space="preserve"> </w:t>
      </w:r>
      <w:r w:rsidR="006336E7">
        <w:rPr>
          <w:color w:val="auto"/>
        </w:rPr>
        <w:t>r</w:t>
      </w:r>
      <w:r w:rsidRPr="00CD387B">
        <w:rPr>
          <w:color w:val="auto"/>
        </w:rPr>
        <w:t xml:space="preserve">ight </w:t>
      </w:r>
      <w:r w:rsidR="006336E7">
        <w:rPr>
          <w:color w:val="auto"/>
        </w:rPr>
        <w:t>t</w:t>
      </w:r>
      <w:r w:rsidRPr="00CD387B">
        <w:rPr>
          <w:color w:val="auto"/>
        </w:rPr>
        <w:t xml:space="preserve">o </w:t>
      </w:r>
      <w:r w:rsidR="006336E7">
        <w:rPr>
          <w:color w:val="auto"/>
        </w:rPr>
        <w:t>t</w:t>
      </w:r>
      <w:r w:rsidRPr="00CD387B">
        <w:rPr>
          <w:color w:val="auto"/>
        </w:rPr>
        <w:t xml:space="preserve">he </w:t>
      </w:r>
      <w:r w:rsidR="006336E7">
        <w:rPr>
          <w:color w:val="auto"/>
        </w:rPr>
        <w:t>o</w:t>
      </w:r>
      <w:r w:rsidRPr="00CD387B">
        <w:rPr>
          <w:color w:val="auto"/>
        </w:rPr>
        <w:t>perator</w:t>
      </w:r>
      <w:r w:rsidR="00711AE6">
        <w:rPr>
          <w:color w:val="auto"/>
        </w:rPr>
        <w:t>’</w:t>
      </w:r>
      <w:r w:rsidRPr="00CD387B">
        <w:rPr>
          <w:color w:val="auto"/>
        </w:rPr>
        <w:t xml:space="preserve"> or GORTO liability. </w:t>
      </w:r>
    </w:p>
    <w:p w14:paraId="1CAEDCB2" w14:textId="351D2053" w:rsidR="005B131E" w:rsidRPr="00CD387B" w:rsidRDefault="005B131E" w:rsidP="002542E1">
      <w:pPr>
        <w:pStyle w:val="ARfintablefootnotetabindent"/>
        <w:rPr>
          <w:color w:val="auto"/>
        </w:rPr>
      </w:pPr>
      <w:r w:rsidRPr="00CD387B">
        <w:rPr>
          <w:color w:val="auto"/>
        </w:rPr>
        <w:t xml:space="preserve">(ii) </w:t>
      </w:r>
      <w:r w:rsidRPr="00CD387B">
        <w:rPr>
          <w:color w:val="auto"/>
        </w:rPr>
        <w:tab/>
        <w:t xml:space="preserve">Total commitments represent the nominal value of the total service payments to be incurred during the </w:t>
      </w:r>
      <w:r w:rsidR="00170A10">
        <w:rPr>
          <w:color w:val="auto"/>
        </w:rPr>
        <w:t>p</w:t>
      </w:r>
      <w:r w:rsidRPr="00CD387B">
        <w:rPr>
          <w:color w:val="auto"/>
        </w:rPr>
        <w:t>roject</w:t>
      </w:r>
      <w:r w:rsidR="00711AE6">
        <w:rPr>
          <w:color w:val="auto"/>
        </w:rPr>
        <w:t>’</w:t>
      </w:r>
      <w:r w:rsidRPr="00CD387B">
        <w:rPr>
          <w:color w:val="auto"/>
        </w:rPr>
        <w:t xml:space="preserve">s 40-year operations phase and includes the capital contribution component. </w:t>
      </w:r>
    </w:p>
    <w:p w14:paraId="7B555AD3" w14:textId="45481DB4" w:rsidR="005B131E" w:rsidRPr="00CD387B" w:rsidRDefault="005B131E" w:rsidP="002542E1">
      <w:pPr>
        <w:pStyle w:val="ARfintablefootnotetabindent"/>
        <w:rPr>
          <w:color w:val="auto"/>
        </w:rPr>
      </w:pPr>
      <w:r w:rsidRPr="00CD387B">
        <w:rPr>
          <w:color w:val="auto"/>
        </w:rPr>
        <w:t>(iii)</w:t>
      </w:r>
      <w:r w:rsidR="00B04C06">
        <w:rPr>
          <w:color w:val="auto"/>
        </w:rPr>
        <w:t xml:space="preserve"> </w:t>
      </w:r>
      <w:r w:rsidR="008125ED">
        <w:rPr>
          <w:color w:val="auto"/>
        </w:rPr>
        <w:tab/>
      </w:r>
      <w:r w:rsidRPr="00CD387B">
        <w:rPr>
          <w:color w:val="auto"/>
        </w:rPr>
        <w:t>The total nominal value of the commitments includes GST.</w:t>
      </w:r>
    </w:p>
    <w:p w14:paraId="148A3968" w14:textId="396DDD1B" w:rsidR="005B131E" w:rsidRPr="00CD387B" w:rsidRDefault="005B131E" w:rsidP="002542E1">
      <w:pPr>
        <w:pStyle w:val="ARfintablefootnotetabindent"/>
        <w:rPr>
          <w:color w:val="auto"/>
        </w:rPr>
      </w:pPr>
      <w:r w:rsidRPr="00CD387B">
        <w:rPr>
          <w:color w:val="auto"/>
        </w:rPr>
        <w:t xml:space="preserve">(iv) </w:t>
      </w:r>
      <w:r w:rsidR="008125ED">
        <w:rPr>
          <w:color w:val="auto"/>
        </w:rPr>
        <w:tab/>
      </w:r>
      <w:r w:rsidRPr="00CD387B">
        <w:rPr>
          <w:color w:val="auto"/>
        </w:rPr>
        <w:t xml:space="preserve">Capital contribution for Ground Lease Model 1 </w:t>
      </w:r>
      <w:r w:rsidR="006D69EE">
        <w:rPr>
          <w:color w:val="auto"/>
        </w:rPr>
        <w:t xml:space="preserve">– </w:t>
      </w:r>
      <w:r w:rsidR="006D69EE" w:rsidRPr="00CD387B">
        <w:rPr>
          <w:color w:val="auto"/>
        </w:rPr>
        <w:t xml:space="preserve"> </w:t>
      </w:r>
      <w:r w:rsidRPr="00CD387B">
        <w:rPr>
          <w:color w:val="auto"/>
        </w:rPr>
        <w:t xml:space="preserve">PHRP phase 1 has been fully drawn down over the construction term. </w:t>
      </w:r>
    </w:p>
    <w:p w14:paraId="15C8FBDD" w14:textId="39CE8E6A" w:rsidR="005B131E" w:rsidRPr="00CD387B" w:rsidRDefault="005B131E" w:rsidP="002542E1">
      <w:pPr>
        <w:pStyle w:val="ARfintablefootnotetabindent"/>
        <w:rPr>
          <w:color w:val="auto"/>
        </w:rPr>
      </w:pPr>
      <w:r w:rsidRPr="00CD387B">
        <w:rPr>
          <w:color w:val="auto"/>
        </w:rPr>
        <w:t>(v)</w:t>
      </w:r>
      <w:r w:rsidR="00B04C06">
        <w:rPr>
          <w:color w:val="auto"/>
        </w:rPr>
        <w:t xml:space="preserve"> </w:t>
      </w:r>
      <w:r w:rsidR="008125ED">
        <w:rPr>
          <w:color w:val="auto"/>
        </w:rPr>
        <w:tab/>
      </w:r>
      <w:r w:rsidRPr="00CD387B">
        <w:rPr>
          <w:color w:val="auto"/>
        </w:rPr>
        <w:t>Homes Victoria will make a capital contribution amounting to $180 million during the development phase.</w:t>
      </w:r>
    </w:p>
    <w:p w14:paraId="5A72FFC9" w14:textId="77777777" w:rsidR="005B131E" w:rsidRPr="00BA7805" w:rsidRDefault="005B131E" w:rsidP="002542E1">
      <w:pPr>
        <w:pStyle w:val="ARfinbody"/>
        <w:rPr>
          <w:highlight w:val="green"/>
        </w:rPr>
      </w:pPr>
    </w:p>
    <w:tbl>
      <w:tblPr>
        <w:tblStyle w:val="TableGrid"/>
        <w:tblW w:w="5000" w:type="pct"/>
        <w:tblLook w:val="06A0" w:firstRow="1" w:lastRow="0" w:firstColumn="1" w:lastColumn="0" w:noHBand="1" w:noVBand="1"/>
      </w:tblPr>
      <w:tblGrid>
        <w:gridCol w:w="2342"/>
        <w:gridCol w:w="772"/>
        <w:gridCol w:w="1634"/>
        <w:gridCol w:w="1193"/>
        <w:gridCol w:w="1193"/>
        <w:gridCol w:w="1301"/>
        <w:gridCol w:w="1187"/>
      </w:tblGrid>
      <w:tr w:rsidR="00067C8D" w:rsidRPr="00BA7805" w14:paraId="421598DB"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1217" w:type="pct"/>
          </w:tcPr>
          <w:p w14:paraId="08CBAC32" w14:textId="77777777" w:rsidR="005B131E" w:rsidRPr="00BA7805" w:rsidRDefault="005B131E" w:rsidP="002542E1">
            <w:pPr>
              <w:pStyle w:val="ARfintablecolhead"/>
              <w:rPr>
                <w:highlight w:val="green"/>
              </w:rPr>
            </w:pPr>
            <w:r w:rsidRPr="001735BC">
              <w:t>Uncommissioned 202</w:t>
            </w:r>
            <w:r>
              <w:t>3</w:t>
            </w:r>
          </w:p>
        </w:tc>
        <w:tc>
          <w:tcPr>
            <w:tcW w:w="401" w:type="pct"/>
          </w:tcPr>
          <w:p w14:paraId="0899BC68" w14:textId="77777777" w:rsidR="005B131E" w:rsidRPr="00BA7805" w:rsidRDefault="005B131E" w:rsidP="002542E1">
            <w:pPr>
              <w:pStyle w:val="ARfintablecolhead"/>
              <w:rPr>
                <w:highlight w:val="green"/>
              </w:rPr>
            </w:pPr>
            <w:r w:rsidRPr="001735BC">
              <w:t>Notes</w:t>
            </w:r>
          </w:p>
        </w:tc>
        <w:tc>
          <w:tcPr>
            <w:tcW w:w="849" w:type="pct"/>
          </w:tcPr>
          <w:p w14:paraId="0CDD84C7" w14:textId="77777777" w:rsidR="005B131E" w:rsidRPr="00BA7805" w:rsidRDefault="005B131E" w:rsidP="002542E1">
            <w:pPr>
              <w:pStyle w:val="ARfintablecolhead"/>
              <w:rPr>
                <w:highlight w:val="green"/>
              </w:rPr>
            </w:pPr>
            <w:r w:rsidRPr="001735BC">
              <w:t>Classification of arrangement</w:t>
            </w:r>
          </w:p>
        </w:tc>
        <w:tc>
          <w:tcPr>
            <w:tcW w:w="620" w:type="pct"/>
            <w:shd w:val="clear" w:color="auto" w:fill="E7E6E6" w:themeFill="accent4"/>
          </w:tcPr>
          <w:p w14:paraId="293B731A" w14:textId="77777777" w:rsidR="005B131E" w:rsidRPr="001735BC" w:rsidRDefault="005B131E" w:rsidP="002542E1">
            <w:pPr>
              <w:pStyle w:val="ARfintablecolheadright"/>
            </w:pPr>
            <w:r w:rsidRPr="001735BC">
              <w:t>Carrying amount of asset as at 30 June</w:t>
            </w:r>
          </w:p>
          <w:p w14:paraId="68BB77BF" w14:textId="77777777" w:rsidR="005B131E" w:rsidRPr="00BA7805" w:rsidRDefault="005B131E" w:rsidP="002542E1">
            <w:pPr>
              <w:pStyle w:val="ARfintablecolheadright"/>
              <w:rPr>
                <w:highlight w:val="green"/>
              </w:rPr>
            </w:pPr>
            <w:r w:rsidRPr="001735BC">
              <w:t>$000</w:t>
            </w:r>
          </w:p>
        </w:tc>
        <w:tc>
          <w:tcPr>
            <w:tcW w:w="620" w:type="pct"/>
          </w:tcPr>
          <w:p w14:paraId="7AEDC947" w14:textId="77777777" w:rsidR="005B131E" w:rsidRPr="001735BC" w:rsidRDefault="005B131E" w:rsidP="002542E1">
            <w:pPr>
              <w:pStyle w:val="ARfintablecolheadright"/>
            </w:pPr>
            <w:r w:rsidRPr="001735BC">
              <w:t>Carrying amount of liability as at 30 June</w:t>
            </w:r>
          </w:p>
          <w:p w14:paraId="0F4FA268" w14:textId="77777777" w:rsidR="005B131E" w:rsidRPr="00BA7805" w:rsidRDefault="005B131E" w:rsidP="002542E1">
            <w:pPr>
              <w:pStyle w:val="ARfintablecolheadright"/>
              <w:rPr>
                <w:highlight w:val="green"/>
              </w:rPr>
            </w:pPr>
            <w:r w:rsidRPr="001735BC">
              <w:t>$000</w:t>
            </w:r>
          </w:p>
        </w:tc>
        <w:tc>
          <w:tcPr>
            <w:tcW w:w="676" w:type="pct"/>
            <w:shd w:val="clear" w:color="auto" w:fill="E7E6E6" w:themeFill="accent4"/>
          </w:tcPr>
          <w:p w14:paraId="7D161BC3" w14:textId="77777777" w:rsidR="005B131E" w:rsidRPr="001735BC" w:rsidRDefault="005B131E" w:rsidP="002542E1">
            <w:pPr>
              <w:pStyle w:val="ARfintablecolheadright"/>
            </w:pPr>
            <w:r w:rsidRPr="001735BC">
              <w:t>Capital contribution</w:t>
            </w:r>
          </w:p>
          <w:p w14:paraId="5433F995" w14:textId="77777777" w:rsidR="005B131E" w:rsidRPr="001735BC" w:rsidRDefault="005B131E" w:rsidP="002542E1">
            <w:pPr>
              <w:pStyle w:val="ARfintablecolheadright"/>
            </w:pPr>
            <w:r w:rsidRPr="001735BC">
              <w:t xml:space="preserve">Nominal </w:t>
            </w:r>
            <w:r w:rsidRPr="001735BC">
              <w:br/>
              <w:t>value</w:t>
            </w:r>
          </w:p>
          <w:p w14:paraId="68FA98C7" w14:textId="77777777" w:rsidR="005B131E" w:rsidRPr="00BA7805" w:rsidRDefault="005B131E" w:rsidP="002542E1">
            <w:pPr>
              <w:pStyle w:val="ARfintablecolheadright"/>
              <w:rPr>
                <w:highlight w:val="green"/>
              </w:rPr>
            </w:pPr>
            <w:r w:rsidRPr="001735BC">
              <w:t>$000</w:t>
            </w:r>
          </w:p>
        </w:tc>
        <w:tc>
          <w:tcPr>
            <w:tcW w:w="617" w:type="pct"/>
          </w:tcPr>
          <w:p w14:paraId="70C3E75A" w14:textId="77777777" w:rsidR="005B131E" w:rsidRPr="001735BC" w:rsidRDefault="005B131E" w:rsidP="002542E1">
            <w:pPr>
              <w:pStyle w:val="ARfintablecolheadright"/>
            </w:pPr>
            <w:r w:rsidRPr="001735BC">
              <w:t xml:space="preserve">Commit-ments </w:t>
            </w:r>
            <w:r w:rsidRPr="001735BC">
              <w:rPr>
                <w:rStyle w:val="Superscript"/>
              </w:rPr>
              <w:t>(i)(ii)</w:t>
            </w:r>
          </w:p>
          <w:p w14:paraId="268F5877" w14:textId="77777777" w:rsidR="005B131E" w:rsidRPr="001735BC" w:rsidRDefault="005B131E" w:rsidP="002542E1">
            <w:pPr>
              <w:pStyle w:val="ARfintablecolheadright"/>
            </w:pPr>
            <w:r w:rsidRPr="001735BC">
              <w:t xml:space="preserve">Nominal </w:t>
            </w:r>
            <w:r w:rsidRPr="001735BC">
              <w:br/>
              <w:t>value</w:t>
            </w:r>
          </w:p>
          <w:p w14:paraId="64418EF1" w14:textId="77777777" w:rsidR="005B131E" w:rsidRPr="00BA7805" w:rsidRDefault="005B131E" w:rsidP="002542E1">
            <w:pPr>
              <w:pStyle w:val="ARfintablecolheadright"/>
              <w:rPr>
                <w:highlight w:val="green"/>
              </w:rPr>
            </w:pPr>
            <w:r w:rsidRPr="001735BC">
              <w:t>$000</w:t>
            </w:r>
          </w:p>
        </w:tc>
      </w:tr>
      <w:tr w:rsidR="005B131E" w:rsidRPr="00BA7805" w14:paraId="06CF3EC1" w14:textId="77777777" w:rsidTr="002542E1">
        <w:trPr>
          <w:cantSplit w:val="0"/>
        </w:trPr>
        <w:tc>
          <w:tcPr>
            <w:tcW w:w="1217" w:type="pct"/>
          </w:tcPr>
          <w:p w14:paraId="5195D336" w14:textId="77777777" w:rsidR="005B131E" w:rsidRPr="00BA7805" w:rsidRDefault="005B131E" w:rsidP="002542E1">
            <w:pPr>
              <w:pStyle w:val="ARfintablebody"/>
              <w:rPr>
                <w:highlight w:val="green"/>
              </w:rPr>
            </w:pPr>
            <w:r w:rsidRPr="00454195">
              <w:t xml:space="preserve">Ground Lease Model 1 </w:t>
            </w:r>
            <w:r>
              <w:t>–</w:t>
            </w:r>
            <w:r w:rsidRPr="00454195">
              <w:t xml:space="preserve"> PHRP</w:t>
            </w:r>
          </w:p>
        </w:tc>
        <w:tc>
          <w:tcPr>
            <w:tcW w:w="401" w:type="pct"/>
          </w:tcPr>
          <w:p w14:paraId="7BD4ADA8" w14:textId="77777777" w:rsidR="005B131E" w:rsidRPr="00BA7805" w:rsidRDefault="005B131E" w:rsidP="002542E1">
            <w:pPr>
              <w:pStyle w:val="ARfintablebody"/>
              <w:rPr>
                <w:highlight w:val="green"/>
              </w:rPr>
            </w:pPr>
            <w:r w:rsidRPr="00454195">
              <w:t>7.5.3.1</w:t>
            </w:r>
          </w:p>
        </w:tc>
        <w:tc>
          <w:tcPr>
            <w:tcW w:w="849" w:type="pct"/>
          </w:tcPr>
          <w:p w14:paraId="29170D94" w14:textId="77777777" w:rsidR="005B131E" w:rsidRPr="00BA7805" w:rsidRDefault="005B131E" w:rsidP="002542E1">
            <w:pPr>
              <w:pStyle w:val="ARfintablebody"/>
              <w:rPr>
                <w:highlight w:val="green"/>
              </w:rPr>
            </w:pPr>
            <w:r w:rsidRPr="00454195">
              <w:t>Hybrid (GORTO &amp; Financial Liability)</w:t>
            </w:r>
          </w:p>
        </w:tc>
        <w:tc>
          <w:tcPr>
            <w:tcW w:w="620" w:type="pct"/>
            <w:shd w:val="clear" w:color="auto" w:fill="E7E6E6" w:themeFill="accent4"/>
          </w:tcPr>
          <w:p w14:paraId="7470B0DE" w14:textId="77777777" w:rsidR="005B131E" w:rsidRPr="00BA7805" w:rsidRDefault="005B131E" w:rsidP="002542E1">
            <w:pPr>
              <w:pStyle w:val="ARfintablebodyright"/>
              <w:rPr>
                <w:highlight w:val="green"/>
              </w:rPr>
            </w:pPr>
            <w:r w:rsidRPr="00454195">
              <w:t>315,444</w:t>
            </w:r>
          </w:p>
        </w:tc>
        <w:tc>
          <w:tcPr>
            <w:tcW w:w="620" w:type="pct"/>
          </w:tcPr>
          <w:p w14:paraId="223E2724" w14:textId="77777777" w:rsidR="005B131E" w:rsidRPr="00BA7805" w:rsidRDefault="005B131E" w:rsidP="002542E1">
            <w:pPr>
              <w:pStyle w:val="ARfintablebodyright"/>
              <w:rPr>
                <w:highlight w:val="green"/>
              </w:rPr>
            </w:pPr>
            <w:r w:rsidRPr="00454195">
              <w:t>277,476</w:t>
            </w:r>
          </w:p>
        </w:tc>
        <w:tc>
          <w:tcPr>
            <w:tcW w:w="676" w:type="pct"/>
            <w:shd w:val="clear" w:color="auto" w:fill="E7E6E6" w:themeFill="accent4"/>
          </w:tcPr>
          <w:p w14:paraId="45705889" w14:textId="77777777" w:rsidR="005B131E" w:rsidRPr="00BA7805" w:rsidRDefault="005B131E" w:rsidP="002542E1">
            <w:pPr>
              <w:pStyle w:val="ARfintablebodyright"/>
              <w:rPr>
                <w:highlight w:val="green"/>
              </w:rPr>
            </w:pPr>
            <w:r w:rsidRPr="00454195">
              <w:t>12,031</w:t>
            </w:r>
          </w:p>
        </w:tc>
        <w:tc>
          <w:tcPr>
            <w:tcW w:w="617" w:type="pct"/>
          </w:tcPr>
          <w:p w14:paraId="02014C0D" w14:textId="77777777" w:rsidR="005B131E" w:rsidRPr="00BA7805" w:rsidRDefault="005B131E" w:rsidP="002542E1">
            <w:pPr>
              <w:pStyle w:val="ARfintablebodyright"/>
              <w:rPr>
                <w:highlight w:val="green"/>
              </w:rPr>
            </w:pPr>
            <w:r w:rsidRPr="00454195">
              <w:t>702,210</w:t>
            </w:r>
          </w:p>
        </w:tc>
      </w:tr>
    </w:tbl>
    <w:p w14:paraId="57A73626" w14:textId="77777777" w:rsidR="005B131E" w:rsidRPr="00CD67DA" w:rsidRDefault="005B131E" w:rsidP="002542E1">
      <w:pPr>
        <w:pStyle w:val="ARfintablefootnote"/>
      </w:pPr>
      <w:r w:rsidRPr="00CD67DA">
        <w:t>Notes:</w:t>
      </w:r>
    </w:p>
    <w:p w14:paraId="44D53DF1" w14:textId="0614A61D" w:rsidR="005B131E" w:rsidRDefault="005B131E" w:rsidP="002542E1">
      <w:pPr>
        <w:pStyle w:val="ARfintablefootnotetabindent"/>
      </w:pPr>
      <w:r>
        <w:t xml:space="preserve">(i) </w:t>
      </w:r>
      <w:r>
        <w:tab/>
        <w:t xml:space="preserve">Total commitments represent the nominal value of the total service payments to be incurred during the </w:t>
      </w:r>
      <w:r w:rsidR="00170A10">
        <w:t>p</w:t>
      </w:r>
      <w:r>
        <w:t>roject</w:t>
      </w:r>
      <w:r w:rsidR="00711AE6">
        <w:t>’</w:t>
      </w:r>
      <w:r>
        <w:t>s 40-year operations phase and includes the capital contribution component.</w:t>
      </w:r>
    </w:p>
    <w:p w14:paraId="43B6118E" w14:textId="77777777" w:rsidR="005B131E" w:rsidRDefault="005B131E" w:rsidP="002542E1">
      <w:pPr>
        <w:pStyle w:val="ARfintablefootnotetabindent"/>
      </w:pPr>
      <w:r>
        <w:t xml:space="preserve">(ii) </w:t>
      </w:r>
      <w:r>
        <w:tab/>
        <w:t>The total nominal value of the commitments includes GST.</w:t>
      </w:r>
    </w:p>
    <w:p w14:paraId="3ACC479B" w14:textId="77777777" w:rsidR="005B131E" w:rsidRDefault="005B131E" w:rsidP="002542E1">
      <w:pPr>
        <w:pStyle w:val="Heading6"/>
      </w:pPr>
      <w:r>
        <w:t>Arrangement specific details</w:t>
      </w:r>
    </w:p>
    <w:p w14:paraId="49E3E90A" w14:textId="77777777" w:rsidR="005B131E" w:rsidRDefault="005B131E" w:rsidP="002542E1">
      <w:pPr>
        <w:pStyle w:val="Heading7"/>
      </w:pPr>
      <w:r>
        <w:t>7.5.3.1 Ground Lease Model project – Public Housing Renewal Program 1</w:t>
      </w:r>
    </w:p>
    <w:p w14:paraId="476FF568" w14:textId="77777777" w:rsidR="005B131E" w:rsidRDefault="005B131E" w:rsidP="002542E1">
      <w:pPr>
        <w:pStyle w:val="Heading8"/>
      </w:pPr>
      <w:r>
        <w:t xml:space="preserve">Operator: Building </w:t>
      </w:r>
      <w:r w:rsidRPr="00587E9C">
        <w:t>Communities</w:t>
      </w:r>
      <w:r>
        <w:t xml:space="preserve"> (Vic) Ltd</w:t>
      </w:r>
    </w:p>
    <w:p w14:paraId="2D266947" w14:textId="77777777" w:rsidR="005B131E" w:rsidRPr="00587E9C" w:rsidRDefault="005B131E" w:rsidP="002542E1">
      <w:pPr>
        <w:pStyle w:val="Heading9"/>
      </w:pPr>
      <w:r>
        <w:t>Concession period: 40 years</w:t>
      </w:r>
    </w:p>
    <w:p w14:paraId="35A1A21C" w14:textId="61355AAF" w:rsidR="005B131E" w:rsidRDefault="005B131E" w:rsidP="002542E1">
      <w:pPr>
        <w:pStyle w:val="ARfinbody"/>
      </w:pPr>
      <w:r>
        <w:t>In June 2021, Homes Victoria achieved financial close on a housing arrangement whereby it has appointed the Building Communities consortium to finance, design, construct, maintain and operate construct and operate 619 brand</w:t>
      </w:r>
      <w:r w:rsidR="00E934EB">
        <w:t>-</w:t>
      </w:r>
      <w:r>
        <w:t>new social housing dwellings, 112 affordable homes, 327 private rental dwellings and 26 Specialist Disability Accommodation dwellings, at existing housing sites at Brighton, Flemington and Prahran.</w:t>
      </w:r>
    </w:p>
    <w:p w14:paraId="14D4D36F" w14:textId="23E3293F" w:rsidR="005B131E" w:rsidRDefault="005B131E" w:rsidP="002542E1">
      <w:pPr>
        <w:pStyle w:val="ARfinbody"/>
      </w:pPr>
      <w:r>
        <w:t xml:space="preserve">The </w:t>
      </w:r>
      <w:r w:rsidR="00124B01">
        <w:t>3</w:t>
      </w:r>
      <w:r>
        <w:t xml:space="preserve"> redeveloped sites have been delivered under a Ground Lease Model on a fully</w:t>
      </w:r>
      <w:r w:rsidR="00640AEF">
        <w:t xml:space="preserve"> </w:t>
      </w:r>
      <w:r>
        <w:t>financed, build-to-rent basis. The ground lease will be delivered as a Public Private Partnership arrangement under the Partnerships Victoria framework. Construction of the assets commenced in 2021 and Commercial Acceptance was achieved in early 2024. The service concession arrangement is now in the Operational Phase.</w:t>
      </w:r>
    </w:p>
    <w:p w14:paraId="43BFF2D6" w14:textId="5CB2277B" w:rsidR="005B131E" w:rsidRDefault="005B131E" w:rsidP="002542E1">
      <w:pPr>
        <w:pStyle w:val="ARfinbody"/>
      </w:pPr>
      <w:r>
        <w:t>A ground</w:t>
      </w:r>
      <w:r w:rsidR="0016084F">
        <w:t xml:space="preserve"> </w:t>
      </w:r>
      <w:r>
        <w:t xml:space="preserve">lease model is being used for this package whereby title to public land and dwellings (which will have a residual design life) will revert to Homes Victoria at the end of the 40-year concession period. </w:t>
      </w:r>
      <w:r>
        <w:br w:type="page"/>
      </w:r>
    </w:p>
    <w:p w14:paraId="35D3C759" w14:textId="77777777" w:rsidR="005B131E" w:rsidRDefault="005B131E" w:rsidP="002542E1">
      <w:pPr>
        <w:pStyle w:val="ARfinbody"/>
      </w:pPr>
      <w:r>
        <w:t>Homes Victoria is contracted to make quarterly service payments for the 40-year operating term, which will include both a capital and a life cycle component. While operating the dwellings, Building Communities will perform the following functions: asset management, community engagement, maintenance and lifecycle replacement, tenancy management and residential lease management.</w:t>
      </w:r>
    </w:p>
    <w:p w14:paraId="18935F60" w14:textId="77777777" w:rsidR="005B131E" w:rsidRDefault="005B131E" w:rsidP="002542E1">
      <w:pPr>
        <w:pStyle w:val="Heading7"/>
      </w:pPr>
      <w:r>
        <w:t xml:space="preserve">7.5.3.2 Ground Lease Model 1 Flemington Phase 2 project </w:t>
      </w:r>
    </w:p>
    <w:p w14:paraId="68BEA8A2" w14:textId="77777777" w:rsidR="005B131E" w:rsidRDefault="005B131E" w:rsidP="002542E1">
      <w:pPr>
        <w:pStyle w:val="Heading8"/>
      </w:pPr>
      <w:r>
        <w:t>Operator: Building Communities (Vic) Ltd</w:t>
      </w:r>
    </w:p>
    <w:p w14:paraId="755848FB" w14:textId="77777777" w:rsidR="005B131E" w:rsidRDefault="005B131E" w:rsidP="002542E1">
      <w:pPr>
        <w:pStyle w:val="Heading9"/>
      </w:pPr>
      <w:r>
        <w:t>Concession period: 40 years</w:t>
      </w:r>
    </w:p>
    <w:p w14:paraId="56F4C83B" w14:textId="77777777" w:rsidR="005B131E" w:rsidRPr="00182A1F" w:rsidRDefault="005B131E" w:rsidP="002542E1">
      <w:pPr>
        <w:pStyle w:val="ARfinbody"/>
      </w:pPr>
      <w:r>
        <w:t xml:space="preserve">In </w:t>
      </w:r>
      <w:r w:rsidRPr="00182A1F">
        <w:t>August 2023, Homes Victoria achieved financial close on a housing arrangement Modification to the Ground Lease</w:t>
      </w:r>
      <w:r>
        <w:t xml:space="preserve"> </w:t>
      </w:r>
      <w:r w:rsidRPr="00182A1F">
        <w:t>Model 1 (GLM1) Project Deed whereby it appointed the Building Communities consortium to finance, design, construct,</w:t>
      </w:r>
      <w:r>
        <w:t xml:space="preserve"> </w:t>
      </w:r>
      <w:r w:rsidRPr="00182A1F">
        <w:t>maintain and operate an additional 50 new social housing dwellings, 221 affordable rental homes and 15 Specialist</w:t>
      </w:r>
      <w:r>
        <w:t xml:space="preserve"> </w:t>
      </w:r>
      <w:r w:rsidRPr="00182A1F">
        <w:t>Disability Accommodation dwellings, at the Holland Court Flemington housing site (Flemington Phase 2).</w:t>
      </w:r>
    </w:p>
    <w:p w14:paraId="07B273CD" w14:textId="77777777" w:rsidR="005B131E" w:rsidRPr="00182A1F" w:rsidRDefault="005B131E" w:rsidP="002542E1">
      <w:pPr>
        <w:pStyle w:val="ARfinbody"/>
      </w:pPr>
      <w:r w:rsidRPr="00182A1F">
        <w:t>The scope is being delivered as a Modification to the base GLM1 project on a fully financed, build-to-rent basis. GLM1, including Flemington Phase 2 is being delivered as a Public Private Partnership arrangement under the Partnerships Victoria framework.</w:t>
      </w:r>
    </w:p>
    <w:p w14:paraId="64113651" w14:textId="77777777" w:rsidR="005B131E" w:rsidRPr="00182A1F" w:rsidRDefault="005B131E" w:rsidP="002542E1">
      <w:pPr>
        <w:pStyle w:val="ARfinbody"/>
      </w:pPr>
      <w:r w:rsidRPr="00182A1F">
        <w:t>Enabling works and remediation works for Flemington Phase 2 commenced in mid-2024. Main works construction of the assets is expected to commence in late 2024 and Commercial Acceptance is expected by late 2026.</w:t>
      </w:r>
    </w:p>
    <w:p w14:paraId="035DC022" w14:textId="39A19278" w:rsidR="005B131E" w:rsidRPr="00182A1F" w:rsidRDefault="005B131E" w:rsidP="002542E1">
      <w:pPr>
        <w:pStyle w:val="ARfinbody"/>
      </w:pPr>
      <w:r w:rsidRPr="00182A1F">
        <w:t>A ground</w:t>
      </w:r>
      <w:r w:rsidR="0016084F">
        <w:t xml:space="preserve"> </w:t>
      </w:r>
      <w:r w:rsidRPr="00182A1F">
        <w:t>lease model is being used for this project whereby title to public land and dwellings (which will have a residual design life) remains with Homes Victoria and control of the assets will revert to Homes Victoria at the end of the 40-year concession period.</w:t>
      </w:r>
    </w:p>
    <w:p w14:paraId="3EA091BF" w14:textId="77777777" w:rsidR="005B131E" w:rsidRDefault="005B131E" w:rsidP="002542E1">
      <w:pPr>
        <w:pStyle w:val="ARfinbody"/>
      </w:pPr>
      <w:r w:rsidRPr="00182A1F">
        <w:t>Notwithstanding that the consortium</w:t>
      </w:r>
      <w:r>
        <w:t xml:space="preserve"> will operate and maintain the assets for the 40-year concession term, there are no quarterly service payments that apply to this Modification. While operating the dwellings for the 40-year concession period, Building Communities will perform the following functions: asset management, community engagement, maintenance and lifecycle replacement, tenancy management and residential lease management.</w:t>
      </w:r>
    </w:p>
    <w:p w14:paraId="31042B79" w14:textId="77777777" w:rsidR="005B131E" w:rsidRDefault="005B131E" w:rsidP="002542E1">
      <w:pPr>
        <w:pStyle w:val="Heading7"/>
      </w:pPr>
      <w:r>
        <w:t xml:space="preserve">7.5.3.3 Ground Lease Model 2 project </w:t>
      </w:r>
    </w:p>
    <w:p w14:paraId="080487B1" w14:textId="77777777" w:rsidR="005B131E" w:rsidRDefault="005B131E" w:rsidP="002542E1">
      <w:pPr>
        <w:pStyle w:val="Heading8"/>
      </w:pPr>
      <w:r>
        <w:t xml:space="preserve">Operator: Building Even Better Communities Limited </w:t>
      </w:r>
    </w:p>
    <w:p w14:paraId="30D656C3" w14:textId="77777777" w:rsidR="005B131E" w:rsidRDefault="005B131E" w:rsidP="002542E1">
      <w:pPr>
        <w:pStyle w:val="Heading9"/>
      </w:pPr>
      <w:r>
        <w:t>Concession period: 40 years</w:t>
      </w:r>
    </w:p>
    <w:p w14:paraId="29CB38EE" w14:textId="067CD7F2" w:rsidR="005B131E" w:rsidRDefault="005B131E" w:rsidP="002542E1">
      <w:pPr>
        <w:pStyle w:val="ARfinbody"/>
      </w:pPr>
      <w:r>
        <w:t>In November 2023, Homes Victoria achieved financial close on a housing arrangement whereby it appointed the Building Even Better Communities consortium to finance, design, construct, maintain and operate 659 brand</w:t>
      </w:r>
      <w:r w:rsidR="00640AEF">
        <w:t>-</w:t>
      </w:r>
      <w:r>
        <w:t>new social housing dwellings, 182 affordable rental homes, 473 private rental dwellings and 56 Specialist Disability Accommodation dwellings, at existing housing sites at Simmons Street South Yarra, Essex Street Prahran, Bluff Road Hampton East and Barak-Beacon Port Melbourne.</w:t>
      </w:r>
    </w:p>
    <w:p w14:paraId="7453BDE0" w14:textId="7E7503ED" w:rsidR="005B131E" w:rsidRDefault="005B131E" w:rsidP="002542E1">
      <w:pPr>
        <w:pStyle w:val="ARfinbody"/>
      </w:pPr>
      <w:r>
        <w:t xml:space="preserve">The </w:t>
      </w:r>
      <w:r w:rsidR="00124B01">
        <w:t>4</w:t>
      </w:r>
      <w:r>
        <w:t xml:space="preserve"> sites are being delivered under a Ground Lease Model on a fully financed, build-to-rent basis. The ground lease will be delivered as a Public Private Partnership arrangement under the Partnerships Victoria framework. Construction of the assets will commence in late 2024 and Commercial Acceptance is expected by late 2026. </w:t>
      </w:r>
    </w:p>
    <w:p w14:paraId="4BA83C27" w14:textId="6A2490F5" w:rsidR="005B131E" w:rsidRDefault="005B131E" w:rsidP="002542E1">
      <w:pPr>
        <w:pStyle w:val="ARfinbody"/>
      </w:pPr>
      <w:r>
        <w:t>A ground</w:t>
      </w:r>
      <w:r w:rsidR="0016084F">
        <w:t xml:space="preserve"> </w:t>
      </w:r>
      <w:r>
        <w:t>lease model is being used for this package whereby title to public land and dwellings (which will have a residual design life) will remain with Homes Victoria during the 40-year concession period and control of the assets will revert to Homes Victoria at the end of the 40-year concession period.</w:t>
      </w:r>
    </w:p>
    <w:p w14:paraId="10186EBA" w14:textId="77777777" w:rsidR="005B131E" w:rsidRDefault="005B131E" w:rsidP="002542E1">
      <w:pPr>
        <w:pStyle w:val="ARfinbody"/>
      </w:pPr>
      <w:r>
        <w:t>Homes Victoria is contracted to make quarterly service payments for the 40-year operating term, which will include both a capital and a life cycle component. While operating the dwellings, Building Even Better Communities will perform the following functions: asset management, community engagement, maintenance and lifecycle replacement, tenancy management and residential lease management.</w:t>
      </w:r>
    </w:p>
    <w:p w14:paraId="145C7EC9" w14:textId="77777777" w:rsidR="005B131E" w:rsidRPr="00BA7805" w:rsidRDefault="005B131E" w:rsidP="005C7C7D">
      <w:pPr>
        <w:pStyle w:val="ARbody"/>
        <w:rPr>
          <w:highlight w:val="green"/>
          <w:lang w:eastAsia="en-AU"/>
        </w:rPr>
      </w:pPr>
      <w:r w:rsidRPr="00BA7805">
        <w:rPr>
          <w:highlight w:val="green"/>
        </w:rPr>
        <w:br w:type="page"/>
      </w:r>
    </w:p>
    <w:p w14:paraId="3B7894C0" w14:textId="77777777" w:rsidR="005B131E" w:rsidRPr="0089743D" w:rsidRDefault="005B131E">
      <w:pPr>
        <w:pStyle w:val="Heading3"/>
      </w:pPr>
      <w:bookmarkStart w:id="279" w:name="_Toc181101553"/>
      <w:r w:rsidRPr="0089743D">
        <w:t>8. Risks, contingencies and valuation judgements</w:t>
      </w:r>
      <w:bookmarkEnd w:id="279"/>
    </w:p>
    <w:p w14:paraId="1BEF5847" w14:textId="77777777" w:rsidR="005B131E" w:rsidRDefault="005B131E" w:rsidP="002542E1">
      <w:pPr>
        <w:pStyle w:val="Heading4"/>
      </w:pPr>
      <w:r>
        <w:t>Introduction</w:t>
      </w:r>
    </w:p>
    <w:p w14:paraId="481A5D0E" w14:textId="77777777" w:rsidR="005B131E" w:rsidRDefault="005B131E" w:rsidP="002542E1">
      <w:pPr>
        <w:pStyle w:val="ARfinbody"/>
      </w:pPr>
      <w:r>
        <w:t>The department is exposed to risk from its activities and outside factors. In addition, it is often necessary to make judgements and estimates associated with recognition and measurement of items in the financial statements. This section sets out financial instrument specific information (including exposures to financial risks), as well as those items that are contingent in nature or require a higher level of judgement to be applied, which for the department relate mainly to fair value determination.</w:t>
      </w:r>
    </w:p>
    <w:p w14:paraId="3670C3F1" w14:textId="77777777" w:rsidR="005B131E" w:rsidRDefault="005B131E" w:rsidP="002542E1">
      <w:pPr>
        <w:pStyle w:val="Heading4"/>
      </w:pPr>
      <w:r>
        <w:t>Structure</w:t>
      </w:r>
    </w:p>
    <w:p w14:paraId="1F19D6EF" w14:textId="77777777" w:rsidR="005B131E" w:rsidRDefault="005B131E" w:rsidP="002542E1">
      <w:pPr>
        <w:pStyle w:val="ARfinstructure1"/>
      </w:pPr>
      <w:r>
        <w:t xml:space="preserve">8.1 </w:t>
      </w:r>
      <w:r>
        <w:tab/>
        <w:t>Financial instruments specific disclosures</w:t>
      </w:r>
    </w:p>
    <w:p w14:paraId="3D575542" w14:textId="77777777" w:rsidR="005B131E" w:rsidRDefault="005B131E" w:rsidP="002542E1">
      <w:pPr>
        <w:pStyle w:val="ARfinstructure2"/>
      </w:pPr>
      <w:r>
        <w:t xml:space="preserve">8.1.1 </w:t>
      </w:r>
      <w:r>
        <w:tab/>
        <w:t>Financial instruments: Categorisation</w:t>
      </w:r>
    </w:p>
    <w:p w14:paraId="5A6E94EC" w14:textId="77777777" w:rsidR="005B131E" w:rsidRDefault="005B131E" w:rsidP="002542E1">
      <w:pPr>
        <w:pStyle w:val="ARfinstructure2"/>
      </w:pPr>
      <w:r>
        <w:t xml:space="preserve">8.1.2 </w:t>
      </w:r>
      <w:r>
        <w:tab/>
        <w:t>Financial instruments: Net holding gain/(loss) on financial instruments by category</w:t>
      </w:r>
    </w:p>
    <w:p w14:paraId="5F541AAB" w14:textId="77777777" w:rsidR="005B131E" w:rsidRDefault="005B131E" w:rsidP="002542E1">
      <w:pPr>
        <w:pStyle w:val="ARfinstructure2"/>
      </w:pPr>
      <w:r>
        <w:t xml:space="preserve">8.1.3 </w:t>
      </w:r>
      <w:r>
        <w:tab/>
        <w:t>Financial risk management objectives and policies</w:t>
      </w:r>
    </w:p>
    <w:p w14:paraId="388FF268" w14:textId="77777777" w:rsidR="005B131E" w:rsidRDefault="005B131E" w:rsidP="002542E1">
      <w:pPr>
        <w:pStyle w:val="ARfinstructure1"/>
      </w:pPr>
      <w:r>
        <w:t xml:space="preserve">8.2 </w:t>
      </w:r>
      <w:r>
        <w:tab/>
        <w:t>Contingent assets and contingent liabilities</w:t>
      </w:r>
    </w:p>
    <w:p w14:paraId="055342EC" w14:textId="77777777" w:rsidR="005B131E" w:rsidRDefault="005B131E" w:rsidP="002542E1">
      <w:pPr>
        <w:pStyle w:val="ARfinstructure1"/>
      </w:pPr>
      <w:r>
        <w:t xml:space="preserve">8.3 </w:t>
      </w:r>
      <w:r>
        <w:tab/>
        <w:t>Fair value determination</w:t>
      </w:r>
    </w:p>
    <w:p w14:paraId="663B019E" w14:textId="77777777" w:rsidR="005B131E" w:rsidRDefault="005B131E" w:rsidP="002542E1">
      <w:pPr>
        <w:pStyle w:val="ARfinstructure2"/>
      </w:pPr>
      <w:r>
        <w:t xml:space="preserve">8.3.1 </w:t>
      </w:r>
      <w:r>
        <w:tab/>
        <w:t>Fair value determination of financial assets and liabilities</w:t>
      </w:r>
    </w:p>
    <w:p w14:paraId="00B9F8D9" w14:textId="77777777" w:rsidR="005B131E" w:rsidRDefault="005B131E" w:rsidP="002542E1">
      <w:pPr>
        <w:pStyle w:val="ARfinstructure2"/>
      </w:pPr>
      <w:r>
        <w:t xml:space="preserve">8.3.2 </w:t>
      </w:r>
      <w:r>
        <w:tab/>
        <w:t>Fair value determination of non-financial physical assets</w:t>
      </w:r>
    </w:p>
    <w:p w14:paraId="798C4644" w14:textId="77777777" w:rsidR="005B131E" w:rsidRDefault="005B131E" w:rsidP="002542E1">
      <w:pPr>
        <w:pStyle w:val="Heading4"/>
      </w:pPr>
      <w:r>
        <w:t>8.1 Financial instruments specific disclosures</w:t>
      </w:r>
    </w:p>
    <w:p w14:paraId="157089B4" w14:textId="77777777" w:rsidR="005B131E" w:rsidRDefault="005B131E" w:rsidP="002542E1">
      <w:pPr>
        <w:pStyle w:val="Heading5"/>
      </w:pPr>
      <w:r>
        <w:t>Introduction</w:t>
      </w:r>
    </w:p>
    <w:p w14:paraId="195F8C18" w14:textId="17D9FC92" w:rsidR="005B131E" w:rsidRDefault="005B131E" w:rsidP="002542E1">
      <w:pPr>
        <w:pStyle w:val="ARfinbody"/>
      </w:pPr>
      <w:r>
        <w:t>Financial instruments arise out of contractual agreements that give rise to a financial asset of one entity and a financial liability or equity instrument of another entity. Due to the nature of the department</w:t>
      </w:r>
      <w:r w:rsidR="00711AE6">
        <w:t>’</w:t>
      </w:r>
      <w:r>
        <w:t xml:space="preserve">s activities, certain financial assets and financial liabilities arise under statute rather than a contract (for example taxes, fines and penalties). Such assets and liabilities do not meet the definition of financial instruments in AASB 132 </w:t>
      </w:r>
      <w:r w:rsidRPr="00992B8F">
        <w:rPr>
          <w:rStyle w:val="Emphasis"/>
        </w:rPr>
        <w:t>Financial Instruments: Presentation</w:t>
      </w:r>
      <w:r>
        <w:t xml:space="preserve">. </w:t>
      </w:r>
    </w:p>
    <w:p w14:paraId="018E360F" w14:textId="77777777" w:rsidR="005B131E" w:rsidRDefault="005B131E" w:rsidP="002542E1">
      <w:pPr>
        <w:pStyle w:val="ARfinbody"/>
      </w:pPr>
      <w:r>
        <w:t>Guarantees issued on behalf of the department are financial instruments because, although authorised under statute, terms and conditions for each financial guarantee may vary and are subject to an agreement.</w:t>
      </w:r>
    </w:p>
    <w:p w14:paraId="47BC9FE9" w14:textId="77777777" w:rsidR="005B131E" w:rsidRDefault="005B131E" w:rsidP="002542E1">
      <w:pPr>
        <w:pStyle w:val="Heading6"/>
      </w:pPr>
      <w:r>
        <w:t>Categories of financial assets</w:t>
      </w:r>
    </w:p>
    <w:p w14:paraId="2A4F8BE8" w14:textId="77777777" w:rsidR="005B131E" w:rsidRDefault="005B131E" w:rsidP="002542E1">
      <w:pPr>
        <w:pStyle w:val="ARfinbody"/>
      </w:pPr>
      <w:r w:rsidRPr="002F6674">
        <w:rPr>
          <w:rStyle w:val="Strong"/>
        </w:rPr>
        <w:t>Financial assets at amortised costs</w:t>
      </w:r>
      <w:r>
        <w:t xml:space="preserve"> are recognised if both of the following criteria are met and the assets are not designated as fair value through net result:</w:t>
      </w:r>
    </w:p>
    <w:p w14:paraId="48B7158D" w14:textId="77777777" w:rsidR="005B131E" w:rsidRDefault="005B131E" w:rsidP="002542E1">
      <w:pPr>
        <w:pStyle w:val="ARfinbullet1"/>
      </w:pPr>
      <w:r>
        <w:t>the assets are held by the department to collect the contractual cash flows, and</w:t>
      </w:r>
    </w:p>
    <w:p w14:paraId="32C2ACFF" w14:textId="20BB204B" w:rsidR="005B131E" w:rsidRDefault="005B131E" w:rsidP="002542E1">
      <w:pPr>
        <w:pStyle w:val="ARfinbullet1"/>
      </w:pPr>
      <w:r>
        <w:t>the assets</w:t>
      </w:r>
      <w:r w:rsidR="00711AE6">
        <w:t>’</w:t>
      </w:r>
      <w:r>
        <w:t xml:space="preserve"> contractual terms give rise to cash flows that are solely payments of principal and interest.</w:t>
      </w:r>
    </w:p>
    <w:p w14:paraId="71738641" w14:textId="77777777" w:rsidR="005B131E" w:rsidRDefault="005B131E" w:rsidP="002542E1">
      <w:pPr>
        <w:pStyle w:val="ARfinbody"/>
      </w:pPr>
      <w:r>
        <w:t>These assets are initially recognised at fair value plus any directly attributable transaction costs and subsequently measured at amortised cost using the effective interest method less any impairment.</w:t>
      </w:r>
    </w:p>
    <w:p w14:paraId="77F260B9" w14:textId="77777777" w:rsidR="005B131E" w:rsidRDefault="005B131E" w:rsidP="002542E1">
      <w:pPr>
        <w:pStyle w:val="ARfinbody"/>
      </w:pPr>
      <w:r>
        <w:t>The department recognises the following assets in this category:</w:t>
      </w:r>
    </w:p>
    <w:p w14:paraId="287595D1" w14:textId="77777777" w:rsidR="005B131E" w:rsidRDefault="005B131E" w:rsidP="002542E1">
      <w:pPr>
        <w:pStyle w:val="ARfinbullet1"/>
      </w:pPr>
      <w:r>
        <w:t>cash and deposits</w:t>
      </w:r>
    </w:p>
    <w:p w14:paraId="42012919" w14:textId="77777777" w:rsidR="005B131E" w:rsidRDefault="005B131E" w:rsidP="002542E1">
      <w:pPr>
        <w:pStyle w:val="ARfinbullet1"/>
      </w:pPr>
      <w:r>
        <w:t>receivables (excluding statutory receivables)</w:t>
      </w:r>
    </w:p>
    <w:p w14:paraId="41928A6F" w14:textId="77777777" w:rsidR="005B131E" w:rsidRDefault="005B131E" w:rsidP="002542E1">
      <w:pPr>
        <w:pStyle w:val="ARfinbullet1"/>
      </w:pPr>
      <w:r>
        <w:t>short-term deposits</w:t>
      </w:r>
    </w:p>
    <w:p w14:paraId="2DD5A2CF" w14:textId="77777777" w:rsidR="005B131E" w:rsidRDefault="005B131E" w:rsidP="002542E1">
      <w:pPr>
        <w:pStyle w:val="ARfinbullet1"/>
      </w:pPr>
      <w:r>
        <w:t>loan receivables.</w:t>
      </w:r>
    </w:p>
    <w:p w14:paraId="77D3BAE9" w14:textId="77777777" w:rsidR="005B131E" w:rsidRDefault="005B131E" w:rsidP="002542E1">
      <w:pPr>
        <w:pStyle w:val="ARbody"/>
        <w:rPr>
          <w:rFonts w:eastAsia="Verdana" w:cs="ArialMT"/>
          <w:color w:val="000000"/>
          <w:sz w:val="18"/>
          <w:szCs w:val="16"/>
          <w:lang w:eastAsia="en-AU"/>
        </w:rPr>
      </w:pPr>
      <w:r>
        <w:br w:type="page"/>
      </w:r>
    </w:p>
    <w:p w14:paraId="10B66313" w14:textId="77777777" w:rsidR="005B131E" w:rsidRDefault="005B131E" w:rsidP="002542E1">
      <w:pPr>
        <w:pStyle w:val="Heading5"/>
        <w:spacing w:before="0"/>
      </w:pPr>
      <w:r>
        <w:t>Categories of financial liabilities</w:t>
      </w:r>
    </w:p>
    <w:p w14:paraId="40038F11" w14:textId="77777777" w:rsidR="005B131E" w:rsidRDefault="005B131E" w:rsidP="002542E1">
      <w:pPr>
        <w:pStyle w:val="ARfinbody"/>
      </w:pPr>
      <w:r w:rsidRPr="003D45FC">
        <w:rPr>
          <w:rStyle w:val="Strong"/>
        </w:rPr>
        <w:t>Financial liabilities at amortised cost</w:t>
      </w:r>
      <w:r>
        <w:t xml:space="preserve"> are initially recognised on the date they are originated. They are initially measured at fair value plus any directly attributable transaction costs. Subsequent to initial recognition, these financial instruments are measured at amortised cost with any difference between the initially recognised amount and the redemption value being recognised in profit and loss over the period of the interest-bearing liability, using the effective interest rate method. The department recognises the following liabilities in this category:</w:t>
      </w:r>
    </w:p>
    <w:p w14:paraId="63945DBC" w14:textId="77777777" w:rsidR="005B131E" w:rsidRDefault="005B131E" w:rsidP="002542E1">
      <w:pPr>
        <w:pStyle w:val="ARfinbody"/>
      </w:pPr>
      <w:r>
        <w:t>• payables (excluding statutory payables)</w:t>
      </w:r>
    </w:p>
    <w:p w14:paraId="4DDCD7FA" w14:textId="77777777" w:rsidR="005B131E" w:rsidRDefault="005B131E" w:rsidP="002542E1">
      <w:pPr>
        <w:pStyle w:val="ARfinbody"/>
      </w:pPr>
      <w:r>
        <w:t>• borrowings (including lease liabilities).</w:t>
      </w:r>
    </w:p>
    <w:p w14:paraId="2C567421" w14:textId="77777777" w:rsidR="005B131E" w:rsidRDefault="005B131E" w:rsidP="002542E1">
      <w:pPr>
        <w:pStyle w:val="ARfinbody"/>
      </w:pPr>
      <w:r w:rsidRPr="004B1D36">
        <w:rPr>
          <w:rStyle w:val="Strong"/>
        </w:rPr>
        <w:t>Offsetting financial instruments:</w:t>
      </w:r>
      <w:r>
        <w:t xml:space="preserve"> Financial instrument assets and liabilities are offset and the net amount presented in the balance sheet when, and only when, the department has a legal right to offset the amounts and intends either to settle on a net basis or to realise the asset and settle the liability simultaneously. </w:t>
      </w:r>
    </w:p>
    <w:p w14:paraId="0BB1D575" w14:textId="77777777" w:rsidR="005B131E" w:rsidRDefault="005B131E" w:rsidP="002542E1">
      <w:pPr>
        <w:pStyle w:val="ARfinbody"/>
      </w:pPr>
      <w:r>
        <w:t>Some master netting arrangements do not result in an offset of balance sheet assets and liabilities. Where the department does not have a legally enforceable right to offset recognised amounts, because the right to offset is enforceable only on the occurrence of future events such as default, insolvency or bankruptcy, they are reported on a gross basis.</w:t>
      </w:r>
    </w:p>
    <w:p w14:paraId="40569736" w14:textId="77777777" w:rsidR="005B131E" w:rsidRDefault="005B131E" w:rsidP="002542E1">
      <w:pPr>
        <w:pStyle w:val="ARfinbody"/>
      </w:pPr>
      <w:r w:rsidRPr="004B1D36">
        <w:rPr>
          <w:rStyle w:val="Strong"/>
        </w:rPr>
        <w:t>Derecognition of financial assets:</w:t>
      </w:r>
      <w:r>
        <w:t xml:space="preserve"> A financial asset (or, where applicable, a part of a financial asset or part of a group of similar financial assets) is derecognised when:</w:t>
      </w:r>
    </w:p>
    <w:p w14:paraId="54F3C4D0" w14:textId="77777777" w:rsidR="005B131E" w:rsidRDefault="005B131E" w:rsidP="002542E1">
      <w:pPr>
        <w:pStyle w:val="ARfinbullet1"/>
      </w:pPr>
      <w:r>
        <w:t>the rights to receive cash flows from the asset have expired, or</w:t>
      </w:r>
    </w:p>
    <w:p w14:paraId="26D2435E" w14:textId="3B6B4AD8" w:rsidR="005B131E" w:rsidRDefault="005B131E" w:rsidP="002542E1">
      <w:pPr>
        <w:pStyle w:val="ARfinbullet1"/>
      </w:pPr>
      <w:r>
        <w:t xml:space="preserve">the department retains the right to receive cash flows from the asset, but has assumed an obligation to pay them in full without material delay to a third party under a </w:t>
      </w:r>
      <w:r w:rsidR="00711AE6">
        <w:t>‘</w:t>
      </w:r>
      <w:r>
        <w:t>pass through</w:t>
      </w:r>
      <w:r w:rsidR="00711AE6">
        <w:t>’</w:t>
      </w:r>
      <w:r>
        <w:t xml:space="preserve"> arrangement, or</w:t>
      </w:r>
    </w:p>
    <w:p w14:paraId="6B6F44E3" w14:textId="77777777" w:rsidR="005B131E" w:rsidRDefault="005B131E" w:rsidP="002542E1">
      <w:pPr>
        <w:pStyle w:val="ARfinbullet1"/>
      </w:pPr>
      <w:r>
        <w:t>the department has transferred its rights to receive cash flows from the asset and either:</w:t>
      </w:r>
    </w:p>
    <w:p w14:paraId="26B2AD34" w14:textId="77777777" w:rsidR="005B131E" w:rsidRDefault="005B131E" w:rsidP="002542E1">
      <w:pPr>
        <w:pStyle w:val="ARfinbullet2"/>
      </w:pPr>
      <w:r>
        <w:t>has transferred substantially all the risks and rewards of the asset, or</w:t>
      </w:r>
    </w:p>
    <w:p w14:paraId="2FAB7DBB" w14:textId="77777777" w:rsidR="005B131E" w:rsidRDefault="005B131E" w:rsidP="002542E1">
      <w:pPr>
        <w:pStyle w:val="ARfinbullet2"/>
      </w:pPr>
      <w:r>
        <w:t>has neither transferred nor retained substantially all the risks and rewards of the asset but has transferred control of the asset.</w:t>
      </w:r>
    </w:p>
    <w:p w14:paraId="6103409B" w14:textId="1E230D93" w:rsidR="005B131E" w:rsidRDefault="005B131E" w:rsidP="002542E1">
      <w:pPr>
        <w:pStyle w:val="ARfinbody"/>
      </w:pPr>
      <w:r>
        <w:t>Where the department has neither transferred nor retained substantially all the risks and rewards or transferred control, the asset is recognised to the extent of the department</w:t>
      </w:r>
      <w:r w:rsidR="00711AE6">
        <w:t>’</w:t>
      </w:r>
      <w:r>
        <w:t>s continuing involvement in the asset.</w:t>
      </w:r>
    </w:p>
    <w:p w14:paraId="54D253B2" w14:textId="77777777" w:rsidR="005B131E" w:rsidRDefault="005B131E" w:rsidP="002542E1">
      <w:pPr>
        <w:pStyle w:val="ARfinbody"/>
      </w:pPr>
      <w:r w:rsidRPr="004B1D36">
        <w:rPr>
          <w:rStyle w:val="Strong"/>
        </w:rPr>
        <w:t>Derecognition of financial liabilities:</w:t>
      </w:r>
      <w:r>
        <w:t xml:space="preserve"> A financial liability is derecognised when the obligation under the liability is discharged, cancelled or expires.</w:t>
      </w:r>
    </w:p>
    <w:p w14:paraId="23E1C841" w14:textId="5AFF367D" w:rsidR="005B131E" w:rsidRPr="002A658F" w:rsidRDefault="005B131E" w:rsidP="002542E1">
      <w:pPr>
        <w:pStyle w:val="ARfinbodylargespace"/>
      </w:pPr>
      <w:r>
        <w:t xml:space="preserve">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w:t>
      </w:r>
      <w:r w:rsidR="00711AE6">
        <w:t>‘</w:t>
      </w:r>
      <w:r>
        <w:t>other economic flow</w:t>
      </w:r>
      <w:r w:rsidR="00711AE6">
        <w:t>’</w:t>
      </w:r>
      <w:r>
        <w:t xml:space="preserve"> in the comprehensive operating statement.</w:t>
      </w:r>
    </w:p>
    <w:p w14:paraId="27CC315E" w14:textId="77777777" w:rsidR="005B131E" w:rsidRPr="007942D6" w:rsidRDefault="005B131E" w:rsidP="00207901">
      <w:pPr>
        <w:pStyle w:val="Heading5"/>
      </w:pPr>
      <w:bookmarkStart w:id="280" w:name="_Ref178665586"/>
      <w:r w:rsidRPr="007942D6">
        <w:t>8.1.1 Financial instruments: Categorisation</w:t>
      </w:r>
      <w:bookmarkEnd w:id="280"/>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67C8D" w:rsidRPr="00BA7805" w14:paraId="2DD62A8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5F8EAF20" w14:textId="77777777" w:rsidR="005B131E" w:rsidRPr="00BA7805" w:rsidRDefault="005B131E">
            <w:pPr>
              <w:pStyle w:val="ARfintablecolhead"/>
              <w:rPr>
                <w:highlight w:val="green"/>
              </w:rPr>
            </w:pPr>
            <w:r w:rsidRPr="007942D6">
              <w:t>2024</w:t>
            </w:r>
          </w:p>
        </w:tc>
        <w:tc>
          <w:tcPr>
            <w:tcW w:w="1418" w:type="dxa"/>
            <w:tcBorders>
              <w:bottom w:val="single" w:sz="4" w:space="0" w:color="auto"/>
            </w:tcBorders>
            <w:shd w:val="clear" w:color="auto" w:fill="E7E6E6" w:themeFill="accent4"/>
            <w:hideMark/>
          </w:tcPr>
          <w:p w14:paraId="7FE13F81" w14:textId="77777777" w:rsidR="005B131E" w:rsidRPr="007942D6" w:rsidRDefault="005B131E">
            <w:pPr>
              <w:pStyle w:val="ARfintablecolheadright"/>
            </w:pPr>
            <w:r w:rsidRPr="007942D6">
              <w:t>Cash and deposits</w:t>
            </w:r>
          </w:p>
          <w:p w14:paraId="7F4E32BE" w14:textId="77777777" w:rsidR="005B131E" w:rsidRPr="007942D6" w:rsidRDefault="005B131E">
            <w:pPr>
              <w:pStyle w:val="ARfintablecolheadright"/>
            </w:pPr>
            <w:r w:rsidRPr="007942D6">
              <w:t>$M</w:t>
            </w:r>
          </w:p>
        </w:tc>
        <w:tc>
          <w:tcPr>
            <w:tcW w:w="1417" w:type="dxa"/>
            <w:tcBorders>
              <w:bottom w:val="single" w:sz="4" w:space="0" w:color="auto"/>
            </w:tcBorders>
            <w:hideMark/>
          </w:tcPr>
          <w:p w14:paraId="75FD9F07" w14:textId="77777777" w:rsidR="005B131E" w:rsidRPr="007942D6" w:rsidRDefault="005B131E">
            <w:pPr>
              <w:pStyle w:val="ARfintablecolheadright"/>
            </w:pPr>
            <w:r w:rsidRPr="007942D6">
              <w:t xml:space="preserve">Financial </w:t>
            </w:r>
            <w:r w:rsidRPr="007942D6">
              <w:br/>
              <w:t>assets at amortised cost (AC)</w:t>
            </w:r>
          </w:p>
          <w:p w14:paraId="1DCAC110" w14:textId="77777777" w:rsidR="005B131E" w:rsidRPr="007942D6" w:rsidRDefault="005B131E">
            <w:pPr>
              <w:pStyle w:val="ARfintablecolheadright"/>
            </w:pPr>
            <w:r w:rsidRPr="007942D6">
              <w:t>$M</w:t>
            </w:r>
          </w:p>
        </w:tc>
        <w:tc>
          <w:tcPr>
            <w:tcW w:w="1417" w:type="dxa"/>
            <w:tcBorders>
              <w:bottom w:val="single" w:sz="4" w:space="0" w:color="auto"/>
            </w:tcBorders>
            <w:shd w:val="clear" w:color="auto" w:fill="E7E6E6" w:themeFill="accent4"/>
            <w:hideMark/>
          </w:tcPr>
          <w:p w14:paraId="065D3D7C" w14:textId="77777777" w:rsidR="005B131E" w:rsidRPr="007942D6" w:rsidRDefault="005B131E">
            <w:pPr>
              <w:pStyle w:val="ARfintablecolheadright"/>
            </w:pPr>
            <w:r w:rsidRPr="007942D6">
              <w:t>Financial liabilities at amortised cost (AC)</w:t>
            </w:r>
          </w:p>
          <w:p w14:paraId="420C7A24" w14:textId="77777777" w:rsidR="005B131E" w:rsidRPr="007942D6" w:rsidRDefault="005B131E">
            <w:pPr>
              <w:pStyle w:val="ARfintablecolheadright"/>
            </w:pPr>
            <w:r w:rsidRPr="007942D6">
              <w:t>$M</w:t>
            </w:r>
          </w:p>
        </w:tc>
        <w:tc>
          <w:tcPr>
            <w:tcW w:w="1417" w:type="dxa"/>
            <w:tcBorders>
              <w:bottom w:val="single" w:sz="4" w:space="0" w:color="auto"/>
            </w:tcBorders>
            <w:hideMark/>
          </w:tcPr>
          <w:p w14:paraId="73B6847A" w14:textId="77777777" w:rsidR="005B131E" w:rsidRPr="007942D6" w:rsidRDefault="005B131E">
            <w:pPr>
              <w:pStyle w:val="ARfintablecolheadright"/>
            </w:pPr>
            <w:r w:rsidRPr="007942D6">
              <w:t>Total</w:t>
            </w:r>
          </w:p>
          <w:p w14:paraId="3C052E83" w14:textId="77777777" w:rsidR="005B131E" w:rsidRPr="007942D6" w:rsidRDefault="005B131E">
            <w:pPr>
              <w:pStyle w:val="ARfintablecolheadright"/>
            </w:pPr>
            <w:r w:rsidRPr="007942D6">
              <w:t>$M</w:t>
            </w:r>
          </w:p>
        </w:tc>
      </w:tr>
      <w:tr w:rsidR="005B131E" w:rsidRPr="00BA7805" w14:paraId="5B43844C" w14:textId="77777777" w:rsidTr="002542E1">
        <w:tc>
          <w:tcPr>
            <w:tcW w:w="9637" w:type="dxa"/>
            <w:gridSpan w:val="5"/>
            <w:tcBorders>
              <w:top w:val="single" w:sz="4" w:space="0" w:color="auto"/>
              <w:bottom w:val="single" w:sz="4" w:space="0" w:color="A6A6A6"/>
            </w:tcBorders>
            <w:shd w:val="clear" w:color="auto" w:fill="auto"/>
          </w:tcPr>
          <w:p w14:paraId="0C2AA689" w14:textId="77777777" w:rsidR="005B131E" w:rsidRPr="00BA7805" w:rsidRDefault="005B131E">
            <w:pPr>
              <w:pStyle w:val="ARfintablebodybold"/>
              <w:rPr>
                <w:highlight w:val="green"/>
              </w:rPr>
            </w:pPr>
            <w:r w:rsidRPr="00534997">
              <w:t>Contractual financial assets</w:t>
            </w:r>
          </w:p>
        </w:tc>
      </w:tr>
      <w:tr w:rsidR="005B131E" w:rsidRPr="00BA7805" w14:paraId="3B501534" w14:textId="77777777" w:rsidTr="002542E1">
        <w:tc>
          <w:tcPr>
            <w:tcW w:w="3968" w:type="dxa"/>
            <w:tcBorders>
              <w:top w:val="single" w:sz="4" w:space="0" w:color="A6A6A6"/>
              <w:bottom w:val="single" w:sz="4" w:space="0" w:color="A6A6A6"/>
            </w:tcBorders>
          </w:tcPr>
          <w:p w14:paraId="48375018" w14:textId="77777777" w:rsidR="005B131E" w:rsidRPr="00BA7805" w:rsidRDefault="005B131E" w:rsidP="002542E1">
            <w:pPr>
              <w:pStyle w:val="ARfintablebody"/>
              <w:rPr>
                <w:highlight w:val="green"/>
              </w:rPr>
            </w:pPr>
            <w:r w:rsidRPr="0075040F">
              <w:t xml:space="preserve">Cash and deposits </w:t>
            </w:r>
          </w:p>
        </w:tc>
        <w:tc>
          <w:tcPr>
            <w:tcW w:w="1418" w:type="dxa"/>
            <w:tcBorders>
              <w:top w:val="single" w:sz="4" w:space="0" w:color="A6A6A6"/>
              <w:bottom w:val="single" w:sz="4" w:space="0" w:color="A6A6A6"/>
            </w:tcBorders>
            <w:shd w:val="clear" w:color="auto" w:fill="E7E6E6" w:themeFill="accent4"/>
            <w:noWrap/>
          </w:tcPr>
          <w:p w14:paraId="0D08858F" w14:textId="77777777" w:rsidR="005B131E" w:rsidRPr="00BA7805" w:rsidRDefault="005B131E" w:rsidP="002542E1">
            <w:pPr>
              <w:pStyle w:val="ARfintablebodyright"/>
              <w:rPr>
                <w:highlight w:val="green"/>
              </w:rPr>
            </w:pPr>
            <w:r w:rsidRPr="0075040F">
              <w:t>600.5</w:t>
            </w:r>
          </w:p>
        </w:tc>
        <w:tc>
          <w:tcPr>
            <w:tcW w:w="1417" w:type="dxa"/>
            <w:tcBorders>
              <w:top w:val="single" w:sz="4" w:space="0" w:color="A6A6A6"/>
              <w:bottom w:val="single" w:sz="4" w:space="0" w:color="A6A6A6"/>
            </w:tcBorders>
            <w:noWrap/>
          </w:tcPr>
          <w:p w14:paraId="1AF87473"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shd w:val="clear" w:color="auto" w:fill="E7E6E6" w:themeFill="accent4"/>
            <w:noWrap/>
          </w:tcPr>
          <w:p w14:paraId="48982DC7"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11210882" w14:textId="77777777" w:rsidR="005B131E" w:rsidRPr="00BA7805" w:rsidRDefault="005B131E" w:rsidP="002542E1">
            <w:pPr>
              <w:pStyle w:val="ARfintablebodyright"/>
              <w:rPr>
                <w:highlight w:val="green"/>
              </w:rPr>
            </w:pPr>
            <w:r w:rsidRPr="0075040F">
              <w:t>600.5</w:t>
            </w:r>
          </w:p>
        </w:tc>
      </w:tr>
      <w:tr w:rsidR="005B131E" w:rsidRPr="00BA7805" w14:paraId="26FF5C9B" w14:textId="77777777" w:rsidTr="002542E1">
        <w:tc>
          <w:tcPr>
            <w:tcW w:w="3968" w:type="dxa"/>
            <w:tcBorders>
              <w:top w:val="single" w:sz="4" w:space="0" w:color="A6A6A6"/>
              <w:bottom w:val="single" w:sz="4" w:space="0" w:color="A6A6A6"/>
            </w:tcBorders>
          </w:tcPr>
          <w:p w14:paraId="0A4A4BA7" w14:textId="77777777" w:rsidR="005B131E" w:rsidRPr="00BA7805" w:rsidRDefault="005B131E" w:rsidP="002542E1">
            <w:pPr>
              <w:pStyle w:val="ARfintablebody"/>
              <w:rPr>
                <w:highlight w:val="green"/>
              </w:rPr>
            </w:pPr>
            <w:r w:rsidRPr="0075040F">
              <w:t xml:space="preserve">Receivables </w:t>
            </w:r>
            <w:r w:rsidRPr="00534997">
              <w:rPr>
                <w:vertAlign w:val="superscript"/>
              </w:rPr>
              <w:t>(i)</w:t>
            </w:r>
          </w:p>
        </w:tc>
        <w:tc>
          <w:tcPr>
            <w:tcW w:w="1418" w:type="dxa"/>
            <w:tcBorders>
              <w:top w:val="single" w:sz="4" w:space="0" w:color="A6A6A6"/>
              <w:bottom w:val="single" w:sz="4" w:space="0" w:color="A6A6A6"/>
            </w:tcBorders>
            <w:shd w:val="clear" w:color="auto" w:fill="E7E6E6" w:themeFill="accent4"/>
            <w:noWrap/>
          </w:tcPr>
          <w:p w14:paraId="5F44FE63"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74E0090F" w14:textId="77777777" w:rsidR="005B131E" w:rsidRPr="00BA7805" w:rsidRDefault="005B131E" w:rsidP="002542E1">
            <w:pPr>
              <w:pStyle w:val="ARfintablebodyright"/>
              <w:rPr>
                <w:highlight w:val="green"/>
              </w:rPr>
            </w:pPr>
            <w:r w:rsidRPr="0075040F">
              <w:t>436.2</w:t>
            </w:r>
          </w:p>
        </w:tc>
        <w:tc>
          <w:tcPr>
            <w:tcW w:w="1417" w:type="dxa"/>
            <w:tcBorders>
              <w:top w:val="single" w:sz="4" w:space="0" w:color="A6A6A6"/>
              <w:bottom w:val="single" w:sz="4" w:space="0" w:color="A6A6A6"/>
            </w:tcBorders>
            <w:shd w:val="clear" w:color="auto" w:fill="E7E6E6" w:themeFill="accent4"/>
            <w:noWrap/>
          </w:tcPr>
          <w:p w14:paraId="51C87045"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1187EF98" w14:textId="77777777" w:rsidR="005B131E" w:rsidRPr="00BA7805" w:rsidRDefault="005B131E" w:rsidP="002542E1">
            <w:pPr>
              <w:pStyle w:val="ARfintablebodyright"/>
              <w:rPr>
                <w:highlight w:val="green"/>
              </w:rPr>
            </w:pPr>
            <w:r w:rsidRPr="0075040F">
              <w:t>436.2</w:t>
            </w:r>
          </w:p>
        </w:tc>
      </w:tr>
      <w:tr w:rsidR="005B131E" w:rsidRPr="00BA7805" w14:paraId="4C835D1B" w14:textId="77777777" w:rsidTr="002542E1">
        <w:tc>
          <w:tcPr>
            <w:tcW w:w="3968" w:type="dxa"/>
            <w:tcBorders>
              <w:top w:val="single" w:sz="4" w:space="0" w:color="A6A6A6"/>
            </w:tcBorders>
          </w:tcPr>
          <w:p w14:paraId="2D907D9A" w14:textId="77777777" w:rsidR="005B131E" w:rsidRPr="00BA7805" w:rsidRDefault="005B131E" w:rsidP="002542E1">
            <w:pPr>
              <w:pStyle w:val="ARfintablebody"/>
              <w:rPr>
                <w:highlight w:val="green"/>
              </w:rPr>
            </w:pPr>
            <w:r w:rsidRPr="0075040F">
              <w:t>Loans</w:t>
            </w:r>
            <w:r>
              <w:t xml:space="preserve"> </w:t>
            </w:r>
          </w:p>
        </w:tc>
        <w:tc>
          <w:tcPr>
            <w:tcW w:w="1418" w:type="dxa"/>
            <w:tcBorders>
              <w:top w:val="single" w:sz="4" w:space="0" w:color="A6A6A6"/>
            </w:tcBorders>
            <w:shd w:val="clear" w:color="auto" w:fill="E7E6E6" w:themeFill="accent4"/>
            <w:noWrap/>
          </w:tcPr>
          <w:p w14:paraId="1B2F47E0" w14:textId="77777777" w:rsidR="005B131E" w:rsidRPr="00BA7805" w:rsidRDefault="005B131E" w:rsidP="002542E1">
            <w:pPr>
              <w:pStyle w:val="ARfintablebodyright"/>
              <w:rPr>
                <w:highlight w:val="green"/>
              </w:rPr>
            </w:pPr>
            <w:r>
              <w:t>–</w:t>
            </w:r>
          </w:p>
        </w:tc>
        <w:tc>
          <w:tcPr>
            <w:tcW w:w="1417" w:type="dxa"/>
            <w:tcBorders>
              <w:top w:val="single" w:sz="4" w:space="0" w:color="A6A6A6"/>
            </w:tcBorders>
            <w:noWrap/>
          </w:tcPr>
          <w:p w14:paraId="7FE5286C" w14:textId="77777777" w:rsidR="005B131E" w:rsidRPr="00BA7805" w:rsidRDefault="005B131E" w:rsidP="002542E1">
            <w:pPr>
              <w:pStyle w:val="ARfintablebodyright"/>
              <w:rPr>
                <w:highlight w:val="green"/>
              </w:rPr>
            </w:pPr>
            <w:r w:rsidRPr="0075040F">
              <w:t>28.2</w:t>
            </w:r>
          </w:p>
        </w:tc>
        <w:tc>
          <w:tcPr>
            <w:tcW w:w="1417" w:type="dxa"/>
            <w:tcBorders>
              <w:top w:val="single" w:sz="4" w:space="0" w:color="A6A6A6"/>
            </w:tcBorders>
            <w:shd w:val="clear" w:color="auto" w:fill="E7E6E6" w:themeFill="accent4"/>
            <w:noWrap/>
          </w:tcPr>
          <w:p w14:paraId="154CC574" w14:textId="77777777" w:rsidR="005B131E" w:rsidRPr="00BA7805" w:rsidRDefault="005B131E" w:rsidP="002542E1">
            <w:pPr>
              <w:pStyle w:val="ARfintablebodyright"/>
              <w:rPr>
                <w:highlight w:val="green"/>
              </w:rPr>
            </w:pPr>
            <w:r>
              <w:t>–</w:t>
            </w:r>
          </w:p>
        </w:tc>
        <w:tc>
          <w:tcPr>
            <w:tcW w:w="1417" w:type="dxa"/>
            <w:tcBorders>
              <w:top w:val="single" w:sz="4" w:space="0" w:color="A6A6A6"/>
            </w:tcBorders>
            <w:noWrap/>
          </w:tcPr>
          <w:p w14:paraId="3D3F9D53" w14:textId="77777777" w:rsidR="005B131E" w:rsidRPr="00BA7805" w:rsidRDefault="005B131E" w:rsidP="002542E1">
            <w:pPr>
              <w:pStyle w:val="ARfintablebodyright"/>
              <w:rPr>
                <w:highlight w:val="green"/>
              </w:rPr>
            </w:pPr>
            <w:r w:rsidRPr="0075040F">
              <w:t>28.2</w:t>
            </w:r>
          </w:p>
        </w:tc>
      </w:tr>
      <w:tr w:rsidR="005B131E" w:rsidRPr="00BA7805" w14:paraId="460197A5" w14:textId="77777777" w:rsidTr="002542E1">
        <w:tc>
          <w:tcPr>
            <w:tcW w:w="3968" w:type="dxa"/>
            <w:tcBorders>
              <w:bottom w:val="single" w:sz="4" w:space="0" w:color="auto"/>
            </w:tcBorders>
          </w:tcPr>
          <w:p w14:paraId="6697BA7C" w14:textId="77777777" w:rsidR="005B131E" w:rsidRPr="00BA7805" w:rsidRDefault="005B131E" w:rsidP="002542E1">
            <w:pPr>
              <w:pStyle w:val="ARfintablebodybold"/>
              <w:rPr>
                <w:highlight w:val="green"/>
              </w:rPr>
            </w:pPr>
            <w:r w:rsidRPr="0075040F">
              <w:t xml:space="preserve">Total contractual financial assets </w:t>
            </w:r>
          </w:p>
        </w:tc>
        <w:tc>
          <w:tcPr>
            <w:tcW w:w="1418" w:type="dxa"/>
            <w:tcBorders>
              <w:bottom w:val="single" w:sz="4" w:space="0" w:color="auto"/>
            </w:tcBorders>
            <w:shd w:val="clear" w:color="auto" w:fill="E7E6E6" w:themeFill="accent4"/>
            <w:noWrap/>
          </w:tcPr>
          <w:p w14:paraId="65DA138B" w14:textId="77777777" w:rsidR="005B131E" w:rsidRPr="00BA7805" w:rsidRDefault="005B131E" w:rsidP="002542E1">
            <w:pPr>
              <w:pStyle w:val="ARfintablebodyrightbold"/>
              <w:rPr>
                <w:highlight w:val="green"/>
              </w:rPr>
            </w:pPr>
            <w:r w:rsidRPr="0075040F">
              <w:t>600.5</w:t>
            </w:r>
          </w:p>
        </w:tc>
        <w:tc>
          <w:tcPr>
            <w:tcW w:w="1417" w:type="dxa"/>
            <w:tcBorders>
              <w:bottom w:val="single" w:sz="4" w:space="0" w:color="auto"/>
            </w:tcBorders>
            <w:noWrap/>
          </w:tcPr>
          <w:p w14:paraId="7A2C95EE" w14:textId="77777777" w:rsidR="005B131E" w:rsidRPr="00BA7805" w:rsidRDefault="005B131E" w:rsidP="002542E1">
            <w:pPr>
              <w:pStyle w:val="ARfintablebodyrightbold"/>
              <w:rPr>
                <w:highlight w:val="green"/>
              </w:rPr>
            </w:pPr>
            <w:r w:rsidRPr="0075040F">
              <w:t>464.4</w:t>
            </w:r>
          </w:p>
        </w:tc>
        <w:tc>
          <w:tcPr>
            <w:tcW w:w="1417" w:type="dxa"/>
            <w:tcBorders>
              <w:bottom w:val="single" w:sz="4" w:space="0" w:color="auto"/>
            </w:tcBorders>
            <w:shd w:val="clear" w:color="auto" w:fill="E7E6E6" w:themeFill="accent4"/>
            <w:noWrap/>
          </w:tcPr>
          <w:p w14:paraId="1B80D4E2" w14:textId="77777777" w:rsidR="005B131E" w:rsidRPr="00BA7805" w:rsidRDefault="005B131E" w:rsidP="002542E1">
            <w:pPr>
              <w:pStyle w:val="ARfintablebodyrightbold"/>
              <w:rPr>
                <w:highlight w:val="green"/>
              </w:rPr>
            </w:pPr>
            <w:r>
              <w:t>–</w:t>
            </w:r>
          </w:p>
        </w:tc>
        <w:tc>
          <w:tcPr>
            <w:tcW w:w="1417" w:type="dxa"/>
            <w:tcBorders>
              <w:bottom w:val="single" w:sz="4" w:space="0" w:color="auto"/>
            </w:tcBorders>
            <w:noWrap/>
          </w:tcPr>
          <w:p w14:paraId="38739AAC" w14:textId="77777777" w:rsidR="005B131E" w:rsidRPr="00BA7805" w:rsidRDefault="005B131E" w:rsidP="002542E1">
            <w:pPr>
              <w:pStyle w:val="ARfintablebodyrightbold"/>
              <w:rPr>
                <w:highlight w:val="green"/>
              </w:rPr>
            </w:pPr>
            <w:r w:rsidRPr="0075040F">
              <w:t>1,064.9</w:t>
            </w:r>
          </w:p>
        </w:tc>
      </w:tr>
      <w:tr w:rsidR="005B131E" w:rsidRPr="00BA7805" w14:paraId="568C1547" w14:textId="77777777" w:rsidTr="002542E1">
        <w:tc>
          <w:tcPr>
            <w:tcW w:w="9637" w:type="dxa"/>
            <w:gridSpan w:val="5"/>
            <w:tcBorders>
              <w:top w:val="single" w:sz="4" w:space="0" w:color="auto"/>
              <w:bottom w:val="single" w:sz="4" w:space="0" w:color="A6A6A6"/>
            </w:tcBorders>
            <w:shd w:val="clear" w:color="auto" w:fill="auto"/>
          </w:tcPr>
          <w:p w14:paraId="462362A4" w14:textId="77777777" w:rsidR="005B131E" w:rsidRPr="00BA7805" w:rsidRDefault="005B131E">
            <w:pPr>
              <w:pStyle w:val="ARfintablebodybold"/>
              <w:rPr>
                <w:highlight w:val="green"/>
              </w:rPr>
            </w:pPr>
            <w:r w:rsidRPr="00534997">
              <w:t>Contractual financial liabilities</w:t>
            </w:r>
          </w:p>
        </w:tc>
      </w:tr>
      <w:tr w:rsidR="005B131E" w:rsidRPr="00BA7805" w14:paraId="6465D807" w14:textId="77777777" w:rsidTr="002542E1">
        <w:tc>
          <w:tcPr>
            <w:tcW w:w="3968" w:type="dxa"/>
            <w:tcBorders>
              <w:top w:val="single" w:sz="4" w:space="0" w:color="A6A6A6"/>
              <w:bottom w:val="single" w:sz="4" w:space="0" w:color="A6A6A6"/>
            </w:tcBorders>
          </w:tcPr>
          <w:p w14:paraId="57192D9E" w14:textId="77777777" w:rsidR="005B131E" w:rsidRPr="00BA7805" w:rsidRDefault="005B131E" w:rsidP="002542E1">
            <w:pPr>
              <w:pStyle w:val="ARfintablebody"/>
              <w:rPr>
                <w:highlight w:val="green"/>
              </w:rPr>
            </w:pPr>
            <w:r w:rsidRPr="00623806">
              <w:t xml:space="preserve">Payables </w:t>
            </w:r>
            <w:r w:rsidRPr="00534997">
              <w:rPr>
                <w:vertAlign w:val="superscript"/>
              </w:rPr>
              <w:t>(i)</w:t>
            </w:r>
          </w:p>
        </w:tc>
        <w:tc>
          <w:tcPr>
            <w:tcW w:w="1418" w:type="dxa"/>
            <w:tcBorders>
              <w:top w:val="single" w:sz="4" w:space="0" w:color="A6A6A6"/>
              <w:bottom w:val="single" w:sz="4" w:space="0" w:color="A6A6A6"/>
            </w:tcBorders>
            <w:shd w:val="clear" w:color="auto" w:fill="E7E6E6" w:themeFill="accent4"/>
            <w:noWrap/>
          </w:tcPr>
          <w:p w14:paraId="7BF7E4A8"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700BEE33"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shd w:val="clear" w:color="auto" w:fill="E7E6E6" w:themeFill="accent4"/>
            <w:noWrap/>
          </w:tcPr>
          <w:p w14:paraId="14BE0D65" w14:textId="77777777" w:rsidR="005B131E" w:rsidRPr="00BA7805" w:rsidRDefault="005B131E" w:rsidP="002542E1">
            <w:pPr>
              <w:pStyle w:val="ARfintablebodyright"/>
              <w:rPr>
                <w:highlight w:val="green"/>
              </w:rPr>
            </w:pPr>
            <w:r w:rsidRPr="00623806">
              <w:t>479.5</w:t>
            </w:r>
          </w:p>
        </w:tc>
        <w:tc>
          <w:tcPr>
            <w:tcW w:w="1417" w:type="dxa"/>
            <w:tcBorders>
              <w:top w:val="single" w:sz="4" w:space="0" w:color="A6A6A6"/>
              <w:bottom w:val="single" w:sz="4" w:space="0" w:color="A6A6A6"/>
            </w:tcBorders>
            <w:noWrap/>
          </w:tcPr>
          <w:p w14:paraId="5A14A0B3" w14:textId="77777777" w:rsidR="005B131E" w:rsidRPr="00BA7805" w:rsidRDefault="005B131E" w:rsidP="002542E1">
            <w:pPr>
              <w:pStyle w:val="ARfintablebodyright"/>
              <w:rPr>
                <w:highlight w:val="green"/>
              </w:rPr>
            </w:pPr>
            <w:r w:rsidRPr="00623806">
              <w:t>479.5</w:t>
            </w:r>
          </w:p>
        </w:tc>
      </w:tr>
      <w:tr w:rsidR="005B131E" w:rsidRPr="00BA7805" w14:paraId="2AA257F2" w14:textId="77777777" w:rsidTr="002542E1">
        <w:tc>
          <w:tcPr>
            <w:tcW w:w="3968" w:type="dxa"/>
            <w:tcBorders>
              <w:top w:val="single" w:sz="4" w:space="0" w:color="A6A6A6"/>
            </w:tcBorders>
          </w:tcPr>
          <w:p w14:paraId="321D7F0D" w14:textId="77777777" w:rsidR="005B131E" w:rsidRPr="00BA7805" w:rsidRDefault="005B131E" w:rsidP="002542E1">
            <w:pPr>
              <w:pStyle w:val="ARfintablebody"/>
              <w:rPr>
                <w:highlight w:val="green"/>
              </w:rPr>
            </w:pPr>
            <w:r w:rsidRPr="00623806">
              <w:t xml:space="preserve">Borrowings </w:t>
            </w:r>
            <w:r w:rsidRPr="00534997">
              <w:rPr>
                <w:vertAlign w:val="superscript"/>
              </w:rPr>
              <w:t>(i)</w:t>
            </w:r>
          </w:p>
        </w:tc>
        <w:tc>
          <w:tcPr>
            <w:tcW w:w="1418" w:type="dxa"/>
            <w:tcBorders>
              <w:top w:val="single" w:sz="4" w:space="0" w:color="A6A6A6"/>
            </w:tcBorders>
            <w:shd w:val="clear" w:color="auto" w:fill="E7E6E6" w:themeFill="accent4"/>
            <w:noWrap/>
          </w:tcPr>
          <w:p w14:paraId="309FEEE3" w14:textId="77777777" w:rsidR="005B131E" w:rsidRPr="00BA7805" w:rsidRDefault="005B131E" w:rsidP="002542E1">
            <w:pPr>
              <w:pStyle w:val="ARfintablebodyright"/>
              <w:rPr>
                <w:highlight w:val="green"/>
              </w:rPr>
            </w:pPr>
            <w:r>
              <w:t>–</w:t>
            </w:r>
          </w:p>
        </w:tc>
        <w:tc>
          <w:tcPr>
            <w:tcW w:w="1417" w:type="dxa"/>
            <w:tcBorders>
              <w:top w:val="single" w:sz="4" w:space="0" w:color="A6A6A6"/>
            </w:tcBorders>
            <w:noWrap/>
          </w:tcPr>
          <w:p w14:paraId="029C5A27" w14:textId="77777777" w:rsidR="005B131E" w:rsidRPr="00BA7805" w:rsidRDefault="005B131E" w:rsidP="002542E1">
            <w:pPr>
              <w:pStyle w:val="ARfintablebodyright"/>
              <w:rPr>
                <w:highlight w:val="green"/>
              </w:rPr>
            </w:pPr>
            <w:r>
              <w:t>–</w:t>
            </w:r>
          </w:p>
        </w:tc>
        <w:tc>
          <w:tcPr>
            <w:tcW w:w="1417" w:type="dxa"/>
            <w:tcBorders>
              <w:top w:val="single" w:sz="4" w:space="0" w:color="A6A6A6"/>
            </w:tcBorders>
            <w:shd w:val="clear" w:color="auto" w:fill="E7E6E6" w:themeFill="accent4"/>
            <w:noWrap/>
          </w:tcPr>
          <w:p w14:paraId="433B3BEC" w14:textId="77777777" w:rsidR="005B131E" w:rsidRPr="00BA7805" w:rsidRDefault="005B131E" w:rsidP="002542E1">
            <w:pPr>
              <w:pStyle w:val="ARfintablebodyright"/>
              <w:rPr>
                <w:highlight w:val="green"/>
              </w:rPr>
            </w:pPr>
            <w:r w:rsidRPr="00623806">
              <w:t>503.7</w:t>
            </w:r>
          </w:p>
        </w:tc>
        <w:tc>
          <w:tcPr>
            <w:tcW w:w="1417" w:type="dxa"/>
            <w:tcBorders>
              <w:top w:val="single" w:sz="4" w:space="0" w:color="A6A6A6"/>
            </w:tcBorders>
            <w:noWrap/>
          </w:tcPr>
          <w:p w14:paraId="52769797" w14:textId="77777777" w:rsidR="005B131E" w:rsidRPr="00BA7805" w:rsidRDefault="005B131E" w:rsidP="002542E1">
            <w:pPr>
              <w:pStyle w:val="ARfintablebodyright"/>
              <w:rPr>
                <w:highlight w:val="green"/>
              </w:rPr>
            </w:pPr>
            <w:r w:rsidRPr="00623806">
              <w:t>503.7</w:t>
            </w:r>
          </w:p>
        </w:tc>
      </w:tr>
      <w:tr w:rsidR="005B131E" w:rsidRPr="00BA7805" w14:paraId="61C35F0B" w14:textId="77777777" w:rsidTr="002542E1">
        <w:tc>
          <w:tcPr>
            <w:tcW w:w="3968" w:type="dxa"/>
          </w:tcPr>
          <w:p w14:paraId="31149B75" w14:textId="77777777" w:rsidR="005B131E" w:rsidRPr="00BA7805" w:rsidRDefault="005B131E" w:rsidP="002542E1">
            <w:pPr>
              <w:pStyle w:val="ARfintablebodybold"/>
              <w:rPr>
                <w:highlight w:val="green"/>
              </w:rPr>
            </w:pPr>
            <w:r w:rsidRPr="00623806">
              <w:t xml:space="preserve">Total contractual financial liabilities </w:t>
            </w:r>
          </w:p>
        </w:tc>
        <w:tc>
          <w:tcPr>
            <w:tcW w:w="1418" w:type="dxa"/>
            <w:shd w:val="clear" w:color="auto" w:fill="E7E6E6" w:themeFill="accent4"/>
            <w:noWrap/>
          </w:tcPr>
          <w:p w14:paraId="7E9CA859" w14:textId="77777777" w:rsidR="005B131E" w:rsidRPr="00BA7805" w:rsidRDefault="005B131E" w:rsidP="002542E1">
            <w:pPr>
              <w:pStyle w:val="ARfintablebodyrightbold"/>
              <w:rPr>
                <w:highlight w:val="green"/>
              </w:rPr>
            </w:pPr>
            <w:r>
              <w:t>–</w:t>
            </w:r>
          </w:p>
        </w:tc>
        <w:tc>
          <w:tcPr>
            <w:tcW w:w="1417" w:type="dxa"/>
            <w:noWrap/>
          </w:tcPr>
          <w:p w14:paraId="5AF35E29" w14:textId="77777777" w:rsidR="005B131E" w:rsidRPr="00BA7805" w:rsidRDefault="005B131E" w:rsidP="002542E1">
            <w:pPr>
              <w:pStyle w:val="ARfintablebodyrightbold"/>
              <w:rPr>
                <w:highlight w:val="green"/>
              </w:rPr>
            </w:pPr>
            <w:r>
              <w:t>–</w:t>
            </w:r>
          </w:p>
        </w:tc>
        <w:tc>
          <w:tcPr>
            <w:tcW w:w="1417" w:type="dxa"/>
            <w:shd w:val="clear" w:color="auto" w:fill="E7E6E6" w:themeFill="accent4"/>
            <w:noWrap/>
          </w:tcPr>
          <w:p w14:paraId="4570203D" w14:textId="77777777" w:rsidR="005B131E" w:rsidRPr="00BA7805" w:rsidRDefault="005B131E" w:rsidP="002542E1">
            <w:pPr>
              <w:pStyle w:val="ARfintablebodyrightbold"/>
              <w:rPr>
                <w:highlight w:val="green"/>
              </w:rPr>
            </w:pPr>
            <w:r w:rsidRPr="00623806">
              <w:t>983.2</w:t>
            </w:r>
          </w:p>
        </w:tc>
        <w:tc>
          <w:tcPr>
            <w:tcW w:w="1417" w:type="dxa"/>
            <w:noWrap/>
          </w:tcPr>
          <w:p w14:paraId="799199BA" w14:textId="77777777" w:rsidR="005B131E" w:rsidRPr="00BA7805" w:rsidRDefault="005B131E" w:rsidP="002542E1">
            <w:pPr>
              <w:pStyle w:val="ARfintablebodyrightbold"/>
              <w:rPr>
                <w:highlight w:val="green"/>
              </w:rPr>
            </w:pPr>
            <w:r w:rsidRPr="00623806">
              <w:t>983.2</w:t>
            </w:r>
          </w:p>
        </w:tc>
      </w:tr>
    </w:tbl>
    <w:p w14:paraId="1F22072F" w14:textId="77777777" w:rsidR="005B131E" w:rsidRPr="00EE2502" w:rsidRDefault="005B131E" w:rsidP="002542E1">
      <w:pPr>
        <w:pStyle w:val="ARfinbody"/>
        <w:rPr>
          <w:highlight w:val="green"/>
        </w:rPr>
      </w:pP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67C8D" w:rsidRPr="00BA7805" w14:paraId="40096DE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777A55E9" w14:textId="77777777" w:rsidR="005B131E" w:rsidRPr="00BA7805" w:rsidRDefault="005B131E">
            <w:pPr>
              <w:pStyle w:val="ARfintablecolhead"/>
              <w:rPr>
                <w:highlight w:val="green"/>
              </w:rPr>
            </w:pPr>
            <w:r w:rsidRPr="007942D6">
              <w:t>2023</w:t>
            </w:r>
          </w:p>
        </w:tc>
        <w:tc>
          <w:tcPr>
            <w:tcW w:w="1418" w:type="dxa"/>
            <w:tcBorders>
              <w:bottom w:val="single" w:sz="4" w:space="0" w:color="auto"/>
            </w:tcBorders>
            <w:shd w:val="clear" w:color="auto" w:fill="E7E6E6" w:themeFill="accent4"/>
            <w:hideMark/>
          </w:tcPr>
          <w:p w14:paraId="2B3EC28F" w14:textId="77777777" w:rsidR="005B131E" w:rsidRPr="007942D6" w:rsidRDefault="005B131E">
            <w:pPr>
              <w:pStyle w:val="ARfintablecolheadright"/>
            </w:pPr>
            <w:r w:rsidRPr="007942D6">
              <w:t>Cash and deposits</w:t>
            </w:r>
          </w:p>
          <w:p w14:paraId="21BAA59E" w14:textId="77777777" w:rsidR="005B131E" w:rsidRPr="007942D6" w:rsidRDefault="005B131E">
            <w:pPr>
              <w:pStyle w:val="ARfintablecolheadright"/>
            </w:pPr>
            <w:r w:rsidRPr="007942D6">
              <w:t>$M</w:t>
            </w:r>
          </w:p>
        </w:tc>
        <w:tc>
          <w:tcPr>
            <w:tcW w:w="1417" w:type="dxa"/>
            <w:tcBorders>
              <w:bottom w:val="single" w:sz="4" w:space="0" w:color="auto"/>
            </w:tcBorders>
            <w:hideMark/>
          </w:tcPr>
          <w:p w14:paraId="107064AF" w14:textId="77777777" w:rsidR="005B131E" w:rsidRPr="007942D6" w:rsidRDefault="005B131E">
            <w:pPr>
              <w:pStyle w:val="ARfintablecolheadright"/>
            </w:pPr>
            <w:r w:rsidRPr="007942D6">
              <w:t>Financial assets at amortised cost (AC)</w:t>
            </w:r>
          </w:p>
          <w:p w14:paraId="42D34F96" w14:textId="77777777" w:rsidR="005B131E" w:rsidRPr="007942D6" w:rsidRDefault="005B131E">
            <w:pPr>
              <w:pStyle w:val="ARfintablecolheadright"/>
            </w:pPr>
            <w:r w:rsidRPr="007942D6">
              <w:t>$M</w:t>
            </w:r>
          </w:p>
        </w:tc>
        <w:tc>
          <w:tcPr>
            <w:tcW w:w="1417" w:type="dxa"/>
            <w:tcBorders>
              <w:bottom w:val="single" w:sz="4" w:space="0" w:color="auto"/>
            </w:tcBorders>
            <w:shd w:val="clear" w:color="auto" w:fill="E7E6E6" w:themeFill="accent4"/>
            <w:hideMark/>
          </w:tcPr>
          <w:p w14:paraId="3FA1084E" w14:textId="77777777" w:rsidR="005B131E" w:rsidRPr="007942D6" w:rsidRDefault="005B131E">
            <w:pPr>
              <w:pStyle w:val="ARfintablecolheadright"/>
            </w:pPr>
            <w:r w:rsidRPr="007942D6">
              <w:t>Financial liabilities at amortised cost (AC)</w:t>
            </w:r>
          </w:p>
          <w:p w14:paraId="1FC877DF" w14:textId="77777777" w:rsidR="005B131E" w:rsidRPr="007942D6" w:rsidRDefault="005B131E">
            <w:pPr>
              <w:pStyle w:val="ARfintablecolheadright"/>
            </w:pPr>
            <w:r w:rsidRPr="007942D6">
              <w:t>$M</w:t>
            </w:r>
          </w:p>
        </w:tc>
        <w:tc>
          <w:tcPr>
            <w:tcW w:w="1417" w:type="dxa"/>
            <w:tcBorders>
              <w:bottom w:val="single" w:sz="4" w:space="0" w:color="auto"/>
            </w:tcBorders>
            <w:hideMark/>
          </w:tcPr>
          <w:p w14:paraId="68AB7030" w14:textId="77777777" w:rsidR="005B131E" w:rsidRPr="007942D6" w:rsidRDefault="005B131E">
            <w:pPr>
              <w:pStyle w:val="ARfintablecolheadright"/>
            </w:pPr>
            <w:r w:rsidRPr="007942D6">
              <w:t>Total</w:t>
            </w:r>
          </w:p>
          <w:p w14:paraId="13FBDAE6" w14:textId="77777777" w:rsidR="005B131E" w:rsidRPr="007942D6" w:rsidRDefault="005B131E">
            <w:pPr>
              <w:pStyle w:val="ARfintablecolheadright"/>
            </w:pPr>
            <w:r w:rsidRPr="007942D6">
              <w:t>$M</w:t>
            </w:r>
          </w:p>
        </w:tc>
      </w:tr>
      <w:tr w:rsidR="005B131E" w:rsidRPr="00BA7805" w14:paraId="03B8918F" w14:textId="77777777" w:rsidTr="003D7AC8">
        <w:trPr>
          <w:trHeight w:val="255"/>
        </w:trPr>
        <w:tc>
          <w:tcPr>
            <w:tcW w:w="9637" w:type="dxa"/>
            <w:gridSpan w:val="5"/>
            <w:tcBorders>
              <w:top w:val="single" w:sz="4" w:space="0" w:color="auto"/>
              <w:bottom w:val="single" w:sz="4" w:space="0" w:color="A6A6A6"/>
            </w:tcBorders>
          </w:tcPr>
          <w:p w14:paraId="44C9907B" w14:textId="77777777" w:rsidR="005B131E" w:rsidRPr="00BA7805" w:rsidRDefault="005B131E">
            <w:pPr>
              <w:pStyle w:val="ARfintablebodybold"/>
              <w:rPr>
                <w:highlight w:val="green"/>
              </w:rPr>
            </w:pPr>
            <w:r w:rsidRPr="00EE2502">
              <w:t>Contractual financial assets</w:t>
            </w:r>
          </w:p>
        </w:tc>
      </w:tr>
      <w:tr w:rsidR="005B131E" w:rsidRPr="00BA7805" w14:paraId="53E0BEB5" w14:textId="77777777" w:rsidTr="002542E1">
        <w:trPr>
          <w:trHeight w:val="255"/>
        </w:trPr>
        <w:tc>
          <w:tcPr>
            <w:tcW w:w="3968" w:type="dxa"/>
            <w:tcBorders>
              <w:top w:val="single" w:sz="4" w:space="0" w:color="A6A6A6"/>
              <w:bottom w:val="single" w:sz="4" w:space="0" w:color="A6A6A6"/>
            </w:tcBorders>
          </w:tcPr>
          <w:p w14:paraId="5AB4CA61" w14:textId="77777777" w:rsidR="005B131E" w:rsidRPr="00BA7805" w:rsidRDefault="005B131E" w:rsidP="002542E1">
            <w:pPr>
              <w:pStyle w:val="ARfintablebody"/>
              <w:rPr>
                <w:highlight w:val="green"/>
              </w:rPr>
            </w:pPr>
            <w:r w:rsidRPr="00D17F6D">
              <w:t xml:space="preserve"> Cash and deposits </w:t>
            </w:r>
          </w:p>
        </w:tc>
        <w:tc>
          <w:tcPr>
            <w:tcW w:w="1418" w:type="dxa"/>
            <w:tcBorders>
              <w:top w:val="single" w:sz="4" w:space="0" w:color="A6A6A6"/>
              <w:bottom w:val="single" w:sz="4" w:space="0" w:color="A6A6A6"/>
            </w:tcBorders>
            <w:shd w:val="clear" w:color="auto" w:fill="E7E6E6" w:themeFill="accent4"/>
            <w:noWrap/>
          </w:tcPr>
          <w:p w14:paraId="64C4C440" w14:textId="77777777" w:rsidR="005B131E" w:rsidRPr="00BA7805" w:rsidRDefault="005B131E" w:rsidP="002542E1">
            <w:pPr>
              <w:pStyle w:val="ARfintablebodyright"/>
              <w:rPr>
                <w:highlight w:val="green"/>
              </w:rPr>
            </w:pPr>
            <w:r w:rsidRPr="00D17F6D">
              <w:t>706.8</w:t>
            </w:r>
          </w:p>
        </w:tc>
        <w:tc>
          <w:tcPr>
            <w:tcW w:w="1417" w:type="dxa"/>
            <w:tcBorders>
              <w:top w:val="single" w:sz="4" w:space="0" w:color="A6A6A6"/>
              <w:bottom w:val="single" w:sz="4" w:space="0" w:color="A6A6A6"/>
            </w:tcBorders>
            <w:noWrap/>
          </w:tcPr>
          <w:p w14:paraId="6BA9C35C"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shd w:val="clear" w:color="auto" w:fill="E7E6E6" w:themeFill="accent4"/>
            <w:noWrap/>
          </w:tcPr>
          <w:p w14:paraId="6AB880C7"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433142E9" w14:textId="77777777" w:rsidR="005B131E" w:rsidRPr="00BA7805" w:rsidRDefault="005B131E" w:rsidP="002542E1">
            <w:pPr>
              <w:pStyle w:val="ARfintablebodyright"/>
              <w:rPr>
                <w:highlight w:val="green"/>
              </w:rPr>
            </w:pPr>
            <w:r w:rsidRPr="00D17F6D">
              <w:t>706.8</w:t>
            </w:r>
          </w:p>
        </w:tc>
      </w:tr>
      <w:tr w:rsidR="005B131E" w:rsidRPr="00BA7805" w14:paraId="1D7B0CB6" w14:textId="77777777" w:rsidTr="002542E1">
        <w:trPr>
          <w:trHeight w:val="255"/>
        </w:trPr>
        <w:tc>
          <w:tcPr>
            <w:tcW w:w="3968" w:type="dxa"/>
            <w:tcBorders>
              <w:top w:val="single" w:sz="4" w:space="0" w:color="A6A6A6"/>
              <w:bottom w:val="single" w:sz="4" w:space="0" w:color="A6A6A6"/>
            </w:tcBorders>
          </w:tcPr>
          <w:p w14:paraId="70010C54" w14:textId="77777777" w:rsidR="005B131E" w:rsidRPr="00BA7805" w:rsidRDefault="005B131E" w:rsidP="002542E1">
            <w:pPr>
              <w:pStyle w:val="ARfintablebody"/>
              <w:rPr>
                <w:highlight w:val="green"/>
              </w:rPr>
            </w:pPr>
            <w:r w:rsidRPr="00D17F6D">
              <w:t xml:space="preserve"> Receivables </w:t>
            </w:r>
            <w:r w:rsidRPr="00E85DBE">
              <w:rPr>
                <w:vertAlign w:val="superscript"/>
              </w:rPr>
              <w:t>(i)</w:t>
            </w:r>
          </w:p>
        </w:tc>
        <w:tc>
          <w:tcPr>
            <w:tcW w:w="1418" w:type="dxa"/>
            <w:tcBorders>
              <w:top w:val="single" w:sz="4" w:space="0" w:color="A6A6A6"/>
              <w:bottom w:val="single" w:sz="4" w:space="0" w:color="A6A6A6"/>
            </w:tcBorders>
            <w:shd w:val="clear" w:color="auto" w:fill="E7E6E6" w:themeFill="accent4"/>
            <w:noWrap/>
          </w:tcPr>
          <w:p w14:paraId="7342E5E7"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687AC4A1" w14:textId="77777777" w:rsidR="005B131E" w:rsidRPr="00BA7805" w:rsidRDefault="005B131E" w:rsidP="002542E1">
            <w:pPr>
              <w:pStyle w:val="ARfintablebodyright"/>
              <w:rPr>
                <w:highlight w:val="green"/>
              </w:rPr>
            </w:pPr>
            <w:r w:rsidRPr="00D17F6D">
              <w:t>171.1</w:t>
            </w:r>
          </w:p>
        </w:tc>
        <w:tc>
          <w:tcPr>
            <w:tcW w:w="1417" w:type="dxa"/>
            <w:tcBorders>
              <w:top w:val="single" w:sz="4" w:space="0" w:color="A6A6A6"/>
              <w:bottom w:val="single" w:sz="4" w:space="0" w:color="A6A6A6"/>
            </w:tcBorders>
            <w:shd w:val="clear" w:color="auto" w:fill="E7E6E6" w:themeFill="accent4"/>
            <w:noWrap/>
          </w:tcPr>
          <w:p w14:paraId="48D63C1D"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5DCD0664" w14:textId="77777777" w:rsidR="005B131E" w:rsidRPr="00BA7805" w:rsidRDefault="005B131E" w:rsidP="002542E1">
            <w:pPr>
              <w:pStyle w:val="ARfintablebodyright"/>
              <w:rPr>
                <w:highlight w:val="green"/>
              </w:rPr>
            </w:pPr>
            <w:r w:rsidRPr="00D17F6D">
              <w:t>171.1</w:t>
            </w:r>
          </w:p>
        </w:tc>
      </w:tr>
      <w:tr w:rsidR="005B131E" w:rsidRPr="00BA7805" w14:paraId="3DD0D1ED" w14:textId="77777777" w:rsidTr="002542E1">
        <w:trPr>
          <w:trHeight w:val="255"/>
        </w:trPr>
        <w:tc>
          <w:tcPr>
            <w:tcW w:w="3968" w:type="dxa"/>
            <w:tcBorders>
              <w:top w:val="single" w:sz="4" w:space="0" w:color="A6A6A6"/>
            </w:tcBorders>
          </w:tcPr>
          <w:p w14:paraId="14A3688E" w14:textId="77777777" w:rsidR="005B131E" w:rsidRPr="00BA7805" w:rsidRDefault="005B131E" w:rsidP="002542E1">
            <w:pPr>
              <w:pStyle w:val="ARfintablebody"/>
              <w:rPr>
                <w:highlight w:val="green"/>
              </w:rPr>
            </w:pPr>
            <w:r w:rsidRPr="00D17F6D">
              <w:t xml:space="preserve"> Loans</w:t>
            </w:r>
            <w:r>
              <w:t xml:space="preserve"> </w:t>
            </w:r>
          </w:p>
        </w:tc>
        <w:tc>
          <w:tcPr>
            <w:tcW w:w="1418" w:type="dxa"/>
            <w:tcBorders>
              <w:top w:val="single" w:sz="4" w:space="0" w:color="A6A6A6"/>
            </w:tcBorders>
            <w:shd w:val="clear" w:color="auto" w:fill="E7E6E6" w:themeFill="accent4"/>
            <w:noWrap/>
          </w:tcPr>
          <w:p w14:paraId="5BEEB92B" w14:textId="77777777" w:rsidR="005B131E" w:rsidRPr="00BA7805" w:rsidRDefault="005B131E" w:rsidP="002542E1">
            <w:pPr>
              <w:pStyle w:val="ARfintablebodyright"/>
              <w:rPr>
                <w:highlight w:val="green"/>
              </w:rPr>
            </w:pPr>
            <w:r>
              <w:t>–</w:t>
            </w:r>
          </w:p>
        </w:tc>
        <w:tc>
          <w:tcPr>
            <w:tcW w:w="1417" w:type="dxa"/>
            <w:tcBorders>
              <w:top w:val="single" w:sz="4" w:space="0" w:color="A6A6A6"/>
            </w:tcBorders>
            <w:noWrap/>
          </w:tcPr>
          <w:p w14:paraId="70429F8D" w14:textId="77777777" w:rsidR="005B131E" w:rsidRPr="00BA7805" w:rsidRDefault="005B131E" w:rsidP="002542E1">
            <w:pPr>
              <w:pStyle w:val="ARfintablebodyright"/>
              <w:rPr>
                <w:highlight w:val="green"/>
              </w:rPr>
            </w:pPr>
            <w:r w:rsidRPr="00D17F6D">
              <w:t>30.0</w:t>
            </w:r>
          </w:p>
        </w:tc>
        <w:tc>
          <w:tcPr>
            <w:tcW w:w="1417" w:type="dxa"/>
            <w:tcBorders>
              <w:top w:val="single" w:sz="4" w:space="0" w:color="A6A6A6"/>
            </w:tcBorders>
            <w:shd w:val="clear" w:color="auto" w:fill="E7E6E6" w:themeFill="accent4"/>
            <w:noWrap/>
          </w:tcPr>
          <w:p w14:paraId="46EFEADE" w14:textId="77777777" w:rsidR="005B131E" w:rsidRPr="00BA7805" w:rsidRDefault="005B131E" w:rsidP="002542E1">
            <w:pPr>
              <w:pStyle w:val="ARfintablebodyright"/>
              <w:rPr>
                <w:highlight w:val="green"/>
              </w:rPr>
            </w:pPr>
            <w:r>
              <w:t>–</w:t>
            </w:r>
          </w:p>
        </w:tc>
        <w:tc>
          <w:tcPr>
            <w:tcW w:w="1417" w:type="dxa"/>
            <w:tcBorders>
              <w:top w:val="single" w:sz="4" w:space="0" w:color="A6A6A6"/>
            </w:tcBorders>
            <w:noWrap/>
          </w:tcPr>
          <w:p w14:paraId="7D123038" w14:textId="77777777" w:rsidR="005B131E" w:rsidRPr="00BA7805" w:rsidRDefault="005B131E" w:rsidP="002542E1">
            <w:pPr>
              <w:pStyle w:val="ARfintablebodyright"/>
              <w:rPr>
                <w:highlight w:val="green"/>
              </w:rPr>
            </w:pPr>
            <w:r w:rsidRPr="00D17F6D">
              <w:t>30.0</w:t>
            </w:r>
          </w:p>
        </w:tc>
      </w:tr>
      <w:tr w:rsidR="005B131E" w:rsidRPr="00BA7805" w14:paraId="0ACF4484" w14:textId="77777777" w:rsidTr="002542E1">
        <w:trPr>
          <w:trHeight w:val="255"/>
        </w:trPr>
        <w:tc>
          <w:tcPr>
            <w:tcW w:w="3968" w:type="dxa"/>
            <w:tcBorders>
              <w:bottom w:val="single" w:sz="4" w:space="0" w:color="auto"/>
            </w:tcBorders>
          </w:tcPr>
          <w:p w14:paraId="0F123510" w14:textId="77777777" w:rsidR="005B131E" w:rsidRPr="00BA7805" w:rsidRDefault="005B131E" w:rsidP="002542E1">
            <w:pPr>
              <w:pStyle w:val="ARfintablebodybold"/>
              <w:rPr>
                <w:highlight w:val="green"/>
              </w:rPr>
            </w:pPr>
            <w:r w:rsidRPr="00D17F6D">
              <w:t xml:space="preserve"> Total contractual financial assets </w:t>
            </w:r>
          </w:p>
        </w:tc>
        <w:tc>
          <w:tcPr>
            <w:tcW w:w="1418" w:type="dxa"/>
            <w:tcBorders>
              <w:bottom w:val="single" w:sz="4" w:space="0" w:color="auto"/>
            </w:tcBorders>
            <w:shd w:val="clear" w:color="auto" w:fill="E7E6E6" w:themeFill="accent4"/>
            <w:noWrap/>
          </w:tcPr>
          <w:p w14:paraId="488A509F" w14:textId="77777777" w:rsidR="005B131E" w:rsidRPr="00BA7805" w:rsidRDefault="005B131E" w:rsidP="002542E1">
            <w:pPr>
              <w:pStyle w:val="ARfintablebodyrightbold"/>
              <w:rPr>
                <w:highlight w:val="green"/>
              </w:rPr>
            </w:pPr>
            <w:r w:rsidRPr="00D17F6D">
              <w:t>706.8</w:t>
            </w:r>
          </w:p>
        </w:tc>
        <w:tc>
          <w:tcPr>
            <w:tcW w:w="1417" w:type="dxa"/>
            <w:tcBorders>
              <w:bottom w:val="single" w:sz="4" w:space="0" w:color="auto"/>
            </w:tcBorders>
            <w:noWrap/>
          </w:tcPr>
          <w:p w14:paraId="7D43CB3C" w14:textId="77777777" w:rsidR="005B131E" w:rsidRPr="00BA7805" w:rsidRDefault="005B131E" w:rsidP="002542E1">
            <w:pPr>
              <w:pStyle w:val="ARfintablebodyrightbold"/>
              <w:rPr>
                <w:highlight w:val="green"/>
              </w:rPr>
            </w:pPr>
            <w:r w:rsidRPr="00D17F6D">
              <w:t>201.1</w:t>
            </w:r>
          </w:p>
        </w:tc>
        <w:tc>
          <w:tcPr>
            <w:tcW w:w="1417" w:type="dxa"/>
            <w:tcBorders>
              <w:bottom w:val="single" w:sz="4" w:space="0" w:color="auto"/>
            </w:tcBorders>
            <w:shd w:val="clear" w:color="auto" w:fill="E7E6E6" w:themeFill="accent4"/>
            <w:noWrap/>
          </w:tcPr>
          <w:p w14:paraId="2CD8B715" w14:textId="77777777" w:rsidR="005B131E" w:rsidRPr="00BA7805" w:rsidRDefault="005B131E" w:rsidP="002542E1">
            <w:pPr>
              <w:pStyle w:val="ARfintablebodyrightbold"/>
              <w:rPr>
                <w:highlight w:val="green"/>
              </w:rPr>
            </w:pPr>
            <w:r>
              <w:t>–</w:t>
            </w:r>
          </w:p>
        </w:tc>
        <w:tc>
          <w:tcPr>
            <w:tcW w:w="1417" w:type="dxa"/>
            <w:tcBorders>
              <w:bottom w:val="single" w:sz="4" w:space="0" w:color="auto"/>
            </w:tcBorders>
            <w:noWrap/>
          </w:tcPr>
          <w:p w14:paraId="10F464E4" w14:textId="77777777" w:rsidR="005B131E" w:rsidRPr="00BA7805" w:rsidRDefault="005B131E" w:rsidP="002542E1">
            <w:pPr>
              <w:pStyle w:val="ARfintablebodyrightbold"/>
              <w:rPr>
                <w:highlight w:val="green"/>
              </w:rPr>
            </w:pPr>
            <w:r w:rsidRPr="00D17F6D">
              <w:t>907.9</w:t>
            </w:r>
          </w:p>
        </w:tc>
      </w:tr>
      <w:tr w:rsidR="005B131E" w:rsidRPr="00BA7805" w14:paraId="05AF258D" w14:textId="77777777" w:rsidTr="003D7AC8">
        <w:trPr>
          <w:trHeight w:val="255"/>
        </w:trPr>
        <w:tc>
          <w:tcPr>
            <w:tcW w:w="9637" w:type="dxa"/>
            <w:gridSpan w:val="5"/>
            <w:tcBorders>
              <w:top w:val="single" w:sz="4" w:space="0" w:color="auto"/>
              <w:bottom w:val="single" w:sz="4" w:space="0" w:color="A6A6A6"/>
            </w:tcBorders>
          </w:tcPr>
          <w:p w14:paraId="4C842C95" w14:textId="77777777" w:rsidR="005B131E" w:rsidRPr="00BA7805" w:rsidRDefault="005B131E">
            <w:pPr>
              <w:pStyle w:val="ARfintablebodybold"/>
              <w:rPr>
                <w:highlight w:val="green"/>
              </w:rPr>
            </w:pPr>
            <w:r w:rsidRPr="00EE2502">
              <w:t>Contractual financial liabilities</w:t>
            </w:r>
          </w:p>
        </w:tc>
      </w:tr>
      <w:tr w:rsidR="005B131E" w:rsidRPr="00BA7805" w14:paraId="1C17585B" w14:textId="77777777" w:rsidTr="002542E1">
        <w:trPr>
          <w:trHeight w:val="255"/>
        </w:trPr>
        <w:tc>
          <w:tcPr>
            <w:tcW w:w="3968" w:type="dxa"/>
            <w:tcBorders>
              <w:top w:val="single" w:sz="4" w:space="0" w:color="A6A6A6"/>
              <w:bottom w:val="single" w:sz="4" w:space="0" w:color="A6A6A6"/>
            </w:tcBorders>
          </w:tcPr>
          <w:p w14:paraId="2B404866" w14:textId="77777777" w:rsidR="005B131E" w:rsidRPr="00BA7805" w:rsidRDefault="005B131E" w:rsidP="002542E1">
            <w:pPr>
              <w:pStyle w:val="ARfintablebody"/>
              <w:rPr>
                <w:highlight w:val="green"/>
              </w:rPr>
            </w:pPr>
            <w:r w:rsidRPr="0017246E">
              <w:t xml:space="preserve"> Payables </w:t>
            </w:r>
            <w:r w:rsidRPr="00E85DBE">
              <w:rPr>
                <w:vertAlign w:val="superscript"/>
              </w:rPr>
              <w:t>(i)</w:t>
            </w:r>
          </w:p>
        </w:tc>
        <w:tc>
          <w:tcPr>
            <w:tcW w:w="1418" w:type="dxa"/>
            <w:tcBorders>
              <w:top w:val="single" w:sz="4" w:space="0" w:color="A6A6A6"/>
              <w:bottom w:val="single" w:sz="4" w:space="0" w:color="A6A6A6"/>
            </w:tcBorders>
            <w:shd w:val="clear" w:color="auto" w:fill="E7E6E6" w:themeFill="accent4"/>
            <w:noWrap/>
          </w:tcPr>
          <w:p w14:paraId="5C26310B"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noWrap/>
          </w:tcPr>
          <w:p w14:paraId="4034517B" w14:textId="77777777" w:rsidR="005B131E" w:rsidRPr="00BA7805" w:rsidRDefault="005B131E" w:rsidP="002542E1">
            <w:pPr>
              <w:pStyle w:val="ARfintablebodyright"/>
              <w:rPr>
                <w:highlight w:val="green"/>
              </w:rPr>
            </w:pPr>
            <w:r>
              <w:t>–</w:t>
            </w:r>
          </w:p>
        </w:tc>
        <w:tc>
          <w:tcPr>
            <w:tcW w:w="1417" w:type="dxa"/>
            <w:tcBorders>
              <w:top w:val="single" w:sz="4" w:space="0" w:color="A6A6A6"/>
              <w:bottom w:val="single" w:sz="4" w:space="0" w:color="A6A6A6"/>
            </w:tcBorders>
            <w:shd w:val="clear" w:color="auto" w:fill="E7E6E6" w:themeFill="accent4"/>
            <w:noWrap/>
          </w:tcPr>
          <w:p w14:paraId="3226B766" w14:textId="77777777" w:rsidR="005B131E" w:rsidRPr="00BA7805" w:rsidRDefault="005B131E" w:rsidP="002542E1">
            <w:pPr>
              <w:pStyle w:val="ARfintablebodyright"/>
              <w:rPr>
                <w:highlight w:val="green"/>
              </w:rPr>
            </w:pPr>
            <w:r w:rsidRPr="0017246E">
              <w:t>380.7</w:t>
            </w:r>
          </w:p>
        </w:tc>
        <w:tc>
          <w:tcPr>
            <w:tcW w:w="1417" w:type="dxa"/>
            <w:tcBorders>
              <w:top w:val="single" w:sz="4" w:space="0" w:color="A6A6A6"/>
              <w:bottom w:val="single" w:sz="4" w:space="0" w:color="A6A6A6"/>
            </w:tcBorders>
            <w:noWrap/>
          </w:tcPr>
          <w:p w14:paraId="1256841F" w14:textId="77777777" w:rsidR="005B131E" w:rsidRPr="00BA7805" w:rsidRDefault="005B131E" w:rsidP="002542E1">
            <w:pPr>
              <w:pStyle w:val="ARfintablebodyright"/>
              <w:rPr>
                <w:highlight w:val="green"/>
              </w:rPr>
            </w:pPr>
            <w:r w:rsidRPr="0017246E">
              <w:t>380.7</w:t>
            </w:r>
          </w:p>
        </w:tc>
      </w:tr>
      <w:tr w:rsidR="005B131E" w:rsidRPr="00BA7805" w14:paraId="58346EA4" w14:textId="77777777" w:rsidTr="002542E1">
        <w:trPr>
          <w:trHeight w:val="255"/>
        </w:trPr>
        <w:tc>
          <w:tcPr>
            <w:tcW w:w="3968" w:type="dxa"/>
            <w:tcBorders>
              <w:top w:val="single" w:sz="4" w:space="0" w:color="A6A6A6"/>
            </w:tcBorders>
          </w:tcPr>
          <w:p w14:paraId="46A54C49" w14:textId="77777777" w:rsidR="005B131E" w:rsidRPr="00BA7805" w:rsidRDefault="005B131E" w:rsidP="002542E1">
            <w:pPr>
              <w:pStyle w:val="ARfintablebody"/>
              <w:rPr>
                <w:highlight w:val="green"/>
              </w:rPr>
            </w:pPr>
            <w:r w:rsidRPr="0017246E">
              <w:t xml:space="preserve"> Borrowings </w:t>
            </w:r>
            <w:r w:rsidRPr="00E85DBE">
              <w:rPr>
                <w:vertAlign w:val="superscript"/>
              </w:rPr>
              <w:t>(i)</w:t>
            </w:r>
          </w:p>
        </w:tc>
        <w:tc>
          <w:tcPr>
            <w:tcW w:w="1418" w:type="dxa"/>
            <w:tcBorders>
              <w:top w:val="single" w:sz="4" w:space="0" w:color="A6A6A6"/>
            </w:tcBorders>
            <w:shd w:val="clear" w:color="auto" w:fill="E7E6E6" w:themeFill="accent4"/>
            <w:noWrap/>
          </w:tcPr>
          <w:p w14:paraId="4E6C7352" w14:textId="77777777" w:rsidR="005B131E" w:rsidRPr="00BA7805" w:rsidRDefault="005B131E" w:rsidP="002542E1">
            <w:pPr>
              <w:pStyle w:val="ARfintablebodyright"/>
              <w:rPr>
                <w:highlight w:val="green"/>
              </w:rPr>
            </w:pPr>
            <w:r>
              <w:t>–</w:t>
            </w:r>
          </w:p>
        </w:tc>
        <w:tc>
          <w:tcPr>
            <w:tcW w:w="1417" w:type="dxa"/>
            <w:tcBorders>
              <w:top w:val="single" w:sz="4" w:space="0" w:color="A6A6A6"/>
            </w:tcBorders>
            <w:noWrap/>
          </w:tcPr>
          <w:p w14:paraId="3190F2B9" w14:textId="77777777" w:rsidR="005B131E" w:rsidRPr="00BA7805" w:rsidRDefault="005B131E" w:rsidP="002542E1">
            <w:pPr>
              <w:pStyle w:val="ARfintablebodyright"/>
              <w:rPr>
                <w:highlight w:val="green"/>
              </w:rPr>
            </w:pPr>
            <w:r>
              <w:t>–</w:t>
            </w:r>
          </w:p>
        </w:tc>
        <w:tc>
          <w:tcPr>
            <w:tcW w:w="1417" w:type="dxa"/>
            <w:tcBorders>
              <w:top w:val="single" w:sz="4" w:space="0" w:color="A6A6A6"/>
            </w:tcBorders>
            <w:shd w:val="clear" w:color="auto" w:fill="E7E6E6" w:themeFill="accent4"/>
            <w:noWrap/>
          </w:tcPr>
          <w:p w14:paraId="20BC6632" w14:textId="77777777" w:rsidR="005B131E" w:rsidRPr="00BA7805" w:rsidRDefault="005B131E" w:rsidP="002542E1">
            <w:pPr>
              <w:pStyle w:val="ARfintablebodyright"/>
              <w:rPr>
                <w:highlight w:val="green"/>
              </w:rPr>
            </w:pPr>
            <w:r w:rsidRPr="0017246E">
              <w:t>382.0</w:t>
            </w:r>
          </w:p>
        </w:tc>
        <w:tc>
          <w:tcPr>
            <w:tcW w:w="1417" w:type="dxa"/>
            <w:tcBorders>
              <w:top w:val="single" w:sz="4" w:space="0" w:color="A6A6A6"/>
            </w:tcBorders>
            <w:noWrap/>
          </w:tcPr>
          <w:p w14:paraId="76A94E79" w14:textId="77777777" w:rsidR="005B131E" w:rsidRPr="00BA7805" w:rsidRDefault="005B131E" w:rsidP="002542E1">
            <w:pPr>
              <w:pStyle w:val="ARfintablebodyright"/>
              <w:rPr>
                <w:highlight w:val="green"/>
              </w:rPr>
            </w:pPr>
            <w:r w:rsidRPr="0017246E">
              <w:t>382.1</w:t>
            </w:r>
          </w:p>
        </w:tc>
      </w:tr>
      <w:tr w:rsidR="005B131E" w:rsidRPr="00BA7805" w14:paraId="7B2E6109" w14:textId="77777777" w:rsidTr="002542E1">
        <w:trPr>
          <w:trHeight w:val="255"/>
        </w:trPr>
        <w:tc>
          <w:tcPr>
            <w:tcW w:w="3968" w:type="dxa"/>
          </w:tcPr>
          <w:p w14:paraId="6E857EFD" w14:textId="77777777" w:rsidR="005B131E" w:rsidRPr="00BA7805" w:rsidRDefault="005B131E" w:rsidP="002542E1">
            <w:pPr>
              <w:pStyle w:val="ARfintablebodybold"/>
              <w:rPr>
                <w:highlight w:val="green"/>
              </w:rPr>
            </w:pPr>
            <w:r w:rsidRPr="0017246E">
              <w:t xml:space="preserve"> Total contractual financial liabilities </w:t>
            </w:r>
          </w:p>
        </w:tc>
        <w:tc>
          <w:tcPr>
            <w:tcW w:w="1418" w:type="dxa"/>
            <w:shd w:val="clear" w:color="auto" w:fill="E7E6E6" w:themeFill="accent4"/>
            <w:noWrap/>
          </w:tcPr>
          <w:p w14:paraId="1265A1F4" w14:textId="77777777" w:rsidR="005B131E" w:rsidRPr="00BA7805" w:rsidRDefault="005B131E" w:rsidP="002542E1">
            <w:pPr>
              <w:pStyle w:val="ARfintablebodyrightbold"/>
              <w:rPr>
                <w:highlight w:val="green"/>
              </w:rPr>
            </w:pPr>
            <w:r>
              <w:t>–</w:t>
            </w:r>
          </w:p>
        </w:tc>
        <w:tc>
          <w:tcPr>
            <w:tcW w:w="1417" w:type="dxa"/>
            <w:noWrap/>
          </w:tcPr>
          <w:p w14:paraId="6002D2CC" w14:textId="77777777" w:rsidR="005B131E" w:rsidRPr="00BA7805" w:rsidRDefault="005B131E" w:rsidP="002542E1">
            <w:pPr>
              <w:pStyle w:val="ARfintablebodyrightbold"/>
              <w:rPr>
                <w:highlight w:val="green"/>
              </w:rPr>
            </w:pPr>
            <w:r>
              <w:t>–</w:t>
            </w:r>
          </w:p>
        </w:tc>
        <w:tc>
          <w:tcPr>
            <w:tcW w:w="1417" w:type="dxa"/>
            <w:shd w:val="clear" w:color="auto" w:fill="E7E6E6" w:themeFill="accent4"/>
            <w:noWrap/>
          </w:tcPr>
          <w:p w14:paraId="675DCF0C" w14:textId="77777777" w:rsidR="005B131E" w:rsidRPr="00BA7805" w:rsidRDefault="005B131E" w:rsidP="002542E1">
            <w:pPr>
              <w:pStyle w:val="ARfintablebodyrightbold"/>
              <w:rPr>
                <w:highlight w:val="green"/>
              </w:rPr>
            </w:pPr>
            <w:r w:rsidRPr="0017246E">
              <w:t>762.7</w:t>
            </w:r>
          </w:p>
        </w:tc>
        <w:tc>
          <w:tcPr>
            <w:tcW w:w="1417" w:type="dxa"/>
            <w:noWrap/>
          </w:tcPr>
          <w:p w14:paraId="14DCF1A1" w14:textId="77777777" w:rsidR="005B131E" w:rsidRPr="00BA7805" w:rsidRDefault="005B131E" w:rsidP="002542E1">
            <w:pPr>
              <w:pStyle w:val="ARfintablebodyrightbold"/>
              <w:rPr>
                <w:highlight w:val="green"/>
              </w:rPr>
            </w:pPr>
            <w:r w:rsidRPr="0017246E">
              <w:t>762.8</w:t>
            </w:r>
          </w:p>
        </w:tc>
      </w:tr>
    </w:tbl>
    <w:p w14:paraId="3D4D9546" w14:textId="77777777" w:rsidR="005B131E" w:rsidRPr="007B7C9C" w:rsidRDefault="005B131E">
      <w:pPr>
        <w:pStyle w:val="ARfintablefootnote"/>
        <w:rPr>
          <w:lang w:eastAsia="en-AU"/>
        </w:rPr>
      </w:pPr>
      <w:r w:rsidRPr="002E01E3">
        <w:rPr>
          <w:lang w:eastAsia="en-AU"/>
        </w:rPr>
        <w:t>Note:</w:t>
      </w:r>
    </w:p>
    <w:p w14:paraId="646473C5" w14:textId="4CBE5A9C" w:rsidR="005B131E" w:rsidRPr="00BA7805" w:rsidRDefault="005B131E" w:rsidP="003D7AC8">
      <w:pPr>
        <w:pStyle w:val="ARfintablefootnotetabindent"/>
        <w:rPr>
          <w:highlight w:val="green"/>
        </w:rPr>
      </w:pPr>
      <w:r w:rsidRPr="007B7C9C">
        <w:t xml:space="preserve">(i) </w:t>
      </w:r>
      <w:r>
        <w:tab/>
      </w:r>
      <w:r w:rsidRPr="007B7C9C">
        <w:t>The total amounts disclosed here exclude statutory amounts</w:t>
      </w:r>
      <w:r w:rsidR="003557B4">
        <w:t>,</w:t>
      </w:r>
      <w:r w:rsidRPr="007B7C9C">
        <w:t xml:space="preserve"> </w:t>
      </w:r>
      <w:r w:rsidR="003557B4">
        <w:t xml:space="preserve">for example, </w:t>
      </w:r>
      <w:r w:rsidRPr="007B7C9C">
        <w:t>amounts owing to/from Victorian Government and GST input tax credit recoverable and taxes payable. Refer to Note 6.1 for the breakdown of contractual and statutory receivables, Note</w:t>
      </w:r>
      <w:r w:rsidR="00603C1F">
        <w:t> </w:t>
      </w:r>
      <w:r w:rsidRPr="007B7C9C">
        <w:t>6.3 for the</w:t>
      </w:r>
      <w:r>
        <w:t> </w:t>
      </w:r>
      <w:r w:rsidRPr="007B7C9C">
        <w:t>breakdown of contractual and statutory payables, and Note 7.1 for the breakdown of borrowings.</w:t>
      </w:r>
    </w:p>
    <w:p w14:paraId="7CBA487F" w14:textId="77777777" w:rsidR="005B131E" w:rsidRPr="005942B1" w:rsidRDefault="005B131E" w:rsidP="00207901">
      <w:pPr>
        <w:pStyle w:val="Heading5"/>
      </w:pPr>
      <w:r w:rsidRPr="005942B1">
        <w:t>8.1.2 Financial instruments: Net holding gain/(loss) on financial instruments by category</w:t>
      </w:r>
    </w:p>
    <w:tbl>
      <w:tblPr>
        <w:tblStyle w:val="TableGrid"/>
        <w:tblW w:w="9639" w:type="dxa"/>
        <w:tblLayout w:type="fixed"/>
        <w:tblLook w:val="06A0" w:firstRow="1" w:lastRow="0" w:firstColumn="1" w:lastColumn="0" w:noHBand="1" w:noVBand="1"/>
      </w:tblPr>
      <w:tblGrid>
        <w:gridCol w:w="6804"/>
        <w:gridCol w:w="1417"/>
        <w:gridCol w:w="1418"/>
      </w:tblGrid>
      <w:tr w:rsidR="005B131E" w:rsidRPr="00BA7805" w14:paraId="35BFA60D"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804" w:type="dxa"/>
            <w:hideMark/>
          </w:tcPr>
          <w:p w14:paraId="117C1A9D" w14:textId="77777777" w:rsidR="005B131E" w:rsidRPr="00BA7805" w:rsidRDefault="005B131E">
            <w:pPr>
              <w:pStyle w:val="ARfintablecolhead"/>
              <w:spacing w:before="30" w:after="16"/>
              <w:rPr>
                <w:highlight w:val="green"/>
              </w:rPr>
            </w:pPr>
          </w:p>
        </w:tc>
        <w:tc>
          <w:tcPr>
            <w:tcW w:w="1417" w:type="dxa"/>
            <w:shd w:val="clear" w:color="auto" w:fill="E7E6E6" w:themeFill="accent4"/>
            <w:hideMark/>
          </w:tcPr>
          <w:p w14:paraId="6115B0DB" w14:textId="77777777" w:rsidR="005B131E" w:rsidRPr="007D21BE" w:rsidRDefault="005B131E">
            <w:pPr>
              <w:pStyle w:val="ARfintablecolheadright"/>
              <w:spacing w:before="30" w:after="16"/>
            </w:pPr>
            <w:r w:rsidRPr="007D21BE">
              <w:t>Total interest income/</w:t>
            </w:r>
            <w:r w:rsidRPr="007D21BE">
              <w:br/>
              <w:t>(expense)</w:t>
            </w:r>
          </w:p>
          <w:p w14:paraId="182EA7C3" w14:textId="77777777" w:rsidR="005B131E" w:rsidRPr="007D21BE" w:rsidRDefault="005B131E">
            <w:pPr>
              <w:pStyle w:val="ARfintablecolheadright"/>
              <w:spacing w:before="30" w:after="16"/>
            </w:pPr>
            <w:r w:rsidRPr="007D21BE">
              <w:t>$M</w:t>
            </w:r>
          </w:p>
        </w:tc>
        <w:tc>
          <w:tcPr>
            <w:tcW w:w="1418" w:type="dxa"/>
            <w:hideMark/>
          </w:tcPr>
          <w:p w14:paraId="50E6B463" w14:textId="77777777" w:rsidR="005B131E" w:rsidRPr="007D21BE" w:rsidRDefault="005B131E">
            <w:pPr>
              <w:pStyle w:val="ARfintablecolheadright"/>
              <w:spacing w:before="30" w:after="16"/>
            </w:pPr>
            <w:r w:rsidRPr="007D21BE">
              <w:t>Total</w:t>
            </w:r>
          </w:p>
          <w:p w14:paraId="3DA31DEB" w14:textId="77777777" w:rsidR="005B131E" w:rsidRPr="007D21BE" w:rsidRDefault="005B131E">
            <w:pPr>
              <w:pStyle w:val="ARfintablecolheadright"/>
              <w:spacing w:before="30" w:after="16"/>
            </w:pPr>
            <w:r w:rsidRPr="007D21BE">
              <w:t>$M</w:t>
            </w:r>
          </w:p>
        </w:tc>
      </w:tr>
      <w:tr w:rsidR="005B131E" w:rsidRPr="00BA7805" w14:paraId="29DDDA00" w14:textId="77777777">
        <w:tc>
          <w:tcPr>
            <w:tcW w:w="9639" w:type="dxa"/>
            <w:gridSpan w:val="3"/>
            <w:tcBorders>
              <w:bottom w:val="single" w:sz="4" w:space="0" w:color="auto"/>
            </w:tcBorders>
            <w:hideMark/>
          </w:tcPr>
          <w:p w14:paraId="145206DC" w14:textId="77777777" w:rsidR="005B131E" w:rsidRPr="00BA7805" w:rsidRDefault="005B131E">
            <w:pPr>
              <w:pStyle w:val="ARfintablebodybold"/>
              <w:spacing w:before="30" w:after="16"/>
              <w:rPr>
                <w:highlight w:val="green"/>
              </w:rPr>
            </w:pPr>
            <w:r w:rsidRPr="007D21BE">
              <w:t>2024</w:t>
            </w:r>
          </w:p>
        </w:tc>
      </w:tr>
      <w:tr w:rsidR="005B131E" w:rsidRPr="00BA7805" w14:paraId="21D1DB16" w14:textId="77777777" w:rsidTr="003D7AC8">
        <w:tc>
          <w:tcPr>
            <w:tcW w:w="9639" w:type="dxa"/>
            <w:gridSpan w:val="3"/>
            <w:tcBorders>
              <w:top w:val="single" w:sz="4" w:space="0" w:color="auto"/>
              <w:bottom w:val="single" w:sz="4" w:space="0" w:color="A6A6A6"/>
            </w:tcBorders>
          </w:tcPr>
          <w:p w14:paraId="3F00EEB1" w14:textId="77777777" w:rsidR="005B131E" w:rsidRPr="00BA7805" w:rsidRDefault="005B131E">
            <w:pPr>
              <w:pStyle w:val="ARfintablebodybold"/>
              <w:spacing w:before="30" w:after="16"/>
              <w:rPr>
                <w:highlight w:val="green"/>
              </w:rPr>
            </w:pPr>
            <w:r w:rsidRPr="005E591F">
              <w:t>Contractual financial assets</w:t>
            </w:r>
          </w:p>
        </w:tc>
      </w:tr>
      <w:tr w:rsidR="005B131E" w:rsidRPr="00BA7805" w14:paraId="15C42472" w14:textId="77777777" w:rsidTr="002542E1">
        <w:tc>
          <w:tcPr>
            <w:tcW w:w="6804" w:type="dxa"/>
            <w:tcBorders>
              <w:top w:val="single" w:sz="4" w:space="0" w:color="A6A6A6"/>
              <w:bottom w:val="single" w:sz="4" w:space="0" w:color="A6A6A6"/>
            </w:tcBorders>
          </w:tcPr>
          <w:p w14:paraId="0ACEAC38" w14:textId="77777777" w:rsidR="005B131E" w:rsidRPr="00BA7805" w:rsidRDefault="005B131E" w:rsidP="002542E1">
            <w:pPr>
              <w:pStyle w:val="ARfintablebody"/>
              <w:spacing w:before="30" w:after="16"/>
              <w:rPr>
                <w:highlight w:val="green"/>
              </w:rPr>
            </w:pPr>
            <w:r w:rsidRPr="007048FD">
              <w:t xml:space="preserve">Loans </w:t>
            </w:r>
          </w:p>
        </w:tc>
        <w:tc>
          <w:tcPr>
            <w:tcW w:w="1417" w:type="dxa"/>
            <w:tcBorders>
              <w:top w:val="single" w:sz="4" w:space="0" w:color="A6A6A6"/>
              <w:bottom w:val="single" w:sz="4" w:space="0" w:color="A6A6A6"/>
            </w:tcBorders>
            <w:shd w:val="clear" w:color="auto" w:fill="E7E6E6" w:themeFill="accent4"/>
            <w:noWrap/>
          </w:tcPr>
          <w:p w14:paraId="35B18FED" w14:textId="77777777" w:rsidR="005B131E" w:rsidRPr="00BA7805" w:rsidRDefault="005B131E" w:rsidP="002542E1">
            <w:pPr>
              <w:pStyle w:val="ARfintablebodyright"/>
              <w:spacing w:before="30" w:after="16"/>
              <w:rPr>
                <w:highlight w:val="green"/>
              </w:rPr>
            </w:pPr>
            <w:r w:rsidRPr="007048FD">
              <w:t>4.5</w:t>
            </w:r>
          </w:p>
        </w:tc>
        <w:tc>
          <w:tcPr>
            <w:tcW w:w="1418" w:type="dxa"/>
            <w:tcBorders>
              <w:top w:val="single" w:sz="4" w:space="0" w:color="A6A6A6"/>
              <w:bottom w:val="single" w:sz="4" w:space="0" w:color="A6A6A6"/>
            </w:tcBorders>
            <w:noWrap/>
          </w:tcPr>
          <w:p w14:paraId="77EB37AF" w14:textId="77777777" w:rsidR="005B131E" w:rsidRPr="00BA7805" w:rsidRDefault="005B131E" w:rsidP="002542E1">
            <w:pPr>
              <w:pStyle w:val="ARfintablebodyright"/>
              <w:spacing w:before="30" w:after="16"/>
              <w:rPr>
                <w:highlight w:val="green"/>
              </w:rPr>
            </w:pPr>
            <w:r w:rsidRPr="007048FD">
              <w:t>4.5</w:t>
            </w:r>
          </w:p>
        </w:tc>
      </w:tr>
      <w:tr w:rsidR="005B131E" w:rsidRPr="00BA7805" w14:paraId="59745FEC" w14:textId="77777777" w:rsidTr="002542E1">
        <w:tc>
          <w:tcPr>
            <w:tcW w:w="6804" w:type="dxa"/>
            <w:tcBorders>
              <w:top w:val="single" w:sz="4" w:space="0" w:color="A6A6A6"/>
            </w:tcBorders>
          </w:tcPr>
          <w:p w14:paraId="20B6E43C" w14:textId="77777777" w:rsidR="005B131E" w:rsidRPr="00BA7805" w:rsidRDefault="005B131E" w:rsidP="002542E1">
            <w:pPr>
              <w:pStyle w:val="ARfintablebody"/>
              <w:spacing w:before="30" w:after="16"/>
              <w:rPr>
                <w:highlight w:val="green"/>
              </w:rPr>
            </w:pPr>
            <w:r w:rsidRPr="007048FD">
              <w:t xml:space="preserve">Short-term investments </w:t>
            </w:r>
            <w:r>
              <w:t>–</w:t>
            </w:r>
            <w:r w:rsidRPr="007048FD">
              <w:t xml:space="preserve"> term deposits</w:t>
            </w:r>
          </w:p>
        </w:tc>
        <w:tc>
          <w:tcPr>
            <w:tcW w:w="1417" w:type="dxa"/>
            <w:tcBorders>
              <w:top w:val="single" w:sz="4" w:space="0" w:color="A6A6A6"/>
            </w:tcBorders>
            <w:shd w:val="clear" w:color="auto" w:fill="E7E6E6" w:themeFill="accent4"/>
            <w:noWrap/>
          </w:tcPr>
          <w:p w14:paraId="235E9BD4" w14:textId="77777777" w:rsidR="005B131E" w:rsidRPr="00BA7805" w:rsidRDefault="005B131E" w:rsidP="002542E1">
            <w:pPr>
              <w:pStyle w:val="ARfintablebodyright"/>
              <w:spacing w:before="30" w:after="16"/>
              <w:rPr>
                <w:highlight w:val="green"/>
              </w:rPr>
            </w:pPr>
            <w:r w:rsidRPr="007048FD">
              <w:t>28.2</w:t>
            </w:r>
          </w:p>
        </w:tc>
        <w:tc>
          <w:tcPr>
            <w:tcW w:w="1418" w:type="dxa"/>
            <w:tcBorders>
              <w:top w:val="single" w:sz="4" w:space="0" w:color="A6A6A6"/>
            </w:tcBorders>
            <w:noWrap/>
          </w:tcPr>
          <w:p w14:paraId="7F8CD92C" w14:textId="77777777" w:rsidR="005B131E" w:rsidRPr="00BA7805" w:rsidRDefault="005B131E" w:rsidP="002542E1">
            <w:pPr>
              <w:pStyle w:val="ARfintablebodyright"/>
              <w:spacing w:before="30" w:after="16"/>
              <w:rPr>
                <w:highlight w:val="green"/>
              </w:rPr>
            </w:pPr>
            <w:r w:rsidRPr="007048FD">
              <w:t>28.2</w:t>
            </w:r>
          </w:p>
        </w:tc>
      </w:tr>
      <w:tr w:rsidR="005B131E" w:rsidRPr="00BA7805" w14:paraId="2FB37AFB" w14:textId="77777777" w:rsidTr="002542E1">
        <w:tc>
          <w:tcPr>
            <w:tcW w:w="6804" w:type="dxa"/>
            <w:tcBorders>
              <w:bottom w:val="single" w:sz="4" w:space="0" w:color="auto"/>
            </w:tcBorders>
          </w:tcPr>
          <w:p w14:paraId="6090D326" w14:textId="77777777" w:rsidR="005B131E" w:rsidRPr="00BA7805" w:rsidRDefault="005B131E" w:rsidP="002542E1">
            <w:pPr>
              <w:pStyle w:val="ARfintablebodybold"/>
              <w:spacing w:before="30" w:after="16"/>
              <w:rPr>
                <w:highlight w:val="green"/>
              </w:rPr>
            </w:pPr>
            <w:r w:rsidRPr="007048FD">
              <w:t>Total contractual financial assets</w:t>
            </w:r>
          </w:p>
        </w:tc>
        <w:tc>
          <w:tcPr>
            <w:tcW w:w="1417" w:type="dxa"/>
            <w:tcBorders>
              <w:bottom w:val="single" w:sz="4" w:space="0" w:color="auto"/>
            </w:tcBorders>
            <w:shd w:val="clear" w:color="auto" w:fill="E7E6E6" w:themeFill="accent4"/>
            <w:noWrap/>
          </w:tcPr>
          <w:p w14:paraId="2F0140A8" w14:textId="77777777" w:rsidR="005B131E" w:rsidRPr="00BA7805" w:rsidRDefault="005B131E" w:rsidP="002542E1">
            <w:pPr>
              <w:pStyle w:val="ARfintablebodyrightbold"/>
              <w:spacing w:before="30" w:after="16"/>
              <w:rPr>
                <w:highlight w:val="green"/>
              </w:rPr>
            </w:pPr>
            <w:r w:rsidRPr="007048FD">
              <w:t>32.7</w:t>
            </w:r>
          </w:p>
        </w:tc>
        <w:tc>
          <w:tcPr>
            <w:tcW w:w="1418" w:type="dxa"/>
            <w:tcBorders>
              <w:bottom w:val="single" w:sz="4" w:space="0" w:color="auto"/>
            </w:tcBorders>
            <w:noWrap/>
          </w:tcPr>
          <w:p w14:paraId="5E1A3D6E" w14:textId="77777777" w:rsidR="005B131E" w:rsidRPr="00BA7805" w:rsidRDefault="005B131E" w:rsidP="002542E1">
            <w:pPr>
              <w:pStyle w:val="ARfintablebodyrightbold"/>
              <w:spacing w:before="30" w:after="16"/>
              <w:rPr>
                <w:highlight w:val="green"/>
              </w:rPr>
            </w:pPr>
            <w:r w:rsidRPr="007048FD">
              <w:t>32.7</w:t>
            </w:r>
          </w:p>
        </w:tc>
      </w:tr>
      <w:tr w:rsidR="005B131E" w:rsidRPr="00BA7805" w14:paraId="724C5C67" w14:textId="77777777" w:rsidTr="003D7AC8">
        <w:tc>
          <w:tcPr>
            <w:tcW w:w="9639" w:type="dxa"/>
            <w:gridSpan w:val="3"/>
            <w:tcBorders>
              <w:top w:val="single" w:sz="4" w:space="0" w:color="auto"/>
              <w:bottom w:val="single" w:sz="4" w:space="0" w:color="A6A6A6"/>
            </w:tcBorders>
          </w:tcPr>
          <w:p w14:paraId="1381B6BE" w14:textId="77777777" w:rsidR="005B131E" w:rsidRPr="00BA7805" w:rsidRDefault="005B131E">
            <w:pPr>
              <w:pStyle w:val="ARfintablebodybold"/>
              <w:spacing w:before="30" w:after="16"/>
              <w:rPr>
                <w:highlight w:val="green"/>
              </w:rPr>
            </w:pPr>
            <w:r w:rsidRPr="005E591F">
              <w:t>Contractual financial liabilities</w:t>
            </w:r>
          </w:p>
        </w:tc>
      </w:tr>
      <w:tr w:rsidR="005B131E" w:rsidRPr="00BA7805" w14:paraId="5108FC39" w14:textId="77777777" w:rsidTr="002542E1">
        <w:tc>
          <w:tcPr>
            <w:tcW w:w="6804" w:type="dxa"/>
            <w:tcBorders>
              <w:top w:val="single" w:sz="4" w:space="0" w:color="A6A6A6"/>
              <w:bottom w:val="single" w:sz="4" w:space="0" w:color="A6A6A6"/>
            </w:tcBorders>
          </w:tcPr>
          <w:p w14:paraId="7681E343" w14:textId="77777777" w:rsidR="005B131E" w:rsidRPr="00BA7805" w:rsidRDefault="005B131E" w:rsidP="002542E1">
            <w:pPr>
              <w:pStyle w:val="ARfintablebody"/>
              <w:spacing w:before="30" w:after="16"/>
              <w:rPr>
                <w:highlight w:val="green"/>
              </w:rPr>
            </w:pPr>
            <w:r w:rsidRPr="000C51BB">
              <w:t xml:space="preserve">Payables </w:t>
            </w:r>
            <w:r w:rsidRPr="002B5751">
              <w:rPr>
                <w:vertAlign w:val="superscript"/>
              </w:rPr>
              <w:t>(i)</w:t>
            </w:r>
          </w:p>
        </w:tc>
        <w:tc>
          <w:tcPr>
            <w:tcW w:w="1417" w:type="dxa"/>
            <w:tcBorders>
              <w:top w:val="single" w:sz="4" w:space="0" w:color="A6A6A6"/>
              <w:bottom w:val="single" w:sz="4" w:space="0" w:color="A6A6A6"/>
            </w:tcBorders>
            <w:noWrap/>
          </w:tcPr>
          <w:p w14:paraId="6FF86751" w14:textId="77777777" w:rsidR="005B131E" w:rsidRPr="00BA7805" w:rsidRDefault="005B131E" w:rsidP="002542E1">
            <w:pPr>
              <w:pStyle w:val="ARfintablebodyright"/>
              <w:spacing w:before="30" w:after="16"/>
              <w:rPr>
                <w:highlight w:val="green"/>
              </w:rPr>
            </w:pPr>
            <w:r>
              <w:t>–</w:t>
            </w:r>
          </w:p>
        </w:tc>
        <w:tc>
          <w:tcPr>
            <w:tcW w:w="1418" w:type="dxa"/>
            <w:tcBorders>
              <w:top w:val="single" w:sz="4" w:space="0" w:color="A6A6A6"/>
              <w:bottom w:val="single" w:sz="4" w:space="0" w:color="A6A6A6"/>
            </w:tcBorders>
            <w:noWrap/>
          </w:tcPr>
          <w:p w14:paraId="27A07082" w14:textId="77777777" w:rsidR="005B131E" w:rsidRPr="00BA7805" w:rsidRDefault="005B131E" w:rsidP="002542E1">
            <w:pPr>
              <w:pStyle w:val="ARfintablebodyright"/>
              <w:spacing w:before="30" w:after="16"/>
              <w:rPr>
                <w:highlight w:val="green"/>
              </w:rPr>
            </w:pPr>
            <w:r>
              <w:t>–</w:t>
            </w:r>
          </w:p>
        </w:tc>
      </w:tr>
      <w:tr w:rsidR="005B131E" w:rsidRPr="00BA7805" w14:paraId="1E38030A" w14:textId="77777777" w:rsidTr="002542E1">
        <w:tc>
          <w:tcPr>
            <w:tcW w:w="6804" w:type="dxa"/>
            <w:tcBorders>
              <w:top w:val="single" w:sz="4" w:space="0" w:color="A6A6A6"/>
            </w:tcBorders>
          </w:tcPr>
          <w:p w14:paraId="60C0FE1B" w14:textId="77777777" w:rsidR="005B131E" w:rsidRPr="00BA7805" w:rsidRDefault="005B131E" w:rsidP="002542E1">
            <w:pPr>
              <w:pStyle w:val="ARfintablebody"/>
              <w:spacing w:before="30" w:after="16"/>
              <w:rPr>
                <w:highlight w:val="green"/>
              </w:rPr>
            </w:pPr>
            <w:r w:rsidRPr="000C51BB">
              <w:t>Borrowings</w:t>
            </w:r>
          </w:p>
        </w:tc>
        <w:tc>
          <w:tcPr>
            <w:tcW w:w="1417" w:type="dxa"/>
            <w:tcBorders>
              <w:top w:val="single" w:sz="4" w:space="0" w:color="A6A6A6"/>
            </w:tcBorders>
            <w:shd w:val="clear" w:color="auto" w:fill="E7E6E6" w:themeFill="accent4"/>
            <w:noWrap/>
          </w:tcPr>
          <w:p w14:paraId="66E1451F" w14:textId="77777777" w:rsidR="005B131E" w:rsidRPr="00BA7805" w:rsidRDefault="005B131E" w:rsidP="002542E1">
            <w:pPr>
              <w:pStyle w:val="ARfintablebodyright"/>
              <w:spacing w:before="30" w:after="16"/>
              <w:rPr>
                <w:highlight w:val="green"/>
              </w:rPr>
            </w:pPr>
            <w:r w:rsidRPr="000C51BB">
              <w:t>(21.4)</w:t>
            </w:r>
          </w:p>
        </w:tc>
        <w:tc>
          <w:tcPr>
            <w:tcW w:w="1418" w:type="dxa"/>
            <w:tcBorders>
              <w:top w:val="single" w:sz="4" w:space="0" w:color="A6A6A6"/>
            </w:tcBorders>
            <w:noWrap/>
          </w:tcPr>
          <w:p w14:paraId="6B25A501" w14:textId="77777777" w:rsidR="005B131E" w:rsidRPr="00BA7805" w:rsidRDefault="005B131E" w:rsidP="002542E1">
            <w:pPr>
              <w:pStyle w:val="ARfintablebodyright"/>
              <w:spacing w:before="30" w:after="16"/>
              <w:rPr>
                <w:highlight w:val="green"/>
              </w:rPr>
            </w:pPr>
            <w:r w:rsidRPr="000C51BB">
              <w:t>(21.4)</w:t>
            </w:r>
          </w:p>
        </w:tc>
      </w:tr>
      <w:tr w:rsidR="005B131E" w:rsidRPr="00BA7805" w14:paraId="1B60B02D" w14:textId="77777777" w:rsidTr="002542E1">
        <w:tc>
          <w:tcPr>
            <w:tcW w:w="6804" w:type="dxa"/>
          </w:tcPr>
          <w:p w14:paraId="65D94ADB" w14:textId="77777777" w:rsidR="005B131E" w:rsidRPr="00BA7805" w:rsidRDefault="005B131E" w:rsidP="002542E1">
            <w:pPr>
              <w:pStyle w:val="ARfintablebodybold"/>
              <w:spacing w:before="30" w:after="16"/>
              <w:rPr>
                <w:highlight w:val="green"/>
              </w:rPr>
            </w:pPr>
            <w:r w:rsidRPr="000C51BB">
              <w:t>Total contractual financial liabilities</w:t>
            </w:r>
          </w:p>
        </w:tc>
        <w:tc>
          <w:tcPr>
            <w:tcW w:w="1417" w:type="dxa"/>
            <w:shd w:val="clear" w:color="auto" w:fill="E7E6E6" w:themeFill="accent4"/>
            <w:noWrap/>
          </w:tcPr>
          <w:p w14:paraId="5C19A48D" w14:textId="77777777" w:rsidR="005B131E" w:rsidRPr="00BA7805" w:rsidRDefault="005B131E" w:rsidP="002542E1">
            <w:pPr>
              <w:pStyle w:val="ARfintablebodyrightbold"/>
              <w:spacing w:before="30" w:after="16"/>
              <w:rPr>
                <w:highlight w:val="green"/>
              </w:rPr>
            </w:pPr>
            <w:r w:rsidRPr="000C51BB">
              <w:t>(21.4)</w:t>
            </w:r>
          </w:p>
        </w:tc>
        <w:tc>
          <w:tcPr>
            <w:tcW w:w="1418" w:type="dxa"/>
            <w:noWrap/>
          </w:tcPr>
          <w:p w14:paraId="5ECA8BC3" w14:textId="77777777" w:rsidR="005B131E" w:rsidRPr="00BA7805" w:rsidRDefault="005B131E" w:rsidP="002542E1">
            <w:pPr>
              <w:pStyle w:val="ARfintablebodyrightbold"/>
              <w:spacing w:before="30" w:after="16"/>
              <w:rPr>
                <w:highlight w:val="green"/>
              </w:rPr>
            </w:pPr>
            <w:r w:rsidRPr="000C51BB">
              <w:t>(21.4)</w:t>
            </w:r>
          </w:p>
        </w:tc>
      </w:tr>
      <w:tr w:rsidR="005B131E" w:rsidRPr="00BA7805" w14:paraId="08F8BDFF" w14:textId="77777777" w:rsidTr="003D7AC8">
        <w:tc>
          <w:tcPr>
            <w:tcW w:w="9639" w:type="dxa"/>
            <w:gridSpan w:val="3"/>
            <w:tcBorders>
              <w:bottom w:val="single" w:sz="4" w:space="0" w:color="auto"/>
            </w:tcBorders>
          </w:tcPr>
          <w:p w14:paraId="67537D3F" w14:textId="77777777" w:rsidR="005B131E" w:rsidRPr="00BA7805" w:rsidRDefault="005B131E">
            <w:pPr>
              <w:pStyle w:val="ARfintablebodybold"/>
              <w:spacing w:before="30" w:after="16"/>
              <w:rPr>
                <w:highlight w:val="green"/>
              </w:rPr>
            </w:pPr>
            <w:r w:rsidRPr="007D21BE">
              <w:t>2023</w:t>
            </w:r>
          </w:p>
        </w:tc>
      </w:tr>
      <w:tr w:rsidR="005B131E" w:rsidRPr="00BA7805" w14:paraId="3B3EA6EF" w14:textId="77777777" w:rsidTr="003D7AC8">
        <w:tc>
          <w:tcPr>
            <w:tcW w:w="9639" w:type="dxa"/>
            <w:gridSpan w:val="3"/>
            <w:tcBorders>
              <w:top w:val="single" w:sz="4" w:space="0" w:color="auto"/>
              <w:bottom w:val="single" w:sz="4" w:space="0" w:color="A6A6A6"/>
            </w:tcBorders>
          </w:tcPr>
          <w:p w14:paraId="499D8686" w14:textId="77777777" w:rsidR="005B131E" w:rsidRPr="00BA7805" w:rsidRDefault="005B131E">
            <w:pPr>
              <w:pStyle w:val="ARfintablebodybold"/>
              <w:spacing w:before="30" w:after="16"/>
              <w:rPr>
                <w:highlight w:val="green"/>
              </w:rPr>
            </w:pPr>
            <w:r w:rsidRPr="007D21BE">
              <w:t>Contractual financial assets</w:t>
            </w:r>
          </w:p>
        </w:tc>
      </w:tr>
      <w:tr w:rsidR="005B131E" w:rsidRPr="00BA7805" w14:paraId="13E08A93" w14:textId="77777777" w:rsidTr="002542E1">
        <w:tc>
          <w:tcPr>
            <w:tcW w:w="6804" w:type="dxa"/>
            <w:tcBorders>
              <w:top w:val="single" w:sz="4" w:space="0" w:color="A6A6A6"/>
              <w:bottom w:val="single" w:sz="4" w:space="0" w:color="A6A6A6"/>
            </w:tcBorders>
          </w:tcPr>
          <w:p w14:paraId="6D96FA02" w14:textId="77777777" w:rsidR="005B131E" w:rsidRPr="00BA7805" w:rsidRDefault="005B131E" w:rsidP="002542E1">
            <w:pPr>
              <w:pStyle w:val="ARfintablebody"/>
              <w:spacing w:before="30" w:after="16"/>
              <w:rPr>
                <w:highlight w:val="green"/>
              </w:rPr>
            </w:pPr>
            <w:r w:rsidRPr="00F264CD">
              <w:t xml:space="preserve">Loans </w:t>
            </w:r>
          </w:p>
        </w:tc>
        <w:tc>
          <w:tcPr>
            <w:tcW w:w="1417" w:type="dxa"/>
            <w:tcBorders>
              <w:top w:val="single" w:sz="4" w:space="0" w:color="A6A6A6"/>
              <w:bottom w:val="single" w:sz="4" w:space="0" w:color="A6A6A6"/>
            </w:tcBorders>
            <w:shd w:val="clear" w:color="auto" w:fill="E7E6E6" w:themeFill="accent4"/>
            <w:noWrap/>
          </w:tcPr>
          <w:p w14:paraId="5402211A" w14:textId="77777777" w:rsidR="005B131E" w:rsidRPr="00BA7805" w:rsidRDefault="005B131E" w:rsidP="002542E1">
            <w:pPr>
              <w:pStyle w:val="ARfintablebodyright"/>
              <w:spacing w:before="30" w:after="16"/>
              <w:rPr>
                <w:highlight w:val="green"/>
              </w:rPr>
            </w:pPr>
            <w:r w:rsidRPr="00F264CD">
              <w:t>0.6</w:t>
            </w:r>
          </w:p>
        </w:tc>
        <w:tc>
          <w:tcPr>
            <w:tcW w:w="1418" w:type="dxa"/>
            <w:tcBorders>
              <w:top w:val="single" w:sz="4" w:space="0" w:color="A6A6A6"/>
              <w:bottom w:val="single" w:sz="4" w:space="0" w:color="A6A6A6"/>
            </w:tcBorders>
            <w:noWrap/>
          </w:tcPr>
          <w:p w14:paraId="70BCBE61" w14:textId="77777777" w:rsidR="005B131E" w:rsidRPr="00BA7805" w:rsidRDefault="005B131E" w:rsidP="002542E1">
            <w:pPr>
              <w:pStyle w:val="ARfintablebodyright"/>
              <w:spacing w:before="30" w:after="16"/>
              <w:rPr>
                <w:highlight w:val="green"/>
              </w:rPr>
            </w:pPr>
            <w:r w:rsidRPr="00F264CD">
              <w:t>0.6</w:t>
            </w:r>
          </w:p>
        </w:tc>
      </w:tr>
      <w:tr w:rsidR="005B131E" w:rsidRPr="00BA7805" w14:paraId="4AC1D272" w14:textId="77777777" w:rsidTr="002542E1">
        <w:tc>
          <w:tcPr>
            <w:tcW w:w="6804" w:type="dxa"/>
            <w:tcBorders>
              <w:top w:val="single" w:sz="4" w:space="0" w:color="A6A6A6"/>
            </w:tcBorders>
          </w:tcPr>
          <w:p w14:paraId="2830DC48" w14:textId="77777777" w:rsidR="005B131E" w:rsidRPr="00BA7805" w:rsidRDefault="005B131E" w:rsidP="002542E1">
            <w:pPr>
              <w:pStyle w:val="ARfintablebody"/>
              <w:spacing w:before="30" w:after="16"/>
              <w:rPr>
                <w:highlight w:val="green"/>
              </w:rPr>
            </w:pPr>
            <w:r w:rsidRPr="00F264CD">
              <w:t xml:space="preserve">Short-term investments </w:t>
            </w:r>
            <w:r>
              <w:t>–</w:t>
            </w:r>
            <w:r w:rsidRPr="00F264CD">
              <w:t xml:space="preserve"> term deposits</w:t>
            </w:r>
          </w:p>
        </w:tc>
        <w:tc>
          <w:tcPr>
            <w:tcW w:w="1417" w:type="dxa"/>
            <w:tcBorders>
              <w:top w:val="single" w:sz="4" w:space="0" w:color="A6A6A6"/>
            </w:tcBorders>
            <w:shd w:val="clear" w:color="auto" w:fill="E7E6E6" w:themeFill="accent4"/>
            <w:noWrap/>
          </w:tcPr>
          <w:p w14:paraId="757F7671" w14:textId="77777777" w:rsidR="005B131E" w:rsidRPr="00BA7805" w:rsidRDefault="005B131E" w:rsidP="002542E1">
            <w:pPr>
              <w:pStyle w:val="ARfintablebodyright"/>
              <w:spacing w:before="30" w:after="16"/>
              <w:rPr>
                <w:highlight w:val="green"/>
              </w:rPr>
            </w:pPr>
            <w:r w:rsidRPr="00F264CD">
              <w:t>20.2</w:t>
            </w:r>
          </w:p>
        </w:tc>
        <w:tc>
          <w:tcPr>
            <w:tcW w:w="1418" w:type="dxa"/>
            <w:tcBorders>
              <w:top w:val="single" w:sz="4" w:space="0" w:color="A6A6A6"/>
            </w:tcBorders>
            <w:noWrap/>
          </w:tcPr>
          <w:p w14:paraId="35EFC769" w14:textId="77777777" w:rsidR="005B131E" w:rsidRPr="00BA7805" w:rsidRDefault="005B131E" w:rsidP="002542E1">
            <w:pPr>
              <w:pStyle w:val="ARfintablebodyright"/>
              <w:spacing w:before="30" w:after="16"/>
              <w:rPr>
                <w:highlight w:val="green"/>
              </w:rPr>
            </w:pPr>
            <w:r w:rsidRPr="00F264CD">
              <w:t>20.2</w:t>
            </w:r>
          </w:p>
        </w:tc>
      </w:tr>
      <w:tr w:rsidR="005B131E" w:rsidRPr="00BA7805" w14:paraId="61BF2AD8" w14:textId="77777777" w:rsidTr="002542E1">
        <w:tc>
          <w:tcPr>
            <w:tcW w:w="6804" w:type="dxa"/>
            <w:tcBorders>
              <w:bottom w:val="single" w:sz="4" w:space="0" w:color="auto"/>
            </w:tcBorders>
          </w:tcPr>
          <w:p w14:paraId="08B34E50" w14:textId="77777777" w:rsidR="005B131E" w:rsidRPr="00BA7805" w:rsidRDefault="005B131E" w:rsidP="002542E1">
            <w:pPr>
              <w:pStyle w:val="ARfintablebodybold"/>
              <w:spacing w:before="30" w:after="16"/>
              <w:rPr>
                <w:highlight w:val="green"/>
              </w:rPr>
            </w:pPr>
            <w:r w:rsidRPr="00F264CD">
              <w:t>Total contractual financial assets</w:t>
            </w:r>
          </w:p>
        </w:tc>
        <w:tc>
          <w:tcPr>
            <w:tcW w:w="1417" w:type="dxa"/>
            <w:tcBorders>
              <w:bottom w:val="single" w:sz="4" w:space="0" w:color="auto"/>
            </w:tcBorders>
            <w:shd w:val="clear" w:color="auto" w:fill="E7E6E6" w:themeFill="accent4"/>
            <w:noWrap/>
          </w:tcPr>
          <w:p w14:paraId="61CFFFF1" w14:textId="77777777" w:rsidR="005B131E" w:rsidRPr="00BA7805" w:rsidRDefault="005B131E" w:rsidP="002542E1">
            <w:pPr>
              <w:pStyle w:val="ARfintablebodyrightbold"/>
              <w:spacing w:before="30" w:after="16"/>
              <w:rPr>
                <w:highlight w:val="green"/>
              </w:rPr>
            </w:pPr>
            <w:r w:rsidRPr="00F264CD">
              <w:t>20.8</w:t>
            </w:r>
          </w:p>
        </w:tc>
        <w:tc>
          <w:tcPr>
            <w:tcW w:w="1418" w:type="dxa"/>
            <w:tcBorders>
              <w:bottom w:val="single" w:sz="4" w:space="0" w:color="auto"/>
            </w:tcBorders>
            <w:noWrap/>
          </w:tcPr>
          <w:p w14:paraId="039AB930" w14:textId="77777777" w:rsidR="005B131E" w:rsidRPr="00BA7805" w:rsidRDefault="005B131E" w:rsidP="002542E1">
            <w:pPr>
              <w:pStyle w:val="ARfintablebodyrightbold"/>
              <w:spacing w:before="30" w:after="16"/>
              <w:rPr>
                <w:highlight w:val="green"/>
              </w:rPr>
            </w:pPr>
            <w:r w:rsidRPr="00F264CD">
              <w:t>20.8</w:t>
            </w:r>
          </w:p>
        </w:tc>
      </w:tr>
      <w:tr w:rsidR="005B131E" w:rsidRPr="00BA7805" w14:paraId="6CC122E3" w14:textId="77777777" w:rsidTr="003D7AC8">
        <w:tc>
          <w:tcPr>
            <w:tcW w:w="9639" w:type="dxa"/>
            <w:gridSpan w:val="3"/>
            <w:tcBorders>
              <w:top w:val="single" w:sz="4" w:space="0" w:color="auto"/>
              <w:bottom w:val="single" w:sz="4" w:space="0" w:color="A6A6A6"/>
            </w:tcBorders>
          </w:tcPr>
          <w:p w14:paraId="7DDB9A73" w14:textId="77777777" w:rsidR="005B131E" w:rsidRPr="00BA7805" w:rsidRDefault="005B131E">
            <w:pPr>
              <w:pStyle w:val="ARfintablebodybold"/>
              <w:spacing w:before="30" w:after="16"/>
              <w:rPr>
                <w:highlight w:val="green"/>
              </w:rPr>
            </w:pPr>
            <w:r w:rsidRPr="007D21BE">
              <w:t>Contractual financial liabilities</w:t>
            </w:r>
          </w:p>
        </w:tc>
      </w:tr>
      <w:tr w:rsidR="005B131E" w:rsidRPr="00BA7805" w14:paraId="05010D1A" w14:textId="77777777" w:rsidTr="002542E1">
        <w:tc>
          <w:tcPr>
            <w:tcW w:w="6804" w:type="dxa"/>
            <w:tcBorders>
              <w:top w:val="single" w:sz="4" w:space="0" w:color="A6A6A6"/>
              <w:bottom w:val="single" w:sz="4" w:space="0" w:color="A6A6A6"/>
            </w:tcBorders>
          </w:tcPr>
          <w:p w14:paraId="48645B12" w14:textId="77777777" w:rsidR="005B131E" w:rsidRPr="00BA7805" w:rsidRDefault="005B131E" w:rsidP="002542E1">
            <w:pPr>
              <w:pStyle w:val="ARfintablebody"/>
              <w:spacing w:before="30" w:after="16"/>
              <w:rPr>
                <w:highlight w:val="green"/>
              </w:rPr>
            </w:pPr>
            <w:r w:rsidRPr="007E78E8">
              <w:t xml:space="preserve">Payables </w:t>
            </w:r>
            <w:r w:rsidRPr="002B5751">
              <w:rPr>
                <w:vertAlign w:val="superscript"/>
              </w:rPr>
              <w:t>(i)</w:t>
            </w:r>
          </w:p>
        </w:tc>
        <w:tc>
          <w:tcPr>
            <w:tcW w:w="1417" w:type="dxa"/>
            <w:tcBorders>
              <w:top w:val="single" w:sz="4" w:space="0" w:color="A6A6A6"/>
              <w:bottom w:val="single" w:sz="4" w:space="0" w:color="A6A6A6"/>
            </w:tcBorders>
            <w:noWrap/>
          </w:tcPr>
          <w:p w14:paraId="4D069E13" w14:textId="77777777" w:rsidR="005B131E" w:rsidRPr="00BA7805" w:rsidRDefault="005B131E" w:rsidP="002542E1">
            <w:pPr>
              <w:pStyle w:val="ARfintablebodyright"/>
              <w:spacing w:before="30" w:after="16"/>
              <w:rPr>
                <w:highlight w:val="green"/>
              </w:rPr>
            </w:pPr>
            <w:r>
              <w:t>–</w:t>
            </w:r>
          </w:p>
        </w:tc>
        <w:tc>
          <w:tcPr>
            <w:tcW w:w="1418" w:type="dxa"/>
            <w:tcBorders>
              <w:top w:val="single" w:sz="4" w:space="0" w:color="A6A6A6"/>
              <w:bottom w:val="single" w:sz="4" w:space="0" w:color="A6A6A6"/>
            </w:tcBorders>
            <w:noWrap/>
          </w:tcPr>
          <w:p w14:paraId="11EB2542" w14:textId="77777777" w:rsidR="005B131E" w:rsidRPr="00BA7805" w:rsidRDefault="005B131E" w:rsidP="002542E1">
            <w:pPr>
              <w:pStyle w:val="ARfintablebodyright"/>
              <w:spacing w:before="30" w:after="16"/>
              <w:rPr>
                <w:highlight w:val="green"/>
              </w:rPr>
            </w:pPr>
            <w:r>
              <w:t>–</w:t>
            </w:r>
          </w:p>
        </w:tc>
      </w:tr>
      <w:tr w:rsidR="005B131E" w:rsidRPr="00BA7805" w14:paraId="64070A47" w14:textId="77777777" w:rsidTr="002542E1">
        <w:tc>
          <w:tcPr>
            <w:tcW w:w="6804" w:type="dxa"/>
            <w:tcBorders>
              <w:top w:val="single" w:sz="4" w:space="0" w:color="A6A6A6"/>
            </w:tcBorders>
          </w:tcPr>
          <w:p w14:paraId="146053CC" w14:textId="77777777" w:rsidR="005B131E" w:rsidRPr="00BA7805" w:rsidRDefault="005B131E" w:rsidP="002542E1">
            <w:pPr>
              <w:pStyle w:val="ARfintablebody"/>
              <w:spacing w:before="30" w:after="16"/>
              <w:rPr>
                <w:highlight w:val="green"/>
              </w:rPr>
            </w:pPr>
            <w:r w:rsidRPr="007E78E8">
              <w:t>Borrowings</w:t>
            </w:r>
          </w:p>
        </w:tc>
        <w:tc>
          <w:tcPr>
            <w:tcW w:w="1417" w:type="dxa"/>
            <w:tcBorders>
              <w:top w:val="single" w:sz="4" w:space="0" w:color="A6A6A6"/>
            </w:tcBorders>
            <w:shd w:val="clear" w:color="auto" w:fill="E7E6E6" w:themeFill="accent4"/>
            <w:noWrap/>
          </w:tcPr>
          <w:p w14:paraId="4E7B792C" w14:textId="77777777" w:rsidR="005B131E" w:rsidRPr="00BA7805" w:rsidRDefault="005B131E" w:rsidP="002542E1">
            <w:pPr>
              <w:pStyle w:val="ARfintablebodyright"/>
              <w:spacing w:before="30" w:after="16"/>
              <w:rPr>
                <w:highlight w:val="green"/>
              </w:rPr>
            </w:pPr>
            <w:r w:rsidRPr="007E78E8">
              <w:t>(14.3)</w:t>
            </w:r>
          </w:p>
        </w:tc>
        <w:tc>
          <w:tcPr>
            <w:tcW w:w="1418" w:type="dxa"/>
            <w:tcBorders>
              <w:top w:val="single" w:sz="4" w:space="0" w:color="A6A6A6"/>
            </w:tcBorders>
            <w:noWrap/>
          </w:tcPr>
          <w:p w14:paraId="71E4726F" w14:textId="77777777" w:rsidR="005B131E" w:rsidRPr="00BA7805" w:rsidRDefault="005B131E" w:rsidP="002542E1">
            <w:pPr>
              <w:pStyle w:val="ARfintablebodyright"/>
              <w:spacing w:before="30" w:after="16"/>
              <w:rPr>
                <w:highlight w:val="green"/>
              </w:rPr>
            </w:pPr>
            <w:r w:rsidRPr="007E78E8">
              <w:t>(14.3)</w:t>
            </w:r>
          </w:p>
        </w:tc>
      </w:tr>
      <w:tr w:rsidR="005B131E" w:rsidRPr="00BA7805" w14:paraId="58F2ED0B" w14:textId="77777777" w:rsidTr="002542E1">
        <w:tc>
          <w:tcPr>
            <w:tcW w:w="6804" w:type="dxa"/>
          </w:tcPr>
          <w:p w14:paraId="7D222CAB" w14:textId="77777777" w:rsidR="005B131E" w:rsidRPr="00BA7805" w:rsidRDefault="005B131E" w:rsidP="002542E1">
            <w:pPr>
              <w:pStyle w:val="ARfintablebodybold"/>
              <w:spacing w:before="30" w:after="16"/>
              <w:rPr>
                <w:highlight w:val="green"/>
              </w:rPr>
            </w:pPr>
            <w:r w:rsidRPr="007E78E8">
              <w:t>Total contractual financial liabilities</w:t>
            </w:r>
          </w:p>
        </w:tc>
        <w:tc>
          <w:tcPr>
            <w:tcW w:w="1417" w:type="dxa"/>
            <w:shd w:val="clear" w:color="auto" w:fill="E7E6E6" w:themeFill="accent4"/>
            <w:noWrap/>
          </w:tcPr>
          <w:p w14:paraId="23188506" w14:textId="77777777" w:rsidR="005B131E" w:rsidRPr="00BA7805" w:rsidRDefault="005B131E" w:rsidP="002542E1">
            <w:pPr>
              <w:pStyle w:val="ARfintablebodyrightbold"/>
              <w:spacing w:before="30" w:after="16"/>
              <w:rPr>
                <w:highlight w:val="green"/>
              </w:rPr>
            </w:pPr>
            <w:r w:rsidRPr="007E78E8">
              <w:t>(14.3)</w:t>
            </w:r>
          </w:p>
        </w:tc>
        <w:tc>
          <w:tcPr>
            <w:tcW w:w="1418" w:type="dxa"/>
            <w:noWrap/>
          </w:tcPr>
          <w:p w14:paraId="7EB3F60B" w14:textId="77777777" w:rsidR="005B131E" w:rsidRPr="00BA7805" w:rsidRDefault="005B131E" w:rsidP="002542E1">
            <w:pPr>
              <w:pStyle w:val="ARfintablebodyrightbold"/>
              <w:spacing w:before="30" w:after="16"/>
              <w:rPr>
                <w:highlight w:val="green"/>
              </w:rPr>
            </w:pPr>
            <w:r w:rsidRPr="007E78E8">
              <w:t>(14.3)</w:t>
            </w:r>
          </w:p>
        </w:tc>
      </w:tr>
    </w:tbl>
    <w:p w14:paraId="7A7CB24F" w14:textId="77777777" w:rsidR="005B131E" w:rsidRPr="00BC498B" w:rsidRDefault="005B131E">
      <w:pPr>
        <w:pStyle w:val="ARfintablefootnote"/>
        <w:rPr>
          <w:lang w:eastAsia="en-AU"/>
        </w:rPr>
      </w:pPr>
      <w:r w:rsidRPr="00BC498B">
        <w:rPr>
          <w:lang w:eastAsia="en-AU"/>
        </w:rPr>
        <w:t>Note:</w:t>
      </w:r>
    </w:p>
    <w:p w14:paraId="1CD16F72" w14:textId="77777777" w:rsidR="005B131E" w:rsidRDefault="005B131E" w:rsidP="003D7AC8">
      <w:pPr>
        <w:pStyle w:val="ARfintablefootnotetabindent"/>
      </w:pPr>
      <w:r w:rsidRPr="00BC498B">
        <w:t xml:space="preserve">(i) </w:t>
      </w:r>
      <w:r>
        <w:tab/>
      </w:r>
      <w:r w:rsidRPr="00BC498B">
        <w:t>The total amounts disclosed here exclude statutory amounts, for example, amounts owing to/from Victorian Government and GST input tax credit recoverable and taxes payable.</w:t>
      </w:r>
    </w:p>
    <w:p w14:paraId="29AD2DE0" w14:textId="77777777" w:rsidR="005B131E" w:rsidRDefault="005B131E" w:rsidP="002542E1">
      <w:pPr>
        <w:pStyle w:val="ARfinbodyaftertable"/>
      </w:pPr>
      <w:r>
        <w:t xml:space="preserve">The net </w:t>
      </w:r>
      <w:r w:rsidRPr="00BC498B">
        <w:t>holding</w:t>
      </w:r>
      <w:r>
        <w:t xml:space="preserve"> gains or losses disclosed above are determined as follows:</w:t>
      </w:r>
    </w:p>
    <w:p w14:paraId="73C5AC75" w14:textId="77777777" w:rsidR="005B131E" w:rsidRDefault="005B131E" w:rsidP="002542E1">
      <w:pPr>
        <w:pStyle w:val="ARfinbullet1"/>
      </w:pPr>
      <w:r>
        <w:t>for cash and cash equivalents, loans and receivables, the net gain or loss is calculated by taking the movement in the fair value of the asset, the interest income, and minus any impairment recognised in the net result</w:t>
      </w:r>
    </w:p>
    <w:p w14:paraId="01760CA7" w14:textId="77777777" w:rsidR="005B131E" w:rsidRDefault="005B131E" w:rsidP="002542E1">
      <w:pPr>
        <w:pStyle w:val="ARfinbullet1"/>
      </w:pPr>
      <w:r>
        <w:t>for financial liabilities measured at amortised cost, the net gain or loss is the interest expense.</w:t>
      </w:r>
    </w:p>
    <w:p w14:paraId="28D017CB" w14:textId="77777777" w:rsidR="005B131E" w:rsidRDefault="005B131E" w:rsidP="002542E1">
      <w:pPr>
        <w:pStyle w:val="ARbody"/>
        <w:rPr>
          <w:rFonts w:eastAsia="Verdana" w:cs="ArialMT"/>
          <w:color w:val="000000"/>
          <w:sz w:val="18"/>
          <w:szCs w:val="16"/>
          <w:lang w:eastAsia="en-AU"/>
        </w:rPr>
      </w:pPr>
      <w:r>
        <w:br w:type="page"/>
      </w:r>
    </w:p>
    <w:p w14:paraId="522D9845" w14:textId="77777777" w:rsidR="005B131E" w:rsidRPr="00B738E0" w:rsidRDefault="005B131E" w:rsidP="002542E1">
      <w:pPr>
        <w:pStyle w:val="Heading5"/>
        <w:spacing w:before="0"/>
        <w:rPr>
          <w:lang w:eastAsia="en-AU"/>
        </w:rPr>
      </w:pPr>
      <w:bookmarkStart w:id="281" w:name="_Ref178665665"/>
      <w:r w:rsidRPr="00B738E0">
        <w:rPr>
          <w:lang w:eastAsia="en-AU"/>
        </w:rPr>
        <w:t>8.1.3 Financial risk management objectives and policies</w:t>
      </w:r>
      <w:bookmarkEnd w:id="281"/>
    </w:p>
    <w:p w14:paraId="3A376605" w14:textId="77777777" w:rsidR="005B131E" w:rsidRDefault="005B131E" w:rsidP="002542E1">
      <w:pPr>
        <w:pStyle w:val="ARfinbodylargespace"/>
      </w:pPr>
      <w:r>
        <w:t>The department is exposed to a number of financial risks, including:</w:t>
      </w:r>
    </w:p>
    <w:p w14:paraId="525F1AD4" w14:textId="58CD97B0" w:rsidR="000E341A" w:rsidRPr="00BA7805" w:rsidRDefault="000E341A">
      <w:pPr>
        <w:pStyle w:val="ARfinbodyaftertable"/>
        <w:rPr>
          <w:highlight w:val="green"/>
        </w:rPr>
      </w:pPr>
      <w:r>
        <w:rPr>
          <w:noProof/>
        </w:rPr>
        <w:drawing>
          <wp:inline distT="0" distB="0" distL="0" distR="0" wp14:anchorId="6241129A" wp14:editId="62E37D71">
            <wp:extent cx="4858522" cy="1981204"/>
            <wp:effectExtent l="0" t="0" r="0" b="0"/>
            <wp:docPr id="1337074887" name="Picture 6" descr="Financial risks comprise credit risk, liquidity risk and market risk (which includes interest rate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74887" name="Picture 6" descr="Financial risks comprise credit risk, liquidity risk and market risk (which includes interest rate risk)."/>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4858522" cy="1981204"/>
                    </a:xfrm>
                    <a:prstGeom prst="rect">
                      <a:avLst/>
                    </a:prstGeom>
                  </pic:spPr>
                </pic:pic>
              </a:graphicData>
            </a:graphic>
          </wp:inline>
        </w:drawing>
      </w:r>
    </w:p>
    <w:p w14:paraId="2B4BB62D" w14:textId="4D238D77" w:rsidR="005B131E" w:rsidRDefault="005B131E" w:rsidP="002542E1">
      <w:pPr>
        <w:pStyle w:val="ARfinbodyaftertable"/>
      </w:pPr>
      <w:r>
        <w:t>As a whole, the department</w:t>
      </w:r>
      <w:r w:rsidR="00711AE6">
        <w:t>’</w:t>
      </w:r>
      <w:r>
        <w:t>s financial risk management program seeks to manage these risks and the associated volatility of its financial performance.</w:t>
      </w:r>
    </w:p>
    <w:p w14:paraId="1298AD59" w14:textId="77777777" w:rsidR="005B131E" w:rsidRDefault="005B131E" w:rsidP="002542E1">
      <w:pPr>
        <w:pStyle w:val="ARfinbody"/>
      </w:pPr>
      <w:r>
        <w:t>Details of the significant accounting policies and methods adopted, including the criteria for recognition, the basis of measurement and the basis on which income and expenses are recognised, with respect to each class of financial asset and financial liability, are disclosed in Note 8.3.1</w:t>
      </w:r>
    </w:p>
    <w:p w14:paraId="063EF060" w14:textId="67F6E60B" w:rsidR="005B131E" w:rsidRDefault="005B131E" w:rsidP="002542E1">
      <w:pPr>
        <w:pStyle w:val="ARfinbody"/>
      </w:pPr>
      <w:r>
        <w:t>The main purpose in holding financial instruments is to prudentially manage the department</w:t>
      </w:r>
      <w:r w:rsidR="00711AE6">
        <w:t>’</w:t>
      </w:r>
      <w:r>
        <w:t>s financial risks within the government policy parameters.</w:t>
      </w:r>
    </w:p>
    <w:p w14:paraId="37983977" w14:textId="05E42FB5" w:rsidR="005B131E" w:rsidRDefault="005B131E" w:rsidP="002542E1">
      <w:pPr>
        <w:pStyle w:val="ARfinbody"/>
      </w:pPr>
      <w:r>
        <w:t>The department</w:t>
      </w:r>
      <w:r w:rsidR="00711AE6">
        <w:t>’</w:t>
      </w:r>
      <w:r>
        <w:t>s main financial risks include credit risk, liquidity risk and interest rate risk. The department manages these financial risks in accordance with its financial risk management policy.</w:t>
      </w:r>
    </w:p>
    <w:p w14:paraId="65E1529C" w14:textId="77777777" w:rsidR="005B131E" w:rsidRDefault="005B131E" w:rsidP="002542E1">
      <w:pPr>
        <w:pStyle w:val="ARfinbody"/>
      </w:pPr>
      <w:r>
        <w:t>The department uses different methods to measure and manage the different risks to which it is exposed. Primary responsibility for the identification and management of financial risks rests with the accountable officer of the department.</w:t>
      </w:r>
    </w:p>
    <w:p w14:paraId="102B1659" w14:textId="77777777" w:rsidR="005B131E" w:rsidRDefault="005B131E" w:rsidP="002542E1">
      <w:pPr>
        <w:pStyle w:val="Heading6"/>
      </w:pPr>
      <w:r>
        <w:t>8.1.3.1 Financial instruments: credit risk</w:t>
      </w:r>
    </w:p>
    <w:p w14:paraId="6005087B" w14:textId="1E06E1F6" w:rsidR="005B131E" w:rsidRDefault="005B131E" w:rsidP="002542E1">
      <w:pPr>
        <w:pStyle w:val="ARfinbody"/>
      </w:pPr>
      <w:r>
        <w:t>Credit risk refers to the possibility that a borrower will default on its financial obligations as and when they fall due. The department</w:t>
      </w:r>
      <w:r w:rsidR="00711AE6">
        <w:t>’</w:t>
      </w:r>
      <w:r>
        <w:t xml:space="preserve">s exposure to credit risk arises from the potential default of a counter party on their contractual obligations resulting in financial loss to the department. </w:t>
      </w:r>
    </w:p>
    <w:p w14:paraId="3C2340B5" w14:textId="60904C6E" w:rsidR="005B131E" w:rsidRDefault="005B131E" w:rsidP="002542E1">
      <w:pPr>
        <w:pStyle w:val="ARfinbody"/>
      </w:pPr>
      <w:r>
        <w:t>Credit risk associated with the department</w:t>
      </w:r>
      <w:r w:rsidR="00711AE6">
        <w:t>’</w:t>
      </w:r>
      <w:r>
        <w:t>s contractual financial assets is minimal because the main debtor is the Victorian Government. For debtors other than the Victorian Government and home loan recipients, it is the department</w:t>
      </w:r>
      <w:r w:rsidR="00711AE6">
        <w:t>’</w:t>
      </w:r>
      <w:r>
        <w:t>s policy to only deal with entities with high credit ratings of a minimum triple-B rating and to obtain sufficient collateral or credit enhancements, where appropriate.</w:t>
      </w:r>
    </w:p>
    <w:p w14:paraId="2F763A6B" w14:textId="1AD0F733" w:rsidR="005B131E" w:rsidRDefault="005B131E" w:rsidP="002542E1">
      <w:pPr>
        <w:pStyle w:val="ARfinbody"/>
      </w:pPr>
      <w:r>
        <w:t>In addition, the department does not engage in hedging for its contractual financial assets and mainly obtains contractual financial assets that are on fixed interest, except for cash and deposits, which are mainly cash at bank. As with the policy for debtors, the department</w:t>
      </w:r>
      <w:r w:rsidR="00711AE6">
        <w:t>’</w:t>
      </w:r>
      <w:r>
        <w:t>s policy is to only deal with banks with high credit ratings.</w:t>
      </w:r>
    </w:p>
    <w:p w14:paraId="65ABEC77" w14:textId="77777777" w:rsidR="005B131E" w:rsidRDefault="005B131E" w:rsidP="002542E1">
      <w:pPr>
        <w:pStyle w:val="ARfinbody"/>
      </w:pPr>
      <w:r>
        <w:t>Provision of impairment for financial assets is calculated based on past experience, and current and expected changes in client credit ratings, or based on the assumptions about risk of default and expected credit loss rates. Tenant loans are made up of small amounts therefore the likelihood of default is considered immaterial.</w:t>
      </w:r>
    </w:p>
    <w:p w14:paraId="0F9B8A05" w14:textId="77777777" w:rsidR="005B131E" w:rsidRDefault="005B131E" w:rsidP="002542E1">
      <w:pPr>
        <w:pStyle w:val="ARfinbody"/>
      </w:pPr>
      <w:r>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5D0A8DCC" w14:textId="5DA80DD5" w:rsidR="005B131E" w:rsidRDefault="005B131E" w:rsidP="002542E1">
      <w:pPr>
        <w:pStyle w:val="ARfinbody"/>
      </w:pPr>
      <w:r>
        <w:t>Except as otherwise detailed in the following table, the carrying amount of contractual financial assets recorded in the financial report statements, net of any allowances for losses, represents the department</w:t>
      </w:r>
      <w:r w:rsidR="00711AE6">
        <w:t>’</w:t>
      </w:r>
      <w:r>
        <w:t>s maximum exposure to credit risk without taking account of the value of any collateral obtained.</w:t>
      </w:r>
    </w:p>
    <w:p w14:paraId="78EEBCD9" w14:textId="132787F6" w:rsidR="005B131E" w:rsidRDefault="005B131E" w:rsidP="002542E1">
      <w:pPr>
        <w:pStyle w:val="ARfinbody"/>
      </w:pPr>
      <w:r>
        <w:t>There has been no material change to the department</w:t>
      </w:r>
      <w:r w:rsidR="00711AE6">
        <w:t>’</w:t>
      </w:r>
      <w:r>
        <w:t>s credit risk profile in 2023–24.</w:t>
      </w:r>
    </w:p>
    <w:p w14:paraId="79CFC6B1" w14:textId="77777777" w:rsidR="005B131E" w:rsidRDefault="005B131E" w:rsidP="002542E1">
      <w:pPr>
        <w:pStyle w:val="ARbody"/>
        <w:rPr>
          <w:rFonts w:eastAsiaTheme="minorEastAsia" w:cs="ArialMT"/>
          <w:color w:val="000000"/>
          <w:sz w:val="18"/>
          <w:szCs w:val="16"/>
          <w:lang w:eastAsia="en-AU"/>
        </w:rPr>
      </w:pPr>
      <w:r>
        <w:br w:type="page"/>
      </w:r>
    </w:p>
    <w:p w14:paraId="330669DD" w14:textId="77777777" w:rsidR="005B131E" w:rsidRPr="0027596F" w:rsidRDefault="005B131E">
      <w:pPr>
        <w:pStyle w:val="Heading7"/>
      </w:pPr>
      <w:r w:rsidRPr="0027596F">
        <w:t>Credit quality of contractual financial assets</w:t>
      </w:r>
    </w:p>
    <w:tbl>
      <w:tblPr>
        <w:tblStyle w:val="TableGrid"/>
        <w:tblW w:w="9639" w:type="dxa"/>
        <w:tblLayout w:type="fixed"/>
        <w:tblLook w:val="06A0" w:firstRow="1" w:lastRow="0" w:firstColumn="1" w:lastColumn="0" w:noHBand="1" w:noVBand="1"/>
      </w:tblPr>
      <w:tblGrid>
        <w:gridCol w:w="4106"/>
        <w:gridCol w:w="1630"/>
        <w:gridCol w:w="1630"/>
        <w:gridCol w:w="1136"/>
        <w:gridCol w:w="1137"/>
      </w:tblGrid>
      <w:tr w:rsidR="00067C8D" w:rsidRPr="00BA7805" w14:paraId="22302C2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4106" w:type="dxa"/>
            <w:tcBorders>
              <w:bottom w:val="single" w:sz="4" w:space="0" w:color="auto"/>
            </w:tcBorders>
            <w:hideMark/>
          </w:tcPr>
          <w:p w14:paraId="18181CFA" w14:textId="77777777" w:rsidR="005B131E" w:rsidRPr="00BA7805" w:rsidRDefault="005B131E">
            <w:pPr>
              <w:pStyle w:val="ARfintablecolhead"/>
              <w:spacing w:before="30"/>
              <w:rPr>
                <w:highlight w:val="green"/>
              </w:rPr>
            </w:pPr>
          </w:p>
        </w:tc>
        <w:tc>
          <w:tcPr>
            <w:tcW w:w="1630" w:type="dxa"/>
            <w:tcBorders>
              <w:bottom w:val="single" w:sz="4" w:space="0" w:color="auto"/>
            </w:tcBorders>
            <w:shd w:val="clear" w:color="auto" w:fill="E7E6E6" w:themeFill="accent4"/>
            <w:hideMark/>
          </w:tcPr>
          <w:p w14:paraId="701C668E" w14:textId="77777777" w:rsidR="005B131E" w:rsidRPr="0027596F" w:rsidRDefault="005B131E">
            <w:pPr>
              <w:pStyle w:val="ARfintablecolheadright"/>
              <w:spacing w:before="30"/>
            </w:pPr>
            <w:r w:rsidRPr="0027596F">
              <w:t xml:space="preserve">Financial institutions </w:t>
            </w:r>
            <w:r w:rsidRPr="0027596F">
              <w:br/>
              <w:t xml:space="preserve">A plus credit </w:t>
            </w:r>
            <w:r w:rsidRPr="0027596F">
              <w:br/>
              <w:t>rating</w:t>
            </w:r>
          </w:p>
          <w:p w14:paraId="0C973739" w14:textId="77777777" w:rsidR="005B131E" w:rsidRPr="0027596F" w:rsidRDefault="005B131E">
            <w:pPr>
              <w:pStyle w:val="ARfintablecolheadright"/>
              <w:spacing w:before="30"/>
            </w:pPr>
            <w:r w:rsidRPr="0027596F">
              <w:t>Total</w:t>
            </w:r>
          </w:p>
          <w:p w14:paraId="202E2CE6" w14:textId="77777777" w:rsidR="005B131E" w:rsidRPr="0027596F" w:rsidRDefault="005B131E">
            <w:pPr>
              <w:pStyle w:val="ARfintablecolheadright"/>
              <w:spacing w:before="30"/>
            </w:pPr>
            <w:r w:rsidRPr="0027596F">
              <w:t>$M</w:t>
            </w:r>
          </w:p>
        </w:tc>
        <w:tc>
          <w:tcPr>
            <w:tcW w:w="1630" w:type="dxa"/>
            <w:tcBorders>
              <w:bottom w:val="single" w:sz="4" w:space="0" w:color="auto"/>
            </w:tcBorders>
          </w:tcPr>
          <w:p w14:paraId="267D26F5" w14:textId="77777777" w:rsidR="005B131E" w:rsidRPr="0027596F" w:rsidRDefault="005B131E">
            <w:pPr>
              <w:pStyle w:val="ARfintablecolheadright"/>
              <w:spacing w:before="30"/>
            </w:pPr>
            <w:r w:rsidRPr="0027596F">
              <w:t xml:space="preserve">Government agencies </w:t>
            </w:r>
            <w:r w:rsidRPr="0027596F">
              <w:br/>
              <w:t>double-A credit rating</w:t>
            </w:r>
          </w:p>
          <w:p w14:paraId="2A4C4FB6" w14:textId="77777777" w:rsidR="005B131E" w:rsidRPr="0027596F" w:rsidRDefault="005B131E">
            <w:pPr>
              <w:pStyle w:val="ARfintablecolheadright"/>
              <w:spacing w:before="30"/>
            </w:pPr>
            <w:r w:rsidRPr="0027596F">
              <w:t xml:space="preserve">Total </w:t>
            </w:r>
            <w:r w:rsidRPr="0027596F">
              <w:rPr>
                <w:rStyle w:val="Superscript"/>
              </w:rPr>
              <w:t>(i)</w:t>
            </w:r>
          </w:p>
          <w:p w14:paraId="4C9AB044" w14:textId="77777777" w:rsidR="005B131E" w:rsidRPr="0027596F" w:rsidRDefault="005B131E">
            <w:pPr>
              <w:pStyle w:val="ARfintablecolheadright"/>
              <w:spacing w:before="30"/>
            </w:pPr>
            <w:r w:rsidRPr="0027596F">
              <w:t>$M</w:t>
            </w:r>
          </w:p>
        </w:tc>
        <w:tc>
          <w:tcPr>
            <w:tcW w:w="1136" w:type="dxa"/>
            <w:tcBorders>
              <w:bottom w:val="single" w:sz="4" w:space="0" w:color="auto"/>
            </w:tcBorders>
            <w:shd w:val="clear" w:color="auto" w:fill="E7E6E6" w:themeFill="accent4"/>
            <w:hideMark/>
          </w:tcPr>
          <w:p w14:paraId="6568EE8D" w14:textId="77777777" w:rsidR="005B131E" w:rsidRPr="0027596F" w:rsidRDefault="005B131E">
            <w:pPr>
              <w:pStyle w:val="ARfintablecolheadright"/>
              <w:spacing w:before="30"/>
            </w:pPr>
            <w:r w:rsidRPr="0027596F">
              <w:t>Credit ratings not disclosed</w:t>
            </w:r>
          </w:p>
          <w:p w14:paraId="05948CDD" w14:textId="77777777" w:rsidR="005B131E" w:rsidRPr="0027596F" w:rsidRDefault="005B131E">
            <w:pPr>
              <w:pStyle w:val="ARfintablecolheadright"/>
              <w:spacing w:before="30"/>
            </w:pPr>
            <w:r w:rsidRPr="0027596F">
              <w:t>$M</w:t>
            </w:r>
          </w:p>
        </w:tc>
        <w:tc>
          <w:tcPr>
            <w:tcW w:w="1137" w:type="dxa"/>
            <w:tcBorders>
              <w:bottom w:val="single" w:sz="4" w:space="0" w:color="auto"/>
            </w:tcBorders>
            <w:hideMark/>
          </w:tcPr>
          <w:p w14:paraId="2EECB481" w14:textId="77777777" w:rsidR="005B131E" w:rsidRPr="0027596F" w:rsidRDefault="005B131E">
            <w:pPr>
              <w:pStyle w:val="ARfintablecolheadright"/>
              <w:spacing w:before="30"/>
            </w:pPr>
            <w:r w:rsidRPr="0027596F">
              <w:t>Total</w:t>
            </w:r>
          </w:p>
          <w:p w14:paraId="49D597DF" w14:textId="77777777" w:rsidR="005B131E" w:rsidRPr="0027596F" w:rsidRDefault="005B131E">
            <w:pPr>
              <w:pStyle w:val="ARfintablecolheadright"/>
              <w:spacing w:before="30"/>
            </w:pPr>
            <w:r w:rsidRPr="0027596F">
              <w:t>$M</w:t>
            </w:r>
          </w:p>
        </w:tc>
      </w:tr>
      <w:tr w:rsidR="005B131E" w:rsidRPr="00BA7805" w14:paraId="5FE3571B" w14:textId="77777777" w:rsidTr="002542E1">
        <w:trPr>
          <w:cantSplit w:val="0"/>
        </w:trPr>
        <w:tc>
          <w:tcPr>
            <w:tcW w:w="9639" w:type="dxa"/>
            <w:gridSpan w:val="5"/>
            <w:tcBorders>
              <w:top w:val="single" w:sz="4" w:space="0" w:color="auto"/>
              <w:bottom w:val="single" w:sz="4" w:space="0" w:color="A6A6A6"/>
            </w:tcBorders>
          </w:tcPr>
          <w:p w14:paraId="2D1A2AA9" w14:textId="77777777" w:rsidR="005B131E" w:rsidRPr="00BA7805" w:rsidRDefault="005B131E">
            <w:pPr>
              <w:pStyle w:val="ARfintablebodybold"/>
              <w:rPr>
                <w:highlight w:val="green"/>
              </w:rPr>
            </w:pPr>
            <w:r w:rsidRPr="00D720EF">
              <w:t>2024</w:t>
            </w:r>
          </w:p>
        </w:tc>
      </w:tr>
      <w:tr w:rsidR="005B131E" w:rsidRPr="00BA7805" w14:paraId="7A08C726" w14:textId="77777777" w:rsidTr="002542E1">
        <w:trPr>
          <w:cantSplit w:val="0"/>
        </w:trPr>
        <w:tc>
          <w:tcPr>
            <w:tcW w:w="4106" w:type="dxa"/>
            <w:tcBorders>
              <w:top w:val="single" w:sz="4" w:space="0" w:color="A6A6A6"/>
              <w:bottom w:val="single" w:sz="4" w:space="0" w:color="A6A6A6" w:themeColor="background1" w:themeShade="A6"/>
            </w:tcBorders>
          </w:tcPr>
          <w:p w14:paraId="2F918C1D" w14:textId="77777777" w:rsidR="005B131E" w:rsidRPr="00BA7805" w:rsidRDefault="005B131E" w:rsidP="002542E1">
            <w:pPr>
              <w:pStyle w:val="ARfintablebody"/>
              <w:spacing w:line="240" w:lineRule="auto"/>
              <w:rPr>
                <w:highlight w:val="green"/>
              </w:rPr>
            </w:pPr>
            <w:r w:rsidRPr="004D6F17">
              <w:t>Cash and deposits (not assessed for impairment due to the nature of cash)</w:t>
            </w:r>
          </w:p>
        </w:tc>
        <w:tc>
          <w:tcPr>
            <w:tcW w:w="1630" w:type="dxa"/>
            <w:tcBorders>
              <w:top w:val="single" w:sz="4" w:space="0" w:color="A6A6A6"/>
              <w:bottom w:val="single" w:sz="4" w:space="0" w:color="A6A6A6" w:themeColor="background1" w:themeShade="A6"/>
            </w:tcBorders>
            <w:shd w:val="clear" w:color="auto" w:fill="E7E6E6" w:themeFill="accent4"/>
            <w:noWrap/>
          </w:tcPr>
          <w:p w14:paraId="7DB8FE30" w14:textId="77777777" w:rsidR="005B131E" w:rsidRPr="00BA7805" w:rsidRDefault="005B131E" w:rsidP="002542E1">
            <w:pPr>
              <w:pStyle w:val="ARfintablebodyright"/>
              <w:spacing w:line="240" w:lineRule="auto"/>
              <w:rPr>
                <w:highlight w:val="green"/>
              </w:rPr>
            </w:pPr>
            <w:r w:rsidRPr="00E31618">
              <w:t>553.3</w:t>
            </w:r>
          </w:p>
        </w:tc>
        <w:tc>
          <w:tcPr>
            <w:tcW w:w="1630" w:type="dxa"/>
            <w:tcBorders>
              <w:top w:val="single" w:sz="4" w:space="0" w:color="A6A6A6"/>
              <w:bottom w:val="single" w:sz="4" w:space="0" w:color="A6A6A6" w:themeColor="background1" w:themeShade="A6"/>
            </w:tcBorders>
          </w:tcPr>
          <w:p w14:paraId="3CFC667B" w14:textId="77777777" w:rsidR="005B131E" w:rsidRPr="00BA7805" w:rsidRDefault="005B131E" w:rsidP="002542E1">
            <w:pPr>
              <w:pStyle w:val="ARfintablebodyright"/>
              <w:spacing w:line="240" w:lineRule="auto"/>
              <w:rPr>
                <w:highlight w:val="green"/>
              </w:rPr>
            </w:pPr>
            <w:r w:rsidRPr="00E31618">
              <w:t>47.2</w:t>
            </w:r>
          </w:p>
        </w:tc>
        <w:tc>
          <w:tcPr>
            <w:tcW w:w="1136" w:type="dxa"/>
            <w:tcBorders>
              <w:top w:val="single" w:sz="4" w:space="0" w:color="A6A6A6"/>
              <w:bottom w:val="single" w:sz="4" w:space="0" w:color="A6A6A6" w:themeColor="background1" w:themeShade="A6"/>
            </w:tcBorders>
            <w:shd w:val="clear" w:color="auto" w:fill="E7E6E6" w:themeFill="accent4"/>
            <w:noWrap/>
          </w:tcPr>
          <w:p w14:paraId="39F45E04" w14:textId="77777777" w:rsidR="005B131E" w:rsidRPr="00BA7805" w:rsidRDefault="005B131E" w:rsidP="002542E1">
            <w:pPr>
              <w:pStyle w:val="ARfintablebodyright"/>
              <w:spacing w:line="240" w:lineRule="auto"/>
              <w:rPr>
                <w:highlight w:val="green"/>
              </w:rPr>
            </w:pPr>
            <w:r>
              <w:t>–</w:t>
            </w:r>
          </w:p>
        </w:tc>
        <w:tc>
          <w:tcPr>
            <w:tcW w:w="1137" w:type="dxa"/>
            <w:tcBorders>
              <w:top w:val="single" w:sz="4" w:space="0" w:color="A6A6A6"/>
              <w:bottom w:val="single" w:sz="4" w:space="0" w:color="A6A6A6" w:themeColor="background1" w:themeShade="A6"/>
            </w:tcBorders>
            <w:noWrap/>
          </w:tcPr>
          <w:p w14:paraId="6EC7976B" w14:textId="77777777" w:rsidR="005B131E" w:rsidRPr="00BA7805" w:rsidRDefault="005B131E" w:rsidP="002542E1">
            <w:pPr>
              <w:pStyle w:val="ARfintablebodyright"/>
              <w:spacing w:line="240" w:lineRule="auto"/>
              <w:rPr>
                <w:highlight w:val="green"/>
              </w:rPr>
            </w:pPr>
            <w:r w:rsidRPr="00E31618">
              <w:t>600.5</w:t>
            </w:r>
          </w:p>
        </w:tc>
      </w:tr>
      <w:tr w:rsidR="005B131E" w:rsidRPr="00BA7805" w14:paraId="2B9FFCA1" w14:textId="77777777" w:rsidTr="002542E1">
        <w:trPr>
          <w:cantSplit w:val="0"/>
        </w:trPr>
        <w:tc>
          <w:tcPr>
            <w:tcW w:w="4106" w:type="dxa"/>
            <w:tcBorders>
              <w:top w:val="single" w:sz="4" w:space="0" w:color="A6A6A6" w:themeColor="background1" w:themeShade="A6"/>
              <w:bottom w:val="single" w:sz="4" w:space="0" w:color="A6A6A6" w:themeColor="background1" w:themeShade="A6"/>
            </w:tcBorders>
          </w:tcPr>
          <w:p w14:paraId="3DCCF092" w14:textId="77777777" w:rsidR="005B131E" w:rsidRPr="00BA7805" w:rsidRDefault="005B131E" w:rsidP="002542E1">
            <w:pPr>
              <w:pStyle w:val="ARfintablebody"/>
              <w:spacing w:line="240" w:lineRule="auto"/>
              <w:rPr>
                <w:highlight w:val="green"/>
              </w:rPr>
            </w:pPr>
            <w:r w:rsidRPr="004D6F17">
              <w:t xml:space="preserve">Contractual receivables applying the simplified approach for impairment </w:t>
            </w:r>
            <w:r w:rsidRPr="00E85DBE">
              <w:rPr>
                <w:vertAlign w:val="superscript"/>
              </w:rPr>
              <w:t>(ii)(iii)</w:t>
            </w:r>
          </w:p>
        </w:tc>
        <w:tc>
          <w:tcPr>
            <w:tcW w:w="1630" w:type="dxa"/>
            <w:tcBorders>
              <w:top w:val="single" w:sz="4" w:space="0" w:color="A6A6A6" w:themeColor="background1" w:themeShade="A6"/>
              <w:bottom w:val="single" w:sz="4" w:space="0" w:color="A6A6A6" w:themeColor="background1" w:themeShade="A6"/>
            </w:tcBorders>
            <w:shd w:val="clear" w:color="auto" w:fill="E7E6E6" w:themeFill="accent4"/>
            <w:noWrap/>
          </w:tcPr>
          <w:p w14:paraId="7A35DCF0" w14:textId="77777777" w:rsidR="005B131E" w:rsidRPr="00BA7805" w:rsidRDefault="005B131E" w:rsidP="002542E1">
            <w:pPr>
              <w:pStyle w:val="ARfintablebodyright"/>
              <w:spacing w:line="240" w:lineRule="auto"/>
              <w:rPr>
                <w:highlight w:val="green"/>
              </w:rPr>
            </w:pPr>
            <w:r>
              <w:t>–</w:t>
            </w:r>
          </w:p>
        </w:tc>
        <w:tc>
          <w:tcPr>
            <w:tcW w:w="1630" w:type="dxa"/>
            <w:tcBorders>
              <w:top w:val="single" w:sz="4" w:space="0" w:color="A6A6A6" w:themeColor="background1" w:themeShade="A6"/>
              <w:bottom w:val="single" w:sz="4" w:space="0" w:color="A6A6A6" w:themeColor="background1" w:themeShade="A6"/>
            </w:tcBorders>
          </w:tcPr>
          <w:p w14:paraId="7F69E376" w14:textId="77777777" w:rsidR="005B131E" w:rsidRPr="00BA7805" w:rsidRDefault="005B131E" w:rsidP="002542E1">
            <w:pPr>
              <w:pStyle w:val="ARfintablebodyright"/>
              <w:spacing w:line="240" w:lineRule="auto"/>
              <w:rPr>
                <w:highlight w:val="green"/>
              </w:rPr>
            </w:pPr>
            <w:r w:rsidRPr="00E31618">
              <w:t>49.3</w:t>
            </w:r>
          </w:p>
        </w:tc>
        <w:tc>
          <w:tcPr>
            <w:tcW w:w="1136" w:type="dxa"/>
            <w:tcBorders>
              <w:top w:val="single" w:sz="4" w:space="0" w:color="A6A6A6" w:themeColor="background1" w:themeShade="A6"/>
              <w:bottom w:val="single" w:sz="4" w:space="0" w:color="A6A6A6" w:themeColor="background1" w:themeShade="A6"/>
            </w:tcBorders>
            <w:shd w:val="clear" w:color="auto" w:fill="E7E6E6" w:themeFill="accent4"/>
            <w:noWrap/>
          </w:tcPr>
          <w:p w14:paraId="1C4824E0" w14:textId="77777777" w:rsidR="005B131E" w:rsidRPr="00BA7805" w:rsidRDefault="005B131E" w:rsidP="002542E1">
            <w:pPr>
              <w:pStyle w:val="ARfintablebodyright"/>
              <w:spacing w:line="240" w:lineRule="auto"/>
              <w:rPr>
                <w:highlight w:val="green"/>
              </w:rPr>
            </w:pPr>
            <w:r w:rsidRPr="00E31618">
              <w:t>386.9</w:t>
            </w:r>
          </w:p>
        </w:tc>
        <w:tc>
          <w:tcPr>
            <w:tcW w:w="1137" w:type="dxa"/>
            <w:tcBorders>
              <w:top w:val="single" w:sz="4" w:space="0" w:color="A6A6A6" w:themeColor="background1" w:themeShade="A6"/>
              <w:bottom w:val="single" w:sz="4" w:space="0" w:color="A6A6A6" w:themeColor="background1" w:themeShade="A6"/>
            </w:tcBorders>
            <w:noWrap/>
          </w:tcPr>
          <w:p w14:paraId="16BB545C" w14:textId="77777777" w:rsidR="005B131E" w:rsidRPr="00BA7805" w:rsidRDefault="005B131E" w:rsidP="002542E1">
            <w:pPr>
              <w:pStyle w:val="ARfintablebodyright"/>
              <w:spacing w:line="240" w:lineRule="auto"/>
              <w:rPr>
                <w:highlight w:val="green"/>
              </w:rPr>
            </w:pPr>
            <w:r w:rsidRPr="00E31618">
              <w:t>436.2</w:t>
            </w:r>
          </w:p>
        </w:tc>
      </w:tr>
      <w:tr w:rsidR="005B131E" w:rsidRPr="00BA7805" w14:paraId="4712F5A5" w14:textId="77777777" w:rsidTr="002542E1">
        <w:trPr>
          <w:cantSplit w:val="0"/>
        </w:trPr>
        <w:tc>
          <w:tcPr>
            <w:tcW w:w="4106" w:type="dxa"/>
            <w:tcBorders>
              <w:top w:val="single" w:sz="4" w:space="0" w:color="A6A6A6" w:themeColor="background1" w:themeShade="A6"/>
              <w:bottom w:val="single" w:sz="4" w:space="0" w:color="A6A6A6" w:themeColor="background1" w:themeShade="A6"/>
            </w:tcBorders>
          </w:tcPr>
          <w:p w14:paraId="33AB7099" w14:textId="77777777" w:rsidR="005B131E" w:rsidRPr="00BA7805" w:rsidRDefault="005B131E" w:rsidP="002542E1">
            <w:pPr>
              <w:pStyle w:val="ARfintablebody"/>
              <w:spacing w:line="240" w:lineRule="auto"/>
              <w:rPr>
                <w:highlight w:val="green"/>
              </w:rPr>
            </w:pPr>
            <w:r w:rsidRPr="004D6F17">
              <w:t xml:space="preserve">Loans </w:t>
            </w:r>
            <w:r w:rsidRPr="00E85DBE">
              <w:rPr>
                <w:vertAlign w:val="superscript"/>
              </w:rPr>
              <w:t>(iii)</w:t>
            </w:r>
          </w:p>
        </w:tc>
        <w:tc>
          <w:tcPr>
            <w:tcW w:w="1630" w:type="dxa"/>
            <w:tcBorders>
              <w:top w:val="single" w:sz="4" w:space="0" w:color="A6A6A6" w:themeColor="background1" w:themeShade="A6"/>
              <w:bottom w:val="single" w:sz="4" w:space="0" w:color="A6A6A6" w:themeColor="background1" w:themeShade="A6"/>
            </w:tcBorders>
            <w:shd w:val="clear" w:color="auto" w:fill="E7E6E6" w:themeFill="accent4"/>
            <w:noWrap/>
          </w:tcPr>
          <w:p w14:paraId="530B7BB1" w14:textId="77777777" w:rsidR="005B131E" w:rsidRPr="00BA7805" w:rsidRDefault="005B131E" w:rsidP="002542E1">
            <w:pPr>
              <w:pStyle w:val="ARfintablebodyright"/>
              <w:spacing w:line="240" w:lineRule="auto"/>
              <w:rPr>
                <w:highlight w:val="green"/>
              </w:rPr>
            </w:pPr>
            <w:r>
              <w:t>–</w:t>
            </w:r>
          </w:p>
        </w:tc>
        <w:tc>
          <w:tcPr>
            <w:tcW w:w="1630" w:type="dxa"/>
            <w:tcBorders>
              <w:top w:val="single" w:sz="4" w:space="0" w:color="A6A6A6" w:themeColor="background1" w:themeShade="A6"/>
              <w:bottom w:val="single" w:sz="4" w:space="0" w:color="A6A6A6" w:themeColor="background1" w:themeShade="A6"/>
            </w:tcBorders>
          </w:tcPr>
          <w:p w14:paraId="7A951488" w14:textId="77777777" w:rsidR="005B131E" w:rsidRPr="00BA7805" w:rsidRDefault="005B131E" w:rsidP="002542E1">
            <w:pPr>
              <w:pStyle w:val="ARfintablebodyright"/>
              <w:spacing w:line="240" w:lineRule="auto"/>
              <w:rPr>
                <w:highlight w:val="green"/>
              </w:rPr>
            </w:pPr>
            <w:r>
              <w:t>–</w:t>
            </w:r>
          </w:p>
        </w:tc>
        <w:tc>
          <w:tcPr>
            <w:tcW w:w="1136" w:type="dxa"/>
            <w:tcBorders>
              <w:top w:val="single" w:sz="4" w:space="0" w:color="A6A6A6" w:themeColor="background1" w:themeShade="A6"/>
              <w:bottom w:val="single" w:sz="4" w:space="0" w:color="A6A6A6" w:themeColor="background1" w:themeShade="A6"/>
            </w:tcBorders>
            <w:shd w:val="clear" w:color="auto" w:fill="E7E6E6" w:themeFill="accent4"/>
            <w:noWrap/>
          </w:tcPr>
          <w:p w14:paraId="4441A070" w14:textId="77777777" w:rsidR="005B131E" w:rsidRPr="00BA7805" w:rsidRDefault="005B131E" w:rsidP="002542E1">
            <w:pPr>
              <w:pStyle w:val="ARfintablebodyright"/>
              <w:spacing w:line="240" w:lineRule="auto"/>
              <w:rPr>
                <w:highlight w:val="green"/>
              </w:rPr>
            </w:pPr>
            <w:r w:rsidRPr="00E31618">
              <w:t>28.2</w:t>
            </w:r>
          </w:p>
        </w:tc>
        <w:tc>
          <w:tcPr>
            <w:tcW w:w="1137" w:type="dxa"/>
            <w:tcBorders>
              <w:top w:val="single" w:sz="4" w:space="0" w:color="A6A6A6" w:themeColor="background1" w:themeShade="A6"/>
              <w:bottom w:val="single" w:sz="4" w:space="0" w:color="A6A6A6" w:themeColor="background1" w:themeShade="A6"/>
            </w:tcBorders>
            <w:noWrap/>
          </w:tcPr>
          <w:p w14:paraId="24B4CC6B" w14:textId="77777777" w:rsidR="005B131E" w:rsidRPr="00BA7805" w:rsidRDefault="005B131E" w:rsidP="002542E1">
            <w:pPr>
              <w:pStyle w:val="ARfintablebodyright"/>
              <w:spacing w:line="240" w:lineRule="auto"/>
              <w:rPr>
                <w:highlight w:val="green"/>
              </w:rPr>
            </w:pPr>
            <w:r w:rsidRPr="00E31618">
              <w:t>28.2</w:t>
            </w:r>
          </w:p>
        </w:tc>
      </w:tr>
      <w:tr w:rsidR="005B131E" w:rsidRPr="00BA7805" w14:paraId="3B66B526" w14:textId="77777777" w:rsidTr="002542E1">
        <w:trPr>
          <w:cantSplit w:val="0"/>
        </w:trPr>
        <w:tc>
          <w:tcPr>
            <w:tcW w:w="4106" w:type="dxa"/>
            <w:tcBorders>
              <w:top w:val="single" w:sz="4" w:space="0" w:color="A6A6A6" w:themeColor="background1" w:themeShade="A6"/>
            </w:tcBorders>
          </w:tcPr>
          <w:p w14:paraId="3D668D70" w14:textId="77777777" w:rsidR="005B131E" w:rsidRPr="00BA7805" w:rsidRDefault="005B131E" w:rsidP="002542E1">
            <w:pPr>
              <w:pStyle w:val="ARfintablebody"/>
              <w:spacing w:line="240" w:lineRule="auto"/>
              <w:rPr>
                <w:highlight w:val="green"/>
              </w:rPr>
            </w:pPr>
            <w:r w:rsidRPr="004D6F17">
              <w:t>Statutory receivables (with no impairment loss</w:t>
            </w:r>
            <w:r>
              <w:t> </w:t>
            </w:r>
            <w:r w:rsidRPr="004D6F17">
              <w:t>recognised)</w:t>
            </w:r>
          </w:p>
        </w:tc>
        <w:tc>
          <w:tcPr>
            <w:tcW w:w="1630" w:type="dxa"/>
            <w:tcBorders>
              <w:top w:val="single" w:sz="4" w:space="0" w:color="A6A6A6" w:themeColor="background1" w:themeShade="A6"/>
            </w:tcBorders>
            <w:shd w:val="clear" w:color="auto" w:fill="E7E6E6" w:themeFill="accent4"/>
            <w:noWrap/>
          </w:tcPr>
          <w:p w14:paraId="224CDB01" w14:textId="77777777" w:rsidR="005B131E" w:rsidRPr="00BA7805" w:rsidRDefault="005B131E" w:rsidP="002542E1">
            <w:pPr>
              <w:pStyle w:val="ARfintablebodyright"/>
              <w:spacing w:line="240" w:lineRule="auto"/>
              <w:rPr>
                <w:highlight w:val="green"/>
              </w:rPr>
            </w:pPr>
            <w:r w:rsidRPr="00E31618">
              <w:t>846.0</w:t>
            </w:r>
          </w:p>
        </w:tc>
        <w:tc>
          <w:tcPr>
            <w:tcW w:w="1630" w:type="dxa"/>
            <w:tcBorders>
              <w:top w:val="single" w:sz="4" w:space="0" w:color="A6A6A6" w:themeColor="background1" w:themeShade="A6"/>
            </w:tcBorders>
          </w:tcPr>
          <w:p w14:paraId="797A7C9E" w14:textId="77777777" w:rsidR="005B131E" w:rsidRPr="00BA7805" w:rsidRDefault="005B131E" w:rsidP="002542E1">
            <w:pPr>
              <w:pStyle w:val="ARfintablebodyright"/>
              <w:spacing w:line="240" w:lineRule="auto"/>
              <w:rPr>
                <w:highlight w:val="green"/>
              </w:rPr>
            </w:pPr>
            <w:r>
              <w:t>–</w:t>
            </w:r>
          </w:p>
        </w:tc>
        <w:tc>
          <w:tcPr>
            <w:tcW w:w="1136" w:type="dxa"/>
            <w:tcBorders>
              <w:top w:val="single" w:sz="4" w:space="0" w:color="A6A6A6" w:themeColor="background1" w:themeShade="A6"/>
            </w:tcBorders>
            <w:shd w:val="clear" w:color="auto" w:fill="E7E6E6" w:themeFill="accent4"/>
            <w:noWrap/>
          </w:tcPr>
          <w:p w14:paraId="6B0BAFA2" w14:textId="77777777" w:rsidR="005B131E" w:rsidRPr="00BA7805" w:rsidRDefault="005B131E" w:rsidP="002542E1">
            <w:pPr>
              <w:pStyle w:val="ARfintablebodyright"/>
              <w:spacing w:line="240" w:lineRule="auto"/>
              <w:rPr>
                <w:highlight w:val="green"/>
              </w:rPr>
            </w:pPr>
            <w:r>
              <w:t>–</w:t>
            </w:r>
          </w:p>
        </w:tc>
        <w:tc>
          <w:tcPr>
            <w:tcW w:w="1137" w:type="dxa"/>
            <w:tcBorders>
              <w:top w:val="single" w:sz="4" w:space="0" w:color="A6A6A6" w:themeColor="background1" w:themeShade="A6"/>
            </w:tcBorders>
            <w:noWrap/>
          </w:tcPr>
          <w:p w14:paraId="3A5DCBF8" w14:textId="77777777" w:rsidR="005B131E" w:rsidRPr="00BA7805" w:rsidRDefault="005B131E" w:rsidP="002542E1">
            <w:pPr>
              <w:pStyle w:val="ARfintablebodyright"/>
              <w:spacing w:line="240" w:lineRule="auto"/>
              <w:rPr>
                <w:highlight w:val="green"/>
              </w:rPr>
            </w:pPr>
            <w:r w:rsidRPr="00E31618">
              <w:t>846.0</w:t>
            </w:r>
          </w:p>
        </w:tc>
      </w:tr>
      <w:tr w:rsidR="005B131E" w:rsidRPr="00BA7805" w14:paraId="3DCB7572" w14:textId="77777777" w:rsidTr="002542E1">
        <w:trPr>
          <w:cantSplit w:val="0"/>
        </w:trPr>
        <w:tc>
          <w:tcPr>
            <w:tcW w:w="4106" w:type="dxa"/>
            <w:tcBorders>
              <w:bottom w:val="single" w:sz="4" w:space="0" w:color="auto"/>
            </w:tcBorders>
          </w:tcPr>
          <w:p w14:paraId="6E40344A" w14:textId="77777777" w:rsidR="005B131E" w:rsidRPr="00BA7805" w:rsidRDefault="005B131E" w:rsidP="002542E1">
            <w:pPr>
              <w:pStyle w:val="ARfintablebodybold"/>
              <w:spacing w:line="240" w:lineRule="auto"/>
              <w:rPr>
                <w:highlight w:val="green"/>
              </w:rPr>
            </w:pPr>
            <w:r w:rsidRPr="004D6F17">
              <w:t>Total financial assets</w:t>
            </w:r>
          </w:p>
        </w:tc>
        <w:tc>
          <w:tcPr>
            <w:tcW w:w="1630" w:type="dxa"/>
            <w:tcBorders>
              <w:bottom w:val="single" w:sz="4" w:space="0" w:color="auto"/>
            </w:tcBorders>
            <w:shd w:val="clear" w:color="auto" w:fill="E7E6E6" w:themeFill="accent4"/>
            <w:noWrap/>
          </w:tcPr>
          <w:p w14:paraId="3022F1A5" w14:textId="77777777" w:rsidR="005B131E" w:rsidRPr="00BA7805" w:rsidRDefault="005B131E" w:rsidP="002542E1">
            <w:pPr>
              <w:pStyle w:val="ARfintablebodyrightbold"/>
              <w:spacing w:line="240" w:lineRule="auto"/>
              <w:rPr>
                <w:highlight w:val="green"/>
              </w:rPr>
            </w:pPr>
            <w:r w:rsidRPr="00E31618">
              <w:t>1,399.3</w:t>
            </w:r>
          </w:p>
        </w:tc>
        <w:tc>
          <w:tcPr>
            <w:tcW w:w="1630" w:type="dxa"/>
            <w:tcBorders>
              <w:bottom w:val="single" w:sz="4" w:space="0" w:color="auto"/>
            </w:tcBorders>
          </w:tcPr>
          <w:p w14:paraId="479D1D09" w14:textId="77777777" w:rsidR="005B131E" w:rsidRPr="00BA7805" w:rsidRDefault="005B131E" w:rsidP="002542E1">
            <w:pPr>
              <w:pStyle w:val="ARfintablebodyrightbold"/>
              <w:spacing w:line="240" w:lineRule="auto"/>
              <w:rPr>
                <w:highlight w:val="green"/>
              </w:rPr>
            </w:pPr>
            <w:r w:rsidRPr="00E31618">
              <w:t>96.5</w:t>
            </w:r>
          </w:p>
        </w:tc>
        <w:tc>
          <w:tcPr>
            <w:tcW w:w="1136" w:type="dxa"/>
            <w:tcBorders>
              <w:bottom w:val="single" w:sz="4" w:space="0" w:color="auto"/>
            </w:tcBorders>
            <w:shd w:val="clear" w:color="auto" w:fill="E7E6E6" w:themeFill="accent4"/>
            <w:noWrap/>
          </w:tcPr>
          <w:p w14:paraId="716FB0CB" w14:textId="77777777" w:rsidR="005B131E" w:rsidRPr="00BA7805" w:rsidRDefault="005B131E" w:rsidP="002542E1">
            <w:pPr>
              <w:pStyle w:val="ARfintablebodyrightbold"/>
              <w:spacing w:line="240" w:lineRule="auto"/>
              <w:rPr>
                <w:highlight w:val="green"/>
              </w:rPr>
            </w:pPr>
            <w:r w:rsidRPr="00E31618">
              <w:t>415.1</w:t>
            </w:r>
          </w:p>
        </w:tc>
        <w:tc>
          <w:tcPr>
            <w:tcW w:w="1137" w:type="dxa"/>
            <w:tcBorders>
              <w:bottom w:val="single" w:sz="4" w:space="0" w:color="auto"/>
            </w:tcBorders>
            <w:noWrap/>
          </w:tcPr>
          <w:p w14:paraId="64DE435F" w14:textId="77777777" w:rsidR="005B131E" w:rsidRPr="00BA7805" w:rsidRDefault="005B131E" w:rsidP="002542E1">
            <w:pPr>
              <w:pStyle w:val="ARfintablebodyrightbold"/>
              <w:spacing w:line="240" w:lineRule="auto"/>
              <w:rPr>
                <w:highlight w:val="green"/>
              </w:rPr>
            </w:pPr>
            <w:r w:rsidRPr="00E31618">
              <w:t>1,910.9</w:t>
            </w:r>
          </w:p>
        </w:tc>
      </w:tr>
      <w:tr w:rsidR="005B131E" w:rsidRPr="00BA7805" w14:paraId="682386BA" w14:textId="77777777" w:rsidTr="002542E1">
        <w:trPr>
          <w:cantSplit w:val="0"/>
        </w:trPr>
        <w:tc>
          <w:tcPr>
            <w:tcW w:w="9639" w:type="dxa"/>
            <w:gridSpan w:val="5"/>
            <w:tcBorders>
              <w:top w:val="single" w:sz="4" w:space="0" w:color="auto"/>
              <w:bottom w:val="single" w:sz="4" w:space="0" w:color="A6A6A6"/>
            </w:tcBorders>
          </w:tcPr>
          <w:p w14:paraId="41655966" w14:textId="77777777" w:rsidR="005B131E" w:rsidRPr="00BA7805" w:rsidRDefault="005B131E">
            <w:pPr>
              <w:pStyle w:val="ARfintablebodybold"/>
              <w:rPr>
                <w:highlight w:val="green"/>
              </w:rPr>
            </w:pPr>
            <w:r w:rsidRPr="00D720EF">
              <w:t>2023</w:t>
            </w:r>
          </w:p>
        </w:tc>
      </w:tr>
      <w:tr w:rsidR="005B131E" w:rsidRPr="00BA7805" w14:paraId="2272A861" w14:textId="77777777" w:rsidTr="002542E1">
        <w:trPr>
          <w:cantSplit w:val="0"/>
        </w:trPr>
        <w:tc>
          <w:tcPr>
            <w:tcW w:w="4106" w:type="dxa"/>
            <w:tcBorders>
              <w:top w:val="single" w:sz="4" w:space="0" w:color="A6A6A6"/>
              <w:bottom w:val="single" w:sz="4" w:space="0" w:color="A6A6A6"/>
            </w:tcBorders>
          </w:tcPr>
          <w:p w14:paraId="35F48442" w14:textId="77777777" w:rsidR="005B131E" w:rsidRPr="00BA7805" w:rsidRDefault="005B131E" w:rsidP="002542E1">
            <w:pPr>
              <w:pStyle w:val="ARfintablebody"/>
              <w:spacing w:line="240" w:lineRule="auto"/>
              <w:rPr>
                <w:highlight w:val="green"/>
              </w:rPr>
            </w:pPr>
            <w:r w:rsidRPr="00DC2B6C">
              <w:t>Cash and deposits (not assessed for impairment due to the nature of cash)</w:t>
            </w:r>
          </w:p>
        </w:tc>
        <w:tc>
          <w:tcPr>
            <w:tcW w:w="1630" w:type="dxa"/>
            <w:tcBorders>
              <w:top w:val="single" w:sz="4" w:space="0" w:color="A6A6A6"/>
              <w:bottom w:val="single" w:sz="4" w:space="0" w:color="A6A6A6"/>
            </w:tcBorders>
            <w:shd w:val="clear" w:color="auto" w:fill="E7E6E6" w:themeFill="accent4"/>
            <w:noWrap/>
          </w:tcPr>
          <w:p w14:paraId="0082A708" w14:textId="77777777" w:rsidR="005B131E" w:rsidRPr="00BA7805" w:rsidRDefault="005B131E" w:rsidP="002542E1">
            <w:pPr>
              <w:pStyle w:val="ARfintablebodyright"/>
              <w:spacing w:line="240" w:lineRule="auto"/>
              <w:rPr>
                <w:highlight w:val="green"/>
              </w:rPr>
            </w:pPr>
            <w:r w:rsidRPr="00A57F80">
              <w:t>636.4</w:t>
            </w:r>
          </w:p>
        </w:tc>
        <w:tc>
          <w:tcPr>
            <w:tcW w:w="1630" w:type="dxa"/>
            <w:tcBorders>
              <w:top w:val="single" w:sz="4" w:space="0" w:color="A6A6A6"/>
              <w:bottom w:val="single" w:sz="4" w:space="0" w:color="A6A6A6"/>
            </w:tcBorders>
          </w:tcPr>
          <w:p w14:paraId="2F4E8339" w14:textId="77777777" w:rsidR="005B131E" w:rsidRPr="00BA7805" w:rsidRDefault="005B131E" w:rsidP="002542E1">
            <w:pPr>
              <w:pStyle w:val="ARfintablebodyright"/>
              <w:spacing w:line="240" w:lineRule="auto"/>
              <w:rPr>
                <w:highlight w:val="green"/>
              </w:rPr>
            </w:pPr>
            <w:r w:rsidRPr="00A57F80">
              <w:t>70.4</w:t>
            </w:r>
          </w:p>
        </w:tc>
        <w:tc>
          <w:tcPr>
            <w:tcW w:w="1136" w:type="dxa"/>
            <w:tcBorders>
              <w:top w:val="single" w:sz="4" w:space="0" w:color="A6A6A6"/>
              <w:bottom w:val="single" w:sz="4" w:space="0" w:color="A6A6A6"/>
            </w:tcBorders>
            <w:shd w:val="clear" w:color="auto" w:fill="E7E6E6" w:themeFill="accent4"/>
            <w:noWrap/>
          </w:tcPr>
          <w:p w14:paraId="720CE6B7" w14:textId="77777777" w:rsidR="005B131E" w:rsidRPr="00BA7805" w:rsidRDefault="005B131E" w:rsidP="002542E1">
            <w:pPr>
              <w:pStyle w:val="ARfintablebodyright"/>
              <w:spacing w:line="240" w:lineRule="auto"/>
              <w:rPr>
                <w:highlight w:val="green"/>
              </w:rPr>
            </w:pPr>
            <w:r>
              <w:t>–</w:t>
            </w:r>
          </w:p>
        </w:tc>
        <w:tc>
          <w:tcPr>
            <w:tcW w:w="1137" w:type="dxa"/>
            <w:tcBorders>
              <w:top w:val="single" w:sz="4" w:space="0" w:color="A6A6A6"/>
              <w:bottom w:val="single" w:sz="4" w:space="0" w:color="A6A6A6"/>
            </w:tcBorders>
            <w:noWrap/>
          </w:tcPr>
          <w:p w14:paraId="73FBEAFC" w14:textId="77777777" w:rsidR="005B131E" w:rsidRPr="00BA7805" w:rsidRDefault="005B131E" w:rsidP="002542E1">
            <w:pPr>
              <w:pStyle w:val="ARfintablebodyright"/>
              <w:spacing w:line="240" w:lineRule="auto"/>
              <w:rPr>
                <w:highlight w:val="green"/>
              </w:rPr>
            </w:pPr>
            <w:r w:rsidRPr="00A57F80">
              <w:t>706.8</w:t>
            </w:r>
          </w:p>
        </w:tc>
      </w:tr>
      <w:tr w:rsidR="005B131E" w:rsidRPr="00BA7805" w14:paraId="57145E5B" w14:textId="77777777" w:rsidTr="002542E1">
        <w:trPr>
          <w:cantSplit w:val="0"/>
        </w:trPr>
        <w:tc>
          <w:tcPr>
            <w:tcW w:w="4106" w:type="dxa"/>
            <w:tcBorders>
              <w:top w:val="single" w:sz="4" w:space="0" w:color="A6A6A6"/>
              <w:bottom w:val="single" w:sz="4" w:space="0" w:color="A6A6A6" w:themeColor="background1" w:themeShade="A6"/>
            </w:tcBorders>
          </w:tcPr>
          <w:p w14:paraId="23B25B32" w14:textId="77777777" w:rsidR="005B131E" w:rsidRPr="00BA7805" w:rsidRDefault="005B131E" w:rsidP="002542E1">
            <w:pPr>
              <w:pStyle w:val="ARfintablebody"/>
              <w:spacing w:line="240" w:lineRule="auto"/>
              <w:rPr>
                <w:highlight w:val="green"/>
              </w:rPr>
            </w:pPr>
            <w:r w:rsidRPr="00DC2B6C">
              <w:t xml:space="preserve">Contractual receivables applying the simplified approach for impairment </w:t>
            </w:r>
            <w:r w:rsidRPr="00E85DBE">
              <w:rPr>
                <w:vertAlign w:val="superscript"/>
              </w:rPr>
              <w:t>(ii)(iii)</w:t>
            </w:r>
          </w:p>
        </w:tc>
        <w:tc>
          <w:tcPr>
            <w:tcW w:w="1630" w:type="dxa"/>
            <w:tcBorders>
              <w:top w:val="single" w:sz="4" w:space="0" w:color="A6A6A6"/>
              <w:bottom w:val="single" w:sz="4" w:space="0" w:color="A6A6A6" w:themeColor="background1" w:themeShade="A6"/>
            </w:tcBorders>
            <w:shd w:val="clear" w:color="auto" w:fill="E7E6E6" w:themeFill="accent4"/>
            <w:noWrap/>
          </w:tcPr>
          <w:p w14:paraId="0C614B5C" w14:textId="77777777" w:rsidR="005B131E" w:rsidRPr="00BA7805" w:rsidRDefault="005B131E" w:rsidP="002542E1">
            <w:pPr>
              <w:pStyle w:val="ARfintablebodyright"/>
              <w:spacing w:line="240" w:lineRule="auto"/>
              <w:rPr>
                <w:highlight w:val="green"/>
              </w:rPr>
            </w:pPr>
            <w:r>
              <w:t>–</w:t>
            </w:r>
          </w:p>
        </w:tc>
        <w:tc>
          <w:tcPr>
            <w:tcW w:w="1630" w:type="dxa"/>
            <w:tcBorders>
              <w:top w:val="single" w:sz="4" w:space="0" w:color="A6A6A6"/>
              <w:bottom w:val="single" w:sz="4" w:space="0" w:color="A6A6A6" w:themeColor="background1" w:themeShade="A6"/>
            </w:tcBorders>
          </w:tcPr>
          <w:p w14:paraId="0B94B2C3" w14:textId="77777777" w:rsidR="005B131E" w:rsidRPr="00BA7805" w:rsidRDefault="005B131E" w:rsidP="002542E1">
            <w:pPr>
              <w:pStyle w:val="ARfintablebodyright"/>
              <w:spacing w:line="240" w:lineRule="auto"/>
              <w:rPr>
                <w:highlight w:val="green"/>
              </w:rPr>
            </w:pPr>
            <w:r w:rsidRPr="00A57F80">
              <w:t>42.4</w:t>
            </w:r>
          </w:p>
        </w:tc>
        <w:tc>
          <w:tcPr>
            <w:tcW w:w="1136" w:type="dxa"/>
            <w:tcBorders>
              <w:top w:val="single" w:sz="4" w:space="0" w:color="A6A6A6"/>
              <w:bottom w:val="single" w:sz="4" w:space="0" w:color="A6A6A6" w:themeColor="background1" w:themeShade="A6"/>
            </w:tcBorders>
            <w:shd w:val="clear" w:color="auto" w:fill="E7E6E6" w:themeFill="accent4"/>
            <w:noWrap/>
          </w:tcPr>
          <w:p w14:paraId="629A8801" w14:textId="77777777" w:rsidR="005B131E" w:rsidRPr="00BA7805" w:rsidRDefault="005B131E" w:rsidP="002542E1">
            <w:pPr>
              <w:pStyle w:val="ARfintablebodyright"/>
              <w:spacing w:line="240" w:lineRule="auto"/>
              <w:rPr>
                <w:highlight w:val="green"/>
              </w:rPr>
            </w:pPr>
            <w:r w:rsidRPr="00A57F80">
              <w:t>128.8</w:t>
            </w:r>
          </w:p>
        </w:tc>
        <w:tc>
          <w:tcPr>
            <w:tcW w:w="1137" w:type="dxa"/>
            <w:tcBorders>
              <w:top w:val="single" w:sz="4" w:space="0" w:color="A6A6A6"/>
              <w:bottom w:val="single" w:sz="4" w:space="0" w:color="A6A6A6" w:themeColor="background1" w:themeShade="A6"/>
            </w:tcBorders>
            <w:noWrap/>
          </w:tcPr>
          <w:p w14:paraId="5D606BCC" w14:textId="77777777" w:rsidR="005B131E" w:rsidRPr="00BA7805" w:rsidRDefault="005B131E" w:rsidP="002542E1">
            <w:pPr>
              <w:pStyle w:val="ARfintablebodyright"/>
              <w:spacing w:line="240" w:lineRule="auto"/>
              <w:rPr>
                <w:highlight w:val="green"/>
              </w:rPr>
            </w:pPr>
            <w:r w:rsidRPr="00A57F80">
              <w:t>171.1</w:t>
            </w:r>
          </w:p>
        </w:tc>
      </w:tr>
      <w:tr w:rsidR="005B131E" w:rsidRPr="00BA7805" w14:paraId="32379BDF" w14:textId="77777777" w:rsidTr="002542E1">
        <w:trPr>
          <w:cantSplit w:val="0"/>
        </w:trPr>
        <w:tc>
          <w:tcPr>
            <w:tcW w:w="4106" w:type="dxa"/>
            <w:tcBorders>
              <w:top w:val="single" w:sz="4" w:space="0" w:color="A6A6A6" w:themeColor="background1" w:themeShade="A6"/>
              <w:bottom w:val="single" w:sz="4" w:space="0" w:color="A6A6A6" w:themeColor="background1" w:themeShade="A6"/>
            </w:tcBorders>
          </w:tcPr>
          <w:p w14:paraId="43749C74" w14:textId="77777777" w:rsidR="005B131E" w:rsidRPr="00BA7805" w:rsidRDefault="005B131E" w:rsidP="002542E1">
            <w:pPr>
              <w:pStyle w:val="ARfintablebody"/>
              <w:spacing w:line="240" w:lineRule="auto"/>
              <w:rPr>
                <w:highlight w:val="green"/>
              </w:rPr>
            </w:pPr>
            <w:r w:rsidRPr="00DC2B6C">
              <w:t xml:space="preserve">Loans </w:t>
            </w:r>
            <w:r w:rsidRPr="00E85DBE">
              <w:rPr>
                <w:vertAlign w:val="superscript"/>
              </w:rPr>
              <w:t>(iii)</w:t>
            </w:r>
          </w:p>
        </w:tc>
        <w:tc>
          <w:tcPr>
            <w:tcW w:w="1630" w:type="dxa"/>
            <w:tcBorders>
              <w:top w:val="single" w:sz="4" w:space="0" w:color="A6A6A6" w:themeColor="background1" w:themeShade="A6"/>
              <w:bottom w:val="single" w:sz="4" w:space="0" w:color="A6A6A6" w:themeColor="background1" w:themeShade="A6"/>
            </w:tcBorders>
            <w:shd w:val="clear" w:color="auto" w:fill="E7E6E6" w:themeFill="accent4"/>
            <w:noWrap/>
          </w:tcPr>
          <w:p w14:paraId="6BA2EE59" w14:textId="77777777" w:rsidR="005B131E" w:rsidRPr="00BA7805" w:rsidRDefault="005B131E" w:rsidP="002542E1">
            <w:pPr>
              <w:pStyle w:val="ARfintablebodyright"/>
              <w:spacing w:line="240" w:lineRule="auto"/>
              <w:rPr>
                <w:highlight w:val="green"/>
              </w:rPr>
            </w:pPr>
            <w:r>
              <w:t>–</w:t>
            </w:r>
          </w:p>
        </w:tc>
        <w:tc>
          <w:tcPr>
            <w:tcW w:w="1630" w:type="dxa"/>
            <w:tcBorders>
              <w:top w:val="single" w:sz="4" w:space="0" w:color="A6A6A6" w:themeColor="background1" w:themeShade="A6"/>
              <w:bottom w:val="single" w:sz="4" w:space="0" w:color="A6A6A6" w:themeColor="background1" w:themeShade="A6"/>
            </w:tcBorders>
          </w:tcPr>
          <w:p w14:paraId="649EAEDC" w14:textId="77777777" w:rsidR="005B131E" w:rsidRPr="00BA7805" w:rsidRDefault="005B131E" w:rsidP="002542E1">
            <w:pPr>
              <w:pStyle w:val="ARfintablebodyright"/>
              <w:spacing w:line="240" w:lineRule="auto"/>
              <w:rPr>
                <w:highlight w:val="green"/>
              </w:rPr>
            </w:pPr>
            <w:r>
              <w:t>–</w:t>
            </w:r>
          </w:p>
        </w:tc>
        <w:tc>
          <w:tcPr>
            <w:tcW w:w="1136" w:type="dxa"/>
            <w:tcBorders>
              <w:top w:val="single" w:sz="4" w:space="0" w:color="A6A6A6" w:themeColor="background1" w:themeShade="A6"/>
              <w:bottom w:val="single" w:sz="4" w:space="0" w:color="A6A6A6" w:themeColor="background1" w:themeShade="A6"/>
            </w:tcBorders>
            <w:shd w:val="clear" w:color="auto" w:fill="E7E6E6" w:themeFill="accent4"/>
            <w:noWrap/>
          </w:tcPr>
          <w:p w14:paraId="36A728BB" w14:textId="77777777" w:rsidR="005B131E" w:rsidRPr="00BA7805" w:rsidRDefault="005B131E" w:rsidP="002542E1">
            <w:pPr>
              <w:pStyle w:val="ARfintablebodyright"/>
              <w:spacing w:line="240" w:lineRule="auto"/>
              <w:rPr>
                <w:highlight w:val="green"/>
              </w:rPr>
            </w:pPr>
            <w:r w:rsidRPr="00A57F80">
              <w:t>30.0</w:t>
            </w:r>
          </w:p>
        </w:tc>
        <w:tc>
          <w:tcPr>
            <w:tcW w:w="1137" w:type="dxa"/>
            <w:tcBorders>
              <w:top w:val="single" w:sz="4" w:space="0" w:color="A6A6A6" w:themeColor="background1" w:themeShade="A6"/>
              <w:bottom w:val="single" w:sz="4" w:space="0" w:color="A6A6A6" w:themeColor="background1" w:themeShade="A6"/>
            </w:tcBorders>
            <w:noWrap/>
          </w:tcPr>
          <w:p w14:paraId="45D25C9C" w14:textId="77777777" w:rsidR="005B131E" w:rsidRPr="00BA7805" w:rsidRDefault="005B131E" w:rsidP="002542E1">
            <w:pPr>
              <w:pStyle w:val="ARfintablebodyright"/>
              <w:spacing w:line="240" w:lineRule="auto"/>
              <w:rPr>
                <w:highlight w:val="green"/>
              </w:rPr>
            </w:pPr>
            <w:r w:rsidRPr="00A57F80">
              <w:t>30.0</w:t>
            </w:r>
          </w:p>
        </w:tc>
      </w:tr>
      <w:tr w:rsidR="005B131E" w:rsidRPr="00BA7805" w14:paraId="47A5F8E3" w14:textId="77777777" w:rsidTr="002542E1">
        <w:trPr>
          <w:cantSplit w:val="0"/>
        </w:trPr>
        <w:tc>
          <w:tcPr>
            <w:tcW w:w="4106" w:type="dxa"/>
            <w:tcBorders>
              <w:top w:val="single" w:sz="4" w:space="0" w:color="A6A6A6" w:themeColor="background1" w:themeShade="A6"/>
            </w:tcBorders>
          </w:tcPr>
          <w:p w14:paraId="1A6393A1" w14:textId="77777777" w:rsidR="005B131E" w:rsidRPr="00BA7805" w:rsidRDefault="005B131E" w:rsidP="002542E1">
            <w:pPr>
              <w:pStyle w:val="ARfintablebody"/>
              <w:spacing w:line="240" w:lineRule="auto"/>
              <w:rPr>
                <w:highlight w:val="green"/>
              </w:rPr>
            </w:pPr>
            <w:r w:rsidRPr="00DC2B6C">
              <w:t>Statutory receivables (with no impairment loss</w:t>
            </w:r>
            <w:r>
              <w:t> </w:t>
            </w:r>
            <w:r w:rsidRPr="00DC2B6C">
              <w:t>recognised)</w:t>
            </w:r>
          </w:p>
        </w:tc>
        <w:tc>
          <w:tcPr>
            <w:tcW w:w="1630" w:type="dxa"/>
            <w:tcBorders>
              <w:top w:val="single" w:sz="4" w:space="0" w:color="A6A6A6" w:themeColor="background1" w:themeShade="A6"/>
            </w:tcBorders>
            <w:shd w:val="clear" w:color="auto" w:fill="E7E6E6" w:themeFill="accent4"/>
            <w:noWrap/>
          </w:tcPr>
          <w:p w14:paraId="79234441" w14:textId="77777777" w:rsidR="005B131E" w:rsidRPr="00BA7805" w:rsidRDefault="005B131E" w:rsidP="002542E1">
            <w:pPr>
              <w:pStyle w:val="ARfintablebodyright"/>
              <w:spacing w:line="240" w:lineRule="auto"/>
              <w:rPr>
                <w:highlight w:val="green"/>
              </w:rPr>
            </w:pPr>
            <w:r w:rsidRPr="00A57F80">
              <w:t>643.2</w:t>
            </w:r>
          </w:p>
        </w:tc>
        <w:tc>
          <w:tcPr>
            <w:tcW w:w="1630" w:type="dxa"/>
            <w:tcBorders>
              <w:top w:val="single" w:sz="4" w:space="0" w:color="A6A6A6" w:themeColor="background1" w:themeShade="A6"/>
            </w:tcBorders>
          </w:tcPr>
          <w:p w14:paraId="58FE575D" w14:textId="77777777" w:rsidR="005B131E" w:rsidRPr="00BA7805" w:rsidRDefault="005B131E" w:rsidP="002542E1">
            <w:pPr>
              <w:pStyle w:val="ARfintablebodyright"/>
              <w:spacing w:line="240" w:lineRule="auto"/>
              <w:rPr>
                <w:highlight w:val="green"/>
              </w:rPr>
            </w:pPr>
            <w:r>
              <w:t>–</w:t>
            </w:r>
          </w:p>
        </w:tc>
        <w:tc>
          <w:tcPr>
            <w:tcW w:w="1136" w:type="dxa"/>
            <w:tcBorders>
              <w:top w:val="single" w:sz="4" w:space="0" w:color="A6A6A6" w:themeColor="background1" w:themeShade="A6"/>
            </w:tcBorders>
            <w:shd w:val="clear" w:color="auto" w:fill="E7E6E6" w:themeFill="accent4"/>
            <w:noWrap/>
          </w:tcPr>
          <w:p w14:paraId="306A7E67" w14:textId="77777777" w:rsidR="005B131E" w:rsidRPr="00BA7805" w:rsidRDefault="005B131E" w:rsidP="002542E1">
            <w:pPr>
              <w:pStyle w:val="ARfintablebodyright"/>
              <w:spacing w:line="240" w:lineRule="auto"/>
              <w:rPr>
                <w:highlight w:val="green"/>
              </w:rPr>
            </w:pPr>
            <w:r>
              <w:t>–</w:t>
            </w:r>
          </w:p>
        </w:tc>
        <w:tc>
          <w:tcPr>
            <w:tcW w:w="1137" w:type="dxa"/>
            <w:tcBorders>
              <w:top w:val="single" w:sz="4" w:space="0" w:color="A6A6A6" w:themeColor="background1" w:themeShade="A6"/>
            </w:tcBorders>
            <w:noWrap/>
          </w:tcPr>
          <w:p w14:paraId="007FF350" w14:textId="77777777" w:rsidR="005B131E" w:rsidRPr="00BA7805" w:rsidRDefault="005B131E" w:rsidP="002542E1">
            <w:pPr>
              <w:pStyle w:val="ARfintablebodyright"/>
              <w:spacing w:line="240" w:lineRule="auto"/>
              <w:rPr>
                <w:highlight w:val="green"/>
              </w:rPr>
            </w:pPr>
            <w:r w:rsidRPr="00A57F80">
              <w:t>643.2</w:t>
            </w:r>
          </w:p>
        </w:tc>
      </w:tr>
      <w:tr w:rsidR="005B131E" w:rsidRPr="00BA7805" w14:paraId="34708F09" w14:textId="77777777" w:rsidTr="002542E1">
        <w:trPr>
          <w:cantSplit w:val="0"/>
        </w:trPr>
        <w:tc>
          <w:tcPr>
            <w:tcW w:w="4106" w:type="dxa"/>
          </w:tcPr>
          <w:p w14:paraId="4549F87A" w14:textId="77777777" w:rsidR="005B131E" w:rsidRPr="00BA7805" w:rsidRDefault="005B131E" w:rsidP="002542E1">
            <w:pPr>
              <w:pStyle w:val="ARfintablebodybold"/>
              <w:spacing w:line="240" w:lineRule="auto"/>
              <w:rPr>
                <w:highlight w:val="green"/>
              </w:rPr>
            </w:pPr>
            <w:r w:rsidRPr="00DC2B6C">
              <w:t>Total financial assets</w:t>
            </w:r>
          </w:p>
        </w:tc>
        <w:tc>
          <w:tcPr>
            <w:tcW w:w="1630" w:type="dxa"/>
            <w:shd w:val="clear" w:color="auto" w:fill="E7E6E6" w:themeFill="accent4"/>
            <w:noWrap/>
          </w:tcPr>
          <w:p w14:paraId="41CE47B9" w14:textId="77777777" w:rsidR="005B131E" w:rsidRPr="00BA7805" w:rsidRDefault="005B131E" w:rsidP="002542E1">
            <w:pPr>
              <w:pStyle w:val="ARfintablebodyrightbold"/>
              <w:spacing w:line="240" w:lineRule="auto"/>
              <w:rPr>
                <w:highlight w:val="green"/>
              </w:rPr>
            </w:pPr>
            <w:r w:rsidRPr="00A57F80">
              <w:t>1,279.6</w:t>
            </w:r>
          </w:p>
        </w:tc>
        <w:tc>
          <w:tcPr>
            <w:tcW w:w="1630" w:type="dxa"/>
          </w:tcPr>
          <w:p w14:paraId="21A25129" w14:textId="77777777" w:rsidR="005B131E" w:rsidRPr="00BA7805" w:rsidRDefault="005B131E" w:rsidP="002542E1">
            <w:pPr>
              <w:pStyle w:val="ARfintablebodyrightbold"/>
              <w:spacing w:line="240" w:lineRule="auto"/>
              <w:rPr>
                <w:highlight w:val="green"/>
              </w:rPr>
            </w:pPr>
            <w:r w:rsidRPr="00A57F80">
              <w:t>112.8</w:t>
            </w:r>
          </w:p>
        </w:tc>
        <w:tc>
          <w:tcPr>
            <w:tcW w:w="1136" w:type="dxa"/>
            <w:shd w:val="clear" w:color="auto" w:fill="E7E6E6" w:themeFill="accent4"/>
            <w:noWrap/>
          </w:tcPr>
          <w:p w14:paraId="6B105A46" w14:textId="77777777" w:rsidR="005B131E" w:rsidRPr="00BA7805" w:rsidRDefault="005B131E" w:rsidP="002542E1">
            <w:pPr>
              <w:pStyle w:val="ARfintablebodyrightbold"/>
              <w:spacing w:line="240" w:lineRule="auto"/>
              <w:rPr>
                <w:highlight w:val="green"/>
              </w:rPr>
            </w:pPr>
            <w:r w:rsidRPr="00A57F80">
              <w:t>158.8</w:t>
            </w:r>
          </w:p>
        </w:tc>
        <w:tc>
          <w:tcPr>
            <w:tcW w:w="1137" w:type="dxa"/>
            <w:noWrap/>
          </w:tcPr>
          <w:p w14:paraId="6D641B19" w14:textId="77777777" w:rsidR="005B131E" w:rsidRPr="00BA7805" w:rsidRDefault="005B131E" w:rsidP="002542E1">
            <w:pPr>
              <w:pStyle w:val="ARfintablebodyrightbold"/>
              <w:spacing w:line="240" w:lineRule="auto"/>
              <w:rPr>
                <w:highlight w:val="green"/>
              </w:rPr>
            </w:pPr>
            <w:r w:rsidRPr="00A57F80">
              <w:t>1,551.1</w:t>
            </w:r>
          </w:p>
        </w:tc>
      </w:tr>
    </w:tbl>
    <w:p w14:paraId="5D2C16F9" w14:textId="77777777" w:rsidR="005B131E" w:rsidRPr="00C429E5" w:rsidRDefault="005B131E">
      <w:pPr>
        <w:pStyle w:val="ARfintablefootnote"/>
        <w:rPr>
          <w:lang w:eastAsia="en-AU"/>
        </w:rPr>
      </w:pPr>
      <w:r w:rsidRPr="00C429E5">
        <w:rPr>
          <w:lang w:eastAsia="en-AU"/>
        </w:rPr>
        <w:t>Notes:</w:t>
      </w:r>
    </w:p>
    <w:p w14:paraId="7F7A2BF7" w14:textId="77777777" w:rsidR="005B131E" w:rsidRDefault="005B131E" w:rsidP="00C429E5">
      <w:pPr>
        <w:pStyle w:val="ARfintablefootnotetabindent"/>
      </w:pPr>
      <w:r>
        <w:t>(i) State of Victoria credit rating was downgraded from AAA to AA as at 30 June 2021.</w:t>
      </w:r>
    </w:p>
    <w:p w14:paraId="0CF596F3" w14:textId="77777777" w:rsidR="005B131E" w:rsidRDefault="005B131E" w:rsidP="00C429E5">
      <w:pPr>
        <w:pStyle w:val="ARfintablefootnotetabindent"/>
      </w:pPr>
      <w:r>
        <w:t>(ii) The total amounts disclosed here exclude statutory amounts, for example, amounts owing from Victorian Government, GST input tax credit recoverable and other taxes payable.</w:t>
      </w:r>
    </w:p>
    <w:p w14:paraId="44AC9143" w14:textId="77777777" w:rsidR="005B131E" w:rsidRPr="00BA7805" w:rsidRDefault="005B131E" w:rsidP="00C429E5">
      <w:pPr>
        <w:pStyle w:val="ARfintablefootnotetabindent"/>
        <w:rPr>
          <w:highlight w:val="green"/>
        </w:rPr>
      </w:pPr>
      <w:r>
        <w:t>(iii) The carrying amounts consist of amounts due from numerous counterparties for which no credit ratings have been disclosed due to impracticability.</w:t>
      </w:r>
    </w:p>
    <w:p w14:paraId="2B4D9EE4" w14:textId="77777777" w:rsidR="005B131E" w:rsidRDefault="005B131E" w:rsidP="002542E1">
      <w:pPr>
        <w:pStyle w:val="Heading7"/>
      </w:pPr>
      <w:r>
        <w:t>Impairment of financial assets under AASB 9</w:t>
      </w:r>
    </w:p>
    <w:p w14:paraId="5BD56BB7" w14:textId="4B8FC4A1" w:rsidR="005B131E" w:rsidRDefault="005B131E" w:rsidP="002542E1">
      <w:pPr>
        <w:pStyle w:val="ARfinbody"/>
      </w:pPr>
      <w:r>
        <w:t>The department records the allowance for expected credit loss for the relevant financial instruments applying AASB 9</w:t>
      </w:r>
      <w:r w:rsidR="00711AE6">
        <w:t>’</w:t>
      </w:r>
      <w:r>
        <w:t>s Expected Credit Loss approach. Subject to AASB 9 impairment assessment includes the department</w:t>
      </w:r>
      <w:r w:rsidR="00711AE6">
        <w:t>’</w:t>
      </w:r>
      <w:r>
        <w:t>s contractual receivables and statutory receivables.</w:t>
      </w:r>
    </w:p>
    <w:p w14:paraId="259231FC" w14:textId="77777777" w:rsidR="005B131E" w:rsidRDefault="005B131E" w:rsidP="002542E1">
      <w:pPr>
        <w:pStyle w:val="ARfinbody"/>
      </w:pPr>
      <w:r>
        <w:t>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w:t>
      </w:r>
    </w:p>
    <w:p w14:paraId="7494569A" w14:textId="77777777" w:rsidR="005B131E" w:rsidRDefault="005B131E" w:rsidP="002542E1">
      <w:pPr>
        <w:pStyle w:val="Heading7"/>
      </w:pPr>
      <w:r>
        <w:t>Contractual receivables at amortised cost</w:t>
      </w:r>
    </w:p>
    <w:p w14:paraId="79CB4BC7" w14:textId="65772D20" w:rsidR="005B131E" w:rsidRDefault="005B131E" w:rsidP="002542E1">
      <w:pPr>
        <w:pStyle w:val="ARfinbody"/>
      </w:pPr>
      <w:r>
        <w:t>The department applies the AASB 9 simplified approach for all contractual receivables to measure expected credit losses using a lifetime expected loss allowance based on the assumptions about risk of default and expected loss rates. The department has grouped contractual receivables on shared credit risk characteristics and days past due and selected the expected credit loss rate based on the department</w:t>
      </w:r>
      <w:r w:rsidR="00711AE6">
        <w:t>’</w:t>
      </w:r>
      <w:r>
        <w:t>s past history, existing market conditions, as well as forward-looking estimates at the end of financial year.</w:t>
      </w:r>
    </w:p>
    <w:p w14:paraId="0726F89F" w14:textId="77777777" w:rsidR="005B131E" w:rsidRDefault="005B131E" w:rsidP="002542E1">
      <w:pPr>
        <w:pStyle w:val="ARbody"/>
        <w:rPr>
          <w:rFonts w:eastAsiaTheme="minorEastAsia" w:cs="ArialMT"/>
          <w:color w:val="000000"/>
          <w:sz w:val="18"/>
          <w:szCs w:val="16"/>
          <w:lang w:eastAsia="en-AU"/>
        </w:rPr>
      </w:pPr>
      <w:r>
        <w:br w:type="page"/>
      </w:r>
    </w:p>
    <w:p w14:paraId="7D1CB1D1" w14:textId="77777777" w:rsidR="005B131E" w:rsidRDefault="005B131E" w:rsidP="002542E1">
      <w:pPr>
        <w:pStyle w:val="ARfinbodylargespace"/>
      </w:pPr>
      <w:r>
        <w:t>On this basis, the department determines the loss allowance at the end of the financial year as follows:</w:t>
      </w:r>
    </w:p>
    <w:tbl>
      <w:tblPr>
        <w:tblStyle w:val="TableGrid"/>
        <w:tblW w:w="9639" w:type="dxa"/>
        <w:tblLayout w:type="fixed"/>
        <w:tblLook w:val="06A0" w:firstRow="1" w:lastRow="0" w:firstColumn="1" w:lastColumn="0" w:noHBand="1" w:noVBand="1"/>
      </w:tblPr>
      <w:tblGrid>
        <w:gridCol w:w="2263"/>
        <w:gridCol w:w="993"/>
        <w:gridCol w:w="1165"/>
        <w:gridCol w:w="1021"/>
        <w:gridCol w:w="1021"/>
        <w:gridCol w:w="1134"/>
        <w:gridCol w:w="1021"/>
        <w:gridCol w:w="1021"/>
      </w:tblGrid>
      <w:tr w:rsidR="005B131E" w:rsidRPr="00BA7805" w14:paraId="77B19493"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2263" w:type="dxa"/>
            <w:vMerge w:val="restart"/>
            <w:tcBorders>
              <w:top w:val="nil"/>
              <w:right w:val="nil"/>
            </w:tcBorders>
            <w:noWrap/>
            <w:hideMark/>
          </w:tcPr>
          <w:p w14:paraId="50DE98C2" w14:textId="77777777" w:rsidR="005B131E" w:rsidRPr="00C76655" w:rsidRDefault="005B131E">
            <w:pPr>
              <w:pStyle w:val="ARfintablecolhead"/>
              <w:spacing w:before="30"/>
            </w:pPr>
          </w:p>
        </w:tc>
        <w:tc>
          <w:tcPr>
            <w:tcW w:w="993" w:type="dxa"/>
            <w:vMerge w:val="restart"/>
            <w:tcBorders>
              <w:top w:val="nil"/>
              <w:left w:val="nil"/>
              <w:right w:val="nil"/>
            </w:tcBorders>
            <w:hideMark/>
          </w:tcPr>
          <w:p w14:paraId="069731CE" w14:textId="77777777" w:rsidR="005B131E" w:rsidRPr="00C76655" w:rsidRDefault="005B131E">
            <w:pPr>
              <w:pStyle w:val="ARfintablecolheadright"/>
              <w:spacing w:before="30"/>
            </w:pPr>
            <w:r w:rsidRPr="00C76655">
              <w:t>Gross amount</w:t>
            </w:r>
          </w:p>
          <w:p w14:paraId="715E71D1" w14:textId="77777777" w:rsidR="005B131E" w:rsidRPr="00C76655" w:rsidRDefault="005B131E">
            <w:pPr>
              <w:pStyle w:val="ARfintablecolheadright"/>
              <w:spacing w:before="30"/>
            </w:pPr>
            <w:r w:rsidRPr="00C76655">
              <w:t>$M</w:t>
            </w:r>
          </w:p>
        </w:tc>
        <w:tc>
          <w:tcPr>
            <w:tcW w:w="1165" w:type="dxa"/>
            <w:vMerge w:val="restart"/>
            <w:tcBorders>
              <w:top w:val="nil"/>
              <w:left w:val="nil"/>
              <w:right w:val="nil"/>
            </w:tcBorders>
          </w:tcPr>
          <w:p w14:paraId="4F4151CA" w14:textId="77777777" w:rsidR="005B131E" w:rsidRPr="00C76655" w:rsidRDefault="005B131E">
            <w:pPr>
              <w:pStyle w:val="ARfintablecolheadright"/>
              <w:spacing w:before="30"/>
            </w:pPr>
            <w:r w:rsidRPr="00C76655">
              <w:t xml:space="preserve">Not past due and not impaired </w:t>
            </w:r>
            <w:r w:rsidRPr="00C76655">
              <w:rPr>
                <w:rFonts w:cs="Arial"/>
                <w:vertAlign w:val="superscript"/>
              </w:rPr>
              <w:t>(i)</w:t>
            </w:r>
          </w:p>
          <w:p w14:paraId="17EB9DC2" w14:textId="77777777" w:rsidR="005B131E" w:rsidRPr="00C76655" w:rsidRDefault="005B131E">
            <w:pPr>
              <w:pStyle w:val="ARfintablecolheadright"/>
              <w:spacing w:before="30"/>
            </w:pPr>
            <w:r w:rsidRPr="00C76655">
              <w:t>$M</w:t>
            </w:r>
          </w:p>
        </w:tc>
        <w:tc>
          <w:tcPr>
            <w:tcW w:w="4197" w:type="dxa"/>
            <w:gridSpan w:val="4"/>
            <w:tcBorders>
              <w:top w:val="nil"/>
              <w:left w:val="nil"/>
            </w:tcBorders>
            <w:shd w:val="clear" w:color="auto" w:fill="E7E6E6" w:themeFill="accent4"/>
            <w:hideMark/>
          </w:tcPr>
          <w:p w14:paraId="450FDA1E" w14:textId="77777777" w:rsidR="005B131E" w:rsidRPr="00C76655" w:rsidRDefault="005B131E">
            <w:pPr>
              <w:pStyle w:val="ARfintablecolheadcentre"/>
              <w:spacing w:before="30"/>
            </w:pPr>
            <w:r w:rsidRPr="00C76655">
              <w:t>Past due</w:t>
            </w:r>
          </w:p>
        </w:tc>
        <w:tc>
          <w:tcPr>
            <w:tcW w:w="1021" w:type="dxa"/>
            <w:vMerge w:val="restart"/>
            <w:tcBorders>
              <w:top w:val="nil"/>
              <w:left w:val="nil"/>
            </w:tcBorders>
          </w:tcPr>
          <w:p w14:paraId="0C2F850C" w14:textId="77777777" w:rsidR="005B131E" w:rsidRPr="00C76655" w:rsidRDefault="005B131E">
            <w:pPr>
              <w:pStyle w:val="ARfintablecolheadright"/>
              <w:spacing w:before="30"/>
            </w:pPr>
            <w:r w:rsidRPr="00C76655">
              <w:t>Total</w:t>
            </w:r>
          </w:p>
          <w:p w14:paraId="160FD02A" w14:textId="77777777" w:rsidR="005B131E" w:rsidRPr="00C76655" w:rsidRDefault="005B131E">
            <w:pPr>
              <w:pStyle w:val="ARfintablecolheadright"/>
              <w:spacing w:before="30"/>
            </w:pPr>
            <w:r w:rsidRPr="00C76655">
              <w:t>$M</w:t>
            </w:r>
          </w:p>
        </w:tc>
      </w:tr>
      <w:tr w:rsidR="005B131E" w:rsidRPr="00BA7805" w14:paraId="21E6C6E3"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2263" w:type="dxa"/>
            <w:vMerge/>
            <w:hideMark/>
          </w:tcPr>
          <w:p w14:paraId="729DC9E1" w14:textId="77777777" w:rsidR="005B131E" w:rsidRPr="00BA7805" w:rsidRDefault="005B131E">
            <w:pPr>
              <w:pStyle w:val="ARfintablecolhead"/>
              <w:spacing w:before="30"/>
              <w:rPr>
                <w:highlight w:val="green"/>
              </w:rPr>
            </w:pPr>
          </w:p>
        </w:tc>
        <w:tc>
          <w:tcPr>
            <w:tcW w:w="993" w:type="dxa"/>
            <w:vMerge/>
            <w:hideMark/>
          </w:tcPr>
          <w:p w14:paraId="2A56ADF5" w14:textId="77777777" w:rsidR="005B131E" w:rsidRPr="00BA7805" w:rsidRDefault="005B131E">
            <w:pPr>
              <w:pStyle w:val="ARfintablecolheadright"/>
              <w:spacing w:before="30"/>
              <w:rPr>
                <w:highlight w:val="green"/>
              </w:rPr>
            </w:pPr>
          </w:p>
        </w:tc>
        <w:tc>
          <w:tcPr>
            <w:tcW w:w="1165" w:type="dxa"/>
            <w:vMerge/>
            <w:hideMark/>
          </w:tcPr>
          <w:p w14:paraId="5A5C5529" w14:textId="77777777" w:rsidR="005B131E" w:rsidRPr="00BA7805" w:rsidRDefault="005B131E">
            <w:pPr>
              <w:pStyle w:val="ARfintablecolheadright"/>
              <w:spacing w:before="30"/>
              <w:rPr>
                <w:highlight w:val="green"/>
              </w:rPr>
            </w:pPr>
          </w:p>
        </w:tc>
        <w:tc>
          <w:tcPr>
            <w:tcW w:w="1021" w:type="dxa"/>
            <w:tcBorders>
              <w:left w:val="nil"/>
              <w:right w:val="nil"/>
            </w:tcBorders>
            <w:shd w:val="clear" w:color="auto" w:fill="E7E6E6" w:themeFill="accent4"/>
            <w:hideMark/>
          </w:tcPr>
          <w:p w14:paraId="233BF8D6" w14:textId="77777777" w:rsidR="005B131E" w:rsidRPr="00C76655" w:rsidRDefault="005B131E">
            <w:pPr>
              <w:pStyle w:val="ARfintablecolheadright"/>
              <w:spacing w:before="30"/>
            </w:pPr>
            <w:r w:rsidRPr="00C76655">
              <w:t xml:space="preserve">Less than </w:t>
            </w:r>
            <w:r w:rsidRPr="00C76655">
              <w:br/>
              <w:t>1 month</w:t>
            </w:r>
          </w:p>
          <w:p w14:paraId="4EC5F5A5" w14:textId="77777777" w:rsidR="005B131E" w:rsidRPr="00C76655" w:rsidRDefault="005B131E">
            <w:pPr>
              <w:pStyle w:val="ARfintablecolheadright"/>
              <w:spacing w:before="30"/>
            </w:pPr>
            <w:r w:rsidRPr="00C76655">
              <w:t>$M</w:t>
            </w:r>
          </w:p>
        </w:tc>
        <w:tc>
          <w:tcPr>
            <w:tcW w:w="1021" w:type="dxa"/>
            <w:tcBorders>
              <w:left w:val="nil"/>
              <w:right w:val="nil"/>
            </w:tcBorders>
            <w:shd w:val="clear" w:color="auto" w:fill="E7E6E6" w:themeFill="accent4"/>
            <w:hideMark/>
          </w:tcPr>
          <w:p w14:paraId="1B6D94DC" w14:textId="77777777" w:rsidR="005B131E" w:rsidRPr="00C76655" w:rsidRDefault="005B131E">
            <w:pPr>
              <w:pStyle w:val="ARfintablecolheadright"/>
              <w:spacing w:before="30"/>
            </w:pPr>
            <w:r w:rsidRPr="00C76655">
              <w:t>1–3 months</w:t>
            </w:r>
          </w:p>
          <w:p w14:paraId="55F46E33" w14:textId="77777777" w:rsidR="005B131E" w:rsidRPr="00C76655" w:rsidRDefault="005B131E">
            <w:pPr>
              <w:pStyle w:val="ARfintablecolheadright"/>
              <w:spacing w:before="30"/>
            </w:pPr>
            <w:r w:rsidRPr="00C76655">
              <w:t>$M</w:t>
            </w:r>
          </w:p>
        </w:tc>
        <w:tc>
          <w:tcPr>
            <w:tcW w:w="1134" w:type="dxa"/>
            <w:tcBorders>
              <w:left w:val="nil"/>
              <w:right w:val="nil"/>
            </w:tcBorders>
            <w:shd w:val="clear" w:color="auto" w:fill="E7E6E6" w:themeFill="accent4"/>
            <w:hideMark/>
          </w:tcPr>
          <w:p w14:paraId="1D346FCC" w14:textId="77777777" w:rsidR="005B131E" w:rsidRPr="00C76655" w:rsidRDefault="005B131E">
            <w:pPr>
              <w:pStyle w:val="ARfintablecolheadright"/>
              <w:spacing w:before="30"/>
            </w:pPr>
            <w:r w:rsidRPr="00C76655">
              <w:t>3 months – 1 year</w:t>
            </w:r>
          </w:p>
          <w:p w14:paraId="7FB1B3B5" w14:textId="77777777" w:rsidR="005B131E" w:rsidRPr="00C76655" w:rsidRDefault="005B131E">
            <w:pPr>
              <w:pStyle w:val="ARfintablecolheadright"/>
              <w:spacing w:before="30"/>
            </w:pPr>
            <w:r w:rsidRPr="00C76655">
              <w:t>$M</w:t>
            </w:r>
          </w:p>
        </w:tc>
        <w:tc>
          <w:tcPr>
            <w:tcW w:w="1021" w:type="dxa"/>
            <w:tcBorders>
              <w:left w:val="nil"/>
              <w:right w:val="nil"/>
            </w:tcBorders>
            <w:shd w:val="clear" w:color="auto" w:fill="E7E6E6" w:themeFill="accent4"/>
            <w:hideMark/>
          </w:tcPr>
          <w:p w14:paraId="5F481559" w14:textId="77777777" w:rsidR="005B131E" w:rsidRPr="00C76655" w:rsidRDefault="005B131E">
            <w:pPr>
              <w:pStyle w:val="ARfintablecolheadright"/>
              <w:spacing w:before="30"/>
            </w:pPr>
            <w:r w:rsidRPr="00C76655">
              <w:t>1–5 years</w:t>
            </w:r>
          </w:p>
          <w:p w14:paraId="6B67D511" w14:textId="77777777" w:rsidR="005B131E" w:rsidRPr="00C76655" w:rsidRDefault="005B131E">
            <w:pPr>
              <w:pStyle w:val="ARfintablecolheadright"/>
              <w:spacing w:before="30"/>
            </w:pPr>
            <w:r w:rsidRPr="00C76655">
              <w:t>$M</w:t>
            </w:r>
          </w:p>
        </w:tc>
        <w:tc>
          <w:tcPr>
            <w:tcW w:w="1021" w:type="dxa"/>
            <w:vMerge/>
            <w:hideMark/>
          </w:tcPr>
          <w:p w14:paraId="0965CFEF" w14:textId="77777777" w:rsidR="005B131E" w:rsidRPr="00BA7805" w:rsidRDefault="005B131E">
            <w:pPr>
              <w:pStyle w:val="ARfintablecolheadright"/>
              <w:spacing w:before="30"/>
              <w:rPr>
                <w:highlight w:val="green"/>
              </w:rPr>
            </w:pPr>
          </w:p>
        </w:tc>
      </w:tr>
      <w:tr w:rsidR="005B131E" w:rsidRPr="00BA7805" w14:paraId="25F75A97" w14:textId="77777777">
        <w:tc>
          <w:tcPr>
            <w:tcW w:w="9639" w:type="dxa"/>
            <w:gridSpan w:val="8"/>
            <w:tcBorders>
              <w:bottom w:val="single" w:sz="4" w:space="0" w:color="auto"/>
            </w:tcBorders>
            <w:hideMark/>
          </w:tcPr>
          <w:p w14:paraId="2D68BBBF" w14:textId="77777777" w:rsidR="005B131E" w:rsidRPr="00BA7805" w:rsidRDefault="005B131E">
            <w:pPr>
              <w:pStyle w:val="ARfintablebodybold"/>
              <w:spacing w:before="30"/>
              <w:rPr>
                <w:highlight w:val="green"/>
              </w:rPr>
            </w:pPr>
            <w:r w:rsidRPr="00C76655">
              <w:t>2024</w:t>
            </w:r>
          </w:p>
        </w:tc>
      </w:tr>
      <w:tr w:rsidR="005B131E" w:rsidRPr="00BA7805" w14:paraId="2F894A79" w14:textId="77777777" w:rsidTr="002542E1">
        <w:tc>
          <w:tcPr>
            <w:tcW w:w="2263" w:type="dxa"/>
            <w:tcBorders>
              <w:top w:val="single" w:sz="4" w:space="0" w:color="auto"/>
              <w:bottom w:val="single" w:sz="4" w:space="0" w:color="A6A6A6" w:themeColor="background1" w:themeShade="A6"/>
              <w:right w:val="nil"/>
            </w:tcBorders>
          </w:tcPr>
          <w:p w14:paraId="1D5B2248" w14:textId="77777777" w:rsidR="005B131E" w:rsidRPr="00BA7805" w:rsidRDefault="005B131E" w:rsidP="002542E1">
            <w:pPr>
              <w:pStyle w:val="ARfintablebodybold"/>
              <w:spacing w:before="30"/>
              <w:rPr>
                <w:highlight w:val="green"/>
              </w:rPr>
            </w:pPr>
            <w:r w:rsidRPr="00DF2869">
              <w:t>Expected loss rate</w:t>
            </w:r>
          </w:p>
        </w:tc>
        <w:tc>
          <w:tcPr>
            <w:tcW w:w="993" w:type="dxa"/>
            <w:tcBorders>
              <w:top w:val="single" w:sz="4" w:space="0" w:color="auto"/>
              <w:left w:val="nil"/>
              <w:bottom w:val="single" w:sz="4" w:space="0" w:color="A6A6A6" w:themeColor="background1" w:themeShade="A6"/>
              <w:right w:val="nil"/>
            </w:tcBorders>
            <w:noWrap/>
          </w:tcPr>
          <w:p w14:paraId="4C3EEC50" w14:textId="77777777" w:rsidR="005B131E" w:rsidRPr="00BA7805" w:rsidRDefault="005B131E" w:rsidP="002542E1">
            <w:pPr>
              <w:pStyle w:val="ARfintablebodyright"/>
              <w:spacing w:before="30"/>
              <w:rPr>
                <w:highlight w:val="green"/>
              </w:rPr>
            </w:pPr>
          </w:p>
        </w:tc>
        <w:tc>
          <w:tcPr>
            <w:tcW w:w="1165" w:type="dxa"/>
            <w:tcBorders>
              <w:top w:val="single" w:sz="4" w:space="0" w:color="auto"/>
              <w:left w:val="nil"/>
              <w:bottom w:val="single" w:sz="4" w:space="0" w:color="A6A6A6" w:themeColor="background1" w:themeShade="A6"/>
              <w:right w:val="nil"/>
            </w:tcBorders>
            <w:noWrap/>
          </w:tcPr>
          <w:p w14:paraId="24FC8FD5" w14:textId="77777777" w:rsidR="005B131E" w:rsidRPr="00BA7805" w:rsidRDefault="005B131E" w:rsidP="002542E1">
            <w:pPr>
              <w:pStyle w:val="ARfintablebodyright"/>
              <w:spacing w:before="30"/>
              <w:rPr>
                <w:highlight w:val="green"/>
              </w:rPr>
            </w:pPr>
            <w:r w:rsidRPr="00DF2869">
              <w:t>0%</w:t>
            </w:r>
          </w:p>
        </w:tc>
        <w:tc>
          <w:tcPr>
            <w:tcW w:w="1021" w:type="dxa"/>
            <w:tcBorders>
              <w:top w:val="single" w:sz="4" w:space="0" w:color="auto"/>
              <w:left w:val="nil"/>
              <w:bottom w:val="single" w:sz="4" w:space="0" w:color="A6A6A6" w:themeColor="background1" w:themeShade="A6"/>
              <w:right w:val="nil"/>
            </w:tcBorders>
            <w:shd w:val="clear" w:color="auto" w:fill="E7E6E6" w:themeFill="accent4"/>
            <w:noWrap/>
          </w:tcPr>
          <w:p w14:paraId="08269EE5" w14:textId="77777777" w:rsidR="005B131E" w:rsidRPr="00BA7805" w:rsidRDefault="005B131E" w:rsidP="002542E1">
            <w:pPr>
              <w:pStyle w:val="ARfintablebodyright"/>
              <w:spacing w:before="30"/>
              <w:rPr>
                <w:highlight w:val="green"/>
              </w:rPr>
            </w:pPr>
            <w:r w:rsidRPr="00DF2869">
              <w:t>0%</w:t>
            </w:r>
          </w:p>
        </w:tc>
        <w:tc>
          <w:tcPr>
            <w:tcW w:w="1021" w:type="dxa"/>
            <w:tcBorders>
              <w:top w:val="single" w:sz="4" w:space="0" w:color="auto"/>
              <w:left w:val="nil"/>
              <w:bottom w:val="single" w:sz="4" w:space="0" w:color="A6A6A6" w:themeColor="background1" w:themeShade="A6"/>
              <w:right w:val="nil"/>
            </w:tcBorders>
            <w:shd w:val="clear" w:color="auto" w:fill="E7E6E6" w:themeFill="accent4"/>
            <w:noWrap/>
          </w:tcPr>
          <w:p w14:paraId="4CAA79BA" w14:textId="77777777" w:rsidR="005B131E" w:rsidRPr="00BA7805" w:rsidRDefault="005B131E" w:rsidP="002542E1">
            <w:pPr>
              <w:pStyle w:val="ARfintablebodyright"/>
              <w:spacing w:before="30"/>
              <w:rPr>
                <w:color w:val="000000" w:themeColor="text1"/>
                <w:szCs w:val="18"/>
                <w:highlight w:val="green"/>
              </w:rPr>
            </w:pPr>
            <w:r w:rsidRPr="00DF2869">
              <w:t>4%</w:t>
            </w:r>
          </w:p>
        </w:tc>
        <w:tc>
          <w:tcPr>
            <w:tcW w:w="1134" w:type="dxa"/>
            <w:tcBorders>
              <w:top w:val="single" w:sz="4" w:space="0" w:color="auto"/>
              <w:left w:val="nil"/>
              <w:bottom w:val="single" w:sz="4" w:space="0" w:color="A6A6A6" w:themeColor="background1" w:themeShade="A6"/>
              <w:right w:val="nil"/>
            </w:tcBorders>
            <w:shd w:val="clear" w:color="auto" w:fill="E7E6E6" w:themeFill="accent4"/>
            <w:noWrap/>
          </w:tcPr>
          <w:p w14:paraId="430CB9CC" w14:textId="77777777" w:rsidR="005B131E" w:rsidRPr="00BA7805" w:rsidRDefault="005B131E" w:rsidP="002542E1">
            <w:pPr>
              <w:pStyle w:val="ARfintablebodyright"/>
              <w:spacing w:before="30"/>
              <w:rPr>
                <w:highlight w:val="green"/>
              </w:rPr>
            </w:pPr>
            <w:r w:rsidRPr="00DF2869">
              <w:t>3%</w:t>
            </w:r>
          </w:p>
        </w:tc>
        <w:tc>
          <w:tcPr>
            <w:tcW w:w="1021" w:type="dxa"/>
            <w:tcBorders>
              <w:top w:val="single" w:sz="4" w:space="0" w:color="auto"/>
              <w:left w:val="nil"/>
              <w:bottom w:val="single" w:sz="4" w:space="0" w:color="A6A6A6" w:themeColor="background1" w:themeShade="A6"/>
              <w:right w:val="nil"/>
            </w:tcBorders>
            <w:shd w:val="clear" w:color="auto" w:fill="E7E6E6" w:themeFill="accent4"/>
            <w:noWrap/>
          </w:tcPr>
          <w:p w14:paraId="5A40B028" w14:textId="77777777" w:rsidR="005B131E" w:rsidRPr="00BA7805" w:rsidRDefault="005B131E" w:rsidP="002542E1">
            <w:pPr>
              <w:pStyle w:val="ARfintablebodyright"/>
              <w:spacing w:before="30"/>
              <w:rPr>
                <w:highlight w:val="green"/>
              </w:rPr>
            </w:pPr>
            <w:r w:rsidRPr="00DF2869">
              <w:t>6%</w:t>
            </w:r>
          </w:p>
        </w:tc>
        <w:tc>
          <w:tcPr>
            <w:tcW w:w="1021" w:type="dxa"/>
            <w:tcBorders>
              <w:top w:val="single" w:sz="4" w:space="0" w:color="auto"/>
              <w:left w:val="nil"/>
              <w:bottom w:val="single" w:sz="4" w:space="0" w:color="A6A6A6" w:themeColor="background1" w:themeShade="A6"/>
            </w:tcBorders>
            <w:noWrap/>
          </w:tcPr>
          <w:p w14:paraId="7EB2E1B1" w14:textId="77777777" w:rsidR="005B131E" w:rsidRPr="00BA7805" w:rsidRDefault="005B131E" w:rsidP="002542E1">
            <w:pPr>
              <w:pStyle w:val="ARfintablebodyright"/>
              <w:spacing w:before="30"/>
              <w:rPr>
                <w:highlight w:val="green"/>
              </w:rPr>
            </w:pPr>
          </w:p>
        </w:tc>
      </w:tr>
      <w:tr w:rsidR="005B131E" w:rsidRPr="00BA7805" w14:paraId="73C36DC8" w14:textId="77777777" w:rsidTr="002542E1">
        <w:tc>
          <w:tcPr>
            <w:tcW w:w="2263" w:type="dxa"/>
            <w:tcBorders>
              <w:top w:val="single" w:sz="4" w:space="0" w:color="A6A6A6" w:themeColor="background1" w:themeShade="A6"/>
              <w:right w:val="nil"/>
            </w:tcBorders>
          </w:tcPr>
          <w:p w14:paraId="40FAD182" w14:textId="77777777" w:rsidR="005B131E" w:rsidRPr="00BA7805" w:rsidRDefault="005B131E" w:rsidP="002542E1">
            <w:pPr>
              <w:pStyle w:val="ARfintablebody"/>
              <w:spacing w:before="30"/>
              <w:rPr>
                <w:highlight w:val="green"/>
              </w:rPr>
            </w:pPr>
            <w:r w:rsidRPr="00DF2869">
              <w:t>Gross carrying amount of contractual receivables</w:t>
            </w:r>
          </w:p>
        </w:tc>
        <w:tc>
          <w:tcPr>
            <w:tcW w:w="993" w:type="dxa"/>
            <w:tcBorders>
              <w:top w:val="single" w:sz="4" w:space="0" w:color="A6A6A6" w:themeColor="background1" w:themeShade="A6"/>
              <w:left w:val="nil"/>
              <w:right w:val="nil"/>
            </w:tcBorders>
            <w:noWrap/>
          </w:tcPr>
          <w:p w14:paraId="714441FD" w14:textId="77777777" w:rsidR="005B131E" w:rsidRPr="00BA7805" w:rsidRDefault="005B131E" w:rsidP="002542E1">
            <w:pPr>
              <w:pStyle w:val="ARfintablebodyright"/>
              <w:spacing w:before="30"/>
              <w:rPr>
                <w:highlight w:val="green"/>
              </w:rPr>
            </w:pPr>
            <w:r w:rsidRPr="00DF2869">
              <w:t>443.3</w:t>
            </w:r>
          </w:p>
        </w:tc>
        <w:tc>
          <w:tcPr>
            <w:tcW w:w="1165" w:type="dxa"/>
            <w:tcBorders>
              <w:top w:val="single" w:sz="4" w:space="0" w:color="A6A6A6" w:themeColor="background1" w:themeShade="A6"/>
              <w:left w:val="nil"/>
              <w:right w:val="nil"/>
            </w:tcBorders>
            <w:noWrap/>
          </w:tcPr>
          <w:p w14:paraId="62A477FA" w14:textId="77777777" w:rsidR="005B131E" w:rsidRPr="00BA7805" w:rsidRDefault="005B131E" w:rsidP="002542E1">
            <w:pPr>
              <w:pStyle w:val="ARfintablebodyright"/>
              <w:spacing w:before="30"/>
              <w:rPr>
                <w:highlight w:val="green"/>
              </w:rPr>
            </w:pPr>
            <w:r w:rsidRPr="00DF2869">
              <w:t>63.9</w:t>
            </w:r>
          </w:p>
        </w:tc>
        <w:tc>
          <w:tcPr>
            <w:tcW w:w="1021" w:type="dxa"/>
            <w:tcBorders>
              <w:top w:val="single" w:sz="4" w:space="0" w:color="A6A6A6" w:themeColor="background1" w:themeShade="A6"/>
              <w:left w:val="nil"/>
              <w:right w:val="nil"/>
            </w:tcBorders>
            <w:shd w:val="clear" w:color="auto" w:fill="E7E6E6" w:themeFill="accent4"/>
            <w:noWrap/>
          </w:tcPr>
          <w:p w14:paraId="5A9B8F68" w14:textId="77777777" w:rsidR="005B131E" w:rsidRPr="00BA7805" w:rsidRDefault="005B131E" w:rsidP="002542E1">
            <w:pPr>
              <w:pStyle w:val="ARfintablebodyright"/>
              <w:spacing w:before="30"/>
              <w:rPr>
                <w:highlight w:val="green"/>
              </w:rPr>
            </w:pPr>
            <w:r w:rsidRPr="00DF2869">
              <w:t>211.1</w:t>
            </w:r>
          </w:p>
        </w:tc>
        <w:tc>
          <w:tcPr>
            <w:tcW w:w="1021" w:type="dxa"/>
            <w:tcBorders>
              <w:top w:val="single" w:sz="4" w:space="0" w:color="A6A6A6" w:themeColor="background1" w:themeShade="A6"/>
              <w:left w:val="nil"/>
              <w:right w:val="nil"/>
            </w:tcBorders>
            <w:shd w:val="clear" w:color="auto" w:fill="E7E6E6" w:themeFill="accent4"/>
            <w:noWrap/>
          </w:tcPr>
          <w:p w14:paraId="1CD95D9A" w14:textId="77777777" w:rsidR="005B131E" w:rsidRPr="00BA7805" w:rsidRDefault="005B131E" w:rsidP="002542E1">
            <w:pPr>
              <w:pStyle w:val="ARfintablebodyright"/>
              <w:spacing w:before="30"/>
              <w:rPr>
                <w:highlight w:val="green"/>
              </w:rPr>
            </w:pPr>
            <w:r w:rsidRPr="00DF2869">
              <w:t>52.7</w:t>
            </w:r>
          </w:p>
        </w:tc>
        <w:tc>
          <w:tcPr>
            <w:tcW w:w="1134" w:type="dxa"/>
            <w:tcBorders>
              <w:top w:val="single" w:sz="4" w:space="0" w:color="A6A6A6" w:themeColor="background1" w:themeShade="A6"/>
              <w:left w:val="nil"/>
              <w:right w:val="nil"/>
            </w:tcBorders>
            <w:shd w:val="clear" w:color="auto" w:fill="E7E6E6" w:themeFill="accent4"/>
            <w:noWrap/>
          </w:tcPr>
          <w:p w14:paraId="59E8A819" w14:textId="77777777" w:rsidR="005B131E" w:rsidRPr="00BA7805" w:rsidRDefault="005B131E" w:rsidP="002542E1">
            <w:pPr>
              <w:pStyle w:val="ARfintablebodyright"/>
              <w:spacing w:before="30"/>
              <w:rPr>
                <w:highlight w:val="green"/>
              </w:rPr>
            </w:pPr>
            <w:r w:rsidRPr="00DF2869">
              <w:t>65.3</w:t>
            </w:r>
          </w:p>
        </w:tc>
        <w:tc>
          <w:tcPr>
            <w:tcW w:w="1021" w:type="dxa"/>
            <w:tcBorders>
              <w:top w:val="single" w:sz="4" w:space="0" w:color="A6A6A6" w:themeColor="background1" w:themeShade="A6"/>
              <w:left w:val="nil"/>
              <w:right w:val="nil"/>
            </w:tcBorders>
            <w:shd w:val="clear" w:color="auto" w:fill="E7E6E6" w:themeFill="accent4"/>
            <w:noWrap/>
          </w:tcPr>
          <w:p w14:paraId="4D85A80A" w14:textId="77777777" w:rsidR="005B131E" w:rsidRPr="00BA7805" w:rsidRDefault="005B131E" w:rsidP="002542E1">
            <w:pPr>
              <w:pStyle w:val="ARfintablebodyright"/>
              <w:spacing w:before="30"/>
              <w:rPr>
                <w:highlight w:val="green"/>
              </w:rPr>
            </w:pPr>
            <w:r w:rsidRPr="00DF2869">
              <w:t>50.4</w:t>
            </w:r>
          </w:p>
        </w:tc>
        <w:tc>
          <w:tcPr>
            <w:tcW w:w="1021" w:type="dxa"/>
            <w:tcBorders>
              <w:top w:val="single" w:sz="4" w:space="0" w:color="A6A6A6" w:themeColor="background1" w:themeShade="A6"/>
              <w:left w:val="nil"/>
            </w:tcBorders>
            <w:noWrap/>
          </w:tcPr>
          <w:p w14:paraId="1B8C631F" w14:textId="77777777" w:rsidR="005B131E" w:rsidRPr="00BA7805" w:rsidRDefault="005B131E" w:rsidP="002542E1">
            <w:pPr>
              <w:pStyle w:val="ARfintablebodyright"/>
              <w:spacing w:before="30"/>
              <w:rPr>
                <w:highlight w:val="green"/>
              </w:rPr>
            </w:pPr>
          </w:p>
        </w:tc>
      </w:tr>
      <w:tr w:rsidR="005B131E" w:rsidRPr="00BA7805" w14:paraId="78AF4AE4" w14:textId="77777777" w:rsidTr="002542E1">
        <w:tc>
          <w:tcPr>
            <w:tcW w:w="2263" w:type="dxa"/>
            <w:tcBorders>
              <w:right w:val="nil"/>
            </w:tcBorders>
          </w:tcPr>
          <w:p w14:paraId="2B578379" w14:textId="77777777" w:rsidR="005B131E" w:rsidRPr="00BA7805" w:rsidRDefault="005B131E" w:rsidP="002542E1">
            <w:pPr>
              <w:pStyle w:val="ARfintablebodybold"/>
              <w:spacing w:before="30"/>
              <w:rPr>
                <w:highlight w:val="green"/>
              </w:rPr>
            </w:pPr>
            <w:r w:rsidRPr="00DF2869">
              <w:t>Loss allowance</w:t>
            </w:r>
          </w:p>
        </w:tc>
        <w:tc>
          <w:tcPr>
            <w:tcW w:w="993" w:type="dxa"/>
            <w:tcBorders>
              <w:left w:val="nil"/>
              <w:right w:val="nil"/>
            </w:tcBorders>
            <w:noWrap/>
          </w:tcPr>
          <w:p w14:paraId="575B8F80" w14:textId="77777777" w:rsidR="005B131E" w:rsidRPr="00BA7805" w:rsidRDefault="005B131E" w:rsidP="002542E1">
            <w:pPr>
              <w:pStyle w:val="ARfintablebodyrightbold"/>
              <w:spacing w:before="30"/>
              <w:rPr>
                <w:highlight w:val="green"/>
              </w:rPr>
            </w:pPr>
          </w:p>
        </w:tc>
        <w:tc>
          <w:tcPr>
            <w:tcW w:w="1165" w:type="dxa"/>
            <w:tcBorders>
              <w:left w:val="nil"/>
              <w:right w:val="nil"/>
            </w:tcBorders>
            <w:noWrap/>
          </w:tcPr>
          <w:p w14:paraId="6E9CF378" w14:textId="77777777" w:rsidR="005B131E" w:rsidRPr="00BA7805" w:rsidRDefault="005B131E" w:rsidP="002542E1">
            <w:pPr>
              <w:pStyle w:val="ARfintablebodyrightbold"/>
              <w:spacing w:before="30"/>
              <w:rPr>
                <w:highlight w:val="green"/>
              </w:rPr>
            </w:pPr>
            <w:r>
              <w:t>–</w:t>
            </w:r>
          </w:p>
        </w:tc>
        <w:tc>
          <w:tcPr>
            <w:tcW w:w="1021" w:type="dxa"/>
            <w:tcBorders>
              <w:left w:val="nil"/>
              <w:right w:val="nil"/>
            </w:tcBorders>
            <w:shd w:val="clear" w:color="auto" w:fill="E7E6E6" w:themeFill="accent4"/>
            <w:noWrap/>
          </w:tcPr>
          <w:p w14:paraId="163537DC" w14:textId="77777777" w:rsidR="005B131E" w:rsidRPr="00BA7805" w:rsidRDefault="005B131E" w:rsidP="002542E1">
            <w:pPr>
              <w:pStyle w:val="ARfintablebodyrightbold"/>
              <w:spacing w:before="30"/>
              <w:rPr>
                <w:highlight w:val="green"/>
              </w:rPr>
            </w:pPr>
            <w:r w:rsidRPr="00DF2869">
              <w:t>0.6</w:t>
            </w:r>
          </w:p>
        </w:tc>
        <w:tc>
          <w:tcPr>
            <w:tcW w:w="1021" w:type="dxa"/>
            <w:tcBorders>
              <w:left w:val="nil"/>
              <w:right w:val="nil"/>
            </w:tcBorders>
            <w:shd w:val="clear" w:color="auto" w:fill="E7E6E6" w:themeFill="accent4"/>
            <w:noWrap/>
          </w:tcPr>
          <w:p w14:paraId="12ACB0BE" w14:textId="77777777" w:rsidR="005B131E" w:rsidRPr="00BA7805" w:rsidRDefault="005B131E" w:rsidP="002542E1">
            <w:pPr>
              <w:pStyle w:val="ARfintablebodyrightbold"/>
              <w:spacing w:before="30"/>
              <w:rPr>
                <w:highlight w:val="green"/>
              </w:rPr>
            </w:pPr>
            <w:r w:rsidRPr="00DF2869">
              <w:t>1.9</w:t>
            </w:r>
          </w:p>
        </w:tc>
        <w:tc>
          <w:tcPr>
            <w:tcW w:w="1134" w:type="dxa"/>
            <w:tcBorders>
              <w:left w:val="nil"/>
              <w:right w:val="nil"/>
            </w:tcBorders>
            <w:shd w:val="clear" w:color="auto" w:fill="E7E6E6" w:themeFill="accent4"/>
            <w:noWrap/>
          </w:tcPr>
          <w:p w14:paraId="060516E2" w14:textId="77777777" w:rsidR="005B131E" w:rsidRPr="00BA7805" w:rsidRDefault="005B131E" w:rsidP="002542E1">
            <w:pPr>
              <w:pStyle w:val="ARfintablebodyrightbold"/>
              <w:spacing w:before="30"/>
              <w:rPr>
                <w:highlight w:val="green"/>
              </w:rPr>
            </w:pPr>
            <w:r w:rsidRPr="00DF2869">
              <w:t>1.8</w:t>
            </w:r>
          </w:p>
        </w:tc>
        <w:tc>
          <w:tcPr>
            <w:tcW w:w="1021" w:type="dxa"/>
            <w:tcBorders>
              <w:left w:val="nil"/>
              <w:right w:val="nil"/>
            </w:tcBorders>
            <w:shd w:val="clear" w:color="auto" w:fill="E7E6E6" w:themeFill="accent4"/>
            <w:noWrap/>
          </w:tcPr>
          <w:p w14:paraId="0C4B95E0" w14:textId="77777777" w:rsidR="005B131E" w:rsidRPr="00BA7805" w:rsidRDefault="005B131E" w:rsidP="002542E1">
            <w:pPr>
              <w:pStyle w:val="ARfintablebodyrightbold"/>
              <w:spacing w:before="30"/>
              <w:rPr>
                <w:highlight w:val="green"/>
              </w:rPr>
            </w:pPr>
            <w:r w:rsidRPr="00DF2869">
              <w:t>2.8</w:t>
            </w:r>
          </w:p>
        </w:tc>
        <w:tc>
          <w:tcPr>
            <w:tcW w:w="1021" w:type="dxa"/>
            <w:tcBorders>
              <w:left w:val="nil"/>
            </w:tcBorders>
            <w:noWrap/>
          </w:tcPr>
          <w:p w14:paraId="4AC16793" w14:textId="77777777" w:rsidR="005B131E" w:rsidRPr="00BA7805" w:rsidRDefault="005B131E" w:rsidP="002542E1">
            <w:pPr>
              <w:pStyle w:val="ARfintablebodyrightbold"/>
              <w:spacing w:before="30"/>
              <w:rPr>
                <w:highlight w:val="green"/>
              </w:rPr>
            </w:pPr>
            <w:r w:rsidRPr="00DF2869">
              <w:t>7.1</w:t>
            </w:r>
          </w:p>
        </w:tc>
      </w:tr>
      <w:tr w:rsidR="005B131E" w:rsidRPr="00BA7805" w14:paraId="5A0FBD85" w14:textId="77777777" w:rsidTr="003D7AC8">
        <w:tc>
          <w:tcPr>
            <w:tcW w:w="9639" w:type="dxa"/>
            <w:gridSpan w:val="8"/>
            <w:tcBorders>
              <w:bottom w:val="single" w:sz="4" w:space="0" w:color="auto"/>
            </w:tcBorders>
          </w:tcPr>
          <w:p w14:paraId="77D8FA85" w14:textId="77777777" w:rsidR="005B131E" w:rsidRPr="00BA7805" w:rsidRDefault="005B131E">
            <w:pPr>
              <w:pStyle w:val="ARfintablebodybold"/>
              <w:spacing w:before="30"/>
              <w:rPr>
                <w:highlight w:val="green"/>
              </w:rPr>
            </w:pPr>
            <w:r w:rsidRPr="00FA6764">
              <w:t>2023</w:t>
            </w:r>
          </w:p>
        </w:tc>
      </w:tr>
      <w:tr w:rsidR="005B131E" w:rsidRPr="00BA7805" w14:paraId="469A4066" w14:textId="77777777" w:rsidTr="002542E1">
        <w:tc>
          <w:tcPr>
            <w:tcW w:w="2263" w:type="dxa"/>
            <w:tcBorders>
              <w:top w:val="single" w:sz="4" w:space="0" w:color="auto"/>
              <w:bottom w:val="single" w:sz="4" w:space="0" w:color="A6A6A6" w:themeColor="background1" w:themeShade="A6"/>
              <w:right w:val="nil"/>
            </w:tcBorders>
          </w:tcPr>
          <w:p w14:paraId="28E6853D" w14:textId="77777777" w:rsidR="005B131E" w:rsidRPr="00BA7805" w:rsidRDefault="005B131E" w:rsidP="002542E1">
            <w:pPr>
              <w:pStyle w:val="ARfintablebodybold"/>
              <w:spacing w:before="30"/>
              <w:rPr>
                <w:highlight w:val="green"/>
              </w:rPr>
            </w:pPr>
            <w:r w:rsidRPr="00F6752D">
              <w:t>Expected loss rate</w:t>
            </w:r>
          </w:p>
        </w:tc>
        <w:tc>
          <w:tcPr>
            <w:tcW w:w="993" w:type="dxa"/>
            <w:tcBorders>
              <w:top w:val="single" w:sz="4" w:space="0" w:color="auto"/>
              <w:left w:val="nil"/>
              <w:bottom w:val="single" w:sz="4" w:space="0" w:color="A6A6A6" w:themeColor="background1" w:themeShade="A6"/>
              <w:right w:val="nil"/>
            </w:tcBorders>
            <w:noWrap/>
          </w:tcPr>
          <w:p w14:paraId="2E923A8C" w14:textId="77777777" w:rsidR="005B131E" w:rsidRPr="00BA7805" w:rsidRDefault="005B131E" w:rsidP="002542E1">
            <w:pPr>
              <w:pStyle w:val="ARfintablebodyright"/>
              <w:spacing w:before="30"/>
              <w:rPr>
                <w:highlight w:val="green"/>
              </w:rPr>
            </w:pPr>
          </w:p>
        </w:tc>
        <w:tc>
          <w:tcPr>
            <w:tcW w:w="1165" w:type="dxa"/>
            <w:tcBorders>
              <w:top w:val="single" w:sz="4" w:space="0" w:color="auto"/>
              <w:left w:val="nil"/>
              <w:bottom w:val="single" w:sz="4" w:space="0" w:color="A6A6A6" w:themeColor="background1" w:themeShade="A6"/>
              <w:right w:val="nil"/>
            </w:tcBorders>
            <w:noWrap/>
          </w:tcPr>
          <w:p w14:paraId="3ADCC7FA" w14:textId="77777777" w:rsidR="005B131E" w:rsidRPr="00BA7805" w:rsidRDefault="005B131E" w:rsidP="002542E1">
            <w:pPr>
              <w:pStyle w:val="ARfintablebodyright"/>
              <w:spacing w:before="30"/>
              <w:rPr>
                <w:highlight w:val="green"/>
              </w:rPr>
            </w:pPr>
            <w:r w:rsidRPr="00F6752D">
              <w:t>0%</w:t>
            </w:r>
          </w:p>
        </w:tc>
        <w:tc>
          <w:tcPr>
            <w:tcW w:w="1021" w:type="dxa"/>
            <w:tcBorders>
              <w:top w:val="single" w:sz="4" w:space="0" w:color="auto"/>
              <w:left w:val="nil"/>
              <w:bottom w:val="single" w:sz="4" w:space="0" w:color="A6A6A6" w:themeColor="background1" w:themeShade="A6"/>
              <w:right w:val="nil"/>
            </w:tcBorders>
            <w:shd w:val="clear" w:color="auto" w:fill="E7E6E6" w:themeFill="accent4"/>
            <w:noWrap/>
          </w:tcPr>
          <w:p w14:paraId="42F0A7B9" w14:textId="77777777" w:rsidR="005B131E" w:rsidRPr="00BA7805" w:rsidRDefault="005B131E" w:rsidP="002542E1">
            <w:pPr>
              <w:pStyle w:val="ARfintablebodyright"/>
              <w:spacing w:before="30"/>
              <w:rPr>
                <w:highlight w:val="green"/>
              </w:rPr>
            </w:pPr>
            <w:r w:rsidRPr="00F6752D">
              <w:t>0%</w:t>
            </w:r>
          </w:p>
        </w:tc>
        <w:tc>
          <w:tcPr>
            <w:tcW w:w="1021" w:type="dxa"/>
            <w:tcBorders>
              <w:top w:val="single" w:sz="4" w:space="0" w:color="auto"/>
              <w:left w:val="nil"/>
              <w:bottom w:val="single" w:sz="4" w:space="0" w:color="A6A6A6" w:themeColor="background1" w:themeShade="A6"/>
              <w:right w:val="nil"/>
            </w:tcBorders>
            <w:shd w:val="clear" w:color="auto" w:fill="E7E6E6" w:themeFill="accent4"/>
            <w:noWrap/>
          </w:tcPr>
          <w:p w14:paraId="255F3F3F" w14:textId="77777777" w:rsidR="005B131E" w:rsidRPr="00BA7805" w:rsidRDefault="005B131E" w:rsidP="002542E1">
            <w:pPr>
              <w:pStyle w:val="ARfintablebodyright"/>
              <w:spacing w:before="30"/>
              <w:rPr>
                <w:highlight w:val="green"/>
              </w:rPr>
            </w:pPr>
            <w:r w:rsidRPr="00F6752D">
              <w:t>14%</w:t>
            </w:r>
          </w:p>
        </w:tc>
        <w:tc>
          <w:tcPr>
            <w:tcW w:w="1134" w:type="dxa"/>
            <w:tcBorders>
              <w:top w:val="single" w:sz="4" w:space="0" w:color="auto"/>
              <w:left w:val="nil"/>
              <w:bottom w:val="single" w:sz="4" w:space="0" w:color="A6A6A6" w:themeColor="background1" w:themeShade="A6"/>
              <w:right w:val="nil"/>
            </w:tcBorders>
            <w:shd w:val="clear" w:color="auto" w:fill="E7E6E6" w:themeFill="accent4"/>
            <w:noWrap/>
          </w:tcPr>
          <w:p w14:paraId="520A21F6" w14:textId="77777777" w:rsidR="005B131E" w:rsidRPr="00BA7805" w:rsidRDefault="005B131E" w:rsidP="002542E1">
            <w:pPr>
              <w:pStyle w:val="ARfintablebodyright"/>
              <w:spacing w:before="30"/>
              <w:rPr>
                <w:highlight w:val="green"/>
              </w:rPr>
            </w:pPr>
            <w:r w:rsidRPr="00F6752D">
              <w:t>62%</w:t>
            </w:r>
          </w:p>
        </w:tc>
        <w:tc>
          <w:tcPr>
            <w:tcW w:w="1021" w:type="dxa"/>
            <w:tcBorders>
              <w:top w:val="single" w:sz="4" w:space="0" w:color="auto"/>
              <w:left w:val="nil"/>
              <w:bottom w:val="single" w:sz="4" w:space="0" w:color="A6A6A6" w:themeColor="background1" w:themeShade="A6"/>
              <w:right w:val="nil"/>
            </w:tcBorders>
            <w:shd w:val="clear" w:color="auto" w:fill="E7E6E6" w:themeFill="accent4"/>
            <w:noWrap/>
          </w:tcPr>
          <w:p w14:paraId="69C5BE8B" w14:textId="77777777" w:rsidR="005B131E" w:rsidRPr="00BA7805" w:rsidRDefault="005B131E" w:rsidP="002542E1">
            <w:pPr>
              <w:pStyle w:val="ARfintablebodyright"/>
              <w:spacing w:before="30"/>
              <w:rPr>
                <w:highlight w:val="green"/>
              </w:rPr>
            </w:pPr>
            <w:r w:rsidRPr="00F6752D">
              <w:t>61%</w:t>
            </w:r>
          </w:p>
        </w:tc>
        <w:tc>
          <w:tcPr>
            <w:tcW w:w="1021" w:type="dxa"/>
            <w:tcBorders>
              <w:top w:val="single" w:sz="4" w:space="0" w:color="auto"/>
              <w:left w:val="nil"/>
              <w:bottom w:val="single" w:sz="4" w:space="0" w:color="A6A6A6" w:themeColor="background1" w:themeShade="A6"/>
            </w:tcBorders>
            <w:noWrap/>
          </w:tcPr>
          <w:p w14:paraId="622BD514" w14:textId="77777777" w:rsidR="005B131E" w:rsidRPr="00BA7805" w:rsidRDefault="005B131E" w:rsidP="002542E1">
            <w:pPr>
              <w:pStyle w:val="ARfintablebodyright"/>
              <w:spacing w:before="30"/>
              <w:rPr>
                <w:highlight w:val="green"/>
              </w:rPr>
            </w:pPr>
          </w:p>
        </w:tc>
      </w:tr>
      <w:tr w:rsidR="005B131E" w:rsidRPr="00BA7805" w14:paraId="1B188B09" w14:textId="77777777" w:rsidTr="002542E1">
        <w:tc>
          <w:tcPr>
            <w:tcW w:w="2263" w:type="dxa"/>
            <w:tcBorders>
              <w:top w:val="single" w:sz="4" w:space="0" w:color="A6A6A6" w:themeColor="background1" w:themeShade="A6"/>
              <w:right w:val="nil"/>
            </w:tcBorders>
          </w:tcPr>
          <w:p w14:paraId="26A5649E" w14:textId="77777777" w:rsidR="005B131E" w:rsidRPr="00BA7805" w:rsidRDefault="005B131E" w:rsidP="002542E1">
            <w:pPr>
              <w:pStyle w:val="ARfintablebody"/>
              <w:spacing w:before="30"/>
              <w:rPr>
                <w:highlight w:val="green"/>
              </w:rPr>
            </w:pPr>
            <w:r w:rsidRPr="00F6752D">
              <w:t>Gross carrying amount of contractual receivables</w:t>
            </w:r>
          </w:p>
        </w:tc>
        <w:tc>
          <w:tcPr>
            <w:tcW w:w="993" w:type="dxa"/>
            <w:tcBorders>
              <w:top w:val="single" w:sz="4" w:space="0" w:color="A6A6A6" w:themeColor="background1" w:themeShade="A6"/>
              <w:left w:val="nil"/>
              <w:right w:val="nil"/>
            </w:tcBorders>
            <w:noWrap/>
          </w:tcPr>
          <w:p w14:paraId="3211D9E4" w14:textId="77777777" w:rsidR="005B131E" w:rsidRPr="00BA7805" w:rsidRDefault="005B131E" w:rsidP="002542E1">
            <w:pPr>
              <w:pStyle w:val="ARfintablebodyright"/>
              <w:spacing w:before="30"/>
              <w:rPr>
                <w:highlight w:val="green"/>
              </w:rPr>
            </w:pPr>
            <w:r w:rsidRPr="00F6752D">
              <w:t>181.8</w:t>
            </w:r>
          </w:p>
        </w:tc>
        <w:tc>
          <w:tcPr>
            <w:tcW w:w="1165" w:type="dxa"/>
            <w:tcBorders>
              <w:top w:val="single" w:sz="4" w:space="0" w:color="A6A6A6" w:themeColor="background1" w:themeShade="A6"/>
              <w:left w:val="nil"/>
              <w:right w:val="nil"/>
            </w:tcBorders>
            <w:noWrap/>
          </w:tcPr>
          <w:p w14:paraId="71E0C728" w14:textId="77777777" w:rsidR="005B131E" w:rsidRPr="00BA7805" w:rsidRDefault="005B131E" w:rsidP="002542E1">
            <w:pPr>
              <w:pStyle w:val="ARfintablebodyright"/>
              <w:spacing w:before="30"/>
              <w:rPr>
                <w:highlight w:val="green"/>
              </w:rPr>
            </w:pPr>
            <w:r w:rsidRPr="00F6752D">
              <w:t>82.1</w:t>
            </w:r>
          </w:p>
        </w:tc>
        <w:tc>
          <w:tcPr>
            <w:tcW w:w="1021" w:type="dxa"/>
            <w:tcBorders>
              <w:top w:val="single" w:sz="4" w:space="0" w:color="A6A6A6" w:themeColor="background1" w:themeShade="A6"/>
              <w:left w:val="nil"/>
              <w:right w:val="nil"/>
            </w:tcBorders>
            <w:shd w:val="clear" w:color="auto" w:fill="E7E6E6" w:themeFill="accent4"/>
            <w:noWrap/>
          </w:tcPr>
          <w:p w14:paraId="574546BC" w14:textId="77777777" w:rsidR="005B131E" w:rsidRPr="00BA7805" w:rsidRDefault="005B131E" w:rsidP="002542E1">
            <w:pPr>
              <w:pStyle w:val="ARfintablebodyright"/>
              <w:spacing w:before="30"/>
              <w:rPr>
                <w:highlight w:val="green"/>
              </w:rPr>
            </w:pPr>
            <w:r w:rsidRPr="00F6752D">
              <w:t>61.8</w:t>
            </w:r>
          </w:p>
        </w:tc>
        <w:tc>
          <w:tcPr>
            <w:tcW w:w="1021" w:type="dxa"/>
            <w:tcBorders>
              <w:top w:val="single" w:sz="4" w:space="0" w:color="A6A6A6" w:themeColor="background1" w:themeShade="A6"/>
              <w:left w:val="nil"/>
              <w:right w:val="nil"/>
            </w:tcBorders>
            <w:shd w:val="clear" w:color="auto" w:fill="E7E6E6" w:themeFill="accent4"/>
            <w:noWrap/>
          </w:tcPr>
          <w:p w14:paraId="17B78838" w14:textId="77777777" w:rsidR="005B131E" w:rsidRPr="00BA7805" w:rsidRDefault="005B131E" w:rsidP="002542E1">
            <w:pPr>
              <w:pStyle w:val="ARfintablebodyright"/>
              <w:spacing w:before="30"/>
              <w:rPr>
                <w:highlight w:val="green"/>
              </w:rPr>
            </w:pPr>
            <w:r w:rsidRPr="00F6752D">
              <w:t>26.5</w:t>
            </w:r>
          </w:p>
        </w:tc>
        <w:tc>
          <w:tcPr>
            <w:tcW w:w="1134" w:type="dxa"/>
            <w:tcBorders>
              <w:top w:val="single" w:sz="4" w:space="0" w:color="A6A6A6" w:themeColor="background1" w:themeShade="A6"/>
              <w:left w:val="nil"/>
              <w:right w:val="nil"/>
            </w:tcBorders>
            <w:shd w:val="clear" w:color="auto" w:fill="E7E6E6" w:themeFill="accent4"/>
            <w:noWrap/>
          </w:tcPr>
          <w:p w14:paraId="76F191B9" w14:textId="77777777" w:rsidR="005B131E" w:rsidRPr="00BA7805" w:rsidRDefault="005B131E" w:rsidP="002542E1">
            <w:pPr>
              <w:pStyle w:val="ARfintablebodyright"/>
              <w:spacing w:before="30"/>
              <w:rPr>
                <w:highlight w:val="green"/>
              </w:rPr>
            </w:pPr>
            <w:r w:rsidRPr="00F6752D">
              <w:t>8.0</w:t>
            </w:r>
          </w:p>
        </w:tc>
        <w:tc>
          <w:tcPr>
            <w:tcW w:w="1021" w:type="dxa"/>
            <w:tcBorders>
              <w:top w:val="single" w:sz="4" w:space="0" w:color="A6A6A6" w:themeColor="background1" w:themeShade="A6"/>
              <w:left w:val="nil"/>
              <w:right w:val="nil"/>
            </w:tcBorders>
            <w:shd w:val="clear" w:color="auto" w:fill="E7E6E6" w:themeFill="accent4"/>
            <w:noWrap/>
          </w:tcPr>
          <w:p w14:paraId="2C706E0E" w14:textId="77777777" w:rsidR="005B131E" w:rsidRPr="00BA7805" w:rsidRDefault="005B131E" w:rsidP="002542E1">
            <w:pPr>
              <w:pStyle w:val="ARfintablebodyright"/>
              <w:spacing w:before="30"/>
              <w:rPr>
                <w:highlight w:val="green"/>
              </w:rPr>
            </w:pPr>
            <w:r w:rsidRPr="00F6752D">
              <w:t>3.3</w:t>
            </w:r>
          </w:p>
        </w:tc>
        <w:tc>
          <w:tcPr>
            <w:tcW w:w="1021" w:type="dxa"/>
            <w:tcBorders>
              <w:top w:val="single" w:sz="4" w:space="0" w:color="A6A6A6" w:themeColor="background1" w:themeShade="A6"/>
              <w:left w:val="nil"/>
            </w:tcBorders>
            <w:noWrap/>
          </w:tcPr>
          <w:p w14:paraId="703ACEB3" w14:textId="77777777" w:rsidR="005B131E" w:rsidRPr="00BA7805" w:rsidRDefault="005B131E" w:rsidP="002542E1">
            <w:pPr>
              <w:pStyle w:val="ARfintablebodyright"/>
              <w:spacing w:before="30"/>
              <w:rPr>
                <w:highlight w:val="green"/>
              </w:rPr>
            </w:pPr>
          </w:p>
        </w:tc>
      </w:tr>
      <w:tr w:rsidR="005B131E" w:rsidRPr="00BA7805" w14:paraId="6F6A1AE4" w14:textId="77777777" w:rsidTr="002542E1">
        <w:tc>
          <w:tcPr>
            <w:tcW w:w="2263" w:type="dxa"/>
            <w:tcBorders>
              <w:right w:val="nil"/>
            </w:tcBorders>
          </w:tcPr>
          <w:p w14:paraId="179AA23A" w14:textId="77777777" w:rsidR="005B131E" w:rsidRPr="00BA7805" w:rsidRDefault="005B131E" w:rsidP="002542E1">
            <w:pPr>
              <w:pStyle w:val="ARfintablebodybold"/>
              <w:spacing w:before="30"/>
              <w:rPr>
                <w:highlight w:val="green"/>
              </w:rPr>
            </w:pPr>
            <w:r w:rsidRPr="00F6752D">
              <w:t>Loss allowance</w:t>
            </w:r>
          </w:p>
        </w:tc>
        <w:tc>
          <w:tcPr>
            <w:tcW w:w="993" w:type="dxa"/>
            <w:tcBorders>
              <w:left w:val="nil"/>
              <w:right w:val="nil"/>
            </w:tcBorders>
            <w:noWrap/>
          </w:tcPr>
          <w:p w14:paraId="224E4943" w14:textId="77777777" w:rsidR="005B131E" w:rsidRPr="00BA7805" w:rsidRDefault="005B131E" w:rsidP="002542E1">
            <w:pPr>
              <w:pStyle w:val="ARfintablebodyrightbold"/>
              <w:spacing w:before="30"/>
              <w:rPr>
                <w:highlight w:val="green"/>
              </w:rPr>
            </w:pPr>
          </w:p>
        </w:tc>
        <w:tc>
          <w:tcPr>
            <w:tcW w:w="1165" w:type="dxa"/>
            <w:tcBorders>
              <w:left w:val="nil"/>
              <w:right w:val="nil"/>
            </w:tcBorders>
            <w:noWrap/>
          </w:tcPr>
          <w:p w14:paraId="305D600A" w14:textId="77777777" w:rsidR="005B131E" w:rsidRPr="00BA7805" w:rsidRDefault="005B131E" w:rsidP="002542E1">
            <w:pPr>
              <w:pStyle w:val="ARfintablebodyrightbold"/>
              <w:spacing w:before="30"/>
              <w:rPr>
                <w:highlight w:val="green"/>
              </w:rPr>
            </w:pPr>
            <w:r>
              <w:t>–</w:t>
            </w:r>
          </w:p>
        </w:tc>
        <w:tc>
          <w:tcPr>
            <w:tcW w:w="1021" w:type="dxa"/>
            <w:tcBorders>
              <w:left w:val="nil"/>
              <w:right w:val="nil"/>
            </w:tcBorders>
            <w:shd w:val="clear" w:color="auto" w:fill="E7E6E6" w:themeFill="accent4"/>
            <w:noWrap/>
          </w:tcPr>
          <w:p w14:paraId="093A2B2A" w14:textId="77777777" w:rsidR="005B131E" w:rsidRPr="00BA7805" w:rsidRDefault="005B131E" w:rsidP="002542E1">
            <w:pPr>
              <w:pStyle w:val="ARfintablebodyrightbold"/>
              <w:spacing w:before="30"/>
              <w:rPr>
                <w:highlight w:val="green"/>
              </w:rPr>
            </w:pPr>
            <w:r>
              <w:t>–</w:t>
            </w:r>
          </w:p>
        </w:tc>
        <w:tc>
          <w:tcPr>
            <w:tcW w:w="1021" w:type="dxa"/>
            <w:tcBorders>
              <w:left w:val="nil"/>
              <w:right w:val="nil"/>
            </w:tcBorders>
            <w:shd w:val="clear" w:color="auto" w:fill="E7E6E6" w:themeFill="accent4"/>
            <w:noWrap/>
          </w:tcPr>
          <w:p w14:paraId="1796A155" w14:textId="77777777" w:rsidR="005B131E" w:rsidRPr="00BA7805" w:rsidRDefault="005B131E" w:rsidP="002542E1">
            <w:pPr>
              <w:pStyle w:val="ARfintablebodyrightbold"/>
              <w:spacing w:before="30"/>
              <w:rPr>
                <w:highlight w:val="green"/>
              </w:rPr>
            </w:pPr>
            <w:r w:rsidRPr="00F6752D">
              <w:t>3.6</w:t>
            </w:r>
          </w:p>
        </w:tc>
        <w:tc>
          <w:tcPr>
            <w:tcW w:w="1134" w:type="dxa"/>
            <w:tcBorders>
              <w:left w:val="nil"/>
              <w:right w:val="nil"/>
            </w:tcBorders>
            <w:shd w:val="clear" w:color="auto" w:fill="E7E6E6" w:themeFill="accent4"/>
            <w:noWrap/>
          </w:tcPr>
          <w:p w14:paraId="08B800C4" w14:textId="77777777" w:rsidR="005B131E" w:rsidRPr="00BA7805" w:rsidRDefault="005B131E" w:rsidP="002542E1">
            <w:pPr>
              <w:pStyle w:val="ARfintablebodyrightbold"/>
              <w:spacing w:before="30"/>
              <w:rPr>
                <w:highlight w:val="green"/>
              </w:rPr>
            </w:pPr>
            <w:r w:rsidRPr="00F6752D">
              <w:t>5.0</w:t>
            </w:r>
          </w:p>
        </w:tc>
        <w:tc>
          <w:tcPr>
            <w:tcW w:w="1021" w:type="dxa"/>
            <w:tcBorders>
              <w:left w:val="nil"/>
              <w:right w:val="nil"/>
            </w:tcBorders>
            <w:shd w:val="clear" w:color="auto" w:fill="E7E6E6" w:themeFill="accent4"/>
            <w:noWrap/>
          </w:tcPr>
          <w:p w14:paraId="16020C3D" w14:textId="77777777" w:rsidR="005B131E" w:rsidRPr="00BA7805" w:rsidRDefault="005B131E" w:rsidP="002542E1">
            <w:pPr>
              <w:pStyle w:val="ARfintablebodyrightbold"/>
              <w:spacing w:before="30"/>
              <w:rPr>
                <w:highlight w:val="green"/>
              </w:rPr>
            </w:pPr>
            <w:r w:rsidRPr="00F6752D">
              <w:t>2.0</w:t>
            </w:r>
          </w:p>
        </w:tc>
        <w:tc>
          <w:tcPr>
            <w:tcW w:w="1021" w:type="dxa"/>
            <w:tcBorders>
              <w:left w:val="nil"/>
            </w:tcBorders>
            <w:noWrap/>
          </w:tcPr>
          <w:p w14:paraId="679C3A01" w14:textId="77777777" w:rsidR="005B131E" w:rsidRPr="00BA7805" w:rsidRDefault="005B131E" w:rsidP="002542E1">
            <w:pPr>
              <w:pStyle w:val="ARfintablebodyrightbold"/>
              <w:spacing w:before="30"/>
              <w:rPr>
                <w:highlight w:val="green"/>
              </w:rPr>
            </w:pPr>
            <w:r w:rsidRPr="00F6752D">
              <w:t>10.6</w:t>
            </w:r>
          </w:p>
        </w:tc>
      </w:tr>
    </w:tbl>
    <w:p w14:paraId="5496978F" w14:textId="77777777" w:rsidR="005B131E" w:rsidRPr="00D676EA" w:rsidRDefault="005B131E">
      <w:pPr>
        <w:pStyle w:val="ARfintablefootnote"/>
        <w:rPr>
          <w:lang w:eastAsia="en-AU"/>
        </w:rPr>
      </w:pPr>
      <w:r w:rsidRPr="00D676EA">
        <w:rPr>
          <w:lang w:eastAsia="en-AU"/>
        </w:rPr>
        <w:t>Note:</w:t>
      </w:r>
    </w:p>
    <w:p w14:paraId="3041372C" w14:textId="77777777" w:rsidR="005B131E" w:rsidRDefault="005B131E" w:rsidP="002542E1">
      <w:pPr>
        <w:pStyle w:val="ARfintablefootnotetabindent"/>
      </w:pPr>
      <w:r>
        <w:t xml:space="preserve">(i) </w:t>
      </w:r>
      <w:r>
        <w:tab/>
        <w:t>The amounts disclosed here include repayments of borrowings that are not scheduled to be repaid in the next 12 months.</w:t>
      </w:r>
    </w:p>
    <w:p w14:paraId="50EE4DE1" w14:textId="77777777" w:rsidR="005B131E" w:rsidRDefault="005B131E" w:rsidP="002542E1">
      <w:pPr>
        <w:pStyle w:val="ARfinbodyaftertable"/>
      </w:pPr>
      <w:r>
        <w:t>The average credit period for receivables is 30 days.</w:t>
      </w:r>
    </w:p>
    <w:p w14:paraId="612E81BC" w14:textId="77777777" w:rsidR="005B131E" w:rsidRDefault="005B131E" w:rsidP="002542E1">
      <w:pPr>
        <w:pStyle w:val="ARfinbodylargespace"/>
        <w:rPr>
          <w:highlight w:val="green"/>
        </w:rPr>
      </w:pPr>
      <w:r>
        <w:t>Reconciliation of movement in the loss allowance for contractual receivables is shown as follows: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09D71242"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5033F0B2" w14:textId="77777777" w:rsidR="005B131E" w:rsidRPr="00BA7805" w:rsidRDefault="005B131E">
            <w:pPr>
              <w:pStyle w:val="ARfintablecolhead"/>
              <w:rPr>
                <w:highlight w:val="green"/>
              </w:rPr>
            </w:pPr>
          </w:p>
        </w:tc>
        <w:tc>
          <w:tcPr>
            <w:tcW w:w="1361" w:type="dxa"/>
            <w:shd w:val="clear" w:color="auto" w:fill="E7E6E6" w:themeFill="accent4"/>
            <w:hideMark/>
          </w:tcPr>
          <w:p w14:paraId="73A5CFFA" w14:textId="77777777" w:rsidR="005B131E" w:rsidRPr="001C5F4E" w:rsidRDefault="005B131E">
            <w:pPr>
              <w:pStyle w:val="ARfintablecolheadright"/>
            </w:pPr>
            <w:r w:rsidRPr="001C5F4E">
              <w:t>2024</w:t>
            </w:r>
          </w:p>
          <w:p w14:paraId="3B289891" w14:textId="77777777" w:rsidR="005B131E" w:rsidRPr="001C5F4E" w:rsidRDefault="005B131E">
            <w:pPr>
              <w:pStyle w:val="ARfintablecolheadright"/>
            </w:pPr>
            <w:r w:rsidRPr="001C5F4E">
              <w:t>$M</w:t>
            </w:r>
          </w:p>
        </w:tc>
        <w:tc>
          <w:tcPr>
            <w:tcW w:w="1361" w:type="dxa"/>
            <w:hideMark/>
          </w:tcPr>
          <w:p w14:paraId="1F71B823" w14:textId="77777777" w:rsidR="005B131E" w:rsidRPr="001C5F4E" w:rsidRDefault="005B131E">
            <w:pPr>
              <w:pStyle w:val="ARfintablecolheadright"/>
            </w:pPr>
            <w:r w:rsidRPr="001C5F4E">
              <w:t>2023</w:t>
            </w:r>
          </w:p>
          <w:p w14:paraId="68B1D8CD" w14:textId="77777777" w:rsidR="005B131E" w:rsidRPr="001C5F4E" w:rsidRDefault="005B131E">
            <w:pPr>
              <w:pStyle w:val="ARfintablecolheadright"/>
            </w:pPr>
            <w:r w:rsidRPr="001C5F4E">
              <w:t>$M</w:t>
            </w:r>
          </w:p>
        </w:tc>
      </w:tr>
      <w:tr w:rsidR="005B131E" w:rsidRPr="00BA7805" w14:paraId="5EA3171F" w14:textId="77777777" w:rsidTr="002542E1">
        <w:tc>
          <w:tcPr>
            <w:tcW w:w="6915" w:type="dxa"/>
          </w:tcPr>
          <w:p w14:paraId="1AE42307" w14:textId="77777777" w:rsidR="005B131E" w:rsidRPr="00BA7805" w:rsidRDefault="005B131E" w:rsidP="002542E1">
            <w:pPr>
              <w:pStyle w:val="ARfintablebodybold"/>
              <w:rPr>
                <w:highlight w:val="green"/>
              </w:rPr>
            </w:pPr>
            <w:r w:rsidRPr="00790496">
              <w:t>Balance at beginning of the year</w:t>
            </w:r>
          </w:p>
        </w:tc>
        <w:tc>
          <w:tcPr>
            <w:tcW w:w="1361" w:type="dxa"/>
            <w:shd w:val="clear" w:color="auto" w:fill="E7E6E6" w:themeFill="accent4"/>
            <w:noWrap/>
          </w:tcPr>
          <w:p w14:paraId="3D208E19" w14:textId="77777777" w:rsidR="005B131E" w:rsidRPr="00BA7805" w:rsidRDefault="005B131E" w:rsidP="002542E1">
            <w:pPr>
              <w:pStyle w:val="ARfintablebodyrightbold"/>
              <w:rPr>
                <w:highlight w:val="green"/>
              </w:rPr>
            </w:pPr>
            <w:r w:rsidRPr="00790496">
              <w:t>(10.7)</w:t>
            </w:r>
          </w:p>
        </w:tc>
        <w:tc>
          <w:tcPr>
            <w:tcW w:w="1361" w:type="dxa"/>
            <w:noWrap/>
          </w:tcPr>
          <w:p w14:paraId="24F824A8" w14:textId="77777777" w:rsidR="005B131E" w:rsidRPr="00BA7805" w:rsidRDefault="005B131E" w:rsidP="002542E1">
            <w:pPr>
              <w:pStyle w:val="ARfintablebodyrightbold"/>
              <w:rPr>
                <w:highlight w:val="green"/>
              </w:rPr>
            </w:pPr>
            <w:r w:rsidRPr="00790496">
              <w:t>(20.0)</w:t>
            </w:r>
          </w:p>
        </w:tc>
      </w:tr>
      <w:tr w:rsidR="005B131E" w:rsidRPr="00BA7805" w14:paraId="6B42E774" w14:textId="77777777" w:rsidTr="002542E1">
        <w:tc>
          <w:tcPr>
            <w:tcW w:w="6915" w:type="dxa"/>
          </w:tcPr>
          <w:p w14:paraId="31BAF527" w14:textId="77777777" w:rsidR="005B131E" w:rsidRPr="00BA7805" w:rsidRDefault="005B131E" w:rsidP="002542E1">
            <w:pPr>
              <w:pStyle w:val="ARfintablebodybold"/>
              <w:rPr>
                <w:highlight w:val="green"/>
              </w:rPr>
            </w:pPr>
            <w:r w:rsidRPr="00790496">
              <w:t>Opening loss allowance</w:t>
            </w:r>
          </w:p>
        </w:tc>
        <w:tc>
          <w:tcPr>
            <w:tcW w:w="1361" w:type="dxa"/>
            <w:shd w:val="clear" w:color="auto" w:fill="E7E6E6" w:themeFill="accent4"/>
            <w:noWrap/>
          </w:tcPr>
          <w:p w14:paraId="6C5B9A6E" w14:textId="77777777" w:rsidR="005B131E" w:rsidRPr="00BA7805" w:rsidRDefault="005B131E" w:rsidP="002542E1">
            <w:pPr>
              <w:pStyle w:val="ARfintablebodyrightbold"/>
              <w:rPr>
                <w:highlight w:val="green"/>
              </w:rPr>
            </w:pPr>
            <w:r w:rsidRPr="00790496">
              <w:t>(10.7)</w:t>
            </w:r>
          </w:p>
        </w:tc>
        <w:tc>
          <w:tcPr>
            <w:tcW w:w="1361" w:type="dxa"/>
            <w:noWrap/>
          </w:tcPr>
          <w:p w14:paraId="11404FD2" w14:textId="77777777" w:rsidR="005B131E" w:rsidRPr="00BA7805" w:rsidRDefault="005B131E" w:rsidP="002542E1">
            <w:pPr>
              <w:pStyle w:val="ARfintablebodyrightbold"/>
              <w:rPr>
                <w:highlight w:val="green"/>
              </w:rPr>
            </w:pPr>
            <w:r w:rsidRPr="00790496">
              <w:t>(20.0)</w:t>
            </w:r>
          </w:p>
        </w:tc>
      </w:tr>
      <w:tr w:rsidR="005B131E" w:rsidRPr="00BA7805" w14:paraId="117B7ED7" w14:textId="77777777" w:rsidTr="002542E1">
        <w:tc>
          <w:tcPr>
            <w:tcW w:w="6915" w:type="dxa"/>
            <w:tcBorders>
              <w:top w:val="single" w:sz="4" w:space="0" w:color="auto"/>
              <w:bottom w:val="single" w:sz="4" w:space="0" w:color="A6A6A6"/>
            </w:tcBorders>
          </w:tcPr>
          <w:p w14:paraId="00B647E1" w14:textId="77777777" w:rsidR="005B131E" w:rsidRPr="00BA7805" w:rsidRDefault="005B131E" w:rsidP="002542E1">
            <w:pPr>
              <w:pStyle w:val="ARfintablebody"/>
              <w:rPr>
                <w:highlight w:val="green"/>
              </w:rPr>
            </w:pPr>
            <w:r w:rsidRPr="00790496">
              <w:t>Decrease/(increase) in provision recognised in the net result</w:t>
            </w:r>
          </w:p>
        </w:tc>
        <w:tc>
          <w:tcPr>
            <w:tcW w:w="1361" w:type="dxa"/>
            <w:tcBorders>
              <w:top w:val="single" w:sz="4" w:space="0" w:color="auto"/>
              <w:bottom w:val="single" w:sz="4" w:space="0" w:color="A6A6A6"/>
            </w:tcBorders>
            <w:shd w:val="clear" w:color="auto" w:fill="E7E6E6" w:themeFill="accent4"/>
            <w:noWrap/>
          </w:tcPr>
          <w:p w14:paraId="6BF0243B" w14:textId="77777777" w:rsidR="005B131E" w:rsidRPr="00BA7805" w:rsidRDefault="005B131E" w:rsidP="002542E1">
            <w:pPr>
              <w:pStyle w:val="ARfintablebodyright"/>
              <w:rPr>
                <w:highlight w:val="green"/>
              </w:rPr>
            </w:pPr>
            <w:r w:rsidRPr="00790496">
              <w:t>(1.1)</w:t>
            </w:r>
          </w:p>
        </w:tc>
        <w:tc>
          <w:tcPr>
            <w:tcW w:w="1361" w:type="dxa"/>
            <w:tcBorders>
              <w:top w:val="single" w:sz="4" w:space="0" w:color="auto"/>
              <w:bottom w:val="single" w:sz="4" w:space="0" w:color="A6A6A6"/>
            </w:tcBorders>
            <w:noWrap/>
          </w:tcPr>
          <w:p w14:paraId="76AACCB0" w14:textId="77777777" w:rsidR="005B131E" w:rsidRPr="00BA7805" w:rsidRDefault="005B131E" w:rsidP="002542E1">
            <w:pPr>
              <w:pStyle w:val="ARfintablebodyright"/>
              <w:rPr>
                <w:highlight w:val="green"/>
              </w:rPr>
            </w:pPr>
            <w:r w:rsidRPr="00790496">
              <w:t>5.0</w:t>
            </w:r>
          </w:p>
        </w:tc>
      </w:tr>
      <w:tr w:rsidR="005B131E" w:rsidRPr="00BA7805" w14:paraId="7D81BD92" w14:textId="77777777" w:rsidTr="002542E1">
        <w:tc>
          <w:tcPr>
            <w:tcW w:w="6915" w:type="dxa"/>
            <w:tcBorders>
              <w:top w:val="single" w:sz="4" w:space="0" w:color="A6A6A6"/>
            </w:tcBorders>
          </w:tcPr>
          <w:p w14:paraId="49BDBE2B" w14:textId="77777777" w:rsidR="005B131E" w:rsidRPr="00BA7805" w:rsidRDefault="005B131E" w:rsidP="002542E1">
            <w:pPr>
              <w:pStyle w:val="ARfintablebody"/>
              <w:rPr>
                <w:highlight w:val="green"/>
              </w:rPr>
            </w:pPr>
            <w:r w:rsidRPr="00790496">
              <w:t>Reversal of provision of receivables written off during the year as uncollectible</w:t>
            </w:r>
          </w:p>
        </w:tc>
        <w:tc>
          <w:tcPr>
            <w:tcW w:w="1361" w:type="dxa"/>
            <w:tcBorders>
              <w:top w:val="single" w:sz="4" w:space="0" w:color="A6A6A6"/>
            </w:tcBorders>
            <w:shd w:val="clear" w:color="auto" w:fill="E7E6E6" w:themeFill="accent4"/>
            <w:noWrap/>
          </w:tcPr>
          <w:p w14:paraId="0F355D14" w14:textId="77777777" w:rsidR="005B131E" w:rsidRPr="00BA7805" w:rsidRDefault="005B131E" w:rsidP="002542E1">
            <w:pPr>
              <w:pStyle w:val="ARfintablebodyright"/>
              <w:rPr>
                <w:highlight w:val="green"/>
              </w:rPr>
            </w:pPr>
            <w:r w:rsidRPr="00790496">
              <w:t>4.6</w:t>
            </w:r>
          </w:p>
        </w:tc>
        <w:tc>
          <w:tcPr>
            <w:tcW w:w="1361" w:type="dxa"/>
            <w:tcBorders>
              <w:top w:val="single" w:sz="4" w:space="0" w:color="A6A6A6"/>
            </w:tcBorders>
            <w:noWrap/>
          </w:tcPr>
          <w:p w14:paraId="0D40797F" w14:textId="77777777" w:rsidR="005B131E" w:rsidRPr="00BA7805" w:rsidRDefault="005B131E" w:rsidP="002542E1">
            <w:pPr>
              <w:pStyle w:val="ARfintablebodyright"/>
              <w:rPr>
                <w:highlight w:val="green"/>
              </w:rPr>
            </w:pPr>
            <w:r w:rsidRPr="00790496">
              <w:t>4.3</w:t>
            </w:r>
          </w:p>
        </w:tc>
      </w:tr>
      <w:tr w:rsidR="005B131E" w:rsidRPr="00BA7805" w14:paraId="485F7E8C" w14:textId="77777777" w:rsidTr="002542E1">
        <w:tc>
          <w:tcPr>
            <w:tcW w:w="6915" w:type="dxa"/>
          </w:tcPr>
          <w:p w14:paraId="75529255" w14:textId="77777777" w:rsidR="005B131E" w:rsidRPr="00BA7805" w:rsidRDefault="005B131E" w:rsidP="002542E1">
            <w:pPr>
              <w:pStyle w:val="ARfintablebodybold"/>
              <w:rPr>
                <w:highlight w:val="green"/>
              </w:rPr>
            </w:pPr>
            <w:r w:rsidRPr="00790496">
              <w:t>Balance at the end of the year</w:t>
            </w:r>
          </w:p>
        </w:tc>
        <w:tc>
          <w:tcPr>
            <w:tcW w:w="1361" w:type="dxa"/>
            <w:shd w:val="clear" w:color="auto" w:fill="E7E6E6" w:themeFill="accent4"/>
            <w:noWrap/>
          </w:tcPr>
          <w:p w14:paraId="7BC4B04D" w14:textId="77777777" w:rsidR="005B131E" w:rsidRPr="00BA7805" w:rsidRDefault="005B131E" w:rsidP="002542E1">
            <w:pPr>
              <w:pStyle w:val="ARfintablebodyrightbold"/>
              <w:rPr>
                <w:highlight w:val="green"/>
              </w:rPr>
            </w:pPr>
            <w:r w:rsidRPr="00790496">
              <w:t>(7.1)</w:t>
            </w:r>
          </w:p>
        </w:tc>
        <w:tc>
          <w:tcPr>
            <w:tcW w:w="1361" w:type="dxa"/>
            <w:noWrap/>
          </w:tcPr>
          <w:p w14:paraId="43AC69B1" w14:textId="77777777" w:rsidR="005B131E" w:rsidRPr="00BA7805" w:rsidRDefault="005B131E" w:rsidP="002542E1">
            <w:pPr>
              <w:pStyle w:val="ARfintablebodyrightbold"/>
              <w:rPr>
                <w:highlight w:val="green"/>
              </w:rPr>
            </w:pPr>
            <w:r w:rsidRPr="00790496">
              <w:t>(10.7)</w:t>
            </w:r>
          </w:p>
        </w:tc>
      </w:tr>
    </w:tbl>
    <w:p w14:paraId="12869322" w14:textId="77777777" w:rsidR="005B131E" w:rsidRDefault="005B131E" w:rsidP="002542E1">
      <w:pPr>
        <w:pStyle w:val="ARfinbodyaftertable"/>
      </w:pPr>
      <w:r>
        <w:t>Credit loss allowance is classified as other economic flows in the net result. Contractual receivables are written off when there is no reasonable expectation of recovery and impairment losses are classified as a transaction expense. Subsequent recoveries of amounts previously written off are credited against the same line item.</w:t>
      </w:r>
    </w:p>
    <w:p w14:paraId="4FC743C3" w14:textId="77777777" w:rsidR="005B131E" w:rsidRDefault="005B131E" w:rsidP="002542E1">
      <w:pPr>
        <w:pStyle w:val="Heading7"/>
      </w:pPr>
      <w:r>
        <w:t>Statutory receivables at amortised cost</w:t>
      </w:r>
    </w:p>
    <w:p w14:paraId="2A7F6376" w14:textId="280B2042" w:rsidR="005B131E" w:rsidRDefault="005B131E" w:rsidP="002542E1">
      <w:pPr>
        <w:pStyle w:val="ARfinbody"/>
      </w:pPr>
      <w:r>
        <w:t>The department</w:t>
      </w:r>
      <w:r w:rsidR="00711AE6">
        <w:t>’</w:t>
      </w:r>
      <w:r>
        <w:t>s non-contractual receivables arising from statutory requirements are not financial instruments. However, they are nevertheless recognised and measured in accordance with AASB 9 requirements as if those receivables are financial instruments.</w:t>
      </w:r>
    </w:p>
    <w:p w14:paraId="7417749D" w14:textId="4DE15293" w:rsidR="005B131E" w:rsidRDefault="005B131E" w:rsidP="002542E1">
      <w:pPr>
        <w:pStyle w:val="ARfinbody"/>
      </w:pPr>
      <w:r>
        <w:t>Statutory receivables are considered to have low credit risk, taking into account the counterparty</w:t>
      </w:r>
      <w:r w:rsidR="00711AE6">
        <w:t>’</w:t>
      </w:r>
      <w:r>
        <w:t>s credit rating, risk</w:t>
      </w:r>
      <w:r w:rsidR="00120540">
        <w:t> </w:t>
      </w:r>
      <w:r>
        <w:t>of default and capacity to meet contractual cash flow obligations in the near term. As a result, the loss allowance recognised for these financial assets during the period was limited to 12 months expected losses. No loss allowance has been recognised.</w:t>
      </w:r>
    </w:p>
    <w:p w14:paraId="42E1A791" w14:textId="77777777" w:rsidR="005B131E" w:rsidRDefault="005B131E" w:rsidP="002542E1">
      <w:pPr>
        <w:pStyle w:val="ARbody"/>
        <w:rPr>
          <w:rFonts w:eastAsiaTheme="minorEastAsia" w:cs="ArialMT"/>
          <w:color w:val="000000"/>
          <w:sz w:val="18"/>
          <w:szCs w:val="16"/>
          <w:lang w:eastAsia="en-AU"/>
        </w:rPr>
      </w:pPr>
      <w:r>
        <w:br w:type="page"/>
      </w:r>
    </w:p>
    <w:p w14:paraId="65E63B51" w14:textId="77777777" w:rsidR="005B131E" w:rsidRDefault="005B131E" w:rsidP="002542E1">
      <w:pPr>
        <w:pStyle w:val="Heading6"/>
      </w:pPr>
      <w:r>
        <w:t>8.1.3.2 Financial instruments: liquidity risk</w:t>
      </w:r>
    </w:p>
    <w:p w14:paraId="4C7E83DE" w14:textId="5829BFFF" w:rsidR="005B131E" w:rsidRDefault="005B131E" w:rsidP="002542E1">
      <w:pPr>
        <w:pStyle w:val="ARfinbody"/>
      </w:pPr>
      <w:r>
        <w:t>Liquidity risk arises from being unable to meet financial obligations as they fall due. The department operates under the government</w:t>
      </w:r>
      <w:r w:rsidR="00711AE6">
        <w:t>’</w:t>
      </w:r>
      <w:r>
        <w:t xml:space="preserve">s fair payments policy of settling financial obligations within 30 days and, in the event of a dispute, of making payments within 30 days from the date of resolution. </w:t>
      </w:r>
    </w:p>
    <w:p w14:paraId="2C95B5A4" w14:textId="77777777" w:rsidR="005B131E" w:rsidRDefault="005B131E" w:rsidP="002542E1">
      <w:pPr>
        <w:pStyle w:val="ARfinbody"/>
      </w:pPr>
      <w:r>
        <w:t>The department is exposed to liquidity risk mainly through the financial liabilities as disclosed in the face of the balance sheet and the amounts related to financial guarantees. The department manages its liquidity risk by:</w:t>
      </w:r>
    </w:p>
    <w:p w14:paraId="06660DD4" w14:textId="77777777" w:rsidR="005B131E" w:rsidRDefault="005B131E" w:rsidP="002542E1">
      <w:pPr>
        <w:pStyle w:val="ARfinbullet1"/>
      </w:pPr>
      <w:r>
        <w:t>close monitoring of its short-term and long-term borrowings by senior management, including monthly reviews on current and future borrowing levels and requirements</w:t>
      </w:r>
    </w:p>
    <w:p w14:paraId="142D28CD" w14:textId="77777777" w:rsidR="005B131E" w:rsidRDefault="005B131E" w:rsidP="002542E1">
      <w:pPr>
        <w:pStyle w:val="ARfinbullet1"/>
      </w:pPr>
      <w:r>
        <w:t xml:space="preserve">maintaining an adequate level of uncommitted funds that can be drawn at short notice to meet its </w:t>
      </w:r>
      <w:r>
        <w:br/>
        <w:t>short-term obligations</w:t>
      </w:r>
    </w:p>
    <w:p w14:paraId="23830F73" w14:textId="77777777" w:rsidR="005B131E" w:rsidRDefault="005B131E" w:rsidP="002542E1">
      <w:pPr>
        <w:pStyle w:val="ARfinbullet1"/>
      </w:pPr>
      <w:r>
        <w:t>holding investments and other contractual financial assets that are readily tradeable in the financial markets</w:t>
      </w:r>
    </w:p>
    <w:p w14:paraId="75F4737C" w14:textId="77777777" w:rsidR="005B131E" w:rsidRDefault="005B131E" w:rsidP="002542E1">
      <w:pPr>
        <w:pStyle w:val="ARfinbullet1"/>
      </w:pPr>
      <w:r>
        <w:t>careful maturity planning of its financial obligations based on forecasts of future cash flows</w:t>
      </w:r>
    </w:p>
    <w:p w14:paraId="3DFF4B8A" w14:textId="1D6B5A45" w:rsidR="005B131E" w:rsidRDefault="005B131E" w:rsidP="002542E1">
      <w:pPr>
        <w:pStyle w:val="ARfinbullet1"/>
      </w:pPr>
      <w:r>
        <w:t>a high credit rating for the State of Victoria (Moody</w:t>
      </w:r>
      <w:r w:rsidR="00711AE6">
        <w:t>’</w:t>
      </w:r>
      <w:r>
        <w:t>s Investor Services, Standard &amp; Poor</w:t>
      </w:r>
      <w:r w:rsidR="00711AE6">
        <w:t>’</w:t>
      </w:r>
      <w:r>
        <w:t>s double-A, which assists in accessing debt market at a lower interest rate).</w:t>
      </w:r>
    </w:p>
    <w:p w14:paraId="0601D1C4" w14:textId="61081786" w:rsidR="005B131E" w:rsidRDefault="005B131E" w:rsidP="002542E1">
      <w:pPr>
        <w:pStyle w:val="ARfinbody"/>
      </w:pPr>
      <w:r>
        <w:t>The department</w:t>
      </w:r>
      <w:r w:rsidR="00711AE6">
        <w:t>’</w:t>
      </w:r>
      <w:r>
        <w:t>s exposure to liquidity risk is deemed insignificant based on prior periods</w:t>
      </w:r>
      <w:r w:rsidR="00711AE6">
        <w:t>’</w:t>
      </w:r>
      <w:r>
        <w:t xml:space="preserve"> data and current assessment of risk.</w:t>
      </w:r>
    </w:p>
    <w:p w14:paraId="0ED8FD82" w14:textId="0E7B6A7E" w:rsidR="005B131E" w:rsidRDefault="005B131E" w:rsidP="002542E1">
      <w:pPr>
        <w:pStyle w:val="ARfinbody"/>
      </w:pPr>
      <w:r>
        <w:t>The carrying amount detailed in Notes 6.3.1 and 7.2, of contractual financial liabilities recorded in the financial statements, represents the department</w:t>
      </w:r>
      <w:r w:rsidR="00711AE6">
        <w:t>’</w:t>
      </w:r>
      <w:r>
        <w:t>s maximum exposure to liquidity risk.</w:t>
      </w:r>
    </w:p>
    <w:p w14:paraId="35822BA2" w14:textId="77777777" w:rsidR="005B131E" w:rsidRDefault="005B131E" w:rsidP="002542E1">
      <w:pPr>
        <w:pStyle w:val="Heading6"/>
      </w:pPr>
      <w:r>
        <w:t>8.1.3.3 Financial instruments: market risk</w:t>
      </w:r>
    </w:p>
    <w:p w14:paraId="5DD0C3A9" w14:textId="36297731" w:rsidR="005B131E" w:rsidRDefault="005B131E" w:rsidP="002542E1">
      <w:pPr>
        <w:pStyle w:val="ARfinbody"/>
      </w:pPr>
      <w:r>
        <w:t>The department</w:t>
      </w:r>
      <w:r w:rsidR="00711AE6">
        <w:t>’</w:t>
      </w:r>
      <w:r>
        <w:t>s exposure to market risk is primarily through interest rate risk. The department</w:t>
      </w:r>
      <w:r w:rsidR="00711AE6">
        <w:t>’</w:t>
      </w:r>
      <w:r>
        <w:t>s exposure to other price risks is insignificant. Objectives, policies and processes used to manage the risk are disclosed below.</w:t>
      </w:r>
    </w:p>
    <w:p w14:paraId="2CEF141F" w14:textId="77777777" w:rsidR="005B131E" w:rsidRDefault="005B131E" w:rsidP="002542E1">
      <w:pPr>
        <w:pStyle w:val="Heading7"/>
      </w:pPr>
      <w:r>
        <w:t>Sensitivity disclosure analysis and assumptions</w:t>
      </w:r>
    </w:p>
    <w:p w14:paraId="6AE3A80D" w14:textId="7CA5B00A" w:rsidR="005B131E" w:rsidRDefault="005B131E" w:rsidP="002542E1">
      <w:pPr>
        <w:pStyle w:val="ARfinbody"/>
      </w:pPr>
      <w:r>
        <w:t>Taking into account past performance, future expectations, economic forecasts, and management</w:t>
      </w:r>
      <w:r w:rsidR="00711AE6">
        <w:t>’</w:t>
      </w:r>
      <w:r>
        <w:t xml:space="preserve">s knowledge and experience of the financial markets, the department believes the following movements are </w:t>
      </w:r>
      <w:r w:rsidR="00711AE6">
        <w:t>‘</w:t>
      </w:r>
      <w:r>
        <w:t>reasonably possible</w:t>
      </w:r>
      <w:r w:rsidR="00711AE6">
        <w:t>’</w:t>
      </w:r>
      <w:r>
        <w:t xml:space="preserve"> over the next 12 months: </w:t>
      </w:r>
    </w:p>
    <w:p w14:paraId="3AB2DCCE" w14:textId="77777777" w:rsidR="005B131E" w:rsidRDefault="005B131E" w:rsidP="002542E1">
      <w:pPr>
        <w:pStyle w:val="ARfinbullet1"/>
      </w:pPr>
      <w:r>
        <w:t>A shift of +1.0% and -0.5% (</w:t>
      </w:r>
      <w:r w:rsidRPr="00BB5122">
        <w:t>2023</w:t>
      </w:r>
      <w:r>
        <w:t>: +1.0% and -0.5%) in market interest rates (AUD) from year-end cash deposits.</w:t>
      </w:r>
    </w:p>
    <w:p w14:paraId="7ACD9BD5" w14:textId="77777777" w:rsidR="005B131E" w:rsidRDefault="005B131E" w:rsidP="002542E1">
      <w:pPr>
        <w:pStyle w:val="ARfinbody"/>
      </w:pPr>
      <w:r>
        <w:t>Several loan programs have loans with interest rates linked to movement in the consumer price index (CPI). The total balances outstanding under these programs have reduced to a level that any changes to the CPI have a limited impact on the amount of interest charged and no new lending is made under these programs.</w:t>
      </w:r>
    </w:p>
    <w:p w14:paraId="3CE021C8" w14:textId="7B5F6A10" w:rsidR="005B131E" w:rsidRDefault="005B131E" w:rsidP="002542E1">
      <w:pPr>
        <w:pStyle w:val="ARfinbody"/>
      </w:pPr>
      <w:r>
        <w:t>The tables that follow show the impact on the department</w:t>
      </w:r>
      <w:r w:rsidR="00711AE6">
        <w:t>’</w:t>
      </w:r>
      <w:r>
        <w:t>s net result and equity for each category of financial instrument held by the department at the end of the reporting period, if the above movements were to occur.</w:t>
      </w:r>
    </w:p>
    <w:p w14:paraId="7D7CC29B" w14:textId="77777777" w:rsidR="005B131E" w:rsidRDefault="005B131E" w:rsidP="002542E1">
      <w:pPr>
        <w:pStyle w:val="Heading7"/>
      </w:pPr>
      <w:r>
        <w:t>Interest rate risk</w:t>
      </w:r>
    </w:p>
    <w:p w14:paraId="3642A30E" w14:textId="77777777" w:rsidR="005B131E" w:rsidRDefault="005B131E" w:rsidP="002542E1">
      <w:pPr>
        <w:pStyle w:val="ARfinbody"/>
      </w:pPr>
      <w:r>
        <w:t>Fair value interest rate risk is the risk that the fair value of a financial instrument will fluctuate because of changes in market interest rates. The department does not hold any interest-bearing financial instruments that are measured at fair value, and therefore has no exposure to fair value interest rate risk.</w:t>
      </w:r>
    </w:p>
    <w:p w14:paraId="3576158C" w14:textId="77777777" w:rsidR="005B131E" w:rsidRDefault="005B131E" w:rsidP="002542E1">
      <w:pPr>
        <w:pStyle w:val="ARfinbody"/>
      </w:pPr>
      <w:r>
        <w:t>Cash flow interest rate risk is the risk that the future cash flows of a financial instrument will fluctuate because of changes in market interest rates. The department has minimal exposure to cash flow interest rate risks through cash and deposits and short-term deposits.</w:t>
      </w:r>
    </w:p>
    <w:p w14:paraId="0E255DF3" w14:textId="1674E086" w:rsidR="005B131E" w:rsidRDefault="005B131E" w:rsidP="002542E1">
      <w:pPr>
        <w:pStyle w:val="ARfinbody"/>
      </w:pPr>
      <w:r>
        <w:t>Exposure to interest rate risk is insignificant and might arise primarily through the department</w:t>
      </w:r>
      <w:r w:rsidR="00711AE6">
        <w:t>’</w:t>
      </w:r>
      <w:r>
        <w:t>s interest-bearing assets. Minimisation of risk is achieved by mainly undertaking fixed rate or non-interest-bearing financial instruments. For financial liabilities, the department mainly incurs financial liabilities with relatively even maturity profiles.</w:t>
      </w:r>
    </w:p>
    <w:p w14:paraId="4A91EEB2" w14:textId="77777777" w:rsidR="005B131E" w:rsidRPr="007C6B61" w:rsidRDefault="005B131E" w:rsidP="002542E1">
      <w:pPr>
        <w:pStyle w:val="ARbody"/>
      </w:pPr>
      <w:r w:rsidRPr="007C6B61">
        <w:br w:type="page"/>
      </w:r>
    </w:p>
    <w:p w14:paraId="5B7EFE13" w14:textId="1CD64023" w:rsidR="005B131E" w:rsidRPr="00B5467B" w:rsidRDefault="005B131E" w:rsidP="002542E1">
      <w:pPr>
        <w:pStyle w:val="ARfinbodylargespace"/>
        <w:rPr>
          <w:highlight w:val="green"/>
        </w:rPr>
      </w:pPr>
      <w:r>
        <w:t>The carrying amounts of financial assets and financial liabilities that are exposed to interest rates and the department</w:t>
      </w:r>
      <w:r w:rsidR="00711AE6">
        <w:t>’</w:t>
      </w:r>
      <w:r>
        <w:t>s sensitivity to interest rate risk are set out in the table that follows.</w:t>
      </w:r>
    </w:p>
    <w:p w14:paraId="31E60FD2" w14:textId="77777777" w:rsidR="005B131E" w:rsidRPr="00BB5122" w:rsidRDefault="005B131E">
      <w:pPr>
        <w:pStyle w:val="Heading7"/>
      </w:pPr>
      <w:r w:rsidRPr="00BB5122">
        <w:t>Interest rate exposure of financial instruments</w:t>
      </w: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5B131E" w:rsidRPr="00BA7805" w14:paraId="056C4350"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61F9BADC" w14:textId="77777777" w:rsidR="005B131E" w:rsidRPr="00BA7805" w:rsidRDefault="005B131E">
            <w:pPr>
              <w:pStyle w:val="ARfintablecolhead"/>
              <w:rPr>
                <w:highlight w:val="green"/>
              </w:rPr>
            </w:pPr>
          </w:p>
        </w:tc>
        <w:tc>
          <w:tcPr>
            <w:tcW w:w="1134" w:type="dxa"/>
            <w:vMerge w:val="restart"/>
            <w:hideMark/>
          </w:tcPr>
          <w:p w14:paraId="44828661" w14:textId="77777777" w:rsidR="005B131E" w:rsidRPr="00BB5122" w:rsidRDefault="005B131E">
            <w:pPr>
              <w:pStyle w:val="ARfintablecolheadright"/>
            </w:pPr>
            <w:r w:rsidRPr="00BB5122">
              <w:t>Weighted average effective interest rate</w:t>
            </w:r>
          </w:p>
          <w:p w14:paraId="5E6A05C3" w14:textId="77777777" w:rsidR="005B131E" w:rsidRPr="00BB5122" w:rsidRDefault="005B131E">
            <w:pPr>
              <w:pStyle w:val="ARfintablecolheadright"/>
            </w:pPr>
            <w:r w:rsidRPr="00BB5122">
              <w:t>(%)</w:t>
            </w:r>
          </w:p>
        </w:tc>
        <w:tc>
          <w:tcPr>
            <w:tcW w:w="1134" w:type="dxa"/>
            <w:vMerge w:val="restart"/>
            <w:hideMark/>
          </w:tcPr>
          <w:p w14:paraId="246BF178" w14:textId="77777777" w:rsidR="005B131E" w:rsidRPr="00BB5122" w:rsidRDefault="005B131E">
            <w:pPr>
              <w:pStyle w:val="ARfintablecolheadright"/>
            </w:pPr>
            <w:r w:rsidRPr="00BB5122">
              <w:t>Carrying amount</w:t>
            </w:r>
          </w:p>
          <w:p w14:paraId="5C1B4416" w14:textId="77777777" w:rsidR="005B131E" w:rsidRPr="00BB5122" w:rsidRDefault="005B131E">
            <w:pPr>
              <w:pStyle w:val="ARfintablecolheadright"/>
            </w:pPr>
            <w:r w:rsidRPr="00BB5122">
              <w:t>$M</w:t>
            </w:r>
          </w:p>
        </w:tc>
        <w:tc>
          <w:tcPr>
            <w:tcW w:w="3402" w:type="dxa"/>
            <w:gridSpan w:val="3"/>
            <w:shd w:val="clear" w:color="auto" w:fill="E7E6E6" w:themeFill="accent4"/>
            <w:hideMark/>
          </w:tcPr>
          <w:p w14:paraId="1D0FE260" w14:textId="77777777" w:rsidR="005B131E" w:rsidRPr="00BB5122" w:rsidRDefault="005B131E">
            <w:pPr>
              <w:pStyle w:val="ARfintablecolheadright"/>
              <w:jc w:val="center"/>
            </w:pPr>
            <w:r w:rsidRPr="00BB5122">
              <w:t>Interest rate exposure</w:t>
            </w:r>
          </w:p>
        </w:tc>
      </w:tr>
      <w:tr w:rsidR="005B131E" w:rsidRPr="00BA7805" w14:paraId="1117844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255EFDA6" w14:textId="77777777" w:rsidR="005B131E" w:rsidRPr="00BA7805" w:rsidRDefault="005B131E">
            <w:pPr>
              <w:pStyle w:val="ARfintablecolhead"/>
              <w:rPr>
                <w:highlight w:val="green"/>
              </w:rPr>
            </w:pPr>
          </w:p>
        </w:tc>
        <w:tc>
          <w:tcPr>
            <w:tcW w:w="1134" w:type="dxa"/>
            <w:vMerge/>
            <w:hideMark/>
          </w:tcPr>
          <w:p w14:paraId="48359BE0" w14:textId="77777777" w:rsidR="005B131E" w:rsidRPr="00BB5122" w:rsidRDefault="005B131E">
            <w:pPr>
              <w:pStyle w:val="ARfintablecolheadright"/>
            </w:pPr>
          </w:p>
        </w:tc>
        <w:tc>
          <w:tcPr>
            <w:tcW w:w="1134" w:type="dxa"/>
            <w:vMerge/>
            <w:hideMark/>
          </w:tcPr>
          <w:p w14:paraId="4BA9C0A8" w14:textId="77777777" w:rsidR="005B131E" w:rsidRPr="00BB5122" w:rsidRDefault="005B131E">
            <w:pPr>
              <w:pStyle w:val="ARfintablecolheadright"/>
            </w:pPr>
          </w:p>
        </w:tc>
        <w:tc>
          <w:tcPr>
            <w:tcW w:w="1134" w:type="dxa"/>
            <w:shd w:val="clear" w:color="auto" w:fill="E7E6E6" w:themeFill="accent4"/>
            <w:hideMark/>
          </w:tcPr>
          <w:p w14:paraId="4A50D688" w14:textId="77777777" w:rsidR="005B131E" w:rsidRPr="00BB5122" w:rsidRDefault="005B131E">
            <w:pPr>
              <w:pStyle w:val="ARfintablecolheadright"/>
            </w:pPr>
            <w:r w:rsidRPr="00BB5122">
              <w:t>Fixed interest rate</w:t>
            </w:r>
          </w:p>
          <w:p w14:paraId="1A42EFA8" w14:textId="77777777" w:rsidR="005B131E" w:rsidRPr="00BB5122" w:rsidRDefault="005B131E">
            <w:pPr>
              <w:pStyle w:val="ARfintablecolheadright"/>
            </w:pPr>
            <w:r w:rsidRPr="00BB5122">
              <w:t>$M</w:t>
            </w:r>
          </w:p>
        </w:tc>
        <w:tc>
          <w:tcPr>
            <w:tcW w:w="1134" w:type="dxa"/>
            <w:shd w:val="clear" w:color="auto" w:fill="E7E6E6" w:themeFill="accent4"/>
            <w:hideMark/>
          </w:tcPr>
          <w:p w14:paraId="14F0C81D" w14:textId="77777777" w:rsidR="005B131E" w:rsidRPr="00BB5122" w:rsidRDefault="005B131E">
            <w:pPr>
              <w:pStyle w:val="ARfintablecolheadright"/>
            </w:pPr>
            <w:r w:rsidRPr="00BB5122">
              <w:t>Variable interest rate</w:t>
            </w:r>
          </w:p>
          <w:p w14:paraId="7439D055" w14:textId="77777777" w:rsidR="005B131E" w:rsidRPr="00BB5122" w:rsidRDefault="005B131E">
            <w:pPr>
              <w:pStyle w:val="ARfintablecolheadright"/>
            </w:pPr>
            <w:r w:rsidRPr="00BB5122">
              <w:t>$M</w:t>
            </w:r>
          </w:p>
        </w:tc>
        <w:tc>
          <w:tcPr>
            <w:tcW w:w="1134" w:type="dxa"/>
            <w:shd w:val="clear" w:color="auto" w:fill="E7E6E6" w:themeFill="accent4"/>
            <w:hideMark/>
          </w:tcPr>
          <w:p w14:paraId="68FA37E0" w14:textId="77777777" w:rsidR="005B131E" w:rsidRPr="00BB5122" w:rsidRDefault="005B131E">
            <w:pPr>
              <w:pStyle w:val="ARfintablecolheadright"/>
            </w:pPr>
            <w:r w:rsidRPr="00BB5122">
              <w:t>Non-interest bearing</w:t>
            </w:r>
          </w:p>
          <w:p w14:paraId="623E74E6" w14:textId="77777777" w:rsidR="005B131E" w:rsidRPr="00BB5122" w:rsidRDefault="005B131E">
            <w:pPr>
              <w:pStyle w:val="ARfintablecolheadright"/>
            </w:pPr>
            <w:r w:rsidRPr="00BB5122">
              <w:t>$M</w:t>
            </w:r>
          </w:p>
        </w:tc>
      </w:tr>
      <w:tr w:rsidR="005B131E" w:rsidRPr="00BA7805" w14:paraId="5B029A6A" w14:textId="77777777" w:rsidTr="002542E1">
        <w:tc>
          <w:tcPr>
            <w:tcW w:w="9639" w:type="dxa"/>
            <w:gridSpan w:val="6"/>
            <w:tcBorders>
              <w:bottom w:val="single" w:sz="4" w:space="0" w:color="auto"/>
            </w:tcBorders>
            <w:shd w:val="clear" w:color="auto" w:fill="auto"/>
            <w:hideMark/>
          </w:tcPr>
          <w:p w14:paraId="4E3B7BA0" w14:textId="77777777" w:rsidR="005B131E" w:rsidRPr="00BB5122" w:rsidRDefault="005B131E">
            <w:pPr>
              <w:pStyle w:val="ARfintablebodybold"/>
            </w:pPr>
            <w:r w:rsidRPr="00BB5122">
              <w:t>2024</w:t>
            </w:r>
          </w:p>
        </w:tc>
      </w:tr>
      <w:tr w:rsidR="005B131E" w:rsidRPr="00BA7805" w14:paraId="02DE3397" w14:textId="77777777" w:rsidTr="002542E1">
        <w:tc>
          <w:tcPr>
            <w:tcW w:w="9639" w:type="dxa"/>
            <w:gridSpan w:val="6"/>
            <w:tcBorders>
              <w:top w:val="single" w:sz="4" w:space="0" w:color="auto"/>
              <w:bottom w:val="single" w:sz="4" w:space="0" w:color="A6A6A6"/>
            </w:tcBorders>
            <w:shd w:val="clear" w:color="auto" w:fill="auto"/>
            <w:hideMark/>
          </w:tcPr>
          <w:p w14:paraId="0DEAC6ED" w14:textId="77777777" w:rsidR="005B131E" w:rsidRPr="00BB5122" w:rsidRDefault="005B131E">
            <w:pPr>
              <w:pStyle w:val="ARfintablebodybold"/>
            </w:pPr>
            <w:r w:rsidRPr="00BB5122">
              <w:t>Financial assets</w:t>
            </w:r>
          </w:p>
        </w:tc>
      </w:tr>
      <w:tr w:rsidR="005B131E" w:rsidRPr="00BA7805" w14:paraId="3F97365E" w14:textId="77777777" w:rsidTr="002542E1">
        <w:tc>
          <w:tcPr>
            <w:tcW w:w="3969" w:type="dxa"/>
            <w:tcBorders>
              <w:top w:val="single" w:sz="4" w:space="0" w:color="A6A6A6"/>
              <w:bottom w:val="single" w:sz="4" w:space="0" w:color="A6A6A6"/>
            </w:tcBorders>
          </w:tcPr>
          <w:p w14:paraId="216DD1E4" w14:textId="77777777" w:rsidR="005B131E" w:rsidRPr="00BA7805" w:rsidRDefault="005B131E" w:rsidP="002542E1">
            <w:pPr>
              <w:pStyle w:val="ARfintablebody"/>
              <w:rPr>
                <w:highlight w:val="green"/>
              </w:rPr>
            </w:pPr>
            <w:r w:rsidRPr="00363E4B">
              <w:t>Cash and deposits</w:t>
            </w:r>
          </w:p>
        </w:tc>
        <w:tc>
          <w:tcPr>
            <w:tcW w:w="1134" w:type="dxa"/>
            <w:tcBorders>
              <w:top w:val="single" w:sz="4" w:space="0" w:color="A6A6A6"/>
              <w:bottom w:val="single" w:sz="4" w:space="0" w:color="A6A6A6"/>
            </w:tcBorders>
            <w:noWrap/>
          </w:tcPr>
          <w:p w14:paraId="0D19EDDA" w14:textId="77777777" w:rsidR="005B131E" w:rsidRPr="00BA7805" w:rsidRDefault="005B131E" w:rsidP="002542E1">
            <w:pPr>
              <w:pStyle w:val="ARfintablebodyright"/>
              <w:rPr>
                <w:highlight w:val="green"/>
              </w:rPr>
            </w:pPr>
            <w:r w:rsidRPr="00363E4B">
              <w:t>3.3%</w:t>
            </w:r>
          </w:p>
        </w:tc>
        <w:tc>
          <w:tcPr>
            <w:tcW w:w="1134" w:type="dxa"/>
            <w:tcBorders>
              <w:top w:val="single" w:sz="4" w:space="0" w:color="A6A6A6"/>
              <w:bottom w:val="single" w:sz="4" w:space="0" w:color="A6A6A6"/>
            </w:tcBorders>
            <w:noWrap/>
          </w:tcPr>
          <w:p w14:paraId="36C67C64" w14:textId="77777777" w:rsidR="005B131E" w:rsidRPr="00BA7805" w:rsidRDefault="005B131E" w:rsidP="002542E1">
            <w:pPr>
              <w:pStyle w:val="ARfintablebodyright"/>
              <w:rPr>
                <w:highlight w:val="green"/>
              </w:rPr>
            </w:pPr>
            <w:r w:rsidRPr="00363E4B">
              <w:t>600.5</w:t>
            </w:r>
          </w:p>
        </w:tc>
        <w:tc>
          <w:tcPr>
            <w:tcW w:w="1134" w:type="dxa"/>
            <w:tcBorders>
              <w:top w:val="single" w:sz="4" w:space="0" w:color="A6A6A6"/>
              <w:bottom w:val="single" w:sz="4" w:space="0" w:color="A6A6A6"/>
            </w:tcBorders>
            <w:shd w:val="clear" w:color="auto" w:fill="E7E6E6" w:themeFill="accent4"/>
            <w:noWrap/>
          </w:tcPr>
          <w:p w14:paraId="779EEB01"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26AA8E09" w14:textId="77777777" w:rsidR="005B131E" w:rsidRPr="00BA7805" w:rsidRDefault="005B131E" w:rsidP="002542E1">
            <w:pPr>
              <w:pStyle w:val="ARfintablebodyright"/>
              <w:rPr>
                <w:highlight w:val="green"/>
              </w:rPr>
            </w:pPr>
            <w:r w:rsidRPr="00363E4B">
              <w:t>545.8</w:t>
            </w:r>
          </w:p>
        </w:tc>
        <w:tc>
          <w:tcPr>
            <w:tcW w:w="1134" w:type="dxa"/>
            <w:tcBorders>
              <w:top w:val="single" w:sz="4" w:space="0" w:color="A6A6A6"/>
              <w:bottom w:val="single" w:sz="4" w:space="0" w:color="A6A6A6"/>
            </w:tcBorders>
            <w:shd w:val="clear" w:color="auto" w:fill="E7E6E6" w:themeFill="accent4"/>
            <w:noWrap/>
          </w:tcPr>
          <w:p w14:paraId="7817AEBB" w14:textId="77777777" w:rsidR="005B131E" w:rsidRPr="00BA7805" w:rsidRDefault="005B131E" w:rsidP="002542E1">
            <w:pPr>
              <w:pStyle w:val="ARfintablebodyright"/>
              <w:rPr>
                <w:highlight w:val="green"/>
              </w:rPr>
            </w:pPr>
            <w:r w:rsidRPr="00363E4B">
              <w:t>54.7</w:t>
            </w:r>
          </w:p>
        </w:tc>
      </w:tr>
      <w:tr w:rsidR="005B131E" w:rsidRPr="00BA7805" w14:paraId="4BD96682" w14:textId="77777777" w:rsidTr="002542E1">
        <w:tc>
          <w:tcPr>
            <w:tcW w:w="3969" w:type="dxa"/>
            <w:tcBorders>
              <w:top w:val="single" w:sz="4" w:space="0" w:color="A6A6A6"/>
              <w:bottom w:val="single" w:sz="4" w:space="0" w:color="A6A6A6"/>
            </w:tcBorders>
          </w:tcPr>
          <w:p w14:paraId="270D867F" w14:textId="77777777" w:rsidR="005B131E" w:rsidRPr="00BA7805" w:rsidRDefault="005B131E" w:rsidP="002542E1">
            <w:pPr>
              <w:pStyle w:val="ARfintablebody"/>
              <w:rPr>
                <w:highlight w:val="green"/>
              </w:rPr>
            </w:pPr>
            <w:r w:rsidRPr="00363E4B">
              <w:t xml:space="preserve">Receivables </w:t>
            </w:r>
            <w:r w:rsidRPr="001E0D04">
              <w:rPr>
                <w:vertAlign w:val="superscript"/>
              </w:rPr>
              <w:t>(i)</w:t>
            </w:r>
          </w:p>
        </w:tc>
        <w:tc>
          <w:tcPr>
            <w:tcW w:w="1134" w:type="dxa"/>
            <w:tcBorders>
              <w:top w:val="single" w:sz="4" w:space="0" w:color="A6A6A6"/>
              <w:bottom w:val="single" w:sz="4" w:space="0" w:color="A6A6A6"/>
            </w:tcBorders>
            <w:noWrap/>
          </w:tcPr>
          <w:p w14:paraId="4CED8184" w14:textId="77777777" w:rsidR="005B131E" w:rsidRPr="00BA7805" w:rsidRDefault="005B131E" w:rsidP="002542E1">
            <w:pPr>
              <w:pStyle w:val="ARfintablebodyright"/>
              <w:rPr>
                <w:highlight w:val="green"/>
              </w:rPr>
            </w:pPr>
          </w:p>
        </w:tc>
        <w:tc>
          <w:tcPr>
            <w:tcW w:w="1134" w:type="dxa"/>
            <w:tcBorders>
              <w:top w:val="single" w:sz="4" w:space="0" w:color="A6A6A6"/>
              <w:bottom w:val="single" w:sz="4" w:space="0" w:color="A6A6A6"/>
            </w:tcBorders>
            <w:noWrap/>
          </w:tcPr>
          <w:p w14:paraId="4E8E7474" w14:textId="77777777" w:rsidR="005B131E" w:rsidRPr="00BA7805" w:rsidRDefault="005B131E" w:rsidP="002542E1">
            <w:pPr>
              <w:pStyle w:val="ARfintablebodyright"/>
              <w:rPr>
                <w:highlight w:val="green"/>
              </w:rPr>
            </w:pPr>
            <w:r w:rsidRPr="00363E4B">
              <w:t>436.2</w:t>
            </w:r>
          </w:p>
        </w:tc>
        <w:tc>
          <w:tcPr>
            <w:tcW w:w="1134" w:type="dxa"/>
            <w:tcBorders>
              <w:top w:val="single" w:sz="4" w:space="0" w:color="A6A6A6"/>
              <w:bottom w:val="single" w:sz="4" w:space="0" w:color="A6A6A6"/>
            </w:tcBorders>
            <w:shd w:val="clear" w:color="auto" w:fill="E7E6E6" w:themeFill="accent4"/>
            <w:noWrap/>
          </w:tcPr>
          <w:p w14:paraId="4A165544"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55D1E459"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70321195" w14:textId="77777777" w:rsidR="005B131E" w:rsidRPr="00BA7805" w:rsidRDefault="005B131E" w:rsidP="002542E1">
            <w:pPr>
              <w:pStyle w:val="ARfintablebodyright"/>
              <w:rPr>
                <w:highlight w:val="green"/>
              </w:rPr>
            </w:pPr>
            <w:r w:rsidRPr="00363E4B">
              <w:t>436.2</w:t>
            </w:r>
          </w:p>
        </w:tc>
      </w:tr>
      <w:tr w:rsidR="005B131E" w:rsidRPr="00BA7805" w14:paraId="7C59F20F" w14:textId="77777777" w:rsidTr="002542E1">
        <w:tc>
          <w:tcPr>
            <w:tcW w:w="3969" w:type="dxa"/>
            <w:tcBorders>
              <w:top w:val="single" w:sz="4" w:space="0" w:color="A6A6A6"/>
            </w:tcBorders>
          </w:tcPr>
          <w:p w14:paraId="6E3E59EC" w14:textId="77777777" w:rsidR="005B131E" w:rsidRPr="00BA7805" w:rsidRDefault="005B131E" w:rsidP="002542E1">
            <w:pPr>
              <w:pStyle w:val="ARfintablebody"/>
              <w:rPr>
                <w:highlight w:val="green"/>
              </w:rPr>
            </w:pPr>
            <w:r w:rsidRPr="00363E4B">
              <w:t xml:space="preserve">Loans </w:t>
            </w:r>
          </w:p>
        </w:tc>
        <w:tc>
          <w:tcPr>
            <w:tcW w:w="1134" w:type="dxa"/>
            <w:tcBorders>
              <w:top w:val="single" w:sz="4" w:space="0" w:color="A6A6A6"/>
            </w:tcBorders>
            <w:noWrap/>
          </w:tcPr>
          <w:p w14:paraId="690CA4A0" w14:textId="77777777" w:rsidR="005B131E" w:rsidRPr="00BA7805" w:rsidRDefault="005B131E" w:rsidP="002542E1">
            <w:pPr>
              <w:pStyle w:val="ARfintablebodyright"/>
              <w:rPr>
                <w:highlight w:val="green"/>
              </w:rPr>
            </w:pPr>
            <w:r w:rsidRPr="00363E4B">
              <w:t>2.2%</w:t>
            </w:r>
          </w:p>
        </w:tc>
        <w:tc>
          <w:tcPr>
            <w:tcW w:w="1134" w:type="dxa"/>
            <w:tcBorders>
              <w:top w:val="single" w:sz="4" w:space="0" w:color="A6A6A6"/>
            </w:tcBorders>
            <w:noWrap/>
          </w:tcPr>
          <w:p w14:paraId="25146B90" w14:textId="77777777" w:rsidR="005B131E" w:rsidRPr="00BA7805" w:rsidRDefault="005B131E" w:rsidP="002542E1">
            <w:pPr>
              <w:pStyle w:val="ARfintablebodyright"/>
              <w:rPr>
                <w:highlight w:val="green"/>
              </w:rPr>
            </w:pPr>
            <w:r w:rsidRPr="00363E4B">
              <w:t>28.2</w:t>
            </w:r>
          </w:p>
        </w:tc>
        <w:tc>
          <w:tcPr>
            <w:tcW w:w="1134" w:type="dxa"/>
            <w:tcBorders>
              <w:top w:val="single" w:sz="4" w:space="0" w:color="A6A6A6"/>
            </w:tcBorders>
            <w:shd w:val="clear" w:color="auto" w:fill="E7E6E6" w:themeFill="accent4"/>
            <w:noWrap/>
          </w:tcPr>
          <w:p w14:paraId="1B6F3A32" w14:textId="77777777" w:rsidR="005B131E" w:rsidRPr="00BA7805" w:rsidRDefault="005B131E" w:rsidP="002542E1">
            <w:pPr>
              <w:pStyle w:val="ARfintablebodyright"/>
              <w:rPr>
                <w:highlight w:val="green"/>
              </w:rPr>
            </w:pPr>
            <w:r w:rsidRPr="00363E4B">
              <w:t>0.9</w:t>
            </w:r>
          </w:p>
        </w:tc>
        <w:tc>
          <w:tcPr>
            <w:tcW w:w="1134" w:type="dxa"/>
            <w:tcBorders>
              <w:top w:val="single" w:sz="4" w:space="0" w:color="A6A6A6"/>
            </w:tcBorders>
            <w:shd w:val="clear" w:color="auto" w:fill="E7E6E6" w:themeFill="accent4"/>
            <w:noWrap/>
          </w:tcPr>
          <w:p w14:paraId="15186390" w14:textId="77777777" w:rsidR="005B131E" w:rsidRPr="00BA7805" w:rsidRDefault="005B131E" w:rsidP="002542E1">
            <w:pPr>
              <w:pStyle w:val="ARfintablebodyright"/>
              <w:rPr>
                <w:highlight w:val="green"/>
              </w:rPr>
            </w:pPr>
            <w:r w:rsidRPr="00363E4B">
              <w:t>7.3</w:t>
            </w:r>
          </w:p>
        </w:tc>
        <w:tc>
          <w:tcPr>
            <w:tcW w:w="1134" w:type="dxa"/>
            <w:tcBorders>
              <w:top w:val="single" w:sz="4" w:space="0" w:color="A6A6A6"/>
            </w:tcBorders>
            <w:shd w:val="clear" w:color="auto" w:fill="E7E6E6" w:themeFill="accent4"/>
            <w:noWrap/>
          </w:tcPr>
          <w:p w14:paraId="63B04528" w14:textId="77777777" w:rsidR="005B131E" w:rsidRPr="00BA7805" w:rsidRDefault="005B131E" w:rsidP="002542E1">
            <w:pPr>
              <w:pStyle w:val="ARfintablebodyright"/>
              <w:rPr>
                <w:highlight w:val="green"/>
              </w:rPr>
            </w:pPr>
            <w:r w:rsidRPr="00363E4B">
              <w:t>20.1</w:t>
            </w:r>
          </w:p>
        </w:tc>
      </w:tr>
      <w:tr w:rsidR="005B131E" w:rsidRPr="00BA7805" w14:paraId="46BB8417" w14:textId="77777777" w:rsidTr="002542E1">
        <w:tc>
          <w:tcPr>
            <w:tcW w:w="3969" w:type="dxa"/>
            <w:tcBorders>
              <w:bottom w:val="single" w:sz="4" w:space="0" w:color="auto"/>
            </w:tcBorders>
          </w:tcPr>
          <w:p w14:paraId="21A8242F" w14:textId="77777777" w:rsidR="005B131E" w:rsidRPr="00BA7805" w:rsidRDefault="005B131E" w:rsidP="002542E1">
            <w:pPr>
              <w:pStyle w:val="ARfintablebodybold"/>
              <w:rPr>
                <w:highlight w:val="green"/>
              </w:rPr>
            </w:pPr>
            <w:r w:rsidRPr="00363E4B">
              <w:t>Total financial assets</w:t>
            </w:r>
          </w:p>
        </w:tc>
        <w:tc>
          <w:tcPr>
            <w:tcW w:w="1134" w:type="dxa"/>
            <w:tcBorders>
              <w:bottom w:val="single" w:sz="4" w:space="0" w:color="auto"/>
            </w:tcBorders>
            <w:noWrap/>
          </w:tcPr>
          <w:p w14:paraId="4A80E6EE" w14:textId="77777777" w:rsidR="005B131E" w:rsidRPr="00BA7805" w:rsidRDefault="005B131E" w:rsidP="002542E1">
            <w:pPr>
              <w:pStyle w:val="ARfintablebodyrightbold"/>
              <w:rPr>
                <w:highlight w:val="green"/>
              </w:rPr>
            </w:pPr>
          </w:p>
        </w:tc>
        <w:tc>
          <w:tcPr>
            <w:tcW w:w="1134" w:type="dxa"/>
            <w:tcBorders>
              <w:bottom w:val="single" w:sz="4" w:space="0" w:color="auto"/>
            </w:tcBorders>
            <w:noWrap/>
          </w:tcPr>
          <w:p w14:paraId="4E2819B8" w14:textId="77777777" w:rsidR="005B131E" w:rsidRPr="00BA7805" w:rsidRDefault="005B131E" w:rsidP="002542E1">
            <w:pPr>
              <w:pStyle w:val="ARfintablebodyrightbold"/>
              <w:rPr>
                <w:highlight w:val="green"/>
              </w:rPr>
            </w:pPr>
            <w:r w:rsidRPr="00363E4B">
              <w:t>1,064.9</w:t>
            </w:r>
          </w:p>
        </w:tc>
        <w:tc>
          <w:tcPr>
            <w:tcW w:w="1134" w:type="dxa"/>
            <w:tcBorders>
              <w:bottom w:val="single" w:sz="4" w:space="0" w:color="auto"/>
            </w:tcBorders>
            <w:shd w:val="clear" w:color="auto" w:fill="E7E6E6" w:themeFill="accent4"/>
            <w:noWrap/>
          </w:tcPr>
          <w:p w14:paraId="736F78D7" w14:textId="77777777" w:rsidR="005B131E" w:rsidRPr="00BA7805" w:rsidRDefault="005B131E" w:rsidP="002542E1">
            <w:pPr>
              <w:pStyle w:val="ARfintablebodyrightbold"/>
              <w:rPr>
                <w:highlight w:val="green"/>
              </w:rPr>
            </w:pPr>
            <w:r w:rsidRPr="00363E4B">
              <w:t>0.9</w:t>
            </w:r>
          </w:p>
        </w:tc>
        <w:tc>
          <w:tcPr>
            <w:tcW w:w="1134" w:type="dxa"/>
            <w:tcBorders>
              <w:bottom w:val="single" w:sz="4" w:space="0" w:color="auto"/>
            </w:tcBorders>
            <w:shd w:val="clear" w:color="auto" w:fill="E7E6E6" w:themeFill="accent4"/>
            <w:noWrap/>
          </w:tcPr>
          <w:p w14:paraId="167BB782" w14:textId="77777777" w:rsidR="005B131E" w:rsidRPr="00BA7805" w:rsidRDefault="005B131E" w:rsidP="002542E1">
            <w:pPr>
              <w:pStyle w:val="ARfintablebodyrightbold"/>
              <w:rPr>
                <w:highlight w:val="green"/>
              </w:rPr>
            </w:pPr>
            <w:r w:rsidRPr="00363E4B">
              <w:t>553.0</w:t>
            </w:r>
          </w:p>
        </w:tc>
        <w:tc>
          <w:tcPr>
            <w:tcW w:w="1134" w:type="dxa"/>
            <w:tcBorders>
              <w:bottom w:val="single" w:sz="4" w:space="0" w:color="auto"/>
            </w:tcBorders>
            <w:shd w:val="clear" w:color="auto" w:fill="E7E6E6" w:themeFill="accent4"/>
            <w:noWrap/>
          </w:tcPr>
          <w:p w14:paraId="233BC32E" w14:textId="77777777" w:rsidR="005B131E" w:rsidRPr="00BA7805" w:rsidRDefault="005B131E" w:rsidP="002542E1">
            <w:pPr>
              <w:pStyle w:val="ARfintablebodyrightbold"/>
              <w:rPr>
                <w:highlight w:val="green"/>
              </w:rPr>
            </w:pPr>
            <w:r w:rsidRPr="00363E4B">
              <w:t>511.0</w:t>
            </w:r>
          </w:p>
        </w:tc>
      </w:tr>
      <w:tr w:rsidR="005B131E" w:rsidRPr="00BA7805" w14:paraId="53A2B10E" w14:textId="77777777" w:rsidTr="002542E1">
        <w:tc>
          <w:tcPr>
            <w:tcW w:w="9639" w:type="dxa"/>
            <w:gridSpan w:val="6"/>
            <w:tcBorders>
              <w:top w:val="single" w:sz="4" w:space="0" w:color="auto"/>
              <w:bottom w:val="single" w:sz="4" w:space="0" w:color="A6A6A6"/>
            </w:tcBorders>
            <w:shd w:val="clear" w:color="auto" w:fill="auto"/>
          </w:tcPr>
          <w:p w14:paraId="22C75208" w14:textId="77777777" w:rsidR="005B131E" w:rsidRPr="00BA7805" w:rsidRDefault="005B131E" w:rsidP="002542E1">
            <w:pPr>
              <w:pStyle w:val="ARfintablebodybold"/>
              <w:rPr>
                <w:highlight w:val="green"/>
              </w:rPr>
            </w:pPr>
            <w:r w:rsidRPr="00E66FF3">
              <w:t>Financial liabilities</w:t>
            </w:r>
          </w:p>
        </w:tc>
      </w:tr>
      <w:tr w:rsidR="005B131E" w:rsidRPr="00BA7805" w14:paraId="261362C3" w14:textId="77777777" w:rsidTr="002542E1">
        <w:tc>
          <w:tcPr>
            <w:tcW w:w="3969" w:type="dxa"/>
            <w:tcBorders>
              <w:top w:val="single" w:sz="4" w:space="0" w:color="A6A6A6"/>
              <w:bottom w:val="single" w:sz="4" w:space="0" w:color="A6A6A6"/>
            </w:tcBorders>
          </w:tcPr>
          <w:p w14:paraId="236F501D" w14:textId="77777777" w:rsidR="005B131E" w:rsidRPr="00BA7805" w:rsidRDefault="005B131E" w:rsidP="002542E1">
            <w:pPr>
              <w:pStyle w:val="ARfintablebody"/>
              <w:rPr>
                <w:highlight w:val="green"/>
              </w:rPr>
            </w:pPr>
            <w:r w:rsidRPr="00E66FF3">
              <w:t xml:space="preserve">Payables </w:t>
            </w:r>
            <w:r w:rsidRPr="001E0D04">
              <w:rPr>
                <w:vertAlign w:val="superscript"/>
              </w:rPr>
              <w:t>(i)</w:t>
            </w:r>
            <w:r>
              <w:rPr>
                <w:vertAlign w:val="superscript"/>
              </w:rPr>
              <w:t>(ii)</w:t>
            </w:r>
          </w:p>
        </w:tc>
        <w:tc>
          <w:tcPr>
            <w:tcW w:w="1134" w:type="dxa"/>
            <w:tcBorders>
              <w:top w:val="single" w:sz="4" w:space="0" w:color="A6A6A6"/>
              <w:bottom w:val="single" w:sz="4" w:space="0" w:color="A6A6A6"/>
            </w:tcBorders>
            <w:noWrap/>
          </w:tcPr>
          <w:p w14:paraId="00611CD7" w14:textId="77777777" w:rsidR="005B131E" w:rsidRPr="00BA7805" w:rsidRDefault="005B131E" w:rsidP="002542E1">
            <w:pPr>
              <w:pStyle w:val="ARfintablebodyright"/>
              <w:rPr>
                <w:highlight w:val="green"/>
              </w:rPr>
            </w:pPr>
          </w:p>
        </w:tc>
        <w:tc>
          <w:tcPr>
            <w:tcW w:w="1134" w:type="dxa"/>
            <w:tcBorders>
              <w:top w:val="single" w:sz="4" w:space="0" w:color="A6A6A6"/>
              <w:bottom w:val="single" w:sz="4" w:space="0" w:color="A6A6A6"/>
            </w:tcBorders>
            <w:noWrap/>
          </w:tcPr>
          <w:p w14:paraId="289C0F57" w14:textId="77777777" w:rsidR="005B131E" w:rsidRPr="00BA7805" w:rsidRDefault="005B131E" w:rsidP="002542E1">
            <w:pPr>
              <w:pStyle w:val="ARfintablebodyright"/>
              <w:rPr>
                <w:highlight w:val="green"/>
              </w:rPr>
            </w:pPr>
            <w:r w:rsidRPr="00912302">
              <w:t>479.5</w:t>
            </w:r>
          </w:p>
        </w:tc>
        <w:tc>
          <w:tcPr>
            <w:tcW w:w="1134" w:type="dxa"/>
            <w:tcBorders>
              <w:top w:val="single" w:sz="4" w:space="0" w:color="A6A6A6"/>
              <w:bottom w:val="single" w:sz="4" w:space="0" w:color="A6A6A6"/>
            </w:tcBorders>
            <w:shd w:val="clear" w:color="auto" w:fill="E7E6E6" w:themeFill="accent4"/>
            <w:noWrap/>
          </w:tcPr>
          <w:p w14:paraId="06054F08" w14:textId="77777777" w:rsidR="005B131E" w:rsidRPr="00BA7805" w:rsidRDefault="005B131E" w:rsidP="002542E1">
            <w:pPr>
              <w:pStyle w:val="ARfintablebodyright"/>
              <w:rPr>
                <w:highlight w:val="green"/>
              </w:rPr>
            </w:pPr>
            <w:r w:rsidRPr="00912302">
              <w:t>1.0</w:t>
            </w:r>
          </w:p>
        </w:tc>
        <w:tc>
          <w:tcPr>
            <w:tcW w:w="1134" w:type="dxa"/>
            <w:tcBorders>
              <w:top w:val="single" w:sz="4" w:space="0" w:color="A6A6A6"/>
              <w:bottom w:val="single" w:sz="4" w:space="0" w:color="A6A6A6"/>
            </w:tcBorders>
            <w:shd w:val="clear" w:color="auto" w:fill="E7E6E6" w:themeFill="accent4"/>
            <w:noWrap/>
          </w:tcPr>
          <w:p w14:paraId="14B5A047"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16D28A61" w14:textId="77777777" w:rsidR="005B131E" w:rsidRPr="00BA7805" w:rsidRDefault="005B131E" w:rsidP="002542E1">
            <w:pPr>
              <w:pStyle w:val="ARfintablebodyright"/>
              <w:rPr>
                <w:highlight w:val="green"/>
              </w:rPr>
            </w:pPr>
            <w:r w:rsidRPr="00912302">
              <w:t>478.5</w:t>
            </w:r>
          </w:p>
        </w:tc>
      </w:tr>
      <w:tr w:rsidR="005B131E" w:rsidRPr="00BA7805" w14:paraId="738FE556" w14:textId="77777777" w:rsidTr="002542E1">
        <w:tc>
          <w:tcPr>
            <w:tcW w:w="3969" w:type="dxa"/>
            <w:tcBorders>
              <w:top w:val="single" w:sz="4" w:space="0" w:color="A6A6A6"/>
            </w:tcBorders>
          </w:tcPr>
          <w:p w14:paraId="50C09D2B" w14:textId="77777777" w:rsidR="005B131E" w:rsidRPr="00BA7805" w:rsidRDefault="005B131E" w:rsidP="002542E1">
            <w:pPr>
              <w:pStyle w:val="ARfintablebody"/>
              <w:rPr>
                <w:highlight w:val="green"/>
              </w:rPr>
            </w:pPr>
            <w:r w:rsidRPr="00E66FF3">
              <w:t xml:space="preserve">Borrowings </w:t>
            </w:r>
            <w:r w:rsidRPr="001E0D04">
              <w:rPr>
                <w:vertAlign w:val="superscript"/>
              </w:rPr>
              <w:t>(i)</w:t>
            </w:r>
          </w:p>
        </w:tc>
        <w:tc>
          <w:tcPr>
            <w:tcW w:w="1134" w:type="dxa"/>
            <w:tcBorders>
              <w:top w:val="single" w:sz="4" w:space="0" w:color="A6A6A6"/>
            </w:tcBorders>
            <w:noWrap/>
          </w:tcPr>
          <w:p w14:paraId="085A5BA8" w14:textId="77777777" w:rsidR="005B131E" w:rsidRPr="00BA7805" w:rsidRDefault="005B131E" w:rsidP="002542E1">
            <w:pPr>
              <w:pStyle w:val="ARfintablebodyright"/>
              <w:rPr>
                <w:highlight w:val="green"/>
              </w:rPr>
            </w:pPr>
            <w:r w:rsidRPr="00912302">
              <w:t>3.6%</w:t>
            </w:r>
          </w:p>
        </w:tc>
        <w:tc>
          <w:tcPr>
            <w:tcW w:w="1134" w:type="dxa"/>
            <w:tcBorders>
              <w:top w:val="single" w:sz="4" w:space="0" w:color="A6A6A6"/>
            </w:tcBorders>
            <w:noWrap/>
          </w:tcPr>
          <w:p w14:paraId="0D7AF821" w14:textId="77777777" w:rsidR="005B131E" w:rsidRPr="00BA7805" w:rsidRDefault="005B131E" w:rsidP="002542E1">
            <w:pPr>
              <w:pStyle w:val="ARfintablebodyright"/>
              <w:rPr>
                <w:highlight w:val="green"/>
              </w:rPr>
            </w:pPr>
            <w:r w:rsidRPr="00912302">
              <w:t>503.7</w:t>
            </w:r>
          </w:p>
        </w:tc>
        <w:tc>
          <w:tcPr>
            <w:tcW w:w="1134" w:type="dxa"/>
            <w:tcBorders>
              <w:top w:val="single" w:sz="4" w:space="0" w:color="A6A6A6"/>
            </w:tcBorders>
            <w:shd w:val="clear" w:color="auto" w:fill="E7E6E6" w:themeFill="accent4"/>
            <w:noWrap/>
          </w:tcPr>
          <w:p w14:paraId="418DB107" w14:textId="77777777" w:rsidR="005B131E" w:rsidRPr="00BA7805" w:rsidRDefault="005B131E" w:rsidP="002542E1">
            <w:pPr>
              <w:pStyle w:val="ARfintablebodyright"/>
              <w:rPr>
                <w:highlight w:val="green"/>
              </w:rPr>
            </w:pPr>
            <w:r w:rsidRPr="00912302">
              <w:t>371.1</w:t>
            </w:r>
          </w:p>
        </w:tc>
        <w:tc>
          <w:tcPr>
            <w:tcW w:w="1134" w:type="dxa"/>
            <w:tcBorders>
              <w:top w:val="single" w:sz="4" w:space="0" w:color="A6A6A6"/>
            </w:tcBorders>
            <w:shd w:val="clear" w:color="auto" w:fill="E7E6E6" w:themeFill="accent4"/>
            <w:noWrap/>
          </w:tcPr>
          <w:p w14:paraId="73CD255E"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201F8076" w14:textId="77777777" w:rsidR="005B131E" w:rsidRPr="00BA7805" w:rsidRDefault="005B131E" w:rsidP="002542E1">
            <w:pPr>
              <w:pStyle w:val="ARfintablebodyright"/>
              <w:rPr>
                <w:highlight w:val="green"/>
              </w:rPr>
            </w:pPr>
            <w:r w:rsidRPr="00912302">
              <w:t>132.6</w:t>
            </w:r>
          </w:p>
        </w:tc>
      </w:tr>
      <w:tr w:rsidR="005B131E" w:rsidRPr="00BA7805" w14:paraId="517A28AD" w14:textId="77777777" w:rsidTr="002542E1">
        <w:tc>
          <w:tcPr>
            <w:tcW w:w="3969" w:type="dxa"/>
          </w:tcPr>
          <w:p w14:paraId="725E1677" w14:textId="77777777" w:rsidR="005B131E" w:rsidRPr="00BA7805" w:rsidRDefault="005B131E" w:rsidP="002542E1">
            <w:pPr>
              <w:pStyle w:val="ARfintablebodybold"/>
              <w:rPr>
                <w:highlight w:val="green"/>
              </w:rPr>
            </w:pPr>
            <w:r w:rsidRPr="00E66FF3">
              <w:t>Total financial liabilities</w:t>
            </w:r>
          </w:p>
        </w:tc>
        <w:tc>
          <w:tcPr>
            <w:tcW w:w="1134" w:type="dxa"/>
            <w:noWrap/>
          </w:tcPr>
          <w:p w14:paraId="1E90C7BF" w14:textId="77777777" w:rsidR="005B131E" w:rsidRPr="00BA7805" w:rsidRDefault="005B131E" w:rsidP="002542E1">
            <w:pPr>
              <w:pStyle w:val="ARfintablebodyrightbold"/>
              <w:rPr>
                <w:highlight w:val="green"/>
              </w:rPr>
            </w:pPr>
          </w:p>
        </w:tc>
        <w:tc>
          <w:tcPr>
            <w:tcW w:w="1134" w:type="dxa"/>
            <w:noWrap/>
          </w:tcPr>
          <w:p w14:paraId="334BAF3F" w14:textId="77777777" w:rsidR="005B131E" w:rsidRPr="00BA7805" w:rsidRDefault="005B131E" w:rsidP="002542E1">
            <w:pPr>
              <w:pStyle w:val="ARfintablebodyrightbold"/>
              <w:rPr>
                <w:highlight w:val="green"/>
              </w:rPr>
            </w:pPr>
            <w:r w:rsidRPr="00912302">
              <w:t>983.2</w:t>
            </w:r>
          </w:p>
        </w:tc>
        <w:tc>
          <w:tcPr>
            <w:tcW w:w="1134" w:type="dxa"/>
            <w:shd w:val="clear" w:color="auto" w:fill="E7E6E6" w:themeFill="accent4"/>
            <w:noWrap/>
          </w:tcPr>
          <w:p w14:paraId="798EDAF3" w14:textId="77777777" w:rsidR="005B131E" w:rsidRPr="00BA7805" w:rsidRDefault="005B131E" w:rsidP="002542E1">
            <w:pPr>
              <w:pStyle w:val="ARfintablebodyrightbold"/>
              <w:rPr>
                <w:highlight w:val="green"/>
              </w:rPr>
            </w:pPr>
            <w:r w:rsidRPr="00912302">
              <w:t>372.1</w:t>
            </w:r>
          </w:p>
        </w:tc>
        <w:tc>
          <w:tcPr>
            <w:tcW w:w="1134" w:type="dxa"/>
            <w:shd w:val="clear" w:color="auto" w:fill="E7E6E6" w:themeFill="accent4"/>
            <w:noWrap/>
          </w:tcPr>
          <w:p w14:paraId="78729F06" w14:textId="77777777" w:rsidR="005B131E" w:rsidRPr="00BA7805" w:rsidRDefault="005B131E" w:rsidP="002542E1">
            <w:pPr>
              <w:pStyle w:val="ARfintablebodyrightbold"/>
              <w:rPr>
                <w:highlight w:val="green"/>
              </w:rPr>
            </w:pPr>
            <w:r>
              <w:t>–</w:t>
            </w:r>
          </w:p>
        </w:tc>
        <w:tc>
          <w:tcPr>
            <w:tcW w:w="1134" w:type="dxa"/>
            <w:shd w:val="clear" w:color="auto" w:fill="E7E6E6" w:themeFill="accent4"/>
            <w:noWrap/>
          </w:tcPr>
          <w:p w14:paraId="604BA808" w14:textId="77777777" w:rsidR="005B131E" w:rsidRPr="00BA7805" w:rsidRDefault="005B131E" w:rsidP="002542E1">
            <w:pPr>
              <w:pStyle w:val="ARfintablebodyrightbold"/>
              <w:rPr>
                <w:highlight w:val="green"/>
              </w:rPr>
            </w:pPr>
            <w:r w:rsidRPr="00912302">
              <w:t>611.1</w:t>
            </w:r>
          </w:p>
        </w:tc>
      </w:tr>
      <w:tr w:rsidR="005B131E" w:rsidRPr="00BA7805" w14:paraId="3AAAE0C1" w14:textId="77777777" w:rsidTr="002542E1">
        <w:tc>
          <w:tcPr>
            <w:tcW w:w="9639" w:type="dxa"/>
            <w:gridSpan w:val="6"/>
            <w:tcBorders>
              <w:bottom w:val="single" w:sz="4" w:space="0" w:color="auto"/>
            </w:tcBorders>
            <w:shd w:val="clear" w:color="auto" w:fill="auto"/>
          </w:tcPr>
          <w:p w14:paraId="567752A8" w14:textId="77777777" w:rsidR="005B131E" w:rsidRPr="00BA7805" w:rsidRDefault="005B131E" w:rsidP="002542E1">
            <w:pPr>
              <w:pStyle w:val="ARfintablebodybold"/>
              <w:rPr>
                <w:highlight w:val="green"/>
              </w:rPr>
            </w:pPr>
          </w:p>
        </w:tc>
      </w:tr>
      <w:tr w:rsidR="005B131E" w:rsidRPr="00BA7805" w14:paraId="05D7DFCA" w14:textId="77777777" w:rsidTr="002542E1">
        <w:tc>
          <w:tcPr>
            <w:tcW w:w="9639" w:type="dxa"/>
            <w:gridSpan w:val="6"/>
            <w:tcBorders>
              <w:top w:val="single" w:sz="4" w:space="0" w:color="auto"/>
              <w:bottom w:val="single" w:sz="4" w:space="0" w:color="000000" w:themeColor="text1"/>
            </w:tcBorders>
            <w:shd w:val="clear" w:color="auto" w:fill="auto"/>
          </w:tcPr>
          <w:p w14:paraId="487D3144" w14:textId="77777777" w:rsidR="005B131E" w:rsidRPr="00BA7805" w:rsidRDefault="005B131E" w:rsidP="002542E1">
            <w:pPr>
              <w:pStyle w:val="ARfintablebodybold"/>
              <w:rPr>
                <w:highlight w:val="green"/>
              </w:rPr>
            </w:pPr>
            <w:r w:rsidRPr="00E66FF3">
              <w:t>2023</w:t>
            </w:r>
          </w:p>
        </w:tc>
      </w:tr>
      <w:tr w:rsidR="005B131E" w:rsidRPr="00BA7805" w14:paraId="3064E7FC" w14:textId="77777777" w:rsidTr="002542E1">
        <w:tc>
          <w:tcPr>
            <w:tcW w:w="9639" w:type="dxa"/>
            <w:gridSpan w:val="6"/>
            <w:tcBorders>
              <w:top w:val="single" w:sz="4" w:space="0" w:color="000000" w:themeColor="text1"/>
              <w:bottom w:val="single" w:sz="4" w:space="0" w:color="A6A6A6"/>
            </w:tcBorders>
          </w:tcPr>
          <w:p w14:paraId="45B0F2F1" w14:textId="77777777" w:rsidR="005B131E" w:rsidRPr="00BA7805" w:rsidRDefault="005B131E" w:rsidP="002542E1">
            <w:pPr>
              <w:pStyle w:val="ARfintablebodybold"/>
              <w:rPr>
                <w:highlight w:val="green"/>
              </w:rPr>
            </w:pPr>
            <w:r w:rsidRPr="00DD5491">
              <w:t>Financial assets</w:t>
            </w:r>
          </w:p>
        </w:tc>
      </w:tr>
      <w:tr w:rsidR="005B131E" w:rsidRPr="00BA7805" w14:paraId="7727F7D7" w14:textId="77777777" w:rsidTr="002542E1">
        <w:tc>
          <w:tcPr>
            <w:tcW w:w="3969" w:type="dxa"/>
            <w:tcBorders>
              <w:top w:val="single" w:sz="4" w:space="0" w:color="A6A6A6"/>
              <w:bottom w:val="single" w:sz="4" w:space="0" w:color="A6A6A6"/>
            </w:tcBorders>
          </w:tcPr>
          <w:p w14:paraId="2A247F9F" w14:textId="77777777" w:rsidR="005B131E" w:rsidRPr="00DD5491" w:rsidRDefault="005B131E" w:rsidP="002542E1">
            <w:pPr>
              <w:pStyle w:val="ARfintablebody"/>
            </w:pPr>
            <w:r w:rsidRPr="00DD5491">
              <w:t>Cash and deposits</w:t>
            </w:r>
          </w:p>
        </w:tc>
        <w:tc>
          <w:tcPr>
            <w:tcW w:w="1134" w:type="dxa"/>
            <w:tcBorders>
              <w:top w:val="single" w:sz="4" w:space="0" w:color="A6A6A6"/>
              <w:bottom w:val="single" w:sz="4" w:space="0" w:color="A6A6A6"/>
            </w:tcBorders>
            <w:noWrap/>
          </w:tcPr>
          <w:p w14:paraId="5540BEC4" w14:textId="77777777" w:rsidR="005B131E" w:rsidRPr="00B8712B" w:rsidRDefault="005B131E" w:rsidP="002542E1">
            <w:pPr>
              <w:pStyle w:val="ARfintablebodyright"/>
            </w:pPr>
            <w:r w:rsidRPr="00B8712B">
              <w:t>2.9%</w:t>
            </w:r>
          </w:p>
        </w:tc>
        <w:tc>
          <w:tcPr>
            <w:tcW w:w="1134" w:type="dxa"/>
            <w:tcBorders>
              <w:top w:val="single" w:sz="4" w:space="0" w:color="A6A6A6"/>
              <w:bottom w:val="single" w:sz="4" w:space="0" w:color="A6A6A6"/>
            </w:tcBorders>
            <w:noWrap/>
          </w:tcPr>
          <w:p w14:paraId="2FE35466" w14:textId="77777777" w:rsidR="005B131E" w:rsidRPr="00B8712B" w:rsidRDefault="005B131E" w:rsidP="002542E1">
            <w:pPr>
              <w:pStyle w:val="ARfintablebodyright"/>
            </w:pPr>
            <w:r w:rsidRPr="00B8712B">
              <w:t>706.8</w:t>
            </w:r>
          </w:p>
        </w:tc>
        <w:tc>
          <w:tcPr>
            <w:tcW w:w="1134" w:type="dxa"/>
            <w:tcBorders>
              <w:top w:val="single" w:sz="4" w:space="0" w:color="A6A6A6"/>
              <w:bottom w:val="single" w:sz="4" w:space="0" w:color="A6A6A6"/>
            </w:tcBorders>
            <w:shd w:val="clear" w:color="auto" w:fill="E7E6E6" w:themeFill="accent4"/>
            <w:noWrap/>
          </w:tcPr>
          <w:p w14:paraId="3F2995CF" w14:textId="77777777" w:rsidR="005B131E" w:rsidRDefault="005B131E" w:rsidP="002542E1">
            <w:pPr>
              <w:pStyle w:val="ARfintablebodyright"/>
            </w:pPr>
            <w:r>
              <w:t>–</w:t>
            </w:r>
          </w:p>
        </w:tc>
        <w:tc>
          <w:tcPr>
            <w:tcW w:w="1134" w:type="dxa"/>
            <w:tcBorders>
              <w:top w:val="single" w:sz="4" w:space="0" w:color="A6A6A6"/>
              <w:bottom w:val="single" w:sz="4" w:space="0" w:color="A6A6A6"/>
            </w:tcBorders>
            <w:shd w:val="clear" w:color="auto" w:fill="E7E6E6" w:themeFill="accent4"/>
            <w:noWrap/>
          </w:tcPr>
          <w:p w14:paraId="39650E5A" w14:textId="77777777" w:rsidR="005B131E" w:rsidRPr="00B8712B" w:rsidRDefault="005B131E" w:rsidP="002542E1">
            <w:pPr>
              <w:pStyle w:val="ARfintablebodyright"/>
            </w:pPr>
            <w:r w:rsidRPr="00B8712B">
              <w:t>641.9</w:t>
            </w:r>
          </w:p>
        </w:tc>
        <w:tc>
          <w:tcPr>
            <w:tcW w:w="1134" w:type="dxa"/>
            <w:tcBorders>
              <w:top w:val="single" w:sz="4" w:space="0" w:color="A6A6A6"/>
              <w:bottom w:val="single" w:sz="4" w:space="0" w:color="A6A6A6"/>
            </w:tcBorders>
            <w:shd w:val="clear" w:color="auto" w:fill="E7E6E6" w:themeFill="accent4"/>
            <w:noWrap/>
          </w:tcPr>
          <w:p w14:paraId="74E4589A" w14:textId="77777777" w:rsidR="005B131E" w:rsidRPr="00B8712B" w:rsidRDefault="005B131E" w:rsidP="002542E1">
            <w:pPr>
              <w:pStyle w:val="ARfintablebodyright"/>
            </w:pPr>
            <w:r w:rsidRPr="00B8712B">
              <w:t>64.9</w:t>
            </w:r>
          </w:p>
        </w:tc>
      </w:tr>
      <w:tr w:rsidR="005B131E" w:rsidRPr="00BA7805" w14:paraId="77C71B44" w14:textId="77777777" w:rsidTr="002542E1">
        <w:tc>
          <w:tcPr>
            <w:tcW w:w="3969" w:type="dxa"/>
            <w:tcBorders>
              <w:top w:val="single" w:sz="4" w:space="0" w:color="A6A6A6"/>
              <w:bottom w:val="single" w:sz="4" w:space="0" w:color="A6A6A6"/>
            </w:tcBorders>
          </w:tcPr>
          <w:p w14:paraId="535BE286" w14:textId="77777777" w:rsidR="005B131E" w:rsidRPr="00DD5491" w:rsidRDefault="005B131E" w:rsidP="002542E1">
            <w:pPr>
              <w:pStyle w:val="ARfintablebody"/>
            </w:pPr>
            <w:r w:rsidRPr="00DD5491">
              <w:t xml:space="preserve">Receivables </w:t>
            </w:r>
            <w:r w:rsidRPr="00DD5491">
              <w:rPr>
                <w:vertAlign w:val="superscript"/>
              </w:rPr>
              <w:t>(i)</w:t>
            </w:r>
          </w:p>
        </w:tc>
        <w:tc>
          <w:tcPr>
            <w:tcW w:w="1134" w:type="dxa"/>
            <w:tcBorders>
              <w:top w:val="single" w:sz="4" w:space="0" w:color="A6A6A6"/>
              <w:bottom w:val="single" w:sz="4" w:space="0" w:color="A6A6A6"/>
            </w:tcBorders>
            <w:noWrap/>
          </w:tcPr>
          <w:p w14:paraId="070E0C6B" w14:textId="77777777" w:rsidR="005B131E" w:rsidRPr="00BA7805" w:rsidRDefault="005B131E" w:rsidP="002542E1">
            <w:pPr>
              <w:pStyle w:val="ARfintablebodyright"/>
              <w:rPr>
                <w:highlight w:val="green"/>
              </w:rPr>
            </w:pPr>
          </w:p>
        </w:tc>
        <w:tc>
          <w:tcPr>
            <w:tcW w:w="1134" w:type="dxa"/>
            <w:tcBorders>
              <w:top w:val="single" w:sz="4" w:space="0" w:color="A6A6A6"/>
              <w:bottom w:val="single" w:sz="4" w:space="0" w:color="A6A6A6"/>
            </w:tcBorders>
            <w:noWrap/>
          </w:tcPr>
          <w:p w14:paraId="40FF2143" w14:textId="77777777" w:rsidR="005B131E" w:rsidRPr="00BA7805" w:rsidRDefault="005B131E" w:rsidP="002542E1">
            <w:pPr>
              <w:pStyle w:val="ARfintablebodyright"/>
              <w:rPr>
                <w:highlight w:val="green"/>
              </w:rPr>
            </w:pPr>
            <w:r w:rsidRPr="00B8712B">
              <w:t>171.1</w:t>
            </w:r>
          </w:p>
        </w:tc>
        <w:tc>
          <w:tcPr>
            <w:tcW w:w="1134" w:type="dxa"/>
            <w:tcBorders>
              <w:top w:val="single" w:sz="4" w:space="0" w:color="A6A6A6"/>
              <w:bottom w:val="single" w:sz="4" w:space="0" w:color="A6A6A6"/>
            </w:tcBorders>
            <w:shd w:val="clear" w:color="auto" w:fill="E7E6E6" w:themeFill="accent4"/>
            <w:noWrap/>
          </w:tcPr>
          <w:p w14:paraId="16ABF09E"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5D3A98BD"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2C028578" w14:textId="77777777" w:rsidR="005B131E" w:rsidRPr="00BA7805" w:rsidRDefault="005B131E" w:rsidP="002542E1">
            <w:pPr>
              <w:pStyle w:val="ARfintablebodyright"/>
              <w:rPr>
                <w:highlight w:val="green"/>
              </w:rPr>
            </w:pPr>
            <w:r w:rsidRPr="00B8712B">
              <w:t>171.1</w:t>
            </w:r>
          </w:p>
        </w:tc>
      </w:tr>
      <w:tr w:rsidR="005B131E" w:rsidRPr="00BA7805" w14:paraId="38E932E0" w14:textId="77777777" w:rsidTr="002542E1">
        <w:tc>
          <w:tcPr>
            <w:tcW w:w="3969" w:type="dxa"/>
            <w:tcBorders>
              <w:top w:val="single" w:sz="4" w:space="0" w:color="A6A6A6"/>
            </w:tcBorders>
          </w:tcPr>
          <w:p w14:paraId="2C6DF544" w14:textId="77777777" w:rsidR="005B131E" w:rsidRPr="00BB3F39" w:rsidRDefault="005B131E" w:rsidP="002542E1">
            <w:pPr>
              <w:pStyle w:val="ARfintablebody"/>
            </w:pPr>
            <w:r w:rsidRPr="00DD5491">
              <w:t>Loans</w:t>
            </w:r>
          </w:p>
        </w:tc>
        <w:tc>
          <w:tcPr>
            <w:tcW w:w="1134" w:type="dxa"/>
            <w:tcBorders>
              <w:top w:val="single" w:sz="4" w:space="0" w:color="A6A6A6"/>
            </w:tcBorders>
            <w:noWrap/>
          </w:tcPr>
          <w:p w14:paraId="11670B65" w14:textId="77777777" w:rsidR="005B131E" w:rsidRPr="00BA7805" w:rsidRDefault="005B131E" w:rsidP="002542E1">
            <w:pPr>
              <w:pStyle w:val="ARfintablebodyright"/>
              <w:rPr>
                <w:highlight w:val="green"/>
              </w:rPr>
            </w:pPr>
            <w:r w:rsidRPr="00B8712B">
              <w:t>3.2%</w:t>
            </w:r>
          </w:p>
        </w:tc>
        <w:tc>
          <w:tcPr>
            <w:tcW w:w="1134" w:type="dxa"/>
            <w:tcBorders>
              <w:top w:val="single" w:sz="4" w:space="0" w:color="A6A6A6"/>
            </w:tcBorders>
            <w:noWrap/>
          </w:tcPr>
          <w:p w14:paraId="392CE56D" w14:textId="77777777" w:rsidR="005B131E" w:rsidRPr="00BA7805" w:rsidRDefault="005B131E" w:rsidP="002542E1">
            <w:pPr>
              <w:pStyle w:val="ARfintablebodyright"/>
              <w:rPr>
                <w:highlight w:val="green"/>
              </w:rPr>
            </w:pPr>
            <w:r w:rsidRPr="00B8712B">
              <w:t>30.0</w:t>
            </w:r>
          </w:p>
        </w:tc>
        <w:tc>
          <w:tcPr>
            <w:tcW w:w="1134" w:type="dxa"/>
            <w:tcBorders>
              <w:top w:val="single" w:sz="4" w:space="0" w:color="A6A6A6"/>
            </w:tcBorders>
            <w:shd w:val="clear" w:color="auto" w:fill="E7E6E6" w:themeFill="accent4"/>
            <w:noWrap/>
          </w:tcPr>
          <w:p w14:paraId="0A6A683C" w14:textId="77777777" w:rsidR="005B131E" w:rsidRPr="00BA7805" w:rsidRDefault="005B131E" w:rsidP="002542E1">
            <w:pPr>
              <w:pStyle w:val="ARfintablebodyright"/>
              <w:rPr>
                <w:highlight w:val="green"/>
              </w:rPr>
            </w:pPr>
            <w:r w:rsidRPr="00B8712B">
              <w:t>1.1</w:t>
            </w:r>
          </w:p>
        </w:tc>
        <w:tc>
          <w:tcPr>
            <w:tcW w:w="1134" w:type="dxa"/>
            <w:tcBorders>
              <w:top w:val="single" w:sz="4" w:space="0" w:color="A6A6A6"/>
            </w:tcBorders>
            <w:shd w:val="clear" w:color="auto" w:fill="E7E6E6" w:themeFill="accent4"/>
            <w:noWrap/>
          </w:tcPr>
          <w:p w14:paraId="2F2D6CE9" w14:textId="77777777" w:rsidR="005B131E" w:rsidRPr="00BA7805" w:rsidRDefault="005B131E" w:rsidP="002542E1">
            <w:pPr>
              <w:pStyle w:val="ARfintablebodyright"/>
              <w:rPr>
                <w:highlight w:val="green"/>
              </w:rPr>
            </w:pPr>
            <w:r w:rsidRPr="00B8712B">
              <w:t>7.8</w:t>
            </w:r>
          </w:p>
        </w:tc>
        <w:tc>
          <w:tcPr>
            <w:tcW w:w="1134" w:type="dxa"/>
            <w:tcBorders>
              <w:top w:val="single" w:sz="4" w:space="0" w:color="A6A6A6"/>
            </w:tcBorders>
            <w:shd w:val="clear" w:color="auto" w:fill="E7E6E6" w:themeFill="accent4"/>
            <w:noWrap/>
          </w:tcPr>
          <w:p w14:paraId="7CB7F970" w14:textId="77777777" w:rsidR="005B131E" w:rsidRPr="00BA7805" w:rsidRDefault="005B131E" w:rsidP="002542E1">
            <w:pPr>
              <w:pStyle w:val="ARfintablebodyright"/>
              <w:rPr>
                <w:highlight w:val="green"/>
              </w:rPr>
            </w:pPr>
            <w:r w:rsidRPr="00B8712B">
              <w:t>21.1</w:t>
            </w:r>
          </w:p>
        </w:tc>
      </w:tr>
      <w:tr w:rsidR="005B131E" w:rsidRPr="00BA7805" w14:paraId="5B2B5169" w14:textId="77777777" w:rsidTr="002542E1">
        <w:tc>
          <w:tcPr>
            <w:tcW w:w="3969" w:type="dxa"/>
            <w:tcBorders>
              <w:bottom w:val="single" w:sz="4" w:space="0" w:color="auto"/>
            </w:tcBorders>
          </w:tcPr>
          <w:p w14:paraId="65519882" w14:textId="77777777" w:rsidR="005B131E" w:rsidRPr="00DD5491" w:rsidRDefault="005B131E" w:rsidP="002542E1">
            <w:pPr>
              <w:pStyle w:val="ARfintablebodybold"/>
            </w:pPr>
            <w:r w:rsidRPr="00DD5491">
              <w:t>Total financial assets</w:t>
            </w:r>
          </w:p>
        </w:tc>
        <w:tc>
          <w:tcPr>
            <w:tcW w:w="1134" w:type="dxa"/>
            <w:tcBorders>
              <w:bottom w:val="single" w:sz="4" w:space="0" w:color="auto"/>
            </w:tcBorders>
            <w:noWrap/>
          </w:tcPr>
          <w:p w14:paraId="0654AAF7" w14:textId="77777777" w:rsidR="005B131E" w:rsidRPr="00BA7805" w:rsidRDefault="005B131E" w:rsidP="002542E1">
            <w:pPr>
              <w:pStyle w:val="ARfintablebodyrightbold"/>
              <w:rPr>
                <w:highlight w:val="green"/>
              </w:rPr>
            </w:pPr>
          </w:p>
        </w:tc>
        <w:tc>
          <w:tcPr>
            <w:tcW w:w="1134" w:type="dxa"/>
            <w:tcBorders>
              <w:bottom w:val="single" w:sz="4" w:space="0" w:color="auto"/>
            </w:tcBorders>
            <w:noWrap/>
          </w:tcPr>
          <w:p w14:paraId="792F833E" w14:textId="77777777" w:rsidR="005B131E" w:rsidRPr="00BA7805" w:rsidRDefault="005B131E" w:rsidP="002542E1">
            <w:pPr>
              <w:pStyle w:val="ARfintablebodyrightbold"/>
              <w:rPr>
                <w:highlight w:val="green"/>
              </w:rPr>
            </w:pPr>
            <w:r w:rsidRPr="00B8712B">
              <w:t>907.9</w:t>
            </w:r>
          </w:p>
        </w:tc>
        <w:tc>
          <w:tcPr>
            <w:tcW w:w="1134" w:type="dxa"/>
            <w:tcBorders>
              <w:bottom w:val="single" w:sz="4" w:space="0" w:color="auto"/>
            </w:tcBorders>
            <w:shd w:val="clear" w:color="auto" w:fill="E7E6E6" w:themeFill="accent4"/>
            <w:noWrap/>
          </w:tcPr>
          <w:p w14:paraId="2ECAE699" w14:textId="77777777" w:rsidR="005B131E" w:rsidRPr="00BA7805" w:rsidRDefault="005B131E" w:rsidP="002542E1">
            <w:pPr>
              <w:pStyle w:val="ARfintablebodyrightbold"/>
              <w:rPr>
                <w:highlight w:val="green"/>
              </w:rPr>
            </w:pPr>
            <w:r w:rsidRPr="00B8712B">
              <w:t>1.1</w:t>
            </w:r>
          </w:p>
        </w:tc>
        <w:tc>
          <w:tcPr>
            <w:tcW w:w="1134" w:type="dxa"/>
            <w:tcBorders>
              <w:bottom w:val="single" w:sz="4" w:space="0" w:color="auto"/>
            </w:tcBorders>
            <w:shd w:val="clear" w:color="auto" w:fill="E7E6E6" w:themeFill="accent4"/>
            <w:noWrap/>
          </w:tcPr>
          <w:p w14:paraId="38FD45D6" w14:textId="77777777" w:rsidR="005B131E" w:rsidRPr="00BA7805" w:rsidRDefault="005B131E" w:rsidP="002542E1">
            <w:pPr>
              <w:pStyle w:val="ARfintablebodyrightbold"/>
              <w:rPr>
                <w:highlight w:val="green"/>
              </w:rPr>
            </w:pPr>
            <w:r w:rsidRPr="00B8712B">
              <w:t>649.7</w:t>
            </w:r>
          </w:p>
        </w:tc>
        <w:tc>
          <w:tcPr>
            <w:tcW w:w="1134" w:type="dxa"/>
            <w:tcBorders>
              <w:bottom w:val="single" w:sz="4" w:space="0" w:color="auto"/>
            </w:tcBorders>
            <w:shd w:val="clear" w:color="auto" w:fill="E7E6E6" w:themeFill="accent4"/>
            <w:noWrap/>
          </w:tcPr>
          <w:p w14:paraId="676CFCCE" w14:textId="77777777" w:rsidR="005B131E" w:rsidRPr="00BA7805" w:rsidRDefault="005B131E" w:rsidP="002542E1">
            <w:pPr>
              <w:pStyle w:val="ARfintablebodyrightbold"/>
              <w:rPr>
                <w:highlight w:val="green"/>
              </w:rPr>
            </w:pPr>
            <w:r w:rsidRPr="00B8712B">
              <w:t>257.1</w:t>
            </w:r>
          </w:p>
        </w:tc>
      </w:tr>
      <w:tr w:rsidR="005B131E" w:rsidRPr="00BA7805" w14:paraId="3556831F" w14:textId="77777777" w:rsidTr="002542E1">
        <w:tc>
          <w:tcPr>
            <w:tcW w:w="9639" w:type="dxa"/>
            <w:gridSpan w:val="6"/>
            <w:tcBorders>
              <w:top w:val="single" w:sz="4" w:space="0" w:color="A6A6A6"/>
              <w:bottom w:val="single" w:sz="4" w:space="0" w:color="A6A6A6"/>
            </w:tcBorders>
          </w:tcPr>
          <w:p w14:paraId="27DF1C89" w14:textId="77777777" w:rsidR="005B131E" w:rsidRPr="00754F54" w:rsidRDefault="005B131E" w:rsidP="002542E1">
            <w:pPr>
              <w:pStyle w:val="ARfintablebodybold"/>
            </w:pPr>
            <w:r w:rsidRPr="00DD5491">
              <w:t>Financial liabilities</w:t>
            </w:r>
          </w:p>
        </w:tc>
      </w:tr>
      <w:tr w:rsidR="005B131E" w:rsidRPr="00BA7805" w14:paraId="6B9B65E7" w14:textId="77777777" w:rsidTr="002542E1">
        <w:tc>
          <w:tcPr>
            <w:tcW w:w="3969" w:type="dxa"/>
            <w:tcBorders>
              <w:top w:val="single" w:sz="4" w:space="0" w:color="A6A6A6"/>
              <w:bottom w:val="single" w:sz="4" w:space="0" w:color="A6A6A6"/>
            </w:tcBorders>
          </w:tcPr>
          <w:p w14:paraId="52F0FD73" w14:textId="77777777" w:rsidR="005B131E" w:rsidRPr="00DD5491" w:rsidRDefault="005B131E" w:rsidP="002542E1">
            <w:pPr>
              <w:pStyle w:val="ARfintablebody"/>
            </w:pPr>
            <w:r w:rsidRPr="00DD5491">
              <w:t xml:space="preserve">Payables </w:t>
            </w:r>
            <w:r w:rsidRPr="00DD5491">
              <w:rPr>
                <w:vertAlign w:val="superscript"/>
              </w:rPr>
              <w:t>(i)(ii)</w:t>
            </w:r>
          </w:p>
        </w:tc>
        <w:tc>
          <w:tcPr>
            <w:tcW w:w="1134" w:type="dxa"/>
            <w:tcBorders>
              <w:top w:val="single" w:sz="4" w:space="0" w:color="A6A6A6"/>
              <w:bottom w:val="single" w:sz="4" w:space="0" w:color="A6A6A6"/>
            </w:tcBorders>
            <w:noWrap/>
          </w:tcPr>
          <w:p w14:paraId="0237FFAB" w14:textId="77777777" w:rsidR="005B131E" w:rsidRPr="00BA7805" w:rsidRDefault="005B131E" w:rsidP="002542E1">
            <w:pPr>
              <w:pStyle w:val="ARfintablebodyright"/>
              <w:rPr>
                <w:highlight w:val="green"/>
              </w:rPr>
            </w:pPr>
          </w:p>
        </w:tc>
        <w:tc>
          <w:tcPr>
            <w:tcW w:w="1134" w:type="dxa"/>
            <w:tcBorders>
              <w:top w:val="single" w:sz="4" w:space="0" w:color="A6A6A6"/>
              <w:bottom w:val="single" w:sz="4" w:space="0" w:color="A6A6A6"/>
            </w:tcBorders>
            <w:noWrap/>
          </w:tcPr>
          <w:p w14:paraId="39580343" w14:textId="77777777" w:rsidR="005B131E" w:rsidRPr="00BA7805" w:rsidRDefault="005B131E" w:rsidP="002542E1">
            <w:pPr>
              <w:pStyle w:val="ARfintablebodyright"/>
              <w:rPr>
                <w:highlight w:val="green"/>
              </w:rPr>
            </w:pPr>
            <w:r w:rsidRPr="00754F54">
              <w:t>380.</w:t>
            </w:r>
            <w:r>
              <w:t>7</w:t>
            </w:r>
          </w:p>
        </w:tc>
        <w:tc>
          <w:tcPr>
            <w:tcW w:w="1134" w:type="dxa"/>
            <w:tcBorders>
              <w:top w:val="single" w:sz="4" w:space="0" w:color="A6A6A6"/>
              <w:bottom w:val="single" w:sz="4" w:space="0" w:color="A6A6A6"/>
            </w:tcBorders>
            <w:shd w:val="clear" w:color="auto" w:fill="E7E6E6" w:themeFill="accent4"/>
            <w:noWrap/>
          </w:tcPr>
          <w:p w14:paraId="0081E768"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12971E88"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4A7AFF27" w14:textId="77777777" w:rsidR="005B131E" w:rsidRPr="00BA7805" w:rsidRDefault="005B131E" w:rsidP="002542E1">
            <w:pPr>
              <w:pStyle w:val="ARfintablebodyright"/>
              <w:rPr>
                <w:highlight w:val="green"/>
              </w:rPr>
            </w:pPr>
            <w:r w:rsidRPr="00754F54">
              <w:t>380.7</w:t>
            </w:r>
          </w:p>
        </w:tc>
      </w:tr>
      <w:tr w:rsidR="005B131E" w:rsidRPr="00BA7805" w14:paraId="1C8F7C9F" w14:textId="77777777" w:rsidTr="002542E1">
        <w:tc>
          <w:tcPr>
            <w:tcW w:w="3969" w:type="dxa"/>
            <w:tcBorders>
              <w:top w:val="single" w:sz="4" w:space="0" w:color="A6A6A6"/>
            </w:tcBorders>
          </w:tcPr>
          <w:p w14:paraId="43A13246" w14:textId="77777777" w:rsidR="005B131E" w:rsidRPr="00DD5491" w:rsidRDefault="005B131E" w:rsidP="002542E1">
            <w:pPr>
              <w:pStyle w:val="ARfintablebody"/>
            </w:pPr>
            <w:r w:rsidRPr="00DD5491">
              <w:t xml:space="preserve">Borrowings </w:t>
            </w:r>
            <w:r w:rsidRPr="00DD5491">
              <w:rPr>
                <w:vertAlign w:val="superscript"/>
              </w:rPr>
              <w:t>(i)</w:t>
            </w:r>
          </w:p>
        </w:tc>
        <w:tc>
          <w:tcPr>
            <w:tcW w:w="1134" w:type="dxa"/>
            <w:tcBorders>
              <w:top w:val="single" w:sz="4" w:space="0" w:color="A6A6A6"/>
            </w:tcBorders>
            <w:noWrap/>
          </w:tcPr>
          <w:p w14:paraId="1A127BE0" w14:textId="77777777" w:rsidR="005B131E" w:rsidRPr="00BA7805" w:rsidRDefault="005B131E" w:rsidP="002542E1">
            <w:pPr>
              <w:pStyle w:val="ARfintablebodyright"/>
              <w:rPr>
                <w:highlight w:val="green"/>
              </w:rPr>
            </w:pPr>
            <w:r w:rsidRPr="00754F54">
              <w:t>3.4%</w:t>
            </w:r>
          </w:p>
        </w:tc>
        <w:tc>
          <w:tcPr>
            <w:tcW w:w="1134" w:type="dxa"/>
            <w:tcBorders>
              <w:top w:val="single" w:sz="4" w:space="0" w:color="A6A6A6"/>
            </w:tcBorders>
            <w:noWrap/>
          </w:tcPr>
          <w:p w14:paraId="52270F0D" w14:textId="77777777" w:rsidR="005B131E" w:rsidRPr="00BA7805" w:rsidRDefault="005B131E" w:rsidP="002542E1">
            <w:pPr>
              <w:pStyle w:val="ARfintablebodyright"/>
              <w:rPr>
                <w:highlight w:val="green"/>
              </w:rPr>
            </w:pPr>
            <w:r w:rsidRPr="00754F54">
              <w:t>382.</w:t>
            </w:r>
            <w:r>
              <w:t>1</w:t>
            </w:r>
          </w:p>
        </w:tc>
        <w:tc>
          <w:tcPr>
            <w:tcW w:w="1134" w:type="dxa"/>
            <w:tcBorders>
              <w:top w:val="single" w:sz="4" w:space="0" w:color="A6A6A6"/>
            </w:tcBorders>
            <w:shd w:val="clear" w:color="auto" w:fill="E7E6E6" w:themeFill="accent4"/>
            <w:noWrap/>
          </w:tcPr>
          <w:p w14:paraId="3F7934EC" w14:textId="77777777" w:rsidR="005B131E" w:rsidRPr="00BA7805" w:rsidRDefault="005B131E" w:rsidP="002542E1">
            <w:pPr>
              <w:pStyle w:val="ARfintablebodyright"/>
              <w:rPr>
                <w:highlight w:val="green"/>
              </w:rPr>
            </w:pPr>
            <w:r w:rsidRPr="00754F54">
              <w:t>272.2</w:t>
            </w:r>
          </w:p>
        </w:tc>
        <w:tc>
          <w:tcPr>
            <w:tcW w:w="1134" w:type="dxa"/>
            <w:tcBorders>
              <w:top w:val="single" w:sz="4" w:space="0" w:color="A6A6A6"/>
            </w:tcBorders>
            <w:shd w:val="clear" w:color="auto" w:fill="E7E6E6" w:themeFill="accent4"/>
            <w:noWrap/>
          </w:tcPr>
          <w:p w14:paraId="27F01B5A"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41560876" w14:textId="77777777" w:rsidR="005B131E" w:rsidRPr="00BA7805" w:rsidRDefault="005B131E" w:rsidP="002542E1">
            <w:pPr>
              <w:pStyle w:val="ARfintablebodyright"/>
              <w:rPr>
                <w:highlight w:val="green"/>
              </w:rPr>
            </w:pPr>
            <w:r w:rsidRPr="00754F54">
              <w:t>109.9</w:t>
            </w:r>
          </w:p>
        </w:tc>
      </w:tr>
      <w:tr w:rsidR="005B131E" w:rsidRPr="00BA7805" w14:paraId="6BB8AE06" w14:textId="77777777" w:rsidTr="002542E1">
        <w:tc>
          <w:tcPr>
            <w:tcW w:w="3969" w:type="dxa"/>
          </w:tcPr>
          <w:p w14:paraId="47ACACDD" w14:textId="77777777" w:rsidR="005B131E" w:rsidRPr="00DD5491" w:rsidRDefault="005B131E" w:rsidP="002542E1">
            <w:pPr>
              <w:pStyle w:val="ARfintablebodybold"/>
            </w:pPr>
            <w:r>
              <w:t>Total f</w:t>
            </w:r>
            <w:r w:rsidRPr="00DD5491">
              <w:t>inancial liabilities</w:t>
            </w:r>
          </w:p>
        </w:tc>
        <w:tc>
          <w:tcPr>
            <w:tcW w:w="1134" w:type="dxa"/>
            <w:noWrap/>
          </w:tcPr>
          <w:p w14:paraId="4670709A" w14:textId="77777777" w:rsidR="005B131E" w:rsidRPr="00BA7805" w:rsidRDefault="005B131E" w:rsidP="002542E1">
            <w:pPr>
              <w:pStyle w:val="ARfintablebodyrightbold"/>
              <w:rPr>
                <w:highlight w:val="green"/>
              </w:rPr>
            </w:pPr>
          </w:p>
        </w:tc>
        <w:tc>
          <w:tcPr>
            <w:tcW w:w="1134" w:type="dxa"/>
            <w:noWrap/>
          </w:tcPr>
          <w:p w14:paraId="629CA760" w14:textId="77777777" w:rsidR="005B131E" w:rsidRPr="00BA7805" w:rsidRDefault="005B131E" w:rsidP="002542E1">
            <w:pPr>
              <w:pStyle w:val="ARfintablebodyrightbold"/>
              <w:rPr>
                <w:highlight w:val="green"/>
              </w:rPr>
            </w:pPr>
            <w:r w:rsidRPr="00754F54">
              <w:t>762.8</w:t>
            </w:r>
          </w:p>
        </w:tc>
        <w:tc>
          <w:tcPr>
            <w:tcW w:w="1134" w:type="dxa"/>
            <w:shd w:val="clear" w:color="auto" w:fill="E7E6E6" w:themeFill="accent4"/>
            <w:noWrap/>
          </w:tcPr>
          <w:p w14:paraId="2ECDE924" w14:textId="77777777" w:rsidR="005B131E" w:rsidRPr="00BA7805" w:rsidRDefault="005B131E" w:rsidP="002542E1">
            <w:pPr>
              <w:pStyle w:val="ARfintablebodyrightbold"/>
              <w:rPr>
                <w:highlight w:val="green"/>
              </w:rPr>
            </w:pPr>
            <w:r w:rsidRPr="00754F54">
              <w:t>272.2</w:t>
            </w:r>
          </w:p>
        </w:tc>
        <w:tc>
          <w:tcPr>
            <w:tcW w:w="1134" w:type="dxa"/>
            <w:shd w:val="clear" w:color="auto" w:fill="E7E6E6" w:themeFill="accent4"/>
            <w:noWrap/>
          </w:tcPr>
          <w:p w14:paraId="2C75C6B2" w14:textId="77777777" w:rsidR="005B131E" w:rsidRPr="00BA7805" w:rsidRDefault="005B131E" w:rsidP="002542E1">
            <w:pPr>
              <w:pStyle w:val="ARfintablebodyrightbold"/>
              <w:rPr>
                <w:highlight w:val="green"/>
              </w:rPr>
            </w:pPr>
            <w:r>
              <w:t>–</w:t>
            </w:r>
          </w:p>
        </w:tc>
        <w:tc>
          <w:tcPr>
            <w:tcW w:w="1134" w:type="dxa"/>
            <w:shd w:val="clear" w:color="auto" w:fill="E7E6E6" w:themeFill="accent4"/>
            <w:noWrap/>
          </w:tcPr>
          <w:p w14:paraId="3D54727B" w14:textId="77777777" w:rsidR="005B131E" w:rsidRPr="00BA7805" w:rsidRDefault="005B131E" w:rsidP="002542E1">
            <w:pPr>
              <w:pStyle w:val="ARfintablebodyrightbold"/>
              <w:rPr>
                <w:highlight w:val="green"/>
              </w:rPr>
            </w:pPr>
            <w:r w:rsidRPr="00754F54">
              <w:t>490.6</w:t>
            </w:r>
          </w:p>
        </w:tc>
      </w:tr>
    </w:tbl>
    <w:p w14:paraId="26F9181D" w14:textId="77777777" w:rsidR="005B131E" w:rsidRPr="008C162D" w:rsidRDefault="005B131E" w:rsidP="002542E1">
      <w:pPr>
        <w:pStyle w:val="ARfintablefootnote"/>
        <w:rPr>
          <w:lang w:eastAsia="en-AU"/>
        </w:rPr>
      </w:pPr>
      <w:r w:rsidRPr="008C162D">
        <w:rPr>
          <w:lang w:eastAsia="en-AU"/>
        </w:rPr>
        <w:t>Notes:</w:t>
      </w:r>
    </w:p>
    <w:p w14:paraId="3D1ED4CC" w14:textId="77777777" w:rsidR="005B131E" w:rsidRDefault="005B131E" w:rsidP="002542E1">
      <w:pPr>
        <w:pStyle w:val="ARfintablefootnotetabindent"/>
      </w:pPr>
      <w:r>
        <w:t xml:space="preserve">(i) </w:t>
      </w:r>
      <w:r>
        <w:tab/>
        <w:t xml:space="preserve">The carrying amounts disclosed here exclude statutory amounts, for example, amounts owing to/from Victorian Government and GST input tax credit recoverable and taxes payable. </w:t>
      </w:r>
    </w:p>
    <w:p w14:paraId="62D65BCA" w14:textId="77777777" w:rsidR="005B131E" w:rsidRDefault="005B131E" w:rsidP="002542E1">
      <w:pPr>
        <w:pStyle w:val="ARfintablefootnotetabindent"/>
      </w:pPr>
      <w:r>
        <w:t xml:space="preserve">(ii) </w:t>
      </w:r>
      <w:r>
        <w:tab/>
        <w:t>Grant of right to operate liability has been removed from maturity analysis of contractual payables for 2022–23 and 2023–24, as it is not classified as financial instrument for reporting purpose.</w:t>
      </w:r>
    </w:p>
    <w:p w14:paraId="548C51BD" w14:textId="77777777" w:rsidR="005B131E" w:rsidRDefault="005B131E" w:rsidP="002542E1">
      <w:pPr>
        <w:pStyle w:val="ARbody"/>
        <w:rPr>
          <w:rFonts w:eastAsiaTheme="minorEastAsia"/>
          <w:color w:val="000000"/>
          <w:sz w:val="16"/>
          <w:szCs w:val="14"/>
          <w:lang w:eastAsia="en-AU"/>
        </w:rPr>
      </w:pPr>
      <w:r>
        <w:br w:type="page"/>
      </w:r>
    </w:p>
    <w:p w14:paraId="26289515" w14:textId="77777777" w:rsidR="005B131E" w:rsidRPr="00982510" w:rsidRDefault="005B131E">
      <w:pPr>
        <w:pStyle w:val="Heading7"/>
      </w:pPr>
      <w:r w:rsidRPr="00982510">
        <w:t>Interest rate risk sensitivity analysis</w:t>
      </w: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5B131E" w:rsidRPr="00BA7805" w14:paraId="4AD25D0A"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7DEBFCCC" w14:textId="77777777" w:rsidR="005B131E" w:rsidRPr="00BA7805" w:rsidRDefault="005B131E">
            <w:pPr>
              <w:pStyle w:val="ARfintablecolhead"/>
              <w:rPr>
                <w:highlight w:val="green"/>
              </w:rPr>
            </w:pPr>
          </w:p>
        </w:tc>
        <w:tc>
          <w:tcPr>
            <w:tcW w:w="1134" w:type="dxa"/>
            <w:vMerge w:val="restart"/>
            <w:hideMark/>
          </w:tcPr>
          <w:p w14:paraId="614E2AD3" w14:textId="77777777" w:rsidR="005B131E" w:rsidRPr="00407BE6" w:rsidRDefault="005B131E">
            <w:pPr>
              <w:pStyle w:val="ARfintablecolheadright"/>
            </w:pPr>
            <w:r w:rsidRPr="00407BE6">
              <w:t>Carrying amount</w:t>
            </w:r>
          </w:p>
          <w:p w14:paraId="0ECDBF4A" w14:textId="77777777" w:rsidR="005B131E" w:rsidRPr="00BA7805" w:rsidRDefault="005B131E">
            <w:pPr>
              <w:pStyle w:val="ARfintablecolheadright"/>
              <w:rPr>
                <w:highlight w:val="green"/>
              </w:rPr>
            </w:pPr>
            <w:r w:rsidRPr="00407BE6">
              <w:t>$M</w:t>
            </w:r>
          </w:p>
        </w:tc>
        <w:tc>
          <w:tcPr>
            <w:tcW w:w="2268" w:type="dxa"/>
            <w:gridSpan w:val="2"/>
            <w:shd w:val="clear" w:color="auto" w:fill="E7E6E6" w:themeFill="accent4"/>
            <w:hideMark/>
          </w:tcPr>
          <w:p w14:paraId="06303D2C" w14:textId="77777777" w:rsidR="005B131E" w:rsidRPr="00407BE6" w:rsidRDefault="005B131E">
            <w:pPr>
              <w:pStyle w:val="ARfintablecolheadcentre"/>
            </w:pPr>
            <w:r w:rsidRPr="00407BE6">
              <w:t>Interest rate risk</w:t>
            </w:r>
          </w:p>
        </w:tc>
        <w:tc>
          <w:tcPr>
            <w:tcW w:w="2268" w:type="dxa"/>
            <w:gridSpan w:val="2"/>
            <w:hideMark/>
          </w:tcPr>
          <w:p w14:paraId="03A778CF" w14:textId="77777777" w:rsidR="005B131E" w:rsidRPr="00407BE6" w:rsidRDefault="005B131E">
            <w:pPr>
              <w:pStyle w:val="ARfintablecolheadcentre"/>
            </w:pPr>
            <w:r w:rsidRPr="00407BE6">
              <w:t xml:space="preserve">Consumer Price </w:t>
            </w:r>
            <w:r w:rsidRPr="00407BE6">
              <w:br/>
              <w:t>Index (CPI)</w:t>
            </w:r>
          </w:p>
        </w:tc>
      </w:tr>
      <w:tr w:rsidR="005B131E" w:rsidRPr="00BA7805" w14:paraId="2BB78C1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0348192F" w14:textId="77777777" w:rsidR="005B131E" w:rsidRPr="00BA7805" w:rsidRDefault="005B131E">
            <w:pPr>
              <w:pStyle w:val="ARfintablecolhead"/>
              <w:rPr>
                <w:highlight w:val="green"/>
              </w:rPr>
            </w:pPr>
          </w:p>
        </w:tc>
        <w:tc>
          <w:tcPr>
            <w:tcW w:w="1134" w:type="dxa"/>
            <w:vMerge/>
            <w:hideMark/>
          </w:tcPr>
          <w:p w14:paraId="7FFADDA9" w14:textId="77777777" w:rsidR="005B131E" w:rsidRPr="00BA7805" w:rsidRDefault="005B131E">
            <w:pPr>
              <w:pStyle w:val="ARfintablecolheadright"/>
              <w:rPr>
                <w:highlight w:val="green"/>
              </w:rPr>
            </w:pPr>
          </w:p>
        </w:tc>
        <w:tc>
          <w:tcPr>
            <w:tcW w:w="1134" w:type="dxa"/>
            <w:shd w:val="clear" w:color="auto" w:fill="E7E6E6" w:themeFill="accent4"/>
            <w:hideMark/>
          </w:tcPr>
          <w:p w14:paraId="5616A870" w14:textId="77777777" w:rsidR="005B131E" w:rsidRPr="00407BE6" w:rsidRDefault="005B131E">
            <w:pPr>
              <w:pStyle w:val="ARfintablecolheadright"/>
            </w:pPr>
            <w:r w:rsidRPr="00407BE6">
              <w:rPr>
                <w:rFonts w:cs="Arial"/>
              </w:rPr>
              <w:t>−</w:t>
            </w:r>
            <w:r w:rsidRPr="00407BE6">
              <w:t>0.50%</w:t>
            </w:r>
            <w:r w:rsidRPr="00407BE6">
              <w:br/>
              <w:t>Net result</w:t>
            </w:r>
          </w:p>
          <w:p w14:paraId="3E48ADD3" w14:textId="77777777" w:rsidR="005B131E" w:rsidRPr="00407BE6" w:rsidRDefault="005B131E">
            <w:pPr>
              <w:pStyle w:val="ARfintablecolheadright"/>
            </w:pPr>
            <w:r w:rsidRPr="00407BE6">
              <w:t>$M</w:t>
            </w:r>
          </w:p>
        </w:tc>
        <w:tc>
          <w:tcPr>
            <w:tcW w:w="1134" w:type="dxa"/>
            <w:shd w:val="clear" w:color="auto" w:fill="E7E6E6" w:themeFill="accent4"/>
            <w:hideMark/>
          </w:tcPr>
          <w:p w14:paraId="05414907" w14:textId="77777777" w:rsidR="005B131E" w:rsidRPr="00407BE6" w:rsidRDefault="005B131E">
            <w:pPr>
              <w:pStyle w:val="ARfintablecolheadright"/>
            </w:pPr>
            <w:r w:rsidRPr="00407BE6">
              <w:t>+1.00%</w:t>
            </w:r>
            <w:r w:rsidRPr="00407BE6">
              <w:br/>
              <w:t>Net result</w:t>
            </w:r>
          </w:p>
          <w:p w14:paraId="349B4F0F" w14:textId="77777777" w:rsidR="005B131E" w:rsidRPr="00407BE6" w:rsidRDefault="005B131E">
            <w:pPr>
              <w:pStyle w:val="ARfintablecolheadright"/>
            </w:pPr>
            <w:r w:rsidRPr="00407BE6">
              <w:t>$M</w:t>
            </w:r>
          </w:p>
        </w:tc>
        <w:tc>
          <w:tcPr>
            <w:tcW w:w="1134" w:type="dxa"/>
            <w:hideMark/>
          </w:tcPr>
          <w:p w14:paraId="4534D129" w14:textId="77777777" w:rsidR="005B131E" w:rsidRPr="00407BE6" w:rsidRDefault="005B131E">
            <w:pPr>
              <w:pStyle w:val="ARfintablecolheadright"/>
            </w:pPr>
            <w:r w:rsidRPr="00407BE6">
              <w:rPr>
                <w:rFonts w:cs="Arial"/>
              </w:rPr>
              <w:t>−</w:t>
            </w:r>
            <w:r w:rsidRPr="00407BE6">
              <w:t>0.25%</w:t>
            </w:r>
            <w:r w:rsidRPr="00407BE6">
              <w:br/>
              <w:t>Net result</w:t>
            </w:r>
          </w:p>
          <w:p w14:paraId="1648DC27" w14:textId="77777777" w:rsidR="005B131E" w:rsidRPr="00407BE6" w:rsidRDefault="005B131E">
            <w:pPr>
              <w:pStyle w:val="ARfintablecolheadright"/>
            </w:pPr>
            <w:r w:rsidRPr="00407BE6">
              <w:t>$M</w:t>
            </w:r>
          </w:p>
        </w:tc>
        <w:tc>
          <w:tcPr>
            <w:tcW w:w="1134" w:type="dxa"/>
            <w:hideMark/>
          </w:tcPr>
          <w:p w14:paraId="043277DF" w14:textId="77777777" w:rsidR="005B131E" w:rsidRPr="00407BE6" w:rsidRDefault="005B131E">
            <w:pPr>
              <w:pStyle w:val="ARfintablecolheadright"/>
            </w:pPr>
            <w:r w:rsidRPr="00407BE6">
              <w:t>+1.50%</w:t>
            </w:r>
            <w:r w:rsidRPr="00407BE6">
              <w:br/>
              <w:t>Net result</w:t>
            </w:r>
          </w:p>
          <w:p w14:paraId="1F2D663A" w14:textId="77777777" w:rsidR="005B131E" w:rsidRPr="00407BE6" w:rsidRDefault="005B131E">
            <w:pPr>
              <w:pStyle w:val="ARfintablecolheadright"/>
            </w:pPr>
            <w:r w:rsidRPr="00407BE6">
              <w:t>$M</w:t>
            </w:r>
          </w:p>
        </w:tc>
      </w:tr>
      <w:tr w:rsidR="005B131E" w:rsidRPr="00BA7805" w14:paraId="2EADE583" w14:textId="77777777" w:rsidTr="002542E1">
        <w:tc>
          <w:tcPr>
            <w:tcW w:w="9639" w:type="dxa"/>
            <w:gridSpan w:val="6"/>
            <w:tcBorders>
              <w:bottom w:val="single" w:sz="4" w:space="0" w:color="auto"/>
            </w:tcBorders>
            <w:shd w:val="clear" w:color="auto" w:fill="auto"/>
            <w:hideMark/>
          </w:tcPr>
          <w:p w14:paraId="3B866A6F" w14:textId="77777777" w:rsidR="005B131E" w:rsidRPr="00BA7805" w:rsidRDefault="005B131E">
            <w:pPr>
              <w:pStyle w:val="ARfintablebodybold"/>
              <w:rPr>
                <w:highlight w:val="green"/>
              </w:rPr>
            </w:pPr>
            <w:r w:rsidRPr="00407BE6">
              <w:t>2024</w:t>
            </w:r>
          </w:p>
        </w:tc>
      </w:tr>
      <w:tr w:rsidR="005B131E" w:rsidRPr="00BA7805" w14:paraId="2BEE07D3" w14:textId="77777777" w:rsidTr="002542E1">
        <w:tc>
          <w:tcPr>
            <w:tcW w:w="9639" w:type="dxa"/>
            <w:gridSpan w:val="6"/>
            <w:tcBorders>
              <w:top w:val="single" w:sz="4" w:space="0" w:color="auto"/>
              <w:bottom w:val="single" w:sz="4" w:space="0" w:color="A6A6A6" w:themeColor="background1" w:themeShade="A6"/>
            </w:tcBorders>
            <w:shd w:val="clear" w:color="auto" w:fill="auto"/>
          </w:tcPr>
          <w:p w14:paraId="604AAD7A" w14:textId="77777777" w:rsidR="005B131E" w:rsidRPr="00BA7805" w:rsidRDefault="005B131E">
            <w:pPr>
              <w:pStyle w:val="ARfintablebodybold"/>
              <w:rPr>
                <w:highlight w:val="green"/>
              </w:rPr>
            </w:pPr>
            <w:r w:rsidRPr="00407BE6">
              <w:t>Contractual financial assets</w:t>
            </w:r>
          </w:p>
        </w:tc>
      </w:tr>
      <w:tr w:rsidR="005B131E" w:rsidRPr="00BA7805" w14:paraId="564752F3" w14:textId="77777777" w:rsidTr="002542E1">
        <w:tc>
          <w:tcPr>
            <w:tcW w:w="3969" w:type="dxa"/>
            <w:tcBorders>
              <w:top w:val="single" w:sz="4" w:space="0" w:color="A6A6A6" w:themeColor="background1" w:themeShade="A6"/>
              <w:bottom w:val="single" w:sz="4" w:space="0" w:color="A6A6A6" w:themeColor="background1" w:themeShade="A6"/>
            </w:tcBorders>
          </w:tcPr>
          <w:p w14:paraId="65AEEFB5" w14:textId="77777777" w:rsidR="005B131E" w:rsidRPr="00BA7805" w:rsidRDefault="005B131E" w:rsidP="002542E1">
            <w:pPr>
              <w:pStyle w:val="ARfintablebody"/>
              <w:rPr>
                <w:highlight w:val="green"/>
              </w:rPr>
            </w:pPr>
            <w:r w:rsidRPr="00AC519B">
              <w:t xml:space="preserve">Cash and deposits </w:t>
            </w:r>
            <w:r w:rsidRPr="001E0D04">
              <w:rPr>
                <w:vertAlign w:val="superscript"/>
              </w:rPr>
              <w:t>(i)</w:t>
            </w:r>
          </w:p>
        </w:tc>
        <w:tc>
          <w:tcPr>
            <w:tcW w:w="1134" w:type="dxa"/>
            <w:tcBorders>
              <w:top w:val="single" w:sz="4" w:space="0" w:color="A6A6A6" w:themeColor="background1" w:themeShade="A6"/>
              <w:bottom w:val="single" w:sz="4" w:space="0" w:color="A6A6A6" w:themeColor="background1" w:themeShade="A6"/>
            </w:tcBorders>
            <w:noWrap/>
          </w:tcPr>
          <w:p w14:paraId="032EEC97" w14:textId="77777777" w:rsidR="005B131E" w:rsidRPr="00BA7805" w:rsidRDefault="005B131E" w:rsidP="002542E1">
            <w:pPr>
              <w:pStyle w:val="ARfintablebodyright"/>
              <w:rPr>
                <w:highlight w:val="green"/>
              </w:rPr>
            </w:pPr>
            <w:r w:rsidRPr="00AC519B">
              <w:t>600.5</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3A371DAB" w14:textId="77777777" w:rsidR="005B131E" w:rsidRPr="00BA7805" w:rsidRDefault="005B131E" w:rsidP="002542E1">
            <w:pPr>
              <w:pStyle w:val="ARfintablebodyright"/>
              <w:rPr>
                <w:highlight w:val="green"/>
              </w:rPr>
            </w:pPr>
            <w:r w:rsidRPr="00AC519B">
              <w:t>(2.7)</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6F7A0788" w14:textId="77777777" w:rsidR="005B131E" w:rsidRPr="00BA7805" w:rsidRDefault="005B131E" w:rsidP="002542E1">
            <w:pPr>
              <w:pStyle w:val="ARfintablebodyright"/>
              <w:rPr>
                <w:highlight w:val="green"/>
              </w:rPr>
            </w:pPr>
            <w:r w:rsidRPr="00AC519B">
              <w:t>5.5</w:t>
            </w:r>
          </w:p>
        </w:tc>
        <w:tc>
          <w:tcPr>
            <w:tcW w:w="1134" w:type="dxa"/>
            <w:tcBorders>
              <w:top w:val="single" w:sz="4" w:space="0" w:color="A6A6A6" w:themeColor="background1" w:themeShade="A6"/>
              <w:bottom w:val="single" w:sz="4" w:space="0" w:color="A6A6A6" w:themeColor="background1" w:themeShade="A6"/>
            </w:tcBorders>
            <w:noWrap/>
          </w:tcPr>
          <w:p w14:paraId="377FD827"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3E9431CD" w14:textId="77777777" w:rsidR="005B131E" w:rsidRPr="00BA7805" w:rsidRDefault="005B131E" w:rsidP="002542E1">
            <w:pPr>
              <w:pStyle w:val="ARfintablebodyright"/>
              <w:rPr>
                <w:highlight w:val="green"/>
              </w:rPr>
            </w:pPr>
            <w:r>
              <w:t>–</w:t>
            </w:r>
          </w:p>
        </w:tc>
      </w:tr>
      <w:tr w:rsidR="005B131E" w:rsidRPr="00BA7805" w14:paraId="67A70E6F" w14:textId="77777777" w:rsidTr="002542E1">
        <w:tc>
          <w:tcPr>
            <w:tcW w:w="3969" w:type="dxa"/>
            <w:tcBorders>
              <w:top w:val="single" w:sz="4" w:space="0" w:color="A6A6A6" w:themeColor="background1" w:themeShade="A6"/>
              <w:bottom w:val="single" w:sz="4" w:space="0" w:color="A6A6A6" w:themeColor="background1" w:themeShade="A6"/>
            </w:tcBorders>
          </w:tcPr>
          <w:p w14:paraId="09460714" w14:textId="77777777" w:rsidR="005B131E" w:rsidRPr="00BA7805" w:rsidRDefault="005B131E" w:rsidP="002542E1">
            <w:pPr>
              <w:pStyle w:val="ARfintablebody"/>
              <w:rPr>
                <w:highlight w:val="green"/>
              </w:rPr>
            </w:pPr>
            <w:r w:rsidRPr="00AC519B">
              <w:t xml:space="preserve">Receivables </w:t>
            </w:r>
            <w:r w:rsidRPr="001E0D04">
              <w:rPr>
                <w:vertAlign w:val="superscript"/>
              </w:rPr>
              <w:t>(ii)(iii)</w:t>
            </w:r>
          </w:p>
        </w:tc>
        <w:tc>
          <w:tcPr>
            <w:tcW w:w="1134" w:type="dxa"/>
            <w:tcBorders>
              <w:top w:val="single" w:sz="4" w:space="0" w:color="A6A6A6" w:themeColor="background1" w:themeShade="A6"/>
              <w:bottom w:val="single" w:sz="4" w:space="0" w:color="A6A6A6" w:themeColor="background1" w:themeShade="A6"/>
            </w:tcBorders>
            <w:noWrap/>
          </w:tcPr>
          <w:p w14:paraId="5E8A32BA" w14:textId="77777777" w:rsidR="005B131E" w:rsidRPr="00BA7805" w:rsidRDefault="005B131E" w:rsidP="002542E1">
            <w:pPr>
              <w:pStyle w:val="ARfintablebodyright"/>
              <w:rPr>
                <w:highlight w:val="green"/>
              </w:rPr>
            </w:pPr>
            <w:r w:rsidRPr="00AC519B">
              <w:t>436.2</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76C8E6B4"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14477F21"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15E4D2A8"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06723D51" w14:textId="77777777" w:rsidR="005B131E" w:rsidRPr="00BA7805" w:rsidRDefault="005B131E" w:rsidP="002542E1">
            <w:pPr>
              <w:pStyle w:val="ARfintablebodyright"/>
              <w:rPr>
                <w:highlight w:val="green"/>
              </w:rPr>
            </w:pPr>
            <w:r>
              <w:t>–</w:t>
            </w:r>
          </w:p>
        </w:tc>
      </w:tr>
      <w:tr w:rsidR="005B131E" w:rsidRPr="00BA7805" w14:paraId="37FC7F70" w14:textId="77777777" w:rsidTr="002542E1">
        <w:tc>
          <w:tcPr>
            <w:tcW w:w="3969" w:type="dxa"/>
            <w:tcBorders>
              <w:top w:val="single" w:sz="4" w:space="0" w:color="A6A6A6" w:themeColor="background1" w:themeShade="A6"/>
            </w:tcBorders>
          </w:tcPr>
          <w:p w14:paraId="0EE1B981" w14:textId="77777777" w:rsidR="005B131E" w:rsidRPr="00BA7805" w:rsidRDefault="005B131E" w:rsidP="002542E1">
            <w:pPr>
              <w:pStyle w:val="ARfintablebody"/>
              <w:rPr>
                <w:highlight w:val="green"/>
              </w:rPr>
            </w:pPr>
            <w:r w:rsidRPr="00AC519B">
              <w:t xml:space="preserve">Loans </w:t>
            </w:r>
            <w:r w:rsidRPr="001E0D04">
              <w:rPr>
                <w:vertAlign w:val="superscript"/>
              </w:rPr>
              <w:t>(iii)</w:t>
            </w:r>
          </w:p>
        </w:tc>
        <w:tc>
          <w:tcPr>
            <w:tcW w:w="1134" w:type="dxa"/>
            <w:tcBorders>
              <w:top w:val="single" w:sz="4" w:space="0" w:color="A6A6A6" w:themeColor="background1" w:themeShade="A6"/>
            </w:tcBorders>
            <w:noWrap/>
          </w:tcPr>
          <w:p w14:paraId="0496430A" w14:textId="77777777" w:rsidR="005B131E" w:rsidRPr="00BA7805" w:rsidRDefault="005B131E" w:rsidP="002542E1">
            <w:pPr>
              <w:pStyle w:val="ARfintablebodyright"/>
              <w:rPr>
                <w:highlight w:val="green"/>
              </w:rPr>
            </w:pPr>
            <w:r w:rsidRPr="00AC519B">
              <w:t>28.2</w:t>
            </w:r>
          </w:p>
        </w:tc>
        <w:tc>
          <w:tcPr>
            <w:tcW w:w="1134" w:type="dxa"/>
            <w:tcBorders>
              <w:top w:val="single" w:sz="4" w:space="0" w:color="A6A6A6" w:themeColor="background1" w:themeShade="A6"/>
            </w:tcBorders>
            <w:shd w:val="clear" w:color="auto" w:fill="E7E6E6" w:themeFill="accent4"/>
            <w:noWrap/>
          </w:tcPr>
          <w:p w14:paraId="13967A74"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shd w:val="clear" w:color="auto" w:fill="E7E6E6" w:themeFill="accent4"/>
            <w:noWrap/>
          </w:tcPr>
          <w:p w14:paraId="0EE460E0"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6A6535B5"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47CA53C5" w14:textId="77777777" w:rsidR="005B131E" w:rsidRPr="00BA7805" w:rsidRDefault="005B131E" w:rsidP="002542E1">
            <w:pPr>
              <w:pStyle w:val="ARfintablebodyright"/>
              <w:rPr>
                <w:highlight w:val="green"/>
              </w:rPr>
            </w:pPr>
            <w:r w:rsidRPr="00AC519B">
              <w:t>0.1</w:t>
            </w:r>
          </w:p>
        </w:tc>
      </w:tr>
      <w:tr w:rsidR="005B131E" w:rsidRPr="00BA7805" w14:paraId="79BBCA4A" w14:textId="77777777" w:rsidTr="002542E1">
        <w:tc>
          <w:tcPr>
            <w:tcW w:w="3969" w:type="dxa"/>
            <w:tcBorders>
              <w:bottom w:val="single" w:sz="4" w:space="0" w:color="auto"/>
            </w:tcBorders>
          </w:tcPr>
          <w:p w14:paraId="6CB1C17A" w14:textId="77777777" w:rsidR="005B131E" w:rsidRPr="00BA7805" w:rsidRDefault="005B131E" w:rsidP="002542E1">
            <w:pPr>
              <w:pStyle w:val="ARfintablebodybold"/>
              <w:rPr>
                <w:highlight w:val="green"/>
              </w:rPr>
            </w:pPr>
            <w:r w:rsidRPr="00AC519B">
              <w:t>Total impact</w:t>
            </w:r>
          </w:p>
        </w:tc>
        <w:tc>
          <w:tcPr>
            <w:tcW w:w="1134" w:type="dxa"/>
            <w:tcBorders>
              <w:bottom w:val="single" w:sz="4" w:space="0" w:color="auto"/>
            </w:tcBorders>
            <w:noWrap/>
          </w:tcPr>
          <w:p w14:paraId="7A5864B2" w14:textId="77777777" w:rsidR="005B131E" w:rsidRPr="00BA7805" w:rsidRDefault="005B131E" w:rsidP="002542E1">
            <w:pPr>
              <w:pStyle w:val="ARfintablebodyrightbold"/>
              <w:rPr>
                <w:highlight w:val="green"/>
              </w:rPr>
            </w:pPr>
            <w:r w:rsidRPr="00AC519B">
              <w:t>1,064.9</w:t>
            </w:r>
          </w:p>
        </w:tc>
        <w:tc>
          <w:tcPr>
            <w:tcW w:w="1134" w:type="dxa"/>
            <w:tcBorders>
              <w:bottom w:val="single" w:sz="4" w:space="0" w:color="auto"/>
            </w:tcBorders>
            <w:shd w:val="clear" w:color="auto" w:fill="E7E6E6" w:themeFill="accent4"/>
            <w:noWrap/>
          </w:tcPr>
          <w:p w14:paraId="2C1BF8C7" w14:textId="77777777" w:rsidR="005B131E" w:rsidRPr="00BA7805" w:rsidRDefault="005B131E" w:rsidP="002542E1">
            <w:pPr>
              <w:pStyle w:val="ARfintablebodyrightbold"/>
              <w:rPr>
                <w:highlight w:val="green"/>
              </w:rPr>
            </w:pPr>
            <w:r w:rsidRPr="00AC519B">
              <w:t>(2.7)</w:t>
            </w:r>
          </w:p>
        </w:tc>
        <w:tc>
          <w:tcPr>
            <w:tcW w:w="1134" w:type="dxa"/>
            <w:tcBorders>
              <w:bottom w:val="single" w:sz="4" w:space="0" w:color="auto"/>
            </w:tcBorders>
            <w:shd w:val="clear" w:color="auto" w:fill="E7E6E6" w:themeFill="accent4"/>
            <w:noWrap/>
          </w:tcPr>
          <w:p w14:paraId="4823A45D" w14:textId="77777777" w:rsidR="005B131E" w:rsidRPr="00BA7805" w:rsidRDefault="005B131E" w:rsidP="002542E1">
            <w:pPr>
              <w:pStyle w:val="ARfintablebodyrightbold"/>
              <w:rPr>
                <w:highlight w:val="green"/>
              </w:rPr>
            </w:pPr>
            <w:r w:rsidRPr="00AC519B">
              <w:t>5.5</w:t>
            </w:r>
          </w:p>
        </w:tc>
        <w:tc>
          <w:tcPr>
            <w:tcW w:w="1134" w:type="dxa"/>
            <w:tcBorders>
              <w:bottom w:val="single" w:sz="4" w:space="0" w:color="auto"/>
            </w:tcBorders>
            <w:noWrap/>
          </w:tcPr>
          <w:p w14:paraId="1A6554DC" w14:textId="77777777" w:rsidR="005B131E" w:rsidRPr="00BA7805" w:rsidRDefault="005B131E" w:rsidP="002542E1">
            <w:pPr>
              <w:pStyle w:val="ARfintablebodyrightbold"/>
              <w:rPr>
                <w:highlight w:val="green"/>
              </w:rPr>
            </w:pPr>
            <w:r>
              <w:t>–</w:t>
            </w:r>
          </w:p>
        </w:tc>
        <w:tc>
          <w:tcPr>
            <w:tcW w:w="1134" w:type="dxa"/>
            <w:tcBorders>
              <w:bottom w:val="single" w:sz="4" w:space="0" w:color="auto"/>
            </w:tcBorders>
            <w:noWrap/>
          </w:tcPr>
          <w:p w14:paraId="3C7543EE" w14:textId="77777777" w:rsidR="005B131E" w:rsidRPr="00BA7805" w:rsidRDefault="005B131E" w:rsidP="002542E1">
            <w:pPr>
              <w:pStyle w:val="ARfintablebodyrightbold"/>
              <w:rPr>
                <w:highlight w:val="green"/>
              </w:rPr>
            </w:pPr>
            <w:r w:rsidRPr="00AC519B">
              <w:t>0.1</w:t>
            </w:r>
          </w:p>
        </w:tc>
      </w:tr>
      <w:tr w:rsidR="005B131E" w:rsidRPr="00BA7805" w14:paraId="723EB039" w14:textId="77777777" w:rsidTr="002542E1">
        <w:tc>
          <w:tcPr>
            <w:tcW w:w="9639" w:type="dxa"/>
            <w:gridSpan w:val="6"/>
            <w:tcBorders>
              <w:top w:val="single" w:sz="4" w:space="0" w:color="auto"/>
              <w:bottom w:val="single" w:sz="4" w:space="0" w:color="A6A6A6" w:themeColor="background1" w:themeShade="A6"/>
            </w:tcBorders>
            <w:shd w:val="clear" w:color="auto" w:fill="auto"/>
          </w:tcPr>
          <w:p w14:paraId="344C6801" w14:textId="77777777" w:rsidR="005B131E" w:rsidRPr="00BA7805" w:rsidRDefault="005B131E">
            <w:pPr>
              <w:pStyle w:val="ARfintablebodybold"/>
              <w:rPr>
                <w:highlight w:val="green"/>
              </w:rPr>
            </w:pPr>
            <w:r w:rsidRPr="00BF5029">
              <w:t>Contractual financial liabilities</w:t>
            </w:r>
          </w:p>
        </w:tc>
      </w:tr>
      <w:tr w:rsidR="005B131E" w:rsidRPr="00BA7805" w14:paraId="38F20E63" w14:textId="77777777" w:rsidTr="002542E1">
        <w:tc>
          <w:tcPr>
            <w:tcW w:w="3969" w:type="dxa"/>
            <w:tcBorders>
              <w:top w:val="single" w:sz="4" w:space="0" w:color="A6A6A6" w:themeColor="background1" w:themeShade="A6"/>
              <w:bottom w:val="single" w:sz="4" w:space="0" w:color="A6A6A6" w:themeColor="background1" w:themeShade="A6"/>
            </w:tcBorders>
          </w:tcPr>
          <w:p w14:paraId="69FB6DF2" w14:textId="77777777" w:rsidR="005B131E" w:rsidRPr="00BA7805" w:rsidRDefault="005B131E" w:rsidP="002542E1">
            <w:pPr>
              <w:pStyle w:val="ARfintablebody"/>
              <w:rPr>
                <w:highlight w:val="green"/>
              </w:rPr>
            </w:pPr>
            <w:r w:rsidRPr="00B30BF1">
              <w:t xml:space="preserve">Payables </w:t>
            </w:r>
            <w:r w:rsidRPr="001E0D04">
              <w:rPr>
                <w:vertAlign w:val="superscript"/>
              </w:rPr>
              <w:t>(iii)</w:t>
            </w:r>
          </w:p>
        </w:tc>
        <w:tc>
          <w:tcPr>
            <w:tcW w:w="1134" w:type="dxa"/>
            <w:tcBorders>
              <w:top w:val="single" w:sz="4" w:space="0" w:color="A6A6A6" w:themeColor="background1" w:themeShade="A6"/>
              <w:bottom w:val="single" w:sz="4" w:space="0" w:color="A6A6A6" w:themeColor="background1" w:themeShade="A6"/>
            </w:tcBorders>
            <w:noWrap/>
          </w:tcPr>
          <w:p w14:paraId="6DB5C4D6" w14:textId="77777777" w:rsidR="005B131E" w:rsidRPr="00BA7805" w:rsidRDefault="005B131E" w:rsidP="002542E1">
            <w:pPr>
              <w:pStyle w:val="ARfintablebodyright"/>
              <w:rPr>
                <w:highlight w:val="green"/>
              </w:rPr>
            </w:pPr>
            <w:r w:rsidRPr="00B30BF1">
              <w:t>479.5</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714D4378"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3C224B01"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0AA43B4F"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59840649" w14:textId="77777777" w:rsidR="005B131E" w:rsidRPr="00BA7805" w:rsidRDefault="005B131E" w:rsidP="002542E1">
            <w:pPr>
              <w:pStyle w:val="ARfintablebodyright"/>
              <w:rPr>
                <w:highlight w:val="green"/>
              </w:rPr>
            </w:pPr>
            <w:r>
              <w:t>–</w:t>
            </w:r>
          </w:p>
        </w:tc>
      </w:tr>
      <w:tr w:rsidR="005B131E" w:rsidRPr="00BA7805" w14:paraId="560CE87E" w14:textId="77777777" w:rsidTr="002542E1">
        <w:tc>
          <w:tcPr>
            <w:tcW w:w="3969" w:type="dxa"/>
            <w:tcBorders>
              <w:top w:val="single" w:sz="4" w:space="0" w:color="A6A6A6" w:themeColor="background1" w:themeShade="A6"/>
            </w:tcBorders>
          </w:tcPr>
          <w:p w14:paraId="391ECD13" w14:textId="77777777" w:rsidR="005B131E" w:rsidRPr="00BA7805" w:rsidRDefault="005B131E" w:rsidP="002542E1">
            <w:pPr>
              <w:pStyle w:val="ARfintablebody"/>
              <w:rPr>
                <w:highlight w:val="green"/>
              </w:rPr>
            </w:pPr>
            <w:r w:rsidRPr="00B30BF1">
              <w:t xml:space="preserve">Borrowings </w:t>
            </w:r>
            <w:r w:rsidRPr="001E0D04">
              <w:rPr>
                <w:vertAlign w:val="superscript"/>
              </w:rPr>
              <w:t>(iv)</w:t>
            </w:r>
          </w:p>
        </w:tc>
        <w:tc>
          <w:tcPr>
            <w:tcW w:w="1134" w:type="dxa"/>
            <w:tcBorders>
              <w:top w:val="single" w:sz="4" w:space="0" w:color="A6A6A6" w:themeColor="background1" w:themeShade="A6"/>
            </w:tcBorders>
            <w:noWrap/>
          </w:tcPr>
          <w:p w14:paraId="6DAE14F6" w14:textId="77777777" w:rsidR="005B131E" w:rsidRPr="00BA7805" w:rsidRDefault="005B131E" w:rsidP="002542E1">
            <w:pPr>
              <w:pStyle w:val="ARfintablebodyright"/>
              <w:rPr>
                <w:highlight w:val="green"/>
              </w:rPr>
            </w:pPr>
            <w:r w:rsidRPr="00B30BF1">
              <w:t>503.7</w:t>
            </w:r>
          </w:p>
        </w:tc>
        <w:tc>
          <w:tcPr>
            <w:tcW w:w="1134" w:type="dxa"/>
            <w:tcBorders>
              <w:top w:val="single" w:sz="4" w:space="0" w:color="A6A6A6" w:themeColor="background1" w:themeShade="A6"/>
            </w:tcBorders>
            <w:shd w:val="clear" w:color="auto" w:fill="E7E6E6" w:themeFill="accent4"/>
            <w:noWrap/>
          </w:tcPr>
          <w:p w14:paraId="4A671103"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shd w:val="clear" w:color="auto" w:fill="E7E6E6" w:themeFill="accent4"/>
            <w:noWrap/>
          </w:tcPr>
          <w:p w14:paraId="6F046C70"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17C1086A"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636C8A92" w14:textId="77777777" w:rsidR="005B131E" w:rsidRPr="00BA7805" w:rsidRDefault="005B131E" w:rsidP="002542E1">
            <w:pPr>
              <w:pStyle w:val="ARfintablebodyright"/>
              <w:rPr>
                <w:highlight w:val="green"/>
              </w:rPr>
            </w:pPr>
            <w:r>
              <w:t>–</w:t>
            </w:r>
          </w:p>
        </w:tc>
      </w:tr>
      <w:tr w:rsidR="005B131E" w:rsidRPr="00BA7805" w14:paraId="4D256DF2" w14:textId="77777777" w:rsidTr="002542E1">
        <w:tc>
          <w:tcPr>
            <w:tcW w:w="3969" w:type="dxa"/>
          </w:tcPr>
          <w:p w14:paraId="4840015D" w14:textId="77777777" w:rsidR="005B131E" w:rsidRPr="00BA7805" w:rsidRDefault="005B131E" w:rsidP="002542E1">
            <w:pPr>
              <w:pStyle w:val="ARfintablebodybold"/>
              <w:rPr>
                <w:highlight w:val="green"/>
              </w:rPr>
            </w:pPr>
            <w:r w:rsidRPr="00B30BF1">
              <w:t>Total impact</w:t>
            </w:r>
          </w:p>
        </w:tc>
        <w:tc>
          <w:tcPr>
            <w:tcW w:w="1134" w:type="dxa"/>
            <w:noWrap/>
          </w:tcPr>
          <w:p w14:paraId="5A813396" w14:textId="77777777" w:rsidR="005B131E" w:rsidRPr="00BA7805" w:rsidRDefault="005B131E" w:rsidP="002542E1">
            <w:pPr>
              <w:pStyle w:val="ARfintablebodyrightbold"/>
              <w:rPr>
                <w:highlight w:val="green"/>
              </w:rPr>
            </w:pPr>
            <w:r w:rsidRPr="00B30BF1">
              <w:t>983.2</w:t>
            </w:r>
          </w:p>
        </w:tc>
        <w:tc>
          <w:tcPr>
            <w:tcW w:w="1134" w:type="dxa"/>
            <w:shd w:val="clear" w:color="auto" w:fill="E7E6E6" w:themeFill="accent4"/>
            <w:noWrap/>
          </w:tcPr>
          <w:p w14:paraId="29A4E36D" w14:textId="77777777" w:rsidR="005B131E" w:rsidRPr="00BA7805" w:rsidRDefault="005B131E" w:rsidP="002542E1">
            <w:pPr>
              <w:pStyle w:val="ARfintablebodyrightbold"/>
              <w:rPr>
                <w:highlight w:val="green"/>
              </w:rPr>
            </w:pPr>
            <w:r>
              <w:t>–</w:t>
            </w:r>
          </w:p>
        </w:tc>
        <w:tc>
          <w:tcPr>
            <w:tcW w:w="1134" w:type="dxa"/>
            <w:shd w:val="clear" w:color="auto" w:fill="E7E6E6" w:themeFill="accent4"/>
            <w:noWrap/>
          </w:tcPr>
          <w:p w14:paraId="35B58F96" w14:textId="77777777" w:rsidR="005B131E" w:rsidRPr="00BA7805" w:rsidRDefault="005B131E" w:rsidP="002542E1">
            <w:pPr>
              <w:pStyle w:val="ARfintablebodyrightbold"/>
              <w:rPr>
                <w:highlight w:val="green"/>
              </w:rPr>
            </w:pPr>
            <w:r>
              <w:t>–</w:t>
            </w:r>
          </w:p>
        </w:tc>
        <w:tc>
          <w:tcPr>
            <w:tcW w:w="1134" w:type="dxa"/>
            <w:noWrap/>
          </w:tcPr>
          <w:p w14:paraId="11522FCF" w14:textId="77777777" w:rsidR="005B131E" w:rsidRPr="00BA7805" w:rsidRDefault="005B131E" w:rsidP="002542E1">
            <w:pPr>
              <w:pStyle w:val="ARfintablebodyrightbold"/>
              <w:rPr>
                <w:highlight w:val="green"/>
              </w:rPr>
            </w:pPr>
            <w:r>
              <w:t>–</w:t>
            </w:r>
          </w:p>
        </w:tc>
        <w:tc>
          <w:tcPr>
            <w:tcW w:w="1134" w:type="dxa"/>
            <w:noWrap/>
          </w:tcPr>
          <w:p w14:paraId="1900C229" w14:textId="77777777" w:rsidR="005B131E" w:rsidRPr="00BA7805" w:rsidRDefault="005B131E" w:rsidP="002542E1">
            <w:pPr>
              <w:pStyle w:val="ARfintablebodyrightbold"/>
              <w:rPr>
                <w:highlight w:val="green"/>
              </w:rPr>
            </w:pPr>
            <w:r>
              <w:t>–</w:t>
            </w:r>
          </w:p>
        </w:tc>
      </w:tr>
    </w:tbl>
    <w:p w14:paraId="2FF7A898" w14:textId="77777777" w:rsidR="005B131E" w:rsidRPr="003B78BF" w:rsidRDefault="005B131E" w:rsidP="002542E1">
      <w:pPr>
        <w:pStyle w:val="ARfinbody"/>
        <w:rPr>
          <w:highlight w:val="green"/>
        </w:rPr>
      </w:pP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5B131E" w:rsidRPr="00BA7805" w14:paraId="7F73D3E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4B0B943A" w14:textId="77777777" w:rsidR="005B131E" w:rsidRPr="00BA7805" w:rsidRDefault="005B131E">
            <w:pPr>
              <w:pStyle w:val="ARfintablecolhead"/>
              <w:rPr>
                <w:highlight w:val="green"/>
              </w:rPr>
            </w:pPr>
          </w:p>
        </w:tc>
        <w:tc>
          <w:tcPr>
            <w:tcW w:w="1134" w:type="dxa"/>
            <w:vMerge w:val="restart"/>
            <w:hideMark/>
          </w:tcPr>
          <w:p w14:paraId="16425A14" w14:textId="77777777" w:rsidR="005B131E" w:rsidRPr="00BF5029" w:rsidRDefault="005B131E">
            <w:pPr>
              <w:pStyle w:val="ARfintablecolheadright"/>
            </w:pPr>
            <w:r w:rsidRPr="00BF5029">
              <w:t>Carrying amount</w:t>
            </w:r>
          </w:p>
          <w:p w14:paraId="0A865F0D" w14:textId="77777777" w:rsidR="005B131E" w:rsidRPr="00BF5029" w:rsidRDefault="005B131E">
            <w:pPr>
              <w:pStyle w:val="ARfintablecolheadright"/>
            </w:pPr>
            <w:r w:rsidRPr="00BF5029">
              <w:t>$M</w:t>
            </w:r>
          </w:p>
        </w:tc>
        <w:tc>
          <w:tcPr>
            <w:tcW w:w="2268" w:type="dxa"/>
            <w:gridSpan w:val="2"/>
            <w:shd w:val="clear" w:color="auto" w:fill="E7E6E6" w:themeFill="accent4"/>
            <w:hideMark/>
          </w:tcPr>
          <w:p w14:paraId="5FF92886" w14:textId="77777777" w:rsidR="005B131E" w:rsidRPr="00BF5029" w:rsidRDefault="005B131E">
            <w:pPr>
              <w:pStyle w:val="ARfintablecolheadcentre"/>
            </w:pPr>
            <w:r w:rsidRPr="00BF5029">
              <w:t>Interest rate risk</w:t>
            </w:r>
          </w:p>
        </w:tc>
        <w:tc>
          <w:tcPr>
            <w:tcW w:w="2268" w:type="dxa"/>
            <w:gridSpan w:val="2"/>
            <w:hideMark/>
          </w:tcPr>
          <w:p w14:paraId="74947C5C" w14:textId="77777777" w:rsidR="005B131E" w:rsidRPr="00BF5029" w:rsidRDefault="005B131E">
            <w:pPr>
              <w:pStyle w:val="ARfintablecolheadcentre"/>
            </w:pPr>
            <w:r w:rsidRPr="00BF5029">
              <w:t xml:space="preserve">Consumer Price </w:t>
            </w:r>
            <w:r w:rsidRPr="00BF5029">
              <w:br/>
              <w:t>Index (CPI)</w:t>
            </w:r>
          </w:p>
        </w:tc>
      </w:tr>
      <w:tr w:rsidR="005B131E" w:rsidRPr="00BA7805" w14:paraId="5BED51A7"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19950FC6" w14:textId="77777777" w:rsidR="005B131E" w:rsidRPr="00BA7805" w:rsidRDefault="005B131E">
            <w:pPr>
              <w:pStyle w:val="ARfintablecolhead"/>
              <w:rPr>
                <w:highlight w:val="green"/>
              </w:rPr>
            </w:pPr>
          </w:p>
        </w:tc>
        <w:tc>
          <w:tcPr>
            <w:tcW w:w="1134" w:type="dxa"/>
            <w:vMerge/>
            <w:hideMark/>
          </w:tcPr>
          <w:p w14:paraId="068AE418" w14:textId="77777777" w:rsidR="005B131E" w:rsidRPr="00BF5029" w:rsidRDefault="005B131E">
            <w:pPr>
              <w:pStyle w:val="ARfintablecolheadright"/>
            </w:pPr>
          </w:p>
        </w:tc>
        <w:tc>
          <w:tcPr>
            <w:tcW w:w="1134" w:type="dxa"/>
            <w:shd w:val="clear" w:color="auto" w:fill="E7E6E6" w:themeFill="accent4"/>
            <w:hideMark/>
          </w:tcPr>
          <w:p w14:paraId="195D12EF" w14:textId="77777777" w:rsidR="005B131E" w:rsidRPr="00BF5029" w:rsidRDefault="005B131E">
            <w:pPr>
              <w:pStyle w:val="ARfintablecolheadright"/>
            </w:pPr>
            <w:r w:rsidRPr="00BF5029">
              <w:rPr>
                <w:rFonts w:cs="Arial"/>
              </w:rPr>
              <w:t>−</w:t>
            </w:r>
            <w:r w:rsidRPr="00BF5029">
              <w:t>0.50%</w:t>
            </w:r>
            <w:r w:rsidRPr="00BF5029">
              <w:br/>
              <w:t>Net result</w:t>
            </w:r>
          </w:p>
          <w:p w14:paraId="22AC26BB" w14:textId="77777777" w:rsidR="005B131E" w:rsidRPr="00BF5029" w:rsidRDefault="005B131E">
            <w:pPr>
              <w:pStyle w:val="ARfintablecolheadright"/>
            </w:pPr>
            <w:r w:rsidRPr="00BF5029">
              <w:t>$M</w:t>
            </w:r>
          </w:p>
        </w:tc>
        <w:tc>
          <w:tcPr>
            <w:tcW w:w="1134" w:type="dxa"/>
            <w:shd w:val="clear" w:color="auto" w:fill="E7E6E6" w:themeFill="accent4"/>
            <w:hideMark/>
          </w:tcPr>
          <w:p w14:paraId="4156877C" w14:textId="77777777" w:rsidR="005B131E" w:rsidRPr="00BF5029" w:rsidRDefault="005B131E">
            <w:pPr>
              <w:pStyle w:val="ARfintablecolheadright"/>
            </w:pPr>
            <w:r w:rsidRPr="00BF5029">
              <w:t>+1.00%</w:t>
            </w:r>
            <w:r w:rsidRPr="00BF5029">
              <w:br/>
              <w:t>Net result</w:t>
            </w:r>
          </w:p>
          <w:p w14:paraId="2F9878B0" w14:textId="77777777" w:rsidR="005B131E" w:rsidRPr="00BF5029" w:rsidRDefault="005B131E">
            <w:pPr>
              <w:pStyle w:val="ARfintablecolheadright"/>
            </w:pPr>
            <w:r w:rsidRPr="00BF5029">
              <w:t>$M</w:t>
            </w:r>
          </w:p>
        </w:tc>
        <w:tc>
          <w:tcPr>
            <w:tcW w:w="1134" w:type="dxa"/>
            <w:hideMark/>
          </w:tcPr>
          <w:p w14:paraId="075ACD36" w14:textId="77777777" w:rsidR="005B131E" w:rsidRPr="00BF5029" w:rsidRDefault="005B131E">
            <w:pPr>
              <w:pStyle w:val="ARfintablecolheadright"/>
            </w:pPr>
            <w:r w:rsidRPr="00BF5029">
              <w:rPr>
                <w:rFonts w:cs="Arial"/>
              </w:rPr>
              <w:t>−</w:t>
            </w:r>
            <w:r w:rsidRPr="00BF5029">
              <w:t>0.25%</w:t>
            </w:r>
            <w:r w:rsidRPr="00BF5029">
              <w:br/>
              <w:t>Net result</w:t>
            </w:r>
          </w:p>
          <w:p w14:paraId="417F38DB" w14:textId="77777777" w:rsidR="005B131E" w:rsidRPr="00BF5029" w:rsidRDefault="005B131E">
            <w:pPr>
              <w:pStyle w:val="ARfintablecolheadright"/>
            </w:pPr>
            <w:r w:rsidRPr="00BF5029">
              <w:t>$M</w:t>
            </w:r>
          </w:p>
        </w:tc>
        <w:tc>
          <w:tcPr>
            <w:tcW w:w="1134" w:type="dxa"/>
            <w:hideMark/>
          </w:tcPr>
          <w:p w14:paraId="48B4F1CA" w14:textId="77777777" w:rsidR="005B131E" w:rsidRPr="00BF5029" w:rsidRDefault="005B131E">
            <w:pPr>
              <w:pStyle w:val="ARfintablecolheadright"/>
            </w:pPr>
            <w:r w:rsidRPr="00BF5029">
              <w:t>+1.50%</w:t>
            </w:r>
            <w:r w:rsidRPr="00BF5029">
              <w:br/>
              <w:t>Net result</w:t>
            </w:r>
          </w:p>
          <w:p w14:paraId="60ACB01E" w14:textId="77777777" w:rsidR="005B131E" w:rsidRPr="00BF5029" w:rsidRDefault="005B131E">
            <w:pPr>
              <w:pStyle w:val="ARfintablecolheadright"/>
            </w:pPr>
            <w:r w:rsidRPr="00BF5029">
              <w:t>$M</w:t>
            </w:r>
          </w:p>
        </w:tc>
      </w:tr>
      <w:tr w:rsidR="005B131E" w:rsidRPr="00BA7805" w14:paraId="6A946B41" w14:textId="77777777" w:rsidTr="002542E1">
        <w:tc>
          <w:tcPr>
            <w:tcW w:w="9639" w:type="dxa"/>
            <w:gridSpan w:val="6"/>
            <w:tcBorders>
              <w:bottom w:val="single" w:sz="4" w:space="0" w:color="auto"/>
            </w:tcBorders>
            <w:shd w:val="clear" w:color="auto" w:fill="auto"/>
            <w:hideMark/>
          </w:tcPr>
          <w:p w14:paraId="3A625CF1" w14:textId="77777777" w:rsidR="005B131E" w:rsidRPr="00BA7805" w:rsidRDefault="005B131E">
            <w:pPr>
              <w:pStyle w:val="ARfintablebodybold"/>
              <w:rPr>
                <w:highlight w:val="green"/>
              </w:rPr>
            </w:pPr>
            <w:r w:rsidRPr="00BF5029">
              <w:t>2023</w:t>
            </w:r>
          </w:p>
        </w:tc>
      </w:tr>
      <w:tr w:rsidR="005B131E" w:rsidRPr="00BA7805" w14:paraId="6834D8E8" w14:textId="77777777" w:rsidTr="002542E1">
        <w:tc>
          <w:tcPr>
            <w:tcW w:w="9639" w:type="dxa"/>
            <w:gridSpan w:val="6"/>
            <w:tcBorders>
              <w:top w:val="single" w:sz="4" w:space="0" w:color="auto"/>
              <w:bottom w:val="single" w:sz="4" w:space="0" w:color="A6A6A6" w:themeColor="background1" w:themeShade="A6"/>
            </w:tcBorders>
            <w:shd w:val="clear" w:color="auto" w:fill="auto"/>
          </w:tcPr>
          <w:p w14:paraId="5AE3976B" w14:textId="77777777" w:rsidR="005B131E" w:rsidRPr="00BA7805" w:rsidRDefault="005B131E">
            <w:pPr>
              <w:pStyle w:val="ARfintablebodybold"/>
              <w:rPr>
                <w:highlight w:val="green"/>
              </w:rPr>
            </w:pPr>
            <w:r w:rsidRPr="003D65F1">
              <w:t>Contractual financial assets</w:t>
            </w:r>
          </w:p>
        </w:tc>
      </w:tr>
      <w:tr w:rsidR="005B131E" w:rsidRPr="00BA7805" w14:paraId="1D0BFA4C" w14:textId="77777777" w:rsidTr="002542E1">
        <w:tc>
          <w:tcPr>
            <w:tcW w:w="3969" w:type="dxa"/>
            <w:tcBorders>
              <w:top w:val="single" w:sz="4" w:space="0" w:color="A6A6A6" w:themeColor="background1" w:themeShade="A6"/>
              <w:bottom w:val="single" w:sz="4" w:space="0" w:color="A6A6A6" w:themeColor="background1" w:themeShade="A6"/>
            </w:tcBorders>
          </w:tcPr>
          <w:p w14:paraId="4E7231D8" w14:textId="77777777" w:rsidR="005B131E" w:rsidRPr="00BA7805" w:rsidRDefault="005B131E" w:rsidP="002542E1">
            <w:pPr>
              <w:pStyle w:val="ARfintablebody"/>
              <w:rPr>
                <w:highlight w:val="green"/>
              </w:rPr>
            </w:pPr>
            <w:r w:rsidRPr="00C56B0C">
              <w:t xml:space="preserve">Cash and deposits </w:t>
            </w:r>
            <w:r w:rsidRPr="001E0D04">
              <w:rPr>
                <w:vertAlign w:val="superscript"/>
              </w:rPr>
              <w:t>(i)</w:t>
            </w:r>
          </w:p>
        </w:tc>
        <w:tc>
          <w:tcPr>
            <w:tcW w:w="1134" w:type="dxa"/>
            <w:tcBorders>
              <w:top w:val="single" w:sz="4" w:space="0" w:color="A6A6A6" w:themeColor="background1" w:themeShade="A6"/>
              <w:bottom w:val="single" w:sz="4" w:space="0" w:color="A6A6A6" w:themeColor="background1" w:themeShade="A6"/>
            </w:tcBorders>
            <w:noWrap/>
          </w:tcPr>
          <w:p w14:paraId="0DEF0516" w14:textId="77777777" w:rsidR="005B131E" w:rsidRPr="00BA7805" w:rsidRDefault="005B131E" w:rsidP="002542E1">
            <w:pPr>
              <w:pStyle w:val="ARfintablebodyright"/>
              <w:rPr>
                <w:highlight w:val="green"/>
              </w:rPr>
            </w:pPr>
            <w:r w:rsidRPr="00C56B0C">
              <w:t>706.8</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25A2D9C3" w14:textId="77777777" w:rsidR="005B131E" w:rsidRPr="00BA7805" w:rsidRDefault="005B131E" w:rsidP="002542E1">
            <w:pPr>
              <w:pStyle w:val="ARfintablebodyright"/>
              <w:rPr>
                <w:highlight w:val="green"/>
              </w:rPr>
            </w:pPr>
            <w:r w:rsidRPr="00C56B0C">
              <w:t>(3.2)</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7388CD3A" w14:textId="77777777" w:rsidR="005B131E" w:rsidRPr="00BA7805" w:rsidRDefault="005B131E" w:rsidP="002542E1">
            <w:pPr>
              <w:pStyle w:val="ARfintablebodyright"/>
              <w:rPr>
                <w:highlight w:val="green"/>
              </w:rPr>
            </w:pPr>
            <w:r w:rsidRPr="00C56B0C">
              <w:t>6.4</w:t>
            </w:r>
          </w:p>
        </w:tc>
        <w:tc>
          <w:tcPr>
            <w:tcW w:w="1134" w:type="dxa"/>
            <w:tcBorders>
              <w:top w:val="single" w:sz="4" w:space="0" w:color="A6A6A6" w:themeColor="background1" w:themeShade="A6"/>
              <w:bottom w:val="single" w:sz="4" w:space="0" w:color="A6A6A6" w:themeColor="background1" w:themeShade="A6"/>
            </w:tcBorders>
            <w:noWrap/>
          </w:tcPr>
          <w:p w14:paraId="62361D88"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5117E729" w14:textId="77777777" w:rsidR="005B131E" w:rsidRPr="00BA7805" w:rsidRDefault="005B131E" w:rsidP="002542E1">
            <w:pPr>
              <w:pStyle w:val="ARfintablebodyright"/>
              <w:rPr>
                <w:highlight w:val="green"/>
              </w:rPr>
            </w:pPr>
            <w:r>
              <w:t>–</w:t>
            </w:r>
          </w:p>
        </w:tc>
      </w:tr>
      <w:tr w:rsidR="005B131E" w:rsidRPr="00BA7805" w14:paraId="3CD55492" w14:textId="77777777" w:rsidTr="002542E1">
        <w:tc>
          <w:tcPr>
            <w:tcW w:w="3969" w:type="dxa"/>
            <w:tcBorders>
              <w:top w:val="single" w:sz="4" w:space="0" w:color="A6A6A6" w:themeColor="background1" w:themeShade="A6"/>
              <w:bottom w:val="single" w:sz="4" w:space="0" w:color="A6A6A6" w:themeColor="background1" w:themeShade="A6"/>
            </w:tcBorders>
          </w:tcPr>
          <w:p w14:paraId="6F8DE663" w14:textId="77777777" w:rsidR="005B131E" w:rsidRPr="00BA7805" w:rsidRDefault="005B131E" w:rsidP="002542E1">
            <w:pPr>
              <w:pStyle w:val="ARfintablebody"/>
              <w:rPr>
                <w:highlight w:val="green"/>
              </w:rPr>
            </w:pPr>
            <w:r w:rsidRPr="00C56B0C">
              <w:t xml:space="preserve">Receivables </w:t>
            </w:r>
            <w:r w:rsidRPr="001E0D04">
              <w:rPr>
                <w:vertAlign w:val="superscript"/>
              </w:rPr>
              <w:t>(ii)(iii)</w:t>
            </w:r>
          </w:p>
        </w:tc>
        <w:tc>
          <w:tcPr>
            <w:tcW w:w="1134" w:type="dxa"/>
            <w:tcBorders>
              <w:top w:val="single" w:sz="4" w:space="0" w:color="A6A6A6" w:themeColor="background1" w:themeShade="A6"/>
              <w:bottom w:val="single" w:sz="4" w:space="0" w:color="A6A6A6" w:themeColor="background1" w:themeShade="A6"/>
            </w:tcBorders>
            <w:noWrap/>
          </w:tcPr>
          <w:p w14:paraId="31CC4752" w14:textId="77777777" w:rsidR="005B131E" w:rsidRPr="00BA7805" w:rsidRDefault="005B131E" w:rsidP="002542E1">
            <w:pPr>
              <w:pStyle w:val="ARfintablebodyright"/>
              <w:rPr>
                <w:highlight w:val="green"/>
              </w:rPr>
            </w:pPr>
            <w:r w:rsidRPr="00C56B0C">
              <w:t>171.1</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04D8E93D"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1078717A"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77A5FE27"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36141E25" w14:textId="77777777" w:rsidR="005B131E" w:rsidRPr="00BA7805" w:rsidRDefault="005B131E" w:rsidP="002542E1">
            <w:pPr>
              <w:pStyle w:val="ARfintablebodyright"/>
              <w:rPr>
                <w:highlight w:val="green"/>
              </w:rPr>
            </w:pPr>
            <w:r>
              <w:t>–</w:t>
            </w:r>
          </w:p>
        </w:tc>
      </w:tr>
      <w:tr w:rsidR="005B131E" w:rsidRPr="00BA7805" w14:paraId="314254C7" w14:textId="77777777" w:rsidTr="002542E1">
        <w:tc>
          <w:tcPr>
            <w:tcW w:w="3969" w:type="dxa"/>
            <w:tcBorders>
              <w:top w:val="single" w:sz="4" w:space="0" w:color="A6A6A6" w:themeColor="background1" w:themeShade="A6"/>
            </w:tcBorders>
          </w:tcPr>
          <w:p w14:paraId="5F1A4ACA" w14:textId="77777777" w:rsidR="005B131E" w:rsidRPr="00BA7805" w:rsidRDefault="005B131E" w:rsidP="002542E1">
            <w:pPr>
              <w:pStyle w:val="ARfintablebody"/>
              <w:rPr>
                <w:highlight w:val="green"/>
              </w:rPr>
            </w:pPr>
            <w:r w:rsidRPr="00C56B0C">
              <w:t xml:space="preserve">Loans </w:t>
            </w:r>
            <w:r w:rsidRPr="001E0D04">
              <w:rPr>
                <w:vertAlign w:val="superscript"/>
              </w:rPr>
              <w:t>(iii)</w:t>
            </w:r>
          </w:p>
        </w:tc>
        <w:tc>
          <w:tcPr>
            <w:tcW w:w="1134" w:type="dxa"/>
            <w:tcBorders>
              <w:top w:val="single" w:sz="4" w:space="0" w:color="A6A6A6" w:themeColor="background1" w:themeShade="A6"/>
            </w:tcBorders>
            <w:noWrap/>
          </w:tcPr>
          <w:p w14:paraId="0EB41ADA" w14:textId="77777777" w:rsidR="005B131E" w:rsidRPr="00BA7805" w:rsidRDefault="005B131E" w:rsidP="002542E1">
            <w:pPr>
              <w:pStyle w:val="ARfintablebodyright"/>
              <w:rPr>
                <w:highlight w:val="green"/>
              </w:rPr>
            </w:pPr>
            <w:r w:rsidRPr="00C56B0C">
              <w:t>30.0</w:t>
            </w:r>
          </w:p>
        </w:tc>
        <w:tc>
          <w:tcPr>
            <w:tcW w:w="1134" w:type="dxa"/>
            <w:tcBorders>
              <w:top w:val="single" w:sz="4" w:space="0" w:color="A6A6A6" w:themeColor="background1" w:themeShade="A6"/>
            </w:tcBorders>
            <w:shd w:val="clear" w:color="auto" w:fill="E7E6E6" w:themeFill="accent4"/>
            <w:noWrap/>
          </w:tcPr>
          <w:p w14:paraId="2E76CD27"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shd w:val="clear" w:color="auto" w:fill="E7E6E6" w:themeFill="accent4"/>
            <w:noWrap/>
          </w:tcPr>
          <w:p w14:paraId="1EA90E3D"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5693EF0F"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0446F56F" w14:textId="77777777" w:rsidR="005B131E" w:rsidRPr="00BA7805" w:rsidRDefault="005B131E" w:rsidP="002542E1">
            <w:pPr>
              <w:pStyle w:val="ARfintablebodyright"/>
              <w:rPr>
                <w:highlight w:val="green"/>
              </w:rPr>
            </w:pPr>
            <w:r w:rsidRPr="00C56B0C">
              <w:t>0.1</w:t>
            </w:r>
          </w:p>
        </w:tc>
      </w:tr>
      <w:tr w:rsidR="005B131E" w:rsidRPr="00BA7805" w14:paraId="2E03524D" w14:textId="77777777" w:rsidTr="002542E1">
        <w:tc>
          <w:tcPr>
            <w:tcW w:w="3969" w:type="dxa"/>
            <w:tcBorders>
              <w:bottom w:val="single" w:sz="4" w:space="0" w:color="auto"/>
            </w:tcBorders>
          </w:tcPr>
          <w:p w14:paraId="58BB2BA3" w14:textId="77777777" w:rsidR="005B131E" w:rsidRPr="00BA7805" w:rsidRDefault="005B131E" w:rsidP="002542E1">
            <w:pPr>
              <w:pStyle w:val="ARfintablebodybold"/>
              <w:rPr>
                <w:highlight w:val="green"/>
              </w:rPr>
            </w:pPr>
            <w:r w:rsidRPr="00C56B0C">
              <w:t>Total impact</w:t>
            </w:r>
          </w:p>
        </w:tc>
        <w:tc>
          <w:tcPr>
            <w:tcW w:w="1134" w:type="dxa"/>
            <w:tcBorders>
              <w:bottom w:val="single" w:sz="4" w:space="0" w:color="auto"/>
            </w:tcBorders>
            <w:noWrap/>
          </w:tcPr>
          <w:p w14:paraId="1F85E1C9" w14:textId="77777777" w:rsidR="005B131E" w:rsidRPr="00BA7805" w:rsidRDefault="005B131E" w:rsidP="002542E1">
            <w:pPr>
              <w:pStyle w:val="ARfintablebodyrightbold"/>
              <w:rPr>
                <w:highlight w:val="green"/>
              </w:rPr>
            </w:pPr>
            <w:r w:rsidRPr="00C56B0C">
              <w:t>907.9</w:t>
            </w:r>
          </w:p>
        </w:tc>
        <w:tc>
          <w:tcPr>
            <w:tcW w:w="1134" w:type="dxa"/>
            <w:tcBorders>
              <w:bottom w:val="single" w:sz="4" w:space="0" w:color="auto"/>
            </w:tcBorders>
            <w:shd w:val="clear" w:color="auto" w:fill="E7E6E6" w:themeFill="accent4"/>
            <w:noWrap/>
          </w:tcPr>
          <w:p w14:paraId="6E33A020" w14:textId="77777777" w:rsidR="005B131E" w:rsidRPr="00BA7805" w:rsidRDefault="005B131E" w:rsidP="002542E1">
            <w:pPr>
              <w:pStyle w:val="ARfintablebodyrightbold"/>
              <w:rPr>
                <w:highlight w:val="green"/>
              </w:rPr>
            </w:pPr>
            <w:r w:rsidRPr="00C56B0C">
              <w:t>(3.2)</w:t>
            </w:r>
          </w:p>
        </w:tc>
        <w:tc>
          <w:tcPr>
            <w:tcW w:w="1134" w:type="dxa"/>
            <w:tcBorders>
              <w:bottom w:val="single" w:sz="4" w:space="0" w:color="auto"/>
            </w:tcBorders>
            <w:shd w:val="clear" w:color="auto" w:fill="E7E6E6" w:themeFill="accent4"/>
            <w:noWrap/>
          </w:tcPr>
          <w:p w14:paraId="4D92F019" w14:textId="77777777" w:rsidR="005B131E" w:rsidRPr="00BA7805" w:rsidRDefault="005B131E" w:rsidP="002542E1">
            <w:pPr>
              <w:pStyle w:val="ARfintablebodyrightbold"/>
              <w:rPr>
                <w:highlight w:val="green"/>
              </w:rPr>
            </w:pPr>
            <w:r w:rsidRPr="00C56B0C">
              <w:t>6.4</w:t>
            </w:r>
          </w:p>
        </w:tc>
        <w:tc>
          <w:tcPr>
            <w:tcW w:w="1134" w:type="dxa"/>
            <w:tcBorders>
              <w:bottom w:val="single" w:sz="4" w:space="0" w:color="auto"/>
            </w:tcBorders>
            <w:noWrap/>
          </w:tcPr>
          <w:p w14:paraId="1911CE52" w14:textId="77777777" w:rsidR="005B131E" w:rsidRPr="00BA7805" w:rsidRDefault="005B131E" w:rsidP="002542E1">
            <w:pPr>
              <w:pStyle w:val="ARfintablebodyrightbold"/>
              <w:rPr>
                <w:highlight w:val="green"/>
              </w:rPr>
            </w:pPr>
            <w:r>
              <w:t>–</w:t>
            </w:r>
          </w:p>
        </w:tc>
        <w:tc>
          <w:tcPr>
            <w:tcW w:w="1134" w:type="dxa"/>
            <w:tcBorders>
              <w:bottom w:val="single" w:sz="4" w:space="0" w:color="auto"/>
            </w:tcBorders>
            <w:noWrap/>
          </w:tcPr>
          <w:p w14:paraId="5B24CE18" w14:textId="77777777" w:rsidR="005B131E" w:rsidRPr="00BA7805" w:rsidRDefault="005B131E" w:rsidP="002542E1">
            <w:pPr>
              <w:pStyle w:val="ARfintablebodyrightbold"/>
              <w:rPr>
                <w:highlight w:val="green"/>
              </w:rPr>
            </w:pPr>
            <w:r w:rsidRPr="00C56B0C">
              <w:t>0.1</w:t>
            </w:r>
          </w:p>
        </w:tc>
      </w:tr>
      <w:tr w:rsidR="005B131E" w:rsidRPr="00BA7805" w14:paraId="506CDDF0" w14:textId="77777777" w:rsidTr="002542E1">
        <w:tc>
          <w:tcPr>
            <w:tcW w:w="9639" w:type="dxa"/>
            <w:gridSpan w:val="6"/>
            <w:tcBorders>
              <w:top w:val="single" w:sz="4" w:space="0" w:color="auto"/>
              <w:bottom w:val="single" w:sz="4" w:space="0" w:color="A6A6A6" w:themeColor="background1" w:themeShade="A6"/>
            </w:tcBorders>
            <w:shd w:val="clear" w:color="auto" w:fill="auto"/>
          </w:tcPr>
          <w:p w14:paraId="507916CF" w14:textId="77777777" w:rsidR="005B131E" w:rsidRPr="00BA7805" w:rsidRDefault="005B131E">
            <w:pPr>
              <w:pStyle w:val="ARfintablebodybold"/>
              <w:rPr>
                <w:highlight w:val="green"/>
              </w:rPr>
            </w:pPr>
            <w:r w:rsidRPr="003D65F1">
              <w:t>Contractual financial liabilities</w:t>
            </w:r>
          </w:p>
        </w:tc>
      </w:tr>
      <w:tr w:rsidR="005B131E" w:rsidRPr="00BA7805" w14:paraId="3574378B" w14:textId="77777777" w:rsidTr="002542E1">
        <w:tc>
          <w:tcPr>
            <w:tcW w:w="3969" w:type="dxa"/>
            <w:tcBorders>
              <w:top w:val="single" w:sz="4" w:space="0" w:color="A6A6A6" w:themeColor="background1" w:themeShade="A6"/>
              <w:bottom w:val="single" w:sz="4" w:space="0" w:color="A6A6A6" w:themeColor="background1" w:themeShade="A6"/>
            </w:tcBorders>
          </w:tcPr>
          <w:p w14:paraId="7B8B18C0" w14:textId="77777777" w:rsidR="005B131E" w:rsidRPr="00BA7805" w:rsidRDefault="005B131E" w:rsidP="002542E1">
            <w:pPr>
              <w:pStyle w:val="ARfintablebody"/>
              <w:rPr>
                <w:highlight w:val="green"/>
              </w:rPr>
            </w:pPr>
            <w:r w:rsidRPr="002118F0">
              <w:t xml:space="preserve">Payables </w:t>
            </w:r>
            <w:r w:rsidRPr="001E0D04">
              <w:rPr>
                <w:vertAlign w:val="superscript"/>
              </w:rPr>
              <w:t>(iii)</w:t>
            </w:r>
          </w:p>
        </w:tc>
        <w:tc>
          <w:tcPr>
            <w:tcW w:w="1134" w:type="dxa"/>
            <w:tcBorders>
              <w:top w:val="single" w:sz="4" w:space="0" w:color="A6A6A6" w:themeColor="background1" w:themeShade="A6"/>
              <w:bottom w:val="single" w:sz="4" w:space="0" w:color="A6A6A6" w:themeColor="background1" w:themeShade="A6"/>
            </w:tcBorders>
            <w:noWrap/>
          </w:tcPr>
          <w:p w14:paraId="2241726A" w14:textId="77777777" w:rsidR="005B131E" w:rsidRPr="00BA7805" w:rsidRDefault="005B131E" w:rsidP="002542E1">
            <w:pPr>
              <w:pStyle w:val="ARfintablebodyright"/>
              <w:rPr>
                <w:highlight w:val="green"/>
              </w:rPr>
            </w:pPr>
            <w:r w:rsidRPr="002118F0">
              <w:t>380.7</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43CF1F4E"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7BF0C228"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5E557C07"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1084105B" w14:textId="77777777" w:rsidR="005B131E" w:rsidRPr="00BA7805" w:rsidRDefault="005B131E" w:rsidP="002542E1">
            <w:pPr>
              <w:pStyle w:val="ARfintablebodyright"/>
              <w:rPr>
                <w:highlight w:val="green"/>
              </w:rPr>
            </w:pPr>
            <w:r>
              <w:t>–</w:t>
            </w:r>
          </w:p>
        </w:tc>
      </w:tr>
      <w:tr w:rsidR="005B131E" w:rsidRPr="00BA7805" w14:paraId="58C1F330" w14:textId="77777777" w:rsidTr="002542E1">
        <w:tc>
          <w:tcPr>
            <w:tcW w:w="3969" w:type="dxa"/>
            <w:tcBorders>
              <w:top w:val="single" w:sz="4" w:space="0" w:color="A6A6A6" w:themeColor="background1" w:themeShade="A6"/>
            </w:tcBorders>
          </w:tcPr>
          <w:p w14:paraId="4683AA16" w14:textId="77777777" w:rsidR="005B131E" w:rsidRPr="00BA7805" w:rsidRDefault="005B131E" w:rsidP="002542E1">
            <w:pPr>
              <w:pStyle w:val="ARfintablebody"/>
              <w:rPr>
                <w:highlight w:val="green"/>
              </w:rPr>
            </w:pPr>
            <w:r w:rsidRPr="002118F0">
              <w:t xml:space="preserve">Borrowings </w:t>
            </w:r>
            <w:r w:rsidRPr="001E0D04">
              <w:rPr>
                <w:vertAlign w:val="superscript"/>
              </w:rPr>
              <w:t>(iv)</w:t>
            </w:r>
          </w:p>
        </w:tc>
        <w:tc>
          <w:tcPr>
            <w:tcW w:w="1134" w:type="dxa"/>
            <w:tcBorders>
              <w:top w:val="single" w:sz="4" w:space="0" w:color="A6A6A6" w:themeColor="background1" w:themeShade="A6"/>
            </w:tcBorders>
            <w:noWrap/>
          </w:tcPr>
          <w:p w14:paraId="4420D89F" w14:textId="77777777" w:rsidR="005B131E" w:rsidRPr="00BA7805" w:rsidRDefault="005B131E" w:rsidP="002542E1">
            <w:pPr>
              <w:pStyle w:val="ARfintablebodyright"/>
              <w:rPr>
                <w:highlight w:val="green"/>
              </w:rPr>
            </w:pPr>
            <w:r w:rsidRPr="002118F0">
              <w:t>382.1</w:t>
            </w:r>
          </w:p>
        </w:tc>
        <w:tc>
          <w:tcPr>
            <w:tcW w:w="1134" w:type="dxa"/>
            <w:tcBorders>
              <w:top w:val="single" w:sz="4" w:space="0" w:color="A6A6A6" w:themeColor="background1" w:themeShade="A6"/>
            </w:tcBorders>
            <w:shd w:val="clear" w:color="auto" w:fill="E7E6E6" w:themeFill="accent4"/>
            <w:noWrap/>
          </w:tcPr>
          <w:p w14:paraId="3B23224E"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shd w:val="clear" w:color="auto" w:fill="E7E6E6" w:themeFill="accent4"/>
            <w:noWrap/>
          </w:tcPr>
          <w:p w14:paraId="4DE7DC4F"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52FB9199" w14:textId="77777777" w:rsidR="005B131E" w:rsidRPr="00BA7805" w:rsidRDefault="005B131E" w:rsidP="002542E1">
            <w:pPr>
              <w:pStyle w:val="ARfintablebodyright"/>
              <w:rPr>
                <w:highlight w:val="green"/>
              </w:rPr>
            </w:pPr>
            <w:r>
              <w:t>–</w:t>
            </w:r>
          </w:p>
        </w:tc>
        <w:tc>
          <w:tcPr>
            <w:tcW w:w="1134" w:type="dxa"/>
            <w:tcBorders>
              <w:top w:val="single" w:sz="4" w:space="0" w:color="A6A6A6" w:themeColor="background1" w:themeShade="A6"/>
            </w:tcBorders>
            <w:noWrap/>
          </w:tcPr>
          <w:p w14:paraId="180D7EB0" w14:textId="77777777" w:rsidR="005B131E" w:rsidRPr="00BA7805" w:rsidRDefault="005B131E" w:rsidP="002542E1">
            <w:pPr>
              <w:pStyle w:val="ARfintablebodyright"/>
              <w:rPr>
                <w:highlight w:val="green"/>
              </w:rPr>
            </w:pPr>
            <w:r>
              <w:t>–</w:t>
            </w:r>
          </w:p>
        </w:tc>
      </w:tr>
      <w:tr w:rsidR="005B131E" w:rsidRPr="00BA7805" w14:paraId="7FFF16A5" w14:textId="77777777" w:rsidTr="002542E1">
        <w:tc>
          <w:tcPr>
            <w:tcW w:w="3969" w:type="dxa"/>
          </w:tcPr>
          <w:p w14:paraId="239B5CB2" w14:textId="77777777" w:rsidR="005B131E" w:rsidRPr="00BA7805" w:rsidRDefault="005B131E" w:rsidP="002542E1">
            <w:pPr>
              <w:pStyle w:val="ARfintablebodybold"/>
              <w:rPr>
                <w:highlight w:val="green"/>
              </w:rPr>
            </w:pPr>
            <w:r w:rsidRPr="002118F0">
              <w:t>Total impact</w:t>
            </w:r>
          </w:p>
        </w:tc>
        <w:tc>
          <w:tcPr>
            <w:tcW w:w="1134" w:type="dxa"/>
            <w:noWrap/>
          </w:tcPr>
          <w:p w14:paraId="1A3FCD7E" w14:textId="77777777" w:rsidR="005B131E" w:rsidRPr="00BA7805" w:rsidRDefault="005B131E" w:rsidP="002542E1">
            <w:pPr>
              <w:pStyle w:val="ARfintablebodyrightbold"/>
              <w:rPr>
                <w:highlight w:val="green"/>
              </w:rPr>
            </w:pPr>
            <w:r w:rsidRPr="002118F0">
              <w:t>762.8</w:t>
            </w:r>
          </w:p>
        </w:tc>
        <w:tc>
          <w:tcPr>
            <w:tcW w:w="1134" w:type="dxa"/>
            <w:shd w:val="clear" w:color="auto" w:fill="E7E6E6" w:themeFill="accent4"/>
            <w:noWrap/>
          </w:tcPr>
          <w:p w14:paraId="1CBB106D" w14:textId="77777777" w:rsidR="005B131E" w:rsidRPr="00BA7805" w:rsidRDefault="005B131E" w:rsidP="002542E1">
            <w:pPr>
              <w:pStyle w:val="ARfintablebodyrightbold"/>
              <w:rPr>
                <w:highlight w:val="green"/>
              </w:rPr>
            </w:pPr>
            <w:r>
              <w:t>–</w:t>
            </w:r>
          </w:p>
        </w:tc>
        <w:tc>
          <w:tcPr>
            <w:tcW w:w="1134" w:type="dxa"/>
            <w:shd w:val="clear" w:color="auto" w:fill="E7E6E6" w:themeFill="accent4"/>
            <w:noWrap/>
          </w:tcPr>
          <w:p w14:paraId="4F71DB2C" w14:textId="77777777" w:rsidR="005B131E" w:rsidRPr="00BA7805" w:rsidRDefault="005B131E" w:rsidP="002542E1">
            <w:pPr>
              <w:pStyle w:val="ARfintablebodyrightbold"/>
              <w:rPr>
                <w:highlight w:val="green"/>
              </w:rPr>
            </w:pPr>
            <w:r>
              <w:t>–</w:t>
            </w:r>
          </w:p>
        </w:tc>
        <w:tc>
          <w:tcPr>
            <w:tcW w:w="1134" w:type="dxa"/>
            <w:noWrap/>
          </w:tcPr>
          <w:p w14:paraId="5DF1FBF4" w14:textId="77777777" w:rsidR="005B131E" w:rsidRPr="00BA7805" w:rsidRDefault="005B131E" w:rsidP="002542E1">
            <w:pPr>
              <w:pStyle w:val="ARfintablebodyrightbold"/>
              <w:rPr>
                <w:highlight w:val="green"/>
              </w:rPr>
            </w:pPr>
            <w:r>
              <w:t>–</w:t>
            </w:r>
          </w:p>
        </w:tc>
        <w:tc>
          <w:tcPr>
            <w:tcW w:w="1134" w:type="dxa"/>
            <w:noWrap/>
          </w:tcPr>
          <w:p w14:paraId="275B98BB" w14:textId="77777777" w:rsidR="005B131E" w:rsidRPr="00BA7805" w:rsidRDefault="005B131E" w:rsidP="002542E1">
            <w:pPr>
              <w:pStyle w:val="ARfintablebodyrightbold"/>
              <w:rPr>
                <w:highlight w:val="green"/>
              </w:rPr>
            </w:pPr>
            <w:r>
              <w:t>–</w:t>
            </w:r>
          </w:p>
        </w:tc>
      </w:tr>
    </w:tbl>
    <w:p w14:paraId="7814BA8A" w14:textId="77777777" w:rsidR="005B131E" w:rsidRPr="003B78BF" w:rsidRDefault="005B131E">
      <w:pPr>
        <w:pStyle w:val="ARfintablefootnote"/>
        <w:rPr>
          <w:lang w:eastAsia="en-AU"/>
        </w:rPr>
      </w:pPr>
      <w:r w:rsidRPr="003B78BF">
        <w:rPr>
          <w:lang w:eastAsia="en-AU"/>
        </w:rPr>
        <w:t>Notes:</w:t>
      </w:r>
    </w:p>
    <w:p w14:paraId="4E45310D" w14:textId="77777777" w:rsidR="005B131E" w:rsidRDefault="005B131E" w:rsidP="002542E1">
      <w:pPr>
        <w:pStyle w:val="ARfintablefootnotetabindent"/>
      </w:pPr>
      <w:r>
        <w:t xml:space="preserve">(i) </w:t>
      </w:r>
      <w:r>
        <w:tab/>
        <w:t>All cash and deposits are held in Australian dollars and were held on deposits at fixed and variable interest rates. This item is not subject to any other identified risk sensitivities.</w:t>
      </w:r>
      <w:r>
        <w:tab/>
      </w:r>
    </w:p>
    <w:p w14:paraId="4F778F5F" w14:textId="77777777" w:rsidR="005B131E" w:rsidRDefault="005B131E" w:rsidP="002542E1">
      <w:pPr>
        <w:pStyle w:val="ARfintablefootnotetabindent"/>
      </w:pPr>
      <w:r>
        <w:t xml:space="preserve">(ii) </w:t>
      </w:r>
      <w:r>
        <w:tab/>
        <w:t>The carrying amount is denominated in Australian dollars and is non-interest bearing. This item is not subject to the identified risk sensitivities.</w:t>
      </w:r>
    </w:p>
    <w:p w14:paraId="38C40C93" w14:textId="77777777" w:rsidR="005B131E" w:rsidRDefault="005B131E" w:rsidP="002542E1">
      <w:pPr>
        <w:pStyle w:val="ARfintablefootnotetabindent"/>
      </w:pPr>
      <w:r>
        <w:t xml:space="preserve">(iii) </w:t>
      </w:r>
      <w:r>
        <w:tab/>
        <w:t xml:space="preserve">The total amounts disclosed here exclude statutory amounts, for example, amounts owing to/from Victorian Government and GST input tax credit recoverable and taxes payable. </w:t>
      </w:r>
    </w:p>
    <w:p w14:paraId="54232DCE" w14:textId="77777777" w:rsidR="005B131E" w:rsidRDefault="005B131E" w:rsidP="002542E1">
      <w:pPr>
        <w:pStyle w:val="ARfintablefootnotetabindent"/>
      </w:pPr>
      <w:r>
        <w:t>(iv)</w:t>
      </w:r>
      <w:r>
        <w:tab/>
        <w:t>Borrowings are denominated in Australian dollars. $289.7 million (2023: $203.0 million) relates to Service concession financial liability and $81.4 million (2023: $69.2 million) relates to lease liabilities.</w:t>
      </w:r>
    </w:p>
    <w:p w14:paraId="64A11FD6" w14:textId="77777777" w:rsidR="005B131E" w:rsidRDefault="005B131E" w:rsidP="002542E1">
      <w:pPr>
        <w:pStyle w:val="ARbody"/>
        <w:rPr>
          <w:rFonts w:eastAsiaTheme="minorEastAsia"/>
          <w:color w:val="000000"/>
          <w:sz w:val="16"/>
          <w:szCs w:val="14"/>
          <w:lang w:eastAsia="en-AU"/>
        </w:rPr>
      </w:pPr>
      <w:r>
        <w:br w:type="page"/>
      </w:r>
    </w:p>
    <w:p w14:paraId="144F3314" w14:textId="77777777" w:rsidR="005B131E" w:rsidRPr="00FA2E3E" w:rsidRDefault="005B131E">
      <w:pPr>
        <w:pStyle w:val="Heading4"/>
        <w:rPr>
          <w:lang w:eastAsia="en-AU"/>
        </w:rPr>
      </w:pPr>
      <w:r w:rsidRPr="00FA2E3E">
        <w:rPr>
          <w:lang w:eastAsia="en-AU"/>
        </w:rPr>
        <w:t>8.2 Contingent assets and contingent liabilities</w:t>
      </w:r>
    </w:p>
    <w:p w14:paraId="3D67540B" w14:textId="77777777" w:rsidR="005B131E" w:rsidRDefault="005B131E" w:rsidP="002542E1">
      <w:pPr>
        <w:pStyle w:val="ARfinbodylargespace"/>
      </w:pPr>
      <w:r>
        <w:t>Contingent assets and contingent liabilities are not recognised in the balance sheet, but are disclosed by way of a disclosure and, if quantifiable, are stated at nominal value. Contingent assets and liabilities are presented inclusive of GST receivable or payable respectively.</w:t>
      </w:r>
    </w:p>
    <w:p w14:paraId="400FF24D" w14:textId="77777777" w:rsidR="005B131E" w:rsidRDefault="005B131E" w:rsidP="002542E1">
      <w:pPr>
        <w:pStyle w:val="Heading5"/>
      </w:pPr>
      <w:r>
        <w:t>Contingent assets</w:t>
      </w:r>
    </w:p>
    <w:p w14:paraId="3ECF58AD" w14:textId="77777777" w:rsidR="005B131E" w:rsidRDefault="005B131E" w:rsidP="002542E1">
      <w:pPr>
        <w:pStyle w:val="ARfinbody"/>
      </w:pPr>
      <w:r>
        <w:t>Contingent assets are possible assets that arise from past events, whose existence will be confirmed only by the occurrence or non-occurrence of one or more uncertain future events not wholly within the control of the entity.</w:t>
      </w:r>
    </w:p>
    <w:p w14:paraId="3389C37C" w14:textId="77777777" w:rsidR="005B131E" w:rsidRDefault="005B131E" w:rsidP="002542E1">
      <w:pPr>
        <w:pStyle w:val="ARfinbodylargespace"/>
      </w:pPr>
      <w:r>
        <w:t xml:space="preserve">These are </w:t>
      </w:r>
      <w:r w:rsidRPr="00FA2E3E">
        <w:t>classified</w:t>
      </w:r>
      <w:r>
        <w:t xml:space="preserve"> as either quantifiable, where the potential economic benefit is known, or non-quantifiable.</w:t>
      </w:r>
    </w:p>
    <w:tbl>
      <w:tblPr>
        <w:tblStyle w:val="TableGrid"/>
        <w:tblW w:w="9637" w:type="dxa"/>
        <w:tblLayout w:type="fixed"/>
        <w:tblLook w:val="06A0" w:firstRow="1" w:lastRow="0" w:firstColumn="1" w:lastColumn="0" w:noHBand="1" w:noVBand="1"/>
      </w:tblPr>
      <w:tblGrid>
        <w:gridCol w:w="566"/>
        <w:gridCol w:w="6349"/>
        <w:gridCol w:w="1361"/>
        <w:gridCol w:w="1361"/>
      </w:tblGrid>
      <w:tr w:rsidR="00E57D5B" w:rsidRPr="00BA7805" w14:paraId="62061CA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566" w:type="dxa"/>
            <w:tcBorders>
              <w:bottom w:val="single" w:sz="4" w:space="0" w:color="auto"/>
            </w:tcBorders>
            <w:hideMark/>
          </w:tcPr>
          <w:p w14:paraId="471D2F55" w14:textId="77777777" w:rsidR="005B131E" w:rsidRPr="00BA7805" w:rsidRDefault="005B131E">
            <w:pPr>
              <w:pStyle w:val="ARfintablecolhead"/>
              <w:rPr>
                <w:highlight w:val="green"/>
              </w:rPr>
            </w:pPr>
          </w:p>
        </w:tc>
        <w:tc>
          <w:tcPr>
            <w:tcW w:w="6349" w:type="dxa"/>
            <w:tcBorders>
              <w:bottom w:val="single" w:sz="4" w:space="0" w:color="auto"/>
            </w:tcBorders>
            <w:hideMark/>
          </w:tcPr>
          <w:p w14:paraId="45ADAE10"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32FB8204" w14:textId="77777777" w:rsidR="005B131E" w:rsidRPr="00FA2E3E" w:rsidRDefault="005B131E">
            <w:pPr>
              <w:pStyle w:val="ARfintablecolheadright"/>
            </w:pPr>
            <w:r w:rsidRPr="00FA2E3E">
              <w:t>2024</w:t>
            </w:r>
          </w:p>
          <w:p w14:paraId="75B7A400" w14:textId="77777777" w:rsidR="005B131E" w:rsidRPr="00FA2E3E" w:rsidRDefault="005B131E">
            <w:pPr>
              <w:pStyle w:val="ARfintablecolheadright"/>
            </w:pPr>
            <w:r w:rsidRPr="00FA2E3E">
              <w:t>$M</w:t>
            </w:r>
          </w:p>
        </w:tc>
        <w:tc>
          <w:tcPr>
            <w:tcW w:w="1361" w:type="dxa"/>
            <w:tcBorders>
              <w:bottom w:val="single" w:sz="4" w:space="0" w:color="auto"/>
            </w:tcBorders>
            <w:hideMark/>
          </w:tcPr>
          <w:p w14:paraId="211B77F5" w14:textId="77777777" w:rsidR="005B131E" w:rsidRPr="00FA2E3E" w:rsidRDefault="005B131E">
            <w:pPr>
              <w:pStyle w:val="ARfintablecolheadright"/>
            </w:pPr>
            <w:r w:rsidRPr="00FA2E3E">
              <w:t>2023</w:t>
            </w:r>
          </w:p>
          <w:p w14:paraId="35D5B178" w14:textId="77777777" w:rsidR="005B131E" w:rsidRPr="00FA2E3E" w:rsidRDefault="005B131E">
            <w:pPr>
              <w:pStyle w:val="ARfintablecolheadright"/>
            </w:pPr>
            <w:r w:rsidRPr="00FA2E3E">
              <w:t>$M</w:t>
            </w:r>
          </w:p>
        </w:tc>
      </w:tr>
      <w:tr w:rsidR="005B131E" w:rsidRPr="00BA7805" w14:paraId="04B4AF73" w14:textId="77777777">
        <w:trPr>
          <w:trHeight w:val="255"/>
        </w:trPr>
        <w:tc>
          <w:tcPr>
            <w:tcW w:w="9637" w:type="dxa"/>
            <w:gridSpan w:val="4"/>
            <w:tcBorders>
              <w:top w:val="single" w:sz="4" w:space="0" w:color="auto"/>
              <w:bottom w:val="single" w:sz="4" w:space="0" w:color="A6A6A6" w:themeColor="background1" w:themeShade="A6"/>
            </w:tcBorders>
            <w:hideMark/>
          </w:tcPr>
          <w:p w14:paraId="1F8677F5" w14:textId="77777777" w:rsidR="005B131E" w:rsidRPr="00924E6F" w:rsidRDefault="005B131E">
            <w:pPr>
              <w:pStyle w:val="ARfintablebodybold"/>
            </w:pPr>
            <w:r w:rsidRPr="00924E6F">
              <w:t>Quantifiable contingent assets</w:t>
            </w:r>
          </w:p>
        </w:tc>
      </w:tr>
      <w:tr w:rsidR="005B131E" w:rsidRPr="00BA7805" w14:paraId="0E304CE9" w14:textId="77777777" w:rsidTr="003D7AC8">
        <w:trPr>
          <w:trHeight w:val="255"/>
        </w:trPr>
        <w:tc>
          <w:tcPr>
            <w:tcW w:w="9637" w:type="dxa"/>
            <w:gridSpan w:val="4"/>
            <w:tcBorders>
              <w:top w:val="single" w:sz="4" w:space="0" w:color="A6A6A6" w:themeColor="background1" w:themeShade="A6"/>
              <w:bottom w:val="single" w:sz="4" w:space="0" w:color="A6A6A6" w:themeColor="background1" w:themeShade="A6"/>
            </w:tcBorders>
          </w:tcPr>
          <w:p w14:paraId="22BB8028" w14:textId="77777777" w:rsidR="005B131E" w:rsidRPr="00924E6F" w:rsidRDefault="005B131E">
            <w:pPr>
              <w:pStyle w:val="ARfintablebody"/>
            </w:pPr>
            <w:r w:rsidRPr="00924E6F">
              <w:t>Details and estimates of contingent assets are as follows:</w:t>
            </w:r>
          </w:p>
        </w:tc>
      </w:tr>
      <w:tr w:rsidR="005B131E" w:rsidRPr="00BA7805" w14:paraId="6B778C44" w14:textId="77777777" w:rsidTr="002542E1">
        <w:trPr>
          <w:trHeight w:val="255"/>
        </w:trPr>
        <w:tc>
          <w:tcPr>
            <w:tcW w:w="566" w:type="dxa"/>
            <w:tcBorders>
              <w:top w:val="single" w:sz="4" w:space="0" w:color="A6A6A6" w:themeColor="background1" w:themeShade="A6"/>
              <w:bottom w:val="single" w:sz="4" w:space="0" w:color="A6A6A6" w:themeColor="background1" w:themeShade="A6"/>
            </w:tcBorders>
            <w:hideMark/>
          </w:tcPr>
          <w:p w14:paraId="6E0339F8" w14:textId="77777777" w:rsidR="005B131E" w:rsidRPr="00924E6F" w:rsidRDefault="005B131E" w:rsidP="002542E1">
            <w:pPr>
              <w:pStyle w:val="ARfintablebody"/>
            </w:pPr>
            <w:r w:rsidRPr="00924E6F">
              <w:t>(a)</w:t>
            </w:r>
          </w:p>
        </w:tc>
        <w:tc>
          <w:tcPr>
            <w:tcW w:w="6349" w:type="dxa"/>
            <w:tcBorders>
              <w:top w:val="single" w:sz="4" w:space="0" w:color="A6A6A6" w:themeColor="background1" w:themeShade="A6"/>
              <w:bottom w:val="single" w:sz="4" w:space="0" w:color="A6A6A6" w:themeColor="background1" w:themeShade="A6"/>
            </w:tcBorders>
            <w:noWrap/>
          </w:tcPr>
          <w:p w14:paraId="0CD3C932" w14:textId="77777777" w:rsidR="005B131E" w:rsidRPr="00924E6F" w:rsidRDefault="005B131E" w:rsidP="002542E1">
            <w:pPr>
              <w:pStyle w:val="ARfintablebody"/>
            </w:pPr>
            <w:r w:rsidRPr="00924E6F">
              <w:t>Bank guarantee held for: building contracts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3DA3E6F" w14:textId="77777777" w:rsidR="005B131E" w:rsidRPr="00BA7805" w:rsidRDefault="005B131E" w:rsidP="002542E1">
            <w:pPr>
              <w:pStyle w:val="ARfintablebodyright"/>
              <w:rPr>
                <w:highlight w:val="green"/>
              </w:rPr>
            </w:pPr>
            <w:r w:rsidRPr="001B14DE">
              <w:t>64.1</w:t>
            </w:r>
          </w:p>
        </w:tc>
        <w:tc>
          <w:tcPr>
            <w:tcW w:w="1361" w:type="dxa"/>
            <w:tcBorders>
              <w:top w:val="single" w:sz="4" w:space="0" w:color="A6A6A6" w:themeColor="background1" w:themeShade="A6"/>
              <w:bottom w:val="single" w:sz="4" w:space="0" w:color="A6A6A6" w:themeColor="background1" w:themeShade="A6"/>
            </w:tcBorders>
            <w:noWrap/>
          </w:tcPr>
          <w:p w14:paraId="5699F5CD" w14:textId="77777777" w:rsidR="005B131E" w:rsidRPr="00BA7805" w:rsidRDefault="005B131E" w:rsidP="002542E1">
            <w:pPr>
              <w:pStyle w:val="ARfintablebodyright"/>
              <w:rPr>
                <w:highlight w:val="green"/>
              </w:rPr>
            </w:pPr>
            <w:r w:rsidRPr="001B14DE">
              <w:t>72.1</w:t>
            </w:r>
          </w:p>
        </w:tc>
      </w:tr>
      <w:tr w:rsidR="005B131E" w:rsidRPr="00BA7805" w14:paraId="0617449B" w14:textId="77777777" w:rsidTr="002542E1">
        <w:trPr>
          <w:trHeight w:val="255"/>
        </w:trPr>
        <w:tc>
          <w:tcPr>
            <w:tcW w:w="566" w:type="dxa"/>
            <w:tcBorders>
              <w:top w:val="single" w:sz="4" w:space="0" w:color="A6A6A6" w:themeColor="background1" w:themeShade="A6"/>
              <w:bottom w:val="single" w:sz="4" w:space="0" w:color="A6A6A6" w:themeColor="background1" w:themeShade="A6"/>
            </w:tcBorders>
            <w:hideMark/>
          </w:tcPr>
          <w:p w14:paraId="644D01E4" w14:textId="77777777" w:rsidR="005B131E" w:rsidRPr="00924E6F" w:rsidRDefault="005B131E" w:rsidP="002542E1">
            <w:pPr>
              <w:pStyle w:val="ARfintablebody"/>
            </w:pPr>
            <w:r w:rsidRPr="00924E6F">
              <w:t>(b)</w:t>
            </w:r>
          </w:p>
        </w:tc>
        <w:tc>
          <w:tcPr>
            <w:tcW w:w="6349" w:type="dxa"/>
            <w:tcBorders>
              <w:top w:val="single" w:sz="4" w:space="0" w:color="A6A6A6" w:themeColor="background1" w:themeShade="A6"/>
              <w:bottom w:val="single" w:sz="4" w:space="0" w:color="A6A6A6" w:themeColor="background1" w:themeShade="A6"/>
            </w:tcBorders>
          </w:tcPr>
          <w:p w14:paraId="794E64F6" w14:textId="77777777" w:rsidR="005B131E" w:rsidRPr="00924E6F" w:rsidRDefault="005B131E" w:rsidP="002542E1">
            <w:pPr>
              <w:pStyle w:val="ARfintablebody"/>
            </w:pPr>
            <w:r w:rsidRPr="00924E6F">
              <w:t>Reimbursement claim for the work undertaken by the landlord to Orange Door site</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F84291A" w14:textId="77777777" w:rsidR="005B131E" w:rsidRPr="00BA7805" w:rsidRDefault="005B131E" w:rsidP="002542E1">
            <w:pPr>
              <w:pStyle w:val="ARfintablebodyright"/>
              <w:rPr>
                <w:highlight w:val="green"/>
              </w:rPr>
            </w:pPr>
            <w:r w:rsidRPr="001B14DE">
              <w:t>0.1</w:t>
            </w:r>
          </w:p>
        </w:tc>
        <w:tc>
          <w:tcPr>
            <w:tcW w:w="1361" w:type="dxa"/>
            <w:tcBorders>
              <w:top w:val="single" w:sz="4" w:space="0" w:color="A6A6A6" w:themeColor="background1" w:themeShade="A6"/>
              <w:bottom w:val="single" w:sz="4" w:space="0" w:color="A6A6A6" w:themeColor="background1" w:themeShade="A6"/>
            </w:tcBorders>
            <w:noWrap/>
          </w:tcPr>
          <w:p w14:paraId="1C29AE7A" w14:textId="77777777" w:rsidR="005B131E" w:rsidRPr="00BA7805" w:rsidRDefault="005B131E" w:rsidP="002542E1">
            <w:pPr>
              <w:pStyle w:val="ARfintablebodyright"/>
              <w:rPr>
                <w:highlight w:val="green"/>
              </w:rPr>
            </w:pPr>
            <w:r w:rsidRPr="001B14DE">
              <w:t>0.5</w:t>
            </w:r>
          </w:p>
        </w:tc>
      </w:tr>
      <w:tr w:rsidR="005B131E" w:rsidRPr="00BA7805" w14:paraId="2D8033DE" w14:textId="77777777" w:rsidTr="002542E1">
        <w:trPr>
          <w:trHeight w:val="255"/>
        </w:trPr>
        <w:tc>
          <w:tcPr>
            <w:tcW w:w="6915" w:type="dxa"/>
            <w:gridSpan w:val="2"/>
            <w:tcBorders>
              <w:top w:val="single" w:sz="4" w:space="0" w:color="A6A6A6" w:themeColor="background1" w:themeShade="A6"/>
            </w:tcBorders>
          </w:tcPr>
          <w:p w14:paraId="45AFB052" w14:textId="77777777" w:rsidR="005B131E" w:rsidRPr="00BA7805" w:rsidRDefault="005B131E" w:rsidP="002542E1">
            <w:pPr>
              <w:pStyle w:val="ARfintablebodybold"/>
              <w:rPr>
                <w:highlight w:val="green"/>
              </w:rPr>
            </w:pPr>
            <w:r w:rsidRPr="00862206">
              <w:t>Total</w:t>
            </w:r>
          </w:p>
        </w:tc>
        <w:tc>
          <w:tcPr>
            <w:tcW w:w="1361" w:type="dxa"/>
            <w:tcBorders>
              <w:top w:val="single" w:sz="4" w:space="0" w:color="A6A6A6" w:themeColor="background1" w:themeShade="A6"/>
            </w:tcBorders>
            <w:shd w:val="clear" w:color="auto" w:fill="E7E6E6" w:themeFill="accent4"/>
            <w:noWrap/>
          </w:tcPr>
          <w:p w14:paraId="000C149B" w14:textId="77777777" w:rsidR="005B131E" w:rsidRPr="00BA7805" w:rsidRDefault="005B131E" w:rsidP="002542E1">
            <w:pPr>
              <w:pStyle w:val="ARfintablebodyrightbold"/>
              <w:rPr>
                <w:highlight w:val="green"/>
              </w:rPr>
            </w:pPr>
            <w:r w:rsidRPr="00774B9A">
              <w:t>64.2</w:t>
            </w:r>
          </w:p>
        </w:tc>
        <w:tc>
          <w:tcPr>
            <w:tcW w:w="1361" w:type="dxa"/>
            <w:tcBorders>
              <w:top w:val="single" w:sz="4" w:space="0" w:color="A6A6A6" w:themeColor="background1" w:themeShade="A6"/>
            </w:tcBorders>
            <w:noWrap/>
          </w:tcPr>
          <w:p w14:paraId="6A7F377A" w14:textId="77777777" w:rsidR="005B131E" w:rsidRPr="00BA7805" w:rsidRDefault="005B131E" w:rsidP="002542E1">
            <w:pPr>
              <w:pStyle w:val="ARfintablebodyrightbold"/>
              <w:rPr>
                <w:highlight w:val="green"/>
              </w:rPr>
            </w:pPr>
            <w:r w:rsidRPr="00774B9A">
              <w:t>72.6</w:t>
            </w:r>
          </w:p>
        </w:tc>
      </w:tr>
    </w:tbl>
    <w:p w14:paraId="2A528605" w14:textId="77777777" w:rsidR="005B131E" w:rsidRPr="000808A0" w:rsidRDefault="005B131E" w:rsidP="00207901">
      <w:pPr>
        <w:pStyle w:val="Heading5"/>
        <w:rPr>
          <w:lang w:eastAsia="en-AU"/>
        </w:rPr>
      </w:pPr>
      <w:r w:rsidRPr="000808A0">
        <w:rPr>
          <w:lang w:eastAsia="en-AU"/>
        </w:rPr>
        <w:t>Contingent liabilities</w:t>
      </w:r>
    </w:p>
    <w:p w14:paraId="3AEC3466" w14:textId="77777777" w:rsidR="005B131E" w:rsidRDefault="005B131E" w:rsidP="002542E1">
      <w:pPr>
        <w:pStyle w:val="ARfinbodylargespace"/>
      </w:pPr>
      <w:r>
        <w:t>Contingent liabilities are:</w:t>
      </w:r>
    </w:p>
    <w:p w14:paraId="12A30AF1" w14:textId="77777777" w:rsidR="005B131E" w:rsidRDefault="005B131E" w:rsidP="002542E1">
      <w:pPr>
        <w:pStyle w:val="ARfinbullet1"/>
      </w:pPr>
      <w:r>
        <w:t xml:space="preserve">possible obligations that arise from past events, whose existence will be confirmed only by the occurrence </w:t>
      </w:r>
      <w:r>
        <w:br/>
        <w:t>or non-occurrence of one or more uncertain future events not wholly within the control of the entity, or</w:t>
      </w:r>
    </w:p>
    <w:p w14:paraId="13E789E2" w14:textId="77777777" w:rsidR="005B131E" w:rsidRDefault="005B131E" w:rsidP="002542E1">
      <w:pPr>
        <w:pStyle w:val="ARfinbullet1"/>
      </w:pPr>
      <w:r>
        <w:t>present obligations that arise from past events but are not recognised because:</w:t>
      </w:r>
    </w:p>
    <w:p w14:paraId="34A15DC5" w14:textId="77777777" w:rsidR="005B131E" w:rsidRDefault="005B131E" w:rsidP="002542E1">
      <w:pPr>
        <w:pStyle w:val="ARfinbullet2"/>
      </w:pPr>
      <w:r>
        <w:t>it is not probable that an outflow of resources embodying economic benefits will be required to settle the obligations, or</w:t>
      </w:r>
    </w:p>
    <w:p w14:paraId="2D973106" w14:textId="77777777" w:rsidR="005B131E" w:rsidRDefault="005B131E" w:rsidP="002542E1">
      <w:pPr>
        <w:pStyle w:val="ARfinbullet2"/>
      </w:pPr>
      <w:r>
        <w:t>the amount of the obligations cannot be measured with sufficient reliability.</w:t>
      </w:r>
    </w:p>
    <w:p w14:paraId="1C408095" w14:textId="77777777" w:rsidR="005B131E" w:rsidRPr="000808A0" w:rsidRDefault="005B131E" w:rsidP="002542E1">
      <w:pPr>
        <w:pStyle w:val="ARfinbodylargespace"/>
      </w:pPr>
      <w:r>
        <w:t>Contingent liabilities are also classified as either quantifiable or non-quantifiable.</w:t>
      </w:r>
    </w:p>
    <w:tbl>
      <w:tblPr>
        <w:tblStyle w:val="TableGrid"/>
        <w:tblW w:w="9637" w:type="dxa"/>
        <w:tblLayout w:type="fixed"/>
        <w:tblLook w:val="06A0" w:firstRow="1" w:lastRow="0" w:firstColumn="1" w:lastColumn="0" w:noHBand="1" w:noVBand="1"/>
      </w:tblPr>
      <w:tblGrid>
        <w:gridCol w:w="566"/>
        <w:gridCol w:w="6349"/>
        <w:gridCol w:w="1361"/>
        <w:gridCol w:w="1361"/>
      </w:tblGrid>
      <w:tr w:rsidR="00E57D5B" w:rsidRPr="00BA7805" w14:paraId="44090FE5"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566" w:type="dxa"/>
            <w:tcBorders>
              <w:bottom w:val="single" w:sz="4" w:space="0" w:color="auto"/>
            </w:tcBorders>
            <w:hideMark/>
          </w:tcPr>
          <w:p w14:paraId="71919FF4" w14:textId="77777777" w:rsidR="005B131E" w:rsidRPr="00BA7805" w:rsidRDefault="005B131E">
            <w:pPr>
              <w:pStyle w:val="ARfintablecolhead"/>
              <w:rPr>
                <w:highlight w:val="green"/>
              </w:rPr>
            </w:pPr>
          </w:p>
        </w:tc>
        <w:tc>
          <w:tcPr>
            <w:tcW w:w="6349" w:type="dxa"/>
            <w:tcBorders>
              <w:bottom w:val="single" w:sz="4" w:space="0" w:color="auto"/>
            </w:tcBorders>
            <w:hideMark/>
          </w:tcPr>
          <w:p w14:paraId="7AB24CF2"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253EE31E" w14:textId="77777777" w:rsidR="005B131E" w:rsidRPr="00B90B34" w:rsidRDefault="005B131E">
            <w:pPr>
              <w:pStyle w:val="ARfintablecolheadright"/>
            </w:pPr>
            <w:r w:rsidRPr="00B90B34">
              <w:t>2024</w:t>
            </w:r>
          </w:p>
          <w:p w14:paraId="789BAB78" w14:textId="77777777" w:rsidR="005B131E" w:rsidRPr="00B90B34" w:rsidRDefault="005B131E">
            <w:pPr>
              <w:pStyle w:val="ARfintablecolheadright"/>
            </w:pPr>
            <w:r w:rsidRPr="00B90B34">
              <w:t>$M</w:t>
            </w:r>
          </w:p>
        </w:tc>
        <w:tc>
          <w:tcPr>
            <w:tcW w:w="1361" w:type="dxa"/>
            <w:tcBorders>
              <w:bottom w:val="single" w:sz="4" w:space="0" w:color="auto"/>
            </w:tcBorders>
            <w:hideMark/>
          </w:tcPr>
          <w:p w14:paraId="070E15EE" w14:textId="77777777" w:rsidR="005B131E" w:rsidRPr="00B90B34" w:rsidRDefault="005B131E">
            <w:pPr>
              <w:pStyle w:val="ARfintablecolheadright"/>
            </w:pPr>
            <w:r w:rsidRPr="00B90B34">
              <w:t>2023</w:t>
            </w:r>
          </w:p>
          <w:p w14:paraId="426BFE56" w14:textId="77777777" w:rsidR="005B131E" w:rsidRPr="00B90B34" w:rsidRDefault="005B131E">
            <w:pPr>
              <w:pStyle w:val="ARfintablecolheadright"/>
            </w:pPr>
            <w:r w:rsidRPr="00B90B34">
              <w:t>$M</w:t>
            </w:r>
          </w:p>
        </w:tc>
      </w:tr>
      <w:tr w:rsidR="005B131E" w:rsidRPr="00BA7805" w14:paraId="46E234AA" w14:textId="77777777">
        <w:tc>
          <w:tcPr>
            <w:tcW w:w="9637" w:type="dxa"/>
            <w:gridSpan w:val="4"/>
            <w:tcBorders>
              <w:top w:val="single" w:sz="4" w:space="0" w:color="auto"/>
              <w:bottom w:val="single" w:sz="4" w:space="0" w:color="A6A6A6"/>
            </w:tcBorders>
            <w:hideMark/>
          </w:tcPr>
          <w:p w14:paraId="2AB39830" w14:textId="77777777" w:rsidR="005B131E" w:rsidRPr="00BA7805" w:rsidRDefault="005B131E">
            <w:pPr>
              <w:pStyle w:val="ARfintablebodybold"/>
              <w:rPr>
                <w:highlight w:val="green"/>
              </w:rPr>
            </w:pPr>
            <w:r w:rsidRPr="00924E6F">
              <w:t>Quantifiable contingent liabilities</w:t>
            </w:r>
          </w:p>
        </w:tc>
      </w:tr>
      <w:tr w:rsidR="005B131E" w:rsidRPr="00BA7805" w14:paraId="1E263EC3" w14:textId="77777777" w:rsidTr="003D7AC8">
        <w:trPr>
          <w:trHeight w:val="255"/>
        </w:trPr>
        <w:tc>
          <w:tcPr>
            <w:tcW w:w="566" w:type="dxa"/>
            <w:tcBorders>
              <w:top w:val="single" w:sz="4" w:space="0" w:color="A6A6A6"/>
            </w:tcBorders>
          </w:tcPr>
          <w:p w14:paraId="6F0B45AE" w14:textId="77777777" w:rsidR="005B131E" w:rsidRPr="00BA7805" w:rsidRDefault="005B131E" w:rsidP="002542E1">
            <w:pPr>
              <w:pStyle w:val="ARfintablebody"/>
              <w:rPr>
                <w:highlight w:val="green"/>
              </w:rPr>
            </w:pPr>
            <w:r w:rsidRPr="00697216">
              <w:t xml:space="preserve"> (a) </w:t>
            </w:r>
          </w:p>
        </w:tc>
        <w:tc>
          <w:tcPr>
            <w:tcW w:w="6349" w:type="dxa"/>
            <w:tcBorders>
              <w:top w:val="single" w:sz="4" w:space="0" w:color="A6A6A6"/>
            </w:tcBorders>
          </w:tcPr>
          <w:p w14:paraId="1E7D21F1" w14:textId="77777777" w:rsidR="005B131E" w:rsidRPr="00BA7805" w:rsidRDefault="005B131E" w:rsidP="002542E1">
            <w:pPr>
              <w:pStyle w:val="ARfintablebody"/>
              <w:rPr>
                <w:highlight w:val="green"/>
              </w:rPr>
            </w:pPr>
            <w:r w:rsidRPr="00697216">
              <w:t xml:space="preserve">The department has estimated that potential liability exists in respect of a number of legal actions instigated by clients and their representatives, employees and others, and other contractual liabilities. </w:t>
            </w:r>
          </w:p>
        </w:tc>
        <w:tc>
          <w:tcPr>
            <w:tcW w:w="1361" w:type="dxa"/>
            <w:tcBorders>
              <w:top w:val="single" w:sz="4" w:space="0" w:color="A6A6A6"/>
            </w:tcBorders>
            <w:shd w:val="clear" w:color="auto" w:fill="E7E6E6"/>
            <w:noWrap/>
          </w:tcPr>
          <w:p w14:paraId="418BEC99" w14:textId="77777777" w:rsidR="005B131E" w:rsidRPr="00BA7805" w:rsidRDefault="005B131E" w:rsidP="002542E1">
            <w:pPr>
              <w:pStyle w:val="ARfintablebodyright"/>
              <w:rPr>
                <w:highlight w:val="green"/>
              </w:rPr>
            </w:pPr>
            <w:r w:rsidRPr="00697216">
              <w:t>0.3</w:t>
            </w:r>
          </w:p>
        </w:tc>
        <w:tc>
          <w:tcPr>
            <w:tcW w:w="1361" w:type="dxa"/>
            <w:tcBorders>
              <w:top w:val="single" w:sz="4" w:space="0" w:color="A6A6A6"/>
            </w:tcBorders>
            <w:noWrap/>
          </w:tcPr>
          <w:p w14:paraId="30007F73" w14:textId="77777777" w:rsidR="005B131E" w:rsidRPr="00BA7805" w:rsidRDefault="005B131E" w:rsidP="002542E1">
            <w:pPr>
              <w:pStyle w:val="ARfintablebodyright"/>
              <w:rPr>
                <w:highlight w:val="green"/>
              </w:rPr>
            </w:pPr>
            <w:r w:rsidRPr="00697216">
              <w:t>0.6</w:t>
            </w:r>
          </w:p>
        </w:tc>
      </w:tr>
      <w:tr w:rsidR="005B131E" w:rsidRPr="00BA7805" w14:paraId="709515F2" w14:textId="77777777" w:rsidTr="003D7AC8">
        <w:trPr>
          <w:trHeight w:val="255"/>
        </w:trPr>
        <w:tc>
          <w:tcPr>
            <w:tcW w:w="6915" w:type="dxa"/>
            <w:gridSpan w:val="2"/>
          </w:tcPr>
          <w:p w14:paraId="3C428C77" w14:textId="77777777" w:rsidR="005B131E" w:rsidRPr="00BA7805" w:rsidRDefault="005B131E" w:rsidP="002542E1">
            <w:pPr>
              <w:pStyle w:val="ARfintablebodybold"/>
              <w:rPr>
                <w:highlight w:val="green"/>
              </w:rPr>
            </w:pPr>
            <w:r w:rsidRPr="00697216">
              <w:t xml:space="preserve"> Total </w:t>
            </w:r>
          </w:p>
        </w:tc>
        <w:tc>
          <w:tcPr>
            <w:tcW w:w="1361" w:type="dxa"/>
            <w:shd w:val="clear" w:color="auto" w:fill="E7E6E6"/>
            <w:noWrap/>
          </w:tcPr>
          <w:p w14:paraId="601391F6" w14:textId="77777777" w:rsidR="005B131E" w:rsidRPr="00BA7805" w:rsidRDefault="005B131E" w:rsidP="002542E1">
            <w:pPr>
              <w:pStyle w:val="ARfintablebodyrightbold"/>
              <w:rPr>
                <w:highlight w:val="green"/>
              </w:rPr>
            </w:pPr>
            <w:r w:rsidRPr="002E04A5">
              <w:t>0.3</w:t>
            </w:r>
          </w:p>
        </w:tc>
        <w:tc>
          <w:tcPr>
            <w:tcW w:w="1361" w:type="dxa"/>
            <w:noWrap/>
          </w:tcPr>
          <w:p w14:paraId="69D37750" w14:textId="77777777" w:rsidR="005B131E" w:rsidRPr="00BA7805" w:rsidRDefault="005B131E" w:rsidP="002542E1">
            <w:pPr>
              <w:pStyle w:val="ARfintablebodyrightbold"/>
              <w:rPr>
                <w:highlight w:val="green"/>
              </w:rPr>
            </w:pPr>
            <w:r w:rsidRPr="002E04A5">
              <w:t>0.6</w:t>
            </w:r>
          </w:p>
        </w:tc>
      </w:tr>
    </w:tbl>
    <w:p w14:paraId="2277D59C" w14:textId="77777777" w:rsidR="005B131E" w:rsidRDefault="005B131E" w:rsidP="002542E1">
      <w:pPr>
        <w:pStyle w:val="Heading5"/>
      </w:pPr>
      <w:r>
        <w:t>Non-quantifiable contingent liabilities</w:t>
      </w:r>
    </w:p>
    <w:p w14:paraId="6A4A7C57" w14:textId="77777777" w:rsidR="005B131E" w:rsidRPr="00BA7805" w:rsidRDefault="005B131E" w:rsidP="002542E1">
      <w:pPr>
        <w:pStyle w:val="ARfinbodyaftertable"/>
        <w:rPr>
          <w:highlight w:val="green"/>
        </w:rPr>
      </w:pPr>
      <w:r>
        <w:t>The department has potential obligations which arise from legal actions that are non-quantifiable at this time.</w:t>
      </w:r>
    </w:p>
    <w:p w14:paraId="4690F810" w14:textId="77777777" w:rsidR="005B131E" w:rsidRPr="00924E6F" w:rsidRDefault="005B131E">
      <w:pPr>
        <w:pStyle w:val="Heading4"/>
        <w:rPr>
          <w:lang w:eastAsia="en-AU"/>
        </w:rPr>
      </w:pPr>
      <w:r w:rsidRPr="00924E6F">
        <w:rPr>
          <w:lang w:eastAsia="en-AU"/>
        </w:rPr>
        <w:t>8.3 Fair value determination</w:t>
      </w:r>
    </w:p>
    <w:p w14:paraId="42894B37" w14:textId="77777777" w:rsidR="005B131E" w:rsidRDefault="005B131E" w:rsidP="002542E1">
      <w:pPr>
        <w:pStyle w:val="Heading5"/>
      </w:pPr>
      <w:r>
        <w:t>Significant judgement: Fair value measurements of assets and liabilities</w:t>
      </w:r>
    </w:p>
    <w:p w14:paraId="281748CF" w14:textId="77777777" w:rsidR="005B131E" w:rsidRDefault="005B131E" w:rsidP="002542E1">
      <w:pPr>
        <w:pStyle w:val="ARfinbody"/>
      </w:pPr>
      <w:r>
        <w:t>Fair value determination requires judgement and the use of assumptions. This section discloses the most significant assumptions used in determining fair values. Changes to assumptions could have a material impact on the results and financial position of the department.</w:t>
      </w:r>
    </w:p>
    <w:p w14:paraId="20510026" w14:textId="77777777" w:rsidR="005B131E" w:rsidRDefault="005B131E" w:rsidP="002542E1">
      <w:pPr>
        <w:pStyle w:val="ARfinbody"/>
      </w:pPr>
      <w:r>
        <w:t xml:space="preserve">This section sets out information on how the department determined fair value for financial reporting purposes. Fair value is the price that would be received to sell an asset or paid to transfer a liability in an orderly transaction between market participants at the measurement date. </w:t>
      </w:r>
    </w:p>
    <w:p w14:paraId="5E7F6833" w14:textId="77777777" w:rsidR="005B131E" w:rsidRDefault="005B131E" w:rsidP="002542E1">
      <w:pPr>
        <w:pStyle w:val="ARfinbody"/>
      </w:pPr>
      <w:r>
        <w:t xml:space="preserve">The following assets and liabilities are carried at fair value: </w:t>
      </w:r>
    </w:p>
    <w:p w14:paraId="58CD67C8" w14:textId="2B7BF94B" w:rsidR="005B131E" w:rsidRDefault="005B131E" w:rsidP="002542E1">
      <w:pPr>
        <w:pStyle w:val="ARfinbullet1"/>
      </w:pPr>
      <w:r>
        <w:t xml:space="preserve">financial assets and liabilities at fair value through </w:t>
      </w:r>
      <w:r w:rsidR="00711AE6">
        <w:t>‘</w:t>
      </w:r>
      <w:r>
        <w:t>other comprehensive income</w:t>
      </w:r>
      <w:r w:rsidR="00711AE6">
        <w:t>’</w:t>
      </w:r>
    </w:p>
    <w:p w14:paraId="5B135C24" w14:textId="77777777" w:rsidR="005B131E" w:rsidRDefault="005B131E" w:rsidP="002542E1">
      <w:pPr>
        <w:pStyle w:val="ARfinbullet1"/>
      </w:pPr>
      <w:r>
        <w:t>land, buildings, plant and equipment.</w:t>
      </w:r>
    </w:p>
    <w:p w14:paraId="10C2ADEB" w14:textId="77777777" w:rsidR="005B131E" w:rsidRDefault="005B131E" w:rsidP="002542E1">
      <w:pPr>
        <w:pStyle w:val="ARfinbody"/>
      </w:pPr>
      <w:r>
        <w:t xml:space="preserve">In addition, the fair values of other assets and liabilities which are carried at amortised cost also need to be determined for disclosure purposes. </w:t>
      </w:r>
    </w:p>
    <w:p w14:paraId="1796C5DF" w14:textId="77777777" w:rsidR="005B131E" w:rsidRDefault="005B131E" w:rsidP="002542E1">
      <w:pPr>
        <w:pStyle w:val="ARfinbody"/>
      </w:pPr>
      <w:r>
        <w:t xml:space="preserve">The department determines the policies and procedures for determining fair values for both financial and non-financial assets and liabilities as required. </w:t>
      </w:r>
    </w:p>
    <w:p w14:paraId="0E31CA04" w14:textId="77777777" w:rsidR="005B131E" w:rsidRDefault="005B131E" w:rsidP="002542E1">
      <w:pPr>
        <w:pStyle w:val="Heading5"/>
      </w:pPr>
      <w:r>
        <w:t>Fair value hierarchy</w:t>
      </w:r>
    </w:p>
    <w:p w14:paraId="271FB24D" w14:textId="4E178544" w:rsidR="005B131E" w:rsidRDefault="005B131E" w:rsidP="002542E1">
      <w:pPr>
        <w:pStyle w:val="ARfinbody"/>
      </w:pPr>
      <w:r>
        <w:t xml:space="preserve">In determining fair values, a number of inputs are used. To increase consistency and comparability in the financial statements, these inputs are categorised into </w:t>
      </w:r>
      <w:r w:rsidR="00124B01">
        <w:t>3</w:t>
      </w:r>
      <w:r>
        <w:t xml:space="preserve"> levels, also known as the fair value hierarchy. The levels are as follows:</w:t>
      </w:r>
    </w:p>
    <w:p w14:paraId="06080C51" w14:textId="77777777" w:rsidR="005B131E" w:rsidRDefault="005B131E" w:rsidP="002542E1">
      <w:pPr>
        <w:pStyle w:val="ARfinbullet1"/>
      </w:pPr>
      <w:r>
        <w:t>Level 1 – Quoted (unadjusted) market prices in active markets for identical assets or liabilities</w:t>
      </w:r>
    </w:p>
    <w:p w14:paraId="7DCD38D1" w14:textId="77777777" w:rsidR="005B131E" w:rsidRDefault="005B131E" w:rsidP="002542E1">
      <w:pPr>
        <w:pStyle w:val="ARfinbullet1"/>
      </w:pPr>
      <w:r>
        <w:t>Level 2 – Valuation techniques for which the lowest level input that is significant to the fair value measurement is directly or indirectly observable</w:t>
      </w:r>
    </w:p>
    <w:p w14:paraId="4509AF60" w14:textId="4A132BC1" w:rsidR="005B131E" w:rsidRDefault="005B131E" w:rsidP="002542E1">
      <w:pPr>
        <w:pStyle w:val="ARfinbullet1"/>
      </w:pPr>
      <w:r>
        <w:t>Level 3 – Valuation techniques for which the lowest level input that is significant to the fair value measurement is unobservable</w:t>
      </w:r>
      <w:r w:rsidR="00317596">
        <w:t>.</w:t>
      </w:r>
    </w:p>
    <w:p w14:paraId="1F99BCAF" w14:textId="77777777" w:rsidR="005B131E" w:rsidRDefault="005B131E" w:rsidP="002542E1">
      <w:pPr>
        <w:pStyle w:val="ARfinbody"/>
      </w:pPr>
      <w:r>
        <w:t>The department determines whether transfers have occurred between levels in the hierarchy by reassessing categorisation (based on the lowest level input that is significant to the fair value measurement as a whole) at the end of each reporting period.</w:t>
      </w:r>
    </w:p>
    <w:p w14:paraId="67E85200" w14:textId="7760656E" w:rsidR="005B131E" w:rsidRDefault="005B131E" w:rsidP="002542E1">
      <w:pPr>
        <w:pStyle w:val="ARfinbody"/>
      </w:pPr>
      <w:r>
        <w:t>The Valuer-General Victoria (VGV) is the department</w:t>
      </w:r>
      <w:r w:rsidR="00711AE6">
        <w:t>’</w:t>
      </w:r>
      <w:r>
        <w:t>s independent valuation agency. The department, in conjunction with VGV, monitors changes in the fair value of land and building assets through relevant data sources to determine revaluation increments or decrements.</w:t>
      </w:r>
    </w:p>
    <w:p w14:paraId="569EAE54" w14:textId="77777777" w:rsidR="005B131E" w:rsidRDefault="005B131E" w:rsidP="002542E1">
      <w:pPr>
        <w:pStyle w:val="Heading5"/>
      </w:pPr>
      <w:r>
        <w:t>How this section is structured</w:t>
      </w:r>
    </w:p>
    <w:p w14:paraId="2092AEAD" w14:textId="77777777" w:rsidR="005B131E" w:rsidRDefault="005B131E" w:rsidP="002542E1">
      <w:pPr>
        <w:pStyle w:val="ARfinbody"/>
      </w:pPr>
      <w:r>
        <w:t>For those assets and liabilities for which fair values are determined, the following disclosures are provided:</w:t>
      </w:r>
    </w:p>
    <w:p w14:paraId="3643D460" w14:textId="77777777" w:rsidR="005B131E" w:rsidRDefault="005B131E" w:rsidP="002542E1">
      <w:pPr>
        <w:pStyle w:val="ARfinbullet1"/>
      </w:pPr>
      <w:r>
        <w:t>carrying amount and the fair value (which would be the same for those assets measured at fair value)</w:t>
      </w:r>
    </w:p>
    <w:p w14:paraId="6337432F" w14:textId="77777777" w:rsidR="005B131E" w:rsidRDefault="005B131E" w:rsidP="002542E1">
      <w:pPr>
        <w:pStyle w:val="ARfinbullet1"/>
      </w:pPr>
      <w:r>
        <w:t>which level of the fair value hierarchy was used to determine the fair value</w:t>
      </w:r>
    </w:p>
    <w:p w14:paraId="5A1959E2" w14:textId="77777777" w:rsidR="005B131E" w:rsidRDefault="005B131E" w:rsidP="002542E1">
      <w:pPr>
        <w:pStyle w:val="ARfinbullet1"/>
      </w:pPr>
      <w:r>
        <w:t>in respect of those assets and liabilities subject to fair value determination using Level 3 inputs:</w:t>
      </w:r>
    </w:p>
    <w:p w14:paraId="199A1DF4" w14:textId="77777777" w:rsidR="005B131E" w:rsidRDefault="005B131E" w:rsidP="002542E1">
      <w:pPr>
        <w:pStyle w:val="ARfinbullet2"/>
      </w:pPr>
      <w:r>
        <w:t>a reconciliation of the movements in fair values from the beginning of the year to the end</w:t>
      </w:r>
    </w:p>
    <w:p w14:paraId="487BCDDE" w14:textId="77777777" w:rsidR="005B131E" w:rsidRDefault="005B131E" w:rsidP="002542E1">
      <w:pPr>
        <w:pStyle w:val="ARfinbullet2"/>
      </w:pPr>
      <w:r>
        <w:t xml:space="preserve">details of significant unobservable inputs used in the fair value determination. </w:t>
      </w:r>
    </w:p>
    <w:p w14:paraId="50958847" w14:textId="77777777" w:rsidR="005B131E" w:rsidRDefault="005B131E" w:rsidP="002542E1">
      <w:pPr>
        <w:pStyle w:val="ARfinbody"/>
      </w:pPr>
      <w:r>
        <w:t>This section is divided between disclosures in connection with fair value determination for financial instruments (refer Note 8.3.1) and non-financial physical assets (refer Note 8.3.2).</w:t>
      </w:r>
    </w:p>
    <w:p w14:paraId="1399E257" w14:textId="77777777" w:rsidR="005B131E" w:rsidRDefault="005B131E" w:rsidP="002542E1">
      <w:pPr>
        <w:pStyle w:val="Heading5"/>
      </w:pPr>
      <w:r>
        <w:t xml:space="preserve">8.3.1 Fair value determination of financial assets and liabilities </w:t>
      </w:r>
    </w:p>
    <w:p w14:paraId="118CCF38" w14:textId="77777777" w:rsidR="005B131E" w:rsidRDefault="005B131E" w:rsidP="002542E1">
      <w:pPr>
        <w:pStyle w:val="ARfinbody"/>
      </w:pPr>
      <w:r>
        <w:t>The fair values and net fair values of financial assets and liabilities are determined as follows:</w:t>
      </w:r>
    </w:p>
    <w:p w14:paraId="61F63FE1" w14:textId="77777777" w:rsidR="005B131E" w:rsidRDefault="005B131E" w:rsidP="002542E1">
      <w:pPr>
        <w:pStyle w:val="ARfinbullet1"/>
      </w:pPr>
      <w:r>
        <w:t>Level 1 – the fair value of financial instruments with standard terms and conditions and traded in active markets are determined with reference to quoted market prices</w:t>
      </w:r>
    </w:p>
    <w:p w14:paraId="3EFD7ED8" w14:textId="77777777" w:rsidR="005B131E" w:rsidRDefault="005B131E" w:rsidP="002542E1">
      <w:pPr>
        <w:pStyle w:val="ARfinbullet1"/>
      </w:pPr>
      <w:r>
        <w:t>Level 2 – the fair value is determined using inputs other than quoted prices that are observable for the financial asset or liability, either directly or indirectly</w:t>
      </w:r>
    </w:p>
    <w:p w14:paraId="1DF7F1B9" w14:textId="77777777" w:rsidR="005B131E" w:rsidRDefault="005B131E" w:rsidP="002542E1">
      <w:pPr>
        <w:pStyle w:val="ARfinbullet1"/>
      </w:pPr>
      <w:r>
        <w:t>Level 3 – the fair value is determined in accordance with generally accepted pricing models based on discounted cash flow analysis using unobservable market inputs.</w:t>
      </w:r>
    </w:p>
    <w:p w14:paraId="4C010419" w14:textId="77777777" w:rsidR="005B131E" w:rsidRDefault="005B131E" w:rsidP="002542E1">
      <w:pPr>
        <w:pStyle w:val="ARfinbody"/>
      </w:pPr>
      <w:r>
        <w:t>The department currently holds a range of financial instruments that are recorded in the financial statements where the carrying amounts are a reasonable approximation of fair values, either due to their short-term nature or with the expectation that they will be paid in full by the end of the 2023–24 reporting period.</w:t>
      </w:r>
    </w:p>
    <w:p w14:paraId="5E070E45" w14:textId="77777777" w:rsidR="005B131E" w:rsidRDefault="005B131E" w:rsidP="002542E1">
      <w:pPr>
        <w:pStyle w:val="ARfinbody"/>
      </w:pPr>
      <w:r>
        <w:t>The fair value of the financial instruments is the same as the carrying amounts.</w:t>
      </w:r>
    </w:p>
    <w:p w14:paraId="4FBB4914" w14:textId="77777777" w:rsidR="005B131E" w:rsidRDefault="005B131E" w:rsidP="002542E1">
      <w:pPr>
        <w:pStyle w:val="ARbody"/>
        <w:rPr>
          <w:rFonts w:eastAsiaTheme="minorEastAsia" w:cs="ArialMT"/>
          <w:color w:val="000000"/>
          <w:sz w:val="18"/>
          <w:szCs w:val="16"/>
          <w:lang w:eastAsia="en-AU"/>
        </w:rPr>
      </w:pPr>
      <w:r>
        <w:br w:type="page"/>
      </w:r>
    </w:p>
    <w:p w14:paraId="5EEF6033" w14:textId="77777777" w:rsidR="005B131E" w:rsidRPr="00157B77" w:rsidRDefault="005B131E" w:rsidP="00207901">
      <w:pPr>
        <w:pStyle w:val="Heading5"/>
        <w:rPr>
          <w:lang w:eastAsia="en-AU"/>
        </w:rPr>
      </w:pPr>
      <w:bookmarkStart w:id="282" w:name="_Ref178239567"/>
      <w:r w:rsidRPr="00157B77">
        <w:rPr>
          <w:lang w:eastAsia="en-AU"/>
        </w:rPr>
        <w:t>8.3.2 Fair value determination of non-financial physical assets</w:t>
      </w:r>
      <w:bookmarkEnd w:id="282"/>
    </w:p>
    <w:p w14:paraId="204A7FDD" w14:textId="77777777" w:rsidR="005B131E" w:rsidRPr="00157B77" w:rsidRDefault="005B131E">
      <w:pPr>
        <w:pStyle w:val="Heading6"/>
        <w:spacing w:before="160"/>
      </w:pPr>
      <w:r w:rsidRPr="00157B77">
        <w:rPr>
          <w:lang w:eastAsia="en-AU"/>
        </w:rPr>
        <w:t>Fair value measurement hierarchy</w:t>
      </w: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5B131E" w:rsidRPr="00BA7805" w14:paraId="4BF52D3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6517F402" w14:textId="77777777" w:rsidR="005B131E" w:rsidRPr="00BA7805" w:rsidRDefault="005B131E">
            <w:pPr>
              <w:pStyle w:val="ARfintablecolhead"/>
              <w:rPr>
                <w:highlight w:val="green"/>
              </w:rPr>
            </w:pPr>
            <w:r w:rsidRPr="00157B77">
              <w:t>2024</w:t>
            </w:r>
          </w:p>
        </w:tc>
        <w:tc>
          <w:tcPr>
            <w:tcW w:w="1134" w:type="dxa"/>
            <w:vMerge w:val="restart"/>
            <w:hideMark/>
          </w:tcPr>
          <w:p w14:paraId="62F8EFCE" w14:textId="77777777" w:rsidR="005B131E" w:rsidRPr="00157B77" w:rsidRDefault="005B131E">
            <w:pPr>
              <w:pStyle w:val="ARfintablecolheadright"/>
            </w:pPr>
            <w:r w:rsidRPr="00157B77">
              <w:t>Carrying amount</w:t>
            </w:r>
          </w:p>
          <w:p w14:paraId="03148E14" w14:textId="77777777" w:rsidR="005B131E" w:rsidRPr="00157B77" w:rsidRDefault="005B131E">
            <w:pPr>
              <w:pStyle w:val="ARfintablecolheadright"/>
            </w:pPr>
            <w:r w:rsidRPr="00157B77">
              <w:t>$M</w:t>
            </w:r>
          </w:p>
        </w:tc>
        <w:tc>
          <w:tcPr>
            <w:tcW w:w="3402" w:type="dxa"/>
            <w:gridSpan w:val="3"/>
            <w:shd w:val="clear" w:color="auto" w:fill="E7E6E6" w:themeFill="accent4"/>
            <w:hideMark/>
          </w:tcPr>
          <w:p w14:paraId="469B3962" w14:textId="77777777" w:rsidR="005B131E" w:rsidRPr="00157B77" w:rsidRDefault="005B131E">
            <w:pPr>
              <w:pStyle w:val="ARfintablecolheadcentre"/>
            </w:pPr>
            <w:r w:rsidRPr="00157B77">
              <w:t xml:space="preserve">Fair value measurement at end </w:t>
            </w:r>
            <w:r w:rsidRPr="00157B77">
              <w:br/>
              <w:t>of reporting period using:</w:t>
            </w:r>
          </w:p>
        </w:tc>
      </w:tr>
      <w:tr w:rsidR="005B131E" w:rsidRPr="00BA7805" w14:paraId="11C618A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bottom w:val="single" w:sz="4" w:space="0" w:color="auto"/>
            </w:tcBorders>
            <w:hideMark/>
          </w:tcPr>
          <w:p w14:paraId="17D43B79" w14:textId="77777777" w:rsidR="005B131E" w:rsidRPr="00BA7805" w:rsidRDefault="005B131E">
            <w:pPr>
              <w:pStyle w:val="ARfintablecolhead"/>
              <w:rPr>
                <w:highlight w:val="green"/>
              </w:rPr>
            </w:pPr>
          </w:p>
        </w:tc>
        <w:tc>
          <w:tcPr>
            <w:tcW w:w="1134" w:type="dxa"/>
            <w:vMerge/>
            <w:tcBorders>
              <w:bottom w:val="single" w:sz="4" w:space="0" w:color="auto"/>
            </w:tcBorders>
            <w:hideMark/>
          </w:tcPr>
          <w:p w14:paraId="43FA560A" w14:textId="77777777" w:rsidR="005B131E" w:rsidRPr="00157B77" w:rsidRDefault="005B131E">
            <w:pPr>
              <w:pStyle w:val="ARfintablecolheadright"/>
            </w:pPr>
          </w:p>
        </w:tc>
        <w:tc>
          <w:tcPr>
            <w:tcW w:w="1134" w:type="dxa"/>
            <w:tcBorders>
              <w:bottom w:val="single" w:sz="4" w:space="0" w:color="auto"/>
            </w:tcBorders>
            <w:shd w:val="clear" w:color="auto" w:fill="E7E6E6" w:themeFill="accent4"/>
            <w:hideMark/>
          </w:tcPr>
          <w:p w14:paraId="75C3A99A" w14:textId="77777777" w:rsidR="005B131E" w:rsidRPr="00157B77" w:rsidRDefault="005B131E">
            <w:pPr>
              <w:pStyle w:val="ARfintablecolheadright"/>
            </w:pPr>
            <w:r w:rsidRPr="00157B77">
              <w:t xml:space="preserve">Level 1 </w:t>
            </w:r>
            <w:r w:rsidRPr="00157B77">
              <w:rPr>
                <w:rStyle w:val="Superscript"/>
              </w:rPr>
              <w:t>(i)</w:t>
            </w:r>
          </w:p>
          <w:p w14:paraId="6E4E6F54" w14:textId="77777777" w:rsidR="005B131E" w:rsidRPr="00157B77" w:rsidRDefault="005B131E">
            <w:pPr>
              <w:pStyle w:val="ARfintablecolheadright"/>
            </w:pPr>
            <w:r w:rsidRPr="00157B77">
              <w:t>$M</w:t>
            </w:r>
          </w:p>
        </w:tc>
        <w:tc>
          <w:tcPr>
            <w:tcW w:w="1134" w:type="dxa"/>
            <w:tcBorders>
              <w:bottom w:val="single" w:sz="4" w:space="0" w:color="auto"/>
            </w:tcBorders>
            <w:shd w:val="clear" w:color="auto" w:fill="E7E6E6" w:themeFill="accent4"/>
            <w:hideMark/>
          </w:tcPr>
          <w:p w14:paraId="5211E96B" w14:textId="77777777" w:rsidR="005B131E" w:rsidRPr="00157B77" w:rsidRDefault="005B131E">
            <w:pPr>
              <w:pStyle w:val="ARfintablecolheadright"/>
            </w:pPr>
            <w:r w:rsidRPr="00157B77">
              <w:t xml:space="preserve">Level 2 </w:t>
            </w:r>
            <w:r w:rsidRPr="00157B77">
              <w:rPr>
                <w:rStyle w:val="Superscript"/>
              </w:rPr>
              <w:t>(i)</w:t>
            </w:r>
          </w:p>
          <w:p w14:paraId="14348A1C" w14:textId="77777777" w:rsidR="005B131E" w:rsidRPr="00157B77" w:rsidRDefault="005B131E">
            <w:pPr>
              <w:pStyle w:val="ARfintablecolheadright"/>
            </w:pPr>
            <w:r w:rsidRPr="00157B77">
              <w:t>$M</w:t>
            </w:r>
          </w:p>
        </w:tc>
        <w:tc>
          <w:tcPr>
            <w:tcW w:w="1134" w:type="dxa"/>
            <w:tcBorders>
              <w:bottom w:val="single" w:sz="4" w:space="0" w:color="auto"/>
            </w:tcBorders>
            <w:shd w:val="clear" w:color="auto" w:fill="E7E6E6" w:themeFill="accent4"/>
            <w:hideMark/>
          </w:tcPr>
          <w:p w14:paraId="3EA31EA7" w14:textId="77777777" w:rsidR="005B131E" w:rsidRPr="00157B77" w:rsidRDefault="005B131E">
            <w:pPr>
              <w:pStyle w:val="ARfintablecolheadright"/>
            </w:pPr>
            <w:r w:rsidRPr="00157B77">
              <w:t xml:space="preserve">Level 3 </w:t>
            </w:r>
            <w:r w:rsidRPr="00157B77">
              <w:rPr>
                <w:rStyle w:val="Superscript"/>
              </w:rPr>
              <w:t>(i)</w:t>
            </w:r>
          </w:p>
          <w:p w14:paraId="12DBB547" w14:textId="77777777" w:rsidR="005B131E" w:rsidRPr="00157B77" w:rsidRDefault="005B131E">
            <w:pPr>
              <w:pStyle w:val="ARfintablecolheadright"/>
            </w:pPr>
            <w:r w:rsidRPr="00157B77">
              <w:t>$M</w:t>
            </w:r>
          </w:p>
        </w:tc>
      </w:tr>
      <w:tr w:rsidR="005B131E" w:rsidRPr="00BA7805" w14:paraId="26239D81" w14:textId="77777777" w:rsidTr="002542E1">
        <w:tc>
          <w:tcPr>
            <w:tcW w:w="9637" w:type="dxa"/>
            <w:gridSpan w:val="5"/>
            <w:tcBorders>
              <w:top w:val="single" w:sz="4" w:space="0" w:color="auto"/>
              <w:bottom w:val="single" w:sz="4" w:space="0" w:color="A6A6A6"/>
            </w:tcBorders>
            <w:shd w:val="clear" w:color="auto" w:fill="auto"/>
          </w:tcPr>
          <w:p w14:paraId="77AC4017" w14:textId="77777777" w:rsidR="005B131E" w:rsidRPr="00BA7805" w:rsidRDefault="005B131E">
            <w:pPr>
              <w:pStyle w:val="ARfintablebodybold"/>
              <w:rPr>
                <w:highlight w:val="green"/>
              </w:rPr>
            </w:pPr>
            <w:r w:rsidRPr="002D2C47">
              <w:t>Land at fair value</w:t>
            </w:r>
          </w:p>
        </w:tc>
      </w:tr>
      <w:tr w:rsidR="005B131E" w:rsidRPr="00BA7805" w14:paraId="15B442A0" w14:textId="77777777" w:rsidTr="002542E1">
        <w:tc>
          <w:tcPr>
            <w:tcW w:w="5101" w:type="dxa"/>
            <w:tcBorders>
              <w:top w:val="single" w:sz="4" w:space="0" w:color="A6A6A6"/>
              <w:bottom w:val="single" w:sz="4" w:space="0" w:color="A6A6A6"/>
            </w:tcBorders>
          </w:tcPr>
          <w:p w14:paraId="3F5E2E1D" w14:textId="77777777" w:rsidR="005B131E" w:rsidRPr="00BA7805" w:rsidRDefault="005B131E" w:rsidP="002542E1">
            <w:pPr>
              <w:pStyle w:val="ARfintablebody"/>
              <w:rPr>
                <w:highlight w:val="green"/>
              </w:rPr>
            </w:pPr>
            <w:r w:rsidRPr="003F52E0">
              <w:t>Non-specialised land</w:t>
            </w:r>
          </w:p>
        </w:tc>
        <w:tc>
          <w:tcPr>
            <w:tcW w:w="1134" w:type="dxa"/>
            <w:tcBorders>
              <w:top w:val="single" w:sz="4" w:space="0" w:color="A6A6A6"/>
              <w:bottom w:val="single" w:sz="4" w:space="0" w:color="A6A6A6"/>
            </w:tcBorders>
            <w:noWrap/>
          </w:tcPr>
          <w:p w14:paraId="1B1BD69E" w14:textId="77777777" w:rsidR="005B131E" w:rsidRPr="00BA7805" w:rsidRDefault="005B131E" w:rsidP="002542E1">
            <w:pPr>
              <w:pStyle w:val="ARfintablebodyright"/>
              <w:rPr>
                <w:highlight w:val="green"/>
              </w:rPr>
            </w:pPr>
            <w:r w:rsidRPr="003F52E0">
              <w:t>23,940.3</w:t>
            </w:r>
          </w:p>
        </w:tc>
        <w:tc>
          <w:tcPr>
            <w:tcW w:w="1134" w:type="dxa"/>
            <w:tcBorders>
              <w:top w:val="single" w:sz="4" w:space="0" w:color="A6A6A6"/>
              <w:bottom w:val="single" w:sz="4" w:space="0" w:color="A6A6A6"/>
            </w:tcBorders>
            <w:shd w:val="clear" w:color="auto" w:fill="E7E6E6" w:themeFill="accent4"/>
            <w:noWrap/>
          </w:tcPr>
          <w:p w14:paraId="16053B33"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61BCD829" w14:textId="77777777" w:rsidR="005B131E" w:rsidRPr="00BA7805" w:rsidRDefault="005B131E" w:rsidP="002542E1">
            <w:pPr>
              <w:pStyle w:val="ARfintablebodyright"/>
              <w:rPr>
                <w:highlight w:val="green"/>
              </w:rPr>
            </w:pPr>
            <w:r w:rsidRPr="003F52E0">
              <w:t>23,940.3</w:t>
            </w:r>
          </w:p>
        </w:tc>
        <w:tc>
          <w:tcPr>
            <w:tcW w:w="1134" w:type="dxa"/>
            <w:tcBorders>
              <w:top w:val="single" w:sz="4" w:space="0" w:color="A6A6A6"/>
              <w:bottom w:val="single" w:sz="4" w:space="0" w:color="A6A6A6"/>
            </w:tcBorders>
            <w:shd w:val="clear" w:color="auto" w:fill="E7E6E6" w:themeFill="accent4"/>
            <w:noWrap/>
          </w:tcPr>
          <w:p w14:paraId="24BD856C" w14:textId="77777777" w:rsidR="005B131E" w:rsidRPr="00BA7805" w:rsidRDefault="005B131E" w:rsidP="002542E1">
            <w:pPr>
              <w:pStyle w:val="ARfintablebodyright"/>
              <w:rPr>
                <w:highlight w:val="green"/>
              </w:rPr>
            </w:pPr>
            <w:r>
              <w:t>–</w:t>
            </w:r>
          </w:p>
        </w:tc>
      </w:tr>
      <w:tr w:rsidR="005B131E" w:rsidRPr="00BA7805" w14:paraId="471F53C1" w14:textId="77777777" w:rsidTr="002542E1">
        <w:tc>
          <w:tcPr>
            <w:tcW w:w="5101" w:type="dxa"/>
            <w:tcBorders>
              <w:top w:val="single" w:sz="4" w:space="0" w:color="A6A6A6"/>
            </w:tcBorders>
          </w:tcPr>
          <w:p w14:paraId="3F6CA50E" w14:textId="77777777" w:rsidR="005B131E" w:rsidRPr="00BA7805" w:rsidRDefault="005B131E" w:rsidP="002542E1">
            <w:pPr>
              <w:pStyle w:val="ARfintablebody"/>
              <w:rPr>
                <w:highlight w:val="green"/>
              </w:rPr>
            </w:pPr>
            <w:r w:rsidRPr="003F52E0">
              <w:t>Specialised land</w:t>
            </w:r>
          </w:p>
        </w:tc>
        <w:tc>
          <w:tcPr>
            <w:tcW w:w="1134" w:type="dxa"/>
            <w:tcBorders>
              <w:top w:val="single" w:sz="4" w:space="0" w:color="A6A6A6"/>
            </w:tcBorders>
            <w:noWrap/>
          </w:tcPr>
          <w:p w14:paraId="4604D504" w14:textId="77777777" w:rsidR="005B131E" w:rsidRPr="00BA7805" w:rsidRDefault="005B131E" w:rsidP="002542E1">
            <w:pPr>
              <w:pStyle w:val="ARfintablebodyright"/>
              <w:rPr>
                <w:highlight w:val="green"/>
              </w:rPr>
            </w:pPr>
            <w:r w:rsidRPr="003F52E0">
              <w:t>170.2</w:t>
            </w:r>
          </w:p>
        </w:tc>
        <w:tc>
          <w:tcPr>
            <w:tcW w:w="1134" w:type="dxa"/>
            <w:tcBorders>
              <w:top w:val="single" w:sz="4" w:space="0" w:color="A6A6A6"/>
            </w:tcBorders>
            <w:shd w:val="clear" w:color="auto" w:fill="E7E6E6" w:themeFill="accent4"/>
            <w:noWrap/>
          </w:tcPr>
          <w:p w14:paraId="426CC681"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62082AB6"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6E5B7EE0" w14:textId="77777777" w:rsidR="005B131E" w:rsidRPr="00BA7805" w:rsidRDefault="005B131E" w:rsidP="002542E1">
            <w:pPr>
              <w:pStyle w:val="ARfintablebodyright"/>
              <w:rPr>
                <w:highlight w:val="green"/>
              </w:rPr>
            </w:pPr>
            <w:r w:rsidRPr="003F52E0">
              <w:t>170.2</w:t>
            </w:r>
          </w:p>
        </w:tc>
      </w:tr>
      <w:tr w:rsidR="005B131E" w:rsidRPr="00BA7805" w14:paraId="7FCC8DD1" w14:textId="77777777" w:rsidTr="002542E1">
        <w:tc>
          <w:tcPr>
            <w:tcW w:w="5101" w:type="dxa"/>
            <w:tcBorders>
              <w:bottom w:val="single" w:sz="4" w:space="0" w:color="auto"/>
            </w:tcBorders>
          </w:tcPr>
          <w:p w14:paraId="17DD0109" w14:textId="77777777" w:rsidR="005B131E" w:rsidRPr="00BA7805" w:rsidRDefault="005B131E" w:rsidP="002542E1">
            <w:pPr>
              <w:pStyle w:val="ARfintablebodybold"/>
              <w:rPr>
                <w:highlight w:val="green"/>
              </w:rPr>
            </w:pPr>
            <w:r w:rsidRPr="003F52E0">
              <w:t>Total land at fair value</w:t>
            </w:r>
          </w:p>
        </w:tc>
        <w:tc>
          <w:tcPr>
            <w:tcW w:w="1134" w:type="dxa"/>
            <w:tcBorders>
              <w:bottom w:val="single" w:sz="4" w:space="0" w:color="auto"/>
            </w:tcBorders>
            <w:noWrap/>
          </w:tcPr>
          <w:p w14:paraId="147D7BA8" w14:textId="77777777" w:rsidR="005B131E" w:rsidRPr="00BA7805" w:rsidRDefault="005B131E" w:rsidP="002542E1">
            <w:pPr>
              <w:pStyle w:val="ARfintablebodyrightbold"/>
              <w:rPr>
                <w:highlight w:val="green"/>
              </w:rPr>
            </w:pPr>
            <w:r w:rsidRPr="003F52E0">
              <w:t>24,110.5</w:t>
            </w:r>
          </w:p>
        </w:tc>
        <w:tc>
          <w:tcPr>
            <w:tcW w:w="1134" w:type="dxa"/>
            <w:tcBorders>
              <w:bottom w:val="single" w:sz="4" w:space="0" w:color="auto"/>
            </w:tcBorders>
            <w:shd w:val="clear" w:color="auto" w:fill="E7E6E6" w:themeFill="accent4"/>
            <w:noWrap/>
          </w:tcPr>
          <w:p w14:paraId="2CFD9727" w14:textId="77777777" w:rsidR="005B131E" w:rsidRPr="00BA7805" w:rsidRDefault="005B131E" w:rsidP="002542E1">
            <w:pPr>
              <w:pStyle w:val="ARfintablebodyrightbold"/>
              <w:rPr>
                <w:highlight w:val="green"/>
              </w:rPr>
            </w:pPr>
            <w:r>
              <w:t>–</w:t>
            </w:r>
          </w:p>
        </w:tc>
        <w:tc>
          <w:tcPr>
            <w:tcW w:w="1134" w:type="dxa"/>
            <w:tcBorders>
              <w:bottom w:val="single" w:sz="4" w:space="0" w:color="auto"/>
            </w:tcBorders>
            <w:shd w:val="clear" w:color="auto" w:fill="E7E6E6" w:themeFill="accent4"/>
            <w:noWrap/>
          </w:tcPr>
          <w:p w14:paraId="179C72B6" w14:textId="77777777" w:rsidR="005B131E" w:rsidRPr="00BA7805" w:rsidRDefault="005B131E" w:rsidP="002542E1">
            <w:pPr>
              <w:pStyle w:val="ARfintablebodyrightbold"/>
              <w:rPr>
                <w:highlight w:val="green"/>
              </w:rPr>
            </w:pPr>
            <w:r w:rsidRPr="003F52E0">
              <w:t>23,940.3</w:t>
            </w:r>
          </w:p>
        </w:tc>
        <w:tc>
          <w:tcPr>
            <w:tcW w:w="1134" w:type="dxa"/>
            <w:tcBorders>
              <w:bottom w:val="single" w:sz="4" w:space="0" w:color="auto"/>
            </w:tcBorders>
            <w:shd w:val="clear" w:color="auto" w:fill="E7E6E6" w:themeFill="accent4"/>
            <w:noWrap/>
          </w:tcPr>
          <w:p w14:paraId="67E964CA" w14:textId="77777777" w:rsidR="005B131E" w:rsidRPr="00BA7805" w:rsidRDefault="005B131E" w:rsidP="002542E1">
            <w:pPr>
              <w:pStyle w:val="ARfintablebodyrightbold"/>
              <w:rPr>
                <w:highlight w:val="green"/>
              </w:rPr>
            </w:pPr>
            <w:r w:rsidRPr="003F52E0">
              <w:t>170.2</w:t>
            </w:r>
          </w:p>
        </w:tc>
      </w:tr>
      <w:tr w:rsidR="005B131E" w:rsidRPr="00BA7805" w14:paraId="1E97F0E4" w14:textId="77777777" w:rsidTr="002542E1">
        <w:tc>
          <w:tcPr>
            <w:tcW w:w="9637" w:type="dxa"/>
            <w:gridSpan w:val="5"/>
            <w:tcBorders>
              <w:top w:val="single" w:sz="4" w:space="0" w:color="auto"/>
              <w:bottom w:val="single" w:sz="4" w:space="0" w:color="A6A6A6"/>
            </w:tcBorders>
            <w:shd w:val="clear" w:color="auto" w:fill="auto"/>
          </w:tcPr>
          <w:p w14:paraId="65699577" w14:textId="77777777" w:rsidR="005B131E" w:rsidRPr="00BA7805" w:rsidRDefault="005B131E">
            <w:pPr>
              <w:pStyle w:val="ARfintablebodybold"/>
              <w:rPr>
                <w:highlight w:val="green"/>
              </w:rPr>
            </w:pPr>
            <w:r w:rsidRPr="002D2C47">
              <w:t>Buildings at fair value</w:t>
            </w:r>
          </w:p>
        </w:tc>
      </w:tr>
      <w:tr w:rsidR="005B131E" w:rsidRPr="00BA7805" w14:paraId="088FBDA9" w14:textId="77777777" w:rsidTr="002542E1">
        <w:tc>
          <w:tcPr>
            <w:tcW w:w="5101" w:type="dxa"/>
            <w:tcBorders>
              <w:top w:val="single" w:sz="4" w:space="0" w:color="A6A6A6"/>
              <w:bottom w:val="single" w:sz="4" w:space="0" w:color="A6A6A6"/>
            </w:tcBorders>
          </w:tcPr>
          <w:p w14:paraId="46011B91" w14:textId="77777777" w:rsidR="005B131E" w:rsidRPr="00BA7805" w:rsidRDefault="005B131E" w:rsidP="002542E1">
            <w:pPr>
              <w:pStyle w:val="ARfintablebody"/>
              <w:rPr>
                <w:highlight w:val="green"/>
              </w:rPr>
            </w:pPr>
            <w:r w:rsidRPr="00395FC2">
              <w:t>Non-specialised buildings</w:t>
            </w:r>
          </w:p>
        </w:tc>
        <w:tc>
          <w:tcPr>
            <w:tcW w:w="1134" w:type="dxa"/>
            <w:tcBorders>
              <w:top w:val="single" w:sz="4" w:space="0" w:color="A6A6A6"/>
              <w:bottom w:val="single" w:sz="4" w:space="0" w:color="A6A6A6"/>
            </w:tcBorders>
            <w:noWrap/>
          </w:tcPr>
          <w:p w14:paraId="338B611E" w14:textId="77777777" w:rsidR="005B131E" w:rsidRPr="00BA7805" w:rsidRDefault="005B131E" w:rsidP="002542E1">
            <w:pPr>
              <w:pStyle w:val="ARfintablebodyright"/>
              <w:rPr>
                <w:highlight w:val="green"/>
              </w:rPr>
            </w:pPr>
            <w:r w:rsidRPr="00395FC2">
              <w:t>12,967.3</w:t>
            </w:r>
          </w:p>
        </w:tc>
        <w:tc>
          <w:tcPr>
            <w:tcW w:w="1134" w:type="dxa"/>
            <w:tcBorders>
              <w:top w:val="single" w:sz="4" w:space="0" w:color="A6A6A6"/>
              <w:bottom w:val="single" w:sz="4" w:space="0" w:color="A6A6A6"/>
            </w:tcBorders>
            <w:shd w:val="clear" w:color="auto" w:fill="E7E6E6" w:themeFill="accent4"/>
            <w:noWrap/>
          </w:tcPr>
          <w:p w14:paraId="051994C4"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416CE703" w14:textId="77777777" w:rsidR="005B131E" w:rsidRPr="00BA7805" w:rsidRDefault="005B131E" w:rsidP="002542E1">
            <w:pPr>
              <w:pStyle w:val="ARfintablebodyright"/>
              <w:rPr>
                <w:highlight w:val="green"/>
              </w:rPr>
            </w:pPr>
            <w:r w:rsidRPr="00395FC2">
              <w:t>12,967.3</w:t>
            </w:r>
          </w:p>
        </w:tc>
        <w:tc>
          <w:tcPr>
            <w:tcW w:w="1134" w:type="dxa"/>
            <w:tcBorders>
              <w:top w:val="single" w:sz="4" w:space="0" w:color="A6A6A6"/>
              <w:bottom w:val="single" w:sz="4" w:space="0" w:color="A6A6A6"/>
            </w:tcBorders>
            <w:shd w:val="clear" w:color="auto" w:fill="E7E6E6" w:themeFill="accent4"/>
            <w:noWrap/>
          </w:tcPr>
          <w:p w14:paraId="09E746B2" w14:textId="77777777" w:rsidR="005B131E" w:rsidRPr="00BA7805" w:rsidRDefault="005B131E" w:rsidP="002542E1">
            <w:pPr>
              <w:pStyle w:val="ARfintablebodyright"/>
              <w:rPr>
                <w:highlight w:val="green"/>
              </w:rPr>
            </w:pPr>
            <w:r>
              <w:t>–</w:t>
            </w:r>
          </w:p>
        </w:tc>
      </w:tr>
      <w:tr w:rsidR="005B131E" w:rsidRPr="00BA7805" w14:paraId="5C3A47EE" w14:textId="77777777" w:rsidTr="002542E1">
        <w:tc>
          <w:tcPr>
            <w:tcW w:w="5101" w:type="dxa"/>
            <w:tcBorders>
              <w:top w:val="single" w:sz="4" w:space="0" w:color="A6A6A6"/>
            </w:tcBorders>
          </w:tcPr>
          <w:p w14:paraId="0D6BA934" w14:textId="77777777" w:rsidR="005B131E" w:rsidRPr="00BA7805" w:rsidRDefault="005B131E" w:rsidP="002542E1">
            <w:pPr>
              <w:pStyle w:val="ARfintablebody"/>
              <w:rPr>
                <w:highlight w:val="green"/>
              </w:rPr>
            </w:pPr>
            <w:r w:rsidRPr="00395FC2">
              <w:t>Specialised buildings</w:t>
            </w:r>
          </w:p>
        </w:tc>
        <w:tc>
          <w:tcPr>
            <w:tcW w:w="1134" w:type="dxa"/>
            <w:tcBorders>
              <w:top w:val="single" w:sz="4" w:space="0" w:color="A6A6A6"/>
            </w:tcBorders>
            <w:noWrap/>
          </w:tcPr>
          <w:p w14:paraId="7646FB31" w14:textId="77777777" w:rsidR="005B131E" w:rsidRPr="00BA7805" w:rsidRDefault="005B131E" w:rsidP="002542E1">
            <w:pPr>
              <w:pStyle w:val="ARfintablebodyright"/>
              <w:rPr>
                <w:highlight w:val="green"/>
              </w:rPr>
            </w:pPr>
            <w:r w:rsidRPr="00395FC2">
              <w:t>146.6</w:t>
            </w:r>
          </w:p>
        </w:tc>
        <w:tc>
          <w:tcPr>
            <w:tcW w:w="1134" w:type="dxa"/>
            <w:tcBorders>
              <w:top w:val="single" w:sz="4" w:space="0" w:color="A6A6A6"/>
            </w:tcBorders>
            <w:shd w:val="clear" w:color="auto" w:fill="E7E6E6" w:themeFill="accent4"/>
            <w:noWrap/>
          </w:tcPr>
          <w:p w14:paraId="1C1F75B2"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7DF300E8"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6E76BCEA" w14:textId="77777777" w:rsidR="005B131E" w:rsidRPr="00BA7805" w:rsidRDefault="005B131E" w:rsidP="002542E1">
            <w:pPr>
              <w:pStyle w:val="ARfintablebodyright"/>
              <w:rPr>
                <w:highlight w:val="green"/>
              </w:rPr>
            </w:pPr>
            <w:r w:rsidRPr="00395FC2">
              <w:t>146.6</w:t>
            </w:r>
          </w:p>
        </w:tc>
      </w:tr>
      <w:tr w:rsidR="005B131E" w:rsidRPr="00BA7805" w14:paraId="4BB1198F" w14:textId="77777777" w:rsidTr="002542E1">
        <w:tc>
          <w:tcPr>
            <w:tcW w:w="5101" w:type="dxa"/>
            <w:tcBorders>
              <w:bottom w:val="single" w:sz="4" w:space="0" w:color="auto"/>
            </w:tcBorders>
          </w:tcPr>
          <w:p w14:paraId="42E65718" w14:textId="77777777" w:rsidR="005B131E" w:rsidRPr="00BA7805" w:rsidRDefault="005B131E" w:rsidP="002542E1">
            <w:pPr>
              <w:pStyle w:val="ARfintablebodybold"/>
              <w:rPr>
                <w:highlight w:val="green"/>
              </w:rPr>
            </w:pPr>
            <w:r w:rsidRPr="00395FC2">
              <w:t>Total buildings at fair value</w:t>
            </w:r>
          </w:p>
        </w:tc>
        <w:tc>
          <w:tcPr>
            <w:tcW w:w="1134" w:type="dxa"/>
            <w:tcBorders>
              <w:bottom w:val="single" w:sz="4" w:space="0" w:color="auto"/>
            </w:tcBorders>
            <w:noWrap/>
          </w:tcPr>
          <w:p w14:paraId="19A80133" w14:textId="77777777" w:rsidR="005B131E" w:rsidRPr="00BA7805" w:rsidRDefault="005B131E" w:rsidP="002542E1">
            <w:pPr>
              <w:pStyle w:val="ARfintablebodyrightbold"/>
              <w:rPr>
                <w:highlight w:val="green"/>
              </w:rPr>
            </w:pPr>
            <w:r w:rsidRPr="00395FC2">
              <w:t>13,113.9</w:t>
            </w:r>
          </w:p>
        </w:tc>
        <w:tc>
          <w:tcPr>
            <w:tcW w:w="1134" w:type="dxa"/>
            <w:tcBorders>
              <w:bottom w:val="single" w:sz="4" w:space="0" w:color="auto"/>
            </w:tcBorders>
            <w:shd w:val="clear" w:color="auto" w:fill="E7E6E6" w:themeFill="accent4"/>
            <w:noWrap/>
          </w:tcPr>
          <w:p w14:paraId="5D42ADF5" w14:textId="77777777" w:rsidR="005B131E" w:rsidRPr="00BA7805" w:rsidRDefault="005B131E" w:rsidP="002542E1">
            <w:pPr>
              <w:pStyle w:val="ARfintablebodyrightbold"/>
              <w:rPr>
                <w:highlight w:val="green"/>
              </w:rPr>
            </w:pPr>
            <w:r>
              <w:t>–</w:t>
            </w:r>
          </w:p>
        </w:tc>
        <w:tc>
          <w:tcPr>
            <w:tcW w:w="1134" w:type="dxa"/>
            <w:tcBorders>
              <w:bottom w:val="single" w:sz="4" w:space="0" w:color="auto"/>
            </w:tcBorders>
            <w:shd w:val="clear" w:color="auto" w:fill="E7E6E6" w:themeFill="accent4"/>
            <w:noWrap/>
          </w:tcPr>
          <w:p w14:paraId="62188531" w14:textId="77777777" w:rsidR="005B131E" w:rsidRPr="00BA7805" w:rsidRDefault="005B131E" w:rsidP="002542E1">
            <w:pPr>
              <w:pStyle w:val="ARfintablebodyrightbold"/>
              <w:rPr>
                <w:highlight w:val="green"/>
              </w:rPr>
            </w:pPr>
            <w:r w:rsidRPr="00395FC2">
              <w:t>12,967.3</w:t>
            </w:r>
          </w:p>
        </w:tc>
        <w:tc>
          <w:tcPr>
            <w:tcW w:w="1134" w:type="dxa"/>
            <w:tcBorders>
              <w:bottom w:val="single" w:sz="4" w:space="0" w:color="auto"/>
            </w:tcBorders>
            <w:shd w:val="clear" w:color="auto" w:fill="E7E6E6" w:themeFill="accent4"/>
            <w:noWrap/>
          </w:tcPr>
          <w:p w14:paraId="61BA85EF" w14:textId="77777777" w:rsidR="005B131E" w:rsidRPr="00BA7805" w:rsidRDefault="005B131E" w:rsidP="002542E1">
            <w:pPr>
              <w:pStyle w:val="ARfintablebodyrightbold"/>
              <w:rPr>
                <w:highlight w:val="green"/>
              </w:rPr>
            </w:pPr>
            <w:r w:rsidRPr="00395FC2">
              <w:t>146.6</w:t>
            </w:r>
          </w:p>
        </w:tc>
      </w:tr>
      <w:tr w:rsidR="005B131E" w:rsidRPr="00BA7805" w14:paraId="632BB1B9" w14:textId="77777777" w:rsidTr="002542E1">
        <w:tc>
          <w:tcPr>
            <w:tcW w:w="9637" w:type="dxa"/>
            <w:gridSpan w:val="5"/>
            <w:tcBorders>
              <w:top w:val="single" w:sz="4" w:space="0" w:color="auto"/>
              <w:bottom w:val="single" w:sz="4" w:space="0" w:color="A6A6A6"/>
            </w:tcBorders>
            <w:shd w:val="clear" w:color="auto" w:fill="auto"/>
          </w:tcPr>
          <w:p w14:paraId="642E66D4" w14:textId="77777777" w:rsidR="005B131E" w:rsidRPr="00BA7805" w:rsidRDefault="005B131E">
            <w:pPr>
              <w:pStyle w:val="ARfintablebodybold"/>
              <w:rPr>
                <w:highlight w:val="green"/>
              </w:rPr>
            </w:pPr>
            <w:r w:rsidRPr="002F4B20">
              <w:t>Plant, equipment and vehicles at fair value</w:t>
            </w:r>
          </w:p>
        </w:tc>
      </w:tr>
      <w:tr w:rsidR="005B131E" w:rsidRPr="00BA7805" w14:paraId="6994A3AB" w14:textId="77777777" w:rsidTr="002542E1">
        <w:tc>
          <w:tcPr>
            <w:tcW w:w="5101" w:type="dxa"/>
            <w:tcBorders>
              <w:top w:val="single" w:sz="4" w:space="0" w:color="A6A6A6"/>
              <w:bottom w:val="single" w:sz="4" w:space="0" w:color="A6A6A6"/>
            </w:tcBorders>
          </w:tcPr>
          <w:p w14:paraId="1E4DF6D4" w14:textId="77777777" w:rsidR="005B131E" w:rsidRPr="00BA7805" w:rsidRDefault="005B131E" w:rsidP="002542E1">
            <w:pPr>
              <w:pStyle w:val="ARfintablebody"/>
              <w:rPr>
                <w:highlight w:val="green"/>
              </w:rPr>
            </w:pPr>
            <w:r w:rsidRPr="00D871AC">
              <w:t>Plant and equipment</w:t>
            </w:r>
          </w:p>
        </w:tc>
        <w:tc>
          <w:tcPr>
            <w:tcW w:w="1134" w:type="dxa"/>
            <w:tcBorders>
              <w:top w:val="single" w:sz="4" w:space="0" w:color="A6A6A6"/>
              <w:bottom w:val="single" w:sz="4" w:space="0" w:color="A6A6A6"/>
            </w:tcBorders>
            <w:noWrap/>
          </w:tcPr>
          <w:p w14:paraId="3002D6B8" w14:textId="77777777" w:rsidR="005B131E" w:rsidRPr="00BA7805" w:rsidRDefault="005B131E" w:rsidP="002542E1">
            <w:pPr>
              <w:pStyle w:val="ARfintablebodyright"/>
              <w:rPr>
                <w:highlight w:val="green"/>
              </w:rPr>
            </w:pPr>
            <w:r w:rsidRPr="00D871AC">
              <w:t>0.4</w:t>
            </w:r>
          </w:p>
        </w:tc>
        <w:tc>
          <w:tcPr>
            <w:tcW w:w="1134" w:type="dxa"/>
            <w:tcBorders>
              <w:top w:val="single" w:sz="4" w:space="0" w:color="A6A6A6"/>
              <w:bottom w:val="single" w:sz="4" w:space="0" w:color="A6A6A6"/>
            </w:tcBorders>
            <w:shd w:val="clear" w:color="auto" w:fill="E7E6E6" w:themeFill="accent4"/>
            <w:noWrap/>
          </w:tcPr>
          <w:p w14:paraId="77F4110E"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693F3979" w14:textId="77777777" w:rsidR="005B131E" w:rsidRPr="00BA7805" w:rsidRDefault="005B131E" w:rsidP="002542E1">
            <w:pPr>
              <w:pStyle w:val="ARfintablebodyright"/>
              <w:rPr>
                <w:highlight w:val="green"/>
              </w:rPr>
            </w:pPr>
            <w:r w:rsidRPr="00D871AC">
              <w:t>0.4</w:t>
            </w:r>
          </w:p>
        </w:tc>
        <w:tc>
          <w:tcPr>
            <w:tcW w:w="1134" w:type="dxa"/>
            <w:tcBorders>
              <w:top w:val="single" w:sz="4" w:space="0" w:color="A6A6A6"/>
              <w:bottom w:val="single" w:sz="4" w:space="0" w:color="A6A6A6"/>
            </w:tcBorders>
            <w:shd w:val="clear" w:color="auto" w:fill="E7E6E6" w:themeFill="accent4"/>
            <w:noWrap/>
          </w:tcPr>
          <w:p w14:paraId="398CCCAC" w14:textId="77777777" w:rsidR="005B131E" w:rsidRPr="00BA7805" w:rsidRDefault="005B131E" w:rsidP="002542E1">
            <w:pPr>
              <w:pStyle w:val="ARfintablebodyright"/>
              <w:rPr>
                <w:highlight w:val="green"/>
              </w:rPr>
            </w:pPr>
            <w:r>
              <w:t>–</w:t>
            </w:r>
          </w:p>
        </w:tc>
      </w:tr>
      <w:tr w:rsidR="005B131E" w:rsidRPr="00BA7805" w14:paraId="101A334D" w14:textId="77777777" w:rsidTr="002542E1">
        <w:tc>
          <w:tcPr>
            <w:tcW w:w="5101" w:type="dxa"/>
            <w:tcBorders>
              <w:top w:val="single" w:sz="4" w:space="0" w:color="A6A6A6"/>
            </w:tcBorders>
          </w:tcPr>
          <w:p w14:paraId="0657D860" w14:textId="77777777" w:rsidR="005B131E" w:rsidRPr="002E4334" w:rsidRDefault="005B131E" w:rsidP="002542E1">
            <w:pPr>
              <w:pStyle w:val="ARfintablebodybold"/>
              <w:rPr>
                <w:highlight w:val="green"/>
              </w:rPr>
            </w:pPr>
            <w:r w:rsidRPr="002E4334">
              <w:t>Total plant, equipment and vehicles at fair value</w:t>
            </w:r>
          </w:p>
        </w:tc>
        <w:tc>
          <w:tcPr>
            <w:tcW w:w="1134" w:type="dxa"/>
            <w:tcBorders>
              <w:top w:val="single" w:sz="4" w:space="0" w:color="A6A6A6"/>
            </w:tcBorders>
            <w:noWrap/>
          </w:tcPr>
          <w:p w14:paraId="73149B03" w14:textId="77777777" w:rsidR="005B131E" w:rsidRPr="002E4334" w:rsidRDefault="005B131E" w:rsidP="002542E1">
            <w:pPr>
              <w:pStyle w:val="ARfintablebodyrightbold"/>
              <w:rPr>
                <w:highlight w:val="green"/>
              </w:rPr>
            </w:pPr>
            <w:r w:rsidRPr="002E4334">
              <w:t>0.4</w:t>
            </w:r>
          </w:p>
        </w:tc>
        <w:tc>
          <w:tcPr>
            <w:tcW w:w="1134" w:type="dxa"/>
            <w:tcBorders>
              <w:top w:val="single" w:sz="4" w:space="0" w:color="A6A6A6"/>
            </w:tcBorders>
            <w:shd w:val="clear" w:color="auto" w:fill="E7E6E6" w:themeFill="accent4"/>
            <w:noWrap/>
          </w:tcPr>
          <w:p w14:paraId="788BAE82" w14:textId="77777777" w:rsidR="005B131E" w:rsidRPr="002E4334" w:rsidRDefault="005B131E" w:rsidP="002542E1">
            <w:pPr>
              <w:pStyle w:val="ARfintablebodyrightbold"/>
              <w:rPr>
                <w:highlight w:val="green"/>
              </w:rPr>
            </w:pPr>
            <w:r w:rsidRPr="002E4334">
              <w:t>–</w:t>
            </w:r>
          </w:p>
        </w:tc>
        <w:tc>
          <w:tcPr>
            <w:tcW w:w="1134" w:type="dxa"/>
            <w:tcBorders>
              <w:top w:val="single" w:sz="4" w:space="0" w:color="A6A6A6"/>
            </w:tcBorders>
            <w:shd w:val="clear" w:color="auto" w:fill="E7E6E6" w:themeFill="accent4"/>
            <w:noWrap/>
          </w:tcPr>
          <w:p w14:paraId="21B2AB23" w14:textId="77777777" w:rsidR="005B131E" w:rsidRPr="002E4334" w:rsidRDefault="005B131E" w:rsidP="002542E1">
            <w:pPr>
              <w:pStyle w:val="ARfintablebodyrightbold"/>
              <w:rPr>
                <w:highlight w:val="green"/>
              </w:rPr>
            </w:pPr>
            <w:r w:rsidRPr="002E4334">
              <w:t>0.4</w:t>
            </w:r>
          </w:p>
        </w:tc>
        <w:tc>
          <w:tcPr>
            <w:tcW w:w="1134" w:type="dxa"/>
            <w:tcBorders>
              <w:top w:val="single" w:sz="4" w:space="0" w:color="A6A6A6"/>
            </w:tcBorders>
            <w:shd w:val="clear" w:color="auto" w:fill="E7E6E6" w:themeFill="accent4"/>
            <w:noWrap/>
          </w:tcPr>
          <w:p w14:paraId="5E5C2592" w14:textId="77777777" w:rsidR="005B131E" w:rsidRPr="002E4334" w:rsidRDefault="005B131E" w:rsidP="002542E1">
            <w:pPr>
              <w:pStyle w:val="ARfintablebodyrightbold"/>
              <w:rPr>
                <w:highlight w:val="green"/>
              </w:rPr>
            </w:pPr>
            <w:r w:rsidRPr="002E4334">
              <w:t>–</w:t>
            </w:r>
          </w:p>
        </w:tc>
      </w:tr>
    </w:tbl>
    <w:p w14:paraId="582EBB9B" w14:textId="77777777" w:rsidR="005B131E" w:rsidRDefault="005B131E" w:rsidP="002542E1">
      <w:pPr>
        <w:pStyle w:val="ARfinbody"/>
      </w:pP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5B131E" w:rsidRPr="00BA7805" w14:paraId="32F37083"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13E010B6" w14:textId="77777777" w:rsidR="005B131E" w:rsidRPr="002F4B20" w:rsidRDefault="005B131E">
            <w:pPr>
              <w:pStyle w:val="ARfintablecolhead"/>
            </w:pPr>
            <w:r w:rsidRPr="002F4B20">
              <w:t>2023</w:t>
            </w:r>
          </w:p>
        </w:tc>
        <w:tc>
          <w:tcPr>
            <w:tcW w:w="1134" w:type="dxa"/>
            <w:vMerge w:val="restart"/>
            <w:hideMark/>
          </w:tcPr>
          <w:p w14:paraId="15EDE312" w14:textId="77777777" w:rsidR="005B131E" w:rsidRPr="002F4B20" w:rsidRDefault="005B131E">
            <w:pPr>
              <w:pStyle w:val="ARfintablecolheadright"/>
            </w:pPr>
            <w:r w:rsidRPr="002F4B20">
              <w:t>Carrying amount</w:t>
            </w:r>
          </w:p>
          <w:p w14:paraId="622CF1EB" w14:textId="77777777" w:rsidR="005B131E" w:rsidRPr="002F4B20" w:rsidRDefault="005B131E">
            <w:pPr>
              <w:pStyle w:val="ARfintablecolheadright"/>
            </w:pPr>
            <w:r w:rsidRPr="002F4B20">
              <w:t>$M</w:t>
            </w:r>
          </w:p>
        </w:tc>
        <w:tc>
          <w:tcPr>
            <w:tcW w:w="3402" w:type="dxa"/>
            <w:gridSpan w:val="3"/>
            <w:shd w:val="clear" w:color="auto" w:fill="E7E6E6" w:themeFill="accent4"/>
            <w:hideMark/>
          </w:tcPr>
          <w:p w14:paraId="7149B00A" w14:textId="77777777" w:rsidR="005B131E" w:rsidRPr="002F4B20" w:rsidRDefault="005B131E">
            <w:pPr>
              <w:pStyle w:val="ARfintablecolheadcentre"/>
            </w:pPr>
            <w:r w:rsidRPr="002F4B20">
              <w:t xml:space="preserve">Fair value measurement at end </w:t>
            </w:r>
            <w:r w:rsidRPr="002F4B20">
              <w:br/>
              <w:t>of reporting period using:</w:t>
            </w:r>
          </w:p>
        </w:tc>
      </w:tr>
      <w:tr w:rsidR="005B131E" w:rsidRPr="00BA7805" w14:paraId="30CF3073"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5101" w:type="dxa"/>
            <w:vMerge/>
            <w:tcBorders>
              <w:bottom w:val="single" w:sz="4" w:space="0" w:color="auto"/>
            </w:tcBorders>
            <w:hideMark/>
          </w:tcPr>
          <w:p w14:paraId="40301540" w14:textId="77777777" w:rsidR="005B131E" w:rsidRPr="002F4B20" w:rsidRDefault="005B131E">
            <w:pPr>
              <w:pStyle w:val="ARfintablecolhead"/>
            </w:pPr>
          </w:p>
        </w:tc>
        <w:tc>
          <w:tcPr>
            <w:tcW w:w="1134" w:type="dxa"/>
            <w:vMerge/>
            <w:tcBorders>
              <w:bottom w:val="single" w:sz="4" w:space="0" w:color="auto"/>
            </w:tcBorders>
            <w:hideMark/>
          </w:tcPr>
          <w:p w14:paraId="0FAC12EB" w14:textId="77777777" w:rsidR="005B131E" w:rsidRPr="002F4B20" w:rsidRDefault="005B131E">
            <w:pPr>
              <w:pStyle w:val="ARfintablecolheadright"/>
            </w:pPr>
          </w:p>
        </w:tc>
        <w:tc>
          <w:tcPr>
            <w:tcW w:w="1134" w:type="dxa"/>
            <w:tcBorders>
              <w:bottom w:val="single" w:sz="4" w:space="0" w:color="auto"/>
            </w:tcBorders>
            <w:shd w:val="clear" w:color="auto" w:fill="E7E6E6" w:themeFill="accent4"/>
            <w:hideMark/>
          </w:tcPr>
          <w:p w14:paraId="575E6C9B" w14:textId="77777777" w:rsidR="005B131E" w:rsidRPr="002F4B20" w:rsidRDefault="005B131E">
            <w:pPr>
              <w:pStyle w:val="ARfintablecolheadright"/>
            </w:pPr>
            <w:r w:rsidRPr="002F4B20">
              <w:t xml:space="preserve">Level 1 </w:t>
            </w:r>
            <w:r w:rsidRPr="002F4B20">
              <w:rPr>
                <w:rStyle w:val="Superscript"/>
              </w:rPr>
              <w:t>(i)</w:t>
            </w:r>
          </w:p>
          <w:p w14:paraId="5C7948BA" w14:textId="77777777" w:rsidR="005B131E" w:rsidRPr="002F4B20" w:rsidRDefault="005B131E">
            <w:pPr>
              <w:pStyle w:val="ARfintablecolheadright"/>
            </w:pPr>
            <w:r w:rsidRPr="002F4B20">
              <w:t>$M</w:t>
            </w:r>
          </w:p>
        </w:tc>
        <w:tc>
          <w:tcPr>
            <w:tcW w:w="1134" w:type="dxa"/>
            <w:tcBorders>
              <w:bottom w:val="single" w:sz="4" w:space="0" w:color="auto"/>
            </w:tcBorders>
            <w:shd w:val="clear" w:color="auto" w:fill="E7E6E6" w:themeFill="accent4"/>
            <w:hideMark/>
          </w:tcPr>
          <w:p w14:paraId="33E80048" w14:textId="77777777" w:rsidR="005B131E" w:rsidRPr="002F4B20" w:rsidRDefault="005B131E">
            <w:pPr>
              <w:pStyle w:val="ARfintablecolheadright"/>
            </w:pPr>
            <w:r w:rsidRPr="002F4B20">
              <w:t xml:space="preserve">Level 2 </w:t>
            </w:r>
            <w:r w:rsidRPr="002F4B20">
              <w:rPr>
                <w:rStyle w:val="Superscript"/>
              </w:rPr>
              <w:t>(i)</w:t>
            </w:r>
          </w:p>
          <w:p w14:paraId="665F9588" w14:textId="77777777" w:rsidR="005B131E" w:rsidRPr="002F4B20" w:rsidRDefault="005B131E">
            <w:pPr>
              <w:pStyle w:val="ARfintablecolheadright"/>
            </w:pPr>
            <w:r w:rsidRPr="002F4B20">
              <w:t>$M</w:t>
            </w:r>
          </w:p>
        </w:tc>
        <w:tc>
          <w:tcPr>
            <w:tcW w:w="1134" w:type="dxa"/>
            <w:tcBorders>
              <w:bottom w:val="single" w:sz="4" w:space="0" w:color="auto"/>
            </w:tcBorders>
            <w:shd w:val="clear" w:color="auto" w:fill="E7E6E6" w:themeFill="accent4"/>
            <w:hideMark/>
          </w:tcPr>
          <w:p w14:paraId="7BF87844" w14:textId="77777777" w:rsidR="005B131E" w:rsidRPr="002F4B20" w:rsidRDefault="005B131E">
            <w:pPr>
              <w:pStyle w:val="ARfintablecolheadright"/>
            </w:pPr>
            <w:r w:rsidRPr="002F4B20">
              <w:t xml:space="preserve">Level 3 </w:t>
            </w:r>
            <w:r w:rsidRPr="002F4B20">
              <w:rPr>
                <w:rStyle w:val="Superscript"/>
              </w:rPr>
              <w:t>(i)</w:t>
            </w:r>
          </w:p>
          <w:p w14:paraId="062ABE32" w14:textId="77777777" w:rsidR="005B131E" w:rsidRPr="002F4B20" w:rsidRDefault="005B131E">
            <w:pPr>
              <w:pStyle w:val="ARfintablecolheadright"/>
            </w:pPr>
            <w:r w:rsidRPr="002F4B20">
              <w:t>$M</w:t>
            </w:r>
          </w:p>
        </w:tc>
      </w:tr>
      <w:tr w:rsidR="005B131E" w:rsidRPr="00BA7805" w14:paraId="018F9B24" w14:textId="77777777" w:rsidTr="002542E1">
        <w:trPr>
          <w:trHeight w:val="255"/>
        </w:trPr>
        <w:tc>
          <w:tcPr>
            <w:tcW w:w="9637" w:type="dxa"/>
            <w:gridSpan w:val="5"/>
            <w:tcBorders>
              <w:top w:val="single" w:sz="4" w:space="0" w:color="auto"/>
              <w:bottom w:val="single" w:sz="4" w:space="0" w:color="A6A6A6"/>
            </w:tcBorders>
            <w:shd w:val="clear" w:color="auto" w:fill="auto"/>
          </w:tcPr>
          <w:p w14:paraId="17826CAB" w14:textId="77777777" w:rsidR="005B131E" w:rsidRPr="00BA7805" w:rsidRDefault="005B131E">
            <w:pPr>
              <w:pStyle w:val="ARfintablebodybold"/>
              <w:rPr>
                <w:highlight w:val="green"/>
              </w:rPr>
            </w:pPr>
            <w:r w:rsidRPr="002F4B20">
              <w:t>Land at fair value</w:t>
            </w:r>
          </w:p>
        </w:tc>
      </w:tr>
      <w:tr w:rsidR="005B131E" w:rsidRPr="00BA7805" w14:paraId="0B23A1B1" w14:textId="77777777" w:rsidTr="002542E1">
        <w:trPr>
          <w:trHeight w:val="255"/>
        </w:trPr>
        <w:tc>
          <w:tcPr>
            <w:tcW w:w="5101" w:type="dxa"/>
            <w:tcBorders>
              <w:top w:val="single" w:sz="4" w:space="0" w:color="A6A6A6"/>
              <w:bottom w:val="single" w:sz="4" w:space="0" w:color="A6A6A6"/>
            </w:tcBorders>
          </w:tcPr>
          <w:p w14:paraId="7D3F5E56" w14:textId="77777777" w:rsidR="005B131E" w:rsidRPr="00BA7805" w:rsidRDefault="005B131E" w:rsidP="002542E1">
            <w:pPr>
              <w:pStyle w:val="ARfintablebody"/>
              <w:rPr>
                <w:highlight w:val="green"/>
              </w:rPr>
            </w:pPr>
            <w:r w:rsidRPr="00FA65EC">
              <w:t>Non-specialised land</w:t>
            </w:r>
          </w:p>
        </w:tc>
        <w:tc>
          <w:tcPr>
            <w:tcW w:w="1134" w:type="dxa"/>
            <w:tcBorders>
              <w:top w:val="single" w:sz="4" w:space="0" w:color="A6A6A6"/>
              <w:bottom w:val="single" w:sz="4" w:space="0" w:color="A6A6A6"/>
            </w:tcBorders>
            <w:noWrap/>
          </w:tcPr>
          <w:p w14:paraId="0312F42C" w14:textId="77777777" w:rsidR="005B131E" w:rsidRPr="00BA7805" w:rsidRDefault="005B131E" w:rsidP="002542E1">
            <w:pPr>
              <w:pStyle w:val="ARfintablebodyright"/>
              <w:rPr>
                <w:highlight w:val="green"/>
              </w:rPr>
            </w:pPr>
            <w:r w:rsidRPr="00FA65EC">
              <w:t>23,979.3</w:t>
            </w:r>
          </w:p>
        </w:tc>
        <w:tc>
          <w:tcPr>
            <w:tcW w:w="1134" w:type="dxa"/>
            <w:tcBorders>
              <w:top w:val="single" w:sz="4" w:space="0" w:color="A6A6A6"/>
              <w:bottom w:val="single" w:sz="4" w:space="0" w:color="A6A6A6"/>
            </w:tcBorders>
            <w:shd w:val="clear" w:color="auto" w:fill="E7E6E6" w:themeFill="accent4"/>
            <w:noWrap/>
          </w:tcPr>
          <w:p w14:paraId="092DDC6F"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3F6E3464" w14:textId="77777777" w:rsidR="005B131E" w:rsidRPr="00BA7805" w:rsidRDefault="005B131E" w:rsidP="002542E1">
            <w:pPr>
              <w:pStyle w:val="ARfintablebodyright"/>
              <w:rPr>
                <w:highlight w:val="green"/>
              </w:rPr>
            </w:pPr>
            <w:r w:rsidRPr="00FA65EC">
              <w:t>23,970.7</w:t>
            </w:r>
          </w:p>
        </w:tc>
        <w:tc>
          <w:tcPr>
            <w:tcW w:w="1134" w:type="dxa"/>
            <w:tcBorders>
              <w:top w:val="single" w:sz="4" w:space="0" w:color="A6A6A6"/>
              <w:bottom w:val="single" w:sz="4" w:space="0" w:color="A6A6A6"/>
            </w:tcBorders>
            <w:shd w:val="clear" w:color="auto" w:fill="E7E6E6" w:themeFill="accent4"/>
            <w:noWrap/>
          </w:tcPr>
          <w:p w14:paraId="01DCB54B" w14:textId="77777777" w:rsidR="005B131E" w:rsidRPr="00BA7805" w:rsidRDefault="005B131E" w:rsidP="002542E1">
            <w:pPr>
              <w:pStyle w:val="ARfintablebodyright"/>
              <w:rPr>
                <w:highlight w:val="green"/>
              </w:rPr>
            </w:pPr>
            <w:r w:rsidRPr="00FA65EC">
              <w:t>8.7</w:t>
            </w:r>
          </w:p>
        </w:tc>
      </w:tr>
      <w:tr w:rsidR="005B131E" w:rsidRPr="00BA7805" w14:paraId="362AA9D7" w14:textId="77777777" w:rsidTr="002542E1">
        <w:trPr>
          <w:trHeight w:val="255"/>
        </w:trPr>
        <w:tc>
          <w:tcPr>
            <w:tcW w:w="5101" w:type="dxa"/>
            <w:tcBorders>
              <w:top w:val="single" w:sz="4" w:space="0" w:color="A6A6A6"/>
            </w:tcBorders>
          </w:tcPr>
          <w:p w14:paraId="70FEB38E" w14:textId="77777777" w:rsidR="005B131E" w:rsidRPr="00BA7805" w:rsidRDefault="005B131E" w:rsidP="002542E1">
            <w:pPr>
              <w:pStyle w:val="ARfintablebody"/>
              <w:rPr>
                <w:highlight w:val="green"/>
              </w:rPr>
            </w:pPr>
            <w:r w:rsidRPr="00FA65EC">
              <w:t>Specialised land</w:t>
            </w:r>
          </w:p>
        </w:tc>
        <w:tc>
          <w:tcPr>
            <w:tcW w:w="1134" w:type="dxa"/>
            <w:tcBorders>
              <w:top w:val="single" w:sz="4" w:space="0" w:color="A6A6A6"/>
            </w:tcBorders>
            <w:noWrap/>
          </w:tcPr>
          <w:p w14:paraId="763B3E84" w14:textId="77777777" w:rsidR="005B131E" w:rsidRPr="00BA7805" w:rsidRDefault="005B131E" w:rsidP="002542E1">
            <w:pPr>
              <w:pStyle w:val="ARfintablebodyright"/>
              <w:rPr>
                <w:highlight w:val="green"/>
              </w:rPr>
            </w:pPr>
            <w:r w:rsidRPr="00FA65EC">
              <w:t>162.9</w:t>
            </w:r>
          </w:p>
        </w:tc>
        <w:tc>
          <w:tcPr>
            <w:tcW w:w="1134" w:type="dxa"/>
            <w:tcBorders>
              <w:top w:val="single" w:sz="4" w:space="0" w:color="A6A6A6"/>
            </w:tcBorders>
            <w:shd w:val="clear" w:color="auto" w:fill="E7E6E6" w:themeFill="accent4"/>
            <w:noWrap/>
          </w:tcPr>
          <w:p w14:paraId="59DA4D41"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26D2A7D5"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7A7D5B76" w14:textId="77777777" w:rsidR="005B131E" w:rsidRPr="00BA7805" w:rsidRDefault="005B131E" w:rsidP="002542E1">
            <w:pPr>
              <w:pStyle w:val="ARfintablebodyright"/>
              <w:rPr>
                <w:highlight w:val="green"/>
              </w:rPr>
            </w:pPr>
            <w:r w:rsidRPr="00FA65EC">
              <w:t>162.9</w:t>
            </w:r>
          </w:p>
        </w:tc>
      </w:tr>
      <w:tr w:rsidR="005B131E" w:rsidRPr="00BA7805" w14:paraId="404BD135" w14:textId="77777777" w:rsidTr="002542E1">
        <w:trPr>
          <w:trHeight w:val="255"/>
        </w:trPr>
        <w:tc>
          <w:tcPr>
            <w:tcW w:w="5101" w:type="dxa"/>
            <w:tcBorders>
              <w:bottom w:val="single" w:sz="4" w:space="0" w:color="auto"/>
            </w:tcBorders>
          </w:tcPr>
          <w:p w14:paraId="1DC26D35" w14:textId="77777777" w:rsidR="005B131E" w:rsidRPr="00BA7805" w:rsidRDefault="005B131E" w:rsidP="002542E1">
            <w:pPr>
              <w:pStyle w:val="ARfintablebodybold"/>
              <w:rPr>
                <w:highlight w:val="green"/>
              </w:rPr>
            </w:pPr>
            <w:r w:rsidRPr="00FA65EC">
              <w:t>Total land at fair value</w:t>
            </w:r>
          </w:p>
        </w:tc>
        <w:tc>
          <w:tcPr>
            <w:tcW w:w="1134" w:type="dxa"/>
            <w:tcBorders>
              <w:bottom w:val="single" w:sz="4" w:space="0" w:color="auto"/>
            </w:tcBorders>
            <w:noWrap/>
          </w:tcPr>
          <w:p w14:paraId="46E44466" w14:textId="77777777" w:rsidR="005B131E" w:rsidRPr="00BA7805" w:rsidRDefault="005B131E" w:rsidP="002542E1">
            <w:pPr>
              <w:pStyle w:val="ARfintablebodyrightbold"/>
              <w:rPr>
                <w:highlight w:val="green"/>
              </w:rPr>
            </w:pPr>
            <w:r w:rsidRPr="00FA65EC">
              <w:t>24,142.2</w:t>
            </w:r>
          </w:p>
        </w:tc>
        <w:tc>
          <w:tcPr>
            <w:tcW w:w="1134" w:type="dxa"/>
            <w:tcBorders>
              <w:bottom w:val="single" w:sz="4" w:space="0" w:color="auto"/>
            </w:tcBorders>
            <w:shd w:val="clear" w:color="auto" w:fill="E7E6E6" w:themeFill="accent4"/>
            <w:noWrap/>
          </w:tcPr>
          <w:p w14:paraId="3E20D519" w14:textId="77777777" w:rsidR="005B131E" w:rsidRPr="00BA7805" w:rsidRDefault="005B131E" w:rsidP="002542E1">
            <w:pPr>
              <w:pStyle w:val="ARfintablebodyrightbold"/>
              <w:rPr>
                <w:highlight w:val="green"/>
              </w:rPr>
            </w:pPr>
            <w:r>
              <w:t>–</w:t>
            </w:r>
          </w:p>
        </w:tc>
        <w:tc>
          <w:tcPr>
            <w:tcW w:w="1134" w:type="dxa"/>
            <w:tcBorders>
              <w:bottom w:val="single" w:sz="4" w:space="0" w:color="auto"/>
            </w:tcBorders>
            <w:shd w:val="clear" w:color="auto" w:fill="E7E6E6" w:themeFill="accent4"/>
            <w:noWrap/>
          </w:tcPr>
          <w:p w14:paraId="0C9BE3F8" w14:textId="77777777" w:rsidR="005B131E" w:rsidRPr="00BA7805" w:rsidRDefault="005B131E" w:rsidP="002542E1">
            <w:pPr>
              <w:pStyle w:val="ARfintablebodyrightbold"/>
              <w:rPr>
                <w:highlight w:val="green"/>
              </w:rPr>
            </w:pPr>
            <w:r w:rsidRPr="00FA65EC">
              <w:t>23,970.7</w:t>
            </w:r>
          </w:p>
        </w:tc>
        <w:tc>
          <w:tcPr>
            <w:tcW w:w="1134" w:type="dxa"/>
            <w:tcBorders>
              <w:bottom w:val="single" w:sz="4" w:space="0" w:color="auto"/>
            </w:tcBorders>
            <w:shd w:val="clear" w:color="auto" w:fill="E7E6E6" w:themeFill="accent4"/>
            <w:noWrap/>
          </w:tcPr>
          <w:p w14:paraId="53856A4C" w14:textId="77777777" w:rsidR="005B131E" w:rsidRPr="00BA7805" w:rsidRDefault="005B131E" w:rsidP="002542E1">
            <w:pPr>
              <w:pStyle w:val="ARfintablebodyrightbold"/>
              <w:rPr>
                <w:highlight w:val="green"/>
              </w:rPr>
            </w:pPr>
            <w:r w:rsidRPr="00FA65EC">
              <w:t>171.6</w:t>
            </w:r>
          </w:p>
        </w:tc>
      </w:tr>
      <w:tr w:rsidR="005B131E" w:rsidRPr="00BA7805" w14:paraId="6AA2CD40" w14:textId="77777777" w:rsidTr="002542E1">
        <w:trPr>
          <w:trHeight w:val="255"/>
        </w:trPr>
        <w:tc>
          <w:tcPr>
            <w:tcW w:w="9637" w:type="dxa"/>
            <w:gridSpan w:val="5"/>
            <w:tcBorders>
              <w:top w:val="single" w:sz="4" w:space="0" w:color="auto"/>
              <w:bottom w:val="single" w:sz="4" w:space="0" w:color="A6A6A6"/>
            </w:tcBorders>
            <w:shd w:val="clear" w:color="auto" w:fill="auto"/>
          </w:tcPr>
          <w:p w14:paraId="37A5B1CD" w14:textId="77777777" w:rsidR="005B131E" w:rsidRPr="00BA7805" w:rsidRDefault="005B131E">
            <w:pPr>
              <w:pStyle w:val="ARfintablebodybold"/>
              <w:rPr>
                <w:highlight w:val="green"/>
              </w:rPr>
            </w:pPr>
            <w:r w:rsidRPr="00AB6CCD">
              <w:t>Buildings at fair value</w:t>
            </w:r>
          </w:p>
        </w:tc>
      </w:tr>
      <w:tr w:rsidR="005B131E" w:rsidRPr="00BA7805" w14:paraId="0FA3EE45" w14:textId="77777777" w:rsidTr="002542E1">
        <w:trPr>
          <w:trHeight w:val="255"/>
        </w:trPr>
        <w:tc>
          <w:tcPr>
            <w:tcW w:w="5101" w:type="dxa"/>
            <w:tcBorders>
              <w:top w:val="single" w:sz="4" w:space="0" w:color="A6A6A6"/>
              <w:bottom w:val="single" w:sz="4" w:space="0" w:color="A6A6A6"/>
            </w:tcBorders>
          </w:tcPr>
          <w:p w14:paraId="02A910E8" w14:textId="77777777" w:rsidR="005B131E" w:rsidRPr="00BA7805" w:rsidRDefault="005B131E" w:rsidP="002542E1">
            <w:pPr>
              <w:pStyle w:val="ARfintablebody"/>
              <w:rPr>
                <w:highlight w:val="green"/>
              </w:rPr>
            </w:pPr>
            <w:r w:rsidRPr="00654A60">
              <w:t>Non-specialised buildings</w:t>
            </w:r>
          </w:p>
        </w:tc>
        <w:tc>
          <w:tcPr>
            <w:tcW w:w="1134" w:type="dxa"/>
            <w:tcBorders>
              <w:top w:val="single" w:sz="4" w:space="0" w:color="A6A6A6"/>
              <w:bottom w:val="single" w:sz="4" w:space="0" w:color="A6A6A6"/>
            </w:tcBorders>
            <w:noWrap/>
          </w:tcPr>
          <w:p w14:paraId="2AFA430A" w14:textId="77777777" w:rsidR="005B131E" w:rsidRPr="00BA7805" w:rsidRDefault="005B131E" w:rsidP="002542E1">
            <w:pPr>
              <w:pStyle w:val="ARfintablebodyright"/>
              <w:rPr>
                <w:highlight w:val="green"/>
              </w:rPr>
            </w:pPr>
            <w:r w:rsidRPr="00654A60">
              <w:t>11,220.7</w:t>
            </w:r>
          </w:p>
        </w:tc>
        <w:tc>
          <w:tcPr>
            <w:tcW w:w="1134" w:type="dxa"/>
            <w:tcBorders>
              <w:top w:val="single" w:sz="4" w:space="0" w:color="A6A6A6"/>
              <w:bottom w:val="single" w:sz="4" w:space="0" w:color="A6A6A6"/>
            </w:tcBorders>
            <w:shd w:val="clear" w:color="auto" w:fill="E7E6E6" w:themeFill="accent4"/>
            <w:noWrap/>
          </w:tcPr>
          <w:p w14:paraId="5DEA974C"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0BBB2617" w14:textId="77777777" w:rsidR="005B131E" w:rsidRPr="00BA7805" w:rsidRDefault="005B131E" w:rsidP="002542E1">
            <w:pPr>
              <w:pStyle w:val="ARfintablebodyright"/>
              <w:rPr>
                <w:highlight w:val="green"/>
              </w:rPr>
            </w:pPr>
            <w:r w:rsidRPr="00654A60">
              <w:t>11,185.5</w:t>
            </w:r>
          </w:p>
        </w:tc>
        <w:tc>
          <w:tcPr>
            <w:tcW w:w="1134" w:type="dxa"/>
            <w:tcBorders>
              <w:top w:val="single" w:sz="4" w:space="0" w:color="A6A6A6"/>
              <w:bottom w:val="single" w:sz="4" w:space="0" w:color="A6A6A6"/>
            </w:tcBorders>
            <w:shd w:val="clear" w:color="auto" w:fill="E7E6E6" w:themeFill="accent4"/>
            <w:noWrap/>
          </w:tcPr>
          <w:p w14:paraId="25B0EDEA" w14:textId="77777777" w:rsidR="005B131E" w:rsidRPr="00BA7805" w:rsidRDefault="005B131E" w:rsidP="002542E1">
            <w:pPr>
              <w:pStyle w:val="ARfintablebodyright"/>
              <w:rPr>
                <w:highlight w:val="green"/>
              </w:rPr>
            </w:pPr>
            <w:r w:rsidRPr="00654A60">
              <w:t>35.2</w:t>
            </w:r>
          </w:p>
        </w:tc>
      </w:tr>
      <w:tr w:rsidR="005B131E" w:rsidRPr="00BA7805" w14:paraId="6A5C8BF3" w14:textId="77777777" w:rsidTr="002542E1">
        <w:trPr>
          <w:trHeight w:val="255"/>
        </w:trPr>
        <w:tc>
          <w:tcPr>
            <w:tcW w:w="5101" w:type="dxa"/>
            <w:tcBorders>
              <w:top w:val="single" w:sz="4" w:space="0" w:color="A6A6A6"/>
            </w:tcBorders>
          </w:tcPr>
          <w:p w14:paraId="1EF892C1" w14:textId="77777777" w:rsidR="005B131E" w:rsidRPr="00BA7805" w:rsidRDefault="005B131E" w:rsidP="002542E1">
            <w:pPr>
              <w:pStyle w:val="ARfintablebody"/>
              <w:rPr>
                <w:highlight w:val="green"/>
              </w:rPr>
            </w:pPr>
            <w:r w:rsidRPr="00654A60">
              <w:t>Specialised buildings</w:t>
            </w:r>
          </w:p>
        </w:tc>
        <w:tc>
          <w:tcPr>
            <w:tcW w:w="1134" w:type="dxa"/>
            <w:tcBorders>
              <w:top w:val="single" w:sz="4" w:space="0" w:color="A6A6A6"/>
            </w:tcBorders>
            <w:noWrap/>
          </w:tcPr>
          <w:p w14:paraId="4122A6BE" w14:textId="77777777" w:rsidR="005B131E" w:rsidRPr="00BA7805" w:rsidRDefault="005B131E" w:rsidP="002542E1">
            <w:pPr>
              <w:pStyle w:val="ARfintablebodyright"/>
              <w:rPr>
                <w:highlight w:val="green"/>
              </w:rPr>
            </w:pPr>
            <w:r w:rsidRPr="00654A60">
              <w:t>134.6</w:t>
            </w:r>
          </w:p>
        </w:tc>
        <w:tc>
          <w:tcPr>
            <w:tcW w:w="1134" w:type="dxa"/>
            <w:tcBorders>
              <w:top w:val="single" w:sz="4" w:space="0" w:color="A6A6A6"/>
            </w:tcBorders>
            <w:shd w:val="clear" w:color="auto" w:fill="E7E6E6" w:themeFill="accent4"/>
            <w:noWrap/>
          </w:tcPr>
          <w:p w14:paraId="69639C71"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2D757797"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themeFill="accent4"/>
            <w:noWrap/>
          </w:tcPr>
          <w:p w14:paraId="0E799BD9" w14:textId="77777777" w:rsidR="005B131E" w:rsidRPr="00BA7805" w:rsidRDefault="005B131E" w:rsidP="002542E1">
            <w:pPr>
              <w:pStyle w:val="ARfintablebodyright"/>
              <w:rPr>
                <w:highlight w:val="green"/>
              </w:rPr>
            </w:pPr>
            <w:r w:rsidRPr="00654A60">
              <w:t>134.6</w:t>
            </w:r>
          </w:p>
        </w:tc>
      </w:tr>
      <w:tr w:rsidR="005B131E" w:rsidRPr="00BA7805" w14:paraId="4F2A48BD" w14:textId="77777777" w:rsidTr="002542E1">
        <w:trPr>
          <w:trHeight w:val="255"/>
        </w:trPr>
        <w:tc>
          <w:tcPr>
            <w:tcW w:w="5101" w:type="dxa"/>
            <w:tcBorders>
              <w:bottom w:val="single" w:sz="4" w:space="0" w:color="auto"/>
            </w:tcBorders>
          </w:tcPr>
          <w:p w14:paraId="7B71EB59" w14:textId="77777777" w:rsidR="005B131E" w:rsidRPr="00BA7805" w:rsidRDefault="005B131E" w:rsidP="002542E1">
            <w:pPr>
              <w:pStyle w:val="ARfintablebodybold"/>
              <w:rPr>
                <w:highlight w:val="green"/>
              </w:rPr>
            </w:pPr>
            <w:r w:rsidRPr="00654A60">
              <w:t>Total buildings at fair value</w:t>
            </w:r>
          </w:p>
        </w:tc>
        <w:tc>
          <w:tcPr>
            <w:tcW w:w="1134" w:type="dxa"/>
            <w:tcBorders>
              <w:bottom w:val="single" w:sz="4" w:space="0" w:color="auto"/>
            </w:tcBorders>
            <w:noWrap/>
          </w:tcPr>
          <w:p w14:paraId="5C5EC21F" w14:textId="77777777" w:rsidR="005B131E" w:rsidRPr="00BA7805" w:rsidRDefault="005B131E" w:rsidP="002542E1">
            <w:pPr>
              <w:pStyle w:val="ARfintablebodyrightbold"/>
              <w:rPr>
                <w:highlight w:val="green"/>
              </w:rPr>
            </w:pPr>
            <w:r w:rsidRPr="00654A60">
              <w:t>11,355.3</w:t>
            </w:r>
          </w:p>
        </w:tc>
        <w:tc>
          <w:tcPr>
            <w:tcW w:w="1134" w:type="dxa"/>
            <w:tcBorders>
              <w:bottom w:val="single" w:sz="4" w:space="0" w:color="auto"/>
            </w:tcBorders>
            <w:shd w:val="clear" w:color="auto" w:fill="E7E6E6" w:themeFill="accent4"/>
            <w:noWrap/>
          </w:tcPr>
          <w:p w14:paraId="3A4A04CA" w14:textId="77777777" w:rsidR="005B131E" w:rsidRPr="00BA7805" w:rsidRDefault="005B131E" w:rsidP="002542E1">
            <w:pPr>
              <w:pStyle w:val="ARfintablebodyrightbold"/>
              <w:rPr>
                <w:highlight w:val="green"/>
              </w:rPr>
            </w:pPr>
            <w:r>
              <w:t>–</w:t>
            </w:r>
          </w:p>
        </w:tc>
        <w:tc>
          <w:tcPr>
            <w:tcW w:w="1134" w:type="dxa"/>
            <w:tcBorders>
              <w:bottom w:val="single" w:sz="4" w:space="0" w:color="auto"/>
            </w:tcBorders>
            <w:shd w:val="clear" w:color="auto" w:fill="E7E6E6" w:themeFill="accent4"/>
            <w:noWrap/>
          </w:tcPr>
          <w:p w14:paraId="44A697F1" w14:textId="77777777" w:rsidR="005B131E" w:rsidRPr="00BA7805" w:rsidRDefault="005B131E" w:rsidP="002542E1">
            <w:pPr>
              <w:pStyle w:val="ARfintablebodyrightbold"/>
              <w:rPr>
                <w:highlight w:val="green"/>
              </w:rPr>
            </w:pPr>
            <w:r w:rsidRPr="00654A60">
              <w:t>11,185.5</w:t>
            </w:r>
          </w:p>
        </w:tc>
        <w:tc>
          <w:tcPr>
            <w:tcW w:w="1134" w:type="dxa"/>
            <w:tcBorders>
              <w:bottom w:val="single" w:sz="4" w:space="0" w:color="auto"/>
            </w:tcBorders>
            <w:shd w:val="clear" w:color="auto" w:fill="E7E6E6" w:themeFill="accent4"/>
            <w:noWrap/>
          </w:tcPr>
          <w:p w14:paraId="461FDB3B" w14:textId="77777777" w:rsidR="005B131E" w:rsidRPr="00BA7805" w:rsidRDefault="005B131E" w:rsidP="002542E1">
            <w:pPr>
              <w:pStyle w:val="ARfintablebodyrightbold"/>
              <w:rPr>
                <w:highlight w:val="green"/>
              </w:rPr>
            </w:pPr>
            <w:r w:rsidRPr="00654A60">
              <w:t>169.8</w:t>
            </w:r>
          </w:p>
        </w:tc>
      </w:tr>
      <w:tr w:rsidR="005B131E" w:rsidRPr="00BA7805" w14:paraId="2EC36F7B" w14:textId="77777777" w:rsidTr="002542E1">
        <w:trPr>
          <w:trHeight w:val="255"/>
        </w:trPr>
        <w:tc>
          <w:tcPr>
            <w:tcW w:w="9637" w:type="dxa"/>
            <w:gridSpan w:val="5"/>
            <w:tcBorders>
              <w:top w:val="single" w:sz="4" w:space="0" w:color="auto"/>
              <w:bottom w:val="single" w:sz="4" w:space="0" w:color="A6A6A6"/>
            </w:tcBorders>
            <w:shd w:val="clear" w:color="auto" w:fill="auto"/>
          </w:tcPr>
          <w:p w14:paraId="2435607D" w14:textId="77777777" w:rsidR="005B131E" w:rsidRPr="00BA7805" w:rsidRDefault="005B131E">
            <w:pPr>
              <w:pStyle w:val="ARfintablebodybold"/>
              <w:rPr>
                <w:highlight w:val="green"/>
              </w:rPr>
            </w:pPr>
            <w:r w:rsidRPr="00AB6CCD">
              <w:t>Plant, equipment and vehicles at fair value</w:t>
            </w:r>
          </w:p>
        </w:tc>
      </w:tr>
      <w:tr w:rsidR="005B131E" w:rsidRPr="00BA7805" w14:paraId="712FAF9A" w14:textId="77777777" w:rsidTr="002542E1">
        <w:trPr>
          <w:trHeight w:val="255"/>
        </w:trPr>
        <w:tc>
          <w:tcPr>
            <w:tcW w:w="5101" w:type="dxa"/>
            <w:tcBorders>
              <w:top w:val="single" w:sz="4" w:space="0" w:color="A6A6A6"/>
              <w:bottom w:val="single" w:sz="4" w:space="0" w:color="A6A6A6"/>
            </w:tcBorders>
          </w:tcPr>
          <w:p w14:paraId="1A9893E2" w14:textId="77777777" w:rsidR="005B131E" w:rsidRPr="00BA7805" w:rsidRDefault="005B131E" w:rsidP="002542E1">
            <w:pPr>
              <w:pStyle w:val="ARfintablebody"/>
              <w:rPr>
                <w:highlight w:val="green"/>
              </w:rPr>
            </w:pPr>
            <w:r w:rsidRPr="009E6582">
              <w:t>Plant and equipment</w:t>
            </w:r>
          </w:p>
        </w:tc>
        <w:tc>
          <w:tcPr>
            <w:tcW w:w="1134" w:type="dxa"/>
            <w:tcBorders>
              <w:top w:val="single" w:sz="4" w:space="0" w:color="A6A6A6"/>
              <w:bottom w:val="single" w:sz="4" w:space="0" w:color="A6A6A6"/>
            </w:tcBorders>
            <w:noWrap/>
          </w:tcPr>
          <w:p w14:paraId="6A6E028A" w14:textId="77777777" w:rsidR="005B131E" w:rsidRPr="00BA7805" w:rsidRDefault="005B131E" w:rsidP="002542E1">
            <w:pPr>
              <w:pStyle w:val="ARfintablebodyright"/>
              <w:rPr>
                <w:highlight w:val="green"/>
              </w:rPr>
            </w:pPr>
            <w:r w:rsidRPr="009E6582">
              <w:t>0.2</w:t>
            </w:r>
          </w:p>
        </w:tc>
        <w:tc>
          <w:tcPr>
            <w:tcW w:w="1134" w:type="dxa"/>
            <w:tcBorders>
              <w:top w:val="single" w:sz="4" w:space="0" w:color="A6A6A6"/>
              <w:bottom w:val="single" w:sz="4" w:space="0" w:color="A6A6A6"/>
            </w:tcBorders>
            <w:shd w:val="clear" w:color="auto" w:fill="E7E6E6" w:themeFill="accent4"/>
            <w:noWrap/>
          </w:tcPr>
          <w:p w14:paraId="1964663D"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3BB30089"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themeFill="accent4"/>
            <w:noWrap/>
          </w:tcPr>
          <w:p w14:paraId="5D286175" w14:textId="77777777" w:rsidR="005B131E" w:rsidRPr="00BA7805" w:rsidRDefault="005B131E" w:rsidP="002542E1">
            <w:pPr>
              <w:pStyle w:val="ARfintablebodyright"/>
              <w:rPr>
                <w:highlight w:val="green"/>
              </w:rPr>
            </w:pPr>
            <w:r w:rsidRPr="009E6582">
              <w:t>0.2</w:t>
            </w:r>
          </w:p>
        </w:tc>
      </w:tr>
      <w:tr w:rsidR="005B131E" w:rsidRPr="00BA7805" w14:paraId="0B6DBB83" w14:textId="77777777" w:rsidTr="002542E1">
        <w:trPr>
          <w:trHeight w:val="255"/>
        </w:trPr>
        <w:tc>
          <w:tcPr>
            <w:tcW w:w="5101" w:type="dxa"/>
          </w:tcPr>
          <w:p w14:paraId="4D708894" w14:textId="77777777" w:rsidR="005B131E" w:rsidRPr="00BA7805" w:rsidRDefault="005B131E" w:rsidP="002542E1">
            <w:pPr>
              <w:pStyle w:val="ARfintablebodybold"/>
              <w:rPr>
                <w:highlight w:val="green"/>
              </w:rPr>
            </w:pPr>
            <w:r w:rsidRPr="009E6582">
              <w:t>Total plant, equipment and vehicles at fair value</w:t>
            </w:r>
          </w:p>
        </w:tc>
        <w:tc>
          <w:tcPr>
            <w:tcW w:w="1134" w:type="dxa"/>
            <w:noWrap/>
          </w:tcPr>
          <w:p w14:paraId="71346350" w14:textId="77777777" w:rsidR="005B131E" w:rsidRPr="00BA7805" w:rsidRDefault="005B131E" w:rsidP="002542E1">
            <w:pPr>
              <w:pStyle w:val="ARfintablebodyrightbold"/>
              <w:rPr>
                <w:highlight w:val="green"/>
              </w:rPr>
            </w:pPr>
            <w:r w:rsidRPr="009E6582">
              <w:t>0.2</w:t>
            </w:r>
          </w:p>
        </w:tc>
        <w:tc>
          <w:tcPr>
            <w:tcW w:w="1134" w:type="dxa"/>
            <w:shd w:val="clear" w:color="auto" w:fill="E7E6E6" w:themeFill="accent4"/>
            <w:noWrap/>
          </w:tcPr>
          <w:p w14:paraId="01D2F432" w14:textId="77777777" w:rsidR="005B131E" w:rsidRPr="00BA7805" w:rsidRDefault="005B131E" w:rsidP="002542E1">
            <w:pPr>
              <w:pStyle w:val="ARfintablebodyrightbold"/>
              <w:rPr>
                <w:highlight w:val="green"/>
              </w:rPr>
            </w:pPr>
            <w:r>
              <w:t>–</w:t>
            </w:r>
          </w:p>
        </w:tc>
        <w:tc>
          <w:tcPr>
            <w:tcW w:w="1134" w:type="dxa"/>
            <w:shd w:val="clear" w:color="auto" w:fill="E7E6E6" w:themeFill="accent4"/>
            <w:noWrap/>
          </w:tcPr>
          <w:p w14:paraId="14EEC6A8" w14:textId="77777777" w:rsidR="005B131E" w:rsidRPr="00BA7805" w:rsidRDefault="005B131E" w:rsidP="002542E1">
            <w:pPr>
              <w:pStyle w:val="ARfintablebodyrightbold"/>
              <w:rPr>
                <w:highlight w:val="green"/>
              </w:rPr>
            </w:pPr>
            <w:r>
              <w:t>–</w:t>
            </w:r>
          </w:p>
        </w:tc>
        <w:tc>
          <w:tcPr>
            <w:tcW w:w="1134" w:type="dxa"/>
            <w:shd w:val="clear" w:color="auto" w:fill="E7E6E6" w:themeFill="accent4"/>
            <w:noWrap/>
          </w:tcPr>
          <w:p w14:paraId="2747E01F" w14:textId="77777777" w:rsidR="005B131E" w:rsidRPr="00BA7805" w:rsidRDefault="005B131E" w:rsidP="002542E1">
            <w:pPr>
              <w:pStyle w:val="ARfintablebodyrightbold"/>
              <w:rPr>
                <w:highlight w:val="green"/>
              </w:rPr>
            </w:pPr>
            <w:r w:rsidRPr="009E6582">
              <w:t>0.2</w:t>
            </w:r>
          </w:p>
        </w:tc>
      </w:tr>
    </w:tbl>
    <w:p w14:paraId="0BBF578D" w14:textId="77777777" w:rsidR="005B131E" w:rsidRPr="008D0FF3" w:rsidRDefault="005B131E">
      <w:pPr>
        <w:pStyle w:val="ARfintablefootnote"/>
        <w:rPr>
          <w:lang w:eastAsia="en-AU"/>
        </w:rPr>
      </w:pPr>
      <w:r w:rsidRPr="008D0FF3">
        <w:rPr>
          <w:lang w:eastAsia="en-AU"/>
        </w:rPr>
        <w:t>Note:</w:t>
      </w:r>
    </w:p>
    <w:p w14:paraId="468E7039" w14:textId="77777777" w:rsidR="005B131E" w:rsidRDefault="005B131E" w:rsidP="002542E1">
      <w:pPr>
        <w:pStyle w:val="ARfintablefootnotetabindent"/>
      </w:pPr>
      <w:r>
        <w:t xml:space="preserve">(i) </w:t>
      </w:r>
      <w:r>
        <w:tab/>
        <w:t>Classified in accordance with the fair value hierarchy. The department, in conjunction with the VGV, monitors the changes in the fair value of building and land assets through relevant data sources to determine whether revaluation is required.</w:t>
      </w:r>
    </w:p>
    <w:p w14:paraId="617416CB" w14:textId="77777777" w:rsidR="005B131E" w:rsidRDefault="005B131E" w:rsidP="002542E1">
      <w:pPr>
        <w:pStyle w:val="ARfinbodyaftertable"/>
      </w:pPr>
      <w:r>
        <w:t xml:space="preserve">Non-specialised land and non-specialised buildings are valued using the market approach, whereby assets are compared to recent comparable sales or sales of comparable assets that are considered to have nominal value. </w:t>
      </w:r>
    </w:p>
    <w:p w14:paraId="3D9B4CA7" w14:textId="77777777" w:rsidR="005B131E" w:rsidRDefault="005B131E" w:rsidP="002542E1">
      <w:pPr>
        <w:pStyle w:val="ARfinbody"/>
      </w:pPr>
      <w:r>
        <w:t>Homes Victoria land and buildings are primarily held in Level 2 as it is considered that each residential dwelling assessed has an active and liquid market. As such, the market value of each residential asset has been determined by reference to the current property market for similar assets.</w:t>
      </w:r>
    </w:p>
    <w:p w14:paraId="09D87385" w14:textId="77777777" w:rsidR="005B131E" w:rsidRDefault="005B131E" w:rsidP="002542E1">
      <w:pPr>
        <w:pStyle w:val="ARfinbody"/>
      </w:pPr>
      <w:r w:rsidRPr="00994096">
        <w:rPr>
          <w:rStyle w:val="Strong"/>
        </w:rPr>
        <w:t>Specialised land and specialised buildings:</w:t>
      </w:r>
      <w:r>
        <w:t xml:space="preserve"> The market approach is used for specialised land, although may be adjusted for a community service obligation (CSO) to reflect the specialised nature of the land being valued. </w:t>
      </w:r>
    </w:p>
    <w:p w14:paraId="4FD4686B" w14:textId="1D83B7D3" w:rsidR="005B131E" w:rsidRDefault="005B131E" w:rsidP="002542E1">
      <w:pPr>
        <w:pStyle w:val="ARfinbody"/>
      </w:pPr>
      <w:r>
        <w:t>The CSO adjustment is a reflection of the valuer</w:t>
      </w:r>
      <w:r w:rsidR="00711AE6">
        <w:t>’</w:t>
      </w:r>
      <w:r>
        <w:t>s assessment of the impact of restrictions associated with an asset to the extent that is also equally applicable to market participants. This approach is in light of the highest and best use consideration required for fair value measurement</w:t>
      </w:r>
      <w:r w:rsidR="00317596">
        <w:t>.</w:t>
      </w:r>
      <w:r>
        <w:t xml:space="preserve"> </w:t>
      </w:r>
      <w:r w:rsidR="00317596">
        <w:t xml:space="preserve">It </w:t>
      </w:r>
      <w:r>
        <w:t>takes into account the use of the asset that is physically possible, legally permissible, and financially feasible. As adjustments of CSO are considered as significant unobservable inputs, specialised land with a CSO adjustment would primarily be classified as Level 3 assets.</w:t>
      </w:r>
    </w:p>
    <w:p w14:paraId="22B6A611" w14:textId="612FD8AA" w:rsidR="005B131E" w:rsidRDefault="005B131E" w:rsidP="002542E1">
      <w:pPr>
        <w:pStyle w:val="ARfinbody"/>
      </w:pPr>
      <w:r>
        <w:t>For the majority of the department</w:t>
      </w:r>
      <w:r w:rsidR="00711AE6">
        <w:t>’</w:t>
      </w:r>
      <w:r>
        <w:t xml:space="preserve">s specialised buildings, the current replacement cost method is used, adjusting for the associated depreciations. As depreciation adjustments are considered as significant, unobservable inputs in nature, specialised buildings are primarily classified as Level 3 fair value measurements. </w:t>
      </w:r>
    </w:p>
    <w:p w14:paraId="540DA1CE" w14:textId="0397E8BF" w:rsidR="005B131E" w:rsidRDefault="005B131E" w:rsidP="002542E1">
      <w:pPr>
        <w:pStyle w:val="ARfinbody"/>
      </w:pPr>
      <w:r>
        <w:t>An independent valuation of the departments</w:t>
      </w:r>
      <w:r w:rsidR="00711AE6">
        <w:t>’</w:t>
      </w:r>
      <w:r>
        <w:t xml:space="preserve"> land and buildings was performed by the Valuer-General Victoria in financial year 2023–24. The effective date of the valuation is 30 June 2024.</w:t>
      </w:r>
    </w:p>
    <w:p w14:paraId="2A054E8E" w14:textId="77777777" w:rsidR="005B131E" w:rsidRDefault="005B131E" w:rsidP="002542E1">
      <w:pPr>
        <w:pStyle w:val="ARfinbody"/>
      </w:pPr>
      <w:r w:rsidRPr="00994096">
        <w:rPr>
          <w:rStyle w:val="Strong"/>
        </w:rPr>
        <w:t>Vehicles</w:t>
      </w:r>
      <w:r>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relevant depreciation rates during use to reflect the utilisation of the vehicles.</w:t>
      </w:r>
    </w:p>
    <w:p w14:paraId="28A35496" w14:textId="77777777" w:rsidR="005B131E" w:rsidRDefault="005B131E" w:rsidP="002542E1">
      <w:pPr>
        <w:pStyle w:val="ARfinbody"/>
      </w:pPr>
      <w:r w:rsidRPr="00994096">
        <w:rPr>
          <w:rStyle w:val="Strong"/>
        </w:rPr>
        <w:t>Plant and equipment</w:t>
      </w:r>
      <w:r>
        <w:t xml:space="preserve"> is held at fair value. When plant and equipment is specialised in use, such that it is rarely sold other than as part of a going concern, fair value is determined using the current replacement cost method.</w:t>
      </w:r>
    </w:p>
    <w:p w14:paraId="1CF0BE69" w14:textId="77777777" w:rsidR="005B131E" w:rsidRDefault="005B131E" w:rsidP="002542E1">
      <w:pPr>
        <w:pStyle w:val="ARfinbody"/>
      </w:pPr>
      <w:r>
        <w:t>There were no changes in valuation techniques throughout the period to 30 June 2024.</w:t>
      </w:r>
    </w:p>
    <w:p w14:paraId="5AC5734C" w14:textId="77777777" w:rsidR="005B131E" w:rsidRDefault="005B131E" w:rsidP="002542E1">
      <w:pPr>
        <w:pStyle w:val="ARfinbodylargespace"/>
      </w:pPr>
      <w:r>
        <w:t>For all assets measured at fair value, the current use is considered the highest and best use.</w:t>
      </w:r>
    </w:p>
    <w:p w14:paraId="63E50A71" w14:textId="77777777" w:rsidR="005B131E" w:rsidRPr="00036442" w:rsidRDefault="005B131E">
      <w:pPr>
        <w:pStyle w:val="Heading6"/>
      </w:pPr>
      <w:r w:rsidRPr="00036442">
        <w:t>Reconciliation of Level 3 fair value movements</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E57D5B" w:rsidRPr="00BA7805" w14:paraId="6DBEC007"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64CE771A" w14:textId="77777777" w:rsidR="005B131E" w:rsidRPr="00036442" w:rsidRDefault="005B131E">
            <w:pPr>
              <w:pStyle w:val="ARfintablecolhead"/>
              <w:spacing w:before="20" w:after="10" w:line="228" w:lineRule="auto"/>
              <w:rPr>
                <w:sz w:val="16"/>
              </w:rPr>
            </w:pPr>
            <w:r w:rsidRPr="00036442">
              <w:rPr>
                <w:sz w:val="16"/>
              </w:rPr>
              <w:t>202</w:t>
            </w:r>
            <w:r>
              <w:rPr>
                <w:sz w:val="16"/>
              </w:rPr>
              <w:t>4</w:t>
            </w:r>
          </w:p>
        </w:tc>
        <w:tc>
          <w:tcPr>
            <w:tcW w:w="1134" w:type="dxa"/>
            <w:tcBorders>
              <w:bottom w:val="single" w:sz="4" w:space="0" w:color="auto"/>
            </w:tcBorders>
            <w:shd w:val="clear" w:color="auto" w:fill="E7E6E6" w:themeFill="accent4"/>
          </w:tcPr>
          <w:p w14:paraId="5FBC096B" w14:textId="77777777" w:rsidR="005B131E" w:rsidRPr="00036442" w:rsidRDefault="005B131E">
            <w:pPr>
              <w:pStyle w:val="ARfintablecolheadright"/>
              <w:spacing w:before="20" w:after="10" w:line="228" w:lineRule="auto"/>
              <w:rPr>
                <w:sz w:val="16"/>
              </w:rPr>
            </w:pPr>
            <w:r w:rsidRPr="00036442">
              <w:rPr>
                <w:sz w:val="16"/>
              </w:rPr>
              <w:t>Non-specialised land</w:t>
            </w:r>
          </w:p>
          <w:p w14:paraId="4BC23A11" w14:textId="77777777" w:rsidR="005B131E" w:rsidRPr="00036442" w:rsidRDefault="005B131E">
            <w:pPr>
              <w:pStyle w:val="ARfintablecolheadright"/>
              <w:spacing w:before="20" w:after="10" w:line="228" w:lineRule="auto"/>
              <w:rPr>
                <w:sz w:val="16"/>
              </w:rPr>
            </w:pPr>
            <w:r w:rsidRPr="00036442">
              <w:rPr>
                <w:sz w:val="16"/>
              </w:rPr>
              <w:t>$M</w:t>
            </w:r>
          </w:p>
        </w:tc>
        <w:tc>
          <w:tcPr>
            <w:tcW w:w="1134" w:type="dxa"/>
            <w:tcBorders>
              <w:bottom w:val="single" w:sz="4" w:space="0" w:color="auto"/>
            </w:tcBorders>
          </w:tcPr>
          <w:p w14:paraId="753A831A" w14:textId="77777777" w:rsidR="005B131E" w:rsidRPr="00036442" w:rsidRDefault="005B131E">
            <w:pPr>
              <w:pStyle w:val="ARfintablecolheadright"/>
              <w:spacing w:before="20" w:after="10" w:line="228" w:lineRule="auto"/>
              <w:rPr>
                <w:sz w:val="16"/>
              </w:rPr>
            </w:pPr>
            <w:r w:rsidRPr="00036442">
              <w:rPr>
                <w:sz w:val="16"/>
              </w:rPr>
              <w:t xml:space="preserve">Specialised </w:t>
            </w:r>
            <w:r w:rsidRPr="00036442">
              <w:rPr>
                <w:sz w:val="16"/>
              </w:rPr>
              <w:br/>
              <w:t>land</w:t>
            </w:r>
          </w:p>
          <w:p w14:paraId="60C46FFC" w14:textId="77777777" w:rsidR="005B131E" w:rsidRPr="00036442" w:rsidRDefault="005B131E">
            <w:pPr>
              <w:pStyle w:val="ARfintablecolheadright"/>
              <w:spacing w:before="20" w:after="10" w:line="228" w:lineRule="auto"/>
              <w:rPr>
                <w:sz w:val="16"/>
              </w:rPr>
            </w:pPr>
            <w:r w:rsidRPr="00036442">
              <w:rPr>
                <w:sz w:val="16"/>
              </w:rPr>
              <w:t>$M</w:t>
            </w:r>
          </w:p>
        </w:tc>
        <w:tc>
          <w:tcPr>
            <w:tcW w:w="1134" w:type="dxa"/>
            <w:tcBorders>
              <w:bottom w:val="single" w:sz="4" w:space="0" w:color="auto"/>
            </w:tcBorders>
            <w:shd w:val="clear" w:color="auto" w:fill="E7E6E6" w:themeFill="accent4"/>
          </w:tcPr>
          <w:p w14:paraId="6B08F3FB" w14:textId="77777777" w:rsidR="005B131E" w:rsidRPr="00036442" w:rsidRDefault="005B131E">
            <w:pPr>
              <w:pStyle w:val="ARfintablecolheadright"/>
              <w:spacing w:before="20" w:after="10" w:line="228" w:lineRule="auto"/>
              <w:rPr>
                <w:sz w:val="16"/>
              </w:rPr>
            </w:pPr>
            <w:r w:rsidRPr="00036442">
              <w:rPr>
                <w:sz w:val="16"/>
              </w:rPr>
              <w:t>Non-specialised buildings</w:t>
            </w:r>
          </w:p>
          <w:p w14:paraId="5184D16E" w14:textId="77777777" w:rsidR="005B131E" w:rsidRPr="00036442" w:rsidRDefault="005B131E">
            <w:pPr>
              <w:pStyle w:val="ARfintablecolheadright"/>
              <w:spacing w:before="20" w:after="10" w:line="228" w:lineRule="auto"/>
              <w:rPr>
                <w:sz w:val="16"/>
              </w:rPr>
            </w:pPr>
            <w:r w:rsidRPr="00036442">
              <w:rPr>
                <w:sz w:val="16"/>
              </w:rPr>
              <w:t>$M</w:t>
            </w:r>
          </w:p>
        </w:tc>
        <w:tc>
          <w:tcPr>
            <w:tcW w:w="1134" w:type="dxa"/>
            <w:tcBorders>
              <w:bottom w:val="single" w:sz="4" w:space="0" w:color="auto"/>
            </w:tcBorders>
            <w:hideMark/>
          </w:tcPr>
          <w:p w14:paraId="6F633C81" w14:textId="77777777" w:rsidR="005B131E" w:rsidRPr="00036442" w:rsidRDefault="005B131E">
            <w:pPr>
              <w:pStyle w:val="ARfintablecolheadright"/>
              <w:spacing w:before="20" w:after="10" w:line="228" w:lineRule="auto"/>
              <w:rPr>
                <w:sz w:val="16"/>
              </w:rPr>
            </w:pPr>
            <w:r w:rsidRPr="00036442">
              <w:rPr>
                <w:sz w:val="16"/>
              </w:rPr>
              <w:t>Specialised buildings</w:t>
            </w:r>
          </w:p>
          <w:p w14:paraId="4D150F02" w14:textId="77777777" w:rsidR="005B131E" w:rsidRPr="00036442" w:rsidRDefault="005B131E">
            <w:pPr>
              <w:pStyle w:val="ARfintablecolheadright"/>
              <w:spacing w:before="20" w:after="10" w:line="228" w:lineRule="auto"/>
              <w:rPr>
                <w:sz w:val="16"/>
              </w:rPr>
            </w:pPr>
            <w:r w:rsidRPr="00036442">
              <w:rPr>
                <w:sz w:val="16"/>
              </w:rPr>
              <w:t>$M</w:t>
            </w:r>
          </w:p>
        </w:tc>
        <w:tc>
          <w:tcPr>
            <w:tcW w:w="1134" w:type="dxa"/>
            <w:tcBorders>
              <w:bottom w:val="single" w:sz="4" w:space="0" w:color="auto"/>
            </w:tcBorders>
            <w:shd w:val="clear" w:color="auto" w:fill="E7E6E6" w:themeFill="accent4"/>
            <w:hideMark/>
          </w:tcPr>
          <w:p w14:paraId="3BED9A2A" w14:textId="77777777" w:rsidR="005B131E" w:rsidRPr="00036442" w:rsidRDefault="005B131E">
            <w:pPr>
              <w:pStyle w:val="ARfintablecolheadright"/>
              <w:spacing w:before="20" w:after="10" w:line="228" w:lineRule="auto"/>
              <w:rPr>
                <w:sz w:val="16"/>
              </w:rPr>
            </w:pPr>
            <w:r w:rsidRPr="00036442">
              <w:rPr>
                <w:sz w:val="16"/>
              </w:rPr>
              <w:t>Plant and equipment</w:t>
            </w:r>
          </w:p>
          <w:p w14:paraId="25402051" w14:textId="77777777" w:rsidR="005B131E" w:rsidRPr="00036442" w:rsidRDefault="005B131E">
            <w:pPr>
              <w:pStyle w:val="ARfintablecolheadright"/>
              <w:spacing w:before="20" w:after="10" w:line="228" w:lineRule="auto"/>
              <w:rPr>
                <w:sz w:val="16"/>
              </w:rPr>
            </w:pPr>
            <w:r w:rsidRPr="00036442">
              <w:rPr>
                <w:sz w:val="16"/>
              </w:rPr>
              <w:t>$M</w:t>
            </w:r>
          </w:p>
        </w:tc>
        <w:tc>
          <w:tcPr>
            <w:tcW w:w="1134" w:type="dxa"/>
            <w:tcBorders>
              <w:bottom w:val="single" w:sz="4" w:space="0" w:color="auto"/>
            </w:tcBorders>
            <w:hideMark/>
          </w:tcPr>
          <w:p w14:paraId="28247BD9" w14:textId="77777777" w:rsidR="005B131E" w:rsidRPr="00036442" w:rsidRDefault="005B131E">
            <w:pPr>
              <w:pStyle w:val="ARfintablecolheadright"/>
              <w:spacing w:before="20" w:after="10" w:line="228" w:lineRule="auto"/>
              <w:rPr>
                <w:sz w:val="16"/>
              </w:rPr>
            </w:pPr>
            <w:r w:rsidRPr="00036442">
              <w:rPr>
                <w:sz w:val="16"/>
              </w:rPr>
              <w:t>Total</w:t>
            </w:r>
          </w:p>
          <w:p w14:paraId="1AB0050F" w14:textId="77777777" w:rsidR="005B131E" w:rsidRPr="00036442" w:rsidRDefault="005B131E">
            <w:pPr>
              <w:pStyle w:val="ARfintablecolheadright"/>
              <w:spacing w:before="20" w:after="10" w:line="228" w:lineRule="auto"/>
              <w:rPr>
                <w:sz w:val="16"/>
              </w:rPr>
            </w:pPr>
            <w:r w:rsidRPr="00036442">
              <w:rPr>
                <w:sz w:val="16"/>
              </w:rPr>
              <w:t>$M</w:t>
            </w:r>
          </w:p>
        </w:tc>
      </w:tr>
      <w:tr w:rsidR="005B131E" w:rsidRPr="00BA7805" w14:paraId="3F501780" w14:textId="77777777" w:rsidTr="002542E1">
        <w:trPr>
          <w:cantSplit w:val="0"/>
        </w:trPr>
        <w:tc>
          <w:tcPr>
            <w:tcW w:w="2835" w:type="dxa"/>
            <w:tcBorders>
              <w:top w:val="single" w:sz="4" w:space="0" w:color="auto"/>
              <w:bottom w:val="single" w:sz="4" w:space="0" w:color="A6A6A6" w:themeColor="accent5"/>
            </w:tcBorders>
          </w:tcPr>
          <w:p w14:paraId="49D9B37F" w14:textId="77777777" w:rsidR="005B131E" w:rsidRPr="00BA7805" w:rsidRDefault="005B131E" w:rsidP="002542E1">
            <w:pPr>
              <w:pStyle w:val="ARfintablebodybold"/>
              <w:spacing w:before="20" w:after="10" w:line="228" w:lineRule="auto"/>
              <w:rPr>
                <w:sz w:val="16"/>
                <w:highlight w:val="green"/>
              </w:rPr>
            </w:pPr>
            <w:r w:rsidRPr="00FE7457">
              <w:t>Opening balance</w:t>
            </w:r>
          </w:p>
        </w:tc>
        <w:tc>
          <w:tcPr>
            <w:tcW w:w="1134" w:type="dxa"/>
            <w:tcBorders>
              <w:top w:val="single" w:sz="4" w:space="0" w:color="auto"/>
              <w:bottom w:val="single" w:sz="4" w:space="0" w:color="A6A6A6" w:themeColor="accent5"/>
            </w:tcBorders>
            <w:shd w:val="clear" w:color="auto" w:fill="E7E6E6" w:themeFill="accent4"/>
          </w:tcPr>
          <w:p w14:paraId="3FC7D8CB" w14:textId="77777777" w:rsidR="005B131E" w:rsidRPr="00BA7805" w:rsidRDefault="005B131E" w:rsidP="002542E1">
            <w:pPr>
              <w:pStyle w:val="ARfintablebodyrightbold"/>
              <w:spacing w:before="20" w:after="10" w:line="228" w:lineRule="auto"/>
              <w:rPr>
                <w:sz w:val="16"/>
                <w:highlight w:val="green"/>
              </w:rPr>
            </w:pPr>
            <w:r w:rsidRPr="001323D6">
              <w:t>8.7</w:t>
            </w:r>
          </w:p>
        </w:tc>
        <w:tc>
          <w:tcPr>
            <w:tcW w:w="1134" w:type="dxa"/>
            <w:tcBorders>
              <w:top w:val="single" w:sz="4" w:space="0" w:color="auto"/>
              <w:bottom w:val="single" w:sz="4" w:space="0" w:color="A6A6A6" w:themeColor="accent5"/>
            </w:tcBorders>
          </w:tcPr>
          <w:p w14:paraId="70D4AC6D" w14:textId="77777777" w:rsidR="005B131E" w:rsidRPr="00BA7805" w:rsidRDefault="005B131E" w:rsidP="002542E1">
            <w:pPr>
              <w:pStyle w:val="ARfintablebodyrightbold"/>
              <w:spacing w:before="20" w:after="10" w:line="228" w:lineRule="auto"/>
              <w:rPr>
                <w:sz w:val="16"/>
                <w:highlight w:val="green"/>
              </w:rPr>
            </w:pPr>
            <w:r w:rsidRPr="001323D6">
              <w:t>162.9</w:t>
            </w:r>
          </w:p>
        </w:tc>
        <w:tc>
          <w:tcPr>
            <w:tcW w:w="1134" w:type="dxa"/>
            <w:tcBorders>
              <w:top w:val="single" w:sz="4" w:space="0" w:color="auto"/>
              <w:bottom w:val="single" w:sz="4" w:space="0" w:color="A6A6A6" w:themeColor="accent5"/>
            </w:tcBorders>
            <w:shd w:val="clear" w:color="auto" w:fill="E7E6E6" w:themeFill="accent4"/>
          </w:tcPr>
          <w:p w14:paraId="29E7B2C8" w14:textId="77777777" w:rsidR="005B131E" w:rsidRPr="00BA7805" w:rsidRDefault="005B131E" w:rsidP="002542E1">
            <w:pPr>
              <w:pStyle w:val="ARfintablebodyrightbold"/>
              <w:spacing w:before="20" w:after="10" w:line="228" w:lineRule="auto"/>
              <w:rPr>
                <w:sz w:val="16"/>
                <w:highlight w:val="green"/>
              </w:rPr>
            </w:pPr>
            <w:r w:rsidRPr="001323D6">
              <w:t>35.2</w:t>
            </w:r>
          </w:p>
        </w:tc>
        <w:tc>
          <w:tcPr>
            <w:tcW w:w="1134" w:type="dxa"/>
            <w:tcBorders>
              <w:top w:val="single" w:sz="4" w:space="0" w:color="auto"/>
              <w:bottom w:val="single" w:sz="4" w:space="0" w:color="A6A6A6" w:themeColor="accent5"/>
            </w:tcBorders>
            <w:noWrap/>
          </w:tcPr>
          <w:p w14:paraId="38C26CC3" w14:textId="77777777" w:rsidR="005B131E" w:rsidRPr="00BA7805" w:rsidRDefault="005B131E" w:rsidP="002542E1">
            <w:pPr>
              <w:pStyle w:val="ARfintablebodyrightbold"/>
              <w:spacing w:before="20" w:after="10" w:line="228" w:lineRule="auto"/>
              <w:rPr>
                <w:sz w:val="16"/>
                <w:highlight w:val="green"/>
              </w:rPr>
            </w:pPr>
            <w:r w:rsidRPr="001323D6">
              <w:t>134.6</w:t>
            </w:r>
          </w:p>
        </w:tc>
        <w:tc>
          <w:tcPr>
            <w:tcW w:w="1134" w:type="dxa"/>
            <w:tcBorders>
              <w:top w:val="single" w:sz="4" w:space="0" w:color="auto"/>
              <w:bottom w:val="single" w:sz="4" w:space="0" w:color="A6A6A6" w:themeColor="accent5"/>
            </w:tcBorders>
            <w:shd w:val="clear" w:color="auto" w:fill="E7E6E6" w:themeFill="accent4"/>
            <w:noWrap/>
          </w:tcPr>
          <w:p w14:paraId="15D340F8" w14:textId="77777777" w:rsidR="005B131E" w:rsidRPr="00BA7805" w:rsidRDefault="005B131E" w:rsidP="002542E1">
            <w:pPr>
              <w:pStyle w:val="ARfintablebodyrightbold"/>
              <w:spacing w:before="20" w:after="10" w:line="228" w:lineRule="auto"/>
              <w:rPr>
                <w:sz w:val="16"/>
                <w:highlight w:val="green"/>
              </w:rPr>
            </w:pPr>
            <w:r w:rsidRPr="001323D6">
              <w:t>0.2</w:t>
            </w:r>
          </w:p>
        </w:tc>
        <w:tc>
          <w:tcPr>
            <w:tcW w:w="1134" w:type="dxa"/>
            <w:tcBorders>
              <w:top w:val="single" w:sz="4" w:space="0" w:color="auto"/>
              <w:bottom w:val="single" w:sz="4" w:space="0" w:color="A6A6A6" w:themeColor="accent5"/>
            </w:tcBorders>
            <w:noWrap/>
          </w:tcPr>
          <w:p w14:paraId="6470328C" w14:textId="77777777" w:rsidR="005B131E" w:rsidRPr="00BA7805" w:rsidRDefault="005B131E" w:rsidP="002542E1">
            <w:pPr>
              <w:pStyle w:val="ARfintablebodyrightbold"/>
              <w:spacing w:before="20" w:after="10" w:line="228" w:lineRule="auto"/>
              <w:rPr>
                <w:sz w:val="16"/>
                <w:highlight w:val="green"/>
              </w:rPr>
            </w:pPr>
            <w:r w:rsidRPr="001323D6">
              <w:t>341.6</w:t>
            </w:r>
          </w:p>
        </w:tc>
      </w:tr>
      <w:tr w:rsidR="005B131E" w:rsidRPr="00BA7805" w14:paraId="77991A27" w14:textId="77777777" w:rsidTr="002542E1">
        <w:trPr>
          <w:cantSplit w:val="0"/>
        </w:trPr>
        <w:tc>
          <w:tcPr>
            <w:tcW w:w="2835" w:type="dxa"/>
            <w:tcBorders>
              <w:top w:val="single" w:sz="4" w:space="0" w:color="A6A6A6" w:themeColor="accent5"/>
              <w:bottom w:val="single" w:sz="4" w:space="0" w:color="A6A6A6" w:themeColor="background1" w:themeShade="A6"/>
            </w:tcBorders>
          </w:tcPr>
          <w:p w14:paraId="7EA25FE4" w14:textId="77777777" w:rsidR="005B131E" w:rsidRPr="00BA401C" w:rsidRDefault="005B131E" w:rsidP="002542E1">
            <w:pPr>
              <w:pStyle w:val="ARfintablebody"/>
              <w:rPr>
                <w:b/>
                <w:bCs/>
                <w:sz w:val="16"/>
                <w:highlight w:val="green"/>
              </w:rPr>
            </w:pPr>
            <w:r w:rsidRPr="00E639F2">
              <w:t>Additions</w:t>
            </w:r>
          </w:p>
        </w:tc>
        <w:tc>
          <w:tcPr>
            <w:tcW w:w="1134" w:type="dxa"/>
            <w:tcBorders>
              <w:top w:val="single" w:sz="4" w:space="0" w:color="A6A6A6" w:themeColor="accent5"/>
              <w:bottom w:val="single" w:sz="4" w:space="0" w:color="A6A6A6" w:themeColor="background1" w:themeShade="A6"/>
            </w:tcBorders>
            <w:shd w:val="clear" w:color="auto" w:fill="E7E6E6" w:themeFill="accent4"/>
          </w:tcPr>
          <w:p w14:paraId="3645983A" w14:textId="77777777" w:rsidR="005B131E" w:rsidRPr="00BA401C" w:rsidRDefault="005B131E" w:rsidP="002542E1">
            <w:pPr>
              <w:pStyle w:val="ARfintablebodyright"/>
              <w:rPr>
                <w:sz w:val="16"/>
                <w:highlight w:val="green"/>
              </w:rPr>
            </w:pPr>
            <w:r w:rsidRPr="00E639F2">
              <w:t>–</w:t>
            </w:r>
          </w:p>
        </w:tc>
        <w:tc>
          <w:tcPr>
            <w:tcW w:w="1134" w:type="dxa"/>
            <w:tcBorders>
              <w:top w:val="single" w:sz="4" w:space="0" w:color="A6A6A6" w:themeColor="accent5"/>
              <w:bottom w:val="single" w:sz="4" w:space="0" w:color="A6A6A6" w:themeColor="background1" w:themeShade="A6"/>
            </w:tcBorders>
          </w:tcPr>
          <w:p w14:paraId="26EDC037" w14:textId="77777777" w:rsidR="005B131E" w:rsidRPr="00BA401C" w:rsidRDefault="005B131E" w:rsidP="002542E1">
            <w:pPr>
              <w:pStyle w:val="ARfintablebodyright"/>
              <w:rPr>
                <w:sz w:val="16"/>
                <w:highlight w:val="green"/>
              </w:rPr>
            </w:pPr>
            <w:r w:rsidRPr="00E639F2">
              <w:t>–</w:t>
            </w:r>
          </w:p>
        </w:tc>
        <w:tc>
          <w:tcPr>
            <w:tcW w:w="1134" w:type="dxa"/>
            <w:tcBorders>
              <w:top w:val="single" w:sz="4" w:space="0" w:color="A6A6A6" w:themeColor="accent5"/>
              <w:bottom w:val="single" w:sz="4" w:space="0" w:color="A6A6A6" w:themeColor="background1" w:themeShade="A6"/>
            </w:tcBorders>
            <w:shd w:val="clear" w:color="auto" w:fill="E7E6E6" w:themeFill="accent4"/>
          </w:tcPr>
          <w:p w14:paraId="09F3BAFA" w14:textId="77777777" w:rsidR="005B131E" w:rsidRPr="00BA401C" w:rsidRDefault="005B131E" w:rsidP="002542E1">
            <w:pPr>
              <w:pStyle w:val="ARfintablebodyright"/>
              <w:rPr>
                <w:sz w:val="16"/>
                <w:highlight w:val="green"/>
              </w:rPr>
            </w:pPr>
            <w:r w:rsidRPr="00E639F2">
              <w:t>4.4</w:t>
            </w:r>
          </w:p>
        </w:tc>
        <w:tc>
          <w:tcPr>
            <w:tcW w:w="1134" w:type="dxa"/>
            <w:tcBorders>
              <w:top w:val="single" w:sz="4" w:space="0" w:color="A6A6A6" w:themeColor="accent5"/>
              <w:bottom w:val="single" w:sz="4" w:space="0" w:color="A6A6A6" w:themeColor="background1" w:themeShade="A6"/>
            </w:tcBorders>
            <w:noWrap/>
          </w:tcPr>
          <w:p w14:paraId="6658B6C0" w14:textId="77777777" w:rsidR="005B131E" w:rsidRPr="00BA401C" w:rsidRDefault="005B131E" w:rsidP="002542E1">
            <w:pPr>
              <w:pStyle w:val="ARfintablebodyright"/>
              <w:rPr>
                <w:sz w:val="16"/>
                <w:highlight w:val="green"/>
              </w:rPr>
            </w:pPr>
            <w:r w:rsidRPr="00E639F2">
              <w:t>–</w:t>
            </w:r>
          </w:p>
        </w:tc>
        <w:tc>
          <w:tcPr>
            <w:tcW w:w="1134" w:type="dxa"/>
            <w:tcBorders>
              <w:top w:val="single" w:sz="4" w:space="0" w:color="A6A6A6" w:themeColor="accent5"/>
              <w:bottom w:val="single" w:sz="4" w:space="0" w:color="A6A6A6" w:themeColor="background1" w:themeShade="A6"/>
            </w:tcBorders>
            <w:shd w:val="clear" w:color="auto" w:fill="E7E6E6" w:themeFill="accent4"/>
            <w:noWrap/>
          </w:tcPr>
          <w:p w14:paraId="7467CAD9" w14:textId="77777777" w:rsidR="005B131E" w:rsidRPr="00BA401C" w:rsidRDefault="005B131E" w:rsidP="002542E1">
            <w:pPr>
              <w:pStyle w:val="ARfintablebodyright"/>
              <w:rPr>
                <w:sz w:val="16"/>
                <w:highlight w:val="green"/>
              </w:rPr>
            </w:pPr>
            <w:r w:rsidRPr="00E639F2">
              <w:t>0.3</w:t>
            </w:r>
          </w:p>
        </w:tc>
        <w:tc>
          <w:tcPr>
            <w:tcW w:w="1134" w:type="dxa"/>
            <w:tcBorders>
              <w:top w:val="single" w:sz="4" w:space="0" w:color="A6A6A6" w:themeColor="accent5"/>
              <w:bottom w:val="single" w:sz="4" w:space="0" w:color="A6A6A6" w:themeColor="background1" w:themeShade="A6"/>
            </w:tcBorders>
            <w:noWrap/>
          </w:tcPr>
          <w:p w14:paraId="4CDDE4A3" w14:textId="77777777" w:rsidR="005B131E" w:rsidRPr="00BA401C" w:rsidDel="00E12820" w:rsidRDefault="005B131E" w:rsidP="002542E1">
            <w:pPr>
              <w:pStyle w:val="ARfintablebodyright"/>
              <w:rPr>
                <w:sz w:val="16"/>
                <w:highlight w:val="green"/>
              </w:rPr>
            </w:pPr>
            <w:r w:rsidRPr="00E639F2">
              <w:t>4.7</w:t>
            </w:r>
          </w:p>
        </w:tc>
      </w:tr>
      <w:tr w:rsidR="005B131E" w:rsidRPr="00BA7805" w14:paraId="3FD552F7"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478D3B4F" w14:textId="77777777" w:rsidR="005B131E" w:rsidRPr="00BA7805" w:rsidRDefault="005B131E" w:rsidP="002542E1">
            <w:pPr>
              <w:pStyle w:val="ARfintablebody"/>
              <w:spacing w:before="20" w:after="10" w:line="228" w:lineRule="auto"/>
              <w:rPr>
                <w:sz w:val="16"/>
                <w:highlight w:val="green"/>
              </w:rPr>
            </w:pPr>
            <w:r w:rsidRPr="00FE7457">
              <w:t>Capitalisation of work in</w:t>
            </w:r>
            <w:r>
              <w:t> </w:t>
            </w:r>
            <w:r w:rsidRPr="00FE7457">
              <w:t>progress</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10292A55"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tcPr>
          <w:p w14:paraId="1649B02F"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23F8C27C"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1949C67F" w14:textId="77777777" w:rsidR="005B131E" w:rsidRPr="00BA7805" w:rsidRDefault="005B131E" w:rsidP="002542E1">
            <w:pPr>
              <w:pStyle w:val="ARfintablebodyright"/>
              <w:spacing w:before="20" w:after="10" w:line="228" w:lineRule="auto"/>
              <w:rPr>
                <w:sz w:val="16"/>
                <w:highlight w:val="green"/>
              </w:rPr>
            </w:pPr>
            <w:r w:rsidRPr="001323D6">
              <w:t>3.6</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3E50B97F"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39E9224A" w14:textId="77777777" w:rsidR="005B131E" w:rsidRPr="00BA7805" w:rsidRDefault="005B131E" w:rsidP="002542E1">
            <w:pPr>
              <w:pStyle w:val="ARfintablebodyright"/>
              <w:spacing w:before="20" w:after="10" w:line="228" w:lineRule="auto"/>
              <w:rPr>
                <w:sz w:val="16"/>
                <w:highlight w:val="green"/>
              </w:rPr>
            </w:pPr>
            <w:r w:rsidRPr="001323D6">
              <w:t>3.6</w:t>
            </w:r>
          </w:p>
        </w:tc>
      </w:tr>
      <w:tr w:rsidR="005B131E" w:rsidRPr="00BA7805" w14:paraId="1A234555"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75DC9EA6" w14:textId="77777777" w:rsidR="005B131E" w:rsidRPr="00BA7805" w:rsidRDefault="005B131E" w:rsidP="002542E1">
            <w:pPr>
              <w:pStyle w:val="ARfintablebody"/>
              <w:spacing w:before="20" w:after="10" w:line="228" w:lineRule="auto"/>
              <w:rPr>
                <w:sz w:val="16"/>
                <w:highlight w:val="green"/>
              </w:rPr>
            </w:pPr>
            <w:r w:rsidRPr="00FE7457">
              <w:t>Reassessment of lease</w:t>
            </w:r>
            <w:r>
              <w:t> </w:t>
            </w:r>
            <w:r w:rsidRPr="00FE7457">
              <w:t>payments</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2BBF4D1A" w14:textId="77777777" w:rsidR="005B131E" w:rsidRPr="00BA7805" w:rsidRDefault="005B131E" w:rsidP="002542E1">
            <w:pPr>
              <w:pStyle w:val="ARfintablebodyright"/>
              <w:spacing w:before="20" w:after="10" w:line="228" w:lineRule="auto"/>
              <w:rPr>
                <w:sz w:val="16"/>
                <w:highlight w:val="green"/>
              </w:rPr>
            </w:pPr>
            <w:r w:rsidRPr="001323D6">
              <w:t>0.1</w:t>
            </w:r>
          </w:p>
        </w:tc>
        <w:tc>
          <w:tcPr>
            <w:tcW w:w="1134" w:type="dxa"/>
            <w:tcBorders>
              <w:top w:val="single" w:sz="4" w:space="0" w:color="A6A6A6" w:themeColor="background1" w:themeShade="A6"/>
              <w:bottom w:val="single" w:sz="4" w:space="0" w:color="A6A6A6" w:themeColor="background1" w:themeShade="A6"/>
            </w:tcBorders>
          </w:tcPr>
          <w:p w14:paraId="64FDAF97"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73462931" w14:textId="77777777" w:rsidR="005B131E" w:rsidRPr="00BA7805" w:rsidRDefault="005B131E" w:rsidP="002542E1">
            <w:pPr>
              <w:pStyle w:val="ARfintablebodyright"/>
              <w:spacing w:before="20" w:after="10" w:line="228" w:lineRule="auto"/>
              <w:rPr>
                <w:sz w:val="16"/>
                <w:highlight w:val="green"/>
              </w:rPr>
            </w:pPr>
            <w:r w:rsidRPr="001323D6">
              <w:t>22.6</w:t>
            </w:r>
          </w:p>
        </w:tc>
        <w:tc>
          <w:tcPr>
            <w:tcW w:w="1134" w:type="dxa"/>
            <w:tcBorders>
              <w:top w:val="single" w:sz="4" w:space="0" w:color="A6A6A6" w:themeColor="background1" w:themeShade="A6"/>
              <w:bottom w:val="single" w:sz="4" w:space="0" w:color="A6A6A6" w:themeColor="background1" w:themeShade="A6"/>
            </w:tcBorders>
            <w:noWrap/>
          </w:tcPr>
          <w:p w14:paraId="65A727DF"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58B18594"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2D5E6A5D" w14:textId="77777777" w:rsidR="005B131E" w:rsidRPr="00BA7805" w:rsidRDefault="005B131E" w:rsidP="002542E1">
            <w:pPr>
              <w:pStyle w:val="ARfintablebodyright"/>
              <w:spacing w:before="20" w:after="10" w:line="228" w:lineRule="auto"/>
              <w:rPr>
                <w:sz w:val="16"/>
                <w:highlight w:val="green"/>
              </w:rPr>
            </w:pPr>
            <w:r w:rsidRPr="001323D6">
              <w:t>22.7</w:t>
            </w:r>
          </w:p>
        </w:tc>
      </w:tr>
      <w:tr w:rsidR="005B131E" w:rsidRPr="00BA7805" w14:paraId="5230ED08"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562795A9" w14:textId="77777777" w:rsidR="005B131E" w:rsidRPr="00BA7805" w:rsidRDefault="005B131E" w:rsidP="002542E1">
            <w:pPr>
              <w:pStyle w:val="ARfintablebody"/>
              <w:spacing w:before="20" w:after="10" w:line="228" w:lineRule="auto"/>
              <w:rPr>
                <w:sz w:val="16"/>
                <w:highlight w:val="green"/>
              </w:rPr>
            </w:pPr>
            <w:r w:rsidRPr="00FE7457">
              <w:t xml:space="preserve">Increase/(decrease) </w:t>
            </w:r>
            <w:r>
              <w:br/>
            </w:r>
            <w:r w:rsidRPr="00FE7457">
              <w:t>in make-good provision</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47A54EAF"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tcPr>
          <w:p w14:paraId="2BC864B2"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41CBC154" w14:textId="77777777" w:rsidR="005B131E" w:rsidRPr="00BA7805" w:rsidRDefault="005B131E" w:rsidP="002542E1">
            <w:pPr>
              <w:pStyle w:val="ARfintablebodyright"/>
              <w:spacing w:before="20" w:after="10" w:line="228" w:lineRule="auto"/>
              <w:rPr>
                <w:sz w:val="16"/>
                <w:highlight w:val="green"/>
              </w:rPr>
            </w:pPr>
            <w:r w:rsidRPr="001323D6">
              <w:t>2.1</w:t>
            </w:r>
          </w:p>
        </w:tc>
        <w:tc>
          <w:tcPr>
            <w:tcW w:w="1134" w:type="dxa"/>
            <w:tcBorders>
              <w:top w:val="single" w:sz="4" w:space="0" w:color="A6A6A6" w:themeColor="background1" w:themeShade="A6"/>
              <w:bottom w:val="single" w:sz="4" w:space="0" w:color="A6A6A6" w:themeColor="background1" w:themeShade="A6"/>
            </w:tcBorders>
            <w:noWrap/>
          </w:tcPr>
          <w:p w14:paraId="40C483FD"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4E085DE5"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320703FE" w14:textId="77777777" w:rsidR="005B131E" w:rsidRPr="00BA7805" w:rsidRDefault="005B131E" w:rsidP="002542E1">
            <w:pPr>
              <w:pStyle w:val="ARfintablebodyright"/>
              <w:spacing w:before="20" w:after="10" w:line="228" w:lineRule="auto"/>
              <w:rPr>
                <w:sz w:val="16"/>
                <w:highlight w:val="green"/>
              </w:rPr>
            </w:pPr>
            <w:r w:rsidRPr="001323D6">
              <w:t>2.1</w:t>
            </w:r>
          </w:p>
        </w:tc>
      </w:tr>
      <w:tr w:rsidR="005B131E" w:rsidRPr="00BA7805" w14:paraId="286A4638"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3A0229DE" w14:textId="77777777" w:rsidR="005B131E" w:rsidRPr="00BA7805" w:rsidRDefault="005B131E" w:rsidP="002542E1">
            <w:pPr>
              <w:pStyle w:val="ARfintablebody"/>
              <w:spacing w:before="20" w:after="10" w:line="228" w:lineRule="auto"/>
              <w:rPr>
                <w:sz w:val="16"/>
                <w:highlight w:val="green"/>
              </w:rPr>
            </w:pPr>
            <w:r w:rsidRPr="00FE7457">
              <w:t>Disposals</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000CFAF3"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tcPr>
          <w:p w14:paraId="0D03F2D4"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6B876B7B" w14:textId="77777777" w:rsidR="005B131E" w:rsidRPr="00BA7805" w:rsidRDefault="005B131E" w:rsidP="002542E1">
            <w:pPr>
              <w:pStyle w:val="ARfintablebodyright"/>
              <w:spacing w:before="20" w:after="10" w:line="228" w:lineRule="auto"/>
              <w:rPr>
                <w:sz w:val="16"/>
                <w:highlight w:val="green"/>
              </w:rPr>
            </w:pPr>
            <w:r w:rsidRPr="001323D6">
              <w:t>(3.7)</w:t>
            </w:r>
          </w:p>
        </w:tc>
        <w:tc>
          <w:tcPr>
            <w:tcW w:w="1134" w:type="dxa"/>
            <w:tcBorders>
              <w:top w:val="single" w:sz="4" w:space="0" w:color="A6A6A6" w:themeColor="background1" w:themeShade="A6"/>
              <w:bottom w:val="single" w:sz="4" w:space="0" w:color="A6A6A6" w:themeColor="background1" w:themeShade="A6"/>
            </w:tcBorders>
            <w:noWrap/>
          </w:tcPr>
          <w:p w14:paraId="45334B95" w14:textId="77777777" w:rsidR="005B131E" w:rsidRPr="00BA7805" w:rsidRDefault="005B131E" w:rsidP="002542E1">
            <w:pPr>
              <w:pStyle w:val="ARfintablebodyright"/>
              <w:spacing w:before="20" w:after="10" w:line="228" w:lineRule="auto"/>
              <w:rPr>
                <w:sz w:val="16"/>
                <w:highlight w:val="green"/>
              </w:rPr>
            </w:pPr>
            <w:r w:rsidRPr="001323D6">
              <w:t>(3.8)</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5BE76B2B"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58073ADE" w14:textId="77777777" w:rsidR="005B131E" w:rsidRPr="00BA7805" w:rsidRDefault="005B131E" w:rsidP="002542E1">
            <w:pPr>
              <w:pStyle w:val="ARfintablebodyright"/>
              <w:spacing w:before="20" w:after="10" w:line="228" w:lineRule="auto"/>
              <w:rPr>
                <w:sz w:val="16"/>
                <w:highlight w:val="green"/>
              </w:rPr>
            </w:pPr>
            <w:r w:rsidRPr="001323D6">
              <w:t>(7.5)</w:t>
            </w:r>
          </w:p>
        </w:tc>
      </w:tr>
      <w:tr w:rsidR="005B131E" w:rsidRPr="00BA7805" w14:paraId="0C92AE55"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10149795" w14:textId="77777777" w:rsidR="005B131E" w:rsidRPr="00BA7805" w:rsidRDefault="005B131E" w:rsidP="002542E1">
            <w:pPr>
              <w:pStyle w:val="ARfintablebody"/>
              <w:spacing w:before="20" w:after="10" w:line="228" w:lineRule="auto"/>
              <w:rPr>
                <w:sz w:val="16"/>
                <w:highlight w:val="green"/>
              </w:rPr>
            </w:pPr>
            <w:r w:rsidRPr="00FE7457">
              <w:t>Transfers in/(out) of Level 3</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0107DC51" w14:textId="77777777" w:rsidR="005B131E" w:rsidRPr="00BA7805" w:rsidRDefault="005B131E" w:rsidP="002542E1">
            <w:pPr>
              <w:pStyle w:val="ARfintablebodyright"/>
              <w:spacing w:before="20" w:after="10" w:line="228" w:lineRule="auto"/>
              <w:rPr>
                <w:sz w:val="16"/>
                <w:highlight w:val="green"/>
              </w:rPr>
            </w:pPr>
            <w:r w:rsidRPr="001323D6">
              <w:t>(7.9)</w:t>
            </w:r>
          </w:p>
        </w:tc>
        <w:tc>
          <w:tcPr>
            <w:tcW w:w="1134" w:type="dxa"/>
            <w:tcBorders>
              <w:top w:val="single" w:sz="4" w:space="0" w:color="A6A6A6" w:themeColor="background1" w:themeShade="A6"/>
              <w:bottom w:val="single" w:sz="4" w:space="0" w:color="A6A6A6" w:themeColor="background1" w:themeShade="A6"/>
            </w:tcBorders>
          </w:tcPr>
          <w:p w14:paraId="259BB0D9"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60DC28C2" w14:textId="77777777" w:rsidR="005B131E" w:rsidRPr="00BA7805" w:rsidRDefault="005B131E" w:rsidP="002542E1">
            <w:pPr>
              <w:pStyle w:val="ARfintablebodyright"/>
              <w:spacing w:before="20" w:after="10" w:line="228" w:lineRule="auto"/>
              <w:rPr>
                <w:sz w:val="16"/>
                <w:highlight w:val="green"/>
              </w:rPr>
            </w:pPr>
            <w:r w:rsidRPr="001323D6">
              <w:t>(43.3)</w:t>
            </w:r>
          </w:p>
        </w:tc>
        <w:tc>
          <w:tcPr>
            <w:tcW w:w="1134" w:type="dxa"/>
            <w:tcBorders>
              <w:top w:val="single" w:sz="4" w:space="0" w:color="A6A6A6" w:themeColor="background1" w:themeShade="A6"/>
              <w:bottom w:val="single" w:sz="4" w:space="0" w:color="A6A6A6" w:themeColor="background1" w:themeShade="A6"/>
            </w:tcBorders>
            <w:noWrap/>
          </w:tcPr>
          <w:p w14:paraId="79147B18"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21C33D5C" w14:textId="77777777" w:rsidR="005B131E" w:rsidRPr="00BA7805" w:rsidRDefault="005B131E" w:rsidP="002542E1">
            <w:pPr>
              <w:pStyle w:val="ARfintablebodyright"/>
              <w:spacing w:before="20" w:after="10" w:line="228" w:lineRule="auto"/>
              <w:rPr>
                <w:sz w:val="16"/>
                <w:highlight w:val="green"/>
              </w:rPr>
            </w:pPr>
            <w:r w:rsidRPr="001323D6">
              <w:t>(0.4)</w:t>
            </w:r>
          </w:p>
        </w:tc>
        <w:tc>
          <w:tcPr>
            <w:tcW w:w="1134" w:type="dxa"/>
            <w:tcBorders>
              <w:top w:val="single" w:sz="4" w:space="0" w:color="A6A6A6" w:themeColor="background1" w:themeShade="A6"/>
              <w:bottom w:val="single" w:sz="4" w:space="0" w:color="A6A6A6" w:themeColor="background1" w:themeShade="A6"/>
            </w:tcBorders>
            <w:noWrap/>
          </w:tcPr>
          <w:p w14:paraId="5A15ACCA" w14:textId="77777777" w:rsidR="005B131E" w:rsidRPr="00BA7805" w:rsidRDefault="005B131E" w:rsidP="002542E1">
            <w:pPr>
              <w:pStyle w:val="ARfintablebodyright"/>
              <w:spacing w:before="20" w:after="10" w:line="228" w:lineRule="auto"/>
              <w:rPr>
                <w:sz w:val="16"/>
                <w:highlight w:val="green"/>
              </w:rPr>
            </w:pPr>
            <w:r w:rsidRPr="001323D6">
              <w:t>(51.6)</w:t>
            </w:r>
          </w:p>
        </w:tc>
      </w:tr>
      <w:tr w:rsidR="005B131E" w:rsidRPr="00BA7805" w14:paraId="3633FBBF" w14:textId="77777777">
        <w:trPr>
          <w:cantSplit w:val="0"/>
        </w:trPr>
        <w:tc>
          <w:tcPr>
            <w:tcW w:w="9639" w:type="dxa"/>
            <w:gridSpan w:val="7"/>
            <w:tcBorders>
              <w:top w:val="single" w:sz="4" w:space="0" w:color="A6A6A6" w:themeColor="background1" w:themeShade="A6"/>
              <w:bottom w:val="single" w:sz="4" w:space="0" w:color="A6A6A6" w:themeColor="background1" w:themeShade="A6"/>
            </w:tcBorders>
          </w:tcPr>
          <w:p w14:paraId="7236AA66" w14:textId="77777777" w:rsidR="005B131E" w:rsidRPr="00BA7805" w:rsidRDefault="005B131E" w:rsidP="002542E1">
            <w:pPr>
              <w:pStyle w:val="ARfintablebodybold"/>
              <w:rPr>
                <w:sz w:val="16"/>
                <w:highlight w:val="green"/>
              </w:rPr>
            </w:pPr>
            <w:r w:rsidRPr="002B7A96">
              <w:t>Gains or losses recognised in net result</w:t>
            </w:r>
          </w:p>
        </w:tc>
      </w:tr>
      <w:tr w:rsidR="005B131E" w:rsidRPr="00BA7805" w14:paraId="15FBFF11" w14:textId="77777777" w:rsidTr="002542E1">
        <w:trPr>
          <w:cantSplit w:val="0"/>
        </w:trPr>
        <w:tc>
          <w:tcPr>
            <w:tcW w:w="2835" w:type="dxa"/>
            <w:tcBorders>
              <w:top w:val="single" w:sz="4" w:space="0" w:color="A6A6A6" w:themeColor="background1" w:themeShade="A6"/>
              <w:bottom w:val="single" w:sz="4" w:space="0" w:color="auto"/>
            </w:tcBorders>
          </w:tcPr>
          <w:p w14:paraId="034DAF6C" w14:textId="77777777" w:rsidR="005B131E" w:rsidRPr="00BA7805" w:rsidRDefault="005B131E" w:rsidP="002542E1">
            <w:pPr>
              <w:pStyle w:val="ARfintablebody"/>
              <w:spacing w:before="20" w:after="10" w:line="228" w:lineRule="auto"/>
              <w:rPr>
                <w:sz w:val="16"/>
                <w:highlight w:val="green"/>
              </w:rPr>
            </w:pPr>
            <w:r w:rsidRPr="00FE7457">
              <w:t>Depreciation</w:t>
            </w:r>
          </w:p>
        </w:tc>
        <w:tc>
          <w:tcPr>
            <w:tcW w:w="1134" w:type="dxa"/>
            <w:tcBorders>
              <w:top w:val="single" w:sz="4" w:space="0" w:color="A6A6A6" w:themeColor="background1" w:themeShade="A6"/>
              <w:bottom w:val="single" w:sz="4" w:space="0" w:color="auto"/>
            </w:tcBorders>
            <w:shd w:val="clear" w:color="auto" w:fill="E7E6E6" w:themeFill="accent4"/>
          </w:tcPr>
          <w:p w14:paraId="564F7E53" w14:textId="77777777" w:rsidR="005B131E" w:rsidRPr="00BA7805" w:rsidRDefault="005B131E" w:rsidP="002542E1">
            <w:pPr>
              <w:pStyle w:val="ARfintablebodyright"/>
              <w:spacing w:before="20" w:after="10" w:line="228" w:lineRule="auto"/>
              <w:rPr>
                <w:sz w:val="16"/>
                <w:highlight w:val="green"/>
              </w:rPr>
            </w:pPr>
            <w:r w:rsidRPr="001323D6">
              <w:t>(0.9)</w:t>
            </w:r>
          </w:p>
        </w:tc>
        <w:tc>
          <w:tcPr>
            <w:tcW w:w="1134" w:type="dxa"/>
            <w:tcBorders>
              <w:top w:val="single" w:sz="4" w:space="0" w:color="A6A6A6" w:themeColor="background1" w:themeShade="A6"/>
              <w:bottom w:val="single" w:sz="4" w:space="0" w:color="auto"/>
            </w:tcBorders>
          </w:tcPr>
          <w:p w14:paraId="42AE29EB"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uto"/>
            </w:tcBorders>
            <w:shd w:val="clear" w:color="auto" w:fill="E7E6E6" w:themeFill="accent4"/>
          </w:tcPr>
          <w:p w14:paraId="2E8AFF34" w14:textId="77777777" w:rsidR="005B131E" w:rsidRPr="00BA7805" w:rsidRDefault="005B131E" w:rsidP="002542E1">
            <w:pPr>
              <w:pStyle w:val="ARfintablebodyright"/>
              <w:spacing w:before="20" w:after="10" w:line="228" w:lineRule="auto"/>
              <w:rPr>
                <w:sz w:val="16"/>
                <w:highlight w:val="green"/>
              </w:rPr>
            </w:pPr>
            <w:r w:rsidRPr="001323D6">
              <w:t>(17.3)</w:t>
            </w:r>
          </w:p>
        </w:tc>
        <w:tc>
          <w:tcPr>
            <w:tcW w:w="1134" w:type="dxa"/>
            <w:tcBorders>
              <w:top w:val="single" w:sz="4" w:space="0" w:color="A6A6A6" w:themeColor="background1" w:themeShade="A6"/>
              <w:bottom w:val="single" w:sz="4" w:space="0" w:color="auto"/>
            </w:tcBorders>
            <w:noWrap/>
          </w:tcPr>
          <w:p w14:paraId="256D37C6" w14:textId="77777777" w:rsidR="005B131E" w:rsidRPr="00BA7805" w:rsidRDefault="005B131E" w:rsidP="002542E1">
            <w:pPr>
              <w:pStyle w:val="ARfintablebodyright"/>
              <w:spacing w:before="20" w:after="10" w:line="228" w:lineRule="auto"/>
              <w:rPr>
                <w:sz w:val="16"/>
                <w:highlight w:val="green"/>
              </w:rPr>
            </w:pPr>
            <w:r w:rsidRPr="001323D6">
              <w:t>(11.0)</w:t>
            </w:r>
          </w:p>
        </w:tc>
        <w:tc>
          <w:tcPr>
            <w:tcW w:w="1134" w:type="dxa"/>
            <w:tcBorders>
              <w:top w:val="single" w:sz="4" w:space="0" w:color="A6A6A6" w:themeColor="background1" w:themeShade="A6"/>
              <w:bottom w:val="single" w:sz="4" w:space="0" w:color="auto"/>
            </w:tcBorders>
            <w:shd w:val="clear" w:color="auto" w:fill="E7E6E6" w:themeFill="accent4"/>
            <w:noWrap/>
          </w:tcPr>
          <w:p w14:paraId="6A015E26" w14:textId="77777777" w:rsidR="005B131E" w:rsidRPr="00BA7805" w:rsidRDefault="005B131E" w:rsidP="002542E1">
            <w:pPr>
              <w:pStyle w:val="ARfintablebodyright"/>
              <w:spacing w:before="20" w:after="10" w:line="228" w:lineRule="auto"/>
              <w:rPr>
                <w:sz w:val="16"/>
                <w:highlight w:val="green"/>
              </w:rPr>
            </w:pPr>
            <w:r w:rsidRPr="001323D6">
              <w:t>(0.1)</w:t>
            </w:r>
          </w:p>
        </w:tc>
        <w:tc>
          <w:tcPr>
            <w:tcW w:w="1134" w:type="dxa"/>
            <w:tcBorders>
              <w:top w:val="single" w:sz="4" w:space="0" w:color="A6A6A6" w:themeColor="background1" w:themeShade="A6"/>
              <w:bottom w:val="single" w:sz="4" w:space="0" w:color="auto"/>
            </w:tcBorders>
            <w:noWrap/>
          </w:tcPr>
          <w:p w14:paraId="5185D2FC" w14:textId="77777777" w:rsidR="005B131E" w:rsidRPr="00BA7805" w:rsidRDefault="005B131E" w:rsidP="002542E1">
            <w:pPr>
              <w:pStyle w:val="ARfintablebodyright"/>
              <w:spacing w:before="20" w:after="10" w:line="228" w:lineRule="auto"/>
              <w:rPr>
                <w:sz w:val="16"/>
                <w:highlight w:val="green"/>
              </w:rPr>
            </w:pPr>
            <w:r w:rsidRPr="001323D6">
              <w:t>(29.3)</w:t>
            </w:r>
          </w:p>
        </w:tc>
      </w:tr>
      <w:tr w:rsidR="005B131E" w:rsidRPr="00BA7805" w14:paraId="17E788EC" w14:textId="77777777" w:rsidTr="002542E1">
        <w:trPr>
          <w:cantSplit w:val="0"/>
        </w:trPr>
        <w:tc>
          <w:tcPr>
            <w:tcW w:w="2835" w:type="dxa"/>
            <w:tcBorders>
              <w:top w:val="single" w:sz="4" w:space="0" w:color="auto"/>
              <w:bottom w:val="single" w:sz="4" w:space="0" w:color="000000" w:themeColor="text1"/>
            </w:tcBorders>
          </w:tcPr>
          <w:p w14:paraId="7F74E9C4" w14:textId="77777777" w:rsidR="005B131E" w:rsidRPr="00BA7805" w:rsidRDefault="005B131E" w:rsidP="002542E1">
            <w:pPr>
              <w:pStyle w:val="ARfintablebodybold"/>
              <w:spacing w:before="20" w:after="10" w:line="228" w:lineRule="auto"/>
              <w:rPr>
                <w:sz w:val="16"/>
                <w:highlight w:val="green"/>
              </w:rPr>
            </w:pPr>
            <w:r w:rsidRPr="00FE7457">
              <w:t>Subtotal of gains or losses recognised in net result</w:t>
            </w:r>
          </w:p>
        </w:tc>
        <w:tc>
          <w:tcPr>
            <w:tcW w:w="1134" w:type="dxa"/>
            <w:tcBorders>
              <w:top w:val="single" w:sz="4" w:space="0" w:color="auto"/>
              <w:bottom w:val="single" w:sz="4" w:space="0" w:color="000000" w:themeColor="text1"/>
            </w:tcBorders>
            <w:shd w:val="clear" w:color="auto" w:fill="E7E6E6" w:themeFill="accent4"/>
          </w:tcPr>
          <w:p w14:paraId="4339060E" w14:textId="77777777" w:rsidR="005B131E" w:rsidRPr="00BA7805" w:rsidRDefault="005B131E" w:rsidP="002542E1">
            <w:pPr>
              <w:pStyle w:val="ARfintablebodyrightbold"/>
              <w:spacing w:before="20" w:after="10" w:line="228" w:lineRule="auto"/>
              <w:rPr>
                <w:sz w:val="16"/>
                <w:highlight w:val="green"/>
              </w:rPr>
            </w:pPr>
            <w:r w:rsidRPr="001323D6">
              <w:t>(0.9)</w:t>
            </w:r>
          </w:p>
        </w:tc>
        <w:tc>
          <w:tcPr>
            <w:tcW w:w="1134" w:type="dxa"/>
            <w:tcBorders>
              <w:top w:val="single" w:sz="4" w:space="0" w:color="auto"/>
              <w:bottom w:val="single" w:sz="4" w:space="0" w:color="000000" w:themeColor="text1"/>
            </w:tcBorders>
          </w:tcPr>
          <w:p w14:paraId="7DAA18AE" w14:textId="77777777" w:rsidR="005B131E" w:rsidRPr="00BA7805" w:rsidRDefault="005B131E" w:rsidP="002542E1">
            <w:pPr>
              <w:pStyle w:val="ARfintablebodyrightbold"/>
              <w:spacing w:before="20" w:after="10" w:line="228" w:lineRule="auto"/>
              <w:rPr>
                <w:sz w:val="16"/>
                <w:highlight w:val="green"/>
              </w:rPr>
            </w:pPr>
            <w:r>
              <w:t>–</w:t>
            </w:r>
          </w:p>
        </w:tc>
        <w:tc>
          <w:tcPr>
            <w:tcW w:w="1134" w:type="dxa"/>
            <w:tcBorders>
              <w:top w:val="single" w:sz="4" w:space="0" w:color="auto"/>
              <w:bottom w:val="single" w:sz="4" w:space="0" w:color="000000" w:themeColor="text1"/>
            </w:tcBorders>
            <w:shd w:val="clear" w:color="auto" w:fill="E7E6E6" w:themeFill="accent4"/>
          </w:tcPr>
          <w:p w14:paraId="0181C400" w14:textId="77777777" w:rsidR="005B131E" w:rsidRPr="00BA7805" w:rsidRDefault="005B131E" w:rsidP="002542E1">
            <w:pPr>
              <w:pStyle w:val="ARfintablebodyrightbold"/>
              <w:spacing w:before="20" w:after="10" w:line="228" w:lineRule="auto"/>
              <w:rPr>
                <w:sz w:val="16"/>
                <w:highlight w:val="green"/>
              </w:rPr>
            </w:pPr>
            <w:r w:rsidRPr="001323D6">
              <w:t>(17.3)</w:t>
            </w:r>
          </w:p>
        </w:tc>
        <w:tc>
          <w:tcPr>
            <w:tcW w:w="1134" w:type="dxa"/>
            <w:tcBorders>
              <w:top w:val="single" w:sz="4" w:space="0" w:color="auto"/>
              <w:bottom w:val="single" w:sz="4" w:space="0" w:color="000000" w:themeColor="text1"/>
            </w:tcBorders>
            <w:noWrap/>
          </w:tcPr>
          <w:p w14:paraId="6A48DFFB" w14:textId="77777777" w:rsidR="005B131E" w:rsidRPr="00BA7805" w:rsidRDefault="005B131E" w:rsidP="002542E1">
            <w:pPr>
              <w:pStyle w:val="ARfintablebodyrightbold"/>
              <w:spacing w:before="20" w:after="10" w:line="228" w:lineRule="auto"/>
              <w:rPr>
                <w:sz w:val="16"/>
                <w:highlight w:val="green"/>
              </w:rPr>
            </w:pPr>
            <w:r w:rsidRPr="001323D6">
              <w:t>(11.0)</w:t>
            </w:r>
          </w:p>
        </w:tc>
        <w:tc>
          <w:tcPr>
            <w:tcW w:w="1134" w:type="dxa"/>
            <w:tcBorders>
              <w:top w:val="single" w:sz="4" w:space="0" w:color="auto"/>
              <w:bottom w:val="single" w:sz="4" w:space="0" w:color="000000" w:themeColor="text1"/>
            </w:tcBorders>
            <w:shd w:val="clear" w:color="auto" w:fill="E7E6E6" w:themeFill="accent4"/>
            <w:noWrap/>
          </w:tcPr>
          <w:p w14:paraId="08C591EE" w14:textId="77777777" w:rsidR="005B131E" w:rsidRPr="00BA7805" w:rsidRDefault="005B131E" w:rsidP="002542E1">
            <w:pPr>
              <w:pStyle w:val="ARfintablebodyrightbold"/>
              <w:spacing w:before="20" w:after="10" w:line="228" w:lineRule="auto"/>
              <w:rPr>
                <w:sz w:val="16"/>
                <w:highlight w:val="green"/>
              </w:rPr>
            </w:pPr>
            <w:r w:rsidRPr="001323D6">
              <w:t>(0.1)</w:t>
            </w:r>
          </w:p>
        </w:tc>
        <w:tc>
          <w:tcPr>
            <w:tcW w:w="1134" w:type="dxa"/>
            <w:tcBorders>
              <w:top w:val="single" w:sz="4" w:space="0" w:color="auto"/>
              <w:bottom w:val="single" w:sz="4" w:space="0" w:color="000000" w:themeColor="text1"/>
            </w:tcBorders>
            <w:noWrap/>
          </w:tcPr>
          <w:p w14:paraId="1E7C0C10" w14:textId="77777777" w:rsidR="005B131E" w:rsidRPr="00BA7805" w:rsidRDefault="005B131E" w:rsidP="002542E1">
            <w:pPr>
              <w:pStyle w:val="ARfintablebodyrightbold"/>
              <w:spacing w:before="20" w:after="10" w:line="228" w:lineRule="auto"/>
              <w:rPr>
                <w:sz w:val="16"/>
                <w:highlight w:val="green"/>
              </w:rPr>
            </w:pPr>
            <w:r w:rsidRPr="001323D6">
              <w:t>(29.3)</w:t>
            </w:r>
          </w:p>
        </w:tc>
      </w:tr>
      <w:tr w:rsidR="005B131E" w:rsidRPr="00BA7805" w14:paraId="4C6DA554" w14:textId="77777777" w:rsidTr="002542E1">
        <w:trPr>
          <w:cantSplit w:val="0"/>
        </w:trPr>
        <w:tc>
          <w:tcPr>
            <w:tcW w:w="9639" w:type="dxa"/>
            <w:gridSpan w:val="7"/>
            <w:tcBorders>
              <w:top w:val="single" w:sz="4" w:space="0" w:color="000000" w:themeColor="text1"/>
              <w:bottom w:val="single" w:sz="4" w:space="0" w:color="A6A6A6"/>
            </w:tcBorders>
            <w:shd w:val="clear" w:color="auto" w:fill="auto"/>
          </w:tcPr>
          <w:p w14:paraId="287C87AC" w14:textId="77777777" w:rsidR="005B131E" w:rsidRPr="00BA7805" w:rsidRDefault="005B131E" w:rsidP="002542E1">
            <w:pPr>
              <w:pStyle w:val="ARfintablebodybold"/>
              <w:spacing w:before="20" w:after="10" w:line="228" w:lineRule="auto"/>
              <w:rPr>
                <w:sz w:val="16"/>
                <w:highlight w:val="green"/>
              </w:rPr>
            </w:pPr>
            <w:r w:rsidRPr="00FE7457">
              <w:t xml:space="preserve">Gains or losses recognised in other economic flows </w:t>
            </w:r>
            <w:r>
              <w:t>–</w:t>
            </w:r>
            <w:r w:rsidRPr="00FE7457">
              <w:t xml:space="preserve"> other comprehensive income</w:t>
            </w:r>
          </w:p>
        </w:tc>
      </w:tr>
      <w:tr w:rsidR="005B131E" w:rsidRPr="00BA7805" w14:paraId="63F18FBA" w14:textId="77777777" w:rsidTr="002542E1">
        <w:trPr>
          <w:cantSplit w:val="0"/>
        </w:trPr>
        <w:tc>
          <w:tcPr>
            <w:tcW w:w="2835" w:type="dxa"/>
            <w:tcBorders>
              <w:top w:val="single" w:sz="4" w:space="0" w:color="A6A6A6"/>
            </w:tcBorders>
          </w:tcPr>
          <w:p w14:paraId="256C6B2C" w14:textId="77777777" w:rsidR="005B131E" w:rsidRPr="00BA7805" w:rsidRDefault="005B131E" w:rsidP="002542E1">
            <w:pPr>
              <w:pStyle w:val="ARfintablebody"/>
              <w:spacing w:before="20" w:after="10" w:line="228" w:lineRule="auto"/>
              <w:rPr>
                <w:sz w:val="16"/>
                <w:highlight w:val="green"/>
              </w:rPr>
            </w:pPr>
            <w:r w:rsidRPr="00FE7457">
              <w:t>Net revaluation increments/(decrements)</w:t>
            </w:r>
          </w:p>
        </w:tc>
        <w:tc>
          <w:tcPr>
            <w:tcW w:w="1134" w:type="dxa"/>
            <w:tcBorders>
              <w:top w:val="single" w:sz="4" w:space="0" w:color="A6A6A6"/>
            </w:tcBorders>
            <w:shd w:val="clear" w:color="auto" w:fill="E7E6E6" w:themeFill="accent4"/>
          </w:tcPr>
          <w:p w14:paraId="4B5840CA"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cBorders>
          </w:tcPr>
          <w:p w14:paraId="13BA5C01" w14:textId="77777777" w:rsidR="005B131E" w:rsidRPr="00BA7805" w:rsidRDefault="005B131E" w:rsidP="002542E1">
            <w:pPr>
              <w:pStyle w:val="ARfintablebodyright"/>
              <w:spacing w:before="20" w:after="10" w:line="228" w:lineRule="auto"/>
              <w:rPr>
                <w:sz w:val="16"/>
                <w:highlight w:val="green"/>
              </w:rPr>
            </w:pPr>
            <w:r w:rsidRPr="00763D4A">
              <w:t>7.3</w:t>
            </w:r>
          </w:p>
        </w:tc>
        <w:tc>
          <w:tcPr>
            <w:tcW w:w="1134" w:type="dxa"/>
            <w:tcBorders>
              <w:top w:val="single" w:sz="4" w:space="0" w:color="A6A6A6"/>
            </w:tcBorders>
            <w:shd w:val="clear" w:color="auto" w:fill="E7E6E6" w:themeFill="accent4"/>
          </w:tcPr>
          <w:p w14:paraId="6F6844F0"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cBorders>
            <w:noWrap/>
          </w:tcPr>
          <w:p w14:paraId="0E299C55" w14:textId="77777777" w:rsidR="005B131E" w:rsidRPr="00BA7805" w:rsidRDefault="005B131E" w:rsidP="002542E1">
            <w:pPr>
              <w:pStyle w:val="ARfintablebodyright"/>
              <w:spacing w:before="20" w:after="10" w:line="228" w:lineRule="auto"/>
              <w:rPr>
                <w:sz w:val="16"/>
                <w:highlight w:val="green"/>
              </w:rPr>
            </w:pPr>
            <w:r w:rsidRPr="00763D4A">
              <w:t>23.3</w:t>
            </w:r>
          </w:p>
        </w:tc>
        <w:tc>
          <w:tcPr>
            <w:tcW w:w="1134" w:type="dxa"/>
            <w:tcBorders>
              <w:top w:val="single" w:sz="4" w:space="0" w:color="A6A6A6"/>
            </w:tcBorders>
            <w:shd w:val="clear" w:color="auto" w:fill="E7E6E6" w:themeFill="accent4"/>
            <w:noWrap/>
          </w:tcPr>
          <w:p w14:paraId="6D5F2724"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cBorders>
            <w:noWrap/>
          </w:tcPr>
          <w:p w14:paraId="766D8E1B" w14:textId="77777777" w:rsidR="005B131E" w:rsidRPr="00BA7805" w:rsidRDefault="005B131E" w:rsidP="002542E1">
            <w:pPr>
              <w:pStyle w:val="ARfintablebodyright"/>
              <w:spacing w:before="20" w:after="10" w:line="228" w:lineRule="auto"/>
              <w:rPr>
                <w:sz w:val="16"/>
                <w:highlight w:val="green"/>
              </w:rPr>
            </w:pPr>
            <w:r w:rsidRPr="00763D4A">
              <w:t>30.6</w:t>
            </w:r>
          </w:p>
        </w:tc>
      </w:tr>
      <w:tr w:rsidR="005B131E" w:rsidRPr="00BA7805" w14:paraId="6C43D690" w14:textId="77777777" w:rsidTr="002542E1">
        <w:trPr>
          <w:cantSplit w:val="0"/>
        </w:trPr>
        <w:tc>
          <w:tcPr>
            <w:tcW w:w="2835" w:type="dxa"/>
          </w:tcPr>
          <w:p w14:paraId="4523BE64" w14:textId="77777777" w:rsidR="005B131E" w:rsidRPr="00BA7805" w:rsidRDefault="005B131E" w:rsidP="002542E1">
            <w:pPr>
              <w:pStyle w:val="ARfintablebodybold"/>
              <w:spacing w:before="20" w:after="10" w:line="228" w:lineRule="auto"/>
              <w:rPr>
                <w:sz w:val="16"/>
                <w:highlight w:val="green"/>
              </w:rPr>
            </w:pPr>
            <w:r w:rsidRPr="00FE7457">
              <w:t>Subtotal of gains or losses recognised in other economic</w:t>
            </w:r>
            <w:r>
              <w:t> </w:t>
            </w:r>
            <w:r w:rsidRPr="00FE7457">
              <w:t>flows</w:t>
            </w:r>
          </w:p>
        </w:tc>
        <w:tc>
          <w:tcPr>
            <w:tcW w:w="1134" w:type="dxa"/>
            <w:shd w:val="clear" w:color="auto" w:fill="E7E6E6" w:themeFill="accent4"/>
          </w:tcPr>
          <w:p w14:paraId="074BEAC8" w14:textId="77777777" w:rsidR="005B131E" w:rsidRPr="00BA7805" w:rsidRDefault="005B131E" w:rsidP="002542E1">
            <w:pPr>
              <w:pStyle w:val="ARfintablebodyrightbold"/>
              <w:spacing w:before="20" w:after="10" w:line="228" w:lineRule="auto"/>
              <w:rPr>
                <w:b w:val="0"/>
                <w:bCs/>
                <w:sz w:val="16"/>
                <w:highlight w:val="green"/>
              </w:rPr>
            </w:pPr>
            <w:r>
              <w:t>–</w:t>
            </w:r>
          </w:p>
        </w:tc>
        <w:tc>
          <w:tcPr>
            <w:tcW w:w="1134" w:type="dxa"/>
          </w:tcPr>
          <w:p w14:paraId="067AB614" w14:textId="77777777" w:rsidR="005B131E" w:rsidRPr="00BA7805" w:rsidRDefault="005B131E" w:rsidP="002542E1">
            <w:pPr>
              <w:pStyle w:val="ARfintablebodyrightbold"/>
              <w:spacing w:before="20" w:after="10" w:line="228" w:lineRule="auto"/>
              <w:rPr>
                <w:sz w:val="16"/>
                <w:highlight w:val="green"/>
              </w:rPr>
            </w:pPr>
            <w:r w:rsidRPr="00763D4A">
              <w:t>7.3</w:t>
            </w:r>
          </w:p>
        </w:tc>
        <w:tc>
          <w:tcPr>
            <w:tcW w:w="1134" w:type="dxa"/>
            <w:shd w:val="clear" w:color="auto" w:fill="E7E6E6" w:themeFill="accent4"/>
          </w:tcPr>
          <w:p w14:paraId="2CA7D251" w14:textId="77777777" w:rsidR="005B131E" w:rsidRPr="00BA7805" w:rsidRDefault="005B131E" w:rsidP="002542E1">
            <w:pPr>
              <w:pStyle w:val="ARfintablebodyrightbold"/>
              <w:spacing w:before="20" w:after="10" w:line="228" w:lineRule="auto"/>
              <w:rPr>
                <w:sz w:val="16"/>
                <w:highlight w:val="green"/>
              </w:rPr>
            </w:pPr>
            <w:r>
              <w:t>–</w:t>
            </w:r>
          </w:p>
        </w:tc>
        <w:tc>
          <w:tcPr>
            <w:tcW w:w="1134" w:type="dxa"/>
            <w:noWrap/>
          </w:tcPr>
          <w:p w14:paraId="3D3C37FB" w14:textId="77777777" w:rsidR="005B131E" w:rsidRPr="00BA7805" w:rsidRDefault="005B131E" w:rsidP="002542E1">
            <w:pPr>
              <w:pStyle w:val="ARfintablebodyrightbold"/>
              <w:spacing w:before="20" w:after="10" w:line="228" w:lineRule="auto"/>
              <w:rPr>
                <w:sz w:val="16"/>
                <w:highlight w:val="green"/>
              </w:rPr>
            </w:pPr>
            <w:r w:rsidRPr="00763D4A">
              <w:t>23.3</w:t>
            </w:r>
          </w:p>
        </w:tc>
        <w:tc>
          <w:tcPr>
            <w:tcW w:w="1134" w:type="dxa"/>
            <w:shd w:val="clear" w:color="auto" w:fill="E7E6E6" w:themeFill="accent4"/>
            <w:noWrap/>
          </w:tcPr>
          <w:p w14:paraId="4A3C67C2" w14:textId="77777777" w:rsidR="005B131E" w:rsidRPr="00BA7805" w:rsidRDefault="005B131E" w:rsidP="002542E1">
            <w:pPr>
              <w:pStyle w:val="ARfintablebodyrightbold"/>
              <w:spacing w:before="20" w:after="10" w:line="228" w:lineRule="auto"/>
              <w:rPr>
                <w:sz w:val="16"/>
                <w:highlight w:val="green"/>
              </w:rPr>
            </w:pPr>
            <w:r>
              <w:t>–</w:t>
            </w:r>
          </w:p>
        </w:tc>
        <w:tc>
          <w:tcPr>
            <w:tcW w:w="1134" w:type="dxa"/>
            <w:noWrap/>
          </w:tcPr>
          <w:p w14:paraId="0A655393" w14:textId="77777777" w:rsidR="005B131E" w:rsidRPr="00BA7805" w:rsidRDefault="005B131E" w:rsidP="002542E1">
            <w:pPr>
              <w:pStyle w:val="ARfintablebodyrightbold"/>
              <w:spacing w:before="20" w:after="10" w:line="228" w:lineRule="auto"/>
              <w:rPr>
                <w:sz w:val="16"/>
                <w:highlight w:val="green"/>
              </w:rPr>
            </w:pPr>
            <w:r w:rsidRPr="00763D4A">
              <w:t>30.6</w:t>
            </w:r>
          </w:p>
        </w:tc>
      </w:tr>
      <w:tr w:rsidR="005B131E" w:rsidRPr="00BA7805" w14:paraId="23F49712" w14:textId="77777777" w:rsidTr="002542E1">
        <w:trPr>
          <w:cantSplit w:val="0"/>
        </w:trPr>
        <w:tc>
          <w:tcPr>
            <w:tcW w:w="2835" w:type="dxa"/>
          </w:tcPr>
          <w:p w14:paraId="018B39F1" w14:textId="77777777" w:rsidR="005B131E" w:rsidRPr="00BA7805" w:rsidRDefault="005B131E" w:rsidP="002542E1">
            <w:pPr>
              <w:pStyle w:val="ARfintablebodybold"/>
              <w:spacing w:before="20" w:after="10" w:line="228" w:lineRule="auto"/>
              <w:rPr>
                <w:sz w:val="16"/>
                <w:highlight w:val="green"/>
              </w:rPr>
            </w:pPr>
            <w:r w:rsidRPr="00FE7457">
              <w:t>Closing balance</w:t>
            </w:r>
          </w:p>
        </w:tc>
        <w:tc>
          <w:tcPr>
            <w:tcW w:w="1134" w:type="dxa"/>
            <w:shd w:val="clear" w:color="auto" w:fill="E7E6E6" w:themeFill="accent4"/>
          </w:tcPr>
          <w:p w14:paraId="553A8E1E" w14:textId="77777777" w:rsidR="005B131E" w:rsidRPr="00BA7805" w:rsidRDefault="005B131E" w:rsidP="002542E1">
            <w:pPr>
              <w:pStyle w:val="ARfintablebodyrightbold"/>
              <w:spacing w:before="20" w:after="10" w:line="228" w:lineRule="auto"/>
              <w:rPr>
                <w:sz w:val="16"/>
                <w:highlight w:val="green"/>
              </w:rPr>
            </w:pPr>
            <w:r>
              <w:t>–</w:t>
            </w:r>
          </w:p>
        </w:tc>
        <w:tc>
          <w:tcPr>
            <w:tcW w:w="1134" w:type="dxa"/>
          </w:tcPr>
          <w:p w14:paraId="426AFE40" w14:textId="77777777" w:rsidR="005B131E" w:rsidRPr="00BA7805" w:rsidRDefault="005B131E" w:rsidP="002542E1">
            <w:pPr>
              <w:pStyle w:val="ARfintablebodyrightbold"/>
              <w:spacing w:before="20" w:after="10" w:line="228" w:lineRule="auto"/>
              <w:rPr>
                <w:sz w:val="16"/>
                <w:highlight w:val="green"/>
              </w:rPr>
            </w:pPr>
            <w:r w:rsidRPr="00763D4A">
              <w:t>170.2</w:t>
            </w:r>
          </w:p>
        </w:tc>
        <w:tc>
          <w:tcPr>
            <w:tcW w:w="1134" w:type="dxa"/>
            <w:shd w:val="clear" w:color="auto" w:fill="E7E6E6" w:themeFill="accent4"/>
          </w:tcPr>
          <w:p w14:paraId="1DA8AB07" w14:textId="77777777" w:rsidR="005B131E" w:rsidRPr="00BA7805" w:rsidRDefault="005B131E" w:rsidP="002542E1">
            <w:pPr>
              <w:pStyle w:val="ARfintablebodyrightbold"/>
              <w:spacing w:before="20" w:after="10" w:line="228" w:lineRule="auto"/>
              <w:rPr>
                <w:sz w:val="16"/>
                <w:highlight w:val="green"/>
              </w:rPr>
            </w:pPr>
            <w:r>
              <w:t>–</w:t>
            </w:r>
          </w:p>
        </w:tc>
        <w:tc>
          <w:tcPr>
            <w:tcW w:w="1134" w:type="dxa"/>
            <w:noWrap/>
          </w:tcPr>
          <w:p w14:paraId="6AB5F3D9" w14:textId="77777777" w:rsidR="005B131E" w:rsidRPr="00BA7805" w:rsidRDefault="005B131E" w:rsidP="002542E1">
            <w:pPr>
              <w:pStyle w:val="ARfintablebodyrightbold"/>
              <w:spacing w:before="20" w:after="10" w:line="228" w:lineRule="auto"/>
              <w:rPr>
                <w:sz w:val="16"/>
                <w:highlight w:val="green"/>
              </w:rPr>
            </w:pPr>
            <w:r w:rsidRPr="00763D4A">
              <w:t>146.6</w:t>
            </w:r>
          </w:p>
        </w:tc>
        <w:tc>
          <w:tcPr>
            <w:tcW w:w="1134" w:type="dxa"/>
            <w:shd w:val="clear" w:color="auto" w:fill="E7E6E6" w:themeFill="accent4"/>
            <w:noWrap/>
          </w:tcPr>
          <w:p w14:paraId="6158B089" w14:textId="77777777" w:rsidR="005B131E" w:rsidRPr="00BA7805" w:rsidRDefault="005B131E" w:rsidP="002542E1">
            <w:pPr>
              <w:pStyle w:val="ARfintablebodyrightbold"/>
              <w:spacing w:before="20" w:after="10" w:line="228" w:lineRule="auto"/>
              <w:rPr>
                <w:sz w:val="16"/>
                <w:highlight w:val="green"/>
              </w:rPr>
            </w:pPr>
            <w:r>
              <w:t>–</w:t>
            </w:r>
          </w:p>
        </w:tc>
        <w:tc>
          <w:tcPr>
            <w:tcW w:w="1134" w:type="dxa"/>
            <w:noWrap/>
          </w:tcPr>
          <w:p w14:paraId="22795668" w14:textId="77777777" w:rsidR="005B131E" w:rsidRPr="00BA7805" w:rsidRDefault="005B131E" w:rsidP="002542E1">
            <w:pPr>
              <w:pStyle w:val="ARfintablebodyrightbold"/>
              <w:spacing w:before="20" w:after="10" w:line="228" w:lineRule="auto"/>
              <w:rPr>
                <w:sz w:val="16"/>
                <w:highlight w:val="green"/>
              </w:rPr>
            </w:pPr>
            <w:r w:rsidRPr="00763D4A">
              <w:t>316.8</w:t>
            </w:r>
          </w:p>
        </w:tc>
      </w:tr>
    </w:tbl>
    <w:p w14:paraId="7954455C" w14:textId="77777777" w:rsidR="005B131E" w:rsidRDefault="005B131E" w:rsidP="002542E1">
      <w:pPr>
        <w:pStyle w:val="ARfinbody"/>
        <w:rPr>
          <w:highlight w:val="green"/>
        </w:rPr>
      </w:pPr>
      <w:r>
        <w:rPr>
          <w:highlight w:val="green"/>
        </w:rPr>
        <w:br w:type="page"/>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E57D5B" w:rsidRPr="00BA7805" w14:paraId="7AD19E73"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30F5C0A0" w14:textId="77777777" w:rsidR="005B131E" w:rsidRPr="0059256A" w:rsidRDefault="005B131E">
            <w:pPr>
              <w:pStyle w:val="ARfintablecolhead"/>
              <w:spacing w:before="20" w:after="10" w:line="228" w:lineRule="auto"/>
              <w:rPr>
                <w:sz w:val="16"/>
              </w:rPr>
            </w:pPr>
            <w:r w:rsidRPr="0059256A">
              <w:rPr>
                <w:sz w:val="16"/>
              </w:rPr>
              <w:t>2023</w:t>
            </w:r>
          </w:p>
        </w:tc>
        <w:tc>
          <w:tcPr>
            <w:tcW w:w="1134" w:type="dxa"/>
            <w:tcBorders>
              <w:bottom w:val="single" w:sz="4" w:space="0" w:color="auto"/>
            </w:tcBorders>
            <w:shd w:val="clear" w:color="auto" w:fill="E7E6E6" w:themeFill="accent4"/>
          </w:tcPr>
          <w:p w14:paraId="5EEB8AAC" w14:textId="77777777" w:rsidR="005B131E" w:rsidRPr="0059256A" w:rsidRDefault="005B131E">
            <w:pPr>
              <w:pStyle w:val="ARfintablecolheadright"/>
              <w:spacing w:before="20" w:after="10" w:line="228" w:lineRule="auto"/>
              <w:rPr>
                <w:sz w:val="16"/>
              </w:rPr>
            </w:pPr>
            <w:r w:rsidRPr="0059256A">
              <w:rPr>
                <w:sz w:val="16"/>
              </w:rPr>
              <w:t>Non-specialised land</w:t>
            </w:r>
          </w:p>
          <w:p w14:paraId="0D33CC71" w14:textId="77777777" w:rsidR="005B131E" w:rsidRPr="0059256A" w:rsidRDefault="005B131E">
            <w:pPr>
              <w:pStyle w:val="ARfintablecolheadright"/>
              <w:spacing w:before="20" w:after="10" w:line="228" w:lineRule="auto"/>
              <w:rPr>
                <w:sz w:val="16"/>
              </w:rPr>
            </w:pPr>
            <w:r w:rsidRPr="0059256A">
              <w:rPr>
                <w:sz w:val="16"/>
              </w:rPr>
              <w:t>$M</w:t>
            </w:r>
          </w:p>
        </w:tc>
        <w:tc>
          <w:tcPr>
            <w:tcW w:w="1134" w:type="dxa"/>
            <w:tcBorders>
              <w:bottom w:val="single" w:sz="4" w:space="0" w:color="auto"/>
            </w:tcBorders>
          </w:tcPr>
          <w:p w14:paraId="1736CA5E" w14:textId="77777777" w:rsidR="005B131E" w:rsidRPr="0059256A" w:rsidRDefault="005B131E">
            <w:pPr>
              <w:pStyle w:val="ARfintablecolheadright"/>
              <w:spacing w:before="20" w:after="10" w:line="228" w:lineRule="auto"/>
              <w:rPr>
                <w:sz w:val="16"/>
              </w:rPr>
            </w:pPr>
            <w:r w:rsidRPr="0059256A">
              <w:rPr>
                <w:sz w:val="16"/>
              </w:rPr>
              <w:t xml:space="preserve">Specialised </w:t>
            </w:r>
            <w:r w:rsidRPr="0059256A">
              <w:rPr>
                <w:sz w:val="16"/>
              </w:rPr>
              <w:br/>
              <w:t>land</w:t>
            </w:r>
          </w:p>
          <w:p w14:paraId="2BFE3E48" w14:textId="77777777" w:rsidR="005B131E" w:rsidRPr="0059256A" w:rsidRDefault="005B131E">
            <w:pPr>
              <w:pStyle w:val="ARfintablecolheadright"/>
              <w:spacing w:before="20" w:after="10" w:line="228" w:lineRule="auto"/>
              <w:rPr>
                <w:sz w:val="16"/>
              </w:rPr>
            </w:pPr>
            <w:r w:rsidRPr="0059256A">
              <w:rPr>
                <w:sz w:val="16"/>
              </w:rPr>
              <w:t>$M</w:t>
            </w:r>
          </w:p>
        </w:tc>
        <w:tc>
          <w:tcPr>
            <w:tcW w:w="1134" w:type="dxa"/>
            <w:tcBorders>
              <w:bottom w:val="single" w:sz="4" w:space="0" w:color="auto"/>
            </w:tcBorders>
            <w:shd w:val="clear" w:color="auto" w:fill="E7E6E6" w:themeFill="accent4"/>
          </w:tcPr>
          <w:p w14:paraId="53A82A98" w14:textId="77777777" w:rsidR="005B131E" w:rsidRPr="0059256A" w:rsidRDefault="005B131E">
            <w:pPr>
              <w:pStyle w:val="ARfintablecolheadright"/>
              <w:spacing w:before="20" w:after="10" w:line="228" w:lineRule="auto"/>
              <w:rPr>
                <w:sz w:val="16"/>
              </w:rPr>
            </w:pPr>
            <w:r w:rsidRPr="0059256A">
              <w:rPr>
                <w:sz w:val="16"/>
              </w:rPr>
              <w:t>Non-specialised buildings</w:t>
            </w:r>
          </w:p>
          <w:p w14:paraId="7576EC45" w14:textId="77777777" w:rsidR="005B131E" w:rsidRPr="0059256A" w:rsidRDefault="005B131E">
            <w:pPr>
              <w:pStyle w:val="ARfintablecolheadright"/>
              <w:spacing w:before="20" w:after="10" w:line="228" w:lineRule="auto"/>
              <w:rPr>
                <w:sz w:val="16"/>
              </w:rPr>
            </w:pPr>
            <w:r w:rsidRPr="0059256A">
              <w:rPr>
                <w:sz w:val="16"/>
              </w:rPr>
              <w:t>$M</w:t>
            </w:r>
          </w:p>
        </w:tc>
        <w:tc>
          <w:tcPr>
            <w:tcW w:w="1134" w:type="dxa"/>
            <w:tcBorders>
              <w:bottom w:val="single" w:sz="4" w:space="0" w:color="auto"/>
            </w:tcBorders>
            <w:hideMark/>
          </w:tcPr>
          <w:p w14:paraId="6E531836" w14:textId="77777777" w:rsidR="005B131E" w:rsidRPr="0059256A" w:rsidRDefault="005B131E">
            <w:pPr>
              <w:pStyle w:val="ARfintablecolheadright"/>
              <w:spacing w:before="20" w:after="10" w:line="228" w:lineRule="auto"/>
              <w:rPr>
                <w:sz w:val="16"/>
              </w:rPr>
            </w:pPr>
            <w:r w:rsidRPr="0059256A">
              <w:rPr>
                <w:sz w:val="16"/>
              </w:rPr>
              <w:t>Specialised buildings</w:t>
            </w:r>
          </w:p>
          <w:p w14:paraId="04D4C748" w14:textId="77777777" w:rsidR="005B131E" w:rsidRPr="0059256A" w:rsidRDefault="005B131E">
            <w:pPr>
              <w:pStyle w:val="ARfintablecolheadright"/>
              <w:spacing w:before="20" w:after="10" w:line="228" w:lineRule="auto"/>
              <w:rPr>
                <w:sz w:val="16"/>
              </w:rPr>
            </w:pPr>
            <w:r w:rsidRPr="0059256A">
              <w:rPr>
                <w:sz w:val="16"/>
              </w:rPr>
              <w:t>$M</w:t>
            </w:r>
          </w:p>
        </w:tc>
        <w:tc>
          <w:tcPr>
            <w:tcW w:w="1134" w:type="dxa"/>
            <w:tcBorders>
              <w:bottom w:val="single" w:sz="4" w:space="0" w:color="auto"/>
            </w:tcBorders>
            <w:shd w:val="clear" w:color="auto" w:fill="E7E6E6" w:themeFill="accent4"/>
            <w:hideMark/>
          </w:tcPr>
          <w:p w14:paraId="71EDCBC7" w14:textId="77777777" w:rsidR="005B131E" w:rsidRPr="0059256A" w:rsidRDefault="005B131E">
            <w:pPr>
              <w:pStyle w:val="ARfintablecolheadright"/>
              <w:spacing w:before="20" w:after="10" w:line="228" w:lineRule="auto"/>
              <w:rPr>
                <w:sz w:val="16"/>
              </w:rPr>
            </w:pPr>
            <w:r w:rsidRPr="0059256A">
              <w:rPr>
                <w:sz w:val="16"/>
              </w:rPr>
              <w:t>Plant and equipment</w:t>
            </w:r>
          </w:p>
          <w:p w14:paraId="4AAF7B17" w14:textId="77777777" w:rsidR="005B131E" w:rsidRPr="0059256A" w:rsidRDefault="005B131E">
            <w:pPr>
              <w:pStyle w:val="ARfintablecolheadright"/>
              <w:spacing w:before="20" w:after="10" w:line="228" w:lineRule="auto"/>
              <w:rPr>
                <w:sz w:val="16"/>
              </w:rPr>
            </w:pPr>
            <w:r w:rsidRPr="0059256A">
              <w:rPr>
                <w:sz w:val="16"/>
              </w:rPr>
              <w:t>$M</w:t>
            </w:r>
          </w:p>
        </w:tc>
        <w:tc>
          <w:tcPr>
            <w:tcW w:w="1134" w:type="dxa"/>
            <w:tcBorders>
              <w:bottom w:val="single" w:sz="4" w:space="0" w:color="auto"/>
            </w:tcBorders>
            <w:hideMark/>
          </w:tcPr>
          <w:p w14:paraId="49120D7A" w14:textId="77777777" w:rsidR="005B131E" w:rsidRPr="0059256A" w:rsidRDefault="005B131E">
            <w:pPr>
              <w:pStyle w:val="ARfintablecolheadright"/>
              <w:spacing w:before="20" w:after="10" w:line="228" w:lineRule="auto"/>
              <w:rPr>
                <w:sz w:val="16"/>
              </w:rPr>
            </w:pPr>
            <w:r w:rsidRPr="0059256A">
              <w:rPr>
                <w:sz w:val="16"/>
              </w:rPr>
              <w:t>Total</w:t>
            </w:r>
          </w:p>
          <w:p w14:paraId="549BDF48" w14:textId="77777777" w:rsidR="005B131E" w:rsidRPr="0059256A" w:rsidRDefault="005B131E">
            <w:pPr>
              <w:pStyle w:val="ARfintablecolheadright"/>
              <w:spacing w:before="20" w:after="10" w:line="228" w:lineRule="auto"/>
              <w:rPr>
                <w:sz w:val="16"/>
              </w:rPr>
            </w:pPr>
            <w:r w:rsidRPr="0059256A">
              <w:rPr>
                <w:sz w:val="16"/>
              </w:rPr>
              <w:t>$M</w:t>
            </w:r>
          </w:p>
        </w:tc>
      </w:tr>
      <w:tr w:rsidR="005B131E" w:rsidRPr="00BA7805" w14:paraId="27149DD8" w14:textId="77777777" w:rsidTr="002542E1">
        <w:trPr>
          <w:cantSplit w:val="0"/>
        </w:trPr>
        <w:tc>
          <w:tcPr>
            <w:tcW w:w="2835" w:type="dxa"/>
            <w:tcBorders>
              <w:top w:val="single" w:sz="4" w:space="0" w:color="auto"/>
              <w:bottom w:val="single" w:sz="4" w:space="0" w:color="A6A6A6" w:themeColor="background1" w:themeShade="A6"/>
            </w:tcBorders>
          </w:tcPr>
          <w:p w14:paraId="56B8A50D" w14:textId="77777777" w:rsidR="005B131E" w:rsidRPr="00BA7805" w:rsidRDefault="005B131E" w:rsidP="002542E1">
            <w:pPr>
              <w:pStyle w:val="ARfintablebodybold"/>
              <w:spacing w:before="20" w:after="10" w:line="228" w:lineRule="auto"/>
              <w:rPr>
                <w:sz w:val="16"/>
                <w:highlight w:val="green"/>
              </w:rPr>
            </w:pPr>
            <w:r w:rsidRPr="00127913">
              <w:t>Opening balance</w:t>
            </w:r>
          </w:p>
        </w:tc>
        <w:tc>
          <w:tcPr>
            <w:tcW w:w="1134" w:type="dxa"/>
            <w:tcBorders>
              <w:top w:val="single" w:sz="4" w:space="0" w:color="auto"/>
              <w:bottom w:val="single" w:sz="4" w:space="0" w:color="A6A6A6" w:themeColor="background1" w:themeShade="A6"/>
            </w:tcBorders>
            <w:shd w:val="clear" w:color="auto" w:fill="E7E6E6" w:themeFill="accent4"/>
          </w:tcPr>
          <w:p w14:paraId="04A0C68F" w14:textId="77777777" w:rsidR="005B131E" w:rsidRPr="00BA7805" w:rsidRDefault="005B131E" w:rsidP="002542E1">
            <w:pPr>
              <w:pStyle w:val="ARfintablebodyrightbold"/>
              <w:spacing w:before="20" w:after="10" w:line="228" w:lineRule="auto"/>
              <w:rPr>
                <w:sz w:val="16"/>
                <w:highlight w:val="green"/>
              </w:rPr>
            </w:pPr>
            <w:r w:rsidRPr="003063D7">
              <w:t>8.8</w:t>
            </w:r>
          </w:p>
        </w:tc>
        <w:tc>
          <w:tcPr>
            <w:tcW w:w="1134" w:type="dxa"/>
            <w:tcBorders>
              <w:top w:val="single" w:sz="4" w:space="0" w:color="auto"/>
              <w:bottom w:val="single" w:sz="4" w:space="0" w:color="A6A6A6" w:themeColor="background1" w:themeShade="A6"/>
            </w:tcBorders>
          </w:tcPr>
          <w:p w14:paraId="26EDFF78" w14:textId="77777777" w:rsidR="005B131E" w:rsidRPr="00BA7805" w:rsidRDefault="005B131E" w:rsidP="002542E1">
            <w:pPr>
              <w:pStyle w:val="ARfintablebodyrightbold"/>
              <w:spacing w:before="20" w:after="10" w:line="228" w:lineRule="auto"/>
              <w:rPr>
                <w:sz w:val="16"/>
                <w:highlight w:val="green"/>
              </w:rPr>
            </w:pPr>
            <w:r w:rsidRPr="003063D7">
              <w:t>162.3</w:t>
            </w:r>
          </w:p>
        </w:tc>
        <w:tc>
          <w:tcPr>
            <w:tcW w:w="1134" w:type="dxa"/>
            <w:tcBorders>
              <w:top w:val="single" w:sz="4" w:space="0" w:color="auto"/>
              <w:bottom w:val="single" w:sz="4" w:space="0" w:color="A6A6A6" w:themeColor="background1" w:themeShade="A6"/>
            </w:tcBorders>
            <w:shd w:val="clear" w:color="auto" w:fill="E7E6E6" w:themeFill="accent4"/>
          </w:tcPr>
          <w:p w14:paraId="136E55D2" w14:textId="77777777" w:rsidR="005B131E" w:rsidRPr="00BA7805" w:rsidRDefault="005B131E" w:rsidP="002542E1">
            <w:pPr>
              <w:pStyle w:val="ARfintablebodyrightbold"/>
              <w:spacing w:before="20" w:after="10" w:line="228" w:lineRule="auto"/>
              <w:rPr>
                <w:sz w:val="16"/>
                <w:highlight w:val="green"/>
              </w:rPr>
            </w:pPr>
            <w:r w:rsidRPr="003063D7">
              <w:t>43.6</w:t>
            </w:r>
          </w:p>
        </w:tc>
        <w:tc>
          <w:tcPr>
            <w:tcW w:w="1134" w:type="dxa"/>
            <w:tcBorders>
              <w:top w:val="single" w:sz="4" w:space="0" w:color="auto"/>
              <w:bottom w:val="single" w:sz="4" w:space="0" w:color="A6A6A6" w:themeColor="background1" w:themeShade="A6"/>
            </w:tcBorders>
            <w:noWrap/>
          </w:tcPr>
          <w:p w14:paraId="0ADF07C0" w14:textId="77777777" w:rsidR="005B131E" w:rsidRPr="00BA7805" w:rsidRDefault="005B131E" w:rsidP="002542E1">
            <w:pPr>
              <w:pStyle w:val="ARfintablebodyrightbold"/>
              <w:spacing w:before="20" w:after="10" w:line="228" w:lineRule="auto"/>
              <w:rPr>
                <w:sz w:val="16"/>
                <w:highlight w:val="green"/>
              </w:rPr>
            </w:pPr>
            <w:r w:rsidRPr="003063D7">
              <w:t>145.7</w:t>
            </w:r>
          </w:p>
        </w:tc>
        <w:tc>
          <w:tcPr>
            <w:tcW w:w="1134" w:type="dxa"/>
            <w:tcBorders>
              <w:top w:val="single" w:sz="4" w:space="0" w:color="auto"/>
              <w:bottom w:val="single" w:sz="4" w:space="0" w:color="A6A6A6" w:themeColor="background1" w:themeShade="A6"/>
            </w:tcBorders>
            <w:shd w:val="clear" w:color="auto" w:fill="E7E6E6" w:themeFill="accent4"/>
            <w:noWrap/>
          </w:tcPr>
          <w:p w14:paraId="2938F58B" w14:textId="77777777" w:rsidR="005B131E" w:rsidRPr="00BA7805" w:rsidRDefault="005B131E" w:rsidP="002542E1">
            <w:pPr>
              <w:pStyle w:val="ARfintablebodyrightbold"/>
              <w:spacing w:before="20" w:after="10" w:line="228" w:lineRule="auto"/>
              <w:rPr>
                <w:sz w:val="16"/>
                <w:highlight w:val="green"/>
              </w:rPr>
            </w:pPr>
            <w:r w:rsidRPr="003063D7">
              <w:t>0.1</w:t>
            </w:r>
          </w:p>
        </w:tc>
        <w:tc>
          <w:tcPr>
            <w:tcW w:w="1134" w:type="dxa"/>
            <w:tcBorders>
              <w:top w:val="single" w:sz="4" w:space="0" w:color="auto"/>
              <w:bottom w:val="single" w:sz="4" w:space="0" w:color="A6A6A6" w:themeColor="background1" w:themeShade="A6"/>
            </w:tcBorders>
            <w:noWrap/>
          </w:tcPr>
          <w:p w14:paraId="09309018" w14:textId="77777777" w:rsidR="005B131E" w:rsidRPr="00BA7805" w:rsidRDefault="005B131E" w:rsidP="002542E1">
            <w:pPr>
              <w:pStyle w:val="ARfintablebodyrightbold"/>
              <w:spacing w:before="20" w:after="10" w:line="228" w:lineRule="auto"/>
              <w:rPr>
                <w:sz w:val="16"/>
                <w:highlight w:val="green"/>
              </w:rPr>
            </w:pPr>
            <w:r w:rsidRPr="003063D7">
              <w:t>360.5</w:t>
            </w:r>
          </w:p>
        </w:tc>
      </w:tr>
      <w:tr w:rsidR="005B131E" w:rsidRPr="00BA7805" w14:paraId="5928EF6C" w14:textId="77777777" w:rsidTr="002542E1">
        <w:trPr>
          <w:cantSplit w:val="0"/>
        </w:trPr>
        <w:tc>
          <w:tcPr>
            <w:tcW w:w="2835" w:type="dxa"/>
            <w:tcBorders>
              <w:top w:val="single" w:sz="4" w:space="0" w:color="auto"/>
              <w:bottom w:val="single" w:sz="4" w:space="0" w:color="A6A6A6" w:themeColor="background1" w:themeShade="A6"/>
            </w:tcBorders>
          </w:tcPr>
          <w:p w14:paraId="5CF838FD" w14:textId="77777777" w:rsidR="005B131E" w:rsidRPr="00BA7805" w:rsidRDefault="005B131E" w:rsidP="002542E1">
            <w:pPr>
              <w:pStyle w:val="ARfintablebody"/>
              <w:rPr>
                <w:b/>
                <w:bCs/>
                <w:sz w:val="16"/>
                <w:highlight w:val="green"/>
              </w:rPr>
            </w:pPr>
            <w:r w:rsidRPr="00127913">
              <w:t>Additions</w:t>
            </w:r>
          </w:p>
        </w:tc>
        <w:tc>
          <w:tcPr>
            <w:tcW w:w="1134" w:type="dxa"/>
            <w:tcBorders>
              <w:top w:val="single" w:sz="4" w:space="0" w:color="auto"/>
              <w:bottom w:val="single" w:sz="4" w:space="0" w:color="A6A6A6" w:themeColor="background1" w:themeShade="A6"/>
            </w:tcBorders>
            <w:shd w:val="clear" w:color="auto" w:fill="E7E6E6" w:themeFill="accent4"/>
          </w:tcPr>
          <w:p w14:paraId="39AF33BA" w14:textId="77777777" w:rsidR="005B131E" w:rsidRPr="00BA7805" w:rsidRDefault="005B131E" w:rsidP="002542E1">
            <w:pPr>
              <w:pStyle w:val="ARfintablebodyright"/>
              <w:rPr>
                <w:sz w:val="16"/>
                <w:highlight w:val="green"/>
              </w:rPr>
            </w:pPr>
            <w:r>
              <w:t>–</w:t>
            </w:r>
          </w:p>
        </w:tc>
        <w:tc>
          <w:tcPr>
            <w:tcW w:w="1134" w:type="dxa"/>
            <w:tcBorders>
              <w:top w:val="single" w:sz="4" w:space="0" w:color="auto"/>
              <w:bottom w:val="single" w:sz="4" w:space="0" w:color="A6A6A6" w:themeColor="background1" w:themeShade="A6"/>
            </w:tcBorders>
          </w:tcPr>
          <w:p w14:paraId="11603D0A" w14:textId="77777777" w:rsidR="005B131E" w:rsidRPr="00BA7805" w:rsidRDefault="005B131E" w:rsidP="002542E1">
            <w:pPr>
              <w:pStyle w:val="ARfintablebodyright"/>
              <w:rPr>
                <w:sz w:val="16"/>
                <w:highlight w:val="green"/>
              </w:rPr>
            </w:pPr>
            <w:r>
              <w:t>–</w:t>
            </w:r>
          </w:p>
        </w:tc>
        <w:tc>
          <w:tcPr>
            <w:tcW w:w="1134" w:type="dxa"/>
            <w:tcBorders>
              <w:top w:val="single" w:sz="4" w:space="0" w:color="auto"/>
              <w:bottom w:val="single" w:sz="4" w:space="0" w:color="A6A6A6" w:themeColor="background1" w:themeShade="A6"/>
            </w:tcBorders>
            <w:shd w:val="clear" w:color="auto" w:fill="E7E6E6" w:themeFill="accent4"/>
          </w:tcPr>
          <w:p w14:paraId="341273A3" w14:textId="77777777" w:rsidR="005B131E" w:rsidRPr="00BA7805" w:rsidRDefault="005B131E" w:rsidP="002542E1">
            <w:pPr>
              <w:pStyle w:val="ARfintablebodyright"/>
              <w:rPr>
                <w:sz w:val="16"/>
                <w:highlight w:val="green"/>
              </w:rPr>
            </w:pPr>
            <w:r w:rsidRPr="003063D7">
              <w:t>3.5</w:t>
            </w:r>
          </w:p>
        </w:tc>
        <w:tc>
          <w:tcPr>
            <w:tcW w:w="1134" w:type="dxa"/>
            <w:tcBorders>
              <w:top w:val="single" w:sz="4" w:space="0" w:color="auto"/>
              <w:bottom w:val="single" w:sz="4" w:space="0" w:color="A6A6A6" w:themeColor="background1" w:themeShade="A6"/>
            </w:tcBorders>
            <w:noWrap/>
          </w:tcPr>
          <w:p w14:paraId="42EB073C" w14:textId="77777777" w:rsidR="005B131E" w:rsidRPr="00BA7805" w:rsidRDefault="005B131E" w:rsidP="002542E1">
            <w:pPr>
              <w:pStyle w:val="ARfintablebodyright"/>
              <w:rPr>
                <w:sz w:val="16"/>
                <w:highlight w:val="green"/>
              </w:rPr>
            </w:pPr>
            <w:r>
              <w:t>–</w:t>
            </w:r>
          </w:p>
        </w:tc>
        <w:tc>
          <w:tcPr>
            <w:tcW w:w="1134" w:type="dxa"/>
            <w:tcBorders>
              <w:top w:val="single" w:sz="4" w:space="0" w:color="auto"/>
              <w:bottom w:val="single" w:sz="4" w:space="0" w:color="A6A6A6" w:themeColor="background1" w:themeShade="A6"/>
            </w:tcBorders>
            <w:shd w:val="clear" w:color="auto" w:fill="E7E6E6" w:themeFill="accent4"/>
            <w:noWrap/>
          </w:tcPr>
          <w:p w14:paraId="4D816C87" w14:textId="77777777" w:rsidR="005B131E" w:rsidRPr="00BA7805" w:rsidRDefault="005B131E" w:rsidP="002542E1">
            <w:pPr>
              <w:pStyle w:val="ARfintablebodyright"/>
              <w:rPr>
                <w:sz w:val="16"/>
                <w:highlight w:val="green"/>
              </w:rPr>
            </w:pPr>
            <w:r w:rsidRPr="003063D7">
              <w:t>0.2</w:t>
            </w:r>
          </w:p>
        </w:tc>
        <w:tc>
          <w:tcPr>
            <w:tcW w:w="1134" w:type="dxa"/>
            <w:tcBorders>
              <w:top w:val="single" w:sz="4" w:space="0" w:color="auto"/>
              <w:bottom w:val="single" w:sz="4" w:space="0" w:color="A6A6A6" w:themeColor="background1" w:themeShade="A6"/>
            </w:tcBorders>
            <w:noWrap/>
          </w:tcPr>
          <w:p w14:paraId="792D47D0" w14:textId="77777777" w:rsidR="005B131E" w:rsidRPr="00BA7805" w:rsidRDefault="005B131E" w:rsidP="002542E1">
            <w:pPr>
              <w:pStyle w:val="ARfintablebodyright"/>
              <w:rPr>
                <w:sz w:val="16"/>
                <w:highlight w:val="green"/>
              </w:rPr>
            </w:pPr>
            <w:r w:rsidRPr="003063D7">
              <w:t>3.6</w:t>
            </w:r>
          </w:p>
        </w:tc>
      </w:tr>
      <w:tr w:rsidR="005B131E" w:rsidRPr="00BA7805" w14:paraId="7CED7450"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1275DBA0" w14:textId="77777777" w:rsidR="005B131E" w:rsidRPr="00BA7805" w:rsidRDefault="005B131E" w:rsidP="002542E1">
            <w:pPr>
              <w:pStyle w:val="ARfintablebody"/>
              <w:spacing w:before="20" w:after="10" w:line="228" w:lineRule="auto"/>
              <w:rPr>
                <w:sz w:val="16"/>
                <w:highlight w:val="green"/>
              </w:rPr>
            </w:pPr>
            <w:r w:rsidRPr="00127913">
              <w:t>Capitalisation of work in</w:t>
            </w:r>
            <w:r>
              <w:t> </w:t>
            </w:r>
            <w:r w:rsidRPr="00127913">
              <w:t>progress</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4E775759"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tcPr>
          <w:p w14:paraId="535EE372"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7A487EC0"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4A3392FF" w14:textId="77777777" w:rsidR="005B131E" w:rsidRPr="00BA7805" w:rsidRDefault="005B131E" w:rsidP="002542E1">
            <w:pPr>
              <w:pStyle w:val="ARfintablebodyright"/>
              <w:spacing w:before="20" w:after="10" w:line="228" w:lineRule="auto"/>
              <w:rPr>
                <w:sz w:val="16"/>
                <w:highlight w:val="green"/>
              </w:rPr>
            </w:pPr>
            <w:r w:rsidRPr="003063D7">
              <w:t>1.6</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379B153B"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538A550B" w14:textId="77777777" w:rsidR="005B131E" w:rsidRPr="00BA7805" w:rsidRDefault="005B131E" w:rsidP="002542E1">
            <w:pPr>
              <w:pStyle w:val="ARfintablebodyright"/>
              <w:spacing w:before="20" w:after="10" w:line="228" w:lineRule="auto"/>
              <w:rPr>
                <w:sz w:val="16"/>
                <w:highlight w:val="green"/>
              </w:rPr>
            </w:pPr>
            <w:r w:rsidRPr="003063D7">
              <w:t>1.6</w:t>
            </w:r>
          </w:p>
        </w:tc>
      </w:tr>
      <w:tr w:rsidR="005B131E" w:rsidRPr="00BA7805" w14:paraId="153E6EF6"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3C9421CA" w14:textId="77777777" w:rsidR="005B131E" w:rsidRPr="00BA7805" w:rsidRDefault="005B131E" w:rsidP="002542E1">
            <w:pPr>
              <w:pStyle w:val="ARfintablebody"/>
              <w:spacing w:before="20" w:after="10" w:line="228" w:lineRule="auto"/>
              <w:rPr>
                <w:sz w:val="16"/>
                <w:highlight w:val="green"/>
              </w:rPr>
            </w:pPr>
            <w:r w:rsidRPr="00127913">
              <w:t>Reassessment of lease</w:t>
            </w:r>
            <w:r>
              <w:t> </w:t>
            </w:r>
            <w:r w:rsidRPr="00127913">
              <w:t>payments</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19E11E9F" w14:textId="77777777" w:rsidR="005B131E" w:rsidRPr="00BA7805" w:rsidRDefault="005B131E" w:rsidP="002542E1">
            <w:pPr>
              <w:pStyle w:val="ARfintablebodyright"/>
              <w:spacing w:before="20" w:after="10" w:line="228" w:lineRule="auto"/>
              <w:rPr>
                <w:sz w:val="16"/>
                <w:highlight w:val="green"/>
              </w:rPr>
            </w:pPr>
            <w:r w:rsidRPr="003063D7">
              <w:t>0.8</w:t>
            </w:r>
          </w:p>
        </w:tc>
        <w:tc>
          <w:tcPr>
            <w:tcW w:w="1134" w:type="dxa"/>
            <w:tcBorders>
              <w:top w:val="single" w:sz="4" w:space="0" w:color="A6A6A6" w:themeColor="background1" w:themeShade="A6"/>
              <w:bottom w:val="single" w:sz="4" w:space="0" w:color="A6A6A6" w:themeColor="background1" w:themeShade="A6"/>
            </w:tcBorders>
          </w:tcPr>
          <w:p w14:paraId="6C60843D"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4DBE0721" w14:textId="77777777" w:rsidR="005B131E" w:rsidRPr="00BA7805" w:rsidRDefault="005B131E" w:rsidP="002542E1">
            <w:pPr>
              <w:pStyle w:val="ARfintablebodyright"/>
              <w:spacing w:before="20" w:after="10" w:line="228" w:lineRule="auto"/>
              <w:rPr>
                <w:sz w:val="16"/>
                <w:highlight w:val="green"/>
              </w:rPr>
            </w:pPr>
            <w:r w:rsidRPr="003063D7">
              <w:t>12.3</w:t>
            </w:r>
          </w:p>
        </w:tc>
        <w:tc>
          <w:tcPr>
            <w:tcW w:w="1134" w:type="dxa"/>
            <w:tcBorders>
              <w:top w:val="single" w:sz="4" w:space="0" w:color="A6A6A6" w:themeColor="background1" w:themeShade="A6"/>
              <w:bottom w:val="single" w:sz="4" w:space="0" w:color="A6A6A6" w:themeColor="background1" w:themeShade="A6"/>
            </w:tcBorders>
            <w:noWrap/>
          </w:tcPr>
          <w:p w14:paraId="0E245748"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233513EA"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4649B8AC" w14:textId="77777777" w:rsidR="005B131E" w:rsidRPr="00BA7805" w:rsidRDefault="005B131E" w:rsidP="002542E1">
            <w:pPr>
              <w:pStyle w:val="ARfintablebodyright"/>
              <w:spacing w:before="20" w:after="10" w:line="228" w:lineRule="auto"/>
              <w:rPr>
                <w:sz w:val="16"/>
                <w:highlight w:val="green"/>
              </w:rPr>
            </w:pPr>
            <w:r w:rsidRPr="003063D7">
              <w:t>13.0</w:t>
            </w:r>
          </w:p>
        </w:tc>
      </w:tr>
      <w:tr w:rsidR="005B131E" w:rsidRPr="00BA7805" w14:paraId="3ACA4054"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173389FE" w14:textId="77777777" w:rsidR="005B131E" w:rsidRPr="00BA7805" w:rsidRDefault="005B131E" w:rsidP="002542E1">
            <w:pPr>
              <w:pStyle w:val="ARfintablebody"/>
              <w:spacing w:before="20" w:after="10" w:line="228" w:lineRule="auto"/>
              <w:rPr>
                <w:sz w:val="16"/>
                <w:highlight w:val="green"/>
              </w:rPr>
            </w:pPr>
            <w:r w:rsidRPr="00127913">
              <w:t xml:space="preserve">Increase/(decrease) </w:t>
            </w:r>
            <w:r>
              <w:br/>
            </w:r>
            <w:r w:rsidRPr="00127913">
              <w:t>in</w:t>
            </w:r>
            <w:r>
              <w:t> </w:t>
            </w:r>
            <w:r w:rsidRPr="00127913">
              <w:t>make-good provision</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2F4198B6"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tcPr>
          <w:p w14:paraId="028C43E1"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5A14C655" w14:textId="77777777" w:rsidR="005B131E" w:rsidRPr="00BA7805" w:rsidRDefault="005B131E" w:rsidP="002542E1">
            <w:pPr>
              <w:pStyle w:val="ARfintablebodyright"/>
              <w:spacing w:before="20" w:after="10" w:line="228" w:lineRule="auto"/>
              <w:rPr>
                <w:sz w:val="16"/>
                <w:highlight w:val="green"/>
              </w:rPr>
            </w:pPr>
            <w:r w:rsidRPr="003063D7">
              <w:t>1.2</w:t>
            </w:r>
          </w:p>
        </w:tc>
        <w:tc>
          <w:tcPr>
            <w:tcW w:w="1134" w:type="dxa"/>
            <w:tcBorders>
              <w:top w:val="single" w:sz="4" w:space="0" w:color="A6A6A6" w:themeColor="background1" w:themeShade="A6"/>
              <w:bottom w:val="single" w:sz="4" w:space="0" w:color="A6A6A6" w:themeColor="background1" w:themeShade="A6"/>
            </w:tcBorders>
            <w:noWrap/>
          </w:tcPr>
          <w:p w14:paraId="6A09A28A"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0EAD7C0D"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307CB220" w14:textId="77777777" w:rsidR="005B131E" w:rsidRPr="00BA7805" w:rsidRDefault="005B131E" w:rsidP="002542E1">
            <w:pPr>
              <w:pStyle w:val="ARfintablebodyright"/>
              <w:spacing w:before="20" w:after="10" w:line="228" w:lineRule="auto"/>
              <w:rPr>
                <w:sz w:val="16"/>
                <w:highlight w:val="green"/>
              </w:rPr>
            </w:pPr>
            <w:r w:rsidRPr="003063D7">
              <w:t>1.2</w:t>
            </w:r>
          </w:p>
        </w:tc>
      </w:tr>
      <w:tr w:rsidR="005B131E" w:rsidRPr="00BA7805" w14:paraId="77DCE9CF"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7C12B406" w14:textId="77777777" w:rsidR="005B131E" w:rsidRPr="00BA7805" w:rsidRDefault="005B131E" w:rsidP="002542E1">
            <w:pPr>
              <w:pStyle w:val="ARfintablebody"/>
              <w:spacing w:before="20" w:after="10" w:line="228" w:lineRule="auto"/>
              <w:rPr>
                <w:sz w:val="16"/>
                <w:highlight w:val="green"/>
              </w:rPr>
            </w:pPr>
            <w:r w:rsidRPr="00127913">
              <w:t>Disposals</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74913E64"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tcPr>
          <w:p w14:paraId="0313780B"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1CF0FF43" w14:textId="77777777" w:rsidR="005B131E" w:rsidRPr="00BA7805" w:rsidRDefault="005B131E" w:rsidP="002542E1">
            <w:pPr>
              <w:pStyle w:val="ARfintablebodyright"/>
              <w:spacing w:before="20" w:after="10" w:line="228" w:lineRule="auto"/>
              <w:rPr>
                <w:sz w:val="16"/>
                <w:highlight w:val="green"/>
              </w:rPr>
            </w:pPr>
            <w:r w:rsidRPr="003063D7">
              <w:t>(3.5)</w:t>
            </w:r>
          </w:p>
        </w:tc>
        <w:tc>
          <w:tcPr>
            <w:tcW w:w="1134" w:type="dxa"/>
            <w:tcBorders>
              <w:top w:val="single" w:sz="4" w:space="0" w:color="A6A6A6" w:themeColor="background1" w:themeShade="A6"/>
              <w:bottom w:val="single" w:sz="4" w:space="0" w:color="A6A6A6" w:themeColor="background1" w:themeShade="A6"/>
            </w:tcBorders>
            <w:noWrap/>
          </w:tcPr>
          <w:p w14:paraId="647D68D5" w14:textId="77777777" w:rsidR="005B131E" w:rsidRPr="00BA7805" w:rsidRDefault="005B131E" w:rsidP="002542E1">
            <w:pPr>
              <w:pStyle w:val="ARfintablebodyright"/>
              <w:spacing w:before="20" w:after="10" w:line="228" w:lineRule="auto"/>
              <w:rPr>
                <w:sz w:val="16"/>
                <w:highlight w:val="green"/>
              </w:rPr>
            </w:pPr>
            <w:r w:rsidRPr="003063D7">
              <w:t>0.1</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3A2BACC3"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388F9892" w14:textId="77777777" w:rsidR="005B131E" w:rsidRPr="00BA7805" w:rsidRDefault="005B131E" w:rsidP="002542E1">
            <w:pPr>
              <w:pStyle w:val="ARfintablebodyright"/>
              <w:spacing w:before="20" w:after="10" w:line="228" w:lineRule="auto"/>
              <w:rPr>
                <w:sz w:val="16"/>
                <w:highlight w:val="green"/>
              </w:rPr>
            </w:pPr>
            <w:r w:rsidRPr="003063D7">
              <w:t>(3.4)</w:t>
            </w:r>
          </w:p>
        </w:tc>
      </w:tr>
      <w:tr w:rsidR="005B131E" w:rsidRPr="00BA7805" w14:paraId="2BB8C174"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7102A30E" w14:textId="77777777" w:rsidR="005B131E" w:rsidRPr="00BA7805" w:rsidRDefault="005B131E" w:rsidP="002542E1">
            <w:pPr>
              <w:pStyle w:val="ARfintablebody"/>
              <w:spacing w:before="20" w:after="10" w:line="228" w:lineRule="auto"/>
              <w:rPr>
                <w:sz w:val="16"/>
                <w:highlight w:val="green"/>
              </w:rPr>
            </w:pPr>
            <w:r w:rsidRPr="00127913">
              <w:t>Transfers in/(out) of Level 3</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0D364FD8"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tcPr>
          <w:p w14:paraId="77A1B967"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12529D81"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067125B9"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3DC0E51A"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noWrap/>
          </w:tcPr>
          <w:p w14:paraId="2C21E772" w14:textId="77777777" w:rsidR="005B131E" w:rsidRPr="00BA7805" w:rsidRDefault="005B131E" w:rsidP="002542E1">
            <w:pPr>
              <w:pStyle w:val="ARfintablebodyright"/>
              <w:spacing w:before="20" w:after="10" w:line="228" w:lineRule="auto"/>
              <w:rPr>
                <w:sz w:val="16"/>
                <w:highlight w:val="green"/>
              </w:rPr>
            </w:pPr>
            <w:r>
              <w:t>–</w:t>
            </w:r>
          </w:p>
        </w:tc>
      </w:tr>
      <w:tr w:rsidR="005B131E" w:rsidRPr="00BA7805" w14:paraId="298DFD1A" w14:textId="77777777">
        <w:trPr>
          <w:cantSplit w:val="0"/>
        </w:trPr>
        <w:tc>
          <w:tcPr>
            <w:tcW w:w="9639" w:type="dxa"/>
            <w:gridSpan w:val="7"/>
            <w:tcBorders>
              <w:top w:val="single" w:sz="4" w:space="0" w:color="A6A6A6" w:themeColor="background1" w:themeShade="A6"/>
              <w:bottom w:val="single" w:sz="4" w:space="0" w:color="A6A6A6" w:themeColor="background1" w:themeShade="A6"/>
            </w:tcBorders>
          </w:tcPr>
          <w:p w14:paraId="69E24C17" w14:textId="77777777" w:rsidR="005B131E" w:rsidRPr="000D0E02" w:rsidRDefault="005B131E" w:rsidP="002542E1">
            <w:pPr>
              <w:pStyle w:val="ARfintablebodybold"/>
              <w:rPr>
                <w:sz w:val="16"/>
              </w:rPr>
            </w:pPr>
            <w:r w:rsidRPr="000D0E02">
              <w:t>Gains or losses recognised in net result</w:t>
            </w:r>
          </w:p>
        </w:tc>
      </w:tr>
      <w:tr w:rsidR="005B131E" w:rsidRPr="00BA7805" w14:paraId="20D46D77" w14:textId="77777777" w:rsidTr="002542E1">
        <w:trPr>
          <w:cantSplit w:val="0"/>
        </w:trPr>
        <w:tc>
          <w:tcPr>
            <w:tcW w:w="2835" w:type="dxa"/>
            <w:tcBorders>
              <w:top w:val="single" w:sz="4" w:space="0" w:color="A6A6A6" w:themeColor="background1" w:themeShade="A6"/>
              <w:bottom w:val="single" w:sz="4" w:space="0" w:color="A6A6A6" w:themeColor="background1" w:themeShade="A6"/>
            </w:tcBorders>
          </w:tcPr>
          <w:p w14:paraId="473393C1" w14:textId="77777777" w:rsidR="005B131E" w:rsidRPr="00BA7805" w:rsidRDefault="005B131E" w:rsidP="002542E1">
            <w:pPr>
              <w:pStyle w:val="ARfintablebody"/>
              <w:spacing w:before="20" w:after="10" w:line="228" w:lineRule="auto"/>
              <w:rPr>
                <w:sz w:val="16"/>
                <w:highlight w:val="green"/>
              </w:rPr>
            </w:pPr>
            <w:r w:rsidRPr="00127913">
              <w:t>Depreciation</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20B82DA1" w14:textId="77777777" w:rsidR="005B131E" w:rsidRPr="00BA7805" w:rsidRDefault="005B131E" w:rsidP="002542E1">
            <w:pPr>
              <w:pStyle w:val="ARfintablebodyright"/>
              <w:spacing w:before="20" w:after="10" w:line="228" w:lineRule="auto"/>
              <w:rPr>
                <w:sz w:val="16"/>
                <w:highlight w:val="green"/>
              </w:rPr>
            </w:pPr>
            <w:r w:rsidRPr="003063D7">
              <w:t>(0.9)</w:t>
            </w:r>
          </w:p>
        </w:tc>
        <w:tc>
          <w:tcPr>
            <w:tcW w:w="1134" w:type="dxa"/>
            <w:tcBorders>
              <w:top w:val="single" w:sz="4" w:space="0" w:color="A6A6A6" w:themeColor="background1" w:themeShade="A6"/>
              <w:bottom w:val="single" w:sz="4" w:space="0" w:color="A6A6A6" w:themeColor="background1" w:themeShade="A6"/>
            </w:tcBorders>
          </w:tcPr>
          <w:p w14:paraId="54BB3D26"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tcPr>
          <w:p w14:paraId="2E25B578" w14:textId="77777777" w:rsidR="005B131E" w:rsidRPr="00BA7805" w:rsidRDefault="005B131E" w:rsidP="002542E1">
            <w:pPr>
              <w:pStyle w:val="ARfintablebodyright"/>
              <w:spacing w:before="20" w:after="10" w:line="228" w:lineRule="auto"/>
              <w:rPr>
                <w:sz w:val="16"/>
                <w:highlight w:val="green"/>
              </w:rPr>
            </w:pPr>
            <w:r w:rsidRPr="003063D7">
              <w:t>(21.9)</w:t>
            </w:r>
          </w:p>
        </w:tc>
        <w:tc>
          <w:tcPr>
            <w:tcW w:w="1134" w:type="dxa"/>
            <w:tcBorders>
              <w:top w:val="single" w:sz="4" w:space="0" w:color="A6A6A6" w:themeColor="background1" w:themeShade="A6"/>
              <w:bottom w:val="single" w:sz="4" w:space="0" w:color="A6A6A6" w:themeColor="background1" w:themeShade="A6"/>
            </w:tcBorders>
            <w:noWrap/>
          </w:tcPr>
          <w:p w14:paraId="77AF8E30" w14:textId="77777777" w:rsidR="005B131E" w:rsidRPr="00BA7805" w:rsidRDefault="005B131E" w:rsidP="002542E1">
            <w:pPr>
              <w:pStyle w:val="ARfintablebodyright"/>
              <w:spacing w:before="20" w:after="10" w:line="228" w:lineRule="auto"/>
              <w:rPr>
                <w:sz w:val="16"/>
                <w:highlight w:val="green"/>
              </w:rPr>
            </w:pPr>
            <w:r w:rsidRPr="003063D7">
              <w:t>(10.8)</w:t>
            </w:r>
          </w:p>
        </w:tc>
        <w:tc>
          <w:tcPr>
            <w:tcW w:w="1134" w:type="dxa"/>
            <w:tcBorders>
              <w:top w:val="single" w:sz="4" w:space="0" w:color="A6A6A6" w:themeColor="background1" w:themeShade="A6"/>
              <w:bottom w:val="single" w:sz="4" w:space="0" w:color="A6A6A6" w:themeColor="background1" w:themeShade="A6"/>
            </w:tcBorders>
            <w:shd w:val="clear" w:color="auto" w:fill="E7E6E6" w:themeFill="accent4"/>
            <w:noWrap/>
          </w:tcPr>
          <w:p w14:paraId="24EEC039" w14:textId="77777777" w:rsidR="005B131E" w:rsidRPr="00BA7805" w:rsidRDefault="005B131E" w:rsidP="002542E1">
            <w:pPr>
              <w:pStyle w:val="ARfintablebodyright"/>
              <w:spacing w:before="20" w:after="10" w:line="228" w:lineRule="auto"/>
              <w:rPr>
                <w:sz w:val="16"/>
                <w:highlight w:val="green"/>
              </w:rPr>
            </w:pPr>
            <w:r w:rsidRPr="003063D7">
              <w:t>(0.1)</w:t>
            </w:r>
          </w:p>
        </w:tc>
        <w:tc>
          <w:tcPr>
            <w:tcW w:w="1134" w:type="dxa"/>
            <w:tcBorders>
              <w:top w:val="single" w:sz="4" w:space="0" w:color="A6A6A6" w:themeColor="background1" w:themeShade="A6"/>
              <w:bottom w:val="single" w:sz="4" w:space="0" w:color="A6A6A6" w:themeColor="background1" w:themeShade="A6"/>
            </w:tcBorders>
            <w:noWrap/>
          </w:tcPr>
          <w:p w14:paraId="76511D0D" w14:textId="77777777" w:rsidR="005B131E" w:rsidRPr="00BA7805" w:rsidRDefault="005B131E" w:rsidP="002542E1">
            <w:pPr>
              <w:pStyle w:val="ARfintablebodyright"/>
              <w:spacing w:before="20" w:after="10" w:line="228" w:lineRule="auto"/>
              <w:rPr>
                <w:sz w:val="16"/>
                <w:highlight w:val="green"/>
              </w:rPr>
            </w:pPr>
            <w:r w:rsidRPr="003063D7">
              <w:t>(33.8)</w:t>
            </w:r>
          </w:p>
        </w:tc>
      </w:tr>
      <w:tr w:rsidR="005B131E" w:rsidRPr="00BA7805" w14:paraId="63589EDB" w14:textId="77777777" w:rsidTr="002542E1">
        <w:trPr>
          <w:cantSplit w:val="0"/>
        </w:trPr>
        <w:tc>
          <w:tcPr>
            <w:tcW w:w="2835" w:type="dxa"/>
            <w:tcBorders>
              <w:bottom w:val="single" w:sz="4" w:space="0" w:color="auto"/>
            </w:tcBorders>
          </w:tcPr>
          <w:p w14:paraId="10783DE2" w14:textId="77777777" w:rsidR="005B131E" w:rsidRPr="00BA7805" w:rsidRDefault="005B131E" w:rsidP="002542E1">
            <w:pPr>
              <w:pStyle w:val="ARfintablebodybold"/>
              <w:spacing w:before="20" w:after="10" w:line="228" w:lineRule="auto"/>
              <w:rPr>
                <w:sz w:val="16"/>
                <w:highlight w:val="green"/>
              </w:rPr>
            </w:pPr>
            <w:r w:rsidRPr="00127913">
              <w:t>Subtotal of gains or losses recognised in net result</w:t>
            </w:r>
          </w:p>
        </w:tc>
        <w:tc>
          <w:tcPr>
            <w:tcW w:w="1134" w:type="dxa"/>
            <w:tcBorders>
              <w:bottom w:val="single" w:sz="4" w:space="0" w:color="auto"/>
            </w:tcBorders>
            <w:shd w:val="clear" w:color="auto" w:fill="E7E6E6" w:themeFill="accent4"/>
          </w:tcPr>
          <w:p w14:paraId="6FEABDCC" w14:textId="77777777" w:rsidR="005B131E" w:rsidRPr="00BA7805" w:rsidRDefault="005B131E" w:rsidP="002542E1">
            <w:pPr>
              <w:pStyle w:val="ARfintablebodyrightbold"/>
              <w:spacing w:before="20" w:after="10" w:line="228" w:lineRule="auto"/>
              <w:rPr>
                <w:sz w:val="16"/>
                <w:highlight w:val="green"/>
              </w:rPr>
            </w:pPr>
            <w:r w:rsidRPr="003063D7">
              <w:t>(0.9)</w:t>
            </w:r>
          </w:p>
        </w:tc>
        <w:tc>
          <w:tcPr>
            <w:tcW w:w="1134" w:type="dxa"/>
            <w:tcBorders>
              <w:bottom w:val="single" w:sz="4" w:space="0" w:color="auto"/>
            </w:tcBorders>
          </w:tcPr>
          <w:p w14:paraId="1B802BE1" w14:textId="77777777" w:rsidR="005B131E" w:rsidRPr="00BA7805" w:rsidRDefault="005B131E" w:rsidP="002542E1">
            <w:pPr>
              <w:pStyle w:val="ARfintablebodyrightbold"/>
              <w:spacing w:before="20" w:after="10" w:line="228" w:lineRule="auto"/>
              <w:rPr>
                <w:sz w:val="16"/>
                <w:highlight w:val="green"/>
              </w:rPr>
            </w:pPr>
            <w:r>
              <w:t>–</w:t>
            </w:r>
          </w:p>
        </w:tc>
        <w:tc>
          <w:tcPr>
            <w:tcW w:w="1134" w:type="dxa"/>
            <w:tcBorders>
              <w:bottom w:val="single" w:sz="4" w:space="0" w:color="auto"/>
            </w:tcBorders>
            <w:shd w:val="clear" w:color="auto" w:fill="E7E6E6" w:themeFill="accent4"/>
          </w:tcPr>
          <w:p w14:paraId="1F201874" w14:textId="77777777" w:rsidR="005B131E" w:rsidRPr="00BA7805" w:rsidRDefault="005B131E" w:rsidP="002542E1">
            <w:pPr>
              <w:pStyle w:val="ARfintablebodyrightbold"/>
              <w:spacing w:before="20" w:after="10" w:line="228" w:lineRule="auto"/>
              <w:rPr>
                <w:sz w:val="16"/>
                <w:highlight w:val="green"/>
              </w:rPr>
            </w:pPr>
            <w:r w:rsidRPr="003063D7">
              <w:t>(21.9)</w:t>
            </w:r>
          </w:p>
        </w:tc>
        <w:tc>
          <w:tcPr>
            <w:tcW w:w="1134" w:type="dxa"/>
            <w:tcBorders>
              <w:bottom w:val="single" w:sz="4" w:space="0" w:color="auto"/>
            </w:tcBorders>
            <w:noWrap/>
          </w:tcPr>
          <w:p w14:paraId="2D56D915" w14:textId="77777777" w:rsidR="005B131E" w:rsidRPr="00BA7805" w:rsidRDefault="005B131E" w:rsidP="002542E1">
            <w:pPr>
              <w:pStyle w:val="ARfintablebodyrightbold"/>
              <w:spacing w:before="20" w:after="10" w:line="228" w:lineRule="auto"/>
              <w:rPr>
                <w:sz w:val="16"/>
                <w:highlight w:val="green"/>
              </w:rPr>
            </w:pPr>
            <w:r w:rsidRPr="003063D7">
              <w:t>(10.8)</w:t>
            </w:r>
          </w:p>
        </w:tc>
        <w:tc>
          <w:tcPr>
            <w:tcW w:w="1134" w:type="dxa"/>
            <w:tcBorders>
              <w:bottom w:val="single" w:sz="4" w:space="0" w:color="auto"/>
            </w:tcBorders>
            <w:shd w:val="clear" w:color="auto" w:fill="E7E6E6" w:themeFill="accent4"/>
            <w:noWrap/>
          </w:tcPr>
          <w:p w14:paraId="77D2C448" w14:textId="77777777" w:rsidR="005B131E" w:rsidRPr="00BA7805" w:rsidRDefault="005B131E" w:rsidP="002542E1">
            <w:pPr>
              <w:pStyle w:val="ARfintablebodyrightbold"/>
              <w:spacing w:before="20" w:after="10" w:line="228" w:lineRule="auto"/>
              <w:rPr>
                <w:sz w:val="16"/>
                <w:highlight w:val="green"/>
              </w:rPr>
            </w:pPr>
            <w:r w:rsidRPr="003063D7">
              <w:t>(0.1)</w:t>
            </w:r>
          </w:p>
        </w:tc>
        <w:tc>
          <w:tcPr>
            <w:tcW w:w="1134" w:type="dxa"/>
            <w:tcBorders>
              <w:bottom w:val="single" w:sz="4" w:space="0" w:color="auto"/>
            </w:tcBorders>
            <w:noWrap/>
          </w:tcPr>
          <w:p w14:paraId="6BC0ED33" w14:textId="77777777" w:rsidR="005B131E" w:rsidRPr="00BA7805" w:rsidRDefault="005B131E" w:rsidP="002542E1">
            <w:pPr>
              <w:pStyle w:val="ARfintablebodyrightbold"/>
              <w:spacing w:before="20" w:after="10" w:line="228" w:lineRule="auto"/>
              <w:rPr>
                <w:sz w:val="16"/>
                <w:highlight w:val="green"/>
              </w:rPr>
            </w:pPr>
            <w:r w:rsidRPr="003063D7">
              <w:t>(33.7)</w:t>
            </w:r>
          </w:p>
        </w:tc>
      </w:tr>
      <w:tr w:rsidR="005B131E" w:rsidRPr="00BA7805" w14:paraId="16CA089E" w14:textId="77777777" w:rsidTr="002542E1">
        <w:trPr>
          <w:cantSplit w:val="0"/>
        </w:trPr>
        <w:tc>
          <w:tcPr>
            <w:tcW w:w="9639" w:type="dxa"/>
            <w:gridSpan w:val="7"/>
            <w:tcBorders>
              <w:top w:val="single" w:sz="4" w:space="0" w:color="auto"/>
              <w:bottom w:val="single" w:sz="4" w:space="0" w:color="A6A6A6"/>
            </w:tcBorders>
            <w:shd w:val="clear" w:color="auto" w:fill="auto"/>
          </w:tcPr>
          <w:p w14:paraId="59D335F6" w14:textId="77777777" w:rsidR="005B131E" w:rsidRPr="00BA7805" w:rsidRDefault="005B131E" w:rsidP="002542E1">
            <w:pPr>
              <w:pStyle w:val="ARfintablebodybold"/>
              <w:rPr>
                <w:sz w:val="16"/>
                <w:highlight w:val="green"/>
              </w:rPr>
            </w:pPr>
            <w:r w:rsidRPr="00127913">
              <w:t xml:space="preserve">Gains or losses recognised in other economic flows </w:t>
            </w:r>
            <w:r>
              <w:t>–</w:t>
            </w:r>
            <w:r w:rsidRPr="00127913">
              <w:t xml:space="preserve"> other comprehensive income</w:t>
            </w:r>
          </w:p>
        </w:tc>
      </w:tr>
      <w:tr w:rsidR="005B131E" w:rsidRPr="00BA7805" w14:paraId="3FFACBF6" w14:textId="77777777" w:rsidTr="002542E1">
        <w:trPr>
          <w:cantSplit w:val="0"/>
        </w:trPr>
        <w:tc>
          <w:tcPr>
            <w:tcW w:w="2835" w:type="dxa"/>
            <w:tcBorders>
              <w:top w:val="single" w:sz="4" w:space="0" w:color="A6A6A6"/>
            </w:tcBorders>
          </w:tcPr>
          <w:p w14:paraId="5FB95E9A" w14:textId="77777777" w:rsidR="005B131E" w:rsidRPr="00BA7805" w:rsidRDefault="005B131E" w:rsidP="002542E1">
            <w:pPr>
              <w:pStyle w:val="ARfintablebody"/>
              <w:spacing w:before="20" w:after="10" w:line="228" w:lineRule="auto"/>
              <w:rPr>
                <w:sz w:val="16"/>
                <w:highlight w:val="green"/>
              </w:rPr>
            </w:pPr>
            <w:r w:rsidRPr="00127913">
              <w:t>Net revaluation increments/(decrements)</w:t>
            </w:r>
          </w:p>
        </w:tc>
        <w:tc>
          <w:tcPr>
            <w:tcW w:w="1134" w:type="dxa"/>
            <w:tcBorders>
              <w:top w:val="single" w:sz="4" w:space="0" w:color="A6A6A6"/>
            </w:tcBorders>
            <w:shd w:val="clear" w:color="auto" w:fill="E7E6E6" w:themeFill="accent4"/>
          </w:tcPr>
          <w:p w14:paraId="656F258A"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cBorders>
          </w:tcPr>
          <w:p w14:paraId="7400190A" w14:textId="77777777" w:rsidR="005B131E" w:rsidRPr="00BA7805" w:rsidRDefault="005B131E" w:rsidP="002542E1">
            <w:pPr>
              <w:pStyle w:val="ARfintablebodyright"/>
              <w:spacing w:before="20" w:after="10" w:line="228" w:lineRule="auto"/>
              <w:rPr>
                <w:sz w:val="16"/>
                <w:highlight w:val="green"/>
              </w:rPr>
            </w:pPr>
            <w:r w:rsidRPr="00825DBC">
              <w:t>0.6</w:t>
            </w:r>
          </w:p>
        </w:tc>
        <w:tc>
          <w:tcPr>
            <w:tcW w:w="1134" w:type="dxa"/>
            <w:tcBorders>
              <w:top w:val="single" w:sz="4" w:space="0" w:color="A6A6A6"/>
            </w:tcBorders>
            <w:shd w:val="clear" w:color="auto" w:fill="E7E6E6" w:themeFill="accent4"/>
          </w:tcPr>
          <w:p w14:paraId="42CD82C7"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cBorders>
            <w:noWrap/>
          </w:tcPr>
          <w:p w14:paraId="611EE6BB" w14:textId="77777777" w:rsidR="005B131E" w:rsidRPr="00BA7805" w:rsidRDefault="005B131E" w:rsidP="002542E1">
            <w:pPr>
              <w:pStyle w:val="ARfintablebodyright"/>
              <w:spacing w:before="20" w:after="10" w:line="228" w:lineRule="auto"/>
              <w:rPr>
                <w:sz w:val="16"/>
                <w:highlight w:val="green"/>
              </w:rPr>
            </w:pPr>
            <w:r w:rsidRPr="00825DBC">
              <w:t>(2.0)</w:t>
            </w:r>
          </w:p>
        </w:tc>
        <w:tc>
          <w:tcPr>
            <w:tcW w:w="1134" w:type="dxa"/>
            <w:tcBorders>
              <w:top w:val="single" w:sz="4" w:space="0" w:color="A6A6A6"/>
            </w:tcBorders>
            <w:shd w:val="clear" w:color="auto" w:fill="E7E6E6" w:themeFill="accent4"/>
            <w:noWrap/>
          </w:tcPr>
          <w:p w14:paraId="798676FC" w14:textId="77777777" w:rsidR="005B131E" w:rsidRPr="00BA7805" w:rsidRDefault="005B131E" w:rsidP="002542E1">
            <w:pPr>
              <w:pStyle w:val="ARfintablebodyright"/>
              <w:spacing w:before="20" w:after="10" w:line="228" w:lineRule="auto"/>
              <w:rPr>
                <w:sz w:val="16"/>
                <w:highlight w:val="green"/>
              </w:rPr>
            </w:pPr>
            <w:r>
              <w:t>–</w:t>
            </w:r>
          </w:p>
        </w:tc>
        <w:tc>
          <w:tcPr>
            <w:tcW w:w="1134" w:type="dxa"/>
            <w:tcBorders>
              <w:top w:val="single" w:sz="4" w:space="0" w:color="A6A6A6"/>
            </w:tcBorders>
            <w:noWrap/>
          </w:tcPr>
          <w:p w14:paraId="368FA6B2" w14:textId="77777777" w:rsidR="005B131E" w:rsidRPr="00BA7805" w:rsidRDefault="005B131E" w:rsidP="002542E1">
            <w:pPr>
              <w:pStyle w:val="ARfintablebodyright"/>
              <w:spacing w:before="20" w:after="10" w:line="228" w:lineRule="auto"/>
              <w:rPr>
                <w:sz w:val="16"/>
                <w:highlight w:val="green"/>
              </w:rPr>
            </w:pPr>
            <w:r w:rsidRPr="00825DBC">
              <w:t>(1.4)</w:t>
            </w:r>
          </w:p>
        </w:tc>
      </w:tr>
      <w:tr w:rsidR="005B131E" w:rsidRPr="00BA7805" w14:paraId="7491EC99" w14:textId="77777777" w:rsidTr="002542E1">
        <w:trPr>
          <w:cantSplit w:val="0"/>
        </w:trPr>
        <w:tc>
          <w:tcPr>
            <w:tcW w:w="2835" w:type="dxa"/>
          </w:tcPr>
          <w:p w14:paraId="136F7948" w14:textId="77777777" w:rsidR="005B131E" w:rsidRPr="00BA7805" w:rsidRDefault="005B131E" w:rsidP="002542E1">
            <w:pPr>
              <w:pStyle w:val="ARfintablebodybold"/>
              <w:spacing w:before="20" w:after="10" w:line="228" w:lineRule="auto"/>
              <w:rPr>
                <w:sz w:val="16"/>
                <w:highlight w:val="green"/>
              </w:rPr>
            </w:pPr>
            <w:r w:rsidRPr="00127913">
              <w:t>Subtotal of gains or losses recognised in other economic</w:t>
            </w:r>
            <w:r>
              <w:t> </w:t>
            </w:r>
            <w:r w:rsidRPr="00127913">
              <w:t>flows</w:t>
            </w:r>
          </w:p>
        </w:tc>
        <w:tc>
          <w:tcPr>
            <w:tcW w:w="1134" w:type="dxa"/>
            <w:shd w:val="clear" w:color="auto" w:fill="E7E6E6" w:themeFill="accent4"/>
          </w:tcPr>
          <w:p w14:paraId="368C7BA0" w14:textId="77777777" w:rsidR="005B131E" w:rsidRPr="00BA7805" w:rsidRDefault="005B131E" w:rsidP="002542E1">
            <w:pPr>
              <w:pStyle w:val="ARfintablebodyrightbold"/>
              <w:spacing w:before="20" w:after="10" w:line="228" w:lineRule="auto"/>
              <w:rPr>
                <w:sz w:val="16"/>
                <w:highlight w:val="green"/>
              </w:rPr>
            </w:pPr>
            <w:r>
              <w:t>–</w:t>
            </w:r>
          </w:p>
        </w:tc>
        <w:tc>
          <w:tcPr>
            <w:tcW w:w="1134" w:type="dxa"/>
          </w:tcPr>
          <w:p w14:paraId="466F7301" w14:textId="77777777" w:rsidR="005B131E" w:rsidRPr="00BA7805" w:rsidRDefault="005B131E" w:rsidP="002542E1">
            <w:pPr>
              <w:pStyle w:val="ARfintablebodyrightbold"/>
              <w:spacing w:before="20" w:after="10" w:line="228" w:lineRule="auto"/>
              <w:rPr>
                <w:sz w:val="16"/>
                <w:highlight w:val="green"/>
              </w:rPr>
            </w:pPr>
            <w:r w:rsidRPr="00825DBC">
              <w:t>0.6</w:t>
            </w:r>
          </w:p>
        </w:tc>
        <w:tc>
          <w:tcPr>
            <w:tcW w:w="1134" w:type="dxa"/>
            <w:shd w:val="clear" w:color="auto" w:fill="E7E6E6" w:themeFill="accent4"/>
          </w:tcPr>
          <w:p w14:paraId="3C9BCAF3" w14:textId="77777777" w:rsidR="005B131E" w:rsidRPr="00BA7805" w:rsidRDefault="005B131E" w:rsidP="002542E1">
            <w:pPr>
              <w:pStyle w:val="ARfintablebodyrightbold"/>
              <w:spacing w:before="20" w:after="10" w:line="228" w:lineRule="auto"/>
              <w:rPr>
                <w:sz w:val="16"/>
                <w:highlight w:val="green"/>
              </w:rPr>
            </w:pPr>
            <w:r>
              <w:t>–</w:t>
            </w:r>
          </w:p>
        </w:tc>
        <w:tc>
          <w:tcPr>
            <w:tcW w:w="1134" w:type="dxa"/>
            <w:noWrap/>
          </w:tcPr>
          <w:p w14:paraId="3FC5A119" w14:textId="77777777" w:rsidR="005B131E" w:rsidRPr="00BA7805" w:rsidRDefault="005B131E" w:rsidP="002542E1">
            <w:pPr>
              <w:pStyle w:val="ARfintablebodyrightbold"/>
              <w:spacing w:before="20" w:after="10" w:line="228" w:lineRule="auto"/>
              <w:rPr>
                <w:sz w:val="16"/>
                <w:highlight w:val="green"/>
              </w:rPr>
            </w:pPr>
            <w:r w:rsidRPr="00825DBC">
              <w:t>(2.0)</w:t>
            </w:r>
          </w:p>
        </w:tc>
        <w:tc>
          <w:tcPr>
            <w:tcW w:w="1134" w:type="dxa"/>
            <w:shd w:val="clear" w:color="auto" w:fill="E7E6E6" w:themeFill="accent4"/>
            <w:noWrap/>
          </w:tcPr>
          <w:p w14:paraId="1BC2073D" w14:textId="77777777" w:rsidR="005B131E" w:rsidRPr="00BA7805" w:rsidRDefault="005B131E" w:rsidP="002542E1">
            <w:pPr>
              <w:pStyle w:val="ARfintablebodyrightbold"/>
              <w:spacing w:before="20" w:after="10" w:line="228" w:lineRule="auto"/>
              <w:rPr>
                <w:sz w:val="16"/>
                <w:highlight w:val="green"/>
              </w:rPr>
            </w:pPr>
            <w:r>
              <w:t>–</w:t>
            </w:r>
          </w:p>
        </w:tc>
        <w:tc>
          <w:tcPr>
            <w:tcW w:w="1134" w:type="dxa"/>
            <w:noWrap/>
          </w:tcPr>
          <w:p w14:paraId="7D9C69C0" w14:textId="77777777" w:rsidR="005B131E" w:rsidRPr="00BA7805" w:rsidRDefault="005B131E" w:rsidP="002542E1">
            <w:pPr>
              <w:pStyle w:val="ARfintablebodyrightbold"/>
              <w:spacing w:before="20" w:after="10" w:line="228" w:lineRule="auto"/>
              <w:rPr>
                <w:sz w:val="16"/>
                <w:highlight w:val="green"/>
              </w:rPr>
            </w:pPr>
            <w:r w:rsidRPr="00825DBC">
              <w:t>(1.4)</w:t>
            </w:r>
          </w:p>
        </w:tc>
      </w:tr>
      <w:tr w:rsidR="005B131E" w:rsidRPr="00BA7805" w14:paraId="75019481" w14:textId="77777777" w:rsidTr="002542E1">
        <w:trPr>
          <w:cantSplit w:val="0"/>
        </w:trPr>
        <w:tc>
          <w:tcPr>
            <w:tcW w:w="2835" w:type="dxa"/>
          </w:tcPr>
          <w:p w14:paraId="1D2EA18B" w14:textId="77777777" w:rsidR="005B131E" w:rsidRPr="00BA7805" w:rsidRDefault="005B131E" w:rsidP="002542E1">
            <w:pPr>
              <w:pStyle w:val="ARfintablebodybold"/>
              <w:spacing w:before="20" w:after="10" w:line="228" w:lineRule="auto"/>
              <w:rPr>
                <w:sz w:val="16"/>
                <w:highlight w:val="green"/>
              </w:rPr>
            </w:pPr>
            <w:r w:rsidRPr="00127913">
              <w:t>Closing balance</w:t>
            </w:r>
          </w:p>
        </w:tc>
        <w:tc>
          <w:tcPr>
            <w:tcW w:w="1134" w:type="dxa"/>
            <w:shd w:val="clear" w:color="auto" w:fill="E7E6E6" w:themeFill="accent4"/>
          </w:tcPr>
          <w:p w14:paraId="20F823FF" w14:textId="77777777" w:rsidR="005B131E" w:rsidRPr="00BA7805" w:rsidRDefault="005B131E" w:rsidP="002542E1">
            <w:pPr>
              <w:pStyle w:val="ARfintablebodyrightbold"/>
              <w:spacing w:before="20" w:after="10" w:line="228" w:lineRule="auto"/>
              <w:rPr>
                <w:sz w:val="16"/>
                <w:highlight w:val="green"/>
              </w:rPr>
            </w:pPr>
            <w:r w:rsidRPr="00825DBC">
              <w:t>8.7</w:t>
            </w:r>
          </w:p>
        </w:tc>
        <w:tc>
          <w:tcPr>
            <w:tcW w:w="1134" w:type="dxa"/>
          </w:tcPr>
          <w:p w14:paraId="6A89A096" w14:textId="77777777" w:rsidR="005B131E" w:rsidRPr="00BA7805" w:rsidRDefault="005B131E" w:rsidP="002542E1">
            <w:pPr>
              <w:pStyle w:val="ARfintablebodyrightbold"/>
              <w:spacing w:before="20" w:after="10" w:line="228" w:lineRule="auto"/>
              <w:rPr>
                <w:sz w:val="16"/>
                <w:highlight w:val="green"/>
              </w:rPr>
            </w:pPr>
            <w:r w:rsidRPr="00825DBC">
              <w:t>162.9</w:t>
            </w:r>
          </w:p>
        </w:tc>
        <w:tc>
          <w:tcPr>
            <w:tcW w:w="1134" w:type="dxa"/>
            <w:shd w:val="clear" w:color="auto" w:fill="E7E6E6" w:themeFill="accent4"/>
          </w:tcPr>
          <w:p w14:paraId="3CE2881D" w14:textId="77777777" w:rsidR="005B131E" w:rsidRPr="00BA7805" w:rsidRDefault="005B131E" w:rsidP="002542E1">
            <w:pPr>
              <w:pStyle w:val="ARfintablebodyrightbold"/>
              <w:spacing w:before="20" w:after="10" w:line="228" w:lineRule="auto"/>
              <w:rPr>
                <w:sz w:val="16"/>
                <w:highlight w:val="green"/>
              </w:rPr>
            </w:pPr>
            <w:r w:rsidRPr="00825DBC">
              <w:t>35.2</w:t>
            </w:r>
          </w:p>
        </w:tc>
        <w:tc>
          <w:tcPr>
            <w:tcW w:w="1134" w:type="dxa"/>
            <w:noWrap/>
          </w:tcPr>
          <w:p w14:paraId="598C9068" w14:textId="77777777" w:rsidR="005B131E" w:rsidRPr="00BA7805" w:rsidRDefault="005B131E" w:rsidP="002542E1">
            <w:pPr>
              <w:pStyle w:val="ARfintablebodyrightbold"/>
              <w:spacing w:before="20" w:after="10" w:line="228" w:lineRule="auto"/>
              <w:rPr>
                <w:sz w:val="16"/>
                <w:highlight w:val="green"/>
              </w:rPr>
            </w:pPr>
            <w:r w:rsidRPr="00825DBC">
              <w:t>134.6</w:t>
            </w:r>
          </w:p>
        </w:tc>
        <w:tc>
          <w:tcPr>
            <w:tcW w:w="1134" w:type="dxa"/>
            <w:shd w:val="clear" w:color="auto" w:fill="E7E6E6" w:themeFill="accent4"/>
            <w:noWrap/>
          </w:tcPr>
          <w:p w14:paraId="008CD7C0" w14:textId="77777777" w:rsidR="005B131E" w:rsidRPr="00BA7805" w:rsidRDefault="005B131E" w:rsidP="002542E1">
            <w:pPr>
              <w:pStyle w:val="ARfintablebodyrightbold"/>
              <w:spacing w:before="20" w:after="10" w:line="228" w:lineRule="auto"/>
              <w:rPr>
                <w:sz w:val="16"/>
                <w:highlight w:val="green"/>
              </w:rPr>
            </w:pPr>
            <w:r w:rsidRPr="00825DBC">
              <w:t>0.2</w:t>
            </w:r>
          </w:p>
        </w:tc>
        <w:tc>
          <w:tcPr>
            <w:tcW w:w="1134" w:type="dxa"/>
            <w:noWrap/>
          </w:tcPr>
          <w:p w14:paraId="363D9ECB" w14:textId="77777777" w:rsidR="005B131E" w:rsidRPr="00BA7805" w:rsidRDefault="005B131E" w:rsidP="002542E1">
            <w:pPr>
              <w:pStyle w:val="ARfintablebodyrightbold"/>
              <w:spacing w:before="20" w:after="10" w:line="228" w:lineRule="auto"/>
              <w:rPr>
                <w:sz w:val="16"/>
                <w:highlight w:val="green"/>
              </w:rPr>
            </w:pPr>
            <w:r w:rsidRPr="00825DBC">
              <w:t>341.6</w:t>
            </w:r>
          </w:p>
        </w:tc>
      </w:tr>
    </w:tbl>
    <w:p w14:paraId="58AB1E76" w14:textId="77777777" w:rsidR="005B131E" w:rsidRPr="00505326" w:rsidRDefault="005B131E" w:rsidP="002542E1">
      <w:pPr>
        <w:pStyle w:val="ARfinbody"/>
        <w:rPr>
          <w:highlight w:val="green"/>
        </w:rPr>
      </w:pPr>
    </w:p>
    <w:p w14:paraId="37BC699D" w14:textId="77777777" w:rsidR="005B131E" w:rsidRPr="00E62BD1" w:rsidRDefault="005B131E">
      <w:pPr>
        <w:pStyle w:val="Heading6"/>
      </w:pPr>
      <w:r w:rsidRPr="00E62BD1">
        <w:t>Description of significant unobservable inputs to Level 3 valuations</w:t>
      </w:r>
    </w:p>
    <w:tbl>
      <w:tblPr>
        <w:tblStyle w:val="TableGrid"/>
        <w:tblW w:w="9639" w:type="dxa"/>
        <w:tblLayout w:type="fixed"/>
        <w:tblLook w:val="06A0" w:firstRow="1" w:lastRow="0" w:firstColumn="1" w:lastColumn="0" w:noHBand="1" w:noVBand="1"/>
      </w:tblPr>
      <w:tblGrid>
        <w:gridCol w:w="2495"/>
        <w:gridCol w:w="2948"/>
        <w:gridCol w:w="4196"/>
      </w:tblGrid>
      <w:tr w:rsidR="005B131E" w:rsidRPr="00BA7805" w14:paraId="581C4E60" w14:textId="77777777">
        <w:trPr>
          <w:cnfStyle w:val="100000000000" w:firstRow="1" w:lastRow="0" w:firstColumn="0" w:lastColumn="0" w:oddVBand="0" w:evenVBand="0" w:oddHBand="0" w:evenHBand="0" w:firstRowFirstColumn="0" w:firstRowLastColumn="0" w:lastRowFirstColumn="0" w:lastRowLastColumn="0"/>
          <w:tblHeader/>
        </w:trPr>
        <w:tc>
          <w:tcPr>
            <w:tcW w:w="2495" w:type="dxa"/>
            <w:tcBorders>
              <w:bottom w:val="single" w:sz="4" w:space="0" w:color="auto"/>
            </w:tcBorders>
          </w:tcPr>
          <w:p w14:paraId="522C7038" w14:textId="77777777" w:rsidR="005B131E" w:rsidRPr="00BA7805" w:rsidRDefault="005B131E" w:rsidP="002542E1">
            <w:pPr>
              <w:pStyle w:val="ARfintablecolhead"/>
              <w:rPr>
                <w:highlight w:val="green"/>
              </w:rPr>
            </w:pPr>
          </w:p>
        </w:tc>
        <w:tc>
          <w:tcPr>
            <w:tcW w:w="2948" w:type="dxa"/>
            <w:tcBorders>
              <w:bottom w:val="single" w:sz="4" w:space="0" w:color="auto"/>
            </w:tcBorders>
          </w:tcPr>
          <w:p w14:paraId="0DD9F96D" w14:textId="77777777" w:rsidR="005B131E" w:rsidRPr="00BA7805" w:rsidRDefault="005B131E" w:rsidP="002542E1">
            <w:pPr>
              <w:pStyle w:val="ARfintablecolhead"/>
              <w:rPr>
                <w:highlight w:val="green"/>
              </w:rPr>
            </w:pPr>
            <w:r w:rsidRPr="00451382">
              <w:t>Valuation technique</w:t>
            </w:r>
            <w:r>
              <w:t xml:space="preserve"> </w:t>
            </w:r>
          </w:p>
        </w:tc>
        <w:tc>
          <w:tcPr>
            <w:tcW w:w="4196" w:type="dxa"/>
            <w:tcBorders>
              <w:bottom w:val="single" w:sz="4" w:space="0" w:color="auto"/>
            </w:tcBorders>
          </w:tcPr>
          <w:p w14:paraId="7E427F58" w14:textId="77777777" w:rsidR="005B131E" w:rsidRPr="00BA7805" w:rsidRDefault="005B131E" w:rsidP="002542E1">
            <w:pPr>
              <w:pStyle w:val="ARfintablecolhead"/>
              <w:rPr>
                <w:highlight w:val="green"/>
              </w:rPr>
            </w:pPr>
            <w:r w:rsidRPr="00451382">
              <w:t>Significant Unobservable Inputs</w:t>
            </w:r>
          </w:p>
        </w:tc>
      </w:tr>
      <w:tr w:rsidR="005B131E" w:rsidRPr="00BA7805" w14:paraId="6B816234" w14:textId="77777777">
        <w:tc>
          <w:tcPr>
            <w:tcW w:w="2495" w:type="dxa"/>
            <w:tcBorders>
              <w:top w:val="single" w:sz="4" w:space="0" w:color="auto"/>
              <w:bottom w:val="single" w:sz="4" w:space="0" w:color="A6A6A6"/>
            </w:tcBorders>
          </w:tcPr>
          <w:p w14:paraId="50F79902" w14:textId="77777777" w:rsidR="005B131E" w:rsidRPr="00341BCA" w:rsidRDefault="005B131E" w:rsidP="002542E1">
            <w:pPr>
              <w:pStyle w:val="ARfintablebodybold"/>
              <w:rPr>
                <w:rStyle w:val="CommentReference"/>
                <w:rFonts w:asciiTheme="minorHAnsi" w:eastAsiaTheme="minorHAnsi" w:hAnsiTheme="minorHAnsi" w:cstheme="minorBidi"/>
                <w:color w:val="auto"/>
                <w:sz w:val="18"/>
                <w:szCs w:val="18"/>
                <w:lang w:eastAsia="en-US"/>
              </w:rPr>
            </w:pPr>
            <w:r w:rsidRPr="00341BCA">
              <w:rPr>
                <w:rStyle w:val="CommentReference"/>
                <w:rFonts w:asciiTheme="minorHAnsi" w:eastAsiaTheme="minorHAnsi" w:hAnsiTheme="minorHAnsi" w:cstheme="minorBidi"/>
                <w:color w:val="auto"/>
                <w:sz w:val="18"/>
                <w:szCs w:val="18"/>
                <w:lang w:eastAsia="en-US"/>
              </w:rPr>
              <w:t>Non-specialised land</w:t>
            </w:r>
          </w:p>
        </w:tc>
        <w:tc>
          <w:tcPr>
            <w:tcW w:w="2948" w:type="dxa"/>
            <w:tcBorders>
              <w:top w:val="single" w:sz="4" w:space="0" w:color="auto"/>
              <w:bottom w:val="single" w:sz="4" w:space="0" w:color="A6A6A6"/>
            </w:tcBorders>
          </w:tcPr>
          <w:p w14:paraId="45B5BD4A" w14:textId="77777777" w:rsidR="005B131E" w:rsidRPr="00C851C2" w:rsidRDefault="005B131E" w:rsidP="002542E1">
            <w:pPr>
              <w:pStyle w:val="ARfintablebody"/>
            </w:pPr>
            <w:r>
              <w:t>Market approach</w:t>
            </w:r>
          </w:p>
        </w:tc>
        <w:tc>
          <w:tcPr>
            <w:tcW w:w="4196" w:type="dxa"/>
            <w:tcBorders>
              <w:top w:val="single" w:sz="4" w:space="0" w:color="auto"/>
              <w:bottom w:val="single" w:sz="4" w:space="0" w:color="A6A6A6"/>
            </w:tcBorders>
          </w:tcPr>
          <w:p w14:paraId="682B985F" w14:textId="77777777" w:rsidR="005B131E" w:rsidRPr="00C851C2" w:rsidRDefault="005B131E" w:rsidP="002542E1">
            <w:pPr>
              <w:pStyle w:val="ARfintablebody"/>
            </w:pPr>
            <w:r>
              <w:t>Not applicable</w:t>
            </w:r>
          </w:p>
        </w:tc>
      </w:tr>
      <w:tr w:rsidR="005B131E" w:rsidRPr="00BA7805" w14:paraId="1E70D6DA" w14:textId="77777777">
        <w:tc>
          <w:tcPr>
            <w:tcW w:w="2495" w:type="dxa"/>
            <w:tcBorders>
              <w:top w:val="single" w:sz="4" w:space="0" w:color="auto"/>
              <w:bottom w:val="single" w:sz="4" w:space="0" w:color="A6A6A6"/>
            </w:tcBorders>
          </w:tcPr>
          <w:p w14:paraId="5DA16218" w14:textId="77777777" w:rsidR="005B131E" w:rsidRPr="00BA7805" w:rsidRDefault="005B131E" w:rsidP="002542E1">
            <w:pPr>
              <w:pStyle w:val="ARfintablebodybold"/>
              <w:rPr>
                <w:rStyle w:val="Strong"/>
                <w:bCs/>
                <w:highlight w:val="green"/>
              </w:rPr>
            </w:pPr>
            <w:r w:rsidRPr="00C851C2">
              <w:t>Specialised land</w:t>
            </w:r>
          </w:p>
        </w:tc>
        <w:tc>
          <w:tcPr>
            <w:tcW w:w="2948" w:type="dxa"/>
            <w:tcBorders>
              <w:top w:val="single" w:sz="4" w:space="0" w:color="auto"/>
              <w:bottom w:val="single" w:sz="4" w:space="0" w:color="A6A6A6"/>
            </w:tcBorders>
          </w:tcPr>
          <w:p w14:paraId="133D20A4" w14:textId="77777777" w:rsidR="005B131E" w:rsidRPr="00BA7805" w:rsidRDefault="005B131E" w:rsidP="002542E1">
            <w:pPr>
              <w:pStyle w:val="ARfintablebody"/>
              <w:rPr>
                <w:highlight w:val="green"/>
              </w:rPr>
            </w:pPr>
            <w:r w:rsidRPr="00C851C2">
              <w:t>Market approach</w:t>
            </w:r>
          </w:p>
        </w:tc>
        <w:tc>
          <w:tcPr>
            <w:tcW w:w="4196" w:type="dxa"/>
            <w:tcBorders>
              <w:top w:val="single" w:sz="4" w:space="0" w:color="auto"/>
              <w:bottom w:val="single" w:sz="4" w:space="0" w:color="A6A6A6"/>
            </w:tcBorders>
          </w:tcPr>
          <w:p w14:paraId="2B19F8F7" w14:textId="77777777" w:rsidR="005B131E" w:rsidRPr="00BA7805" w:rsidRDefault="005B131E" w:rsidP="002542E1">
            <w:pPr>
              <w:pStyle w:val="ARfintablebody"/>
              <w:rPr>
                <w:highlight w:val="green"/>
              </w:rPr>
            </w:pPr>
            <w:r w:rsidRPr="00C851C2">
              <w:t>Community Service Obligation (CSO) adjustment (rate 20</w:t>
            </w:r>
            <w:r>
              <w:t>–</w:t>
            </w:r>
            <w:r w:rsidRPr="00C851C2">
              <w:t>80%)</w:t>
            </w:r>
          </w:p>
        </w:tc>
      </w:tr>
      <w:tr w:rsidR="005B131E" w:rsidRPr="00BA7805" w14:paraId="7B019B9A" w14:textId="77777777">
        <w:tc>
          <w:tcPr>
            <w:tcW w:w="2495" w:type="dxa"/>
            <w:tcBorders>
              <w:top w:val="single" w:sz="4" w:space="0" w:color="A6A6A6"/>
              <w:bottom w:val="single" w:sz="4" w:space="0" w:color="A6A6A6"/>
            </w:tcBorders>
          </w:tcPr>
          <w:p w14:paraId="69EF28BB" w14:textId="77777777" w:rsidR="005B131E" w:rsidRPr="00BA7805" w:rsidRDefault="005B131E" w:rsidP="002542E1">
            <w:pPr>
              <w:pStyle w:val="ARfintablebodybold"/>
              <w:rPr>
                <w:rStyle w:val="Strong"/>
                <w:bCs/>
                <w:highlight w:val="green"/>
              </w:rPr>
            </w:pPr>
            <w:r w:rsidRPr="00C851C2">
              <w:t>Non-specialised buildings</w:t>
            </w:r>
          </w:p>
        </w:tc>
        <w:tc>
          <w:tcPr>
            <w:tcW w:w="2948" w:type="dxa"/>
            <w:tcBorders>
              <w:top w:val="single" w:sz="4" w:space="0" w:color="A6A6A6"/>
              <w:bottom w:val="single" w:sz="4" w:space="0" w:color="A6A6A6"/>
            </w:tcBorders>
          </w:tcPr>
          <w:p w14:paraId="16FA8F56" w14:textId="77777777" w:rsidR="005B131E" w:rsidRPr="00BA7805" w:rsidRDefault="005B131E" w:rsidP="002542E1">
            <w:pPr>
              <w:pStyle w:val="ARfintablebody"/>
              <w:rPr>
                <w:highlight w:val="green"/>
              </w:rPr>
            </w:pPr>
            <w:r w:rsidRPr="00C851C2">
              <w:t>Market approach</w:t>
            </w:r>
          </w:p>
        </w:tc>
        <w:tc>
          <w:tcPr>
            <w:tcW w:w="4196" w:type="dxa"/>
            <w:tcBorders>
              <w:top w:val="single" w:sz="4" w:space="0" w:color="A6A6A6"/>
              <w:bottom w:val="single" w:sz="4" w:space="0" w:color="A6A6A6"/>
            </w:tcBorders>
          </w:tcPr>
          <w:p w14:paraId="2559A452" w14:textId="77777777" w:rsidR="005B131E" w:rsidRPr="00BA7805" w:rsidRDefault="005B131E" w:rsidP="002542E1">
            <w:pPr>
              <w:pStyle w:val="ARfintablebody"/>
              <w:rPr>
                <w:highlight w:val="green"/>
              </w:rPr>
            </w:pPr>
            <w:r w:rsidRPr="00C851C2">
              <w:t>Not applicable</w:t>
            </w:r>
          </w:p>
        </w:tc>
      </w:tr>
      <w:tr w:rsidR="005B131E" w:rsidRPr="00BA7805" w14:paraId="6B425C22" w14:textId="77777777">
        <w:tc>
          <w:tcPr>
            <w:tcW w:w="2495" w:type="dxa"/>
            <w:vMerge w:val="restart"/>
            <w:tcBorders>
              <w:top w:val="single" w:sz="4" w:space="0" w:color="A6A6A6"/>
            </w:tcBorders>
          </w:tcPr>
          <w:p w14:paraId="07BB5D88" w14:textId="77777777" w:rsidR="005B131E" w:rsidRPr="00BA7805" w:rsidRDefault="005B131E" w:rsidP="002542E1">
            <w:pPr>
              <w:pStyle w:val="ARfintablebodybold"/>
              <w:rPr>
                <w:rStyle w:val="Strong"/>
                <w:bCs/>
                <w:highlight w:val="green"/>
              </w:rPr>
            </w:pPr>
            <w:r w:rsidRPr="00844F7F">
              <w:t>Specialised buildings</w:t>
            </w:r>
          </w:p>
        </w:tc>
        <w:tc>
          <w:tcPr>
            <w:tcW w:w="2948" w:type="dxa"/>
            <w:vMerge w:val="restart"/>
            <w:tcBorders>
              <w:top w:val="single" w:sz="4" w:space="0" w:color="A6A6A6"/>
            </w:tcBorders>
          </w:tcPr>
          <w:p w14:paraId="39FFE42D" w14:textId="77777777" w:rsidR="005B131E" w:rsidRPr="00BA7805" w:rsidRDefault="005B131E" w:rsidP="002542E1">
            <w:pPr>
              <w:pStyle w:val="ARfintablebody"/>
              <w:rPr>
                <w:highlight w:val="green"/>
              </w:rPr>
            </w:pPr>
            <w:r w:rsidRPr="00844F7F">
              <w:t>Current replacement cost</w:t>
            </w:r>
          </w:p>
        </w:tc>
        <w:tc>
          <w:tcPr>
            <w:tcW w:w="4196" w:type="dxa"/>
            <w:tcBorders>
              <w:top w:val="single" w:sz="4" w:space="0" w:color="A6A6A6"/>
              <w:bottom w:val="single" w:sz="4" w:space="0" w:color="A6A6A6"/>
            </w:tcBorders>
          </w:tcPr>
          <w:p w14:paraId="28E16DE9" w14:textId="77777777" w:rsidR="005B131E" w:rsidRPr="00BA7805" w:rsidRDefault="005B131E" w:rsidP="002542E1">
            <w:pPr>
              <w:pStyle w:val="ARfintablebody"/>
              <w:rPr>
                <w:highlight w:val="green"/>
              </w:rPr>
            </w:pPr>
            <w:r w:rsidRPr="00D46486">
              <w:t>Direct cost per square metre</w:t>
            </w:r>
          </w:p>
        </w:tc>
      </w:tr>
      <w:tr w:rsidR="005B131E" w:rsidRPr="00BA7805" w14:paraId="7B53403C" w14:textId="77777777">
        <w:tc>
          <w:tcPr>
            <w:tcW w:w="2495" w:type="dxa"/>
            <w:vMerge/>
            <w:tcBorders>
              <w:bottom w:val="single" w:sz="4" w:space="0" w:color="A6A6A6"/>
            </w:tcBorders>
          </w:tcPr>
          <w:p w14:paraId="6BD5720B" w14:textId="77777777" w:rsidR="005B131E" w:rsidRPr="00BA7805" w:rsidRDefault="005B131E" w:rsidP="002542E1">
            <w:pPr>
              <w:pStyle w:val="ARfintablebodybold"/>
              <w:rPr>
                <w:rStyle w:val="Strong"/>
                <w:bCs/>
                <w:highlight w:val="green"/>
              </w:rPr>
            </w:pPr>
          </w:p>
        </w:tc>
        <w:tc>
          <w:tcPr>
            <w:tcW w:w="2948" w:type="dxa"/>
            <w:vMerge/>
            <w:tcBorders>
              <w:bottom w:val="single" w:sz="4" w:space="0" w:color="A6A6A6"/>
            </w:tcBorders>
          </w:tcPr>
          <w:p w14:paraId="76850D33" w14:textId="77777777" w:rsidR="005B131E" w:rsidRPr="00BA7805" w:rsidRDefault="005B131E" w:rsidP="002542E1">
            <w:pPr>
              <w:pStyle w:val="ARfintablebody"/>
              <w:rPr>
                <w:highlight w:val="green"/>
              </w:rPr>
            </w:pPr>
          </w:p>
        </w:tc>
        <w:tc>
          <w:tcPr>
            <w:tcW w:w="4196" w:type="dxa"/>
            <w:tcBorders>
              <w:top w:val="single" w:sz="4" w:space="0" w:color="A6A6A6"/>
              <w:bottom w:val="single" w:sz="4" w:space="0" w:color="A6A6A6"/>
            </w:tcBorders>
          </w:tcPr>
          <w:p w14:paraId="69584B72" w14:textId="77777777" w:rsidR="005B131E" w:rsidRPr="00BA7805" w:rsidRDefault="005B131E" w:rsidP="002542E1">
            <w:pPr>
              <w:pStyle w:val="ARfintablebody"/>
              <w:rPr>
                <w:highlight w:val="green"/>
              </w:rPr>
            </w:pPr>
            <w:r w:rsidRPr="00D46486">
              <w:t>Useful life of specialised buildings</w:t>
            </w:r>
          </w:p>
        </w:tc>
      </w:tr>
      <w:tr w:rsidR="005B131E" w:rsidRPr="00BA7805" w14:paraId="5ACFF51A" w14:textId="77777777">
        <w:tc>
          <w:tcPr>
            <w:tcW w:w="2495" w:type="dxa"/>
            <w:tcBorders>
              <w:top w:val="single" w:sz="4" w:space="0" w:color="A6A6A6"/>
              <w:bottom w:val="single" w:sz="4" w:space="0" w:color="A6A6A6"/>
            </w:tcBorders>
          </w:tcPr>
          <w:p w14:paraId="43D4263F" w14:textId="77777777" w:rsidR="005B131E" w:rsidRPr="00BA7805" w:rsidRDefault="005B131E" w:rsidP="002542E1">
            <w:pPr>
              <w:pStyle w:val="ARfintablebodybold"/>
              <w:rPr>
                <w:rStyle w:val="Strong"/>
                <w:bCs/>
                <w:highlight w:val="green"/>
              </w:rPr>
            </w:pPr>
            <w:r w:rsidRPr="00BB5BC6">
              <w:t>Plant and equipment</w:t>
            </w:r>
          </w:p>
        </w:tc>
        <w:tc>
          <w:tcPr>
            <w:tcW w:w="2948" w:type="dxa"/>
            <w:tcBorders>
              <w:top w:val="single" w:sz="4" w:space="0" w:color="A6A6A6"/>
              <w:bottom w:val="single" w:sz="4" w:space="0" w:color="A6A6A6"/>
            </w:tcBorders>
          </w:tcPr>
          <w:p w14:paraId="3CCC20D2" w14:textId="77777777" w:rsidR="005B131E" w:rsidRPr="00BA7805" w:rsidRDefault="005B131E" w:rsidP="002542E1">
            <w:pPr>
              <w:pStyle w:val="ARfintablebody"/>
              <w:rPr>
                <w:highlight w:val="green"/>
              </w:rPr>
            </w:pPr>
            <w:r w:rsidRPr="00BB5BC6">
              <w:t>Current replacement cost</w:t>
            </w:r>
          </w:p>
        </w:tc>
        <w:tc>
          <w:tcPr>
            <w:tcW w:w="4196" w:type="dxa"/>
            <w:tcBorders>
              <w:top w:val="single" w:sz="4" w:space="0" w:color="A6A6A6"/>
              <w:bottom w:val="single" w:sz="4" w:space="0" w:color="A6A6A6"/>
            </w:tcBorders>
          </w:tcPr>
          <w:p w14:paraId="7E13DB46" w14:textId="77777777" w:rsidR="005B131E" w:rsidRPr="00BA7805" w:rsidRDefault="005B131E" w:rsidP="002542E1">
            <w:pPr>
              <w:pStyle w:val="ARfintablebody"/>
              <w:rPr>
                <w:highlight w:val="green"/>
              </w:rPr>
            </w:pPr>
            <w:r w:rsidRPr="00D46486">
              <w:t>Useful life of equipment</w:t>
            </w:r>
          </w:p>
        </w:tc>
      </w:tr>
    </w:tbl>
    <w:p w14:paraId="76FADD34" w14:textId="77777777" w:rsidR="005B131E" w:rsidRPr="00BA7805" w:rsidRDefault="005B131E">
      <w:pPr>
        <w:pStyle w:val="ARfinbody"/>
        <w:spacing w:before="160"/>
        <w:rPr>
          <w:highlight w:val="green"/>
        </w:rPr>
      </w:pPr>
      <w:r w:rsidRPr="00646C7D">
        <w:t>Significant unobservable inputs have remained unchanged since June 2021.</w:t>
      </w:r>
    </w:p>
    <w:p w14:paraId="11051046" w14:textId="77777777" w:rsidR="005B131E" w:rsidRPr="00BA7805" w:rsidRDefault="005B131E">
      <w:pPr>
        <w:pStyle w:val="ARfinbody"/>
        <w:rPr>
          <w:highlight w:val="green"/>
        </w:rPr>
      </w:pPr>
      <w:r w:rsidRPr="00BA7805">
        <w:rPr>
          <w:highlight w:val="green"/>
        </w:rPr>
        <w:br w:type="page"/>
      </w:r>
    </w:p>
    <w:p w14:paraId="0A4E14FD" w14:textId="77777777" w:rsidR="005B131E" w:rsidRPr="001854B3" w:rsidRDefault="005B131E">
      <w:pPr>
        <w:pStyle w:val="Heading3"/>
      </w:pPr>
      <w:bookmarkStart w:id="283" w:name="_Toc181101554"/>
      <w:r w:rsidRPr="001854B3">
        <w:t>9. Other disclosures</w:t>
      </w:r>
      <w:bookmarkEnd w:id="283"/>
    </w:p>
    <w:p w14:paraId="7087F34B" w14:textId="77777777" w:rsidR="005B131E" w:rsidRPr="001854B3" w:rsidRDefault="005B131E">
      <w:pPr>
        <w:pStyle w:val="Heading4"/>
        <w:rPr>
          <w:lang w:eastAsia="en-AU"/>
        </w:rPr>
      </w:pPr>
      <w:r w:rsidRPr="001854B3">
        <w:rPr>
          <w:lang w:eastAsia="en-AU"/>
        </w:rPr>
        <w:t>Introduction</w:t>
      </w:r>
    </w:p>
    <w:p w14:paraId="2A8D65BB" w14:textId="77777777" w:rsidR="005B131E" w:rsidRDefault="005B131E" w:rsidP="002542E1">
      <w:pPr>
        <w:pStyle w:val="ARfinbody"/>
      </w:pPr>
      <w:r>
        <w:t>This section includes additional material disclosures required by accounting standards or otherwise, for the understanding of this financial report.</w:t>
      </w:r>
    </w:p>
    <w:p w14:paraId="0D84768D" w14:textId="77777777" w:rsidR="005B131E" w:rsidRDefault="005B131E" w:rsidP="002542E1">
      <w:pPr>
        <w:pStyle w:val="Heading4"/>
      </w:pPr>
      <w:r>
        <w:t>Structure</w:t>
      </w:r>
    </w:p>
    <w:p w14:paraId="2DC4BADE" w14:textId="77777777" w:rsidR="005B131E" w:rsidRDefault="005B131E" w:rsidP="002542E1">
      <w:pPr>
        <w:pStyle w:val="ARfinstructure1"/>
      </w:pPr>
      <w:r>
        <w:t xml:space="preserve">9.1 </w:t>
      </w:r>
      <w:r>
        <w:tab/>
        <w:t>Ex-gratia expenses</w:t>
      </w:r>
    </w:p>
    <w:p w14:paraId="6F41A09A" w14:textId="77777777" w:rsidR="005B131E" w:rsidRDefault="005B131E" w:rsidP="002542E1">
      <w:pPr>
        <w:pStyle w:val="ARfinstructure1"/>
      </w:pPr>
      <w:r>
        <w:t xml:space="preserve">9.2 </w:t>
      </w:r>
      <w:r>
        <w:tab/>
        <w:t>Other economic flows included in net result</w:t>
      </w:r>
    </w:p>
    <w:p w14:paraId="43BB1880" w14:textId="77777777" w:rsidR="005B131E" w:rsidRDefault="005B131E" w:rsidP="002542E1">
      <w:pPr>
        <w:pStyle w:val="ARfinstructure1"/>
      </w:pPr>
      <w:r>
        <w:t xml:space="preserve">9.3 </w:t>
      </w:r>
      <w:r>
        <w:tab/>
        <w:t>Non-financial assets held for sale</w:t>
      </w:r>
    </w:p>
    <w:p w14:paraId="7BA7B758" w14:textId="77777777" w:rsidR="005B131E" w:rsidRDefault="005B131E" w:rsidP="002542E1">
      <w:pPr>
        <w:pStyle w:val="ARfinstructure1"/>
      </w:pPr>
      <w:r>
        <w:t xml:space="preserve">9.4 </w:t>
      </w:r>
      <w:r>
        <w:tab/>
        <w:t>Reserves</w:t>
      </w:r>
    </w:p>
    <w:p w14:paraId="6C31AACB" w14:textId="77777777" w:rsidR="005B131E" w:rsidRDefault="005B131E" w:rsidP="002542E1">
      <w:pPr>
        <w:pStyle w:val="ARfinstructure1"/>
      </w:pPr>
      <w:r>
        <w:t xml:space="preserve">9.5 </w:t>
      </w:r>
      <w:r>
        <w:tab/>
        <w:t>Entities included in the Department of Families, Fairness and Housing financial statements pursuant to section 53(1)(b) of the FMA</w:t>
      </w:r>
    </w:p>
    <w:p w14:paraId="48722974" w14:textId="77777777" w:rsidR="005B131E" w:rsidRDefault="005B131E" w:rsidP="002542E1">
      <w:pPr>
        <w:pStyle w:val="ARfinstructure1"/>
      </w:pPr>
      <w:r>
        <w:t xml:space="preserve">9.6 </w:t>
      </w:r>
      <w:r>
        <w:tab/>
        <w:t>Responsible persons</w:t>
      </w:r>
    </w:p>
    <w:p w14:paraId="5EAD1CC8" w14:textId="77777777" w:rsidR="005B131E" w:rsidRDefault="005B131E" w:rsidP="002542E1">
      <w:pPr>
        <w:pStyle w:val="ARfinstructure1"/>
      </w:pPr>
      <w:r>
        <w:t xml:space="preserve">9.7 </w:t>
      </w:r>
      <w:r>
        <w:tab/>
        <w:t>Remuneration of executives</w:t>
      </w:r>
    </w:p>
    <w:p w14:paraId="32361619" w14:textId="77777777" w:rsidR="005B131E" w:rsidRDefault="005B131E" w:rsidP="002542E1">
      <w:pPr>
        <w:pStyle w:val="ARfinstructure1"/>
      </w:pPr>
      <w:r>
        <w:t xml:space="preserve">9.8 </w:t>
      </w:r>
      <w:r>
        <w:tab/>
        <w:t>Related parties</w:t>
      </w:r>
    </w:p>
    <w:p w14:paraId="5FFA9712" w14:textId="77777777" w:rsidR="005B131E" w:rsidRDefault="005B131E" w:rsidP="002542E1">
      <w:pPr>
        <w:pStyle w:val="ARfinstructure1"/>
      </w:pPr>
      <w:r>
        <w:t xml:space="preserve">9.9 </w:t>
      </w:r>
      <w:r>
        <w:tab/>
        <w:t>Remuneration of auditors</w:t>
      </w:r>
    </w:p>
    <w:p w14:paraId="2B826D26" w14:textId="77777777" w:rsidR="005B131E" w:rsidRDefault="005B131E" w:rsidP="002542E1">
      <w:pPr>
        <w:pStyle w:val="ARfinstructure1"/>
      </w:pPr>
      <w:r>
        <w:t xml:space="preserve">9.10 </w:t>
      </w:r>
      <w:r>
        <w:tab/>
        <w:t>Subsequent events</w:t>
      </w:r>
    </w:p>
    <w:p w14:paraId="45A21BF4" w14:textId="77777777" w:rsidR="005B131E" w:rsidRDefault="005B131E" w:rsidP="002542E1">
      <w:pPr>
        <w:pStyle w:val="ARfinstructure1"/>
      </w:pPr>
      <w:r>
        <w:t xml:space="preserve">9.11 </w:t>
      </w:r>
      <w:r>
        <w:tab/>
        <w:t>Other accounting policies</w:t>
      </w:r>
    </w:p>
    <w:p w14:paraId="77172E9D" w14:textId="77777777" w:rsidR="005B131E" w:rsidRDefault="005B131E" w:rsidP="002542E1">
      <w:pPr>
        <w:pStyle w:val="ARfinstructure1"/>
      </w:pPr>
      <w:r>
        <w:t xml:space="preserve">9.12 </w:t>
      </w:r>
      <w:r>
        <w:tab/>
        <w:t>Australian Accounting Standards issued that are not yet effective</w:t>
      </w:r>
    </w:p>
    <w:p w14:paraId="4F64281B" w14:textId="77777777" w:rsidR="005B131E" w:rsidRDefault="005B131E" w:rsidP="002542E1">
      <w:pPr>
        <w:pStyle w:val="ARfinstructure1"/>
      </w:pPr>
      <w:r>
        <w:t xml:space="preserve">9.13 </w:t>
      </w:r>
      <w:r>
        <w:tab/>
        <w:t>Glossary of technical terms</w:t>
      </w:r>
    </w:p>
    <w:p w14:paraId="50638360" w14:textId="77777777" w:rsidR="005B131E" w:rsidRDefault="005B131E" w:rsidP="002542E1">
      <w:pPr>
        <w:pStyle w:val="ARfinstructure1"/>
      </w:pPr>
      <w:r>
        <w:t xml:space="preserve">9.14 </w:t>
      </w:r>
      <w:r>
        <w:tab/>
        <w:t>Style conventions</w:t>
      </w:r>
    </w:p>
    <w:p w14:paraId="14B3E57A" w14:textId="77777777" w:rsidR="005B131E" w:rsidRDefault="005B131E" w:rsidP="002542E1">
      <w:pPr>
        <w:pStyle w:val="Heading4"/>
      </w:pPr>
      <w:bookmarkStart w:id="284" w:name="_Ref178239140"/>
      <w:r>
        <w:t>9.1 Ex-gratia expenses</w:t>
      </w:r>
      <w:bookmarkEnd w:id="284"/>
    </w:p>
    <w:p w14:paraId="54772680" w14:textId="77777777" w:rsidR="005B131E" w:rsidRPr="00566D2A" w:rsidRDefault="005B131E" w:rsidP="002542E1">
      <w:pPr>
        <w:pStyle w:val="ARfinbodylargespace"/>
      </w:pPr>
      <w:r>
        <w:t>Ex-gratia expenses are the voluntary payments of money or other non-monetary benefit (for example a write off) that is not made either to acquire goods, services or other benefits for the entity or to meet a legal liability, or to settle or resolve a possible legal liability of or claim against the entity.</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36556B7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7A0CEAA4"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5C92963B" w14:textId="77777777" w:rsidR="005B131E" w:rsidRPr="001854B3" w:rsidRDefault="005B131E">
            <w:pPr>
              <w:pStyle w:val="ARfintablecolheadright"/>
            </w:pPr>
            <w:r w:rsidRPr="001854B3">
              <w:t>2024</w:t>
            </w:r>
          </w:p>
          <w:p w14:paraId="7E9A2AA0" w14:textId="77777777" w:rsidR="005B131E" w:rsidRPr="001854B3" w:rsidRDefault="005B131E">
            <w:pPr>
              <w:pStyle w:val="ARfintablecolheadright"/>
            </w:pPr>
            <w:r w:rsidRPr="001854B3">
              <w:t>$</w:t>
            </w:r>
          </w:p>
        </w:tc>
        <w:tc>
          <w:tcPr>
            <w:tcW w:w="1361" w:type="dxa"/>
            <w:tcBorders>
              <w:bottom w:val="single" w:sz="4" w:space="0" w:color="auto"/>
            </w:tcBorders>
            <w:hideMark/>
          </w:tcPr>
          <w:p w14:paraId="7B622A1E" w14:textId="77777777" w:rsidR="005B131E" w:rsidRPr="001854B3" w:rsidRDefault="005B131E">
            <w:pPr>
              <w:pStyle w:val="ARfintablecolheadright"/>
            </w:pPr>
            <w:r w:rsidRPr="001854B3">
              <w:t>2023</w:t>
            </w:r>
          </w:p>
          <w:p w14:paraId="7FF6B39C" w14:textId="77777777" w:rsidR="005B131E" w:rsidRPr="001854B3" w:rsidRDefault="005B131E">
            <w:pPr>
              <w:pStyle w:val="ARfintablecolheadright"/>
            </w:pPr>
            <w:r w:rsidRPr="001854B3">
              <w:t>$</w:t>
            </w:r>
          </w:p>
        </w:tc>
      </w:tr>
      <w:tr w:rsidR="005B131E" w:rsidRPr="00BA7805" w14:paraId="064DEE7E" w14:textId="77777777" w:rsidTr="002542E1">
        <w:tc>
          <w:tcPr>
            <w:tcW w:w="6915" w:type="dxa"/>
            <w:tcBorders>
              <w:top w:val="single" w:sz="4" w:space="0" w:color="A6A6A6"/>
            </w:tcBorders>
          </w:tcPr>
          <w:p w14:paraId="0608C7EB" w14:textId="77777777" w:rsidR="005B131E" w:rsidRPr="00BA7805" w:rsidRDefault="005B131E" w:rsidP="002542E1">
            <w:pPr>
              <w:pStyle w:val="ARfintablebody"/>
              <w:rPr>
                <w:highlight w:val="green"/>
              </w:rPr>
            </w:pPr>
            <w:r w:rsidRPr="004830E0">
              <w:t xml:space="preserve">Compensation for economic loss </w:t>
            </w:r>
          </w:p>
        </w:tc>
        <w:tc>
          <w:tcPr>
            <w:tcW w:w="1361" w:type="dxa"/>
            <w:tcBorders>
              <w:top w:val="single" w:sz="4" w:space="0" w:color="A6A6A6"/>
            </w:tcBorders>
            <w:shd w:val="clear" w:color="auto" w:fill="E7E6E6" w:themeFill="accent4"/>
            <w:noWrap/>
          </w:tcPr>
          <w:p w14:paraId="19EA3660" w14:textId="77777777" w:rsidR="005B131E" w:rsidRPr="00BA7805" w:rsidRDefault="005B131E" w:rsidP="002542E1">
            <w:pPr>
              <w:pStyle w:val="ARfintablebodyright"/>
              <w:rPr>
                <w:highlight w:val="green"/>
              </w:rPr>
            </w:pPr>
            <w:r>
              <w:t>–</w:t>
            </w:r>
          </w:p>
        </w:tc>
        <w:tc>
          <w:tcPr>
            <w:tcW w:w="1361" w:type="dxa"/>
            <w:tcBorders>
              <w:top w:val="single" w:sz="4" w:space="0" w:color="A6A6A6"/>
            </w:tcBorders>
            <w:noWrap/>
          </w:tcPr>
          <w:p w14:paraId="4934B699" w14:textId="77777777" w:rsidR="005B131E" w:rsidRPr="00BA7805" w:rsidRDefault="005B131E" w:rsidP="002542E1">
            <w:pPr>
              <w:pStyle w:val="ARfintablebodyright"/>
              <w:rPr>
                <w:highlight w:val="green"/>
              </w:rPr>
            </w:pPr>
            <w:r w:rsidRPr="004830E0">
              <w:t>16,494</w:t>
            </w:r>
          </w:p>
        </w:tc>
      </w:tr>
      <w:tr w:rsidR="005B131E" w:rsidRPr="00BA7805" w14:paraId="42C69B42" w14:textId="77777777" w:rsidTr="002542E1">
        <w:tc>
          <w:tcPr>
            <w:tcW w:w="6915" w:type="dxa"/>
          </w:tcPr>
          <w:p w14:paraId="76C30241" w14:textId="77777777" w:rsidR="005B131E" w:rsidRPr="00BA7805" w:rsidRDefault="005B131E" w:rsidP="002542E1">
            <w:pPr>
              <w:pStyle w:val="ARfintablebodybold"/>
              <w:rPr>
                <w:highlight w:val="green"/>
              </w:rPr>
            </w:pPr>
            <w:r w:rsidRPr="004830E0">
              <w:t xml:space="preserve">Total ex-gratia expenses </w:t>
            </w:r>
            <w:r w:rsidRPr="008051BE">
              <w:rPr>
                <w:vertAlign w:val="superscript"/>
              </w:rPr>
              <w:t>(i)(ii)</w:t>
            </w:r>
          </w:p>
        </w:tc>
        <w:tc>
          <w:tcPr>
            <w:tcW w:w="1361" w:type="dxa"/>
            <w:shd w:val="clear" w:color="auto" w:fill="E7E6E6" w:themeFill="accent4"/>
            <w:noWrap/>
          </w:tcPr>
          <w:p w14:paraId="323A7771" w14:textId="77777777" w:rsidR="005B131E" w:rsidRPr="00BA7805" w:rsidRDefault="005B131E" w:rsidP="002542E1">
            <w:pPr>
              <w:pStyle w:val="ARfintablebodyrightbold"/>
              <w:rPr>
                <w:highlight w:val="green"/>
              </w:rPr>
            </w:pPr>
            <w:r>
              <w:t>–</w:t>
            </w:r>
          </w:p>
        </w:tc>
        <w:tc>
          <w:tcPr>
            <w:tcW w:w="1361" w:type="dxa"/>
            <w:noWrap/>
          </w:tcPr>
          <w:p w14:paraId="0804FF66" w14:textId="77777777" w:rsidR="005B131E" w:rsidRPr="00BA7805" w:rsidRDefault="005B131E" w:rsidP="002542E1">
            <w:pPr>
              <w:pStyle w:val="ARfintablebodyrightbold"/>
              <w:rPr>
                <w:highlight w:val="green"/>
              </w:rPr>
            </w:pPr>
            <w:r w:rsidRPr="004830E0">
              <w:t>16,494</w:t>
            </w:r>
          </w:p>
        </w:tc>
      </w:tr>
    </w:tbl>
    <w:p w14:paraId="583F1D73" w14:textId="77777777" w:rsidR="005B131E" w:rsidRPr="007A002D" w:rsidRDefault="005B131E">
      <w:pPr>
        <w:pStyle w:val="ARfintablefootnote"/>
        <w:rPr>
          <w:rFonts w:cs="HelveticaNeue"/>
        </w:rPr>
      </w:pPr>
      <w:r w:rsidRPr="007A002D">
        <w:rPr>
          <w:rFonts w:cs="HelveticaNeue"/>
        </w:rPr>
        <w:t>Notes:</w:t>
      </w:r>
    </w:p>
    <w:p w14:paraId="0859A2E4" w14:textId="77777777" w:rsidR="005B131E" w:rsidRDefault="005B131E" w:rsidP="002542E1">
      <w:pPr>
        <w:pStyle w:val="ARfintablefootnotetabindent"/>
      </w:pPr>
      <w:r>
        <w:t xml:space="preserve">(i) </w:t>
      </w:r>
      <w:r>
        <w:tab/>
        <w:t>Includes ex gratia expenses for both individual items and in aggregate that are greater than or equal to $5,000.</w:t>
      </w:r>
    </w:p>
    <w:p w14:paraId="71CABDB2" w14:textId="2E794479" w:rsidR="005B131E" w:rsidRPr="00BA7805" w:rsidRDefault="005B131E" w:rsidP="002542E1">
      <w:pPr>
        <w:pStyle w:val="ARfintablefootnotetabindent"/>
        <w:rPr>
          <w:highlight w:val="green"/>
        </w:rPr>
      </w:pPr>
      <w:r>
        <w:t xml:space="preserve">(ii) </w:t>
      </w:r>
      <w:r>
        <w:tab/>
        <w:t xml:space="preserve">The total for ex gratia expenses is also presented in </w:t>
      </w:r>
      <w:r w:rsidR="00711AE6">
        <w:t>‘</w:t>
      </w:r>
      <w:r>
        <w:t>other operating expenses</w:t>
      </w:r>
      <w:r w:rsidR="00711AE6">
        <w:t>’</w:t>
      </w:r>
      <w:r>
        <w:t xml:space="preserve"> of Note 3.1.3 Other operating expenses. </w:t>
      </w:r>
    </w:p>
    <w:p w14:paraId="09DC50B3" w14:textId="77777777" w:rsidR="005B131E" w:rsidRPr="00BA7805" w:rsidRDefault="005B131E">
      <w:pPr>
        <w:pStyle w:val="ARfintablefootnote"/>
        <w:rPr>
          <w:highlight w:val="green"/>
        </w:rPr>
      </w:pPr>
      <w:r w:rsidRPr="00BA7805">
        <w:rPr>
          <w:highlight w:val="green"/>
        </w:rPr>
        <w:br w:type="page"/>
      </w:r>
    </w:p>
    <w:p w14:paraId="6410A064" w14:textId="77777777" w:rsidR="005B131E" w:rsidRPr="008E1E8A" w:rsidRDefault="005B131E">
      <w:pPr>
        <w:pStyle w:val="Heading4"/>
        <w:rPr>
          <w:lang w:eastAsia="en-AU"/>
        </w:rPr>
      </w:pPr>
      <w:bookmarkStart w:id="285" w:name="_Ref178239586"/>
      <w:r w:rsidRPr="008E1E8A">
        <w:rPr>
          <w:lang w:eastAsia="en-AU"/>
        </w:rPr>
        <w:t>9.2 Other economic flows included in net result</w:t>
      </w:r>
      <w:bookmarkEnd w:id="285"/>
    </w:p>
    <w:p w14:paraId="6CE61376" w14:textId="77777777" w:rsidR="005B131E" w:rsidRDefault="005B131E" w:rsidP="002542E1">
      <w:pPr>
        <w:pStyle w:val="ARfinbodylargespace"/>
      </w:pPr>
      <w:r>
        <w:t xml:space="preserve">Other economic flows are changes in the volume or value of an asset or liability that do not result from transactions. Other gains/(losses) from other economic flows include the gains or losses from: </w:t>
      </w:r>
    </w:p>
    <w:p w14:paraId="51858EBA" w14:textId="77777777" w:rsidR="005B131E" w:rsidRDefault="005B131E" w:rsidP="002542E1">
      <w:pPr>
        <w:pStyle w:val="ARfinbullet1"/>
      </w:pPr>
      <w:r>
        <w:t>the revaluation of the present value of the long service leave liability due to changes in the bond interest rates and the effects of changes in actuarial assumptions</w:t>
      </w:r>
    </w:p>
    <w:p w14:paraId="0BC14EF7" w14:textId="77777777" w:rsidR="005B131E" w:rsidRDefault="005B131E" w:rsidP="002542E1">
      <w:pPr>
        <w:pStyle w:val="ARfinbullet1"/>
      </w:pPr>
      <w:r>
        <w:t>other revaluations on the value of outstanding insurance claims and liabilities</w:t>
      </w:r>
    </w:p>
    <w:p w14:paraId="11FF0198" w14:textId="77777777" w:rsidR="005B131E" w:rsidRDefault="005B131E" w:rsidP="002542E1">
      <w:pPr>
        <w:pStyle w:val="ARfinbullet1"/>
      </w:pPr>
      <w:r>
        <w:t>bad debt expenses.</w:t>
      </w:r>
    </w:p>
    <w:p w14:paraId="7EECEFF8" w14:textId="77777777" w:rsidR="005B131E" w:rsidRPr="00BA7805" w:rsidRDefault="005B131E" w:rsidP="002542E1">
      <w:pPr>
        <w:pStyle w:val="ARfinbodylargespace"/>
        <w:rPr>
          <w:highlight w:val="green"/>
        </w:rPr>
      </w:pP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3B33996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62BEEF6F"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51F4565B" w14:textId="77777777" w:rsidR="005B131E" w:rsidRPr="000C148E" w:rsidRDefault="005B131E">
            <w:pPr>
              <w:pStyle w:val="ARfintablecolheadright"/>
            </w:pPr>
            <w:r w:rsidRPr="000C148E">
              <w:t>2024</w:t>
            </w:r>
          </w:p>
          <w:p w14:paraId="25A1C384" w14:textId="77777777" w:rsidR="005B131E" w:rsidRPr="000C148E" w:rsidRDefault="005B131E">
            <w:pPr>
              <w:pStyle w:val="ARfintablecolheadright"/>
            </w:pPr>
            <w:r w:rsidRPr="000C148E">
              <w:t>$M</w:t>
            </w:r>
          </w:p>
        </w:tc>
        <w:tc>
          <w:tcPr>
            <w:tcW w:w="1361" w:type="dxa"/>
            <w:tcBorders>
              <w:bottom w:val="single" w:sz="4" w:space="0" w:color="auto"/>
            </w:tcBorders>
            <w:hideMark/>
          </w:tcPr>
          <w:p w14:paraId="49D66C5B" w14:textId="77777777" w:rsidR="005B131E" w:rsidRPr="000C148E" w:rsidRDefault="005B131E">
            <w:pPr>
              <w:pStyle w:val="ARfintablecolheadright"/>
            </w:pPr>
            <w:r w:rsidRPr="000C148E">
              <w:t>2023</w:t>
            </w:r>
          </w:p>
          <w:p w14:paraId="4207AAE3" w14:textId="77777777" w:rsidR="005B131E" w:rsidRPr="000C148E" w:rsidRDefault="005B131E">
            <w:pPr>
              <w:pStyle w:val="ARfintablecolheadright"/>
            </w:pPr>
            <w:r w:rsidRPr="000C148E">
              <w:t>$M</w:t>
            </w:r>
          </w:p>
        </w:tc>
      </w:tr>
      <w:tr w:rsidR="005B131E" w:rsidRPr="00BA7805" w14:paraId="6D9AF22C" w14:textId="77777777" w:rsidTr="003D7AC8">
        <w:tc>
          <w:tcPr>
            <w:tcW w:w="9637" w:type="dxa"/>
            <w:gridSpan w:val="3"/>
            <w:tcBorders>
              <w:top w:val="single" w:sz="4" w:space="0" w:color="auto"/>
              <w:bottom w:val="single" w:sz="4" w:space="0" w:color="A6A6A6" w:themeColor="background1" w:themeShade="A6"/>
            </w:tcBorders>
          </w:tcPr>
          <w:p w14:paraId="45912DE8" w14:textId="77777777" w:rsidR="005B131E" w:rsidRPr="00BA7805" w:rsidRDefault="005B131E" w:rsidP="002542E1">
            <w:pPr>
              <w:pStyle w:val="ARfintablebodybold"/>
              <w:rPr>
                <w:highlight w:val="green"/>
              </w:rPr>
            </w:pPr>
            <w:r w:rsidRPr="00A87E2C">
              <w:t>(a) Net gain/(loss) on non-financial assets</w:t>
            </w:r>
          </w:p>
        </w:tc>
      </w:tr>
      <w:tr w:rsidR="005B131E" w:rsidRPr="00BA7805" w14:paraId="59EC2A6E" w14:textId="77777777" w:rsidTr="003D7AC8">
        <w:tc>
          <w:tcPr>
            <w:tcW w:w="9637" w:type="dxa"/>
            <w:gridSpan w:val="3"/>
            <w:tcBorders>
              <w:top w:val="single" w:sz="4" w:space="0" w:color="A6A6A6" w:themeColor="background1" w:themeShade="A6"/>
              <w:bottom w:val="single" w:sz="4" w:space="0" w:color="A6A6A6" w:themeColor="background1" w:themeShade="A6"/>
            </w:tcBorders>
          </w:tcPr>
          <w:p w14:paraId="6C497A77" w14:textId="77777777" w:rsidR="005B131E" w:rsidRPr="00BA7805" w:rsidRDefault="005B131E" w:rsidP="002542E1">
            <w:pPr>
              <w:pStyle w:val="ARfintablebodybold"/>
              <w:rPr>
                <w:highlight w:val="green"/>
              </w:rPr>
            </w:pPr>
            <w:r w:rsidRPr="00A87E2C">
              <w:t>Proceeds</w:t>
            </w:r>
            <w:r>
              <w:t xml:space="preserve"> </w:t>
            </w:r>
            <w:r w:rsidRPr="00A87E2C">
              <w:t>from disposal of non-financial physical assets</w:t>
            </w:r>
          </w:p>
        </w:tc>
      </w:tr>
      <w:tr w:rsidR="005B131E" w:rsidRPr="00BA7805" w14:paraId="27CC2049" w14:textId="77777777" w:rsidTr="002542E1">
        <w:tc>
          <w:tcPr>
            <w:tcW w:w="6915" w:type="dxa"/>
            <w:tcBorders>
              <w:top w:val="single" w:sz="4" w:space="0" w:color="A6A6A6" w:themeColor="background1" w:themeShade="A6"/>
              <w:bottom w:val="single" w:sz="4" w:space="0" w:color="A6A6A6" w:themeColor="background1" w:themeShade="A6"/>
            </w:tcBorders>
          </w:tcPr>
          <w:p w14:paraId="542499E6" w14:textId="77777777" w:rsidR="005B131E" w:rsidRPr="00BA7805" w:rsidRDefault="005B131E" w:rsidP="002542E1">
            <w:pPr>
              <w:pStyle w:val="ARfintablebody"/>
              <w:rPr>
                <w:highlight w:val="green"/>
              </w:rPr>
            </w:pPr>
            <w:r w:rsidRPr="00A87E2C">
              <w:t>Land</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1B30E187" w14:textId="77777777" w:rsidR="005B131E" w:rsidRPr="00BA7805" w:rsidRDefault="005B131E" w:rsidP="002542E1">
            <w:pPr>
              <w:pStyle w:val="ARfintablebodyright"/>
              <w:rPr>
                <w:highlight w:val="green"/>
              </w:rPr>
            </w:pPr>
            <w:r w:rsidRPr="00182C29">
              <w:t>226.4</w:t>
            </w:r>
          </w:p>
        </w:tc>
        <w:tc>
          <w:tcPr>
            <w:tcW w:w="1361" w:type="dxa"/>
            <w:tcBorders>
              <w:top w:val="single" w:sz="4" w:space="0" w:color="A6A6A6" w:themeColor="background1" w:themeShade="A6"/>
              <w:bottom w:val="single" w:sz="4" w:space="0" w:color="A6A6A6" w:themeColor="background1" w:themeShade="A6"/>
            </w:tcBorders>
            <w:noWrap/>
          </w:tcPr>
          <w:p w14:paraId="3D48AAC5" w14:textId="77777777" w:rsidR="005B131E" w:rsidRPr="00BA7805" w:rsidRDefault="005B131E" w:rsidP="002542E1">
            <w:pPr>
              <w:pStyle w:val="ARfintablebodyright"/>
              <w:rPr>
                <w:highlight w:val="green"/>
              </w:rPr>
            </w:pPr>
            <w:r w:rsidRPr="00182C29">
              <w:t>94.5</w:t>
            </w:r>
          </w:p>
        </w:tc>
      </w:tr>
      <w:tr w:rsidR="005B131E" w:rsidRPr="00BA7805" w14:paraId="7CFFCE11" w14:textId="77777777" w:rsidTr="002542E1">
        <w:tc>
          <w:tcPr>
            <w:tcW w:w="6915" w:type="dxa"/>
            <w:tcBorders>
              <w:top w:val="single" w:sz="4" w:space="0" w:color="A6A6A6" w:themeColor="background1" w:themeShade="A6"/>
              <w:bottom w:val="single" w:sz="4" w:space="0" w:color="A6A6A6" w:themeColor="background1" w:themeShade="A6"/>
            </w:tcBorders>
          </w:tcPr>
          <w:p w14:paraId="5CFF4664" w14:textId="77777777" w:rsidR="005B131E" w:rsidRPr="00BA7805" w:rsidRDefault="005B131E" w:rsidP="002542E1">
            <w:pPr>
              <w:pStyle w:val="ARfintablebody"/>
              <w:rPr>
                <w:highlight w:val="green"/>
              </w:rPr>
            </w:pPr>
            <w:r w:rsidRPr="00A87E2C">
              <w:t>Buildings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83C5B2C" w14:textId="77777777" w:rsidR="005B131E" w:rsidRPr="00BA7805" w:rsidRDefault="005B131E" w:rsidP="002542E1">
            <w:pPr>
              <w:pStyle w:val="ARfintablebodyright"/>
              <w:rPr>
                <w:highlight w:val="green"/>
              </w:rPr>
            </w:pPr>
            <w:r w:rsidRPr="00182C29">
              <w:t>47.3</w:t>
            </w:r>
          </w:p>
        </w:tc>
        <w:tc>
          <w:tcPr>
            <w:tcW w:w="1361" w:type="dxa"/>
            <w:tcBorders>
              <w:top w:val="single" w:sz="4" w:space="0" w:color="A6A6A6" w:themeColor="background1" w:themeShade="A6"/>
              <w:bottom w:val="single" w:sz="4" w:space="0" w:color="A6A6A6" w:themeColor="background1" w:themeShade="A6"/>
            </w:tcBorders>
            <w:noWrap/>
          </w:tcPr>
          <w:p w14:paraId="4E826F97" w14:textId="77777777" w:rsidR="005B131E" w:rsidRPr="00BA7805" w:rsidRDefault="005B131E" w:rsidP="002542E1">
            <w:pPr>
              <w:pStyle w:val="ARfintablebodyright"/>
              <w:rPr>
                <w:highlight w:val="green"/>
              </w:rPr>
            </w:pPr>
            <w:r w:rsidRPr="00182C29">
              <w:t>34.8</w:t>
            </w:r>
          </w:p>
        </w:tc>
      </w:tr>
      <w:tr w:rsidR="005B131E" w:rsidRPr="00BA7805" w14:paraId="679B59B3" w14:textId="77777777" w:rsidTr="002542E1">
        <w:tc>
          <w:tcPr>
            <w:tcW w:w="6915" w:type="dxa"/>
            <w:tcBorders>
              <w:top w:val="single" w:sz="4" w:space="0" w:color="A6A6A6" w:themeColor="background1" w:themeShade="A6"/>
              <w:bottom w:val="single" w:sz="4" w:space="0" w:color="A6A6A6" w:themeColor="background1" w:themeShade="A6"/>
            </w:tcBorders>
          </w:tcPr>
          <w:p w14:paraId="7C9156B0" w14:textId="77777777" w:rsidR="005B131E" w:rsidRPr="00BA7805" w:rsidRDefault="005B131E" w:rsidP="002542E1">
            <w:pPr>
              <w:pStyle w:val="ARfintablebody"/>
              <w:rPr>
                <w:highlight w:val="green"/>
              </w:rPr>
            </w:pPr>
            <w:r w:rsidRPr="00A87E2C">
              <w:t>Shared home ownership scheme</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6EB78928" w14:textId="77777777" w:rsidR="005B131E" w:rsidRPr="00BA7805" w:rsidRDefault="005B131E" w:rsidP="002542E1">
            <w:pPr>
              <w:pStyle w:val="ARfintablebodyright"/>
              <w:rPr>
                <w:highlight w:val="green"/>
              </w:rPr>
            </w:pPr>
            <w:r w:rsidRPr="00182C29">
              <w:t>0.9</w:t>
            </w:r>
          </w:p>
        </w:tc>
        <w:tc>
          <w:tcPr>
            <w:tcW w:w="1361" w:type="dxa"/>
            <w:tcBorders>
              <w:top w:val="single" w:sz="4" w:space="0" w:color="A6A6A6" w:themeColor="background1" w:themeShade="A6"/>
              <w:bottom w:val="single" w:sz="4" w:space="0" w:color="A6A6A6" w:themeColor="background1" w:themeShade="A6"/>
            </w:tcBorders>
            <w:noWrap/>
          </w:tcPr>
          <w:p w14:paraId="1215C10A" w14:textId="77777777" w:rsidR="005B131E" w:rsidRPr="00BA7805" w:rsidRDefault="005B131E" w:rsidP="002542E1">
            <w:pPr>
              <w:pStyle w:val="ARfintablebodyright"/>
              <w:rPr>
                <w:highlight w:val="green"/>
              </w:rPr>
            </w:pPr>
            <w:r w:rsidRPr="00182C29">
              <w:t>1.8</w:t>
            </w:r>
          </w:p>
        </w:tc>
      </w:tr>
      <w:tr w:rsidR="005B131E" w:rsidRPr="00BA7805" w14:paraId="3547A8CA" w14:textId="77777777" w:rsidTr="002542E1">
        <w:tc>
          <w:tcPr>
            <w:tcW w:w="6915" w:type="dxa"/>
            <w:tcBorders>
              <w:top w:val="single" w:sz="4" w:space="0" w:color="A6A6A6" w:themeColor="background1" w:themeShade="A6"/>
            </w:tcBorders>
          </w:tcPr>
          <w:p w14:paraId="4DCD034A" w14:textId="77777777" w:rsidR="005B131E" w:rsidRPr="00BA7805" w:rsidRDefault="005B131E" w:rsidP="002542E1">
            <w:pPr>
              <w:pStyle w:val="ARfintablebody"/>
              <w:rPr>
                <w:highlight w:val="green"/>
              </w:rPr>
            </w:pPr>
            <w:r w:rsidRPr="00A87E2C">
              <w:t>Miscellaneous assets</w:t>
            </w:r>
          </w:p>
        </w:tc>
        <w:tc>
          <w:tcPr>
            <w:tcW w:w="1361" w:type="dxa"/>
            <w:tcBorders>
              <w:top w:val="single" w:sz="4" w:space="0" w:color="A6A6A6" w:themeColor="background1" w:themeShade="A6"/>
            </w:tcBorders>
            <w:shd w:val="clear" w:color="auto" w:fill="E7E6E6" w:themeFill="accent4"/>
            <w:noWrap/>
          </w:tcPr>
          <w:p w14:paraId="4D0410DD" w14:textId="77777777" w:rsidR="005B131E" w:rsidRPr="00BA7805" w:rsidRDefault="005B131E" w:rsidP="002542E1">
            <w:pPr>
              <w:pStyle w:val="ARfintablebodyright"/>
              <w:rPr>
                <w:highlight w:val="green"/>
              </w:rPr>
            </w:pPr>
            <w:r w:rsidRPr="00182C29">
              <w:t>12.0</w:t>
            </w:r>
          </w:p>
        </w:tc>
        <w:tc>
          <w:tcPr>
            <w:tcW w:w="1361" w:type="dxa"/>
            <w:tcBorders>
              <w:top w:val="single" w:sz="4" w:space="0" w:color="A6A6A6" w:themeColor="background1" w:themeShade="A6"/>
            </w:tcBorders>
            <w:noWrap/>
          </w:tcPr>
          <w:p w14:paraId="3007C61A" w14:textId="77777777" w:rsidR="005B131E" w:rsidRPr="00BA7805" w:rsidRDefault="005B131E" w:rsidP="002542E1">
            <w:pPr>
              <w:pStyle w:val="ARfintablebodyright"/>
              <w:rPr>
                <w:highlight w:val="green"/>
              </w:rPr>
            </w:pPr>
            <w:r w:rsidRPr="00182C29">
              <w:t>10.7</w:t>
            </w:r>
          </w:p>
        </w:tc>
      </w:tr>
      <w:tr w:rsidR="005B131E" w:rsidRPr="00BA7805" w14:paraId="0E7EAC29" w14:textId="77777777" w:rsidTr="002542E1">
        <w:tc>
          <w:tcPr>
            <w:tcW w:w="6915" w:type="dxa"/>
            <w:tcBorders>
              <w:bottom w:val="single" w:sz="4" w:space="0" w:color="auto"/>
            </w:tcBorders>
          </w:tcPr>
          <w:p w14:paraId="192322F4" w14:textId="77777777" w:rsidR="005B131E" w:rsidRPr="00BA7805" w:rsidRDefault="005B131E" w:rsidP="002542E1">
            <w:pPr>
              <w:pStyle w:val="ARfintablebodybold"/>
              <w:rPr>
                <w:highlight w:val="green"/>
              </w:rPr>
            </w:pPr>
            <w:r w:rsidRPr="00A87E2C">
              <w:t>Total revenue from disposal of non-financial physical assets</w:t>
            </w:r>
          </w:p>
        </w:tc>
        <w:tc>
          <w:tcPr>
            <w:tcW w:w="1361" w:type="dxa"/>
            <w:tcBorders>
              <w:bottom w:val="single" w:sz="4" w:space="0" w:color="auto"/>
            </w:tcBorders>
            <w:shd w:val="clear" w:color="auto" w:fill="E7E6E6" w:themeFill="accent4"/>
            <w:noWrap/>
          </w:tcPr>
          <w:p w14:paraId="7400AEBF" w14:textId="77777777" w:rsidR="005B131E" w:rsidRPr="00BA7805" w:rsidRDefault="005B131E" w:rsidP="002542E1">
            <w:pPr>
              <w:pStyle w:val="ARfintablebodyrightbold"/>
              <w:rPr>
                <w:highlight w:val="green"/>
              </w:rPr>
            </w:pPr>
            <w:r w:rsidRPr="00182C29">
              <w:t>286.6</w:t>
            </w:r>
          </w:p>
        </w:tc>
        <w:tc>
          <w:tcPr>
            <w:tcW w:w="1361" w:type="dxa"/>
            <w:tcBorders>
              <w:bottom w:val="single" w:sz="4" w:space="0" w:color="auto"/>
            </w:tcBorders>
            <w:noWrap/>
          </w:tcPr>
          <w:p w14:paraId="593CD9DC" w14:textId="77777777" w:rsidR="005B131E" w:rsidRPr="00BA7805" w:rsidRDefault="005B131E" w:rsidP="002542E1">
            <w:pPr>
              <w:pStyle w:val="ARfintablebodyrightbold"/>
              <w:rPr>
                <w:highlight w:val="green"/>
              </w:rPr>
            </w:pPr>
            <w:r w:rsidRPr="00182C29">
              <w:t>141.8</w:t>
            </w:r>
          </w:p>
        </w:tc>
      </w:tr>
      <w:tr w:rsidR="005B131E" w:rsidRPr="00BA7805" w14:paraId="76AE3B1B" w14:textId="77777777" w:rsidTr="003D7AC8">
        <w:tc>
          <w:tcPr>
            <w:tcW w:w="9637" w:type="dxa"/>
            <w:gridSpan w:val="3"/>
            <w:tcBorders>
              <w:top w:val="single" w:sz="4" w:space="0" w:color="auto"/>
              <w:bottom w:val="single" w:sz="4" w:space="0" w:color="A6A6A6" w:themeColor="background1" w:themeShade="A6"/>
            </w:tcBorders>
          </w:tcPr>
          <w:p w14:paraId="2C9F4F34" w14:textId="77777777" w:rsidR="005B131E" w:rsidRPr="00BA7805" w:rsidRDefault="005B131E" w:rsidP="002542E1">
            <w:pPr>
              <w:pStyle w:val="ARfintablebodybold"/>
              <w:rPr>
                <w:highlight w:val="green"/>
              </w:rPr>
            </w:pPr>
            <w:r w:rsidRPr="0068250B">
              <w:t>Costs on disposal of non-financial physical assets</w:t>
            </w:r>
          </w:p>
        </w:tc>
      </w:tr>
      <w:tr w:rsidR="005B131E" w:rsidRPr="00BA7805" w14:paraId="22D4CC69" w14:textId="77777777" w:rsidTr="002542E1">
        <w:tc>
          <w:tcPr>
            <w:tcW w:w="6915" w:type="dxa"/>
            <w:tcBorders>
              <w:top w:val="single" w:sz="4" w:space="0" w:color="A6A6A6" w:themeColor="background1" w:themeShade="A6"/>
              <w:bottom w:val="single" w:sz="4" w:space="0" w:color="A6A6A6" w:themeColor="background1" w:themeShade="A6"/>
            </w:tcBorders>
          </w:tcPr>
          <w:p w14:paraId="151E6403" w14:textId="77777777" w:rsidR="005B131E" w:rsidRPr="00BA7805" w:rsidRDefault="005B131E" w:rsidP="002542E1">
            <w:pPr>
              <w:pStyle w:val="ARfintablebody"/>
              <w:rPr>
                <w:highlight w:val="green"/>
              </w:rPr>
            </w:pPr>
            <w:r w:rsidRPr="0068250B">
              <w:t>Land</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9EF7B77" w14:textId="77777777" w:rsidR="005B131E" w:rsidRPr="00BA7805" w:rsidRDefault="005B131E" w:rsidP="002542E1">
            <w:pPr>
              <w:pStyle w:val="ARfintablebodyright"/>
              <w:rPr>
                <w:highlight w:val="green"/>
              </w:rPr>
            </w:pPr>
            <w:r w:rsidRPr="00AB5F74">
              <w:t>121.3</w:t>
            </w:r>
          </w:p>
        </w:tc>
        <w:tc>
          <w:tcPr>
            <w:tcW w:w="1361" w:type="dxa"/>
            <w:tcBorders>
              <w:top w:val="single" w:sz="4" w:space="0" w:color="A6A6A6" w:themeColor="background1" w:themeShade="A6"/>
              <w:bottom w:val="single" w:sz="4" w:space="0" w:color="A6A6A6" w:themeColor="background1" w:themeShade="A6"/>
            </w:tcBorders>
            <w:noWrap/>
          </w:tcPr>
          <w:p w14:paraId="03605CCD" w14:textId="77777777" w:rsidR="005B131E" w:rsidRPr="00BA7805" w:rsidRDefault="005B131E" w:rsidP="002542E1">
            <w:pPr>
              <w:pStyle w:val="ARfintablebodyright"/>
              <w:rPr>
                <w:highlight w:val="green"/>
              </w:rPr>
            </w:pPr>
            <w:r w:rsidRPr="00AB5F74">
              <w:t>116.9</w:t>
            </w:r>
          </w:p>
        </w:tc>
      </w:tr>
      <w:tr w:rsidR="005B131E" w:rsidRPr="00BA7805" w14:paraId="7619D242" w14:textId="77777777" w:rsidTr="002542E1">
        <w:tc>
          <w:tcPr>
            <w:tcW w:w="6915" w:type="dxa"/>
            <w:tcBorders>
              <w:top w:val="single" w:sz="4" w:space="0" w:color="A6A6A6" w:themeColor="background1" w:themeShade="A6"/>
              <w:bottom w:val="single" w:sz="4" w:space="0" w:color="A6A6A6" w:themeColor="background1" w:themeShade="A6"/>
            </w:tcBorders>
          </w:tcPr>
          <w:p w14:paraId="58B2AADD" w14:textId="77777777" w:rsidR="005B131E" w:rsidRPr="00BA7805" w:rsidRDefault="005B131E" w:rsidP="002542E1">
            <w:pPr>
              <w:pStyle w:val="ARfintablebody"/>
              <w:rPr>
                <w:highlight w:val="green"/>
              </w:rPr>
            </w:pPr>
            <w:r w:rsidRPr="0068250B">
              <w:t>Buildings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5951CE81" w14:textId="77777777" w:rsidR="005B131E" w:rsidRPr="00BA7805" w:rsidRDefault="005B131E" w:rsidP="002542E1">
            <w:pPr>
              <w:pStyle w:val="ARfintablebodyright"/>
              <w:rPr>
                <w:highlight w:val="green"/>
              </w:rPr>
            </w:pPr>
            <w:r w:rsidRPr="00AB5F74">
              <w:t>166.7</w:t>
            </w:r>
          </w:p>
        </w:tc>
        <w:tc>
          <w:tcPr>
            <w:tcW w:w="1361" w:type="dxa"/>
            <w:tcBorders>
              <w:top w:val="single" w:sz="4" w:space="0" w:color="A6A6A6" w:themeColor="background1" w:themeShade="A6"/>
              <w:bottom w:val="single" w:sz="4" w:space="0" w:color="A6A6A6" w:themeColor="background1" w:themeShade="A6"/>
            </w:tcBorders>
            <w:noWrap/>
          </w:tcPr>
          <w:p w14:paraId="326C0C1F" w14:textId="77777777" w:rsidR="005B131E" w:rsidRPr="00BA7805" w:rsidRDefault="005B131E" w:rsidP="002542E1">
            <w:pPr>
              <w:pStyle w:val="ARfintablebodyright"/>
              <w:rPr>
                <w:highlight w:val="green"/>
              </w:rPr>
            </w:pPr>
            <w:r w:rsidRPr="00AB5F74">
              <w:t>21.7</w:t>
            </w:r>
          </w:p>
        </w:tc>
      </w:tr>
      <w:tr w:rsidR="005B131E" w:rsidRPr="00BA7805" w14:paraId="44B45F62" w14:textId="77777777" w:rsidTr="002542E1">
        <w:tc>
          <w:tcPr>
            <w:tcW w:w="6915" w:type="dxa"/>
            <w:tcBorders>
              <w:top w:val="single" w:sz="4" w:space="0" w:color="A6A6A6" w:themeColor="background1" w:themeShade="A6"/>
              <w:bottom w:val="single" w:sz="4" w:space="0" w:color="A6A6A6" w:themeColor="background1" w:themeShade="A6"/>
            </w:tcBorders>
          </w:tcPr>
          <w:p w14:paraId="57A41560" w14:textId="77777777" w:rsidR="005B131E" w:rsidRPr="00BA7805" w:rsidRDefault="005B131E" w:rsidP="002542E1">
            <w:pPr>
              <w:pStyle w:val="ARfintablebody"/>
              <w:rPr>
                <w:highlight w:val="green"/>
              </w:rPr>
            </w:pPr>
            <w:r w:rsidRPr="0068250B">
              <w:t xml:space="preserve">Shared home ownership scheme </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CD4F730" w14:textId="77777777" w:rsidR="005B131E" w:rsidRPr="00BA7805" w:rsidRDefault="005B131E" w:rsidP="002542E1">
            <w:pPr>
              <w:pStyle w:val="ARfintablebodyright"/>
              <w:rPr>
                <w:highlight w:val="green"/>
              </w:rPr>
            </w:pPr>
            <w:r w:rsidRPr="00AB5F74">
              <w:t>1.0</w:t>
            </w:r>
          </w:p>
        </w:tc>
        <w:tc>
          <w:tcPr>
            <w:tcW w:w="1361" w:type="dxa"/>
            <w:tcBorders>
              <w:top w:val="single" w:sz="4" w:space="0" w:color="A6A6A6" w:themeColor="background1" w:themeShade="A6"/>
              <w:bottom w:val="single" w:sz="4" w:space="0" w:color="A6A6A6" w:themeColor="background1" w:themeShade="A6"/>
            </w:tcBorders>
            <w:noWrap/>
          </w:tcPr>
          <w:p w14:paraId="211BDB2F" w14:textId="77777777" w:rsidR="005B131E" w:rsidRPr="00BA7805" w:rsidRDefault="005B131E" w:rsidP="002542E1">
            <w:pPr>
              <w:pStyle w:val="ARfintablebodyright"/>
              <w:rPr>
                <w:highlight w:val="green"/>
              </w:rPr>
            </w:pPr>
            <w:r w:rsidRPr="00AB5F74">
              <w:t>1.9</w:t>
            </w:r>
          </w:p>
        </w:tc>
      </w:tr>
      <w:tr w:rsidR="005B131E" w:rsidRPr="00BA7805" w14:paraId="1C6393A2" w14:textId="77777777" w:rsidTr="002542E1">
        <w:tc>
          <w:tcPr>
            <w:tcW w:w="6915" w:type="dxa"/>
            <w:tcBorders>
              <w:top w:val="single" w:sz="4" w:space="0" w:color="A6A6A6" w:themeColor="background1" w:themeShade="A6"/>
            </w:tcBorders>
          </w:tcPr>
          <w:p w14:paraId="56BC0D1D" w14:textId="77777777" w:rsidR="005B131E" w:rsidRPr="00BA7805" w:rsidRDefault="005B131E" w:rsidP="002542E1">
            <w:pPr>
              <w:pStyle w:val="ARfintablebody"/>
              <w:rPr>
                <w:highlight w:val="green"/>
              </w:rPr>
            </w:pPr>
            <w:r w:rsidRPr="0068250B">
              <w:t>Miscellaneous assets</w:t>
            </w:r>
          </w:p>
        </w:tc>
        <w:tc>
          <w:tcPr>
            <w:tcW w:w="1361" w:type="dxa"/>
            <w:tcBorders>
              <w:top w:val="single" w:sz="4" w:space="0" w:color="A6A6A6" w:themeColor="background1" w:themeShade="A6"/>
            </w:tcBorders>
            <w:shd w:val="clear" w:color="auto" w:fill="E7E6E6" w:themeFill="accent4"/>
            <w:noWrap/>
          </w:tcPr>
          <w:p w14:paraId="074FFB90" w14:textId="77777777" w:rsidR="005B131E" w:rsidRPr="00BA7805" w:rsidRDefault="005B131E" w:rsidP="002542E1">
            <w:pPr>
              <w:pStyle w:val="ARfintablebodyright"/>
              <w:rPr>
                <w:highlight w:val="green"/>
              </w:rPr>
            </w:pPr>
            <w:r w:rsidRPr="00AB5F74">
              <w:t>6.3</w:t>
            </w:r>
          </w:p>
        </w:tc>
        <w:tc>
          <w:tcPr>
            <w:tcW w:w="1361" w:type="dxa"/>
            <w:tcBorders>
              <w:top w:val="single" w:sz="4" w:space="0" w:color="A6A6A6" w:themeColor="background1" w:themeShade="A6"/>
            </w:tcBorders>
            <w:noWrap/>
          </w:tcPr>
          <w:p w14:paraId="2272779D" w14:textId="77777777" w:rsidR="005B131E" w:rsidRPr="00BA7805" w:rsidRDefault="005B131E" w:rsidP="002542E1">
            <w:pPr>
              <w:pStyle w:val="ARfintablebodyright"/>
              <w:rPr>
                <w:highlight w:val="green"/>
              </w:rPr>
            </w:pPr>
            <w:r w:rsidRPr="00AB5F74">
              <w:t>4.6</w:t>
            </w:r>
          </w:p>
        </w:tc>
      </w:tr>
      <w:tr w:rsidR="005B131E" w:rsidRPr="00BA7805" w14:paraId="74412621" w14:textId="77777777" w:rsidTr="002542E1">
        <w:tc>
          <w:tcPr>
            <w:tcW w:w="6915" w:type="dxa"/>
          </w:tcPr>
          <w:p w14:paraId="33238046" w14:textId="77777777" w:rsidR="005B131E" w:rsidRPr="00BA7805" w:rsidRDefault="005B131E" w:rsidP="002542E1">
            <w:pPr>
              <w:pStyle w:val="ARfintablebodybold"/>
              <w:rPr>
                <w:highlight w:val="green"/>
              </w:rPr>
            </w:pPr>
            <w:r w:rsidRPr="0068250B">
              <w:t>Total costs on disposal of non-financial physical assets</w:t>
            </w:r>
          </w:p>
        </w:tc>
        <w:tc>
          <w:tcPr>
            <w:tcW w:w="1361" w:type="dxa"/>
            <w:shd w:val="clear" w:color="auto" w:fill="E7E6E6" w:themeFill="accent4"/>
            <w:noWrap/>
          </w:tcPr>
          <w:p w14:paraId="73FCCFC6" w14:textId="77777777" w:rsidR="005B131E" w:rsidRPr="00BA7805" w:rsidRDefault="005B131E" w:rsidP="002542E1">
            <w:pPr>
              <w:pStyle w:val="ARfintablebodyrightbold"/>
              <w:rPr>
                <w:highlight w:val="green"/>
              </w:rPr>
            </w:pPr>
            <w:r w:rsidRPr="00AB5F74">
              <w:t>295.3</w:t>
            </w:r>
          </w:p>
        </w:tc>
        <w:tc>
          <w:tcPr>
            <w:tcW w:w="1361" w:type="dxa"/>
            <w:noWrap/>
          </w:tcPr>
          <w:p w14:paraId="44BBD0AC" w14:textId="77777777" w:rsidR="005B131E" w:rsidRPr="00BA7805" w:rsidRDefault="005B131E" w:rsidP="002542E1">
            <w:pPr>
              <w:pStyle w:val="ARfintablebodyrightbold"/>
              <w:rPr>
                <w:highlight w:val="green"/>
              </w:rPr>
            </w:pPr>
            <w:r w:rsidRPr="00AB5F74">
              <w:t>145.2</w:t>
            </w:r>
          </w:p>
        </w:tc>
      </w:tr>
      <w:tr w:rsidR="005B131E" w:rsidRPr="00BA7805" w14:paraId="16F8A810" w14:textId="77777777" w:rsidTr="002542E1">
        <w:tc>
          <w:tcPr>
            <w:tcW w:w="6915" w:type="dxa"/>
            <w:tcBorders>
              <w:bottom w:val="single" w:sz="4" w:space="0" w:color="auto"/>
            </w:tcBorders>
          </w:tcPr>
          <w:p w14:paraId="0260C36B" w14:textId="77777777" w:rsidR="005B131E" w:rsidRPr="00BA7805" w:rsidRDefault="005B131E" w:rsidP="002542E1">
            <w:pPr>
              <w:pStyle w:val="ARfintablebodybold"/>
              <w:rPr>
                <w:highlight w:val="green"/>
              </w:rPr>
            </w:pPr>
            <w:r w:rsidRPr="0068250B">
              <w:t>Net gain/(loss) on disposal of non-financial assets</w:t>
            </w:r>
          </w:p>
        </w:tc>
        <w:tc>
          <w:tcPr>
            <w:tcW w:w="1361" w:type="dxa"/>
            <w:tcBorders>
              <w:bottom w:val="single" w:sz="4" w:space="0" w:color="auto"/>
            </w:tcBorders>
            <w:shd w:val="clear" w:color="auto" w:fill="E7E6E6" w:themeFill="accent4"/>
            <w:noWrap/>
          </w:tcPr>
          <w:p w14:paraId="5535840F" w14:textId="77777777" w:rsidR="005B131E" w:rsidRPr="00BA7805" w:rsidRDefault="005B131E" w:rsidP="002542E1">
            <w:pPr>
              <w:pStyle w:val="ARfintablebodyrightbold"/>
              <w:rPr>
                <w:highlight w:val="green"/>
              </w:rPr>
            </w:pPr>
            <w:r w:rsidRPr="00AB5F74">
              <w:t>(8.6)</w:t>
            </w:r>
          </w:p>
        </w:tc>
        <w:tc>
          <w:tcPr>
            <w:tcW w:w="1361" w:type="dxa"/>
            <w:tcBorders>
              <w:bottom w:val="single" w:sz="4" w:space="0" w:color="auto"/>
            </w:tcBorders>
            <w:noWrap/>
          </w:tcPr>
          <w:p w14:paraId="01182965" w14:textId="77777777" w:rsidR="005B131E" w:rsidRPr="00BA7805" w:rsidRDefault="005B131E" w:rsidP="002542E1">
            <w:pPr>
              <w:pStyle w:val="ARfintablebodyrightbold"/>
              <w:rPr>
                <w:highlight w:val="green"/>
              </w:rPr>
            </w:pPr>
            <w:r w:rsidRPr="00AB5F74">
              <w:t>(3.4)</w:t>
            </w:r>
          </w:p>
        </w:tc>
      </w:tr>
      <w:tr w:rsidR="005B131E" w:rsidRPr="00BA7805" w14:paraId="253FD205" w14:textId="77777777" w:rsidTr="003D7AC8">
        <w:tc>
          <w:tcPr>
            <w:tcW w:w="9637" w:type="dxa"/>
            <w:gridSpan w:val="3"/>
            <w:tcBorders>
              <w:top w:val="single" w:sz="4" w:space="0" w:color="auto"/>
              <w:bottom w:val="single" w:sz="4" w:space="0" w:color="A6A6A6" w:themeColor="background1" w:themeShade="A6"/>
            </w:tcBorders>
          </w:tcPr>
          <w:p w14:paraId="5C543345" w14:textId="77777777" w:rsidR="005B131E" w:rsidRPr="00BA7805" w:rsidRDefault="005B131E" w:rsidP="002542E1">
            <w:pPr>
              <w:pStyle w:val="ARfintablebodybold"/>
              <w:rPr>
                <w:highlight w:val="green"/>
              </w:rPr>
            </w:pPr>
            <w:r w:rsidRPr="00E45AF7">
              <w:t>(b) Net gain/(loss) on financial instruments</w:t>
            </w:r>
          </w:p>
        </w:tc>
      </w:tr>
      <w:tr w:rsidR="005B131E" w:rsidRPr="00BA7805" w14:paraId="21A6D340" w14:textId="77777777" w:rsidTr="002542E1">
        <w:tc>
          <w:tcPr>
            <w:tcW w:w="6915" w:type="dxa"/>
            <w:tcBorders>
              <w:top w:val="single" w:sz="4" w:space="0" w:color="A6A6A6" w:themeColor="background1" w:themeShade="A6"/>
            </w:tcBorders>
          </w:tcPr>
          <w:p w14:paraId="1C68D3D9" w14:textId="77777777" w:rsidR="005B131E" w:rsidRPr="00BA7805" w:rsidRDefault="005B131E" w:rsidP="002542E1">
            <w:pPr>
              <w:pStyle w:val="ARfintablebody"/>
              <w:rPr>
                <w:highlight w:val="green"/>
              </w:rPr>
            </w:pPr>
            <w:r w:rsidRPr="00E45AF7">
              <w:t>Net gain/(loss) on financial instruments and statutory receivables/payables</w:t>
            </w:r>
          </w:p>
        </w:tc>
        <w:tc>
          <w:tcPr>
            <w:tcW w:w="1361" w:type="dxa"/>
            <w:tcBorders>
              <w:top w:val="single" w:sz="4" w:space="0" w:color="A6A6A6" w:themeColor="background1" w:themeShade="A6"/>
            </w:tcBorders>
            <w:shd w:val="clear" w:color="auto" w:fill="E7E6E6" w:themeFill="accent4"/>
            <w:noWrap/>
          </w:tcPr>
          <w:p w14:paraId="7C93F0FD" w14:textId="77777777" w:rsidR="005B131E" w:rsidRPr="00BA7805" w:rsidRDefault="005B131E" w:rsidP="002542E1">
            <w:pPr>
              <w:pStyle w:val="ARfintablebodyright"/>
              <w:rPr>
                <w:highlight w:val="green"/>
              </w:rPr>
            </w:pPr>
            <w:r w:rsidRPr="00D46B2A">
              <w:t>2.0</w:t>
            </w:r>
          </w:p>
        </w:tc>
        <w:tc>
          <w:tcPr>
            <w:tcW w:w="1361" w:type="dxa"/>
            <w:tcBorders>
              <w:top w:val="single" w:sz="4" w:space="0" w:color="A6A6A6" w:themeColor="background1" w:themeShade="A6"/>
            </w:tcBorders>
            <w:noWrap/>
          </w:tcPr>
          <w:p w14:paraId="52910CD9" w14:textId="77777777" w:rsidR="005B131E" w:rsidRPr="00BA7805" w:rsidRDefault="005B131E" w:rsidP="002542E1">
            <w:pPr>
              <w:pStyle w:val="ARfintablebodyright"/>
              <w:rPr>
                <w:highlight w:val="green"/>
              </w:rPr>
            </w:pPr>
            <w:r w:rsidRPr="00D46B2A">
              <w:t>0.6</w:t>
            </w:r>
          </w:p>
        </w:tc>
      </w:tr>
      <w:tr w:rsidR="005B131E" w:rsidRPr="00BA7805" w14:paraId="7821DA26" w14:textId="77777777" w:rsidTr="002542E1">
        <w:tc>
          <w:tcPr>
            <w:tcW w:w="6915" w:type="dxa"/>
            <w:tcBorders>
              <w:bottom w:val="single" w:sz="4" w:space="0" w:color="auto"/>
            </w:tcBorders>
          </w:tcPr>
          <w:p w14:paraId="1802FFBD" w14:textId="77777777" w:rsidR="005B131E" w:rsidRPr="00BA7805" w:rsidRDefault="005B131E" w:rsidP="002542E1">
            <w:pPr>
              <w:pStyle w:val="ARfintablebodybold"/>
              <w:rPr>
                <w:highlight w:val="green"/>
              </w:rPr>
            </w:pPr>
            <w:r w:rsidRPr="00E45AF7">
              <w:t>Total net gain/(loss) on financial instruments</w:t>
            </w:r>
          </w:p>
        </w:tc>
        <w:tc>
          <w:tcPr>
            <w:tcW w:w="1361" w:type="dxa"/>
            <w:tcBorders>
              <w:bottom w:val="single" w:sz="4" w:space="0" w:color="auto"/>
            </w:tcBorders>
            <w:shd w:val="clear" w:color="auto" w:fill="E7E6E6" w:themeFill="accent4"/>
            <w:noWrap/>
          </w:tcPr>
          <w:p w14:paraId="4619C60F" w14:textId="77777777" w:rsidR="005B131E" w:rsidRPr="00BA7805" w:rsidRDefault="005B131E" w:rsidP="002542E1">
            <w:pPr>
              <w:pStyle w:val="ARfintablebodyrightbold"/>
              <w:rPr>
                <w:highlight w:val="green"/>
              </w:rPr>
            </w:pPr>
            <w:r w:rsidRPr="00D46B2A">
              <w:t>2.0</w:t>
            </w:r>
          </w:p>
        </w:tc>
        <w:tc>
          <w:tcPr>
            <w:tcW w:w="1361" w:type="dxa"/>
            <w:tcBorders>
              <w:bottom w:val="single" w:sz="4" w:space="0" w:color="auto"/>
            </w:tcBorders>
            <w:noWrap/>
          </w:tcPr>
          <w:p w14:paraId="65D00377" w14:textId="77777777" w:rsidR="005B131E" w:rsidRPr="00BA7805" w:rsidRDefault="005B131E" w:rsidP="002542E1">
            <w:pPr>
              <w:pStyle w:val="ARfintablebodyrightbold"/>
              <w:rPr>
                <w:highlight w:val="green"/>
              </w:rPr>
            </w:pPr>
            <w:r w:rsidRPr="00D46B2A">
              <w:t>0.6</w:t>
            </w:r>
          </w:p>
        </w:tc>
      </w:tr>
      <w:tr w:rsidR="005B131E" w:rsidRPr="00BA7805" w14:paraId="2AB935DB" w14:textId="77777777" w:rsidTr="003D7AC8">
        <w:tc>
          <w:tcPr>
            <w:tcW w:w="9637" w:type="dxa"/>
            <w:gridSpan w:val="3"/>
            <w:tcBorders>
              <w:top w:val="single" w:sz="4" w:space="0" w:color="auto"/>
              <w:bottom w:val="single" w:sz="4" w:space="0" w:color="A6A6A6" w:themeColor="background1" w:themeShade="A6"/>
            </w:tcBorders>
          </w:tcPr>
          <w:p w14:paraId="45BACF8D" w14:textId="77777777" w:rsidR="005B131E" w:rsidRPr="00BA7805" w:rsidRDefault="005B131E" w:rsidP="002542E1">
            <w:pPr>
              <w:pStyle w:val="ARfintablebodybold"/>
              <w:rPr>
                <w:highlight w:val="green"/>
              </w:rPr>
            </w:pPr>
            <w:r w:rsidRPr="00E45AF7">
              <w:t>(c) Other gains/(losses) from other economic flows</w:t>
            </w:r>
          </w:p>
        </w:tc>
      </w:tr>
      <w:tr w:rsidR="005B131E" w:rsidRPr="00BA7805" w14:paraId="7E62D822" w14:textId="77777777" w:rsidTr="002542E1">
        <w:tc>
          <w:tcPr>
            <w:tcW w:w="6915" w:type="dxa"/>
            <w:tcBorders>
              <w:top w:val="single" w:sz="4" w:space="0" w:color="A6A6A6" w:themeColor="background1" w:themeShade="A6"/>
              <w:bottom w:val="single" w:sz="4" w:space="0" w:color="A6A6A6"/>
            </w:tcBorders>
          </w:tcPr>
          <w:p w14:paraId="1E53E009" w14:textId="77777777" w:rsidR="005B131E" w:rsidRPr="00BA7805" w:rsidRDefault="005B131E" w:rsidP="002542E1">
            <w:pPr>
              <w:pStyle w:val="ARfintablebody"/>
              <w:rPr>
                <w:highlight w:val="green"/>
              </w:rPr>
            </w:pPr>
            <w:r w:rsidRPr="00E45AF7">
              <w:t>Net gain/(loss) arising from revaluation of long service leave liability</w:t>
            </w:r>
          </w:p>
        </w:tc>
        <w:tc>
          <w:tcPr>
            <w:tcW w:w="1361" w:type="dxa"/>
            <w:tcBorders>
              <w:top w:val="single" w:sz="4" w:space="0" w:color="A6A6A6" w:themeColor="background1" w:themeShade="A6"/>
              <w:bottom w:val="single" w:sz="4" w:space="0" w:color="A6A6A6"/>
            </w:tcBorders>
            <w:shd w:val="clear" w:color="auto" w:fill="E7E6E6" w:themeFill="accent4"/>
            <w:noWrap/>
          </w:tcPr>
          <w:p w14:paraId="12C68C12" w14:textId="77777777" w:rsidR="005B131E" w:rsidRPr="00BA7805" w:rsidRDefault="005B131E" w:rsidP="002542E1">
            <w:pPr>
              <w:pStyle w:val="ARfintablebodyright"/>
              <w:rPr>
                <w:highlight w:val="green"/>
              </w:rPr>
            </w:pPr>
            <w:r w:rsidRPr="006312F4">
              <w:t>(1.7)</w:t>
            </w:r>
          </w:p>
        </w:tc>
        <w:tc>
          <w:tcPr>
            <w:tcW w:w="1361" w:type="dxa"/>
            <w:tcBorders>
              <w:top w:val="single" w:sz="4" w:space="0" w:color="A6A6A6" w:themeColor="background1" w:themeShade="A6"/>
              <w:bottom w:val="single" w:sz="4" w:space="0" w:color="A6A6A6"/>
            </w:tcBorders>
            <w:noWrap/>
          </w:tcPr>
          <w:p w14:paraId="65F83700" w14:textId="77777777" w:rsidR="005B131E" w:rsidRPr="00BA7805" w:rsidRDefault="005B131E" w:rsidP="002542E1">
            <w:pPr>
              <w:pStyle w:val="ARfintablebodyright"/>
              <w:rPr>
                <w:highlight w:val="green"/>
              </w:rPr>
            </w:pPr>
            <w:r w:rsidRPr="006312F4">
              <w:t>3.6</w:t>
            </w:r>
          </w:p>
        </w:tc>
      </w:tr>
      <w:tr w:rsidR="005B131E" w:rsidRPr="00BA7805" w14:paraId="41386B64" w14:textId="77777777" w:rsidTr="002542E1">
        <w:tc>
          <w:tcPr>
            <w:tcW w:w="6915" w:type="dxa"/>
            <w:tcBorders>
              <w:top w:val="single" w:sz="4" w:space="0" w:color="A6A6A6"/>
              <w:bottom w:val="single" w:sz="4" w:space="0" w:color="A6A6A6" w:themeColor="background1" w:themeShade="A6"/>
            </w:tcBorders>
          </w:tcPr>
          <w:p w14:paraId="310A8817" w14:textId="77777777" w:rsidR="005B131E" w:rsidRPr="00BA7805" w:rsidRDefault="005B131E" w:rsidP="002542E1">
            <w:pPr>
              <w:pStyle w:val="ARfintablebody"/>
              <w:rPr>
                <w:highlight w:val="green"/>
              </w:rPr>
            </w:pPr>
            <w:r w:rsidRPr="00E45AF7">
              <w:t>Revaluation and adjustments of insurance claims</w:t>
            </w:r>
          </w:p>
        </w:tc>
        <w:tc>
          <w:tcPr>
            <w:tcW w:w="1361" w:type="dxa"/>
            <w:tcBorders>
              <w:top w:val="single" w:sz="4" w:space="0" w:color="A6A6A6"/>
              <w:bottom w:val="single" w:sz="4" w:space="0" w:color="A6A6A6" w:themeColor="background1" w:themeShade="A6"/>
            </w:tcBorders>
            <w:shd w:val="clear" w:color="auto" w:fill="E7E6E6" w:themeFill="accent4"/>
            <w:noWrap/>
          </w:tcPr>
          <w:p w14:paraId="7C139805" w14:textId="77777777" w:rsidR="005B131E" w:rsidRPr="00BA7805" w:rsidRDefault="005B131E" w:rsidP="002542E1">
            <w:pPr>
              <w:pStyle w:val="ARfintablebodyright"/>
              <w:rPr>
                <w:highlight w:val="green"/>
              </w:rPr>
            </w:pPr>
            <w:r w:rsidRPr="006312F4">
              <w:t>(27.4)</w:t>
            </w:r>
          </w:p>
        </w:tc>
        <w:tc>
          <w:tcPr>
            <w:tcW w:w="1361" w:type="dxa"/>
            <w:tcBorders>
              <w:top w:val="single" w:sz="4" w:space="0" w:color="A6A6A6"/>
              <w:bottom w:val="single" w:sz="4" w:space="0" w:color="A6A6A6" w:themeColor="background1" w:themeShade="A6"/>
            </w:tcBorders>
            <w:noWrap/>
          </w:tcPr>
          <w:p w14:paraId="16BBE477" w14:textId="77777777" w:rsidR="005B131E" w:rsidRPr="00BA7805" w:rsidRDefault="005B131E" w:rsidP="002542E1">
            <w:pPr>
              <w:pStyle w:val="ARfintablebodyright"/>
              <w:rPr>
                <w:highlight w:val="green"/>
              </w:rPr>
            </w:pPr>
            <w:r w:rsidRPr="006312F4">
              <w:t>(26.7)</w:t>
            </w:r>
          </w:p>
        </w:tc>
      </w:tr>
      <w:tr w:rsidR="005B131E" w:rsidRPr="00BA7805" w14:paraId="08E9B5CB" w14:textId="77777777" w:rsidTr="002542E1">
        <w:tc>
          <w:tcPr>
            <w:tcW w:w="6915" w:type="dxa"/>
            <w:tcBorders>
              <w:top w:val="single" w:sz="4" w:space="0" w:color="A6A6A6" w:themeColor="background1" w:themeShade="A6"/>
            </w:tcBorders>
          </w:tcPr>
          <w:p w14:paraId="2C7CC414" w14:textId="77777777" w:rsidR="005B131E" w:rsidRPr="00BA7805" w:rsidRDefault="005B131E" w:rsidP="002542E1">
            <w:pPr>
              <w:pStyle w:val="ARfintablebody"/>
              <w:rPr>
                <w:highlight w:val="green"/>
              </w:rPr>
            </w:pPr>
            <w:r w:rsidRPr="00E45AF7">
              <w:t>Bad debt expenses</w:t>
            </w:r>
          </w:p>
        </w:tc>
        <w:tc>
          <w:tcPr>
            <w:tcW w:w="1361" w:type="dxa"/>
            <w:tcBorders>
              <w:top w:val="single" w:sz="4" w:space="0" w:color="A6A6A6" w:themeColor="background1" w:themeShade="A6"/>
            </w:tcBorders>
            <w:shd w:val="clear" w:color="auto" w:fill="E7E6E6" w:themeFill="accent4"/>
            <w:noWrap/>
          </w:tcPr>
          <w:p w14:paraId="497B0A8F" w14:textId="77777777" w:rsidR="005B131E" w:rsidRPr="00BA7805" w:rsidRDefault="005B131E" w:rsidP="002542E1">
            <w:pPr>
              <w:pStyle w:val="ARfintablebodyright"/>
              <w:rPr>
                <w:highlight w:val="green"/>
              </w:rPr>
            </w:pPr>
            <w:r w:rsidRPr="006312F4">
              <w:t>(1.0)</w:t>
            </w:r>
          </w:p>
        </w:tc>
        <w:tc>
          <w:tcPr>
            <w:tcW w:w="1361" w:type="dxa"/>
            <w:tcBorders>
              <w:top w:val="single" w:sz="4" w:space="0" w:color="A6A6A6" w:themeColor="background1" w:themeShade="A6"/>
            </w:tcBorders>
            <w:noWrap/>
          </w:tcPr>
          <w:p w14:paraId="1050DAE1" w14:textId="77777777" w:rsidR="005B131E" w:rsidRPr="00BA7805" w:rsidRDefault="005B131E" w:rsidP="002542E1">
            <w:pPr>
              <w:pStyle w:val="ARfintablebodyright"/>
              <w:rPr>
                <w:highlight w:val="green"/>
              </w:rPr>
            </w:pPr>
            <w:r w:rsidRPr="006312F4">
              <w:t>5.2</w:t>
            </w:r>
          </w:p>
        </w:tc>
      </w:tr>
      <w:tr w:rsidR="005B131E" w:rsidRPr="00BA7805" w14:paraId="4DC2BAA1" w14:textId="77777777" w:rsidTr="002542E1">
        <w:tc>
          <w:tcPr>
            <w:tcW w:w="6915" w:type="dxa"/>
          </w:tcPr>
          <w:p w14:paraId="08EFEE3D" w14:textId="77777777" w:rsidR="005B131E" w:rsidRPr="00BA7805" w:rsidRDefault="005B131E" w:rsidP="002542E1">
            <w:pPr>
              <w:pStyle w:val="ARfintablebodybold"/>
              <w:rPr>
                <w:highlight w:val="green"/>
              </w:rPr>
            </w:pPr>
            <w:r w:rsidRPr="00E45AF7">
              <w:t>Total other gains/(losses) from other economic flows</w:t>
            </w:r>
          </w:p>
        </w:tc>
        <w:tc>
          <w:tcPr>
            <w:tcW w:w="1361" w:type="dxa"/>
            <w:shd w:val="clear" w:color="auto" w:fill="E7E6E6" w:themeFill="accent4"/>
            <w:noWrap/>
          </w:tcPr>
          <w:p w14:paraId="77934431" w14:textId="77777777" w:rsidR="005B131E" w:rsidRPr="00BA7805" w:rsidRDefault="005B131E" w:rsidP="002542E1">
            <w:pPr>
              <w:pStyle w:val="ARfintablebodyrightbold"/>
              <w:rPr>
                <w:highlight w:val="green"/>
              </w:rPr>
            </w:pPr>
            <w:r w:rsidRPr="006312F4">
              <w:t>(30.1)</w:t>
            </w:r>
          </w:p>
        </w:tc>
        <w:tc>
          <w:tcPr>
            <w:tcW w:w="1361" w:type="dxa"/>
            <w:noWrap/>
          </w:tcPr>
          <w:p w14:paraId="67AC082E" w14:textId="77777777" w:rsidR="005B131E" w:rsidRPr="00BA7805" w:rsidRDefault="005B131E" w:rsidP="002542E1">
            <w:pPr>
              <w:pStyle w:val="ARfintablebodyrightbold"/>
              <w:rPr>
                <w:highlight w:val="green"/>
              </w:rPr>
            </w:pPr>
            <w:r w:rsidRPr="006312F4">
              <w:t>(17.9)</w:t>
            </w:r>
          </w:p>
        </w:tc>
      </w:tr>
    </w:tbl>
    <w:p w14:paraId="427E9E3C" w14:textId="77777777" w:rsidR="005B131E" w:rsidRPr="005C6A9D" w:rsidRDefault="005B131E">
      <w:pPr>
        <w:pStyle w:val="Heading4"/>
      </w:pPr>
      <w:bookmarkStart w:id="286" w:name="_Ref178239599"/>
      <w:r w:rsidRPr="005C6A9D">
        <w:t>9.3 Non-financial assets held for sale</w:t>
      </w:r>
      <w:bookmarkEnd w:id="286"/>
    </w:p>
    <w:p w14:paraId="0E894548" w14:textId="77777777" w:rsidR="005B131E" w:rsidRPr="00BA7805" w:rsidRDefault="005B131E">
      <w:pPr>
        <w:pStyle w:val="ARfinbodylargespace"/>
        <w:rPr>
          <w:highlight w:val="green"/>
        </w:rPr>
      </w:pPr>
      <w:r w:rsidRPr="005C6A9D">
        <w:t>In addition to the assets and liabilities disclosed above, the following non-financial assets held for sale exist at the reporting date</w:t>
      </w:r>
      <w:r>
        <w:t>:</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0D420CEC"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43339AB2"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hideMark/>
          </w:tcPr>
          <w:p w14:paraId="2DC279B4" w14:textId="77777777" w:rsidR="005B131E" w:rsidRPr="009C34AE" w:rsidRDefault="005B131E">
            <w:pPr>
              <w:pStyle w:val="ARfintablecolheadright"/>
            </w:pPr>
            <w:r w:rsidRPr="009C34AE">
              <w:t>2024</w:t>
            </w:r>
          </w:p>
          <w:p w14:paraId="18C3BC78" w14:textId="77777777" w:rsidR="005B131E" w:rsidRPr="009C34AE" w:rsidRDefault="005B131E">
            <w:pPr>
              <w:pStyle w:val="ARfintablecolheadright"/>
            </w:pPr>
            <w:r w:rsidRPr="009C34AE">
              <w:t>$M</w:t>
            </w:r>
          </w:p>
        </w:tc>
        <w:tc>
          <w:tcPr>
            <w:tcW w:w="1361" w:type="dxa"/>
            <w:tcBorders>
              <w:bottom w:val="single" w:sz="4" w:space="0" w:color="auto"/>
            </w:tcBorders>
            <w:hideMark/>
          </w:tcPr>
          <w:p w14:paraId="28220569" w14:textId="77777777" w:rsidR="005B131E" w:rsidRPr="009C34AE" w:rsidRDefault="005B131E">
            <w:pPr>
              <w:pStyle w:val="ARfintablecolheadright"/>
            </w:pPr>
            <w:r w:rsidRPr="009C34AE">
              <w:t>2023</w:t>
            </w:r>
          </w:p>
          <w:p w14:paraId="3C36615D" w14:textId="77777777" w:rsidR="005B131E" w:rsidRPr="009C34AE" w:rsidRDefault="005B131E">
            <w:pPr>
              <w:pStyle w:val="ARfintablecolheadright"/>
            </w:pPr>
            <w:r w:rsidRPr="009C34AE">
              <w:t>$M</w:t>
            </w:r>
          </w:p>
        </w:tc>
      </w:tr>
      <w:tr w:rsidR="005B131E" w:rsidRPr="00BA7805" w14:paraId="3E0A9F51" w14:textId="77777777">
        <w:tc>
          <w:tcPr>
            <w:tcW w:w="9637" w:type="dxa"/>
            <w:gridSpan w:val="3"/>
            <w:tcBorders>
              <w:top w:val="single" w:sz="4" w:space="0" w:color="auto"/>
              <w:bottom w:val="single" w:sz="4" w:space="0" w:color="A6A6A6"/>
            </w:tcBorders>
            <w:hideMark/>
          </w:tcPr>
          <w:p w14:paraId="39F66EEF" w14:textId="77777777" w:rsidR="005B131E" w:rsidRPr="00BA7805" w:rsidRDefault="005B131E" w:rsidP="002542E1">
            <w:pPr>
              <w:pStyle w:val="ARfintablebodybold"/>
              <w:rPr>
                <w:highlight w:val="green"/>
              </w:rPr>
            </w:pPr>
            <w:r w:rsidRPr="00324048">
              <w:t>Non-financial assets classified as held for sale</w:t>
            </w:r>
          </w:p>
        </w:tc>
      </w:tr>
      <w:tr w:rsidR="005B131E" w:rsidRPr="00BA7805" w14:paraId="7096BAD8" w14:textId="77777777" w:rsidTr="003D7AC8">
        <w:tc>
          <w:tcPr>
            <w:tcW w:w="6915" w:type="dxa"/>
            <w:tcBorders>
              <w:top w:val="single" w:sz="4" w:space="0" w:color="A6A6A6"/>
              <w:bottom w:val="single" w:sz="4" w:space="0" w:color="A6A6A6"/>
            </w:tcBorders>
          </w:tcPr>
          <w:p w14:paraId="388EADC2" w14:textId="77777777" w:rsidR="005B131E" w:rsidRPr="00BA7805" w:rsidRDefault="005B131E" w:rsidP="002542E1">
            <w:pPr>
              <w:pStyle w:val="ARfintablebody"/>
              <w:rPr>
                <w:highlight w:val="green"/>
              </w:rPr>
            </w:pPr>
            <w:r w:rsidRPr="00324048">
              <w:t>Buildings held for sale</w:t>
            </w:r>
          </w:p>
        </w:tc>
        <w:tc>
          <w:tcPr>
            <w:tcW w:w="1361" w:type="dxa"/>
            <w:tcBorders>
              <w:top w:val="single" w:sz="4" w:space="0" w:color="A6A6A6"/>
              <w:bottom w:val="single" w:sz="4" w:space="0" w:color="A6A6A6"/>
            </w:tcBorders>
            <w:shd w:val="clear" w:color="auto" w:fill="E7E6E6"/>
            <w:noWrap/>
          </w:tcPr>
          <w:p w14:paraId="54ACC251" w14:textId="77777777" w:rsidR="005B131E" w:rsidRPr="00BA7805" w:rsidRDefault="005B131E" w:rsidP="002542E1">
            <w:pPr>
              <w:pStyle w:val="ARfintablebodyright"/>
              <w:rPr>
                <w:highlight w:val="green"/>
              </w:rPr>
            </w:pPr>
            <w:r w:rsidRPr="008D5BDD">
              <w:t>3.4</w:t>
            </w:r>
          </w:p>
        </w:tc>
        <w:tc>
          <w:tcPr>
            <w:tcW w:w="1361" w:type="dxa"/>
            <w:tcBorders>
              <w:top w:val="single" w:sz="4" w:space="0" w:color="A6A6A6"/>
              <w:bottom w:val="single" w:sz="4" w:space="0" w:color="A6A6A6"/>
            </w:tcBorders>
            <w:noWrap/>
          </w:tcPr>
          <w:p w14:paraId="02A78B46" w14:textId="77777777" w:rsidR="005B131E" w:rsidRPr="00BA7805" w:rsidRDefault="005B131E" w:rsidP="002542E1">
            <w:pPr>
              <w:pStyle w:val="ARfintablebodyright"/>
              <w:rPr>
                <w:highlight w:val="green"/>
              </w:rPr>
            </w:pPr>
            <w:r w:rsidRPr="008D5BDD">
              <w:t>3.1</w:t>
            </w:r>
          </w:p>
        </w:tc>
      </w:tr>
      <w:tr w:rsidR="005B131E" w:rsidRPr="00BA7805" w14:paraId="51927D4D" w14:textId="77777777" w:rsidTr="002542E1">
        <w:tc>
          <w:tcPr>
            <w:tcW w:w="6915" w:type="dxa"/>
            <w:tcBorders>
              <w:top w:val="single" w:sz="4" w:space="0" w:color="A6A6A6"/>
              <w:bottom w:val="single" w:sz="4" w:space="0" w:color="A6A6A6"/>
            </w:tcBorders>
          </w:tcPr>
          <w:p w14:paraId="618AD612" w14:textId="77777777" w:rsidR="005B131E" w:rsidRPr="00BA7805" w:rsidRDefault="005B131E" w:rsidP="002542E1">
            <w:pPr>
              <w:pStyle w:val="ARfintablebody"/>
              <w:rPr>
                <w:highlight w:val="green"/>
              </w:rPr>
            </w:pPr>
            <w:r w:rsidRPr="00324048">
              <w:t>Land held for sale</w:t>
            </w:r>
          </w:p>
        </w:tc>
        <w:tc>
          <w:tcPr>
            <w:tcW w:w="1361" w:type="dxa"/>
            <w:tcBorders>
              <w:top w:val="single" w:sz="4" w:space="0" w:color="A6A6A6"/>
              <w:bottom w:val="single" w:sz="4" w:space="0" w:color="A6A6A6"/>
            </w:tcBorders>
            <w:shd w:val="clear" w:color="auto" w:fill="E7E6E6" w:themeFill="accent4"/>
            <w:noWrap/>
          </w:tcPr>
          <w:p w14:paraId="26436D26" w14:textId="77777777" w:rsidR="005B131E" w:rsidRPr="00BA7805" w:rsidRDefault="005B131E" w:rsidP="002542E1">
            <w:pPr>
              <w:pStyle w:val="ARfintablebodyright"/>
              <w:rPr>
                <w:highlight w:val="green"/>
              </w:rPr>
            </w:pPr>
            <w:r>
              <w:t>–</w:t>
            </w:r>
          </w:p>
        </w:tc>
        <w:tc>
          <w:tcPr>
            <w:tcW w:w="1361" w:type="dxa"/>
            <w:tcBorders>
              <w:top w:val="single" w:sz="4" w:space="0" w:color="A6A6A6"/>
              <w:bottom w:val="single" w:sz="4" w:space="0" w:color="A6A6A6"/>
            </w:tcBorders>
            <w:noWrap/>
          </w:tcPr>
          <w:p w14:paraId="03BF00E8" w14:textId="77777777" w:rsidR="005B131E" w:rsidRPr="00BA7805" w:rsidRDefault="005B131E" w:rsidP="002542E1">
            <w:pPr>
              <w:pStyle w:val="ARfintablebodyright"/>
              <w:rPr>
                <w:highlight w:val="green"/>
              </w:rPr>
            </w:pPr>
            <w:r w:rsidRPr="008D5BDD">
              <w:t>0.2</w:t>
            </w:r>
          </w:p>
        </w:tc>
      </w:tr>
      <w:tr w:rsidR="005B131E" w:rsidRPr="00BA7805" w14:paraId="1AD84342" w14:textId="77777777" w:rsidTr="003D7AC8">
        <w:tc>
          <w:tcPr>
            <w:tcW w:w="6915" w:type="dxa"/>
            <w:tcBorders>
              <w:top w:val="single" w:sz="4" w:space="0" w:color="A6A6A6"/>
            </w:tcBorders>
          </w:tcPr>
          <w:p w14:paraId="7BDDD593" w14:textId="77777777" w:rsidR="005B131E" w:rsidRPr="00BA7805" w:rsidRDefault="005B131E" w:rsidP="002542E1">
            <w:pPr>
              <w:pStyle w:val="ARfintablebody"/>
              <w:rPr>
                <w:highlight w:val="green"/>
              </w:rPr>
            </w:pPr>
            <w:r w:rsidRPr="00324048">
              <w:t>Plant, equipment and vehicles</w:t>
            </w:r>
          </w:p>
        </w:tc>
        <w:tc>
          <w:tcPr>
            <w:tcW w:w="1361" w:type="dxa"/>
            <w:tcBorders>
              <w:top w:val="single" w:sz="4" w:space="0" w:color="A6A6A6"/>
            </w:tcBorders>
            <w:shd w:val="clear" w:color="auto" w:fill="E7E6E6"/>
            <w:noWrap/>
          </w:tcPr>
          <w:p w14:paraId="08576A1B" w14:textId="77777777" w:rsidR="005B131E" w:rsidRPr="00BA7805" w:rsidRDefault="005B131E" w:rsidP="002542E1">
            <w:pPr>
              <w:pStyle w:val="ARfintablebodyright"/>
              <w:rPr>
                <w:highlight w:val="green"/>
              </w:rPr>
            </w:pPr>
            <w:r w:rsidRPr="008D5BDD">
              <w:t>0.8</w:t>
            </w:r>
          </w:p>
        </w:tc>
        <w:tc>
          <w:tcPr>
            <w:tcW w:w="1361" w:type="dxa"/>
            <w:tcBorders>
              <w:top w:val="single" w:sz="4" w:space="0" w:color="A6A6A6"/>
            </w:tcBorders>
            <w:noWrap/>
          </w:tcPr>
          <w:p w14:paraId="1C8E5179" w14:textId="77777777" w:rsidR="005B131E" w:rsidRPr="00BA7805" w:rsidRDefault="005B131E" w:rsidP="002542E1">
            <w:pPr>
              <w:pStyle w:val="ARfintablebodyright"/>
              <w:rPr>
                <w:highlight w:val="green"/>
              </w:rPr>
            </w:pPr>
            <w:r w:rsidRPr="008D5BDD">
              <w:t>0.9</w:t>
            </w:r>
          </w:p>
        </w:tc>
      </w:tr>
      <w:tr w:rsidR="005B131E" w:rsidRPr="00BA7805" w14:paraId="43E67561" w14:textId="77777777" w:rsidTr="003D7AC8">
        <w:tc>
          <w:tcPr>
            <w:tcW w:w="6915" w:type="dxa"/>
          </w:tcPr>
          <w:p w14:paraId="75990C92" w14:textId="77777777" w:rsidR="005B131E" w:rsidRPr="00BA7805" w:rsidRDefault="005B131E" w:rsidP="002542E1">
            <w:pPr>
              <w:pStyle w:val="ARfintablebodybold"/>
              <w:rPr>
                <w:highlight w:val="green"/>
              </w:rPr>
            </w:pPr>
            <w:r w:rsidRPr="00324048">
              <w:t>Total non-financial assets classified as held for sale</w:t>
            </w:r>
          </w:p>
        </w:tc>
        <w:tc>
          <w:tcPr>
            <w:tcW w:w="1361" w:type="dxa"/>
            <w:shd w:val="clear" w:color="auto" w:fill="E7E6E6"/>
            <w:noWrap/>
          </w:tcPr>
          <w:p w14:paraId="0B8435D4" w14:textId="77777777" w:rsidR="005B131E" w:rsidRPr="00BA7805" w:rsidRDefault="005B131E" w:rsidP="002542E1">
            <w:pPr>
              <w:pStyle w:val="ARfintablebodyrightbold"/>
              <w:rPr>
                <w:highlight w:val="green"/>
              </w:rPr>
            </w:pPr>
            <w:r w:rsidRPr="008D5BDD">
              <w:t>4.2</w:t>
            </w:r>
          </w:p>
        </w:tc>
        <w:tc>
          <w:tcPr>
            <w:tcW w:w="1361" w:type="dxa"/>
            <w:noWrap/>
          </w:tcPr>
          <w:p w14:paraId="6A11B1FF" w14:textId="77777777" w:rsidR="005B131E" w:rsidRPr="00BA7805" w:rsidRDefault="005B131E" w:rsidP="002542E1">
            <w:pPr>
              <w:pStyle w:val="ARfintablebodyrightbold"/>
              <w:rPr>
                <w:highlight w:val="green"/>
              </w:rPr>
            </w:pPr>
            <w:r w:rsidRPr="008D5BDD">
              <w:t>4.3</w:t>
            </w:r>
          </w:p>
        </w:tc>
      </w:tr>
    </w:tbl>
    <w:p w14:paraId="7B31D9BC" w14:textId="77777777" w:rsidR="005B131E" w:rsidRPr="00BA7805" w:rsidRDefault="005B131E">
      <w:pPr>
        <w:pStyle w:val="ARfinbody"/>
        <w:rPr>
          <w:highlight w:val="green"/>
        </w:rPr>
      </w:pPr>
      <w:r w:rsidRPr="00BA7805">
        <w:rPr>
          <w:highlight w:val="green"/>
        </w:rPr>
        <w:br w:type="page"/>
      </w:r>
    </w:p>
    <w:p w14:paraId="427AF6C9" w14:textId="77777777" w:rsidR="005B131E" w:rsidRPr="00BE3FE5" w:rsidRDefault="005B131E" w:rsidP="002542E1">
      <w:pPr>
        <w:pStyle w:val="Heading5"/>
        <w:spacing w:before="0"/>
        <w:rPr>
          <w:lang w:eastAsia="en-AU"/>
        </w:rPr>
      </w:pPr>
      <w:bookmarkStart w:id="287" w:name="_Ref178665294"/>
      <w:r w:rsidRPr="00BE3FE5">
        <w:rPr>
          <w:lang w:eastAsia="en-AU"/>
        </w:rPr>
        <w:t>Measurement of non-financial physical assets</w:t>
      </w:r>
      <w:bookmarkEnd w:id="287"/>
    </w:p>
    <w:p w14:paraId="025A4FAB" w14:textId="77777777" w:rsidR="005B131E" w:rsidRDefault="005B131E" w:rsidP="002542E1">
      <w:pPr>
        <w:pStyle w:val="ARfinbody"/>
      </w:pPr>
      <w:r>
        <w:t>Non-financial physical assets are treated as current and classified as held for sale if their carrying amount will be recovered through a sale transaction rather than through continuing use.</w:t>
      </w:r>
    </w:p>
    <w:p w14:paraId="5DAF1402" w14:textId="77777777" w:rsidR="005B131E" w:rsidRDefault="005B131E" w:rsidP="002542E1">
      <w:pPr>
        <w:pStyle w:val="ARfinbody"/>
      </w:pPr>
      <w:r>
        <w:t>This condition is regarded as met only when:</w:t>
      </w:r>
    </w:p>
    <w:p w14:paraId="209F761C" w14:textId="77777777" w:rsidR="005B131E" w:rsidRDefault="005B131E" w:rsidP="002542E1">
      <w:pPr>
        <w:pStyle w:val="ARfinbullet1"/>
      </w:pPr>
      <w:r>
        <w:t>the asset is available for immediate sale in the current condition</w:t>
      </w:r>
    </w:p>
    <w:p w14:paraId="2082D170" w14:textId="77777777" w:rsidR="005B131E" w:rsidRDefault="005B131E" w:rsidP="002542E1">
      <w:pPr>
        <w:pStyle w:val="ARfinbullet1"/>
      </w:pPr>
      <w:r>
        <w:t>the sale is highly probable and the asset sale is expected to be completed within 12 months from the date of classification.</w:t>
      </w:r>
    </w:p>
    <w:p w14:paraId="55A9712E" w14:textId="77777777" w:rsidR="005B131E" w:rsidRPr="00BA7805" w:rsidRDefault="005B131E" w:rsidP="002542E1">
      <w:pPr>
        <w:pStyle w:val="ARfinbody"/>
        <w:rPr>
          <w:highlight w:val="green"/>
        </w:rPr>
      </w:pPr>
      <w:r>
        <w:t>These non-financial physical assets are measured at the lower of carrying amount and fair value less costs to sell, and are not subject to depreciation or amortisation.</w:t>
      </w:r>
    </w:p>
    <w:p w14:paraId="6067D417" w14:textId="77777777" w:rsidR="005B131E" w:rsidRPr="00BE3FE5" w:rsidRDefault="005B131E">
      <w:pPr>
        <w:pStyle w:val="Heading4"/>
        <w:rPr>
          <w:lang w:eastAsia="en-AU"/>
        </w:rPr>
      </w:pPr>
      <w:r w:rsidRPr="00BE3FE5">
        <w:rPr>
          <w:lang w:eastAsia="en-AU"/>
        </w:rPr>
        <w:t>9.4 Reserves</w:t>
      </w:r>
    </w:p>
    <w:tbl>
      <w:tblPr>
        <w:tblStyle w:val="TableGrid"/>
        <w:tblW w:w="9639" w:type="dxa"/>
        <w:tblLayout w:type="fixed"/>
        <w:tblLook w:val="06A0" w:firstRow="1" w:lastRow="0" w:firstColumn="1" w:lastColumn="0" w:noHBand="1" w:noVBand="1"/>
      </w:tblPr>
      <w:tblGrid>
        <w:gridCol w:w="6917"/>
        <w:gridCol w:w="1361"/>
        <w:gridCol w:w="1361"/>
      </w:tblGrid>
      <w:tr w:rsidR="005B131E" w:rsidRPr="00BA7805" w14:paraId="56D70A9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0A406328" w14:textId="77777777" w:rsidR="005B131E" w:rsidRPr="00BA7805" w:rsidRDefault="005B131E">
            <w:pPr>
              <w:pStyle w:val="ARfintablecolhead"/>
              <w:rPr>
                <w:highlight w:val="green"/>
              </w:rPr>
            </w:pPr>
          </w:p>
        </w:tc>
        <w:tc>
          <w:tcPr>
            <w:tcW w:w="1361" w:type="dxa"/>
            <w:tcBorders>
              <w:bottom w:val="single" w:sz="4" w:space="0" w:color="auto"/>
            </w:tcBorders>
            <w:shd w:val="clear" w:color="auto" w:fill="E7E6E6" w:themeFill="accent4"/>
            <w:hideMark/>
          </w:tcPr>
          <w:p w14:paraId="63289F1D" w14:textId="77777777" w:rsidR="005B131E" w:rsidRPr="00BE3FE5" w:rsidRDefault="005B131E">
            <w:pPr>
              <w:pStyle w:val="ARfintablecolheadright"/>
            </w:pPr>
            <w:r w:rsidRPr="00BE3FE5">
              <w:t>2024</w:t>
            </w:r>
          </w:p>
          <w:p w14:paraId="286D1479" w14:textId="77777777" w:rsidR="005B131E" w:rsidRPr="00BE3FE5" w:rsidRDefault="005B131E">
            <w:pPr>
              <w:pStyle w:val="ARfintablecolheadright"/>
              <w:rPr>
                <w:lang w:eastAsia="en-US"/>
              </w:rPr>
            </w:pPr>
            <w:r w:rsidRPr="00BE3FE5">
              <w:t>$M</w:t>
            </w:r>
          </w:p>
        </w:tc>
        <w:tc>
          <w:tcPr>
            <w:tcW w:w="1361" w:type="dxa"/>
            <w:tcBorders>
              <w:bottom w:val="single" w:sz="4" w:space="0" w:color="auto"/>
            </w:tcBorders>
            <w:hideMark/>
          </w:tcPr>
          <w:p w14:paraId="7BB71FE0" w14:textId="77777777" w:rsidR="005B131E" w:rsidRPr="00BE3FE5" w:rsidRDefault="005B131E">
            <w:pPr>
              <w:pStyle w:val="ARfintablecolheadright"/>
            </w:pPr>
            <w:r w:rsidRPr="00BE3FE5">
              <w:t>2023</w:t>
            </w:r>
          </w:p>
          <w:p w14:paraId="3B4EBDE0" w14:textId="77777777" w:rsidR="005B131E" w:rsidRPr="00BE3FE5" w:rsidRDefault="005B131E">
            <w:pPr>
              <w:pStyle w:val="ARfintablecolheadright"/>
            </w:pPr>
            <w:r w:rsidRPr="00BE3FE5">
              <w:t>$M</w:t>
            </w:r>
          </w:p>
        </w:tc>
      </w:tr>
      <w:tr w:rsidR="005B131E" w:rsidRPr="00BA7805" w14:paraId="5374150D" w14:textId="77777777" w:rsidTr="003D7AC8">
        <w:trPr>
          <w:cantSplit w:val="0"/>
        </w:trPr>
        <w:tc>
          <w:tcPr>
            <w:tcW w:w="9639" w:type="dxa"/>
            <w:gridSpan w:val="3"/>
            <w:tcBorders>
              <w:top w:val="single" w:sz="4" w:space="0" w:color="auto"/>
              <w:bottom w:val="single" w:sz="4" w:space="0" w:color="A6A6A6" w:themeColor="background1" w:themeShade="A6"/>
            </w:tcBorders>
          </w:tcPr>
          <w:p w14:paraId="12BF6436" w14:textId="77777777" w:rsidR="005B131E" w:rsidRPr="00BA7805" w:rsidRDefault="005B131E" w:rsidP="002542E1">
            <w:pPr>
              <w:pStyle w:val="ARfintablebodybold"/>
              <w:rPr>
                <w:sz w:val="20"/>
                <w:szCs w:val="20"/>
                <w:highlight w:val="green"/>
              </w:rPr>
            </w:pPr>
            <w:r w:rsidRPr="00A52AFA">
              <w:t>(a) Accumulated surplus/(deficit)</w:t>
            </w:r>
          </w:p>
        </w:tc>
      </w:tr>
      <w:tr w:rsidR="005B131E" w:rsidRPr="00BA7805" w14:paraId="31739DD9"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27587EB9" w14:textId="77777777" w:rsidR="005B131E" w:rsidRPr="00BA7805" w:rsidRDefault="005B131E" w:rsidP="002542E1">
            <w:pPr>
              <w:pStyle w:val="ARfintablebody"/>
              <w:rPr>
                <w:highlight w:val="green"/>
                <w:lang w:eastAsia="en-US"/>
              </w:rPr>
            </w:pPr>
            <w:r w:rsidRPr="00A52AFA">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902415F" w14:textId="77777777" w:rsidR="005B131E" w:rsidRPr="00BA7805" w:rsidRDefault="005B131E" w:rsidP="002542E1">
            <w:pPr>
              <w:pStyle w:val="ARfintablebodyright"/>
              <w:rPr>
                <w:highlight w:val="green"/>
              </w:rPr>
            </w:pPr>
            <w:r w:rsidRPr="00A52AFA">
              <w:t>180.9</w:t>
            </w:r>
          </w:p>
        </w:tc>
        <w:tc>
          <w:tcPr>
            <w:tcW w:w="1361" w:type="dxa"/>
            <w:tcBorders>
              <w:top w:val="single" w:sz="4" w:space="0" w:color="A6A6A6" w:themeColor="background1" w:themeShade="A6"/>
              <w:bottom w:val="single" w:sz="4" w:space="0" w:color="A6A6A6" w:themeColor="background1" w:themeShade="A6"/>
            </w:tcBorders>
            <w:noWrap/>
          </w:tcPr>
          <w:p w14:paraId="36929BE6" w14:textId="77777777" w:rsidR="005B131E" w:rsidRPr="00BA7805" w:rsidRDefault="005B131E" w:rsidP="002542E1">
            <w:pPr>
              <w:pStyle w:val="ARfintablebodyright"/>
              <w:rPr>
                <w:highlight w:val="green"/>
              </w:rPr>
            </w:pPr>
            <w:r w:rsidRPr="00A52AFA">
              <w:t>444.6</w:t>
            </w:r>
          </w:p>
        </w:tc>
      </w:tr>
      <w:tr w:rsidR="005B131E" w:rsidRPr="00BA7805" w14:paraId="5B06499C"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3B7B58C3" w14:textId="77777777" w:rsidR="005B131E" w:rsidRPr="00BA7805" w:rsidRDefault="005B131E" w:rsidP="002542E1">
            <w:pPr>
              <w:pStyle w:val="ARfintablebody"/>
              <w:rPr>
                <w:highlight w:val="green"/>
              </w:rPr>
            </w:pPr>
            <w:r w:rsidRPr="00A52AFA">
              <w:t>Net result for the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608FCE5" w14:textId="77777777" w:rsidR="005B131E" w:rsidRPr="00BA7805" w:rsidRDefault="005B131E" w:rsidP="002542E1">
            <w:pPr>
              <w:pStyle w:val="ARfintablebodyright"/>
              <w:rPr>
                <w:highlight w:val="green"/>
              </w:rPr>
            </w:pPr>
            <w:r w:rsidRPr="00A52AFA">
              <w:t>(638.4)</w:t>
            </w:r>
          </w:p>
        </w:tc>
        <w:tc>
          <w:tcPr>
            <w:tcW w:w="1361" w:type="dxa"/>
            <w:tcBorders>
              <w:top w:val="single" w:sz="4" w:space="0" w:color="A6A6A6" w:themeColor="background1" w:themeShade="A6"/>
              <w:bottom w:val="single" w:sz="4" w:space="0" w:color="A6A6A6" w:themeColor="background1" w:themeShade="A6"/>
            </w:tcBorders>
            <w:noWrap/>
          </w:tcPr>
          <w:p w14:paraId="21DA9EAE" w14:textId="77777777" w:rsidR="005B131E" w:rsidRPr="00BA7805" w:rsidRDefault="005B131E" w:rsidP="002542E1">
            <w:pPr>
              <w:pStyle w:val="ARfintablebodyright"/>
              <w:rPr>
                <w:highlight w:val="green"/>
              </w:rPr>
            </w:pPr>
            <w:r w:rsidRPr="00A52AFA">
              <w:t>(264.7)</w:t>
            </w:r>
          </w:p>
        </w:tc>
      </w:tr>
      <w:tr w:rsidR="005B131E" w:rsidRPr="00BA7805" w14:paraId="58DE56D1"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1B42BBB1" w14:textId="77777777" w:rsidR="005B131E" w:rsidRPr="00BA7805" w:rsidRDefault="005B131E" w:rsidP="002542E1">
            <w:pPr>
              <w:pStyle w:val="ARfintablebody"/>
              <w:rPr>
                <w:highlight w:val="green"/>
              </w:rPr>
            </w:pPr>
            <w:r w:rsidRPr="00A52AFA">
              <w:t>Remeasurement of superannuation defined benefit plans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6A273CDB" w14:textId="77777777" w:rsidR="005B131E" w:rsidRPr="00BA7805" w:rsidRDefault="005B131E" w:rsidP="002542E1">
            <w:pPr>
              <w:pStyle w:val="ARfintablebodyright"/>
              <w:rPr>
                <w:highlight w:val="green"/>
              </w:rPr>
            </w:pPr>
            <w:r w:rsidRPr="00A52AFA">
              <w:t>2.1</w:t>
            </w:r>
          </w:p>
        </w:tc>
        <w:tc>
          <w:tcPr>
            <w:tcW w:w="1361" w:type="dxa"/>
            <w:tcBorders>
              <w:top w:val="single" w:sz="4" w:space="0" w:color="A6A6A6" w:themeColor="background1" w:themeShade="A6"/>
              <w:bottom w:val="single" w:sz="4" w:space="0" w:color="A6A6A6" w:themeColor="background1" w:themeShade="A6"/>
            </w:tcBorders>
            <w:noWrap/>
          </w:tcPr>
          <w:p w14:paraId="7E56894D" w14:textId="77777777" w:rsidR="005B131E" w:rsidRPr="00BA7805" w:rsidRDefault="005B131E" w:rsidP="002542E1">
            <w:pPr>
              <w:pStyle w:val="ARfintablebodyright"/>
              <w:rPr>
                <w:highlight w:val="green"/>
              </w:rPr>
            </w:pPr>
            <w:r w:rsidRPr="00A52AFA">
              <w:t>1.0</w:t>
            </w:r>
          </w:p>
        </w:tc>
      </w:tr>
      <w:tr w:rsidR="005B131E" w:rsidRPr="00BA7805" w14:paraId="7B302D46" w14:textId="77777777" w:rsidTr="002542E1">
        <w:trPr>
          <w:cantSplit w:val="0"/>
        </w:trPr>
        <w:tc>
          <w:tcPr>
            <w:tcW w:w="6917" w:type="dxa"/>
            <w:tcBorders>
              <w:bottom w:val="single" w:sz="4" w:space="0" w:color="auto"/>
            </w:tcBorders>
          </w:tcPr>
          <w:p w14:paraId="64B575E7" w14:textId="77777777" w:rsidR="005B131E" w:rsidRPr="00BA7805" w:rsidRDefault="005B131E" w:rsidP="002542E1">
            <w:pPr>
              <w:pStyle w:val="ARfintablebodybold"/>
              <w:rPr>
                <w:highlight w:val="green"/>
              </w:rPr>
            </w:pPr>
            <w:r w:rsidRPr="00A52AFA">
              <w:t>Balance at the end of financial year</w:t>
            </w:r>
          </w:p>
        </w:tc>
        <w:tc>
          <w:tcPr>
            <w:tcW w:w="1361" w:type="dxa"/>
            <w:tcBorders>
              <w:bottom w:val="single" w:sz="4" w:space="0" w:color="auto"/>
            </w:tcBorders>
            <w:shd w:val="clear" w:color="auto" w:fill="E7E6E6" w:themeFill="accent4"/>
            <w:noWrap/>
          </w:tcPr>
          <w:p w14:paraId="207900ED" w14:textId="77777777" w:rsidR="005B131E" w:rsidRPr="00BA7805" w:rsidRDefault="005B131E" w:rsidP="002542E1">
            <w:pPr>
              <w:pStyle w:val="ARfintablebodyrightbold"/>
              <w:rPr>
                <w:highlight w:val="green"/>
              </w:rPr>
            </w:pPr>
            <w:r w:rsidRPr="00A52AFA">
              <w:t>(455.4)</w:t>
            </w:r>
          </w:p>
        </w:tc>
        <w:tc>
          <w:tcPr>
            <w:tcW w:w="1361" w:type="dxa"/>
            <w:tcBorders>
              <w:bottom w:val="single" w:sz="4" w:space="0" w:color="auto"/>
            </w:tcBorders>
            <w:noWrap/>
          </w:tcPr>
          <w:p w14:paraId="5D254E0D" w14:textId="77777777" w:rsidR="005B131E" w:rsidRPr="00BA7805" w:rsidRDefault="005B131E" w:rsidP="002542E1">
            <w:pPr>
              <w:pStyle w:val="ARfintablebodyrightbold"/>
              <w:rPr>
                <w:highlight w:val="green"/>
              </w:rPr>
            </w:pPr>
            <w:r w:rsidRPr="00A52AFA">
              <w:t>180.8</w:t>
            </w:r>
          </w:p>
        </w:tc>
      </w:tr>
      <w:tr w:rsidR="005B131E" w:rsidRPr="00BA7805" w14:paraId="4AE92660" w14:textId="77777777" w:rsidTr="003D7AC8">
        <w:trPr>
          <w:cantSplit w:val="0"/>
        </w:trPr>
        <w:tc>
          <w:tcPr>
            <w:tcW w:w="9639" w:type="dxa"/>
            <w:gridSpan w:val="3"/>
            <w:tcBorders>
              <w:top w:val="single" w:sz="4" w:space="0" w:color="auto"/>
              <w:bottom w:val="single" w:sz="4" w:space="0" w:color="A6A6A6" w:themeColor="background1" w:themeShade="A6"/>
            </w:tcBorders>
          </w:tcPr>
          <w:p w14:paraId="0245CD7F" w14:textId="77777777" w:rsidR="005B131E" w:rsidRPr="00BA7805" w:rsidRDefault="005B131E" w:rsidP="002542E1">
            <w:pPr>
              <w:pStyle w:val="ARfintablebodybold"/>
              <w:rPr>
                <w:sz w:val="20"/>
                <w:szCs w:val="20"/>
                <w:highlight w:val="green"/>
              </w:rPr>
            </w:pPr>
            <w:r w:rsidRPr="00B74458">
              <w:t>(b) Physical asset revaluation surplus</w:t>
            </w:r>
          </w:p>
        </w:tc>
      </w:tr>
      <w:tr w:rsidR="005B131E" w:rsidRPr="00BA7805" w14:paraId="0A1A51F1"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6D721547" w14:textId="77777777" w:rsidR="005B131E" w:rsidRPr="00BA7805" w:rsidRDefault="005B131E" w:rsidP="002542E1">
            <w:pPr>
              <w:pStyle w:val="ARfintablebody"/>
              <w:rPr>
                <w:highlight w:val="green"/>
                <w:lang w:eastAsia="en-US"/>
              </w:rPr>
            </w:pPr>
            <w:r w:rsidRPr="00B74458">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4CA744EB" w14:textId="77777777" w:rsidR="005B131E" w:rsidRPr="00BA7805" w:rsidRDefault="005B131E" w:rsidP="002542E1">
            <w:pPr>
              <w:pStyle w:val="ARfintablebodyright"/>
              <w:rPr>
                <w:highlight w:val="green"/>
              </w:rPr>
            </w:pPr>
            <w:r w:rsidRPr="00B74458">
              <w:t>7,570.5</w:t>
            </w:r>
          </w:p>
        </w:tc>
        <w:tc>
          <w:tcPr>
            <w:tcW w:w="1361" w:type="dxa"/>
            <w:tcBorders>
              <w:top w:val="single" w:sz="4" w:space="0" w:color="A6A6A6" w:themeColor="background1" w:themeShade="A6"/>
              <w:bottom w:val="single" w:sz="4" w:space="0" w:color="A6A6A6" w:themeColor="background1" w:themeShade="A6"/>
            </w:tcBorders>
            <w:noWrap/>
          </w:tcPr>
          <w:p w14:paraId="480BDC96" w14:textId="77777777" w:rsidR="005B131E" w:rsidRPr="00BA7805" w:rsidRDefault="005B131E" w:rsidP="002542E1">
            <w:pPr>
              <w:pStyle w:val="ARfintablebodyright"/>
              <w:rPr>
                <w:highlight w:val="green"/>
              </w:rPr>
            </w:pPr>
            <w:r w:rsidRPr="00B74458">
              <w:t>7,522.8</w:t>
            </w:r>
          </w:p>
        </w:tc>
      </w:tr>
      <w:tr w:rsidR="005B131E" w:rsidRPr="00BA7805" w14:paraId="326ABACF"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2EC65029" w14:textId="77777777" w:rsidR="005B131E" w:rsidRPr="00BA7805" w:rsidRDefault="005B131E" w:rsidP="002542E1">
            <w:pPr>
              <w:pStyle w:val="ARfintablebody"/>
              <w:rPr>
                <w:highlight w:val="green"/>
              </w:rPr>
            </w:pPr>
            <w:r w:rsidRPr="00B74458">
              <w:t xml:space="preserve">Revaluation increments/(decrements) of land and buildings </w:t>
            </w:r>
            <w:r w:rsidRPr="00816E52">
              <w:rPr>
                <w:vertAlign w:val="superscript"/>
              </w:rPr>
              <w:t>(i)</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8FE04EC" w14:textId="77777777" w:rsidR="005B131E" w:rsidRPr="00BA7805" w:rsidRDefault="005B131E" w:rsidP="002542E1">
            <w:pPr>
              <w:pStyle w:val="ARfintablebodyright"/>
              <w:rPr>
                <w:highlight w:val="green"/>
              </w:rPr>
            </w:pPr>
            <w:r w:rsidRPr="00B74458">
              <w:t>1,185.7</w:t>
            </w:r>
          </w:p>
        </w:tc>
        <w:tc>
          <w:tcPr>
            <w:tcW w:w="1361" w:type="dxa"/>
            <w:tcBorders>
              <w:top w:val="single" w:sz="4" w:space="0" w:color="A6A6A6" w:themeColor="background1" w:themeShade="A6"/>
              <w:bottom w:val="single" w:sz="4" w:space="0" w:color="A6A6A6" w:themeColor="background1" w:themeShade="A6"/>
            </w:tcBorders>
            <w:noWrap/>
          </w:tcPr>
          <w:p w14:paraId="140F84EA" w14:textId="77777777" w:rsidR="005B131E" w:rsidRPr="00BA7805" w:rsidRDefault="005B131E" w:rsidP="002542E1">
            <w:pPr>
              <w:pStyle w:val="ARfintablebodyright"/>
              <w:rPr>
                <w:highlight w:val="green"/>
              </w:rPr>
            </w:pPr>
            <w:r w:rsidRPr="00B74458">
              <w:t>47.7</w:t>
            </w:r>
          </w:p>
        </w:tc>
      </w:tr>
      <w:tr w:rsidR="005B131E" w:rsidRPr="00BA7805" w14:paraId="74A8E45E" w14:textId="77777777" w:rsidTr="002542E1">
        <w:trPr>
          <w:cantSplit w:val="0"/>
        </w:trPr>
        <w:tc>
          <w:tcPr>
            <w:tcW w:w="6917" w:type="dxa"/>
            <w:tcBorders>
              <w:bottom w:val="single" w:sz="4" w:space="0" w:color="auto"/>
            </w:tcBorders>
          </w:tcPr>
          <w:p w14:paraId="438D5AB6" w14:textId="77777777" w:rsidR="005B131E" w:rsidRPr="00BA7805" w:rsidRDefault="005B131E" w:rsidP="002542E1">
            <w:pPr>
              <w:pStyle w:val="ARfintablebodybold"/>
              <w:rPr>
                <w:highlight w:val="green"/>
              </w:rPr>
            </w:pPr>
            <w:r w:rsidRPr="00B74458">
              <w:t>Balance at the end of financial year</w:t>
            </w:r>
          </w:p>
        </w:tc>
        <w:tc>
          <w:tcPr>
            <w:tcW w:w="1361" w:type="dxa"/>
            <w:tcBorders>
              <w:bottom w:val="single" w:sz="4" w:space="0" w:color="auto"/>
            </w:tcBorders>
            <w:shd w:val="clear" w:color="auto" w:fill="E7E6E6" w:themeFill="accent4"/>
            <w:noWrap/>
          </w:tcPr>
          <w:p w14:paraId="20DDC4D9" w14:textId="77777777" w:rsidR="005B131E" w:rsidRPr="00BA7805" w:rsidRDefault="005B131E" w:rsidP="002542E1">
            <w:pPr>
              <w:pStyle w:val="ARfintablebodyrightbold"/>
              <w:rPr>
                <w:highlight w:val="green"/>
              </w:rPr>
            </w:pPr>
            <w:r w:rsidRPr="00B74458">
              <w:t>8,756.2</w:t>
            </w:r>
          </w:p>
        </w:tc>
        <w:tc>
          <w:tcPr>
            <w:tcW w:w="1361" w:type="dxa"/>
            <w:tcBorders>
              <w:bottom w:val="single" w:sz="4" w:space="0" w:color="auto"/>
            </w:tcBorders>
            <w:noWrap/>
          </w:tcPr>
          <w:p w14:paraId="76D56C4E" w14:textId="77777777" w:rsidR="005B131E" w:rsidRPr="00BA7805" w:rsidRDefault="005B131E" w:rsidP="002542E1">
            <w:pPr>
              <w:pStyle w:val="ARfintablebodyrightbold"/>
              <w:rPr>
                <w:highlight w:val="green"/>
              </w:rPr>
            </w:pPr>
            <w:r w:rsidRPr="00B74458">
              <w:t>7,570.5</w:t>
            </w:r>
          </w:p>
        </w:tc>
      </w:tr>
      <w:tr w:rsidR="005B131E" w:rsidRPr="00BA7805" w14:paraId="5E18D0F5" w14:textId="77777777" w:rsidTr="003D7AC8">
        <w:trPr>
          <w:cantSplit w:val="0"/>
        </w:trPr>
        <w:tc>
          <w:tcPr>
            <w:tcW w:w="9639" w:type="dxa"/>
            <w:gridSpan w:val="3"/>
            <w:tcBorders>
              <w:top w:val="single" w:sz="4" w:space="0" w:color="auto"/>
              <w:bottom w:val="single" w:sz="4" w:space="0" w:color="A6A6A6" w:themeColor="background1" w:themeShade="A6"/>
            </w:tcBorders>
          </w:tcPr>
          <w:p w14:paraId="0E4DEA0E" w14:textId="77777777" w:rsidR="005B131E" w:rsidRPr="00BA7805" w:rsidRDefault="005B131E" w:rsidP="002542E1">
            <w:pPr>
              <w:pStyle w:val="ARfintablebodybold"/>
              <w:rPr>
                <w:sz w:val="20"/>
                <w:szCs w:val="20"/>
                <w:highlight w:val="green"/>
              </w:rPr>
            </w:pPr>
            <w:r w:rsidRPr="00C56AD0">
              <w:t>Physical asset revaluation surplus represented by:</w:t>
            </w:r>
          </w:p>
        </w:tc>
      </w:tr>
      <w:tr w:rsidR="005B131E" w:rsidRPr="00BA7805" w14:paraId="5BCEADF0"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791537D8" w14:textId="77777777" w:rsidR="005B131E" w:rsidRPr="00BA7805" w:rsidRDefault="005B131E" w:rsidP="002542E1">
            <w:pPr>
              <w:pStyle w:val="ARfintablebody"/>
              <w:rPr>
                <w:highlight w:val="green"/>
                <w:lang w:eastAsia="en-US"/>
              </w:rPr>
            </w:pPr>
            <w:r>
              <w:t>–</w:t>
            </w:r>
            <w:r w:rsidRPr="00C56AD0">
              <w:t xml:space="preserve"> Land</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3E0C4870" w14:textId="77777777" w:rsidR="005B131E" w:rsidRPr="00BA7805" w:rsidRDefault="005B131E" w:rsidP="002542E1">
            <w:pPr>
              <w:pStyle w:val="ARfintablebodyright"/>
              <w:rPr>
                <w:highlight w:val="green"/>
              </w:rPr>
            </w:pPr>
            <w:r w:rsidRPr="00C56AD0">
              <w:t>6,076.8</w:t>
            </w:r>
          </w:p>
        </w:tc>
        <w:tc>
          <w:tcPr>
            <w:tcW w:w="1361" w:type="dxa"/>
            <w:tcBorders>
              <w:top w:val="single" w:sz="4" w:space="0" w:color="A6A6A6" w:themeColor="background1" w:themeShade="A6"/>
              <w:bottom w:val="single" w:sz="4" w:space="0" w:color="A6A6A6" w:themeColor="background1" w:themeShade="A6"/>
            </w:tcBorders>
            <w:noWrap/>
          </w:tcPr>
          <w:p w14:paraId="7843CAF9" w14:textId="77777777" w:rsidR="005B131E" w:rsidRPr="00BA7805" w:rsidRDefault="005B131E" w:rsidP="002542E1">
            <w:pPr>
              <w:pStyle w:val="ARfintablebodyright"/>
              <w:rPr>
                <w:highlight w:val="green"/>
              </w:rPr>
            </w:pPr>
            <w:r w:rsidRPr="00C56AD0">
              <w:t>6,050.1</w:t>
            </w:r>
          </w:p>
        </w:tc>
      </w:tr>
      <w:tr w:rsidR="005B131E" w:rsidRPr="00BA7805" w14:paraId="1E012980" w14:textId="77777777" w:rsidTr="002542E1">
        <w:trPr>
          <w:cantSplit w:val="0"/>
        </w:trPr>
        <w:tc>
          <w:tcPr>
            <w:tcW w:w="6917" w:type="dxa"/>
            <w:tcBorders>
              <w:top w:val="single" w:sz="4" w:space="0" w:color="A6A6A6" w:themeColor="background1" w:themeShade="A6"/>
              <w:bottom w:val="single" w:sz="4" w:space="0" w:color="000000" w:themeColor="text1"/>
            </w:tcBorders>
          </w:tcPr>
          <w:p w14:paraId="22F3B737" w14:textId="77777777" w:rsidR="005B131E" w:rsidRPr="00BA7805" w:rsidRDefault="005B131E" w:rsidP="002542E1">
            <w:pPr>
              <w:pStyle w:val="ARfintablebody"/>
              <w:rPr>
                <w:highlight w:val="green"/>
              </w:rPr>
            </w:pPr>
            <w:r>
              <w:t>–</w:t>
            </w:r>
            <w:r w:rsidRPr="00C56AD0">
              <w:t xml:space="preserve"> Buildings</w:t>
            </w:r>
          </w:p>
        </w:tc>
        <w:tc>
          <w:tcPr>
            <w:tcW w:w="1361" w:type="dxa"/>
            <w:tcBorders>
              <w:top w:val="single" w:sz="4" w:space="0" w:color="A6A6A6" w:themeColor="background1" w:themeShade="A6"/>
              <w:bottom w:val="single" w:sz="4" w:space="0" w:color="000000" w:themeColor="text1"/>
            </w:tcBorders>
            <w:shd w:val="clear" w:color="auto" w:fill="E7E6E6" w:themeFill="accent4"/>
            <w:noWrap/>
          </w:tcPr>
          <w:p w14:paraId="7AC88973" w14:textId="77777777" w:rsidR="005B131E" w:rsidRPr="00BA7805" w:rsidRDefault="005B131E" w:rsidP="002542E1">
            <w:pPr>
              <w:pStyle w:val="ARfintablebodyright"/>
              <w:rPr>
                <w:highlight w:val="green"/>
              </w:rPr>
            </w:pPr>
            <w:r w:rsidRPr="00C56AD0">
              <w:t>2,679.4</w:t>
            </w:r>
          </w:p>
        </w:tc>
        <w:tc>
          <w:tcPr>
            <w:tcW w:w="1361" w:type="dxa"/>
            <w:tcBorders>
              <w:top w:val="single" w:sz="4" w:space="0" w:color="A6A6A6" w:themeColor="background1" w:themeShade="A6"/>
              <w:bottom w:val="single" w:sz="4" w:space="0" w:color="000000" w:themeColor="text1"/>
            </w:tcBorders>
            <w:noWrap/>
          </w:tcPr>
          <w:p w14:paraId="7A4E0420" w14:textId="77777777" w:rsidR="005B131E" w:rsidRPr="00BA7805" w:rsidRDefault="005B131E" w:rsidP="002542E1">
            <w:pPr>
              <w:pStyle w:val="ARfintablebodyright"/>
              <w:rPr>
                <w:highlight w:val="green"/>
              </w:rPr>
            </w:pPr>
            <w:r w:rsidRPr="00C56AD0">
              <w:t>1,520.4</w:t>
            </w:r>
          </w:p>
        </w:tc>
      </w:tr>
      <w:tr w:rsidR="005B131E" w:rsidRPr="00BA7805" w14:paraId="30995305" w14:textId="77777777" w:rsidTr="002542E1">
        <w:trPr>
          <w:cantSplit w:val="0"/>
        </w:trPr>
        <w:tc>
          <w:tcPr>
            <w:tcW w:w="6917" w:type="dxa"/>
            <w:tcBorders>
              <w:top w:val="single" w:sz="4" w:space="0" w:color="000000" w:themeColor="text1"/>
              <w:bottom w:val="single" w:sz="4" w:space="0" w:color="A6A6A6" w:themeColor="background1" w:themeShade="A6"/>
            </w:tcBorders>
          </w:tcPr>
          <w:p w14:paraId="2DA1E04E" w14:textId="77777777" w:rsidR="005B131E" w:rsidRPr="00BA7805" w:rsidRDefault="005B131E" w:rsidP="002542E1">
            <w:pPr>
              <w:pStyle w:val="ARfintablebodybold"/>
              <w:rPr>
                <w:highlight w:val="green"/>
              </w:rPr>
            </w:pPr>
            <w:r w:rsidRPr="00C56AD0">
              <w:t>Total physical asset revaluation surplus</w:t>
            </w:r>
          </w:p>
        </w:tc>
        <w:tc>
          <w:tcPr>
            <w:tcW w:w="1361" w:type="dxa"/>
            <w:tcBorders>
              <w:top w:val="single" w:sz="4" w:space="0" w:color="000000" w:themeColor="text1"/>
              <w:bottom w:val="single" w:sz="4" w:space="0" w:color="A6A6A6" w:themeColor="background1" w:themeShade="A6"/>
            </w:tcBorders>
            <w:shd w:val="clear" w:color="auto" w:fill="E7E6E6" w:themeFill="accent4"/>
            <w:noWrap/>
          </w:tcPr>
          <w:p w14:paraId="3626CAC8" w14:textId="77777777" w:rsidR="005B131E" w:rsidRPr="00BA7805" w:rsidRDefault="005B131E" w:rsidP="002542E1">
            <w:pPr>
              <w:pStyle w:val="ARfintablebodyrightbold"/>
              <w:rPr>
                <w:highlight w:val="green"/>
              </w:rPr>
            </w:pPr>
            <w:r w:rsidRPr="00C56AD0">
              <w:t>8,756.2</w:t>
            </w:r>
          </w:p>
        </w:tc>
        <w:tc>
          <w:tcPr>
            <w:tcW w:w="1361" w:type="dxa"/>
            <w:tcBorders>
              <w:top w:val="single" w:sz="4" w:space="0" w:color="000000" w:themeColor="text1"/>
              <w:bottom w:val="single" w:sz="4" w:space="0" w:color="A6A6A6" w:themeColor="background1" w:themeShade="A6"/>
            </w:tcBorders>
            <w:noWrap/>
          </w:tcPr>
          <w:p w14:paraId="093E2836" w14:textId="77777777" w:rsidR="005B131E" w:rsidRPr="00BA7805" w:rsidRDefault="005B131E" w:rsidP="002542E1">
            <w:pPr>
              <w:pStyle w:val="ARfintablebodyrightbold"/>
              <w:rPr>
                <w:highlight w:val="green"/>
              </w:rPr>
            </w:pPr>
            <w:r w:rsidRPr="00C56AD0">
              <w:t>7,570.5</w:t>
            </w:r>
          </w:p>
        </w:tc>
      </w:tr>
      <w:tr w:rsidR="005B131E" w:rsidRPr="00BA7805" w14:paraId="393118D4" w14:textId="77777777" w:rsidTr="003D7AC8">
        <w:trPr>
          <w:cantSplit w:val="0"/>
        </w:trPr>
        <w:tc>
          <w:tcPr>
            <w:tcW w:w="9639" w:type="dxa"/>
            <w:gridSpan w:val="3"/>
            <w:tcBorders>
              <w:top w:val="single" w:sz="4" w:space="0" w:color="auto"/>
              <w:bottom w:val="single" w:sz="4" w:space="0" w:color="A6A6A6" w:themeColor="background1" w:themeShade="A6"/>
            </w:tcBorders>
          </w:tcPr>
          <w:p w14:paraId="0512B186" w14:textId="77777777" w:rsidR="005B131E" w:rsidRPr="00BA7805" w:rsidRDefault="005B131E" w:rsidP="002542E1">
            <w:pPr>
              <w:pStyle w:val="ARfintablebodybold"/>
              <w:rPr>
                <w:sz w:val="20"/>
                <w:szCs w:val="20"/>
                <w:highlight w:val="green"/>
              </w:rPr>
            </w:pPr>
            <w:r w:rsidRPr="008A169E">
              <w:t>(c) Contributed capital</w:t>
            </w:r>
          </w:p>
        </w:tc>
      </w:tr>
      <w:tr w:rsidR="005B131E" w:rsidRPr="00BA7805" w14:paraId="4EB2E56F"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2B924ADE" w14:textId="77777777" w:rsidR="005B131E" w:rsidRPr="00BA7805" w:rsidRDefault="005B131E" w:rsidP="002542E1">
            <w:pPr>
              <w:pStyle w:val="ARfintablebody"/>
              <w:rPr>
                <w:highlight w:val="green"/>
                <w:lang w:eastAsia="en-US"/>
              </w:rPr>
            </w:pPr>
            <w:r w:rsidRPr="008A169E">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264EF5ED" w14:textId="77777777" w:rsidR="005B131E" w:rsidRPr="00BA7805" w:rsidRDefault="005B131E" w:rsidP="002542E1">
            <w:pPr>
              <w:pStyle w:val="ARfintablebodyright"/>
              <w:rPr>
                <w:highlight w:val="green"/>
              </w:rPr>
            </w:pPr>
            <w:r w:rsidRPr="008A169E">
              <w:t>29,430.6</w:t>
            </w:r>
          </w:p>
        </w:tc>
        <w:tc>
          <w:tcPr>
            <w:tcW w:w="1361" w:type="dxa"/>
            <w:tcBorders>
              <w:top w:val="single" w:sz="4" w:space="0" w:color="A6A6A6" w:themeColor="background1" w:themeShade="A6"/>
              <w:bottom w:val="single" w:sz="4" w:space="0" w:color="A6A6A6" w:themeColor="background1" w:themeShade="A6"/>
            </w:tcBorders>
            <w:noWrap/>
          </w:tcPr>
          <w:p w14:paraId="3E3D3F51" w14:textId="77777777" w:rsidR="005B131E" w:rsidRPr="00BA7805" w:rsidRDefault="005B131E" w:rsidP="002542E1">
            <w:pPr>
              <w:pStyle w:val="ARfintablebodyright"/>
              <w:rPr>
                <w:highlight w:val="green"/>
              </w:rPr>
            </w:pPr>
            <w:r w:rsidRPr="008A169E">
              <w:t>28,808.9</w:t>
            </w:r>
          </w:p>
        </w:tc>
      </w:tr>
      <w:tr w:rsidR="005B131E" w:rsidRPr="00BA7805" w14:paraId="2C72CEAD"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4018B974" w14:textId="77777777" w:rsidR="005B131E" w:rsidRPr="00BA7805" w:rsidRDefault="005B131E" w:rsidP="002542E1">
            <w:pPr>
              <w:pStyle w:val="ARfintablebody"/>
              <w:rPr>
                <w:highlight w:val="green"/>
                <w:lang w:eastAsia="en-US"/>
              </w:rPr>
            </w:pPr>
            <w:r w:rsidRPr="008A169E">
              <w:t>Capital contributed from asset transfers</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0F8F60B9" w14:textId="77777777" w:rsidR="005B131E" w:rsidRPr="00BA7805" w:rsidRDefault="005B131E" w:rsidP="002542E1">
            <w:pPr>
              <w:pStyle w:val="ARfintablebodyright"/>
              <w:rPr>
                <w:highlight w:val="green"/>
              </w:rPr>
            </w:pPr>
            <w:r w:rsidRPr="008A169E">
              <w:t>(0.4)</w:t>
            </w:r>
          </w:p>
        </w:tc>
        <w:tc>
          <w:tcPr>
            <w:tcW w:w="1361" w:type="dxa"/>
            <w:tcBorders>
              <w:top w:val="single" w:sz="4" w:space="0" w:color="A6A6A6" w:themeColor="background1" w:themeShade="A6"/>
              <w:bottom w:val="single" w:sz="4" w:space="0" w:color="A6A6A6" w:themeColor="background1" w:themeShade="A6"/>
            </w:tcBorders>
            <w:noWrap/>
          </w:tcPr>
          <w:p w14:paraId="0A7E5AEC" w14:textId="77777777" w:rsidR="005B131E" w:rsidRPr="00BA7805" w:rsidRDefault="005B131E" w:rsidP="002542E1">
            <w:pPr>
              <w:pStyle w:val="ARfintablebodyright"/>
              <w:rPr>
                <w:highlight w:val="green"/>
              </w:rPr>
            </w:pPr>
            <w:r w:rsidRPr="008A169E">
              <w:t>(3.8)</w:t>
            </w:r>
          </w:p>
        </w:tc>
      </w:tr>
      <w:tr w:rsidR="005B131E" w:rsidRPr="00BA7805" w14:paraId="1E711F3E" w14:textId="77777777" w:rsidTr="002542E1">
        <w:trPr>
          <w:cantSplit w:val="0"/>
        </w:trPr>
        <w:tc>
          <w:tcPr>
            <w:tcW w:w="6917" w:type="dxa"/>
            <w:tcBorders>
              <w:top w:val="single" w:sz="4" w:space="0" w:color="A6A6A6" w:themeColor="background1" w:themeShade="A6"/>
              <w:bottom w:val="single" w:sz="4" w:space="0" w:color="A6A6A6" w:themeColor="background1" w:themeShade="A6"/>
            </w:tcBorders>
          </w:tcPr>
          <w:p w14:paraId="4B6F8C80" w14:textId="77777777" w:rsidR="005B131E" w:rsidRPr="00BA7805" w:rsidRDefault="005B131E" w:rsidP="002542E1">
            <w:pPr>
              <w:pStyle w:val="ARfintablebody"/>
              <w:rPr>
                <w:highlight w:val="green"/>
                <w:lang w:eastAsia="en-US"/>
              </w:rPr>
            </w:pPr>
            <w:r w:rsidRPr="008A169E">
              <w:t xml:space="preserve">Administrative restructure </w:t>
            </w:r>
            <w:r>
              <w:t>–</w:t>
            </w:r>
            <w:r w:rsidRPr="008A169E">
              <w:t xml:space="preserve"> net assets received/(transferred)</w:t>
            </w:r>
          </w:p>
        </w:tc>
        <w:tc>
          <w:tcPr>
            <w:tcW w:w="1361" w:type="dxa"/>
            <w:tcBorders>
              <w:top w:val="single" w:sz="4" w:space="0" w:color="A6A6A6" w:themeColor="background1" w:themeShade="A6"/>
              <w:bottom w:val="single" w:sz="4" w:space="0" w:color="A6A6A6" w:themeColor="background1" w:themeShade="A6"/>
            </w:tcBorders>
            <w:shd w:val="clear" w:color="auto" w:fill="E7E6E6" w:themeFill="accent4"/>
            <w:noWrap/>
          </w:tcPr>
          <w:p w14:paraId="116DF98C" w14:textId="77777777" w:rsidR="005B131E" w:rsidRPr="00BA7805" w:rsidRDefault="005B131E" w:rsidP="002542E1">
            <w:pPr>
              <w:pStyle w:val="ARfintablebodyright"/>
              <w:rPr>
                <w:highlight w:val="green"/>
              </w:rPr>
            </w:pPr>
            <w:r w:rsidRPr="008A169E">
              <w:t>(0.9)</w:t>
            </w:r>
          </w:p>
        </w:tc>
        <w:tc>
          <w:tcPr>
            <w:tcW w:w="1361" w:type="dxa"/>
            <w:tcBorders>
              <w:top w:val="single" w:sz="4" w:space="0" w:color="A6A6A6" w:themeColor="background1" w:themeShade="A6"/>
              <w:bottom w:val="single" w:sz="4" w:space="0" w:color="A6A6A6" w:themeColor="background1" w:themeShade="A6"/>
            </w:tcBorders>
            <w:noWrap/>
          </w:tcPr>
          <w:p w14:paraId="430B2AAE" w14:textId="77777777" w:rsidR="005B131E" w:rsidRPr="00BA7805" w:rsidRDefault="005B131E" w:rsidP="002542E1">
            <w:pPr>
              <w:pStyle w:val="ARfintablebodyright"/>
              <w:rPr>
                <w:highlight w:val="green"/>
              </w:rPr>
            </w:pPr>
            <w:r>
              <w:t>–</w:t>
            </w:r>
          </w:p>
        </w:tc>
      </w:tr>
      <w:tr w:rsidR="005B131E" w:rsidRPr="00BA7805" w14:paraId="2E3E3032" w14:textId="77777777" w:rsidTr="002542E1">
        <w:trPr>
          <w:cantSplit w:val="0"/>
        </w:trPr>
        <w:tc>
          <w:tcPr>
            <w:tcW w:w="6917" w:type="dxa"/>
            <w:tcBorders>
              <w:top w:val="single" w:sz="4" w:space="0" w:color="A6A6A6" w:themeColor="background1" w:themeShade="A6"/>
            </w:tcBorders>
          </w:tcPr>
          <w:p w14:paraId="74C852AE" w14:textId="77777777" w:rsidR="005B131E" w:rsidRPr="00BA7805" w:rsidRDefault="005B131E" w:rsidP="002542E1">
            <w:pPr>
              <w:pStyle w:val="ARfintablebody"/>
              <w:rPr>
                <w:highlight w:val="green"/>
              </w:rPr>
            </w:pPr>
            <w:r w:rsidRPr="008A169E">
              <w:t>Capital contributions by Victorian State Government</w:t>
            </w:r>
          </w:p>
        </w:tc>
        <w:tc>
          <w:tcPr>
            <w:tcW w:w="1361" w:type="dxa"/>
            <w:tcBorders>
              <w:top w:val="single" w:sz="4" w:space="0" w:color="A6A6A6" w:themeColor="background1" w:themeShade="A6"/>
            </w:tcBorders>
            <w:shd w:val="clear" w:color="auto" w:fill="E7E6E6" w:themeFill="accent4"/>
            <w:noWrap/>
          </w:tcPr>
          <w:p w14:paraId="4418D027" w14:textId="77777777" w:rsidR="005B131E" w:rsidRPr="00BA7805" w:rsidRDefault="005B131E" w:rsidP="002542E1">
            <w:pPr>
              <w:pStyle w:val="ARfintablebodyright"/>
              <w:rPr>
                <w:highlight w:val="green"/>
              </w:rPr>
            </w:pPr>
            <w:r w:rsidRPr="008A169E">
              <w:t>832.2</w:t>
            </w:r>
          </w:p>
        </w:tc>
        <w:tc>
          <w:tcPr>
            <w:tcW w:w="1361" w:type="dxa"/>
            <w:tcBorders>
              <w:top w:val="single" w:sz="4" w:space="0" w:color="A6A6A6" w:themeColor="background1" w:themeShade="A6"/>
            </w:tcBorders>
            <w:noWrap/>
          </w:tcPr>
          <w:p w14:paraId="06F63439" w14:textId="77777777" w:rsidR="005B131E" w:rsidRPr="00BA7805" w:rsidRDefault="005B131E" w:rsidP="002542E1">
            <w:pPr>
              <w:pStyle w:val="ARfintablebodyright"/>
              <w:rPr>
                <w:highlight w:val="green"/>
              </w:rPr>
            </w:pPr>
            <w:r w:rsidRPr="008A169E">
              <w:t>625.5</w:t>
            </w:r>
          </w:p>
        </w:tc>
      </w:tr>
      <w:tr w:rsidR="005B131E" w:rsidRPr="00BA7805" w14:paraId="7DAC7225" w14:textId="77777777" w:rsidTr="002542E1">
        <w:trPr>
          <w:cantSplit w:val="0"/>
        </w:trPr>
        <w:tc>
          <w:tcPr>
            <w:tcW w:w="6917" w:type="dxa"/>
          </w:tcPr>
          <w:p w14:paraId="22CBBE90" w14:textId="77777777" w:rsidR="005B131E" w:rsidRPr="00BA7805" w:rsidRDefault="005B131E" w:rsidP="002542E1">
            <w:pPr>
              <w:pStyle w:val="ARfintablebodybold"/>
              <w:rPr>
                <w:highlight w:val="green"/>
              </w:rPr>
            </w:pPr>
            <w:r w:rsidRPr="008A169E">
              <w:t>Balance at the end of financial year</w:t>
            </w:r>
          </w:p>
        </w:tc>
        <w:tc>
          <w:tcPr>
            <w:tcW w:w="1361" w:type="dxa"/>
            <w:shd w:val="clear" w:color="auto" w:fill="E7E6E6" w:themeFill="accent4"/>
            <w:noWrap/>
          </w:tcPr>
          <w:p w14:paraId="7D5A7054" w14:textId="77777777" w:rsidR="005B131E" w:rsidRPr="00BA7805" w:rsidRDefault="005B131E" w:rsidP="002542E1">
            <w:pPr>
              <w:pStyle w:val="ARfintablebodyrightbold"/>
              <w:rPr>
                <w:highlight w:val="green"/>
              </w:rPr>
            </w:pPr>
            <w:r w:rsidRPr="008A169E">
              <w:t>30,261.5</w:t>
            </w:r>
          </w:p>
        </w:tc>
        <w:tc>
          <w:tcPr>
            <w:tcW w:w="1361" w:type="dxa"/>
            <w:noWrap/>
          </w:tcPr>
          <w:p w14:paraId="11943470" w14:textId="77777777" w:rsidR="005B131E" w:rsidRPr="00BA7805" w:rsidRDefault="005B131E" w:rsidP="002542E1">
            <w:pPr>
              <w:pStyle w:val="ARfintablebodyrightbold"/>
              <w:rPr>
                <w:highlight w:val="green"/>
              </w:rPr>
            </w:pPr>
            <w:r w:rsidRPr="008A169E">
              <w:t>29,430.6</w:t>
            </w:r>
          </w:p>
        </w:tc>
      </w:tr>
      <w:tr w:rsidR="005B131E" w:rsidRPr="00BA7805" w14:paraId="32567354" w14:textId="77777777" w:rsidTr="002542E1">
        <w:trPr>
          <w:cantSplit w:val="0"/>
        </w:trPr>
        <w:tc>
          <w:tcPr>
            <w:tcW w:w="6917" w:type="dxa"/>
          </w:tcPr>
          <w:p w14:paraId="5BA3DDE4" w14:textId="77777777" w:rsidR="005B131E" w:rsidRPr="008A169E" w:rsidRDefault="005B131E" w:rsidP="002542E1">
            <w:pPr>
              <w:pStyle w:val="ARfintablebodybold"/>
            </w:pPr>
            <w:r w:rsidRPr="002316C5">
              <w:t>Total equity</w:t>
            </w:r>
          </w:p>
        </w:tc>
        <w:tc>
          <w:tcPr>
            <w:tcW w:w="1361" w:type="dxa"/>
            <w:shd w:val="clear" w:color="auto" w:fill="E7E6E6" w:themeFill="accent4"/>
            <w:noWrap/>
          </w:tcPr>
          <w:p w14:paraId="388455C3" w14:textId="77777777" w:rsidR="005B131E" w:rsidRPr="008A169E" w:rsidRDefault="005B131E" w:rsidP="002542E1">
            <w:pPr>
              <w:pStyle w:val="ARfintablebodyrightbold"/>
            </w:pPr>
            <w:r w:rsidRPr="002316C5">
              <w:t>38,562.3</w:t>
            </w:r>
          </w:p>
        </w:tc>
        <w:tc>
          <w:tcPr>
            <w:tcW w:w="1361" w:type="dxa"/>
            <w:noWrap/>
          </w:tcPr>
          <w:p w14:paraId="47DADCD3" w14:textId="77777777" w:rsidR="005B131E" w:rsidRPr="008A169E" w:rsidRDefault="005B131E" w:rsidP="002542E1">
            <w:pPr>
              <w:pStyle w:val="ARfintablebodyrightbold"/>
            </w:pPr>
            <w:r w:rsidRPr="002316C5">
              <w:t>37,182.0</w:t>
            </w:r>
          </w:p>
        </w:tc>
      </w:tr>
    </w:tbl>
    <w:p w14:paraId="39932DD7" w14:textId="77777777" w:rsidR="005B131E" w:rsidRPr="00CD2D84" w:rsidRDefault="005B131E">
      <w:pPr>
        <w:pStyle w:val="ARfintablefootnote"/>
        <w:rPr>
          <w:lang w:eastAsia="en-AU"/>
        </w:rPr>
      </w:pPr>
      <w:r w:rsidRPr="00CD2D84">
        <w:rPr>
          <w:lang w:eastAsia="en-AU"/>
        </w:rPr>
        <w:t>Note:</w:t>
      </w:r>
    </w:p>
    <w:p w14:paraId="5E526027" w14:textId="77777777" w:rsidR="005B131E" w:rsidRPr="00BA7805" w:rsidRDefault="005B131E">
      <w:pPr>
        <w:pStyle w:val="ARfintablefootnotetabindent"/>
        <w:rPr>
          <w:highlight w:val="green"/>
        </w:rPr>
      </w:pPr>
      <w:r w:rsidRPr="00CD2D84">
        <w:t xml:space="preserve">(i) </w:t>
      </w:r>
      <w:r>
        <w:tab/>
      </w:r>
      <w:r w:rsidRPr="00CD2D84">
        <w:t>Movements in the physical asset revaluation reserve arise from the revaluation of land and buildings and the impairment of land and</w:t>
      </w:r>
      <w:r>
        <w:t> </w:t>
      </w:r>
      <w:r w:rsidRPr="00CD2D84">
        <w:t>buildings that were previously revalued.</w:t>
      </w:r>
    </w:p>
    <w:p w14:paraId="193FAA36" w14:textId="77777777" w:rsidR="005B131E" w:rsidRDefault="005B131E" w:rsidP="002542E1">
      <w:pPr>
        <w:pStyle w:val="Heading4"/>
      </w:pPr>
      <w:r w:rsidRPr="003C5DD0">
        <w:t>9.5 Entities included in the Department of Families, Fairness and Housing financial statements pursuant to section 53(1)(b) of the FMA</w:t>
      </w:r>
    </w:p>
    <w:p w14:paraId="3A719EA0" w14:textId="7D449C9C" w:rsidR="005B131E" w:rsidRDefault="005B131E" w:rsidP="002542E1">
      <w:pPr>
        <w:pStyle w:val="ARfinbody"/>
      </w:pPr>
      <w:r>
        <w:t>The financial information of the following entities has been included into the department</w:t>
      </w:r>
      <w:r w:rsidR="00711AE6">
        <w:t>’</w:t>
      </w:r>
      <w:r>
        <w:t xml:space="preserve">s 2023–24 financial statements pursuant to a determination made by the Assistant Treasurer under s. 53(1)(b) of the </w:t>
      </w:r>
      <w:r w:rsidRPr="002B2644">
        <w:rPr>
          <w:rStyle w:val="Emphasis"/>
        </w:rPr>
        <w:t>Financial Management Act 1994</w:t>
      </w:r>
      <w:r>
        <w:t>:</w:t>
      </w:r>
    </w:p>
    <w:p w14:paraId="33DF4521" w14:textId="77777777" w:rsidR="005B131E" w:rsidRDefault="005B131E" w:rsidP="002542E1">
      <w:pPr>
        <w:pStyle w:val="ARfinbullet1"/>
      </w:pPr>
      <w:r>
        <w:t>Homes Victoria (from 1 February 2021))</w:t>
      </w:r>
    </w:p>
    <w:p w14:paraId="176BD723" w14:textId="77777777" w:rsidR="005B131E" w:rsidRDefault="005B131E" w:rsidP="002542E1">
      <w:pPr>
        <w:pStyle w:val="ARfinbullet1"/>
      </w:pPr>
      <w:r>
        <w:t>Commission for Children and Young People (from 1 July 2015)</w:t>
      </w:r>
    </w:p>
    <w:p w14:paraId="1F290C85" w14:textId="77777777" w:rsidR="005B131E" w:rsidRDefault="005B131E" w:rsidP="002542E1">
      <w:pPr>
        <w:pStyle w:val="ARfinbullet1"/>
      </w:pPr>
      <w:r>
        <w:t>Disability Worker Registration Board (from 1 June 2020)</w:t>
      </w:r>
    </w:p>
    <w:p w14:paraId="04D203A4" w14:textId="77777777" w:rsidR="005B131E" w:rsidRDefault="005B131E" w:rsidP="002542E1">
      <w:pPr>
        <w:pStyle w:val="ARfinbullet1"/>
      </w:pPr>
      <w:r>
        <w:t>Victorian Disability Worker Commission (from 1 June 2020)</w:t>
      </w:r>
    </w:p>
    <w:p w14:paraId="07E25C56" w14:textId="77777777" w:rsidR="005B131E" w:rsidRDefault="005B131E" w:rsidP="002542E1">
      <w:pPr>
        <w:pStyle w:val="ARfinbullet1"/>
      </w:pPr>
      <w:r>
        <w:t>Respect Victoria (from 1 February 2021)</w:t>
      </w:r>
    </w:p>
    <w:p w14:paraId="11FCF3BC" w14:textId="77777777" w:rsidR="005B131E" w:rsidRDefault="005B131E" w:rsidP="002542E1">
      <w:pPr>
        <w:pStyle w:val="ARfinbullet1"/>
      </w:pPr>
      <w:r>
        <w:t>Victorian Multicultural Commission (from 1 February 2021)</w:t>
      </w:r>
    </w:p>
    <w:p w14:paraId="301F3862" w14:textId="41CF6B79" w:rsidR="005B131E" w:rsidRDefault="005B131E" w:rsidP="002542E1">
      <w:pPr>
        <w:pStyle w:val="ARfinbullet1"/>
      </w:pPr>
      <w:r>
        <w:t>Victorian Veterans Council (from 1 February 2021)</w:t>
      </w:r>
      <w:r w:rsidR="00317596">
        <w:t>.</w:t>
      </w:r>
    </w:p>
    <w:p w14:paraId="048DA032" w14:textId="77777777" w:rsidR="00120540" w:rsidRDefault="00120540">
      <w:pPr>
        <w:rPr>
          <w:rFonts w:ascii="Arial" w:eastAsiaTheme="minorEastAsia" w:hAnsi="Arial" w:cs="Arial"/>
          <w:color w:val="000000"/>
          <w:sz w:val="18"/>
          <w:szCs w:val="16"/>
          <w:lang w:eastAsia="en-AU"/>
        </w:rPr>
      </w:pPr>
      <w:r>
        <w:br w:type="page"/>
      </w:r>
    </w:p>
    <w:p w14:paraId="38C2CD36" w14:textId="4BE7405F" w:rsidR="005B131E" w:rsidRPr="003C5DD0" w:rsidRDefault="005B131E" w:rsidP="002542E1">
      <w:pPr>
        <w:pStyle w:val="ARfinbodylargespace"/>
      </w:pPr>
      <w:r>
        <w:t xml:space="preserve">The </w:t>
      </w:r>
      <w:r w:rsidRPr="003C5DD0">
        <w:t>financial</w:t>
      </w:r>
      <w:r>
        <w:t xml:space="preserve"> effects of each of those entities, except Homes Victoria, were trivial to the financial statements, both individually and in aggregate. Therefore, those entities are reported in aggregate, together with the Department of Families, Fairness and Housing in the table below. Victorian Multicultural Commission was transferred from the Department of Families, Fairness and Housing to the Department of Premier and Cabinet effective from 1 February 2024 as part of Machinery of Government changes.</w:t>
      </w:r>
    </w:p>
    <w:tbl>
      <w:tblPr>
        <w:tblStyle w:val="TableGrid"/>
        <w:tblW w:w="9639" w:type="dxa"/>
        <w:tblLayout w:type="fixed"/>
        <w:tblCellMar>
          <w:right w:w="57" w:type="dxa"/>
        </w:tblCellMar>
        <w:tblLook w:val="06A0" w:firstRow="1" w:lastRow="0" w:firstColumn="1" w:lastColumn="0" w:noHBand="1" w:noVBand="1"/>
      </w:tblPr>
      <w:tblGrid>
        <w:gridCol w:w="1702"/>
        <w:gridCol w:w="993"/>
        <w:gridCol w:w="992"/>
        <w:gridCol w:w="992"/>
        <w:gridCol w:w="992"/>
        <w:gridCol w:w="992"/>
        <w:gridCol w:w="992"/>
        <w:gridCol w:w="992"/>
        <w:gridCol w:w="992"/>
      </w:tblGrid>
      <w:tr w:rsidR="005B131E" w:rsidRPr="00BA7805" w14:paraId="69D93293"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702" w:type="dxa"/>
            <w:vMerge w:val="restart"/>
            <w:tcBorders>
              <w:top w:val="nil"/>
            </w:tcBorders>
          </w:tcPr>
          <w:p w14:paraId="244760A5" w14:textId="77777777" w:rsidR="005B131E" w:rsidRPr="00BA7805" w:rsidRDefault="005B131E">
            <w:pPr>
              <w:pStyle w:val="ARfintablebody"/>
              <w:rPr>
                <w:highlight w:val="green"/>
              </w:rPr>
            </w:pPr>
          </w:p>
        </w:tc>
        <w:tc>
          <w:tcPr>
            <w:tcW w:w="1985" w:type="dxa"/>
            <w:gridSpan w:val="2"/>
            <w:tcBorders>
              <w:top w:val="nil"/>
              <w:bottom w:val="single" w:sz="4" w:space="0" w:color="auto"/>
            </w:tcBorders>
            <w:shd w:val="clear" w:color="auto" w:fill="auto"/>
            <w:noWrap/>
          </w:tcPr>
          <w:p w14:paraId="61534D1E" w14:textId="77777777" w:rsidR="005B131E" w:rsidRPr="003C5DD0" w:rsidRDefault="005B131E">
            <w:pPr>
              <w:pStyle w:val="ARfintablecolheadcentre"/>
            </w:pPr>
            <w:r w:rsidRPr="003C5DD0">
              <w:t>Department of Families, Fairness and Housing</w:t>
            </w:r>
          </w:p>
        </w:tc>
        <w:tc>
          <w:tcPr>
            <w:tcW w:w="1984" w:type="dxa"/>
            <w:gridSpan w:val="2"/>
            <w:tcBorders>
              <w:top w:val="nil"/>
              <w:bottom w:val="single" w:sz="4" w:space="0" w:color="auto"/>
            </w:tcBorders>
            <w:shd w:val="clear" w:color="auto" w:fill="auto"/>
          </w:tcPr>
          <w:p w14:paraId="53C2540F" w14:textId="77777777" w:rsidR="005B131E" w:rsidRPr="003C5DD0" w:rsidRDefault="005B131E">
            <w:pPr>
              <w:pStyle w:val="ARfintablecolheadcentre"/>
            </w:pPr>
            <w:r w:rsidRPr="003C5DD0">
              <w:t xml:space="preserve">Homes </w:t>
            </w:r>
            <w:r w:rsidRPr="003C5DD0">
              <w:br/>
              <w:t>Victoria</w:t>
            </w:r>
          </w:p>
        </w:tc>
        <w:tc>
          <w:tcPr>
            <w:tcW w:w="1984" w:type="dxa"/>
            <w:gridSpan w:val="2"/>
            <w:tcBorders>
              <w:top w:val="nil"/>
              <w:bottom w:val="single" w:sz="4" w:space="0" w:color="auto"/>
            </w:tcBorders>
            <w:shd w:val="clear" w:color="auto" w:fill="auto"/>
            <w:noWrap/>
          </w:tcPr>
          <w:p w14:paraId="611FAD52" w14:textId="77777777" w:rsidR="005B131E" w:rsidRPr="003C5DD0" w:rsidRDefault="005B131E">
            <w:pPr>
              <w:pStyle w:val="ARfintablecolheadcentre"/>
            </w:pPr>
            <w:r w:rsidRPr="003C5DD0">
              <w:t>Eliminations and adjustments</w:t>
            </w:r>
          </w:p>
        </w:tc>
        <w:tc>
          <w:tcPr>
            <w:tcW w:w="1984" w:type="dxa"/>
            <w:gridSpan w:val="2"/>
            <w:tcBorders>
              <w:top w:val="nil"/>
              <w:bottom w:val="single" w:sz="4" w:space="0" w:color="auto"/>
            </w:tcBorders>
            <w:shd w:val="clear" w:color="auto" w:fill="auto"/>
            <w:noWrap/>
          </w:tcPr>
          <w:p w14:paraId="174915E2" w14:textId="77777777" w:rsidR="005B131E" w:rsidRPr="003C5DD0" w:rsidRDefault="005B131E">
            <w:pPr>
              <w:pStyle w:val="ARfintablecolheadcentre"/>
            </w:pPr>
            <w:r w:rsidRPr="003C5DD0">
              <w:t>Total</w:t>
            </w:r>
          </w:p>
        </w:tc>
      </w:tr>
      <w:tr w:rsidR="005B131E" w:rsidRPr="00BA7805" w14:paraId="624A16D1" w14:textId="77777777" w:rsidTr="002542E1">
        <w:trPr>
          <w:cnfStyle w:val="100000000000" w:firstRow="1" w:lastRow="0" w:firstColumn="0" w:lastColumn="0" w:oddVBand="0" w:evenVBand="0" w:oddHBand="0" w:evenHBand="0" w:firstRowFirstColumn="0" w:firstRowLastColumn="0" w:lastRowFirstColumn="0" w:lastRowLastColumn="0"/>
          <w:trHeight w:val="255"/>
          <w:tblHeader/>
        </w:trPr>
        <w:tc>
          <w:tcPr>
            <w:tcW w:w="1702" w:type="dxa"/>
            <w:vMerge/>
            <w:tcBorders>
              <w:top w:val="single" w:sz="4" w:space="0" w:color="auto"/>
              <w:bottom w:val="single" w:sz="4" w:space="0" w:color="auto"/>
            </w:tcBorders>
          </w:tcPr>
          <w:p w14:paraId="4C762970" w14:textId="77777777" w:rsidR="005B131E" w:rsidRPr="00BA7805" w:rsidRDefault="005B131E" w:rsidP="002542E1">
            <w:pPr>
              <w:pStyle w:val="ARfintablebody"/>
              <w:rPr>
                <w:highlight w:val="green"/>
              </w:rPr>
            </w:pPr>
          </w:p>
        </w:tc>
        <w:tc>
          <w:tcPr>
            <w:tcW w:w="993" w:type="dxa"/>
            <w:tcBorders>
              <w:top w:val="single" w:sz="4" w:space="0" w:color="auto"/>
              <w:bottom w:val="single" w:sz="4" w:space="0" w:color="A6A6A6"/>
            </w:tcBorders>
            <w:shd w:val="clear" w:color="auto" w:fill="E7E6E6"/>
            <w:noWrap/>
          </w:tcPr>
          <w:p w14:paraId="6C208713" w14:textId="77777777" w:rsidR="005B131E" w:rsidRPr="003C5DD0" w:rsidRDefault="005B131E" w:rsidP="002542E1">
            <w:pPr>
              <w:pStyle w:val="ARfintablecolheadright"/>
            </w:pPr>
            <w:r w:rsidRPr="003C5DD0">
              <w:t>2024</w:t>
            </w:r>
          </w:p>
          <w:p w14:paraId="36EAD87E" w14:textId="77777777" w:rsidR="005B131E" w:rsidRPr="003C5DD0" w:rsidRDefault="005B131E" w:rsidP="002542E1">
            <w:pPr>
              <w:pStyle w:val="ARfintablecolheadright"/>
            </w:pPr>
            <w:r w:rsidRPr="003C5DD0">
              <w:t>$M</w:t>
            </w:r>
          </w:p>
        </w:tc>
        <w:tc>
          <w:tcPr>
            <w:tcW w:w="992" w:type="dxa"/>
            <w:tcBorders>
              <w:top w:val="single" w:sz="4" w:space="0" w:color="auto"/>
              <w:bottom w:val="single" w:sz="4" w:space="0" w:color="A6A6A6"/>
            </w:tcBorders>
            <w:noWrap/>
          </w:tcPr>
          <w:p w14:paraId="6A802586" w14:textId="77777777" w:rsidR="005B131E" w:rsidRPr="003C5DD0" w:rsidRDefault="005B131E" w:rsidP="002542E1">
            <w:pPr>
              <w:pStyle w:val="ARfintablecolheadright"/>
            </w:pPr>
            <w:r w:rsidRPr="003C5DD0">
              <w:t>2023</w:t>
            </w:r>
          </w:p>
          <w:p w14:paraId="512C7805" w14:textId="77777777" w:rsidR="005B131E" w:rsidRPr="003C5DD0" w:rsidRDefault="005B131E" w:rsidP="002542E1">
            <w:pPr>
              <w:pStyle w:val="ARfintablecolheadright"/>
            </w:pPr>
            <w:r w:rsidRPr="003C5DD0">
              <w:t>$M</w:t>
            </w:r>
          </w:p>
        </w:tc>
        <w:tc>
          <w:tcPr>
            <w:tcW w:w="992" w:type="dxa"/>
            <w:tcBorders>
              <w:top w:val="single" w:sz="4" w:space="0" w:color="auto"/>
              <w:bottom w:val="single" w:sz="4" w:space="0" w:color="A6A6A6"/>
            </w:tcBorders>
            <w:shd w:val="clear" w:color="auto" w:fill="E7E6E6"/>
          </w:tcPr>
          <w:p w14:paraId="320538B3" w14:textId="77777777" w:rsidR="005B131E" w:rsidRPr="003C5DD0" w:rsidRDefault="005B131E" w:rsidP="002542E1">
            <w:pPr>
              <w:pStyle w:val="ARfintablecolheadright"/>
            </w:pPr>
            <w:r w:rsidRPr="003C5DD0">
              <w:t>2024</w:t>
            </w:r>
          </w:p>
          <w:p w14:paraId="0D5CFF8D" w14:textId="77777777" w:rsidR="005B131E" w:rsidRPr="00BA7805" w:rsidRDefault="005B131E" w:rsidP="002542E1">
            <w:pPr>
              <w:pStyle w:val="ARfintablecolheadright"/>
              <w:rPr>
                <w:highlight w:val="green"/>
              </w:rPr>
            </w:pPr>
            <w:r w:rsidRPr="003C5DD0">
              <w:t>$M</w:t>
            </w:r>
          </w:p>
        </w:tc>
        <w:tc>
          <w:tcPr>
            <w:tcW w:w="992" w:type="dxa"/>
            <w:tcBorders>
              <w:top w:val="single" w:sz="4" w:space="0" w:color="auto"/>
              <w:bottom w:val="single" w:sz="4" w:space="0" w:color="A6A6A6"/>
            </w:tcBorders>
            <w:shd w:val="clear" w:color="auto" w:fill="auto"/>
          </w:tcPr>
          <w:p w14:paraId="43C47381" w14:textId="77777777" w:rsidR="005B131E" w:rsidRPr="003C5DD0" w:rsidRDefault="005B131E" w:rsidP="002542E1">
            <w:pPr>
              <w:pStyle w:val="ARfintablecolheadright"/>
            </w:pPr>
            <w:r w:rsidRPr="003C5DD0">
              <w:t>2023</w:t>
            </w:r>
          </w:p>
          <w:p w14:paraId="628FE6F1" w14:textId="77777777" w:rsidR="005B131E" w:rsidRPr="00BA7805" w:rsidRDefault="005B131E" w:rsidP="002542E1">
            <w:pPr>
              <w:pStyle w:val="ARfintablecolheadright"/>
              <w:rPr>
                <w:highlight w:val="green"/>
              </w:rPr>
            </w:pPr>
            <w:r w:rsidRPr="003C5DD0">
              <w:t>$M</w:t>
            </w:r>
          </w:p>
        </w:tc>
        <w:tc>
          <w:tcPr>
            <w:tcW w:w="992" w:type="dxa"/>
            <w:tcBorders>
              <w:top w:val="single" w:sz="4" w:space="0" w:color="auto"/>
              <w:bottom w:val="single" w:sz="4" w:space="0" w:color="A6A6A6"/>
            </w:tcBorders>
            <w:shd w:val="clear" w:color="auto" w:fill="E7E6E6"/>
            <w:noWrap/>
          </w:tcPr>
          <w:p w14:paraId="459B858A" w14:textId="77777777" w:rsidR="005B131E" w:rsidRPr="003C5DD0" w:rsidRDefault="005B131E" w:rsidP="002542E1">
            <w:pPr>
              <w:pStyle w:val="ARfintablecolheadright"/>
            </w:pPr>
            <w:r w:rsidRPr="003C5DD0">
              <w:t>2024</w:t>
            </w:r>
          </w:p>
          <w:p w14:paraId="7A5EDEBD" w14:textId="77777777" w:rsidR="005B131E" w:rsidRPr="00BA7805" w:rsidRDefault="005B131E" w:rsidP="002542E1">
            <w:pPr>
              <w:pStyle w:val="ARfintablecolheadright"/>
              <w:rPr>
                <w:highlight w:val="green"/>
              </w:rPr>
            </w:pPr>
            <w:r w:rsidRPr="003C5DD0">
              <w:t>$M</w:t>
            </w:r>
          </w:p>
        </w:tc>
        <w:tc>
          <w:tcPr>
            <w:tcW w:w="992" w:type="dxa"/>
            <w:tcBorders>
              <w:top w:val="single" w:sz="4" w:space="0" w:color="auto"/>
              <w:bottom w:val="single" w:sz="4" w:space="0" w:color="A6A6A6"/>
            </w:tcBorders>
            <w:noWrap/>
          </w:tcPr>
          <w:p w14:paraId="2493F02C" w14:textId="77777777" w:rsidR="005B131E" w:rsidRPr="003C5DD0" w:rsidRDefault="005B131E" w:rsidP="002542E1">
            <w:pPr>
              <w:pStyle w:val="ARfintablecolheadright"/>
            </w:pPr>
            <w:r w:rsidRPr="003C5DD0">
              <w:t>2023</w:t>
            </w:r>
          </w:p>
          <w:p w14:paraId="5A719708" w14:textId="77777777" w:rsidR="005B131E" w:rsidRPr="00BA7805" w:rsidRDefault="005B131E" w:rsidP="002542E1">
            <w:pPr>
              <w:pStyle w:val="ARfintablecolheadright"/>
              <w:rPr>
                <w:highlight w:val="green"/>
              </w:rPr>
            </w:pPr>
            <w:r w:rsidRPr="003C5DD0">
              <w:t>$M</w:t>
            </w:r>
          </w:p>
        </w:tc>
        <w:tc>
          <w:tcPr>
            <w:tcW w:w="992" w:type="dxa"/>
            <w:tcBorders>
              <w:top w:val="single" w:sz="4" w:space="0" w:color="auto"/>
              <w:bottom w:val="single" w:sz="4" w:space="0" w:color="A6A6A6"/>
            </w:tcBorders>
            <w:shd w:val="clear" w:color="auto" w:fill="E7E6E6" w:themeFill="accent4"/>
            <w:noWrap/>
          </w:tcPr>
          <w:p w14:paraId="52BBFFF2" w14:textId="77777777" w:rsidR="005B131E" w:rsidRPr="003C5DD0" w:rsidRDefault="005B131E" w:rsidP="002542E1">
            <w:pPr>
              <w:pStyle w:val="ARfintablecolheadright"/>
            </w:pPr>
            <w:r w:rsidRPr="003C5DD0">
              <w:t>2024</w:t>
            </w:r>
          </w:p>
          <w:p w14:paraId="1156D24A" w14:textId="77777777" w:rsidR="005B131E" w:rsidRPr="00BA7805" w:rsidRDefault="005B131E" w:rsidP="002542E1">
            <w:pPr>
              <w:pStyle w:val="ARfintablecolheadright"/>
              <w:rPr>
                <w:highlight w:val="green"/>
              </w:rPr>
            </w:pPr>
            <w:r w:rsidRPr="003C5DD0">
              <w:t>$M</w:t>
            </w:r>
          </w:p>
        </w:tc>
        <w:tc>
          <w:tcPr>
            <w:tcW w:w="992" w:type="dxa"/>
            <w:tcBorders>
              <w:top w:val="single" w:sz="4" w:space="0" w:color="auto"/>
              <w:bottom w:val="single" w:sz="4" w:space="0" w:color="A6A6A6"/>
            </w:tcBorders>
            <w:noWrap/>
          </w:tcPr>
          <w:p w14:paraId="4ACE1F86" w14:textId="77777777" w:rsidR="005B131E" w:rsidRPr="003C5DD0" w:rsidRDefault="005B131E" w:rsidP="002542E1">
            <w:pPr>
              <w:pStyle w:val="ARfintablecolheadright"/>
            </w:pPr>
            <w:r w:rsidRPr="003C5DD0">
              <w:t>2023</w:t>
            </w:r>
          </w:p>
          <w:p w14:paraId="609C2BD3" w14:textId="77777777" w:rsidR="005B131E" w:rsidRPr="00BA7805" w:rsidRDefault="005B131E" w:rsidP="002542E1">
            <w:pPr>
              <w:pStyle w:val="ARfintablecolheadright"/>
              <w:rPr>
                <w:highlight w:val="green"/>
              </w:rPr>
            </w:pPr>
            <w:r w:rsidRPr="003C5DD0">
              <w:t>$M</w:t>
            </w:r>
          </w:p>
        </w:tc>
      </w:tr>
      <w:tr w:rsidR="005B131E" w:rsidRPr="00BA7805" w14:paraId="2BF63DD5" w14:textId="77777777" w:rsidTr="003D7AC8">
        <w:trPr>
          <w:cantSplit w:val="0"/>
          <w:trHeight w:val="255"/>
        </w:trPr>
        <w:tc>
          <w:tcPr>
            <w:tcW w:w="1702" w:type="dxa"/>
            <w:tcBorders>
              <w:top w:val="single" w:sz="4" w:space="0" w:color="auto"/>
              <w:bottom w:val="single" w:sz="4" w:space="0" w:color="A6A6A6"/>
            </w:tcBorders>
          </w:tcPr>
          <w:p w14:paraId="4F5A2F9C" w14:textId="77777777" w:rsidR="005B131E" w:rsidRPr="00BA7805" w:rsidRDefault="005B131E" w:rsidP="002542E1">
            <w:pPr>
              <w:pStyle w:val="ARfintablebody"/>
              <w:rPr>
                <w:sz w:val="17"/>
                <w:szCs w:val="17"/>
                <w:highlight w:val="green"/>
              </w:rPr>
            </w:pPr>
            <w:r w:rsidRPr="002D0235">
              <w:t>Total revenue and income from transactions</w:t>
            </w:r>
          </w:p>
        </w:tc>
        <w:tc>
          <w:tcPr>
            <w:tcW w:w="993" w:type="dxa"/>
            <w:tcBorders>
              <w:top w:val="single" w:sz="4" w:space="0" w:color="auto"/>
              <w:bottom w:val="single" w:sz="4" w:space="0" w:color="A6A6A6"/>
            </w:tcBorders>
            <w:shd w:val="clear" w:color="auto" w:fill="E7E6E6"/>
            <w:noWrap/>
          </w:tcPr>
          <w:p w14:paraId="51E14BC9" w14:textId="77777777" w:rsidR="005B131E" w:rsidRPr="00BA7805" w:rsidRDefault="005B131E" w:rsidP="002542E1">
            <w:pPr>
              <w:pStyle w:val="ARfintablebodyright"/>
              <w:rPr>
                <w:highlight w:val="green"/>
              </w:rPr>
            </w:pPr>
            <w:r w:rsidRPr="002D0235">
              <w:t>4,851.7</w:t>
            </w:r>
          </w:p>
        </w:tc>
        <w:tc>
          <w:tcPr>
            <w:tcW w:w="992" w:type="dxa"/>
            <w:tcBorders>
              <w:top w:val="single" w:sz="4" w:space="0" w:color="auto"/>
              <w:bottom w:val="single" w:sz="4" w:space="0" w:color="A6A6A6"/>
            </w:tcBorders>
            <w:noWrap/>
          </w:tcPr>
          <w:p w14:paraId="4B254F3C" w14:textId="77777777" w:rsidR="005B131E" w:rsidRPr="00BA7805" w:rsidRDefault="005B131E" w:rsidP="002542E1">
            <w:pPr>
              <w:pStyle w:val="ARfintablebodyright"/>
              <w:rPr>
                <w:highlight w:val="green"/>
              </w:rPr>
            </w:pPr>
            <w:r w:rsidRPr="002D0235">
              <w:t>4,280.8</w:t>
            </w:r>
          </w:p>
        </w:tc>
        <w:tc>
          <w:tcPr>
            <w:tcW w:w="992" w:type="dxa"/>
            <w:tcBorders>
              <w:top w:val="single" w:sz="4" w:space="0" w:color="auto"/>
              <w:bottom w:val="single" w:sz="4" w:space="0" w:color="A6A6A6"/>
            </w:tcBorders>
            <w:shd w:val="clear" w:color="auto" w:fill="E7E6E6"/>
          </w:tcPr>
          <w:p w14:paraId="715D9C3E" w14:textId="77777777" w:rsidR="005B131E" w:rsidRPr="00BA7805" w:rsidRDefault="005B131E" w:rsidP="002542E1">
            <w:pPr>
              <w:pStyle w:val="ARfintablebodyright"/>
              <w:rPr>
                <w:highlight w:val="green"/>
              </w:rPr>
            </w:pPr>
            <w:r w:rsidRPr="002D0235">
              <w:t>1,570.4</w:t>
            </w:r>
          </w:p>
        </w:tc>
        <w:tc>
          <w:tcPr>
            <w:tcW w:w="992" w:type="dxa"/>
            <w:tcBorders>
              <w:top w:val="single" w:sz="4" w:space="0" w:color="auto"/>
              <w:bottom w:val="single" w:sz="4" w:space="0" w:color="A6A6A6"/>
            </w:tcBorders>
            <w:shd w:val="clear" w:color="auto" w:fill="auto"/>
          </w:tcPr>
          <w:p w14:paraId="2F3FE27F" w14:textId="77777777" w:rsidR="005B131E" w:rsidRPr="00BA7805" w:rsidRDefault="005B131E" w:rsidP="002542E1">
            <w:pPr>
              <w:pStyle w:val="ARfintablebodyright"/>
              <w:rPr>
                <w:highlight w:val="green"/>
              </w:rPr>
            </w:pPr>
            <w:r w:rsidRPr="002D0235">
              <w:t>1,778.9</w:t>
            </w:r>
          </w:p>
        </w:tc>
        <w:tc>
          <w:tcPr>
            <w:tcW w:w="992" w:type="dxa"/>
            <w:tcBorders>
              <w:top w:val="single" w:sz="4" w:space="0" w:color="auto"/>
              <w:bottom w:val="single" w:sz="4" w:space="0" w:color="A6A6A6"/>
            </w:tcBorders>
            <w:shd w:val="clear" w:color="auto" w:fill="E7E6E6"/>
            <w:noWrap/>
          </w:tcPr>
          <w:p w14:paraId="40E0F23C" w14:textId="77777777" w:rsidR="005B131E" w:rsidRPr="00BA7805" w:rsidRDefault="005B131E" w:rsidP="002542E1">
            <w:pPr>
              <w:pStyle w:val="ARfintablebodyright"/>
              <w:rPr>
                <w:highlight w:val="green"/>
              </w:rPr>
            </w:pPr>
            <w:r w:rsidRPr="002D0235">
              <w:t>(24.1)</w:t>
            </w:r>
          </w:p>
        </w:tc>
        <w:tc>
          <w:tcPr>
            <w:tcW w:w="992" w:type="dxa"/>
            <w:tcBorders>
              <w:top w:val="single" w:sz="4" w:space="0" w:color="auto"/>
              <w:bottom w:val="single" w:sz="4" w:space="0" w:color="A6A6A6"/>
            </w:tcBorders>
            <w:noWrap/>
          </w:tcPr>
          <w:p w14:paraId="10B9C84F" w14:textId="77777777" w:rsidR="005B131E" w:rsidRPr="00BA7805" w:rsidRDefault="005B131E" w:rsidP="002542E1">
            <w:pPr>
              <w:pStyle w:val="ARfintablebodyright"/>
              <w:rPr>
                <w:highlight w:val="green"/>
              </w:rPr>
            </w:pPr>
            <w:r w:rsidRPr="002D0235">
              <w:t>(21.6)</w:t>
            </w:r>
          </w:p>
        </w:tc>
        <w:tc>
          <w:tcPr>
            <w:tcW w:w="992" w:type="dxa"/>
            <w:tcBorders>
              <w:top w:val="single" w:sz="4" w:space="0" w:color="auto"/>
              <w:bottom w:val="single" w:sz="4" w:space="0" w:color="A6A6A6"/>
            </w:tcBorders>
            <w:shd w:val="clear" w:color="auto" w:fill="E7E6E6"/>
            <w:noWrap/>
          </w:tcPr>
          <w:p w14:paraId="42463060" w14:textId="77777777" w:rsidR="005B131E" w:rsidRPr="00BA7805" w:rsidRDefault="005B131E" w:rsidP="002542E1">
            <w:pPr>
              <w:pStyle w:val="ARfintablebodyright"/>
              <w:rPr>
                <w:highlight w:val="green"/>
              </w:rPr>
            </w:pPr>
            <w:r w:rsidRPr="002D0235">
              <w:t>6,398.0</w:t>
            </w:r>
          </w:p>
        </w:tc>
        <w:tc>
          <w:tcPr>
            <w:tcW w:w="992" w:type="dxa"/>
            <w:tcBorders>
              <w:top w:val="single" w:sz="4" w:space="0" w:color="auto"/>
              <w:bottom w:val="single" w:sz="4" w:space="0" w:color="A6A6A6"/>
            </w:tcBorders>
            <w:noWrap/>
          </w:tcPr>
          <w:p w14:paraId="19BABD20" w14:textId="77777777" w:rsidR="005B131E" w:rsidRPr="00BA7805" w:rsidRDefault="005B131E" w:rsidP="002542E1">
            <w:pPr>
              <w:pStyle w:val="ARfintablebodyright"/>
              <w:rPr>
                <w:highlight w:val="green"/>
              </w:rPr>
            </w:pPr>
            <w:r w:rsidRPr="002D0235">
              <w:t>6,038.0</w:t>
            </w:r>
          </w:p>
        </w:tc>
      </w:tr>
      <w:tr w:rsidR="005B131E" w:rsidRPr="00BA7805" w14:paraId="435105DF" w14:textId="77777777" w:rsidTr="002542E1">
        <w:trPr>
          <w:cantSplit w:val="0"/>
          <w:trHeight w:val="255"/>
        </w:trPr>
        <w:tc>
          <w:tcPr>
            <w:tcW w:w="1702" w:type="dxa"/>
            <w:tcBorders>
              <w:top w:val="single" w:sz="4" w:space="0" w:color="A6A6A6"/>
              <w:bottom w:val="single" w:sz="4" w:space="0" w:color="A6A6A6"/>
            </w:tcBorders>
          </w:tcPr>
          <w:p w14:paraId="20AED99D" w14:textId="77777777" w:rsidR="005B131E" w:rsidRPr="00BA7805" w:rsidRDefault="005B131E" w:rsidP="002542E1">
            <w:pPr>
              <w:pStyle w:val="ARfintablebody"/>
              <w:rPr>
                <w:sz w:val="17"/>
                <w:szCs w:val="17"/>
                <w:highlight w:val="green"/>
              </w:rPr>
            </w:pPr>
            <w:r w:rsidRPr="002D0235">
              <w:t>Total expenses from transactions</w:t>
            </w:r>
          </w:p>
        </w:tc>
        <w:tc>
          <w:tcPr>
            <w:tcW w:w="993" w:type="dxa"/>
            <w:tcBorders>
              <w:top w:val="single" w:sz="4" w:space="0" w:color="A6A6A6"/>
              <w:bottom w:val="single" w:sz="4" w:space="0" w:color="A6A6A6"/>
            </w:tcBorders>
            <w:shd w:val="clear" w:color="auto" w:fill="E7E6E6"/>
            <w:noWrap/>
          </w:tcPr>
          <w:p w14:paraId="6EDF2F94" w14:textId="77777777" w:rsidR="005B131E" w:rsidRPr="00BA7805" w:rsidRDefault="005B131E" w:rsidP="002542E1">
            <w:pPr>
              <w:pStyle w:val="ARfintablebodyright"/>
              <w:rPr>
                <w:highlight w:val="green"/>
              </w:rPr>
            </w:pPr>
            <w:r w:rsidRPr="002D0235">
              <w:t>5,024.7</w:t>
            </w:r>
          </w:p>
        </w:tc>
        <w:tc>
          <w:tcPr>
            <w:tcW w:w="992" w:type="dxa"/>
            <w:tcBorders>
              <w:top w:val="single" w:sz="4" w:space="0" w:color="A6A6A6"/>
              <w:bottom w:val="single" w:sz="4" w:space="0" w:color="A6A6A6"/>
            </w:tcBorders>
            <w:noWrap/>
          </w:tcPr>
          <w:p w14:paraId="03312EEA" w14:textId="77777777" w:rsidR="005B131E" w:rsidRPr="00BA7805" w:rsidRDefault="005B131E" w:rsidP="002542E1">
            <w:pPr>
              <w:pStyle w:val="ARfintablebodyright"/>
              <w:rPr>
                <w:highlight w:val="green"/>
              </w:rPr>
            </w:pPr>
            <w:r w:rsidRPr="002D0235">
              <w:t>4,302.4</w:t>
            </w:r>
          </w:p>
        </w:tc>
        <w:tc>
          <w:tcPr>
            <w:tcW w:w="992" w:type="dxa"/>
            <w:tcBorders>
              <w:top w:val="single" w:sz="4" w:space="0" w:color="A6A6A6"/>
              <w:bottom w:val="single" w:sz="4" w:space="0" w:color="A6A6A6"/>
            </w:tcBorders>
            <w:shd w:val="clear" w:color="auto" w:fill="E7E6E6"/>
          </w:tcPr>
          <w:p w14:paraId="10E17B16" w14:textId="77777777" w:rsidR="005B131E" w:rsidRPr="00BA7805" w:rsidRDefault="005B131E" w:rsidP="002542E1">
            <w:pPr>
              <w:pStyle w:val="ARfintablebodyright"/>
              <w:rPr>
                <w:highlight w:val="green"/>
              </w:rPr>
            </w:pPr>
            <w:r w:rsidRPr="002D0235">
              <w:t>1,999.0</w:t>
            </w:r>
          </w:p>
        </w:tc>
        <w:tc>
          <w:tcPr>
            <w:tcW w:w="992" w:type="dxa"/>
            <w:tcBorders>
              <w:top w:val="single" w:sz="4" w:space="0" w:color="A6A6A6"/>
              <w:bottom w:val="single" w:sz="4" w:space="0" w:color="A6A6A6"/>
            </w:tcBorders>
            <w:shd w:val="clear" w:color="auto" w:fill="auto"/>
          </w:tcPr>
          <w:p w14:paraId="353BB7B0" w14:textId="77777777" w:rsidR="005B131E" w:rsidRPr="00BA7805" w:rsidRDefault="005B131E" w:rsidP="002542E1">
            <w:pPr>
              <w:pStyle w:val="ARfintablebodyright"/>
              <w:rPr>
                <w:highlight w:val="green"/>
              </w:rPr>
            </w:pPr>
            <w:r w:rsidRPr="002D0235">
              <w:t>2,001.4</w:t>
            </w:r>
          </w:p>
        </w:tc>
        <w:tc>
          <w:tcPr>
            <w:tcW w:w="992" w:type="dxa"/>
            <w:tcBorders>
              <w:top w:val="single" w:sz="4" w:space="0" w:color="A6A6A6"/>
              <w:bottom w:val="single" w:sz="4" w:space="0" w:color="A6A6A6"/>
            </w:tcBorders>
            <w:shd w:val="clear" w:color="auto" w:fill="E7E6E6" w:themeFill="accent4"/>
            <w:noWrap/>
          </w:tcPr>
          <w:p w14:paraId="4F02AA5C" w14:textId="77777777" w:rsidR="005B131E" w:rsidRPr="00BA7805" w:rsidRDefault="005B131E" w:rsidP="002542E1">
            <w:pPr>
              <w:pStyle w:val="ARfintablebodyright"/>
              <w:rPr>
                <w:highlight w:val="green"/>
              </w:rPr>
            </w:pPr>
            <w:r w:rsidRPr="002D0235">
              <w:t>(24.1)</w:t>
            </w:r>
          </w:p>
        </w:tc>
        <w:tc>
          <w:tcPr>
            <w:tcW w:w="992" w:type="dxa"/>
            <w:tcBorders>
              <w:top w:val="single" w:sz="4" w:space="0" w:color="A6A6A6"/>
              <w:bottom w:val="single" w:sz="4" w:space="0" w:color="A6A6A6"/>
            </w:tcBorders>
            <w:noWrap/>
          </w:tcPr>
          <w:p w14:paraId="344E79F1" w14:textId="77777777" w:rsidR="005B131E" w:rsidRPr="00BA7805" w:rsidRDefault="005B131E" w:rsidP="002542E1">
            <w:pPr>
              <w:pStyle w:val="ARfintablebodyright"/>
              <w:rPr>
                <w:highlight w:val="green"/>
              </w:rPr>
            </w:pPr>
            <w:r w:rsidRPr="002D0235">
              <w:t>(21.6)</w:t>
            </w:r>
          </w:p>
        </w:tc>
        <w:tc>
          <w:tcPr>
            <w:tcW w:w="992" w:type="dxa"/>
            <w:tcBorders>
              <w:top w:val="single" w:sz="4" w:space="0" w:color="A6A6A6"/>
              <w:bottom w:val="single" w:sz="4" w:space="0" w:color="A6A6A6"/>
            </w:tcBorders>
            <w:shd w:val="clear" w:color="auto" w:fill="E7E6E6"/>
            <w:noWrap/>
          </w:tcPr>
          <w:p w14:paraId="41A8E951" w14:textId="77777777" w:rsidR="005B131E" w:rsidRPr="00BA7805" w:rsidRDefault="005B131E" w:rsidP="002542E1">
            <w:pPr>
              <w:pStyle w:val="ARfintablebodyright"/>
              <w:rPr>
                <w:highlight w:val="green"/>
              </w:rPr>
            </w:pPr>
            <w:r w:rsidRPr="002D0235">
              <w:t>6,999.7</w:t>
            </w:r>
          </w:p>
        </w:tc>
        <w:tc>
          <w:tcPr>
            <w:tcW w:w="992" w:type="dxa"/>
            <w:tcBorders>
              <w:top w:val="single" w:sz="4" w:space="0" w:color="A6A6A6"/>
              <w:bottom w:val="single" w:sz="4" w:space="0" w:color="A6A6A6"/>
            </w:tcBorders>
            <w:noWrap/>
          </w:tcPr>
          <w:p w14:paraId="080BAF4E" w14:textId="77777777" w:rsidR="005B131E" w:rsidRPr="00BA7805" w:rsidRDefault="005B131E" w:rsidP="002542E1">
            <w:pPr>
              <w:pStyle w:val="ARfintablebodyright"/>
              <w:rPr>
                <w:highlight w:val="green"/>
              </w:rPr>
            </w:pPr>
            <w:r w:rsidRPr="002D0235">
              <w:t>6,282.1</w:t>
            </w:r>
          </w:p>
        </w:tc>
      </w:tr>
      <w:tr w:rsidR="005B131E" w:rsidRPr="00BA7805" w14:paraId="55F0EF63" w14:textId="77777777" w:rsidTr="003D7AC8">
        <w:trPr>
          <w:cantSplit w:val="0"/>
          <w:trHeight w:val="255"/>
        </w:trPr>
        <w:tc>
          <w:tcPr>
            <w:tcW w:w="1702" w:type="dxa"/>
            <w:tcBorders>
              <w:top w:val="single" w:sz="4" w:space="0" w:color="A6A6A6"/>
              <w:bottom w:val="single" w:sz="4" w:space="0" w:color="A6A6A6"/>
            </w:tcBorders>
          </w:tcPr>
          <w:p w14:paraId="165B213E" w14:textId="77777777" w:rsidR="005B131E" w:rsidRPr="00BA7805" w:rsidRDefault="005B131E" w:rsidP="002542E1">
            <w:pPr>
              <w:pStyle w:val="ARfintablebody"/>
              <w:rPr>
                <w:sz w:val="17"/>
                <w:szCs w:val="17"/>
                <w:highlight w:val="green"/>
              </w:rPr>
            </w:pPr>
            <w:r w:rsidRPr="002D0235">
              <w:t>Net result from transactions</w:t>
            </w:r>
          </w:p>
        </w:tc>
        <w:tc>
          <w:tcPr>
            <w:tcW w:w="993" w:type="dxa"/>
            <w:tcBorders>
              <w:top w:val="single" w:sz="4" w:space="0" w:color="A6A6A6"/>
              <w:bottom w:val="single" w:sz="4" w:space="0" w:color="A6A6A6"/>
            </w:tcBorders>
            <w:shd w:val="clear" w:color="auto" w:fill="E7E6E6"/>
            <w:noWrap/>
          </w:tcPr>
          <w:p w14:paraId="41170A36" w14:textId="77777777" w:rsidR="005B131E" w:rsidRPr="00BA7805" w:rsidRDefault="005B131E" w:rsidP="002542E1">
            <w:pPr>
              <w:pStyle w:val="ARfintablebodyright"/>
              <w:rPr>
                <w:highlight w:val="green"/>
              </w:rPr>
            </w:pPr>
            <w:r w:rsidRPr="002D0235">
              <w:t>(173.0)</w:t>
            </w:r>
          </w:p>
        </w:tc>
        <w:tc>
          <w:tcPr>
            <w:tcW w:w="992" w:type="dxa"/>
            <w:tcBorders>
              <w:top w:val="single" w:sz="4" w:space="0" w:color="A6A6A6"/>
              <w:bottom w:val="single" w:sz="4" w:space="0" w:color="A6A6A6"/>
            </w:tcBorders>
            <w:noWrap/>
          </w:tcPr>
          <w:p w14:paraId="2BEF866C" w14:textId="77777777" w:rsidR="005B131E" w:rsidRPr="00BA7805" w:rsidRDefault="005B131E" w:rsidP="002542E1">
            <w:pPr>
              <w:pStyle w:val="ARfintablebodyright"/>
              <w:rPr>
                <w:highlight w:val="green"/>
              </w:rPr>
            </w:pPr>
            <w:r w:rsidRPr="002D0235">
              <w:t>(21.6)</w:t>
            </w:r>
          </w:p>
        </w:tc>
        <w:tc>
          <w:tcPr>
            <w:tcW w:w="992" w:type="dxa"/>
            <w:tcBorders>
              <w:top w:val="single" w:sz="4" w:space="0" w:color="A6A6A6"/>
              <w:bottom w:val="single" w:sz="4" w:space="0" w:color="A6A6A6"/>
            </w:tcBorders>
            <w:shd w:val="clear" w:color="auto" w:fill="E7E6E6"/>
          </w:tcPr>
          <w:p w14:paraId="1F0497AE" w14:textId="77777777" w:rsidR="005B131E" w:rsidRPr="00BA7805" w:rsidRDefault="005B131E" w:rsidP="002542E1">
            <w:pPr>
              <w:pStyle w:val="ARfintablebodyright"/>
              <w:rPr>
                <w:highlight w:val="green"/>
              </w:rPr>
            </w:pPr>
            <w:r w:rsidRPr="002D0235">
              <w:t>(428.6)</w:t>
            </w:r>
          </w:p>
        </w:tc>
        <w:tc>
          <w:tcPr>
            <w:tcW w:w="992" w:type="dxa"/>
            <w:tcBorders>
              <w:top w:val="single" w:sz="4" w:space="0" w:color="A6A6A6"/>
              <w:bottom w:val="single" w:sz="4" w:space="0" w:color="A6A6A6"/>
            </w:tcBorders>
            <w:shd w:val="clear" w:color="auto" w:fill="auto"/>
          </w:tcPr>
          <w:p w14:paraId="0E3BBBC4" w14:textId="77777777" w:rsidR="005B131E" w:rsidRPr="00BA7805" w:rsidRDefault="005B131E" w:rsidP="002542E1">
            <w:pPr>
              <w:pStyle w:val="ARfintablebodyright"/>
              <w:rPr>
                <w:highlight w:val="green"/>
              </w:rPr>
            </w:pPr>
            <w:r w:rsidRPr="002D0235">
              <w:t>(222.4)</w:t>
            </w:r>
          </w:p>
        </w:tc>
        <w:tc>
          <w:tcPr>
            <w:tcW w:w="992" w:type="dxa"/>
            <w:tcBorders>
              <w:top w:val="single" w:sz="4" w:space="0" w:color="A6A6A6"/>
              <w:bottom w:val="single" w:sz="4" w:space="0" w:color="A6A6A6"/>
            </w:tcBorders>
            <w:shd w:val="clear" w:color="auto" w:fill="E7E6E6"/>
            <w:noWrap/>
          </w:tcPr>
          <w:p w14:paraId="249F019B" w14:textId="77777777" w:rsidR="005B131E" w:rsidRPr="00BA7805" w:rsidRDefault="005B131E" w:rsidP="002542E1">
            <w:pPr>
              <w:pStyle w:val="ARfintablebodyright"/>
              <w:rPr>
                <w:highlight w:val="green"/>
              </w:rPr>
            </w:pPr>
            <w:r>
              <w:t>–</w:t>
            </w:r>
          </w:p>
        </w:tc>
        <w:tc>
          <w:tcPr>
            <w:tcW w:w="992" w:type="dxa"/>
            <w:tcBorders>
              <w:top w:val="single" w:sz="4" w:space="0" w:color="A6A6A6"/>
              <w:bottom w:val="single" w:sz="4" w:space="0" w:color="A6A6A6"/>
            </w:tcBorders>
            <w:noWrap/>
          </w:tcPr>
          <w:p w14:paraId="030D6204" w14:textId="77777777" w:rsidR="005B131E" w:rsidRPr="00BA7805" w:rsidRDefault="005B131E" w:rsidP="002542E1">
            <w:pPr>
              <w:pStyle w:val="ARfintablebodyright"/>
              <w:rPr>
                <w:highlight w:val="green"/>
              </w:rPr>
            </w:pPr>
            <w:r>
              <w:t>–</w:t>
            </w:r>
          </w:p>
        </w:tc>
        <w:tc>
          <w:tcPr>
            <w:tcW w:w="992" w:type="dxa"/>
            <w:tcBorders>
              <w:top w:val="single" w:sz="4" w:space="0" w:color="A6A6A6"/>
              <w:bottom w:val="single" w:sz="4" w:space="0" w:color="A6A6A6"/>
            </w:tcBorders>
            <w:shd w:val="clear" w:color="auto" w:fill="E7E6E6"/>
            <w:noWrap/>
          </w:tcPr>
          <w:p w14:paraId="3375EA9A" w14:textId="77777777" w:rsidR="005B131E" w:rsidRPr="00BA7805" w:rsidRDefault="005B131E" w:rsidP="002542E1">
            <w:pPr>
              <w:pStyle w:val="ARfintablebodyright"/>
              <w:rPr>
                <w:highlight w:val="green"/>
              </w:rPr>
            </w:pPr>
            <w:r w:rsidRPr="002D0235">
              <w:t>(601.7)</w:t>
            </w:r>
          </w:p>
        </w:tc>
        <w:tc>
          <w:tcPr>
            <w:tcW w:w="992" w:type="dxa"/>
            <w:tcBorders>
              <w:top w:val="single" w:sz="4" w:space="0" w:color="A6A6A6"/>
              <w:bottom w:val="single" w:sz="4" w:space="0" w:color="A6A6A6"/>
            </w:tcBorders>
            <w:noWrap/>
          </w:tcPr>
          <w:p w14:paraId="4DB5E3CC" w14:textId="77777777" w:rsidR="005B131E" w:rsidRPr="00BA7805" w:rsidRDefault="005B131E" w:rsidP="002542E1">
            <w:pPr>
              <w:pStyle w:val="ARfintablebodyright"/>
              <w:rPr>
                <w:highlight w:val="green"/>
              </w:rPr>
            </w:pPr>
            <w:r w:rsidRPr="002D0235">
              <w:t>(244.1)</w:t>
            </w:r>
          </w:p>
        </w:tc>
      </w:tr>
      <w:tr w:rsidR="005B131E" w:rsidRPr="00BA7805" w14:paraId="2470C087" w14:textId="77777777" w:rsidTr="002542E1">
        <w:trPr>
          <w:cantSplit w:val="0"/>
          <w:trHeight w:val="255"/>
        </w:trPr>
        <w:tc>
          <w:tcPr>
            <w:tcW w:w="1702" w:type="dxa"/>
            <w:tcBorders>
              <w:top w:val="single" w:sz="4" w:space="0" w:color="A6A6A6"/>
              <w:bottom w:val="single" w:sz="4" w:space="0" w:color="A6A6A6"/>
            </w:tcBorders>
          </w:tcPr>
          <w:p w14:paraId="171C807C" w14:textId="77777777" w:rsidR="005B131E" w:rsidRPr="00BA7805" w:rsidRDefault="005B131E" w:rsidP="002542E1">
            <w:pPr>
              <w:pStyle w:val="ARfintablebody"/>
              <w:rPr>
                <w:sz w:val="17"/>
                <w:szCs w:val="17"/>
                <w:highlight w:val="green"/>
              </w:rPr>
            </w:pPr>
            <w:r w:rsidRPr="002D0235">
              <w:t>Total assets</w:t>
            </w:r>
          </w:p>
        </w:tc>
        <w:tc>
          <w:tcPr>
            <w:tcW w:w="993" w:type="dxa"/>
            <w:tcBorders>
              <w:top w:val="single" w:sz="4" w:space="0" w:color="A6A6A6"/>
              <w:bottom w:val="single" w:sz="4" w:space="0" w:color="A6A6A6"/>
            </w:tcBorders>
            <w:shd w:val="clear" w:color="auto" w:fill="E7E6E6"/>
            <w:noWrap/>
          </w:tcPr>
          <w:p w14:paraId="3B79CE84" w14:textId="77777777" w:rsidR="005B131E" w:rsidRPr="00BA7805" w:rsidRDefault="005B131E" w:rsidP="002542E1">
            <w:pPr>
              <w:pStyle w:val="ARfintablebodyright"/>
              <w:rPr>
                <w:highlight w:val="green"/>
              </w:rPr>
            </w:pPr>
            <w:r w:rsidRPr="002D0235">
              <w:t>2,620.6</w:t>
            </w:r>
          </w:p>
        </w:tc>
        <w:tc>
          <w:tcPr>
            <w:tcW w:w="992" w:type="dxa"/>
            <w:tcBorders>
              <w:top w:val="single" w:sz="4" w:space="0" w:color="A6A6A6"/>
              <w:bottom w:val="single" w:sz="4" w:space="0" w:color="A6A6A6"/>
            </w:tcBorders>
            <w:noWrap/>
          </w:tcPr>
          <w:p w14:paraId="4AF48401" w14:textId="77777777" w:rsidR="005B131E" w:rsidRPr="00BA7805" w:rsidRDefault="005B131E" w:rsidP="002542E1">
            <w:pPr>
              <w:pStyle w:val="ARfintablebodyright"/>
              <w:rPr>
                <w:highlight w:val="green"/>
              </w:rPr>
            </w:pPr>
            <w:r w:rsidRPr="002D0235">
              <w:t>2,477.9</w:t>
            </w:r>
          </w:p>
        </w:tc>
        <w:tc>
          <w:tcPr>
            <w:tcW w:w="992" w:type="dxa"/>
            <w:tcBorders>
              <w:top w:val="single" w:sz="4" w:space="0" w:color="A6A6A6"/>
              <w:bottom w:val="single" w:sz="4" w:space="0" w:color="A6A6A6"/>
            </w:tcBorders>
            <w:shd w:val="clear" w:color="auto" w:fill="E7E6E6"/>
          </w:tcPr>
          <w:p w14:paraId="21790357" w14:textId="77777777" w:rsidR="005B131E" w:rsidRPr="00BA7805" w:rsidRDefault="005B131E" w:rsidP="002542E1">
            <w:pPr>
              <w:pStyle w:val="ARfintablebodyright"/>
              <w:rPr>
                <w:highlight w:val="green"/>
              </w:rPr>
            </w:pPr>
            <w:r w:rsidRPr="002D0235">
              <w:t>37,883.3</w:t>
            </w:r>
          </w:p>
        </w:tc>
        <w:tc>
          <w:tcPr>
            <w:tcW w:w="992" w:type="dxa"/>
            <w:tcBorders>
              <w:top w:val="single" w:sz="4" w:space="0" w:color="A6A6A6"/>
              <w:bottom w:val="single" w:sz="4" w:space="0" w:color="A6A6A6"/>
            </w:tcBorders>
            <w:shd w:val="clear" w:color="auto" w:fill="auto"/>
          </w:tcPr>
          <w:p w14:paraId="3A81E670" w14:textId="77777777" w:rsidR="005B131E" w:rsidRPr="00BA7805" w:rsidRDefault="005B131E" w:rsidP="002542E1">
            <w:pPr>
              <w:pStyle w:val="ARfintablebodyright"/>
              <w:rPr>
                <w:highlight w:val="green"/>
              </w:rPr>
            </w:pPr>
            <w:r w:rsidRPr="002D0235">
              <w:t>36,123.7</w:t>
            </w:r>
          </w:p>
        </w:tc>
        <w:tc>
          <w:tcPr>
            <w:tcW w:w="992" w:type="dxa"/>
            <w:tcBorders>
              <w:top w:val="single" w:sz="4" w:space="0" w:color="A6A6A6"/>
              <w:bottom w:val="single" w:sz="4" w:space="0" w:color="A6A6A6"/>
            </w:tcBorders>
            <w:shd w:val="clear" w:color="auto" w:fill="E7E6E6"/>
            <w:noWrap/>
          </w:tcPr>
          <w:p w14:paraId="24723B9E" w14:textId="77777777" w:rsidR="005B131E" w:rsidRPr="00BA7805" w:rsidRDefault="005B131E" w:rsidP="002542E1">
            <w:pPr>
              <w:pStyle w:val="ARfintablebodyright"/>
              <w:rPr>
                <w:highlight w:val="green"/>
              </w:rPr>
            </w:pPr>
            <w:r w:rsidRPr="002D0235">
              <w:t>(8.6)</w:t>
            </w:r>
          </w:p>
        </w:tc>
        <w:tc>
          <w:tcPr>
            <w:tcW w:w="992" w:type="dxa"/>
            <w:tcBorders>
              <w:top w:val="single" w:sz="4" w:space="0" w:color="A6A6A6"/>
              <w:bottom w:val="single" w:sz="4" w:space="0" w:color="A6A6A6"/>
            </w:tcBorders>
            <w:noWrap/>
          </w:tcPr>
          <w:p w14:paraId="4D65E993" w14:textId="77777777" w:rsidR="005B131E" w:rsidRPr="00BA7805" w:rsidRDefault="005B131E" w:rsidP="002542E1">
            <w:pPr>
              <w:pStyle w:val="ARfintablebodyright"/>
              <w:rPr>
                <w:highlight w:val="green"/>
              </w:rPr>
            </w:pPr>
            <w:r w:rsidRPr="002D0235">
              <w:t>(36.0)</w:t>
            </w:r>
          </w:p>
        </w:tc>
        <w:tc>
          <w:tcPr>
            <w:tcW w:w="992" w:type="dxa"/>
            <w:tcBorders>
              <w:top w:val="single" w:sz="4" w:space="0" w:color="A6A6A6"/>
              <w:bottom w:val="single" w:sz="4" w:space="0" w:color="A6A6A6"/>
            </w:tcBorders>
            <w:shd w:val="clear" w:color="auto" w:fill="E7E6E6" w:themeFill="accent4"/>
            <w:noWrap/>
          </w:tcPr>
          <w:p w14:paraId="59BE89B0" w14:textId="77777777" w:rsidR="005B131E" w:rsidRPr="00BA7805" w:rsidRDefault="005B131E" w:rsidP="002542E1">
            <w:pPr>
              <w:pStyle w:val="ARfintablebodyright"/>
              <w:rPr>
                <w:highlight w:val="green"/>
              </w:rPr>
            </w:pPr>
            <w:r w:rsidRPr="002D0235">
              <w:t>40,495.4</w:t>
            </w:r>
          </w:p>
        </w:tc>
        <w:tc>
          <w:tcPr>
            <w:tcW w:w="992" w:type="dxa"/>
            <w:tcBorders>
              <w:top w:val="single" w:sz="4" w:space="0" w:color="A6A6A6"/>
              <w:bottom w:val="single" w:sz="4" w:space="0" w:color="A6A6A6"/>
            </w:tcBorders>
            <w:noWrap/>
          </w:tcPr>
          <w:p w14:paraId="7DB5043E" w14:textId="77777777" w:rsidR="005B131E" w:rsidRPr="00BA7805" w:rsidRDefault="005B131E" w:rsidP="002542E1">
            <w:pPr>
              <w:pStyle w:val="ARfintablebodyright"/>
              <w:rPr>
                <w:highlight w:val="green"/>
              </w:rPr>
            </w:pPr>
            <w:r w:rsidRPr="002D0235">
              <w:t>38,565.6</w:t>
            </w:r>
          </w:p>
        </w:tc>
      </w:tr>
      <w:tr w:rsidR="005B131E" w:rsidRPr="00BA7805" w14:paraId="541CF7E7" w14:textId="77777777" w:rsidTr="003D7AC8">
        <w:trPr>
          <w:cantSplit w:val="0"/>
          <w:trHeight w:val="255"/>
        </w:trPr>
        <w:tc>
          <w:tcPr>
            <w:tcW w:w="1702" w:type="dxa"/>
            <w:tcBorders>
              <w:top w:val="single" w:sz="4" w:space="0" w:color="A6A6A6"/>
            </w:tcBorders>
          </w:tcPr>
          <w:p w14:paraId="1496B437" w14:textId="77777777" w:rsidR="005B131E" w:rsidRPr="003774E0" w:rsidRDefault="005B131E" w:rsidP="002542E1">
            <w:pPr>
              <w:pStyle w:val="ARfintablebody"/>
              <w:rPr>
                <w:sz w:val="17"/>
                <w:szCs w:val="17"/>
                <w:highlight w:val="green"/>
              </w:rPr>
            </w:pPr>
            <w:r w:rsidRPr="003774E0">
              <w:t>Total liabilities</w:t>
            </w:r>
          </w:p>
        </w:tc>
        <w:tc>
          <w:tcPr>
            <w:tcW w:w="993" w:type="dxa"/>
            <w:tcBorders>
              <w:top w:val="single" w:sz="4" w:space="0" w:color="A6A6A6"/>
            </w:tcBorders>
            <w:shd w:val="clear" w:color="auto" w:fill="E7E6E6"/>
            <w:noWrap/>
          </w:tcPr>
          <w:p w14:paraId="748C6C28" w14:textId="77777777" w:rsidR="005B131E" w:rsidRPr="003774E0" w:rsidRDefault="005B131E" w:rsidP="002542E1">
            <w:pPr>
              <w:pStyle w:val="ARfintablebodyright"/>
              <w:rPr>
                <w:highlight w:val="green"/>
              </w:rPr>
            </w:pPr>
            <w:r w:rsidRPr="003774E0">
              <w:t>1,155.8</w:t>
            </w:r>
          </w:p>
        </w:tc>
        <w:tc>
          <w:tcPr>
            <w:tcW w:w="992" w:type="dxa"/>
            <w:tcBorders>
              <w:top w:val="single" w:sz="4" w:space="0" w:color="A6A6A6"/>
            </w:tcBorders>
            <w:noWrap/>
          </w:tcPr>
          <w:p w14:paraId="4A1E33FD" w14:textId="77777777" w:rsidR="005B131E" w:rsidRPr="003774E0" w:rsidRDefault="005B131E" w:rsidP="002542E1">
            <w:pPr>
              <w:pStyle w:val="ARfintablebodyright"/>
              <w:rPr>
                <w:highlight w:val="green"/>
              </w:rPr>
            </w:pPr>
            <w:r w:rsidRPr="003774E0">
              <w:t>788.4</w:t>
            </w:r>
          </w:p>
        </w:tc>
        <w:tc>
          <w:tcPr>
            <w:tcW w:w="992" w:type="dxa"/>
            <w:tcBorders>
              <w:top w:val="single" w:sz="4" w:space="0" w:color="A6A6A6"/>
            </w:tcBorders>
            <w:shd w:val="clear" w:color="auto" w:fill="E7E6E6"/>
          </w:tcPr>
          <w:p w14:paraId="03BD5BB0" w14:textId="77777777" w:rsidR="005B131E" w:rsidRPr="003774E0" w:rsidRDefault="005B131E" w:rsidP="002542E1">
            <w:pPr>
              <w:pStyle w:val="ARfintablebodyright"/>
              <w:rPr>
                <w:highlight w:val="green"/>
              </w:rPr>
            </w:pPr>
            <w:r w:rsidRPr="003774E0">
              <w:t>785.8</w:t>
            </w:r>
          </w:p>
        </w:tc>
        <w:tc>
          <w:tcPr>
            <w:tcW w:w="992" w:type="dxa"/>
            <w:tcBorders>
              <w:top w:val="single" w:sz="4" w:space="0" w:color="A6A6A6"/>
            </w:tcBorders>
            <w:shd w:val="clear" w:color="auto" w:fill="auto"/>
          </w:tcPr>
          <w:p w14:paraId="12731C33" w14:textId="77777777" w:rsidR="005B131E" w:rsidRPr="003774E0" w:rsidRDefault="005B131E" w:rsidP="002542E1">
            <w:pPr>
              <w:pStyle w:val="ARfintablebodyright"/>
              <w:rPr>
                <w:highlight w:val="green"/>
              </w:rPr>
            </w:pPr>
            <w:r w:rsidRPr="003774E0">
              <w:t>631.2</w:t>
            </w:r>
          </w:p>
        </w:tc>
        <w:tc>
          <w:tcPr>
            <w:tcW w:w="992" w:type="dxa"/>
            <w:tcBorders>
              <w:top w:val="single" w:sz="4" w:space="0" w:color="A6A6A6"/>
            </w:tcBorders>
            <w:shd w:val="clear" w:color="auto" w:fill="E7E6E6"/>
            <w:noWrap/>
          </w:tcPr>
          <w:p w14:paraId="650D78E9" w14:textId="77777777" w:rsidR="005B131E" w:rsidRPr="003774E0" w:rsidRDefault="005B131E" w:rsidP="002542E1">
            <w:pPr>
              <w:pStyle w:val="ARfintablebodyright"/>
              <w:rPr>
                <w:highlight w:val="green"/>
              </w:rPr>
            </w:pPr>
            <w:r w:rsidRPr="003774E0">
              <w:t>(8.6)</w:t>
            </w:r>
          </w:p>
        </w:tc>
        <w:tc>
          <w:tcPr>
            <w:tcW w:w="992" w:type="dxa"/>
            <w:tcBorders>
              <w:top w:val="single" w:sz="4" w:space="0" w:color="A6A6A6"/>
            </w:tcBorders>
            <w:noWrap/>
          </w:tcPr>
          <w:p w14:paraId="50E47F2D" w14:textId="77777777" w:rsidR="005B131E" w:rsidRPr="003774E0" w:rsidRDefault="005B131E" w:rsidP="002542E1">
            <w:pPr>
              <w:pStyle w:val="ARfintablebodyright"/>
              <w:rPr>
                <w:highlight w:val="green"/>
              </w:rPr>
            </w:pPr>
            <w:r w:rsidRPr="003774E0">
              <w:t>(36.0)</w:t>
            </w:r>
          </w:p>
        </w:tc>
        <w:tc>
          <w:tcPr>
            <w:tcW w:w="992" w:type="dxa"/>
            <w:tcBorders>
              <w:top w:val="single" w:sz="4" w:space="0" w:color="A6A6A6"/>
            </w:tcBorders>
            <w:shd w:val="clear" w:color="auto" w:fill="E7E6E6"/>
            <w:noWrap/>
          </w:tcPr>
          <w:p w14:paraId="68EFB6D7" w14:textId="77777777" w:rsidR="005B131E" w:rsidRPr="003774E0" w:rsidRDefault="005B131E" w:rsidP="002542E1">
            <w:pPr>
              <w:pStyle w:val="ARfintablebodyright"/>
              <w:rPr>
                <w:highlight w:val="green"/>
              </w:rPr>
            </w:pPr>
            <w:r w:rsidRPr="003774E0">
              <w:t>1,933.1</w:t>
            </w:r>
          </w:p>
        </w:tc>
        <w:tc>
          <w:tcPr>
            <w:tcW w:w="992" w:type="dxa"/>
            <w:tcBorders>
              <w:top w:val="single" w:sz="4" w:space="0" w:color="A6A6A6"/>
            </w:tcBorders>
            <w:noWrap/>
          </w:tcPr>
          <w:p w14:paraId="4F46399C" w14:textId="77777777" w:rsidR="005B131E" w:rsidRPr="003774E0" w:rsidRDefault="005B131E" w:rsidP="002542E1">
            <w:pPr>
              <w:pStyle w:val="ARfintablebodyright"/>
              <w:rPr>
                <w:highlight w:val="green"/>
              </w:rPr>
            </w:pPr>
            <w:r w:rsidRPr="003774E0">
              <w:t>1,383.6</w:t>
            </w:r>
          </w:p>
        </w:tc>
      </w:tr>
    </w:tbl>
    <w:p w14:paraId="765F37C6" w14:textId="77777777" w:rsidR="005B131E" w:rsidRPr="00580419" w:rsidRDefault="005B131E">
      <w:pPr>
        <w:pStyle w:val="Heading4"/>
        <w:rPr>
          <w:lang w:eastAsia="en-AU"/>
        </w:rPr>
      </w:pPr>
      <w:bookmarkStart w:id="288" w:name="_Ref178239453"/>
      <w:r w:rsidRPr="00580419">
        <w:rPr>
          <w:lang w:eastAsia="en-AU"/>
        </w:rPr>
        <w:t>9.6 Responsible persons</w:t>
      </w:r>
      <w:bookmarkEnd w:id="288"/>
    </w:p>
    <w:p w14:paraId="3DEBA57C" w14:textId="77777777" w:rsidR="005B131E" w:rsidRPr="00580419" w:rsidRDefault="005B131E">
      <w:pPr>
        <w:pStyle w:val="ARfinbody"/>
      </w:pPr>
      <w:r w:rsidRPr="00580419">
        <w:t xml:space="preserve">In accordance with the Directions of the Assistant Treasurer under the </w:t>
      </w:r>
      <w:r w:rsidRPr="002B2644">
        <w:rPr>
          <w:rStyle w:val="Emphasis"/>
        </w:rPr>
        <w:t>Financial Management Act 1994</w:t>
      </w:r>
      <w:r w:rsidRPr="00580419">
        <w:t xml:space="preserve"> the following disclosures are made for the responsible persons for the reporting period.</w:t>
      </w:r>
    </w:p>
    <w:p w14:paraId="143857F2" w14:textId="77777777" w:rsidR="005B131E" w:rsidRPr="00A81A0A" w:rsidRDefault="005B131E" w:rsidP="00207901">
      <w:pPr>
        <w:pStyle w:val="Heading5"/>
        <w:rPr>
          <w:lang w:eastAsia="en-AU"/>
        </w:rPr>
      </w:pPr>
      <w:r w:rsidRPr="00A81A0A">
        <w:rPr>
          <w:lang w:eastAsia="en-AU"/>
        </w:rPr>
        <w:t>Names</w:t>
      </w:r>
    </w:p>
    <w:p w14:paraId="5092A6D8" w14:textId="77777777" w:rsidR="005B131E" w:rsidRPr="00BA7805" w:rsidRDefault="005B131E">
      <w:pPr>
        <w:pStyle w:val="ARfinbodylargespace"/>
        <w:rPr>
          <w:highlight w:val="green"/>
        </w:rPr>
      </w:pPr>
      <w:r w:rsidRPr="00A81A0A">
        <w:t>The persons who held the positions of ministers and accountable officers in the department were as follows:</w:t>
      </w:r>
    </w:p>
    <w:tbl>
      <w:tblPr>
        <w:tblStyle w:val="TableGrid"/>
        <w:tblW w:w="9639" w:type="dxa"/>
        <w:tblLayout w:type="fixed"/>
        <w:tblLook w:val="06A0" w:firstRow="1" w:lastRow="0" w:firstColumn="1" w:lastColumn="0" w:noHBand="1" w:noVBand="1"/>
      </w:tblPr>
      <w:tblGrid>
        <w:gridCol w:w="2948"/>
        <w:gridCol w:w="3062"/>
        <w:gridCol w:w="3629"/>
      </w:tblGrid>
      <w:tr w:rsidR="005B131E" w:rsidRPr="00BA7805" w14:paraId="50E9BA13" w14:textId="77777777">
        <w:trPr>
          <w:cnfStyle w:val="100000000000" w:firstRow="1" w:lastRow="0" w:firstColumn="0" w:lastColumn="0" w:oddVBand="0" w:evenVBand="0" w:oddHBand="0" w:evenHBand="0" w:firstRowFirstColumn="0" w:firstRowLastColumn="0" w:lastRowFirstColumn="0" w:lastRowLastColumn="0"/>
          <w:tblHeader/>
        </w:trPr>
        <w:tc>
          <w:tcPr>
            <w:tcW w:w="2948" w:type="dxa"/>
            <w:tcBorders>
              <w:bottom w:val="single" w:sz="4" w:space="0" w:color="auto"/>
            </w:tcBorders>
            <w:hideMark/>
          </w:tcPr>
          <w:p w14:paraId="251794B2" w14:textId="77777777" w:rsidR="005B131E" w:rsidRPr="0043320F" w:rsidRDefault="005B131E">
            <w:pPr>
              <w:pStyle w:val="ARfintablecolhead"/>
              <w:rPr>
                <w:lang w:eastAsia="en-US"/>
              </w:rPr>
            </w:pPr>
            <w:r w:rsidRPr="0043320F">
              <w:rPr>
                <w:lang w:eastAsia="en-US"/>
              </w:rPr>
              <w:t>Relevant office</w:t>
            </w:r>
          </w:p>
        </w:tc>
        <w:tc>
          <w:tcPr>
            <w:tcW w:w="3062" w:type="dxa"/>
            <w:tcBorders>
              <w:bottom w:val="single" w:sz="4" w:space="0" w:color="auto"/>
            </w:tcBorders>
            <w:hideMark/>
          </w:tcPr>
          <w:p w14:paraId="14B03D8B" w14:textId="77777777" w:rsidR="005B131E" w:rsidRPr="0043320F" w:rsidRDefault="005B131E">
            <w:pPr>
              <w:pStyle w:val="ARfintablecolhead"/>
              <w:rPr>
                <w:lang w:eastAsia="en-US"/>
              </w:rPr>
            </w:pPr>
            <w:r w:rsidRPr="0043320F">
              <w:rPr>
                <w:lang w:eastAsia="en-US"/>
              </w:rPr>
              <w:t>Minister or accountable officer</w:t>
            </w:r>
          </w:p>
        </w:tc>
        <w:tc>
          <w:tcPr>
            <w:tcW w:w="3629" w:type="dxa"/>
            <w:tcBorders>
              <w:bottom w:val="single" w:sz="4" w:space="0" w:color="auto"/>
            </w:tcBorders>
            <w:hideMark/>
          </w:tcPr>
          <w:p w14:paraId="4835BEE9" w14:textId="77777777" w:rsidR="005B131E" w:rsidRPr="0043320F" w:rsidRDefault="005B131E">
            <w:pPr>
              <w:pStyle w:val="ARfintablecolhead"/>
              <w:rPr>
                <w:lang w:eastAsia="en-US"/>
              </w:rPr>
            </w:pPr>
            <w:r w:rsidRPr="0043320F">
              <w:rPr>
                <w:lang w:eastAsia="en-US"/>
              </w:rPr>
              <w:t>Period</w:t>
            </w:r>
          </w:p>
        </w:tc>
      </w:tr>
      <w:tr w:rsidR="005B131E" w:rsidRPr="00BA7805" w14:paraId="4192441F" w14:textId="77777777" w:rsidTr="003D7AC8">
        <w:trPr>
          <w:cantSplit w:val="0"/>
        </w:trPr>
        <w:tc>
          <w:tcPr>
            <w:tcW w:w="2948" w:type="dxa"/>
            <w:tcBorders>
              <w:top w:val="single" w:sz="4" w:space="0" w:color="A6A6A6"/>
              <w:bottom w:val="single" w:sz="4" w:space="0" w:color="A6A6A6"/>
            </w:tcBorders>
          </w:tcPr>
          <w:p w14:paraId="3194450B" w14:textId="77777777" w:rsidR="005B131E" w:rsidRPr="00BA7805" w:rsidRDefault="005B131E" w:rsidP="002542E1">
            <w:pPr>
              <w:pStyle w:val="ARfintablebody"/>
              <w:spacing w:before="30"/>
              <w:rPr>
                <w:highlight w:val="green"/>
              </w:rPr>
            </w:pPr>
            <w:r w:rsidRPr="00F53D1A">
              <w:t>Minister for Disability, Ageing and</w:t>
            </w:r>
            <w:r>
              <w:t> </w:t>
            </w:r>
            <w:r w:rsidRPr="00F53D1A">
              <w:t>Carers</w:t>
            </w:r>
          </w:p>
        </w:tc>
        <w:tc>
          <w:tcPr>
            <w:tcW w:w="3062" w:type="dxa"/>
            <w:tcBorders>
              <w:top w:val="single" w:sz="4" w:space="0" w:color="A6A6A6"/>
              <w:bottom w:val="single" w:sz="4" w:space="0" w:color="A6A6A6"/>
            </w:tcBorders>
          </w:tcPr>
          <w:p w14:paraId="20297E2E" w14:textId="0C1EDFC3" w:rsidR="005B131E" w:rsidRPr="00BA7805" w:rsidRDefault="005B131E" w:rsidP="002542E1">
            <w:pPr>
              <w:pStyle w:val="ARfintablebody"/>
              <w:spacing w:before="30"/>
              <w:rPr>
                <w:highlight w:val="green"/>
              </w:rPr>
            </w:pPr>
            <w:r w:rsidRPr="00F53D1A">
              <w:t>Hon Lizzie Blandthorn</w:t>
            </w:r>
          </w:p>
        </w:tc>
        <w:tc>
          <w:tcPr>
            <w:tcW w:w="3629" w:type="dxa"/>
            <w:tcBorders>
              <w:top w:val="single" w:sz="4" w:space="0" w:color="A6A6A6"/>
              <w:bottom w:val="single" w:sz="4" w:space="0" w:color="A6A6A6"/>
            </w:tcBorders>
          </w:tcPr>
          <w:p w14:paraId="72DA739D" w14:textId="77777777" w:rsidR="005B131E" w:rsidRPr="00BA7805" w:rsidRDefault="005B131E" w:rsidP="002542E1">
            <w:pPr>
              <w:pStyle w:val="ARfintablebody"/>
              <w:spacing w:before="30"/>
              <w:rPr>
                <w:highlight w:val="green"/>
              </w:rPr>
            </w:pPr>
            <w:r w:rsidRPr="00F53D1A">
              <w:t>1 July 2023 to 2 October 2023</w:t>
            </w:r>
          </w:p>
        </w:tc>
      </w:tr>
      <w:tr w:rsidR="005B131E" w:rsidRPr="00BA7805" w14:paraId="258F26B0" w14:textId="77777777" w:rsidTr="003D7AC8">
        <w:trPr>
          <w:cantSplit w:val="0"/>
        </w:trPr>
        <w:tc>
          <w:tcPr>
            <w:tcW w:w="2948" w:type="dxa"/>
            <w:tcBorders>
              <w:top w:val="single" w:sz="4" w:space="0" w:color="A6A6A6"/>
              <w:bottom w:val="single" w:sz="4" w:space="0" w:color="A6A6A6"/>
            </w:tcBorders>
          </w:tcPr>
          <w:p w14:paraId="234C3D4B" w14:textId="77777777" w:rsidR="005B131E" w:rsidRPr="00BA7805" w:rsidRDefault="005B131E" w:rsidP="002542E1">
            <w:pPr>
              <w:pStyle w:val="ARfintablebody"/>
              <w:spacing w:before="30"/>
              <w:rPr>
                <w:highlight w:val="green"/>
              </w:rPr>
            </w:pPr>
            <w:r w:rsidRPr="00F53D1A">
              <w:t>Minister for Disability</w:t>
            </w:r>
          </w:p>
        </w:tc>
        <w:tc>
          <w:tcPr>
            <w:tcW w:w="3062" w:type="dxa"/>
            <w:tcBorders>
              <w:top w:val="single" w:sz="4" w:space="0" w:color="A6A6A6"/>
              <w:bottom w:val="single" w:sz="4" w:space="0" w:color="A6A6A6"/>
            </w:tcBorders>
          </w:tcPr>
          <w:p w14:paraId="3ED82C87" w14:textId="177AE7D3" w:rsidR="005B131E" w:rsidRPr="00BA7805" w:rsidRDefault="005B131E" w:rsidP="002542E1">
            <w:pPr>
              <w:pStyle w:val="ARfintablebody"/>
              <w:spacing w:before="30"/>
              <w:rPr>
                <w:highlight w:val="green"/>
              </w:rPr>
            </w:pPr>
            <w:r w:rsidRPr="00F53D1A">
              <w:t>Hon Lizzie Blandthorn</w:t>
            </w:r>
          </w:p>
        </w:tc>
        <w:tc>
          <w:tcPr>
            <w:tcW w:w="3629" w:type="dxa"/>
            <w:tcBorders>
              <w:top w:val="single" w:sz="4" w:space="0" w:color="A6A6A6"/>
              <w:bottom w:val="single" w:sz="4" w:space="0" w:color="A6A6A6"/>
            </w:tcBorders>
          </w:tcPr>
          <w:p w14:paraId="06311F6C" w14:textId="77777777" w:rsidR="005B131E" w:rsidRPr="00BA7805" w:rsidRDefault="005B131E" w:rsidP="002542E1">
            <w:pPr>
              <w:pStyle w:val="ARfintablebody"/>
              <w:spacing w:before="30"/>
              <w:rPr>
                <w:highlight w:val="green"/>
              </w:rPr>
            </w:pPr>
            <w:r w:rsidRPr="00F53D1A">
              <w:t>2 October 2023 to 30 June 2024</w:t>
            </w:r>
          </w:p>
        </w:tc>
      </w:tr>
      <w:tr w:rsidR="005B131E" w:rsidRPr="00BA7805" w14:paraId="5A4F01D2" w14:textId="77777777" w:rsidTr="003D7AC8">
        <w:trPr>
          <w:cantSplit w:val="0"/>
        </w:trPr>
        <w:tc>
          <w:tcPr>
            <w:tcW w:w="2948" w:type="dxa"/>
            <w:tcBorders>
              <w:top w:val="single" w:sz="4" w:space="0" w:color="A6A6A6"/>
              <w:bottom w:val="single" w:sz="4" w:space="0" w:color="A6A6A6"/>
            </w:tcBorders>
          </w:tcPr>
          <w:p w14:paraId="7FCBE71B" w14:textId="77777777" w:rsidR="005B131E" w:rsidRPr="00BA7805" w:rsidRDefault="005B131E" w:rsidP="002542E1">
            <w:pPr>
              <w:pStyle w:val="ARfintablebody"/>
              <w:spacing w:before="30"/>
              <w:rPr>
                <w:highlight w:val="green"/>
              </w:rPr>
            </w:pPr>
            <w:r w:rsidRPr="00F53D1A">
              <w:t>Minister for Child Protection and Family Services</w:t>
            </w:r>
          </w:p>
        </w:tc>
        <w:tc>
          <w:tcPr>
            <w:tcW w:w="3062" w:type="dxa"/>
            <w:tcBorders>
              <w:top w:val="single" w:sz="4" w:space="0" w:color="A6A6A6"/>
              <w:bottom w:val="single" w:sz="4" w:space="0" w:color="A6A6A6"/>
            </w:tcBorders>
          </w:tcPr>
          <w:p w14:paraId="4C6DE75A" w14:textId="611C5507" w:rsidR="005B131E" w:rsidRPr="00BA7805" w:rsidRDefault="005B131E" w:rsidP="002542E1">
            <w:pPr>
              <w:pStyle w:val="ARfintablebody"/>
              <w:spacing w:before="30"/>
              <w:rPr>
                <w:highlight w:val="green"/>
              </w:rPr>
            </w:pPr>
            <w:r w:rsidRPr="00F53D1A">
              <w:t>Hon Lizzie Blandthorn</w:t>
            </w:r>
          </w:p>
        </w:tc>
        <w:tc>
          <w:tcPr>
            <w:tcW w:w="3629" w:type="dxa"/>
            <w:tcBorders>
              <w:top w:val="single" w:sz="4" w:space="0" w:color="A6A6A6"/>
              <w:bottom w:val="single" w:sz="4" w:space="0" w:color="A6A6A6"/>
            </w:tcBorders>
          </w:tcPr>
          <w:p w14:paraId="2F513AF1" w14:textId="77777777" w:rsidR="005B131E" w:rsidRPr="00BA7805" w:rsidRDefault="005B131E" w:rsidP="002542E1">
            <w:pPr>
              <w:pStyle w:val="ARfintablebody"/>
              <w:spacing w:before="30"/>
              <w:rPr>
                <w:highlight w:val="green"/>
              </w:rPr>
            </w:pPr>
            <w:r w:rsidRPr="00F53D1A">
              <w:t>1 July 2023 to 2 October 2023</w:t>
            </w:r>
          </w:p>
        </w:tc>
      </w:tr>
      <w:tr w:rsidR="005B131E" w:rsidRPr="00BA7805" w14:paraId="48AD3D12" w14:textId="77777777" w:rsidTr="003D7AC8">
        <w:trPr>
          <w:cantSplit w:val="0"/>
        </w:trPr>
        <w:tc>
          <w:tcPr>
            <w:tcW w:w="2948" w:type="dxa"/>
            <w:tcBorders>
              <w:top w:val="single" w:sz="4" w:space="0" w:color="A6A6A6"/>
              <w:bottom w:val="single" w:sz="4" w:space="0" w:color="A6A6A6"/>
            </w:tcBorders>
          </w:tcPr>
          <w:p w14:paraId="2405C010" w14:textId="77777777" w:rsidR="005B131E" w:rsidRPr="00BA7805" w:rsidRDefault="005B131E" w:rsidP="002542E1">
            <w:pPr>
              <w:pStyle w:val="ARfintablebody"/>
              <w:spacing w:before="30"/>
              <w:rPr>
                <w:highlight w:val="green"/>
              </w:rPr>
            </w:pPr>
            <w:r w:rsidRPr="00F53D1A">
              <w:t>Minister for Children</w:t>
            </w:r>
          </w:p>
        </w:tc>
        <w:tc>
          <w:tcPr>
            <w:tcW w:w="3062" w:type="dxa"/>
            <w:tcBorders>
              <w:top w:val="single" w:sz="4" w:space="0" w:color="A6A6A6"/>
              <w:bottom w:val="single" w:sz="4" w:space="0" w:color="A6A6A6"/>
            </w:tcBorders>
          </w:tcPr>
          <w:p w14:paraId="0BA5F970" w14:textId="16F6E368" w:rsidR="005B131E" w:rsidRPr="00BA7805" w:rsidRDefault="005B131E" w:rsidP="002542E1">
            <w:pPr>
              <w:pStyle w:val="ARfintablebody"/>
              <w:spacing w:before="30"/>
              <w:rPr>
                <w:highlight w:val="green"/>
              </w:rPr>
            </w:pPr>
            <w:r w:rsidRPr="00F53D1A">
              <w:t>Hon Lizzie Blandthorn</w:t>
            </w:r>
          </w:p>
        </w:tc>
        <w:tc>
          <w:tcPr>
            <w:tcW w:w="3629" w:type="dxa"/>
            <w:tcBorders>
              <w:top w:val="single" w:sz="4" w:space="0" w:color="A6A6A6"/>
              <w:bottom w:val="single" w:sz="4" w:space="0" w:color="A6A6A6"/>
            </w:tcBorders>
          </w:tcPr>
          <w:p w14:paraId="795EE612" w14:textId="77777777" w:rsidR="005B131E" w:rsidRPr="00BA7805" w:rsidRDefault="005B131E" w:rsidP="002542E1">
            <w:pPr>
              <w:pStyle w:val="ARfintablebody"/>
              <w:spacing w:before="30"/>
              <w:rPr>
                <w:highlight w:val="green"/>
              </w:rPr>
            </w:pPr>
            <w:r w:rsidRPr="00F53D1A">
              <w:t>2 October 2023 to 30 June 2024</w:t>
            </w:r>
          </w:p>
        </w:tc>
      </w:tr>
      <w:tr w:rsidR="005B131E" w:rsidRPr="00BA7805" w14:paraId="33620324" w14:textId="77777777" w:rsidTr="003D7AC8">
        <w:trPr>
          <w:cantSplit w:val="0"/>
        </w:trPr>
        <w:tc>
          <w:tcPr>
            <w:tcW w:w="2948" w:type="dxa"/>
            <w:vMerge w:val="restart"/>
            <w:tcBorders>
              <w:top w:val="single" w:sz="4" w:space="0" w:color="A6A6A6"/>
              <w:bottom w:val="single" w:sz="4" w:space="0" w:color="A6A6A6"/>
            </w:tcBorders>
          </w:tcPr>
          <w:p w14:paraId="390CB12F" w14:textId="77777777" w:rsidR="005B131E" w:rsidRPr="00BA7805" w:rsidRDefault="005B131E" w:rsidP="002542E1">
            <w:pPr>
              <w:pStyle w:val="ARfintablebody"/>
              <w:spacing w:before="30"/>
              <w:rPr>
                <w:highlight w:val="green"/>
              </w:rPr>
            </w:pPr>
            <w:r w:rsidRPr="005D061C">
              <w:t>Minister for Housing</w:t>
            </w:r>
          </w:p>
        </w:tc>
        <w:tc>
          <w:tcPr>
            <w:tcW w:w="3062" w:type="dxa"/>
            <w:tcBorders>
              <w:top w:val="single" w:sz="4" w:space="0" w:color="A6A6A6"/>
              <w:bottom w:val="single" w:sz="4" w:space="0" w:color="A6A6A6"/>
            </w:tcBorders>
          </w:tcPr>
          <w:p w14:paraId="36F62327" w14:textId="187EDBE9" w:rsidR="005B131E" w:rsidRPr="00BA7805" w:rsidRDefault="005B131E" w:rsidP="002542E1">
            <w:pPr>
              <w:pStyle w:val="ARfintablebody"/>
              <w:spacing w:before="30"/>
              <w:rPr>
                <w:highlight w:val="green"/>
              </w:rPr>
            </w:pPr>
            <w:r w:rsidRPr="005D061C">
              <w:t>The Hon Colin Brooks</w:t>
            </w:r>
          </w:p>
        </w:tc>
        <w:tc>
          <w:tcPr>
            <w:tcW w:w="3629" w:type="dxa"/>
            <w:tcBorders>
              <w:top w:val="single" w:sz="4" w:space="0" w:color="A6A6A6"/>
              <w:bottom w:val="single" w:sz="4" w:space="0" w:color="A6A6A6"/>
            </w:tcBorders>
          </w:tcPr>
          <w:p w14:paraId="1BAF6929" w14:textId="77777777" w:rsidR="005B131E" w:rsidRPr="00BA7805" w:rsidRDefault="005B131E" w:rsidP="002542E1">
            <w:pPr>
              <w:pStyle w:val="ARfintablebody"/>
              <w:spacing w:before="30"/>
              <w:rPr>
                <w:highlight w:val="green"/>
              </w:rPr>
            </w:pPr>
            <w:r w:rsidRPr="005D061C">
              <w:t>1 July 2023 to 2 October 2023</w:t>
            </w:r>
          </w:p>
        </w:tc>
      </w:tr>
      <w:tr w:rsidR="005B131E" w:rsidRPr="00BA7805" w14:paraId="420629AB" w14:textId="77777777">
        <w:trPr>
          <w:cantSplit w:val="0"/>
        </w:trPr>
        <w:tc>
          <w:tcPr>
            <w:tcW w:w="2948" w:type="dxa"/>
            <w:vMerge/>
            <w:tcBorders>
              <w:top w:val="single" w:sz="4" w:space="0" w:color="A6A6A6"/>
              <w:bottom w:val="single" w:sz="4" w:space="0" w:color="A6A6A6"/>
            </w:tcBorders>
          </w:tcPr>
          <w:p w14:paraId="521F4D3A"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15E2790C" w14:textId="55C725ED" w:rsidR="005B131E" w:rsidRPr="00BA7805" w:rsidRDefault="005B131E" w:rsidP="002542E1">
            <w:pPr>
              <w:pStyle w:val="ARfintablebody"/>
              <w:spacing w:before="30"/>
              <w:rPr>
                <w:highlight w:val="green"/>
              </w:rPr>
            </w:pPr>
            <w:r w:rsidRPr="005D061C">
              <w:t>The Hon Harriet Shing</w:t>
            </w:r>
          </w:p>
        </w:tc>
        <w:tc>
          <w:tcPr>
            <w:tcW w:w="3629" w:type="dxa"/>
            <w:tcBorders>
              <w:top w:val="single" w:sz="4" w:space="0" w:color="A6A6A6"/>
              <w:bottom w:val="single" w:sz="4" w:space="0" w:color="A6A6A6"/>
            </w:tcBorders>
          </w:tcPr>
          <w:p w14:paraId="2C4A8612" w14:textId="77777777" w:rsidR="005B131E" w:rsidRPr="00BA7805" w:rsidRDefault="005B131E" w:rsidP="002542E1">
            <w:pPr>
              <w:pStyle w:val="ARfintablebody"/>
              <w:spacing w:before="30"/>
              <w:rPr>
                <w:highlight w:val="green"/>
              </w:rPr>
            </w:pPr>
            <w:r w:rsidRPr="005D061C">
              <w:t>2 October 2023 to 30 June 2024</w:t>
            </w:r>
          </w:p>
        </w:tc>
      </w:tr>
      <w:tr w:rsidR="005B131E" w:rsidRPr="00BA7805" w14:paraId="576B6F1B" w14:textId="77777777">
        <w:trPr>
          <w:cantSplit w:val="0"/>
        </w:trPr>
        <w:tc>
          <w:tcPr>
            <w:tcW w:w="2948" w:type="dxa"/>
            <w:tcBorders>
              <w:top w:val="single" w:sz="4" w:space="0" w:color="A6A6A6"/>
              <w:bottom w:val="single" w:sz="4" w:space="0" w:color="A6A6A6"/>
            </w:tcBorders>
          </w:tcPr>
          <w:p w14:paraId="017969C1" w14:textId="77777777" w:rsidR="005B131E" w:rsidRPr="00BA7805" w:rsidRDefault="005B131E" w:rsidP="002542E1">
            <w:pPr>
              <w:pStyle w:val="ARfintablebody"/>
              <w:spacing w:before="30"/>
              <w:rPr>
                <w:highlight w:val="green"/>
              </w:rPr>
            </w:pPr>
            <w:r w:rsidRPr="00826B10">
              <w:t>Minister for Equality</w:t>
            </w:r>
          </w:p>
        </w:tc>
        <w:tc>
          <w:tcPr>
            <w:tcW w:w="3062" w:type="dxa"/>
            <w:tcBorders>
              <w:top w:val="single" w:sz="4" w:space="0" w:color="A6A6A6"/>
              <w:bottom w:val="single" w:sz="4" w:space="0" w:color="A6A6A6"/>
            </w:tcBorders>
          </w:tcPr>
          <w:p w14:paraId="29DAC26B" w14:textId="5406DC59" w:rsidR="005B131E" w:rsidRPr="005D061C" w:rsidRDefault="005B131E" w:rsidP="002542E1">
            <w:pPr>
              <w:pStyle w:val="ARfintablebody"/>
              <w:spacing w:before="30"/>
            </w:pPr>
            <w:r w:rsidRPr="00826B10">
              <w:t>The Hon Harriet Shing</w:t>
            </w:r>
          </w:p>
        </w:tc>
        <w:tc>
          <w:tcPr>
            <w:tcW w:w="3629" w:type="dxa"/>
            <w:tcBorders>
              <w:top w:val="single" w:sz="4" w:space="0" w:color="A6A6A6"/>
              <w:bottom w:val="single" w:sz="4" w:space="0" w:color="A6A6A6"/>
            </w:tcBorders>
          </w:tcPr>
          <w:p w14:paraId="48614A47" w14:textId="77777777" w:rsidR="005B131E" w:rsidRPr="005D061C" w:rsidRDefault="005B131E" w:rsidP="002542E1">
            <w:pPr>
              <w:pStyle w:val="ARfintablebody"/>
              <w:spacing w:before="30"/>
            </w:pPr>
            <w:r w:rsidRPr="00826B10">
              <w:t>1 July 2023 to 30 June 2024</w:t>
            </w:r>
          </w:p>
        </w:tc>
      </w:tr>
      <w:tr w:rsidR="005B131E" w:rsidRPr="00BA7805" w14:paraId="3ECF218D" w14:textId="77777777">
        <w:trPr>
          <w:cantSplit w:val="0"/>
        </w:trPr>
        <w:tc>
          <w:tcPr>
            <w:tcW w:w="2948" w:type="dxa"/>
            <w:vMerge w:val="restart"/>
            <w:tcBorders>
              <w:top w:val="single" w:sz="4" w:space="0" w:color="A6A6A6"/>
              <w:bottom w:val="single" w:sz="4" w:space="0" w:color="A6A6A6"/>
            </w:tcBorders>
          </w:tcPr>
          <w:p w14:paraId="4F9230C8" w14:textId="77777777" w:rsidR="005B131E" w:rsidRPr="00BA7805" w:rsidRDefault="005B131E" w:rsidP="002542E1">
            <w:pPr>
              <w:pStyle w:val="ARfintablebody"/>
              <w:spacing w:before="30"/>
              <w:rPr>
                <w:highlight w:val="green"/>
              </w:rPr>
            </w:pPr>
            <w:r w:rsidRPr="00945E89">
              <w:t>Minister for Prevention of Family</w:t>
            </w:r>
            <w:r>
              <w:t> </w:t>
            </w:r>
            <w:r w:rsidRPr="00945E89">
              <w:t>Violence</w:t>
            </w:r>
          </w:p>
        </w:tc>
        <w:tc>
          <w:tcPr>
            <w:tcW w:w="3062" w:type="dxa"/>
            <w:tcBorders>
              <w:top w:val="single" w:sz="4" w:space="0" w:color="A6A6A6"/>
              <w:bottom w:val="single" w:sz="4" w:space="0" w:color="A6A6A6"/>
            </w:tcBorders>
          </w:tcPr>
          <w:p w14:paraId="3666378F" w14:textId="264027B6" w:rsidR="005B131E" w:rsidRPr="00BA7805" w:rsidRDefault="005B131E" w:rsidP="002542E1">
            <w:pPr>
              <w:pStyle w:val="ARfintablebody"/>
              <w:spacing w:before="30"/>
              <w:rPr>
                <w:highlight w:val="green"/>
              </w:rPr>
            </w:pPr>
            <w:r w:rsidRPr="00945E89">
              <w:t>The Hon Ros Spence</w:t>
            </w:r>
          </w:p>
        </w:tc>
        <w:tc>
          <w:tcPr>
            <w:tcW w:w="3629" w:type="dxa"/>
            <w:tcBorders>
              <w:top w:val="single" w:sz="4" w:space="0" w:color="A6A6A6"/>
              <w:bottom w:val="single" w:sz="4" w:space="0" w:color="A6A6A6"/>
            </w:tcBorders>
          </w:tcPr>
          <w:p w14:paraId="0A6E26B2" w14:textId="77777777" w:rsidR="005B131E" w:rsidRPr="00BA7805" w:rsidRDefault="005B131E" w:rsidP="002542E1">
            <w:pPr>
              <w:pStyle w:val="ARfintablebody"/>
              <w:spacing w:before="30"/>
              <w:rPr>
                <w:highlight w:val="green"/>
              </w:rPr>
            </w:pPr>
            <w:r w:rsidRPr="00945E89">
              <w:t>1 July 2023 to 2 October 2023</w:t>
            </w:r>
          </w:p>
        </w:tc>
      </w:tr>
      <w:tr w:rsidR="005B131E" w:rsidRPr="00BA7805" w14:paraId="1FFC2019" w14:textId="77777777">
        <w:trPr>
          <w:cantSplit w:val="0"/>
        </w:trPr>
        <w:tc>
          <w:tcPr>
            <w:tcW w:w="2948" w:type="dxa"/>
            <w:vMerge/>
            <w:tcBorders>
              <w:top w:val="single" w:sz="4" w:space="0" w:color="A6A6A6"/>
              <w:bottom w:val="single" w:sz="4" w:space="0" w:color="A6A6A6"/>
            </w:tcBorders>
          </w:tcPr>
          <w:p w14:paraId="2B47027A"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5E36DD82" w14:textId="064041BE" w:rsidR="005B131E" w:rsidRPr="00BA7805" w:rsidRDefault="005B131E" w:rsidP="002542E1">
            <w:pPr>
              <w:pStyle w:val="ARfintablebody"/>
              <w:spacing w:before="30"/>
              <w:rPr>
                <w:highlight w:val="green"/>
              </w:rPr>
            </w:pPr>
            <w:r w:rsidRPr="00945E89">
              <w:t>The Hon Vicki Ward</w:t>
            </w:r>
          </w:p>
        </w:tc>
        <w:tc>
          <w:tcPr>
            <w:tcW w:w="3629" w:type="dxa"/>
            <w:tcBorders>
              <w:top w:val="single" w:sz="4" w:space="0" w:color="A6A6A6"/>
              <w:bottom w:val="single" w:sz="4" w:space="0" w:color="A6A6A6"/>
            </w:tcBorders>
          </w:tcPr>
          <w:p w14:paraId="79DCA03C" w14:textId="77777777" w:rsidR="005B131E" w:rsidRPr="00BA7805" w:rsidRDefault="005B131E" w:rsidP="002542E1">
            <w:pPr>
              <w:pStyle w:val="ARfintablebody"/>
              <w:spacing w:before="30"/>
              <w:rPr>
                <w:highlight w:val="green"/>
              </w:rPr>
            </w:pPr>
            <w:r w:rsidRPr="00945E89">
              <w:t>2 October 2023 to 30 June 2024</w:t>
            </w:r>
          </w:p>
        </w:tc>
      </w:tr>
      <w:tr w:rsidR="005B131E" w:rsidRPr="00BA7805" w14:paraId="2A1EAB3C" w14:textId="77777777">
        <w:trPr>
          <w:cantSplit w:val="0"/>
        </w:trPr>
        <w:tc>
          <w:tcPr>
            <w:tcW w:w="2948" w:type="dxa"/>
            <w:tcBorders>
              <w:top w:val="single" w:sz="4" w:space="0" w:color="A6A6A6"/>
              <w:bottom w:val="single" w:sz="4" w:space="0" w:color="A6A6A6"/>
            </w:tcBorders>
          </w:tcPr>
          <w:p w14:paraId="26683421" w14:textId="77777777" w:rsidR="005B131E" w:rsidRPr="00BA7805" w:rsidRDefault="005B131E" w:rsidP="002542E1">
            <w:pPr>
              <w:pStyle w:val="ARfintablebody"/>
              <w:spacing w:before="30"/>
              <w:rPr>
                <w:highlight w:val="green"/>
              </w:rPr>
            </w:pPr>
            <w:r w:rsidRPr="00BC1493">
              <w:t>Minister for Veterans</w:t>
            </w:r>
          </w:p>
        </w:tc>
        <w:tc>
          <w:tcPr>
            <w:tcW w:w="3062" w:type="dxa"/>
            <w:tcBorders>
              <w:top w:val="single" w:sz="4" w:space="0" w:color="A6A6A6"/>
              <w:bottom w:val="single" w:sz="4" w:space="0" w:color="A6A6A6"/>
            </w:tcBorders>
          </w:tcPr>
          <w:p w14:paraId="06A48FB0" w14:textId="6A26DA95" w:rsidR="005B131E" w:rsidRPr="00945E89" w:rsidRDefault="005B131E" w:rsidP="002542E1">
            <w:pPr>
              <w:pStyle w:val="ARfintablebody"/>
              <w:spacing w:before="30"/>
            </w:pPr>
            <w:r w:rsidRPr="00BC1493">
              <w:t>The Hon Natalie Suleyman</w:t>
            </w:r>
          </w:p>
        </w:tc>
        <w:tc>
          <w:tcPr>
            <w:tcW w:w="3629" w:type="dxa"/>
            <w:tcBorders>
              <w:top w:val="single" w:sz="4" w:space="0" w:color="A6A6A6"/>
              <w:bottom w:val="single" w:sz="4" w:space="0" w:color="A6A6A6"/>
            </w:tcBorders>
          </w:tcPr>
          <w:p w14:paraId="7229012A" w14:textId="77777777" w:rsidR="005B131E" w:rsidRPr="00945E89" w:rsidRDefault="005B131E" w:rsidP="002542E1">
            <w:pPr>
              <w:pStyle w:val="ARfintablebody"/>
              <w:spacing w:before="30"/>
            </w:pPr>
            <w:r w:rsidRPr="00BC1493">
              <w:t>1 July 2023 to 30 June 2024</w:t>
            </w:r>
          </w:p>
        </w:tc>
      </w:tr>
      <w:tr w:rsidR="005B131E" w:rsidRPr="00BA7805" w14:paraId="28283181" w14:textId="77777777">
        <w:trPr>
          <w:cantSplit w:val="0"/>
        </w:trPr>
        <w:tc>
          <w:tcPr>
            <w:tcW w:w="2948" w:type="dxa"/>
            <w:tcBorders>
              <w:top w:val="single" w:sz="4" w:space="0" w:color="A6A6A6"/>
              <w:bottom w:val="single" w:sz="4" w:space="0" w:color="A6A6A6"/>
            </w:tcBorders>
          </w:tcPr>
          <w:p w14:paraId="759BE3C0" w14:textId="77777777" w:rsidR="005B131E" w:rsidRPr="00BA7805" w:rsidRDefault="005B131E" w:rsidP="002542E1">
            <w:pPr>
              <w:pStyle w:val="ARfintablebody"/>
              <w:spacing w:before="30"/>
              <w:rPr>
                <w:highlight w:val="green"/>
              </w:rPr>
            </w:pPr>
            <w:r w:rsidRPr="00BC1493">
              <w:t>Minister for Youth</w:t>
            </w:r>
          </w:p>
        </w:tc>
        <w:tc>
          <w:tcPr>
            <w:tcW w:w="3062" w:type="dxa"/>
            <w:tcBorders>
              <w:top w:val="single" w:sz="4" w:space="0" w:color="A6A6A6"/>
              <w:bottom w:val="single" w:sz="4" w:space="0" w:color="A6A6A6"/>
            </w:tcBorders>
          </w:tcPr>
          <w:p w14:paraId="787D3D79" w14:textId="6F9C67AF" w:rsidR="005B131E" w:rsidRPr="00945E89" w:rsidRDefault="005B131E" w:rsidP="002542E1">
            <w:pPr>
              <w:pStyle w:val="ARfintablebody"/>
              <w:spacing w:before="30"/>
            </w:pPr>
            <w:r w:rsidRPr="00BC1493">
              <w:t>The Hon Natalie Suleyman</w:t>
            </w:r>
          </w:p>
        </w:tc>
        <w:tc>
          <w:tcPr>
            <w:tcW w:w="3629" w:type="dxa"/>
            <w:tcBorders>
              <w:top w:val="single" w:sz="4" w:space="0" w:color="A6A6A6"/>
              <w:bottom w:val="single" w:sz="4" w:space="0" w:color="A6A6A6"/>
            </w:tcBorders>
          </w:tcPr>
          <w:p w14:paraId="77AC4D8E" w14:textId="77777777" w:rsidR="005B131E" w:rsidRPr="00945E89" w:rsidRDefault="005B131E" w:rsidP="002542E1">
            <w:pPr>
              <w:pStyle w:val="ARfintablebody"/>
              <w:spacing w:before="30"/>
            </w:pPr>
            <w:r w:rsidRPr="00BC1493">
              <w:t>1 July 2023 to 30 June 2024</w:t>
            </w:r>
          </w:p>
        </w:tc>
      </w:tr>
      <w:tr w:rsidR="005B131E" w:rsidRPr="00BA7805" w14:paraId="44A32A9D" w14:textId="77777777">
        <w:trPr>
          <w:cantSplit w:val="0"/>
        </w:trPr>
        <w:tc>
          <w:tcPr>
            <w:tcW w:w="2948" w:type="dxa"/>
            <w:tcBorders>
              <w:top w:val="single" w:sz="4" w:space="0" w:color="A6A6A6"/>
              <w:bottom w:val="single" w:sz="4" w:space="0" w:color="A6A6A6"/>
            </w:tcBorders>
          </w:tcPr>
          <w:p w14:paraId="28FFF184" w14:textId="77777777" w:rsidR="005B131E" w:rsidRPr="00BA7805" w:rsidRDefault="005B131E" w:rsidP="002542E1">
            <w:pPr>
              <w:pStyle w:val="ARfintablebody"/>
              <w:spacing w:before="30"/>
              <w:rPr>
                <w:highlight w:val="green"/>
              </w:rPr>
            </w:pPr>
            <w:r w:rsidRPr="00BC1493">
              <w:t>Minister for Ageing</w:t>
            </w:r>
          </w:p>
        </w:tc>
        <w:tc>
          <w:tcPr>
            <w:tcW w:w="3062" w:type="dxa"/>
            <w:tcBorders>
              <w:top w:val="single" w:sz="4" w:space="0" w:color="A6A6A6"/>
              <w:bottom w:val="single" w:sz="4" w:space="0" w:color="A6A6A6"/>
            </w:tcBorders>
          </w:tcPr>
          <w:p w14:paraId="7DE10BA6" w14:textId="45457561" w:rsidR="005B131E" w:rsidRPr="00945E89" w:rsidRDefault="005B131E" w:rsidP="002542E1">
            <w:pPr>
              <w:pStyle w:val="ARfintablebody"/>
              <w:spacing w:before="30"/>
            </w:pPr>
            <w:r w:rsidRPr="00BC1493">
              <w:t>Ingrid Stitt</w:t>
            </w:r>
            <w:r w:rsidR="008662B8">
              <w:t xml:space="preserve"> MP</w:t>
            </w:r>
          </w:p>
        </w:tc>
        <w:tc>
          <w:tcPr>
            <w:tcW w:w="3629" w:type="dxa"/>
            <w:tcBorders>
              <w:top w:val="single" w:sz="4" w:space="0" w:color="A6A6A6"/>
              <w:bottom w:val="single" w:sz="4" w:space="0" w:color="A6A6A6"/>
            </w:tcBorders>
          </w:tcPr>
          <w:p w14:paraId="3D88D012" w14:textId="77777777" w:rsidR="005B131E" w:rsidRPr="00945E89" w:rsidRDefault="005B131E" w:rsidP="002542E1">
            <w:pPr>
              <w:pStyle w:val="ARfintablebody"/>
              <w:spacing w:before="30"/>
            </w:pPr>
            <w:r w:rsidRPr="00BC1493">
              <w:t>5 October 2023 to 30 June 2024</w:t>
            </w:r>
          </w:p>
        </w:tc>
      </w:tr>
      <w:tr w:rsidR="005B131E" w:rsidRPr="00BA7805" w14:paraId="09E95901" w14:textId="77777777">
        <w:trPr>
          <w:cantSplit w:val="0"/>
        </w:trPr>
        <w:tc>
          <w:tcPr>
            <w:tcW w:w="2948" w:type="dxa"/>
            <w:tcBorders>
              <w:top w:val="single" w:sz="4" w:space="0" w:color="A6A6A6"/>
              <w:bottom w:val="single" w:sz="4" w:space="0" w:color="A6A6A6"/>
            </w:tcBorders>
          </w:tcPr>
          <w:p w14:paraId="42A6AE57" w14:textId="77777777" w:rsidR="005B131E" w:rsidRPr="00BA7805" w:rsidRDefault="005B131E" w:rsidP="002542E1">
            <w:pPr>
              <w:pStyle w:val="ARfintablebody"/>
              <w:spacing w:before="30"/>
              <w:rPr>
                <w:highlight w:val="green"/>
              </w:rPr>
            </w:pPr>
            <w:r w:rsidRPr="00BC1493">
              <w:t>Minister for Women</w:t>
            </w:r>
          </w:p>
        </w:tc>
        <w:tc>
          <w:tcPr>
            <w:tcW w:w="3062" w:type="dxa"/>
            <w:tcBorders>
              <w:top w:val="single" w:sz="4" w:space="0" w:color="A6A6A6"/>
              <w:bottom w:val="single" w:sz="4" w:space="0" w:color="A6A6A6"/>
            </w:tcBorders>
          </w:tcPr>
          <w:p w14:paraId="0F7B0943" w14:textId="5E429172" w:rsidR="005B131E" w:rsidRPr="00945E89" w:rsidRDefault="005B131E" w:rsidP="002542E1">
            <w:pPr>
              <w:pStyle w:val="ARfintablebody"/>
              <w:spacing w:before="30"/>
            </w:pPr>
            <w:r w:rsidRPr="00BC1493">
              <w:t>The Hon Natalie Hutchins</w:t>
            </w:r>
          </w:p>
        </w:tc>
        <w:tc>
          <w:tcPr>
            <w:tcW w:w="3629" w:type="dxa"/>
            <w:tcBorders>
              <w:top w:val="single" w:sz="4" w:space="0" w:color="A6A6A6"/>
              <w:bottom w:val="single" w:sz="4" w:space="0" w:color="A6A6A6"/>
            </w:tcBorders>
          </w:tcPr>
          <w:p w14:paraId="7E1F1804" w14:textId="77777777" w:rsidR="005B131E" w:rsidRPr="00945E89" w:rsidRDefault="005B131E" w:rsidP="002542E1">
            <w:pPr>
              <w:pStyle w:val="ARfintablebody"/>
              <w:spacing w:before="30"/>
            </w:pPr>
            <w:r w:rsidRPr="00BC1493">
              <w:t>1 July 2023 to 30 June 2024</w:t>
            </w:r>
          </w:p>
        </w:tc>
      </w:tr>
      <w:tr w:rsidR="005B131E" w:rsidRPr="00BA7805" w14:paraId="689453C5" w14:textId="77777777">
        <w:trPr>
          <w:cantSplit w:val="0"/>
        </w:trPr>
        <w:tc>
          <w:tcPr>
            <w:tcW w:w="2948" w:type="dxa"/>
            <w:tcBorders>
              <w:top w:val="single" w:sz="4" w:space="0" w:color="A6A6A6"/>
              <w:bottom w:val="single" w:sz="4" w:space="0" w:color="A6A6A6"/>
            </w:tcBorders>
          </w:tcPr>
          <w:p w14:paraId="58081F1A" w14:textId="77777777" w:rsidR="005B131E" w:rsidRPr="00BA7805" w:rsidRDefault="005B131E" w:rsidP="002542E1">
            <w:pPr>
              <w:pStyle w:val="ARfintablebody"/>
              <w:spacing w:before="30"/>
              <w:rPr>
                <w:highlight w:val="green"/>
              </w:rPr>
            </w:pPr>
            <w:r w:rsidRPr="00054E5C">
              <w:t xml:space="preserve">Minister for </w:t>
            </w:r>
            <w:r>
              <w:t xml:space="preserve">Multicultural Affairs </w:t>
            </w:r>
          </w:p>
        </w:tc>
        <w:tc>
          <w:tcPr>
            <w:tcW w:w="3062" w:type="dxa"/>
            <w:tcBorders>
              <w:top w:val="single" w:sz="4" w:space="0" w:color="A6A6A6"/>
              <w:bottom w:val="single" w:sz="4" w:space="0" w:color="A6A6A6"/>
            </w:tcBorders>
          </w:tcPr>
          <w:p w14:paraId="4A9E1AEF" w14:textId="3AD29968" w:rsidR="005B131E" w:rsidRDefault="005B131E" w:rsidP="002542E1">
            <w:pPr>
              <w:pStyle w:val="ARfintablebody"/>
              <w:spacing w:before="30"/>
            </w:pPr>
            <w:r w:rsidRPr="00054E5C">
              <w:t xml:space="preserve">The Hon </w:t>
            </w:r>
            <w:r w:rsidRPr="00F72AF5">
              <w:t>Colin Brooks</w:t>
            </w:r>
          </w:p>
          <w:p w14:paraId="2E7C31A5" w14:textId="49F89668" w:rsidR="005B131E" w:rsidRPr="00BA7805" w:rsidRDefault="005B131E" w:rsidP="002542E1">
            <w:pPr>
              <w:pStyle w:val="ARfintablebody"/>
              <w:spacing w:before="30"/>
              <w:rPr>
                <w:highlight w:val="green"/>
              </w:rPr>
            </w:pPr>
            <w:r w:rsidRPr="003774E0">
              <w:t>Ingrid Stitt</w:t>
            </w:r>
            <w:r w:rsidR="008662B8">
              <w:t xml:space="preserve"> MP</w:t>
            </w:r>
          </w:p>
        </w:tc>
        <w:tc>
          <w:tcPr>
            <w:tcW w:w="3629" w:type="dxa"/>
            <w:tcBorders>
              <w:top w:val="single" w:sz="4" w:space="0" w:color="A6A6A6"/>
              <w:bottom w:val="single" w:sz="4" w:space="0" w:color="A6A6A6"/>
            </w:tcBorders>
          </w:tcPr>
          <w:p w14:paraId="6D895337" w14:textId="77777777" w:rsidR="005B131E" w:rsidRDefault="005B131E" w:rsidP="002542E1">
            <w:pPr>
              <w:pStyle w:val="ARfintablebody"/>
              <w:spacing w:before="30"/>
            </w:pPr>
            <w:r>
              <w:t>1 July 2023 to 2 October 2023</w:t>
            </w:r>
          </w:p>
          <w:p w14:paraId="484A61BC" w14:textId="77777777" w:rsidR="005B131E" w:rsidRPr="00BA7805" w:rsidRDefault="005B131E" w:rsidP="002542E1">
            <w:pPr>
              <w:pStyle w:val="ARfintablebody"/>
              <w:spacing w:before="30"/>
              <w:rPr>
                <w:highlight w:val="green"/>
              </w:rPr>
            </w:pPr>
            <w:r>
              <w:t>2 October 2023 to 30 June 2024</w:t>
            </w:r>
          </w:p>
        </w:tc>
      </w:tr>
      <w:tr w:rsidR="005B131E" w:rsidRPr="00BA7805" w14:paraId="25BCF731" w14:textId="77777777">
        <w:trPr>
          <w:cantSplit w:val="0"/>
        </w:trPr>
        <w:tc>
          <w:tcPr>
            <w:tcW w:w="2948" w:type="dxa"/>
            <w:tcBorders>
              <w:top w:val="single" w:sz="4" w:space="0" w:color="A6A6A6"/>
              <w:bottom w:val="single" w:sz="4" w:space="0" w:color="A6A6A6"/>
            </w:tcBorders>
          </w:tcPr>
          <w:p w14:paraId="1D5E8AAE" w14:textId="77777777" w:rsidR="005B131E" w:rsidRPr="00BA7805" w:rsidRDefault="005B131E" w:rsidP="002542E1">
            <w:pPr>
              <w:pStyle w:val="ARfintablebody"/>
              <w:spacing w:before="30"/>
              <w:rPr>
                <w:highlight w:val="green"/>
              </w:rPr>
            </w:pPr>
            <w:r w:rsidRPr="006766DB">
              <w:t>Minister for Carers and</w:t>
            </w:r>
            <w:r>
              <w:t> </w:t>
            </w:r>
            <w:r w:rsidRPr="006766DB">
              <w:t>Volunteers</w:t>
            </w:r>
          </w:p>
        </w:tc>
        <w:tc>
          <w:tcPr>
            <w:tcW w:w="3062" w:type="dxa"/>
            <w:tcBorders>
              <w:top w:val="single" w:sz="4" w:space="0" w:color="A6A6A6"/>
              <w:bottom w:val="single" w:sz="4" w:space="0" w:color="A6A6A6"/>
            </w:tcBorders>
          </w:tcPr>
          <w:p w14:paraId="4EFAEE15" w14:textId="3C540033" w:rsidR="005B131E" w:rsidRPr="00BA7805" w:rsidRDefault="005B131E" w:rsidP="002542E1">
            <w:pPr>
              <w:pStyle w:val="ARfintablebody"/>
              <w:spacing w:before="30"/>
              <w:rPr>
                <w:highlight w:val="green"/>
              </w:rPr>
            </w:pPr>
            <w:r w:rsidRPr="006766DB">
              <w:t>The Hon Ros Spence</w:t>
            </w:r>
          </w:p>
        </w:tc>
        <w:tc>
          <w:tcPr>
            <w:tcW w:w="3629" w:type="dxa"/>
            <w:tcBorders>
              <w:top w:val="single" w:sz="4" w:space="0" w:color="A6A6A6"/>
              <w:bottom w:val="single" w:sz="4" w:space="0" w:color="A6A6A6"/>
            </w:tcBorders>
          </w:tcPr>
          <w:p w14:paraId="0B8C704D" w14:textId="77777777" w:rsidR="005B131E" w:rsidRPr="00BA7805" w:rsidRDefault="005B131E" w:rsidP="002542E1">
            <w:pPr>
              <w:pStyle w:val="ARfintablebody"/>
              <w:spacing w:before="30"/>
              <w:rPr>
                <w:highlight w:val="green"/>
              </w:rPr>
            </w:pPr>
            <w:r w:rsidRPr="006766DB">
              <w:t>2 October 2023 to 30 June 2024</w:t>
            </w:r>
          </w:p>
        </w:tc>
      </w:tr>
      <w:tr w:rsidR="005B131E" w:rsidRPr="00BA7805" w14:paraId="00A8CC8F" w14:textId="77777777">
        <w:trPr>
          <w:cantSplit w:val="0"/>
        </w:trPr>
        <w:tc>
          <w:tcPr>
            <w:tcW w:w="2948" w:type="dxa"/>
            <w:tcBorders>
              <w:top w:val="single" w:sz="4" w:space="0" w:color="A6A6A6"/>
              <w:bottom w:val="single" w:sz="4" w:space="0" w:color="A6A6A6"/>
            </w:tcBorders>
          </w:tcPr>
          <w:p w14:paraId="5D63D5A3" w14:textId="77777777" w:rsidR="005B131E" w:rsidRPr="00BA7805" w:rsidRDefault="005B131E" w:rsidP="002542E1">
            <w:pPr>
              <w:pStyle w:val="ARfintablebody"/>
              <w:spacing w:before="30"/>
              <w:rPr>
                <w:highlight w:val="green"/>
              </w:rPr>
            </w:pPr>
            <w:r w:rsidRPr="006766DB">
              <w:t>Secretary</w:t>
            </w:r>
          </w:p>
        </w:tc>
        <w:tc>
          <w:tcPr>
            <w:tcW w:w="3062" w:type="dxa"/>
            <w:tcBorders>
              <w:top w:val="single" w:sz="4" w:space="0" w:color="A6A6A6"/>
              <w:bottom w:val="single" w:sz="4" w:space="0" w:color="A6A6A6"/>
            </w:tcBorders>
          </w:tcPr>
          <w:p w14:paraId="5A07A8F4" w14:textId="77777777" w:rsidR="005B131E" w:rsidRPr="00BA7805" w:rsidRDefault="005B131E" w:rsidP="002542E1">
            <w:pPr>
              <w:pStyle w:val="ARfintablebody"/>
              <w:spacing w:before="30"/>
              <w:rPr>
                <w:highlight w:val="green"/>
              </w:rPr>
            </w:pPr>
            <w:r w:rsidRPr="006766DB">
              <w:t>Peta McCammon</w:t>
            </w:r>
          </w:p>
        </w:tc>
        <w:tc>
          <w:tcPr>
            <w:tcW w:w="3629" w:type="dxa"/>
            <w:tcBorders>
              <w:top w:val="single" w:sz="4" w:space="0" w:color="A6A6A6"/>
              <w:bottom w:val="single" w:sz="4" w:space="0" w:color="A6A6A6"/>
            </w:tcBorders>
          </w:tcPr>
          <w:p w14:paraId="72E97134" w14:textId="77777777" w:rsidR="005B131E" w:rsidRPr="00BA7805" w:rsidRDefault="005B131E" w:rsidP="002542E1">
            <w:pPr>
              <w:pStyle w:val="ARfintablebody"/>
              <w:spacing w:before="30"/>
              <w:rPr>
                <w:highlight w:val="green"/>
              </w:rPr>
            </w:pPr>
            <w:r w:rsidRPr="006766DB">
              <w:t>1 July 2023 to 30 June 2024</w:t>
            </w:r>
          </w:p>
        </w:tc>
      </w:tr>
    </w:tbl>
    <w:p w14:paraId="75ABD45F" w14:textId="77777777" w:rsidR="00120540" w:rsidRDefault="00120540">
      <w:pPr>
        <w:pStyle w:val="ARfinbodyaftertable"/>
        <w:spacing w:after="160"/>
      </w:pPr>
    </w:p>
    <w:p w14:paraId="6B6252A4" w14:textId="77777777" w:rsidR="00120540" w:rsidRDefault="00120540">
      <w:pPr>
        <w:rPr>
          <w:rFonts w:ascii="Arial" w:eastAsia="MS Mincho" w:hAnsi="Arial" w:cs="Arial"/>
          <w:color w:val="000000"/>
          <w:sz w:val="18"/>
          <w:szCs w:val="16"/>
          <w:lang w:eastAsia="en-AU"/>
        </w:rPr>
      </w:pPr>
      <w:r>
        <w:br w:type="page"/>
      </w:r>
    </w:p>
    <w:p w14:paraId="66BC3661" w14:textId="5BFF4762" w:rsidR="005B131E" w:rsidRPr="00BA7805" w:rsidRDefault="005B131E">
      <w:pPr>
        <w:pStyle w:val="ARfinbodyaftertable"/>
        <w:spacing w:after="160"/>
        <w:rPr>
          <w:highlight w:val="green"/>
        </w:rPr>
      </w:pPr>
      <w:r w:rsidRPr="00A36AA1">
        <w:t>The persons who acted in the positions of minister and of accountable officer in the department were as follows:</w:t>
      </w:r>
    </w:p>
    <w:tbl>
      <w:tblPr>
        <w:tblStyle w:val="TableGrid"/>
        <w:tblW w:w="9639" w:type="dxa"/>
        <w:tblLayout w:type="fixed"/>
        <w:tblLook w:val="06A0" w:firstRow="1" w:lastRow="0" w:firstColumn="1" w:lastColumn="0" w:noHBand="1" w:noVBand="1"/>
      </w:tblPr>
      <w:tblGrid>
        <w:gridCol w:w="2948"/>
        <w:gridCol w:w="3062"/>
        <w:gridCol w:w="3629"/>
      </w:tblGrid>
      <w:tr w:rsidR="005B131E" w:rsidRPr="00BA7805" w14:paraId="51DF8459"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2948" w:type="dxa"/>
            <w:tcBorders>
              <w:bottom w:val="single" w:sz="4" w:space="0" w:color="auto"/>
            </w:tcBorders>
            <w:hideMark/>
          </w:tcPr>
          <w:p w14:paraId="5D7F1C6D" w14:textId="77777777" w:rsidR="005B131E" w:rsidRPr="00103F89" w:rsidRDefault="005B131E">
            <w:pPr>
              <w:pStyle w:val="ARfintablecolhead"/>
              <w:rPr>
                <w:lang w:eastAsia="en-US"/>
              </w:rPr>
            </w:pPr>
            <w:r w:rsidRPr="00103F89">
              <w:rPr>
                <w:lang w:eastAsia="en-US"/>
              </w:rPr>
              <w:t>Relevant office</w:t>
            </w:r>
          </w:p>
        </w:tc>
        <w:tc>
          <w:tcPr>
            <w:tcW w:w="3062" w:type="dxa"/>
            <w:tcBorders>
              <w:bottom w:val="single" w:sz="4" w:space="0" w:color="auto"/>
            </w:tcBorders>
            <w:hideMark/>
          </w:tcPr>
          <w:p w14:paraId="70726A32" w14:textId="77777777" w:rsidR="005B131E" w:rsidRPr="00103F89" w:rsidRDefault="005B131E">
            <w:pPr>
              <w:pStyle w:val="ARfintablecolhead"/>
              <w:rPr>
                <w:lang w:eastAsia="en-US"/>
              </w:rPr>
            </w:pPr>
            <w:r w:rsidRPr="00103F89">
              <w:rPr>
                <w:lang w:eastAsia="en-US"/>
              </w:rPr>
              <w:t>Acting minister or accountable officer</w:t>
            </w:r>
          </w:p>
        </w:tc>
        <w:tc>
          <w:tcPr>
            <w:tcW w:w="3629" w:type="dxa"/>
            <w:tcBorders>
              <w:bottom w:val="single" w:sz="4" w:space="0" w:color="auto"/>
            </w:tcBorders>
            <w:hideMark/>
          </w:tcPr>
          <w:p w14:paraId="7060EFE1" w14:textId="77777777" w:rsidR="005B131E" w:rsidRPr="00103F89" w:rsidRDefault="005B131E">
            <w:pPr>
              <w:pStyle w:val="ARfintablecolhead"/>
              <w:rPr>
                <w:lang w:eastAsia="en-US"/>
              </w:rPr>
            </w:pPr>
            <w:r w:rsidRPr="00103F89">
              <w:rPr>
                <w:lang w:eastAsia="en-US"/>
              </w:rPr>
              <w:t>Period</w:t>
            </w:r>
          </w:p>
        </w:tc>
      </w:tr>
      <w:tr w:rsidR="005B131E" w:rsidRPr="00BA7805" w14:paraId="135DFC30" w14:textId="77777777" w:rsidTr="002542E1">
        <w:trPr>
          <w:cantSplit w:val="0"/>
        </w:trPr>
        <w:tc>
          <w:tcPr>
            <w:tcW w:w="2948" w:type="dxa"/>
            <w:vMerge w:val="restart"/>
            <w:tcBorders>
              <w:top w:val="single" w:sz="4" w:space="0" w:color="auto"/>
              <w:bottom w:val="single" w:sz="4" w:space="0" w:color="A6A6A6"/>
            </w:tcBorders>
          </w:tcPr>
          <w:p w14:paraId="06E51CAF" w14:textId="77777777" w:rsidR="005B131E" w:rsidRPr="00FC5CEA" w:rsidRDefault="005B131E" w:rsidP="002542E1">
            <w:pPr>
              <w:pStyle w:val="ARfintablebody"/>
              <w:rPr>
                <w:highlight w:val="green"/>
              </w:rPr>
            </w:pPr>
            <w:r w:rsidRPr="002B14D3">
              <w:t>Acting Minister for Disability</w:t>
            </w:r>
          </w:p>
        </w:tc>
        <w:tc>
          <w:tcPr>
            <w:tcW w:w="3062" w:type="dxa"/>
            <w:tcBorders>
              <w:top w:val="single" w:sz="4" w:space="0" w:color="auto"/>
              <w:bottom w:val="single" w:sz="4" w:space="0" w:color="A6A6A6" w:themeColor="accent5"/>
            </w:tcBorders>
          </w:tcPr>
          <w:p w14:paraId="1E8A0A97" w14:textId="7D98810F" w:rsidR="005B131E" w:rsidRPr="00BA7805" w:rsidRDefault="005B131E" w:rsidP="002542E1">
            <w:pPr>
              <w:pStyle w:val="ARfintablebody"/>
              <w:spacing w:before="30"/>
              <w:rPr>
                <w:highlight w:val="green"/>
              </w:rPr>
            </w:pPr>
            <w:r w:rsidRPr="002B14D3">
              <w:t>The Hon Colin Brooks</w:t>
            </w:r>
          </w:p>
        </w:tc>
        <w:tc>
          <w:tcPr>
            <w:tcW w:w="3629" w:type="dxa"/>
            <w:tcBorders>
              <w:top w:val="single" w:sz="4" w:space="0" w:color="auto"/>
              <w:bottom w:val="single" w:sz="4" w:space="0" w:color="A6A6A6" w:themeColor="accent5"/>
            </w:tcBorders>
          </w:tcPr>
          <w:p w14:paraId="30C5125B" w14:textId="77777777" w:rsidR="005B131E" w:rsidRPr="00BA7805" w:rsidRDefault="005B131E" w:rsidP="002542E1">
            <w:pPr>
              <w:pStyle w:val="ARfintablebody"/>
              <w:spacing w:before="30"/>
              <w:rPr>
                <w:highlight w:val="green"/>
                <w:lang w:eastAsia="en-US"/>
              </w:rPr>
            </w:pPr>
            <w:r w:rsidRPr="002B14D3">
              <w:t>18 July 2023 to 25 July 2023</w:t>
            </w:r>
          </w:p>
        </w:tc>
      </w:tr>
      <w:tr w:rsidR="005B131E" w:rsidRPr="00BA7805" w14:paraId="70C62CB4" w14:textId="77777777" w:rsidTr="002542E1">
        <w:trPr>
          <w:cantSplit w:val="0"/>
        </w:trPr>
        <w:tc>
          <w:tcPr>
            <w:tcW w:w="2948" w:type="dxa"/>
            <w:vMerge/>
            <w:tcBorders>
              <w:top w:val="single" w:sz="4" w:space="0" w:color="auto"/>
              <w:bottom w:val="single" w:sz="4" w:space="0" w:color="A6A6A6"/>
            </w:tcBorders>
          </w:tcPr>
          <w:p w14:paraId="17A069B9" w14:textId="77777777" w:rsidR="005B131E" w:rsidRPr="00BA7805" w:rsidRDefault="005B131E" w:rsidP="002542E1">
            <w:pPr>
              <w:pStyle w:val="ARfintablebody"/>
              <w:spacing w:before="30"/>
              <w:rPr>
                <w:highlight w:val="green"/>
              </w:rPr>
            </w:pPr>
          </w:p>
        </w:tc>
        <w:tc>
          <w:tcPr>
            <w:tcW w:w="3062" w:type="dxa"/>
            <w:tcBorders>
              <w:top w:val="single" w:sz="4" w:space="0" w:color="A6A6A6" w:themeColor="accent5"/>
              <w:bottom w:val="single" w:sz="4" w:space="0" w:color="A6A6A6"/>
            </w:tcBorders>
          </w:tcPr>
          <w:p w14:paraId="00049F19" w14:textId="5E9C292A" w:rsidR="005B131E" w:rsidRPr="00BA7805" w:rsidRDefault="005B131E" w:rsidP="002542E1">
            <w:pPr>
              <w:pStyle w:val="ARfintablebody"/>
              <w:spacing w:before="30"/>
              <w:rPr>
                <w:highlight w:val="green"/>
              </w:rPr>
            </w:pPr>
            <w:r w:rsidRPr="002B14D3">
              <w:t>The Hon Ros Spence</w:t>
            </w:r>
          </w:p>
        </w:tc>
        <w:tc>
          <w:tcPr>
            <w:tcW w:w="3629" w:type="dxa"/>
            <w:tcBorders>
              <w:top w:val="single" w:sz="4" w:space="0" w:color="A6A6A6" w:themeColor="accent5"/>
              <w:bottom w:val="single" w:sz="4" w:space="0" w:color="A6A6A6"/>
            </w:tcBorders>
          </w:tcPr>
          <w:p w14:paraId="4C584119" w14:textId="77777777" w:rsidR="005B131E" w:rsidRPr="00BA7805" w:rsidRDefault="005B131E" w:rsidP="002542E1">
            <w:pPr>
              <w:pStyle w:val="ARfintablebody"/>
              <w:spacing w:before="30"/>
              <w:rPr>
                <w:highlight w:val="green"/>
                <w:lang w:eastAsia="en-US"/>
              </w:rPr>
            </w:pPr>
            <w:r w:rsidRPr="002B14D3">
              <w:t>29 December 2023 to 5 January 2024</w:t>
            </w:r>
          </w:p>
        </w:tc>
      </w:tr>
      <w:tr w:rsidR="005B131E" w:rsidRPr="00BA7805" w14:paraId="7839A35D" w14:textId="77777777">
        <w:trPr>
          <w:cantSplit w:val="0"/>
        </w:trPr>
        <w:tc>
          <w:tcPr>
            <w:tcW w:w="2948" w:type="dxa"/>
            <w:vMerge/>
            <w:tcBorders>
              <w:top w:val="single" w:sz="4" w:space="0" w:color="A6A6A6"/>
              <w:bottom w:val="single" w:sz="4" w:space="0" w:color="A6A6A6"/>
            </w:tcBorders>
          </w:tcPr>
          <w:p w14:paraId="7DADEE2C"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149706B2" w14:textId="27E40EE5" w:rsidR="005B131E" w:rsidRPr="00BA7805" w:rsidRDefault="005B131E" w:rsidP="002542E1">
            <w:pPr>
              <w:pStyle w:val="ARfintablebody"/>
              <w:spacing w:before="30"/>
              <w:rPr>
                <w:highlight w:val="green"/>
              </w:rPr>
            </w:pPr>
            <w:r w:rsidRPr="002B14D3">
              <w:t>The Hon Natalie Hutchins</w:t>
            </w:r>
          </w:p>
        </w:tc>
        <w:tc>
          <w:tcPr>
            <w:tcW w:w="3629" w:type="dxa"/>
            <w:tcBorders>
              <w:top w:val="single" w:sz="4" w:space="0" w:color="A6A6A6"/>
              <w:bottom w:val="single" w:sz="4" w:space="0" w:color="A6A6A6"/>
            </w:tcBorders>
          </w:tcPr>
          <w:p w14:paraId="00E8A61F" w14:textId="77777777" w:rsidR="005B131E" w:rsidRPr="00BA7805" w:rsidRDefault="005B131E" w:rsidP="002542E1">
            <w:pPr>
              <w:pStyle w:val="ARfintablebody"/>
              <w:spacing w:before="30"/>
              <w:rPr>
                <w:highlight w:val="green"/>
              </w:rPr>
            </w:pPr>
            <w:r w:rsidRPr="002B14D3">
              <w:t>6 January 2024 to 18 January 2024</w:t>
            </w:r>
          </w:p>
        </w:tc>
      </w:tr>
      <w:tr w:rsidR="005B131E" w:rsidRPr="00BA7805" w14:paraId="01F7BB74" w14:textId="77777777">
        <w:trPr>
          <w:cantSplit w:val="0"/>
        </w:trPr>
        <w:tc>
          <w:tcPr>
            <w:tcW w:w="2948" w:type="dxa"/>
            <w:vMerge w:val="restart"/>
            <w:tcBorders>
              <w:top w:val="single" w:sz="4" w:space="0" w:color="A6A6A6"/>
            </w:tcBorders>
          </w:tcPr>
          <w:p w14:paraId="563D1827" w14:textId="77777777" w:rsidR="005B131E" w:rsidRPr="00BA7805" w:rsidRDefault="005B131E" w:rsidP="002542E1">
            <w:pPr>
              <w:pStyle w:val="ARfintablebody"/>
              <w:spacing w:before="30"/>
              <w:rPr>
                <w:highlight w:val="green"/>
              </w:rPr>
            </w:pPr>
            <w:r w:rsidRPr="008838D0">
              <w:t>Acting Minister for Children</w:t>
            </w:r>
          </w:p>
        </w:tc>
        <w:tc>
          <w:tcPr>
            <w:tcW w:w="3062" w:type="dxa"/>
            <w:tcBorders>
              <w:top w:val="single" w:sz="4" w:space="0" w:color="A6A6A6"/>
              <w:bottom w:val="single" w:sz="4" w:space="0" w:color="A6A6A6"/>
            </w:tcBorders>
          </w:tcPr>
          <w:p w14:paraId="00D46ECE" w14:textId="731C2A79" w:rsidR="005B131E" w:rsidRPr="00BA7805" w:rsidRDefault="005B131E" w:rsidP="002542E1">
            <w:pPr>
              <w:pStyle w:val="ARfintablebody"/>
              <w:spacing w:before="30"/>
              <w:rPr>
                <w:highlight w:val="green"/>
              </w:rPr>
            </w:pPr>
            <w:r w:rsidRPr="008838D0">
              <w:t>The Hon Colin Brooks</w:t>
            </w:r>
          </w:p>
        </w:tc>
        <w:tc>
          <w:tcPr>
            <w:tcW w:w="3629" w:type="dxa"/>
            <w:tcBorders>
              <w:top w:val="single" w:sz="4" w:space="0" w:color="A6A6A6"/>
              <w:bottom w:val="single" w:sz="4" w:space="0" w:color="A6A6A6"/>
            </w:tcBorders>
          </w:tcPr>
          <w:p w14:paraId="70AB981E" w14:textId="77777777" w:rsidR="005B131E" w:rsidRPr="00BA7805" w:rsidRDefault="005B131E" w:rsidP="002542E1">
            <w:pPr>
              <w:pStyle w:val="ARfintablebody"/>
              <w:spacing w:before="30"/>
              <w:rPr>
                <w:highlight w:val="green"/>
              </w:rPr>
            </w:pPr>
            <w:r w:rsidRPr="008838D0">
              <w:t>18 July 2023 to 25 July 2023</w:t>
            </w:r>
          </w:p>
        </w:tc>
      </w:tr>
      <w:tr w:rsidR="005B131E" w:rsidRPr="00BA7805" w14:paraId="4994140D" w14:textId="77777777">
        <w:trPr>
          <w:cantSplit w:val="0"/>
        </w:trPr>
        <w:tc>
          <w:tcPr>
            <w:tcW w:w="2948" w:type="dxa"/>
            <w:vMerge/>
          </w:tcPr>
          <w:p w14:paraId="17DEF63C"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5F990BE7" w14:textId="1A966882" w:rsidR="005B131E" w:rsidRPr="00BA7805" w:rsidRDefault="005B131E" w:rsidP="002542E1">
            <w:pPr>
              <w:pStyle w:val="ARfintablebody"/>
              <w:spacing w:before="30"/>
              <w:rPr>
                <w:highlight w:val="green"/>
              </w:rPr>
            </w:pPr>
            <w:r w:rsidRPr="008838D0">
              <w:t>The Hon Ros Spence</w:t>
            </w:r>
          </w:p>
        </w:tc>
        <w:tc>
          <w:tcPr>
            <w:tcW w:w="3629" w:type="dxa"/>
            <w:tcBorders>
              <w:top w:val="single" w:sz="4" w:space="0" w:color="A6A6A6"/>
              <w:bottom w:val="single" w:sz="4" w:space="0" w:color="A6A6A6"/>
            </w:tcBorders>
          </w:tcPr>
          <w:p w14:paraId="0D6A7EED" w14:textId="77777777" w:rsidR="005B131E" w:rsidRPr="00BA7805" w:rsidRDefault="005B131E" w:rsidP="002542E1">
            <w:pPr>
              <w:pStyle w:val="ARfintablebody"/>
              <w:spacing w:before="30"/>
              <w:rPr>
                <w:highlight w:val="green"/>
              </w:rPr>
            </w:pPr>
            <w:r w:rsidRPr="008838D0">
              <w:t>29 December 2023 to 5 January 2024</w:t>
            </w:r>
          </w:p>
        </w:tc>
      </w:tr>
      <w:tr w:rsidR="005B131E" w:rsidRPr="00BA7805" w14:paraId="4588DB69" w14:textId="77777777">
        <w:trPr>
          <w:cantSplit w:val="0"/>
        </w:trPr>
        <w:tc>
          <w:tcPr>
            <w:tcW w:w="2948" w:type="dxa"/>
            <w:vMerge/>
            <w:tcBorders>
              <w:bottom w:val="single" w:sz="4" w:space="0" w:color="A6A6A6"/>
            </w:tcBorders>
          </w:tcPr>
          <w:p w14:paraId="50D21B47"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276D437E" w14:textId="17340325" w:rsidR="005B131E" w:rsidRPr="00BA7805" w:rsidRDefault="005B131E" w:rsidP="002542E1">
            <w:pPr>
              <w:pStyle w:val="ARfintablebody"/>
              <w:spacing w:before="30"/>
              <w:rPr>
                <w:highlight w:val="green"/>
              </w:rPr>
            </w:pPr>
            <w:r w:rsidRPr="008838D0">
              <w:t>The Hon Natalie Hutchins</w:t>
            </w:r>
          </w:p>
        </w:tc>
        <w:tc>
          <w:tcPr>
            <w:tcW w:w="3629" w:type="dxa"/>
            <w:tcBorders>
              <w:top w:val="single" w:sz="4" w:space="0" w:color="A6A6A6"/>
              <w:bottom w:val="single" w:sz="4" w:space="0" w:color="A6A6A6"/>
            </w:tcBorders>
          </w:tcPr>
          <w:p w14:paraId="25C3044E" w14:textId="77777777" w:rsidR="005B131E" w:rsidRPr="00BA7805" w:rsidRDefault="005B131E" w:rsidP="002542E1">
            <w:pPr>
              <w:pStyle w:val="ARfintablebody"/>
              <w:spacing w:before="30"/>
              <w:rPr>
                <w:highlight w:val="green"/>
              </w:rPr>
            </w:pPr>
            <w:r w:rsidRPr="008838D0">
              <w:t>6 January 2024 to 18 January 2024</w:t>
            </w:r>
          </w:p>
        </w:tc>
      </w:tr>
      <w:tr w:rsidR="005B131E" w:rsidRPr="00BA7805" w14:paraId="1409913A" w14:textId="77777777">
        <w:trPr>
          <w:cantSplit w:val="0"/>
        </w:trPr>
        <w:tc>
          <w:tcPr>
            <w:tcW w:w="2948" w:type="dxa"/>
            <w:vMerge w:val="restart"/>
            <w:tcBorders>
              <w:top w:val="single" w:sz="4" w:space="0" w:color="A6A6A6"/>
            </w:tcBorders>
          </w:tcPr>
          <w:p w14:paraId="2E561207" w14:textId="77777777" w:rsidR="005B131E" w:rsidRPr="00BA7805" w:rsidRDefault="005B131E" w:rsidP="002542E1">
            <w:pPr>
              <w:pStyle w:val="ARfintablebody"/>
              <w:spacing w:before="30"/>
              <w:rPr>
                <w:highlight w:val="green"/>
              </w:rPr>
            </w:pPr>
            <w:r w:rsidRPr="00CA70E8">
              <w:t>Acting Minister for Youth</w:t>
            </w:r>
          </w:p>
        </w:tc>
        <w:tc>
          <w:tcPr>
            <w:tcW w:w="3062" w:type="dxa"/>
            <w:tcBorders>
              <w:top w:val="single" w:sz="4" w:space="0" w:color="A6A6A6"/>
              <w:bottom w:val="single" w:sz="4" w:space="0" w:color="A6A6A6"/>
            </w:tcBorders>
          </w:tcPr>
          <w:p w14:paraId="36FE69F0" w14:textId="41695398" w:rsidR="005B131E" w:rsidRPr="00BA7805" w:rsidRDefault="005B131E" w:rsidP="002542E1">
            <w:pPr>
              <w:pStyle w:val="ARfintablebody"/>
              <w:spacing w:before="30"/>
              <w:rPr>
                <w:highlight w:val="green"/>
              </w:rPr>
            </w:pPr>
            <w:r w:rsidRPr="00CA70E8">
              <w:t>The Hon Harriet Shing</w:t>
            </w:r>
          </w:p>
        </w:tc>
        <w:tc>
          <w:tcPr>
            <w:tcW w:w="3629" w:type="dxa"/>
            <w:tcBorders>
              <w:top w:val="single" w:sz="4" w:space="0" w:color="A6A6A6"/>
              <w:bottom w:val="single" w:sz="4" w:space="0" w:color="A6A6A6"/>
            </w:tcBorders>
          </w:tcPr>
          <w:p w14:paraId="5932FC65" w14:textId="77777777" w:rsidR="005B131E" w:rsidRPr="00BA7805" w:rsidRDefault="005B131E" w:rsidP="002542E1">
            <w:pPr>
              <w:pStyle w:val="ARfintablebody"/>
              <w:spacing w:before="30"/>
              <w:rPr>
                <w:highlight w:val="green"/>
              </w:rPr>
            </w:pPr>
            <w:r w:rsidRPr="00CA70E8">
              <w:t>3 July 2023 to 28 July 2023</w:t>
            </w:r>
          </w:p>
        </w:tc>
      </w:tr>
      <w:tr w:rsidR="005B131E" w:rsidRPr="00BA7805" w14:paraId="67ED1488" w14:textId="77777777">
        <w:trPr>
          <w:cantSplit w:val="0"/>
        </w:trPr>
        <w:tc>
          <w:tcPr>
            <w:tcW w:w="2948" w:type="dxa"/>
            <w:vMerge/>
          </w:tcPr>
          <w:p w14:paraId="4E150C13"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187D22FA" w14:textId="00B8CE0E" w:rsidR="005B131E" w:rsidRPr="00BA7805" w:rsidRDefault="005B131E" w:rsidP="002542E1">
            <w:pPr>
              <w:pStyle w:val="ARfintablebody"/>
              <w:spacing w:before="30"/>
              <w:rPr>
                <w:highlight w:val="green"/>
              </w:rPr>
            </w:pPr>
            <w:r w:rsidRPr="00CA70E8">
              <w:t>The Hon Vicki Ward</w:t>
            </w:r>
          </w:p>
        </w:tc>
        <w:tc>
          <w:tcPr>
            <w:tcW w:w="3629" w:type="dxa"/>
            <w:tcBorders>
              <w:top w:val="single" w:sz="4" w:space="0" w:color="A6A6A6"/>
              <w:bottom w:val="single" w:sz="4" w:space="0" w:color="A6A6A6"/>
            </w:tcBorders>
          </w:tcPr>
          <w:p w14:paraId="13B37DC8" w14:textId="77777777" w:rsidR="005B131E" w:rsidRPr="00BA7805" w:rsidRDefault="005B131E" w:rsidP="002542E1">
            <w:pPr>
              <w:pStyle w:val="ARfintablebody"/>
              <w:spacing w:before="30"/>
              <w:rPr>
                <w:highlight w:val="green"/>
              </w:rPr>
            </w:pPr>
            <w:r w:rsidRPr="00CA70E8">
              <w:t>22 June 2024 to 28 June 2024</w:t>
            </w:r>
          </w:p>
        </w:tc>
      </w:tr>
      <w:tr w:rsidR="005B131E" w:rsidRPr="00BA7805" w14:paraId="0C9C8282" w14:textId="77777777">
        <w:trPr>
          <w:cantSplit w:val="0"/>
        </w:trPr>
        <w:tc>
          <w:tcPr>
            <w:tcW w:w="2948" w:type="dxa"/>
            <w:vMerge/>
            <w:tcBorders>
              <w:bottom w:val="single" w:sz="4" w:space="0" w:color="A6A6A6"/>
            </w:tcBorders>
          </w:tcPr>
          <w:p w14:paraId="0D398C10"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73BEEF71" w14:textId="4CC5AEC6" w:rsidR="005B131E" w:rsidRPr="00BA7805" w:rsidRDefault="005B131E" w:rsidP="002542E1">
            <w:pPr>
              <w:pStyle w:val="ARfintablebody"/>
              <w:spacing w:before="30"/>
              <w:rPr>
                <w:highlight w:val="green"/>
              </w:rPr>
            </w:pPr>
            <w:r w:rsidRPr="00CA70E8">
              <w:t>The Hon Ros Spence</w:t>
            </w:r>
          </w:p>
        </w:tc>
        <w:tc>
          <w:tcPr>
            <w:tcW w:w="3629" w:type="dxa"/>
            <w:tcBorders>
              <w:top w:val="single" w:sz="4" w:space="0" w:color="A6A6A6"/>
              <w:bottom w:val="single" w:sz="4" w:space="0" w:color="A6A6A6"/>
            </w:tcBorders>
          </w:tcPr>
          <w:p w14:paraId="7EF4B3A3" w14:textId="77777777" w:rsidR="005B131E" w:rsidRPr="00BA7805" w:rsidRDefault="005B131E" w:rsidP="002542E1">
            <w:pPr>
              <w:pStyle w:val="ARfintablebody"/>
              <w:spacing w:before="30"/>
              <w:rPr>
                <w:highlight w:val="green"/>
              </w:rPr>
            </w:pPr>
            <w:r w:rsidRPr="00CA70E8">
              <w:t>14 December 2023 to 4 January 2023</w:t>
            </w:r>
          </w:p>
        </w:tc>
      </w:tr>
      <w:tr w:rsidR="005B131E" w:rsidRPr="00BA7805" w14:paraId="0B36A05F" w14:textId="77777777">
        <w:trPr>
          <w:cantSplit w:val="0"/>
        </w:trPr>
        <w:tc>
          <w:tcPr>
            <w:tcW w:w="2948" w:type="dxa"/>
            <w:vMerge w:val="restart"/>
            <w:tcBorders>
              <w:top w:val="single" w:sz="4" w:space="0" w:color="A6A6A6"/>
            </w:tcBorders>
          </w:tcPr>
          <w:p w14:paraId="6B47664D" w14:textId="77777777" w:rsidR="005B131E" w:rsidRPr="00BA7805" w:rsidRDefault="005B131E" w:rsidP="002542E1">
            <w:pPr>
              <w:pStyle w:val="ARfintablebody"/>
              <w:spacing w:before="30"/>
              <w:rPr>
                <w:highlight w:val="green"/>
              </w:rPr>
            </w:pPr>
            <w:r w:rsidRPr="008328D7">
              <w:t>Acting Minister for Veterans</w:t>
            </w:r>
          </w:p>
        </w:tc>
        <w:tc>
          <w:tcPr>
            <w:tcW w:w="3062" w:type="dxa"/>
            <w:tcBorders>
              <w:top w:val="single" w:sz="4" w:space="0" w:color="A6A6A6"/>
              <w:bottom w:val="single" w:sz="4" w:space="0" w:color="A6A6A6"/>
            </w:tcBorders>
          </w:tcPr>
          <w:p w14:paraId="2D2C9734" w14:textId="56CECAE8" w:rsidR="005B131E" w:rsidRPr="00BA7805" w:rsidRDefault="005B131E" w:rsidP="002542E1">
            <w:pPr>
              <w:pStyle w:val="ARfintablebody"/>
              <w:spacing w:before="30"/>
              <w:rPr>
                <w:highlight w:val="green"/>
              </w:rPr>
            </w:pPr>
            <w:r w:rsidRPr="008328D7">
              <w:t>The Hon Harriet Shing</w:t>
            </w:r>
          </w:p>
        </w:tc>
        <w:tc>
          <w:tcPr>
            <w:tcW w:w="3629" w:type="dxa"/>
            <w:tcBorders>
              <w:top w:val="single" w:sz="4" w:space="0" w:color="A6A6A6"/>
              <w:bottom w:val="single" w:sz="4" w:space="0" w:color="A6A6A6"/>
            </w:tcBorders>
          </w:tcPr>
          <w:p w14:paraId="22B169DA" w14:textId="77777777" w:rsidR="005B131E" w:rsidRPr="00BA7805" w:rsidRDefault="005B131E" w:rsidP="002542E1">
            <w:pPr>
              <w:pStyle w:val="ARfintablebody"/>
              <w:spacing w:before="30"/>
              <w:rPr>
                <w:highlight w:val="green"/>
              </w:rPr>
            </w:pPr>
            <w:r w:rsidRPr="008328D7">
              <w:t>3 July 2023 to 28 July 2023</w:t>
            </w:r>
          </w:p>
        </w:tc>
      </w:tr>
      <w:tr w:rsidR="005B131E" w:rsidRPr="00BA7805" w14:paraId="0CF23886" w14:textId="77777777">
        <w:trPr>
          <w:cantSplit w:val="0"/>
        </w:trPr>
        <w:tc>
          <w:tcPr>
            <w:tcW w:w="2948" w:type="dxa"/>
            <w:vMerge/>
          </w:tcPr>
          <w:p w14:paraId="49B31DA0"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7784570B" w14:textId="564AF794" w:rsidR="005B131E" w:rsidRPr="00BA7805" w:rsidRDefault="005B131E" w:rsidP="002542E1">
            <w:pPr>
              <w:pStyle w:val="ARfintablebody"/>
              <w:spacing w:before="30"/>
              <w:rPr>
                <w:highlight w:val="green"/>
              </w:rPr>
            </w:pPr>
            <w:r w:rsidRPr="008328D7">
              <w:t>The Hon Vicki Ward</w:t>
            </w:r>
          </w:p>
        </w:tc>
        <w:tc>
          <w:tcPr>
            <w:tcW w:w="3629" w:type="dxa"/>
            <w:tcBorders>
              <w:top w:val="single" w:sz="4" w:space="0" w:color="A6A6A6"/>
              <w:bottom w:val="single" w:sz="4" w:space="0" w:color="A6A6A6"/>
            </w:tcBorders>
          </w:tcPr>
          <w:p w14:paraId="2B0C2B9F" w14:textId="77777777" w:rsidR="005B131E" w:rsidRPr="00BA7805" w:rsidRDefault="005B131E" w:rsidP="002542E1">
            <w:pPr>
              <w:pStyle w:val="ARfintablebody"/>
              <w:spacing w:before="30"/>
              <w:rPr>
                <w:highlight w:val="green"/>
              </w:rPr>
            </w:pPr>
            <w:r w:rsidRPr="008328D7">
              <w:t>22 June 2024 to 28 June 2024</w:t>
            </w:r>
          </w:p>
        </w:tc>
      </w:tr>
      <w:tr w:rsidR="005B131E" w:rsidRPr="00BA7805" w14:paraId="0ED55789" w14:textId="77777777">
        <w:trPr>
          <w:cantSplit w:val="0"/>
        </w:trPr>
        <w:tc>
          <w:tcPr>
            <w:tcW w:w="2948" w:type="dxa"/>
            <w:vMerge/>
            <w:tcBorders>
              <w:bottom w:val="single" w:sz="4" w:space="0" w:color="A6A6A6"/>
            </w:tcBorders>
          </w:tcPr>
          <w:p w14:paraId="436F2447"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19CF8918" w14:textId="1508C5AE" w:rsidR="005B131E" w:rsidRPr="00BA7805" w:rsidRDefault="005B131E" w:rsidP="002542E1">
            <w:pPr>
              <w:pStyle w:val="ARfintablebody"/>
              <w:spacing w:before="30"/>
              <w:rPr>
                <w:highlight w:val="green"/>
              </w:rPr>
            </w:pPr>
            <w:r w:rsidRPr="008328D7">
              <w:t>The Hon Ros Spence</w:t>
            </w:r>
          </w:p>
        </w:tc>
        <w:tc>
          <w:tcPr>
            <w:tcW w:w="3629" w:type="dxa"/>
            <w:tcBorders>
              <w:top w:val="single" w:sz="4" w:space="0" w:color="A6A6A6"/>
              <w:bottom w:val="single" w:sz="4" w:space="0" w:color="A6A6A6"/>
            </w:tcBorders>
          </w:tcPr>
          <w:p w14:paraId="49CB1444" w14:textId="77777777" w:rsidR="005B131E" w:rsidRPr="00BA7805" w:rsidRDefault="005B131E" w:rsidP="002542E1">
            <w:pPr>
              <w:pStyle w:val="ARfintablebody"/>
              <w:spacing w:before="30"/>
              <w:rPr>
                <w:highlight w:val="green"/>
              </w:rPr>
            </w:pPr>
            <w:r w:rsidRPr="008328D7">
              <w:t>14 December 2023 to 4 January 2023</w:t>
            </w:r>
          </w:p>
        </w:tc>
      </w:tr>
      <w:tr w:rsidR="005B131E" w:rsidRPr="00BA7805" w14:paraId="49584F75" w14:textId="77777777">
        <w:trPr>
          <w:cantSplit w:val="0"/>
        </w:trPr>
        <w:tc>
          <w:tcPr>
            <w:tcW w:w="2948" w:type="dxa"/>
            <w:vMerge w:val="restart"/>
            <w:tcBorders>
              <w:top w:val="single" w:sz="4" w:space="0" w:color="A6A6A6"/>
            </w:tcBorders>
          </w:tcPr>
          <w:p w14:paraId="298BECA7" w14:textId="77777777" w:rsidR="005B131E" w:rsidRPr="00BA7805" w:rsidRDefault="005B131E" w:rsidP="002542E1">
            <w:pPr>
              <w:pStyle w:val="ARfintablebody"/>
              <w:spacing w:before="30"/>
              <w:rPr>
                <w:highlight w:val="green"/>
              </w:rPr>
            </w:pPr>
            <w:r w:rsidRPr="002F6BAA">
              <w:t>Acting Minister for Prevention of</w:t>
            </w:r>
            <w:r>
              <w:t> </w:t>
            </w:r>
            <w:r w:rsidRPr="002F6BAA">
              <w:t>Family Violence</w:t>
            </w:r>
          </w:p>
        </w:tc>
        <w:tc>
          <w:tcPr>
            <w:tcW w:w="3062" w:type="dxa"/>
            <w:tcBorders>
              <w:top w:val="single" w:sz="4" w:space="0" w:color="A6A6A6"/>
              <w:bottom w:val="single" w:sz="4" w:space="0" w:color="A6A6A6"/>
            </w:tcBorders>
          </w:tcPr>
          <w:p w14:paraId="780279E3" w14:textId="0C9460AE" w:rsidR="005B131E" w:rsidRPr="00BA7805" w:rsidRDefault="005B131E" w:rsidP="002542E1">
            <w:pPr>
              <w:pStyle w:val="ARfintablebody"/>
              <w:spacing w:before="30"/>
              <w:rPr>
                <w:highlight w:val="green"/>
              </w:rPr>
            </w:pPr>
            <w:r w:rsidRPr="002F6BAA">
              <w:t>The Hon Harriet Shing</w:t>
            </w:r>
          </w:p>
        </w:tc>
        <w:tc>
          <w:tcPr>
            <w:tcW w:w="3629" w:type="dxa"/>
            <w:tcBorders>
              <w:top w:val="single" w:sz="4" w:space="0" w:color="A6A6A6"/>
              <w:bottom w:val="single" w:sz="4" w:space="0" w:color="A6A6A6"/>
            </w:tcBorders>
          </w:tcPr>
          <w:p w14:paraId="120AF4A6" w14:textId="77777777" w:rsidR="005B131E" w:rsidRPr="00BA7805" w:rsidRDefault="005B131E" w:rsidP="002542E1">
            <w:pPr>
              <w:pStyle w:val="ARfintablebody"/>
              <w:spacing w:before="30"/>
              <w:rPr>
                <w:highlight w:val="green"/>
              </w:rPr>
            </w:pPr>
            <w:r w:rsidRPr="002F6BAA">
              <w:t>10 July 2023 to 25 July 2023</w:t>
            </w:r>
          </w:p>
        </w:tc>
      </w:tr>
      <w:tr w:rsidR="005B131E" w:rsidRPr="00BA7805" w14:paraId="4B552995" w14:textId="77777777">
        <w:trPr>
          <w:cantSplit w:val="0"/>
        </w:trPr>
        <w:tc>
          <w:tcPr>
            <w:tcW w:w="2948" w:type="dxa"/>
            <w:vMerge/>
            <w:tcBorders>
              <w:bottom w:val="single" w:sz="4" w:space="0" w:color="A6A6A6"/>
            </w:tcBorders>
          </w:tcPr>
          <w:p w14:paraId="5BED1C76"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3269B65B" w14:textId="334DBD17" w:rsidR="005B131E" w:rsidRPr="00BA7805" w:rsidRDefault="005B131E" w:rsidP="002542E1">
            <w:pPr>
              <w:pStyle w:val="ARfintablebody"/>
              <w:spacing w:before="30"/>
              <w:rPr>
                <w:highlight w:val="green"/>
              </w:rPr>
            </w:pPr>
            <w:r w:rsidRPr="002F6BAA">
              <w:t>The Hon Gayle Tierney</w:t>
            </w:r>
          </w:p>
        </w:tc>
        <w:tc>
          <w:tcPr>
            <w:tcW w:w="3629" w:type="dxa"/>
            <w:tcBorders>
              <w:top w:val="single" w:sz="4" w:space="0" w:color="A6A6A6"/>
              <w:bottom w:val="single" w:sz="4" w:space="0" w:color="A6A6A6"/>
            </w:tcBorders>
          </w:tcPr>
          <w:p w14:paraId="1C859295" w14:textId="77777777" w:rsidR="005B131E" w:rsidRPr="00BA7805" w:rsidRDefault="005B131E" w:rsidP="002542E1">
            <w:pPr>
              <w:pStyle w:val="ARfintablebody"/>
              <w:spacing w:before="30"/>
              <w:rPr>
                <w:highlight w:val="green"/>
              </w:rPr>
            </w:pPr>
            <w:r w:rsidRPr="002F6BAA">
              <w:t>14 January 2024 to 24 January 2024</w:t>
            </w:r>
          </w:p>
        </w:tc>
      </w:tr>
      <w:tr w:rsidR="005B131E" w:rsidRPr="00BA7805" w14:paraId="2CCA4152" w14:textId="77777777">
        <w:trPr>
          <w:cantSplit w:val="0"/>
        </w:trPr>
        <w:tc>
          <w:tcPr>
            <w:tcW w:w="2948" w:type="dxa"/>
            <w:vMerge w:val="restart"/>
            <w:tcBorders>
              <w:top w:val="single" w:sz="4" w:space="0" w:color="A6A6A6"/>
            </w:tcBorders>
          </w:tcPr>
          <w:p w14:paraId="1D290F99" w14:textId="77777777" w:rsidR="005B131E" w:rsidRPr="00BA7805" w:rsidRDefault="005B131E" w:rsidP="002542E1">
            <w:pPr>
              <w:pStyle w:val="ARfintablebody"/>
              <w:spacing w:before="30"/>
              <w:rPr>
                <w:highlight w:val="green"/>
              </w:rPr>
            </w:pPr>
            <w:r w:rsidRPr="00D46262">
              <w:t>Acting Minister for Women</w:t>
            </w:r>
          </w:p>
        </w:tc>
        <w:tc>
          <w:tcPr>
            <w:tcW w:w="3062" w:type="dxa"/>
            <w:tcBorders>
              <w:top w:val="single" w:sz="4" w:space="0" w:color="A6A6A6"/>
              <w:bottom w:val="single" w:sz="4" w:space="0" w:color="A6A6A6"/>
            </w:tcBorders>
          </w:tcPr>
          <w:p w14:paraId="4B482B96" w14:textId="0C72C3D1" w:rsidR="005B131E" w:rsidRPr="00BA7805" w:rsidRDefault="005B131E" w:rsidP="002542E1">
            <w:pPr>
              <w:pStyle w:val="ARfintablebody"/>
              <w:spacing w:before="30"/>
              <w:rPr>
                <w:highlight w:val="green"/>
              </w:rPr>
            </w:pPr>
            <w:r w:rsidRPr="00D46262">
              <w:t>Ingrid Stitt</w:t>
            </w:r>
            <w:r w:rsidR="00246251">
              <w:t xml:space="preserve"> MP</w:t>
            </w:r>
          </w:p>
        </w:tc>
        <w:tc>
          <w:tcPr>
            <w:tcW w:w="3629" w:type="dxa"/>
            <w:tcBorders>
              <w:top w:val="single" w:sz="4" w:space="0" w:color="A6A6A6"/>
              <w:bottom w:val="single" w:sz="4" w:space="0" w:color="A6A6A6"/>
            </w:tcBorders>
          </w:tcPr>
          <w:p w14:paraId="2ABCEC84" w14:textId="77777777" w:rsidR="005B131E" w:rsidRPr="00BA7805" w:rsidRDefault="005B131E" w:rsidP="002542E1">
            <w:pPr>
              <w:pStyle w:val="ARfintablebody"/>
              <w:spacing w:before="30"/>
              <w:rPr>
                <w:highlight w:val="green"/>
              </w:rPr>
            </w:pPr>
            <w:r w:rsidRPr="00D46262">
              <w:t>10 July 2023 to 25 July 2023</w:t>
            </w:r>
          </w:p>
        </w:tc>
      </w:tr>
      <w:tr w:rsidR="005B131E" w:rsidRPr="00BA7805" w14:paraId="6D67DE35" w14:textId="77777777">
        <w:trPr>
          <w:cantSplit w:val="0"/>
        </w:trPr>
        <w:tc>
          <w:tcPr>
            <w:tcW w:w="2948" w:type="dxa"/>
            <w:vMerge/>
          </w:tcPr>
          <w:p w14:paraId="6638B78F"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28E6E1CF" w14:textId="485BF8F1" w:rsidR="005B131E" w:rsidRPr="00BA7805" w:rsidRDefault="005B131E" w:rsidP="002542E1">
            <w:pPr>
              <w:pStyle w:val="ARfintablebody"/>
              <w:spacing w:before="30"/>
              <w:rPr>
                <w:highlight w:val="green"/>
              </w:rPr>
            </w:pPr>
            <w:r w:rsidRPr="00D46262">
              <w:t>Hon Lizzie Blandthorn</w:t>
            </w:r>
          </w:p>
        </w:tc>
        <w:tc>
          <w:tcPr>
            <w:tcW w:w="3629" w:type="dxa"/>
            <w:tcBorders>
              <w:top w:val="single" w:sz="4" w:space="0" w:color="A6A6A6"/>
              <w:bottom w:val="single" w:sz="4" w:space="0" w:color="A6A6A6"/>
            </w:tcBorders>
          </w:tcPr>
          <w:p w14:paraId="3C719B84" w14:textId="77777777" w:rsidR="005B131E" w:rsidRPr="00BA7805" w:rsidRDefault="005B131E" w:rsidP="002542E1">
            <w:pPr>
              <w:pStyle w:val="ARfintablebody"/>
              <w:spacing w:before="30"/>
              <w:rPr>
                <w:highlight w:val="green"/>
              </w:rPr>
            </w:pPr>
            <w:r w:rsidRPr="00D46262">
              <w:t>6 December 2023 to 10 December 2023</w:t>
            </w:r>
          </w:p>
        </w:tc>
      </w:tr>
      <w:tr w:rsidR="005B131E" w:rsidRPr="00BA7805" w14:paraId="3BADC1B3" w14:textId="77777777">
        <w:trPr>
          <w:cantSplit w:val="0"/>
        </w:trPr>
        <w:tc>
          <w:tcPr>
            <w:tcW w:w="2948" w:type="dxa"/>
            <w:vMerge/>
          </w:tcPr>
          <w:p w14:paraId="44C48D7E"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4374E687" w14:textId="2AABA024" w:rsidR="005B131E" w:rsidRPr="00BA7805" w:rsidRDefault="005B131E" w:rsidP="002542E1">
            <w:pPr>
              <w:pStyle w:val="ARfintablebody"/>
              <w:spacing w:before="30"/>
              <w:rPr>
                <w:highlight w:val="green"/>
              </w:rPr>
            </w:pPr>
            <w:r w:rsidRPr="00D46262">
              <w:t>Ingrid Stitt</w:t>
            </w:r>
            <w:r w:rsidR="00551FCB">
              <w:t xml:space="preserve"> MP</w:t>
            </w:r>
          </w:p>
        </w:tc>
        <w:tc>
          <w:tcPr>
            <w:tcW w:w="3629" w:type="dxa"/>
            <w:tcBorders>
              <w:top w:val="single" w:sz="4" w:space="0" w:color="A6A6A6"/>
              <w:bottom w:val="single" w:sz="4" w:space="0" w:color="A6A6A6"/>
            </w:tcBorders>
          </w:tcPr>
          <w:p w14:paraId="76BC9504" w14:textId="77777777" w:rsidR="005B131E" w:rsidRPr="00BA7805" w:rsidRDefault="005B131E" w:rsidP="002542E1">
            <w:pPr>
              <w:pStyle w:val="ARfintablebody"/>
              <w:spacing w:before="30"/>
              <w:rPr>
                <w:highlight w:val="green"/>
              </w:rPr>
            </w:pPr>
            <w:r w:rsidRPr="00D46262">
              <w:t>11 December 2023 to 24 December 2023</w:t>
            </w:r>
          </w:p>
        </w:tc>
      </w:tr>
      <w:tr w:rsidR="005B131E" w:rsidRPr="00BA7805" w14:paraId="1A9EAED2" w14:textId="77777777">
        <w:trPr>
          <w:cantSplit w:val="0"/>
        </w:trPr>
        <w:tc>
          <w:tcPr>
            <w:tcW w:w="2948" w:type="dxa"/>
            <w:vMerge/>
            <w:tcBorders>
              <w:bottom w:val="single" w:sz="4" w:space="0" w:color="A6A6A6"/>
            </w:tcBorders>
          </w:tcPr>
          <w:p w14:paraId="13ECC4A0"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7D3FE45F" w14:textId="0B6A0A60" w:rsidR="005B131E" w:rsidRPr="00BA7805" w:rsidRDefault="005B131E" w:rsidP="002542E1">
            <w:pPr>
              <w:pStyle w:val="ARfintablebody"/>
              <w:spacing w:before="30"/>
              <w:rPr>
                <w:highlight w:val="green"/>
              </w:rPr>
            </w:pPr>
            <w:r w:rsidRPr="00D46262">
              <w:t>The Hon Vicki Ward</w:t>
            </w:r>
          </w:p>
        </w:tc>
        <w:tc>
          <w:tcPr>
            <w:tcW w:w="3629" w:type="dxa"/>
            <w:tcBorders>
              <w:top w:val="single" w:sz="4" w:space="0" w:color="A6A6A6"/>
              <w:bottom w:val="single" w:sz="4" w:space="0" w:color="A6A6A6"/>
            </w:tcBorders>
          </w:tcPr>
          <w:p w14:paraId="1728FDD6" w14:textId="77777777" w:rsidR="005B131E" w:rsidRPr="00BA7805" w:rsidRDefault="005B131E" w:rsidP="002542E1">
            <w:pPr>
              <w:pStyle w:val="ARfintablebody"/>
              <w:spacing w:before="30"/>
              <w:rPr>
                <w:highlight w:val="green"/>
              </w:rPr>
            </w:pPr>
            <w:r w:rsidRPr="00D46262">
              <w:t>25 December 2023 to 4 January 2024</w:t>
            </w:r>
          </w:p>
        </w:tc>
      </w:tr>
      <w:tr w:rsidR="005B131E" w:rsidRPr="00BA7805" w14:paraId="0BFFCD5F" w14:textId="77777777" w:rsidTr="003D7AC8">
        <w:trPr>
          <w:cantSplit w:val="0"/>
        </w:trPr>
        <w:tc>
          <w:tcPr>
            <w:tcW w:w="2948" w:type="dxa"/>
            <w:tcBorders>
              <w:top w:val="single" w:sz="4" w:space="0" w:color="A6A6A6"/>
              <w:bottom w:val="single" w:sz="4" w:space="0" w:color="A6A6A6"/>
            </w:tcBorders>
          </w:tcPr>
          <w:p w14:paraId="54A56AFB" w14:textId="77777777" w:rsidR="005B131E" w:rsidRPr="00BA7805" w:rsidRDefault="005B131E" w:rsidP="002542E1">
            <w:pPr>
              <w:pStyle w:val="ARfintablebody"/>
              <w:spacing w:before="30"/>
              <w:rPr>
                <w:highlight w:val="green"/>
              </w:rPr>
            </w:pPr>
            <w:r w:rsidRPr="00AA1693">
              <w:t>Acting Minister for Housing</w:t>
            </w:r>
          </w:p>
        </w:tc>
        <w:tc>
          <w:tcPr>
            <w:tcW w:w="3062" w:type="dxa"/>
            <w:tcBorders>
              <w:top w:val="single" w:sz="4" w:space="0" w:color="A6A6A6"/>
              <w:bottom w:val="single" w:sz="4" w:space="0" w:color="A6A6A6"/>
            </w:tcBorders>
          </w:tcPr>
          <w:p w14:paraId="6905FDF7" w14:textId="7E1CA9A9" w:rsidR="005B131E" w:rsidRPr="00BA7805" w:rsidRDefault="005B131E" w:rsidP="002542E1">
            <w:pPr>
              <w:pStyle w:val="ARfintablebody"/>
              <w:spacing w:before="30"/>
              <w:rPr>
                <w:highlight w:val="green"/>
              </w:rPr>
            </w:pPr>
            <w:r w:rsidRPr="00AA1693">
              <w:t>The Hon Danny Pearson</w:t>
            </w:r>
          </w:p>
        </w:tc>
        <w:tc>
          <w:tcPr>
            <w:tcW w:w="3629" w:type="dxa"/>
            <w:tcBorders>
              <w:top w:val="single" w:sz="4" w:space="0" w:color="A6A6A6"/>
              <w:bottom w:val="single" w:sz="4" w:space="0" w:color="A6A6A6"/>
            </w:tcBorders>
          </w:tcPr>
          <w:p w14:paraId="25ECE451" w14:textId="77777777" w:rsidR="005B131E" w:rsidRPr="00BA7805" w:rsidRDefault="005B131E" w:rsidP="002542E1">
            <w:pPr>
              <w:pStyle w:val="ARfintablebody"/>
              <w:spacing w:before="30"/>
              <w:rPr>
                <w:highlight w:val="green"/>
              </w:rPr>
            </w:pPr>
            <w:r w:rsidRPr="00AA1693">
              <w:t>7 December 2023 to 6 January 2024</w:t>
            </w:r>
          </w:p>
        </w:tc>
      </w:tr>
      <w:tr w:rsidR="005B131E" w:rsidRPr="00BA7805" w14:paraId="2B37A3E6" w14:textId="77777777">
        <w:trPr>
          <w:cantSplit w:val="0"/>
        </w:trPr>
        <w:tc>
          <w:tcPr>
            <w:tcW w:w="2948" w:type="dxa"/>
            <w:vMerge w:val="restart"/>
            <w:tcBorders>
              <w:top w:val="single" w:sz="4" w:space="0" w:color="A6A6A6"/>
            </w:tcBorders>
          </w:tcPr>
          <w:p w14:paraId="6F767619" w14:textId="77777777" w:rsidR="005B131E" w:rsidRPr="00BA7805" w:rsidRDefault="005B131E" w:rsidP="002542E1">
            <w:pPr>
              <w:pStyle w:val="ARfintablebody"/>
              <w:spacing w:before="30"/>
              <w:rPr>
                <w:highlight w:val="green"/>
              </w:rPr>
            </w:pPr>
            <w:r w:rsidRPr="003469BE">
              <w:t>Acting Minister for Equality</w:t>
            </w:r>
          </w:p>
        </w:tc>
        <w:tc>
          <w:tcPr>
            <w:tcW w:w="3062" w:type="dxa"/>
            <w:tcBorders>
              <w:top w:val="single" w:sz="4" w:space="0" w:color="A6A6A6"/>
              <w:bottom w:val="single" w:sz="4" w:space="0" w:color="A6A6A6"/>
            </w:tcBorders>
          </w:tcPr>
          <w:p w14:paraId="2E9D8CF4" w14:textId="2CA5BFB7" w:rsidR="005B131E" w:rsidRPr="00BA7805" w:rsidRDefault="005B131E" w:rsidP="002542E1">
            <w:pPr>
              <w:pStyle w:val="ARfintablebody"/>
              <w:spacing w:before="30"/>
              <w:rPr>
                <w:highlight w:val="green"/>
              </w:rPr>
            </w:pPr>
            <w:r w:rsidRPr="003469BE">
              <w:t>The Hon Steve Dimopoulos</w:t>
            </w:r>
          </w:p>
        </w:tc>
        <w:tc>
          <w:tcPr>
            <w:tcW w:w="3629" w:type="dxa"/>
            <w:tcBorders>
              <w:top w:val="single" w:sz="4" w:space="0" w:color="A6A6A6"/>
              <w:bottom w:val="single" w:sz="4" w:space="0" w:color="A6A6A6"/>
            </w:tcBorders>
          </w:tcPr>
          <w:p w14:paraId="6D352775" w14:textId="77777777" w:rsidR="005B131E" w:rsidRPr="00BA7805" w:rsidRDefault="005B131E" w:rsidP="002542E1">
            <w:pPr>
              <w:pStyle w:val="ARfintablebody"/>
              <w:spacing w:before="30"/>
              <w:rPr>
                <w:highlight w:val="green"/>
              </w:rPr>
            </w:pPr>
            <w:r w:rsidRPr="003469BE">
              <w:t>7 December 2023 to 26 December 2023</w:t>
            </w:r>
          </w:p>
        </w:tc>
      </w:tr>
      <w:tr w:rsidR="005B131E" w:rsidRPr="00BA7805" w14:paraId="24AA559C" w14:textId="77777777">
        <w:trPr>
          <w:cantSplit w:val="0"/>
        </w:trPr>
        <w:tc>
          <w:tcPr>
            <w:tcW w:w="2948" w:type="dxa"/>
            <w:vMerge/>
            <w:tcBorders>
              <w:bottom w:val="single" w:sz="4" w:space="0" w:color="A6A6A6"/>
            </w:tcBorders>
          </w:tcPr>
          <w:p w14:paraId="109773B7" w14:textId="77777777" w:rsidR="005B131E" w:rsidRPr="00BA7805" w:rsidRDefault="005B131E" w:rsidP="002542E1">
            <w:pPr>
              <w:pStyle w:val="ARfintablebody"/>
              <w:spacing w:before="30"/>
              <w:rPr>
                <w:highlight w:val="green"/>
              </w:rPr>
            </w:pPr>
          </w:p>
        </w:tc>
        <w:tc>
          <w:tcPr>
            <w:tcW w:w="3062" w:type="dxa"/>
            <w:tcBorders>
              <w:top w:val="single" w:sz="4" w:space="0" w:color="A6A6A6"/>
              <w:bottom w:val="single" w:sz="4" w:space="0" w:color="A6A6A6"/>
            </w:tcBorders>
          </w:tcPr>
          <w:p w14:paraId="1D3F000F" w14:textId="4C3917E3" w:rsidR="005B131E" w:rsidRPr="00BA7805" w:rsidRDefault="005B131E" w:rsidP="002542E1">
            <w:pPr>
              <w:pStyle w:val="ARfintablebody"/>
              <w:spacing w:before="30"/>
              <w:rPr>
                <w:highlight w:val="green"/>
              </w:rPr>
            </w:pPr>
            <w:r w:rsidRPr="003469BE">
              <w:t>The Hon Lily D</w:t>
            </w:r>
            <w:r w:rsidR="00711AE6">
              <w:t>’</w:t>
            </w:r>
            <w:r w:rsidRPr="003469BE">
              <w:t>Ambrosio</w:t>
            </w:r>
          </w:p>
        </w:tc>
        <w:tc>
          <w:tcPr>
            <w:tcW w:w="3629" w:type="dxa"/>
            <w:tcBorders>
              <w:top w:val="single" w:sz="4" w:space="0" w:color="A6A6A6"/>
              <w:bottom w:val="single" w:sz="4" w:space="0" w:color="A6A6A6"/>
            </w:tcBorders>
          </w:tcPr>
          <w:p w14:paraId="14F20B5B" w14:textId="77777777" w:rsidR="005B131E" w:rsidRPr="00BA7805" w:rsidRDefault="005B131E" w:rsidP="002542E1">
            <w:pPr>
              <w:pStyle w:val="ARfintablebody"/>
              <w:spacing w:before="30"/>
              <w:rPr>
                <w:highlight w:val="green"/>
              </w:rPr>
            </w:pPr>
            <w:r w:rsidRPr="003469BE">
              <w:t>27 December 2023 to 6 January 2024</w:t>
            </w:r>
          </w:p>
        </w:tc>
      </w:tr>
      <w:tr w:rsidR="005B131E" w:rsidRPr="00BA7805" w14:paraId="6C0F19E9" w14:textId="77777777" w:rsidTr="003D7AC8">
        <w:trPr>
          <w:cantSplit w:val="0"/>
        </w:trPr>
        <w:tc>
          <w:tcPr>
            <w:tcW w:w="2948" w:type="dxa"/>
            <w:tcBorders>
              <w:top w:val="single" w:sz="4" w:space="0" w:color="A6A6A6"/>
              <w:bottom w:val="single" w:sz="4" w:space="0" w:color="A6A6A6"/>
            </w:tcBorders>
          </w:tcPr>
          <w:p w14:paraId="35A31A50" w14:textId="77777777" w:rsidR="005B131E" w:rsidRPr="00BA7805" w:rsidRDefault="005B131E" w:rsidP="002542E1">
            <w:pPr>
              <w:pStyle w:val="ARfintablebody"/>
              <w:spacing w:before="30"/>
              <w:rPr>
                <w:highlight w:val="green"/>
              </w:rPr>
            </w:pPr>
            <w:r w:rsidRPr="006424E0">
              <w:t>Acting Minister for Carers &amp;</w:t>
            </w:r>
            <w:r>
              <w:t> </w:t>
            </w:r>
            <w:r w:rsidRPr="006424E0">
              <w:t>Volunteers</w:t>
            </w:r>
          </w:p>
        </w:tc>
        <w:tc>
          <w:tcPr>
            <w:tcW w:w="3062" w:type="dxa"/>
            <w:tcBorders>
              <w:top w:val="single" w:sz="4" w:space="0" w:color="A6A6A6"/>
              <w:bottom w:val="single" w:sz="4" w:space="0" w:color="A6A6A6"/>
            </w:tcBorders>
          </w:tcPr>
          <w:p w14:paraId="4D354455" w14:textId="60897D5B" w:rsidR="005B131E" w:rsidRPr="00BA7805" w:rsidRDefault="005B131E" w:rsidP="002542E1">
            <w:pPr>
              <w:pStyle w:val="ARfintablebody"/>
              <w:spacing w:before="30"/>
              <w:rPr>
                <w:highlight w:val="green"/>
              </w:rPr>
            </w:pPr>
            <w:r w:rsidRPr="006424E0">
              <w:t>The Hon Natalie Hutchins</w:t>
            </w:r>
          </w:p>
        </w:tc>
        <w:tc>
          <w:tcPr>
            <w:tcW w:w="3629" w:type="dxa"/>
            <w:tcBorders>
              <w:top w:val="single" w:sz="4" w:space="0" w:color="A6A6A6"/>
              <w:bottom w:val="single" w:sz="4" w:space="0" w:color="A6A6A6"/>
            </w:tcBorders>
          </w:tcPr>
          <w:p w14:paraId="0F8B3F7B" w14:textId="77777777" w:rsidR="005B131E" w:rsidRPr="00BA7805" w:rsidRDefault="005B131E" w:rsidP="002542E1">
            <w:pPr>
              <w:pStyle w:val="ARfintablebody"/>
              <w:spacing w:before="30"/>
              <w:rPr>
                <w:highlight w:val="green"/>
              </w:rPr>
            </w:pPr>
            <w:r w:rsidRPr="006424E0">
              <w:t>6 January 2024 to 21 January 2024</w:t>
            </w:r>
          </w:p>
        </w:tc>
      </w:tr>
      <w:tr w:rsidR="005B131E" w:rsidRPr="00BA7805" w14:paraId="0F9A7747" w14:textId="77777777" w:rsidTr="003D7AC8">
        <w:trPr>
          <w:cantSplit w:val="0"/>
        </w:trPr>
        <w:tc>
          <w:tcPr>
            <w:tcW w:w="2948" w:type="dxa"/>
            <w:tcBorders>
              <w:top w:val="single" w:sz="4" w:space="0" w:color="A6A6A6"/>
              <w:bottom w:val="single" w:sz="4" w:space="0" w:color="A6A6A6"/>
            </w:tcBorders>
          </w:tcPr>
          <w:p w14:paraId="1A6203BF" w14:textId="77777777" w:rsidR="005B131E" w:rsidRPr="00BA7805" w:rsidRDefault="005B131E" w:rsidP="002542E1">
            <w:pPr>
              <w:pStyle w:val="ARfintablebody"/>
              <w:spacing w:before="30"/>
              <w:rPr>
                <w:highlight w:val="green"/>
              </w:rPr>
            </w:pPr>
            <w:r w:rsidRPr="006424E0">
              <w:t>Acting Minister for Ageing</w:t>
            </w:r>
          </w:p>
        </w:tc>
        <w:tc>
          <w:tcPr>
            <w:tcW w:w="3062" w:type="dxa"/>
            <w:tcBorders>
              <w:top w:val="single" w:sz="4" w:space="0" w:color="A6A6A6"/>
              <w:bottom w:val="single" w:sz="4" w:space="0" w:color="A6A6A6"/>
            </w:tcBorders>
          </w:tcPr>
          <w:p w14:paraId="3D3672DB" w14:textId="159AF5C9" w:rsidR="005B131E" w:rsidRPr="00BA7805" w:rsidRDefault="005B131E" w:rsidP="002542E1">
            <w:pPr>
              <w:pStyle w:val="ARfintablebody"/>
              <w:spacing w:before="30"/>
              <w:rPr>
                <w:highlight w:val="green"/>
              </w:rPr>
            </w:pPr>
            <w:r w:rsidRPr="006424E0">
              <w:t>The Hon Mary-Anne Thomas</w:t>
            </w:r>
          </w:p>
        </w:tc>
        <w:tc>
          <w:tcPr>
            <w:tcW w:w="3629" w:type="dxa"/>
            <w:tcBorders>
              <w:top w:val="single" w:sz="4" w:space="0" w:color="A6A6A6"/>
              <w:bottom w:val="single" w:sz="4" w:space="0" w:color="A6A6A6"/>
            </w:tcBorders>
          </w:tcPr>
          <w:p w14:paraId="6CE1056F" w14:textId="77777777" w:rsidR="005B131E" w:rsidRPr="00BA7805" w:rsidRDefault="005B131E" w:rsidP="002542E1">
            <w:pPr>
              <w:pStyle w:val="ARfintablebody"/>
              <w:spacing w:before="30"/>
              <w:rPr>
                <w:highlight w:val="green"/>
              </w:rPr>
            </w:pPr>
            <w:r w:rsidRPr="006424E0">
              <w:t>25 December 2023 to 14 January 2024</w:t>
            </w:r>
          </w:p>
        </w:tc>
      </w:tr>
      <w:tr w:rsidR="005B131E" w:rsidRPr="00BA7805" w14:paraId="2CFE51A4" w14:textId="77777777" w:rsidTr="002542E1">
        <w:trPr>
          <w:cantSplit w:val="0"/>
        </w:trPr>
        <w:tc>
          <w:tcPr>
            <w:tcW w:w="2948" w:type="dxa"/>
            <w:tcBorders>
              <w:top w:val="single" w:sz="4" w:space="0" w:color="A6A6A6"/>
              <w:bottom w:val="single" w:sz="4" w:space="0" w:color="A6A6A6"/>
            </w:tcBorders>
          </w:tcPr>
          <w:p w14:paraId="33DE8D53" w14:textId="77777777" w:rsidR="005B131E" w:rsidRPr="00BA7805" w:rsidRDefault="005B131E" w:rsidP="002542E1">
            <w:pPr>
              <w:pStyle w:val="ARfintablebody"/>
              <w:spacing w:before="30"/>
              <w:rPr>
                <w:highlight w:val="green"/>
              </w:rPr>
            </w:pPr>
            <w:r w:rsidRPr="006424E0">
              <w:t>Acting Minister for Multicultural</w:t>
            </w:r>
            <w:r>
              <w:t> </w:t>
            </w:r>
            <w:r w:rsidRPr="006424E0">
              <w:t>Affairs</w:t>
            </w:r>
          </w:p>
        </w:tc>
        <w:tc>
          <w:tcPr>
            <w:tcW w:w="3062" w:type="dxa"/>
            <w:tcBorders>
              <w:top w:val="single" w:sz="4" w:space="0" w:color="A6A6A6"/>
              <w:bottom w:val="single" w:sz="4" w:space="0" w:color="A6A6A6"/>
            </w:tcBorders>
          </w:tcPr>
          <w:p w14:paraId="7BE07B45" w14:textId="74D3DECE" w:rsidR="005B131E" w:rsidRPr="00BA7805" w:rsidRDefault="005B131E" w:rsidP="002542E1">
            <w:pPr>
              <w:pStyle w:val="ARfintablebody"/>
              <w:spacing w:before="30"/>
              <w:rPr>
                <w:highlight w:val="green"/>
              </w:rPr>
            </w:pPr>
            <w:r w:rsidRPr="006424E0">
              <w:t>The Hon Mary-Anne Thomas</w:t>
            </w:r>
          </w:p>
        </w:tc>
        <w:tc>
          <w:tcPr>
            <w:tcW w:w="3629" w:type="dxa"/>
            <w:tcBorders>
              <w:top w:val="single" w:sz="4" w:space="0" w:color="A6A6A6"/>
              <w:bottom w:val="single" w:sz="4" w:space="0" w:color="A6A6A6"/>
            </w:tcBorders>
          </w:tcPr>
          <w:p w14:paraId="6DE60943" w14:textId="77777777" w:rsidR="005B131E" w:rsidRPr="00BA7805" w:rsidRDefault="005B131E" w:rsidP="002542E1">
            <w:pPr>
              <w:pStyle w:val="ARfintablebody"/>
              <w:spacing w:before="30"/>
              <w:rPr>
                <w:highlight w:val="green"/>
              </w:rPr>
            </w:pPr>
            <w:r w:rsidRPr="006424E0">
              <w:t>25 December 2023 to 14 January 2024</w:t>
            </w:r>
          </w:p>
        </w:tc>
      </w:tr>
      <w:tr w:rsidR="005B131E" w:rsidRPr="00BA7805" w14:paraId="29B80AB7" w14:textId="77777777" w:rsidTr="002542E1">
        <w:trPr>
          <w:cantSplit w:val="0"/>
        </w:trPr>
        <w:tc>
          <w:tcPr>
            <w:tcW w:w="2948" w:type="dxa"/>
            <w:tcBorders>
              <w:top w:val="single" w:sz="4" w:space="0" w:color="A6A6A6"/>
              <w:bottom w:val="single" w:sz="4" w:space="0" w:color="000000" w:themeColor="text1"/>
            </w:tcBorders>
          </w:tcPr>
          <w:p w14:paraId="338ED59F" w14:textId="77777777" w:rsidR="005B131E" w:rsidRPr="00BA7805" w:rsidRDefault="005B131E" w:rsidP="002542E1">
            <w:pPr>
              <w:pStyle w:val="ARfintablebody"/>
              <w:spacing w:before="30"/>
              <w:rPr>
                <w:highlight w:val="green"/>
              </w:rPr>
            </w:pPr>
            <w:r w:rsidRPr="006424E0">
              <w:t>Acting Secretary</w:t>
            </w:r>
          </w:p>
        </w:tc>
        <w:tc>
          <w:tcPr>
            <w:tcW w:w="3062" w:type="dxa"/>
            <w:tcBorders>
              <w:top w:val="single" w:sz="4" w:space="0" w:color="A6A6A6"/>
              <w:bottom w:val="single" w:sz="4" w:space="0" w:color="000000" w:themeColor="text1"/>
            </w:tcBorders>
          </w:tcPr>
          <w:p w14:paraId="09A614D3" w14:textId="77777777" w:rsidR="005B131E" w:rsidRPr="00BA7805" w:rsidRDefault="005B131E" w:rsidP="002542E1">
            <w:pPr>
              <w:pStyle w:val="ARfintablebody"/>
              <w:spacing w:before="30"/>
              <w:rPr>
                <w:highlight w:val="green"/>
              </w:rPr>
            </w:pPr>
            <w:r w:rsidRPr="006424E0">
              <w:t>Nicola Quin</w:t>
            </w:r>
          </w:p>
        </w:tc>
        <w:tc>
          <w:tcPr>
            <w:tcW w:w="3629" w:type="dxa"/>
            <w:tcBorders>
              <w:top w:val="single" w:sz="4" w:space="0" w:color="A6A6A6"/>
              <w:bottom w:val="single" w:sz="4" w:space="0" w:color="000000" w:themeColor="text1"/>
            </w:tcBorders>
          </w:tcPr>
          <w:p w14:paraId="437990E2" w14:textId="77777777" w:rsidR="005B131E" w:rsidRPr="00BA7805" w:rsidRDefault="005B131E" w:rsidP="002542E1">
            <w:pPr>
              <w:pStyle w:val="ARfintablebody"/>
              <w:spacing w:before="30"/>
              <w:rPr>
                <w:highlight w:val="green"/>
              </w:rPr>
            </w:pPr>
            <w:r w:rsidRPr="006424E0">
              <w:t>22 January 2024 to 26 January 2024</w:t>
            </w:r>
          </w:p>
        </w:tc>
      </w:tr>
    </w:tbl>
    <w:p w14:paraId="147FD571" w14:textId="77777777" w:rsidR="005B131E" w:rsidRDefault="005B131E" w:rsidP="002542E1">
      <w:pPr>
        <w:pStyle w:val="Heading5"/>
      </w:pPr>
      <w:r>
        <w:t>Remuneration</w:t>
      </w:r>
    </w:p>
    <w:p w14:paraId="072C040E" w14:textId="77777777" w:rsidR="005B131E" w:rsidRPr="00560C55" w:rsidRDefault="005B131E" w:rsidP="002542E1">
      <w:pPr>
        <w:pStyle w:val="ARfinbodylargespace"/>
        <w:rPr>
          <w:highlight w:val="green"/>
        </w:rPr>
      </w:pPr>
      <w:r>
        <w:t>Remuneration received or receivable by the accountable officers in connection with the management of the department during the reporting period was in the range:</w:t>
      </w:r>
    </w:p>
    <w:tbl>
      <w:tblPr>
        <w:tblStyle w:val="TableGrid"/>
        <w:tblW w:w="9639" w:type="dxa"/>
        <w:tblLayout w:type="fixed"/>
        <w:tblLook w:val="06A0" w:firstRow="1" w:lastRow="0" w:firstColumn="1" w:lastColumn="0" w:noHBand="1" w:noVBand="1"/>
      </w:tblPr>
      <w:tblGrid>
        <w:gridCol w:w="6377"/>
        <w:gridCol w:w="1633"/>
        <w:gridCol w:w="1629"/>
      </w:tblGrid>
      <w:tr w:rsidR="005B131E" w:rsidRPr="00BA7805" w14:paraId="3B74647F"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371" w:type="dxa"/>
            <w:tcBorders>
              <w:bottom w:val="single" w:sz="4" w:space="0" w:color="auto"/>
            </w:tcBorders>
            <w:hideMark/>
          </w:tcPr>
          <w:p w14:paraId="3EA442CF" w14:textId="77777777" w:rsidR="005B131E" w:rsidRPr="00BA7805" w:rsidRDefault="005B131E">
            <w:pPr>
              <w:pStyle w:val="ARfintablecolhead"/>
              <w:spacing w:before="30"/>
              <w:rPr>
                <w:highlight w:val="green"/>
              </w:rPr>
            </w:pPr>
            <w:r w:rsidRPr="001C6719">
              <w:t>Income band</w:t>
            </w:r>
          </w:p>
        </w:tc>
        <w:tc>
          <w:tcPr>
            <w:tcW w:w="1631" w:type="dxa"/>
            <w:tcBorders>
              <w:bottom w:val="single" w:sz="4" w:space="0" w:color="auto"/>
            </w:tcBorders>
            <w:shd w:val="clear" w:color="auto" w:fill="E7E6E6" w:themeFill="accent4"/>
            <w:hideMark/>
          </w:tcPr>
          <w:p w14:paraId="3EA3E21B" w14:textId="77777777" w:rsidR="005B131E" w:rsidRPr="00001918" w:rsidRDefault="005B131E">
            <w:pPr>
              <w:pStyle w:val="ARfintablecolheadright"/>
              <w:spacing w:before="30"/>
            </w:pPr>
            <w:r w:rsidRPr="00001918">
              <w:t>30 June 2024</w:t>
            </w:r>
          </w:p>
        </w:tc>
        <w:tc>
          <w:tcPr>
            <w:tcW w:w="1627" w:type="dxa"/>
            <w:tcBorders>
              <w:bottom w:val="single" w:sz="4" w:space="0" w:color="auto"/>
            </w:tcBorders>
          </w:tcPr>
          <w:p w14:paraId="3025F6A8" w14:textId="77777777" w:rsidR="005B131E" w:rsidRPr="00001918" w:rsidRDefault="005B131E">
            <w:pPr>
              <w:pStyle w:val="ARfintablecolheadright"/>
              <w:spacing w:before="30"/>
            </w:pPr>
            <w:r w:rsidRPr="00001918">
              <w:t>30 June 2023</w:t>
            </w:r>
          </w:p>
        </w:tc>
      </w:tr>
      <w:tr w:rsidR="005B131E" w:rsidRPr="00BA7805" w14:paraId="512C2CE9" w14:textId="77777777" w:rsidTr="002542E1">
        <w:trPr>
          <w:cantSplit w:val="0"/>
        </w:trPr>
        <w:tc>
          <w:tcPr>
            <w:tcW w:w="6371" w:type="dxa"/>
            <w:tcBorders>
              <w:top w:val="single" w:sz="4" w:space="0" w:color="auto"/>
              <w:bottom w:val="single" w:sz="4" w:space="0" w:color="A6A6A6" w:themeColor="background1" w:themeShade="A6"/>
            </w:tcBorders>
          </w:tcPr>
          <w:p w14:paraId="7B403154" w14:textId="77777777" w:rsidR="005B131E" w:rsidRPr="00BA7805" w:rsidRDefault="005B131E" w:rsidP="002542E1">
            <w:pPr>
              <w:pStyle w:val="ARfintablebody"/>
              <w:spacing w:before="20" w:after="16"/>
              <w:rPr>
                <w:highlight w:val="green"/>
              </w:rPr>
            </w:pPr>
            <w:r w:rsidRPr="00A1753F">
              <w:t xml:space="preserve">$10,000 </w:t>
            </w:r>
            <w:r>
              <w:t>–</w:t>
            </w:r>
            <w:r w:rsidRPr="00A1753F">
              <w:t xml:space="preserve"> $20,000</w:t>
            </w:r>
          </w:p>
        </w:tc>
        <w:tc>
          <w:tcPr>
            <w:tcW w:w="1631" w:type="dxa"/>
            <w:tcBorders>
              <w:top w:val="single" w:sz="4" w:space="0" w:color="auto"/>
              <w:bottom w:val="single" w:sz="4" w:space="0" w:color="A6A6A6" w:themeColor="background1" w:themeShade="A6"/>
            </w:tcBorders>
            <w:shd w:val="clear" w:color="auto" w:fill="E7E6E6" w:themeFill="accent4"/>
            <w:noWrap/>
          </w:tcPr>
          <w:p w14:paraId="68B15182" w14:textId="77777777" w:rsidR="005B131E" w:rsidRPr="00BA7805" w:rsidRDefault="005B131E" w:rsidP="002542E1">
            <w:pPr>
              <w:pStyle w:val="ARfintablebodyright"/>
              <w:spacing w:before="20" w:after="16"/>
              <w:rPr>
                <w:highlight w:val="green"/>
              </w:rPr>
            </w:pPr>
            <w:r w:rsidRPr="00A1753F">
              <w:t>1</w:t>
            </w:r>
          </w:p>
        </w:tc>
        <w:tc>
          <w:tcPr>
            <w:tcW w:w="1627" w:type="dxa"/>
            <w:tcBorders>
              <w:top w:val="single" w:sz="4" w:space="0" w:color="auto"/>
              <w:bottom w:val="single" w:sz="4" w:space="0" w:color="A6A6A6" w:themeColor="background1" w:themeShade="A6"/>
            </w:tcBorders>
          </w:tcPr>
          <w:p w14:paraId="7590DAF0" w14:textId="77777777" w:rsidR="005B131E" w:rsidRPr="00BA7805" w:rsidRDefault="005B131E" w:rsidP="002542E1">
            <w:pPr>
              <w:pStyle w:val="ARfintablebodyright"/>
              <w:spacing w:before="20" w:after="16"/>
              <w:rPr>
                <w:highlight w:val="green"/>
              </w:rPr>
            </w:pPr>
            <w:r>
              <w:t>–</w:t>
            </w:r>
          </w:p>
        </w:tc>
      </w:tr>
      <w:tr w:rsidR="005B131E" w:rsidRPr="00BA7805" w14:paraId="26A98017" w14:textId="77777777" w:rsidTr="002542E1">
        <w:trPr>
          <w:cantSplit w:val="0"/>
        </w:trPr>
        <w:tc>
          <w:tcPr>
            <w:tcW w:w="6371" w:type="dxa"/>
            <w:tcBorders>
              <w:top w:val="single" w:sz="4" w:space="0" w:color="A6A6A6" w:themeColor="background1" w:themeShade="A6"/>
              <w:bottom w:val="single" w:sz="4" w:space="0" w:color="A6A6A6" w:themeColor="background1" w:themeShade="A6"/>
            </w:tcBorders>
          </w:tcPr>
          <w:p w14:paraId="26C3CD13" w14:textId="77777777" w:rsidR="005B131E" w:rsidRPr="00BA7805" w:rsidRDefault="005B131E" w:rsidP="002542E1">
            <w:pPr>
              <w:pStyle w:val="ARfintablebody"/>
              <w:spacing w:before="20" w:after="16"/>
              <w:rPr>
                <w:highlight w:val="green"/>
              </w:rPr>
            </w:pPr>
            <w:r w:rsidRPr="00A1753F">
              <w:t xml:space="preserve">$130,000 </w:t>
            </w:r>
            <w:r>
              <w:t>–</w:t>
            </w:r>
            <w:r w:rsidRPr="00A1753F">
              <w:t xml:space="preserve"> $140,000</w:t>
            </w:r>
          </w:p>
        </w:tc>
        <w:tc>
          <w:tcPr>
            <w:tcW w:w="1631" w:type="dxa"/>
            <w:tcBorders>
              <w:top w:val="single" w:sz="4" w:space="0" w:color="A6A6A6" w:themeColor="background1" w:themeShade="A6"/>
              <w:bottom w:val="single" w:sz="4" w:space="0" w:color="A6A6A6" w:themeColor="background1" w:themeShade="A6"/>
            </w:tcBorders>
            <w:shd w:val="clear" w:color="auto" w:fill="E7E6E6" w:themeFill="accent4"/>
            <w:noWrap/>
          </w:tcPr>
          <w:p w14:paraId="409F10FE" w14:textId="77777777" w:rsidR="005B131E" w:rsidRPr="00BA7805" w:rsidRDefault="005B131E" w:rsidP="002542E1">
            <w:pPr>
              <w:pStyle w:val="ARfintablebodyright"/>
              <w:spacing w:before="20" w:after="16"/>
              <w:rPr>
                <w:highlight w:val="green"/>
              </w:rPr>
            </w:pPr>
            <w:r>
              <w:t>–</w:t>
            </w:r>
          </w:p>
        </w:tc>
        <w:tc>
          <w:tcPr>
            <w:tcW w:w="1627" w:type="dxa"/>
            <w:tcBorders>
              <w:top w:val="single" w:sz="4" w:space="0" w:color="A6A6A6" w:themeColor="background1" w:themeShade="A6"/>
              <w:bottom w:val="single" w:sz="4" w:space="0" w:color="A6A6A6" w:themeColor="background1" w:themeShade="A6"/>
            </w:tcBorders>
          </w:tcPr>
          <w:p w14:paraId="315BB7DE" w14:textId="77777777" w:rsidR="005B131E" w:rsidRPr="00BA7805" w:rsidRDefault="005B131E" w:rsidP="002542E1">
            <w:pPr>
              <w:pStyle w:val="ARfintablebodyright"/>
              <w:spacing w:before="20" w:after="16"/>
              <w:rPr>
                <w:highlight w:val="green"/>
              </w:rPr>
            </w:pPr>
            <w:r w:rsidRPr="00A1753F">
              <w:t>1</w:t>
            </w:r>
          </w:p>
        </w:tc>
      </w:tr>
      <w:tr w:rsidR="005B131E" w:rsidRPr="00BA7805" w14:paraId="4CAEB6A9" w14:textId="77777777" w:rsidTr="002542E1">
        <w:trPr>
          <w:cantSplit w:val="0"/>
        </w:trPr>
        <w:tc>
          <w:tcPr>
            <w:tcW w:w="6371" w:type="dxa"/>
            <w:tcBorders>
              <w:top w:val="single" w:sz="4" w:space="0" w:color="A6A6A6" w:themeColor="background1" w:themeShade="A6"/>
              <w:bottom w:val="single" w:sz="4" w:space="0" w:color="A6A6A6" w:themeColor="background1" w:themeShade="A6"/>
            </w:tcBorders>
          </w:tcPr>
          <w:p w14:paraId="4FA3ADEC" w14:textId="77777777" w:rsidR="005B131E" w:rsidRPr="00BA7805" w:rsidRDefault="005B131E" w:rsidP="002542E1">
            <w:pPr>
              <w:pStyle w:val="ARfintablebody"/>
              <w:spacing w:before="20" w:after="16"/>
              <w:rPr>
                <w:highlight w:val="green"/>
              </w:rPr>
            </w:pPr>
            <w:r w:rsidRPr="00A1753F">
              <w:t xml:space="preserve">$160,000 </w:t>
            </w:r>
            <w:r>
              <w:t>–</w:t>
            </w:r>
            <w:r w:rsidRPr="00A1753F">
              <w:t xml:space="preserve"> $170,000</w:t>
            </w:r>
          </w:p>
        </w:tc>
        <w:tc>
          <w:tcPr>
            <w:tcW w:w="1631" w:type="dxa"/>
            <w:tcBorders>
              <w:top w:val="single" w:sz="4" w:space="0" w:color="A6A6A6" w:themeColor="background1" w:themeShade="A6"/>
              <w:bottom w:val="single" w:sz="4" w:space="0" w:color="A6A6A6" w:themeColor="background1" w:themeShade="A6"/>
            </w:tcBorders>
            <w:shd w:val="clear" w:color="auto" w:fill="E7E6E6" w:themeFill="accent4"/>
            <w:noWrap/>
          </w:tcPr>
          <w:p w14:paraId="55542015" w14:textId="77777777" w:rsidR="005B131E" w:rsidRPr="00BA7805" w:rsidRDefault="005B131E" w:rsidP="002542E1">
            <w:pPr>
              <w:pStyle w:val="ARfintablebodyright"/>
              <w:spacing w:before="20" w:after="16"/>
              <w:rPr>
                <w:highlight w:val="green"/>
              </w:rPr>
            </w:pPr>
            <w:r>
              <w:t>–</w:t>
            </w:r>
          </w:p>
        </w:tc>
        <w:tc>
          <w:tcPr>
            <w:tcW w:w="1627" w:type="dxa"/>
            <w:tcBorders>
              <w:top w:val="single" w:sz="4" w:space="0" w:color="A6A6A6" w:themeColor="background1" w:themeShade="A6"/>
              <w:bottom w:val="single" w:sz="4" w:space="0" w:color="A6A6A6" w:themeColor="background1" w:themeShade="A6"/>
            </w:tcBorders>
          </w:tcPr>
          <w:p w14:paraId="175FAE4E" w14:textId="77777777" w:rsidR="005B131E" w:rsidRPr="00BA7805" w:rsidRDefault="005B131E" w:rsidP="002542E1">
            <w:pPr>
              <w:pStyle w:val="ARfintablebodyright"/>
              <w:spacing w:before="20" w:after="16"/>
              <w:rPr>
                <w:highlight w:val="green"/>
              </w:rPr>
            </w:pPr>
            <w:r w:rsidRPr="00A1753F">
              <w:t>1</w:t>
            </w:r>
          </w:p>
        </w:tc>
      </w:tr>
      <w:tr w:rsidR="005B131E" w:rsidRPr="00BA7805" w14:paraId="14A67694" w14:textId="77777777" w:rsidTr="002542E1">
        <w:trPr>
          <w:cantSplit w:val="0"/>
        </w:trPr>
        <w:tc>
          <w:tcPr>
            <w:tcW w:w="6371" w:type="dxa"/>
            <w:tcBorders>
              <w:top w:val="single" w:sz="4" w:space="0" w:color="A6A6A6" w:themeColor="background1" w:themeShade="A6"/>
              <w:bottom w:val="single" w:sz="4" w:space="0" w:color="A6A6A6" w:themeColor="background1" w:themeShade="A6"/>
            </w:tcBorders>
          </w:tcPr>
          <w:p w14:paraId="65A24071" w14:textId="77777777" w:rsidR="005B131E" w:rsidRPr="00BA7805" w:rsidRDefault="005B131E" w:rsidP="002542E1">
            <w:pPr>
              <w:pStyle w:val="ARfintablebody"/>
              <w:spacing w:before="20" w:after="16"/>
              <w:rPr>
                <w:highlight w:val="green"/>
              </w:rPr>
            </w:pPr>
            <w:r w:rsidRPr="00A1753F">
              <w:t xml:space="preserve">$260,000 </w:t>
            </w:r>
            <w:r>
              <w:t>–</w:t>
            </w:r>
            <w:r w:rsidRPr="00A1753F">
              <w:t xml:space="preserve"> $270,000</w:t>
            </w:r>
          </w:p>
        </w:tc>
        <w:tc>
          <w:tcPr>
            <w:tcW w:w="1631" w:type="dxa"/>
            <w:tcBorders>
              <w:top w:val="single" w:sz="4" w:space="0" w:color="A6A6A6" w:themeColor="background1" w:themeShade="A6"/>
              <w:bottom w:val="single" w:sz="4" w:space="0" w:color="A6A6A6" w:themeColor="background1" w:themeShade="A6"/>
            </w:tcBorders>
            <w:shd w:val="clear" w:color="auto" w:fill="E7E6E6" w:themeFill="accent4"/>
            <w:noWrap/>
          </w:tcPr>
          <w:p w14:paraId="1C8F2118" w14:textId="77777777" w:rsidR="005B131E" w:rsidRPr="00BA7805" w:rsidRDefault="005B131E" w:rsidP="002542E1">
            <w:pPr>
              <w:pStyle w:val="ARfintablebodyright"/>
              <w:spacing w:before="20" w:after="16"/>
              <w:rPr>
                <w:highlight w:val="green"/>
              </w:rPr>
            </w:pPr>
            <w:r>
              <w:t>–</w:t>
            </w:r>
          </w:p>
        </w:tc>
        <w:tc>
          <w:tcPr>
            <w:tcW w:w="1627" w:type="dxa"/>
            <w:tcBorders>
              <w:top w:val="single" w:sz="4" w:space="0" w:color="A6A6A6" w:themeColor="background1" w:themeShade="A6"/>
              <w:bottom w:val="single" w:sz="4" w:space="0" w:color="A6A6A6" w:themeColor="background1" w:themeShade="A6"/>
            </w:tcBorders>
          </w:tcPr>
          <w:p w14:paraId="39F55ABA" w14:textId="77777777" w:rsidR="005B131E" w:rsidRPr="00BA7805" w:rsidRDefault="005B131E" w:rsidP="002542E1">
            <w:pPr>
              <w:pStyle w:val="ARfintablebodyright"/>
              <w:spacing w:before="20" w:after="16"/>
              <w:rPr>
                <w:highlight w:val="green"/>
              </w:rPr>
            </w:pPr>
            <w:r w:rsidRPr="00A1753F">
              <w:t>1</w:t>
            </w:r>
          </w:p>
        </w:tc>
      </w:tr>
      <w:tr w:rsidR="005B131E" w:rsidRPr="00BA7805" w14:paraId="46A69867" w14:textId="77777777" w:rsidTr="002542E1">
        <w:trPr>
          <w:cantSplit w:val="0"/>
        </w:trPr>
        <w:tc>
          <w:tcPr>
            <w:tcW w:w="6371" w:type="dxa"/>
            <w:tcBorders>
              <w:top w:val="single" w:sz="4" w:space="0" w:color="A6A6A6" w:themeColor="background1" w:themeShade="A6"/>
            </w:tcBorders>
          </w:tcPr>
          <w:p w14:paraId="511FB98C" w14:textId="77777777" w:rsidR="005B131E" w:rsidRPr="00BA7805" w:rsidRDefault="005B131E" w:rsidP="002542E1">
            <w:pPr>
              <w:pStyle w:val="ARfintablebody"/>
              <w:spacing w:before="20" w:after="16"/>
              <w:rPr>
                <w:highlight w:val="green"/>
              </w:rPr>
            </w:pPr>
            <w:r w:rsidRPr="00A1753F">
              <w:t xml:space="preserve">$610,000 </w:t>
            </w:r>
            <w:r>
              <w:t>–</w:t>
            </w:r>
            <w:r w:rsidRPr="00A1753F">
              <w:t xml:space="preserve"> $620,000</w:t>
            </w:r>
          </w:p>
        </w:tc>
        <w:tc>
          <w:tcPr>
            <w:tcW w:w="1631" w:type="dxa"/>
            <w:tcBorders>
              <w:top w:val="single" w:sz="4" w:space="0" w:color="A6A6A6" w:themeColor="background1" w:themeShade="A6"/>
            </w:tcBorders>
            <w:shd w:val="clear" w:color="auto" w:fill="E7E6E6" w:themeFill="accent4"/>
            <w:noWrap/>
          </w:tcPr>
          <w:p w14:paraId="491E0906" w14:textId="77777777" w:rsidR="005B131E" w:rsidRPr="00BA7805" w:rsidRDefault="005B131E" w:rsidP="002542E1">
            <w:pPr>
              <w:pStyle w:val="ARfintablebodyright"/>
              <w:spacing w:before="20" w:after="16"/>
              <w:rPr>
                <w:highlight w:val="green"/>
              </w:rPr>
            </w:pPr>
            <w:r w:rsidRPr="00A1753F">
              <w:t>1</w:t>
            </w:r>
          </w:p>
        </w:tc>
        <w:tc>
          <w:tcPr>
            <w:tcW w:w="1627" w:type="dxa"/>
            <w:tcBorders>
              <w:top w:val="single" w:sz="4" w:space="0" w:color="A6A6A6" w:themeColor="background1" w:themeShade="A6"/>
            </w:tcBorders>
          </w:tcPr>
          <w:p w14:paraId="204D0ADE" w14:textId="77777777" w:rsidR="005B131E" w:rsidRPr="00BA7805" w:rsidRDefault="005B131E" w:rsidP="002542E1">
            <w:pPr>
              <w:pStyle w:val="ARfintablebodyright"/>
              <w:spacing w:before="20" w:after="16"/>
              <w:rPr>
                <w:highlight w:val="green"/>
              </w:rPr>
            </w:pPr>
            <w:r>
              <w:t>–</w:t>
            </w:r>
          </w:p>
        </w:tc>
      </w:tr>
      <w:tr w:rsidR="005B131E" w:rsidRPr="00BA7805" w14:paraId="11E7B7B6" w14:textId="77777777" w:rsidTr="002542E1">
        <w:trPr>
          <w:cantSplit w:val="0"/>
          <w:trHeight w:val="255"/>
        </w:trPr>
        <w:tc>
          <w:tcPr>
            <w:tcW w:w="6371" w:type="dxa"/>
          </w:tcPr>
          <w:p w14:paraId="00317247" w14:textId="77777777" w:rsidR="005B131E" w:rsidRPr="00BA7805" w:rsidRDefault="005B131E" w:rsidP="002542E1">
            <w:pPr>
              <w:pStyle w:val="ARfintablebodybold"/>
              <w:spacing w:before="20" w:after="16"/>
              <w:rPr>
                <w:highlight w:val="green"/>
              </w:rPr>
            </w:pPr>
            <w:r w:rsidRPr="00A1753F">
              <w:t>Total</w:t>
            </w:r>
          </w:p>
        </w:tc>
        <w:tc>
          <w:tcPr>
            <w:tcW w:w="1631" w:type="dxa"/>
            <w:shd w:val="clear" w:color="auto" w:fill="E7E6E6" w:themeFill="accent4"/>
            <w:noWrap/>
          </w:tcPr>
          <w:p w14:paraId="03F9AC84" w14:textId="77777777" w:rsidR="005B131E" w:rsidRPr="00BA7805" w:rsidRDefault="005B131E" w:rsidP="002542E1">
            <w:pPr>
              <w:pStyle w:val="ARfintablebodyrightbold"/>
              <w:spacing w:before="20" w:after="16"/>
              <w:rPr>
                <w:highlight w:val="green"/>
              </w:rPr>
            </w:pPr>
            <w:r w:rsidRPr="00A1753F">
              <w:t>2</w:t>
            </w:r>
          </w:p>
        </w:tc>
        <w:tc>
          <w:tcPr>
            <w:tcW w:w="1627" w:type="dxa"/>
          </w:tcPr>
          <w:p w14:paraId="1C5C0991" w14:textId="77777777" w:rsidR="005B131E" w:rsidRPr="00BA7805" w:rsidRDefault="005B131E" w:rsidP="002542E1">
            <w:pPr>
              <w:pStyle w:val="ARfintablebodyrightbold"/>
              <w:spacing w:before="20" w:after="16"/>
              <w:rPr>
                <w:highlight w:val="green"/>
              </w:rPr>
            </w:pPr>
            <w:r>
              <w:t>3</w:t>
            </w:r>
          </w:p>
        </w:tc>
      </w:tr>
    </w:tbl>
    <w:p w14:paraId="017F7EFA" w14:textId="77777777" w:rsidR="005B131E" w:rsidRDefault="005B131E" w:rsidP="002542E1">
      <w:pPr>
        <w:pStyle w:val="ARbody"/>
        <w:rPr>
          <w:lang w:eastAsia="en-AU"/>
        </w:rPr>
      </w:pPr>
      <w:r>
        <w:rPr>
          <w:lang w:eastAsia="en-AU"/>
        </w:rPr>
        <w:br w:type="page"/>
      </w:r>
    </w:p>
    <w:p w14:paraId="1336DAFB" w14:textId="77777777" w:rsidR="005B131E" w:rsidRPr="001C6719" w:rsidRDefault="005B131E">
      <w:pPr>
        <w:pStyle w:val="Heading4"/>
        <w:rPr>
          <w:lang w:eastAsia="en-AU"/>
        </w:rPr>
      </w:pPr>
      <w:r w:rsidRPr="001C6719">
        <w:rPr>
          <w:lang w:eastAsia="en-AU"/>
        </w:rPr>
        <w:t>9.7 Remuneration of executives</w:t>
      </w:r>
    </w:p>
    <w:p w14:paraId="3A7B9A14" w14:textId="77777777" w:rsidR="005B131E" w:rsidRDefault="005B131E" w:rsidP="002542E1">
      <w:pPr>
        <w:pStyle w:val="ARfinbody"/>
      </w:pPr>
      <w:r>
        <w:t>The numbers of executive officers, other than ministers and accountable officers, and their total remuneration during the reporting period are shown in the table below. Total annualised employee equivalent provides a measure of full-time equivalent executive officers over the reporting period.</w:t>
      </w:r>
    </w:p>
    <w:p w14:paraId="32D2B228" w14:textId="77777777" w:rsidR="005B131E" w:rsidRDefault="005B131E" w:rsidP="002542E1">
      <w:pPr>
        <w:pStyle w:val="ARfinbody"/>
      </w:pPr>
      <w:r>
        <w:t xml:space="preserve">Remuneration comprises employee benefits in all forms of consideration paid, payable or provided by the entity, or on behalf of the entity, in exchange for services rendered, and is disclosed in the following categories. </w:t>
      </w:r>
    </w:p>
    <w:p w14:paraId="5809678B" w14:textId="77777777" w:rsidR="005B131E" w:rsidRDefault="005B131E" w:rsidP="002542E1">
      <w:pPr>
        <w:pStyle w:val="ARfinbody"/>
      </w:pPr>
      <w:r w:rsidRPr="00557812">
        <w:rPr>
          <w:rStyle w:val="Strong"/>
        </w:rPr>
        <w:t>Short-term employee benefits</w:t>
      </w:r>
      <w:r>
        <w:t xml:space="preserve"> include amounts such as wages, salaries, annual leave or sick leave that are usually paid or payable on a regular basis, as well as non-monetary benefits such as allowances and free or subsidised goods or services. </w:t>
      </w:r>
    </w:p>
    <w:p w14:paraId="7BD6367B" w14:textId="77777777" w:rsidR="005B131E" w:rsidRDefault="005B131E" w:rsidP="002542E1">
      <w:pPr>
        <w:pStyle w:val="ARfinbody"/>
      </w:pPr>
      <w:r w:rsidRPr="00557812">
        <w:rPr>
          <w:rStyle w:val="Strong"/>
        </w:rPr>
        <w:t>Post-employment benefits</w:t>
      </w:r>
      <w:r>
        <w:t xml:space="preserve"> include pensions and other retirement benefits paid or payable on a discrete basis when employment has ceased. </w:t>
      </w:r>
    </w:p>
    <w:p w14:paraId="63F4F79B" w14:textId="77777777" w:rsidR="005B131E" w:rsidRDefault="005B131E" w:rsidP="002542E1">
      <w:pPr>
        <w:pStyle w:val="ARfinbody"/>
      </w:pPr>
      <w:r w:rsidRPr="00DD4C03">
        <w:rPr>
          <w:rStyle w:val="Strong"/>
        </w:rPr>
        <w:t>Other long-term benefits</w:t>
      </w:r>
      <w:r>
        <w:t xml:space="preserve"> include long service leave, other long service benefit or deferred compensation.</w:t>
      </w:r>
    </w:p>
    <w:p w14:paraId="47CBD6F1" w14:textId="77777777" w:rsidR="005B131E" w:rsidRDefault="005B131E" w:rsidP="002542E1">
      <w:pPr>
        <w:pStyle w:val="ARfinbodylargespace"/>
      </w:pPr>
      <w:r w:rsidRPr="00557812">
        <w:rPr>
          <w:rStyle w:val="Strong"/>
        </w:rPr>
        <w:t>Termination benefits</w:t>
      </w:r>
      <w:r>
        <w:t xml:space="preserve"> include termination of employment payments, such as severance packages.</w:t>
      </w:r>
    </w:p>
    <w:tbl>
      <w:tblPr>
        <w:tblStyle w:val="TableGrid"/>
        <w:tblW w:w="9637" w:type="dxa"/>
        <w:tblLayout w:type="fixed"/>
        <w:tblLook w:val="06A0" w:firstRow="1" w:lastRow="0" w:firstColumn="1" w:lastColumn="0" w:noHBand="1" w:noVBand="1"/>
      </w:tblPr>
      <w:tblGrid>
        <w:gridCol w:w="6915"/>
        <w:gridCol w:w="1361"/>
        <w:gridCol w:w="1361"/>
      </w:tblGrid>
      <w:tr w:rsidR="005B131E" w:rsidRPr="00BA7805" w14:paraId="52508C81" w14:textId="77777777">
        <w:trPr>
          <w:cnfStyle w:val="100000000000" w:firstRow="1" w:lastRow="0" w:firstColumn="0" w:lastColumn="0" w:oddVBand="0" w:evenVBand="0" w:oddHBand="0" w:evenHBand="0" w:firstRowFirstColumn="0" w:firstRowLastColumn="0" w:lastRowFirstColumn="0" w:lastRowLastColumn="0"/>
          <w:tblHeader/>
        </w:trPr>
        <w:tc>
          <w:tcPr>
            <w:tcW w:w="6915" w:type="dxa"/>
            <w:vMerge w:val="restart"/>
            <w:noWrap/>
          </w:tcPr>
          <w:p w14:paraId="7201A906" w14:textId="77777777" w:rsidR="005B131E" w:rsidRPr="001C6719" w:rsidRDefault="005B131E">
            <w:pPr>
              <w:pStyle w:val="ARfintablecolhead"/>
              <w:spacing w:before="20" w:after="16"/>
            </w:pPr>
            <w:r w:rsidRPr="001C6719">
              <w:t xml:space="preserve">Remuneration of executive officers </w:t>
            </w:r>
            <w:r w:rsidRPr="001C6719">
              <w:br/>
              <w:t>(including key management personnel disclosed in Note 9.8)</w:t>
            </w:r>
          </w:p>
        </w:tc>
        <w:tc>
          <w:tcPr>
            <w:tcW w:w="2722" w:type="dxa"/>
            <w:gridSpan w:val="2"/>
            <w:tcBorders>
              <w:bottom w:val="single" w:sz="4" w:space="0" w:color="auto"/>
            </w:tcBorders>
            <w:shd w:val="clear" w:color="auto" w:fill="auto"/>
          </w:tcPr>
          <w:p w14:paraId="44BE4457" w14:textId="77777777" w:rsidR="005B131E" w:rsidRPr="001C6719" w:rsidRDefault="005B131E">
            <w:pPr>
              <w:pStyle w:val="ARfintablecolheadcentre"/>
              <w:spacing w:before="20" w:after="16"/>
            </w:pPr>
            <w:r w:rsidRPr="001C6719">
              <w:t>Total remuneration</w:t>
            </w:r>
          </w:p>
        </w:tc>
      </w:tr>
      <w:tr w:rsidR="005B131E" w:rsidRPr="00BA7805" w14:paraId="086F2C09" w14:textId="77777777">
        <w:trPr>
          <w:cnfStyle w:val="100000000000" w:firstRow="1" w:lastRow="0" w:firstColumn="0" w:lastColumn="0" w:oddVBand="0" w:evenVBand="0" w:oddHBand="0" w:evenHBand="0" w:firstRowFirstColumn="0" w:firstRowLastColumn="0" w:lastRowFirstColumn="0" w:lastRowLastColumn="0"/>
          <w:tblHeader/>
        </w:trPr>
        <w:tc>
          <w:tcPr>
            <w:tcW w:w="6915" w:type="dxa"/>
            <w:vMerge/>
            <w:tcBorders>
              <w:bottom w:val="single" w:sz="4" w:space="0" w:color="auto"/>
            </w:tcBorders>
            <w:noWrap/>
            <w:hideMark/>
          </w:tcPr>
          <w:p w14:paraId="772B14F7" w14:textId="77777777" w:rsidR="005B131E" w:rsidRPr="001C6719" w:rsidRDefault="005B131E">
            <w:pPr>
              <w:pStyle w:val="ARfintablecolhead"/>
              <w:spacing w:before="20" w:after="16"/>
            </w:pPr>
          </w:p>
        </w:tc>
        <w:tc>
          <w:tcPr>
            <w:tcW w:w="1361" w:type="dxa"/>
            <w:tcBorders>
              <w:bottom w:val="single" w:sz="4" w:space="0" w:color="auto"/>
            </w:tcBorders>
            <w:shd w:val="clear" w:color="auto" w:fill="E7E6E6"/>
            <w:hideMark/>
          </w:tcPr>
          <w:p w14:paraId="4AD03B58" w14:textId="77777777" w:rsidR="005B131E" w:rsidRPr="001C6719" w:rsidRDefault="005B131E">
            <w:pPr>
              <w:pStyle w:val="ARfintablecolheadright"/>
              <w:spacing w:before="20" w:after="16"/>
            </w:pPr>
            <w:r w:rsidRPr="001C6719">
              <w:t>2024</w:t>
            </w:r>
          </w:p>
          <w:p w14:paraId="3181834D" w14:textId="77777777" w:rsidR="005B131E" w:rsidRPr="001C6719" w:rsidRDefault="005B131E">
            <w:pPr>
              <w:pStyle w:val="ARfintablecolheadright"/>
              <w:spacing w:before="20" w:after="16"/>
            </w:pPr>
            <w:r w:rsidRPr="001C6719">
              <w:t>$M</w:t>
            </w:r>
          </w:p>
        </w:tc>
        <w:tc>
          <w:tcPr>
            <w:tcW w:w="1361" w:type="dxa"/>
            <w:tcBorders>
              <w:bottom w:val="single" w:sz="4" w:space="0" w:color="auto"/>
            </w:tcBorders>
            <w:hideMark/>
          </w:tcPr>
          <w:p w14:paraId="5096DCC4" w14:textId="77777777" w:rsidR="005B131E" w:rsidRPr="001C6719" w:rsidRDefault="005B131E">
            <w:pPr>
              <w:pStyle w:val="ARfintablecolheadright"/>
              <w:spacing w:before="20" w:after="16"/>
            </w:pPr>
            <w:r w:rsidRPr="001C6719">
              <w:t>2023</w:t>
            </w:r>
          </w:p>
          <w:p w14:paraId="46A02318" w14:textId="77777777" w:rsidR="005B131E" w:rsidRPr="001C6719" w:rsidRDefault="005B131E">
            <w:pPr>
              <w:pStyle w:val="ARfintablecolheadright"/>
              <w:spacing w:before="20" w:after="16"/>
            </w:pPr>
            <w:r w:rsidRPr="001C6719">
              <w:t>$M</w:t>
            </w:r>
          </w:p>
        </w:tc>
      </w:tr>
      <w:tr w:rsidR="005B131E" w:rsidRPr="00BA7805" w14:paraId="78E9889E" w14:textId="77777777" w:rsidTr="003D7AC8">
        <w:tc>
          <w:tcPr>
            <w:tcW w:w="6915" w:type="dxa"/>
            <w:tcBorders>
              <w:top w:val="single" w:sz="4" w:space="0" w:color="A6A6A6"/>
              <w:bottom w:val="single" w:sz="4" w:space="0" w:color="A6A6A6"/>
            </w:tcBorders>
          </w:tcPr>
          <w:p w14:paraId="2BF9005B" w14:textId="77777777" w:rsidR="005B131E" w:rsidRPr="00BA7805" w:rsidRDefault="005B131E" w:rsidP="002542E1">
            <w:pPr>
              <w:pStyle w:val="ARfintablebody"/>
              <w:spacing w:before="20" w:after="16"/>
              <w:rPr>
                <w:highlight w:val="green"/>
              </w:rPr>
            </w:pPr>
            <w:r w:rsidRPr="00AE697F">
              <w:t>Short-term employee benefits</w:t>
            </w:r>
          </w:p>
        </w:tc>
        <w:tc>
          <w:tcPr>
            <w:tcW w:w="1361" w:type="dxa"/>
            <w:tcBorders>
              <w:top w:val="single" w:sz="4" w:space="0" w:color="A6A6A6"/>
              <w:bottom w:val="single" w:sz="4" w:space="0" w:color="A6A6A6"/>
            </w:tcBorders>
            <w:shd w:val="clear" w:color="auto" w:fill="E7E6E6"/>
            <w:noWrap/>
          </w:tcPr>
          <w:p w14:paraId="0A8F678C" w14:textId="77777777" w:rsidR="005B131E" w:rsidRPr="00BA7805" w:rsidRDefault="005B131E" w:rsidP="002542E1">
            <w:pPr>
              <w:pStyle w:val="ARfintablebodyright"/>
              <w:spacing w:before="20" w:after="16"/>
              <w:rPr>
                <w:highlight w:val="green"/>
              </w:rPr>
            </w:pPr>
            <w:r w:rsidRPr="00611780">
              <w:t>46.5</w:t>
            </w:r>
          </w:p>
        </w:tc>
        <w:tc>
          <w:tcPr>
            <w:tcW w:w="1361" w:type="dxa"/>
            <w:tcBorders>
              <w:top w:val="single" w:sz="4" w:space="0" w:color="A6A6A6"/>
              <w:bottom w:val="single" w:sz="4" w:space="0" w:color="A6A6A6"/>
            </w:tcBorders>
            <w:noWrap/>
          </w:tcPr>
          <w:p w14:paraId="3A841A16" w14:textId="77777777" w:rsidR="005B131E" w:rsidRPr="00BA7805" w:rsidRDefault="005B131E" w:rsidP="002542E1">
            <w:pPr>
              <w:pStyle w:val="ARfintablebodyright"/>
              <w:spacing w:before="20" w:after="16"/>
              <w:rPr>
                <w:highlight w:val="green"/>
              </w:rPr>
            </w:pPr>
            <w:r w:rsidRPr="00611780">
              <w:t>47.5</w:t>
            </w:r>
          </w:p>
        </w:tc>
      </w:tr>
      <w:tr w:rsidR="005B131E" w:rsidRPr="00BA7805" w14:paraId="5CFB9893" w14:textId="77777777">
        <w:tc>
          <w:tcPr>
            <w:tcW w:w="6915" w:type="dxa"/>
            <w:tcBorders>
              <w:top w:val="single" w:sz="4" w:space="0" w:color="A6A6A6"/>
              <w:bottom w:val="single" w:sz="4" w:space="0" w:color="A6A6A6"/>
            </w:tcBorders>
          </w:tcPr>
          <w:p w14:paraId="322B124E" w14:textId="77777777" w:rsidR="005B131E" w:rsidRPr="00BA7805" w:rsidRDefault="005B131E" w:rsidP="002542E1">
            <w:pPr>
              <w:pStyle w:val="ARfintablebody"/>
              <w:spacing w:before="20" w:after="16"/>
              <w:rPr>
                <w:highlight w:val="green"/>
              </w:rPr>
            </w:pPr>
            <w:r w:rsidRPr="00AE697F">
              <w:t>Post-employment benefits</w:t>
            </w:r>
          </w:p>
        </w:tc>
        <w:tc>
          <w:tcPr>
            <w:tcW w:w="1361" w:type="dxa"/>
            <w:tcBorders>
              <w:top w:val="single" w:sz="4" w:space="0" w:color="A6A6A6"/>
              <w:bottom w:val="single" w:sz="4" w:space="0" w:color="A6A6A6"/>
            </w:tcBorders>
            <w:shd w:val="clear" w:color="auto" w:fill="E7E6E6"/>
            <w:noWrap/>
          </w:tcPr>
          <w:p w14:paraId="396A0C62" w14:textId="77777777" w:rsidR="005B131E" w:rsidRPr="00BA7805" w:rsidRDefault="005B131E" w:rsidP="002542E1">
            <w:pPr>
              <w:pStyle w:val="ARfintablebodyright"/>
              <w:spacing w:before="20" w:after="16"/>
              <w:rPr>
                <w:highlight w:val="green"/>
              </w:rPr>
            </w:pPr>
            <w:r w:rsidRPr="00611780">
              <w:t>4.5</w:t>
            </w:r>
          </w:p>
        </w:tc>
        <w:tc>
          <w:tcPr>
            <w:tcW w:w="1361" w:type="dxa"/>
            <w:tcBorders>
              <w:top w:val="single" w:sz="4" w:space="0" w:color="A6A6A6"/>
              <w:bottom w:val="single" w:sz="4" w:space="0" w:color="A6A6A6"/>
            </w:tcBorders>
            <w:noWrap/>
          </w:tcPr>
          <w:p w14:paraId="3469E178" w14:textId="77777777" w:rsidR="005B131E" w:rsidRPr="00BA7805" w:rsidRDefault="005B131E" w:rsidP="002542E1">
            <w:pPr>
              <w:pStyle w:val="ARfintablebodyright"/>
              <w:spacing w:before="20" w:after="16"/>
              <w:rPr>
                <w:highlight w:val="green"/>
              </w:rPr>
            </w:pPr>
            <w:r w:rsidRPr="00611780">
              <w:t>4.4</w:t>
            </w:r>
          </w:p>
        </w:tc>
      </w:tr>
      <w:tr w:rsidR="005B131E" w:rsidRPr="00BA7805" w14:paraId="4E868093" w14:textId="77777777" w:rsidTr="002542E1">
        <w:tc>
          <w:tcPr>
            <w:tcW w:w="6915" w:type="dxa"/>
            <w:tcBorders>
              <w:top w:val="single" w:sz="4" w:space="0" w:color="A6A6A6"/>
              <w:bottom w:val="single" w:sz="4" w:space="0" w:color="A6A6A6"/>
            </w:tcBorders>
          </w:tcPr>
          <w:p w14:paraId="3B193364" w14:textId="77777777" w:rsidR="005B131E" w:rsidRPr="00BA7805" w:rsidRDefault="005B131E" w:rsidP="002542E1">
            <w:pPr>
              <w:pStyle w:val="ARfintablebody"/>
              <w:spacing w:before="20" w:after="16"/>
              <w:rPr>
                <w:highlight w:val="green"/>
              </w:rPr>
            </w:pPr>
            <w:r w:rsidRPr="00AE697F">
              <w:t>Other long-term benefits</w:t>
            </w:r>
          </w:p>
        </w:tc>
        <w:tc>
          <w:tcPr>
            <w:tcW w:w="1361" w:type="dxa"/>
            <w:tcBorders>
              <w:top w:val="single" w:sz="4" w:space="0" w:color="A6A6A6"/>
              <w:bottom w:val="single" w:sz="4" w:space="0" w:color="A6A6A6"/>
            </w:tcBorders>
            <w:shd w:val="clear" w:color="auto" w:fill="E7E6E6" w:themeFill="accent4"/>
            <w:noWrap/>
          </w:tcPr>
          <w:p w14:paraId="50D5640F" w14:textId="77777777" w:rsidR="005B131E" w:rsidRPr="00BA7805" w:rsidRDefault="005B131E" w:rsidP="002542E1">
            <w:pPr>
              <w:pStyle w:val="ARfintablebodyright"/>
              <w:spacing w:before="20" w:after="16"/>
              <w:rPr>
                <w:highlight w:val="green"/>
              </w:rPr>
            </w:pPr>
            <w:r w:rsidRPr="00611780">
              <w:t>1.3</w:t>
            </w:r>
          </w:p>
        </w:tc>
        <w:tc>
          <w:tcPr>
            <w:tcW w:w="1361" w:type="dxa"/>
            <w:tcBorders>
              <w:top w:val="single" w:sz="4" w:space="0" w:color="A6A6A6"/>
              <w:bottom w:val="single" w:sz="4" w:space="0" w:color="A6A6A6"/>
            </w:tcBorders>
            <w:noWrap/>
          </w:tcPr>
          <w:p w14:paraId="256C8066" w14:textId="77777777" w:rsidR="005B131E" w:rsidRPr="00BA7805" w:rsidRDefault="005B131E" w:rsidP="002542E1">
            <w:pPr>
              <w:pStyle w:val="ARfintablebodyright"/>
              <w:spacing w:before="20" w:after="16"/>
              <w:rPr>
                <w:highlight w:val="green"/>
              </w:rPr>
            </w:pPr>
            <w:r w:rsidRPr="00611780">
              <w:t>1.3</w:t>
            </w:r>
          </w:p>
        </w:tc>
      </w:tr>
      <w:tr w:rsidR="005B131E" w:rsidRPr="00BA7805" w14:paraId="53281FA7" w14:textId="77777777" w:rsidTr="003D7AC8">
        <w:tc>
          <w:tcPr>
            <w:tcW w:w="6915" w:type="dxa"/>
            <w:tcBorders>
              <w:top w:val="single" w:sz="4" w:space="0" w:color="A6A6A6"/>
              <w:bottom w:val="single" w:sz="4" w:space="0" w:color="A6A6A6"/>
            </w:tcBorders>
          </w:tcPr>
          <w:p w14:paraId="18FF7819" w14:textId="77777777" w:rsidR="005B131E" w:rsidRPr="00BA7805" w:rsidRDefault="005B131E" w:rsidP="002542E1">
            <w:pPr>
              <w:pStyle w:val="ARfintablebody"/>
              <w:spacing w:before="20" w:after="16"/>
              <w:rPr>
                <w:highlight w:val="green"/>
              </w:rPr>
            </w:pPr>
            <w:r w:rsidRPr="00AE697F">
              <w:t>Termination benefits</w:t>
            </w:r>
          </w:p>
        </w:tc>
        <w:tc>
          <w:tcPr>
            <w:tcW w:w="1361" w:type="dxa"/>
            <w:tcBorders>
              <w:top w:val="single" w:sz="4" w:space="0" w:color="A6A6A6"/>
              <w:bottom w:val="single" w:sz="4" w:space="0" w:color="A6A6A6"/>
            </w:tcBorders>
            <w:shd w:val="clear" w:color="auto" w:fill="E7E6E6"/>
            <w:noWrap/>
          </w:tcPr>
          <w:p w14:paraId="1BAF11C1" w14:textId="77777777" w:rsidR="005B131E" w:rsidRPr="00BA7805" w:rsidRDefault="005B131E" w:rsidP="002542E1">
            <w:pPr>
              <w:pStyle w:val="ARfintablebodyright"/>
              <w:spacing w:before="20" w:after="16"/>
              <w:rPr>
                <w:highlight w:val="green"/>
              </w:rPr>
            </w:pPr>
            <w:r>
              <w:t>5.2</w:t>
            </w:r>
          </w:p>
        </w:tc>
        <w:tc>
          <w:tcPr>
            <w:tcW w:w="1361" w:type="dxa"/>
            <w:tcBorders>
              <w:top w:val="single" w:sz="4" w:space="0" w:color="A6A6A6"/>
              <w:bottom w:val="single" w:sz="4" w:space="0" w:color="A6A6A6"/>
            </w:tcBorders>
            <w:noWrap/>
          </w:tcPr>
          <w:p w14:paraId="2648D535" w14:textId="77777777" w:rsidR="005B131E" w:rsidRPr="00BA7805" w:rsidRDefault="005B131E" w:rsidP="002542E1">
            <w:pPr>
              <w:pStyle w:val="ARfintablebodyright"/>
              <w:spacing w:before="20" w:after="16"/>
              <w:rPr>
                <w:highlight w:val="green"/>
              </w:rPr>
            </w:pPr>
            <w:r w:rsidRPr="00611780">
              <w:t>0.9</w:t>
            </w:r>
          </w:p>
        </w:tc>
      </w:tr>
      <w:tr w:rsidR="005B131E" w:rsidRPr="00BA7805" w14:paraId="30924F0A" w14:textId="77777777">
        <w:tc>
          <w:tcPr>
            <w:tcW w:w="6915" w:type="dxa"/>
            <w:tcBorders>
              <w:top w:val="single" w:sz="4" w:space="0" w:color="A6A6A6"/>
            </w:tcBorders>
          </w:tcPr>
          <w:p w14:paraId="45533BDC" w14:textId="77777777" w:rsidR="005B131E" w:rsidRPr="001C07B2" w:rsidRDefault="005B131E" w:rsidP="002542E1">
            <w:pPr>
              <w:pStyle w:val="ARfintablebodybold"/>
              <w:rPr>
                <w:highlight w:val="green"/>
              </w:rPr>
            </w:pPr>
            <w:r w:rsidRPr="001C07B2">
              <w:t xml:space="preserve">Total remuneration </w:t>
            </w:r>
            <w:r w:rsidRPr="001C07B2">
              <w:rPr>
                <w:vertAlign w:val="superscript"/>
              </w:rPr>
              <w:t>(i)(ii)</w:t>
            </w:r>
          </w:p>
        </w:tc>
        <w:tc>
          <w:tcPr>
            <w:tcW w:w="1361" w:type="dxa"/>
            <w:tcBorders>
              <w:top w:val="single" w:sz="4" w:space="0" w:color="A6A6A6"/>
            </w:tcBorders>
            <w:shd w:val="clear" w:color="auto" w:fill="E7E6E6"/>
            <w:noWrap/>
          </w:tcPr>
          <w:p w14:paraId="252C39DF" w14:textId="77777777" w:rsidR="005B131E" w:rsidRPr="001C07B2" w:rsidRDefault="005B131E" w:rsidP="002542E1">
            <w:pPr>
              <w:pStyle w:val="ARfintablebodyrightbold"/>
              <w:rPr>
                <w:highlight w:val="green"/>
              </w:rPr>
            </w:pPr>
            <w:r>
              <w:t>57.5</w:t>
            </w:r>
          </w:p>
        </w:tc>
        <w:tc>
          <w:tcPr>
            <w:tcW w:w="1361" w:type="dxa"/>
            <w:tcBorders>
              <w:top w:val="single" w:sz="4" w:space="0" w:color="A6A6A6"/>
            </w:tcBorders>
            <w:noWrap/>
          </w:tcPr>
          <w:p w14:paraId="2CB4D669" w14:textId="77777777" w:rsidR="005B131E" w:rsidRPr="001C07B2" w:rsidRDefault="005B131E" w:rsidP="002542E1">
            <w:pPr>
              <w:pStyle w:val="ARfintablebodyrightbold"/>
              <w:rPr>
                <w:highlight w:val="green"/>
              </w:rPr>
            </w:pPr>
            <w:r w:rsidRPr="001C07B2">
              <w:t>54.2</w:t>
            </w:r>
          </w:p>
        </w:tc>
      </w:tr>
      <w:tr w:rsidR="005B131E" w:rsidRPr="00BA7805" w14:paraId="0FA09CF4" w14:textId="77777777">
        <w:tc>
          <w:tcPr>
            <w:tcW w:w="6915" w:type="dxa"/>
            <w:tcBorders>
              <w:top w:val="single" w:sz="4" w:space="0" w:color="A6A6A6"/>
            </w:tcBorders>
          </w:tcPr>
          <w:p w14:paraId="77EF04C0" w14:textId="77777777" w:rsidR="005B131E" w:rsidRPr="00BA7805" w:rsidRDefault="005B131E" w:rsidP="002542E1">
            <w:pPr>
              <w:pStyle w:val="ARfintablebodybold"/>
              <w:spacing w:before="20" w:after="16"/>
              <w:rPr>
                <w:highlight w:val="green"/>
              </w:rPr>
            </w:pPr>
            <w:r w:rsidRPr="00AE697F">
              <w:t xml:space="preserve">Total number of executives </w:t>
            </w:r>
            <w:r w:rsidRPr="00557812">
              <w:rPr>
                <w:vertAlign w:val="superscript"/>
              </w:rPr>
              <w:t>(i)(ii)</w:t>
            </w:r>
          </w:p>
        </w:tc>
        <w:tc>
          <w:tcPr>
            <w:tcW w:w="1361" w:type="dxa"/>
            <w:tcBorders>
              <w:top w:val="single" w:sz="4" w:space="0" w:color="A6A6A6"/>
            </w:tcBorders>
            <w:shd w:val="clear" w:color="auto" w:fill="E7E6E6"/>
            <w:noWrap/>
          </w:tcPr>
          <w:p w14:paraId="27963CF4" w14:textId="77777777" w:rsidR="005B131E" w:rsidRPr="00BA7805" w:rsidRDefault="005B131E" w:rsidP="002542E1">
            <w:pPr>
              <w:pStyle w:val="ARfintablebodyrightbold"/>
              <w:rPr>
                <w:highlight w:val="green"/>
              </w:rPr>
            </w:pPr>
            <w:r>
              <w:t>256</w:t>
            </w:r>
          </w:p>
        </w:tc>
        <w:tc>
          <w:tcPr>
            <w:tcW w:w="1361" w:type="dxa"/>
            <w:tcBorders>
              <w:top w:val="single" w:sz="4" w:space="0" w:color="A6A6A6"/>
            </w:tcBorders>
            <w:noWrap/>
          </w:tcPr>
          <w:p w14:paraId="49AD1237" w14:textId="77777777" w:rsidR="005B131E" w:rsidRPr="00BA7805" w:rsidRDefault="005B131E" w:rsidP="002542E1">
            <w:pPr>
              <w:pStyle w:val="ARfintablebodyrightbold"/>
              <w:rPr>
                <w:highlight w:val="green"/>
              </w:rPr>
            </w:pPr>
            <w:r w:rsidRPr="00611780">
              <w:t>269</w:t>
            </w:r>
          </w:p>
        </w:tc>
      </w:tr>
      <w:tr w:rsidR="005B131E" w:rsidRPr="00BA7805" w14:paraId="27FD3A29" w14:textId="77777777" w:rsidTr="003D7AC8">
        <w:tc>
          <w:tcPr>
            <w:tcW w:w="6915" w:type="dxa"/>
          </w:tcPr>
          <w:p w14:paraId="1FB1EF5F" w14:textId="77777777" w:rsidR="005B131E" w:rsidRPr="00BA7805" w:rsidRDefault="005B131E" w:rsidP="002542E1">
            <w:pPr>
              <w:pStyle w:val="ARfintablebodybold"/>
              <w:spacing w:before="20" w:after="16"/>
              <w:rPr>
                <w:highlight w:val="green"/>
              </w:rPr>
            </w:pPr>
            <w:r w:rsidRPr="00AE697F">
              <w:t xml:space="preserve">Total annualised employee equivalent (AEE) </w:t>
            </w:r>
            <w:r w:rsidRPr="00557812">
              <w:rPr>
                <w:vertAlign w:val="superscript"/>
              </w:rPr>
              <w:t>(i)(ii)(iii)</w:t>
            </w:r>
          </w:p>
        </w:tc>
        <w:tc>
          <w:tcPr>
            <w:tcW w:w="1361" w:type="dxa"/>
            <w:shd w:val="clear" w:color="auto" w:fill="E7E6E6"/>
            <w:noWrap/>
          </w:tcPr>
          <w:p w14:paraId="0838C1DE" w14:textId="77777777" w:rsidR="005B131E" w:rsidRPr="00BA7805" w:rsidRDefault="005B131E" w:rsidP="002542E1">
            <w:pPr>
              <w:pStyle w:val="ARfintablebodyrightbold"/>
              <w:rPr>
                <w:highlight w:val="green"/>
              </w:rPr>
            </w:pPr>
            <w:r w:rsidRPr="00611780">
              <w:t>193.4</w:t>
            </w:r>
          </w:p>
        </w:tc>
        <w:tc>
          <w:tcPr>
            <w:tcW w:w="1361" w:type="dxa"/>
            <w:noWrap/>
          </w:tcPr>
          <w:p w14:paraId="04721787" w14:textId="77777777" w:rsidR="005B131E" w:rsidRPr="00BA7805" w:rsidRDefault="005B131E" w:rsidP="002542E1">
            <w:pPr>
              <w:pStyle w:val="ARfintablebodyrightbold"/>
              <w:rPr>
                <w:highlight w:val="green"/>
              </w:rPr>
            </w:pPr>
            <w:r w:rsidRPr="00611780">
              <w:t>204.6</w:t>
            </w:r>
          </w:p>
        </w:tc>
      </w:tr>
    </w:tbl>
    <w:p w14:paraId="38ACFF80" w14:textId="77777777" w:rsidR="005B131E" w:rsidRPr="003520D6" w:rsidRDefault="005B131E" w:rsidP="002542E1">
      <w:pPr>
        <w:pStyle w:val="ARfintablefootnote"/>
        <w:rPr>
          <w:lang w:eastAsia="en-AU"/>
        </w:rPr>
      </w:pPr>
      <w:r w:rsidRPr="003520D6">
        <w:rPr>
          <w:lang w:eastAsia="en-AU"/>
        </w:rPr>
        <w:t>Notes:</w:t>
      </w:r>
    </w:p>
    <w:p w14:paraId="5FD2ABB6" w14:textId="77777777" w:rsidR="005B131E" w:rsidRDefault="005B131E" w:rsidP="002542E1">
      <w:pPr>
        <w:pStyle w:val="ARfintablefootnotetabindent"/>
      </w:pPr>
      <w:r>
        <w:t xml:space="preserve">(i) </w:t>
      </w:r>
      <w:r>
        <w:tab/>
        <w:t>Remuneration of KMPs seconded from other departments are not included.</w:t>
      </w:r>
    </w:p>
    <w:p w14:paraId="301259A2" w14:textId="77777777" w:rsidR="005B131E" w:rsidRDefault="005B131E" w:rsidP="002542E1">
      <w:pPr>
        <w:pStyle w:val="ARfintablefootnotetabindent"/>
      </w:pPr>
      <w:r>
        <w:t xml:space="preserve">(ii) </w:t>
      </w:r>
      <w:r>
        <w:tab/>
        <w:t>Total figures for 2022–23 and 2023–24 include the remuneration of the CFO who delivered services, as an executive officer to the department but is employed by the Department of Treasury and Finance.</w:t>
      </w:r>
    </w:p>
    <w:p w14:paraId="4B0560A3" w14:textId="77777777" w:rsidR="005B131E" w:rsidRPr="00BA7805" w:rsidRDefault="005B131E" w:rsidP="002542E1">
      <w:pPr>
        <w:pStyle w:val="ARfintablefootnotetabindent"/>
        <w:rPr>
          <w:highlight w:val="green"/>
        </w:rPr>
      </w:pPr>
      <w:r>
        <w:t xml:space="preserve">(iii) </w:t>
      </w:r>
      <w:r>
        <w:tab/>
        <w:t>Annualised employee equivalent is based on the time fraction worked over the reporting period.</w:t>
      </w:r>
    </w:p>
    <w:p w14:paraId="28591D51" w14:textId="77777777" w:rsidR="005B131E" w:rsidRPr="003520D6" w:rsidRDefault="005B131E">
      <w:pPr>
        <w:pStyle w:val="Heading4"/>
        <w:spacing w:before="160" w:after="60"/>
        <w:rPr>
          <w:lang w:eastAsia="en-AU"/>
        </w:rPr>
      </w:pPr>
      <w:r w:rsidRPr="003520D6">
        <w:rPr>
          <w:lang w:eastAsia="en-AU"/>
        </w:rPr>
        <w:t>9.8 Related parties</w:t>
      </w:r>
    </w:p>
    <w:p w14:paraId="7DC66691" w14:textId="77777777" w:rsidR="005B131E" w:rsidRDefault="005B131E" w:rsidP="002542E1">
      <w:pPr>
        <w:pStyle w:val="ARfinbody"/>
      </w:pPr>
      <w:r>
        <w:t>The department is a wholly owned and controlled entity of the State of Victoria.</w:t>
      </w:r>
    </w:p>
    <w:p w14:paraId="3F59C715" w14:textId="45564C30" w:rsidR="005B131E" w:rsidRDefault="005B131E" w:rsidP="002542E1">
      <w:pPr>
        <w:pStyle w:val="ARfinbody"/>
      </w:pPr>
      <w:r>
        <w:t>The following entities have been included into the department</w:t>
      </w:r>
      <w:r w:rsidR="00711AE6">
        <w:t>’</w:t>
      </w:r>
      <w:r>
        <w:t xml:space="preserve">s financial statements pursuant to the determination made by the Assistant Treasurer under s. 53(1)(b) of the </w:t>
      </w:r>
      <w:r w:rsidRPr="002B2644">
        <w:rPr>
          <w:rStyle w:val="Emphasis"/>
        </w:rPr>
        <w:t>Financial Management Act 1994</w:t>
      </w:r>
      <w:r>
        <w:t>:</w:t>
      </w:r>
    </w:p>
    <w:p w14:paraId="72373496" w14:textId="77777777" w:rsidR="005B131E" w:rsidRDefault="005B131E" w:rsidP="002542E1">
      <w:pPr>
        <w:pStyle w:val="ARfinbullet1"/>
      </w:pPr>
      <w:r>
        <w:t>Commission for Children and Young People</w:t>
      </w:r>
    </w:p>
    <w:p w14:paraId="4AE95507" w14:textId="77777777" w:rsidR="005B131E" w:rsidRDefault="005B131E" w:rsidP="002542E1">
      <w:pPr>
        <w:pStyle w:val="ARfinbullet1"/>
      </w:pPr>
      <w:r>
        <w:t xml:space="preserve">Homes Victoria </w:t>
      </w:r>
    </w:p>
    <w:p w14:paraId="746FD52A" w14:textId="77777777" w:rsidR="005B131E" w:rsidRDefault="005B131E" w:rsidP="002542E1">
      <w:pPr>
        <w:pStyle w:val="ARfinbullet1"/>
      </w:pPr>
      <w:r>
        <w:t>Disability Worker Registration Board</w:t>
      </w:r>
    </w:p>
    <w:p w14:paraId="0151B47B" w14:textId="77777777" w:rsidR="005B131E" w:rsidRDefault="005B131E" w:rsidP="002542E1">
      <w:pPr>
        <w:pStyle w:val="ARfinbullet1"/>
      </w:pPr>
      <w:r>
        <w:t xml:space="preserve">Victorian Disability Worker Commission </w:t>
      </w:r>
    </w:p>
    <w:p w14:paraId="36858EDA" w14:textId="77777777" w:rsidR="005B131E" w:rsidRDefault="005B131E" w:rsidP="002542E1">
      <w:pPr>
        <w:pStyle w:val="ARfinbullet1"/>
      </w:pPr>
      <w:r>
        <w:t>Respect Victoria</w:t>
      </w:r>
    </w:p>
    <w:p w14:paraId="3CC61591" w14:textId="77777777" w:rsidR="005B131E" w:rsidRDefault="005B131E" w:rsidP="002542E1">
      <w:pPr>
        <w:pStyle w:val="ARfinbullet1"/>
      </w:pPr>
      <w:r>
        <w:t>Victorian Multicultural Commission</w:t>
      </w:r>
    </w:p>
    <w:p w14:paraId="16362ED9" w14:textId="3999EFA5" w:rsidR="005B131E" w:rsidRDefault="005B131E" w:rsidP="002542E1">
      <w:pPr>
        <w:pStyle w:val="ARfinbullet1"/>
      </w:pPr>
      <w:r>
        <w:t>Victorian Veterans Council</w:t>
      </w:r>
      <w:r w:rsidR="00317596">
        <w:t>.</w:t>
      </w:r>
    </w:p>
    <w:p w14:paraId="37B00623" w14:textId="77777777" w:rsidR="005B131E" w:rsidRDefault="005B131E" w:rsidP="002542E1">
      <w:pPr>
        <w:pStyle w:val="ARfinbody"/>
      </w:pPr>
      <w:r>
        <w:t>Related parties of the department and the abovementioned administrative offices and entities include:</w:t>
      </w:r>
    </w:p>
    <w:p w14:paraId="76E8353E" w14:textId="77777777" w:rsidR="005B131E" w:rsidRDefault="005B131E" w:rsidP="002542E1">
      <w:pPr>
        <w:pStyle w:val="ARfinbullet1"/>
      </w:pPr>
      <w:r>
        <w:t>all key management personnel and their close family members and personal business interests (controlled entities, joint ventures and entities they have significant influence over)</w:t>
      </w:r>
    </w:p>
    <w:p w14:paraId="454F8522" w14:textId="77777777" w:rsidR="005B131E" w:rsidRDefault="005B131E" w:rsidP="002542E1">
      <w:pPr>
        <w:pStyle w:val="ARfinbullet1"/>
      </w:pPr>
      <w:r>
        <w:t>all cabinet ministers and their close family members</w:t>
      </w:r>
    </w:p>
    <w:p w14:paraId="16B33BB3" w14:textId="77777777" w:rsidR="005B131E" w:rsidRDefault="005B131E" w:rsidP="002542E1">
      <w:pPr>
        <w:pStyle w:val="ARfinbullet1"/>
      </w:pPr>
      <w:r>
        <w:t>all departments and public sector entities that are controlled and consolidated into the whole of state consolidated financial statements.</w:t>
      </w:r>
    </w:p>
    <w:p w14:paraId="75060D67" w14:textId="1AB5966C" w:rsidR="005B131E" w:rsidRDefault="005B131E" w:rsidP="002542E1">
      <w:pPr>
        <w:pStyle w:val="ARfinbody"/>
      </w:pPr>
      <w:r>
        <w:t>All related party transactions have been entered into on an arm</w:t>
      </w:r>
      <w:r w:rsidR="00711AE6">
        <w:t>’</w:t>
      </w:r>
      <w:r>
        <w:t>s length basis.</w:t>
      </w:r>
    </w:p>
    <w:p w14:paraId="043D1E49" w14:textId="77777777" w:rsidR="005B131E" w:rsidRDefault="005B131E" w:rsidP="002542E1">
      <w:pPr>
        <w:pStyle w:val="Heading5"/>
      </w:pPr>
      <w:r>
        <w:t>Significant transactions with government-related entities</w:t>
      </w:r>
    </w:p>
    <w:p w14:paraId="37BF7F5B" w14:textId="77777777" w:rsidR="005B131E" w:rsidRDefault="005B131E" w:rsidP="002542E1">
      <w:pPr>
        <w:pStyle w:val="ARfinbody"/>
      </w:pPr>
      <w:r>
        <w:t>The department received funding and made payments to the Consolidated Fund of $418.2 million (2023: $442.9 million) and $4,443.6 million (2023: $4,010.7 million) respectively.</w:t>
      </w:r>
    </w:p>
    <w:p w14:paraId="48859FAC" w14:textId="77777777" w:rsidR="005B131E" w:rsidRDefault="005B131E" w:rsidP="002542E1">
      <w:pPr>
        <w:pStyle w:val="ARfinbody"/>
      </w:pPr>
      <w:r>
        <w:t>Refer to Note 2.4.2 and 3.1.2 for other government-related entity transactions.</w:t>
      </w:r>
    </w:p>
    <w:p w14:paraId="494B6C9D" w14:textId="77777777" w:rsidR="005B131E" w:rsidRDefault="005B131E" w:rsidP="002542E1">
      <w:pPr>
        <w:pStyle w:val="Heading5"/>
      </w:pPr>
      <w:r>
        <w:t>Key management personnel</w:t>
      </w:r>
    </w:p>
    <w:p w14:paraId="6D92A8C9" w14:textId="43585D90" w:rsidR="005B131E" w:rsidRDefault="005B131E" w:rsidP="002542E1">
      <w:pPr>
        <w:pStyle w:val="ARfinbodylargespace"/>
        <w:rPr>
          <w:highlight w:val="green"/>
        </w:rPr>
      </w:pPr>
      <w:r w:rsidRPr="004C454B">
        <w:rPr>
          <w:rStyle w:val="Strong"/>
        </w:rPr>
        <w:t>Key management personnel</w:t>
      </w:r>
      <w:r>
        <w:t xml:space="preserve"> of the department include the Portfolio Ministers: Hon Lizzie Blandthorn, The Hon Colin Brooks, The Hon Harriet Shing, The Hon Ros Spence, The Hon Vicki Ward, The Hon Natalie Suleyman, Ingrid Stitt</w:t>
      </w:r>
      <w:r w:rsidR="00B5402B">
        <w:t xml:space="preserve"> MP</w:t>
      </w:r>
      <w:r>
        <w:t>, The Hon Natalie Hutchins, The Hon Gayle Tierney, The Hon Danny Pearson, The Hon Steve Dimopoulos, The Hon Lily D</w:t>
      </w:r>
      <w:r w:rsidR="00711AE6">
        <w:t>’</w:t>
      </w:r>
      <w:r>
        <w:t>Ambrosio, The Hon Mary-Anne Thomas, Secretary Peta McCammon and members of the senior executive team, which includes:</w:t>
      </w:r>
    </w:p>
    <w:tbl>
      <w:tblPr>
        <w:tblStyle w:val="TableGrid"/>
        <w:tblW w:w="9639" w:type="dxa"/>
        <w:tblLook w:val="06A0" w:firstRow="1" w:lastRow="0" w:firstColumn="1" w:lastColumn="0" w:noHBand="1" w:noVBand="1"/>
      </w:tblPr>
      <w:tblGrid>
        <w:gridCol w:w="2211"/>
        <w:gridCol w:w="1758"/>
        <w:gridCol w:w="1980"/>
        <w:gridCol w:w="3690"/>
      </w:tblGrid>
      <w:tr w:rsidR="005B131E" w:rsidRPr="00BA7805" w14:paraId="745B8EB4"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2211" w:type="dxa"/>
            <w:tcBorders>
              <w:bottom w:val="single" w:sz="4" w:space="0" w:color="auto"/>
            </w:tcBorders>
            <w:noWrap/>
          </w:tcPr>
          <w:p w14:paraId="2E621A7C" w14:textId="77777777" w:rsidR="005B131E" w:rsidRPr="004C454B" w:rsidRDefault="005B131E">
            <w:pPr>
              <w:pStyle w:val="ARfintablecolhead"/>
            </w:pPr>
            <w:r w:rsidRPr="004C454B">
              <w:t>Entity</w:t>
            </w:r>
          </w:p>
        </w:tc>
        <w:tc>
          <w:tcPr>
            <w:tcW w:w="1758" w:type="dxa"/>
            <w:tcBorders>
              <w:bottom w:val="single" w:sz="4" w:space="0" w:color="auto"/>
            </w:tcBorders>
            <w:noWrap/>
          </w:tcPr>
          <w:p w14:paraId="049EDD71" w14:textId="77777777" w:rsidR="005B131E" w:rsidRPr="004C454B" w:rsidRDefault="005B131E">
            <w:pPr>
              <w:pStyle w:val="ARfintablecolhead"/>
            </w:pPr>
            <w:r w:rsidRPr="004C454B">
              <w:t>Key management personnel</w:t>
            </w:r>
          </w:p>
        </w:tc>
        <w:tc>
          <w:tcPr>
            <w:tcW w:w="1980" w:type="dxa"/>
            <w:tcBorders>
              <w:bottom w:val="single" w:sz="4" w:space="0" w:color="auto"/>
            </w:tcBorders>
          </w:tcPr>
          <w:p w14:paraId="5DA1FC16" w14:textId="77777777" w:rsidR="005B131E" w:rsidRPr="004C454B" w:rsidRDefault="005B131E">
            <w:pPr>
              <w:pStyle w:val="ARfintablecolhead"/>
            </w:pPr>
            <w:r w:rsidRPr="004C454B">
              <w:t>Position title</w:t>
            </w:r>
          </w:p>
        </w:tc>
        <w:tc>
          <w:tcPr>
            <w:tcW w:w="3690" w:type="dxa"/>
            <w:tcBorders>
              <w:bottom w:val="single" w:sz="4" w:space="0" w:color="auto"/>
            </w:tcBorders>
            <w:noWrap/>
          </w:tcPr>
          <w:p w14:paraId="2A50AF23" w14:textId="77777777" w:rsidR="005B131E" w:rsidRPr="004C454B" w:rsidRDefault="005B131E">
            <w:pPr>
              <w:pStyle w:val="ARfintablecolhead"/>
            </w:pPr>
            <w:r w:rsidRPr="004C454B">
              <w:t>Period</w:t>
            </w:r>
          </w:p>
        </w:tc>
      </w:tr>
      <w:tr w:rsidR="005B131E" w:rsidRPr="00BA7805" w14:paraId="20822A95" w14:textId="77777777" w:rsidTr="002542E1">
        <w:tc>
          <w:tcPr>
            <w:tcW w:w="2211" w:type="dxa"/>
            <w:tcBorders>
              <w:top w:val="single" w:sz="4" w:space="0" w:color="auto"/>
              <w:bottom w:val="single" w:sz="4" w:space="0" w:color="A6A6A6"/>
            </w:tcBorders>
            <w:noWrap/>
          </w:tcPr>
          <w:p w14:paraId="777E8A0C"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uto"/>
              <w:bottom w:val="single" w:sz="4" w:space="0" w:color="A6A6A6"/>
            </w:tcBorders>
            <w:noWrap/>
          </w:tcPr>
          <w:p w14:paraId="4C82D589" w14:textId="77777777" w:rsidR="005B131E" w:rsidRPr="00BA7805" w:rsidRDefault="005B131E" w:rsidP="002542E1">
            <w:pPr>
              <w:pStyle w:val="ARfintablebody"/>
              <w:rPr>
                <w:highlight w:val="green"/>
              </w:rPr>
            </w:pPr>
            <w:r w:rsidRPr="00BD192E">
              <w:t>Nicola Quin</w:t>
            </w:r>
          </w:p>
        </w:tc>
        <w:tc>
          <w:tcPr>
            <w:tcW w:w="1980" w:type="dxa"/>
            <w:tcBorders>
              <w:top w:val="single" w:sz="4" w:space="0" w:color="auto"/>
              <w:bottom w:val="single" w:sz="4" w:space="0" w:color="A6A6A6"/>
            </w:tcBorders>
          </w:tcPr>
          <w:p w14:paraId="5246C741" w14:textId="77777777" w:rsidR="005B131E" w:rsidRPr="00BA7805" w:rsidRDefault="005B131E" w:rsidP="002542E1">
            <w:pPr>
              <w:pStyle w:val="ARfintablebody"/>
              <w:rPr>
                <w:highlight w:val="green"/>
              </w:rPr>
            </w:pPr>
            <w:r w:rsidRPr="00BD192E">
              <w:t>Deputy Secretary</w:t>
            </w:r>
          </w:p>
        </w:tc>
        <w:tc>
          <w:tcPr>
            <w:tcW w:w="3690" w:type="dxa"/>
            <w:tcBorders>
              <w:top w:val="single" w:sz="4" w:space="0" w:color="auto"/>
              <w:bottom w:val="single" w:sz="4" w:space="0" w:color="A6A6A6"/>
            </w:tcBorders>
            <w:noWrap/>
          </w:tcPr>
          <w:p w14:paraId="0056E454" w14:textId="77777777" w:rsidR="005B131E" w:rsidRPr="00BA7805" w:rsidRDefault="005B131E" w:rsidP="002542E1">
            <w:pPr>
              <w:pStyle w:val="ARfintablebody"/>
              <w:rPr>
                <w:highlight w:val="green"/>
              </w:rPr>
            </w:pPr>
            <w:r w:rsidRPr="00BD192E">
              <w:t>1 July 2023 to 30 June 2024</w:t>
            </w:r>
          </w:p>
        </w:tc>
      </w:tr>
      <w:tr w:rsidR="005B131E" w:rsidRPr="00BA7805" w14:paraId="4C1ED6B7" w14:textId="77777777" w:rsidTr="002542E1">
        <w:trPr>
          <w:trHeight w:val="813"/>
        </w:trPr>
        <w:tc>
          <w:tcPr>
            <w:tcW w:w="2211" w:type="dxa"/>
            <w:tcBorders>
              <w:top w:val="single" w:sz="4" w:space="0" w:color="A6A6A6"/>
              <w:bottom w:val="single" w:sz="4" w:space="0" w:color="A6A6A6" w:themeColor="accent5"/>
            </w:tcBorders>
            <w:noWrap/>
          </w:tcPr>
          <w:p w14:paraId="3CA85538"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hemeColor="accent5"/>
            </w:tcBorders>
            <w:noWrap/>
          </w:tcPr>
          <w:p w14:paraId="20DA2B53" w14:textId="77777777" w:rsidR="005B131E" w:rsidRPr="00BA7805" w:rsidRDefault="005B131E" w:rsidP="002542E1">
            <w:pPr>
              <w:pStyle w:val="ARfintablebody"/>
              <w:rPr>
                <w:highlight w:val="green"/>
              </w:rPr>
            </w:pPr>
            <w:r w:rsidRPr="00BD192E">
              <w:t>Cynthia Lahiff</w:t>
            </w:r>
          </w:p>
        </w:tc>
        <w:tc>
          <w:tcPr>
            <w:tcW w:w="1980" w:type="dxa"/>
            <w:tcBorders>
              <w:top w:val="single" w:sz="4" w:space="0" w:color="A6A6A6"/>
              <w:bottom w:val="single" w:sz="4" w:space="0" w:color="A6A6A6" w:themeColor="accent5"/>
            </w:tcBorders>
          </w:tcPr>
          <w:p w14:paraId="6CBCCACB" w14:textId="77777777" w:rsidR="005B131E" w:rsidRPr="00BA7805" w:rsidRDefault="005B131E" w:rsidP="002542E1">
            <w:pPr>
              <w:pStyle w:val="ARfintablebody"/>
              <w:rPr>
                <w:highlight w:val="green"/>
              </w:rPr>
            </w:pPr>
            <w:r w:rsidRPr="00BD192E">
              <w:t>Acting Deputy Secretary</w:t>
            </w:r>
          </w:p>
        </w:tc>
        <w:tc>
          <w:tcPr>
            <w:tcW w:w="3690" w:type="dxa"/>
            <w:tcBorders>
              <w:top w:val="single" w:sz="4" w:space="0" w:color="A6A6A6"/>
              <w:bottom w:val="single" w:sz="4" w:space="0" w:color="A6A6A6" w:themeColor="accent5"/>
            </w:tcBorders>
            <w:noWrap/>
          </w:tcPr>
          <w:p w14:paraId="21BCBE11" w14:textId="77777777" w:rsidR="005B131E" w:rsidRPr="003E5A11" w:rsidRDefault="005B131E" w:rsidP="002542E1">
            <w:pPr>
              <w:pStyle w:val="ARfintablebody"/>
            </w:pPr>
            <w:r w:rsidRPr="00BD192E">
              <w:t>25 September 2023 to 29</w:t>
            </w:r>
            <w:r>
              <w:t> </w:t>
            </w:r>
            <w:r w:rsidRPr="00BD192E">
              <w:t>September</w:t>
            </w:r>
            <w:r>
              <w:t> </w:t>
            </w:r>
            <w:r w:rsidRPr="00BD192E">
              <w:t>2023</w:t>
            </w:r>
          </w:p>
          <w:p w14:paraId="60D45071" w14:textId="77777777" w:rsidR="005B131E" w:rsidRPr="003E5A11" w:rsidRDefault="005B131E" w:rsidP="002542E1">
            <w:pPr>
              <w:pStyle w:val="ARfintablebody"/>
            </w:pPr>
            <w:r w:rsidRPr="00BD192E">
              <w:t>20 May 2024 to 3 June 202</w:t>
            </w:r>
            <w:r>
              <w:t>4</w:t>
            </w:r>
          </w:p>
        </w:tc>
      </w:tr>
      <w:tr w:rsidR="005B131E" w:rsidRPr="00BA7805" w14:paraId="18949BCD" w14:textId="77777777" w:rsidTr="002542E1">
        <w:tc>
          <w:tcPr>
            <w:tcW w:w="2211" w:type="dxa"/>
            <w:tcBorders>
              <w:top w:val="single" w:sz="4" w:space="0" w:color="A6A6A6" w:themeColor="accent5"/>
              <w:bottom w:val="single" w:sz="4" w:space="0" w:color="A6A6A6" w:themeColor="accent5"/>
            </w:tcBorders>
            <w:noWrap/>
          </w:tcPr>
          <w:p w14:paraId="56201840"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themeColor="accent5"/>
              <w:bottom w:val="single" w:sz="4" w:space="0" w:color="A6A6A6" w:themeColor="accent5"/>
            </w:tcBorders>
            <w:noWrap/>
          </w:tcPr>
          <w:p w14:paraId="284F2D10" w14:textId="77777777" w:rsidR="005B131E" w:rsidRPr="00BA7805" w:rsidRDefault="005B131E" w:rsidP="002542E1">
            <w:pPr>
              <w:pStyle w:val="ARfintablebody"/>
              <w:rPr>
                <w:highlight w:val="green"/>
              </w:rPr>
            </w:pPr>
            <w:r w:rsidRPr="00BD192E">
              <w:t>Raylene Harradine</w:t>
            </w:r>
          </w:p>
        </w:tc>
        <w:tc>
          <w:tcPr>
            <w:tcW w:w="1980" w:type="dxa"/>
            <w:tcBorders>
              <w:top w:val="single" w:sz="4" w:space="0" w:color="A6A6A6" w:themeColor="accent5"/>
              <w:bottom w:val="single" w:sz="4" w:space="0" w:color="A6A6A6" w:themeColor="accent5"/>
            </w:tcBorders>
          </w:tcPr>
          <w:p w14:paraId="0080822D" w14:textId="77777777" w:rsidR="005B131E" w:rsidRPr="00BA7805" w:rsidRDefault="005B131E" w:rsidP="002542E1">
            <w:pPr>
              <w:pStyle w:val="ARfintablebody"/>
              <w:rPr>
                <w:highlight w:val="green"/>
              </w:rPr>
            </w:pPr>
            <w:r w:rsidRPr="00BD192E">
              <w:t xml:space="preserve">Deputy Secretary, Aboriginal </w:t>
            </w:r>
            <w:r>
              <w:br/>
            </w:r>
            <w:r w:rsidRPr="00BD192E">
              <w:t>Self-Determination &amp;</w:t>
            </w:r>
            <w:r>
              <w:t> </w:t>
            </w:r>
            <w:r w:rsidRPr="00BD192E">
              <w:t>Outcomes</w:t>
            </w:r>
          </w:p>
        </w:tc>
        <w:tc>
          <w:tcPr>
            <w:tcW w:w="3690" w:type="dxa"/>
            <w:tcBorders>
              <w:top w:val="single" w:sz="4" w:space="0" w:color="A6A6A6" w:themeColor="accent5"/>
              <w:bottom w:val="single" w:sz="4" w:space="0" w:color="A6A6A6" w:themeColor="accent5"/>
            </w:tcBorders>
            <w:noWrap/>
          </w:tcPr>
          <w:p w14:paraId="5D0EB723" w14:textId="77777777" w:rsidR="005B131E" w:rsidRPr="00BA7805" w:rsidRDefault="005B131E" w:rsidP="002542E1">
            <w:pPr>
              <w:pStyle w:val="ARfintablebody"/>
              <w:rPr>
                <w:highlight w:val="green"/>
              </w:rPr>
            </w:pPr>
            <w:r w:rsidRPr="00BD192E">
              <w:t>1 July 2023 to 30 June 2024</w:t>
            </w:r>
          </w:p>
        </w:tc>
      </w:tr>
      <w:tr w:rsidR="005B131E" w:rsidRPr="00BA7805" w14:paraId="25DA4EC8" w14:textId="77777777" w:rsidTr="002542E1">
        <w:tc>
          <w:tcPr>
            <w:tcW w:w="2211" w:type="dxa"/>
            <w:tcBorders>
              <w:top w:val="single" w:sz="4" w:space="0" w:color="A6A6A6" w:themeColor="accent5"/>
              <w:bottom w:val="single" w:sz="4" w:space="0" w:color="A6A6A6" w:themeColor="accent5"/>
            </w:tcBorders>
            <w:noWrap/>
          </w:tcPr>
          <w:p w14:paraId="1829BD80"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themeColor="accent5"/>
              <w:bottom w:val="single" w:sz="4" w:space="0" w:color="A6A6A6" w:themeColor="accent5"/>
            </w:tcBorders>
            <w:noWrap/>
          </w:tcPr>
          <w:p w14:paraId="1457898E" w14:textId="77777777" w:rsidR="005B131E" w:rsidRPr="00BA7805" w:rsidRDefault="005B131E" w:rsidP="002542E1">
            <w:pPr>
              <w:pStyle w:val="ARfintablebody"/>
              <w:rPr>
                <w:highlight w:val="green"/>
              </w:rPr>
            </w:pPr>
            <w:r w:rsidRPr="00BD192E">
              <w:t>Annette Lowery</w:t>
            </w:r>
          </w:p>
        </w:tc>
        <w:tc>
          <w:tcPr>
            <w:tcW w:w="1980" w:type="dxa"/>
            <w:tcBorders>
              <w:top w:val="single" w:sz="4" w:space="0" w:color="A6A6A6" w:themeColor="accent5"/>
              <w:bottom w:val="single" w:sz="4" w:space="0" w:color="A6A6A6" w:themeColor="accent5"/>
            </w:tcBorders>
          </w:tcPr>
          <w:p w14:paraId="7D44CCF2" w14:textId="77777777" w:rsidR="005B131E" w:rsidRPr="00BA7805" w:rsidRDefault="005B131E" w:rsidP="002542E1">
            <w:pPr>
              <w:pStyle w:val="ARfintablebody"/>
              <w:rPr>
                <w:highlight w:val="green"/>
              </w:rPr>
            </w:pPr>
            <w:r w:rsidRPr="00BD192E">
              <w:t>Deputy Secretary, Children and Families</w:t>
            </w:r>
          </w:p>
        </w:tc>
        <w:tc>
          <w:tcPr>
            <w:tcW w:w="3690" w:type="dxa"/>
            <w:tcBorders>
              <w:top w:val="single" w:sz="4" w:space="0" w:color="A6A6A6" w:themeColor="accent5"/>
              <w:bottom w:val="single" w:sz="4" w:space="0" w:color="A6A6A6" w:themeColor="accent5"/>
            </w:tcBorders>
            <w:noWrap/>
          </w:tcPr>
          <w:p w14:paraId="5377613D" w14:textId="77777777" w:rsidR="005B131E" w:rsidRPr="00BA7805" w:rsidRDefault="005B131E" w:rsidP="002542E1">
            <w:pPr>
              <w:pStyle w:val="ARfintablebody"/>
              <w:rPr>
                <w:highlight w:val="green"/>
              </w:rPr>
            </w:pPr>
            <w:r w:rsidRPr="00BD192E">
              <w:t>1 July 2023 to 30 June 2024</w:t>
            </w:r>
          </w:p>
        </w:tc>
      </w:tr>
      <w:tr w:rsidR="005B131E" w:rsidRPr="00BA7805" w14:paraId="6F2D934D" w14:textId="77777777" w:rsidTr="002542E1">
        <w:tc>
          <w:tcPr>
            <w:tcW w:w="2211" w:type="dxa"/>
            <w:tcBorders>
              <w:top w:val="single" w:sz="4" w:space="0" w:color="A6A6A6" w:themeColor="accent5"/>
              <w:bottom w:val="single" w:sz="4" w:space="0" w:color="A6A6A6" w:themeColor="accent5"/>
            </w:tcBorders>
            <w:noWrap/>
          </w:tcPr>
          <w:p w14:paraId="430D1E88"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themeColor="accent5"/>
              <w:bottom w:val="single" w:sz="4" w:space="0" w:color="A6A6A6" w:themeColor="accent5"/>
            </w:tcBorders>
            <w:noWrap/>
          </w:tcPr>
          <w:p w14:paraId="69591302" w14:textId="77777777" w:rsidR="005B131E" w:rsidRPr="00BA7805" w:rsidRDefault="005B131E" w:rsidP="002542E1">
            <w:pPr>
              <w:pStyle w:val="ARfintablebody"/>
              <w:rPr>
                <w:highlight w:val="green"/>
              </w:rPr>
            </w:pPr>
            <w:r w:rsidRPr="00BD192E">
              <w:t>Simone Corin</w:t>
            </w:r>
          </w:p>
        </w:tc>
        <w:tc>
          <w:tcPr>
            <w:tcW w:w="1980" w:type="dxa"/>
            <w:tcBorders>
              <w:top w:val="single" w:sz="4" w:space="0" w:color="A6A6A6" w:themeColor="accent5"/>
              <w:bottom w:val="single" w:sz="4" w:space="0" w:color="A6A6A6" w:themeColor="accent5"/>
            </w:tcBorders>
          </w:tcPr>
          <w:p w14:paraId="193B1822" w14:textId="77777777" w:rsidR="005B131E" w:rsidRPr="00BA7805" w:rsidRDefault="005B131E" w:rsidP="002542E1">
            <w:pPr>
              <w:pStyle w:val="ARfintablebody"/>
              <w:rPr>
                <w:highlight w:val="green"/>
              </w:rPr>
            </w:pPr>
            <w:r w:rsidRPr="00BD192E">
              <w:t>Acting Deputy Secretary, Children and</w:t>
            </w:r>
            <w:r>
              <w:t> </w:t>
            </w:r>
            <w:r w:rsidRPr="00BD192E">
              <w:t>Families</w:t>
            </w:r>
          </w:p>
        </w:tc>
        <w:tc>
          <w:tcPr>
            <w:tcW w:w="3690" w:type="dxa"/>
            <w:tcBorders>
              <w:top w:val="single" w:sz="4" w:space="0" w:color="A6A6A6" w:themeColor="accent5"/>
              <w:bottom w:val="single" w:sz="4" w:space="0" w:color="A6A6A6" w:themeColor="accent5"/>
            </w:tcBorders>
            <w:noWrap/>
          </w:tcPr>
          <w:p w14:paraId="0B19931E" w14:textId="77777777" w:rsidR="005B131E" w:rsidRPr="00BA7805" w:rsidRDefault="005B131E" w:rsidP="002542E1">
            <w:pPr>
              <w:pStyle w:val="ARfintablebody"/>
              <w:rPr>
                <w:highlight w:val="green"/>
              </w:rPr>
            </w:pPr>
            <w:r w:rsidRPr="00BD192E">
              <w:t>20 September 2023 to 6 October 2023</w:t>
            </w:r>
          </w:p>
        </w:tc>
      </w:tr>
      <w:tr w:rsidR="005B131E" w:rsidRPr="00BA7805" w14:paraId="57D51904" w14:textId="77777777" w:rsidTr="002542E1">
        <w:trPr>
          <w:trHeight w:val="743"/>
        </w:trPr>
        <w:tc>
          <w:tcPr>
            <w:tcW w:w="2211" w:type="dxa"/>
            <w:tcBorders>
              <w:top w:val="single" w:sz="4" w:space="0" w:color="A6A6A6" w:themeColor="accent5"/>
              <w:bottom w:val="single" w:sz="4" w:space="0" w:color="A6A6A6" w:themeColor="accent5"/>
            </w:tcBorders>
            <w:noWrap/>
          </w:tcPr>
          <w:p w14:paraId="4278F406"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themeColor="accent5"/>
              <w:bottom w:val="single" w:sz="4" w:space="0" w:color="A6A6A6" w:themeColor="accent5"/>
            </w:tcBorders>
            <w:noWrap/>
          </w:tcPr>
          <w:p w14:paraId="3536582E" w14:textId="77777777" w:rsidR="005B131E" w:rsidRPr="00BA7805" w:rsidRDefault="005B131E" w:rsidP="002542E1">
            <w:pPr>
              <w:pStyle w:val="ARfintablebody"/>
              <w:rPr>
                <w:highlight w:val="green"/>
              </w:rPr>
            </w:pPr>
            <w:r w:rsidRPr="00BD192E">
              <w:t>Belinda Martin</w:t>
            </w:r>
          </w:p>
        </w:tc>
        <w:tc>
          <w:tcPr>
            <w:tcW w:w="1980" w:type="dxa"/>
            <w:tcBorders>
              <w:top w:val="single" w:sz="4" w:space="0" w:color="A6A6A6" w:themeColor="accent5"/>
              <w:bottom w:val="single" w:sz="4" w:space="0" w:color="A6A6A6" w:themeColor="accent5"/>
            </w:tcBorders>
          </w:tcPr>
          <w:p w14:paraId="00E1B9ED" w14:textId="77777777" w:rsidR="005B131E" w:rsidRPr="00BA7805" w:rsidRDefault="005B131E" w:rsidP="002542E1">
            <w:pPr>
              <w:pStyle w:val="ARfintablebody"/>
              <w:rPr>
                <w:highlight w:val="green"/>
              </w:rPr>
            </w:pPr>
            <w:r w:rsidRPr="00BD192E">
              <w:t>Acting Deputy Secretary, Children and</w:t>
            </w:r>
            <w:r>
              <w:t> </w:t>
            </w:r>
            <w:r w:rsidRPr="00BD192E">
              <w:t>Families</w:t>
            </w:r>
          </w:p>
        </w:tc>
        <w:tc>
          <w:tcPr>
            <w:tcW w:w="3690" w:type="dxa"/>
            <w:tcBorders>
              <w:top w:val="single" w:sz="4" w:space="0" w:color="A6A6A6" w:themeColor="accent5"/>
              <w:bottom w:val="single" w:sz="4" w:space="0" w:color="A6A6A6" w:themeColor="accent5"/>
            </w:tcBorders>
            <w:noWrap/>
          </w:tcPr>
          <w:p w14:paraId="6EA66B13" w14:textId="77777777" w:rsidR="005B131E" w:rsidRPr="00BA7805" w:rsidRDefault="005B131E" w:rsidP="002542E1">
            <w:pPr>
              <w:pStyle w:val="ARfintablebody"/>
              <w:rPr>
                <w:highlight w:val="green"/>
              </w:rPr>
            </w:pPr>
            <w:r w:rsidRPr="00BD192E">
              <w:t>11 January 2024 to 31 January 2024</w:t>
            </w:r>
          </w:p>
          <w:p w14:paraId="016697AB" w14:textId="77777777" w:rsidR="005B131E" w:rsidRPr="00BA7805" w:rsidRDefault="005B131E" w:rsidP="002542E1">
            <w:pPr>
              <w:pStyle w:val="ARfintablebody"/>
              <w:rPr>
                <w:highlight w:val="green"/>
              </w:rPr>
            </w:pPr>
            <w:r w:rsidRPr="00BD192E">
              <w:t>17 June 2024 to 30 June 2024</w:t>
            </w:r>
          </w:p>
        </w:tc>
      </w:tr>
      <w:tr w:rsidR="005B131E" w:rsidRPr="00BA7805" w14:paraId="467F1E9E" w14:textId="77777777" w:rsidTr="002542E1">
        <w:tc>
          <w:tcPr>
            <w:tcW w:w="2211" w:type="dxa"/>
            <w:tcBorders>
              <w:top w:val="single" w:sz="4" w:space="0" w:color="A6A6A6" w:themeColor="accent5"/>
              <w:bottom w:val="single" w:sz="4" w:space="0" w:color="A6A6A6" w:themeColor="accent5"/>
            </w:tcBorders>
            <w:noWrap/>
          </w:tcPr>
          <w:p w14:paraId="252D9A81"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themeColor="accent5"/>
              <w:bottom w:val="single" w:sz="4" w:space="0" w:color="A6A6A6" w:themeColor="accent5"/>
            </w:tcBorders>
            <w:noWrap/>
          </w:tcPr>
          <w:p w14:paraId="618D02F4" w14:textId="300A3D39" w:rsidR="005B131E" w:rsidRPr="00BA7805" w:rsidRDefault="005B131E" w:rsidP="002542E1">
            <w:pPr>
              <w:pStyle w:val="ARfintablebody"/>
              <w:rPr>
                <w:highlight w:val="green"/>
              </w:rPr>
            </w:pPr>
            <w:r w:rsidRPr="00BD192E">
              <w:t>Danny O</w:t>
            </w:r>
            <w:r w:rsidR="00711AE6">
              <w:t>’</w:t>
            </w:r>
            <w:r w:rsidRPr="00BD192E">
              <w:t>Kelly</w:t>
            </w:r>
          </w:p>
        </w:tc>
        <w:tc>
          <w:tcPr>
            <w:tcW w:w="1980" w:type="dxa"/>
            <w:tcBorders>
              <w:top w:val="single" w:sz="4" w:space="0" w:color="A6A6A6" w:themeColor="accent5"/>
              <w:bottom w:val="single" w:sz="4" w:space="0" w:color="A6A6A6" w:themeColor="accent5"/>
            </w:tcBorders>
          </w:tcPr>
          <w:p w14:paraId="79B73E67" w14:textId="77777777" w:rsidR="005B131E" w:rsidRPr="00BA7805" w:rsidRDefault="005B131E" w:rsidP="002542E1">
            <w:pPr>
              <w:pStyle w:val="ARfintablebody"/>
              <w:rPr>
                <w:highlight w:val="green"/>
              </w:rPr>
            </w:pPr>
            <w:r w:rsidRPr="00BD192E">
              <w:t>Deputy Secretary, Community Operations Practice Leadership</w:t>
            </w:r>
          </w:p>
        </w:tc>
        <w:tc>
          <w:tcPr>
            <w:tcW w:w="3690" w:type="dxa"/>
            <w:tcBorders>
              <w:top w:val="single" w:sz="4" w:space="0" w:color="A6A6A6" w:themeColor="accent5"/>
              <w:bottom w:val="single" w:sz="4" w:space="0" w:color="A6A6A6" w:themeColor="accent5"/>
            </w:tcBorders>
            <w:noWrap/>
          </w:tcPr>
          <w:p w14:paraId="05E1E79D" w14:textId="77777777" w:rsidR="005B131E" w:rsidRPr="00BA7805" w:rsidRDefault="005B131E" w:rsidP="002542E1">
            <w:pPr>
              <w:pStyle w:val="ARfintablebody"/>
              <w:rPr>
                <w:highlight w:val="green"/>
              </w:rPr>
            </w:pPr>
            <w:r w:rsidRPr="00BD192E">
              <w:t>1 July 2023 to 30 June 2024</w:t>
            </w:r>
          </w:p>
        </w:tc>
      </w:tr>
      <w:tr w:rsidR="005B131E" w:rsidRPr="00BA7805" w14:paraId="3DE7D7F7" w14:textId="77777777" w:rsidTr="002542E1">
        <w:tc>
          <w:tcPr>
            <w:tcW w:w="2211" w:type="dxa"/>
            <w:tcBorders>
              <w:top w:val="single" w:sz="4" w:space="0" w:color="A6A6A6" w:themeColor="accent5"/>
              <w:bottom w:val="single" w:sz="4" w:space="0" w:color="A6A6A6"/>
            </w:tcBorders>
            <w:noWrap/>
          </w:tcPr>
          <w:p w14:paraId="15C6702A"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themeColor="accent5"/>
              <w:bottom w:val="single" w:sz="4" w:space="0" w:color="A6A6A6"/>
            </w:tcBorders>
            <w:noWrap/>
          </w:tcPr>
          <w:p w14:paraId="78C9A9C9" w14:textId="77777777" w:rsidR="005B131E" w:rsidRPr="00BA7805" w:rsidRDefault="005B131E" w:rsidP="002542E1">
            <w:pPr>
              <w:pStyle w:val="ARfintablebody"/>
              <w:rPr>
                <w:highlight w:val="green"/>
              </w:rPr>
            </w:pPr>
            <w:r w:rsidRPr="00BD192E">
              <w:t>Brenda Boland</w:t>
            </w:r>
          </w:p>
        </w:tc>
        <w:tc>
          <w:tcPr>
            <w:tcW w:w="1980" w:type="dxa"/>
            <w:tcBorders>
              <w:top w:val="single" w:sz="4" w:space="0" w:color="A6A6A6" w:themeColor="accent5"/>
              <w:bottom w:val="single" w:sz="4" w:space="0" w:color="A6A6A6"/>
            </w:tcBorders>
          </w:tcPr>
          <w:p w14:paraId="6B837C80" w14:textId="77777777" w:rsidR="005B131E" w:rsidRPr="00BA7805" w:rsidRDefault="005B131E" w:rsidP="002542E1">
            <w:pPr>
              <w:pStyle w:val="ARfintablebody"/>
              <w:rPr>
                <w:highlight w:val="green"/>
              </w:rPr>
            </w:pPr>
            <w:r w:rsidRPr="00BD192E">
              <w:t>Acting Deputy Secretary, Community Operations Practice Leadership</w:t>
            </w:r>
          </w:p>
        </w:tc>
        <w:tc>
          <w:tcPr>
            <w:tcW w:w="3690" w:type="dxa"/>
            <w:tcBorders>
              <w:top w:val="single" w:sz="4" w:space="0" w:color="A6A6A6" w:themeColor="accent5"/>
              <w:bottom w:val="single" w:sz="4" w:space="0" w:color="A6A6A6"/>
            </w:tcBorders>
            <w:noWrap/>
          </w:tcPr>
          <w:p w14:paraId="2E4C3DB3" w14:textId="77777777" w:rsidR="005B131E" w:rsidRPr="00BA7805" w:rsidRDefault="005B131E" w:rsidP="002542E1">
            <w:pPr>
              <w:pStyle w:val="ARfintablebody"/>
              <w:rPr>
                <w:highlight w:val="green"/>
              </w:rPr>
            </w:pPr>
            <w:r w:rsidRPr="00BD192E">
              <w:t>8 January 2024 to 24 January 2024</w:t>
            </w:r>
          </w:p>
        </w:tc>
      </w:tr>
      <w:tr w:rsidR="005B131E" w:rsidRPr="00BA7805" w14:paraId="1791C535" w14:textId="77777777" w:rsidTr="002542E1">
        <w:tc>
          <w:tcPr>
            <w:tcW w:w="2211" w:type="dxa"/>
            <w:tcBorders>
              <w:top w:val="single" w:sz="4" w:space="0" w:color="A6A6A6"/>
              <w:bottom w:val="single" w:sz="4" w:space="0" w:color="A6A6A6"/>
            </w:tcBorders>
            <w:noWrap/>
          </w:tcPr>
          <w:p w14:paraId="0254F3B4"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noWrap/>
          </w:tcPr>
          <w:p w14:paraId="1015F31F" w14:textId="77777777" w:rsidR="005B131E" w:rsidRPr="00BA7805" w:rsidRDefault="005B131E" w:rsidP="002542E1">
            <w:pPr>
              <w:pStyle w:val="ARfintablebody"/>
              <w:rPr>
                <w:highlight w:val="green"/>
              </w:rPr>
            </w:pPr>
            <w:r w:rsidRPr="00BD192E">
              <w:t>Jodi Henderson</w:t>
            </w:r>
          </w:p>
        </w:tc>
        <w:tc>
          <w:tcPr>
            <w:tcW w:w="1980" w:type="dxa"/>
            <w:tcBorders>
              <w:top w:val="single" w:sz="4" w:space="0" w:color="A6A6A6"/>
              <w:bottom w:val="single" w:sz="4" w:space="0" w:color="A6A6A6"/>
            </w:tcBorders>
          </w:tcPr>
          <w:p w14:paraId="351C9E9E" w14:textId="77777777" w:rsidR="005B131E" w:rsidRPr="00BA7805" w:rsidRDefault="005B131E" w:rsidP="002542E1">
            <w:pPr>
              <w:pStyle w:val="ARfintablebody"/>
              <w:rPr>
                <w:highlight w:val="green"/>
              </w:rPr>
            </w:pPr>
            <w:r w:rsidRPr="00BD192E">
              <w:t>Chief Practitioner, Community Operations Practice Leadership</w:t>
            </w:r>
          </w:p>
        </w:tc>
        <w:tc>
          <w:tcPr>
            <w:tcW w:w="3690" w:type="dxa"/>
            <w:tcBorders>
              <w:top w:val="single" w:sz="4" w:space="0" w:color="A6A6A6"/>
              <w:bottom w:val="single" w:sz="4" w:space="0" w:color="A6A6A6"/>
            </w:tcBorders>
            <w:noWrap/>
          </w:tcPr>
          <w:p w14:paraId="25FDE047" w14:textId="77777777" w:rsidR="005B131E" w:rsidRPr="00BA7805" w:rsidRDefault="005B131E" w:rsidP="002542E1">
            <w:pPr>
              <w:pStyle w:val="ARfintablebody"/>
              <w:rPr>
                <w:highlight w:val="green"/>
              </w:rPr>
            </w:pPr>
            <w:r w:rsidRPr="00BD192E">
              <w:t>1 July 2023 to 22 March 2024</w:t>
            </w:r>
          </w:p>
        </w:tc>
      </w:tr>
      <w:tr w:rsidR="005B131E" w:rsidRPr="00BA7805" w14:paraId="620BE87B" w14:textId="77777777" w:rsidTr="002542E1">
        <w:tc>
          <w:tcPr>
            <w:tcW w:w="2211" w:type="dxa"/>
            <w:tcBorders>
              <w:top w:val="single" w:sz="4" w:space="0" w:color="A6A6A6"/>
              <w:bottom w:val="single" w:sz="4" w:space="0" w:color="A6A6A6"/>
            </w:tcBorders>
            <w:noWrap/>
          </w:tcPr>
          <w:p w14:paraId="4E474BAF"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noWrap/>
          </w:tcPr>
          <w:p w14:paraId="202F52B7" w14:textId="77777777" w:rsidR="005B131E" w:rsidRPr="00BA7805" w:rsidRDefault="005B131E" w:rsidP="002542E1">
            <w:pPr>
              <w:pStyle w:val="ARfintablebody"/>
              <w:rPr>
                <w:highlight w:val="green"/>
              </w:rPr>
            </w:pPr>
            <w:r w:rsidRPr="00BD192E">
              <w:t>Kirstie-Lee Lomas</w:t>
            </w:r>
          </w:p>
        </w:tc>
        <w:tc>
          <w:tcPr>
            <w:tcW w:w="1980" w:type="dxa"/>
            <w:tcBorders>
              <w:top w:val="single" w:sz="4" w:space="0" w:color="A6A6A6"/>
              <w:bottom w:val="single" w:sz="4" w:space="0" w:color="A6A6A6"/>
            </w:tcBorders>
          </w:tcPr>
          <w:p w14:paraId="5284FDA9" w14:textId="77777777" w:rsidR="005B131E" w:rsidRPr="00BA7805" w:rsidRDefault="005B131E" w:rsidP="002542E1">
            <w:pPr>
              <w:pStyle w:val="ARfintablebody"/>
              <w:rPr>
                <w:highlight w:val="green"/>
              </w:rPr>
            </w:pPr>
            <w:r w:rsidRPr="00BD192E">
              <w:t>Acting Chief Practitioner, Community Operations Practice Leadership</w:t>
            </w:r>
          </w:p>
        </w:tc>
        <w:tc>
          <w:tcPr>
            <w:tcW w:w="3690" w:type="dxa"/>
            <w:tcBorders>
              <w:top w:val="single" w:sz="4" w:space="0" w:color="A6A6A6"/>
              <w:bottom w:val="single" w:sz="4" w:space="0" w:color="A6A6A6"/>
            </w:tcBorders>
            <w:noWrap/>
          </w:tcPr>
          <w:p w14:paraId="53042BAA" w14:textId="77777777" w:rsidR="005B131E" w:rsidRPr="00BA7805" w:rsidRDefault="005B131E" w:rsidP="002542E1">
            <w:pPr>
              <w:pStyle w:val="ARfintablebody"/>
              <w:rPr>
                <w:highlight w:val="green"/>
              </w:rPr>
            </w:pPr>
            <w:r w:rsidRPr="00BD192E">
              <w:t>12 February 2024 to 30 June 2024</w:t>
            </w:r>
          </w:p>
        </w:tc>
      </w:tr>
      <w:tr w:rsidR="005B131E" w:rsidRPr="00BA7805" w14:paraId="54345401" w14:textId="77777777" w:rsidTr="002542E1">
        <w:tc>
          <w:tcPr>
            <w:tcW w:w="2211" w:type="dxa"/>
            <w:tcBorders>
              <w:top w:val="single" w:sz="4" w:space="0" w:color="A6A6A6"/>
              <w:bottom w:val="single" w:sz="4" w:space="0" w:color="A6A6A6"/>
            </w:tcBorders>
            <w:noWrap/>
          </w:tcPr>
          <w:p w14:paraId="7DE29AB6"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noWrap/>
          </w:tcPr>
          <w:p w14:paraId="795624C3" w14:textId="77777777" w:rsidR="005B131E" w:rsidRPr="00BA7805" w:rsidRDefault="005B131E" w:rsidP="002542E1">
            <w:pPr>
              <w:pStyle w:val="ARfintablebody"/>
              <w:rPr>
                <w:highlight w:val="green"/>
              </w:rPr>
            </w:pPr>
            <w:r w:rsidRPr="00BD192E">
              <w:t>Cynthia Lahiff</w:t>
            </w:r>
          </w:p>
        </w:tc>
        <w:tc>
          <w:tcPr>
            <w:tcW w:w="1980" w:type="dxa"/>
            <w:tcBorders>
              <w:top w:val="single" w:sz="4" w:space="0" w:color="A6A6A6"/>
              <w:bottom w:val="single" w:sz="4" w:space="0" w:color="A6A6A6"/>
            </w:tcBorders>
          </w:tcPr>
          <w:p w14:paraId="78CD355D" w14:textId="77777777" w:rsidR="005B131E" w:rsidRPr="00BA7805" w:rsidRDefault="005B131E" w:rsidP="002542E1">
            <w:pPr>
              <w:pStyle w:val="ARfintablebody"/>
              <w:rPr>
                <w:highlight w:val="green"/>
              </w:rPr>
            </w:pPr>
            <w:r w:rsidRPr="00BD192E">
              <w:t>Chief Finance Officer, Corporate and Delivery</w:t>
            </w:r>
            <w:r>
              <w:t> </w:t>
            </w:r>
            <w:r w:rsidRPr="00BD192E">
              <w:t>Services</w:t>
            </w:r>
          </w:p>
        </w:tc>
        <w:tc>
          <w:tcPr>
            <w:tcW w:w="3690" w:type="dxa"/>
            <w:tcBorders>
              <w:top w:val="single" w:sz="4" w:space="0" w:color="A6A6A6"/>
              <w:bottom w:val="single" w:sz="4" w:space="0" w:color="A6A6A6"/>
            </w:tcBorders>
            <w:noWrap/>
          </w:tcPr>
          <w:p w14:paraId="7385199B" w14:textId="77777777" w:rsidR="005B131E" w:rsidRPr="00BA7805" w:rsidRDefault="005B131E" w:rsidP="002542E1">
            <w:pPr>
              <w:pStyle w:val="ARfintablebody"/>
              <w:rPr>
                <w:highlight w:val="green"/>
              </w:rPr>
            </w:pPr>
            <w:r w:rsidRPr="00BD192E">
              <w:t>1 July 2023 to 30 June 2024</w:t>
            </w:r>
          </w:p>
        </w:tc>
      </w:tr>
      <w:tr w:rsidR="005B131E" w:rsidRPr="00BA7805" w14:paraId="407428B1" w14:textId="77777777" w:rsidTr="002542E1">
        <w:tc>
          <w:tcPr>
            <w:tcW w:w="2211" w:type="dxa"/>
            <w:tcBorders>
              <w:top w:val="single" w:sz="4" w:space="0" w:color="A6A6A6"/>
              <w:bottom w:val="single" w:sz="4" w:space="0" w:color="A6A6A6"/>
            </w:tcBorders>
            <w:noWrap/>
          </w:tcPr>
          <w:p w14:paraId="76879E93"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noWrap/>
          </w:tcPr>
          <w:p w14:paraId="4BDB630A" w14:textId="77777777" w:rsidR="005B131E" w:rsidRPr="00BA7805" w:rsidRDefault="005B131E" w:rsidP="002542E1">
            <w:pPr>
              <w:pStyle w:val="ARfintablebody"/>
              <w:rPr>
                <w:highlight w:val="green"/>
              </w:rPr>
            </w:pPr>
            <w:r w:rsidRPr="00BD192E">
              <w:t>Shane Lay</w:t>
            </w:r>
          </w:p>
        </w:tc>
        <w:tc>
          <w:tcPr>
            <w:tcW w:w="1980" w:type="dxa"/>
            <w:tcBorders>
              <w:top w:val="single" w:sz="4" w:space="0" w:color="A6A6A6"/>
              <w:bottom w:val="single" w:sz="4" w:space="0" w:color="A6A6A6"/>
            </w:tcBorders>
          </w:tcPr>
          <w:p w14:paraId="3A73575E" w14:textId="77777777" w:rsidR="005B131E" w:rsidRPr="00BA7805" w:rsidRDefault="005B131E" w:rsidP="002542E1">
            <w:pPr>
              <w:pStyle w:val="ARfintablebody"/>
              <w:rPr>
                <w:highlight w:val="green"/>
              </w:rPr>
            </w:pPr>
            <w:r w:rsidRPr="00BD192E">
              <w:t>Acting Chief Finance Officer, Corporate and Delivery Services</w:t>
            </w:r>
          </w:p>
        </w:tc>
        <w:tc>
          <w:tcPr>
            <w:tcW w:w="3690" w:type="dxa"/>
            <w:tcBorders>
              <w:top w:val="single" w:sz="4" w:space="0" w:color="A6A6A6"/>
              <w:bottom w:val="single" w:sz="4" w:space="0" w:color="A6A6A6"/>
            </w:tcBorders>
            <w:noWrap/>
          </w:tcPr>
          <w:p w14:paraId="75EB77BA" w14:textId="77777777" w:rsidR="005B131E" w:rsidRDefault="005B131E" w:rsidP="002542E1">
            <w:pPr>
              <w:pStyle w:val="ARfintablebody"/>
            </w:pPr>
            <w:r w:rsidRPr="00BD192E">
              <w:t>12 December 2023 to 8 January 2024</w:t>
            </w:r>
          </w:p>
          <w:p w14:paraId="655D1ED1" w14:textId="77777777" w:rsidR="005B131E" w:rsidRPr="00BA7805" w:rsidRDefault="005B131E" w:rsidP="002542E1">
            <w:pPr>
              <w:pStyle w:val="ARfintablebody"/>
              <w:rPr>
                <w:highlight w:val="green"/>
              </w:rPr>
            </w:pPr>
            <w:r w:rsidRPr="00BD192E">
              <w:t>20 May 2024 to 31 May 2024</w:t>
            </w:r>
          </w:p>
        </w:tc>
      </w:tr>
      <w:tr w:rsidR="005B131E" w:rsidRPr="00BA7805" w14:paraId="275050D5" w14:textId="77777777" w:rsidTr="002542E1">
        <w:tc>
          <w:tcPr>
            <w:tcW w:w="2211" w:type="dxa"/>
            <w:tcBorders>
              <w:top w:val="single" w:sz="4" w:space="0" w:color="A6A6A6"/>
              <w:bottom w:val="single" w:sz="4" w:space="0" w:color="A6A6A6"/>
            </w:tcBorders>
            <w:noWrap/>
          </w:tcPr>
          <w:p w14:paraId="4349F64D"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noWrap/>
          </w:tcPr>
          <w:p w14:paraId="077AC650" w14:textId="77777777" w:rsidR="005B131E" w:rsidRPr="00BA7805" w:rsidRDefault="005B131E" w:rsidP="002542E1">
            <w:pPr>
              <w:pStyle w:val="ARfintablebody"/>
              <w:rPr>
                <w:highlight w:val="green"/>
              </w:rPr>
            </w:pPr>
            <w:r w:rsidRPr="00BD192E">
              <w:t>Argiri Alisandratos</w:t>
            </w:r>
          </w:p>
        </w:tc>
        <w:tc>
          <w:tcPr>
            <w:tcW w:w="1980" w:type="dxa"/>
            <w:tcBorders>
              <w:top w:val="single" w:sz="4" w:space="0" w:color="A6A6A6"/>
              <w:bottom w:val="single" w:sz="4" w:space="0" w:color="A6A6A6"/>
            </w:tcBorders>
          </w:tcPr>
          <w:p w14:paraId="0C16927A" w14:textId="77777777" w:rsidR="005B131E" w:rsidRPr="00BA7805" w:rsidRDefault="005B131E" w:rsidP="002542E1">
            <w:pPr>
              <w:pStyle w:val="ARfintablebody"/>
              <w:rPr>
                <w:highlight w:val="green"/>
              </w:rPr>
            </w:pPr>
            <w:r w:rsidRPr="00BD192E">
              <w:t>Deputy Secretary, Disability Communities Emergency Management</w:t>
            </w:r>
          </w:p>
        </w:tc>
        <w:tc>
          <w:tcPr>
            <w:tcW w:w="3690" w:type="dxa"/>
            <w:tcBorders>
              <w:top w:val="single" w:sz="4" w:space="0" w:color="A6A6A6"/>
              <w:bottom w:val="single" w:sz="4" w:space="0" w:color="A6A6A6"/>
            </w:tcBorders>
            <w:noWrap/>
          </w:tcPr>
          <w:p w14:paraId="58FE1AA0" w14:textId="77777777" w:rsidR="005B131E" w:rsidRPr="00BA7805" w:rsidRDefault="005B131E" w:rsidP="002542E1">
            <w:pPr>
              <w:pStyle w:val="ARfintablebody"/>
              <w:rPr>
                <w:highlight w:val="green"/>
              </w:rPr>
            </w:pPr>
            <w:r w:rsidRPr="00BD192E">
              <w:t>1 July 2023 to 30 June 2024</w:t>
            </w:r>
          </w:p>
        </w:tc>
      </w:tr>
      <w:tr w:rsidR="005B131E" w:rsidRPr="00BA7805" w14:paraId="7CDEE40C" w14:textId="77777777" w:rsidTr="002542E1">
        <w:tc>
          <w:tcPr>
            <w:tcW w:w="2211" w:type="dxa"/>
            <w:tcBorders>
              <w:top w:val="single" w:sz="4" w:space="0" w:color="A6A6A6"/>
              <w:bottom w:val="single" w:sz="4" w:space="0" w:color="A6A6A6"/>
            </w:tcBorders>
          </w:tcPr>
          <w:p w14:paraId="4F39B3A6"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73ADD0F3" w14:textId="77777777" w:rsidR="005B131E" w:rsidRPr="00BA7805" w:rsidRDefault="005B131E" w:rsidP="002542E1">
            <w:pPr>
              <w:pStyle w:val="ARfintablebody"/>
              <w:rPr>
                <w:highlight w:val="green"/>
              </w:rPr>
            </w:pPr>
            <w:r w:rsidRPr="00BD192E">
              <w:t>Drew Warne-Smith</w:t>
            </w:r>
          </w:p>
        </w:tc>
        <w:tc>
          <w:tcPr>
            <w:tcW w:w="1980" w:type="dxa"/>
            <w:tcBorders>
              <w:top w:val="single" w:sz="4" w:space="0" w:color="A6A6A6"/>
              <w:bottom w:val="single" w:sz="4" w:space="0" w:color="A6A6A6"/>
            </w:tcBorders>
          </w:tcPr>
          <w:p w14:paraId="6E35FED3" w14:textId="77777777" w:rsidR="005B131E" w:rsidRPr="00BA7805" w:rsidRDefault="005B131E" w:rsidP="002542E1">
            <w:pPr>
              <w:pStyle w:val="ARfintablebody"/>
              <w:rPr>
                <w:highlight w:val="green"/>
              </w:rPr>
            </w:pPr>
            <w:r w:rsidRPr="00BD192E">
              <w:t>Acting Deputy Secretary, Disability Communities Emergency Management</w:t>
            </w:r>
          </w:p>
        </w:tc>
        <w:tc>
          <w:tcPr>
            <w:tcW w:w="3690" w:type="dxa"/>
            <w:tcBorders>
              <w:top w:val="single" w:sz="4" w:space="0" w:color="A6A6A6"/>
              <w:bottom w:val="single" w:sz="4" w:space="0" w:color="A6A6A6"/>
            </w:tcBorders>
            <w:noWrap/>
          </w:tcPr>
          <w:p w14:paraId="287DCAEE" w14:textId="77777777" w:rsidR="005B131E" w:rsidRPr="00BA7805" w:rsidRDefault="005B131E" w:rsidP="002542E1">
            <w:pPr>
              <w:pStyle w:val="ARfintablebody"/>
              <w:rPr>
                <w:highlight w:val="green"/>
              </w:rPr>
            </w:pPr>
            <w:r w:rsidRPr="00BD192E">
              <w:t>8 August 2023 to 6 October 2023</w:t>
            </w:r>
          </w:p>
        </w:tc>
      </w:tr>
      <w:tr w:rsidR="005B131E" w:rsidRPr="00BA7805" w14:paraId="4231DF2C" w14:textId="77777777" w:rsidTr="002542E1">
        <w:tc>
          <w:tcPr>
            <w:tcW w:w="2211" w:type="dxa"/>
            <w:tcBorders>
              <w:top w:val="single" w:sz="4" w:space="0" w:color="A6A6A6"/>
              <w:bottom w:val="single" w:sz="4" w:space="0" w:color="A6A6A6"/>
            </w:tcBorders>
          </w:tcPr>
          <w:p w14:paraId="0DDFAD87"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5910CF9C" w14:textId="77777777" w:rsidR="005B131E" w:rsidRPr="00BA7805" w:rsidRDefault="005B131E" w:rsidP="002542E1">
            <w:pPr>
              <w:pStyle w:val="ARfintablebody"/>
              <w:rPr>
                <w:highlight w:val="green"/>
              </w:rPr>
            </w:pPr>
            <w:r w:rsidRPr="00BD192E">
              <w:t>Louise Perry</w:t>
            </w:r>
          </w:p>
        </w:tc>
        <w:tc>
          <w:tcPr>
            <w:tcW w:w="1980" w:type="dxa"/>
            <w:tcBorders>
              <w:top w:val="single" w:sz="4" w:space="0" w:color="A6A6A6"/>
              <w:bottom w:val="single" w:sz="4" w:space="0" w:color="A6A6A6"/>
            </w:tcBorders>
          </w:tcPr>
          <w:p w14:paraId="74F97D05" w14:textId="77777777" w:rsidR="005B131E" w:rsidRPr="00BA7805" w:rsidRDefault="005B131E" w:rsidP="002542E1">
            <w:pPr>
              <w:pStyle w:val="ARfintablebody"/>
              <w:rPr>
                <w:highlight w:val="green"/>
              </w:rPr>
            </w:pPr>
            <w:r w:rsidRPr="00BD192E">
              <w:t>Deputy Secretary, Fairer Victoria &amp; Engagement</w:t>
            </w:r>
          </w:p>
        </w:tc>
        <w:tc>
          <w:tcPr>
            <w:tcW w:w="3690" w:type="dxa"/>
            <w:tcBorders>
              <w:top w:val="single" w:sz="4" w:space="0" w:color="A6A6A6"/>
              <w:bottom w:val="single" w:sz="4" w:space="0" w:color="A6A6A6"/>
            </w:tcBorders>
            <w:noWrap/>
          </w:tcPr>
          <w:p w14:paraId="223E117E" w14:textId="77777777" w:rsidR="005B131E" w:rsidRPr="00BA7805" w:rsidRDefault="005B131E" w:rsidP="002542E1">
            <w:pPr>
              <w:pStyle w:val="ARfintablebody"/>
              <w:rPr>
                <w:highlight w:val="green"/>
              </w:rPr>
            </w:pPr>
            <w:r w:rsidRPr="00BD192E">
              <w:t>1 July 2023 to 30 June 2024</w:t>
            </w:r>
          </w:p>
        </w:tc>
      </w:tr>
      <w:tr w:rsidR="005B131E" w:rsidRPr="00BA7805" w14:paraId="21CA6BE2" w14:textId="77777777" w:rsidTr="002542E1">
        <w:tc>
          <w:tcPr>
            <w:tcW w:w="2211" w:type="dxa"/>
            <w:tcBorders>
              <w:top w:val="single" w:sz="4" w:space="0" w:color="A6A6A6"/>
              <w:bottom w:val="single" w:sz="4" w:space="0" w:color="A6A6A6"/>
            </w:tcBorders>
          </w:tcPr>
          <w:p w14:paraId="0E4B7101"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7F3AFAEB" w14:textId="77777777" w:rsidR="005B131E" w:rsidRPr="00BA7805" w:rsidRDefault="005B131E" w:rsidP="002542E1">
            <w:pPr>
              <w:pStyle w:val="ARfintablebody"/>
              <w:rPr>
                <w:highlight w:val="green"/>
              </w:rPr>
            </w:pPr>
            <w:r w:rsidRPr="00BD192E">
              <w:t>Gerry Goswell</w:t>
            </w:r>
          </w:p>
        </w:tc>
        <w:tc>
          <w:tcPr>
            <w:tcW w:w="1980" w:type="dxa"/>
            <w:tcBorders>
              <w:top w:val="single" w:sz="4" w:space="0" w:color="A6A6A6"/>
              <w:bottom w:val="single" w:sz="4" w:space="0" w:color="A6A6A6"/>
            </w:tcBorders>
          </w:tcPr>
          <w:p w14:paraId="14B8F51F" w14:textId="77777777" w:rsidR="005B131E" w:rsidRPr="00BA7805" w:rsidRDefault="005B131E" w:rsidP="002542E1">
            <w:pPr>
              <w:pStyle w:val="ARfintablebody"/>
              <w:rPr>
                <w:highlight w:val="green"/>
              </w:rPr>
            </w:pPr>
            <w:r w:rsidRPr="00BD192E">
              <w:t>Acting Deputy Secretary, Fairer Victoria &amp; Engagement</w:t>
            </w:r>
          </w:p>
        </w:tc>
        <w:tc>
          <w:tcPr>
            <w:tcW w:w="3690" w:type="dxa"/>
            <w:tcBorders>
              <w:top w:val="single" w:sz="4" w:space="0" w:color="A6A6A6"/>
              <w:bottom w:val="single" w:sz="4" w:space="0" w:color="A6A6A6"/>
            </w:tcBorders>
            <w:noWrap/>
          </w:tcPr>
          <w:p w14:paraId="16A06188" w14:textId="77777777" w:rsidR="005B131E" w:rsidRPr="00BA7805" w:rsidRDefault="005B131E" w:rsidP="002542E1">
            <w:pPr>
              <w:pStyle w:val="ARfintablebody"/>
              <w:rPr>
                <w:highlight w:val="green"/>
              </w:rPr>
            </w:pPr>
            <w:r w:rsidRPr="00BD192E">
              <w:t>15 January 2024 to 30 January 2024</w:t>
            </w:r>
          </w:p>
        </w:tc>
      </w:tr>
      <w:tr w:rsidR="005B131E" w:rsidRPr="00BA7805" w14:paraId="66046BC4" w14:textId="77777777" w:rsidTr="002542E1">
        <w:tc>
          <w:tcPr>
            <w:tcW w:w="2211" w:type="dxa"/>
            <w:tcBorders>
              <w:top w:val="single" w:sz="4" w:space="0" w:color="A6A6A6"/>
              <w:bottom w:val="single" w:sz="4" w:space="0" w:color="A6A6A6"/>
            </w:tcBorders>
          </w:tcPr>
          <w:p w14:paraId="6D998FE5"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37323961" w14:textId="77777777" w:rsidR="005B131E" w:rsidRPr="00BA7805" w:rsidRDefault="005B131E" w:rsidP="002542E1">
            <w:pPr>
              <w:pStyle w:val="ARfintablebody"/>
              <w:rPr>
                <w:highlight w:val="green"/>
              </w:rPr>
            </w:pPr>
            <w:r w:rsidRPr="00BD192E">
              <w:t>Ruth Ward</w:t>
            </w:r>
          </w:p>
        </w:tc>
        <w:tc>
          <w:tcPr>
            <w:tcW w:w="1980" w:type="dxa"/>
            <w:tcBorders>
              <w:top w:val="single" w:sz="4" w:space="0" w:color="A6A6A6"/>
              <w:bottom w:val="single" w:sz="4" w:space="0" w:color="A6A6A6"/>
            </w:tcBorders>
          </w:tcPr>
          <w:p w14:paraId="1CD01B60" w14:textId="77777777" w:rsidR="005B131E" w:rsidRPr="00BA7805" w:rsidRDefault="005B131E" w:rsidP="002542E1">
            <w:pPr>
              <w:pStyle w:val="ARfintablebody"/>
              <w:rPr>
                <w:highlight w:val="green"/>
              </w:rPr>
            </w:pPr>
            <w:r w:rsidRPr="00BD192E">
              <w:t>Chief of Engagement and Reform, Fairer Victoria &amp; Engagement</w:t>
            </w:r>
          </w:p>
        </w:tc>
        <w:tc>
          <w:tcPr>
            <w:tcW w:w="3690" w:type="dxa"/>
            <w:tcBorders>
              <w:top w:val="single" w:sz="4" w:space="0" w:color="A6A6A6"/>
              <w:bottom w:val="single" w:sz="4" w:space="0" w:color="A6A6A6"/>
            </w:tcBorders>
            <w:noWrap/>
          </w:tcPr>
          <w:p w14:paraId="76B7033E" w14:textId="77777777" w:rsidR="005B131E" w:rsidRPr="00BA7805" w:rsidRDefault="005B131E" w:rsidP="002542E1">
            <w:pPr>
              <w:pStyle w:val="ARfintablebody"/>
              <w:ind w:right="0"/>
              <w:rPr>
                <w:highlight w:val="green"/>
              </w:rPr>
            </w:pPr>
            <w:r w:rsidRPr="00BD192E">
              <w:t>1 July 2023 to 30 November 2023</w:t>
            </w:r>
          </w:p>
        </w:tc>
      </w:tr>
      <w:tr w:rsidR="005B131E" w:rsidRPr="00BA7805" w14:paraId="19C5C2E8" w14:textId="77777777" w:rsidTr="002542E1">
        <w:tc>
          <w:tcPr>
            <w:tcW w:w="2211" w:type="dxa"/>
            <w:tcBorders>
              <w:top w:val="single" w:sz="4" w:space="0" w:color="A6A6A6"/>
              <w:bottom w:val="single" w:sz="4" w:space="0" w:color="A6A6A6"/>
            </w:tcBorders>
          </w:tcPr>
          <w:p w14:paraId="52A71CFD"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700FE721" w14:textId="77777777" w:rsidR="005B131E" w:rsidRPr="00BA7805" w:rsidRDefault="005B131E" w:rsidP="002542E1">
            <w:pPr>
              <w:pStyle w:val="ARfintablebody"/>
              <w:rPr>
                <w:highlight w:val="green"/>
              </w:rPr>
            </w:pPr>
            <w:r w:rsidRPr="00BD192E">
              <w:t>Ruth Ward</w:t>
            </w:r>
          </w:p>
        </w:tc>
        <w:tc>
          <w:tcPr>
            <w:tcW w:w="1980" w:type="dxa"/>
            <w:tcBorders>
              <w:top w:val="single" w:sz="4" w:space="0" w:color="A6A6A6"/>
              <w:bottom w:val="single" w:sz="4" w:space="0" w:color="A6A6A6"/>
            </w:tcBorders>
          </w:tcPr>
          <w:p w14:paraId="2D22D94C" w14:textId="77777777" w:rsidR="005B131E" w:rsidRPr="00BA7805" w:rsidRDefault="005B131E" w:rsidP="002542E1">
            <w:pPr>
              <w:pStyle w:val="ARfintablebody"/>
              <w:rPr>
                <w:highlight w:val="green"/>
              </w:rPr>
            </w:pPr>
            <w:r w:rsidRPr="00BD192E">
              <w:t>Chief of Public Engagement, Fairer Victoria &amp; Engagement</w:t>
            </w:r>
          </w:p>
        </w:tc>
        <w:tc>
          <w:tcPr>
            <w:tcW w:w="3690" w:type="dxa"/>
            <w:tcBorders>
              <w:top w:val="single" w:sz="4" w:space="0" w:color="A6A6A6"/>
              <w:bottom w:val="single" w:sz="4" w:space="0" w:color="A6A6A6"/>
            </w:tcBorders>
            <w:noWrap/>
          </w:tcPr>
          <w:p w14:paraId="2CF6F946" w14:textId="77777777" w:rsidR="005B131E" w:rsidRPr="00BA7805" w:rsidRDefault="005B131E" w:rsidP="002542E1">
            <w:pPr>
              <w:pStyle w:val="ARfintablebody"/>
              <w:rPr>
                <w:highlight w:val="green"/>
              </w:rPr>
            </w:pPr>
            <w:r w:rsidRPr="00BD192E">
              <w:t>1 December 2023 to 30 June 2024</w:t>
            </w:r>
          </w:p>
        </w:tc>
      </w:tr>
      <w:tr w:rsidR="005B131E" w:rsidRPr="00BA7805" w14:paraId="7D742894" w14:textId="77777777" w:rsidTr="002542E1">
        <w:tc>
          <w:tcPr>
            <w:tcW w:w="2211" w:type="dxa"/>
            <w:tcBorders>
              <w:top w:val="single" w:sz="4" w:space="0" w:color="A6A6A6"/>
              <w:bottom w:val="single" w:sz="4" w:space="0" w:color="A6A6A6"/>
            </w:tcBorders>
          </w:tcPr>
          <w:p w14:paraId="52D2F4E7"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020A2BB9" w14:textId="77777777" w:rsidR="005B131E" w:rsidRPr="00BA7805" w:rsidRDefault="005B131E" w:rsidP="002542E1">
            <w:pPr>
              <w:pStyle w:val="ARfintablebody"/>
              <w:rPr>
                <w:highlight w:val="green"/>
              </w:rPr>
            </w:pPr>
            <w:r w:rsidRPr="00BD192E">
              <w:t>Kelly Stanton</w:t>
            </w:r>
          </w:p>
        </w:tc>
        <w:tc>
          <w:tcPr>
            <w:tcW w:w="1980" w:type="dxa"/>
            <w:tcBorders>
              <w:top w:val="single" w:sz="4" w:space="0" w:color="A6A6A6"/>
              <w:bottom w:val="single" w:sz="4" w:space="0" w:color="A6A6A6"/>
            </w:tcBorders>
          </w:tcPr>
          <w:p w14:paraId="5B3BF79A" w14:textId="77777777" w:rsidR="005B131E" w:rsidRPr="00BA7805" w:rsidRDefault="005B131E" w:rsidP="002542E1">
            <w:pPr>
              <w:pStyle w:val="ARfintablebody"/>
              <w:rPr>
                <w:highlight w:val="green"/>
              </w:rPr>
            </w:pPr>
            <w:r w:rsidRPr="00BD192E">
              <w:t>Chief Executive Officer, Family Safety Victoria</w:t>
            </w:r>
          </w:p>
        </w:tc>
        <w:tc>
          <w:tcPr>
            <w:tcW w:w="3690" w:type="dxa"/>
            <w:tcBorders>
              <w:top w:val="single" w:sz="4" w:space="0" w:color="A6A6A6"/>
              <w:bottom w:val="single" w:sz="4" w:space="0" w:color="A6A6A6"/>
            </w:tcBorders>
            <w:noWrap/>
          </w:tcPr>
          <w:p w14:paraId="2696ACE9" w14:textId="77777777" w:rsidR="005B131E" w:rsidRPr="00BA7805" w:rsidRDefault="005B131E" w:rsidP="002542E1">
            <w:pPr>
              <w:pStyle w:val="ARfintablebody"/>
              <w:rPr>
                <w:highlight w:val="green"/>
              </w:rPr>
            </w:pPr>
            <w:r w:rsidRPr="00BD192E">
              <w:t>1 July 2023 to 8 September 2023</w:t>
            </w:r>
          </w:p>
        </w:tc>
      </w:tr>
      <w:tr w:rsidR="005B131E" w:rsidRPr="00BA7805" w14:paraId="6BC412E3" w14:textId="77777777" w:rsidTr="002542E1">
        <w:tc>
          <w:tcPr>
            <w:tcW w:w="2211" w:type="dxa"/>
            <w:tcBorders>
              <w:top w:val="single" w:sz="4" w:space="0" w:color="A6A6A6"/>
              <w:bottom w:val="single" w:sz="4" w:space="0" w:color="A6A6A6"/>
            </w:tcBorders>
          </w:tcPr>
          <w:p w14:paraId="6C45AFF9"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487CC730" w14:textId="77777777" w:rsidR="005B131E" w:rsidRPr="00BA7805" w:rsidRDefault="005B131E" w:rsidP="002542E1">
            <w:pPr>
              <w:pStyle w:val="ARfintablebody"/>
              <w:rPr>
                <w:highlight w:val="green"/>
              </w:rPr>
            </w:pPr>
            <w:r w:rsidRPr="00BD192E">
              <w:t>Melanie Heenan</w:t>
            </w:r>
          </w:p>
        </w:tc>
        <w:tc>
          <w:tcPr>
            <w:tcW w:w="1980" w:type="dxa"/>
            <w:tcBorders>
              <w:top w:val="single" w:sz="4" w:space="0" w:color="A6A6A6"/>
              <w:bottom w:val="single" w:sz="4" w:space="0" w:color="A6A6A6"/>
            </w:tcBorders>
          </w:tcPr>
          <w:p w14:paraId="75F24D48" w14:textId="77777777" w:rsidR="005B131E" w:rsidRPr="00BA7805" w:rsidRDefault="005B131E" w:rsidP="002542E1">
            <w:pPr>
              <w:pStyle w:val="ARfintablebody"/>
              <w:rPr>
                <w:highlight w:val="green"/>
              </w:rPr>
            </w:pPr>
            <w:r w:rsidRPr="00BD192E">
              <w:t>Deputy Secretary, Family Safety Victoria</w:t>
            </w:r>
          </w:p>
        </w:tc>
        <w:tc>
          <w:tcPr>
            <w:tcW w:w="3690" w:type="dxa"/>
            <w:tcBorders>
              <w:top w:val="single" w:sz="4" w:space="0" w:color="A6A6A6"/>
              <w:bottom w:val="single" w:sz="4" w:space="0" w:color="A6A6A6"/>
            </w:tcBorders>
            <w:noWrap/>
          </w:tcPr>
          <w:p w14:paraId="6B8BC2FB" w14:textId="77777777" w:rsidR="005B131E" w:rsidRPr="00BA7805" w:rsidRDefault="005B131E" w:rsidP="002542E1">
            <w:pPr>
              <w:pStyle w:val="ARfintablebody"/>
              <w:rPr>
                <w:highlight w:val="green"/>
              </w:rPr>
            </w:pPr>
            <w:r w:rsidRPr="00BD192E">
              <w:t>11 September 2023 to 30 June 2024</w:t>
            </w:r>
          </w:p>
        </w:tc>
      </w:tr>
      <w:tr w:rsidR="005B131E" w:rsidRPr="00BA7805" w14:paraId="3D51C8D8" w14:textId="77777777" w:rsidTr="002542E1">
        <w:tc>
          <w:tcPr>
            <w:tcW w:w="2211" w:type="dxa"/>
            <w:tcBorders>
              <w:top w:val="single" w:sz="4" w:space="0" w:color="A6A6A6"/>
              <w:bottom w:val="single" w:sz="4" w:space="0" w:color="A6A6A6"/>
            </w:tcBorders>
          </w:tcPr>
          <w:p w14:paraId="5C158A78"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416E0F1C" w14:textId="77777777" w:rsidR="005B131E" w:rsidRPr="00BA7805" w:rsidRDefault="005B131E" w:rsidP="002542E1">
            <w:pPr>
              <w:pStyle w:val="ARfintablebody"/>
              <w:rPr>
                <w:highlight w:val="green"/>
              </w:rPr>
            </w:pPr>
            <w:r w:rsidRPr="00BD192E">
              <w:t>Jo Pride</w:t>
            </w:r>
          </w:p>
        </w:tc>
        <w:tc>
          <w:tcPr>
            <w:tcW w:w="1980" w:type="dxa"/>
            <w:tcBorders>
              <w:top w:val="single" w:sz="4" w:space="0" w:color="A6A6A6"/>
              <w:bottom w:val="single" w:sz="4" w:space="0" w:color="A6A6A6"/>
            </w:tcBorders>
          </w:tcPr>
          <w:p w14:paraId="36468621" w14:textId="77777777" w:rsidR="005B131E" w:rsidRPr="00BA7805" w:rsidRDefault="005B131E" w:rsidP="002542E1">
            <w:pPr>
              <w:pStyle w:val="ARfintablebody"/>
              <w:rPr>
                <w:highlight w:val="green"/>
              </w:rPr>
            </w:pPr>
            <w:r w:rsidRPr="00BD192E">
              <w:t>Acting Deputy Secretary, Family Safety</w:t>
            </w:r>
            <w:r>
              <w:t> </w:t>
            </w:r>
            <w:r w:rsidRPr="00BD192E">
              <w:t>Victoria</w:t>
            </w:r>
          </w:p>
        </w:tc>
        <w:tc>
          <w:tcPr>
            <w:tcW w:w="3690" w:type="dxa"/>
            <w:tcBorders>
              <w:top w:val="single" w:sz="4" w:space="0" w:color="A6A6A6"/>
              <w:bottom w:val="single" w:sz="4" w:space="0" w:color="A6A6A6"/>
            </w:tcBorders>
            <w:noWrap/>
          </w:tcPr>
          <w:p w14:paraId="4A947B7A" w14:textId="77777777" w:rsidR="005B131E" w:rsidRPr="00BA7805" w:rsidRDefault="005B131E" w:rsidP="002542E1">
            <w:pPr>
              <w:pStyle w:val="ARfintablebody"/>
              <w:rPr>
                <w:highlight w:val="green"/>
              </w:rPr>
            </w:pPr>
            <w:r w:rsidRPr="00BD192E">
              <w:t>19 October 2023 to 27 October 2023</w:t>
            </w:r>
          </w:p>
        </w:tc>
      </w:tr>
      <w:tr w:rsidR="005B131E" w:rsidRPr="00BA7805" w14:paraId="663E9137" w14:textId="77777777" w:rsidTr="002542E1">
        <w:tc>
          <w:tcPr>
            <w:tcW w:w="2211" w:type="dxa"/>
            <w:tcBorders>
              <w:top w:val="single" w:sz="4" w:space="0" w:color="A6A6A6"/>
              <w:bottom w:val="single" w:sz="4" w:space="0" w:color="A6A6A6"/>
            </w:tcBorders>
          </w:tcPr>
          <w:p w14:paraId="0592D1ED"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6C8C2133" w14:textId="77777777" w:rsidR="005B131E" w:rsidRPr="00BA7805" w:rsidRDefault="005B131E" w:rsidP="002542E1">
            <w:pPr>
              <w:pStyle w:val="ARfintablebody"/>
              <w:rPr>
                <w:highlight w:val="green"/>
              </w:rPr>
            </w:pPr>
            <w:r w:rsidRPr="00BD192E">
              <w:t>Camille Kingston</w:t>
            </w:r>
          </w:p>
        </w:tc>
        <w:tc>
          <w:tcPr>
            <w:tcW w:w="1980" w:type="dxa"/>
            <w:tcBorders>
              <w:top w:val="single" w:sz="4" w:space="0" w:color="A6A6A6"/>
              <w:bottom w:val="single" w:sz="4" w:space="0" w:color="A6A6A6"/>
            </w:tcBorders>
          </w:tcPr>
          <w:p w14:paraId="56E292E5" w14:textId="77777777" w:rsidR="005B131E" w:rsidRPr="00BA7805" w:rsidRDefault="005B131E" w:rsidP="002542E1">
            <w:pPr>
              <w:pStyle w:val="ARfintablebody"/>
              <w:rPr>
                <w:highlight w:val="green"/>
              </w:rPr>
            </w:pPr>
            <w:r w:rsidRPr="00BD192E">
              <w:t>Chief Executive Officer, Homes Victoria</w:t>
            </w:r>
          </w:p>
        </w:tc>
        <w:tc>
          <w:tcPr>
            <w:tcW w:w="3690" w:type="dxa"/>
            <w:tcBorders>
              <w:top w:val="single" w:sz="4" w:space="0" w:color="A6A6A6"/>
              <w:bottom w:val="single" w:sz="4" w:space="0" w:color="A6A6A6"/>
            </w:tcBorders>
            <w:noWrap/>
          </w:tcPr>
          <w:p w14:paraId="4D2A2E49" w14:textId="77777777" w:rsidR="005B131E" w:rsidRPr="00BA7805" w:rsidRDefault="005B131E" w:rsidP="002542E1">
            <w:pPr>
              <w:pStyle w:val="ARfintablebody"/>
              <w:rPr>
                <w:highlight w:val="green"/>
              </w:rPr>
            </w:pPr>
            <w:r w:rsidRPr="00BD192E">
              <w:t>1 July 2023 to 28 July 2023</w:t>
            </w:r>
          </w:p>
        </w:tc>
      </w:tr>
      <w:tr w:rsidR="005B131E" w:rsidRPr="00BA7805" w14:paraId="27E52821" w14:textId="77777777" w:rsidTr="002542E1">
        <w:tc>
          <w:tcPr>
            <w:tcW w:w="2211" w:type="dxa"/>
            <w:tcBorders>
              <w:top w:val="single" w:sz="4" w:space="0" w:color="A6A6A6"/>
              <w:bottom w:val="single" w:sz="4" w:space="0" w:color="A6A6A6"/>
            </w:tcBorders>
          </w:tcPr>
          <w:p w14:paraId="0955DE00"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3E325282" w14:textId="77777777" w:rsidR="005B131E" w:rsidRPr="00BA7805" w:rsidRDefault="005B131E" w:rsidP="002542E1">
            <w:pPr>
              <w:pStyle w:val="ARfintablebody"/>
              <w:rPr>
                <w:highlight w:val="green"/>
              </w:rPr>
            </w:pPr>
            <w:r w:rsidRPr="00BD192E">
              <w:t>Simon Newport</w:t>
            </w:r>
          </w:p>
        </w:tc>
        <w:tc>
          <w:tcPr>
            <w:tcW w:w="1980" w:type="dxa"/>
            <w:tcBorders>
              <w:top w:val="single" w:sz="4" w:space="0" w:color="A6A6A6"/>
              <w:bottom w:val="single" w:sz="4" w:space="0" w:color="A6A6A6"/>
            </w:tcBorders>
          </w:tcPr>
          <w:p w14:paraId="2B941B05" w14:textId="77777777" w:rsidR="005B131E" w:rsidRPr="00BA7805" w:rsidRDefault="005B131E" w:rsidP="002542E1">
            <w:pPr>
              <w:pStyle w:val="ARfintablebody"/>
              <w:rPr>
                <w:highlight w:val="green"/>
              </w:rPr>
            </w:pPr>
            <w:r w:rsidRPr="00BD192E">
              <w:t>Chief Executive Officer, Homes Victoria</w:t>
            </w:r>
          </w:p>
        </w:tc>
        <w:tc>
          <w:tcPr>
            <w:tcW w:w="3690" w:type="dxa"/>
            <w:tcBorders>
              <w:top w:val="single" w:sz="4" w:space="0" w:color="A6A6A6"/>
              <w:bottom w:val="single" w:sz="4" w:space="0" w:color="A6A6A6"/>
            </w:tcBorders>
            <w:noWrap/>
          </w:tcPr>
          <w:p w14:paraId="6BDD67D4" w14:textId="77777777" w:rsidR="005B131E" w:rsidRPr="00BA7805" w:rsidRDefault="005B131E" w:rsidP="002542E1">
            <w:pPr>
              <w:pStyle w:val="ARfintablebody"/>
              <w:rPr>
                <w:highlight w:val="green"/>
              </w:rPr>
            </w:pPr>
            <w:r w:rsidRPr="00BD192E">
              <w:t>31 July 2023 to 30 June 2024</w:t>
            </w:r>
          </w:p>
        </w:tc>
      </w:tr>
      <w:tr w:rsidR="005B131E" w:rsidRPr="00BA7805" w14:paraId="157F5653" w14:textId="77777777" w:rsidTr="002542E1">
        <w:tc>
          <w:tcPr>
            <w:tcW w:w="2211" w:type="dxa"/>
            <w:tcBorders>
              <w:top w:val="single" w:sz="4" w:space="0" w:color="A6A6A6"/>
              <w:bottom w:val="single" w:sz="4" w:space="0" w:color="A6A6A6"/>
            </w:tcBorders>
          </w:tcPr>
          <w:p w14:paraId="1D41340F"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6976F485" w14:textId="77777777" w:rsidR="005B131E" w:rsidRPr="00BA7805" w:rsidRDefault="005B131E" w:rsidP="002542E1">
            <w:pPr>
              <w:pStyle w:val="ARfintablebody"/>
              <w:rPr>
                <w:highlight w:val="green"/>
              </w:rPr>
            </w:pPr>
            <w:r w:rsidRPr="00BD192E">
              <w:t>Nicola Young</w:t>
            </w:r>
          </w:p>
        </w:tc>
        <w:tc>
          <w:tcPr>
            <w:tcW w:w="1980" w:type="dxa"/>
            <w:tcBorders>
              <w:top w:val="single" w:sz="4" w:space="0" w:color="A6A6A6"/>
              <w:bottom w:val="single" w:sz="4" w:space="0" w:color="A6A6A6"/>
            </w:tcBorders>
          </w:tcPr>
          <w:p w14:paraId="138F80B0" w14:textId="77777777" w:rsidR="005B131E" w:rsidRPr="00BA7805" w:rsidRDefault="005B131E" w:rsidP="002542E1">
            <w:pPr>
              <w:pStyle w:val="ARfintablebody"/>
              <w:rPr>
                <w:highlight w:val="green"/>
              </w:rPr>
            </w:pPr>
            <w:r w:rsidRPr="00BD192E">
              <w:t>Deputy CEO, Homes</w:t>
            </w:r>
            <w:r>
              <w:t> </w:t>
            </w:r>
            <w:r w:rsidRPr="00BD192E">
              <w:t>Victoria</w:t>
            </w:r>
          </w:p>
        </w:tc>
        <w:tc>
          <w:tcPr>
            <w:tcW w:w="3690" w:type="dxa"/>
            <w:tcBorders>
              <w:top w:val="single" w:sz="4" w:space="0" w:color="A6A6A6"/>
              <w:bottom w:val="single" w:sz="4" w:space="0" w:color="A6A6A6"/>
            </w:tcBorders>
            <w:noWrap/>
          </w:tcPr>
          <w:p w14:paraId="0348A8C6" w14:textId="77777777" w:rsidR="005B131E" w:rsidRPr="00BA7805" w:rsidRDefault="005B131E" w:rsidP="002542E1">
            <w:pPr>
              <w:pStyle w:val="ARfintablebody"/>
              <w:rPr>
                <w:highlight w:val="green"/>
              </w:rPr>
            </w:pPr>
            <w:r w:rsidRPr="00BD192E">
              <w:t>1 July 2023 to 28 July 2023</w:t>
            </w:r>
          </w:p>
        </w:tc>
      </w:tr>
      <w:tr w:rsidR="005B131E" w:rsidRPr="00BA7805" w14:paraId="7E5FA803" w14:textId="77777777" w:rsidTr="002542E1">
        <w:tc>
          <w:tcPr>
            <w:tcW w:w="2211" w:type="dxa"/>
            <w:tcBorders>
              <w:top w:val="single" w:sz="4" w:space="0" w:color="A6A6A6"/>
              <w:bottom w:val="single" w:sz="4" w:space="0" w:color="A6A6A6"/>
            </w:tcBorders>
          </w:tcPr>
          <w:p w14:paraId="511F6FF1"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3E164D76" w14:textId="77777777" w:rsidR="005B131E" w:rsidRPr="00BA7805" w:rsidRDefault="005B131E" w:rsidP="002542E1">
            <w:pPr>
              <w:pStyle w:val="ARfintablebody"/>
              <w:rPr>
                <w:highlight w:val="green"/>
              </w:rPr>
            </w:pPr>
            <w:r w:rsidRPr="00BD192E">
              <w:t>Dannii de Krester</w:t>
            </w:r>
          </w:p>
        </w:tc>
        <w:tc>
          <w:tcPr>
            <w:tcW w:w="1980" w:type="dxa"/>
            <w:tcBorders>
              <w:top w:val="single" w:sz="4" w:space="0" w:color="A6A6A6"/>
              <w:bottom w:val="single" w:sz="4" w:space="0" w:color="A6A6A6"/>
            </w:tcBorders>
          </w:tcPr>
          <w:p w14:paraId="78A68AB2" w14:textId="77777777" w:rsidR="005B131E" w:rsidRPr="00BA7805" w:rsidRDefault="005B131E" w:rsidP="002542E1">
            <w:pPr>
              <w:pStyle w:val="ARfintablebody"/>
              <w:rPr>
                <w:highlight w:val="green"/>
              </w:rPr>
            </w:pPr>
            <w:r w:rsidRPr="00BD192E">
              <w:t>Deputy CEO, Homes</w:t>
            </w:r>
            <w:r>
              <w:t> </w:t>
            </w:r>
            <w:r w:rsidRPr="00BD192E">
              <w:t>Victoria</w:t>
            </w:r>
          </w:p>
        </w:tc>
        <w:tc>
          <w:tcPr>
            <w:tcW w:w="3690" w:type="dxa"/>
            <w:tcBorders>
              <w:top w:val="single" w:sz="4" w:space="0" w:color="A6A6A6"/>
              <w:bottom w:val="single" w:sz="4" w:space="0" w:color="A6A6A6"/>
            </w:tcBorders>
            <w:noWrap/>
          </w:tcPr>
          <w:p w14:paraId="2823BEE9" w14:textId="77777777" w:rsidR="005B131E" w:rsidRPr="00BA7805" w:rsidRDefault="005B131E" w:rsidP="002542E1">
            <w:pPr>
              <w:pStyle w:val="ARfintablebody"/>
              <w:rPr>
                <w:highlight w:val="green"/>
              </w:rPr>
            </w:pPr>
            <w:r w:rsidRPr="00BD192E">
              <w:t>31 July 2023 to 30 June 2024</w:t>
            </w:r>
          </w:p>
        </w:tc>
      </w:tr>
      <w:tr w:rsidR="005B131E" w:rsidRPr="00BA7805" w14:paraId="3FDDE152" w14:textId="77777777" w:rsidTr="002542E1">
        <w:tc>
          <w:tcPr>
            <w:tcW w:w="2211" w:type="dxa"/>
            <w:tcBorders>
              <w:top w:val="single" w:sz="4" w:space="0" w:color="A6A6A6"/>
              <w:bottom w:val="single" w:sz="4" w:space="0" w:color="A6A6A6"/>
            </w:tcBorders>
          </w:tcPr>
          <w:p w14:paraId="36BD8436"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A6A6A6"/>
            </w:tcBorders>
          </w:tcPr>
          <w:p w14:paraId="1F85CEAE" w14:textId="77777777" w:rsidR="005B131E" w:rsidRPr="00BA7805" w:rsidRDefault="005B131E" w:rsidP="002542E1">
            <w:pPr>
              <w:pStyle w:val="ARfintablebody"/>
              <w:rPr>
                <w:highlight w:val="green"/>
              </w:rPr>
            </w:pPr>
            <w:r w:rsidRPr="00BD192E">
              <w:t>Camille Kingston</w:t>
            </w:r>
          </w:p>
        </w:tc>
        <w:tc>
          <w:tcPr>
            <w:tcW w:w="1980" w:type="dxa"/>
            <w:tcBorders>
              <w:top w:val="single" w:sz="4" w:space="0" w:color="A6A6A6"/>
              <w:bottom w:val="single" w:sz="4" w:space="0" w:color="A6A6A6"/>
            </w:tcBorders>
          </w:tcPr>
          <w:p w14:paraId="6B56B27D" w14:textId="77777777" w:rsidR="005B131E" w:rsidRPr="00BA7805" w:rsidRDefault="005B131E" w:rsidP="002542E1">
            <w:pPr>
              <w:pStyle w:val="ARfintablebody"/>
              <w:rPr>
                <w:highlight w:val="green"/>
              </w:rPr>
            </w:pPr>
            <w:r w:rsidRPr="00BD192E">
              <w:t>Deputy Secretary, System Reform &amp;</w:t>
            </w:r>
            <w:r>
              <w:t> </w:t>
            </w:r>
            <w:r w:rsidRPr="00BD192E">
              <w:t>Workforce</w:t>
            </w:r>
          </w:p>
        </w:tc>
        <w:tc>
          <w:tcPr>
            <w:tcW w:w="3690" w:type="dxa"/>
            <w:tcBorders>
              <w:top w:val="single" w:sz="4" w:space="0" w:color="A6A6A6"/>
              <w:bottom w:val="single" w:sz="4" w:space="0" w:color="A6A6A6"/>
            </w:tcBorders>
            <w:noWrap/>
          </w:tcPr>
          <w:p w14:paraId="780A57F9" w14:textId="77777777" w:rsidR="005B131E" w:rsidRPr="00BA7805" w:rsidRDefault="005B131E" w:rsidP="002542E1">
            <w:pPr>
              <w:pStyle w:val="ARfintablebody"/>
              <w:rPr>
                <w:highlight w:val="green"/>
              </w:rPr>
            </w:pPr>
            <w:r w:rsidRPr="00BD192E">
              <w:t>1 July 2023 to 21 December 2023</w:t>
            </w:r>
          </w:p>
        </w:tc>
      </w:tr>
      <w:tr w:rsidR="005B131E" w:rsidRPr="00BA7805" w14:paraId="0C3E1122" w14:textId="77777777" w:rsidTr="002542E1">
        <w:tc>
          <w:tcPr>
            <w:tcW w:w="2211" w:type="dxa"/>
            <w:tcBorders>
              <w:top w:val="single" w:sz="4" w:space="0" w:color="A6A6A6"/>
              <w:bottom w:val="single" w:sz="4" w:space="0" w:color="000000" w:themeColor="text1"/>
            </w:tcBorders>
          </w:tcPr>
          <w:p w14:paraId="3E19D5FD" w14:textId="77777777" w:rsidR="005B131E" w:rsidRPr="00BA7805" w:rsidRDefault="005B131E" w:rsidP="002542E1">
            <w:pPr>
              <w:pStyle w:val="ARfintablebody"/>
              <w:rPr>
                <w:highlight w:val="green"/>
              </w:rPr>
            </w:pPr>
            <w:r w:rsidRPr="00BD192E">
              <w:t>Department of Families, Fairness and Housing</w:t>
            </w:r>
          </w:p>
        </w:tc>
        <w:tc>
          <w:tcPr>
            <w:tcW w:w="1758" w:type="dxa"/>
            <w:tcBorders>
              <w:top w:val="single" w:sz="4" w:space="0" w:color="A6A6A6"/>
              <w:bottom w:val="single" w:sz="4" w:space="0" w:color="000000" w:themeColor="text1"/>
            </w:tcBorders>
          </w:tcPr>
          <w:p w14:paraId="00332487" w14:textId="77777777" w:rsidR="005B131E" w:rsidRPr="00BA7805" w:rsidRDefault="005B131E" w:rsidP="002542E1">
            <w:pPr>
              <w:pStyle w:val="ARfintablebody"/>
              <w:rPr>
                <w:highlight w:val="green"/>
              </w:rPr>
            </w:pPr>
            <w:r w:rsidRPr="00BD192E">
              <w:t>Drew Warne-Smith</w:t>
            </w:r>
          </w:p>
        </w:tc>
        <w:tc>
          <w:tcPr>
            <w:tcW w:w="1980" w:type="dxa"/>
            <w:tcBorders>
              <w:top w:val="single" w:sz="4" w:space="0" w:color="A6A6A6"/>
              <w:bottom w:val="single" w:sz="4" w:space="0" w:color="000000" w:themeColor="text1"/>
            </w:tcBorders>
          </w:tcPr>
          <w:p w14:paraId="450D0BCF" w14:textId="77777777" w:rsidR="005B131E" w:rsidRPr="00BA7805" w:rsidRDefault="005B131E" w:rsidP="002542E1">
            <w:pPr>
              <w:pStyle w:val="ARfintablebody"/>
              <w:rPr>
                <w:highlight w:val="green"/>
              </w:rPr>
            </w:pPr>
            <w:r>
              <w:t xml:space="preserve">Acting </w:t>
            </w:r>
            <w:r w:rsidRPr="00BD192E">
              <w:t>Deputy Secretary, System Reform &amp;</w:t>
            </w:r>
            <w:r>
              <w:t> </w:t>
            </w:r>
            <w:r w:rsidRPr="00BD192E">
              <w:t>Workforce</w:t>
            </w:r>
          </w:p>
        </w:tc>
        <w:tc>
          <w:tcPr>
            <w:tcW w:w="3690" w:type="dxa"/>
            <w:tcBorders>
              <w:top w:val="single" w:sz="4" w:space="0" w:color="A6A6A6"/>
              <w:bottom w:val="single" w:sz="4" w:space="0" w:color="000000" w:themeColor="text1"/>
            </w:tcBorders>
            <w:noWrap/>
          </w:tcPr>
          <w:p w14:paraId="208AE9F5" w14:textId="77777777" w:rsidR="005B131E" w:rsidRPr="00BA7805" w:rsidRDefault="005B131E" w:rsidP="002542E1">
            <w:pPr>
              <w:pStyle w:val="ARfintablebody"/>
              <w:rPr>
                <w:highlight w:val="green"/>
              </w:rPr>
            </w:pPr>
            <w:r w:rsidRPr="00BD192E">
              <w:t>22 December 2023 to 30 June 2024</w:t>
            </w:r>
          </w:p>
        </w:tc>
      </w:tr>
    </w:tbl>
    <w:p w14:paraId="66E89CF5" w14:textId="77777777" w:rsidR="002F371F" w:rsidRDefault="002F371F" w:rsidP="002F371F">
      <w:pPr>
        <w:pStyle w:val="ARbody"/>
        <w:rPr>
          <w:rFonts w:eastAsia="MS Mincho"/>
          <w:color w:val="000000"/>
          <w:sz w:val="18"/>
          <w:szCs w:val="16"/>
          <w:lang w:eastAsia="en-AU"/>
        </w:rPr>
      </w:pPr>
      <w:r>
        <w:br w:type="page"/>
      </w:r>
    </w:p>
    <w:p w14:paraId="4423F083" w14:textId="0CC1BACC" w:rsidR="005B131E" w:rsidRPr="00BA7805" w:rsidRDefault="005B131E" w:rsidP="002542E1">
      <w:pPr>
        <w:pStyle w:val="ARfinbodyafterandbeforetable"/>
        <w:rPr>
          <w:highlight w:val="green"/>
        </w:rPr>
      </w:pPr>
      <w:r w:rsidRPr="005441F8">
        <w:t xml:space="preserve">Key management personnel of the agencies amalgamated pursuant to s. 53(1)(b) of the </w:t>
      </w:r>
      <w:r w:rsidRPr="005441F8">
        <w:rPr>
          <w:rStyle w:val="Emphasis"/>
        </w:rPr>
        <w:t>Financial Management Act</w:t>
      </w:r>
      <w:r w:rsidR="002F371F">
        <w:rPr>
          <w:rStyle w:val="Emphasis"/>
        </w:rPr>
        <w:t> </w:t>
      </w:r>
      <w:r w:rsidRPr="005441F8">
        <w:rPr>
          <w:rStyle w:val="Emphasis"/>
        </w:rPr>
        <w:t>1994</w:t>
      </w:r>
      <w:r w:rsidRPr="005441F8">
        <w:t xml:space="preserve"> into the </w:t>
      </w:r>
      <w:r w:rsidRPr="008D0D48">
        <w:t>department</w:t>
      </w:r>
      <w:r w:rsidR="00711AE6">
        <w:t>’</w:t>
      </w:r>
      <w:r w:rsidRPr="008D0D48">
        <w:t>s</w:t>
      </w:r>
      <w:r w:rsidRPr="005441F8">
        <w:t xml:space="preserve"> financial statements include:</w:t>
      </w:r>
    </w:p>
    <w:tbl>
      <w:tblPr>
        <w:tblStyle w:val="TableGrid"/>
        <w:tblW w:w="9639" w:type="dxa"/>
        <w:tblLayout w:type="fixed"/>
        <w:tblLook w:val="06A0" w:firstRow="1" w:lastRow="0" w:firstColumn="1" w:lastColumn="0" w:noHBand="1" w:noVBand="1"/>
      </w:tblPr>
      <w:tblGrid>
        <w:gridCol w:w="2211"/>
        <w:gridCol w:w="1758"/>
        <w:gridCol w:w="1980"/>
        <w:gridCol w:w="3690"/>
      </w:tblGrid>
      <w:tr w:rsidR="005B131E" w:rsidRPr="00BA7805" w14:paraId="6D25FEA7"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2211" w:type="dxa"/>
            <w:tcBorders>
              <w:bottom w:val="single" w:sz="4" w:space="0" w:color="auto"/>
            </w:tcBorders>
          </w:tcPr>
          <w:p w14:paraId="31CE9D0B" w14:textId="77777777" w:rsidR="005B131E" w:rsidRPr="00FA0C3B" w:rsidRDefault="005B131E">
            <w:pPr>
              <w:pStyle w:val="ARfintablecolhead"/>
            </w:pPr>
            <w:r w:rsidRPr="00FA0C3B">
              <w:t>Entity</w:t>
            </w:r>
          </w:p>
        </w:tc>
        <w:tc>
          <w:tcPr>
            <w:tcW w:w="1758" w:type="dxa"/>
            <w:tcBorders>
              <w:bottom w:val="single" w:sz="4" w:space="0" w:color="auto"/>
            </w:tcBorders>
          </w:tcPr>
          <w:p w14:paraId="5E6B8576" w14:textId="77777777" w:rsidR="005B131E" w:rsidRPr="00FA0C3B" w:rsidRDefault="005B131E">
            <w:pPr>
              <w:pStyle w:val="ARfintablecolhead"/>
            </w:pPr>
            <w:r w:rsidRPr="00FA0C3B">
              <w:t>Key management personnel</w:t>
            </w:r>
          </w:p>
        </w:tc>
        <w:tc>
          <w:tcPr>
            <w:tcW w:w="1980" w:type="dxa"/>
            <w:tcBorders>
              <w:bottom w:val="single" w:sz="4" w:space="0" w:color="auto"/>
            </w:tcBorders>
          </w:tcPr>
          <w:p w14:paraId="5DEBF13B" w14:textId="77777777" w:rsidR="005B131E" w:rsidRPr="00FA0C3B" w:rsidRDefault="005B131E">
            <w:pPr>
              <w:pStyle w:val="ARfintablecolhead"/>
            </w:pPr>
            <w:r w:rsidRPr="00FA0C3B">
              <w:t>Position title</w:t>
            </w:r>
          </w:p>
        </w:tc>
        <w:tc>
          <w:tcPr>
            <w:tcW w:w="3690" w:type="dxa"/>
            <w:tcBorders>
              <w:bottom w:val="single" w:sz="4" w:space="0" w:color="auto"/>
            </w:tcBorders>
          </w:tcPr>
          <w:p w14:paraId="3F925DD1" w14:textId="77777777" w:rsidR="005B131E" w:rsidRPr="00FA0C3B" w:rsidRDefault="005B131E">
            <w:pPr>
              <w:pStyle w:val="ARfintablecolhead"/>
            </w:pPr>
            <w:r w:rsidRPr="00FA0C3B">
              <w:t>Period</w:t>
            </w:r>
          </w:p>
        </w:tc>
      </w:tr>
      <w:tr w:rsidR="005B131E" w:rsidRPr="00BA7805" w14:paraId="45CA9E83" w14:textId="77777777" w:rsidTr="002542E1">
        <w:trPr>
          <w:cantSplit w:val="0"/>
        </w:trPr>
        <w:tc>
          <w:tcPr>
            <w:tcW w:w="2211" w:type="dxa"/>
            <w:tcBorders>
              <w:top w:val="single" w:sz="4" w:space="0" w:color="A6A6A6"/>
              <w:bottom w:val="single" w:sz="4" w:space="0" w:color="A6A6A6"/>
            </w:tcBorders>
          </w:tcPr>
          <w:p w14:paraId="65A743CD" w14:textId="77777777" w:rsidR="005B131E" w:rsidRPr="00BA7805" w:rsidRDefault="005B131E" w:rsidP="002542E1">
            <w:pPr>
              <w:pStyle w:val="ARfintablebody"/>
              <w:rPr>
                <w:highlight w:val="green"/>
              </w:rPr>
            </w:pPr>
            <w:r w:rsidRPr="00337DA0">
              <w:t>Commission for Children &amp; Young People</w:t>
            </w:r>
          </w:p>
        </w:tc>
        <w:tc>
          <w:tcPr>
            <w:tcW w:w="1758" w:type="dxa"/>
            <w:tcBorders>
              <w:top w:val="single" w:sz="4" w:space="0" w:color="A6A6A6"/>
              <w:bottom w:val="single" w:sz="4" w:space="0" w:color="A6A6A6"/>
            </w:tcBorders>
          </w:tcPr>
          <w:p w14:paraId="5CE1087B" w14:textId="77777777" w:rsidR="005B131E" w:rsidRPr="00BA7805" w:rsidRDefault="005B131E" w:rsidP="002542E1">
            <w:pPr>
              <w:pStyle w:val="ARfintablebody"/>
              <w:rPr>
                <w:highlight w:val="green"/>
              </w:rPr>
            </w:pPr>
            <w:r w:rsidRPr="00337DA0">
              <w:t>Meena Singh</w:t>
            </w:r>
          </w:p>
        </w:tc>
        <w:tc>
          <w:tcPr>
            <w:tcW w:w="1980" w:type="dxa"/>
            <w:tcBorders>
              <w:top w:val="single" w:sz="4" w:space="0" w:color="A6A6A6"/>
              <w:bottom w:val="single" w:sz="4" w:space="0" w:color="A6A6A6"/>
            </w:tcBorders>
          </w:tcPr>
          <w:p w14:paraId="400F3DEF" w14:textId="77777777" w:rsidR="005B131E" w:rsidRPr="00BA7805" w:rsidRDefault="005B131E" w:rsidP="002542E1">
            <w:pPr>
              <w:pStyle w:val="ARfintablebody"/>
              <w:rPr>
                <w:highlight w:val="green"/>
              </w:rPr>
            </w:pPr>
            <w:r w:rsidRPr="00337DA0">
              <w:t>Commissioner</w:t>
            </w:r>
          </w:p>
        </w:tc>
        <w:tc>
          <w:tcPr>
            <w:tcW w:w="3690" w:type="dxa"/>
            <w:tcBorders>
              <w:top w:val="single" w:sz="4" w:space="0" w:color="A6A6A6"/>
              <w:bottom w:val="single" w:sz="4" w:space="0" w:color="A6A6A6"/>
            </w:tcBorders>
          </w:tcPr>
          <w:p w14:paraId="23C7DF34" w14:textId="77777777" w:rsidR="005B131E" w:rsidRPr="00BA7805" w:rsidRDefault="005B131E" w:rsidP="002542E1">
            <w:pPr>
              <w:pStyle w:val="ARfintablebody"/>
              <w:rPr>
                <w:highlight w:val="green"/>
              </w:rPr>
            </w:pPr>
            <w:r w:rsidRPr="00337DA0">
              <w:t>1 July 2023 to 30 June 2024</w:t>
            </w:r>
          </w:p>
        </w:tc>
      </w:tr>
      <w:tr w:rsidR="005B131E" w:rsidRPr="00BA7805" w14:paraId="001E6BA3" w14:textId="77777777" w:rsidTr="002542E1">
        <w:trPr>
          <w:cantSplit w:val="0"/>
        </w:trPr>
        <w:tc>
          <w:tcPr>
            <w:tcW w:w="2211" w:type="dxa"/>
            <w:tcBorders>
              <w:top w:val="single" w:sz="4" w:space="0" w:color="A6A6A6"/>
              <w:bottom w:val="single" w:sz="4" w:space="0" w:color="A6A6A6"/>
            </w:tcBorders>
          </w:tcPr>
          <w:p w14:paraId="092FF284" w14:textId="77777777" w:rsidR="005B131E" w:rsidRPr="00BA7805" w:rsidRDefault="005B131E" w:rsidP="002542E1">
            <w:pPr>
              <w:pStyle w:val="ARfintablebody"/>
              <w:rPr>
                <w:highlight w:val="green"/>
              </w:rPr>
            </w:pPr>
            <w:r w:rsidRPr="00337DA0">
              <w:t>Commission for Children &amp; Young People</w:t>
            </w:r>
          </w:p>
        </w:tc>
        <w:tc>
          <w:tcPr>
            <w:tcW w:w="1758" w:type="dxa"/>
            <w:tcBorders>
              <w:top w:val="single" w:sz="4" w:space="0" w:color="A6A6A6"/>
              <w:bottom w:val="single" w:sz="4" w:space="0" w:color="A6A6A6"/>
            </w:tcBorders>
          </w:tcPr>
          <w:p w14:paraId="0F776D26" w14:textId="77777777" w:rsidR="005B131E" w:rsidRPr="00BA7805" w:rsidRDefault="005B131E" w:rsidP="002542E1">
            <w:pPr>
              <w:pStyle w:val="ARfintablebody"/>
              <w:rPr>
                <w:highlight w:val="green"/>
              </w:rPr>
            </w:pPr>
            <w:r w:rsidRPr="00337DA0">
              <w:t>Liana Buchanan</w:t>
            </w:r>
          </w:p>
        </w:tc>
        <w:tc>
          <w:tcPr>
            <w:tcW w:w="1980" w:type="dxa"/>
            <w:tcBorders>
              <w:top w:val="single" w:sz="4" w:space="0" w:color="A6A6A6"/>
              <w:bottom w:val="single" w:sz="4" w:space="0" w:color="A6A6A6"/>
            </w:tcBorders>
          </w:tcPr>
          <w:p w14:paraId="73A3114F" w14:textId="77777777" w:rsidR="005B131E" w:rsidRPr="00BA7805" w:rsidRDefault="005B131E" w:rsidP="002542E1">
            <w:pPr>
              <w:pStyle w:val="ARfintablebody"/>
              <w:rPr>
                <w:highlight w:val="green"/>
              </w:rPr>
            </w:pPr>
            <w:r w:rsidRPr="00337DA0">
              <w:t>Principal Commissioner</w:t>
            </w:r>
          </w:p>
        </w:tc>
        <w:tc>
          <w:tcPr>
            <w:tcW w:w="3690" w:type="dxa"/>
            <w:tcBorders>
              <w:top w:val="single" w:sz="4" w:space="0" w:color="A6A6A6"/>
              <w:bottom w:val="single" w:sz="4" w:space="0" w:color="A6A6A6"/>
            </w:tcBorders>
          </w:tcPr>
          <w:p w14:paraId="51DC00FB" w14:textId="77777777" w:rsidR="005B131E" w:rsidRPr="00BA7805" w:rsidRDefault="005B131E" w:rsidP="002542E1">
            <w:pPr>
              <w:pStyle w:val="ARfintablebody"/>
              <w:rPr>
                <w:highlight w:val="green"/>
              </w:rPr>
            </w:pPr>
            <w:r w:rsidRPr="00337DA0">
              <w:t>1 July 2023 to 30 June 2024</w:t>
            </w:r>
          </w:p>
        </w:tc>
      </w:tr>
      <w:tr w:rsidR="005B131E" w:rsidRPr="00BA7805" w14:paraId="7D243EC9" w14:textId="77777777" w:rsidTr="002542E1">
        <w:trPr>
          <w:cantSplit w:val="0"/>
        </w:trPr>
        <w:tc>
          <w:tcPr>
            <w:tcW w:w="2211" w:type="dxa"/>
            <w:tcBorders>
              <w:top w:val="single" w:sz="4" w:space="0" w:color="A6A6A6"/>
              <w:bottom w:val="single" w:sz="4" w:space="0" w:color="A6A6A6"/>
            </w:tcBorders>
          </w:tcPr>
          <w:p w14:paraId="2A140683" w14:textId="77777777" w:rsidR="005B131E" w:rsidRPr="00BA7805" w:rsidRDefault="005B131E" w:rsidP="002542E1">
            <w:pPr>
              <w:pStyle w:val="ARfintablebody"/>
              <w:rPr>
                <w:highlight w:val="green"/>
              </w:rPr>
            </w:pPr>
            <w:r w:rsidRPr="00337DA0">
              <w:t>Commission for Children &amp; Young People</w:t>
            </w:r>
          </w:p>
        </w:tc>
        <w:tc>
          <w:tcPr>
            <w:tcW w:w="1758" w:type="dxa"/>
            <w:tcBorders>
              <w:top w:val="single" w:sz="4" w:space="0" w:color="A6A6A6"/>
              <w:bottom w:val="single" w:sz="4" w:space="0" w:color="A6A6A6"/>
            </w:tcBorders>
          </w:tcPr>
          <w:p w14:paraId="5D4A8F34" w14:textId="77777777" w:rsidR="005B131E" w:rsidRPr="00BA7805" w:rsidRDefault="005B131E" w:rsidP="002542E1">
            <w:pPr>
              <w:pStyle w:val="ARfintablebody"/>
              <w:rPr>
                <w:highlight w:val="green"/>
              </w:rPr>
            </w:pPr>
            <w:r w:rsidRPr="00337DA0">
              <w:t>Leanne Barnes</w:t>
            </w:r>
          </w:p>
        </w:tc>
        <w:tc>
          <w:tcPr>
            <w:tcW w:w="1980" w:type="dxa"/>
            <w:tcBorders>
              <w:top w:val="single" w:sz="4" w:space="0" w:color="A6A6A6"/>
              <w:bottom w:val="single" w:sz="4" w:space="0" w:color="A6A6A6"/>
            </w:tcBorders>
          </w:tcPr>
          <w:p w14:paraId="1064AE49" w14:textId="77777777" w:rsidR="005B131E" w:rsidRPr="00BA7805" w:rsidRDefault="005B131E" w:rsidP="002542E1">
            <w:pPr>
              <w:pStyle w:val="ARfintablebody"/>
              <w:rPr>
                <w:highlight w:val="green"/>
              </w:rPr>
            </w:pPr>
            <w:r w:rsidRPr="00337DA0">
              <w:t>Chief Executive Officer</w:t>
            </w:r>
          </w:p>
        </w:tc>
        <w:tc>
          <w:tcPr>
            <w:tcW w:w="3690" w:type="dxa"/>
            <w:tcBorders>
              <w:top w:val="single" w:sz="4" w:space="0" w:color="A6A6A6"/>
              <w:bottom w:val="single" w:sz="4" w:space="0" w:color="A6A6A6"/>
            </w:tcBorders>
          </w:tcPr>
          <w:p w14:paraId="017EEBAF" w14:textId="77777777" w:rsidR="005B131E" w:rsidRPr="00BA7805" w:rsidRDefault="005B131E" w:rsidP="002542E1">
            <w:pPr>
              <w:pStyle w:val="ARfintablebody"/>
              <w:rPr>
                <w:highlight w:val="green"/>
              </w:rPr>
            </w:pPr>
            <w:r w:rsidRPr="00337DA0">
              <w:t>1 July 2023 to 30 June 2024</w:t>
            </w:r>
          </w:p>
        </w:tc>
      </w:tr>
      <w:tr w:rsidR="005B131E" w:rsidRPr="00BA7805" w14:paraId="3C6C9FEB" w14:textId="77777777" w:rsidTr="002542E1">
        <w:trPr>
          <w:cantSplit w:val="0"/>
        </w:trPr>
        <w:tc>
          <w:tcPr>
            <w:tcW w:w="2211" w:type="dxa"/>
            <w:tcBorders>
              <w:top w:val="single" w:sz="4" w:space="0" w:color="A6A6A6"/>
              <w:bottom w:val="single" w:sz="4" w:space="0" w:color="A6A6A6"/>
            </w:tcBorders>
          </w:tcPr>
          <w:p w14:paraId="72899749" w14:textId="77777777" w:rsidR="005B131E" w:rsidRPr="00BA7805" w:rsidRDefault="005B131E" w:rsidP="002542E1">
            <w:pPr>
              <w:pStyle w:val="ARfintablebody"/>
              <w:rPr>
                <w:highlight w:val="green"/>
              </w:rPr>
            </w:pPr>
            <w:r w:rsidRPr="00337DA0">
              <w:t>Commission for Children &amp; Young People</w:t>
            </w:r>
          </w:p>
        </w:tc>
        <w:tc>
          <w:tcPr>
            <w:tcW w:w="1758" w:type="dxa"/>
            <w:tcBorders>
              <w:top w:val="single" w:sz="4" w:space="0" w:color="A6A6A6"/>
              <w:bottom w:val="single" w:sz="4" w:space="0" w:color="A6A6A6"/>
            </w:tcBorders>
          </w:tcPr>
          <w:p w14:paraId="237DB10D" w14:textId="77777777" w:rsidR="005B131E" w:rsidRPr="00BA7805" w:rsidRDefault="005B131E" w:rsidP="002542E1">
            <w:pPr>
              <w:pStyle w:val="ARfintablebody"/>
              <w:rPr>
                <w:highlight w:val="green"/>
              </w:rPr>
            </w:pPr>
            <w:r w:rsidRPr="00337DA0">
              <w:t>Todd Sweeney</w:t>
            </w:r>
          </w:p>
        </w:tc>
        <w:tc>
          <w:tcPr>
            <w:tcW w:w="1980" w:type="dxa"/>
            <w:tcBorders>
              <w:top w:val="single" w:sz="4" w:space="0" w:color="A6A6A6"/>
              <w:bottom w:val="single" w:sz="4" w:space="0" w:color="A6A6A6"/>
            </w:tcBorders>
          </w:tcPr>
          <w:p w14:paraId="27FDF7FF" w14:textId="77777777" w:rsidR="005B131E" w:rsidRPr="00BA7805" w:rsidRDefault="005B131E" w:rsidP="002542E1">
            <w:pPr>
              <w:pStyle w:val="ARfintablebody"/>
              <w:rPr>
                <w:highlight w:val="green"/>
              </w:rPr>
            </w:pPr>
            <w:r w:rsidRPr="00337DA0">
              <w:t>Acting Chief Executive</w:t>
            </w:r>
            <w:r>
              <w:t> </w:t>
            </w:r>
            <w:r w:rsidRPr="00337DA0">
              <w:t>Officer</w:t>
            </w:r>
          </w:p>
        </w:tc>
        <w:tc>
          <w:tcPr>
            <w:tcW w:w="3690" w:type="dxa"/>
            <w:tcBorders>
              <w:top w:val="single" w:sz="4" w:space="0" w:color="A6A6A6"/>
              <w:bottom w:val="single" w:sz="4" w:space="0" w:color="A6A6A6"/>
            </w:tcBorders>
          </w:tcPr>
          <w:p w14:paraId="551FB4EC" w14:textId="77777777" w:rsidR="005B131E" w:rsidRPr="00BA7805" w:rsidRDefault="005B131E" w:rsidP="002542E1">
            <w:pPr>
              <w:pStyle w:val="ARfintablebody"/>
              <w:rPr>
                <w:highlight w:val="green"/>
              </w:rPr>
            </w:pPr>
            <w:r w:rsidRPr="00337DA0">
              <w:t>18 December 2023 to 5 January 2024</w:t>
            </w:r>
          </w:p>
        </w:tc>
      </w:tr>
      <w:tr w:rsidR="005B131E" w:rsidRPr="00BA7805" w14:paraId="083D18AC" w14:textId="77777777" w:rsidTr="002542E1">
        <w:trPr>
          <w:cantSplit w:val="0"/>
        </w:trPr>
        <w:tc>
          <w:tcPr>
            <w:tcW w:w="2211" w:type="dxa"/>
            <w:tcBorders>
              <w:top w:val="single" w:sz="4" w:space="0" w:color="A6A6A6"/>
              <w:bottom w:val="single" w:sz="4" w:space="0" w:color="A6A6A6"/>
            </w:tcBorders>
          </w:tcPr>
          <w:p w14:paraId="2E3FE093" w14:textId="77777777" w:rsidR="005B131E" w:rsidRPr="00BA7805" w:rsidRDefault="005B131E" w:rsidP="002542E1">
            <w:pPr>
              <w:pStyle w:val="ARfintablebody"/>
              <w:rPr>
                <w:highlight w:val="green"/>
              </w:rPr>
            </w:pPr>
            <w:r w:rsidRPr="00337DA0">
              <w:t>Disability Services Commissioner</w:t>
            </w:r>
          </w:p>
        </w:tc>
        <w:tc>
          <w:tcPr>
            <w:tcW w:w="1758" w:type="dxa"/>
            <w:tcBorders>
              <w:top w:val="single" w:sz="4" w:space="0" w:color="A6A6A6"/>
              <w:bottom w:val="single" w:sz="4" w:space="0" w:color="A6A6A6"/>
            </w:tcBorders>
          </w:tcPr>
          <w:p w14:paraId="639737F3" w14:textId="77777777" w:rsidR="005B131E" w:rsidRPr="00BA7805" w:rsidRDefault="005B131E" w:rsidP="002542E1">
            <w:pPr>
              <w:pStyle w:val="ARfintablebody"/>
              <w:rPr>
                <w:highlight w:val="green"/>
              </w:rPr>
            </w:pPr>
            <w:r w:rsidRPr="00337DA0">
              <w:t>Jennifer Jackson-Hall</w:t>
            </w:r>
          </w:p>
        </w:tc>
        <w:tc>
          <w:tcPr>
            <w:tcW w:w="1980" w:type="dxa"/>
            <w:tcBorders>
              <w:top w:val="single" w:sz="4" w:space="0" w:color="A6A6A6"/>
              <w:bottom w:val="single" w:sz="4" w:space="0" w:color="A6A6A6"/>
            </w:tcBorders>
          </w:tcPr>
          <w:p w14:paraId="3B4A493B" w14:textId="77777777" w:rsidR="005B131E" w:rsidRPr="00BA7805" w:rsidRDefault="005B131E" w:rsidP="002542E1">
            <w:pPr>
              <w:pStyle w:val="ARfintablebody"/>
              <w:rPr>
                <w:highlight w:val="green"/>
              </w:rPr>
            </w:pPr>
            <w:r w:rsidRPr="00337DA0">
              <w:t>Commissioner</w:t>
            </w:r>
          </w:p>
        </w:tc>
        <w:tc>
          <w:tcPr>
            <w:tcW w:w="3690" w:type="dxa"/>
            <w:tcBorders>
              <w:top w:val="single" w:sz="4" w:space="0" w:color="A6A6A6"/>
              <w:bottom w:val="single" w:sz="4" w:space="0" w:color="A6A6A6"/>
            </w:tcBorders>
          </w:tcPr>
          <w:p w14:paraId="2BE8421D" w14:textId="77777777" w:rsidR="005B131E" w:rsidRPr="00BA7805" w:rsidRDefault="005B131E" w:rsidP="002542E1">
            <w:pPr>
              <w:pStyle w:val="ARfintablebody"/>
              <w:rPr>
                <w:highlight w:val="green"/>
              </w:rPr>
            </w:pPr>
            <w:r w:rsidRPr="00337DA0">
              <w:t>12 December 2023 to 30 June 2024</w:t>
            </w:r>
          </w:p>
        </w:tc>
      </w:tr>
      <w:tr w:rsidR="005B131E" w:rsidRPr="00BA7805" w14:paraId="12C5CD7D" w14:textId="77777777" w:rsidTr="002542E1">
        <w:trPr>
          <w:cantSplit w:val="0"/>
        </w:trPr>
        <w:tc>
          <w:tcPr>
            <w:tcW w:w="2211" w:type="dxa"/>
            <w:tcBorders>
              <w:top w:val="single" w:sz="4" w:space="0" w:color="A6A6A6"/>
              <w:bottom w:val="single" w:sz="4" w:space="0" w:color="A6A6A6"/>
            </w:tcBorders>
          </w:tcPr>
          <w:p w14:paraId="2AE83290" w14:textId="77777777" w:rsidR="005B131E" w:rsidRPr="00BA7805" w:rsidRDefault="005B131E" w:rsidP="002542E1">
            <w:pPr>
              <w:pStyle w:val="ARfintablebody"/>
              <w:rPr>
                <w:highlight w:val="green"/>
              </w:rPr>
            </w:pPr>
            <w:r w:rsidRPr="00337DA0">
              <w:t>Disability Worker Registration Board of</w:t>
            </w:r>
            <w:r>
              <w:t> </w:t>
            </w:r>
            <w:r w:rsidRPr="00337DA0">
              <w:t xml:space="preserve">Victoria </w:t>
            </w:r>
          </w:p>
        </w:tc>
        <w:tc>
          <w:tcPr>
            <w:tcW w:w="1758" w:type="dxa"/>
            <w:tcBorders>
              <w:top w:val="single" w:sz="4" w:space="0" w:color="A6A6A6"/>
              <w:bottom w:val="single" w:sz="4" w:space="0" w:color="A6A6A6"/>
            </w:tcBorders>
          </w:tcPr>
          <w:p w14:paraId="28E87B02" w14:textId="77777777" w:rsidR="005B131E" w:rsidRPr="00BA7805" w:rsidRDefault="005B131E" w:rsidP="002542E1">
            <w:pPr>
              <w:pStyle w:val="ARfintablebody"/>
              <w:rPr>
                <w:highlight w:val="green"/>
              </w:rPr>
            </w:pPr>
            <w:r w:rsidRPr="00337DA0">
              <w:t>Melanie Eagle</w:t>
            </w:r>
          </w:p>
        </w:tc>
        <w:tc>
          <w:tcPr>
            <w:tcW w:w="1980" w:type="dxa"/>
            <w:tcBorders>
              <w:top w:val="single" w:sz="4" w:space="0" w:color="A6A6A6"/>
              <w:bottom w:val="single" w:sz="4" w:space="0" w:color="A6A6A6"/>
            </w:tcBorders>
          </w:tcPr>
          <w:p w14:paraId="79C3B425" w14:textId="77777777" w:rsidR="005B131E" w:rsidRPr="00BA7805" w:rsidRDefault="005B131E" w:rsidP="002542E1">
            <w:pPr>
              <w:pStyle w:val="ARfintablebody"/>
              <w:rPr>
                <w:highlight w:val="green"/>
              </w:rPr>
            </w:pPr>
            <w:r w:rsidRPr="00337DA0">
              <w:t>Chairperson</w:t>
            </w:r>
          </w:p>
        </w:tc>
        <w:tc>
          <w:tcPr>
            <w:tcW w:w="3690" w:type="dxa"/>
            <w:tcBorders>
              <w:top w:val="single" w:sz="4" w:space="0" w:color="A6A6A6"/>
              <w:bottom w:val="single" w:sz="4" w:space="0" w:color="A6A6A6"/>
            </w:tcBorders>
          </w:tcPr>
          <w:p w14:paraId="63E2E706" w14:textId="77777777" w:rsidR="005B131E" w:rsidRPr="00BA7805" w:rsidRDefault="005B131E" w:rsidP="002542E1">
            <w:pPr>
              <w:pStyle w:val="ARfintablebody"/>
              <w:rPr>
                <w:highlight w:val="green"/>
              </w:rPr>
            </w:pPr>
            <w:r w:rsidRPr="00337DA0">
              <w:t>1 July 2023 to 30 June 2024</w:t>
            </w:r>
          </w:p>
        </w:tc>
      </w:tr>
      <w:tr w:rsidR="005B131E" w:rsidRPr="00BA7805" w14:paraId="02192D9A" w14:textId="77777777" w:rsidTr="002542E1">
        <w:trPr>
          <w:cantSplit w:val="0"/>
        </w:trPr>
        <w:tc>
          <w:tcPr>
            <w:tcW w:w="2211" w:type="dxa"/>
            <w:tcBorders>
              <w:top w:val="single" w:sz="4" w:space="0" w:color="A6A6A6"/>
              <w:bottom w:val="single" w:sz="4" w:space="0" w:color="A6A6A6"/>
            </w:tcBorders>
          </w:tcPr>
          <w:p w14:paraId="4968F500"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5A8BCA81" w14:textId="77777777" w:rsidR="005B131E" w:rsidRPr="00BA7805" w:rsidRDefault="005B131E" w:rsidP="002542E1">
            <w:pPr>
              <w:pStyle w:val="ARfintablebody"/>
              <w:rPr>
                <w:highlight w:val="green"/>
              </w:rPr>
            </w:pPr>
            <w:r w:rsidRPr="00337DA0">
              <w:t>Emily Maguire</w:t>
            </w:r>
          </w:p>
        </w:tc>
        <w:tc>
          <w:tcPr>
            <w:tcW w:w="1980" w:type="dxa"/>
            <w:tcBorders>
              <w:top w:val="single" w:sz="4" w:space="0" w:color="A6A6A6"/>
              <w:bottom w:val="single" w:sz="4" w:space="0" w:color="A6A6A6"/>
            </w:tcBorders>
          </w:tcPr>
          <w:p w14:paraId="3FE497F8" w14:textId="77777777" w:rsidR="005B131E" w:rsidRPr="00BA7805" w:rsidRDefault="005B131E" w:rsidP="002542E1">
            <w:pPr>
              <w:pStyle w:val="ARfintablebody"/>
              <w:rPr>
                <w:highlight w:val="green"/>
              </w:rPr>
            </w:pPr>
            <w:r w:rsidRPr="00337DA0">
              <w:t>Chief Executive Officer</w:t>
            </w:r>
          </w:p>
        </w:tc>
        <w:tc>
          <w:tcPr>
            <w:tcW w:w="3690" w:type="dxa"/>
            <w:tcBorders>
              <w:top w:val="single" w:sz="4" w:space="0" w:color="A6A6A6"/>
              <w:bottom w:val="single" w:sz="4" w:space="0" w:color="A6A6A6"/>
            </w:tcBorders>
          </w:tcPr>
          <w:p w14:paraId="3FA6EE85" w14:textId="77777777" w:rsidR="005B131E" w:rsidRPr="00BA7805" w:rsidRDefault="005B131E" w:rsidP="002542E1">
            <w:pPr>
              <w:pStyle w:val="ARfintablebody"/>
              <w:rPr>
                <w:highlight w:val="green"/>
              </w:rPr>
            </w:pPr>
            <w:r w:rsidRPr="00337DA0">
              <w:t>1 July 2023 to 15 September 2023</w:t>
            </w:r>
          </w:p>
        </w:tc>
      </w:tr>
      <w:tr w:rsidR="005B131E" w:rsidRPr="00BA7805" w14:paraId="7DB91A25" w14:textId="77777777" w:rsidTr="002542E1">
        <w:trPr>
          <w:cantSplit w:val="0"/>
        </w:trPr>
        <w:tc>
          <w:tcPr>
            <w:tcW w:w="2211" w:type="dxa"/>
            <w:tcBorders>
              <w:top w:val="single" w:sz="4" w:space="0" w:color="A6A6A6"/>
              <w:bottom w:val="single" w:sz="4" w:space="0" w:color="A6A6A6"/>
            </w:tcBorders>
          </w:tcPr>
          <w:p w14:paraId="1AF712C9"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13987873" w14:textId="76FE13F3" w:rsidR="005B131E" w:rsidRPr="00BA7805" w:rsidRDefault="005B131E" w:rsidP="002542E1">
            <w:pPr>
              <w:pStyle w:val="ARfintablebody"/>
              <w:rPr>
                <w:highlight w:val="green"/>
              </w:rPr>
            </w:pPr>
            <w:r w:rsidRPr="00337DA0">
              <w:t>Serina Mc</w:t>
            </w:r>
            <w:r w:rsidR="00B67574">
              <w:t>D</w:t>
            </w:r>
            <w:r w:rsidRPr="00337DA0">
              <w:t>uff</w:t>
            </w:r>
          </w:p>
        </w:tc>
        <w:tc>
          <w:tcPr>
            <w:tcW w:w="1980" w:type="dxa"/>
            <w:tcBorders>
              <w:top w:val="single" w:sz="4" w:space="0" w:color="A6A6A6"/>
              <w:bottom w:val="single" w:sz="4" w:space="0" w:color="A6A6A6"/>
            </w:tcBorders>
          </w:tcPr>
          <w:p w14:paraId="5B518C92" w14:textId="77777777" w:rsidR="005B131E" w:rsidRPr="00BA7805" w:rsidRDefault="005B131E" w:rsidP="002542E1">
            <w:pPr>
              <w:pStyle w:val="ARfintablebody"/>
              <w:rPr>
                <w:highlight w:val="green"/>
              </w:rPr>
            </w:pPr>
            <w:r w:rsidRPr="00337DA0">
              <w:t>Acting Chief Executive</w:t>
            </w:r>
            <w:r>
              <w:t> </w:t>
            </w:r>
            <w:r w:rsidRPr="00337DA0">
              <w:t>Officer</w:t>
            </w:r>
          </w:p>
        </w:tc>
        <w:tc>
          <w:tcPr>
            <w:tcW w:w="3690" w:type="dxa"/>
            <w:tcBorders>
              <w:top w:val="single" w:sz="4" w:space="0" w:color="A6A6A6"/>
              <w:bottom w:val="single" w:sz="4" w:space="0" w:color="A6A6A6"/>
            </w:tcBorders>
          </w:tcPr>
          <w:p w14:paraId="628AB11A" w14:textId="77777777" w:rsidR="005B131E" w:rsidRPr="00BA7805" w:rsidRDefault="005B131E" w:rsidP="002542E1">
            <w:pPr>
              <w:pStyle w:val="ARfintablebody"/>
              <w:rPr>
                <w:highlight w:val="green"/>
              </w:rPr>
            </w:pPr>
            <w:r w:rsidRPr="00337DA0">
              <w:t>23 August 2023 to 30 June 2024</w:t>
            </w:r>
          </w:p>
        </w:tc>
      </w:tr>
      <w:tr w:rsidR="005B131E" w:rsidRPr="00BA7805" w14:paraId="5E885A39" w14:textId="77777777" w:rsidTr="002542E1">
        <w:trPr>
          <w:cantSplit w:val="0"/>
        </w:trPr>
        <w:tc>
          <w:tcPr>
            <w:tcW w:w="2211" w:type="dxa"/>
            <w:tcBorders>
              <w:top w:val="single" w:sz="4" w:space="0" w:color="A6A6A6"/>
              <w:bottom w:val="single" w:sz="4" w:space="0" w:color="A6A6A6"/>
            </w:tcBorders>
          </w:tcPr>
          <w:p w14:paraId="412CE644"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728A9D09" w14:textId="77777777" w:rsidR="005B131E" w:rsidRPr="00BA7805" w:rsidRDefault="005B131E" w:rsidP="002542E1">
            <w:pPr>
              <w:pStyle w:val="ARfintablebody"/>
              <w:rPr>
                <w:highlight w:val="green"/>
              </w:rPr>
            </w:pPr>
            <w:r w:rsidRPr="00337DA0">
              <w:t>Kate Fitz-Gibbon</w:t>
            </w:r>
          </w:p>
        </w:tc>
        <w:tc>
          <w:tcPr>
            <w:tcW w:w="1980" w:type="dxa"/>
            <w:tcBorders>
              <w:top w:val="single" w:sz="4" w:space="0" w:color="A6A6A6"/>
              <w:bottom w:val="single" w:sz="4" w:space="0" w:color="A6A6A6"/>
            </w:tcBorders>
          </w:tcPr>
          <w:p w14:paraId="4AB75668" w14:textId="77777777" w:rsidR="005B131E" w:rsidRPr="00BA7805" w:rsidRDefault="005B131E" w:rsidP="002542E1">
            <w:pPr>
              <w:pStyle w:val="ARfintablebody"/>
              <w:rPr>
                <w:highlight w:val="green"/>
              </w:rPr>
            </w:pPr>
            <w:r w:rsidRPr="00337DA0">
              <w:t>Chairperson</w:t>
            </w:r>
          </w:p>
        </w:tc>
        <w:tc>
          <w:tcPr>
            <w:tcW w:w="3690" w:type="dxa"/>
            <w:tcBorders>
              <w:top w:val="single" w:sz="4" w:space="0" w:color="A6A6A6"/>
              <w:bottom w:val="single" w:sz="4" w:space="0" w:color="A6A6A6"/>
            </w:tcBorders>
          </w:tcPr>
          <w:p w14:paraId="767AC299" w14:textId="77777777" w:rsidR="005B131E" w:rsidRPr="00BA7805" w:rsidRDefault="005B131E" w:rsidP="002542E1">
            <w:pPr>
              <w:pStyle w:val="ARfintablebody"/>
              <w:rPr>
                <w:highlight w:val="green"/>
              </w:rPr>
            </w:pPr>
            <w:r w:rsidRPr="00337DA0">
              <w:t>1 July 2023 to 30 June 2024</w:t>
            </w:r>
          </w:p>
        </w:tc>
      </w:tr>
      <w:tr w:rsidR="005B131E" w:rsidRPr="00BA7805" w14:paraId="7E6E06C1" w14:textId="77777777" w:rsidTr="002542E1">
        <w:trPr>
          <w:cantSplit w:val="0"/>
        </w:trPr>
        <w:tc>
          <w:tcPr>
            <w:tcW w:w="2211" w:type="dxa"/>
            <w:tcBorders>
              <w:top w:val="single" w:sz="4" w:space="0" w:color="A6A6A6"/>
              <w:bottom w:val="single" w:sz="4" w:space="0" w:color="A6A6A6"/>
            </w:tcBorders>
          </w:tcPr>
          <w:p w14:paraId="2FFA1340"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27C15039" w14:textId="77777777" w:rsidR="005B131E" w:rsidRPr="00BA7805" w:rsidRDefault="005B131E" w:rsidP="002542E1">
            <w:pPr>
              <w:pStyle w:val="ARfintablebody"/>
              <w:rPr>
                <w:highlight w:val="green"/>
              </w:rPr>
            </w:pPr>
            <w:r w:rsidRPr="00337DA0">
              <w:t>Claudia Fatone</w:t>
            </w:r>
          </w:p>
        </w:tc>
        <w:tc>
          <w:tcPr>
            <w:tcW w:w="1980" w:type="dxa"/>
            <w:tcBorders>
              <w:top w:val="single" w:sz="4" w:space="0" w:color="A6A6A6"/>
              <w:bottom w:val="single" w:sz="4" w:space="0" w:color="A6A6A6"/>
            </w:tcBorders>
          </w:tcPr>
          <w:p w14:paraId="3E2F699B" w14:textId="77777777" w:rsidR="005B131E" w:rsidRPr="00BA7805" w:rsidRDefault="005B131E" w:rsidP="002542E1">
            <w:pPr>
              <w:pStyle w:val="ARfintablebody"/>
              <w:rPr>
                <w:highlight w:val="green"/>
              </w:rPr>
            </w:pPr>
            <w:r w:rsidRPr="00337DA0">
              <w:t>Board Member</w:t>
            </w:r>
          </w:p>
        </w:tc>
        <w:tc>
          <w:tcPr>
            <w:tcW w:w="3690" w:type="dxa"/>
            <w:tcBorders>
              <w:top w:val="single" w:sz="4" w:space="0" w:color="A6A6A6"/>
              <w:bottom w:val="single" w:sz="4" w:space="0" w:color="A6A6A6"/>
            </w:tcBorders>
          </w:tcPr>
          <w:p w14:paraId="3BF3436A" w14:textId="77777777" w:rsidR="005B131E" w:rsidRPr="00BA7805" w:rsidRDefault="005B131E" w:rsidP="002542E1">
            <w:pPr>
              <w:pStyle w:val="ARfintablebody"/>
              <w:rPr>
                <w:highlight w:val="green"/>
              </w:rPr>
            </w:pPr>
            <w:r w:rsidRPr="00337DA0">
              <w:t>1 July 2023 to 30 June 2024</w:t>
            </w:r>
          </w:p>
        </w:tc>
      </w:tr>
      <w:tr w:rsidR="005B131E" w:rsidRPr="00BA7805" w14:paraId="0273F287" w14:textId="77777777" w:rsidTr="002542E1">
        <w:trPr>
          <w:cantSplit w:val="0"/>
        </w:trPr>
        <w:tc>
          <w:tcPr>
            <w:tcW w:w="2211" w:type="dxa"/>
            <w:tcBorders>
              <w:top w:val="single" w:sz="4" w:space="0" w:color="A6A6A6"/>
              <w:bottom w:val="single" w:sz="4" w:space="0" w:color="A6A6A6"/>
            </w:tcBorders>
          </w:tcPr>
          <w:p w14:paraId="5E0624BB"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2CBBF546" w14:textId="10B513A0" w:rsidR="005B131E" w:rsidRPr="00BA7805" w:rsidRDefault="005B131E" w:rsidP="002542E1">
            <w:pPr>
              <w:pStyle w:val="ARfintablebody"/>
              <w:rPr>
                <w:highlight w:val="green"/>
              </w:rPr>
            </w:pPr>
            <w:r w:rsidRPr="00337DA0">
              <w:t>Maxine Mc</w:t>
            </w:r>
            <w:r w:rsidR="00B67574">
              <w:t>K</w:t>
            </w:r>
            <w:r w:rsidRPr="00337DA0">
              <w:t>ew</w:t>
            </w:r>
          </w:p>
        </w:tc>
        <w:tc>
          <w:tcPr>
            <w:tcW w:w="1980" w:type="dxa"/>
            <w:tcBorders>
              <w:top w:val="single" w:sz="4" w:space="0" w:color="A6A6A6"/>
              <w:bottom w:val="single" w:sz="4" w:space="0" w:color="A6A6A6"/>
            </w:tcBorders>
          </w:tcPr>
          <w:p w14:paraId="41BD4204" w14:textId="77777777" w:rsidR="005B131E" w:rsidRPr="00BA7805" w:rsidRDefault="005B131E" w:rsidP="002542E1">
            <w:pPr>
              <w:pStyle w:val="ARfintablebody"/>
              <w:rPr>
                <w:highlight w:val="green"/>
              </w:rPr>
            </w:pPr>
            <w:r w:rsidRPr="00337DA0">
              <w:t>Board Member</w:t>
            </w:r>
          </w:p>
        </w:tc>
        <w:tc>
          <w:tcPr>
            <w:tcW w:w="3690" w:type="dxa"/>
            <w:tcBorders>
              <w:top w:val="single" w:sz="4" w:space="0" w:color="A6A6A6"/>
              <w:bottom w:val="single" w:sz="4" w:space="0" w:color="A6A6A6"/>
            </w:tcBorders>
          </w:tcPr>
          <w:p w14:paraId="149A6727" w14:textId="77777777" w:rsidR="005B131E" w:rsidRPr="00BA7805" w:rsidRDefault="005B131E" w:rsidP="002542E1">
            <w:pPr>
              <w:pStyle w:val="ARfintablebody"/>
              <w:rPr>
                <w:highlight w:val="green"/>
              </w:rPr>
            </w:pPr>
            <w:r w:rsidRPr="00337DA0">
              <w:t>1 July 2023 to 30 June 2024</w:t>
            </w:r>
          </w:p>
        </w:tc>
      </w:tr>
      <w:tr w:rsidR="005B131E" w:rsidRPr="00BA7805" w14:paraId="05771458" w14:textId="77777777" w:rsidTr="002542E1">
        <w:trPr>
          <w:cantSplit w:val="0"/>
        </w:trPr>
        <w:tc>
          <w:tcPr>
            <w:tcW w:w="2211" w:type="dxa"/>
            <w:tcBorders>
              <w:top w:val="single" w:sz="4" w:space="0" w:color="A6A6A6"/>
              <w:bottom w:val="single" w:sz="4" w:space="0" w:color="A6A6A6"/>
            </w:tcBorders>
          </w:tcPr>
          <w:p w14:paraId="352BD0BA"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6CF34570" w14:textId="77777777" w:rsidR="005B131E" w:rsidRPr="00BA7805" w:rsidRDefault="005B131E" w:rsidP="002542E1">
            <w:pPr>
              <w:pStyle w:val="ARfintablebody"/>
              <w:rPr>
                <w:highlight w:val="green"/>
              </w:rPr>
            </w:pPr>
            <w:r w:rsidRPr="00337DA0">
              <w:t>Hang Vo</w:t>
            </w:r>
          </w:p>
        </w:tc>
        <w:tc>
          <w:tcPr>
            <w:tcW w:w="1980" w:type="dxa"/>
            <w:tcBorders>
              <w:top w:val="single" w:sz="4" w:space="0" w:color="A6A6A6"/>
              <w:bottom w:val="single" w:sz="4" w:space="0" w:color="A6A6A6"/>
            </w:tcBorders>
          </w:tcPr>
          <w:p w14:paraId="4BBBD0AC" w14:textId="77777777" w:rsidR="005B131E" w:rsidRPr="00BA7805" w:rsidRDefault="005B131E" w:rsidP="002542E1">
            <w:pPr>
              <w:pStyle w:val="ARfintablebody"/>
              <w:rPr>
                <w:highlight w:val="green"/>
              </w:rPr>
            </w:pPr>
            <w:r w:rsidRPr="00337DA0">
              <w:t>Board Member</w:t>
            </w:r>
          </w:p>
        </w:tc>
        <w:tc>
          <w:tcPr>
            <w:tcW w:w="3690" w:type="dxa"/>
            <w:tcBorders>
              <w:top w:val="single" w:sz="4" w:space="0" w:color="A6A6A6"/>
              <w:bottom w:val="single" w:sz="4" w:space="0" w:color="A6A6A6"/>
            </w:tcBorders>
          </w:tcPr>
          <w:p w14:paraId="7F414167" w14:textId="77777777" w:rsidR="005B131E" w:rsidRPr="00BA7805" w:rsidRDefault="005B131E" w:rsidP="002542E1">
            <w:pPr>
              <w:pStyle w:val="ARfintablebody"/>
              <w:rPr>
                <w:highlight w:val="green"/>
              </w:rPr>
            </w:pPr>
            <w:r w:rsidRPr="00337DA0">
              <w:t>1 July 2023 to 30 June 2024</w:t>
            </w:r>
          </w:p>
        </w:tc>
      </w:tr>
      <w:tr w:rsidR="005B131E" w:rsidRPr="00BA7805" w14:paraId="7B50024D" w14:textId="77777777" w:rsidTr="002542E1">
        <w:trPr>
          <w:cantSplit w:val="0"/>
        </w:trPr>
        <w:tc>
          <w:tcPr>
            <w:tcW w:w="2211" w:type="dxa"/>
            <w:tcBorders>
              <w:top w:val="single" w:sz="4" w:space="0" w:color="A6A6A6"/>
              <w:bottom w:val="single" w:sz="4" w:space="0" w:color="A6A6A6"/>
            </w:tcBorders>
          </w:tcPr>
          <w:p w14:paraId="44541443"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689A3331" w14:textId="77777777" w:rsidR="005B131E" w:rsidRPr="00BA7805" w:rsidRDefault="005B131E" w:rsidP="002542E1">
            <w:pPr>
              <w:pStyle w:val="ARfintablebody"/>
              <w:rPr>
                <w:highlight w:val="green"/>
              </w:rPr>
            </w:pPr>
            <w:r w:rsidRPr="00337DA0">
              <w:t>Nesreen Bottriell</w:t>
            </w:r>
          </w:p>
        </w:tc>
        <w:tc>
          <w:tcPr>
            <w:tcW w:w="1980" w:type="dxa"/>
            <w:tcBorders>
              <w:top w:val="single" w:sz="4" w:space="0" w:color="A6A6A6"/>
              <w:bottom w:val="single" w:sz="4" w:space="0" w:color="A6A6A6"/>
            </w:tcBorders>
          </w:tcPr>
          <w:p w14:paraId="7EAACB5E" w14:textId="77777777" w:rsidR="005B131E" w:rsidRPr="00BA7805" w:rsidRDefault="005B131E" w:rsidP="002542E1">
            <w:pPr>
              <w:pStyle w:val="ARfintablebody"/>
              <w:rPr>
                <w:highlight w:val="green"/>
              </w:rPr>
            </w:pPr>
            <w:r w:rsidRPr="00337DA0">
              <w:t>Board Member</w:t>
            </w:r>
          </w:p>
        </w:tc>
        <w:tc>
          <w:tcPr>
            <w:tcW w:w="3690" w:type="dxa"/>
            <w:tcBorders>
              <w:top w:val="single" w:sz="4" w:space="0" w:color="A6A6A6"/>
              <w:bottom w:val="single" w:sz="4" w:space="0" w:color="A6A6A6"/>
            </w:tcBorders>
          </w:tcPr>
          <w:p w14:paraId="7948DCEA" w14:textId="77777777" w:rsidR="005B131E" w:rsidRPr="00BA7805" w:rsidRDefault="005B131E" w:rsidP="002542E1">
            <w:pPr>
              <w:pStyle w:val="ARfintablebody"/>
              <w:rPr>
                <w:highlight w:val="green"/>
              </w:rPr>
            </w:pPr>
            <w:r w:rsidRPr="00337DA0">
              <w:t>7 July 2023 to 30 June 2024</w:t>
            </w:r>
          </w:p>
        </w:tc>
      </w:tr>
      <w:tr w:rsidR="005B131E" w:rsidRPr="00BA7805" w14:paraId="5A2DB4F2" w14:textId="77777777" w:rsidTr="002542E1">
        <w:trPr>
          <w:cantSplit w:val="0"/>
        </w:trPr>
        <w:tc>
          <w:tcPr>
            <w:tcW w:w="2211" w:type="dxa"/>
            <w:tcBorders>
              <w:top w:val="single" w:sz="4" w:space="0" w:color="A6A6A6"/>
              <w:bottom w:val="single" w:sz="4" w:space="0" w:color="A6A6A6"/>
            </w:tcBorders>
          </w:tcPr>
          <w:p w14:paraId="47754992"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79943AC8" w14:textId="77777777" w:rsidR="005B131E" w:rsidRPr="00BA7805" w:rsidRDefault="005B131E" w:rsidP="002542E1">
            <w:pPr>
              <w:pStyle w:val="ARfintablebody"/>
              <w:rPr>
                <w:highlight w:val="green"/>
              </w:rPr>
            </w:pPr>
            <w:r w:rsidRPr="00337DA0">
              <w:t>Steven Roberts</w:t>
            </w:r>
          </w:p>
        </w:tc>
        <w:tc>
          <w:tcPr>
            <w:tcW w:w="1980" w:type="dxa"/>
            <w:tcBorders>
              <w:top w:val="single" w:sz="4" w:space="0" w:color="A6A6A6"/>
              <w:bottom w:val="single" w:sz="4" w:space="0" w:color="A6A6A6"/>
            </w:tcBorders>
          </w:tcPr>
          <w:p w14:paraId="469FF534" w14:textId="77777777" w:rsidR="005B131E" w:rsidRPr="00BA7805" w:rsidRDefault="005B131E" w:rsidP="002542E1">
            <w:pPr>
              <w:pStyle w:val="ARfintablebody"/>
              <w:rPr>
                <w:highlight w:val="green"/>
              </w:rPr>
            </w:pPr>
            <w:r w:rsidRPr="00337DA0">
              <w:t>Board Member</w:t>
            </w:r>
          </w:p>
        </w:tc>
        <w:tc>
          <w:tcPr>
            <w:tcW w:w="3690" w:type="dxa"/>
            <w:tcBorders>
              <w:top w:val="single" w:sz="4" w:space="0" w:color="A6A6A6"/>
              <w:bottom w:val="single" w:sz="4" w:space="0" w:color="A6A6A6"/>
            </w:tcBorders>
          </w:tcPr>
          <w:p w14:paraId="018EB11F" w14:textId="77777777" w:rsidR="005B131E" w:rsidRPr="00BA7805" w:rsidRDefault="005B131E" w:rsidP="002542E1">
            <w:pPr>
              <w:pStyle w:val="ARfintablebody"/>
              <w:rPr>
                <w:highlight w:val="green"/>
              </w:rPr>
            </w:pPr>
            <w:r w:rsidRPr="00337DA0">
              <w:t>7 July 2023 to 30 June 2024</w:t>
            </w:r>
          </w:p>
        </w:tc>
      </w:tr>
      <w:tr w:rsidR="005B131E" w:rsidRPr="00BA7805" w14:paraId="647E2E02" w14:textId="77777777" w:rsidTr="002542E1">
        <w:trPr>
          <w:cantSplit w:val="0"/>
        </w:trPr>
        <w:tc>
          <w:tcPr>
            <w:tcW w:w="2211" w:type="dxa"/>
            <w:tcBorders>
              <w:top w:val="single" w:sz="4" w:space="0" w:color="A6A6A6"/>
              <w:bottom w:val="single" w:sz="4" w:space="0" w:color="A6A6A6"/>
            </w:tcBorders>
          </w:tcPr>
          <w:p w14:paraId="26839B15" w14:textId="77777777" w:rsidR="005B131E" w:rsidRPr="00BA7805" w:rsidRDefault="005B131E" w:rsidP="002542E1">
            <w:pPr>
              <w:pStyle w:val="ARfintablebody"/>
              <w:rPr>
                <w:highlight w:val="green"/>
              </w:rPr>
            </w:pPr>
            <w:r w:rsidRPr="00337DA0">
              <w:t>Respect Victoria</w:t>
            </w:r>
          </w:p>
        </w:tc>
        <w:tc>
          <w:tcPr>
            <w:tcW w:w="1758" w:type="dxa"/>
            <w:tcBorders>
              <w:top w:val="single" w:sz="4" w:space="0" w:color="A6A6A6"/>
              <w:bottom w:val="single" w:sz="4" w:space="0" w:color="A6A6A6"/>
            </w:tcBorders>
          </w:tcPr>
          <w:p w14:paraId="21E13A8A" w14:textId="77777777" w:rsidR="005B131E" w:rsidRPr="00BA7805" w:rsidRDefault="005B131E" w:rsidP="002542E1">
            <w:pPr>
              <w:pStyle w:val="ARfintablebody"/>
              <w:rPr>
                <w:highlight w:val="green"/>
              </w:rPr>
            </w:pPr>
            <w:r w:rsidRPr="00337DA0">
              <w:t>Janet Noblett</w:t>
            </w:r>
          </w:p>
        </w:tc>
        <w:tc>
          <w:tcPr>
            <w:tcW w:w="1980" w:type="dxa"/>
            <w:tcBorders>
              <w:top w:val="single" w:sz="4" w:space="0" w:color="A6A6A6"/>
              <w:bottom w:val="single" w:sz="4" w:space="0" w:color="A6A6A6"/>
            </w:tcBorders>
          </w:tcPr>
          <w:p w14:paraId="588F85AA" w14:textId="77777777" w:rsidR="005B131E" w:rsidRPr="00BA7805" w:rsidRDefault="005B131E" w:rsidP="002542E1">
            <w:pPr>
              <w:pStyle w:val="ARfintablebody"/>
              <w:rPr>
                <w:highlight w:val="green"/>
              </w:rPr>
            </w:pPr>
            <w:r w:rsidRPr="00337DA0">
              <w:t>Board Member</w:t>
            </w:r>
          </w:p>
        </w:tc>
        <w:tc>
          <w:tcPr>
            <w:tcW w:w="3690" w:type="dxa"/>
            <w:tcBorders>
              <w:top w:val="single" w:sz="4" w:space="0" w:color="A6A6A6"/>
              <w:bottom w:val="single" w:sz="4" w:space="0" w:color="A6A6A6"/>
            </w:tcBorders>
          </w:tcPr>
          <w:p w14:paraId="1507BA2E" w14:textId="77777777" w:rsidR="005B131E" w:rsidRPr="00BA7805" w:rsidRDefault="005B131E" w:rsidP="002542E1">
            <w:pPr>
              <w:pStyle w:val="ARfintablebody"/>
              <w:rPr>
                <w:highlight w:val="green"/>
              </w:rPr>
            </w:pPr>
            <w:r w:rsidRPr="00337DA0">
              <w:t>7 July 2023 to 30 June 2024</w:t>
            </w:r>
          </w:p>
        </w:tc>
      </w:tr>
      <w:tr w:rsidR="005B131E" w:rsidRPr="00BA7805" w14:paraId="562397AB" w14:textId="77777777" w:rsidTr="002542E1">
        <w:trPr>
          <w:cantSplit w:val="0"/>
        </w:trPr>
        <w:tc>
          <w:tcPr>
            <w:tcW w:w="2211" w:type="dxa"/>
            <w:tcBorders>
              <w:top w:val="single" w:sz="4" w:space="0" w:color="A6A6A6"/>
              <w:bottom w:val="single" w:sz="4" w:space="0" w:color="A6A6A6"/>
            </w:tcBorders>
          </w:tcPr>
          <w:p w14:paraId="57B7DE83" w14:textId="77777777" w:rsidR="005B131E" w:rsidRPr="00337DA0" w:rsidRDefault="005B131E" w:rsidP="002542E1">
            <w:pPr>
              <w:pStyle w:val="ARfintablebody"/>
            </w:pPr>
            <w:r w:rsidRPr="00337DA0">
              <w:t>Respect Victoria</w:t>
            </w:r>
          </w:p>
        </w:tc>
        <w:tc>
          <w:tcPr>
            <w:tcW w:w="1758" w:type="dxa"/>
            <w:tcBorders>
              <w:top w:val="single" w:sz="4" w:space="0" w:color="A6A6A6"/>
              <w:bottom w:val="single" w:sz="4" w:space="0" w:color="A6A6A6"/>
            </w:tcBorders>
          </w:tcPr>
          <w:p w14:paraId="43E034FC" w14:textId="77777777" w:rsidR="005B131E" w:rsidRPr="00337DA0" w:rsidRDefault="005B131E" w:rsidP="002542E1">
            <w:pPr>
              <w:pStyle w:val="ARfintablebody"/>
            </w:pPr>
            <w:r>
              <w:t>Rodney Jackson</w:t>
            </w:r>
          </w:p>
        </w:tc>
        <w:tc>
          <w:tcPr>
            <w:tcW w:w="1980" w:type="dxa"/>
            <w:tcBorders>
              <w:top w:val="single" w:sz="4" w:space="0" w:color="A6A6A6"/>
              <w:bottom w:val="single" w:sz="4" w:space="0" w:color="A6A6A6"/>
            </w:tcBorders>
          </w:tcPr>
          <w:p w14:paraId="0B5D88E2" w14:textId="77777777" w:rsidR="005B131E" w:rsidRPr="00337DA0" w:rsidRDefault="005B131E" w:rsidP="002542E1">
            <w:pPr>
              <w:pStyle w:val="ARfintablebody"/>
            </w:pPr>
            <w:r w:rsidRPr="00337DA0">
              <w:t>Board Member</w:t>
            </w:r>
          </w:p>
        </w:tc>
        <w:tc>
          <w:tcPr>
            <w:tcW w:w="3690" w:type="dxa"/>
            <w:tcBorders>
              <w:top w:val="single" w:sz="4" w:space="0" w:color="A6A6A6"/>
              <w:bottom w:val="single" w:sz="4" w:space="0" w:color="A6A6A6"/>
            </w:tcBorders>
          </w:tcPr>
          <w:p w14:paraId="1E58F7B5" w14:textId="77777777" w:rsidR="005B131E" w:rsidRPr="00337DA0" w:rsidRDefault="005B131E" w:rsidP="002542E1">
            <w:pPr>
              <w:pStyle w:val="ARfintablebody"/>
            </w:pPr>
            <w:r>
              <w:t>1</w:t>
            </w:r>
            <w:r w:rsidRPr="00337DA0">
              <w:t xml:space="preserve"> July 2023 to </w:t>
            </w:r>
            <w:r>
              <w:t>6</w:t>
            </w:r>
            <w:r w:rsidRPr="00337DA0">
              <w:t xml:space="preserve"> Ju</w:t>
            </w:r>
            <w:r>
              <w:t>ly 2023</w:t>
            </w:r>
          </w:p>
        </w:tc>
      </w:tr>
      <w:tr w:rsidR="005B131E" w:rsidRPr="00BA7805" w14:paraId="0228E3D7" w14:textId="77777777" w:rsidTr="002542E1">
        <w:trPr>
          <w:cantSplit w:val="0"/>
        </w:trPr>
        <w:tc>
          <w:tcPr>
            <w:tcW w:w="2211" w:type="dxa"/>
            <w:tcBorders>
              <w:top w:val="single" w:sz="4" w:space="0" w:color="A6A6A6"/>
              <w:bottom w:val="single" w:sz="4" w:space="0" w:color="A6A6A6"/>
            </w:tcBorders>
          </w:tcPr>
          <w:p w14:paraId="2E7E6ED0" w14:textId="77777777" w:rsidR="005B131E" w:rsidRPr="00337DA0" w:rsidRDefault="005B131E" w:rsidP="002542E1">
            <w:pPr>
              <w:pStyle w:val="ARfintablebody"/>
            </w:pPr>
            <w:r w:rsidRPr="00337DA0">
              <w:t>Respect Victoria</w:t>
            </w:r>
          </w:p>
        </w:tc>
        <w:tc>
          <w:tcPr>
            <w:tcW w:w="1758" w:type="dxa"/>
            <w:tcBorders>
              <w:top w:val="single" w:sz="4" w:space="0" w:color="A6A6A6"/>
              <w:bottom w:val="single" w:sz="4" w:space="0" w:color="A6A6A6"/>
            </w:tcBorders>
          </w:tcPr>
          <w:p w14:paraId="436DE66C" w14:textId="77777777" w:rsidR="005B131E" w:rsidRPr="00337DA0" w:rsidRDefault="005B131E" w:rsidP="002542E1">
            <w:pPr>
              <w:pStyle w:val="ARfintablebody"/>
            </w:pPr>
            <w:r>
              <w:t>Wei Len Kwok</w:t>
            </w:r>
          </w:p>
        </w:tc>
        <w:tc>
          <w:tcPr>
            <w:tcW w:w="1980" w:type="dxa"/>
            <w:tcBorders>
              <w:top w:val="single" w:sz="4" w:space="0" w:color="A6A6A6"/>
              <w:bottom w:val="single" w:sz="4" w:space="0" w:color="A6A6A6"/>
            </w:tcBorders>
          </w:tcPr>
          <w:p w14:paraId="6A2D944C" w14:textId="77777777" w:rsidR="005B131E" w:rsidRPr="00337DA0" w:rsidRDefault="005B131E" w:rsidP="002542E1">
            <w:pPr>
              <w:pStyle w:val="ARfintablebody"/>
            </w:pPr>
            <w:r w:rsidRPr="00337DA0">
              <w:t>Board Member</w:t>
            </w:r>
          </w:p>
        </w:tc>
        <w:tc>
          <w:tcPr>
            <w:tcW w:w="3690" w:type="dxa"/>
            <w:tcBorders>
              <w:top w:val="single" w:sz="4" w:space="0" w:color="A6A6A6"/>
              <w:bottom w:val="single" w:sz="4" w:space="0" w:color="A6A6A6"/>
            </w:tcBorders>
          </w:tcPr>
          <w:p w14:paraId="719F2A5B" w14:textId="77777777" w:rsidR="005B131E" w:rsidRPr="00337DA0" w:rsidRDefault="005B131E" w:rsidP="002542E1">
            <w:pPr>
              <w:pStyle w:val="ARfintablebody"/>
            </w:pPr>
            <w:r>
              <w:t>1</w:t>
            </w:r>
            <w:r w:rsidRPr="00337DA0">
              <w:t xml:space="preserve"> July 2023 to </w:t>
            </w:r>
            <w:r>
              <w:t>6</w:t>
            </w:r>
            <w:r w:rsidRPr="00337DA0">
              <w:t xml:space="preserve"> Ju</w:t>
            </w:r>
            <w:r>
              <w:t>ly 2023</w:t>
            </w:r>
          </w:p>
        </w:tc>
      </w:tr>
      <w:tr w:rsidR="005B131E" w:rsidRPr="00BA7805" w14:paraId="093FD723" w14:textId="77777777" w:rsidTr="002542E1">
        <w:trPr>
          <w:cantSplit w:val="0"/>
        </w:trPr>
        <w:tc>
          <w:tcPr>
            <w:tcW w:w="2211" w:type="dxa"/>
            <w:tcBorders>
              <w:top w:val="single" w:sz="4" w:space="0" w:color="A6A6A6"/>
              <w:bottom w:val="single" w:sz="4" w:space="0" w:color="A6A6A6"/>
            </w:tcBorders>
          </w:tcPr>
          <w:p w14:paraId="75B96F77" w14:textId="77777777" w:rsidR="005B131E" w:rsidRPr="00337DA0" w:rsidRDefault="005B131E" w:rsidP="002542E1">
            <w:pPr>
              <w:pStyle w:val="ARfintablebody"/>
            </w:pPr>
            <w:r w:rsidRPr="00337DA0">
              <w:t>Respect Victoria</w:t>
            </w:r>
          </w:p>
        </w:tc>
        <w:tc>
          <w:tcPr>
            <w:tcW w:w="1758" w:type="dxa"/>
            <w:tcBorders>
              <w:top w:val="single" w:sz="4" w:space="0" w:color="A6A6A6"/>
              <w:bottom w:val="single" w:sz="4" w:space="0" w:color="A6A6A6"/>
            </w:tcBorders>
          </w:tcPr>
          <w:p w14:paraId="65F6298F" w14:textId="77777777" w:rsidR="005B131E" w:rsidRPr="00337DA0" w:rsidRDefault="005B131E" w:rsidP="002542E1">
            <w:pPr>
              <w:pStyle w:val="ARfintablebody"/>
            </w:pPr>
            <w:r w:rsidRPr="0003323E">
              <w:t>Liana Papoutsis</w:t>
            </w:r>
          </w:p>
        </w:tc>
        <w:tc>
          <w:tcPr>
            <w:tcW w:w="1980" w:type="dxa"/>
            <w:tcBorders>
              <w:top w:val="single" w:sz="4" w:space="0" w:color="A6A6A6"/>
              <w:bottom w:val="single" w:sz="4" w:space="0" w:color="A6A6A6"/>
            </w:tcBorders>
          </w:tcPr>
          <w:p w14:paraId="2FA53123" w14:textId="77777777" w:rsidR="005B131E" w:rsidRPr="00337DA0" w:rsidRDefault="005B131E" w:rsidP="002542E1">
            <w:pPr>
              <w:pStyle w:val="ARfintablebody"/>
            </w:pPr>
            <w:r w:rsidRPr="00337DA0">
              <w:t>Board Member</w:t>
            </w:r>
          </w:p>
        </w:tc>
        <w:tc>
          <w:tcPr>
            <w:tcW w:w="3690" w:type="dxa"/>
            <w:tcBorders>
              <w:top w:val="single" w:sz="4" w:space="0" w:color="A6A6A6"/>
              <w:bottom w:val="single" w:sz="4" w:space="0" w:color="A6A6A6"/>
            </w:tcBorders>
          </w:tcPr>
          <w:p w14:paraId="6F5ACB8D" w14:textId="77777777" w:rsidR="005B131E" w:rsidRPr="00337DA0" w:rsidRDefault="005B131E" w:rsidP="002542E1">
            <w:pPr>
              <w:pStyle w:val="ARfintablebody"/>
            </w:pPr>
            <w:r>
              <w:t>1</w:t>
            </w:r>
            <w:r w:rsidRPr="00337DA0">
              <w:t xml:space="preserve"> July 2023 to </w:t>
            </w:r>
            <w:r>
              <w:t>6</w:t>
            </w:r>
            <w:r w:rsidRPr="00337DA0">
              <w:t xml:space="preserve"> Ju</w:t>
            </w:r>
            <w:r>
              <w:t>ly 2023</w:t>
            </w:r>
          </w:p>
        </w:tc>
      </w:tr>
      <w:tr w:rsidR="005B131E" w:rsidRPr="00BA7805" w14:paraId="5F0A08AA" w14:textId="77777777" w:rsidTr="002542E1">
        <w:trPr>
          <w:cantSplit w:val="0"/>
        </w:trPr>
        <w:tc>
          <w:tcPr>
            <w:tcW w:w="2211" w:type="dxa"/>
            <w:tcBorders>
              <w:top w:val="single" w:sz="4" w:space="0" w:color="A6A6A6"/>
              <w:bottom w:val="single" w:sz="4" w:space="0" w:color="A6A6A6"/>
            </w:tcBorders>
          </w:tcPr>
          <w:p w14:paraId="712D1761" w14:textId="77777777" w:rsidR="005B131E" w:rsidRPr="00337DA0" w:rsidRDefault="005B131E" w:rsidP="002542E1">
            <w:pPr>
              <w:pStyle w:val="ARfintablebody"/>
            </w:pPr>
            <w:r w:rsidRPr="007D58BA">
              <w:t>Victorian Disability Worker Commission</w:t>
            </w:r>
          </w:p>
        </w:tc>
        <w:tc>
          <w:tcPr>
            <w:tcW w:w="1758" w:type="dxa"/>
            <w:tcBorders>
              <w:top w:val="single" w:sz="4" w:space="0" w:color="A6A6A6"/>
              <w:bottom w:val="single" w:sz="4" w:space="0" w:color="A6A6A6"/>
            </w:tcBorders>
          </w:tcPr>
          <w:p w14:paraId="69E6D0E2" w14:textId="77777777" w:rsidR="005B131E" w:rsidRPr="00337DA0" w:rsidRDefault="005B131E" w:rsidP="002542E1">
            <w:pPr>
              <w:pStyle w:val="ARfintablebody"/>
            </w:pPr>
            <w:r w:rsidRPr="007D58BA">
              <w:t>Dan Stubbs</w:t>
            </w:r>
          </w:p>
        </w:tc>
        <w:tc>
          <w:tcPr>
            <w:tcW w:w="1980" w:type="dxa"/>
            <w:tcBorders>
              <w:top w:val="single" w:sz="4" w:space="0" w:color="A6A6A6"/>
              <w:bottom w:val="single" w:sz="4" w:space="0" w:color="A6A6A6"/>
            </w:tcBorders>
          </w:tcPr>
          <w:p w14:paraId="56E856A0" w14:textId="77777777" w:rsidR="005B131E" w:rsidRPr="00337DA0" w:rsidRDefault="005B131E" w:rsidP="002542E1">
            <w:pPr>
              <w:pStyle w:val="ARfintablebody"/>
            </w:pPr>
            <w:r w:rsidRPr="007D58BA">
              <w:t>Commissioner</w:t>
            </w:r>
          </w:p>
        </w:tc>
        <w:tc>
          <w:tcPr>
            <w:tcW w:w="3690" w:type="dxa"/>
            <w:tcBorders>
              <w:top w:val="single" w:sz="4" w:space="0" w:color="A6A6A6"/>
              <w:bottom w:val="single" w:sz="4" w:space="0" w:color="A6A6A6"/>
            </w:tcBorders>
          </w:tcPr>
          <w:p w14:paraId="2A5020E0" w14:textId="77777777" w:rsidR="005B131E" w:rsidRPr="00337DA0" w:rsidRDefault="005B131E" w:rsidP="002542E1">
            <w:pPr>
              <w:pStyle w:val="ARfintablebody"/>
            </w:pPr>
            <w:r w:rsidRPr="007D58BA">
              <w:t>1 July 2023 to 30 June 2024</w:t>
            </w:r>
          </w:p>
        </w:tc>
      </w:tr>
      <w:tr w:rsidR="005B131E" w:rsidRPr="00BA7805" w14:paraId="32B1D82E" w14:textId="77777777" w:rsidTr="002542E1">
        <w:trPr>
          <w:cantSplit w:val="0"/>
        </w:trPr>
        <w:tc>
          <w:tcPr>
            <w:tcW w:w="2211" w:type="dxa"/>
            <w:tcBorders>
              <w:top w:val="single" w:sz="4" w:space="0" w:color="A6A6A6"/>
              <w:bottom w:val="single" w:sz="4" w:space="0" w:color="A6A6A6"/>
            </w:tcBorders>
          </w:tcPr>
          <w:p w14:paraId="1EFB530D" w14:textId="77777777" w:rsidR="005B131E" w:rsidRPr="00337DA0" w:rsidRDefault="005B131E" w:rsidP="002542E1">
            <w:pPr>
              <w:pStyle w:val="ARfintablebody"/>
            </w:pPr>
            <w:r w:rsidRPr="007D58BA">
              <w:t>Victorian Multicultural Commission</w:t>
            </w:r>
          </w:p>
        </w:tc>
        <w:tc>
          <w:tcPr>
            <w:tcW w:w="1758" w:type="dxa"/>
            <w:tcBorders>
              <w:top w:val="single" w:sz="4" w:space="0" w:color="A6A6A6"/>
              <w:bottom w:val="single" w:sz="4" w:space="0" w:color="A6A6A6"/>
            </w:tcBorders>
          </w:tcPr>
          <w:p w14:paraId="2AADE5C7" w14:textId="77777777" w:rsidR="005B131E" w:rsidRPr="00337DA0" w:rsidRDefault="005B131E" w:rsidP="002542E1">
            <w:pPr>
              <w:pStyle w:val="ARfintablebody"/>
            </w:pPr>
            <w:r w:rsidRPr="007D58BA">
              <w:t>Vivienne Nguyen</w:t>
            </w:r>
          </w:p>
        </w:tc>
        <w:tc>
          <w:tcPr>
            <w:tcW w:w="1980" w:type="dxa"/>
            <w:tcBorders>
              <w:top w:val="single" w:sz="4" w:space="0" w:color="A6A6A6"/>
              <w:bottom w:val="single" w:sz="4" w:space="0" w:color="A6A6A6"/>
            </w:tcBorders>
          </w:tcPr>
          <w:p w14:paraId="6C54C4C7" w14:textId="77777777" w:rsidR="005B131E" w:rsidRPr="00337DA0" w:rsidRDefault="005B131E" w:rsidP="002542E1">
            <w:pPr>
              <w:pStyle w:val="ARfintablebody"/>
            </w:pPr>
            <w:r w:rsidRPr="007D58BA">
              <w:t>Chairperson</w:t>
            </w:r>
          </w:p>
        </w:tc>
        <w:tc>
          <w:tcPr>
            <w:tcW w:w="3690" w:type="dxa"/>
            <w:tcBorders>
              <w:top w:val="single" w:sz="4" w:space="0" w:color="A6A6A6"/>
              <w:bottom w:val="single" w:sz="4" w:space="0" w:color="A6A6A6"/>
            </w:tcBorders>
          </w:tcPr>
          <w:p w14:paraId="0B0DFD0F" w14:textId="77777777" w:rsidR="005B131E" w:rsidRPr="00337DA0" w:rsidRDefault="005B131E" w:rsidP="002542E1">
            <w:pPr>
              <w:pStyle w:val="ARfintablebody"/>
            </w:pPr>
            <w:r w:rsidRPr="007D58BA">
              <w:t>1 July 2023 to 31 January 2024</w:t>
            </w:r>
          </w:p>
        </w:tc>
      </w:tr>
      <w:tr w:rsidR="005B131E" w:rsidRPr="00BA7805" w14:paraId="5BE9F3FC" w14:textId="77777777" w:rsidTr="002542E1">
        <w:trPr>
          <w:cantSplit w:val="0"/>
        </w:trPr>
        <w:tc>
          <w:tcPr>
            <w:tcW w:w="2211" w:type="dxa"/>
            <w:tcBorders>
              <w:top w:val="single" w:sz="4" w:space="0" w:color="A6A6A6"/>
              <w:bottom w:val="single" w:sz="4" w:space="0" w:color="000000" w:themeColor="text1"/>
            </w:tcBorders>
          </w:tcPr>
          <w:p w14:paraId="6BBF2B3C" w14:textId="77777777" w:rsidR="005B131E" w:rsidRPr="00337DA0" w:rsidRDefault="005B131E" w:rsidP="002542E1">
            <w:pPr>
              <w:pStyle w:val="ARfintablebody"/>
            </w:pPr>
            <w:r w:rsidRPr="007D58BA">
              <w:t>Victorian Veterans Council</w:t>
            </w:r>
          </w:p>
        </w:tc>
        <w:tc>
          <w:tcPr>
            <w:tcW w:w="1758" w:type="dxa"/>
            <w:tcBorders>
              <w:top w:val="single" w:sz="4" w:space="0" w:color="A6A6A6"/>
              <w:bottom w:val="single" w:sz="4" w:space="0" w:color="000000" w:themeColor="text1"/>
            </w:tcBorders>
          </w:tcPr>
          <w:p w14:paraId="1FEA846D" w14:textId="77777777" w:rsidR="005B131E" w:rsidRPr="00337DA0" w:rsidRDefault="005B131E" w:rsidP="002542E1">
            <w:pPr>
              <w:pStyle w:val="ARfintablebody"/>
            </w:pPr>
            <w:r w:rsidRPr="007D58BA">
              <w:t>Gregory Yorke</w:t>
            </w:r>
          </w:p>
        </w:tc>
        <w:tc>
          <w:tcPr>
            <w:tcW w:w="1980" w:type="dxa"/>
            <w:tcBorders>
              <w:top w:val="single" w:sz="4" w:space="0" w:color="A6A6A6"/>
              <w:bottom w:val="single" w:sz="4" w:space="0" w:color="000000" w:themeColor="text1"/>
            </w:tcBorders>
          </w:tcPr>
          <w:p w14:paraId="02E7052B" w14:textId="77777777" w:rsidR="005B131E" w:rsidRPr="00337DA0" w:rsidRDefault="005B131E" w:rsidP="002542E1">
            <w:pPr>
              <w:pStyle w:val="ARfintablebody"/>
            </w:pPr>
            <w:r w:rsidRPr="007D58BA">
              <w:t>Chairperson</w:t>
            </w:r>
          </w:p>
        </w:tc>
        <w:tc>
          <w:tcPr>
            <w:tcW w:w="3690" w:type="dxa"/>
            <w:tcBorders>
              <w:top w:val="single" w:sz="4" w:space="0" w:color="A6A6A6"/>
              <w:bottom w:val="single" w:sz="4" w:space="0" w:color="000000" w:themeColor="text1"/>
            </w:tcBorders>
          </w:tcPr>
          <w:p w14:paraId="73BE059B" w14:textId="77777777" w:rsidR="005B131E" w:rsidRPr="00337DA0" w:rsidRDefault="005B131E" w:rsidP="002542E1">
            <w:pPr>
              <w:pStyle w:val="ARfintablebody"/>
            </w:pPr>
            <w:r w:rsidRPr="007D58BA">
              <w:t>1 July 2023 to 30 June 2024</w:t>
            </w:r>
          </w:p>
        </w:tc>
      </w:tr>
    </w:tbl>
    <w:p w14:paraId="3941F1E0" w14:textId="77777777" w:rsidR="005B131E" w:rsidRDefault="005B131E" w:rsidP="002542E1">
      <w:pPr>
        <w:pStyle w:val="ARfinbody"/>
      </w:pPr>
      <w:r>
        <w:br w:type="page"/>
      </w:r>
    </w:p>
    <w:p w14:paraId="31E8E45C" w14:textId="77777777" w:rsidR="005B131E" w:rsidRPr="00612CCF" w:rsidRDefault="005B131E" w:rsidP="002542E1">
      <w:pPr>
        <w:pStyle w:val="Heading5"/>
        <w:spacing w:before="0"/>
      </w:pPr>
      <w:r w:rsidRPr="00612CCF">
        <w:t>Remuneration of key management personnel</w:t>
      </w:r>
    </w:p>
    <w:p w14:paraId="4E8D69EC" w14:textId="15C127CA" w:rsidR="005B131E" w:rsidRPr="00BA7805" w:rsidRDefault="005B131E">
      <w:pPr>
        <w:pStyle w:val="ARfinbodylargespace"/>
        <w:rPr>
          <w:highlight w:val="green"/>
        </w:rPr>
      </w:pPr>
      <w:r w:rsidRPr="006543DD">
        <w:t>The compensation detailed below excludes the salaries and benefits the Portfolio Ministers received. The Ministers</w:t>
      </w:r>
      <w:r w:rsidR="00711AE6">
        <w:t>’</w:t>
      </w:r>
      <w:r w:rsidRPr="006543DD">
        <w:t xml:space="preserve"> remuneration and allowances are set by the </w:t>
      </w:r>
      <w:r w:rsidRPr="00C642F4">
        <w:rPr>
          <w:rStyle w:val="Emphasis"/>
        </w:rPr>
        <w:t>Parliamentary Salaries and Superannuation Act 1968</w:t>
      </w:r>
      <w:r w:rsidRPr="006543DD">
        <w:t xml:space="preserve"> and are reported within the State</w:t>
      </w:r>
      <w:r w:rsidR="00711AE6">
        <w:t>’</w:t>
      </w:r>
      <w:r w:rsidRPr="006543DD">
        <w:t>s Annual Financial Report.</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5B131E" w:rsidRPr="00BA7805" w14:paraId="35580CB0"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val="restart"/>
            <w:noWrap/>
            <w:hideMark/>
          </w:tcPr>
          <w:p w14:paraId="22256E09" w14:textId="77777777" w:rsidR="005B131E" w:rsidRPr="00BA7805" w:rsidRDefault="005B131E">
            <w:pPr>
              <w:pStyle w:val="ARfintablecolhead"/>
              <w:rPr>
                <w:highlight w:val="green"/>
              </w:rPr>
            </w:pPr>
            <w:r w:rsidRPr="006543DD">
              <w:t>Compensation of KMPs</w:t>
            </w:r>
          </w:p>
        </w:tc>
        <w:tc>
          <w:tcPr>
            <w:tcW w:w="2268" w:type="dxa"/>
            <w:gridSpan w:val="2"/>
            <w:hideMark/>
          </w:tcPr>
          <w:p w14:paraId="10FB06F2" w14:textId="77777777" w:rsidR="005B131E" w:rsidRPr="006543DD" w:rsidRDefault="005B131E">
            <w:pPr>
              <w:pStyle w:val="ARfintablecolheadcentre"/>
            </w:pPr>
            <w:r w:rsidRPr="006543DD">
              <w:t xml:space="preserve">Department of Families, Fairness and Housing </w:t>
            </w:r>
            <w:r w:rsidRPr="006543DD">
              <w:rPr>
                <w:rStyle w:val="Superscript"/>
              </w:rPr>
              <w:t>(i)</w:t>
            </w:r>
          </w:p>
        </w:tc>
        <w:tc>
          <w:tcPr>
            <w:tcW w:w="2268" w:type="dxa"/>
            <w:gridSpan w:val="2"/>
            <w:hideMark/>
          </w:tcPr>
          <w:p w14:paraId="094623D2" w14:textId="77777777" w:rsidR="005B131E" w:rsidRPr="006543DD" w:rsidRDefault="005B131E">
            <w:pPr>
              <w:pStyle w:val="ARfintablecolheadcentre"/>
            </w:pPr>
            <w:r w:rsidRPr="006543DD">
              <w:t>Administrative Offices</w:t>
            </w:r>
          </w:p>
        </w:tc>
        <w:tc>
          <w:tcPr>
            <w:tcW w:w="2268" w:type="dxa"/>
            <w:gridSpan w:val="2"/>
            <w:hideMark/>
          </w:tcPr>
          <w:p w14:paraId="62D8E1B7" w14:textId="77777777" w:rsidR="005B131E" w:rsidRPr="006543DD" w:rsidRDefault="005B131E">
            <w:pPr>
              <w:pStyle w:val="ARfintablecolheadcentre"/>
            </w:pPr>
            <w:r w:rsidRPr="006543DD">
              <w:t xml:space="preserve">Other section 53 </w:t>
            </w:r>
            <w:r w:rsidRPr="006543DD">
              <w:rPr>
                <w:rStyle w:val="Superscript"/>
              </w:rPr>
              <w:t>(ii)</w:t>
            </w:r>
          </w:p>
        </w:tc>
      </w:tr>
      <w:tr w:rsidR="005B131E" w:rsidRPr="00BA7805" w14:paraId="6F00D3C0"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tcBorders>
              <w:bottom w:val="single" w:sz="4" w:space="0" w:color="auto"/>
            </w:tcBorders>
            <w:hideMark/>
          </w:tcPr>
          <w:p w14:paraId="0DEB824C" w14:textId="77777777" w:rsidR="005B131E" w:rsidRPr="00BA7805" w:rsidRDefault="005B131E" w:rsidP="002542E1">
            <w:pPr>
              <w:pStyle w:val="ARfintablecolhead"/>
              <w:rPr>
                <w:highlight w:val="green"/>
              </w:rPr>
            </w:pPr>
          </w:p>
        </w:tc>
        <w:tc>
          <w:tcPr>
            <w:tcW w:w="1134" w:type="dxa"/>
            <w:tcBorders>
              <w:bottom w:val="single" w:sz="4" w:space="0" w:color="auto"/>
            </w:tcBorders>
            <w:shd w:val="clear" w:color="auto" w:fill="E7E6E6"/>
            <w:hideMark/>
          </w:tcPr>
          <w:p w14:paraId="1EF26698" w14:textId="77777777" w:rsidR="005B131E" w:rsidRPr="006543DD" w:rsidRDefault="005B131E" w:rsidP="002542E1">
            <w:pPr>
              <w:pStyle w:val="ARfintablecolheadright"/>
            </w:pPr>
            <w:r w:rsidRPr="006543DD">
              <w:t>2024</w:t>
            </w:r>
          </w:p>
          <w:p w14:paraId="5456858C" w14:textId="77777777" w:rsidR="005B131E" w:rsidRPr="006543DD" w:rsidRDefault="005B131E" w:rsidP="002542E1">
            <w:pPr>
              <w:pStyle w:val="ARfintablecolheadright"/>
            </w:pPr>
            <w:r w:rsidRPr="006543DD">
              <w:t>$M</w:t>
            </w:r>
          </w:p>
        </w:tc>
        <w:tc>
          <w:tcPr>
            <w:tcW w:w="1134" w:type="dxa"/>
            <w:tcBorders>
              <w:bottom w:val="single" w:sz="4" w:space="0" w:color="auto"/>
            </w:tcBorders>
            <w:hideMark/>
          </w:tcPr>
          <w:p w14:paraId="164E2BC5" w14:textId="77777777" w:rsidR="005B131E" w:rsidRPr="006543DD" w:rsidRDefault="005B131E" w:rsidP="002542E1">
            <w:pPr>
              <w:pStyle w:val="ARfintablecolheadright"/>
            </w:pPr>
            <w:r w:rsidRPr="006543DD">
              <w:t>2023</w:t>
            </w:r>
          </w:p>
          <w:p w14:paraId="4FF1EB39" w14:textId="77777777" w:rsidR="005B131E" w:rsidRPr="006543DD" w:rsidRDefault="005B131E" w:rsidP="002542E1">
            <w:pPr>
              <w:pStyle w:val="ARfintablecolheadright"/>
            </w:pPr>
            <w:r w:rsidRPr="006543DD">
              <w:t>$M</w:t>
            </w:r>
          </w:p>
        </w:tc>
        <w:tc>
          <w:tcPr>
            <w:tcW w:w="1134" w:type="dxa"/>
            <w:tcBorders>
              <w:bottom w:val="single" w:sz="4" w:space="0" w:color="auto"/>
            </w:tcBorders>
            <w:shd w:val="clear" w:color="auto" w:fill="E7E6E6"/>
            <w:hideMark/>
          </w:tcPr>
          <w:p w14:paraId="0ED9CE90" w14:textId="77777777" w:rsidR="005B131E" w:rsidRPr="006543DD" w:rsidRDefault="005B131E" w:rsidP="002542E1">
            <w:pPr>
              <w:pStyle w:val="ARfintablecolheadright"/>
            </w:pPr>
            <w:r w:rsidRPr="006543DD">
              <w:t>2024</w:t>
            </w:r>
          </w:p>
          <w:p w14:paraId="54D63085" w14:textId="77777777" w:rsidR="005B131E" w:rsidRPr="00BA7805" w:rsidRDefault="005B131E" w:rsidP="002542E1">
            <w:pPr>
              <w:pStyle w:val="ARfintablecolheadright"/>
              <w:rPr>
                <w:highlight w:val="green"/>
              </w:rPr>
            </w:pPr>
            <w:r w:rsidRPr="006543DD">
              <w:t>$M</w:t>
            </w:r>
          </w:p>
        </w:tc>
        <w:tc>
          <w:tcPr>
            <w:tcW w:w="1134" w:type="dxa"/>
            <w:tcBorders>
              <w:bottom w:val="single" w:sz="4" w:space="0" w:color="auto"/>
            </w:tcBorders>
            <w:hideMark/>
          </w:tcPr>
          <w:p w14:paraId="38103FB9" w14:textId="77777777" w:rsidR="005B131E" w:rsidRPr="006543DD" w:rsidRDefault="005B131E" w:rsidP="002542E1">
            <w:pPr>
              <w:pStyle w:val="ARfintablecolheadright"/>
            </w:pPr>
            <w:r w:rsidRPr="006543DD">
              <w:t>2023</w:t>
            </w:r>
          </w:p>
          <w:p w14:paraId="62697B24" w14:textId="77777777" w:rsidR="005B131E" w:rsidRPr="00BA7805" w:rsidRDefault="005B131E" w:rsidP="002542E1">
            <w:pPr>
              <w:pStyle w:val="ARfintablecolheadright"/>
              <w:rPr>
                <w:highlight w:val="green"/>
              </w:rPr>
            </w:pPr>
            <w:r w:rsidRPr="006543DD">
              <w:t>$M</w:t>
            </w:r>
          </w:p>
        </w:tc>
        <w:tc>
          <w:tcPr>
            <w:tcW w:w="1134" w:type="dxa"/>
            <w:tcBorders>
              <w:bottom w:val="single" w:sz="4" w:space="0" w:color="auto"/>
            </w:tcBorders>
            <w:shd w:val="clear" w:color="auto" w:fill="E7E6E6"/>
            <w:hideMark/>
          </w:tcPr>
          <w:p w14:paraId="03A5F33E" w14:textId="77777777" w:rsidR="005B131E" w:rsidRPr="006543DD" w:rsidRDefault="005B131E" w:rsidP="002542E1">
            <w:pPr>
              <w:pStyle w:val="ARfintablecolheadright"/>
            </w:pPr>
            <w:r w:rsidRPr="006543DD">
              <w:t>2024</w:t>
            </w:r>
          </w:p>
          <w:p w14:paraId="107138DD" w14:textId="77777777" w:rsidR="005B131E" w:rsidRPr="00BA7805" w:rsidRDefault="005B131E" w:rsidP="002542E1">
            <w:pPr>
              <w:pStyle w:val="ARfintablecolheadright"/>
              <w:rPr>
                <w:highlight w:val="green"/>
              </w:rPr>
            </w:pPr>
            <w:r w:rsidRPr="006543DD">
              <w:t>$M</w:t>
            </w:r>
          </w:p>
        </w:tc>
        <w:tc>
          <w:tcPr>
            <w:tcW w:w="1134" w:type="dxa"/>
            <w:tcBorders>
              <w:bottom w:val="single" w:sz="4" w:space="0" w:color="auto"/>
            </w:tcBorders>
            <w:hideMark/>
          </w:tcPr>
          <w:p w14:paraId="629F379F" w14:textId="77777777" w:rsidR="005B131E" w:rsidRPr="006543DD" w:rsidRDefault="005B131E" w:rsidP="002542E1">
            <w:pPr>
              <w:pStyle w:val="ARfintablecolheadright"/>
            </w:pPr>
            <w:r w:rsidRPr="006543DD">
              <w:t>2023</w:t>
            </w:r>
          </w:p>
          <w:p w14:paraId="1125B797" w14:textId="77777777" w:rsidR="005B131E" w:rsidRPr="00BA7805" w:rsidRDefault="005B131E" w:rsidP="002542E1">
            <w:pPr>
              <w:pStyle w:val="ARfintablecolheadright"/>
              <w:rPr>
                <w:highlight w:val="green"/>
              </w:rPr>
            </w:pPr>
            <w:r w:rsidRPr="006543DD">
              <w:t>$M</w:t>
            </w:r>
          </w:p>
        </w:tc>
      </w:tr>
      <w:tr w:rsidR="005B131E" w:rsidRPr="00BA7805" w14:paraId="648A76FB" w14:textId="77777777" w:rsidTr="003D7AC8">
        <w:trPr>
          <w:cantSplit w:val="0"/>
          <w:trHeight w:val="255"/>
        </w:trPr>
        <w:tc>
          <w:tcPr>
            <w:tcW w:w="2835" w:type="dxa"/>
            <w:tcBorders>
              <w:top w:val="single" w:sz="4" w:space="0" w:color="auto"/>
              <w:bottom w:val="single" w:sz="4" w:space="0" w:color="A6A6A6"/>
            </w:tcBorders>
          </w:tcPr>
          <w:p w14:paraId="0DC859ED" w14:textId="77777777" w:rsidR="005B131E" w:rsidRPr="00BA7805" w:rsidRDefault="005B131E" w:rsidP="002542E1">
            <w:pPr>
              <w:pStyle w:val="ARfintablebody"/>
              <w:rPr>
                <w:highlight w:val="green"/>
              </w:rPr>
            </w:pPr>
            <w:r w:rsidRPr="00D93C13">
              <w:t>Short-term employee benefits</w:t>
            </w:r>
          </w:p>
        </w:tc>
        <w:tc>
          <w:tcPr>
            <w:tcW w:w="1134" w:type="dxa"/>
            <w:tcBorders>
              <w:top w:val="single" w:sz="4" w:space="0" w:color="auto"/>
              <w:bottom w:val="single" w:sz="4" w:space="0" w:color="A6A6A6"/>
            </w:tcBorders>
            <w:shd w:val="clear" w:color="auto" w:fill="E7E6E6"/>
            <w:noWrap/>
          </w:tcPr>
          <w:p w14:paraId="5A2E7F3C" w14:textId="77777777" w:rsidR="005B131E" w:rsidRPr="00BA7805" w:rsidRDefault="005B131E" w:rsidP="002542E1">
            <w:pPr>
              <w:pStyle w:val="ARfintablebodyright"/>
              <w:rPr>
                <w:highlight w:val="green"/>
              </w:rPr>
            </w:pPr>
            <w:r w:rsidRPr="00D93C13">
              <w:t>5.1</w:t>
            </w:r>
          </w:p>
        </w:tc>
        <w:tc>
          <w:tcPr>
            <w:tcW w:w="1134" w:type="dxa"/>
            <w:tcBorders>
              <w:top w:val="single" w:sz="4" w:space="0" w:color="auto"/>
              <w:bottom w:val="single" w:sz="4" w:space="0" w:color="A6A6A6"/>
            </w:tcBorders>
            <w:noWrap/>
          </w:tcPr>
          <w:p w14:paraId="44D40C18" w14:textId="77777777" w:rsidR="005B131E" w:rsidRPr="00BA7805" w:rsidRDefault="005B131E" w:rsidP="002542E1">
            <w:pPr>
              <w:pStyle w:val="ARfintablebodyright"/>
              <w:rPr>
                <w:highlight w:val="green"/>
              </w:rPr>
            </w:pPr>
            <w:r w:rsidRPr="00D93C13">
              <w:t>5.3</w:t>
            </w:r>
          </w:p>
        </w:tc>
        <w:tc>
          <w:tcPr>
            <w:tcW w:w="1134" w:type="dxa"/>
            <w:tcBorders>
              <w:top w:val="single" w:sz="4" w:space="0" w:color="auto"/>
              <w:bottom w:val="single" w:sz="4" w:space="0" w:color="A6A6A6"/>
            </w:tcBorders>
            <w:shd w:val="clear" w:color="auto" w:fill="E7E6E6"/>
            <w:noWrap/>
          </w:tcPr>
          <w:p w14:paraId="15E0D2C2" w14:textId="77777777" w:rsidR="005B131E" w:rsidRPr="00BA7805" w:rsidRDefault="005B131E" w:rsidP="002542E1">
            <w:pPr>
              <w:pStyle w:val="ARfintablebodyright"/>
              <w:rPr>
                <w:highlight w:val="green"/>
              </w:rPr>
            </w:pPr>
            <w:r w:rsidRPr="00D93C13">
              <w:t>0.4</w:t>
            </w:r>
          </w:p>
        </w:tc>
        <w:tc>
          <w:tcPr>
            <w:tcW w:w="1134" w:type="dxa"/>
            <w:tcBorders>
              <w:top w:val="single" w:sz="4" w:space="0" w:color="auto"/>
              <w:bottom w:val="single" w:sz="4" w:space="0" w:color="A6A6A6"/>
            </w:tcBorders>
            <w:noWrap/>
          </w:tcPr>
          <w:p w14:paraId="6D020E60" w14:textId="77777777" w:rsidR="005B131E" w:rsidRPr="00BA7805" w:rsidRDefault="005B131E" w:rsidP="002542E1">
            <w:pPr>
              <w:pStyle w:val="ARfintablebodyright"/>
              <w:rPr>
                <w:highlight w:val="green"/>
              </w:rPr>
            </w:pPr>
            <w:r w:rsidRPr="00D93C13">
              <w:t>0.9</w:t>
            </w:r>
          </w:p>
        </w:tc>
        <w:tc>
          <w:tcPr>
            <w:tcW w:w="1134" w:type="dxa"/>
            <w:tcBorders>
              <w:top w:val="single" w:sz="4" w:space="0" w:color="auto"/>
              <w:bottom w:val="single" w:sz="4" w:space="0" w:color="A6A6A6"/>
            </w:tcBorders>
            <w:shd w:val="clear" w:color="auto" w:fill="E7E6E6"/>
            <w:noWrap/>
          </w:tcPr>
          <w:p w14:paraId="02EE7808" w14:textId="77777777" w:rsidR="005B131E" w:rsidRPr="00BA7805" w:rsidRDefault="005B131E" w:rsidP="002542E1">
            <w:pPr>
              <w:pStyle w:val="ARfintablebodyright"/>
              <w:rPr>
                <w:highlight w:val="green"/>
              </w:rPr>
            </w:pPr>
            <w:r w:rsidRPr="00D93C13">
              <w:t>1.8</w:t>
            </w:r>
          </w:p>
        </w:tc>
        <w:tc>
          <w:tcPr>
            <w:tcW w:w="1134" w:type="dxa"/>
            <w:tcBorders>
              <w:top w:val="single" w:sz="4" w:space="0" w:color="auto"/>
              <w:bottom w:val="single" w:sz="4" w:space="0" w:color="A6A6A6"/>
            </w:tcBorders>
            <w:noWrap/>
          </w:tcPr>
          <w:p w14:paraId="117F87D3" w14:textId="77777777" w:rsidR="005B131E" w:rsidRPr="00BA7805" w:rsidRDefault="005B131E" w:rsidP="002542E1">
            <w:pPr>
              <w:pStyle w:val="ARfintablebodyright"/>
              <w:rPr>
                <w:highlight w:val="green"/>
              </w:rPr>
            </w:pPr>
            <w:r w:rsidRPr="00D93C13">
              <w:t>1.0</w:t>
            </w:r>
          </w:p>
        </w:tc>
      </w:tr>
      <w:tr w:rsidR="005B131E" w:rsidRPr="00BA7805" w14:paraId="201A3DD3" w14:textId="77777777" w:rsidTr="003D7AC8">
        <w:trPr>
          <w:cantSplit w:val="0"/>
          <w:trHeight w:val="255"/>
        </w:trPr>
        <w:tc>
          <w:tcPr>
            <w:tcW w:w="2835" w:type="dxa"/>
            <w:tcBorders>
              <w:top w:val="single" w:sz="4" w:space="0" w:color="A6A6A6"/>
              <w:bottom w:val="single" w:sz="4" w:space="0" w:color="A6A6A6"/>
            </w:tcBorders>
          </w:tcPr>
          <w:p w14:paraId="2F03570C" w14:textId="77777777" w:rsidR="005B131E" w:rsidRPr="00BA7805" w:rsidRDefault="005B131E" w:rsidP="002542E1">
            <w:pPr>
              <w:pStyle w:val="ARfintablebody"/>
              <w:rPr>
                <w:highlight w:val="green"/>
              </w:rPr>
            </w:pPr>
            <w:r w:rsidRPr="00D93C13">
              <w:t>Post-employment benefits</w:t>
            </w:r>
          </w:p>
        </w:tc>
        <w:tc>
          <w:tcPr>
            <w:tcW w:w="1134" w:type="dxa"/>
            <w:tcBorders>
              <w:top w:val="single" w:sz="4" w:space="0" w:color="A6A6A6"/>
              <w:bottom w:val="single" w:sz="4" w:space="0" w:color="A6A6A6"/>
            </w:tcBorders>
            <w:shd w:val="clear" w:color="auto" w:fill="E7E6E6"/>
            <w:noWrap/>
          </w:tcPr>
          <w:p w14:paraId="2E2F355C" w14:textId="77777777" w:rsidR="005B131E" w:rsidRPr="00BA7805" w:rsidRDefault="005B131E" w:rsidP="002542E1">
            <w:pPr>
              <w:pStyle w:val="ARfintablebodyright"/>
              <w:rPr>
                <w:highlight w:val="green"/>
              </w:rPr>
            </w:pPr>
            <w:r w:rsidRPr="00D93C13">
              <w:t>0.4</w:t>
            </w:r>
          </w:p>
        </w:tc>
        <w:tc>
          <w:tcPr>
            <w:tcW w:w="1134" w:type="dxa"/>
            <w:tcBorders>
              <w:top w:val="single" w:sz="4" w:space="0" w:color="A6A6A6"/>
              <w:bottom w:val="single" w:sz="4" w:space="0" w:color="A6A6A6"/>
            </w:tcBorders>
            <w:noWrap/>
          </w:tcPr>
          <w:p w14:paraId="641EE7A1" w14:textId="77777777" w:rsidR="005B131E" w:rsidRPr="00BA7805" w:rsidRDefault="005B131E" w:rsidP="002542E1">
            <w:pPr>
              <w:pStyle w:val="ARfintablebodyright"/>
              <w:rPr>
                <w:highlight w:val="green"/>
              </w:rPr>
            </w:pPr>
            <w:r w:rsidRPr="00D93C13">
              <w:t>0.3</w:t>
            </w:r>
          </w:p>
        </w:tc>
        <w:tc>
          <w:tcPr>
            <w:tcW w:w="1134" w:type="dxa"/>
            <w:tcBorders>
              <w:top w:val="single" w:sz="4" w:space="0" w:color="A6A6A6"/>
              <w:bottom w:val="single" w:sz="4" w:space="0" w:color="A6A6A6"/>
            </w:tcBorders>
            <w:shd w:val="clear" w:color="auto" w:fill="E7E6E6"/>
            <w:noWrap/>
          </w:tcPr>
          <w:p w14:paraId="10A90A32"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noWrap/>
          </w:tcPr>
          <w:p w14:paraId="3FF8D98F" w14:textId="77777777" w:rsidR="005B131E" w:rsidRPr="00BA7805" w:rsidRDefault="005B131E" w:rsidP="002542E1">
            <w:pPr>
              <w:pStyle w:val="ARfintablebodyright"/>
              <w:rPr>
                <w:highlight w:val="green"/>
              </w:rPr>
            </w:pPr>
            <w:r w:rsidRPr="00D93C13">
              <w:t>0.1</w:t>
            </w:r>
          </w:p>
        </w:tc>
        <w:tc>
          <w:tcPr>
            <w:tcW w:w="1134" w:type="dxa"/>
            <w:tcBorders>
              <w:top w:val="single" w:sz="4" w:space="0" w:color="A6A6A6"/>
              <w:bottom w:val="single" w:sz="4" w:space="0" w:color="A6A6A6"/>
            </w:tcBorders>
            <w:shd w:val="clear" w:color="auto" w:fill="E7E6E6"/>
            <w:noWrap/>
          </w:tcPr>
          <w:p w14:paraId="48BF2208" w14:textId="77777777" w:rsidR="005B131E" w:rsidRPr="00BA7805" w:rsidRDefault="005B131E" w:rsidP="002542E1">
            <w:pPr>
              <w:pStyle w:val="ARfintablebodyright"/>
              <w:rPr>
                <w:highlight w:val="green"/>
              </w:rPr>
            </w:pPr>
            <w:r w:rsidRPr="00D93C13">
              <w:t>0.2</w:t>
            </w:r>
          </w:p>
        </w:tc>
        <w:tc>
          <w:tcPr>
            <w:tcW w:w="1134" w:type="dxa"/>
            <w:tcBorders>
              <w:top w:val="single" w:sz="4" w:space="0" w:color="A6A6A6"/>
              <w:bottom w:val="single" w:sz="4" w:space="0" w:color="A6A6A6"/>
            </w:tcBorders>
            <w:noWrap/>
          </w:tcPr>
          <w:p w14:paraId="67897A00" w14:textId="77777777" w:rsidR="005B131E" w:rsidRPr="00BA7805" w:rsidRDefault="005B131E" w:rsidP="002542E1">
            <w:pPr>
              <w:pStyle w:val="ARfintablebodyright"/>
              <w:rPr>
                <w:highlight w:val="green"/>
              </w:rPr>
            </w:pPr>
            <w:r w:rsidRPr="00D93C13">
              <w:t>0.1</w:t>
            </w:r>
          </w:p>
        </w:tc>
      </w:tr>
      <w:tr w:rsidR="005B131E" w:rsidRPr="00BA7805" w14:paraId="51542E1E" w14:textId="77777777" w:rsidTr="003D7AC8">
        <w:trPr>
          <w:cantSplit w:val="0"/>
          <w:trHeight w:val="255"/>
        </w:trPr>
        <w:tc>
          <w:tcPr>
            <w:tcW w:w="2835" w:type="dxa"/>
            <w:tcBorders>
              <w:top w:val="single" w:sz="4" w:space="0" w:color="A6A6A6"/>
              <w:bottom w:val="single" w:sz="4" w:space="0" w:color="A6A6A6"/>
            </w:tcBorders>
          </w:tcPr>
          <w:p w14:paraId="29C289BE" w14:textId="77777777" w:rsidR="005B131E" w:rsidRPr="00BA7805" w:rsidRDefault="005B131E" w:rsidP="002542E1">
            <w:pPr>
              <w:pStyle w:val="ARfintablebody"/>
              <w:rPr>
                <w:highlight w:val="green"/>
              </w:rPr>
            </w:pPr>
            <w:r w:rsidRPr="00D93C13">
              <w:t>Other long-term benefits</w:t>
            </w:r>
          </w:p>
        </w:tc>
        <w:tc>
          <w:tcPr>
            <w:tcW w:w="1134" w:type="dxa"/>
            <w:tcBorders>
              <w:top w:val="single" w:sz="4" w:space="0" w:color="A6A6A6"/>
              <w:bottom w:val="single" w:sz="4" w:space="0" w:color="A6A6A6"/>
            </w:tcBorders>
            <w:shd w:val="clear" w:color="auto" w:fill="E7E6E6"/>
            <w:noWrap/>
          </w:tcPr>
          <w:p w14:paraId="272AF972" w14:textId="77777777" w:rsidR="005B131E" w:rsidRPr="00BA7805" w:rsidRDefault="005B131E" w:rsidP="002542E1">
            <w:pPr>
              <w:pStyle w:val="ARfintablebodyright"/>
              <w:rPr>
                <w:highlight w:val="green"/>
              </w:rPr>
            </w:pPr>
            <w:r w:rsidRPr="00D93C13">
              <w:t>0.1</w:t>
            </w:r>
          </w:p>
        </w:tc>
        <w:tc>
          <w:tcPr>
            <w:tcW w:w="1134" w:type="dxa"/>
            <w:tcBorders>
              <w:top w:val="single" w:sz="4" w:space="0" w:color="A6A6A6"/>
              <w:bottom w:val="single" w:sz="4" w:space="0" w:color="A6A6A6"/>
            </w:tcBorders>
            <w:noWrap/>
          </w:tcPr>
          <w:p w14:paraId="36B03F77" w14:textId="77777777" w:rsidR="005B131E" w:rsidRPr="00BA7805" w:rsidRDefault="005B131E" w:rsidP="002542E1">
            <w:pPr>
              <w:pStyle w:val="ARfintablebodyright"/>
              <w:rPr>
                <w:highlight w:val="green"/>
              </w:rPr>
            </w:pPr>
            <w:r w:rsidRPr="00D93C13">
              <w:t>0.1</w:t>
            </w:r>
          </w:p>
        </w:tc>
        <w:tc>
          <w:tcPr>
            <w:tcW w:w="1134" w:type="dxa"/>
            <w:tcBorders>
              <w:top w:val="single" w:sz="4" w:space="0" w:color="A6A6A6"/>
              <w:bottom w:val="single" w:sz="4" w:space="0" w:color="A6A6A6"/>
            </w:tcBorders>
            <w:shd w:val="clear" w:color="auto" w:fill="E7E6E6"/>
            <w:noWrap/>
          </w:tcPr>
          <w:p w14:paraId="227F82C9"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noWrap/>
          </w:tcPr>
          <w:p w14:paraId="10C92899" w14:textId="77777777" w:rsidR="005B131E" w:rsidRPr="00BA7805" w:rsidRDefault="005B131E" w:rsidP="002542E1">
            <w:pPr>
              <w:pStyle w:val="ARfintablebodyright"/>
              <w:rPr>
                <w:highlight w:val="green"/>
              </w:rPr>
            </w:pPr>
            <w:r>
              <w:t>–</w:t>
            </w:r>
          </w:p>
        </w:tc>
        <w:tc>
          <w:tcPr>
            <w:tcW w:w="1134" w:type="dxa"/>
            <w:tcBorders>
              <w:top w:val="single" w:sz="4" w:space="0" w:color="A6A6A6"/>
              <w:bottom w:val="single" w:sz="4" w:space="0" w:color="A6A6A6"/>
            </w:tcBorders>
            <w:shd w:val="clear" w:color="auto" w:fill="E7E6E6"/>
            <w:noWrap/>
          </w:tcPr>
          <w:p w14:paraId="10272551" w14:textId="77777777" w:rsidR="005B131E" w:rsidRPr="00BA7805" w:rsidRDefault="005B131E" w:rsidP="002542E1">
            <w:pPr>
              <w:pStyle w:val="ARfintablebodyright"/>
              <w:rPr>
                <w:highlight w:val="green"/>
              </w:rPr>
            </w:pPr>
            <w:r w:rsidRPr="00D93C13">
              <w:t>0.1</w:t>
            </w:r>
          </w:p>
        </w:tc>
        <w:tc>
          <w:tcPr>
            <w:tcW w:w="1134" w:type="dxa"/>
            <w:tcBorders>
              <w:top w:val="single" w:sz="4" w:space="0" w:color="A6A6A6"/>
              <w:bottom w:val="single" w:sz="4" w:space="0" w:color="A6A6A6"/>
            </w:tcBorders>
            <w:noWrap/>
          </w:tcPr>
          <w:p w14:paraId="48CF3C96" w14:textId="77777777" w:rsidR="005B131E" w:rsidRPr="00BA7805" w:rsidRDefault="005B131E" w:rsidP="002542E1">
            <w:pPr>
              <w:pStyle w:val="ARfintablebodyright"/>
              <w:rPr>
                <w:highlight w:val="green"/>
              </w:rPr>
            </w:pPr>
            <w:r>
              <w:t>–</w:t>
            </w:r>
          </w:p>
        </w:tc>
      </w:tr>
      <w:tr w:rsidR="005B131E" w:rsidRPr="00BA7805" w14:paraId="1A8CFCAF" w14:textId="77777777" w:rsidTr="003D7AC8">
        <w:trPr>
          <w:cantSplit w:val="0"/>
          <w:trHeight w:val="255"/>
        </w:trPr>
        <w:tc>
          <w:tcPr>
            <w:tcW w:w="2835" w:type="dxa"/>
            <w:tcBorders>
              <w:top w:val="single" w:sz="4" w:space="0" w:color="A6A6A6"/>
            </w:tcBorders>
          </w:tcPr>
          <w:p w14:paraId="257A16C2" w14:textId="77777777" w:rsidR="005B131E" w:rsidRPr="00BA7805" w:rsidRDefault="005B131E" w:rsidP="002542E1">
            <w:pPr>
              <w:pStyle w:val="ARfintablebody"/>
              <w:rPr>
                <w:highlight w:val="green"/>
              </w:rPr>
            </w:pPr>
            <w:r w:rsidRPr="00D93C13">
              <w:t>Termination benefits</w:t>
            </w:r>
          </w:p>
        </w:tc>
        <w:tc>
          <w:tcPr>
            <w:tcW w:w="1134" w:type="dxa"/>
            <w:tcBorders>
              <w:top w:val="single" w:sz="4" w:space="0" w:color="A6A6A6"/>
            </w:tcBorders>
            <w:shd w:val="clear" w:color="auto" w:fill="E7E6E6"/>
            <w:noWrap/>
          </w:tcPr>
          <w:p w14:paraId="57C7CC7E" w14:textId="77777777" w:rsidR="005B131E" w:rsidRPr="00BA7805" w:rsidRDefault="005B131E" w:rsidP="002542E1">
            <w:pPr>
              <w:pStyle w:val="ARfintablebodyright"/>
              <w:rPr>
                <w:highlight w:val="green"/>
              </w:rPr>
            </w:pPr>
            <w:r>
              <w:t>–</w:t>
            </w:r>
          </w:p>
        </w:tc>
        <w:tc>
          <w:tcPr>
            <w:tcW w:w="1134" w:type="dxa"/>
            <w:tcBorders>
              <w:top w:val="single" w:sz="4" w:space="0" w:color="A6A6A6"/>
            </w:tcBorders>
            <w:noWrap/>
          </w:tcPr>
          <w:p w14:paraId="26FCEA92"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noWrap/>
          </w:tcPr>
          <w:p w14:paraId="4FBFB2FD" w14:textId="77777777" w:rsidR="005B131E" w:rsidRPr="00BA7805" w:rsidRDefault="005B131E" w:rsidP="002542E1">
            <w:pPr>
              <w:pStyle w:val="ARfintablebodyright"/>
              <w:rPr>
                <w:highlight w:val="green"/>
              </w:rPr>
            </w:pPr>
            <w:r>
              <w:t>–</w:t>
            </w:r>
          </w:p>
        </w:tc>
        <w:tc>
          <w:tcPr>
            <w:tcW w:w="1134" w:type="dxa"/>
            <w:tcBorders>
              <w:top w:val="single" w:sz="4" w:space="0" w:color="A6A6A6"/>
            </w:tcBorders>
            <w:noWrap/>
          </w:tcPr>
          <w:p w14:paraId="0842667C" w14:textId="77777777" w:rsidR="005B131E" w:rsidRPr="00BA7805" w:rsidRDefault="005B131E" w:rsidP="002542E1">
            <w:pPr>
              <w:pStyle w:val="ARfintablebodyright"/>
              <w:rPr>
                <w:highlight w:val="green"/>
              </w:rPr>
            </w:pPr>
            <w:r>
              <w:t>–</w:t>
            </w:r>
          </w:p>
        </w:tc>
        <w:tc>
          <w:tcPr>
            <w:tcW w:w="1134" w:type="dxa"/>
            <w:tcBorders>
              <w:top w:val="single" w:sz="4" w:space="0" w:color="A6A6A6"/>
            </w:tcBorders>
            <w:shd w:val="clear" w:color="auto" w:fill="E7E6E6"/>
            <w:noWrap/>
          </w:tcPr>
          <w:p w14:paraId="76625CF7" w14:textId="77777777" w:rsidR="005B131E" w:rsidRPr="00BA7805" w:rsidRDefault="005B131E" w:rsidP="002542E1">
            <w:pPr>
              <w:pStyle w:val="ARfintablebodyright"/>
              <w:rPr>
                <w:highlight w:val="green"/>
              </w:rPr>
            </w:pPr>
            <w:r w:rsidRPr="00D93C13">
              <w:t>0.2</w:t>
            </w:r>
          </w:p>
        </w:tc>
        <w:tc>
          <w:tcPr>
            <w:tcW w:w="1134" w:type="dxa"/>
            <w:tcBorders>
              <w:top w:val="single" w:sz="4" w:space="0" w:color="A6A6A6"/>
            </w:tcBorders>
            <w:noWrap/>
          </w:tcPr>
          <w:p w14:paraId="3695593B" w14:textId="77777777" w:rsidR="005B131E" w:rsidRPr="00BA7805" w:rsidRDefault="005B131E" w:rsidP="002542E1">
            <w:pPr>
              <w:pStyle w:val="ARfintablebodyright"/>
              <w:rPr>
                <w:highlight w:val="green"/>
              </w:rPr>
            </w:pPr>
            <w:r>
              <w:t>–</w:t>
            </w:r>
          </w:p>
        </w:tc>
      </w:tr>
      <w:tr w:rsidR="005B131E" w:rsidRPr="00BA7805" w14:paraId="17E9E054" w14:textId="77777777" w:rsidTr="003D7AC8">
        <w:trPr>
          <w:cantSplit w:val="0"/>
          <w:trHeight w:val="255"/>
        </w:trPr>
        <w:tc>
          <w:tcPr>
            <w:tcW w:w="2835" w:type="dxa"/>
          </w:tcPr>
          <w:p w14:paraId="2DC68DA8" w14:textId="77777777" w:rsidR="005B131E" w:rsidRPr="00BA7805" w:rsidRDefault="005B131E" w:rsidP="002542E1">
            <w:pPr>
              <w:pStyle w:val="ARfintablebodybold"/>
              <w:rPr>
                <w:highlight w:val="green"/>
              </w:rPr>
            </w:pPr>
            <w:r w:rsidRPr="00D93C13">
              <w:t xml:space="preserve">Total </w:t>
            </w:r>
            <w:r w:rsidRPr="00994F49">
              <w:rPr>
                <w:vertAlign w:val="superscript"/>
              </w:rPr>
              <w:t>(iii)(iv)</w:t>
            </w:r>
          </w:p>
        </w:tc>
        <w:tc>
          <w:tcPr>
            <w:tcW w:w="1134" w:type="dxa"/>
            <w:shd w:val="clear" w:color="auto" w:fill="E7E6E6"/>
            <w:noWrap/>
          </w:tcPr>
          <w:p w14:paraId="353535D5" w14:textId="77777777" w:rsidR="005B131E" w:rsidRPr="00BA7805" w:rsidRDefault="005B131E" w:rsidP="002542E1">
            <w:pPr>
              <w:pStyle w:val="ARfintablebodyrightbold"/>
              <w:rPr>
                <w:highlight w:val="green"/>
              </w:rPr>
            </w:pPr>
            <w:r w:rsidRPr="00D93C13">
              <w:t>5.6</w:t>
            </w:r>
          </w:p>
        </w:tc>
        <w:tc>
          <w:tcPr>
            <w:tcW w:w="1134" w:type="dxa"/>
            <w:noWrap/>
          </w:tcPr>
          <w:p w14:paraId="555EF103" w14:textId="77777777" w:rsidR="005B131E" w:rsidRPr="00BA7805" w:rsidRDefault="005B131E" w:rsidP="002542E1">
            <w:pPr>
              <w:pStyle w:val="ARfintablebodyrightbold"/>
              <w:rPr>
                <w:highlight w:val="green"/>
              </w:rPr>
            </w:pPr>
            <w:r w:rsidRPr="00D93C13">
              <w:t>5.7</w:t>
            </w:r>
          </w:p>
        </w:tc>
        <w:tc>
          <w:tcPr>
            <w:tcW w:w="1134" w:type="dxa"/>
            <w:shd w:val="clear" w:color="auto" w:fill="E7E6E6"/>
            <w:noWrap/>
          </w:tcPr>
          <w:p w14:paraId="3650E89E" w14:textId="77777777" w:rsidR="005B131E" w:rsidRPr="00BA7805" w:rsidRDefault="005B131E" w:rsidP="002542E1">
            <w:pPr>
              <w:pStyle w:val="ARfintablebodyrightbold"/>
              <w:rPr>
                <w:highlight w:val="green"/>
              </w:rPr>
            </w:pPr>
            <w:r w:rsidRPr="00D93C13">
              <w:t>0.4</w:t>
            </w:r>
          </w:p>
        </w:tc>
        <w:tc>
          <w:tcPr>
            <w:tcW w:w="1134" w:type="dxa"/>
            <w:noWrap/>
          </w:tcPr>
          <w:p w14:paraId="58F8B7C9" w14:textId="77777777" w:rsidR="005B131E" w:rsidRPr="00BA7805" w:rsidRDefault="005B131E" w:rsidP="002542E1">
            <w:pPr>
              <w:pStyle w:val="ARfintablebodyrightbold"/>
              <w:rPr>
                <w:highlight w:val="green"/>
              </w:rPr>
            </w:pPr>
            <w:r w:rsidRPr="00D93C13">
              <w:t>1.0</w:t>
            </w:r>
          </w:p>
        </w:tc>
        <w:tc>
          <w:tcPr>
            <w:tcW w:w="1134" w:type="dxa"/>
            <w:shd w:val="clear" w:color="auto" w:fill="E7E6E6"/>
            <w:noWrap/>
          </w:tcPr>
          <w:p w14:paraId="58AF714F" w14:textId="77777777" w:rsidR="005B131E" w:rsidRPr="00BA7805" w:rsidRDefault="005B131E" w:rsidP="002542E1">
            <w:pPr>
              <w:pStyle w:val="ARfintablebodyrightbold"/>
              <w:rPr>
                <w:highlight w:val="green"/>
              </w:rPr>
            </w:pPr>
            <w:r w:rsidRPr="00D93C13">
              <w:t>2.3</w:t>
            </w:r>
          </w:p>
        </w:tc>
        <w:tc>
          <w:tcPr>
            <w:tcW w:w="1134" w:type="dxa"/>
            <w:noWrap/>
          </w:tcPr>
          <w:p w14:paraId="5D9AD4FD" w14:textId="77777777" w:rsidR="005B131E" w:rsidRPr="00BA7805" w:rsidRDefault="005B131E" w:rsidP="002542E1">
            <w:pPr>
              <w:pStyle w:val="ARfintablebodyrightbold"/>
              <w:rPr>
                <w:highlight w:val="green"/>
              </w:rPr>
            </w:pPr>
            <w:r w:rsidRPr="00D93C13">
              <w:t>1.1</w:t>
            </w:r>
          </w:p>
        </w:tc>
      </w:tr>
    </w:tbl>
    <w:p w14:paraId="024FB802" w14:textId="77777777" w:rsidR="005B131E" w:rsidRPr="00C642F4" w:rsidRDefault="005B131E">
      <w:pPr>
        <w:pStyle w:val="ARfintablefootnote"/>
        <w:rPr>
          <w:lang w:eastAsia="en-AU"/>
        </w:rPr>
      </w:pPr>
      <w:r w:rsidRPr="00C642F4">
        <w:rPr>
          <w:lang w:eastAsia="en-AU"/>
        </w:rPr>
        <w:t>Notes:</w:t>
      </w:r>
    </w:p>
    <w:p w14:paraId="4752CEC3" w14:textId="77777777" w:rsidR="005B131E" w:rsidRDefault="005B131E" w:rsidP="002542E1">
      <w:pPr>
        <w:pStyle w:val="ARfintablefootnotetabindent"/>
      </w:pPr>
      <w:r>
        <w:t xml:space="preserve">(i) </w:t>
      </w:r>
      <w:r>
        <w:tab/>
        <w:t>Remuneration of KMPs seconded from other departments are not included.</w:t>
      </w:r>
    </w:p>
    <w:p w14:paraId="4ED2E4DC" w14:textId="2E202B6D" w:rsidR="005B131E" w:rsidRDefault="005B131E" w:rsidP="002542E1">
      <w:pPr>
        <w:pStyle w:val="ARfintablefootnotetabindent"/>
      </w:pPr>
      <w:r>
        <w:t xml:space="preserve">(ii) </w:t>
      </w:r>
      <w:r>
        <w:tab/>
        <w:t>This includes remuneration of KMPs for Commission for Children and Young People, Disability Worker Registration Board, Respect Victoria, Victorian Veterans Council. The remuneration of Homes Victoria</w:t>
      </w:r>
      <w:r w:rsidR="00711AE6">
        <w:t>’</w:t>
      </w:r>
      <w:r>
        <w:t>s key management personnel is disclosed in the Department of Families, Fairness and Housing for the period 1 July 2023 – 30 June 2024.</w:t>
      </w:r>
    </w:p>
    <w:p w14:paraId="0BA2AA7C" w14:textId="7F27D290" w:rsidR="005B131E" w:rsidRDefault="005B131E" w:rsidP="002542E1">
      <w:pPr>
        <w:pStyle w:val="ARfintablefootnotetabindent"/>
      </w:pPr>
      <w:r>
        <w:t xml:space="preserve">(iii) </w:t>
      </w:r>
      <w:r w:rsidR="002F371F">
        <w:tab/>
      </w:r>
      <w:r>
        <w:t>Total figures for 2022–23 and 2023–2024 include the remuneration of the CFO who delivered services, as an executive officer to the department but is employed by the Department of Treasury and Finance.</w:t>
      </w:r>
    </w:p>
    <w:p w14:paraId="7A73135C" w14:textId="35C5CFD4" w:rsidR="005B131E" w:rsidRPr="00BA7805" w:rsidRDefault="005B131E" w:rsidP="002542E1">
      <w:pPr>
        <w:pStyle w:val="ARfintablefootnotetabindent"/>
        <w:rPr>
          <w:highlight w:val="green"/>
        </w:rPr>
      </w:pPr>
      <w:r>
        <w:t xml:space="preserve">(iv) </w:t>
      </w:r>
      <w:r w:rsidR="002F371F">
        <w:tab/>
      </w:r>
      <w:r>
        <w:t>Note that KMPs are also reported in the disclosure of remuneration of accountable officers (refer to Note 9.6) and in the disclosure of remuneration of executive officers (refer to Note 9.7).</w:t>
      </w:r>
    </w:p>
    <w:p w14:paraId="2BBAB918" w14:textId="77777777" w:rsidR="005B131E" w:rsidRPr="00C642F4" w:rsidRDefault="005B131E" w:rsidP="002542E1">
      <w:pPr>
        <w:pStyle w:val="Heading5"/>
        <w:rPr>
          <w:highlight w:val="green"/>
        </w:rPr>
      </w:pPr>
      <w:bookmarkStart w:id="289" w:name="_Ref178666064"/>
      <w:r>
        <w:t>Transactions and balances with key management personnel and other related parties</w:t>
      </w:r>
      <w:bookmarkEnd w:id="289"/>
    </w:p>
    <w:p w14:paraId="355B8D2F" w14:textId="77777777" w:rsidR="005B131E" w:rsidRDefault="005B131E" w:rsidP="002542E1">
      <w:pPr>
        <w:pStyle w:val="ARfinbody"/>
      </w:pPr>
      <w:r>
        <w:t xml:space="preserve">Given the breadth and depth of state government activities, related parties transact with the Victorian public sector in a manner consistent with other members of the public, for example stamp duty and other government fees and charges. Further employment of processes within the Victorian public sector occurs on terms and conditions consistent with the </w:t>
      </w:r>
      <w:r w:rsidRPr="00C642F4">
        <w:rPr>
          <w:rStyle w:val="Emphasis"/>
        </w:rPr>
        <w:t>Public Administration Act 2004</w:t>
      </w:r>
      <w:r>
        <w:t xml:space="preserve"> and Codes of Conduct and Standards issued by the Victorian Public Sector Commission. Procurement processes occur on terms and conditions consistent with the Victorian Government Procurement Board requirements. </w:t>
      </w:r>
    </w:p>
    <w:p w14:paraId="14441826" w14:textId="77777777" w:rsidR="005B131E" w:rsidRDefault="005B131E" w:rsidP="002542E1">
      <w:pPr>
        <w:pStyle w:val="ARfinbody"/>
      </w:pPr>
      <w:r>
        <w:t>Outside of normal citizen-type transactions, there were no material related party transactions that involved key management personnel, their close family members and their personal business interests with the department, the Administrative Offices or its s. 53(1)(b) entities.</w:t>
      </w:r>
    </w:p>
    <w:p w14:paraId="135F15A4" w14:textId="77777777" w:rsidR="005B131E" w:rsidRPr="00BA7805" w:rsidRDefault="005B131E" w:rsidP="002542E1">
      <w:pPr>
        <w:pStyle w:val="ARfinbody"/>
        <w:rPr>
          <w:highlight w:val="green"/>
        </w:rPr>
      </w:pPr>
      <w:r>
        <w:t>No provision has been required, nor any expense recognised, for impairment of receivables from related parties.</w:t>
      </w:r>
    </w:p>
    <w:p w14:paraId="41CDF205" w14:textId="77777777" w:rsidR="005B131E" w:rsidRPr="00A51D49" w:rsidRDefault="005B131E">
      <w:pPr>
        <w:pStyle w:val="Heading4"/>
      </w:pPr>
      <w:r w:rsidRPr="00A51D49">
        <w:t>9.9 Remuneration of auditors</w:t>
      </w:r>
    </w:p>
    <w:tbl>
      <w:tblPr>
        <w:tblStyle w:val="TableGrid"/>
        <w:tblW w:w="9637" w:type="dxa"/>
        <w:tblLayout w:type="fixed"/>
        <w:tblLook w:val="06A0" w:firstRow="1" w:lastRow="0" w:firstColumn="1" w:lastColumn="0" w:noHBand="1" w:noVBand="1"/>
      </w:tblPr>
      <w:tblGrid>
        <w:gridCol w:w="7369"/>
        <w:gridCol w:w="1134"/>
        <w:gridCol w:w="1134"/>
      </w:tblGrid>
      <w:tr w:rsidR="005B131E" w:rsidRPr="00BA7805" w14:paraId="0E87E63C"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7369" w:type="dxa"/>
            <w:noWrap/>
            <w:hideMark/>
          </w:tcPr>
          <w:p w14:paraId="14CA818F" w14:textId="77777777" w:rsidR="005B131E" w:rsidRPr="00BA7805" w:rsidRDefault="005B131E">
            <w:pPr>
              <w:pStyle w:val="ARfintablecolhead"/>
              <w:rPr>
                <w:highlight w:val="green"/>
              </w:rPr>
            </w:pPr>
          </w:p>
        </w:tc>
        <w:tc>
          <w:tcPr>
            <w:tcW w:w="1134" w:type="dxa"/>
            <w:shd w:val="clear" w:color="auto" w:fill="E7E6E6"/>
            <w:hideMark/>
          </w:tcPr>
          <w:p w14:paraId="37D91953" w14:textId="77777777" w:rsidR="005B131E" w:rsidRPr="00A51D49" w:rsidRDefault="005B131E">
            <w:pPr>
              <w:pStyle w:val="ARfintablecolheadright"/>
            </w:pPr>
            <w:r w:rsidRPr="00A51D49">
              <w:t>2024</w:t>
            </w:r>
          </w:p>
          <w:p w14:paraId="1EAD5ED8" w14:textId="77777777" w:rsidR="005B131E" w:rsidRPr="00A51D49" w:rsidRDefault="005B131E">
            <w:pPr>
              <w:pStyle w:val="ARfintablecolheadright"/>
            </w:pPr>
            <w:r w:rsidRPr="00A51D49">
              <w:t>$</w:t>
            </w:r>
          </w:p>
        </w:tc>
        <w:tc>
          <w:tcPr>
            <w:tcW w:w="1134" w:type="dxa"/>
            <w:hideMark/>
          </w:tcPr>
          <w:p w14:paraId="7C1C4833" w14:textId="77777777" w:rsidR="005B131E" w:rsidRPr="00A51D49" w:rsidRDefault="005B131E">
            <w:pPr>
              <w:pStyle w:val="ARfintablecolheadright"/>
            </w:pPr>
            <w:r w:rsidRPr="00A51D49">
              <w:t>2023</w:t>
            </w:r>
          </w:p>
          <w:p w14:paraId="640AD485" w14:textId="77777777" w:rsidR="005B131E" w:rsidRPr="00A51D49" w:rsidRDefault="005B131E">
            <w:pPr>
              <w:pStyle w:val="ARfintablecolheadright"/>
            </w:pPr>
            <w:r w:rsidRPr="00A51D49">
              <w:t>$</w:t>
            </w:r>
          </w:p>
        </w:tc>
      </w:tr>
      <w:tr w:rsidR="005B131E" w:rsidRPr="00BA7805" w14:paraId="7BFAD7C3" w14:textId="77777777" w:rsidTr="003D7AC8">
        <w:trPr>
          <w:trHeight w:val="255"/>
        </w:trPr>
        <w:tc>
          <w:tcPr>
            <w:tcW w:w="7369" w:type="dxa"/>
          </w:tcPr>
          <w:p w14:paraId="0E983F33" w14:textId="232ED389" w:rsidR="005B131E" w:rsidRPr="00BA7805" w:rsidRDefault="005B131E" w:rsidP="002542E1">
            <w:pPr>
              <w:pStyle w:val="ARfintablebody"/>
              <w:rPr>
                <w:highlight w:val="green"/>
              </w:rPr>
            </w:pPr>
            <w:r w:rsidRPr="00796450">
              <w:t>Victorian Auditor-General</w:t>
            </w:r>
            <w:r w:rsidR="00711AE6">
              <w:t>’</w:t>
            </w:r>
            <w:r w:rsidRPr="00796450">
              <w:t xml:space="preserve">s Office </w:t>
            </w:r>
            <w:r>
              <w:t>–</w:t>
            </w:r>
            <w:r w:rsidRPr="00796450">
              <w:t xml:space="preserve"> audit of the financial report</w:t>
            </w:r>
          </w:p>
        </w:tc>
        <w:tc>
          <w:tcPr>
            <w:tcW w:w="1134" w:type="dxa"/>
            <w:shd w:val="clear" w:color="auto" w:fill="E7E6E6"/>
            <w:noWrap/>
          </w:tcPr>
          <w:p w14:paraId="01BD523C" w14:textId="77777777" w:rsidR="005B131E" w:rsidRPr="00BA7805" w:rsidRDefault="005B131E" w:rsidP="002542E1">
            <w:pPr>
              <w:pStyle w:val="ARfintablebodyright"/>
              <w:rPr>
                <w:highlight w:val="green"/>
              </w:rPr>
            </w:pPr>
            <w:r w:rsidRPr="00796450">
              <w:t>530,400</w:t>
            </w:r>
          </w:p>
        </w:tc>
        <w:tc>
          <w:tcPr>
            <w:tcW w:w="1134" w:type="dxa"/>
            <w:noWrap/>
          </w:tcPr>
          <w:p w14:paraId="57087EF1" w14:textId="77777777" w:rsidR="005B131E" w:rsidRPr="00BA7805" w:rsidRDefault="005B131E" w:rsidP="002542E1">
            <w:pPr>
              <w:pStyle w:val="ARfintablebodyright"/>
              <w:rPr>
                <w:highlight w:val="green"/>
              </w:rPr>
            </w:pPr>
            <w:r w:rsidRPr="00796450">
              <w:t>510,000</w:t>
            </w:r>
          </w:p>
        </w:tc>
      </w:tr>
    </w:tbl>
    <w:p w14:paraId="6134607B" w14:textId="77777777" w:rsidR="005B131E" w:rsidRPr="00C64904" w:rsidRDefault="005B131E">
      <w:pPr>
        <w:pStyle w:val="Heading4"/>
        <w:rPr>
          <w:lang w:eastAsia="en-AU"/>
        </w:rPr>
      </w:pPr>
      <w:bookmarkStart w:id="290" w:name="_Ref178178807"/>
      <w:r w:rsidRPr="00C64904">
        <w:rPr>
          <w:lang w:eastAsia="en-AU"/>
        </w:rPr>
        <w:t>9.10 Subsequent events</w:t>
      </w:r>
      <w:bookmarkEnd w:id="290"/>
    </w:p>
    <w:p w14:paraId="31662647" w14:textId="77777777" w:rsidR="005B131E" w:rsidRPr="00BA7805" w:rsidRDefault="005B131E">
      <w:pPr>
        <w:pStyle w:val="ARfinbody"/>
        <w:rPr>
          <w:highlight w:val="green"/>
        </w:rPr>
      </w:pPr>
      <w:r w:rsidRPr="00C64904">
        <w:t>There are no subsequent events for the 2023</w:t>
      </w:r>
      <w:r>
        <w:t>–</w:t>
      </w:r>
      <w:r w:rsidRPr="00C64904">
        <w:t>24 financial year.</w:t>
      </w:r>
    </w:p>
    <w:p w14:paraId="36D7323B" w14:textId="77777777" w:rsidR="005B131E" w:rsidRPr="004B1DD0" w:rsidRDefault="005B131E">
      <w:pPr>
        <w:pStyle w:val="Heading4"/>
        <w:rPr>
          <w:lang w:eastAsia="en-AU"/>
        </w:rPr>
      </w:pPr>
      <w:r w:rsidRPr="004B1DD0">
        <w:rPr>
          <w:lang w:eastAsia="en-AU"/>
        </w:rPr>
        <w:t>9.11 Other accounting policies</w:t>
      </w:r>
    </w:p>
    <w:p w14:paraId="78AEE35D" w14:textId="77777777" w:rsidR="005B131E" w:rsidRDefault="005B131E" w:rsidP="002542E1">
      <w:pPr>
        <w:pStyle w:val="Heading5"/>
      </w:pPr>
      <w:r>
        <w:t>Contributions by owners</w:t>
      </w:r>
    </w:p>
    <w:p w14:paraId="68555022" w14:textId="77777777" w:rsidR="005B131E" w:rsidRDefault="005B131E" w:rsidP="002542E1">
      <w:pPr>
        <w:pStyle w:val="ARfinbody"/>
      </w:pPr>
      <w:r>
        <w:t>Consistent with the requirements of AASB 1004 Contributions, contributions by owners (that is, contributed capital and its repayment) are treated as equity transactions and therefore do not form part of the income and expenses of the department.</w:t>
      </w:r>
    </w:p>
    <w:p w14:paraId="2BF0112E" w14:textId="77777777" w:rsidR="005B131E" w:rsidRDefault="005B131E" w:rsidP="002542E1">
      <w:pPr>
        <w:pStyle w:val="ARfinbody"/>
      </w:pPr>
      <w:r>
        <w:t xml:space="preserve">Additions to net assets that have been designated as contributions by owners are recognised as contributed capital. Other transfers that are in the nature of contributions to or distributions by owners have also been designated as contributions by owners. </w:t>
      </w:r>
    </w:p>
    <w:p w14:paraId="33CFC99C" w14:textId="77777777" w:rsidR="005B131E" w:rsidRPr="00BA7805" w:rsidRDefault="005B131E" w:rsidP="002542E1">
      <w:pPr>
        <w:pStyle w:val="ARfinbody"/>
        <w:rPr>
          <w:highlight w:val="green"/>
        </w:rPr>
      </w:pPr>
      <w:r>
        <w:t>Transfers of net assets arising from administrative restructurings are treated as distributions to or contributions by owners. Transfers of net liabilities arising from administrative restructurings are treated as distributions to owners.</w:t>
      </w:r>
    </w:p>
    <w:p w14:paraId="45762C7B" w14:textId="77777777" w:rsidR="005B131E" w:rsidRDefault="005B131E" w:rsidP="002542E1">
      <w:pPr>
        <w:pStyle w:val="Heading4"/>
      </w:pPr>
      <w:r>
        <w:t>9.12 Australian Accounting Standards issued that are not yet effective</w:t>
      </w:r>
    </w:p>
    <w:p w14:paraId="6195371C" w14:textId="77777777" w:rsidR="005B131E" w:rsidRDefault="005B131E" w:rsidP="002542E1">
      <w:pPr>
        <w:pStyle w:val="ARfinbody"/>
      </w:pPr>
      <w:r>
        <w:t>Certain new and revised accounting standards have been issued but are not effective for the 2023–24 reporting period. These accounting standards have not been applied to the financial statements.</w:t>
      </w:r>
    </w:p>
    <w:p w14:paraId="34701180" w14:textId="77777777" w:rsidR="005B131E" w:rsidRPr="003A3232" w:rsidRDefault="005B131E" w:rsidP="002542E1">
      <w:pPr>
        <w:pStyle w:val="ARfinbody"/>
        <w:rPr>
          <w:rStyle w:val="Emphasis"/>
        </w:rPr>
      </w:pPr>
      <w:r w:rsidRPr="003A3232">
        <w:rPr>
          <w:rStyle w:val="Emphasis"/>
        </w:rPr>
        <w:t>AASB 2022-10 Amendments to Australian Accounting Standards – Fair Value Measurement of Non-Financial</w:t>
      </w:r>
    </w:p>
    <w:p w14:paraId="4A5C3DA8" w14:textId="77777777" w:rsidR="005B131E" w:rsidRDefault="005B131E" w:rsidP="002542E1">
      <w:pPr>
        <w:pStyle w:val="ARfinbody"/>
      </w:pPr>
      <w:r w:rsidRPr="003A3232">
        <w:rPr>
          <w:rStyle w:val="Emphasis"/>
        </w:rPr>
        <w:t>Assets of Not-for-Profit Public Sector Entities</w:t>
      </w:r>
      <w:r>
        <w:t>.</w:t>
      </w:r>
    </w:p>
    <w:p w14:paraId="4FB62DEC" w14:textId="77777777" w:rsidR="005B131E" w:rsidRDefault="005B131E" w:rsidP="002542E1">
      <w:pPr>
        <w:pStyle w:val="ARfinbody"/>
      </w:pPr>
      <w:r>
        <w:t>AASB 2022-10 amends AASB 13 Fair Value Measurement by adding authoritative implementation guidance and</w:t>
      </w:r>
    </w:p>
    <w:p w14:paraId="1B0C930C" w14:textId="77777777" w:rsidR="005B131E" w:rsidRDefault="005B131E" w:rsidP="002542E1">
      <w:pPr>
        <w:pStyle w:val="ARfinbody"/>
      </w:pPr>
      <w:r>
        <w:t>illustrative examples for fair value measurements of non-financial assets of not-for-profit public sector entities not held</w:t>
      </w:r>
    </w:p>
    <w:p w14:paraId="4C7204CE" w14:textId="77777777" w:rsidR="005B131E" w:rsidRDefault="005B131E" w:rsidP="002542E1">
      <w:pPr>
        <w:pStyle w:val="ARfinbody"/>
      </w:pPr>
      <w:r>
        <w:t>primarily for their ability to generate net cash inflows.</w:t>
      </w:r>
    </w:p>
    <w:p w14:paraId="4D2F3DAF" w14:textId="77777777" w:rsidR="005B131E" w:rsidRDefault="005B131E" w:rsidP="002542E1">
      <w:pPr>
        <w:pStyle w:val="ARfinbody"/>
      </w:pPr>
      <w:r>
        <w:t>Among other things, the standard:</w:t>
      </w:r>
    </w:p>
    <w:p w14:paraId="285E3D2A" w14:textId="5675E790" w:rsidR="005B131E" w:rsidRDefault="005B131E" w:rsidP="002542E1">
      <w:pPr>
        <w:pStyle w:val="ARfinbullet1"/>
      </w:pPr>
      <w:r>
        <w:t>specifies that an entity needs to consider whether an asset</w:t>
      </w:r>
      <w:r w:rsidR="00711AE6">
        <w:t>’</w:t>
      </w:r>
      <w:r>
        <w:t>s highest and best use differs from its current use only</w:t>
      </w:r>
    </w:p>
    <w:p w14:paraId="425D3EE3" w14:textId="77777777" w:rsidR="005B131E" w:rsidRDefault="005B131E" w:rsidP="002542E1">
      <w:pPr>
        <w:pStyle w:val="ARfinbullet1"/>
        <w:numPr>
          <w:ilvl w:val="0"/>
          <w:numId w:val="0"/>
        </w:numPr>
        <w:ind w:left="284"/>
      </w:pPr>
      <w:r>
        <w:t>when it is held for sale or held for distributions to owners under AASB 5 Non-current Assets Held for Sale and</w:t>
      </w:r>
    </w:p>
    <w:p w14:paraId="0E426103" w14:textId="77777777" w:rsidR="005B131E" w:rsidRDefault="005B131E" w:rsidP="002542E1">
      <w:pPr>
        <w:pStyle w:val="ARfinbullet1"/>
        <w:numPr>
          <w:ilvl w:val="0"/>
          <w:numId w:val="0"/>
        </w:numPr>
        <w:ind w:left="284"/>
      </w:pPr>
      <w:r>
        <w:t>Discontinued Operations or if it is highly probable that it will be used for an alternative purpose</w:t>
      </w:r>
    </w:p>
    <w:p w14:paraId="23905BB3" w14:textId="4A951854" w:rsidR="005B131E" w:rsidRDefault="005B131E" w:rsidP="002542E1">
      <w:pPr>
        <w:pStyle w:val="ARfinbullet1"/>
      </w:pPr>
      <w:r>
        <w:t>clarifies that an asset</w:t>
      </w:r>
      <w:r w:rsidR="00711AE6">
        <w:t>’</w:t>
      </w:r>
      <w:r>
        <w:t xml:space="preserve">s use is </w:t>
      </w:r>
      <w:r w:rsidR="00711AE6">
        <w:t>‘</w:t>
      </w:r>
      <w:r>
        <w:t>financially feasible</w:t>
      </w:r>
      <w:r w:rsidR="00711AE6">
        <w:t>’</w:t>
      </w:r>
      <w:r>
        <w:t xml:space="preserve"> if market participants would be willing to invest in the asset</w:t>
      </w:r>
      <w:r w:rsidR="00711AE6">
        <w:t>’</w:t>
      </w:r>
      <w:r>
        <w:t>s</w:t>
      </w:r>
    </w:p>
    <w:p w14:paraId="741AB0ED" w14:textId="77777777" w:rsidR="005B131E" w:rsidRDefault="005B131E" w:rsidP="002542E1">
      <w:pPr>
        <w:pStyle w:val="ARfinbullet1"/>
        <w:numPr>
          <w:ilvl w:val="0"/>
          <w:numId w:val="0"/>
        </w:numPr>
        <w:ind w:left="284"/>
      </w:pPr>
      <w:r>
        <w:t>service capacity, considering both the capacity to provide needed goods or services and the resulting costs of those</w:t>
      </w:r>
    </w:p>
    <w:p w14:paraId="3F025834" w14:textId="77777777" w:rsidR="005B131E" w:rsidRDefault="005B131E" w:rsidP="002542E1">
      <w:pPr>
        <w:pStyle w:val="ARfinbullet1"/>
        <w:numPr>
          <w:ilvl w:val="0"/>
          <w:numId w:val="0"/>
        </w:numPr>
        <w:ind w:left="284"/>
      </w:pPr>
      <w:r>
        <w:t>goods and services</w:t>
      </w:r>
    </w:p>
    <w:p w14:paraId="57FE9024" w14:textId="77777777" w:rsidR="005B131E" w:rsidRDefault="005B131E" w:rsidP="002542E1">
      <w:pPr>
        <w:pStyle w:val="ARfinbullet1"/>
      </w:pPr>
      <w:r>
        <w:t>specifies that if both market selling price and some market participant data required to fair value the asset are not</w:t>
      </w:r>
    </w:p>
    <w:p w14:paraId="5BEC9955" w14:textId="77777777" w:rsidR="005B131E" w:rsidRDefault="005B131E" w:rsidP="002542E1">
      <w:pPr>
        <w:pStyle w:val="ARfinbullet1"/>
        <w:numPr>
          <w:ilvl w:val="0"/>
          <w:numId w:val="0"/>
        </w:numPr>
        <w:ind w:left="284"/>
      </w:pPr>
      <w:r>
        <w:t>observable, an entity needs to start with its own assumptions and adjust them to the extent that reasonably available</w:t>
      </w:r>
    </w:p>
    <w:p w14:paraId="1EC32D12" w14:textId="77777777" w:rsidR="005B131E" w:rsidRDefault="005B131E" w:rsidP="002542E1">
      <w:pPr>
        <w:pStyle w:val="ARfinbullet1"/>
        <w:numPr>
          <w:ilvl w:val="0"/>
          <w:numId w:val="0"/>
        </w:numPr>
        <w:ind w:left="284"/>
      </w:pPr>
      <w:r>
        <w:t>information indicates that other market participants would use different data</w:t>
      </w:r>
    </w:p>
    <w:p w14:paraId="40A4C130" w14:textId="77777777" w:rsidR="005B131E" w:rsidRDefault="005B131E" w:rsidP="002542E1">
      <w:pPr>
        <w:pStyle w:val="ARfinbullet1"/>
      </w:pPr>
      <w:r>
        <w:t>provides guidance on the application of the cost approach to fair value, including the nature of costs to be included</w:t>
      </w:r>
    </w:p>
    <w:p w14:paraId="0B942A61" w14:textId="77777777" w:rsidR="005B131E" w:rsidRDefault="005B131E" w:rsidP="002542E1">
      <w:pPr>
        <w:pStyle w:val="ARfinbullet1"/>
        <w:numPr>
          <w:ilvl w:val="0"/>
          <w:numId w:val="0"/>
        </w:numPr>
        <w:ind w:left="284"/>
      </w:pPr>
      <w:r>
        <w:t>in a reference asset and identification of economic obsolescence.</w:t>
      </w:r>
    </w:p>
    <w:p w14:paraId="4E2A79D8" w14:textId="77777777" w:rsidR="005B131E" w:rsidRDefault="005B131E" w:rsidP="002542E1">
      <w:pPr>
        <w:pStyle w:val="ARfinbody"/>
      </w:pPr>
      <w:r>
        <w:t>This Standard applies prospectively to annual periods beginning on or after 1 January 2024, with earlier application permitted.</w:t>
      </w:r>
    </w:p>
    <w:p w14:paraId="4E912C8F" w14:textId="77777777" w:rsidR="005B131E" w:rsidRPr="003A3232" w:rsidRDefault="005B131E" w:rsidP="002542E1">
      <w:pPr>
        <w:pStyle w:val="ARfinbody"/>
        <w:rPr>
          <w:rStyle w:val="Emphasis"/>
        </w:rPr>
      </w:pPr>
      <w:r>
        <w:t xml:space="preserve">AASB 17 Insurance Contracts, AASB 2022-8 </w:t>
      </w:r>
      <w:r w:rsidRPr="003A3232">
        <w:rPr>
          <w:rStyle w:val="Emphasis"/>
        </w:rPr>
        <w:t>Amendments to Australian Accounting Standards – Insurance</w:t>
      </w:r>
    </w:p>
    <w:p w14:paraId="326742AA" w14:textId="77777777" w:rsidR="005B131E" w:rsidRPr="003A3232" w:rsidRDefault="005B131E" w:rsidP="002542E1">
      <w:pPr>
        <w:pStyle w:val="ARfinbody"/>
        <w:rPr>
          <w:rStyle w:val="Emphasis"/>
        </w:rPr>
      </w:pPr>
      <w:r w:rsidRPr="003A3232">
        <w:rPr>
          <w:rStyle w:val="Emphasis"/>
        </w:rPr>
        <w:t>Contracts: Consequential Amendments and AASB 2022-9 Amendments to Australian Accounting Standards –</w:t>
      </w:r>
    </w:p>
    <w:p w14:paraId="3E754FFF" w14:textId="77777777" w:rsidR="005B131E" w:rsidRDefault="005B131E" w:rsidP="002542E1">
      <w:pPr>
        <w:pStyle w:val="ARfinbody"/>
        <w:rPr>
          <w:rStyle w:val="Emphasis"/>
        </w:rPr>
      </w:pPr>
      <w:r w:rsidRPr="003A3232">
        <w:rPr>
          <w:rStyle w:val="Emphasis"/>
        </w:rPr>
        <w:t>Insurance Contracts in the Public Sector</w:t>
      </w:r>
      <w:r>
        <w:rPr>
          <w:rStyle w:val="Emphasis"/>
        </w:rPr>
        <w:t>.</w:t>
      </w:r>
    </w:p>
    <w:p w14:paraId="358AB41E" w14:textId="77777777" w:rsidR="005B131E" w:rsidRDefault="005B131E" w:rsidP="002542E1">
      <w:pPr>
        <w:pStyle w:val="ARfinbody"/>
      </w:pPr>
      <w:r>
        <w:t>AASB 17 replaces AASB 4 Insurance Contracts, AASB 1023 General Insurance Contracts and AASB 1038 Life Insurance Contracts for not-for-profit public sector entities for annual reporting periods beginning on or after 1 July 2026.</w:t>
      </w:r>
    </w:p>
    <w:p w14:paraId="252CAB82" w14:textId="77777777" w:rsidR="005B131E" w:rsidRDefault="005B131E" w:rsidP="002542E1">
      <w:pPr>
        <w:pStyle w:val="ARfinbody"/>
      </w:pPr>
      <w:r>
        <w:t xml:space="preserve">AASB 2022-9 amends AASB 17 to make public sector-related modifications (for example, it specifies the pre-requisites, indicators and other considerations in identifying arrangements that fall within the scope of AASB 17 in a public sector context). This Standard applies for annual reporting periods beginning on or after 1 July 2026. </w:t>
      </w:r>
    </w:p>
    <w:p w14:paraId="3DBC4E14" w14:textId="77777777" w:rsidR="005B131E" w:rsidRDefault="005B131E" w:rsidP="002542E1">
      <w:pPr>
        <w:pStyle w:val="ARfinbody"/>
      </w:pPr>
      <w:r>
        <w:t>AASB 2022-8 makes consequential amendments to other Australian Accounting Standards so that public sector entities are permitted to continue to apply AASB 4 and AASB 1023 to annual periods before 1 July 2026. This Standard applies for annual reporting periods beginning on or after 1 January 2023.</w:t>
      </w:r>
    </w:p>
    <w:p w14:paraId="7C0C236A" w14:textId="77777777" w:rsidR="005B131E" w:rsidRDefault="005B131E" w:rsidP="002542E1">
      <w:pPr>
        <w:pStyle w:val="ARfinbody"/>
      </w:pPr>
      <w:r>
        <w:t xml:space="preserve">The Department is currently in the process of assessing the potential impact of these standards and amendments. </w:t>
      </w:r>
    </w:p>
    <w:p w14:paraId="78B784A7" w14:textId="77777777" w:rsidR="005B131E" w:rsidRPr="00FB36CB" w:rsidRDefault="005B131E" w:rsidP="002542E1">
      <w:pPr>
        <w:pStyle w:val="ARfinbody"/>
        <w:rPr>
          <w:highlight w:val="green"/>
        </w:rPr>
      </w:pPr>
      <w:r>
        <w:t>A number of other standards and amendments have also been issued that apply to future reporting periods, however they are not expected to have any significant impact on the financial statements in the period of initial application.</w:t>
      </w:r>
    </w:p>
    <w:p w14:paraId="3368F148" w14:textId="77777777" w:rsidR="005B131E" w:rsidRPr="001C013E" w:rsidRDefault="005B131E">
      <w:pPr>
        <w:pStyle w:val="Heading4"/>
        <w:rPr>
          <w:lang w:eastAsia="en-AU"/>
        </w:rPr>
      </w:pPr>
      <w:r w:rsidRPr="001C013E">
        <w:rPr>
          <w:lang w:eastAsia="en-AU"/>
        </w:rPr>
        <w:t>9.13 Glossary of technical terms</w:t>
      </w:r>
    </w:p>
    <w:p w14:paraId="5BFD1F50" w14:textId="77777777" w:rsidR="005B131E" w:rsidRDefault="005B131E" w:rsidP="002542E1">
      <w:pPr>
        <w:pStyle w:val="ARfinbody"/>
      </w:pPr>
      <w:r>
        <w:t>The following is a summary of the major technical terms used in this report.</w:t>
      </w:r>
    </w:p>
    <w:p w14:paraId="18A716D5" w14:textId="77777777" w:rsidR="005B131E" w:rsidRDefault="005B131E" w:rsidP="002542E1">
      <w:pPr>
        <w:pStyle w:val="ARfinbody"/>
      </w:pPr>
      <w:r w:rsidRPr="003A479C">
        <w:rPr>
          <w:rStyle w:val="Strong"/>
        </w:rPr>
        <w:t>Actuarial gains or losses on superannuation defined benefit plans</w:t>
      </w:r>
      <w:r>
        <w:t xml:space="preserve"> are changes in the present value of the superannuation defined benefit liability resulting from: </w:t>
      </w:r>
    </w:p>
    <w:p w14:paraId="5D23A9E4" w14:textId="77777777" w:rsidR="005B131E" w:rsidRDefault="005B131E" w:rsidP="005B131E">
      <w:pPr>
        <w:pStyle w:val="ARfinnumberalpha1"/>
        <w:numPr>
          <w:ilvl w:val="0"/>
          <w:numId w:val="13"/>
        </w:numPr>
      </w:pPr>
      <w:r>
        <w:t>experience adjustments (the effects of differences between the previous actuarial assumptions and what has actually occurred)</w:t>
      </w:r>
    </w:p>
    <w:p w14:paraId="3C3978BA" w14:textId="77777777" w:rsidR="005B131E" w:rsidRDefault="005B131E" w:rsidP="002542E1">
      <w:pPr>
        <w:pStyle w:val="ARfinnumberalpha1"/>
      </w:pPr>
      <w:r>
        <w:t>the effects of changes in actuarial assumptions.</w:t>
      </w:r>
    </w:p>
    <w:p w14:paraId="03D95CCD" w14:textId="54D33BD6" w:rsidR="005B131E" w:rsidRDefault="005B131E" w:rsidP="002542E1">
      <w:pPr>
        <w:pStyle w:val="ARfinbody"/>
      </w:pPr>
      <w:r w:rsidRPr="003A479C">
        <w:rPr>
          <w:rStyle w:val="Strong"/>
        </w:rPr>
        <w:t>Administered item</w:t>
      </w:r>
      <w:r>
        <w:t xml:space="preserve"> generally refers to a department lacking the capacity to benefit from that item in the pursuit of the entity</w:t>
      </w:r>
      <w:r w:rsidR="00711AE6">
        <w:t>’</w:t>
      </w:r>
      <w:r>
        <w:t xml:space="preserve">s objectives and to deny or regulate the access of others to that benefit. </w:t>
      </w:r>
    </w:p>
    <w:p w14:paraId="44C9E729" w14:textId="36D2F6E5" w:rsidR="005B131E" w:rsidRDefault="005B131E" w:rsidP="002542E1">
      <w:pPr>
        <w:pStyle w:val="ARfinbody"/>
      </w:pPr>
      <w:r w:rsidRPr="003A479C">
        <w:rPr>
          <w:rStyle w:val="Strong"/>
        </w:rPr>
        <w:t>Amortisation</w:t>
      </w:r>
      <w:r>
        <w:t xml:space="preserve"> is the expense that results from the consumption, extraction or use over time of a non-produced physical or intangible asset. This expense is classified as an </w:t>
      </w:r>
      <w:r w:rsidR="00711AE6">
        <w:t>‘</w:t>
      </w:r>
      <w:r>
        <w:t>other economic flow</w:t>
      </w:r>
      <w:r w:rsidR="00711AE6">
        <w:t>’</w:t>
      </w:r>
      <w:r>
        <w:t>.</w:t>
      </w:r>
    </w:p>
    <w:p w14:paraId="10B5DCB3" w14:textId="77777777" w:rsidR="005B131E" w:rsidRDefault="005B131E" w:rsidP="002542E1">
      <w:pPr>
        <w:pStyle w:val="ARfinbody"/>
      </w:pPr>
      <w:r w:rsidRPr="003A479C">
        <w:rPr>
          <w:rStyle w:val="Strong"/>
        </w:rPr>
        <w:t>Borrowings</w:t>
      </w:r>
      <w:r>
        <w:t xml:space="preserve"> refers to interest-bearing liabilities mainly raised from public borrowings raised through the Treasury Corporation of Victoria, finance leases, service concession arrangements and other interest-bearing arrangements. Borrowings also include non-interest-bearing advances from government that are acquired for policy purposes.</w:t>
      </w:r>
    </w:p>
    <w:p w14:paraId="2BE07979" w14:textId="77777777" w:rsidR="005B131E" w:rsidRDefault="005B131E" w:rsidP="002542E1">
      <w:pPr>
        <w:pStyle w:val="ARfinbody"/>
      </w:pPr>
      <w:r w:rsidRPr="003A479C">
        <w:rPr>
          <w:rStyle w:val="Strong"/>
        </w:rPr>
        <w:t>Commitments</w:t>
      </w:r>
      <w:r>
        <w:t xml:space="preserve"> include those operating, capital and other outsourcing commitments arising from non-cancellable contractual or statutory sources.</w:t>
      </w:r>
    </w:p>
    <w:p w14:paraId="5DA0E482" w14:textId="77777777" w:rsidR="005B131E" w:rsidRDefault="005B131E" w:rsidP="002542E1">
      <w:pPr>
        <w:pStyle w:val="ARfinbody"/>
      </w:pPr>
      <w:r w:rsidRPr="003A479C">
        <w:rPr>
          <w:rStyle w:val="Strong"/>
        </w:rPr>
        <w:t>Comprehensive result</w:t>
      </w:r>
      <w:r>
        <w:t xml:space="preserve"> is the amount included in the operating statement representing total change in net worth other than transactions with owners as owners.</w:t>
      </w:r>
    </w:p>
    <w:p w14:paraId="006B28FF" w14:textId="56569219" w:rsidR="005B131E" w:rsidRDefault="005B131E" w:rsidP="002542E1">
      <w:pPr>
        <w:pStyle w:val="ARfinbody"/>
      </w:pPr>
      <w:r w:rsidRPr="003A479C">
        <w:rPr>
          <w:rStyle w:val="Strong"/>
        </w:rPr>
        <w:t>Controlled item</w:t>
      </w:r>
      <w:r>
        <w:t xml:space="preserve"> generally refers to the capacity of a department to benefit from that item in the pursuit of the entity</w:t>
      </w:r>
      <w:r w:rsidR="00711AE6">
        <w:t>’</w:t>
      </w:r>
      <w:r>
        <w:t>s objectives and to deny or regulate the access of others to that benefit.</w:t>
      </w:r>
    </w:p>
    <w:p w14:paraId="2A1062FB" w14:textId="77777777" w:rsidR="005B131E" w:rsidRDefault="005B131E" w:rsidP="002542E1">
      <w:pPr>
        <w:pStyle w:val="ARfinbody"/>
      </w:pPr>
      <w:r w:rsidRPr="003A479C">
        <w:rPr>
          <w:rStyle w:val="Strong"/>
        </w:rPr>
        <w:t>Current grants</w:t>
      </w:r>
      <w:r>
        <w:t xml:space="preserve"> are amounts payable or receivable for current purposes for which no economic benefits of equal value are receivable or payable in return.</w:t>
      </w:r>
    </w:p>
    <w:p w14:paraId="51B1EE55" w14:textId="752231E0" w:rsidR="005B131E" w:rsidRDefault="005B131E" w:rsidP="002542E1">
      <w:pPr>
        <w:pStyle w:val="ARfinbody"/>
      </w:pPr>
      <w:r w:rsidRPr="003A479C">
        <w:rPr>
          <w:rStyle w:val="Strong"/>
        </w:rPr>
        <w:t xml:space="preserve">Depreciation </w:t>
      </w:r>
      <w:r>
        <w:t xml:space="preserve">is an expense that arises from the consumption through wear or time of a produced physical or intangible asset. This expense is classified as a </w:t>
      </w:r>
      <w:r w:rsidR="00711AE6">
        <w:t>‘</w:t>
      </w:r>
      <w:r>
        <w:t>transaction</w:t>
      </w:r>
      <w:r w:rsidR="00711AE6">
        <w:t>’</w:t>
      </w:r>
      <w:r>
        <w:t xml:space="preserve"> and so reduces the </w:t>
      </w:r>
      <w:r w:rsidR="00711AE6">
        <w:t>‘</w:t>
      </w:r>
      <w:r>
        <w:t>net result from transaction</w:t>
      </w:r>
      <w:r w:rsidR="00711AE6">
        <w:t>’</w:t>
      </w:r>
      <w:r>
        <w:t>.</w:t>
      </w:r>
    </w:p>
    <w:p w14:paraId="32110C3B" w14:textId="77777777" w:rsidR="005B131E" w:rsidRDefault="005B131E" w:rsidP="002542E1">
      <w:pPr>
        <w:pStyle w:val="ARfinbody"/>
      </w:pPr>
      <w:r w:rsidRPr="003A479C">
        <w:rPr>
          <w:rStyle w:val="Strong"/>
        </w:rPr>
        <w:t>Effective interest method</w:t>
      </w:r>
      <w:r>
        <w:t xml:space="preserve"> is the method used to calculate the amortised cost of a financial asset or liability and of allocating interest over the relevant period. The effective interest rate is the rate that exactly discounts estimated future cash flows through the expected life of the financial instrument or, where appropriate, a shorter period.</w:t>
      </w:r>
    </w:p>
    <w:p w14:paraId="530F1165" w14:textId="77777777" w:rsidR="005B131E" w:rsidRDefault="005B131E" w:rsidP="002542E1">
      <w:pPr>
        <w:pStyle w:val="ARfinbody"/>
      </w:pPr>
      <w:r w:rsidRPr="003A479C">
        <w:rPr>
          <w:rStyle w:val="Strong"/>
        </w:rPr>
        <w:t>Employee benefits expenses</w:t>
      </w:r>
      <w:r>
        <w:t xml:space="preserve"> includes all costs related to employment including salaries and wages, leave entitlements, redundancy payments, defined benefits superannuation plans, and defined contribution superannuation plans.</w:t>
      </w:r>
    </w:p>
    <w:p w14:paraId="041B20FE" w14:textId="77777777" w:rsidR="005B131E" w:rsidRDefault="005B131E" w:rsidP="002542E1">
      <w:pPr>
        <w:pStyle w:val="ARfinbody"/>
      </w:pPr>
      <w:r w:rsidRPr="00F0567D">
        <w:rPr>
          <w:rStyle w:val="Strong"/>
        </w:rPr>
        <w:t>Ex-gratia expenses</w:t>
      </w:r>
      <w:r>
        <w:t xml:space="preserve"> mean the voluntary payment of money or other non-monetary benefit (for example a write off) that is not made either to acquire goods, services or other benefits for the entity or to meet a legal liability, or to settle or resolve a possible legal liability or claim against the entity.</w:t>
      </w:r>
    </w:p>
    <w:p w14:paraId="1FCD66D3" w14:textId="77777777" w:rsidR="005B131E" w:rsidRDefault="005B131E" w:rsidP="002542E1">
      <w:pPr>
        <w:pStyle w:val="ARfinbody"/>
      </w:pPr>
      <w:r w:rsidRPr="00F0567D">
        <w:rPr>
          <w:rStyle w:val="Strong"/>
        </w:rPr>
        <w:t>Finance lease</w:t>
      </w:r>
      <w:r>
        <w:t xml:space="preserve"> is a lease that transfers substantially all the risks and rewards incidental to ownership of an underlying asset.</w:t>
      </w:r>
    </w:p>
    <w:p w14:paraId="25EE691F" w14:textId="77777777" w:rsidR="005B131E" w:rsidRDefault="005B131E" w:rsidP="002542E1">
      <w:pPr>
        <w:pStyle w:val="ARfinbody"/>
      </w:pPr>
      <w:r w:rsidRPr="00F0567D">
        <w:rPr>
          <w:rStyle w:val="Strong"/>
        </w:rPr>
        <w:t>Financial asset</w:t>
      </w:r>
      <w:r>
        <w:t xml:space="preserve"> is any asset that is:</w:t>
      </w:r>
    </w:p>
    <w:p w14:paraId="46439424" w14:textId="77777777" w:rsidR="005B131E" w:rsidRDefault="005B131E" w:rsidP="005B131E">
      <w:pPr>
        <w:pStyle w:val="ARfinnumberalpha1"/>
        <w:numPr>
          <w:ilvl w:val="0"/>
          <w:numId w:val="18"/>
        </w:numPr>
      </w:pPr>
      <w:r>
        <w:t>cash</w:t>
      </w:r>
    </w:p>
    <w:p w14:paraId="299706AA" w14:textId="77777777" w:rsidR="005B131E" w:rsidRDefault="005B131E" w:rsidP="002542E1">
      <w:pPr>
        <w:pStyle w:val="ARfinnumberalpha1"/>
      </w:pPr>
      <w:r>
        <w:t>an equity instrument of another entity</w:t>
      </w:r>
    </w:p>
    <w:p w14:paraId="21E77C94" w14:textId="77777777" w:rsidR="005B131E" w:rsidRDefault="005B131E" w:rsidP="002542E1">
      <w:pPr>
        <w:pStyle w:val="ARfinnumberalpha1"/>
      </w:pPr>
      <w:r>
        <w:t>a contractual or statutory right:</w:t>
      </w:r>
    </w:p>
    <w:p w14:paraId="48A304EB" w14:textId="77777777" w:rsidR="005B131E" w:rsidRDefault="005B131E" w:rsidP="005B131E">
      <w:pPr>
        <w:pStyle w:val="ARfinbullet1afterdigitoralpha"/>
        <w:tabs>
          <w:tab w:val="clear" w:pos="284"/>
        </w:tabs>
      </w:pPr>
      <w:r>
        <w:t>to receive cash or another financial asset from another entity, or</w:t>
      </w:r>
    </w:p>
    <w:p w14:paraId="31008C54" w14:textId="77777777" w:rsidR="005B131E" w:rsidRDefault="005B131E" w:rsidP="005B131E">
      <w:pPr>
        <w:pStyle w:val="ARfinbullet1afterdigitoralpha"/>
        <w:tabs>
          <w:tab w:val="clear" w:pos="284"/>
        </w:tabs>
      </w:pPr>
      <w:r>
        <w:t>to exchange financial assets or financial liabilities with another entity under conditions that are potentially favourable to the entity, or</w:t>
      </w:r>
    </w:p>
    <w:p w14:paraId="7D144E00" w14:textId="3BE05118" w:rsidR="005B131E" w:rsidRDefault="005B131E" w:rsidP="002542E1">
      <w:pPr>
        <w:pStyle w:val="ARfinbody"/>
      </w:pPr>
      <w:r>
        <w:t>(d) a contract that will or may be settled in the entity</w:t>
      </w:r>
      <w:r w:rsidR="00711AE6">
        <w:t>’</w:t>
      </w:r>
      <w:r>
        <w:t>s own equity instruments and is:</w:t>
      </w:r>
    </w:p>
    <w:p w14:paraId="0F014DE3" w14:textId="2793C855" w:rsidR="005B131E" w:rsidRDefault="005B131E" w:rsidP="005B131E">
      <w:pPr>
        <w:pStyle w:val="ARfinbullet1afterdigitoralpha"/>
        <w:tabs>
          <w:tab w:val="clear" w:pos="284"/>
        </w:tabs>
      </w:pPr>
      <w:r>
        <w:t xml:space="preserve"> a non-derivative for which the entity is or may be obliged to receive a variable number of the entity</w:t>
      </w:r>
      <w:r w:rsidR="00711AE6">
        <w:t>’</w:t>
      </w:r>
      <w:r>
        <w:t>s own equity instruments, or</w:t>
      </w:r>
    </w:p>
    <w:p w14:paraId="4015C8EB" w14:textId="6B792AB6" w:rsidR="005B131E" w:rsidRDefault="005B131E" w:rsidP="005B131E">
      <w:pPr>
        <w:pStyle w:val="ARfinbullet1afterdigitoralpha"/>
        <w:tabs>
          <w:tab w:val="clear" w:pos="284"/>
        </w:tabs>
      </w:pPr>
      <w:r>
        <w:t>a derivative that will or may be settled other than by the exchange of a fixed amount of cash or another financial asset for a fixed number of the entity</w:t>
      </w:r>
      <w:r w:rsidR="00711AE6">
        <w:t>’</w:t>
      </w:r>
      <w:r>
        <w:t>s own equity instruments.</w:t>
      </w:r>
    </w:p>
    <w:p w14:paraId="1EC9B5D7" w14:textId="77777777" w:rsidR="005B131E" w:rsidRDefault="005B131E" w:rsidP="002542E1">
      <w:pPr>
        <w:pStyle w:val="ARfinbody"/>
      </w:pPr>
      <w:r w:rsidRPr="007B2E3C">
        <w:rPr>
          <w:rStyle w:val="Strong"/>
        </w:rPr>
        <w:t>Financial instrument</w:t>
      </w:r>
      <w:r>
        <w:t xml:space="preserve"> is any contract that gives rise to a financial asset of one entity and a financial liability or equity instrument of another entity.</w:t>
      </w:r>
    </w:p>
    <w:p w14:paraId="3B51C41C" w14:textId="77777777" w:rsidR="005B131E" w:rsidRDefault="005B131E" w:rsidP="002542E1">
      <w:pPr>
        <w:pStyle w:val="ARfinbody"/>
      </w:pPr>
      <w:r w:rsidRPr="007B2E3C">
        <w:rPr>
          <w:rStyle w:val="Strong"/>
        </w:rPr>
        <w:t>Financial liability</w:t>
      </w:r>
      <w:r>
        <w:t xml:space="preserve"> is any liability that is:</w:t>
      </w:r>
    </w:p>
    <w:p w14:paraId="4ADD3931" w14:textId="77777777" w:rsidR="005B131E" w:rsidRDefault="005B131E" w:rsidP="005B131E">
      <w:pPr>
        <w:pStyle w:val="ARfinnumberalpha1"/>
        <w:numPr>
          <w:ilvl w:val="0"/>
          <w:numId w:val="19"/>
        </w:numPr>
      </w:pPr>
      <w:r>
        <w:t>a contractual or statutory obligation:</w:t>
      </w:r>
    </w:p>
    <w:p w14:paraId="23E7F088" w14:textId="77777777" w:rsidR="005B131E" w:rsidRDefault="005B131E" w:rsidP="005B131E">
      <w:pPr>
        <w:pStyle w:val="ARfinbullet1afterdigitoralpha"/>
        <w:tabs>
          <w:tab w:val="clear" w:pos="284"/>
        </w:tabs>
      </w:pPr>
      <w:r>
        <w:t>to deliver cash or another financial asset to another entity, or</w:t>
      </w:r>
    </w:p>
    <w:p w14:paraId="1403622F" w14:textId="77777777" w:rsidR="005B131E" w:rsidRDefault="005B131E" w:rsidP="005B131E">
      <w:pPr>
        <w:pStyle w:val="ARfinbullet1afterdigitoralpha"/>
        <w:tabs>
          <w:tab w:val="clear" w:pos="284"/>
        </w:tabs>
      </w:pPr>
      <w:r>
        <w:t>to exchange financial assets or financial liabilities with another entity under conditions that are potentially unfavourable to the entity, or</w:t>
      </w:r>
    </w:p>
    <w:p w14:paraId="60DA5135" w14:textId="22686D0C" w:rsidR="005B131E" w:rsidRDefault="005B131E" w:rsidP="002542E1">
      <w:pPr>
        <w:pStyle w:val="ARfinnumberalpha1"/>
      </w:pPr>
      <w:r>
        <w:t>a contract that will or may be settled in the entity</w:t>
      </w:r>
      <w:r w:rsidR="00711AE6">
        <w:t>’</w:t>
      </w:r>
      <w:r>
        <w:t>s own equity instruments and is:</w:t>
      </w:r>
    </w:p>
    <w:p w14:paraId="326A3792" w14:textId="1B2C329D" w:rsidR="005B131E" w:rsidRDefault="005B131E" w:rsidP="005B131E">
      <w:pPr>
        <w:pStyle w:val="ARfinbullet1afterdigitoralpha"/>
        <w:tabs>
          <w:tab w:val="clear" w:pos="284"/>
        </w:tabs>
      </w:pPr>
      <w:r>
        <w:t>a non-derivative for which the entity is or may be obliged to deliver a variable number of the entity</w:t>
      </w:r>
      <w:r w:rsidR="00711AE6">
        <w:t>’</w:t>
      </w:r>
      <w:r>
        <w:t>s own equity instruments, or</w:t>
      </w:r>
    </w:p>
    <w:p w14:paraId="2FE2A34C" w14:textId="405EAD88" w:rsidR="005B131E" w:rsidRDefault="005B131E" w:rsidP="005B131E">
      <w:pPr>
        <w:pStyle w:val="ARfinbullet1afterdigitoralpha"/>
        <w:tabs>
          <w:tab w:val="clear" w:pos="284"/>
        </w:tabs>
      </w:pPr>
      <w:r>
        <w:t>a derivative that will or may be settled other than by the exchange of a fixed amount of cash or another financial asset for a fixed number of the entity</w:t>
      </w:r>
      <w:r w:rsidR="00711AE6">
        <w:t>’</w:t>
      </w:r>
      <w:r>
        <w:t>s own equity instruments. For this purpose the entity</w:t>
      </w:r>
      <w:r w:rsidR="00711AE6">
        <w:t>’</w:t>
      </w:r>
      <w:r>
        <w:t>s own equity instruments do not include instruments that are themselves contracts for the future receipt or delivery of the entity</w:t>
      </w:r>
      <w:r w:rsidR="00711AE6">
        <w:t>’</w:t>
      </w:r>
      <w:r>
        <w:t>s own equity instruments.</w:t>
      </w:r>
      <w:r>
        <w:br w:type="page"/>
      </w:r>
    </w:p>
    <w:p w14:paraId="249F6A7C" w14:textId="77777777" w:rsidR="005B131E" w:rsidRDefault="005B131E" w:rsidP="002542E1">
      <w:pPr>
        <w:pStyle w:val="ARfinbody"/>
      </w:pPr>
      <w:r w:rsidRPr="007B2E3C">
        <w:rPr>
          <w:rStyle w:val="Strong"/>
        </w:rPr>
        <w:t>Financial statements</w:t>
      </w:r>
      <w:r>
        <w:t xml:space="preserve"> comprise:</w:t>
      </w:r>
    </w:p>
    <w:p w14:paraId="12C4E2A7" w14:textId="77777777" w:rsidR="005B131E" w:rsidRDefault="005B131E" w:rsidP="005B131E">
      <w:pPr>
        <w:pStyle w:val="ARfinnumberalpha1"/>
        <w:numPr>
          <w:ilvl w:val="0"/>
          <w:numId w:val="20"/>
        </w:numPr>
      </w:pPr>
      <w:r>
        <w:t>a balance sheet as at the end of the year</w:t>
      </w:r>
    </w:p>
    <w:p w14:paraId="2637DEB6" w14:textId="77777777" w:rsidR="005B131E" w:rsidRDefault="005B131E" w:rsidP="002542E1">
      <w:pPr>
        <w:pStyle w:val="ARfinnumberalpha1"/>
      </w:pPr>
      <w:r>
        <w:t>a comprehensive operating statement for the year</w:t>
      </w:r>
    </w:p>
    <w:p w14:paraId="4867AEE1" w14:textId="77777777" w:rsidR="005B131E" w:rsidRDefault="005B131E" w:rsidP="002542E1">
      <w:pPr>
        <w:pStyle w:val="ARfinnumberalpha1"/>
      </w:pPr>
      <w:r>
        <w:t>a statement of changes in equity for the year</w:t>
      </w:r>
    </w:p>
    <w:p w14:paraId="4CACC182" w14:textId="77777777" w:rsidR="005B131E" w:rsidRDefault="005B131E" w:rsidP="002542E1">
      <w:pPr>
        <w:pStyle w:val="ARfinnumberalpha1"/>
      </w:pPr>
      <w:r>
        <w:t>a statement of cash flows for the year</w:t>
      </w:r>
    </w:p>
    <w:p w14:paraId="1A8874EA" w14:textId="77777777" w:rsidR="005B131E" w:rsidRDefault="005B131E" w:rsidP="002542E1">
      <w:pPr>
        <w:pStyle w:val="ARfinnumberalpha1"/>
      </w:pPr>
      <w:r>
        <w:t>notes, comprising a summary of significant accounting policies and other explanatory information</w:t>
      </w:r>
    </w:p>
    <w:p w14:paraId="7FFA02EE" w14:textId="77777777" w:rsidR="005B131E" w:rsidRDefault="005B131E" w:rsidP="002542E1">
      <w:pPr>
        <w:pStyle w:val="ARfinnumberalpha1"/>
      </w:pPr>
      <w:r>
        <w:t>comparative information in respect of the preceding year as specified in paragraph 38 of AASB 101 Presentation of Financial Statements</w:t>
      </w:r>
    </w:p>
    <w:p w14:paraId="354F6111" w14:textId="77777777" w:rsidR="005B131E" w:rsidRDefault="005B131E" w:rsidP="002542E1">
      <w:pPr>
        <w:pStyle w:val="ARfinnumberalpha1"/>
      </w:pPr>
      <w:r>
        <w:t>a balance sheet as at the beginning of the preceding year when an entity applies an accounting policy retrospectively or makes a retrospective restatement of items in its financial statements, or when it reclassifies items in its financial statements in accordance with paragraph 41 of AASB 101.</w:t>
      </w:r>
    </w:p>
    <w:p w14:paraId="414BA5B6" w14:textId="77777777" w:rsidR="005B131E" w:rsidRDefault="005B131E" w:rsidP="002542E1">
      <w:pPr>
        <w:pStyle w:val="ARfinbody"/>
      </w:pPr>
      <w:r w:rsidRPr="007B2E3C">
        <w:rPr>
          <w:rStyle w:val="Strong"/>
        </w:rPr>
        <w:t>Grants and other (expense) transfers</w:t>
      </w:r>
      <w:r>
        <w:t xml:space="preserve"> are transactions in which one unit provides goods, services, assets (or extinguishes a liability) or labour to another unit without receiving approximately equal value in return. Grants can either be operating or capital in nature. </w:t>
      </w:r>
    </w:p>
    <w:p w14:paraId="0E211D79" w14:textId="77777777" w:rsidR="005B131E" w:rsidRDefault="005B131E" w:rsidP="002542E1">
      <w:pPr>
        <w:pStyle w:val="ARfinbody"/>
      </w:pPr>
      <w:r>
        <w:t xml:space="preserve">While grants to governments may result in the provision of some goods or services to the transferor, they do not give the transferor a claim to receive directly benefits of approximately equal value. For this reason, grants are referred to by the AASB as involuntary transfers and are termed non-reciprocal transfers. Receipt and sacrifice of approximately equal value may occur, but only by coincidence. For example, governments are not obliged to provide commensurate benefits, in the form of goods or services, to particular taxpayers in return for their taxes. </w:t>
      </w:r>
    </w:p>
    <w:p w14:paraId="27746315" w14:textId="77777777" w:rsidR="005B131E" w:rsidRDefault="005B131E" w:rsidP="002542E1">
      <w:pPr>
        <w:pStyle w:val="ARfinbody"/>
      </w:pPr>
      <w:r>
        <w:t>Grants can be paid as general purpose grants which refer to grants that are not subject to conditions regarding their use. Alternatively, they may be paid as specific purpose grants which are paid for a particular purpose and/or have conditions attached regarding their use.</w:t>
      </w:r>
    </w:p>
    <w:p w14:paraId="3709D1FB" w14:textId="77777777" w:rsidR="005B131E" w:rsidRDefault="005B131E" w:rsidP="002542E1">
      <w:pPr>
        <w:pStyle w:val="ARfinbody"/>
      </w:pPr>
      <w:r w:rsidRPr="007B2E3C">
        <w:rPr>
          <w:rStyle w:val="Strong"/>
        </w:rPr>
        <w:t>General government sector</w:t>
      </w:r>
      <w:r>
        <w:t xml:space="preserve"> comprises all government departments, offices and other bodies engaged in providing services free of charge or at prices significantly below their cost of production. General government services include those that are mainly non-market in nature, those that are largely for collective consumption by the community and those that involve the transfer or redistribution of income. These services are financed mainly through taxes, or other compulsory levies and user charges.</w:t>
      </w:r>
    </w:p>
    <w:p w14:paraId="0EC94A40" w14:textId="77777777" w:rsidR="005B131E" w:rsidRDefault="005B131E" w:rsidP="002542E1">
      <w:pPr>
        <w:pStyle w:val="ARfinbody"/>
      </w:pPr>
      <w:r w:rsidRPr="007B2E3C">
        <w:rPr>
          <w:rStyle w:val="Strong"/>
        </w:rPr>
        <w:t>Grants for on-passing</w:t>
      </w:r>
      <w:r>
        <w:t xml:space="preserve"> are grants paid to one institutional sector (for example a state general government entity) to be passed on to another institutional sector (for example local government or a private non-profit institution).</w:t>
      </w:r>
    </w:p>
    <w:p w14:paraId="5B323857" w14:textId="77777777" w:rsidR="005B131E" w:rsidRDefault="005B131E" w:rsidP="002542E1">
      <w:pPr>
        <w:pStyle w:val="ARfinbody"/>
      </w:pPr>
      <w:r w:rsidRPr="007B2E3C">
        <w:rPr>
          <w:rStyle w:val="Strong"/>
        </w:rPr>
        <w:t>Intangible assets</w:t>
      </w:r>
      <w:r>
        <w:t xml:space="preserve"> represent identifiable non-monetary assets without physical substance.</w:t>
      </w:r>
    </w:p>
    <w:p w14:paraId="30A83933" w14:textId="77777777" w:rsidR="005B131E" w:rsidRDefault="005B131E" w:rsidP="002542E1">
      <w:pPr>
        <w:pStyle w:val="ARfinbody"/>
      </w:pPr>
      <w:r w:rsidRPr="004400B6">
        <w:rPr>
          <w:rStyle w:val="Strong"/>
        </w:rPr>
        <w:t>Interest expense</w:t>
      </w:r>
      <w:r>
        <w:t xml:space="preserve"> represents costs incurred in connection with the borrowings. It includes interest on advances, loans, overdrafts, bonds and bills, deposits, interest components of lease repayments, service concession financial liabilities and amortisation of discounts or premiums in relation to borrowings.</w:t>
      </w:r>
    </w:p>
    <w:p w14:paraId="40A719F7" w14:textId="77777777" w:rsidR="005B131E" w:rsidRDefault="005B131E" w:rsidP="002542E1">
      <w:pPr>
        <w:pStyle w:val="ARfinbody"/>
      </w:pPr>
      <w:r w:rsidRPr="004400B6">
        <w:rPr>
          <w:rStyle w:val="Strong"/>
        </w:rPr>
        <w:t>Interest income</w:t>
      </w:r>
      <w:r>
        <w:t xml:space="preserve"> includes unwinding over time of discounts on financial assets and interest received on bank term deposits and other investments. </w:t>
      </w:r>
    </w:p>
    <w:p w14:paraId="659BFAA9" w14:textId="77777777" w:rsidR="005B131E" w:rsidRDefault="005B131E" w:rsidP="002542E1">
      <w:pPr>
        <w:pStyle w:val="ARfinbody"/>
      </w:pPr>
      <w:r w:rsidRPr="004400B6">
        <w:rPr>
          <w:rStyle w:val="Strong"/>
        </w:rPr>
        <w:t xml:space="preserve">Leases </w:t>
      </w:r>
      <w:r>
        <w:t>are rights conveyed in a contract, or part of a contract, to use an asset (the underlying asset) for a period of time in exchange for consideration.</w:t>
      </w:r>
    </w:p>
    <w:p w14:paraId="2BEC0EBF" w14:textId="77777777" w:rsidR="005B131E" w:rsidRDefault="005B131E" w:rsidP="002542E1">
      <w:pPr>
        <w:pStyle w:val="ARfinbody"/>
      </w:pPr>
      <w:r w:rsidRPr="004400B6">
        <w:rPr>
          <w:rStyle w:val="Strong"/>
        </w:rPr>
        <w:t>Net acquisition of non-financial assets</w:t>
      </w:r>
      <w:r>
        <w:t xml:space="preserve"> (from transactions) is the purchase (and other acquisition) of non-financial assets less sales (or disposals) of non-financial assets less depreciation plus changes in inventories and other movements in non-financial assets. Includes only those increases or decreases in non-financial assets resulting from transactions and therefore excludes write-offs, impairment write-downs and revaluations.</w:t>
      </w:r>
    </w:p>
    <w:p w14:paraId="19FE77B3" w14:textId="77777777" w:rsidR="005B131E" w:rsidRDefault="005B131E" w:rsidP="002542E1">
      <w:pPr>
        <w:pStyle w:val="ARfinbody"/>
      </w:pPr>
      <w:r w:rsidRPr="004400B6">
        <w:rPr>
          <w:rStyle w:val="Strong"/>
        </w:rPr>
        <w:t>Net financial liabilities</w:t>
      </w:r>
      <w:r>
        <w:t xml:space="preserve"> are calculated as liabilities less financial assets, other than equity in </w:t>
      </w:r>
      <w:bookmarkStart w:id="291" w:name="publicnonfinancialcorporations"/>
      <w:r>
        <w:t>public non-financial corporations</w:t>
      </w:r>
      <w:bookmarkEnd w:id="291"/>
      <w:r>
        <w:t xml:space="preserve"> (PNFC) and public financial corporations (PFC). This measure is broader than net debt as it includes significant liabilities, other than borrowings (for example accrued employee liabilities such as superannuation and long service leave entitlements). For the PNFC and PFC sectors, it is equal to negative net financial worth.</w:t>
      </w:r>
    </w:p>
    <w:p w14:paraId="5242DE5A" w14:textId="77777777" w:rsidR="005B131E" w:rsidRDefault="005B131E" w:rsidP="002542E1">
      <w:pPr>
        <w:pStyle w:val="ARfinbody"/>
      </w:pPr>
      <w:r w:rsidRPr="004400B6">
        <w:rPr>
          <w:rStyle w:val="Strong"/>
        </w:rPr>
        <w:t>Net financial worth</w:t>
      </w:r>
      <w:r>
        <w:t xml:space="preserve"> is equal to financial assets minus liabilities. It is a broader measure than net debt as it incorporates provisions made (such as superannuation, but excluding depreciation and bad debts) as well as holdings of equity. Net financial worth includes all classes of financial assets and liabilities, only some of which are included in net debt. </w:t>
      </w:r>
    </w:p>
    <w:p w14:paraId="6A58F1BE" w14:textId="77777777" w:rsidR="005B131E" w:rsidRDefault="005B131E" w:rsidP="002542E1">
      <w:pPr>
        <w:pStyle w:val="ARfinbody"/>
      </w:pPr>
      <w:r w:rsidRPr="004400B6">
        <w:rPr>
          <w:rStyle w:val="Strong"/>
        </w:rPr>
        <w:t>Net operating balance</w:t>
      </w:r>
      <w:r>
        <w:t xml:space="preserve"> or </w:t>
      </w:r>
      <w:r w:rsidRPr="004400B6">
        <w:rPr>
          <w:rStyle w:val="Strong"/>
        </w:rPr>
        <w:t>net result from transactions</w:t>
      </w:r>
      <w:r>
        <w:t xml:space="preserve">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 </w:t>
      </w:r>
    </w:p>
    <w:p w14:paraId="713EF810" w14:textId="77777777" w:rsidR="005B131E" w:rsidRDefault="005B131E" w:rsidP="002542E1">
      <w:pPr>
        <w:pStyle w:val="ARfinbody"/>
      </w:pPr>
      <w:r w:rsidRPr="004400B6">
        <w:rPr>
          <w:rStyle w:val="Strong"/>
        </w:rPr>
        <w:t>Net result</w:t>
      </w:r>
      <w:r>
        <w:t xml:space="preserve"> is a measure of financial performance of the operations for the period. It is the net result of items of income, gains and expenses (including losses) recognised for the period, excluding those that are classified as other economic flows – other comprehensive income.</w:t>
      </w:r>
    </w:p>
    <w:p w14:paraId="17BF6930" w14:textId="77777777" w:rsidR="005B131E" w:rsidRDefault="005B131E" w:rsidP="002542E1">
      <w:pPr>
        <w:pStyle w:val="ARfinbody"/>
      </w:pPr>
      <w:r w:rsidRPr="004400B6">
        <w:rPr>
          <w:rStyle w:val="Strong"/>
        </w:rPr>
        <w:t>Net worth</w:t>
      </w:r>
      <w:r>
        <w:t xml:space="preserve"> is calculated as assets less liabilities, which is an economic measure of wealth.</w:t>
      </w:r>
    </w:p>
    <w:p w14:paraId="25331528" w14:textId="77777777" w:rsidR="005B131E" w:rsidRDefault="005B131E" w:rsidP="002542E1">
      <w:pPr>
        <w:pStyle w:val="ARfinbody"/>
      </w:pPr>
      <w:r w:rsidRPr="004400B6">
        <w:rPr>
          <w:rStyle w:val="Strong"/>
        </w:rPr>
        <w:t>Non-financial assets</w:t>
      </w:r>
      <w:r>
        <w:t xml:space="preserve"> are all assets that are not financial assets. It includes inventories, land, buildings, plant and equipment, and intangible assets.</w:t>
      </w:r>
    </w:p>
    <w:p w14:paraId="33BF5448" w14:textId="0B341659" w:rsidR="005B131E" w:rsidRDefault="005B131E" w:rsidP="002542E1">
      <w:pPr>
        <w:pStyle w:val="ARfinbody"/>
      </w:pPr>
      <w:r w:rsidRPr="004400B6">
        <w:rPr>
          <w:rStyle w:val="Strong"/>
        </w:rPr>
        <w:t>Non-financial public sector</w:t>
      </w:r>
      <w:r>
        <w:t xml:space="preserve"> represents the consolidated transactions and assets and liabilities of the general government and PNFC sectors. In compiling statistics for the non-financial public sector, transactions and debtor/creditor relationships between subsectors are eliminated to avoid double counting.</w:t>
      </w:r>
    </w:p>
    <w:p w14:paraId="4E112333" w14:textId="77777777" w:rsidR="005B131E" w:rsidRDefault="005B131E" w:rsidP="002542E1">
      <w:pPr>
        <w:pStyle w:val="ARfinbody"/>
      </w:pPr>
      <w:r w:rsidRPr="004400B6">
        <w:rPr>
          <w:rStyle w:val="Strong"/>
        </w:rPr>
        <w:t>Non-produced assets</w:t>
      </w:r>
      <w:r>
        <w:t xml:space="preserve"> are assets needed for production that have not themselves been produced. They include land, subsoil assets, and certain intangible assets. Non-produced intangibles are intangible assets needed for production that have not themselves been produced. They include constructs of society such as patents. </w:t>
      </w:r>
    </w:p>
    <w:p w14:paraId="02803B97" w14:textId="02F5BD78" w:rsidR="005B131E" w:rsidRDefault="005B131E" w:rsidP="002542E1">
      <w:pPr>
        <w:pStyle w:val="ARfinbody"/>
      </w:pPr>
      <w:r w:rsidRPr="004400B6">
        <w:rPr>
          <w:rStyle w:val="Strong"/>
        </w:rPr>
        <w:t>Operating result</w:t>
      </w:r>
      <w:r>
        <w:t xml:space="preserve"> is a measure of financial performance of the operations for the period. It is the net result of items of revenue, gains and expenses (including losses) recognised for the period, excluding those that are classified as </w:t>
      </w:r>
      <w:r w:rsidR="00711AE6">
        <w:t>‘</w:t>
      </w:r>
      <w:r>
        <w:t>other non-owner movements in equity</w:t>
      </w:r>
      <w:r w:rsidR="00711AE6">
        <w:t>’</w:t>
      </w:r>
      <w:r>
        <w:t xml:space="preserve">. Refer also </w:t>
      </w:r>
      <w:r w:rsidR="00711AE6">
        <w:t>‘</w:t>
      </w:r>
      <w:r>
        <w:t>net result</w:t>
      </w:r>
      <w:r w:rsidR="00711AE6">
        <w:t>’</w:t>
      </w:r>
      <w:r>
        <w:t xml:space="preserve">. </w:t>
      </w:r>
    </w:p>
    <w:p w14:paraId="0C7ABE17" w14:textId="77777777" w:rsidR="005B131E" w:rsidRDefault="005B131E" w:rsidP="002542E1">
      <w:pPr>
        <w:pStyle w:val="ARfinbody"/>
      </w:pPr>
      <w:r w:rsidRPr="004400B6">
        <w:rPr>
          <w:rStyle w:val="Strong"/>
        </w:rPr>
        <w:t xml:space="preserve">Other economic flows included in net result </w:t>
      </w:r>
      <w:r>
        <w:t xml:space="preserve">are changes in the volume or value of an asset or liability that do not result from transactions. In simple terms, other economic flows are changes arising from market remeasurements. They include gains and losses from disposals, revaluations and impairments of non-current physical and intangible assets; actuarial gains and losses arising from defined benefit superannuation plans; fair value changes of financial instruments. </w:t>
      </w:r>
    </w:p>
    <w:p w14:paraId="5BDB2E9B" w14:textId="77777777" w:rsidR="005B131E" w:rsidRDefault="005B131E" w:rsidP="002542E1">
      <w:pPr>
        <w:pStyle w:val="ARfinbody"/>
      </w:pPr>
      <w:r w:rsidRPr="004400B6">
        <w:rPr>
          <w:rStyle w:val="Strong"/>
        </w:rPr>
        <w:t xml:space="preserve">Other </w:t>
      </w:r>
      <w:r w:rsidRPr="008821B0">
        <w:rPr>
          <w:rStyle w:val="Strong"/>
        </w:rPr>
        <w:t>economic flows – other comprehensive income</w:t>
      </w:r>
      <w:r>
        <w:t xml:space="preserve"> comprises items (including reclassification adjustments) that are not recognised in net result as required or permitted by other Australian Accounting Standards. They include changes in physical asset revaluation surplus; share of net movement in revaluation surplus of associates and joint ventures; and gains and losses on remeasuring available-for-sale financial assets.</w:t>
      </w:r>
    </w:p>
    <w:p w14:paraId="0297CE43" w14:textId="77777777" w:rsidR="005B131E" w:rsidRDefault="005B131E" w:rsidP="002542E1">
      <w:pPr>
        <w:pStyle w:val="ARfinbody"/>
      </w:pPr>
      <w:r w:rsidRPr="008821B0">
        <w:rPr>
          <w:rStyle w:val="Strong"/>
        </w:rPr>
        <w:t>Other operating expenses</w:t>
      </w:r>
      <w:r>
        <w:t xml:space="preserve"> generally represent cost of goods sold and the day to day running costs, including maintenance costs, incurred in the normal operations of the department.</w:t>
      </w:r>
      <w:r>
        <w:tab/>
      </w:r>
    </w:p>
    <w:p w14:paraId="14D0A25B" w14:textId="77777777" w:rsidR="005B131E" w:rsidRDefault="005B131E" w:rsidP="002542E1">
      <w:pPr>
        <w:pStyle w:val="ARfinbody"/>
      </w:pPr>
      <w:r w:rsidRPr="008821B0">
        <w:rPr>
          <w:rStyle w:val="Strong"/>
        </w:rPr>
        <w:t>Payables</w:t>
      </w:r>
      <w:r>
        <w:t xml:space="preserve"> include short and long-term accounts payable, grants, taxes and interest payable.</w:t>
      </w:r>
    </w:p>
    <w:p w14:paraId="22F13183" w14:textId="77777777" w:rsidR="005B131E" w:rsidRDefault="005B131E" w:rsidP="002542E1">
      <w:pPr>
        <w:pStyle w:val="ARfinbody"/>
      </w:pPr>
      <w:r w:rsidRPr="006A7DA6">
        <w:rPr>
          <w:rStyle w:val="Strong"/>
        </w:rPr>
        <w:t>Produced assets</w:t>
      </w:r>
      <w:r>
        <w:t xml:space="preserve"> include buildings, plant and equipment, inventories, cultivated assets and certain intangible assets. Intangible produced assets may include computer software, motion picture films and research and development costs (which do not include the start-up costs associated with capital projects).</w:t>
      </w:r>
    </w:p>
    <w:p w14:paraId="1A053EC4" w14:textId="77777777" w:rsidR="005B131E" w:rsidRDefault="005B131E" w:rsidP="002542E1">
      <w:pPr>
        <w:pStyle w:val="ARfinbody"/>
      </w:pPr>
      <w:r w:rsidRPr="008821B0">
        <w:rPr>
          <w:rStyle w:val="Strong"/>
        </w:rPr>
        <w:t>Public financial corporations</w:t>
      </w:r>
      <w:r>
        <w:t xml:space="preserve"> (PFC) are bodies primarily engaged in the provision of financial intermediation services or auxiliary financial services. They are able to incur financial liabilities on their own account (for example by taking deposits, issuing securities or providing insurance services). Estimates are not published for the public financial corporation sector.</w:t>
      </w:r>
    </w:p>
    <w:p w14:paraId="5645A651" w14:textId="287248B6" w:rsidR="005B131E" w:rsidRDefault="005B131E" w:rsidP="002542E1">
      <w:pPr>
        <w:pStyle w:val="ARfinbody"/>
      </w:pPr>
      <w:r w:rsidRPr="008821B0">
        <w:rPr>
          <w:rStyle w:val="Strong"/>
        </w:rPr>
        <w:t>Public non-financial corporation</w:t>
      </w:r>
      <w:r>
        <w:t xml:space="preserve"> (PNFC) sector comprises bodies mainly engaged in the production of goods and services (of a non-financial nature) for sale in the marketplace at prices that aim to recover most of the costs involved (for example water and port authorities). In general, PNFCs are legally distinguishable from the governments which own them.</w:t>
      </w:r>
    </w:p>
    <w:p w14:paraId="490A4558" w14:textId="77777777" w:rsidR="005B131E" w:rsidRDefault="005B131E" w:rsidP="002542E1">
      <w:pPr>
        <w:pStyle w:val="ARfinbody"/>
      </w:pPr>
      <w:r w:rsidRPr="00EB2827">
        <w:rPr>
          <w:rStyle w:val="Strong"/>
        </w:rPr>
        <w:t>Receivables</w:t>
      </w:r>
      <w:r>
        <w:t xml:space="preserve"> includes amounts owing from government through appropriation receivable, short and long-term accounts receivable, accrued investment income, grants, taxes and interest receivable.</w:t>
      </w:r>
    </w:p>
    <w:p w14:paraId="2A132B98" w14:textId="77777777" w:rsidR="005B131E" w:rsidRDefault="005B131E" w:rsidP="002542E1">
      <w:pPr>
        <w:pStyle w:val="ARfinbody"/>
      </w:pPr>
      <w:r w:rsidRPr="00EB2827">
        <w:rPr>
          <w:rStyle w:val="Strong"/>
        </w:rPr>
        <w:t>Rental income and income from services</w:t>
      </w:r>
      <w:r>
        <w:t xml:space="preserve"> includes rental income and income from the provision of user-charged services.</w:t>
      </w:r>
    </w:p>
    <w:p w14:paraId="3C7C2BE7" w14:textId="77777777" w:rsidR="005B131E" w:rsidRDefault="005B131E" w:rsidP="002542E1">
      <w:pPr>
        <w:pStyle w:val="ARfinbody"/>
      </w:pPr>
      <w:r w:rsidRPr="00EB2827">
        <w:rPr>
          <w:rStyle w:val="Strong"/>
        </w:rPr>
        <w:t>Service Concession Arrangement</w:t>
      </w:r>
      <w:r>
        <w:t xml:space="preserve"> is a contract effective during the reporting period between a grantor and an operator in which:</w:t>
      </w:r>
    </w:p>
    <w:p w14:paraId="02AD13EA" w14:textId="77777777" w:rsidR="005B131E" w:rsidRDefault="005B131E" w:rsidP="005B131E">
      <w:pPr>
        <w:pStyle w:val="ARfinnumberalpha1"/>
        <w:numPr>
          <w:ilvl w:val="0"/>
          <w:numId w:val="21"/>
        </w:numPr>
      </w:pPr>
      <w:r>
        <w:t>the operator has the right of access to the service concession asset (or assets) to provide public services on behalf of the grantor for a specified period of time</w:t>
      </w:r>
    </w:p>
    <w:p w14:paraId="44E1A710" w14:textId="77777777" w:rsidR="005B131E" w:rsidRDefault="005B131E" w:rsidP="002542E1">
      <w:pPr>
        <w:pStyle w:val="ARfinnumberalpha1"/>
      </w:pPr>
      <w:r>
        <w:t>the operator is responsible for at least some of the management of the public services provided through the asset and does not act merely as an agent on behalf of the grantor, and</w:t>
      </w:r>
    </w:p>
    <w:p w14:paraId="1FD2ED5B" w14:textId="77777777" w:rsidR="005B131E" w:rsidRDefault="005B131E" w:rsidP="002542E1">
      <w:pPr>
        <w:pStyle w:val="ARfinnumberalpha1"/>
      </w:pPr>
      <w:r>
        <w:t>the operator is compensated for its services over the period of the service concession arrangement.</w:t>
      </w:r>
    </w:p>
    <w:p w14:paraId="79E86CAF" w14:textId="435C36BA" w:rsidR="005B131E" w:rsidRDefault="005B131E" w:rsidP="002542E1">
      <w:pPr>
        <w:pStyle w:val="ARfinbody"/>
      </w:pPr>
      <w:r w:rsidRPr="00EB2827">
        <w:rPr>
          <w:rStyle w:val="Strong"/>
        </w:rPr>
        <w:t>Transactions</w:t>
      </w:r>
      <w:r>
        <w:t xml:space="preserve"> are those economic flows that are considered to arise as a result of policy decisions, usually an interaction between </w:t>
      </w:r>
      <w:r w:rsidR="00124B01">
        <w:t>2</w:t>
      </w:r>
      <w:r>
        <w:t xml:space="preserve"> entities by mutual agreement. They also include flows within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 kind (for example assets provided/given free of charge or for nominal consideration) or where the final consideration is cash. In simple terms, transactions arise from the policy decisions of the government.</w:t>
      </w:r>
      <w:r>
        <w:br w:type="page"/>
      </w:r>
    </w:p>
    <w:p w14:paraId="649E715B" w14:textId="77777777" w:rsidR="005B131E" w:rsidRDefault="005B131E" w:rsidP="002542E1">
      <w:pPr>
        <w:pStyle w:val="Heading4"/>
      </w:pPr>
      <w:r>
        <w:t>9.14 Style conventions</w:t>
      </w:r>
    </w:p>
    <w:p w14:paraId="2D6F8C99" w14:textId="77777777" w:rsidR="005B131E" w:rsidRDefault="005B131E" w:rsidP="002542E1">
      <w:pPr>
        <w:pStyle w:val="ARfinbody"/>
      </w:pPr>
      <w:r>
        <w:t>Figures in the tables and in the text have been rounded. Discrepancies in tables between totals and sums of components reflect rounding. Percentage variations in all tables are based on the underlying unrounded amounts.</w:t>
      </w:r>
    </w:p>
    <w:p w14:paraId="2B718993" w14:textId="77777777" w:rsidR="005B131E" w:rsidRDefault="005B131E" w:rsidP="002542E1">
      <w:pPr>
        <w:pStyle w:val="ARfinbody"/>
      </w:pPr>
      <w:r>
        <w:t>The notation used in the tables is as follows:</w:t>
      </w:r>
    </w:p>
    <w:p w14:paraId="3DB78486" w14:textId="77777777" w:rsidR="005B131E" w:rsidRDefault="005B131E" w:rsidP="002542E1">
      <w:pPr>
        <w:pStyle w:val="ARfinbullet1"/>
      </w:pPr>
      <w:r>
        <w:t>-</w:t>
      </w:r>
      <w:r>
        <w:tab/>
        <w:t xml:space="preserve"> zero, or rounded to zero</w:t>
      </w:r>
    </w:p>
    <w:p w14:paraId="4463E464" w14:textId="77777777" w:rsidR="005B131E" w:rsidRDefault="005B131E" w:rsidP="002542E1">
      <w:pPr>
        <w:pStyle w:val="ARfinbullet1"/>
      </w:pPr>
      <w:r>
        <w:t>(xxx.x) negative numbers</w:t>
      </w:r>
    </w:p>
    <w:p w14:paraId="473DB6C1" w14:textId="77777777" w:rsidR="005B131E" w:rsidRDefault="005B131E" w:rsidP="002542E1">
      <w:pPr>
        <w:pStyle w:val="ARfinbullet1"/>
      </w:pPr>
      <w:r>
        <w:t>20xx year end</w:t>
      </w:r>
    </w:p>
    <w:p w14:paraId="2598EF91" w14:textId="77777777" w:rsidR="005B131E" w:rsidRDefault="005B131E" w:rsidP="002542E1">
      <w:pPr>
        <w:pStyle w:val="ARfinbullet1"/>
      </w:pPr>
      <w:r>
        <w:t>20xx–xx year period.</w:t>
      </w:r>
    </w:p>
    <w:p w14:paraId="772B6544" w14:textId="436342AF" w:rsidR="005B131E" w:rsidRPr="00BA7805" w:rsidRDefault="005B131E" w:rsidP="002542E1">
      <w:pPr>
        <w:pStyle w:val="ARfinbody"/>
        <w:rPr>
          <w:highlight w:val="green"/>
        </w:rPr>
      </w:pPr>
      <w:r>
        <w:t xml:space="preserve">The financial statements and notes are presented based on the illustration for a government department in the </w:t>
      </w:r>
      <w:r w:rsidR="00981E3A">
        <w:t>2023–24</w:t>
      </w:r>
      <w:r>
        <w:t xml:space="preserve"> model </w:t>
      </w:r>
      <w:r w:rsidRPr="00A003ED">
        <w:t>report</w:t>
      </w:r>
      <w:r>
        <w:t xml:space="preserve"> for Victorian Government departments. The presentation of other disclosures is generally consistent with the other disclosures made in earlier publications of the department</w:t>
      </w:r>
      <w:r w:rsidR="00711AE6">
        <w:t>’</w:t>
      </w:r>
      <w:r>
        <w:t>s annual reports.</w:t>
      </w:r>
    </w:p>
    <w:bookmarkEnd w:id="257"/>
    <w:p w14:paraId="56D8C881" w14:textId="77777777" w:rsidR="00083017" w:rsidRPr="00083017" w:rsidRDefault="00083017" w:rsidP="00083017">
      <w:pPr>
        <w:pStyle w:val="ARbody"/>
        <w:rPr>
          <w:highlight w:val="green"/>
        </w:rPr>
        <w:sectPr w:rsidR="00083017" w:rsidRPr="00083017" w:rsidSect="005B131E">
          <w:footnotePr>
            <w:numFmt w:val="lowerRoman"/>
            <w:numRestart w:val="eachPage"/>
          </w:footnotePr>
          <w:endnotePr>
            <w:numFmt w:val="decimal"/>
          </w:endnotePr>
          <w:pgSz w:w="11900" w:h="16840" w:code="9"/>
          <w:pgMar w:top="1985" w:right="1134" w:bottom="851" w:left="1134" w:header="510" w:footer="340" w:gutter="0"/>
          <w:cols w:space="448"/>
          <w:docGrid w:linePitch="299"/>
        </w:sectPr>
      </w:pPr>
    </w:p>
    <w:p w14:paraId="55791317" w14:textId="1D33E5C7" w:rsidR="0050196F" w:rsidRPr="00532DAE" w:rsidRDefault="0050196F" w:rsidP="00A742C2">
      <w:pPr>
        <w:pStyle w:val="Heading1"/>
      </w:pPr>
      <w:bookmarkStart w:id="292" w:name="_Toc149587069"/>
      <w:bookmarkStart w:id="293" w:name="_Toc181101531"/>
      <w:bookmarkEnd w:id="252"/>
      <w:r w:rsidRPr="00532DAE">
        <w:t>Section 6: Appendices</w:t>
      </w:r>
      <w:bookmarkEnd w:id="292"/>
      <w:bookmarkEnd w:id="293"/>
    </w:p>
    <w:p w14:paraId="20DE372B" w14:textId="77777777" w:rsidR="0050196F" w:rsidRPr="00532DAE" w:rsidRDefault="0050196F" w:rsidP="0081234A">
      <w:pPr>
        <w:pStyle w:val="Heading2"/>
      </w:pPr>
      <w:bookmarkStart w:id="294" w:name="_Toc149587070"/>
      <w:bookmarkStart w:id="295" w:name="_Toc181101532"/>
      <w:r w:rsidRPr="00532DAE">
        <w:t>Appendix 1: Budget portfolio outcomes</w:t>
      </w:r>
      <w:bookmarkEnd w:id="294"/>
      <w:bookmarkEnd w:id="295"/>
    </w:p>
    <w:p w14:paraId="30F89557" w14:textId="2B389AAB" w:rsidR="0050196F" w:rsidRPr="00F32A39" w:rsidRDefault="0050196F" w:rsidP="00F32A39">
      <w:pPr>
        <w:pStyle w:val="Heading3"/>
      </w:pPr>
      <w:r w:rsidRPr="00532DAE">
        <w:t>Comprehensive operating statement</w:t>
      </w:r>
      <w:r w:rsidRPr="00532DAE">
        <w:br/>
        <w:t xml:space="preserve">for the financial year ended 30 June </w:t>
      </w:r>
      <w:r w:rsidRPr="002D2537">
        <w:t>2024</w:t>
      </w:r>
    </w:p>
    <w:tbl>
      <w:tblPr>
        <w:tblStyle w:val="TableGrid"/>
        <w:tblW w:w="9644" w:type="dxa"/>
        <w:tblInd w:w="-5" w:type="dxa"/>
        <w:tblLook w:val="06A0" w:firstRow="1" w:lastRow="0" w:firstColumn="1" w:lastColumn="0" w:noHBand="1" w:noVBand="1"/>
      </w:tblPr>
      <w:tblGrid>
        <w:gridCol w:w="5529"/>
        <w:gridCol w:w="944"/>
        <w:gridCol w:w="1106"/>
        <w:gridCol w:w="1343"/>
        <w:gridCol w:w="722"/>
      </w:tblGrid>
      <w:tr w:rsidR="0050196F" w:rsidRPr="00532DAE" w14:paraId="6605FC33" w14:textId="77777777">
        <w:trPr>
          <w:cnfStyle w:val="100000000000" w:firstRow="1" w:lastRow="0" w:firstColumn="0" w:lastColumn="0" w:oddVBand="0" w:evenVBand="0" w:oddHBand="0" w:evenHBand="0" w:firstRowFirstColumn="0" w:firstRowLastColumn="0" w:lastRowFirstColumn="0" w:lastRowLastColumn="0"/>
          <w:tblHeader/>
        </w:trPr>
        <w:tc>
          <w:tcPr>
            <w:tcW w:w="5538" w:type="dxa"/>
            <w:tcBorders>
              <w:bottom w:val="single" w:sz="4" w:space="0" w:color="auto"/>
            </w:tcBorders>
            <w:hideMark/>
          </w:tcPr>
          <w:p w14:paraId="4B85E653" w14:textId="77777777" w:rsidR="0050196F" w:rsidRPr="00532DAE" w:rsidRDefault="0050196F" w:rsidP="00A51E7D">
            <w:pPr>
              <w:pStyle w:val="ARfintablecolhead"/>
            </w:pPr>
          </w:p>
        </w:tc>
        <w:tc>
          <w:tcPr>
            <w:tcW w:w="944" w:type="dxa"/>
            <w:tcBorders>
              <w:bottom w:val="single" w:sz="4" w:space="0" w:color="auto"/>
            </w:tcBorders>
            <w:hideMark/>
          </w:tcPr>
          <w:p w14:paraId="6AE1CF13" w14:textId="77777777" w:rsidR="0050196F" w:rsidRPr="00532DAE" w:rsidRDefault="0050196F" w:rsidP="002D2537">
            <w:pPr>
              <w:pStyle w:val="ARfintablecolheadright"/>
            </w:pPr>
            <w:r w:rsidRPr="00532DAE">
              <w:t>202</w:t>
            </w:r>
            <w:r>
              <w:t>3</w:t>
            </w:r>
            <w:r w:rsidRPr="00532DAE">
              <w:t>–2</w:t>
            </w:r>
            <w:r>
              <w:t>4</w:t>
            </w:r>
          </w:p>
          <w:p w14:paraId="73D1EC55" w14:textId="77777777" w:rsidR="0050196F" w:rsidRPr="00532DAE" w:rsidRDefault="0050196F" w:rsidP="002D2537">
            <w:pPr>
              <w:pStyle w:val="ARfintablecolheadright"/>
            </w:pPr>
            <w:r w:rsidRPr="00532DAE">
              <w:t>Actual</w:t>
            </w:r>
          </w:p>
          <w:p w14:paraId="57647063" w14:textId="77777777" w:rsidR="0050196F" w:rsidRPr="00532DAE" w:rsidRDefault="0050196F" w:rsidP="002D2537">
            <w:pPr>
              <w:pStyle w:val="ARfintablecolheadright"/>
            </w:pPr>
            <w:r w:rsidRPr="00532DAE">
              <w:t>$M</w:t>
            </w:r>
          </w:p>
        </w:tc>
        <w:tc>
          <w:tcPr>
            <w:tcW w:w="1106" w:type="dxa"/>
            <w:tcBorders>
              <w:bottom w:val="single" w:sz="4" w:space="0" w:color="auto"/>
            </w:tcBorders>
            <w:hideMark/>
          </w:tcPr>
          <w:p w14:paraId="43387B61" w14:textId="77777777" w:rsidR="0050196F" w:rsidRPr="00532DAE" w:rsidRDefault="0050196F" w:rsidP="002D2537">
            <w:pPr>
              <w:pStyle w:val="ARfintablecolheadright"/>
            </w:pPr>
            <w:r w:rsidRPr="00532DAE">
              <w:t>202</w:t>
            </w:r>
            <w:r>
              <w:t>3</w:t>
            </w:r>
            <w:r w:rsidRPr="00532DAE">
              <w:t>–2</w:t>
            </w:r>
            <w:r>
              <w:t>4</w:t>
            </w:r>
          </w:p>
          <w:p w14:paraId="68E203EA" w14:textId="77777777" w:rsidR="0050196F" w:rsidRPr="00532DAE" w:rsidRDefault="0050196F" w:rsidP="002D2537">
            <w:pPr>
              <w:pStyle w:val="ARfintablecolheadright"/>
            </w:pPr>
            <w:r w:rsidRPr="00532DAE">
              <w:t>Published budget</w:t>
            </w:r>
          </w:p>
          <w:p w14:paraId="41BD1361" w14:textId="77777777" w:rsidR="0050196F" w:rsidRPr="00532DAE" w:rsidRDefault="0050196F" w:rsidP="002D2537">
            <w:pPr>
              <w:pStyle w:val="ARfintablecolheadright"/>
            </w:pPr>
            <w:r w:rsidRPr="00532DAE">
              <w:t>$M</w:t>
            </w:r>
          </w:p>
        </w:tc>
        <w:tc>
          <w:tcPr>
            <w:tcW w:w="1343" w:type="dxa"/>
            <w:tcBorders>
              <w:bottom w:val="single" w:sz="4" w:space="0" w:color="auto"/>
            </w:tcBorders>
            <w:noWrap/>
            <w:hideMark/>
          </w:tcPr>
          <w:p w14:paraId="0D9D553F" w14:textId="77777777" w:rsidR="0050196F" w:rsidRPr="00532DAE" w:rsidRDefault="0050196F" w:rsidP="002D2537">
            <w:pPr>
              <w:pStyle w:val="ARfintablecolheadright"/>
            </w:pPr>
            <w:r w:rsidRPr="00532DAE">
              <w:t>Variation to published budget</w:t>
            </w:r>
          </w:p>
          <w:p w14:paraId="67DBFFAA" w14:textId="77777777" w:rsidR="0050196F" w:rsidRPr="00532DAE" w:rsidRDefault="0050196F" w:rsidP="002D2537">
            <w:pPr>
              <w:pStyle w:val="ARfintablecolheadright"/>
            </w:pPr>
            <w:r w:rsidRPr="00532DAE">
              <w:t>%</w:t>
            </w:r>
          </w:p>
        </w:tc>
        <w:tc>
          <w:tcPr>
            <w:tcW w:w="711" w:type="dxa"/>
            <w:tcBorders>
              <w:bottom w:val="single" w:sz="4" w:space="0" w:color="auto"/>
            </w:tcBorders>
            <w:noWrap/>
            <w:hideMark/>
          </w:tcPr>
          <w:p w14:paraId="7DEC1C48" w14:textId="77777777" w:rsidR="0050196F" w:rsidRPr="00532DAE" w:rsidRDefault="0050196F" w:rsidP="002D2537">
            <w:pPr>
              <w:pStyle w:val="ARfintablecolheadright"/>
            </w:pPr>
            <w:r w:rsidRPr="00532DAE">
              <w:t>Notes</w:t>
            </w:r>
          </w:p>
        </w:tc>
      </w:tr>
      <w:tr w:rsidR="0050196F" w:rsidRPr="00532DAE" w14:paraId="0B800A74" w14:textId="77777777">
        <w:trPr>
          <w:cantSplit w:val="0"/>
        </w:trPr>
        <w:tc>
          <w:tcPr>
            <w:tcW w:w="9644" w:type="dxa"/>
            <w:gridSpan w:val="5"/>
            <w:tcBorders>
              <w:top w:val="single" w:sz="4" w:space="0" w:color="auto"/>
              <w:bottom w:val="single" w:sz="4" w:space="0" w:color="A6A6A6"/>
            </w:tcBorders>
          </w:tcPr>
          <w:p w14:paraId="0EA92F16" w14:textId="77777777" w:rsidR="0050196F" w:rsidRPr="00532DAE" w:rsidRDefault="0050196F" w:rsidP="00D02912">
            <w:pPr>
              <w:pStyle w:val="ARfintablebodybold"/>
            </w:pPr>
            <w:r w:rsidRPr="00532DAE">
              <w:t>Net result from continuing operations</w:t>
            </w:r>
          </w:p>
        </w:tc>
      </w:tr>
      <w:tr w:rsidR="0050196F" w:rsidRPr="00532DAE" w14:paraId="731F62CA" w14:textId="77777777">
        <w:trPr>
          <w:cantSplit w:val="0"/>
        </w:trPr>
        <w:tc>
          <w:tcPr>
            <w:tcW w:w="9644" w:type="dxa"/>
            <w:gridSpan w:val="5"/>
            <w:tcBorders>
              <w:top w:val="single" w:sz="4" w:space="0" w:color="auto"/>
              <w:bottom w:val="single" w:sz="4" w:space="0" w:color="A6A6A6"/>
            </w:tcBorders>
          </w:tcPr>
          <w:p w14:paraId="4A1DC51A" w14:textId="77777777" w:rsidR="0050196F" w:rsidRPr="00532DAE" w:rsidRDefault="0050196F" w:rsidP="00D02912">
            <w:pPr>
              <w:pStyle w:val="ARfintablebodybold"/>
            </w:pPr>
            <w:r>
              <w:t>Income from transactions</w:t>
            </w:r>
          </w:p>
        </w:tc>
      </w:tr>
      <w:tr w:rsidR="0050196F" w:rsidRPr="00532DAE" w14:paraId="04B06CE6" w14:textId="77777777">
        <w:trPr>
          <w:cantSplit w:val="0"/>
        </w:trPr>
        <w:tc>
          <w:tcPr>
            <w:tcW w:w="5538" w:type="dxa"/>
            <w:tcBorders>
              <w:top w:val="single" w:sz="4" w:space="0" w:color="A6A6A6"/>
              <w:bottom w:val="single" w:sz="4" w:space="0" w:color="A6A6A6"/>
            </w:tcBorders>
            <w:hideMark/>
          </w:tcPr>
          <w:p w14:paraId="161DD240" w14:textId="77777777" w:rsidR="0050196F" w:rsidRPr="00532DAE" w:rsidRDefault="0050196F" w:rsidP="00D02912">
            <w:pPr>
              <w:pStyle w:val="ARfintablebody"/>
            </w:pPr>
            <w:r w:rsidRPr="00532DAE">
              <w:t>Output appropriations</w:t>
            </w:r>
          </w:p>
        </w:tc>
        <w:tc>
          <w:tcPr>
            <w:tcW w:w="944" w:type="dxa"/>
            <w:tcBorders>
              <w:top w:val="single" w:sz="4" w:space="0" w:color="A6A6A6"/>
              <w:bottom w:val="single" w:sz="4" w:space="0" w:color="A6A6A6"/>
            </w:tcBorders>
            <w:hideMark/>
          </w:tcPr>
          <w:p w14:paraId="1117A643" w14:textId="62D393FB" w:rsidR="0050196F" w:rsidRPr="00354C86" w:rsidRDefault="0050196F" w:rsidP="00D02912">
            <w:pPr>
              <w:pStyle w:val="ARfintablebodyright"/>
              <w:rPr>
                <w:highlight w:val="cyan"/>
              </w:rPr>
            </w:pPr>
            <w:r w:rsidRPr="008A0B68">
              <w:t>5,302</w:t>
            </w:r>
          </w:p>
        </w:tc>
        <w:tc>
          <w:tcPr>
            <w:tcW w:w="1106" w:type="dxa"/>
            <w:tcBorders>
              <w:top w:val="single" w:sz="4" w:space="0" w:color="A6A6A6"/>
              <w:bottom w:val="single" w:sz="4" w:space="0" w:color="A6A6A6"/>
            </w:tcBorders>
            <w:hideMark/>
          </w:tcPr>
          <w:p w14:paraId="535216FB" w14:textId="779A8555" w:rsidR="0050196F" w:rsidRPr="00354C86" w:rsidRDefault="0050196F" w:rsidP="00D02912">
            <w:pPr>
              <w:pStyle w:val="ARfintablebodyright"/>
              <w:rPr>
                <w:highlight w:val="cyan"/>
              </w:rPr>
            </w:pPr>
            <w:r w:rsidRPr="00902A30">
              <w:t>4,796</w:t>
            </w:r>
          </w:p>
        </w:tc>
        <w:tc>
          <w:tcPr>
            <w:tcW w:w="1343" w:type="dxa"/>
            <w:tcBorders>
              <w:top w:val="single" w:sz="4" w:space="0" w:color="A6A6A6"/>
              <w:bottom w:val="single" w:sz="4" w:space="0" w:color="A6A6A6"/>
            </w:tcBorders>
            <w:hideMark/>
          </w:tcPr>
          <w:p w14:paraId="0F486F55" w14:textId="7D3D2A79" w:rsidR="0050196F" w:rsidRPr="00354C86" w:rsidRDefault="0050196F" w:rsidP="00D02912">
            <w:pPr>
              <w:pStyle w:val="ARfintablebodyright"/>
              <w:rPr>
                <w:highlight w:val="cyan"/>
              </w:rPr>
            </w:pPr>
            <w:r w:rsidRPr="007322B8">
              <w:t>10.6</w:t>
            </w:r>
          </w:p>
        </w:tc>
        <w:tc>
          <w:tcPr>
            <w:tcW w:w="711" w:type="dxa"/>
            <w:tcBorders>
              <w:top w:val="single" w:sz="4" w:space="0" w:color="A6A6A6"/>
              <w:bottom w:val="single" w:sz="4" w:space="0" w:color="A6A6A6"/>
            </w:tcBorders>
            <w:hideMark/>
          </w:tcPr>
          <w:p w14:paraId="68E3C2AE" w14:textId="77777777" w:rsidR="0050196F" w:rsidRPr="007C7216" w:rsidRDefault="0050196F" w:rsidP="00D02912">
            <w:pPr>
              <w:pStyle w:val="ARfintablebodycentre"/>
              <w:rPr>
                <w:vertAlign w:val="superscript"/>
              </w:rPr>
            </w:pPr>
            <w:r w:rsidRPr="007C7216">
              <w:rPr>
                <w:vertAlign w:val="superscript"/>
              </w:rPr>
              <w:t>(a)</w:t>
            </w:r>
          </w:p>
        </w:tc>
      </w:tr>
      <w:tr w:rsidR="0050196F" w:rsidRPr="00532DAE" w14:paraId="4C6DEEA8" w14:textId="77777777">
        <w:trPr>
          <w:cantSplit w:val="0"/>
        </w:trPr>
        <w:tc>
          <w:tcPr>
            <w:tcW w:w="5538" w:type="dxa"/>
            <w:tcBorders>
              <w:top w:val="single" w:sz="4" w:space="0" w:color="A6A6A6"/>
              <w:bottom w:val="single" w:sz="4" w:space="0" w:color="A6A6A6"/>
            </w:tcBorders>
            <w:hideMark/>
          </w:tcPr>
          <w:p w14:paraId="7F4E654E" w14:textId="77777777" w:rsidR="0050196F" w:rsidRPr="00532DAE" w:rsidRDefault="0050196F" w:rsidP="00D02912">
            <w:pPr>
              <w:pStyle w:val="ARfintablebody"/>
            </w:pPr>
            <w:r w:rsidRPr="00532DAE">
              <w:t>Special appropriations</w:t>
            </w:r>
          </w:p>
        </w:tc>
        <w:tc>
          <w:tcPr>
            <w:tcW w:w="944" w:type="dxa"/>
            <w:tcBorders>
              <w:top w:val="single" w:sz="4" w:space="0" w:color="A6A6A6"/>
              <w:bottom w:val="single" w:sz="4" w:space="0" w:color="A6A6A6"/>
            </w:tcBorders>
            <w:hideMark/>
          </w:tcPr>
          <w:p w14:paraId="7D91528D" w14:textId="66C9D266" w:rsidR="0050196F" w:rsidRPr="00354C86" w:rsidRDefault="0050196F" w:rsidP="00D02912">
            <w:pPr>
              <w:pStyle w:val="ARfintablebodyright"/>
              <w:rPr>
                <w:highlight w:val="cyan"/>
              </w:rPr>
            </w:pPr>
            <w:r w:rsidRPr="008A0B68">
              <w:t>80</w:t>
            </w:r>
          </w:p>
        </w:tc>
        <w:tc>
          <w:tcPr>
            <w:tcW w:w="1106" w:type="dxa"/>
            <w:tcBorders>
              <w:top w:val="single" w:sz="4" w:space="0" w:color="A6A6A6"/>
              <w:bottom w:val="single" w:sz="4" w:space="0" w:color="A6A6A6"/>
            </w:tcBorders>
            <w:hideMark/>
          </w:tcPr>
          <w:p w14:paraId="4B18D6BF" w14:textId="077CD621" w:rsidR="0050196F" w:rsidRPr="00354C86" w:rsidRDefault="0050196F" w:rsidP="00D02912">
            <w:pPr>
              <w:pStyle w:val="ARfintablebodyright"/>
              <w:rPr>
                <w:highlight w:val="cyan"/>
              </w:rPr>
            </w:pPr>
            <w:r w:rsidRPr="00902A30">
              <w:t>88</w:t>
            </w:r>
          </w:p>
        </w:tc>
        <w:tc>
          <w:tcPr>
            <w:tcW w:w="1343" w:type="dxa"/>
            <w:tcBorders>
              <w:top w:val="single" w:sz="4" w:space="0" w:color="A6A6A6"/>
              <w:bottom w:val="single" w:sz="4" w:space="0" w:color="A6A6A6"/>
            </w:tcBorders>
            <w:hideMark/>
          </w:tcPr>
          <w:p w14:paraId="12F32A0B" w14:textId="5B2F693B" w:rsidR="0050196F" w:rsidRPr="00354C86" w:rsidRDefault="0050196F" w:rsidP="00D02912">
            <w:pPr>
              <w:pStyle w:val="ARfintablebodyright"/>
              <w:rPr>
                <w:highlight w:val="cyan"/>
              </w:rPr>
            </w:pPr>
            <w:r w:rsidRPr="007322B8">
              <w:t>(9.2)</w:t>
            </w:r>
          </w:p>
        </w:tc>
        <w:tc>
          <w:tcPr>
            <w:tcW w:w="711" w:type="dxa"/>
            <w:tcBorders>
              <w:top w:val="single" w:sz="4" w:space="0" w:color="A6A6A6"/>
              <w:bottom w:val="single" w:sz="4" w:space="0" w:color="A6A6A6"/>
            </w:tcBorders>
            <w:hideMark/>
          </w:tcPr>
          <w:p w14:paraId="15A09482" w14:textId="77777777" w:rsidR="0050196F" w:rsidRPr="00532DAE" w:rsidRDefault="0050196F" w:rsidP="00D02912">
            <w:pPr>
              <w:pStyle w:val="ARfintablebodycentre"/>
            </w:pPr>
          </w:p>
        </w:tc>
      </w:tr>
      <w:tr w:rsidR="0050196F" w:rsidRPr="00532DAE" w14:paraId="08E58A91" w14:textId="77777777">
        <w:trPr>
          <w:cantSplit w:val="0"/>
        </w:trPr>
        <w:tc>
          <w:tcPr>
            <w:tcW w:w="5538" w:type="dxa"/>
            <w:tcBorders>
              <w:top w:val="single" w:sz="4" w:space="0" w:color="A6A6A6"/>
              <w:bottom w:val="single" w:sz="4" w:space="0" w:color="A6A6A6"/>
            </w:tcBorders>
            <w:hideMark/>
          </w:tcPr>
          <w:p w14:paraId="30697C0C" w14:textId="77777777" w:rsidR="0050196F" w:rsidRPr="00532DAE" w:rsidRDefault="0050196F" w:rsidP="00D02912">
            <w:pPr>
              <w:pStyle w:val="ARfintablebody"/>
            </w:pPr>
            <w:r w:rsidRPr="00532DAE">
              <w:t>Grants</w:t>
            </w:r>
          </w:p>
        </w:tc>
        <w:tc>
          <w:tcPr>
            <w:tcW w:w="944" w:type="dxa"/>
            <w:tcBorders>
              <w:top w:val="single" w:sz="4" w:space="0" w:color="A6A6A6"/>
              <w:bottom w:val="single" w:sz="4" w:space="0" w:color="A6A6A6"/>
            </w:tcBorders>
            <w:hideMark/>
          </w:tcPr>
          <w:p w14:paraId="59C8AA1B" w14:textId="1E6F59E4" w:rsidR="0050196F" w:rsidRPr="00354C86" w:rsidRDefault="0050196F" w:rsidP="00D02912">
            <w:pPr>
              <w:pStyle w:val="ARfintablebodyright"/>
              <w:rPr>
                <w:highlight w:val="cyan"/>
              </w:rPr>
            </w:pPr>
            <w:r w:rsidRPr="008A0B68">
              <w:t>43</w:t>
            </w:r>
          </w:p>
        </w:tc>
        <w:tc>
          <w:tcPr>
            <w:tcW w:w="1106" w:type="dxa"/>
            <w:tcBorders>
              <w:top w:val="single" w:sz="4" w:space="0" w:color="A6A6A6"/>
              <w:bottom w:val="single" w:sz="4" w:space="0" w:color="A6A6A6"/>
            </w:tcBorders>
            <w:hideMark/>
          </w:tcPr>
          <w:p w14:paraId="0232AE2C" w14:textId="73CA2B43" w:rsidR="0050196F" w:rsidRPr="00354C86" w:rsidRDefault="0050196F" w:rsidP="00D02912">
            <w:pPr>
              <w:pStyle w:val="ARfintablebodyright"/>
              <w:rPr>
                <w:highlight w:val="cyan"/>
              </w:rPr>
            </w:pPr>
            <w:r w:rsidRPr="00902A30">
              <w:t>41</w:t>
            </w:r>
          </w:p>
        </w:tc>
        <w:tc>
          <w:tcPr>
            <w:tcW w:w="1343" w:type="dxa"/>
            <w:tcBorders>
              <w:top w:val="single" w:sz="4" w:space="0" w:color="A6A6A6"/>
              <w:bottom w:val="single" w:sz="4" w:space="0" w:color="A6A6A6"/>
            </w:tcBorders>
            <w:hideMark/>
          </w:tcPr>
          <w:p w14:paraId="6D5071B9" w14:textId="1A553AD6" w:rsidR="0050196F" w:rsidRPr="00354C86" w:rsidRDefault="0050196F" w:rsidP="00D02912">
            <w:pPr>
              <w:pStyle w:val="ARfintablebodyright"/>
              <w:rPr>
                <w:highlight w:val="cyan"/>
              </w:rPr>
            </w:pPr>
            <w:r w:rsidRPr="007322B8">
              <w:t>2.7</w:t>
            </w:r>
          </w:p>
        </w:tc>
        <w:tc>
          <w:tcPr>
            <w:tcW w:w="711" w:type="dxa"/>
            <w:tcBorders>
              <w:top w:val="single" w:sz="4" w:space="0" w:color="A6A6A6"/>
              <w:bottom w:val="single" w:sz="4" w:space="0" w:color="A6A6A6"/>
            </w:tcBorders>
            <w:hideMark/>
          </w:tcPr>
          <w:p w14:paraId="4227B8B3" w14:textId="77777777" w:rsidR="0050196F" w:rsidRPr="00532DAE" w:rsidRDefault="0050196F" w:rsidP="00D02912">
            <w:pPr>
              <w:pStyle w:val="ARfintablebodycentre"/>
            </w:pPr>
          </w:p>
        </w:tc>
      </w:tr>
      <w:tr w:rsidR="0050196F" w:rsidRPr="00532DAE" w14:paraId="7FB06DA9" w14:textId="77777777">
        <w:trPr>
          <w:cantSplit w:val="0"/>
        </w:trPr>
        <w:tc>
          <w:tcPr>
            <w:tcW w:w="5538" w:type="dxa"/>
            <w:tcBorders>
              <w:top w:val="single" w:sz="4" w:space="0" w:color="A6A6A6"/>
            </w:tcBorders>
            <w:hideMark/>
          </w:tcPr>
          <w:p w14:paraId="6901807D" w14:textId="77777777" w:rsidR="0050196F" w:rsidRPr="00532DAE" w:rsidRDefault="0050196F" w:rsidP="00D02912">
            <w:pPr>
              <w:pStyle w:val="ARfintablebody"/>
            </w:pPr>
            <w:r w:rsidRPr="00532DAE">
              <w:t>Other income</w:t>
            </w:r>
          </w:p>
        </w:tc>
        <w:tc>
          <w:tcPr>
            <w:tcW w:w="944" w:type="dxa"/>
            <w:tcBorders>
              <w:top w:val="single" w:sz="4" w:space="0" w:color="A6A6A6"/>
            </w:tcBorders>
            <w:hideMark/>
          </w:tcPr>
          <w:p w14:paraId="79AB34DE" w14:textId="52BEF21E" w:rsidR="0050196F" w:rsidRPr="00354C86" w:rsidRDefault="0050196F" w:rsidP="00D02912">
            <w:pPr>
              <w:pStyle w:val="ARfintablebodyright"/>
              <w:rPr>
                <w:highlight w:val="cyan"/>
              </w:rPr>
            </w:pPr>
            <w:r w:rsidRPr="008A0B68">
              <w:t>(26)</w:t>
            </w:r>
          </w:p>
        </w:tc>
        <w:tc>
          <w:tcPr>
            <w:tcW w:w="1106" w:type="dxa"/>
            <w:tcBorders>
              <w:top w:val="single" w:sz="4" w:space="0" w:color="A6A6A6"/>
            </w:tcBorders>
            <w:hideMark/>
          </w:tcPr>
          <w:p w14:paraId="38181359" w14:textId="77777777" w:rsidR="0050196F" w:rsidRPr="00354C86" w:rsidRDefault="0050196F" w:rsidP="00D02912">
            <w:pPr>
              <w:pStyle w:val="ARfintablebodyright"/>
              <w:rPr>
                <w:highlight w:val="cyan"/>
              </w:rPr>
            </w:pPr>
            <w:r w:rsidRPr="00902A30">
              <w:t>0</w:t>
            </w:r>
          </w:p>
        </w:tc>
        <w:tc>
          <w:tcPr>
            <w:tcW w:w="1343" w:type="dxa"/>
            <w:tcBorders>
              <w:top w:val="single" w:sz="4" w:space="0" w:color="A6A6A6"/>
            </w:tcBorders>
            <w:hideMark/>
          </w:tcPr>
          <w:p w14:paraId="0EAB09FD" w14:textId="3ECC39AB" w:rsidR="0050196F" w:rsidRPr="00354C86" w:rsidRDefault="00604894" w:rsidP="00D02912">
            <w:pPr>
              <w:pStyle w:val="ARfintablebodyright"/>
              <w:rPr>
                <w:highlight w:val="cyan"/>
              </w:rPr>
            </w:pPr>
            <w:r>
              <w:t>–</w:t>
            </w:r>
          </w:p>
        </w:tc>
        <w:tc>
          <w:tcPr>
            <w:tcW w:w="711" w:type="dxa"/>
            <w:tcBorders>
              <w:top w:val="single" w:sz="4" w:space="0" w:color="A6A6A6"/>
            </w:tcBorders>
            <w:hideMark/>
          </w:tcPr>
          <w:p w14:paraId="52AADB6B" w14:textId="77777777" w:rsidR="0050196F" w:rsidRPr="00532DAE" w:rsidRDefault="0050196F" w:rsidP="00D02912">
            <w:pPr>
              <w:pStyle w:val="ARfintablebodycentre"/>
            </w:pPr>
          </w:p>
        </w:tc>
      </w:tr>
      <w:tr w:rsidR="0050196F" w:rsidRPr="00532DAE" w14:paraId="022C4E77" w14:textId="77777777">
        <w:trPr>
          <w:cantSplit w:val="0"/>
        </w:trPr>
        <w:tc>
          <w:tcPr>
            <w:tcW w:w="5538" w:type="dxa"/>
            <w:tcBorders>
              <w:bottom w:val="single" w:sz="4" w:space="0" w:color="auto"/>
            </w:tcBorders>
            <w:hideMark/>
          </w:tcPr>
          <w:p w14:paraId="2E6BEBC6" w14:textId="77777777" w:rsidR="0050196F" w:rsidRPr="00532DAE" w:rsidRDefault="0050196F" w:rsidP="00D02912">
            <w:pPr>
              <w:pStyle w:val="ARfintablebodybold"/>
            </w:pPr>
            <w:r w:rsidRPr="00532DAE">
              <w:t>Total income from transactions</w:t>
            </w:r>
          </w:p>
        </w:tc>
        <w:tc>
          <w:tcPr>
            <w:tcW w:w="944" w:type="dxa"/>
            <w:tcBorders>
              <w:bottom w:val="single" w:sz="4" w:space="0" w:color="auto"/>
            </w:tcBorders>
            <w:hideMark/>
          </w:tcPr>
          <w:p w14:paraId="7D40DCAC" w14:textId="77777777" w:rsidR="0050196F" w:rsidRPr="00354C86" w:rsidRDefault="0050196F" w:rsidP="00D02912">
            <w:pPr>
              <w:pStyle w:val="ARfintablebodyrightbold"/>
              <w:rPr>
                <w:highlight w:val="cyan"/>
              </w:rPr>
            </w:pPr>
            <w:r w:rsidRPr="00E0464A">
              <w:t>5,399</w:t>
            </w:r>
          </w:p>
        </w:tc>
        <w:tc>
          <w:tcPr>
            <w:tcW w:w="1106" w:type="dxa"/>
            <w:tcBorders>
              <w:bottom w:val="single" w:sz="4" w:space="0" w:color="auto"/>
            </w:tcBorders>
            <w:hideMark/>
          </w:tcPr>
          <w:p w14:paraId="3C5EB935" w14:textId="37E5BA90" w:rsidR="0050196F" w:rsidRPr="00354C86" w:rsidRDefault="0050196F" w:rsidP="00D02912">
            <w:pPr>
              <w:pStyle w:val="ARfintablebodyrightbold"/>
              <w:rPr>
                <w:highlight w:val="cyan"/>
              </w:rPr>
            </w:pPr>
            <w:r w:rsidRPr="00902A30">
              <w:t>4,925</w:t>
            </w:r>
          </w:p>
        </w:tc>
        <w:tc>
          <w:tcPr>
            <w:tcW w:w="1343" w:type="dxa"/>
            <w:tcBorders>
              <w:bottom w:val="single" w:sz="4" w:space="0" w:color="auto"/>
            </w:tcBorders>
            <w:hideMark/>
          </w:tcPr>
          <w:p w14:paraId="18F3F083" w14:textId="54C23F0C" w:rsidR="0050196F" w:rsidRPr="00354C86" w:rsidRDefault="0050196F" w:rsidP="00D02912">
            <w:pPr>
              <w:pStyle w:val="ARfintablebodyrightbold"/>
              <w:rPr>
                <w:highlight w:val="cyan"/>
              </w:rPr>
            </w:pPr>
            <w:r w:rsidRPr="007322B8">
              <w:t>9.6</w:t>
            </w:r>
          </w:p>
        </w:tc>
        <w:tc>
          <w:tcPr>
            <w:tcW w:w="711" w:type="dxa"/>
            <w:tcBorders>
              <w:bottom w:val="single" w:sz="4" w:space="0" w:color="auto"/>
            </w:tcBorders>
            <w:hideMark/>
          </w:tcPr>
          <w:p w14:paraId="615E854A" w14:textId="77777777" w:rsidR="0050196F" w:rsidRPr="00532DAE" w:rsidRDefault="0050196F" w:rsidP="00D02912">
            <w:pPr>
              <w:pStyle w:val="ARfintablebodycentre"/>
            </w:pPr>
          </w:p>
        </w:tc>
      </w:tr>
      <w:tr w:rsidR="0050196F" w:rsidRPr="00532DAE" w14:paraId="17E30D8C" w14:textId="77777777">
        <w:trPr>
          <w:cantSplit w:val="0"/>
        </w:trPr>
        <w:tc>
          <w:tcPr>
            <w:tcW w:w="9644" w:type="dxa"/>
            <w:gridSpan w:val="5"/>
            <w:tcBorders>
              <w:top w:val="single" w:sz="4" w:space="0" w:color="auto"/>
              <w:bottom w:val="single" w:sz="4" w:space="0" w:color="7F7F7F" w:themeColor="text1" w:themeTint="80"/>
            </w:tcBorders>
          </w:tcPr>
          <w:p w14:paraId="78CAD1E4" w14:textId="77777777" w:rsidR="0050196F" w:rsidRPr="0047166F" w:rsidRDefault="0050196F" w:rsidP="00D02912">
            <w:pPr>
              <w:pStyle w:val="ARfintablebodybold"/>
            </w:pPr>
            <w:r w:rsidRPr="0047166F">
              <w:t>Expenses from transactions</w:t>
            </w:r>
          </w:p>
        </w:tc>
      </w:tr>
      <w:tr w:rsidR="0050196F" w:rsidRPr="00532DAE" w14:paraId="63F807AE" w14:textId="77777777">
        <w:trPr>
          <w:cantSplit w:val="0"/>
        </w:trPr>
        <w:tc>
          <w:tcPr>
            <w:tcW w:w="5538" w:type="dxa"/>
            <w:tcBorders>
              <w:top w:val="single" w:sz="4" w:space="0" w:color="7F7F7F" w:themeColor="text1" w:themeTint="80"/>
              <w:bottom w:val="single" w:sz="4" w:space="0" w:color="A6A6A6"/>
            </w:tcBorders>
            <w:hideMark/>
          </w:tcPr>
          <w:p w14:paraId="7C8B65AF" w14:textId="77777777" w:rsidR="0050196F" w:rsidRPr="00532DAE" w:rsidRDefault="0050196F" w:rsidP="00D02912">
            <w:pPr>
              <w:pStyle w:val="ARfintablebody"/>
            </w:pPr>
            <w:r w:rsidRPr="00532DAE">
              <w:t>Employee benefits</w:t>
            </w:r>
          </w:p>
        </w:tc>
        <w:tc>
          <w:tcPr>
            <w:tcW w:w="944" w:type="dxa"/>
            <w:tcBorders>
              <w:top w:val="single" w:sz="4" w:space="0" w:color="7F7F7F" w:themeColor="text1" w:themeTint="80"/>
              <w:bottom w:val="single" w:sz="4" w:space="0" w:color="A6A6A6"/>
            </w:tcBorders>
            <w:hideMark/>
          </w:tcPr>
          <w:p w14:paraId="0AC8E2C3" w14:textId="11111002" w:rsidR="0050196F" w:rsidRPr="00354C86" w:rsidRDefault="0050196F" w:rsidP="00D02912">
            <w:pPr>
              <w:pStyle w:val="ARfintablebodyright"/>
              <w:rPr>
                <w:highlight w:val="cyan"/>
              </w:rPr>
            </w:pPr>
            <w:r w:rsidRPr="00243B9B">
              <w:t>805</w:t>
            </w:r>
          </w:p>
        </w:tc>
        <w:tc>
          <w:tcPr>
            <w:tcW w:w="1106" w:type="dxa"/>
            <w:tcBorders>
              <w:top w:val="single" w:sz="4" w:space="0" w:color="7F7F7F" w:themeColor="text1" w:themeTint="80"/>
              <w:bottom w:val="single" w:sz="4" w:space="0" w:color="A6A6A6"/>
            </w:tcBorders>
            <w:hideMark/>
          </w:tcPr>
          <w:p w14:paraId="57B013CD" w14:textId="4C3F89D9" w:rsidR="0050196F" w:rsidRPr="00354C86" w:rsidRDefault="0050196F" w:rsidP="00D02912">
            <w:pPr>
              <w:pStyle w:val="ARfintablebodyright"/>
              <w:rPr>
                <w:highlight w:val="cyan"/>
              </w:rPr>
            </w:pPr>
            <w:r w:rsidRPr="00341890">
              <w:t>718</w:t>
            </w:r>
          </w:p>
        </w:tc>
        <w:tc>
          <w:tcPr>
            <w:tcW w:w="1343" w:type="dxa"/>
            <w:tcBorders>
              <w:top w:val="single" w:sz="4" w:space="0" w:color="7F7F7F" w:themeColor="text1" w:themeTint="80"/>
              <w:bottom w:val="single" w:sz="4" w:space="0" w:color="A6A6A6"/>
            </w:tcBorders>
            <w:hideMark/>
          </w:tcPr>
          <w:p w14:paraId="18F48BD2" w14:textId="321380E0" w:rsidR="0050196F" w:rsidRPr="00354C86" w:rsidRDefault="0050196F" w:rsidP="00D02912">
            <w:pPr>
              <w:pStyle w:val="ARfintablebodyright"/>
              <w:rPr>
                <w:highlight w:val="cyan"/>
              </w:rPr>
            </w:pPr>
            <w:r w:rsidRPr="00CC2776">
              <w:t>12.1</w:t>
            </w:r>
          </w:p>
        </w:tc>
        <w:tc>
          <w:tcPr>
            <w:tcW w:w="711" w:type="dxa"/>
            <w:tcBorders>
              <w:top w:val="single" w:sz="4" w:space="0" w:color="7F7F7F" w:themeColor="text1" w:themeTint="80"/>
              <w:bottom w:val="single" w:sz="4" w:space="0" w:color="A6A6A6"/>
            </w:tcBorders>
            <w:hideMark/>
          </w:tcPr>
          <w:p w14:paraId="78A4C3CA" w14:textId="77777777" w:rsidR="0050196F" w:rsidRPr="007C7216" w:rsidRDefault="0050196F" w:rsidP="00D02912">
            <w:pPr>
              <w:pStyle w:val="ARfintablebodycentre"/>
              <w:rPr>
                <w:vertAlign w:val="superscript"/>
              </w:rPr>
            </w:pPr>
            <w:r w:rsidRPr="007C7216">
              <w:rPr>
                <w:vertAlign w:val="superscript"/>
              </w:rPr>
              <w:t>(b)</w:t>
            </w:r>
          </w:p>
        </w:tc>
      </w:tr>
      <w:tr w:rsidR="0050196F" w:rsidRPr="00532DAE" w14:paraId="449847CD" w14:textId="77777777">
        <w:trPr>
          <w:cantSplit w:val="0"/>
        </w:trPr>
        <w:tc>
          <w:tcPr>
            <w:tcW w:w="5538" w:type="dxa"/>
            <w:tcBorders>
              <w:top w:val="single" w:sz="4" w:space="0" w:color="A6A6A6"/>
              <w:bottom w:val="single" w:sz="4" w:space="0" w:color="A6A6A6"/>
            </w:tcBorders>
            <w:hideMark/>
          </w:tcPr>
          <w:p w14:paraId="3D4B7C3F" w14:textId="77777777" w:rsidR="0050196F" w:rsidRPr="00532DAE" w:rsidRDefault="0050196F" w:rsidP="00D02912">
            <w:pPr>
              <w:pStyle w:val="ARfintablebody"/>
            </w:pPr>
            <w:r w:rsidRPr="00532DAE">
              <w:t>Depreciation</w:t>
            </w:r>
          </w:p>
        </w:tc>
        <w:tc>
          <w:tcPr>
            <w:tcW w:w="944" w:type="dxa"/>
            <w:tcBorders>
              <w:top w:val="single" w:sz="4" w:space="0" w:color="A6A6A6"/>
              <w:bottom w:val="single" w:sz="4" w:space="0" w:color="A6A6A6"/>
            </w:tcBorders>
            <w:hideMark/>
          </w:tcPr>
          <w:p w14:paraId="13EA5528" w14:textId="13F1622F" w:rsidR="0050196F" w:rsidRPr="00354C86" w:rsidRDefault="0050196F" w:rsidP="00D02912">
            <w:pPr>
              <w:pStyle w:val="ARfintablebodyright"/>
              <w:rPr>
                <w:highlight w:val="cyan"/>
              </w:rPr>
            </w:pPr>
            <w:r w:rsidRPr="00243B9B">
              <w:t>43</w:t>
            </w:r>
          </w:p>
        </w:tc>
        <w:tc>
          <w:tcPr>
            <w:tcW w:w="1106" w:type="dxa"/>
            <w:tcBorders>
              <w:top w:val="single" w:sz="4" w:space="0" w:color="A6A6A6"/>
              <w:bottom w:val="single" w:sz="4" w:space="0" w:color="A6A6A6"/>
            </w:tcBorders>
            <w:hideMark/>
          </w:tcPr>
          <w:p w14:paraId="1FD191F6" w14:textId="5C957D0E" w:rsidR="0050196F" w:rsidRPr="00354C86" w:rsidRDefault="0050196F" w:rsidP="00D02912">
            <w:pPr>
              <w:pStyle w:val="ARfintablebodyright"/>
              <w:rPr>
                <w:highlight w:val="cyan"/>
              </w:rPr>
            </w:pPr>
            <w:r w:rsidRPr="00341890">
              <w:t>49</w:t>
            </w:r>
          </w:p>
        </w:tc>
        <w:tc>
          <w:tcPr>
            <w:tcW w:w="1343" w:type="dxa"/>
            <w:tcBorders>
              <w:top w:val="single" w:sz="4" w:space="0" w:color="A6A6A6"/>
              <w:bottom w:val="single" w:sz="4" w:space="0" w:color="A6A6A6"/>
            </w:tcBorders>
            <w:hideMark/>
          </w:tcPr>
          <w:p w14:paraId="45D94735" w14:textId="6DEB6EE1" w:rsidR="0050196F" w:rsidRPr="00354C86" w:rsidRDefault="0050196F" w:rsidP="00D02912">
            <w:pPr>
              <w:pStyle w:val="ARfintablebodyright"/>
              <w:rPr>
                <w:highlight w:val="cyan"/>
              </w:rPr>
            </w:pPr>
            <w:r w:rsidRPr="00CC2776">
              <w:t>(12.3)</w:t>
            </w:r>
          </w:p>
        </w:tc>
        <w:tc>
          <w:tcPr>
            <w:tcW w:w="711" w:type="dxa"/>
            <w:tcBorders>
              <w:top w:val="single" w:sz="4" w:space="0" w:color="A6A6A6"/>
              <w:bottom w:val="single" w:sz="4" w:space="0" w:color="A6A6A6"/>
            </w:tcBorders>
            <w:hideMark/>
          </w:tcPr>
          <w:p w14:paraId="3B8DA8FA" w14:textId="77777777" w:rsidR="0050196F" w:rsidRPr="00532DAE" w:rsidRDefault="0050196F" w:rsidP="00D02912">
            <w:pPr>
              <w:pStyle w:val="ARfintablebodycentre"/>
            </w:pPr>
          </w:p>
        </w:tc>
      </w:tr>
      <w:tr w:rsidR="0050196F" w:rsidRPr="00532DAE" w14:paraId="354D1DFF" w14:textId="77777777">
        <w:trPr>
          <w:cantSplit w:val="0"/>
        </w:trPr>
        <w:tc>
          <w:tcPr>
            <w:tcW w:w="5538" w:type="dxa"/>
            <w:tcBorders>
              <w:top w:val="single" w:sz="4" w:space="0" w:color="A6A6A6"/>
              <w:bottom w:val="single" w:sz="4" w:space="0" w:color="A6A6A6"/>
            </w:tcBorders>
            <w:hideMark/>
          </w:tcPr>
          <w:p w14:paraId="21075A2B" w14:textId="77777777" w:rsidR="0050196F" w:rsidRPr="00532DAE" w:rsidRDefault="0050196F" w:rsidP="00D02912">
            <w:pPr>
              <w:pStyle w:val="ARfintablebody"/>
            </w:pPr>
            <w:r w:rsidRPr="00532DAE">
              <w:t>Interest expense</w:t>
            </w:r>
          </w:p>
        </w:tc>
        <w:tc>
          <w:tcPr>
            <w:tcW w:w="944" w:type="dxa"/>
            <w:tcBorders>
              <w:top w:val="single" w:sz="4" w:space="0" w:color="A6A6A6"/>
              <w:bottom w:val="single" w:sz="4" w:space="0" w:color="A6A6A6"/>
            </w:tcBorders>
            <w:hideMark/>
          </w:tcPr>
          <w:p w14:paraId="321ADD2B" w14:textId="18E7595F" w:rsidR="0050196F" w:rsidRPr="00354C86" w:rsidRDefault="0050196F" w:rsidP="00D02912">
            <w:pPr>
              <w:pStyle w:val="ARfintablebodyright"/>
              <w:rPr>
                <w:highlight w:val="cyan"/>
              </w:rPr>
            </w:pPr>
            <w:r w:rsidRPr="00243B9B">
              <w:t>0</w:t>
            </w:r>
          </w:p>
        </w:tc>
        <w:tc>
          <w:tcPr>
            <w:tcW w:w="1106" w:type="dxa"/>
            <w:tcBorders>
              <w:top w:val="single" w:sz="4" w:space="0" w:color="A6A6A6"/>
              <w:bottom w:val="single" w:sz="4" w:space="0" w:color="A6A6A6"/>
            </w:tcBorders>
            <w:hideMark/>
          </w:tcPr>
          <w:p w14:paraId="4BA38147" w14:textId="36D4D84E" w:rsidR="0050196F" w:rsidRPr="00354C86" w:rsidRDefault="0050196F" w:rsidP="00D02912">
            <w:pPr>
              <w:pStyle w:val="ARfintablebodyright"/>
              <w:rPr>
                <w:highlight w:val="cyan"/>
              </w:rPr>
            </w:pPr>
            <w:r w:rsidRPr="00341890">
              <w:t>3</w:t>
            </w:r>
          </w:p>
        </w:tc>
        <w:tc>
          <w:tcPr>
            <w:tcW w:w="1343" w:type="dxa"/>
            <w:tcBorders>
              <w:top w:val="single" w:sz="4" w:space="0" w:color="A6A6A6"/>
              <w:bottom w:val="single" w:sz="4" w:space="0" w:color="A6A6A6"/>
            </w:tcBorders>
            <w:hideMark/>
          </w:tcPr>
          <w:p w14:paraId="5AA365A5" w14:textId="1E7AF4FD" w:rsidR="0050196F" w:rsidRPr="00354C86" w:rsidRDefault="0050196F" w:rsidP="00D02912">
            <w:pPr>
              <w:pStyle w:val="ARfintablebodyright"/>
              <w:rPr>
                <w:highlight w:val="cyan"/>
              </w:rPr>
            </w:pPr>
            <w:r w:rsidRPr="00CC2776">
              <w:t>(86.4)</w:t>
            </w:r>
          </w:p>
        </w:tc>
        <w:tc>
          <w:tcPr>
            <w:tcW w:w="711" w:type="dxa"/>
            <w:tcBorders>
              <w:top w:val="single" w:sz="4" w:space="0" w:color="A6A6A6"/>
              <w:bottom w:val="single" w:sz="4" w:space="0" w:color="A6A6A6"/>
            </w:tcBorders>
            <w:hideMark/>
          </w:tcPr>
          <w:p w14:paraId="497F5783" w14:textId="77777777" w:rsidR="0050196F" w:rsidRPr="00532DAE" w:rsidRDefault="0050196F" w:rsidP="00D02912">
            <w:pPr>
              <w:pStyle w:val="ARfintablebodycentre"/>
            </w:pPr>
          </w:p>
        </w:tc>
      </w:tr>
      <w:tr w:rsidR="0050196F" w:rsidRPr="00532DAE" w14:paraId="4F2FD27A" w14:textId="77777777">
        <w:trPr>
          <w:cantSplit w:val="0"/>
        </w:trPr>
        <w:tc>
          <w:tcPr>
            <w:tcW w:w="5538" w:type="dxa"/>
            <w:tcBorders>
              <w:top w:val="single" w:sz="4" w:space="0" w:color="A6A6A6"/>
              <w:bottom w:val="single" w:sz="4" w:space="0" w:color="A6A6A6"/>
            </w:tcBorders>
            <w:hideMark/>
          </w:tcPr>
          <w:p w14:paraId="6A849E92" w14:textId="77777777" w:rsidR="0050196F" w:rsidRPr="00532DAE" w:rsidRDefault="0050196F" w:rsidP="00D02912">
            <w:pPr>
              <w:pStyle w:val="ARfintablebody"/>
            </w:pPr>
            <w:r w:rsidRPr="00532DAE">
              <w:t>Grants and other transfers</w:t>
            </w:r>
          </w:p>
        </w:tc>
        <w:tc>
          <w:tcPr>
            <w:tcW w:w="944" w:type="dxa"/>
            <w:tcBorders>
              <w:top w:val="single" w:sz="4" w:space="0" w:color="A6A6A6"/>
              <w:bottom w:val="single" w:sz="4" w:space="0" w:color="A6A6A6"/>
            </w:tcBorders>
            <w:hideMark/>
          </w:tcPr>
          <w:p w14:paraId="7CC42632" w14:textId="452EAE73" w:rsidR="0050196F" w:rsidRPr="00354C86" w:rsidRDefault="0050196F" w:rsidP="00D02912">
            <w:pPr>
              <w:pStyle w:val="ARfintablebodyright"/>
              <w:rPr>
                <w:highlight w:val="cyan"/>
              </w:rPr>
            </w:pPr>
            <w:r w:rsidRPr="00243B9B">
              <w:t>1,152</w:t>
            </w:r>
          </w:p>
        </w:tc>
        <w:tc>
          <w:tcPr>
            <w:tcW w:w="1106" w:type="dxa"/>
            <w:tcBorders>
              <w:top w:val="single" w:sz="4" w:space="0" w:color="A6A6A6"/>
              <w:bottom w:val="single" w:sz="4" w:space="0" w:color="A6A6A6"/>
            </w:tcBorders>
            <w:hideMark/>
          </w:tcPr>
          <w:p w14:paraId="0BFA403B" w14:textId="062FFF5E" w:rsidR="0050196F" w:rsidRPr="00354C86" w:rsidRDefault="0050196F" w:rsidP="00D02912">
            <w:pPr>
              <w:pStyle w:val="ARfintablebodyright"/>
              <w:rPr>
                <w:highlight w:val="cyan"/>
              </w:rPr>
            </w:pPr>
            <w:r w:rsidRPr="00341890">
              <w:t>1,248</w:t>
            </w:r>
          </w:p>
        </w:tc>
        <w:tc>
          <w:tcPr>
            <w:tcW w:w="1343" w:type="dxa"/>
            <w:tcBorders>
              <w:top w:val="single" w:sz="4" w:space="0" w:color="A6A6A6"/>
              <w:bottom w:val="single" w:sz="4" w:space="0" w:color="A6A6A6"/>
            </w:tcBorders>
            <w:hideMark/>
          </w:tcPr>
          <w:p w14:paraId="1A7ED8D9" w14:textId="7A646F05" w:rsidR="0050196F" w:rsidRPr="00354C86" w:rsidRDefault="0050196F" w:rsidP="00D02912">
            <w:pPr>
              <w:pStyle w:val="ARfintablebodyright"/>
              <w:rPr>
                <w:highlight w:val="cyan"/>
              </w:rPr>
            </w:pPr>
            <w:r w:rsidRPr="00CC2776">
              <w:t>(7.7)</w:t>
            </w:r>
          </w:p>
        </w:tc>
        <w:tc>
          <w:tcPr>
            <w:tcW w:w="711" w:type="dxa"/>
            <w:tcBorders>
              <w:top w:val="single" w:sz="4" w:space="0" w:color="A6A6A6"/>
              <w:bottom w:val="single" w:sz="4" w:space="0" w:color="A6A6A6"/>
            </w:tcBorders>
            <w:hideMark/>
          </w:tcPr>
          <w:p w14:paraId="0F51C644" w14:textId="77777777" w:rsidR="0050196F" w:rsidRPr="00532DAE" w:rsidRDefault="0050196F" w:rsidP="00D02912">
            <w:pPr>
              <w:pStyle w:val="ARfintablebodycentre"/>
            </w:pPr>
          </w:p>
        </w:tc>
      </w:tr>
      <w:tr w:rsidR="0050196F" w:rsidRPr="00532DAE" w14:paraId="0BC93F90" w14:textId="77777777">
        <w:trPr>
          <w:cantSplit w:val="0"/>
        </w:trPr>
        <w:tc>
          <w:tcPr>
            <w:tcW w:w="5538" w:type="dxa"/>
            <w:tcBorders>
              <w:top w:val="single" w:sz="4" w:space="0" w:color="A6A6A6"/>
            </w:tcBorders>
            <w:hideMark/>
          </w:tcPr>
          <w:p w14:paraId="78AA7FDD" w14:textId="77777777" w:rsidR="0050196F" w:rsidRPr="00532DAE" w:rsidRDefault="0050196F" w:rsidP="00D02912">
            <w:pPr>
              <w:pStyle w:val="ARfintablebody"/>
            </w:pPr>
            <w:r w:rsidRPr="00532DAE">
              <w:t>Other operating expenses</w:t>
            </w:r>
          </w:p>
        </w:tc>
        <w:tc>
          <w:tcPr>
            <w:tcW w:w="944" w:type="dxa"/>
            <w:tcBorders>
              <w:top w:val="single" w:sz="4" w:space="0" w:color="A6A6A6"/>
            </w:tcBorders>
            <w:hideMark/>
          </w:tcPr>
          <w:p w14:paraId="3FF8308E" w14:textId="070D3327" w:rsidR="0050196F" w:rsidRPr="00354C86" w:rsidRDefault="0050196F" w:rsidP="00D02912">
            <w:pPr>
              <w:pStyle w:val="ARfintablebodyright"/>
              <w:rPr>
                <w:highlight w:val="cyan"/>
              </w:rPr>
            </w:pPr>
            <w:r w:rsidRPr="00243B9B">
              <w:t>3,591</w:t>
            </w:r>
          </w:p>
        </w:tc>
        <w:tc>
          <w:tcPr>
            <w:tcW w:w="1106" w:type="dxa"/>
            <w:tcBorders>
              <w:top w:val="single" w:sz="4" w:space="0" w:color="A6A6A6"/>
            </w:tcBorders>
            <w:hideMark/>
          </w:tcPr>
          <w:p w14:paraId="2F6B8763" w14:textId="08AFFCC9" w:rsidR="0050196F" w:rsidRPr="00354C86" w:rsidRDefault="0050196F" w:rsidP="00D02912">
            <w:pPr>
              <w:pStyle w:val="ARfintablebodyright"/>
              <w:rPr>
                <w:highlight w:val="cyan"/>
              </w:rPr>
            </w:pPr>
            <w:r w:rsidRPr="00341890">
              <w:t>2,920</w:t>
            </w:r>
          </w:p>
        </w:tc>
        <w:tc>
          <w:tcPr>
            <w:tcW w:w="1343" w:type="dxa"/>
            <w:tcBorders>
              <w:top w:val="single" w:sz="4" w:space="0" w:color="A6A6A6"/>
            </w:tcBorders>
            <w:hideMark/>
          </w:tcPr>
          <w:p w14:paraId="4B35A599" w14:textId="1A29A7C2" w:rsidR="0050196F" w:rsidRPr="00354C86" w:rsidRDefault="0050196F" w:rsidP="00D02912">
            <w:pPr>
              <w:pStyle w:val="ARfintablebodyright"/>
              <w:rPr>
                <w:highlight w:val="cyan"/>
              </w:rPr>
            </w:pPr>
            <w:r w:rsidRPr="00CC2776">
              <w:t>23.0</w:t>
            </w:r>
          </w:p>
        </w:tc>
        <w:tc>
          <w:tcPr>
            <w:tcW w:w="711" w:type="dxa"/>
            <w:tcBorders>
              <w:top w:val="single" w:sz="4" w:space="0" w:color="A6A6A6"/>
            </w:tcBorders>
            <w:hideMark/>
          </w:tcPr>
          <w:p w14:paraId="641EC71B" w14:textId="77777777" w:rsidR="0050196F" w:rsidRPr="007C7216" w:rsidRDefault="0050196F" w:rsidP="00D02912">
            <w:pPr>
              <w:pStyle w:val="ARfintablebodycentre"/>
              <w:rPr>
                <w:vertAlign w:val="superscript"/>
              </w:rPr>
            </w:pPr>
            <w:r w:rsidRPr="007C7216">
              <w:rPr>
                <w:vertAlign w:val="superscript"/>
              </w:rPr>
              <w:t>(c)</w:t>
            </w:r>
          </w:p>
        </w:tc>
      </w:tr>
      <w:tr w:rsidR="0050196F" w:rsidRPr="00532DAE" w14:paraId="055F0733" w14:textId="77777777">
        <w:trPr>
          <w:cantSplit w:val="0"/>
        </w:trPr>
        <w:tc>
          <w:tcPr>
            <w:tcW w:w="5538" w:type="dxa"/>
            <w:hideMark/>
          </w:tcPr>
          <w:p w14:paraId="4298283E" w14:textId="77777777" w:rsidR="0050196F" w:rsidRPr="00532DAE" w:rsidRDefault="0050196F" w:rsidP="00D02912">
            <w:pPr>
              <w:pStyle w:val="ARfintablebodybold"/>
            </w:pPr>
            <w:r w:rsidRPr="00532DAE">
              <w:t>Total expenses from transactions</w:t>
            </w:r>
          </w:p>
        </w:tc>
        <w:tc>
          <w:tcPr>
            <w:tcW w:w="944" w:type="dxa"/>
            <w:hideMark/>
          </w:tcPr>
          <w:p w14:paraId="624C9D73" w14:textId="158C6A1D" w:rsidR="0050196F" w:rsidRPr="00354C86" w:rsidRDefault="0050196F" w:rsidP="00D02912">
            <w:pPr>
              <w:pStyle w:val="ARfintablebodyrightbold"/>
              <w:rPr>
                <w:highlight w:val="cyan"/>
              </w:rPr>
            </w:pPr>
            <w:r w:rsidRPr="00243B9B">
              <w:t>5,590</w:t>
            </w:r>
          </w:p>
        </w:tc>
        <w:tc>
          <w:tcPr>
            <w:tcW w:w="1106" w:type="dxa"/>
            <w:hideMark/>
          </w:tcPr>
          <w:p w14:paraId="30413732" w14:textId="261FDCE4" w:rsidR="0050196F" w:rsidRPr="00354C86" w:rsidRDefault="0050196F" w:rsidP="00D02912">
            <w:pPr>
              <w:pStyle w:val="ARfintablebodyrightbold"/>
              <w:rPr>
                <w:highlight w:val="cyan"/>
              </w:rPr>
            </w:pPr>
            <w:r w:rsidRPr="00341890">
              <w:t>4,937</w:t>
            </w:r>
          </w:p>
        </w:tc>
        <w:tc>
          <w:tcPr>
            <w:tcW w:w="1343" w:type="dxa"/>
            <w:hideMark/>
          </w:tcPr>
          <w:p w14:paraId="50EF3AA7" w14:textId="0982B880" w:rsidR="0050196F" w:rsidRPr="00354C86" w:rsidRDefault="0050196F" w:rsidP="00D02912">
            <w:pPr>
              <w:pStyle w:val="ARfintablebodyrightbold"/>
              <w:rPr>
                <w:highlight w:val="cyan"/>
              </w:rPr>
            </w:pPr>
            <w:r w:rsidRPr="00CC2776">
              <w:t>13.2</w:t>
            </w:r>
          </w:p>
        </w:tc>
        <w:tc>
          <w:tcPr>
            <w:tcW w:w="711" w:type="dxa"/>
            <w:hideMark/>
          </w:tcPr>
          <w:p w14:paraId="04A9E912" w14:textId="77777777" w:rsidR="0050196F" w:rsidRPr="00532DAE" w:rsidRDefault="0050196F" w:rsidP="00D02912">
            <w:pPr>
              <w:pStyle w:val="ARfintablebodycentre"/>
            </w:pPr>
          </w:p>
        </w:tc>
      </w:tr>
      <w:tr w:rsidR="0050196F" w:rsidRPr="00532DAE" w14:paraId="4F0013C2" w14:textId="77777777">
        <w:trPr>
          <w:cantSplit w:val="0"/>
        </w:trPr>
        <w:tc>
          <w:tcPr>
            <w:tcW w:w="5538" w:type="dxa"/>
            <w:tcBorders>
              <w:bottom w:val="single" w:sz="4" w:space="0" w:color="auto"/>
            </w:tcBorders>
            <w:hideMark/>
          </w:tcPr>
          <w:p w14:paraId="29A3D0B9" w14:textId="77777777" w:rsidR="0050196F" w:rsidRPr="00532DAE" w:rsidRDefault="0050196F" w:rsidP="00D02912">
            <w:pPr>
              <w:pStyle w:val="ARfintablebodybold"/>
            </w:pPr>
            <w:r w:rsidRPr="00532DAE">
              <w:t>Net result from transactions (net operating balance)</w:t>
            </w:r>
          </w:p>
        </w:tc>
        <w:tc>
          <w:tcPr>
            <w:tcW w:w="944" w:type="dxa"/>
            <w:tcBorders>
              <w:bottom w:val="single" w:sz="4" w:space="0" w:color="auto"/>
            </w:tcBorders>
            <w:hideMark/>
          </w:tcPr>
          <w:p w14:paraId="0C8B0E98" w14:textId="76ECCA62" w:rsidR="0050196F" w:rsidRPr="00354C86" w:rsidRDefault="0050196F" w:rsidP="00D02912">
            <w:pPr>
              <w:pStyle w:val="ARfintablebodyrightbold"/>
              <w:rPr>
                <w:highlight w:val="cyan"/>
              </w:rPr>
            </w:pPr>
            <w:r w:rsidRPr="00243B9B">
              <w:t>(192)</w:t>
            </w:r>
          </w:p>
        </w:tc>
        <w:tc>
          <w:tcPr>
            <w:tcW w:w="1106" w:type="dxa"/>
            <w:tcBorders>
              <w:bottom w:val="single" w:sz="4" w:space="0" w:color="auto"/>
            </w:tcBorders>
            <w:hideMark/>
          </w:tcPr>
          <w:p w14:paraId="4DBB9856" w14:textId="751D012B" w:rsidR="0050196F" w:rsidRPr="00354C86" w:rsidRDefault="0050196F" w:rsidP="00D02912">
            <w:pPr>
              <w:pStyle w:val="ARfintablebodyrightbold"/>
              <w:rPr>
                <w:highlight w:val="cyan"/>
              </w:rPr>
            </w:pPr>
            <w:r w:rsidRPr="00341890">
              <w:t>(12)</w:t>
            </w:r>
          </w:p>
        </w:tc>
        <w:tc>
          <w:tcPr>
            <w:tcW w:w="1343" w:type="dxa"/>
            <w:tcBorders>
              <w:bottom w:val="single" w:sz="4" w:space="0" w:color="auto"/>
            </w:tcBorders>
            <w:hideMark/>
          </w:tcPr>
          <w:p w14:paraId="30D00125" w14:textId="6D71A9D5" w:rsidR="0050196F" w:rsidRPr="00354C86" w:rsidRDefault="0050196F" w:rsidP="00D02912">
            <w:pPr>
              <w:pStyle w:val="ARfintablebodyrightbold"/>
              <w:rPr>
                <w:highlight w:val="cyan"/>
              </w:rPr>
            </w:pPr>
            <w:r w:rsidRPr="00CC2776">
              <w:t>1,486.2</w:t>
            </w:r>
          </w:p>
        </w:tc>
        <w:tc>
          <w:tcPr>
            <w:tcW w:w="711" w:type="dxa"/>
            <w:tcBorders>
              <w:bottom w:val="single" w:sz="4" w:space="0" w:color="auto"/>
            </w:tcBorders>
            <w:hideMark/>
          </w:tcPr>
          <w:p w14:paraId="36C8C37B" w14:textId="77777777" w:rsidR="0050196F" w:rsidRPr="00532DAE" w:rsidRDefault="0050196F" w:rsidP="00D02912">
            <w:pPr>
              <w:pStyle w:val="ARfintablebodycentre"/>
            </w:pPr>
          </w:p>
        </w:tc>
      </w:tr>
      <w:tr w:rsidR="0050196F" w:rsidRPr="00532DAE" w14:paraId="75FE4A3F" w14:textId="77777777">
        <w:trPr>
          <w:cantSplit w:val="0"/>
        </w:trPr>
        <w:tc>
          <w:tcPr>
            <w:tcW w:w="9644" w:type="dxa"/>
            <w:gridSpan w:val="5"/>
            <w:tcBorders>
              <w:top w:val="single" w:sz="4" w:space="0" w:color="auto"/>
              <w:bottom w:val="dotted" w:sz="4" w:space="0" w:color="auto"/>
            </w:tcBorders>
          </w:tcPr>
          <w:p w14:paraId="5102DDA8" w14:textId="77777777" w:rsidR="0050196F" w:rsidRPr="000469D9" w:rsidRDefault="0050196F" w:rsidP="00D02912">
            <w:pPr>
              <w:pStyle w:val="ARfintablebodycentre"/>
              <w:jc w:val="left"/>
              <w:rPr>
                <w:b/>
              </w:rPr>
            </w:pPr>
            <w:r w:rsidRPr="000469D9">
              <w:rPr>
                <w:b/>
                <w:bCs/>
              </w:rPr>
              <w:t>Other economic flows included in net result</w:t>
            </w:r>
          </w:p>
        </w:tc>
      </w:tr>
      <w:tr w:rsidR="0050196F" w:rsidRPr="00532DAE" w14:paraId="7CF590CE" w14:textId="77777777">
        <w:trPr>
          <w:cantSplit w:val="0"/>
        </w:trPr>
        <w:tc>
          <w:tcPr>
            <w:tcW w:w="5538" w:type="dxa"/>
            <w:tcBorders>
              <w:top w:val="dotted" w:sz="4" w:space="0" w:color="auto"/>
              <w:bottom w:val="single" w:sz="4" w:space="0" w:color="A6A6A6"/>
            </w:tcBorders>
            <w:hideMark/>
          </w:tcPr>
          <w:p w14:paraId="37735962" w14:textId="77777777" w:rsidR="0050196F" w:rsidRPr="00532DAE" w:rsidRDefault="0050196F" w:rsidP="00D02912">
            <w:pPr>
              <w:pStyle w:val="ARfintablebody"/>
            </w:pPr>
            <w:r w:rsidRPr="00532DAE">
              <w:t>Net gain/(loss) on non-financial assets</w:t>
            </w:r>
          </w:p>
        </w:tc>
        <w:tc>
          <w:tcPr>
            <w:tcW w:w="944" w:type="dxa"/>
            <w:tcBorders>
              <w:top w:val="dotted" w:sz="4" w:space="0" w:color="auto"/>
              <w:bottom w:val="single" w:sz="4" w:space="0" w:color="A6A6A6"/>
            </w:tcBorders>
            <w:hideMark/>
          </w:tcPr>
          <w:p w14:paraId="5F38E03D" w14:textId="10A691CC" w:rsidR="0050196F" w:rsidRPr="00354C86" w:rsidRDefault="0050196F" w:rsidP="00D02912">
            <w:pPr>
              <w:pStyle w:val="ARfintablebodyright"/>
              <w:rPr>
                <w:highlight w:val="cyan"/>
              </w:rPr>
            </w:pPr>
            <w:r w:rsidRPr="00780911">
              <w:t>6</w:t>
            </w:r>
          </w:p>
        </w:tc>
        <w:tc>
          <w:tcPr>
            <w:tcW w:w="1106" w:type="dxa"/>
            <w:tcBorders>
              <w:top w:val="dotted" w:sz="4" w:space="0" w:color="auto"/>
              <w:bottom w:val="single" w:sz="4" w:space="0" w:color="A6A6A6"/>
            </w:tcBorders>
            <w:hideMark/>
          </w:tcPr>
          <w:p w14:paraId="23FF639F" w14:textId="77777777" w:rsidR="0050196F" w:rsidRPr="001D1BAA" w:rsidRDefault="0050196F" w:rsidP="00D02912">
            <w:pPr>
              <w:pStyle w:val="ARfintablebodyright"/>
            </w:pPr>
            <w:r w:rsidRPr="001D1BAA">
              <w:t>(4)</w:t>
            </w:r>
          </w:p>
        </w:tc>
        <w:tc>
          <w:tcPr>
            <w:tcW w:w="1343" w:type="dxa"/>
            <w:tcBorders>
              <w:top w:val="dotted" w:sz="4" w:space="0" w:color="auto"/>
              <w:bottom w:val="single" w:sz="4" w:space="0" w:color="A6A6A6"/>
            </w:tcBorders>
            <w:hideMark/>
          </w:tcPr>
          <w:p w14:paraId="179D8DFA" w14:textId="77777777" w:rsidR="0050196F" w:rsidRPr="001D1BAA" w:rsidRDefault="0050196F" w:rsidP="00D02912">
            <w:pPr>
              <w:pStyle w:val="ARfintablebodyright"/>
            </w:pPr>
            <w:r w:rsidRPr="001D1BAA">
              <w:t>(252.1)</w:t>
            </w:r>
          </w:p>
        </w:tc>
        <w:tc>
          <w:tcPr>
            <w:tcW w:w="711" w:type="dxa"/>
            <w:tcBorders>
              <w:top w:val="dotted" w:sz="4" w:space="0" w:color="auto"/>
              <w:bottom w:val="single" w:sz="4" w:space="0" w:color="A6A6A6"/>
            </w:tcBorders>
            <w:hideMark/>
          </w:tcPr>
          <w:p w14:paraId="125C60AD" w14:textId="77777777" w:rsidR="0050196F" w:rsidRPr="00532DAE" w:rsidRDefault="0050196F" w:rsidP="00D02912">
            <w:pPr>
              <w:pStyle w:val="ARfintablebodycentre"/>
            </w:pPr>
          </w:p>
        </w:tc>
      </w:tr>
      <w:tr w:rsidR="0050196F" w:rsidRPr="00532DAE" w14:paraId="7D922158" w14:textId="77777777">
        <w:trPr>
          <w:cantSplit w:val="0"/>
        </w:trPr>
        <w:tc>
          <w:tcPr>
            <w:tcW w:w="5538" w:type="dxa"/>
            <w:tcBorders>
              <w:top w:val="single" w:sz="4" w:space="0" w:color="A6A6A6"/>
              <w:bottom w:val="single" w:sz="4" w:space="0" w:color="A6A6A6"/>
            </w:tcBorders>
          </w:tcPr>
          <w:p w14:paraId="73C1255F" w14:textId="77777777" w:rsidR="0050196F" w:rsidRPr="00532DAE" w:rsidRDefault="0050196F" w:rsidP="00D02912">
            <w:pPr>
              <w:pStyle w:val="ARfintablebody"/>
            </w:pPr>
            <w:r w:rsidRPr="00532DAE">
              <w:t>Net gain/(loss) on financial instruments and statutory receivables/payables</w:t>
            </w:r>
          </w:p>
        </w:tc>
        <w:tc>
          <w:tcPr>
            <w:tcW w:w="944" w:type="dxa"/>
            <w:tcBorders>
              <w:top w:val="single" w:sz="4" w:space="0" w:color="A6A6A6"/>
              <w:bottom w:val="single" w:sz="4" w:space="0" w:color="A6A6A6"/>
            </w:tcBorders>
          </w:tcPr>
          <w:p w14:paraId="53C39523" w14:textId="2424512E" w:rsidR="0050196F" w:rsidRPr="00354C86" w:rsidRDefault="0050196F" w:rsidP="00D02912">
            <w:pPr>
              <w:pStyle w:val="ARfintablebodyright"/>
              <w:rPr>
                <w:highlight w:val="cyan"/>
              </w:rPr>
            </w:pPr>
            <w:r w:rsidRPr="00780911">
              <w:t>3</w:t>
            </w:r>
          </w:p>
        </w:tc>
        <w:tc>
          <w:tcPr>
            <w:tcW w:w="1106" w:type="dxa"/>
            <w:tcBorders>
              <w:top w:val="single" w:sz="4" w:space="0" w:color="A6A6A6"/>
              <w:bottom w:val="single" w:sz="4" w:space="0" w:color="A6A6A6"/>
            </w:tcBorders>
          </w:tcPr>
          <w:p w14:paraId="113D41A6" w14:textId="77777777" w:rsidR="0050196F" w:rsidRPr="001D1BAA" w:rsidRDefault="0050196F" w:rsidP="00D02912">
            <w:pPr>
              <w:pStyle w:val="ARfintablebodyright"/>
            </w:pPr>
            <w:r w:rsidRPr="001D1BAA">
              <w:t>–</w:t>
            </w:r>
          </w:p>
        </w:tc>
        <w:tc>
          <w:tcPr>
            <w:tcW w:w="1343" w:type="dxa"/>
            <w:tcBorders>
              <w:top w:val="single" w:sz="4" w:space="0" w:color="A6A6A6"/>
              <w:bottom w:val="single" w:sz="4" w:space="0" w:color="A6A6A6"/>
            </w:tcBorders>
          </w:tcPr>
          <w:p w14:paraId="760C404A" w14:textId="77777777" w:rsidR="0050196F" w:rsidRPr="001D1BAA" w:rsidRDefault="0050196F" w:rsidP="00D02912">
            <w:pPr>
              <w:pStyle w:val="ARfintablebodyright"/>
            </w:pPr>
            <w:r w:rsidRPr="001D1BAA">
              <w:t>–</w:t>
            </w:r>
          </w:p>
        </w:tc>
        <w:tc>
          <w:tcPr>
            <w:tcW w:w="711" w:type="dxa"/>
            <w:tcBorders>
              <w:top w:val="single" w:sz="4" w:space="0" w:color="A6A6A6"/>
              <w:bottom w:val="single" w:sz="4" w:space="0" w:color="A6A6A6"/>
            </w:tcBorders>
          </w:tcPr>
          <w:p w14:paraId="4F0B3F8F" w14:textId="77777777" w:rsidR="0050196F" w:rsidRPr="00532DAE" w:rsidRDefault="0050196F" w:rsidP="00D02912">
            <w:pPr>
              <w:pStyle w:val="ARfintablebodycentre"/>
            </w:pPr>
          </w:p>
        </w:tc>
      </w:tr>
      <w:tr w:rsidR="0050196F" w:rsidRPr="00532DAE" w14:paraId="2D25964B" w14:textId="77777777">
        <w:trPr>
          <w:cantSplit w:val="0"/>
        </w:trPr>
        <w:tc>
          <w:tcPr>
            <w:tcW w:w="5538" w:type="dxa"/>
            <w:tcBorders>
              <w:top w:val="single" w:sz="4" w:space="0" w:color="A6A6A6"/>
              <w:bottom w:val="single" w:sz="4" w:space="0" w:color="A6A6A6"/>
            </w:tcBorders>
            <w:hideMark/>
          </w:tcPr>
          <w:p w14:paraId="6A162959" w14:textId="77777777" w:rsidR="0050196F" w:rsidRPr="00532DAE" w:rsidRDefault="0050196F" w:rsidP="00D02912">
            <w:pPr>
              <w:pStyle w:val="ARfintablebody"/>
            </w:pPr>
            <w:r w:rsidRPr="00532DAE">
              <w:t>Other gains/(losses) from other economic flows</w:t>
            </w:r>
          </w:p>
        </w:tc>
        <w:tc>
          <w:tcPr>
            <w:tcW w:w="944" w:type="dxa"/>
            <w:tcBorders>
              <w:top w:val="single" w:sz="4" w:space="0" w:color="A6A6A6"/>
              <w:bottom w:val="single" w:sz="4" w:space="0" w:color="A6A6A6"/>
            </w:tcBorders>
            <w:hideMark/>
          </w:tcPr>
          <w:p w14:paraId="6F3D2940" w14:textId="204B0F61" w:rsidR="0050196F" w:rsidRPr="00354C86" w:rsidRDefault="0050196F" w:rsidP="00D02912">
            <w:pPr>
              <w:pStyle w:val="ARfintablebodyright"/>
              <w:rPr>
                <w:highlight w:val="cyan"/>
              </w:rPr>
            </w:pPr>
            <w:r w:rsidRPr="00780911">
              <w:t>(10)</w:t>
            </w:r>
          </w:p>
        </w:tc>
        <w:tc>
          <w:tcPr>
            <w:tcW w:w="1106" w:type="dxa"/>
            <w:tcBorders>
              <w:top w:val="single" w:sz="4" w:space="0" w:color="A6A6A6"/>
              <w:bottom w:val="single" w:sz="4" w:space="0" w:color="A6A6A6"/>
            </w:tcBorders>
            <w:hideMark/>
          </w:tcPr>
          <w:p w14:paraId="18646800" w14:textId="77777777" w:rsidR="0050196F" w:rsidRPr="001D1BAA" w:rsidRDefault="0050196F" w:rsidP="00D02912">
            <w:pPr>
              <w:pStyle w:val="ARfintablebodyright"/>
            </w:pPr>
            <w:r w:rsidRPr="001D1BAA">
              <w:t>–</w:t>
            </w:r>
          </w:p>
        </w:tc>
        <w:tc>
          <w:tcPr>
            <w:tcW w:w="1343" w:type="dxa"/>
            <w:tcBorders>
              <w:top w:val="single" w:sz="4" w:space="0" w:color="A6A6A6"/>
              <w:bottom w:val="single" w:sz="4" w:space="0" w:color="A6A6A6"/>
            </w:tcBorders>
            <w:hideMark/>
          </w:tcPr>
          <w:p w14:paraId="5EF68344" w14:textId="77777777" w:rsidR="0050196F" w:rsidRPr="001D1BAA" w:rsidRDefault="0050196F" w:rsidP="00D02912">
            <w:pPr>
              <w:pStyle w:val="ARfintablebodyright"/>
            </w:pPr>
            <w:r w:rsidRPr="001D1BAA">
              <w:t>–</w:t>
            </w:r>
          </w:p>
        </w:tc>
        <w:tc>
          <w:tcPr>
            <w:tcW w:w="711" w:type="dxa"/>
            <w:tcBorders>
              <w:top w:val="single" w:sz="4" w:space="0" w:color="A6A6A6"/>
              <w:bottom w:val="single" w:sz="4" w:space="0" w:color="A6A6A6"/>
            </w:tcBorders>
            <w:hideMark/>
          </w:tcPr>
          <w:p w14:paraId="3216BB8B" w14:textId="77777777" w:rsidR="0050196F" w:rsidRPr="00532DAE" w:rsidRDefault="0050196F" w:rsidP="00D02912">
            <w:pPr>
              <w:pStyle w:val="ARfintablebodycentre"/>
            </w:pPr>
          </w:p>
        </w:tc>
      </w:tr>
      <w:tr w:rsidR="0050196F" w:rsidRPr="00532DAE" w14:paraId="3864B720" w14:textId="77777777">
        <w:trPr>
          <w:cantSplit w:val="0"/>
        </w:trPr>
        <w:tc>
          <w:tcPr>
            <w:tcW w:w="5538" w:type="dxa"/>
            <w:hideMark/>
          </w:tcPr>
          <w:p w14:paraId="16038A13" w14:textId="77777777" w:rsidR="0050196F" w:rsidRPr="00532DAE" w:rsidRDefault="0050196F" w:rsidP="00D02912">
            <w:pPr>
              <w:pStyle w:val="ARfintablebodybold"/>
            </w:pPr>
            <w:r w:rsidRPr="00532DAE">
              <w:t>Total other economic flows included in net result</w:t>
            </w:r>
          </w:p>
        </w:tc>
        <w:tc>
          <w:tcPr>
            <w:tcW w:w="944" w:type="dxa"/>
            <w:hideMark/>
          </w:tcPr>
          <w:p w14:paraId="20D4B1AD" w14:textId="3C8D4172" w:rsidR="0050196F" w:rsidRPr="00354C86" w:rsidRDefault="0050196F" w:rsidP="00D02912">
            <w:pPr>
              <w:pStyle w:val="ARfintablebodyrightbold"/>
              <w:rPr>
                <w:highlight w:val="cyan"/>
              </w:rPr>
            </w:pPr>
            <w:r w:rsidRPr="009F0676">
              <w:t>(1)</w:t>
            </w:r>
          </w:p>
        </w:tc>
        <w:tc>
          <w:tcPr>
            <w:tcW w:w="1106" w:type="dxa"/>
            <w:hideMark/>
          </w:tcPr>
          <w:p w14:paraId="1AB10B39" w14:textId="12149001" w:rsidR="0050196F" w:rsidRPr="00354C86" w:rsidRDefault="0050196F" w:rsidP="00D02912">
            <w:pPr>
              <w:pStyle w:val="ARfintablebodyrightbold"/>
              <w:rPr>
                <w:highlight w:val="cyan"/>
              </w:rPr>
            </w:pPr>
            <w:r w:rsidRPr="009960C6">
              <w:t>(4)</w:t>
            </w:r>
          </w:p>
        </w:tc>
        <w:tc>
          <w:tcPr>
            <w:tcW w:w="1343" w:type="dxa"/>
            <w:hideMark/>
          </w:tcPr>
          <w:p w14:paraId="1508473A" w14:textId="39E524D2" w:rsidR="0050196F" w:rsidRPr="00354C86" w:rsidRDefault="0050196F" w:rsidP="00D02912">
            <w:pPr>
              <w:pStyle w:val="ARfintablebodyrightbold"/>
              <w:rPr>
                <w:highlight w:val="cyan"/>
              </w:rPr>
            </w:pPr>
            <w:r w:rsidRPr="009960C6">
              <w:t>(71.9)</w:t>
            </w:r>
          </w:p>
        </w:tc>
        <w:tc>
          <w:tcPr>
            <w:tcW w:w="711" w:type="dxa"/>
            <w:hideMark/>
          </w:tcPr>
          <w:p w14:paraId="79A1346A" w14:textId="77777777" w:rsidR="0050196F" w:rsidRPr="00532DAE" w:rsidRDefault="0050196F" w:rsidP="00D02912">
            <w:pPr>
              <w:pStyle w:val="ARfintablebodycentre"/>
            </w:pPr>
          </w:p>
        </w:tc>
      </w:tr>
      <w:tr w:rsidR="0050196F" w:rsidRPr="00532DAE" w14:paraId="1B3672CD" w14:textId="77777777">
        <w:trPr>
          <w:cantSplit w:val="0"/>
        </w:trPr>
        <w:tc>
          <w:tcPr>
            <w:tcW w:w="5538" w:type="dxa"/>
            <w:tcBorders>
              <w:bottom w:val="single" w:sz="4" w:space="0" w:color="auto"/>
            </w:tcBorders>
            <w:hideMark/>
          </w:tcPr>
          <w:p w14:paraId="0AD220C4" w14:textId="77777777" w:rsidR="0050196F" w:rsidRPr="00532DAE" w:rsidRDefault="0050196F" w:rsidP="00D02912">
            <w:pPr>
              <w:pStyle w:val="ARfintablebodybold"/>
            </w:pPr>
            <w:r w:rsidRPr="00532DAE">
              <w:t>Net result</w:t>
            </w:r>
          </w:p>
        </w:tc>
        <w:tc>
          <w:tcPr>
            <w:tcW w:w="944" w:type="dxa"/>
            <w:tcBorders>
              <w:bottom w:val="single" w:sz="4" w:space="0" w:color="auto"/>
            </w:tcBorders>
            <w:hideMark/>
          </w:tcPr>
          <w:p w14:paraId="3A3FC663" w14:textId="26C25772" w:rsidR="0050196F" w:rsidRPr="00354C86" w:rsidRDefault="0050196F" w:rsidP="00D02912">
            <w:pPr>
              <w:pStyle w:val="ARfintablebodyrightbold"/>
              <w:rPr>
                <w:highlight w:val="cyan"/>
              </w:rPr>
            </w:pPr>
            <w:r w:rsidRPr="009F0676">
              <w:t>(193)</w:t>
            </w:r>
          </w:p>
        </w:tc>
        <w:tc>
          <w:tcPr>
            <w:tcW w:w="1106" w:type="dxa"/>
            <w:tcBorders>
              <w:bottom w:val="single" w:sz="4" w:space="0" w:color="auto"/>
            </w:tcBorders>
            <w:hideMark/>
          </w:tcPr>
          <w:p w14:paraId="3BAA8CDF" w14:textId="08A16B03" w:rsidR="0050196F" w:rsidRPr="00354C86" w:rsidRDefault="0050196F" w:rsidP="00D02912">
            <w:pPr>
              <w:pStyle w:val="ARfintablebodyrightbold"/>
              <w:rPr>
                <w:highlight w:val="cyan"/>
              </w:rPr>
            </w:pPr>
            <w:r w:rsidRPr="009960C6">
              <w:t>(16)</w:t>
            </w:r>
          </w:p>
        </w:tc>
        <w:tc>
          <w:tcPr>
            <w:tcW w:w="1343" w:type="dxa"/>
            <w:tcBorders>
              <w:bottom w:val="single" w:sz="4" w:space="0" w:color="auto"/>
            </w:tcBorders>
            <w:hideMark/>
          </w:tcPr>
          <w:p w14:paraId="18EB16BD" w14:textId="2A889A81" w:rsidR="0050196F" w:rsidRPr="00354C86" w:rsidRDefault="0050196F" w:rsidP="00D02912">
            <w:pPr>
              <w:pStyle w:val="ARfintablebodyrightbold"/>
              <w:rPr>
                <w:highlight w:val="cyan"/>
              </w:rPr>
            </w:pPr>
            <w:r w:rsidRPr="009960C6">
              <w:t>1,117.1</w:t>
            </w:r>
          </w:p>
        </w:tc>
        <w:tc>
          <w:tcPr>
            <w:tcW w:w="711" w:type="dxa"/>
            <w:tcBorders>
              <w:bottom w:val="single" w:sz="4" w:space="0" w:color="auto"/>
            </w:tcBorders>
            <w:hideMark/>
          </w:tcPr>
          <w:p w14:paraId="0DD40E54" w14:textId="77777777" w:rsidR="0050196F" w:rsidRPr="00532DAE" w:rsidRDefault="0050196F" w:rsidP="00D02912">
            <w:pPr>
              <w:pStyle w:val="ARfintablebodycentre"/>
            </w:pPr>
          </w:p>
        </w:tc>
      </w:tr>
      <w:tr w:rsidR="0050196F" w:rsidRPr="00532DAE" w14:paraId="0BF043DD" w14:textId="77777777">
        <w:trPr>
          <w:gridAfter w:val="4"/>
          <w:wAfter w:w="4106" w:type="dxa"/>
          <w:cantSplit w:val="0"/>
        </w:trPr>
        <w:tc>
          <w:tcPr>
            <w:tcW w:w="5538" w:type="dxa"/>
            <w:tcBorders>
              <w:top w:val="single" w:sz="4" w:space="0" w:color="auto"/>
              <w:bottom w:val="dotted" w:sz="4" w:space="0" w:color="auto"/>
            </w:tcBorders>
          </w:tcPr>
          <w:p w14:paraId="12DEE47D" w14:textId="77777777" w:rsidR="0050196F" w:rsidRPr="00201D60" w:rsidRDefault="0050196F" w:rsidP="00D02912">
            <w:pPr>
              <w:pStyle w:val="ARfintablebodycentre"/>
              <w:jc w:val="left"/>
              <w:rPr>
                <w:b/>
              </w:rPr>
            </w:pPr>
            <w:r w:rsidRPr="00201D60">
              <w:rPr>
                <w:b/>
                <w:bCs/>
              </w:rPr>
              <w:t>Other economic flows – other comprehensive income</w:t>
            </w:r>
          </w:p>
        </w:tc>
      </w:tr>
      <w:tr w:rsidR="0050196F" w:rsidRPr="00532DAE" w14:paraId="709EC27E" w14:textId="77777777">
        <w:trPr>
          <w:cantSplit w:val="0"/>
        </w:trPr>
        <w:tc>
          <w:tcPr>
            <w:tcW w:w="5538" w:type="dxa"/>
            <w:tcBorders>
              <w:top w:val="dotted" w:sz="4" w:space="0" w:color="auto"/>
              <w:bottom w:val="single" w:sz="4" w:space="0" w:color="A6A6A6"/>
            </w:tcBorders>
            <w:hideMark/>
          </w:tcPr>
          <w:p w14:paraId="1B682E75" w14:textId="77777777" w:rsidR="0050196F" w:rsidRPr="00532DAE" w:rsidRDefault="0050196F" w:rsidP="00D02912">
            <w:pPr>
              <w:pStyle w:val="ARfintablebody"/>
            </w:pPr>
            <w:r w:rsidRPr="00532DAE">
              <w:t>Changes in non- financial asset revaluation surplus</w:t>
            </w:r>
          </w:p>
        </w:tc>
        <w:tc>
          <w:tcPr>
            <w:tcW w:w="944" w:type="dxa"/>
            <w:tcBorders>
              <w:top w:val="dotted" w:sz="4" w:space="0" w:color="auto"/>
              <w:bottom w:val="single" w:sz="4" w:space="0" w:color="A6A6A6"/>
            </w:tcBorders>
            <w:hideMark/>
          </w:tcPr>
          <w:p w14:paraId="06CB08B0" w14:textId="7A99C285" w:rsidR="0050196F" w:rsidRPr="00354C86" w:rsidRDefault="0050196F" w:rsidP="00D02912">
            <w:pPr>
              <w:pStyle w:val="ARfintablebodyright"/>
              <w:rPr>
                <w:highlight w:val="cyan"/>
              </w:rPr>
            </w:pPr>
            <w:r w:rsidRPr="00D6494F">
              <w:t>(53)</w:t>
            </w:r>
          </w:p>
        </w:tc>
        <w:tc>
          <w:tcPr>
            <w:tcW w:w="1106" w:type="dxa"/>
            <w:tcBorders>
              <w:top w:val="dotted" w:sz="4" w:space="0" w:color="auto"/>
              <w:bottom w:val="single" w:sz="4" w:space="0" w:color="A6A6A6"/>
            </w:tcBorders>
            <w:hideMark/>
          </w:tcPr>
          <w:p w14:paraId="3618F4AC" w14:textId="77777777" w:rsidR="0050196F" w:rsidRPr="00D01B32" w:rsidRDefault="0050196F" w:rsidP="00D02912">
            <w:pPr>
              <w:pStyle w:val="ARfintablebodyright"/>
            </w:pPr>
            <w:r w:rsidRPr="00D01B32">
              <w:t>–</w:t>
            </w:r>
          </w:p>
        </w:tc>
        <w:tc>
          <w:tcPr>
            <w:tcW w:w="1343" w:type="dxa"/>
            <w:tcBorders>
              <w:top w:val="dotted" w:sz="4" w:space="0" w:color="auto"/>
              <w:bottom w:val="single" w:sz="4" w:space="0" w:color="A6A6A6"/>
            </w:tcBorders>
            <w:hideMark/>
          </w:tcPr>
          <w:p w14:paraId="766F2ED1" w14:textId="77777777" w:rsidR="0050196F" w:rsidRPr="00D01B32" w:rsidRDefault="0050196F" w:rsidP="00D02912">
            <w:pPr>
              <w:pStyle w:val="ARfintablebodyright"/>
            </w:pPr>
            <w:r w:rsidRPr="00D01B32">
              <w:t>–</w:t>
            </w:r>
          </w:p>
        </w:tc>
        <w:tc>
          <w:tcPr>
            <w:tcW w:w="711" w:type="dxa"/>
            <w:tcBorders>
              <w:top w:val="dotted" w:sz="4" w:space="0" w:color="auto"/>
              <w:bottom w:val="single" w:sz="4" w:space="0" w:color="A6A6A6"/>
            </w:tcBorders>
            <w:hideMark/>
          </w:tcPr>
          <w:p w14:paraId="2263FAF1" w14:textId="77777777" w:rsidR="0050196F" w:rsidRPr="00532DAE" w:rsidRDefault="0050196F" w:rsidP="00D02912">
            <w:pPr>
              <w:pStyle w:val="ARfintablebodycentre"/>
            </w:pPr>
          </w:p>
        </w:tc>
      </w:tr>
      <w:tr w:rsidR="0050196F" w:rsidRPr="00532DAE" w14:paraId="51B6938A" w14:textId="77777777">
        <w:trPr>
          <w:cantSplit w:val="0"/>
        </w:trPr>
        <w:tc>
          <w:tcPr>
            <w:tcW w:w="5538" w:type="dxa"/>
            <w:hideMark/>
          </w:tcPr>
          <w:p w14:paraId="15985EE7" w14:textId="77777777" w:rsidR="0050196F" w:rsidRPr="00532DAE" w:rsidRDefault="0050196F" w:rsidP="00D02912">
            <w:pPr>
              <w:pStyle w:val="ARfintablebodybold"/>
            </w:pPr>
            <w:r w:rsidRPr="00532DAE">
              <w:t>Total other economic flows – other comprehensive income</w:t>
            </w:r>
          </w:p>
        </w:tc>
        <w:tc>
          <w:tcPr>
            <w:tcW w:w="944" w:type="dxa"/>
            <w:hideMark/>
          </w:tcPr>
          <w:p w14:paraId="117D729A" w14:textId="559C1251" w:rsidR="0050196F" w:rsidRPr="00354C86" w:rsidRDefault="0050196F" w:rsidP="00D02912">
            <w:pPr>
              <w:pStyle w:val="ARfintablebodyrightbold"/>
              <w:rPr>
                <w:highlight w:val="cyan"/>
              </w:rPr>
            </w:pPr>
            <w:r w:rsidRPr="00D6494F">
              <w:t>(53)</w:t>
            </w:r>
          </w:p>
        </w:tc>
        <w:tc>
          <w:tcPr>
            <w:tcW w:w="1106" w:type="dxa"/>
            <w:hideMark/>
          </w:tcPr>
          <w:p w14:paraId="14A237A5" w14:textId="77777777" w:rsidR="0050196F" w:rsidRPr="00D01B32" w:rsidRDefault="0050196F" w:rsidP="00D02912">
            <w:pPr>
              <w:pStyle w:val="ARfintablebodyrightbold"/>
            </w:pPr>
            <w:r w:rsidRPr="00D01B32">
              <w:t>–</w:t>
            </w:r>
          </w:p>
        </w:tc>
        <w:tc>
          <w:tcPr>
            <w:tcW w:w="1343" w:type="dxa"/>
            <w:hideMark/>
          </w:tcPr>
          <w:p w14:paraId="2E3D632C" w14:textId="77777777" w:rsidR="0050196F" w:rsidRPr="00D01B32" w:rsidRDefault="0050196F" w:rsidP="00D02912">
            <w:pPr>
              <w:pStyle w:val="ARfintablebodyrightbold"/>
            </w:pPr>
            <w:r w:rsidRPr="00D01B32">
              <w:t>–</w:t>
            </w:r>
          </w:p>
        </w:tc>
        <w:tc>
          <w:tcPr>
            <w:tcW w:w="711" w:type="dxa"/>
            <w:hideMark/>
          </w:tcPr>
          <w:p w14:paraId="04126B9A" w14:textId="77777777" w:rsidR="0050196F" w:rsidRPr="00532DAE" w:rsidRDefault="0050196F" w:rsidP="00D02912">
            <w:pPr>
              <w:pStyle w:val="ARfintablebodycentre"/>
            </w:pPr>
          </w:p>
        </w:tc>
      </w:tr>
      <w:tr w:rsidR="0050196F" w:rsidRPr="00532DAE" w14:paraId="6B8FE204" w14:textId="77777777">
        <w:trPr>
          <w:cantSplit w:val="0"/>
        </w:trPr>
        <w:tc>
          <w:tcPr>
            <w:tcW w:w="5538" w:type="dxa"/>
            <w:hideMark/>
          </w:tcPr>
          <w:p w14:paraId="6446EF7F" w14:textId="77777777" w:rsidR="0050196F" w:rsidRPr="00532DAE" w:rsidRDefault="0050196F" w:rsidP="00D02912">
            <w:pPr>
              <w:pStyle w:val="ARfintablebodybold"/>
            </w:pPr>
            <w:r w:rsidRPr="00532DAE">
              <w:t>Comprehensive result</w:t>
            </w:r>
          </w:p>
        </w:tc>
        <w:tc>
          <w:tcPr>
            <w:tcW w:w="944" w:type="dxa"/>
            <w:hideMark/>
          </w:tcPr>
          <w:p w14:paraId="105EB73A" w14:textId="5F7783E4" w:rsidR="0050196F" w:rsidRPr="00354C86" w:rsidRDefault="0050196F" w:rsidP="00D02912">
            <w:pPr>
              <w:pStyle w:val="ARfintablebodyrightbold"/>
              <w:rPr>
                <w:highlight w:val="cyan"/>
              </w:rPr>
            </w:pPr>
            <w:r w:rsidRPr="00D6494F">
              <w:t>(246)</w:t>
            </w:r>
          </w:p>
        </w:tc>
        <w:tc>
          <w:tcPr>
            <w:tcW w:w="1106" w:type="dxa"/>
            <w:hideMark/>
          </w:tcPr>
          <w:p w14:paraId="1CA7E89D" w14:textId="77777777" w:rsidR="0050196F" w:rsidRPr="00354C86" w:rsidRDefault="0050196F" w:rsidP="00D02912">
            <w:pPr>
              <w:pStyle w:val="ARfintablebodyrightbold"/>
              <w:rPr>
                <w:highlight w:val="cyan"/>
              </w:rPr>
            </w:pPr>
            <w:r w:rsidRPr="00B23FF7">
              <w:t>(16)</w:t>
            </w:r>
          </w:p>
        </w:tc>
        <w:tc>
          <w:tcPr>
            <w:tcW w:w="1343" w:type="dxa"/>
            <w:hideMark/>
          </w:tcPr>
          <w:p w14:paraId="70939FE1" w14:textId="77777777" w:rsidR="0050196F" w:rsidRPr="00354C86" w:rsidRDefault="0050196F" w:rsidP="00D02912">
            <w:pPr>
              <w:pStyle w:val="ARfintablebodyrightbold"/>
              <w:rPr>
                <w:highlight w:val="cyan"/>
              </w:rPr>
            </w:pPr>
            <w:r w:rsidRPr="00B23FF7">
              <w:t>1,453.3</w:t>
            </w:r>
          </w:p>
        </w:tc>
        <w:tc>
          <w:tcPr>
            <w:tcW w:w="711" w:type="dxa"/>
            <w:hideMark/>
          </w:tcPr>
          <w:p w14:paraId="6A697A90" w14:textId="77777777" w:rsidR="0050196F" w:rsidRPr="00532DAE" w:rsidRDefault="0050196F" w:rsidP="00D02912">
            <w:pPr>
              <w:pStyle w:val="ARfintablebodycentre"/>
            </w:pPr>
          </w:p>
        </w:tc>
      </w:tr>
    </w:tbl>
    <w:p w14:paraId="09DEAF63" w14:textId="77777777" w:rsidR="0050196F" w:rsidRDefault="0050196F" w:rsidP="00497022">
      <w:pPr>
        <w:pStyle w:val="ARfintablefootnoteindent"/>
        <w:rPr>
          <w:rFonts w:eastAsia="Times New Roman" w:cs="Times New Roman"/>
          <w:lang w:eastAsia="en-US"/>
        </w:rPr>
      </w:pPr>
      <w:r w:rsidRPr="00214E7B">
        <w:rPr>
          <w:rFonts w:eastAsia="Times New Roman" w:cs="Times New Roman"/>
          <w:lang w:eastAsia="en-US"/>
        </w:rPr>
        <w:t xml:space="preserve">The comprehensive operating statement should be read in conjunction with the notes to the financial statements. </w:t>
      </w:r>
    </w:p>
    <w:p w14:paraId="3EFB2D3A" w14:textId="284ED853" w:rsidR="0050196F" w:rsidRDefault="00807519" w:rsidP="007C7216">
      <w:pPr>
        <w:pStyle w:val="ARfintablefootnotetabindent"/>
      </w:pPr>
      <w:r>
        <w:t>(a)</w:t>
      </w:r>
      <w:r>
        <w:tab/>
      </w:r>
      <w:r w:rsidR="0050196F" w:rsidRPr="00996B12">
        <w:t xml:space="preserve">Actual output appropriation was higher than the published budget primarily due to additional funding from the Commonwealth for Energy Bill Relief concession payments and the state </w:t>
      </w:r>
      <w:r w:rsidR="00C41E2B">
        <w:t>government</w:t>
      </w:r>
      <w:r w:rsidR="00711AE6">
        <w:t>’</w:t>
      </w:r>
      <w:r w:rsidR="0050196F" w:rsidRPr="00996B12">
        <w:t>s investment in the Victorian Redress Scheme.</w:t>
      </w:r>
    </w:p>
    <w:p w14:paraId="4502CFC1" w14:textId="3267FAB2" w:rsidR="0050196F" w:rsidRDefault="00807519" w:rsidP="007C7216">
      <w:pPr>
        <w:pStyle w:val="ARfintablefootnotetabindent"/>
      </w:pPr>
      <w:r>
        <w:t>(b)</w:t>
      </w:r>
      <w:r>
        <w:tab/>
      </w:r>
      <w:r w:rsidR="0050196F" w:rsidRPr="00DE6B57">
        <w:t xml:space="preserve">Higher actual employee benefits expenditure than the published budget primarily reflects the </w:t>
      </w:r>
      <w:r w:rsidR="00C41E2B">
        <w:t>government</w:t>
      </w:r>
      <w:r w:rsidR="00711AE6">
        <w:t>’</w:t>
      </w:r>
      <w:r w:rsidR="0050196F" w:rsidRPr="00DE6B57">
        <w:t>s additional investments for service delivery.</w:t>
      </w:r>
    </w:p>
    <w:p w14:paraId="17E8F61C" w14:textId="5A0949D1" w:rsidR="0050196F" w:rsidRPr="00532DAE" w:rsidRDefault="00205128" w:rsidP="007C7216">
      <w:pPr>
        <w:pStyle w:val="ARfintablefootnotetabindent"/>
      </w:pPr>
      <w:r>
        <w:t>(c)</w:t>
      </w:r>
      <w:r w:rsidR="00807519">
        <w:tab/>
      </w:r>
      <w:r w:rsidR="0050196F" w:rsidRPr="00DE6B57">
        <w:t xml:space="preserve">Actual other operating expenses were higher than the published budget primarily reflects increased expenditure as part of </w:t>
      </w:r>
      <w:r w:rsidR="00C41E2B">
        <w:t>government</w:t>
      </w:r>
      <w:r w:rsidR="0050196F" w:rsidRPr="00DE6B57">
        <w:t xml:space="preserve"> policy commitments including civil claims costs for historical institutional child abuse, the Victorian Redress Scheme and contribution from the Commonwealth including the Energy Bill Relief payments.</w:t>
      </w:r>
    </w:p>
    <w:p w14:paraId="5F363F3A" w14:textId="77777777" w:rsidR="0050196F" w:rsidRPr="00532DAE" w:rsidRDefault="0050196F" w:rsidP="00333387">
      <w:pPr>
        <w:pStyle w:val="Heading3"/>
      </w:pPr>
      <w:bookmarkStart w:id="296" w:name="_Ref178665052"/>
      <w:r w:rsidRPr="00532DAE">
        <w:t>Balance sheet as at 30 June 202</w:t>
      </w:r>
      <w:r>
        <w:t>4</w:t>
      </w:r>
      <w:bookmarkEnd w:id="296"/>
    </w:p>
    <w:tbl>
      <w:tblPr>
        <w:tblStyle w:val="TableGrid"/>
        <w:tblW w:w="9790" w:type="dxa"/>
        <w:tblInd w:w="-5" w:type="dxa"/>
        <w:tblLook w:val="06A0" w:firstRow="1" w:lastRow="0" w:firstColumn="1" w:lastColumn="0" w:noHBand="1" w:noVBand="1"/>
      </w:tblPr>
      <w:tblGrid>
        <w:gridCol w:w="1377"/>
        <w:gridCol w:w="3868"/>
        <w:gridCol w:w="1134"/>
        <w:gridCol w:w="1134"/>
        <w:gridCol w:w="1134"/>
        <w:gridCol w:w="1134"/>
        <w:gridCol w:w="9"/>
      </w:tblGrid>
      <w:tr w:rsidR="0050196F" w:rsidRPr="00532DAE" w14:paraId="6CA97300" w14:textId="77777777">
        <w:trPr>
          <w:gridAfter w:val="1"/>
          <w:cnfStyle w:val="100000000000" w:firstRow="1" w:lastRow="0" w:firstColumn="0" w:lastColumn="0" w:oddVBand="0" w:evenVBand="0" w:oddHBand="0" w:evenHBand="0" w:firstRowFirstColumn="0" w:firstRowLastColumn="0" w:lastRowFirstColumn="0" w:lastRowLastColumn="0"/>
          <w:wAfter w:w="9" w:type="dxa"/>
          <w:tblHeader/>
        </w:trPr>
        <w:tc>
          <w:tcPr>
            <w:tcW w:w="5245" w:type="dxa"/>
            <w:gridSpan w:val="2"/>
            <w:tcBorders>
              <w:bottom w:val="single" w:sz="4" w:space="0" w:color="auto"/>
            </w:tcBorders>
            <w:hideMark/>
          </w:tcPr>
          <w:p w14:paraId="3F24709B" w14:textId="77777777" w:rsidR="0050196F" w:rsidRPr="00532DAE" w:rsidRDefault="0050196F" w:rsidP="00A51E7D">
            <w:pPr>
              <w:pStyle w:val="ARfintablecolhead"/>
            </w:pPr>
          </w:p>
        </w:tc>
        <w:tc>
          <w:tcPr>
            <w:tcW w:w="1134" w:type="dxa"/>
            <w:tcBorders>
              <w:bottom w:val="single" w:sz="4" w:space="0" w:color="auto"/>
            </w:tcBorders>
            <w:hideMark/>
          </w:tcPr>
          <w:p w14:paraId="7400D0A8" w14:textId="77777777" w:rsidR="0050196F" w:rsidRPr="00532DAE" w:rsidRDefault="0050196F" w:rsidP="00497022">
            <w:pPr>
              <w:pStyle w:val="ARfintablecolheadright"/>
            </w:pPr>
            <w:r w:rsidRPr="00532DAE">
              <w:t>202</w:t>
            </w:r>
            <w:r>
              <w:t>3</w:t>
            </w:r>
            <w:r w:rsidRPr="00532DAE">
              <w:t>–2</w:t>
            </w:r>
            <w:r>
              <w:t>4</w:t>
            </w:r>
          </w:p>
          <w:p w14:paraId="5E51C1E1" w14:textId="77777777" w:rsidR="0050196F" w:rsidRPr="00532DAE" w:rsidRDefault="0050196F" w:rsidP="00A51E7D">
            <w:pPr>
              <w:pStyle w:val="ARfintablecolheadright"/>
            </w:pPr>
            <w:r w:rsidRPr="00532DAE">
              <w:t>Actual</w:t>
            </w:r>
          </w:p>
          <w:p w14:paraId="0187B088" w14:textId="77777777" w:rsidR="0050196F" w:rsidRPr="00532DAE" w:rsidRDefault="0050196F" w:rsidP="00A51E7D">
            <w:pPr>
              <w:pStyle w:val="ARfintablecolheadright"/>
            </w:pPr>
            <w:r w:rsidRPr="00532DAE">
              <w:t>$M</w:t>
            </w:r>
          </w:p>
        </w:tc>
        <w:tc>
          <w:tcPr>
            <w:tcW w:w="1134" w:type="dxa"/>
            <w:tcBorders>
              <w:bottom w:val="single" w:sz="4" w:space="0" w:color="auto"/>
            </w:tcBorders>
            <w:hideMark/>
          </w:tcPr>
          <w:p w14:paraId="4D8BF213" w14:textId="77777777" w:rsidR="0050196F" w:rsidRPr="00532DAE" w:rsidRDefault="0050196F" w:rsidP="00497022">
            <w:pPr>
              <w:pStyle w:val="ARfintablecolheadright"/>
            </w:pPr>
            <w:r w:rsidRPr="00532DAE">
              <w:t>202</w:t>
            </w:r>
            <w:r>
              <w:t>3</w:t>
            </w:r>
            <w:r w:rsidRPr="00532DAE">
              <w:t>–2</w:t>
            </w:r>
            <w:r>
              <w:t>4</w:t>
            </w:r>
          </w:p>
          <w:p w14:paraId="0CD2A43D" w14:textId="77777777" w:rsidR="0050196F" w:rsidRPr="00532DAE" w:rsidRDefault="0050196F" w:rsidP="00A51E7D">
            <w:pPr>
              <w:pStyle w:val="ARfintablecolheadright"/>
            </w:pPr>
            <w:r w:rsidRPr="00532DAE">
              <w:t>Published budget</w:t>
            </w:r>
          </w:p>
          <w:p w14:paraId="07F3753B" w14:textId="77777777" w:rsidR="0050196F" w:rsidRPr="00532DAE" w:rsidRDefault="0050196F" w:rsidP="00A51E7D">
            <w:pPr>
              <w:pStyle w:val="ARfintablecolheadright"/>
            </w:pPr>
            <w:r w:rsidRPr="00532DAE">
              <w:t>$M</w:t>
            </w:r>
          </w:p>
        </w:tc>
        <w:tc>
          <w:tcPr>
            <w:tcW w:w="1134" w:type="dxa"/>
            <w:tcBorders>
              <w:bottom w:val="single" w:sz="4" w:space="0" w:color="auto"/>
            </w:tcBorders>
            <w:noWrap/>
            <w:hideMark/>
          </w:tcPr>
          <w:p w14:paraId="21E50D56" w14:textId="77777777" w:rsidR="0050196F" w:rsidRPr="00532DAE" w:rsidRDefault="0050196F" w:rsidP="00A51E7D">
            <w:pPr>
              <w:pStyle w:val="ARfintablecolheadright"/>
            </w:pPr>
            <w:r w:rsidRPr="00532DAE">
              <w:t>Variation to published budget</w:t>
            </w:r>
          </w:p>
          <w:p w14:paraId="6B3D58DB" w14:textId="77777777" w:rsidR="0050196F" w:rsidRPr="00532DAE" w:rsidRDefault="0050196F" w:rsidP="00A51E7D">
            <w:pPr>
              <w:pStyle w:val="ARfintablecolheadright"/>
            </w:pPr>
            <w:r w:rsidRPr="00532DAE">
              <w:t>%</w:t>
            </w:r>
          </w:p>
        </w:tc>
        <w:tc>
          <w:tcPr>
            <w:tcW w:w="1134" w:type="dxa"/>
            <w:tcBorders>
              <w:bottom w:val="single" w:sz="4" w:space="0" w:color="auto"/>
            </w:tcBorders>
            <w:noWrap/>
            <w:hideMark/>
          </w:tcPr>
          <w:p w14:paraId="2B86C7BD" w14:textId="77777777" w:rsidR="0050196F" w:rsidRPr="00532DAE" w:rsidRDefault="0050196F" w:rsidP="00A51E7D">
            <w:pPr>
              <w:pStyle w:val="ARfintablecolheadcentre"/>
            </w:pPr>
            <w:r w:rsidRPr="00532DAE">
              <w:t>Notes</w:t>
            </w:r>
          </w:p>
        </w:tc>
      </w:tr>
      <w:tr w:rsidR="0050196F" w:rsidRPr="00532DAE" w14:paraId="137B84AE" w14:textId="77777777">
        <w:trPr>
          <w:cantSplit w:val="0"/>
        </w:trPr>
        <w:tc>
          <w:tcPr>
            <w:tcW w:w="1377" w:type="dxa"/>
            <w:tcBorders>
              <w:top w:val="single" w:sz="4" w:space="0" w:color="auto"/>
              <w:bottom w:val="single" w:sz="4" w:space="0" w:color="A6A6A6"/>
            </w:tcBorders>
            <w:vAlign w:val="center"/>
          </w:tcPr>
          <w:p w14:paraId="3BADC2EF" w14:textId="77777777" w:rsidR="0050196F" w:rsidRPr="00532DAE" w:rsidRDefault="0050196F" w:rsidP="00D02912">
            <w:pPr>
              <w:pStyle w:val="ARfintablebodybold"/>
            </w:pPr>
            <w:r w:rsidRPr="00532DAE">
              <w:t>Assets</w:t>
            </w:r>
          </w:p>
        </w:tc>
        <w:tc>
          <w:tcPr>
            <w:tcW w:w="8413" w:type="dxa"/>
            <w:gridSpan w:val="6"/>
            <w:tcBorders>
              <w:top w:val="single" w:sz="4" w:space="0" w:color="auto"/>
              <w:bottom w:val="single" w:sz="4" w:space="0" w:color="A6A6A6"/>
            </w:tcBorders>
            <w:vAlign w:val="center"/>
          </w:tcPr>
          <w:p w14:paraId="141C0F16" w14:textId="77777777" w:rsidR="0050196F" w:rsidRPr="00532DAE" w:rsidRDefault="0050196F" w:rsidP="00D02912">
            <w:pPr>
              <w:pStyle w:val="ARfintablebodybold"/>
              <w:jc w:val="right"/>
            </w:pPr>
          </w:p>
        </w:tc>
      </w:tr>
      <w:tr w:rsidR="00923BCB" w:rsidRPr="00532DAE" w14:paraId="435C5937" w14:textId="77777777">
        <w:trPr>
          <w:cantSplit w:val="0"/>
        </w:trPr>
        <w:tc>
          <w:tcPr>
            <w:tcW w:w="9790" w:type="dxa"/>
            <w:gridSpan w:val="7"/>
            <w:tcBorders>
              <w:top w:val="single" w:sz="4" w:space="0" w:color="auto"/>
              <w:bottom w:val="single" w:sz="4" w:space="0" w:color="A6A6A6"/>
            </w:tcBorders>
            <w:vAlign w:val="center"/>
          </w:tcPr>
          <w:p w14:paraId="31A28886" w14:textId="5D987BD5" w:rsidR="00923BCB" w:rsidRPr="00923BCB" w:rsidRDefault="00923BCB" w:rsidP="00923BCB">
            <w:pPr>
              <w:pStyle w:val="ARfintablebodybold"/>
            </w:pPr>
            <w:r w:rsidRPr="00923BCB">
              <w:t>Financial assets</w:t>
            </w:r>
          </w:p>
        </w:tc>
      </w:tr>
      <w:tr w:rsidR="0050196F" w:rsidRPr="00532DAE" w14:paraId="042790CC" w14:textId="77777777">
        <w:trPr>
          <w:gridAfter w:val="1"/>
          <w:wAfter w:w="9" w:type="dxa"/>
          <w:cantSplit w:val="0"/>
        </w:trPr>
        <w:tc>
          <w:tcPr>
            <w:tcW w:w="5245" w:type="dxa"/>
            <w:gridSpan w:val="2"/>
            <w:tcBorders>
              <w:top w:val="single" w:sz="4" w:space="0" w:color="A6A6A6"/>
              <w:bottom w:val="single" w:sz="4" w:space="0" w:color="A6A6A6"/>
            </w:tcBorders>
            <w:hideMark/>
          </w:tcPr>
          <w:p w14:paraId="48D77955" w14:textId="77777777" w:rsidR="0050196F" w:rsidRPr="00532DAE" w:rsidRDefault="0050196F" w:rsidP="00D02912">
            <w:pPr>
              <w:pStyle w:val="ARfintablebody"/>
            </w:pPr>
            <w:r w:rsidRPr="00532DAE">
              <w:t>Cash and deposits</w:t>
            </w:r>
          </w:p>
        </w:tc>
        <w:tc>
          <w:tcPr>
            <w:tcW w:w="1134" w:type="dxa"/>
            <w:tcBorders>
              <w:top w:val="single" w:sz="4" w:space="0" w:color="A6A6A6"/>
              <w:bottom w:val="single" w:sz="4" w:space="0" w:color="A6A6A6"/>
            </w:tcBorders>
            <w:hideMark/>
          </w:tcPr>
          <w:p w14:paraId="0D56905E" w14:textId="5ACC7130" w:rsidR="0050196F" w:rsidRPr="00354C86" w:rsidRDefault="0050196F" w:rsidP="00D02912">
            <w:pPr>
              <w:pStyle w:val="ARfintablebodyright"/>
              <w:rPr>
                <w:highlight w:val="cyan"/>
              </w:rPr>
            </w:pPr>
            <w:r w:rsidRPr="009A0F64">
              <w:t>64</w:t>
            </w:r>
          </w:p>
        </w:tc>
        <w:tc>
          <w:tcPr>
            <w:tcW w:w="1134" w:type="dxa"/>
            <w:tcBorders>
              <w:top w:val="single" w:sz="4" w:space="0" w:color="A6A6A6"/>
              <w:bottom w:val="single" w:sz="4" w:space="0" w:color="A6A6A6"/>
            </w:tcBorders>
            <w:hideMark/>
          </w:tcPr>
          <w:p w14:paraId="4CED1B7F" w14:textId="75DBD77A" w:rsidR="0050196F" w:rsidRPr="00354C86" w:rsidRDefault="0050196F" w:rsidP="00D02912">
            <w:pPr>
              <w:pStyle w:val="ARfintablebodyright"/>
              <w:rPr>
                <w:highlight w:val="cyan"/>
              </w:rPr>
            </w:pPr>
            <w:r w:rsidRPr="00157B69">
              <w:t>61</w:t>
            </w:r>
          </w:p>
        </w:tc>
        <w:tc>
          <w:tcPr>
            <w:tcW w:w="1134" w:type="dxa"/>
            <w:tcBorders>
              <w:top w:val="single" w:sz="4" w:space="0" w:color="A6A6A6"/>
              <w:bottom w:val="single" w:sz="4" w:space="0" w:color="A6A6A6"/>
            </w:tcBorders>
            <w:hideMark/>
          </w:tcPr>
          <w:p w14:paraId="3F44BD90" w14:textId="58F26F88" w:rsidR="0050196F" w:rsidRPr="00354C86" w:rsidRDefault="0050196F" w:rsidP="00D02912">
            <w:pPr>
              <w:pStyle w:val="ARfintablebodyright"/>
              <w:rPr>
                <w:highlight w:val="cyan"/>
              </w:rPr>
            </w:pPr>
            <w:r w:rsidRPr="00D2769E">
              <w:t>4.7</w:t>
            </w:r>
          </w:p>
        </w:tc>
        <w:tc>
          <w:tcPr>
            <w:tcW w:w="1134" w:type="dxa"/>
            <w:tcBorders>
              <w:top w:val="single" w:sz="4" w:space="0" w:color="A6A6A6"/>
              <w:bottom w:val="single" w:sz="4" w:space="0" w:color="A6A6A6"/>
            </w:tcBorders>
            <w:hideMark/>
          </w:tcPr>
          <w:p w14:paraId="4B2922C4" w14:textId="77777777" w:rsidR="0050196F" w:rsidRPr="00354C86" w:rsidRDefault="0050196F" w:rsidP="00D02912">
            <w:pPr>
              <w:pStyle w:val="ARfintablebodycentre"/>
              <w:rPr>
                <w:highlight w:val="cyan"/>
              </w:rPr>
            </w:pPr>
          </w:p>
        </w:tc>
      </w:tr>
      <w:tr w:rsidR="0050196F" w:rsidRPr="00532DAE" w14:paraId="7ABE1FE3" w14:textId="77777777">
        <w:trPr>
          <w:gridAfter w:val="1"/>
          <w:wAfter w:w="9" w:type="dxa"/>
          <w:cantSplit w:val="0"/>
        </w:trPr>
        <w:tc>
          <w:tcPr>
            <w:tcW w:w="5245" w:type="dxa"/>
            <w:gridSpan w:val="2"/>
            <w:tcBorders>
              <w:top w:val="single" w:sz="4" w:space="0" w:color="A6A6A6"/>
              <w:bottom w:val="single" w:sz="4" w:space="0" w:color="A6A6A6"/>
            </w:tcBorders>
            <w:hideMark/>
          </w:tcPr>
          <w:p w14:paraId="7CEAA28B" w14:textId="77777777" w:rsidR="0050196F" w:rsidRPr="00532DAE" w:rsidRDefault="0050196F" w:rsidP="00D02912">
            <w:pPr>
              <w:pStyle w:val="ARfintablebody"/>
            </w:pPr>
            <w:r w:rsidRPr="00532DAE">
              <w:t>Receivables</w:t>
            </w:r>
          </w:p>
        </w:tc>
        <w:tc>
          <w:tcPr>
            <w:tcW w:w="1134" w:type="dxa"/>
            <w:tcBorders>
              <w:top w:val="single" w:sz="4" w:space="0" w:color="A6A6A6"/>
              <w:bottom w:val="single" w:sz="4" w:space="0" w:color="A6A6A6"/>
            </w:tcBorders>
            <w:hideMark/>
          </w:tcPr>
          <w:p w14:paraId="506AB6CA" w14:textId="096A6AB9" w:rsidR="0050196F" w:rsidRPr="00354C86" w:rsidRDefault="0050196F" w:rsidP="00D02912">
            <w:pPr>
              <w:pStyle w:val="ARfintablebodyright"/>
              <w:rPr>
                <w:highlight w:val="cyan"/>
              </w:rPr>
            </w:pPr>
            <w:r w:rsidRPr="009A0F64">
              <w:t>807</w:t>
            </w:r>
          </w:p>
        </w:tc>
        <w:tc>
          <w:tcPr>
            <w:tcW w:w="1134" w:type="dxa"/>
            <w:tcBorders>
              <w:top w:val="single" w:sz="4" w:space="0" w:color="A6A6A6"/>
              <w:bottom w:val="single" w:sz="4" w:space="0" w:color="A6A6A6"/>
            </w:tcBorders>
            <w:hideMark/>
          </w:tcPr>
          <w:p w14:paraId="28F34CCF" w14:textId="0684C088" w:rsidR="0050196F" w:rsidRPr="00354C86" w:rsidRDefault="0050196F" w:rsidP="00D02912">
            <w:pPr>
              <w:pStyle w:val="ARfintablebodyright"/>
              <w:rPr>
                <w:highlight w:val="cyan"/>
              </w:rPr>
            </w:pPr>
            <w:r w:rsidRPr="00157B69">
              <w:t>634</w:t>
            </w:r>
          </w:p>
        </w:tc>
        <w:tc>
          <w:tcPr>
            <w:tcW w:w="1134" w:type="dxa"/>
            <w:tcBorders>
              <w:top w:val="single" w:sz="4" w:space="0" w:color="A6A6A6"/>
              <w:bottom w:val="single" w:sz="4" w:space="0" w:color="A6A6A6"/>
            </w:tcBorders>
            <w:hideMark/>
          </w:tcPr>
          <w:p w14:paraId="18D66A7B" w14:textId="3E0EE052" w:rsidR="0050196F" w:rsidRPr="00354C86" w:rsidRDefault="0050196F" w:rsidP="00D02912">
            <w:pPr>
              <w:pStyle w:val="ARfintablebodyright"/>
              <w:rPr>
                <w:highlight w:val="cyan"/>
              </w:rPr>
            </w:pPr>
            <w:r w:rsidRPr="00D2769E">
              <w:t>27.4</w:t>
            </w:r>
          </w:p>
        </w:tc>
        <w:tc>
          <w:tcPr>
            <w:tcW w:w="1134" w:type="dxa"/>
            <w:tcBorders>
              <w:top w:val="single" w:sz="4" w:space="0" w:color="A6A6A6"/>
              <w:bottom w:val="single" w:sz="4" w:space="0" w:color="A6A6A6"/>
            </w:tcBorders>
            <w:hideMark/>
          </w:tcPr>
          <w:p w14:paraId="74BFBCE2" w14:textId="77777777" w:rsidR="0050196F" w:rsidRPr="00354C86" w:rsidRDefault="0050196F" w:rsidP="00D02912">
            <w:pPr>
              <w:pStyle w:val="ARfintablebodycentre"/>
              <w:rPr>
                <w:highlight w:val="cyan"/>
              </w:rPr>
            </w:pPr>
            <w:r w:rsidRPr="0045799B">
              <w:t>(a)</w:t>
            </w:r>
          </w:p>
        </w:tc>
      </w:tr>
      <w:tr w:rsidR="0050196F" w:rsidRPr="00532DAE" w14:paraId="02F35C0B" w14:textId="77777777">
        <w:trPr>
          <w:gridAfter w:val="1"/>
          <w:wAfter w:w="9" w:type="dxa"/>
          <w:cantSplit w:val="0"/>
        </w:trPr>
        <w:tc>
          <w:tcPr>
            <w:tcW w:w="5245" w:type="dxa"/>
            <w:gridSpan w:val="2"/>
            <w:tcBorders>
              <w:top w:val="single" w:sz="4" w:space="0" w:color="A6A6A6"/>
              <w:bottom w:val="single" w:sz="4" w:space="0" w:color="A6A6A6"/>
            </w:tcBorders>
            <w:hideMark/>
          </w:tcPr>
          <w:p w14:paraId="6ADA35FB" w14:textId="77777777" w:rsidR="0050196F" w:rsidRPr="00532DAE" w:rsidRDefault="0050196F" w:rsidP="00D02912">
            <w:pPr>
              <w:pStyle w:val="ARfintablebody"/>
            </w:pPr>
            <w:r w:rsidRPr="00532DAE">
              <w:t>Other financial assets</w:t>
            </w:r>
          </w:p>
        </w:tc>
        <w:tc>
          <w:tcPr>
            <w:tcW w:w="1134" w:type="dxa"/>
            <w:tcBorders>
              <w:top w:val="single" w:sz="4" w:space="0" w:color="A6A6A6"/>
              <w:bottom w:val="single" w:sz="4" w:space="0" w:color="A6A6A6"/>
            </w:tcBorders>
            <w:hideMark/>
          </w:tcPr>
          <w:p w14:paraId="5055DB63" w14:textId="001F905A" w:rsidR="0050196F" w:rsidRPr="00354C86" w:rsidRDefault="0050196F" w:rsidP="00D02912">
            <w:pPr>
              <w:pStyle w:val="ARfintablebodyright"/>
              <w:rPr>
                <w:highlight w:val="cyan"/>
              </w:rPr>
            </w:pPr>
            <w:r w:rsidRPr="009A0F64">
              <w:t>107</w:t>
            </w:r>
          </w:p>
        </w:tc>
        <w:tc>
          <w:tcPr>
            <w:tcW w:w="1134" w:type="dxa"/>
            <w:tcBorders>
              <w:top w:val="single" w:sz="4" w:space="0" w:color="A6A6A6"/>
              <w:bottom w:val="single" w:sz="4" w:space="0" w:color="A6A6A6"/>
            </w:tcBorders>
            <w:hideMark/>
          </w:tcPr>
          <w:p w14:paraId="08CE52E3" w14:textId="2A25A84F" w:rsidR="0050196F" w:rsidRPr="00354C86" w:rsidRDefault="0050196F" w:rsidP="00D02912">
            <w:pPr>
              <w:pStyle w:val="ARfintablebodyright"/>
              <w:rPr>
                <w:highlight w:val="cyan"/>
              </w:rPr>
            </w:pPr>
            <w:r w:rsidRPr="00157B69">
              <w:t>130</w:t>
            </w:r>
          </w:p>
        </w:tc>
        <w:tc>
          <w:tcPr>
            <w:tcW w:w="1134" w:type="dxa"/>
            <w:tcBorders>
              <w:top w:val="single" w:sz="4" w:space="0" w:color="A6A6A6"/>
              <w:bottom w:val="single" w:sz="4" w:space="0" w:color="A6A6A6"/>
            </w:tcBorders>
            <w:hideMark/>
          </w:tcPr>
          <w:p w14:paraId="6E4E93D9" w14:textId="01B6B1B9" w:rsidR="0050196F" w:rsidRPr="00354C86" w:rsidRDefault="0050196F" w:rsidP="00D02912">
            <w:pPr>
              <w:pStyle w:val="ARfintablebodyright"/>
              <w:rPr>
                <w:highlight w:val="cyan"/>
              </w:rPr>
            </w:pPr>
            <w:r w:rsidRPr="00D2769E">
              <w:t>(17.4)</w:t>
            </w:r>
          </w:p>
        </w:tc>
        <w:tc>
          <w:tcPr>
            <w:tcW w:w="1134" w:type="dxa"/>
            <w:tcBorders>
              <w:top w:val="single" w:sz="4" w:space="0" w:color="A6A6A6"/>
              <w:bottom w:val="single" w:sz="4" w:space="0" w:color="A6A6A6"/>
            </w:tcBorders>
            <w:hideMark/>
          </w:tcPr>
          <w:p w14:paraId="578ACD50" w14:textId="77777777" w:rsidR="0050196F" w:rsidRPr="00354C86" w:rsidRDefault="0050196F" w:rsidP="00D02912">
            <w:pPr>
              <w:pStyle w:val="ARfintablebodycentre"/>
              <w:rPr>
                <w:highlight w:val="cyan"/>
              </w:rPr>
            </w:pPr>
          </w:p>
        </w:tc>
      </w:tr>
      <w:tr w:rsidR="0050196F" w:rsidRPr="00532DAE" w14:paraId="152A4D14" w14:textId="77777777" w:rsidTr="00E461BE">
        <w:trPr>
          <w:gridAfter w:val="1"/>
          <w:wAfter w:w="9" w:type="dxa"/>
          <w:cantSplit w:val="0"/>
        </w:trPr>
        <w:tc>
          <w:tcPr>
            <w:tcW w:w="5245" w:type="dxa"/>
            <w:gridSpan w:val="2"/>
            <w:tcBorders>
              <w:bottom w:val="single" w:sz="4" w:space="0" w:color="auto"/>
            </w:tcBorders>
            <w:hideMark/>
          </w:tcPr>
          <w:p w14:paraId="4D1ECDA3" w14:textId="77777777" w:rsidR="0050196F" w:rsidRPr="00532DAE" w:rsidRDefault="0050196F" w:rsidP="00D02912">
            <w:pPr>
              <w:pStyle w:val="ARfintablebodybold"/>
            </w:pPr>
            <w:r w:rsidRPr="00532DAE">
              <w:t>Total financial assets</w:t>
            </w:r>
          </w:p>
        </w:tc>
        <w:tc>
          <w:tcPr>
            <w:tcW w:w="1134" w:type="dxa"/>
            <w:tcBorders>
              <w:bottom w:val="single" w:sz="4" w:space="0" w:color="auto"/>
            </w:tcBorders>
            <w:hideMark/>
          </w:tcPr>
          <w:p w14:paraId="31C3D689" w14:textId="66E6582F" w:rsidR="0050196F" w:rsidRPr="00354C86" w:rsidRDefault="0050196F" w:rsidP="00D02912">
            <w:pPr>
              <w:pStyle w:val="ARfintablebodyrightbold"/>
              <w:rPr>
                <w:highlight w:val="cyan"/>
              </w:rPr>
            </w:pPr>
            <w:r w:rsidRPr="009A0F64">
              <w:t>978</w:t>
            </w:r>
          </w:p>
        </w:tc>
        <w:tc>
          <w:tcPr>
            <w:tcW w:w="1134" w:type="dxa"/>
            <w:tcBorders>
              <w:bottom w:val="single" w:sz="4" w:space="0" w:color="auto"/>
            </w:tcBorders>
            <w:hideMark/>
          </w:tcPr>
          <w:p w14:paraId="410A1AF7" w14:textId="68903D9B" w:rsidR="0050196F" w:rsidRPr="00354C86" w:rsidRDefault="0050196F" w:rsidP="00D02912">
            <w:pPr>
              <w:pStyle w:val="ARfintablebodyrightbold"/>
              <w:rPr>
                <w:highlight w:val="cyan"/>
              </w:rPr>
            </w:pPr>
            <w:r w:rsidRPr="00157B69">
              <w:t>824</w:t>
            </w:r>
          </w:p>
        </w:tc>
        <w:tc>
          <w:tcPr>
            <w:tcW w:w="1134" w:type="dxa"/>
            <w:tcBorders>
              <w:bottom w:val="single" w:sz="4" w:space="0" w:color="auto"/>
            </w:tcBorders>
            <w:hideMark/>
          </w:tcPr>
          <w:p w14:paraId="3BB93D5D" w14:textId="7014B6EF" w:rsidR="0050196F" w:rsidRPr="00354C86" w:rsidRDefault="0050196F" w:rsidP="00D02912">
            <w:pPr>
              <w:pStyle w:val="ARfintablebodyrightbold"/>
              <w:rPr>
                <w:highlight w:val="cyan"/>
              </w:rPr>
            </w:pPr>
            <w:r w:rsidRPr="00D2769E">
              <w:t>18.6</w:t>
            </w:r>
          </w:p>
        </w:tc>
        <w:tc>
          <w:tcPr>
            <w:tcW w:w="1134" w:type="dxa"/>
            <w:tcBorders>
              <w:bottom w:val="single" w:sz="4" w:space="0" w:color="auto"/>
            </w:tcBorders>
            <w:hideMark/>
          </w:tcPr>
          <w:p w14:paraId="4C73E523" w14:textId="77777777" w:rsidR="0050196F" w:rsidRPr="00354C86" w:rsidRDefault="0050196F" w:rsidP="00D02912">
            <w:pPr>
              <w:pStyle w:val="ARfintablebodycentre"/>
              <w:rPr>
                <w:highlight w:val="cyan"/>
              </w:rPr>
            </w:pPr>
          </w:p>
        </w:tc>
      </w:tr>
      <w:tr w:rsidR="0050196F" w:rsidRPr="00900A85" w14:paraId="1235943B" w14:textId="77777777" w:rsidTr="00E461BE">
        <w:trPr>
          <w:gridAfter w:val="1"/>
          <w:wAfter w:w="9" w:type="dxa"/>
          <w:cantSplit w:val="0"/>
        </w:trPr>
        <w:tc>
          <w:tcPr>
            <w:tcW w:w="9781" w:type="dxa"/>
            <w:gridSpan w:val="6"/>
            <w:tcBorders>
              <w:top w:val="single" w:sz="4" w:space="0" w:color="auto"/>
              <w:bottom w:val="single" w:sz="2" w:space="0" w:color="000000" w:themeColor="text1"/>
            </w:tcBorders>
          </w:tcPr>
          <w:p w14:paraId="12DBB82F" w14:textId="77777777" w:rsidR="0050196F" w:rsidRPr="008E0EB2" w:rsidRDefault="0050196F" w:rsidP="00D02912">
            <w:pPr>
              <w:pStyle w:val="ARfintablebodybold"/>
              <w:rPr>
                <w:b w:val="0"/>
                <w:bCs w:val="0"/>
              </w:rPr>
            </w:pPr>
            <w:r w:rsidRPr="008E0EB2">
              <w:t>Non-financial assets</w:t>
            </w:r>
          </w:p>
        </w:tc>
      </w:tr>
      <w:tr w:rsidR="0050196F" w:rsidRPr="00532DAE" w14:paraId="1765711F" w14:textId="77777777" w:rsidTr="00E461BE">
        <w:trPr>
          <w:gridAfter w:val="1"/>
          <w:wAfter w:w="9" w:type="dxa"/>
          <w:cantSplit w:val="0"/>
        </w:trPr>
        <w:tc>
          <w:tcPr>
            <w:tcW w:w="5245" w:type="dxa"/>
            <w:gridSpan w:val="2"/>
            <w:tcBorders>
              <w:top w:val="single" w:sz="2" w:space="0" w:color="000000" w:themeColor="text1"/>
              <w:bottom w:val="single" w:sz="4" w:space="0" w:color="A6A6A6"/>
            </w:tcBorders>
            <w:hideMark/>
          </w:tcPr>
          <w:p w14:paraId="2C8454E8" w14:textId="517429F9" w:rsidR="0050196F" w:rsidRPr="00532DAE" w:rsidRDefault="0050196F" w:rsidP="00D02912">
            <w:pPr>
              <w:pStyle w:val="ARfintablebody"/>
            </w:pPr>
            <w:r w:rsidRPr="00532DAE">
              <w:t>Non-financial assets classified as held for sale including disposal group assets</w:t>
            </w:r>
          </w:p>
        </w:tc>
        <w:tc>
          <w:tcPr>
            <w:tcW w:w="1134" w:type="dxa"/>
            <w:tcBorders>
              <w:top w:val="single" w:sz="2" w:space="0" w:color="000000" w:themeColor="text1"/>
              <w:bottom w:val="single" w:sz="4" w:space="0" w:color="A6A6A6"/>
            </w:tcBorders>
            <w:hideMark/>
          </w:tcPr>
          <w:p w14:paraId="6BBA07F8" w14:textId="4277AF2D" w:rsidR="0050196F" w:rsidRPr="00354C86" w:rsidRDefault="0050196F" w:rsidP="00D02912">
            <w:pPr>
              <w:pStyle w:val="ARfintablebodyright"/>
              <w:rPr>
                <w:highlight w:val="cyan"/>
              </w:rPr>
            </w:pPr>
            <w:r w:rsidRPr="002C77B1">
              <w:t>2</w:t>
            </w:r>
          </w:p>
        </w:tc>
        <w:tc>
          <w:tcPr>
            <w:tcW w:w="1134" w:type="dxa"/>
            <w:tcBorders>
              <w:top w:val="single" w:sz="2" w:space="0" w:color="000000" w:themeColor="text1"/>
              <w:bottom w:val="single" w:sz="4" w:space="0" w:color="A6A6A6"/>
            </w:tcBorders>
            <w:hideMark/>
          </w:tcPr>
          <w:p w14:paraId="5AD09E11" w14:textId="79466714" w:rsidR="0050196F" w:rsidRPr="00354C86" w:rsidRDefault="0050196F" w:rsidP="00D02912">
            <w:pPr>
              <w:pStyle w:val="ARfintablebodyright"/>
              <w:rPr>
                <w:highlight w:val="cyan"/>
              </w:rPr>
            </w:pPr>
            <w:r w:rsidRPr="001A60EA">
              <w:t>1</w:t>
            </w:r>
          </w:p>
        </w:tc>
        <w:tc>
          <w:tcPr>
            <w:tcW w:w="1134" w:type="dxa"/>
            <w:tcBorders>
              <w:top w:val="single" w:sz="2" w:space="0" w:color="000000" w:themeColor="text1"/>
              <w:bottom w:val="single" w:sz="4" w:space="0" w:color="A6A6A6"/>
            </w:tcBorders>
            <w:hideMark/>
          </w:tcPr>
          <w:p w14:paraId="104CDE73" w14:textId="58710E11" w:rsidR="0050196F" w:rsidRPr="00354C86" w:rsidRDefault="0050196F" w:rsidP="00D02912">
            <w:pPr>
              <w:pStyle w:val="ARfintablebodyright"/>
              <w:rPr>
                <w:highlight w:val="cyan"/>
              </w:rPr>
            </w:pPr>
            <w:r w:rsidRPr="00AE2A33">
              <w:t>128.0</w:t>
            </w:r>
          </w:p>
        </w:tc>
        <w:tc>
          <w:tcPr>
            <w:tcW w:w="1134" w:type="dxa"/>
            <w:tcBorders>
              <w:top w:val="single" w:sz="2" w:space="0" w:color="000000" w:themeColor="text1"/>
              <w:bottom w:val="single" w:sz="4" w:space="0" w:color="A6A6A6"/>
            </w:tcBorders>
            <w:hideMark/>
          </w:tcPr>
          <w:p w14:paraId="6FFEA74F" w14:textId="77777777" w:rsidR="0050196F" w:rsidRPr="00354C86" w:rsidRDefault="0050196F" w:rsidP="00D02912">
            <w:pPr>
              <w:pStyle w:val="ARfintablebodycentre"/>
              <w:rPr>
                <w:highlight w:val="cyan"/>
              </w:rPr>
            </w:pPr>
          </w:p>
        </w:tc>
      </w:tr>
      <w:tr w:rsidR="0050196F" w:rsidRPr="00532DAE" w14:paraId="1589881D" w14:textId="77777777">
        <w:trPr>
          <w:gridAfter w:val="1"/>
          <w:wAfter w:w="9" w:type="dxa"/>
          <w:cantSplit w:val="0"/>
        </w:trPr>
        <w:tc>
          <w:tcPr>
            <w:tcW w:w="5245" w:type="dxa"/>
            <w:gridSpan w:val="2"/>
            <w:tcBorders>
              <w:top w:val="single" w:sz="4" w:space="0" w:color="A6A6A6"/>
              <w:bottom w:val="single" w:sz="4" w:space="0" w:color="A6A6A6"/>
            </w:tcBorders>
            <w:hideMark/>
          </w:tcPr>
          <w:p w14:paraId="29B169A3" w14:textId="77777777" w:rsidR="0050196F" w:rsidRPr="00532DAE" w:rsidRDefault="0050196F" w:rsidP="00D02912">
            <w:pPr>
              <w:pStyle w:val="ARfintablebody"/>
            </w:pPr>
            <w:r w:rsidRPr="00532DAE">
              <w:t>Property, plant and equipment</w:t>
            </w:r>
          </w:p>
        </w:tc>
        <w:tc>
          <w:tcPr>
            <w:tcW w:w="1134" w:type="dxa"/>
            <w:tcBorders>
              <w:top w:val="single" w:sz="4" w:space="0" w:color="A6A6A6"/>
              <w:bottom w:val="single" w:sz="4" w:space="0" w:color="A6A6A6"/>
            </w:tcBorders>
            <w:hideMark/>
          </w:tcPr>
          <w:p w14:paraId="162E4E9C" w14:textId="11CCA3AC" w:rsidR="0050196F" w:rsidRPr="00354C86" w:rsidRDefault="0050196F" w:rsidP="00D02912">
            <w:pPr>
              <w:pStyle w:val="ARfintablebodyright"/>
              <w:rPr>
                <w:highlight w:val="cyan"/>
              </w:rPr>
            </w:pPr>
            <w:r w:rsidRPr="002C77B1">
              <w:t>1,605</w:t>
            </w:r>
          </w:p>
        </w:tc>
        <w:tc>
          <w:tcPr>
            <w:tcW w:w="1134" w:type="dxa"/>
            <w:tcBorders>
              <w:top w:val="single" w:sz="4" w:space="0" w:color="A6A6A6"/>
              <w:bottom w:val="single" w:sz="4" w:space="0" w:color="A6A6A6"/>
            </w:tcBorders>
            <w:hideMark/>
          </w:tcPr>
          <w:p w14:paraId="098A7996" w14:textId="5B7D6402" w:rsidR="0050196F" w:rsidRPr="00354C86" w:rsidRDefault="0050196F" w:rsidP="00D02912">
            <w:pPr>
              <w:pStyle w:val="ARfintablebodyright"/>
              <w:rPr>
                <w:highlight w:val="cyan"/>
              </w:rPr>
            </w:pPr>
            <w:r w:rsidRPr="00361BA6">
              <w:t>330</w:t>
            </w:r>
          </w:p>
        </w:tc>
        <w:tc>
          <w:tcPr>
            <w:tcW w:w="1134" w:type="dxa"/>
            <w:tcBorders>
              <w:top w:val="single" w:sz="4" w:space="0" w:color="A6A6A6"/>
              <w:bottom w:val="single" w:sz="4" w:space="0" w:color="A6A6A6"/>
            </w:tcBorders>
            <w:hideMark/>
          </w:tcPr>
          <w:p w14:paraId="20672AD6" w14:textId="69EE3AA7" w:rsidR="0050196F" w:rsidRPr="00354C86" w:rsidRDefault="0050196F" w:rsidP="00D02912">
            <w:pPr>
              <w:pStyle w:val="ARfintablebodyright"/>
              <w:rPr>
                <w:highlight w:val="cyan"/>
              </w:rPr>
            </w:pPr>
            <w:r w:rsidRPr="00AF49FF">
              <w:t>14.4</w:t>
            </w:r>
          </w:p>
        </w:tc>
        <w:tc>
          <w:tcPr>
            <w:tcW w:w="1134" w:type="dxa"/>
            <w:tcBorders>
              <w:top w:val="single" w:sz="4" w:space="0" w:color="A6A6A6"/>
              <w:bottom w:val="single" w:sz="4" w:space="0" w:color="A6A6A6"/>
            </w:tcBorders>
            <w:hideMark/>
          </w:tcPr>
          <w:p w14:paraId="30E32830" w14:textId="77777777" w:rsidR="0050196F" w:rsidRPr="00354C86" w:rsidRDefault="0050196F" w:rsidP="00D02912">
            <w:pPr>
              <w:pStyle w:val="ARfintablebodycentre"/>
              <w:rPr>
                <w:highlight w:val="cyan"/>
              </w:rPr>
            </w:pPr>
          </w:p>
        </w:tc>
      </w:tr>
      <w:tr w:rsidR="0050196F" w:rsidRPr="00532DAE" w14:paraId="02BB432B" w14:textId="77777777">
        <w:trPr>
          <w:gridAfter w:val="1"/>
          <w:wAfter w:w="9" w:type="dxa"/>
          <w:cantSplit w:val="0"/>
        </w:trPr>
        <w:tc>
          <w:tcPr>
            <w:tcW w:w="5245" w:type="dxa"/>
            <w:gridSpan w:val="2"/>
            <w:tcBorders>
              <w:top w:val="single" w:sz="4" w:space="0" w:color="A6A6A6"/>
              <w:bottom w:val="single" w:sz="4" w:space="0" w:color="A6A6A6"/>
            </w:tcBorders>
            <w:hideMark/>
          </w:tcPr>
          <w:p w14:paraId="58378FBC" w14:textId="77777777" w:rsidR="0050196F" w:rsidRPr="00532DAE" w:rsidRDefault="0050196F" w:rsidP="00D02912">
            <w:pPr>
              <w:pStyle w:val="ARfintablebody"/>
            </w:pPr>
            <w:r w:rsidRPr="00532DAE">
              <w:t>Intangible assets</w:t>
            </w:r>
          </w:p>
        </w:tc>
        <w:tc>
          <w:tcPr>
            <w:tcW w:w="1134" w:type="dxa"/>
            <w:tcBorders>
              <w:top w:val="single" w:sz="4" w:space="0" w:color="A6A6A6"/>
              <w:bottom w:val="single" w:sz="4" w:space="0" w:color="A6A6A6"/>
            </w:tcBorders>
            <w:hideMark/>
          </w:tcPr>
          <w:p w14:paraId="6691F8E9" w14:textId="6BFA2022" w:rsidR="0050196F" w:rsidRPr="00354C86" w:rsidRDefault="0050196F" w:rsidP="00D02912">
            <w:pPr>
              <w:pStyle w:val="ARfintablebodyright"/>
              <w:rPr>
                <w:highlight w:val="cyan"/>
              </w:rPr>
            </w:pPr>
            <w:r w:rsidRPr="002C77B1">
              <w:t>42</w:t>
            </w:r>
          </w:p>
        </w:tc>
        <w:tc>
          <w:tcPr>
            <w:tcW w:w="1134" w:type="dxa"/>
            <w:tcBorders>
              <w:top w:val="single" w:sz="4" w:space="0" w:color="A6A6A6"/>
              <w:bottom w:val="single" w:sz="4" w:space="0" w:color="A6A6A6"/>
            </w:tcBorders>
            <w:hideMark/>
          </w:tcPr>
          <w:p w14:paraId="0906E5C7" w14:textId="71C66BA4" w:rsidR="0050196F" w:rsidRPr="00354C86" w:rsidRDefault="0050196F" w:rsidP="00D02912">
            <w:pPr>
              <w:pStyle w:val="ARfintablebodyright"/>
              <w:rPr>
                <w:highlight w:val="cyan"/>
              </w:rPr>
            </w:pPr>
            <w:r w:rsidRPr="00361BA6">
              <w:t>35</w:t>
            </w:r>
          </w:p>
        </w:tc>
        <w:tc>
          <w:tcPr>
            <w:tcW w:w="1134" w:type="dxa"/>
            <w:tcBorders>
              <w:top w:val="single" w:sz="4" w:space="0" w:color="A6A6A6"/>
              <w:bottom w:val="single" w:sz="4" w:space="0" w:color="A6A6A6"/>
            </w:tcBorders>
            <w:hideMark/>
          </w:tcPr>
          <w:p w14:paraId="68A9C2AE" w14:textId="2F3BD922" w:rsidR="0050196F" w:rsidRPr="00354C86" w:rsidRDefault="0050196F" w:rsidP="00D02912">
            <w:pPr>
              <w:pStyle w:val="ARfintablebodyright"/>
              <w:rPr>
                <w:highlight w:val="cyan"/>
              </w:rPr>
            </w:pPr>
            <w:r w:rsidRPr="00AF49FF">
              <w:t>14.9</w:t>
            </w:r>
          </w:p>
        </w:tc>
        <w:tc>
          <w:tcPr>
            <w:tcW w:w="1134" w:type="dxa"/>
            <w:tcBorders>
              <w:top w:val="single" w:sz="4" w:space="0" w:color="A6A6A6"/>
              <w:bottom w:val="single" w:sz="4" w:space="0" w:color="A6A6A6"/>
            </w:tcBorders>
            <w:hideMark/>
          </w:tcPr>
          <w:p w14:paraId="539E80AD" w14:textId="77777777" w:rsidR="0050196F" w:rsidRPr="00354C86" w:rsidRDefault="0050196F" w:rsidP="00D02912">
            <w:pPr>
              <w:pStyle w:val="ARfintablebodycentre"/>
              <w:rPr>
                <w:highlight w:val="cyan"/>
              </w:rPr>
            </w:pPr>
          </w:p>
        </w:tc>
      </w:tr>
      <w:tr w:rsidR="0050196F" w:rsidRPr="00532DAE" w14:paraId="6EB0D66C" w14:textId="77777777">
        <w:trPr>
          <w:gridAfter w:val="1"/>
          <w:wAfter w:w="9" w:type="dxa"/>
          <w:cantSplit w:val="0"/>
        </w:trPr>
        <w:tc>
          <w:tcPr>
            <w:tcW w:w="5245" w:type="dxa"/>
            <w:gridSpan w:val="2"/>
            <w:tcBorders>
              <w:top w:val="single" w:sz="4" w:space="0" w:color="A6A6A6"/>
            </w:tcBorders>
            <w:hideMark/>
          </w:tcPr>
          <w:p w14:paraId="650C85B0" w14:textId="77777777" w:rsidR="0050196F" w:rsidRPr="00532DAE" w:rsidRDefault="0050196F" w:rsidP="00D02912">
            <w:pPr>
              <w:pStyle w:val="ARfintablebody"/>
            </w:pPr>
            <w:r w:rsidRPr="00532DAE">
              <w:t>Other</w:t>
            </w:r>
          </w:p>
        </w:tc>
        <w:tc>
          <w:tcPr>
            <w:tcW w:w="1134" w:type="dxa"/>
            <w:tcBorders>
              <w:top w:val="single" w:sz="4" w:space="0" w:color="A6A6A6"/>
            </w:tcBorders>
            <w:hideMark/>
          </w:tcPr>
          <w:p w14:paraId="2C718C34" w14:textId="44DD29D0" w:rsidR="0050196F" w:rsidRPr="00354C86" w:rsidRDefault="0050196F" w:rsidP="00D02912">
            <w:pPr>
              <w:pStyle w:val="ARfintablebodyright"/>
              <w:rPr>
                <w:highlight w:val="cyan"/>
              </w:rPr>
            </w:pPr>
            <w:r w:rsidRPr="002C77B1">
              <w:t>6</w:t>
            </w:r>
          </w:p>
        </w:tc>
        <w:tc>
          <w:tcPr>
            <w:tcW w:w="1134" w:type="dxa"/>
            <w:tcBorders>
              <w:top w:val="single" w:sz="4" w:space="0" w:color="A6A6A6"/>
            </w:tcBorders>
            <w:hideMark/>
          </w:tcPr>
          <w:p w14:paraId="1B1C7A83" w14:textId="711BB619" w:rsidR="0050196F" w:rsidRPr="00354C86" w:rsidRDefault="0050196F" w:rsidP="00D02912">
            <w:pPr>
              <w:pStyle w:val="ARfintablebodyright"/>
              <w:rPr>
                <w:highlight w:val="cyan"/>
              </w:rPr>
            </w:pPr>
            <w:r w:rsidRPr="00361BA6">
              <w:t>448</w:t>
            </w:r>
          </w:p>
        </w:tc>
        <w:tc>
          <w:tcPr>
            <w:tcW w:w="1134" w:type="dxa"/>
            <w:tcBorders>
              <w:top w:val="single" w:sz="4" w:space="0" w:color="A6A6A6"/>
            </w:tcBorders>
            <w:hideMark/>
          </w:tcPr>
          <w:p w14:paraId="2E94C257" w14:textId="796519BF" w:rsidR="0050196F" w:rsidRPr="00354C86" w:rsidRDefault="0050196F" w:rsidP="00D02912">
            <w:pPr>
              <w:pStyle w:val="ARfintablebodyright"/>
              <w:rPr>
                <w:highlight w:val="cyan"/>
              </w:rPr>
            </w:pPr>
            <w:r w:rsidRPr="00AF49FF">
              <w:t>67.5</w:t>
            </w:r>
          </w:p>
        </w:tc>
        <w:tc>
          <w:tcPr>
            <w:tcW w:w="1134" w:type="dxa"/>
            <w:tcBorders>
              <w:top w:val="single" w:sz="4" w:space="0" w:color="A6A6A6"/>
            </w:tcBorders>
            <w:hideMark/>
          </w:tcPr>
          <w:p w14:paraId="1BF059C7" w14:textId="77777777" w:rsidR="0050196F" w:rsidRPr="00354C86" w:rsidRDefault="0050196F" w:rsidP="00D02912">
            <w:pPr>
              <w:pStyle w:val="ARfintablebodycentre"/>
              <w:rPr>
                <w:highlight w:val="cyan"/>
              </w:rPr>
            </w:pPr>
          </w:p>
        </w:tc>
      </w:tr>
      <w:tr w:rsidR="0050196F" w:rsidRPr="00532DAE" w14:paraId="6E80CC65" w14:textId="77777777">
        <w:trPr>
          <w:gridAfter w:val="1"/>
          <w:wAfter w:w="9" w:type="dxa"/>
          <w:cantSplit w:val="0"/>
        </w:trPr>
        <w:tc>
          <w:tcPr>
            <w:tcW w:w="5245" w:type="dxa"/>
            <w:gridSpan w:val="2"/>
            <w:hideMark/>
          </w:tcPr>
          <w:p w14:paraId="111ED0BE" w14:textId="77777777" w:rsidR="0050196F" w:rsidRPr="00532DAE" w:rsidRDefault="0050196F" w:rsidP="00D02912">
            <w:pPr>
              <w:pStyle w:val="ARfintablebodybold"/>
            </w:pPr>
            <w:r w:rsidRPr="00532DAE">
              <w:t>Total non-financial assets</w:t>
            </w:r>
          </w:p>
        </w:tc>
        <w:tc>
          <w:tcPr>
            <w:tcW w:w="1134" w:type="dxa"/>
            <w:hideMark/>
          </w:tcPr>
          <w:p w14:paraId="663AC4E4" w14:textId="4CA7DCE7" w:rsidR="0050196F" w:rsidRPr="00354C86" w:rsidRDefault="0050196F" w:rsidP="00D02912">
            <w:pPr>
              <w:pStyle w:val="ARfintablebodyrightbold"/>
              <w:rPr>
                <w:highlight w:val="cyan"/>
              </w:rPr>
            </w:pPr>
            <w:r w:rsidRPr="002C77B1">
              <w:t>1,655</w:t>
            </w:r>
          </w:p>
        </w:tc>
        <w:tc>
          <w:tcPr>
            <w:tcW w:w="1134" w:type="dxa"/>
            <w:hideMark/>
          </w:tcPr>
          <w:p w14:paraId="77A03DAF" w14:textId="470AC981" w:rsidR="0050196F" w:rsidRPr="00354C86" w:rsidRDefault="0050196F" w:rsidP="00D02912">
            <w:pPr>
              <w:pStyle w:val="ARfintablebodyrightbold"/>
              <w:rPr>
                <w:highlight w:val="cyan"/>
              </w:rPr>
            </w:pPr>
            <w:r w:rsidRPr="00361BA6">
              <w:t>813</w:t>
            </w:r>
          </w:p>
        </w:tc>
        <w:tc>
          <w:tcPr>
            <w:tcW w:w="1134" w:type="dxa"/>
            <w:hideMark/>
          </w:tcPr>
          <w:p w14:paraId="596B6120" w14:textId="7107F7E1" w:rsidR="0050196F" w:rsidRPr="00354C86" w:rsidRDefault="0050196F" w:rsidP="00D02912">
            <w:pPr>
              <w:pStyle w:val="ARfintablebodyrightbold"/>
              <w:rPr>
                <w:highlight w:val="cyan"/>
              </w:rPr>
            </w:pPr>
            <w:r w:rsidRPr="00AF49FF">
              <w:t>43.7</w:t>
            </w:r>
          </w:p>
        </w:tc>
        <w:tc>
          <w:tcPr>
            <w:tcW w:w="1134" w:type="dxa"/>
            <w:hideMark/>
          </w:tcPr>
          <w:p w14:paraId="077A00E4" w14:textId="77777777" w:rsidR="0050196F" w:rsidRPr="00354C86" w:rsidRDefault="0050196F" w:rsidP="00D02912">
            <w:pPr>
              <w:pStyle w:val="ARfintablebodycentre"/>
              <w:rPr>
                <w:highlight w:val="cyan"/>
              </w:rPr>
            </w:pPr>
          </w:p>
        </w:tc>
      </w:tr>
      <w:tr w:rsidR="0050196F" w:rsidRPr="00532DAE" w14:paraId="6FD2702F" w14:textId="77777777" w:rsidTr="00E461BE">
        <w:trPr>
          <w:gridAfter w:val="1"/>
          <w:wAfter w:w="9" w:type="dxa"/>
          <w:cantSplit w:val="0"/>
        </w:trPr>
        <w:tc>
          <w:tcPr>
            <w:tcW w:w="5245" w:type="dxa"/>
            <w:gridSpan w:val="2"/>
            <w:tcBorders>
              <w:bottom w:val="single" w:sz="4" w:space="0" w:color="auto"/>
            </w:tcBorders>
            <w:hideMark/>
          </w:tcPr>
          <w:p w14:paraId="5E2E26EA" w14:textId="77777777" w:rsidR="0050196F" w:rsidRPr="00532DAE" w:rsidRDefault="0050196F" w:rsidP="00D02912">
            <w:pPr>
              <w:pStyle w:val="ARfintablebodybold"/>
            </w:pPr>
            <w:r w:rsidRPr="00532DAE">
              <w:t>Total assets</w:t>
            </w:r>
          </w:p>
        </w:tc>
        <w:tc>
          <w:tcPr>
            <w:tcW w:w="1134" w:type="dxa"/>
            <w:tcBorders>
              <w:bottom w:val="single" w:sz="4" w:space="0" w:color="auto"/>
            </w:tcBorders>
            <w:hideMark/>
          </w:tcPr>
          <w:p w14:paraId="2B97D253" w14:textId="52E9C4FE" w:rsidR="0050196F" w:rsidRPr="00354C86" w:rsidRDefault="0050196F" w:rsidP="00D02912">
            <w:pPr>
              <w:pStyle w:val="ARfintablebodyrightbold"/>
              <w:rPr>
                <w:highlight w:val="cyan"/>
              </w:rPr>
            </w:pPr>
            <w:r w:rsidRPr="002C77B1">
              <w:t>2,633</w:t>
            </w:r>
          </w:p>
        </w:tc>
        <w:tc>
          <w:tcPr>
            <w:tcW w:w="1134" w:type="dxa"/>
            <w:tcBorders>
              <w:bottom w:val="single" w:sz="4" w:space="0" w:color="auto"/>
            </w:tcBorders>
            <w:hideMark/>
          </w:tcPr>
          <w:p w14:paraId="7A6C8288" w14:textId="752F3FDA" w:rsidR="0050196F" w:rsidRPr="00354C86" w:rsidRDefault="0050196F" w:rsidP="00D02912">
            <w:pPr>
              <w:pStyle w:val="ARfintablebodyrightbold"/>
              <w:rPr>
                <w:highlight w:val="cyan"/>
              </w:rPr>
            </w:pPr>
            <w:r w:rsidRPr="00361BA6">
              <w:t>1,730</w:t>
            </w:r>
          </w:p>
        </w:tc>
        <w:tc>
          <w:tcPr>
            <w:tcW w:w="1134" w:type="dxa"/>
            <w:tcBorders>
              <w:bottom w:val="single" w:sz="4" w:space="0" w:color="auto"/>
            </w:tcBorders>
            <w:hideMark/>
          </w:tcPr>
          <w:p w14:paraId="2FD88714" w14:textId="30B18DF3" w:rsidR="0050196F" w:rsidRPr="00354C86" w:rsidRDefault="0050196F" w:rsidP="00D02912">
            <w:pPr>
              <w:pStyle w:val="ARfintablebodyrightbold"/>
              <w:rPr>
                <w:highlight w:val="cyan"/>
              </w:rPr>
            </w:pPr>
            <w:r w:rsidRPr="00AF49FF">
              <w:t>(15.3)</w:t>
            </w:r>
          </w:p>
        </w:tc>
        <w:tc>
          <w:tcPr>
            <w:tcW w:w="1134" w:type="dxa"/>
            <w:tcBorders>
              <w:bottom w:val="single" w:sz="4" w:space="0" w:color="auto"/>
            </w:tcBorders>
            <w:hideMark/>
          </w:tcPr>
          <w:p w14:paraId="20C2E4DB" w14:textId="77777777" w:rsidR="0050196F" w:rsidRPr="00354C86" w:rsidRDefault="0050196F" w:rsidP="00D02912">
            <w:pPr>
              <w:pStyle w:val="ARfintablebodycentre"/>
              <w:rPr>
                <w:highlight w:val="cyan"/>
              </w:rPr>
            </w:pPr>
          </w:p>
        </w:tc>
      </w:tr>
      <w:tr w:rsidR="0050196F" w:rsidRPr="00532DAE" w14:paraId="236CEA3B" w14:textId="77777777" w:rsidTr="00E461BE">
        <w:trPr>
          <w:gridAfter w:val="1"/>
          <w:wAfter w:w="9" w:type="dxa"/>
          <w:cantSplit w:val="0"/>
        </w:trPr>
        <w:tc>
          <w:tcPr>
            <w:tcW w:w="9781" w:type="dxa"/>
            <w:gridSpan w:val="6"/>
            <w:tcBorders>
              <w:top w:val="single" w:sz="4" w:space="0" w:color="auto"/>
              <w:bottom w:val="single" w:sz="2" w:space="0" w:color="A6A6A6" w:themeColor="accent5"/>
            </w:tcBorders>
          </w:tcPr>
          <w:p w14:paraId="7726B7FA" w14:textId="77777777" w:rsidR="0050196F" w:rsidRPr="00354C86" w:rsidRDefault="0050196F" w:rsidP="00D02912">
            <w:pPr>
              <w:pStyle w:val="ARfintablebodybold"/>
              <w:rPr>
                <w:highlight w:val="cyan"/>
              </w:rPr>
            </w:pPr>
            <w:r w:rsidRPr="000758DB">
              <w:rPr>
                <w:b w:val="0"/>
                <w:bCs w:val="0"/>
              </w:rPr>
              <w:t>Liabilities</w:t>
            </w:r>
          </w:p>
        </w:tc>
      </w:tr>
      <w:tr w:rsidR="0050196F" w:rsidRPr="00532DAE" w14:paraId="617B076F" w14:textId="77777777" w:rsidTr="00E461BE">
        <w:trPr>
          <w:gridAfter w:val="1"/>
          <w:wAfter w:w="9" w:type="dxa"/>
          <w:cantSplit w:val="0"/>
        </w:trPr>
        <w:tc>
          <w:tcPr>
            <w:tcW w:w="5245" w:type="dxa"/>
            <w:gridSpan w:val="2"/>
            <w:tcBorders>
              <w:top w:val="single" w:sz="2" w:space="0" w:color="A6A6A6" w:themeColor="accent5"/>
              <w:bottom w:val="single" w:sz="4" w:space="0" w:color="A6A6A6"/>
            </w:tcBorders>
            <w:hideMark/>
          </w:tcPr>
          <w:p w14:paraId="2462AF61" w14:textId="77777777" w:rsidR="0050196F" w:rsidRPr="00532DAE" w:rsidRDefault="0050196F" w:rsidP="00D02912">
            <w:pPr>
              <w:pStyle w:val="ARfintablebody"/>
            </w:pPr>
            <w:r w:rsidRPr="00532DAE">
              <w:t>Payables</w:t>
            </w:r>
          </w:p>
        </w:tc>
        <w:tc>
          <w:tcPr>
            <w:tcW w:w="1134" w:type="dxa"/>
            <w:tcBorders>
              <w:top w:val="single" w:sz="2" w:space="0" w:color="A6A6A6" w:themeColor="accent5"/>
              <w:bottom w:val="single" w:sz="4" w:space="0" w:color="A6A6A6"/>
            </w:tcBorders>
            <w:hideMark/>
          </w:tcPr>
          <w:p w14:paraId="78EEDCD3" w14:textId="42D9E95B" w:rsidR="0050196F" w:rsidRPr="00354C86" w:rsidRDefault="0050196F" w:rsidP="00D02912">
            <w:pPr>
              <w:pStyle w:val="ARfintablebodyright"/>
              <w:rPr>
                <w:highlight w:val="cyan"/>
              </w:rPr>
            </w:pPr>
            <w:r w:rsidRPr="00433A9F">
              <w:t>377</w:t>
            </w:r>
          </w:p>
        </w:tc>
        <w:tc>
          <w:tcPr>
            <w:tcW w:w="1134" w:type="dxa"/>
            <w:tcBorders>
              <w:top w:val="single" w:sz="2" w:space="0" w:color="A6A6A6" w:themeColor="accent5"/>
              <w:bottom w:val="single" w:sz="4" w:space="0" w:color="A6A6A6"/>
            </w:tcBorders>
            <w:hideMark/>
          </w:tcPr>
          <w:p w14:paraId="7E9A7A84" w14:textId="18F9D338" w:rsidR="0050196F" w:rsidRPr="00354C86" w:rsidRDefault="0050196F" w:rsidP="00D02912">
            <w:pPr>
              <w:pStyle w:val="ARfintablebodyright"/>
              <w:rPr>
                <w:highlight w:val="cyan"/>
              </w:rPr>
            </w:pPr>
            <w:r w:rsidRPr="006C49F5">
              <w:t>330</w:t>
            </w:r>
          </w:p>
        </w:tc>
        <w:tc>
          <w:tcPr>
            <w:tcW w:w="1134" w:type="dxa"/>
            <w:tcBorders>
              <w:top w:val="single" w:sz="2" w:space="0" w:color="A6A6A6" w:themeColor="accent5"/>
              <w:bottom w:val="single" w:sz="4" w:space="0" w:color="A6A6A6"/>
            </w:tcBorders>
            <w:hideMark/>
          </w:tcPr>
          <w:p w14:paraId="075B2181" w14:textId="0E4FA2E7" w:rsidR="0050196F" w:rsidRPr="00354C86" w:rsidRDefault="0050196F" w:rsidP="00D02912">
            <w:pPr>
              <w:pStyle w:val="ARfintablebodyright"/>
              <w:rPr>
                <w:highlight w:val="cyan"/>
              </w:rPr>
            </w:pPr>
            <w:r w:rsidRPr="00140BB3">
              <w:t>14.4</w:t>
            </w:r>
          </w:p>
        </w:tc>
        <w:tc>
          <w:tcPr>
            <w:tcW w:w="1134" w:type="dxa"/>
            <w:tcBorders>
              <w:top w:val="single" w:sz="2" w:space="0" w:color="A6A6A6" w:themeColor="accent5"/>
              <w:bottom w:val="single" w:sz="4" w:space="0" w:color="A6A6A6"/>
            </w:tcBorders>
            <w:hideMark/>
          </w:tcPr>
          <w:p w14:paraId="4E20F59B" w14:textId="77777777" w:rsidR="0050196F" w:rsidRPr="00C959E1" w:rsidRDefault="0050196F" w:rsidP="00D02912">
            <w:pPr>
              <w:pStyle w:val="ARfintablebodycentre"/>
            </w:pPr>
            <w:r w:rsidRPr="00C959E1">
              <w:t>(b)</w:t>
            </w:r>
          </w:p>
        </w:tc>
      </w:tr>
      <w:tr w:rsidR="0050196F" w:rsidRPr="00532DAE" w14:paraId="69360694" w14:textId="77777777">
        <w:trPr>
          <w:gridAfter w:val="1"/>
          <w:wAfter w:w="9" w:type="dxa"/>
          <w:cantSplit w:val="0"/>
        </w:trPr>
        <w:tc>
          <w:tcPr>
            <w:tcW w:w="5245" w:type="dxa"/>
            <w:gridSpan w:val="2"/>
            <w:tcBorders>
              <w:top w:val="single" w:sz="4" w:space="0" w:color="A6A6A6"/>
              <w:bottom w:val="single" w:sz="4" w:space="0" w:color="A6A6A6"/>
            </w:tcBorders>
          </w:tcPr>
          <w:p w14:paraId="47D91C25" w14:textId="77777777" w:rsidR="0050196F" w:rsidRPr="00532DAE" w:rsidRDefault="0050196F" w:rsidP="00D02912">
            <w:pPr>
              <w:pStyle w:val="ARfintablebody"/>
            </w:pPr>
            <w:r w:rsidRPr="00532DAE">
              <w:t>Borrowings</w:t>
            </w:r>
          </w:p>
        </w:tc>
        <w:tc>
          <w:tcPr>
            <w:tcW w:w="1134" w:type="dxa"/>
            <w:tcBorders>
              <w:top w:val="single" w:sz="4" w:space="0" w:color="A6A6A6"/>
              <w:bottom w:val="single" w:sz="4" w:space="0" w:color="A6A6A6"/>
            </w:tcBorders>
          </w:tcPr>
          <w:p w14:paraId="6F1983B7" w14:textId="673EAA2E" w:rsidR="0050196F" w:rsidRPr="00354C86" w:rsidRDefault="0050196F" w:rsidP="00D02912">
            <w:pPr>
              <w:pStyle w:val="ARfintablebodyright"/>
              <w:rPr>
                <w:highlight w:val="cyan"/>
              </w:rPr>
            </w:pPr>
            <w:r w:rsidRPr="00433A9F">
              <w:t>40</w:t>
            </w:r>
          </w:p>
        </w:tc>
        <w:tc>
          <w:tcPr>
            <w:tcW w:w="1134" w:type="dxa"/>
            <w:tcBorders>
              <w:top w:val="single" w:sz="4" w:space="0" w:color="A6A6A6"/>
              <w:bottom w:val="single" w:sz="4" w:space="0" w:color="A6A6A6"/>
            </w:tcBorders>
          </w:tcPr>
          <w:p w14:paraId="40DF003D" w14:textId="0B4B3AF9" w:rsidR="0050196F" w:rsidRPr="00354C86" w:rsidRDefault="0050196F" w:rsidP="00D02912">
            <w:pPr>
              <w:pStyle w:val="ARfintablebodyright"/>
              <w:rPr>
                <w:highlight w:val="cyan"/>
              </w:rPr>
            </w:pPr>
            <w:r w:rsidRPr="006C49F5">
              <w:t>35</w:t>
            </w:r>
          </w:p>
        </w:tc>
        <w:tc>
          <w:tcPr>
            <w:tcW w:w="1134" w:type="dxa"/>
            <w:tcBorders>
              <w:top w:val="single" w:sz="4" w:space="0" w:color="A6A6A6"/>
              <w:bottom w:val="single" w:sz="4" w:space="0" w:color="A6A6A6"/>
            </w:tcBorders>
          </w:tcPr>
          <w:p w14:paraId="4618E845" w14:textId="1759DBDE" w:rsidR="0050196F" w:rsidRPr="00354C86" w:rsidRDefault="0050196F" w:rsidP="00D02912">
            <w:pPr>
              <w:pStyle w:val="ARfintablebodyright"/>
              <w:rPr>
                <w:highlight w:val="cyan"/>
              </w:rPr>
            </w:pPr>
            <w:r w:rsidRPr="00140BB3">
              <w:t>14.9</w:t>
            </w:r>
          </w:p>
        </w:tc>
        <w:tc>
          <w:tcPr>
            <w:tcW w:w="1134" w:type="dxa"/>
            <w:tcBorders>
              <w:top w:val="single" w:sz="4" w:space="0" w:color="A6A6A6"/>
              <w:bottom w:val="single" w:sz="4" w:space="0" w:color="A6A6A6"/>
            </w:tcBorders>
          </w:tcPr>
          <w:p w14:paraId="44937D2D" w14:textId="77777777" w:rsidR="0050196F" w:rsidRPr="00C959E1" w:rsidRDefault="0050196F" w:rsidP="00D02912">
            <w:pPr>
              <w:pStyle w:val="ARfintablebodycentre"/>
            </w:pPr>
          </w:p>
        </w:tc>
      </w:tr>
      <w:tr w:rsidR="0050196F" w:rsidRPr="00532DAE" w14:paraId="4ED6310E" w14:textId="77777777">
        <w:trPr>
          <w:gridAfter w:val="1"/>
          <w:wAfter w:w="9" w:type="dxa"/>
          <w:cantSplit w:val="0"/>
        </w:trPr>
        <w:tc>
          <w:tcPr>
            <w:tcW w:w="5245" w:type="dxa"/>
            <w:gridSpan w:val="2"/>
            <w:tcBorders>
              <w:top w:val="single" w:sz="4" w:space="0" w:color="A6A6A6"/>
              <w:bottom w:val="single" w:sz="4" w:space="0" w:color="A6A6A6"/>
            </w:tcBorders>
            <w:hideMark/>
          </w:tcPr>
          <w:p w14:paraId="58A756CC" w14:textId="77777777" w:rsidR="0050196F" w:rsidRPr="00532DAE" w:rsidRDefault="0050196F" w:rsidP="00D02912">
            <w:pPr>
              <w:pStyle w:val="ARfintablebody"/>
            </w:pPr>
            <w:r w:rsidRPr="00532DAE">
              <w:t>Provisions</w:t>
            </w:r>
          </w:p>
        </w:tc>
        <w:tc>
          <w:tcPr>
            <w:tcW w:w="1134" w:type="dxa"/>
            <w:tcBorders>
              <w:top w:val="single" w:sz="4" w:space="0" w:color="A6A6A6"/>
              <w:bottom w:val="single" w:sz="4" w:space="0" w:color="A6A6A6"/>
            </w:tcBorders>
            <w:hideMark/>
          </w:tcPr>
          <w:p w14:paraId="26B9B3B1" w14:textId="628DDD3B" w:rsidR="0050196F" w:rsidRPr="00354C86" w:rsidRDefault="0050196F" w:rsidP="00D02912">
            <w:pPr>
              <w:pStyle w:val="ARfintablebodyright"/>
              <w:rPr>
                <w:highlight w:val="cyan"/>
              </w:rPr>
            </w:pPr>
            <w:r w:rsidRPr="00433A9F">
              <w:t>750</w:t>
            </w:r>
          </w:p>
        </w:tc>
        <w:tc>
          <w:tcPr>
            <w:tcW w:w="1134" w:type="dxa"/>
            <w:tcBorders>
              <w:top w:val="single" w:sz="4" w:space="0" w:color="A6A6A6"/>
              <w:bottom w:val="single" w:sz="4" w:space="0" w:color="A6A6A6"/>
            </w:tcBorders>
            <w:hideMark/>
          </w:tcPr>
          <w:p w14:paraId="3D2F5023" w14:textId="2C0C129E" w:rsidR="0050196F" w:rsidRPr="00354C86" w:rsidRDefault="0050196F" w:rsidP="00D02912">
            <w:pPr>
              <w:pStyle w:val="ARfintablebodyright"/>
              <w:rPr>
                <w:highlight w:val="cyan"/>
              </w:rPr>
            </w:pPr>
            <w:r w:rsidRPr="006C49F5">
              <w:t>448</w:t>
            </w:r>
          </w:p>
        </w:tc>
        <w:tc>
          <w:tcPr>
            <w:tcW w:w="1134" w:type="dxa"/>
            <w:tcBorders>
              <w:top w:val="single" w:sz="4" w:space="0" w:color="A6A6A6"/>
              <w:bottom w:val="single" w:sz="4" w:space="0" w:color="A6A6A6"/>
            </w:tcBorders>
            <w:hideMark/>
          </w:tcPr>
          <w:p w14:paraId="5B222974" w14:textId="4FEFA56B" w:rsidR="0050196F" w:rsidRPr="00354C86" w:rsidRDefault="0050196F" w:rsidP="00D02912">
            <w:pPr>
              <w:pStyle w:val="ARfintablebodyright"/>
              <w:rPr>
                <w:highlight w:val="cyan"/>
              </w:rPr>
            </w:pPr>
            <w:r w:rsidRPr="00140BB3">
              <w:t>67.5</w:t>
            </w:r>
          </w:p>
        </w:tc>
        <w:tc>
          <w:tcPr>
            <w:tcW w:w="1134" w:type="dxa"/>
            <w:tcBorders>
              <w:top w:val="single" w:sz="4" w:space="0" w:color="A6A6A6"/>
              <w:bottom w:val="single" w:sz="4" w:space="0" w:color="A6A6A6"/>
            </w:tcBorders>
            <w:hideMark/>
          </w:tcPr>
          <w:p w14:paraId="489D1FB5" w14:textId="77777777" w:rsidR="0050196F" w:rsidRPr="00C959E1" w:rsidRDefault="0050196F" w:rsidP="00D02912">
            <w:pPr>
              <w:pStyle w:val="ARfintablebodycentre"/>
            </w:pPr>
            <w:r w:rsidRPr="00C959E1">
              <w:t>(c)</w:t>
            </w:r>
          </w:p>
        </w:tc>
      </w:tr>
      <w:tr w:rsidR="0050196F" w:rsidRPr="00532DAE" w14:paraId="0076DB4F" w14:textId="77777777">
        <w:trPr>
          <w:gridAfter w:val="1"/>
          <w:wAfter w:w="9" w:type="dxa"/>
          <w:cantSplit w:val="0"/>
        </w:trPr>
        <w:tc>
          <w:tcPr>
            <w:tcW w:w="5245" w:type="dxa"/>
            <w:gridSpan w:val="2"/>
            <w:hideMark/>
          </w:tcPr>
          <w:p w14:paraId="0A24B8CF" w14:textId="77777777" w:rsidR="0050196F" w:rsidRPr="00532DAE" w:rsidRDefault="0050196F" w:rsidP="00D02912">
            <w:pPr>
              <w:pStyle w:val="ARfintablebodybold"/>
            </w:pPr>
            <w:r w:rsidRPr="00532DAE">
              <w:t>Total liabilities</w:t>
            </w:r>
          </w:p>
        </w:tc>
        <w:tc>
          <w:tcPr>
            <w:tcW w:w="1134" w:type="dxa"/>
            <w:hideMark/>
          </w:tcPr>
          <w:p w14:paraId="3DD2A50E" w14:textId="4DD50D7C" w:rsidR="0050196F" w:rsidRPr="00354C86" w:rsidRDefault="0050196F" w:rsidP="00D02912">
            <w:pPr>
              <w:pStyle w:val="ARfintablebodyrightbold"/>
              <w:rPr>
                <w:highlight w:val="cyan"/>
              </w:rPr>
            </w:pPr>
            <w:r w:rsidRPr="00433A9F">
              <w:t>1,168</w:t>
            </w:r>
          </w:p>
        </w:tc>
        <w:tc>
          <w:tcPr>
            <w:tcW w:w="1134" w:type="dxa"/>
            <w:hideMark/>
          </w:tcPr>
          <w:p w14:paraId="5512EB58" w14:textId="3CDBDDF6" w:rsidR="0050196F" w:rsidRPr="00354C86" w:rsidRDefault="0050196F" w:rsidP="00D02912">
            <w:pPr>
              <w:pStyle w:val="ARfintablebodyrightbold"/>
              <w:rPr>
                <w:highlight w:val="cyan"/>
              </w:rPr>
            </w:pPr>
            <w:r w:rsidRPr="006C49F5">
              <w:t>813</w:t>
            </w:r>
          </w:p>
        </w:tc>
        <w:tc>
          <w:tcPr>
            <w:tcW w:w="1134" w:type="dxa"/>
            <w:hideMark/>
          </w:tcPr>
          <w:p w14:paraId="51DB5FF7" w14:textId="59C49DA6" w:rsidR="0050196F" w:rsidRPr="00354C86" w:rsidRDefault="0050196F" w:rsidP="00D02912">
            <w:pPr>
              <w:pStyle w:val="ARfintablebodyrightbold"/>
              <w:rPr>
                <w:highlight w:val="cyan"/>
              </w:rPr>
            </w:pPr>
            <w:r w:rsidRPr="00140BB3">
              <w:t>43.7</w:t>
            </w:r>
          </w:p>
        </w:tc>
        <w:tc>
          <w:tcPr>
            <w:tcW w:w="1134" w:type="dxa"/>
            <w:hideMark/>
          </w:tcPr>
          <w:p w14:paraId="67FD6E21" w14:textId="77777777" w:rsidR="0050196F" w:rsidRPr="00354C86" w:rsidRDefault="0050196F" w:rsidP="00D02912">
            <w:pPr>
              <w:pStyle w:val="ARfintablebodycentre"/>
              <w:rPr>
                <w:highlight w:val="cyan"/>
              </w:rPr>
            </w:pPr>
          </w:p>
        </w:tc>
      </w:tr>
      <w:tr w:rsidR="0050196F" w:rsidRPr="00532DAE" w14:paraId="4ECFF9E4" w14:textId="77777777" w:rsidTr="00E461BE">
        <w:trPr>
          <w:gridAfter w:val="1"/>
          <w:wAfter w:w="9" w:type="dxa"/>
          <w:cantSplit w:val="0"/>
        </w:trPr>
        <w:tc>
          <w:tcPr>
            <w:tcW w:w="5245" w:type="dxa"/>
            <w:gridSpan w:val="2"/>
            <w:tcBorders>
              <w:bottom w:val="single" w:sz="4" w:space="0" w:color="auto"/>
            </w:tcBorders>
            <w:hideMark/>
          </w:tcPr>
          <w:p w14:paraId="6AC807B7" w14:textId="77777777" w:rsidR="0050196F" w:rsidRPr="00532DAE" w:rsidRDefault="0050196F" w:rsidP="00D02912">
            <w:pPr>
              <w:pStyle w:val="ARfintablebodybold"/>
            </w:pPr>
            <w:r w:rsidRPr="00532DAE">
              <w:t>Net assets</w:t>
            </w:r>
          </w:p>
        </w:tc>
        <w:tc>
          <w:tcPr>
            <w:tcW w:w="1134" w:type="dxa"/>
            <w:tcBorders>
              <w:bottom w:val="single" w:sz="4" w:space="0" w:color="auto"/>
            </w:tcBorders>
            <w:hideMark/>
          </w:tcPr>
          <w:p w14:paraId="16DCE328" w14:textId="5A48F5FB" w:rsidR="0050196F" w:rsidRPr="00354C86" w:rsidRDefault="0050196F" w:rsidP="00D02912">
            <w:pPr>
              <w:pStyle w:val="ARfintablebodyrightbold"/>
              <w:rPr>
                <w:highlight w:val="cyan"/>
              </w:rPr>
            </w:pPr>
            <w:r w:rsidRPr="00433A9F">
              <w:t>1,465</w:t>
            </w:r>
          </w:p>
        </w:tc>
        <w:tc>
          <w:tcPr>
            <w:tcW w:w="1134" w:type="dxa"/>
            <w:tcBorders>
              <w:bottom w:val="single" w:sz="4" w:space="0" w:color="auto"/>
            </w:tcBorders>
            <w:hideMark/>
          </w:tcPr>
          <w:p w14:paraId="3303354C" w14:textId="04F9F292" w:rsidR="0050196F" w:rsidRPr="00354C86" w:rsidRDefault="0050196F" w:rsidP="00D02912">
            <w:pPr>
              <w:pStyle w:val="ARfintablebodyrightbold"/>
              <w:rPr>
                <w:highlight w:val="cyan"/>
              </w:rPr>
            </w:pPr>
            <w:r w:rsidRPr="006C49F5">
              <w:t>1,730</w:t>
            </w:r>
          </w:p>
        </w:tc>
        <w:tc>
          <w:tcPr>
            <w:tcW w:w="1134" w:type="dxa"/>
            <w:tcBorders>
              <w:bottom w:val="single" w:sz="4" w:space="0" w:color="auto"/>
            </w:tcBorders>
            <w:hideMark/>
          </w:tcPr>
          <w:p w14:paraId="1D206E31" w14:textId="03DB87E3" w:rsidR="0050196F" w:rsidRPr="00354C86" w:rsidRDefault="0050196F" w:rsidP="00D02912">
            <w:pPr>
              <w:pStyle w:val="ARfintablebodyrightbold"/>
              <w:rPr>
                <w:highlight w:val="cyan"/>
              </w:rPr>
            </w:pPr>
            <w:r w:rsidRPr="00140BB3">
              <w:t>(15.3)</w:t>
            </w:r>
          </w:p>
        </w:tc>
        <w:tc>
          <w:tcPr>
            <w:tcW w:w="1134" w:type="dxa"/>
            <w:tcBorders>
              <w:bottom w:val="single" w:sz="4" w:space="0" w:color="auto"/>
            </w:tcBorders>
            <w:hideMark/>
          </w:tcPr>
          <w:p w14:paraId="00300F84" w14:textId="77777777" w:rsidR="0050196F" w:rsidRPr="00354C86" w:rsidRDefault="0050196F" w:rsidP="00D02912">
            <w:pPr>
              <w:pStyle w:val="ARfintablebodycentre"/>
              <w:rPr>
                <w:highlight w:val="cyan"/>
              </w:rPr>
            </w:pPr>
          </w:p>
        </w:tc>
      </w:tr>
      <w:tr w:rsidR="0050196F" w:rsidRPr="00532DAE" w14:paraId="2C454EE6" w14:textId="77777777" w:rsidTr="00E461BE">
        <w:trPr>
          <w:gridAfter w:val="1"/>
          <w:wAfter w:w="9" w:type="dxa"/>
          <w:cantSplit w:val="0"/>
        </w:trPr>
        <w:tc>
          <w:tcPr>
            <w:tcW w:w="9781" w:type="dxa"/>
            <w:gridSpan w:val="6"/>
            <w:tcBorders>
              <w:top w:val="single" w:sz="4" w:space="0" w:color="auto"/>
              <w:bottom w:val="single" w:sz="2" w:space="0" w:color="A6A6A6" w:themeColor="accent5"/>
            </w:tcBorders>
          </w:tcPr>
          <w:p w14:paraId="1BB28FDA" w14:textId="77777777" w:rsidR="0050196F" w:rsidRPr="00354C86" w:rsidRDefault="0050196F" w:rsidP="00D02912">
            <w:pPr>
              <w:pStyle w:val="ARfintablebodybold"/>
              <w:rPr>
                <w:highlight w:val="cyan"/>
              </w:rPr>
            </w:pPr>
            <w:r w:rsidRPr="005A424C">
              <w:t>Equity</w:t>
            </w:r>
          </w:p>
        </w:tc>
      </w:tr>
      <w:tr w:rsidR="0050196F" w:rsidRPr="00532DAE" w14:paraId="054FFC55" w14:textId="77777777" w:rsidTr="00E461BE">
        <w:trPr>
          <w:gridAfter w:val="1"/>
          <w:wAfter w:w="9" w:type="dxa"/>
          <w:cantSplit w:val="0"/>
        </w:trPr>
        <w:tc>
          <w:tcPr>
            <w:tcW w:w="5245" w:type="dxa"/>
            <w:gridSpan w:val="2"/>
            <w:tcBorders>
              <w:top w:val="single" w:sz="2" w:space="0" w:color="A6A6A6" w:themeColor="accent5"/>
              <w:bottom w:val="single" w:sz="4" w:space="0" w:color="A6A6A6"/>
            </w:tcBorders>
          </w:tcPr>
          <w:p w14:paraId="79F0A9F0" w14:textId="77777777" w:rsidR="0050196F" w:rsidRPr="00532DAE" w:rsidRDefault="0050196F" w:rsidP="00D02912">
            <w:pPr>
              <w:pStyle w:val="ARfintablebody"/>
            </w:pPr>
            <w:r w:rsidRPr="00532DAE">
              <w:t>Accumulated surplus/(deficit)</w:t>
            </w:r>
          </w:p>
        </w:tc>
        <w:tc>
          <w:tcPr>
            <w:tcW w:w="1134" w:type="dxa"/>
            <w:tcBorders>
              <w:top w:val="single" w:sz="2" w:space="0" w:color="A6A6A6" w:themeColor="accent5"/>
              <w:bottom w:val="single" w:sz="4" w:space="0" w:color="A6A6A6"/>
            </w:tcBorders>
          </w:tcPr>
          <w:p w14:paraId="20B45AF8" w14:textId="77777777" w:rsidR="0050196F" w:rsidRPr="00354C86" w:rsidRDefault="0050196F" w:rsidP="00D02912">
            <w:pPr>
              <w:pStyle w:val="ARfintablebodyright"/>
              <w:rPr>
                <w:highlight w:val="cyan"/>
              </w:rPr>
            </w:pPr>
            <w:r w:rsidRPr="003F1C2A">
              <w:t>(164)</w:t>
            </w:r>
          </w:p>
        </w:tc>
        <w:tc>
          <w:tcPr>
            <w:tcW w:w="1134" w:type="dxa"/>
            <w:tcBorders>
              <w:top w:val="single" w:sz="2" w:space="0" w:color="A6A6A6" w:themeColor="accent5"/>
              <w:bottom w:val="single" w:sz="4" w:space="0" w:color="A6A6A6"/>
            </w:tcBorders>
          </w:tcPr>
          <w:p w14:paraId="42129C75" w14:textId="09F4F5BD" w:rsidR="0050196F" w:rsidRPr="00354C86" w:rsidRDefault="0050196F" w:rsidP="00D02912">
            <w:pPr>
              <w:pStyle w:val="ARfintablebodyright"/>
              <w:rPr>
                <w:highlight w:val="cyan"/>
              </w:rPr>
            </w:pPr>
            <w:r w:rsidRPr="00223CC9">
              <w:t>13</w:t>
            </w:r>
          </w:p>
        </w:tc>
        <w:tc>
          <w:tcPr>
            <w:tcW w:w="1134" w:type="dxa"/>
            <w:tcBorders>
              <w:top w:val="single" w:sz="2" w:space="0" w:color="A6A6A6" w:themeColor="accent5"/>
              <w:bottom w:val="single" w:sz="4" w:space="0" w:color="A6A6A6"/>
            </w:tcBorders>
          </w:tcPr>
          <w:p w14:paraId="5F090F77" w14:textId="1584191F" w:rsidR="0050196F" w:rsidRPr="00354C86" w:rsidRDefault="0050196F" w:rsidP="00D02912">
            <w:pPr>
              <w:pStyle w:val="ARfintablebodyright"/>
              <w:rPr>
                <w:highlight w:val="cyan"/>
              </w:rPr>
            </w:pPr>
            <w:r w:rsidRPr="00223CC9">
              <w:t>(1,411.3)</w:t>
            </w:r>
          </w:p>
        </w:tc>
        <w:tc>
          <w:tcPr>
            <w:tcW w:w="1134" w:type="dxa"/>
            <w:tcBorders>
              <w:top w:val="single" w:sz="2" w:space="0" w:color="A6A6A6" w:themeColor="accent5"/>
              <w:bottom w:val="single" w:sz="4" w:space="0" w:color="A6A6A6"/>
            </w:tcBorders>
          </w:tcPr>
          <w:p w14:paraId="79A335B3" w14:textId="77777777" w:rsidR="0050196F" w:rsidRPr="00354C86" w:rsidRDefault="0050196F" w:rsidP="00D02912">
            <w:pPr>
              <w:pStyle w:val="ARfintablebodycentre"/>
              <w:rPr>
                <w:highlight w:val="cyan"/>
              </w:rPr>
            </w:pPr>
          </w:p>
        </w:tc>
      </w:tr>
      <w:tr w:rsidR="0050196F" w:rsidRPr="00532DAE" w14:paraId="5726EAA0" w14:textId="77777777">
        <w:trPr>
          <w:gridAfter w:val="1"/>
          <w:wAfter w:w="9" w:type="dxa"/>
          <w:cantSplit w:val="0"/>
        </w:trPr>
        <w:tc>
          <w:tcPr>
            <w:tcW w:w="5245" w:type="dxa"/>
            <w:gridSpan w:val="2"/>
            <w:tcBorders>
              <w:top w:val="single" w:sz="4" w:space="0" w:color="A6A6A6"/>
            </w:tcBorders>
          </w:tcPr>
          <w:p w14:paraId="688FF65C" w14:textId="77777777" w:rsidR="0050196F" w:rsidRPr="00532DAE" w:rsidRDefault="0050196F" w:rsidP="00D02912">
            <w:pPr>
              <w:pStyle w:val="ARfintablebody"/>
            </w:pPr>
            <w:r>
              <w:t>R</w:t>
            </w:r>
            <w:r w:rsidRPr="00532DAE">
              <w:t>eserves</w:t>
            </w:r>
          </w:p>
        </w:tc>
        <w:tc>
          <w:tcPr>
            <w:tcW w:w="1134" w:type="dxa"/>
            <w:tcBorders>
              <w:top w:val="single" w:sz="4" w:space="0" w:color="A6A6A6"/>
            </w:tcBorders>
          </w:tcPr>
          <w:p w14:paraId="75EB0B13" w14:textId="17E3441E" w:rsidR="0050196F" w:rsidRPr="00354C86" w:rsidRDefault="0050196F" w:rsidP="00D02912">
            <w:pPr>
              <w:pStyle w:val="ARfintablebodyright"/>
              <w:rPr>
                <w:highlight w:val="cyan"/>
              </w:rPr>
            </w:pPr>
            <w:r w:rsidRPr="00ED4400">
              <w:t>277</w:t>
            </w:r>
          </w:p>
        </w:tc>
        <w:tc>
          <w:tcPr>
            <w:tcW w:w="1134" w:type="dxa"/>
            <w:tcBorders>
              <w:top w:val="single" w:sz="4" w:space="0" w:color="A6A6A6"/>
            </w:tcBorders>
          </w:tcPr>
          <w:p w14:paraId="5514C812" w14:textId="44A71FD5" w:rsidR="0050196F" w:rsidRPr="00354C86" w:rsidRDefault="0050196F" w:rsidP="00D02912">
            <w:pPr>
              <w:pStyle w:val="ARfintablebodyright"/>
              <w:rPr>
                <w:highlight w:val="cyan"/>
              </w:rPr>
            </w:pPr>
            <w:r w:rsidRPr="00737F6A">
              <w:t>330</w:t>
            </w:r>
          </w:p>
        </w:tc>
        <w:tc>
          <w:tcPr>
            <w:tcW w:w="1134" w:type="dxa"/>
            <w:tcBorders>
              <w:top w:val="single" w:sz="4" w:space="0" w:color="A6A6A6"/>
            </w:tcBorders>
          </w:tcPr>
          <w:p w14:paraId="194C313C" w14:textId="5A7CFDF4" w:rsidR="0050196F" w:rsidRPr="00354C86" w:rsidRDefault="0050196F" w:rsidP="00D02912">
            <w:pPr>
              <w:pStyle w:val="ARfintablebodyright"/>
              <w:rPr>
                <w:highlight w:val="cyan"/>
              </w:rPr>
            </w:pPr>
            <w:r w:rsidRPr="00B75807">
              <w:t>(16.1)</w:t>
            </w:r>
          </w:p>
        </w:tc>
        <w:tc>
          <w:tcPr>
            <w:tcW w:w="1134" w:type="dxa"/>
            <w:tcBorders>
              <w:top w:val="single" w:sz="4" w:space="0" w:color="A6A6A6"/>
            </w:tcBorders>
          </w:tcPr>
          <w:p w14:paraId="1B098458" w14:textId="77777777" w:rsidR="0050196F" w:rsidRPr="00354C86" w:rsidRDefault="0050196F" w:rsidP="00D02912">
            <w:pPr>
              <w:pStyle w:val="ARfintablebodycentre"/>
              <w:rPr>
                <w:highlight w:val="cyan"/>
              </w:rPr>
            </w:pPr>
          </w:p>
        </w:tc>
      </w:tr>
      <w:tr w:rsidR="0050196F" w:rsidRPr="00532DAE" w14:paraId="18A4D9EC" w14:textId="77777777">
        <w:trPr>
          <w:gridAfter w:val="1"/>
          <w:wAfter w:w="9" w:type="dxa"/>
          <w:cantSplit w:val="0"/>
        </w:trPr>
        <w:tc>
          <w:tcPr>
            <w:tcW w:w="5245" w:type="dxa"/>
            <w:gridSpan w:val="2"/>
            <w:tcBorders>
              <w:top w:val="single" w:sz="4" w:space="0" w:color="A6A6A6"/>
            </w:tcBorders>
          </w:tcPr>
          <w:p w14:paraId="0B03E0FB" w14:textId="77777777" w:rsidR="0050196F" w:rsidRPr="00532DAE" w:rsidRDefault="0050196F" w:rsidP="00D02912">
            <w:pPr>
              <w:pStyle w:val="ARfintablebody"/>
            </w:pPr>
            <w:r w:rsidRPr="00532DAE">
              <w:t>Contributed capital</w:t>
            </w:r>
          </w:p>
        </w:tc>
        <w:tc>
          <w:tcPr>
            <w:tcW w:w="1134" w:type="dxa"/>
            <w:tcBorders>
              <w:top w:val="single" w:sz="4" w:space="0" w:color="A6A6A6"/>
            </w:tcBorders>
          </w:tcPr>
          <w:p w14:paraId="2EDAC365" w14:textId="672AADD2" w:rsidR="0050196F" w:rsidRPr="00354C86" w:rsidRDefault="0050196F" w:rsidP="00D02912">
            <w:pPr>
              <w:pStyle w:val="ARfintablebodyright"/>
              <w:rPr>
                <w:highlight w:val="cyan"/>
              </w:rPr>
            </w:pPr>
            <w:r w:rsidRPr="00ED4400">
              <w:t>1,352</w:t>
            </w:r>
          </w:p>
        </w:tc>
        <w:tc>
          <w:tcPr>
            <w:tcW w:w="1134" w:type="dxa"/>
            <w:tcBorders>
              <w:top w:val="single" w:sz="4" w:space="0" w:color="A6A6A6"/>
            </w:tcBorders>
          </w:tcPr>
          <w:p w14:paraId="1986B4BD" w14:textId="25A34ADE" w:rsidR="0050196F" w:rsidRPr="00354C86" w:rsidRDefault="0050196F" w:rsidP="00D02912">
            <w:pPr>
              <w:pStyle w:val="ARfintablebodyright"/>
              <w:rPr>
                <w:highlight w:val="cyan"/>
              </w:rPr>
            </w:pPr>
            <w:r w:rsidRPr="00737F6A">
              <w:t>1,387</w:t>
            </w:r>
          </w:p>
        </w:tc>
        <w:tc>
          <w:tcPr>
            <w:tcW w:w="1134" w:type="dxa"/>
            <w:tcBorders>
              <w:top w:val="single" w:sz="4" w:space="0" w:color="A6A6A6"/>
            </w:tcBorders>
          </w:tcPr>
          <w:p w14:paraId="5FD06F3B" w14:textId="047BE2D2" w:rsidR="0050196F" w:rsidRPr="00354C86" w:rsidRDefault="0050196F" w:rsidP="00D02912">
            <w:pPr>
              <w:pStyle w:val="ARfintablebodyright"/>
              <w:rPr>
                <w:highlight w:val="cyan"/>
              </w:rPr>
            </w:pPr>
            <w:r w:rsidRPr="00B75807">
              <w:t>(2.5)</w:t>
            </w:r>
          </w:p>
        </w:tc>
        <w:tc>
          <w:tcPr>
            <w:tcW w:w="1134" w:type="dxa"/>
            <w:tcBorders>
              <w:top w:val="single" w:sz="4" w:space="0" w:color="A6A6A6"/>
            </w:tcBorders>
          </w:tcPr>
          <w:p w14:paraId="5A480997" w14:textId="77777777" w:rsidR="0050196F" w:rsidRPr="00354C86" w:rsidRDefault="0050196F" w:rsidP="00D02912">
            <w:pPr>
              <w:pStyle w:val="ARfintablebodycentre"/>
              <w:rPr>
                <w:highlight w:val="cyan"/>
              </w:rPr>
            </w:pPr>
          </w:p>
        </w:tc>
      </w:tr>
      <w:tr w:rsidR="0050196F" w:rsidRPr="00532DAE" w14:paraId="258316B1" w14:textId="77777777">
        <w:trPr>
          <w:gridAfter w:val="1"/>
          <w:wAfter w:w="9" w:type="dxa"/>
          <w:cantSplit w:val="0"/>
        </w:trPr>
        <w:tc>
          <w:tcPr>
            <w:tcW w:w="5245" w:type="dxa"/>
            <w:gridSpan w:val="2"/>
            <w:tcBorders>
              <w:bottom w:val="single" w:sz="4" w:space="0" w:color="auto"/>
            </w:tcBorders>
          </w:tcPr>
          <w:p w14:paraId="0748F413" w14:textId="77777777" w:rsidR="0050196F" w:rsidRPr="00532DAE" w:rsidRDefault="0050196F" w:rsidP="00D02912">
            <w:pPr>
              <w:pStyle w:val="ARfintablebodybold"/>
            </w:pPr>
            <w:r w:rsidRPr="00532DAE">
              <w:t>Total equity</w:t>
            </w:r>
          </w:p>
        </w:tc>
        <w:tc>
          <w:tcPr>
            <w:tcW w:w="1134" w:type="dxa"/>
            <w:tcBorders>
              <w:bottom w:val="single" w:sz="4" w:space="0" w:color="auto"/>
            </w:tcBorders>
          </w:tcPr>
          <w:p w14:paraId="14C83F5E" w14:textId="3A700AD9" w:rsidR="0050196F" w:rsidRPr="00354C86" w:rsidRDefault="0050196F" w:rsidP="00D02912">
            <w:pPr>
              <w:pStyle w:val="ARfintablebodyrightbold"/>
              <w:rPr>
                <w:highlight w:val="cyan"/>
              </w:rPr>
            </w:pPr>
            <w:r w:rsidRPr="00ED4400">
              <w:t>1,465</w:t>
            </w:r>
          </w:p>
        </w:tc>
        <w:tc>
          <w:tcPr>
            <w:tcW w:w="1134" w:type="dxa"/>
            <w:tcBorders>
              <w:bottom w:val="single" w:sz="4" w:space="0" w:color="auto"/>
            </w:tcBorders>
          </w:tcPr>
          <w:p w14:paraId="6133B10B" w14:textId="4576DD97" w:rsidR="0050196F" w:rsidRPr="00354C86" w:rsidRDefault="0050196F" w:rsidP="00D02912">
            <w:pPr>
              <w:pStyle w:val="ARfintablebodyrightbold"/>
              <w:rPr>
                <w:highlight w:val="cyan"/>
              </w:rPr>
            </w:pPr>
            <w:r w:rsidRPr="00737F6A">
              <w:t>1,730</w:t>
            </w:r>
          </w:p>
        </w:tc>
        <w:tc>
          <w:tcPr>
            <w:tcW w:w="1134" w:type="dxa"/>
            <w:tcBorders>
              <w:bottom w:val="single" w:sz="4" w:space="0" w:color="auto"/>
            </w:tcBorders>
          </w:tcPr>
          <w:p w14:paraId="171BE02B" w14:textId="7C1FB082" w:rsidR="0050196F" w:rsidRPr="00354C86" w:rsidRDefault="0050196F" w:rsidP="00D02912">
            <w:pPr>
              <w:pStyle w:val="ARfintablebodyrightbold"/>
              <w:rPr>
                <w:highlight w:val="cyan"/>
              </w:rPr>
            </w:pPr>
            <w:r w:rsidRPr="00B75807">
              <w:t>(15.3)</w:t>
            </w:r>
          </w:p>
        </w:tc>
        <w:tc>
          <w:tcPr>
            <w:tcW w:w="1134" w:type="dxa"/>
            <w:tcBorders>
              <w:bottom w:val="single" w:sz="4" w:space="0" w:color="auto"/>
            </w:tcBorders>
          </w:tcPr>
          <w:p w14:paraId="23739E0D" w14:textId="77777777" w:rsidR="0050196F" w:rsidRPr="00354C86" w:rsidRDefault="0050196F" w:rsidP="00D02912">
            <w:pPr>
              <w:pStyle w:val="ARfintablebodycentre"/>
              <w:rPr>
                <w:highlight w:val="cyan"/>
              </w:rPr>
            </w:pPr>
          </w:p>
        </w:tc>
      </w:tr>
    </w:tbl>
    <w:p w14:paraId="310A4018" w14:textId="0CD83498" w:rsidR="0050196F" w:rsidRPr="00871E63" w:rsidRDefault="0050196F" w:rsidP="004256AA">
      <w:pPr>
        <w:pStyle w:val="ARfintablefootnoteindent"/>
      </w:pPr>
      <w:r w:rsidRPr="00532DAE">
        <w:t>(</w:t>
      </w:r>
      <w:r w:rsidRPr="009110F5">
        <w:t>a)</w:t>
      </w:r>
      <w:r w:rsidRPr="009110F5">
        <w:tab/>
        <w:t xml:space="preserve">The receivables balance was higher than the published budget primarily due to an increase in the State Administration Unit </w:t>
      </w:r>
      <w:r w:rsidR="00604894">
        <w:br/>
      </w:r>
      <w:r w:rsidRPr="009110F5">
        <w:t>inter</w:t>
      </w:r>
      <w:r w:rsidR="00E5582D">
        <w:t>-</w:t>
      </w:r>
      <w:r w:rsidRPr="00871E63">
        <w:t>entity accounts as a result of timing of funding accessed to settle payments to creditors and other accrued obligations, which occurred post the 2023</w:t>
      </w:r>
      <w:r w:rsidR="00E5582D">
        <w:t>–</w:t>
      </w:r>
      <w:r w:rsidRPr="00871E63">
        <w:t>24 Published Budget.</w:t>
      </w:r>
    </w:p>
    <w:p w14:paraId="7149B09B" w14:textId="77CC013A" w:rsidR="0050196F" w:rsidRDefault="0050196F" w:rsidP="004256AA">
      <w:pPr>
        <w:pStyle w:val="ARfintablefootnoteindent"/>
      </w:pPr>
      <w:r w:rsidRPr="00871E63">
        <w:t>(b)</w:t>
      </w:r>
      <w:r w:rsidRPr="00871E63">
        <w:tab/>
        <w:t>The payables balance was higher than the Published Budget primarily due to timing of funding accessed to settle payments to creditors and other accrued obligations, which occurred post the 2023</w:t>
      </w:r>
      <w:r w:rsidR="00604894">
        <w:t>–</w:t>
      </w:r>
      <w:r w:rsidRPr="00871E63">
        <w:t>24 published budget.</w:t>
      </w:r>
    </w:p>
    <w:p w14:paraId="33092CFC" w14:textId="77777777" w:rsidR="0050196F" w:rsidRPr="00532DAE" w:rsidRDefault="0050196F" w:rsidP="00D02912">
      <w:pPr>
        <w:pStyle w:val="ARfintablefootnoteindent"/>
      </w:pPr>
      <w:r w:rsidRPr="00871E63">
        <w:t>(c) The provisions balance was higher than the published budget primarily due to increases in provisions for civil claims associated with historical institutional child abuse and the establishment of a Victorian Redress for Pre-1990 Care Leavers.</w:t>
      </w:r>
    </w:p>
    <w:p w14:paraId="020F90FF" w14:textId="77777777" w:rsidR="0050196F" w:rsidRPr="00532DAE" w:rsidRDefault="0050196F" w:rsidP="00253B2E">
      <w:pPr>
        <w:pStyle w:val="ARbody"/>
      </w:pPr>
      <w:r w:rsidRPr="00532DAE">
        <w:br w:type="page"/>
      </w:r>
    </w:p>
    <w:p w14:paraId="2A3A4B1F" w14:textId="77777777" w:rsidR="0050196F" w:rsidRPr="00532DAE" w:rsidRDefault="0050196F" w:rsidP="00333387">
      <w:pPr>
        <w:pStyle w:val="Heading3"/>
      </w:pPr>
      <w:bookmarkStart w:id="297" w:name="_Ref178239804"/>
      <w:r w:rsidRPr="00532DAE">
        <w:t>Statement of cash flows for the financial year ended 30 June 202</w:t>
      </w:r>
      <w:r>
        <w:t>4</w:t>
      </w:r>
      <w:bookmarkEnd w:id="297"/>
    </w:p>
    <w:tbl>
      <w:tblPr>
        <w:tblStyle w:val="TableGrid"/>
        <w:tblW w:w="9644" w:type="dxa"/>
        <w:tblInd w:w="-5" w:type="dxa"/>
        <w:tblLook w:val="06A0" w:firstRow="1" w:lastRow="0" w:firstColumn="1" w:lastColumn="0" w:noHBand="1" w:noVBand="1"/>
      </w:tblPr>
      <w:tblGrid>
        <w:gridCol w:w="5557"/>
        <w:gridCol w:w="1134"/>
        <w:gridCol w:w="1134"/>
        <w:gridCol w:w="1134"/>
        <w:gridCol w:w="685"/>
      </w:tblGrid>
      <w:tr w:rsidR="0050196F" w:rsidRPr="00532DAE" w14:paraId="1E6441EC" w14:textId="77777777" w:rsidTr="00627749">
        <w:trPr>
          <w:cnfStyle w:val="100000000000" w:firstRow="1" w:lastRow="0" w:firstColumn="0" w:lastColumn="0" w:oddVBand="0" w:evenVBand="0" w:oddHBand="0" w:evenHBand="0" w:firstRowFirstColumn="0" w:firstRowLastColumn="0" w:lastRowFirstColumn="0" w:lastRowLastColumn="0"/>
          <w:tblHeader/>
        </w:trPr>
        <w:tc>
          <w:tcPr>
            <w:tcW w:w="5557" w:type="dxa"/>
            <w:tcBorders>
              <w:bottom w:val="single" w:sz="4" w:space="0" w:color="auto"/>
            </w:tcBorders>
            <w:hideMark/>
          </w:tcPr>
          <w:p w14:paraId="1960BEDB" w14:textId="77777777" w:rsidR="0050196F" w:rsidRPr="00532DAE" w:rsidRDefault="0050196F" w:rsidP="009C7A2C">
            <w:pPr>
              <w:pStyle w:val="ARfintablecolhead"/>
            </w:pPr>
          </w:p>
        </w:tc>
        <w:tc>
          <w:tcPr>
            <w:tcW w:w="1134" w:type="dxa"/>
            <w:tcBorders>
              <w:bottom w:val="single" w:sz="4" w:space="0" w:color="auto"/>
            </w:tcBorders>
            <w:hideMark/>
          </w:tcPr>
          <w:p w14:paraId="2F8692D4" w14:textId="77777777" w:rsidR="0050196F" w:rsidRPr="00532DAE" w:rsidRDefault="0050196F" w:rsidP="002843D7">
            <w:pPr>
              <w:pStyle w:val="ARfintablecolheadright"/>
            </w:pPr>
            <w:r w:rsidRPr="00532DAE">
              <w:t>202</w:t>
            </w:r>
            <w:r>
              <w:t>3</w:t>
            </w:r>
            <w:r w:rsidRPr="00532DAE">
              <w:t>–2</w:t>
            </w:r>
            <w:r>
              <w:t>4</w:t>
            </w:r>
          </w:p>
          <w:p w14:paraId="58BB9C7E" w14:textId="77777777" w:rsidR="0050196F" w:rsidRPr="00532DAE" w:rsidRDefault="0050196F" w:rsidP="009C7A2C">
            <w:pPr>
              <w:pStyle w:val="ARfintablecolheadright"/>
            </w:pPr>
            <w:r w:rsidRPr="00532DAE">
              <w:t>Actual</w:t>
            </w:r>
          </w:p>
          <w:p w14:paraId="306F6092" w14:textId="77777777" w:rsidR="0050196F" w:rsidRPr="00532DAE" w:rsidRDefault="0050196F" w:rsidP="009C7A2C">
            <w:pPr>
              <w:pStyle w:val="ARfintablecolheadright"/>
            </w:pPr>
            <w:r w:rsidRPr="00532DAE">
              <w:t>$M</w:t>
            </w:r>
          </w:p>
        </w:tc>
        <w:tc>
          <w:tcPr>
            <w:tcW w:w="1134" w:type="dxa"/>
            <w:tcBorders>
              <w:bottom w:val="single" w:sz="4" w:space="0" w:color="auto"/>
            </w:tcBorders>
            <w:hideMark/>
          </w:tcPr>
          <w:p w14:paraId="3BD88FDD" w14:textId="77777777" w:rsidR="0050196F" w:rsidRPr="00532DAE" w:rsidRDefault="0050196F" w:rsidP="002843D7">
            <w:pPr>
              <w:pStyle w:val="ARfintablecolheadright"/>
            </w:pPr>
            <w:r w:rsidRPr="00532DAE">
              <w:t>202</w:t>
            </w:r>
            <w:r>
              <w:t>3</w:t>
            </w:r>
            <w:r w:rsidRPr="00532DAE">
              <w:t>–2</w:t>
            </w:r>
            <w:r>
              <w:t>4</w:t>
            </w:r>
          </w:p>
          <w:p w14:paraId="7E13EE6B" w14:textId="77777777" w:rsidR="0050196F" w:rsidRPr="00532DAE" w:rsidRDefault="0050196F" w:rsidP="009C7A2C">
            <w:pPr>
              <w:pStyle w:val="ARfintablecolheadright"/>
            </w:pPr>
            <w:r w:rsidRPr="00532DAE">
              <w:t>Published budget</w:t>
            </w:r>
          </w:p>
          <w:p w14:paraId="5DAE769B" w14:textId="77777777" w:rsidR="0050196F" w:rsidRPr="00532DAE" w:rsidRDefault="0050196F" w:rsidP="009C7A2C">
            <w:pPr>
              <w:pStyle w:val="ARfintablecolheadright"/>
            </w:pPr>
            <w:r w:rsidRPr="00532DAE">
              <w:t>$M</w:t>
            </w:r>
          </w:p>
        </w:tc>
        <w:tc>
          <w:tcPr>
            <w:tcW w:w="1134" w:type="dxa"/>
            <w:tcBorders>
              <w:bottom w:val="single" w:sz="4" w:space="0" w:color="auto"/>
            </w:tcBorders>
            <w:noWrap/>
            <w:hideMark/>
          </w:tcPr>
          <w:p w14:paraId="0908FC57" w14:textId="77777777" w:rsidR="0050196F" w:rsidRPr="00532DAE" w:rsidRDefault="0050196F" w:rsidP="009C7A2C">
            <w:pPr>
              <w:pStyle w:val="ARfintablecolheadright"/>
            </w:pPr>
            <w:r w:rsidRPr="00532DAE">
              <w:t>Variation to pub-lished budget</w:t>
            </w:r>
          </w:p>
          <w:p w14:paraId="38C55BE4" w14:textId="77777777" w:rsidR="0050196F" w:rsidRPr="00532DAE" w:rsidRDefault="0050196F" w:rsidP="009C7A2C">
            <w:pPr>
              <w:pStyle w:val="ARfintablecolheadright"/>
            </w:pPr>
            <w:r w:rsidRPr="00532DAE">
              <w:t>%</w:t>
            </w:r>
          </w:p>
        </w:tc>
        <w:tc>
          <w:tcPr>
            <w:tcW w:w="685" w:type="dxa"/>
            <w:tcBorders>
              <w:bottom w:val="single" w:sz="4" w:space="0" w:color="auto"/>
            </w:tcBorders>
            <w:noWrap/>
            <w:hideMark/>
          </w:tcPr>
          <w:p w14:paraId="0662FBD8" w14:textId="77777777" w:rsidR="0050196F" w:rsidRPr="00532DAE" w:rsidRDefault="0050196F" w:rsidP="009C7A2C">
            <w:pPr>
              <w:pStyle w:val="ARfintablecolheadcentre"/>
            </w:pPr>
            <w:r w:rsidRPr="00532DAE">
              <w:t>Notes</w:t>
            </w:r>
          </w:p>
        </w:tc>
      </w:tr>
      <w:tr w:rsidR="0050196F" w:rsidRPr="00532DAE" w14:paraId="7E9F9575" w14:textId="77777777" w:rsidTr="00627749">
        <w:trPr>
          <w:cnfStyle w:val="100000000000" w:firstRow="1" w:lastRow="0" w:firstColumn="0" w:lastColumn="0" w:oddVBand="0" w:evenVBand="0" w:oddHBand="0" w:evenHBand="0" w:firstRowFirstColumn="0" w:firstRowLastColumn="0" w:lastRowFirstColumn="0" w:lastRowLastColumn="0"/>
          <w:tblHeader/>
        </w:trPr>
        <w:tc>
          <w:tcPr>
            <w:tcW w:w="9644" w:type="dxa"/>
            <w:gridSpan w:val="5"/>
            <w:tcBorders>
              <w:top w:val="single" w:sz="4" w:space="0" w:color="auto"/>
              <w:bottom w:val="single" w:sz="2" w:space="0" w:color="A6A6A6" w:themeColor="accent5"/>
            </w:tcBorders>
          </w:tcPr>
          <w:p w14:paraId="0741B3E9" w14:textId="77777777" w:rsidR="0050196F" w:rsidRPr="00532DAE" w:rsidRDefault="0050196F" w:rsidP="00D02912">
            <w:pPr>
              <w:pStyle w:val="ARfintablebodybold"/>
            </w:pPr>
            <w:r w:rsidRPr="00532DAE">
              <w:t xml:space="preserve">Cash flows </w:t>
            </w:r>
            <w:r w:rsidRPr="000758DB">
              <w:t>from operating activities</w:t>
            </w:r>
          </w:p>
        </w:tc>
      </w:tr>
      <w:tr w:rsidR="0050196F" w:rsidRPr="00532DAE" w14:paraId="63B9A223" w14:textId="77777777" w:rsidTr="00627749">
        <w:trPr>
          <w:cnfStyle w:val="100000000000" w:firstRow="1" w:lastRow="0" w:firstColumn="0" w:lastColumn="0" w:oddVBand="0" w:evenVBand="0" w:oddHBand="0" w:evenHBand="0" w:firstRowFirstColumn="0" w:firstRowLastColumn="0" w:lastRowFirstColumn="0" w:lastRowLastColumn="0"/>
          <w:tblHeader/>
        </w:trPr>
        <w:tc>
          <w:tcPr>
            <w:tcW w:w="9644" w:type="dxa"/>
            <w:gridSpan w:val="5"/>
            <w:tcBorders>
              <w:top w:val="single" w:sz="2" w:space="0" w:color="A6A6A6" w:themeColor="accent5"/>
              <w:bottom w:val="single" w:sz="2" w:space="0" w:color="A6A6A6" w:themeColor="accent5"/>
            </w:tcBorders>
          </w:tcPr>
          <w:p w14:paraId="4B35A2F6" w14:textId="77777777" w:rsidR="0050196F" w:rsidRPr="00532DAE" w:rsidRDefault="0050196F" w:rsidP="00D02912">
            <w:pPr>
              <w:pStyle w:val="ARfintablebodybold"/>
            </w:pPr>
            <w:r w:rsidRPr="00532DAE">
              <w:t>Receipts</w:t>
            </w:r>
          </w:p>
        </w:tc>
      </w:tr>
      <w:tr w:rsidR="0050196F" w:rsidRPr="00532DAE" w14:paraId="03C7E955" w14:textId="77777777" w:rsidTr="00627749">
        <w:trPr>
          <w:cantSplit w:val="0"/>
        </w:trPr>
        <w:tc>
          <w:tcPr>
            <w:tcW w:w="5557" w:type="dxa"/>
            <w:tcBorders>
              <w:top w:val="single" w:sz="2" w:space="0" w:color="A6A6A6" w:themeColor="accent5"/>
              <w:bottom w:val="single" w:sz="4" w:space="0" w:color="A6A6A6"/>
            </w:tcBorders>
            <w:hideMark/>
          </w:tcPr>
          <w:p w14:paraId="638E12B2" w14:textId="77777777" w:rsidR="0050196F" w:rsidRPr="00532DAE" w:rsidRDefault="0050196F" w:rsidP="00D02912">
            <w:pPr>
              <w:pStyle w:val="ARfintablebody"/>
            </w:pPr>
            <w:r w:rsidRPr="00532DAE">
              <w:t>Receipts from government</w:t>
            </w:r>
          </w:p>
        </w:tc>
        <w:tc>
          <w:tcPr>
            <w:tcW w:w="1134" w:type="dxa"/>
            <w:tcBorders>
              <w:top w:val="single" w:sz="2" w:space="0" w:color="A6A6A6" w:themeColor="accent5"/>
              <w:bottom w:val="single" w:sz="4" w:space="0" w:color="A6A6A6"/>
            </w:tcBorders>
            <w:hideMark/>
          </w:tcPr>
          <w:p w14:paraId="5C702BC7" w14:textId="20E46B51" w:rsidR="0050196F" w:rsidRPr="00DE728B" w:rsidRDefault="0050196F" w:rsidP="00D02912">
            <w:pPr>
              <w:pStyle w:val="ARfintablebodyright"/>
              <w:rPr>
                <w:highlight w:val="cyan"/>
              </w:rPr>
            </w:pPr>
            <w:r w:rsidRPr="001048A4">
              <w:t>5,176</w:t>
            </w:r>
          </w:p>
        </w:tc>
        <w:tc>
          <w:tcPr>
            <w:tcW w:w="1134" w:type="dxa"/>
            <w:tcBorders>
              <w:top w:val="single" w:sz="2" w:space="0" w:color="A6A6A6" w:themeColor="accent5"/>
              <w:bottom w:val="single" w:sz="4" w:space="0" w:color="A6A6A6"/>
            </w:tcBorders>
            <w:hideMark/>
          </w:tcPr>
          <w:p w14:paraId="564C4776" w14:textId="7315D9A0" w:rsidR="0050196F" w:rsidRPr="00DE728B" w:rsidRDefault="0050196F" w:rsidP="00D02912">
            <w:pPr>
              <w:pStyle w:val="ARfintablebodyright"/>
              <w:rPr>
                <w:highlight w:val="cyan"/>
              </w:rPr>
            </w:pPr>
            <w:r w:rsidRPr="006A0048">
              <w:t>4,849</w:t>
            </w:r>
          </w:p>
        </w:tc>
        <w:tc>
          <w:tcPr>
            <w:tcW w:w="1134" w:type="dxa"/>
            <w:tcBorders>
              <w:top w:val="single" w:sz="2" w:space="0" w:color="A6A6A6" w:themeColor="accent5"/>
              <w:bottom w:val="single" w:sz="4" w:space="0" w:color="A6A6A6"/>
            </w:tcBorders>
            <w:hideMark/>
          </w:tcPr>
          <w:p w14:paraId="475E4F5C" w14:textId="552F473B" w:rsidR="0050196F" w:rsidRPr="00DE728B" w:rsidRDefault="0050196F" w:rsidP="00D02912">
            <w:pPr>
              <w:pStyle w:val="ARfintablebodyright"/>
              <w:rPr>
                <w:highlight w:val="cyan"/>
              </w:rPr>
            </w:pPr>
            <w:r w:rsidRPr="00FC12B4">
              <w:t>6.8</w:t>
            </w:r>
          </w:p>
        </w:tc>
        <w:tc>
          <w:tcPr>
            <w:tcW w:w="685" w:type="dxa"/>
            <w:tcBorders>
              <w:top w:val="single" w:sz="2" w:space="0" w:color="A6A6A6" w:themeColor="accent5"/>
              <w:bottom w:val="single" w:sz="4" w:space="0" w:color="A6A6A6"/>
            </w:tcBorders>
            <w:hideMark/>
          </w:tcPr>
          <w:p w14:paraId="08175FEE" w14:textId="77777777" w:rsidR="0050196F" w:rsidRPr="00DE728B" w:rsidRDefault="0050196F" w:rsidP="00D02912">
            <w:pPr>
              <w:pStyle w:val="ARfintablebodycentre"/>
              <w:rPr>
                <w:highlight w:val="cyan"/>
              </w:rPr>
            </w:pPr>
          </w:p>
        </w:tc>
      </w:tr>
      <w:tr w:rsidR="0050196F" w:rsidRPr="00532DAE" w14:paraId="66DF10FB" w14:textId="77777777">
        <w:trPr>
          <w:cantSplit w:val="0"/>
        </w:trPr>
        <w:tc>
          <w:tcPr>
            <w:tcW w:w="5557" w:type="dxa"/>
            <w:tcBorders>
              <w:top w:val="single" w:sz="4" w:space="0" w:color="A6A6A6"/>
              <w:bottom w:val="single" w:sz="4" w:space="0" w:color="A6A6A6"/>
            </w:tcBorders>
            <w:hideMark/>
          </w:tcPr>
          <w:p w14:paraId="274F1A60" w14:textId="77777777" w:rsidR="0050196F" w:rsidRPr="00532DAE" w:rsidRDefault="0050196F" w:rsidP="00D02912">
            <w:pPr>
              <w:pStyle w:val="ARfintablebody"/>
            </w:pPr>
            <w:r w:rsidRPr="00532DAE">
              <w:t>Receipts from other entities</w:t>
            </w:r>
          </w:p>
        </w:tc>
        <w:tc>
          <w:tcPr>
            <w:tcW w:w="1134" w:type="dxa"/>
            <w:tcBorders>
              <w:top w:val="single" w:sz="4" w:space="0" w:color="A6A6A6"/>
              <w:bottom w:val="single" w:sz="4" w:space="0" w:color="A6A6A6"/>
            </w:tcBorders>
            <w:hideMark/>
          </w:tcPr>
          <w:p w14:paraId="20B3AD11" w14:textId="70C4CD30" w:rsidR="0050196F" w:rsidRPr="00DE728B" w:rsidRDefault="0050196F" w:rsidP="00D02912">
            <w:pPr>
              <w:pStyle w:val="ARfintablebodyright"/>
              <w:rPr>
                <w:highlight w:val="cyan"/>
              </w:rPr>
            </w:pPr>
            <w:r w:rsidRPr="001048A4">
              <w:t>43</w:t>
            </w:r>
          </w:p>
        </w:tc>
        <w:tc>
          <w:tcPr>
            <w:tcW w:w="1134" w:type="dxa"/>
            <w:tcBorders>
              <w:top w:val="single" w:sz="4" w:space="0" w:color="A6A6A6"/>
              <w:bottom w:val="single" w:sz="4" w:space="0" w:color="A6A6A6"/>
            </w:tcBorders>
            <w:hideMark/>
          </w:tcPr>
          <w:p w14:paraId="28033700" w14:textId="38C790F3" w:rsidR="0050196F" w:rsidRPr="00DE728B" w:rsidRDefault="0050196F" w:rsidP="00D02912">
            <w:pPr>
              <w:pStyle w:val="ARfintablebodyright"/>
              <w:rPr>
                <w:highlight w:val="cyan"/>
              </w:rPr>
            </w:pPr>
            <w:r w:rsidRPr="006A0048">
              <w:t>41</w:t>
            </w:r>
          </w:p>
        </w:tc>
        <w:tc>
          <w:tcPr>
            <w:tcW w:w="1134" w:type="dxa"/>
            <w:tcBorders>
              <w:top w:val="single" w:sz="4" w:space="0" w:color="A6A6A6"/>
              <w:bottom w:val="single" w:sz="4" w:space="0" w:color="A6A6A6"/>
            </w:tcBorders>
            <w:hideMark/>
          </w:tcPr>
          <w:p w14:paraId="1E61BBF7" w14:textId="26513199" w:rsidR="0050196F" w:rsidRPr="00DE728B" w:rsidRDefault="0050196F" w:rsidP="00D02912">
            <w:pPr>
              <w:pStyle w:val="ARfintablebodyright"/>
              <w:rPr>
                <w:highlight w:val="cyan"/>
              </w:rPr>
            </w:pPr>
            <w:r w:rsidRPr="00FC12B4">
              <w:t>2.7</w:t>
            </w:r>
          </w:p>
        </w:tc>
        <w:tc>
          <w:tcPr>
            <w:tcW w:w="685" w:type="dxa"/>
            <w:tcBorders>
              <w:top w:val="single" w:sz="4" w:space="0" w:color="A6A6A6"/>
              <w:bottom w:val="single" w:sz="4" w:space="0" w:color="A6A6A6"/>
            </w:tcBorders>
            <w:hideMark/>
          </w:tcPr>
          <w:p w14:paraId="2674B8B7" w14:textId="77777777" w:rsidR="0050196F" w:rsidRPr="00DE728B" w:rsidRDefault="0050196F" w:rsidP="00D02912">
            <w:pPr>
              <w:pStyle w:val="ARfintablebodycentre"/>
              <w:rPr>
                <w:highlight w:val="cyan"/>
              </w:rPr>
            </w:pPr>
          </w:p>
        </w:tc>
      </w:tr>
      <w:tr w:rsidR="0050196F" w:rsidRPr="00532DAE" w14:paraId="046C02C4" w14:textId="77777777">
        <w:trPr>
          <w:cantSplit w:val="0"/>
        </w:trPr>
        <w:tc>
          <w:tcPr>
            <w:tcW w:w="5557" w:type="dxa"/>
            <w:tcBorders>
              <w:top w:val="single" w:sz="4" w:space="0" w:color="A6A6A6"/>
              <w:bottom w:val="single" w:sz="4" w:space="0" w:color="A6A6A6"/>
            </w:tcBorders>
            <w:hideMark/>
          </w:tcPr>
          <w:p w14:paraId="169B587C" w14:textId="77777777" w:rsidR="0050196F" w:rsidRPr="00532DAE" w:rsidRDefault="0050196F" w:rsidP="00D02912">
            <w:pPr>
              <w:pStyle w:val="ARfintablebody"/>
            </w:pPr>
            <w:r w:rsidRPr="00532DAE">
              <w:t>Other receipts</w:t>
            </w:r>
          </w:p>
        </w:tc>
        <w:tc>
          <w:tcPr>
            <w:tcW w:w="1134" w:type="dxa"/>
            <w:tcBorders>
              <w:top w:val="single" w:sz="4" w:space="0" w:color="A6A6A6"/>
              <w:bottom w:val="single" w:sz="4" w:space="0" w:color="A6A6A6"/>
            </w:tcBorders>
            <w:hideMark/>
          </w:tcPr>
          <w:p w14:paraId="609E44B8" w14:textId="59CCC4D9" w:rsidR="0050196F" w:rsidRPr="00DE728B" w:rsidRDefault="0050196F" w:rsidP="00D02912">
            <w:pPr>
              <w:pStyle w:val="ARfintablebodyright"/>
              <w:rPr>
                <w:highlight w:val="cyan"/>
              </w:rPr>
            </w:pPr>
            <w:r w:rsidRPr="001048A4">
              <w:t>29</w:t>
            </w:r>
          </w:p>
        </w:tc>
        <w:tc>
          <w:tcPr>
            <w:tcW w:w="1134" w:type="dxa"/>
            <w:tcBorders>
              <w:top w:val="single" w:sz="4" w:space="0" w:color="A6A6A6"/>
              <w:bottom w:val="single" w:sz="4" w:space="0" w:color="A6A6A6"/>
            </w:tcBorders>
            <w:hideMark/>
          </w:tcPr>
          <w:p w14:paraId="32BF1F1C" w14:textId="240F1FA1" w:rsidR="0050196F" w:rsidRPr="00DE728B" w:rsidRDefault="0050196F" w:rsidP="00D02912">
            <w:pPr>
              <w:pStyle w:val="ARfintablebodyright"/>
              <w:rPr>
                <w:highlight w:val="cyan"/>
              </w:rPr>
            </w:pPr>
            <w:r w:rsidRPr="006A0048">
              <w:t>6</w:t>
            </w:r>
          </w:p>
        </w:tc>
        <w:tc>
          <w:tcPr>
            <w:tcW w:w="1134" w:type="dxa"/>
            <w:tcBorders>
              <w:top w:val="single" w:sz="4" w:space="0" w:color="A6A6A6"/>
              <w:bottom w:val="single" w:sz="4" w:space="0" w:color="A6A6A6"/>
            </w:tcBorders>
            <w:hideMark/>
          </w:tcPr>
          <w:p w14:paraId="69194DF6" w14:textId="0B6A1F1A" w:rsidR="0050196F" w:rsidRPr="00DE728B" w:rsidRDefault="0050196F" w:rsidP="00D02912">
            <w:pPr>
              <w:pStyle w:val="ARfintablebodyright"/>
              <w:rPr>
                <w:highlight w:val="cyan"/>
              </w:rPr>
            </w:pPr>
            <w:r w:rsidRPr="00FC12B4">
              <w:t>425</w:t>
            </w:r>
          </w:p>
        </w:tc>
        <w:tc>
          <w:tcPr>
            <w:tcW w:w="685" w:type="dxa"/>
            <w:tcBorders>
              <w:top w:val="single" w:sz="4" w:space="0" w:color="A6A6A6"/>
              <w:bottom w:val="single" w:sz="4" w:space="0" w:color="A6A6A6"/>
            </w:tcBorders>
            <w:hideMark/>
          </w:tcPr>
          <w:p w14:paraId="0AD0B993" w14:textId="77777777" w:rsidR="0050196F" w:rsidRPr="00DE728B" w:rsidRDefault="0050196F" w:rsidP="00D02912">
            <w:pPr>
              <w:pStyle w:val="ARfintablebodycentre"/>
              <w:rPr>
                <w:highlight w:val="cyan"/>
              </w:rPr>
            </w:pPr>
          </w:p>
        </w:tc>
      </w:tr>
      <w:tr w:rsidR="0050196F" w:rsidRPr="00532DAE" w14:paraId="61966C24" w14:textId="77777777" w:rsidTr="00627749">
        <w:trPr>
          <w:cantSplit w:val="0"/>
        </w:trPr>
        <w:tc>
          <w:tcPr>
            <w:tcW w:w="5557" w:type="dxa"/>
            <w:tcBorders>
              <w:bottom w:val="single" w:sz="4" w:space="0" w:color="auto"/>
            </w:tcBorders>
            <w:hideMark/>
          </w:tcPr>
          <w:p w14:paraId="3EB2BBD2" w14:textId="77777777" w:rsidR="0050196F" w:rsidRPr="00532DAE" w:rsidRDefault="0050196F" w:rsidP="00D02912">
            <w:pPr>
              <w:pStyle w:val="ARfintablebodybold"/>
            </w:pPr>
            <w:r w:rsidRPr="00532DAE">
              <w:t>Total receipts</w:t>
            </w:r>
          </w:p>
        </w:tc>
        <w:tc>
          <w:tcPr>
            <w:tcW w:w="1134" w:type="dxa"/>
            <w:tcBorders>
              <w:bottom w:val="single" w:sz="4" w:space="0" w:color="auto"/>
            </w:tcBorders>
            <w:hideMark/>
          </w:tcPr>
          <w:p w14:paraId="69DC3DFB" w14:textId="73A3B9C5" w:rsidR="0050196F" w:rsidRPr="00DE728B" w:rsidRDefault="0050196F" w:rsidP="00D02912">
            <w:pPr>
              <w:pStyle w:val="ARfintablebodyrightbold"/>
              <w:rPr>
                <w:highlight w:val="cyan"/>
              </w:rPr>
            </w:pPr>
            <w:r w:rsidRPr="001048A4">
              <w:t>5,248</w:t>
            </w:r>
          </w:p>
        </w:tc>
        <w:tc>
          <w:tcPr>
            <w:tcW w:w="1134" w:type="dxa"/>
            <w:tcBorders>
              <w:bottom w:val="single" w:sz="4" w:space="0" w:color="auto"/>
            </w:tcBorders>
            <w:hideMark/>
          </w:tcPr>
          <w:p w14:paraId="4142A618" w14:textId="78F5267C" w:rsidR="0050196F" w:rsidRPr="00DE728B" w:rsidRDefault="0050196F" w:rsidP="00D02912">
            <w:pPr>
              <w:pStyle w:val="ARfintablebodyrightbold"/>
              <w:rPr>
                <w:highlight w:val="cyan"/>
              </w:rPr>
            </w:pPr>
            <w:r w:rsidRPr="006A0048">
              <w:t>4,896</w:t>
            </w:r>
          </w:p>
        </w:tc>
        <w:tc>
          <w:tcPr>
            <w:tcW w:w="1134" w:type="dxa"/>
            <w:tcBorders>
              <w:bottom w:val="single" w:sz="4" w:space="0" w:color="auto"/>
            </w:tcBorders>
            <w:hideMark/>
          </w:tcPr>
          <w:p w14:paraId="34EAAD61" w14:textId="7278FF8D" w:rsidR="0050196F" w:rsidRPr="00DE728B" w:rsidRDefault="0050196F" w:rsidP="00D02912">
            <w:pPr>
              <w:pStyle w:val="ARfintablebodyrightbold"/>
              <w:rPr>
                <w:highlight w:val="cyan"/>
              </w:rPr>
            </w:pPr>
            <w:r w:rsidRPr="00FC12B4">
              <w:t>7.2</w:t>
            </w:r>
          </w:p>
        </w:tc>
        <w:tc>
          <w:tcPr>
            <w:tcW w:w="685" w:type="dxa"/>
            <w:tcBorders>
              <w:bottom w:val="single" w:sz="4" w:space="0" w:color="auto"/>
            </w:tcBorders>
            <w:hideMark/>
          </w:tcPr>
          <w:p w14:paraId="2A0A20BB" w14:textId="77777777" w:rsidR="0050196F" w:rsidRPr="00DE728B" w:rsidRDefault="0050196F" w:rsidP="00D02912">
            <w:pPr>
              <w:pStyle w:val="ARfintablebodycentre"/>
              <w:rPr>
                <w:highlight w:val="cyan"/>
              </w:rPr>
            </w:pPr>
          </w:p>
        </w:tc>
      </w:tr>
      <w:tr w:rsidR="0050196F" w:rsidRPr="00532DAE" w14:paraId="67FDADFB" w14:textId="77777777" w:rsidTr="00627749">
        <w:trPr>
          <w:cantSplit w:val="0"/>
        </w:trPr>
        <w:tc>
          <w:tcPr>
            <w:tcW w:w="9644" w:type="dxa"/>
            <w:gridSpan w:val="5"/>
            <w:tcBorders>
              <w:top w:val="single" w:sz="4" w:space="0" w:color="auto"/>
              <w:bottom w:val="single" w:sz="2" w:space="0" w:color="A6A6A6" w:themeColor="accent5"/>
            </w:tcBorders>
          </w:tcPr>
          <w:p w14:paraId="62BF827C" w14:textId="77777777" w:rsidR="0050196F" w:rsidRPr="00DE728B" w:rsidRDefault="0050196F" w:rsidP="00D02912">
            <w:pPr>
              <w:pStyle w:val="ARfintablebodybold"/>
              <w:rPr>
                <w:highlight w:val="cyan"/>
              </w:rPr>
            </w:pPr>
            <w:r w:rsidRPr="00022E79">
              <w:t>Payments</w:t>
            </w:r>
          </w:p>
        </w:tc>
      </w:tr>
      <w:tr w:rsidR="0050196F" w:rsidRPr="00532DAE" w14:paraId="404300EB" w14:textId="77777777" w:rsidTr="00627749">
        <w:trPr>
          <w:cantSplit w:val="0"/>
        </w:trPr>
        <w:tc>
          <w:tcPr>
            <w:tcW w:w="5557" w:type="dxa"/>
            <w:tcBorders>
              <w:top w:val="single" w:sz="2" w:space="0" w:color="A6A6A6" w:themeColor="accent5"/>
              <w:bottom w:val="single" w:sz="4" w:space="0" w:color="A6A6A6"/>
            </w:tcBorders>
            <w:hideMark/>
          </w:tcPr>
          <w:p w14:paraId="0A085559" w14:textId="77777777" w:rsidR="0050196F" w:rsidRPr="00532DAE" w:rsidRDefault="0050196F" w:rsidP="00D02912">
            <w:pPr>
              <w:pStyle w:val="ARfintablebody"/>
            </w:pPr>
            <w:r w:rsidRPr="00532DAE">
              <w:t>Payments of grants and other transfers</w:t>
            </w:r>
          </w:p>
        </w:tc>
        <w:tc>
          <w:tcPr>
            <w:tcW w:w="1134" w:type="dxa"/>
            <w:tcBorders>
              <w:top w:val="single" w:sz="2" w:space="0" w:color="A6A6A6" w:themeColor="accent5"/>
              <w:bottom w:val="single" w:sz="4" w:space="0" w:color="A6A6A6"/>
            </w:tcBorders>
            <w:hideMark/>
          </w:tcPr>
          <w:p w14:paraId="7CBEDEAA" w14:textId="0137E0B8" w:rsidR="0050196F" w:rsidRPr="00DE728B" w:rsidRDefault="0050196F" w:rsidP="00D02912">
            <w:pPr>
              <w:pStyle w:val="ARfintablebodyright"/>
              <w:rPr>
                <w:highlight w:val="cyan"/>
              </w:rPr>
            </w:pPr>
            <w:r w:rsidRPr="005816A3">
              <w:t>(1,168)</w:t>
            </w:r>
          </w:p>
        </w:tc>
        <w:tc>
          <w:tcPr>
            <w:tcW w:w="1134" w:type="dxa"/>
            <w:tcBorders>
              <w:top w:val="single" w:sz="2" w:space="0" w:color="A6A6A6" w:themeColor="accent5"/>
              <w:bottom w:val="single" w:sz="4" w:space="0" w:color="A6A6A6"/>
            </w:tcBorders>
            <w:hideMark/>
          </w:tcPr>
          <w:p w14:paraId="41712DD2" w14:textId="57B4B621" w:rsidR="0050196F" w:rsidRPr="00DE728B" w:rsidRDefault="0050196F" w:rsidP="00D02912">
            <w:pPr>
              <w:pStyle w:val="ARfintablebodyright"/>
              <w:rPr>
                <w:highlight w:val="cyan"/>
              </w:rPr>
            </w:pPr>
            <w:r w:rsidRPr="00A814CC">
              <w:t>(1,248)</w:t>
            </w:r>
          </w:p>
        </w:tc>
        <w:tc>
          <w:tcPr>
            <w:tcW w:w="1134" w:type="dxa"/>
            <w:tcBorders>
              <w:top w:val="single" w:sz="2" w:space="0" w:color="A6A6A6" w:themeColor="accent5"/>
              <w:bottom w:val="single" w:sz="4" w:space="0" w:color="A6A6A6"/>
            </w:tcBorders>
            <w:hideMark/>
          </w:tcPr>
          <w:p w14:paraId="2DF7BA1D" w14:textId="4ABBEE2D" w:rsidR="0050196F" w:rsidRPr="00DE728B" w:rsidRDefault="0050196F" w:rsidP="00D02912">
            <w:pPr>
              <w:pStyle w:val="ARfintablebodyright"/>
              <w:rPr>
                <w:highlight w:val="cyan"/>
              </w:rPr>
            </w:pPr>
            <w:r w:rsidRPr="009378ED">
              <w:t>(6.4)</w:t>
            </w:r>
          </w:p>
        </w:tc>
        <w:tc>
          <w:tcPr>
            <w:tcW w:w="685" w:type="dxa"/>
            <w:tcBorders>
              <w:top w:val="single" w:sz="2" w:space="0" w:color="A6A6A6" w:themeColor="accent5"/>
              <w:bottom w:val="single" w:sz="4" w:space="0" w:color="A6A6A6"/>
            </w:tcBorders>
            <w:hideMark/>
          </w:tcPr>
          <w:p w14:paraId="13ABC8CC" w14:textId="77777777" w:rsidR="0050196F" w:rsidRPr="00DE728B" w:rsidRDefault="0050196F" w:rsidP="00D02912">
            <w:pPr>
              <w:pStyle w:val="ARfintablebodycentre"/>
              <w:rPr>
                <w:highlight w:val="cyan"/>
              </w:rPr>
            </w:pPr>
          </w:p>
        </w:tc>
      </w:tr>
      <w:tr w:rsidR="0050196F" w:rsidRPr="00532DAE" w14:paraId="553DC3BE" w14:textId="77777777">
        <w:trPr>
          <w:cantSplit w:val="0"/>
        </w:trPr>
        <w:tc>
          <w:tcPr>
            <w:tcW w:w="5557" w:type="dxa"/>
            <w:tcBorders>
              <w:top w:val="single" w:sz="4" w:space="0" w:color="A6A6A6"/>
              <w:bottom w:val="single" w:sz="4" w:space="0" w:color="A6A6A6"/>
            </w:tcBorders>
            <w:hideMark/>
          </w:tcPr>
          <w:p w14:paraId="658703CC" w14:textId="77777777" w:rsidR="0050196F" w:rsidRPr="00532DAE" w:rsidRDefault="0050196F" w:rsidP="00D02912">
            <w:pPr>
              <w:pStyle w:val="ARfintablebody"/>
            </w:pPr>
            <w:r w:rsidRPr="00532DAE">
              <w:t>Payments to suppliers and employees</w:t>
            </w:r>
          </w:p>
        </w:tc>
        <w:tc>
          <w:tcPr>
            <w:tcW w:w="1134" w:type="dxa"/>
            <w:tcBorders>
              <w:top w:val="single" w:sz="4" w:space="0" w:color="A6A6A6"/>
              <w:bottom w:val="single" w:sz="4" w:space="0" w:color="A6A6A6"/>
            </w:tcBorders>
            <w:hideMark/>
          </w:tcPr>
          <w:p w14:paraId="07A98D71" w14:textId="26ACFFA7" w:rsidR="0050196F" w:rsidRPr="00DE728B" w:rsidRDefault="0050196F" w:rsidP="00D02912">
            <w:pPr>
              <w:pStyle w:val="ARfintablebodyright"/>
              <w:rPr>
                <w:highlight w:val="cyan"/>
              </w:rPr>
            </w:pPr>
            <w:r w:rsidRPr="005816A3">
              <w:t>(4,051)</w:t>
            </w:r>
          </w:p>
        </w:tc>
        <w:tc>
          <w:tcPr>
            <w:tcW w:w="1134" w:type="dxa"/>
            <w:tcBorders>
              <w:top w:val="single" w:sz="4" w:space="0" w:color="A6A6A6"/>
              <w:bottom w:val="single" w:sz="4" w:space="0" w:color="A6A6A6"/>
            </w:tcBorders>
            <w:hideMark/>
          </w:tcPr>
          <w:p w14:paraId="0EA3E3D9" w14:textId="55D87233" w:rsidR="0050196F" w:rsidRPr="00DE728B" w:rsidRDefault="0050196F" w:rsidP="00D02912">
            <w:pPr>
              <w:pStyle w:val="ARfintablebodyright"/>
              <w:rPr>
                <w:highlight w:val="cyan"/>
              </w:rPr>
            </w:pPr>
            <w:r w:rsidRPr="00A814CC">
              <w:t>(3,617)</w:t>
            </w:r>
          </w:p>
        </w:tc>
        <w:tc>
          <w:tcPr>
            <w:tcW w:w="1134" w:type="dxa"/>
            <w:tcBorders>
              <w:top w:val="single" w:sz="4" w:space="0" w:color="A6A6A6"/>
              <w:bottom w:val="single" w:sz="4" w:space="0" w:color="A6A6A6"/>
            </w:tcBorders>
            <w:hideMark/>
          </w:tcPr>
          <w:p w14:paraId="4068AD5C" w14:textId="3C5F3B34" w:rsidR="0050196F" w:rsidRPr="00DE728B" w:rsidRDefault="0050196F" w:rsidP="00D02912">
            <w:pPr>
              <w:pStyle w:val="ARfintablebodyright"/>
              <w:rPr>
                <w:highlight w:val="cyan"/>
              </w:rPr>
            </w:pPr>
            <w:r w:rsidRPr="009378ED">
              <w:t>12.0</w:t>
            </w:r>
          </w:p>
        </w:tc>
        <w:tc>
          <w:tcPr>
            <w:tcW w:w="685" w:type="dxa"/>
            <w:tcBorders>
              <w:top w:val="single" w:sz="4" w:space="0" w:color="A6A6A6"/>
              <w:bottom w:val="single" w:sz="4" w:space="0" w:color="A6A6A6"/>
            </w:tcBorders>
            <w:hideMark/>
          </w:tcPr>
          <w:p w14:paraId="0ACF7EBD" w14:textId="77777777" w:rsidR="0050196F" w:rsidRPr="00DE728B" w:rsidRDefault="0050196F" w:rsidP="00D02912">
            <w:pPr>
              <w:pStyle w:val="ARfintablebodycentre"/>
              <w:rPr>
                <w:highlight w:val="cyan"/>
              </w:rPr>
            </w:pPr>
            <w:r w:rsidRPr="005D267E">
              <w:t>(a)</w:t>
            </w:r>
          </w:p>
        </w:tc>
      </w:tr>
      <w:tr w:rsidR="0050196F" w:rsidRPr="00532DAE" w14:paraId="4DD3565D" w14:textId="77777777">
        <w:trPr>
          <w:cantSplit w:val="0"/>
        </w:trPr>
        <w:tc>
          <w:tcPr>
            <w:tcW w:w="5557" w:type="dxa"/>
            <w:tcBorders>
              <w:top w:val="single" w:sz="4" w:space="0" w:color="A6A6A6"/>
            </w:tcBorders>
            <w:hideMark/>
          </w:tcPr>
          <w:p w14:paraId="3D8B3ADF" w14:textId="77777777" w:rsidR="0050196F" w:rsidRPr="00532DAE" w:rsidRDefault="0050196F" w:rsidP="00D02912">
            <w:pPr>
              <w:pStyle w:val="ARfintablebody"/>
            </w:pPr>
            <w:r w:rsidRPr="00532DAE">
              <w:t>Interest and other costs of finance paid</w:t>
            </w:r>
          </w:p>
        </w:tc>
        <w:tc>
          <w:tcPr>
            <w:tcW w:w="1134" w:type="dxa"/>
            <w:tcBorders>
              <w:top w:val="single" w:sz="4" w:space="0" w:color="A6A6A6"/>
            </w:tcBorders>
            <w:hideMark/>
          </w:tcPr>
          <w:p w14:paraId="215E579A" w14:textId="2C6EFE74" w:rsidR="0050196F" w:rsidRPr="00DE728B" w:rsidRDefault="0050196F" w:rsidP="00D02912">
            <w:pPr>
              <w:pStyle w:val="ARfintablebodyright"/>
              <w:rPr>
                <w:highlight w:val="cyan"/>
              </w:rPr>
            </w:pPr>
            <w:r w:rsidRPr="005816A3">
              <w:t>(0)</w:t>
            </w:r>
          </w:p>
        </w:tc>
        <w:tc>
          <w:tcPr>
            <w:tcW w:w="1134" w:type="dxa"/>
            <w:tcBorders>
              <w:top w:val="single" w:sz="4" w:space="0" w:color="A6A6A6"/>
            </w:tcBorders>
            <w:hideMark/>
          </w:tcPr>
          <w:p w14:paraId="3B537993" w14:textId="39246356" w:rsidR="0050196F" w:rsidRPr="00DE728B" w:rsidRDefault="0050196F" w:rsidP="00D02912">
            <w:pPr>
              <w:pStyle w:val="ARfintablebodyright"/>
              <w:rPr>
                <w:highlight w:val="cyan"/>
              </w:rPr>
            </w:pPr>
            <w:r w:rsidRPr="00A814CC">
              <w:t>(3)</w:t>
            </w:r>
          </w:p>
        </w:tc>
        <w:tc>
          <w:tcPr>
            <w:tcW w:w="1134" w:type="dxa"/>
            <w:tcBorders>
              <w:top w:val="single" w:sz="4" w:space="0" w:color="A6A6A6"/>
            </w:tcBorders>
            <w:hideMark/>
          </w:tcPr>
          <w:p w14:paraId="0C6BD2F3" w14:textId="4403A0C0" w:rsidR="0050196F" w:rsidRPr="00DE728B" w:rsidRDefault="0050196F" w:rsidP="00D02912">
            <w:pPr>
              <w:pStyle w:val="ARfintablebodyright"/>
              <w:rPr>
                <w:highlight w:val="cyan"/>
              </w:rPr>
            </w:pPr>
            <w:r w:rsidRPr="009378ED">
              <w:t>(86.4)</w:t>
            </w:r>
          </w:p>
        </w:tc>
        <w:tc>
          <w:tcPr>
            <w:tcW w:w="685" w:type="dxa"/>
            <w:tcBorders>
              <w:top w:val="single" w:sz="4" w:space="0" w:color="A6A6A6"/>
            </w:tcBorders>
            <w:hideMark/>
          </w:tcPr>
          <w:p w14:paraId="1F885FE3" w14:textId="77777777" w:rsidR="0050196F" w:rsidRPr="00DE728B" w:rsidRDefault="0050196F" w:rsidP="00D02912">
            <w:pPr>
              <w:pStyle w:val="ARfintablebodycentre"/>
              <w:rPr>
                <w:highlight w:val="cyan"/>
              </w:rPr>
            </w:pPr>
          </w:p>
        </w:tc>
      </w:tr>
      <w:tr w:rsidR="0050196F" w:rsidRPr="00532DAE" w14:paraId="083A3230" w14:textId="77777777">
        <w:trPr>
          <w:cantSplit w:val="0"/>
        </w:trPr>
        <w:tc>
          <w:tcPr>
            <w:tcW w:w="5557" w:type="dxa"/>
            <w:hideMark/>
          </w:tcPr>
          <w:p w14:paraId="3FA511E4" w14:textId="77777777" w:rsidR="0050196F" w:rsidRPr="00532DAE" w:rsidRDefault="0050196F" w:rsidP="00D02912">
            <w:pPr>
              <w:pStyle w:val="ARfintablebodybold"/>
            </w:pPr>
            <w:r w:rsidRPr="00532DAE">
              <w:t>Total payments</w:t>
            </w:r>
          </w:p>
        </w:tc>
        <w:tc>
          <w:tcPr>
            <w:tcW w:w="1134" w:type="dxa"/>
            <w:hideMark/>
          </w:tcPr>
          <w:p w14:paraId="3AAC2514" w14:textId="26F0ACC0" w:rsidR="0050196F" w:rsidRPr="00DE728B" w:rsidRDefault="0050196F" w:rsidP="00D02912">
            <w:pPr>
              <w:pStyle w:val="ARfintablebodyrightbold"/>
              <w:rPr>
                <w:highlight w:val="cyan"/>
              </w:rPr>
            </w:pPr>
            <w:r w:rsidRPr="005816A3">
              <w:t>(5,220)</w:t>
            </w:r>
          </w:p>
        </w:tc>
        <w:tc>
          <w:tcPr>
            <w:tcW w:w="1134" w:type="dxa"/>
            <w:hideMark/>
          </w:tcPr>
          <w:p w14:paraId="79175484" w14:textId="7A200435" w:rsidR="0050196F" w:rsidRPr="00DE728B" w:rsidRDefault="0050196F" w:rsidP="00D02912">
            <w:pPr>
              <w:pStyle w:val="ARfintablebodyrightbold"/>
              <w:rPr>
                <w:highlight w:val="cyan"/>
              </w:rPr>
            </w:pPr>
            <w:r w:rsidRPr="00A814CC">
              <w:t>(4,868)</w:t>
            </w:r>
          </w:p>
        </w:tc>
        <w:tc>
          <w:tcPr>
            <w:tcW w:w="1134" w:type="dxa"/>
            <w:hideMark/>
          </w:tcPr>
          <w:p w14:paraId="0F124D82" w14:textId="1040A3B3" w:rsidR="0050196F" w:rsidRPr="00DE728B" w:rsidRDefault="0050196F" w:rsidP="00D02912">
            <w:pPr>
              <w:pStyle w:val="ARfintablebodyrightbold"/>
              <w:rPr>
                <w:highlight w:val="cyan"/>
              </w:rPr>
            </w:pPr>
            <w:r w:rsidRPr="009378ED">
              <w:t>7.2</w:t>
            </w:r>
          </w:p>
        </w:tc>
        <w:tc>
          <w:tcPr>
            <w:tcW w:w="685" w:type="dxa"/>
            <w:hideMark/>
          </w:tcPr>
          <w:p w14:paraId="4C3429F3" w14:textId="77777777" w:rsidR="0050196F" w:rsidRPr="00DE728B" w:rsidRDefault="0050196F" w:rsidP="00D02912">
            <w:pPr>
              <w:pStyle w:val="ARfintablebodycentre"/>
              <w:rPr>
                <w:highlight w:val="cyan"/>
              </w:rPr>
            </w:pPr>
          </w:p>
        </w:tc>
      </w:tr>
      <w:tr w:rsidR="0050196F" w:rsidRPr="00532DAE" w14:paraId="2C4E3EDE" w14:textId="77777777" w:rsidTr="00627749">
        <w:trPr>
          <w:cantSplit w:val="0"/>
        </w:trPr>
        <w:tc>
          <w:tcPr>
            <w:tcW w:w="5557" w:type="dxa"/>
            <w:tcBorders>
              <w:bottom w:val="single" w:sz="4" w:space="0" w:color="auto"/>
            </w:tcBorders>
            <w:hideMark/>
          </w:tcPr>
          <w:p w14:paraId="3BA405EC" w14:textId="77777777" w:rsidR="0050196F" w:rsidRPr="00532DAE" w:rsidRDefault="0050196F" w:rsidP="00D02912">
            <w:pPr>
              <w:pStyle w:val="ARfintablebodybold"/>
            </w:pPr>
            <w:r w:rsidRPr="00532DAE">
              <w:t>Net cash flows from/(used in) operating activities</w:t>
            </w:r>
          </w:p>
        </w:tc>
        <w:tc>
          <w:tcPr>
            <w:tcW w:w="1134" w:type="dxa"/>
            <w:tcBorders>
              <w:bottom w:val="single" w:sz="4" w:space="0" w:color="auto"/>
            </w:tcBorders>
            <w:hideMark/>
          </w:tcPr>
          <w:p w14:paraId="1E840833" w14:textId="6E8AEEA1" w:rsidR="0050196F" w:rsidRPr="00DE728B" w:rsidRDefault="0050196F" w:rsidP="00D02912">
            <w:pPr>
              <w:pStyle w:val="ARfintablebodyrightbold"/>
              <w:rPr>
                <w:highlight w:val="cyan"/>
              </w:rPr>
            </w:pPr>
            <w:r w:rsidRPr="005816A3">
              <w:t>29</w:t>
            </w:r>
          </w:p>
        </w:tc>
        <w:tc>
          <w:tcPr>
            <w:tcW w:w="1134" w:type="dxa"/>
            <w:tcBorders>
              <w:bottom w:val="single" w:sz="4" w:space="0" w:color="auto"/>
            </w:tcBorders>
            <w:hideMark/>
          </w:tcPr>
          <w:p w14:paraId="4A3B61B8" w14:textId="64CAE88A" w:rsidR="0050196F" w:rsidRPr="00DE728B" w:rsidRDefault="0050196F" w:rsidP="00D02912">
            <w:pPr>
              <w:pStyle w:val="ARfintablebodyrightbold"/>
              <w:rPr>
                <w:highlight w:val="cyan"/>
              </w:rPr>
            </w:pPr>
            <w:r w:rsidRPr="00A814CC">
              <w:t>27</w:t>
            </w:r>
          </w:p>
        </w:tc>
        <w:tc>
          <w:tcPr>
            <w:tcW w:w="1134" w:type="dxa"/>
            <w:tcBorders>
              <w:bottom w:val="single" w:sz="4" w:space="0" w:color="auto"/>
            </w:tcBorders>
            <w:hideMark/>
          </w:tcPr>
          <w:p w14:paraId="6320BDD6" w14:textId="78F3F5C6" w:rsidR="0050196F" w:rsidRPr="00DE728B" w:rsidRDefault="0050196F" w:rsidP="00D02912">
            <w:pPr>
              <w:pStyle w:val="ARfintablebodyrightbold"/>
              <w:rPr>
                <w:highlight w:val="cyan"/>
              </w:rPr>
            </w:pPr>
            <w:r w:rsidRPr="009378ED">
              <w:t>4.2</w:t>
            </w:r>
          </w:p>
        </w:tc>
        <w:tc>
          <w:tcPr>
            <w:tcW w:w="685" w:type="dxa"/>
            <w:tcBorders>
              <w:bottom w:val="single" w:sz="4" w:space="0" w:color="auto"/>
            </w:tcBorders>
            <w:hideMark/>
          </w:tcPr>
          <w:p w14:paraId="7A1FAD74" w14:textId="77777777" w:rsidR="0050196F" w:rsidRPr="00DE728B" w:rsidRDefault="0050196F" w:rsidP="00D02912">
            <w:pPr>
              <w:pStyle w:val="ARfintablebodycentre"/>
              <w:rPr>
                <w:highlight w:val="cyan"/>
              </w:rPr>
            </w:pPr>
          </w:p>
        </w:tc>
      </w:tr>
      <w:tr w:rsidR="0050196F" w:rsidRPr="00532DAE" w14:paraId="1EAC4D93" w14:textId="77777777" w:rsidTr="00627749">
        <w:trPr>
          <w:cantSplit w:val="0"/>
        </w:trPr>
        <w:tc>
          <w:tcPr>
            <w:tcW w:w="9644" w:type="dxa"/>
            <w:gridSpan w:val="5"/>
            <w:tcBorders>
              <w:top w:val="single" w:sz="4" w:space="0" w:color="auto"/>
              <w:bottom w:val="single" w:sz="2" w:space="0" w:color="A6A6A6" w:themeColor="accent5"/>
            </w:tcBorders>
          </w:tcPr>
          <w:p w14:paraId="50CE8AB6" w14:textId="77777777" w:rsidR="0050196F" w:rsidRPr="00DE728B" w:rsidRDefault="0050196F" w:rsidP="00D02912">
            <w:pPr>
              <w:pStyle w:val="ARfintablebodybold"/>
              <w:rPr>
                <w:highlight w:val="cyan"/>
              </w:rPr>
            </w:pPr>
            <w:r w:rsidRPr="000626D9">
              <w:t>Cash flows from investing activities</w:t>
            </w:r>
          </w:p>
        </w:tc>
      </w:tr>
      <w:tr w:rsidR="0050196F" w:rsidRPr="00532DAE" w14:paraId="2615E11D" w14:textId="77777777" w:rsidTr="00627749">
        <w:trPr>
          <w:cantSplit w:val="0"/>
        </w:trPr>
        <w:tc>
          <w:tcPr>
            <w:tcW w:w="5557" w:type="dxa"/>
            <w:tcBorders>
              <w:top w:val="single" w:sz="2" w:space="0" w:color="A6A6A6" w:themeColor="accent5"/>
              <w:bottom w:val="single" w:sz="4" w:space="0" w:color="A6A6A6"/>
            </w:tcBorders>
            <w:hideMark/>
          </w:tcPr>
          <w:p w14:paraId="5328B1A1" w14:textId="77777777" w:rsidR="0050196F" w:rsidRPr="00532DAE" w:rsidRDefault="0050196F" w:rsidP="00D02912">
            <w:pPr>
              <w:pStyle w:val="ARfintablebody"/>
            </w:pPr>
            <w:r w:rsidRPr="00532DAE">
              <w:t>Net investment</w:t>
            </w:r>
          </w:p>
        </w:tc>
        <w:tc>
          <w:tcPr>
            <w:tcW w:w="1134" w:type="dxa"/>
            <w:tcBorders>
              <w:top w:val="single" w:sz="2" w:space="0" w:color="A6A6A6" w:themeColor="accent5"/>
              <w:bottom w:val="single" w:sz="4" w:space="0" w:color="A6A6A6"/>
            </w:tcBorders>
            <w:hideMark/>
          </w:tcPr>
          <w:p w14:paraId="5B33544A" w14:textId="1A64BA93" w:rsidR="0050196F" w:rsidRPr="00DE728B" w:rsidRDefault="0050196F" w:rsidP="00D02912">
            <w:pPr>
              <w:pStyle w:val="ARfintablebodyright"/>
              <w:rPr>
                <w:highlight w:val="cyan"/>
              </w:rPr>
            </w:pPr>
            <w:r w:rsidRPr="005B6E28">
              <w:t>2</w:t>
            </w:r>
          </w:p>
        </w:tc>
        <w:tc>
          <w:tcPr>
            <w:tcW w:w="1134" w:type="dxa"/>
            <w:tcBorders>
              <w:top w:val="single" w:sz="2" w:space="0" w:color="A6A6A6" w:themeColor="accent5"/>
              <w:bottom w:val="single" w:sz="4" w:space="0" w:color="A6A6A6"/>
            </w:tcBorders>
            <w:hideMark/>
          </w:tcPr>
          <w:p w14:paraId="5B357CD0" w14:textId="77777777" w:rsidR="0050196F" w:rsidRPr="00DE728B" w:rsidRDefault="0050196F" w:rsidP="00D02912">
            <w:pPr>
              <w:pStyle w:val="ARfintablebodyright"/>
              <w:rPr>
                <w:highlight w:val="cyan"/>
              </w:rPr>
            </w:pPr>
          </w:p>
        </w:tc>
        <w:tc>
          <w:tcPr>
            <w:tcW w:w="1134" w:type="dxa"/>
            <w:tcBorders>
              <w:top w:val="single" w:sz="2" w:space="0" w:color="A6A6A6" w:themeColor="accent5"/>
              <w:bottom w:val="single" w:sz="4" w:space="0" w:color="A6A6A6"/>
            </w:tcBorders>
            <w:hideMark/>
          </w:tcPr>
          <w:p w14:paraId="2E0220EA" w14:textId="255653B3" w:rsidR="0050196F" w:rsidRPr="00DE728B" w:rsidRDefault="0050196F" w:rsidP="00D02912">
            <w:pPr>
              <w:pStyle w:val="ARfintablebodyright"/>
              <w:rPr>
                <w:highlight w:val="cyan"/>
              </w:rPr>
            </w:pPr>
          </w:p>
        </w:tc>
        <w:tc>
          <w:tcPr>
            <w:tcW w:w="685" w:type="dxa"/>
            <w:tcBorders>
              <w:top w:val="single" w:sz="2" w:space="0" w:color="A6A6A6" w:themeColor="accent5"/>
              <w:bottom w:val="single" w:sz="4" w:space="0" w:color="A6A6A6"/>
            </w:tcBorders>
            <w:hideMark/>
          </w:tcPr>
          <w:p w14:paraId="22B57352" w14:textId="77777777" w:rsidR="0050196F" w:rsidRPr="00DE728B" w:rsidRDefault="0050196F" w:rsidP="00D02912">
            <w:pPr>
              <w:pStyle w:val="ARfintablebodycentre"/>
              <w:rPr>
                <w:highlight w:val="cyan"/>
              </w:rPr>
            </w:pPr>
          </w:p>
        </w:tc>
      </w:tr>
      <w:tr w:rsidR="0050196F" w:rsidRPr="00532DAE" w14:paraId="54F36E6D" w14:textId="77777777">
        <w:trPr>
          <w:cantSplit w:val="0"/>
        </w:trPr>
        <w:tc>
          <w:tcPr>
            <w:tcW w:w="5557" w:type="dxa"/>
            <w:tcBorders>
              <w:top w:val="single" w:sz="4" w:space="0" w:color="A6A6A6"/>
              <w:bottom w:val="single" w:sz="4" w:space="0" w:color="A6A6A6"/>
            </w:tcBorders>
          </w:tcPr>
          <w:p w14:paraId="3069E496" w14:textId="77777777" w:rsidR="0050196F" w:rsidRPr="00532DAE" w:rsidRDefault="0050196F" w:rsidP="00D02912">
            <w:pPr>
              <w:pStyle w:val="ARfintablebody"/>
            </w:pPr>
            <w:r w:rsidRPr="00532DAE">
              <w:t>Payments for non-financial assets</w:t>
            </w:r>
          </w:p>
        </w:tc>
        <w:tc>
          <w:tcPr>
            <w:tcW w:w="1134" w:type="dxa"/>
            <w:tcBorders>
              <w:top w:val="single" w:sz="4" w:space="0" w:color="A6A6A6"/>
              <w:bottom w:val="single" w:sz="4" w:space="0" w:color="A6A6A6"/>
            </w:tcBorders>
          </w:tcPr>
          <w:p w14:paraId="69731A2B" w14:textId="7BD5B9A3" w:rsidR="0050196F" w:rsidRPr="00DE728B" w:rsidRDefault="0050196F" w:rsidP="00D02912">
            <w:pPr>
              <w:pStyle w:val="ARfintablebodyright"/>
              <w:rPr>
                <w:highlight w:val="cyan"/>
              </w:rPr>
            </w:pPr>
            <w:r w:rsidRPr="005B6E28">
              <w:t>(49)</w:t>
            </w:r>
          </w:p>
        </w:tc>
        <w:tc>
          <w:tcPr>
            <w:tcW w:w="1134" w:type="dxa"/>
            <w:tcBorders>
              <w:top w:val="single" w:sz="4" w:space="0" w:color="A6A6A6"/>
              <w:bottom w:val="single" w:sz="4" w:space="0" w:color="A6A6A6"/>
            </w:tcBorders>
          </w:tcPr>
          <w:p w14:paraId="7FBFCEFD" w14:textId="513FAA95" w:rsidR="0050196F" w:rsidRPr="00DE728B" w:rsidRDefault="0050196F" w:rsidP="00D02912">
            <w:pPr>
              <w:pStyle w:val="ARfintablebodyright"/>
              <w:rPr>
                <w:highlight w:val="cyan"/>
              </w:rPr>
            </w:pPr>
            <w:r w:rsidRPr="00526572">
              <w:t>(83)</w:t>
            </w:r>
          </w:p>
        </w:tc>
        <w:tc>
          <w:tcPr>
            <w:tcW w:w="1134" w:type="dxa"/>
            <w:tcBorders>
              <w:top w:val="single" w:sz="4" w:space="0" w:color="A6A6A6"/>
              <w:bottom w:val="single" w:sz="4" w:space="0" w:color="A6A6A6"/>
            </w:tcBorders>
          </w:tcPr>
          <w:p w14:paraId="7C74CB46" w14:textId="12800673" w:rsidR="0050196F" w:rsidRPr="00DE728B" w:rsidRDefault="0050196F" w:rsidP="00D02912">
            <w:pPr>
              <w:pStyle w:val="ARfintablebodyright"/>
              <w:rPr>
                <w:highlight w:val="cyan"/>
              </w:rPr>
            </w:pPr>
            <w:r w:rsidRPr="007553C4">
              <w:t>(41.5)</w:t>
            </w:r>
          </w:p>
        </w:tc>
        <w:tc>
          <w:tcPr>
            <w:tcW w:w="685" w:type="dxa"/>
            <w:tcBorders>
              <w:top w:val="single" w:sz="4" w:space="0" w:color="A6A6A6"/>
              <w:bottom w:val="single" w:sz="4" w:space="0" w:color="A6A6A6"/>
            </w:tcBorders>
          </w:tcPr>
          <w:p w14:paraId="27A736F0" w14:textId="77777777" w:rsidR="0050196F" w:rsidRPr="00DE728B" w:rsidRDefault="0050196F" w:rsidP="00D02912">
            <w:pPr>
              <w:pStyle w:val="ARfintablebodycentre"/>
              <w:rPr>
                <w:highlight w:val="cyan"/>
              </w:rPr>
            </w:pPr>
            <w:r w:rsidRPr="0042323D">
              <w:t>(b)</w:t>
            </w:r>
          </w:p>
        </w:tc>
      </w:tr>
      <w:tr w:rsidR="0050196F" w:rsidRPr="00532DAE" w14:paraId="2BCB8EB2" w14:textId="77777777">
        <w:trPr>
          <w:cantSplit w:val="0"/>
        </w:trPr>
        <w:tc>
          <w:tcPr>
            <w:tcW w:w="5557" w:type="dxa"/>
            <w:tcBorders>
              <w:top w:val="single" w:sz="4" w:space="0" w:color="A6A6A6"/>
              <w:bottom w:val="single" w:sz="4" w:space="0" w:color="A6A6A6"/>
            </w:tcBorders>
          </w:tcPr>
          <w:p w14:paraId="19E03241" w14:textId="77777777" w:rsidR="0050196F" w:rsidRPr="00532DAE" w:rsidRDefault="0050196F" w:rsidP="00D02912">
            <w:pPr>
              <w:pStyle w:val="ARfintablebody"/>
            </w:pPr>
            <w:r w:rsidRPr="00532DAE">
              <w:t>Proceeds from sale of non-financial assets</w:t>
            </w:r>
          </w:p>
        </w:tc>
        <w:tc>
          <w:tcPr>
            <w:tcW w:w="1134" w:type="dxa"/>
            <w:tcBorders>
              <w:top w:val="single" w:sz="4" w:space="0" w:color="A6A6A6"/>
              <w:bottom w:val="single" w:sz="4" w:space="0" w:color="A6A6A6"/>
            </w:tcBorders>
          </w:tcPr>
          <w:p w14:paraId="48F4953F" w14:textId="6CFE25CA" w:rsidR="0050196F" w:rsidRPr="00DE728B" w:rsidRDefault="0050196F" w:rsidP="00D02912">
            <w:pPr>
              <w:pStyle w:val="ARfintablebodyright"/>
              <w:rPr>
                <w:highlight w:val="cyan"/>
              </w:rPr>
            </w:pPr>
            <w:r w:rsidRPr="005B6E28">
              <w:t>12</w:t>
            </w:r>
          </w:p>
        </w:tc>
        <w:tc>
          <w:tcPr>
            <w:tcW w:w="1134" w:type="dxa"/>
            <w:tcBorders>
              <w:top w:val="single" w:sz="4" w:space="0" w:color="A6A6A6"/>
              <w:bottom w:val="single" w:sz="4" w:space="0" w:color="A6A6A6"/>
            </w:tcBorders>
          </w:tcPr>
          <w:p w14:paraId="6A0E5D1D" w14:textId="6CFCA845" w:rsidR="0050196F" w:rsidRPr="00DE728B" w:rsidRDefault="0050196F" w:rsidP="00D02912">
            <w:pPr>
              <w:pStyle w:val="ARfintablebodyright"/>
              <w:rPr>
                <w:highlight w:val="cyan"/>
              </w:rPr>
            </w:pPr>
          </w:p>
        </w:tc>
        <w:tc>
          <w:tcPr>
            <w:tcW w:w="1134" w:type="dxa"/>
            <w:tcBorders>
              <w:top w:val="single" w:sz="4" w:space="0" w:color="A6A6A6"/>
              <w:bottom w:val="single" w:sz="4" w:space="0" w:color="A6A6A6"/>
            </w:tcBorders>
          </w:tcPr>
          <w:p w14:paraId="44170976" w14:textId="77777777" w:rsidR="0050196F" w:rsidRPr="00DE728B" w:rsidRDefault="0050196F" w:rsidP="00D02912">
            <w:pPr>
              <w:pStyle w:val="ARfintablebodyright"/>
              <w:rPr>
                <w:highlight w:val="cyan"/>
              </w:rPr>
            </w:pPr>
          </w:p>
        </w:tc>
        <w:tc>
          <w:tcPr>
            <w:tcW w:w="685" w:type="dxa"/>
            <w:tcBorders>
              <w:top w:val="single" w:sz="4" w:space="0" w:color="A6A6A6"/>
              <w:bottom w:val="single" w:sz="4" w:space="0" w:color="A6A6A6"/>
            </w:tcBorders>
          </w:tcPr>
          <w:p w14:paraId="42D2CB3C" w14:textId="77777777" w:rsidR="0050196F" w:rsidRPr="00DE728B" w:rsidRDefault="0050196F" w:rsidP="00D02912">
            <w:pPr>
              <w:pStyle w:val="ARfintablebodycentre"/>
              <w:rPr>
                <w:highlight w:val="cyan"/>
              </w:rPr>
            </w:pPr>
          </w:p>
        </w:tc>
      </w:tr>
      <w:tr w:rsidR="0050196F" w:rsidRPr="00532DAE" w14:paraId="69BD71B8" w14:textId="77777777">
        <w:trPr>
          <w:cantSplit w:val="0"/>
        </w:trPr>
        <w:tc>
          <w:tcPr>
            <w:tcW w:w="5557" w:type="dxa"/>
            <w:tcBorders>
              <w:top w:val="single" w:sz="4" w:space="0" w:color="A6A6A6"/>
              <w:bottom w:val="single" w:sz="4" w:space="0" w:color="A6A6A6"/>
            </w:tcBorders>
            <w:hideMark/>
          </w:tcPr>
          <w:p w14:paraId="3B2E0A99" w14:textId="77777777" w:rsidR="0050196F" w:rsidRPr="00532DAE" w:rsidRDefault="0050196F" w:rsidP="00D02912">
            <w:pPr>
              <w:pStyle w:val="ARfintablebody"/>
            </w:pPr>
            <w:r w:rsidRPr="00532DAE">
              <w:t>Net loans to other parties</w:t>
            </w:r>
          </w:p>
        </w:tc>
        <w:tc>
          <w:tcPr>
            <w:tcW w:w="1134" w:type="dxa"/>
            <w:tcBorders>
              <w:top w:val="single" w:sz="4" w:space="0" w:color="A6A6A6"/>
              <w:bottom w:val="single" w:sz="4" w:space="0" w:color="A6A6A6"/>
            </w:tcBorders>
            <w:hideMark/>
          </w:tcPr>
          <w:p w14:paraId="70595171" w14:textId="5C6DA59B" w:rsidR="0050196F" w:rsidRPr="00DE728B" w:rsidRDefault="0050196F" w:rsidP="00D02912">
            <w:pPr>
              <w:pStyle w:val="ARfintablebodyright"/>
              <w:rPr>
                <w:highlight w:val="cyan"/>
              </w:rPr>
            </w:pPr>
            <w:r w:rsidRPr="005B6E28">
              <w:t>3</w:t>
            </w:r>
          </w:p>
        </w:tc>
        <w:tc>
          <w:tcPr>
            <w:tcW w:w="1134" w:type="dxa"/>
            <w:tcBorders>
              <w:top w:val="single" w:sz="4" w:space="0" w:color="A6A6A6"/>
              <w:bottom w:val="single" w:sz="4" w:space="0" w:color="A6A6A6"/>
            </w:tcBorders>
            <w:hideMark/>
          </w:tcPr>
          <w:p w14:paraId="2D964F4B" w14:textId="72217392" w:rsidR="0050196F" w:rsidRPr="00DE728B" w:rsidRDefault="0050196F" w:rsidP="00D02912">
            <w:pPr>
              <w:pStyle w:val="ARfintablebodyright"/>
              <w:rPr>
                <w:highlight w:val="cyan"/>
              </w:rPr>
            </w:pPr>
            <w:r w:rsidRPr="00526572">
              <w:t>2</w:t>
            </w:r>
          </w:p>
        </w:tc>
        <w:tc>
          <w:tcPr>
            <w:tcW w:w="1134" w:type="dxa"/>
            <w:tcBorders>
              <w:top w:val="single" w:sz="4" w:space="0" w:color="A6A6A6"/>
              <w:bottom w:val="single" w:sz="4" w:space="0" w:color="A6A6A6"/>
            </w:tcBorders>
            <w:hideMark/>
          </w:tcPr>
          <w:p w14:paraId="7A6CB1CE" w14:textId="3AF116B5" w:rsidR="0050196F" w:rsidRPr="00DE728B" w:rsidRDefault="0050196F" w:rsidP="00D02912">
            <w:pPr>
              <w:pStyle w:val="ARfintablebodyright"/>
              <w:rPr>
                <w:highlight w:val="cyan"/>
              </w:rPr>
            </w:pPr>
            <w:r w:rsidRPr="007553C4">
              <w:t>42.3</w:t>
            </w:r>
          </w:p>
        </w:tc>
        <w:tc>
          <w:tcPr>
            <w:tcW w:w="685" w:type="dxa"/>
            <w:tcBorders>
              <w:top w:val="single" w:sz="4" w:space="0" w:color="A6A6A6"/>
              <w:bottom w:val="single" w:sz="4" w:space="0" w:color="A6A6A6"/>
            </w:tcBorders>
            <w:hideMark/>
          </w:tcPr>
          <w:p w14:paraId="36EE2991" w14:textId="77777777" w:rsidR="0050196F" w:rsidRPr="00DE728B" w:rsidRDefault="0050196F" w:rsidP="00D02912">
            <w:pPr>
              <w:pStyle w:val="ARfintablebodycentre"/>
              <w:rPr>
                <w:highlight w:val="cyan"/>
              </w:rPr>
            </w:pPr>
          </w:p>
        </w:tc>
      </w:tr>
      <w:tr w:rsidR="0050196F" w:rsidRPr="00532DAE" w14:paraId="4337F5F2" w14:textId="77777777">
        <w:trPr>
          <w:cantSplit w:val="0"/>
        </w:trPr>
        <w:tc>
          <w:tcPr>
            <w:tcW w:w="5557" w:type="dxa"/>
            <w:tcBorders>
              <w:bottom w:val="single" w:sz="4" w:space="0" w:color="auto"/>
            </w:tcBorders>
            <w:hideMark/>
          </w:tcPr>
          <w:p w14:paraId="23C09C14" w14:textId="77777777" w:rsidR="0050196F" w:rsidRPr="00532DAE" w:rsidRDefault="0050196F" w:rsidP="00D02912">
            <w:pPr>
              <w:pStyle w:val="ARfintablebodybold"/>
            </w:pPr>
            <w:r w:rsidRPr="00532DAE">
              <w:t>Net cash flows from/(used in) investing activities</w:t>
            </w:r>
          </w:p>
        </w:tc>
        <w:tc>
          <w:tcPr>
            <w:tcW w:w="1134" w:type="dxa"/>
            <w:tcBorders>
              <w:bottom w:val="single" w:sz="4" w:space="0" w:color="auto"/>
            </w:tcBorders>
            <w:hideMark/>
          </w:tcPr>
          <w:p w14:paraId="2F3064E3" w14:textId="42289AED" w:rsidR="0050196F" w:rsidRPr="00DE728B" w:rsidRDefault="0050196F" w:rsidP="00D02912">
            <w:pPr>
              <w:pStyle w:val="ARfintablebodyrightbold"/>
              <w:rPr>
                <w:highlight w:val="cyan"/>
              </w:rPr>
            </w:pPr>
            <w:r w:rsidRPr="005B6E28">
              <w:t>(32)</w:t>
            </w:r>
          </w:p>
        </w:tc>
        <w:tc>
          <w:tcPr>
            <w:tcW w:w="1134" w:type="dxa"/>
            <w:tcBorders>
              <w:bottom w:val="single" w:sz="4" w:space="0" w:color="auto"/>
            </w:tcBorders>
            <w:hideMark/>
          </w:tcPr>
          <w:p w14:paraId="6E9B2617" w14:textId="2ACC4274" w:rsidR="0050196F" w:rsidRPr="00DE728B" w:rsidRDefault="0050196F" w:rsidP="00D02912">
            <w:pPr>
              <w:pStyle w:val="ARfintablebodyrightbold"/>
              <w:rPr>
                <w:highlight w:val="cyan"/>
              </w:rPr>
            </w:pPr>
            <w:r w:rsidRPr="00526572">
              <w:t>(81)</w:t>
            </w:r>
          </w:p>
        </w:tc>
        <w:tc>
          <w:tcPr>
            <w:tcW w:w="1134" w:type="dxa"/>
            <w:tcBorders>
              <w:bottom w:val="single" w:sz="4" w:space="0" w:color="auto"/>
            </w:tcBorders>
            <w:hideMark/>
          </w:tcPr>
          <w:p w14:paraId="51112116" w14:textId="791E1323" w:rsidR="0050196F" w:rsidRPr="00DE728B" w:rsidRDefault="0050196F" w:rsidP="00D02912">
            <w:pPr>
              <w:pStyle w:val="ARfintablebodyrightbold"/>
              <w:rPr>
                <w:highlight w:val="cyan"/>
              </w:rPr>
            </w:pPr>
            <w:r w:rsidRPr="007553C4">
              <w:t>(60.8)</w:t>
            </w:r>
          </w:p>
        </w:tc>
        <w:tc>
          <w:tcPr>
            <w:tcW w:w="685" w:type="dxa"/>
            <w:tcBorders>
              <w:bottom w:val="single" w:sz="4" w:space="0" w:color="auto"/>
            </w:tcBorders>
            <w:hideMark/>
          </w:tcPr>
          <w:p w14:paraId="192F3604" w14:textId="77777777" w:rsidR="0050196F" w:rsidRPr="00DE728B" w:rsidRDefault="0050196F" w:rsidP="00D02912">
            <w:pPr>
              <w:pStyle w:val="ARfintablebodycentre"/>
              <w:rPr>
                <w:highlight w:val="cyan"/>
              </w:rPr>
            </w:pPr>
          </w:p>
        </w:tc>
      </w:tr>
      <w:tr w:rsidR="0050196F" w:rsidRPr="00532DAE" w14:paraId="252E85AC" w14:textId="77777777">
        <w:trPr>
          <w:cantSplit w:val="0"/>
        </w:trPr>
        <w:tc>
          <w:tcPr>
            <w:tcW w:w="9644" w:type="dxa"/>
            <w:gridSpan w:val="5"/>
            <w:tcBorders>
              <w:top w:val="single" w:sz="4" w:space="0" w:color="auto"/>
              <w:bottom w:val="single" w:sz="4" w:space="0" w:color="E35205" w:themeColor="accent3"/>
            </w:tcBorders>
          </w:tcPr>
          <w:p w14:paraId="54E30B1F" w14:textId="77777777" w:rsidR="0050196F" w:rsidRPr="00DE728B" w:rsidRDefault="0050196F" w:rsidP="00D02912">
            <w:pPr>
              <w:pStyle w:val="ARfintablebodybold"/>
              <w:rPr>
                <w:highlight w:val="cyan"/>
              </w:rPr>
            </w:pPr>
            <w:r w:rsidRPr="0042323D">
              <w:t>Cash flows from financing activities</w:t>
            </w:r>
          </w:p>
        </w:tc>
      </w:tr>
      <w:tr w:rsidR="0050196F" w:rsidRPr="00532DAE" w14:paraId="4CCAB246" w14:textId="77777777">
        <w:trPr>
          <w:cantSplit w:val="0"/>
        </w:trPr>
        <w:tc>
          <w:tcPr>
            <w:tcW w:w="5557" w:type="dxa"/>
          </w:tcPr>
          <w:p w14:paraId="04CAD00F" w14:textId="77777777" w:rsidR="0050196F" w:rsidRPr="0042323D" w:rsidRDefault="0050196F" w:rsidP="00D02912">
            <w:pPr>
              <w:pStyle w:val="ARfintablebody"/>
            </w:pPr>
            <w:r w:rsidRPr="0042323D">
              <w:t>Owner contributions by state government</w:t>
            </w:r>
          </w:p>
        </w:tc>
        <w:tc>
          <w:tcPr>
            <w:tcW w:w="1134" w:type="dxa"/>
          </w:tcPr>
          <w:p w14:paraId="739C883E" w14:textId="16862FA0" w:rsidR="0050196F" w:rsidRPr="00DE728B" w:rsidRDefault="0050196F" w:rsidP="00D02912">
            <w:pPr>
              <w:pStyle w:val="ARfintablebodyright"/>
              <w:rPr>
                <w:highlight w:val="cyan"/>
              </w:rPr>
            </w:pPr>
            <w:r w:rsidRPr="00A22C07">
              <w:t>22</w:t>
            </w:r>
          </w:p>
        </w:tc>
        <w:tc>
          <w:tcPr>
            <w:tcW w:w="1134" w:type="dxa"/>
          </w:tcPr>
          <w:p w14:paraId="5723A696" w14:textId="3CBF2843" w:rsidR="0050196F" w:rsidRPr="00DE728B" w:rsidRDefault="0050196F" w:rsidP="00D02912">
            <w:pPr>
              <w:pStyle w:val="ARfintablebodyright"/>
              <w:rPr>
                <w:highlight w:val="cyan"/>
              </w:rPr>
            </w:pPr>
            <w:r w:rsidRPr="0026103B">
              <w:t>56</w:t>
            </w:r>
          </w:p>
        </w:tc>
        <w:tc>
          <w:tcPr>
            <w:tcW w:w="1134" w:type="dxa"/>
          </w:tcPr>
          <w:p w14:paraId="0DBAB045" w14:textId="0C785CF9" w:rsidR="0050196F" w:rsidRPr="00DE728B" w:rsidRDefault="0050196F" w:rsidP="00D02912">
            <w:pPr>
              <w:pStyle w:val="ARfintablebodyright"/>
              <w:rPr>
                <w:highlight w:val="cyan"/>
              </w:rPr>
            </w:pPr>
            <w:r w:rsidRPr="003E5AB7">
              <w:t>(61.3)</w:t>
            </w:r>
          </w:p>
        </w:tc>
        <w:tc>
          <w:tcPr>
            <w:tcW w:w="685" w:type="dxa"/>
          </w:tcPr>
          <w:p w14:paraId="4E09107F" w14:textId="77777777" w:rsidR="0050196F" w:rsidRPr="00DE728B" w:rsidRDefault="0050196F" w:rsidP="00D02912">
            <w:pPr>
              <w:pStyle w:val="ARfintablebodycentre"/>
              <w:rPr>
                <w:highlight w:val="cyan"/>
              </w:rPr>
            </w:pPr>
            <w:r w:rsidRPr="00F9128C">
              <w:t>(c)</w:t>
            </w:r>
          </w:p>
        </w:tc>
      </w:tr>
      <w:tr w:rsidR="0050196F" w:rsidRPr="00532DAE" w14:paraId="776E8A46" w14:textId="77777777">
        <w:trPr>
          <w:cantSplit w:val="0"/>
        </w:trPr>
        <w:tc>
          <w:tcPr>
            <w:tcW w:w="5557" w:type="dxa"/>
          </w:tcPr>
          <w:p w14:paraId="172614FA" w14:textId="77777777" w:rsidR="0050196F" w:rsidRPr="00532DAE" w:rsidRDefault="0050196F" w:rsidP="00D02912">
            <w:pPr>
              <w:pStyle w:val="ARfintablebody"/>
            </w:pPr>
            <w:r w:rsidRPr="00532DAE">
              <w:t>Repayment of leases and service concession liabilities</w:t>
            </w:r>
          </w:p>
        </w:tc>
        <w:tc>
          <w:tcPr>
            <w:tcW w:w="1134" w:type="dxa"/>
          </w:tcPr>
          <w:p w14:paraId="2AFF83BA" w14:textId="00936CA4" w:rsidR="0050196F" w:rsidRPr="00DE728B" w:rsidRDefault="0050196F" w:rsidP="00D02912">
            <w:pPr>
              <w:pStyle w:val="ARfintablebodyright"/>
              <w:rPr>
                <w:highlight w:val="cyan"/>
              </w:rPr>
            </w:pPr>
            <w:r w:rsidRPr="00A22C07">
              <w:t>(12)</w:t>
            </w:r>
          </w:p>
        </w:tc>
        <w:tc>
          <w:tcPr>
            <w:tcW w:w="1134" w:type="dxa"/>
          </w:tcPr>
          <w:p w14:paraId="276D464C" w14:textId="13E393DE" w:rsidR="0050196F" w:rsidRPr="00DE728B" w:rsidRDefault="00604894" w:rsidP="00D02912">
            <w:pPr>
              <w:pStyle w:val="ARfintablebodyright"/>
              <w:rPr>
                <w:highlight w:val="cyan"/>
              </w:rPr>
            </w:pPr>
            <w:r>
              <w:t>–</w:t>
            </w:r>
          </w:p>
        </w:tc>
        <w:tc>
          <w:tcPr>
            <w:tcW w:w="1134" w:type="dxa"/>
          </w:tcPr>
          <w:p w14:paraId="262E8F47" w14:textId="77777777" w:rsidR="0050196F" w:rsidRPr="00DE728B" w:rsidRDefault="0050196F" w:rsidP="00D02912">
            <w:pPr>
              <w:pStyle w:val="ARfintablebodyright"/>
              <w:rPr>
                <w:highlight w:val="cyan"/>
              </w:rPr>
            </w:pPr>
          </w:p>
        </w:tc>
        <w:tc>
          <w:tcPr>
            <w:tcW w:w="685" w:type="dxa"/>
          </w:tcPr>
          <w:p w14:paraId="633B5D13" w14:textId="77777777" w:rsidR="0050196F" w:rsidRPr="00DE728B" w:rsidRDefault="0050196F" w:rsidP="00D02912">
            <w:pPr>
              <w:pStyle w:val="ARfintablebodycentre"/>
              <w:rPr>
                <w:highlight w:val="cyan"/>
              </w:rPr>
            </w:pPr>
          </w:p>
        </w:tc>
      </w:tr>
      <w:tr w:rsidR="0050196F" w:rsidRPr="00532DAE" w14:paraId="11971BC5" w14:textId="77777777">
        <w:trPr>
          <w:cantSplit w:val="0"/>
        </w:trPr>
        <w:tc>
          <w:tcPr>
            <w:tcW w:w="5557" w:type="dxa"/>
          </w:tcPr>
          <w:p w14:paraId="66BBA09B" w14:textId="77777777" w:rsidR="0050196F" w:rsidRPr="00532DAE" w:rsidRDefault="0050196F" w:rsidP="00D02912">
            <w:pPr>
              <w:pStyle w:val="ARfintablebody"/>
            </w:pPr>
            <w:r w:rsidRPr="00532DAE">
              <w:t>Net borrowings</w:t>
            </w:r>
          </w:p>
        </w:tc>
        <w:tc>
          <w:tcPr>
            <w:tcW w:w="1134" w:type="dxa"/>
          </w:tcPr>
          <w:p w14:paraId="470D39D8" w14:textId="1D23A7D1" w:rsidR="0050196F" w:rsidRPr="00DE728B" w:rsidRDefault="0050196F" w:rsidP="00D02912">
            <w:pPr>
              <w:pStyle w:val="ARfintablebodyright"/>
              <w:rPr>
                <w:highlight w:val="cyan"/>
              </w:rPr>
            </w:pPr>
            <w:r w:rsidRPr="00A22C07">
              <w:t>(4)</w:t>
            </w:r>
          </w:p>
        </w:tc>
        <w:tc>
          <w:tcPr>
            <w:tcW w:w="1134" w:type="dxa"/>
          </w:tcPr>
          <w:p w14:paraId="6170DDA5" w14:textId="7BE9C1B5" w:rsidR="0050196F" w:rsidRPr="00DE728B" w:rsidRDefault="0050196F" w:rsidP="00D02912">
            <w:pPr>
              <w:pStyle w:val="ARfintablebodyright"/>
              <w:rPr>
                <w:highlight w:val="cyan"/>
              </w:rPr>
            </w:pPr>
            <w:r w:rsidRPr="0026103B">
              <w:t>(2)</w:t>
            </w:r>
          </w:p>
        </w:tc>
        <w:tc>
          <w:tcPr>
            <w:tcW w:w="1134" w:type="dxa"/>
          </w:tcPr>
          <w:p w14:paraId="41F3FC66" w14:textId="48EEA590" w:rsidR="0050196F" w:rsidRPr="00DE728B" w:rsidRDefault="0050196F" w:rsidP="00D02912">
            <w:pPr>
              <w:pStyle w:val="ARfintablebodyright"/>
              <w:rPr>
                <w:highlight w:val="cyan"/>
              </w:rPr>
            </w:pPr>
            <w:r w:rsidRPr="003E5AB7">
              <w:t>91.8</w:t>
            </w:r>
          </w:p>
        </w:tc>
        <w:tc>
          <w:tcPr>
            <w:tcW w:w="685" w:type="dxa"/>
          </w:tcPr>
          <w:p w14:paraId="4826BFC1" w14:textId="77777777" w:rsidR="0050196F" w:rsidRPr="00DE728B" w:rsidRDefault="0050196F" w:rsidP="00D02912">
            <w:pPr>
              <w:pStyle w:val="ARfintablebodycentre"/>
              <w:rPr>
                <w:highlight w:val="cyan"/>
              </w:rPr>
            </w:pPr>
          </w:p>
        </w:tc>
      </w:tr>
      <w:tr w:rsidR="0050196F" w:rsidRPr="00532DAE" w14:paraId="50A87D17" w14:textId="77777777">
        <w:trPr>
          <w:cantSplit w:val="0"/>
        </w:trPr>
        <w:tc>
          <w:tcPr>
            <w:tcW w:w="5557" w:type="dxa"/>
          </w:tcPr>
          <w:p w14:paraId="6D110112" w14:textId="77777777" w:rsidR="0050196F" w:rsidRPr="00532DAE" w:rsidRDefault="0050196F" w:rsidP="00D02912">
            <w:pPr>
              <w:pStyle w:val="ARfintablebodybold"/>
            </w:pPr>
            <w:r w:rsidRPr="00532DAE">
              <w:t>Net cash flows from/(used in) financing activities</w:t>
            </w:r>
          </w:p>
        </w:tc>
        <w:tc>
          <w:tcPr>
            <w:tcW w:w="1134" w:type="dxa"/>
          </w:tcPr>
          <w:p w14:paraId="40630BB2" w14:textId="1BC5E6DE" w:rsidR="0050196F" w:rsidRPr="00DE728B" w:rsidRDefault="0050196F" w:rsidP="00D02912">
            <w:pPr>
              <w:pStyle w:val="ARfintablebodyrightbold"/>
              <w:rPr>
                <w:highlight w:val="cyan"/>
              </w:rPr>
            </w:pPr>
            <w:r w:rsidRPr="00A22C07">
              <w:t>6</w:t>
            </w:r>
          </w:p>
        </w:tc>
        <w:tc>
          <w:tcPr>
            <w:tcW w:w="1134" w:type="dxa"/>
          </w:tcPr>
          <w:p w14:paraId="32C484C1" w14:textId="52B594EC" w:rsidR="0050196F" w:rsidRPr="00DE728B" w:rsidRDefault="0050196F" w:rsidP="00D02912">
            <w:pPr>
              <w:pStyle w:val="ARfintablebodyrightbold"/>
              <w:rPr>
                <w:highlight w:val="cyan"/>
              </w:rPr>
            </w:pPr>
            <w:r w:rsidRPr="0026103B">
              <w:t>54</w:t>
            </w:r>
          </w:p>
        </w:tc>
        <w:tc>
          <w:tcPr>
            <w:tcW w:w="1134" w:type="dxa"/>
          </w:tcPr>
          <w:p w14:paraId="3825B8D4" w14:textId="1B1F0B16" w:rsidR="0050196F" w:rsidRPr="00DE728B" w:rsidRDefault="0050196F" w:rsidP="00D02912">
            <w:pPr>
              <w:pStyle w:val="ARfintablebodyrightbold"/>
              <w:rPr>
                <w:highlight w:val="cyan"/>
              </w:rPr>
            </w:pPr>
            <w:r w:rsidRPr="003E5AB7">
              <w:t>(88.4)</w:t>
            </w:r>
          </w:p>
        </w:tc>
        <w:tc>
          <w:tcPr>
            <w:tcW w:w="685" w:type="dxa"/>
          </w:tcPr>
          <w:p w14:paraId="1A307941" w14:textId="77777777" w:rsidR="0050196F" w:rsidRPr="00DE728B" w:rsidRDefault="0050196F" w:rsidP="00D02912">
            <w:pPr>
              <w:pStyle w:val="ARfintablebodycentre"/>
              <w:rPr>
                <w:highlight w:val="cyan"/>
              </w:rPr>
            </w:pPr>
          </w:p>
        </w:tc>
      </w:tr>
      <w:tr w:rsidR="0050196F" w:rsidRPr="00532DAE" w14:paraId="570D1FE9" w14:textId="77777777">
        <w:trPr>
          <w:cantSplit w:val="0"/>
        </w:trPr>
        <w:tc>
          <w:tcPr>
            <w:tcW w:w="5557" w:type="dxa"/>
          </w:tcPr>
          <w:p w14:paraId="6AD3CA52" w14:textId="77777777" w:rsidR="0050196F" w:rsidRPr="00532DAE" w:rsidRDefault="0050196F" w:rsidP="00D02912">
            <w:pPr>
              <w:pStyle w:val="ARfintablebodybold"/>
            </w:pPr>
            <w:r w:rsidRPr="00532DAE">
              <w:t xml:space="preserve">Net increase (decrease) in cash </w:t>
            </w:r>
            <w:r w:rsidRPr="00532DAE">
              <w:br/>
              <w:t>and cash equivalents</w:t>
            </w:r>
          </w:p>
        </w:tc>
        <w:tc>
          <w:tcPr>
            <w:tcW w:w="1134" w:type="dxa"/>
          </w:tcPr>
          <w:p w14:paraId="5A05AC5D" w14:textId="3D8039A9" w:rsidR="0050196F" w:rsidRPr="00DE728B" w:rsidRDefault="0050196F" w:rsidP="00D02912">
            <w:pPr>
              <w:pStyle w:val="ARfintablebodyrightbold"/>
              <w:rPr>
                <w:highlight w:val="cyan"/>
              </w:rPr>
            </w:pPr>
            <w:r w:rsidRPr="00A22C07">
              <w:t>3</w:t>
            </w:r>
          </w:p>
        </w:tc>
        <w:tc>
          <w:tcPr>
            <w:tcW w:w="1134" w:type="dxa"/>
          </w:tcPr>
          <w:p w14:paraId="26B2604D" w14:textId="1BC5FC18" w:rsidR="0050196F" w:rsidRPr="00DE728B" w:rsidRDefault="0050196F" w:rsidP="00D02912">
            <w:pPr>
              <w:pStyle w:val="ARfintablebodyrightbold"/>
              <w:rPr>
                <w:highlight w:val="cyan"/>
              </w:rPr>
            </w:pPr>
            <w:r w:rsidRPr="0026103B">
              <w:t>0</w:t>
            </w:r>
          </w:p>
        </w:tc>
        <w:tc>
          <w:tcPr>
            <w:tcW w:w="1134" w:type="dxa"/>
          </w:tcPr>
          <w:p w14:paraId="24252EC2" w14:textId="5B6D2950" w:rsidR="0050196F" w:rsidRPr="00DE728B" w:rsidRDefault="0050196F" w:rsidP="00D02912">
            <w:pPr>
              <w:pStyle w:val="ARfintablebodyrightbold"/>
              <w:rPr>
                <w:highlight w:val="cyan"/>
              </w:rPr>
            </w:pPr>
            <w:r w:rsidRPr="003E5AB7">
              <w:t>2,188.6</w:t>
            </w:r>
          </w:p>
        </w:tc>
        <w:tc>
          <w:tcPr>
            <w:tcW w:w="685" w:type="dxa"/>
          </w:tcPr>
          <w:p w14:paraId="417F9893" w14:textId="77777777" w:rsidR="0050196F" w:rsidRPr="00DE728B" w:rsidRDefault="0050196F" w:rsidP="00D02912">
            <w:pPr>
              <w:pStyle w:val="ARfintablebodycentre"/>
              <w:rPr>
                <w:highlight w:val="cyan"/>
              </w:rPr>
            </w:pPr>
          </w:p>
        </w:tc>
      </w:tr>
      <w:tr w:rsidR="0050196F" w:rsidRPr="00532DAE" w14:paraId="2009AD0D" w14:textId="77777777">
        <w:trPr>
          <w:cantSplit w:val="0"/>
        </w:trPr>
        <w:tc>
          <w:tcPr>
            <w:tcW w:w="5557" w:type="dxa"/>
          </w:tcPr>
          <w:p w14:paraId="2D8E05B0" w14:textId="77777777" w:rsidR="0050196F" w:rsidRPr="00532DAE" w:rsidRDefault="0050196F" w:rsidP="00D02912">
            <w:pPr>
              <w:pStyle w:val="ARfintablebody"/>
            </w:pPr>
            <w:r w:rsidRPr="00532DAE">
              <w:t>Cash and cash equivalents at the beginning of the financial year</w:t>
            </w:r>
          </w:p>
        </w:tc>
        <w:tc>
          <w:tcPr>
            <w:tcW w:w="1134" w:type="dxa"/>
          </w:tcPr>
          <w:p w14:paraId="3C7CF4D3" w14:textId="21DF83EB" w:rsidR="0050196F" w:rsidRPr="00DE728B" w:rsidRDefault="0050196F" w:rsidP="00D02912">
            <w:pPr>
              <w:pStyle w:val="ARfintablebodyright"/>
              <w:rPr>
                <w:highlight w:val="cyan"/>
              </w:rPr>
            </w:pPr>
            <w:r w:rsidRPr="00A22C07">
              <w:t>61</w:t>
            </w:r>
          </w:p>
        </w:tc>
        <w:tc>
          <w:tcPr>
            <w:tcW w:w="1134" w:type="dxa"/>
          </w:tcPr>
          <w:p w14:paraId="20C90BDC" w14:textId="74D62D5A" w:rsidR="0050196F" w:rsidRPr="00DE728B" w:rsidRDefault="0050196F" w:rsidP="00D02912">
            <w:pPr>
              <w:pStyle w:val="ARfintablebodyright"/>
              <w:rPr>
                <w:highlight w:val="cyan"/>
              </w:rPr>
            </w:pPr>
            <w:r w:rsidRPr="0026103B">
              <w:t>61</w:t>
            </w:r>
          </w:p>
        </w:tc>
        <w:tc>
          <w:tcPr>
            <w:tcW w:w="1134" w:type="dxa"/>
          </w:tcPr>
          <w:p w14:paraId="5BD8BC27" w14:textId="1E9B9FD7" w:rsidR="0050196F" w:rsidRPr="00DE728B" w:rsidRDefault="00604894" w:rsidP="00D02912">
            <w:pPr>
              <w:pStyle w:val="ARfintablebodyright"/>
              <w:rPr>
                <w:highlight w:val="cyan"/>
              </w:rPr>
            </w:pPr>
            <w:r>
              <w:t>–</w:t>
            </w:r>
          </w:p>
        </w:tc>
        <w:tc>
          <w:tcPr>
            <w:tcW w:w="685" w:type="dxa"/>
          </w:tcPr>
          <w:p w14:paraId="24B71E14" w14:textId="77777777" w:rsidR="0050196F" w:rsidRPr="00DE728B" w:rsidRDefault="0050196F" w:rsidP="00D02912">
            <w:pPr>
              <w:pStyle w:val="ARfintablebodycentre"/>
              <w:rPr>
                <w:highlight w:val="cyan"/>
              </w:rPr>
            </w:pPr>
          </w:p>
        </w:tc>
      </w:tr>
      <w:tr w:rsidR="0050196F" w:rsidRPr="00532DAE" w14:paraId="14D126B4" w14:textId="77777777">
        <w:trPr>
          <w:cantSplit w:val="0"/>
        </w:trPr>
        <w:tc>
          <w:tcPr>
            <w:tcW w:w="5557" w:type="dxa"/>
            <w:tcBorders>
              <w:bottom w:val="single" w:sz="4" w:space="0" w:color="auto"/>
            </w:tcBorders>
          </w:tcPr>
          <w:p w14:paraId="2E407FA6" w14:textId="77777777" w:rsidR="0050196F" w:rsidRPr="00532DAE" w:rsidRDefault="0050196F" w:rsidP="00D02912">
            <w:pPr>
              <w:pStyle w:val="ARfintablebodybold"/>
            </w:pPr>
            <w:r w:rsidRPr="00532DAE">
              <w:t xml:space="preserve">Cash and cash equivalents </w:t>
            </w:r>
            <w:r w:rsidRPr="00532DAE">
              <w:br/>
              <w:t>at the end of the financial year</w:t>
            </w:r>
          </w:p>
        </w:tc>
        <w:tc>
          <w:tcPr>
            <w:tcW w:w="1134" w:type="dxa"/>
            <w:tcBorders>
              <w:bottom w:val="single" w:sz="4" w:space="0" w:color="auto"/>
            </w:tcBorders>
          </w:tcPr>
          <w:p w14:paraId="7B6DD86C" w14:textId="1D9C746F" w:rsidR="0050196F" w:rsidRPr="00DE728B" w:rsidRDefault="0050196F" w:rsidP="00D02912">
            <w:pPr>
              <w:pStyle w:val="ARfintablebodyrightbold"/>
              <w:rPr>
                <w:highlight w:val="cyan"/>
              </w:rPr>
            </w:pPr>
            <w:r w:rsidRPr="00A22C07">
              <w:t>64</w:t>
            </w:r>
          </w:p>
        </w:tc>
        <w:tc>
          <w:tcPr>
            <w:tcW w:w="1134" w:type="dxa"/>
            <w:tcBorders>
              <w:bottom w:val="single" w:sz="4" w:space="0" w:color="auto"/>
            </w:tcBorders>
          </w:tcPr>
          <w:p w14:paraId="40148E43" w14:textId="1CBE8137" w:rsidR="0050196F" w:rsidRPr="00DE728B" w:rsidRDefault="0050196F" w:rsidP="00D02912">
            <w:pPr>
              <w:pStyle w:val="ARfintablebodyrightbold"/>
              <w:rPr>
                <w:highlight w:val="cyan"/>
              </w:rPr>
            </w:pPr>
            <w:r w:rsidRPr="0026103B">
              <w:t>61</w:t>
            </w:r>
          </w:p>
        </w:tc>
        <w:tc>
          <w:tcPr>
            <w:tcW w:w="1134" w:type="dxa"/>
            <w:tcBorders>
              <w:bottom w:val="single" w:sz="4" w:space="0" w:color="auto"/>
            </w:tcBorders>
          </w:tcPr>
          <w:p w14:paraId="6FA270E3" w14:textId="0760C15D" w:rsidR="0050196F" w:rsidRPr="00DE728B" w:rsidRDefault="0050196F" w:rsidP="00D02912">
            <w:pPr>
              <w:pStyle w:val="ARfintablebodyrightbold"/>
              <w:rPr>
                <w:highlight w:val="cyan"/>
              </w:rPr>
            </w:pPr>
            <w:r w:rsidRPr="003E5AB7">
              <w:t>4.7</w:t>
            </w:r>
          </w:p>
        </w:tc>
        <w:tc>
          <w:tcPr>
            <w:tcW w:w="685" w:type="dxa"/>
            <w:tcBorders>
              <w:bottom w:val="single" w:sz="4" w:space="0" w:color="auto"/>
            </w:tcBorders>
          </w:tcPr>
          <w:p w14:paraId="45D1986B" w14:textId="77777777" w:rsidR="0050196F" w:rsidRPr="00DE728B" w:rsidRDefault="0050196F" w:rsidP="00D02912">
            <w:pPr>
              <w:pStyle w:val="ARfintablebodycentre"/>
              <w:rPr>
                <w:highlight w:val="cyan"/>
              </w:rPr>
            </w:pPr>
          </w:p>
        </w:tc>
      </w:tr>
    </w:tbl>
    <w:p w14:paraId="36C67519" w14:textId="5D665660" w:rsidR="0050196F" w:rsidRPr="00DE728B" w:rsidRDefault="0050196F" w:rsidP="002843D7">
      <w:pPr>
        <w:pStyle w:val="ARfintablefootnoteindent"/>
        <w:rPr>
          <w:highlight w:val="cyan"/>
        </w:rPr>
      </w:pPr>
      <w:r w:rsidRPr="00532DAE">
        <w:t>(a)</w:t>
      </w:r>
      <w:r w:rsidRPr="00532DAE">
        <w:tab/>
      </w:r>
      <w:r w:rsidRPr="000626D9">
        <w:t xml:space="preserve">The actual payments were higher than the published budget primarily due to increased expenditure as part of </w:t>
      </w:r>
      <w:r w:rsidR="00C41E2B">
        <w:t>government</w:t>
      </w:r>
      <w:r w:rsidRPr="000626D9">
        <w:t xml:space="preserve"> policy commitments including civil claims costs for historical institutional child abuse, the Victorian Redress Scheme and contribution from the Commonwealth including the Energy Bill Relief payments.</w:t>
      </w:r>
    </w:p>
    <w:p w14:paraId="76871246" w14:textId="330EBA1F" w:rsidR="0050196F" w:rsidRPr="00F9128C" w:rsidRDefault="0050196F" w:rsidP="00D02912">
      <w:pPr>
        <w:pStyle w:val="ARfintablefootnoteindent"/>
        <w:rPr>
          <w:highlight w:val="cyan"/>
        </w:rPr>
      </w:pPr>
      <w:r w:rsidRPr="00F9128C">
        <w:t>(b)(c) The variance primarily reflects lower than expected capital expenditure in 2023</w:t>
      </w:r>
      <w:r w:rsidR="00604894">
        <w:t>–</w:t>
      </w:r>
      <w:r w:rsidRPr="00F9128C">
        <w:t>24.</w:t>
      </w:r>
    </w:p>
    <w:p w14:paraId="36D51199" w14:textId="77777777" w:rsidR="0050196F" w:rsidRPr="00532DAE" w:rsidRDefault="0050196F" w:rsidP="00253B2E">
      <w:pPr>
        <w:pStyle w:val="ARbody"/>
      </w:pPr>
      <w:r w:rsidRPr="00532DAE">
        <w:br w:type="page"/>
      </w:r>
    </w:p>
    <w:p w14:paraId="2710F253" w14:textId="77777777" w:rsidR="0050196F" w:rsidRDefault="0050196F" w:rsidP="005B4FF5">
      <w:pPr>
        <w:pStyle w:val="Heading3"/>
        <w:spacing w:before="0"/>
      </w:pPr>
      <w:r w:rsidRPr="00532DAE">
        <w:t>Statement of changes in equity</w:t>
      </w:r>
      <w:r w:rsidRPr="00532DAE">
        <w:br/>
        <w:t>for the financial year ended 30 June 202</w:t>
      </w:r>
      <w:r>
        <w:t>4</w:t>
      </w:r>
    </w:p>
    <w:tbl>
      <w:tblPr>
        <w:tblStyle w:val="TableGrid"/>
        <w:tblW w:w="9511" w:type="dxa"/>
        <w:tblLook w:val="04A0" w:firstRow="1" w:lastRow="0" w:firstColumn="1" w:lastColumn="0" w:noHBand="0" w:noVBand="1"/>
      </w:tblPr>
      <w:tblGrid>
        <w:gridCol w:w="2985"/>
        <w:gridCol w:w="1572"/>
        <w:gridCol w:w="1401"/>
        <w:gridCol w:w="1572"/>
        <w:gridCol w:w="962"/>
        <w:gridCol w:w="1019"/>
      </w:tblGrid>
      <w:tr w:rsidR="0050196F" w:rsidRPr="009E56D9" w14:paraId="17C3C991" w14:textId="77777777" w:rsidTr="00F32A39">
        <w:trPr>
          <w:cnfStyle w:val="100000000000" w:firstRow="1" w:lastRow="0" w:firstColumn="0" w:lastColumn="0" w:oddVBand="0" w:evenVBand="0" w:oddHBand="0" w:evenHBand="0" w:firstRowFirstColumn="0" w:firstRowLastColumn="0" w:lastRowFirstColumn="0" w:lastRowLastColumn="0"/>
          <w:trHeight w:val="732"/>
        </w:trPr>
        <w:tc>
          <w:tcPr>
            <w:tcW w:w="2985" w:type="dxa"/>
            <w:hideMark/>
          </w:tcPr>
          <w:p w14:paraId="502D2887" w14:textId="77777777" w:rsidR="0050196F" w:rsidRPr="009E56D9" w:rsidRDefault="0050196F" w:rsidP="00F32A39">
            <w:pPr>
              <w:pStyle w:val="ARtablecolhead"/>
            </w:pPr>
            <w:r w:rsidRPr="009E56D9">
              <w:t> </w:t>
            </w:r>
          </w:p>
        </w:tc>
        <w:tc>
          <w:tcPr>
            <w:tcW w:w="1572" w:type="dxa"/>
            <w:hideMark/>
          </w:tcPr>
          <w:p w14:paraId="6F789CBB" w14:textId="77777777" w:rsidR="0050196F" w:rsidRPr="009E56D9" w:rsidRDefault="0050196F" w:rsidP="00F32A39">
            <w:pPr>
              <w:pStyle w:val="ARfintablecolheadright"/>
            </w:pPr>
            <w:r w:rsidRPr="009E56D9">
              <w:t>Accumulated surplus/(deficit)</w:t>
            </w:r>
          </w:p>
        </w:tc>
        <w:tc>
          <w:tcPr>
            <w:tcW w:w="1401" w:type="dxa"/>
            <w:hideMark/>
          </w:tcPr>
          <w:p w14:paraId="01219C09" w14:textId="77777777" w:rsidR="0050196F" w:rsidRPr="009E56D9" w:rsidRDefault="0050196F" w:rsidP="00F32A39">
            <w:pPr>
              <w:pStyle w:val="ARfintablecolheadright"/>
            </w:pPr>
            <w:r w:rsidRPr="009E56D9">
              <w:t>Contributions by owner</w:t>
            </w:r>
          </w:p>
        </w:tc>
        <w:tc>
          <w:tcPr>
            <w:tcW w:w="1572" w:type="dxa"/>
            <w:hideMark/>
          </w:tcPr>
          <w:p w14:paraId="016BC08B" w14:textId="77777777" w:rsidR="0050196F" w:rsidRPr="009E56D9" w:rsidRDefault="0050196F" w:rsidP="00F32A39">
            <w:pPr>
              <w:pStyle w:val="ARfintablecolheadright"/>
            </w:pPr>
            <w:r w:rsidRPr="009E56D9">
              <w:t>Revaluation surplus/(deficit)</w:t>
            </w:r>
          </w:p>
        </w:tc>
        <w:tc>
          <w:tcPr>
            <w:tcW w:w="962" w:type="dxa"/>
            <w:hideMark/>
          </w:tcPr>
          <w:p w14:paraId="1DC63B9D" w14:textId="77777777" w:rsidR="0050196F" w:rsidRPr="009E56D9" w:rsidRDefault="0050196F" w:rsidP="00F32A39">
            <w:pPr>
              <w:pStyle w:val="ARfintablecolheadright"/>
            </w:pPr>
            <w:r w:rsidRPr="009E56D9">
              <w:t>Other reserves</w:t>
            </w:r>
          </w:p>
        </w:tc>
        <w:tc>
          <w:tcPr>
            <w:tcW w:w="1019" w:type="dxa"/>
            <w:hideMark/>
          </w:tcPr>
          <w:p w14:paraId="58E9ADF7" w14:textId="77777777" w:rsidR="0050196F" w:rsidRPr="009E56D9" w:rsidRDefault="0050196F" w:rsidP="00F32A39">
            <w:pPr>
              <w:pStyle w:val="ARfintablecolheadright"/>
            </w:pPr>
            <w:r w:rsidRPr="009E56D9">
              <w:t xml:space="preserve">Total equity </w:t>
            </w:r>
          </w:p>
        </w:tc>
      </w:tr>
      <w:tr w:rsidR="0050196F" w:rsidRPr="009E56D9" w14:paraId="2EE5518B" w14:textId="77777777" w:rsidTr="00F32A39">
        <w:trPr>
          <w:trHeight w:val="300"/>
        </w:trPr>
        <w:tc>
          <w:tcPr>
            <w:tcW w:w="2985" w:type="dxa"/>
            <w:hideMark/>
          </w:tcPr>
          <w:p w14:paraId="4D187FF7" w14:textId="77777777" w:rsidR="0050196F" w:rsidRPr="009E56D9" w:rsidRDefault="0050196F" w:rsidP="00F32A39">
            <w:pPr>
              <w:pStyle w:val="ARtablecolhead"/>
            </w:pPr>
            <w:r w:rsidRPr="009E56D9">
              <w:t> </w:t>
            </w:r>
          </w:p>
        </w:tc>
        <w:tc>
          <w:tcPr>
            <w:tcW w:w="1572" w:type="dxa"/>
            <w:hideMark/>
          </w:tcPr>
          <w:p w14:paraId="3FF1FABA" w14:textId="77777777" w:rsidR="0050196F" w:rsidRPr="009E56D9" w:rsidRDefault="0050196F" w:rsidP="00F32A39">
            <w:pPr>
              <w:pStyle w:val="ARfintablecolheadright"/>
            </w:pPr>
            <w:r w:rsidRPr="009E56D9">
              <w:t>$M</w:t>
            </w:r>
          </w:p>
        </w:tc>
        <w:tc>
          <w:tcPr>
            <w:tcW w:w="1401" w:type="dxa"/>
            <w:hideMark/>
          </w:tcPr>
          <w:p w14:paraId="412C7CCC" w14:textId="77777777" w:rsidR="0050196F" w:rsidRPr="009E56D9" w:rsidRDefault="0050196F" w:rsidP="00F32A39">
            <w:pPr>
              <w:pStyle w:val="ARfintablecolheadright"/>
            </w:pPr>
            <w:r w:rsidRPr="009E56D9">
              <w:t>$M</w:t>
            </w:r>
          </w:p>
        </w:tc>
        <w:tc>
          <w:tcPr>
            <w:tcW w:w="1572" w:type="dxa"/>
            <w:hideMark/>
          </w:tcPr>
          <w:p w14:paraId="62BC8608" w14:textId="77777777" w:rsidR="0050196F" w:rsidRPr="009E56D9" w:rsidRDefault="0050196F" w:rsidP="00F32A39">
            <w:pPr>
              <w:pStyle w:val="ARfintablecolheadright"/>
            </w:pPr>
            <w:r w:rsidRPr="009E56D9">
              <w:t>$M</w:t>
            </w:r>
          </w:p>
        </w:tc>
        <w:tc>
          <w:tcPr>
            <w:tcW w:w="962" w:type="dxa"/>
            <w:hideMark/>
          </w:tcPr>
          <w:p w14:paraId="756EDEA2" w14:textId="77777777" w:rsidR="0050196F" w:rsidRPr="009E56D9" w:rsidRDefault="0050196F" w:rsidP="00F32A39">
            <w:pPr>
              <w:pStyle w:val="ARfintablecolheadright"/>
            </w:pPr>
            <w:r w:rsidRPr="009E56D9">
              <w:t>$M</w:t>
            </w:r>
          </w:p>
        </w:tc>
        <w:tc>
          <w:tcPr>
            <w:tcW w:w="1019" w:type="dxa"/>
            <w:hideMark/>
          </w:tcPr>
          <w:p w14:paraId="395FE51D" w14:textId="77777777" w:rsidR="0050196F" w:rsidRPr="009E56D9" w:rsidRDefault="0050196F" w:rsidP="00F32A39">
            <w:pPr>
              <w:pStyle w:val="ARfintablecolheadright"/>
            </w:pPr>
            <w:r w:rsidRPr="009E56D9">
              <w:t>$M</w:t>
            </w:r>
          </w:p>
        </w:tc>
      </w:tr>
      <w:tr w:rsidR="0050196F" w:rsidRPr="009E56D9" w14:paraId="2BEE79DB" w14:textId="77777777" w:rsidTr="00F32A39">
        <w:trPr>
          <w:trHeight w:val="315"/>
        </w:trPr>
        <w:tc>
          <w:tcPr>
            <w:tcW w:w="2985" w:type="dxa"/>
            <w:tcBorders>
              <w:bottom w:val="single" w:sz="4" w:space="0" w:color="auto"/>
            </w:tcBorders>
            <w:hideMark/>
          </w:tcPr>
          <w:p w14:paraId="2E760A54" w14:textId="77777777" w:rsidR="0050196F" w:rsidRPr="009E56D9" w:rsidRDefault="0050196F" w:rsidP="00F32A39">
            <w:pPr>
              <w:pStyle w:val="ARfintablebodybold"/>
            </w:pPr>
            <w:r w:rsidRPr="009E56D9">
              <w:t>Opening balance 1 July 2023</w:t>
            </w:r>
          </w:p>
        </w:tc>
        <w:tc>
          <w:tcPr>
            <w:tcW w:w="1572" w:type="dxa"/>
            <w:tcBorders>
              <w:bottom w:val="single" w:sz="4" w:space="0" w:color="auto"/>
            </w:tcBorders>
            <w:hideMark/>
          </w:tcPr>
          <w:p w14:paraId="01770146" w14:textId="77C9FAAC" w:rsidR="0050196F" w:rsidRPr="009E56D9" w:rsidRDefault="0050196F" w:rsidP="00F32A39">
            <w:pPr>
              <w:pStyle w:val="ARfintablebodyrightbold"/>
            </w:pPr>
            <w:r w:rsidRPr="009E56D9">
              <w:t>28</w:t>
            </w:r>
          </w:p>
        </w:tc>
        <w:tc>
          <w:tcPr>
            <w:tcW w:w="1401" w:type="dxa"/>
            <w:tcBorders>
              <w:bottom w:val="single" w:sz="4" w:space="0" w:color="auto"/>
            </w:tcBorders>
            <w:hideMark/>
          </w:tcPr>
          <w:p w14:paraId="4D789C37" w14:textId="1AA2911F" w:rsidR="0050196F" w:rsidRPr="009E56D9" w:rsidRDefault="0050196F" w:rsidP="00F32A39">
            <w:pPr>
              <w:pStyle w:val="ARfintablebodyrightbold"/>
            </w:pPr>
            <w:r w:rsidRPr="009E56D9">
              <w:t>1,331</w:t>
            </w:r>
          </w:p>
        </w:tc>
        <w:tc>
          <w:tcPr>
            <w:tcW w:w="1572" w:type="dxa"/>
            <w:tcBorders>
              <w:bottom w:val="single" w:sz="4" w:space="0" w:color="auto"/>
            </w:tcBorders>
            <w:hideMark/>
          </w:tcPr>
          <w:p w14:paraId="270DD641" w14:textId="69A616D2" w:rsidR="0050196F" w:rsidRPr="009E56D9" w:rsidRDefault="0050196F" w:rsidP="00F32A39">
            <w:pPr>
              <w:pStyle w:val="ARfintablebodyrightbold"/>
            </w:pPr>
            <w:r w:rsidRPr="009E56D9">
              <w:t>330</w:t>
            </w:r>
          </w:p>
        </w:tc>
        <w:tc>
          <w:tcPr>
            <w:tcW w:w="962" w:type="dxa"/>
            <w:tcBorders>
              <w:bottom w:val="single" w:sz="4" w:space="0" w:color="auto"/>
            </w:tcBorders>
            <w:hideMark/>
          </w:tcPr>
          <w:p w14:paraId="58E14C9C" w14:textId="42CF1F25" w:rsidR="0050196F" w:rsidRPr="009E56D9" w:rsidRDefault="00604894" w:rsidP="00F32A39">
            <w:pPr>
              <w:pStyle w:val="ARfintablebodyrightbold"/>
            </w:pPr>
            <w:r>
              <w:t>–</w:t>
            </w:r>
          </w:p>
        </w:tc>
        <w:tc>
          <w:tcPr>
            <w:tcW w:w="1019" w:type="dxa"/>
            <w:tcBorders>
              <w:bottom w:val="single" w:sz="4" w:space="0" w:color="auto"/>
            </w:tcBorders>
            <w:hideMark/>
          </w:tcPr>
          <w:p w14:paraId="5644E412" w14:textId="0B24E658" w:rsidR="0050196F" w:rsidRPr="009E56D9" w:rsidRDefault="0050196F" w:rsidP="00F32A39">
            <w:pPr>
              <w:pStyle w:val="ARfintablebodyrightbold"/>
            </w:pPr>
            <w:r w:rsidRPr="009E56D9">
              <w:t>1,690</w:t>
            </w:r>
          </w:p>
        </w:tc>
      </w:tr>
      <w:tr w:rsidR="0050196F" w:rsidRPr="009E56D9" w14:paraId="752E8596" w14:textId="77777777" w:rsidTr="00F32A39">
        <w:trPr>
          <w:trHeight w:val="315"/>
        </w:trPr>
        <w:tc>
          <w:tcPr>
            <w:tcW w:w="2985" w:type="dxa"/>
            <w:tcBorders>
              <w:top w:val="single" w:sz="4" w:space="0" w:color="auto"/>
              <w:bottom w:val="single" w:sz="2" w:space="0" w:color="A6A6A6" w:themeColor="accent5"/>
            </w:tcBorders>
            <w:hideMark/>
          </w:tcPr>
          <w:p w14:paraId="76C58EF0" w14:textId="77777777" w:rsidR="0050196F" w:rsidRPr="009E56D9" w:rsidRDefault="0050196F" w:rsidP="00F32A39">
            <w:pPr>
              <w:pStyle w:val="ARfintablebody"/>
            </w:pPr>
            <w:r w:rsidRPr="009E56D9">
              <w:t>Comprehensive result</w:t>
            </w:r>
          </w:p>
        </w:tc>
        <w:tc>
          <w:tcPr>
            <w:tcW w:w="1572" w:type="dxa"/>
            <w:tcBorders>
              <w:top w:val="single" w:sz="4" w:space="0" w:color="auto"/>
              <w:bottom w:val="single" w:sz="2" w:space="0" w:color="A6A6A6" w:themeColor="accent5"/>
            </w:tcBorders>
            <w:hideMark/>
          </w:tcPr>
          <w:p w14:paraId="140978DD" w14:textId="21A56E86" w:rsidR="0050196F" w:rsidRPr="009E56D9" w:rsidRDefault="0050196F" w:rsidP="00F32A39">
            <w:pPr>
              <w:pStyle w:val="ARfintablebodyright"/>
            </w:pPr>
            <w:r w:rsidRPr="009E56D9">
              <w:t>(193)</w:t>
            </w:r>
          </w:p>
        </w:tc>
        <w:tc>
          <w:tcPr>
            <w:tcW w:w="1401" w:type="dxa"/>
            <w:tcBorders>
              <w:top w:val="single" w:sz="4" w:space="0" w:color="auto"/>
              <w:bottom w:val="single" w:sz="2" w:space="0" w:color="A6A6A6" w:themeColor="accent5"/>
            </w:tcBorders>
            <w:hideMark/>
          </w:tcPr>
          <w:p w14:paraId="4A6E6A83" w14:textId="2DCD66BB" w:rsidR="0050196F" w:rsidRPr="009E56D9" w:rsidRDefault="00604894" w:rsidP="00F32A39">
            <w:pPr>
              <w:pStyle w:val="ARfintablebodyright"/>
            </w:pPr>
            <w:r>
              <w:t>–</w:t>
            </w:r>
          </w:p>
        </w:tc>
        <w:tc>
          <w:tcPr>
            <w:tcW w:w="1572" w:type="dxa"/>
            <w:tcBorders>
              <w:top w:val="single" w:sz="4" w:space="0" w:color="auto"/>
              <w:bottom w:val="single" w:sz="2" w:space="0" w:color="A6A6A6" w:themeColor="accent5"/>
            </w:tcBorders>
            <w:hideMark/>
          </w:tcPr>
          <w:p w14:paraId="08F8EE39" w14:textId="6BAB07E3" w:rsidR="0050196F" w:rsidRPr="009E56D9" w:rsidRDefault="0050196F" w:rsidP="00F32A39">
            <w:pPr>
              <w:pStyle w:val="ARfintablebodyright"/>
            </w:pPr>
            <w:r w:rsidRPr="009E56D9">
              <w:t>(53)</w:t>
            </w:r>
          </w:p>
        </w:tc>
        <w:tc>
          <w:tcPr>
            <w:tcW w:w="962" w:type="dxa"/>
            <w:tcBorders>
              <w:top w:val="single" w:sz="4" w:space="0" w:color="auto"/>
              <w:bottom w:val="single" w:sz="2" w:space="0" w:color="A6A6A6" w:themeColor="accent5"/>
            </w:tcBorders>
            <w:hideMark/>
          </w:tcPr>
          <w:p w14:paraId="50D7B0E3" w14:textId="3DA542A1" w:rsidR="0050196F" w:rsidRPr="009E56D9" w:rsidRDefault="00604894" w:rsidP="00F32A39">
            <w:pPr>
              <w:pStyle w:val="ARfintablebodyright"/>
            </w:pPr>
            <w:r>
              <w:t>–</w:t>
            </w:r>
          </w:p>
        </w:tc>
        <w:tc>
          <w:tcPr>
            <w:tcW w:w="1019" w:type="dxa"/>
            <w:tcBorders>
              <w:top w:val="single" w:sz="4" w:space="0" w:color="auto"/>
              <w:bottom w:val="single" w:sz="2" w:space="0" w:color="A6A6A6" w:themeColor="accent5"/>
            </w:tcBorders>
            <w:hideMark/>
          </w:tcPr>
          <w:p w14:paraId="7DA9C66F" w14:textId="3756E07D" w:rsidR="0050196F" w:rsidRPr="009E56D9" w:rsidRDefault="0050196F" w:rsidP="00F32A39">
            <w:pPr>
              <w:pStyle w:val="ARfintablebodyright"/>
            </w:pPr>
            <w:r w:rsidRPr="009E56D9">
              <w:t>(246)</w:t>
            </w:r>
          </w:p>
        </w:tc>
      </w:tr>
      <w:tr w:rsidR="0050196F" w:rsidRPr="009E56D9" w14:paraId="2E1F51F5" w14:textId="77777777" w:rsidTr="00F32A39">
        <w:trPr>
          <w:trHeight w:val="315"/>
        </w:trPr>
        <w:tc>
          <w:tcPr>
            <w:tcW w:w="2985" w:type="dxa"/>
            <w:tcBorders>
              <w:top w:val="single" w:sz="2" w:space="0" w:color="A6A6A6" w:themeColor="accent5"/>
            </w:tcBorders>
            <w:hideMark/>
          </w:tcPr>
          <w:p w14:paraId="14C7AFAD" w14:textId="77777777" w:rsidR="0050196F" w:rsidRPr="009E56D9" w:rsidRDefault="0050196F" w:rsidP="00F32A39">
            <w:pPr>
              <w:pStyle w:val="ARfintablebody"/>
            </w:pPr>
            <w:r w:rsidRPr="009E56D9">
              <w:t>Transactions with owners in their capacity as owners</w:t>
            </w:r>
          </w:p>
        </w:tc>
        <w:tc>
          <w:tcPr>
            <w:tcW w:w="1572" w:type="dxa"/>
            <w:tcBorders>
              <w:top w:val="single" w:sz="2" w:space="0" w:color="A6A6A6" w:themeColor="accent5"/>
            </w:tcBorders>
            <w:hideMark/>
          </w:tcPr>
          <w:p w14:paraId="4BAB2DC7" w14:textId="1AFF6D9D" w:rsidR="0050196F" w:rsidRPr="009E56D9" w:rsidRDefault="00604894" w:rsidP="00F32A39">
            <w:pPr>
              <w:pStyle w:val="ARfintablebodyright"/>
            </w:pPr>
            <w:r>
              <w:t>–</w:t>
            </w:r>
          </w:p>
        </w:tc>
        <w:tc>
          <w:tcPr>
            <w:tcW w:w="1401" w:type="dxa"/>
            <w:tcBorders>
              <w:top w:val="single" w:sz="2" w:space="0" w:color="A6A6A6" w:themeColor="accent5"/>
            </w:tcBorders>
            <w:hideMark/>
          </w:tcPr>
          <w:p w14:paraId="01081266" w14:textId="76CFA7A5" w:rsidR="0050196F" w:rsidRPr="009E56D9" w:rsidRDefault="0050196F" w:rsidP="00F32A39">
            <w:pPr>
              <w:pStyle w:val="ARfintablebodyright"/>
            </w:pPr>
            <w:r w:rsidRPr="009E56D9">
              <w:t>21</w:t>
            </w:r>
          </w:p>
        </w:tc>
        <w:tc>
          <w:tcPr>
            <w:tcW w:w="1572" w:type="dxa"/>
            <w:tcBorders>
              <w:top w:val="single" w:sz="2" w:space="0" w:color="A6A6A6" w:themeColor="accent5"/>
            </w:tcBorders>
            <w:hideMark/>
          </w:tcPr>
          <w:p w14:paraId="2DB68422" w14:textId="71E52F02" w:rsidR="0050196F" w:rsidRPr="009E56D9" w:rsidRDefault="00604894" w:rsidP="00F32A39">
            <w:pPr>
              <w:pStyle w:val="ARfintablebodyright"/>
            </w:pPr>
            <w:r>
              <w:t>–</w:t>
            </w:r>
          </w:p>
        </w:tc>
        <w:tc>
          <w:tcPr>
            <w:tcW w:w="962" w:type="dxa"/>
            <w:tcBorders>
              <w:top w:val="single" w:sz="2" w:space="0" w:color="A6A6A6" w:themeColor="accent5"/>
            </w:tcBorders>
            <w:hideMark/>
          </w:tcPr>
          <w:p w14:paraId="4DF7E538" w14:textId="17E3F6CD" w:rsidR="0050196F" w:rsidRPr="009E56D9" w:rsidRDefault="00604894" w:rsidP="00F32A39">
            <w:pPr>
              <w:pStyle w:val="ARfintablebodyright"/>
            </w:pPr>
            <w:r>
              <w:t>–</w:t>
            </w:r>
          </w:p>
        </w:tc>
        <w:tc>
          <w:tcPr>
            <w:tcW w:w="1019" w:type="dxa"/>
            <w:tcBorders>
              <w:top w:val="single" w:sz="2" w:space="0" w:color="A6A6A6" w:themeColor="accent5"/>
            </w:tcBorders>
            <w:hideMark/>
          </w:tcPr>
          <w:p w14:paraId="3A2164A8" w14:textId="3DC9FB74" w:rsidR="0050196F" w:rsidRPr="009E56D9" w:rsidRDefault="0050196F" w:rsidP="00F32A39">
            <w:pPr>
              <w:pStyle w:val="ARfintablebodyright"/>
            </w:pPr>
            <w:r w:rsidRPr="009E56D9">
              <w:t>21</w:t>
            </w:r>
          </w:p>
        </w:tc>
      </w:tr>
      <w:tr w:rsidR="0050196F" w:rsidRPr="009E56D9" w14:paraId="06483F1A" w14:textId="77777777" w:rsidTr="00F32A39">
        <w:trPr>
          <w:trHeight w:val="315"/>
        </w:trPr>
        <w:tc>
          <w:tcPr>
            <w:tcW w:w="2985" w:type="dxa"/>
            <w:tcBorders>
              <w:bottom w:val="single" w:sz="4" w:space="0" w:color="auto"/>
            </w:tcBorders>
            <w:hideMark/>
          </w:tcPr>
          <w:p w14:paraId="0297DE14" w14:textId="77777777" w:rsidR="0050196F" w:rsidRPr="009E56D9" w:rsidRDefault="0050196F" w:rsidP="00F32A39">
            <w:pPr>
              <w:pStyle w:val="ARfintablebodybold"/>
            </w:pPr>
            <w:r w:rsidRPr="009E56D9">
              <w:t>Closing balance 30 June 2024 (actual)</w:t>
            </w:r>
          </w:p>
        </w:tc>
        <w:tc>
          <w:tcPr>
            <w:tcW w:w="1572" w:type="dxa"/>
            <w:tcBorders>
              <w:bottom w:val="single" w:sz="4" w:space="0" w:color="auto"/>
            </w:tcBorders>
            <w:hideMark/>
          </w:tcPr>
          <w:p w14:paraId="172F4FFA" w14:textId="1C550675" w:rsidR="0050196F" w:rsidRPr="009E56D9" w:rsidRDefault="0050196F" w:rsidP="00F32A39">
            <w:pPr>
              <w:pStyle w:val="ARfintablebodyrightbold"/>
            </w:pPr>
            <w:r w:rsidRPr="009E56D9">
              <w:t>(164)</w:t>
            </w:r>
          </w:p>
        </w:tc>
        <w:tc>
          <w:tcPr>
            <w:tcW w:w="1401" w:type="dxa"/>
            <w:tcBorders>
              <w:bottom w:val="single" w:sz="4" w:space="0" w:color="auto"/>
            </w:tcBorders>
            <w:hideMark/>
          </w:tcPr>
          <w:p w14:paraId="0D1BF1D5" w14:textId="08C06211" w:rsidR="0050196F" w:rsidRPr="009E56D9" w:rsidRDefault="0050196F" w:rsidP="00F32A39">
            <w:pPr>
              <w:pStyle w:val="ARfintablebodyrightbold"/>
            </w:pPr>
            <w:r w:rsidRPr="009E56D9">
              <w:t>1,352</w:t>
            </w:r>
          </w:p>
        </w:tc>
        <w:tc>
          <w:tcPr>
            <w:tcW w:w="1572" w:type="dxa"/>
            <w:tcBorders>
              <w:bottom w:val="single" w:sz="4" w:space="0" w:color="auto"/>
            </w:tcBorders>
            <w:hideMark/>
          </w:tcPr>
          <w:p w14:paraId="041931DA" w14:textId="577EE03E" w:rsidR="0050196F" w:rsidRPr="009E56D9" w:rsidRDefault="0050196F" w:rsidP="00F32A39">
            <w:pPr>
              <w:pStyle w:val="ARfintablebodyrightbold"/>
            </w:pPr>
            <w:r w:rsidRPr="009E56D9">
              <w:t>277</w:t>
            </w:r>
          </w:p>
        </w:tc>
        <w:tc>
          <w:tcPr>
            <w:tcW w:w="962" w:type="dxa"/>
            <w:tcBorders>
              <w:bottom w:val="single" w:sz="4" w:space="0" w:color="auto"/>
            </w:tcBorders>
            <w:hideMark/>
          </w:tcPr>
          <w:p w14:paraId="559A37E2" w14:textId="082AC483" w:rsidR="0050196F" w:rsidRPr="009E56D9" w:rsidRDefault="00604894" w:rsidP="00F32A39">
            <w:pPr>
              <w:pStyle w:val="ARfintablebodyrightbold"/>
            </w:pPr>
            <w:r>
              <w:t>–</w:t>
            </w:r>
          </w:p>
        </w:tc>
        <w:tc>
          <w:tcPr>
            <w:tcW w:w="1019" w:type="dxa"/>
            <w:tcBorders>
              <w:bottom w:val="single" w:sz="4" w:space="0" w:color="auto"/>
            </w:tcBorders>
            <w:hideMark/>
          </w:tcPr>
          <w:p w14:paraId="185EC214" w14:textId="3DEB2260" w:rsidR="0050196F" w:rsidRPr="009E56D9" w:rsidRDefault="0050196F" w:rsidP="00F32A39">
            <w:pPr>
              <w:pStyle w:val="ARfintablebodyrightbold"/>
            </w:pPr>
            <w:r w:rsidRPr="009E56D9">
              <w:t>1,465</w:t>
            </w:r>
          </w:p>
        </w:tc>
      </w:tr>
      <w:tr w:rsidR="0050196F" w:rsidRPr="009E56D9" w14:paraId="46AAF927" w14:textId="77777777" w:rsidTr="00F32A39">
        <w:trPr>
          <w:trHeight w:val="315"/>
        </w:trPr>
        <w:tc>
          <w:tcPr>
            <w:tcW w:w="2985" w:type="dxa"/>
            <w:tcBorders>
              <w:top w:val="single" w:sz="4" w:space="0" w:color="auto"/>
              <w:bottom w:val="single" w:sz="2" w:space="0" w:color="A6A6A6" w:themeColor="accent5"/>
            </w:tcBorders>
            <w:hideMark/>
          </w:tcPr>
          <w:p w14:paraId="1CA98703" w14:textId="77777777" w:rsidR="0050196F" w:rsidRPr="009E56D9" w:rsidRDefault="0050196F" w:rsidP="00F32A39">
            <w:pPr>
              <w:pStyle w:val="ARfintablebody"/>
            </w:pPr>
            <w:r w:rsidRPr="009E56D9">
              <w:t>Comprehensive result</w:t>
            </w:r>
          </w:p>
        </w:tc>
        <w:tc>
          <w:tcPr>
            <w:tcW w:w="1572" w:type="dxa"/>
            <w:tcBorders>
              <w:top w:val="single" w:sz="4" w:space="0" w:color="auto"/>
              <w:bottom w:val="single" w:sz="2" w:space="0" w:color="A6A6A6" w:themeColor="accent5"/>
            </w:tcBorders>
            <w:hideMark/>
          </w:tcPr>
          <w:p w14:paraId="2EAD4B44" w14:textId="6E607012" w:rsidR="0050196F" w:rsidRPr="009E56D9" w:rsidRDefault="0050196F" w:rsidP="00F32A39">
            <w:pPr>
              <w:pStyle w:val="ARfintablebodyright"/>
            </w:pPr>
            <w:r w:rsidRPr="009E56D9">
              <w:t>(16)</w:t>
            </w:r>
          </w:p>
        </w:tc>
        <w:tc>
          <w:tcPr>
            <w:tcW w:w="1401" w:type="dxa"/>
            <w:tcBorders>
              <w:top w:val="single" w:sz="4" w:space="0" w:color="auto"/>
              <w:bottom w:val="single" w:sz="2" w:space="0" w:color="A6A6A6" w:themeColor="accent5"/>
            </w:tcBorders>
            <w:hideMark/>
          </w:tcPr>
          <w:p w14:paraId="492D4CFD" w14:textId="7DA540F6" w:rsidR="0050196F" w:rsidRPr="009E56D9" w:rsidRDefault="00604894" w:rsidP="00F32A39">
            <w:pPr>
              <w:pStyle w:val="ARfintablebodyright"/>
            </w:pPr>
            <w:r>
              <w:t>–</w:t>
            </w:r>
          </w:p>
        </w:tc>
        <w:tc>
          <w:tcPr>
            <w:tcW w:w="1572" w:type="dxa"/>
            <w:tcBorders>
              <w:top w:val="single" w:sz="4" w:space="0" w:color="auto"/>
              <w:bottom w:val="single" w:sz="2" w:space="0" w:color="A6A6A6" w:themeColor="accent5"/>
            </w:tcBorders>
            <w:hideMark/>
          </w:tcPr>
          <w:p w14:paraId="69EF6537" w14:textId="49274622" w:rsidR="0050196F" w:rsidRPr="009E56D9" w:rsidRDefault="00604894" w:rsidP="00F32A39">
            <w:pPr>
              <w:pStyle w:val="ARfintablebodyright"/>
            </w:pPr>
            <w:r>
              <w:t>–</w:t>
            </w:r>
          </w:p>
        </w:tc>
        <w:tc>
          <w:tcPr>
            <w:tcW w:w="962" w:type="dxa"/>
            <w:tcBorders>
              <w:top w:val="single" w:sz="4" w:space="0" w:color="auto"/>
              <w:bottom w:val="single" w:sz="2" w:space="0" w:color="A6A6A6" w:themeColor="accent5"/>
            </w:tcBorders>
            <w:hideMark/>
          </w:tcPr>
          <w:p w14:paraId="200AF0FC" w14:textId="41AD391F" w:rsidR="0050196F" w:rsidRPr="009E56D9" w:rsidRDefault="00604894" w:rsidP="00F32A39">
            <w:pPr>
              <w:pStyle w:val="ARfintablebodyright"/>
            </w:pPr>
            <w:r>
              <w:t>–</w:t>
            </w:r>
          </w:p>
        </w:tc>
        <w:tc>
          <w:tcPr>
            <w:tcW w:w="1019" w:type="dxa"/>
            <w:tcBorders>
              <w:top w:val="single" w:sz="4" w:space="0" w:color="auto"/>
              <w:bottom w:val="single" w:sz="2" w:space="0" w:color="A6A6A6" w:themeColor="accent5"/>
            </w:tcBorders>
            <w:hideMark/>
          </w:tcPr>
          <w:p w14:paraId="5ECBACA4" w14:textId="478BE1C9" w:rsidR="0050196F" w:rsidRPr="009E56D9" w:rsidRDefault="0050196F" w:rsidP="00F32A39">
            <w:pPr>
              <w:pStyle w:val="ARfintablebodyright"/>
            </w:pPr>
            <w:r w:rsidRPr="009E56D9">
              <w:t>(16)</w:t>
            </w:r>
          </w:p>
        </w:tc>
      </w:tr>
      <w:tr w:rsidR="0050196F" w:rsidRPr="009E56D9" w14:paraId="4F593209" w14:textId="77777777" w:rsidTr="00F32A39">
        <w:trPr>
          <w:trHeight w:val="315"/>
        </w:trPr>
        <w:tc>
          <w:tcPr>
            <w:tcW w:w="2985" w:type="dxa"/>
            <w:tcBorders>
              <w:top w:val="single" w:sz="2" w:space="0" w:color="A6A6A6" w:themeColor="accent5"/>
            </w:tcBorders>
            <w:hideMark/>
          </w:tcPr>
          <w:p w14:paraId="28252463" w14:textId="77777777" w:rsidR="0050196F" w:rsidRPr="009E56D9" w:rsidRDefault="0050196F" w:rsidP="00F32A39">
            <w:pPr>
              <w:pStyle w:val="ARfintablebody"/>
            </w:pPr>
            <w:r w:rsidRPr="009E56D9">
              <w:t>Transactions with owners in their capacity as owners</w:t>
            </w:r>
          </w:p>
        </w:tc>
        <w:tc>
          <w:tcPr>
            <w:tcW w:w="1572" w:type="dxa"/>
            <w:tcBorders>
              <w:top w:val="single" w:sz="2" w:space="0" w:color="A6A6A6" w:themeColor="accent5"/>
            </w:tcBorders>
            <w:hideMark/>
          </w:tcPr>
          <w:p w14:paraId="33F1ADED" w14:textId="04489308" w:rsidR="0050196F" w:rsidRPr="009E56D9" w:rsidRDefault="00604894" w:rsidP="00F32A39">
            <w:pPr>
              <w:pStyle w:val="ARfintablebodyright"/>
            </w:pPr>
            <w:r>
              <w:t>–</w:t>
            </w:r>
          </w:p>
        </w:tc>
        <w:tc>
          <w:tcPr>
            <w:tcW w:w="1401" w:type="dxa"/>
            <w:tcBorders>
              <w:top w:val="single" w:sz="2" w:space="0" w:color="A6A6A6" w:themeColor="accent5"/>
            </w:tcBorders>
            <w:hideMark/>
          </w:tcPr>
          <w:p w14:paraId="59AA2D45" w14:textId="10203983" w:rsidR="0050196F" w:rsidRPr="009E56D9" w:rsidRDefault="0050196F" w:rsidP="00F32A39">
            <w:pPr>
              <w:pStyle w:val="ARfintablebodyright"/>
            </w:pPr>
            <w:r w:rsidRPr="009E56D9">
              <w:t>56</w:t>
            </w:r>
          </w:p>
        </w:tc>
        <w:tc>
          <w:tcPr>
            <w:tcW w:w="1572" w:type="dxa"/>
            <w:tcBorders>
              <w:top w:val="single" w:sz="2" w:space="0" w:color="A6A6A6" w:themeColor="accent5"/>
            </w:tcBorders>
            <w:hideMark/>
          </w:tcPr>
          <w:p w14:paraId="7097978A" w14:textId="1AF45B20" w:rsidR="0050196F" w:rsidRPr="009E56D9" w:rsidRDefault="00604894" w:rsidP="00F32A39">
            <w:pPr>
              <w:pStyle w:val="ARfintablebodyright"/>
            </w:pPr>
            <w:r>
              <w:t>–</w:t>
            </w:r>
          </w:p>
        </w:tc>
        <w:tc>
          <w:tcPr>
            <w:tcW w:w="962" w:type="dxa"/>
            <w:tcBorders>
              <w:top w:val="single" w:sz="2" w:space="0" w:color="A6A6A6" w:themeColor="accent5"/>
            </w:tcBorders>
            <w:hideMark/>
          </w:tcPr>
          <w:p w14:paraId="029D836B" w14:textId="00E2BB04" w:rsidR="0050196F" w:rsidRPr="009E56D9" w:rsidRDefault="00604894" w:rsidP="00F32A39">
            <w:pPr>
              <w:pStyle w:val="ARfintablebodyright"/>
            </w:pPr>
            <w:r>
              <w:t>–</w:t>
            </w:r>
          </w:p>
        </w:tc>
        <w:tc>
          <w:tcPr>
            <w:tcW w:w="1019" w:type="dxa"/>
            <w:tcBorders>
              <w:top w:val="single" w:sz="2" w:space="0" w:color="A6A6A6" w:themeColor="accent5"/>
            </w:tcBorders>
            <w:hideMark/>
          </w:tcPr>
          <w:p w14:paraId="6FC76421" w14:textId="3EF312A6" w:rsidR="0050196F" w:rsidRPr="009E56D9" w:rsidRDefault="0050196F" w:rsidP="00F32A39">
            <w:pPr>
              <w:pStyle w:val="ARfintablebodyright"/>
            </w:pPr>
            <w:r w:rsidRPr="009E56D9">
              <w:t>56</w:t>
            </w:r>
          </w:p>
        </w:tc>
      </w:tr>
      <w:tr w:rsidR="0050196F" w:rsidRPr="009E56D9" w14:paraId="3CA1F002" w14:textId="77777777" w:rsidTr="00F32A39">
        <w:trPr>
          <w:trHeight w:val="315"/>
        </w:trPr>
        <w:tc>
          <w:tcPr>
            <w:tcW w:w="2985" w:type="dxa"/>
            <w:hideMark/>
          </w:tcPr>
          <w:p w14:paraId="2BE17157" w14:textId="77777777" w:rsidR="0050196F" w:rsidRPr="009E56D9" w:rsidRDefault="0050196F" w:rsidP="00F32A39">
            <w:pPr>
              <w:pStyle w:val="ARfintablebodybold"/>
            </w:pPr>
            <w:r w:rsidRPr="009E56D9">
              <w:t>Closing balance 30 June 2024 (published budget)</w:t>
            </w:r>
          </w:p>
        </w:tc>
        <w:tc>
          <w:tcPr>
            <w:tcW w:w="1572" w:type="dxa"/>
            <w:hideMark/>
          </w:tcPr>
          <w:p w14:paraId="02C5E9EE" w14:textId="0E1F3E87" w:rsidR="0050196F" w:rsidRPr="009E56D9" w:rsidRDefault="0050196F" w:rsidP="00F32A39">
            <w:pPr>
              <w:pStyle w:val="ARfintablebodyrightbold"/>
            </w:pPr>
            <w:r w:rsidRPr="009E56D9">
              <w:t>13</w:t>
            </w:r>
          </w:p>
        </w:tc>
        <w:tc>
          <w:tcPr>
            <w:tcW w:w="1401" w:type="dxa"/>
            <w:hideMark/>
          </w:tcPr>
          <w:p w14:paraId="7DAC0255" w14:textId="5FAE7AD0" w:rsidR="0050196F" w:rsidRPr="009E56D9" w:rsidRDefault="0050196F" w:rsidP="00F32A39">
            <w:pPr>
              <w:pStyle w:val="ARfintablebodyrightbold"/>
            </w:pPr>
            <w:r w:rsidRPr="009E56D9">
              <w:t>1,387</w:t>
            </w:r>
          </w:p>
        </w:tc>
        <w:tc>
          <w:tcPr>
            <w:tcW w:w="1572" w:type="dxa"/>
            <w:hideMark/>
          </w:tcPr>
          <w:p w14:paraId="4AE283E5" w14:textId="43AA5920" w:rsidR="0050196F" w:rsidRPr="009E56D9" w:rsidRDefault="0050196F" w:rsidP="00F32A39">
            <w:pPr>
              <w:pStyle w:val="ARfintablebodyrightbold"/>
            </w:pPr>
            <w:r w:rsidRPr="009E56D9">
              <w:t>330</w:t>
            </w:r>
          </w:p>
        </w:tc>
        <w:tc>
          <w:tcPr>
            <w:tcW w:w="962" w:type="dxa"/>
            <w:hideMark/>
          </w:tcPr>
          <w:p w14:paraId="6EEAD343" w14:textId="03162E80" w:rsidR="0050196F" w:rsidRPr="009E56D9" w:rsidRDefault="00604894" w:rsidP="00F32A39">
            <w:pPr>
              <w:pStyle w:val="ARfintablebodyrightbold"/>
            </w:pPr>
            <w:r>
              <w:t>–</w:t>
            </w:r>
          </w:p>
        </w:tc>
        <w:tc>
          <w:tcPr>
            <w:tcW w:w="1019" w:type="dxa"/>
            <w:hideMark/>
          </w:tcPr>
          <w:p w14:paraId="41B7A0D5" w14:textId="5A46BB3B" w:rsidR="0050196F" w:rsidRPr="009E56D9" w:rsidRDefault="0050196F" w:rsidP="00F32A39">
            <w:pPr>
              <w:pStyle w:val="ARfintablebodyrightbold"/>
            </w:pPr>
            <w:r w:rsidRPr="009E56D9">
              <w:t>1,730</w:t>
            </w:r>
          </w:p>
        </w:tc>
      </w:tr>
      <w:tr w:rsidR="0050196F" w:rsidRPr="009E56D9" w14:paraId="7924195C" w14:textId="77777777" w:rsidTr="00F32A39">
        <w:trPr>
          <w:trHeight w:val="315"/>
        </w:trPr>
        <w:tc>
          <w:tcPr>
            <w:tcW w:w="2985" w:type="dxa"/>
            <w:tcBorders>
              <w:bottom w:val="single" w:sz="4" w:space="0" w:color="auto"/>
            </w:tcBorders>
            <w:hideMark/>
          </w:tcPr>
          <w:p w14:paraId="57B5ABAD" w14:textId="77777777" w:rsidR="0050196F" w:rsidRPr="009E56D9" w:rsidRDefault="0050196F" w:rsidP="00F32A39">
            <w:pPr>
              <w:pStyle w:val="ARfintablebodybold"/>
            </w:pPr>
            <w:r w:rsidRPr="009E56D9">
              <w:t>Actual variation to published budget (%)</w:t>
            </w:r>
          </w:p>
        </w:tc>
        <w:tc>
          <w:tcPr>
            <w:tcW w:w="1572" w:type="dxa"/>
            <w:tcBorders>
              <w:bottom w:val="single" w:sz="4" w:space="0" w:color="auto"/>
            </w:tcBorders>
            <w:hideMark/>
          </w:tcPr>
          <w:p w14:paraId="6F8803B1" w14:textId="4212498D" w:rsidR="0050196F" w:rsidRPr="009E56D9" w:rsidRDefault="0050196F" w:rsidP="00F32A39">
            <w:pPr>
              <w:pStyle w:val="ARfintablebodyrightbold"/>
            </w:pPr>
          </w:p>
        </w:tc>
        <w:tc>
          <w:tcPr>
            <w:tcW w:w="1401" w:type="dxa"/>
            <w:tcBorders>
              <w:bottom w:val="single" w:sz="4" w:space="0" w:color="auto"/>
            </w:tcBorders>
            <w:hideMark/>
          </w:tcPr>
          <w:p w14:paraId="50029EC7" w14:textId="529C88E7" w:rsidR="0050196F" w:rsidRPr="009E56D9" w:rsidRDefault="0050196F" w:rsidP="00F32A39">
            <w:pPr>
              <w:pStyle w:val="ARfintablebodyrightbold"/>
            </w:pPr>
          </w:p>
        </w:tc>
        <w:tc>
          <w:tcPr>
            <w:tcW w:w="1572" w:type="dxa"/>
            <w:tcBorders>
              <w:bottom w:val="single" w:sz="4" w:space="0" w:color="auto"/>
            </w:tcBorders>
            <w:hideMark/>
          </w:tcPr>
          <w:p w14:paraId="0F920D57" w14:textId="5A3CE839" w:rsidR="0050196F" w:rsidRPr="009E56D9" w:rsidRDefault="0050196F" w:rsidP="00F32A39">
            <w:pPr>
              <w:pStyle w:val="ARfintablebodyrightbold"/>
            </w:pPr>
          </w:p>
        </w:tc>
        <w:tc>
          <w:tcPr>
            <w:tcW w:w="962" w:type="dxa"/>
            <w:tcBorders>
              <w:bottom w:val="single" w:sz="4" w:space="0" w:color="auto"/>
            </w:tcBorders>
            <w:hideMark/>
          </w:tcPr>
          <w:p w14:paraId="71167C4C" w14:textId="6DA5B888" w:rsidR="0050196F" w:rsidRPr="009E56D9" w:rsidRDefault="0050196F" w:rsidP="00F32A39">
            <w:pPr>
              <w:pStyle w:val="ARfintablebodyrightbold"/>
            </w:pPr>
          </w:p>
        </w:tc>
        <w:tc>
          <w:tcPr>
            <w:tcW w:w="1019" w:type="dxa"/>
            <w:tcBorders>
              <w:bottom w:val="single" w:sz="4" w:space="0" w:color="auto"/>
            </w:tcBorders>
            <w:hideMark/>
          </w:tcPr>
          <w:p w14:paraId="06AB6A92" w14:textId="09A533D8" w:rsidR="0050196F" w:rsidRPr="009E56D9" w:rsidRDefault="0050196F" w:rsidP="00F32A39">
            <w:pPr>
              <w:pStyle w:val="ARfintablebodyrightbold"/>
            </w:pPr>
          </w:p>
        </w:tc>
      </w:tr>
      <w:tr w:rsidR="0050196F" w:rsidRPr="009E56D9" w14:paraId="7DD0248C" w14:textId="77777777" w:rsidTr="00F32A39">
        <w:trPr>
          <w:trHeight w:val="315"/>
        </w:trPr>
        <w:tc>
          <w:tcPr>
            <w:tcW w:w="2985" w:type="dxa"/>
            <w:tcBorders>
              <w:top w:val="single" w:sz="4" w:space="0" w:color="auto"/>
              <w:bottom w:val="single" w:sz="2" w:space="0" w:color="A6A6A6" w:themeColor="accent5"/>
            </w:tcBorders>
            <w:hideMark/>
          </w:tcPr>
          <w:p w14:paraId="78EDD2B5" w14:textId="77777777" w:rsidR="0050196F" w:rsidRPr="009E56D9" w:rsidRDefault="0050196F" w:rsidP="00F32A39">
            <w:pPr>
              <w:pStyle w:val="ARfintablebody"/>
            </w:pPr>
            <w:r w:rsidRPr="009E56D9">
              <w:t>Comprehensive result</w:t>
            </w:r>
          </w:p>
        </w:tc>
        <w:tc>
          <w:tcPr>
            <w:tcW w:w="1572" w:type="dxa"/>
            <w:tcBorders>
              <w:top w:val="single" w:sz="4" w:space="0" w:color="auto"/>
              <w:bottom w:val="single" w:sz="2" w:space="0" w:color="A6A6A6" w:themeColor="accent5"/>
            </w:tcBorders>
            <w:hideMark/>
          </w:tcPr>
          <w:p w14:paraId="56B9665C" w14:textId="21C29174" w:rsidR="0050196F" w:rsidRPr="009E56D9" w:rsidRDefault="0050196F" w:rsidP="00F32A39">
            <w:pPr>
              <w:pStyle w:val="ARfintablebodyright"/>
            </w:pPr>
            <w:r w:rsidRPr="009E56D9">
              <w:t>1,117</w:t>
            </w:r>
          </w:p>
        </w:tc>
        <w:tc>
          <w:tcPr>
            <w:tcW w:w="1401" w:type="dxa"/>
            <w:tcBorders>
              <w:top w:val="single" w:sz="4" w:space="0" w:color="auto"/>
              <w:bottom w:val="single" w:sz="2" w:space="0" w:color="A6A6A6" w:themeColor="accent5"/>
            </w:tcBorders>
            <w:hideMark/>
          </w:tcPr>
          <w:p w14:paraId="2198B3F6" w14:textId="50046E20" w:rsidR="0050196F" w:rsidRPr="009E56D9" w:rsidRDefault="00604894" w:rsidP="00F32A39">
            <w:pPr>
              <w:pStyle w:val="ARfintablebodyright"/>
            </w:pPr>
            <w:r>
              <w:t>–</w:t>
            </w:r>
          </w:p>
        </w:tc>
        <w:tc>
          <w:tcPr>
            <w:tcW w:w="1572" w:type="dxa"/>
            <w:tcBorders>
              <w:top w:val="single" w:sz="4" w:space="0" w:color="auto"/>
              <w:bottom w:val="single" w:sz="2" w:space="0" w:color="A6A6A6" w:themeColor="accent5"/>
            </w:tcBorders>
            <w:hideMark/>
          </w:tcPr>
          <w:p w14:paraId="7A3CA45A" w14:textId="3D54A039" w:rsidR="0050196F" w:rsidRPr="009E56D9" w:rsidRDefault="00604894" w:rsidP="00F32A39">
            <w:pPr>
              <w:pStyle w:val="ARfintablebodyright"/>
            </w:pPr>
            <w:r>
              <w:t>–</w:t>
            </w:r>
          </w:p>
        </w:tc>
        <w:tc>
          <w:tcPr>
            <w:tcW w:w="962" w:type="dxa"/>
            <w:tcBorders>
              <w:top w:val="single" w:sz="4" w:space="0" w:color="auto"/>
              <w:bottom w:val="single" w:sz="2" w:space="0" w:color="A6A6A6" w:themeColor="accent5"/>
            </w:tcBorders>
            <w:hideMark/>
          </w:tcPr>
          <w:p w14:paraId="037A158C" w14:textId="1CC18988" w:rsidR="0050196F" w:rsidRPr="009E56D9" w:rsidRDefault="00604894" w:rsidP="00F32A39">
            <w:pPr>
              <w:pStyle w:val="ARfintablebodyright"/>
            </w:pPr>
            <w:r>
              <w:t>–</w:t>
            </w:r>
          </w:p>
        </w:tc>
        <w:tc>
          <w:tcPr>
            <w:tcW w:w="1019" w:type="dxa"/>
            <w:tcBorders>
              <w:top w:val="single" w:sz="4" w:space="0" w:color="auto"/>
              <w:bottom w:val="single" w:sz="2" w:space="0" w:color="A6A6A6" w:themeColor="accent5"/>
            </w:tcBorders>
            <w:hideMark/>
          </w:tcPr>
          <w:p w14:paraId="7D995148" w14:textId="4595EFD1" w:rsidR="0050196F" w:rsidRPr="009E56D9" w:rsidRDefault="0050196F" w:rsidP="00F32A39">
            <w:pPr>
              <w:pStyle w:val="ARfintablebodyright"/>
            </w:pPr>
            <w:r w:rsidRPr="009E56D9">
              <w:t>1,453</w:t>
            </w:r>
          </w:p>
        </w:tc>
      </w:tr>
      <w:tr w:rsidR="0050196F" w:rsidRPr="009E56D9" w14:paraId="0721D32A" w14:textId="77777777" w:rsidTr="00F32A39">
        <w:trPr>
          <w:trHeight w:val="315"/>
        </w:trPr>
        <w:tc>
          <w:tcPr>
            <w:tcW w:w="2985" w:type="dxa"/>
            <w:tcBorders>
              <w:top w:val="single" w:sz="2" w:space="0" w:color="A6A6A6" w:themeColor="accent5"/>
            </w:tcBorders>
            <w:hideMark/>
          </w:tcPr>
          <w:p w14:paraId="3517168E" w14:textId="77777777" w:rsidR="0050196F" w:rsidRPr="009E56D9" w:rsidRDefault="0050196F" w:rsidP="00F32A39">
            <w:pPr>
              <w:pStyle w:val="ARfintablebody"/>
            </w:pPr>
            <w:r w:rsidRPr="009E56D9">
              <w:t>Transactions with owners in their capacity as owners</w:t>
            </w:r>
          </w:p>
        </w:tc>
        <w:tc>
          <w:tcPr>
            <w:tcW w:w="1572" w:type="dxa"/>
            <w:tcBorders>
              <w:top w:val="single" w:sz="2" w:space="0" w:color="A6A6A6" w:themeColor="accent5"/>
            </w:tcBorders>
            <w:hideMark/>
          </w:tcPr>
          <w:p w14:paraId="51C91DA0" w14:textId="0C83C1EF" w:rsidR="0050196F" w:rsidRPr="009E56D9" w:rsidRDefault="00604894" w:rsidP="00F32A39">
            <w:pPr>
              <w:pStyle w:val="ARfintablebodyright"/>
            </w:pPr>
            <w:r>
              <w:t>–</w:t>
            </w:r>
          </w:p>
        </w:tc>
        <w:tc>
          <w:tcPr>
            <w:tcW w:w="1401" w:type="dxa"/>
            <w:tcBorders>
              <w:top w:val="single" w:sz="2" w:space="0" w:color="A6A6A6" w:themeColor="accent5"/>
            </w:tcBorders>
            <w:hideMark/>
          </w:tcPr>
          <w:p w14:paraId="2B826D60" w14:textId="7EFD584F" w:rsidR="0050196F" w:rsidRPr="009E56D9" w:rsidRDefault="0050196F" w:rsidP="00F32A39">
            <w:pPr>
              <w:pStyle w:val="ARfintablebodyright"/>
            </w:pPr>
            <w:r w:rsidRPr="009E56D9">
              <w:t>(62)</w:t>
            </w:r>
          </w:p>
        </w:tc>
        <w:tc>
          <w:tcPr>
            <w:tcW w:w="1572" w:type="dxa"/>
            <w:tcBorders>
              <w:top w:val="single" w:sz="2" w:space="0" w:color="A6A6A6" w:themeColor="accent5"/>
            </w:tcBorders>
            <w:hideMark/>
          </w:tcPr>
          <w:p w14:paraId="45AAC514" w14:textId="4517F17A" w:rsidR="0050196F" w:rsidRPr="009E56D9" w:rsidRDefault="00604894" w:rsidP="00F32A39">
            <w:pPr>
              <w:pStyle w:val="ARfintablebodyright"/>
            </w:pPr>
            <w:r>
              <w:t>–</w:t>
            </w:r>
          </w:p>
        </w:tc>
        <w:tc>
          <w:tcPr>
            <w:tcW w:w="962" w:type="dxa"/>
            <w:tcBorders>
              <w:top w:val="single" w:sz="2" w:space="0" w:color="A6A6A6" w:themeColor="accent5"/>
            </w:tcBorders>
            <w:hideMark/>
          </w:tcPr>
          <w:p w14:paraId="43577BDD" w14:textId="4DEE632C" w:rsidR="0050196F" w:rsidRPr="009E56D9" w:rsidRDefault="00604894" w:rsidP="00F32A39">
            <w:pPr>
              <w:pStyle w:val="ARfintablebodyright"/>
            </w:pPr>
            <w:r>
              <w:t>–</w:t>
            </w:r>
          </w:p>
        </w:tc>
        <w:tc>
          <w:tcPr>
            <w:tcW w:w="1019" w:type="dxa"/>
            <w:tcBorders>
              <w:top w:val="single" w:sz="2" w:space="0" w:color="A6A6A6" w:themeColor="accent5"/>
            </w:tcBorders>
            <w:hideMark/>
          </w:tcPr>
          <w:p w14:paraId="0E37A0D5" w14:textId="6240F4C9" w:rsidR="0050196F" w:rsidRPr="009E56D9" w:rsidRDefault="0050196F" w:rsidP="00F32A39">
            <w:pPr>
              <w:pStyle w:val="ARfintablebodyright"/>
            </w:pPr>
            <w:r w:rsidRPr="009E56D9">
              <w:t>(62)</w:t>
            </w:r>
          </w:p>
        </w:tc>
      </w:tr>
      <w:tr w:rsidR="0050196F" w:rsidRPr="009E56D9" w14:paraId="4FB27888" w14:textId="77777777" w:rsidTr="00F32A39">
        <w:trPr>
          <w:trHeight w:val="315"/>
        </w:trPr>
        <w:tc>
          <w:tcPr>
            <w:tcW w:w="2985" w:type="dxa"/>
            <w:hideMark/>
          </w:tcPr>
          <w:p w14:paraId="37AEA62F" w14:textId="77777777" w:rsidR="0050196F" w:rsidRPr="009E56D9" w:rsidRDefault="0050196F" w:rsidP="00F32A39">
            <w:pPr>
              <w:pStyle w:val="ARfintablebodybold"/>
            </w:pPr>
            <w:r w:rsidRPr="009E56D9">
              <w:t>Closing balance 30 June 2024</w:t>
            </w:r>
          </w:p>
        </w:tc>
        <w:tc>
          <w:tcPr>
            <w:tcW w:w="1572" w:type="dxa"/>
            <w:hideMark/>
          </w:tcPr>
          <w:p w14:paraId="422A2E31" w14:textId="70FBA267" w:rsidR="0050196F" w:rsidRPr="009E56D9" w:rsidRDefault="0050196F" w:rsidP="00F32A39">
            <w:pPr>
              <w:pStyle w:val="ARfintablebodyrightbold"/>
            </w:pPr>
            <w:r w:rsidRPr="009E56D9">
              <w:t>(1,411)</w:t>
            </w:r>
          </w:p>
        </w:tc>
        <w:tc>
          <w:tcPr>
            <w:tcW w:w="1401" w:type="dxa"/>
            <w:hideMark/>
          </w:tcPr>
          <w:p w14:paraId="673AF4D3" w14:textId="750BB8D5" w:rsidR="0050196F" w:rsidRPr="009E56D9" w:rsidRDefault="0050196F" w:rsidP="00F32A39">
            <w:pPr>
              <w:pStyle w:val="ARfintablebodyrightbold"/>
            </w:pPr>
            <w:r w:rsidRPr="009E56D9">
              <w:t>(3)</w:t>
            </w:r>
          </w:p>
        </w:tc>
        <w:tc>
          <w:tcPr>
            <w:tcW w:w="1572" w:type="dxa"/>
            <w:hideMark/>
          </w:tcPr>
          <w:p w14:paraId="5BCF397D" w14:textId="00922C07" w:rsidR="0050196F" w:rsidRPr="009E56D9" w:rsidRDefault="0050196F" w:rsidP="00F32A39">
            <w:pPr>
              <w:pStyle w:val="ARfintablebodyrightbold"/>
            </w:pPr>
            <w:r w:rsidRPr="009E56D9">
              <w:t>(16)</w:t>
            </w:r>
          </w:p>
        </w:tc>
        <w:tc>
          <w:tcPr>
            <w:tcW w:w="962" w:type="dxa"/>
            <w:hideMark/>
          </w:tcPr>
          <w:p w14:paraId="37DD4D66" w14:textId="61C0A740" w:rsidR="0050196F" w:rsidRPr="009E56D9" w:rsidRDefault="00604894" w:rsidP="00F32A39">
            <w:pPr>
              <w:pStyle w:val="ARfintablebodyrightbold"/>
            </w:pPr>
            <w:r>
              <w:t>–</w:t>
            </w:r>
          </w:p>
        </w:tc>
        <w:tc>
          <w:tcPr>
            <w:tcW w:w="1019" w:type="dxa"/>
            <w:hideMark/>
          </w:tcPr>
          <w:p w14:paraId="3FEF057E" w14:textId="2B065AE8" w:rsidR="0050196F" w:rsidRPr="009E56D9" w:rsidRDefault="0050196F" w:rsidP="00F32A39">
            <w:pPr>
              <w:pStyle w:val="ARfintablebodyrightbold"/>
            </w:pPr>
            <w:r w:rsidRPr="009E56D9">
              <w:t>(15)</w:t>
            </w:r>
          </w:p>
        </w:tc>
      </w:tr>
    </w:tbl>
    <w:p w14:paraId="316ACEFC" w14:textId="77777777" w:rsidR="0050196F" w:rsidRPr="00F32A39" w:rsidRDefault="0050196F" w:rsidP="00F32A39">
      <w:pPr>
        <w:pStyle w:val="ARbody"/>
      </w:pPr>
      <w:r w:rsidRPr="00532DAE">
        <w:br w:type="page"/>
      </w:r>
    </w:p>
    <w:p w14:paraId="6993636D" w14:textId="77777777" w:rsidR="0050196F" w:rsidRPr="00532DAE" w:rsidRDefault="0050196F" w:rsidP="005B4FF5">
      <w:pPr>
        <w:pStyle w:val="Heading3"/>
        <w:spacing w:before="0"/>
      </w:pPr>
      <w:r w:rsidRPr="00532DAE">
        <w:t>Administered items statement</w:t>
      </w:r>
      <w:r w:rsidRPr="00532DAE">
        <w:br/>
        <w:t>for the financial year ended 30 June 202</w:t>
      </w:r>
      <w:r>
        <w:t>4</w:t>
      </w:r>
    </w:p>
    <w:tbl>
      <w:tblPr>
        <w:tblStyle w:val="TableGrid"/>
        <w:tblW w:w="10040" w:type="dxa"/>
        <w:tblInd w:w="-5" w:type="dxa"/>
        <w:tblLook w:val="06A0" w:firstRow="1" w:lastRow="0" w:firstColumn="1" w:lastColumn="0" w:noHBand="1" w:noVBand="1"/>
      </w:tblPr>
      <w:tblGrid>
        <w:gridCol w:w="5954"/>
        <w:gridCol w:w="1133"/>
        <w:gridCol w:w="1134"/>
        <w:gridCol w:w="1139"/>
        <w:gridCol w:w="680"/>
      </w:tblGrid>
      <w:tr w:rsidR="0050196F" w:rsidRPr="00532DAE" w14:paraId="64A0C114" w14:textId="77777777">
        <w:trPr>
          <w:cnfStyle w:val="100000000000" w:firstRow="1" w:lastRow="0" w:firstColumn="0" w:lastColumn="0" w:oddVBand="0" w:evenVBand="0" w:oddHBand="0" w:evenHBand="0" w:firstRowFirstColumn="0" w:firstRowLastColumn="0" w:lastRowFirstColumn="0" w:lastRowLastColumn="0"/>
          <w:tblHeader/>
        </w:trPr>
        <w:tc>
          <w:tcPr>
            <w:tcW w:w="5954" w:type="dxa"/>
            <w:tcBorders>
              <w:bottom w:val="single" w:sz="4" w:space="0" w:color="auto"/>
            </w:tcBorders>
            <w:hideMark/>
          </w:tcPr>
          <w:p w14:paraId="565A2A2F" w14:textId="77777777" w:rsidR="0050196F" w:rsidRPr="00532DAE" w:rsidRDefault="0050196F" w:rsidP="003B419B">
            <w:pPr>
              <w:pStyle w:val="ARfintablecolhead"/>
            </w:pPr>
          </w:p>
        </w:tc>
        <w:tc>
          <w:tcPr>
            <w:tcW w:w="1133" w:type="dxa"/>
            <w:tcBorders>
              <w:bottom w:val="single" w:sz="4" w:space="0" w:color="auto"/>
            </w:tcBorders>
            <w:hideMark/>
          </w:tcPr>
          <w:p w14:paraId="5C1121E4" w14:textId="77777777" w:rsidR="0050196F" w:rsidRPr="00532DAE" w:rsidRDefault="0050196F" w:rsidP="00B6392C">
            <w:pPr>
              <w:pStyle w:val="ARfintablecolheadright"/>
            </w:pPr>
            <w:r w:rsidRPr="00532DAE">
              <w:t>2022–23</w:t>
            </w:r>
          </w:p>
          <w:p w14:paraId="184E1959" w14:textId="77777777" w:rsidR="0050196F" w:rsidRPr="00532DAE" w:rsidRDefault="0050196F" w:rsidP="003B419B">
            <w:pPr>
              <w:pStyle w:val="ARfintablecolheadright"/>
            </w:pPr>
            <w:r w:rsidRPr="00532DAE">
              <w:t>Actual</w:t>
            </w:r>
          </w:p>
          <w:p w14:paraId="072F25EE" w14:textId="77777777" w:rsidR="0050196F" w:rsidRPr="00532DAE" w:rsidRDefault="0050196F" w:rsidP="003B419B">
            <w:pPr>
              <w:pStyle w:val="ARfintablecolheadright"/>
            </w:pPr>
            <w:r w:rsidRPr="00532DAE">
              <w:t>$M</w:t>
            </w:r>
          </w:p>
        </w:tc>
        <w:tc>
          <w:tcPr>
            <w:tcW w:w="1134" w:type="dxa"/>
            <w:tcBorders>
              <w:bottom w:val="single" w:sz="4" w:space="0" w:color="auto"/>
            </w:tcBorders>
            <w:hideMark/>
          </w:tcPr>
          <w:p w14:paraId="36CED096" w14:textId="77777777" w:rsidR="0050196F" w:rsidRPr="00532DAE" w:rsidRDefault="0050196F" w:rsidP="00B6392C">
            <w:pPr>
              <w:pStyle w:val="ARfintablecolheadright"/>
            </w:pPr>
            <w:r w:rsidRPr="00532DAE">
              <w:t>2022–23</w:t>
            </w:r>
          </w:p>
          <w:p w14:paraId="3724DC04" w14:textId="77777777" w:rsidR="0050196F" w:rsidRPr="00532DAE" w:rsidRDefault="0050196F" w:rsidP="003B419B">
            <w:pPr>
              <w:pStyle w:val="ARfintablecolheadright"/>
            </w:pPr>
            <w:r w:rsidRPr="00532DAE">
              <w:t>Published budget</w:t>
            </w:r>
          </w:p>
          <w:p w14:paraId="1C1950E9" w14:textId="77777777" w:rsidR="0050196F" w:rsidRPr="00532DAE" w:rsidRDefault="0050196F" w:rsidP="003B419B">
            <w:pPr>
              <w:pStyle w:val="ARfintablecolheadright"/>
            </w:pPr>
            <w:r w:rsidRPr="00532DAE">
              <w:t>$M</w:t>
            </w:r>
          </w:p>
        </w:tc>
        <w:tc>
          <w:tcPr>
            <w:tcW w:w="1139" w:type="dxa"/>
            <w:tcBorders>
              <w:bottom w:val="single" w:sz="4" w:space="0" w:color="auto"/>
            </w:tcBorders>
            <w:noWrap/>
            <w:hideMark/>
          </w:tcPr>
          <w:p w14:paraId="1241AAC0" w14:textId="77777777" w:rsidR="0050196F" w:rsidRPr="00532DAE" w:rsidRDefault="0050196F" w:rsidP="003B419B">
            <w:pPr>
              <w:pStyle w:val="ARfintablecolheadright"/>
            </w:pPr>
            <w:r w:rsidRPr="00532DAE">
              <w:t>Variation to pub-lished budget</w:t>
            </w:r>
          </w:p>
          <w:p w14:paraId="7C4052C0" w14:textId="77777777" w:rsidR="0050196F" w:rsidRPr="00532DAE" w:rsidRDefault="0050196F" w:rsidP="003B419B">
            <w:pPr>
              <w:pStyle w:val="ARfintablecolheadright"/>
            </w:pPr>
            <w:r w:rsidRPr="00532DAE">
              <w:t>%</w:t>
            </w:r>
          </w:p>
        </w:tc>
        <w:tc>
          <w:tcPr>
            <w:tcW w:w="680" w:type="dxa"/>
            <w:tcBorders>
              <w:bottom w:val="single" w:sz="4" w:space="0" w:color="auto"/>
            </w:tcBorders>
          </w:tcPr>
          <w:p w14:paraId="4AB38922" w14:textId="77777777" w:rsidR="0050196F" w:rsidRPr="00532DAE" w:rsidRDefault="0050196F" w:rsidP="00B6392C">
            <w:pPr>
              <w:pStyle w:val="ARfintablecolheadcentre"/>
            </w:pPr>
            <w:r w:rsidRPr="00532DAE">
              <w:t>Notes</w:t>
            </w:r>
          </w:p>
        </w:tc>
      </w:tr>
      <w:tr w:rsidR="0050196F" w:rsidRPr="00532DAE" w14:paraId="7E2128E9" w14:textId="77777777">
        <w:trPr>
          <w:cnfStyle w:val="100000000000" w:firstRow="1" w:lastRow="0" w:firstColumn="0" w:lastColumn="0" w:oddVBand="0" w:evenVBand="0" w:oddHBand="0" w:evenHBand="0" w:firstRowFirstColumn="0" w:firstRowLastColumn="0" w:lastRowFirstColumn="0" w:lastRowLastColumn="0"/>
          <w:tblHeader/>
        </w:trPr>
        <w:tc>
          <w:tcPr>
            <w:tcW w:w="10040" w:type="dxa"/>
            <w:gridSpan w:val="5"/>
            <w:tcBorders>
              <w:bottom w:val="single" w:sz="4" w:space="0" w:color="auto"/>
            </w:tcBorders>
          </w:tcPr>
          <w:p w14:paraId="061C1368" w14:textId="77777777" w:rsidR="0050196F" w:rsidRPr="00532DAE" w:rsidRDefault="0050196F" w:rsidP="00D02912">
            <w:pPr>
              <w:pStyle w:val="ARfintablebodybold"/>
            </w:pPr>
            <w:r w:rsidRPr="00532DAE">
              <w:t>Administered income</w:t>
            </w:r>
          </w:p>
        </w:tc>
      </w:tr>
      <w:tr w:rsidR="0050196F" w:rsidRPr="00532DAE" w14:paraId="5D2BA355" w14:textId="77777777">
        <w:trPr>
          <w:cantSplit w:val="0"/>
        </w:trPr>
        <w:tc>
          <w:tcPr>
            <w:tcW w:w="5954" w:type="dxa"/>
            <w:tcBorders>
              <w:top w:val="single" w:sz="4" w:space="0" w:color="A6A6A6"/>
              <w:bottom w:val="single" w:sz="4" w:space="0" w:color="A6A6A6"/>
            </w:tcBorders>
            <w:hideMark/>
          </w:tcPr>
          <w:p w14:paraId="592B7252" w14:textId="77777777" w:rsidR="0050196F" w:rsidRPr="00532DAE" w:rsidRDefault="0050196F" w:rsidP="00D02912">
            <w:pPr>
              <w:pStyle w:val="ARfintablebody"/>
            </w:pPr>
            <w:r w:rsidRPr="00532DAE">
              <w:t>Appropriations – Payments made on behalf of the state</w:t>
            </w:r>
          </w:p>
        </w:tc>
        <w:tc>
          <w:tcPr>
            <w:tcW w:w="1133" w:type="dxa"/>
            <w:tcBorders>
              <w:top w:val="single" w:sz="4" w:space="0" w:color="A6A6A6"/>
              <w:bottom w:val="single" w:sz="4" w:space="0" w:color="A6A6A6"/>
            </w:tcBorders>
            <w:hideMark/>
          </w:tcPr>
          <w:p w14:paraId="72CDA168" w14:textId="7A010F85" w:rsidR="0050196F" w:rsidRPr="00DE728B" w:rsidRDefault="0050196F" w:rsidP="00D02912">
            <w:pPr>
              <w:pStyle w:val="ARfintablebodyright"/>
              <w:rPr>
                <w:highlight w:val="cyan"/>
              </w:rPr>
            </w:pPr>
            <w:r w:rsidRPr="00984BD6">
              <w:t>2,863</w:t>
            </w:r>
          </w:p>
        </w:tc>
        <w:tc>
          <w:tcPr>
            <w:tcW w:w="1134" w:type="dxa"/>
            <w:tcBorders>
              <w:top w:val="single" w:sz="4" w:space="0" w:color="A6A6A6"/>
              <w:bottom w:val="single" w:sz="4" w:space="0" w:color="A6A6A6"/>
            </w:tcBorders>
            <w:hideMark/>
          </w:tcPr>
          <w:p w14:paraId="55B60904" w14:textId="1B563408" w:rsidR="0050196F" w:rsidRPr="00DE728B" w:rsidRDefault="0050196F" w:rsidP="00D02912">
            <w:pPr>
              <w:pStyle w:val="ARfintablebodyright"/>
              <w:rPr>
                <w:highlight w:val="cyan"/>
              </w:rPr>
            </w:pPr>
            <w:r w:rsidRPr="007741DD">
              <w:t>2,857</w:t>
            </w:r>
          </w:p>
        </w:tc>
        <w:tc>
          <w:tcPr>
            <w:tcW w:w="1139" w:type="dxa"/>
            <w:tcBorders>
              <w:top w:val="single" w:sz="4" w:space="0" w:color="A6A6A6"/>
              <w:bottom w:val="single" w:sz="4" w:space="0" w:color="A6A6A6"/>
            </w:tcBorders>
            <w:hideMark/>
          </w:tcPr>
          <w:p w14:paraId="4384D092" w14:textId="68786B16" w:rsidR="0050196F" w:rsidRPr="00DE728B" w:rsidRDefault="0050196F" w:rsidP="00D02912">
            <w:pPr>
              <w:pStyle w:val="ARfintablebodyright"/>
              <w:rPr>
                <w:highlight w:val="cyan"/>
              </w:rPr>
            </w:pPr>
            <w:r w:rsidRPr="000B36E2">
              <w:t>0.2</w:t>
            </w:r>
          </w:p>
        </w:tc>
        <w:tc>
          <w:tcPr>
            <w:tcW w:w="680" w:type="dxa"/>
            <w:tcBorders>
              <w:top w:val="single" w:sz="4" w:space="0" w:color="A6A6A6"/>
              <w:bottom w:val="single" w:sz="4" w:space="0" w:color="A6A6A6"/>
            </w:tcBorders>
          </w:tcPr>
          <w:p w14:paraId="59423D04" w14:textId="77777777" w:rsidR="0050196F" w:rsidRPr="00DE728B" w:rsidRDefault="0050196F" w:rsidP="00D02912">
            <w:pPr>
              <w:pStyle w:val="ARfintablebodycentre"/>
              <w:rPr>
                <w:highlight w:val="cyan"/>
              </w:rPr>
            </w:pPr>
          </w:p>
        </w:tc>
      </w:tr>
      <w:tr w:rsidR="0050196F" w:rsidRPr="00532DAE" w14:paraId="5FF41A4A" w14:textId="77777777">
        <w:trPr>
          <w:cantSplit w:val="0"/>
        </w:trPr>
        <w:tc>
          <w:tcPr>
            <w:tcW w:w="5954" w:type="dxa"/>
            <w:tcBorders>
              <w:top w:val="single" w:sz="4" w:space="0" w:color="A6A6A6"/>
              <w:bottom w:val="single" w:sz="4" w:space="0" w:color="A6A6A6"/>
            </w:tcBorders>
            <w:hideMark/>
          </w:tcPr>
          <w:p w14:paraId="6E25EEC2" w14:textId="77777777" w:rsidR="0050196F" w:rsidRPr="00532DAE" w:rsidRDefault="0050196F" w:rsidP="00D02912">
            <w:pPr>
              <w:pStyle w:val="ARfintablebody"/>
            </w:pPr>
            <w:r w:rsidRPr="00532DAE">
              <w:t>Sales of goods and services</w:t>
            </w:r>
          </w:p>
        </w:tc>
        <w:tc>
          <w:tcPr>
            <w:tcW w:w="1133" w:type="dxa"/>
            <w:tcBorders>
              <w:top w:val="single" w:sz="4" w:space="0" w:color="A6A6A6"/>
              <w:bottom w:val="single" w:sz="4" w:space="0" w:color="A6A6A6"/>
            </w:tcBorders>
            <w:hideMark/>
          </w:tcPr>
          <w:p w14:paraId="4045847C" w14:textId="1D40556F" w:rsidR="0050196F" w:rsidRPr="00DE728B" w:rsidRDefault="0050196F" w:rsidP="00D02912">
            <w:pPr>
              <w:pStyle w:val="ARfintablebodyright"/>
              <w:rPr>
                <w:highlight w:val="cyan"/>
              </w:rPr>
            </w:pPr>
            <w:r w:rsidRPr="00984BD6">
              <w:t>37</w:t>
            </w:r>
          </w:p>
        </w:tc>
        <w:tc>
          <w:tcPr>
            <w:tcW w:w="1134" w:type="dxa"/>
            <w:tcBorders>
              <w:top w:val="single" w:sz="4" w:space="0" w:color="A6A6A6"/>
              <w:bottom w:val="single" w:sz="4" w:space="0" w:color="A6A6A6"/>
            </w:tcBorders>
            <w:hideMark/>
          </w:tcPr>
          <w:p w14:paraId="45F85433" w14:textId="3367091B" w:rsidR="0050196F" w:rsidRPr="00DE728B" w:rsidRDefault="0050196F" w:rsidP="00D02912">
            <w:pPr>
              <w:pStyle w:val="ARfintablebodyright"/>
              <w:rPr>
                <w:highlight w:val="cyan"/>
              </w:rPr>
            </w:pPr>
            <w:r w:rsidRPr="007741DD">
              <w:t>31</w:t>
            </w:r>
          </w:p>
        </w:tc>
        <w:tc>
          <w:tcPr>
            <w:tcW w:w="1139" w:type="dxa"/>
            <w:tcBorders>
              <w:top w:val="single" w:sz="4" w:space="0" w:color="A6A6A6"/>
              <w:bottom w:val="single" w:sz="4" w:space="0" w:color="A6A6A6"/>
            </w:tcBorders>
            <w:hideMark/>
          </w:tcPr>
          <w:p w14:paraId="62C3097C" w14:textId="1802A645" w:rsidR="0050196F" w:rsidRPr="00DE728B" w:rsidRDefault="0050196F" w:rsidP="00D02912">
            <w:pPr>
              <w:pStyle w:val="ARfintablebodyright"/>
              <w:rPr>
                <w:highlight w:val="cyan"/>
              </w:rPr>
            </w:pPr>
            <w:r w:rsidRPr="000B36E2">
              <w:t>17.1</w:t>
            </w:r>
          </w:p>
        </w:tc>
        <w:tc>
          <w:tcPr>
            <w:tcW w:w="680" w:type="dxa"/>
            <w:tcBorders>
              <w:top w:val="single" w:sz="4" w:space="0" w:color="A6A6A6"/>
              <w:bottom w:val="single" w:sz="4" w:space="0" w:color="A6A6A6"/>
            </w:tcBorders>
          </w:tcPr>
          <w:p w14:paraId="6F4FB588" w14:textId="77777777" w:rsidR="0050196F" w:rsidRPr="00DE728B" w:rsidRDefault="0050196F" w:rsidP="00D02912">
            <w:pPr>
              <w:pStyle w:val="ARfintablebodycentre"/>
              <w:rPr>
                <w:highlight w:val="cyan"/>
              </w:rPr>
            </w:pPr>
          </w:p>
        </w:tc>
      </w:tr>
      <w:tr w:rsidR="0050196F" w:rsidRPr="00532DAE" w14:paraId="421C423A" w14:textId="77777777">
        <w:trPr>
          <w:cantSplit w:val="0"/>
        </w:trPr>
        <w:tc>
          <w:tcPr>
            <w:tcW w:w="5954" w:type="dxa"/>
            <w:tcBorders>
              <w:top w:val="single" w:sz="4" w:space="0" w:color="A6A6A6"/>
              <w:bottom w:val="single" w:sz="4" w:space="0" w:color="A6A6A6"/>
            </w:tcBorders>
            <w:hideMark/>
          </w:tcPr>
          <w:p w14:paraId="32A17AB3" w14:textId="77777777" w:rsidR="0050196F" w:rsidRPr="00532DAE" w:rsidRDefault="0050196F" w:rsidP="00D02912">
            <w:pPr>
              <w:pStyle w:val="ARfintablebody"/>
            </w:pPr>
            <w:r w:rsidRPr="00532DAE">
              <w:t>Grants</w:t>
            </w:r>
          </w:p>
        </w:tc>
        <w:tc>
          <w:tcPr>
            <w:tcW w:w="1133" w:type="dxa"/>
            <w:tcBorders>
              <w:top w:val="single" w:sz="4" w:space="0" w:color="A6A6A6"/>
              <w:bottom w:val="single" w:sz="4" w:space="0" w:color="A6A6A6"/>
            </w:tcBorders>
            <w:hideMark/>
          </w:tcPr>
          <w:p w14:paraId="77ECFB7E" w14:textId="0A13F657" w:rsidR="0050196F" w:rsidRPr="00DE728B" w:rsidRDefault="0050196F" w:rsidP="00D02912">
            <w:pPr>
              <w:pStyle w:val="ARfintablebodyright"/>
              <w:rPr>
                <w:highlight w:val="cyan"/>
              </w:rPr>
            </w:pPr>
            <w:r w:rsidRPr="00984BD6">
              <w:t>21</w:t>
            </w:r>
          </w:p>
        </w:tc>
        <w:tc>
          <w:tcPr>
            <w:tcW w:w="1134" w:type="dxa"/>
            <w:tcBorders>
              <w:top w:val="single" w:sz="4" w:space="0" w:color="A6A6A6"/>
              <w:bottom w:val="single" w:sz="4" w:space="0" w:color="A6A6A6"/>
            </w:tcBorders>
            <w:hideMark/>
          </w:tcPr>
          <w:p w14:paraId="59790224" w14:textId="75320CC4" w:rsidR="0050196F" w:rsidRPr="00DE728B" w:rsidRDefault="0050196F" w:rsidP="00D02912">
            <w:pPr>
              <w:pStyle w:val="ARfintablebodyright"/>
              <w:rPr>
                <w:highlight w:val="cyan"/>
              </w:rPr>
            </w:pPr>
            <w:r w:rsidRPr="007741DD">
              <w:t>15</w:t>
            </w:r>
          </w:p>
        </w:tc>
        <w:tc>
          <w:tcPr>
            <w:tcW w:w="1139" w:type="dxa"/>
            <w:tcBorders>
              <w:top w:val="single" w:sz="4" w:space="0" w:color="A6A6A6"/>
              <w:bottom w:val="single" w:sz="4" w:space="0" w:color="A6A6A6"/>
            </w:tcBorders>
            <w:hideMark/>
          </w:tcPr>
          <w:p w14:paraId="1253F22D" w14:textId="2B1380F3" w:rsidR="0050196F" w:rsidRPr="00DE728B" w:rsidRDefault="0050196F" w:rsidP="00D02912">
            <w:pPr>
              <w:pStyle w:val="ARfintablebodyright"/>
              <w:rPr>
                <w:highlight w:val="cyan"/>
              </w:rPr>
            </w:pPr>
            <w:r w:rsidRPr="000B36E2">
              <w:t>44.6</w:t>
            </w:r>
          </w:p>
        </w:tc>
        <w:tc>
          <w:tcPr>
            <w:tcW w:w="680" w:type="dxa"/>
            <w:tcBorders>
              <w:top w:val="single" w:sz="4" w:space="0" w:color="A6A6A6"/>
              <w:bottom w:val="single" w:sz="4" w:space="0" w:color="A6A6A6"/>
            </w:tcBorders>
          </w:tcPr>
          <w:p w14:paraId="397E6CAF" w14:textId="77777777" w:rsidR="0050196F" w:rsidRPr="00DE728B" w:rsidRDefault="0050196F" w:rsidP="00D02912">
            <w:pPr>
              <w:pStyle w:val="ARfintablebodycentre"/>
              <w:rPr>
                <w:highlight w:val="cyan"/>
              </w:rPr>
            </w:pPr>
          </w:p>
        </w:tc>
      </w:tr>
      <w:tr w:rsidR="0050196F" w:rsidRPr="00532DAE" w14:paraId="3CEACE6A" w14:textId="77777777">
        <w:trPr>
          <w:cantSplit w:val="0"/>
        </w:trPr>
        <w:tc>
          <w:tcPr>
            <w:tcW w:w="5954" w:type="dxa"/>
            <w:tcBorders>
              <w:top w:val="single" w:sz="4" w:space="0" w:color="A6A6A6"/>
              <w:bottom w:val="single" w:sz="4" w:space="0" w:color="A6A6A6"/>
            </w:tcBorders>
            <w:hideMark/>
          </w:tcPr>
          <w:p w14:paraId="51257DF1" w14:textId="77777777" w:rsidR="0050196F" w:rsidRPr="00532DAE" w:rsidRDefault="0050196F" w:rsidP="00D02912">
            <w:pPr>
              <w:pStyle w:val="ARfintablebody"/>
            </w:pPr>
            <w:r w:rsidRPr="00532DAE">
              <w:t>Other income</w:t>
            </w:r>
          </w:p>
        </w:tc>
        <w:tc>
          <w:tcPr>
            <w:tcW w:w="1133" w:type="dxa"/>
            <w:tcBorders>
              <w:top w:val="single" w:sz="4" w:space="0" w:color="A6A6A6"/>
              <w:bottom w:val="single" w:sz="4" w:space="0" w:color="A6A6A6"/>
            </w:tcBorders>
            <w:hideMark/>
          </w:tcPr>
          <w:p w14:paraId="265D5C58" w14:textId="0071CC05" w:rsidR="0050196F" w:rsidRPr="00DE728B" w:rsidRDefault="0050196F" w:rsidP="00D02912">
            <w:pPr>
              <w:pStyle w:val="ARfintablebodyright"/>
              <w:rPr>
                <w:highlight w:val="cyan"/>
              </w:rPr>
            </w:pPr>
            <w:r w:rsidRPr="00984BD6">
              <w:t>27</w:t>
            </w:r>
          </w:p>
        </w:tc>
        <w:tc>
          <w:tcPr>
            <w:tcW w:w="1134" w:type="dxa"/>
            <w:tcBorders>
              <w:top w:val="single" w:sz="4" w:space="0" w:color="A6A6A6"/>
              <w:bottom w:val="single" w:sz="4" w:space="0" w:color="A6A6A6"/>
            </w:tcBorders>
            <w:hideMark/>
          </w:tcPr>
          <w:p w14:paraId="66AC74FB" w14:textId="7D94F257" w:rsidR="0050196F" w:rsidRPr="00DE728B" w:rsidRDefault="0050196F" w:rsidP="00D02912">
            <w:pPr>
              <w:pStyle w:val="ARfintablebodyright"/>
              <w:rPr>
                <w:highlight w:val="cyan"/>
              </w:rPr>
            </w:pPr>
            <w:r w:rsidRPr="007741DD">
              <w:t>1</w:t>
            </w:r>
          </w:p>
        </w:tc>
        <w:tc>
          <w:tcPr>
            <w:tcW w:w="1139" w:type="dxa"/>
            <w:tcBorders>
              <w:top w:val="single" w:sz="4" w:space="0" w:color="A6A6A6"/>
              <w:bottom w:val="single" w:sz="4" w:space="0" w:color="A6A6A6"/>
            </w:tcBorders>
            <w:hideMark/>
          </w:tcPr>
          <w:p w14:paraId="0110B94C" w14:textId="6F2D127F" w:rsidR="0050196F" w:rsidRPr="00DE728B" w:rsidRDefault="0050196F" w:rsidP="00D02912">
            <w:pPr>
              <w:pStyle w:val="ARfintablebodyright"/>
              <w:rPr>
                <w:highlight w:val="cyan"/>
              </w:rPr>
            </w:pPr>
            <w:r w:rsidRPr="000B36E2">
              <w:t>3,299.6</w:t>
            </w:r>
          </w:p>
        </w:tc>
        <w:tc>
          <w:tcPr>
            <w:tcW w:w="680" w:type="dxa"/>
            <w:tcBorders>
              <w:top w:val="single" w:sz="4" w:space="0" w:color="A6A6A6"/>
              <w:bottom w:val="single" w:sz="4" w:space="0" w:color="A6A6A6"/>
            </w:tcBorders>
          </w:tcPr>
          <w:p w14:paraId="79A1529A" w14:textId="77777777" w:rsidR="0050196F" w:rsidRPr="0061528B" w:rsidRDefault="0050196F" w:rsidP="00D02912">
            <w:pPr>
              <w:pStyle w:val="ARfintablebodycentre"/>
            </w:pPr>
            <w:r w:rsidRPr="0061528B">
              <w:t>(a)</w:t>
            </w:r>
          </w:p>
        </w:tc>
      </w:tr>
      <w:tr w:rsidR="0050196F" w:rsidRPr="00532DAE" w14:paraId="03E47C06" w14:textId="77777777" w:rsidTr="00F32A39">
        <w:trPr>
          <w:cantSplit w:val="0"/>
        </w:trPr>
        <w:tc>
          <w:tcPr>
            <w:tcW w:w="5954" w:type="dxa"/>
            <w:tcBorders>
              <w:bottom w:val="single" w:sz="4" w:space="0" w:color="auto"/>
            </w:tcBorders>
            <w:hideMark/>
          </w:tcPr>
          <w:p w14:paraId="16FD9040" w14:textId="77777777" w:rsidR="0050196F" w:rsidRPr="00532DAE" w:rsidRDefault="0050196F" w:rsidP="00D02912">
            <w:pPr>
              <w:pStyle w:val="ARfintablebodybold"/>
            </w:pPr>
            <w:r w:rsidRPr="00532DAE">
              <w:t>Total administered income</w:t>
            </w:r>
          </w:p>
        </w:tc>
        <w:tc>
          <w:tcPr>
            <w:tcW w:w="1133" w:type="dxa"/>
            <w:tcBorders>
              <w:bottom w:val="single" w:sz="4" w:space="0" w:color="auto"/>
            </w:tcBorders>
            <w:hideMark/>
          </w:tcPr>
          <w:p w14:paraId="1893B5A1" w14:textId="2100154A" w:rsidR="0050196F" w:rsidRPr="00DE728B" w:rsidRDefault="0050196F" w:rsidP="00D02912">
            <w:pPr>
              <w:pStyle w:val="ARfintablebodyrightbold"/>
              <w:rPr>
                <w:highlight w:val="cyan"/>
              </w:rPr>
            </w:pPr>
            <w:r w:rsidRPr="00984BD6">
              <w:t>2,948</w:t>
            </w:r>
          </w:p>
        </w:tc>
        <w:tc>
          <w:tcPr>
            <w:tcW w:w="1134" w:type="dxa"/>
            <w:tcBorders>
              <w:bottom w:val="single" w:sz="4" w:space="0" w:color="auto"/>
            </w:tcBorders>
            <w:hideMark/>
          </w:tcPr>
          <w:p w14:paraId="75AB94D0" w14:textId="209C9F74" w:rsidR="0050196F" w:rsidRPr="00DE728B" w:rsidRDefault="0050196F" w:rsidP="00D02912">
            <w:pPr>
              <w:pStyle w:val="ARfintablebodyrightbold"/>
              <w:rPr>
                <w:highlight w:val="cyan"/>
              </w:rPr>
            </w:pPr>
            <w:r w:rsidRPr="007741DD">
              <w:t>2,904</w:t>
            </w:r>
          </w:p>
        </w:tc>
        <w:tc>
          <w:tcPr>
            <w:tcW w:w="1139" w:type="dxa"/>
            <w:tcBorders>
              <w:bottom w:val="single" w:sz="4" w:space="0" w:color="auto"/>
            </w:tcBorders>
            <w:hideMark/>
          </w:tcPr>
          <w:p w14:paraId="5278D9A9" w14:textId="4E7CBE2B" w:rsidR="0050196F" w:rsidRPr="00DE728B" w:rsidRDefault="0050196F" w:rsidP="00D02912">
            <w:pPr>
              <w:pStyle w:val="ARfintablebodyrightbold"/>
              <w:rPr>
                <w:highlight w:val="cyan"/>
              </w:rPr>
            </w:pPr>
            <w:r w:rsidRPr="000B36E2">
              <w:t>1.5</w:t>
            </w:r>
          </w:p>
        </w:tc>
        <w:tc>
          <w:tcPr>
            <w:tcW w:w="680" w:type="dxa"/>
            <w:tcBorders>
              <w:bottom w:val="single" w:sz="4" w:space="0" w:color="auto"/>
            </w:tcBorders>
          </w:tcPr>
          <w:p w14:paraId="01430A08" w14:textId="77777777" w:rsidR="0050196F" w:rsidRPr="0061528B" w:rsidRDefault="0050196F" w:rsidP="00D02912">
            <w:pPr>
              <w:pStyle w:val="ARfintablebodycentre"/>
            </w:pPr>
          </w:p>
        </w:tc>
      </w:tr>
      <w:tr w:rsidR="0050196F" w:rsidRPr="00532DAE" w14:paraId="34AFC75C" w14:textId="77777777" w:rsidTr="00F32A39">
        <w:trPr>
          <w:cantSplit w:val="0"/>
        </w:trPr>
        <w:tc>
          <w:tcPr>
            <w:tcW w:w="10040" w:type="dxa"/>
            <w:gridSpan w:val="5"/>
            <w:tcBorders>
              <w:top w:val="single" w:sz="4" w:space="0" w:color="auto"/>
              <w:bottom w:val="single" w:sz="2" w:space="0" w:color="A6A6A6" w:themeColor="accent5"/>
            </w:tcBorders>
          </w:tcPr>
          <w:p w14:paraId="6F769E9C" w14:textId="77777777" w:rsidR="0050196F" w:rsidRPr="0061528B" w:rsidRDefault="0050196F" w:rsidP="00D02912">
            <w:pPr>
              <w:pStyle w:val="ARfintablebodybold"/>
            </w:pPr>
            <w:r w:rsidRPr="0061528B">
              <w:t>Administered expenses</w:t>
            </w:r>
          </w:p>
        </w:tc>
      </w:tr>
      <w:tr w:rsidR="0050196F" w:rsidRPr="00532DAE" w14:paraId="15A23A2D" w14:textId="77777777" w:rsidTr="00F32A39">
        <w:trPr>
          <w:cantSplit w:val="0"/>
        </w:trPr>
        <w:tc>
          <w:tcPr>
            <w:tcW w:w="5954" w:type="dxa"/>
            <w:tcBorders>
              <w:top w:val="single" w:sz="2" w:space="0" w:color="A6A6A6" w:themeColor="accent5"/>
              <w:bottom w:val="single" w:sz="4" w:space="0" w:color="A6A6A6"/>
            </w:tcBorders>
            <w:hideMark/>
          </w:tcPr>
          <w:p w14:paraId="567FD23D" w14:textId="77777777" w:rsidR="0050196F" w:rsidRPr="00532DAE" w:rsidRDefault="0050196F" w:rsidP="00D02912">
            <w:pPr>
              <w:pStyle w:val="ARfintablebody"/>
            </w:pPr>
            <w:r w:rsidRPr="00532DAE">
              <w:t>Expenses on behalf of the state</w:t>
            </w:r>
          </w:p>
        </w:tc>
        <w:tc>
          <w:tcPr>
            <w:tcW w:w="1133" w:type="dxa"/>
            <w:tcBorders>
              <w:top w:val="single" w:sz="2" w:space="0" w:color="A6A6A6" w:themeColor="accent5"/>
              <w:bottom w:val="single" w:sz="4" w:space="0" w:color="A6A6A6"/>
            </w:tcBorders>
            <w:hideMark/>
          </w:tcPr>
          <w:p w14:paraId="00B14262" w14:textId="34FBCC64" w:rsidR="0050196F" w:rsidRPr="00DE728B" w:rsidRDefault="0050196F" w:rsidP="00D02912">
            <w:pPr>
              <w:pStyle w:val="ARfintablebodyright"/>
              <w:rPr>
                <w:highlight w:val="cyan"/>
              </w:rPr>
            </w:pPr>
            <w:r w:rsidRPr="00F70B9A">
              <w:t>0</w:t>
            </w:r>
          </w:p>
        </w:tc>
        <w:tc>
          <w:tcPr>
            <w:tcW w:w="1134" w:type="dxa"/>
            <w:tcBorders>
              <w:top w:val="single" w:sz="2" w:space="0" w:color="A6A6A6" w:themeColor="accent5"/>
              <w:bottom w:val="single" w:sz="4" w:space="0" w:color="A6A6A6"/>
            </w:tcBorders>
            <w:hideMark/>
          </w:tcPr>
          <w:p w14:paraId="2B4C635F" w14:textId="48AAD426" w:rsidR="0050196F" w:rsidRPr="00DE728B" w:rsidRDefault="0050196F" w:rsidP="00D02912">
            <w:pPr>
              <w:pStyle w:val="ARfintablebodyright"/>
              <w:rPr>
                <w:highlight w:val="cyan"/>
              </w:rPr>
            </w:pPr>
            <w:r w:rsidRPr="00E92E72">
              <w:t>1</w:t>
            </w:r>
          </w:p>
        </w:tc>
        <w:tc>
          <w:tcPr>
            <w:tcW w:w="1139" w:type="dxa"/>
            <w:tcBorders>
              <w:top w:val="single" w:sz="2" w:space="0" w:color="A6A6A6" w:themeColor="accent5"/>
              <w:bottom w:val="single" w:sz="4" w:space="0" w:color="A6A6A6"/>
            </w:tcBorders>
            <w:hideMark/>
          </w:tcPr>
          <w:p w14:paraId="2C8D0F14" w14:textId="5C99836E" w:rsidR="0050196F" w:rsidRPr="00DE728B" w:rsidRDefault="0050196F" w:rsidP="00D02912">
            <w:pPr>
              <w:pStyle w:val="ARfintablebodyright"/>
              <w:rPr>
                <w:highlight w:val="cyan"/>
              </w:rPr>
            </w:pPr>
            <w:r w:rsidRPr="002F54BE">
              <w:t>(91.4)</w:t>
            </w:r>
          </w:p>
        </w:tc>
        <w:tc>
          <w:tcPr>
            <w:tcW w:w="680" w:type="dxa"/>
            <w:tcBorders>
              <w:top w:val="single" w:sz="2" w:space="0" w:color="A6A6A6" w:themeColor="accent5"/>
              <w:bottom w:val="single" w:sz="4" w:space="0" w:color="A6A6A6"/>
            </w:tcBorders>
          </w:tcPr>
          <w:p w14:paraId="3A882FE5" w14:textId="77777777" w:rsidR="0050196F" w:rsidRPr="0061528B" w:rsidRDefault="0050196F" w:rsidP="00D02912">
            <w:pPr>
              <w:pStyle w:val="ARfintablebodycentre"/>
            </w:pPr>
          </w:p>
        </w:tc>
      </w:tr>
      <w:tr w:rsidR="0050196F" w:rsidRPr="00532DAE" w14:paraId="4E59CD9E" w14:textId="77777777">
        <w:trPr>
          <w:cantSplit w:val="0"/>
        </w:trPr>
        <w:tc>
          <w:tcPr>
            <w:tcW w:w="5954" w:type="dxa"/>
            <w:tcBorders>
              <w:top w:val="single" w:sz="4" w:space="0" w:color="A6A6A6"/>
              <w:bottom w:val="single" w:sz="4" w:space="0" w:color="A6A6A6"/>
            </w:tcBorders>
            <w:hideMark/>
          </w:tcPr>
          <w:p w14:paraId="0B9E8134" w14:textId="77777777" w:rsidR="0050196F" w:rsidRPr="00532DAE" w:rsidRDefault="0050196F" w:rsidP="00D02912">
            <w:pPr>
              <w:pStyle w:val="ARfintablebody"/>
            </w:pPr>
            <w:r w:rsidRPr="00532DAE">
              <w:t>Grants and other transfers</w:t>
            </w:r>
          </w:p>
        </w:tc>
        <w:tc>
          <w:tcPr>
            <w:tcW w:w="1133" w:type="dxa"/>
            <w:tcBorders>
              <w:top w:val="single" w:sz="4" w:space="0" w:color="A6A6A6"/>
              <w:bottom w:val="single" w:sz="4" w:space="0" w:color="A6A6A6"/>
            </w:tcBorders>
            <w:hideMark/>
          </w:tcPr>
          <w:p w14:paraId="5ACF6BD9" w14:textId="17B8BA40" w:rsidR="0050196F" w:rsidRPr="00DE728B" w:rsidRDefault="0050196F" w:rsidP="00D02912">
            <w:pPr>
              <w:pStyle w:val="ARfintablebodyright"/>
              <w:rPr>
                <w:highlight w:val="cyan"/>
              </w:rPr>
            </w:pPr>
            <w:r w:rsidRPr="00F70B9A">
              <w:t>2,869</w:t>
            </w:r>
          </w:p>
        </w:tc>
        <w:tc>
          <w:tcPr>
            <w:tcW w:w="1134" w:type="dxa"/>
            <w:tcBorders>
              <w:top w:val="single" w:sz="4" w:space="0" w:color="A6A6A6"/>
              <w:bottom w:val="single" w:sz="4" w:space="0" w:color="A6A6A6"/>
            </w:tcBorders>
            <w:hideMark/>
          </w:tcPr>
          <w:p w14:paraId="62695A5E" w14:textId="0934D643" w:rsidR="0050196F" w:rsidRPr="00DE728B" w:rsidRDefault="0050196F" w:rsidP="00D02912">
            <w:pPr>
              <w:pStyle w:val="ARfintablebodyright"/>
              <w:rPr>
                <w:highlight w:val="cyan"/>
              </w:rPr>
            </w:pPr>
            <w:r w:rsidRPr="00E92E72">
              <w:t>2,857</w:t>
            </w:r>
          </w:p>
        </w:tc>
        <w:tc>
          <w:tcPr>
            <w:tcW w:w="1139" w:type="dxa"/>
            <w:tcBorders>
              <w:top w:val="single" w:sz="4" w:space="0" w:color="A6A6A6"/>
              <w:bottom w:val="single" w:sz="4" w:space="0" w:color="A6A6A6"/>
            </w:tcBorders>
            <w:hideMark/>
          </w:tcPr>
          <w:p w14:paraId="7EBCAF9F" w14:textId="3A0AC62F" w:rsidR="0050196F" w:rsidRPr="00DE728B" w:rsidRDefault="0050196F" w:rsidP="00D02912">
            <w:pPr>
              <w:pStyle w:val="ARfintablebodyright"/>
              <w:rPr>
                <w:highlight w:val="cyan"/>
              </w:rPr>
            </w:pPr>
            <w:r w:rsidRPr="002F54BE">
              <w:t>0.4</w:t>
            </w:r>
          </w:p>
        </w:tc>
        <w:tc>
          <w:tcPr>
            <w:tcW w:w="680" w:type="dxa"/>
            <w:tcBorders>
              <w:top w:val="single" w:sz="4" w:space="0" w:color="A6A6A6"/>
              <w:bottom w:val="single" w:sz="4" w:space="0" w:color="A6A6A6"/>
            </w:tcBorders>
          </w:tcPr>
          <w:p w14:paraId="27AA610C" w14:textId="77777777" w:rsidR="0050196F" w:rsidRPr="0061528B" w:rsidRDefault="0050196F" w:rsidP="00D02912">
            <w:pPr>
              <w:pStyle w:val="ARfintablebodycentre"/>
            </w:pPr>
          </w:p>
        </w:tc>
      </w:tr>
      <w:tr w:rsidR="0050196F" w:rsidRPr="00532DAE" w14:paraId="115A7BBF" w14:textId="77777777">
        <w:trPr>
          <w:cantSplit w:val="0"/>
        </w:trPr>
        <w:tc>
          <w:tcPr>
            <w:tcW w:w="5954" w:type="dxa"/>
            <w:tcBorders>
              <w:top w:val="single" w:sz="4" w:space="0" w:color="A6A6A6"/>
            </w:tcBorders>
            <w:hideMark/>
          </w:tcPr>
          <w:p w14:paraId="66321271" w14:textId="77777777" w:rsidR="0050196F" w:rsidRPr="00532DAE" w:rsidRDefault="0050196F" w:rsidP="00D02912">
            <w:pPr>
              <w:pStyle w:val="ARfintablebody"/>
            </w:pPr>
            <w:r w:rsidRPr="00532DAE">
              <w:t>Payments into the Consolidated Fund</w:t>
            </w:r>
          </w:p>
        </w:tc>
        <w:tc>
          <w:tcPr>
            <w:tcW w:w="1133" w:type="dxa"/>
            <w:tcBorders>
              <w:top w:val="single" w:sz="4" w:space="0" w:color="A6A6A6"/>
            </w:tcBorders>
            <w:hideMark/>
          </w:tcPr>
          <w:p w14:paraId="29FA7668" w14:textId="24080226" w:rsidR="0050196F" w:rsidRPr="00DE728B" w:rsidRDefault="0050196F" w:rsidP="00D02912">
            <w:pPr>
              <w:pStyle w:val="ARfintablebodyright"/>
              <w:rPr>
                <w:highlight w:val="cyan"/>
              </w:rPr>
            </w:pPr>
            <w:r w:rsidRPr="00F70B9A">
              <w:t>77</w:t>
            </w:r>
          </w:p>
        </w:tc>
        <w:tc>
          <w:tcPr>
            <w:tcW w:w="1134" w:type="dxa"/>
            <w:tcBorders>
              <w:top w:val="single" w:sz="4" w:space="0" w:color="A6A6A6"/>
            </w:tcBorders>
            <w:hideMark/>
          </w:tcPr>
          <w:p w14:paraId="089D4934" w14:textId="623F2882" w:rsidR="0050196F" w:rsidRPr="00DE728B" w:rsidRDefault="0050196F" w:rsidP="00D02912">
            <w:pPr>
              <w:pStyle w:val="ARfintablebodyright"/>
              <w:rPr>
                <w:highlight w:val="cyan"/>
              </w:rPr>
            </w:pPr>
            <w:r w:rsidRPr="00E92E72">
              <w:t>52</w:t>
            </w:r>
          </w:p>
        </w:tc>
        <w:tc>
          <w:tcPr>
            <w:tcW w:w="1139" w:type="dxa"/>
            <w:tcBorders>
              <w:top w:val="single" w:sz="4" w:space="0" w:color="A6A6A6"/>
            </w:tcBorders>
            <w:hideMark/>
          </w:tcPr>
          <w:p w14:paraId="150E0611" w14:textId="638CAD2B" w:rsidR="0050196F" w:rsidRPr="00DE728B" w:rsidRDefault="0050196F" w:rsidP="00D02912">
            <w:pPr>
              <w:pStyle w:val="ARfintablebodyright"/>
              <w:rPr>
                <w:highlight w:val="cyan"/>
              </w:rPr>
            </w:pPr>
            <w:r w:rsidRPr="002F54BE">
              <w:t>48.3</w:t>
            </w:r>
          </w:p>
        </w:tc>
        <w:tc>
          <w:tcPr>
            <w:tcW w:w="680" w:type="dxa"/>
            <w:tcBorders>
              <w:top w:val="single" w:sz="4" w:space="0" w:color="A6A6A6"/>
            </w:tcBorders>
          </w:tcPr>
          <w:p w14:paraId="560B7A2A" w14:textId="77777777" w:rsidR="0050196F" w:rsidRPr="0061528B" w:rsidRDefault="0050196F" w:rsidP="00D02912">
            <w:pPr>
              <w:pStyle w:val="ARfintablebodycentre"/>
            </w:pPr>
            <w:r w:rsidRPr="0061528B">
              <w:t>(b)</w:t>
            </w:r>
          </w:p>
        </w:tc>
      </w:tr>
      <w:tr w:rsidR="0050196F" w:rsidRPr="00532DAE" w14:paraId="79736321" w14:textId="77777777">
        <w:trPr>
          <w:cantSplit w:val="0"/>
        </w:trPr>
        <w:tc>
          <w:tcPr>
            <w:tcW w:w="5954" w:type="dxa"/>
            <w:hideMark/>
          </w:tcPr>
          <w:p w14:paraId="574A03BC" w14:textId="77777777" w:rsidR="0050196F" w:rsidRPr="00532DAE" w:rsidRDefault="0050196F" w:rsidP="00D02912">
            <w:pPr>
              <w:pStyle w:val="ARfintablebodybold"/>
            </w:pPr>
            <w:r w:rsidRPr="00532DAE">
              <w:t>Total administered expenses</w:t>
            </w:r>
          </w:p>
        </w:tc>
        <w:tc>
          <w:tcPr>
            <w:tcW w:w="1133" w:type="dxa"/>
            <w:hideMark/>
          </w:tcPr>
          <w:p w14:paraId="4D7E29B9" w14:textId="46E1BFE7" w:rsidR="0050196F" w:rsidRPr="00DE728B" w:rsidRDefault="0050196F" w:rsidP="00D02912">
            <w:pPr>
              <w:pStyle w:val="ARfintablebodyrightbold"/>
              <w:rPr>
                <w:highlight w:val="cyan"/>
              </w:rPr>
            </w:pPr>
            <w:r w:rsidRPr="00F70B9A">
              <w:t>2,946</w:t>
            </w:r>
          </w:p>
        </w:tc>
        <w:tc>
          <w:tcPr>
            <w:tcW w:w="1134" w:type="dxa"/>
            <w:hideMark/>
          </w:tcPr>
          <w:p w14:paraId="7C1383A8" w14:textId="5AB8861C" w:rsidR="0050196F" w:rsidRPr="00DE728B" w:rsidRDefault="0050196F" w:rsidP="00D02912">
            <w:pPr>
              <w:pStyle w:val="ARfintablebodyrightbold"/>
              <w:rPr>
                <w:highlight w:val="cyan"/>
              </w:rPr>
            </w:pPr>
            <w:r w:rsidRPr="00E92E72">
              <w:t>2,910</w:t>
            </w:r>
          </w:p>
        </w:tc>
        <w:tc>
          <w:tcPr>
            <w:tcW w:w="1139" w:type="dxa"/>
            <w:hideMark/>
          </w:tcPr>
          <w:p w14:paraId="13AEC1FD" w14:textId="6BACEA88" w:rsidR="0050196F" w:rsidRPr="00DE728B" w:rsidRDefault="0050196F" w:rsidP="00D02912">
            <w:pPr>
              <w:pStyle w:val="ARfintablebodyrightbold"/>
              <w:rPr>
                <w:highlight w:val="cyan"/>
              </w:rPr>
            </w:pPr>
            <w:r w:rsidRPr="002F54BE">
              <w:t>1.3</w:t>
            </w:r>
          </w:p>
        </w:tc>
        <w:tc>
          <w:tcPr>
            <w:tcW w:w="680" w:type="dxa"/>
          </w:tcPr>
          <w:p w14:paraId="3254C76D" w14:textId="77777777" w:rsidR="0050196F" w:rsidRPr="00DE728B" w:rsidRDefault="0050196F" w:rsidP="00D02912">
            <w:pPr>
              <w:pStyle w:val="ARfintablebodycentre"/>
              <w:rPr>
                <w:highlight w:val="cyan"/>
              </w:rPr>
            </w:pPr>
          </w:p>
        </w:tc>
      </w:tr>
      <w:tr w:rsidR="0050196F" w:rsidRPr="00532DAE" w14:paraId="38306484" w14:textId="77777777" w:rsidTr="00F32A39">
        <w:trPr>
          <w:cantSplit w:val="0"/>
        </w:trPr>
        <w:tc>
          <w:tcPr>
            <w:tcW w:w="5954" w:type="dxa"/>
            <w:tcBorders>
              <w:bottom w:val="single" w:sz="4" w:space="0" w:color="auto"/>
            </w:tcBorders>
            <w:hideMark/>
          </w:tcPr>
          <w:p w14:paraId="5AAEF494" w14:textId="77777777" w:rsidR="0050196F" w:rsidRPr="00532DAE" w:rsidRDefault="0050196F" w:rsidP="00D02912">
            <w:pPr>
              <w:pStyle w:val="ARfintablebodybold"/>
            </w:pPr>
            <w:r w:rsidRPr="00532DAE">
              <w:t>Income less expenses</w:t>
            </w:r>
          </w:p>
        </w:tc>
        <w:tc>
          <w:tcPr>
            <w:tcW w:w="1133" w:type="dxa"/>
            <w:tcBorders>
              <w:bottom w:val="single" w:sz="4" w:space="0" w:color="auto"/>
            </w:tcBorders>
            <w:hideMark/>
          </w:tcPr>
          <w:p w14:paraId="04E9BAE5" w14:textId="2FE05B15" w:rsidR="0050196F" w:rsidRPr="00DE728B" w:rsidRDefault="0050196F" w:rsidP="00D02912">
            <w:pPr>
              <w:pStyle w:val="ARfintablebodyrightbold"/>
              <w:rPr>
                <w:highlight w:val="cyan"/>
              </w:rPr>
            </w:pPr>
            <w:r w:rsidRPr="00F70B9A">
              <w:t>2</w:t>
            </w:r>
          </w:p>
        </w:tc>
        <w:tc>
          <w:tcPr>
            <w:tcW w:w="1134" w:type="dxa"/>
            <w:tcBorders>
              <w:bottom w:val="single" w:sz="4" w:space="0" w:color="auto"/>
            </w:tcBorders>
            <w:hideMark/>
          </w:tcPr>
          <w:p w14:paraId="15B3909A" w14:textId="4D12F837" w:rsidR="0050196F" w:rsidRPr="00DE728B" w:rsidRDefault="0050196F" w:rsidP="00D02912">
            <w:pPr>
              <w:pStyle w:val="ARfintablebodyrightbold"/>
              <w:rPr>
                <w:highlight w:val="cyan"/>
              </w:rPr>
            </w:pPr>
            <w:r w:rsidRPr="00E92E72">
              <w:t>(6)</w:t>
            </w:r>
          </w:p>
        </w:tc>
        <w:tc>
          <w:tcPr>
            <w:tcW w:w="1139" w:type="dxa"/>
            <w:tcBorders>
              <w:bottom w:val="single" w:sz="4" w:space="0" w:color="auto"/>
            </w:tcBorders>
            <w:hideMark/>
          </w:tcPr>
          <w:p w14:paraId="24BF1A45" w14:textId="6BC929AC" w:rsidR="0050196F" w:rsidRPr="00DE728B" w:rsidRDefault="0050196F" w:rsidP="00D02912">
            <w:pPr>
              <w:pStyle w:val="ARfintablebodyrightbold"/>
              <w:rPr>
                <w:highlight w:val="cyan"/>
              </w:rPr>
            </w:pPr>
            <w:r w:rsidRPr="002F54BE">
              <w:t>(128.2)</w:t>
            </w:r>
          </w:p>
        </w:tc>
        <w:tc>
          <w:tcPr>
            <w:tcW w:w="680" w:type="dxa"/>
            <w:tcBorders>
              <w:bottom w:val="single" w:sz="4" w:space="0" w:color="auto"/>
            </w:tcBorders>
          </w:tcPr>
          <w:p w14:paraId="525F96FE" w14:textId="77777777" w:rsidR="0050196F" w:rsidRPr="00DE728B" w:rsidRDefault="0050196F" w:rsidP="00D02912">
            <w:pPr>
              <w:pStyle w:val="ARfintablebodycentre"/>
              <w:rPr>
                <w:highlight w:val="cyan"/>
              </w:rPr>
            </w:pPr>
          </w:p>
        </w:tc>
      </w:tr>
      <w:tr w:rsidR="0050196F" w:rsidRPr="00532DAE" w14:paraId="4222D9E4" w14:textId="77777777" w:rsidTr="00F32A39">
        <w:trPr>
          <w:cantSplit w:val="0"/>
        </w:trPr>
        <w:tc>
          <w:tcPr>
            <w:tcW w:w="10040" w:type="dxa"/>
            <w:gridSpan w:val="5"/>
            <w:tcBorders>
              <w:top w:val="single" w:sz="4" w:space="0" w:color="auto"/>
              <w:bottom w:val="single" w:sz="2" w:space="0" w:color="A6A6A6" w:themeColor="accent5"/>
            </w:tcBorders>
          </w:tcPr>
          <w:p w14:paraId="338CF86A" w14:textId="77777777" w:rsidR="0050196F" w:rsidRPr="00DE728B" w:rsidRDefault="0050196F" w:rsidP="00D02912">
            <w:pPr>
              <w:pStyle w:val="ARfintablebodybold"/>
              <w:rPr>
                <w:highlight w:val="cyan"/>
              </w:rPr>
            </w:pPr>
            <w:r w:rsidRPr="0061528B">
              <w:t>Other economic flows included in net result</w:t>
            </w:r>
          </w:p>
        </w:tc>
      </w:tr>
      <w:tr w:rsidR="0050196F" w:rsidRPr="00532DAE" w14:paraId="4001803D" w14:textId="77777777" w:rsidTr="00F32A39">
        <w:trPr>
          <w:cantSplit w:val="0"/>
        </w:trPr>
        <w:tc>
          <w:tcPr>
            <w:tcW w:w="5954" w:type="dxa"/>
            <w:tcBorders>
              <w:top w:val="single" w:sz="2" w:space="0" w:color="A6A6A6" w:themeColor="accent5"/>
              <w:bottom w:val="single" w:sz="4" w:space="0" w:color="A6A6A6"/>
            </w:tcBorders>
            <w:hideMark/>
          </w:tcPr>
          <w:p w14:paraId="4E0DE26F" w14:textId="77777777" w:rsidR="0050196F" w:rsidRPr="00532DAE" w:rsidRDefault="0050196F" w:rsidP="00D02912">
            <w:pPr>
              <w:pStyle w:val="ARfintablebody"/>
            </w:pPr>
            <w:r w:rsidRPr="00532DAE">
              <w:t>Net gain/(loss) on non-financial assets</w:t>
            </w:r>
          </w:p>
        </w:tc>
        <w:tc>
          <w:tcPr>
            <w:tcW w:w="1133" w:type="dxa"/>
            <w:tcBorders>
              <w:top w:val="single" w:sz="2" w:space="0" w:color="A6A6A6" w:themeColor="accent5"/>
              <w:bottom w:val="single" w:sz="4" w:space="0" w:color="A6A6A6"/>
            </w:tcBorders>
            <w:hideMark/>
          </w:tcPr>
          <w:p w14:paraId="05B497AA" w14:textId="26DC2776" w:rsidR="0050196F" w:rsidRPr="00DE728B" w:rsidRDefault="0050196F" w:rsidP="00D02912">
            <w:pPr>
              <w:pStyle w:val="ARfintablebodyright"/>
              <w:rPr>
                <w:highlight w:val="cyan"/>
              </w:rPr>
            </w:pPr>
            <w:r w:rsidRPr="004A5C40">
              <w:t>(0)</w:t>
            </w:r>
          </w:p>
        </w:tc>
        <w:tc>
          <w:tcPr>
            <w:tcW w:w="1134" w:type="dxa"/>
            <w:tcBorders>
              <w:top w:val="single" w:sz="2" w:space="0" w:color="A6A6A6" w:themeColor="accent5"/>
              <w:bottom w:val="single" w:sz="4" w:space="0" w:color="A6A6A6"/>
            </w:tcBorders>
            <w:hideMark/>
          </w:tcPr>
          <w:p w14:paraId="7C2B1857" w14:textId="1CA2D727" w:rsidR="0050196F" w:rsidRPr="00DE728B" w:rsidRDefault="0050196F" w:rsidP="00D02912">
            <w:pPr>
              <w:pStyle w:val="ARfintablebodyright"/>
              <w:rPr>
                <w:highlight w:val="cyan"/>
              </w:rPr>
            </w:pPr>
            <w:r w:rsidRPr="00E22552">
              <w:t>6</w:t>
            </w:r>
          </w:p>
        </w:tc>
        <w:tc>
          <w:tcPr>
            <w:tcW w:w="1139" w:type="dxa"/>
            <w:tcBorders>
              <w:top w:val="single" w:sz="2" w:space="0" w:color="A6A6A6" w:themeColor="accent5"/>
              <w:bottom w:val="single" w:sz="4" w:space="0" w:color="A6A6A6"/>
            </w:tcBorders>
            <w:hideMark/>
          </w:tcPr>
          <w:p w14:paraId="1C51BBAB" w14:textId="2E24AA04" w:rsidR="0050196F" w:rsidRPr="00DE728B" w:rsidRDefault="0050196F" w:rsidP="00D02912">
            <w:pPr>
              <w:pStyle w:val="ARfintablebodyright"/>
              <w:rPr>
                <w:highlight w:val="cyan"/>
              </w:rPr>
            </w:pPr>
            <w:r w:rsidRPr="00E22552">
              <w:t>(104.1)</w:t>
            </w:r>
          </w:p>
        </w:tc>
        <w:tc>
          <w:tcPr>
            <w:tcW w:w="680" w:type="dxa"/>
            <w:tcBorders>
              <w:top w:val="single" w:sz="2" w:space="0" w:color="A6A6A6" w:themeColor="accent5"/>
              <w:bottom w:val="single" w:sz="4" w:space="0" w:color="A6A6A6"/>
            </w:tcBorders>
          </w:tcPr>
          <w:p w14:paraId="06993E8E" w14:textId="77777777" w:rsidR="0050196F" w:rsidRPr="00DE728B" w:rsidRDefault="0050196F" w:rsidP="00D02912">
            <w:pPr>
              <w:pStyle w:val="ARfintablebodycentre"/>
              <w:rPr>
                <w:highlight w:val="cyan"/>
              </w:rPr>
            </w:pPr>
          </w:p>
        </w:tc>
      </w:tr>
      <w:tr w:rsidR="0050196F" w:rsidRPr="00532DAE" w14:paraId="2841611C" w14:textId="77777777">
        <w:trPr>
          <w:cantSplit w:val="0"/>
        </w:trPr>
        <w:tc>
          <w:tcPr>
            <w:tcW w:w="5954" w:type="dxa"/>
            <w:hideMark/>
          </w:tcPr>
          <w:p w14:paraId="14A175E9" w14:textId="77777777" w:rsidR="0050196F" w:rsidRPr="00532DAE" w:rsidRDefault="0050196F" w:rsidP="00D02912">
            <w:pPr>
              <w:pStyle w:val="ARfintablebodybold"/>
            </w:pPr>
            <w:r w:rsidRPr="00532DAE">
              <w:t>Total other economic flows included in net result</w:t>
            </w:r>
          </w:p>
        </w:tc>
        <w:tc>
          <w:tcPr>
            <w:tcW w:w="1133" w:type="dxa"/>
            <w:hideMark/>
          </w:tcPr>
          <w:p w14:paraId="113525A4" w14:textId="1F50A791" w:rsidR="0050196F" w:rsidRPr="00DE728B" w:rsidRDefault="0050196F" w:rsidP="00D02912">
            <w:pPr>
              <w:pStyle w:val="ARfintablebodyrightbold"/>
              <w:rPr>
                <w:highlight w:val="cyan"/>
              </w:rPr>
            </w:pPr>
            <w:r w:rsidRPr="004A5C40">
              <w:t>(0)</w:t>
            </w:r>
          </w:p>
        </w:tc>
        <w:tc>
          <w:tcPr>
            <w:tcW w:w="1134" w:type="dxa"/>
            <w:hideMark/>
          </w:tcPr>
          <w:p w14:paraId="3EF1CEAF" w14:textId="521B8A13" w:rsidR="0050196F" w:rsidRPr="00DE728B" w:rsidRDefault="0050196F" w:rsidP="00D02912">
            <w:pPr>
              <w:pStyle w:val="ARfintablebodyrightbold"/>
              <w:rPr>
                <w:highlight w:val="cyan"/>
              </w:rPr>
            </w:pPr>
            <w:r w:rsidRPr="00E22552">
              <w:t>6</w:t>
            </w:r>
          </w:p>
        </w:tc>
        <w:tc>
          <w:tcPr>
            <w:tcW w:w="1139" w:type="dxa"/>
            <w:hideMark/>
          </w:tcPr>
          <w:p w14:paraId="5D92DBB3" w14:textId="058CDB0A" w:rsidR="0050196F" w:rsidRPr="00DE728B" w:rsidRDefault="0050196F" w:rsidP="00D02912">
            <w:pPr>
              <w:pStyle w:val="ARfintablebodyrightbold"/>
              <w:rPr>
                <w:highlight w:val="cyan"/>
              </w:rPr>
            </w:pPr>
            <w:r w:rsidRPr="00E22552">
              <w:t>(104.1)</w:t>
            </w:r>
          </w:p>
        </w:tc>
        <w:tc>
          <w:tcPr>
            <w:tcW w:w="680" w:type="dxa"/>
          </w:tcPr>
          <w:p w14:paraId="660350D8" w14:textId="77777777" w:rsidR="0050196F" w:rsidRPr="00DE728B" w:rsidRDefault="0050196F" w:rsidP="00D02912">
            <w:pPr>
              <w:pStyle w:val="ARfintablebodycentre"/>
              <w:rPr>
                <w:highlight w:val="cyan"/>
              </w:rPr>
            </w:pPr>
          </w:p>
        </w:tc>
      </w:tr>
      <w:tr w:rsidR="0050196F" w:rsidRPr="00532DAE" w14:paraId="4DD2BB29" w14:textId="77777777">
        <w:trPr>
          <w:cantSplit w:val="0"/>
        </w:trPr>
        <w:tc>
          <w:tcPr>
            <w:tcW w:w="5954" w:type="dxa"/>
            <w:tcBorders>
              <w:bottom w:val="single" w:sz="4" w:space="0" w:color="auto"/>
            </w:tcBorders>
            <w:hideMark/>
          </w:tcPr>
          <w:p w14:paraId="6F374590" w14:textId="77777777" w:rsidR="0050196F" w:rsidRPr="00532DAE" w:rsidRDefault="0050196F" w:rsidP="00D02912">
            <w:pPr>
              <w:pStyle w:val="ARfintablebodybold"/>
            </w:pPr>
            <w:r w:rsidRPr="00532DAE">
              <w:t>Net result</w:t>
            </w:r>
          </w:p>
        </w:tc>
        <w:tc>
          <w:tcPr>
            <w:tcW w:w="1133" w:type="dxa"/>
            <w:tcBorders>
              <w:bottom w:val="single" w:sz="4" w:space="0" w:color="auto"/>
            </w:tcBorders>
            <w:hideMark/>
          </w:tcPr>
          <w:p w14:paraId="36748FB6" w14:textId="49549ADE" w:rsidR="0050196F" w:rsidRPr="00DE728B" w:rsidRDefault="0050196F" w:rsidP="00D02912">
            <w:pPr>
              <w:pStyle w:val="ARfintablebodyrightbold"/>
              <w:rPr>
                <w:highlight w:val="cyan"/>
              </w:rPr>
            </w:pPr>
            <w:r w:rsidRPr="00ED75B0">
              <w:t>2</w:t>
            </w:r>
          </w:p>
        </w:tc>
        <w:tc>
          <w:tcPr>
            <w:tcW w:w="1134" w:type="dxa"/>
            <w:tcBorders>
              <w:bottom w:val="single" w:sz="4" w:space="0" w:color="auto"/>
            </w:tcBorders>
            <w:hideMark/>
          </w:tcPr>
          <w:p w14:paraId="30BA1043" w14:textId="77777777" w:rsidR="0050196F" w:rsidRPr="00A5074A" w:rsidRDefault="0050196F" w:rsidP="00D02912">
            <w:pPr>
              <w:pStyle w:val="ARfintablebodyrightbold"/>
            </w:pPr>
            <w:r w:rsidRPr="00A5074A">
              <w:t>(0)</w:t>
            </w:r>
          </w:p>
        </w:tc>
        <w:tc>
          <w:tcPr>
            <w:tcW w:w="1139" w:type="dxa"/>
            <w:tcBorders>
              <w:bottom w:val="single" w:sz="4" w:space="0" w:color="auto"/>
            </w:tcBorders>
            <w:hideMark/>
          </w:tcPr>
          <w:p w14:paraId="6D0E9754" w14:textId="77777777" w:rsidR="0050196F" w:rsidRPr="00A5074A" w:rsidRDefault="0050196F" w:rsidP="00D02912">
            <w:pPr>
              <w:pStyle w:val="ARfintablebodyrightbold"/>
            </w:pPr>
            <w:r w:rsidRPr="00A5074A">
              <w:t>–</w:t>
            </w:r>
          </w:p>
        </w:tc>
        <w:tc>
          <w:tcPr>
            <w:tcW w:w="680" w:type="dxa"/>
            <w:tcBorders>
              <w:bottom w:val="single" w:sz="4" w:space="0" w:color="auto"/>
            </w:tcBorders>
          </w:tcPr>
          <w:p w14:paraId="63D06C2C" w14:textId="77777777" w:rsidR="0050196F" w:rsidRPr="00DE728B" w:rsidRDefault="0050196F" w:rsidP="00D02912">
            <w:pPr>
              <w:pStyle w:val="ARfintablebodycentre"/>
              <w:rPr>
                <w:highlight w:val="cyan"/>
              </w:rPr>
            </w:pPr>
          </w:p>
        </w:tc>
      </w:tr>
      <w:tr w:rsidR="0050196F" w:rsidRPr="00532DAE" w14:paraId="563AE146" w14:textId="77777777" w:rsidTr="00F32A39">
        <w:trPr>
          <w:cantSplit w:val="0"/>
        </w:trPr>
        <w:tc>
          <w:tcPr>
            <w:tcW w:w="5954" w:type="dxa"/>
            <w:tcBorders>
              <w:bottom w:val="single" w:sz="4" w:space="0" w:color="auto"/>
            </w:tcBorders>
            <w:hideMark/>
          </w:tcPr>
          <w:p w14:paraId="2862F24E" w14:textId="77777777" w:rsidR="0050196F" w:rsidRPr="00532DAE" w:rsidRDefault="0050196F" w:rsidP="00D02912">
            <w:pPr>
              <w:pStyle w:val="ARfintablebodybold"/>
            </w:pPr>
            <w:r w:rsidRPr="00532DAE">
              <w:t>Comprehensive result</w:t>
            </w:r>
          </w:p>
        </w:tc>
        <w:tc>
          <w:tcPr>
            <w:tcW w:w="1133" w:type="dxa"/>
            <w:tcBorders>
              <w:bottom w:val="single" w:sz="4" w:space="0" w:color="auto"/>
            </w:tcBorders>
            <w:hideMark/>
          </w:tcPr>
          <w:p w14:paraId="76F66F14" w14:textId="456D1AD0" w:rsidR="0050196F" w:rsidRPr="00DE728B" w:rsidRDefault="0050196F" w:rsidP="00D02912">
            <w:pPr>
              <w:pStyle w:val="ARfintablebodyrightbold"/>
              <w:rPr>
                <w:highlight w:val="cyan"/>
              </w:rPr>
            </w:pPr>
            <w:r w:rsidRPr="00ED75B0">
              <w:t>2</w:t>
            </w:r>
          </w:p>
        </w:tc>
        <w:tc>
          <w:tcPr>
            <w:tcW w:w="1134" w:type="dxa"/>
            <w:tcBorders>
              <w:bottom w:val="single" w:sz="4" w:space="0" w:color="auto"/>
            </w:tcBorders>
            <w:hideMark/>
          </w:tcPr>
          <w:p w14:paraId="67103CD0" w14:textId="77777777" w:rsidR="0050196F" w:rsidRPr="00A5074A" w:rsidRDefault="0050196F" w:rsidP="00D02912">
            <w:pPr>
              <w:pStyle w:val="ARfintablebodyrightbold"/>
            </w:pPr>
            <w:r w:rsidRPr="00A5074A">
              <w:t>(0)</w:t>
            </w:r>
          </w:p>
        </w:tc>
        <w:tc>
          <w:tcPr>
            <w:tcW w:w="1139" w:type="dxa"/>
            <w:tcBorders>
              <w:bottom w:val="single" w:sz="4" w:space="0" w:color="auto"/>
            </w:tcBorders>
            <w:hideMark/>
          </w:tcPr>
          <w:p w14:paraId="74F9DCCA" w14:textId="77777777" w:rsidR="0050196F" w:rsidRPr="00A5074A" w:rsidRDefault="0050196F" w:rsidP="00D02912">
            <w:pPr>
              <w:pStyle w:val="ARfintablebodyrightbold"/>
            </w:pPr>
            <w:r w:rsidRPr="00A5074A">
              <w:t>–</w:t>
            </w:r>
          </w:p>
        </w:tc>
        <w:tc>
          <w:tcPr>
            <w:tcW w:w="680" w:type="dxa"/>
            <w:tcBorders>
              <w:bottom w:val="single" w:sz="4" w:space="0" w:color="auto"/>
            </w:tcBorders>
          </w:tcPr>
          <w:p w14:paraId="30981A6F" w14:textId="77777777" w:rsidR="0050196F" w:rsidRPr="00DE728B" w:rsidRDefault="0050196F" w:rsidP="00D02912">
            <w:pPr>
              <w:pStyle w:val="ARfintablebodycentre"/>
              <w:rPr>
                <w:highlight w:val="cyan"/>
              </w:rPr>
            </w:pPr>
          </w:p>
        </w:tc>
      </w:tr>
      <w:tr w:rsidR="0050196F" w:rsidRPr="00532DAE" w14:paraId="77F568A7" w14:textId="77777777" w:rsidTr="00F32A39">
        <w:trPr>
          <w:cantSplit w:val="0"/>
        </w:trPr>
        <w:tc>
          <w:tcPr>
            <w:tcW w:w="10040" w:type="dxa"/>
            <w:gridSpan w:val="5"/>
            <w:tcBorders>
              <w:top w:val="single" w:sz="4" w:space="0" w:color="auto"/>
              <w:bottom w:val="single" w:sz="2" w:space="0" w:color="A6A6A6" w:themeColor="accent5"/>
            </w:tcBorders>
          </w:tcPr>
          <w:p w14:paraId="2BE1292D" w14:textId="77777777" w:rsidR="0050196F" w:rsidRPr="00DE728B" w:rsidRDefault="0050196F" w:rsidP="00D02912">
            <w:pPr>
              <w:pStyle w:val="ARfintablebodybold"/>
              <w:rPr>
                <w:highlight w:val="cyan"/>
              </w:rPr>
            </w:pPr>
            <w:r w:rsidRPr="00A560C3">
              <w:t>Administered assets</w:t>
            </w:r>
          </w:p>
        </w:tc>
      </w:tr>
      <w:tr w:rsidR="0050196F" w:rsidRPr="00532DAE" w14:paraId="663D979C" w14:textId="77777777" w:rsidTr="00F32A39">
        <w:trPr>
          <w:cantSplit w:val="0"/>
        </w:trPr>
        <w:tc>
          <w:tcPr>
            <w:tcW w:w="5954" w:type="dxa"/>
            <w:tcBorders>
              <w:top w:val="single" w:sz="2" w:space="0" w:color="A6A6A6" w:themeColor="accent5"/>
              <w:bottom w:val="single" w:sz="4" w:space="0" w:color="A6A6A6"/>
            </w:tcBorders>
          </w:tcPr>
          <w:p w14:paraId="1CBCCF8C" w14:textId="77777777" w:rsidR="0050196F" w:rsidRPr="00532DAE" w:rsidRDefault="0050196F" w:rsidP="00D02912">
            <w:pPr>
              <w:pStyle w:val="ARfintablebody"/>
            </w:pPr>
            <w:r w:rsidRPr="00532DAE">
              <w:t>Receivables</w:t>
            </w:r>
          </w:p>
        </w:tc>
        <w:tc>
          <w:tcPr>
            <w:tcW w:w="1133" w:type="dxa"/>
            <w:tcBorders>
              <w:top w:val="single" w:sz="2" w:space="0" w:color="A6A6A6" w:themeColor="accent5"/>
              <w:bottom w:val="single" w:sz="4" w:space="0" w:color="A6A6A6"/>
            </w:tcBorders>
          </w:tcPr>
          <w:p w14:paraId="1272F186" w14:textId="101ED282" w:rsidR="0050196F" w:rsidRPr="00DE728B" w:rsidRDefault="0050196F" w:rsidP="00D02912">
            <w:pPr>
              <w:pStyle w:val="ARfintablebodyright"/>
              <w:rPr>
                <w:highlight w:val="cyan"/>
              </w:rPr>
            </w:pPr>
            <w:r w:rsidRPr="00E81806">
              <w:t>4</w:t>
            </w:r>
          </w:p>
        </w:tc>
        <w:tc>
          <w:tcPr>
            <w:tcW w:w="1134" w:type="dxa"/>
            <w:tcBorders>
              <w:top w:val="single" w:sz="2" w:space="0" w:color="A6A6A6" w:themeColor="accent5"/>
              <w:bottom w:val="single" w:sz="4" w:space="0" w:color="A6A6A6"/>
            </w:tcBorders>
          </w:tcPr>
          <w:p w14:paraId="5EA855FA" w14:textId="54B29A02" w:rsidR="0050196F" w:rsidRPr="00DE728B" w:rsidRDefault="0050196F" w:rsidP="00D02912">
            <w:pPr>
              <w:pStyle w:val="ARfintablebodyright"/>
              <w:rPr>
                <w:highlight w:val="cyan"/>
              </w:rPr>
            </w:pPr>
            <w:r w:rsidRPr="005742EF">
              <w:t>2</w:t>
            </w:r>
          </w:p>
        </w:tc>
        <w:tc>
          <w:tcPr>
            <w:tcW w:w="1139" w:type="dxa"/>
            <w:tcBorders>
              <w:top w:val="single" w:sz="2" w:space="0" w:color="A6A6A6" w:themeColor="accent5"/>
              <w:bottom w:val="single" w:sz="4" w:space="0" w:color="A6A6A6"/>
            </w:tcBorders>
          </w:tcPr>
          <w:p w14:paraId="7AF74FC7" w14:textId="272C2550" w:rsidR="0050196F" w:rsidRPr="00DE728B" w:rsidRDefault="0050196F" w:rsidP="00D02912">
            <w:pPr>
              <w:pStyle w:val="ARfintablebodyright"/>
              <w:rPr>
                <w:highlight w:val="cyan"/>
              </w:rPr>
            </w:pPr>
            <w:r w:rsidRPr="005742EF">
              <w:t>110.7</w:t>
            </w:r>
          </w:p>
        </w:tc>
        <w:tc>
          <w:tcPr>
            <w:tcW w:w="680" w:type="dxa"/>
            <w:tcBorders>
              <w:top w:val="single" w:sz="2" w:space="0" w:color="A6A6A6" w:themeColor="accent5"/>
              <w:bottom w:val="single" w:sz="4" w:space="0" w:color="A6A6A6"/>
            </w:tcBorders>
          </w:tcPr>
          <w:p w14:paraId="7CBC7E13" w14:textId="77777777" w:rsidR="0050196F" w:rsidRPr="00DE728B" w:rsidRDefault="0050196F" w:rsidP="00D02912">
            <w:pPr>
              <w:pStyle w:val="ARfintablebodycentre"/>
              <w:rPr>
                <w:highlight w:val="cyan"/>
              </w:rPr>
            </w:pPr>
          </w:p>
        </w:tc>
      </w:tr>
      <w:tr w:rsidR="0050196F" w:rsidRPr="00532DAE" w14:paraId="1A6FB558" w14:textId="77777777">
        <w:trPr>
          <w:cantSplit w:val="0"/>
        </w:trPr>
        <w:tc>
          <w:tcPr>
            <w:tcW w:w="5954" w:type="dxa"/>
            <w:tcBorders>
              <w:top w:val="single" w:sz="4" w:space="0" w:color="A6A6A6"/>
            </w:tcBorders>
          </w:tcPr>
          <w:p w14:paraId="63EE2D7C" w14:textId="77777777" w:rsidR="0050196F" w:rsidRPr="00532DAE" w:rsidRDefault="0050196F" w:rsidP="00D02912">
            <w:pPr>
              <w:pStyle w:val="ARfintablebody"/>
            </w:pPr>
            <w:r w:rsidRPr="00532DAE">
              <w:t>Other financial assets</w:t>
            </w:r>
          </w:p>
        </w:tc>
        <w:tc>
          <w:tcPr>
            <w:tcW w:w="1133" w:type="dxa"/>
            <w:tcBorders>
              <w:top w:val="single" w:sz="4" w:space="0" w:color="A6A6A6"/>
            </w:tcBorders>
          </w:tcPr>
          <w:p w14:paraId="4353EAE1" w14:textId="12642F19" w:rsidR="0050196F" w:rsidRPr="00DE728B" w:rsidRDefault="0050196F" w:rsidP="00D02912">
            <w:pPr>
              <w:pStyle w:val="ARfintablebodyright"/>
              <w:rPr>
                <w:highlight w:val="cyan"/>
              </w:rPr>
            </w:pPr>
            <w:r w:rsidRPr="00E81806">
              <w:t>0</w:t>
            </w:r>
          </w:p>
        </w:tc>
        <w:tc>
          <w:tcPr>
            <w:tcW w:w="1134" w:type="dxa"/>
            <w:tcBorders>
              <w:top w:val="single" w:sz="4" w:space="0" w:color="A6A6A6"/>
            </w:tcBorders>
          </w:tcPr>
          <w:p w14:paraId="056684BF" w14:textId="5CD8E8CA" w:rsidR="0050196F" w:rsidRPr="00DE728B" w:rsidRDefault="0050196F" w:rsidP="00D02912">
            <w:pPr>
              <w:pStyle w:val="ARfintablebodyright"/>
              <w:rPr>
                <w:highlight w:val="cyan"/>
              </w:rPr>
            </w:pPr>
            <w:r w:rsidRPr="005742EF">
              <w:t>0</w:t>
            </w:r>
          </w:p>
        </w:tc>
        <w:tc>
          <w:tcPr>
            <w:tcW w:w="1139" w:type="dxa"/>
            <w:tcBorders>
              <w:top w:val="single" w:sz="4" w:space="0" w:color="A6A6A6"/>
            </w:tcBorders>
          </w:tcPr>
          <w:p w14:paraId="48FF400B" w14:textId="01600DD9" w:rsidR="0050196F" w:rsidRPr="00DE728B" w:rsidRDefault="0050196F" w:rsidP="00D02912">
            <w:pPr>
              <w:pStyle w:val="ARfintablebodyright"/>
              <w:rPr>
                <w:highlight w:val="cyan"/>
              </w:rPr>
            </w:pPr>
            <w:r w:rsidRPr="005742EF">
              <w:t>29.3</w:t>
            </w:r>
          </w:p>
        </w:tc>
        <w:tc>
          <w:tcPr>
            <w:tcW w:w="680" w:type="dxa"/>
            <w:tcBorders>
              <w:top w:val="single" w:sz="4" w:space="0" w:color="A6A6A6"/>
            </w:tcBorders>
          </w:tcPr>
          <w:p w14:paraId="0348C9BB" w14:textId="77777777" w:rsidR="0050196F" w:rsidRPr="00DE728B" w:rsidRDefault="0050196F" w:rsidP="00D02912">
            <w:pPr>
              <w:pStyle w:val="ARfintablebodycentre"/>
              <w:rPr>
                <w:highlight w:val="cyan"/>
              </w:rPr>
            </w:pPr>
          </w:p>
        </w:tc>
      </w:tr>
      <w:tr w:rsidR="0050196F" w:rsidRPr="00532DAE" w14:paraId="6A1543F6" w14:textId="77777777" w:rsidTr="00F32A39">
        <w:trPr>
          <w:cantSplit w:val="0"/>
        </w:trPr>
        <w:tc>
          <w:tcPr>
            <w:tcW w:w="5954" w:type="dxa"/>
            <w:tcBorders>
              <w:bottom w:val="single" w:sz="4" w:space="0" w:color="auto"/>
            </w:tcBorders>
          </w:tcPr>
          <w:p w14:paraId="4A8CC378" w14:textId="77777777" w:rsidR="0050196F" w:rsidRPr="00532DAE" w:rsidRDefault="0050196F" w:rsidP="00D02912">
            <w:pPr>
              <w:pStyle w:val="ARfintablebodybold"/>
            </w:pPr>
            <w:r w:rsidRPr="00532DAE">
              <w:t>Total administered assets</w:t>
            </w:r>
          </w:p>
        </w:tc>
        <w:tc>
          <w:tcPr>
            <w:tcW w:w="1133" w:type="dxa"/>
            <w:tcBorders>
              <w:bottom w:val="single" w:sz="4" w:space="0" w:color="auto"/>
            </w:tcBorders>
          </w:tcPr>
          <w:p w14:paraId="15339C8D" w14:textId="74F33BC6" w:rsidR="0050196F" w:rsidRPr="00DE728B" w:rsidRDefault="0050196F" w:rsidP="00D02912">
            <w:pPr>
              <w:pStyle w:val="ARfintablebodyrightbold"/>
              <w:rPr>
                <w:highlight w:val="cyan"/>
              </w:rPr>
            </w:pPr>
            <w:r w:rsidRPr="00E81806">
              <w:t>4</w:t>
            </w:r>
          </w:p>
        </w:tc>
        <w:tc>
          <w:tcPr>
            <w:tcW w:w="1134" w:type="dxa"/>
            <w:tcBorders>
              <w:bottom w:val="single" w:sz="4" w:space="0" w:color="auto"/>
            </w:tcBorders>
          </w:tcPr>
          <w:p w14:paraId="78098B69" w14:textId="35A646EF" w:rsidR="0050196F" w:rsidRPr="00DE728B" w:rsidRDefault="0050196F" w:rsidP="00D02912">
            <w:pPr>
              <w:pStyle w:val="ARfintablebodyrightbold"/>
              <w:rPr>
                <w:highlight w:val="cyan"/>
              </w:rPr>
            </w:pPr>
            <w:r w:rsidRPr="005742EF">
              <w:t>2</w:t>
            </w:r>
          </w:p>
        </w:tc>
        <w:tc>
          <w:tcPr>
            <w:tcW w:w="1139" w:type="dxa"/>
            <w:tcBorders>
              <w:bottom w:val="single" w:sz="4" w:space="0" w:color="auto"/>
            </w:tcBorders>
          </w:tcPr>
          <w:p w14:paraId="21363235" w14:textId="51001B48" w:rsidR="0050196F" w:rsidRPr="00DE728B" w:rsidRDefault="0050196F" w:rsidP="00D02912">
            <w:pPr>
              <w:pStyle w:val="ARfintablebodyrightbold"/>
              <w:rPr>
                <w:highlight w:val="cyan"/>
              </w:rPr>
            </w:pPr>
            <w:r w:rsidRPr="005742EF">
              <w:t>110.7</w:t>
            </w:r>
          </w:p>
        </w:tc>
        <w:tc>
          <w:tcPr>
            <w:tcW w:w="680" w:type="dxa"/>
            <w:tcBorders>
              <w:bottom w:val="single" w:sz="4" w:space="0" w:color="auto"/>
            </w:tcBorders>
          </w:tcPr>
          <w:p w14:paraId="3730E6DB" w14:textId="77777777" w:rsidR="0050196F" w:rsidRPr="00DE728B" w:rsidRDefault="0050196F" w:rsidP="00D02912">
            <w:pPr>
              <w:pStyle w:val="ARfintablebodycentre"/>
              <w:rPr>
                <w:highlight w:val="cyan"/>
              </w:rPr>
            </w:pPr>
          </w:p>
        </w:tc>
      </w:tr>
      <w:tr w:rsidR="0050196F" w:rsidRPr="00532DAE" w14:paraId="2AF458FD" w14:textId="77777777" w:rsidTr="00DE6387">
        <w:trPr>
          <w:cantSplit w:val="0"/>
        </w:trPr>
        <w:tc>
          <w:tcPr>
            <w:tcW w:w="5954" w:type="dxa"/>
            <w:tcBorders>
              <w:top w:val="single" w:sz="4" w:space="0" w:color="auto"/>
              <w:bottom w:val="single" w:sz="2" w:space="0" w:color="A6A6A6" w:themeColor="accent5"/>
            </w:tcBorders>
          </w:tcPr>
          <w:p w14:paraId="4CDD1D7E" w14:textId="77777777" w:rsidR="0050196F" w:rsidRPr="00532DAE" w:rsidRDefault="0050196F" w:rsidP="00D02912">
            <w:pPr>
              <w:pStyle w:val="ARfintablebodybold"/>
            </w:pPr>
            <w:r w:rsidRPr="00A560C3">
              <w:t>Administered liabilities</w:t>
            </w:r>
          </w:p>
        </w:tc>
        <w:tc>
          <w:tcPr>
            <w:tcW w:w="1133" w:type="dxa"/>
            <w:tcBorders>
              <w:top w:val="single" w:sz="4" w:space="0" w:color="auto"/>
              <w:bottom w:val="single" w:sz="4" w:space="0" w:color="A6A6A6" w:themeColor="accent5"/>
            </w:tcBorders>
          </w:tcPr>
          <w:p w14:paraId="59C13E8B" w14:textId="77777777" w:rsidR="0050196F" w:rsidRPr="00E81806" w:rsidRDefault="0050196F" w:rsidP="00D02912">
            <w:pPr>
              <w:pStyle w:val="ARfintablebodyrightbold"/>
            </w:pPr>
          </w:p>
        </w:tc>
        <w:tc>
          <w:tcPr>
            <w:tcW w:w="1134" w:type="dxa"/>
            <w:tcBorders>
              <w:top w:val="single" w:sz="4" w:space="0" w:color="auto"/>
              <w:bottom w:val="single" w:sz="4" w:space="0" w:color="A6A6A6" w:themeColor="accent5"/>
            </w:tcBorders>
          </w:tcPr>
          <w:p w14:paraId="6589372E" w14:textId="77777777" w:rsidR="0050196F" w:rsidRPr="005742EF" w:rsidRDefault="0050196F" w:rsidP="00D02912">
            <w:pPr>
              <w:pStyle w:val="ARfintablebodyrightbold"/>
            </w:pPr>
          </w:p>
        </w:tc>
        <w:tc>
          <w:tcPr>
            <w:tcW w:w="1139" w:type="dxa"/>
            <w:tcBorders>
              <w:top w:val="single" w:sz="4" w:space="0" w:color="auto"/>
              <w:bottom w:val="single" w:sz="4" w:space="0" w:color="A6A6A6" w:themeColor="accent5"/>
            </w:tcBorders>
          </w:tcPr>
          <w:p w14:paraId="5C16D400" w14:textId="77777777" w:rsidR="0050196F" w:rsidRPr="005742EF" w:rsidRDefault="0050196F" w:rsidP="00D02912">
            <w:pPr>
              <w:pStyle w:val="ARfintablebodyrightbold"/>
            </w:pPr>
          </w:p>
        </w:tc>
        <w:tc>
          <w:tcPr>
            <w:tcW w:w="680" w:type="dxa"/>
            <w:tcBorders>
              <w:top w:val="single" w:sz="4" w:space="0" w:color="auto"/>
              <w:bottom w:val="single" w:sz="4" w:space="0" w:color="A6A6A6" w:themeColor="accent5"/>
            </w:tcBorders>
          </w:tcPr>
          <w:p w14:paraId="72CFDA3D" w14:textId="77777777" w:rsidR="0050196F" w:rsidRPr="00DE728B" w:rsidRDefault="0050196F" w:rsidP="00D02912">
            <w:pPr>
              <w:pStyle w:val="ARfintablebodycentre"/>
              <w:rPr>
                <w:highlight w:val="cyan"/>
              </w:rPr>
            </w:pPr>
          </w:p>
        </w:tc>
      </w:tr>
      <w:tr w:rsidR="0050196F" w:rsidRPr="00532DAE" w14:paraId="496D32B1" w14:textId="77777777" w:rsidTr="00DE6387">
        <w:trPr>
          <w:cantSplit w:val="0"/>
        </w:trPr>
        <w:tc>
          <w:tcPr>
            <w:tcW w:w="5954" w:type="dxa"/>
            <w:tcBorders>
              <w:top w:val="single" w:sz="2" w:space="0" w:color="A6A6A6" w:themeColor="accent5"/>
            </w:tcBorders>
          </w:tcPr>
          <w:p w14:paraId="7B069B14" w14:textId="77777777" w:rsidR="0050196F" w:rsidRPr="00532DAE" w:rsidRDefault="0050196F" w:rsidP="00D02912">
            <w:pPr>
              <w:pStyle w:val="ARfintablebody"/>
            </w:pPr>
            <w:r w:rsidRPr="00532DAE">
              <w:t>Provisions</w:t>
            </w:r>
          </w:p>
        </w:tc>
        <w:tc>
          <w:tcPr>
            <w:tcW w:w="1133" w:type="dxa"/>
            <w:tcBorders>
              <w:top w:val="single" w:sz="4" w:space="0" w:color="A6A6A6" w:themeColor="accent5"/>
            </w:tcBorders>
          </w:tcPr>
          <w:p w14:paraId="47783ECF" w14:textId="77777777" w:rsidR="0050196F" w:rsidRPr="0074613C" w:rsidRDefault="0050196F" w:rsidP="00D02912">
            <w:pPr>
              <w:pStyle w:val="ARfintablebodyright"/>
            </w:pPr>
            <w:r w:rsidRPr="0074613C">
              <w:t>(0)</w:t>
            </w:r>
          </w:p>
        </w:tc>
        <w:tc>
          <w:tcPr>
            <w:tcW w:w="1134" w:type="dxa"/>
            <w:tcBorders>
              <w:top w:val="single" w:sz="4" w:space="0" w:color="A6A6A6" w:themeColor="accent5"/>
            </w:tcBorders>
          </w:tcPr>
          <w:p w14:paraId="6B0E5E71" w14:textId="77777777" w:rsidR="0050196F" w:rsidRPr="0074613C" w:rsidRDefault="0050196F" w:rsidP="00D02912">
            <w:pPr>
              <w:pStyle w:val="ARfintablebodyright"/>
            </w:pPr>
            <w:r w:rsidRPr="0074613C">
              <w:t>0</w:t>
            </w:r>
          </w:p>
        </w:tc>
        <w:tc>
          <w:tcPr>
            <w:tcW w:w="1139" w:type="dxa"/>
            <w:tcBorders>
              <w:top w:val="single" w:sz="4" w:space="0" w:color="A6A6A6" w:themeColor="accent5"/>
            </w:tcBorders>
          </w:tcPr>
          <w:p w14:paraId="214A0DB0" w14:textId="63EA1D93" w:rsidR="0050196F" w:rsidRPr="0074613C" w:rsidRDefault="0050196F" w:rsidP="00D02912">
            <w:pPr>
              <w:pStyle w:val="ARfintablebodyright"/>
            </w:pPr>
            <w:r w:rsidRPr="00583CAB">
              <w:t>29.3</w:t>
            </w:r>
          </w:p>
        </w:tc>
        <w:tc>
          <w:tcPr>
            <w:tcW w:w="680" w:type="dxa"/>
            <w:tcBorders>
              <w:top w:val="single" w:sz="4" w:space="0" w:color="A6A6A6" w:themeColor="accent5"/>
            </w:tcBorders>
          </w:tcPr>
          <w:p w14:paraId="30FBDD80" w14:textId="77777777" w:rsidR="0050196F" w:rsidRPr="00DE728B" w:rsidRDefault="0050196F" w:rsidP="00D02912">
            <w:pPr>
              <w:pStyle w:val="ARfintablebodycentre"/>
              <w:rPr>
                <w:highlight w:val="cyan"/>
              </w:rPr>
            </w:pPr>
          </w:p>
        </w:tc>
      </w:tr>
      <w:tr w:rsidR="0050196F" w:rsidRPr="00532DAE" w14:paraId="1BA2AAA5" w14:textId="77777777">
        <w:trPr>
          <w:cantSplit w:val="0"/>
        </w:trPr>
        <w:tc>
          <w:tcPr>
            <w:tcW w:w="5954" w:type="dxa"/>
          </w:tcPr>
          <w:p w14:paraId="7D3E9D2B" w14:textId="77777777" w:rsidR="0050196F" w:rsidRPr="00532DAE" w:rsidRDefault="0050196F" w:rsidP="00D02912">
            <w:pPr>
              <w:pStyle w:val="ARfintablebodybold"/>
            </w:pPr>
            <w:r w:rsidRPr="00532DAE">
              <w:t>Total administered liabilities</w:t>
            </w:r>
          </w:p>
        </w:tc>
        <w:tc>
          <w:tcPr>
            <w:tcW w:w="1133" w:type="dxa"/>
          </w:tcPr>
          <w:p w14:paraId="662077E6" w14:textId="77777777" w:rsidR="0050196F" w:rsidRPr="0074613C" w:rsidRDefault="0050196F" w:rsidP="00D02912">
            <w:pPr>
              <w:pStyle w:val="ARfintablebodyrightbold"/>
            </w:pPr>
            <w:r w:rsidRPr="0074613C">
              <w:t>(0)</w:t>
            </w:r>
          </w:p>
        </w:tc>
        <w:tc>
          <w:tcPr>
            <w:tcW w:w="1134" w:type="dxa"/>
          </w:tcPr>
          <w:p w14:paraId="06A4A75F" w14:textId="77777777" w:rsidR="0050196F" w:rsidRPr="0074613C" w:rsidRDefault="0050196F" w:rsidP="00D02912">
            <w:pPr>
              <w:pStyle w:val="ARfintablebodyrightbold"/>
            </w:pPr>
            <w:r w:rsidRPr="0074613C">
              <w:t>0</w:t>
            </w:r>
          </w:p>
        </w:tc>
        <w:tc>
          <w:tcPr>
            <w:tcW w:w="1139" w:type="dxa"/>
          </w:tcPr>
          <w:p w14:paraId="75B5A1CE" w14:textId="484443B2" w:rsidR="0050196F" w:rsidRPr="0074613C" w:rsidRDefault="0050196F" w:rsidP="00D02912">
            <w:pPr>
              <w:pStyle w:val="ARfintablebodyrightbold"/>
            </w:pPr>
            <w:r w:rsidRPr="00583CAB">
              <w:t>29.3</w:t>
            </w:r>
          </w:p>
        </w:tc>
        <w:tc>
          <w:tcPr>
            <w:tcW w:w="680" w:type="dxa"/>
          </w:tcPr>
          <w:p w14:paraId="540D41D0" w14:textId="77777777" w:rsidR="0050196F" w:rsidRPr="00DE728B" w:rsidRDefault="0050196F" w:rsidP="00D02912">
            <w:pPr>
              <w:pStyle w:val="ARfintablebodycentre"/>
              <w:rPr>
                <w:highlight w:val="cyan"/>
              </w:rPr>
            </w:pPr>
          </w:p>
        </w:tc>
      </w:tr>
      <w:tr w:rsidR="0050196F" w:rsidRPr="00532DAE" w14:paraId="5916254B" w14:textId="77777777" w:rsidTr="00F32A39">
        <w:trPr>
          <w:cantSplit w:val="0"/>
        </w:trPr>
        <w:tc>
          <w:tcPr>
            <w:tcW w:w="5954" w:type="dxa"/>
            <w:tcBorders>
              <w:bottom w:val="single" w:sz="4" w:space="0" w:color="auto"/>
            </w:tcBorders>
          </w:tcPr>
          <w:p w14:paraId="4A794CDD" w14:textId="77777777" w:rsidR="0050196F" w:rsidRPr="00532DAE" w:rsidRDefault="0050196F" w:rsidP="00D02912">
            <w:pPr>
              <w:pStyle w:val="ARfintablebodybold"/>
            </w:pPr>
            <w:r w:rsidRPr="00532DAE">
              <w:t>Net assets</w:t>
            </w:r>
          </w:p>
        </w:tc>
        <w:tc>
          <w:tcPr>
            <w:tcW w:w="1133" w:type="dxa"/>
            <w:tcBorders>
              <w:bottom w:val="single" w:sz="4" w:space="0" w:color="auto"/>
            </w:tcBorders>
          </w:tcPr>
          <w:p w14:paraId="2A869AB8" w14:textId="77777777" w:rsidR="0050196F" w:rsidRPr="0074613C" w:rsidRDefault="0050196F" w:rsidP="00D02912">
            <w:pPr>
              <w:pStyle w:val="ARfintablebodyrightbold"/>
            </w:pPr>
            <w:r w:rsidRPr="0074613C">
              <w:t>4</w:t>
            </w:r>
          </w:p>
        </w:tc>
        <w:tc>
          <w:tcPr>
            <w:tcW w:w="1134" w:type="dxa"/>
            <w:tcBorders>
              <w:bottom w:val="single" w:sz="4" w:space="0" w:color="auto"/>
            </w:tcBorders>
          </w:tcPr>
          <w:p w14:paraId="08EA55EB" w14:textId="77777777" w:rsidR="0050196F" w:rsidRPr="0074613C" w:rsidRDefault="0050196F" w:rsidP="00D02912">
            <w:pPr>
              <w:pStyle w:val="ARfintablebodyrightbold"/>
            </w:pPr>
            <w:r w:rsidRPr="0074613C">
              <w:t>2</w:t>
            </w:r>
          </w:p>
        </w:tc>
        <w:tc>
          <w:tcPr>
            <w:tcW w:w="1139" w:type="dxa"/>
            <w:tcBorders>
              <w:bottom w:val="single" w:sz="4" w:space="0" w:color="auto"/>
            </w:tcBorders>
          </w:tcPr>
          <w:p w14:paraId="20EEE061" w14:textId="7592197E" w:rsidR="0050196F" w:rsidRPr="0074613C" w:rsidRDefault="0050196F" w:rsidP="00D02912">
            <w:pPr>
              <w:pStyle w:val="ARfintablebodyrightbold"/>
            </w:pPr>
            <w:r w:rsidRPr="00583CAB">
              <w:t>110.7</w:t>
            </w:r>
          </w:p>
        </w:tc>
        <w:tc>
          <w:tcPr>
            <w:tcW w:w="680" w:type="dxa"/>
            <w:tcBorders>
              <w:bottom w:val="single" w:sz="4" w:space="0" w:color="auto"/>
            </w:tcBorders>
          </w:tcPr>
          <w:p w14:paraId="0722B213" w14:textId="77777777" w:rsidR="0050196F" w:rsidRPr="00DE728B" w:rsidRDefault="0050196F" w:rsidP="00D02912">
            <w:pPr>
              <w:pStyle w:val="ARfintablebodycentre"/>
              <w:rPr>
                <w:highlight w:val="cyan"/>
              </w:rPr>
            </w:pPr>
          </w:p>
        </w:tc>
      </w:tr>
      <w:tr w:rsidR="0050196F" w:rsidRPr="00532DAE" w14:paraId="6F138CF6" w14:textId="77777777" w:rsidTr="00F32A39">
        <w:trPr>
          <w:cantSplit w:val="0"/>
        </w:trPr>
        <w:tc>
          <w:tcPr>
            <w:tcW w:w="10040" w:type="dxa"/>
            <w:gridSpan w:val="5"/>
            <w:tcBorders>
              <w:top w:val="single" w:sz="4" w:space="0" w:color="auto"/>
              <w:bottom w:val="single" w:sz="2" w:space="0" w:color="A6A6A6" w:themeColor="accent5"/>
            </w:tcBorders>
          </w:tcPr>
          <w:p w14:paraId="41A19666" w14:textId="77777777" w:rsidR="0050196F" w:rsidRPr="00DE728B" w:rsidRDefault="0050196F" w:rsidP="00D02912">
            <w:pPr>
              <w:pStyle w:val="ARfintablebodybold"/>
              <w:rPr>
                <w:highlight w:val="cyan"/>
              </w:rPr>
            </w:pPr>
            <w:r w:rsidRPr="00A560C3">
              <w:t>Equity</w:t>
            </w:r>
          </w:p>
        </w:tc>
      </w:tr>
      <w:tr w:rsidR="0050196F" w:rsidRPr="00532DAE" w14:paraId="036DF94F" w14:textId="77777777" w:rsidTr="00F32A39">
        <w:trPr>
          <w:cantSplit w:val="0"/>
        </w:trPr>
        <w:tc>
          <w:tcPr>
            <w:tcW w:w="5954" w:type="dxa"/>
            <w:tcBorders>
              <w:top w:val="single" w:sz="2" w:space="0" w:color="A6A6A6" w:themeColor="accent5"/>
              <w:bottom w:val="single" w:sz="2" w:space="0" w:color="A6A6A6" w:themeColor="accent5"/>
            </w:tcBorders>
          </w:tcPr>
          <w:p w14:paraId="5C13A543" w14:textId="77777777" w:rsidR="0050196F" w:rsidRPr="00532DAE" w:rsidRDefault="0050196F" w:rsidP="00D02912">
            <w:pPr>
              <w:pStyle w:val="ARfintablebody"/>
            </w:pPr>
            <w:r w:rsidRPr="008E429C">
              <w:t>Accumulated surplus/(deficit)</w:t>
            </w:r>
          </w:p>
        </w:tc>
        <w:tc>
          <w:tcPr>
            <w:tcW w:w="1133" w:type="dxa"/>
            <w:tcBorders>
              <w:top w:val="single" w:sz="2" w:space="0" w:color="A6A6A6" w:themeColor="accent5"/>
              <w:bottom w:val="single" w:sz="2" w:space="0" w:color="A6A6A6" w:themeColor="accent5"/>
            </w:tcBorders>
          </w:tcPr>
          <w:p w14:paraId="78B7EAC1" w14:textId="14611BAB" w:rsidR="0050196F" w:rsidRPr="00DE728B" w:rsidRDefault="0050196F" w:rsidP="00D02912">
            <w:pPr>
              <w:pStyle w:val="ARfintablebodyright"/>
              <w:rPr>
                <w:highlight w:val="cyan"/>
              </w:rPr>
            </w:pPr>
            <w:r w:rsidRPr="00F6235E">
              <w:t>1</w:t>
            </w:r>
          </w:p>
        </w:tc>
        <w:tc>
          <w:tcPr>
            <w:tcW w:w="1134" w:type="dxa"/>
            <w:tcBorders>
              <w:top w:val="single" w:sz="2" w:space="0" w:color="A6A6A6" w:themeColor="accent5"/>
              <w:bottom w:val="single" w:sz="2" w:space="0" w:color="A6A6A6" w:themeColor="accent5"/>
            </w:tcBorders>
          </w:tcPr>
          <w:p w14:paraId="42B5F223" w14:textId="6C6F2E5C" w:rsidR="0050196F" w:rsidRPr="00DE728B" w:rsidRDefault="0050196F" w:rsidP="00D02912">
            <w:pPr>
              <w:pStyle w:val="ARfintablebodyright"/>
              <w:rPr>
                <w:highlight w:val="cyan"/>
              </w:rPr>
            </w:pPr>
            <w:r w:rsidRPr="00B44382">
              <w:t>(0)</w:t>
            </w:r>
          </w:p>
        </w:tc>
        <w:tc>
          <w:tcPr>
            <w:tcW w:w="1139" w:type="dxa"/>
            <w:tcBorders>
              <w:top w:val="single" w:sz="2" w:space="0" w:color="A6A6A6" w:themeColor="accent5"/>
              <w:bottom w:val="single" w:sz="2" w:space="0" w:color="A6A6A6" w:themeColor="accent5"/>
            </w:tcBorders>
          </w:tcPr>
          <w:p w14:paraId="591704A7" w14:textId="77777777" w:rsidR="0050196F" w:rsidRPr="00DE728B" w:rsidRDefault="0050196F" w:rsidP="00D02912">
            <w:pPr>
              <w:pStyle w:val="ARfintablebodyright"/>
              <w:rPr>
                <w:highlight w:val="cyan"/>
              </w:rPr>
            </w:pPr>
            <w:r w:rsidRPr="00F13982">
              <w:t>(306.0)</w:t>
            </w:r>
          </w:p>
        </w:tc>
        <w:tc>
          <w:tcPr>
            <w:tcW w:w="680" w:type="dxa"/>
            <w:tcBorders>
              <w:top w:val="single" w:sz="2" w:space="0" w:color="A6A6A6" w:themeColor="accent5"/>
              <w:bottom w:val="single" w:sz="2" w:space="0" w:color="A6A6A6" w:themeColor="accent5"/>
            </w:tcBorders>
          </w:tcPr>
          <w:p w14:paraId="631A4FA3" w14:textId="77777777" w:rsidR="0050196F" w:rsidRPr="00DE728B" w:rsidRDefault="0050196F" w:rsidP="00D02912">
            <w:pPr>
              <w:pStyle w:val="ARfintablebodycentre"/>
              <w:rPr>
                <w:highlight w:val="cyan"/>
              </w:rPr>
            </w:pPr>
          </w:p>
        </w:tc>
      </w:tr>
      <w:tr w:rsidR="0050196F" w:rsidRPr="00532DAE" w14:paraId="1F3531F2" w14:textId="77777777" w:rsidTr="00F32A39">
        <w:trPr>
          <w:cantSplit w:val="0"/>
        </w:trPr>
        <w:tc>
          <w:tcPr>
            <w:tcW w:w="5954" w:type="dxa"/>
            <w:tcBorders>
              <w:top w:val="single" w:sz="2" w:space="0" w:color="A6A6A6" w:themeColor="accent5"/>
            </w:tcBorders>
          </w:tcPr>
          <w:p w14:paraId="2D01FE0D" w14:textId="77777777" w:rsidR="0050196F" w:rsidRPr="00532DAE" w:rsidRDefault="0050196F" w:rsidP="00D02912">
            <w:pPr>
              <w:pStyle w:val="ARfintablebody"/>
            </w:pPr>
            <w:r w:rsidRPr="00532DAE">
              <w:t>Contributed capital</w:t>
            </w:r>
          </w:p>
        </w:tc>
        <w:tc>
          <w:tcPr>
            <w:tcW w:w="1133" w:type="dxa"/>
            <w:tcBorders>
              <w:top w:val="single" w:sz="2" w:space="0" w:color="A6A6A6" w:themeColor="accent5"/>
            </w:tcBorders>
          </w:tcPr>
          <w:p w14:paraId="407C14F6" w14:textId="73F79CE9" w:rsidR="0050196F" w:rsidRPr="00DE728B" w:rsidRDefault="0050196F" w:rsidP="00D02912">
            <w:pPr>
              <w:pStyle w:val="ARfintablebodyright"/>
              <w:rPr>
                <w:highlight w:val="cyan"/>
              </w:rPr>
            </w:pPr>
            <w:r w:rsidRPr="00F6235E">
              <w:t>3</w:t>
            </w:r>
          </w:p>
        </w:tc>
        <w:tc>
          <w:tcPr>
            <w:tcW w:w="1134" w:type="dxa"/>
            <w:tcBorders>
              <w:top w:val="single" w:sz="2" w:space="0" w:color="A6A6A6" w:themeColor="accent5"/>
            </w:tcBorders>
          </w:tcPr>
          <w:p w14:paraId="733CEBD8" w14:textId="5485A9D1" w:rsidR="0050196F" w:rsidRPr="00DE728B" w:rsidRDefault="0050196F" w:rsidP="00D02912">
            <w:pPr>
              <w:pStyle w:val="ARfintablebodyright"/>
              <w:rPr>
                <w:highlight w:val="cyan"/>
              </w:rPr>
            </w:pPr>
            <w:r w:rsidRPr="00B44382">
              <w:t>2</w:t>
            </w:r>
          </w:p>
        </w:tc>
        <w:tc>
          <w:tcPr>
            <w:tcW w:w="1139" w:type="dxa"/>
            <w:tcBorders>
              <w:top w:val="single" w:sz="2" w:space="0" w:color="A6A6A6" w:themeColor="accent5"/>
            </w:tcBorders>
          </w:tcPr>
          <w:p w14:paraId="0330AC71" w14:textId="2B73B3AF" w:rsidR="0050196F" w:rsidRPr="00DE728B" w:rsidRDefault="0050196F" w:rsidP="00D02912">
            <w:pPr>
              <w:pStyle w:val="ARfintablebodyright"/>
              <w:rPr>
                <w:highlight w:val="cyan"/>
              </w:rPr>
            </w:pPr>
            <w:r w:rsidRPr="0080071F">
              <w:t>17.0</w:t>
            </w:r>
          </w:p>
        </w:tc>
        <w:tc>
          <w:tcPr>
            <w:tcW w:w="680" w:type="dxa"/>
            <w:tcBorders>
              <w:top w:val="single" w:sz="2" w:space="0" w:color="A6A6A6" w:themeColor="accent5"/>
            </w:tcBorders>
          </w:tcPr>
          <w:p w14:paraId="7D541EF9" w14:textId="77777777" w:rsidR="0050196F" w:rsidRPr="00DE728B" w:rsidRDefault="0050196F" w:rsidP="00D02912">
            <w:pPr>
              <w:pStyle w:val="ARfintablebodycentre"/>
              <w:rPr>
                <w:highlight w:val="cyan"/>
              </w:rPr>
            </w:pPr>
          </w:p>
        </w:tc>
      </w:tr>
      <w:tr w:rsidR="0050196F" w:rsidRPr="00532DAE" w14:paraId="5728E434" w14:textId="77777777">
        <w:trPr>
          <w:cantSplit w:val="0"/>
        </w:trPr>
        <w:tc>
          <w:tcPr>
            <w:tcW w:w="5954" w:type="dxa"/>
          </w:tcPr>
          <w:p w14:paraId="56C9C24A" w14:textId="77777777" w:rsidR="0050196F" w:rsidRPr="00532DAE" w:rsidRDefault="0050196F" w:rsidP="00D02912">
            <w:pPr>
              <w:pStyle w:val="ARfintablebodybold"/>
            </w:pPr>
            <w:r w:rsidRPr="00532DAE">
              <w:t>Total equity</w:t>
            </w:r>
          </w:p>
        </w:tc>
        <w:tc>
          <w:tcPr>
            <w:tcW w:w="1133" w:type="dxa"/>
          </w:tcPr>
          <w:p w14:paraId="152F85A0" w14:textId="00191775" w:rsidR="0050196F" w:rsidRPr="00DE728B" w:rsidRDefault="0050196F" w:rsidP="00D02912">
            <w:pPr>
              <w:pStyle w:val="ARfintablebodyrightbold"/>
              <w:rPr>
                <w:highlight w:val="cyan"/>
              </w:rPr>
            </w:pPr>
            <w:r w:rsidRPr="00F6235E">
              <w:t>4</w:t>
            </w:r>
          </w:p>
        </w:tc>
        <w:tc>
          <w:tcPr>
            <w:tcW w:w="1134" w:type="dxa"/>
          </w:tcPr>
          <w:p w14:paraId="5B25FE73" w14:textId="3353673A" w:rsidR="0050196F" w:rsidRPr="00DE728B" w:rsidRDefault="0050196F" w:rsidP="00D02912">
            <w:pPr>
              <w:pStyle w:val="ARfintablebodyrightbold"/>
              <w:rPr>
                <w:highlight w:val="cyan"/>
              </w:rPr>
            </w:pPr>
            <w:r w:rsidRPr="00B44382">
              <w:t>2</w:t>
            </w:r>
          </w:p>
        </w:tc>
        <w:tc>
          <w:tcPr>
            <w:tcW w:w="1139" w:type="dxa"/>
          </w:tcPr>
          <w:p w14:paraId="5B9F6BE0" w14:textId="21ABFCCE" w:rsidR="0050196F" w:rsidRPr="00DE728B" w:rsidRDefault="0050196F" w:rsidP="00D02912">
            <w:pPr>
              <w:pStyle w:val="ARfintablebodyrightbold"/>
              <w:rPr>
                <w:highlight w:val="cyan"/>
              </w:rPr>
            </w:pPr>
            <w:r w:rsidRPr="0080071F">
              <w:t>(289.0)</w:t>
            </w:r>
          </w:p>
        </w:tc>
        <w:tc>
          <w:tcPr>
            <w:tcW w:w="680" w:type="dxa"/>
          </w:tcPr>
          <w:p w14:paraId="0DFA5203" w14:textId="77777777" w:rsidR="0050196F" w:rsidRPr="00DE728B" w:rsidRDefault="0050196F" w:rsidP="00D02912">
            <w:pPr>
              <w:pStyle w:val="ARfintablebodycentre"/>
              <w:rPr>
                <w:b/>
                <w:bCs/>
                <w:highlight w:val="cyan"/>
              </w:rPr>
            </w:pPr>
          </w:p>
        </w:tc>
      </w:tr>
    </w:tbl>
    <w:p w14:paraId="56C771AF" w14:textId="3C800B99" w:rsidR="0050196F" w:rsidRPr="00620155" w:rsidRDefault="0050196F" w:rsidP="00120540">
      <w:pPr>
        <w:pStyle w:val="ARfintablefootnoteindent"/>
      </w:pPr>
      <w:r w:rsidRPr="00532DAE">
        <w:t>(a)</w:t>
      </w:r>
      <w:r w:rsidRPr="00532DAE">
        <w:tab/>
      </w:r>
      <w:r w:rsidRPr="00620155">
        <w:t xml:space="preserve">Actual other income was higher than the published budget primarily due to </w:t>
      </w:r>
      <w:r w:rsidRPr="00120540">
        <w:t>return</w:t>
      </w:r>
      <w:r w:rsidRPr="00620155">
        <w:t xml:space="preserve"> of unexpended trust funds to the consolidated</w:t>
      </w:r>
      <w:r w:rsidR="00F32A39">
        <w:t> </w:t>
      </w:r>
      <w:r w:rsidRPr="00620155">
        <w:t>fund.</w:t>
      </w:r>
    </w:p>
    <w:p w14:paraId="2602E6B7" w14:textId="48479F8C" w:rsidR="0050196F" w:rsidRPr="00F32A39" w:rsidRDefault="0050196F" w:rsidP="00F32A39">
      <w:pPr>
        <w:pStyle w:val="ARfintablefootnoteindent"/>
      </w:pPr>
      <w:r w:rsidRPr="00620155">
        <w:t>(b)</w:t>
      </w:r>
      <w:r w:rsidRPr="00620155">
        <w:tab/>
        <w:t>Higher actual payments into the Consolidated fund than the published budget primarily relates to the return of unexpended trust</w:t>
      </w:r>
      <w:r w:rsidR="00F32A39">
        <w:t> </w:t>
      </w:r>
      <w:r w:rsidRPr="00620155">
        <w:t>funds.</w:t>
      </w:r>
    </w:p>
    <w:p w14:paraId="323CD35B" w14:textId="15C65C86" w:rsidR="003D7AC8" w:rsidRPr="00BA7805" w:rsidRDefault="003D7AC8" w:rsidP="003D7AC8">
      <w:pPr>
        <w:pStyle w:val="ARfintablefootnoteindent"/>
        <w:rPr>
          <w:highlight w:val="green"/>
        </w:rPr>
      </w:pPr>
      <w:bookmarkStart w:id="298" w:name="_Toc114491222"/>
      <w:bookmarkStart w:id="299" w:name="_Toc144218680"/>
      <w:r w:rsidRPr="00BA7805">
        <w:rPr>
          <w:highlight w:val="green"/>
        </w:rPr>
        <w:br w:type="page"/>
      </w:r>
    </w:p>
    <w:p w14:paraId="5B33D5C8" w14:textId="77777777" w:rsidR="00083017" w:rsidRPr="005F6A6B" w:rsidRDefault="00083017" w:rsidP="0081234A">
      <w:pPr>
        <w:pStyle w:val="ARbody"/>
        <w:rPr>
          <w:highlight w:val="yellow"/>
        </w:rPr>
        <w:sectPr w:rsidR="00083017" w:rsidRPr="005F6A6B" w:rsidSect="00083017">
          <w:headerReference w:type="even" r:id="rId150"/>
          <w:headerReference w:type="default" r:id="rId151"/>
          <w:footnotePr>
            <w:numFmt w:val="lowerRoman"/>
            <w:numRestart w:val="eachPage"/>
          </w:footnotePr>
          <w:endnotePr>
            <w:numFmt w:val="decimal"/>
          </w:endnotePr>
          <w:pgSz w:w="11900" w:h="16840" w:code="9"/>
          <w:pgMar w:top="1701" w:right="1134" w:bottom="851" w:left="1134" w:header="510" w:footer="340" w:gutter="0"/>
          <w:cols w:space="454"/>
          <w:docGrid w:linePitch="299"/>
        </w:sectPr>
      </w:pPr>
      <w:bookmarkStart w:id="300" w:name="_Toc114491223"/>
      <w:bookmarkStart w:id="301" w:name="_Toc144218681"/>
      <w:bookmarkEnd w:id="298"/>
      <w:bookmarkEnd w:id="299"/>
    </w:p>
    <w:p w14:paraId="272DA392" w14:textId="77777777" w:rsidR="00083017" w:rsidRPr="006A4518" w:rsidRDefault="00083017" w:rsidP="0081234A">
      <w:pPr>
        <w:pStyle w:val="Heading2"/>
      </w:pPr>
      <w:bookmarkStart w:id="302" w:name="_Toc149587071"/>
      <w:bookmarkStart w:id="303" w:name="_Toc181101533"/>
      <w:r w:rsidRPr="006A4518">
        <w:t>Appendix 2: Homes Victoria</w:t>
      </w:r>
      <w:bookmarkEnd w:id="302"/>
      <w:bookmarkEnd w:id="303"/>
    </w:p>
    <w:p w14:paraId="1CE8E4FE" w14:textId="77777777" w:rsidR="00083017" w:rsidRPr="006A4518" w:rsidRDefault="00083017" w:rsidP="00C743C9">
      <w:pPr>
        <w:pStyle w:val="Heading3"/>
      </w:pPr>
      <w:bookmarkStart w:id="304" w:name="_Toc110778062"/>
      <w:r w:rsidRPr="006A4518">
        <w:t>Comprehensive operating statement</w:t>
      </w:r>
      <w:r w:rsidRPr="006A4518">
        <w:br/>
        <w:t>for the financial year ended 30 June 2024</w:t>
      </w:r>
    </w:p>
    <w:tbl>
      <w:tblPr>
        <w:tblStyle w:val="TableGrid"/>
        <w:tblW w:w="5000" w:type="pct"/>
        <w:tblLayout w:type="fixed"/>
        <w:tblLook w:val="06A0" w:firstRow="1" w:lastRow="0" w:firstColumn="1" w:lastColumn="0" w:noHBand="1" w:noVBand="1"/>
      </w:tblPr>
      <w:tblGrid>
        <w:gridCol w:w="6904"/>
        <w:gridCol w:w="1359"/>
        <w:gridCol w:w="1359"/>
      </w:tblGrid>
      <w:tr w:rsidR="00083017" w:rsidRPr="00BA7805" w14:paraId="070D5CA8"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588" w:type="pct"/>
            <w:tcBorders>
              <w:bottom w:val="single" w:sz="4" w:space="0" w:color="auto"/>
            </w:tcBorders>
            <w:noWrap/>
            <w:hideMark/>
          </w:tcPr>
          <w:p w14:paraId="2DA5ACA8" w14:textId="77777777" w:rsidR="00083017" w:rsidRPr="00BA7805" w:rsidRDefault="00083017">
            <w:pPr>
              <w:pStyle w:val="ARfintablecolhead"/>
              <w:rPr>
                <w:highlight w:val="green"/>
              </w:rPr>
            </w:pPr>
          </w:p>
        </w:tc>
        <w:tc>
          <w:tcPr>
            <w:tcW w:w="706" w:type="pct"/>
            <w:tcBorders>
              <w:bottom w:val="single" w:sz="4" w:space="0" w:color="auto"/>
            </w:tcBorders>
            <w:shd w:val="clear" w:color="auto" w:fill="E7E6E6" w:themeFill="accent4"/>
            <w:hideMark/>
          </w:tcPr>
          <w:p w14:paraId="47DD6E57" w14:textId="77777777" w:rsidR="00083017" w:rsidRPr="00996F63" w:rsidRDefault="00083017">
            <w:pPr>
              <w:pStyle w:val="ARfintablecolheadright"/>
            </w:pPr>
            <w:r w:rsidRPr="00996F63">
              <w:t>2024</w:t>
            </w:r>
          </w:p>
          <w:p w14:paraId="14DEDA1F" w14:textId="77777777" w:rsidR="00083017" w:rsidRPr="00996F63" w:rsidRDefault="00083017">
            <w:pPr>
              <w:pStyle w:val="ARfintablecolheadright"/>
            </w:pPr>
            <w:r w:rsidRPr="00996F63">
              <w:t>$M</w:t>
            </w:r>
          </w:p>
        </w:tc>
        <w:tc>
          <w:tcPr>
            <w:tcW w:w="706" w:type="pct"/>
            <w:tcBorders>
              <w:bottom w:val="single" w:sz="4" w:space="0" w:color="auto"/>
            </w:tcBorders>
            <w:hideMark/>
          </w:tcPr>
          <w:p w14:paraId="44629AEC" w14:textId="77777777" w:rsidR="00083017" w:rsidRPr="00996F63" w:rsidRDefault="00083017">
            <w:pPr>
              <w:pStyle w:val="ARfintablecolheadright"/>
            </w:pPr>
            <w:r w:rsidRPr="00996F63">
              <w:t>2023</w:t>
            </w:r>
          </w:p>
          <w:p w14:paraId="15DE2A67" w14:textId="77777777" w:rsidR="00083017" w:rsidRPr="00996F63" w:rsidRDefault="00083017">
            <w:pPr>
              <w:pStyle w:val="ARfintablecolheadright"/>
            </w:pPr>
            <w:r w:rsidRPr="00996F63">
              <w:t>$M</w:t>
            </w:r>
          </w:p>
        </w:tc>
      </w:tr>
      <w:tr w:rsidR="00083017" w:rsidRPr="00BA7805" w14:paraId="206F55B4" w14:textId="77777777" w:rsidTr="003D7AC8">
        <w:tc>
          <w:tcPr>
            <w:tcW w:w="5000" w:type="pct"/>
            <w:gridSpan w:val="3"/>
            <w:tcBorders>
              <w:top w:val="single" w:sz="4" w:space="0" w:color="auto"/>
              <w:bottom w:val="single" w:sz="4" w:space="0" w:color="A6A6A6"/>
            </w:tcBorders>
          </w:tcPr>
          <w:p w14:paraId="26A84517" w14:textId="77777777" w:rsidR="00083017" w:rsidRPr="00BA7805" w:rsidRDefault="00083017" w:rsidP="002542E1">
            <w:pPr>
              <w:pStyle w:val="ARfintablebodybold"/>
              <w:rPr>
                <w:highlight w:val="green"/>
              </w:rPr>
            </w:pPr>
            <w:r w:rsidRPr="001E4FFE">
              <w:t>Revenue and income from transactions</w:t>
            </w:r>
          </w:p>
        </w:tc>
      </w:tr>
      <w:tr w:rsidR="00083017" w:rsidRPr="00BA7805" w14:paraId="422A619E" w14:textId="77777777" w:rsidTr="002542E1">
        <w:tc>
          <w:tcPr>
            <w:tcW w:w="3588" w:type="pct"/>
            <w:tcBorders>
              <w:top w:val="single" w:sz="4" w:space="0" w:color="A6A6A6"/>
              <w:bottom w:val="single" w:sz="4" w:space="0" w:color="A6A6A6"/>
            </w:tcBorders>
          </w:tcPr>
          <w:p w14:paraId="6A37A5C4" w14:textId="77777777" w:rsidR="00083017" w:rsidRPr="00BA7805" w:rsidRDefault="00083017" w:rsidP="002542E1">
            <w:pPr>
              <w:pStyle w:val="ARfintablebody"/>
              <w:rPr>
                <w:highlight w:val="green"/>
              </w:rPr>
            </w:pPr>
            <w:r w:rsidRPr="001E4FFE">
              <w:t>Grant from the Department of Families, Fairness and Housing</w:t>
            </w:r>
          </w:p>
        </w:tc>
        <w:tc>
          <w:tcPr>
            <w:tcW w:w="706" w:type="pct"/>
            <w:tcBorders>
              <w:top w:val="single" w:sz="4" w:space="0" w:color="A6A6A6"/>
              <w:bottom w:val="single" w:sz="4" w:space="0" w:color="A6A6A6"/>
            </w:tcBorders>
            <w:shd w:val="clear" w:color="auto" w:fill="E7E6E6" w:themeFill="accent4"/>
            <w:noWrap/>
          </w:tcPr>
          <w:p w14:paraId="73DF4610" w14:textId="77777777" w:rsidR="00083017" w:rsidRPr="00BA7805" w:rsidRDefault="00083017" w:rsidP="002542E1">
            <w:pPr>
              <w:pStyle w:val="ARfintablebodyright"/>
              <w:rPr>
                <w:highlight w:val="green"/>
              </w:rPr>
            </w:pPr>
            <w:r w:rsidRPr="001E4FFE">
              <w:t>585.5</w:t>
            </w:r>
          </w:p>
        </w:tc>
        <w:tc>
          <w:tcPr>
            <w:tcW w:w="706" w:type="pct"/>
            <w:tcBorders>
              <w:top w:val="single" w:sz="4" w:space="0" w:color="A6A6A6"/>
              <w:bottom w:val="single" w:sz="4" w:space="0" w:color="A6A6A6"/>
            </w:tcBorders>
            <w:noWrap/>
          </w:tcPr>
          <w:p w14:paraId="578FC94D" w14:textId="77777777" w:rsidR="00083017" w:rsidRPr="00BA7805" w:rsidRDefault="00083017" w:rsidP="002542E1">
            <w:pPr>
              <w:pStyle w:val="ARfintablebodyright"/>
              <w:rPr>
                <w:highlight w:val="green"/>
              </w:rPr>
            </w:pPr>
            <w:r w:rsidRPr="001E4FFE">
              <w:t>839.4</w:t>
            </w:r>
          </w:p>
        </w:tc>
      </w:tr>
      <w:tr w:rsidR="00083017" w:rsidRPr="00BA7805" w14:paraId="3AD1ACF6" w14:textId="77777777" w:rsidTr="003D7AC8">
        <w:tc>
          <w:tcPr>
            <w:tcW w:w="3588" w:type="pct"/>
            <w:tcBorders>
              <w:top w:val="single" w:sz="4" w:space="0" w:color="A6A6A6"/>
              <w:bottom w:val="single" w:sz="4" w:space="0" w:color="A6A6A6"/>
            </w:tcBorders>
          </w:tcPr>
          <w:p w14:paraId="6EEFD1A6" w14:textId="77777777" w:rsidR="00083017" w:rsidRPr="00BA7805" w:rsidRDefault="00083017" w:rsidP="002542E1">
            <w:pPr>
              <w:pStyle w:val="ARfintablebody"/>
              <w:rPr>
                <w:highlight w:val="green"/>
              </w:rPr>
            </w:pPr>
            <w:r w:rsidRPr="001E4FFE">
              <w:t>Rental income</w:t>
            </w:r>
          </w:p>
        </w:tc>
        <w:tc>
          <w:tcPr>
            <w:tcW w:w="706" w:type="pct"/>
            <w:tcBorders>
              <w:top w:val="single" w:sz="4" w:space="0" w:color="A6A6A6"/>
              <w:bottom w:val="single" w:sz="4" w:space="0" w:color="A6A6A6"/>
            </w:tcBorders>
            <w:shd w:val="clear" w:color="auto" w:fill="E7E6E6"/>
            <w:noWrap/>
          </w:tcPr>
          <w:p w14:paraId="014AB2B0" w14:textId="77777777" w:rsidR="00083017" w:rsidRPr="00BA7805" w:rsidRDefault="00083017" w:rsidP="002542E1">
            <w:pPr>
              <w:pStyle w:val="ARfintablebodyright"/>
              <w:rPr>
                <w:highlight w:val="green"/>
              </w:rPr>
            </w:pPr>
            <w:r w:rsidRPr="001E4FFE">
              <w:t>555.5</w:t>
            </w:r>
          </w:p>
        </w:tc>
        <w:tc>
          <w:tcPr>
            <w:tcW w:w="706" w:type="pct"/>
            <w:tcBorders>
              <w:top w:val="single" w:sz="4" w:space="0" w:color="A6A6A6"/>
              <w:bottom w:val="single" w:sz="4" w:space="0" w:color="A6A6A6"/>
            </w:tcBorders>
            <w:noWrap/>
          </w:tcPr>
          <w:p w14:paraId="29B5B446" w14:textId="77777777" w:rsidR="00083017" w:rsidRPr="00BA7805" w:rsidRDefault="00083017" w:rsidP="002542E1">
            <w:pPr>
              <w:pStyle w:val="ARfintablebodyright"/>
              <w:rPr>
                <w:highlight w:val="green"/>
              </w:rPr>
            </w:pPr>
            <w:r w:rsidRPr="001E4FFE">
              <w:t>523.3</w:t>
            </w:r>
          </w:p>
        </w:tc>
      </w:tr>
      <w:tr w:rsidR="00083017" w:rsidRPr="00BA7805" w14:paraId="0A6B91A0" w14:textId="77777777" w:rsidTr="003D7AC8">
        <w:tc>
          <w:tcPr>
            <w:tcW w:w="3588" w:type="pct"/>
            <w:tcBorders>
              <w:top w:val="single" w:sz="4" w:space="0" w:color="A6A6A6"/>
              <w:bottom w:val="single" w:sz="4" w:space="0" w:color="A6A6A6"/>
            </w:tcBorders>
          </w:tcPr>
          <w:p w14:paraId="18E51BF2" w14:textId="77777777" w:rsidR="00083017" w:rsidRPr="00BA7805" w:rsidRDefault="00083017" w:rsidP="002542E1">
            <w:pPr>
              <w:pStyle w:val="ARfintablebody"/>
              <w:rPr>
                <w:highlight w:val="green"/>
              </w:rPr>
            </w:pPr>
            <w:r w:rsidRPr="001E4FFE">
              <w:t>Grants</w:t>
            </w:r>
          </w:p>
        </w:tc>
        <w:tc>
          <w:tcPr>
            <w:tcW w:w="706" w:type="pct"/>
            <w:tcBorders>
              <w:top w:val="single" w:sz="4" w:space="0" w:color="A6A6A6"/>
              <w:bottom w:val="single" w:sz="4" w:space="0" w:color="A6A6A6"/>
            </w:tcBorders>
            <w:shd w:val="clear" w:color="auto" w:fill="E7E6E6"/>
            <w:noWrap/>
          </w:tcPr>
          <w:p w14:paraId="286DC21F" w14:textId="77777777" w:rsidR="00083017" w:rsidRPr="00BA7805" w:rsidRDefault="00083017" w:rsidP="002542E1">
            <w:pPr>
              <w:pStyle w:val="ARfintablebodyright"/>
              <w:rPr>
                <w:highlight w:val="green"/>
              </w:rPr>
            </w:pPr>
            <w:r w:rsidRPr="001E4FFE">
              <w:t>388.3</w:t>
            </w:r>
          </w:p>
        </w:tc>
        <w:tc>
          <w:tcPr>
            <w:tcW w:w="706" w:type="pct"/>
            <w:tcBorders>
              <w:top w:val="single" w:sz="4" w:space="0" w:color="A6A6A6"/>
              <w:bottom w:val="single" w:sz="4" w:space="0" w:color="A6A6A6"/>
            </w:tcBorders>
            <w:noWrap/>
          </w:tcPr>
          <w:p w14:paraId="15BCE360" w14:textId="77777777" w:rsidR="00083017" w:rsidRPr="00BA7805" w:rsidRDefault="00083017" w:rsidP="002542E1">
            <w:pPr>
              <w:pStyle w:val="ARfintablebodyright"/>
              <w:rPr>
                <w:highlight w:val="green"/>
              </w:rPr>
            </w:pPr>
            <w:r w:rsidRPr="001E4FFE">
              <w:t>395.2</w:t>
            </w:r>
          </w:p>
        </w:tc>
      </w:tr>
      <w:tr w:rsidR="00083017" w:rsidRPr="00BA7805" w14:paraId="2A11DF35" w14:textId="77777777" w:rsidTr="003D7AC8">
        <w:tc>
          <w:tcPr>
            <w:tcW w:w="3588" w:type="pct"/>
            <w:tcBorders>
              <w:top w:val="single" w:sz="4" w:space="0" w:color="A6A6A6"/>
              <w:bottom w:val="single" w:sz="4" w:space="0" w:color="A6A6A6"/>
            </w:tcBorders>
          </w:tcPr>
          <w:p w14:paraId="5BBE5FFF" w14:textId="77777777" w:rsidR="00083017" w:rsidRPr="00BA7805" w:rsidRDefault="00083017" w:rsidP="002542E1">
            <w:pPr>
              <w:pStyle w:val="ARfintablebody"/>
              <w:rPr>
                <w:highlight w:val="green"/>
              </w:rPr>
            </w:pPr>
            <w:r w:rsidRPr="001E4FFE">
              <w:t>Other income</w:t>
            </w:r>
          </w:p>
        </w:tc>
        <w:tc>
          <w:tcPr>
            <w:tcW w:w="706" w:type="pct"/>
            <w:tcBorders>
              <w:top w:val="single" w:sz="4" w:space="0" w:color="A6A6A6"/>
              <w:bottom w:val="single" w:sz="4" w:space="0" w:color="A6A6A6"/>
            </w:tcBorders>
            <w:shd w:val="clear" w:color="auto" w:fill="E7E6E6"/>
            <w:noWrap/>
          </w:tcPr>
          <w:p w14:paraId="31758E4F" w14:textId="77777777" w:rsidR="00083017" w:rsidRPr="00BA7805" w:rsidRDefault="00083017" w:rsidP="002542E1">
            <w:pPr>
              <w:pStyle w:val="ARfintablebodyright"/>
              <w:rPr>
                <w:highlight w:val="green"/>
              </w:rPr>
            </w:pPr>
            <w:r w:rsidRPr="001E4FFE">
              <w:t>41.1</w:t>
            </w:r>
          </w:p>
        </w:tc>
        <w:tc>
          <w:tcPr>
            <w:tcW w:w="706" w:type="pct"/>
            <w:tcBorders>
              <w:top w:val="single" w:sz="4" w:space="0" w:color="A6A6A6"/>
              <w:bottom w:val="single" w:sz="4" w:space="0" w:color="A6A6A6"/>
            </w:tcBorders>
            <w:noWrap/>
          </w:tcPr>
          <w:p w14:paraId="05E129EB" w14:textId="77777777" w:rsidR="00083017" w:rsidRPr="00BA7805" w:rsidRDefault="00083017" w:rsidP="002542E1">
            <w:pPr>
              <w:pStyle w:val="ARfintablebodyright"/>
              <w:rPr>
                <w:highlight w:val="green"/>
              </w:rPr>
            </w:pPr>
            <w:r w:rsidRPr="001E4FFE">
              <w:t>21.1</w:t>
            </w:r>
          </w:p>
        </w:tc>
      </w:tr>
      <w:tr w:rsidR="00083017" w:rsidRPr="00BA7805" w14:paraId="31EBC481" w14:textId="77777777" w:rsidTr="003D7AC8">
        <w:tc>
          <w:tcPr>
            <w:tcW w:w="3588" w:type="pct"/>
            <w:tcBorders>
              <w:bottom w:val="single" w:sz="4" w:space="0" w:color="auto"/>
            </w:tcBorders>
          </w:tcPr>
          <w:p w14:paraId="0AACCEFF" w14:textId="77777777" w:rsidR="00083017" w:rsidRPr="00BA7805" w:rsidRDefault="00083017" w:rsidP="002542E1">
            <w:pPr>
              <w:pStyle w:val="ARfintablebodybold"/>
              <w:rPr>
                <w:highlight w:val="green"/>
              </w:rPr>
            </w:pPr>
            <w:r w:rsidRPr="001E4FFE">
              <w:t>Total revenue and income from transactions</w:t>
            </w:r>
          </w:p>
        </w:tc>
        <w:tc>
          <w:tcPr>
            <w:tcW w:w="706" w:type="pct"/>
            <w:tcBorders>
              <w:bottom w:val="single" w:sz="4" w:space="0" w:color="auto"/>
            </w:tcBorders>
            <w:shd w:val="clear" w:color="auto" w:fill="E7E6E6"/>
            <w:noWrap/>
          </w:tcPr>
          <w:p w14:paraId="228DBED7" w14:textId="77777777" w:rsidR="00083017" w:rsidRPr="00BA7805" w:rsidRDefault="00083017" w:rsidP="002542E1">
            <w:pPr>
              <w:pStyle w:val="ARfintablebodyrightbold"/>
              <w:rPr>
                <w:highlight w:val="green"/>
              </w:rPr>
            </w:pPr>
            <w:r w:rsidRPr="001E4FFE">
              <w:t>1,570.4</w:t>
            </w:r>
          </w:p>
        </w:tc>
        <w:tc>
          <w:tcPr>
            <w:tcW w:w="706" w:type="pct"/>
            <w:tcBorders>
              <w:bottom w:val="single" w:sz="4" w:space="0" w:color="auto"/>
            </w:tcBorders>
            <w:noWrap/>
          </w:tcPr>
          <w:p w14:paraId="32DF0C68" w14:textId="77777777" w:rsidR="00083017" w:rsidRPr="00BA7805" w:rsidRDefault="00083017" w:rsidP="002542E1">
            <w:pPr>
              <w:pStyle w:val="ARfintablebodyrightbold"/>
              <w:rPr>
                <w:highlight w:val="green"/>
              </w:rPr>
            </w:pPr>
            <w:r w:rsidRPr="001E4FFE">
              <w:t>1,779.0</w:t>
            </w:r>
          </w:p>
        </w:tc>
      </w:tr>
      <w:tr w:rsidR="00083017" w:rsidRPr="00BA7805" w14:paraId="37CB841A" w14:textId="77777777" w:rsidTr="003D7AC8">
        <w:tc>
          <w:tcPr>
            <w:tcW w:w="5000" w:type="pct"/>
            <w:gridSpan w:val="3"/>
            <w:tcBorders>
              <w:top w:val="single" w:sz="4" w:space="0" w:color="auto"/>
              <w:bottom w:val="single" w:sz="4" w:space="0" w:color="A6A6A6"/>
            </w:tcBorders>
          </w:tcPr>
          <w:p w14:paraId="3CDE50B8" w14:textId="77777777" w:rsidR="00083017" w:rsidRPr="00BA7805" w:rsidRDefault="00083017" w:rsidP="002542E1">
            <w:pPr>
              <w:pStyle w:val="ARfintablebodybold"/>
              <w:rPr>
                <w:highlight w:val="green"/>
              </w:rPr>
            </w:pPr>
            <w:r w:rsidRPr="001E4FFE">
              <w:t>Expenses from transactions</w:t>
            </w:r>
          </w:p>
        </w:tc>
      </w:tr>
      <w:tr w:rsidR="00083017" w:rsidRPr="00BA7805" w14:paraId="7232CC2C" w14:textId="77777777" w:rsidTr="003D7AC8">
        <w:tc>
          <w:tcPr>
            <w:tcW w:w="3588" w:type="pct"/>
            <w:tcBorders>
              <w:top w:val="single" w:sz="4" w:space="0" w:color="A6A6A6"/>
              <w:bottom w:val="single" w:sz="4" w:space="0" w:color="A6A6A6"/>
            </w:tcBorders>
          </w:tcPr>
          <w:p w14:paraId="1597AA72" w14:textId="77777777" w:rsidR="00083017" w:rsidRPr="00BA7805" w:rsidRDefault="00083017" w:rsidP="002542E1">
            <w:pPr>
              <w:pStyle w:val="ARfintablebody"/>
              <w:rPr>
                <w:highlight w:val="green"/>
              </w:rPr>
            </w:pPr>
            <w:r w:rsidRPr="001E4FFE">
              <w:t>Employee benefits</w:t>
            </w:r>
          </w:p>
        </w:tc>
        <w:tc>
          <w:tcPr>
            <w:tcW w:w="706" w:type="pct"/>
            <w:tcBorders>
              <w:top w:val="single" w:sz="4" w:space="0" w:color="A6A6A6"/>
              <w:bottom w:val="single" w:sz="4" w:space="0" w:color="A6A6A6"/>
            </w:tcBorders>
            <w:shd w:val="clear" w:color="auto" w:fill="E7E6E6"/>
            <w:noWrap/>
          </w:tcPr>
          <w:p w14:paraId="76729873" w14:textId="77777777" w:rsidR="00083017" w:rsidRPr="00BA7805" w:rsidRDefault="00083017" w:rsidP="002542E1">
            <w:pPr>
              <w:pStyle w:val="ARfintablebodyright"/>
              <w:rPr>
                <w:highlight w:val="green"/>
              </w:rPr>
            </w:pPr>
            <w:r w:rsidRPr="001E4FFE">
              <w:t>183.2</w:t>
            </w:r>
          </w:p>
        </w:tc>
        <w:tc>
          <w:tcPr>
            <w:tcW w:w="706" w:type="pct"/>
            <w:tcBorders>
              <w:top w:val="single" w:sz="4" w:space="0" w:color="A6A6A6"/>
              <w:bottom w:val="single" w:sz="4" w:space="0" w:color="A6A6A6"/>
            </w:tcBorders>
            <w:noWrap/>
          </w:tcPr>
          <w:p w14:paraId="254F6718" w14:textId="77777777" w:rsidR="00083017" w:rsidRPr="00BA7805" w:rsidRDefault="00083017" w:rsidP="002542E1">
            <w:pPr>
              <w:pStyle w:val="ARfintablebodyright"/>
              <w:rPr>
                <w:highlight w:val="green"/>
              </w:rPr>
            </w:pPr>
            <w:r w:rsidRPr="001E4FFE">
              <w:t>166.4</w:t>
            </w:r>
          </w:p>
        </w:tc>
      </w:tr>
      <w:tr w:rsidR="00083017" w:rsidRPr="00BA7805" w14:paraId="0F295F9F" w14:textId="77777777" w:rsidTr="003D7AC8">
        <w:tc>
          <w:tcPr>
            <w:tcW w:w="3588" w:type="pct"/>
            <w:tcBorders>
              <w:top w:val="single" w:sz="4" w:space="0" w:color="A6A6A6"/>
              <w:bottom w:val="single" w:sz="4" w:space="0" w:color="A6A6A6"/>
            </w:tcBorders>
          </w:tcPr>
          <w:p w14:paraId="21CFA6A0" w14:textId="77777777" w:rsidR="00083017" w:rsidRPr="00BA7805" w:rsidRDefault="00083017" w:rsidP="002542E1">
            <w:pPr>
              <w:pStyle w:val="ARfintablebody"/>
              <w:rPr>
                <w:highlight w:val="green"/>
              </w:rPr>
            </w:pPr>
            <w:r w:rsidRPr="001E4FFE">
              <w:t>Depreciation and amortisation</w:t>
            </w:r>
          </w:p>
        </w:tc>
        <w:tc>
          <w:tcPr>
            <w:tcW w:w="706" w:type="pct"/>
            <w:tcBorders>
              <w:top w:val="single" w:sz="4" w:space="0" w:color="A6A6A6"/>
              <w:bottom w:val="single" w:sz="4" w:space="0" w:color="A6A6A6"/>
            </w:tcBorders>
            <w:shd w:val="clear" w:color="auto" w:fill="E7E6E6"/>
            <w:noWrap/>
          </w:tcPr>
          <w:p w14:paraId="36381EAB" w14:textId="77777777" w:rsidR="00083017" w:rsidRPr="00BA7805" w:rsidRDefault="00083017" w:rsidP="002542E1">
            <w:pPr>
              <w:pStyle w:val="ARfintablebodyright"/>
              <w:rPr>
                <w:highlight w:val="green"/>
              </w:rPr>
            </w:pPr>
            <w:r w:rsidRPr="001E4FFE">
              <w:t>367.3</w:t>
            </w:r>
          </w:p>
        </w:tc>
        <w:tc>
          <w:tcPr>
            <w:tcW w:w="706" w:type="pct"/>
            <w:tcBorders>
              <w:top w:val="single" w:sz="4" w:space="0" w:color="A6A6A6"/>
              <w:bottom w:val="single" w:sz="4" w:space="0" w:color="A6A6A6"/>
            </w:tcBorders>
            <w:noWrap/>
          </w:tcPr>
          <w:p w14:paraId="21FD5818" w14:textId="77777777" w:rsidR="00083017" w:rsidRPr="00BA7805" w:rsidRDefault="00083017" w:rsidP="002542E1">
            <w:pPr>
              <w:pStyle w:val="ARfintablebodyright"/>
              <w:rPr>
                <w:highlight w:val="green"/>
              </w:rPr>
            </w:pPr>
            <w:r w:rsidRPr="001E4FFE">
              <w:t>315.0</w:t>
            </w:r>
          </w:p>
        </w:tc>
      </w:tr>
      <w:tr w:rsidR="00083017" w:rsidRPr="00BA7805" w14:paraId="64A90292" w14:textId="77777777" w:rsidTr="003D7AC8">
        <w:tc>
          <w:tcPr>
            <w:tcW w:w="3588" w:type="pct"/>
            <w:tcBorders>
              <w:top w:val="single" w:sz="4" w:space="0" w:color="A6A6A6"/>
              <w:bottom w:val="single" w:sz="4" w:space="0" w:color="A6A6A6"/>
            </w:tcBorders>
          </w:tcPr>
          <w:p w14:paraId="41461481" w14:textId="77777777" w:rsidR="00083017" w:rsidRPr="00BA7805" w:rsidRDefault="00083017" w:rsidP="002542E1">
            <w:pPr>
              <w:pStyle w:val="ARfintablebody"/>
              <w:rPr>
                <w:highlight w:val="green"/>
              </w:rPr>
            </w:pPr>
            <w:r w:rsidRPr="001E4FFE">
              <w:t>Grants and other transfers</w:t>
            </w:r>
          </w:p>
        </w:tc>
        <w:tc>
          <w:tcPr>
            <w:tcW w:w="706" w:type="pct"/>
            <w:tcBorders>
              <w:top w:val="single" w:sz="4" w:space="0" w:color="A6A6A6"/>
              <w:bottom w:val="single" w:sz="4" w:space="0" w:color="A6A6A6"/>
            </w:tcBorders>
            <w:shd w:val="clear" w:color="auto" w:fill="E7E6E6"/>
            <w:noWrap/>
          </w:tcPr>
          <w:p w14:paraId="388D661D" w14:textId="77777777" w:rsidR="00083017" w:rsidRPr="00BA7805" w:rsidRDefault="00083017" w:rsidP="002542E1">
            <w:pPr>
              <w:pStyle w:val="ARfintablebodyright"/>
              <w:rPr>
                <w:highlight w:val="green"/>
              </w:rPr>
            </w:pPr>
            <w:r w:rsidRPr="001E4FFE">
              <w:t>821.8</w:t>
            </w:r>
          </w:p>
        </w:tc>
        <w:tc>
          <w:tcPr>
            <w:tcW w:w="706" w:type="pct"/>
            <w:tcBorders>
              <w:top w:val="single" w:sz="4" w:space="0" w:color="A6A6A6"/>
              <w:bottom w:val="single" w:sz="4" w:space="0" w:color="A6A6A6"/>
            </w:tcBorders>
            <w:noWrap/>
          </w:tcPr>
          <w:p w14:paraId="23934ACB" w14:textId="77777777" w:rsidR="00083017" w:rsidRPr="00BA7805" w:rsidRDefault="00083017" w:rsidP="002542E1">
            <w:pPr>
              <w:pStyle w:val="ARfintablebodyright"/>
              <w:rPr>
                <w:highlight w:val="green"/>
              </w:rPr>
            </w:pPr>
            <w:r w:rsidRPr="001E4FFE">
              <w:t>939.5</w:t>
            </w:r>
          </w:p>
        </w:tc>
      </w:tr>
      <w:tr w:rsidR="00083017" w:rsidRPr="00BA7805" w14:paraId="60BB6206" w14:textId="77777777" w:rsidTr="003D7AC8">
        <w:tc>
          <w:tcPr>
            <w:tcW w:w="3588" w:type="pct"/>
            <w:tcBorders>
              <w:top w:val="single" w:sz="4" w:space="0" w:color="A6A6A6"/>
              <w:bottom w:val="single" w:sz="4" w:space="0" w:color="A6A6A6"/>
            </w:tcBorders>
          </w:tcPr>
          <w:p w14:paraId="42D4770D" w14:textId="77777777" w:rsidR="00083017" w:rsidRPr="00BA7805" w:rsidRDefault="00083017" w:rsidP="002542E1">
            <w:pPr>
              <w:pStyle w:val="ARfintablebody"/>
              <w:rPr>
                <w:highlight w:val="green"/>
              </w:rPr>
            </w:pPr>
            <w:r w:rsidRPr="001E4FFE">
              <w:t>Other operating expenses</w:t>
            </w:r>
          </w:p>
        </w:tc>
        <w:tc>
          <w:tcPr>
            <w:tcW w:w="706" w:type="pct"/>
            <w:tcBorders>
              <w:top w:val="single" w:sz="4" w:space="0" w:color="A6A6A6"/>
              <w:bottom w:val="single" w:sz="4" w:space="0" w:color="A6A6A6"/>
            </w:tcBorders>
            <w:shd w:val="clear" w:color="auto" w:fill="E7E6E6"/>
            <w:noWrap/>
          </w:tcPr>
          <w:p w14:paraId="6BE809A8" w14:textId="77777777" w:rsidR="00083017" w:rsidRPr="00BA7805" w:rsidRDefault="00083017" w:rsidP="002542E1">
            <w:pPr>
              <w:pStyle w:val="ARfintablebodyright"/>
              <w:rPr>
                <w:highlight w:val="green"/>
              </w:rPr>
            </w:pPr>
            <w:r w:rsidRPr="001E4FFE">
              <w:t>100.4</w:t>
            </w:r>
          </w:p>
        </w:tc>
        <w:tc>
          <w:tcPr>
            <w:tcW w:w="706" w:type="pct"/>
            <w:tcBorders>
              <w:top w:val="single" w:sz="4" w:space="0" w:color="A6A6A6"/>
              <w:bottom w:val="single" w:sz="4" w:space="0" w:color="A6A6A6"/>
            </w:tcBorders>
            <w:noWrap/>
          </w:tcPr>
          <w:p w14:paraId="3FC76D5D" w14:textId="77777777" w:rsidR="00083017" w:rsidRPr="00BA7805" w:rsidRDefault="00083017" w:rsidP="002542E1">
            <w:pPr>
              <w:pStyle w:val="ARfintablebodyright"/>
              <w:rPr>
                <w:highlight w:val="green"/>
              </w:rPr>
            </w:pPr>
            <w:r w:rsidRPr="001E4FFE">
              <w:t>78.1</w:t>
            </w:r>
          </w:p>
        </w:tc>
      </w:tr>
      <w:tr w:rsidR="00083017" w:rsidRPr="00BA7805" w14:paraId="6CF7785E" w14:textId="77777777" w:rsidTr="003D7AC8">
        <w:tc>
          <w:tcPr>
            <w:tcW w:w="3588" w:type="pct"/>
            <w:tcBorders>
              <w:top w:val="single" w:sz="4" w:space="0" w:color="A6A6A6"/>
              <w:bottom w:val="single" w:sz="4" w:space="0" w:color="A6A6A6"/>
            </w:tcBorders>
          </w:tcPr>
          <w:p w14:paraId="0FAC66D6" w14:textId="77777777" w:rsidR="00083017" w:rsidRPr="00BA7805" w:rsidRDefault="00083017" w:rsidP="002542E1">
            <w:pPr>
              <w:pStyle w:val="ARfintablebody"/>
              <w:rPr>
                <w:highlight w:val="green"/>
              </w:rPr>
            </w:pPr>
            <w:r w:rsidRPr="001E4FFE">
              <w:t>Property management expenses</w:t>
            </w:r>
          </w:p>
        </w:tc>
        <w:tc>
          <w:tcPr>
            <w:tcW w:w="706" w:type="pct"/>
            <w:tcBorders>
              <w:top w:val="single" w:sz="4" w:space="0" w:color="A6A6A6"/>
              <w:bottom w:val="single" w:sz="4" w:space="0" w:color="A6A6A6"/>
            </w:tcBorders>
            <w:shd w:val="clear" w:color="auto" w:fill="E7E6E6"/>
            <w:noWrap/>
          </w:tcPr>
          <w:p w14:paraId="63F1CD5F" w14:textId="77777777" w:rsidR="00083017" w:rsidRPr="00BA7805" w:rsidRDefault="00083017" w:rsidP="002542E1">
            <w:pPr>
              <w:pStyle w:val="ARfintablebodyright"/>
              <w:rPr>
                <w:highlight w:val="green"/>
              </w:rPr>
            </w:pPr>
            <w:r w:rsidRPr="001E4FFE">
              <w:t>526.3</w:t>
            </w:r>
          </w:p>
        </w:tc>
        <w:tc>
          <w:tcPr>
            <w:tcW w:w="706" w:type="pct"/>
            <w:tcBorders>
              <w:top w:val="single" w:sz="4" w:space="0" w:color="A6A6A6"/>
              <w:bottom w:val="single" w:sz="4" w:space="0" w:color="A6A6A6"/>
            </w:tcBorders>
            <w:noWrap/>
          </w:tcPr>
          <w:p w14:paraId="4E60A71A" w14:textId="77777777" w:rsidR="00083017" w:rsidRPr="00BA7805" w:rsidRDefault="00083017" w:rsidP="002542E1">
            <w:pPr>
              <w:pStyle w:val="ARfintablebodyright"/>
              <w:rPr>
                <w:highlight w:val="green"/>
              </w:rPr>
            </w:pPr>
            <w:r w:rsidRPr="001E4FFE">
              <w:t>502.3</w:t>
            </w:r>
          </w:p>
        </w:tc>
      </w:tr>
      <w:tr w:rsidR="00083017" w:rsidRPr="00BA7805" w14:paraId="22635052" w14:textId="77777777" w:rsidTr="003D7AC8">
        <w:tc>
          <w:tcPr>
            <w:tcW w:w="3588" w:type="pct"/>
          </w:tcPr>
          <w:p w14:paraId="6CD1ABE0" w14:textId="77777777" w:rsidR="00083017" w:rsidRPr="00BA7805" w:rsidRDefault="00083017" w:rsidP="002542E1">
            <w:pPr>
              <w:pStyle w:val="ARfintablebodybold"/>
              <w:rPr>
                <w:highlight w:val="green"/>
              </w:rPr>
            </w:pPr>
            <w:r w:rsidRPr="001E4FFE">
              <w:t>Total expenses from transactions</w:t>
            </w:r>
          </w:p>
        </w:tc>
        <w:tc>
          <w:tcPr>
            <w:tcW w:w="706" w:type="pct"/>
            <w:shd w:val="clear" w:color="auto" w:fill="E7E6E6"/>
            <w:noWrap/>
          </w:tcPr>
          <w:p w14:paraId="42BBA8C9" w14:textId="77777777" w:rsidR="00083017" w:rsidRPr="00BA7805" w:rsidRDefault="00083017" w:rsidP="002542E1">
            <w:pPr>
              <w:pStyle w:val="ARfintablebodyrightbold"/>
              <w:rPr>
                <w:highlight w:val="green"/>
              </w:rPr>
            </w:pPr>
            <w:r w:rsidRPr="001E4FFE">
              <w:t>1,999.0</w:t>
            </w:r>
          </w:p>
        </w:tc>
        <w:tc>
          <w:tcPr>
            <w:tcW w:w="706" w:type="pct"/>
            <w:noWrap/>
          </w:tcPr>
          <w:p w14:paraId="3446FCF7" w14:textId="77777777" w:rsidR="00083017" w:rsidRPr="00BA7805" w:rsidRDefault="00083017" w:rsidP="002542E1">
            <w:pPr>
              <w:pStyle w:val="ARfintablebodyrightbold"/>
              <w:rPr>
                <w:highlight w:val="green"/>
              </w:rPr>
            </w:pPr>
            <w:r w:rsidRPr="001E4FFE">
              <w:t>2,001.3</w:t>
            </w:r>
          </w:p>
        </w:tc>
      </w:tr>
      <w:tr w:rsidR="00083017" w:rsidRPr="00BA7805" w14:paraId="247BB98B" w14:textId="77777777" w:rsidTr="003D7AC8">
        <w:tc>
          <w:tcPr>
            <w:tcW w:w="3588" w:type="pct"/>
            <w:tcBorders>
              <w:bottom w:val="single" w:sz="4" w:space="0" w:color="auto"/>
            </w:tcBorders>
          </w:tcPr>
          <w:p w14:paraId="570D234B" w14:textId="77777777" w:rsidR="00083017" w:rsidRPr="00BA7805" w:rsidRDefault="00083017" w:rsidP="002542E1">
            <w:pPr>
              <w:pStyle w:val="ARfintablebodybold"/>
              <w:rPr>
                <w:highlight w:val="green"/>
              </w:rPr>
            </w:pPr>
            <w:r w:rsidRPr="001E4FFE">
              <w:t xml:space="preserve">Net result from transactions (net operating balance) </w:t>
            </w:r>
            <w:r w:rsidRPr="00D53536">
              <w:rPr>
                <w:vertAlign w:val="superscript"/>
              </w:rPr>
              <w:t>(i)</w:t>
            </w:r>
          </w:p>
        </w:tc>
        <w:tc>
          <w:tcPr>
            <w:tcW w:w="706" w:type="pct"/>
            <w:tcBorders>
              <w:bottom w:val="single" w:sz="4" w:space="0" w:color="auto"/>
            </w:tcBorders>
            <w:shd w:val="clear" w:color="auto" w:fill="E7E6E6"/>
            <w:noWrap/>
          </w:tcPr>
          <w:p w14:paraId="2E0FD55B" w14:textId="77777777" w:rsidR="00083017" w:rsidRPr="00BA7805" w:rsidRDefault="00083017" w:rsidP="002542E1">
            <w:pPr>
              <w:pStyle w:val="ARfintablebodyrightbold"/>
              <w:rPr>
                <w:highlight w:val="green"/>
              </w:rPr>
            </w:pPr>
            <w:r w:rsidRPr="001E4FFE">
              <w:t>(428.6)</w:t>
            </w:r>
          </w:p>
        </w:tc>
        <w:tc>
          <w:tcPr>
            <w:tcW w:w="706" w:type="pct"/>
            <w:tcBorders>
              <w:bottom w:val="single" w:sz="4" w:space="0" w:color="auto"/>
            </w:tcBorders>
            <w:noWrap/>
          </w:tcPr>
          <w:p w14:paraId="3078C71F" w14:textId="77777777" w:rsidR="00083017" w:rsidRPr="00BA7805" w:rsidRDefault="00083017" w:rsidP="002542E1">
            <w:pPr>
              <w:pStyle w:val="ARfintablebodyrightbold"/>
              <w:rPr>
                <w:highlight w:val="green"/>
              </w:rPr>
            </w:pPr>
            <w:r w:rsidRPr="001E4FFE">
              <w:t>(222.3)</w:t>
            </w:r>
          </w:p>
        </w:tc>
      </w:tr>
      <w:tr w:rsidR="00083017" w:rsidRPr="00BA7805" w14:paraId="77D80373" w14:textId="77777777" w:rsidTr="003D7AC8">
        <w:tc>
          <w:tcPr>
            <w:tcW w:w="5000" w:type="pct"/>
            <w:gridSpan w:val="3"/>
            <w:tcBorders>
              <w:top w:val="single" w:sz="4" w:space="0" w:color="auto"/>
              <w:bottom w:val="single" w:sz="4" w:space="0" w:color="A6A6A6"/>
            </w:tcBorders>
          </w:tcPr>
          <w:p w14:paraId="3989D5B3" w14:textId="77777777" w:rsidR="00083017" w:rsidRPr="00BA7805" w:rsidRDefault="00083017" w:rsidP="002542E1">
            <w:pPr>
              <w:pStyle w:val="ARfintablebodybold"/>
              <w:rPr>
                <w:highlight w:val="green"/>
              </w:rPr>
            </w:pPr>
            <w:r w:rsidRPr="001E4FFE">
              <w:t>Other economic flows included in net result</w:t>
            </w:r>
          </w:p>
        </w:tc>
      </w:tr>
      <w:tr w:rsidR="00083017" w:rsidRPr="00BA7805" w14:paraId="34FD6C8B" w14:textId="77777777" w:rsidTr="003D7AC8">
        <w:tc>
          <w:tcPr>
            <w:tcW w:w="3588" w:type="pct"/>
            <w:tcBorders>
              <w:top w:val="single" w:sz="4" w:space="0" w:color="A6A6A6"/>
              <w:bottom w:val="single" w:sz="4" w:space="0" w:color="A6A6A6"/>
            </w:tcBorders>
          </w:tcPr>
          <w:p w14:paraId="3509414C" w14:textId="77777777" w:rsidR="00083017" w:rsidRPr="00BA7805" w:rsidRDefault="00083017" w:rsidP="002542E1">
            <w:pPr>
              <w:pStyle w:val="ARfintablebody"/>
              <w:rPr>
                <w:highlight w:val="green"/>
              </w:rPr>
            </w:pPr>
            <w:r w:rsidRPr="001E4FFE">
              <w:t xml:space="preserve">Net gain/(loss) on non-financial assets </w:t>
            </w:r>
          </w:p>
        </w:tc>
        <w:tc>
          <w:tcPr>
            <w:tcW w:w="706" w:type="pct"/>
            <w:tcBorders>
              <w:top w:val="single" w:sz="4" w:space="0" w:color="A6A6A6"/>
              <w:bottom w:val="single" w:sz="4" w:space="0" w:color="A6A6A6"/>
            </w:tcBorders>
            <w:shd w:val="clear" w:color="auto" w:fill="E7E6E6"/>
            <w:noWrap/>
          </w:tcPr>
          <w:p w14:paraId="3F1AD774" w14:textId="77777777" w:rsidR="00083017" w:rsidRPr="00BA7805" w:rsidRDefault="00083017" w:rsidP="002542E1">
            <w:pPr>
              <w:pStyle w:val="ARfintablebodyright"/>
              <w:rPr>
                <w:highlight w:val="green"/>
              </w:rPr>
            </w:pPr>
            <w:r w:rsidRPr="001E4FFE">
              <w:t>(14.3)</w:t>
            </w:r>
          </w:p>
        </w:tc>
        <w:tc>
          <w:tcPr>
            <w:tcW w:w="706" w:type="pct"/>
            <w:tcBorders>
              <w:top w:val="single" w:sz="4" w:space="0" w:color="A6A6A6"/>
              <w:bottom w:val="single" w:sz="4" w:space="0" w:color="A6A6A6"/>
            </w:tcBorders>
            <w:noWrap/>
          </w:tcPr>
          <w:p w14:paraId="03C844A0" w14:textId="77777777" w:rsidR="00083017" w:rsidRPr="00BA7805" w:rsidRDefault="00083017" w:rsidP="002542E1">
            <w:pPr>
              <w:pStyle w:val="ARfintablebodyright"/>
              <w:rPr>
                <w:highlight w:val="green"/>
              </w:rPr>
            </w:pPr>
            <w:r w:rsidRPr="001E4FFE">
              <w:t>(9.1)</w:t>
            </w:r>
          </w:p>
        </w:tc>
      </w:tr>
      <w:tr w:rsidR="00083017" w:rsidRPr="00BA7805" w14:paraId="0D73A72C" w14:textId="77777777" w:rsidTr="003D7AC8">
        <w:tc>
          <w:tcPr>
            <w:tcW w:w="3588" w:type="pct"/>
            <w:tcBorders>
              <w:top w:val="single" w:sz="4" w:space="0" w:color="A6A6A6"/>
            </w:tcBorders>
          </w:tcPr>
          <w:p w14:paraId="7939CFBB" w14:textId="77777777" w:rsidR="00083017" w:rsidRPr="00BA7805" w:rsidRDefault="00083017" w:rsidP="002542E1">
            <w:pPr>
              <w:pStyle w:val="ARfintablebody"/>
              <w:rPr>
                <w:highlight w:val="green"/>
              </w:rPr>
            </w:pPr>
            <w:r w:rsidRPr="001E4FFE">
              <w:t>Other gains/(losses) from other economic flows</w:t>
            </w:r>
          </w:p>
        </w:tc>
        <w:tc>
          <w:tcPr>
            <w:tcW w:w="706" w:type="pct"/>
            <w:tcBorders>
              <w:top w:val="single" w:sz="4" w:space="0" w:color="A6A6A6"/>
            </w:tcBorders>
            <w:shd w:val="clear" w:color="auto" w:fill="E7E6E6"/>
            <w:noWrap/>
          </w:tcPr>
          <w:p w14:paraId="39E344D3" w14:textId="77777777" w:rsidR="00083017" w:rsidRPr="00BA7805" w:rsidRDefault="00083017" w:rsidP="002542E1">
            <w:pPr>
              <w:pStyle w:val="ARfintablebodyright"/>
              <w:rPr>
                <w:highlight w:val="green"/>
              </w:rPr>
            </w:pPr>
            <w:r w:rsidRPr="001E4FFE">
              <w:t>(2.8)</w:t>
            </w:r>
          </w:p>
        </w:tc>
        <w:tc>
          <w:tcPr>
            <w:tcW w:w="706" w:type="pct"/>
            <w:tcBorders>
              <w:top w:val="single" w:sz="4" w:space="0" w:color="A6A6A6"/>
            </w:tcBorders>
            <w:noWrap/>
          </w:tcPr>
          <w:p w14:paraId="5ED43149" w14:textId="77777777" w:rsidR="00083017" w:rsidRPr="00BA7805" w:rsidRDefault="00083017" w:rsidP="002542E1">
            <w:pPr>
              <w:pStyle w:val="ARfintablebodyright"/>
              <w:rPr>
                <w:highlight w:val="green"/>
              </w:rPr>
            </w:pPr>
            <w:r w:rsidRPr="001E4FFE">
              <w:t>(4.7)</w:t>
            </w:r>
          </w:p>
        </w:tc>
      </w:tr>
      <w:tr w:rsidR="00083017" w:rsidRPr="00BA7805" w14:paraId="4DAA67AA" w14:textId="77777777" w:rsidTr="003D7AC8">
        <w:tc>
          <w:tcPr>
            <w:tcW w:w="3588" w:type="pct"/>
          </w:tcPr>
          <w:p w14:paraId="28E0FACF" w14:textId="77777777" w:rsidR="00083017" w:rsidRPr="00BA7805" w:rsidRDefault="00083017" w:rsidP="002542E1">
            <w:pPr>
              <w:pStyle w:val="ARfintablebodybold"/>
              <w:rPr>
                <w:highlight w:val="green"/>
              </w:rPr>
            </w:pPr>
            <w:r w:rsidRPr="001E4FFE">
              <w:t>Total other economic flows included in net result</w:t>
            </w:r>
          </w:p>
        </w:tc>
        <w:tc>
          <w:tcPr>
            <w:tcW w:w="706" w:type="pct"/>
            <w:shd w:val="clear" w:color="auto" w:fill="E7E6E6"/>
            <w:noWrap/>
          </w:tcPr>
          <w:p w14:paraId="5A029709" w14:textId="77777777" w:rsidR="00083017" w:rsidRPr="00BA7805" w:rsidRDefault="00083017" w:rsidP="002542E1">
            <w:pPr>
              <w:pStyle w:val="ARfintablebodyrightbold"/>
              <w:rPr>
                <w:highlight w:val="green"/>
              </w:rPr>
            </w:pPr>
            <w:r w:rsidRPr="001E4FFE">
              <w:t>(17.1)</w:t>
            </w:r>
          </w:p>
        </w:tc>
        <w:tc>
          <w:tcPr>
            <w:tcW w:w="706" w:type="pct"/>
            <w:noWrap/>
          </w:tcPr>
          <w:p w14:paraId="30692B2F" w14:textId="77777777" w:rsidR="00083017" w:rsidRPr="00BA7805" w:rsidRDefault="00083017" w:rsidP="002542E1">
            <w:pPr>
              <w:pStyle w:val="ARfintablebodyrightbold"/>
              <w:rPr>
                <w:highlight w:val="green"/>
              </w:rPr>
            </w:pPr>
            <w:r w:rsidRPr="001E4FFE">
              <w:t>(13.8)</w:t>
            </w:r>
          </w:p>
        </w:tc>
      </w:tr>
      <w:tr w:rsidR="00083017" w:rsidRPr="00BA7805" w14:paraId="42FFFCA0" w14:textId="77777777" w:rsidTr="003D7AC8">
        <w:tc>
          <w:tcPr>
            <w:tcW w:w="3588" w:type="pct"/>
            <w:tcBorders>
              <w:bottom w:val="single" w:sz="4" w:space="0" w:color="auto"/>
            </w:tcBorders>
          </w:tcPr>
          <w:p w14:paraId="1D57CA70" w14:textId="77777777" w:rsidR="00083017" w:rsidRPr="00BA7805" w:rsidRDefault="00083017" w:rsidP="002542E1">
            <w:pPr>
              <w:pStyle w:val="ARfintablebodybold"/>
              <w:rPr>
                <w:highlight w:val="green"/>
              </w:rPr>
            </w:pPr>
            <w:r w:rsidRPr="001E4FFE">
              <w:t>Net result</w:t>
            </w:r>
          </w:p>
        </w:tc>
        <w:tc>
          <w:tcPr>
            <w:tcW w:w="706" w:type="pct"/>
            <w:tcBorders>
              <w:bottom w:val="single" w:sz="4" w:space="0" w:color="auto"/>
            </w:tcBorders>
            <w:shd w:val="clear" w:color="auto" w:fill="E7E6E6"/>
            <w:noWrap/>
          </w:tcPr>
          <w:p w14:paraId="4BFDF0D2" w14:textId="77777777" w:rsidR="00083017" w:rsidRPr="00BA7805" w:rsidRDefault="00083017" w:rsidP="002542E1">
            <w:pPr>
              <w:pStyle w:val="ARfintablebodyrightbold"/>
              <w:rPr>
                <w:highlight w:val="green"/>
              </w:rPr>
            </w:pPr>
            <w:r w:rsidRPr="001E4FFE">
              <w:t>(445.7)</w:t>
            </w:r>
          </w:p>
        </w:tc>
        <w:tc>
          <w:tcPr>
            <w:tcW w:w="706" w:type="pct"/>
            <w:tcBorders>
              <w:bottom w:val="single" w:sz="4" w:space="0" w:color="auto"/>
            </w:tcBorders>
            <w:noWrap/>
          </w:tcPr>
          <w:p w14:paraId="680C82BA" w14:textId="77777777" w:rsidR="00083017" w:rsidRPr="00BA7805" w:rsidRDefault="00083017" w:rsidP="002542E1">
            <w:pPr>
              <w:pStyle w:val="ARfintablebodyrightbold"/>
              <w:rPr>
                <w:highlight w:val="green"/>
              </w:rPr>
            </w:pPr>
            <w:r w:rsidRPr="001E4FFE">
              <w:t>(236.1)</w:t>
            </w:r>
          </w:p>
        </w:tc>
      </w:tr>
      <w:tr w:rsidR="00083017" w:rsidRPr="00BA7805" w14:paraId="0BAB0FDF" w14:textId="77777777">
        <w:tc>
          <w:tcPr>
            <w:tcW w:w="5000" w:type="pct"/>
            <w:gridSpan w:val="3"/>
            <w:tcBorders>
              <w:top w:val="single" w:sz="4" w:space="0" w:color="auto"/>
              <w:bottom w:val="single" w:sz="4" w:space="0" w:color="A6A6A6"/>
            </w:tcBorders>
          </w:tcPr>
          <w:p w14:paraId="718B64E8" w14:textId="77777777" w:rsidR="00083017" w:rsidRPr="00BA7805" w:rsidRDefault="00083017" w:rsidP="002542E1">
            <w:pPr>
              <w:pStyle w:val="ARfintablebodybold"/>
              <w:rPr>
                <w:highlight w:val="green"/>
              </w:rPr>
            </w:pPr>
            <w:r w:rsidRPr="001E4FFE">
              <w:t xml:space="preserve">Other economic flows </w:t>
            </w:r>
            <w:r>
              <w:t>–</w:t>
            </w:r>
            <w:r w:rsidRPr="001E4FFE">
              <w:t xml:space="preserve"> other comprehensive income</w:t>
            </w:r>
          </w:p>
        </w:tc>
      </w:tr>
      <w:tr w:rsidR="00083017" w:rsidRPr="00BA7805" w14:paraId="7720C0CE" w14:textId="77777777" w:rsidTr="003D7AC8">
        <w:tc>
          <w:tcPr>
            <w:tcW w:w="5000" w:type="pct"/>
            <w:gridSpan w:val="3"/>
            <w:tcBorders>
              <w:top w:val="single" w:sz="4" w:space="0" w:color="A6A6A6"/>
              <w:bottom w:val="single" w:sz="4" w:space="0" w:color="A6A6A6"/>
            </w:tcBorders>
          </w:tcPr>
          <w:p w14:paraId="3C8C8D97" w14:textId="77777777" w:rsidR="00083017" w:rsidRPr="00BA7805" w:rsidRDefault="00083017" w:rsidP="002542E1">
            <w:pPr>
              <w:pStyle w:val="ARfintablebodybold"/>
              <w:rPr>
                <w:highlight w:val="green"/>
              </w:rPr>
            </w:pPr>
            <w:r w:rsidRPr="001E4FFE">
              <w:t>Items that will not be reclassified to net result</w:t>
            </w:r>
          </w:p>
        </w:tc>
      </w:tr>
      <w:tr w:rsidR="00083017" w:rsidRPr="00BA7805" w14:paraId="7FCD447B" w14:textId="77777777" w:rsidTr="002542E1">
        <w:trPr>
          <w:trHeight w:val="20"/>
        </w:trPr>
        <w:tc>
          <w:tcPr>
            <w:tcW w:w="3588" w:type="pct"/>
            <w:tcBorders>
              <w:top w:val="single" w:sz="4" w:space="0" w:color="A6A6A6"/>
              <w:bottom w:val="single" w:sz="4" w:space="0" w:color="A6A6A6"/>
            </w:tcBorders>
          </w:tcPr>
          <w:p w14:paraId="3E918EB4" w14:textId="77777777" w:rsidR="00083017" w:rsidRPr="00BA7805" w:rsidRDefault="00083017" w:rsidP="002542E1">
            <w:pPr>
              <w:pStyle w:val="ARfintablebody"/>
              <w:rPr>
                <w:highlight w:val="green"/>
              </w:rPr>
            </w:pPr>
            <w:r w:rsidRPr="001E4FFE">
              <w:t>Changes in physical asset revaluation surplus</w:t>
            </w:r>
            <w:r>
              <w:t xml:space="preserve"> </w:t>
            </w:r>
            <w:r w:rsidRPr="00556993">
              <w:rPr>
                <w:vertAlign w:val="superscript"/>
              </w:rPr>
              <w:t>(ii)</w:t>
            </w:r>
          </w:p>
        </w:tc>
        <w:tc>
          <w:tcPr>
            <w:tcW w:w="706" w:type="pct"/>
            <w:tcBorders>
              <w:top w:val="single" w:sz="4" w:space="0" w:color="A6A6A6"/>
              <w:bottom w:val="single" w:sz="4" w:space="0" w:color="A6A6A6"/>
            </w:tcBorders>
            <w:shd w:val="clear" w:color="auto" w:fill="E7E6E6"/>
            <w:noWrap/>
          </w:tcPr>
          <w:p w14:paraId="711C7092" w14:textId="77777777" w:rsidR="00083017" w:rsidRPr="00BA7805" w:rsidRDefault="00083017" w:rsidP="002542E1">
            <w:pPr>
              <w:pStyle w:val="ARfintablebodyright"/>
              <w:rPr>
                <w:highlight w:val="green"/>
              </w:rPr>
            </w:pPr>
            <w:r w:rsidRPr="001E4FFE">
              <w:t>1,238.9</w:t>
            </w:r>
          </w:p>
        </w:tc>
        <w:tc>
          <w:tcPr>
            <w:tcW w:w="706" w:type="pct"/>
            <w:tcBorders>
              <w:top w:val="single" w:sz="4" w:space="0" w:color="A6A6A6"/>
              <w:bottom w:val="single" w:sz="4" w:space="0" w:color="A6A6A6"/>
            </w:tcBorders>
            <w:noWrap/>
          </w:tcPr>
          <w:p w14:paraId="6B17816E" w14:textId="77777777" w:rsidR="00083017" w:rsidRPr="00BA7805" w:rsidRDefault="00083017" w:rsidP="002542E1">
            <w:pPr>
              <w:pStyle w:val="ARfintablebodyright"/>
              <w:rPr>
                <w:highlight w:val="green"/>
              </w:rPr>
            </w:pPr>
            <w:r w:rsidRPr="001E4FFE">
              <w:t>49.5</w:t>
            </w:r>
          </w:p>
        </w:tc>
      </w:tr>
      <w:tr w:rsidR="00083017" w:rsidRPr="00BA7805" w14:paraId="0C4493B4" w14:textId="77777777" w:rsidTr="003D7AC8">
        <w:tc>
          <w:tcPr>
            <w:tcW w:w="3588" w:type="pct"/>
            <w:tcBorders>
              <w:top w:val="single" w:sz="4" w:space="0" w:color="A6A6A6"/>
            </w:tcBorders>
          </w:tcPr>
          <w:p w14:paraId="00C915B4" w14:textId="77777777" w:rsidR="00083017" w:rsidRPr="00BA7805" w:rsidRDefault="00083017" w:rsidP="002542E1">
            <w:pPr>
              <w:pStyle w:val="ARfintablebody"/>
              <w:rPr>
                <w:highlight w:val="green"/>
              </w:rPr>
            </w:pPr>
            <w:r w:rsidRPr="001E4FFE">
              <w:t>Remeasurement of superannuation defined benefit plans</w:t>
            </w:r>
          </w:p>
        </w:tc>
        <w:tc>
          <w:tcPr>
            <w:tcW w:w="706" w:type="pct"/>
            <w:tcBorders>
              <w:top w:val="single" w:sz="4" w:space="0" w:color="A6A6A6"/>
            </w:tcBorders>
            <w:shd w:val="clear" w:color="auto" w:fill="E7E6E6"/>
            <w:noWrap/>
          </w:tcPr>
          <w:p w14:paraId="3D5246F9" w14:textId="77777777" w:rsidR="00083017" w:rsidRPr="00BA7805" w:rsidRDefault="00083017" w:rsidP="002542E1">
            <w:pPr>
              <w:pStyle w:val="ARfintablebodyright"/>
              <w:rPr>
                <w:highlight w:val="green"/>
              </w:rPr>
            </w:pPr>
            <w:r w:rsidRPr="001E4FFE">
              <w:t>2.0</w:t>
            </w:r>
          </w:p>
        </w:tc>
        <w:tc>
          <w:tcPr>
            <w:tcW w:w="706" w:type="pct"/>
            <w:tcBorders>
              <w:top w:val="single" w:sz="4" w:space="0" w:color="A6A6A6"/>
            </w:tcBorders>
            <w:noWrap/>
          </w:tcPr>
          <w:p w14:paraId="18799B39" w14:textId="77777777" w:rsidR="00083017" w:rsidRPr="00BA7805" w:rsidRDefault="00083017" w:rsidP="002542E1">
            <w:pPr>
              <w:pStyle w:val="ARfintablebodyright"/>
              <w:rPr>
                <w:highlight w:val="green"/>
              </w:rPr>
            </w:pPr>
            <w:r w:rsidRPr="001E4FFE">
              <w:t>1.0</w:t>
            </w:r>
          </w:p>
        </w:tc>
      </w:tr>
      <w:tr w:rsidR="00083017" w:rsidRPr="00BA7805" w14:paraId="1F22AC2D" w14:textId="77777777" w:rsidTr="003D7AC8">
        <w:tc>
          <w:tcPr>
            <w:tcW w:w="3588" w:type="pct"/>
          </w:tcPr>
          <w:p w14:paraId="3DE32A7F" w14:textId="77777777" w:rsidR="00083017" w:rsidRPr="00BA7805" w:rsidRDefault="00083017" w:rsidP="002542E1">
            <w:pPr>
              <w:pStyle w:val="ARfintablebodybold"/>
              <w:rPr>
                <w:highlight w:val="green"/>
              </w:rPr>
            </w:pPr>
            <w:r w:rsidRPr="001E4FFE">
              <w:t xml:space="preserve">Total other economic flows </w:t>
            </w:r>
            <w:r>
              <w:t>–</w:t>
            </w:r>
            <w:r w:rsidRPr="001E4FFE">
              <w:t xml:space="preserve"> other comprehensive income</w:t>
            </w:r>
          </w:p>
        </w:tc>
        <w:tc>
          <w:tcPr>
            <w:tcW w:w="706" w:type="pct"/>
            <w:shd w:val="clear" w:color="auto" w:fill="E7E6E6"/>
            <w:noWrap/>
          </w:tcPr>
          <w:p w14:paraId="4EE21643" w14:textId="77777777" w:rsidR="00083017" w:rsidRPr="00BA7805" w:rsidRDefault="00083017" w:rsidP="002542E1">
            <w:pPr>
              <w:pStyle w:val="ARfintablebodyrightbold"/>
              <w:rPr>
                <w:highlight w:val="green"/>
              </w:rPr>
            </w:pPr>
            <w:r w:rsidRPr="001E4FFE">
              <w:t>1,240.9</w:t>
            </w:r>
          </w:p>
        </w:tc>
        <w:tc>
          <w:tcPr>
            <w:tcW w:w="706" w:type="pct"/>
            <w:noWrap/>
          </w:tcPr>
          <w:p w14:paraId="527CF728" w14:textId="77777777" w:rsidR="00083017" w:rsidRPr="00BA7805" w:rsidRDefault="00083017" w:rsidP="002542E1">
            <w:pPr>
              <w:pStyle w:val="ARfintablebodyrightbold"/>
              <w:rPr>
                <w:highlight w:val="green"/>
              </w:rPr>
            </w:pPr>
            <w:r w:rsidRPr="001E4FFE">
              <w:t>50.5</w:t>
            </w:r>
          </w:p>
        </w:tc>
      </w:tr>
      <w:tr w:rsidR="00083017" w:rsidRPr="00BA7805" w14:paraId="0A304F66" w14:textId="77777777" w:rsidTr="003D7AC8">
        <w:tc>
          <w:tcPr>
            <w:tcW w:w="3588" w:type="pct"/>
          </w:tcPr>
          <w:p w14:paraId="1033EA61" w14:textId="77777777" w:rsidR="00083017" w:rsidRPr="00BA7805" w:rsidRDefault="00083017" w:rsidP="002542E1">
            <w:pPr>
              <w:pStyle w:val="ARfintablebodybold"/>
              <w:rPr>
                <w:highlight w:val="green"/>
              </w:rPr>
            </w:pPr>
            <w:r w:rsidRPr="001E4FFE">
              <w:t>Comprehensive result</w:t>
            </w:r>
          </w:p>
        </w:tc>
        <w:tc>
          <w:tcPr>
            <w:tcW w:w="706" w:type="pct"/>
            <w:shd w:val="clear" w:color="auto" w:fill="E7E6E6"/>
            <w:noWrap/>
          </w:tcPr>
          <w:p w14:paraId="32B34F46" w14:textId="77777777" w:rsidR="00083017" w:rsidRPr="00BA7805" w:rsidRDefault="00083017" w:rsidP="002542E1">
            <w:pPr>
              <w:pStyle w:val="ARfintablebodyrightbold"/>
              <w:rPr>
                <w:highlight w:val="green"/>
              </w:rPr>
            </w:pPr>
            <w:r w:rsidRPr="001E4FFE">
              <w:t>795.2</w:t>
            </w:r>
          </w:p>
        </w:tc>
        <w:tc>
          <w:tcPr>
            <w:tcW w:w="706" w:type="pct"/>
            <w:noWrap/>
          </w:tcPr>
          <w:p w14:paraId="23F50793" w14:textId="77777777" w:rsidR="00083017" w:rsidRPr="00BA7805" w:rsidRDefault="00083017" w:rsidP="002542E1">
            <w:pPr>
              <w:pStyle w:val="ARfintablebodyrightbold"/>
              <w:rPr>
                <w:highlight w:val="green"/>
              </w:rPr>
            </w:pPr>
            <w:r w:rsidRPr="001E4FFE">
              <w:t>(185.6)</w:t>
            </w:r>
          </w:p>
        </w:tc>
      </w:tr>
    </w:tbl>
    <w:p w14:paraId="7A62A9FC" w14:textId="77777777" w:rsidR="00083017" w:rsidRPr="006A4518" w:rsidRDefault="00083017" w:rsidP="002542E1">
      <w:pPr>
        <w:pStyle w:val="ARfintablefootnote"/>
      </w:pPr>
      <w:r w:rsidRPr="006A4518">
        <w:t>Notes:</w:t>
      </w:r>
    </w:p>
    <w:p w14:paraId="36200FA6" w14:textId="3A0C92B1" w:rsidR="00083017" w:rsidRPr="00556993" w:rsidRDefault="00083017" w:rsidP="002542E1">
      <w:pPr>
        <w:pStyle w:val="ARfintablefootnotetabindent"/>
      </w:pPr>
      <w:r>
        <w:t>(i)</w:t>
      </w:r>
      <w:r>
        <w:tab/>
      </w:r>
      <w:r w:rsidRPr="00556993">
        <w:t>The 2023</w:t>
      </w:r>
      <w:r w:rsidR="00981E3A">
        <w:t>–</w:t>
      </w:r>
      <w:r w:rsidRPr="00556993">
        <w:t>24 net result from transactions of ($428.6 million) reflects the acquittal of government investment which was recognised as revenue in 2022–23 as part of the Big Housing Build to grow social and affordable housing in Victoria.</w:t>
      </w:r>
    </w:p>
    <w:p w14:paraId="07052AC0" w14:textId="0F6466C5" w:rsidR="00083017" w:rsidRPr="00BA7805" w:rsidRDefault="00083017" w:rsidP="002542E1">
      <w:pPr>
        <w:pStyle w:val="ARfintablefootnotetabindent"/>
        <w:rPr>
          <w:highlight w:val="green"/>
        </w:rPr>
      </w:pPr>
      <w:r>
        <w:t>(ii)</w:t>
      </w:r>
      <w:r>
        <w:tab/>
      </w:r>
      <w:r w:rsidRPr="00556993">
        <w:t>The change in physical asset revaluation surplus reflects the outcomes of the scheduled land and building revaluation</w:t>
      </w:r>
      <w:r w:rsidRPr="00D07209">
        <w:t xml:space="preserve"> undertaken in 2023</w:t>
      </w:r>
      <w:r w:rsidR="00981E3A">
        <w:t>–</w:t>
      </w:r>
      <w:r w:rsidRPr="00D07209">
        <w:t>24.</w:t>
      </w:r>
      <w:r w:rsidRPr="00BA7805">
        <w:rPr>
          <w:highlight w:val="green"/>
        </w:rPr>
        <w:br w:type="page"/>
      </w:r>
    </w:p>
    <w:p w14:paraId="6C45BA40" w14:textId="77777777" w:rsidR="00083017" w:rsidRPr="00B53303" w:rsidRDefault="00083017" w:rsidP="00C743C9">
      <w:pPr>
        <w:pStyle w:val="Heading3"/>
      </w:pPr>
      <w:bookmarkStart w:id="305" w:name="_Ref112754402"/>
      <w:bookmarkStart w:id="306" w:name="_Ref146707944"/>
      <w:r w:rsidRPr="00B53303">
        <w:t>Balance sheet as at 30 June 202</w:t>
      </w:r>
      <w:bookmarkEnd w:id="305"/>
      <w:bookmarkEnd w:id="306"/>
      <w:r w:rsidRPr="00B53303">
        <w:t>4</w:t>
      </w:r>
    </w:p>
    <w:tbl>
      <w:tblPr>
        <w:tblStyle w:val="TableGrid"/>
        <w:tblW w:w="9637" w:type="dxa"/>
        <w:tblLayout w:type="fixed"/>
        <w:tblLook w:val="06A0" w:firstRow="1" w:lastRow="0" w:firstColumn="1" w:lastColumn="0" w:noHBand="1" w:noVBand="1"/>
      </w:tblPr>
      <w:tblGrid>
        <w:gridCol w:w="6915"/>
        <w:gridCol w:w="1361"/>
        <w:gridCol w:w="1361"/>
      </w:tblGrid>
      <w:tr w:rsidR="00083017" w:rsidRPr="00BA7805" w14:paraId="2A768646"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4A07136C" w14:textId="77777777" w:rsidR="00083017" w:rsidRPr="00BA7805" w:rsidRDefault="00083017">
            <w:pPr>
              <w:pStyle w:val="ARfintablecolhead"/>
              <w:rPr>
                <w:highlight w:val="green"/>
              </w:rPr>
            </w:pPr>
          </w:p>
        </w:tc>
        <w:tc>
          <w:tcPr>
            <w:tcW w:w="1361" w:type="dxa"/>
            <w:tcBorders>
              <w:bottom w:val="single" w:sz="4" w:space="0" w:color="auto"/>
            </w:tcBorders>
            <w:shd w:val="clear" w:color="auto" w:fill="E7E6E6" w:themeFill="accent4"/>
            <w:hideMark/>
          </w:tcPr>
          <w:p w14:paraId="0C80FEEA" w14:textId="77777777" w:rsidR="00083017" w:rsidRPr="00B53303" w:rsidRDefault="00083017">
            <w:pPr>
              <w:pStyle w:val="ARfintablecolheadright"/>
            </w:pPr>
            <w:r w:rsidRPr="00B53303">
              <w:t>2024</w:t>
            </w:r>
          </w:p>
          <w:p w14:paraId="4BC000F8" w14:textId="77777777" w:rsidR="00083017" w:rsidRPr="00B53303" w:rsidRDefault="00083017">
            <w:pPr>
              <w:pStyle w:val="ARfintablecolheadright"/>
            </w:pPr>
            <w:r w:rsidRPr="00B53303">
              <w:t>$M</w:t>
            </w:r>
          </w:p>
        </w:tc>
        <w:tc>
          <w:tcPr>
            <w:tcW w:w="1361" w:type="dxa"/>
            <w:tcBorders>
              <w:bottom w:val="single" w:sz="4" w:space="0" w:color="auto"/>
            </w:tcBorders>
            <w:hideMark/>
          </w:tcPr>
          <w:p w14:paraId="1FF1F925" w14:textId="77777777" w:rsidR="00083017" w:rsidRPr="00B53303" w:rsidRDefault="00083017">
            <w:pPr>
              <w:pStyle w:val="ARfintablecolheadright"/>
            </w:pPr>
            <w:r w:rsidRPr="00B53303">
              <w:t>2023</w:t>
            </w:r>
          </w:p>
          <w:p w14:paraId="20EFCC1F" w14:textId="77777777" w:rsidR="00083017" w:rsidRPr="00B53303" w:rsidRDefault="00083017">
            <w:pPr>
              <w:pStyle w:val="ARfintablecolheadright"/>
            </w:pPr>
            <w:r w:rsidRPr="00B53303">
              <w:t>$M</w:t>
            </w:r>
          </w:p>
        </w:tc>
      </w:tr>
      <w:tr w:rsidR="00083017" w:rsidRPr="00BA7805" w14:paraId="376588AF" w14:textId="77777777" w:rsidTr="003D7AC8">
        <w:tc>
          <w:tcPr>
            <w:tcW w:w="9637" w:type="dxa"/>
            <w:gridSpan w:val="3"/>
            <w:tcBorders>
              <w:top w:val="single" w:sz="4" w:space="0" w:color="auto"/>
              <w:bottom w:val="single" w:sz="4" w:space="0" w:color="A6A6A6"/>
            </w:tcBorders>
          </w:tcPr>
          <w:p w14:paraId="2009EA12" w14:textId="77777777" w:rsidR="00083017" w:rsidRPr="00BA7805" w:rsidRDefault="00083017" w:rsidP="002542E1">
            <w:pPr>
              <w:pStyle w:val="ARfintablebodybold"/>
              <w:rPr>
                <w:highlight w:val="green"/>
              </w:rPr>
            </w:pPr>
            <w:r w:rsidRPr="00A60382">
              <w:t>Assets</w:t>
            </w:r>
          </w:p>
        </w:tc>
      </w:tr>
      <w:tr w:rsidR="00083017" w:rsidRPr="00BA7805" w14:paraId="31268458" w14:textId="77777777" w:rsidTr="003D7AC8">
        <w:tc>
          <w:tcPr>
            <w:tcW w:w="9637" w:type="dxa"/>
            <w:gridSpan w:val="3"/>
            <w:tcBorders>
              <w:top w:val="single" w:sz="4" w:space="0" w:color="A6A6A6"/>
              <w:bottom w:val="single" w:sz="4" w:space="0" w:color="A6A6A6"/>
            </w:tcBorders>
          </w:tcPr>
          <w:p w14:paraId="4D397ABD" w14:textId="77777777" w:rsidR="00083017" w:rsidRPr="00BA7805" w:rsidRDefault="00083017" w:rsidP="002542E1">
            <w:pPr>
              <w:pStyle w:val="ARfintablebodybold"/>
              <w:rPr>
                <w:highlight w:val="green"/>
              </w:rPr>
            </w:pPr>
            <w:r w:rsidRPr="00A60382">
              <w:t>Financial assets</w:t>
            </w:r>
          </w:p>
        </w:tc>
      </w:tr>
      <w:tr w:rsidR="00083017" w:rsidRPr="00BA7805" w14:paraId="52A8B3FB" w14:textId="77777777" w:rsidTr="003D7AC8">
        <w:tc>
          <w:tcPr>
            <w:tcW w:w="6915" w:type="dxa"/>
            <w:tcBorders>
              <w:top w:val="single" w:sz="4" w:space="0" w:color="A6A6A6"/>
              <w:bottom w:val="single" w:sz="4" w:space="0" w:color="A6A6A6"/>
            </w:tcBorders>
          </w:tcPr>
          <w:p w14:paraId="2DAFFC16" w14:textId="77777777" w:rsidR="00083017" w:rsidRPr="00BA7805" w:rsidRDefault="00083017" w:rsidP="002542E1">
            <w:pPr>
              <w:pStyle w:val="ARfintablebody"/>
              <w:rPr>
                <w:highlight w:val="green"/>
              </w:rPr>
            </w:pPr>
            <w:r w:rsidRPr="00A60382">
              <w:t xml:space="preserve">Cash and deposits </w:t>
            </w:r>
            <w:r w:rsidRPr="00D53536">
              <w:rPr>
                <w:vertAlign w:val="superscript"/>
              </w:rPr>
              <w:t>(i)</w:t>
            </w:r>
          </w:p>
        </w:tc>
        <w:tc>
          <w:tcPr>
            <w:tcW w:w="1361" w:type="dxa"/>
            <w:tcBorders>
              <w:top w:val="single" w:sz="4" w:space="0" w:color="A6A6A6"/>
              <w:bottom w:val="single" w:sz="4" w:space="0" w:color="A6A6A6"/>
            </w:tcBorders>
            <w:shd w:val="clear" w:color="auto" w:fill="E7E6E6"/>
            <w:noWrap/>
          </w:tcPr>
          <w:p w14:paraId="5366A2D8" w14:textId="77777777" w:rsidR="00083017" w:rsidRPr="00BA7805" w:rsidRDefault="00083017" w:rsidP="002542E1">
            <w:pPr>
              <w:pStyle w:val="ARfintablebodyright"/>
              <w:rPr>
                <w:highlight w:val="green"/>
              </w:rPr>
            </w:pPr>
            <w:r w:rsidRPr="00995101">
              <w:t>536.9</w:t>
            </w:r>
          </w:p>
        </w:tc>
        <w:tc>
          <w:tcPr>
            <w:tcW w:w="1361" w:type="dxa"/>
            <w:tcBorders>
              <w:top w:val="single" w:sz="4" w:space="0" w:color="A6A6A6"/>
              <w:bottom w:val="single" w:sz="4" w:space="0" w:color="A6A6A6"/>
            </w:tcBorders>
            <w:noWrap/>
          </w:tcPr>
          <w:p w14:paraId="238223EB" w14:textId="77777777" w:rsidR="00083017" w:rsidRPr="00BA7805" w:rsidRDefault="00083017" w:rsidP="002542E1">
            <w:pPr>
              <w:pStyle w:val="ARfintablebodyright"/>
              <w:rPr>
                <w:highlight w:val="green"/>
              </w:rPr>
            </w:pPr>
            <w:r w:rsidRPr="00995101">
              <w:t>646.3</w:t>
            </w:r>
          </w:p>
        </w:tc>
      </w:tr>
      <w:tr w:rsidR="00083017" w:rsidRPr="00BA7805" w14:paraId="38CA574E" w14:textId="77777777" w:rsidTr="003D7AC8">
        <w:tc>
          <w:tcPr>
            <w:tcW w:w="6915" w:type="dxa"/>
            <w:tcBorders>
              <w:top w:val="single" w:sz="4" w:space="0" w:color="A6A6A6"/>
              <w:bottom w:val="single" w:sz="4" w:space="0" w:color="A6A6A6"/>
            </w:tcBorders>
          </w:tcPr>
          <w:p w14:paraId="2D0D7435" w14:textId="77777777" w:rsidR="00083017" w:rsidRPr="00BA7805" w:rsidRDefault="00083017" w:rsidP="002542E1">
            <w:pPr>
              <w:pStyle w:val="ARfintablebody"/>
              <w:rPr>
                <w:highlight w:val="green"/>
              </w:rPr>
            </w:pPr>
            <w:r w:rsidRPr="00A60382">
              <w:t>Receivables</w:t>
            </w:r>
          </w:p>
        </w:tc>
        <w:tc>
          <w:tcPr>
            <w:tcW w:w="1361" w:type="dxa"/>
            <w:tcBorders>
              <w:top w:val="single" w:sz="4" w:space="0" w:color="A6A6A6"/>
              <w:bottom w:val="single" w:sz="4" w:space="0" w:color="A6A6A6"/>
            </w:tcBorders>
            <w:shd w:val="clear" w:color="auto" w:fill="E7E6E6"/>
            <w:noWrap/>
          </w:tcPr>
          <w:p w14:paraId="782FEECA" w14:textId="77777777" w:rsidR="00083017" w:rsidRPr="00BA7805" w:rsidRDefault="00083017" w:rsidP="002542E1">
            <w:pPr>
              <w:pStyle w:val="ARfintablebodyright"/>
              <w:rPr>
                <w:highlight w:val="green"/>
              </w:rPr>
            </w:pPr>
            <w:r w:rsidRPr="00995101">
              <w:t>388.7</w:t>
            </w:r>
          </w:p>
        </w:tc>
        <w:tc>
          <w:tcPr>
            <w:tcW w:w="1361" w:type="dxa"/>
            <w:tcBorders>
              <w:top w:val="single" w:sz="4" w:space="0" w:color="A6A6A6"/>
              <w:bottom w:val="single" w:sz="4" w:space="0" w:color="A6A6A6"/>
            </w:tcBorders>
            <w:noWrap/>
          </w:tcPr>
          <w:p w14:paraId="61E8BDE8" w14:textId="77777777" w:rsidR="00083017" w:rsidRPr="00BA7805" w:rsidRDefault="00083017" w:rsidP="002542E1">
            <w:pPr>
              <w:pStyle w:val="ARfintablebodyright"/>
              <w:rPr>
                <w:highlight w:val="green"/>
              </w:rPr>
            </w:pPr>
            <w:r w:rsidRPr="00995101">
              <w:t>119.0</w:t>
            </w:r>
          </w:p>
        </w:tc>
      </w:tr>
      <w:tr w:rsidR="00083017" w:rsidRPr="00BA7805" w14:paraId="532B8FB5" w14:textId="77777777" w:rsidTr="003D7AC8">
        <w:tc>
          <w:tcPr>
            <w:tcW w:w="6915" w:type="dxa"/>
            <w:tcBorders>
              <w:top w:val="single" w:sz="4" w:space="0" w:color="A6A6A6"/>
            </w:tcBorders>
          </w:tcPr>
          <w:p w14:paraId="45842600" w14:textId="77777777" w:rsidR="00083017" w:rsidRPr="00BA7805" w:rsidRDefault="00083017" w:rsidP="002542E1">
            <w:pPr>
              <w:pStyle w:val="ARfintablebody"/>
              <w:rPr>
                <w:highlight w:val="green"/>
              </w:rPr>
            </w:pPr>
            <w:r w:rsidRPr="00A60382">
              <w:t xml:space="preserve">Loans </w:t>
            </w:r>
          </w:p>
        </w:tc>
        <w:tc>
          <w:tcPr>
            <w:tcW w:w="1361" w:type="dxa"/>
            <w:tcBorders>
              <w:top w:val="single" w:sz="4" w:space="0" w:color="A6A6A6"/>
            </w:tcBorders>
            <w:shd w:val="clear" w:color="auto" w:fill="E7E6E6"/>
            <w:noWrap/>
          </w:tcPr>
          <w:p w14:paraId="79B29F98" w14:textId="77777777" w:rsidR="00083017" w:rsidRPr="00BA7805" w:rsidRDefault="00083017" w:rsidP="002542E1">
            <w:pPr>
              <w:pStyle w:val="ARfintablebodyright"/>
              <w:rPr>
                <w:highlight w:val="green"/>
              </w:rPr>
            </w:pPr>
            <w:r w:rsidRPr="00995101">
              <w:t>28.2</w:t>
            </w:r>
          </w:p>
        </w:tc>
        <w:tc>
          <w:tcPr>
            <w:tcW w:w="1361" w:type="dxa"/>
            <w:tcBorders>
              <w:top w:val="single" w:sz="4" w:space="0" w:color="A6A6A6"/>
            </w:tcBorders>
            <w:noWrap/>
          </w:tcPr>
          <w:p w14:paraId="54A18301" w14:textId="77777777" w:rsidR="00083017" w:rsidRPr="00BA7805" w:rsidRDefault="00083017" w:rsidP="002542E1">
            <w:pPr>
              <w:pStyle w:val="ARfintablebodyright"/>
              <w:rPr>
                <w:highlight w:val="green"/>
              </w:rPr>
            </w:pPr>
            <w:r w:rsidRPr="00995101">
              <w:t>30.0</w:t>
            </w:r>
          </w:p>
        </w:tc>
      </w:tr>
      <w:tr w:rsidR="00083017" w:rsidRPr="00BA7805" w14:paraId="5A6C8B40" w14:textId="77777777" w:rsidTr="003D7AC8">
        <w:tc>
          <w:tcPr>
            <w:tcW w:w="6915" w:type="dxa"/>
            <w:tcBorders>
              <w:bottom w:val="single" w:sz="4" w:space="0" w:color="auto"/>
            </w:tcBorders>
          </w:tcPr>
          <w:p w14:paraId="4935047F" w14:textId="77777777" w:rsidR="00083017" w:rsidRPr="00BA7805" w:rsidRDefault="00083017" w:rsidP="002542E1">
            <w:pPr>
              <w:pStyle w:val="ARfintablebodybold"/>
              <w:rPr>
                <w:highlight w:val="green"/>
              </w:rPr>
            </w:pPr>
            <w:r w:rsidRPr="00A60382">
              <w:t>Total financial assets</w:t>
            </w:r>
          </w:p>
        </w:tc>
        <w:tc>
          <w:tcPr>
            <w:tcW w:w="1361" w:type="dxa"/>
            <w:tcBorders>
              <w:bottom w:val="single" w:sz="4" w:space="0" w:color="auto"/>
            </w:tcBorders>
            <w:shd w:val="clear" w:color="auto" w:fill="E7E6E6"/>
            <w:noWrap/>
          </w:tcPr>
          <w:p w14:paraId="11FA4BA4" w14:textId="77777777" w:rsidR="00083017" w:rsidRPr="00BA7805" w:rsidRDefault="00083017" w:rsidP="002542E1">
            <w:pPr>
              <w:pStyle w:val="ARfintablebodyrightbold"/>
              <w:rPr>
                <w:highlight w:val="green"/>
              </w:rPr>
            </w:pPr>
            <w:r w:rsidRPr="00995101">
              <w:t>953.8</w:t>
            </w:r>
          </w:p>
        </w:tc>
        <w:tc>
          <w:tcPr>
            <w:tcW w:w="1361" w:type="dxa"/>
            <w:tcBorders>
              <w:bottom w:val="single" w:sz="4" w:space="0" w:color="auto"/>
            </w:tcBorders>
            <w:noWrap/>
          </w:tcPr>
          <w:p w14:paraId="4A347B57" w14:textId="77777777" w:rsidR="00083017" w:rsidRPr="00BA7805" w:rsidRDefault="00083017" w:rsidP="002542E1">
            <w:pPr>
              <w:pStyle w:val="ARfintablebodyrightbold"/>
              <w:rPr>
                <w:highlight w:val="green"/>
              </w:rPr>
            </w:pPr>
            <w:r w:rsidRPr="00995101">
              <w:t>795.3</w:t>
            </w:r>
          </w:p>
        </w:tc>
      </w:tr>
      <w:tr w:rsidR="00083017" w:rsidRPr="00BA7805" w14:paraId="1FD7FCE1" w14:textId="77777777" w:rsidTr="003D7AC8">
        <w:tc>
          <w:tcPr>
            <w:tcW w:w="9637" w:type="dxa"/>
            <w:gridSpan w:val="3"/>
            <w:tcBorders>
              <w:top w:val="single" w:sz="4" w:space="0" w:color="auto"/>
              <w:bottom w:val="single" w:sz="4" w:space="0" w:color="A6A6A6"/>
            </w:tcBorders>
          </w:tcPr>
          <w:p w14:paraId="1126FD81" w14:textId="77777777" w:rsidR="00083017" w:rsidRPr="00BA7805" w:rsidRDefault="00083017" w:rsidP="002542E1">
            <w:pPr>
              <w:pStyle w:val="ARfintablebodybold"/>
              <w:rPr>
                <w:highlight w:val="green"/>
              </w:rPr>
            </w:pPr>
            <w:r w:rsidRPr="00E63872">
              <w:t>Non financial assets</w:t>
            </w:r>
          </w:p>
        </w:tc>
      </w:tr>
      <w:tr w:rsidR="00083017" w:rsidRPr="00BA7805" w14:paraId="7CDBE68C" w14:textId="77777777" w:rsidTr="003D7AC8">
        <w:tc>
          <w:tcPr>
            <w:tcW w:w="6915" w:type="dxa"/>
            <w:tcBorders>
              <w:top w:val="single" w:sz="4" w:space="0" w:color="A6A6A6"/>
              <w:bottom w:val="single" w:sz="4" w:space="0" w:color="A6A6A6"/>
            </w:tcBorders>
          </w:tcPr>
          <w:p w14:paraId="3C0D145D" w14:textId="77777777" w:rsidR="00083017" w:rsidRPr="00BA7805" w:rsidRDefault="00083017" w:rsidP="002542E1">
            <w:pPr>
              <w:pStyle w:val="ARfintablebody"/>
              <w:rPr>
                <w:highlight w:val="green"/>
              </w:rPr>
            </w:pPr>
            <w:r w:rsidRPr="00E63872">
              <w:t xml:space="preserve">Non-financial physical assets classified as held for sale </w:t>
            </w:r>
          </w:p>
        </w:tc>
        <w:tc>
          <w:tcPr>
            <w:tcW w:w="1361" w:type="dxa"/>
            <w:tcBorders>
              <w:top w:val="single" w:sz="4" w:space="0" w:color="A6A6A6"/>
              <w:bottom w:val="single" w:sz="4" w:space="0" w:color="A6A6A6"/>
            </w:tcBorders>
            <w:shd w:val="clear" w:color="auto" w:fill="E7E6E6"/>
            <w:noWrap/>
          </w:tcPr>
          <w:p w14:paraId="5CD2F858" w14:textId="77777777" w:rsidR="00083017" w:rsidRPr="00BA7805" w:rsidRDefault="00083017" w:rsidP="002542E1">
            <w:pPr>
              <w:pStyle w:val="ARfintablebodyright"/>
              <w:rPr>
                <w:highlight w:val="green"/>
              </w:rPr>
            </w:pPr>
            <w:r w:rsidRPr="008734C8">
              <w:t>2.1</w:t>
            </w:r>
          </w:p>
        </w:tc>
        <w:tc>
          <w:tcPr>
            <w:tcW w:w="1361" w:type="dxa"/>
            <w:tcBorders>
              <w:top w:val="single" w:sz="4" w:space="0" w:color="A6A6A6"/>
              <w:bottom w:val="single" w:sz="4" w:space="0" w:color="A6A6A6"/>
            </w:tcBorders>
            <w:noWrap/>
          </w:tcPr>
          <w:p w14:paraId="248E2987" w14:textId="77777777" w:rsidR="00083017" w:rsidRPr="00BA7805" w:rsidRDefault="00083017" w:rsidP="002542E1">
            <w:pPr>
              <w:pStyle w:val="ARfintablebodyright"/>
              <w:rPr>
                <w:highlight w:val="green"/>
              </w:rPr>
            </w:pPr>
            <w:r w:rsidRPr="008734C8">
              <w:t>3.4</w:t>
            </w:r>
          </w:p>
        </w:tc>
      </w:tr>
      <w:tr w:rsidR="00083017" w:rsidRPr="00BA7805" w14:paraId="409C3128" w14:textId="77777777" w:rsidTr="003D7AC8">
        <w:tc>
          <w:tcPr>
            <w:tcW w:w="6915" w:type="dxa"/>
            <w:tcBorders>
              <w:top w:val="single" w:sz="4" w:space="0" w:color="A6A6A6"/>
              <w:bottom w:val="single" w:sz="4" w:space="0" w:color="A6A6A6"/>
            </w:tcBorders>
          </w:tcPr>
          <w:p w14:paraId="1B288624" w14:textId="77777777" w:rsidR="00083017" w:rsidRPr="00BA7805" w:rsidRDefault="00083017" w:rsidP="002542E1">
            <w:pPr>
              <w:pStyle w:val="ARfintablebody"/>
              <w:rPr>
                <w:highlight w:val="green"/>
              </w:rPr>
            </w:pPr>
            <w:r w:rsidRPr="00E63872">
              <w:t xml:space="preserve">Property, plant and equipment </w:t>
            </w:r>
            <w:r w:rsidRPr="00D53536">
              <w:rPr>
                <w:vertAlign w:val="superscript"/>
              </w:rPr>
              <w:t>(ii)</w:t>
            </w:r>
          </w:p>
        </w:tc>
        <w:tc>
          <w:tcPr>
            <w:tcW w:w="1361" w:type="dxa"/>
            <w:tcBorders>
              <w:top w:val="single" w:sz="4" w:space="0" w:color="A6A6A6"/>
              <w:bottom w:val="single" w:sz="4" w:space="0" w:color="A6A6A6"/>
            </w:tcBorders>
            <w:shd w:val="clear" w:color="auto" w:fill="E7E6E6"/>
            <w:noWrap/>
          </w:tcPr>
          <w:p w14:paraId="7CAEE186" w14:textId="77777777" w:rsidR="00083017" w:rsidRPr="00BA7805" w:rsidRDefault="00083017" w:rsidP="002542E1">
            <w:pPr>
              <w:pStyle w:val="ARfintablebodyright"/>
              <w:rPr>
                <w:highlight w:val="green"/>
              </w:rPr>
            </w:pPr>
            <w:r w:rsidRPr="008734C8">
              <w:t>36,879.2</w:t>
            </w:r>
          </w:p>
        </w:tc>
        <w:tc>
          <w:tcPr>
            <w:tcW w:w="1361" w:type="dxa"/>
            <w:tcBorders>
              <w:top w:val="single" w:sz="4" w:space="0" w:color="A6A6A6"/>
              <w:bottom w:val="single" w:sz="4" w:space="0" w:color="A6A6A6"/>
            </w:tcBorders>
            <w:noWrap/>
          </w:tcPr>
          <w:p w14:paraId="5C0ED8B3" w14:textId="77777777" w:rsidR="00083017" w:rsidRPr="00BA7805" w:rsidRDefault="00083017" w:rsidP="002542E1">
            <w:pPr>
              <w:pStyle w:val="ARfintablebodyright"/>
              <w:rPr>
                <w:highlight w:val="green"/>
              </w:rPr>
            </w:pPr>
            <w:r w:rsidRPr="008734C8">
              <w:t>35,245.3</w:t>
            </w:r>
          </w:p>
        </w:tc>
      </w:tr>
      <w:tr w:rsidR="00083017" w:rsidRPr="00BA7805" w14:paraId="4C6DB274" w14:textId="77777777" w:rsidTr="003D7AC8">
        <w:tc>
          <w:tcPr>
            <w:tcW w:w="6915" w:type="dxa"/>
            <w:tcBorders>
              <w:top w:val="single" w:sz="4" w:space="0" w:color="A6A6A6"/>
              <w:bottom w:val="single" w:sz="4" w:space="0" w:color="A6A6A6"/>
            </w:tcBorders>
          </w:tcPr>
          <w:p w14:paraId="4316951C" w14:textId="77777777" w:rsidR="00083017" w:rsidRPr="00BA7805" w:rsidRDefault="00083017" w:rsidP="002542E1">
            <w:pPr>
              <w:pStyle w:val="ARfintablebody"/>
              <w:rPr>
                <w:highlight w:val="green"/>
              </w:rPr>
            </w:pPr>
            <w:r w:rsidRPr="00E63872">
              <w:t>Intangible assets</w:t>
            </w:r>
          </w:p>
        </w:tc>
        <w:tc>
          <w:tcPr>
            <w:tcW w:w="1361" w:type="dxa"/>
            <w:tcBorders>
              <w:top w:val="single" w:sz="4" w:space="0" w:color="A6A6A6"/>
              <w:bottom w:val="single" w:sz="4" w:space="0" w:color="A6A6A6"/>
            </w:tcBorders>
            <w:shd w:val="clear" w:color="auto" w:fill="E7E6E6"/>
            <w:noWrap/>
          </w:tcPr>
          <w:p w14:paraId="54633B3F" w14:textId="77777777" w:rsidR="00083017" w:rsidRPr="00BA7805" w:rsidRDefault="00083017" w:rsidP="002542E1">
            <w:pPr>
              <w:pStyle w:val="ARfintablebodyright"/>
              <w:rPr>
                <w:highlight w:val="green"/>
              </w:rPr>
            </w:pPr>
            <w:r w:rsidRPr="008734C8">
              <w:t>28.8</w:t>
            </w:r>
          </w:p>
        </w:tc>
        <w:tc>
          <w:tcPr>
            <w:tcW w:w="1361" w:type="dxa"/>
            <w:tcBorders>
              <w:top w:val="single" w:sz="4" w:space="0" w:color="A6A6A6"/>
              <w:bottom w:val="single" w:sz="4" w:space="0" w:color="A6A6A6"/>
            </w:tcBorders>
            <w:noWrap/>
          </w:tcPr>
          <w:p w14:paraId="7DE4C530" w14:textId="77777777" w:rsidR="00083017" w:rsidRPr="00BA7805" w:rsidRDefault="00083017" w:rsidP="002542E1">
            <w:pPr>
              <w:pStyle w:val="ARfintablebodyright"/>
              <w:rPr>
                <w:highlight w:val="green"/>
              </w:rPr>
            </w:pPr>
            <w:r w:rsidRPr="008734C8">
              <w:t>32.9</w:t>
            </w:r>
          </w:p>
        </w:tc>
      </w:tr>
      <w:tr w:rsidR="00083017" w:rsidRPr="00BA7805" w14:paraId="2156CB17" w14:textId="77777777" w:rsidTr="003D7AC8">
        <w:tc>
          <w:tcPr>
            <w:tcW w:w="6915" w:type="dxa"/>
            <w:tcBorders>
              <w:top w:val="single" w:sz="4" w:space="0" w:color="A6A6A6"/>
            </w:tcBorders>
          </w:tcPr>
          <w:p w14:paraId="2763FB43" w14:textId="77777777" w:rsidR="00083017" w:rsidRPr="00BA7805" w:rsidRDefault="00083017" w:rsidP="002542E1">
            <w:pPr>
              <w:pStyle w:val="ARfintablebody"/>
              <w:rPr>
                <w:highlight w:val="green"/>
              </w:rPr>
            </w:pPr>
            <w:r w:rsidRPr="00E63872">
              <w:t>Other non-financial assets</w:t>
            </w:r>
          </w:p>
        </w:tc>
        <w:tc>
          <w:tcPr>
            <w:tcW w:w="1361" w:type="dxa"/>
            <w:tcBorders>
              <w:top w:val="single" w:sz="4" w:space="0" w:color="A6A6A6"/>
            </w:tcBorders>
            <w:shd w:val="clear" w:color="auto" w:fill="E7E6E6"/>
            <w:noWrap/>
          </w:tcPr>
          <w:p w14:paraId="41AAFB21" w14:textId="77777777" w:rsidR="00083017" w:rsidRPr="00BA7805" w:rsidRDefault="00083017" w:rsidP="002542E1">
            <w:pPr>
              <w:pStyle w:val="ARfintablebodyright"/>
              <w:rPr>
                <w:highlight w:val="green"/>
              </w:rPr>
            </w:pPr>
            <w:r w:rsidRPr="008734C8">
              <w:t>19.4</w:t>
            </w:r>
          </w:p>
        </w:tc>
        <w:tc>
          <w:tcPr>
            <w:tcW w:w="1361" w:type="dxa"/>
            <w:tcBorders>
              <w:top w:val="single" w:sz="4" w:space="0" w:color="A6A6A6"/>
            </w:tcBorders>
            <w:noWrap/>
          </w:tcPr>
          <w:p w14:paraId="5770E6E5" w14:textId="77777777" w:rsidR="00083017" w:rsidRPr="00BA7805" w:rsidRDefault="00083017" w:rsidP="002542E1">
            <w:pPr>
              <w:pStyle w:val="ARfintablebodyright"/>
              <w:rPr>
                <w:highlight w:val="green"/>
              </w:rPr>
            </w:pPr>
            <w:r w:rsidRPr="008734C8">
              <w:t>46.8</w:t>
            </w:r>
          </w:p>
        </w:tc>
      </w:tr>
      <w:tr w:rsidR="00083017" w:rsidRPr="00BA7805" w14:paraId="5EFE5628" w14:textId="77777777" w:rsidTr="003D7AC8">
        <w:tc>
          <w:tcPr>
            <w:tcW w:w="6915" w:type="dxa"/>
          </w:tcPr>
          <w:p w14:paraId="19B9FA6A" w14:textId="77777777" w:rsidR="00083017" w:rsidRPr="00BA7805" w:rsidRDefault="00083017" w:rsidP="002542E1">
            <w:pPr>
              <w:pStyle w:val="ARfintablebodybold"/>
              <w:rPr>
                <w:highlight w:val="green"/>
              </w:rPr>
            </w:pPr>
            <w:r w:rsidRPr="00E63872">
              <w:t>Total non-financial assets</w:t>
            </w:r>
          </w:p>
        </w:tc>
        <w:tc>
          <w:tcPr>
            <w:tcW w:w="1361" w:type="dxa"/>
            <w:shd w:val="clear" w:color="auto" w:fill="E7E6E6"/>
            <w:noWrap/>
          </w:tcPr>
          <w:p w14:paraId="0EC86BCF" w14:textId="77777777" w:rsidR="00083017" w:rsidRPr="00BA7805" w:rsidRDefault="00083017" w:rsidP="002542E1">
            <w:pPr>
              <w:pStyle w:val="ARfintablebodyrightbold"/>
              <w:rPr>
                <w:highlight w:val="green"/>
              </w:rPr>
            </w:pPr>
            <w:r w:rsidRPr="008734C8">
              <w:t>36,929.5</w:t>
            </w:r>
          </w:p>
        </w:tc>
        <w:tc>
          <w:tcPr>
            <w:tcW w:w="1361" w:type="dxa"/>
            <w:noWrap/>
          </w:tcPr>
          <w:p w14:paraId="39DC99A0" w14:textId="77777777" w:rsidR="00083017" w:rsidRPr="00BA7805" w:rsidRDefault="00083017" w:rsidP="002542E1">
            <w:pPr>
              <w:pStyle w:val="ARfintablebodyrightbold"/>
              <w:rPr>
                <w:highlight w:val="green"/>
              </w:rPr>
            </w:pPr>
            <w:r w:rsidRPr="008734C8">
              <w:t>35,328.4</w:t>
            </w:r>
          </w:p>
        </w:tc>
      </w:tr>
      <w:tr w:rsidR="00083017" w:rsidRPr="00BA7805" w14:paraId="4CF037BB" w14:textId="77777777" w:rsidTr="003D7AC8">
        <w:tc>
          <w:tcPr>
            <w:tcW w:w="6915" w:type="dxa"/>
            <w:tcBorders>
              <w:bottom w:val="single" w:sz="4" w:space="0" w:color="auto"/>
            </w:tcBorders>
          </w:tcPr>
          <w:p w14:paraId="5E3C1DDD" w14:textId="77777777" w:rsidR="00083017" w:rsidRPr="00BA7805" w:rsidRDefault="00083017" w:rsidP="002542E1">
            <w:pPr>
              <w:pStyle w:val="ARfintablebodybold"/>
              <w:rPr>
                <w:highlight w:val="green"/>
              </w:rPr>
            </w:pPr>
            <w:r w:rsidRPr="00E63872">
              <w:t>Total assets</w:t>
            </w:r>
          </w:p>
        </w:tc>
        <w:tc>
          <w:tcPr>
            <w:tcW w:w="1361" w:type="dxa"/>
            <w:tcBorders>
              <w:bottom w:val="single" w:sz="4" w:space="0" w:color="auto"/>
            </w:tcBorders>
            <w:shd w:val="clear" w:color="auto" w:fill="E7E6E6"/>
            <w:noWrap/>
          </w:tcPr>
          <w:p w14:paraId="43527F40" w14:textId="77777777" w:rsidR="00083017" w:rsidRPr="00BA7805" w:rsidRDefault="00083017" w:rsidP="002542E1">
            <w:pPr>
              <w:pStyle w:val="ARfintablebodyrightbold"/>
              <w:rPr>
                <w:highlight w:val="green"/>
              </w:rPr>
            </w:pPr>
            <w:r w:rsidRPr="008734C8">
              <w:t>37,883.3</w:t>
            </w:r>
          </w:p>
        </w:tc>
        <w:tc>
          <w:tcPr>
            <w:tcW w:w="1361" w:type="dxa"/>
            <w:tcBorders>
              <w:bottom w:val="single" w:sz="4" w:space="0" w:color="auto"/>
            </w:tcBorders>
            <w:noWrap/>
          </w:tcPr>
          <w:p w14:paraId="4EE89D88" w14:textId="77777777" w:rsidR="00083017" w:rsidRPr="00BA7805" w:rsidRDefault="00083017" w:rsidP="002542E1">
            <w:pPr>
              <w:pStyle w:val="ARfintablebodyrightbold"/>
              <w:rPr>
                <w:highlight w:val="green"/>
              </w:rPr>
            </w:pPr>
            <w:r w:rsidRPr="008734C8">
              <w:t>36,123.7</w:t>
            </w:r>
          </w:p>
        </w:tc>
      </w:tr>
      <w:tr w:rsidR="00083017" w:rsidRPr="00BA7805" w14:paraId="56EE9199" w14:textId="77777777" w:rsidTr="003D7AC8">
        <w:tc>
          <w:tcPr>
            <w:tcW w:w="9637" w:type="dxa"/>
            <w:gridSpan w:val="3"/>
            <w:tcBorders>
              <w:top w:val="single" w:sz="4" w:space="0" w:color="auto"/>
              <w:bottom w:val="single" w:sz="4" w:space="0" w:color="A6A6A6"/>
            </w:tcBorders>
          </w:tcPr>
          <w:p w14:paraId="3696EC28" w14:textId="77777777" w:rsidR="00083017" w:rsidRPr="00BA7805" w:rsidRDefault="00083017" w:rsidP="002542E1">
            <w:pPr>
              <w:pStyle w:val="ARfintablebodybold"/>
              <w:rPr>
                <w:highlight w:val="green"/>
              </w:rPr>
            </w:pPr>
            <w:r w:rsidRPr="00996627">
              <w:t>Liabilities</w:t>
            </w:r>
          </w:p>
        </w:tc>
      </w:tr>
      <w:tr w:rsidR="00083017" w:rsidRPr="00BA7805" w14:paraId="44EE889B" w14:textId="77777777" w:rsidTr="003D7AC8">
        <w:tc>
          <w:tcPr>
            <w:tcW w:w="6915" w:type="dxa"/>
            <w:tcBorders>
              <w:top w:val="single" w:sz="4" w:space="0" w:color="A6A6A6"/>
              <w:bottom w:val="single" w:sz="4" w:space="0" w:color="A6A6A6"/>
            </w:tcBorders>
          </w:tcPr>
          <w:p w14:paraId="195476F9" w14:textId="77777777" w:rsidR="00083017" w:rsidRPr="00BA7805" w:rsidRDefault="00083017" w:rsidP="002542E1">
            <w:pPr>
              <w:pStyle w:val="ARfintablebody"/>
              <w:rPr>
                <w:highlight w:val="green"/>
              </w:rPr>
            </w:pPr>
            <w:r w:rsidRPr="00996627">
              <w:t>Payables</w:t>
            </w:r>
          </w:p>
        </w:tc>
        <w:tc>
          <w:tcPr>
            <w:tcW w:w="1361" w:type="dxa"/>
            <w:tcBorders>
              <w:top w:val="single" w:sz="4" w:space="0" w:color="A6A6A6"/>
              <w:bottom w:val="single" w:sz="4" w:space="0" w:color="A6A6A6"/>
            </w:tcBorders>
            <w:shd w:val="clear" w:color="auto" w:fill="E7E6E6"/>
            <w:noWrap/>
          </w:tcPr>
          <w:p w14:paraId="5864E082" w14:textId="77777777" w:rsidR="00083017" w:rsidRPr="00BA7805" w:rsidRDefault="00083017" w:rsidP="002542E1">
            <w:pPr>
              <w:pStyle w:val="ARfintablebodyright"/>
              <w:rPr>
                <w:highlight w:val="green"/>
              </w:rPr>
            </w:pPr>
            <w:r w:rsidRPr="00EC0722">
              <w:t>242.4</w:t>
            </w:r>
          </w:p>
        </w:tc>
        <w:tc>
          <w:tcPr>
            <w:tcW w:w="1361" w:type="dxa"/>
            <w:tcBorders>
              <w:top w:val="single" w:sz="4" w:space="0" w:color="A6A6A6"/>
              <w:bottom w:val="single" w:sz="4" w:space="0" w:color="A6A6A6"/>
            </w:tcBorders>
            <w:noWrap/>
          </w:tcPr>
          <w:p w14:paraId="3105C1F4" w14:textId="77777777" w:rsidR="00083017" w:rsidRPr="00BA7805" w:rsidRDefault="00083017" w:rsidP="002542E1">
            <w:pPr>
              <w:pStyle w:val="ARfintablebodyright"/>
              <w:rPr>
                <w:highlight w:val="green"/>
              </w:rPr>
            </w:pPr>
            <w:r w:rsidRPr="00EC0722">
              <w:t>199.8</w:t>
            </w:r>
          </w:p>
        </w:tc>
      </w:tr>
      <w:tr w:rsidR="00083017" w:rsidRPr="00BA7805" w14:paraId="77E005A6" w14:textId="77777777" w:rsidTr="003D7AC8">
        <w:tc>
          <w:tcPr>
            <w:tcW w:w="6915" w:type="dxa"/>
            <w:tcBorders>
              <w:top w:val="single" w:sz="4" w:space="0" w:color="A6A6A6"/>
              <w:bottom w:val="single" w:sz="4" w:space="0" w:color="A6A6A6"/>
            </w:tcBorders>
          </w:tcPr>
          <w:p w14:paraId="0DFB696B" w14:textId="77777777" w:rsidR="00083017" w:rsidRPr="00BA7805" w:rsidRDefault="00083017" w:rsidP="002542E1">
            <w:pPr>
              <w:pStyle w:val="ARfintablebody"/>
              <w:rPr>
                <w:highlight w:val="green"/>
              </w:rPr>
            </w:pPr>
            <w:r w:rsidRPr="00996627">
              <w:t>Borrowings</w:t>
            </w:r>
          </w:p>
        </w:tc>
        <w:tc>
          <w:tcPr>
            <w:tcW w:w="1361" w:type="dxa"/>
            <w:tcBorders>
              <w:top w:val="single" w:sz="4" w:space="0" w:color="A6A6A6"/>
              <w:bottom w:val="single" w:sz="4" w:space="0" w:color="A6A6A6"/>
            </w:tcBorders>
            <w:shd w:val="clear" w:color="auto" w:fill="E7E6E6"/>
            <w:noWrap/>
          </w:tcPr>
          <w:p w14:paraId="0107EFD0" w14:textId="77777777" w:rsidR="00083017" w:rsidRPr="00BA7805" w:rsidRDefault="00083017" w:rsidP="002542E1">
            <w:pPr>
              <w:pStyle w:val="ARfintablebodyright"/>
              <w:rPr>
                <w:highlight w:val="green"/>
              </w:rPr>
            </w:pPr>
            <w:r w:rsidRPr="00EC0722">
              <w:t>463.5</w:t>
            </w:r>
          </w:p>
        </w:tc>
        <w:tc>
          <w:tcPr>
            <w:tcW w:w="1361" w:type="dxa"/>
            <w:tcBorders>
              <w:top w:val="single" w:sz="4" w:space="0" w:color="A6A6A6"/>
              <w:bottom w:val="single" w:sz="4" w:space="0" w:color="A6A6A6"/>
            </w:tcBorders>
            <w:noWrap/>
          </w:tcPr>
          <w:p w14:paraId="2887AC0C" w14:textId="77777777" w:rsidR="00083017" w:rsidRPr="00BA7805" w:rsidRDefault="00083017" w:rsidP="002542E1">
            <w:pPr>
              <w:pStyle w:val="ARfintablebodyright"/>
              <w:rPr>
                <w:highlight w:val="green"/>
              </w:rPr>
            </w:pPr>
            <w:r w:rsidRPr="00EC0722">
              <w:t>348.5</w:t>
            </w:r>
          </w:p>
        </w:tc>
      </w:tr>
      <w:tr w:rsidR="00083017" w:rsidRPr="00BA7805" w14:paraId="563DEDB5" w14:textId="77777777" w:rsidTr="003D7AC8">
        <w:tc>
          <w:tcPr>
            <w:tcW w:w="6915" w:type="dxa"/>
            <w:tcBorders>
              <w:top w:val="single" w:sz="4" w:space="0" w:color="A6A6A6"/>
            </w:tcBorders>
          </w:tcPr>
          <w:p w14:paraId="6845ACF9" w14:textId="77777777" w:rsidR="00083017" w:rsidRPr="00BA7805" w:rsidRDefault="00083017" w:rsidP="002542E1">
            <w:pPr>
              <w:pStyle w:val="ARfintablebody"/>
              <w:rPr>
                <w:highlight w:val="green"/>
              </w:rPr>
            </w:pPr>
            <w:r w:rsidRPr="00996627">
              <w:t>Employee related provisions</w:t>
            </w:r>
          </w:p>
        </w:tc>
        <w:tc>
          <w:tcPr>
            <w:tcW w:w="1361" w:type="dxa"/>
            <w:tcBorders>
              <w:top w:val="single" w:sz="4" w:space="0" w:color="A6A6A6"/>
            </w:tcBorders>
            <w:shd w:val="clear" w:color="auto" w:fill="E7E6E6"/>
            <w:noWrap/>
          </w:tcPr>
          <w:p w14:paraId="5409B1D6" w14:textId="77777777" w:rsidR="00083017" w:rsidRPr="00BA7805" w:rsidRDefault="00083017" w:rsidP="002542E1">
            <w:pPr>
              <w:pStyle w:val="ARfintablebodyright"/>
              <w:rPr>
                <w:highlight w:val="green"/>
              </w:rPr>
            </w:pPr>
            <w:r w:rsidRPr="00EC0722">
              <w:t>79.9</w:t>
            </w:r>
          </w:p>
        </w:tc>
        <w:tc>
          <w:tcPr>
            <w:tcW w:w="1361" w:type="dxa"/>
            <w:tcBorders>
              <w:top w:val="single" w:sz="4" w:space="0" w:color="A6A6A6"/>
            </w:tcBorders>
            <w:noWrap/>
          </w:tcPr>
          <w:p w14:paraId="12F82F5E" w14:textId="77777777" w:rsidR="00083017" w:rsidRPr="00BA7805" w:rsidRDefault="00083017" w:rsidP="002542E1">
            <w:pPr>
              <w:pStyle w:val="ARfintablebodyright"/>
              <w:rPr>
                <w:highlight w:val="green"/>
              </w:rPr>
            </w:pPr>
            <w:r w:rsidRPr="00EC0722">
              <w:t>82.9</w:t>
            </w:r>
          </w:p>
        </w:tc>
      </w:tr>
      <w:tr w:rsidR="00083017" w:rsidRPr="00BA7805" w14:paraId="37D99D74" w14:textId="77777777" w:rsidTr="003D7AC8">
        <w:tc>
          <w:tcPr>
            <w:tcW w:w="6915" w:type="dxa"/>
          </w:tcPr>
          <w:p w14:paraId="20D51A50" w14:textId="77777777" w:rsidR="00083017" w:rsidRPr="00BA7805" w:rsidRDefault="00083017" w:rsidP="002542E1">
            <w:pPr>
              <w:pStyle w:val="ARfintablebodybold"/>
              <w:rPr>
                <w:highlight w:val="green"/>
              </w:rPr>
            </w:pPr>
            <w:r w:rsidRPr="00996627">
              <w:t>Total liabilities</w:t>
            </w:r>
          </w:p>
        </w:tc>
        <w:tc>
          <w:tcPr>
            <w:tcW w:w="1361" w:type="dxa"/>
            <w:shd w:val="clear" w:color="auto" w:fill="E7E6E6"/>
            <w:noWrap/>
          </w:tcPr>
          <w:p w14:paraId="2A5F3592" w14:textId="77777777" w:rsidR="00083017" w:rsidRPr="00BA7805" w:rsidRDefault="00083017" w:rsidP="002542E1">
            <w:pPr>
              <w:pStyle w:val="ARfintablebodyrightbold"/>
              <w:rPr>
                <w:highlight w:val="green"/>
              </w:rPr>
            </w:pPr>
            <w:r w:rsidRPr="00EC0722">
              <w:t>785.8</w:t>
            </w:r>
          </w:p>
        </w:tc>
        <w:tc>
          <w:tcPr>
            <w:tcW w:w="1361" w:type="dxa"/>
            <w:noWrap/>
          </w:tcPr>
          <w:p w14:paraId="2196F8F5" w14:textId="77777777" w:rsidR="00083017" w:rsidRPr="00BA7805" w:rsidRDefault="00083017" w:rsidP="002542E1">
            <w:pPr>
              <w:pStyle w:val="ARfintablebodyrightbold"/>
              <w:rPr>
                <w:highlight w:val="green"/>
              </w:rPr>
            </w:pPr>
            <w:r w:rsidRPr="00EC0722">
              <w:t>631.2</w:t>
            </w:r>
          </w:p>
        </w:tc>
      </w:tr>
      <w:tr w:rsidR="00083017" w:rsidRPr="00BA7805" w14:paraId="23762EF5" w14:textId="77777777" w:rsidTr="003D7AC8">
        <w:tc>
          <w:tcPr>
            <w:tcW w:w="6915" w:type="dxa"/>
            <w:tcBorders>
              <w:bottom w:val="single" w:sz="4" w:space="0" w:color="auto"/>
            </w:tcBorders>
          </w:tcPr>
          <w:p w14:paraId="327A4BCD" w14:textId="77777777" w:rsidR="00083017" w:rsidRPr="00BA7805" w:rsidRDefault="00083017" w:rsidP="002542E1">
            <w:pPr>
              <w:pStyle w:val="ARfintablebodybold"/>
              <w:rPr>
                <w:highlight w:val="green"/>
              </w:rPr>
            </w:pPr>
            <w:r w:rsidRPr="00996627">
              <w:t>Net assets</w:t>
            </w:r>
          </w:p>
        </w:tc>
        <w:tc>
          <w:tcPr>
            <w:tcW w:w="1361" w:type="dxa"/>
            <w:tcBorders>
              <w:bottom w:val="single" w:sz="4" w:space="0" w:color="auto"/>
            </w:tcBorders>
            <w:shd w:val="clear" w:color="auto" w:fill="E7E6E6"/>
            <w:noWrap/>
          </w:tcPr>
          <w:p w14:paraId="18BAB717" w14:textId="77777777" w:rsidR="00083017" w:rsidRPr="00BA7805" w:rsidRDefault="00083017" w:rsidP="002542E1">
            <w:pPr>
              <w:pStyle w:val="ARfintablebodyrightbold"/>
              <w:rPr>
                <w:highlight w:val="green"/>
              </w:rPr>
            </w:pPr>
            <w:r w:rsidRPr="00EC0722">
              <w:t>37,097.5</w:t>
            </w:r>
          </w:p>
        </w:tc>
        <w:tc>
          <w:tcPr>
            <w:tcW w:w="1361" w:type="dxa"/>
            <w:tcBorders>
              <w:bottom w:val="single" w:sz="4" w:space="0" w:color="auto"/>
            </w:tcBorders>
            <w:noWrap/>
          </w:tcPr>
          <w:p w14:paraId="4E0EA8FF" w14:textId="77777777" w:rsidR="00083017" w:rsidRPr="00BA7805" w:rsidRDefault="00083017" w:rsidP="002542E1">
            <w:pPr>
              <w:pStyle w:val="ARfintablebodyrightbold"/>
              <w:rPr>
                <w:highlight w:val="green"/>
              </w:rPr>
            </w:pPr>
            <w:r w:rsidRPr="00EC0722">
              <w:t>35,492.5</w:t>
            </w:r>
          </w:p>
        </w:tc>
      </w:tr>
      <w:tr w:rsidR="00083017" w:rsidRPr="00BA7805" w14:paraId="3D29EDDD" w14:textId="77777777" w:rsidTr="003D7AC8">
        <w:tc>
          <w:tcPr>
            <w:tcW w:w="9637" w:type="dxa"/>
            <w:gridSpan w:val="3"/>
            <w:tcBorders>
              <w:top w:val="single" w:sz="4" w:space="0" w:color="auto"/>
              <w:bottom w:val="single" w:sz="4" w:space="0" w:color="A6A6A6"/>
            </w:tcBorders>
          </w:tcPr>
          <w:p w14:paraId="07F42B33" w14:textId="77777777" w:rsidR="00083017" w:rsidRPr="00BA7805" w:rsidRDefault="00083017" w:rsidP="002542E1">
            <w:pPr>
              <w:pStyle w:val="ARfintablebodybold"/>
              <w:rPr>
                <w:highlight w:val="green"/>
              </w:rPr>
            </w:pPr>
            <w:r w:rsidRPr="00E64AD7">
              <w:t>Equity</w:t>
            </w:r>
          </w:p>
        </w:tc>
      </w:tr>
      <w:tr w:rsidR="00083017" w:rsidRPr="00BA7805" w14:paraId="41F1BA7F" w14:textId="77777777" w:rsidTr="003D7AC8">
        <w:tc>
          <w:tcPr>
            <w:tcW w:w="6915" w:type="dxa"/>
            <w:tcBorders>
              <w:top w:val="single" w:sz="4" w:space="0" w:color="A6A6A6"/>
              <w:bottom w:val="single" w:sz="4" w:space="0" w:color="A6A6A6"/>
            </w:tcBorders>
          </w:tcPr>
          <w:p w14:paraId="0C9702D1" w14:textId="77777777" w:rsidR="00083017" w:rsidRPr="00BA7805" w:rsidRDefault="00083017" w:rsidP="002542E1">
            <w:pPr>
              <w:pStyle w:val="ARfintablebody"/>
              <w:rPr>
                <w:highlight w:val="green"/>
              </w:rPr>
            </w:pPr>
            <w:r w:rsidRPr="00E64AD7">
              <w:t>Accumulated surplus/(deficit)</w:t>
            </w:r>
          </w:p>
        </w:tc>
        <w:tc>
          <w:tcPr>
            <w:tcW w:w="1361" w:type="dxa"/>
            <w:tcBorders>
              <w:top w:val="single" w:sz="4" w:space="0" w:color="A6A6A6"/>
              <w:bottom w:val="single" w:sz="4" w:space="0" w:color="A6A6A6"/>
            </w:tcBorders>
            <w:shd w:val="clear" w:color="auto" w:fill="E7E6E6"/>
            <w:noWrap/>
          </w:tcPr>
          <w:p w14:paraId="1853C300" w14:textId="77777777" w:rsidR="00083017" w:rsidRPr="00BA7805" w:rsidRDefault="00083017" w:rsidP="002542E1">
            <w:pPr>
              <w:pStyle w:val="ARfintablebodyright"/>
              <w:rPr>
                <w:highlight w:val="green"/>
              </w:rPr>
            </w:pPr>
            <w:r w:rsidRPr="00CD1B38">
              <w:t>(291.1)</w:t>
            </w:r>
          </w:p>
        </w:tc>
        <w:tc>
          <w:tcPr>
            <w:tcW w:w="1361" w:type="dxa"/>
            <w:tcBorders>
              <w:top w:val="single" w:sz="4" w:space="0" w:color="A6A6A6"/>
              <w:bottom w:val="single" w:sz="4" w:space="0" w:color="A6A6A6"/>
            </w:tcBorders>
            <w:noWrap/>
          </w:tcPr>
          <w:p w14:paraId="606C9DE1" w14:textId="77777777" w:rsidR="00083017" w:rsidRPr="00BA7805" w:rsidRDefault="00083017" w:rsidP="002542E1">
            <w:pPr>
              <w:pStyle w:val="ARfintablebodyright"/>
              <w:rPr>
                <w:highlight w:val="green"/>
              </w:rPr>
            </w:pPr>
            <w:r w:rsidRPr="00CD1B38">
              <w:t>152.6</w:t>
            </w:r>
          </w:p>
        </w:tc>
      </w:tr>
      <w:tr w:rsidR="00083017" w:rsidRPr="00BA7805" w14:paraId="2FEE5097" w14:textId="77777777" w:rsidTr="003D7AC8">
        <w:tc>
          <w:tcPr>
            <w:tcW w:w="6915" w:type="dxa"/>
            <w:tcBorders>
              <w:top w:val="single" w:sz="4" w:space="0" w:color="A6A6A6"/>
              <w:bottom w:val="single" w:sz="4" w:space="0" w:color="A6A6A6"/>
            </w:tcBorders>
          </w:tcPr>
          <w:p w14:paraId="718C7A58" w14:textId="77777777" w:rsidR="00083017" w:rsidRPr="00BA7805" w:rsidRDefault="00083017" w:rsidP="002542E1">
            <w:pPr>
              <w:pStyle w:val="ARfintablebody"/>
              <w:rPr>
                <w:highlight w:val="green"/>
              </w:rPr>
            </w:pPr>
            <w:r w:rsidRPr="00E64AD7">
              <w:t>Physical asset revaluation surplus</w:t>
            </w:r>
          </w:p>
        </w:tc>
        <w:tc>
          <w:tcPr>
            <w:tcW w:w="1361" w:type="dxa"/>
            <w:tcBorders>
              <w:top w:val="single" w:sz="4" w:space="0" w:color="A6A6A6"/>
              <w:bottom w:val="single" w:sz="4" w:space="0" w:color="A6A6A6"/>
            </w:tcBorders>
            <w:shd w:val="clear" w:color="auto" w:fill="E7E6E6"/>
            <w:noWrap/>
          </w:tcPr>
          <w:p w14:paraId="353E6480" w14:textId="77777777" w:rsidR="00083017" w:rsidRPr="00BA7805" w:rsidRDefault="00083017" w:rsidP="002542E1">
            <w:pPr>
              <w:pStyle w:val="ARfintablebodyright"/>
              <w:rPr>
                <w:highlight w:val="green"/>
              </w:rPr>
            </w:pPr>
            <w:r w:rsidRPr="00CD1B38">
              <w:t>8,479.2</w:t>
            </w:r>
          </w:p>
        </w:tc>
        <w:tc>
          <w:tcPr>
            <w:tcW w:w="1361" w:type="dxa"/>
            <w:tcBorders>
              <w:top w:val="single" w:sz="4" w:space="0" w:color="A6A6A6"/>
              <w:bottom w:val="single" w:sz="4" w:space="0" w:color="A6A6A6"/>
            </w:tcBorders>
            <w:noWrap/>
          </w:tcPr>
          <w:p w14:paraId="35A256F2" w14:textId="77777777" w:rsidR="00083017" w:rsidRPr="00BA7805" w:rsidRDefault="00083017" w:rsidP="002542E1">
            <w:pPr>
              <w:pStyle w:val="ARfintablebodyright"/>
              <w:rPr>
                <w:highlight w:val="green"/>
              </w:rPr>
            </w:pPr>
            <w:r w:rsidRPr="00CD1B38">
              <w:t>7,240.3</w:t>
            </w:r>
          </w:p>
        </w:tc>
      </w:tr>
      <w:tr w:rsidR="00083017" w:rsidRPr="00BA7805" w14:paraId="3DDA845C" w14:textId="77777777" w:rsidTr="003D7AC8">
        <w:tc>
          <w:tcPr>
            <w:tcW w:w="6915" w:type="dxa"/>
            <w:tcBorders>
              <w:top w:val="single" w:sz="4" w:space="0" w:color="A6A6A6"/>
            </w:tcBorders>
          </w:tcPr>
          <w:p w14:paraId="6496800E" w14:textId="77777777" w:rsidR="00083017" w:rsidRPr="00BA7805" w:rsidRDefault="00083017" w:rsidP="002542E1">
            <w:pPr>
              <w:pStyle w:val="ARfintablebody"/>
              <w:rPr>
                <w:highlight w:val="green"/>
              </w:rPr>
            </w:pPr>
            <w:r w:rsidRPr="00E64AD7">
              <w:t>Contributed capital</w:t>
            </w:r>
          </w:p>
        </w:tc>
        <w:tc>
          <w:tcPr>
            <w:tcW w:w="1361" w:type="dxa"/>
            <w:tcBorders>
              <w:top w:val="single" w:sz="4" w:space="0" w:color="A6A6A6"/>
            </w:tcBorders>
            <w:shd w:val="clear" w:color="auto" w:fill="E7E6E6"/>
            <w:noWrap/>
          </w:tcPr>
          <w:p w14:paraId="7CBB72B2" w14:textId="77777777" w:rsidR="00083017" w:rsidRPr="00BA7805" w:rsidRDefault="00083017" w:rsidP="002542E1">
            <w:pPr>
              <w:pStyle w:val="ARfintablebodyright"/>
              <w:rPr>
                <w:highlight w:val="green"/>
              </w:rPr>
            </w:pPr>
            <w:r w:rsidRPr="00CD1B38">
              <w:t>28,909.4</w:t>
            </w:r>
          </w:p>
        </w:tc>
        <w:tc>
          <w:tcPr>
            <w:tcW w:w="1361" w:type="dxa"/>
            <w:tcBorders>
              <w:top w:val="single" w:sz="4" w:space="0" w:color="A6A6A6"/>
            </w:tcBorders>
            <w:noWrap/>
          </w:tcPr>
          <w:p w14:paraId="3E2C2028" w14:textId="77777777" w:rsidR="00083017" w:rsidRPr="00BA7805" w:rsidRDefault="00083017" w:rsidP="002542E1">
            <w:pPr>
              <w:pStyle w:val="ARfintablebodyright"/>
              <w:rPr>
                <w:highlight w:val="green"/>
              </w:rPr>
            </w:pPr>
            <w:r w:rsidRPr="00CD1B38">
              <w:t>28,099.6</w:t>
            </w:r>
          </w:p>
        </w:tc>
      </w:tr>
      <w:tr w:rsidR="00083017" w:rsidRPr="00BA7805" w14:paraId="4E057F4C" w14:textId="77777777" w:rsidTr="003D7AC8">
        <w:tc>
          <w:tcPr>
            <w:tcW w:w="6915" w:type="dxa"/>
          </w:tcPr>
          <w:p w14:paraId="0314917F" w14:textId="77777777" w:rsidR="00083017" w:rsidRPr="00BA7805" w:rsidRDefault="00083017" w:rsidP="002542E1">
            <w:pPr>
              <w:pStyle w:val="ARfintablebodybold"/>
              <w:rPr>
                <w:highlight w:val="green"/>
              </w:rPr>
            </w:pPr>
            <w:r w:rsidRPr="00E64AD7">
              <w:t>Net worth</w:t>
            </w:r>
          </w:p>
        </w:tc>
        <w:tc>
          <w:tcPr>
            <w:tcW w:w="1361" w:type="dxa"/>
            <w:shd w:val="clear" w:color="auto" w:fill="E7E6E6"/>
            <w:noWrap/>
          </w:tcPr>
          <w:p w14:paraId="471E60F8" w14:textId="77777777" w:rsidR="00083017" w:rsidRPr="00BA7805" w:rsidRDefault="00083017" w:rsidP="002542E1">
            <w:pPr>
              <w:pStyle w:val="ARfintablebodyrightbold"/>
              <w:rPr>
                <w:highlight w:val="green"/>
              </w:rPr>
            </w:pPr>
            <w:r w:rsidRPr="00CD1B38">
              <w:t>37,097.5</w:t>
            </w:r>
          </w:p>
        </w:tc>
        <w:tc>
          <w:tcPr>
            <w:tcW w:w="1361" w:type="dxa"/>
            <w:noWrap/>
          </w:tcPr>
          <w:p w14:paraId="737AEDE6" w14:textId="77777777" w:rsidR="00083017" w:rsidRPr="00BA7805" w:rsidRDefault="00083017" w:rsidP="002542E1">
            <w:pPr>
              <w:pStyle w:val="ARfintablebodyrightbold"/>
              <w:rPr>
                <w:highlight w:val="green"/>
              </w:rPr>
            </w:pPr>
            <w:r w:rsidRPr="00CD1B38">
              <w:t>35,492.5</w:t>
            </w:r>
          </w:p>
        </w:tc>
      </w:tr>
    </w:tbl>
    <w:p w14:paraId="43F1726E" w14:textId="77777777" w:rsidR="00083017" w:rsidRPr="00551781" w:rsidRDefault="00083017" w:rsidP="00C743C9">
      <w:pPr>
        <w:pStyle w:val="ARfintablefootnote"/>
        <w:rPr>
          <w:lang w:eastAsia="en-AU"/>
        </w:rPr>
      </w:pPr>
      <w:r w:rsidRPr="00551781">
        <w:rPr>
          <w:lang w:eastAsia="en-AU"/>
        </w:rPr>
        <w:t>Notes:</w:t>
      </w:r>
    </w:p>
    <w:p w14:paraId="20BFCE6A" w14:textId="77777777" w:rsidR="00083017" w:rsidRPr="004F554B" w:rsidRDefault="00083017" w:rsidP="002542E1">
      <w:pPr>
        <w:pStyle w:val="ARfintablefootnotetabindent"/>
      </w:pPr>
      <w:r w:rsidRPr="004F554B">
        <w:t>(i)</w:t>
      </w:r>
      <w:r w:rsidRPr="004F554B">
        <w:tab/>
        <w:t xml:space="preserve">The decrease in cash at bank reflects the planned acquittal of government funding received last financial year and spent this financial </w:t>
      </w:r>
      <w:r w:rsidRPr="00DB449D">
        <w:t>year</w:t>
      </w:r>
      <w:r w:rsidRPr="004F554B">
        <w:t xml:space="preserve"> as part of capital programs including the Big Housing Build to grow social and affordable housing in Victoria.</w:t>
      </w:r>
    </w:p>
    <w:p w14:paraId="795E73EC" w14:textId="19C75E93" w:rsidR="00083017" w:rsidRDefault="00083017" w:rsidP="002542E1">
      <w:pPr>
        <w:pStyle w:val="ARfintablefootnotetabindent"/>
      </w:pPr>
      <w:r w:rsidRPr="004F554B">
        <w:t>(ii)</w:t>
      </w:r>
      <w:r w:rsidRPr="004F554B">
        <w:tab/>
        <w:t xml:space="preserve">The increase in </w:t>
      </w:r>
      <w:r w:rsidRPr="00DB449D">
        <w:t>property</w:t>
      </w:r>
      <w:r w:rsidRPr="004F554B">
        <w:t xml:space="preserve">, plant and equipment reflects the impact of scheduled land and building revaluation undertaken in </w:t>
      </w:r>
      <w:r w:rsidR="00981E3A">
        <w:br/>
        <w:t>2023–24</w:t>
      </w:r>
      <w:r w:rsidRPr="004F554B">
        <w:t>.</w:t>
      </w:r>
    </w:p>
    <w:p w14:paraId="37922683" w14:textId="77777777" w:rsidR="00083017" w:rsidRPr="00BA7805" w:rsidRDefault="00083017" w:rsidP="005C7C7D">
      <w:pPr>
        <w:pStyle w:val="ARbody"/>
        <w:rPr>
          <w:highlight w:val="green"/>
        </w:rPr>
      </w:pPr>
      <w:r w:rsidRPr="00BA7805">
        <w:rPr>
          <w:highlight w:val="green"/>
        </w:rPr>
        <w:br w:type="page"/>
      </w:r>
    </w:p>
    <w:p w14:paraId="7CDC3A24" w14:textId="77777777" w:rsidR="00083017" w:rsidRPr="001E3109" w:rsidRDefault="00083017" w:rsidP="00C743C9">
      <w:pPr>
        <w:pStyle w:val="Heading3"/>
      </w:pPr>
      <w:bookmarkStart w:id="307" w:name="_Ref112760424"/>
      <w:bookmarkStart w:id="308" w:name="_Ref146707928"/>
      <w:bookmarkStart w:id="309" w:name="_Ref178239821"/>
      <w:r w:rsidRPr="001E3109">
        <w:t>Cash flow statement for the financial year ended 30 June 202</w:t>
      </w:r>
      <w:bookmarkEnd w:id="307"/>
      <w:bookmarkEnd w:id="308"/>
      <w:r w:rsidRPr="001E3109">
        <w:t>4</w:t>
      </w:r>
      <w:bookmarkEnd w:id="309"/>
    </w:p>
    <w:tbl>
      <w:tblPr>
        <w:tblStyle w:val="TableGrid"/>
        <w:tblW w:w="9637" w:type="dxa"/>
        <w:tblLayout w:type="fixed"/>
        <w:tblLook w:val="06A0" w:firstRow="1" w:lastRow="0" w:firstColumn="1" w:lastColumn="0" w:noHBand="1" w:noVBand="1"/>
      </w:tblPr>
      <w:tblGrid>
        <w:gridCol w:w="6915"/>
        <w:gridCol w:w="1361"/>
        <w:gridCol w:w="1361"/>
      </w:tblGrid>
      <w:tr w:rsidR="00083017" w:rsidRPr="00BA7805" w14:paraId="1FE1032A"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7AF6D04" w14:textId="77777777" w:rsidR="00083017" w:rsidRPr="00BA7805" w:rsidRDefault="00083017">
            <w:pPr>
              <w:pStyle w:val="ARfintablecolhead"/>
              <w:rPr>
                <w:highlight w:val="green"/>
              </w:rPr>
            </w:pPr>
          </w:p>
        </w:tc>
        <w:tc>
          <w:tcPr>
            <w:tcW w:w="1361" w:type="dxa"/>
            <w:tcBorders>
              <w:bottom w:val="single" w:sz="4" w:space="0" w:color="auto"/>
            </w:tcBorders>
            <w:shd w:val="clear" w:color="auto" w:fill="E7E6E6"/>
            <w:hideMark/>
          </w:tcPr>
          <w:p w14:paraId="0FF608B3" w14:textId="77777777" w:rsidR="00083017" w:rsidRPr="001E3109" w:rsidRDefault="00083017">
            <w:pPr>
              <w:pStyle w:val="ARfintablecolheadright"/>
            </w:pPr>
            <w:r w:rsidRPr="001E3109">
              <w:t>2024</w:t>
            </w:r>
          </w:p>
          <w:p w14:paraId="6CB87120" w14:textId="77777777" w:rsidR="00083017" w:rsidRPr="001E3109" w:rsidRDefault="00083017">
            <w:pPr>
              <w:pStyle w:val="ARfintablecolheadright"/>
            </w:pPr>
            <w:r w:rsidRPr="001E3109">
              <w:t>$M</w:t>
            </w:r>
          </w:p>
        </w:tc>
        <w:tc>
          <w:tcPr>
            <w:tcW w:w="1361" w:type="dxa"/>
            <w:tcBorders>
              <w:bottom w:val="single" w:sz="4" w:space="0" w:color="auto"/>
            </w:tcBorders>
            <w:hideMark/>
          </w:tcPr>
          <w:p w14:paraId="7AD8B801" w14:textId="77777777" w:rsidR="00083017" w:rsidRPr="001E3109" w:rsidRDefault="00083017">
            <w:pPr>
              <w:pStyle w:val="ARfintablecolheadright"/>
            </w:pPr>
            <w:r w:rsidRPr="001E3109">
              <w:t>2023</w:t>
            </w:r>
          </w:p>
          <w:p w14:paraId="67180768" w14:textId="77777777" w:rsidR="00083017" w:rsidRPr="001E3109" w:rsidRDefault="00083017">
            <w:pPr>
              <w:pStyle w:val="ARfintablecolheadright"/>
            </w:pPr>
            <w:r w:rsidRPr="001E3109">
              <w:t>$M</w:t>
            </w:r>
          </w:p>
        </w:tc>
      </w:tr>
      <w:tr w:rsidR="00083017" w:rsidRPr="00BA7805" w14:paraId="297CDE40" w14:textId="77777777" w:rsidTr="003D7AC8">
        <w:tc>
          <w:tcPr>
            <w:tcW w:w="9637" w:type="dxa"/>
            <w:gridSpan w:val="3"/>
            <w:tcBorders>
              <w:top w:val="single" w:sz="4" w:space="0" w:color="auto"/>
              <w:bottom w:val="single" w:sz="4" w:space="0" w:color="A6A6A6"/>
            </w:tcBorders>
          </w:tcPr>
          <w:p w14:paraId="164328B1" w14:textId="77777777" w:rsidR="00083017" w:rsidRPr="00BA7805" w:rsidRDefault="00083017" w:rsidP="002542E1">
            <w:pPr>
              <w:pStyle w:val="ARfintablebodybold"/>
              <w:rPr>
                <w:highlight w:val="green"/>
              </w:rPr>
            </w:pPr>
            <w:r w:rsidRPr="002F2465">
              <w:t>Cash flows from operating activities</w:t>
            </w:r>
          </w:p>
        </w:tc>
      </w:tr>
      <w:tr w:rsidR="00083017" w:rsidRPr="00BA7805" w14:paraId="2AD6CB93" w14:textId="77777777" w:rsidTr="003D7AC8">
        <w:tc>
          <w:tcPr>
            <w:tcW w:w="9637" w:type="dxa"/>
            <w:gridSpan w:val="3"/>
            <w:tcBorders>
              <w:top w:val="single" w:sz="4" w:space="0" w:color="A6A6A6"/>
              <w:bottom w:val="single" w:sz="4" w:space="0" w:color="A6A6A6"/>
            </w:tcBorders>
          </w:tcPr>
          <w:p w14:paraId="36670FD2" w14:textId="77777777" w:rsidR="00083017" w:rsidRPr="00BA7805" w:rsidRDefault="00083017" w:rsidP="002542E1">
            <w:pPr>
              <w:pStyle w:val="ARfintablebodybold"/>
              <w:rPr>
                <w:highlight w:val="green"/>
              </w:rPr>
            </w:pPr>
            <w:r w:rsidRPr="002F2465">
              <w:t>Receipts</w:t>
            </w:r>
          </w:p>
        </w:tc>
      </w:tr>
      <w:tr w:rsidR="00083017" w:rsidRPr="00BA7805" w14:paraId="09A3DF60" w14:textId="77777777" w:rsidTr="003D7AC8">
        <w:tc>
          <w:tcPr>
            <w:tcW w:w="6915" w:type="dxa"/>
            <w:tcBorders>
              <w:top w:val="single" w:sz="4" w:space="0" w:color="A6A6A6"/>
              <w:bottom w:val="single" w:sz="4" w:space="0" w:color="A6A6A6"/>
            </w:tcBorders>
          </w:tcPr>
          <w:p w14:paraId="0D4C898B" w14:textId="77777777" w:rsidR="00083017" w:rsidRPr="00BA7805" w:rsidRDefault="00083017" w:rsidP="002542E1">
            <w:pPr>
              <w:pStyle w:val="ARfintablebody"/>
              <w:rPr>
                <w:highlight w:val="green"/>
              </w:rPr>
            </w:pPr>
            <w:r w:rsidRPr="002F2465">
              <w:t>Output appropriations</w:t>
            </w:r>
          </w:p>
        </w:tc>
        <w:tc>
          <w:tcPr>
            <w:tcW w:w="1361" w:type="dxa"/>
            <w:tcBorders>
              <w:top w:val="single" w:sz="4" w:space="0" w:color="A6A6A6"/>
              <w:bottom w:val="single" w:sz="4" w:space="0" w:color="A6A6A6"/>
            </w:tcBorders>
            <w:shd w:val="clear" w:color="auto" w:fill="E7E6E6"/>
            <w:noWrap/>
          </w:tcPr>
          <w:p w14:paraId="4C454361" w14:textId="77777777" w:rsidR="00083017" w:rsidRPr="00BA7805" w:rsidRDefault="00083017" w:rsidP="002542E1">
            <w:pPr>
              <w:pStyle w:val="ARfintablebodyright"/>
              <w:rPr>
                <w:highlight w:val="green"/>
              </w:rPr>
            </w:pPr>
            <w:r w:rsidRPr="00226572">
              <w:t>580.1</w:t>
            </w:r>
          </w:p>
        </w:tc>
        <w:tc>
          <w:tcPr>
            <w:tcW w:w="1361" w:type="dxa"/>
            <w:tcBorders>
              <w:top w:val="single" w:sz="4" w:space="0" w:color="A6A6A6"/>
              <w:bottom w:val="single" w:sz="4" w:space="0" w:color="A6A6A6"/>
            </w:tcBorders>
            <w:noWrap/>
          </w:tcPr>
          <w:p w14:paraId="1836CEAF" w14:textId="77777777" w:rsidR="00083017" w:rsidRPr="00BA7805" w:rsidRDefault="00083017" w:rsidP="002542E1">
            <w:pPr>
              <w:pStyle w:val="ARfintablebodyright"/>
              <w:rPr>
                <w:highlight w:val="green"/>
              </w:rPr>
            </w:pPr>
            <w:r w:rsidRPr="00226572">
              <w:t>839.4</w:t>
            </w:r>
          </w:p>
        </w:tc>
      </w:tr>
      <w:tr w:rsidR="00083017" w:rsidRPr="00BA7805" w14:paraId="4C21A8A9" w14:textId="77777777" w:rsidTr="003D7AC8">
        <w:tc>
          <w:tcPr>
            <w:tcW w:w="6915" w:type="dxa"/>
            <w:tcBorders>
              <w:top w:val="single" w:sz="4" w:space="0" w:color="A6A6A6"/>
              <w:bottom w:val="single" w:sz="4" w:space="0" w:color="A6A6A6"/>
            </w:tcBorders>
          </w:tcPr>
          <w:p w14:paraId="6EBD2A82" w14:textId="77777777" w:rsidR="00083017" w:rsidRPr="00BA7805" w:rsidRDefault="00083017" w:rsidP="002542E1">
            <w:pPr>
              <w:pStyle w:val="ARfintablebody"/>
              <w:rPr>
                <w:highlight w:val="green"/>
              </w:rPr>
            </w:pPr>
            <w:r w:rsidRPr="002F2465">
              <w:t>Special appropriations</w:t>
            </w:r>
          </w:p>
        </w:tc>
        <w:tc>
          <w:tcPr>
            <w:tcW w:w="1361" w:type="dxa"/>
            <w:tcBorders>
              <w:top w:val="single" w:sz="4" w:space="0" w:color="A6A6A6"/>
              <w:bottom w:val="single" w:sz="4" w:space="0" w:color="A6A6A6"/>
            </w:tcBorders>
            <w:shd w:val="clear" w:color="auto" w:fill="E7E6E6"/>
            <w:noWrap/>
          </w:tcPr>
          <w:p w14:paraId="6A14A5C0" w14:textId="77777777" w:rsidR="00083017" w:rsidRPr="00BA7805" w:rsidRDefault="00083017" w:rsidP="002542E1">
            <w:pPr>
              <w:pStyle w:val="ARfintablebodyright"/>
              <w:rPr>
                <w:highlight w:val="green"/>
              </w:rPr>
            </w:pPr>
            <w:r w:rsidRPr="00226572">
              <w:t>5.4</w:t>
            </w:r>
          </w:p>
        </w:tc>
        <w:tc>
          <w:tcPr>
            <w:tcW w:w="1361" w:type="dxa"/>
            <w:tcBorders>
              <w:top w:val="single" w:sz="4" w:space="0" w:color="A6A6A6"/>
              <w:bottom w:val="single" w:sz="4" w:space="0" w:color="A6A6A6"/>
            </w:tcBorders>
            <w:noWrap/>
          </w:tcPr>
          <w:p w14:paraId="35279F93" w14:textId="77777777" w:rsidR="00083017" w:rsidRPr="00BA7805" w:rsidRDefault="00083017" w:rsidP="002542E1">
            <w:pPr>
              <w:pStyle w:val="ARfintablebodyright"/>
              <w:rPr>
                <w:highlight w:val="green"/>
              </w:rPr>
            </w:pPr>
            <w:r>
              <w:t>–</w:t>
            </w:r>
          </w:p>
        </w:tc>
      </w:tr>
      <w:tr w:rsidR="00083017" w:rsidRPr="00BA7805" w14:paraId="4EB1FA16" w14:textId="77777777" w:rsidTr="003D7AC8">
        <w:tc>
          <w:tcPr>
            <w:tcW w:w="6915" w:type="dxa"/>
            <w:tcBorders>
              <w:top w:val="single" w:sz="4" w:space="0" w:color="A6A6A6"/>
              <w:bottom w:val="single" w:sz="4" w:space="0" w:color="A6A6A6"/>
            </w:tcBorders>
          </w:tcPr>
          <w:p w14:paraId="42504891" w14:textId="77777777" w:rsidR="00083017" w:rsidRPr="00BA7805" w:rsidRDefault="00083017" w:rsidP="002542E1">
            <w:pPr>
              <w:pStyle w:val="ARfintablebody"/>
              <w:rPr>
                <w:highlight w:val="green"/>
              </w:rPr>
            </w:pPr>
            <w:r w:rsidRPr="002F2465">
              <w:t>Funds from other entities</w:t>
            </w:r>
          </w:p>
        </w:tc>
        <w:tc>
          <w:tcPr>
            <w:tcW w:w="1361" w:type="dxa"/>
            <w:tcBorders>
              <w:top w:val="single" w:sz="4" w:space="0" w:color="A6A6A6"/>
              <w:bottom w:val="single" w:sz="4" w:space="0" w:color="A6A6A6"/>
            </w:tcBorders>
            <w:shd w:val="clear" w:color="auto" w:fill="E7E6E6"/>
            <w:noWrap/>
          </w:tcPr>
          <w:p w14:paraId="1CFCAF1B" w14:textId="77777777" w:rsidR="00083017" w:rsidRPr="00BA7805" w:rsidRDefault="00083017" w:rsidP="002542E1">
            <w:pPr>
              <w:pStyle w:val="ARfintablebodyright"/>
              <w:rPr>
                <w:highlight w:val="green"/>
              </w:rPr>
            </w:pPr>
            <w:r w:rsidRPr="00226572">
              <w:t>232.3</w:t>
            </w:r>
          </w:p>
        </w:tc>
        <w:tc>
          <w:tcPr>
            <w:tcW w:w="1361" w:type="dxa"/>
            <w:tcBorders>
              <w:top w:val="single" w:sz="4" w:space="0" w:color="A6A6A6"/>
              <w:bottom w:val="single" w:sz="4" w:space="0" w:color="A6A6A6"/>
            </w:tcBorders>
            <w:noWrap/>
          </w:tcPr>
          <w:p w14:paraId="24D65CC7" w14:textId="77777777" w:rsidR="00083017" w:rsidRPr="00BA7805" w:rsidRDefault="00083017" w:rsidP="002542E1">
            <w:pPr>
              <w:pStyle w:val="ARfintablebodyright"/>
              <w:rPr>
                <w:highlight w:val="green"/>
              </w:rPr>
            </w:pPr>
            <w:r w:rsidRPr="00226572">
              <w:t>430.1</w:t>
            </w:r>
          </w:p>
        </w:tc>
      </w:tr>
      <w:tr w:rsidR="00083017" w:rsidRPr="00BA7805" w14:paraId="6ABE557C" w14:textId="77777777" w:rsidTr="003D7AC8">
        <w:tc>
          <w:tcPr>
            <w:tcW w:w="6915" w:type="dxa"/>
            <w:tcBorders>
              <w:top w:val="single" w:sz="4" w:space="0" w:color="A6A6A6"/>
              <w:bottom w:val="single" w:sz="4" w:space="0" w:color="A6A6A6"/>
            </w:tcBorders>
          </w:tcPr>
          <w:p w14:paraId="1CD3F5E3" w14:textId="77777777" w:rsidR="00083017" w:rsidRPr="00BA7805" w:rsidRDefault="00083017" w:rsidP="002542E1">
            <w:pPr>
              <w:pStyle w:val="ARfintablebody"/>
              <w:rPr>
                <w:highlight w:val="green"/>
              </w:rPr>
            </w:pPr>
            <w:r w:rsidRPr="002F2465">
              <w:t>Rent received</w:t>
            </w:r>
          </w:p>
        </w:tc>
        <w:tc>
          <w:tcPr>
            <w:tcW w:w="1361" w:type="dxa"/>
            <w:tcBorders>
              <w:top w:val="single" w:sz="4" w:space="0" w:color="A6A6A6"/>
              <w:bottom w:val="single" w:sz="4" w:space="0" w:color="A6A6A6"/>
            </w:tcBorders>
            <w:shd w:val="clear" w:color="auto" w:fill="E7E6E6"/>
            <w:noWrap/>
          </w:tcPr>
          <w:p w14:paraId="0A8CBB6B" w14:textId="77777777" w:rsidR="00083017" w:rsidRPr="00BA7805" w:rsidRDefault="00083017" w:rsidP="002542E1">
            <w:pPr>
              <w:pStyle w:val="ARfintablebodyright"/>
              <w:rPr>
                <w:highlight w:val="green"/>
              </w:rPr>
            </w:pPr>
            <w:r w:rsidRPr="00226572">
              <w:t>557.1</w:t>
            </w:r>
          </w:p>
        </w:tc>
        <w:tc>
          <w:tcPr>
            <w:tcW w:w="1361" w:type="dxa"/>
            <w:tcBorders>
              <w:top w:val="single" w:sz="4" w:space="0" w:color="A6A6A6"/>
              <w:bottom w:val="single" w:sz="4" w:space="0" w:color="A6A6A6"/>
            </w:tcBorders>
            <w:noWrap/>
          </w:tcPr>
          <w:p w14:paraId="53FEA2F4" w14:textId="77777777" w:rsidR="00083017" w:rsidRPr="00BA7805" w:rsidRDefault="00083017" w:rsidP="002542E1">
            <w:pPr>
              <w:pStyle w:val="ARfintablebodyright"/>
              <w:rPr>
                <w:highlight w:val="green"/>
              </w:rPr>
            </w:pPr>
            <w:r w:rsidRPr="00226572">
              <w:t>504.3</w:t>
            </w:r>
          </w:p>
        </w:tc>
      </w:tr>
      <w:tr w:rsidR="00083017" w:rsidRPr="00BA7805" w14:paraId="08B6ACE2" w14:textId="77777777" w:rsidTr="003D7AC8">
        <w:tc>
          <w:tcPr>
            <w:tcW w:w="6915" w:type="dxa"/>
            <w:tcBorders>
              <w:top w:val="single" w:sz="4" w:space="0" w:color="A6A6A6"/>
              <w:bottom w:val="single" w:sz="4" w:space="0" w:color="A6A6A6"/>
            </w:tcBorders>
          </w:tcPr>
          <w:p w14:paraId="22E27700" w14:textId="77777777" w:rsidR="00083017" w:rsidRPr="00BA7805" w:rsidRDefault="00083017" w:rsidP="002542E1">
            <w:pPr>
              <w:pStyle w:val="ARfintablebody"/>
              <w:rPr>
                <w:highlight w:val="green"/>
              </w:rPr>
            </w:pPr>
            <w:r w:rsidRPr="002F2465">
              <w:t>Interest received</w:t>
            </w:r>
          </w:p>
        </w:tc>
        <w:tc>
          <w:tcPr>
            <w:tcW w:w="1361" w:type="dxa"/>
            <w:tcBorders>
              <w:top w:val="single" w:sz="4" w:space="0" w:color="A6A6A6"/>
              <w:bottom w:val="single" w:sz="4" w:space="0" w:color="A6A6A6"/>
            </w:tcBorders>
            <w:shd w:val="clear" w:color="auto" w:fill="E7E6E6"/>
            <w:noWrap/>
          </w:tcPr>
          <w:p w14:paraId="64FC05A0" w14:textId="77777777" w:rsidR="00083017" w:rsidRPr="00BA7805" w:rsidRDefault="00083017" w:rsidP="002542E1">
            <w:pPr>
              <w:pStyle w:val="ARfintablebodyright"/>
              <w:rPr>
                <w:highlight w:val="green"/>
              </w:rPr>
            </w:pPr>
            <w:r w:rsidRPr="00226572">
              <w:t>32.4</w:t>
            </w:r>
          </w:p>
        </w:tc>
        <w:tc>
          <w:tcPr>
            <w:tcW w:w="1361" w:type="dxa"/>
            <w:tcBorders>
              <w:top w:val="single" w:sz="4" w:space="0" w:color="A6A6A6"/>
              <w:bottom w:val="single" w:sz="4" w:space="0" w:color="A6A6A6"/>
            </w:tcBorders>
            <w:noWrap/>
          </w:tcPr>
          <w:p w14:paraId="3370C808" w14:textId="77777777" w:rsidR="00083017" w:rsidRPr="00BA7805" w:rsidRDefault="00083017" w:rsidP="002542E1">
            <w:pPr>
              <w:pStyle w:val="ARfintablebodyright"/>
              <w:rPr>
                <w:highlight w:val="green"/>
              </w:rPr>
            </w:pPr>
            <w:r w:rsidRPr="00226572">
              <w:t>20.7</w:t>
            </w:r>
          </w:p>
        </w:tc>
      </w:tr>
      <w:tr w:rsidR="00083017" w:rsidRPr="00BA7805" w14:paraId="679E61F6" w14:textId="77777777" w:rsidTr="003D7AC8">
        <w:tc>
          <w:tcPr>
            <w:tcW w:w="6915" w:type="dxa"/>
            <w:tcBorders>
              <w:top w:val="single" w:sz="4" w:space="0" w:color="A6A6A6"/>
              <w:bottom w:val="single" w:sz="4" w:space="0" w:color="A6A6A6"/>
            </w:tcBorders>
          </w:tcPr>
          <w:p w14:paraId="631302A3" w14:textId="77777777" w:rsidR="00083017" w:rsidRPr="00BA7805" w:rsidRDefault="00083017" w:rsidP="002542E1">
            <w:pPr>
              <w:pStyle w:val="ARfintablebody"/>
              <w:rPr>
                <w:highlight w:val="green"/>
              </w:rPr>
            </w:pPr>
            <w:r w:rsidRPr="002F2465">
              <w:t>Other receipts</w:t>
            </w:r>
          </w:p>
        </w:tc>
        <w:tc>
          <w:tcPr>
            <w:tcW w:w="1361" w:type="dxa"/>
            <w:tcBorders>
              <w:top w:val="single" w:sz="4" w:space="0" w:color="A6A6A6"/>
              <w:bottom w:val="single" w:sz="4" w:space="0" w:color="A6A6A6"/>
            </w:tcBorders>
            <w:shd w:val="clear" w:color="auto" w:fill="E7E6E6"/>
            <w:noWrap/>
          </w:tcPr>
          <w:p w14:paraId="6B590B51" w14:textId="77777777" w:rsidR="00083017" w:rsidRPr="00BA7805" w:rsidRDefault="00083017" w:rsidP="002542E1">
            <w:pPr>
              <w:pStyle w:val="ARfintablebodyright"/>
              <w:rPr>
                <w:highlight w:val="green"/>
              </w:rPr>
            </w:pPr>
            <w:r w:rsidRPr="00226572">
              <w:t>12.1</w:t>
            </w:r>
          </w:p>
        </w:tc>
        <w:tc>
          <w:tcPr>
            <w:tcW w:w="1361" w:type="dxa"/>
            <w:tcBorders>
              <w:top w:val="single" w:sz="4" w:space="0" w:color="A6A6A6"/>
              <w:bottom w:val="single" w:sz="4" w:space="0" w:color="A6A6A6"/>
            </w:tcBorders>
            <w:noWrap/>
          </w:tcPr>
          <w:p w14:paraId="5214160A" w14:textId="77777777" w:rsidR="00083017" w:rsidRPr="00BA7805" w:rsidRDefault="00083017" w:rsidP="002542E1">
            <w:pPr>
              <w:pStyle w:val="ARfintablebodyright"/>
              <w:rPr>
                <w:highlight w:val="green"/>
              </w:rPr>
            </w:pPr>
            <w:r w:rsidRPr="00226572">
              <w:t>7.5</w:t>
            </w:r>
          </w:p>
        </w:tc>
      </w:tr>
      <w:tr w:rsidR="00083017" w:rsidRPr="00BA7805" w14:paraId="11612F25" w14:textId="77777777" w:rsidTr="002542E1">
        <w:tc>
          <w:tcPr>
            <w:tcW w:w="6915" w:type="dxa"/>
            <w:tcBorders>
              <w:top w:val="single" w:sz="4" w:space="0" w:color="A6A6A6"/>
            </w:tcBorders>
          </w:tcPr>
          <w:p w14:paraId="4220FC86" w14:textId="77777777" w:rsidR="00083017" w:rsidRPr="00BA7805" w:rsidRDefault="00083017" w:rsidP="002542E1">
            <w:pPr>
              <w:pStyle w:val="ARfintablebody"/>
              <w:rPr>
                <w:highlight w:val="green"/>
              </w:rPr>
            </w:pPr>
            <w:r w:rsidRPr="002F2465">
              <w:t xml:space="preserve">GST recovered from Australian Taxation Office </w:t>
            </w:r>
            <w:r w:rsidRPr="00D53536">
              <w:rPr>
                <w:vertAlign w:val="superscript"/>
              </w:rPr>
              <w:t>(i)</w:t>
            </w:r>
          </w:p>
        </w:tc>
        <w:tc>
          <w:tcPr>
            <w:tcW w:w="1361" w:type="dxa"/>
            <w:tcBorders>
              <w:top w:val="single" w:sz="4" w:space="0" w:color="A6A6A6"/>
            </w:tcBorders>
            <w:shd w:val="clear" w:color="auto" w:fill="E7E6E6" w:themeFill="accent4"/>
            <w:noWrap/>
          </w:tcPr>
          <w:p w14:paraId="06847893" w14:textId="77777777" w:rsidR="00083017" w:rsidRPr="00BA7805" w:rsidRDefault="00083017" w:rsidP="002542E1">
            <w:pPr>
              <w:pStyle w:val="ARfintablebodyright"/>
              <w:rPr>
                <w:highlight w:val="green"/>
              </w:rPr>
            </w:pPr>
            <w:r w:rsidRPr="00226572">
              <w:t>77.9</w:t>
            </w:r>
          </w:p>
        </w:tc>
        <w:tc>
          <w:tcPr>
            <w:tcW w:w="1361" w:type="dxa"/>
            <w:tcBorders>
              <w:top w:val="single" w:sz="4" w:space="0" w:color="A6A6A6"/>
            </w:tcBorders>
            <w:noWrap/>
          </w:tcPr>
          <w:p w14:paraId="2312555A" w14:textId="77777777" w:rsidR="00083017" w:rsidRPr="00BA7805" w:rsidRDefault="00083017" w:rsidP="002542E1">
            <w:pPr>
              <w:pStyle w:val="ARfintablebodyright"/>
              <w:rPr>
                <w:highlight w:val="green"/>
              </w:rPr>
            </w:pPr>
            <w:r w:rsidRPr="00226572">
              <w:t>85.0</w:t>
            </w:r>
          </w:p>
        </w:tc>
      </w:tr>
      <w:tr w:rsidR="00083017" w:rsidRPr="00BA7805" w14:paraId="154C8B39" w14:textId="77777777" w:rsidTr="003D7AC8">
        <w:tc>
          <w:tcPr>
            <w:tcW w:w="6915" w:type="dxa"/>
            <w:tcBorders>
              <w:bottom w:val="single" w:sz="4" w:space="0" w:color="auto"/>
            </w:tcBorders>
          </w:tcPr>
          <w:p w14:paraId="585A62ED" w14:textId="77777777" w:rsidR="00083017" w:rsidRPr="00BA7805" w:rsidRDefault="00083017" w:rsidP="002542E1">
            <w:pPr>
              <w:pStyle w:val="ARfintablebodybold"/>
              <w:rPr>
                <w:highlight w:val="green"/>
              </w:rPr>
            </w:pPr>
            <w:r w:rsidRPr="002F2465">
              <w:t>Total receipts</w:t>
            </w:r>
          </w:p>
        </w:tc>
        <w:tc>
          <w:tcPr>
            <w:tcW w:w="1361" w:type="dxa"/>
            <w:tcBorders>
              <w:bottom w:val="single" w:sz="4" w:space="0" w:color="auto"/>
            </w:tcBorders>
            <w:shd w:val="clear" w:color="auto" w:fill="E7E6E6"/>
            <w:noWrap/>
          </w:tcPr>
          <w:p w14:paraId="1E91F8B0" w14:textId="77777777" w:rsidR="00083017" w:rsidRPr="00BA7805" w:rsidRDefault="00083017" w:rsidP="002542E1">
            <w:pPr>
              <w:pStyle w:val="ARfintablebodyrightbold"/>
              <w:rPr>
                <w:highlight w:val="green"/>
              </w:rPr>
            </w:pPr>
            <w:r w:rsidRPr="00226572">
              <w:t>1,497.3</w:t>
            </w:r>
          </w:p>
        </w:tc>
        <w:tc>
          <w:tcPr>
            <w:tcW w:w="1361" w:type="dxa"/>
            <w:tcBorders>
              <w:bottom w:val="single" w:sz="4" w:space="0" w:color="auto"/>
            </w:tcBorders>
            <w:noWrap/>
          </w:tcPr>
          <w:p w14:paraId="60FE4290" w14:textId="77777777" w:rsidR="00083017" w:rsidRPr="00BA7805" w:rsidRDefault="00083017" w:rsidP="002542E1">
            <w:pPr>
              <w:pStyle w:val="ARfintablebodyrightbold"/>
              <w:rPr>
                <w:highlight w:val="green"/>
              </w:rPr>
            </w:pPr>
            <w:r w:rsidRPr="00226572">
              <w:t>1,887.0</w:t>
            </w:r>
          </w:p>
        </w:tc>
      </w:tr>
      <w:tr w:rsidR="00083017" w:rsidRPr="00BA7805" w14:paraId="0889B354" w14:textId="77777777" w:rsidTr="003D7AC8">
        <w:tc>
          <w:tcPr>
            <w:tcW w:w="9637" w:type="dxa"/>
            <w:gridSpan w:val="3"/>
            <w:tcBorders>
              <w:top w:val="single" w:sz="4" w:space="0" w:color="auto"/>
              <w:bottom w:val="single" w:sz="4" w:space="0" w:color="A6A6A6"/>
            </w:tcBorders>
          </w:tcPr>
          <w:p w14:paraId="3485B551" w14:textId="77777777" w:rsidR="00083017" w:rsidRPr="00BA7805" w:rsidRDefault="00083017" w:rsidP="002542E1">
            <w:pPr>
              <w:pStyle w:val="ARfintablebodybold"/>
              <w:rPr>
                <w:highlight w:val="green"/>
              </w:rPr>
            </w:pPr>
            <w:r w:rsidRPr="00462B84">
              <w:t>Payments</w:t>
            </w:r>
          </w:p>
        </w:tc>
      </w:tr>
      <w:tr w:rsidR="00083017" w:rsidRPr="00BA7805" w14:paraId="071B2C58" w14:textId="77777777" w:rsidTr="003D7AC8">
        <w:tc>
          <w:tcPr>
            <w:tcW w:w="6915" w:type="dxa"/>
            <w:tcBorders>
              <w:top w:val="single" w:sz="4" w:space="0" w:color="A6A6A6"/>
              <w:bottom w:val="single" w:sz="4" w:space="0" w:color="A6A6A6"/>
            </w:tcBorders>
          </w:tcPr>
          <w:p w14:paraId="25B15B42" w14:textId="77777777" w:rsidR="00083017" w:rsidRPr="00BA7805" w:rsidRDefault="00083017" w:rsidP="002542E1">
            <w:pPr>
              <w:pStyle w:val="ARfintablebody"/>
              <w:rPr>
                <w:highlight w:val="green"/>
              </w:rPr>
            </w:pPr>
            <w:r w:rsidRPr="00462B84">
              <w:t>Grants and other transfers</w:t>
            </w:r>
          </w:p>
        </w:tc>
        <w:tc>
          <w:tcPr>
            <w:tcW w:w="1361" w:type="dxa"/>
            <w:tcBorders>
              <w:top w:val="single" w:sz="4" w:space="0" w:color="A6A6A6"/>
              <w:bottom w:val="single" w:sz="4" w:space="0" w:color="A6A6A6"/>
            </w:tcBorders>
            <w:shd w:val="clear" w:color="auto" w:fill="E7E6E6"/>
            <w:noWrap/>
          </w:tcPr>
          <w:p w14:paraId="2006C03B" w14:textId="77777777" w:rsidR="00083017" w:rsidRPr="00BA7805" w:rsidRDefault="00083017" w:rsidP="002542E1">
            <w:pPr>
              <w:pStyle w:val="ARfintablebodyright"/>
              <w:rPr>
                <w:highlight w:val="green"/>
              </w:rPr>
            </w:pPr>
            <w:r w:rsidRPr="009F7B86">
              <w:t>(858.0)</w:t>
            </w:r>
          </w:p>
        </w:tc>
        <w:tc>
          <w:tcPr>
            <w:tcW w:w="1361" w:type="dxa"/>
            <w:tcBorders>
              <w:top w:val="single" w:sz="4" w:space="0" w:color="A6A6A6"/>
              <w:bottom w:val="single" w:sz="4" w:space="0" w:color="A6A6A6"/>
            </w:tcBorders>
            <w:noWrap/>
          </w:tcPr>
          <w:p w14:paraId="3E095553" w14:textId="77777777" w:rsidR="00083017" w:rsidRPr="00BA7805" w:rsidRDefault="00083017" w:rsidP="002542E1">
            <w:pPr>
              <w:pStyle w:val="ARfintablebodyright"/>
              <w:rPr>
                <w:highlight w:val="green"/>
              </w:rPr>
            </w:pPr>
            <w:r w:rsidRPr="009F7B86">
              <w:t>(1,012.3)</w:t>
            </w:r>
          </w:p>
        </w:tc>
      </w:tr>
      <w:tr w:rsidR="00083017" w:rsidRPr="00BA7805" w14:paraId="01DDBEB6" w14:textId="77777777" w:rsidTr="003D7AC8">
        <w:tc>
          <w:tcPr>
            <w:tcW w:w="6915" w:type="dxa"/>
            <w:tcBorders>
              <w:top w:val="single" w:sz="4" w:space="0" w:color="A6A6A6"/>
              <w:bottom w:val="single" w:sz="4" w:space="0" w:color="A6A6A6"/>
            </w:tcBorders>
          </w:tcPr>
          <w:p w14:paraId="3880E19E" w14:textId="77777777" w:rsidR="00083017" w:rsidRPr="00BA7805" w:rsidRDefault="00083017" w:rsidP="002542E1">
            <w:pPr>
              <w:pStyle w:val="ARfintablebody"/>
              <w:rPr>
                <w:highlight w:val="green"/>
              </w:rPr>
            </w:pPr>
            <w:r w:rsidRPr="00462B84">
              <w:t>Employee benefits</w:t>
            </w:r>
          </w:p>
        </w:tc>
        <w:tc>
          <w:tcPr>
            <w:tcW w:w="1361" w:type="dxa"/>
            <w:tcBorders>
              <w:top w:val="single" w:sz="4" w:space="0" w:color="A6A6A6"/>
              <w:bottom w:val="single" w:sz="4" w:space="0" w:color="A6A6A6"/>
            </w:tcBorders>
            <w:shd w:val="clear" w:color="auto" w:fill="E7E6E6"/>
            <w:noWrap/>
          </w:tcPr>
          <w:p w14:paraId="435C4656" w14:textId="77777777" w:rsidR="00083017" w:rsidRPr="00BA7805" w:rsidRDefault="00083017" w:rsidP="002542E1">
            <w:pPr>
              <w:pStyle w:val="ARfintablebodyright"/>
              <w:rPr>
                <w:highlight w:val="green"/>
              </w:rPr>
            </w:pPr>
            <w:r w:rsidRPr="009F7B86">
              <w:t>(184.6)</w:t>
            </w:r>
          </w:p>
        </w:tc>
        <w:tc>
          <w:tcPr>
            <w:tcW w:w="1361" w:type="dxa"/>
            <w:tcBorders>
              <w:top w:val="single" w:sz="4" w:space="0" w:color="A6A6A6"/>
              <w:bottom w:val="single" w:sz="4" w:space="0" w:color="A6A6A6"/>
            </w:tcBorders>
            <w:noWrap/>
          </w:tcPr>
          <w:p w14:paraId="46032636" w14:textId="77777777" w:rsidR="00083017" w:rsidRPr="00BA7805" w:rsidRDefault="00083017" w:rsidP="002542E1">
            <w:pPr>
              <w:pStyle w:val="ARfintablebodyright"/>
              <w:rPr>
                <w:highlight w:val="green"/>
              </w:rPr>
            </w:pPr>
            <w:r w:rsidRPr="009F7B86">
              <w:t>(169.5)</w:t>
            </w:r>
          </w:p>
        </w:tc>
      </w:tr>
      <w:tr w:rsidR="00083017" w:rsidRPr="00BA7805" w14:paraId="40AFBED3" w14:textId="77777777" w:rsidTr="003D7AC8">
        <w:tc>
          <w:tcPr>
            <w:tcW w:w="6915" w:type="dxa"/>
            <w:tcBorders>
              <w:top w:val="single" w:sz="4" w:space="0" w:color="A6A6A6"/>
              <w:bottom w:val="single" w:sz="4" w:space="0" w:color="A6A6A6"/>
            </w:tcBorders>
          </w:tcPr>
          <w:p w14:paraId="32E9FE78" w14:textId="77777777" w:rsidR="00083017" w:rsidRPr="00BA7805" w:rsidRDefault="00083017" w:rsidP="002542E1">
            <w:pPr>
              <w:pStyle w:val="ARfintablebody"/>
              <w:rPr>
                <w:highlight w:val="green"/>
              </w:rPr>
            </w:pPr>
            <w:r w:rsidRPr="00462B84">
              <w:t>Supplies and services</w:t>
            </w:r>
          </w:p>
        </w:tc>
        <w:tc>
          <w:tcPr>
            <w:tcW w:w="1361" w:type="dxa"/>
            <w:tcBorders>
              <w:top w:val="single" w:sz="4" w:space="0" w:color="A6A6A6"/>
              <w:bottom w:val="single" w:sz="4" w:space="0" w:color="A6A6A6"/>
            </w:tcBorders>
            <w:shd w:val="clear" w:color="auto" w:fill="E7E6E6"/>
            <w:noWrap/>
          </w:tcPr>
          <w:p w14:paraId="55D41DD5" w14:textId="77777777" w:rsidR="00083017" w:rsidRPr="00BA7805" w:rsidRDefault="00083017" w:rsidP="002542E1">
            <w:pPr>
              <w:pStyle w:val="ARfintablebodyright"/>
              <w:rPr>
                <w:highlight w:val="green"/>
              </w:rPr>
            </w:pPr>
            <w:r w:rsidRPr="009F7B86">
              <w:t>(177.8)</w:t>
            </w:r>
          </w:p>
        </w:tc>
        <w:tc>
          <w:tcPr>
            <w:tcW w:w="1361" w:type="dxa"/>
            <w:tcBorders>
              <w:top w:val="single" w:sz="4" w:space="0" w:color="A6A6A6"/>
              <w:bottom w:val="single" w:sz="4" w:space="0" w:color="A6A6A6"/>
            </w:tcBorders>
            <w:noWrap/>
          </w:tcPr>
          <w:p w14:paraId="458955DC" w14:textId="77777777" w:rsidR="00083017" w:rsidRPr="00BA7805" w:rsidRDefault="00083017" w:rsidP="002542E1">
            <w:pPr>
              <w:pStyle w:val="ARfintablebodyright"/>
              <w:rPr>
                <w:highlight w:val="green"/>
              </w:rPr>
            </w:pPr>
            <w:r w:rsidRPr="009F7B86">
              <w:t>(52.8)</w:t>
            </w:r>
          </w:p>
        </w:tc>
      </w:tr>
      <w:tr w:rsidR="00083017" w:rsidRPr="00BA7805" w14:paraId="4DB9274E" w14:textId="77777777" w:rsidTr="003D7AC8">
        <w:tc>
          <w:tcPr>
            <w:tcW w:w="6915" w:type="dxa"/>
            <w:tcBorders>
              <w:top w:val="single" w:sz="4" w:space="0" w:color="A6A6A6"/>
              <w:bottom w:val="single" w:sz="4" w:space="0" w:color="A6A6A6"/>
            </w:tcBorders>
          </w:tcPr>
          <w:p w14:paraId="31387FB1" w14:textId="77777777" w:rsidR="00083017" w:rsidRPr="00BA7805" w:rsidRDefault="00083017" w:rsidP="002542E1">
            <w:pPr>
              <w:pStyle w:val="ARfintablebody"/>
              <w:rPr>
                <w:highlight w:val="green"/>
              </w:rPr>
            </w:pPr>
            <w:r w:rsidRPr="00462B84">
              <w:t>Interest and other costs of finance paid</w:t>
            </w:r>
          </w:p>
        </w:tc>
        <w:tc>
          <w:tcPr>
            <w:tcW w:w="1361" w:type="dxa"/>
            <w:tcBorders>
              <w:top w:val="single" w:sz="4" w:space="0" w:color="A6A6A6"/>
              <w:bottom w:val="single" w:sz="4" w:space="0" w:color="A6A6A6"/>
            </w:tcBorders>
            <w:shd w:val="clear" w:color="auto" w:fill="E7E6E6"/>
            <w:noWrap/>
          </w:tcPr>
          <w:p w14:paraId="5F877760" w14:textId="77777777" w:rsidR="00083017" w:rsidRPr="00BA7805" w:rsidRDefault="00083017" w:rsidP="002542E1">
            <w:pPr>
              <w:pStyle w:val="ARfintablebodyright"/>
              <w:rPr>
                <w:highlight w:val="green"/>
              </w:rPr>
            </w:pPr>
            <w:r w:rsidRPr="009F7B86">
              <w:t>(23.1)</w:t>
            </w:r>
          </w:p>
        </w:tc>
        <w:tc>
          <w:tcPr>
            <w:tcW w:w="1361" w:type="dxa"/>
            <w:tcBorders>
              <w:top w:val="single" w:sz="4" w:space="0" w:color="A6A6A6"/>
              <w:bottom w:val="single" w:sz="4" w:space="0" w:color="A6A6A6"/>
            </w:tcBorders>
            <w:noWrap/>
          </w:tcPr>
          <w:p w14:paraId="6AFB820D" w14:textId="77777777" w:rsidR="00083017" w:rsidRPr="00BA7805" w:rsidRDefault="00083017" w:rsidP="002542E1">
            <w:pPr>
              <w:pStyle w:val="ARfintablebodyright"/>
              <w:rPr>
                <w:highlight w:val="green"/>
              </w:rPr>
            </w:pPr>
            <w:r w:rsidRPr="009F7B86">
              <w:t>(15.4)</w:t>
            </w:r>
          </w:p>
        </w:tc>
      </w:tr>
      <w:tr w:rsidR="00083017" w:rsidRPr="00BA7805" w14:paraId="70963E82" w14:textId="77777777" w:rsidTr="003D7AC8">
        <w:tc>
          <w:tcPr>
            <w:tcW w:w="6915" w:type="dxa"/>
            <w:tcBorders>
              <w:top w:val="single" w:sz="4" w:space="0" w:color="A6A6A6"/>
            </w:tcBorders>
          </w:tcPr>
          <w:p w14:paraId="5325BB78" w14:textId="77777777" w:rsidR="00083017" w:rsidRPr="00BA7805" w:rsidRDefault="00083017" w:rsidP="002542E1">
            <w:pPr>
              <w:pStyle w:val="ARfintablebody"/>
              <w:rPr>
                <w:highlight w:val="green"/>
              </w:rPr>
            </w:pPr>
            <w:r w:rsidRPr="00462B84">
              <w:t>Property management expenses</w:t>
            </w:r>
          </w:p>
        </w:tc>
        <w:tc>
          <w:tcPr>
            <w:tcW w:w="1361" w:type="dxa"/>
            <w:tcBorders>
              <w:top w:val="single" w:sz="4" w:space="0" w:color="A6A6A6"/>
            </w:tcBorders>
            <w:shd w:val="clear" w:color="auto" w:fill="E7E6E6"/>
            <w:noWrap/>
          </w:tcPr>
          <w:p w14:paraId="6995C627" w14:textId="77777777" w:rsidR="00083017" w:rsidRPr="00BA7805" w:rsidRDefault="00083017" w:rsidP="002542E1">
            <w:pPr>
              <w:pStyle w:val="ARfintablebodyright"/>
              <w:rPr>
                <w:highlight w:val="green"/>
              </w:rPr>
            </w:pPr>
            <w:r w:rsidRPr="009F7B86">
              <w:t>(514.7)</w:t>
            </w:r>
          </w:p>
        </w:tc>
        <w:tc>
          <w:tcPr>
            <w:tcW w:w="1361" w:type="dxa"/>
            <w:tcBorders>
              <w:top w:val="single" w:sz="4" w:space="0" w:color="A6A6A6"/>
            </w:tcBorders>
            <w:noWrap/>
          </w:tcPr>
          <w:p w14:paraId="31DFC506" w14:textId="77777777" w:rsidR="00083017" w:rsidRPr="00BA7805" w:rsidRDefault="00083017" w:rsidP="002542E1">
            <w:pPr>
              <w:pStyle w:val="ARfintablebodyright"/>
              <w:rPr>
                <w:highlight w:val="green"/>
              </w:rPr>
            </w:pPr>
            <w:r w:rsidRPr="009F7B86">
              <w:t>(516.7)</w:t>
            </w:r>
          </w:p>
        </w:tc>
      </w:tr>
      <w:tr w:rsidR="00083017" w:rsidRPr="00BA7805" w14:paraId="29DC1488" w14:textId="77777777" w:rsidTr="003D7AC8">
        <w:tc>
          <w:tcPr>
            <w:tcW w:w="6915" w:type="dxa"/>
          </w:tcPr>
          <w:p w14:paraId="4EE8FE6E" w14:textId="77777777" w:rsidR="00083017" w:rsidRPr="00BA7805" w:rsidRDefault="00083017" w:rsidP="002542E1">
            <w:pPr>
              <w:pStyle w:val="ARfintablebodybold"/>
              <w:rPr>
                <w:highlight w:val="green"/>
              </w:rPr>
            </w:pPr>
            <w:r w:rsidRPr="00462B84">
              <w:t>Total payments</w:t>
            </w:r>
          </w:p>
        </w:tc>
        <w:tc>
          <w:tcPr>
            <w:tcW w:w="1361" w:type="dxa"/>
            <w:shd w:val="clear" w:color="auto" w:fill="E7E6E6"/>
            <w:noWrap/>
          </w:tcPr>
          <w:p w14:paraId="5B75AFE1" w14:textId="77777777" w:rsidR="00083017" w:rsidRPr="00BA7805" w:rsidRDefault="00083017" w:rsidP="002542E1">
            <w:pPr>
              <w:pStyle w:val="ARfintablebodyrightbold"/>
              <w:rPr>
                <w:highlight w:val="green"/>
              </w:rPr>
            </w:pPr>
            <w:r w:rsidRPr="009F7B86">
              <w:t>(1,758.2)</w:t>
            </w:r>
          </w:p>
        </w:tc>
        <w:tc>
          <w:tcPr>
            <w:tcW w:w="1361" w:type="dxa"/>
            <w:noWrap/>
          </w:tcPr>
          <w:p w14:paraId="4CE9367C" w14:textId="77777777" w:rsidR="00083017" w:rsidRPr="00BA7805" w:rsidRDefault="00083017" w:rsidP="002542E1">
            <w:pPr>
              <w:pStyle w:val="ARfintablebodyrightbold"/>
              <w:rPr>
                <w:highlight w:val="green"/>
              </w:rPr>
            </w:pPr>
            <w:r w:rsidRPr="009F7B86">
              <w:t>(1,766.7)</w:t>
            </w:r>
          </w:p>
        </w:tc>
      </w:tr>
      <w:tr w:rsidR="00083017" w:rsidRPr="00BA7805" w14:paraId="5022D888" w14:textId="77777777" w:rsidTr="003D7AC8">
        <w:tc>
          <w:tcPr>
            <w:tcW w:w="6915" w:type="dxa"/>
            <w:tcBorders>
              <w:bottom w:val="single" w:sz="4" w:space="0" w:color="auto"/>
            </w:tcBorders>
          </w:tcPr>
          <w:p w14:paraId="7B0C64F1" w14:textId="77777777" w:rsidR="00083017" w:rsidRPr="00BA7805" w:rsidRDefault="00083017" w:rsidP="002542E1">
            <w:pPr>
              <w:pStyle w:val="ARfintablebodybold"/>
              <w:rPr>
                <w:highlight w:val="green"/>
              </w:rPr>
            </w:pPr>
            <w:r w:rsidRPr="00462B84">
              <w:t>Net cash flows from/(used in) operating activities</w:t>
            </w:r>
          </w:p>
        </w:tc>
        <w:tc>
          <w:tcPr>
            <w:tcW w:w="1361" w:type="dxa"/>
            <w:tcBorders>
              <w:bottom w:val="single" w:sz="4" w:space="0" w:color="auto"/>
            </w:tcBorders>
            <w:shd w:val="clear" w:color="auto" w:fill="E7E6E6"/>
            <w:noWrap/>
          </w:tcPr>
          <w:p w14:paraId="258972F4" w14:textId="77777777" w:rsidR="00083017" w:rsidRPr="00BA7805" w:rsidRDefault="00083017" w:rsidP="002542E1">
            <w:pPr>
              <w:pStyle w:val="ARfintablebodyrightbold"/>
              <w:rPr>
                <w:highlight w:val="green"/>
              </w:rPr>
            </w:pPr>
            <w:r w:rsidRPr="009F7B86">
              <w:t>(260.9)</w:t>
            </w:r>
          </w:p>
        </w:tc>
        <w:tc>
          <w:tcPr>
            <w:tcW w:w="1361" w:type="dxa"/>
            <w:tcBorders>
              <w:bottom w:val="single" w:sz="4" w:space="0" w:color="auto"/>
            </w:tcBorders>
            <w:noWrap/>
          </w:tcPr>
          <w:p w14:paraId="250BC8CB" w14:textId="77777777" w:rsidR="00083017" w:rsidRPr="00BA7805" w:rsidRDefault="00083017" w:rsidP="002542E1">
            <w:pPr>
              <w:pStyle w:val="ARfintablebodyrightbold"/>
              <w:rPr>
                <w:highlight w:val="green"/>
              </w:rPr>
            </w:pPr>
            <w:r w:rsidRPr="009F7B86">
              <w:t>120.3</w:t>
            </w:r>
          </w:p>
        </w:tc>
      </w:tr>
      <w:tr w:rsidR="00083017" w:rsidRPr="00BA7805" w14:paraId="30489A5F" w14:textId="77777777" w:rsidTr="003D7AC8">
        <w:tc>
          <w:tcPr>
            <w:tcW w:w="9637" w:type="dxa"/>
            <w:gridSpan w:val="3"/>
            <w:tcBorders>
              <w:top w:val="single" w:sz="4" w:space="0" w:color="auto"/>
              <w:bottom w:val="single" w:sz="4" w:space="0" w:color="A6A6A6"/>
            </w:tcBorders>
          </w:tcPr>
          <w:p w14:paraId="63D9A981" w14:textId="77777777" w:rsidR="00083017" w:rsidRPr="00BA7805" w:rsidRDefault="00083017" w:rsidP="002542E1">
            <w:pPr>
              <w:pStyle w:val="ARfintablebodybold"/>
              <w:rPr>
                <w:highlight w:val="green"/>
              </w:rPr>
            </w:pPr>
            <w:r w:rsidRPr="00AC72DF">
              <w:t>Cash flows from investing activities</w:t>
            </w:r>
          </w:p>
        </w:tc>
      </w:tr>
      <w:tr w:rsidR="00083017" w:rsidRPr="00BA7805" w14:paraId="3D72F03C" w14:textId="77777777" w:rsidTr="003D7AC8">
        <w:tc>
          <w:tcPr>
            <w:tcW w:w="6915" w:type="dxa"/>
            <w:tcBorders>
              <w:top w:val="single" w:sz="4" w:space="0" w:color="A6A6A6"/>
              <w:bottom w:val="single" w:sz="4" w:space="0" w:color="A6A6A6"/>
            </w:tcBorders>
          </w:tcPr>
          <w:p w14:paraId="6C57068D" w14:textId="77777777" w:rsidR="00083017" w:rsidRPr="00BA7805" w:rsidRDefault="00083017" w:rsidP="002542E1">
            <w:pPr>
              <w:pStyle w:val="ARfintablebody"/>
              <w:rPr>
                <w:highlight w:val="green"/>
              </w:rPr>
            </w:pPr>
            <w:r w:rsidRPr="00AC72DF">
              <w:t>Proceeds from the sale of non-financial assets</w:t>
            </w:r>
          </w:p>
        </w:tc>
        <w:tc>
          <w:tcPr>
            <w:tcW w:w="1361" w:type="dxa"/>
            <w:tcBorders>
              <w:top w:val="single" w:sz="4" w:space="0" w:color="A6A6A6"/>
              <w:bottom w:val="single" w:sz="4" w:space="0" w:color="A6A6A6"/>
            </w:tcBorders>
            <w:shd w:val="clear" w:color="auto" w:fill="E7E6E6"/>
            <w:noWrap/>
          </w:tcPr>
          <w:p w14:paraId="61A33978" w14:textId="77777777" w:rsidR="00083017" w:rsidRPr="00BA7805" w:rsidRDefault="00083017" w:rsidP="002542E1">
            <w:pPr>
              <w:pStyle w:val="ARfintablebodyright"/>
              <w:rPr>
                <w:highlight w:val="green"/>
              </w:rPr>
            </w:pPr>
            <w:r w:rsidRPr="004E1643">
              <w:t>290.5</w:t>
            </w:r>
          </w:p>
        </w:tc>
        <w:tc>
          <w:tcPr>
            <w:tcW w:w="1361" w:type="dxa"/>
            <w:tcBorders>
              <w:top w:val="single" w:sz="4" w:space="0" w:color="A6A6A6"/>
              <w:bottom w:val="single" w:sz="4" w:space="0" w:color="A6A6A6"/>
            </w:tcBorders>
            <w:noWrap/>
          </w:tcPr>
          <w:p w14:paraId="4DE0A050" w14:textId="77777777" w:rsidR="00083017" w:rsidRPr="00BA7805" w:rsidRDefault="00083017" w:rsidP="002542E1">
            <w:pPr>
              <w:pStyle w:val="ARfintablebodyright"/>
              <w:rPr>
                <w:highlight w:val="green"/>
              </w:rPr>
            </w:pPr>
            <w:r w:rsidRPr="004E1643">
              <w:t>125.5</w:t>
            </w:r>
          </w:p>
        </w:tc>
      </w:tr>
      <w:tr w:rsidR="00083017" w:rsidRPr="00BA7805" w14:paraId="36FBF273" w14:textId="77777777" w:rsidTr="003D7AC8">
        <w:tc>
          <w:tcPr>
            <w:tcW w:w="6915" w:type="dxa"/>
            <w:tcBorders>
              <w:top w:val="single" w:sz="4" w:space="0" w:color="A6A6A6"/>
              <w:bottom w:val="single" w:sz="4" w:space="0" w:color="A6A6A6"/>
            </w:tcBorders>
          </w:tcPr>
          <w:p w14:paraId="7D76F919" w14:textId="77777777" w:rsidR="00083017" w:rsidRPr="00BA7805" w:rsidRDefault="00083017" w:rsidP="002542E1">
            <w:pPr>
              <w:pStyle w:val="ARfintablebody"/>
              <w:rPr>
                <w:highlight w:val="green"/>
              </w:rPr>
            </w:pPr>
            <w:r w:rsidRPr="00AC72DF">
              <w:t>Repayments of loans from other parties</w:t>
            </w:r>
          </w:p>
        </w:tc>
        <w:tc>
          <w:tcPr>
            <w:tcW w:w="1361" w:type="dxa"/>
            <w:tcBorders>
              <w:top w:val="single" w:sz="4" w:space="0" w:color="A6A6A6"/>
              <w:bottom w:val="single" w:sz="4" w:space="0" w:color="A6A6A6"/>
            </w:tcBorders>
            <w:shd w:val="clear" w:color="auto" w:fill="E7E6E6"/>
            <w:noWrap/>
          </w:tcPr>
          <w:p w14:paraId="583F22FA" w14:textId="77777777" w:rsidR="00083017" w:rsidRPr="00BA7805" w:rsidRDefault="00083017" w:rsidP="002542E1">
            <w:pPr>
              <w:pStyle w:val="ARfintablebodyright"/>
              <w:rPr>
                <w:highlight w:val="green"/>
              </w:rPr>
            </w:pPr>
            <w:r w:rsidRPr="004E1643">
              <w:t>1.8</w:t>
            </w:r>
          </w:p>
        </w:tc>
        <w:tc>
          <w:tcPr>
            <w:tcW w:w="1361" w:type="dxa"/>
            <w:tcBorders>
              <w:top w:val="single" w:sz="4" w:space="0" w:color="A6A6A6"/>
              <w:bottom w:val="single" w:sz="4" w:space="0" w:color="A6A6A6"/>
            </w:tcBorders>
            <w:noWrap/>
          </w:tcPr>
          <w:p w14:paraId="092DA412" w14:textId="77777777" w:rsidR="00083017" w:rsidRPr="00BA7805" w:rsidRDefault="00083017" w:rsidP="002542E1">
            <w:pPr>
              <w:pStyle w:val="ARfintablebodyright"/>
              <w:rPr>
                <w:highlight w:val="green"/>
              </w:rPr>
            </w:pPr>
            <w:r w:rsidRPr="004E1643">
              <w:t>0.7</w:t>
            </w:r>
          </w:p>
        </w:tc>
      </w:tr>
      <w:tr w:rsidR="00083017" w:rsidRPr="00BA7805" w14:paraId="6AAE0FB1" w14:textId="77777777" w:rsidTr="003D7AC8">
        <w:tc>
          <w:tcPr>
            <w:tcW w:w="6915" w:type="dxa"/>
            <w:tcBorders>
              <w:top w:val="single" w:sz="4" w:space="0" w:color="A6A6A6"/>
            </w:tcBorders>
          </w:tcPr>
          <w:p w14:paraId="7A90EA2F" w14:textId="77777777" w:rsidR="00083017" w:rsidRPr="00BA7805" w:rsidRDefault="00083017" w:rsidP="002542E1">
            <w:pPr>
              <w:pStyle w:val="ARfintablebody"/>
              <w:rPr>
                <w:highlight w:val="green"/>
              </w:rPr>
            </w:pPr>
            <w:r w:rsidRPr="00AC72DF">
              <w:t>Payments for non-financial assets</w:t>
            </w:r>
          </w:p>
        </w:tc>
        <w:tc>
          <w:tcPr>
            <w:tcW w:w="1361" w:type="dxa"/>
            <w:tcBorders>
              <w:top w:val="single" w:sz="4" w:space="0" w:color="A6A6A6"/>
            </w:tcBorders>
            <w:shd w:val="clear" w:color="auto" w:fill="E7E6E6"/>
            <w:noWrap/>
          </w:tcPr>
          <w:p w14:paraId="2475070F" w14:textId="77777777" w:rsidR="00083017" w:rsidRPr="00BA7805" w:rsidRDefault="00083017" w:rsidP="002542E1">
            <w:pPr>
              <w:pStyle w:val="ARfintablebodyright"/>
              <w:rPr>
                <w:highlight w:val="green"/>
              </w:rPr>
            </w:pPr>
            <w:r w:rsidRPr="004E1643">
              <w:t>(1,065.4)</w:t>
            </w:r>
          </w:p>
        </w:tc>
        <w:tc>
          <w:tcPr>
            <w:tcW w:w="1361" w:type="dxa"/>
            <w:tcBorders>
              <w:top w:val="single" w:sz="4" w:space="0" w:color="A6A6A6"/>
            </w:tcBorders>
            <w:noWrap/>
          </w:tcPr>
          <w:p w14:paraId="389C9933" w14:textId="77777777" w:rsidR="00083017" w:rsidRPr="00BA7805" w:rsidRDefault="00083017" w:rsidP="002542E1">
            <w:pPr>
              <w:pStyle w:val="ARfintablebodyright"/>
              <w:rPr>
                <w:highlight w:val="green"/>
              </w:rPr>
            </w:pPr>
            <w:r w:rsidRPr="004E1643">
              <w:t>(910.8)</w:t>
            </w:r>
          </w:p>
        </w:tc>
      </w:tr>
      <w:tr w:rsidR="00083017" w:rsidRPr="00BA7805" w14:paraId="6833B75B" w14:textId="77777777" w:rsidTr="003D7AC8">
        <w:tc>
          <w:tcPr>
            <w:tcW w:w="6915" w:type="dxa"/>
            <w:tcBorders>
              <w:bottom w:val="single" w:sz="4" w:space="0" w:color="auto"/>
            </w:tcBorders>
          </w:tcPr>
          <w:p w14:paraId="329CF529" w14:textId="77777777" w:rsidR="00083017" w:rsidRPr="00BA7805" w:rsidRDefault="00083017" w:rsidP="002542E1">
            <w:pPr>
              <w:pStyle w:val="ARfintablebodybold"/>
              <w:rPr>
                <w:highlight w:val="green"/>
              </w:rPr>
            </w:pPr>
            <w:r w:rsidRPr="00AC72DF">
              <w:t>Net cash flows from/(used in) investing activities</w:t>
            </w:r>
          </w:p>
        </w:tc>
        <w:tc>
          <w:tcPr>
            <w:tcW w:w="1361" w:type="dxa"/>
            <w:tcBorders>
              <w:bottom w:val="single" w:sz="4" w:space="0" w:color="auto"/>
            </w:tcBorders>
            <w:shd w:val="clear" w:color="auto" w:fill="E7E6E6"/>
            <w:noWrap/>
          </w:tcPr>
          <w:p w14:paraId="4A75E309" w14:textId="77777777" w:rsidR="00083017" w:rsidRPr="00BA7805" w:rsidRDefault="00083017" w:rsidP="002542E1">
            <w:pPr>
              <w:pStyle w:val="ARfintablebodyrightbold"/>
              <w:rPr>
                <w:highlight w:val="green"/>
              </w:rPr>
            </w:pPr>
            <w:r w:rsidRPr="004E1643">
              <w:t>(773.1)</w:t>
            </w:r>
          </w:p>
        </w:tc>
        <w:tc>
          <w:tcPr>
            <w:tcW w:w="1361" w:type="dxa"/>
            <w:tcBorders>
              <w:bottom w:val="single" w:sz="4" w:space="0" w:color="auto"/>
            </w:tcBorders>
            <w:noWrap/>
          </w:tcPr>
          <w:p w14:paraId="2793B281" w14:textId="77777777" w:rsidR="00083017" w:rsidRPr="00BA7805" w:rsidRDefault="00083017" w:rsidP="002542E1">
            <w:pPr>
              <w:pStyle w:val="ARfintablebodyrightbold"/>
              <w:rPr>
                <w:highlight w:val="green"/>
              </w:rPr>
            </w:pPr>
            <w:r w:rsidRPr="004E1643">
              <w:t>(784.6)</w:t>
            </w:r>
          </w:p>
        </w:tc>
      </w:tr>
      <w:tr w:rsidR="00083017" w:rsidRPr="00BA7805" w14:paraId="6F6C84DB" w14:textId="77777777" w:rsidTr="003D7AC8">
        <w:tc>
          <w:tcPr>
            <w:tcW w:w="9637" w:type="dxa"/>
            <w:gridSpan w:val="3"/>
            <w:tcBorders>
              <w:top w:val="single" w:sz="4" w:space="0" w:color="auto"/>
              <w:bottom w:val="single" w:sz="4" w:space="0" w:color="A6A6A6"/>
            </w:tcBorders>
          </w:tcPr>
          <w:p w14:paraId="230E1C9D" w14:textId="77777777" w:rsidR="00083017" w:rsidRPr="00BA7805" w:rsidRDefault="00083017" w:rsidP="002542E1">
            <w:pPr>
              <w:pStyle w:val="ARfintablebodybold"/>
              <w:rPr>
                <w:highlight w:val="green"/>
              </w:rPr>
            </w:pPr>
            <w:r w:rsidRPr="00393704">
              <w:t>Cash flows from financing activities</w:t>
            </w:r>
          </w:p>
        </w:tc>
      </w:tr>
      <w:tr w:rsidR="00083017" w:rsidRPr="00BA7805" w14:paraId="79ADD6FA" w14:textId="77777777" w:rsidTr="003D7AC8">
        <w:tc>
          <w:tcPr>
            <w:tcW w:w="6915" w:type="dxa"/>
            <w:tcBorders>
              <w:top w:val="single" w:sz="4" w:space="0" w:color="A6A6A6"/>
              <w:bottom w:val="single" w:sz="4" w:space="0" w:color="A6A6A6"/>
            </w:tcBorders>
          </w:tcPr>
          <w:p w14:paraId="3131ACE3" w14:textId="77777777" w:rsidR="00083017" w:rsidRPr="00BA7805" w:rsidRDefault="00083017" w:rsidP="002542E1">
            <w:pPr>
              <w:pStyle w:val="ARfintablebody"/>
              <w:rPr>
                <w:highlight w:val="green"/>
              </w:rPr>
            </w:pPr>
            <w:r w:rsidRPr="00393704">
              <w:t>Net receipts / (payments) for advances</w:t>
            </w:r>
          </w:p>
        </w:tc>
        <w:tc>
          <w:tcPr>
            <w:tcW w:w="1361" w:type="dxa"/>
            <w:tcBorders>
              <w:top w:val="single" w:sz="4" w:space="0" w:color="A6A6A6"/>
              <w:bottom w:val="single" w:sz="4" w:space="0" w:color="A6A6A6"/>
            </w:tcBorders>
            <w:shd w:val="clear" w:color="auto" w:fill="E7E6E6"/>
            <w:noWrap/>
          </w:tcPr>
          <w:p w14:paraId="59C24686" w14:textId="77777777" w:rsidR="00083017" w:rsidRPr="00BA7805" w:rsidRDefault="00083017" w:rsidP="002542E1">
            <w:pPr>
              <w:pStyle w:val="ARfintablebodyright"/>
              <w:rPr>
                <w:highlight w:val="green"/>
              </w:rPr>
            </w:pPr>
            <w:r w:rsidRPr="00A01121">
              <w:t>(2.0)</w:t>
            </w:r>
          </w:p>
        </w:tc>
        <w:tc>
          <w:tcPr>
            <w:tcW w:w="1361" w:type="dxa"/>
            <w:tcBorders>
              <w:top w:val="single" w:sz="4" w:space="0" w:color="A6A6A6"/>
              <w:bottom w:val="single" w:sz="4" w:space="0" w:color="A6A6A6"/>
            </w:tcBorders>
            <w:noWrap/>
          </w:tcPr>
          <w:p w14:paraId="0D185627" w14:textId="77777777" w:rsidR="00083017" w:rsidRPr="00BA7805" w:rsidRDefault="00083017" w:rsidP="002542E1">
            <w:pPr>
              <w:pStyle w:val="ARfintablebodyright"/>
              <w:rPr>
                <w:highlight w:val="green"/>
              </w:rPr>
            </w:pPr>
            <w:r w:rsidRPr="00A01121">
              <w:t>(1.9)</w:t>
            </w:r>
          </w:p>
        </w:tc>
      </w:tr>
      <w:tr w:rsidR="00083017" w:rsidRPr="00BA7805" w14:paraId="7E4D1115" w14:textId="77777777">
        <w:tc>
          <w:tcPr>
            <w:tcW w:w="6915" w:type="dxa"/>
            <w:tcBorders>
              <w:top w:val="single" w:sz="4" w:space="0" w:color="A6A6A6"/>
              <w:bottom w:val="single" w:sz="4" w:space="0" w:color="A6A6A6"/>
            </w:tcBorders>
          </w:tcPr>
          <w:p w14:paraId="1D1D3998" w14:textId="77777777" w:rsidR="00083017" w:rsidRPr="00BA7805" w:rsidRDefault="00083017" w:rsidP="002542E1">
            <w:pPr>
              <w:pStyle w:val="ARfintablebody"/>
              <w:rPr>
                <w:highlight w:val="green"/>
              </w:rPr>
            </w:pPr>
            <w:r w:rsidRPr="00393704">
              <w:t xml:space="preserve">Owner contributions by Victorian Government </w:t>
            </w:r>
            <w:r>
              <w:t>–</w:t>
            </w:r>
            <w:r w:rsidRPr="00393704">
              <w:t xml:space="preserve"> appropriation for capital expenditure purposes</w:t>
            </w:r>
          </w:p>
        </w:tc>
        <w:tc>
          <w:tcPr>
            <w:tcW w:w="1361" w:type="dxa"/>
            <w:tcBorders>
              <w:top w:val="single" w:sz="4" w:space="0" w:color="A6A6A6"/>
              <w:bottom w:val="single" w:sz="4" w:space="0" w:color="A6A6A6"/>
            </w:tcBorders>
            <w:shd w:val="clear" w:color="auto" w:fill="E7E6E6"/>
            <w:noWrap/>
          </w:tcPr>
          <w:p w14:paraId="053750F7" w14:textId="77777777" w:rsidR="00083017" w:rsidRPr="00BA7805" w:rsidRDefault="00083017" w:rsidP="002542E1">
            <w:pPr>
              <w:pStyle w:val="ARfintablebodyright"/>
              <w:rPr>
                <w:highlight w:val="green"/>
              </w:rPr>
            </w:pPr>
            <w:r w:rsidRPr="00A01121">
              <w:t>809.7</w:t>
            </w:r>
          </w:p>
        </w:tc>
        <w:tc>
          <w:tcPr>
            <w:tcW w:w="1361" w:type="dxa"/>
            <w:tcBorders>
              <w:top w:val="single" w:sz="4" w:space="0" w:color="A6A6A6"/>
              <w:bottom w:val="single" w:sz="4" w:space="0" w:color="A6A6A6"/>
            </w:tcBorders>
            <w:noWrap/>
          </w:tcPr>
          <w:p w14:paraId="3629D7EB" w14:textId="77777777" w:rsidR="00083017" w:rsidRPr="00BA7805" w:rsidRDefault="00083017" w:rsidP="002542E1">
            <w:pPr>
              <w:pStyle w:val="ARfintablebodyright"/>
              <w:rPr>
                <w:highlight w:val="green"/>
              </w:rPr>
            </w:pPr>
            <w:r w:rsidRPr="00A01121">
              <w:t>602.4</w:t>
            </w:r>
          </w:p>
        </w:tc>
      </w:tr>
      <w:tr w:rsidR="00083017" w:rsidRPr="00BA7805" w14:paraId="1C717515" w14:textId="77777777" w:rsidTr="003D7AC8">
        <w:tc>
          <w:tcPr>
            <w:tcW w:w="6915" w:type="dxa"/>
            <w:tcBorders>
              <w:top w:val="single" w:sz="4" w:space="0" w:color="A6A6A6"/>
            </w:tcBorders>
          </w:tcPr>
          <w:p w14:paraId="6D95541A" w14:textId="77777777" w:rsidR="00083017" w:rsidRPr="00BA7805" w:rsidRDefault="00083017" w:rsidP="002542E1">
            <w:pPr>
              <w:pStyle w:val="ARfintablebody"/>
              <w:rPr>
                <w:highlight w:val="green"/>
              </w:rPr>
            </w:pPr>
            <w:r w:rsidRPr="00393704">
              <w:t>Repayment of borrowings and principal portion of lease liability</w:t>
            </w:r>
          </w:p>
        </w:tc>
        <w:tc>
          <w:tcPr>
            <w:tcW w:w="1361" w:type="dxa"/>
            <w:tcBorders>
              <w:top w:val="single" w:sz="4" w:space="0" w:color="A6A6A6"/>
            </w:tcBorders>
            <w:shd w:val="clear" w:color="auto" w:fill="E7E6E6"/>
            <w:noWrap/>
          </w:tcPr>
          <w:p w14:paraId="14C864DB" w14:textId="77777777" w:rsidR="00083017" w:rsidRPr="00BA7805" w:rsidRDefault="00083017" w:rsidP="002542E1">
            <w:pPr>
              <w:pStyle w:val="ARfintablebodyright"/>
              <w:rPr>
                <w:highlight w:val="green"/>
              </w:rPr>
            </w:pPr>
            <w:r w:rsidRPr="00A01121">
              <w:t>116.9</w:t>
            </w:r>
          </w:p>
        </w:tc>
        <w:tc>
          <w:tcPr>
            <w:tcW w:w="1361" w:type="dxa"/>
            <w:tcBorders>
              <w:top w:val="single" w:sz="4" w:space="0" w:color="A6A6A6"/>
            </w:tcBorders>
            <w:noWrap/>
          </w:tcPr>
          <w:p w14:paraId="66D1DF54" w14:textId="77777777" w:rsidR="00083017" w:rsidRPr="00BA7805" w:rsidRDefault="00083017" w:rsidP="002542E1">
            <w:pPr>
              <w:pStyle w:val="ARfintablebodyright"/>
              <w:rPr>
                <w:highlight w:val="green"/>
              </w:rPr>
            </w:pPr>
            <w:r w:rsidRPr="00A01121">
              <w:t>95.5</w:t>
            </w:r>
          </w:p>
        </w:tc>
      </w:tr>
      <w:tr w:rsidR="00083017" w:rsidRPr="00BA7805" w14:paraId="37B0727B" w14:textId="77777777" w:rsidTr="003D7AC8">
        <w:tc>
          <w:tcPr>
            <w:tcW w:w="6915" w:type="dxa"/>
          </w:tcPr>
          <w:p w14:paraId="47A558C1" w14:textId="77777777" w:rsidR="00083017" w:rsidRPr="00BA7805" w:rsidRDefault="00083017" w:rsidP="002542E1">
            <w:pPr>
              <w:pStyle w:val="ARfintablebodybold"/>
              <w:rPr>
                <w:highlight w:val="green"/>
              </w:rPr>
            </w:pPr>
            <w:r w:rsidRPr="00393704">
              <w:t>Net cash flows from/(used in) financing activities</w:t>
            </w:r>
          </w:p>
        </w:tc>
        <w:tc>
          <w:tcPr>
            <w:tcW w:w="1361" w:type="dxa"/>
            <w:shd w:val="clear" w:color="auto" w:fill="E7E6E6"/>
            <w:noWrap/>
          </w:tcPr>
          <w:p w14:paraId="2D4AD1CF" w14:textId="77777777" w:rsidR="00083017" w:rsidRPr="00BA7805" w:rsidRDefault="00083017" w:rsidP="002542E1">
            <w:pPr>
              <w:pStyle w:val="ARfintablebodyrightbold"/>
              <w:rPr>
                <w:highlight w:val="green"/>
              </w:rPr>
            </w:pPr>
            <w:r w:rsidRPr="00A01121">
              <w:t>924.6</w:t>
            </w:r>
          </w:p>
        </w:tc>
        <w:tc>
          <w:tcPr>
            <w:tcW w:w="1361" w:type="dxa"/>
            <w:noWrap/>
          </w:tcPr>
          <w:p w14:paraId="2A5FC90B" w14:textId="77777777" w:rsidR="00083017" w:rsidRPr="00BA7805" w:rsidRDefault="00083017" w:rsidP="002542E1">
            <w:pPr>
              <w:pStyle w:val="ARfintablebodyrightbold"/>
              <w:rPr>
                <w:highlight w:val="green"/>
              </w:rPr>
            </w:pPr>
            <w:r w:rsidRPr="00A01121">
              <w:t>696.0</w:t>
            </w:r>
          </w:p>
        </w:tc>
      </w:tr>
      <w:tr w:rsidR="00083017" w:rsidRPr="00BA7805" w14:paraId="5AB4BE01" w14:textId="77777777" w:rsidTr="003D7AC8">
        <w:tc>
          <w:tcPr>
            <w:tcW w:w="6915" w:type="dxa"/>
          </w:tcPr>
          <w:p w14:paraId="0724971A" w14:textId="77777777" w:rsidR="00083017" w:rsidRPr="00BA7805" w:rsidRDefault="00083017" w:rsidP="002542E1">
            <w:pPr>
              <w:pStyle w:val="ARfintablebodybold"/>
              <w:rPr>
                <w:highlight w:val="green"/>
              </w:rPr>
            </w:pPr>
            <w:r w:rsidRPr="00393704">
              <w:t>Net increase/(decrease) in cash and deposits</w:t>
            </w:r>
          </w:p>
        </w:tc>
        <w:tc>
          <w:tcPr>
            <w:tcW w:w="1361" w:type="dxa"/>
            <w:shd w:val="clear" w:color="auto" w:fill="E7E6E6"/>
            <w:noWrap/>
          </w:tcPr>
          <w:p w14:paraId="21C57FB0" w14:textId="77777777" w:rsidR="00083017" w:rsidRPr="00BA7805" w:rsidRDefault="00083017" w:rsidP="002542E1">
            <w:pPr>
              <w:pStyle w:val="ARfintablebodyrightbold"/>
              <w:rPr>
                <w:highlight w:val="green"/>
              </w:rPr>
            </w:pPr>
            <w:r w:rsidRPr="00A01121">
              <w:t>(109.4)</w:t>
            </w:r>
          </w:p>
        </w:tc>
        <w:tc>
          <w:tcPr>
            <w:tcW w:w="1361" w:type="dxa"/>
            <w:noWrap/>
          </w:tcPr>
          <w:p w14:paraId="30C0421A" w14:textId="77777777" w:rsidR="00083017" w:rsidRPr="00BA7805" w:rsidRDefault="00083017" w:rsidP="002542E1">
            <w:pPr>
              <w:pStyle w:val="ARfintablebodyrightbold"/>
              <w:rPr>
                <w:highlight w:val="green"/>
              </w:rPr>
            </w:pPr>
            <w:r w:rsidRPr="00A01121">
              <w:t>31.6</w:t>
            </w:r>
          </w:p>
        </w:tc>
      </w:tr>
      <w:tr w:rsidR="00083017" w:rsidRPr="00BA7805" w14:paraId="2BA0F28B" w14:textId="77777777" w:rsidTr="003D7AC8">
        <w:tc>
          <w:tcPr>
            <w:tcW w:w="6915" w:type="dxa"/>
          </w:tcPr>
          <w:p w14:paraId="62EA0F0B" w14:textId="77777777" w:rsidR="00083017" w:rsidRPr="00BA7805" w:rsidRDefault="00083017" w:rsidP="002542E1">
            <w:pPr>
              <w:pStyle w:val="ARfintablebody"/>
              <w:rPr>
                <w:highlight w:val="green"/>
              </w:rPr>
            </w:pPr>
            <w:r w:rsidRPr="00393704">
              <w:t>Cash and deposits at beginning of financial year</w:t>
            </w:r>
          </w:p>
        </w:tc>
        <w:tc>
          <w:tcPr>
            <w:tcW w:w="1361" w:type="dxa"/>
            <w:shd w:val="clear" w:color="auto" w:fill="E7E6E6"/>
            <w:noWrap/>
          </w:tcPr>
          <w:p w14:paraId="484FFB4D" w14:textId="77777777" w:rsidR="00083017" w:rsidRPr="00BA7805" w:rsidRDefault="00083017" w:rsidP="002542E1">
            <w:pPr>
              <w:pStyle w:val="ARfintablebodyright"/>
              <w:rPr>
                <w:highlight w:val="green"/>
              </w:rPr>
            </w:pPr>
            <w:r w:rsidRPr="00A01121">
              <w:t>646.3</w:t>
            </w:r>
          </w:p>
        </w:tc>
        <w:tc>
          <w:tcPr>
            <w:tcW w:w="1361" w:type="dxa"/>
            <w:noWrap/>
          </w:tcPr>
          <w:p w14:paraId="3F689ECD" w14:textId="77777777" w:rsidR="00083017" w:rsidRPr="00BA7805" w:rsidRDefault="00083017" w:rsidP="002542E1">
            <w:pPr>
              <w:pStyle w:val="ARfintablebodyright"/>
              <w:rPr>
                <w:highlight w:val="green"/>
              </w:rPr>
            </w:pPr>
            <w:r w:rsidRPr="00A01121">
              <w:t>614.7</w:t>
            </w:r>
          </w:p>
        </w:tc>
      </w:tr>
      <w:tr w:rsidR="00083017" w:rsidRPr="00BA7805" w14:paraId="36467099" w14:textId="77777777" w:rsidTr="003D7AC8">
        <w:tc>
          <w:tcPr>
            <w:tcW w:w="6915" w:type="dxa"/>
          </w:tcPr>
          <w:p w14:paraId="588590B1" w14:textId="77777777" w:rsidR="00083017" w:rsidRPr="00BA7805" w:rsidRDefault="00083017" w:rsidP="002542E1">
            <w:pPr>
              <w:pStyle w:val="ARfintablebodybold"/>
              <w:rPr>
                <w:highlight w:val="green"/>
              </w:rPr>
            </w:pPr>
            <w:r w:rsidRPr="00393704">
              <w:t>Cash and deposits at the end of the financial year</w:t>
            </w:r>
          </w:p>
        </w:tc>
        <w:tc>
          <w:tcPr>
            <w:tcW w:w="1361" w:type="dxa"/>
            <w:shd w:val="clear" w:color="auto" w:fill="E7E6E6"/>
            <w:noWrap/>
          </w:tcPr>
          <w:p w14:paraId="170CBA1C" w14:textId="77777777" w:rsidR="00083017" w:rsidRPr="00BA7805" w:rsidRDefault="00083017" w:rsidP="002542E1">
            <w:pPr>
              <w:pStyle w:val="ARfintablebodyrightbold"/>
              <w:rPr>
                <w:highlight w:val="green"/>
              </w:rPr>
            </w:pPr>
            <w:r w:rsidRPr="00A01121">
              <w:t>536.9</w:t>
            </w:r>
          </w:p>
        </w:tc>
        <w:tc>
          <w:tcPr>
            <w:tcW w:w="1361" w:type="dxa"/>
            <w:noWrap/>
          </w:tcPr>
          <w:p w14:paraId="5E4C758C" w14:textId="77777777" w:rsidR="00083017" w:rsidRPr="00BA7805" w:rsidRDefault="00083017" w:rsidP="002542E1">
            <w:pPr>
              <w:pStyle w:val="ARfintablebodyrightbold"/>
              <w:rPr>
                <w:highlight w:val="green"/>
              </w:rPr>
            </w:pPr>
            <w:r w:rsidRPr="00A01121">
              <w:t>646.3</w:t>
            </w:r>
          </w:p>
        </w:tc>
      </w:tr>
    </w:tbl>
    <w:p w14:paraId="475A7745" w14:textId="77777777" w:rsidR="00083017" w:rsidRPr="001E3109" w:rsidRDefault="00083017" w:rsidP="00C743C9">
      <w:pPr>
        <w:pStyle w:val="ARfintablefootnote"/>
        <w:rPr>
          <w:lang w:eastAsia="en-AU"/>
        </w:rPr>
      </w:pPr>
      <w:r w:rsidRPr="001E3109">
        <w:rPr>
          <w:lang w:eastAsia="en-AU"/>
        </w:rPr>
        <w:t>Note:</w:t>
      </w:r>
    </w:p>
    <w:p w14:paraId="749E7C29" w14:textId="77777777" w:rsidR="00083017" w:rsidRPr="00BA7805" w:rsidRDefault="00083017" w:rsidP="00C743C9">
      <w:pPr>
        <w:pStyle w:val="ARfintablefootnotetabindent"/>
        <w:rPr>
          <w:highlight w:val="green"/>
        </w:rPr>
      </w:pPr>
      <w:r w:rsidRPr="001E3109">
        <w:t xml:space="preserve">(i) </w:t>
      </w:r>
      <w:r>
        <w:tab/>
      </w:r>
      <w:r w:rsidRPr="001E3109">
        <w:t>GST recovered from the Australian Taxation Office is presented on a net basis.</w:t>
      </w:r>
    </w:p>
    <w:p w14:paraId="7F0E38E3" w14:textId="77777777" w:rsidR="00083017" w:rsidRPr="00BA7805" w:rsidRDefault="00083017" w:rsidP="005C7C7D">
      <w:pPr>
        <w:pStyle w:val="ARbody"/>
        <w:rPr>
          <w:highlight w:val="green"/>
        </w:rPr>
      </w:pPr>
      <w:r w:rsidRPr="00BA7805">
        <w:rPr>
          <w:highlight w:val="green"/>
        </w:rPr>
        <w:br w:type="page"/>
      </w:r>
    </w:p>
    <w:p w14:paraId="5FA95061" w14:textId="77777777" w:rsidR="00083017" w:rsidRPr="000E341A" w:rsidRDefault="00083017" w:rsidP="000E341A">
      <w:pPr>
        <w:pStyle w:val="Heading3"/>
      </w:pPr>
      <w:r w:rsidRPr="00C83CAF">
        <w:t>Statement of changes in equity</w:t>
      </w:r>
      <w:r w:rsidRPr="00C83CAF">
        <w:br/>
        <w:t>for the financial year ended 30 June 2024</w:t>
      </w:r>
    </w:p>
    <w:tbl>
      <w:tblPr>
        <w:tblStyle w:val="TableGrid"/>
        <w:tblW w:w="9637" w:type="dxa"/>
        <w:tblLayout w:type="fixed"/>
        <w:tblLook w:val="06A0" w:firstRow="1" w:lastRow="0" w:firstColumn="1" w:lastColumn="0" w:noHBand="1" w:noVBand="1"/>
      </w:tblPr>
      <w:tblGrid>
        <w:gridCol w:w="3965"/>
        <w:gridCol w:w="1418"/>
        <w:gridCol w:w="1418"/>
        <w:gridCol w:w="1418"/>
        <w:gridCol w:w="1418"/>
      </w:tblGrid>
      <w:tr w:rsidR="00067C8D" w:rsidRPr="00BA7805" w14:paraId="29F5292E" w14:textId="77777777" w:rsidTr="002542E1">
        <w:trPr>
          <w:cnfStyle w:val="100000000000" w:firstRow="1" w:lastRow="0" w:firstColumn="0" w:lastColumn="0" w:oddVBand="0" w:evenVBand="0" w:oddHBand="0" w:evenHBand="0" w:firstRowFirstColumn="0" w:firstRowLastColumn="0" w:lastRowFirstColumn="0" w:lastRowLastColumn="0"/>
          <w:tblHeader/>
        </w:trPr>
        <w:tc>
          <w:tcPr>
            <w:tcW w:w="3965" w:type="dxa"/>
            <w:tcBorders>
              <w:bottom w:val="single" w:sz="4" w:space="0" w:color="auto"/>
            </w:tcBorders>
            <w:hideMark/>
          </w:tcPr>
          <w:p w14:paraId="7D7D7313" w14:textId="77777777" w:rsidR="00083017" w:rsidRPr="00BA7805" w:rsidRDefault="00083017">
            <w:pPr>
              <w:pStyle w:val="ARfintablecolhead"/>
              <w:rPr>
                <w:highlight w:val="green"/>
              </w:rPr>
            </w:pPr>
          </w:p>
        </w:tc>
        <w:tc>
          <w:tcPr>
            <w:tcW w:w="1418" w:type="dxa"/>
            <w:tcBorders>
              <w:bottom w:val="single" w:sz="4" w:space="0" w:color="auto"/>
            </w:tcBorders>
            <w:shd w:val="clear" w:color="auto" w:fill="E7E6E6" w:themeFill="accent4"/>
            <w:hideMark/>
          </w:tcPr>
          <w:p w14:paraId="50B497F0" w14:textId="77777777" w:rsidR="00083017" w:rsidRPr="00C83CAF" w:rsidRDefault="00083017">
            <w:pPr>
              <w:pStyle w:val="ARfintablecolheadright"/>
            </w:pPr>
            <w:r w:rsidRPr="00C83CAF">
              <w:t>Physical</w:t>
            </w:r>
            <w:r w:rsidRPr="00C83CAF">
              <w:br/>
              <w:t>asset</w:t>
            </w:r>
            <w:r w:rsidRPr="00C83CAF">
              <w:br/>
              <w:t>revaluation</w:t>
            </w:r>
            <w:r w:rsidRPr="00C83CAF">
              <w:br/>
              <w:t>reserve</w:t>
            </w:r>
          </w:p>
          <w:p w14:paraId="3B35ABBA" w14:textId="77777777" w:rsidR="00083017" w:rsidRPr="00C83CAF" w:rsidRDefault="00083017">
            <w:pPr>
              <w:pStyle w:val="ARfintablecolheadright"/>
            </w:pPr>
            <w:r w:rsidRPr="00C83CAF">
              <w:t>$M</w:t>
            </w:r>
          </w:p>
        </w:tc>
        <w:tc>
          <w:tcPr>
            <w:tcW w:w="1418" w:type="dxa"/>
            <w:tcBorders>
              <w:bottom w:val="single" w:sz="4" w:space="0" w:color="auto"/>
            </w:tcBorders>
            <w:hideMark/>
          </w:tcPr>
          <w:p w14:paraId="1509DABC" w14:textId="77777777" w:rsidR="00083017" w:rsidRPr="00C83CAF" w:rsidRDefault="00083017">
            <w:pPr>
              <w:pStyle w:val="ARfintablecolheadright"/>
            </w:pPr>
            <w:r w:rsidRPr="00C83CAF">
              <w:t xml:space="preserve">Accumulated </w:t>
            </w:r>
            <w:r w:rsidRPr="00C83CAF">
              <w:br/>
              <w:t>surplus/</w:t>
            </w:r>
            <w:r w:rsidRPr="00C83CAF">
              <w:br/>
              <w:t>(deficit)</w:t>
            </w:r>
          </w:p>
          <w:p w14:paraId="361921CF" w14:textId="77777777" w:rsidR="00083017" w:rsidRPr="00C83CAF" w:rsidRDefault="00083017">
            <w:pPr>
              <w:pStyle w:val="ARfintablecolheadright"/>
            </w:pPr>
            <w:r w:rsidRPr="00C83CAF">
              <w:t>$M</w:t>
            </w:r>
          </w:p>
        </w:tc>
        <w:tc>
          <w:tcPr>
            <w:tcW w:w="1418" w:type="dxa"/>
            <w:tcBorders>
              <w:bottom w:val="single" w:sz="4" w:space="0" w:color="auto"/>
            </w:tcBorders>
            <w:shd w:val="clear" w:color="auto" w:fill="E7E6E6" w:themeFill="accent4"/>
            <w:hideMark/>
          </w:tcPr>
          <w:p w14:paraId="7D32CEEC" w14:textId="77777777" w:rsidR="00083017" w:rsidRPr="00C83CAF" w:rsidRDefault="00083017">
            <w:pPr>
              <w:pStyle w:val="ARfintablecolheadright"/>
            </w:pPr>
            <w:r w:rsidRPr="00C83CAF">
              <w:t>Contributed capital</w:t>
            </w:r>
          </w:p>
          <w:p w14:paraId="213933F0" w14:textId="77777777" w:rsidR="00083017" w:rsidRPr="00C83CAF" w:rsidRDefault="00083017">
            <w:pPr>
              <w:pStyle w:val="ARfintablecolheadright"/>
            </w:pPr>
            <w:r w:rsidRPr="00C83CAF">
              <w:t>$M</w:t>
            </w:r>
          </w:p>
        </w:tc>
        <w:tc>
          <w:tcPr>
            <w:tcW w:w="1418" w:type="dxa"/>
            <w:tcBorders>
              <w:bottom w:val="single" w:sz="4" w:space="0" w:color="auto"/>
            </w:tcBorders>
            <w:hideMark/>
          </w:tcPr>
          <w:p w14:paraId="2A8A4FF0" w14:textId="77777777" w:rsidR="00083017" w:rsidRPr="00C83CAF" w:rsidRDefault="00083017">
            <w:pPr>
              <w:pStyle w:val="ARfintablecolheadright"/>
            </w:pPr>
            <w:r w:rsidRPr="00C83CAF">
              <w:t>Total</w:t>
            </w:r>
          </w:p>
          <w:p w14:paraId="1729642F" w14:textId="77777777" w:rsidR="00083017" w:rsidRPr="00C83CAF" w:rsidRDefault="00083017">
            <w:pPr>
              <w:pStyle w:val="ARfintablecolheadright"/>
            </w:pPr>
            <w:r w:rsidRPr="00C83CAF">
              <w:t>$M</w:t>
            </w:r>
          </w:p>
        </w:tc>
      </w:tr>
      <w:tr w:rsidR="00083017" w:rsidRPr="00BA7805" w14:paraId="159016AA" w14:textId="77777777" w:rsidTr="002542E1">
        <w:tc>
          <w:tcPr>
            <w:tcW w:w="3965" w:type="dxa"/>
            <w:tcBorders>
              <w:top w:val="single" w:sz="4" w:space="0" w:color="auto"/>
              <w:bottom w:val="single" w:sz="4" w:space="0" w:color="A6A6A6"/>
            </w:tcBorders>
          </w:tcPr>
          <w:p w14:paraId="3D3995D7" w14:textId="77777777" w:rsidR="00083017" w:rsidRPr="00BA7805" w:rsidRDefault="00083017" w:rsidP="002542E1">
            <w:pPr>
              <w:pStyle w:val="ARfintablebodybold"/>
              <w:rPr>
                <w:highlight w:val="green"/>
              </w:rPr>
            </w:pPr>
            <w:r w:rsidRPr="006A32FC">
              <w:t>Balance at 1 July 2022</w:t>
            </w:r>
          </w:p>
        </w:tc>
        <w:tc>
          <w:tcPr>
            <w:tcW w:w="1418" w:type="dxa"/>
            <w:tcBorders>
              <w:top w:val="single" w:sz="4" w:space="0" w:color="auto"/>
              <w:bottom w:val="single" w:sz="4" w:space="0" w:color="A6A6A6"/>
            </w:tcBorders>
            <w:shd w:val="clear" w:color="auto" w:fill="E7E6E6" w:themeFill="accent4"/>
            <w:noWrap/>
          </w:tcPr>
          <w:p w14:paraId="6536218F" w14:textId="77777777" w:rsidR="00083017" w:rsidRPr="00BA7805" w:rsidRDefault="00083017" w:rsidP="002542E1">
            <w:pPr>
              <w:pStyle w:val="ARfintablebodyrightbold"/>
              <w:rPr>
                <w:highlight w:val="green"/>
              </w:rPr>
            </w:pPr>
            <w:r w:rsidRPr="006A32FC">
              <w:t>7,190.8</w:t>
            </w:r>
          </w:p>
        </w:tc>
        <w:tc>
          <w:tcPr>
            <w:tcW w:w="1418" w:type="dxa"/>
            <w:tcBorders>
              <w:top w:val="single" w:sz="4" w:space="0" w:color="auto"/>
              <w:bottom w:val="single" w:sz="4" w:space="0" w:color="A6A6A6"/>
            </w:tcBorders>
            <w:noWrap/>
          </w:tcPr>
          <w:p w14:paraId="68B25D96" w14:textId="77777777" w:rsidR="00083017" w:rsidRPr="00BA7805" w:rsidRDefault="00083017" w:rsidP="002542E1">
            <w:pPr>
              <w:pStyle w:val="ARfintablebodyrightbold"/>
              <w:rPr>
                <w:highlight w:val="green"/>
              </w:rPr>
            </w:pPr>
            <w:r w:rsidRPr="006A32FC">
              <w:t>387.8</w:t>
            </w:r>
          </w:p>
        </w:tc>
        <w:tc>
          <w:tcPr>
            <w:tcW w:w="1418" w:type="dxa"/>
            <w:tcBorders>
              <w:top w:val="single" w:sz="4" w:space="0" w:color="auto"/>
              <w:bottom w:val="single" w:sz="4" w:space="0" w:color="A6A6A6"/>
            </w:tcBorders>
            <w:shd w:val="clear" w:color="auto" w:fill="E7E6E6" w:themeFill="accent4"/>
            <w:noWrap/>
          </w:tcPr>
          <w:p w14:paraId="1DBD4040" w14:textId="77777777" w:rsidR="00083017" w:rsidRPr="00BA7805" w:rsidRDefault="00083017" w:rsidP="002542E1">
            <w:pPr>
              <w:pStyle w:val="ARfintablebodyrightbold"/>
              <w:rPr>
                <w:highlight w:val="green"/>
              </w:rPr>
            </w:pPr>
            <w:r w:rsidRPr="006A32FC">
              <w:t>27,497.2</w:t>
            </w:r>
          </w:p>
        </w:tc>
        <w:tc>
          <w:tcPr>
            <w:tcW w:w="1418" w:type="dxa"/>
            <w:tcBorders>
              <w:top w:val="single" w:sz="4" w:space="0" w:color="auto"/>
              <w:bottom w:val="single" w:sz="4" w:space="0" w:color="A6A6A6"/>
            </w:tcBorders>
            <w:noWrap/>
          </w:tcPr>
          <w:p w14:paraId="00569B4A" w14:textId="77777777" w:rsidR="00083017" w:rsidRPr="00BA7805" w:rsidRDefault="00083017" w:rsidP="002542E1">
            <w:pPr>
              <w:pStyle w:val="ARfintablebodyrightbold"/>
              <w:rPr>
                <w:highlight w:val="green"/>
              </w:rPr>
            </w:pPr>
            <w:r w:rsidRPr="006A32FC">
              <w:t>35,075.8</w:t>
            </w:r>
          </w:p>
        </w:tc>
      </w:tr>
      <w:tr w:rsidR="00083017" w:rsidRPr="00BA7805" w14:paraId="612DA1B9" w14:textId="77777777" w:rsidTr="002542E1">
        <w:tc>
          <w:tcPr>
            <w:tcW w:w="3965" w:type="dxa"/>
            <w:tcBorders>
              <w:top w:val="single" w:sz="4" w:space="0" w:color="A6A6A6"/>
              <w:bottom w:val="single" w:sz="4" w:space="0" w:color="A6A6A6"/>
            </w:tcBorders>
          </w:tcPr>
          <w:p w14:paraId="53C234C0" w14:textId="77777777" w:rsidR="00083017" w:rsidRPr="00BA7805" w:rsidRDefault="00083017" w:rsidP="002542E1">
            <w:pPr>
              <w:pStyle w:val="ARfintablebody"/>
              <w:rPr>
                <w:highlight w:val="green"/>
              </w:rPr>
            </w:pPr>
            <w:r w:rsidRPr="006A32FC">
              <w:t>Net result for the year</w:t>
            </w:r>
          </w:p>
        </w:tc>
        <w:tc>
          <w:tcPr>
            <w:tcW w:w="1418" w:type="dxa"/>
            <w:tcBorders>
              <w:top w:val="single" w:sz="4" w:space="0" w:color="A6A6A6"/>
              <w:bottom w:val="single" w:sz="4" w:space="0" w:color="A6A6A6"/>
            </w:tcBorders>
            <w:shd w:val="clear" w:color="auto" w:fill="E7E6E6" w:themeFill="accent4"/>
            <w:noWrap/>
          </w:tcPr>
          <w:p w14:paraId="5C6E8C69"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180D8252" w14:textId="77777777" w:rsidR="00083017" w:rsidRPr="00BA7805" w:rsidRDefault="00083017" w:rsidP="002542E1">
            <w:pPr>
              <w:pStyle w:val="ARfintablebodyright"/>
              <w:rPr>
                <w:highlight w:val="green"/>
              </w:rPr>
            </w:pPr>
            <w:r w:rsidRPr="006A32FC">
              <w:t>(236.1)</w:t>
            </w:r>
          </w:p>
        </w:tc>
        <w:tc>
          <w:tcPr>
            <w:tcW w:w="1418" w:type="dxa"/>
            <w:tcBorders>
              <w:top w:val="single" w:sz="4" w:space="0" w:color="A6A6A6"/>
              <w:bottom w:val="single" w:sz="4" w:space="0" w:color="A6A6A6"/>
            </w:tcBorders>
            <w:shd w:val="clear" w:color="auto" w:fill="E7E6E6" w:themeFill="accent4"/>
            <w:noWrap/>
          </w:tcPr>
          <w:p w14:paraId="594D4606"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048443E7" w14:textId="77777777" w:rsidR="00083017" w:rsidRPr="00BA7805" w:rsidRDefault="00083017" w:rsidP="002542E1">
            <w:pPr>
              <w:pStyle w:val="ARfintablebodyright"/>
              <w:rPr>
                <w:highlight w:val="green"/>
              </w:rPr>
            </w:pPr>
            <w:r w:rsidRPr="006A32FC">
              <w:t>(236.1)</w:t>
            </w:r>
          </w:p>
        </w:tc>
      </w:tr>
      <w:tr w:rsidR="00083017" w:rsidRPr="00BA7805" w14:paraId="705CBC5C" w14:textId="77777777" w:rsidTr="002542E1">
        <w:tc>
          <w:tcPr>
            <w:tcW w:w="3965" w:type="dxa"/>
            <w:tcBorders>
              <w:top w:val="single" w:sz="4" w:space="0" w:color="A6A6A6"/>
              <w:bottom w:val="single" w:sz="4" w:space="0" w:color="A6A6A6"/>
            </w:tcBorders>
          </w:tcPr>
          <w:p w14:paraId="2EA227E0" w14:textId="77777777" w:rsidR="00083017" w:rsidRPr="00BA7805" w:rsidRDefault="00083017" w:rsidP="002542E1">
            <w:pPr>
              <w:pStyle w:val="ARfintablebody"/>
              <w:rPr>
                <w:highlight w:val="green"/>
              </w:rPr>
            </w:pPr>
            <w:r w:rsidRPr="006A32FC">
              <w:t>Remeasurement of superannuation defined benefit plans</w:t>
            </w:r>
          </w:p>
        </w:tc>
        <w:tc>
          <w:tcPr>
            <w:tcW w:w="1418" w:type="dxa"/>
            <w:tcBorders>
              <w:top w:val="single" w:sz="4" w:space="0" w:color="A6A6A6"/>
              <w:bottom w:val="single" w:sz="4" w:space="0" w:color="A6A6A6"/>
            </w:tcBorders>
            <w:shd w:val="clear" w:color="auto" w:fill="E7E6E6" w:themeFill="accent4"/>
            <w:noWrap/>
          </w:tcPr>
          <w:p w14:paraId="1DE084E8"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49578B87" w14:textId="77777777" w:rsidR="00083017" w:rsidRPr="00BA7805" w:rsidRDefault="00083017" w:rsidP="002542E1">
            <w:pPr>
              <w:pStyle w:val="ARfintablebodyright"/>
              <w:rPr>
                <w:highlight w:val="green"/>
              </w:rPr>
            </w:pPr>
            <w:r w:rsidRPr="006A32FC">
              <w:t>1.0</w:t>
            </w:r>
          </w:p>
        </w:tc>
        <w:tc>
          <w:tcPr>
            <w:tcW w:w="1418" w:type="dxa"/>
            <w:tcBorders>
              <w:top w:val="single" w:sz="4" w:space="0" w:color="A6A6A6"/>
              <w:bottom w:val="single" w:sz="4" w:space="0" w:color="A6A6A6"/>
            </w:tcBorders>
            <w:shd w:val="clear" w:color="auto" w:fill="E7E6E6" w:themeFill="accent4"/>
            <w:noWrap/>
          </w:tcPr>
          <w:p w14:paraId="3E908C51"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4A63C3D6" w14:textId="77777777" w:rsidR="00083017" w:rsidRPr="00BA7805" w:rsidRDefault="00083017" w:rsidP="002542E1">
            <w:pPr>
              <w:pStyle w:val="ARfintablebodyright"/>
              <w:rPr>
                <w:highlight w:val="green"/>
              </w:rPr>
            </w:pPr>
            <w:r w:rsidRPr="006A32FC">
              <w:t>1.0</w:t>
            </w:r>
          </w:p>
        </w:tc>
      </w:tr>
      <w:tr w:rsidR="00083017" w:rsidRPr="00BA7805" w14:paraId="754AA358" w14:textId="77777777" w:rsidTr="002542E1">
        <w:tc>
          <w:tcPr>
            <w:tcW w:w="3965" w:type="dxa"/>
            <w:tcBorders>
              <w:top w:val="single" w:sz="4" w:space="0" w:color="A6A6A6"/>
              <w:bottom w:val="single" w:sz="4" w:space="0" w:color="A6A6A6"/>
            </w:tcBorders>
          </w:tcPr>
          <w:p w14:paraId="30B30A89" w14:textId="77777777" w:rsidR="00083017" w:rsidRPr="00BA7805" w:rsidRDefault="00083017" w:rsidP="002542E1">
            <w:pPr>
              <w:pStyle w:val="ARfintablebody"/>
              <w:rPr>
                <w:highlight w:val="green"/>
              </w:rPr>
            </w:pPr>
            <w:r w:rsidRPr="006A32FC">
              <w:t>Changes in physical asset revaluation surplus</w:t>
            </w:r>
          </w:p>
        </w:tc>
        <w:tc>
          <w:tcPr>
            <w:tcW w:w="1418" w:type="dxa"/>
            <w:tcBorders>
              <w:top w:val="single" w:sz="4" w:space="0" w:color="A6A6A6"/>
              <w:bottom w:val="single" w:sz="4" w:space="0" w:color="A6A6A6"/>
            </w:tcBorders>
            <w:shd w:val="clear" w:color="auto" w:fill="E7E6E6" w:themeFill="accent4"/>
            <w:noWrap/>
          </w:tcPr>
          <w:p w14:paraId="5FA80003" w14:textId="77777777" w:rsidR="00083017" w:rsidRPr="00BA7805" w:rsidRDefault="00083017" w:rsidP="002542E1">
            <w:pPr>
              <w:pStyle w:val="ARfintablebodyright"/>
              <w:rPr>
                <w:highlight w:val="green"/>
              </w:rPr>
            </w:pPr>
            <w:r w:rsidRPr="006A32FC">
              <w:t>49.5</w:t>
            </w:r>
          </w:p>
        </w:tc>
        <w:tc>
          <w:tcPr>
            <w:tcW w:w="1418" w:type="dxa"/>
            <w:tcBorders>
              <w:top w:val="single" w:sz="4" w:space="0" w:color="A6A6A6"/>
              <w:bottom w:val="single" w:sz="4" w:space="0" w:color="A6A6A6"/>
            </w:tcBorders>
            <w:noWrap/>
          </w:tcPr>
          <w:p w14:paraId="4B154F8D"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shd w:val="clear" w:color="auto" w:fill="E7E6E6" w:themeFill="accent4"/>
            <w:noWrap/>
          </w:tcPr>
          <w:p w14:paraId="0B99B39C"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228C23EB" w14:textId="77777777" w:rsidR="00083017" w:rsidRPr="00BA7805" w:rsidRDefault="00083017" w:rsidP="002542E1">
            <w:pPr>
              <w:pStyle w:val="ARfintablebodyright"/>
              <w:rPr>
                <w:highlight w:val="green"/>
              </w:rPr>
            </w:pPr>
            <w:r w:rsidRPr="006A32FC">
              <w:t>49.5</w:t>
            </w:r>
          </w:p>
        </w:tc>
      </w:tr>
      <w:tr w:rsidR="00083017" w:rsidRPr="00BA7805" w14:paraId="703AD843" w14:textId="77777777" w:rsidTr="002542E1">
        <w:tc>
          <w:tcPr>
            <w:tcW w:w="3965" w:type="dxa"/>
            <w:tcBorders>
              <w:top w:val="single" w:sz="4" w:space="0" w:color="A6A6A6"/>
              <w:bottom w:val="single" w:sz="4" w:space="0" w:color="A6A6A6"/>
            </w:tcBorders>
          </w:tcPr>
          <w:p w14:paraId="4B6950EB" w14:textId="77777777" w:rsidR="00083017" w:rsidRPr="00BA7805" w:rsidRDefault="00083017" w:rsidP="002542E1">
            <w:pPr>
              <w:pStyle w:val="ARfintablebody"/>
              <w:rPr>
                <w:highlight w:val="green"/>
              </w:rPr>
            </w:pPr>
            <w:r w:rsidRPr="006A32FC">
              <w:t>Capital contribution by Victorian State</w:t>
            </w:r>
            <w:r>
              <w:t> </w:t>
            </w:r>
            <w:r w:rsidRPr="006A32FC">
              <w:t>Government</w:t>
            </w:r>
          </w:p>
        </w:tc>
        <w:tc>
          <w:tcPr>
            <w:tcW w:w="1418" w:type="dxa"/>
            <w:tcBorders>
              <w:top w:val="single" w:sz="4" w:space="0" w:color="A6A6A6"/>
              <w:bottom w:val="single" w:sz="4" w:space="0" w:color="A6A6A6"/>
            </w:tcBorders>
            <w:shd w:val="clear" w:color="auto" w:fill="E7E6E6" w:themeFill="accent4"/>
            <w:noWrap/>
          </w:tcPr>
          <w:p w14:paraId="22521B38"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42EAF0A3"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shd w:val="clear" w:color="auto" w:fill="E7E6E6" w:themeFill="accent4"/>
            <w:noWrap/>
          </w:tcPr>
          <w:p w14:paraId="4A1E6705" w14:textId="77777777" w:rsidR="00083017" w:rsidRPr="00BA7805" w:rsidRDefault="00083017" w:rsidP="002542E1">
            <w:pPr>
              <w:pStyle w:val="ARfintablebodyright"/>
              <w:rPr>
                <w:highlight w:val="green"/>
              </w:rPr>
            </w:pPr>
            <w:r w:rsidRPr="006A32FC">
              <w:t>602.4</w:t>
            </w:r>
          </w:p>
        </w:tc>
        <w:tc>
          <w:tcPr>
            <w:tcW w:w="1418" w:type="dxa"/>
            <w:tcBorders>
              <w:top w:val="single" w:sz="4" w:space="0" w:color="A6A6A6"/>
              <w:bottom w:val="single" w:sz="4" w:space="0" w:color="A6A6A6"/>
            </w:tcBorders>
            <w:noWrap/>
          </w:tcPr>
          <w:p w14:paraId="0B630170" w14:textId="77777777" w:rsidR="00083017" w:rsidRPr="00BA7805" w:rsidRDefault="00083017" w:rsidP="002542E1">
            <w:pPr>
              <w:pStyle w:val="ARfintablebodyright"/>
              <w:rPr>
                <w:highlight w:val="green"/>
              </w:rPr>
            </w:pPr>
            <w:r w:rsidRPr="006A32FC">
              <w:t>602.4</w:t>
            </w:r>
          </w:p>
        </w:tc>
      </w:tr>
      <w:tr w:rsidR="00083017" w:rsidRPr="00BA7805" w14:paraId="051F0A3C" w14:textId="77777777" w:rsidTr="002542E1">
        <w:tc>
          <w:tcPr>
            <w:tcW w:w="3965" w:type="dxa"/>
          </w:tcPr>
          <w:p w14:paraId="1C87737C" w14:textId="77777777" w:rsidR="00083017" w:rsidRPr="00BA7805" w:rsidRDefault="00083017" w:rsidP="002542E1">
            <w:pPr>
              <w:pStyle w:val="ARfintablebodybold"/>
              <w:rPr>
                <w:highlight w:val="green"/>
              </w:rPr>
            </w:pPr>
            <w:r w:rsidRPr="006A32FC">
              <w:t>Balance at 30 June 2023</w:t>
            </w:r>
          </w:p>
        </w:tc>
        <w:tc>
          <w:tcPr>
            <w:tcW w:w="1418" w:type="dxa"/>
            <w:shd w:val="clear" w:color="auto" w:fill="E7E6E6" w:themeFill="accent4"/>
            <w:noWrap/>
          </w:tcPr>
          <w:p w14:paraId="13661A51" w14:textId="77777777" w:rsidR="00083017" w:rsidRPr="00BA7805" w:rsidRDefault="00083017" w:rsidP="002542E1">
            <w:pPr>
              <w:pStyle w:val="ARfintablebodyrightbold"/>
              <w:rPr>
                <w:highlight w:val="green"/>
              </w:rPr>
            </w:pPr>
            <w:r w:rsidRPr="006A32FC">
              <w:t>7,240.3</w:t>
            </w:r>
          </w:p>
        </w:tc>
        <w:tc>
          <w:tcPr>
            <w:tcW w:w="1418" w:type="dxa"/>
            <w:noWrap/>
          </w:tcPr>
          <w:p w14:paraId="4F0C46BA" w14:textId="77777777" w:rsidR="00083017" w:rsidRPr="00BA7805" w:rsidRDefault="00083017" w:rsidP="002542E1">
            <w:pPr>
              <w:pStyle w:val="ARfintablebodyrightbold"/>
              <w:rPr>
                <w:highlight w:val="green"/>
              </w:rPr>
            </w:pPr>
            <w:r w:rsidRPr="006A32FC">
              <w:t>152.6</w:t>
            </w:r>
          </w:p>
        </w:tc>
        <w:tc>
          <w:tcPr>
            <w:tcW w:w="1418" w:type="dxa"/>
            <w:shd w:val="clear" w:color="auto" w:fill="E7E6E6" w:themeFill="accent4"/>
            <w:noWrap/>
          </w:tcPr>
          <w:p w14:paraId="25023B58" w14:textId="77777777" w:rsidR="00083017" w:rsidRPr="00BA7805" w:rsidRDefault="00083017" w:rsidP="002542E1">
            <w:pPr>
              <w:pStyle w:val="ARfintablebodyrightbold"/>
              <w:rPr>
                <w:highlight w:val="green"/>
              </w:rPr>
            </w:pPr>
            <w:r w:rsidRPr="006A32FC">
              <w:t>28,099.6</w:t>
            </w:r>
          </w:p>
        </w:tc>
        <w:tc>
          <w:tcPr>
            <w:tcW w:w="1418" w:type="dxa"/>
            <w:noWrap/>
          </w:tcPr>
          <w:p w14:paraId="61AB566A" w14:textId="77777777" w:rsidR="00083017" w:rsidRPr="00BA7805" w:rsidRDefault="00083017" w:rsidP="002542E1">
            <w:pPr>
              <w:pStyle w:val="ARfintablebodyrightbold"/>
              <w:rPr>
                <w:highlight w:val="green"/>
              </w:rPr>
            </w:pPr>
            <w:r w:rsidRPr="006A32FC">
              <w:t>35,492.5</w:t>
            </w:r>
          </w:p>
        </w:tc>
      </w:tr>
      <w:tr w:rsidR="00083017" w:rsidRPr="00BA7805" w14:paraId="40ADEBAF" w14:textId="77777777" w:rsidTr="002542E1">
        <w:tc>
          <w:tcPr>
            <w:tcW w:w="3965" w:type="dxa"/>
            <w:tcBorders>
              <w:top w:val="single" w:sz="4" w:space="0" w:color="auto"/>
              <w:bottom w:val="single" w:sz="4" w:space="0" w:color="A6A6A6"/>
            </w:tcBorders>
          </w:tcPr>
          <w:p w14:paraId="12D85E97" w14:textId="77777777" w:rsidR="00083017" w:rsidRPr="00BA7805" w:rsidRDefault="00083017" w:rsidP="002542E1">
            <w:pPr>
              <w:pStyle w:val="ARfintablebody"/>
              <w:rPr>
                <w:highlight w:val="green"/>
              </w:rPr>
            </w:pPr>
            <w:r w:rsidRPr="00663901">
              <w:t>Net result for the year</w:t>
            </w:r>
          </w:p>
        </w:tc>
        <w:tc>
          <w:tcPr>
            <w:tcW w:w="1418" w:type="dxa"/>
            <w:tcBorders>
              <w:top w:val="single" w:sz="4" w:space="0" w:color="auto"/>
              <w:bottom w:val="single" w:sz="4" w:space="0" w:color="A6A6A6"/>
            </w:tcBorders>
            <w:shd w:val="clear" w:color="auto" w:fill="E7E6E6" w:themeFill="accent4"/>
            <w:noWrap/>
          </w:tcPr>
          <w:p w14:paraId="11B18294" w14:textId="77777777" w:rsidR="00083017" w:rsidRPr="00BA7805" w:rsidRDefault="00083017" w:rsidP="002542E1">
            <w:pPr>
              <w:pStyle w:val="ARfintablebodyright"/>
              <w:rPr>
                <w:highlight w:val="green"/>
              </w:rPr>
            </w:pPr>
            <w:r>
              <w:t>–</w:t>
            </w:r>
          </w:p>
        </w:tc>
        <w:tc>
          <w:tcPr>
            <w:tcW w:w="1418" w:type="dxa"/>
            <w:tcBorders>
              <w:top w:val="single" w:sz="4" w:space="0" w:color="auto"/>
              <w:bottom w:val="single" w:sz="4" w:space="0" w:color="A6A6A6"/>
            </w:tcBorders>
            <w:noWrap/>
          </w:tcPr>
          <w:p w14:paraId="61EB1253" w14:textId="77777777" w:rsidR="00083017" w:rsidRPr="00BA7805" w:rsidRDefault="00083017" w:rsidP="002542E1">
            <w:pPr>
              <w:pStyle w:val="ARfintablebodyright"/>
              <w:rPr>
                <w:highlight w:val="green"/>
              </w:rPr>
            </w:pPr>
            <w:r w:rsidRPr="00663901">
              <w:t>(445.7)</w:t>
            </w:r>
          </w:p>
        </w:tc>
        <w:tc>
          <w:tcPr>
            <w:tcW w:w="1418" w:type="dxa"/>
            <w:tcBorders>
              <w:top w:val="single" w:sz="4" w:space="0" w:color="auto"/>
              <w:bottom w:val="single" w:sz="4" w:space="0" w:color="A6A6A6"/>
            </w:tcBorders>
            <w:shd w:val="clear" w:color="auto" w:fill="E7E6E6" w:themeFill="accent4"/>
            <w:noWrap/>
          </w:tcPr>
          <w:p w14:paraId="122ADA97" w14:textId="77777777" w:rsidR="00083017" w:rsidRPr="00BA7805" w:rsidRDefault="00083017" w:rsidP="002542E1">
            <w:pPr>
              <w:pStyle w:val="ARfintablebodyright"/>
              <w:rPr>
                <w:highlight w:val="green"/>
              </w:rPr>
            </w:pPr>
            <w:r>
              <w:t>–</w:t>
            </w:r>
          </w:p>
        </w:tc>
        <w:tc>
          <w:tcPr>
            <w:tcW w:w="1418" w:type="dxa"/>
            <w:tcBorders>
              <w:top w:val="single" w:sz="4" w:space="0" w:color="auto"/>
              <w:bottom w:val="single" w:sz="4" w:space="0" w:color="A6A6A6"/>
            </w:tcBorders>
            <w:noWrap/>
          </w:tcPr>
          <w:p w14:paraId="11107D91" w14:textId="77777777" w:rsidR="00083017" w:rsidRPr="00BA7805" w:rsidRDefault="00083017" w:rsidP="002542E1">
            <w:pPr>
              <w:pStyle w:val="ARfintablebodyright"/>
              <w:rPr>
                <w:highlight w:val="green"/>
              </w:rPr>
            </w:pPr>
            <w:r w:rsidRPr="00663901">
              <w:t>(445.7)</w:t>
            </w:r>
          </w:p>
        </w:tc>
      </w:tr>
      <w:tr w:rsidR="00083017" w:rsidRPr="00BA7805" w14:paraId="5661B594" w14:textId="77777777" w:rsidTr="002542E1">
        <w:tc>
          <w:tcPr>
            <w:tcW w:w="3965" w:type="dxa"/>
            <w:tcBorders>
              <w:top w:val="single" w:sz="4" w:space="0" w:color="A6A6A6"/>
              <w:bottom w:val="single" w:sz="4" w:space="0" w:color="A6A6A6"/>
            </w:tcBorders>
          </w:tcPr>
          <w:p w14:paraId="6B376167" w14:textId="77777777" w:rsidR="00083017" w:rsidRPr="00BA7805" w:rsidRDefault="00083017" w:rsidP="002542E1">
            <w:pPr>
              <w:pStyle w:val="ARfintablebody"/>
              <w:rPr>
                <w:highlight w:val="green"/>
              </w:rPr>
            </w:pPr>
            <w:r w:rsidRPr="00663901">
              <w:t>Remeasurement of superannuation defined benefit plans</w:t>
            </w:r>
          </w:p>
        </w:tc>
        <w:tc>
          <w:tcPr>
            <w:tcW w:w="1418" w:type="dxa"/>
            <w:tcBorders>
              <w:top w:val="single" w:sz="4" w:space="0" w:color="A6A6A6"/>
              <w:bottom w:val="single" w:sz="4" w:space="0" w:color="A6A6A6"/>
            </w:tcBorders>
            <w:shd w:val="clear" w:color="auto" w:fill="E7E6E6" w:themeFill="accent4"/>
            <w:noWrap/>
          </w:tcPr>
          <w:p w14:paraId="46A09B89"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1A7BBEFF" w14:textId="77777777" w:rsidR="00083017" w:rsidRPr="00BA7805" w:rsidRDefault="00083017" w:rsidP="002542E1">
            <w:pPr>
              <w:pStyle w:val="ARfintablebodyright"/>
              <w:rPr>
                <w:highlight w:val="green"/>
              </w:rPr>
            </w:pPr>
            <w:r w:rsidRPr="00663901">
              <w:t>2.0</w:t>
            </w:r>
          </w:p>
        </w:tc>
        <w:tc>
          <w:tcPr>
            <w:tcW w:w="1418" w:type="dxa"/>
            <w:tcBorders>
              <w:top w:val="single" w:sz="4" w:space="0" w:color="A6A6A6"/>
              <w:bottom w:val="single" w:sz="4" w:space="0" w:color="A6A6A6"/>
            </w:tcBorders>
            <w:shd w:val="clear" w:color="auto" w:fill="E7E6E6" w:themeFill="accent4"/>
            <w:noWrap/>
          </w:tcPr>
          <w:p w14:paraId="185B0984"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7788CE5D" w14:textId="77777777" w:rsidR="00083017" w:rsidRPr="00BA7805" w:rsidRDefault="00083017" w:rsidP="002542E1">
            <w:pPr>
              <w:pStyle w:val="ARfintablebodyright"/>
              <w:rPr>
                <w:highlight w:val="green"/>
              </w:rPr>
            </w:pPr>
            <w:r w:rsidRPr="00663901">
              <w:t>2.0</w:t>
            </w:r>
          </w:p>
        </w:tc>
      </w:tr>
      <w:tr w:rsidR="00083017" w:rsidRPr="00BA7805" w14:paraId="40862C88" w14:textId="77777777" w:rsidTr="002542E1">
        <w:tc>
          <w:tcPr>
            <w:tcW w:w="3965" w:type="dxa"/>
            <w:tcBorders>
              <w:top w:val="single" w:sz="4" w:space="0" w:color="A6A6A6"/>
              <w:bottom w:val="single" w:sz="4" w:space="0" w:color="A6A6A6"/>
            </w:tcBorders>
          </w:tcPr>
          <w:p w14:paraId="7D7FC8E7" w14:textId="77777777" w:rsidR="00083017" w:rsidRPr="00BA7805" w:rsidRDefault="00083017" w:rsidP="002542E1">
            <w:pPr>
              <w:pStyle w:val="ARfintablebody"/>
              <w:rPr>
                <w:highlight w:val="green"/>
              </w:rPr>
            </w:pPr>
            <w:r w:rsidRPr="00663901">
              <w:t>Changes in physical asset revaluation surplus</w:t>
            </w:r>
          </w:p>
        </w:tc>
        <w:tc>
          <w:tcPr>
            <w:tcW w:w="1418" w:type="dxa"/>
            <w:tcBorders>
              <w:top w:val="single" w:sz="4" w:space="0" w:color="A6A6A6"/>
              <w:bottom w:val="single" w:sz="4" w:space="0" w:color="A6A6A6"/>
            </w:tcBorders>
            <w:shd w:val="clear" w:color="auto" w:fill="E7E6E6" w:themeFill="accent4"/>
            <w:noWrap/>
          </w:tcPr>
          <w:p w14:paraId="2A4B3377" w14:textId="77777777" w:rsidR="00083017" w:rsidRPr="00BA7805" w:rsidRDefault="00083017" w:rsidP="002542E1">
            <w:pPr>
              <w:pStyle w:val="ARfintablebodyright"/>
              <w:rPr>
                <w:highlight w:val="green"/>
              </w:rPr>
            </w:pPr>
            <w:r w:rsidRPr="00663901">
              <w:t>1,238.9</w:t>
            </w:r>
          </w:p>
        </w:tc>
        <w:tc>
          <w:tcPr>
            <w:tcW w:w="1418" w:type="dxa"/>
            <w:tcBorders>
              <w:top w:val="single" w:sz="4" w:space="0" w:color="A6A6A6"/>
              <w:bottom w:val="single" w:sz="4" w:space="0" w:color="A6A6A6"/>
            </w:tcBorders>
            <w:noWrap/>
          </w:tcPr>
          <w:p w14:paraId="2202254A"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shd w:val="clear" w:color="auto" w:fill="E7E6E6" w:themeFill="accent4"/>
            <w:noWrap/>
          </w:tcPr>
          <w:p w14:paraId="475D3F2E" w14:textId="77777777" w:rsidR="00083017" w:rsidRPr="00BA7805" w:rsidRDefault="00083017" w:rsidP="002542E1">
            <w:pPr>
              <w:pStyle w:val="ARfintablebodyright"/>
              <w:rPr>
                <w:highlight w:val="green"/>
              </w:rPr>
            </w:pPr>
            <w:r>
              <w:t>–</w:t>
            </w:r>
          </w:p>
        </w:tc>
        <w:tc>
          <w:tcPr>
            <w:tcW w:w="1418" w:type="dxa"/>
            <w:tcBorders>
              <w:top w:val="single" w:sz="4" w:space="0" w:color="A6A6A6"/>
              <w:bottom w:val="single" w:sz="4" w:space="0" w:color="A6A6A6"/>
            </w:tcBorders>
            <w:noWrap/>
          </w:tcPr>
          <w:p w14:paraId="5F4DA37F" w14:textId="77777777" w:rsidR="00083017" w:rsidRPr="00BA7805" w:rsidRDefault="00083017" w:rsidP="002542E1">
            <w:pPr>
              <w:pStyle w:val="ARfintablebodyright"/>
              <w:rPr>
                <w:highlight w:val="green"/>
              </w:rPr>
            </w:pPr>
            <w:r w:rsidRPr="00663901">
              <w:t>1,238.9</w:t>
            </w:r>
          </w:p>
        </w:tc>
      </w:tr>
      <w:tr w:rsidR="00083017" w:rsidRPr="00BA7805" w14:paraId="101F8B46" w14:textId="77777777" w:rsidTr="002542E1">
        <w:tc>
          <w:tcPr>
            <w:tcW w:w="3965" w:type="dxa"/>
            <w:tcBorders>
              <w:top w:val="single" w:sz="4" w:space="0" w:color="A6A6A6"/>
            </w:tcBorders>
          </w:tcPr>
          <w:p w14:paraId="76673EBC" w14:textId="77777777" w:rsidR="00083017" w:rsidRPr="00BA7805" w:rsidRDefault="00083017" w:rsidP="002542E1">
            <w:pPr>
              <w:pStyle w:val="ARfintablebody"/>
              <w:rPr>
                <w:highlight w:val="green"/>
              </w:rPr>
            </w:pPr>
            <w:r w:rsidRPr="00663901">
              <w:t>Capital contribution by Victorian State</w:t>
            </w:r>
            <w:r>
              <w:t> </w:t>
            </w:r>
            <w:r w:rsidRPr="00663901">
              <w:t>Government</w:t>
            </w:r>
          </w:p>
        </w:tc>
        <w:tc>
          <w:tcPr>
            <w:tcW w:w="1418" w:type="dxa"/>
            <w:tcBorders>
              <w:top w:val="single" w:sz="4" w:space="0" w:color="A6A6A6"/>
            </w:tcBorders>
            <w:shd w:val="clear" w:color="auto" w:fill="E7E6E6" w:themeFill="accent4"/>
            <w:noWrap/>
          </w:tcPr>
          <w:p w14:paraId="71DEB0A0" w14:textId="77777777" w:rsidR="00083017" w:rsidRPr="00BA7805" w:rsidRDefault="00083017" w:rsidP="002542E1">
            <w:pPr>
              <w:pStyle w:val="ARfintablebodyright"/>
              <w:rPr>
                <w:highlight w:val="green"/>
              </w:rPr>
            </w:pPr>
            <w:r>
              <w:t>–</w:t>
            </w:r>
          </w:p>
        </w:tc>
        <w:tc>
          <w:tcPr>
            <w:tcW w:w="1418" w:type="dxa"/>
            <w:tcBorders>
              <w:top w:val="single" w:sz="4" w:space="0" w:color="A6A6A6"/>
            </w:tcBorders>
            <w:noWrap/>
          </w:tcPr>
          <w:p w14:paraId="072ACD8F" w14:textId="77777777" w:rsidR="00083017" w:rsidRPr="00BA7805" w:rsidRDefault="00083017" w:rsidP="002542E1">
            <w:pPr>
              <w:pStyle w:val="ARfintablebodyright"/>
              <w:rPr>
                <w:highlight w:val="green"/>
              </w:rPr>
            </w:pPr>
            <w:r>
              <w:t>–</w:t>
            </w:r>
          </w:p>
        </w:tc>
        <w:tc>
          <w:tcPr>
            <w:tcW w:w="1418" w:type="dxa"/>
            <w:tcBorders>
              <w:top w:val="single" w:sz="4" w:space="0" w:color="A6A6A6"/>
            </w:tcBorders>
            <w:shd w:val="clear" w:color="auto" w:fill="E7E6E6" w:themeFill="accent4"/>
            <w:noWrap/>
          </w:tcPr>
          <w:p w14:paraId="101C9BED" w14:textId="77777777" w:rsidR="00083017" w:rsidRPr="00BA7805" w:rsidRDefault="00083017" w:rsidP="002542E1">
            <w:pPr>
              <w:pStyle w:val="ARfintablebodyright"/>
              <w:rPr>
                <w:highlight w:val="green"/>
              </w:rPr>
            </w:pPr>
            <w:r w:rsidRPr="00663901">
              <w:t>809.8</w:t>
            </w:r>
          </w:p>
        </w:tc>
        <w:tc>
          <w:tcPr>
            <w:tcW w:w="1418" w:type="dxa"/>
            <w:tcBorders>
              <w:top w:val="single" w:sz="4" w:space="0" w:color="A6A6A6"/>
            </w:tcBorders>
            <w:noWrap/>
          </w:tcPr>
          <w:p w14:paraId="349696AF" w14:textId="77777777" w:rsidR="00083017" w:rsidRPr="00BA7805" w:rsidRDefault="00083017" w:rsidP="002542E1">
            <w:pPr>
              <w:pStyle w:val="ARfintablebodyright"/>
              <w:rPr>
                <w:highlight w:val="green"/>
              </w:rPr>
            </w:pPr>
            <w:r w:rsidRPr="00663901">
              <w:t>809.8</w:t>
            </w:r>
          </w:p>
        </w:tc>
      </w:tr>
      <w:tr w:rsidR="00083017" w:rsidRPr="00BA7805" w14:paraId="7C7ACEEE" w14:textId="77777777" w:rsidTr="002542E1">
        <w:tc>
          <w:tcPr>
            <w:tcW w:w="3965" w:type="dxa"/>
          </w:tcPr>
          <w:p w14:paraId="252EABC9" w14:textId="77777777" w:rsidR="00083017" w:rsidRPr="00BA7805" w:rsidRDefault="00083017" w:rsidP="002542E1">
            <w:pPr>
              <w:pStyle w:val="ARfintablebodybold"/>
              <w:rPr>
                <w:highlight w:val="green"/>
              </w:rPr>
            </w:pPr>
            <w:r w:rsidRPr="00663901">
              <w:t>Balance at 30 June 2024</w:t>
            </w:r>
          </w:p>
        </w:tc>
        <w:tc>
          <w:tcPr>
            <w:tcW w:w="1418" w:type="dxa"/>
            <w:shd w:val="clear" w:color="auto" w:fill="E7E6E6" w:themeFill="accent4"/>
            <w:noWrap/>
          </w:tcPr>
          <w:p w14:paraId="0A811012" w14:textId="77777777" w:rsidR="00083017" w:rsidRPr="00BA7805" w:rsidRDefault="00083017" w:rsidP="002542E1">
            <w:pPr>
              <w:pStyle w:val="ARfintablebodyrightbold"/>
              <w:rPr>
                <w:highlight w:val="green"/>
              </w:rPr>
            </w:pPr>
            <w:r w:rsidRPr="00663901">
              <w:t>8,479.2</w:t>
            </w:r>
          </w:p>
        </w:tc>
        <w:tc>
          <w:tcPr>
            <w:tcW w:w="1418" w:type="dxa"/>
            <w:noWrap/>
          </w:tcPr>
          <w:p w14:paraId="1452320C" w14:textId="77777777" w:rsidR="00083017" w:rsidRPr="00BA7805" w:rsidRDefault="00083017" w:rsidP="002542E1">
            <w:pPr>
              <w:pStyle w:val="ARfintablebodyrightbold"/>
              <w:rPr>
                <w:highlight w:val="green"/>
              </w:rPr>
            </w:pPr>
            <w:r>
              <w:t>(291.1)</w:t>
            </w:r>
          </w:p>
        </w:tc>
        <w:tc>
          <w:tcPr>
            <w:tcW w:w="1418" w:type="dxa"/>
            <w:shd w:val="clear" w:color="auto" w:fill="E7E6E6" w:themeFill="accent4"/>
            <w:noWrap/>
          </w:tcPr>
          <w:p w14:paraId="3056AFFB" w14:textId="77777777" w:rsidR="00083017" w:rsidRPr="00BA7805" w:rsidRDefault="00083017" w:rsidP="002542E1">
            <w:pPr>
              <w:pStyle w:val="ARfintablebodyrightbold"/>
              <w:rPr>
                <w:highlight w:val="green"/>
              </w:rPr>
            </w:pPr>
            <w:r w:rsidRPr="00663901">
              <w:t>28,909.4</w:t>
            </w:r>
          </w:p>
        </w:tc>
        <w:tc>
          <w:tcPr>
            <w:tcW w:w="1418" w:type="dxa"/>
            <w:noWrap/>
          </w:tcPr>
          <w:p w14:paraId="08A9FDD0" w14:textId="77777777" w:rsidR="00083017" w:rsidRPr="00BA7805" w:rsidRDefault="00083017" w:rsidP="002542E1">
            <w:pPr>
              <w:pStyle w:val="ARfintablebodyrightbold"/>
              <w:rPr>
                <w:highlight w:val="green"/>
              </w:rPr>
            </w:pPr>
            <w:r w:rsidRPr="00663901">
              <w:t>37,097.5</w:t>
            </w:r>
          </w:p>
        </w:tc>
      </w:tr>
      <w:bookmarkEnd w:id="304"/>
    </w:tbl>
    <w:p w14:paraId="5D4D8103" w14:textId="3A5F89C2" w:rsidR="00C743C9" w:rsidRPr="00083017" w:rsidRDefault="00C743C9" w:rsidP="00083017">
      <w:pPr>
        <w:pStyle w:val="ARbody"/>
        <w:rPr>
          <w:highlight w:val="green"/>
        </w:rPr>
      </w:pPr>
      <w:r w:rsidRPr="00BA7805">
        <w:rPr>
          <w:highlight w:val="green"/>
        </w:rPr>
        <w:br w:type="page"/>
      </w:r>
    </w:p>
    <w:p w14:paraId="06E2116C" w14:textId="77777777" w:rsidR="0050196F" w:rsidRPr="00F576CE" w:rsidRDefault="0050196F" w:rsidP="0081234A">
      <w:pPr>
        <w:pStyle w:val="Heading2"/>
      </w:pPr>
      <w:bookmarkStart w:id="310" w:name="_Toc149587072"/>
      <w:bookmarkStart w:id="311" w:name="_Toc181101534"/>
      <w:r>
        <w:t>Appendix 3: Grants and transfer payments</w:t>
      </w:r>
      <w:bookmarkEnd w:id="310"/>
      <w:bookmarkEnd w:id="311"/>
    </w:p>
    <w:p w14:paraId="29C314F5" w14:textId="1083DA10" w:rsidR="0050196F" w:rsidRPr="00F576CE" w:rsidRDefault="0050196F" w:rsidP="00681FFE">
      <w:pPr>
        <w:pStyle w:val="ARbody"/>
      </w:pPr>
      <w:bookmarkStart w:id="312" w:name="_Hlk112427698"/>
      <w:r w:rsidRPr="00F576CE">
        <w:t>The department supported a broad range of not-for-profit community organisations,</w:t>
      </w:r>
      <w:r w:rsidRPr="00F576CE" w:rsidDel="00F91A0E">
        <w:t xml:space="preserve"> </w:t>
      </w:r>
      <w:r w:rsidRPr="00F576CE">
        <w:t>local governments and schools to deliver services, supports and projects across Victoria.</w:t>
      </w:r>
      <w:r w:rsidR="007D276B">
        <w:t xml:space="preserve"> On 1 February 2024, the Multicultural Affairs portfolio transferred to the Department of Premier and Cabinet (DPC.) </w:t>
      </w:r>
      <w:r w:rsidR="00CD52C7">
        <w:t xml:space="preserve">Grants paid under this output are reported </w:t>
      </w:r>
      <w:r w:rsidR="002C463B">
        <w:t xml:space="preserve">for the entirety of the </w:t>
      </w:r>
      <w:r w:rsidR="00981E3A">
        <w:t>2023–24</w:t>
      </w:r>
      <w:r w:rsidR="00CD52C7">
        <w:t xml:space="preserve"> financial year in the DPC annual report.</w:t>
      </w:r>
    </w:p>
    <w:p w14:paraId="3C07C1BD" w14:textId="243D967C" w:rsidR="0050196F" w:rsidRPr="00F576CE" w:rsidRDefault="0050196F" w:rsidP="00681FFE">
      <w:pPr>
        <w:pStyle w:val="ARbody"/>
      </w:pPr>
      <w:r w:rsidRPr="00F576CE">
        <w:t xml:space="preserve">The department uses the definition of a grant being </w:t>
      </w:r>
      <w:r w:rsidR="00711AE6">
        <w:t>‘</w:t>
      </w:r>
      <w:r w:rsidRPr="00F576CE">
        <w:t>money given to organisations for a specified purpose directed at achieving goals and objectives consistent with government policy</w:t>
      </w:r>
      <w:r w:rsidR="00711AE6">
        <w:t>’</w:t>
      </w:r>
      <w:r w:rsidRPr="00F576CE">
        <w:t>. The department focused on grants delivered using the standard Victorian Common Funding Agreement, the required contract for Victorian Government grant delivery.</w:t>
      </w:r>
    </w:p>
    <w:p w14:paraId="10A0351F" w14:textId="77777777" w:rsidR="0050196F" w:rsidRPr="00F576CE" w:rsidRDefault="0050196F" w:rsidP="00681FFE">
      <w:pPr>
        <w:pStyle w:val="ARbody"/>
      </w:pPr>
      <w:r w:rsidRPr="00F576CE">
        <w:t xml:space="preserve">Under this definition, grants paid in 2023–24 are categorised by departmental output </w:t>
      </w:r>
      <w:bookmarkEnd w:id="312"/>
      <w:r w:rsidRPr="00F576CE">
        <w:t>below:</w:t>
      </w:r>
    </w:p>
    <w:p w14:paraId="6D22A859" w14:textId="77777777" w:rsidR="0050196F" w:rsidRPr="00B6199F" w:rsidRDefault="0050196F" w:rsidP="00314E1D">
      <w:pPr>
        <w:pStyle w:val="ARbody"/>
        <w:rPr>
          <w:highlight w:val="cyan"/>
        </w:rPr>
        <w:sectPr w:rsidR="0050196F" w:rsidRPr="00B6199F" w:rsidSect="005936D2">
          <w:footerReference w:type="even" r:id="rId152"/>
          <w:footnotePr>
            <w:numFmt w:val="lowerRoman"/>
            <w:numRestart w:val="eachPage"/>
          </w:footnotePr>
          <w:endnotePr>
            <w:numFmt w:val="decimal"/>
          </w:endnotePr>
          <w:pgSz w:w="11900" w:h="16840" w:code="9"/>
          <w:pgMar w:top="1701" w:right="1134" w:bottom="851" w:left="1134" w:header="510" w:footer="340" w:gutter="0"/>
          <w:cols w:space="454"/>
          <w:docGrid w:linePitch="299"/>
        </w:sectPr>
      </w:pPr>
    </w:p>
    <w:p w14:paraId="65A1401D" w14:textId="77777777" w:rsidR="0050196F" w:rsidRPr="00451821" w:rsidRDefault="0050196F" w:rsidP="00A30114">
      <w:pPr>
        <w:pStyle w:val="Heading3Grants"/>
      </w:pPr>
      <w:r w:rsidRPr="00451821">
        <w:t>Community participation – community funding initiatives</w:t>
      </w:r>
    </w:p>
    <w:tbl>
      <w:tblPr>
        <w:tblStyle w:val="DHARGrantstable"/>
        <w:tblW w:w="5000" w:type="pct"/>
        <w:tblLayout w:type="fixed"/>
        <w:tblLook w:val="06A0" w:firstRow="1" w:lastRow="0" w:firstColumn="1" w:lastColumn="0" w:noHBand="1" w:noVBand="1"/>
      </w:tblPr>
      <w:tblGrid>
        <w:gridCol w:w="3402"/>
        <w:gridCol w:w="1187"/>
      </w:tblGrid>
      <w:tr w:rsidR="0050196F" w:rsidRPr="00B6199F" w14:paraId="6E5953D7" w14:textId="77777777" w:rsidTr="00DB5974">
        <w:trPr>
          <w:cnfStyle w:val="100000000000" w:firstRow="1" w:lastRow="0" w:firstColumn="0" w:lastColumn="0" w:oddVBand="0" w:evenVBand="0" w:oddHBand="0" w:evenHBand="0" w:firstRowFirstColumn="0" w:firstRowLastColumn="0" w:lastRowFirstColumn="0" w:lastRowLastColumn="0"/>
          <w:trHeight w:val="170"/>
        </w:trPr>
        <w:tc>
          <w:tcPr>
            <w:tcW w:w="3707" w:type="pct"/>
            <w:noWrap/>
          </w:tcPr>
          <w:p w14:paraId="76257405" w14:textId="77777777" w:rsidR="0050196F" w:rsidRPr="00097FC8" w:rsidRDefault="0050196F" w:rsidP="006D77AA">
            <w:pPr>
              <w:pStyle w:val="ARGrantstablecolhead"/>
            </w:pPr>
            <w:r w:rsidRPr="003A2786">
              <w:t>Organisation</w:t>
            </w:r>
          </w:p>
        </w:tc>
        <w:tc>
          <w:tcPr>
            <w:tcW w:w="1293" w:type="pct"/>
            <w:noWrap/>
          </w:tcPr>
          <w:p w14:paraId="15E0DBB4" w14:textId="77777777" w:rsidR="0050196F" w:rsidRPr="003A2786" w:rsidRDefault="0050196F" w:rsidP="006D77AA">
            <w:pPr>
              <w:pStyle w:val="ARGrantstablecolheadright"/>
            </w:pPr>
            <w:r w:rsidRPr="00097FC8">
              <w:t>Payment</w:t>
            </w:r>
            <w:r w:rsidRPr="003A2786">
              <w:t xml:space="preserve"> ($)</w:t>
            </w:r>
          </w:p>
        </w:tc>
      </w:tr>
      <w:tr w:rsidR="0050196F" w:rsidRPr="00B6199F" w14:paraId="1414D7A4" w14:textId="77777777" w:rsidTr="00DB5974">
        <w:trPr>
          <w:trHeight w:val="170"/>
        </w:trPr>
        <w:tc>
          <w:tcPr>
            <w:tcW w:w="3707" w:type="pct"/>
            <w:noWrap/>
            <w:hideMark/>
          </w:tcPr>
          <w:p w14:paraId="73F25BEF" w14:textId="77777777" w:rsidR="0050196F" w:rsidRPr="00B6199F" w:rsidRDefault="0050196F" w:rsidP="00C347FD">
            <w:pPr>
              <w:pStyle w:val="ARGrantstabletext"/>
              <w:rPr>
                <w:highlight w:val="cyan"/>
              </w:rPr>
            </w:pPr>
            <w:r>
              <w:t>AGAPI Care Inc</w:t>
            </w:r>
          </w:p>
        </w:tc>
        <w:tc>
          <w:tcPr>
            <w:tcW w:w="1293" w:type="pct"/>
            <w:noWrap/>
            <w:hideMark/>
          </w:tcPr>
          <w:p w14:paraId="33BDD157" w14:textId="1BCC6ABE" w:rsidR="0050196F" w:rsidRPr="00B6199F" w:rsidRDefault="0050196F" w:rsidP="00EB1291">
            <w:pPr>
              <w:pStyle w:val="ARGrantstabletextright"/>
              <w:rPr>
                <w:highlight w:val="cyan"/>
              </w:rPr>
            </w:pPr>
            <w:r>
              <w:t>50,000</w:t>
            </w:r>
          </w:p>
        </w:tc>
      </w:tr>
      <w:tr w:rsidR="0050196F" w:rsidRPr="00B6199F" w14:paraId="6002715E" w14:textId="77777777" w:rsidTr="00DB5974">
        <w:trPr>
          <w:trHeight w:val="170"/>
        </w:trPr>
        <w:tc>
          <w:tcPr>
            <w:tcW w:w="3707" w:type="pct"/>
            <w:noWrap/>
            <w:hideMark/>
          </w:tcPr>
          <w:p w14:paraId="7EA16AAB" w14:textId="3D233B7A" w:rsidR="0050196F" w:rsidRPr="00B6199F" w:rsidRDefault="0050196F" w:rsidP="00EB1291">
            <w:pPr>
              <w:pStyle w:val="ARGrantstabletext"/>
              <w:rPr>
                <w:highlight w:val="cyan"/>
              </w:rPr>
            </w:pPr>
            <w:r>
              <w:t>Alamein Neighbourhood &amp; Learning</w:t>
            </w:r>
            <w:r w:rsidR="00923BCB">
              <w:t> </w:t>
            </w:r>
            <w:r>
              <w:t>Centre</w:t>
            </w:r>
          </w:p>
        </w:tc>
        <w:tc>
          <w:tcPr>
            <w:tcW w:w="1293" w:type="pct"/>
            <w:noWrap/>
            <w:hideMark/>
          </w:tcPr>
          <w:p w14:paraId="118615E3" w14:textId="162CFB1D" w:rsidR="0050196F" w:rsidRPr="00B6199F" w:rsidRDefault="0050196F" w:rsidP="00EB1291">
            <w:pPr>
              <w:pStyle w:val="ARGrantstabletextright"/>
              <w:rPr>
                <w:highlight w:val="cyan"/>
              </w:rPr>
            </w:pPr>
            <w:r>
              <w:t>80,000</w:t>
            </w:r>
          </w:p>
        </w:tc>
      </w:tr>
      <w:tr w:rsidR="0050196F" w:rsidRPr="00B6199F" w14:paraId="59866268" w14:textId="77777777" w:rsidTr="00DB5974">
        <w:trPr>
          <w:trHeight w:val="170"/>
        </w:trPr>
        <w:tc>
          <w:tcPr>
            <w:tcW w:w="3707" w:type="pct"/>
            <w:noWrap/>
            <w:hideMark/>
          </w:tcPr>
          <w:p w14:paraId="58C3FD10" w14:textId="1EB1CC08" w:rsidR="0050196F" w:rsidRPr="00B6199F" w:rsidRDefault="0050196F" w:rsidP="00C347FD">
            <w:pPr>
              <w:pStyle w:val="ARGrantstabletext"/>
              <w:rPr>
                <w:highlight w:val="cyan"/>
              </w:rPr>
            </w:pPr>
            <w:r>
              <w:t>Albury Wodonga Volunteer Resource</w:t>
            </w:r>
            <w:r w:rsidR="00923BCB">
              <w:t> </w:t>
            </w:r>
            <w:r>
              <w:t>Bureau</w:t>
            </w:r>
          </w:p>
        </w:tc>
        <w:tc>
          <w:tcPr>
            <w:tcW w:w="1293" w:type="pct"/>
            <w:noWrap/>
            <w:hideMark/>
          </w:tcPr>
          <w:p w14:paraId="71D02773" w14:textId="1EAFD4A3" w:rsidR="0050196F" w:rsidRPr="00B6199F" w:rsidRDefault="0050196F" w:rsidP="00EB1291">
            <w:pPr>
              <w:pStyle w:val="ARGrantstabletextright"/>
              <w:rPr>
                <w:highlight w:val="cyan"/>
              </w:rPr>
            </w:pPr>
            <w:r>
              <w:t>50,000</w:t>
            </w:r>
          </w:p>
        </w:tc>
      </w:tr>
      <w:tr w:rsidR="0050196F" w:rsidRPr="00B6199F" w14:paraId="4E800DEA" w14:textId="77777777" w:rsidTr="00DB5974">
        <w:trPr>
          <w:trHeight w:val="170"/>
        </w:trPr>
        <w:tc>
          <w:tcPr>
            <w:tcW w:w="3707" w:type="pct"/>
            <w:noWrap/>
            <w:hideMark/>
          </w:tcPr>
          <w:p w14:paraId="137A24E6" w14:textId="69C2E58A" w:rsidR="0050196F" w:rsidRPr="00B6199F" w:rsidRDefault="0050196F" w:rsidP="00C347FD">
            <w:pPr>
              <w:pStyle w:val="ARGrantstabletext"/>
              <w:rPr>
                <w:highlight w:val="cyan"/>
              </w:rPr>
            </w:pPr>
            <w:r>
              <w:t xml:space="preserve">Albury Wodonga Woodcrafters </w:t>
            </w:r>
            <w:r w:rsidR="003B5B30">
              <w:t>Inc</w:t>
            </w:r>
          </w:p>
        </w:tc>
        <w:tc>
          <w:tcPr>
            <w:tcW w:w="1293" w:type="pct"/>
            <w:noWrap/>
            <w:hideMark/>
          </w:tcPr>
          <w:p w14:paraId="4FE63B5C" w14:textId="5A7D33D3" w:rsidR="0050196F" w:rsidRPr="00B6199F" w:rsidRDefault="0050196F" w:rsidP="00EB1291">
            <w:pPr>
              <w:pStyle w:val="ARGrantstabletextright"/>
              <w:rPr>
                <w:highlight w:val="cyan"/>
              </w:rPr>
            </w:pPr>
            <w:r>
              <w:t>19,500</w:t>
            </w:r>
          </w:p>
        </w:tc>
      </w:tr>
      <w:tr w:rsidR="0050196F" w:rsidRPr="00B6199F" w14:paraId="5EE0C326" w14:textId="77777777" w:rsidTr="00DB5974">
        <w:trPr>
          <w:trHeight w:val="170"/>
        </w:trPr>
        <w:tc>
          <w:tcPr>
            <w:tcW w:w="3707" w:type="pct"/>
            <w:noWrap/>
            <w:hideMark/>
          </w:tcPr>
          <w:p w14:paraId="21A2AD84" w14:textId="77777777" w:rsidR="0050196F" w:rsidRPr="00B6199F" w:rsidRDefault="0050196F" w:rsidP="00C347FD">
            <w:pPr>
              <w:pStyle w:val="ARGrantstabletext"/>
              <w:rPr>
                <w:highlight w:val="cyan"/>
              </w:rPr>
            </w:pPr>
            <w:r>
              <w:t>Alphington Community Centre</w:t>
            </w:r>
          </w:p>
        </w:tc>
        <w:tc>
          <w:tcPr>
            <w:tcW w:w="1293" w:type="pct"/>
            <w:noWrap/>
            <w:hideMark/>
          </w:tcPr>
          <w:p w14:paraId="78E75CD1" w14:textId="0C27B3F9" w:rsidR="0050196F" w:rsidRPr="00B6199F" w:rsidRDefault="0050196F" w:rsidP="00EB1291">
            <w:pPr>
              <w:pStyle w:val="ARGrantstabletextright"/>
              <w:rPr>
                <w:highlight w:val="cyan"/>
              </w:rPr>
            </w:pPr>
            <w:r>
              <w:t>110,000</w:t>
            </w:r>
          </w:p>
        </w:tc>
      </w:tr>
      <w:tr w:rsidR="0050196F" w:rsidRPr="00B6199F" w14:paraId="3FD38BC3" w14:textId="77777777" w:rsidTr="00DB5974">
        <w:trPr>
          <w:trHeight w:val="170"/>
        </w:trPr>
        <w:tc>
          <w:tcPr>
            <w:tcW w:w="3707" w:type="pct"/>
            <w:noWrap/>
            <w:hideMark/>
          </w:tcPr>
          <w:p w14:paraId="6FAB6124" w14:textId="77777777" w:rsidR="0050196F" w:rsidRPr="00B6199F" w:rsidRDefault="0050196F" w:rsidP="00C347FD">
            <w:pPr>
              <w:pStyle w:val="ARGrantstabletext"/>
              <w:rPr>
                <w:highlight w:val="cyan"/>
              </w:rPr>
            </w:pPr>
            <w:r>
              <w:t>Altona Miniature Railway Inc</w:t>
            </w:r>
          </w:p>
        </w:tc>
        <w:tc>
          <w:tcPr>
            <w:tcW w:w="1293" w:type="pct"/>
            <w:noWrap/>
            <w:hideMark/>
          </w:tcPr>
          <w:p w14:paraId="1CBAA834" w14:textId="6A300CBB" w:rsidR="0050196F" w:rsidRPr="00B6199F" w:rsidRDefault="0050196F" w:rsidP="00EB1291">
            <w:pPr>
              <w:pStyle w:val="ARGrantstabletextright"/>
              <w:rPr>
                <w:highlight w:val="cyan"/>
              </w:rPr>
            </w:pPr>
            <w:r>
              <w:t>9,999</w:t>
            </w:r>
          </w:p>
        </w:tc>
      </w:tr>
      <w:tr w:rsidR="0050196F" w:rsidRPr="00B6199F" w14:paraId="6B38DA08" w14:textId="77777777" w:rsidTr="00DB5974">
        <w:trPr>
          <w:trHeight w:val="170"/>
        </w:trPr>
        <w:tc>
          <w:tcPr>
            <w:tcW w:w="3707" w:type="pct"/>
            <w:noWrap/>
            <w:hideMark/>
          </w:tcPr>
          <w:p w14:paraId="31A58C83" w14:textId="77777777" w:rsidR="0050196F" w:rsidRPr="00B6199F" w:rsidRDefault="0050196F" w:rsidP="00C347FD">
            <w:pPr>
              <w:pStyle w:val="ARGrantstabletext"/>
              <w:rPr>
                <w:highlight w:val="cyan"/>
              </w:rPr>
            </w:pPr>
            <w:r>
              <w:t>Anglesea Community House</w:t>
            </w:r>
          </w:p>
        </w:tc>
        <w:tc>
          <w:tcPr>
            <w:tcW w:w="1293" w:type="pct"/>
            <w:noWrap/>
            <w:hideMark/>
          </w:tcPr>
          <w:p w14:paraId="370C3ACF" w14:textId="50654164" w:rsidR="0050196F" w:rsidRPr="00B6199F" w:rsidRDefault="0050196F" w:rsidP="00EB1291">
            <w:pPr>
              <w:pStyle w:val="ARGrantstabletextright"/>
              <w:rPr>
                <w:highlight w:val="cyan"/>
              </w:rPr>
            </w:pPr>
            <w:r>
              <w:t>60,000</w:t>
            </w:r>
          </w:p>
        </w:tc>
      </w:tr>
      <w:tr w:rsidR="0050196F" w:rsidRPr="00B6199F" w14:paraId="1956727F" w14:textId="77777777" w:rsidTr="00DB5974">
        <w:trPr>
          <w:trHeight w:val="73"/>
        </w:trPr>
        <w:tc>
          <w:tcPr>
            <w:tcW w:w="3707" w:type="pct"/>
            <w:noWrap/>
            <w:hideMark/>
          </w:tcPr>
          <w:p w14:paraId="7F116601" w14:textId="77777777" w:rsidR="0050196F" w:rsidRPr="00B6199F" w:rsidRDefault="0050196F" w:rsidP="00C347FD">
            <w:pPr>
              <w:pStyle w:val="ARGrantstabletext"/>
              <w:rPr>
                <w:highlight w:val="cyan"/>
              </w:rPr>
            </w:pPr>
            <w:r>
              <w:t>Asian Business Association of Wyndham</w:t>
            </w:r>
          </w:p>
        </w:tc>
        <w:tc>
          <w:tcPr>
            <w:tcW w:w="1293" w:type="pct"/>
            <w:noWrap/>
            <w:hideMark/>
          </w:tcPr>
          <w:p w14:paraId="5983335E" w14:textId="03638405" w:rsidR="0050196F" w:rsidRPr="00B6199F" w:rsidRDefault="0050196F" w:rsidP="00EB1291">
            <w:pPr>
              <w:pStyle w:val="ARGrantstabletextright"/>
              <w:rPr>
                <w:highlight w:val="cyan"/>
              </w:rPr>
            </w:pPr>
            <w:r>
              <w:t>50,000</w:t>
            </w:r>
          </w:p>
        </w:tc>
      </w:tr>
      <w:tr w:rsidR="0050196F" w:rsidRPr="00B6199F" w14:paraId="0A776A61" w14:textId="77777777" w:rsidTr="00DB5974">
        <w:trPr>
          <w:trHeight w:val="170"/>
        </w:trPr>
        <w:tc>
          <w:tcPr>
            <w:tcW w:w="3707" w:type="pct"/>
            <w:noWrap/>
            <w:hideMark/>
          </w:tcPr>
          <w:p w14:paraId="24732158" w14:textId="74ECDECF" w:rsidR="0050196F" w:rsidRPr="00B6199F" w:rsidRDefault="0050196F" w:rsidP="00C347FD">
            <w:pPr>
              <w:pStyle w:val="ARGrantstabletext"/>
              <w:rPr>
                <w:highlight w:val="cyan"/>
              </w:rPr>
            </w:pPr>
            <w:r>
              <w:t>Badger Creek and District Men</w:t>
            </w:r>
            <w:r w:rsidR="00711AE6">
              <w:t>’</w:t>
            </w:r>
            <w:r>
              <w:t>s Shed</w:t>
            </w:r>
            <w:r w:rsidR="00923BCB">
              <w:t> </w:t>
            </w:r>
            <w:r>
              <w:t>Inc</w:t>
            </w:r>
          </w:p>
        </w:tc>
        <w:tc>
          <w:tcPr>
            <w:tcW w:w="1293" w:type="pct"/>
            <w:noWrap/>
            <w:hideMark/>
          </w:tcPr>
          <w:p w14:paraId="6FD2F113" w14:textId="77777777" w:rsidR="0050196F" w:rsidRPr="00B6199F" w:rsidRDefault="0050196F" w:rsidP="00EB1291">
            <w:pPr>
              <w:pStyle w:val="ARGrantstabletextright"/>
              <w:rPr>
                <w:highlight w:val="cyan"/>
              </w:rPr>
            </w:pPr>
            <w:r>
              <w:t>7,648</w:t>
            </w:r>
          </w:p>
        </w:tc>
      </w:tr>
      <w:tr w:rsidR="0050196F" w:rsidRPr="00B6199F" w14:paraId="7A862DAF" w14:textId="77777777" w:rsidTr="00DB5974">
        <w:trPr>
          <w:trHeight w:val="170"/>
        </w:trPr>
        <w:tc>
          <w:tcPr>
            <w:tcW w:w="3707" w:type="pct"/>
            <w:noWrap/>
            <w:hideMark/>
          </w:tcPr>
          <w:p w14:paraId="2238C41C" w14:textId="3E2C98D2" w:rsidR="0050196F" w:rsidRPr="00B6199F" w:rsidRDefault="0050196F" w:rsidP="00C347FD">
            <w:pPr>
              <w:pStyle w:val="ARGrantstabletext"/>
              <w:rPr>
                <w:highlight w:val="cyan"/>
              </w:rPr>
            </w:pPr>
            <w:r>
              <w:t>Ballarat East Community Men</w:t>
            </w:r>
            <w:r w:rsidR="00711AE6">
              <w:t>’</w:t>
            </w:r>
            <w:r>
              <w:t>s Shed</w:t>
            </w:r>
          </w:p>
        </w:tc>
        <w:tc>
          <w:tcPr>
            <w:tcW w:w="1293" w:type="pct"/>
            <w:noWrap/>
            <w:hideMark/>
          </w:tcPr>
          <w:p w14:paraId="76C83AD6" w14:textId="77777777" w:rsidR="0050196F" w:rsidRPr="00B6199F" w:rsidRDefault="0050196F" w:rsidP="00EB1291">
            <w:pPr>
              <w:pStyle w:val="ARGrantstabletextright"/>
              <w:rPr>
                <w:highlight w:val="cyan"/>
              </w:rPr>
            </w:pPr>
            <w:r>
              <w:t>64,480</w:t>
            </w:r>
          </w:p>
        </w:tc>
      </w:tr>
      <w:tr w:rsidR="0050196F" w:rsidRPr="00B6199F" w14:paraId="1A610373" w14:textId="77777777" w:rsidTr="00DB5974">
        <w:trPr>
          <w:trHeight w:val="170"/>
        </w:trPr>
        <w:tc>
          <w:tcPr>
            <w:tcW w:w="3707" w:type="pct"/>
            <w:noWrap/>
            <w:hideMark/>
          </w:tcPr>
          <w:p w14:paraId="08937BDA" w14:textId="77777777" w:rsidR="0050196F" w:rsidRPr="00B6199F" w:rsidRDefault="0050196F" w:rsidP="00C347FD">
            <w:pPr>
              <w:pStyle w:val="ARGrantstabletext"/>
              <w:rPr>
                <w:highlight w:val="cyan"/>
              </w:rPr>
            </w:pPr>
            <w:r>
              <w:t>Ballarat Foundation United Way Inc</w:t>
            </w:r>
          </w:p>
        </w:tc>
        <w:tc>
          <w:tcPr>
            <w:tcW w:w="1293" w:type="pct"/>
            <w:noWrap/>
            <w:hideMark/>
          </w:tcPr>
          <w:p w14:paraId="1D03159E" w14:textId="77777777" w:rsidR="0050196F" w:rsidRPr="00B6199F" w:rsidRDefault="0050196F" w:rsidP="00EB1291">
            <w:pPr>
              <w:pStyle w:val="ARGrantstabletextright"/>
              <w:rPr>
                <w:highlight w:val="cyan"/>
              </w:rPr>
            </w:pPr>
            <w:r>
              <w:t>75,000</w:t>
            </w:r>
          </w:p>
        </w:tc>
      </w:tr>
      <w:tr w:rsidR="0050196F" w:rsidRPr="00B6199F" w14:paraId="746BD93B" w14:textId="77777777" w:rsidTr="00DB5974">
        <w:trPr>
          <w:trHeight w:val="170"/>
        </w:trPr>
        <w:tc>
          <w:tcPr>
            <w:tcW w:w="3707" w:type="pct"/>
            <w:noWrap/>
            <w:hideMark/>
          </w:tcPr>
          <w:p w14:paraId="16CE1D55" w14:textId="77777777" w:rsidR="0050196F" w:rsidRPr="00B6199F" w:rsidRDefault="0050196F" w:rsidP="00C347FD">
            <w:pPr>
              <w:pStyle w:val="ARGrantstabletext"/>
              <w:rPr>
                <w:highlight w:val="cyan"/>
              </w:rPr>
            </w:pPr>
            <w:r>
              <w:t>Ballarat Neighbourhood Centre</w:t>
            </w:r>
          </w:p>
        </w:tc>
        <w:tc>
          <w:tcPr>
            <w:tcW w:w="1293" w:type="pct"/>
            <w:noWrap/>
            <w:hideMark/>
          </w:tcPr>
          <w:p w14:paraId="7C481573" w14:textId="77777777" w:rsidR="0050196F" w:rsidRPr="00B6199F" w:rsidRDefault="0050196F" w:rsidP="00EB1291">
            <w:pPr>
              <w:pStyle w:val="ARGrantstabletextright"/>
              <w:rPr>
                <w:highlight w:val="cyan"/>
              </w:rPr>
            </w:pPr>
            <w:r>
              <w:t>80,000</w:t>
            </w:r>
          </w:p>
        </w:tc>
      </w:tr>
      <w:tr w:rsidR="0050196F" w:rsidRPr="00B6199F" w14:paraId="112F4421" w14:textId="77777777" w:rsidTr="00DB5974">
        <w:trPr>
          <w:trHeight w:val="170"/>
        </w:trPr>
        <w:tc>
          <w:tcPr>
            <w:tcW w:w="3707" w:type="pct"/>
            <w:noWrap/>
            <w:hideMark/>
          </w:tcPr>
          <w:p w14:paraId="6879A165" w14:textId="2F3704EF" w:rsidR="0050196F" w:rsidRPr="00B6199F" w:rsidRDefault="0050196F" w:rsidP="00C347FD">
            <w:pPr>
              <w:pStyle w:val="ARGrantstabletext"/>
              <w:rPr>
                <w:highlight w:val="cyan"/>
              </w:rPr>
            </w:pPr>
            <w:r>
              <w:t>Banyule Support and Information Centre</w:t>
            </w:r>
            <w:r w:rsidR="00923BCB">
              <w:t> </w:t>
            </w:r>
            <w:r>
              <w:t>Inc</w:t>
            </w:r>
          </w:p>
        </w:tc>
        <w:tc>
          <w:tcPr>
            <w:tcW w:w="1293" w:type="pct"/>
            <w:noWrap/>
            <w:hideMark/>
          </w:tcPr>
          <w:p w14:paraId="1D318E5D" w14:textId="77777777" w:rsidR="0050196F" w:rsidRPr="00B6199F" w:rsidRDefault="0050196F" w:rsidP="00EB1291">
            <w:pPr>
              <w:pStyle w:val="ARGrantstabletextright"/>
              <w:rPr>
                <w:highlight w:val="cyan"/>
              </w:rPr>
            </w:pPr>
            <w:r>
              <w:t>5,000</w:t>
            </w:r>
          </w:p>
        </w:tc>
      </w:tr>
      <w:tr w:rsidR="0050196F" w:rsidRPr="00B6199F" w14:paraId="45481F4F" w14:textId="77777777" w:rsidTr="00DB5974">
        <w:trPr>
          <w:trHeight w:val="170"/>
        </w:trPr>
        <w:tc>
          <w:tcPr>
            <w:tcW w:w="3707" w:type="pct"/>
            <w:noWrap/>
            <w:hideMark/>
          </w:tcPr>
          <w:p w14:paraId="5D555E42" w14:textId="77777777" w:rsidR="0050196F" w:rsidRPr="00B6199F" w:rsidRDefault="0050196F" w:rsidP="00C347FD">
            <w:pPr>
              <w:pStyle w:val="ARGrantstabletext"/>
              <w:rPr>
                <w:highlight w:val="cyan"/>
              </w:rPr>
            </w:pPr>
            <w:r>
              <w:t>Benambra Neighbourhood House</w:t>
            </w:r>
          </w:p>
        </w:tc>
        <w:tc>
          <w:tcPr>
            <w:tcW w:w="1293" w:type="pct"/>
            <w:noWrap/>
            <w:hideMark/>
          </w:tcPr>
          <w:p w14:paraId="2F0DF3A0" w14:textId="77777777" w:rsidR="0050196F" w:rsidRPr="00B6199F" w:rsidRDefault="0050196F" w:rsidP="00EB1291">
            <w:pPr>
              <w:pStyle w:val="ARGrantstabletextright"/>
              <w:rPr>
                <w:highlight w:val="cyan"/>
              </w:rPr>
            </w:pPr>
            <w:r>
              <w:t>100,000</w:t>
            </w:r>
          </w:p>
        </w:tc>
      </w:tr>
      <w:tr w:rsidR="0050196F" w:rsidRPr="00B6199F" w14:paraId="1285E643" w14:textId="77777777" w:rsidTr="00DB5974">
        <w:trPr>
          <w:trHeight w:val="170"/>
        </w:trPr>
        <w:tc>
          <w:tcPr>
            <w:tcW w:w="3707" w:type="pct"/>
            <w:noWrap/>
            <w:hideMark/>
          </w:tcPr>
          <w:p w14:paraId="7AE5FFE6" w14:textId="77777777" w:rsidR="0050196F" w:rsidRPr="00B6199F" w:rsidRDefault="0050196F" w:rsidP="00C347FD">
            <w:pPr>
              <w:pStyle w:val="ARGrantstabletext"/>
              <w:rPr>
                <w:highlight w:val="cyan"/>
              </w:rPr>
            </w:pPr>
            <w:r>
              <w:t>Big Group Hug</w:t>
            </w:r>
          </w:p>
        </w:tc>
        <w:tc>
          <w:tcPr>
            <w:tcW w:w="1293" w:type="pct"/>
            <w:noWrap/>
            <w:hideMark/>
          </w:tcPr>
          <w:p w14:paraId="64971177" w14:textId="77777777" w:rsidR="0050196F" w:rsidRPr="00B6199F" w:rsidRDefault="0050196F" w:rsidP="00EB1291">
            <w:pPr>
              <w:pStyle w:val="ARGrantstabletextright"/>
              <w:rPr>
                <w:highlight w:val="cyan"/>
              </w:rPr>
            </w:pPr>
            <w:r>
              <w:t>100,000</w:t>
            </w:r>
          </w:p>
        </w:tc>
      </w:tr>
      <w:tr w:rsidR="0050196F" w:rsidRPr="00B6199F" w14:paraId="42193387" w14:textId="77777777" w:rsidTr="00DB5974">
        <w:trPr>
          <w:trHeight w:val="170"/>
        </w:trPr>
        <w:tc>
          <w:tcPr>
            <w:tcW w:w="3707" w:type="pct"/>
            <w:noWrap/>
            <w:hideMark/>
          </w:tcPr>
          <w:p w14:paraId="35DF5EA0" w14:textId="77777777" w:rsidR="0050196F" w:rsidRPr="00B6199F" w:rsidRDefault="0050196F" w:rsidP="00C347FD">
            <w:pPr>
              <w:pStyle w:val="ARGrantstabletext"/>
              <w:rPr>
                <w:highlight w:val="cyan"/>
              </w:rPr>
            </w:pPr>
            <w:r>
              <w:t>BK 2 Basics Melbourne Incorporated</w:t>
            </w:r>
          </w:p>
        </w:tc>
        <w:tc>
          <w:tcPr>
            <w:tcW w:w="1293" w:type="pct"/>
            <w:noWrap/>
            <w:hideMark/>
          </w:tcPr>
          <w:p w14:paraId="553DE223" w14:textId="77777777" w:rsidR="0050196F" w:rsidRPr="00B6199F" w:rsidRDefault="0050196F" w:rsidP="00EB1291">
            <w:pPr>
              <w:pStyle w:val="ARGrantstabletextright"/>
              <w:rPr>
                <w:highlight w:val="cyan"/>
              </w:rPr>
            </w:pPr>
            <w:r>
              <w:t>100,000</w:t>
            </w:r>
          </w:p>
        </w:tc>
      </w:tr>
      <w:tr w:rsidR="0050196F" w:rsidRPr="00B6199F" w14:paraId="4E143B02" w14:textId="77777777" w:rsidTr="00DB5974">
        <w:trPr>
          <w:trHeight w:val="170"/>
        </w:trPr>
        <w:tc>
          <w:tcPr>
            <w:tcW w:w="3707" w:type="pct"/>
            <w:noWrap/>
            <w:hideMark/>
          </w:tcPr>
          <w:p w14:paraId="5BDAA193" w14:textId="77777777" w:rsidR="0050196F" w:rsidRPr="00B6199F" w:rsidRDefault="0050196F" w:rsidP="00C347FD">
            <w:pPr>
              <w:pStyle w:val="ARGrantstabletext"/>
              <w:rPr>
                <w:highlight w:val="cyan"/>
              </w:rPr>
            </w:pPr>
            <w:r>
              <w:t>Bluebird Foundation</w:t>
            </w:r>
          </w:p>
        </w:tc>
        <w:tc>
          <w:tcPr>
            <w:tcW w:w="1293" w:type="pct"/>
            <w:noWrap/>
            <w:hideMark/>
          </w:tcPr>
          <w:p w14:paraId="6D7574F1" w14:textId="77777777" w:rsidR="0050196F" w:rsidRPr="00B6199F" w:rsidRDefault="0050196F" w:rsidP="00EB1291">
            <w:pPr>
              <w:pStyle w:val="ARGrantstabletextright"/>
              <w:rPr>
                <w:highlight w:val="cyan"/>
              </w:rPr>
            </w:pPr>
            <w:r>
              <w:t>100,000</w:t>
            </w:r>
          </w:p>
        </w:tc>
      </w:tr>
      <w:tr w:rsidR="0050196F" w:rsidRPr="00B6199F" w14:paraId="33768403" w14:textId="77777777" w:rsidTr="00DB5974">
        <w:trPr>
          <w:trHeight w:val="170"/>
        </w:trPr>
        <w:tc>
          <w:tcPr>
            <w:tcW w:w="3707" w:type="pct"/>
            <w:noWrap/>
            <w:hideMark/>
          </w:tcPr>
          <w:p w14:paraId="7928A67F" w14:textId="77777777" w:rsidR="0050196F" w:rsidRPr="00B6199F" w:rsidRDefault="0050196F" w:rsidP="00C347FD">
            <w:pPr>
              <w:pStyle w:val="ARGrantstabletext"/>
              <w:rPr>
                <w:highlight w:val="cyan"/>
              </w:rPr>
            </w:pPr>
            <w:r>
              <w:t>Box Hill Baptist Church</w:t>
            </w:r>
          </w:p>
        </w:tc>
        <w:tc>
          <w:tcPr>
            <w:tcW w:w="1293" w:type="pct"/>
            <w:noWrap/>
            <w:hideMark/>
          </w:tcPr>
          <w:p w14:paraId="2788501F" w14:textId="77777777" w:rsidR="0050196F" w:rsidRPr="00B6199F" w:rsidRDefault="0050196F" w:rsidP="00EB1291">
            <w:pPr>
              <w:pStyle w:val="ARGrantstabletextright"/>
              <w:rPr>
                <w:highlight w:val="cyan"/>
              </w:rPr>
            </w:pPr>
            <w:r>
              <w:t>9,134</w:t>
            </w:r>
          </w:p>
        </w:tc>
      </w:tr>
      <w:tr w:rsidR="0050196F" w:rsidRPr="00B6199F" w14:paraId="3999F919" w14:textId="77777777" w:rsidTr="00DB5974">
        <w:trPr>
          <w:trHeight w:val="170"/>
        </w:trPr>
        <w:tc>
          <w:tcPr>
            <w:tcW w:w="3707" w:type="pct"/>
            <w:noWrap/>
            <w:hideMark/>
          </w:tcPr>
          <w:p w14:paraId="64B33D41" w14:textId="77777777" w:rsidR="0050196F" w:rsidRPr="00B6199F" w:rsidRDefault="0050196F" w:rsidP="00C347FD">
            <w:pPr>
              <w:pStyle w:val="ARGrantstabletext"/>
              <w:rPr>
                <w:highlight w:val="cyan"/>
              </w:rPr>
            </w:pPr>
            <w:r>
              <w:t>Central Ringwood Community Centre</w:t>
            </w:r>
          </w:p>
        </w:tc>
        <w:tc>
          <w:tcPr>
            <w:tcW w:w="1293" w:type="pct"/>
            <w:noWrap/>
            <w:hideMark/>
          </w:tcPr>
          <w:p w14:paraId="4B41E278" w14:textId="77777777" w:rsidR="0050196F" w:rsidRPr="00B6199F" w:rsidRDefault="0050196F" w:rsidP="00EB1291">
            <w:pPr>
              <w:pStyle w:val="ARGrantstabletextright"/>
              <w:rPr>
                <w:highlight w:val="cyan"/>
              </w:rPr>
            </w:pPr>
            <w:r>
              <w:t>50,000</w:t>
            </w:r>
          </w:p>
        </w:tc>
      </w:tr>
      <w:tr w:rsidR="0050196F" w:rsidRPr="00B6199F" w14:paraId="6F2F0AEC" w14:textId="77777777" w:rsidTr="00DB5974">
        <w:trPr>
          <w:trHeight w:val="170"/>
        </w:trPr>
        <w:tc>
          <w:tcPr>
            <w:tcW w:w="3707" w:type="pct"/>
            <w:noWrap/>
            <w:hideMark/>
          </w:tcPr>
          <w:p w14:paraId="62F61650" w14:textId="77777777" w:rsidR="0050196F" w:rsidRPr="00B6199F" w:rsidRDefault="0050196F" w:rsidP="00C347FD">
            <w:pPr>
              <w:pStyle w:val="ARGrantstabletext"/>
              <w:rPr>
                <w:highlight w:val="cyan"/>
              </w:rPr>
            </w:pPr>
            <w:r>
              <w:t>Centre for Participation</w:t>
            </w:r>
          </w:p>
        </w:tc>
        <w:tc>
          <w:tcPr>
            <w:tcW w:w="1293" w:type="pct"/>
            <w:noWrap/>
            <w:hideMark/>
          </w:tcPr>
          <w:p w14:paraId="15C2D9ED" w14:textId="77777777" w:rsidR="0050196F" w:rsidRPr="00B6199F" w:rsidRDefault="0050196F" w:rsidP="00EB1291">
            <w:pPr>
              <w:pStyle w:val="ARGrantstabletextright"/>
              <w:rPr>
                <w:highlight w:val="cyan"/>
              </w:rPr>
            </w:pPr>
            <w:r>
              <w:t>100,000</w:t>
            </w:r>
          </w:p>
        </w:tc>
      </w:tr>
      <w:tr w:rsidR="0050196F" w:rsidRPr="00B6199F" w14:paraId="3C856E16" w14:textId="77777777" w:rsidTr="00DB5974">
        <w:trPr>
          <w:trHeight w:val="170"/>
        </w:trPr>
        <w:tc>
          <w:tcPr>
            <w:tcW w:w="3707" w:type="pct"/>
            <w:noWrap/>
            <w:hideMark/>
          </w:tcPr>
          <w:p w14:paraId="7AC2F7EB" w14:textId="4FEF803D" w:rsidR="0050196F" w:rsidRPr="00B6199F" w:rsidRDefault="0050196F" w:rsidP="00C347FD">
            <w:pPr>
              <w:pStyle w:val="ARGrantstabletext"/>
              <w:rPr>
                <w:highlight w:val="cyan"/>
              </w:rPr>
            </w:pPr>
            <w:r>
              <w:t xml:space="preserve">Cobden District Health Service </w:t>
            </w:r>
            <w:r w:rsidR="003B5B30">
              <w:t>Inc</w:t>
            </w:r>
          </w:p>
        </w:tc>
        <w:tc>
          <w:tcPr>
            <w:tcW w:w="1293" w:type="pct"/>
            <w:noWrap/>
            <w:hideMark/>
          </w:tcPr>
          <w:p w14:paraId="24ADD9B3" w14:textId="77777777" w:rsidR="0050196F" w:rsidRPr="00B6199F" w:rsidRDefault="0050196F" w:rsidP="00EB1291">
            <w:pPr>
              <w:pStyle w:val="ARGrantstabletextright"/>
              <w:rPr>
                <w:highlight w:val="cyan"/>
              </w:rPr>
            </w:pPr>
            <w:r>
              <w:t>12,189</w:t>
            </w:r>
          </w:p>
        </w:tc>
      </w:tr>
      <w:tr w:rsidR="0050196F" w:rsidRPr="00B6199F" w14:paraId="5D857F67" w14:textId="77777777" w:rsidTr="00DB5974">
        <w:trPr>
          <w:trHeight w:val="170"/>
        </w:trPr>
        <w:tc>
          <w:tcPr>
            <w:tcW w:w="3707" w:type="pct"/>
            <w:noWrap/>
            <w:hideMark/>
          </w:tcPr>
          <w:p w14:paraId="65DD1576" w14:textId="619DACC6" w:rsidR="0050196F" w:rsidRPr="00B6199F" w:rsidRDefault="0050196F" w:rsidP="00C347FD">
            <w:pPr>
              <w:pStyle w:val="ARGrantstabletext"/>
              <w:rPr>
                <w:highlight w:val="cyan"/>
              </w:rPr>
            </w:pPr>
            <w:r>
              <w:t>Cohuna Neighbourhood House</w:t>
            </w:r>
            <w:r w:rsidR="00923BCB">
              <w:t> </w:t>
            </w:r>
            <w:r>
              <w:t>Incorporated</w:t>
            </w:r>
          </w:p>
        </w:tc>
        <w:tc>
          <w:tcPr>
            <w:tcW w:w="1293" w:type="pct"/>
            <w:noWrap/>
            <w:hideMark/>
          </w:tcPr>
          <w:p w14:paraId="6D8D370A" w14:textId="77777777" w:rsidR="0050196F" w:rsidRPr="00B6199F" w:rsidRDefault="0050196F" w:rsidP="00EB1291">
            <w:pPr>
              <w:pStyle w:val="ARGrantstabletextright"/>
              <w:rPr>
                <w:highlight w:val="cyan"/>
              </w:rPr>
            </w:pPr>
            <w:r>
              <w:t>4,840</w:t>
            </w:r>
          </w:p>
        </w:tc>
      </w:tr>
      <w:tr w:rsidR="0050196F" w:rsidRPr="00B6199F" w14:paraId="0150EE27" w14:textId="77777777" w:rsidTr="00DB5974">
        <w:trPr>
          <w:trHeight w:val="170"/>
        </w:trPr>
        <w:tc>
          <w:tcPr>
            <w:tcW w:w="3707" w:type="pct"/>
            <w:noWrap/>
            <w:hideMark/>
          </w:tcPr>
          <w:p w14:paraId="65758D86" w14:textId="422644CF" w:rsidR="0050196F" w:rsidRPr="00E64C24" w:rsidRDefault="0050196F" w:rsidP="00C347FD">
            <w:pPr>
              <w:pStyle w:val="ARGrantstabletext"/>
              <w:rPr>
                <w:spacing w:val="-4"/>
                <w:highlight w:val="cyan"/>
              </w:rPr>
            </w:pPr>
            <w:r w:rsidRPr="00E64C24">
              <w:rPr>
                <w:spacing w:val="-4"/>
              </w:rPr>
              <w:t>Community House Network Southern</w:t>
            </w:r>
            <w:r w:rsidR="00923BCB" w:rsidRPr="00E64C24">
              <w:rPr>
                <w:spacing w:val="-4"/>
              </w:rPr>
              <w:t> </w:t>
            </w:r>
            <w:r w:rsidRPr="00E64C24">
              <w:rPr>
                <w:spacing w:val="-4"/>
              </w:rPr>
              <w:t>Region</w:t>
            </w:r>
            <w:r w:rsidR="006D77AA" w:rsidRPr="00E64C24">
              <w:rPr>
                <w:spacing w:val="-4"/>
              </w:rPr>
              <w:t> </w:t>
            </w:r>
            <w:r w:rsidR="00BF0C89" w:rsidRPr="00E64C24">
              <w:rPr>
                <w:spacing w:val="-4"/>
              </w:rPr>
              <w:t>I</w:t>
            </w:r>
            <w:r w:rsidRPr="00E64C24">
              <w:rPr>
                <w:spacing w:val="-4"/>
              </w:rPr>
              <w:t>nc</w:t>
            </w:r>
          </w:p>
        </w:tc>
        <w:tc>
          <w:tcPr>
            <w:tcW w:w="1293" w:type="pct"/>
            <w:noWrap/>
            <w:hideMark/>
          </w:tcPr>
          <w:p w14:paraId="69C3383A" w14:textId="77777777" w:rsidR="0050196F" w:rsidRPr="00B6199F" w:rsidRDefault="0050196F" w:rsidP="00EB1291">
            <w:pPr>
              <w:pStyle w:val="ARGrantstabletextright"/>
              <w:rPr>
                <w:highlight w:val="cyan"/>
              </w:rPr>
            </w:pPr>
            <w:r>
              <w:t>100,000</w:t>
            </w:r>
          </w:p>
        </w:tc>
      </w:tr>
      <w:tr w:rsidR="0050196F" w:rsidRPr="00B6199F" w14:paraId="6EC9BC11" w14:textId="77777777" w:rsidTr="00DB5974">
        <w:trPr>
          <w:trHeight w:val="170"/>
        </w:trPr>
        <w:tc>
          <w:tcPr>
            <w:tcW w:w="3707" w:type="pct"/>
            <w:noWrap/>
            <w:hideMark/>
          </w:tcPr>
          <w:p w14:paraId="18CD02EC" w14:textId="4C459FF9" w:rsidR="0050196F" w:rsidRPr="00B6199F" w:rsidRDefault="0050196F" w:rsidP="00C347FD">
            <w:pPr>
              <w:pStyle w:val="ARGrantstabletext"/>
              <w:rPr>
                <w:highlight w:val="cyan"/>
              </w:rPr>
            </w:pPr>
            <w:r>
              <w:t>Cranbourne Casey Men</w:t>
            </w:r>
            <w:r w:rsidR="00981E3A">
              <w:t>’</w:t>
            </w:r>
            <w:r>
              <w:t>s Shed</w:t>
            </w:r>
          </w:p>
        </w:tc>
        <w:tc>
          <w:tcPr>
            <w:tcW w:w="1293" w:type="pct"/>
            <w:noWrap/>
            <w:hideMark/>
          </w:tcPr>
          <w:p w14:paraId="0BF5C66B" w14:textId="77777777" w:rsidR="0050196F" w:rsidRPr="00B6199F" w:rsidRDefault="0050196F" w:rsidP="00EB1291">
            <w:pPr>
              <w:pStyle w:val="ARGrantstabletextright"/>
              <w:rPr>
                <w:highlight w:val="cyan"/>
              </w:rPr>
            </w:pPr>
            <w:r>
              <w:t>16,335</w:t>
            </w:r>
          </w:p>
        </w:tc>
      </w:tr>
      <w:tr w:rsidR="0050196F" w:rsidRPr="00B6199F" w14:paraId="6C927F19" w14:textId="77777777" w:rsidTr="00DB5974">
        <w:trPr>
          <w:trHeight w:val="170"/>
        </w:trPr>
        <w:tc>
          <w:tcPr>
            <w:tcW w:w="3707" w:type="pct"/>
            <w:noWrap/>
            <w:hideMark/>
          </w:tcPr>
          <w:p w14:paraId="4C40BB6B" w14:textId="77777777" w:rsidR="0050196F" w:rsidRPr="00B6199F" w:rsidRDefault="0050196F" w:rsidP="00C347FD">
            <w:pPr>
              <w:pStyle w:val="ARGrantstabletext"/>
              <w:rPr>
                <w:highlight w:val="cyan"/>
              </w:rPr>
            </w:pPr>
            <w:r>
              <w:t>Creeds Farm Living and Learning Centre</w:t>
            </w:r>
          </w:p>
        </w:tc>
        <w:tc>
          <w:tcPr>
            <w:tcW w:w="1293" w:type="pct"/>
            <w:noWrap/>
            <w:hideMark/>
          </w:tcPr>
          <w:p w14:paraId="6A62D501" w14:textId="77777777" w:rsidR="0050196F" w:rsidRPr="00B6199F" w:rsidRDefault="0050196F" w:rsidP="00EB1291">
            <w:pPr>
              <w:pStyle w:val="ARGrantstabletextright"/>
              <w:rPr>
                <w:highlight w:val="cyan"/>
              </w:rPr>
            </w:pPr>
            <w:r>
              <w:t>50,000</w:t>
            </w:r>
          </w:p>
        </w:tc>
      </w:tr>
      <w:tr w:rsidR="0050196F" w:rsidRPr="00B6199F" w14:paraId="02C9A265" w14:textId="77777777" w:rsidTr="00DB5974">
        <w:trPr>
          <w:trHeight w:val="170"/>
        </w:trPr>
        <w:tc>
          <w:tcPr>
            <w:tcW w:w="3707" w:type="pct"/>
            <w:noWrap/>
            <w:hideMark/>
          </w:tcPr>
          <w:p w14:paraId="4B22C5F6" w14:textId="77777777" w:rsidR="0050196F" w:rsidRPr="00B6199F" w:rsidRDefault="0050196F" w:rsidP="00C347FD">
            <w:pPr>
              <w:pStyle w:val="ARGrantstabletext"/>
              <w:rPr>
                <w:highlight w:val="cyan"/>
              </w:rPr>
            </w:pPr>
            <w:r>
              <w:t>Creswick Neighbourhood Centre INC</w:t>
            </w:r>
          </w:p>
        </w:tc>
        <w:tc>
          <w:tcPr>
            <w:tcW w:w="1293" w:type="pct"/>
            <w:noWrap/>
            <w:hideMark/>
          </w:tcPr>
          <w:p w14:paraId="10114D28" w14:textId="77777777" w:rsidR="0050196F" w:rsidRPr="00B6199F" w:rsidRDefault="0050196F" w:rsidP="00EB1291">
            <w:pPr>
              <w:pStyle w:val="ARGrantstabletextright"/>
              <w:rPr>
                <w:highlight w:val="cyan"/>
              </w:rPr>
            </w:pPr>
            <w:r>
              <w:t>100,000</w:t>
            </w:r>
          </w:p>
        </w:tc>
      </w:tr>
      <w:tr w:rsidR="0050196F" w:rsidRPr="00B6199F" w14:paraId="01153252" w14:textId="77777777" w:rsidTr="00DB5974">
        <w:trPr>
          <w:trHeight w:val="170"/>
        </w:trPr>
        <w:tc>
          <w:tcPr>
            <w:tcW w:w="3707" w:type="pct"/>
            <w:noWrap/>
            <w:hideMark/>
          </w:tcPr>
          <w:p w14:paraId="0C67AC46" w14:textId="77777777" w:rsidR="0050196F" w:rsidRPr="00B6199F" w:rsidRDefault="0050196F" w:rsidP="00C347FD">
            <w:pPr>
              <w:pStyle w:val="ARGrantstabletext"/>
              <w:rPr>
                <w:highlight w:val="cyan"/>
              </w:rPr>
            </w:pPr>
            <w:r>
              <w:t>Cultivating Community</w:t>
            </w:r>
          </w:p>
        </w:tc>
        <w:tc>
          <w:tcPr>
            <w:tcW w:w="1293" w:type="pct"/>
            <w:noWrap/>
            <w:hideMark/>
          </w:tcPr>
          <w:p w14:paraId="0048BA06" w14:textId="77777777" w:rsidR="0050196F" w:rsidRPr="00B6199F" w:rsidRDefault="0050196F" w:rsidP="00EB1291">
            <w:pPr>
              <w:pStyle w:val="ARGrantstabletextright"/>
              <w:rPr>
                <w:highlight w:val="cyan"/>
              </w:rPr>
            </w:pPr>
            <w:r>
              <w:t>60,000</w:t>
            </w:r>
          </w:p>
        </w:tc>
      </w:tr>
      <w:tr w:rsidR="0050196F" w:rsidRPr="00B6199F" w14:paraId="1870169B" w14:textId="77777777" w:rsidTr="00DB5974">
        <w:trPr>
          <w:trHeight w:val="170"/>
        </w:trPr>
        <w:tc>
          <w:tcPr>
            <w:tcW w:w="3707" w:type="pct"/>
            <w:noWrap/>
            <w:hideMark/>
          </w:tcPr>
          <w:p w14:paraId="25381636" w14:textId="77777777" w:rsidR="0050196F" w:rsidRPr="00B6199F" w:rsidRDefault="0050196F" w:rsidP="00C347FD">
            <w:pPr>
              <w:pStyle w:val="ARGrantstabletext"/>
              <w:rPr>
                <w:highlight w:val="cyan"/>
              </w:rPr>
            </w:pPr>
            <w:r>
              <w:t>Diamond Valley Community Support</w:t>
            </w:r>
          </w:p>
        </w:tc>
        <w:tc>
          <w:tcPr>
            <w:tcW w:w="1293" w:type="pct"/>
            <w:noWrap/>
            <w:hideMark/>
          </w:tcPr>
          <w:p w14:paraId="73B8ED2F" w14:textId="77777777" w:rsidR="0050196F" w:rsidRPr="00B6199F" w:rsidRDefault="0050196F" w:rsidP="00EB1291">
            <w:pPr>
              <w:pStyle w:val="ARGrantstabletextright"/>
              <w:rPr>
                <w:highlight w:val="cyan"/>
              </w:rPr>
            </w:pPr>
            <w:r>
              <w:t>100,000</w:t>
            </w:r>
          </w:p>
        </w:tc>
      </w:tr>
      <w:tr w:rsidR="0050196F" w:rsidRPr="00B6199F" w14:paraId="32BCDAD2" w14:textId="77777777" w:rsidTr="00DB5974">
        <w:trPr>
          <w:trHeight w:val="170"/>
        </w:trPr>
        <w:tc>
          <w:tcPr>
            <w:tcW w:w="3707" w:type="pct"/>
            <w:noWrap/>
            <w:hideMark/>
          </w:tcPr>
          <w:p w14:paraId="1F1FF12E" w14:textId="77777777" w:rsidR="0050196F" w:rsidRPr="00B6199F" w:rsidRDefault="0050196F" w:rsidP="00C347FD">
            <w:pPr>
              <w:pStyle w:val="ARGrantstabletext"/>
              <w:rPr>
                <w:highlight w:val="cyan"/>
              </w:rPr>
            </w:pPr>
            <w:r>
              <w:t>East Gippsland Shire Council</w:t>
            </w:r>
          </w:p>
        </w:tc>
        <w:tc>
          <w:tcPr>
            <w:tcW w:w="1293" w:type="pct"/>
            <w:noWrap/>
            <w:hideMark/>
          </w:tcPr>
          <w:p w14:paraId="27744662" w14:textId="77777777" w:rsidR="0050196F" w:rsidRPr="00B6199F" w:rsidRDefault="0050196F" w:rsidP="00EB1291">
            <w:pPr>
              <w:pStyle w:val="ARGrantstabletextright"/>
              <w:rPr>
                <w:highlight w:val="cyan"/>
              </w:rPr>
            </w:pPr>
            <w:r>
              <w:t>25,000</w:t>
            </w:r>
          </w:p>
        </w:tc>
      </w:tr>
      <w:tr w:rsidR="0050196F" w:rsidRPr="00B6199F" w14:paraId="4771AB5A" w14:textId="77777777" w:rsidTr="00DB5974">
        <w:trPr>
          <w:trHeight w:val="170"/>
        </w:trPr>
        <w:tc>
          <w:tcPr>
            <w:tcW w:w="3707" w:type="pct"/>
            <w:noWrap/>
            <w:hideMark/>
          </w:tcPr>
          <w:p w14:paraId="12236D21" w14:textId="77777777" w:rsidR="0050196F" w:rsidRPr="00B6199F" w:rsidRDefault="0050196F" w:rsidP="00C347FD">
            <w:pPr>
              <w:pStyle w:val="ARGrantstabletext"/>
              <w:rPr>
                <w:highlight w:val="cyan"/>
              </w:rPr>
            </w:pPr>
            <w:r>
              <w:t>Eastern Volunteer Resource Centre Inc</w:t>
            </w:r>
          </w:p>
        </w:tc>
        <w:tc>
          <w:tcPr>
            <w:tcW w:w="1293" w:type="pct"/>
            <w:noWrap/>
            <w:hideMark/>
          </w:tcPr>
          <w:p w14:paraId="741E3F5C" w14:textId="77777777" w:rsidR="0050196F" w:rsidRPr="00B6199F" w:rsidRDefault="0050196F" w:rsidP="00EB1291">
            <w:pPr>
              <w:pStyle w:val="ARGrantstabletextright"/>
              <w:rPr>
                <w:highlight w:val="cyan"/>
              </w:rPr>
            </w:pPr>
            <w:r>
              <w:t>60,000</w:t>
            </w:r>
          </w:p>
        </w:tc>
      </w:tr>
      <w:tr w:rsidR="0050196F" w:rsidRPr="00B6199F" w14:paraId="769E1B35" w14:textId="77777777" w:rsidTr="00DB5974">
        <w:trPr>
          <w:trHeight w:val="170"/>
        </w:trPr>
        <w:tc>
          <w:tcPr>
            <w:tcW w:w="3707" w:type="pct"/>
            <w:noWrap/>
            <w:hideMark/>
          </w:tcPr>
          <w:p w14:paraId="6EC76A25" w14:textId="77777777" w:rsidR="0050196F" w:rsidRPr="00B6199F" w:rsidRDefault="0050196F" w:rsidP="00C347FD">
            <w:pPr>
              <w:pStyle w:val="ARGrantstabletext"/>
              <w:rPr>
                <w:highlight w:val="cyan"/>
              </w:rPr>
            </w:pPr>
            <w:r>
              <w:t>Eltham and District Woodworkers Inc</w:t>
            </w:r>
          </w:p>
        </w:tc>
        <w:tc>
          <w:tcPr>
            <w:tcW w:w="1293" w:type="pct"/>
            <w:noWrap/>
            <w:hideMark/>
          </w:tcPr>
          <w:p w14:paraId="733FEE19" w14:textId="77777777" w:rsidR="0050196F" w:rsidRPr="00B6199F" w:rsidRDefault="0050196F" w:rsidP="00EB1291">
            <w:pPr>
              <w:pStyle w:val="ARGrantstabletextright"/>
              <w:rPr>
                <w:highlight w:val="cyan"/>
              </w:rPr>
            </w:pPr>
            <w:r>
              <w:t>17,158</w:t>
            </w:r>
          </w:p>
        </w:tc>
      </w:tr>
      <w:tr w:rsidR="0050196F" w:rsidRPr="00B6199F" w14:paraId="0A9C913A" w14:textId="77777777" w:rsidTr="00DB5974">
        <w:trPr>
          <w:trHeight w:val="170"/>
        </w:trPr>
        <w:tc>
          <w:tcPr>
            <w:tcW w:w="3707" w:type="pct"/>
            <w:noWrap/>
            <w:hideMark/>
          </w:tcPr>
          <w:p w14:paraId="2A86B046" w14:textId="77777777" w:rsidR="0050196F" w:rsidRPr="00B6199F" w:rsidRDefault="0050196F" w:rsidP="00C347FD">
            <w:pPr>
              <w:pStyle w:val="ARGrantstabletext"/>
              <w:rPr>
                <w:highlight w:val="cyan"/>
              </w:rPr>
            </w:pPr>
            <w:r>
              <w:t>FareShare Australia Incorporated</w:t>
            </w:r>
          </w:p>
        </w:tc>
        <w:tc>
          <w:tcPr>
            <w:tcW w:w="1293" w:type="pct"/>
            <w:noWrap/>
            <w:hideMark/>
          </w:tcPr>
          <w:p w14:paraId="0C253630" w14:textId="77777777" w:rsidR="0050196F" w:rsidRPr="00B6199F" w:rsidRDefault="0050196F" w:rsidP="00EB1291">
            <w:pPr>
              <w:pStyle w:val="ARGrantstabletextright"/>
              <w:rPr>
                <w:highlight w:val="cyan"/>
              </w:rPr>
            </w:pPr>
            <w:r>
              <w:t>2,200,000</w:t>
            </w:r>
          </w:p>
        </w:tc>
      </w:tr>
      <w:tr w:rsidR="0050196F" w:rsidRPr="00B6199F" w14:paraId="265070E7" w14:textId="77777777" w:rsidTr="00DB5974">
        <w:trPr>
          <w:trHeight w:val="170"/>
        </w:trPr>
        <w:tc>
          <w:tcPr>
            <w:tcW w:w="3707" w:type="pct"/>
            <w:noWrap/>
            <w:hideMark/>
          </w:tcPr>
          <w:p w14:paraId="337C23FB" w14:textId="321776BB" w:rsidR="0050196F" w:rsidRPr="00B6199F" w:rsidRDefault="0050196F" w:rsidP="00C347FD">
            <w:pPr>
              <w:pStyle w:val="ARGrantstabletext"/>
              <w:rPr>
                <w:highlight w:val="cyan"/>
              </w:rPr>
            </w:pPr>
            <w:r>
              <w:t xml:space="preserve">Foothills Community Care </w:t>
            </w:r>
            <w:r w:rsidR="003B5B30">
              <w:t>Inc</w:t>
            </w:r>
          </w:p>
        </w:tc>
        <w:tc>
          <w:tcPr>
            <w:tcW w:w="1293" w:type="pct"/>
            <w:noWrap/>
            <w:hideMark/>
          </w:tcPr>
          <w:p w14:paraId="3C7D19B8" w14:textId="77777777" w:rsidR="0050196F" w:rsidRPr="00B6199F" w:rsidRDefault="0050196F" w:rsidP="00EB1291">
            <w:pPr>
              <w:pStyle w:val="ARGrantstabletextright"/>
              <w:rPr>
                <w:highlight w:val="cyan"/>
              </w:rPr>
            </w:pPr>
            <w:r>
              <w:t>50,000</w:t>
            </w:r>
          </w:p>
        </w:tc>
      </w:tr>
      <w:tr w:rsidR="0050196F" w:rsidRPr="00B6199F" w14:paraId="2F874EAD" w14:textId="77777777" w:rsidTr="00DB5974">
        <w:trPr>
          <w:trHeight w:val="170"/>
        </w:trPr>
        <w:tc>
          <w:tcPr>
            <w:tcW w:w="3707" w:type="pct"/>
            <w:noWrap/>
            <w:hideMark/>
          </w:tcPr>
          <w:p w14:paraId="77080536" w14:textId="60317A7C" w:rsidR="0050196F" w:rsidRPr="00B6199F" w:rsidRDefault="0050196F" w:rsidP="00C347FD">
            <w:pPr>
              <w:pStyle w:val="ARGrantstabletext"/>
              <w:rPr>
                <w:highlight w:val="cyan"/>
              </w:rPr>
            </w:pPr>
            <w:r>
              <w:t xml:space="preserve">Frankston Churches Community Breakfast Inc </w:t>
            </w:r>
            <w:r w:rsidR="00604894">
              <w:t>–</w:t>
            </w:r>
            <w:r>
              <w:t xml:space="preserve"> Frankston Brekky Club</w:t>
            </w:r>
          </w:p>
        </w:tc>
        <w:tc>
          <w:tcPr>
            <w:tcW w:w="1293" w:type="pct"/>
            <w:noWrap/>
            <w:hideMark/>
          </w:tcPr>
          <w:p w14:paraId="09BCEAC5" w14:textId="77777777" w:rsidR="0050196F" w:rsidRPr="00B6199F" w:rsidRDefault="0050196F" w:rsidP="00EB1291">
            <w:pPr>
              <w:pStyle w:val="ARGrantstabletextright"/>
              <w:rPr>
                <w:highlight w:val="cyan"/>
              </w:rPr>
            </w:pPr>
            <w:r>
              <w:t>50,000</w:t>
            </w:r>
          </w:p>
        </w:tc>
      </w:tr>
      <w:tr w:rsidR="0050196F" w:rsidRPr="00B6199F" w14:paraId="781D1003" w14:textId="77777777" w:rsidTr="00DB5974">
        <w:trPr>
          <w:trHeight w:val="170"/>
        </w:trPr>
        <w:tc>
          <w:tcPr>
            <w:tcW w:w="3707" w:type="pct"/>
            <w:noWrap/>
            <w:hideMark/>
          </w:tcPr>
          <w:p w14:paraId="74E204C8" w14:textId="77777777" w:rsidR="0050196F" w:rsidRPr="00B6199F" w:rsidRDefault="0050196F" w:rsidP="00C347FD">
            <w:pPr>
              <w:pStyle w:val="ARGrantstabletext"/>
              <w:rPr>
                <w:highlight w:val="cyan"/>
              </w:rPr>
            </w:pPr>
            <w:r>
              <w:t>Garfield Community Shop Inc</w:t>
            </w:r>
          </w:p>
        </w:tc>
        <w:tc>
          <w:tcPr>
            <w:tcW w:w="1293" w:type="pct"/>
            <w:noWrap/>
            <w:hideMark/>
          </w:tcPr>
          <w:p w14:paraId="1DDE66DE" w14:textId="77777777" w:rsidR="0050196F" w:rsidRPr="00B6199F" w:rsidRDefault="0050196F" w:rsidP="00EB1291">
            <w:pPr>
              <w:pStyle w:val="ARGrantstabletextright"/>
              <w:rPr>
                <w:highlight w:val="cyan"/>
              </w:rPr>
            </w:pPr>
            <w:r>
              <w:t>100,000</w:t>
            </w:r>
          </w:p>
        </w:tc>
      </w:tr>
      <w:tr w:rsidR="0050196F" w:rsidRPr="00B6199F" w14:paraId="1B4674BC" w14:textId="77777777" w:rsidTr="00DB5974">
        <w:trPr>
          <w:trHeight w:val="170"/>
        </w:trPr>
        <w:tc>
          <w:tcPr>
            <w:tcW w:w="3707" w:type="pct"/>
            <w:noWrap/>
            <w:hideMark/>
          </w:tcPr>
          <w:p w14:paraId="0DFC3A3B" w14:textId="77777777" w:rsidR="0050196F" w:rsidRPr="00B6199F" w:rsidRDefault="0050196F" w:rsidP="00C347FD">
            <w:pPr>
              <w:pStyle w:val="ARGrantstabletext"/>
              <w:rPr>
                <w:highlight w:val="cyan"/>
              </w:rPr>
            </w:pPr>
            <w:r>
              <w:t>Gellibrand Community House Inc</w:t>
            </w:r>
          </w:p>
        </w:tc>
        <w:tc>
          <w:tcPr>
            <w:tcW w:w="1293" w:type="pct"/>
            <w:noWrap/>
            <w:hideMark/>
          </w:tcPr>
          <w:p w14:paraId="205295B8" w14:textId="77777777" w:rsidR="0050196F" w:rsidRPr="00B6199F" w:rsidRDefault="0050196F" w:rsidP="00EB1291">
            <w:pPr>
              <w:pStyle w:val="ARGrantstabletextright"/>
              <w:rPr>
                <w:highlight w:val="cyan"/>
              </w:rPr>
            </w:pPr>
            <w:r>
              <w:t>50,000</w:t>
            </w:r>
          </w:p>
        </w:tc>
      </w:tr>
      <w:tr w:rsidR="0050196F" w:rsidRPr="00B6199F" w14:paraId="2E376480" w14:textId="77777777" w:rsidTr="00DB5974">
        <w:trPr>
          <w:trHeight w:val="170"/>
        </w:trPr>
        <w:tc>
          <w:tcPr>
            <w:tcW w:w="3707" w:type="pct"/>
            <w:noWrap/>
            <w:hideMark/>
          </w:tcPr>
          <w:p w14:paraId="78F90F4F" w14:textId="77777777" w:rsidR="0050196F" w:rsidRPr="00B6199F" w:rsidRDefault="0050196F" w:rsidP="00C347FD">
            <w:pPr>
              <w:pStyle w:val="ARGrantstabletext"/>
              <w:rPr>
                <w:highlight w:val="cyan"/>
              </w:rPr>
            </w:pPr>
            <w:r>
              <w:t>Goonawarra Neighbourhood House</w:t>
            </w:r>
          </w:p>
        </w:tc>
        <w:tc>
          <w:tcPr>
            <w:tcW w:w="1293" w:type="pct"/>
            <w:noWrap/>
            <w:hideMark/>
          </w:tcPr>
          <w:p w14:paraId="05CD40B0" w14:textId="77777777" w:rsidR="0050196F" w:rsidRPr="00B6199F" w:rsidRDefault="0050196F" w:rsidP="00EB1291">
            <w:pPr>
              <w:pStyle w:val="ARGrantstabletextright"/>
              <w:rPr>
                <w:highlight w:val="cyan"/>
              </w:rPr>
            </w:pPr>
            <w:r>
              <w:t>100,000</w:t>
            </w:r>
          </w:p>
        </w:tc>
      </w:tr>
      <w:tr w:rsidR="0050196F" w:rsidRPr="00B6199F" w14:paraId="1EC21AE7" w14:textId="77777777" w:rsidTr="00DB5974">
        <w:trPr>
          <w:trHeight w:val="170"/>
        </w:trPr>
        <w:tc>
          <w:tcPr>
            <w:tcW w:w="3707" w:type="pct"/>
            <w:noWrap/>
            <w:hideMark/>
          </w:tcPr>
          <w:p w14:paraId="1E173DB2" w14:textId="77777777" w:rsidR="0050196F" w:rsidRPr="00B6199F" w:rsidRDefault="0050196F" w:rsidP="00C347FD">
            <w:pPr>
              <w:pStyle w:val="ARGrantstabletext"/>
              <w:rPr>
                <w:highlight w:val="cyan"/>
              </w:rPr>
            </w:pPr>
            <w:r>
              <w:t>Hampton Park Uniting Church</w:t>
            </w:r>
          </w:p>
        </w:tc>
        <w:tc>
          <w:tcPr>
            <w:tcW w:w="1293" w:type="pct"/>
            <w:noWrap/>
            <w:hideMark/>
          </w:tcPr>
          <w:p w14:paraId="7CA69C2B" w14:textId="77777777" w:rsidR="0050196F" w:rsidRPr="00B6199F" w:rsidRDefault="0050196F" w:rsidP="00EB1291">
            <w:pPr>
              <w:pStyle w:val="ARGrantstabletextright"/>
              <w:rPr>
                <w:highlight w:val="cyan"/>
              </w:rPr>
            </w:pPr>
            <w:r>
              <w:t>50,000</w:t>
            </w:r>
          </w:p>
        </w:tc>
      </w:tr>
      <w:tr w:rsidR="0050196F" w:rsidRPr="00B6199F" w14:paraId="0F8D70D1" w14:textId="77777777" w:rsidTr="00DB5974">
        <w:trPr>
          <w:trHeight w:val="170"/>
        </w:trPr>
        <w:tc>
          <w:tcPr>
            <w:tcW w:w="3707" w:type="pct"/>
            <w:noWrap/>
            <w:hideMark/>
          </w:tcPr>
          <w:p w14:paraId="178EDE5F" w14:textId="77777777" w:rsidR="0050196F" w:rsidRPr="00B6199F" w:rsidRDefault="0050196F" w:rsidP="00C347FD">
            <w:pPr>
              <w:pStyle w:val="ARGrantstabletext"/>
              <w:rPr>
                <w:highlight w:val="cyan"/>
              </w:rPr>
            </w:pPr>
            <w:r>
              <w:t>Harcourt Progress Association</w:t>
            </w:r>
          </w:p>
        </w:tc>
        <w:tc>
          <w:tcPr>
            <w:tcW w:w="1293" w:type="pct"/>
            <w:noWrap/>
            <w:hideMark/>
          </w:tcPr>
          <w:p w14:paraId="5EF59CCE" w14:textId="77777777" w:rsidR="0050196F" w:rsidRPr="00B6199F" w:rsidRDefault="0050196F" w:rsidP="00EB1291">
            <w:pPr>
              <w:pStyle w:val="ARGrantstabletextright"/>
              <w:rPr>
                <w:highlight w:val="cyan"/>
              </w:rPr>
            </w:pPr>
            <w:r>
              <w:t>50,000</w:t>
            </w:r>
          </w:p>
        </w:tc>
      </w:tr>
      <w:tr w:rsidR="0050196F" w:rsidRPr="00B6199F" w14:paraId="47791BD4" w14:textId="77777777" w:rsidTr="00DB5974">
        <w:trPr>
          <w:trHeight w:val="170"/>
        </w:trPr>
        <w:tc>
          <w:tcPr>
            <w:tcW w:w="3707" w:type="pct"/>
            <w:noWrap/>
            <w:hideMark/>
          </w:tcPr>
          <w:p w14:paraId="402DBD92" w14:textId="3B9E5B7B" w:rsidR="0050196F" w:rsidRPr="00B6199F" w:rsidRDefault="0050196F" w:rsidP="00C347FD">
            <w:pPr>
              <w:pStyle w:val="ARGrantstabletext"/>
              <w:rPr>
                <w:highlight w:val="cyan"/>
              </w:rPr>
            </w:pPr>
            <w:r>
              <w:t>Heathcote Men</w:t>
            </w:r>
            <w:r w:rsidR="00711AE6">
              <w:t>’</w:t>
            </w:r>
            <w:r>
              <w:t xml:space="preserve">s Shed </w:t>
            </w:r>
            <w:r w:rsidR="003B5B30">
              <w:t>Inc</w:t>
            </w:r>
          </w:p>
        </w:tc>
        <w:tc>
          <w:tcPr>
            <w:tcW w:w="1293" w:type="pct"/>
            <w:noWrap/>
            <w:hideMark/>
          </w:tcPr>
          <w:p w14:paraId="35CE53FF" w14:textId="77777777" w:rsidR="0050196F" w:rsidRPr="00B6199F" w:rsidRDefault="0050196F" w:rsidP="00EB1291">
            <w:pPr>
              <w:pStyle w:val="ARGrantstabletextright"/>
              <w:rPr>
                <w:highlight w:val="cyan"/>
              </w:rPr>
            </w:pPr>
            <w:r>
              <w:t>12,000</w:t>
            </w:r>
          </w:p>
        </w:tc>
      </w:tr>
      <w:tr w:rsidR="0050196F" w:rsidRPr="00B6199F" w14:paraId="1F71062A" w14:textId="77777777" w:rsidTr="00DB5974">
        <w:trPr>
          <w:trHeight w:val="170"/>
        </w:trPr>
        <w:tc>
          <w:tcPr>
            <w:tcW w:w="3707" w:type="pct"/>
            <w:noWrap/>
            <w:hideMark/>
          </w:tcPr>
          <w:p w14:paraId="0C2D64B8" w14:textId="45284DEF" w:rsidR="0050196F" w:rsidRPr="00B6199F" w:rsidRDefault="0050196F" w:rsidP="00C347FD">
            <w:pPr>
              <w:pStyle w:val="ARGrantstabletext"/>
              <w:rPr>
                <w:highlight w:val="cyan"/>
              </w:rPr>
            </w:pPr>
            <w:r>
              <w:t xml:space="preserve">Helping Hands Mission </w:t>
            </w:r>
            <w:r w:rsidR="003B5B30">
              <w:t>Inc</w:t>
            </w:r>
          </w:p>
        </w:tc>
        <w:tc>
          <w:tcPr>
            <w:tcW w:w="1293" w:type="pct"/>
            <w:noWrap/>
            <w:hideMark/>
          </w:tcPr>
          <w:p w14:paraId="447D8C02" w14:textId="77777777" w:rsidR="0050196F" w:rsidRPr="00B6199F" w:rsidRDefault="0050196F" w:rsidP="00EB1291">
            <w:pPr>
              <w:pStyle w:val="ARGrantstabletextright"/>
              <w:rPr>
                <w:highlight w:val="cyan"/>
              </w:rPr>
            </w:pPr>
            <w:r>
              <w:t>350,000</w:t>
            </w:r>
          </w:p>
        </w:tc>
      </w:tr>
      <w:tr w:rsidR="0050196F" w:rsidRPr="00B6199F" w14:paraId="45359A2A" w14:textId="77777777" w:rsidTr="00DB5974">
        <w:trPr>
          <w:trHeight w:val="170"/>
        </w:trPr>
        <w:tc>
          <w:tcPr>
            <w:tcW w:w="3707" w:type="pct"/>
            <w:noWrap/>
            <w:hideMark/>
          </w:tcPr>
          <w:p w14:paraId="4E064024" w14:textId="36CF73FF" w:rsidR="0050196F" w:rsidRPr="00B6199F" w:rsidRDefault="0050196F" w:rsidP="00C347FD">
            <w:pPr>
              <w:pStyle w:val="ARGrantstabletext"/>
              <w:rPr>
                <w:highlight w:val="cyan"/>
              </w:rPr>
            </w:pPr>
            <w:r>
              <w:t xml:space="preserve">Hillview </w:t>
            </w:r>
            <w:r w:rsidR="00604894">
              <w:t>–</w:t>
            </w:r>
            <w:r>
              <w:t xml:space="preserve"> Bunyip Aged Care Inc</w:t>
            </w:r>
          </w:p>
        </w:tc>
        <w:tc>
          <w:tcPr>
            <w:tcW w:w="1293" w:type="pct"/>
            <w:noWrap/>
            <w:hideMark/>
          </w:tcPr>
          <w:p w14:paraId="60D77879" w14:textId="77777777" w:rsidR="0050196F" w:rsidRPr="00B6199F" w:rsidRDefault="0050196F" w:rsidP="00EB1291">
            <w:pPr>
              <w:pStyle w:val="ARGrantstabletextright"/>
              <w:rPr>
                <w:highlight w:val="cyan"/>
              </w:rPr>
            </w:pPr>
            <w:r>
              <w:t>7,610</w:t>
            </w:r>
          </w:p>
        </w:tc>
      </w:tr>
      <w:tr w:rsidR="0050196F" w:rsidRPr="00B6199F" w14:paraId="052B1FD3" w14:textId="77777777" w:rsidTr="00DB5974">
        <w:trPr>
          <w:trHeight w:val="170"/>
        </w:trPr>
        <w:tc>
          <w:tcPr>
            <w:tcW w:w="3707" w:type="pct"/>
            <w:noWrap/>
            <w:hideMark/>
          </w:tcPr>
          <w:p w14:paraId="34681FCA" w14:textId="364291E8" w:rsidR="0050196F" w:rsidRPr="00B6199F" w:rsidRDefault="0050196F" w:rsidP="00C347FD">
            <w:pPr>
              <w:pStyle w:val="ARGrantstabletext"/>
              <w:rPr>
                <w:highlight w:val="cyan"/>
              </w:rPr>
            </w:pPr>
            <w:r>
              <w:t>Hume Men</w:t>
            </w:r>
            <w:r w:rsidR="00711AE6">
              <w:t>’</w:t>
            </w:r>
            <w:r>
              <w:t>s Shed (Sunbury)</w:t>
            </w:r>
            <w:r w:rsidR="00923BCB">
              <w:t> </w:t>
            </w:r>
            <w:r>
              <w:t>Incorporated</w:t>
            </w:r>
          </w:p>
        </w:tc>
        <w:tc>
          <w:tcPr>
            <w:tcW w:w="1293" w:type="pct"/>
            <w:noWrap/>
            <w:hideMark/>
          </w:tcPr>
          <w:p w14:paraId="19985CC1" w14:textId="77777777" w:rsidR="0050196F" w:rsidRPr="00B6199F" w:rsidRDefault="0050196F" w:rsidP="00EB1291">
            <w:pPr>
              <w:pStyle w:val="ARGrantstabletextright"/>
              <w:rPr>
                <w:highlight w:val="cyan"/>
              </w:rPr>
            </w:pPr>
            <w:r>
              <w:t>3,762</w:t>
            </w:r>
          </w:p>
        </w:tc>
      </w:tr>
      <w:tr w:rsidR="0050196F" w:rsidRPr="00B6199F" w14:paraId="2D04044C" w14:textId="77777777" w:rsidTr="00DB5974">
        <w:trPr>
          <w:trHeight w:val="170"/>
        </w:trPr>
        <w:tc>
          <w:tcPr>
            <w:tcW w:w="3707" w:type="pct"/>
            <w:noWrap/>
            <w:hideMark/>
          </w:tcPr>
          <w:p w14:paraId="62708E9C" w14:textId="77777777" w:rsidR="0050196F" w:rsidRPr="00B6199F" w:rsidRDefault="0050196F" w:rsidP="00C347FD">
            <w:pPr>
              <w:pStyle w:val="ARGrantstabletext"/>
              <w:rPr>
                <w:highlight w:val="cyan"/>
              </w:rPr>
            </w:pPr>
            <w:r>
              <w:t>Jika Jika Community Centre</w:t>
            </w:r>
          </w:p>
        </w:tc>
        <w:tc>
          <w:tcPr>
            <w:tcW w:w="1293" w:type="pct"/>
            <w:noWrap/>
            <w:hideMark/>
          </w:tcPr>
          <w:p w14:paraId="131BCFEA" w14:textId="77777777" w:rsidR="0050196F" w:rsidRPr="00B6199F" w:rsidRDefault="0050196F" w:rsidP="00EB1291">
            <w:pPr>
              <w:pStyle w:val="ARGrantstabletextright"/>
              <w:rPr>
                <w:highlight w:val="cyan"/>
              </w:rPr>
            </w:pPr>
            <w:r>
              <w:t>50,000</w:t>
            </w:r>
          </w:p>
        </w:tc>
      </w:tr>
      <w:tr w:rsidR="0050196F" w:rsidRPr="00B6199F" w14:paraId="4FC783B2" w14:textId="77777777" w:rsidTr="00DB5974">
        <w:trPr>
          <w:trHeight w:val="170"/>
        </w:trPr>
        <w:tc>
          <w:tcPr>
            <w:tcW w:w="3707" w:type="pct"/>
            <w:noWrap/>
            <w:hideMark/>
          </w:tcPr>
          <w:p w14:paraId="0E25AB9B" w14:textId="0287A225" w:rsidR="0050196F" w:rsidRPr="00B6199F" w:rsidRDefault="0050196F" w:rsidP="00C347FD">
            <w:pPr>
              <w:pStyle w:val="ARGrantstabletext"/>
              <w:rPr>
                <w:highlight w:val="cyan"/>
              </w:rPr>
            </w:pPr>
            <w:r>
              <w:t>Kensington Neighbourhood House</w:t>
            </w:r>
            <w:r w:rsidR="00923BCB">
              <w:t> </w:t>
            </w:r>
            <w:r>
              <w:t>(KNH)</w:t>
            </w:r>
          </w:p>
        </w:tc>
        <w:tc>
          <w:tcPr>
            <w:tcW w:w="1293" w:type="pct"/>
            <w:noWrap/>
            <w:hideMark/>
          </w:tcPr>
          <w:p w14:paraId="56352489" w14:textId="77777777" w:rsidR="0050196F" w:rsidRPr="00B6199F" w:rsidRDefault="0050196F" w:rsidP="00EB1291">
            <w:pPr>
              <w:pStyle w:val="ARGrantstabletextright"/>
              <w:rPr>
                <w:highlight w:val="cyan"/>
              </w:rPr>
            </w:pPr>
            <w:r>
              <w:t>40,000</w:t>
            </w:r>
          </w:p>
        </w:tc>
      </w:tr>
      <w:tr w:rsidR="0050196F" w:rsidRPr="00B6199F" w14:paraId="64934DC4" w14:textId="77777777" w:rsidTr="00DB5974">
        <w:trPr>
          <w:trHeight w:val="170"/>
        </w:trPr>
        <w:tc>
          <w:tcPr>
            <w:tcW w:w="3707" w:type="pct"/>
            <w:noWrap/>
            <w:hideMark/>
          </w:tcPr>
          <w:p w14:paraId="34141B08" w14:textId="77777777" w:rsidR="0050196F" w:rsidRPr="00B6199F" w:rsidRDefault="0050196F" w:rsidP="00C347FD">
            <w:pPr>
              <w:pStyle w:val="ARGrantstabletext"/>
              <w:rPr>
                <w:highlight w:val="cyan"/>
              </w:rPr>
            </w:pPr>
            <w:r>
              <w:t>Knox Infolink Inc</w:t>
            </w:r>
          </w:p>
        </w:tc>
        <w:tc>
          <w:tcPr>
            <w:tcW w:w="1293" w:type="pct"/>
            <w:noWrap/>
            <w:hideMark/>
          </w:tcPr>
          <w:p w14:paraId="025DD3CF" w14:textId="77777777" w:rsidR="0050196F" w:rsidRPr="00B6199F" w:rsidRDefault="0050196F" w:rsidP="00EB1291">
            <w:pPr>
              <w:pStyle w:val="ARGrantstabletextright"/>
              <w:rPr>
                <w:highlight w:val="cyan"/>
              </w:rPr>
            </w:pPr>
            <w:r>
              <w:t>100,000</w:t>
            </w:r>
          </w:p>
        </w:tc>
      </w:tr>
      <w:tr w:rsidR="0050196F" w:rsidRPr="00B6199F" w14:paraId="5697D9D1" w14:textId="77777777" w:rsidTr="00DB5974">
        <w:trPr>
          <w:trHeight w:val="170"/>
        </w:trPr>
        <w:tc>
          <w:tcPr>
            <w:tcW w:w="3707" w:type="pct"/>
            <w:noWrap/>
            <w:hideMark/>
          </w:tcPr>
          <w:p w14:paraId="021B406F" w14:textId="32E44115" w:rsidR="0050196F" w:rsidRPr="00B6199F" w:rsidRDefault="0050196F" w:rsidP="00C347FD">
            <w:pPr>
              <w:pStyle w:val="ARGrantstabletext"/>
              <w:rPr>
                <w:highlight w:val="cyan"/>
              </w:rPr>
            </w:pPr>
            <w:r>
              <w:t>Lalor and District Men</w:t>
            </w:r>
            <w:r w:rsidR="00711AE6">
              <w:t>’</w:t>
            </w:r>
            <w:r>
              <w:t>s Shed</w:t>
            </w:r>
          </w:p>
        </w:tc>
        <w:tc>
          <w:tcPr>
            <w:tcW w:w="1293" w:type="pct"/>
            <w:noWrap/>
            <w:hideMark/>
          </w:tcPr>
          <w:p w14:paraId="6A839FD7" w14:textId="77777777" w:rsidR="0050196F" w:rsidRPr="00B6199F" w:rsidRDefault="0050196F" w:rsidP="00EB1291">
            <w:pPr>
              <w:pStyle w:val="ARGrantstabletextright"/>
              <w:rPr>
                <w:highlight w:val="cyan"/>
              </w:rPr>
            </w:pPr>
            <w:r>
              <w:t>31,253</w:t>
            </w:r>
          </w:p>
        </w:tc>
      </w:tr>
      <w:tr w:rsidR="0050196F" w:rsidRPr="00B6199F" w14:paraId="15C8CDF1" w14:textId="77777777" w:rsidTr="00DB5974">
        <w:trPr>
          <w:trHeight w:val="170"/>
        </w:trPr>
        <w:tc>
          <w:tcPr>
            <w:tcW w:w="3707" w:type="pct"/>
            <w:noWrap/>
          </w:tcPr>
          <w:p w14:paraId="1A8C082F" w14:textId="77777777" w:rsidR="0050196F" w:rsidRPr="00E050D2" w:rsidRDefault="0050196F" w:rsidP="00C347FD">
            <w:pPr>
              <w:pStyle w:val="ARGrantstabletext"/>
              <w:rPr>
                <w:b/>
                <w:bCs/>
                <w:highlight w:val="cyan"/>
              </w:rPr>
            </w:pPr>
            <w:r w:rsidRPr="00E050D2">
              <w:rPr>
                <w:bCs/>
              </w:rPr>
              <w:t>Lancefield Neighbourhood House</w:t>
            </w:r>
          </w:p>
        </w:tc>
        <w:tc>
          <w:tcPr>
            <w:tcW w:w="1293" w:type="pct"/>
            <w:noWrap/>
          </w:tcPr>
          <w:p w14:paraId="0922C413" w14:textId="77777777" w:rsidR="0050196F" w:rsidRPr="00E050D2" w:rsidRDefault="0050196F" w:rsidP="00EB1291">
            <w:pPr>
              <w:pStyle w:val="ARGrantstabletextright"/>
              <w:rPr>
                <w:b/>
                <w:bCs/>
                <w:highlight w:val="cyan"/>
              </w:rPr>
            </w:pPr>
            <w:r w:rsidRPr="00E050D2">
              <w:rPr>
                <w:bCs/>
              </w:rPr>
              <w:t>75,000</w:t>
            </w:r>
          </w:p>
        </w:tc>
      </w:tr>
      <w:tr w:rsidR="0050196F" w:rsidRPr="00B6199F" w14:paraId="0A4C7A33" w14:textId="77777777" w:rsidTr="00DB5974">
        <w:trPr>
          <w:trHeight w:val="170"/>
        </w:trPr>
        <w:tc>
          <w:tcPr>
            <w:tcW w:w="3707" w:type="pct"/>
            <w:noWrap/>
          </w:tcPr>
          <w:p w14:paraId="53916380" w14:textId="79A18743" w:rsidR="0050196F" w:rsidRPr="00AD78D4" w:rsidRDefault="0050196F" w:rsidP="00C347FD">
            <w:pPr>
              <w:pStyle w:val="ARGrantstabletext"/>
              <w:rPr>
                <w:b/>
                <w:bCs/>
              </w:rPr>
            </w:pPr>
            <w:r w:rsidRPr="00AD78D4">
              <w:rPr>
                <w:bCs/>
              </w:rPr>
              <w:t>Lara and District Men</w:t>
            </w:r>
            <w:r w:rsidR="00711AE6">
              <w:rPr>
                <w:bCs/>
              </w:rPr>
              <w:t>’</w:t>
            </w:r>
            <w:r w:rsidRPr="00AD78D4">
              <w:rPr>
                <w:bCs/>
              </w:rPr>
              <w:t>s Shed Inc</w:t>
            </w:r>
          </w:p>
        </w:tc>
        <w:tc>
          <w:tcPr>
            <w:tcW w:w="1293" w:type="pct"/>
            <w:noWrap/>
          </w:tcPr>
          <w:p w14:paraId="0BA3143F" w14:textId="77777777" w:rsidR="0050196F" w:rsidRPr="00AD78D4" w:rsidRDefault="0050196F" w:rsidP="00EB1291">
            <w:pPr>
              <w:pStyle w:val="ARGrantstabletextright"/>
              <w:rPr>
                <w:b/>
                <w:bCs/>
              </w:rPr>
            </w:pPr>
            <w:r w:rsidRPr="00AD78D4">
              <w:rPr>
                <w:bCs/>
              </w:rPr>
              <w:t>5,060</w:t>
            </w:r>
          </w:p>
        </w:tc>
      </w:tr>
      <w:tr w:rsidR="0050196F" w:rsidRPr="00B6199F" w14:paraId="2CCD7DAD" w14:textId="77777777" w:rsidTr="00DB5974">
        <w:trPr>
          <w:trHeight w:val="170"/>
        </w:trPr>
        <w:tc>
          <w:tcPr>
            <w:tcW w:w="3707" w:type="pct"/>
            <w:noWrap/>
          </w:tcPr>
          <w:p w14:paraId="32F8AAAE" w14:textId="77777777" w:rsidR="0050196F" w:rsidRPr="00AD78D4" w:rsidRDefault="0050196F" w:rsidP="00C347FD">
            <w:pPr>
              <w:pStyle w:val="ARGrantstabletext"/>
              <w:rPr>
                <w:b/>
                <w:bCs/>
              </w:rPr>
            </w:pPr>
            <w:r w:rsidRPr="00AD78D4">
              <w:rPr>
                <w:bCs/>
              </w:rPr>
              <w:t>Latrobe Valley Village Inc</w:t>
            </w:r>
          </w:p>
        </w:tc>
        <w:tc>
          <w:tcPr>
            <w:tcW w:w="1293" w:type="pct"/>
            <w:noWrap/>
          </w:tcPr>
          <w:p w14:paraId="08B898E0" w14:textId="77777777" w:rsidR="0050196F" w:rsidRPr="00AD78D4" w:rsidRDefault="0050196F" w:rsidP="00EB1291">
            <w:pPr>
              <w:pStyle w:val="ARGrantstabletextright"/>
              <w:rPr>
                <w:b/>
                <w:bCs/>
              </w:rPr>
            </w:pPr>
            <w:r w:rsidRPr="00AD78D4">
              <w:rPr>
                <w:bCs/>
              </w:rPr>
              <w:t>100,000</w:t>
            </w:r>
          </w:p>
        </w:tc>
      </w:tr>
      <w:tr w:rsidR="0050196F" w:rsidRPr="00B6199F" w14:paraId="03B06E18" w14:textId="77777777" w:rsidTr="00DB5974">
        <w:trPr>
          <w:trHeight w:val="170"/>
        </w:trPr>
        <w:tc>
          <w:tcPr>
            <w:tcW w:w="3707" w:type="pct"/>
            <w:noWrap/>
          </w:tcPr>
          <w:p w14:paraId="625B2771" w14:textId="12B309B4" w:rsidR="0050196F" w:rsidRPr="00AD78D4" w:rsidRDefault="0050196F" w:rsidP="00C347FD">
            <w:pPr>
              <w:pStyle w:val="ARGrantstabletext"/>
              <w:rPr>
                <w:b/>
              </w:rPr>
            </w:pPr>
            <w:r w:rsidRPr="00AD78D4">
              <w:t>Leongatha Community House</w:t>
            </w:r>
            <w:r w:rsidR="00097FC8">
              <w:rPr>
                <w:b/>
              </w:rPr>
              <w:t> </w:t>
            </w:r>
            <w:r w:rsidRPr="00AD78D4">
              <w:t>Incorporated</w:t>
            </w:r>
          </w:p>
        </w:tc>
        <w:tc>
          <w:tcPr>
            <w:tcW w:w="1293" w:type="pct"/>
            <w:noWrap/>
          </w:tcPr>
          <w:p w14:paraId="5E0512D5" w14:textId="77777777" w:rsidR="0050196F" w:rsidRPr="00AD78D4" w:rsidRDefault="0050196F" w:rsidP="00EB1291">
            <w:pPr>
              <w:pStyle w:val="ARGrantstabletextright"/>
              <w:rPr>
                <w:b/>
              </w:rPr>
            </w:pPr>
            <w:r w:rsidRPr="00AD78D4">
              <w:t>50,000</w:t>
            </w:r>
          </w:p>
        </w:tc>
      </w:tr>
      <w:tr w:rsidR="0050196F" w:rsidRPr="00B6199F" w14:paraId="607B9B3B" w14:textId="77777777" w:rsidTr="00DB5974">
        <w:trPr>
          <w:trHeight w:val="170"/>
        </w:trPr>
        <w:tc>
          <w:tcPr>
            <w:tcW w:w="3707" w:type="pct"/>
            <w:noWrap/>
          </w:tcPr>
          <w:p w14:paraId="227C33BC" w14:textId="53EDF01C" w:rsidR="0050196F" w:rsidRPr="00AD78D4" w:rsidRDefault="0050196F" w:rsidP="00C347FD">
            <w:pPr>
              <w:pStyle w:val="ARGrantstabletext"/>
              <w:rPr>
                <w:b/>
              </w:rPr>
            </w:pPr>
            <w:r w:rsidRPr="00AD78D4">
              <w:t>Leongatha Men</w:t>
            </w:r>
            <w:r w:rsidR="00711AE6">
              <w:t>’</w:t>
            </w:r>
            <w:r w:rsidRPr="00AD78D4">
              <w:t xml:space="preserve">s Shed </w:t>
            </w:r>
            <w:r w:rsidR="003B5B30">
              <w:t>Inc</w:t>
            </w:r>
          </w:p>
        </w:tc>
        <w:tc>
          <w:tcPr>
            <w:tcW w:w="1293" w:type="pct"/>
            <w:noWrap/>
          </w:tcPr>
          <w:p w14:paraId="11D982CD" w14:textId="77777777" w:rsidR="0050196F" w:rsidRPr="00AD78D4" w:rsidRDefault="0050196F" w:rsidP="00EB1291">
            <w:pPr>
              <w:pStyle w:val="ARGrantstabletextright"/>
              <w:rPr>
                <w:b/>
              </w:rPr>
            </w:pPr>
            <w:r w:rsidRPr="00AD78D4">
              <w:t>21,921</w:t>
            </w:r>
          </w:p>
        </w:tc>
      </w:tr>
      <w:tr w:rsidR="0050196F" w:rsidRPr="00B6199F" w14:paraId="25E5845B" w14:textId="77777777" w:rsidTr="00DB5974">
        <w:trPr>
          <w:trHeight w:val="170"/>
        </w:trPr>
        <w:tc>
          <w:tcPr>
            <w:tcW w:w="3707" w:type="pct"/>
            <w:noWrap/>
          </w:tcPr>
          <w:p w14:paraId="00FF1F72" w14:textId="18B1A922" w:rsidR="0050196F" w:rsidRPr="00AD78D4" w:rsidRDefault="0050196F" w:rsidP="00C347FD">
            <w:pPr>
              <w:pStyle w:val="ARGrantstabletext"/>
              <w:rPr>
                <w:b/>
              </w:rPr>
            </w:pPr>
            <w:r w:rsidRPr="00AD78D4">
              <w:t>Maldon Men</w:t>
            </w:r>
            <w:r w:rsidR="00711AE6">
              <w:t>’</w:t>
            </w:r>
            <w:r w:rsidRPr="00AD78D4">
              <w:t xml:space="preserve">s Shed </w:t>
            </w:r>
            <w:r w:rsidR="003B5B30">
              <w:t>Inc</w:t>
            </w:r>
          </w:p>
        </w:tc>
        <w:tc>
          <w:tcPr>
            <w:tcW w:w="1293" w:type="pct"/>
            <w:noWrap/>
          </w:tcPr>
          <w:p w14:paraId="5666194D" w14:textId="77777777" w:rsidR="0050196F" w:rsidRPr="00AD78D4" w:rsidRDefault="0050196F" w:rsidP="00EB1291">
            <w:pPr>
              <w:pStyle w:val="ARGrantstabletextright"/>
              <w:rPr>
                <w:b/>
              </w:rPr>
            </w:pPr>
            <w:r w:rsidRPr="00AD78D4">
              <w:t>3,481</w:t>
            </w:r>
          </w:p>
        </w:tc>
      </w:tr>
      <w:tr w:rsidR="0050196F" w:rsidRPr="00B6199F" w14:paraId="1178A02A" w14:textId="77777777" w:rsidTr="00DB5974">
        <w:trPr>
          <w:trHeight w:val="170"/>
        </w:trPr>
        <w:tc>
          <w:tcPr>
            <w:tcW w:w="3707" w:type="pct"/>
            <w:noWrap/>
          </w:tcPr>
          <w:p w14:paraId="71134CC8" w14:textId="72B249C7" w:rsidR="0050196F" w:rsidRPr="00AD78D4" w:rsidRDefault="0050196F" w:rsidP="00C347FD">
            <w:pPr>
              <w:pStyle w:val="ARGrantstabletext"/>
              <w:rPr>
                <w:b/>
              </w:rPr>
            </w:pPr>
            <w:r w:rsidRPr="00AD78D4">
              <w:t xml:space="preserve">Maryborough Community House </w:t>
            </w:r>
            <w:r w:rsidR="003B5B30">
              <w:t>Inc</w:t>
            </w:r>
          </w:p>
        </w:tc>
        <w:tc>
          <w:tcPr>
            <w:tcW w:w="1293" w:type="pct"/>
            <w:noWrap/>
          </w:tcPr>
          <w:p w14:paraId="0C757791" w14:textId="77777777" w:rsidR="0050196F" w:rsidRPr="00AD78D4" w:rsidRDefault="0050196F" w:rsidP="00EB1291">
            <w:pPr>
              <w:pStyle w:val="ARGrantstabletextright"/>
              <w:rPr>
                <w:b/>
              </w:rPr>
            </w:pPr>
            <w:r w:rsidRPr="00AD78D4">
              <w:t>100,000</w:t>
            </w:r>
          </w:p>
        </w:tc>
      </w:tr>
      <w:tr w:rsidR="0050196F" w:rsidRPr="00B6199F" w14:paraId="250E6908" w14:textId="77777777" w:rsidTr="00DB5974">
        <w:trPr>
          <w:trHeight w:val="170"/>
        </w:trPr>
        <w:tc>
          <w:tcPr>
            <w:tcW w:w="3707" w:type="pct"/>
            <w:noWrap/>
          </w:tcPr>
          <w:p w14:paraId="5BA51E5C" w14:textId="77777777" w:rsidR="0050196F" w:rsidRPr="00AD78D4" w:rsidRDefault="0050196F" w:rsidP="00C347FD">
            <w:pPr>
              <w:pStyle w:val="ARGrantstabletext"/>
              <w:rPr>
                <w:b/>
              </w:rPr>
            </w:pPr>
            <w:r w:rsidRPr="00AD78D4">
              <w:t>Melbourne Steam Traction Engine Club</w:t>
            </w:r>
          </w:p>
        </w:tc>
        <w:tc>
          <w:tcPr>
            <w:tcW w:w="1293" w:type="pct"/>
            <w:noWrap/>
          </w:tcPr>
          <w:p w14:paraId="688A849D" w14:textId="77777777" w:rsidR="0050196F" w:rsidRPr="00AD78D4" w:rsidRDefault="0050196F" w:rsidP="00EB1291">
            <w:pPr>
              <w:pStyle w:val="ARGrantstabletextright"/>
              <w:rPr>
                <w:b/>
              </w:rPr>
            </w:pPr>
            <w:r w:rsidRPr="00AD78D4">
              <w:t>50,000</w:t>
            </w:r>
          </w:p>
        </w:tc>
      </w:tr>
      <w:tr w:rsidR="0050196F" w:rsidRPr="00B6199F" w14:paraId="2D942A85" w14:textId="77777777" w:rsidTr="00DB5974">
        <w:trPr>
          <w:trHeight w:val="170"/>
        </w:trPr>
        <w:tc>
          <w:tcPr>
            <w:tcW w:w="3707" w:type="pct"/>
            <w:noWrap/>
          </w:tcPr>
          <w:p w14:paraId="34E02442" w14:textId="3CC53B9F" w:rsidR="0050196F" w:rsidRPr="00AD78D4" w:rsidRDefault="0050196F" w:rsidP="00C347FD">
            <w:pPr>
              <w:pStyle w:val="ARGrantstabletext"/>
              <w:rPr>
                <w:b/>
              </w:rPr>
            </w:pPr>
            <w:r w:rsidRPr="00AD78D4">
              <w:t>Morwell Men</w:t>
            </w:r>
            <w:r w:rsidR="00711AE6">
              <w:t>’</w:t>
            </w:r>
            <w:r w:rsidRPr="00AD78D4">
              <w:t>s Shed</w:t>
            </w:r>
          </w:p>
        </w:tc>
        <w:tc>
          <w:tcPr>
            <w:tcW w:w="1293" w:type="pct"/>
            <w:noWrap/>
          </w:tcPr>
          <w:p w14:paraId="15DBD557" w14:textId="77777777" w:rsidR="0050196F" w:rsidRPr="00AD78D4" w:rsidRDefault="0050196F" w:rsidP="00EB1291">
            <w:pPr>
              <w:pStyle w:val="ARGrantstabletextright"/>
              <w:rPr>
                <w:b/>
              </w:rPr>
            </w:pPr>
            <w:r w:rsidRPr="00AD78D4">
              <w:t>77,589</w:t>
            </w:r>
          </w:p>
        </w:tc>
      </w:tr>
      <w:tr w:rsidR="0050196F" w:rsidRPr="00B6199F" w14:paraId="5C5D3BAB" w14:textId="77777777" w:rsidTr="00DB5974">
        <w:trPr>
          <w:trHeight w:val="170"/>
        </w:trPr>
        <w:tc>
          <w:tcPr>
            <w:tcW w:w="3707" w:type="pct"/>
            <w:noWrap/>
          </w:tcPr>
          <w:p w14:paraId="283007D6" w14:textId="77777777" w:rsidR="0050196F" w:rsidRPr="00AD78D4" w:rsidRDefault="0050196F" w:rsidP="00C347FD">
            <w:pPr>
              <w:pStyle w:val="ARGrantstabletext"/>
              <w:rPr>
                <w:b/>
              </w:rPr>
            </w:pPr>
            <w:r w:rsidRPr="00AD78D4">
              <w:t>Mount Beauty Neighbourhood Centre</w:t>
            </w:r>
          </w:p>
        </w:tc>
        <w:tc>
          <w:tcPr>
            <w:tcW w:w="1293" w:type="pct"/>
            <w:noWrap/>
          </w:tcPr>
          <w:p w14:paraId="55A95636" w14:textId="77777777" w:rsidR="0050196F" w:rsidRPr="00AD78D4" w:rsidRDefault="0050196F" w:rsidP="00EB1291">
            <w:pPr>
              <w:pStyle w:val="ARGrantstabletextright"/>
              <w:rPr>
                <w:b/>
              </w:rPr>
            </w:pPr>
            <w:r w:rsidRPr="00AD78D4">
              <w:t>80,000</w:t>
            </w:r>
          </w:p>
        </w:tc>
      </w:tr>
      <w:tr w:rsidR="0050196F" w:rsidRPr="00B6199F" w14:paraId="2418A1F0" w14:textId="77777777" w:rsidTr="00DB5974">
        <w:trPr>
          <w:trHeight w:val="170"/>
        </w:trPr>
        <w:tc>
          <w:tcPr>
            <w:tcW w:w="3707" w:type="pct"/>
            <w:noWrap/>
          </w:tcPr>
          <w:p w14:paraId="7FC6F818" w14:textId="77777777" w:rsidR="0050196F" w:rsidRPr="00AD78D4" w:rsidRDefault="0050196F" w:rsidP="00C347FD">
            <w:pPr>
              <w:pStyle w:val="ARGrantstabletext"/>
              <w:rPr>
                <w:b/>
              </w:rPr>
            </w:pPr>
            <w:r w:rsidRPr="00AD78D4">
              <w:t>Mount Evelyn Community House</w:t>
            </w:r>
          </w:p>
        </w:tc>
        <w:tc>
          <w:tcPr>
            <w:tcW w:w="1293" w:type="pct"/>
            <w:noWrap/>
          </w:tcPr>
          <w:p w14:paraId="0F289CEB" w14:textId="77777777" w:rsidR="0050196F" w:rsidRPr="00AD78D4" w:rsidRDefault="0050196F" w:rsidP="00EB1291">
            <w:pPr>
              <w:pStyle w:val="ARGrantstabletextright"/>
              <w:rPr>
                <w:b/>
              </w:rPr>
            </w:pPr>
            <w:r w:rsidRPr="00AD78D4">
              <w:t>15,000</w:t>
            </w:r>
          </w:p>
        </w:tc>
      </w:tr>
      <w:tr w:rsidR="0050196F" w:rsidRPr="00B6199F" w14:paraId="297B13D9" w14:textId="77777777" w:rsidTr="00DB5974">
        <w:trPr>
          <w:trHeight w:val="170"/>
        </w:trPr>
        <w:tc>
          <w:tcPr>
            <w:tcW w:w="3707" w:type="pct"/>
            <w:noWrap/>
          </w:tcPr>
          <w:p w14:paraId="6009415D" w14:textId="05A890B3" w:rsidR="0050196F" w:rsidRPr="00AD78D4" w:rsidRDefault="0050196F" w:rsidP="00C347FD">
            <w:pPr>
              <w:pStyle w:val="ARGrantstabletext"/>
              <w:rPr>
                <w:b/>
              </w:rPr>
            </w:pPr>
            <w:r w:rsidRPr="00AD78D4">
              <w:t>Mountain District Women</w:t>
            </w:r>
            <w:r w:rsidR="00981E3A">
              <w:t>’</w:t>
            </w:r>
            <w:r w:rsidRPr="00AD78D4">
              <w:t>s Cooperative</w:t>
            </w:r>
            <w:r w:rsidR="00097FC8">
              <w:rPr>
                <w:b/>
              </w:rPr>
              <w:t> </w:t>
            </w:r>
            <w:r w:rsidRPr="00AD78D4">
              <w:t>Ltd</w:t>
            </w:r>
          </w:p>
        </w:tc>
        <w:tc>
          <w:tcPr>
            <w:tcW w:w="1293" w:type="pct"/>
            <w:noWrap/>
          </w:tcPr>
          <w:p w14:paraId="5E1D6A12" w14:textId="77777777" w:rsidR="0050196F" w:rsidRPr="00AD78D4" w:rsidRDefault="0050196F" w:rsidP="00EB1291">
            <w:pPr>
              <w:pStyle w:val="ARGrantstabletextright"/>
              <w:rPr>
                <w:b/>
              </w:rPr>
            </w:pPr>
            <w:r w:rsidRPr="00AD78D4">
              <w:t>37,377</w:t>
            </w:r>
          </w:p>
        </w:tc>
      </w:tr>
      <w:tr w:rsidR="0050196F" w:rsidRPr="00B6199F" w14:paraId="1F862A73" w14:textId="77777777" w:rsidTr="00DB5974">
        <w:trPr>
          <w:trHeight w:val="170"/>
        </w:trPr>
        <w:tc>
          <w:tcPr>
            <w:tcW w:w="3707" w:type="pct"/>
            <w:noWrap/>
          </w:tcPr>
          <w:p w14:paraId="71B54777" w14:textId="758D24FD" w:rsidR="0050196F" w:rsidRPr="00AD78D4" w:rsidRDefault="0050196F" w:rsidP="00C347FD">
            <w:pPr>
              <w:pStyle w:val="ARGrantstabletext"/>
              <w:rPr>
                <w:b/>
              </w:rPr>
            </w:pPr>
            <w:r w:rsidRPr="00AD78D4">
              <w:t>Newborough Men</w:t>
            </w:r>
            <w:r w:rsidR="00711AE6">
              <w:t>’</w:t>
            </w:r>
            <w:r w:rsidRPr="00AD78D4">
              <w:t>s Shed</w:t>
            </w:r>
          </w:p>
        </w:tc>
        <w:tc>
          <w:tcPr>
            <w:tcW w:w="1293" w:type="pct"/>
            <w:noWrap/>
          </w:tcPr>
          <w:p w14:paraId="5283A60D" w14:textId="77777777" w:rsidR="0050196F" w:rsidRPr="00AD78D4" w:rsidRDefault="0050196F" w:rsidP="00EB1291">
            <w:pPr>
              <w:pStyle w:val="ARGrantstabletextright"/>
              <w:rPr>
                <w:b/>
              </w:rPr>
            </w:pPr>
            <w:r w:rsidRPr="00AD78D4">
              <w:t>6,731</w:t>
            </w:r>
          </w:p>
        </w:tc>
      </w:tr>
      <w:tr w:rsidR="0050196F" w:rsidRPr="00B6199F" w14:paraId="186EAB7A" w14:textId="77777777" w:rsidTr="00DB5974">
        <w:trPr>
          <w:trHeight w:val="170"/>
        </w:trPr>
        <w:tc>
          <w:tcPr>
            <w:tcW w:w="3707" w:type="pct"/>
            <w:noWrap/>
          </w:tcPr>
          <w:p w14:paraId="79173C90" w14:textId="77777777" w:rsidR="0050196F" w:rsidRPr="00AD78D4" w:rsidRDefault="0050196F" w:rsidP="00C347FD">
            <w:pPr>
              <w:pStyle w:val="ARGrantstabletext"/>
              <w:rPr>
                <w:b/>
              </w:rPr>
            </w:pPr>
            <w:r w:rsidRPr="00AD78D4">
              <w:t>Newstead 2021 Incorporated</w:t>
            </w:r>
          </w:p>
        </w:tc>
        <w:tc>
          <w:tcPr>
            <w:tcW w:w="1293" w:type="pct"/>
            <w:noWrap/>
          </w:tcPr>
          <w:p w14:paraId="0B7B68C3" w14:textId="77777777" w:rsidR="0050196F" w:rsidRPr="00AD78D4" w:rsidRDefault="0050196F" w:rsidP="00EB1291">
            <w:pPr>
              <w:pStyle w:val="ARGrantstabletextright"/>
              <w:rPr>
                <w:b/>
              </w:rPr>
            </w:pPr>
            <w:r w:rsidRPr="00AD78D4">
              <w:t>100,000</w:t>
            </w:r>
          </w:p>
        </w:tc>
      </w:tr>
      <w:tr w:rsidR="0050196F" w:rsidRPr="00B6199F" w14:paraId="32CC1142" w14:textId="77777777" w:rsidTr="00DB5974">
        <w:trPr>
          <w:trHeight w:val="170"/>
        </w:trPr>
        <w:tc>
          <w:tcPr>
            <w:tcW w:w="3707" w:type="pct"/>
            <w:noWrap/>
          </w:tcPr>
          <w:p w14:paraId="68B5285B" w14:textId="42D10322" w:rsidR="0050196F" w:rsidRPr="00AD78D4" w:rsidRDefault="0050196F" w:rsidP="00C347FD">
            <w:pPr>
              <w:pStyle w:val="ARGrantstabletext"/>
              <w:rPr>
                <w:b/>
              </w:rPr>
            </w:pPr>
            <w:r w:rsidRPr="00AD78D4">
              <w:t>Ocean Grove &amp; District Men</w:t>
            </w:r>
            <w:r w:rsidR="00711AE6">
              <w:t>’</w:t>
            </w:r>
            <w:r w:rsidRPr="00AD78D4">
              <w:t>s Shed Inc</w:t>
            </w:r>
          </w:p>
        </w:tc>
        <w:tc>
          <w:tcPr>
            <w:tcW w:w="1293" w:type="pct"/>
            <w:noWrap/>
          </w:tcPr>
          <w:p w14:paraId="08DA1E60" w14:textId="77777777" w:rsidR="0050196F" w:rsidRPr="00AD78D4" w:rsidRDefault="0050196F" w:rsidP="00EB1291">
            <w:pPr>
              <w:pStyle w:val="ARGrantstabletextright"/>
              <w:rPr>
                <w:b/>
              </w:rPr>
            </w:pPr>
            <w:r w:rsidRPr="00AD78D4">
              <w:t>40,000</w:t>
            </w:r>
          </w:p>
        </w:tc>
      </w:tr>
      <w:tr w:rsidR="0050196F" w:rsidRPr="00B6199F" w14:paraId="7FA8E1ED" w14:textId="77777777" w:rsidTr="00DB5974">
        <w:trPr>
          <w:trHeight w:val="170"/>
        </w:trPr>
        <w:tc>
          <w:tcPr>
            <w:tcW w:w="3707" w:type="pct"/>
            <w:noWrap/>
          </w:tcPr>
          <w:p w14:paraId="59BED649" w14:textId="6B2DF69E" w:rsidR="0050196F" w:rsidRPr="00AD78D4" w:rsidRDefault="0050196F" w:rsidP="00C347FD">
            <w:pPr>
              <w:pStyle w:val="ARGrantstabletext"/>
              <w:rPr>
                <w:b/>
              </w:rPr>
            </w:pPr>
            <w:r w:rsidRPr="00AD78D4">
              <w:t>Park Orchards Community House and Learning</w:t>
            </w:r>
            <w:r w:rsidR="001E3EAC">
              <w:t> </w:t>
            </w:r>
            <w:r w:rsidRPr="00AD78D4">
              <w:t>Centre</w:t>
            </w:r>
          </w:p>
        </w:tc>
        <w:tc>
          <w:tcPr>
            <w:tcW w:w="1293" w:type="pct"/>
            <w:noWrap/>
          </w:tcPr>
          <w:p w14:paraId="092F8909" w14:textId="77777777" w:rsidR="0050196F" w:rsidRPr="00AD78D4" w:rsidRDefault="0050196F" w:rsidP="00EB1291">
            <w:pPr>
              <w:pStyle w:val="ARGrantstabletextright"/>
              <w:rPr>
                <w:b/>
              </w:rPr>
            </w:pPr>
            <w:r w:rsidRPr="00AD78D4">
              <w:t>60,000</w:t>
            </w:r>
          </w:p>
        </w:tc>
      </w:tr>
      <w:tr w:rsidR="0050196F" w:rsidRPr="00B6199F" w14:paraId="552CF7DE" w14:textId="77777777" w:rsidTr="00DB5974">
        <w:trPr>
          <w:trHeight w:val="170"/>
        </w:trPr>
        <w:tc>
          <w:tcPr>
            <w:tcW w:w="3707" w:type="pct"/>
            <w:noWrap/>
          </w:tcPr>
          <w:p w14:paraId="0CF04221" w14:textId="77777777" w:rsidR="0050196F" w:rsidRPr="00AD78D4" w:rsidRDefault="0050196F" w:rsidP="00C347FD">
            <w:pPr>
              <w:pStyle w:val="ARGrantstabletext"/>
              <w:rPr>
                <w:b/>
              </w:rPr>
            </w:pPr>
            <w:r w:rsidRPr="00AD78D4">
              <w:t>Port Phillip Community Group</w:t>
            </w:r>
          </w:p>
        </w:tc>
        <w:tc>
          <w:tcPr>
            <w:tcW w:w="1293" w:type="pct"/>
            <w:noWrap/>
          </w:tcPr>
          <w:p w14:paraId="7825975E" w14:textId="77777777" w:rsidR="0050196F" w:rsidRPr="00AD78D4" w:rsidRDefault="0050196F" w:rsidP="00EB1291">
            <w:pPr>
              <w:pStyle w:val="ARGrantstabletextright"/>
              <w:rPr>
                <w:b/>
              </w:rPr>
            </w:pPr>
            <w:r w:rsidRPr="00AD78D4">
              <w:t>55,000</w:t>
            </w:r>
          </w:p>
        </w:tc>
      </w:tr>
      <w:tr w:rsidR="0050196F" w:rsidRPr="00B6199F" w14:paraId="3D4657C8" w14:textId="77777777" w:rsidTr="00DB5974">
        <w:trPr>
          <w:trHeight w:val="170"/>
        </w:trPr>
        <w:tc>
          <w:tcPr>
            <w:tcW w:w="3707" w:type="pct"/>
            <w:noWrap/>
          </w:tcPr>
          <w:p w14:paraId="392DF044" w14:textId="77777777" w:rsidR="0050196F" w:rsidRPr="00AD78D4" w:rsidRDefault="0050196F" w:rsidP="00C347FD">
            <w:pPr>
              <w:pStyle w:val="ARGrantstabletext"/>
              <w:rPr>
                <w:b/>
              </w:rPr>
            </w:pPr>
            <w:r w:rsidRPr="00AD78D4">
              <w:t>Preston Neighbourhood House</w:t>
            </w:r>
          </w:p>
        </w:tc>
        <w:tc>
          <w:tcPr>
            <w:tcW w:w="1293" w:type="pct"/>
            <w:noWrap/>
          </w:tcPr>
          <w:p w14:paraId="32673AC5" w14:textId="77777777" w:rsidR="0050196F" w:rsidRPr="00AD78D4" w:rsidRDefault="0050196F" w:rsidP="00EB1291">
            <w:pPr>
              <w:pStyle w:val="ARGrantstabletextright"/>
              <w:rPr>
                <w:b/>
              </w:rPr>
            </w:pPr>
            <w:r w:rsidRPr="00AD78D4">
              <w:t>100,000</w:t>
            </w:r>
          </w:p>
        </w:tc>
      </w:tr>
      <w:tr w:rsidR="0050196F" w:rsidRPr="00B6199F" w14:paraId="01EB8D4A" w14:textId="77777777" w:rsidTr="00DB5974">
        <w:trPr>
          <w:trHeight w:val="170"/>
        </w:trPr>
        <w:tc>
          <w:tcPr>
            <w:tcW w:w="3707" w:type="pct"/>
            <w:noWrap/>
          </w:tcPr>
          <w:p w14:paraId="4EA260AF" w14:textId="60237F84" w:rsidR="0050196F" w:rsidRPr="00AD78D4" w:rsidRDefault="0050196F" w:rsidP="00C347FD">
            <w:pPr>
              <w:pStyle w:val="ARGrantstabletext"/>
              <w:rPr>
                <w:b/>
              </w:rPr>
            </w:pPr>
            <w:r w:rsidRPr="00AD78D4">
              <w:t xml:space="preserve">Quambatook </w:t>
            </w:r>
            <w:r w:rsidRPr="00097FC8">
              <w:t>Community</w:t>
            </w:r>
            <w:r w:rsidRPr="00AD78D4">
              <w:t xml:space="preserve"> Resource</w:t>
            </w:r>
            <w:r w:rsidR="00097FC8">
              <w:rPr>
                <w:b/>
              </w:rPr>
              <w:t> </w:t>
            </w:r>
            <w:r w:rsidRPr="00AD78D4">
              <w:t>Centre</w:t>
            </w:r>
          </w:p>
        </w:tc>
        <w:tc>
          <w:tcPr>
            <w:tcW w:w="1293" w:type="pct"/>
            <w:noWrap/>
          </w:tcPr>
          <w:p w14:paraId="4663E8EC" w14:textId="77777777" w:rsidR="0050196F" w:rsidRPr="00AD78D4" w:rsidRDefault="0050196F" w:rsidP="00EB1291">
            <w:pPr>
              <w:pStyle w:val="ARGrantstabletextright"/>
              <w:rPr>
                <w:b/>
              </w:rPr>
            </w:pPr>
            <w:r w:rsidRPr="00AD78D4">
              <w:t>6,505</w:t>
            </w:r>
          </w:p>
        </w:tc>
      </w:tr>
      <w:tr w:rsidR="0050196F" w:rsidRPr="00B6199F" w14:paraId="4127FD95" w14:textId="77777777" w:rsidTr="00DB5974">
        <w:trPr>
          <w:trHeight w:val="170"/>
        </w:trPr>
        <w:tc>
          <w:tcPr>
            <w:tcW w:w="3707" w:type="pct"/>
            <w:noWrap/>
          </w:tcPr>
          <w:p w14:paraId="44980468" w14:textId="77777777" w:rsidR="0050196F" w:rsidRPr="00AD78D4" w:rsidRDefault="0050196F" w:rsidP="00C347FD">
            <w:pPr>
              <w:pStyle w:val="ARGrantstabletext"/>
              <w:rPr>
                <w:b/>
              </w:rPr>
            </w:pPr>
            <w:r w:rsidRPr="00AD78D4">
              <w:t>Reservoir Neighbourhood House Inc</w:t>
            </w:r>
          </w:p>
        </w:tc>
        <w:tc>
          <w:tcPr>
            <w:tcW w:w="1293" w:type="pct"/>
            <w:noWrap/>
          </w:tcPr>
          <w:p w14:paraId="16EDF04A" w14:textId="77777777" w:rsidR="0050196F" w:rsidRPr="00AD78D4" w:rsidRDefault="0050196F" w:rsidP="00EB1291">
            <w:pPr>
              <w:pStyle w:val="ARGrantstabletextright"/>
              <w:rPr>
                <w:b/>
              </w:rPr>
            </w:pPr>
            <w:r w:rsidRPr="00AD78D4">
              <w:t>200,000</w:t>
            </w:r>
          </w:p>
        </w:tc>
      </w:tr>
      <w:tr w:rsidR="0050196F" w:rsidRPr="00B6199F" w14:paraId="0F32781F" w14:textId="77777777" w:rsidTr="00DB5974">
        <w:trPr>
          <w:trHeight w:val="170"/>
        </w:trPr>
        <w:tc>
          <w:tcPr>
            <w:tcW w:w="3707" w:type="pct"/>
            <w:noWrap/>
          </w:tcPr>
          <w:p w14:paraId="36380789" w14:textId="77777777" w:rsidR="0050196F" w:rsidRPr="006608F0" w:rsidRDefault="0050196F" w:rsidP="00C347FD">
            <w:pPr>
              <w:pStyle w:val="ARGrantstabletext"/>
              <w:rPr>
                <w:b/>
                <w:color w:val="000000"/>
                <w:spacing w:val="-4"/>
              </w:rPr>
            </w:pPr>
            <w:r w:rsidRPr="006608F0">
              <w:rPr>
                <w:color w:val="000000"/>
                <w:spacing w:val="-4"/>
              </w:rPr>
              <w:t>Resurrection Catholic Church Keysborough trading as Keysborough Learning Centre (KLC)</w:t>
            </w:r>
          </w:p>
        </w:tc>
        <w:tc>
          <w:tcPr>
            <w:tcW w:w="1293" w:type="pct"/>
            <w:noWrap/>
          </w:tcPr>
          <w:p w14:paraId="1E85D469" w14:textId="77777777" w:rsidR="0050196F" w:rsidRPr="00AD78D4" w:rsidRDefault="0050196F" w:rsidP="00EB1291">
            <w:pPr>
              <w:pStyle w:val="ARGrantstabletextright"/>
              <w:rPr>
                <w:b/>
              </w:rPr>
            </w:pPr>
            <w:r w:rsidRPr="00AD78D4">
              <w:t>80,000</w:t>
            </w:r>
          </w:p>
        </w:tc>
      </w:tr>
      <w:tr w:rsidR="0050196F" w:rsidRPr="00B6199F" w14:paraId="126D81E0" w14:textId="77777777" w:rsidTr="00DB5974">
        <w:trPr>
          <w:trHeight w:val="170"/>
        </w:trPr>
        <w:tc>
          <w:tcPr>
            <w:tcW w:w="3707" w:type="pct"/>
            <w:noWrap/>
          </w:tcPr>
          <w:p w14:paraId="1E36E4AD" w14:textId="1BB44F1A" w:rsidR="0050196F" w:rsidRPr="00AD78D4" w:rsidRDefault="0050196F" w:rsidP="00C347FD">
            <w:pPr>
              <w:pStyle w:val="ARGrantstabletext"/>
              <w:rPr>
                <w:b/>
                <w:color w:val="000000"/>
              </w:rPr>
            </w:pPr>
            <w:r w:rsidRPr="00AD78D4">
              <w:rPr>
                <w:color w:val="000000"/>
              </w:rPr>
              <w:t>Riddells Creek Neighbourhood House</w:t>
            </w:r>
            <w:r w:rsidR="000A379F">
              <w:rPr>
                <w:color w:val="000000"/>
              </w:rPr>
              <w:t> </w:t>
            </w:r>
            <w:r w:rsidRPr="00AD78D4">
              <w:rPr>
                <w:color w:val="000000"/>
              </w:rPr>
              <w:t>Inc</w:t>
            </w:r>
          </w:p>
        </w:tc>
        <w:tc>
          <w:tcPr>
            <w:tcW w:w="1293" w:type="pct"/>
            <w:noWrap/>
          </w:tcPr>
          <w:p w14:paraId="3AEF8927" w14:textId="77777777" w:rsidR="0050196F" w:rsidRPr="00AD78D4" w:rsidRDefault="0050196F" w:rsidP="00EB1291">
            <w:pPr>
              <w:pStyle w:val="ARGrantstabletextright"/>
              <w:rPr>
                <w:b/>
              </w:rPr>
            </w:pPr>
            <w:r w:rsidRPr="00AD78D4">
              <w:t>50,000</w:t>
            </w:r>
          </w:p>
        </w:tc>
      </w:tr>
      <w:tr w:rsidR="0050196F" w:rsidRPr="00B6199F" w14:paraId="44298C0A" w14:textId="77777777" w:rsidTr="00DB5974">
        <w:trPr>
          <w:trHeight w:val="170"/>
        </w:trPr>
        <w:tc>
          <w:tcPr>
            <w:tcW w:w="3707" w:type="pct"/>
            <w:noWrap/>
          </w:tcPr>
          <w:p w14:paraId="0E1C26A6" w14:textId="677207B1" w:rsidR="0050196F" w:rsidRPr="00AD78D4" w:rsidRDefault="0050196F" w:rsidP="00C347FD">
            <w:pPr>
              <w:pStyle w:val="ARGrantstabletext"/>
              <w:rPr>
                <w:b/>
                <w:color w:val="000000"/>
              </w:rPr>
            </w:pPr>
            <w:r w:rsidRPr="00AD78D4">
              <w:rPr>
                <w:color w:val="000000"/>
              </w:rPr>
              <w:t xml:space="preserve">Rosedale Neighbourhood House </w:t>
            </w:r>
            <w:r w:rsidR="003B5B30">
              <w:rPr>
                <w:color w:val="000000"/>
              </w:rPr>
              <w:t>Inc</w:t>
            </w:r>
          </w:p>
        </w:tc>
        <w:tc>
          <w:tcPr>
            <w:tcW w:w="1293" w:type="pct"/>
            <w:noWrap/>
          </w:tcPr>
          <w:p w14:paraId="69037197" w14:textId="77777777" w:rsidR="0050196F" w:rsidRPr="00AD78D4" w:rsidRDefault="0050196F" w:rsidP="00EB1291">
            <w:pPr>
              <w:pStyle w:val="ARGrantstabletextright"/>
              <w:rPr>
                <w:b/>
              </w:rPr>
            </w:pPr>
            <w:r w:rsidRPr="00AD78D4">
              <w:t>100,000</w:t>
            </w:r>
          </w:p>
        </w:tc>
      </w:tr>
      <w:tr w:rsidR="0050196F" w:rsidRPr="00B6199F" w14:paraId="0C001DD7" w14:textId="77777777" w:rsidTr="00DB5974">
        <w:trPr>
          <w:trHeight w:val="170"/>
        </w:trPr>
        <w:tc>
          <w:tcPr>
            <w:tcW w:w="3707" w:type="pct"/>
            <w:noWrap/>
          </w:tcPr>
          <w:p w14:paraId="08EE41D7" w14:textId="77777777" w:rsidR="0050196F" w:rsidRPr="00AD78D4" w:rsidRDefault="0050196F" w:rsidP="00C347FD">
            <w:pPr>
              <w:pStyle w:val="ARGrantstabletext"/>
              <w:rPr>
                <w:b/>
                <w:color w:val="000000"/>
              </w:rPr>
            </w:pPr>
            <w:r w:rsidRPr="00AD78D4">
              <w:rPr>
                <w:color w:val="000000"/>
              </w:rPr>
              <w:t>Sikh Volunteers Australia Incorporated</w:t>
            </w:r>
          </w:p>
        </w:tc>
        <w:tc>
          <w:tcPr>
            <w:tcW w:w="1293" w:type="pct"/>
            <w:noWrap/>
          </w:tcPr>
          <w:p w14:paraId="37607F4A" w14:textId="77777777" w:rsidR="0050196F" w:rsidRPr="00AD78D4" w:rsidRDefault="0050196F" w:rsidP="00EB1291">
            <w:pPr>
              <w:pStyle w:val="ARGrantstabletextright"/>
              <w:rPr>
                <w:b/>
              </w:rPr>
            </w:pPr>
            <w:r w:rsidRPr="00AD78D4">
              <w:t>500,000</w:t>
            </w:r>
          </w:p>
        </w:tc>
      </w:tr>
      <w:tr w:rsidR="0050196F" w:rsidRPr="00B6199F" w14:paraId="4C4F7196" w14:textId="77777777" w:rsidTr="00DB5974">
        <w:trPr>
          <w:trHeight w:val="170"/>
        </w:trPr>
        <w:tc>
          <w:tcPr>
            <w:tcW w:w="3707" w:type="pct"/>
            <w:noWrap/>
          </w:tcPr>
          <w:p w14:paraId="7B85806B" w14:textId="39588FA1" w:rsidR="0050196F" w:rsidRPr="00AD78D4" w:rsidRDefault="0050196F" w:rsidP="00C347FD">
            <w:pPr>
              <w:pStyle w:val="ARGrantstabletext"/>
              <w:rPr>
                <w:b/>
                <w:color w:val="000000"/>
              </w:rPr>
            </w:pPr>
            <w:r w:rsidRPr="00AD78D4">
              <w:rPr>
                <w:color w:val="000000"/>
              </w:rPr>
              <w:t>Southern Peninsula Community Support</w:t>
            </w:r>
            <w:r w:rsidR="000A379F">
              <w:rPr>
                <w:color w:val="000000"/>
              </w:rPr>
              <w:t> </w:t>
            </w:r>
            <w:r w:rsidRPr="00AD78D4">
              <w:rPr>
                <w:color w:val="000000"/>
              </w:rPr>
              <w:t>Inc</w:t>
            </w:r>
          </w:p>
        </w:tc>
        <w:tc>
          <w:tcPr>
            <w:tcW w:w="1293" w:type="pct"/>
            <w:noWrap/>
          </w:tcPr>
          <w:p w14:paraId="4B9C755E" w14:textId="77777777" w:rsidR="0050196F" w:rsidRPr="00AD78D4" w:rsidRDefault="0050196F" w:rsidP="00EB1291">
            <w:pPr>
              <w:pStyle w:val="ARGrantstabletextright"/>
              <w:rPr>
                <w:b/>
              </w:rPr>
            </w:pPr>
            <w:r w:rsidRPr="00AD78D4">
              <w:t>50,000</w:t>
            </w:r>
          </w:p>
        </w:tc>
      </w:tr>
      <w:tr w:rsidR="0050196F" w:rsidRPr="00B6199F" w14:paraId="7AE99A29" w14:textId="77777777" w:rsidTr="00DB5974">
        <w:trPr>
          <w:trHeight w:val="170"/>
        </w:trPr>
        <w:tc>
          <w:tcPr>
            <w:tcW w:w="3707" w:type="pct"/>
            <w:noWrap/>
          </w:tcPr>
          <w:p w14:paraId="1EC56A8D" w14:textId="77777777" w:rsidR="0050196F" w:rsidRPr="00AD78D4" w:rsidRDefault="0050196F" w:rsidP="00C347FD">
            <w:pPr>
              <w:pStyle w:val="ARGrantstabletext"/>
              <w:rPr>
                <w:b/>
                <w:color w:val="000000"/>
              </w:rPr>
            </w:pPr>
            <w:r w:rsidRPr="00AD78D4">
              <w:rPr>
                <w:color w:val="000000"/>
              </w:rPr>
              <w:t>SpringDale Neighbourhood Centre Inc</w:t>
            </w:r>
          </w:p>
        </w:tc>
        <w:tc>
          <w:tcPr>
            <w:tcW w:w="1293" w:type="pct"/>
            <w:noWrap/>
          </w:tcPr>
          <w:p w14:paraId="16955BA6" w14:textId="77777777" w:rsidR="0050196F" w:rsidRPr="00AD78D4" w:rsidRDefault="0050196F" w:rsidP="00EB1291">
            <w:pPr>
              <w:pStyle w:val="ARGrantstabletextright"/>
              <w:rPr>
                <w:b/>
              </w:rPr>
            </w:pPr>
            <w:r w:rsidRPr="00AD78D4">
              <w:t>50,000</w:t>
            </w:r>
          </w:p>
        </w:tc>
      </w:tr>
      <w:tr w:rsidR="0050196F" w:rsidRPr="00B6199F" w14:paraId="537C8222" w14:textId="77777777" w:rsidTr="00DB5974">
        <w:trPr>
          <w:trHeight w:val="170"/>
        </w:trPr>
        <w:tc>
          <w:tcPr>
            <w:tcW w:w="3707" w:type="pct"/>
            <w:noWrap/>
          </w:tcPr>
          <w:p w14:paraId="6ECC1333" w14:textId="77777777" w:rsidR="0050196F" w:rsidRPr="00AD78D4" w:rsidRDefault="0050196F" w:rsidP="00C347FD">
            <w:pPr>
              <w:pStyle w:val="ARGrantstabletext"/>
              <w:rPr>
                <w:b/>
                <w:color w:val="000000"/>
              </w:rPr>
            </w:pPr>
            <w:r w:rsidRPr="00AD78D4">
              <w:rPr>
                <w:color w:val="000000"/>
              </w:rPr>
              <w:t>St Kilda Mums Inc</w:t>
            </w:r>
          </w:p>
        </w:tc>
        <w:tc>
          <w:tcPr>
            <w:tcW w:w="1293" w:type="pct"/>
            <w:noWrap/>
          </w:tcPr>
          <w:p w14:paraId="2609728E" w14:textId="77777777" w:rsidR="0050196F" w:rsidRPr="00AD78D4" w:rsidRDefault="0050196F" w:rsidP="00EB1291">
            <w:pPr>
              <w:pStyle w:val="ARGrantstabletextright"/>
              <w:rPr>
                <w:b/>
              </w:rPr>
            </w:pPr>
            <w:r w:rsidRPr="00AD78D4">
              <w:t>100,000</w:t>
            </w:r>
          </w:p>
        </w:tc>
      </w:tr>
      <w:tr w:rsidR="0050196F" w:rsidRPr="00B6199F" w14:paraId="32694396" w14:textId="77777777" w:rsidTr="00DB5974">
        <w:trPr>
          <w:trHeight w:val="170"/>
        </w:trPr>
        <w:tc>
          <w:tcPr>
            <w:tcW w:w="3707" w:type="pct"/>
            <w:noWrap/>
          </w:tcPr>
          <w:p w14:paraId="6A99364E" w14:textId="1C9DF110" w:rsidR="0050196F" w:rsidRPr="00AD78D4" w:rsidRDefault="0050196F" w:rsidP="00C347FD">
            <w:pPr>
              <w:pStyle w:val="ARGrantstabletext"/>
              <w:rPr>
                <w:b/>
                <w:color w:val="000000"/>
              </w:rPr>
            </w:pPr>
            <w:r w:rsidRPr="00AD78D4">
              <w:rPr>
                <w:color w:val="000000"/>
              </w:rPr>
              <w:t xml:space="preserve">Swan Hill Neighbourhood House </w:t>
            </w:r>
            <w:r w:rsidR="003B5B30">
              <w:rPr>
                <w:color w:val="000000"/>
              </w:rPr>
              <w:t>Inc</w:t>
            </w:r>
          </w:p>
        </w:tc>
        <w:tc>
          <w:tcPr>
            <w:tcW w:w="1293" w:type="pct"/>
            <w:noWrap/>
          </w:tcPr>
          <w:p w14:paraId="12C53404" w14:textId="77777777" w:rsidR="0050196F" w:rsidRPr="00AD78D4" w:rsidRDefault="0050196F" w:rsidP="00EB1291">
            <w:pPr>
              <w:pStyle w:val="ARGrantstabletextright"/>
              <w:rPr>
                <w:b/>
              </w:rPr>
            </w:pPr>
            <w:r w:rsidRPr="00AD78D4">
              <w:t>18,150</w:t>
            </w:r>
          </w:p>
        </w:tc>
      </w:tr>
      <w:tr w:rsidR="0050196F" w:rsidRPr="00B6199F" w14:paraId="31D922BD" w14:textId="77777777" w:rsidTr="00DB5974">
        <w:trPr>
          <w:trHeight w:val="170"/>
        </w:trPr>
        <w:tc>
          <w:tcPr>
            <w:tcW w:w="3707" w:type="pct"/>
            <w:noWrap/>
          </w:tcPr>
          <w:p w14:paraId="0B52ABEF" w14:textId="3111AAA2" w:rsidR="0050196F" w:rsidRPr="00AD78D4" w:rsidRDefault="0050196F" w:rsidP="00C347FD">
            <w:pPr>
              <w:pStyle w:val="ARGrantstabletext"/>
              <w:rPr>
                <w:b/>
                <w:color w:val="000000"/>
              </w:rPr>
            </w:pPr>
            <w:r w:rsidRPr="00AD78D4">
              <w:rPr>
                <w:color w:val="000000"/>
              </w:rPr>
              <w:t>The Centre: Connecting Community In North &amp;</w:t>
            </w:r>
            <w:r w:rsidR="001E3EAC">
              <w:rPr>
                <w:color w:val="000000"/>
              </w:rPr>
              <w:t> </w:t>
            </w:r>
            <w:r w:rsidRPr="00AD78D4">
              <w:rPr>
                <w:color w:val="000000"/>
              </w:rPr>
              <w:t>West Melbourne Inc</w:t>
            </w:r>
          </w:p>
        </w:tc>
        <w:tc>
          <w:tcPr>
            <w:tcW w:w="1293" w:type="pct"/>
            <w:noWrap/>
          </w:tcPr>
          <w:p w14:paraId="7D9AAC83" w14:textId="77777777" w:rsidR="0050196F" w:rsidRPr="00AD78D4" w:rsidRDefault="0050196F" w:rsidP="00EB1291">
            <w:pPr>
              <w:pStyle w:val="ARGrantstabletextright"/>
              <w:rPr>
                <w:b/>
              </w:rPr>
            </w:pPr>
            <w:r w:rsidRPr="00AD78D4">
              <w:t>40,000</w:t>
            </w:r>
          </w:p>
        </w:tc>
      </w:tr>
      <w:tr w:rsidR="0050196F" w:rsidRPr="00B6199F" w14:paraId="48F57FD7" w14:textId="77777777" w:rsidTr="00DB5974">
        <w:trPr>
          <w:trHeight w:val="170"/>
        </w:trPr>
        <w:tc>
          <w:tcPr>
            <w:tcW w:w="3707" w:type="pct"/>
            <w:noWrap/>
          </w:tcPr>
          <w:p w14:paraId="72167DF4" w14:textId="77777777" w:rsidR="0050196F" w:rsidRPr="00AD78D4" w:rsidRDefault="0050196F" w:rsidP="00C347FD">
            <w:pPr>
              <w:pStyle w:val="ARGrantstabletext"/>
              <w:rPr>
                <w:b/>
                <w:color w:val="000000"/>
              </w:rPr>
            </w:pPr>
            <w:r w:rsidRPr="00AD78D4">
              <w:rPr>
                <w:color w:val="000000"/>
              </w:rPr>
              <w:t>The Philanthropic Collective</w:t>
            </w:r>
          </w:p>
        </w:tc>
        <w:tc>
          <w:tcPr>
            <w:tcW w:w="1293" w:type="pct"/>
            <w:noWrap/>
          </w:tcPr>
          <w:p w14:paraId="63EAFCEA" w14:textId="77777777" w:rsidR="0050196F" w:rsidRPr="00AD78D4" w:rsidRDefault="0050196F" w:rsidP="00EB1291">
            <w:pPr>
              <w:pStyle w:val="ARGrantstabletextright"/>
              <w:rPr>
                <w:b/>
              </w:rPr>
            </w:pPr>
            <w:r w:rsidRPr="00AD78D4">
              <w:t>60,000</w:t>
            </w:r>
          </w:p>
        </w:tc>
      </w:tr>
      <w:tr w:rsidR="0050196F" w:rsidRPr="00B6199F" w14:paraId="3472AE2C" w14:textId="77777777" w:rsidTr="00DB5974">
        <w:trPr>
          <w:trHeight w:val="170"/>
        </w:trPr>
        <w:tc>
          <w:tcPr>
            <w:tcW w:w="3707" w:type="pct"/>
            <w:noWrap/>
          </w:tcPr>
          <w:p w14:paraId="0D3624FD" w14:textId="7235AB88" w:rsidR="0050196F" w:rsidRPr="00AD78D4" w:rsidRDefault="0050196F" w:rsidP="00C347FD">
            <w:pPr>
              <w:pStyle w:val="ARGrantstabletext"/>
              <w:rPr>
                <w:b/>
                <w:color w:val="000000"/>
              </w:rPr>
            </w:pPr>
            <w:r w:rsidRPr="00AD78D4">
              <w:rPr>
                <w:color w:val="000000"/>
              </w:rPr>
              <w:t>Tullamarine Community House and Men</w:t>
            </w:r>
            <w:r w:rsidR="00711AE6">
              <w:rPr>
                <w:color w:val="000000"/>
              </w:rPr>
              <w:t>’</w:t>
            </w:r>
            <w:r w:rsidRPr="00AD78D4">
              <w:rPr>
                <w:color w:val="000000"/>
              </w:rPr>
              <w:t>s Shed</w:t>
            </w:r>
            <w:r w:rsidR="001E3EAC">
              <w:rPr>
                <w:color w:val="000000"/>
              </w:rPr>
              <w:t> </w:t>
            </w:r>
            <w:r w:rsidRPr="00AD78D4">
              <w:rPr>
                <w:color w:val="000000"/>
              </w:rPr>
              <w:t>Inc</w:t>
            </w:r>
          </w:p>
        </w:tc>
        <w:tc>
          <w:tcPr>
            <w:tcW w:w="1293" w:type="pct"/>
            <w:noWrap/>
          </w:tcPr>
          <w:p w14:paraId="7135B521" w14:textId="77777777" w:rsidR="0050196F" w:rsidRPr="00AD78D4" w:rsidRDefault="0050196F" w:rsidP="00EB1291">
            <w:pPr>
              <w:pStyle w:val="ARGrantstabletextright"/>
              <w:rPr>
                <w:b/>
              </w:rPr>
            </w:pPr>
            <w:r w:rsidRPr="00AD78D4">
              <w:t>16,644</w:t>
            </w:r>
          </w:p>
        </w:tc>
      </w:tr>
      <w:tr w:rsidR="0050196F" w:rsidRPr="00B6199F" w14:paraId="18D305F9" w14:textId="77777777" w:rsidTr="00DB5974">
        <w:trPr>
          <w:trHeight w:val="170"/>
        </w:trPr>
        <w:tc>
          <w:tcPr>
            <w:tcW w:w="3707" w:type="pct"/>
            <w:noWrap/>
          </w:tcPr>
          <w:p w14:paraId="2E909924" w14:textId="10026D81" w:rsidR="0050196F" w:rsidRPr="00AD78D4" w:rsidRDefault="0050196F" w:rsidP="00C347FD">
            <w:pPr>
              <w:pStyle w:val="ARGrantstabletext"/>
              <w:rPr>
                <w:b/>
                <w:color w:val="000000"/>
              </w:rPr>
            </w:pPr>
            <w:r w:rsidRPr="00AD78D4">
              <w:rPr>
                <w:color w:val="000000"/>
              </w:rPr>
              <w:t>Venus Bay, Tarwin Lower &amp; District Men</w:t>
            </w:r>
            <w:r w:rsidR="00711AE6">
              <w:rPr>
                <w:color w:val="000000"/>
              </w:rPr>
              <w:t>’</w:t>
            </w:r>
            <w:r w:rsidRPr="00AD78D4">
              <w:rPr>
                <w:color w:val="000000"/>
              </w:rPr>
              <w:t>s Shed</w:t>
            </w:r>
            <w:r w:rsidR="001E3EAC">
              <w:rPr>
                <w:color w:val="000000"/>
              </w:rPr>
              <w:t> </w:t>
            </w:r>
            <w:r w:rsidRPr="00AD78D4">
              <w:rPr>
                <w:color w:val="000000"/>
              </w:rPr>
              <w:t>Incorporated</w:t>
            </w:r>
          </w:p>
        </w:tc>
        <w:tc>
          <w:tcPr>
            <w:tcW w:w="1293" w:type="pct"/>
            <w:noWrap/>
          </w:tcPr>
          <w:p w14:paraId="7C4FB4AB" w14:textId="77777777" w:rsidR="0050196F" w:rsidRPr="00AD78D4" w:rsidRDefault="0050196F" w:rsidP="00EB1291">
            <w:pPr>
              <w:pStyle w:val="ARGrantstabletextright"/>
              <w:rPr>
                <w:b/>
              </w:rPr>
            </w:pPr>
            <w:r w:rsidRPr="00AD78D4">
              <w:t>64,260</w:t>
            </w:r>
          </w:p>
        </w:tc>
      </w:tr>
      <w:tr w:rsidR="0050196F" w:rsidRPr="00B6199F" w14:paraId="58EB7792" w14:textId="77777777" w:rsidTr="00DB5974">
        <w:trPr>
          <w:trHeight w:val="170"/>
        </w:trPr>
        <w:tc>
          <w:tcPr>
            <w:tcW w:w="3707" w:type="pct"/>
            <w:noWrap/>
          </w:tcPr>
          <w:p w14:paraId="7298F30D" w14:textId="77777777" w:rsidR="0050196F" w:rsidRPr="00AD78D4" w:rsidRDefault="0050196F" w:rsidP="00C347FD">
            <w:pPr>
              <w:pStyle w:val="ARGrantstabletext"/>
              <w:rPr>
                <w:b/>
                <w:color w:val="000000"/>
              </w:rPr>
            </w:pPr>
            <w:r w:rsidRPr="00AD78D4">
              <w:rPr>
                <w:color w:val="000000"/>
              </w:rPr>
              <w:t>Vision Australia Radio (Vision Australia)</w:t>
            </w:r>
          </w:p>
        </w:tc>
        <w:tc>
          <w:tcPr>
            <w:tcW w:w="1293" w:type="pct"/>
            <w:noWrap/>
          </w:tcPr>
          <w:p w14:paraId="70B13281" w14:textId="77777777" w:rsidR="0050196F" w:rsidRPr="00AD78D4" w:rsidRDefault="0050196F" w:rsidP="00EB1291">
            <w:pPr>
              <w:pStyle w:val="ARGrantstabletextright"/>
              <w:rPr>
                <w:b/>
              </w:rPr>
            </w:pPr>
            <w:r w:rsidRPr="00AD78D4">
              <w:t>60,000</w:t>
            </w:r>
          </w:p>
        </w:tc>
      </w:tr>
      <w:tr w:rsidR="0050196F" w:rsidRPr="00B6199F" w14:paraId="3986148C" w14:textId="77777777" w:rsidTr="00DB5974">
        <w:trPr>
          <w:trHeight w:val="170"/>
        </w:trPr>
        <w:tc>
          <w:tcPr>
            <w:tcW w:w="3707" w:type="pct"/>
            <w:noWrap/>
          </w:tcPr>
          <w:p w14:paraId="5C570DDB" w14:textId="482FB352" w:rsidR="0050196F" w:rsidRPr="00AD78D4" w:rsidRDefault="0050196F" w:rsidP="00C347FD">
            <w:pPr>
              <w:pStyle w:val="ARGrantstabletext"/>
              <w:rPr>
                <w:b/>
                <w:color w:val="000000"/>
              </w:rPr>
            </w:pPr>
            <w:r w:rsidRPr="00AD78D4">
              <w:rPr>
                <w:color w:val="000000"/>
              </w:rPr>
              <w:t xml:space="preserve">Volunteering Geelong </w:t>
            </w:r>
            <w:r w:rsidR="003B5B30">
              <w:rPr>
                <w:color w:val="000000"/>
              </w:rPr>
              <w:t>Inc</w:t>
            </w:r>
          </w:p>
        </w:tc>
        <w:tc>
          <w:tcPr>
            <w:tcW w:w="1293" w:type="pct"/>
            <w:noWrap/>
          </w:tcPr>
          <w:p w14:paraId="12BB6107" w14:textId="77777777" w:rsidR="0050196F" w:rsidRPr="00AD78D4" w:rsidRDefault="0050196F" w:rsidP="00EB1291">
            <w:pPr>
              <w:pStyle w:val="ARGrantstabletextright"/>
              <w:rPr>
                <w:b/>
              </w:rPr>
            </w:pPr>
            <w:r w:rsidRPr="00AD78D4">
              <w:t>100,000</w:t>
            </w:r>
          </w:p>
        </w:tc>
      </w:tr>
      <w:tr w:rsidR="0050196F" w:rsidRPr="00B6199F" w14:paraId="7630745D" w14:textId="77777777" w:rsidTr="00DB5974">
        <w:trPr>
          <w:trHeight w:val="170"/>
        </w:trPr>
        <w:tc>
          <w:tcPr>
            <w:tcW w:w="3707" w:type="pct"/>
            <w:noWrap/>
          </w:tcPr>
          <w:p w14:paraId="67CF11E1" w14:textId="68FF393D" w:rsidR="0050196F" w:rsidRPr="00AD78D4" w:rsidRDefault="0050196F" w:rsidP="00C347FD">
            <w:pPr>
              <w:pStyle w:val="ARGrantstabletext"/>
              <w:rPr>
                <w:b/>
                <w:color w:val="000000"/>
              </w:rPr>
            </w:pPr>
            <w:r w:rsidRPr="00AD78D4">
              <w:rPr>
                <w:color w:val="000000"/>
              </w:rPr>
              <w:t>Wangaratta &amp; District Men</w:t>
            </w:r>
            <w:r w:rsidR="00711AE6">
              <w:rPr>
                <w:color w:val="000000"/>
              </w:rPr>
              <w:t>’</w:t>
            </w:r>
            <w:r w:rsidRPr="00AD78D4">
              <w:rPr>
                <w:color w:val="000000"/>
              </w:rPr>
              <w:t>s Shed</w:t>
            </w:r>
          </w:p>
        </w:tc>
        <w:tc>
          <w:tcPr>
            <w:tcW w:w="1293" w:type="pct"/>
            <w:noWrap/>
          </w:tcPr>
          <w:p w14:paraId="0DEDC879" w14:textId="77777777" w:rsidR="0050196F" w:rsidRPr="00AD78D4" w:rsidRDefault="0050196F" w:rsidP="00EB1291">
            <w:pPr>
              <w:pStyle w:val="ARGrantstabletextright"/>
              <w:rPr>
                <w:b/>
              </w:rPr>
            </w:pPr>
            <w:r w:rsidRPr="00AD78D4">
              <w:t>40,000</w:t>
            </w:r>
          </w:p>
        </w:tc>
      </w:tr>
      <w:tr w:rsidR="0050196F" w:rsidRPr="00B6199F" w14:paraId="0E8C5E1B" w14:textId="77777777" w:rsidTr="00DB5974">
        <w:trPr>
          <w:trHeight w:val="170"/>
        </w:trPr>
        <w:tc>
          <w:tcPr>
            <w:tcW w:w="3707" w:type="pct"/>
            <w:noWrap/>
          </w:tcPr>
          <w:p w14:paraId="3BED0CA5" w14:textId="2243BAF2" w:rsidR="0050196F" w:rsidRPr="00AD78D4" w:rsidRDefault="0050196F" w:rsidP="00C347FD">
            <w:pPr>
              <w:pStyle w:val="ARGrantstabletext"/>
              <w:rPr>
                <w:b/>
                <w:color w:val="000000"/>
              </w:rPr>
            </w:pPr>
            <w:r w:rsidRPr="00AD78D4">
              <w:rPr>
                <w:color w:val="000000"/>
              </w:rPr>
              <w:t xml:space="preserve">Waverley Woodworkers </w:t>
            </w:r>
            <w:r w:rsidR="00625D67">
              <w:rPr>
                <w:color w:val="000000"/>
              </w:rPr>
              <w:t>I</w:t>
            </w:r>
            <w:r w:rsidRPr="00AD78D4">
              <w:rPr>
                <w:color w:val="000000"/>
              </w:rPr>
              <w:t>nc</w:t>
            </w:r>
          </w:p>
        </w:tc>
        <w:tc>
          <w:tcPr>
            <w:tcW w:w="1293" w:type="pct"/>
            <w:noWrap/>
          </w:tcPr>
          <w:p w14:paraId="100AEF56" w14:textId="77777777" w:rsidR="0050196F" w:rsidRPr="00AD78D4" w:rsidRDefault="0050196F" w:rsidP="00EB1291">
            <w:pPr>
              <w:pStyle w:val="ARGrantstabletextright"/>
              <w:rPr>
                <w:b/>
              </w:rPr>
            </w:pPr>
            <w:r w:rsidRPr="00AD78D4">
              <w:t>50,000</w:t>
            </w:r>
          </w:p>
        </w:tc>
      </w:tr>
      <w:tr w:rsidR="0050196F" w:rsidRPr="00B6199F" w14:paraId="14F67CC5" w14:textId="77777777" w:rsidTr="00DB5974">
        <w:trPr>
          <w:trHeight w:val="170"/>
        </w:trPr>
        <w:tc>
          <w:tcPr>
            <w:tcW w:w="3707" w:type="pct"/>
            <w:noWrap/>
          </w:tcPr>
          <w:p w14:paraId="3A02FD90" w14:textId="77777777" w:rsidR="0050196F" w:rsidRPr="00AD78D4" w:rsidRDefault="0050196F" w:rsidP="00C347FD">
            <w:pPr>
              <w:pStyle w:val="ARGrantstabletext"/>
              <w:rPr>
                <w:b/>
                <w:color w:val="000000"/>
              </w:rPr>
            </w:pPr>
            <w:r w:rsidRPr="00AD78D4">
              <w:rPr>
                <w:color w:val="000000"/>
              </w:rPr>
              <w:t>Wedderburn Community House</w:t>
            </w:r>
          </w:p>
        </w:tc>
        <w:tc>
          <w:tcPr>
            <w:tcW w:w="1293" w:type="pct"/>
            <w:noWrap/>
          </w:tcPr>
          <w:p w14:paraId="1FC6494B" w14:textId="77777777" w:rsidR="0050196F" w:rsidRPr="00AD78D4" w:rsidRDefault="0050196F" w:rsidP="00EB1291">
            <w:pPr>
              <w:pStyle w:val="ARGrantstabletextright"/>
              <w:rPr>
                <w:b/>
              </w:rPr>
            </w:pPr>
            <w:r w:rsidRPr="00AD78D4">
              <w:t>50,000</w:t>
            </w:r>
          </w:p>
        </w:tc>
      </w:tr>
      <w:tr w:rsidR="0050196F" w:rsidRPr="00B6199F" w14:paraId="34768346" w14:textId="77777777" w:rsidTr="00DB5974">
        <w:trPr>
          <w:trHeight w:val="170"/>
        </w:trPr>
        <w:tc>
          <w:tcPr>
            <w:tcW w:w="3707" w:type="pct"/>
            <w:noWrap/>
          </w:tcPr>
          <w:p w14:paraId="4F1D3FB9" w14:textId="1B678AF7" w:rsidR="0050196F" w:rsidRPr="00AD78D4" w:rsidRDefault="0050196F" w:rsidP="00C347FD">
            <w:pPr>
              <w:pStyle w:val="ARGrantstabletext"/>
              <w:rPr>
                <w:b/>
                <w:color w:val="000000"/>
              </w:rPr>
            </w:pPr>
            <w:r w:rsidRPr="00AD78D4">
              <w:rPr>
                <w:color w:val="000000"/>
              </w:rPr>
              <w:t xml:space="preserve">Western Emergency Relief Network </w:t>
            </w:r>
            <w:r w:rsidR="003B5B30">
              <w:rPr>
                <w:color w:val="000000"/>
              </w:rPr>
              <w:t>Inc</w:t>
            </w:r>
          </w:p>
        </w:tc>
        <w:tc>
          <w:tcPr>
            <w:tcW w:w="1293" w:type="pct"/>
            <w:noWrap/>
          </w:tcPr>
          <w:p w14:paraId="302271DA" w14:textId="77777777" w:rsidR="0050196F" w:rsidRPr="00AD78D4" w:rsidRDefault="0050196F" w:rsidP="00EB1291">
            <w:pPr>
              <w:pStyle w:val="ARGrantstabletextright"/>
              <w:rPr>
                <w:b/>
              </w:rPr>
            </w:pPr>
            <w:r w:rsidRPr="00AD78D4">
              <w:t>150,000</w:t>
            </w:r>
          </w:p>
        </w:tc>
      </w:tr>
      <w:tr w:rsidR="0050196F" w:rsidRPr="00B6199F" w14:paraId="3E4665D5" w14:textId="77777777" w:rsidTr="00DB5974">
        <w:trPr>
          <w:trHeight w:val="170"/>
        </w:trPr>
        <w:tc>
          <w:tcPr>
            <w:tcW w:w="3707" w:type="pct"/>
            <w:noWrap/>
          </w:tcPr>
          <w:p w14:paraId="4196EE6B" w14:textId="77777777" w:rsidR="0050196F" w:rsidRPr="00AD78D4" w:rsidRDefault="0050196F" w:rsidP="00C347FD">
            <w:pPr>
              <w:pStyle w:val="ARGrantstabletext"/>
              <w:rPr>
                <w:b/>
                <w:color w:val="000000"/>
              </w:rPr>
            </w:pPr>
            <w:r w:rsidRPr="00AD78D4">
              <w:rPr>
                <w:color w:val="000000"/>
              </w:rPr>
              <w:t>Yarra Valley ECOSS</w:t>
            </w:r>
          </w:p>
        </w:tc>
        <w:tc>
          <w:tcPr>
            <w:tcW w:w="1293" w:type="pct"/>
            <w:noWrap/>
          </w:tcPr>
          <w:p w14:paraId="56455E7B" w14:textId="77777777" w:rsidR="0050196F" w:rsidRPr="00AD78D4" w:rsidRDefault="0050196F" w:rsidP="00224F55">
            <w:pPr>
              <w:pStyle w:val="ARGrantstabletextright"/>
              <w:rPr>
                <w:b/>
              </w:rPr>
            </w:pPr>
            <w:r w:rsidRPr="00AD78D4">
              <w:t>50,000</w:t>
            </w:r>
          </w:p>
        </w:tc>
      </w:tr>
      <w:tr w:rsidR="0050196F" w:rsidRPr="00B6199F" w14:paraId="75C3BCB2" w14:textId="77777777" w:rsidTr="00DB5974">
        <w:trPr>
          <w:trHeight w:val="170"/>
        </w:trPr>
        <w:tc>
          <w:tcPr>
            <w:tcW w:w="3707" w:type="pct"/>
            <w:noWrap/>
          </w:tcPr>
          <w:p w14:paraId="2DBD6B5B" w14:textId="77777777" w:rsidR="0050196F" w:rsidRPr="00097FC8" w:rsidRDefault="0050196F" w:rsidP="00EB1291">
            <w:pPr>
              <w:pStyle w:val="ARGrantstabletextbold"/>
            </w:pPr>
            <w:r w:rsidRPr="008349D7">
              <w:t>Total</w:t>
            </w:r>
          </w:p>
        </w:tc>
        <w:tc>
          <w:tcPr>
            <w:tcW w:w="1293" w:type="pct"/>
            <w:noWrap/>
          </w:tcPr>
          <w:p w14:paraId="56CC46C4" w14:textId="627DCA44" w:rsidR="0050196F" w:rsidRPr="00EF593F" w:rsidRDefault="0050196F" w:rsidP="00224F55">
            <w:pPr>
              <w:pStyle w:val="ARGrantstabletextrightbold"/>
            </w:pPr>
            <w:r>
              <w:t>7,</w:t>
            </w:r>
            <w:r w:rsidRPr="00EB1291">
              <w:rPr>
                <w:bCs/>
              </w:rPr>
              <w:t>823</w:t>
            </w:r>
            <w:r>
              <w:t>,627</w:t>
            </w:r>
            <w:r w:rsidR="00B04C06">
              <w:t xml:space="preserve"> </w:t>
            </w:r>
          </w:p>
        </w:tc>
      </w:tr>
    </w:tbl>
    <w:p w14:paraId="712ADD4A" w14:textId="23ABF4C4" w:rsidR="0050196F" w:rsidRPr="00A113C2" w:rsidRDefault="00DB5974" w:rsidP="00391FBE">
      <w:pPr>
        <w:pStyle w:val="Heading3Grants"/>
      </w:pPr>
      <w:r>
        <w:br w:type="column"/>
      </w:r>
      <w:r w:rsidR="0050196F" w:rsidRPr="00C3150D">
        <w:t xml:space="preserve">Housing </w:t>
      </w:r>
      <w:r w:rsidR="0050196F" w:rsidRPr="00391FBE">
        <w:t>Support</w:t>
      </w:r>
      <w:r w:rsidR="0050196F" w:rsidRPr="00C3150D">
        <w:t xml:space="preserve"> and Homelessness</w:t>
      </w:r>
      <w:r w:rsidR="00097FC8">
        <w:t> </w:t>
      </w:r>
      <w:r w:rsidR="0050196F" w:rsidRPr="00097FC8">
        <w:t>Assistance</w:t>
      </w:r>
    </w:p>
    <w:tbl>
      <w:tblPr>
        <w:tblStyle w:val="DHARGrantstable"/>
        <w:tblW w:w="5036" w:type="pct"/>
        <w:tblLook w:val="06A0" w:firstRow="1" w:lastRow="0" w:firstColumn="1" w:lastColumn="0" w:noHBand="1" w:noVBand="1"/>
      </w:tblPr>
      <w:tblGrid>
        <w:gridCol w:w="3410"/>
        <w:gridCol w:w="1228"/>
      </w:tblGrid>
      <w:tr w:rsidR="0050196F" w:rsidRPr="00B6199F" w14:paraId="56018714" w14:textId="77777777" w:rsidTr="00DB5974">
        <w:trPr>
          <w:cnfStyle w:val="100000000000" w:firstRow="1" w:lastRow="0" w:firstColumn="0" w:lastColumn="0" w:oddVBand="0" w:evenVBand="0" w:oddHBand="0" w:evenHBand="0" w:firstRowFirstColumn="0" w:firstRowLastColumn="0" w:lastRowFirstColumn="0" w:lastRowLastColumn="0"/>
        </w:trPr>
        <w:tc>
          <w:tcPr>
            <w:tcW w:w="3402" w:type="dxa"/>
            <w:noWrap/>
          </w:tcPr>
          <w:p w14:paraId="14785DFD" w14:textId="77777777" w:rsidR="0050196F" w:rsidRPr="00097FC8" w:rsidRDefault="0050196F" w:rsidP="006608F0">
            <w:pPr>
              <w:pStyle w:val="ARGrantstablecolhead"/>
            </w:pPr>
            <w:r w:rsidRPr="000A379F">
              <w:t>Organisation</w:t>
            </w:r>
          </w:p>
        </w:tc>
        <w:tc>
          <w:tcPr>
            <w:tcW w:w="1220" w:type="dxa"/>
            <w:noWrap/>
          </w:tcPr>
          <w:p w14:paraId="68BA815C" w14:textId="77777777" w:rsidR="0050196F" w:rsidRPr="00A113C2" w:rsidRDefault="0050196F" w:rsidP="006608F0">
            <w:pPr>
              <w:pStyle w:val="ARGrantstablecolheadright"/>
            </w:pPr>
            <w:r w:rsidRPr="000A379F">
              <w:t>Payment</w:t>
            </w:r>
            <w:r w:rsidRPr="00A113C2">
              <w:t xml:space="preserve"> ($)</w:t>
            </w:r>
          </w:p>
        </w:tc>
      </w:tr>
      <w:tr w:rsidR="0050196F" w:rsidRPr="00B6199F" w14:paraId="37C2975C" w14:textId="77777777" w:rsidTr="00DB5974">
        <w:tc>
          <w:tcPr>
            <w:tcW w:w="3402" w:type="dxa"/>
            <w:noWrap/>
          </w:tcPr>
          <w:p w14:paraId="13A7F03F" w14:textId="6E4AF048" w:rsidR="0050196F" w:rsidRPr="000A379F" w:rsidRDefault="0050196F" w:rsidP="00224F55">
            <w:pPr>
              <w:pStyle w:val="ARGrantstabletext"/>
            </w:pPr>
            <w:r w:rsidRPr="000A379F">
              <w:t>Australian Chinese Poetry and Art Federation</w:t>
            </w:r>
            <w:r w:rsidR="00BF0C89">
              <w:t> </w:t>
            </w:r>
            <w:r w:rsidR="003B5B30">
              <w:t>Inc</w:t>
            </w:r>
          </w:p>
        </w:tc>
        <w:tc>
          <w:tcPr>
            <w:tcW w:w="1220" w:type="dxa"/>
            <w:noWrap/>
          </w:tcPr>
          <w:p w14:paraId="2CB85C88" w14:textId="77777777" w:rsidR="0050196F" w:rsidRPr="00A113C2" w:rsidRDefault="0050196F" w:rsidP="00224F55">
            <w:pPr>
              <w:pStyle w:val="ARGrantstabletextright"/>
              <w:rPr>
                <w:b/>
              </w:rPr>
            </w:pPr>
            <w:r w:rsidRPr="00A113C2">
              <w:t>2,000</w:t>
            </w:r>
          </w:p>
        </w:tc>
      </w:tr>
      <w:tr w:rsidR="0050196F" w:rsidRPr="00B6199F" w14:paraId="115E4CD9" w14:textId="77777777" w:rsidTr="00DB5974">
        <w:tc>
          <w:tcPr>
            <w:tcW w:w="3402" w:type="dxa"/>
            <w:noWrap/>
          </w:tcPr>
          <w:p w14:paraId="3F3588FA" w14:textId="4BF0F018" w:rsidR="0050196F" w:rsidRPr="000A379F" w:rsidRDefault="0050196F" w:rsidP="00224F55">
            <w:pPr>
              <w:pStyle w:val="ARGrantstabletext"/>
            </w:pPr>
            <w:r w:rsidRPr="000A379F">
              <w:t>Australian Vietnamese Women</w:t>
            </w:r>
            <w:r w:rsidR="00711AE6">
              <w:t>’</w:t>
            </w:r>
            <w:r w:rsidRPr="000A379F">
              <w:t>s</w:t>
            </w:r>
            <w:r w:rsidR="000A379F" w:rsidRPr="000A379F">
              <w:t> </w:t>
            </w:r>
            <w:r w:rsidRPr="000A379F">
              <w:t>Association</w:t>
            </w:r>
          </w:p>
        </w:tc>
        <w:tc>
          <w:tcPr>
            <w:tcW w:w="1220" w:type="dxa"/>
            <w:noWrap/>
          </w:tcPr>
          <w:p w14:paraId="03D4AF86" w14:textId="77777777" w:rsidR="0050196F" w:rsidRPr="00A113C2" w:rsidRDefault="0050196F" w:rsidP="00224F55">
            <w:pPr>
              <w:pStyle w:val="ARGrantstabletextright"/>
              <w:rPr>
                <w:b/>
              </w:rPr>
            </w:pPr>
            <w:r w:rsidRPr="00A113C2">
              <w:t>24,900</w:t>
            </w:r>
          </w:p>
        </w:tc>
      </w:tr>
      <w:tr w:rsidR="0050196F" w:rsidRPr="00B6199F" w14:paraId="70446CA6" w14:textId="77777777" w:rsidTr="00DB5974">
        <w:tc>
          <w:tcPr>
            <w:tcW w:w="3402" w:type="dxa"/>
            <w:noWrap/>
          </w:tcPr>
          <w:p w14:paraId="69B6D7E7" w14:textId="77777777" w:rsidR="0050196F" w:rsidRPr="000A379F" w:rsidRDefault="0050196F" w:rsidP="00224F55">
            <w:pPr>
              <w:pStyle w:val="ARGrantstabletext"/>
            </w:pPr>
            <w:r w:rsidRPr="000A379F">
              <w:t>Belgium Avenue Neighbourhood House</w:t>
            </w:r>
          </w:p>
        </w:tc>
        <w:tc>
          <w:tcPr>
            <w:tcW w:w="1220" w:type="dxa"/>
            <w:noWrap/>
          </w:tcPr>
          <w:p w14:paraId="2685A62A" w14:textId="77777777" w:rsidR="0050196F" w:rsidRPr="00A113C2" w:rsidRDefault="0050196F" w:rsidP="00224F55">
            <w:pPr>
              <w:pStyle w:val="ARGrantstabletextright"/>
              <w:rPr>
                <w:b/>
              </w:rPr>
            </w:pPr>
            <w:r w:rsidRPr="00A113C2">
              <w:t>416,755</w:t>
            </w:r>
          </w:p>
        </w:tc>
      </w:tr>
      <w:tr w:rsidR="0050196F" w:rsidRPr="00B6199F" w14:paraId="6F6711A6" w14:textId="77777777" w:rsidTr="00DB5974">
        <w:tc>
          <w:tcPr>
            <w:tcW w:w="3402" w:type="dxa"/>
            <w:noWrap/>
          </w:tcPr>
          <w:p w14:paraId="0C0922E1" w14:textId="77777777" w:rsidR="0050196F" w:rsidRPr="000A379F" w:rsidRDefault="0050196F" w:rsidP="00224F55">
            <w:pPr>
              <w:pStyle w:val="ARGrantstabletext"/>
            </w:pPr>
            <w:r w:rsidRPr="000A379F">
              <w:t>Carringbush Adult Education</w:t>
            </w:r>
          </w:p>
        </w:tc>
        <w:tc>
          <w:tcPr>
            <w:tcW w:w="1220" w:type="dxa"/>
            <w:noWrap/>
          </w:tcPr>
          <w:p w14:paraId="558BCDE8" w14:textId="77777777" w:rsidR="0050196F" w:rsidRPr="00A113C2" w:rsidRDefault="0050196F" w:rsidP="00224F55">
            <w:pPr>
              <w:pStyle w:val="ARGrantstabletextright"/>
              <w:rPr>
                <w:b/>
              </w:rPr>
            </w:pPr>
            <w:r w:rsidRPr="00A113C2">
              <w:t>29,163</w:t>
            </w:r>
          </w:p>
        </w:tc>
      </w:tr>
      <w:tr w:rsidR="0050196F" w:rsidRPr="00B6199F" w14:paraId="1F0DE847" w14:textId="77777777" w:rsidTr="00DB5974">
        <w:tc>
          <w:tcPr>
            <w:tcW w:w="3402" w:type="dxa"/>
            <w:noWrap/>
          </w:tcPr>
          <w:p w14:paraId="601CFB5F" w14:textId="75379EF5" w:rsidR="0050196F" w:rsidRPr="000A379F" w:rsidRDefault="0050196F" w:rsidP="00224F55">
            <w:pPr>
              <w:pStyle w:val="ARGrantstabletext"/>
            </w:pPr>
            <w:r w:rsidRPr="000A379F">
              <w:t xml:space="preserve">Circus-Being </w:t>
            </w:r>
            <w:r w:rsidR="003B5B30">
              <w:t>Inc</w:t>
            </w:r>
          </w:p>
        </w:tc>
        <w:tc>
          <w:tcPr>
            <w:tcW w:w="1220" w:type="dxa"/>
            <w:noWrap/>
          </w:tcPr>
          <w:p w14:paraId="52E46545" w14:textId="77777777" w:rsidR="0050196F" w:rsidRPr="00A113C2" w:rsidRDefault="0050196F" w:rsidP="00224F55">
            <w:pPr>
              <w:pStyle w:val="ARGrantstabletextright"/>
              <w:rPr>
                <w:b/>
              </w:rPr>
            </w:pPr>
            <w:r w:rsidRPr="00A113C2">
              <w:t>20,378</w:t>
            </w:r>
          </w:p>
        </w:tc>
      </w:tr>
      <w:tr w:rsidR="0050196F" w:rsidRPr="00B6199F" w14:paraId="747E8683" w14:textId="77777777" w:rsidTr="00DB5974">
        <w:tc>
          <w:tcPr>
            <w:tcW w:w="3402" w:type="dxa"/>
            <w:noWrap/>
          </w:tcPr>
          <w:p w14:paraId="7394A7F5" w14:textId="77777777" w:rsidR="0050196F" w:rsidRPr="000A379F" w:rsidRDefault="0050196F" w:rsidP="00224F55">
            <w:pPr>
              <w:pStyle w:val="ARGrantstabletext"/>
            </w:pPr>
            <w:r w:rsidRPr="000A379F">
              <w:t>Cultivating Community</w:t>
            </w:r>
          </w:p>
        </w:tc>
        <w:tc>
          <w:tcPr>
            <w:tcW w:w="1220" w:type="dxa"/>
            <w:noWrap/>
          </w:tcPr>
          <w:p w14:paraId="28FC5CBD" w14:textId="77777777" w:rsidR="0050196F" w:rsidRPr="00A113C2" w:rsidRDefault="0050196F" w:rsidP="00224F55">
            <w:pPr>
              <w:pStyle w:val="ARGrantstabletextright"/>
              <w:rPr>
                <w:b/>
              </w:rPr>
            </w:pPr>
            <w:r w:rsidRPr="00A113C2">
              <w:t>22,000</w:t>
            </w:r>
          </w:p>
        </w:tc>
      </w:tr>
      <w:tr w:rsidR="0050196F" w:rsidRPr="00B6199F" w14:paraId="1DC4C52E" w14:textId="77777777" w:rsidTr="00DB5974">
        <w:tc>
          <w:tcPr>
            <w:tcW w:w="3402" w:type="dxa"/>
            <w:noWrap/>
          </w:tcPr>
          <w:p w14:paraId="34FB5736" w14:textId="77777777" w:rsidR="0050196F" w:rsidRPr="000A379F" w:rsidRDefault="0050196F" w:rsidP="00224F55">
            <w:pPr>
              <w:pStyle w:val="ARGrantstabletext"/>
            </w:pPr>
            <w:r w:rsidRPr="000A379F">
              <w:t>Drummond Street Services Inc</w:t>
            </w:r>
          </w:p>
        </w:tc>
        <w:tc>
          <w:tcPr>
            <w:tcW w:w="1220" w:type="dxa"/>
            <w:noWrap/>
          </w:tcPr>
          <w:p w14:paraId="294D83C4" w14:textId="77777777" w:rsidR="0050196F" w:rsidRPr="00A113C2" w:rsidRDefault="0050196F" w:rsidP="00224F55">
            <w:pPr>
              <w:pStyle w:val="ARGrantstabletextright"/>
              <w:rPr>
                <w:b/>
              </w:rPr>
            </w:pPr>
            <w:r w:rsidRPr="00A113C2">
              <w:t>27,200</w:t>
            </w:r>
          </w:p>
        </w:tc>
      </w:tr>
      <w:tr w:rsidR="0050196F" w:rsidRPr="00B6199F" w14:paraId="4C65766A" w14:textId="77777777" w:rsidTr="00DB5974">
        <w:tc>
          <w:tcPr>
            <w:tcW w:w="3402" w:type="dxa"/>
            <w:noWrap/>
          </w:tcPr>
          <w:p w14:paraId="20CD3A6C" w14:textId="77777777" w:rsidR="0050196F" w:rsidRPr="000A379F" w:rsidRDefault="0050196F" w:rsidP="00224F55">
            <w:pPr>
              <w:pStyle w:val="ARGrantstabletext"/>
            </w:pPr>
            <w:r w:rsidRPr="000A379F">
              <w:t>Fitzroy Lions Soccer Club</w:t>
            </w:r>
          </w:p>
        </w:tc>
        <w:tc>
          <w:tcPr>
            <w:tcW w:w="1220" w:type="dxa"/>
            <w:noWrap/>
          </w:tcPr>
          <w:p w14:paraId="7C470A5C" w14:textId="77777777" w:rsidR="0050196F" w:rsidRPr="00A113C2" w:rsidRDefault="0050196F" w:rsidP="00224F55">
            <w:pPr>
              <w:pStyle w:val="ARGrantstabletextright"/>
              <w:rPr>
                <w:b/>
              </w:rPr>
            </w:pPr>
            <w:r w:rsidRPr="00A113C2">
              <w:t>30,000</w:t>
            </w:r>
          </w:p>
        </w:tc>
      </w:tr>
      <w:tr w:rsidR="0050196F" w:rsidRPr="00B6199F" w14:paraId="0E50DCF8" w14:textId="77777777" w:rsidTr="00DB5974">
        <w:tc>
          <w:tcPr>
            <w:tcW w:w="3402" w:type="dxa"/>
            <w:noWrap/>
          </w:tcPr>
          <w:p w14:paraId="6B7C983F" w14:textId="77777777" w:rsidR="0050196F" w:rsidRPr="000A379F" w:rsidRDefault="0050196F" w:rsidP="00224F55">
            <w:pPr>
              <w:pStyle w:val="ARGrantstabletext"/>
            </w:pPr>
            <w:r w:rsidRPr="000A379F">
              <w:t>Inner West Community Foundation</w:t>
            </w:r>
          </w:p>
        </w:tc>
        <w:tc>
          <w:tcPr>
            <w:tcW w:w="1220" w:type="dxa"/>
            <w:noWrap/>
          </w:tcPr>
          <w:p w14:paraId="25E99DA0" w14:textId="77777777" w:rsidR="0050196F" w:rsidRPr="00A113C2" w:rsidRDefault="0050196F" w:rsidP="00224F55">
            <w:pPr>
              <w:pStyle w:val="ARGrantstabletextright"/>
              <w:rPr>
                <w:b/>
              </w:rPr>
            </w:pPr>
            <w:r w:rsidRPr="00A113C2">
              <w:t>30,000</w:t>
            </w:r>
          </w:p>
        </w:tc>
      </w:tr>
      <w:tr w:rsidR="0050196F" w:rsidRPr="00B6199F" w14:paraId="7DF7846C" w14:textId="77777777" w:rsidTr="00DB5974">
        <w:tc>
          <w:tcPr>
            <w:tcW w:w="3402" w:type="dxa"/>
            <w:noWrap/>
          </w:tcPr>
          <w:p w14:paraId="4F39C167" w14:textId="71DA1FD3" w:rsidR="0050196F" w:rsidRPr="000A379F" w:rsidRDefault="0050196F" w:rsidP="00224F55">
            <w:pPr>
              <w:pStyle w:val="ARGrantstabletext"/>
            </w:pPr>
            <w:r w:rsidRPr="000A379F">
              <w:t>Kids</w:t>
            </w:r>
            <w:r w:rsidR="00711AE6">
              <w:t>’</w:t>
            </w:r>
            <w:r w:rsidRPr="000A379F">
              <w:t xml:space="preserve"> Own Publishing</w:t>
            </w:r>
          </w:p>
        </w:tc>
        <w:tc>
          <w:tcPr>
            <w:tcW w:w="1220" w:type="dxa"/>
            <w:noWrap/>
          </w:tcPr>
          <w:p w14:paraId="75BD65CE" w14:textId="77777777" w:rsidR="0050196F" w:rsidRPr="00A113C2" w:rsidRDefault="0050196F" w:rsidP="00224F55">
            <w:pPr>
              <w:pStyle w:val="ARGrantstabletextright"/>
              <w:rPr>
                <w:b/>
              </w:rPr>
            </w:pPr>
            <w:r w:rsidRPr="00A113C2">
              <w:t>27,758</w:t>
            </w:r>
          </w:p>
        </w:tc>
      </w:tr>
      <w:tr w:rsidR="0050196F" w:rsidRPr="00B6199F" w14:paraId="65972C3C" w14:textId="77777777" w:rsidTr="00DB5974">
        <w:tc>
          <w:tcPr>
            <w:tcW w:w="3402" w:type="dxa"/>
            <w:noWrap/>
          </w:tcPr>
          <w:p w14:paraId="1BA0155A" w14:textId="441C1873" w:rsidR="0050196F" w:rsidRPr="000A379F" w:rsidRDefault="0050196F" w:rsidP="00224F55">
            <w:pPr>
              <w:pStyle w:val="ARGrantstabletext"/>
            </w:pPr>
            <w:r w:rsidRPr="000A379F">
              <w:t>Melbourne Committee Of Chinese Literature</w:t>
            </w:r>
            <w:r w:rsidR="001E3EAC">
              <w:t> </w:t>
            </w:r>
            <w:r w:rsidRPr="000A379F">
              <w:t>Incorporated</w:t>
            </w:r>
          </w:p>
        </w:tc>
        <w:tc>
          <w:tcPr>
            <w:tcW w:w="1220" w:type="dxa"/>
            <w:noWrap/>
          </w:tcPr>
          <w:p w14:paraId="675FE9BF" w14:textId="77777777" w:rsidR="0050196F" w:rsidRPr="00A113C2" w:rsidRDefault="0050196F" w:rsidP="00224F55">
            <w:pPr>
              <w:pStyle w:val="ARGrantstabletextright"/>
              <w:rPr>
                <w:b/>
              </w:rPr>
            </w:pPr>
            <w:r w:rsidRPr="00A113C2">
              <w:t>4,600</w:t>
            </w:r>
          </w:p>
        </w:tc>
      </w:tr>
      <w:tr w:rsidR="0050196F" w:rsidRPr="00B6199F" w14:paraId="6C4AB8A6" w14:textId="77777777" w:rsidTr="00DB5974">
        <w:tc>
          <w:tcPr>
            <w:tcW w:w="3402" w:type="dxa"/>
            <w:noWrap/>
          </w:tcPr>
          <w:p w14:paraId="7388F08E" w14:textId="77777777" w:rsidR="0050196F" w:rsidRPr="000A379F" w:rsidRDefault="0050196F" w:rsidP="00224F55">
            <w:pPr>
              <w:pStyle w:val="ARGrantstabletext"/>
            </w:pPr>
            <w:r w:rsidRPr="000A379F">
              <w:t>Mzuri Dance ArtisTree</w:t>
            </w:r>
          </w:p>
        </w:tc>
        <w:tc>
          <w:tcPr>
            <w:tcW w:w="1220" w:type="dxa"/>
            <w:noWrap/>
          </w:tcPr>
          <w:p w14:paraId="678173F7" w14:textId="77777777" w:rsidR="0050196F" w:rsidRPr="00A113C2" w:rsidRDefault="0050196F" w:rsidP="00224F55">
            <w:pPr>
              <w:pStyle w:val="ARGrantstabletextright"/>
              <w:rPr>
                <w:b/>
              </w:rPr>
            </w:pPr>
            <w:r w:rsidRPr="00A113C2">
              <w:t>60,000</w:t>
            </w:r>
          </w:p>
        </w:tc>
      </w:tr>
      <w:tr w:rsidR="0050196F" w:rsidRPr="00B6199F" w14:paraId="34743889" w14:textId="77777777" w:rsidTr="00DB5974">
        <w:tc>
          <w:tcPr>
            <w:tcW w:w="3402" w:type="dxa"/>
            <w:noWrap/>
          </w:tcPr>
          <w:p w14:paraId="099AA40E" w14:textId="476D8374" w:rsidR="0050196F" w:rsidRPr="000A379F" w:rsidRDefault="0050196F" w:rsidP="00224F55">
            <w:pPr>
              <w:pStyle w:val="ARGrantstabletext"/>
            </w:pPr>
            <w:r w:rsidRPr="000A379F">
              <w:t>North Richmond Community Health</w:t>
            </w:r>
            <w:r w:rsidR="000A379F" w:rsidRPr="000A379F">
              <w:t> </w:t>
            </w:r>
            <w:r w:rsidRPr="000A379F">
              <w:t>Centre</w:t>
            </w:r>
          </w:p>
        </w:tc>
        <w:tc>
          <w:tcPr>
            <w:tcW w:w="1220" w:type="dxa"/>
            <w:noWrap/>
          </w:tcPr>
          <w:p w14:paraId="0C94685C" w14:textId="77777777" w:rsidR="0050196F" w:rsidRPr="00A113C2" w:rsidRDefault="0050196F" w:rsidP="00224F55">
            <w:pPr>
              <w:pStyle w:val="ARGrantstabletextright"/>
              <w:rPr>
                <w:b/>
              </w:rPr>
            </w:pPr>
            <w:r w:rsidRPr="00A113C2">
              <w:t>85,675</w:t>
            </w:r>
          </w:p>
        </w:tc>
      </w:tr>
      <w:tr w:rsidR="0050196F" w:rsidRPr="00B6199F" w14:paraId="23A892A3" w14:textId="77777777" w:rsidTr="00DB5974">
        <w:tc>
          <w:tcPr>
            <w:tcW w:w="3402" w:type="dxa"/>
            <w:noWrap/>
          </w:tcPr>
          <w:p w14:paraId="69A9B290" w14:textId="77777777" w:rsidR="0050196F" w:rsidRPr="000A379F" w:rsidRDefault="0050196F" w:rsidP="00224F55">
            <w:pPr>
              <w:pStyle w:val="ARGrantstabletext"/>
            </w:pPr>
            <w:r w:rsidRPr="000A379F">
              <w:t>Reclink Australia</w:t>
            </w:r>
          </w:p>
        </w:tc>
        <w:tc>
          <w:tcPr>
            <w:tcW w:w="1220" w:type="dxa"/>
            <w:noWrap/>
          </w:tcPr>
          <w:p w14:paraId="2E343380" w14:textId="77777777" w:rsidR="0050196F" w:rsidRPr="00A113C2" w:rsidRDefault="0050196F" w:rsidP="00224F55">
            <w:pPr>
              <w:pStyle w:val="ARGrantstabletextright"/>
              <w:rPr>
                <w:b/>
              </w:rPr>
            </w:pPr>
            <w:r w:rsidRPr="00A113C2">
              <w:t>29,707</w:t>
            </w:r>
          </w:p>
        </w:tc>
      </w:tr>
      <w:tr w:rsidR="0050196F" w:rsidRPr="00B6199F" w14:paraId="0246C93A" w14:textId="77777777" w:rsidTr="00DB5974">
        <w:tc>
          <w:tcPr>
            <w:tcW w:w="3402" w:type="dxa"/>
            <w:noWrap/>
          </w:tcPr>
          <w:p w14:paraId="150E4897" w14:textId="77777777" w:rsidR="0050196F" w:rsidRPr="000A379F" w:rsidRDefault="0050196F" w:rsidP="00224F55">
            <w:pPr>
              <w:pStyle w:val="ARGrantstabletext"/>
            </w:pPr>
            <w:r w:rsidRPr="000A379F">
              <w:t>SEVENTH Gallery</w:t>
            </w:r>
          </w:p>
        </w:tc>
        <w:tc>
          <w:tcPr>
            <w:tcW w:w="1220" w:type="dxa"/>
            <w:noWrap/>
          </w:tcPr>
          <w:p w14:paraId="6003865F" w14:textId="77777777" w:rsidR="0050196F" w:rsidRPr="00A113C2" w:rsidRDefault="0050196F" w:rsidP="00224F55">
            <w:pPr>
              <w:pStyle w:val="ARGrantstabletextright"/>
              <w:rPr>
                <w:b/>
              </w:rPr>
            </w:pPr>
            <w:r w:rsidRPr="00A113C2">
              <w:t>29,975</w:t>
            </w:r>
          </w:p>
        </w:tc>
      </w:tr>
      <w:tr w:rsidR="0050196F" w:rsidRPr="00B6199F" w14:paraId="0F83D59E" w14:textId="77777777" w:rsidTr="00DB5974">
        <w:tc>
          <w:tcPr>
            <w:tcW w:w="3402" w:type="dxa"/>
            <w:noWrap/>
          </w:tcPr>
          <w:p w14:paraId="70A259F5" w14:textId="77777777" w:rsidR="0050196F" w:rsidRPr="000A379F" w:rsidRDefault="0050196F" w:rsidP="00224F55">
            <w:pPr>
              <w:pStyle w:val="ARGrantstabletext"/>
            </w:pPr>
            <w:r w:rsidRPr="000A379F">
              <w:t>The Wellington Inc</w:t>
            </w:r>
          </w:p>
        </w:tc>
        <w:tc>
          <w:tcPr>
            <w:tcW w:w="1220" w:type="dxa"/>
            <w:noWrap/>
          </w:tcPr>
          <w:p w14:paraId="1F620C70" w14:textId="77777777" w:rsidR="0050196F" w:rsidRPr="00A113C2" w:rsidRDefault="0050196F" w:rsidP="00224F55">
            <w:pPr>
              <w:pStyle w:val="ARGrantstabletextright"/>
              <w:rPr>
                <w:b/>
              </w:rPr>
            </w:pPr>
            <w:r w:rsidRPr="00A113C2">
              <w:t>133,605</w:t>
            </w:r>
          </w:p>
        </w:tc>
      </w:tr>
      <w:tr w:rsidR="0050196F" w:rsidRPr="00B6199F" w14:paraId="571C9D86" w14:textId="77777777" w:rsidTr="00DB5974">
        <w:tc>
          <w:tcPr>
            <w:tcW w:w="3402" w:type="dxa"/>
            <w:noWrap/>
          </w:tcPr>
          <w:p w14:paraId="4FA6D953" w14:textId="77777777" w:rsidR="0050196F" w:rsidRPr="000A379F" w:rsidRDefault="0050196F" w:rsidP="00224F55">
            <w:pPr>
              <w:pStyle w:val="ARGrantstabletext"/>
            </w:pPr>
            <w:r w:rsidRPr="000A379F">
              <w:t>Visionary Images</w:t>
            </w:r>
          </w:p>
        </w:tc>
        <w:tc>
          <w:tcPr>
            <w:tcW w:w="1220" w:type="dxa"/>
            <w:noWrap/>
          </w:tcPr>
          <w:p w14:paraId="4EEC3791" w14:textId="77777777" w:rsidR="0050196F" w:rsidRPr="00A113C2" w:rsidRDefault="0050196F" w:rsidP="00224F55">
            <w:pPr>
              <w:pStyle w:val="ARGrantstabletextright"/>
              <w:rPr>
                <w:b/>
              </w:rPr>
            </w:pPr>
            <w:r w:rsidRPr="00A113C2">
              <w:t>30,000</w:t>
            </w:r>
          </w:p>
        </w:tc>
      </w:tr>
      <w:tr w:rsidR="0050196F" w:rsidRPr="00B6199F" w14:paraId="3C65BF19" w14:textId="77777777" w:rsidTr="00DB5974">
        <w:tc>
          <w:tcPr>
            <w:tcW w:w="3402" w:type="dxa"/>
            <w:noWrap/>
          </w:tcPr>
          <w:p w14:paraId="7FD41470" w14:textId="77777777" w:rsidR="0050196F" w:rsidRPr="000A379F" w:rsidRDefault="0050196F" w:rsidP="00224F55">
            <w:pPr>
              <w:pStyle w:val="ARGrantstabletext"/>
            </w:pPr>
            <w:r w:rsidRPr="000A379F">
              <w:t>Yarra City Council</w:t>
            </w:r>
          </w:p>
        </w:tc>
        <w:tc>
          <w:tcPr>
            <w:tcW w:w="1220" w:type="dxa"/>
            <w:noWrap/>
          </w:tcPr>
          <w:p w14:paraId="06210913" w14:textId="77777777" w:rsidR="0050196F" w:rsidRPr="00A113C2" w:rsidRDefault="0050196F" w:rsidP="00224F55">
            <w:pPr>
              <w:pStyle w:val="ARGrantstabletextright"/>
              <w:rPr>
                <w:b/>
              </w:rPr>
            </w:pPr>
            <w:r w:rsidRPr="00A113C2">
              <w:t>50,000</w:t>
            </w:r>
          </w:p>
        </w:tc>
      </w:tr>
      <w:tr w:rsidR="0050196F" w:rsidRPr="00B6199F" w14:paraId="09F4A906" w14:textId="77777777" w:rsidTr="00DB5974">
        <w:tc>
          <w:tcPr>
            <w:tcW w:w="3402" w:type="dxa"/>
            <w:noWrap/>
          </w:tcPr>
          <w:p w14:paraId="2660E778" w14:textId="77777777" w:rsidR="0050196F" w:rsidRPr="000A379F" w:rsidRDefault="0050196F" w:rsidP="00224F55">
            <w:pPr>
              <w:pStyle w:val="ARGrantstabletext"/>
            </w:pPr>
            <w:r w:rsidRPr="000A379F">
              <w:t>Young Assets Foundation</w:t>
            </w:r>
          </w:p>
        </w:tc>
        <w:tc>
          <w:tcPr>
            <w:tcW w:w="1220" w:type="dxa"/>
            <w:noWrap/>
          </w:tcPr>
          <w:p w14:paraId="6E9CA1B6" w14:textId="77777777" w:rsidR="0050196F" w:rsidRPr="00A113C2" w:rsidRDefault="0050196F" w:rsidP="00224F55">
            <w:pPr>
              <w:pStyle w:val="ARGrantstabletextright"/>
              <w:rPr>
                <w:b/>
              </w:rPr>
            </w:pPr>
            <w:r w:rsidRPr="00A113C2">
              <w:t>32,692</w:t>
            </w:r>
          </w:p>
        </w:tc>
      </w:tr>
      <w:tr w:rsidR="0050196F" w:rsidRPr="00B6199F" w14:paraId="0F812509" w14:textId="77777777" w:rsidTr="00DB5974">
        <w:tc>
          <w:tcPr>
            <w:tcW w:w="3402" w:type="dxa"/>
            <w:noWrap/>
          </w:tcPr>
          <w:p w14:paraId="0A04FFDC" w14:textId="5803E78C" w:rsidR="0050196F" w:rsidRPr="00E64C24" w:rsidRDefault="0050196F" w:rsidP="00224F55">
            <w:pPr>
              <w:pStyle w:val="ARGrantstabletext"/>
              <w:rPr>
                <w:spacing w:val="-6"/>
              </w:rPr>
            </w:pPr>
            <w:r w:rsidRPr="00E64C24">
              <w:rPr>
                <w:spacing w:val="-6"/>
              </w:rPr>
              <w:t>Australian Chinese Poetry and Art Federation</w:t>
            </w:r>
            <w:r w:rsidR="00BF0C89" w:rsidRPr="00E64C24">
              <w:rPr>
                <w:spacing w:val="-6"/>
              </w:rPr>
              <w:t> </w:t>
            </w:r>
            <w:r w:rsidR="003B5B30">
              <w:rPr>
                <w:spacing w:val="-6"/>
              </w:rPr>
              <w:t>Inc</w:t>
            </w:r>
          </w:p>
        </w:tc>
        <w:tc>
          <w:tcPr>
            <w:tcW w:w="1220" w:type="dxa"/>
            <w:noWrap/>
          </w:tcPr>
          <w:p w14:paraId="7CD842A1" w14:textId="77777777" w:rsidR="0050196F" w:rsidRPr="00A113C2" w:rsidRDefault="0050196F" w:rsidP="00224F55">
            <w:pPr>
              <w:pStyle w:val="ARGrantstabletextright"/>
              <w:rPr>
                <w:b/>
              </w:rPr>
            </w:pPr>
            <w:r w:rsidRPr="00A113C2">
              <w:t>2,000</w:t>
            </w:r>
          </w:p>
        </w:tc>
      </w:tr>
      <w:tr w:rsidR="0050196F" w:rsidRPr="00B6199F" w14:paraId="01D9AEEF" w14:textId="77777777" w:rsidTr="00DB5974">
        <w:tc>
          <w:tcPr>
            <w:tcW w:w="3402" w:type="dxa"/>
            <w:noWrap/>
          </w:tcPr>
          <w:p w14:paraId="68767833" w14:textId="28D6D67A" w:rsidR="0050196F" w:rsidRPr="000A379F" w:rsidRDefault="0050196F" w:rsidP="00224F55">
            <w:pPr>
              <w:pStyle w:val="ARGrantstabletext"/>
            </w:pPr>
            <w:r w:rsidRPr="000A379F">
              <w:t>Australian Vietnamese Women</w:t>
            </w:r>
            <w:r w:rsidR="00711AE6">
              <w:t>’</w:t>
            </w:r>
            <w:r w:rsidRPr="000A379F">
              <w:t>s</w:t>
            </w:r>
            <w:r w:rsidR="000A379F" w:rsidRPr="000A379F">
              <w:t> </w:t>
            </w:r>
            <w:r w:rsidRPr="000A379F">
              <w:t>Association</w:t>
            </w:r>
          </w:p>
        </w:tc>
        <w:tc>
          <w:tcPr>
            <w:tcW w:w="1220" w:type="dxa"/>
            <w:noWrap/>
          </w:tcPr>
          <w:p w14:paraId="23EE23A1" w14:textId="77777777" w:rsidR="0050196F" w:rsidRPr="00A113C2" w:rsidRDefault="0050196F" w:rsidP="00224F55">
            <w:pPr>
              <w:pStyle w:val="ARGrantstabletextright"/>
              <w:rPr>
                <w:b/>
              </w:rPr>
            </w:pPr>
            <w:r w:rsidRPr="00A113C2">
              <w:t>24,900</w:t>
            </w:r>
          </w:p>
        </w:tc>
      </w:tr>
      <w:tr w:rsidR="0050196F" w:rsidRPr="00B6199F" w14:paraId="20A962C2" w14:textId="77777777" w:rsidTr="00DB5974">
        <w:tc>
          <w:tcPr>
            <w:tcW w:w="3402" w:type="dxa"/>
            <w:noWrap/>
          </w:tcPr>
          <w:p w14:paraId="1718B954" w14:textId="77777777" w:rsidR="0050196F" w:rsidRPr="000A379F" w:rsidRDefault="0050196F" w:rsidP="00224F55">
            <w:pPr>
              <w:pStyle w:val="ARGrantstabletext"/>
            </w:pPr>
            <w:r w:rsidRPr="000A379F">
              <w:t>Belgium Avenue Neighbourhood House</w:t>
            </w:r>
          </w:p>
        </w:tc>
        <w:tc>
          <w:tcPr>
            <w:tcW w:w="1220" w:type="dxa"/>
            <w:noWrap/>
          </w:tcPr>
          <w:p w14:paraId="2A8A8F54" w14:textId="77777777" w:rsidR="0050196F" w:rsidRPr="00A113C2" w:rsidRDefault="0050196F" w:rsidP="00224F55">
            <w:pPr>
              <w:pStyle w:val="ARGrantstabletextright"/>
              <w:rPr>
                <w:b/>
              </w:rPr>
            </w:pPr>
            <w:r w:rsidRPr="00A113C2">
              <w:t>416,755</w:t>
            </w:r>
          </w:p>
        </w:tc>
      </w:tr>
      <w:tr w:rsidR="0050196F" w:rsidRPr="00B6199F" w14:paraId="5CB9C2C1" w14:textId="77777777" w:rsidTr="00DB5974">
        <w:tc>
          <w:tcPr>
            <w:tcW w:w="3402" w:type="dxa"/>
            <w:noWrap/>
          </w:tcPr>
          <w:p w14:paraId="1D3E6CC4" w14:textId="77777777" w:rsidR="0050196F" w:rsidRPr="000A379F" w:rsidRDefault="0050196F" w:rsidP="00224F55">
            <w:pPr>
              <w:pStyle w:val="ARGrantstabletext"/>
            </w:pPr>
            <w:r w:rsidRPr="000A379F">
              <w:t>Carringbush Adult Education</w:t>
            </w:r>
          </w:p>
        </w:tc>
        <w:tc>
          <w:tcPr>
            <w:tcW w:w="1220" w:type="dxa"/>
            <w:noWrap/>
          </w:tcPr>
          <w:p w14:paraId="7EDF6F32" w14:textId="77777777" w:rsidR="0050196F" w:rsidRPr="00A113C2" w:rsidRDefault="0050196F" w:rsidP="00224F55">
            <w:pPr>
              <w:pStyle w:val="ARGrantstabletextright"/>
              <w:rPr>
                <w:b/>
              </w:rPr>
            </w:pPr>
            <w:r w:rsidRPr="00A113C2">
              <w:t>29,163</w:t>
            </w:r>
          </w:p>
        </w:tc>
      </w:tr>
      <w:tr w:rsidR="0050196F" w:rsidRPr="00B6199F" w14:paraId="46B8AAE6" w14:textId="77777777" w:rsidTr="00DB5974">
        <w:tc>
          <w:tcPr>
            <w:tcW w:w="3402" w:type="dxa"/>
            <w:noWrap/>
          </w:tcPr>
          <w:p w14:paraId="5D714E0A" w14:textId="54EEE062" w:rsidR="0050196F" w:rsidRPr="000A379F" w:rsidRDefault="0050196F" w:rsidP="00224F55">
            <w:pPr>
              <w:pStyle w:val="ARGrantstabletext"/>
            </w:pPr>
            <w:r w:rsidRPr="000A379F">
              <w:t xml:space="preserve">Circus-Being </w:t>
            </w:r>
            <w:r w:rsidR="003B5B30">
              <w:t>Inc</w:t>
            </w:r>
          </w:p>
        </w:tc>
        <w:tc>
          <w:tcPr>
            <w:tcW w:w="1220" w:type="dxa"/>
            <w:noWrap/>
          </w:tcPr>
          <w:p w14:paraId="5ECBACFF" w14:textId="77777777" w:rsidR="0050196F" w:rsidRPr="00A113C2" w:rsidRDefault="0050196F" w:rsidP="00224F55">
            <w:pPr>
              <w:pStyle w:val="ARGrantstabletextright"/>
              <w:rPr>
                <w:b/>
              </w:rPr>
            </w:pPr>
            <w:r w:rsidRPr="00A113C2">
              <w:t>20,378</w:t>
            </w:r>
          </w:p>
        </w:tc>
      </w:tr>
      <w:tr w:rsidR="0050196F" w:rsidRPr="00B6199F" w14:paraId="211C7C4F" w14:textId="77777777" w:rsidTr="00DB5974">
        <w:tc>
          <w:tcPr>
            <w:tcW w:w="3402" w:type="dxa"/>
            <w:noWrap/>
          </w:tcPr>
          <w:p w14:paraId="3581017D" w14:textId="77777777" w:rsidR="0050196F" w:rsidRPr="000A379F" w:rsidRDefault="0050196F" w:rsidP="00224F55">
            <w:pPr>
              <w:pStyle w:val="ARGrantstabletext"/>
            </w:pPr>
            <w:r w:rsidRPr="000A379F">
              <w:t>Cultivating Community</w:t>
            </w:r>
          </w:p>
        </w:tc>
        <w:tc>
          <w:tcPr>
            <w:tcW w:w="1220" w:type="dxa"/>
            <w:noWrap/>
          </w:tcPr>
          <w:p w14:paraId="3122DA46" w14:textId="77777777" w:rsidR="0050196F" w:rsidRPr="00A113C2" w:rsidRDefault="0050196F" w:rsidP="00224F55">
            <w:pPr>
              <w:pStyle w:val="ARGrantstabletextright"/>
              <w:rPr>
                <w:b/>
              </w:rPr>
            </w:pPr>
            <w:r w:rsidRPr="00A113C2">
              <w:t>22,000</w:t>
            </w:r>
          </w:p>
        </w:tc>
      </w:tr>
      <w:tr w:rsidR="0050196F" w:rsidRPr="00B6199F" w14:paraId="6C469EDE" w14:textId="77777777" w:rsidTr="00DB5974">
        <w:tc>
          <w:tcPr>
            <w:tcW w:w="3402" w:type="dxa"/>
            <w:noWrap/>
          </w:tcPr>
          <w:p w14:paraId="5CD9A41C" w14:textId="77777777" w:rsidR="0050196F" w:rsidRPr="000A379F" w:rsidRDefault="0050196F" w:rsidP="00224F55">
            <w:pPr>
              <w:pStyle w:val="ARGrantstabletext"/>
            </w:pPr>
            <w:r w:rsidRPr="000A379F">
              <w:t>Drummond Street Services Inc</w:t>
            </w:r>
          </w:p>
        </w:tc>
        <w:tc>
          <w:tcPr>
            <w:tcW w:w="1220" w:type="dxa"/>
            <w:noWrap/>
          </w:tcPr>
          <w:p w14:paraId="2479B5F8" w14:textId="77777777" w:rsidR="0050196F" w:rsidRPr="00A113C2" w:rsidRDefault="0050196F" w:rsidP="00224F55">
            <w:pPr>
              <w:pStyle w:val="ARGrantstabletextright"/>
              <w:rPr>
                <w:b/>
              </w:rPr>
            </w:pPr>
            <w:r w:rsidRPr="00A113C2">
              <w:t>27,200</w:t>
            </w:r>
          </w:p>
        </w:tc>
      </w:tr>
      <w:tr w:rsidR="0050196F" w:rsidRPr="00B6199F" w14:paraId="36FD6514" w14:textId="77777777" w:rsidTr="00DB5974">
        <w:tc>
          <w:tcPr>
            <w:tcW w:w="3402" w:type="dxa"/>
            <w:noWrap/>
          </w:tcPr>
          <w:p w14:paraId="6C499831" w14:textId="77777777" w:rsidR="0050196F" w:rsidRPr="000A379F" w:rsidRDefault="0050196F" w:rsidP="00224F55">
            <w:pPr>
              <w:pStyle w:val="ARGrantstabletext"/>
            </w:pPr>
            <w:r w:rsidRPr="000A379F">
              <w:t>Fitzroy Lions Soccer Club</w:t>
            </w:r>
          </w:p>
        </w:tc>
        <w:tc>
          <w:tcPr>
            <w:tcW w:w="1220" w:type="dxa"/>
            <w:noWrap/>
          </w:tcPr>
          <w:p w14:paraId="5E607F38" w14:textId="77777777" w:rsidR="0050196F" w:rsidRPr="00A113C2" w:rsidRDefault="0050196F" w:rsidP="00224F55">
            <w:pPr>
              <w:pStyle w:val="ARGrantstabletextright"/>
              <w:rPr>
                <w:b/>
              </w:rPr>
            </w:pPr>
            <w:r w:rsidRPr="00A113C2">
              <w:t>30,000</w:t>
            </w:r>
          </w:p>
        </w:tc>
      </w:tr>
      <w:tr w:rsidR="0050196F" w:rsidRPr="00B6199F" w14:paraId="564A2410" w14:textId="77777777" w:rsidTr="00DB5974">
        <w:tc>
          <w:tcPr>
            <w:tcW w:w="3402" w:type="dxa"/>
            <w:noWrap/>
          </w:tcPr>
          <w:p w14:paraId="321B9306" w14:textId="77777777" w:rsidR="0050196F" w:rsidRPr="000A379F" w:rsidRDefault="0050196F" w:rsidP="00224F55">
            <w:pPr>
              <w:pStyle w:val="ARGrantstabletext"/>
            </w:pPr>
            <w:r w:rsidRPr="000A379F">
              <w:t>Inner West Community Foundation</w:t>
            </w:r>
          </w:p>
        </w:tc>
        <w:tc>
          <w:tcPr>
            <w:tcW w:w="1220" w:type="dxa"/>
            <w:noWrap/>
          </w:tcPr>
          <w:p w14:paraId="66E41017" w14:textId="77777777" w:rsidR="0050196F" w:rsidRPr="00A113C2" w:rsidRDefault="0050196F" w:rsidP="00224F55">
            <w:pPr>
              <w:pStyle w:val="ARGrantstabletextright"/>
              <w:rPr>
                <w:b/>
              </w:rPr>
            </w:pPr>
            <w:r w:rsidRPr="00A113C2">
              <w:t>30,000</w:t>
            </w:r>
          </w:p>
        </w:tc>
      </w:tr>
      <w:tr w:rsidR="0050196F" w:rsidRPr="00B6199F" w14:paraId="5B29BE04" w14:textId="77777777" w:rsidTr="00DB5974">
        <w:tc>
          <w:tcPr>
            <w:tcW w:w="3402" w:type="dxa"/>
            <w:noWrap/>
          </w:tcPr>
          <w:p w14:paraId="75564E41" w14:textId="6B22F62D" w:rsidR="0050196F" w:rsidRPr="000A379F" w:rsidRDefault="0050196F" w:rsidP="00224F55">
            <w:pPr>
              <w:pStyle w:val="ARGrantstabletext"/>
            </w:pPr>
            <w:r w:rsidRPr="000A379F">
              <w:t>Kids</w:t>
            </w:r>
            <w:r w:rsidR="00711AE6">
              <w:t>’</w:t>
            </w:r>
            <w:r w:rsidRPr="000A379F">
              <w:t xml:space="preserve"> Own Publishing</w:t>
            </w:r>
          </w:p>
        </w:tc>
        <w:tc>
          <w:tcPr>
            <w:tcW w:w="1220" w:type="dxa"/>
            <w:noWrap/>
          </w:tcPr>
          <w:p w14:paraId="0B0508A8" w14:textId="77777777" w:rsidR="0050196F" w:rsidRPr="00A113C2" w:rsidRDefault="0050196F" w:rsidP="00224F55">
            <w:pPr>
              <w:pStyle w:val="ARGrantstabletextright"/>
              <w:rPr>
                <w:b/>
              </w:rPr>
            </w:pPr>
            <w:r w:rsidRPr="00A113C2">
              <w:t>27,758</w:t>
            </w:r>
          </w:p>
        </w:tc>
      </w:tr>
      <w:tr w:rsidR="0050196F" w:rsidRPr="00B6199F" w14:paraId="500DD9D4" w14:textId="77777777" w:rsidTr="00DB5974">
        <w:tc>
          <w:tcPr>
            <w:tcW w:w="3402" w:type="dxa"/>
            <w:noWrap/>
          </w:tcPr>
          <w:p w14:paraId="6B6B8700" w14:textId="5BABDF97" w:rsidR="0050196F" w:rsidRPr="000A379F" w:rsidRDefault="0050196F" w:rsidP="00224F55">
            <w:pPr>
              <w:pStyle w:val="ARGrantstabletext"/>
            </w:pPr>
            <w:r w:rsidRPr="000A379F">
              <w:t>Melbourne Committee Of Chinese Literature</w:t>
            </w:r>
            <w:r w:rsidR="00E64C24">
              <w:t> </w:t>
            </w:r>
            <w:r w:rsidRPr="000A379F">
              <w:t>Incorporated</w:t>
            </w:r>
          </w:p>
        </w:tc>
        <w:tc>
          <w:tcPr>
            <w:tcW w:w="1220" w:type="dxa"/>
            <w:noWrap/>
          </w:tcPr>
          <w:p w14:paraId="17270C41" w14:textId="77777777" w:rsidR="0050196F" w:rsidRPr="00A113C2" w:rsidRDefault="0050196F" w:rsidP="00224F55">
            <w:pPr>
              <w:pStyle w:val="ARGrantstabletextright"/>
              <w:rPr>
                <w:b/>
              </w:rPr>
            </w:pPr>
            <w:r w:rsidRPr="00A113C2">
              <w:t>4,600</w:t>
            </w:r>
          </w:p>
        </w:tc>
      </w:tr>
      <w:tr w:rsidR="0050196F" w:rsidRPr="00B6199F" w14:paraId="7D4E7784" w14:textId="77777777" w:rsidTr="00DB5974">
        <w:tc>
          <w:tcPr>
            <w:tcW w:w="3402" w:type="dxa"/>
            <w:noWrap/>
          </w:tcPr>
          <w:p w14:paraId="3E6A670B" w14:textId="77777777" w:rsidR="0050196F" w:rsidRPr="000A379F" w:rsidRDefault="0050196F" w:rsidP="00224F55">
            <w:pPr>
              <w:pStyle w:val="ARGrantstabletext"/>
            </w:pPr>
            <w:r w:rsidRPr="000A379F">
              <w:t>Mzuri Dance ArtisTree</w:t>
            </w:r>
          </w:p>
        </w:tc>
        <w:tc>
          <w:tcPr>
            <w:tcW w:w="1220" w:type="dxa"/>
            <w:noWrap/>
          </w:tcPr>
          <w:p w14:paraId="12FFE059" w14:textId="77777777" w:rsidR="0050196F" w:rsidRPr="00A113C2" w:rsidRDefault="0050196F" w:rsidP="00224F55">
            <w:pPr>
              <w:pStyle w:val="ARGrantstabletextright"/>
              <w:rPr>
                <w:b/>
              </w:rPr>
            </w:pPr>
            <w:r w:rsidRPr="00A113C2">
              <w:t>60,000</w:t>
            </w:r>
          </w:p>
        </w:tc>
      </w:tr>
      <w:tr w:rsidR="0050196F" w:rsidRPr="00B6199F" w14:paraId="508C399F" w14:textId="77777777" w:rsidTr="00DB5974">
        <w:tc>
          <w:tcPr>
            <w:tcW w:w="3402" w:type="dxa"/>
            <w:noWrap/>
          </w:tcPr>
          <w:p w14:paraId="464C0434" w14:textId="074CC23A" w:rsidR="0050196F" w:rsidRPr="000A379F" w:rsidRDefault="0050196F" w:rsidP="00224F55">
            <w:pPr>
              <w:pStyle w:val="ARGrantstabletext"/>
            </w:pPr>
            <w:r w:rsidRPr="000A379F">
              <w:t>North Richmond Community Health</w:t>
            </w:r>
            <w:r w:rsidR="000A379F" w:rsidRPr="000A379F">
              <w:t> </w:t>
            </w:r>
            <w:r w:rsidRPr="000A379F">
              <w:t>Centre</w:t>
            </w:r>
          </w:p>
        </w:tc>
        <w:tc>
          <w:tcPr>
            <w:tcW w:w="1220" w:type="dxa"/>
            <w:noWrap/>
          </w:tcPr>
          <w:p w14:paraId="6D4A2577" w14:textId="77777777" w:rsidR="0050196F" w:rsidRPr="00A113C2" w:rsidRDefault="0050196F" w:rsidP="00224F55">
            <w:pPr>
              <w:pStyle w:val="ARGrantstabletextright"/>
              <w:rPr>
                <w:b/>
              </w:rPr>
            </w:pPr>
            <w:r w:rsidRPr="00A113C2">
              <w:t>85,675</w:t>
            </w:r>
          </w:p>
        </w:tc>
      </w:tr>
      <w:tr w:rsidR="0050196F" w:rsidRPr="00B6199F" w14:paraId="0D74C119" w14:textId="77777777" w:rsidTr="00DB5974">
        <w:tc>
          <w:tcPr>
            <w:tcW w:w="3402" w:type="dxa"/>
            <w:noWrap/>
          </w:tcPr>
          <w:p w14:paraId="2E8B581D" w14:textId="77777777" w:rsidR="0050196F" w:rsidRPr="000A379F" w:rsidRDefault="0050196F" w:rsidP="00224F55">
            <w:pPr>
              <w:pStyle w:val="ARGrantstabletext"/>
            </w:pPr>
            <w:r w:rsidRPr="000A379F">
              <w:t>Reclink Australia</w:t>
            </w:r>
          </w:p>
        </w:tc>
        <w:tc>
          <w:tcPr>
            <w:tcW w:w="1220" w:type="dxa"/>
            <w:noWrap/>
          </w:tcPr>
          <w:p w14:paraId="32C011B9" w14:textId="77777777" w:rsidR="0050196F" w:rsidRPr="00A113C2" w:rsidRDefault="0050196F" w:rsidP="00224F55">
            <w:pPr>
              <w:pStyle w:val="ARGrantstabletextright"/>
              <w:rPr>
                <w:b/>
              </w:rPr>
            </w:pPr>
            <w:r w:rsidRPr="00A113C2">
              <w:t>29,707</w:t>
            </w:r>
          </w:p>
        </w:tc>
      </w:tr>
      <w:tr w:rsidR="0050196F" w:rsidRPr="00B6199F" w14:paraId="578EBEAC" w14:textId="77777777" w:rsidTr="00DB5974">
        <w:tc>
          <w:tcPr>
            <w:tcW w:w="3402" w:type="dxa"/>
            <w:noWrap/>
          </w:tcPr>
          <w:p w14:paraId="53209C38" w14:textId="77777777" w:rsidR="0050196F" w:rsidRPr="000A379F" w:rsidRDefault="0050196F" w:rsidP="00224F55">
            <w:pPr>
              <w:pStyle w:val="ARGrantstabletext"/>
            </w:pPr>
            <w:r w:rsidRPr="000A379F">
              <w:t>Seventh Gallery</w:t>
            </w:r>
          </w:p>
        </w:tc>
        <w:tc>
          <w:tcPr>
            <w:tcW w:w="1220" w:type="dxa"/>
            <w:noWrap/>
          </w:tcPr>
          <w:p w14:paraId="2515FCC4" w14:textId="77777777" w:rsidR="0050196F" w:rsidRPr="00A113C2" w:rsidRDefault="0050196F" w:rsidP="00224F55">
            <w:pPr>
              <w:pStyle w:val="ARGrantstabletextright"/>
              <w:rPr>
                <w:b/>
              </w:rPr>
            </w:pPr>
            <w:r w:rsidRPr="00A113C2">
              <w:t>29,975</w:t>
            </w:r>
          </w:p>
        </w:tc>
      </w:tr>
      <w:tr w:rsidR="0050196F" w:rsidRPr="00B6199F" w14:paraId="69A20B94" w14:textId="77777777" w:rsidTr="00DB5974">
        <w:tc>
          <w:tcPr>
            <w:tcW w:w="3402" w:type="dxa"/>
            <w:noWrap/>
          </w:tcPr>
          <w:p w14:paraId="1A35B3AA" w14:textId="77777777" w:rsidR="0050196F" w:rsidRPr="000A379F" w:rsidRDefault="0050196F" w:rsidP="00224F55">
            <w:pPr>
              <w:pStyle w:val="ARGrantstabletext"/>
            </w:pPr>
            <w:r w:rsidRPr="000A379F">
              <w:t>The Wellington Inc</w:t>
            </w:r>
          </w:p>
        </w:tc>
        <w:tc>
          <w:tcPr>
            <w:tcW w:w="1220" w:type="dxa"/>
            <w:noWrap/>
          </w:tcPr>
          <w:p w14:paraId="193A38CF" w14:textId="77777777" w:rsidR="0050196F" w:rsidRPr="00A113C2" w:rsidRDefault="0050196F" w:rsidP="00224F55">
            <w:pPr>
              <w:pStyle w:val="ARGrantstabletextright"/>
              <w:rPr>
                <w:b/>
              </w:rPr>
            </w:pPr>
            <w:r w:rsidRPr="00A113C2">
              <w:t>133,605</w:t>
            </w:r>
          </w:p>
        </w:tc>
      </w:tr>
      <w:tr w:rsidR="0050196F" w:rsidRPr="00B6199F" w14:paraId="7DB06930" w14:textId="77777777" w:rsidTr="00DB5974">
        <w:tc>
          <w:tcPr>
            <w:tcW w:w="3402" w:type="dxa"/>
            <w:noWrap/>
          </w:tcPr>
          <w:p w14:paraId="08A31751" w14:textId="77777777" w:rsidR="0050196F" w:rsidRPr="00A113C2" w:rsidRDefault="0050196F" w:rsidP="00224F55">
            <w:pPr>
              <w:pStyle w:val="ARGrantstabletext"/>
              <w:rPr>
                <w:b/>
              </w:rPr>
            </w:pPr>
            <w:r w:rsidRPr="00A113C2">
              <w:t>Visionary Images</w:t>
            </w:r>
          </w:p>
        </w:tc>
        <w:tc>
          <w:tcPr>
            <w:tcW w:w="1220" w:type="dxa"/>
            <w:noWrap/>
          </w:tcPr>
          <w:p w14:paraId="73C23D23" w14:textId="77777777" w:rsidR="0050196F" w:rsidRPr="00A113C2" w:rsidRDefault="0050196F" w:rsidP="00224F55">
            <w:pPr>
              <w:pStyle w:val="ARGrantstabletextright"/>
              <w:rPr>
                <w:b/>
              </w:rPr>
            </w:pPr>
            <w:r w:rsidRPr="00A113C2">
              <w:t>30,000</w:t>
            </w:r>
          </w:p>
        </w:tc>
      </w:tr>
      <w:tr w:rsidR="0050196F" w:rsidRPr="00B6199F" w14:paraId="7E940E94" w14:textId="77777777" w:rsidTr="00DB5974">
        <w:tc>
          <w:tcPr>
            <w:tcW w:w="3402" w:type="dxa"/>
            <w:noWrap/>
          </w:tcPr>
          <w:p w14:paraId="73C051D7" w14:textId="77777777" w:rsidR="0050196F" w:rsidRPr="00A113C2" w:rsidRDefault="0050196F" w:rsidP="00224F55">
            <w:pPr>
              <w:pStyle w:val="ARGrantstabletext"/>
              <w:rPr>
                <w:b/>
              </w:rPr>
            </w:pPr>
            <w:r w:rsidRPr="00A113C2">
              <w:t>Yarra City Council</w:t>
            </w:r>
          </w:p>
        </w:tc>
        <w:tc>
          <w:tcPr>
            <w:tcW w:w="1220" w:type="dxa"/>
            <w:noWrap/>
          </w:tcPr>
          <w:p w14:paraId="3410AB9A" w14:textId="77777777" w:rsidR="0050196F" w:rsidRPr="00A113C2" w:rsidRDefault="0050196F" w:rsidP="00224F55">
            <w:pPr>
              <w:pStyle w:val="ARGrantstabletextright"/>
              <w:rPr>
                <w:b/>
              </w:rPr>
            </w:pPr>
            <w:r w:rsidRPr="00A113C2">
              <w:t>50,000</w:t>
            </w:r>
          </w:p>
        </w:tc>
      </w:tr>
      <w:tr w:rsidR="0050196F" w:rsidRPr="00B6199F" w14:paraId="3DE6C822" w14:textId="77777777" w:rsidTr="00DB5974">
        <w:tc>
          <w:tcPr>
            <w:tcW w:w="3402" w:type="dxa"/>
            <w:noWrap/>
          </w:tcPr>
          <w:p w14:paraId="11004997" w14:textId="77777777" w:rsidR="0050196F" w:rsidRPr="00A113C2" w:rsidRDefault="0050196F" w:rsidP="00224F55">
            <w:pPr>
              <w:pStyle w:val="ARGrantstabletext"/>
              <w:rPr>
                <w:b/>
              </w:rPr>
            </w:pPr>
            <w:r w:rsidRPr="00A113C2">
              <w:t>Young Assets Foundation</w:t>
            </w:r>
          </w:p>
        </w:tc>
        <w:tc>
          <w:tcPr>
            <w:tcW w:w="1220" w:type="dxa"/>
            <w:noWrap/>
          </w:tcPr>
          <w:p w14:paraId="5313E937" w14:textId="77777777" w:rsidR="0050196F" w:rsidRPr="00A113C2" w:rsidRDefault="0050196F" w:rsidP="00224F55">
            <w:pPr>
              <w:pStyle w:val="ARGrantstabletextright"/>
              <w:rPr>
                <w:b/>
              </w:rPr>
            </w:pPr>
            <w:r w:rsidRPr="00A113C2">
              <w:t>32,692</w:t>
            </w:r>
          </w:p>
        </w:tc>
      </w:tr>
      <w:tr w:rsidR="0050196F" w:rsidRPr="00B6199F" w14:paraId="3A4C4A52" w14:textId="77777777" w:rsidTr="00DB5974">
        <w:tc>
          <w:tcPr>
            <w:tcW w:w="3402" w:type="dxa"/>
            <w:noWrap/>
          </w:tcPr>
          <w:p w14:paraId="5998A26E" w14:textId="77777777" w:rsidR="0050196F" w:rsidRPr="000A379F" w:rsidRDefault="0050196F" w:rsidP="006608F0">
            <w:pPr>
              <w:pStyle w:val="ARGrantstabletextbold"/>
            </w:pPr>
            <w:r w:rsidRPr="00A113C2">
              <w:t>Total</w:t>
            </w:r>
          </w:p>
        </w:tc>
        <w:tc>
          <w:tcPr>
            <w:tcW w:w="1220" w:type="dxa"/>
            <w:noWrap/>
          </w:tcPr>
          <w:p w14:paraId="4F9C4D3F" w14:textId="77777777" w:rsidR="0050196F" w:rsidRPr="00A113C2" w:rsidRDefault="0050196F" w:rsidP="006608F0">
            <w:pPr>
              <w:pStyle w:val="ARGrantstabletextrightbold"/>
            </w:pPr>
            <w:r w:rsidRPr="00A113C2">
              <w:t>1,086,408</w:t>
            </w:r>
          </w:p>
        </w:tc>
      </w:tr>
    </w:tbl>
    <w:p w14:paraId="1BCBFCDD" w14:textId="3D753FEA" w:rsidR="0050196F" w:rsidRPr="00307608" w:rsidRDefault="0050196F" w:rsidP="00DB5974">
      <w:pPr>
        <w:pStyle w:val="Heading3Grants"/>
      </w:pPr>
      <w:r w:rsidRPr="00307608">
        <w:t xml:space="preserve">LGBTI+ </w:t>
      </w:r>
      <w:r w:rsidRPr="00DB5974">
        <w:t>equality</w:t>
      </w:r>
      <w:r w:rsidRPr="00307608">
        <w:t xml:space="preserve"> policy </w:t>
      </w:r>
      <w:r w:rsidRPr="00EE67F2">
        <w:t>and</w:t>
      </w:r>
      <w:r w:rsidRPr="00307608">
        <w:t xml:space="preserve"> programs</w:t>
      </w:r>
    </w:p>
    <w:tbl>
      <w:tblPr>
        <w:tblStyle w:val="DHARGrantstable"/>
        <w:tblW w:w="5033" w:type="pct"/>
        <w:tblLook w:val="06A0" w:firstRow="1" w:lastRow="0" w:firstColumn="1" w:lastColumn="0" w:noHBand="1" w:noVBand="1"/>
      </w:tblPr>
      <w:tblGrid>
        <w:gridCol w:w="3410"/>
        <w:gridCol w:w="1225"/>
      </w:tblGrid>
      <w:tr w:rsidR="0050196F" w:rsidRPr="00B6199F" w14:paraId="73617805" w14:textId="77777777" w:rsidTr="00DB5974">
        <w:trPr>
          <w:cnfStyle w:val="100000000000" w:firstRow="1" w:lastRow="0" w:firstColumn="0" w:lastColumn="0" w:oddVBand="0" w:evenVBand="0" w:oddHBand="0" w:evenHBand="0" w:firstRowFirstColumn="0" w:firstRowLastColumn="0" w:lastRowFirstColumn="0" w:lastRowLastColumn="0"/>
          <w:trHeight w:val="20"/>
        </w:trPr>
        <w:tc>
          <w:tcPr>
            <w:tcW w:w="3402" w:type="dxa"/>
            <w:noWrap/>
          </w:tcPr>
          <w:p w14:paraId="7BB0724A" w14:textId="77777777" w:rsidR="0050196F" w:rsidRPr="00EE67F2" w:rsidRDefault="0050196F" w:rsidP="00DB5974">
            <w:pPr>
              <w:pStyle w:val="ARGrantstabletextbold"/>
            </w:pPr>
            <w:r w:rsidRPr="00DB5974">
              <w:t>Organisation</w:t>
            </w:r>
          </w:p>
        </w:tc>
        <w:tc>
          <w:tcPr>
            <w:tcW w:w="1217" w:type="dxa"/>
            <w:noWrap/>
          </w:tcPr>
          <w:p w14:paraId="3B1D7014" w14:textId="77777777" w:rsidR="0050196F" w:rsidRPr="00EB6515" w:rsidRDefault="0050196F" w:rsidP="00DB5974">
            <w:pPr>
              <w:pStyle w:val="ARGrantstablecolheadright"/>
            </w:pPr>
            <w:r w:rsidRPr="00DB5974">
              <w:t>Payment</w:t>
            </w:r>
            <w:r w:rsidRPr="00EB6515">
              <w:t xml:space="preserve"> ($)</w:t>
            </w:r>
          </w:p>
        </w:tc>
      </w:tr>
      <w:tr w:rsidR="0050196F" w:rsidRPr="00EB6515" w14:paraId="1F8152B7" w14:textId="77777777" w:rsidTr="00DB5974">
        <w:trPr>
          <w:trHeight w:val="20"/>
        </w:trPr>
        <w:tc>
          <w:tcPr>
            <w:tcW w:w="3402" w:type="dxa"/>
            <w:noWrap/>
          </w:tcPr>
          <w:p w14:paraId="7D463FF7" w14:textId="77777777" w:rsidR="0050196F" w:rsidRPr="00EB6515" w:rsidRDefault="0050196F" w:rsidP="00224F55">
            <w:pPr>
              <w:pStyle w:val="ARGrantstabletext"/>
              <w:rPr>
                <w:b/>
              </w:rPr>
            </w:pPr>
            <w:r w:rsidRPr="00EB6515">
              <w:t>3CR Community Radio</w:t>
            </w:r>
          </w:p>
        </w:tc>
        <w:tc>
          <w:tcPr>
            <w:tcW w:w="1217" w:type="dxa"/>
            <w:noWrap/>
          </w:tcPr>
          <w:p w14:paraId="0B10D328" w14:textId="77777777" w:rsidR="0050196F" w:rsidRPr="00EB6515" w:rsidRDefault="0050196F" w:rsidP="00224F55">
            <w:pPr>
              <w:pStyle w:val="ARGrantstabletextright"/>
              <w:rPr>
                <w:b/>
              </w:rPr>
            </w:pPr>
            <w:r w:rsidRPr="00EB6515">
              <w:t>8,700</w:t>
            </w:r>
          </w:p>
        </w:tc>
      </w:tr>
      <w:tr w:rsidR="0050196F" w:rsidRPr="00EB6515" w14:paraId="60D9379B" w14:textId="77777777" w:rsidTr="00DB5974">
        <w:trPr>
          <w:trHeight w:val="20"/>
        </w:trPr>
        <w:tc>
          <w:tcPr>
            <w:tcW w:w="3402" w:type="dxa"/>
            <w:noWrap/>
          </w:tcPr>
          <w:p w14:paraId="3F4EFE43" w14:textId="374B0FBD" w:rsidR="0050196F" w:rsidRPr="00EB6515" w:rsidRDefault="0050196F" w:rsidP="00224F55">
            <w:pPr>
              <w:pStyle w:val="ARGrantstabletext"/>
              <w:rPr>
                <w:b/>
              </w:rPr>
            </w:pPr>
            <w:r w:rsidRPr="00EB6515">
              <w:t xml:space="preserve">Africare Community Services </w:t>
            </w:r>
            <w:r w:rsidR="003B5B30">
              <w:t>Inc</w:t>
            </w:r>
          </w:p>
        </w:tc>
        <w:tc>
          <w:tcPr>
            <w:tcW w:w="1217" w:type="dxa"/>
            <w:noWrap/>
          </w:tcPr>
          <w:p w14:paraId="547D2AA1" w14:textId="77777777" w:rsidR="0050196F" w:rsidRPr="00EB6515" w:rsidRDefault="0050196F" w:rsidP="00224F55">
            <w:pPr>
              <w:pStyle w:val="ARGrantstabletextright"/>
              <w:rPr>
                <w:b/>
              </w:rPr>
            </w:pPr>
            <w:r w:rsidRPr="00EB6515">
              <w:t>11,300</w:t>
            </w:r>
          </w:p>
        </w:tc>
      </w:tr>
      <w:tr w:rsidR="0050196F" w:rsidRPr="00EB6515" w14:paraId="4B014C77" w14:textId="77777777" w:rsidTr="00DB5974">
        <w:trPr>
          <w:trHeight w:val="20"/>
        </w:trPr>
        <w:tc>
          <w:tcPr>
            <w:tcW w:w="3402" w:type="dxa"/>
            <w:noWrap/>
          </w:tcPr>
          <w:p w14:paraId="08371C57" w14:textId="55A79502" w:rsidR="0050196F" w:rsidRPr="00EB6515" w:rsidRDefault="0050196F" w:rsidP="00224F55">
            <w:pPr>
              <w:pStyle w:val="ARGrantstabletext"/>
              <w:rPr>
                <w:b/>
              </w:rPr>
            </w:pPr>
            <w:r w:rsidRPr="00EB6515">
              <w:t xml:space="preserve">Auspicious Arts Projects </w:t>
            </w:r>
            <w:r w:rsidR="003B5B30">
              <w:t>Inc</w:t>
            </w:r>
          </w:p>
        </w:tc>
        <w:tc>
          <w:tcPr>
            <w:tcW w:w="1217" w:type="dxa"/>
            <w:noWrap/>
          </w:tcPr>
          <w:p w14:paraId="4546DFB7" w14:textId="77777777" w:rsidR="0050196F" w:rsidRPr="00EB6515" w:rsidRDefault="0050196F" w:rsidP="00224F55">
            <w:pPr>
              <w:pStyle w:val="ARGrantstabletextright"/>
              <w:rPr>
                <w:b/>
              </w:rPr>
            </w:pPr>
            <w:r w:rsidRPr="00EB6515">
              <w:t>17,590</w:t>
            </w:r>
          </w:p>
        </w:tc>
      </w:tr>
      <w:tr w:rsidR="0050196F" w:rsidRPr="00EB6515" w14:paraId="1F96E2B8" w14:textId="77777777" w:rsidTr="00DB5974">
        <w:trPr>
          <w:trHeight w:val="20"/>
        </w:trPr>
        <w:tc>
          <w:tcPr>
            <w:tcW w:w="3402" w:type="dxa"/>
            <w:noWrap/>
          </w:tcPr>
          <w:p w14:paraId="0BDF5B08" w14:textId="77777777" w:rsidR="0050196F" w:rsidRPr="00EB6515" w:rsidRDefault="0050196F" w:rsidP="00224F55">
            <w:pPr>
              <w:pStyle w:val="ARGrantstabletext"/>
              <w:rPr>
                <w:b/>
              </w:rPr>
            </w:pPr>
            <w:r w:rsidRPr="00EB6515">
              <w:t>Australian Institute for Diversity in Mental Health (AIDMH)</w:t>
            </w:r>
          </w:p>
        </w:tc>
        <w:tc>
          <w:tcPr>
            <w:tcW w:w="1217" w:type="dxa"/>
            <w:noWrap/>
          </w:tcPr>
          <w:p w14:paraId="12B407AB" w14:textId="77777777" w:rsidR="0050196F" w:rsidRPr="00EB6515" w:rsidRDefault="0050196F" w:rsidP="00224F55">
            <w:pPr>
              <w:pStyle w:val="ARGrantstabletextright"/>
              <w:rPr>
                <w:b/>
              </w:rPr>
            </w:pPr>
            <w:r w:rsidRPr="00EB6515">
              <w:t>18,330</w:t>
            </w:r>
          </w:p>
        </w:tc>
      </w:tr>
      <w:tr w:rsidR="0050196F" w:rsidRPr="00EB6515" w14:paraId="2B8757BE" w14:textId="77777777" w:rsidTr="00DB5974">
        <w:trPr>
          <w:trHeight w:val="20"/>
        </w:trPr>
        <w:tc>
          <w:tcPr>
            <w:tcW w:w="3402" w:type="dxa"/>
            <w:noWrap/>
          </w:tcPr>
          <w:p w14:paraId="7A847E23" w14:textId="77777777" w:rsidR="0050196F" w:rsidRPr="00EB6515" w:rsidRDefault="0050196F" w:rsidP="00224F55">
            <w:pPr>
              <w:pStyle w:val="ARGrantstabletext"/>
              <w:rPr>
                <w:b/>
              </w:rPr>
            </w:pPr>
            <w:r w:rsidRPr="00EB6515">
              <w:t>Australian Queer Archives Inc (AQuA)</w:t>
            </w:r>
          </w:p>
        </w:tc>
        <w:tc>
          <w:tcPr>
            <w:tcW w:w="1217" w:type="dxa"/>
            <w:noWrap/>
          </w:tcPr>
          <w:p w14:paraId="47E807FD" w14:textId="77777777" w:rsidR="0050196F" w:rsidRPr="00EB6515" w:rsidRDefault="0050196F" w:rsidP="00224F55">
            <w:pPr>
              <w:pStyle w:val="ARGrantstabletextright"/>
              <w:rPr>
                <w:b/>
              </w:rPr>
            </w:pPr>
            <w:r w:rsidRPr="00EB6515">
              <w:t>32,000</w:t>
            </w:r>
          </w:p>
        </w:tc>
      </w:tr>
      <w:tr w:rsidR="0050196F" w:rsidRPr="00EB6515" w14:paraId="595D5DAF" w14:textId="77777777" w:rsidTr="00DB5974">
        <w:trPr>
          <w:trHeight w:val="20"/>
        </w:trPr>
        <w:tc>
          <w:tcPr>
            <w:tcW w:w="3402" w:type="dxa"/>
            <w:noWrap/>
          </w:tcPr>
          <w:p w14:paraId="023DDDE8" w14:textId="77777777" w:rsidR="0050196F" w:rsidRPr="00EB6515" w:rsidRDefault="0050196F" w:rsidP="00224F55">
            <w:pPr>
              <w:pStyle w:val="ARGrantstabletext"/>
              <w:rPr>
                <w:b/>
              </w:rPr>
            </w:pPr>
            <w:r w:rsidRPr="00EB6515">
              <w:t>Ballarat Frolic Festival Inc</w:t>
            </w:r>
          </w:p>
        </w:tc>
        <w:tc>
          <w:tcPr>
            <w:tcW w:w="1217" w:type="dxa"/>
            <w:noWrap/>
          </w:tcPr>
          <w:p w14:paraId="1A76C482" w14:textId="77777777" w:rsidR="0050196F" w:rsidRPr="00EB6515" w:rsidRDefault="0050196F" w:rsidP="00224F55">
            <w:pPr>
              <w:pStyle w:val="ARGrantstabletextright"/>
              <w:rPr>
                <w:b/>
              </w:rPr>
            </w:pPr>
            <w:r w:rsidRPr="00EB6515">
              <w:t>10,000</w:t>
            </w:r>
          </w:p>
        </w:tc>
      </w:tr>
      <w:tr w:rsidR="0050196F" w:rsidRPr="00EB6515" w14:paraId="35F0C80A" w14:textId="77777777" w:rsidTr="00DB5974">
        <w:trPr>
          <w:trHeight w:val="20"/>
        </w:trPr>
        <w:tc>
          <w:tcPr>
            <w:tcW w:w="3402" w:type="dxa"/>
            <w:noWrap/>
          </w:tcPr>
          <w:p w14:paraId="6DDFE4BA" w14:textId="77777777" w:rsidR="0050196F" w:rsidRPr="00EB6515" w:rsidRDefault="0050196F" w:rsidP="00224F55">
            <w:pPr>
              <w:pStyle w:val="ARGrantstabletext"/>
              <w:rPr>
                <w:b/>
              </w:rPr>
            </w:pPr>
            <w:r w:rsidRPr="00EB6515">
              <w:t>Bendigo Queer Arts Festival</w:t>
            </w:r>
          </w:p>
        </w:tc>
        <w:tc>
          <w:tcPr>
            <w:tcW w:w="1217" w:type="dxa"/>
            <w:noWrap/>
          </w:tcPr>
          <w:p w14:paraId="4156B1D3" w14:textId="77777777" w:rsidR="0050196F" w:rsidRPr="00EB6515" w:rsidRDefault="0050196F" w:rsidP="00224F55">
            <w:pPr>
              <w:pStyle w:val="ARGrantstabletextright"/>
              <w:rPr>
                <w:b/>
              </w:rPr>
            </w:pPr>
            <w:r w:rsidRPr="00EB6515">
              <w:t>50,000</w:t>
            </w:r>
          </w:p>
        </w:tc>
      </w:tr>
      <w:tr w:rsidR="0050196F" w:rsidRPr="00EB6515" w14:paraId="1D282E08" w14:textId="77777777" w:rsidTr="00DB5974">
        <w:trPr>
          <w:trHeight w:val="20"/>
        </w:trPr>
        <w:tc>
          <w:tcPr>
            <w:tcW w:w="3402" w:type="dxa"/>
            <w:noWrap/>
          </w:tcPr>
          <w:p w14:paraId="7137000C" w14:textId="643140B8" w:rsidR="0050196F" w:rsidRPr="00EB6515" w:rsidRDefault="0050196F" w:rsidP="00224F55">
            <w:pPr>
              <w:pStyle w:val="ARGrantstabletext"/>
              <w:rPr>
                <w:b/>
              </w:rPr>
            </w:pPr>
            <w:r w:rsidRPr="00EB6515">
              <w:t>Better Health Network (Formerly Star</w:t>
            </w:r>
            <w:r w:rsidR="00120540">
              <w:t> </w:t>
            </w:r>
            <w:r w:rsidRPr="00EB6515">
              <w:t>Health)</w:t>
            </w:r>
          </w:p>
        </w:tc>
        <w:tc>
          <w:tcPr>
            <w:tcW w:w="1217" w:type="dxa"/>
            <w:noWrap/>
          </w:tcPr>
          <w:p w14:paraId="6609B316" w14:textId="77777777" w:rsidR="0050196F" w:rsidRPr="00EB6515" w:rsidRDefault="0050196F" w:rsidP="00224F55">
            <w:pPr>
              <w:pStyle w:val="ARGrantstabletextright"/>
              <w:rPr>
                <w:b/>
              </w:rPr>
            </w:pPr>
            <w:r w:rsidRPr="00EB6515">
              <w:t>21,145</w:t>
            </w:r>
          </w:p>
        </w:tc>
      </w:tr>
      <w:tr w:rsidR="0050196F" w:rsidRPr="00EB6515" w14:paraId="6F508701" w14:textId="77777777" w:rsidTr="00DB5974">
        <w:trPr>
          <w:trHeight w:val="20"/>
        </w:trPr>
        <w:tc>
          <w:tcPr>
            <w:tcW w:w="3402" w:type="dxa"/>
            <w:noWrap/>
          </w:tcPr>
          <w:p w14:paraId="297AB6FC" w14:textId="77777777" w:rsidR="0050196F" w:rsidRPr="00EB6515" w:rsidRDefault="0050196F" w:rsidP="00224F55">
            <w:pPr>
              <w:pStyle w:val="ARGrantstabletext"/>
              <w:rPr>
                <w:b/>
              </w:rPr>
            </w:pPr>
            <w:r w:rsidRPr="00EB6515">
              <w:t>Body Safety Australia</w:t>
            </w:r>
          </w:p>
        </w:tc>
        <w:tc>
          <w:tcPr>
            <w:tcW w:w="1217" w:type="dxa"/>
            <w:noWrap/>
          </w:tcPr>
          <w:p w14:paraId="63CA9F5C" w14:textId="77777777" w:rsidR="0050196F" w:rsidRPr="00EB6515" w:rsidRDefault="0050196F" w:rsidP="00224F55">
            <w:pPr>
              <w:pStyle w:val="ARGrantstabletextright"/>
              <w:rPr>
                <w:b/>
              </w:rPr>
            </w:pPr>
            <w:r w:rsidRPr="00EB6515">
              <w:t>9,350</w:t>
            </w:r>
          </w:p>
        </w:tc>
      </w:tr>
      <w:tr w:rsidR="0050196F" w:rsidRPr="00EB6515" w14:paraId="61245B76" w14:textId="77777777" w:rsidTr="00DB5974">
        <w:trPr>
          <w:trHeight w:val="20"/>
        </w:trPr>
        <w:tc>
          <w:tcPr>
            <w:tcW w:w="3402" w:type="dxa"/>
            <w:noWrap/>
          </w:tcPr>
          <w:p w14:paraId="7F58117E" w14:textId="77777777" w:rsidR="0050196F" w:rsidRPr="00EB6515" w:rsidRDefault="0050196F" w:rsidP="00224F55">
            <w:pPr>
              <w:pStyle w:val="ARGrantstabletext"/>
              <w:rPr>
                <w:b/>
              </w:rPr>
            </w:pPr>
            <w:r w:rsidRPr="00EB6515">
              <w:t>Castlemaine Community House</w:t>
            </w:r>
          </w:p>
        </w:tc>
        <w:tc>
          <w:tcPr>
            <w:tcW w:w="1217" w:type="dxa"/>
            <w:noWrap/>
          </w:tcPr>
          <w:p w14:paraId="70A410C5" w14:textId="77777777" w:rsidR="0050196F" w:rsidRPr="00EB6515" w:rsidRDefault="0050196F" w:rsidP="00224F55">
            <w:pPr>
              <w:pStyle w:val="ARGrantstabletextright"/>
              <w:rPr>
                <w:b/>
              </w:rPr>
            </w:pPr>
            <w:r w:rsidRPr="00EB6515">
              <w:t>10,000</w:t>
            </w:r>
          </w:p>
        </w:tc>
      </w:tr>
      <w:tr w:rsidR="0050196F" w:rsidRPr="00EB6515" w14:paraId="753209BF" w14:textId="77777777" w:rsidTr="00DB5974">
        <w:trPr>
          <w:trHeight w:val="20"/>
        </w:trPr>
        <w:tc>
          <w:tcPr>
            <w:tcW w:w="3402" w:type="dxa"/>
            <w:noWrap/>
          </w:tcPr>
          <w:p w14:paraId="4AD5AE7C" w14:textId="77777777" w:rsidR="0050196F" w:rsidRPr="00EB6515" w:rsidRDefault="0050196F" w:rsidP="00224F55">
            <w:pPr>
              <w:pStyle w:val="ARGrantstabletext"/>
              <w:rPr>
                <w:b/>
              </w:rPr>
            </w:pPr>
            <w:r w:rsidRPr="00EB6515">
              <w:t>ChillOut Daylesford Inc</w:t>
            </w:r>
          </w:p>
        </w:tc>
        <w:tc>
          <w:tcPr>
            <w:tcW w:w="1217" w:type="dxa"/>
            <w:noWrap/>
          </w:tcPr>
          <w:p w14:paraId="0293A51D" w14:textId="77777777" w:rsidR="0050196F" w:rsidRPr="00EB6515" w:rsidRDefault="0050196F" w:rsidP="00224F55">
            <w:pPr>
              <w:pStyle w:val="ARGrantstabletextright"/>
              <w:rPr>
                <w:b/>
              </w:rPr>
            </w:pPr>
            <w:r w:rsidRPr="00EB6515">
              <w:t>25,000</w:t>
            </w:r>
          </w:p>
        </w:tc>
      </w:tr>
      <w:tr w:rsidR="0050196F" w:rsidRPr="00EB6515" w14:paraId="0F6D1F4D" w14:textId="77777777" w:rsidTr="00DB5974">
        <w:trPr>
          <w:trHeight w:val="20"/>
        </w:trPr>
        <w:tc>
          <w:tcPr>
            <w:tcW w:w="3402" w:type="dxa"/>
            <w:noWrap/>
          </w:tcPr>
          <w:p w14:paraId="1BACD7C8" w14:textId="77777777" w:rsidR="0050196F" w:rsidRPr="00EB6515" w:rsidRDefault="0050196F" w:rsidP="00224F55">
            <w:pPr>
              <w:pStyle w:val="ARGrantstabletext"/>
              <w:rPr>
                <w:b/>
              </w:rPr>
            </w:pPr>
            <w:r w:rsidRPr="00EB6515">
              <w:t>Drummond Street Services Inc</w:t>
            </w:r>
          </w:p>
        </w:tc>
        <w:tc>
          <w:tcPr>
            <w:tcW w:w="1217" w:type="dxa"/>
            <w:noWrap/>
          </w:tcPr>
          <w:p w14:paraId="50DED3B8" w14:textId="77777777" w:rsidR="0050196F" w:rsidRPr="00EB6515" w:rsidRDefault="0050196F" w:rsidP="00224F55">
            <w:pPr>
              <w:pStyle w:val="ARGrantstabletextright"/>
              <w:rPr>
                <w:b/>
              </w:rPr>
            </w:pPr>
            <w:r w:rsidRPr="00EB6515">
              <w:t>1,003,112</w:t>
            </w:r>
          </w:p>
        </w:tc>
      </w:tr>
      <w:tr w:rsidR="0050196F" w:rsidRPr="00EB6515" w14:paraId="4720E572" w14:textId="77777777" w:rsidTr="00DB5974">
        <w:trPr>
          <w:trHeight w:val="20"/>
        </w:trPr>
        <w:tc>
          <w:tcPr>
            <w:tcW w:w="3402" w:type="dxa"/>
            <w:noWrap/>
          </w:tcPr>
          <w:p w14:paraId="68567E33" w14:textId="77777777" w:rsidR="0050196F" w:rsidRPr="00EB6515" w:rsidRDefault="0050196F" w:rsidP="00224F55">
            <w:pPr>
              <w:pStyle w:val="ARGrantstabletext"/>
              <w:rPr>
                <w:b/>
              </w:rPr>
            </w:pPr>
            <w:r w:rsidRPr="00EB6515">
              <w:t>Echuca Regional Health</w:t>
            </w:r>
          </w:p>
        </w:tc>
        <w:tc>
          <w:tcPr>
            <w:tcW w:w="1217" w:type="dxa"/>
            <w:noWrap/>
          </w:tcPr>
          <w:p w14:paraId="59345154" w14:textId="77777777" w:rsidR="0050196F" w:rsidRPr="00EB6515" w:rsidRDefault="0050196F" w:rsidP="00224F55">
            <w:pPr>
              <w:pStyle w:val="ARGrantstabletextright"/>
              <w:rPr>
                <w:b/>
              </w:rPr>
            </w:pPr>
            <w:r w:rsidRPr="00EB6515">
              <w:t>10,000</w:t>
            </w:r>
          </w:p>
        </w:tc>
      </w:tr>
      <w:tr w:rsidR="0050196F" w:rsidRPr="00EB6515" w14:paraId="00F37C48" w14:textId="77777777" w:rsidTr="00DB5974">
        <w:trPr>
          <w:trHeight w:val="20"/>
        </w:trPr>
        <w:tc>
          <w:tcPr>
            <w:tcW w:w="3402" w:type="dxa"/>
            <w:noWrap/>
          </w:tcPr>
          <w:p w14:paraId="540F2FC3" w14:textId="77777777" w:rsidR="0050196F" w:rsidRPr="00EB6515" w:rsidRDefault="0050196F" w:rsidP="00224F55">
            <w:pPr>
              <w:pStyle w:val="ARGrantstabletext"/>
              <w:rPr>
                <w:b/>
              </w:rPr>
            </w:pPr>
            <w:r w:rsidRPr="00EB6515">
              <w:t>Flat Out</w:t>
            </w:r>
          </w:p>
        </w:tc>
        <w:tc>
          <w:tcPr>
            <w:tcW w:w="1217" w:type="dxa"/>
            <w:noWrap/>
          </w:tcPr>
          <w:p w14:paraId="65A83483" w14:textId="77777777" w:rsidR="0050196F" w:rsidRPr="00EB6515" w:rsidRDefault="0050196F" w:rsidP="00224F55">
            <w:pPr>
              <w:pStyle w:val="ARGrantstabletextright"/>
              <w:rPr>
                <w:b/>
              </w:rPr>
            </w:pPr>
            <w:r w:rsidRPr="00EB6515">
              <w:t>105,000</w:t>
            </w:r>
          </w:p>
        </w:tc>
      </w:tr>
      <w:tr w:rsidR="0050196F" w:rsidRPr="00EB6515" w14:paraId="42EAB251" w14:textId="77777777" w:rsidTr="00DB5974">
        <w:trPr>
          <w:trHeight w:val="20"/>
        </w:trPr>
        <w:tc>
          <w:tcPr>
            <w:tcW w:w="3402" w:type="dxa"/>
            <w:noWrap/>
          </w:tcPr>
          <w:p w14:paraId="17F37ED8" w14:textId="77777777" w:rsidR="0050196F" w:rsidRPr="00EB6515" w:rsidRDefault="0050196F" w:rsidP="00224F55">
            <w:pPr>
              <w:pStyle w:val="ARGrantstabletext"/>
              <w:rPr>
                <w:b/>
              </w:rPr>
            </w:pPr>
            <w:r w:rsidRPr="00EB6515">
              <w:t>Footscray Community Arts Centre</w:t>
            </w:r>
          </w:p>
        </w:tc>
        <w:tc>
          <w:tcPr>
            <w:tcW w:w="1217" w:type="dxa"/>
            <w:noWrap/>
          </w:tcPr>
          <w:p w14:paraId="7355F025" w14:textId="77777777" w:rsidR="0050196F" w:rsidRPr="00EB6515" w:rsidRDefault="0050196F" w:rsidP="00224F55">
            <w:pPr>
              <w:pStyle w:val="ARGrantstabletextright"/>
              <w:rPr>
                <w:b/>
              </w:rPr>
            </w:pPr>
            <w:r w:rsidRPr="00EB6515">
              <w:t>25,000</w:t>
            </w:r>
          </w:p>
        </w:tc>
      </w:tr>
      <w:tr w:rsidR="0050196F" w:rsidRPr="00EB6515" w14:paraId="37276B6A" w14:textId="77777777" w:rsidTr="00DB5974">
        <w:trPr>
          <w:trHeight w:val="20"/>
        </w:trPr>
        <w:tc>
          <w:tcPr>
            <w:tcW w:w="3402" w:type="dxa"/>
            <w:noWrap/>
          </w:tcPr>
          <w:p w14:paraId="40C79AD4" w14:textId="77777777" w:rsidR="0050196F" w:rsidRPr="00EB6515" w:rsidRDefault="0050196F" w:rsidP="00224F55">
            <w:pPr>
              <w:pStyle w:val="ARGrantstabletext"/>
              <w:rPr>
                <w:b/>
              </w:rPr>
            </w:pPr>
            <w:r w:rsidRPr="00EB6515">
              <w:t>Gaytimes Pty Ltd</w:t>
            </w:r>
          </w:p>
        </w:tc>
        <w:tc>
          <w:tcPr>
            <w:tcW w:w="1217" w:type="dxa"/>
            <w:noWrap/>
          </w:tcPr>
          <w:p w14:paraId="448B82D8" w14:textId="77777777" w:rsidR="0050196F" w:rsidRPr="00EB6515" w:rsidRDefault="0050196F" w:rsidP="00224F55">
            <w:pPr>
              <w:pStyle w:val="ARGrantstabletextright"/>
              <w:rPr>
                <w:b/>
              </w:rPr>
            </w:pPr>
            <w:r w:rsidRPr="00EB6515">
              <w:t>32,000</w:t>
            </w:r>
          </w:p>
        </w:tc>
      </w:tr>
      <w:tr w:rsidR="0050196F" w:rsidRPr="00EB6515" w14:paraId="76F05C8F" w14:textId="77777777" w:rsidTr="00DB5974">
        <w:trPr>
          <w:trHeight w:val="20"/>
        </w:trPr>
        <w:tc>
          <w:tcPr>
            <w:tcW w:w="3402" w:type="dxa"/>
            <w:noWrap/>
          </w:tcPr>
          <w:p w14:paraId="7E509E44" w14:textId="77777777" w:rsidR="0050196F" w:rsidRPr="00EB6515" w:rsidRDefault="0050196F" w:rsidP="00224F55">
            <w:pPr>
              <w:pStyle w:val="ARGrantstabletext"/>
              <w:rPr>
                <w:b/>
              </w:rPr>
            </w:pPr>
            <w:r w:rsidRPr="00EB6515">
              <w:t>Geelong Pride Film Festival</w:t>
            </w:r>
          </w:p>
        </w:tc>
        <w:tc>
          <w:tcPr>
            <w:tcW w:w="1217" w:type="dxa"/>
            <w:noWrap/>
          </w:tcPr>
          <w:p w14:paraId="75D491F5" w14:textId="77777777" w:rsidR="0050196F" w:rsidRPr="00EB6515" w:rsidRDefault="0050196F" w:rsidP="00224F55">
            <w:pPr>
              <w:pStyle w:val="ARGrantstabletextright"/>
              <w:rPr>
                <w:b/>
              </w:rPr>
            </w:pPr>
            <w:r w:rsidRPr="00EB6515">
              <w:t>9,385</w:t>
            </w:r>
          </w:p>
        </w:tc>
      </w:tr>
      <w:tr w:rsidR="0050196F" w:rsidRPr="00EB6515" w14:paraId="28B8EDCB" w14:textId="77777777" w:rsidTr="00DB5974">
        <w:trPr>
          <w:trHeight w:val="20"/>
        </w:trPr>
        <w:tc>
          <w:tcPr>
            <w:tcW w:w="3402" w:type="dxa"/>
            <w:noWrap/>
          </w:tcPr>
          <w:p w14:paraId="7E1BE430" w14:textId="77777777" w:rsidR="0050196F" w:rsidRPr="00EB6515" w:rsidRDefault="0050196F" w:rsidP="00224F55">
            <w:pPr>
              <w:pStyle w:val="ARGrantstabletext"/>
              <w:rPr>
                <w:b/>
              </w:rPr>
            </w:pPr>
            <w:r w:rsidRPr="00EB6515">
              <w:t>Gippsland Lakes Community Health</w:t>
            </w:r>
          </w:p>
        </w:tc>
        <w:tc>
          <w:tcPr>
            <w:tcW w:w="1217" w:type="dxa"/>
            <w:noWrap/>
          </w:tcPr>
          <w:p w14:paraId="0F0E0A97" w14:textId="77777777" w:rsidR="0050196F" w:rsidRPr="00EB6515" w:rsidRDefault="0050196F" w:rsidP="00224F55">
            <w:pPr>
              <w:pStyle w:val="ARGrantstabletextright"/>
              <w:rPr>
                <w:b/>
              </w:rPr>
            </w:pPr>
            <w:r w:rsidRPr="00EB6515">
              <w:t>10,000</w:t>
            </w:r>
          </w:p>
        </w:tc>
      </w:tr>
      <w:tr w:rsidR="0050196F" w:rsidRPr="00EB6515" w14:paraId="2E4FBC25" w14:textId="77777777" w:rsidTr="00DB5974">
        <w:trPr>
          <w:trHeight w:val="20"/>
        </w:trPr>
        <w:tc>
          <w:tcPr>
            <w:tcW w:w="3402" w:type="dxa"/>
            <w:noWrap/>
          </w:tcPr>
          <w:p w14:paraId="59873B4B" w14:textId="190C5548" w:rsidR="0050196F" w:rsidRPr="00EB6515" w:rsidRDefault="0050196F" w:rsidP="00224F55">
            <w:pPr>
              <w:pStyle w:val="ARGrantstabletext"/>
              <w:rPr>
                <w:b/>
              </w:rPr>
            </w:pPr>
            <w:r w:rsidRPr="00EB6515">
              <w:t xml:space="preserve">Gippsland Pride Initiative </w:t>
            </w:r>
            <w:r w:rsidR="003B5B30">
              <w:t>Inc</w:t>
            </w:r>
          </w:p>
        </w:tc>
        <w:tc>
          <w:tcPr>
            <w:tcW w:w="1217" w:type="dxa"/>
            <w:noWrap/>
          </w:tcPr>
          <w:p w14:paraId="33FA8F14" w14:textId="77777777" w:rsidR="0050196F" w:rsidRPr="00EB6515" w:rsidRDefault="0050196F" w:rsidP="00224F55">
            <w:pPr>
              <w:pStyle w:val="ARGrantstabletextright"/>
              <w:rPr>
                <w:b/>
              </w:rPr>
            </w:pPr>
            <w:r w:rsidRPr="00EB6515">
              <w:t>50,000</w:t>
            </w:r>
          </w:p>
        </w:tc>
      </w:tr>
      <w:tr w:rsidR="0050196F" w:rsidRPr="00EB6515" w14:paraId="54F394F0" w14:textId="77777777" w:rsidTr="00DB5974">
        <w:trPr>
          <w:trHeight w:val="20"/>
        </w:trPr>
        <w:tc>
          <w:tcPr>
            <w:tcW w:w="3402" w:type="dxa"/>
            <w:noWrap/>
          </w:tcPr>
          <w:p w14:paraId="43F1B507" w14:textId="09305FAF" w:rsidR="0050196F" w:rsidRPr="00EB6515" w:rsidRDefault="0050196F" w:rsidP="00224F55">
            <w:pPr>
              <w:pStyle w:val="ARGrantstabletext"/>
              <w:rPr>
                <w:b/>
              </w:rPr>
            </w:pPr>
            <w:r w:rsidRPr="00EB6515">
              <w:t xml:space="preserve">Gippsland Ranges Roller Derby </w:t>
            </w:r>
            <w:r w:rsidR="003B5B30">
              <w:t>Inc</w:t>
            </w:r>
          </w:p>
        </w:tc>
        <w:tc>
          <w:tcPr>
            <w:tcW w:w="1217" w:type="dxa"/>
            <w:noWrap/>
          </w:tcPr>
          <w:p w14:paraId="2ABAA25D" w14:textId="77777777" w:rsidR="0050196F" w:rsidRPr="00EB6515" w:rsidRDefault="0050196F" w:rsidP="00224F55">
            <w:pPr>
              <w:pStyle w:val="ARGrantstabletextright"/>
              <w:rPr>
                <w:b/>
              </w:rPr>
            </w:pPr>
            <w:r w:rsidRPr="00EB6515">
              <w:t>7,493</w:t>
            </w:r>
          </w:p>
        </w:tc>
      </w:tr>
      <w:tr w:rsidR="0050196F" w:rsidRPr="00EB6515" w14:paraId="2D3705FC" w14:textId="77777777" w:rsidTr="00DB5974">
        <w:trPr>
          <w:trHeight w:val="20"/>
        </w:trPr>
        <w:tc>
          <w:tcPr>
            <w:tcW w:w="3402" w:type="dxa"/>
            <w:noWrap/>
          </w:tcPr>
          <w:p w14:paraId="1FA59C26" w14:textId="77777777" w:rsidR="0050196F" w:rsidRPr="00EB6515" w:rsidRDefault="0050196F" w:rsidP="00224F55">
            <w:pPr>
              <w:pStyle w:val="ARGrantstabletext"/>
              <w:rPr>
                <w:b/>
              </w:rPr>
            </w:pPr>
            <w:r w:rsidRPr="00EB6515">
              <w:t>Goulburn Valley Pride Incorporated</w:t>
            </w:r>
          </w:p>
        </w:tc>
        <w:tc>
          <w:tcPr>
            <w:tcW w:w="1217" w:type="dxa"/>
            <w:noWrap/>
          </w:tcPr>
          <w:p w14:paraId="2F6412EE" w14:textId="77777777" w:rsidR="0050196F" w:rsidRPr="00EB6515" w:rsidRDefault="0050196F" w:rsidP="00224F55">
            <w:pPr>
              <w:pStyle w:val="ARGrantstabletextright"/>
              <w:rPr>
                <w:b/>
              </w:rPr>
            </w:pPr>
            <w:r w:rsidRPr="00EB6515">
              <w:t>33,700</w:t>
            </w:r>
          </w:p>
        </w:tc>
      </w:tr>
      <w:tr w:rsidR="0050196F" w:rsidRPr="00EB6515" w14:paraId="32CCE499" w14:textId="77777777" w:rsidTr="00DB5974">
        <w:trPr>
          <w:trHeight w:val="20"/>
        </w:trPr>
        <w:tc>
          <w:tcPr>
            <w:tcW w:w="3402" w:type="dxa"/>
            <w:noWrap/>
          </w:tcPr>
          <w:p w14:paraId="32ED6000" w14:textId="77777777" w:rsidR="0050196F" w:rsidRPr="00EB6515" w:rsidRDefault="0050196F" w:rsidP="00224F55">
            <w:pPr>
              <w:pStyle w:val="ARGrantstabletext"/>
              <w:rPr>
                <w:b/>
              </w:rPr>
            </w:pPr>
            <w:r w:rsidRPr="00EB6515">
              <w:t>Guide Dogs Victoria</w:t>
            </w:r>
          </w:p>
        </w:tc>
        <w:tc>
          <w:tcPr>
            <w:tcW w:w="1217" w:type="dxa"/>
            <w:noWrap/>
          </w:tcPr>
          <w:p w14:paraId="5788B677" w14:textId="77777777" w:rsidR="0050196F" w:rsidRPr="00EB6515" w:rsidRDefault="0050196F" w:rsidP="00224F55">
            <w:pPr>
              <w:pStyle w:val="ARGrantstabletextright"/>
              <w:rPr>
                <w:b/>
              </w:rPr>
            </w:pPr>
            <w:r w:rsidRPr="00EB6515">
              <w:t>9,120</w:t>
            </w:r>
          </w:p>
        </w:tc>
      </w:tr>
      <w:tr w:rsidR="0050196F" w:rsidRPr="00EB6515" w14:paraId="3DD3ACB2" w14:textId="77777777" w:rsidTr="00DB5974">
        <w:trPr>
          <w:trHeight w:val="20"/>
        </w:trPr>
        <w:tc>
          <w:tcPr>
            <w:tcW w:w="3402" w:type="dxa"/>
            <w:noWrap/>
          </w:tcPr>
          <w:p w14:paraId="796A9499" w14:textId="77777777" w:rsidR="0050196F" w:rsidRPr="00EB6515" w:rsidRDefault="0050196F" w:rsidP="00224F55">
            <w:pPr>
              <w:pStyle w:val="ARGrantstabletext"/>
              <w:rPr>
                <w:b/>
              </w:rPr>
            </w:pPr>
            <w:r w:rsidRPr="00EB6515">
              <w:t>Hockey Victoria</w:t>
            </w:r>
          </w:p>
        </w:tc>
        <w:tc>
          <w:tcPr>
            <w:tcW w:w="1217" w:type="dxa"/>
            <w:noWrap/>
          </w:tcPr>
          <w:p w14:paraId="08D3BBAE" w14:textId="77777777" w:rsidR="0050196F" w:rsidRPr="00EB6515" w:rsidRDefault="0050196F" w:rsidP="00224F55">
            <w:pPr>
              <w:pStyle w:val="ARGrantstabletextright"/>
              <w:rPr>
                <w:b/>
              </w:rPr>
            </w:pPr>
            <w:r w:rsidRPr="00EB6515">
              <w:t>5,000</w:t>
            </w:r>
          </w:p>
        </w:tc>
      </w:tr>
      <w:tr w:rsidR="0050196F" w:rsidRPr="00EB6515" w14:paraId="658BAFC7" w14:textId="77777777" w:rsidTr="00DB5974">
        <w:trPr>
          <w:trHeight w:val="20"/>
        </w:trPr>
        <w:tc>
          <w:tcPr>
            <w:tcW w:w="3402" w:type="dxa"/>
            <w:noWrap/>
          </w:tcPr>
          <w:p w14:paraId="7C950220" w14:textId="77777777" w:rsidR="0050196F" w:rsidRPr="00EB6515" w:rsidRDefault="0050196F" w:rsidP="00224F55">
            <w:pPr>
              <w:pStyle w:val="ARGrantstabletext"/>
              <w:rPr>
                <w:b/>
              </w:rPr>
            </w:pPr>
            <w:r w:rsidRPr="00EB6515">
              <w:t>Joy Melbourne Inc</w:t>
            </w:r>
          </w:p>
        </w:tc>
        <w:tc>
          <w:tcPr>
            <w:tcW w:w="1217" w:type="dxa"/>
            <w:noWrap/>
          </w:tcPr>
          <w:p w14:paraId="7B7F812E" w14:textId="77777777" w:rsidR="0050196F" w:rsidRPr="00EB6515" w:rsidRDefault="0050196F" w:rsidP="00224F55">
            <w:pPr>
              <w:pStyle w:val="ARGrantstabletextright"/>
              <w:rPr>
                <w:b/>
              </w:rPr>
            </w:pPr>
            <w:r w:rsidRPr="00EB6515">
              <w:t>200,000</w:t>
            </w:r>
          </w:p>
        </w:tc>
      </w:tr>
      <w:tr w:rsidR="0050196F" w:rsidRPr="00EB6515" w14:paraId="1D676DFE" w14:textId="77777777" w:rsidTr="00DB5974">
        <w:trPr>
          <w:trHeight w:val="20"/>
        </w:trPr>
        <w:tc>
          <w:tcPr>
            <w:tcW w:w="3402" w:type="dxa"/>
            <w:noWrap/>
          </w:tcPr>
          <w:p w14:paraId="3AE35F0D" w14:textId="77777777" w:rsidR="0050196F" w:rsidRPr="00EB6515" w:rsidRDefault="0050196F" w:rsidP="00224F55">
            <w:pPr>
              <w:pStyle w:val="ARGrantstabletext"/>
              <w:rPr>
                <w:b/>
              </w:rPr>
            </w:pPr>
            <w:r w:rsidRPr="00EB6515">
              <w:t>Junction Support Services LTD</w:t>
            </w:r>
          </w:p>
        </w:tc>
        <w:tc>
          <w:tcPr>
            <w:tcW w:w="1217" w:type="dxa"/>
            <w:noWrap/>
          </w:tcPr>
          <w:p w14:paraId="3FC255EE" w14:textId="77777777" w:rsidR="0050196F" w:rsidRPr="00EB6515" w:rsidRDefault="0050196F" w:rsidP="00224F55">
            <w:pPr>
              <w:pStyle w:val="ARGrantstabletextright"/>
              <w:rPr>
                <w:b/>
              </w:rPr>
            </w:pPr>
            <w:r w:rsidRPr="00EB6515">
              <w:t>10,000</w:t>
            </w:r>
          </w:p>
        </w:tc>
      </w:tr>
      <w:tr w:rsidR="0050196F" w:rsidRPr="00EB6515" w14:paraId="4961B5A0" w14:textId="77777777" w:rsidTr="00DB5974">
        <w:trPr>
          <w:trHeight w:val="20"/>
        </w:trPr>
        <w:tc>
          <w:tcPr>
            <w:tcW w:w="3402" w:type="dxa"/>
            <w:noWrap/>
          </w:tcPr>
          <w:p w14:paraId="23F37DA5" w14:textId="77777777" w:rsidR="0050196F" w:rsidRPr="00EB6515" w:rsidRDefault="0050196F" w:rsidP="00224F55">
            <w:pPr>
              <w:pStyle w:val="ARGrantstabletext"/>
              <w:rPr>
                <w:b/>
              </w:rPr>
            </w:pPr>
            <w:r w:rsidRPr="00EB6515">
              <w:t>Lance TV Inc</w:t>
            </w:r>
          </w:p>
        </w:tc>
        <w:tc>
          <w:tcPr>
            <w:tcW w:w="1217" w:type="dxa"/>
            <w:noWrap/>
          </w:tcPr>
          <w:p w14:paraId="4F27EAA6" w14:textId="77777777" w:rsidR="0050196F" w:rsidRPr="00EB6515" w:rsidRDefault="0050196F" w:rsidP="00224F55">
            <w:pPr>
              <w:pStyle w:val="ARGrantstabletextright"/>
              <w:rPr>
                <w:b/>
              </w:rPr>
            </w:pPr>
            <w:r w:rsidRPr="00EB6515">
              <w:t>25,000</w:t>
            </w:r>
          </w:p>
        </w:tc>
      </w:tr>
      <w:tr w:rsidR="0050196F" w:rsidRPr="00EB6515" w14:paraId="4FA28EAE" w14:textId="77777777" w:rsidTr="00DB5974">
        <w:trPr>
          <w:trHeight w:val="20"/>
        </w:trPr>
        <w:tc>
          <w:tcPr>
            <w:tcW w:w="3402" w:type="dxa"/>
            <w:noWrap/>
          </w:tcPr>
          <w:p w14:paraId="4481945D" w14:textId="77777777" w:rsidR="0050196F" w:rsidRPr="00EB6515" w:rsidRDefault="0050196F" w:rsidP="00224F55">
            <w:pPr>
              <w:pStyle w:val="ARGrantstabletext"/>
              <w:rPr>
                <w:b/>
              </w:rPr>
            </w:pPr>
            <w:r w:rsidRPr="00EB6515">
              <w:t>Latrobe Community Health Service</w:t>
            </w:r>
          </w:p>
        </w:tc>
        <w:tc>
          <w:tcPr>
            <w:tcW w:w="1217" w:type="dxa"/>
            <w:noWrap/>
          </w:tcPr>
          <w:p w14:paraId="3A259A70" w14:textId="77777777" w:rsidR="0050196F" w:rsidRPr="00EB6515" w:rsidRDefault="0050196F" w:rsidP="00224F55">
            <w:pPr>
              <w:pStyle w:val="ARGrantstabletextright"/>
              <w:rPr>
                <w:b/>
              </w:rPr>
            </w:pPr>
            <w:r w:rsidRPr="00EB6515">
              <w:t>10,000</w:t>
            </w:r>
          </w:p>
        </w:tc>
      </w:tr>
      <w:tr w:rsidR="0050196F" w:rsidRPr="00EB6515" w14:paraId="26682A6C" w14:textId="77777777" w:rsidTr="00DB5974">
        <w:trPr>
          <w:trHeight w:val="20"/>
        </w:trPr>
        <w:tc>
          <w:tcPr>
            <w:tcW w:w="3402" w:type="dxa"/>
            <w:noWrap/>
          </w:tcPr>
          <w:p w14:paraId="2A489ACE" w14:textId="77777777" w:rsidR="0050196F" w:rsidRPr="00EB6515" w:rsidRDefault="0050196F" w:rsidP="00224F55">
            <w:pPr>
              <w:pStyle w:val="ARGrantstabletext"/>
              <w:rPr>
                <w:b/>
              </w:rPr>
            </w:pPr>
            <w:r w:rsidRPr="00EB6515">
              <w:t>LINE Wangaratta</w:t>
            </w:r>
          </w:p>
        </w:tc>
        <w:tc>
          <w:tcPr>
            <w:tcW w:w="1217" w:type="dxa"/>
            <w:noWrap/>
          </w:tcPr>
          <w:p w14:paraId="3E679266" w14:textId="77777777" w:rsidR="0050196F" w:rsidRPr="00EB6515" w:rsidRDefault="0050196F" w:rsidP="00224F55">
            <w:pPr>
              <w:pStyle w:val="ARGrantstabletextright"/>
              <w:rPr>
                <w:b/>
              </w:rPr>
            </w:pPr>
            <w:r w:rsidRPr="00EB6515">
              <w:t>57,120</w:t>
            </w:r>
          </w:p>
        </w:tc>
      </w:tr>
      <w:tr w:rsidR="0050196F" w:rsidRPr="00EB6515" w14:paraId="4931AD62" w14:textId="77777777" w:rsidTr="00DB5974">
        <w:trPr>
          <w:trHeight w:val="20"/>
        </w:trPr>
        <w:tc>
          <w:tcPr>
            <w:tcW w:w="3402" w:type="dxa"/>
            <w:noWrap/>
          </w:tcPr>
          <w:p w14:paraId="05304323" w14:textId="77777777" w:rsidR="0050196F" w:rsidRPr="00EB6515" w:rsidRDefault="0050196F" w:rsidP="00224F55">
            <w:pPr>
              <w:pStyle w:val="ARGrantstabletext"/>
              <w:rPr>
                <w:b/>
              </w:rPr>
            </w:pPr>
            <w:r w:rsidRPr="00EB6515">
              <w:t>Living Positive Victoria</w:t>
            </w:r>
          </w:p>
        </w:tc>
        <w:tc>
          <w:tcPr>
            <w:tcW w:w="1217" w:type="dxa"/>
            <w:noWrap/>
          </w:tcPr>
          <w:p w14:paraId="278C3749" w14:textId="77777777" w:rsidR="0050196F" w:rsidRPr="00EB6515" w:rsidRDefault="0050196F" w:rsidP="00224F55">
            <w:pPr>
              <w:pStyle w:val="ARGrantstabletextright"/>
              <w:rPr>
                <w:b/>
              </w:rPr>
            </w:pPr>
            <w:r w:rsidRPr="00EB6515">
              <w:t>22,000</w:t>
            </w:r>
          </w:p>
        </w:tc>
      </w:tr>
      <w:tr w:rsidR="0050196F" w:rsidRPr="00EB6515" w14:paraId="01C5B584" w14:textId="77777777" w:rsidTr="00DB5974">
        <w:trPr>
          <w:trHeight w:val="20"/>
        </w:trPr>
        <w:tc>
          <w:tcPr>
            <w:tcW w:w="3402" w:type="dxa"/>
            <w:noWrap/>
          </w:tcPr>
          <w:p w14:paraId="11D5557B" w14:textId="77777777" w:rsidR="0050196F" w:rsidRPr="00EB6515" w:rsidRDefault="0050196F" w:rsidP="00224F55">
            <w:pPr>
              <w:pStyle w:val="ARGrantstabletext"/>
              <w:rPr>
                <w:b/>
              </w:rPr>
            </w:pPr>
            <w:r w:rsidRPr="00EB6515">
              <w:t>Many Coloured Sky</w:t>
            </w:r>
          </w:p>
        </w:tc>
        <w:tc>
          <w:tcPr>
            <w:tcW w:w="1217" w:type="dxa"/>
            <w:noWrap/>
          </w:tcPr>
          <w:p w14:paraId="403D1119" w14:textId="77777777" w:rsidR="0050196F" w:rsidRPr="00EB6515" w:rsidRDefault="0050196F" w:rsidP="00224F55">
            <w:pPr>
              <w:pStyle w:val="ARGrantstabletextright"/>
              <w:rPr>
                <w:b/>
              </w:rPr>
            </w:pPr>
            <w:r w:rsidRPr="00EB6515">
              <w:t>109,000</w:t>
            </w:r>
          </w:p>
        </w:tc>
      </w:tr>
      <w:tr w:rsidR="0050196F" w:rsidRPr="00EB6515" w14:paraId="40E5F3CF" w14:textId="77777777" w:rsidTr="00DB5974">
        <w:trPr>
          <w:trHeight w:val="20"/>
        </w:trPr>
        <w:tc>
          <w:tcPr>
            <w:tcW w:w="3402" w:type="dxa"/>
            <w:noWrap/>
          </w:tcPr>
          <w:p w14:paraId="18D13CBB" w14:textId="77777777" w:rsidR="0050196F" w:rsidRPr="00EB6515" w:rsidRDefault="0050196F" w:rsidP="00224F55">
            <w:pPr>
              <w:pStyle w:val="ARGrantstabletext"/>
              <w:rPr>
                <w:b/>
              </w:rPr>
            </w:pPr>
            <w:r w:rsidRPr="00EB6515">
              <w:t>Melbourne Bisexual Network</w:t>
            </w:r>
          </w:p>
        </w:tc>
        <w:tc>
          <w:tcPr>
            <w:tcW w:w="1217" w:type="dxa"/>
            <w:noWrap/>
          </w:tcPr>
          <w:p w14:paraId="2E13991F" w14:textId="77777777" w:rsidR="0050196F" w:rsidRPr="00EB6515" w:rsidRDefault="0050196F" w:rsidP="00224F55">
            <w:pPr>
              <w:pStyle w:val="ARGrantstabletextright"/>
              <w:rPr>
                <w:b/>
              </w:rPr>
            </w:pPr>
            <w:r w:rsidRPr="00EB6515">
              <w:t>32,000</w:t>
            </w:r>
          </w:p>
        </w:tc>
      </w:tr>
      <w:tr w:rsidR="0050196F" w:rsidRPr="00EB6515" w14:paraId="1652E8B8" w14:textId="77777777" w:rsidTr="00DB5974">
        <w:trPr>
          <w:trHeight w:val="20"/>
        </w:trPr>
        <w:tc>
          <w:tcPr>
            <w:tcW w:w="3402" w:type="dxa"/>
            <w:noWrap/>
          </w:tcPr>
          <w:p w14:paraId="50C712DB" w14:textId="77777777" w:rsidR="0050196F" w:rsidRPr="00EB6515" w:rsidRDefault="0050196F" w:rsidP="00224F55">
            <w:pPr>
              <w:pStyle w:val="ARGrantstabletext"/>
              <w:rPr>
                <w:b/>
              </w:rPr>
            </w:pPr>
            <w:r w:rsidRPr="00EB6515">
              <w:t>Melbourne Queer Film Festival Inc</w:t>
            </w:r>
          </w:p>
        </w:tc>
        <w:tc>
          <w:tcPr>
            <w:tcW w:w="1217" w:type="dxa"/>
            <w:noWrap/>
          </w:tcPr>
          <w:p w14:paraId="002B406B" w14:textId="77777777" w:rsidR="0050196F" w:rsidRPr="00EB6515" w:rsidRDefault="0050196F" w:rsidP="00224F55">
            <w:pPr>
              <w:pStyle w:val="ARGrantstabletextright"/>
              <w:rPr>
                <w:b/>
              </w:rPr>
            </w:pPr>
            <w:r w:rsidRPr="00EB6515">
              <w:t>50,000</w:t>
            </w:r>
          </w:p>
        </w:tc>
      </w:tr>
      <w:tr w:rsidR="0050196F" w:rsidRPr="00EB6515" w14:paraId="6659CB6A" w14:textId="77777777" w:rsidTr="00DB5974">
        <w:trPr>
          <w:trHeight w:val="20"/>
        </w:trPr>
        <w:tc>
          <w:tcPr>
            <w:tcW w:w="3402" w:type="dxa"/>
            <w:noWrap/>
          </w:tcPr>
          <w:p w14:paraId="05B695E5" w14:textId="1FD37CB7" w:rsidR="0050196F" w:rsidRPr="00EB6515" w:rsidRDefault="0050196F" w:rsidP="00224F55">
            <w:pPr>
              <w:pStyle w:val="ARGrantstabletext"/>
              <w:rPr>
                <w:b/>
              </w:rPr>
            </w:pPr>
            <w:r w:rsidRPr="00EB6515">
              <w:t xml:space="preserve">Midsumma Festival </w:t>
            </w:r>
            <w:r w:rsidR="003B5B30">
              <w:t>Inc</w:t>
            </w:r>
          </w:p>
        </w:tc>
        <w:tc>
          <w:tcPr>
            <w:tcW w:w="1217" w:type="dxa"/>
            <w:noWrap/>
          </w:tcPr>
          <w:p w14:paraId="48A112C4" w14:textId="060A4DE3" w:rsidR="0050196F" w:rsidRPr="00EB6515" w:rsidRDefault="0050196F" w:rsidP="00224F55">
            <w:pPr>
              <w:pStyle w:val="ARGrantstabletextright"/>
              <w:rPr>
                <w:b/>
              </w:rPr>
            </w:pPr>
            <w:r w:rsidRPr="00EB6515">
              <w:t>1,</w:t>
            </w:r>
            <w:r w:rsidR="001E6FE5" w:rsidRPr="00EB6515">
              <w:t>8</w:t>
            </w:r>
            <w:r w:rsidR="001E6FE5">
              <w:t>20</w:t>
            </w:r>
            <w:r w:rsidRPr="00EB6515">
              <w:t>,000</w:t>
            </w:r>
          </w:p>
        </w:tc>
      </w:tr>
      <w:tr w:rsidR="0050196F" w:rsidRPr="00EB6515" w14:paraId="28813FF3" w14:textId="77777777" w:rsidTr="00DB5974">
        <w:trPr>
          <w:trHeight w:val="20"/>
        </w:trPr>
        <w:tc>
          <w:tcPr>
            <w:tcW w:w="3402" w:type="dxa"/>
            <w:noWrap/>
          </w:tcPr>
          <w:p w14:paraId="1DDD883D" w14:textId="47E9B049" w:rsidR="0050196F" w:rsidRPr="00EB6515" w:rsidRDefault="0050196F" w:rsidP="00224F55">
            <w:pPr>
              <w:pStyle w:val="ARGrantstabletext"/>
              <w:rPr>
                <w:b/>
              </w:rPr>
            </w:pPr>
            <w:r w:rsidRPr="00EB6515">
              <w:t xml:space="preserve">Mill House Neighbourhood House </w:t>
            </w:r>
            <w:r w:rsidR="00BF0C89">
              <w:br/>
            </w:r>
            <w:r w:rsidRPr="00EB6515">
              <w:t>(Auspice for Pride Goldfields)</w:t>
            </w:r>
          </w:p>
        </w:tc>
        <w:tc>
          <w:tcPr>
            <w:tcW w:w="1217" w:type="dxa"/>
            <w:noWrap/>
          </w:tcPr>
          <w:p w14:paraId="56C040C2" w14:textId="77777777" w:rsidR="0050196F" w:rsidRPr="00EB6515" w:rsidRDefault="0050196F" w:rsidP="00224F55">
            <w:pPr>
              <w:pStyle w:val="ARGrantstabletextright"/>
              <w:rPr>
                <w:b/>
              </w:rPr>
            </w:pPr>
            <w:r w:rsidRPr="00EB6515">
              <w:t>10,000</w:t>
            </w:r>
          </w:p>
        </w:tc>
      </w:tr>
      <w:tr w:rsidR="0050196F" w:rsidRPr="00EB6515" w14:paraId="3E2F764F" w14:textId="77777777" w:rsidTr="00DB5974">
        <w:trPr>
          <w:trHeight w:val="20"/>
        </w:trPr>
        <w:tc>
          <w:tcPr>
            <w:tcW w:w="3402" w:type="dxa"/>
            <w:noWrap/>
          </w:tcPr>
          <w:p w14:paraId="017F0F38" w14:textId="0F643E8B" w:rsidR="0050196F" w:rsidRPr="00EB6515" w:rsidRDefault="0050196F" w:rsidP="00224F55">
            <w:pPr>
              <w:pStyle w:val="ARGrantstabletext"/>
              <w:rPr>
                <w:b/>
              </w:rPr>
            </w:pPr>
            <w:r w:rsidRPr="00EB6515">
              <w:t xml:space="preserve">Minus18 Foundation </w:t>
            </w:r>
            <w:r w:rsidR="003B5B30">
              <w:t>Inc</w:t>
            </w:r>
          </w:p>
        </w:tc>
        <w:tc>
          <w:tcPr>
            <w:tcW w:w="1217" w:type="dxa"/>
            <w:noWrap/>
          </w:tcPr>
          <w:p w14:paraId="027784D4" w14:textId="77777777" w:rsidR="0050196F" w:rsidRPr="00EB6515" w:rsidRDefault="0050196F" w:rsidP="00224F55">
            <w:pPr>
              <w:pStyle w:val="ARGrantstabletextright"/>
              <w:rPr>
                <w:b/>
              </w:rPr>
            </w:pPr>
            <w:r w:rsidRPr="00EB6515">
              <w:t>13,950</w:t>
            </w:r>
          </w:p>
        </w:tc>
      </w:tr>
      <w:tr w:rsidR="0050196F" w:rsidRPr="00EB6515" w14:paraId="398B4A7B" w14:textId="77777777" w:rsidTr="00DB5974">
        <w:trPr>
          <w:trHeight w:val="20"/>
        </w:trPr>
        <w:tc>
          <w:tcPr>
            <w:tcW w:w="3402" w:type="dxa"/>
            <w:noWrap/>
          </w:tcPr>
          <w:p w14:paraId="3DDA8A01" w14:textId="77777777" w:rsidR="0050196F" w:rsidRPr="00EB6515" w:rsidRDefault="0050196F" w:rsidP="00224F55">
            <w:pPr>
              <w:pStyle w:val="ARGrantstabletext"/>
              <w:rPr>
                <w:b/>
              </w:rPr>
            </w:pPr>
            <w:r w:rsidRPr="00EB6515">
              <w:t>Our Point 3 Incorporated</w:t>
            </w:r>
          </w:p>
        </w:tc>
        <w:tc>
          <w:tcPr>
            <w:tcW w:w="1217" w:type="dxa"/>
            <w:noWrap/>
          </w:tcPr>
          <w:p w14:paraId="03ED16AB" w14:textId="77777777" w:rsidR="0050196F" w:rsidRPr="00EB6515" w:rsidRDefault="0050196F" w:rsidP="00224F55">
            <w:pPr>
              <w:pStyle w:val="ARGrantstabletextright"/>
              <w:rPr>
                <w:b/>
              </w:rPr>
            </w:pPr>
            <w:r w:rsidRPr="00EB6515">
              <w:t>18,000</w:t>
            </w:r>
          </w:p>
        </w:tc>
      </w:tr>
      <w:tr w:rsidR="0050196F" w:rsidRPr="00EB6515" w14:paraId="016E9854" w14:textId="77777777" w:rsidTr="00DB5974">
        <w:trPr>
          <w:trHeight w:val="20"/>
        </w:trPr>
        <w:tc>
          <w:tcPr>
            <w:tcW w:w="3402" w:type="dxa"/>
            <w:noWrap/>
          </w:tcPr>
          <w:p w14:paraId="2FB5188B" w14:textId="77777777" w:rsidR="0050196F" w:rsidRPr="00EB6515" w:rsidRDefault="0050196F" w:rsidP="00224F55">
            <w:pPr>
              <w:pStyle w:val="ARGrantstabletext"/>
              <w:rPr>
                <w:b/>
              </w:rPr>
            </w:pPr>
            <w:r w:rsidRPr="00EB6515">
              <w:t>Preston Neighbourhood House</w:t>
            </w:r>
          </w:p>
        </w:tc>
        <w:tc>
          <w:tcPr>
            <w:tcW w:w="1217" w:type="dxa"/>
            <w:noWrap/>
          </w:tcPr>
          <w:p w14:paraId="517B4764" w14:textId="77777777" w:rsidR="0050196F" w:rsidRPr="00EB6515" w:rsidRDefault="0050196F" w:rsidP="00224F55">
            <w:pPr>
              <w:pStyle w:val="ARGrantstabletextright"/>
              <w:rPr>
                <w:b/>
              </w:rPr>
            </w:pPr>
            <w:r w:rsidRPr="00EB6515">
              <w:t>15,000</w:t>
            </w:r>
          </w:p>
        </w:tc>
      </w:tr>
      <w:tr w:rsidR="0050196F" w:rsidRPr="00EB6515" w14:paraId="20840D04" w14:textId="77777777" w:rsidTr="00DB5974">
        <w:trPr>
          <w:trHeight w:val="20"/>
        </w:trPr>
        <w:tc>
          <w:tcPr>
            <w:tcW w:w="3402" w:type="dxa"/>
            <w:noWrap/>
          </w:tcPr>
          <w:p w14:paraId="0AD68F8F" w14:textId="77777777" w:rsidR="0050196F" w:rsidRPr="00EB6515" w:rsidRDefault="0050196F" w:rsidP="00224F55">
            <w:pPr>
              <w:pStyle w:val="ARGrantstabletext"/>
              <w:rPr>
                <w:b/>
              </w:rPr>
            </w:pPr>
            <w:r w:rsidRPr="00EB6515">
              <w:t>Pride Cup</w:t>
            </w:r>
          </w:p>
        </w:tc>
        <w:tc>
          <w:tcPr>
            <w:tcW w:w="1217" w:type="dxa"/>
            <w:noWrap/>
          </w:tcPr>
          <w:p w14:paraId="644E0789" w14:textId="77777777" w:rsidR="0050196F" w:rsidRPr="00EB6515" w:rsidRDefault="0050196F" w:rsidP="00224F55">
            <w:pPr>
              <w:pStyle w:val="ARGrantstabletextright"/>
              <w:rPr>
                <w:b/>
              </w:rPr>
            </w:pPr>
            <w:r w:rsidRPr="00EB6515">
              <w:t>30,000</w:t>
            </w:r>
          </w:p>
        </w:tc>
      </w:tr>
      <w:tr w:rsidR="0050196F" w:rsidRPr="00EB6515" w14:paraId="79790565" w14:textId="77777777" w:rsidTr="00DB5974">
        <w:trPr>
          <w:trHeight w:val="20"/>
        </w:trPr>
        <w:tc>
          <w:tcPr>
            <w:tcW w:w="3402" w:type="dxa"/>
            <w:noWrap/>
          </w:tcPr>
          <w:p w14:paraId="04F42660" w14:textId="77777777" w:rsidR="0050196F" w:rsidRPr="00EB6515" w:rsidRDefault="0050196F" w:rsidP="00224F55">
            <w:pPr>
              <w:pStyle w:val="ARGrantstabletext"/>
              <w:rPr>
                <w:b/>
              </w:rPr>
            </w:pPr>
            <w:r w:rsidRPr="00EB6515">
              <w:t>Rural Pride Australia Ltd</w:t>
            </w:r>
          </w:p>
        </w:tc>
        <w:tc>
          <w:tcPr>
            <w:tcW w:w="1217" w:type="dxa"/>
            <w:noWrap/>
          </w:tcPr>
          <w:p w14:paraId="2570F523" w14:textId="77777777" w:rsidR="0050196F" w:rsidRPr="00EB6515" w:rsidRDefault="0050196F" w:rsidP="00224F55">
            <w:pPr>
              <w:pStyle w:val="ARGrantstabletextright"/>
              <w:rPr>
                <w:b/>
              </w:rPr>
            </w:pPr>
            <w:r w:rsidRPr="00EB6515">
              <w:t>156,000</w:t>
            </w:r>
          </w:p>
        </w:tc>
      </w:tr>
      <w:tr w:rsidR="0050196F" w:rsidRPr="00EB6515" w14:paraId="125E44B4" w14:textId="77777777" w:rsidTr="00DB5974">
        <w:trPr>
          <w:trHeight w:val="20"/>
        </w:trPr>
        <w:tc>
          <w:tcPr>
            <w:tcW w:w="3402" w:type="dxa"/>
            <w:noWrap/>
          </w:tcPr>
          <w:p w14:paraId="32D0F10C" w14:textId="77777777" w:rsidR="0050196F" w:rsidRPr="00EB6515" w:rsidRDefault="0050196F" w:rsidP="00224F55">
            <w:pPr>
              <w:pStyle w:val="ARGrantstabletext"/>
              <w:rPr>
                <w:b/>
              </w:rPr>
            </w:pPr>
            <w:r w:rsidRPr="00EB6515">
              <w:t>Switchboard (Victoria) Inc</w:t>
            </w:r>
          </w:p>
        </w:tc>
        <w:tc>
          <w:tcPr>
            <w:tcW w:w="1217" w:type="dxa"/>
            <w:noWrap/>
          </w:tcPr>
          <w:p w14:paraId="14BC2EDB" w14:textId="77777777" w:rsidR="0050196F" w:rsidRPr="00EB6515" w:rsidRDefault="0050196F" w:rsidP="00224F55">
            <w:pPr>
              <w:pStyle w:val="ARGrantstabletextright"/>
              <w:rPr>
                <w:b/>
              </w:rPr>
            </w:pPr>
            <w:r w:rsidRPr="00EB6515">
              <w:t>1,200,000</w:t>
            </w:r>
          </w:p>
        </w:tc>
      </w:tr>
      <w:tr w:rsidR="0050196F" w:rsidRPr="00EB6515" w14:paraId="0E02D4F0" w14:textId="77777777" w:rsidTr="00DB5974">
        <w:trPr>
          <w:trHeight w:val="20"/>
        </w:trPr>
        <w:tc>
          <w:tcPr>
            <w:tcW w:w="3402" w:type="dxa"/>
            <w:noWrap/>
          </w:tcPr>
          <w:p w14:paraId="457E6942" w14:textId="77777777" w:rsidR="0050196F" w:rsidRPr="00EB6515" w:rsidRDefault="0050196F" w:rsidP="00224F55">
            <w:pPr>
              <w:pStyle w:val="ARGrantstabletext"/>
              <w:rPr>
                <w:b/>
              </w:rPr>
            </w:pPr>
            <w:r w:rsidRPr="00EB6515">
              <w:t>The Equality Project</w:t>
            </w:r>
          </w:p>
        </w:tc>
        <w:tc>
          <w:tcPr>
            <w:tcW w:w="1217" w:type="dxa"/>
            <w:noWrap/>
          </w:tcPr>
          <w:p w14:paraId="1D98E7D7" w14:textId="77777777" w:rsidR="0050196F" w:rsidRPr="00EB6515" w:rsidRDefault="0050196F" w:rsidP="00224F55">
            <w:pPr>
              <w:pStyle w:val="ARGrantstabletextright"/>
              <w:rPr>
                <w:b/>
              </w:rPr>
            </w:pPr>
            <w:r w:rsidRPr="00EB6515">
              <w:t>72,167</w:t>
            </w:r>
          </w:p>
        </w:tc>
      </w:tr>
      <w:tr w:rsidR="0050196F" w:rsidRPr="00EB6515" w14:paraId="641FF00C" w14:textId="77777777" w:rsidTr="00DB5974">
        <w:trPr>
          <w:trHeight w:val="20"/>
        </w:trPr>
        <w:tc>
          <w:tcPr>
            <w:tcW w:w="3402" w:type="dxa"/>
            <w:noWrap/>
          </w:tcPr>
          <w:p w14:paraId="1DAFA6A6" w14:textId="77777777" w:rsidR="0050196F" w:rsidRPr="00EB6515" w:rsidRDefault="0050196F" w:rsidP="00224F55">
            <w:pPr>
              <w:pStyle w:val="ARGrantstabletext"/>
              <w:rPr>
                <w:b/>
              </w:rPr>
            </w:pPr>
            <w:r w:rsidRPr="00EB6515">
              <w:t>The Melbourne Gay and Lesbian Chorus</w:t>
            </w:r>
          </w:p>
        </w:tc>
        <w:tc>
          <w:tcPr>
            <w:tcW w:w="1217" w:type="dxa"/>
            <w:noWrap/>
          </w:tcPr>
          <w:p w14:paraId="7698EF44" w14:textId="77777777" w:rsidR="0050196F" w:rsidRPr="00EB6515" w:rsidRDefault="0050196F" w:rsidP="00224F55">
            <w:pPr>
              <w:pStyle w:val="ARGrantstabletextright"/>
              <w:rPr>
                <w:b/>
              </w:rPr>
            </w:pPr>
            <w:r w:rsidRPr="00EB6515">
              <w:t>17,000</w:t>
            </w:r>
          </w:p>
        </w:tc>
      </w:tr>
      <w:tr w:rsidR="0050196F" w:rsidRPr="00EB6515" w14:paraId="58A05D2E" w14:textId="77777777" w:rsidTr="00DB5974">
        <w:trPr>
          <w:trHeight w:val="20"/>
        </w:trPr>
        <w:tc>
          <w:tcPr>
            <w:tcW w:w="3402" w:type="dxa"/>
            <w:noWrap/>
          </w:tcPr>
          <w:p w14:paraId="3848EF60" w14:textId="13C0079B" w:rsidR="0050196F" w:rsidRPr="00EB6515" w:rsidRDefault="0050196F" w:rsidP="00224F55">
            <w:pPr>
              <w:pStyle w:val="ARGrantstabletext"/>
              <w:rPr>
                <w:b/>
              </w:rPr>
            </w:pPr>
            <w:r w:rsidRPr="00EB6515">
              <w:t>The Village Festival of New Performance</w:t>
            </w:r>
            <w:r w:rsidR="00120540">
              <w:t> </w:t>
            </w:r>
            <w:r w:rsidR="003B5B30">
              <w:t>Inc</w:t>
            </w:r>
          </w:p>
        </w:tc>
        <w:tc>
          <w:tcPr>
            <w:tcW w:w="1217" w:type="dxa"/>
            <w:noWrap/>
          </w:tcPr>
          <w:p w14:paraId="611408BE" w14:textId="77777777" w:rsidR="0050196F" w:rsidRPr="00EB6515" w:rsidRDefault="0050196F" w:rsidP="00224F55">
            <w:pPr>
              <w:pStyle w:val="ARGrantstabletextright"/>
              <w:rPr>
                <w:b/>
              </w:rPr>
            </w:pPr>
            <w:r w:rsidRPr="00EB6515">
              <w:t>28,400</w:t>
            </w:r>
          </w:p>
        </w:tc>
      </w:tr>
      <w:tr w:rsidR="0050196F" w:rsidRPr="00EB6515" w14:paraId="05F986CA" w14:textId="77777777" w:rsidTr="00DB5974">
        <w:trPr>
          <w:trHeight w:val="20"/>
        </w:trPr>
        <w:tc>
          <w:tcPr>
            <w:tcW w:w="3402" w:type="dxa"/>
            <w:noWrap/>
          </w:tcPr>
          <w:p w14:paraId="1B2386BA" w14:textId="77777777" w:rsidR="0050196F" w:rsidRPr="00EB6515" w:rsidRDefault="0050196F" w:rsidP="00224F55">
            <w:pPr>
              <w:pStyle w:val="ARGrantstabletext"/>
              <w:rPr>
                <w:b/>
              </w:rPr>
            </w:pPr>
            <w:r w:rsidRPr="00EB6515">
              <w:t>Thorne Harbour Health</w:t>
            </w:r>
          </w:p>
        </w:tc>
        <w:tc>
          <w:tcPr>
            <w:tcW w:w="1217" w:type="dxa"/>
            <w:noWrap/>
          </w:tcPr>
          <w:p w14:paraId="3CF45F51" w14:textId="77777777" w:rsidR="0050196F" w:rsidRPr="00EB6515" w:rsidRDefault="0050196F" w:rsidP="00224F55">
            <w:pPr>
              <w:pStyle w:val="ARGrantstabletextright"/>
              <w:rPr>
                <w:b/>
              </w:rPr>
            </w:pPr>
            <w:r w:rsidRPr="00EB6515">
              <w:t>125,000</w:t>
            </w:r>
          </w:p>
        </w:tc>
      </w:tr>
      <w:tr w:rsidR="0050196F" w:rsidRPr="00EB6515" w14:paraId="673D1E91" w14:textId="77777777" w:rsidTr="00DB5974">
        <w:trPr>
          <w:trHeight w:val="20"/>
        </w:trPr>
        <w:tc>
          <w:tcPr>
            <w:tcW w:w="3402" w:type="dxa"/>
            <w:noWrap/>
          </w:tcPr>
          <w:p w14:paraId="50B4971F" w14:textId="77777777" w:rsidR="0050196F" w:rsidRPr="00EB6515" w:rsidRDefault="0050196F" w:rsidP="00224F55">
            <w:pPr>
              <w:pStyle w:val="ARGrantstabletext"/>
              <w:rPr>
                <w:b/>
              </w:rPr>
            </w:pPr>
            <w:r w:rsidRPr="00EB6515">
              <w:t>Tiny Pride Incorporated</w:t>
            </w:r>
          </w:p>
        </w:tc>
        <w:tc>
          <w:tcPr>
            <w:tcW w:w="1217" w:type="dxa"/>
            <w:noWrap/>
          </w:tcPr>
          <w:p w14:paraId="3B1672C1" w14:textId="77777777" w:rsidR="0050196F" w:rsidRPr="00EB6515" w:rsidRDefault="0050196F" w:rsidP="00224F55">
            <w:pPr>
              <w:pStyle w:val="ARGrantstabletextright"/>
              <w:rPr>
                <w:b/>
              </w:rPr>
            </w:pPr>
            <w:r w:rsidRPr="00EB6515">
              <w:t>4,100</w:t>
            </w:r>
          </w:p>
        </w:tc>
      </w:tr>
      <w:tr w:rsidR="0050196F" w:rsidRPr="00EB6515" w14:paraId="20C91C54" w14:textId="77777777" w:rsidTr="00DB5974">
        <w:trPr>
          <w:trHeight w:val="20"/>
        </w:trPr>
        <w:tc>
          <w:tcPr>
            <w:tcW w:w="3402" w:type="dxa"/>
            <w:noWrap/>
          </w:tcPr>
          <w:p w14:paraId="2ECA9351" w14:textId="77777777" w:rsidR="0050196F" w:rsidRPr="00EB6515" w:rsidRDefault="0050196F" w:rsidP="00224F55">
            <w:pPr>
              <w:pStyle w:val="ARGrantstabletext"/>
              <w:rPr>
                <w:b/>
              </w:rPr>
            </w:pPr>
            <w:r w:rsidRPr="00EB6515">
              <w:t>Transcend Australia</w:t>
            </w:r>
          </w:p>
        </w:tc>
        <w:tc>
          <w:tcPr>
            <w:tcW w:w="1217" w:type="dxa"/>
            <w:noWrap/>
          </w:tcPr>
          <w:p w14:paraId="2C8260D2" w14:textId="77777777" w:rsidR="0050196F" w:rsidRPr="00EB6515" w:rsidRDefault="0050196F" w:rsidP="00224F55">
            <w:pPr>
              <w:pStyle w:val="ARGrantstabletextright"/>
              <w:rPr>
                <w:b/>
              </w:rPr>
            </w:pPr>
            <w:r w:rsidRPr="00EB6515">
              <w:t>107,000</w:t>
            </w:r>
          </w:p>
        </w:tc>
      </w:tr>
      <w:tr w:rsidR="0050196F" w:rsidRPr="00EB6515" w14:paraId="46B8D33D" w14:textId="77777777" w:rsidTr="00DB5974">
        <w:trPr>
          <w:trHeight w:val="20"/>
        </w:trPr>
        <w:tc>
          <w:tcPr>
            <w:tcW w:w="3402" w:type="dxa"/>
            <w:noWrap/>
          </w:tcPr>
          <w:p w14:paraId="5E50734B" w14:textId="77777777" w:rsidR="0050196F" w:rsidRPr="00EB6515" w:rsidRDefault="0050196F" w:rsidP="00224F55">
            <w:pPr>
              <w:pStyle w:val="ARGrantstabletext"/>
              <w:rPr>
                <w:b/>
              </w:rPr>
            </w:pPr>
            <w:r w:rsidRPr="00EB6515">
              <w:t>Transgender Victoria</w:t>
            </w:r>
          </w:p>
        </w:tc>
        <w:tc>
          <w:tcPr>
            <w:tcW w:w="1217" w:type="dxa"/>
            <w:noWrap/>
          </w:tcPr>
          <w:p w14:paraId="4F63E79A" w14:textId="77777777" w:rsidR="0050196F" w:rsidRPr="00EB6515" w:rsidRDefault="0050196F" w:rsidP="00224F55">
            <w:pPr>
              <w:pStyle w:val="ARGrantstabletextright"/>
              <w:rPr>
                <w:b/>
              </w:rPr>
            </w:pPr>
            <w:r w:rsidRPr="00EB6515">
              <w:t>540,000</w:t>
            </w:r>
          </w:p>
        </w:tc>
      </w:tr>
      <w:tr w:rsidR="0050196F" w:rsidRPr="00EB6515" w14:paraId="46C25085" w14:textId="77777777" w:rsidTr="00DB5974">
        <w:trPr>
          <w:trHeight w:val="20"/>
        </w:trPr>
        <w:tc>
          <w:tcPr>
            <w:tcW w:w="3402" w:type="dxa"/>
            <w:noWrap/>
          </w:tcPr>
          <w:p w14:paraId="3B8CB243" w14:textId="77777777" w:rsidR="0050196F" w:rsidRPr="00EB6515" w:rsidRDefault="0050196F" w:rsidP="00224F55">
            <w:pPr>
              <w:pStyle w:val="ARGrantstabletext"/>
              <w:rPr>
                <w:b/>
              </w:rPr>
            </w:pPr>
            <w:r w:rsidRPr="00EB6515">
              <w:t>Victorian Aboriginal Child Care Agency Co-operative Limited</w:t>
            </w:r>
          </w:p>
        </w:tc>
        <w:tc>
          <w:tcPr>
            <w:tcW w:w="1217" w:type="dxa"/>
            <w:noWrap/>
          </w:tcPr>
          <w:p w14:paraId="1F9F8BC9" w14:textId="77777777" w:rsidR="0050196F" w:rsidRPr="00EB6515" w:rsidRDefault="0050196F" w:rsidP="00224F55">
            <w:pPr>
              <w:pStyle w:val="ARGrantstabletextright"/>
              <w:rPr>
                <w:b/>
              </w:rPr>
            </w:pPr>
            <w:r w:rsidRPr="00EB6515">
              <w:t>33,000</w:t>
            </w:r>
          </w:p>
        </w:tc>
      </w:tr>
      <w:tr w:rsidR="0050196F" w:rsidRPr="00EB6515" w14:paraId="7C70F871" w14:textId="77777777" w:rsidTr="00DB5974">
        <w:trPr>
          <w:trHeight w:val="20"/>
        </w:trPr>
        <w:tc>
          <w:tcPr>
            <w:tcW w:w="3402" w:type="dxa"/>
            <w:noWrap/>
          </w:tcPr>
          <w:p w14:paraId="2797E87E" w14:textId="77777777" w:rsidR="0050196F" w:rsidRPr="00EB6515" w:rsidRDefault="0050196F" w:rsidP="00224F55">
            <w:pPr>
              <w:pStyle w:val="ARGrantstabletext"/>
              <w:rPr>
                <w:b/>
              </w:rPr>
            </w:pPr>
            <w:r w:rsidRPr="00EB6515">
              <w:t>Victorian Pride Centre</w:t>
            </w:r>
          </w:p>
        </w:tc>
        <w:tc>
          <w:tcPr>
            <w:tcW w:w="1217" w:type="dxa"/>
            <w:noWrap/>
          </w:tcPr>
          <w:p w14:paraId="09BEEC04" w14:textId="77777777" w:rsidR="0050196F" w:rsidRPr="00EB6515" w:rsidRDefault="0050196F" w:rsidP="00224F55">
            <w:pPr>
              <w:pStyle w:val="ARGrantstabletextright"/>
              <w:rPr>
                <w:b/>
              </w:rPr>
            </w:pPr>
            <w:r w:rsidRPr="00EB6515">
              <w:t>65,000</w:t>
            </w:r>
          </w:p>
        </w:tc>
      </w:tr>
      <w:tr w:rsidR="0050196F" w:rsidRPr="00EB6515" w14:paraId="41F72B62" w14:textId="77777777" w:rsidTr="00DB5974">
        <w:trPr>
          <w:trHeight w:val="20"/>
        </w:trPr>
        <w:tc>
          <w:tcPr>
            <w:tcW w:w="3402" w:type="dxa"/>
            <w:noWrap/>
          </w:tcPr>
          <w:p w14:paraId="14F80096" w14:textId="77777777" w:rsidR="0050196F" w:rsidRPr="00EB6515" w:rsidRDefault="0050196F" w:rsidP="00224F55">
            <w:pPr>
              <w:pStyle w:val="ARGrantstabletext"/>
              <w:rPr>
                <w:b/>
              </w:rPr>
            </w:pPr>
            <w:r w:rsidRPr="00EB6515">
              <w:t>Your Community Health</w:t>
            </w:r>
          </w:p>
        </w:tc>
        <w:tc>
          <w:tcPr>
            <w:tcW w:w="1217" w:type="dxa"/>
            <w:noWrap/>
          </w:tcPr>
          <w:p w14:paraId="093B45F3" w14:textId="77777777" w:rsidR="0050196F" w:rsidRPr="00EB6515" w:rsidRDefault="0050196F" w:rsidP="00224F55">
            <w:pPr>
              <w:pStyle w:val="ARGrantstabletextright"/>
              <w:rPr>
                <w:b/>
              </w:rPr>
            </w:pPr>
            <w:r w:rsidRPr="00EB6515">
              <w:t>10,000</w:t>
            </w:r>
          </w:p>
        </w:tc>
      </w:tr>
      <w:tr w:rsidR="0050196F" w:rsidRPr="00EB6515" w14:paraId="3D30D43F" w14:textId="77777777" w:rsidTr="00DB5974">
        <w:trPr>
          <w:trHeight w:val="20"/>
        </w:trPr>
        <w:tc>
          <w:tcPr>
            <w:tcW w:w="3402" w:type="dxa"/>
            <w:noWrap/>
          </w:tcPr>
          <w:p w14:paraId="4248199B" w14:textId="77777777" w:rsidR="0050196F" w:rsidRPr="00EE67F2" w:rsidRDefault="0050196F" w:rsidP="006608F0">
            <w:pPr>
              <w:pStyle w:val="ARGrantstabletextbold"/>
            </w:pPr>
            <w:r w:rsidRPr="00EB6515">
              <w:t>Total</w:t>
            </w:r>
          </w:p>
        </w:tc>
        <w:tc>
          <w:tcPr>
            <w:tcW w:w="1217" w:type="dxa"/>
            <w:noWrap/>
          </w:tcPr>
          <w:p w14:paraId="630B2254" w14:textId="2087A8AE" w:rsidR="0050196F" w:rsidRPr="00EB6515" w:rsidRDefault="0050196F" w:rsidP="006608F0">
            <w:pPr>
              <w:pStyle w:val="ARGrantstabletextrightbold"/>
            </w:pPr>
            <w:r w:rsidRPr="00EB6515">
              <w:t>6,</w:t>
            </w:r>
            <w:r w:rsidR="00F87E38">
              <w:t>292</w:t>
            </w:r>
            <w:r w:rsidRPr="00EB6515">
              <w:t>,962</w:t>
            </w:r>
          </w:p>
        </w:tc>
      </w:tr>
    </w:tbl>
    <w:p w14:paraId="5376839C" w14:textId="69DB1297" w:rsidR="0050196F" w:rsidRPr="008C36F0" w:rsidRDefault="0050196F" w:rsidP="00DB5974">
      <w:pPr>
        <w:pStyle w:val="Heading3Grants"/>
      </w:pPr>
      <w:r w:rsidRPr="008C36F0">
        <w:t xml:space="preserve">Primary Prevention </w:t>
      </w:r>
      <w:r w:rsidRPr="000E3641">
        <w:t>of</w:t>
      </w:r>
      <w:r w:rsidRPr="008C36F0">
        <w:t xml:space="preserve"> Family Violence</w:t>
      </w:r>
    </w:p>
    <w:tbl>
      <w:tblPr>
        <w:tblStyle w:val="DHARGrantstable"/>
        <w:tblW w:w="5000" w:type="pct"/>
        <w:tblLook w:val="06A0" w:firstRow="1" w:lastRow="0" w:firstColumn="1" w:lastColumn="0" w:noHBand="1" w:noVBand="1"/>
      </w:tblPr>
      <w:tblGrid>
        <w:gridCol w:w="3398"/>
        <w:gridCol w:w="1191"/>
      </w:tblGrid>
      <w:tr w:rsidR="0050196F" w:rsidRPr="00B6199F" w14:paraId="6572244E" w14:textId="77777777" w:rsidTr="00DB5974">
        <w:trPr>
          <w:cnfStyle w:val="100000000000" w:firstRow="1" w:lastRow="0" w:firstColumn="0" w:lastColumn="0" w:oddVBand="0" w:evenVBand="0" w:oddHBand="0" w:evenHBand="0" w:firstRowFirstColumn="0" w:firstRowLastColumn="0" w:lastRowFirstColumn="0" w:lastRowLastColumn="0"/>
        </w:trPr>
        <w:tc>
          <w:tcPr>
            <w:tcW w:w="3402" w:type="dxa"/>
            <w:noWrap/>
          </w:tcPr>
          <w:p w14:paraId="04A3D27D" w14:textId="77777777" w:rsidR="0050196F" w:rsidRPr="00307608" w:rsidRDefault="0050196F" w:rsidP="00B21BD0">
            <w:pPr>
              <w:pStyle w:val="ARGrantstabletextbold"/>
            </w:pPr>
            <w:r w:rsidRPr="00307608">
              <w:t>Organisation</w:t>
            </w:r>
          </w:p>
        </w:tc>
        <w:tc>
          <w:tcPr>
            <w:tcW w:w="1187" w:type="dxa"/>
            <w:noWrap/>
          </w:tcPr>
          <w:p w14:paraId="1BCEBE95" w14:textId="77777777" w:rsidR="0050196F" w:rsidRPr="00307608" w:rsidRDefault="0050196F" w:rsidP="00B21BD0">
            <w:pPr>
              <w:pStyle w:val="ARGrantstabletextrightbold"/>
            </w:pPr>
            <w:r w:rsidRPr="00307608">
              <w:t>Payment ($)</w:t>
            </w:r>
          </w:p>
        </w:tc>
      </w:tr>
      <w:tr w:rsidR="0050196F" w:rsidRPr="00B6199F" w14:paraId="4E1C8511" w14:textId="77777777" w:rsidTr="00DB5974">
        <w:tc>
          <w:tcPr>
            <w:tcW w:w="3402" w:type="dxa"/>
            <w:noWrap/>
            <w:hideMark/>
          </w:tcPr>
          <w:p w14:paraId="66E7BDCB" w14:textId="77777777" w:rsidR="0050196F" w:rsidRPr="00EE51D9" w:rsidRDefault="0050196F" w:rsidP="00B21BD0">
            <w:pPr>
              <w:pStyle w:val="ARGrantstabletext"/>
              <w:rPr>
                <w:b/>
                <w:bCs/>
                <w:color w:val="000000"/>
              </w:rPr>
            </w:pPr>
            <w:r w:rsidRPr="00EE51D9">
              <w:rPr>
                <w:bCs/>
                <w:color w:val="000000"/>
              </w:rPr>
              <w:t>African Family Services Ltd</w:t>
            </w:r>
          </w:p>
        </w:tc>
        <w:tc>
          <w:tcPr>
            <w:tcW w:w="1187" w:type="dxa"/>
            <w:noWrap/>
            <w:hideMark/>
          </w:tcPr>
          <w:p w14:paraId="6368FF71" w14:textId="77777777" w:rsidR="0050196F" w:rsidRPr="00EE51D9" w:rsidRDefault="0050196F" w:rsidP="00B21BD0">
            <w:pPr>
              <w:pStyle w:val="ARGrantstabletextright"/>
              <w:rPr>
                <w:b/>
              </w:rPr>
            </w:pPr>
            <w:r w:rsidRPr="00EE51D9">
              <w:t>80,000</w:t>
            </w:r>
          </w:p>
        </w:tc>
      </w:tr>
      <w:tr w:rsidR="0050196F" w:rsidRPr="00B6199F" w14:paraId="021ABB30" w14:textId="77777777" w:rsidTr="00DB5974">
        <w:tc>
          <w:tcPr>
            <w:tcW w:w="3402" w:type="dxa"/>
            <w:noWrap/>
            <w:hideMark/>
          </w:tcPr>
          <w:p w14:paraId="3729B00C" w14:textId="77777777" w:rsidR="0050196F" w:rsidRPr="00EE51D9" w:rsidRDefault="0050196F" w:rsidP="00B21BD0">
            <w:pPr>
              <w:pStyle w:val="ARGrantstabletext"/>
              <w:rPr>
                <w:b/>
                <w:bCs/>
                <w:color w:val="000000"/>
              </w:rPr>
            </w:pPr>
            <w:r w:rsidRPr="00EE51D9">
              <w:rPr>
                <w:bCs/>
                <w:color w:val="000000"/>
              </w:rPr>
              <w:t>Arabic Welfare Inc</w:t>
            </w:r>
          </w:p>
        </w:tc>
        <w:tc>
          <w:tcPr>
            <w:tcW w:w="1187" w:type="dxa"/>
            <w:noWrap/>
            <w:hideMark/>
          </w:tcPr>
          <w:p w14:paraId="55539227" w14:textId="77777777" w:rsidR="0050196F" w:rsidRPr="00EE51D9" w:rsidRDefault="0050196F" w:rsidP="00B21BD0">
            <w:pPr>
              <w:pStyle w:val="ARGrantstabletextright"/>
              <w:rPr>
                <w:b/>
                <w:bCs/>
                <w:color w:val="000000"/>
              </w:rPr>
            </w:pPr>
            <w:r w:rsidRPr="00EE51D9">
              <w:rPr>
                <w:bCs/>
                <w:color w:val="000000"/>
              </w:rPr>
              <w:t>70,000</w:t>
            </w:r>
          </w:p>
        </w:tc>
      </w:tr>
      <w:tr w:rsidR="0050196F" w:rsidRPr="00B6199F" w14:paraId="2CF31C6A" w14:textId="77777777" w:rsidTr="00DB5974">
        <w:tc>
          <w:tcPr>
            <w:tcW w:w="3402" w:type="dxa"/>
            <w:noWrap/>
            <w:hideMark/>
          </w:tcPr>
          <w:p w14:paraId="568BCBD2" w14:textId="0D3625B7" w:rsidR="0050196F" w:rsidRPr="00EA2AB7" w:rsidRDefault="0050196F" w:rsidP="00B21BD0">
            <w:pPr>
              <w:pStyle w:val="ARGrantstabletext"/>
              <w:rPr>
                <w:b/>
                <w:bCs/>
                <w:color w:val="000000"/>
                <w:spacing w:val="-4"/>
              </w:rPr>
            </w:pPr>
            <w:r w:rsidRPr="00EA2AB7">
              <w:rPr>
                <w:bCs/>
                <w:color w:val="000000"/>
                <w:spacing w:val="-4"/>
              </w:rPr>
              <w:t>Australasian Centre for Human Rights and</w:t>
            </w:r>
            <w:r w:rsidR="00120540">
              <w:rPr>
                <w:bCs/>
                <w:color w:val="000000"/>
                <w:spacing w:val="-4"/>
              </w:rPr>
              <w:t> </w:t>
            </w:r>
            <w:r w:rsidRPr="00EA2AB7">
              <w:rPr>
                <w:bCs/>
                <w:color w:val="000000"/>
                <w:spacing w:val="-4"/>
              </w:rPr>
              <w:t>Health</w:t>
            </w:r>
          </w:p>
        </w:tc>
        <w:tc>
          <w:tcPr>
            <w:tcW w:w="1187" w:type="dxa"/>
            <w:noWrap/>
            <w:hideMark/>
          </w:tcPr>
          <w:p w14:paraId="4C1717A6" w14:textId="77777777" w:rsidR="0050196F" w:rsidRPr="00EE51D9" w:rsidRDefault="0050196F" w:rsidP="00B21BD0">
            <w:pPr>
              <w:pStyle w:val="ARGrantstabletextright"/>
              <w:rPr>
                <w:b/>
                <w:bCs/>
                <w:color w:val="000000"/>
              </w:rPr>
            </w:pPr>
            <w:r w:rsidRPr="00EE51D9">
              <w:rPr>
                <w:bCs/>
                <w:color w:val="000000"/>
              </w:rPr>
              <w:t>80,000</w:t>
            </w:r>
          </w:p>
        </w:tc>
      </w:tr>
      <w:tr w:rsidR="0050196F" w:rsidRPr="00B6199F" w14:paraId="08DAF0FF" w14:textId="77777777" w:rsidTr="00DB5974">
        <w:tc>
          <w:tcPr>
            <w:tcW w:w="3402" w:type="dxa"/>
            <w:noWrap/>
            <w:hideMark/>
          </w:tcPr>
          <w:p w14:paraId="0595D193" w14:textId="77777777" w:rsidR="0050196F" w:rsidRPr="00EE51D9" w:rsidRDefault="0050196F" w:rsidP="00B21BD0">
            <w:pPr>
              <w:pStyle w:val="ARGrantstabletext"/>
              <w:rPr>
                <w:b/>
                <w:bCs/>
                <w:color w:val="000000"/>
              </w:rPr>
            </w:pPr>
            <w:r w:rsidRPr="00EE51D9">
              <w:rPr>
                <w:bCs/>
                <w:color w:val="000000"/>
              </w:rPr>
              <w:t>Australian Childhood Foundation</w:t>
            </w:r>
          </w:p>
        </w:tc>
        <w:tc>
          <w:tcPr>
            <w:tcW w:w="1187" w:type="dxa"/>
            <w:noWrap/>
            <w:hideMark/>
          </w:tcPr>
          <w:p w14:paraId="5F959751"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2BD3F7D8" w14:textId="77777777" w:rsidTr="00DB5974">
        <w:tc>
          <w:tcPr>
            <w:tcW w:w="3402" w:type="dxa"/>
            <w:noWrap/>
            <w:hideMark/>
          </w:tcPr>
          <w:p w14:paraId="525C0FB2" w14:textId="1CF2758F" w:rsidR="0050196F" w:rsidRPr="00EE51D9" w:rsidRDefault="0050196F" w:rsidP="00B21BD0">
            <w:pPr>
              <w:pStyle w:val="ARGrantstabletext"/>
              <w:rPr>
                <w:b/>
                <w:bCs/>
                <w:color w:val="000000"/>
              </w:rPr>
            </w:pPr>
            <w:r w:rsidRPr="00EE51D9">
              <w:rPr>
                <w:bCs/>
                <w:color w:val="000000"/>
              </w:rPr>
              <w:t>Australian Greek Welfare Society trading as</w:t>
            </w:r>
            <w:r w:rsidR="00EA2AB7">
              <w:rPr>
                <w:bCs/>
                <w:color w:val="000000"/>
              </w:rPr>
              <w:t> </w:t>
            </w:r>
            <w:r w:rsidRPr="00EE51D9">
              <w:rPr>
                <w:bCs/>
                <w:color w:val="000000"/>
              </w:rPr>
              <w:t>PRONIA</w:t>
            </w:r>
          </w:p>
        </w:tc>
        <w:tc>
          <w:tcPr>
            <w:tcW w:w="1187" w:type="dxa"/>
            <w:noWrap/>
            <w:hideMark/>
          </w:tcPr>
          <w:p w14:paraId="30D30E2F"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0CFD19DC" w14:textId="77777777" w:rsidTr="00DB5974">
        <w:tc>
          <w:tcPr>
            <w:tcW w:w="3402" w:type="dxa"/>
            <w:noWrap/>
          </w:tcPr>
          <w:p w14:paraId="7DD7D9FB" w14:textId="48F0861F" w:rsidR="0050196F" w:rsidRPr="00EE51D9" w:rsidRDefault="0050196F" w:rsidP="00B21BD0">
            <w:pPr>
              <w:pStyle w:val="ARGrantstabletext"/>
              <w:rPr>
                <w:b/>
                <w:bCs/>
                <w:color w:val="000000"/>
              </w:rPr>
            </w:pPr>
            <w:r w:rsidRPr="00EE51D9">
              <w:rPr>
                <w:bCs/>
                <w:color w:val="000000"/>
              </w:rPr>
              <w:t>Australian Muslim Women</w:t>
            </w:r>
            <w:r w:rsidR="00711AE6">
              <w:rPr>
                <w:bCs/>
                <w:color w:val="000000"/>
              </w:rPr>
              <w:t>’</w:t>
            </w:r>
            <w:r w:rsidRPr="00EE51D9">
              <w:rPr>
                <w:bCs/>
                <w:color w:val="000000"/>
              </w:rPr>
              <w:t>s Centre for Human</w:t>
            </w:r>
            <w:r w:rsidR="00B21BD0">
              <w:rPr>
                <w:bCs/>
                <w:color w:val="000000"/>
              </w:rPr>
              <w:t> </w:t>
            </w:r>
            <w:r w:rsidRPr="00EE51D9">
              <w:rPr>
                <w:bCs/>
                <w:color w:val="000000"/>
              </w:rPr>
              <w:t>Rights</w:t>
            </w:r>
          </w:p>
        </w:tc>
        <w:tc>
          <w:tcPr>
            <w:tcW w:w="1187" w:type="dxa"/>
            <w:noWrap/>
          </w:tcPr>
          <w:p w14:paraId="5CD25B15" w14:textId="77777777" w:rsidR="0050196F" w:rsidRPr="00EE51D9" w:rsidRDefault="0050196F" w:rsidP="00B21BD0">
            <w:pPr>
              <w:pStyle w:val="ARGrantstabletextright"/>
              <w:rPr>
                <w:b/>
                <w:bCs/>
                <w:color w:val="000000"/>
              </w:rPr>
            </w:pPr>
            <w:r w:rsidRPr="00EE51D9">
              <w:rPr>
                <w:bCs/>
                <w:color w:val="000000"/>
              </w:rPr>
              <w:t>250,000</w:t>
            </w:r>
          </w:p>
        </w:tc>
      </w:tr>
      <w:tr w:rsidR="0050196F" w:rsidRPr="00B6199F" w14:paraId="4CA3E2C4" w14:textId="77777777" w:rsidTr="00DB5974">
        <w:tc>
          <w:tcPr>
            <w:tcW w:w="3402" w:type="dxa"/>
            <w:noWrap/>
          </w:tcPr>
          <w:p w14:paraId="64D5CF9B" w14:textId="4E5631AC" w:rsidR="0050196F" w:rsidRPr="00EE51D9" w:rsidRDefault="0050196F" w:rsidP="00B21BD0">
            <w:pPr>
              <w:pStyle w:val="ARGrantstabletext"/>
              <w:rPr>
                <w:b/>
                <w:bCs/>
                <w:color w:val="000000"/>
              </w:rPr>
            </w:pPr>
            <w:r w:rsidRPr="00EE51D9">
              <w:rPr>
                <w:bCs/>
                <w:color w:val="000000"/>
              </w:rPr>
              <w:t>Australian Vietnamese Women</w:t>
            </w:r>
            <w:r w:rsidR="00711AE6">
              <w:rPr>
                <w:bCs/>
                <w:color w:val="000000"/>
              </w:rPr>
              <w:t>’</w:t>
            </w:r>
            <w:r w:rsidRPr="00EE51D9">
              <w:rPr>
                <w:bCs/>
                <w:color w:val="000000"/>
              </w:rPr>
              <w:t>s</w:t>
            </w:r>
            <w:r w:rsidR="00120540">
              <w:rPr>
                <w:bCs/>
                <w:color w:val="000000"/>
              </w:rPr>
              <w:t> </w:t>
            </w:r>
            <w:r w:rsidRPr="00EE51D9">
              <w:rPr>
                <w:bCs/>
                <w:color w:val="000000"/>
              </w:rPr>
              <w:t>Association</w:t>
            </w:r>
          </w:p>
        </w:tc>
        <w:tc>
          <w:tcPr>
            <w:tcW w:w="1187" w:type="dxa"/>
            <w:noWrap/>
          </w:tcPr>
          <w:p w14:paraId="798A6078"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44F50971" w14:textId="77777777" w:rsidTr="00DB5974">
        <w:tc>
          <w:tcPr>
            <w:tcW w:w="3402" w:type="dxa"/>
            <w:noWrap/>
          </w:tcPr>
          <w:p w14:paraId="463F46C1" w14:textId="77777777" w:rsidR="0050196F" w:rsidRPr="00EE51D9" w:rsidRDefault="0050196F" w:rsidP="00B21BD0">
            <w:pPr>
              <w:pStyle w:val="ARGrantstabletext"/>
              <w:rPr>
                <w:b/>
                <w:bCs/>
                <w:color w:val="000000"/>
              </w:rPr>
            </w:pPr>
            <w:r w:rsidRPr="00EE51D9">
              <w:rPr>
                <w:bCs/>
                <w:color w:val="000000"/>
              </w:rPr>
              <w:t>Banksia Gardens Community Centre</w:t>
            </w:r>
          </w:p>
        </w:tc>
        <w:tc>
          <w:tcPr>
            <w:tcW w:w="1187" w:type="dxa"/>
            <w:noWrap/>
          </w:tcPr>
          <w:p w14:paraId="048A33E2"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41EF0D88" w14:textId="77777777" w:rsidTr="00DB5974">
        <w:tc>
          <w:tcPr>
            <w:tcW w:w="3402" w:type="dxa"/>
            <w:noWrap/>
          </w:tcPr>
          <w:p w14:paraId="07781191" w14:textId="77777777" w:rsidR="0050196F" w:rsidRPr="00EE51D9" w:rsidRDefault="0050196F" w:rsidP="00B21BD0">
            <w:pPr>
              <w:pStyle w:val="ARGrantstabletext"/>
              <w:rPr>
                <w:b/>
                <w:bCs/>
                <w:color w:val="000000"/>
              </w:rPr>
            </w:pPr>
            <w:r w:rsidRPr="00EE51D9">
              <w:rPr>
                <w:bCs/>
                <w:color w:val="000000"/>
              </w:rPr>
              <w:t>Board of Imams Victoria</w:t>
            </w:r>
          </w:p>
        </w:tc>
        <w:tc>
          <w:tcPr>
            <w:tcW w:w="1187" w:type="dxa"/>
            <w:noWrap/>
          </w:tcPr>
          <w:p w14:paraId="24468F2A" w14:textId="77777777" w:rsidR="0050196F" w:rsidRPr="00EE51D9" w:rsidRDefault="0050196F" w:rsidP="00B21BD0">
            <w:pPr>
              <w:pStyle w:val="ARGrantstabletextright"/>
              <w:rPr>
                <w:b/>
                <w:bCs/>
                <w:color w:val="000000"/>
              </w:rPr>
            </w:pPr>
            <w:r w:rsidRPr="00EE51D9">
              <w:rPr>
                <w:bCs/>
                <w:color w:val="000000"/>
              </w:rPr>
              <w:t>70,000</w:t>
            </w:r>
          </w:p>
        </w:tc>
      </w:tr>
      <w:tr w:rsidR="0050196F" w:rsidRPr="00B6199F" w14:paraId="223F0F80" w14:textId="77777777" w:rsidTr="00DB5974">
        <w:tc>
          <w:tcPr>
            <w:tcW w:w="3402" w:type="dxa"/>
            <w:noWrap/>
          </w:tcPr>
          <w:p w14:paraId="0AE6FAFE" w14:textId="77777777" w:rsidR="0050196F" w:rsidRPr="00EE51D9" w:rsidRDefault="0050196F" w:rsidP="00B21BD0">
            <w:pPr>
              <w:pStyle w:val="ARGrantstabletext"/>
              <w:rPr>
                <w:b/>
                <w:bCs/>
                <w:color w:val="000000"/>
              </w:rPr>
            </w:pPr>
            <w:r w:rsidRPr="00EE51D9">
              <w:rPr>
                <w:bCs/>
                <w:color w:val="000000"/>
              </w:rPr>
              <w:t>Body Safety Australia</w:t>
            </w:r>
          </w:p>
        </w:tc>
        <w:tc>
          <w:tcPr>
            <w:tcW w:w="1187" w:type="dxa"/>
            <w:noWrap/>
          </w:tcPr>
          <w:p w14:paraId="5A379AEB"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064FDCEA" w14:textId="77777777" w:rsidTr="00DB5974">
        <w:tc>
          <w:tcPr>
            <w:tcW w:w="3402" w:type="dxa"/>
            <w:noWrap/>
          </w:tcPr>
          <w:p w14:paraId="68426B14" w14:textId="77777777" w:rsidR="0050196F" w:rsidRPr="00EE51D9" w:rsidRDefault="0050196F" w:rsidP="00B21BD0">
            <w:pPr>
              <w:pStyle w:val="ARGrantstabletext"/>
              <w:rPr>
                <w:b/>
                <w:bCs/>
                <w:color w:val="000000"/>
              </w:rPr>
            </w:pPr>
            <w:r w:rsidRPr="00EE51D9">
              <w:rPr>
                <w:bCs/>
                <w:color w:val="000000"/>
              </w:rPr>
              <w:t>Brotherhood of St Laurence</w:t>
            </w:r>
          </w:p>
        </w:tc>
        <w:tc>
          <w:tcPr>
            <w:tcW w:w="1187" w:type="dxa"/>
            <w:noWrap/>
          </w:tcPr>
          <w:p w14:paraId="5712C657" w14:textId="77777777" w:rsidR="0050196F" w:rsidRPr="00EE51D9" w:rsidRDefault="0050196F" w:rsidP="00B21BD0">
            <w:pPr>
              <w:pStyle w:val="ARGrantstabletextright"/>
              <w:rPr>
                <w:b/>
                <w:bCs/>
                <w:color w:val="000000"/>
              </w:rPr>
            </w:pPr>
            <w:r w:rsidRPr="00EE51D9">
              <w:rPr>
                <w:bCs/>
                <w:color w:val="000000"/>
              </w:rPr>
              <w:t>70,000</w:t>
            </w:r>
          </w:p>
        </w:tc>
      </w:tr>
      <w:tr w:rsidR="0050196F" w:rsidRPr="00B6199F" w14:paraId="42EF51DA" w14:textId="77777777" w:rsidTr="00DB5974">
        <w:tc>
          <w:tcPr>
            <w:tcW w:w="3402" w:type="dxa"/>
            <w:noWrap/>
          </w:tcPr>
          <w:p w14:paraId="40DAA04D" w14:textId="77777777" w:rsidR="0050196F" w:rsidRPr="00EE51D9" w:rsidRDefault="0050196F" w:rsidP="00B21BD0">
            <w:pPr>
              <w:pStyle w:val="ARGrantstabletext"/>
              <w:rPr>
                <w:b/>
                <w:bCs/>
                <w:color w:val="000000"/>
              </w:rPr>
            </w:pPr>
            <w:r w:rsidRPr="00EE51D9">
              <w:rPr>
                <w:bCs/>
                <w:color w:val="000000"/>
              </w:rPr>
              <w:t>Buddhist Council of Victoria Inc</w:t>
            </w:r>
          </w:p>
        </w:tc>
        <w:tc>
          <w:tcPr>
            <w:tcW w:w="1187" w:type="dxa"/>
            <w:noWrap/>
          </w:tcPr>
          <w:p w14:paraId="1E4472A8"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5B6BF415" w14:textId="77777777" w:rsidTr="00DB5974">
        <w:tc>
          <w:tcPr>
            <w:tcW w:w="3402" w:type="dxa"/>
            <w:noWrap/>
          </w:tcPr>
          <w:p w14:paraId="7223E239" w14:textId="0584E820" w:rsidR="0050196F" w:rsidRPr="00EE51D9" w:rsidRDefault="0050196F" w:rsidP="00B21BD0">
            <w:pPr>
              <w:pStyle w:val="ARGrantstabletext"/>
              <w:rPr>
                <w:b/>
                <w:bCs/>
                <w:color w:val="000000"/>
              </w:rPr>
            </w:pPr>
            <w:r w:rsidRPr="00EE51D9">
              <w:rPr>
                <w:bCs/>
                <w:color w:val="000000"/>
              </w:rPr>
              <w:t>Centre Against Sexual Assault Central</w:t>
            </w:r>
            <w:r w:rsidR="00120540">
              <w:rPr>
                <w:bCs/>
                <w:color w:val="000000"/>
              </w:rPr>
              <w:t> </w:t>
            </w:r>
            <w:r w:rsidRPr="00EE51D9">
              <w:rPr>
                <w:bCs/>
                <w:color w:val="000000"/>
              </w:rPr>
              <w:t>Victoria</w:t>
            </w:r>
          </w:p>
        </w:tc>
        <w:tc>
          <w:tcPr>
            <w:tcW w:w="1187" w:type="dxa"/>
            <w:noWrap/>
          </w:tcPr>
          <w:p w14:paraId="65AA903A"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1082CE49" w14:textId="77777777" w:rsidTr="00DB5974">
        <w:tc>
          <w:tcPr>
            <w:tcW w:w="3402" w:type="dxa"/>
            <w:noWrap/>
          </w:tcPr>
          <w:p w14:paraId="577FC2DD" w14:textId="77777777" w:rsidR="0050196F" w:rsidRPr="00EE51D9" w:rsidRDefault="0050196F" w:rsidP="00B21BD0">
            <w:pPr>
              <w:pStyle w:val="ARGrantstabletext"/>
              <w:rPr>
                <w:b/>
                <w:bCs/>
                <w:color w:val="000000"/>
              </w:rPr>
            </w:pPr>
            <w:r w:rsidRPr="00EE51D9">
              <w:rPr>
                <w:bCs/>
                <w:color w:val="000000"/>
              </w:rPr>
              <w:t>Centre for Holistic Health</w:t>
            </w:r>
          </w:p>
        </w:tc>
        <w:tc>
          <w:tcPr>
            <w:tcW w:w="1187" w:type="dxa"/>
            <w:noWrap/>
          </w:tcPr>
          <w:p w14:paraId="5B636E14"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2D81ECE6" w14:textId="77777777" w:rsidTr="00DB5974">
        <w:tc>
          <w:tcPr>
            <w:tcW w:w="3402" w:type="dxa"/>
            <w:noWrap/>
          </w:tcPr>
          <w:p w14:paraId="053071E8" w14:textId="5BBC683A" w:rsidR="0050196F" w:rsidRPr="00EE51D9" w:rsidRDefault="0050196F" w:rsidP="00B21BD0">
            <w:pPr>
              <w:pStyle w:val="ARGrantstabletext"/>
              <w:rPr>
                <w:b/>
                <w:bCs/>
                <w:color w:val="000000"/>
              </w:rPr>
            </w:pPr>
            <w:r w:rsidRPr="00EE51D9">
              <w:rPr>
                <w:bCs/>
                <w:color w:val="000000"/>
              </w:rPr>
              <w:t xml:space="preserve">Cultura (Multicultural Community Services Geelong </w:t>
            </w:r>
            <w:r w:rsidR="003B5B30">
              <w:rPr>
                <w:bCs/>
                <w:color w:val="000000"/>
              </w:rPr>
              <w:t>Inc</w:t>
            </w:r>
            <w:r w:rsidRPr="00EE51D9">
              <w:rPr>
                <w:bCs/>
                <w:color w:val="000000"/>
              </w:rPr>
              <w:t>)</w:t>
            </w:r>
          </w:p>
        </w:tc>
        <w:tc>
          <w:tcPr>
            <w:tcW w:w="1187" w:type="dxa"/>
            <w:noWrap/>
          </w:tcPr>
          <w:p w14:paraId="2E8E8B47" w14:textId="77777777" w:rsidR="0050196F" w:rsidRPr="00EE51D9" w:rsidRDefault="0050196F" w:rsidP="00B21BD0">
            <w:pPr>
              <w:pStyle w:val="ARGrantstabletextright"/>
              <w:rPr>
                <w:b/>
                <w:bCs/>
                <w:color w:val="000000"/>
              </w:rPr>
            </w:pPr>
            <w:r w:rsidRPr="00EE51D9">
              <w:rPr>
                <w:bCs/>
                <w:color w:val="000000"/>
              </w:rPr>
              <w:t>90,000</w:t>
            </w:r>
          </w:p>
        </w:tc>
      </w:tr>
      <w:tr w:rsidR="0050196F" w:rsidRPr="00B6199F" w14:paraId="6401F042" w14:textId="77777777" w:rsidTr="00DB5974">
        <w:tc>
          <w:tcPr>
            <w:tcW w:w="3402" w:type="dxa"/>
            <w:noWrap/>
          </w:tcPr>
          <w:p w14:paraId="6C69FFAE" w14:textId="77777777" w:rsidR="0050196F" w:rsidRPr="00EE51D9" w:rsidRDefault="0050196F" w:rsidP="00B21BD0">
            <w:pPr>
              <w:pStyle w:val="ARGrantstabletext"/>
              <w:rPr>
                <w:b/>
                <w:bCs/>
                <w:color w:val="000000"/>
              </w:rPr>
            </w:pPr>
            <w:r w:rsidRPr="00EE51D9">
              <w:rPr>
                <w:bCs/>
                <w:color w:val="000000"/>
              </w:rPr>
              <w:t>Drummond Street Services Inc</w:t>
            </w:r>
          </w:p>
        </w:tc>
        <w:tc>
          <w:tcPr>
            <w:tcW w:w="1187" w:type="dxa"/>
            <w:noWrap/>
          </w:tcPr>
          <w:p w14:paraId="3982A508" w14:textId="77777777" w:rsidR="0050196F" w:rsidRPr="00EE51D9" w:rsidRDefault="0050196F" w:rsidP="00B21BD0">
            <w:pPr>
              <w:pStyle w:val="ARGrantstabletextright"/>
              <w:rPr>
                <w:b/>
                <w:bCs/>
                <w:color w:val="000000"/>
              </w:rPr>
            </w:pPr>
            <w:r w:rsidRPr="00EE51D9">
              <w:rPr>
                <w:bCs/>
                <w:color w:val="000000"/>
              </w:rPr>
              <w:t>75,000</w:t>
            </w:r>
          </w:p>
        </w:tc>
      </w:tr>
      <w:tr w:rsidR="0050196F" w:rsidRPr="00B6199F" w14:paraId="1F3903D6" w14:textId="77777777" w:rsidTr="00DB5974">
        <w:tc>
          <w:tcPr>
            <w:tcW w:w="3402" w:type="dxa"/>
            <w:noWrap/>
          </w:tcPr>
          <w:p w14:paraId="396AF157" w14:textId="16AB7953" w:rsidR="0050196F" w:rsidRPr="00EE51D9" w:rsidRDefault="0050196F" w:rsidP="00B21BD0">
            <w:pPr>
              <w:pStyle w:val="ARGrantstabletext"/>
              <w:rPr>
                <w:b/>
                <w:bCs/>
                <w:color w:val="000000"/>
              </w:rPr>
            </w:pPr>
            <w:r w:rsidRPr="00EE51D9">
              <w:rPr>
                <w:bCs/>
                <w:color w:val="000000"/>
              </w:rPr>
              <w:t>Ethnic Council of Shepparton and District</w:t>
            </w:r>
            <w:r w:rsidR="00120540">
              <w:rPr>
                <w:bCs/>
                <w:color w:val="000000"/>
              </w:rPr>
              <w:t> </w:t>
            </w:r>
            <w:r w:rsidRPr="00EE51D9">
              <w:rPr>
                <w:bCs/>
                <w:color w:val="000000"/>
              </w:rPr>
              <w:t>Inc</w:t>
            </w:r>
          </w:p>
        </w:tc>
        <w:tc>
          <w:tcPr>
            <w:tcW w:w="1187" w:type="dxa"/>
            <w:noWrap/>
          </w:tcPr>
          <w:p w14:paraId="56B95685" w14:textId="77777777" w:rsidR="0050196F" w:rsidRPr="00EE51D9" w:rsidRDefault="0050196F" w:rsidP="00B21BD0">
            <w:pPr>
              <w:pStyle w:val="ARGrantstabletextright"/>
              <w:rPr>
                <w:b/>
                <w:bCs/>
                <w:color w:val="000000"/>
              </w:rPr>
            </w:pPr>
            <w:r w:rsidRPr="00EE51D9">
              <w:rPr>
                <w:bCs/>
                <w:color w:val="000000"/>
              </w:rPr>
              <w:t>80,000</w:t>
            </w:r>
          </w:p>
        </w:tc>
      </w:tr>
      <w:tr w:rsidR="0050196F" w:rsidRPr="00B6199F" w14:paraId="0BD3E419" w14:textId="77777777" w:rsidTr="00DB5974">
        <w:tc>
          <w:tcPr>
            <w:tcW w:w="3402" w:type="dxa"/>
            <w:noWrap/>
          </w:tcPr>
          <w:p w14:paraId="6954E236" w14:textId="77777777" w:rsidR="0050196F" w:rsidRPr="00EE51D9" w:rsidRDefault="0050196F" w:rsidP="00B21BD0">
            <w:pPr>
              <w:pStyle w:val="ARGrantstabletext"/>
              <w:rPr>
                <w:b/>
                <w:bCs/>
                <w:color w:val="000000"/>
              </w:rPr>
            </w:pPr>
            <w:r w:rsidRPr="00EE51D9">
              <w:rPr>
                <w:bCs/>
                <w:color w:val="000000"/>
              </w:rPr>
              <w:t>Future Women Pty Ltd</w:t>
            </w:r>
          </w:p>
        </w:tc>
        <w:tc>
          <w:tcPr>
            <w:tcW w:w="1187" w:type="dxa"/>
            <w:noWrap/>
          </w:tcPr>
          <w:p w14:paraId="787717AB" w14:textId="77777777" w:rsidR="0050196F" w:rsidRPr="00EE51D9" w:rsidRDefault="0050196F" w:rsidP="00B21BD0">
            <w:pPr>
              <w:pStyle w:val="ARGrantstabletextright"/>
              <w:rPr>
                <w:b/>
                <w:bCs/>
                <w:color w:val="000000"/>
              </w:rPr>
            </w:pPr>
            <w:r w:rsidRPr="00EE51D9">
              <w:rPr>
                <w:bCs/>
                <w:color w:val="000000"/>
              </w:rPr>
              <w:t>2,000</w:t>
            </w:r>
          </w:p>
        </w:tc>
      </w:tr>
      <w:tr w:rsidR="0050196F" w:rsidRPr="00B6199F" w14:paraId="26F04742" w14:textId="77777777" w:rsidTr="00DB5974">
        <w:tc>
          <w:tcPr>
            <w:tcW w:w="3402" w:type="dxa"/>
            <w:noWrap/>
          </w:tcPr>
          <w:p w14:paraId="5AE258FD" w14:textId="77777777" w:rsidR="0050196F" w:rsidRPr="00EE51D9" w:rsidRDefault="0050196F" w:rsidP="00B21BD0">
            <w:pPr>
              <w:pStyle w:val="ARGrantstabletext"/>
              <w:rPr>
                <w:b/>
                <w:bCs/>
                <w:color w:val="000000"/>
              </w:rPr>
            </w:pPr>
            <w:r w:rsidRPr="00EE51D9">
              <w:rPr>
                <w:bCs/>
                <w:color w:val="000000"/>
              </w:rPr>
              <w:t>GenWest Inc</w:t>
            </w:r>
          </w:p>
        </w:tc>
        <w:tc>
          <w:tcPr>
            <w:tcW w:w="1187" w:type="dxa"/>
            <w:noWrap/>
          </w:tcPr>
          <w:p w14:paraId="387CCDCF" w14:textId="77777777" w:rsidR="0050196F" w:rsidRPr="00EE51D9" w:rsidRDefault="0050196F" w:rsidP="00B21BD0">
            <w:pPr>
              <w:pStyle w:val="ARGrantstabletextright"/>
              <w:rPr>
                <w:b/>
                <w:bCs/>
                <w:color w:val="000000"/>
              </w:rPr>
            </w:pPr>
            <w:r w:rsidRPr="00EE51D9">
              <w:rPr>
                <w:bCs/>
                <w:color w:val="000000"/>
              </w:rPr>
              <w:t>296,000</w:t>
            </w:r>
          </w:p>
        </w:tc>
      </w:tr>
      <w:tr w:rsidR="0050196F" w:rsidRPr="00B6199F" w14:paraId="031E9674" w14:textId="77777777" w:rsidTr="00DB5974">
        <w:tc>
          <w:tcPr>
            <w:tcW w:w="3402" w:type="dxa"/>
            <w:noWrap/>
          </w:tcPr>
          <w:p w14:paraId="6AEA6645" w14:textId="65F7639E" w:rsidR="0050196F" w:rsidRPr="00EE51D9" w:rsidRDefault="0050196F" w:rsidP="00B21BD0">
            <w:pPr>
              <w:pStyle w:val="ARGrantstabletext"/>
              <w:rPr>
                <w:b/>
                <w:bCs/>
                <w:color w:val="000000"/>
              </w:rPr>
            </w:pPr>
            <w:r w:rsidRPr="00EE51D9">
              <w:rPr>
                <w:bCs/>
                <w:color w:val="000000"/>
              </w:rPr>
              <w:t>Gippsland Women</w:t>
            </w:r>
            <w:r w:rsidR="00711AE6">
              <w:rPr>
                <w:bCs/>
                <w:color w:val="000000"/>
              </w:rPr>
              <w:t>’</w:t>
            </w:r>
            <w:r w:rsidRPr="00EE51D9">
              <w:rPr>
                <w:bCs/>
                <w:color w:val="000000"/>
              </w:rPr>
              <w:t>s Health</w:t>
            </w:r>
          </w:p>
        </w:tc>
        <w:tc>
          <w:tcPr>
            <w:tcW w:w="1187" w:type="dxa"/>
            <w:noWrap/>
          </w:tcPr>
          <w:p w14:paraId="3D626738" w14:textId="77777777" w:rsidR="0050196F" w:rsidRPr="00EE51D9" w:rsidRDefault="0050196F" w:rsidP="00B21BD0">
            <w:pPr>
              <w:pStyle w:val="ARGrantstabletextright"/>
              <w:rPr>
                <w:b/>
                <w:bCs/>
                <w:color w:val="000000"/>
              </w:rPr>
            </w:pPr>
            <w:r w:rsidRPr="00EE51D9">
              <w:rPr>
                <w:bCs/>
                <w:color w:val="000000"/>
              </w:rPr>
              <w:t>296,000</w:t>
            </w:r>
          </w:p>
        </w:tc>
      </w:tr>
      <w:tr w:rsidR="0050196F" w:rsidRPr="00B6199F" w14:paraId="472A05D4" w14:textId="77777777" w:rsidTr="00DB5974">
        <w:tc>
          <w:tcPr>
            <w:tcW w:w="3402" w:type="dxa"/>
            <w:noWrap/>
          </w:tcPr>
          <w:p w14:paraId="477EA214" w14:textId="5EB5897A" w:rsidR="0050196F" w:rsidRPr="00EE51D9" w:rsidRDefault="0050196F" w:rsidP="00B21BD0">
            <w:pPr>
              <w:pStyle w:val="ARGrantstabletext"/>
              <w:rPr>
                <w:b/>
                <w:bCs/>
                <w:color w:val="000000"/>
              </w:rPr>
            </w:pPr>
            <w:r w:rsidRPr="00EE51D9">
              <w:rPr>
                <w:bCs/>
                <w:color w:val="000000"/>
              </w:rPr>
              <w:t>Her Place Australian Women</w:t>
            </w:r>
            <w:r w:rsidR="00711AE6">
              <w:rPr>
                <w:bCs/>
                <w:color w:val="000000"/>
              </w:rPr>
              <w:t>’</w:t>
            </w:r>
            <w:r w:rsidRPr="00EE51D9">
              <w:rPr>
                <w:bCs/>
                <w:color w:val="000000"/>
              </w:rPr>
              <w:t>s Heritage and Museum Ltd</w:t>
            </w:r>
          </w:p>
        </w:tc>
        <w:tc>
          <w:tcPr>
            <w:tcW w:w="1187" w:type="dxa"/>
            <w:noWrap/>
          </w:tcPr>
          <w:p w14:paraId="601CAD1C"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7EF34578" w14:textId="77777777" w:rsidTr="00DB5974">
        <w:tc>
          <w:tcPr>
            <w:tcW w:w="3402" w:type="dxa"/>
            <w:noWrap/>
          </w:tcPr>
          <w:p w14:paraId="322E7D1E" w14:textId="77777777" w:rsidR="0050196F" w:rsidRPr="00EE51D9" w:rsidRDefault="0050196F" w:rsidP="00B21BD0">
            <w:pPr>
              <w:pStyle w:val="ARGrantstabletext"/>
              <w:rPr>
                <w:b/>
                <w:bCs/>
                <w:color w:val="000000"/>
              </w:rPr>
            </w:pPr>
            <w:r w:rsidRPr="00EE51D9">
              <w:rPr>
                <w:bCs/>
                <w:color w:val="000000"/>
              </w:rPr>
              <w:t>IndianCare Incorporated</w:t>
            </w:r>
          </w:p>
        </w:tc>
        <w:tc>
          <w:tcPr>
            <w:tcW w:w="1187" w:type="dxa"/>
            <w:noWrap/>
          </w:tcPr>
          <w:p w14:paraId="3C82BF57" w14:textId="77777777" w:rsidR="0050196F" w:rsidRPr="00EE51D9" w:rsidRDefault="0050196F" w:rsidP="00B21BD0">
            <w:pPr>
              <w:pStyle w:val="ARGrantstabletextright"/>
              <w:rPr>
                <w:b/>
                <w:bCs/>
                <w:color w:val="000000"/>
              </w:rPr>
            </w:pPr>
            <w:r w:rsidRPr="00EE51D9">
              <w:rPr>
                <w:bCs/>
                <w:color w:val="000000"/>
              </w:rPr>
              <w:t>80,000</w:t>
            </w:r>
          </w:p>
        </w:tc>
      </w:tr>
      <w:tr w:rsidR="0050196F" w:rsidRPr="00B6199F" w14:paraId="1D0F7910" w14:textId="77777777" w:rsidTr="00DB5974">
        <w:tc>
          <w:tcPr>
            <w:tcW w:w="3402" w:type="dxa"/>
            <w:noWrap/>
          </w:tcPr>
          <w:p w14:paraId="55BCF6C4" w14:textId="77777777" w:rsidR="0050196F" w:rsidRPr="00EE51D9" w:rsidRDefault="0050196F" w:rsidP="00B21BD0">
            <w:pPr>
              <w:pStyle w:val="ARGrantstabletext"/>
              <w:rPr>
                <w:b/>
                <w:bCs/>
                <w:color w:val="000000"/>
              </w:rPr>
            </w:pPr>
            <w:r w:rsidRPr="00EE51D9">
              <w:rPr>
                <w:bCs/>
                <w:color w:val="000000"/>
              </w:rPr>
              <w:t>Jesuit Social Services</w:t>
            </w:r>
          </w:p>
        </w:tc>
        <w:tc>
          <w:tcPr>
            <w:tcW w:w="1187" w:type="dxa"/>
            <w:noWrap/>
          </w:tcPr>
          <w:p w14:paraId="4D53A5E1" w14:textId="77777777" w:rsidR="0050196F" w:rsidRPr="00EE51D9" w:rsidRDefault="0050196F" w:rsidP="00B21BD0">
            <w:pPr>
              <w:pStyle w:val="ARGrantstabletextright"/>
              <w:rPr>
                <w:b/>
                <w:bCs/>
                <w:color w:val="000000"/>
              </w:rPr>
            </w:pPr>
            <w:r w:rsidRPr="00EE51D9">
              <w:rPr>
                <w:bCs/>
                <w:color w:val="000000"/>
              </w:rPr>
              <w:t>1,862,070</w:t>
            </w:r>
          </w:p>
        </w:tc>
      </w:tr>
      <w:tr w:rsidR="0050196F" w:rsidRPr="00B6199F" w14:paraId="729E9EE3" w14:textId="77777777" w:rsidTr="00DB5974">
        <w:tc>
          <w:tcPr>
            <w:tcW w:w="3402" w:type="dxa"/>
            <w:noWrap/>
          </w:tcPr>
          <w:p w14:paraId="75A429DC" w14:textId="77777777" w:rsidR="0050196F" w:rsidRPr="00EE51D9" w:rsidRDefault="0050196F" w:rsidP="00B21BD0">
            <w:pPr>
              <w:pStyle w:val="ARGrantstabletext"/>
              <w:rPr>
                <w:b/>
                <w:bCs/>
                <w:color w:val="000000"/>
              </w:rPr>
            </w:pPr>
            <w:r w:rsidRPr="00EE51D9">
              <w:rPr>
                <w:bCs/>
                <w:color w:val="000000"/>
              </w:rPr>
              <w:t>Jewish Care (Victoria) Inc</w:t>
            </w:r>
          </w:p>
        </w:tc>
        <w:tc>
          <w:tcPr>
            <w:tcW w:w="1187" w:type="dxa"/>
            <w:noWrap/>
          </w:tcPr>
          <w:p w14:paraId="35E6CEF7" w14:textId="77777777" w:rsidR="0050196F" w:rsidRPr="00EE51D9" w:rsidRDefault="0050196F" w:rsidP="00B21BD0">
            <w:pPr>
              <w:pStyle w:val="ARGrantstabletextright"/>
              <w:rPr>
                <w:b/>
                <w:bCs/>
                <w:color w:val="000000"/>
              </w:rPr>
            </w:pPr>
            <w:r w:rsidRPr="00EE51D9">
              <w:rPr>
                <w:bCs/>
                <w:color w:val="000000"/>
              </w:rPr>
              <w:t>70,000</w:t>
            </w:r>
          </w:p>
        </w:tc>
      </w:tr>
      <w:tr w:rsidR="0050196F" w:rsidRPr="00B6199F" w14:paraId="5AA6153A" w14:textId="77777777" w:rsidTr="00DB5974">
        <w:tc>
          <w:tcPr>
            <w:tcW w:w="3402" w:type="dxa"/>
            <w:noWrap/>
          </w:tcPr>
          <w:p w14:paraId="4A425D68" w14:textId="77777777" w:rsidR="0050196F" w:rsidRPr="00EE51D9" w:rsidRDefault="0050196F" w:rsidP="00B21BD0">
            <w:pPr>
              <w:pStyle w:val="ARGrantstabletext"/>
              <w:rPr>
                <w:b/>
                <w:bCs/>
                <w:color w:val="000000"/>
              </w:rPr>
            </w:pPr>
            <w:r w:rsidRPr="00EE51D9">
              <w:rPr>
                <w:bCs/>
                <w:color w:val="000000"/>
              </w:rPr>
              <w:t>Karen Milward Consultant</w:t>
            </w:r>
          </w:p>
        </w:tc>
        <w:tc>
          <w:tcPr>
            <w:tcW w:w="1187" w:type="dxa"/>
            <w:noWrap/>
          </w:tcPr>
          <w:p w14:paraId="6F062AD5" w14:textId="77777777" w:rsidR="0050196F" w:rsidRPr="00EE51D9" w:rsidRDefault="0050196F" w:rsidP="00B21BD0">
            <w:pPr>
              <w:pStyle w:val="ARGrantstabletextright"/>
              <w:rPr>
                <w:b/>
                <w:bCs/>
                <w:color w:val="000000"/>
              </w:rPr>
            </w:pPr>
            <w:r w:rsidRPr="00EE51D9">
              <w:rPr>
                <w:bCs/>
                <w:color w:val="000000"/>
              </w:rPr>
              <w:t>15,500</w:t>
            </w:r>
          </w:p>
        </w:tc>
      </w:tr>
      <w:tr w:rsidR="0050196F" w:rsidRPr="00B6199F" w14:paraId="29828965" w14:textId="77777777" w:rsidTr="00DB5974">
        <w:tc>
          <w:tcPr>
            <w:tcW w:w="3402" w:type="dxa"/>
            <w:noWrap/>
          </w:tcPr>
          <w:p w14:paraId="308948FC" w14:textId="77777777" w:rsidR="0050196F" w:rsidRPr="00EE51D9" w:rsidRDefault="0050196F" w:rsidP="00B21BD0">
            <w:pPr>
              <w:pStyle w:val="ARGrantstabletext"/>
              <w:rPr>
                <w:b/>
                <w:bCs/>
                <w:color w:val="000000"/>
              </w:rPr>
            </w:pPr>
            <w:r w:rsidRPr="00EE51D9">
              <w:rPr>
                <w:bCs/>
                <w:color w:val="000000"/>
              </w:rPr>
              <w:t>La Trobe University</w:t>
            </w:r>
          </w:p>
        </w:tc>
        <w:tc>
          <w:tcPr>
            <w:tcW w:w="1187" w:type="dxa"/>
            <w:noWrap/>
          </w:tcPr>
          <w:p w14:paraId="1DC1A924" w14:textId="77777777" w:rsidR="0050196F" w:rsidRPr="00EE51D9" w:rsidRDefault="0050196F" w:rsidP="00B21BD0">
            <w:pPr>
              <w:pStyle w:val="ARGrantstabletextright"/>
              <w:rPr>
                <w:b/>
                <w:bCs/>
                <w:color w:val="000000"/>
              </w:rPr>
            </w:pPr>
            <w:r w:rsidRPr="00EE51D9">
              <w:rPr>
                <w:bCs/>
                <w:color w:val="000000"/>
              </w:rPr>
              <w:t>250,000</w:t>
            </w:r>
          </w:p>
        </w:tc>
      </w:tr>
      <w:tr w:rsidR="0050196F" w:rsidRPr="00B6199F" w14:paraId="44F41F69" w14:textId="77777777" w:rsidTr="00DB5974">
        <w:tc>
          <w:tcPr>
            <w:tcW w:w="3402" w:type="dxa"/>
            <w:noWrap/>
          </w:tcPr>
          <w:p w14:paraId="0FDDADD4" w14:textId="77777777" w:rsidR="0050196F" w:rsidRPr="00EE51D9" w:rsidRDefault="0050196F" w:rsidP="00B21BD0">
            <w:pPr>
              <w:pStyle w:val="ARGrantstabletext"/>
              <w:rPr>
                <w:b/>
                <w:bCs/>
                <w:color w:val="000000"/>
              </w:rPr>
            </w:pPr>
            <w:r w:rsidRPr="00EE51D9">
              <w:rPr>
                <w:bCs/>
                <w:color w:val="000000"/>
              </w:rPr>
              <w:t>Latin Stories Australia</w:t>
            </w:r>
          </w:p>
        </w:tc>
        <w:tc>
          <w:tcPr>
            <w:tcW w:w="1187" w:type="dxa"/>
            <w:noWrap/>
          </w:tcPr>
          <w:p w14:paraId="46625217" w14:textId="77777777" w:rsidR="0050196F" w:rsidRPr="00EE51D9" w:rsidRDefault="0050196F" w:rsidP="00B21BD0">
            <w:pPr>
              <w:pStyle w:val="ARGrantstabletextright"/>
              <w:rPr>
                <w:b/>
                <w:bCs/>
                <w:color w:val="000000"/>
              </w:rPr>
            </w:pPr>
            <w:r w:rsidRPr="00EE51D9">
              <w:rPr>
                <w:bCs/>
                <w:color w:val="000000"/>
              </w:rPr>
              <w:t>60,000</w:t>
            </w:r>
          </w:p>
        </w:tc>
      </w:tr>
      <w:tr w:rsidR="0050196F" w:rsidRPr="00B6199F" w14:paraId="19294385" w14:textId="77777777" w:rsidTr="00DB5974">
        <w:tc>
          <w:tcPr>
            <w:tcW w:w="3402" w:type="dxa"/>
            <w:noWrap/>
          </w:tcPr>
          <w:p w14:paraId="6465DDED" w14:textId="77777777" w:rsidR="0050196F" w:rsidRPr="00EE51D9" w:rsidRDefault="0050196F" w:rsidP="00B21BD0">
            <w:pPr>
              <w:pStyle w:val="ARGrantstabletext"/>
              <w:rPr>
                <w:b/>
                <w:bCs/>
                <w:color w:val="000000"/>
              </w:rPr>
            </w:pPr>
            <w:r w:rsidRPr="00EE51D9">
              <w:rPr>
                <w:bCs/>
                <w:color w:val="000000"/>
              </w:rPr>
              <w:t>Leadership Victoria</w:t>
            </w:r>
          </w:p>
        </w:tc>
        <w:tc>
          <w:tcPr>
            <w:tcW w:w="1187" w:type="dxa"/>
            <w:noWrap/>
          </w:tcPr>
          <w:p w14:paraId="32FFC4AF" w14:textId="77777777" w:rsidR="0050196F" w:rsidRPr="00EE51D9" w:rsidRDefault="0050196F" w:rsidP="00B21BD0">
            <w:pPr>
              <w:pStyle w:val="ARGrantstabletextright"/>
              <w:rPr>
                <w:b/>
                <w:bCs/>
                <w:color w:val="000000"/>
              </w:rPr>
            </w:pPr>
            <w:r w:rsidRPr="00EE51D9">
              <w:rPr>
                <w:bCs/>
                <w:color w:val="000000"/>
              </w:rPr>
              <w:t>17,000</w:t>
            </w:r>
          </w:p>
        </w:tc>
      </w:tr>
      <w:tr w:rsidR="0050196F" w:rsidRPr="00B6199F" w14:paraId="3CA42621" w14:textId="77777777" w:rsidTr="00DB5974">
        <w:tc>
          <w:tcPr>
            <w:tcW w:w="3402" w:type="dxa"/>
            <w:noWrap/>
          </w:tcPr>
          <w:p w14:paraId="5F1005E7" w14:textId="5E5DBCE5" w:rsidR="0050196F" w:rsidRPr="00EE51D9" w:rsidRDefault="0050196F" w:rsidP="00B21BD0">
            <w:pPr>
              <w:pStyle w:val="ARGrantstabletext"/>
              <w:rPr>
                <w:b/>
                <w:bCs/>
                <w:color w:val="000000"/>
              </w:rPr>
            </w:pPr>
            <w:r w:rsidRPr="00EE51D9">
              <w:rPr>
                <w:bCs/>
                <w:color w:val="000000"/>
              </w:rPr>
              <w:t>Migrant Information Centre (Eastern</w:t>
            </w:r>
            <w:r w:rsidR="00120540">
              <w:rPr>
                <w:bCs/>
                <w:color w:val="000000"/>
              </w:rPr>
              <w:t> </w:t>
            </w:r>
            <w:r w:rsidRPr="00EE51D9">
              <w:rPr>
                <w:bCs/>
                <w:color w:val="000000"/>
              </w:rPr>
              <w:t>Melbourne)</w:t>
            </w:r>
          </w:p>
        </w:tc>
        <w:tc>
          <w:tcPr>
            <w:tcW w:w="1187" w:type="dxa"/>
            <w:noWrap/>
          </w:tcPr>
          <w:p w14:paraId="04BF5ECA" w14:textId="77777777" w:rsidR="0050196F" w:rsidRPr="00EE51D9" w:rsidRDefault="0050196F" w:rsidP="00B21BD0">
            <w:pPr>
              <w:pStyle w:val="ARGrantstabletextright"/>
              <w:rPr>
                <w:b/>
                <w:bCs/>
                <w:color w:val="000000"/>
              </w:rPr>
            </w:pPr>
            <w:r w:rsidRPr="00EE51D9">
              <w:rPr>
                <w:bCs/>
                <w:color w:val="000000"/>
              </w:rPr>
              <w:t>70,000</w:t>
            </w:r>
          </w:p>
        </w:tc>
      </w:tr>
      <w:tr w:rsidR="0050196F" w:rsidRPr="00B6199F" w14:paraId="3CBC1991" w14:textId="77777777" w:rsidTr="00DB5974">
        <w:tc>
          <w:tcPr>
            <w:tcW w:w="3402" w:type="dxa"/>
            <w:noWrap/>
          </w:tcPr>
          <w:p w14:paraId="0057830E" w14:textId="7567E86E" w:rsidR="0050196F" w:rsidRPr="00EE51D9" w:rsidRDefault="0050196F" w:rsidP="00B21BD0">
            <w:pPr>
              <w:pStyle w:val="ARGrantstabletext"/>
              <w:rPr>
                <w:b/>
                <w:bCs/>
                <w:color w:val="000000"/>
              </w:rPr>
            </w:pPr>
            <w:r w:rsidRPr="00EE51D9">
              <w:rPr>
                <w:bCs/>
                <w:color w:val="000000"/>
              </w:rPr>
              <w:t>Multicultural Centre for Women</w:t>
            </w:r>
            <w:r w:rsidR="00711AE6">
              <w:rPr>
                <w:bCs/>
                <w:color w:val="000000"/>
              </w:rPr>
              <w:t>’</w:t>
            </w:r>
            <w:r w:rsidRPr="00EE51D9">
              <w:rPr>
                <w:bCs/>
                <w:color w:val="000000"/>
              </w:rPr>
              <w:t>s Health</w:t>
            </w:r>
          </w:p>
        </w:tc>
        <w:tc>
          <w:tcPr>
            <w:tcW w:w="1187" w:type="dxa"/>
            <w:noWrap/>
          </w:tcPr>
          <w:p w14:paraId="384B5301" w14:textId="77777777" w:rsidR="0050196F" w:rsidRPr="00EE51D9" w:rsidRDefault="0050196F" w:rsidP="00B21BD0">
            <w:pPr>
              <w:pStyle w:val="ARGrantstabletextright"/>
              <w:rPr>
                <w:b/>
                <w:bCs/>
                <w:color w:val="000000"/>
              </w:rPr>
            </w:pPr>
            <w:r w:rsidRPr="00EE51D9">
              <w:rPr>
                <w:bCs/>
                <w:color w:val="000000"/>
              </w:rPr>
              <w:t>506,000</w:t>
            </w:r>
          </w:p>
        </w:tc>
      </w:tr>
      <w:tr w:rsidR="0050196F" w:rsidRPr="00B6199F" w14:paraId="20E505B9" w14:textId="77777777" w:rsidTr="00DB5974">
        <w:tc>
          <w:tcPr>
            <w:tcW w:w="3402" w:type="dxa"/>
            <w:noWrap/>
          </w:tcPr>
          <w:p w14:paraId="172DAD7D" w14:textId="77777777" w:rsidR="0050196F" w:rsidRPr="00EE51D9" w:rsidRDefault="0050196F" w:rsidP="00B21BD0">
            <w:pPr>
              <w:pStyle w:val="ARGrantstabletext"/>
              <w:rPr>
                <w:b/>
                <w:bCs/>
                <w:color w:val="000000"/>
              </w:rPr>
            </w:pPr>
            <w:r w:rsidRPr="00EE51D9">
              <w:rPr>
                <w:bCs/>
                <w:color w:val="000000"/>
              </w:rPr>
              <w:t>Municipal Association of Victoria</w:t>
            </w:r>
          </w:p>
        </w:tc>
        <w:tc>
          <w:tcPr>
            <w:tcW w:w="1187" w:type="dxa"/>
            <w:noWrap/>
          </w:tcPr>
          <w:p w14:paraId="4E6557C5" w14:textId="77777777" w:rsidR="0050196F" w:rsidRPr="00EE51D9" w:rsidRDefault="0050196F" w:rsidP="00B21BD0">
            <w:pPr>
              <w:pStyle w:val="ARGrantstabletextright"/>
              <w:rPr>
                <w:b/>
                <w:bCs/>
                <w:color w:val="000000"/>
              </w:rPr>
            </w:pPr>
            <w:r w:rsidRPr="00EE51D9">
              <w:rPr>
                <w:bCs/>
                <w:color w:val="000000"/>
              </w:rPr>
              <w:t>491,000</w:t>
            </w:r>
          </w:p>
        </w:tc>
      </w:tr>
      <w:tr w:rsidR="0050196F" w:rsidRPr="00B6199F" w14:paraId="1402AE41" w14:textId="77777777" w:rsidTr="00DB5974">
        <w:tc>
          <w:tcPr>
            <w:tcW w:w="3402" w:type="dxa"/>
            <w:noWrap/>
          </w:tcPr>
          <w:p w14:paraId="0D1945EE" w14:textId="77777777" w:rsidR="0050196F" w:rsidRPr="00EE51D9" w:rsidRDefault="0050196F" w:rsidP="00B21BD0">
            <w:pPr>
              <w:pStyle w:val="ARGrantstabletext"/>
              <w:rPr>
                <w:b/>
                <w:bCs/>
                <w:color w:val="000000"/>
              </w:rPr>
            </w:pPr>
            <w:r w:rsidRPr="00EE51D9">
              <w:rPr>
                <w:bCs/>
                <w:color w:val="000000"/>
              </w:rPr>
              <w:t>Nillumbik Community Health Service Ltd</w:t>
            </w:r>
          </w:p>
        </w:tc>
        <w:tc>
          <w:tcPr>
            <w:tcW w:w="1187" w:type="dxa"/>
            <w:noWrap/>
          </w:tcPr>
          <w:p w14:paraId="1D9C6606" w14:textId="77777777" w:rsidR="0050196F" w:rsidRPr="00EE51D9" w:rsidRDefault="0050196F" w:rsidP="00B21BD0">
            <w:pPr>
              <w:pStyle w:val="ARGrantstabletextright"/>
              <w:rPr>
                <w:b/>
                <w:bCs/>
                <w:color w:val="000000"/>
              </w:rPr>
            </w:pPr>
            <w:r w:rsidRPr="00EE51D9">
              <w:rPr>
                <w:bCs/>
                <w:color w:val="000000"/>
              </w:rPr>
              <w:t>400,000</w:t>
            </w:r>
          </w:p>
        </w:tc>
      </w:tr>
      <w:tr w:rsidR="0050196F" w:rsidRPr="00B6199F" w14:paraId="7EE953B9" w14:textId="77777777" w:rsidTr="00DB5974">
        <w:tc>
          <w:tcPr>
            <w:tcW w:w="3402" w:type="dxa"/>
            <w:noWrap/>
          </w:tcPr>
          <w:p w14:paraId="45E39E53" w14:textId="77777777" w:rsidR="0050196F" w:rsidRPr="00EE51D9" w:rsidRDefault="0050196F" w:rsidP="00B21BD0">
            <w:pPr>
              <w:pStyle w:val="ARGrantstabletext"/>
              <w:rPr>
                <w:b/>
                <w:bCs/>
                <w:color w:val="000000"/>
              </w:rPr>
            </w:pPr>
            <w:r w:rsidRPr="00EE51D9">
              <w:rPr>
                <w:bCs/>
                <w:color w:val="000000"/>
              </w:rPr>
              <w:t>Our Community Pty Ltd</w:t>
            </w:r>
          </w:p>
        </w:tc>
        <w:tc>
          <w:tcPr>
            <w:tcW w:w="1187" w:type="dxa"/>
            <w:noWrap/>
          </w:tcPr>
          <w:p w14:paraId="483D9E29" w14:textId="77777777" w:rsidR="0050196F" w:rsidRPr="00EE51D9" w:rsidRDefault="0050196F" w:rsidP="00B21BD0">
            <w:pPr>
              <w:pStyle w:val="ARGrantstabletextright"/>
              <w:rPr>
                <w:b/>
                <w:bCs/>
                <w:color w:val="000000"/>
              </w:rPr>
            </w:pPr>
            <w:r w:rsidRPr="00EE51D9">
              <w:rPr>
                <w:bCs/>
                <w:color w:val="000000"/>
              </w:rPr>
              <w:t>10,000</w:t>
            </w:r>
          </w:p>
        </w:tc>
      </w:tr>
      <w:tr w:rsidR="0050196F" w:rsidRPr="00B6199F" w14:paraId="11BAD51E" w14:textId="77777777" w:rsidTr="00DB5974">
        <w:tc>
          <w:tcPr>
            <w:tcW w:w="3402" w:type="dxa"/>
            <w:noWrap/>
          </w:tcPr>
          <w:p w14:paraId="583DCF53" w14:textId="77777777" w:rsidR="0050196F" w:rsidRPr="00EE51D9" w:rsidRDefault="0050196F" w:rsidP="00B21BD0">
            <w:pPr>
              <w:pStyle w:val="ARGrantstabletext"/>
              <w:rPr>
                <w:b/>
                <w:bCs/>
                <w:color w:val="000000"/>
              </w:rPr>
            </w:pPr>
            <w:r w:rsidRPr="00EE51D9">
              <w:rPr>
                <w:bCs/>
                <w:color w:val="000000"/>
              </w:rPr>
              <w:t>Our Watch Limited</w:t>
            </w:r>
          </w:p>
        </w:tc>
        <w:tc>
          <w:tcPr>
            <w:tcW w:w="1187" w:type="dxa"/>
            <w:noWrap/>
          </w:tcPr>
          <w:p w14:paraId="56478B60" w14:textId="77777777" w:rsidR="0050196F" w:rsidRPr="00EE51D9" w:rsidRDefault="0050196F" w:rsidP="00B21BD0">
            <w:pPr>
              <w:pStyle w:val="ARGrantstabletextright"/>
              <w:rPr>
                <w:b/>
                <w:bCs/>
                <w:color w:val="000000"/>
              </w:rPr>
            </w:pPr>
            <w:r w:rsidRPr="00EE51D9">
              <w:rPr>
                <w:bCs/>
                <w:color w:val="000000"/>
              </w:rPr>
              <w:t>100,000</w:t>
            </w:r>
          </w:p>
        </w:tc>
      </w:tr>
      <w:tr w:rsidR="0050196F" w:rsidRPr="00B6199F" w14:paraId="3B5D12EA" w14:textId="77777777" w:rsidTr="00DB5974">
        <w:tc>
          <w:tcPr>
            <w:tcW w:w="3402" w:type="dxa"/>
            <w:noWrap/>
          </w:tcPr>
          <w:p w14:paraId="478EA150" w14:textId="77777777" w:rsidR="0050196F" w:rsidRPr="00EE51D9" w:rsidRDefault="0050196F" w:rsidP="00B21BD0">
            <w:pPr>
              <w:pStyle w:val="ARGrantstabletext"/>
              <w:rPr>
                <w:b/>
                <w:bCs/>
                <w:color w:val="000000"/>
              </w:rPr>
            </w:pPr>
            <w:r w:rsidRPr="00EE51D9">
              <w:rPr>
                <w:bCs/>
                <w:color w:val="000000"/>
              </w:rPr>
              <w:t>Primary Care Connect</w:t>
            </w:r>
          </w:p>
        </w:tc>
        <w:tc>
          <w:tcPr>
            <w:tcW w:w="1187" w:type="dxa"/>
            <w:noWrap/>
          </w:tcPr>
          <w:p w14:paraId="45CF437E" w14:textId="77777777" w:rsidR="0050196F" w:rsidRPr="00EE51D9" w:rsidRDefault="0050196F" w:rsidP="00B21BD0">
            <w:pPr>
              <w:pStyle w:val="ARGrantstabletextright"/>
              <w:rPr>
                <w:b/>
                <w:bCs/>
                <w:color w:val="000000"/>
              </w:rPr>
            </w:pPr>
            <w:r w:rsidRPr="00EE51D9">
              <w:rPr>
                <w:bCs/>
                <w:color w:val="000000"/>
              </w:rPr>
              <w:t>60,000</w:t>
            </w:r>
          </w:p>
        </w:tc>
      </w:tr>
      <w:tr w:rsidR="0050196F" w:rsidRPr="00B6199F" w14:paraId="7621818D" w14:textId="77777777" w:rsidTr="00DB5974">
        <w:tc>
          <w:tcPr>
            <w:tcW w:w="3402" w:type="dxa"/>
            <w:noWrap/>
          </w:tcPr>
          <w:p w14:paraId="7CAB6230" w14:textId="2E4CBF5F" w:rsidR="0050196F" w:rsidRPr="00EE51D9" w:rsidRDefault="0050196F" w:rsidP="00B21BD0">
            <w:pPr>
              <w:pStyle w:val="ARGrantstabletext"/>
              <w:rPr>
                <w:b/>
                <w:bCs/>
                <w:color w:val="000000"/>
              </w:rPr>
            </w:pPr>
            <w:r w:rsidRPr="00EE51D9">
              <w:rPr>
                <w:bCs/>
                <w:color w:val="000000"/>
              </w:rPr>
              <w:t>Queen Victoria Women</w:t>
            </w:r>
            <w:r w:rsidR="00711AE6">
              <w:rPr>
                <w:bCs/>
                <w:color w:val="000000"/>
              </w:rPr>
              <w:t>’</w:t>
            </w:r>
            <w:r w:rsidRPr="00EE51D9">
              <w:rPr>
                <w:bCs/>
                <w:color w:val="000000"/>
              </w:rPr>
              <w:t>s Centre</w:t>
            </w:r>
          </w:p>
        </w:tc>
        <w:tc>
          <w:tcPr>
            <w:tcW w:w="1187" w:type="dxa"/>
            <w:noWrap/>
          </w:tcPr>
          <w:p w14:paraId="55E2BAB4" w14:textId="77777777" w:rsidR="0050196F" w:rsidRPr="00EE51D9" w:rsidRDefault="0050196F" w:rsidP="00B21BD0">
            <w:pPr>
              <w:pStyle w:val="ARGrantstabletextright"/>
              <w:rPr>
                <w:b/>
                <w:bCs/>
                <w:color w:val="000000"/>
              </w:rPr>
            </w:pPr>
            <w:r w:rsidRPr="00EE51D9">
              <w:rPr>
                <w:bCs/>
                <w:color w:val="000000"/>
              </w:rPr>
              <w:t>746,000</w:t>
            </w:r>
          </w:p>
        </w:tc>
      </w:tr>
      <w:tr w:rsidR="0050196F" w:rsidRPr="00B6199F" w14:paraId="4E39BA79" w14:textId="77777777" w:rsidTr="00DB5974">
        <w:tc>
          <w:tcPr>
            <w:tcW w:w="3402" w:type="dxa"/>
            <w:noWrap/>
          </w:tcPr>
          <w:p w14:paraId="7E73E937" w14:textId="77777777" w:rsidR="0050196F" w:rsidRPr="00EE51D9" w:rsidRDefault="0050196F" w:rsidP="00B21BD0">
            <w:pPr>
              <w:pStyle w:val="ARGrantstabletext"/>
              <w:rPr>
                <w:b/>
                <w:bCs/>
                <w:color w:val="000000"/>
              </w:rPr>
            </w:pPr>
            <w:r w:rsidRPr="00EE51D9">
              <w:rPr>
                <w:bCs/>
                <w:color w:val="000000"/>
              </w:rPr>
              <w:t>Safe and Equal</w:t>
            </w:r>
          </w:p>
        </w:tc>
        <w:tc>
          <w:tcPr>
            <w:tcW w:w="1187" w:type="dxa"/>
            <w:noWrap/>
          </w:tcPr>
          <w:p w14:paraId="3FC6F1DE" w14:textId="77777777" w:rsidR="0050196F" w:rsidRPr="00EE51D9" w:rsidRDefault="0050196F" w:rsidP="00B21BD0">
            <w:pPr>
              <w:pStyle w:val="ARGrantstabletextright"/>
              <w:rPr>
                <w:b/>
                <w:bCs/>
                <w:color w:val="000000"/>
              </w:rPr>
            </w:pPr>
            <w:r w:rsidRPr="00EE51D9">
              <w:rPr>
                <w:bCs/>
                <w:color w:val="000000"/>
              </w:rPr>
              <w:t>900,000</w:t>
            </w:r>
          </w:p>
        </w:tc>
      </w:tr>
      <w:tr w:rsidR="0050196F" w:rsidRPr="00B6199F" w14:paraId="32ECE599" w14:textId="77777777" w:rsidTr="00DB5974">
        <w:tc>
          <w:tcPr>
            <w:tcW w:w="3402" w:type="dxa"/>
            <w:noWrap/>
          </w:tcPr>
          <w:p w14:paraId="17B39238" w14:textId="77777777" w:rsidR="0050196F" w:rsidRPr="00EE51D9" w:rsidRDefault="0050196F" w:rsidP="00B21BD0">
            <w:pPr>
              <w:pStyle w:val="ARGrantstabletext"/>
              <w:rPr>
                <w:b/>
                <w:bCs/>
                <w:color w:val="000000"/>
              </w:rPr>
            </w:pPr>
            <w:r w:rsidRPr="00EE51D9">
              <w:rPr>
                <w:bCs/>
                <w:color w:val="000000"/>
              </w:rPr>
              <w:t>Sexual Assault Services Victoria (SASVic)</w:t>
            </w:r>
          </w:p>
        </w:tc>
        <w:tc>
          <w:tcPr>
            <w:tcW w:w="1187" w:type="dxa"/>
            <w:noWrap/>
          </w:tcPr>
          <w:p w14:paraId="5EFD3526" w14:textId="77777777" w:rsidR="0050196F" w:rsidRPr="00EE51D9" w:rsidRDefault="0050196F" w:rsidP="00B21BD0">
            <w:pPr>
              <w:pStyle w:val="ARGrantstabletextright"/>
              <w:rPr>
                <w:b/>
                <w:bCs/>
                <w:color w:val="000000"/>
              </w:rPr>
            </w:pPr>
            <w:r w:rsidRPr="00EE51D9">
              <w:rPr>
                <w:bCs/>
                <w:color w:val="000000"/>
              </w:rPr>
              <w:t>200,000</w:t>
            </w:r>
          </w:p>
        </w:tc>
      </w:tr>
      <w:tr w:rsidR="0050196F" w:rsidRPr="00B6199F" w14:paraId="06F17659" w14:textId="77777777" w:rsidTr="00DB5974">
        <w:tc>
          <w:tcPr>
            <w:tcW w:w="3402" w:type="dxa"/>
            <w:noWrap/>
          </w:tcPr>
          <w:p w14:paraId="4530DC8C" w14:textId="77777777" w:rsidR="0050196F" w:rsidRPr="00EE51D9" w:rsidRDefault="0050196F" w:rsidP="00B21BD0">
            <w:pPr>
              <w:pStyle w:val="ARGrantstabletext"/>
              <w:rPr>
                <w:b/>
                <w:bCs/>
                <w:color w:val="000000"/>
              </w:rPr>
            </w:pPr>
            <w:r w:rsidRPr="00EE51D9">
              <w:rPr>
                <w:bCs/>
                <w:color w:val="000000"/>
              </w:rPr>
              <w:t>Sexual Health Victoria</w:t>
            </w:r>
          </w:p>
        </w:tc>
        <w:tc>
          <w:tcPr>
            <w:tcW w:w="1187" w:type="dxa"/>
            <w:noWrap/>
          </w:tcPr>
          <w:p w14:paraId="7E89C903"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613671AF" w14:textId="77777777" w:rsidTr="00DB5974">
        <w:tc>
          <w:tcPr>
            <w:tcW w:w="3402" w:type="dxa"/>
            <w:noWrap/>
          </w:tcPr>
          <w:p w14:paraId="7855EA5A" w14:textId="77777777" w:rsidR="0050196F" w:rsidRPr="00EE51D9" w:rsidRDefault="0050196F" w:rsidP="00B21BD0">
            <w:pPr>
              <w:pStyle w:val="ARGrantstabletext"/>
              <w:rPr>
                <w:b/>
                <w:bCs/>
                <w:color w:val="000000"/>
              </w:rPr>
            </w:pPr>
            <w:r w:rsidRPr="00EE51D9">
              <w:rPr>
                <w:bCs/>
                <w:color w:val="000000"/>
              </w:rPr>
              <w:t>South East Community Links</w:t>
            </w:r>
          </w:p>
        </w:tc>
        <w:tc>
          <w:tcPr>
            <w:tcW w:w="1187" w:type="dxa"/>
            <w:noWrap/>
          </w:tcPr>
          <w:p w14:paraId="130C7D7A" w14:textId="77777777" w:rsidR="0050196F" w:rsidRPr="00EE51D9" w:rsidRDefault="0050196F" w:rsidP="00B21BD0">
            <w:pPr>
              <w:pStyle w:val="ARGrantstabletextright"/>
              <w:rPr>
                <w:b/>
                <w:bCs/>
                <w:color w:val="000000"/>
              </w:rPr>
            </w:pPr>
            <w:r w:rsidRPr="00EE51D9">
              <w:rPr>
                <w:bCs/>
                <w:color w:val="000000"/>
              </w:rPr>
              <w:t>90,000</w:t>
            </w:r>
          </w:p>
        </w:tc>
      </w:tr>
      <w:tr w:rsidR="0050196F" w:rsidRPr="00B6199F" w14:paraId="16667677" w14:textId="77777777" w:rsidTr="00DB5974">
        <w:tc>
          <w:tcPr>
            <w:tcW w:w="3402" w:type="dxa"/>
            <w:noWrap/>
          </w:tcPr>
          <w:p w14:paraId="00B4218B" w14:textId="78ABFAB7" w:rsidR="0050196F" w:rsidRPr="00EE51D9" w:rsidRDefault="0050196F" w:rsidP="00B21BD0">
            <w:pPr>
              <w:pStyle w:val="ARGrantstabletext"/>
              <w:rPr>
                <w:b/>
                <w:bCs/>
                <w:color w:val="000000"/>
              </w:rPr>
            </w:pPr>
            <w:r w:rsidRPr="00EE51D9">
              <w:rPr>
                <w:bCs/>
                <w:color w:val="000000"/>
              </w:rPr>
              <w:t>The Man Cave Pty Ltd</w:t>
            </w:r>
          </w:p>
        </w:tc>
        <w:tc>
          <w:tcPr>
            <w:tcW w:w="1187" w:type="dxa"/>
            <w:noWrap/>
          </w:tcPr>
          <w:p w14:paraId="1977723E"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1B2E38FE" w14:textId="77777777" w:rsidTr="00DB5974">
        <w:tc>
          <w:tcPr>
            <w:tcW w:w="3402" w:type="dxa"/>
            <w:noWrap/>
          </w:tcPr>
          <w:p w14:paraId="73DB6C36" w14:textId="77777777" w:rsidR="0050196F" w:rsidRPr="00EE51D9" w:rsidRDefault="0050196F" w:rsidP="00B21BD0">
            <w:pPr>
              <w:pStyle w:val="ARGrantstabletext"/>
              <w:rPr>
                <w:b/>
                <w:bCs/>
                <w:color w:val="000000"/>
              </w:rPr>
            </w:pPr>
            <w:r w:rsidRPr="00EE51D9">
              <w:rPr>
                <w:bCs/>
                <w:color w:val="000000"/>
              </w:rPr>
              <w:t>VICSEG New Futures</w:t>
            </w:r>
          </w:p>
        </w:tc>
        <w:tc>
          <w:tcPr>
            <w:tcW w:w="1187" w:type="dxa"/>
            <w:noWrap/>
          </w:tcPr>
          <w:p w14:paraId="43D345EC" w14:textId="77777777" w:rsidR="0050196F" w:rsidRPr="00EE51D9" w:rsidRDefault="0050196F" w:rsidP="00B21BD0">
            <w:pPr>
              <w:pStyle w:val="ARGrantstabletextright"/>
              <w:rPr>
                <w:b/>
                <w:bCs/>
                <w:color w:val="000000"/>
              </w:rPr>
            </w:pPr>
            <w:r w:rsidRPr="00EE51D9">
              <w:rPr>
                <w:bCs/>
                <w:color w:val="000000"/>
              </w:rPr>
              <w:t>80,000</w:t>
            </w:r>
          </w:p>
        </w:tc>
      </w:tr>
      <w:tr w:rsidR="0050196F" w:rsidRPr="00B6199F" w14:paraId="0DEF544D" w14:textId="77777777" w:rsidTr="00DB5974">
        <w:tc>
          <w:tcPr>
            <w:tcW w:w="3402" w:type="dxa"/>
            <w:noWrap/>
          </w:tcPr>
          <w:p w14:paraId="574D1BF9" w14:textId="77777777" w:rsidR="0050196F" w:rsidRPr="00EE51D9" w:rsidRDefault="0050196F" w:rsidP="00B21BD0">
            <w:pPr>
              <w:pStyle w:val="ARGrantstabletext"/>
              <w:rPr>
                <w:b/>
                <w:bCs/>
                <w:color w:val="000000"/>
              </w:rPr>
            </w:pPr>
            <w:r w:rsidRPr="00EE51D9">
              <w:rPr>
                <w:bCs/>
                <w:color w:val="000000"/>
              </w:rPr>
              <w:t>Victorian Aboriginal Child Care Agency Co-operative Limited</w:t>
            </w:r>
          </w:p>
        </w:tc>
        <w:tc>
          <w:tcPr>
            <w:tcW w:w="1187" w:type="dxa"/>
            <w:noWrap/>
          </w:tcPr>
          <w:p w14:paraId="44370609"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45D26E79" w14:textId="77777777" w:rsidTr="00DB5974">
        <w:tc>
          <w:tcPr>
            <w:tcW w:w="3402" w:type="dxa"/>
            <w:noWrap/>
          </w:tcPr>
          <w:p w14:paraId="3181B6F6" w14:textId="77777777" w:rsidR="0050196F" w:rsidRPr="00EE51D9" w:rsidRDefault="0050196F" w:rsidP="00B21BD0">
            <w:pPr>
              <w:pStyle w:val="ARGrantstabletext"/>
              <w:rPr>
                <w:b/>
                <w:bCs/>
                <w:color w:val="000000"/>
              </w:rPr>
            </w:pPr>
            <w:r w:rsidRPr="00EE51D9">
              <w:rPr>
                <w:bCs/>
                <w:color w:val="000000"/>
              </w:rPr>
              <w:t>Victorian Afghan Associations Network</w:t>
            </w:r>
          </w:p>
        </w:tc>
        <w:tc>
          <w:tcPr>
            <w:tcW w:w="1187" w:type="dxa"/>
            <w:noWrap/>
          </w:tcPr>
          <w:p w14:paraId="5854BC8E"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13C9E992" w14:textId="77777777" w:rsidTr="00DB5974">
        <w:tc>
          <w:tcPr>
            <w:tcW w:w="3402" w:type="dxa"/>
            <w:noWrap/>
          </w:tcPr>
          <w:p w14:paraId="34E4FE76" w14:textId="77777777" w:rsidR="0050196F" w:rsidRPr="00EE51D9" w:rsidRDefault="0050196F" w:rsidP="00B21BD0">
            <w:pPr>
              <w:pStyle w:val="ARGrantstabletext"/>
              <w:rPr>
                <w:b/>
                <w:bCs/>
                <w:color w:val="000000"/>
              </w:rPr>
            </w:pPr>
            <w:r w:rsidRPr="00EE51D9">
              <w:rPr>
                <w:bCs/>
                <w:color w:val="000000"/>
              </w:rPr>
              <w:t>Victorian Sikh Gurduaras Council</w:t>
            </w:r>
          </w:p>
        </w:tc>
        <w:tc>
          <w:tcPr>
            <w:tcW w:w="1187" w:type="dxa"/>
            <w:noWrap/>
          </w:tcPr>
          <w:p w14:paraId="5002BAED" w14:textId="77777777" w:rsidR="0050196F" w:rsidRPr="00EE51D9" w:rsidRDefault="0050196F" w:rsidP="00B21BD0">
            <w:pPr>
              <w:pStyle w:val="ARGrantstabletextright"/>
              <w:rPr>
                <w:b/>
                <w:bCs/>
                <w:color w:val="000000"/>
              </w:rPr>
            </w:pPr>
            <w:r w:rsidRPr="00EE51D9">
              <w:rPr>
                <w:bCs/>
                <w:color w:val="000000"/>
              </w:rPr>
              <w:t>50,000</w:t>
            </w:r>
          </w:p>
        </w:tc>
      </w:tr>
      <w:tr w:rsidR="0050196F" w:rsidRPr="00B6199F" w14:paraId="670BCA0D" w14:textId="77777777" w:rsidTr="00DB5974">
        <w:tc>
          <w:tcPr>
            <w:tcW w:w="3402" w:type="dxa"/>
            <w:noWrap/>
          </w:tcPr>
          <w:p w14:paraId="441246DA" w14:textId="77777777" w:rsidR="0050196F" w:rsidRPr="00EE51D9" w:rsidRDefault="0050196F" w:rsidP="00B21BD0">
            <w:pPr>
              <w:pStyle w:val="ARGrantstabletext"/>
              <w:rPr>
                <w:b/>
                <w:bCs/>
                <w:color w:val="000000"/>
              </w:rPr>
            </w:pPr>
            <w:r w:rsidRPr="00EE51D9">
              <w:rPr>
                <w:bCs/>
                <w:color w:val="000000"/>
              </w:rPr>
              <w:t>Virtual Marketing Support Pty Ltd</w:t>
            </w:r>
          </w:p>
        </w:tc>
        <w:tc>
          <w:tcPr>
            <w:tcW w:w="1187" w:type="dxa"/>
            <w:noWrap/>
          </w:tcPr>
          <w:p w14:paraId="0C34F79C" w14:textId="77777777" w:rsidR="0050196F" w:rsidRPr="00EE51D9" w:rsidRDefault="0050196F" w:rsidP="00B21BD0">
            <w:pPr>
              <w:pStyle w:val="ARGrantstabletextright"/>
              <w:rPr>
                <w:b/>
                <w:bCs/>
                <w:color w:val="000000"/>
              </w:rPr>
            </w:pPr>
            <w:r w:rsidRPr="00EE51D9">
              <w:rPr>
                <w:bCs/>
                <w:color w:val="000000"/>
              </w:rPr>
              <w:t>3,990</w:t>
            </w:r>
          </w:p>
        </w:tc>
      </w:tr>
      <w:tr w:rsidR="0050196F" w:rsidRPr="00B6199F" w14:paraId="374AA98E" w14:textId="77777777" w:rsidTr="00DB5974">
        <w:tc>
          <w:tcPr>
            <w:tcW w:w="3402" w:type="dxa"/>
            <w:noWrap/>
          </w:tcPr>
          <w:p w14:paraId="4A533F45" w14:textId="77777777" w:rsidR="0050196F" w:rsidRPr="00EE51D9" w:rsidRDefault="0050196F" w:rsidP="00B21BD0">
            <w:pPr>
              <w:pStyle w:val="ARGrantstabletext"/>
              <w:rPr>
                <w:b/>
                <w:bCs/>
                <w:color w:val="000000"/>
              </w:rPr>
            </w:pPr>
            <w:r w:rsidRPr="00EE51D9">
              <w:rPr>
                <w:bCs/>
                <w:color w:val="000000"/>
              </w:rPr>
              <w:t>Whittlesea Community Connections</w:t>
            </w:r>
          </w:p>
        </w:tc>
        <w:tc>
          <w:tcPr>
            <w:tcW w:w="1187" w:type="dxa"/>
            <w:noWrap/>
          </w:tcPr>
          <w:p w14:paraId="76AF1F24" w14:textId="77777777" w:rsidR="0050196F" w:rsidRPr="00EE51D9" w:rsidRDefault="0050196F" w:rsidP="00B21BD0">
            <w:pPr>
              <w:pStyle w:val="ARGrantstabletextright"/>
              <w:rPr>
                <w:b/>
                <w:bCs/>
                <w:color w:val="000000"/>
              </w:rPr>
            </w:pPr>
            <w:r w:rsidRPr="00EE51D9">
              <w:rPr>
                <w:bCs/>
                <w:color w:val="000000"/>
              </w:rPr>
              <w:t>90,000</w:t>
            </w:r>
          </w:p>
        </w:tc>
      </w:tr>
      <w:tr w:rsidR="0050196F" w:rsidRPr="00B6199F" w14:paraId="09841875" w14:textId="77777777" w:rsidTr="00DB5974">
        <w:tc>
          <w:tcPr>
            <w:tcW w:w="3402" w:type="dxa"/>
            <w:noWrap/>
          </w:tcPr>
          <w:p w14:paraId="465781A1" w14:textId="77777777" w:rsidR="0050196F" w:rsidRPr="00EE51D9" w:rsidRDefault="0050196F" w:rsidP="00B21BD0">
            <w:pPr>
              <w:pStyle w:val="ARGrantstabletext"/>
              <w:rPr>
                <w:b/>
                <w:bCs/>
                <w:color w:val="000000"/>
              </w:rPr>
            </w:pPr>
            <w:r w:rsidRPr="00EE51D9">
              <w:rPr>
                <w:bCs/>
                <w:color w:val="000000"/>
              </w:rPr>
              <w:t>Women of Colour Australia</w:t>
            </w:r>
          </w:p>
        </w:tc>
        <w:tc>
          <w:tcPr>
            <w:tcW w:w="1187" w:type="dxa"/>
            <w:noWrap/>
          </w:tcPr>
          <w:p w14:paraId="2614DD8C" w14:textId="77777777" w:rsidR="0050196F" w:rsidRPr="00EE51D9" w:rsidRDefault="0050196F" w:rsidP="00B21BD0">
            <w:pPr>
              <w:pStyle w:val="ARGrantstabletextright"/>
              <w:rPr>
                <w:b/>
                <w:bCs/>
                <w:color w:val="000000"/>
              </w:rPr>
            </w:pPr>
            <w:r w:rsidRPr="00EE51D9">
              <w:rPr>
                <w:bCs/>
                <w:color w:val="000000"/>
              </w:rPr>
              <w:t>178,000</w:t>
            </w:r>
          </w:p>
        </w:tc>
      </w:tr>
      <w:tr w:rsidR="0050196F" w:rsidRPr="00B6199F" w14:paraId="34A0B9E7" w14:textId="77777777" w:rsidTr="00DB5974">
        <w:tc>
          <w:tcPr>
            <w:tcW w:w="3402" w:type="dxa"/>
            <w:noWrap/>
          </w:tcPr>
          <w:p w14:paraId="2BAAF6C1" w14:textId="77777777" w:rsidR="0050196F" w:rsidRPr="00EE51D9" w:rsidRDefault="0050196F" w:rsidP="00B21BD0">
            <w:pPr>
              <w:pStyle w:val="ARGrantstabletext"/>
              <w:rPr>
                <w:b/>
                <w:bCs/>
                <w:color w:val="000000"/>
              </w:rPr>
            </w:pPr>
            <w:r w:rsidRPr="00EE51D9">
              <w:rPr>
                <w:bCs/>
                <w:color w:val="000000"/>
              </w:rPr>
              <w:t>Women with Disabilities Victoria Inc</w:t>
            </w:r>
          </w:p>
        </w:tc>
        <w:tc>
          <w:tcPr>
            <w:tcW w:w="1187" w:type="dxa"/>
            <w:noWrap/>
          </w:tcPr>
          <w:p w14:paraId="58C91112" w14:textId="77777777" w:rsidR="0050196F" w:rsidRPr="00EE51D9" w:rsidRDefault="0050196F" w:rsidP="00B21BD0">
            <w:pPr>
              <w:pStyle w:val="ARGrantstabletextright"/>
              <w:rPr>
                <w:b/>
                <w:bCs/>
                <w:color w:val="000000"/>
              </w:rPr>
            </w:pPr>
            <w:r w:rsidRPr="00EE51D9">
              <w:rPr>
                <w:bCs/>
                <w:color w:val="000000"/>
              </w:rPr>
              <w:t>100,000</w:t>
            </w:r>
          </w:p>
        </w:tc>
      </w:tr>
      <w:tr w:rsidR="0050196F" w:rsidRPr="00B6199F" w14:paraId="5C2DD3EA" w14:textId="77777777" w:rsidTr="00DB5974">
        <w:tc>
          <w:tcPr>
            <w:tcW w:w="3402" w:type="dxa"/>
            <w:noWrap/>
          </w:tcPr>
          <w:p w14:paraId="1508AF02" w14:textId="78BE3D55" w:rsidR="0050196F" w:rsidRPr="00EA2AB7" w:rsidRDefault="0050196F" w:rsidP="00B21BD0">
            <w:pPr>
              <w:pStyle w:val="ARGrantstabletext"/>
              <w:rPr>
                <w:b/>
                <w:bCs/>
                <w:color w:val="000000"/>
                <w:spacing w:val="-6"/>
              </w:rPr>
            </w:pPr>
            <w:r w:rsidRPr="00EA2AB7">
              <w:rPr>
                <w:bCs/>
                <w:color w:val="000000"/>
                <w:spacing w:val="-6"/>
              </w:rPr>
              <w:t>Women</w:t>
            </w:r>
            <w:r w:rsidR="00711AE6">
              <w:rPr>
                <w:bCs/>
                <w:color w:val="000000"/>
                <w:spacing w:val="-6"/>
              </w:rPr>
              <w:t>’</w:t>
            </w:r>
            <w:r w:rsidRPr="00EA2AB7">
              <w:rPr>
                <w:bCs/>
                <w:color w:val="000000"/>
                <w:spacing w:val="-6"/>
              </w:rPr>
              <w:t>s Health and Wellbeing Barwon South West</w:t>
            </w:r>
          </w:p>
        </w:tc>
        <w:tc>
          <w:tcPr>
            <w:tcW w:w="1187" w:type="dxa"/>
            <w:noWrap/>
          </w:tcPr>
          <w:p w14:paraId="092E9C46" w14:textId="77777777" w:rsidR="0050196F" w:rsidRPr="00EE51D9" w:rsidRDefault="0050196F" w:rsidP="00B21BD0">
            <w:pPr>
              <w:pStyle w:val="ARGrantstabletextright"/>
              <w:rPr>
                <w:b/>
                <w:bCs/>
                <w:color w:val="000000"/>
              </w:rPr>
            </w:pPr>
            <w:r w:rsidRPr="00EE51D9">
              <w:rPr>
                <w:bCs/>
                <w:color w:val="000000"/>
              </w:rPr>
              <w:t>296,000</w:t>
            </w:r>
          </w:p>
        </w:tc>
      </w:tr>
      <w:tr w:rsidR="0050196F" w:rsidRPr="00B6199F" w14:paraId="5F1A33CC" w14:textId="77777777" w:rsidTr="00DB5974">
        <w:tc>
          <w:tcPr>
            <w:tcW w:w="3402" w:type="dxa"/>
            <w:noWrap/>
          </w:tcPr>
          <w:p w14:paraId="65279178" w14:textId="3543D3A6" w:rsidR="0050196F" w:rsidRPr="00EE51D9" w:rsidRDefault="0050196F" w:rsidP="00B21BD0">
            <w:pPr>
              <w:pStyle w:val="ARGrantstabletext"/>
              <w:rPr>
                <w:b/>
                <w:bCs/>
                <w:color w:val="000000"/>
              </w:rPr>
            </w:pPr>
            <w:r w:rsidRPr="00EE51D9">
              <w:rPr>
                <w:bCs/>
                <w:color w:val="000000"/>
              </w:rPr>
              <w:t>Women</w:t>
            </w:r>
            <w:r w:rsidR="00711AE6">
              <w:rPr>
                <w:bCs/>
                <w:color w:val="000000"/>
              </w:rPr>
              <w:t>’</w:t>
            </w:r>
            <w:r w:rsidRPr="00EE51D9">
              <w:rPr>
                <w:bCs/>
                <w:color w:val="000000"/>
              </w:rPr>
              <w:t>s Health East</w:t>
            </w:r>
          </w:p>
        </w:tc>
        <w:tc>
          <w:tcPr>
            <w:tcW w:w="1187" w:type="dxa"/>
            <w:noWrap/>
          </w:tcPr>
          <w:p w14:paraId="3A04A427" w14:textId="77777777" w:rsidR="0050196F" w:rsidRPr="00EE51D9" w:rsidRDefault="0050196F" w:rsidP="00B21BD0">
            <w:pPr>
              <w:pStyle w:val="ARGrantstabletextright"/>
              <w:rPr>
                <w:b/>
                <w:bCs/>
                <w:color w:val="000000"/>
              </w:rPr>
            </w:pPr>
            <w:r w:rsidRPr="00EE51D9">
              <w:rPr>
                <w:bCs/>
                <w:color w:val="000000"/>
              </w:rPr>
              <w:t>446,000</w:t>
            </w:r>
          </w:p>
        </w:tc>
      </w:tr>
      <w:tr w:rsidR="0050196F" w:rsidRPr="00B6199F" w14:paraId="6298085D" w14:textId="77777777" w:rsidTr="00DB5974">
        <w:tc>
          <w:tcPr>
            <w:tcW w:w="3402" w:type="dxa"/>
            <w:noWrap/>
          </w:tcPr>
          <w:p w14:paraId="0B420BD4" w14:textId="061B6532" w:rsidR="0050196F" w:rsidRPr="00EE51D9" w:rsidRDefault="0050196F" w:rsidP="00B21BD0">
            <w:pPr>
              <w:pStyle w:val="ARGrantstabletext"/>
              <w:rPr>
                <w:b/>
                <w:bCs/>
                <w:color w:val="000000"/>
              </w:rPr>
            </w:pPr>
            <w:r w:rsidRPr="00EE51D9">
              <w:rPr>
                <w:bCs/>
                <w:color w:val="000000"/>
              </w:rPr>
              <w:t>Women</w:t>
            </w:r>
            <w:r w:rsidR="00711AE6">
              <w:rPr>
                <w:bCs/>
                <w:color w:val="000000"/>
              </w:rPr>
              <w:t>’</w:t>
            </w:r>
            <w:r w:rsidRPr="00EE51D9">
              <w:rPr>
                <w:bCs/>
                <w:color w:val="000000"/>
              </w:rPr>
              <w:t>s Health Goulburn North East</w:t>
            </w:r>
          </w:p>
        </w:tc>
        <w:tc>
          <w:tcPr>
            <w:tcW w:w="1187" w:type="dxa"/>
            <w:noWrap/>
          </w:tcPr>
          <w:p w14:paraId="7FCC7B02" w14:textId="77777777" w:rsidR="0050196F" w:rsidRPr="00EE51D9" w:rsidRDefault="0050196F" w:rsidP="00B21BD0">
            <w:pPr>
              <w:pStyle w:val="ARGrantstabletextright"/>
              <w:rPr>
                <w:b/>
                <w:bCs/>
                <w:color w:val="000000"/>
              </w:rPr>
            </w:pPr>
            <w:r w:rsidRPr="00EE51D9">
              <w:rPr>
                <w:bCs/>
                <w:color w:val="000000"/>
              </w:rPr>
              <w:t>296,000</w:t>
            </w:r>
          </w:p>
        </w:tc>
      </w:tr>
      <w:tr w:rsidR="0050196F" w:rsidRPr="00B6199F" w14:paraId="5EE382CC" w14:textId="77777777" w:rsidTr="00DB5974">
        <w:tc>
          <w:tcPr>
            <w:tcW w:w="3402" w:type="dxa"/>
            <w:noWrap/>
          </w:tcPr>
          <w:p w14:paraId="7D85D5BC" w14:textId="6405D321" w:rsidR="0050196F" w:rsidRPr="00EE51D9" w:rsidRDefault="0050196F" w:rsidP="00B21BD0">
            <w:pPr>
              <w:pStyle w:val="ARGrantstabletext"/>
              <w:rPr>
                <w:b/>
                <w:bCs/>
                <w:color w:val="000000"/>
              </w:rPr>
            </w:pPr>
            <w:r w:rsidRPr="00EE51D9">
              <w:rPr>
                <w:bCs/>
                <w:color w:val="000000"/>
              </w:rPr>
              <w:t>Women</w:t>
            </w:r>
            <w:r w:rsidR="00711AE6">
              <w:rPr>
                <w:bCs/>
                <w:color w:val="000000"/>
              </w:rPr>
              <w:t>’</w:t>
            </w:r>
            <w:r w:rsidRPr="00EE51D9">
              <w:rPr>
                <w:bCs/>
                <w:color w:val="000000"/>
              </w:rPr>
              <w:t>s Health Grampians Inc</w:t>
            </w:r>
          </w:p>
        </w:tc>
        <w:tc>
          <w:tcPr>
            <w:tcW w:w="1187" w:type="dxa"/>
            <w:noWrap/>
          </w:tcPr>
          <w:p w14:paraId="12659A77" w14:textId="77777777" w:rsidR="0050196F" w:rsidRPr="00EE51D9" w:rsidRDefault="0050196F" w:rsidP="00B21BD0">
            <w:pPr>
              <w:pStyle w:val="ARGrantstabletextright"/>
              <w:rPr>
                <w:b/>
                <w:bCs/>
                <w:color w:val="000000"/>
              </w:rPr>
            </w:pPr>
            <w:r w:rsidRPr="00EE51D9">
              <w:rPr>
                <w:bCs/>
                <w:color w:val="000000"/>
              </w:rPr>
              <w:t>296,000</w:t>
            </w:r>
          </w:p>
        </w:tc>
      </w:tr>
      <w:tr w:rsidR="0050196F" w:rsidRPr="00B6199F" w14:paraId="6BDCDF08" w14:textId="77777777" w:rsidTr="00DB5974">
        <w:tc>
          <w:tcPr>
            <w:tcW w:w="3402" w:type="dxa"/>
            <w:noWrap/>
          </w:tcPr>
          <w:p w14:paraId="591DB575" w14:textId="4E817A05" w:rsidR="0050196F" w:rsidRPr="00EE51D9" w:rsidRDefault="0050196F" w:rsidP="00B21BD0">
            <w:pPr>
              <w:pStyle w:val="ARGrantstabletext"/>
              <w:rPr>
                <w:b/>
                <w:bCs/>
                <w:color w:val="000000"/>
              </w:rPr>
            </w:pPr>
            <w:r w:rsidRPr="00EE51D9">
              <w:rPr>
                <w:bCs/>
                <w:color w:val="000000"/>
              </w:rPr>
              <w:t>Women</w:t>
            </w:r>
            <w:r w:rsidR="00711AE6">
              <w:rPr>
                <w:bCs/>
                <w:color w:val="000000"/>
              </w:rPr>
              <w:t>’</w:t>
            </w:r>
            <w:r w:rsidRPr="00EE51D9">
              <w:rPr>
                <w:bCs/>
                <w:color w:val="000000"/>
              </w:rPr>
              <w:t>s Health In the North</w:t>
            </w:r>
          </w:p>
        </w:tc>
        <w:tc>
          <w:tcPr>
            <w:tcW w:w="1187" w:type="dxa"/>
            <w:noWrap/>
          </w:tcPr>
          <w:p w14:paraId="63C7322D" w14:textId="77777777" w:rsidR="0050196F" w:rsidRPr="00EE51D9" w:rsidRDefault="0050196F" w:rsidP="00B21BD0">
            <w:pPr>
              <w:pStyle w:val="ARGrantstabletextright"/>
              <w:rPr>
                <w:b/>
                <w:bCs/>
                <w:color w:val="000000"/>
              </w:rPr>
            </w:pPr>
            <w:r w:rsidRPr="00EE51D9">
              <w:rPr>
                <w:bCs/>
                <w:color w:val="000000"/>
              </w:rPr>
              <w:t>446,000</w:t>
            </w:r>
          </w:p>
        </w:tc>
      </w:tr>
      <w:tr w:rsidR="0050196F" w:rsidRPr="00B6199F" w14:paraId="2C8A047A" w14:textId="77777777" w:rsidTr="00DB5974">
        <w:tc>
          <w:tcPr>
            <w:tcW w:w="3402" w:type="dxa"/>
            <w:noWrap/>
          </w:tcPr>
          <w:p w14:paraId="13652B52" w14:textId="5832F445" w:rsidR="0050196F" w:rsidRPr="00EE51D9" w:rsidRDefault="0050196F" w:rsidP="00B21BD0">
            <w:pPr>
              <w:pStyle w:val="ARGrantstabletext"/>
              <w:rPr>
                <w:b/>
                <w:bCs/>
                <w:color w:val="000000"/>
              </w:rPr>
            </w:pPr>
            <w:r w:rsidRPr="00EE51D9">
              <w:rPr>
                <w:bCs/>
                <w:color w:val="000000"/>
              </w:rPr>
              <w:t>Women</w:t>
            </w:r>
            <w:r w:rsidR="00711AE6">
              <w:rPr>
                <w:bCs/>
                <w:color w:val="000000"/>
              </w:rPr>
              <w:t>’</w:t>
            </w:r>
            <w:r w:rsidRPr="00EE51D9">
              <w:rPr>
                <w:bCs/>
                <w:color w:val="000000"/>
              </w:rPr>
              <w:t>s Health in the South East</w:t>
            </w:r>
          </w:p>
        </w:tc>
        <w:tc>
          <w:tcPr>
            <w:tcW w:w="1187" w:type="dxa"/>
            <w:noWrap/>
          </w:tcPr>
          <w:p w14:paraId="2B3BB48B" w14:textId="77777777" w:rsidR="0050196F" w:rsidRPr="00EE51D9" w:rsidRDefault="0050196F" w:rsidP="00B21BD0">
            <w:pPr>
              <w:pStyle w:val="ARGrantstabletextright"/>
              <w:rPr>
                <w:b/>
                <w:bCs/>
                <w:color w:val="000000"/>
              </w:rPr>
            </w:pPr>
            <w:r w:rsidRPr="00EE51D9">
              <w:rPr>
                <w:bCs/>
                <w:color w:val="000000"/>
              </w:rPr>
              <w:t>296,000</w:t>
            </w:r>
          </w:p>
        </w:tc>
      </w:tr>
      <w:tr w:rsidR="0050196F" w:rsidRPr="00B6199F" w14:paraId="55EED1C4" w14:textId="77777777" w:rsidTr="00DB5974">
        <w:tc>
          <w:tcPr>
            <w:tcW w:w="3402" w:type="dxa"/>
            <w:noWrap/>
          </w:tcPr>
          <w:p w14:paraId="45DA76D7" w14:textId="35D1EED5" w:rsidR="0050196F" w:rsidRPr="00EE51D9" w:rsidRDefault="0050196F" w:rsidP="00B21BD0">
            <w:pPr>
              <w:pStyle w:val="ARGrantstabletext"/>
              <w:rPr>
                <w:b/>
                <w:bCs/>
                <w:color w:val="000000"/>
              </w:rPr>
            </w:pPr>
            <w:r w:rsidRPr="00EE51D9">
              <w:rPr>
                <w:bCs/>
                <w:color w:val="000000"/>
              </w:rPr>
              <w:t>Women</w:t>
            </w:r>
            <w:r w:rsidR="00711AE6">
              <w:rPr>
                <w:bCs/>
                <w:color w:val="000000"/>
              </w:rPr>
              <w:t>’</w:t>
            </w:r>
            <w:r w:rsidRPr="00EE51D9">
              <w:rPr>
                <w:bCs/>
                <w:color w:val="000000"/>
              </w:rPr>
              <w:t>s Health Loddon Mallee</w:t>
            </w:r>
          </w:p>
        </w:tc>
        <w:tc>
          <w:tcPr>
            <w:tcW w:w="1187" w:type="dxa"/>
            <w:noWrap/>
          </w:tcPr>
          <w:p w14:paraId="690DEA9F" w14:textId="77777777" w:rsidR="0050196F" w:rsidRPr="00EE51D9" w:rsidRDefault="0050196F" w:rsidP="00B21BD0">
            <w:pPr>
              <w:pStyle w:val="ARGrantstabletextright"/>
              <w:rPr>
                <w:b/>
                <w:bCs/>
                <w:color w:val="000000"/>
              </w:rPr>
            </w:pPr>
            <w:r w:rsidRPr="00EE51D9">
              <w:rPr>
                <w:bCs/>
                <w:color w:val="000000"/>
              </w:rPr>
              <w:t>376,000</w:t>
            </w:r>
          </w:p>
        </w:tc>
      </w:tr>
      <w:tr w:rsidR="0050196F" w:rsidRPr="00B6199F" w14:paraId="50E3D612" w14:textId="77777777" w:rsidTr="00DB5974">
        <w:tc>
          <w:tcPr>
            <w:tcW w:w="3402" w:type="dxa"/>
            <w:noWrap/>
          </w:tcPr>
          <w:p w14:paraId="45F23DA5" w14:textId="51C42D35" w:rsidR="0050196F" w:rsidRPr="00EE51D9" w:rsidRDefault="0050196F" w:rsidP="00B21BD0">
            <w:pPr>
              <w:pStyle w:val="ARGrantstabletext"/>
              <w:rPr>
                <w:b/>
                <w:bCs/>
                <w:color w:val="000000"/>
              </w:rPr>
            </w:pPr>
            <w:r w:rsidRPr="00EE51D9">
              <w:rPr>
                <w:bCs/>
                <w:color w:val="000000"/>
              </w:rPr>
              <w:t>Women</w:t>
            </w:r>
            <w:r w:rsidR="00711AE6">
              <w:rPr>
                <w:bCs/>
                <w:color w:val="000000"/>
              </w:rPr>
              <w:t>’</w:t>
            </w:r>
            <w:r w:rsidRPr="00EE51D9">
              <w:rPr>
                <w:bCs/>
                <w:color w:val="000000"/>
              </w:rPr>
              <w:t>s Health Victoria Inc</w:t>
            </w:r>
          </w:p>
        </w:tc>
        <w:tc>
          <w:tcPr>
            <w:tcW w:w="1187" w:type="dxa"/>
            <w:noWrap/>
          </w:tcPr>
          <w:p w14:paraId="7933BCED" w14:textId="77777777" w:rsidR="0050196F" w:rsidRPr="00EE51D9" w:rsidRDefault="0050196F" w:rsidP="00B21BD0">
            <w:pPr>
              <w:pStyle w:val="ARGrantstabletextright"/>
              <w:rPr>
                <w:b/>
                <w:bCs/>
                <w:color w:val="000000"/>
              </w:rPr>
            </w:pPr>
            <w:r w:rsidRPr="00EE51D9">
              <w:rPr>
                <w:bCs/>
                <w:color w:val="000000"/>
              </w:rPr>
              <w:t>316,000</w:t>
            </w:r>
          </w:p>
        </w:tc>
      </w:tr>
      <w:tr w:rsidR="0050196F" w:rsidRPr="00B6199F" w14:paraId="2EC794B8" w14:textId="77777777" w:rsidTr="00DB5974">
        <w:tc>
          <w:tcPr>
            <w:tcW w:w="3402" w:type="dxa"/>
            <w:noWrap/>
          </w:tcPr>
          <w:p w14:paraId="4F9841B0" w14:textId="6E071D32" w:rsidR="0050196F" w:rsidRPr="00EE51D9" w:rsidRDefault="0050196F" w:rsidP="00B21BD0">
            <w:pPr>
              <w:pStyle w:val="ARGrantstabletext"/>
              <w:rPr>
                <w:b/>
                <w:bCs/>
                <w:color w:val="000000"/>
              </w:rPr>
            </w:pPr>
            <w:r w:rsidRPr="00EE51D9">
              <w:rPr>
                <w:bCs/>
                <w:color w:val="000000"/>
              </w:rPr>
              <w:t>Young People</w:t>
            </w:r>
            <w:r w:rsidR="00711AE6">
              <w:rPr>
                <w:bCs/>
                <w:color w:val="000000"/>
              </w:rPr>
              <w:t>’</w:t>
            </w:r>
            <w:r w:rsidRPr="00EE51D9">
              <w:rPr>
                <w:bCs/>
                <w:color w:val="000000"/>
              </w:rPr>
              <w:t>s Legal Rights Centre (Youthlaw)</w:t>
            </w:r>
          </w:p>
        </w:tc>
        <w:tc>
          <w:tcPr>
            <w:tcW w:w="1187" w:type="dxa"/>
            <w:noWrap/>
          </w:tcPr>
          <w:p w14:paraId="1F1CCBEA"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448FBBA9" w14:textId="77777777" w:rsidTr="00DB5974">
        <w:tc>
          <w:tcPr>
            <w:tcW w:w="3402" w:type="dxa"/>
            <w:noWrap/>
          </w:tcPr>
          <w:p w14:paraId="39A11FF9" w14:textId="77777777" w:rsidR="0050196F" w:rsidRPr="00EE51D9" w:rsidRDefault="0050196F" w:rsidP="00B21BD0">
            <w:pPr>
              <w:pStyle w:val="ARGrantstabletext"/>
              <w:rPr>
                <w:b/>
                <w:bCs/>
                <w:color w:val="000000"/>
              </w:rPr>
            </w:pPr>
            <w:r w:rsidRPr="00EE51D9">
              <w:rPr>
                <w:bCs/>
                <w:color w:val="000000"/>
              </w:rPr>
              <w:t>Youth Affairs Council of Victoria Inc</w:t>
            </w:r>
          </w:p>
        </w:tc>
        <w:tc>
          <w:tcPr>
            <w:tcW w:w="1187" w:type="dxa"/>
            <w:noWrap/>
          </w:tcPr>
          <w:p w14:paraId="75547815" w14:textId="77777777" w:rsidR="0050196F" w:rsidRPr="00EE51D9" w:rsidRDefault="0050196F" w:rsidP="00B21BD0">
            <w:pPr>
              <w:pStyle w:val="ARGrantstabletextright"/>
              <w:rPr>
                <w:b/>
                <w:bCs/>
                <w:color w:val="000000"/>
              </w:rPr>
            </w:pPr>
            <w:r w:rsidRPr="00EE51D9">
              <w:rPr>
                <w:bCs/>
                <w:color w:val="000000"/>
              </w:rPr>
              <w:t>150,000</w:t>
            </w:r>
          </w:p>
        </w:tc>
      </w:tr>
      <w:tr w:rsidR="0050196F" w:rsidRPr="00B6199F" w14:paraId="68C116A9" w14:textId="77777777" w:rsidTr="00DB5974">
        <w:tc>
          <w:tcPr>
            <w:tcW w:w="3402" w:type="dxa"/>
            <w:noWrap/>
          </w:tcPr>
          <w:p w14:paraId="591F09F3" w14:textId="77777777" w:rsidR="0050196F" w:rsidRPr="00EA2AB7" w:rsidRDefault="0050196F" w:rsidP="00EA2AB7">
            <w:pPr>
              <w:pStyle w:val="ARGrantstabletextbold"/>
            </w:pPr>
            <w:r w:rsidRPr="00307608">
              <w:t>Total</w:t>
            </w:r>
          </w:p>
        </w:tc>
        <w:tc>
          <w:tcPr>
            <w:tcW w:w="1187" w:type="dxa"/>
            <w:noWrap/>
          </w:tcPr>
          <w:p w14:paraId="16CD9B07" w14:textId="77777777" w:rsidR="0050196F" w:rsidRPr="00307608" w:rsidRDefault="0050196F" w:rsidP="00EA2AB7">
            <w:pPr>
              <w:pStyle w:val="ARGrantstabletextrightbold"/>
            </w:pPr>
            <w:r w:rsidRPr="00307608">
              <w:t>12,</w:t>
            </w:r>
            <w:r>
              <w:t>436</w:t>
            </w:r>
            <w:r w:rsidRPr="00307608">
              <w:t>,</w:t>
            </w:r>
            <w:r w:rsidRPr="00EA2AB7">
              <w:t>333</w:t>
            </w:r>
          </w:p>
        </w:tc>
      </w:tr>
    </w:tbl>
    <w:p w14:paraId="528F374C" w14:textId="6AA60E8A" w:rsidR="0050196F" w:rsidRPr="00F367BF" w:rsidRDefault="00D8290A" w:rsidP="00D8290A">
      <w:pPr>
        <w:pStyle w:val="Heading3Grants"/>
      </w:pPr>
      <w:r>
        <w:br w:type="column"/>
      </w:r>
      <w:r w:rsidR="0050196F" w:rsidRPr="00F367BF">
        <w:t xml:space="preserve">Support to Veterans in </w:t>
      </w:r>
      <w:r w:rsidR="0050196F" w:rsidRPr="00B21BD0">
        <w:t>Victoria</w:t>
      </w:r>
    </w:p>
    <w:tbl>
      <w:tblPr>
        <w:tblStyle w:val="DHARGrantstable"/>
        <w:tblW w:w="5000" w:type="pct"/>
        <w:tblLook w:val="06A0" w:firstRow="1" w:lastRow="0" w:firstColumn="1" w:lastColumn="0" w:noHBand="1" w:noVBand="1"/>
      </w:tblPr>
      <w:tblGrid>
        <w:gridCol w:w="3398"/>
        <w:gridCol w:w="1191"/>
      </w:tblGrid>
      <w:tr w:rsidR="0050196F" w:rsidRPr="00B6199F" w14:paraId="5232646B" w14:textId="77777777" w:rsidTr="00DB5974">
        <w:trPr>
          <w:cnfStyle w:val="100000000000" w:firstRow="1" w:lastRow="0" w:firstColumn="0" w:lastColumn="0" w:oddVBand="0" w:evenVBand="0" w:oddHBand="0" w:evenHBand="0" w:firstRowFirstColumn="0" w:firstRowLastColumn="0" w:lastRowFirstColumn="0" w:lastRowLastColumn="0"/>
        </w:trPr>
        <w:tc>
          <w:tcPr>
            <w:tcW w:w="3402" w:type="dxa"/>
            <w:noWrap/>
          </w:tcPr>
          <w:p w14:paraId="5B4939A5" w14:textId="77777777" w:rsidR="0050196F" w:rsidRPr="00E26EEC" w:rsidRDefault="0050196F" w:rsidP="00DB5974">
            <w:pPr>
              <w:pStyle w:val="ARGrantstablecolhead"/>
            </w:pPr>
            <w:r w:rsidRPr="00DB5974">
              <w:t>Organisation</w:t>
            </w:r>
          </w:p>
        </w:tc>
        <w:tc>
          <w:tcPr>
            <w:tcW w:w="1187" w:type="dxa"/>
            <w:noWrap/>
          </w:tcPr>
          <w:p w14:paraId="23356362" w14:textId="77777777" w:rsidR="0050196F" w:rsidRPr="00E26EEC" w:rsidRDefault="0050196F" w:rsidP="00DB5974">
            <w:pPr>
              <w:pStyle w:val="ARGrantstablecolheadright"/>
            </w:pPr>
            <w:r w:rsidRPr="00DB5974">
              <w:t>Payment</w:t>
            </w:r>
            <w:r w:rsidRPr="00E26EEC">
              <w:t xml:space="preserve"> ($)</w:t>
            </w:r>
          </w:p>
        </w:tc>
      </w:tr>
      <w:tr w:rsidR="0050196F" w:rsidRPr="00B6199F" w14:paraId="3D27DA0C" w14:textId="77777777" w:rsidTr="00DB5974">
        <w:tc>
          <w:tcPr>
            <w:tcW w:w="3402" w:type="dxa"/>
            <w:noWrap/>
          </w:tcPr>
          <w:p w14:paraId="72433116" w14:textId="21F80A4A" w:rsidR="0050196F" w:rsidRPr="00E26EEC" w:rsidRDefault="0050196F" w:rsidP="00B21BD0">
            <w:pPr>
              <w:pStyle w:val="ARGrantstabletext"/>
              <w:rPr>
                <w:bCs/>
                <w:color w:val="000000"/>
              </w:rPr>
            </w:pPr>
            <w:r w:rsidRPr="00E26EEC">
              <w:rPr>
                <w:bCs/>
                <w:color w:val="000000"/>
              </w:rPr>
              <w:t xml:space="preserve">2/14 Battalion Association </w:t>
            </w:r>
            <w:r w:rsidR="003B5B30">
              <w:rPr>
                <w:bCs/>
                <w:color w:val="000000"/>
              </w:rPr>
              <w:t>Inc</w:t>
            </w:r>
          </w:p>
        </w:tc>
        <w:tc>
          <w:tcPr>
            <w:tcW w:w="1187" w:type="dxa"/>
            <w:noWrap/>
          </w:tcPr>
          <w:p w14:paraId="16BF1F7E" w14:textId="77777777" w:rsidR="0050196F" w:rsidRPr="00E26EEC" w:rsidRDefault="0050196F" w:rsidP="00B21BD0">
            <w:pPr>
              <w:pStyle w:val="ARGrantstabletextright"/>
              <w:rPr>
                <w:bCs/>
                <w:color w:val="000000"/>
              </w:rPr>
            </w:pPr>
            <w:r w:rsidRPr="00E26EEC">
              <w:rPr>
                <w:bCs/>
                <w:color w:val="000000"/>
              </w:rPr>
              <w:t>2,500</w:t>
            </w:r>
          </w:p>
        </w:tc>
      </w:tr>
      <w:tr w:rsidR="0050196F" w:rsidRPr="00B6199F" w14:paraId="34CDF9B8" w14:textId="77777777" w:rsidTr="00DB5974">
        <w:tc>
          <w:tcPr>
            <w:tcW w:w="3402" w:type="dxa"/>
            <w:noWrap/>
          </w:tcPr>
          <w:p w14:paraId="3CE4DDD2" w14:textId="77777777" w:rsidR="0050196F" w:rsidRPr="00E26EEC" w:rsidRDefault="0050196F" w:rsidP="00B21BD0">
            <w:pPr>
              <w:pStyle w:val="ARGrantstabletext"/>
              <w:rPr>
                <w:bCs/>
                <w:color w:val="000000"/>
              </w:rPr>
            </w:pPr>
            <w:r w:rsidRPr="00E26EEC">
              <w:rPr>
                <w:bCs/>
                <w:color w:val="000000"/>
              </w:rPr>
              <w:t>3rd Cavalry Regiment (Vietnam) Association Inc</w:t>
            </w:r>
          </w:p>
        </w:tc>
        <w:tc>
          <w:tcPr>
            <w:tcW w:w="1187" w:type="dxa"/>
            <w:noWrap/>
          </w:tcPr>
          <w:p w14:paraId="331E8480" w14:textId="77777777" w:rsidR="0050196F" w:rsidRPr="00E26EEC" w:rsidRDefault="0050196F" w:rsidP="00B21BD0">
            <w:pPr>
              <w:pStyle w:val="ARGrantstabletextright"/>
              <w:rPr>
                <w:bCs/>
                <w:color w:val="000000"/>
              </w:rPr>
            </w:pPr>
            <w:r w:rsidRPr="00E26EEC">
              <w:rPr>
                <w:bCs/>
                <w:color w:val="000000"/>
              </w:rPr>
              <w:t>26,318</w:t>
            </w:r>
          </w:p>
        </w:tc>
      </w:tr>
      <w:tr w:rsidR="0050196F" w:rsidRPr="00B6199F" w14:paraId="679D2A33" w14:textId="77777777" w:rsidTr="00DB5974">
        <w:tc>
          <w:tcPr>
            <w:tcW w:w="3402" w:type="dxa"/>
            <w:noWrap/>
          </w:tcPr>
          <w:p w14:paraId="5CF1CBCD" w14:textId="77777777" w:rsidR="0050196F" w:rsidRPr="00E26EEC" w:rsidRDefault="0050196F" w:rsidP="00B21BD0">
            <w:pPr>
              <w:pStyle w:val="ARGrantstabletext"/>
              <w:rPr>
                <w:bCs/>
                <w:color w:val="000000"/>
              </w:rPr>
            </w:pPr>
            <w:r w:rsidRPr="00E26EEC">
              <w:rPr>
                <w:bCs/>
                <w:color w:val="000000"/>
              </w:rPr>
              <w:t>Adventure Works Australia Ltd</w:t>
            </w:r>
          </w:p>
        </w:tc>
        <w:tc>
          <w:tcPr>
            <w:tcW w:w="1187" w:type="dxa"/>
            <w:noWrap/>
          </w:tcPr>
          <w:p w14:paraId="43246E02" w14:textId="77777777" w:rsidR="0050196F" w:rsidRPr="00E26EEC" w:rsidRDefault="0050196F" w:rsidP="00B21BD0">
            <w:pPr>
              <w:pStyle w:val="ARGrantstabletextright"/>
              <w:rPr>
                <w:bCs/>
                <w:color w:val="000000"/>
              </w:rPr>
            </w:pPr>
            <w:r w:rsidRPr="00E26EEC">
              <w:rPr>
                <w:bCs/>
                <w:color w:val="000000"/>
              </w:rPr>
              <w:t>51,000</w:t>
            </w:r>
          </w:p>
        </w:tc>
      </w:tr>
      <w:tr w:rsidR="0050196F" w:rsidRPr="00B6199F" w14:paraId="4A541756" w14:textId="77777777" w:rsidTr="00DB5974">
        <w:tc>
          <w:tcPr>
            <w:tcW w:w="3402" w:type="dxa"/>
            <w:noWrap/>
          </w:tcPr>
          <w:p w14:paraId="1368E0D0" w14:textId="1C0BB037" w:rsidR="0050196F" w:rsidRPr="00E26EEC" w:rsidRDefault="0050196F" w:rsidP="00B21BD0">
            <w:pPr>
              <w:pStyle w:val="ARGrantstabletext"/>
              <w:rPr>
                <w:bCs/>
                <w:color w:val="000000"/>
              </w:rPr>
            </w:pPr>
            <w:r w:rsidRPr="00E26EEC">
              <w:rPr>
                <w:bCs/>
                <w:color w:val="000000"/>
              </w:rPr>
              <w:t xml:space="preserve">Air Force Association </w:t>
            </w:r>
            <w:r w:rsidR="00604894">
              <w:rPr>
                <w:bCs/>
                <w:color w:val="000000"/>
              </w:rPr>
              <w:t>–</w:t>
            </w:r>
            <w:r w:rsidRPr="00E26EEC">
              <w:rPr>
                <w:bCs/>
                <w:color w:val="000000"/>
              </w:rPr>
              <w:t xml:space="preserve"> Victoria</w:t>
            </w:r>
          </w:p>
        </w:tc>
        <w:tc>
          <w:tcPr>
            <w:tcW w:w="1187" w:type="dxa"/>
            <w:noWrap/>
          </w:tcPr>
          <w:p w14:paraId="39854FD3" w14:textId="77777777" w:rsidR="0050196F" w:rsidRPr="00E26EEC" w:rsidRDefault="0050196F" w:rsidP="00B21BD0">
            <w:pPr>
              <w:pStyle w:val="ARGrantstabletextright"/>
              <w:rPr>
                <w:bCs/>
                <w:color w:val="000000"/>
              </w:rPr>
            </w:pPr>
            <w:r w:rsidRPr="00E26EEC">
              <w:rPr>
                <w:bCs/>
                <w:color w:val="000000"/>
              </w:rPr>
              <w:t>10,000</w:t>
            </w:r>
          </w:p>
        </w:tc>
      </w:tr>
      <w:tr w:rsidR="0050196F" w:rsidRPr="00B6199F" w14:paraId="55763E84" w14:textId="77777777" w:rsidTr="00DB5974">
        <w:tc>
          <w:tcPr>
            <w:tcW w:w="3402" w:type="dxa"/>
            <w:noWrap/>
          </w:tcPr>
          <w:p w14:paraId="1710153D" w14:textId="77777777" w:rsidR="0050196F" w:rsidRPr="00E26EEC" w:rsidRDefault="0050196F" w:rsidP="00B21BD0">
            <w:pPr>
              <w:pStyle w:val="ARGrantstabletext"/>
              <w:rPr>
                <w:bCs/>
                <w:color w:val="000000"/>
              </w:rPr>
            </w:pPr>
            <w:r w:rsidRPr="00E26EEC">
              <w:rPr>
                <w:bCs/>
                <w:color w:val="000000"/>
              </w:rPr>
              <w:t>Ararat Legacy Inc</w:t>
            </w:r>
          </w:p>
        </w:tc>
        <w:tc>
          <w:tcPr>
            <w:tcW w:w="1187" w:type="dxa"/>
            <w:noWrap/>
          </w:tcPr>
          <w:p w14:paraId="5F0B7437" w14:textId="77777777" w:rsidR="0050196F" w:rsidRPr="00E26EEC" w:rsidRDefault="0050196F" w:rsidP="00B21BD0">
            <w:pPr>
              <w:pStyle w:val="ARGrantstabletextright"/>
              <w:rPr>
                <w:bCs/>
                <w:color w:val="000000"/>
              </w:rPr>
            </w:pPr>
            <w:r w:rsidRPr="00E26EEC">
              <w:rPr>
                <w:bCs/>
                <w:color w:val="000000"/>
              </w:rPr>
              <w:t>4,072</w:t>
            </w:r>
          </w:p>
        </w:tc>
      </w:tr>
      <w:tr w:rsidR="0050196F" w:rsidRPr="00B6199F" w14:paraId="7D09BDFF" w14:textId="77777777" w:rsidTr="00DB5974">
        <w:tc>
          <w:tcPr>
            <w:tcW w:w="3402" w:type="dxa"/>
            <w:noWrap/>
          </w:tcPr>
          <w:p w14:paraId="3449344E" w14:textId="77777777" w:rsidR="0050196F" w:rsidRPr="00E26EEC" w:rsidRDefault="0050196F" w:rsidP="00B21BD0">
            <w:pPr>
              <w:pStyle w:val="ARGrantstabletext"/>
              <w:rPr>
                <w:b/>
                <w:bCs/>
                <w:color w:val="000000"/>
              </w:rPr>
            </w:pPr>
            <w:r w:rsidRPr="00E26EEC">
              <w:rPr>
                <w:bCs/>
                <w:color w:val="000000"/>
              </w:rPr>
              <w:t>ATOMVic</w:t>
            </w:r>
          </w:p>
        </w:tc>
        <w:tc>
          <w:tcPr>
            <w:tcW w:w="1187" w:type="dxa"/>
            <w:noWrap/>
          </w:tcPr>
          <w:p w14:paraId="776872D1" w14:textId="77777777" w:rsidR="0050196F" w:rsidRPr="00E26EEC" w:rsidRDefault="0050196F" w:rsidP="00B21BD0">
            <w:pPr>
              <w:pStyle w:val="ARGrantstabletextright"/>
              <w:rPr>
                <w:bCs/>
                <w:color w:val="000000"/>
              </w:rPr>
            </w:pPr>
            <w:r w:rsidRPr="00E26EEC">
              <w:rPr>
                <w:bCs/>
                <w:color w:val="000000"/>
              </w:rPr>
              <w:t>30,000</w:t>
            </w:r>
          </w:p>
        </w:tc>
      </w:tr>
      <w:tr w:rsidR="0050196F" w:rsidRPr="00B6199F" w14:paraId="50016542" w14:textId="77777777" w:rsidTr="00DB5974">
        <w:tc>
          <w:tcPr>
            <w:tcW w:w="3402" w:type="dxa"/>
            <w:noWrap/>
          </w:tcPr>
          <w:p w14:paraId="79CAEC6C" w14:textId="77777777" w:rsidR="0050196F" w:rsidRPr="00E26EEC" w:rsidRDefault="0050196F" w:rsidP="00B21BD0">
            <w:pPr>
              <w:pStyle w:val="ARGrantstabletext"/>
              <w:rPr>
                <w:bCs/>
                <w:color w:val="000000"/>
              </w:rPr>
            </w:pPr>
            <w:r w:rsidRPr="00E26EEC">
              <w:rPr>
                <w:bCs/>
                <w:color w:val="000000"/>
              </w:rPr>
              <w:t>Australian Aircraft Restoration Group</w:t>
            </w:r>
          </w:p>
        </w:tc>
        <w:tc>
          <w:tcPr>
            <w:tcW w:w="1187" w:type="dxa"/>
            <w:noWrap/>
          </w:tcPr>
          <w:p w14:paraId="78DCF71F" w14:textId="77777777" w:rsidR="0050196F" w:rsidRPr="00E26EEC" w:rsidRDefault="0050196F" w:rsidP="00B21BD0">
            <w:pPr>
              <w:pStyle w:val="ARGrantstabletextright"/>
              <w:rPr>
                <w:bCs/>
                <w:color w:val="000000"/>
              </w:rPr>
            </w:pPr>
            <w:r w:rsidRPr="00E26EEC">
              <w:rPr>
                <w:bCs/>
                <w:color w:val="000000"/>
              </w:rPr>
              <w:t>3,855</w:t>
            </w:r>
          </w:p>
        </w:tc>
      </w:tr>
      <w:tr w:rsidR="0050196F" w:rsidRPr="00B6199F" w14:paraId="51008CCB" w14:textId="77777777" w:rsidTr="00DB5974">
        <w:tc>
          <w:tcPr>
            <w:tcW w:w="3402" w:type="dxa"/>
            <w:noWrap/>
          </w:tcPr>
          <w:p w14:paraId="60967EB3" w14:textId="77777777" w:rsidR="0050196F" w:rsidRPr="00E26EEC" w:rsidRDefault="0050196F" w:rsidP="00B21BD0">
            <w:pPr>
              <w:pStyle w:val="ARGrantstabletext"/>
              <w:rPr>
                <w:bCs/>
                <w:color w:val="000000"/>
              </w:rPr>
            </w:pPr>
            <w:r w:rsidRPr="00E26EEC">
              <w:rPr>
                <w:bCs/>
                <w:color w:val="000000"/>
              </w:rPr>
              <w:t>Australian Catholic University</w:t>
            </w:r>
          </w:p>
        </w:tc>
        <w:tc>
          <w:tcPr>
            <w:tcW w:w="1187" w:type="dxa"/>
            <w:noWrap/>
          </w:tcPr>
          <w:p w14:paraId="08877E2F" w14:textId="77777777" w:rsidR="0050196F" w:rsidRPr="00E26EEC" w:rsidRDefault="0050196F" w:rsidP="00B21BD0">
            <w:pPr>
              <w:pStyle w:val="ARGrantstabletextright"/>
              <w:rPr>
                <w:bCs/>
                <w:color w:val="000000"/>
              </w:rPr>
            </w:pPr>
            <w:r w:rsidRPr="00E26EEC">
              <w:rPr>
                <w:bCs/>
                <w:color w:val="000000"/>
              </w:rPr>
              <w:t>48,000</w:t>
            </w:r>
          </w:p>
        </w:tc>
      </w:tr>
      <w:tr w:rsidR="0050196F" w:rsidRPr="00B6199F" w14:paraId="19BF70A9" w14:textId="77777777" w:rsidTr="00DB5974">
        <w:tc>
          <w:tcPr>
            <w:tcW w:w="3402" w:type="dxa"/>
            <w:noWrap/>
          </w:tcPr>
          <w:p w14:paraId="1D2618AC" w14:textId="43AF8DED" w:rsidR="0050196F" w:rsidRPr="00E26EEC" w:rsidRDefault="0050196F" w:rsidP="00B21BD0">
            <w:pPr>
              <w:pStyle w:val="ARGrantstabletext"/>
              <w:rPr>
                <w:bCs/>
                <w:color w:val="000000"/>
              </w:rPr>
            </w:pPr>
            <w:r w:rsidRPr="00E26EEC">
              <w:rPr>
                <w:bCs/>
                <w:color w:val="000000"/>
              </w:rPr>
              <w:t>Australian Peacekeepers &amp; Peacemakers Veterans</w:t>
            </w:r>
            <w:r w:rsidR="00711AE6">
              <w:rPr>
                <w:bCs/>
                <w:color w:val="000000"/>
              </w:rPr>
              <w:t>’</w:t>
            </w:r>
            <w:r w:rsidRPr="00E26EEC">
              <w:rPr>
                <w:bCs/>
                <w:color w:val="000000"/>
              </w:rPr>
              <w:t xml:space="preserve"> Association Victorian Branch Inc</w:t>
            </w:r>
          </w:p>
        </w:tc>
        <w:tc>
          <w:tcPr>
            <w:tcW w:w="1187" w:type="dxa"/>
            <w:noWrap/>
          </w:tcPr>
          <w:p w14:paraId="598D388D" w14:textId="77777777" w:rsidR="0050196F" w:rsidRPr="00E26EEC" w:rsidRDefault="0050196F" w:rsidP="00B21BD0">
            <w:pPr>
              <w:pStyle w:val="ARGrantstabletextright"/>
              <w:rPr>
                <w:bCs/>
                <w:color w:val="000000"/>
              </w:rPr>
            </w:pPr>
            <w:r w:rsidRPr="00E26EEC">
              <w:rPr>
                <w:bCs/>
                <w:color w:val="000000"/>
              </w:rPr>
              <w:t>63,691</w:t>
            </w:r>
          </w:p>
        </w:tc>
      </w:tr>
      <w:tr w:rsidR="0050196F" w:rsidRPr="00B6199F" w14:paraId="1CBE1B02" w14:textId="77777777" w:rsidTr="00DB5974">
        <w:tc>
          <w:tcPr>
            <w:tcW w:w="3402" w:type="dxa"/>
            <w:noWrap/>
          </w:tcPr>
          <w:p w14:paraId="6051CB66" w14:textId="40E49D28" w:rsidR="0050196F" w:rsidRPr="00E26EEC" w:rsidRDefault="0050196F" w:rsidP="00B21BD0">
            <w:pPr>
              <w:pStyle w:val="ARGrantstabletext"/>
              <w:rPr>
                <w:bCs/>
                <w:color w:val="000000"/>
              </w:rPr>
            </w:pPr>
            <w:r w:rsidRPr="00E26EEC">
              <w:rPr>
                <w:bCs/>
                <w:color w:val="000000"/>
              </w:rPr>
              <w:t xml:space="preserve">Australians with Serbs Association </w:t>
            </w:r>
            <w:r w:rsidR="003B5B30">
              <w:rPr>
                <w:bCs/>
                <w:color w:val="000000"/>
              </w:rPr>
              <w:t>Inc</w:t>
            </w:r>
          </w:p>
        </w:tc>
        <w:tc>
          <w:tcPr>
            <w:tcW w:w="1187" w:type="dxa"/>
            <w:noWrap/>
          </w:tcPr>
          <w:p w14:paraId="3CF4F740" w14:textId="77777777" w:rsidR="0050196F" w:rsidRPr="00E26EEC" w:rsidRDefault="0050196F" w:rsidP="00B21BD0">
            <w:pPr>
              <w:pStyle w:val="ARGrantstabletextright"/>
              <w:rPr>
                <w:bCs/>
                <w:color w:val="000000"/>
              </w:rPr>
            </w:pPr>
            <w:r w:rsidRPr="00E26EEC">
              <w:rPr>
                <w:bCs/>
                <w:color w:val="000000"/>
              </w:rPr>
              <w:t>29,000</w:t>
            </w:r>
          </w:p>
        </w:tc>
      </w:tr>
      <w:tr w:rsidR="0050196F" w:rsidRPr="00B6199F" w14:paraId="7353A1D1" w14:textId="77777777" w:rsidTr="00DB5974">
        <w:tc>
          <w:tcPr>
            <w:tcW w:w="3402" w:type="dxa"/>
            <w:noWrap/>
          </w:tcPr>
          <w:p w14:paraId="441EDD84" w14:textId="77777777" w:rsidR="0050196F" w:rsidRPr="00E26EEC" w:rsidRDefault="0050196F" w:rsidP="00B21BD0">
            <w:pPr>
              <w:pStyle w:val="ARGrantstabletext"/>
              <w:rPr>
                <w:bCs/>
                <w:color w:val="000000"/>
              </w:rPr>
            </w:pPr>
            <w:r w:rsidRPr="00E26EEC">
              <w:rPr>
                <w:bCs/>
                <w:color w:val="000000"/>
              </w:rPr>
              <w:t>Bacchus Marsh RSL Sub-Branch</w:t>
            </w:r>
          </w:p>
        </w:tc>
        <w:tc>
          <w:tcPr>
            <w:tcW w:w="1187" w:type="dxa"/>
            <w:noWrap/>
          </w:tcPr>
          <w:p w14:paraId="6F24D6DC" w14:textId="77777777" w:rsidR="0050196F" w:rsidRPr="00E26EEC" w:rsidRDefault="0050196F" w:rsidP="00B21BD0">
            <w:pPr>
              <w:pStyle w:val="ARGrantstabletextright"/>
              <w:rPr>
                <w:bCs/>
                <w:color w:val="000000"/>
              </w:rPr>
            </w:pPr>
            <w:r w:rsidRPr="00E26EEC">
              <w:rPr>
                <w:bCs/>
                <w:color w:val="000000"/>
              </w:rPr>
              <w:t>2,000</w:t>
            </w:r>
          </w:p>
        </w:tc>
      </w:tr>
      <w:tr w:rsidR="0050196F" w:rsidRPr="00B6199F" w14:paraId="1BB2C326" w14:textId="77777777" w:rsidTr="00DB5974">
        <w:tc>
          <w:tcPr>
            <w:tcW w:w="3402" w:type="dxa"/>
            <w:noWrap/>
          </w:tcPr>
          <w:p w14:paraId="6A73BE58" w14:textId="77777777" w:rsidR="0050196F" w:rsidRPr="00E26EEC" w:rsidRDefault="0050196F" w:rsidP="00B21BD0">
            <w:pPr>
              <w:pStyle w:val="ARGrantstabletext"/>
              <w:rPr>
                <w:bCs/>
                <w:color w:val="000000"/>
              </w:rPr>
            </w:pPr>
            <w:r w:rsidRPr="00E26EEC">
              <w:rPr>
                <w:bCs/>
                <w:color w:val="000000"/>
              </w:rPr>
              <w:t>Ballan RSL Sub-Branch</w:t>
            </w:r>
          </w:p>
        </w:tc>
        <w:tc>
          <w:tcPr>
            <w:tcW w:w="1187" w:type="dxa"/>
            <w:noWrap/>
          </w:tcPr>
          <w:p w14:paraId="755A13B3" w14:textId="77777777" w:rsidR="0050196F" w:rsidRPr="00E26EEC" w:rsidRDefault="0050196F" w:rsidP="00B21BD0">
            <w:pPr>
              <w:pStyle w:val="ARGrantstabletextright"/>
              <w:rPr>
                <w:bCs/>
                <w:color w:val="000000"/>
              </w:rPr>
            </w:pPr>
            <w:r w:rsidRPr="00E26EEC">
              <w:rPr>
                <w:bCs/>
                <w:color w:val="000000"/>
              </w:rPr>
              <w:t>29,675</w:t>
            </w:r>
          </w:p>
        </w:tc>
      </w:tr>
      <w:tr w:rsidR="0050196F" w:rsidRPr="00B6199F" w14:paraId="29D012AA" w14:textId="77777777" w:rsidTr="00DB5974">
        <w:tc>
          <w:tcPr>
            <w:tcW w:w="3402" w:type="dxa"/>
            <w:noWrap/>
          </w:tcPr>
          <w:p w14:paraId="33F54BDE" w14:textId="77777777" w:rsidR="0050196F" w:rsidRPr="00E26EEC" w:rsidRDefault="0050196F" w:rsidP="00B21BD0">
            <w:pPr>
              <w:pStyle w:val="ARGrantstabletext"/>
              <w:rPr>
                <w:bCs/>
                <w:color w:val="000000"/>
              </w:rPr>
            </w:pPr>
            <w:r w:rsidRPr="00E26EEC">
              <w:rPr>
                <w:bCs/>
                <w:color w:val="000000"/>
              </w:rPr>
              <w:t>Ballarat RSL Sub-Branch Inc</w:t>
            </w:r>
          </w:p>
        </w:tc>
        <w:tc>
          <w:tcPr>
            <w:tcW w:w="1187" w:type="dxa"/>
            <w:noWrap/>
          </w:tcPr>
          <w:p w14:paraId="646C4CED" w14:textId="77777777" w:rsidR="0050196F" w:rsidRPr="00E26EEC" w:rsidRDefault="0050196F" w:rsidP="00B21BD0">
            <w:pPr>
              <w:pStyle w:val="ARGrantstabletextright"/>
              <w:rPr>
                <w:bCs/>
                <w:color w:val="000000"/>
              </w:rPr>
            </w:pPr>
            <w:r w:rsidRPr="00E26EEC">
              <w:rPr>
                <w:bCs/>
                <w:color w:val="000000"/>
              </w:rPr>
              <w:t>12,000</w:t>
            </w:r>
          </w:p>
        </w:tc>
      </w:tr>
      <w:tr w:rsidR="0050196F" w:rsidRPr="00B6199F" w14:paraId="23B00034" w14:textId="77777777" w:rsidTr="00DB5974">
        <w:tc>
          <w:tcPr>
            <w:tcW w:w="3402" w:type="dxa"/>
            <w:noWrap/>
          </w:tcPr>
          <w:p w14:paraId="2E68D32F" w14:textId="77777777" w:rsidR="0050196F" w:rsidRPr="00E26EEC" w:rsidRDefault="0050196F" w:rsidP="00B21BD0">
            <w:pPr>
              <w:pStyle w:val="ARGrantstabletext"/>
              <w:rPr>
                <w:bCs/>
                <w:color w:val="000000"/>
              </w:rPr>
            </w:pPr>
            <w:r w:rsidRPr="00E26EEC">
              <w:rPr>
                <w:bCs/>
                <w:color w:val="000000"/>
              </w:rPr>
              <w:t>Ballarat Veterans Assistance Centre</w:t>
            </w:r>
          </w:p>
        </w:tc>
        <w:tc>
          <w:tcPr>
            <w:tcW w:w="1187" w:type="dxa"/>
            <w:noWrap/>
          </w:tcPr>
          <w:p w14:paraId="067A7A3C" w14:textId="77777777" w:rsidR="0050196F" w:rsidRPr="00E26EEC" w:rsidRDefault="0050196F" w:rsidP="00B21BD0">
            <w:pPr>
              <w:pStyle w:val="ARGrantstabletextright"/>
              <w:rPr>
                <w:bCs/>
                <w:color w:val="000000"/>
              </w:rPr>
            </w:pPr>
            <w:r w:rsidRPr="00E26EEC">
              <w:rPr>
                <w:bCs/>
                <w:color w:val="000000"/>
              </w:rPr>
              <w:t>21,200</w:t>
            </w:r>
          </w:p>
        </w:tc>
      </w:tr>
      <w:tr w:rsidR="0050196F" w:rsidRPr="00B6199F" w14:paraId="7EA523A7" w14:textId="77777777" w:rsidTr="00DB5974">
        <w:tc>
          <w:tcPr>
            <w:tcW w:w="3402" w:type="dxa"/>
            <w:noWrap/>
          </w:tcPr>
          <w:p w14:paraId="32048B68" w14:textId="77777777" w:rsidR="0050196F" w:rsidRPr="00E26EEC" w:rsidRDefault="0050196F" w:rsidP="00B21BD0">
            <w:pPr>
              <w:pStyle w:val="ARGrantstabletext"/>
              <w:rPr>
                <w:bCs/>
                <w:color w:val="000000"/>
              </w:rPr>
            </w:pPr>
            <w:r w:rsidRPr="00E26EEC">
              <w:rPr>
                <w:bCs/>
                <w:color w:val="000000"/>
              </w:rPr>
              <w:t>Bass Valley Lions Club International</w:t>
            </w:r>
          </w:p>
        </w:tc>
        <w:tc>
          <w:tcPr>
            <w:tcW w:w="1187" w:type="dxa"/>
            <w:noWrap/>
          </w:tcPr>
          <w:p w14:paraId="7364D751" w14:textId="77777777" w:rsidR="0050196F" w:rsidRPr="00E26EEC" w:rsidRDefault="0050196F" w:rsidP="00B21BD0">
            <w:pPr>
              <w:pStyle w:val="ARGrantstabletextright"/>
              <w:rPr>
                <w:bCs/>
                <w:color w:val="000000"/>
              </w:rPr>
            </w:pPr>
            <w:r w:rsidRPr="00E26EEC">
              <w:rPr>
                <w:bCs/>
                <w:color w:val="000000"/>
              </w:rPr>
              <w:t>30,000</w:t>
            </w:r>
          </w:p>
        </w:tc>
      </w:tr>
      <w:tr w:rsidR="0050196F" w:rsidRPr="00B6199F" w14:paraId="5E00BD82" w14:textId="77777777" w:rsidTr="00DB5974">
        <w:tc>
          <w:tcPr>
            <w:tcW w:w="3402" w:type="dxa"/>
            <w:noWrap/>
          </w:tcPr>
          <w:p w14:paraId="2055A6CB" w14:textId="77777777" w:rsidR="0050196F" w:rsidRPr="00E26EEC" w:rsidRDefault="0050196F" w:rsidP="00B21BD0">
            <w:pPr>
              <w:pStyle w:val="ARGrantstabletext"/>
              <w:rPr>
                <w:bCs/>
                <w:color w:val="000000"/>
              </w:rPr>
            </w:pPr>
            <w:r w:rsidRPr="00E26EEC">
              <w:rPr>
                <w:bCs/>
                <w:color w:val="000000"/>
              </w:rPr>
              <w:t>Boroondara City Council</w:t>
            </w:r>
          </w:p>
        </w:tc>
        <w:tc>
          <w:tcPr>
            <w:tcW w:w="1187" w:type="dxa"/>
            <w:noWrap/>
          </w:tcPr>
          <w:p w14:paraId="10EC8D98" w14:textId="77777777" w:rsidR="0050196F" w:rsidRPr="00E26EEC" w:rsidRDefault="0050196F" w:rsidP="00B21BD0">
            <w:pPr>
              <w:pStyle w:val="ARGrantstabletextright"/>
              <w:rPr>
                <w:bCs/>
                <w:color w:val="000000"/>
              </w:rPr>
            </w:pPr>
            <w:r w:rsidRPr="00E26EEC">
              <w:rPr>
                <w:bCs/>
                <w:color w:val="000000"/>
              </w:rPr>
              <w:t>7,400</w:t>
            </w:r>
          </w:p>
        </w:tc>
      </w:tr>
      <w:tr w:rsidR="0050196F" w:rsidRPr="00B6199F" w14:paraId="5C56D8A3" w14:textId="77777777" w:rsidTr="00DB5974">
        <w:tc>
          <w:tcPr>
            <w:tcW w:w="3402" w:type="dxa"/>
            <w:noWrap/>
          </w:tcPr>
          <w:p w14:paraId="5D731465" w14:textId="77777777" w:rsidR="0050196F" w:rsidRPr="00E26EEC" w:rsidRDefault="0050196F" w:rsidP="00B21BD0">
            <w:pPr>
              <w:pStyle w:val="ARGrantstabletext"/>
              <w:rPr>
                <w:bCs/>
                <w:color w:val="000000"/>
              </w:rPr>
            </w:pPr>
            <w:r w:rsidRPr="00E26EEC">
              <w:rPr>
                <w:bCs/>
                <w:color w:val="000000"/>
              </w:rPr>
              <w:t>Borough of Queenscliffe</w:t>
            </w:r>
          </w:p>
        </w:tc>
        <w:tc>
          <w:tcPr>
            <w:tcW w:w="1187" w:type="dxa"/>
            <w:noWrap/>
          </w:tcPr>
          <w:p w14:paraId="22E23D50" w14:textId="77777777" w:rsidR="0050196F" w:rsidRPr="00E26EEC" w:rsidRDefault="0050196F" w:rsidP="00B21BD0">
            <w:pPr>
              <w:pStyle w:val="ARGrantstabletextright"/>
              <w:rPr>
                <w:bCs/>
                <w:color w:val="000000"/>
              </w:rPr>
            </w:pPr>
            <w:r w:rsidRPr="00E26EEC">
              <w:rPr>
                <w:bCs/>
                <w:color w:val="000000"/>
              </w:rPr>
              <w:t>23,528</w:t>
            </w:r>
          </w:p>
        </w:tc>
      </w:tr>
      <w:tr w:rsidR="0050196F" w:rsidRPr="00B6199F" w14:paraId="1AFD88DD" w14:textId="77777777" w:rsidTr="00DB5974">
        <w:tc>
          <w:tcPr>
            <w:tcW w:w="3402" w:type="dxa"/>
            <w:noWrap/>
          </w:tcPr>
          <w:p w14:paraId="0AC1D65C" w14:textId="77777777" w:rsidR="0050196F" w:rsidRPr="00E26EEC" w:rsidRDefault="0050196F" w:rsidP="00B21BD0">
            <w:pPr>
              <w:pStyle w:val="ARGrantstabletext"/>
              <w:rPr>
                <w:b/>
                <w:bCs/>
                <w:color w:val="000000"/>
              </w:rPr>
            </w:pPr>
            <w:r w:rsidRPr="00E26EEC">
              <w:rPr>
                <w:bCs/>
                <w:color w:val="000000"/>
              </w:rPr>
              <w:t>Briagolong RSL Sub-Branch</w:t>
            </w:r>
          </w:p>
        </w:tc>
        <w:tc>
          <w:tcPr>
            <w:tcW w:w="1187" w:type="dxa"/>
            <w:noWrap/>
          </w:tcPr>
          <w:p w14:paraId="4949458A" w14:textId="77777777" w:rsidR="0050196F" w:rsidRPr="00E26EEC" w:rsidRDefault="0050196F" w:rsidP="00B21BD0">
            <w:pPr>
              <w:pStyle w:val="ARGrantstabletextright"/>
              <w:rPr>
                <w:b/>
                <w:bCs/>
                <w:color w:val="000000"/>
              </w:rPr>
            </w:pPr>
            <w:r w:rsidRPr="00E26EEC">
              <w:rPr>
                <w:bCs/>
                <w:color w:val="000000"/>
              </w:rPr>
              <w:t>18,135</w:t>
            </w:r>
          </w:p>
        </w:tc>
      </w:tr>
      <w:tr w:rsidR="0050196F" w:rsidRPr="00B6199F" w14:paraId="78C764DE" w14:textId="77777777" w:rsidTr="00DB5974">
        <w:tc>
          <w:tcPr>
            <w:tcW w:w="3402" w:type="dxa"/>
            <w:noWrap/>
          </w:tcPr>
          <w:p w14:paraId="0B7855F0" w14:textId="77777777" w:rsidR="0050196F" w:rsidRPr="00E26EEC" w:rsidRDefault="0050196F" w:rsidP="00B21BD0">
            <w:pPr>
              <w:pStyle w:val="ARGrantstabletext"/>
              <w:rPr>
                <w:b/>
                <w:bCs/>
                <w:color w:val="000000"/>
              </w:rPr>
            </w:pPr>
            <w:r w:rsidRPr="00E26EEC">
              <w:rPr>
                <w:bCs/>
                <w:color w:val="000000"/>
              </w:rPr>
              <w:t>Broadford RSL Sub-Branch</w:t>
            </w:r>
          </w:p>
        </w:tc>
        <w:tc>
          <w:tcPr>
            <w:tcW w:w="1187" w:type="dxa"/>
            <w:noWrap/>
          </w:tcPr>
          <w:p w14:paraId="22858EE3" w14:textId="77777777" w:rsidR="0050196F" w:rsidRPr="00E26EEC" w:rsidRDefault="0050196F" w:rsidP="00B21BD0">
            <w:pPr>
              <w:pStyle w:val="ARGrantstabletextright"/>
              <w:rPr>
                <w:b/>
                <w:bCs/>
                <w:color w:val="000000"/>
              </w:rPr>
            </w:pPr>
            <w:r w:rsidRPr="00E26EEC">
              <w:rPr>
                <w:bCs/>
                <w:color w:val="000000"/>
              </w:rPr>
              <w:t>17,863</w:t>
            </w:r>
          </w:p>
        </w:tc>
      </w:tr>
      <w:tr w:rsidR="0050196F" w:rsidRPr="00B6199F" w14:paraId="61D0E75A" w14:textId="77777777" w:rsidTr="00DB5974">
        <w:tc>
          <w:tcPr>
            <w:tcW w:w="3402" w:type="dxa"/>
            <w:noWrap/>
          </w:tcPr>
          <w:p w14:paraId="147580A7" w14:textId="77777777" w:rsidR="0050196F" w:rsidRPr="00E26EEC" w:rsidRDefault="0050196F" w:rsidP="00B21BD0">
            <w:pPr>
              <w:pStyle w:val="ARGrantstabletext"/>
              <w:rPr>
                <w:b/>
                <w:bCs/>
                <w:color w:val="000000"/>
              </w:rPr>
            </w:pPr>
            <w:r w:rsidRPr="00E26EEC">
              <w:rPr>
                <w:bCs/>
                <w:color w:val="000000"/>
              </w:rPr>
              <w:t>Buchan South Avenue of Honour</w:t>
            </w:r>
          </w:p>
        </w:tc>
        <w:tc>
          <w:tcPr>
            <w:tcW w:w="1187" w:type="dxa"/>
            <w:noWrap/>
          </w:tcPr>
          <w:p w14:paraId="7AD53EA3" w14:textId="77777777" w:rsidR="0050196F" w:rsidRPr="00E26EEC" w:rsidRDefault="0050196F" w:rsidP="00B21BD0">
            <w:pPr>
              <w:pStyle w:val="ARGrantstabletextright"/>
              <w:rPr>
                <w:b/>
                <w:bCs/>
                <w:color w:val="000000"/>
              </w:rPr>
            </w:pPr>
            <w:r w:rsidRPr="00E26EEC">
              <w:rPr>
                <w:bCs/>
                <w:color w:val="000000"/>
              </w:rPr>
              <w:t>18,344</w:t>
            </w:r>
          </w:p>
        </w:tc>
      </w:tr>
      <w:tr w:rsidR="0050196F" w:rsidRPr="00B6199F" w14:paraId="6C2CF7D3" w14:textId="77777777" w:rsidTr="00DB5974">
        <w:tc>
          <w:tcPr>
            <w:tcW w:w="3402" w:type="dxa"/>
            <w:noWrap/>
          </w:tcPr>
          <w:p w14:paraId="26485684" w14:textId="77777777" w:rsidR="0050196F" w:rsidRPr="00E26EEC" w:rsidRDefault="0050196F" w:rsidP="00B21BD0">
            <w:pPr>
              <w:pStyle w:val="ARGrantstabletext"/>
              <w:rPr>
                <w:b/>
                <w:bCs/>
                <w:color w:val="000000"/>
              </w:rPr>
            </w:pPr>
            <w:r w:rsidRPr="00E26EEC">
              <w:rPr>
                <w:bCs/>
                <w:color w:val="000000"/>
              </w:rPr>
              <w:t>Carry On (Victoria)</w:t>
            </w:r>
          </w:p>
        </w:tc>
        <w:tc>
          <w:tcPr>
            <w:tcW w:w="1187" w:type="dxa"/>
            <w:noWrap/>
          </w:tcPr>
          <w:p w14:paraId="402BD23B" w14:textId="77777777" w:rsidR="0050196F" w:rsidRPr="00E26EEC" w:rsidRDefault="0050196F" w:rsidP="00B21BD0">
            <w:pPr>
              <w:pStyle w:val="ARGrantstabletextright"/>
              <w:rPr>
                <w:b/>
                <w:bCs/>
                <w:color w:val="000000"/>
              </w:rPr>
            </w:pPr>
            <w:r w:rsidRPr="00E26EEC">
              <w:rPr>
                <w:bCs/>
                <w:color w:val="000000"/>
              </w:rPr>
              <w:t>180,161</w:t>
            </w:r>
          </w:p>
        </w:tc>
      </w:tr>
      <w:tr w:rsidR="0050196F" w:rsidRPr="00B6199F" w14:paraId="62586AA3" w14:textId="77777777" w:rsidTr="00DB5974">
        <w:tc>
          <w:tcPr>
            <w:tcW w:w="3402" w:type="dxa"/>
            <w:noWrap/>
          </w:tcPr>
          <w:p w14:paraId="142C440E" w14:textId="77777777" w:rsidR="0050196F" w:rsidRPr="00E26EEC" w:rsidRDefault="0050196F" w:rsidP="00B21BD0">
            <w:pPr>
              <w:pStyle w:val="ARGrantstabletext"/>
              <w:rPr>
                <w:b/>
                <w:bCs/>
                <w:color w:val="000000"/>
              </w:rPr>
            </w:pPr>
            <w:r w:rsidRPr="00E26EEC">
              <w:rPr>
                <w:bCs/>
                <w:color w:val="000000"/>
              </w:rPr>
              <w:t>City of Greater Dandenong</w:t>
            </w:r>
          </w:p>
        </w:tc>
        <w:tc>
          <w:tcPr>
            <w:tcW w:w="1187" w:type="dxa"/>
            <w:noWrap/>
          </w:tcPr>
          <w:p w14:paraId="013B7DDE" w14:textId="77777777" w:rsidR="0050196F" w:rsidRPr="00E26EEC" w:rsidRDefault="0050196F" w:rsidP="00B21BD0">
            <w:pPr>
              <w:pStyle w:val="ARGrantstabletextright"/>
              <w:rPr>
                <w:b/>
                <w:bCs/>
                <w:color w:val="000000"/>
              </w:rPr>
            </w:pPr>
            <w:r w:rsidRPr="00E26EEC">
              <w:rPr>
                <w:bCs/>
                <w:color w:val="000000"/>
              </w:rPr>
              <w:t>9,860</w:t>
            </w:r>
          </w:p>
        </w:tc>
      </w:tr>
      <w:tr w:rsidR="0050196F" w:rsidRPr="00B6199F" w14:paraId="7FBBB743" w14:textId="77777777" w:rsidTr="00DB5974">
        <w:tc>
          <w:tcPr>
            <w:tcW w:w="3402" w:type="dxa"/>
            <w:noWrap/>
          </w:tcPr>
          <w:p w14:paraId="74FFE9DF" w14:textId="1D6DDC21" w:rsidR="0050196F" w:rsidRPr="00E26EEC" w:rsidRDefault="0050196F" w:rsidP="00B21BD0">
            <w:pPr>
              <w:pStyle w:val="ARGrantstabletext"/>
              <w:rPr>
                <w:b/>
                <w:bCs/>
                <w:color w:val="000000"/>
              </w:rPr>
            </w:pPr>
            <w:r w:rsidRPr="00E26EEC">
              <w:rPr>
                <w:bCs/>
                <w:color w:val="000000"/>
              </w:rPr>
              <w:t xml:space="preserve">Committee 4 Warrenheip </w:t>
            </w:r>
            <w:r w:rsidR="003B5B30">
              <w:rPr>
                <w:bCs/>
                <w:color w:val="000000"/>
              </w:rPr>
              <w:t>Inc</w:t>
            </w:r>
          </w:p>
        </w:tc>
        <w:tc>
          <w:tcPr>
            <w:tcW w:w="1187" w:type="dxa"/>
            <w:noWrap/>
          </w:tcPr>
          <w:p w14:paraId="18BC0294" w14:textId="77777777" w:rsidR="0050196F" w:rsidRPr="00E26EEC" w:rsidRDefault="0050196F" w:rsidP="00B21BD0">
            <w:pPr>
              <w:pStyle w:val="ARGrantstabletextright"/>
              <w:rPr>
                <w:b/>
                <w:bCs/>
                <w:color w:val="000000"/>
              </w:rPr>
            </w:pPr>
            <w:r w:rsidRPr="00E26EEC">
              <w:rPr>
                <w:bCs/>
                <w:color w:val="000000"/>
              </w:rPr>
              <w:t>3,836</w:t>
            </w:r>
          </w:p>
        </w:tc>
      </w:tr>
      <w:tr w:rsidR="0050196F" w:rsidRPr="00B6199F" w14:paraId="13B6DFA6" w14:textId="77777777" w:rsidTr="00DB5974">
        <w:tc>
          <w:tcPr>
            <w:tcW w:w="3402" w:type="dxa"/>
            <w:noWrap/>
          </w:tcPr>
          <w:p w14:paraId="5F727AD3" w14:textId="77777777" w:rsidR="0050196F" w:rsidRPr="00E26EEC" w:rsidRDefault="0050196F" w:rsidP="00B21BD0">
            <w:pPr>
              <w:pStyle w:val="ARGrantstabletext"/>
              <w:rPr>
                <w:b/>
                <w:bCs/>
                <w:color w:val="000000"/>
              </w:rPr>
            </w:pPr>
            <w:r w:rsidRPr="00E26EEC">
              <w:rPr>
                <w:bCs/>
                <w:color w:val="000000"/>
              </w:rPr>
              <w:t>Cretan Federation of Australia and New Zealand</w:t>
            </w:r>
          </w:p>
        </w:tc>
        <w:tc>
          <w:tcPr>
            <w:tcW w:w="1187" w:type="dxa"/>
            <w:noWrap/>
          </w:tcPr>
          <w:p w14:paraId="45DEE9A9" w14:textId="77777777" w:rsidR="0050196F" w:rsidRPr="00E26EEC" w:rsidRDefault="0050196F" w:rsidP="00B21BD0">
            <w:pPr>
              <w:pStyle w:val="ARGrantstabletextright"/>
              <w:rPr>
                <w:b/>
                <w:bCs/>
                <w:color w:val="000000"/>
              </w:rPr>
            </w:pPr>
            <w:r w:rsidRPr="00E26EEC">
              <w:rPr>
                <w:bCs/>
                <w:color w:val="000000"/>
              </w:rPr>
              <w:t>15,000</w:t>
            </w:r>
          </w:p>
        </w:tc>
      </w:tr>
      <w:tr w:rsidR="0050196F" w:rsidRPr="00B6199F" w14:paraId="72CE4B10" w14:textId="77777777" w:rsidTr="00DB5974">
        <w:tc>
          <w:tcPr>
            <w:tcW w:w="3402" w:type="dxa"/>
            <w:noWrap/>
          </w:tcPr>
          <w:p w14:paraId="69AEA251" w14:textId="77777777" w:rsidR="0050196F" w:rsidRPr="00E26EEC" w:rsidRDefault="0050196F" w:rsidP="00B21BD0">
            <w:pPr>
              <w:pStyle w:val="ARGrantstabletext"/>
              <w:rPr>
                <w:b/>
                <w:bCs/>
                <w:color w:val="000000"/>
              </w:rPr>
            </w:pPr>
            <w:r w:rsidRPr="00E26EEC">
              <w:rPr>
                <w:bCs/>
                <w:color w:val="000000"/>
              </w:rPr>
              <w:t>Emerald RSL Sub-Branch</w:t>
            </w:r>
          </w:p>
        </w:tc>
        <w:tc>
          <w:tcPr>
            <w:tcW w:w="1187" w:type="dxa"/>
            <w:noWrap/>
          </w:tcPr>
          <w:p w14:paraId="6B95F469" w14:textId="77777777" w:rsidR="0050196F" w:rsidRPr="00E26EEC" w:rsidRDefault="0050196F" w:rsidP="00B21BD0">
            <w:pPr>
              <w:pStyle w:val="ARGrantstabletextright"/>
              <w:rPr>
                <w:b/>
                <w:bCs/>
                <w:color w:val="000000"/>
              </w:rPr>
            </w:pPr>
            <w:r w:rsidRPr="00E26EEC">
              <w:rPr>
                <w:bCs/>
                <w:color w:val="000000"/>
              </w:rPr>
              <w:t>46,139</w:t>
            </w:r>
          </w:p>
        </w:tc>
      </w:tr>
      <w:tr w:rsidR="0050196F" w:rsidRPr="00B6199F" w14:paraId="2A75F597" w14:textId="77777777" w:rsidTr="00DB5974">
        <w:tc>
          <w:tcPr>
            <w:tcW w:w="3402" w:type="dxa"/>
            <w:noWrap/>
          </w:tcPr>
          <w:p w14:paraId="6F22ACCE" w14:textId="0773F458" w:rsidR="0050196F" w:rsidRPr="00E26EEC" w:rsidRDefault="0050196F" w:rsidP="00B21BD0">
            <w:pPr>
              <w:pStyle w:val="ARGrantstabletext"/>
              <w:rPr>
                <w:b/>
                <w:bCs/>
                <w:color w:val="000000"/>
              </w:rPr>
            </w:pPr>
            <w:r w:rsidRPr="00E26EEC">
              <w:rPr>
                <w:bCs/>
                <w:color w:val="000000"/>
              </w:rPr>
              <w:t xml:space="preserve">Frankston Naval Memorial Club </w:t>
            </w:r>
            <w:r w:rsidR="00604894">
              <w:rPr>
                <w:b/>
                <w:bCs/>
                <w:color w:val="000000"/>
              </w:rPr>
              <w:br/>
            </w:r>
            <w:r w:rsidRPr="00E26EEC">
              <w:rPr>
                <w:bCs/>
                <w:color w:val="000000"/>
              </w:rPr>
              <w:t>(Non-For-Profit)</w:t>
            </w:r>
          </w:p>
        </w:tc>
        <w:tc>
          <w:tcPr>
            <w:tcW w:w="1187" w:type="dxa"/>
            <w:noWrap/>
          </w:tcPr>
          <w:p w14:paraId="204C4EC1" w14:textId="77777777" w:rsidR="0050196F" w:rsidRPr="00E26EEC" w:rsidRDefault="0050196F" w:rsidP="00B21BD0">
            <w:pPr>
              <w:pStyle w:val="ARGrantstabletextright"/>
              <w:rPr>
                <w:b/>
                <w:bCs/>
                <w:color w:val="000000"/>
              </w:rPr>
            </w:pPr>
            <w:r w:rsidRPr="00E26EEC">
              <w:rPr>
                <w:bCs/>
                <w:color w:val="000000"/>
              </w:rPr>
              <w:t>47,667</w:t>
            </w:r>
          </w:p>
        </w:tc>
      </w:tr>
      <w:tr w:rsidR="0050196F" w:rsidRPr="00B6199F" w14:paraId="51CDFF8C" w14:textId="77777777" w:rsidTr="00DB5974">
        <w:tc>
          <w:tcPr>
            <w:tcW w:w="3402" w:type="dxa"/>
            <w:noWrap/>
          </w:tcPr>
          <w:p w14:paraId="0A5B7388" w14:textId="07431ADC" w:rsidR="0050196F" w:rsidRPr="00E26EEC" w:rsidRDefault="0050196F" w:rsidP="00B21BD0">
            <w:pPr>
              <w:pStyle w:val="ARGrantstabletext"/>
              <w:rPr>
                <w:b/>
                <w:bCs/>
                <w:color w:val="000000"/>
              </w:rPr>
            </w:pPr>
            <w:r w:rsidRPr="00E26EEC">
              <w:rPr>
                <w:bCs/>
                <w:color w:val="000000"/>
              </w:rPr>
              <w:t>Geelong TPI Welfare And Social Club</w:t>
            </w:r>
            <w:r w:rsidR="00DB5974">
              <w:rPr>
                <w:bCs/>
                <w:color w:val="000000"/>
              </w:rPr>
              <w:t> </w:t>
            </w:r>
            <w:r w:rsidRPr="00E26EEC">
              <w:rPr>
                <w:bCs/>
                <w:color w:val="000000"/>
              </w:rPr>
              <w:t>Inc</w:t>
            </w:r>
          </w:p>
        </w:tc>
        <w:tc>
          <w:tcPr>
            <w:tcW w:w="1187" w:type="dxa"/>
            <w:noWrap/>
          </w:tcPr>
          <w:p w14:paraId="716BDB6E" w14:textId="77777777" w:rsidR="0050196F" w:rsidRPr="00E26EEC" w:rsidRDefault="0050196F" w:rsidP="00B21BD0">
            <w:pPr>
              <w:pStyle w:val="ARGrantstabletextright"/>
              <w:rPr>
                <w:b/>
                <w:bCs/>
                <w:color w:val="000000"/>
              </w:rPr>
            </w:pPr>
            <w:r w:rsidRPr="00E26EEC">
              <w:rPr>
                <w:bCs/>
                <w:color w:val="000000"/>
              </w:rPr>
              <w:t>10,000</w:t>
            </w:r>
          </w:p>
        </w:tc>
      </w:tr>
      <w:tr w:rsidR="0050196F" w:rsidRPr="00B6199F" w14:paraId="1455B3FF" w14:textId="77777777" w:rsidTr="00DB5974">
        <w:tc>
          <w:tcPr>
            <w:tcW w:w="3402" w:type="dxa"/>
            <w:noWrap/>
          </w:tcPr>
          <w:p w14:paraId="66D18FF9" w14:textId="77777777" w:rsidR="0050196F" w:rsidRPr="00E26EEC" w:rsidRDefault="0050196F" w:rsidP="00B21BD0">
            <w:pPr>
              <w:pStyle w:val="ARGrantstabletext"/>
              <w:rPr>
                <w:b/>
                <w:bCs/>
                <w:color w:val="000000"/>
              </w:rPr>
            </w:pPr>
            <w:r w:rsidRPr="00E26EEC">
              <w:rPr>
                <w:bCs/>
                <w:color w:val="000000"/>
              </w:rPr>
              <w:t>Gembrook RSL Sub-Branch</w:t>
            </w:r>
          </w:p>
        </w:tc>
        <w:tc>
          <w:tcPr>
            <w:tcW w:w="1187" w:type="dxa"/>
            <w:noWrap/>
          </w:tcPr>
          <w:p w14:paraId="108D35CD" w14:textId="77777777" w:rsidR="0050196F" w:rsidRPr="00E26EEC" w:rsidRDefault="0050196F" w:rsidP="00B21BD0">
            <w:pPr>
              <w:pStyle w:val="ARGrantstabletextright"/>
              <w:rPr>
                <w:b/>
                <w:bCs/>
                <w:color w:val="000000"/>
              </w:rPr>
            </w:pPr>
            <w:r w:rsidRPr="00E26EEC">
              <w:rPr>
                <w:bCs/>
                <w:color w:val="000000"/>
              </w:rPr>
              <w:t>5,000</w:t>
            </w:r>
          </w:p>
        </w:tc>
      </w:tr>
      <w:tr w:rsidR="0050196F" w:rsidRPr="00B6199F" w14:paraId="5145E768" w14:textId="77777777" w:rsidTr="00DB5974">
        <w:tc>
          <w:tcPr>
            <w:tcW w:w="3402" w:type="dxa"/>
            <w:noWrap/>
          </w:tcPr>
          <w:p w14:paraId="36E6EBCB" w14:textId="6569CA10" w:rsidR="0050196F" w:rsidRPr="00E26EEC" w:rsidRDefault="0050196F" w:rsidP="00B21BD0">
            <w:pPr>
              <w:pStyle w:val="ARGrantstabletext"/>
              <w:rPr>
                <w:b/>
                <w:bCs/>
                <w:color w:val="000000"/>
              </w:rPr>
            </w:pPr>
            <w:r w:rsidRPr="00E26EEC">
              <w:rPr>
                <w:bCs/>
                <w:color w:val="000000"/>
              </w:rPr>
              <w:t>Gisborne/Macedon Ranges RSL Sub</w:t>
            </w:r>
            <w:r w:rsidR="00DB5974">
              <w:rPr>
                <w:bCs/>
                <w:color w:val="000000"/>
              </w:rPr>
              <w:t> </w:t>
            </w:r>
            <w:r w:rsidRPr="00E26EEC">
              <w:rPr>
                <w:bCs/>
                <w:color w:val="000000"/>
              </w:rPr>
              <w:t>Branch</w:t>
            </w:r>
          </w:p>
        </w:tc>
        <w:tc>
          <w:tcPr>
            <w:tcW w:w="1187" w:type="dxa"/>
            <w:noWrap/>
          </w:tcPr>
          <w:p w14:paraId="53F0A063" w14:textId="77777777" w:rsidR="0050196F" w:rsidRPr="00E26EEC" w:rsidRDefault="0050196F" w:rsidP="00B21BD0">
            <w:pPr>
              <w:pStyle w:val="ARGrantstabletextright"/>
              <w:rPr>
                <w:b/>
                <w:bCs/>
                <w:color w:val="000000"/>
              </w:rPr>
            </w:pPr>
            <w:r w:rsidRPr="00E26EEC">
              <w:rPr>
                <w:bCs/>
                <w:color w:val="000000"/>
              </w:rPr>
              <w:t>10,000</w:t>
            </w:r>
          </w:p>
        </w:tc>
      </w:tr>
      <w:tr w:rsidR="0050196F" w:rsidRPr="00B6199F" w14:paraId="7493EA7F" w14:textId="77777777" w:rsidTr="00DB5974">
        <w:tc>
          <w:tcPr>
            <w:tcW w:w="3402" w:type="dxa"/>
            <w:noWrap/>
          </w:tcPr>
          <w:p w14:paraId="01CB5AC6" w14:textId="1AA2943D" w:rsidR="0050196F" w:rsidRPr="00E26EEC" w:rsidRDefault="0050196F" w:rsidP="00B21BD0">
            <w:pPr>
              <w:pStyle w:val="ARGrantstabletext"/>
              <w:rPr>
                <w:b/>
                <w:bCs/>
                <w:color w:val="000000"/>
              </w:rPr>
            </w:pPr>
            <w:r w:rsidRPr="00E26EEC">
              <w:rPr>
                <w:bCs/>
                <w:color w:val="000000"/>
              </w:rPr>
              <w:t xml:space="preserve">GLAAS </w:t>
            </w:r>
            <w:r w:rsidR="003B5B30">
              <w:rPr>
                <w:bCs/>
                <w:color w:val="000000"/>
              </w:rPr>
              <w:t>Inc</w:t>
            </w:r>
          </w:p>
        </w:tc>
        <w:tc>
          <w:tcPr>
            <w:tcW w:w="1187" w:type="dxa"/>
            <w:noWrap/>
          </w:tcPr>
          <w:p w14:paraId="7166172C" w14:textId="77777777" w:rsidR="0050196F" w:rsidRPr="00E26EEC" w:rsidRDefault="0050196F" w:rsidP="00B21BD0">
            <w:pPr>
              <w:pStyle w:val="ARGrantstabletextright"/>
              <w:rPr>
                <w:b/>
                <w:bCs/>
                <w:color w:val="000000"/>
              </w:rPr>
            </w:pPr>
            <w:r w:rsidRPr="00E26EEC">
              <w:rPr>
                <w:bCs/>
                <w:color w:val="000000"/>
              </w:rPr>
              <w:t>22,000</w:t>
            </w:r>
          </w:p>
        </w:tc>
      </w:tr>
      <w:tr w:rsidR="0050196F" w:rsidRPr="00B6199F" w14:paraId="237E0053" w14:textId="77777777" w:rsidTr="00DB5974">
        <w:tc>
          <w:tcPr>
            <w:tcW w:w="3402" w:type="dxa"/>
            <w:noWrap/>
          </w:tcPr>
          <w:p w14:paraId="6997F01D" w14:textId="6A1DAF1D" w:rsidR="0050196F" w:rsidRPr="00E26EEC" w:rsidRDefault="0050196F" w:rsidP="00B21BD0">
            <w:pPr>
              <w:pStyle w:val="ARGrantstabletext"/>
              <w:rPr>
                <w:b/>
                <w:bCs/>
                <w:color w:val="000000"/>
              </w:rPr>
            </w:pPr>
            <w:r w:rsidRPr="00E26EEC">
              <w:rPr>
                <w:bCs/>
                <w:color w:val="000000"/>
              </w:rPr>
              <w:t xml:space="preserve">Hampton RSL Sub-Branch </w:t>
            </w:r>
            <w:r w:rsidR="003B5B30">
              <w:rPr>
                <w:bCs/>
                <w:color w:val="000000"/>
              </w:rPr>
              <w:t>Inc</w:t>
            </w:r>
          </w:p>
        </w:tc>
        <w:tc>
          <w:tcPr>
            <w:tcW w:w="1187" w:type="dxa"/>
            <w:noWrap/>
          </w:tcPr>
          <w:p w14:paraId="04E36A9F" w14:textId="77777777" w:rsidR="0050196F" w:rsidRPr="00E26EEC" w:rsidRDefault="0050196F" w:rsidP="00B21BD0">
            <w:pPr>
              <w:pStyle w:val="ARGrantstabletextright"/>
              <w:rPr>
                <w:b/>
                <w:bCs/>
                <w:color w:val="000000"/>
              </w:rPr>
            </w:pPr>
            <w:r w:rsidRPr="00E26EEC">
              <w:rPr>
                <w:bCs/>
                <w:color w:val="000000"/>
              </w:rPr>
              <w:t>42,100</w:t>
            </w:r>
          </w:p>
        </w:tc>
      </w:tr>
      <w:tr w:rsidR="0050196F" w:rsidRPr="00B6199F" w14:paraId="6FA8C9A9" w14:textId="77777777" w:rsidTr="00DB5974">
        <w:tc>
          <w:tcPr>
            <w:tcW w:w="3402" w:type="dxa"/>
            <w:noWrap/>
          </w:tcPr>
          <w:p w14:paraId="33DF2A39" w14:textId="77777777" w:rsidR="0050196F" w:rsidRPr="00E26EEC" w:rsidRDefault="0050196F" w:rsidP="00B21BD0">
            <w:pPr>
              <w:pStyle w:val="ARGrantstabletext"/>
              <w:rPr>
                <w:b/>
                <w:bCs/>
                <w:color w:val="000000"/>
              </w:rPr>
            </w:pPr>
            <w:r w:rsidRPr="00E26EEC">
              <w:rPr>
                <w:bCs/>
                <w:color w:val="000000"/>
              </w:rPr>
              <w:t>Hawthorn RSL Sub-Branch</w:t>
            </w:r>
          </w:p>
        </w:tc>
        <w:tc>
          <w:tcPr>
            <w:tcW w:w="1187" w:type="dxa"/>
            <w:noWrap/>
          </w:tcPr>
          <w:p w14:paraId="13639DC8" w14:textId="77777777" w:rsidR="0050196F" w:rsidRPr="00E26EEC" w:rsidRDefault="0050196F" w:rsidP="00B21BD0">
            <w:pPr>
              <w:pStyle w:val="ARGrantstabletextright"/>
              <w:rPr>
                <w:b/>
                <w:bCs/>
                <w:color w:val="000000"/>
              </w:rPr>
            </w:pPr>
            <w:r w:rsidRPr="00E26EEC">
              <w:rPr>
                <w:bCs/>
                <w:color w:val="000000"/>
              </w:rPr>
              <w:t>87,500</w:t>
            </w:r>
          </w:p>
        </w:tc>
      </w:tr>
      <w:tr w:rsidR="0050196F" w:rsidRPr="00B6199F" w14:paraId="3CAF2CD3" w14:textId="77777777" w:rsidTr="00DB5974">
        <w:tc>
          <w:tcPr>
            <w:tcW w:w="3402" w:type="dxa"/>
            <w:noWrap/>
          </w:tcPr>
          <w:p w14:paraId="394D4797" w14:textId="77777777" w:rsidR="0050196F" w:rsidRPr="00E26EEC" w:rsidRDefault="0050196F" w:rsidP="00B21BD0">
            <w:pPr>
              <w:pStyle w:val="ARGrantstabletext"/>
              <w:rPr>
                <w:b/>
                <w:bCs/>
                <w:color w:val="000000"/>
              </w:rPr>
            </w:pPr>
            <w:r w:rsidRPr="00E26EEC">
              <w:rPr>
                <w:bCs/>
                <w:color w:val="000000"/>
              </w:rPr>
              <w:t>Healesville RSL Sub-Branch</w:t>
            </w:r>
          </w:p>
        </w:tc>
        <w:tc>
          <w:tcPr>
            <w:tcW w:w="1187" w:type="dxa"/>
            <w:noWrap/>
          </w:tcPr>
          <w:p w14:paraId="64C0349C" w14:textId="77777777" w:rsidR="0050196F" w:rsidRPr="00E26EEC" w:rsidRDefault="0050196F" w:rsidP="00B21BD0">
            <w:pPr>
              <w:pStyle w:val="ARGrantstabletextright"/>
              <w:rPr>
                <w:b/>
                <w:bCs/>
                <w:color w:val="000000"/>
              </w:rPr>
            </w:pPr>
            <w:r w:rsidRPr="00E26EEC">
              <w:rPr>
                <w:bCs/>
                <w:color w:val="000000"/>
              </w:rPr>
              <w:t>5,000</w:t>
            </w:r>
          </w:p>
        </w:tc>
      </w:tr>
      <w:tr w:rsidR="0050196F" w:rsidRPr="00B6199F" w14:paraId="155802E4" w14:textId="77777777" w:rsidTr="00DB5974">
        <w:tc>
          <w:tcPr>
            <w:tcW w:w="3402" w:type="dxa"/>
            <w:noWrap/>
          </w:tcPr>
          <w:p w14:paraId="27576090" w14:textId="0FD3EC44" w:rsidR="0050196F" w:rsidRPr="00E26EEC" w:rsidRDefault="0050196F" w:rsidP="00B21BD0">
            <w:pPr>
              <w:pStyle w:val="ARGrantstabletext"/>
              <w:rPr>
                <w:b/>
                <w:bCs/>
                <w:color w:val="000000"/>
              </w:rPr>
            </w:pPr>
            <w:r w:rsidRPr="00E26EEC">
              <w:rPr>
                <w:bCs/>
                <w:color w:val="000000"/>
              </w:rPr>
              <w:t>History Teachers</w:t>
            </w:r>
            <w:r w:rsidR="00711AE6">
              <w:rPr>
                <w:bCs/>
                <w:color w:val="000000"/>
              </w:rPr>
              <w:t>’</w:t>
            </w:r>
            <w:r w:rsidRPr="00E26EEC">
              <w:rPr>
                <w:bCs/>
                <w:color w:val="000000"/>
              </w:rPr>
              <w:t xml:space="preserve"> Association of Victoria</w:t>
            </w:r>
          </w:p>
        </w:tc>
        <w:tc>
          <w:tcPr>
            <w:tcW w:w="1187" w:type="dxa"/>
            <w:noWrap/>
          </w:tcPr>
          <w:p w14:paraId="5E2039D8" w14:textId="77777777" w:rsidR="0050196F" w:rsidRPr="00E26EEC" w:rsidRDefault="0050196F" w:rsidP="00B21BD0">
            <w:pPr>
              <w:pStyle w:val="ARGrantstabletextright"/>
              <w:rPr>
                <w:b/>
                <w:bCs/>
                <w:color w:val="000000"/>
              </w:rPr>
            </w:pPr>
            <w:r w:rsidRPr="00E26EEC">
              <w:rPr>
                <w:bCs/>
                <w:color w:val="000000"/>
              </w:rPr>
              <w:t>25,000</w:t>
            </w:r>
          </w:p>
        </w:tc>
      </w:tr>
      <w:tr w:rsidR="0050196F" w:rsidRPr="00B6199F" w14:paraId="7441D09D" w14:textId="77777777" w:rsidTr="00DB5974">
        <w:tc>
          <w:tcPr>
            <w:tcW w:w="3402" w:type="dxa"/>
            <w:noWrap/>
          </w:tcPr>
          <w:p w14:paraId="6C739C1F" w14:textId="77777777" w:rsidR="0050196F" w:rsidRPr="00E26EEC" w:rsidRDefault="0050196F" w:rsidP="00B21BD0">
            <w:pPr>
              <w:pStyle w:val="ARGrantstabletext"/>
              <w:rPr>
                <w:b/>
                <w:bCs/>
                <w:color w:val="000000"/>
              </w:rPr>
            </w:pPr>
            <w:r w:rsidRPr="00E26EEC">
              <w:rPr>
                <w:bCs/>
                <w:color w:val="000000"/>
              </w:rPr>
              <w:t>Hume City Council</w:t>
            </w:r>
          </w:p>
        </w:tc>
        <w:tc>
          <w:tcPr>
            <w:tcW w:w="1187" w:type="dxa"/>
            <w:noWrap/>
          </w:tcPr>
          <w:p w14:paraId="2A39536A" w14:textId="77777777" w:rsidR="0050196F" w:rsidRPr="00E26EEC" w:rsidRDefault="0050196F" w:rsidP="00B21BD0">
            <w:pPr>
              <w:pStyle w:val="ARGrantstabletextright"/>
              <w:rPr>
                <w:b/>
                <w:bCs/>
                <w:color w:val="000000"/>
              </w:rPr>
            </w:pPr>
            <w:r w:rsidRPr="00E26EEC">
              <w:rPr>
                <w:bCs/>
                <w:color w:val="000000"/>
              </w:rPr>
              <w:t>10,000</w:t>
            </w:r>
          </w:p>
        </w:tc>
      </w:tr>
      <w:tr w:rsidR="0050196F" w:rsidRPr="00B6199F" w14:paraId="6AE8E1A5" w14:textId="77777777" w:rsidTr="00DB5974">
        <w:tc>
          <w:tcPr>
            <w:tcW w:w="3402" w:type="dxa"/>
            <w:noWrap/>
          </w:tcPr>
          <w:p w14:paraId="1BECFF56" w14:textId="77777777" w:rsidR="0050196F" w:rsidRPr="00E26EEC" w:rsidRDefault="0050196F" w:rsidP="00B21BD0">
            <w:pPr>
              <w:pStyle w:val="ARGrantstabletext"/>
              <w:rPr>
                <w:b/>
                <w:bCs/>
                <w:color w:val="000000"/>
              </w:rPr>
            </w:pPr>
            <w:r w:rsidRPr="00E26EEC">
              <w:rPr>
                <w:bCs/>
                <w:color w:val="000000"/>
              </w:rPr>
              <w:t>Inverloch RSL Sub-Branch</w:t>
            </w:r>
          </w:p>
        </w:tc>
        <w:tc>
          <w:tcPr>
            <w:tcW w:w="1187" w:type="dxa"/>
            <w:noWrap/>
          </w:tcPr>
          <w:p w14:paraId="6E0C5A16" w14:textId="77777777" w:rsidR="0050196F" w:rsidRPr="00E26EEC" w:rsidRDefault="0050196F" w:rsidP="00B21BD0">
            <w:pPr>
              <w:pStyle w:val="ARGrantstabletextright"/>
              <w:rPr>
                <w:b/>
                <w:bCs/>
                <w:color w:val="000000"/>
              </w:rPr>
            </w:pPr>
            <w:r w:rsidRPr="00E26EEC">
              <w:rPr>
                <w:bCs/>
                <w:color w:val="000000"/>
              </w:rPr>
              <w:t>43,130</w:t>
            </w:r>
          </w:p>
        </w:tc>
      </w:tr>
      <w:tr w:rsidR="0050196F" w:rsidRPr="00B6199F" w14:paraId="428398FA" w14:textId="77777777" w:rsidTr="00DB5974">
        <w:tc>
          <w:tcPr>
            <w:tcW w:w="3402" w:type="dxa"/>
            <w:noWrap/>
          </w:tcPr>
          <w:p w14:paraId="03256743" w14:textId="501BA26D" w:rsidR="0050196F" w:rsidRPr="00E26EEC" w:rsidRDefault="0050196F" w:rsidP="00B21BD0">
            <w:pPr>
              <w:pStyle w:val="ARGrantstabletext"/>
              <w:rPr>
                <w:b/>
                <w:bCs/>
                <w:color w:val="000000"/>
              </w:rPr>
            </w:pPr>
            <w:r w:rsidRPr="00E26EEC">
              <w:rPr>
                <w:bCs/>
                <w:color w:val="000000"/>
              </w:rPr>
              <w:t xml:space="preserve">Katipunan Australia, </w:t>
            </w:r>
            <w:r w:rsidR="003B5B30">
              <w:rPr>
                <w:bCs/>
                <w:color w:val="000000"/>
              </w:rPr>
              <w:t>Inc</w:t>
            </w:r>
          </w:p>
        </w:tc>
        <w:tc>
          <w:tcPr>
            <w:tcW w:w="1187" w:type="dxa"/>
            <w:noWrap/>
          </w:tcPr>
          <w:p w14:paraId="4CF7339B" w14:textId="77777777" w:rsidR="0050196F" w:rsidRPr="00E26EEC" w:rsidRDefault="0050196F" w:rsidP="00B21BD0">
            <w:pPr>
              <w:pStyle w:val="ARGrantstabletextright"/>
              <w:rPr>
                <w:b/>
                <w:bCs/>
                <w:color w:val="000000"/>
              </w:rPr>
            </w:pPr>
            <w:r w:rsidRPr="00E26EEC">
              <w:rPr>
                <w:bCs/>
                <w:color w:val="000000"/>
              </w:rPr>
              <w:t>20,000</w:t>
            </w:r>
          </w:p>
        </w:tc>
      </w:tr>
      <w:tr w:rsidR="0050196F" w:rsidRPr="00B6199F" w14:paraId="7B12D9E4" w14:textId="77777777" w:rsidTr="00DB5974">
        <w:tc>
          <w:tcPr>
            <w:tcW w:w="3402" w:type="dxa"/>
            <w:noWrap/>
          </w:tcPr>
          <w:p w14:paraId="4D908D3B" w14:textId="77777777" w:rsidR="0050196F" w:rsidRPr="00E26EEC" w:rsidRDefault="0050196F" w:rsidP="00B21BD0">
            <w:pPr>
              <w:pStyle w:val="ARGrantstabletext"/>
              <w:rPr>
                <w:b/>
                <w:bCs/>
                <w:color w:val="000000"/>
              </w:rPr>
            </w:pPr>
            <w:r w:rsidRPr="00E26EEC">
              <w:rPr>
                <w:bCs/>
                <w:color w:val="000000"/>
              </w:rPr>
              <w:t>Lara RSL</w:t>
            </w:r>
          </w:p>
        </w:tc>
        <w:tc>
          <w:tcPr>
            <w:tcW w:w="1187" w:type="dxa"/>
            <w:noWrap/>
          </w:tcPr>
          <w:p w14:paraId="3D86E52E" w14:textId="77777777" w:rsidR="0050196F" w:rsidRPr="00E26EEC" w:rsidRDefault="0050196F" w:rsidP="00B21BD0">
            <w:pPr>
              <w:pStyle w:val="ARGrantstabletextright"/>
              <w:rPr>
                <w:b/>
                <w:bCs/>
                <w:color w:val="000000"/>
              </w:rPr>
            </w:pPr>
            <w:r w:rsidRPr="00E26EEC">
              <w:rPr>
                <w:bCs/>
                <w:color w:val="000000"/>
              </w:rPr>
              <w:t>30,000</w:t>
            </w:r>
          </w:p>
        </w:tc>
      </w:tr>
      <w:tr w:rsidR="0050196F" w:rsidRPr="00B6199F" w14:paraId="5CC566A0" w14:textId="77777777" w:rsidTr="00DB5974">
        <w:tc>
          <w:tcPr>
            <w:tcW w:w="3402" w:type="dxa"/>
            <w:noWrap/>
          </w:tcPr>
          <w:p w14:paraId="1D3E0B46" w14:textId="4F331281" w:rsidR="0050196F" w:rsidRPr="00E26EEC" w:rsidRDefault="0050196F" w:rsidP="00B21BD0">
            <w:pPr>
              <w:pStyle w:val="ARGrantstabletext"/>
              <w:rPr>
                <w:b/>
                <w:bCs/>
                <w:color w:val="000000"/>
              </w:rPr>
            </w:pPr>
            <w:r w:rsidRPr="00E26EEC">
              <w:rPr>
                <w:bCs/>
                <w:color w:val="000000"/>
              </w:rPr>
              <w:t xml:space="preserve">Macedon Ranges Group of Bendigo Legacy </w:t>
            </w:r>
            <w:r w:rsidR="003B5B30">
              <w:rPr>
                <w:bCs/>
                <w:color w:val="000000"/>
              </w:rPr>
              <w:t>Inc</w:t>
            </w:r>
          </w:p>
        </w:tc>
        <w:tc>
          <w:tcPr>
            <w:tcW w:w="1187" w:type="dxa"/>
            <w:noWrap/>
          </w:tcPr>
          <w:p w14:paraId="70433140" w14:textId="77777777" w:rsidR="0050196F" w:rsidRPr="00E26EEC" w:rsidRDefault="0050196F" w:rsidP="00B21BD0">
            <w:pPr>
              <w:pStyle w:val="ARGrantstabletextright"/>
              <w:rPr>
                <w:b/>
                <w:bCs/>
                <w:color w:val="000000"/>
              </w:rPr>
            </w:pPr>
            <w:r w:rsidRPr="00E26EEC">
              <w:rPr>
                <w:bCs/>
                <w:color w:val="000000"/>
              </w:rPr>
              <w:t>6,285</w:t>
            </w:r>
          </w:p>
        </w:tc>
      </w:tr>
      <w:tr w:rsidR="0050196F" w:rsidRPr="00B6199F" w14:paraId="77C3E7BE" w14:textId="77777777" w:rsidTr="00DB5974">
        <w:tc>
          <w:tcPr>
            <w:tcW w:w="3402" w:type="dxa"/>
            <w:noWrap/>
          </w:tcPr>
          <w:p w14:paraId="1BFEE411" w14:textId="77777777" w:rsidR="0050196F" w:rsidRPr="00E26EEC" w:rsidRDefault="0050196F" w:rsidP="00B21BD0">
            <w:pPr>
              <w:pStyle w:val="ARGrantstabletext"/>
              <w:rPr>
                <w:b/>
                <w:bCs/>
                <w:color w:val="000000"/>
              </w:rPr>
            </w:pPr>
            <w:r w:rsidRPr="00E26EEC">
              <w:rPr>
                <w:bCs/>
                <w:color w:val="000000"/>
              </w:rPr>
              <w:t>Macedon Ranges Shire Council</w:t>
            </w:r>
          </w:p>
        </w:tc>
        <w:tc>
          <w:tcPr>
            <w:tcW w:w="1187" w:type="dxa"/>
            <w:noWrap/>
          </w:tcPr>
          <w:p w14:paraId="1C800EC9" w14:textId="77777777" w:rsidR="0050196F" w:rsidRPr="00E26EEC" w:rsidRDefault="0050196F" w:rsidP="00B21BD0">
            <w:pPr>
              <w:pStyle w:val="ARGrantstabletextright"/>
              <w:rPr>
                <w:b/>
                <w:bCs/>
                <w:color w:val="000000"/>
              </w:rPr>
            </w:pPr>
            <w:r w:rsidRPr="00E26EEC">
              <w:rPr>
                <w:bCs/>
                <w:color w:val="000000"/>
              </w:rPr>
              <w:t>710,000</w:t>
            </w:r>
          </w:p>
        </w:tc>
      </w:tr>
      <w:tr w:rsidR="0050196F" w:rsidRPr="00B6199F" w14:paraId="2E55DC0E" w14:textId="77777777" w:rsidTr="00DB5974">
        <w:tc>
          <w:tcPr>
            <w:tcW w:w="3402" w:type="dxa"/>
            <w:noWrap/>
          </w:tcPr>
          <w:p w14:paraId="319E631A" w14:textId="77777777" w:rsidR="0050196F" w:rsidRPr="00E26EEC" w:rsidRDefault="0050196F" w:rsidP="00B21BD0">
            <w:pPr>
              <w:pStyle w:val="ARGrantstabletext"/>
              <w:rPr>
                <w:b/>
                <w:bCs/>
                <w:color w:val="000000"/>
              </w:rPr>
            </w:pPr>
            <w:r w:rsidRPr="00E26EEC">
              <w:rPr>
                <w:bCs/>
                <w:color w:val="000000"/>
              </w:rPr>
              <w:t>Manningham City Council</w:t>
            </w:r>
          </w:p>
        </w:tc>
        <w:tc>
          <w:tcPr>
            <w:tcW w:w="1187" w:type="dxa"/>
            <w:noWrap/>
          </w:tcPr>
          <w:p w14:paraId="244CB8AF" w14:textId="77777777" w:rsidR="0050196F" w:rsidRPr="00E26EEC" w:rsidRDefault="0050196F" w:rsidP="00B21BD0">
            <w:pPr>
              <w:pStyle w:val="ARGrantstabletextright"/>
              <w:rPr>
                <w:b/>
                <w:bCs/>
                <w:color w:val="000000"/>
              </w:rPr>
            </w:pPr>
            <w:r w:rsidRPr="00E26EEC">
              <w:rPr>
                <w:bCs/>
                <w:color w:val="000000"/>
              </w:rPr>
              <w:t>30,000</w:t>
            </w:r>
          </w:p>
        </w:tc>
      </w:tr>
      <w:tr w:rsidR="0050196F" w:rsidRPr="00B6199F" w14:paraId="3A076B1B" w14:textId="77777777" w:rsidTr="00DB5974">
        <w:tc>
          <w:tcPr>
            <w:tcW w:w="3402" w:type="dxa"/>
            <w:noWrap/>
          </w:tcPr>
          <w:p w14:paraId="2EE7CDB1" w14:textId="77777777" w:rsidR="0050196F" w:rsidRPr="00E26EEC" w:rsidRDefault="0050196F" w:rsidP="00B21BD0">
            <w:pPr>
              <w:pStyle w:val="ARGrantstabletext"/>
              <w:rPr>
                <w:b/>
                <w:bCs/>
                <w:color w:val="000000"/>
              </w:rPr>
            </w:pPr>
            <w:r w:rsidRPr="00E26EEC">
              <w:rPr>
                <w:bCs/>
                <w:color w:val="000000"/>
              </w:rPr>
              <w:t>Melbourne Legacy</w:t>
            </w:r>
          </w:p>
        </w:tc>
        <w:tc>
          <w:tcPr>
            <w:tcW w:w="1187" w:type="dxa"/>
            <w:noWrap/>
          </w:tcPr>
          <w:p w14:paraId="0DCAD985" w14:textId="77777777" w:rsidR="0050196F" w:rsidRPr="00E26EEC" w:rsidRDefault="0050196F" w:rsidP="00B21BD0">
            <w:pPr>
              <w:pStyle w:val="ARGrantstabletextright"/>
              <w:rPr>
                <w:b/>
                <w:bCs/>
                <w:color w:val="000000"/>
              </w:rPr>
            </w:pPr>
            <w:r w:rsidRPr="00E26EEC">
              <w:rPr>
                <w:bCs/>
                <w:color w:val="000000"/>
              </w:rPr>
              <w:t>158,200</w:t>
            </w:r>
          </w:p>
        </w:tc>
      </w:tr>
      <w:tr w:rsidR="0050196F" w:rsidRPr="00B6199F" w14:paraId="37F145EF" w14:textId="77777777" w:rsidTr="00DB5974">
        <w:tc>
          <w:tcPr>
            <w:tcW w:w="3402" w:type="dxa"/>
            <w:noWrap/>
          </w:tcPr>
          <w:p w14:paraId="49A4AF98" w14:textId="77777777" w:rsidR="0050196F" w:rsidRPr="00E26EEC" w:rsidRDefault="0050196F" w:rsidP="00B21BD0">
            <w:pPr>
              <w:pStyle w:val="ARGrantstabletext"/>
              <w:rPr>
                <w:b/>
                <w:bCs/>
                <w:color w:val="000000"/>
              </w:rPr>
            </w:pPr>
            <w:r w:rsidRPr="00E26EEC">
              <w:rPr>
                <w:bCs/>
                <w:color w:val="000000"/>
              </w:rPr>
              <w:t>Mentone RSL Sub-Branch</w:t>
            </w:r>
          </w:p>
        </w:tc>
        <w:tc>
          <w:tcPr>
            <w:tcW w:w="1187" w:type="dxa"/>
            <w:noWrap/>
          </w:tcPr>
          <w:p w14:paraId="4DF12A51" w14:textId="77777777" w:rsidR="0050196F" w:rsidRPr="00E26EEC" w:rsidRDefault="0050196F" w:rsidP="00B21BD0">
            <w:pPr>
              <w:pStyle w:val="ARGrantstabletextright"/>
              <w:rPr>
                <w:b/>
                <w:bCs/>
                <w:color w:val="000000"/>
              </w:rPr>
            </w:pPr>
            <w:r w:rsidRPr="00E26EEC">
              <w:rPr>
                <w:bCs/>
                <w:color w:val="000000"/>
              </w:rPr>
              <w:t>42,000</w:t>
            </w:r>
          </w:p>
        </w:tc>
      </w:tr>
      <w:tr w:rsidR="0050196F" w:rsidRPr="00B6199F" w14:paraId="61E479F9" w14:textId="77777777" w:rsidTr="00DB5974">
        <w:tc>
          <w:tcPr>
            <w:tcW w:w="3402" w:type="dxa"/>
            <w:noWrap/>
          </w:tcPr>
          <w:p w14:paraId="3E14B9DE" w14:textId="77777777" w:rsidR="0050196F" w:rsidRPr="00E26EEC" w:rsidRDefault="0050196F" w:rsidP="00B21BD0">
            <w:pPr>
              <w:pStyle w:val="ARGrantstabletext"/>
              <w:rPr>
                <w:b/>
                <w:bCs/>
                <w:color w:val="000000"/>
              </w:rPr>
            </w:pPr>
            <w:r w:rsidRPr="00E26EEC">
              <w:rPr>
                <w:bCs/>
                <w:color w:val="000000"/>
              </w:rPr>
              <w:t>Moorabool Shire Council</w:t>
            </w:r>
          </w:p>
        </w:tc>
        <w:tc>
          <w:tcPr>
            <w:tcW w:w="1187" w:type="dxa"/>
            <w:noWrap/>
          </w:tcPr>
          <w:p w14:paraId="3C2B3D89" w14:textId="77777777" w:rsidR="0050196F" w:rsidRPr="00E26EEC" w:rsidRDefault="0050196F" w:rsidP="00B21BD0">
            <w:pPr>
              <w:pStyle w:val="ARGrantstabletextright"/>
              <w:rPr>
                <w:b/>
                <w:bCs/>
                <w:color w:val="000000"/>
              </w:rPr>
            </w:pPr>
            <w:r w:rsidRPr="00E26EEC">
              <w:rPr>
                <w:bCs/>
                <w:color w:val="000000"/>
              </w:rPr>
              <w:t>10,000</w:t>
            </w:r>
          </w:p>
        </w:tc>
      </w:tr>
      <w:tr w:rsidR="0050196F" w:rsidRPr="00B6199F" w14:paraId="7E5443A1" w14:textId="77777777" w:rsidTr="00DB5974">
        <w:tc>
          <w:tcPr>
            <w:tcW w:w="3402" w:type="dxa"/>
            <w:noWrap/>
          </w:tcPr>
          <w:p w14:paraId="1528310F" w14:textId="77777777" w:rsidR="0050196F" w:rsidRPr="00E26EEC" w:rsidRDefault="0050196F" w:rsidP="00B21BD0">
            <w:pPr>
              <w:pStyle w:val="ARGrantstabletext"/>
              <w:rPr>
                <w:b/>
                <w:bCs/>
                <w:color w:val="000000"/>
              </w:rPr>
            </w:pPr>
            <w:r w:rsidRPr="00E26EEC">
              <w:rPr>
                <w:bCs/>
                <w:color w:val="000000"/>
              </w:rPr>
              <w:t>Mount Evelyn RSL Sub-Branch</w:t>
            </w:r>
          </w:p>
        </w:tc>
        <w:tc>
          <w:tcPr>
            <w:tcW w:w="1187" w:type="dxa"/>
            <w:noWrap/>
          </w:tcPr>
          <w:p w14:paraId="41EEB9A2" w14:textId="77777777" w:rsidR="0050196F" w:rsidRPr="00E26EEC" w:rsidRDefault="0050196F" w:rsidP="00B21BD0">
            <w:pPr>
              <w:pStyle w:val="ARGrantstabletextright"/>
              <w:rPr>
                <w:b/>
                <w:bCs/>
                <w:color w:val="000000"/>
              </w:rPr>
            </w:pPr>
            <w:r w:rsidRPr="00E26EEC">
              <w:rPr>
                <w:bCs/>
                <w:color w:val="000000"/>
              </w:rPr>
              <w:t>1,926</w:t>
            </w:r>
          </w:p>
        </w:tc>
      </w:tr>
      <w:tr w:rsidR="0050196F" w:rsidRPr="00B6199F" w14:paraId="02D38F11" w14:textId="77777777" w:rsidTr="00DB5974">
        <w:tc>
          <w:tcPr>
            <w:tcW w:w="3402" w:type="dxa"/>
            <w:noWrap/>
          </w:tcPr>
          <w:p w14:paraId="01B37825" w14:textId="4C82C605" w:rsidR="0050196F" w:rsidRPr="00E26EEC" w:rsidRDefault="0050196F" w:rsidP="00B21BD0">
            <w:pPr>
              <w:pStyle w:val="ARGrantstabletext"/>
              <w:rPr>
                <w:b/>
                <w:bCs/>
                <w:color w:val="000000"/>
              </w:rPr>
            </w:pPr>
            <w:r w:rsidRPr="00E26EEC">
              <w:rPr>
                <w:bCs/>
                <w:color w:val="000000"/>
              </w:rPr>
              <w:t>Mt Macedon ANZAC Day Dawn Service</w:t>
            </w:r>
            <w:r w:rsidR="00EA2AB7">
              <w:rPr>
                <w:bCs/>
                <w:color w:val="000000"/>
              </w:rPr>
              <w:t> </w:t>
            </w:r>
            <w:r w:rsidRPr="00E26EEC">
              <w:rPr>
                <w:bCs/>
                <w:color w:val="000000"/>
              </w:rPr>
              <w:t>Incorporated</w:t>
            </w:r>
          </w:p>
        </w:tc>
        <w:tc>
          <w:tcPr>
            <w:tcW w:w="1187" w:type="dxa"/>
            <w:noWrap/>
          </w:tcPr>
          <w:p w14:paraId="5D14D245" w14:textId="77777777" w:rsidR="0050196F" w:rsidRPr="00E26EEC" w:rsidRDefault="0050196F" w:rsidP="00B21BD0">
            <w:pPr>
              <w:pStyle w:val="ARGrantstabletextright"/>
              <w:rPr>
                <w:b/>
                <w:bCs/>
                <w:color w:val="000000"/>
              </w:rPr>
            </w:pPr>
            <w:r w:rsidRPr="00E26EEC">
              <w:rPr>
                <w:bCs/>
                <w:color w:val="000000"/>
              </w:rPr>
              <w:t>18,909</w:t>
            </w:r>
          </w:p>
        </w:tc>
      </w:tr>
      <w:tr w:rsidR="0050196F" w:rsidRPr="00B6199F" w14:paraId="7F2D3C19" w14:textId="77777777" w:rsidTr="00DB5974">
        <w:tc>
          <w:tcPr>
            <w:tcW w:w="3402" w:type="dxa"/>
            <w:noWrap/>
          </w:tcPr>
          <w:p w14:paraId="09243C2C" w14:textId="77777777" w:rsidR="0050196F" w:rsidRPr="00E26EEC" w:rsidRDefault="0050196F" w:rsidP="00B21BD0">
            <w:pPr>
              <w:pStyle w:val="ARGrantstabletext"/>
              <w:rPr>
                <w:b/>
                <w:bCs/>
                <w:color w:val="000000"/>
              </w:rPr>
            </w:pPr>
            <w:r w:rsidRPr="00E26EEC">
              <w:rPr>
                <w:bCs/>
                <w:color w:val="000000"/>
              </w:rPr>
              <w:t>Music and The Brain Foundation Ltd</w:t>
            </w:r>
          </w:p>
        </w:tc>
        <w:tc>
          <w:tcPr>
            <w:tcW w:w="1187" w:type="dxa"/>
            <w:noWrap/>
          </w:tcPr>
          <w:p w14:paraId="4E2511EB" w14:textId="77777777" w:rsidR="0050196F" w:rsidRPr="00E26EEC" w:rsidRDefault="0050196F" w:rsidP="00B21BD0">
            <w:pPr>
              <w:pStyle w:val="ARGrantstabletextright"/>
              <w:rPr>
                <w:b/>
                <w:bCs/>
                <w:color w:val="000000"/>
              </w:rPr>
            </w:pPr>
            <w:r w:rsidRPr="00E26EEC">
              <w:rPr>
                <w:bCs/>
                <w:color w:val="000000"/>
              </w:rPr>
              <w:t>20,000</w:t>
            </w:r>
          </w:p>
        </w:tc>
      </w:tr>
      <w:tr w:rsidR="0050196F" w:rsidRPr="00B6199F" w14:paraId="2314AAFD" w14:textId="77777777" w:rsidTr="00DB5974">
        <w:tc>
          <w:tcPr>
            <w:tcW w:w="3402" w:type="dxa"/>
            <w:noWrap/>
          </w:tcPr>
          <w:p w14:paraId="056796E7" w14:textId="0CB6B296" w:rsidR="0050196F" w:rsidRPr="00EA2AB7" w:rsidRDefault="0050196F" w:rsidP="00B21BD0">
            <w:pPr>
              <w:pStyle w:val="ARGrantstabletext"/>
              <w:rPr>
                <w:b/>
                <w:bCs/>
                <w:color w:val="000000"/>
                <w:spacing w:val="-6"/>
              </w:rPr>
            </w:pPr>
            <w:r w:rsidRPr="00EA2AB7">
              <w:rPr>
                <w:bCs/>
                <w:color w:val="000000"/>
                <w:spacing w:val="-6"/>
              </w:rPr>
              <w:t>Neerim District Community House &amp; Men</w:t>
            </w:r>
            <w:r w:rsidR="00711AE6">
              <w:rPr>
                <w:bCs/>
                <w:color w:val="000000"/>
                <w:spacing w:val="-6"/>
              </w:rPr>
              <w:t>’</w:t>
            </w:r>
            <w:r w:rsidRPr="00EA2AB7">
              <w:rPr>
                <w:bCs/>
                <w:color w:val="000000"/>
                <w:spacing w:val="-6"/>
              </w:rPr>
              <w:t>s</w:t>
            </w:r>
            <w:r w:rsidR="00036C59">
              <w:rPr>
                <w:bCs/>
                <w:color w:val="000000"/>
                <w:spacing w:val="-6"/>
              </w:rPr>
              <w:t> </w:t>
            </w:r>
            <w:r w:rsidRPr="00EA2AB7">
              <w:rPr>
                <w:bCs/>
                <w:color w:val="000000"/>
                <w:spacing w:val="-6"/>
              </w:rPr>
              <w:t xml:space="preserve">Shed </w:t>
            </w:r>
            <w:r w:rsidR="003B5B30">
              <w:rPr>
                <w:bCs/>
                <w:color w:val="000000"/>
                <w:spacing w:val="-6"/>
              </w:rPr>
              <w:t>Inc</w:t>
            </w:r>
          </w:p>
        </w:tc>
        <w:tc>
          <w:tcPr>
            <w:tcW w:w="1187" w:type="dxa"/>
            <w:noWrap/>
          </w:tcPr>
          <w:p w14:paraId="7214CD4B" w14:textId="77777777" w:rsidR="0050196F" w:rsidRPr="00E26EEC" w:rsidRDefault="0050196F" w:rsidP="00B21BD0">
            <w:pPr>
              <w:pStyle w:val="ARGrantstabletextright"/>
              <w:rPr>
                <w:b/>
                <w:bCs/>
                <w:color w:val="000000"/>
              </w:rPr>
            </w:pPr>
            <w:r w:rsidRPr="00E26EEC">
              <w:rPr>
                <w:bCs/>
                <w:color w:val="000000"/>
              </w:rPr>
              <w:t>50,000</w:t>
            </w:r>
          </w:p>
        </w:tc>
      </w:tr>
      <w:tr w:rsidR="0050196F" w:rsidRPr="00B6199F" w14:paraId="5CD888C1" w14:textId="77777777" w:rsidTr="00DB5974">
        <w:tc>
          <w:tcPr>
            <w:tcW w:w="3402" w:type="dxa"/>
            <w:noWrap/>
          </w:tcPr>
          <w:p w14:paraId="6AF05F62" w14:textId="77777777" w:rsidR="0050196F" w:rsidRPr="00E26EEC" w:rsidRDefault="0050196F" w:rsidP="00B21BD0">
            <w:pPr>
              <w:pStyle w:val="ARGrantstabletext"/>
              <w:rPr>
                <w:b/>
                <w:bCs/>
                <w:color w:val="000000"/>
              </w:rPr>
            </w:pPr>
            <w:r w:rsidRPr="00E26EEC">
              <w:rPr>
                <w:bCs/>
                <w:color w:val="000000"/>
              </w:rPr>
              <w:t>Newport RSL Sub-Branch</w:t>
            </w:r>
          </w:p>
        </w:tc>
        <w:tc>
          <w:tcPr>
            <w:tcW w:w="1187" w:type="dxa"/>
            <w:noWrap/>
          </w:tcPr>
          <w:p w14:paraId="22882AA4" w14:textId="77777777" w:rsidR="0050196F" w:rsidRPr="00E26EEC" w:rsidRDefault="0050196F" w:rsidP="00B21BD0">
            <w:pPr>
              <w:pStyle w:val="ARGrantstabletextright"/>
              <w:rPr>
                <w:b/>
                <w:bCs/>
                <w:color w:val="000000"/>
              </w:rPr>
            </w:pPr>
            <w:r w:rsidRPr="00E26EEC">
              <w:rPr>
                <w:bCs/>
                <w:color w:val="000000"/>
              </w:rPr>
              <w:t>200,000</w:t>
            </w:r>
          </w:p>
        </w:tc>
      </w:tr>
      <w:tr w:rsidR="0050196F" w:rsidRPr="00B6199F" w14:paraId="62D39823" w14:textId="77777777" w:rsidTr="00DB5974">
        <w:tc>
          <w:tcPr>
            <w:tcW w:w="3402" w:type="dxa"/>
            <w:noWrap/>
          </w:tcPr>
          <w:p w14:paraId="7A033046" w14:textId="77777777" w:rsidR="0050196F" w:rsidRPr="00E26EEC" w:rsidRDefault="0050196F" w:rsidP="00B21BD0">
            <w:pPr>
              <w:pStyle w:val="ARGrantstabletext"/>
              <w:rPr>
                <w:b/>
                <w:bCs/>
                <w:color w:val="000000"/>
              </w:rPr>
            </w:pPr>
            <w:r w:rsidRPr="00E26EEC">
              <w:rPr>
                <w:bCs/>
                <w:color w:val="000000"/>
              </w:rPr>
              <w:t>Oakleigh Carnegie RSL Sub-Branch</w:t>
            </w:r>
          </w:p>
        </w:tc>
        <w:tc>
          <w:tcPr>
            <w:tcW w:w="1187" w:type="dxa"/>
            <w:noWrap/>
          </w:tcPr>
          <w:p w14:paraId="675FD74D" w14:textId="77777777" w:rsidR="0050196F" w:rsidRPr="00E26EEC" w:rsidRDefault="0050196F" w:rsidP="00B21BD0">
            <w:pPr>
              <w:pStyle w:val="ARGrantstabletextright"/>
              <w:rPr>
                <w:b/>
                <w:bCs/>
                <w:color w:val="000000"/>
              </w:rPr>
            </w:pPr>
            <w:r w:rsidRPr="00E26EEC">
              <w:rPr>
                <w:bCs/>
                <w:color w:val="000000"/>
              </w:rPr>
              <w:t>20,807</w:t>
            </w:r>
          </w:p>
        </w:tc>
      </w:tr>
      <w:tr w:rsidR="0050196F" w:rsidRPr="00B6199F" w14:paraId="1F931A33" w14:textId="77777777" w:rsidTr="00DB5974">
        <w:tc>
          <w:tcPr>
            <w:tcW w:w="3402" w:type="dxa"/>
            <w:noWrap/>
          </w:tcPr>
          <w:p w14:paraId="6A805785" w14:textId="77777777" w:rsidR="0050196F" w:rsidRPr="00E26EEC" w:rsidRDefault="0050196F" w:rsidP="00B21BD0">
            <w:pPr>
              <w:pStyle w:val="ARGrantstabletext"/>
              <w:rPr>
                <w:b/>
                <w:bCs/>
                <w:color w:val="000000"/>
              </w:rPr>
            </w:pPr>
            <w:r w:rsidRPr="00E26EEC">
              <w:rPr>
                <w:bCs/>
                <w:color w:val="000000"/>
              </w:rPr>
              <w:t>Portland RSL Sub-Branch</w:t>
            </w:r>
          </w:p>
        </w:tc>
        <w:tc>
          <w:tcPr>
            <w:tcW w:w="1187" w:type="dxa"/>
            <w:noWrap/>
          </w:tcPr>
          <w:p w14:paraId="58AA7D3B" w14:textId="77777777" w:rsidR="0050196F" w:rsidRPr="00E26EEC" w:rsidRDefault="0050196F" w:rsidP="00B21BD0">
            <w:pPr>
              <w:pStyle w:val="ARGrantstabletextright"/>
              <w:rPr>
                <w:b/>
                <w:bCs/>
                <w:color w:val="000000"/>
              </w:rPr>
            </w:pPr>
            <w:r w:rsidRPr="00E26EEC">
              <w:rPr>
                <w:bCs/>
                <w:color w:val="000000"/>
              </w:rPr>
              <w:t>12,820</w:t>
            </w:r>
          </w:p>
        </w:tc>
      </w:tr>
      <w:tr w:rsidR="0050196F" w:rsidRPr="00B6199F" w14:paraId="4CF91EC4" w14:textId="77777777" w:rsidTr="00DB5974">
        <w:tc>
          <w:tcPr>
            <w:tcW w:w="3402" w:type="dxa"/>
            <w:noWrap/>
          </w:tcPr>
          <w:p w14:paraId="6960E13B" w14:textId="77777777" w:rsidR="0050196F" w:rsidRPr="00E26EEC" w:rsidRDefault="0050196F" w:rsidP="00B21BD0">
            <w:pPr>
              <w:pStyle w:val="ARGrantstabletext"/>
              <w:rPr>
                <w:b/>
                <w:bCs/>
                <w:color w:val="000000"/>
              </w:rPr>
            </w:pPr>
            <w:r w:rsidRPr="00E26EEC">
              <w:rPr>
                <w:bCs/>
                <w:color w:val="000000"/>
              </w:rPr>
              <w:t>Returned &amp; Services League of Australia Victorian Branch</w:t>
            </w:r>
          </w:p>
        </w:tc>
        <w:tc>
          <w:tcPr>
            <w:tcW w:w="1187" w:type="dxa"/>
            <w:noWrap/>
          </w:tcPr>
          <w:p w14:paraId="44AD71F2" w14:textId="77777777" w:rsidR="0050196F" w:rsidRPr="00E26EEC" w:rsidRDefault="0050196F" w:rsidP="00B21BD0">
            <w:pPr>
              <w:pStyle w:val="ARGrantstabletextright"/>
              <w:rPr>
                <w:b/>
                <w:bCs/>
                <w:color w:val="000000"/>
              </w:rPr>
            </w:pPr>
            <w:r w:rsidRPr="00E26EEC">
              <w:rPr>
                <w:bCs/>
                <w:color w:val="000000"/>
              </w:rPr>
              <w:t>333,000</w:t>
            </w:r>
          </w:p>
        </w:tc>
      </w:tr>
      <w:tr w:rsidR="0050196F" w:rsidRPr="00B6199F" w14:paraId="39D2B8EE" w14:textId="77777777" w:rsidTr="00DB5974">
        <w:tc>
          <w:tcPr>
            <w:tcW w:w="3402" w:type="dxa"/>
            <w:noWrap/>
          </w:tcPr>
          <w:p w14:paraId="0C1E147B" w14:textId="77777777" w:rsidR="0050196F" w:rsidRPr="00E26EEC" w:rsidRDefault="0050196F" w:rsidP="00B21BD0">
            <w:pPr>
              <w:pStyle w:val="ARGrantstabletext"/>
              <w:rPr>
                <w:b/>
                <w:bCs/>
                <w:color w:val="000000"/>
              </w:rPr>
            </w:pPr>
            <w:r w:rsidRPr="00E26EEC">
              <w:rPr>
                <w:bCs/>
                <w:color w:val="000000"/>
              </w:rPr>
              <w:t>Rotary Club of Manningham City Inc</w:t>
            </w:r>
          </w:p>
        </w:tc>
        <w:tc>
          <w:tcPr>
            <w:tcW w:w="1187" w:type="dxa"/>
            <w:noWrap/>
          </w:tcPr>
          <w:p w14:paraId="79046CE6" w14:textId="77777777" w:rsidR="0050196F" w:rsidRPr="00E26EEC" w:rsidRDefault="0050196F" w:rsidP="00B21BD0">
            <w:pPr>
              <w:pStyle w:val="ARGrantstabletextright"/>
              <w:rPr>
                <w:b/>
                <w:bCs/>
                <w:color w:val="000000"/>
              </w:rPr>
            </w:pPr>
            <w:r w:rsidRPr="00E26EEC">
              <w:rPr>
                <w:bCs/>
                <w:color w:val="000000"/>
              </w:rPr>
              <w:t>5,534</w:t>
            </w:r>
          </w:p>
        </w:tc>
      </w:tr>
      <w:tr w:rsidR="0050196F" w:rsidRPr="00B6199F" w14:paraId="3831EC62" w14:textId="77777777" w:rsidTr="00DB5974">
        <w:tc>
          <w:tcPr>
            <w:tcW w:w="3402" w:type="dxa"/>
            <w:noWrap/>
          </w:tcPr>
          <w:p w14:paraId="640D4239" w14:textId="77777777" w:rsidR="0050196F" w:rsidRPr="00E26EEC" w:rsidRDefault="0050196F" w:rsidP="00B21BD0">
            <w:pPr>
              <w:pStyle w:val="ARGrantstabletext"/>
              <w:rPr>
                <w:b/>
                <w:bCs/>
                <w:color w:val="000000"/>
              </w:rPr>
            </w:pPr>
            <w:r w:rsidRPr="00E26EEC">
              <w:rPr>
                <w:bCs/>
                <w:color w:val="000000"/>
              </w:rPr>
              <w:t>Sail &amp; Adventure Ltd</w:t>
            </w:r>
          </w:p>
        </w:tc>
        <w:tc>
          <w:tcPr>
            <w:tcW w:w="1187" w:type="dxa"/>
            <w:noWrap/>
          </w:tcPr>
          <w:p w14:paraId="6BB274A6" w14:textId="77777777" w:rsidR="0050196F" w:rsidRPr="00E26EEC" w:rsidRDefault="0050196F" w:rsidP="00B21BD0">
            <w:pPr>
              <w:pStyle w:val="ARGrantstabletextright"/>
              <w:rPr>
                <w:b/>
                <w:bCs/>
                <w:color w:val="000000"/>
              </w:rPr>
            </w:pPr>
            <w:r w:rsidRPr="00E26EEC">
              <w:rPr>
                <w:bCs/>
                <w:color w:val="000000"/>
              </w:rPr>
              <w:t>21,410</w:t>
            </w:r>
          </w:p>
        </w:tc>
      </w:tr>
      <w:tr w:rsidR="0050196F" w:rsidRPr="00B6199F" w14:paraId="1A1C6ABE" w14:textId="77777777" w:rsidTr="00DB5974">
        <w:tc>
          <w:tcPr>
            <w:tcW w:w="3402" w:type="dxa"/>
            <w:noWrap/>
          </w:tcPr>
          <w:p w14:paraId="6E462A9D" w14:textId="57EDD379" w:rsidR="0050196F" w:rsidRPr="00E26EEC" w:rsidRDefault="0050196F" w:rsidP="00B21BD0">
            <w:pPr>
              <w:pStyle w:val="ARGrantstabletext"/>
              <w:rPr>
                <w:b/>
                <w:bCs/>
                <w:color w:val="000000"/>
              </w:rPr>
            </w:pPr>
            <w:r w:rsidRPr="00E26EEC">
              <w:rPr>
                <w:bCs/>
                <w:color w:val="000000"/>
              </w:rPr>
              <w:t xml:space="preserve">Sandringham and District Historical Society </w:t>
            </w:r>
            <w:r w:rsidR="003B5B30">
              <w:rPr>
                <w:bCs/>
                <w:color w:val="000000"/>
              </w:rPr>
              <w:t>Inc</w:t>
            </w:r>
          </w:p>
        </w:tc>
        <w:tc>
          <w:tcPr>
            <w:tcW w:w="1187" w:type="dxa"/>
            <w:noWrap/>
          </w:tcPr>
          <w:p w14:paraId="14DDC006" w14:textId="77777777" w:rsidR="0050196F" w:rsidRPr="00E26EEC" w:rsidRDefault="0050196F" w:rsidP="00B21BD0">
            <w:pPr>
              <w:pStyle w:val="ARGrantstabletextright"/>
              <w:rPr>
                <w:b/>
                <w:bCs/>
                <w:color w:val="000000"/>
              </w:rPr>
            </w:pPr>
            <w:r w:rsidRPr="00E26EEC">
              <w:rPr>
                <w:bCs/>
                <w:color w:val="000000"/>
              </w:rPr>
              <w:t>30,000</w:t>
            </w:r>
          </w:p>
        </w:tc>
      </w:tr>
      <w:tr w:rsidR="0050196F" w:rsidRPr="00B6199F" w14:paraId="3435AA1D" w14:textId="77777777" w:rsidTr="00DB5974">
        <w:tc>
          <w:tcPr>
            <w:tcW w:w="3402" w:type="dxa"/>
            <w:noWrap/>
          </w:tcPr>
          <w:p w14:paraId="4F37B637" w14:textId="77777777" w:rsidR="0050196F" w:rsidRPr="00E26EEC" w:rsidRDefault="0050196F" w:rsidP="00B21BD0">
            <w:pPr>
              <w:pStyle w:val="ARGrantstabletext"/>
              <w:rPr>
                <w:b/>
                <w:bCs/>
                <w:color w:val="000000"/>
              </w:rPr>
            </w:pPr>
            <w:r w:rsidRPr="00E26EEC">
              <w:rPr>
                <w:bCs/>
                <w:color w:val="000000"/>
              </w:rPr>
              <w:t>Seville Township Group</w:t>
            </w:r>
          </w:p>
        </w:tc>
        <w:tc>
          <w:tcPr>
            <w:tcW w:w="1187" w:type="dxa"/>
            <w:noWrap/>
          </w:tcPr>
          <w:p w14:paraId="275648DA" w14:textId="77777777" w:rsidR="0050196F" w:rsidRPr="00E26EEC" w:rsidRDefault="0050196F" w:rsidP="00B21BD0">
            <w:pPr>
              <w:pStyle w:val="ARGrantstabletextright"/>
              <w:rPr>
                <w:b/>
                <w:bCs/>
                <w:color w:val="000000"/>
              </w:rPr>
            </w:pPr>
            <w:r w:rsidRPr="00E26EEC">
              <w:rPr>
                <w:bCs/>
                <w:color w:val="000000"/>
              </w:rPr>
              <w:t>28,890</w:t>
            </w:r>
          </w:p>
        </w:tc>
      </w:tr>
      <w:tr w:rsidR="0050196F" w:rsidRPr="00B6199F" w14:paraId="54336CDE" w14:textId="77777777" w:rsidTr="00DB5974">
        <w:tc>
          <w:tcPr>
            <w:tcW w:w="3402" w:type="dxa"/>
            <w:noWrap/>
          </w:tcPr>
          <w:p w14:paraId="09CBE8FD" w14:textId="77777777" w:rsidR="0050196F" w:rsidRPr="00EA2AB7" w:rsidRDefault="0050196F" w:rsidP="00B21BD0">
            <w:pPr>
              <w:pStyle w:val="ARGrantstabletext"/>
              <w:rPr>
                <w:b/>
                <w:bCs/>
                <w:color w:val="000000"/>
                <w:spacing w:val="-4"/>
              </w:rPr>
            </w:pPr>
            <w:r w:rsidRPr="00EA2AB7">
              <w:rPr>
                <w:bCs/>
                <w:color w:val="000000"/>
                <w:spacing w:val="-4"/>
              </w:rPr>
              <w:t>Seymour RSL Sub-Branch Building Patriotic Fund</w:t>
            </w:r>
          </w:p>
        </w:tc>
        <w:tc>
          <w:tcPr>
            <w:tcW w:w="1187" w:type="dxa"/>
            <w:noWrap/>
          </w:tcPr>
          <w:p w14:paraId="6EB5EC34" w14:textId="77777777" w:rsidR="0050196F" w:rsidRPr="00E26EEC" w:rsidRDefault="0050196F" w:rsidP="00B21BD0">
            <w:pPr>
              <w:pStyle w:val="ARGrantstabletextright"/>
              <w:rPr>
                <w:b/>
                <w:bCs/>
                <w:color w:val="000000"/>
              </w:rPr>
            </w:pPr>
            <w:r w:rsidRPr="00E26EEC">
              <w:rPr>
                <w:bCs/>
                <w:color w:val="000000"/>
              </w:rPr>
              <w:t>49,210</w:t>
            </w:r>
          </w:p>
        </w:tc>
      </w:tr>
      <w:tr w:rsidR="0050196F" w:rsidRPr="00B6199F" w14:paraId="217261FE" w14:textId="77777777" w:rsidTr="00DB5974">
        <w:tc>
          <w:tcPr>
            <w:tcW w:w="3402" w:type="dxa"/>
            <w:noWrap/>
          </w:tcPr>
          <w:p w14:paraId="53E462BB" w14:textId="77777777" w:rsidR="0050196F" w:rsidRPr="00E26EEC" w:rsidRDefault="0050196F" w:rsidP="00B21BD0">
            <w:pPr>
              <w:pStyle w:val="ARGrantstabletext"/>
              <w:rPr>
                <w:b/>
                <w:bCs/>
                <w:color w:val="000000"/>
              </w:rPr>
            </w:pPr>
            <w:r w:rsidRPr="00E26EEC">
              <w:rPr>
                <w:bCs/>
                <w:color w:val="000000"/>
              </w:rPr>
              <w:t>Shrine of Remembrance</w:t>
            </w:r>
          </w:p>
        </w:tc>
        <w:tc>
          <w:tcPr>
            <w:tcW w:w="1187" w:type="dxa"/>
            <w:noWrap/>
          </w:tcPr>
          <w:p w14:paraId="7BAC70DA" w14:textId="77777777" w:rsidR="0050196F" w:rsidRPr="00E26EEC" w:rsidRDefault="0050196F" w:rsidP="00B21BD0">
            <w:pPr>
              <w:pStyle w:val="ARGrantstabletextright"/>
              <w:rPr>
                <w:b/>
                <w:bCs/>
                <w:color w:val="000000"/>
              </w:rPr>
            </w:pPr>
            <w:r w:rsidRPr="00E26EEC">
              <w:rPr>
                <w:bCs/>
                <w:color w:val="000000"/>
              </w:rPr>
              <w:t>3,767,220</w:t>
            </w:r>
          </w:p>
        </w:tc>
      </w:tr>
      <w:tr w:rsidR="0050196F" w:rsidRPr="00B6199F" w14:paraId="0264B055" w14:textId="77777777" w:rsidTr="00DB5974">
        <w:tc>
          <w:tcPr>
            <w:tcW w:w="3402" w:type="dxa"/>
            <w:noWrap/>
          </w:tcPr>
          <w:p w14:paraId="3C261E6C" w14:textId="59D69E86" w:rsidR="0050196F" w:rsidRPr="00E26EEC" w:rsidRDefault="0050196F" w:rsidP="00B21BD0">
            <w:pPr>
              <w:pStyle w:val="ARGrantstabletext"/>
              <w:rPr>
                <w:b/>
                <w:bCs/>
                <w:color w:val="000000"/>
              </w:rPr>
            </w:pPr>
            <w:r w:rsidRPr="00E26EEC">
              <w:rPr>
                <w:bCs/>
                <w:color w:val="000000"/>
              </w:rPr>
              <w:t xml:space="preserve">St Arnaud RSL Sub-Branch </w:t>
            </w:r>
            <w:r w:rsidR="003B5B30">
              <w:rPr>
                <w:bCs/>
                <w:color w:val="000000"/>
              </w:rPr>
              <w:t>Inc</w:t>
            </w:r>
          </w:p>
        </w:tc>
        <w:tc>
          <w:tcPr>
            <w:tcW w:w="1187" w:type="dxa"/>
            <w:noWrap/>
          </w:tcPr>
          <w:p w14:paraId="1D69E436" w14:textId="77777777" w:rsidR="0050196F" w:rsidRPr="00E26EEC" w:rsidRDefault="0050196F" w:rsidP="00B21BD0">
            <w:pPr>
              <w:pStyle w:val="ARGrantstabletextright"/>
              <w:rPr>
                <w:b/>
                <w:bCs/>
                <w:color w:val="000000"/>
              </w:rPr>
            </w:pPr>
            <w:r w:rsidRPr="00E26EEC">
              <w:rPr>
                <w:bCs/>
                <w:color w:val="000000"/>
              </w:rPr>
              <w:t>7,650</w:t>
            </w:r>
          </w:p>
        </w:tc>
      </w:tr>
      <w:tr w:rsidR="0050196F" w:rsidRPr="00B6199F" w14:paraId="35C73CB6" w14:textId="77777777" w:rsidTr="00DB5974">
        <w:tc>
          <w:tcPr>
            <w:tcW w:w="3402" w:type="dxa"/>
            <w:noWrap/>
          </w:tcPr>
          <w:p w14:paraId="6BCD4FA5" w14:textId="198C6528" w:rsidR="0050196F" w:rsidRPr="00E26EEC" w:rsidRDefault="0050196F" w:rsidP="00B21BD0">
            <w:pPr>
              <w:pStyle w:val="ARGrantstabletext"/>
              <w:rPr>
                <w:b/>
                <w:bCs/>
                <w:color w:val="000000"/>
              </w:rPr>
            </w:pPr>
            <w:r w:rsidRPr="00E26EEC">
              <w:rPr>
                <w:bCs/>
                <w:color w:val="000000"/>
              </w:rPr>
              <w:t>St John</w:t>
            </w:r>
            <w:r w:rsidR="00711AE6">
              <w:rPr>
                <w:bCs/>
                <w:color w:val="000000"/>
              </w:rPr>
              <w:t>’</w:t>
            </w:r>
            <w:r w:rsidRPr="00E26EEC">
              <w:rPr>
                <w:bCs/>
                <w:color w:val="000000"/>
              </w:rPr>
              <w:t>s Primary School, Euroa</w:t>
            </w:r>
          </w:p>
        </w:tc>
        <w:tc>
          <w:tcPr>
            <w:tcW w:w="1187" w:type="dxa"/>
            <w:noWrap/>
          </w:tcPr>
          <w:p w14:paraId="3E755193" w14:textId="77777777" w:rsidR="0050196F" w:rsidRPr="00E26EEC" w:rsidRDefault="0050196F" w:rsidP="00B21BD0">
            <w:pPr>
              <w:pStyle w:val="ARGrantstabletextright"/>
              <w:rPr>
                <w:b/>
                <w:bCs/>
                <w:color w:val="000000"/>
              </w:rPr>
            </w:pPr>
            <w:r w:rsidRPr="00E26EEC">
              <w:rPr>
                <w:bCs/>
                <w:color w:val="000000"/>
              </w:rPr>
              <w:t>3,570</w:t>
            </w:r>
          </w:p>
        </w:tc>
      </w:tr>
      <w:tr w:rsidR="0050196F" w:rsidRPr="00B6199F" w14:paraId="798AE35C" w14:textId="77777777" w:rsidTr="00DB5974">
        <w:tc>
          <w:tcPr>
            <w:tcW w:w="3402" w:type="dxa"/>
            <w:noWrap/>
          </w:tcPr>
          <w:p w14:paraId="3770D075" w14:textId="77777777" w:rsidR="0050196F" w:rsidRPr="00E26EEC" w:rsidRDefault="0050196F" w:rsidP="00B21BD0">
            <w:pPr>
              <w:pStyle w:val="ARGrantstabletext"/>
              <w:rPr>
                <w:b/>
                <w:bCs/>
                <w:color w:val="000000"/>
              </w:rPr>
            </w:pPr>
            <w:r w:rsidRPr="00E26EEC">
              <w:rPr>
                <w:bCs/>
                <w:color w:val="000000"/>
              </w:rPr>
              <w:t>Surf Coast Shire</w:t>
            </w:r>
          </w:p>
        </w:tc>
        <w:tc>
          <w:tcPr>
            <w:tcW w:w="1187" w:type="dxa"/>
            <w:noWrap/>
          </w:tcPr>
          <w:p w14:paraId="7DF9F723" w14:textId="77777777" w:rsidR="0050196F" w:rsidRPr="00E26EEC" w:rsidRDefault="0050196F" w:rsidP="00B21BD0">
            <w:pPr>
              <w:pStyle w:val="ARGrantstabletextright"/>
              <w:rPr>
                <w:b/>
                <w:bCs/>
                <w:color w:val="000000"/>
              </w:rPr>
            </w:pPr>
            <w:r w:rsidRPr="00E26EEC">
              <w:rPr>
                <w:bCs/>
                <w:color w:val="000000"/>
              </w:rPr>
              <w:t>49,728</w:t>
            </w:r>
          </w:p>
        </w:tc>
      </w:tr>
      <w:tr w:rsidR="0050196F" w:rsidRPr="00B6199F" w14:paraId="45AA1BCF" w14:textId="77777777" w:rsidTr="00DB5974">
        <w:tc>
          <w:tcPr>
            <w:tcW w:w="3402" w:type="dxa"/>
            <w:noWrap/>
          </w:tcPr>
          <w:p w14:paraId="6041451E" w14:textId="77777777" w:rsidR="0050196F" w:rsidRPr="00E26EEC" w:rsidRDefault="0050196F" w:rsidP="00B21BD0">
            <w:pPr>
              <w:pStyle w:val="ARGrantstabletext"/>
              <w:rPr>
                <w:b/>
                <w:bCs/>
                <w:color w:val="000000"/>
              </w:rPr>
            </w:pPr>
            <w:r w:rsidRPr="00E26EEC">
              <w:rPr>
                <w:bCs/>
                <w:color w:val="000000"/>
              </w:rPr>
              <w:t>The Legacy Club of Ballarat Inc</w:t>
            </w:r>
          </w:p>
        </w:tc>
        <w:tc>
          <w:tcPr>
            <w:tcW w:w="1187" w:type="dxa"/>
            <w:noWrap/>
          </w:tcPr>
          <w:p w14:paraId="4305841D" w14:textId="77777777" w:rsidR="0050196F" w:rsidRPr="00E26EEC" w:rsidRDefault="0050196F" w:rsidP="00B21BD0">
            <w:pPr>
              <w:pStyle w:val="ARGrantstabletextright"/>
              <w:rPr>
                <w:b/>
                <w:bCs/>
                <w:color w:val="000000"/>
              </w:rPr>
            </w:pPr>
            <w:r w:rsidRPr="00E26EEC">
              <w:rPr>
                <w:bCs/>
                <w:color w:val="000000"/>
              </w:rPr>
              <w:t>18,000</w:t>
            </w:r>
          </w:p>
        </w:tc>
      </w:tr>
      <w:tr w:rsidR="0050196F" w:rsidRPr="00B6199F" w14:paraId="7092CEE2" w14:textId="77777777" w:rsidTr="00DB5974">
        <w:tc>
          <w:tcPr>
            <w:tcW w:w="3402" w:type="dxa"/>
            <w:noWrap/>
          </w:tcPr>
          <w:p w14:paraId="29F9B4C9" w14:textId="3A116747" w:rsidR="0050196F" w:rsidRPr="00E26EEC" w:rsidRDefault="0050196F" w:rsidP="00B21BD0">
            <w:pPr>
              <w:pStyle w:val="ARGrantstabletext"/>
              <w:rPr>
                <w:b/>
                <w:bCs/>
                <w:color w:val="000000"/>
              </w:rPr>
            </w:pPr>
            <w:r w:rsidRPr="00E26EEC">
              <w:rPr>
                <w:bCs/>
                <w:color w:val="000000"/>
              </w:rPr>
              <w:t>This Story Australia Ltd</w:t>
            </w:r>
          </w:p>
        </w:tc>
        <w:tc>
          <w:tcPr>
            <w:tcW w:w="1187" w:type="dxa"/>
            <w:noWrap/>
          </w:tcPr>
          <w:p w14:paraId="6B993BAA" w14:textId="77777777" w:rsidR="0050196F" w:rsidRPr="00E26EEC" w:rsidRDefault="0050196F" w:rsidP="00B21BD0">
            <w:pPr>
              <w:pStyle w:val="ARGrantstabletextright"/>
              <w:rPr>
                <w:b/>
                <w:bCs/>
                <w:color w:val="000000"/>
              </w:rPr>
            </w:pPr>
            <w:r w:rsidRPr="00E26EEC">
              <w:rPr>
                <w:bCs/>
                <w:color w:val="000000"/>
              </w:rPr>
              <w:t>28,750</w:t>
            </w:r>
          </w:p>
        </w:tc>
      </w:tr>
      <w:tr w:rsidR="0050196F" w:rsidRPr="00B6199F" w14:paraId="4C5A3B9A" w14:textId="77777777" w:rsidTr="00DB5974">
        <w:tc>
          <w:tcPr>
            <w:tcW w:w="3402" w:type="dxa"/>
            <w:noWrap/>
          </w:tcPr>
          <w:p w14:paraId="4B17A41E" w14:textId="77777777" w:rsidR="0050196F" w:rsidRPr="00E26EEC" w:rsidRDefault="0050196F" w:rsidP="00B21BD0">
            <w:pPr>
              <w:pStyle w:val="ARGrantstabletext"/>
              <w:rPr>
                <w:b/>
                <w:bCs/>
                <w:color w:val="000000"/>
              </w:rPr>
            </w:pPr>
            <w:r w:rsidRPr="00E26EEC">
              <w:rPr>
                <w:bCs/>
                <w:color w:val="000000"/>
              </w:rPr>
              <w:t>Tongala RSL Sub Branch</w:t>
            </w:r>
          </w:p>
        </w:tc>
        <w:tc>
          <w:tcPr>
            <w:tcW w:w="1187" w:type="dxa"/>
            <w:noWrap/>
          </w:tcPr>
          <w:p w14:paraId="65000204" w14:textId="77777777" w:rsidR="0050196F" w:rsidRPr="00E26EEC" w:rsidRDefault="0050196F" w:rsidP="00B21BD0">
            <w:pPr>
              <w:pStyle w:val="ARGrantstabletextright"/>
              <w:rPr>
                <w:b/>
                <w:bCs/>
                <w:color w:val="000000"/>
              </w:rPr>
            </w:pPr>
            <w:r w:rsidRPr="00E26EEC">
              <w:rPr>
                <w:bCs/>
                <w:color w:val="000000"/>
              </w:rPr>
              <w:t>8,860</w:t>
            </w:r>
          </w:p>
        </w:tc>
      </w:tr>
      <w:tr w:rsidR="0050196F" w:rsidRPr="00B6199F" w14:paraId="16138CCC" w14:textId="77777777" w:rsidTr="00DB5974">
        <w:tc>
          <w:tcPr>
            <w:tcW w:w="3402" w:type="dxa"/>
            <w:noWrap/>
          </w:tcPr>
          <w:p w14:paraId="3CAD6F38" w14:textId="48B3EE07" w:rsidR="0050196F" w:rsidRPr="00EA2AB7" w:rsidRDefault="0050196F" w:rsidP="00B21BD0">
            <w:pPr>
              <w:pStyle w:val="ARGrantstabletext"/>
              <w:rPr>
                <w:b/>
                <w:bCs/>
                <w:color w:val="000000"/>
                <w:spacing w:val="-2"/>
              </w:rPr>
            </w:pPr>
            <w:r w:rsidRPr="00EA2AB7">
              <w:rPr>
                <w:bCs/>
                <w:color w:val="000000"/>
                <w:spacing w:val="-2"/>
              </w:rPr>
              <w:t xml:space="preserve">Toongabbie Recreation Reserves Committee </w:t>
            </w:r>
            <w:r w:rsidR="003B5B30">
              <w:rPr>
                <w:bCs/>
                <w:color w:val="000000"/>
                <w:spacing w:val="-2"/>
              </w:rPr>
              <w:t>Inc</w:t>
            </w:r>
          </w:p>
        </w:tc>
        <w:tc>
          <w:tcPr>
            <w:tcW w:w="1187" w:type="dxa"/>
            <w:noWrap/>
          </w:tcPr>
          <w:p w14:paraId="64907CE0" w14:textId="77777777" w:rsidR="0050196F" w:rsidRPr="00E26EEC" w:rsidRDefault="0050196F" w:rsidP="00B21BD0">
            <w:pPr>
              <w:pStyle w:val="ARGrantstabletextright"/>
              <w:rPr>
                <w:b/>
                <w:bCs/>
                <w:color w:val="000000"/>
              </w:rPr>
            </w:pPr>
            <w:r w:rsidRPr="00E26EEC">
              <w:rPr>
                <w:bCs/>
                <w:color w:val="000000"/>
              </w:rPr>
              <w:t>30,000</w:t>
            </w:r>
          </w:p>
        </w:tc>
      </w:tr>
      <w:tr w:rsidR="0050196F" w:rsidRPr="00B6199F" w14:paraId="05E0C213" w14:textId="77777777" w:rsidTr="00DB5974">
        <w:tc>
          <w:tcPr>
            <w:tcW w:w="3402" w:type="dxa"/>
            <w:noWrap/>
          </w:tcPr>
          <w:p w14:paraId="070D2569" w14:textId="77777777" w:rsidR="0050196F" w:rsidRPr="00E26EEC" w:rsidRDefault="0050196F" w:rsidP="00B21BD0">
            <w:pPr>
              <w:pStyle w:val="ARGrantstabletext"/>
              <w:rPr>
                <w:b/>
                <w:bCs/>
                <w:color w:val="000000"/>
              </w:rPr>
            </w:pPr>
            <w:r w:rsidRPr="00E26EEC">
              <w:rPr>
                <w:bCs/>
                <w:color w:val="000000"/>
              </w:rPr>
              <w:t>Torquay RSL Sub-Branch</w:t>
            </w:r>
          </w:p>
        </w:tc>
        <w:tc>
          <w:tcPr>
            <w:tcW w:w="1187" w:type="dxa"/>
            <w:noWrap/>
          </w:tcPr>
          <w:p w14:paraId="1E60E292" w14:textId="77777777" w:rsidR="0050196F" w:rsidRPr="00E26EEC" w:rsidRDefault="0050196F" w:rsidP="00B21BD0">
            <w:pPr>
              <w:pStyle w:val="ARGrantstabletextright"/>
              <w:rPr>
                <w:b/>
                <w:bCs/>
                <w:color w:val="000000"/>
              </w:rPr>
            </w:pPr>
            <w:r w:rsidRPr="00E26EEC">
              <w:rPr>
                <w:bCs/>
                <w:color w:val="000000"/>
              </w:rPr>
              <w:t>15,000</w:t>
            </w:r>
          </w:p>
        </w:tc>
      </w:tr>
      <w:tr w:rsidR="0050196F" w:rsidRPr="00B6199F" w14:paraId="5F818919" w14:textId="77777777" w:rsidTr="00DB5974">
        <w:tc>
          <w:tcPr>
            <w:tcW w:w="3402" w:type="dxa"/>
            <w:noWrap/>
          </w:tcPr>
          <w:p w14:paraId="1A820DE0" w14:textId="39BF5736" w:rsidR="0050196F" w:rsidRPr="00E26EEC" w:rsidRDefault="0050196F" w:rsidP="00B21BD0">
            <w:pPr>
              <w:pStyle w:val="ARGrantstabletext"/>
              <w:rPr>
                <w:b/>
                <w:bCs/>
                <w:color w:val="000000"/>
              </w:rPr>
            </w:pPr>
            <w:r w:rsidRPr="00E26EEC">
              <w:rPr>
                <w:bCs/>
                <w:color w:val="000000"/>
              </w:rPr>
              <w:t xml:space="preserve">Torquay Surf Lifesaving Club </w:t>
            </w:r>
            <w:r w:rsidR="003B5B30">
              <w:rPr>
                <w:bCs/>
                <w:color w:val="000000"/>
              </w:rPr>
              <w:t>Inc</w:t>
            </w:r>
          </w:p>
        </w:tc>
        <w:tc>
          <w:tcPr>
            <w:tcW w:w="1187" w:type="dxa"/>
            <w:noWrap/>
          </w:tcPr>
          <w:p w14:paraId="0A5AFBFB" w14:textId="77777777" w:rsidR="0050196F" w:rsidRPr="00E26EEC" w:rsidRDefault="0050196F" w:rsidP="00B21BD0">
            <w:pPr>
              <w:pStyle w:val="ARGrantstabletextright"/>
              <w:rPr>
                <w:b/>
                <w:bCs/>
                <w:color w:val="000000"/>
              </w:rPr>
            </w:pPr>
            <w:r w:rsidRPr="00E26EEC">
              <w:rPr>
                <w:bCs/>
                <w:color w:val="000000"/>
              </w:rPr>
              <w:t>7,500</w:t>
            </w:r>
          </w:p>
        </w:tc>
      </w:tr>
      <w:tr w:rsidR="0050196F" w:rsidRPr="00B6199F" w14:paraId="234B3B74" w14:textId="77777777" w:rsidTr="00DB5974">
        <w:tc>
          <w:tcPr>
            <w:tcW w:w="3402" w:type="dxa"/>
            <w:noWrap/>
          </w:tcPr>
          <w:p w14:paraId="077577C6" w14:textId="77777777" w:rsidR="0050196F" w:rsidRPr="00E26EEC" w:rsidRDefault="0050196F" w:rsidP="00B21BD0">
            <w:pPr>
              <w:pStyle w:val="ARGrantstabletext"/>
              <w:rPr>
                <w:b/>
                <w:bCs/>
                <w:color w:val="000000"/>
              </w:rPr>
            </w:pPr>
            <w:r w:rsidRPr="00E26EEC">
              <w:rPr>
                <w:bCs/>
                <w:color w:val="000000"/>
              </w:rPr>
              <w:t>Upwey Belgrave RSL Sub-Branch</w:t>
            </w:r>
          </w:p>
        </w:tc>
        <w:tc>
          <w:tcPr>
            <w:tcW w:w="1187" w:type="dxa"/>
            <w:noWrap/>
          </w:tcPr>
          <w:p w14:paraId="4080ABCA" w14:textId="77777777" w:rsidR="0050196F" w:rsidRPr="00E26EEC" w:rsidRDefault="0050196F" w:rsidP="00B21BD0">
            <w:pPr>
              <w:pStyle w:val="ARGrantstabletextright"/>
              <w:rPr>
                <w:b/>
                <w:bCs/>
                <w:color w:val="000000"/>
              </w:rPr>
            </w:pPr>
            <w:r w:rsidRPr="00E26EEC">
              <w:rPr>
                <w:bCs/>
                <w:color w:val="000000"/>
              </w:rPr>
              <w:t>4,500</w:t>
            </w:r>
          </w:p>
        </w:tc>
      </w:tr>
      <w:tr w:rsidR="0050196F" w:rsidRPr="00B6199F" w14:paraId="4A356336" w14:textId="77777777" w:rsidTr="00DB5974">
        <w:tc>
          <w:tcPr>
            <w:tcW w:w="3402" w:type="dxa"/>
            <w:noWrap/>
          </w:tcPr>
          <w:p w14:paraId="1834872B" w14:textId="77777777" w:rsidR="0050196F" w:rsidRPr="00E26EEC" w:rsidRDefault="0050196F" w:rsidP="00B21BD0">
            <w:pPr>
              <w:pStyle w:val="ARGrantstabletext"/>
              <w:rPr>
                <w:b/>
                <w:bCs/>
                <w:color w:val="000000"/>
              </w:rPr>
            </w:pPr>
            <w:r w:rsidRPr="00E26EEC">
              <w:rPr>
                <w:bCs/>
                <w:color w:val="000000"/>
              </w:rPr>
              <w:t>Vasey RSL Care</w:t>
            </w:r>
          </w:p>
        </w:tc>
        <w:tc>
          <w:tcPr>
            <w:tcW w:w="1187" w:type="dxa"/>
            <w:noWrap/>
          </w:tcPr>
          <w:p w14:paraId="32322EAD" w14:textId="77777777" w:rsidR="0050196F" w:rsidRPr="00E26EEC" w:rsidRDefault="0050196F" w:rsidP="00B21BD0">
            <w:pPr>
              <w:pStyle w:val="ARGrantstabletextright"/>
              <w:rPr>
                <w:b/>
                <w:bCs/>
                <w:color w:val="000000"/>
              </w:rPr>
            </w:pPr>
            <w:r w:rsidRPr="00E26EEC">
              <w:rPr>
                <w:bCs/>
                <w:color w:val="000000"/>
              </w:rPr>
              <w:t>55,750</w:t>
            </w:r>
          </w:p>
        </w:tc>
      </w:tr>
      <w:tr w:rsidR="0050196F" w:rsidRPr="00B6199F" w14:paraId="3657A62C" w14:textId="77777777" w:rsidTr="00DB5974">
        <w:tc>
          <w:tcPr>
            <w:tcW w:w="3402" w:type="dxa"/>
            <w:noWrap/>
          </w:tcPr>
          <w:p w14:paraId="7D2BE994" w14:textId="276A5E31" w:rsidR="0050196F" w:rsidRPr="00E26EEC" w:rsidRDefault="0050196F" w:rsidP="00B21BD0">
            <w:pPr>
              <w:pStyle w:val="ARGrantstabletext"/>
              <w:rPr>
                <w:b/>
                <w:bCs/>
                <w:color w:val="000000"/>
              </w:rPr>
            </w:pPr>
            <w:r w:rsidRPr="00E26EEC">
              <w:rPr>
                <w:bCs/>
                <w:color w:val="000000"/>
              </w:rPr>
              <w:t>Vietnam Veterans Association of</w:t>
            </w:r>
            <w:r w:rsidR="00036C59">
              <w:rPr>
                <w:bCs/>
                <w:color w:val="000000"/>
              </w:rPr>
              <w:t> </w:t>
            </w:r>
            <w:r w:rsidRPr="00E26EEC">
              <w:rPr>
                <w:bCs/>
                <w:color w:val="000000"/>
              </w:rPr>
              <w:t>Australia (VVAA)</w:t>
            </w:r>
          </w:p>
        </w:tc>
        <w:tc>
          <w:tcPr>
            <w:tcW w:w="1187" w:type="dxa"/>
            <w:noWrap/>
          </w:tcPr>
          <w:p w14:paraId="18ACC03D" w14:textId="77777777" w:rsidR="0050196F" w:rsidRPr="00E26EEC" w:rsidRDefault="0050196F" w:rsidP="00B21BD0">
            <w:pPr>
              <w:pStyle w:val="ARGrantstabletextright"/>
              <w:rPr>
                <w:b/>
                <w:bCs/>
                <w:color w:val="000000"/>
              </w:rPr>
            </w:pPr>
            <w:r w:rsidRPr="00E26EEC">
              <w:rPr>
                <w:bCs/>
                <w:color w:val="000000"/>
              </w:rPr>
              <w:t>20,000</w:t>
            </w:r>
          </w:p>
        </w:tc>
      </w:tr>
      <w:tr w:rsidR="0050196F" w:rsidRPr="00B6199F" w14:paraId="7388511E" w14:textId="77777777" w:rsidTr="00DB5974">
        <w:tc>
          <w:tcPr>
            <w:tcW w:w="3402" w:type="dxa"/>
            <w:noWrap/>
          </w:tcPr>
          <w:p w14:paraId="5B8EC0CC" w14:textId="7C819632" w:rsidR="0050196F" w:rsidRPr="00E26EEC" w:rsidRDefault="0050196F" w:rsidP="00B21BD0">
            <w:pPr>
              <w:pStyle w:val="ARGrantstabletext"/>
              <w:rPr>
                <w:b/>
                <w:bCs/>
                <w:color w:val="000000"/>
              </w:rPr>
            </w:pPr>
            <w:r w:rsidRPr="00E26EEC">
              <w:rPr>
                <w:bCs/>
                <w:color w:val="000000"/>
              </w:rPr>
              <w:t>Vietnam Veterans Federation Vic</w:t>
            </w:r>
            <w:r w:rsidR="00036C59">
              <w:rPr>
                <w:bCs/>
                <w:color w:val="000000"/>
              </w:rPr>
              <w:t> </w:t>
            </w:r>
            <w:r w:rsidRPr="00E26EEC">
              <w:rPr>
                <w:bCs/>
                <w:color w:val="000000"/>
              </w:rPr>
              <w:t>Branch</w:t>
            </w:r>
            <w:r w:rsidR="00036C59">
              <w:rPr>
                <w:bCs/>
                <w:color w:val="000000"/>
              </w:rPr>
              <w:t> </w:t>
            </w:r>
            <w:r w:rsidR="003B5B30">
              <w:rPr>
                <w:bCs/>
                <w:color w:val="000000"/>
              </w:rPr>
              <w:t>Inc</w:t>
            </w:r>
          </w:p>
        </w:tc>
        <w:tc>
          <w:tcPr>
            <w:tcW w:w="1187" w:type="dxa"/>
            <w:noWrap/>
          </w:tcPr>
          <w:p w14:paraId="0E8731A5" w14:textId="77777777" w:rsidR="0050196F" w:rsidRPr="00E26EEC" w:rsidRDefault="0050196F" w:rsidP="00B21BD0">
            <w:pPr>
              <w:pStyle w:val="ARGrantstabletextright"/>
              <w:rPr>
                <w:b/>
                <w:bCs/>
                <w:color w:val="000000"/>
              </w:rPr>
            </w:pPr>
            <w:r w:rsidRPr="00E26EEC">
              <w:rPr>
                <w:bCs/>
                <w:color w:val="000000"/>
              </w:rPr>
              <w:t>10,000</w:t>
            </w:r>
          </w:p>
        </w:tc>
      </w:tr>
      <w:tr w:rsidR="0050196F" w:rsidRPr="00B6199F" w14:paraId="1700C500" w14:textId="77777777" w:rsidTr="00DB5974">
        <w:tc>
          <w:tcPr>
            <w:tcW w:w="3402" w:type="dxa"/>
            <w:noWrap/>
          </w:tcPr>
          <w:p w14:paraId="4F9CE55B" w14:textId="126BE55E" w:rsidR="0050196F" w:rsidRPr="00E26EEC" w:rsidRDefault="0050196F" w:rsidP="00B21BD0">
            <w:pPr>
              <w:pStyle w:val="ARGrantstabletext"/>
              <w:rPr>
                <w:b/>
                <w:bCs/>
                <w:color w:val="000000"/>
              </w:rPr>
            </w:pPr>
            <w:r w:rsidRPr="00E26EEC">
              <w:rPr>
                <w:bCs/>
                <w:color w:val="000000"/>
              </w:rPr>
              <w:t xml:space="preserve">Vietnam Veterans Outer Eastern Melbourne, </w:t>
            </w:r>
            <w:r w:rsidR="003B5B30">
              <w:rPr>
                <w:bCs/>
                <w:color w:val="000000"/>
              </w:rPr>
              <w:t>Inc</w:t>
            </w:r>
          </w:p>
        </w:tc>
        <w:tc>
          <w:tcPr>
            <w:tcW w:w="1187" w:type="dxa"/>
            <w:noWrap/>
          </w:tcPr>
          <w:p w14:paraId="5117BED5" w14:textId="77777777" w:rsidR="0050196F" w:rsidRPr="00E26EEC" w:rsidRDefault="0050196F" w:rsidP="00B21BD0">
            <w:pPr>
              <w:pStyle w:val="ARGrantstabletextright"/>
              <w:rPr>
                <w:b/>
                <w:bCs/>
                <w:color w:val="000000"/>
              </w:rPr>
            </w:pPr>
            <w:r w:rsidRPr="00E26EEC">
              <w:rPr>
                <w:bCs/>
                <w:color w:val="000000"/>
              </w:rPr>
              <w:t>2,740</w:t>
            </w:r>
          </w:p>
        </w:tc>
      </w:tr>
      <w:tr w:rsidR="0050196F" w:rsidRPr="00B6199F" w14:paraId="755EF2DD" w14:textId="77777777" w:rsidTr="00DB5974">
        <w:tc>
          <w:tcPr>
            <w:tcW w:w="3402" w:type="dxa"/>
            <w:noWrap/>
          </w:tcPr>
          <w:p w14:paraId="13925FC1" w14:textId="04686B31" w:rsidR="0050196F" w:rsidRPr="00036C59" w:rsidRDefault="0050196F" w:rsidP="00B21BD0">
            <w:pPr>
              <w:pStyle w:val="ARGrantstabletext"/>
              <w:rPr>
                <w:b/>
                <w:bCs/>
                <w:color w:val="000000"/>
                <w:spacing w:val="-4"/>
              </w:rPr>
            </w:pPr>
            <w:r w:rsidRPr="00036C59">
              <w:rPr>
                <w:bCs/>
                <w:color w:val="000000"/>
                <w:spacing w:val="-4"/>
              </w:rPr>
              <w:t>Violet Town History Group</w:t>
            </w:r>
            <w:r w:rsidR="003B5B30">
              <w:rPr>
                <w:bCs/>
                <w:color w:val="000000"/>
                <w:spacing w:val="-4"/>
              </w:rPr>
              <w:t xml:space="preserve"> –</w:t>
            </w:r>
            <w:r w:rsidRPr="00036C59">
              <w:rPr>
                <w:bCs/>
                <w:color w:val="000000"/>
                <w:spacing w:val="-4"/>
              </w:rPr>
              <w:t xml:space="preserve"> subcommittee of Violet Town Action Group </w:t>
            </w:r>
            <w:r w:rsidR="003B5B30">
              <w:rPr>
                <w:bCs/>
                <w:color w:val="000000"/>
                <w:spacing w:val="-4"/>
              </w:rPr>
              <w:t>Inc</w:t>
            </w:r>
          </w:p>
        </w:tc>
        <w:tc>
          <w:tcPr>
            <w:tcW w:w="1187" w:type="dxa"/>
            <w:noWrap/>
          </w:tcPr>
          <w:p w14:paraId="71701EEA" w14:textId="77777777" w:rsidR="0050196F" w:rsidRPr="00E26EEC" w:rsidRDefault="0050196F" w:rsidP="00B21BD0">
            <w:pPr>
              <w:pStyle w:val="ARGrantstabletextright"/>
              <w:rPr>
                <w:b/>
                <w:bCs/>
                <w:color w:val="000000"/>
              </w:rPr>
            </w:pPr>
            <w:r w:rsidRPr="00E26EEC">
              <w:rPr>
                <w:bCs/>
                <w:color w:val="000000"/>
              </w:rPr>
              <w:t>2,000</w:t>
            </w:r>
          </w:p>
        </w:tc>
      </w:tr>
      <w:tr w:rsidR="0050196F" w:rsidRPr="00B6199F" w14:paraId="4AAB5DA8" w14:textId="77777777" w:rsidTr="00DB5974">
        <w:tc>
          <w:tcPr>
            <w:tcW w:w="3402" w:type="dxa"/>
            <w:noWrap/>
          </w:tcPr>
          <w:p w14:paraId="5697EBDD" w14:textId="77777777" w:rsidR="0050196F" w:rsidRPr="00E26EEC" w:rsidRDefault="0050196F" w:rsidP="00B21BD0">
            <w:pPr>
              <w:pStyle w:val="ARGrantstabletext"/>
              <w:rPr>
                <w:b/>
                <w:bCs/>
                <w:color w:val="000000"/>
              </w:rPr>
            </w:pPr>
            <w:r w:rsidRPr="00E26EEC">
              <w:rPr>
                <w:bCs/>
                <w:color w:val="000000"/>
              </w:rPr>
              <w:t>Warrenbayne Recreation Reserve</w:t>
            </w:r>
          </w:p>
        </w:tc>
        <w:tc>
          <w:tcPr>
            <w:tcW w:w="1187" w:type="dxa"/>
            <w:noWrap/>
          </w:tcPr>
          <w:p w14:paraId="1D406690" w14:textId="77777777" w:rsidR="0050196F" w:rsidRPr="00E26EEC" w:rsidRDefault="0050196F" w:rsidP="00B21BD0">
            <w:pPr>
              <w:pStyle w:val="ARGrantstabletextright"/>
              <w:rPr>
                <w:b/>
                <w:bCs/>
                <w:color w:val="000000"/>
              </w:rPr>
            </w:pPr>
            <w:r w:rsidRPr="00E26EEC">
              <w:rPr>
                <w:bCs/>
                <w:color w:val="000000"/>
              </w:rPr>
              <w:t>15,000</w:t>
            </w:r>
          </w:p>
        </w:tc>
      </w:tr>
      <w:tr w:rsidR="0050196F" w:rsidRPr="00B6199F" w14:paraId="2E569DD6" w14:textId="77777777" w:rsidTr="00DB5974">
        <w:tc>
          <w:tcPr>
            <w:tcW w:w="3402" w:type="dxa"/>
            <w:noWrap/>
          </w:tcPr>
          <w:p w14:paraId="2B34CA7A" w14:textId="77777777" w:rsidR="0050196F" w:rsidRPr="00E26EEC" w:rsidRDefault="0050196F" w:rsidP="00B21BD0">
            <w:pPr>
              <w:pStyle w:val="ARGrantstabletext"/>
              <w:rPr>
                <w:b/>
                <w:bCs/>
                <w:color w:val="000000"/>
              </w:rPr>
            </w:pPr>
            <w:r w:rsidRPr="00E26EEC">
              <w:rPr>
                <w:bCs/>
                <w:color w:val="000000"/>
              </w:rPr>
              <w:t>Wodonga Institute of TAFE</w:t>
            </w:r>
          </w:p>
        </w:tc>
        <w:tc>
          <w:tcPr>
            <w:tcW w:w="1187" w:type="dxa"/>
            <w:noWrap/>
          </w:tcPr>
          <w:p w14:paraId="234878FF" w14:textId="77777777" w:rsidR="0050196F" w:rsidRPr="00E26EEC" w:rsidRDefault="0050196F" w:rsidP="00B21BD0">
            <w:pPr>
              <w:pStyle w:val="ARGrantstabletextright"/>
              <w:rPr>
                <w:b/>
                <w:bCs/>
                <w:color w:val="000000"/>
              </w:rPr>
            </w:pPr>
            <w:r w:rsidRPr="00E26EEC">
              <w:rPr>
                <w:bCs/>
                <w:color w:val="000000"/>
              </w:rPr>
              <w:t>200,000</w:t>
            </w:r>
          </w:p>
        </w:tc>
      </w:tr>
      <w:tr w:rsidR="0050196F" w:rsidRPr="00B6199F" w14:paraId="31B75931" w14:textId="77777777" w:rsidTr="00DB5974">
        <w:tc>
          <w:tcPr>
            <w:tcW w:w="3402" w:type="dxa"/>
            <w:noWrap/>
          </w:tcPr>
          <w:p w14:paraId="4BF1F45B" w14:textId="77777777" w:rsidR="0050196F" w:rsidRPr="00E26EEC" w:rsidRDefault="0050196F" w:rsidP="00B21BD0">
            <w:pPr>
              <w:pStyle w:val="ARGrantstabletext"/>
              <w:rPr>
                <w:b/>
                <w:bCs/>
                <w:color w:val="000000"/>
              </w:rPr>
            </w:pPr>
            <w:r w:rsidRPr="00E26EEC">
              <w:rPr>
                <w:bCs/>
                <w:color w:val="000000"/>
              </w:rPr>
              <w:t>Wodonga RSL Sub Branch</w:t>
            </w:r>
          </w:p>
        </w:tc>
        <w:tc>
          <w:tcPr>
            <w:tcW w:w="1187" w:type="dxa"/>
            <w:noWrap/>
          </w:tcPr>
          <w:p w14:paraId="1C382A31" w14:textId="77777777" w:rsidR="0050196F" w:rsidRPr="00E26EEC" w:rsidRDefault="0050196F" w:rsidP="00B21BD0">
            <w:pPr>
              <w:pStyle w:val="ARGrantstabletextright"/>
              <w:rPr>
                <w:b/>
                <w:bCs/>
                <w:color w:val="000000"/>
              </w:rPr>
            </w:pPr>
            <w:r w:rsidRPr="00E26EEC">
              <w:rPr>
                <w:bCs/>
                <w:color w:val="000000"/>
              </w:rPr>
              <w:t>13,275</w:t>
            </w:r>
          </w:p>
        </w:tc>
      </w:tr>
      <w:tr w:rsidR="0050196F" w:rsidRPr="00B6199F" w14:paraId="150C063B" w14:textId="77777777" w:rsidTr="00DB5974">
        <w:tc>
          <w:tcPr>
            <w:tcW w:w="3402" w:type="dxa"/>
            <w:noWrap/>
          </w:tcPr>
          <w:p w14:paraId="61E579E6" w14:textId="77777777" w:rsidR="0050196F" w:rsidRPr="00E26EEC" w:rsidRDefault="0050196F" w:rsidP="00B21BD0">
            <w:pPr>
              <w:pStyle w:val="ARGrantstabletext"/>
              <w:rPr>
                <w:b/>
                <w:bCs/>
                <w:color w:val="000000"/>
              </w:rPr>
            </w:pPr>
            <w:r w:rsidRPr="00E26EEC">
              <w:rPr>
                <w:bCs/>
                <w:color w:val="000000"/>
              </w:rPr>
              <w:t>Woodend RSL Sub-Branch</w:t>
            </w:r>
          </w:p>
        </w:tc>
        <w:tc>
          <w:tcPr>
            <w:tcW w:w="1187" w:type="dxa"/>
            <w:noWrap/>
          </w:tcPr>
          <w:p w14:paraId="3B82693C" w14:textId="77777777" w:rsidR="0050196F" w:rsidRPr="00E26EEC" w:rsidRDefault="0050196F" w:rsidP="00B21BD0">
            <w:pPr>
              <w:pStyle w:val="ARGrantstabletextright"/>
              <w:rPr>
                <w:b/>
                <w:bCs/>
                <w:color w:val="000000"/>
              </w:rPr>
            </w:pPr>
            <w:r w:rsidRPr="00E26EEC">
              <w:rPr>
                <w:bCs/>
                <w:color w:val="000000"/>
              </w:rPr>
              <w:t>49,000</w:t>
            </w:r>
          </w:p>
        </w:tc>
      </w:tr>
      <w:tr w:rsidR="0050196F" w:rsidRPr="00B6199F" w14:paraId="21499CBD" w14:textId="77777777" w:rsidTr="00DB5974">
        <w:tc>
          <w:tcPr>
            <w:tcW w:w="3402" w:type="dxa"/>
            <w:noWrap/>
          </w:tcPr>
          <w:p w14:paraId="0957BA56" w14:textId="77777777" w:rsidR="0050196F" w:rsidRPr="00E26EEC" w:rsidRDefault="0050196F" w:rsidP="00B21BD0">
            <w:pPr>
              <w:pStyle w:val="ARGrantstabletext"/>
              <w:rPr>
                <w:b/>
                <w:bCs/>
                <w:color w:val="000000"/>
              </w:rPr>
            </w:pPr>
            <w:r w:rsidRPr="00E26EEC">
              <w:rPr>
                <w:bCs/>
                <w:color w:val="000000"/>
              </w:rPr>
              <w:t>Yarra City Council</w:t>
            </w:r>
          </w:p>
        </w:tc>
        <w:tc>
          <w:tcPr>
            <w:tcW w:w="1187" w:type="dxa"/>
            <w:noWrap/>
          </w:tcPr>
          <w:p w14:paraId="059431DD" w14:textId="77777777" w:rsidR="0050196F" w:rsidRPr="00E26EEC" w:rsidRDefault="0050196F" w:rsidP="00B21BD0">
            <w:pPr>
              <w:pStyle w:val="ARGrantstabletextright"/>
              <w:rPr>
                <w:b/>
                <w:bCs/>
                <w:color w:val="000000"/>
              </w:rPr>
            </w:pPr>
            <w:r w:rsidRPr="00E26EEC">
              <w:rPr>
                <w:bCs/>
                <w:color w:val="000000"/>
              </w:rPr>
              <w:t>1,935</w:t>
            </w:r>
          </w:p>
        </w:tc>
      </w:tr>
      <w:tr w:rsidR="0050196F" w:rsidRPr="00B6199F" w14:paraId="265237F0" w14:textId="77777777" w:rsidTr="00DB5974">
        <w:tc>
          <w:tcPr>
            <w:tcW w:w="3402" w:type="dxa"/>
            <w:noWrap/>
          </w:tcPr>
          <w:p w14:paraId="200ED401" w14:textId="77777777" w:rsidR="0050196F" w:rsidRPr="00E26EEC" w:rsidRDefault="0050196F" w:rsidP="00B21BD0">
            <w:pPr>
              <w:pStyle w:val="ARGrantstabletextbold"/>
            </w:pPr>
            <w:r w:rsidRPr="00E26EEC">
              <w:t>Total</w:t>
            </w:r>
          </w:p>
        </w:tc>
        <w:tc>
          <w:tcPr>
            <w:tcW w:w="1187" w:type="dxa"/>
            <w:noWrap/>
          </w:tcPr>
          <w:p w14:paraId="73E7FFEE" w14:textId="77777777" w:rsidR="0050196F" w:rsidRPr="00E26EEC" w:rsidRDefault="0050196F" w:rsidP="00B21BD0">
            <w:pPr>
              <w:pStyle w:val="ARGrantstabletextrightbold"/>
            </w:pPr>
            <w:r w:rsidRPr="00E26EEC">
              <w:t>7,120,443</w:t>
            </w:r>
          </w:p>
        </w:tc>
      </w:tr>
    </w:tbl>
    <w:p w14:paraId="3B38AA02" w14:textId="34E4E329" w:rsidR="0050196F" w:rsidRPr="00F32B6F" w:rsidRDefault="00DB5974" w:rsidP="00F32B6F">
      <w:pPr>
        <w:pStyle w:val="Heading3Grants"/>
      </w:pPr>
      <w:r>
        <w:br w:type="column"/>
      </w:r>
      <w:r w:rsidR="0050196F" w:rsidRPr="00270D3B">
        <w:t>Women</w:t>
      </w:r>
      <w:r w:rsidR="00711AE6">
        <w:t>’</w:t>
      </w:r>
      <w:r w:rsidR="0050196F" w:rsidRPr="00270D3B">
        <w:t xml:space="preserve">s </w:t>
      </w:r>
      <w:r w:rsidR="0050196F" w:rsidRPr="00E86FF0">
        <w:t>policy</w:t>
      </w:r>
    </w:p>
    <w:tbl>
      <w:tblPr>
        <w:tblStyle w:val="DHARGrantstable"/>
        <w:tblW w:w="5000" w:type="pct"/>
        <w:tblLook w:val="06E0" w:firstRow="1" w:lastRow="1" w:firstColumn="1" w:lastColumn="0" w:noHBand="1" w:noVBand="1"/>
      </w:tblPr>
      <w:tblGrid>
        <w:gridCol w:w="3398"/>
        <w:gridCol w:w="1191"/>
      </w:tblGrid>
      <w:tr w:rsidR="0050196F" w:rsidRPr="00B6199F" w14:paraId="021D73AF" w14:textId="77777777" w:rsidTr="00DB5974">
        <w:trPr>
          <w:cnfStyle w:val="100000000000" w:firstRow="1" w:lastRow="0" w:firstColumn="0" w:lastColumn="0" w:oddVBand="0" w:evenVBand="0" w:oddHBand="0" w:evenHBand="0" w:firstRowFirstColumn="0" w:firstRowLastColumn="0" w:lastRowFirstColumn="0" w:lastRowLastColumn="0"/>
        </w:trPr>
        <w:tc>
          <w:tcPr>
            <w:tcW w:w="3402" w:type="dxa"/>
            <w:noWrap/>
          </w:tcPr>
          <w:p w14:paraId="07DEF4EF" w14:textId="77777777" w:rsidR="0050196F" w:rsidRPr="00270D3B" w:rsidRDefault="0050196F" w:rsidP="00B21BD0">
            <w:pPr>
              <w:pStyle w:val="ARGrantstablecolhead"/>
            </w:pPr>
            <w:r w:rsidRPr="00270D3B">
              <w:t>Organisation</w:t>
            </w:r>
          </w:p>
        </w:tc>
        <w:tc>
          <w:tcPr>
            <w:tcW w:w="1187" w:type="dxa"/>
            <w:noWrap/>
          </w:tcPr>
          <w:p w14:paraId="0F671F03" w14:textId="77777777" w:rsidR="0050196F" w:rsidRPr="00270D3B" w:rsidRDefault="0050196F" w:rsidP="00B21BD0">
            <w:pPr>
              <w:pStyle w:val="ARGrantstabletextrightbold"/>
            </w:pPr>
            <w:r w:rsidRPr="00270D3B">
              <w:t>Payment ($)</w:t>
            </w:r>
          </w:p>
        </w:tc>
      </w:tr>
      <w:tr w:rsidR="0050196F" w:rsidRPr="00B6199F" w14:paraId="66FAF5CE" w14:textId="77777777" w:rsidTr="00DB5974">
        <w:tc>
          <w:tcPr>
            <w:tcW w:w="3402" w:type="dxa"/>
            <w:noWrap/>
          </w:tcPr>
          <w:p w14:paraId="3EEBBFE4" w14:textId="4BEB63C0" w:rsidR="0050196F" w:rsidRPr="00270D3B" w:rsidRDefault="0050196F" w:rsidP="00B21BD0">
            <w:pPr>
              <w:pStyle w:val="ARGrantstabletext"/>
              <w:rPr>
                <w:b/>
                <w:bCs/>
                <w:color w:val="000000"/>
              </w:rPr>
            </w:pPr>
            <w:r w:rsidRPr="00270D3B">
              <w:rPr>
                <w:bCs/>
                <w:color w:val="000000"/>
              </w:rPr>
              <w:t xml:space="preserve">AfriAus iLEAC </w:t>
            </w:r>
            <w:r w:rsidR="003B5B30">
              <w:rPr>
                <w:bCs/>
                <w:color w:val="000000"/>
              </w:rPr>
              <w:t>Inc</w:t>
            </w:r>
          </w:p>
        </w:tc>
        <w:tc>
          <w:tcPr>
            <w:tcW w:w="1187" w:type="dxa"/>
            <w:noWrap/>
          </w:tcPr>
          <w:p w14:paraId="752D53F6" w14:textId="77777777" w:rsidR="0050196F" w:rsidRPr="00270D3B" w:rsidRDefault="0050196F" w:rsidP="00B21BD0">
            <w:pPr>
              <w:pStyle w:val="ARGrantstabletextright"/>
              <w:rPr>
                <w:b/>
                <w:bCs/>
                <w:color w:val="000000"/>
              </w:rPr>
            </w:pPr>
            <w:r w:rsidRPr="00270D3B">
              <w:rPr>
                <w:bCs/>
                <w:color w:val="000000"/>
              </w:rPr>
              <w:t>10,000</w:t>
            </w:r>
          </w:p>
        </w:tc>
      </w:tr>
      <w:tr w:rsidR="0050196F" w:rsidRPr="00B6199F" w14:paraId="63CF7E49" w14:textId="77777777" w:rsidTr="00DB5974">
        <w:tc>
          <w:tcPr>
            <w:tcW w:w="3402" w:type="dxa"/>
            <w:noWrap/>
          </w:tcPr>
          <w:p w14:paraId="44B4E057" w14:textId="77777777" w:rsidR="0050196F" w:rsidRPr="00270D3B" w:rsidRDefault="0050196F" w:rsidP="00B21BD0">
            <w:pPr>
              <w:pStyle w:val="ARGrantstabletext"/>
              <w:rPr>
                <w:b/>
                <w:bCs/>
                <w:color w:val="000000"/>
              </w:rPr>
            </w:pPr>
            <w:r w:rsidRPr="00270D3B">
              <w:rPr>
                <w:bCs/>
                <w:color w:val="000000"/>
              </w:rPr>
              <w:t>Ai Group Limited</w:t>
            </w:r>
          </w:p>
        </w:tc>
        <w:tc>
          <w:tcPr>
            <w:tcW w:w="1187" w:type="dxa"/>
            <w:noWrap/>
          </w:tcPr>
          <w:p w14:paraId="6A0F30C9" w14:textId="77777777" w:rsidR="0050196F" w:rsidRPr="00270D3B" w:rsidRDefault="0050196F" w:rsidP="00B21BD0">
            <w:pPr>
              <w:pStyle w:val="ARGrantstabletextright"/>
              <w:rPr>
                <w:b/>
                <w:bCs/>
                <w:color w:val="000000"/>
              </w:rPr>
            </w:pPr>
            <w:r w:rsidRPr="00270D3B">
              <w:rPr>
                <w:bCs/>
                <w:color w:val="000000"/>
              </w:rPr>
              <w:t>95,015</w:t>
            </w:r>
          </w:p>
        </w:tc>
      </w:tr>
      <w:tr w:rsidR="0050196F" w:rsidRPr="00B6199F" w14:paraId="3FBBC1E3" w14:textId="77777777" w:rsidTr="00DB5974">
        <w:tc>
          <w:tcPr>
            <w:tcW w:w="3402" w:type="dxa"/>
            <w:noWrap/>
          </w:tcPr>
          <w:p w14:paraId="2A2CAC9C" w14:textId="77777777" w:rsidR="0050196F" w:rsidRPr="00270D3B" w:rsidRDefault="0050196F" w:rsidP="00B21BD0">
            <w:pPr>
              <w:pStyle w:val="ARGrantstabletext"/>
              <w:rPr>
                <w:b/>
                <w:bCs/>
                <w:color w:val="000000"/>
              </w:rPr>
            </w:pPr>
            <w:r w:rsidRPr="00270D3B">
              <w:rPr>
                <w:bCs/>
                <w:color w:val="000000"/>
              </w:rPr>
              <w:t>Australian National University</w:t>
            </w:r>
          </w:p>
        </w:tc>
        <w:tc>
          <w:tcPr>
            <w:tcW w:w="1187" w:type="dxa"/>
            <w:noWrap/>
          </w:tcPr>
          <w:p w14:paraId="0EE69A57" w14:textId="77777777" w:rsidR="0050196F" w:rsidRPr="00270D3B" w:rsidRDefault="0050196F" w:rsidP="00B21BD0">
            <w:pPr>
              <w:pStyle w:val="ARGrantstabletextright"/>
              <w:rPr>
                <w:b/>
                <w:bCs/>
                <w:color w:val="000000"/>
              </w:rPr>
            </w:pPr>
            <w:r w:rsidRPr="00270D3B">
              <w:rPr>
                <w:bCs/>
                <w:color w:val="000000"/>
              </w:rPr>
              <w:t>199,197</w:t>
            </w:r>
          </w:p>
        </w:tc>
      </w:tr>
      <w:tr w:rsidR="0050196F" w:rsidRPr="00B6199F" w14:paraId="3BC1B1E8" w14:textId="77777777" w:rsidTr="00DB5974">
        <w:tc>
          <w:tcPr>
            <w:tcW w:w="3402" w:type="dxa"/>
            <w:noWrap/>
          </w:tcPr>
          <w:p w14:paraId="210A09D8" w14:textId="0E8592C7" w:rsidR="0050196F" w:rsidRPr="00270D3B" w:rsidRDefault="0050196F" w:rsidP="00B21BD0">
            <w:pPr>
              <w:pStyle w:val="ARGrantstabletext"/>
              <w:rPr>
                <w:b/>
                <w:bCs/>
                <w:color w:val="000000"/>
              </w:rPr>
            </w:pPr>
            <w:r w:rsidRPr="00270D3B">
              <w:rPr>
                <w:bCs/>
                <w:color w:val="000000"/>
              </w:rPr>
              <w:t>Australian Workers Union Victorian</w:t>
            </w:r>
            <w:r w:rsidR="00036C59">
              <w:rPr>
                <w:bCs/>
                <w:color w:val="000000"/>
              </w:rPr>
              <w:t> </w:t>
            </w:r>
            <w:r w:rsidRPr="00270D3B">
              <w:rPr>
                <w:bCs/>
                <w:color w:val="000000"/>
              </w:rPr>
              <w:t>Branch</w:t>
            </w:r>
          </w:p>
        </w:tc>
        <w:tc>
          <w:tcPr>
            <w:tcW w:w="1187" w:type="dxa"/>
            <w:noWrap/>
          </w:tcPr>
          <w:p w14:paraId="192857EC" w14:textId="77777777" w:rsidR="0050196F" w:rsidRPr="00270D3B" w:rsidRDefault="0050196F" w:rsidP="00B21BD0">
            <w:pPr>
              <w:pStyle w:val="ARGrantstabletextright"/>
              <w:rPr>
                <w:b/>
                <w:bCs/>
                <w:color w:val="000000"/>
              </w:rPr>
            </w:pPr>
            <w:r w:rsidRPr="00270D3B">
              <w:rPr>
                <w:bCs/>
                <w:color w:val="000000"/>
              </w:rPr>
              <w:t>189,400</w:t>
            </w:r>
          </w:p>
        </w:tc>
      </w:tr>
      <w:tr w:rsidR="0050196F" w:rsidRPr="00B6199F" w14:paraId="42A99811" w14:textId="77777777" w:rsidTr="00DB5974">
        <w:tc>
          <w:tcPr>
            <w:tcW w:w="3402" w:type="dxa"/>
            <w:noWrap/>
          </w:tcPr>
          <w:p w14:paraId="10D2DB77" w14:textId="77777777" w:rsidR="0050196F" w:rsidRPr="00270D3B" w:rsidRDefault="0050196F" w:rsidP="00B21BD0">
            <w:pPr>
              <w:pStyle w:val="ARGrantstabletext"/>
              <w:rPr>
                <w:b/>
                <w:bCs/>
                <w:color w:val="000000"/>
              </w:rPr>
            </w:pPr>
            <w:r w:rsidRPr="00270D3B">
              <w:rPr>
                <w:bCs/>
                <w:color w:val="000000"/>
              </w:rPr>
              <w:t>Automotive Food Metals Engineering Printing &amp; Kindred Industries Union</w:t>
            </w:r>
          </w:p>
        </w:tc>
        <w:tc>
          <w:tcPr>
            <w:tcW w:w="1187" w:type="dxa"/>
            <w:noWrap/>
          </w:tcPr>
          <w:p w14:paraId="043A10F7" w14:textId="77777777" w:rsidR="0050196F" w:rsidRPr="00270D3B" w:rsidRDefault="0050196F" w:rsidP="00B21BD0">
            <w:pPr>
              <w:pStyle w:val="ARGrantstabletextright"/>
              <w:rPr>
                <w:b/>
                <w:bCs/>
                <w:color w:val="000000"/>
              </w:rPr>
            </w:pPr>
            <w:r w:rsidRPr="00270D3B">
              <w:rPr>
                <w:bCs/>
                <w:color w:val="000000"/>
              </w:rPr>
              <w:t>98,000</w:t>
            </w:r>
          </w:p>
        </w:tc>
      </w:tr>
      <w:tr w:rsidR="0050196F" w:rsidRPr="00B6199F" w14:paraId="67DFC568" w14:textId="77777777" w:rsidTr="00DB5974">
        <w:tc>
          <w:tcPr>
            <w:tcW w:w="3402" w:type="dxa"/>
            <w:noWrap/>
          </w:tcPr>
          <w:p w14:paraId="7F3B90D3" w14:textId="77777777" w:rsidR="0050196F" w:rsidRPr="00270D3B" w:rsidRDefault="0050196F" w:rsidP="00B21BD0">
            <w:pPr>
              <w:pStyle w:val="ARGrantstabletext"/>
              <w:rPr>
                <w:b/>
                <w:bCs/>
                <w:color w:val="000000"/>
              </w:rPr>
            </w:pPr>
            <w:r w:rsidRPr="00270D3B">
              <w:rPr>
                <w:bCs/>
                <w:color w:val="000000"/>
              </w:rPr>
              <w:t>Brotherhood of St Laurence</w:t>
            </w:r>
          </w:p>
        </w:tc>
        <w:tc>
          <w:tcPr>
            <w:tcW w:w="1187" w:type="dxa"/>
            <w:noWrap/>
          </w:tcPr>
          <w:p w14:paraId="2B2FE7E3" w14:textId="77777777" w:rsidR="0050196F" w:rsidRPr="00270D3B" w:rsidRDefault="0050196F" w:rsidP="00B21BD0">
            <w:pPr>
              <w:pStyle w:val="ARGrantstabletextright"/>
              <w:rPr>
                <w:b/>
                <w:bCs/>
                <w:color w:val="000000"/>
              </w:rPr>
            </w:pPr>
            <w:r w:rsidRPr="00270D3B">
              <w:rPr>
                <w:bCs/>
                <w:color w:val="000000"/>
              </w:rPr>
              <w:t>10,000</w:t>
            </w:r>
          </w:p>
        </w:tc>
      </w:tr>
      <w:tr w:rsidR="0050196F" w:rsidRPr="00B6199F" w14:paraId="1A9ACF95" w14:textId="77777777" w:rsidTr="00DB5974">
        <w:tc>
          <w:tcPr>
            <w:tcW w:w="3402" w:type="dxa"/>
            <w:noWrap/>
          </w:tcPr>
          <w:p w14:paraId="0EA50DBC" w14:textId="77777777" w:rsidR="0050196F" w:rsidRPr="005B6810" w:rsidRDefault="0050196F" w:rsidP="00B21BD0">
            <w:pPr>
              <w:pStyle w:val="ARGrantstabletext"/>
              <w:rPr>
                <w:b/>
                <w:bCs/>
                <w:color w:val="000000"/>
              </w:rPr>
            </w:pPr>
            <w:r w:rsidRPr="005B6810">
              <w:rPr>
                <w:bCs/>
                <w:color w:val="000000"/>
              </w:rPr>
              <w:t>Clean Energy Council</w:t>
            </w:r>
          </w:p>
        </w:tc>
        <w:tc>
          <w:tcPr>
            <w:tcW w:w="1187" w:type="dxa"/>
            <w:noWrap/>
          </w:tcPr>
          <w:p w14:paraId="6D0CAECD" w14:textId="77777777" w:rsidR="0050196F" w:rsidRPr="005B6810" w:rsidRDefault="0050196F" w:rsidP="00B21BD0">
            <w:pPr>
              <w:pStyle w:val="ARGrantstabletextright"/>
              <w:rPr>
                <w:b/>
                <w:bCs/>
                <w:color w:val="000000"/>
              </w:rPr>
            </w:pPr>
            <w:r w:rsidRPr="005B6810">
              <w:rPr>
                <w:bCs/>
                <w:color w:val="000000"/>
              </w:rPr>
              <w:t>118,000</w:t>
            </w:r>
          </w:p>
        </w:tc>
      </w:tr>
      <w:tr w:rsidR="008433BD" w:rsidRPr="00B6199F" w14:paraId="0E359735" w14:textId="77777777" w:rsidTr="00DB5974">
        <w:tc>
          <w:tcPr>
            <w:tcW w:w="3402" w:type="dxa"/>
            <w:noWrap/>
          </w:tcPr>
          <w:p w14:paraId="19405E0B" w14:textId="0D58FD1E" w:rsidR="008433BD" w:rsidRPr="005B6810" w:rsidRDefault="00C155E7" w:rsidP="00B21BD0">
            <w:pPr>
              <w:pStyle w:val="ARGrantstabletext"/>
              <w:rPr>
                <w:bCs/>
                <w:color w:val="000000"/>
              </w:rPr>
            </w:pPr>
            <w:r w:rsidRPr="005B6810">
              <w:rPr>
                <w:bCs/>
                <w:color w:val="000000"/>
              </w:rPr>
              <w:t>Future Women Pty Ltd</w:t>
            </w:r>
          </w:p>
        </w:tc>
        <w:tc>
          <w:tcPr>
            <w:tcW w:w="1187" w:type="dxa"/>
            <w:noWrap/>
          </w:tcPr>
          <w:p w14:paraId="556491AE" w14:textId="38F8FFB7" w:rsidR="008433BD" w:rsidRPr="005B6810" w:rsidRDefault="00B363A1" w:rsidP="00B21BD0">
            <w:pPr>
              <w:pStyle w:val="ARGrantstabletextright"/>
              <w:rPr>
                <w:bCs/>
                <w:color w:val="000000"/>
              </w:rPr>
            </w:pPr>
            <w:r w:rsidRPr="005B6810">
              <w:rPr>
                <w:bCs/>
                <w:color w:val="000000"/>
              </w:rPr>
              <w:t>2,000</w:t>
            </w:r>
          </w:p>
        </w:tc>
      </w:tr>
      <w:tr w:rsidR="0050196F" w:rsidRPr="00B6199F" w14:paraId="618C08D4" w14:textId="77777777" w:rsidTr="00DB5974">
        <w:tc>
          <w:tcPr>
            <w:tcW w:w="3402" w:type="dxa"/>
            <w:noWrap/>
          </w:tcPr>
          <w:p w14:paraId="401A4A31" w14:textId="77777777" w:rsidR="0050196F" w:rsidRPr="005B6810" w:rsidRDefault="0050196F" w:rsidP="00B21BD0">
            <w:pPr>
              <w:pStyle w:val="ARGrantstabletext"/>
              <w:rPr>
                <w:b/>
                <w:bCs/>
                <w:color w:val="000000"/>
              </w:rPr>
            </w:pPr>
            <w:r w:rsidRPr="005B6810">
              <w:rPr>
                <w:bCs/>
                <w:color w:val="000000"/>
              </w:rPr>
              <w:t>Geelong Manufacturing Council</w:t>
            </w:r>
          </w:p>
        </w:tc>
        <w:tc>
          <w:tcPr>
            <w:tcW w:w="1187" w:type="dxa"/>
            <w:noWrap/>
          </w:tcPr>
          <w:p w14:paraId="4B9D0315" w14:textId="77777777" w:rsidR="0050196F" w:rsidRPr="005B6810" w:rsidRDefault="0050196F" w:rsidP="00B21BD0">
            <w:pPr>
              <w:pStyle w:val="ARGrantstabletextright"/>
              <w:rPr>
                <w:b/>
                <w:bCs/>
                <w:color w:val="000000"/>
              </w:rPr>
            </w:pPr>
            <w:r w:rsidRPr="005B6810">
              <w:rPr>
                <w:bCs/>
                <w:color w:val="000000"/>
              </w:rPr>
              <w:t>95,015</w:t>
            </w:r>
          </w:p>
        </w:tc>
      </w:tr>
      <w:tr w:rsidR="0050196F" w:rsidRPr="00B6199F" w14:paraId="7C1E6709" w14:textId="77777777" w:rsidTr="00DB5974">
        <w:tc>
          <w:tcPr>
            <w:tcW w:w="3402" w:type="dxa"/>
            <w:noWrap/>
          </w:tcPr>
          <w:p w14:paraId="543BA2CD" w14:textId="205E9E02" w:rsidR="0050196F" w:rsidRPr="005B6810" w:rsidRDefault="0050196F" w:rsidP="00B21BD0">
            <w:pPr>
              <w:pStyle w:val="ARGrantstabletext"/>
              <w:rPr>
                <w:b/>
                <w:bCs/>
                <w:color w:val="000000"/>
              </w:rPr>
            </w:pPr>
            <w:r w:rsidRPr="005B6810">
              <w:rPr>
                <w:bCs/>
                <w:color w:val="000000"/>
              </w:rPr>
              <w:t>Gippsland Women</w:t>
            </w:r>
            <w:r w:rsidR="00711AE6">
              <w:rPr>
                <w:bCs/>
                <w:color w:val="000000"/>
              </w:rPr>
              <w:t>’</w:t>
            </w:r>
            <w:r w:rsidRPr="005B6810">
              <w:rPr>
                <w:bCs/>
                <w:color w:val="000000"/>
              </w:rPr>
              <w:t>s Health</w:t>
            </w:r>
          </w:p>
        </w:tc>
        <w:tc>
          <w:tcPr>
            <w:tcW w:w="1187" w:type="dxa"/>
            <w:noWrap/>
          </w:tcPr>
          <w:p w14:paraId="0EE180FF" w14:textId="77777777" w:rsidR="0050196F" w:rsidRPr="005B6810" w:rsidRDefault="0050196F" w:rsidP="00B21BD0">
            <w:pPr>
              <w:pStyle w:val="ARGrantstabletextright"/>
              <w:rPr>
                <w:b/>
                <w:bCs/>
                <w:color w:val="000000"/>
              </w:rPr>
            </w:pPr>
            <w:r w:rsidRPr="005B6810">
              <w:rPr>
                <w:bCs/>
                <w:color w:val="000000"/>
              </w:rPr>
              <w:t>98,000</w:t>
            </w:r>
          </w:p>
        </w:tc>
      </w:tr>
      <w:tr w:rsidR="00F05CE8" w:rsidRPr="00B6199F" w14:paraId="75C371C8" w14:textId="77777777" w:rsidTr="00DB5974">
        <w:tc>
          <w:tcPr>
            <w:tcW w:w="3402" w:type="dxa"/>
            <w:noWrap/>
          </w:tcPr>
          <w:p w14:paraId="75B70A04" w14:textId="68E083B9" w:rsidR="00F05CE8" w:rsidRPr="005B6810" w:rsidRDefault="00F05CE8" w:rsidP="00B21BD0">
            <w:pPr>
              <w:pStyle w:val="ARGrantstabletext"/>
              <w:rPr>
                <w:bCs/>
                <w:color w:val="000000"/>
              </w:rPr>
            </w:pPr>
            <w:r w:rsidRPr="005B6810">
              <w:rPr>
                <w:bCs/>
                <w:color w:val="000000"/>
              </w:rPr>
              <w:t>Her Place Australian Women</w:t>
            </w:r>
            <w:r w:rsidR="00711AE6">
              <w:rPr>
                <w:bCs/>
                <w:color w:val="000000"/>
              </w:rPr>
              <w:t>’</w:t>
            </w:r>
            <w:r w:rsidRPr="005B6810">
              <w:rPr>
                <w:bCs/>
                <w:color w:val="000000"/>
              </w:rPr>
              <w:t>s Heritage and Museum Ltd</w:t>
            </w:r>
          </w:p>
        </w:tc>
        <w:tc>
          <w:tcPr>
            <w:tcW w:w="1187" w:type="dxa"/>
            <w:noWrap/>
          </w:tcPr>
          <w:p w14:paraId="0A0826C1" w14:textId="2F7FACB8" w:rsidR="00F05CE8" w:rsidRPr="005B6810" w:rsidRDefault="001B7020" w:rsidP="00B21BD0">
            <w:pPr>
              <w:pStyle w:val="ARGrantstabletextright"/>
              <w:rPr>
                <w:bCs/>
                <w:color w:val="000000"/>
              </w:rPr>
            </w:pPr>
            <w:r w:rsidRPr="005B6810">
              <w:rPr>
                <w:bCs/>
                <w:color w:val="000000"/>
              </w:rPr>
              <w:t>50,000</w:t>
            </w:r>
          </w:p>
        </w:tc>
      </w:tr>
      <w:tr w:rsidR="0050196F" w:rsidRPr="00B6199F" w14:paraId="505CFDB9" w14:textId="77777777" w:rsidTr="00DB5974">
        <w:tc>
          <w:tcPr>
            <w:tcW w:w="3402" w:type="dxa"/>
            <w:noWrap/>
          </w:tcPr>
          <w:p w14:paraId="3563D183" w14:textId="082A379D" w:rsidR="0050196F" w:rsidRPr="005B6810" w:rsidRDefault="0050196F" w:rsidP="00B21BD0">
            <w:pPr>
              <w:pStyle w:val="ARGrantstabletext"/>
              <w:rPr>
                <w:b/>
                <w:bCs/>
                <w:color w:val="000000"/>
              </w:rPr>
            </w:pPr>
            <w:r w:rsidRPr="005B6810">
              <w:rPr>
                <w:bCs/>
                <w:color w:val="000000"/>
              </w:rPr>
              <w:t>International Women</w:t>
            </w:r>
            <w:r w:rsidR="00711AE6">
              <w:rPr>
                <w:bCs/>
                <w:color w:val="000000"/>
              </w:rPr>
              <w:t>’</w:t>
            </w:r>
            <w:r w:rsidRPr="005B6810">
              <w:rPr>
                <w:bCs/>
                <w:color w:val="000000"/>
              </w:rPr>
              <w:t>s Development</w:t>
            </w:r>
            <w:r w:rsidR="00036C59">
              <w:rPr>
                <w:bCs/>
                <w:color w:val="000000"/>
              </w:rPr>
              <w:t> </w:t>
            </w:r>
            <w:r w:rsidRPr="005B6810">
              <w:rPr>
                <w:bCs/>
                <w:color w:val="000000"/>
              </w:rPr>
              <w:t>Agency</w:t>
            </w:r>
          </w:p>
        </w:tc>
        <w:tc>
          <w:tcPr>
            <w:tcW w:w="1187" w:type="dxa"/>
            <w:noWrap/>
          </w:tcPr>
          <w:p w14:paraId="51695133" w14:textId="77777777" w:rsidR="0050196F" w:rsidRPr="005B6810" w:rsidRDefault="0050196F" w:rsidP="00B21BD0">
            <w:pPr>
              <w:pStyle w:val="ARGrantstabletextright"/>
              <w:rPr>
                <w:b/>
                <w:bCs/>
                <w:color w:val="000000"/>
              </w:rPr>
            </w:pPr>
            <w:r w:rsidRPr="005B6810">
              <w:rPr>
                <w:bCs/>
                <w:color w:val="000000"/>
              </w:rPr>
              <w:t>22,362</w:t>
            </w:r>
          </w:p>
        </w:tc>
      </w:tr>
      <w:tr w:rsidR="008B55D4" w:rsidRPr="00B6199F" w14:paraId="437C99EC" w14:textId="77777777" w:rsidTr="00DB5974">
        <w:tc>
          <w:tcPr>
            <w:tcW w:w="3402" w:type="dxa"/>
            <w:noWrap/>
          </w:tcPr>
          <w:p w14:paraId="11BBAE1C" w14:textId="6C54ACF0" w:rsidR="008B55D4" w:rsidRPr="005B6810" w:rsidRDefault="00827B0D" w:rsidP="00B21BD0">
            <w:pPr>
              <w:pStyle w:val="ARGrantstabletext"/>
              <w:rPr>
                <w:bCs/>
                <w:color w:val="000000"/>
              </w:rPr>
            </w:pPr>
            <w:r w:rsidRPr="005B6810">
              <w:rPr>
                <w:bCs/>
                <w:color w:val="000000"/>
              </w:rPr>
              <w:t>Karen Milward Consultant</w:t>
            </w:r>
          </w:p>
        </w:tc>
        <w:tc>
          <w:tcPr>
            <w:tcW w:w="1187" w:type="dxa"/>
            <w:noWrap/>
          </w:tcPr>
          <w:p w14:paraId="68133246" w14:textId="0005C481" w:rsidR="008B55D4" w:rsidRPr="005B6810" w:rsidRDefault="00827B0D" w:rsidP="00B21BD0">
            <w:pPr>
              <w:pStyle w:val="ARGrantstabletextright"/>
              <w:rPr>
                <w:bCs/>
                <w:color w:val="000000"/>
              </w:rPr>
            </w:pPr>
            <w:r w:rsidRPr="005B6810">
              <w:rPr>
                <w:bCs/>
                <w:color w:val="000000"/>
              </w:rPr>
              <w:t>15,500</w:t>
            </w:r>
          </w:p>
        </w:tc>
      </w:tr>
      <w:tr w:rsidR="008B55D4" w:rsidRPr="00B6199F" w14:paraId="33E04A1B" w14:textId="77777777" w:rsidTr="00DB5974">
        <w:tc>
          <w:tcPr>
            <w:tcW w:w="3402" w:type="dxa"/>
            <w:noWrap/>
          </w:tcPr>
          <w:p w14:paraId="718BBCA8" w14:textId="656A2AA2" w:rsidR="008B55D4" w:rsidRPr="005B6810" w:rsidRDefault="00F5325B" w:rsidP="00B21BD0">
            <w:pPr>
              <w:pStyle w:val="ARGrantstabletext"/>
              <w:rPr>
                <w:bCs/>
                <w:color w:val="000000"/>
              </w:rPr>
            </w:pPr>
            <w:r w:rsidRPr="005B6810">
              <w:rPr>
                <w:bCs/>
                <w:color w:val="000000"/>
              </w:rPr>
              <w:t>Leadership Victoria</w:t>
            </w:r>
          </w:p>
        </w:tc>
        <w:tc>
          <w:tcPr>
            <w:tcW w:w="1187" w:type="dxa"/>
            <w:noWrap/>
          </w:tcPr>
          <w:p w14:paraId="18D1636F" w14:textId="11E68EB2" w:rsidR="008B55D4" w:rsidRPr="005B6810" w:rsidRDefault="00F5325B" w:rsidP="00B21BD0">
            <w:pPr>
              <w:pStyle w:val="ARGrantstabletextright"/>
              <w:rPr>
                <w:bCs/>
                <w:color w:val="000000"/>
              </w:rPr>
            </w:pPr>
            <w:r w:rsidRPr="005B6810">
              <w:rPr>
                <w:bCs/>
                <w:color w:val="000000"/>
              </w:rPr>
              <w:t>17,000</w:t>
            </w:r>
          </w:p>
        </w:tc>
      </w:tr>
      <w:tr w:rsidR="0050196F" w:rsidRPr="00B6199F" w14:paraId="0E62061E" w14:textId="77777777" w:rsidTr="00DB5974">
        <w:tc>
          <w:tcPr>
            <w:tcW w:w="3402" w:type="dxa"/>
            <w:noWrap/>
          </w:tcPr>
          <w:p w14:paraId="1A7E8723" w14:textId="77777777" w:rsidR="0050196F" w:rsidRPr="005B6810" w:rsidRDefault="0050196F" w:rsidP="00B21BD0">
            <w:pPr>
              <w:pStyle w:val="ARGrantstabletext"/>
              <w:rPr>
                <w:b/>
                <w:bCs/>
                <w:color w:val="000000"/>
              </w:rPr>
            </w:pPr>
            <w:r w:rsidRPr="005B6810">
              <w:rPr>
                <w:bCs/>
                <w:color w:val="000000"/>
              </w:rPr>
              <w:t>McClelland Sculpture Park + Gallery</w:t>
            </w:r>
          </w:p>
        </w:tc>
        <w:tc>
          <w:tcPr>
            <w:tcW w:w="1187" w:type="dxa"/>
            <w:noWrap/>
          </w:tcPr>
          <w:p w14:paraId="031316E5" w14:textId="77777777" w:rsidR="0050196F" w:rsidRPr="005B6810" w:rsidRDefault="0050196F" w:rsidP="00B21BD0">
            <w:pPr>
              <w:pStyle w:val="ARGrantstabletextright"/>
              <w:rPr>
                <w:b/>
                <w:bCs/>
                <w:color w:val="000000"/>
              </w:rPr>
            </w:pPr>
            <w:r w:rsidRPr="005B6810">
              <w:rPr>
                <w:bCs/>
                <w:color w:val="000000"/>
              </w:rPr>
              <w:t>105,000</w:t>
            </w:r>
          </w:p>
        </w:tc>
      </w:tr>
      <w:tr w:rsidR="0050196F" w:rsidRPr="00B6199F" w14:paraId="0246C291" w14:textId="77777777" w:rsidTr="00DB5974">
        <w:tc>
          <w:tcPr>
            <w:tcW w:w="3402" w:type="dxa"/>
            <w:noWrap/>
          </w:tcPr>
          <w:p w14:paraId="619165D8" w14:textId="77777777" w:rsidR="0050196F" w:rsidRPr="005B6810" w:rsidRDefault="0050196F" w:rsidP="00B21BD0">
            <w:pPr>
              <w:pStyle w:val="ARGrantstabletext"/>
              <w:rPr>
                <w:b/>
                <w:bCs/>
                <w:color w:val="000000"/>
              </w:rPr>
            </w:pPr>
            <w:r w:rsidRPr="005B6810">
              <w:rPr>
                <w:bCs/>
                <w:color w:val="000000"/>
              </w:rPr>
              <w:t>Migrant Women in Business Pty Ltd</w:t>
            </w:r>
          </w:p>
        </w:tc>
        <w:tc>
          <w:tcPr>
            <w:tcW w:w="1187" w:type="dxa"/>
            <w:noWrap/>
          </w:tcPr>
          <w:p w14:paraId="21FD021C" w14:textId="77777777" w:rsidR="0050196F" w:rsidRPr="005B6810" w:rsidRDefault="0050196F" w:rsidP="00B21BD0">
            <w:pPr>
              <w:pStyle w:val="ARGrantstabletextright"/>
              <w:rPr>
                <w:b/>
                <w:bCs/>
                <w:color w:val="000000"/>
              </w:rPr>
            </w:pPr>
            <w:r w:rsidRPr="005B6810">
              <w:rPr>
                <w:bCs/>
                <w:color w:val="000000"/>
              </w:rPr>
              <w:t>10,000</w:t>
            </w:r>
          </w:p>
        </w:tc>
      </w:tr>
      <w:tr w:rsidR="00237D69" w:rsidRPr="00B6199F" w14:paraId="42F37D7A" w14:textId="77777777" w:rsidTr="00DB5974">
        <w:tc>
          <w:tcPr>
            <w:tcW w:w="3402" w:type="dxa"/>
            <w:noWrap/>
          </w:tcPr>
          <w:p w14:paraId="76E7E8E9" w14:textId="56A4289F" w:rsidR="00237D69" w:rsidRPr="005B6810" w:rsidRDefault="003761E2" w:rsidP="00B21BD0">
            <w:pPr>
              <w:pStyle w:val="ARGrantstabletext"/>
              <w:rPr>
                <w:bCs/>
                <w:color w:val="000000"/>
              </w:rPr>
            </w:pPr>
            <w:r w:rsidRPr="005B6810">
              <w:rPr>
                <w:bCs/>
                <w:color w:val="000000"/>
              </w:rPr>
              <w:t>Multicultural Centre for Women</w:t>
            </w:r>
            <w:r w:rsidR="00711AE6">
              <w:rPr>
                <w:bCs/>
                <w:color w:val="000000"/>
              </w:rPr>
              <w:t>’</w:t>
            </w:r>
            <w:r w:rsidRPr="005B6810">
              <w:rPr>
                <w:bCs/>
                <w:color w:val="000000"/>
              </w:rPr>
              <w:t>s Health</w:t>
            </w:r>
          </w:p>
        </w:tc>
        <w:tc>
          <w:tcPr>
            <w:tcW w:w="1187" w:type="dxa"/>
            <w:noWrap/>
          </w:tcPr>
          <w:p w14:paraId="39DF34A5" w14:textId="45DDEA2D" w:rsidR="00237D69" w:rsidRPr="005B6810" w:rsidRDefault="003761E2" w:rsidP="00B21BD0">
            <w:pPr>
              <w:pStyle w:val="ARGrantstabletextright"/>
              <w:rPr>
                <w:bCs/>
                <w:color w:val="000000"/>
              </w:rPr>
            </w:pPr>
            <w:r w:rsidRPr="005B6810">
              <w:rPr>
                <w:bCs/>
                <w:color w:val="000000"/>
              </w:rPr>
              <w:t>210,000</w:t>
            </w:r>
          </w:p>
        </w:tc>
      </w:tr>
      <w:tr w:rsidR="0050196F" w:rsidRPr="00B6199F" w14:paraId="6D041F55" w14:textId="77777777" w:rsidTr="00DB5974">
        <w:tc>
          <w:tcPr>
            <w:tcW w:w="3402" w:type="dxa"/>
            <w:noWrap/>
          </w:tcPr>
          <w:p w14:paraId="6FA2F8B5" w14:textId="77777777" w:rsidR="0050196F" w:rsidRPr="005B6810" w:rsidRDefault="0050196F" w:rsidP="00B21BD0">
            <w:pPr>
              <w:pStyle w:val="ARGrantstabletext"/>
              <w:rPr>
                <w:b/>
                <w:bCs/>
                <w:color w:val="000000"/>
              </w:rPr>
            </w:pPr>
            <w:r w:rsidRPr="005B6810">
              <w:rPr>
                <w:bCs/>
                <w:color w:val="000000"/>
              </w:rPr>
              <w:t>NECA Education &amp; Careers</w:t>
            </w:r>
          </w:p>
        </w:tc>
        <w:tc>
          <w:tcPr>
            <w:tcW w:w="1187" w:type="dxa"/>
            <w:noWrap/>
          </w:tcPr>
          <w:p w14:paraId="5A2C3543" w14:textId="77777777" w:rsidR="0050196F" w:rsidRPr="005B6810" w:rsidRDefault="0050196F" w:rsidP="00B21BD0">
            <w:pPr>
              <w:pStyle w:val="ARGrantstabletextright"/>
              <w:rPr>
                <w:b/>
                <w:bCs/>
                <w:color w:val="000000"/>
              </w:rPr>
            </w:pPr>
            <w:r w:rsidRPr="005B6810">
              <w:rPr>
                <w:bCs/>
                <w:color w:val="000000"/>
              </w:rPr>
              <w:t>198,000</w:t>
            </w:r>
          </w:p>
        </w:tc>
      </w:tr>
      <w:tr w:rsidR="003761E2" w:rsidRPr="00B6199F" w14:paraId="0E3F131A" w14:textId="77777777" w:rsidTr="00DB5974">
        <w:tc>
          <w:tcPr>
            <w:tcW w:w="3402" w:type="dxa"/>
            <w:noWrap/>
          </w:tcPr>
          <w:p w14:paraId="6FFDF2E9" w14:textId="2AD0EC28" w:rsidR="003761E2" w:rsidRPr="005B6810" w:rsidRDefault="00E1341E" w:rsidP="00B21BD0">
            <w:pPr>
              <w:pStyle w:val="ARGrantstabletext"/>
              <w:rPr>
                <w:bCs/>
                <w:color w:val="000000"/>
              </w:rPr>
            </w:pPr>
            <w:r w:rsidRPr="005B6810">
              <w:rPr>
                <w:bCs/>
                <w:color w:val="000000"/>
              </w:rPr>
              <w:t>Our Community</w:t>
            </w:r>
          </w:p>
        </w:tc>
        <w:tc>
          <w:tcPr>
            <w:tcW w:w="1187" w:type="dxa"/>
            <w:noWrap/>
          </w:tcPr>
          <w:p w14:paraId="7C5CC6AF" w14:textId="7123E302" w:rsidR="003761E2" w:rsidRPr="005B6810" w:rsidRDefault="00DE5877" w:rsidP="00B21BD0">
            <w:pPr>
              <w:pStyle w:val="ARGrantstabletextright"/>
              <w:rPr>
                <w:bCs/>
                <w:color w:val="000000"/>
              </w:rPr>
            </w:pPr>
            <w:r w:rsidRPr="005B6810">
              <w:rPr>
                <w:bCs/>
                <w:color w:val="000000"/>
              </w:rPr>
              <w:t>10,000</w:t>
            </w:r>
          </w:p>
        </w:tc>
      </w:tr>
      <w:tr w:rsidR="003761E2" w:rsidRPr="00B6199F" w14:paraId="77ACA16C" w14:textId="77777777" w:rsidTr="00DB5974">
        <w:tc>
          <w:tcPr>
            <w:tcW w:w="3402" w:type="dxa"/>
            <w:noWrap/>
          </w:tcPr>
          <w:p w14:paraId="71816C69" w14:textId="72B74A81" w:rsidR="003761E2" w:rsidRPr="005B6810" w:rsidRDefault="00DE5877" w:rsidP="00B21BD0">
            <w:pPr>
              <w:pStyle w:val="ARGrantstabletext"/>
              <w:rPr>
                <w:bCs/>
                <w:color w:val="000000"/>
              </w:rPr>
            </w:pPr>
            <w:r w:rsidRPr="005B6810">
              <w:rPr>
                <w:bCs/>
                <w:color w:val="000000"/>
              </w:rPr>
              <w:t>Queen Victoria Women</w:t>
            </w:r>
            <w:r w:rsidR="00711AE6">
              <w:rPr>
                <w:bCs/>
                <w:color w:val="000000"/>
              </w:rPr>
              <w:t>’</w:t>
            </w:r>
            <w:r w:rsidRPr="005B6810">
              <w:rPr>
                <w:bCs/>
                <w:color w:val="000000"/>
              </w:rPr>
              <w:t>s Centre</w:t>
            </w:r>
          </w:p>
        </w:tc>
        <w:tc>
          <w:tcPr>
            <w:tcW w:w="1187" w:type="dxa"/>
            <w:noWrap/>
          </w:tcPr>
          <w:p w14:paraId="0D28F787" w14:textId="39D7D4A6" w:rsidR="003761E2" w:rsidRPr="005B6810" w:rsidRDefault="00B8212F" w:rsidP="00B21BD0">
            <w:pPr>
              <w:pStyle w:val="ARGrantstabletextright"/>
              <w:rPr>
                <w:bCs/>
                <w:color w:val="000000"/>
              </w:rPr>
            </w:pPr>
            <w:r w:rsidRPr="005B6810">
              <w:rPr>
                <w:bCs/>
                <w:color w:val="000000"/>
              </w:rPr>
              <w:t>446,000</w:t>
            </w:r>
          </w:p>
        </w:tc>
      </w:tr>
      <w:tr w:rsidR="0050196F" w:rsidRPr="00B6199F" w14:paraId="7FF775AE" w14:textId="77777777" w:rsidTr="00DB5974">
        <w:tc>
          <w:tcPr>
            <w:tcW w:w="3402" w:type="dxa"/>
            <w:noWrap/>
          </w:tcPr>
          <w:p w14:paraId="5232F178" w14:textId="77777777" w:rsidR="0050196F" w:rsidRPr="005B6810" w:rsidRDefault="0050196F" w:rsidP="00B21BD0">
            <w:pPr>
              <w:pStyle w:val="ARGrantstabletext"/>
              <w:rPr>
                <w:b/>
                <w:bCs/>
                <w:color w:val="000000"/>
              </w:rPr>
            </w:pPr>
            <w:r w:rsidRPr="005B6810">
              <w:rPr>
                <w:bCs/>
                <w:color w:val="000000"/>
              </w:rPr>
              <w:t>SisterWorks Incorporated</w:t>
            </w:r>
          </w:p>
        </w:tc>
        <w:tc>
          <w:tcPr>
            <w:tcW w:w="1187" w:type="dxa"/>
            <w:noWrap/>
          </w:tcPr>
          <w:p w14:paraId="07667086" w14:textId="3C313123" w:rsidR="0050196F" w:rsidRPr="005B6810" w:rsidRDefault="002C6560" w:rsidP="00B21BD0">
            <w:pPr>
              <w:pStyle w:val="ARGrantstabletextright"/>
              <w:rPr>
                <w:b/>
                <w:bCs/>
                <w:color w:val="000000"/>
              </w:rPr>
            </w:pPr>
            <w:r w:rsidRPr="005B6810">
              <w:rPr>
                <w:bCs/>
                <w:color w:val="000000"/>
              </w:rPr>
              <w:t>110</w:t>
            </w:r>
            <w:r w:rsidR="0050196F" w:rsidRPr="005B6810">
              <w:rPr>
                <w:color w:val="000000"/>
              </w:rPr>
              <w:t>,000</w:t>
            </w:r>
          </w:p>
        </w:tc>
      </w:tr>
      <w:tr w:rsidR="00300429" w:rsidRPr="00B6199F" w14:paraId="7BC6D802" w14:textId="77777777" w:rsidTr="00DB5974">
        <w:tc>
          <w:tcPr>
            <w:tcW w:w="3402" w:type="dxa"/>
            <w:noWrap/>
          </w:tcPr>
          <w:p w14:paraId="30C91684" w14:textId="21E0573F" w:rsidR="00300429" w:rsidRPr="005B6810" w:rsidRDefault="00C34017" w:rsidP="00B21BD0">
            <w:pPr>
              <w:pStyle w:val="ARGrantstabletext"/>
              <w:rPr>
                <w:bCs/>
                <w:color w:val="000000"/>
              </w:rPr>
            </w:pPr>
            <w:r w:rsidRPr="005B6810">
              <w:rPr>
                <w:bCs/>
                <w:color w:val="000000"/>
              </w:rPr>
              <w:t>Virtual Marketing Support Pty Ltd</w:t>
            </w:r>
          </w:p>
        </w:tc>
        <w:tc>
          <w:tcPr>
            <w:tcW w:w="1187" w:type="dxa"/>
            <w:noWrap/>
          </w:tcPr>
          <w:p w14:paraId="2D71A4AA" w14:textId="265EC118" w:rsidR="00300429" w:rsidRPr="005B6810" w:rsidRDefault="00C34017" w:rsidP="00B21BD0">
            <w:pPr>
              <w:pStyle w:val="ARGrantstabletextright"/>
              <w:rPr>
                <w:bCs/>
                <w:color w:val="000000"/>
              </w:rPr>
            </w:pPr>
            <w:r w:rsidRPr="005B6810">
              <w:rPr>
                <w:bCs/>
                <w:color w:val="000000"/>
              </w:rPr>
              <w:t>3,990</w:t>
            </w:r>
          </w:p>
        </w:tc>
      </w:tr>
      <w:tr w:rsidR="0050196F" w:rsidRPr="00B6199F" w14:paraId="28065D90" w14:textId="77777777" w:rsidTr="00DB5974">
        <w:tc>
          <w:tcPr>
            <w:tcW w:w="3402" w:type="dxa"/>
            <w:noWrap/>
          </w:tcPr>
          <w:p w14:paraId="536A8C78" w14:textId="77777777" w:rsidR="0050196F" w:rsidRPr="005B6810" w:rsidRDefault="0050196F" w:rsidP="00B21BD0">
            <w:pPr>
              <w:pStyle w:val="ARGrantstabletext"/>
              <w:rPr>
                <w:b/>
                <w:bCs/>
                <w:color w:val="000000"/>
              </w:rPr>
            </w:pPr>
            <w:r w:rsidRPr="005B6810">
              <w:rPr>
                <w:bCs/>
                <w:color w:val="000000"/>
              </w:rPr>
              <w:t>Whittlesea Community Connections</w:t>
            </w:r>
          </w:p>
        </w:tc>
        <w:tc>
          <w:tcPr>
            <w:tcW w:w="1187" w:type="dxa"/>
            <w:noWrap/>
          </w:tcPr>
          <w:p w14:paraId="399BC5F7" w14:textId="77777777" w:rsidR="0050196F" w:rsidRPr="005B6810" w:rsidRDefault="0050196F" w:rsidP="00B21BD0">
            <w:pPr>
              <w:pStyle w:val="ARGrantstabletextright"/>
              <w:rPr>
                <w:b/>
                <w:bCs/>
                <w:color w:val="000000"/>
              </w:rPr>
            </w:pPr>
            <w:r w:rsidRPr="005B6810">
              <w:rPr>
                <w:bCs/>
                <w:color w:val="000000"/>
              </w:rPr>
              <w:t>162,570</w:t>
            </w:r>
          </w:p>
        </w:tc>
      </w:tr>
      <w:tr w:rsidR="00C34017" w:rsidRPr="00B6199F" w14:paraId="6CAA305C" w14:textId="77777777" w:rsidTr="00DB5974">
        <w:tc>
          <w:tcPr>
            <w:tcW w:w="3402" w:type="dxa"/>
            <w:noWrap/>
          </w:tcPr>
          <w:p w14:paraId="65718806" w14:textId="573A2851" w:rsidR="00C34017" w:rsidRPr="005B6810" w:rsidRDefault="002117E5" w:rsidP="00B21BD0">
            <w:pPr>
              <w:pStyle w:val="ARGrantstabletext"/>
              <w:rPr>
                <w:bCs/>
                <w:color w:val="000000"/>
              </w:rPr>
            </w:pPr>
            <w:r w:rsidRPr="005B6810">
              <w:rPr>
                <w:bCs/>
                <w:color w:val="000000"/>
              </w:rPr>
              <w:t>Women of Colour Australia</w:t>
            </w:r>
          </w:p>
        </w:tc>
        <w:tc>
          <w:tcPr>
            <w:tcW w:w="1187" w:type="dxa"/>
            <w:noWrap/>
          </w:tcPr>
          <w:p w14:paraId="4F7C3FD8" w14:textId="659FCCA2" w:rsidR="00C34017" w:rsidRPr="005B6810" w:rsidRDefault="002117E5" w:rsidP="00B21BD0">
            <w:pPr>
              <w:pStyle w:val="ARGrantstabletextright"/>
              <w:rPr>
                <w:bCs/>
                <w:color w:val="000000"/>
              </w:rPr>
            </w:pPr>
            <w:r w:rsidRPr="005B6810">
              <w:rPr>
                <w:bCs/>
                <w:color w:val="000000"/>
              </w:rPr>
              <w:t>178,000</w:t>
            </w:r>
          </w:p>
        </w:tc>
      </w:tr>
      <w:tr w:rsidR="0050196F" w:rsidRPr="00B6199F" w14:paraId="325A566D" w14:textId="77777777" w:rsidTr="00DB5974">
        <w:tc>
          <w:tcPr>
            <w:tcW w:w="3402" w:type="dxa"/>
            <w:noWrap/>
          </w:tcPr>
          <w:p w14:paraId="17402612" w14:textId="7CB22288" w:rsidR="0050196F" w:rsidRPr="005B6810" w:rsidRDefault="0050196F" w:rsidP="00B21BD0">
            <w:pPr>
              <w:pStyle w:val="ARGrantstabletext"/>
              <w:rPr>
                <w:b/>
                <w:bCs/>
                <w:color w:val="000000"/>
              </w:rPr>
            </w:pPr>
            <w:r w:rsidRPr="005B6810">
              <w:rPr>
                <w:bCs/>
                <w:color w:val="000000"/>
              </w:rPr>
              <w:t xml:space="preserve">Women with Disabilities Victoria </w:t>
            </w:r>
            <w:r w:rsidR="003B5B30">
              <w:rPr>
                <w:bCs/>
                <w:color w:val="000000"/>
              </w:rPr>
              <w:t>Inc</w:t>
            </w:r>
          </w:p>
        </w:tc>
        <w:tc>
          <w:tcPr>
            <w:tcW w:w="1187" w:type="dxa"/>
            <w:noWrap/>
          </w:tcPr>
          <w:p w14:paraId="13014254" w14:textId="77777777" w:rsidR="0050196F" w:rsidRPr="005B6810" w:rsidRDefault="0050196F" w:rsidP="00B21BD0">
            <w:pPr>
              <w:pStyle w:val="ARGrantstabletextright"/>
              <w:rPr>
                <w:b/>
                <w:bCs/>
                <w:color w:val="000000"/>
              </w:rPr>
            </w:pPr>
            <w:r w:rsidRPr="005B6810">
              <w:rPr>
                <w:bCs/>
                <w:color w:val="000000"/>
              </w:rPr>
              <w:t>190,000</w:t>
            </w:r>
          </w:p>
        </w:tc>
      </w:tr>
      <w:tr w:rsidR="0050196F" w:rsidRPr="00B6199F" w14:paraId="74BE1170" w14:textId="77777777" w:rsidTr="00DB5974">
        <w:tc>
          <w:tcPr>
            <w:tcW w:w="3402" w:type="dxa"/>
            <w:noWrap/>
          </w:tcPr>
          <w:p w14:paraId="4EB25921" w14:textId="33BDE020" w:rsidR="0050196F" w:rsidRPr="005B6810" w:rsidRDefault="0050196F" w:rsidP="00B21BD0">
            <w:pPr>
              <w:pStyle w:val="ARGrantstabletext"/>
              <w:rPr>
                <w:b/>
                <w:bCs/>
                <w:color w:val="000000"/>
              </w:rPr>
            </w:pPr>
            <w:r w:rsidRPr="005B6810">
              <w:rPr>
                <w:bCs/>
                <w:color w:val="000000"/>
              </w:rPr>
              <w:t>Women</w:t>
            </w:r>
            <w:r w:rsidR="00711AE6">
              <w:rPr>
                <w:bCs/>
                <w:color w:val="000000"/>
              </w:rPr>
              <w:t>’</w:t>
            </w:r>
            <w:r w:rsidRPr="005B6810">
              <w:rPr>
                <w:bCs/>
                <w:color w:val="000000"/>
              </w:rPr>
              <w:t xml:space="preserve">s Health Grampians </w:t>
            </w:r>
            <w:r w:rsidR="003B5B30">
              <w:rPr>
                <w:bCs/>
                <w:color w:val="000000"/>
              </w:rPr>
              <w:t>Inc</w:t>
            </w:r>
          </w:p>
        </w:tc>
        <w:tc>
          <w:tcPr>
            <w:tcW w:w="1187" w:type="dxa"/>
            <w:noWrap/>
          </w:tcPr>
          <w:p w14:paraId="2B123669" w14:textId="77777777" w:rsidR="0050196F" w:rsidRPr="005B6810" w:rsidRDefault="0050196F" w:rsidP="00B21BD0">
            <w:pPr>
              <w:pStyle w:val="ARGrantstabletextright"/>
              <w:rPr>
                <w:b/>
                <w:bCs/>
                <w:color w:val="000000"/>
              </w:rPr>
            </w:pPr>
            <w:r w:rsidRPr="005B6810">
              <w:rPr>
                <w:bCs/>
                <w:color w:val="000000"/>
              </w:rPr>
              <w:t>98,000</w:t>
            </w:r>
          </w:p>
        </w:tc>
      </w:tr>
      <w:tr w:rsidR="0050196F" w:rsidRPr="00B6199F" w14:paraId="6ECB91EA" w14:textId="77777777" w:rsidTr="00DB5974">
        <w:tc>
          <w:tcPr>
            <w:tcW w:w="3402" w:type="dxa"/>
            <w:noWrap/>
          </w:tcPr>
          <w:p w14:paraId="3AAFF7D7" w14:textId="164C0923" w:rsidR="0050196F" w:rsidRPr="005B6810" w:rsidRDefault="0050196F" w:rsidP="00B21BD0">
            <w:pPr>
              <w:pStyle w:val="ARGrantstabletext"/>
              <w:rPr>
                <w:b/>
                <w:bCs/>
                <w:color w:val="000000"/>
              </w:rPr>
            </w:pPr>
            <w:r w:rsidRPr="005B6810">
              <w:rPr>
                <w:bCs/>
                <w:color w:val="000000"/>
              </w:rPr>
              <w:t>Women</w:t>
            </w:r>
            <w:r w:rsidR="00711AE6">
              <w:rPr>
                <w:bCs/>
                <w:color w:val="000000"/>
              </w:rPr>
              <w:t>’</w:t>
            </w:r>
            <w:r w:rsidRPr="005B6810">
              <w:rPr>
                <w:bCs/>
                <w:color w:val="000000"/>
              </w:rPr>
              <w:t>s Health in the South East</w:t>
            </w:r>
          </w:p>
        </w:tc>
        <w:tc>
          <w:tcPr>
            <w:tcW w:w="1187" w:type="dxa"/>
            <w:noWrap/>
          </w:tcPr>
          <w:p w14:paraId="0BC3BA37" w14:textId="77777777" w:rsidR="0050196F" w:rsidRPr="005B6810" w:rsidRDefault="0050196F" w:rsidP="00B21BD0">
            <w:pPr>
              <w:pStyle w:val="ARGrantstabletextright"/>
              <w:rPr>
                <w:b/>
                <w:bCs/>
                <w:color w:val="000000"/>
              </w:rPr>
            </w:pPr>
            <w:r w:rsidRPr="005B6810">
              <w:rPr>
                <w:bCs/>
                <w:color w:val="000000"/>
              </w:rPr>
              <w:t>148,000</w:t>
            </w:r>
          </w:p>
        </w:tc>
      </w:tr>
      <w:tr w:rsidR="008408F2" w:rsidRPr="00B6199F" w14:paraId="77A6B83F" w14:textId="77777777" w:rsidTr="00DB5974">
        <w:tc>
          <w:tcPr>
            <w:tcW w:w="3402" w:type="dxa"/>
            <w:noWrap/>
          </w:tcPr>
          <w:p w14:paraId="5CF65DEF" w14:textId="79D0F6F2" w:rsidR="008408F2" w:rsidRPr="005B6810" w:rsidRDefault="003E1549" w:rsidP="00B21BD0">
            <w:pPr>
              <w:pStyle w:val="ARGrantstabletext"/>
              <w:rPr>
                <w:bCs/>
                <w:color w:val="000000"/>
              </w:rPr>
            </w:pPr>
            <w:r w:rsidRPr="005B6810">
              <w:rPr>
                <w:bCs/>
                <w:color w:val="000000"/>
              </w:rPr>
              <w:t>Women</w:t>
            </w:r>
            <w:r w:rsidR="00711AE6">
              <w:rPr>
                <w:bCs/>
                <w:color w:val="000000"/>
              </w:rPr>
              <w:t>’</w:t>
            </w:r>
            <w:r w:rsidRPr="005B6810">
              <w:rPr>
                <w:bCs/>
                <w:color w:val="000000"/>
              </w:rPr>
              <w:t xml:space="preserve">s Health Victoria </w:t>
            </w:r>
            <w:r w:rsidR="003B5B30">
              <w:rPr>
                <w:bCs/>
                <w:color w:val="000000"/>
              </w:rPr>
              <w:t>Inc</w:t>
            </w:r>
          </w:p>
        </w:tc>
        <w:tc>
          <w:tcPr>
            <w:tcW w:w="1187" w:type="dxa"/>
            <w:noWrap/>
          </w:tcPr>
          <w:p w14:paraId="727E704A" w14:textId="4974E3C4" w:rsidR="008408F2" w:rsidRPr="005B6810" w:rsidRDefault="003E1549" w:rsidP="00B21BD0">
            <w:pPr>
              <w:pStyle w:val="ARGrantstabletextright"/>
              <w:rPr>
                <w:bCs/>
                <w:color w:val="000000"/>
              </w:rPr>
            </w:pPr>
            <w:r w:rsidRPr="005B6810">
              <w:rPr>
                <w:bCs/>
                <w:color w:val="000000"/>
              </w:rPr>
              <w:t>20,000</w:t>
            </w:r>
          </w:p>
        </w:tc>
      </w:tr>
      <w:tr w:rsidR="0050196F" w:rsidRPr="00B6199F" w14:paraId="50D48BE4" w14:textId="77777777" w:rsidTr="00DB5974">
        <w:tc>
          <w:tcPr>
            <w:tcW w:w="3402" w:type="dxa"/>
            <w:noWrap/>
          </w:tcPr>
          <w:p w14:paraId="12A9B838" w14:textId="77777777" w:rsidR="0050196F" w:rsidRPr="00270D3B" w:rsidRDefault="0050196F" w:rsidP="00B21BD0">
            <w:pPr>
              <w:pStyle w:val="ARGrantstabletextbold"/>
            </w:pPr>
            <w:r w:rsidRPr="00270D3B">
              <w:t>Total</w:t>
            </w:r>
          </w:p>
        </w:tc>
        <w:tc>
          <w:tcPr>
            <w:tcW w:w="1187" w:type="dxa"/>
            <w:noWrap/>
          </w:tcPr>
          <w:p w14:paraId="140CF9B7" w14:textId="77777777" w:rsidR="0050196F" w:rsidRPr="00270D3B" w:rsidRDefault="0050196F" w:rsidP="00B21BD0">
            <w:pPr>
              <w:pStyle w:val="ARGrantstabletextrightbold"/>
            </w:pPr>
            <w:r w:rsidRPr="00270D3B">
              <w:t>2,054,559</w:t>
            </w:r>
          </w:p>
        </w:tc>
      </w:tr>
    </w:tbl>
    <w:p w14:paraId="5643557B" w14:textId="77777777" w:rsidR="00DB5974" w:rsidRDefault="00DB5974" w:rsidP="00DB5974">
      <w:pPr>
        <w:pStyle w:val="ARbody"/>
      </w:pPr>
      <w:r>
        <w:br w:type="page"/>
      </w:r>
    </w:p>
    <w:p w14:paraId="05077C54" w14:textId="10B6F78B" w:rsidR="0050196F" w:rsidRPr="002325F6" w:rsidRDefault="0050196F" w:rsidP="00EA2AB7">
      <w:pPr>
        <w:pStyle w:val="Heading3Grants"/>
        <w:spacing w:after="0"/>
      </w:pPr>
      <w:r w:rsidRPr="002325F6">
        <w:t>Youth</w:t>
      </w:r>
    </w:p>
    <w:tbl>
      <w:tblPr>
        <w:tblStyle w:val="DHARGrantstable"/>
        <w:tblW w:w="5000" w:type="pct"/>
        <w:tblLook w:val="06A0" w:firstRow="1" w:lastRow="0" w:firstColumn="1" w:lastColumn="0" w:noHBand="1" w:noVBand="1"/>
      </w:tblPr>
      <w:tblGrid>
        <w:gridCol w:w="3398"/>
        <w:gridCol w:w="1191"/>
      </w:tblGrid>
      <w:tr w:rsidR="0050196F" w:rsidRPr="00B6199F" w14:paraId="14EAB212" w14:textId="77777777" w:rsidTr="00DB5974">
        <w:trPr>
          <w:cnfStyle w:val="100000000000" w:firstRow="1" w:lastRow="0" w:firstColumn="0" w:lastColumn="0" w:oddVBand="0" w:evenVBand="0" w:oddHBand="0" w:evenHBand="0" w:firstRowFirstColumn="0" w:firstRowLastColumn="0" w:lastRowFirstColumn="0" w:lastRowLastColumn="0"/>
        </w:trPr>
        <w:tc>
          <w:tcPr>
            <w:tcW w:w="3402" w:type="dxa"/>
            <w:noWrap/>
          </w:tcPr>
          <w:p w14:paraId="0B395578" w14:textId="77777777" w:rsidR="0050196F" w:rsidRPr="002325F6" w:rsidRDefault="0050196F" w:rsidP="00B21BD0">
            <w:pPr>
              <w:pStyle w:val="ARGrantstabletextbold"/>
            </w:pPr>
            <w:r w:rsidRPr="002325F6">
              <w:t>Organisation</w:t>
            </w:r>
          </w:p>
        </w:tc>
        <w:tc>
          <w:tcPr>
            <w:tcW w:w="1187" w:type="dxa"/>
            <w:noWrap/>
          </w:tcPr>
          <w:p w14:paraId="3190A3DA" w14:textId="77777777" w:rsidR="0050196F" w:rsidRPr="002325F6" w:rsidRDefault="0050196F" w:rsidP="00B21BD0">
            <w:pPr>
              <w:pStyle w:val="ARGrantstabletextrightbold"/>
            </w:pPr>
            <w:r w:rsidRPr="002325F6">
              <w:t>Payment ($)</w:t>
            </w:r>
          </w:p>
        </w:tc>
      </w:tr>
      <w:tr w:rsidR="0050196F" w:rsidRPr="00B6199F" w14:paraId="526F44CF" w14:textId="77777777" w:rsidTr="00DB5974">
        <w:tc>
          <w:tcPr>
            <w:tcW w:w="3402" w:type="dxa"/>
            <w:noWrap/>
          </w:tcPr>
          <w:p w14:paraId="0ABE2825" w14:textId="77777777" w:rsidR="0050196F" w:rsidRPr="002325F6" w:rsidRDefault="0050196F" w:rsidP="00B21BD0">
            <w:pPr>
              <w:pStyle w:val="ARGrantstabletext"/>
              <w:rPr>
                <w:bCs/>
                <w:color w:val="000000"/>
              </w:rPr>
            </w:pPr>
            <w:r w:rsidRPr="002325F6">
              <w:rPr>
                <w:bCs/>
                <w:color w:val="000000"/>
              </w:rPr>
              <w:t>Africa Day Australia Inc</w:t>
            </w:r>
          </w:p>
        </w:tc>
        <w:tc>
          <w:tcPr>
            <w:tcW w:w="1187" w:type="dxa"/>
            <w:noWrap/>
          </w:tcPr>
          <w:p w14:paraId="3C16D17C"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5A6BE095" w14:textId="77777777" w:rsidTr="00DB5974">
        <w:tc>
          <w:tcPr>
            <w:tcW w:w="3402" w:type="dxa"/>
            <w:noWrap/>
          </w:tcPr>
          <w:p w14:paraId="11AF8CF9" w14:textId="77777777" w:rsidR="0050196F" w:rsidRPr="002325F6" w:rsidRDefault="0050196F" w:rsidP="00B21BD0">
            <w:pPr>
              <w:pStyle w:val="ARGrantstabletext"/>
              <w:rPr>
                <w:bCs/>
                <w:color w:val="000000"/>
              </w:rPr>
            </w:pPr>
            <w:r w:rsidRPr="002325F6">
              <w:rPr>
                <w:bCs/>
                <w:color w:val="000000"/>
              </w:rPr>
              <w:t>Al Siraat College</w:t>
            </w:r>
          </w:p>
        </w:tc>
        <w:tc>
          <w:tcPr>
            <w:tcW w:w="1187" w:type="dxa"/>
            <w:noWrap/>
          </w:tcPr>
          <w:p w14:paraId="16BFE2C8"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3F5341FE" w14:textId="77777777" w:rsidTr="00DB5974">
        <w:tc>
          <w:tcPr>
            <w:tcW w:w="3402" w:type="dxa"/>
            <w:noWrap/>
          </w:tcPr>
          <w:p w14:paraId="77938A5E" w14:textId="77777777" w:rsidR="0050196F" w:rsidRPr="002325F6" w:rsidRDefault="0050196F" w:rsidP="00B21BD0">
            <w:pPr>
              <w:pStyle w:val="ARGrantstabletext"/>
              <w:rPr>
                <w:bCs/>
                <w:color w:val="000000"/>
              </w:rPr>
            </w:pPr>
            <w:r w:rsidRPr="002325F6">
              <w:rPr>
                <w:bCs/>
                <w:color w:val="000000"/>
              </w:rPr>
              <w:t>Alpine Shire Council</w:t>
            </w:r>
          </w:p>
        </w:tc>
        <w:tc>
          <w:tcPr>
            <w:tcW w:w="1187" w:type="dxa"/>
            <w:noWrap/>
          </w:tcPr>
          <w:p w14:paraId="72303AF8" w14:textId="77777777" w:rsidR="0050196F" w:rsidRPr="002325F6" w:rsidRDefault="0050196F" w:rsidP="00B21BD0">
            <w:pPr>
              <w:pStyle w:val="ARGrantstabletextright"/>
              <w:rPr>
                <w:bCs/>
                <w:color w:val="000000"/>
              </w:rPr>
            </w:pPr>
            <w:r w:rsidRPr="002325F6">
              <w:rPr>
                <w:bCs/>
                <w:color w:val="000000"/>
              </w:rPr>
              <w:t>82,500</w:t>
            </w:r>
          </w:p>
        </w:tc>
      </w:tr>
      <w:tr w:rsidR="0050196F" w:rsidRPr="00B6199F" w14:paraId="457B0289" w14:textId="77777777" w:rsidTr="00DB5974">
        <w:tc>
          <w:tcPr>
            <w:tcW w:w="3402" w:type="dxa"/>
            <w:noWrap/>
          </w:tcPr>
          <w:p w14:paraId="78177786" w14:textId="77777777" w:rsidR="0050196F" w:rsidRPr="002325F6" w:rsidRDefault="0050196F" w:rsidP="00B21BD0">
            <w:pPr>
              <w:pStyle w:val="ARGrantstabletext"/>
              <w:rPr>
                <w:bCs/>
                <w:color w:val="000000"/>
              </w:rPr>
            </w:pPr>
            <w:r w:rsidRPr="002325F6">
              <w:rPr>
                <w:bCs/>
                <w:color w:val="000000"/>
              </w:rPr>
              <w:t>AMES Australia</w:t>
            </w:r>
          </w:p>
        </w:tc>
        <w:tc>
          <w:tcPr>
            <w:tcW w:w="1187" w:type="dxa"/>
            <w:noWrap/>
          </w:tcPr>
          <w:p w14:paraId="3751501C"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38959AB8" w14:textId="77777777" w:rsidTr="00DB5974">
        <w:tc>
          <w:tcPr>
            <w:tcW w:w="3402" w:type="dxa"/>
            <w:noWrap/>
          </w:tcPr>
          <w:p w14:paraId="1B1D1CBC" w14:textId="77777777" w:rsidR="0050196F" w:rsidRPr="002325F6" w:rsidRDefault="0050196F" w:rsidP="00B21BD0">
            <w:pPr>
              <w:pStyle w:val="ARGrantstabletext"/>
              <w:rPr>
                <w:bCs/>
                <w:color w:val="000000"/>
              </w:rPr>
            </w:pPr>
            <w:r w:rsidRPr="002325F6">
              <w:rPr>
                <w:bCs/>
                <w:color w:val="000000"/>
              </w:rPr>
              <w:t>Anchor Community Care Ltd</w:t>
            </w:r>
          </w:p>
        </w:tc>
        <w:tc>
          <w:tcPr>
            <w:tcW w:w="1187" w:type="dxa"/>
            <w:noWrap/>
          </w:tcPr>
          <w:p w14:paraId="46E41F67"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759B0005" w14:textId="77777777" w:rsidTr="00DB5974">
        <w:tc>
          <w:tcPr>
            <w:tcW w:w="3402" w:type="dxa"/>
            <w:noWrap/>
          </w:tcPr>
          <w:p w14:paraId="5E5D58B0" w14:textId="77777777" w:rsidR="0050196F" w:rsidRPr="002325F6" w:rsidRDefault="0050196F" w:rsidP="00B21BD0">
            <w:pPr>
              <w:pStyle w:val="ARGrantstabletext"/>
              <w:rPr>
                <w:bCs/>
                <w:color w:val="000000"/>
              </w:rPr>
            </w:pPr>
            <w:r w:rsidRPr="002325F6">
              <w:rPr>
                <w:bCs/>
                <w:color w:val="000000"/>
              </w:rPr>
              <w:t>ARDOCH LIMITED</w:t>
            </w:r>
          </w:p>
        </w:tc>
        <w:tc>
          <w:tcPr>
            <w:tcW w:w="1187" w:type="dxa"/>
            <w:noWrap/>
          </w:tcPr>
          <w:p w14:paraId="3E203B98"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75523880" w14:textId="77777777" w:rsidTr="00DB5974">
        <w:tc>
          <w:tcPr>
            <w:tcW w:w="3402" w:type="dxa"/>
            <w:noWrap/>
          </w:tcPr>
          <w:p w14:paraId="565CBCCC" w14:textId="77777777" w:rsidR="0050196F" w:rsidRPr="002325F6" w:rsidRDefault="0050196F" w:rsidP="00B21BD0">
            <w:pPr>
              <w:pStyle w:val="ARGrantstabletext"/>
              <w:rPr>
                <w:bCs/>
                <w:color w:val="000000"/>
              </w:rPr>
            </w:pPr>
            <w:r w:rsidRPr="002325F6">
              <w:rPr>
                <w:bCs/>
                <w:color w:val="000000"/>
              </w:rPr>
              <w:t>Arts Access Society Inc</w:t>
            </w:r>
          </w:p>
        </w:tc>
        <w:tc>
          <w:tcPr>
            <w:tcW w:w="1187" w:type="dxa"/>
            <w:noWrap/>
          </w:tcPr>
          <w:p w14:paraId="3EC3B70D"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0D79089B" w14:textId="77777777" w:rsidTr="00DB5974">
        <w:tc>
          <w:tcPr>
            <w:tcW w:w="3402" w:type="dxa"/>
            <w:noWrap/>
          </w:tcPr>
          <w:p w14:paraId="6E4E6AFA" w14:textId="77777777" w:rsidR="0050196F" w:rsidRPr="002325F6" w:rsidRDefault="0050196F" w:rsidP="00B21BD0">
            <w:pPr>
              <w:pStyle w:val="ARGrantstabletext"/>
              <w:rPr>
                <w:bCs/>
                <w:color w:val="000000"/>
              </w:rPr>
            </w:pPr>
            <w:r w:rsidRPr="002325F6">
              <w:rPr>
                <w:bCs/>
                <w:color w:val="000000"/>
              </w:rPr>
              <w:t>Ashwood High School</w:t>
            </w:r>
          </w:p>
        </w:tc>
        <w:tc>
          <w:tcPr>
            <w:tcW w:w="1187" w:type="dxa"/>
            <w:noWrap/>
          </w:tcPr>
          <w:p w14:paraId="516AE8FD"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4F734DE9" w14:textId="77777777" w:rsidTr="00DB5974">
        <w:tc>
          <w:tcPr>
            <w:tcW w:w="3402" w:type="dxa"/>
            <w:noWrap/>
          </w:tcPr>
          <w:p w14:paraId="774BDBDA" w14:textId="609EA902" w:rsidR="0050196F" w:rsidRPr="002325F6" w:rsidRDefault="0050196F" w:rsidP="00B21BD0">
            <w:pPr>
              <w:pStyle w:val="ARGrantstabletext"/>
              <w:rPr>
                <w:bCs/>
                <w:color w:val="000000"/>
              </w:rPr>
            </w:pPr>
            <w:r w:rsidRPr="002325F6">
              <w:rPr>
                <w:bCs/>
                <w:color w:val="000000"/>
              </w:rPr>
              <w:t xml:space="preserve">Auspicious Arts Projects </w:t>
            </w:r>
            <w:r w:rsidR="003B5B30">
              <w:rPr>
                <w:bCs/>
                <w:color w:val="000000"/>
              </w:rPr>
              <w:t>Inc</w:t>
            </w:r>
          </w:p>
        </w:tc>
        <w:tc>
          <w:tcPr>
            <w:tcW w:w="1187" w:type="dxa"/>
            <w:noWrap/>
          </w:tcPr>
          <w:p w14:paraId="343E2738"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42D5F7B6" w14:textId="77777777" w:rsidTr="00DB5974">
        <w:tc>
          <w:tcPr>
            <w:tcW w:w="3402" w:type="dxa"/>
            <w:noWrap/>
          </w:tcPr>
          <w:p w14:paraId="1580B0D3" w14:textId="77777777" w:rsidR="0050196F" w:rsidRPr="002325F6" w:rsidRDefault="0050196F" w:rsidP="00B21BD0">
            <w:pPr>
              <w:pStyle w:val="ARGrantstabletext"/>
              <w:rPr>
                <w:bCs/>
                <w:color w:val="000000"/>
              </w:rPr>
            </w:pPr>
            <w:r w:rsidRPr="002325F6">
              <w:rPr>
                <w:bCs/>
                <w:color w:val="000000"/>
              </w:rPr>
              <w:t>Baimbridge College</w:t>
            </w:r>
          </w:p>
        </w:tc>
        <w:tc>
          <w:tcPr>
            <w:tcW w:w="1187" w:type="dxa"/>
            <w:noWrap/>
          </w:tcPr>
          <w:p w14:paraId="050C4594"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B78459D" w14:textId="77777777" w:rsidTr="00DB5974">
        <w:tc>
          <w:tcPr>
            <w:tcW w:w="3402" w:type="dxa"/>
            <w:noWrap/>
          </w:tcPr>
          <w:p w14:paraId="258CDCC2" w14:textId="77777777" w:rsidR="0050196F" w:rsidRPr="002325F6" w:rsidRDefault="0050196F" w:rsidP="00B21BD0">
            <w:pPr>
              <w:pStyle w:val="ARGrantstabletext"/>
              <w:rPr>
                <w:bCs/>
                <w:color w:val="000000"/>
              </w:rPr>
            </w:pPr>
            <w:r w:rsidRPr="002325F6">
              <w:rPr>
                <w:bCs/>
                <w:color w:val="000000"/>
              </w:rPr>
              <w:t>Ballarat Specialist School</w:t>
            </w:r>
          </w:p>
        </w:tc>
        <w:tc>
          <w:tcPr>
            <w:tcW w:w="1187" w:type="dxa"/>
            <w:noWrap/>
          </w:tcPr>
          <w:p w14:paraId="27FDB793"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2AADB93" w14:textId="77777777" w:rsidTr="00DB5974">
        <w:tc>
          <w:tcPr>
            <w:tcW w:w="3402" w:type="dxa"/>
            <w:noWrap/>
          </w:tcPr>
          <w:p w14:paraId="60136F40" w14:textId="77777777" w:rsidR="0050196F" w:rsidRPr="002325F6" w:rsidRDefault="0050196F" w:rsidP="00B21BD0">
            <w:pPr>
              <w:pStyle w:val="ARGrantstabletext"/>
              <w:rPr>
                <w:bCs/>
                <w:color w:val="000000"/>
              </w:rPr>
            </w:pPr>
            <w:r w:rsidRPr="002325F6">
              <w:rPr>
                <w:bCs/>
                <w:color w:val="000000"/>
              </w:rPr>
              <w:t>Banksia Gardens Community Centre</w:t>
            </w:r>
          </w:p>
        </w:tc>
        <w:tc>
          <w:tcPr>
            <w:tcW w:w="1187" w:type="dxa"/>
            <w:noWrap/>
          </w:tcPr>
          <w:p w14:paraId="649FD492"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7741BBA7" w14:textId="77777777" w:rsidTr="00DB5974">
        <w:tc>
          <w:tcPr>
            <w:tcW w:w="3402" w:type="dxa"/>
            <w:noWrap/>
          </w:tcPr>
          <w:p w14:paraId="4FB67DE1" w14:textId="77777777" w:rsidR="0050196F" w:rsidRPr="002325F6" w:rsidRDefault="0050196F" w:rsidP="00B21BD0">
            <w:pPr>
              <w:pStyle w:val="ARGrantstabletext"/>
              <w:rPr>
                <w:bCs/>
                <w:color w:val="000000"/>
              </w:rPr>
            </w:pPr>
            <w:r w:rsidRPr="002325F6">
              <w:rPr>
                <w:bCs/>
                <w:color w:val="000000"/>
              </w:rPr>
              <w:t>Banyule City Council</w:t>
            </w:r>
          </w:p>
        </w:tc>
        <w:tc>
          <w:tcPr>
            <w:tcW w:w="1187" w:type="dxa"/>
            <w:noWrap/>
          </w:tcPr>
          <w:p w14:paraId="2707F4A9" w14:textId="77777777" w:rsidR="0050196F" w:rsidRPr="002325F6" w:rsidRDefault="0050196F" w:rsidP="00B21BD0">
            <w:pPr>
              <w:pStyle w:val="ARGrantstabletextright"/>
              <w:rPr>
                <w:bCs/>
                <w:color w:val="000000"/>
              </w:rPr>
            </w:pPr>
            <w:r w:rsidRPr="002325F6">
              <w:rPr>
                <w:bCs/>
                <w:color w:val="000000"/>
              </w:rPr>
              <w:t>87,000</w:t>
            </w:r>
          </w:p>
        </w:tc>
      </w:tr>
      <w:tr w:rsidR="0050196F" w:rsidRPr="00B6199F" w14:paraId="248CB71E" w14:textId="77777777" w:rsidTr="00DB5974">
        <w:tc>
          <w:tcPr>
            <w:tcW w:w="3402" w:type="dxa"/>
            <w:noWrap/>
          </w:tcPr>
          <w:p w14:paraId="2FC8E1B7" w14:textId="77777777" w:rsidR="0050196F" w:rsidRPr="002325F6" w:rsidRDefault="0050196F" w:rsidP="00B21BD0">
            <w:pPr>
              <w:pStyle w:val="ARGrantstabletext"/>
              <w:rPr>
                <w:bCs/>
                <w:color w:val="000000"/>
              </w:rPr>
            </w:pPr>
            <w:r w:rsidRPr="002325F6">
              <w:rPr>
                <w:bCs/>
                <w:color w:val="000000"/>
              </w:rPr>
              <w:t>Banyule Community Health</w:t>
            </w:r>
          </w:p>
        </w:tc>
        <w:tc>
          <w:tcPr>
            <w:tcW w:w="1187" w:type="dxa"/>
            <w:noWrap/>
          </w:tcPr>
          <w:p w14:paraId="4888009F" w14:textId="77777777" w:rsidR="0050196F" w:rsidRPr="002325F6" w:rsidRDefault="0050196F" w:rsidP="00B21BD0">
            <w:pPr>
              <w:pStyle w:val="ARGrantstabletextright"/>
              <w:rPr>
                <w:bCs/>
                <w:color w:val="000000"/>
              </w:rPr>
            </w:pPr>
            <w:r w:rsidRPr="002325F6">
              <w:rPr>
                <w:bCs/>
                <w:color w:val="000000"/>
              </w:rPr>
              <w:t>556,000</w:t>
            </w:r>
          </w:p>
        </w:tc>
      </w:tr>
      <w:tr w:rsidR="0050196F" w:rsidRPr="00B6199F" w14:paraId="6556B95B" w14:textId="77777777" w:rsidTr="00DB5974">
        <w:tc>
          <w:tcPr>
            <w:tcW w:w="3402" w:type="dxa"/>
            <w:noWrap/>
          </w:tcPr>
          <w:p w14:paraId="4559CE31" w14:textId="77777777" w:rsidR="0050196F" w:rsidRPr="002325F6" w:rsidRDefault="0050196F" w:rsidP="00B21BD0">
            <w:pPr>
              <w:pStyle w:val="ARGrantstabletext"/>
              <w:rPr>
                <w:bCs/>
                <w:color w:val="000000"/>
              </w:rPr>
            </w:pPr>
            <w:r w:rsidRPr="002325F6">
              <w:rPr>
                <w:bCs/>
                <w:color w:val="000000"/>
              </w:rPr>
              <w:t>Baringa School</w:t>
            </w:r>
          </w:p>
        </w:tc>
        <w:tc>
          <w:tcPr>
            <w:tcW w:w="1187" w:type="dxa"/>
            <w:noWrap/>
          </w:tcPr>
          <w:p w14:paraId="214814E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2EA6FE8" w14:textId="77777777" w:rsidTr="00DB5974">
        <w:tc>
          <w:tcPr>
            <w:tcW w:w="3402" w:type="dxa"/>
            <w:noWrap/>
          </w:tcPr>
          <w:p w14:paraId="4B11D749" w14:textId="77777777" w:rsidR="0050196F" w:rsidRPr="002325F6" w:rsidRDefault="0050196F" w:rsidP="00B21BD0">
            <w:pPr>
              <w:pStyle w:val="ARGrantstabletext"/>
              <w:rPr>
                <w:bCs/>
                <w:color w:val="000000"/>
              </w:rPr>
            </w:pPr>
            <w:r w:rsidRPr="002325F6">
              <w:rPr>
                <w:bCs/>
                <w:color w:val="000000"/>
              </w:rPr>
              <w:t>Barwon Valley School</w:t>
            </w:r>
          </w:p>
        </w:tc>
        <w:tc>
          <w:tcPr>
            <w:tcW w:w="1187" w:type="dxa"/>
            <w:noWrap/>
          </w:tcPr>
          <w:p w14:paraId="067CF5B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B0B1053" w14:textId="77777777" w:rsidTr="00DB5974">
        <w:tc>
          <w:tcPr>
            <w:tcW w:w="3402" w:type="dxa"/>
            <w:noWrap/>
          </w:tcPr>
          <w:p w14:paraId="76D3BA45" w14:textId="77777777" w:rsidR="0050196F" w:rsidRPr="002325F6" w:rsidRDefault="0050196F" w:rsidP="00B21BD0">
            <w:pPr>
              <w:pStyle w:val="ARGrantstabletext"/>
              <w:rPr>
                <w:bCs/>
                <w:color w:val="000000"/>
              </w:rPr>
            </w:pPr>
            <w:r w:rsidRPr="002325F6">
              <w:rPr>
                <w:bCs/>
                <w:color w:val="000000"/>
              </w:rPr>
              <w:t>Bass Coast Shire Council</w:t>
            </w:r>
          </w:p>
        </w:tc>
        <w:tc>
          <w:tcPr>
            <w:tcW w:w="1187" w:type="dxa"/>
            <w:noWrap/>
          </w:tcPr>
          <w:p w14:paraId="339DE29B" w14:textId="77777777" w:rsidR="0050196F" w:rsidRPr="002325F6" w:rsidRDefault="0050196F" w:rsidP="00B21BD0">
            <w:pPr>
              <w:pStyle w:val="ARGrantstabletextright"/>
              <w:rPr>
                <w:bCs/>
                <w:color w:val="000000"/>
              </w:rPr>
            </w:pPr>
            <w:r w:rsidRPr="002325F6">
              <w:rPr>
                <w:bCs/>
                <w:color w:val="000000"/>
              </w:rPr>
              <w:t>8,600</w:t>
            </w:r>
          </w:p>
        </w:tc>
      </w:tr>
      <w:tr w:rsidR="0050196F" w:rsidRPr="00B6199F" w14:paraId="3A2021A5" w14:textId="77777777" w:rsidTr="00DB5974">
        <w:tc>
          <w:tcPr>
            <w:tcW w:w="3402" w:type="dxa"/>
            <w:noWrap/>
          </w:tcPr>
          <w:p w14:paraId="027E2CF4" w14:textId="77777777" w:rsidR="0050196F" w:rsidRPr="002325F6" w:rsidRDefault="0050196F" w:rsidP="00B21BD0">
            <w:pPr>
              <w:pStyle w:val="ARGrantstabletext"/>
              <w:rPr>
                <w:bCs/>
                <w:color w:val="000000"/>
              </w:rPr>
            </w:pPr>
            <w:r w:rsidRPr="002325F6">
              <w:rPr>
                <w:bCs/>
                <w:color w:val="000000"/>
              </w:rPr>
              <w:t>Bass Coast Specialist School</w:t>
            </w:r>
          </w:p>
        </w:tc>
        <w:tc>
          <w:tcPr>
            <w:tcW w:w="1187" w:type="dxa"/>
            <w:noWrap/>
          </w:tcPr>
          <w:p w14:paraId="3D8F363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B55A8FE" w14:textId="77777777" w:rsidTr="00DB5974">
        <w:tc>
          <w:tcPr>
            <w:tcW w:w="3402" w:type="dxa"/>
            <w:noWrap/>
          </w:tcPr>
          <w:p w14:paraId="7DB787DC" w14:textId="77777777" w:rsidR="0050196F" w:rsidRPr="002325F6" w:rsidRDefault="0050196F" w:rsidP="00B21BD0">
            <w:pPr>
              <w:pStyle w:val="ARGrantstabletext"/>
              <w:rPr>
                <w:bCs/>
                <w:color w:val="000000"/>
              </w:rPr>
            </w:pPr>
            <w:r w:rsidRPr="002325F6">
              <w:rPr>
                <w:bCs/>
                <w:color w:val="000000"/>
              </w:rPr>
              <w:t>Baw Baw Shire Council</w:t>
            </w:r>
          </w:p>
        </w:tc>
        <w:tc>
          <w:tcPr>
            <w:tcW w:w="1187" w:type="dxa"/>
            <w:noWrap/>
          </w:tcPr>
          <w:p w14:paraId="04E409B9"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1A531480" w14:textId="77777777" w:rsidTr="00DB5974">
        <w:tc>
          <w:tcPr>
            <w:tcW w:w="3402" w:type="dxa"/>
            <w:noWrap/>
          </w:tcPr>
          <w:p w14:paraId="6040E73F" w14:textId="77777777" w:rsidR="0050196F" w:rsidRPr="002325F6" w:rsidRDefault="0050196F" w:rsidP="00B21BD0">
            <w:pPr>
              <w:pStyle w:val="ARGrantstabletext"/>
              <w:rPr>
                <w:bCs/>
                <w:color w:val="000000"/>
              </w:rPr>
            </w:pPr>
            <w:r w:rsidRPr="002325F6">
              <w:rPr>
                <w:bCs/>
                <w:color w:val="000000"/>
              </w:rPr>
              <w:t>Bayside City Council</w:t>
            </w:r>
          </w:p>
        </w:tc>
        <w:tc>
          <w:tcPr>
            <w:tcW w:w="1187" w:type="dxa"/>
            <w:noWrap/>
          </w:tcPr>
          <w:p w14:paraId="34F446F6"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1613806C" w14:textId="77777777" w:rsidTr="00DB5974">
        <w:tc>
          <w:tcPr>
            <w:tcW w:w="3402" w:type="dxa"/>
            <w:noWrap/>
          </w:tcPr>
          <w:p w14:paraId="004630C5" w14:textId="04F313B6" w:rsidR="0050196F" w:rsidRPr="002325F6" w:rsidRDefault="0050196F" w:rsidP="00B21BD0">
            <w:pPr>
              <w:pStyle w:val="ARGrantstabletext"/>
              <w:rPr>
                <w:bCs/>
                <w:color w:val="000000"/>
              </w:rPr>
            </w:pPr>
            <w:r w:rsidRPr="002325F6">
              <w:rPr>
                <w:bCs/>
                <w:color w:val="000000"/>
              </w:rPr>
              <w:t>Bayside P-12 College (Williamstown</w:t>
            </w:r>
            <w:r w:rsidR="009378B2">
              <w:rPr>
                <w:bCs/>
                <w:color w:val="000000"/>
              </w:rPr>
              <w:t> </w:t>
            </w:r>
            <w:r w:rsidRPr="002325F6">
              <w:rPr>
                <w:bCs/>
                <w:color w:val="000000"/>
              </w:rPr>
              <w:t>Campus)</w:t>
            </w:r>
          </w:p>
        </w:tc>
        <w:tc>
          <w:tcPr>
            <w:tcW w:w="1187" w:type="dxa"/>
            <w:noWrap/>
          </w:tcPr>
          <w:p w14:paraId="1FC9A6DF"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A71C2FC" w14:textId="77777777" w:rsidTr="00DB5974">
        <w:tc>
          <w:tcPr>
            <w:tcW w:w="3402" w:type="dxa"/>
            <w:noWrap/>
          </w:tcPr>
          <w:p w14:paraId="05327512" w14:textId="77777777" w:rsidR="0050196F" w:rsidRPr="002325F6" w:rsidRDefault="0050196F" w:rsidP="00B21BD0">
            <w:pPr>
              <w:pStyle w:val="ARGrantstabletext"/>
              <w:rPr>
                <w:bCs/>
                <w:color w:val="000000"/>
              </w:rPr>
            </w:pPr>
            <w:r w:rsidRPr="002325F6">
              <w:rPr>
                <w:bCs/>
                <w:color w:val="000000"/>
              </w:rPr>
              <w:t>Bayswater Secondary College</w:t>
            </w:r>
          </w:p>
        </w:tc>
        <w:tc>
          <w:tcPr>
            <w:tcW w:w="1187" w:type="dxa"/>
            <w:noWrap/>
          </w:tcPr>
          <w:p w14:paraId="7BC1F21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19DDB5C" w14:textId="77777777" w:rsidTr="00DB5974">
        <w:tc>
          <w:tcPr>
            <w:tcW w:w="3402" w:type="dxa"/>
            <w:noWrap/>
          </w:tcPr>
          <w:p w14:paraId="59521AFB" w14:textId="77777777" w:rsidR="0050196F" w:rsidRPr="002325F6" w:rsidRDefault="0050196F" w:rsidP="00B21BD0">
            <w:pPr>
              <w:pStyle w:val="ARGrantstabletext"/>
              <w:rPr>
                <w:bCs/>
                <w:color w:val="000000"/>
              </w:rPr>
            </w:pPr>
            <w:r w:rsidRPr="002325F6">
              <w:rPr>
                <w:bCs/>
                <w:color w:val="000000"/>
              </w:rPr>
              <w:t>Beaufort Secondary College</w:t>
            </w:r>
          </w:p>
        </w:tc>
        <w:tc>
          <w:tcPr>
            <w:tcW w:w="1187" w:type="dxa"/>
            <w:noWrap/>
          </w:tcPr>
          <w:p w14:paraId="3DE1FC6E"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2FEDB2A" w14:textId="77777777" w:rsidTr="00DB5974">
        <w:tc>
          <w:tcPr>
            <w:tcW w:w="3402" w:type="dxa"/>
            <w:noWrap/>
          </w:tcPr>
          <w:p w14:paraId="3FF51244" w14:textId="77777777" w:rsidR="0050196F" w:rsidRPr="002325F6" w:rsidRDefault="0050196F" w:rsidP="00B21BD0">
            <w:pPr>
              <w:pStyle w:val="ARGrantstabletext"/>
              <w:rPr>
                <w:bCs/>
                <w:color w:val="000000"/>
              </w:rPr>
            </w:pPr>
            <w:r w:rsidRPr="002325F6">
              <w:rPr>
                <w:bCs/>
                <w:color w:val="000000"/>
              </w:rPr>
              <w:t>Bellarine Community Health</w:t>
            </w:r>
          </w:p>
        </w:tc>
        <w:tc>
          <w:tcPr>
            <w:tcW w:w="1187" w:type="dxa"/>
            <w:noWrap/>
          </w:tcPr>
          <w:p w14:paraId="37CA9D3C" w14:textId="77777777" w:rsidR="0050196F" w:rsidRPr="002325F6" w:rsidRDefault="0050196F" w:rsidP="00B21BD0">
            <w:pPr>
              <w:pStyle w:val="ARGrantstabletextright"/>
              <w:rPr>
                <w:bCs/>
                <w:color w:val="000000"/>
              </w:rPr>
            </w:pPr>
            <w:r w:rsidRPr="002325F6">
              <w:rPr>
                <w:bCs/>
                <w:color w:val="000000"/>
              </w:rPr>
              <w:t>60,000</w:t>
            </w:r>
          </w:p>
        </w:tc>
      </w:tr>
      <w:tr w:rsidR="0050196F" w:rsidRPr="00B6199F" w14:paraId="0E3FF7DB" w14:textId="77777777" w:rsidTr="00DB5974">
        <w:tc>
          <w:tcPr>
            <w:tcW w:w="3402" w:type="dxa"/>
            <w:noWrap/>
          </w:tcPr>
          <w:p w14:paraId="362AC854" w14:textId="60E28829" w:rsidR="0050196F" w:rsidRPr="002325F6" w:rsidRDefault="0050196F" w:rsidP="00B21BD0">
            <w:pPr>
              <w:pStyle w:val="ARGrantstabletext"/>
              <w:rPr>
                <w:bCs/>
                <w:color w:val="000000"/>
              </w:rPr>
            </w:pPr>
            <w:r w:rsidRPr="002325F6">
              <w:rPr>
                <w:bCs/>
                <w:color w:val="000000"/>
              </w:rPr>
              <w:t>Bellarine Training and Community Hub</w:t>
            </w:r>
            <w:r w:rsidR="00EA2AB7">
              <w:rPr>
                <w:bCs/>
                <w:color w:val="000000"/>
              </w:rPr>
              <w:t> </w:t>
            </w:r>
            <w:r w:rsidRPr="002325F6">
              <w:rPr>
                <w:bCs/>
                <w:color w:val="000000"/>
              </w:rPr>
              <w:t>Incorporated</w:t>
            </w:r>
          </w:p>
        </w:tc>
        <w:tc>
          <w:tcPr>
            <w:tcW w:w="1187" w:type="dxa"/>
            <w:noWrap/>
          </w:tcPr>
          <w:p w14:paraId="225411EA"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3A07443" w14:textId="77777777" w:rsidTr="00DB5974">
        <w:tc>
          <w:tcPr>
            <w:tcW w:w="3402" w:type="dxa"/>
            <w:noWrap/>
          </w:tcPr>
          <w:p w14:paraId="471448BA" w14:textId="376933F3" w:rsidR="0050196F" w:rsidRPr="002325F6" w:rsidRDefault="0050196F" w:rsidP="00B21BD0">
            <w:pPr>
              <w:pStyle w:val="ARGrantstabletext"/>
              <w:rPr>
                <w:bCs/>
                <w:color w:val="000000"/>
              </w:rPr>
            </w:pPr>
            <w:r w:rsidRPr="002325F6">
              <w:rPr>
                <w:bCs/>
                <w:color w:val="000000"/>
              </w:rPr>
              <w:t>Belvoir Wodonga Special Developmental</w:t>
            </w:r>
            <w:r w:rsidR="009378B2">
              <w:rPr>
                <w:bCs/>
                <w:color w:val="000000"/>
              </w:rPr>
              <w:t> </w:t>
            </w:r>
            <w:r w:rsidRPr="002325F6">
              <w:rPr>
                <w:bCs/>
                <w:color w:val="000000"/>
              </w:rPr>
              <w:t>School</w:t>
            </w:r>
          </w:p>
        </w:tc>
        <w:tc>
          <w:tcPr>
            <w:tcW w:w="1187" w:type="dxa"/>
            <w:noWrap/>
          </w:tcPr>
          <w:p w14:paraId="7036DBF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5DC9461" w14:textId="77777777" w:rsidTr="00DB5974">
        <w:tc>
          <w:tcPr>
            <w:tcW w:w="3402" w:type="dxa"/>
            <w:noWrap/>
          </w:tcPr>
          <w:p w14:paraId="3D98DB5F" w14:textId="77777777" w:rsidR="0050196F" w:rsidRPr="002325F6" w:rsidRDefault="0050196F" w:rsidP="00B21BD0">
            <w:pPr>
              <w:pStyle w:val="ARGrantstabletext"/>
              <w:rPr>
                <w:bCs/>
                <w:color w:val="000000"/>
              </w:rPr>
            </w:pPr>
            <w:r w:rsidRPr="002325F6">
              <w:rPr>
                <w:bCs/>
                <w:color w:val="000000"/>
              </w:rPr>
              <w:t>Benalla P-12 College</w:t>
            </w:r>
          </w:p>
        </w:tc>
        <w:tc>
          <w:tcPr>
            <w:tcW w:w="1187" w:type="dxa"/>
            <w:noWrap/>
          </w:tcPr>
          <w:p w14:paraId="2C24ABB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46E058A" w14:textId="77777777" w:rsidTr="00DB5974">
        <w:tc>
          <w:tcPr>
            <w:tcW w:w="3402" w:type="dxa"/>
            <w:noWrap/>
          </w:tcPr>
          <w:p w14:paraId="4A34FB3E" w14:textId="77777777" w:rsidR="0050196F" w:rsidRPr="002325F6" w:rsidRDefault="0050196F" w:rsidP="00B21BD0">
            <w:pPr>
              <w:pStyle w:val="ARGrantstabletext"/>
              <w:rPr>
                <w:bCs/>
                <w:color w:val="000000"/>
              </w:rPr>
            </w:pPr>
            <w:r w:rsidRPr="002325F6">
              <w:rPr>
                <w:bCs/>
                <w:color w:val="000000"/>
              </w:rPr>
              <w:t>Benalla Rural City Council</w:t>
            </w:r>
          </w:p>
        </w:tc>
        <w:tc>
          <w:tcPr>
            <w:tcW w:w="1187" w:type="dxa"/>
            <w:noWrap/>
          </w:tcPr>
          <w:p w14:paraId="6D976797" w14:textId="77777777" w:rsidR="0050196F" w:rsidRPr="002325F6" w:rsidRDefault="0050196F" w:rsidP="00B21BD0">
            <w:pPr>
              <w:pStyle w:val="ARGrantstabletextright"/>
              <w:rPr>
                <w:bCs/>
                <w:color w:val="000000"/>
              </w:rPr>
            </w:pPr>
            <w:r w:rsidRPr="002325F6">
              <w:rPr>
                <w:bCs/>
                <w:color w:val="000000"/>
              </w:rPr>
              <w:t>95,500</w:t>
            </w:r>
          </w:p>
        </w:tc>
      </w:tr>
      <w:tr w:rsidR="0050196F" w:rsidRPr="00B6199F" w14:paraId="4B2CEE67" w14:textId="77777777" w:rsidTr="00DB5974">
        <w:tc>
          <w:tcPr>
            <w:tcW w:w="3402" w:type="dxa"/>
            <w:noWrap/>
          </w:tcPr>
          <w:p w14:paraId="6BD7585F" w14:textId="77777777" w:rsidR="0050196F" w:rsidRPr="002325F6" w:rsidRDefault="0050196F" w:rsidP="00B21BD0">
            <w:pPr>
              <w:pStyle w:val="ARGrantstabletext"/>
              <w:rPr>
                <w:bCs/>
                <w:color w:val="000000"/>
              </w:rPr>
            </w:pPr>
            <w:r w:rsidRPr="002325F6">
              <w:rPr>
                <w:bCs/>
                <w:color w:val="000000"/>
              </w:rPr>
              <w:t>Bendigo Special Developmental School</w:t>
            </w:r>
          </w:p>
        </w:tc>
        <w:tc>
          <w:tcPr>
            <w:tcW w:w="1187" w:type="dxa"/>
            <w:noWrap/>
          </w:tcPr>
          <w:p w14:paraId="3F661B2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EB4B8AD" w14:textId="77777777" w:rsidTr="00DB5974">
        <w:tc>
          <w:tcPr>
            <w:tcW w:w="3402" w:type="dxa"/>
            <w:noWrap/>
          </w:tcPr>
          <w:p w14:paraId="15C2BE96" w14:textId="77777777" w:rsidR="0050196F" w:rsidRPr="002325F6" w:rsidRDefault="0050196F" w:rsidP="00B21BD0">
            <w:pPr>
              <w:pStyle w:val="ARGrantstabletext"/>
              <w:rPr>
                <w:bCs/>
                <w:color w:val="000000"/>
              </w:rPr>
            </w:pPr>
            <w:r w:rsidRPr="002325F6">
              <w:rPr>
                <w:bCs/>
                <w:color w:val="000000"/>
              </w:rPr>
              <w:t>Bhakti Corner</w:t>
            </w:r>
          </w:p>
        </w:tc>
        <w:tc>
          <w:tcPr>
            <w:tcW w:w="1187" w:type="dxa"/>
            <w:noWrap/>
          </w:tcPr>
          <w:p w14:paraId="6B1639CF"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3C5F22F3" w14:textId="77777777" w:rsidTr="00DB5974">
        <w:tc>
          <w:tcPr>
            <w:tcW w:w="3402" w:type="dxa"/>
            <w:noWrap/>
          </w:tcPr>
          <w:p w14:paraId="061DB611" w14:textId="77777777" w:rsidR="0050196F" w:rsidRPr="002325F6" w:rsidRDefault="0050196F" w:rsidP="00B21BD0">
            <w:pPr>
              <w:pStyle w:val="ARGrantstabletext"/>
              <w:rPr>
                <w:bCs/>
                <w:color w:val="000000"/>
              </w:rPr>
            </w:pPr>
            <w:r w:rsidRPr="002325F6">
              <w:rPr>
                <w:bCs/>
                <w:color w:val="000000"/>
              </w:rPr>
              <w:t>Birchip Neighbourhood House</w:t>
            </w:r>
          </w:p>
        </w:tc>
        <w:tc>
          <w:tcPr>
            <w:tcW w:w="1187" w:type="dxa"/>
            <w:noWrap/>
          </w:tcPr>
          <w:p w14:paraId="3CDE6F43" w14:textId="77777777" w:rsidR="0050196F" w:rsidRPr="002325F6" w:rsidRDefault="0050196F" w:rsidP="00B21BD0">
            <w:pPr>
              <w:pStyle w:val="ARGrantstabletextright"/>
              <w:rPr>
                <w:bCs/>
                <w:color w:val="000000"/>
              </w:rPr>
            </w:pPr>
            <w:r w:rsidRPr="002325F6">
              <w:rPr>
                <w:bCs/>
                <w:color w:val="000000"/>
              </w:rPr>
              <w:t>37,500</w:t>
            </w:r>
          </w:p>
        </w:tc>
      </w:tr>
      <w:tr w:rsidR="0050196F" w:rsidRPr="00B6199F" w14:paraId="0F92A8C1" w14:textId="77777777" w:rsidTr="00DB5974">
        <w:tc>
          <w:tcPr>
            <w:tcW w:w="3402" w:type="dxa"/>
            <w:noWrap/>
          </w:tcPr>
          <w:p w14:paraId="28CC944D" w14:textId="77777777" w:rsidR="0050196F" w:rsidRPr="002325F6" w:rsidRDefault="0050196F" w:rsidP="00B21BD0">
            <w:pPr>
              <w:pStyle w:val="ARGrantstabletext"/>
              <w:rPr>
                <w:bCs/>
                <w:color w:val="000000"/>
              </w:rPr>
            </w:pPr>
            <w:r w:rsidRPr="002325F6">
              <w:rPr>
                <w:bCs/>
                <w:color w:val="000000"/>
              </w:rPr>
              <w:t>Bluebird Foundation</w:t>
            </w:r>
          </w:p>
        </w:tc>
        <w:tc>
          <w:tcPr>
            <w:tcW w:w="1187" w:type="dxa"/>
            <w:noWrap/>
          </w:tcPr>
          <w:p w14:paraId="4B622783" w14:textId="77777777" w:rsidR="0050196F" w:rsidRPr="002325F6" w:rsidRDefault="0050196F" w:rsidP="00B21BD0">
            <w:pPr>
              <w:pStyle w:val="ARGrantstabletextright"/>
              <w:rPr>
                <w:bCs/>
                <w:color w:val="000000"/>
              </w:rPr>
            </w:pPr>
            <w:r w:rsidRPr="002325F6">
              <w:rPr>
                <w:bCs/>
                <w:color w:val="000000"/>
              </w:rPr>
              <w:t>47,000</w:t>
            </w:r>
          </w:p>
        </w:tc>
      </w:tr>
      <w:tr w:rsidR="0050196F" w:rsidRPr="00B6199F" w14:paraId="7A3E84F0" w14:textId="77777777" w:rsidTr="00DB5974">
        <w:tc>
          <w:tcPr>
            <w:tcW w:w="3402" w:type="dxa"/>
            <w:noWrap/>
          </w:tcPr>
          <w:p w14:paraId="0860B7A1" w14:textId="77777777" w:rsidR="0050196F" w:rsidRPr="002325F6" w:rsidRDefault="0050196F" w:rsidP="00B21BD0">
            <w:pPr>
              <w:pStyle w:val="ARGrantstabletext"/>
              <w:rPr>
                <w:bCs/>
                <w:color w:val="000000"/>
              </w:rPr>
            </w:pPr>
            <w:r w:rsidRPr="002325F6">
              <w:rPr>
                <w:bCs/>
                <w:color w:val="000000"/>
              </w:rPr>
              <w:t>Bonnie Doon Community Group Inc</w:t>
            </w:r>
          </w:p>
        </w:tc>
        <w:tc>
          <w:tcPr>
            <w:tcW w:w="1187" w:type="dxa"/>
            <w:noWrap/>
          </w:tcPr>
          <w:p w14:paraId="70F82208"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24984A15" w14:textId="77777777" w:rsidTr="00DB5974">
        <w:tc>
          <w:tcPr>
            <w:tcW w:w="3402" w:type="dxa"/>
            <w:noWrap/>
          </w:tcPr>
          <w:p w14:paraId="4B7EF67B" w14:textId="77777777" w:rsidR="0050196F" w:rsidRPr="002325F6" w:rsidRDefault="0050196F" w:rsidP="00B21BD0">
            <w:pPr>
              <w:pStyle w:val="ARGrantstabletext"/>
              <w:rPr>
                <w:bCs/>
                <w:color w:val="000000"/>
              </w:rPr>
            </w:pPr>
            <w:r w:rsidRPr="002325F6">
              <w:rPr>
                <w:bCs/>
                <w:color w:val="000000"/>
              </w:rPr>
              <w:t>Boronia K-12 College</w:t>
            </w:r>
          </w:p>
        </w:tc>
        <w:tc>
          <w:tcPr>
            <w:tcW w:w="1187" w:type="dxa"/>
            <w:noWrap/>
          </w:tcPr>
          <w:p w14:paraId="60C299EF"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A70D61B" w14:textId="77777777" w:rsidTr="00DB5974">
        <w:tc>
          <w:tcPr>
            <w:tcW w:w="3402" w:type="dxa"/>
            <w:noWrap/>
          </w:tcPr>
          <w:p w14:paraId="015EBC75" w14:textId="77777777" w:rsidR="0050196F" w:rsidRPr="002325F6" w:rsidRDefault="0050196F" w:rsidP="00B21BD0">
            <w:pPr>
              <w:pStyle w:val="ARGrantstabletext"/>
              <w:rPr>
                <w:bCs/>
                <w:color w:val="000000"/>
              </w:rPr>
            </w:pPr>
            <w:r w:rsidRPr="002325F6">
              <w:rPr>
                <w:bCs/>
                <w:color w:val="000000"/>
              </w:rPr>
              <w:t>Boroondara City Council</w:t>
            </w:r>
          </w:p>
        </w:tc>
        <w:tc>
          <w:tcPr>
            <w:tcW w:w="1187" w:type="dxa"/>
            <w:noWrap/>
          </w:tcPr>
          <w:p w14:paraId="2A708A27" w14:textId="77777777" w:rsidR="0050196F" w:rsidRPr="002325F6" w:rsidRDefault="0050196F" w:rsidP="00B21BD0">
            <w:pPr>
              <w:pStyle w:val="ARGrantstabletextright"/>
              <w:rPr>
                <w:bCs/>
                <w:color w:val="000000"/>
              </w:rPr>
            </w:pPr>
            <w:r w:rsidRPr="002325F6">
              <w:rPr>
                <w:bCs/>
                <w:color w:val="000000"/>
              </w:rPr>
              <w:t>80,000</w:t>
            </w:r>
          </w:p>
        </w:tc>
      </w:tr>
      <w:tr w:rsidR="0050196F" w:rsidRPr="00B6199F" w14:paraId="7138C398" w14:textId="77777777" w:rsidTr="00DB5974">
        <w:tc>
          <w:tcPr>
            <w:tcW w:w="3402" w:type="dxa"/>
            <w:noWrap/>
          </w:tcPr>
          <w:p w14:paraId="15D2AA48" w14:textId="77777777" w:rsidR="0050196F" w:rsidRPr="002325F6" w:rsidRDefault="0050196F" w:rsidP="00B21BD0">
            <w:pPr>
              <w:pStyle w:val="ARGrantstabletext"/>
              <w:rPr>
                <w:bCs/>
                <w:color w:val="000000"/>
              </w:rPr>
            </w:pPr>
            <w:r w:rsidRPr="002325F6">
              <w:rPr>
                <w:bCs/>
                <w:color w:val="000000"/>
              </w:rPr>
              <w:t>Braybrook College</w:t>
            </w:r>
          </w:p>
        </w:tc>
        <w:tc>
          <w:tcPr>
            <w:tcW w:w="1187" w:type="dxa"/>
            <w:noWrap/>
          </w:tcPr>
          <w:p w14:paraId="4DDB4D7E"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66ED2F7" w14:textId="77777777" w:rsidTr="00DB5974">
        <w:tc>
          <w:tcPr>
            <w:tcW w:w="3402" w:type="dxa"/>
            <w:noWrap/>
          </w:tcPr>
          <w:p w14:paraId="29B4A2D8" w14:textId="77777777" w:rsidR="0050196F" w:rsidRPr="002325F6" w:rsidRDefault="0050196F" w:rsidP="00B21BD0">
            <w:pPr>
              <w:pStyle w:val="ARGrantstabletext"/>
              <w:rPr>
                <w:bCs/>
                <w:color w:val="000000"/>
              </w:rPr>
            </w:pPr>
            <w:r w:rsidRPr="002325F6">
              <w:rPr>
                <w:bCs/>
                <w:color w:val="000000"/>
              </w:rPr>
              <w:t>Brimbank City Council</w:t>
            </w:r>
          </w:p>
        </w:tc>
        <w:tc>
          <w:tcPr>
            <w:tcW w:w="1187" w:type="dxa"/>
            <w:noWrap/>
          </w:tcPr>
          <w:p w14:paraId="11D7FF6E"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74250934" w14:textId="77777777" w:rsidTr="00DB5974">
        <w:tc>
          <w:tcPr>
            <w:tcW w:w="3402" w:type="dxa"/>
            <w:noWrap/>
          </w:tcPr>
          <w:p w14:paraId="04A00375" w14:textId="3EDC276B" w:rsidR="0050196F" w:rsidRPr="002325F6" w:rsidRDefault="0050196F" w:rsidP="00B21BD0">
            <w:pPr>
              <w:pStyle w:val="ARGrantstabletext"/>
              <w:rPr>
                <w:bCs/>
                <w:color w:val="000000"/>
              </w:rPr>
            </w:pPr>
            <w:r w:rsidRPr="002325F6">
              <w:rPr>
                <w:bCs/>
                <w:color w:val="000000"/>
              </w:rPr>
              <w:t>Broadmeadows Special Developmental</w:t>
            </w:r>
            <w:r w:rsidR="00DB5974">
              <w:rPr>
                <w:bCs/>
                <w:color w:val="000000"/>
              </w:rPr>
              <w:t> </w:t>
            </w:r>
            <w:r w:rsidRPr="002325F6">
              <w:rPr>
                <w:bCs/>
                <w:color w:val="000000"/>
              </w:rPr>
              <w:t>School</w:t>
            </w:r>
          </w:p>
        </w:tc>
        <w:tc>
          <w:tcPr>
            <w:tcW w:w="1187" w:type="dxa"/>
            <w:noWrap/>
          </w:tcPr>
          <w:p w14:paraId="09B15C0D"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9679601" w14:textId="77777777" w:rsidTr="00DB5974">
        <w:tc>
          <w:tcPr>
            <w:tcW w:w="3402" w:type="dxa"/>
            <w:noWrap/>
          </w:tcPr>
          <w:p w14:paraId="4BDF0FB8" w14:textId="77777777" w:rsidR="0050196F" w:rsidRPr="002325F6" w:rsidRDefault="0050196F" w:rsidP="00B21BD0">
            <w:pPr>
              <w:pStyle w:val="ARGrantstabletext"/>
              <w:rPr>
                <w:bCs/>
                <w:color w:val="000000"/>
              </w:rPr>
            </w:pPr>
            <w:r w:rsidRPr="002325F6">
              <w:rPr>
                <w:bCs/>
                <w:color w:val="000000"/>
              </w:rPr>
              <w:t>Brophy Family &amp; Youth Services Inc</w:t>
            </w:r>
          </w:p>
        </w:tc>
        <w:tc>
          <w:tcPr>
            <w:tcW w:w="1187" w:type="dxa"/>
            <w:noWrap/>
          </w:tcPr>
          <w:p w14:paraId="476ADB30"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1641DB6F" w14:textId="77777777" w:rsidTr="00DB5974">
        <w:tc>
          <w:tcPr>
            <w:tcW w:w="3402" w:type="dxa"/>
            <w:noWrap/>
          </w:tcPr>
          <w:p w14:paraId="45F28ED6" w14:textId="77777777" w:rsidR="0050196F" w:rsidRPr="002325F6" w:rsidRDefault="0050196F" w:rsidP="00B21BD0">
            <w:pPr>
              <w:pStyle w:val="ARGrantstabletext"/>
              <w:rPr>
                <w:bCs/>
                <w:color w:val="000000"/>
              </w:rPr>
            </w:pPr>
            <w:r w:rsidRPr="002325F6">
              <w:rPr>
                <w:bCs/>
                <w:color w:val="000000"/>
              </w:rPr>
              <w:t>Campaspe Cohuna Local Learning and Employment Network</w:t>
            </w:r>
          </w:p>
        </w:tc>
        <w:tc>
          <w:tcPr>
            <w:tcW w:w="1187" w:type="dxa"/>
            <w:noWrap/>
          </w:tcPr>
          <w:p w14:paraId="055E85DB"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778F0072" w14:textId="77777777" w:rsidTr="00DB5974">
        <w:tc>
          <w:tcPr>
            <w:tcW w:w="3402" w:type="dxa"/>
            <w:noWrap/>
          </w:tcPr>
          <w:p w14:paraId="778BDFA0" w14:textId="77777777" w:rsidR="0050196F" w:rsidRPr="002325F6" w:rsidRDefault="0050196F" w:rsidP="00B21BD0">
            <w:pPr>
              <w:pStyle w:val="ARGrantstabletext"/>
              <w:rPr>
                <w:bCs/>
                <w:color w:val="000000"/>
              </w:rPr>
            </w:pPr>
            <w:r w:rsidRPr="002325F6">
              <w:rPr>
                <w:bCs/>
                <w:color w:val="000000"/>
              </w:rPr>
              <w:t>Campaspe Shire Council</w:t>
            </w:r>
          </w:p>
        </w:tc>
        <w:tc>
          <w:tcPr>
            <w:tcW w:w="1187" w:type="dxa"/>
            <w:noWrap/>
          </w:tcPr>
          <w:p w14:paraId="4C0F0711" w14:textId="77777777" w:rsidR="0050196F" w:rsidRPr="002325F6" w:rsidRDefault="0050196F" w:rsidP="00B21BD0">
            <w:pPr>
              <w:pStyle w:val="ARGrantstabletextright"/>
              <w:rPr>
                <w:bCs/>
                <w:color w:val="000000"/>
              </w:rPr>
            </w:pPr>
            <w:r w:rsidRPr="002325F6">
              <w:rPr>
                <w:bCs/>
                <w:color w:val="000000"/>
              </w:rPr>
              <w:t>77,750</w:t>
            </w:r>
          </w:p>
        </w:tc>
      </w:tr>
      <w:tr w:rsidR="0050196F" w:rsidRPr="00B6199F" w14:paraId="55F79A72" w14:textId="77777777" w:rsidTr="00DB5974">
        <w:tc>
          <w:tcPr>
            <w:tcW w:w="3402" w:type="dxa"/>
            <w:noWrap/>
          </w:tcPr>
          <w:p w14:paraId="44111D7C" w14:textId="77777777" w:rsidR="0050196F" w:rsidRPr="002325F6" w:rsidRDefault="0050196F" w:rsidP="00B21BD0">
            <w:pPr>
              <w:pStyle w:val="ARGrantstabletext"/>
              <w:rPr>
                <w:bCs/>
                <w:color w:val="000000"/>
              </w:rPr>
            </w:pPr>
            <w:r w:rsidRPr="002325F6">
              <w:rPr>
                <w:bCs/>
                <w:color w:val="000000"/>
              </w:rPr>
              <w:t>Cardinia Shire Council</w:t>
            </w:r>
          </w:p>
        </w:tc>
        <w:tc>
          <w:tcPr>
            <w:tcW w:w="1187" w:type="dxa"/>
            <w:noWrap/>
          </w:tcPr>
          <w:p w14:paraId="5FA4F27D" w14:textId="77777777" w:rsidR="0050196F" w:rsidRPr="002325F6" w:rsidRDefault="0050196F" w:rsidP="00B21BD0">
            <w:pPr>
              <w:pStyle w:val="ARGrantstabletextright"/>
              <w:rPr>
                <w:bCs/>
                <w:color w:val="000000"/>
              </w:rPr>
            </w:pPr>
            <w:r w:rsidRPr="002325F6">
              <w:rPr>
                <w:bCs/>
                <w:color w:val="000000"/>
              </w:rPr>
              <w:t>80,000</w:t>
            </w:r>
          </w:p>
        </w:tc>
      </w:tr>
      <w:tr w:rsidR="0050196F" w:rsidRPr="00B6199F" w14:paraId="6E627174" w14:textId="77777777" w:rsidTr="00DB5974">
        <w:tc>
          <w:tcPr>
            <w:tcW w:w="3402" w:type="dxa"/>
            <w:noWrap/>
          </w:tcPr>
          <w:p w14:paraId="16ECFCFB" w14:textId="77777777" w:rsidR="0050196F" w:rsidRPr="002325F6" w:rsidRDefault="0050196F" w:rsidP="00B21BD0">
            <w:pPr>
              <w:pStyle w:val="ARGrantstabletext"/>
              <w:rPr>
                <w:bCs/>
                <w:color w:val="000000"/>
              </w:rPr>
            </w:pPr>
            <w:r w:rsidRPr="002325F6">
              <w:rPr>
                <w:bCs/>
                <w:color w:val="000000"/>
              </w:rPr>
              <w:t>Carwatha College P-12</w:t>
            </w:r>
          </w:p>
        </w:tc>
        <w:tc>
          <w:tcPr>
            <w:tcW w:w="1187" w:type="dxa"/>
            <w:noWrap/>
          </w:tcPr>
          <w:p w14:paraId="1CB1DC7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B14AD4E" w14:textId="77777777" w:rsidTr="00DB5974">
        <w:tc>
          <w:tcPr>
            <w:tcW w:w="3402" w:type="dxa"/>
            <w:noWrap/>
          </w:tcPr>
          <w:p w14:paraId="51A754E4" w14:textId="77777777" w:rsidR="0050196F" w:rsidRPr="002325F6" w:rsidRDefault="0050196F" w:rsidP="00B21BD0">
            <w:pPr>
              <w:pStyle w:val="ARGrantstabletext"/>
              <w:rPr>
                <w:bCs/>
                <w:color w:val="000000"/>
              </w:rPr>
            </w:pPr>
            <w:r w:rsidRPr="002325F6">
              <w:rPr>
                <w:bCs/>
                <w:color w:val="000000"/>
              </w:rPr>
              <w:t>Casterton Secondary College</w:t>
            </w:r>
          </w:p>
        </w:tc>
        <w:tc>
          <w:tcPr>
            <w:tcW w:w="1187" w:type="dxa"/>
            <w:noWrap/>
          </w:tcPr>
          <w:p w14:paraId="1B70A27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932163D" w14:textId="77777777" w:rsidTr="00DB5974">
        <w:tc>
          <w:tcPr>
            <w:tcW w:w="3402" w:type="dxa"/>
            <w:noWrap/>
          </w:tcPr>
          <w:p w14:paraId="73496485" w14:textId="67C947B0" w:rsidR="0050196F" w:rsidRPr="002325F6" w:rsidRDefault="0050196F" w:rsidP="00B21BD0">
            <w:pPr>
              <w:pStyle w:val="ARGrantstabletext"/>
              <w:rPr>
                <w:bCs/>
                <w:color w:val="000000"/>
              </w:rPr>
            </w:pPr>
            <w:r w:rsidRPr="002325F6">
              <w:rPr>
                <w:bCs/>
                <w:color w:val="000000"/>
              </w:rPr>
              <w:t>Centacare, Catholic Diocese of Ballarat</w:t>
            </w:r>
            <w:r w:rsidR="00083017">
              <w:rPr>
                <w:bCs/>
                <w:color w:val="000000"/>
              </w:rPr>
              <w:t> </w:t>
            </w:r>
            <w:r w:rsidRPr="002325F6">
              <w:rPr>
                <w:bCs/>
                <w:color w:val="000000"/>
              </w:rPr>
              <w:t>Limited</w:t>
            </w:r>
          </w:p>
        </w:tc>
        <w:tc>
          <w:tcPr>
            <w:tcW w:w="1187" w:type="dxa"/>
            <w:noWrap/>
          </w:tcPr>
          <w:p w14:paraId="61A244B1" w14:textId="77777777" w:rsidR="0050196F" w:rsidRPr="002325F6" w:rsidRDefault="0050196F" w:rsidP="00B21BD0">
            <w:pPr>
              <w:pStyle w:val="ARGrantstabletextright"/>
              <w:rPr>
                <w:bCs/>
                <w:color w:val="000000"/>
              </w:rPr>
            </w:pPr>
            <w:r w:rsidRPr="002325F6">
              <w:rPr>
                <w:bCs/>
                <w:color w:val="000000"/>
              </w:rPr>
              <w:t>146,063</w:t>
            </w:r>
          </w:p>
        </w:tc>
      </w:tr>
      <w:tr w:rsidR="0050196F" w:rsidRPr="00B6199F" w14:paraId="69E885FB" w14:textId="77777777" w:rsidTr="00DB5974">
        <w:tc>
          <w:tcPr>
            <w:tcW w:w="3402" w:type="dxa"/>
            <w:noWrap/>
          </w:tcPr>
          <w:p w14:paraId="018BF722" w14:textId="77777777" w:rsidR="0050196F" w:rsidRPr="002325F6" w:rsidRDefault="0050196F" w:rsidP="00B21BD0">
            <w:pPr>
              <w:pStyle w:val="ARGrantstabletext"/>
              <w:rPr>
                <w:bCs/>
                <w:color w:val="000000"/>
              </w:rPr>
            </w:pPr>
            <w:r w:rsidRPr="002325F6">
              <w:rPr>
                <w:bCs/>
                <w:color w:val="000000"/>
              </w:rPr>
              <w:t>Central Goldfields Shire Council</w:t>
            </w:r>
          </w:p>
        </w:tc>
        <w:tc>
          <w:tcPr>
            <w:tcW w:w="1187" w:type="dxa"/>
            <w:noWrap/>
          </w:tcPr>
          <w:p w14:paraId="71948613"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5568F73F" w14:textId="77777777" w:rsidTr="00DB5974">
        <w:tc>
          <w:tcPr>
            <w:tcW w:w="3402" w:type="dxa"/>
            <w:noWrap/>
          </w:tcPr>
          <w:p w14:paraId="1868D5F6" w14:textId="41C69EBF" w:rsidR="0050196F" w:rsidRPr="002325F6" w:rsidRDefault="0050196F" w:rsidP="00B21BD0">
            <w:pPr>
              <w:pStyle w:val="ARGrantstabletext"/>
              <w:rPr>
                <w:bCs/>
                <w:color w:val="000000"/>
              </w:rPr>
            </w:pPr>
            <w:r w:rsidRPr="002325F6">
              <w:rPr>
                <w:bCs/>
                <w:color w:val="000000"/>
              </w:rPr>
              <w:t xml:space="preserve">Central Grampians Local Learning and Employment Network </w:t>
            </w:r>
            <w:r w:rsidR="003B5B30">
              <w:rPr>
                <w:bCs/>
                <w:color w:val="000000"/>
              </w:rPr>
              <w:t>Inc</w:t>
            </w:r>
          </w:p>
        </w:tc>
        <w:tc>
          <w:tcPr>
            <w:tcW w:w="1187" w:type="dxa"/>
            <w:noWrap/>
          </w:tcPr>
          <w:p w14:paraId="08E507CD" w14:textId="77777777" w:rsidR="0050196F" w:rsidRPr="002325F6" w:rsidRDefault="0050196F" w:rsidP="00B21BD0">
            <w:pPr>
              <w:pStyle w:val="ARGrantstabletextright"/>
              <w:rPr>
                <w:bCs/>
                <w:color w:val="000000"/>
              </w:rPr>
            </w:pPr>
            <w:r w:rsidRPr="002325F6">
              <w:rPr>
                <w:bCs/>
                <w:color w:val="000000"/>
              </w:rPr>
              <w:t>90,000</w:t>
            </w:r>
          </w:p>
        </w:tc>
      </w:tr>
      <w:tr w:rsidR="0050196F" w:rsidRPr="00B6199F" w14:paraId="7DA22727" w14:textId="77777777" w:rsidTr="00DB5974">
        <w:tc>
          <w:tcPr>
            <w:tcW w:w="3402" w:type="dxa"/>
            <w:noWrap/>
          </w:tcPr>
          <w:p w14:paraId="36E2196F" w14:textId="77777777" w:rsidR="0050196F" w:rsidRPr="002325F6" w:rsidRDefault="0050196F" w:rsidP="00B21BD0">
            <w:pPr>
              <w:pStyle w:val="ARGrantstabletext"/>
              <w:rPr>
                <w:bCs/>
                <w:color w:val="000000"/>
              </w:rPr>
            </w:pPr>
            <w:r w:rsidRPr="002325F6">
              <w:rPr>
                <w:bCs/>
                <w:color w:val="000000"/>
              </w:rPr>
              <w:t>Centre for Multicultural Youth</w:t>
            </w:r>
          </w:p>
        </w:tc>
        <w:tc>
          <w:tcPr>
            <w:tcW w:w="1187" w:type="dxa"/>
            <w:noWrap/>
          </w:tcPr>
          <w:p w14:paraId="1AF6803B" w14:textId="77777777" w:rsidR="0050196F" w:rsidRPr="002325F6" w:rsidRDefault="0050196F" w:rsidP="00B21BD0">
            <w:pPr>
              <w:pStyle w:val="ARGrantstabletextright"/>
              <w:rPr>
                <w:bCs/>
                <w:color w:val="000000"/>
              </w:rPr>
            </w:pPr>
            <w:r w:rsidRPr="002325F6">
              <w:rPr>
                <w:bCs/>
                <w:color w:val="000000"/>
              </w:rPr>
              <w:t>5,658,251</w:t>
            </w:r>
          </w:p>
        </w:tc>
      </w:tr>
      <w:tr w:rsidR="0050196F" w:rsidRPr="00B6199F" w14:paraId="284D7677" w14:textId="77777777" w:rsidTr="00DB5974">
        <w:tc>
          <w:tcPr>
            <w:tcW w:w="3402" w:type="dxa"/>
            <w:noWrap/>
          </w:tcPr>
          <w:p w14:paraId="50C50D8F" w14:textId="77777777" w:rsidR="0050196F" w:rsidRPr="002325F6" w:rsidRDefault="0050196F" w:rsidP="00B21BD0">
            <w:pPr>
              <w:pStyle w:val="ARGrantstabletext"/>
              <w:rPr>
                <w:bCs/>
                <w:color w:val="000000"/>
              </w:rPr>
            </w:pPr>
            <w:r w:rsidRPr="002325F6">
              <w:rPr>
                <w:bCs/>
                <w:color w:val="000000"/>
              </w:rPr>
              <w:t>Chaffey Secondary College</w:t>
            </w:r>
          </w:p>
        </w:tc>
        <w:tc>
          <w:tcPr>
            <w:tcW w:w="1187" w:type="dxa"/>
            <w:noWrap/>
          </w:tcPr>
          <w:p w14:paraId="32A613A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8C03A99" w14:textId="77777777" w:rsidTr="00DB5974">
        <w:tc>
          <w:tcPr>
            <w:tcW w:w="3402" w:type="dxa"/>
            <w:noWrap/>
          </w:tcPr>
          <w:p w14:paraId="3EC689EC" w14:textId="49DF2F2F" w:rsidR="0050196F" w:rsidRPr="002325F6" w:rsidRDefault="0050196F" w:rsidP="00B21BD0">
            <w:pPr>
              <w:pStyle w:val="ARGrantstabletext"/>
              <w:rPr>
                <w:bCs/>
                <w:color w:val="000000"/>
              </w:rPr>
            </w:pPr>
            <w:r w:rsidRPr="002325F6">
              <w:rPr>
                <w:bCs/>
                <w:color w:val="000000"/>
              </w:rPr>
              <w:t xml:space="preserve">Charles La Trobe College </w:t>
            </w:r>
            <w:r w:rsidR="00604894">
              <w:rPr>
                <w:bCs/>
                <w:color w:val="000000"/>
              </w:rPr>
              <w:t>–</w:t>
            </w:r>
            <w:r w:rsidRPr="002325F6">
              <w:rPr>
                <w:bCs/>
                <w:color w:val="000000"/>
              </w:rPr>
              <w:t xml:space="preserve"> The Pavilion School (Preston Campus)</w:t>
            </w:r>
          </w:p>
        </w:tc>
        <w:tc>
          <w:tcPr>
            <w:tcW w:w="1187" w:type="dxa"/>
            <w:noWrap/>
          </w:tcPr>
          <w:p w14:paraId="61A602A4"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E3ACC99" w14:textId="77777777" w:rsidTr="00DB5974">
        <w:tc>
          <w:tcPr>
            <w:tcW w:w="3402" w:type="dxa"/>
            <w:noWrap/>
          </w:tcPr>
          <w:p w14:paraId="4194E470" w14:textId="77777777" w:rsidR="0050196F" w:rsidRPr="002325F6" w:rsidRDefault="0050196F" w:rsidP="00B21BD0">
            <w:pPr>
              <w:pStyle w:val="ARGrantstabletext"/>
              <w:rPr>
                <w:bCs/>
                <w:color w:val="000000"/>
              </w:rPr>
            </w:pPr>
            <w:r w:rsidRPr="002325F6">
              <w:rPr>
                <w:bCs/>
                <w:color w:val="000000"/>
              </w:rPr>
              <w:t>Cire Services Incorporated</w:t>
            </w:r>
          </w:p>
        </w:tc>
        <w:tc>
          <w:tcPr>
            <w:tcW w:w="1187" w:type="dxa"/>
            <w:noWrap/>
          </w:tcPr>
          <w:p w14:paraId="080C62E6"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9F4F93D" w14:textId="77777777" w:rsidTr="00DB5974">
        <w:tc>
          <w:tcPr>
            <w:tcW w:w="3402" w:type="dxa"/>
            <w:noWrap/>
          </w:tcPr>
          <w:p w14:paraId="10C7E885" w14:textId="77777777" w:rsidR="0050196F" w:rsidRPr="002325F6" w:rsidRDefault="0050196F" w:rsidP="00B21BD0">
            <w:pPr>
              <w:pStyle w:val="ARGrantstabletext"/>
              <w:rPr>
                <w:bCs/>
                <w:color w:val="000000"/>
              </w:rPr>
            </w:pPr>
            <w:r w:rsidRPr="002325F6">
              <w:rPr>
                <w:bCs/>
                <w:color w:val="000000"/>
              </w:rPr>
              <w:t>City of Ballarat</w:t>
            </w:r>
          </w:p>
        </w:tc>
        <w:tc>
          <w:tcPr>
            <w:tcW w:w="1187" w:type="dxa"/>
            <w:noWrap/>
          </w:tcPr>
          <w:p w14:paraId="602FEF1C"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6BFE95A0" w14:textId="77777777" w:rsidTr="00DB5974">
        <w:tc>
          <w:tcPr>
            <w:tcW w:w="3402" w:type="dxa"/>
            <w:noWrap/>
          </w:tcPr>
          <w:p w14:paraId="360A5A80" w14:textId="77777777" w:rsidR="0050196F" w:rsidRPr="002325F6" w:rsidRDefault="0050196F" w:rsidP="00B21BD0">
            <w:pPr>
              <w:pStyle w:val="ARGrantstabletext"/>
              <w:rPr>
                <w:bCs/>
                <w:color w:val="000000"/>
              </w:rPr>
            </w:pPr>
            <w:r w:rsidRPr="002325F6">
              <w:rPr>
                <w:bCs/>
                <w:color w:val="000000"/>
              </w:rPr>
              <w:t>City of Casey</w:t>
            </w:r>
          </w:p>
        </w:tc>
        <w:tc>
          <w:tcPr>
            <w:tcW w:w="1187" w:type="dxa"/>
            <w:noWrap/>
          </w:tcPr>
          <w:p w14:paraId="463EA2F6" w14:textId="77777777" w:rsidR="0050196F" w:rsidRPr="002325F6" w:rsidRDefault="0050196F" w:rsidP="00B21BD0">
            <w:pPr>
              <w:pStyle w:val="ARGrantstabletextright"/>
              <w:rPr>
                <w:bCs/>
                <w:color w:val="000000"/>
              </w:rPr>
            </w:pPr>
            <w:r w:rsidRPr="002325F6">
              <w:rPr>
                <w:bCs/>
                <w:color w:val="000000"/>
              </w:rPr>
              <w:t>82,000</w:t>
            </w:r>
          </w:p>
        </w:tc>
      </w:tr>
      <w:tr w:rsidR="0050196F" w:rsidRPr="00B6199F" w14:paraId="40DFD578" w14:textId="77777777" w:rsidTr="00DB5974">
        <w:tc>
          <w:tcPr>
            <w:tcW w:w="3402" w:type="dxa"/>
            <w:noWrap/>
          </w:tcPr>
          <w:p w14:paraId="20BF084C" w14:textId="77777777" w:rsidR="0050196F" w:rsidRPr="002325F6" w:rsidRDefault="0050196F" w:rsidP="00B21BD0">
            <w:pPr>
              <w:pStyle w:val="ARGrantstabletext"/>
              <w:rPr>
                <w:bCs/>
                <w:color w:val="000000"/>
              </w:rPr>
            </w:pPr>
            <w:r w:rsidRPr="002325F6">
              <w:rPr>
                <w:bCs/>
                <w:color w:val="000000"/>
              </w:rPr>
              <w:t>City of Greater Bendigo</w:t>
            </w:r>
          </w:p>
        </w:tc>
        <w:tc>
          <w:tcPr>
            <w:tcW w:w="1187" w:type="dxa"/>
            <w:noWrap/>
          </w:tcPr>
          <w:p w14:paraId="5BAE181C"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1E9C66E8" w14:textId="77777777" w:rsidTr="00DB5974">
        <w:tc>
          <w:tcPr>
            <w:tcW w:w="3402" w:type="dxa"/>
            <w:noWrap/>
          </w:tcPr>
          <w:p w14:paraId="660D3AA0" w14:textId="77777777" w:rsidR="0050196F" w:rsidRPr="002325F6" w:rsidRDefault="0050196F" w:rsidP="00B21BD0">
            <w:pPr>
              <w:pStyle w:val="ARGrantstabletext"/>
              <w:rPr>
                <w:bCs/>
                <w:color w:val="000000"/>
              </w:rPr>
            </w:pPr>
            <w:r w:rsidRPr="002325F6">
              <w:rPr>
                <w:bCs/>
                <w:color w:val="000000"/>
              </w:rPr>
              <w:t>City of Greater Dandenong</w:t>
            </w:r>
          </w:p>
        </w:tc>
        <w:tc>
          <w:tcPr>
            <w:tcW w:w="1187" w:type="dxa"/>
            <w:noWrap/>
          </w:tcPr>
          <w:p w14:paraId="248F0AC1" w14:textId="77777777" w:rsidR="0050196F" w:rsidRPr="002325F6" w:rsidRDefault="0050196F" w:rsidP="00B21BD0">
            <w:pPr>
              <w:pStyle w:val="ARGrantstabletextright"/>
              <w:rPr>
                <w:bCs/>
                <w:color w:val="000000"/>
              </w:rPr>
            </w:pPr>
            <w:r w:rsidRPr="002325F6">
              <w:rPr>
                <w:bCs/>
                <w:color w:val="000000"/>
              </w:rPr>
              <w:t>87,000</w:t>
            </w:r>
          </w:p>
        </w:tc>
      </w:tr>
      <w:tr w:rsidR="0050196F" w:rsidRPr="00B6199F" w14:paraId="1061809B" w14:textId="77777777" w:rsidTr="00DB5974">
        <w:tc>
          <w:tcPr>
            <w:tcW w:w="3402" w:type="dxa"/>
            <w:noWrap/>
          </w:tcPr>
          <w:p w14:paraId="71248F1F" w14:textId="77777777" w:rsidR="0050196F" w:rsidRPr="002325F6" w:rsidRDefault="0050196F" w:rsidP="00B21BD0">
            <w:pPr>
              <w:pStyle w:val="ARGrantstabletext"/>
              <w:rPr>
                <w:bCs/>
                <w:color w:val="000000"/>
              </w:rPr>
            </w:pPr>
            <w:r w:rsidRPr="002325F6">
              <w:rPr>
                <w:bCs/>
                <w:color w:val="000000"/>
              </w:rPr>
              <w:t>City of Greater Geelong</w:t>
            </w:r>
          </w:p>
        </w:tc>
        <w:tc>
          <w:tcPr>
            <w:tcW w:w="1187" w:type="dxa"/>
            <w:noWrap/>
          </w:tcPr>
          <w:p w14:paraId="229384FC"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777D3D1C" w14:textId="77777777" w:rsidTr="00DB5974">
        <w:tc>
          <w:tcPr>
            <w:tcW w:w="3402" w:type="dxa"/>
            <w:noWrap/>
          </w:tcPr>
          <w:p w14:paraId="078F719C" w14:textId="77777777" w:rsidR="0050196F" w:rsidRPr="002325F6" w:rsidRDefault="0050196F" w:rsidP="00B21BD0">
            <w:pPr>
              <w:pStyle w:val="ARGrantstabletext"/>
              <w:rPr>
                <w:bCs/>
                <w:color w:val="000000"/>
              </w:rPr>
            </w:pPr>
            <w:r w:rsidRPr="002325F6">
              <w:rPr>
                <w:bCs/>
                <w:color w:val="000000"/>
              </w:rPr>
              <w:t>City of Monash</w:t>
            </w:r>
          </w:p>
        </w:tc>
        <w:tc>
          <w:tcPr>
            <w:tcW w:w="1187" w:type="dxa"/>
            <w:noWrap/>
          </w:tcPr>
          <w:p w14:paraId="25062319" w14:textId="77777777" w:rsidR="0050196F" w:rsidRPr="002325F6" w:rsidRDefault="0050196F" w:rsidP="00B21BD0">
            <w:pPr>
              <w:pStyle w:val="ARGrantstabletextright"/>
              <w:rPr>
                <w:bCs/>
                <w:color w:val="000000"/>
              </w:rPr>
            </w:pPr>
            <w:r w:rsidRPr="002325F6">
              <w:rPr>
                <w:bCs/>
                <w:color w:val="000000"/>
              </w:rPr>
              <w:t>87,000</w:t>
            </w:r>
          </w:p>
        </w:tc>
      </w:tr>
      <w:tr w:rsidR="0050196F" w:rsidRPr="00B6199F" w14:paraId="45C46830" w14:textId="77777777" w:rsidTr="00DB5974">
        <w:tc>
          <w:tcPr>
            <w:tcW w:w="3402" w:type="dxa"/>
            <w:noWrap/>
          </w:tcPr>
          <w:p w14:paraId="1A9E62DF" w14:textId="77777777" w:rsidR="0050196F" w:rsidRPr="002325F6" w:rsidRDefault="0050196F" w:rsidP="00B21BD0">
            <w:pPr>
              <w:pStyle w:val="ARGrantstabletext"/>
              <w:rPr>
                <w:bCs/>
                <w:color w:val="000000"/>
              </w:rPr>
            </w:pPr>
            <w:r w:rsidRPr="002325F6">
              <w:rPr>
                <w:bCs/>
                <w:color w:val="000000"/>
              </w:rPr>
              <w:t>City of Port Phillip</w:t>
            </w:r>
          </w:p>
        </w:tc>
        <w:tc>
          <w:tcPr>
            <w:tcW w:w="1187" w:type="dxa"/>
            <w:noWrap/>
          </w:tcPr>
          <w:p w14:paraId="4943B6B0"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16E406E5" w14:textId="77777777" w:rsidTr="00DB5974">
        <w:tc>
          <w:tcPr>
            <w:tcW w:w="3402" w:type="dxa"/>
            <w:noWrap/>
          </w:tcPr>
          <w:p w14:paraId="1ADDC2A5" w14:textId="77777777" w:rsidR="0050196F" w:rsidRPr="002325F6" w:rsidRDefault="0050196F" w:rsidP="00B21BD0">
            <w:pPr>
              <w:pStyle w:val="ARGrantstabletext"/>
              <w:rPr>
                <w:bCs/>
                <w:color w:val="000000"/>
              </w:rPr>
            </w:pPr>
            <w:r w:rsidRPr="002325F6">
              <w:rPr>
                <w:bCs/>
                <w:color w:val="000000"/>
              </w:rPr>
              <w:t>City of Whittlesea</w:t>
            </w:r>
          </w:p>
        </w:tc>
        <w:tc>
          <w:tcPr>
            <w:tcW w:w="1187" w:type="dxa"/>
            <w:noWrap/>
          </w:tcPr>
          <w:p w14:paraId="4880F92D"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7C74AC80" w14:textId="77777777" w:rsidTr="00DB5974">
        <w:tc>
          <w:tcPr>
            <w:tcW w:w="3402" w:type="dxa"/>
            <w:noWrap/>
          </w:tcPr>
          <w:p w14:paraId="44E946F9" w14:textId="77777777" w:rsidR="0050196F" w:rsidRPr="002325F6" w:rsidRDefault="0050196F" w:rsidP="00B21BD0">
            <w:pPr>
              <w:pStyle w:val="ARGrantstabletext"/>
              <w:rPr>
                <w:bCs/>
                <w:color w:val="000000"/>
              </w:rPr>
            </w:pPr>
            <w:r w:rsidRPr="002325F6">
              <w:rPr>
                <w:bCs/>
                <w:color w:val="000000"/>
              </w:rPr>
              <w:t>Cobden Technical School</w:t>
            </w:r>
          </w:p>
        </w:tc>
        <w:tc>
          <w:tcPr>
            <w:tcW w:w="1187" w:type="dxa"/>
            <w:noWrap/>
          </w:tcPr>
          <w:p w14:paraId="445498BF"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9F324D4" w14:textId="77777777" w:rsidTr="00DB5974">
        <w:tc>
          <w:tcPr>
            <w:tcW w:w="3402" w:type="dxa"/>
            <w:noWrap/>
          </w:tcPr>
          <w:p w14:paraId="230AB7E4" w14:textId="77777777" w:rsidR="0050196F" w:rsidRPr="002325F6" w:rsidRDefault="0050196F" w:rsidP="00B21BD0">
            <w:pPr>
              <w:pStyle w:val="ARGrantstabletext"/>
              <w:rPr>
                <w:bCs/>
                <w:color w:val="000000"/>
              </w:rPr>
            </w:pPr>
            <w:r w:rsidRPr="002325F6">
              <w:rPr>
                <w:bCs/>
                <w:color w:val="000000"/>
              </w:rPr>
              <w:t>Cobram &amp; District Specialist School</w:t>
            </w:r>
          </w:p>
        </w:tc>
        <w:tc>
          <w:tcPr>
            <w:tcW w:w="1187" w:type="dxa"/>
            <w:noWrap/>
          </w:tcPr>
          <w:p w14:paraId="6D3D766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76BD855" w14:textId="77777777" w:rsidTr="00DB5974">
        <w:tc>
          <w:tcPr>
            <w:tcW w:w="3402" w:type="dxa"/>
            <w:noWrap/>
          </w:tcPr>
          <w:p w14:paraId="2FD8BED8" w14:textId="77777777" w:rsidR="0050196F" w:rsidRPr="002325F6" w:rsidRDefault="0050196F" w:rsidP="00B21BD0">
            <w:pPr>
              <w:pStyle w:val="ARGrantstabletext"/>
              <w:rPr>
                <w:bCs/>
                <w:color w:val="000000"/>
              </w:rPr>
            </w:pPr>
            <w:r w:rsidRPr="002325F6">
              <w:rPr>
                <w:bCs/>
                <w:color w:val="000000"/>
              </w:rPr>
              <w:t>Cobram Secondary College</w:t>
            </w:r>
          </w:p>
        </w:tc>
        <w:tc>
          <w:tcPr>
            <w:tcW w:w="1187" w:type="dxa"/>
            <w:noWrap/>
          </w:tcPr>
          <w:p w14:paraId="291E388A" w14:textId="77777777" w:rsidR="0050196F" w:rsidRPr="002325F6" w:rsidRDefault="0050196F" w:rsidP="00B21BD0">
            <w:pPr>
              <w:pStyle w:val="ARGrantstabletextright"/>
              <w:rPr>
                <w:bCs/>
                <w:color w:val="000000"/>
              </w:rPr>
            </w:pPr>
            <w:r w:rsidRPr="002325F6">
              <w:rPr>
                <w:bCs/>
                <w:color w:val="000000"/>
              </w:rPr>
              <w:t>11,300</w:t>
            </w:r>
          </w:p>
        </w:tc>
      </w:tr>
      <w:tr w:rsidR="0050196F" w:rsidRPr="00B6199F" w14:paraId="38162EC8" w14:textId="77777777" w:rsidTr="00DB5974">
        <w:tc>
          <w:tcPr>
            <w:tcW w:w="3402" w:type="dxa"/>
            <w:noWrap/>
          </w:tcPr>
          <w:p w14:paraId="4F56F252" w14:textId="77777777" w:rsidR="0050196F" w:rsidRPr="002325F6" w:rsidRDefault="0050196F" w:rsidP="00B21BD0">
            <w:pPr>
              <w:pStyle w:val="ARGrantstabletext"/>
              <w:rPr>
                <w:bCs/>
                <w:color w:val="000000"/>
              </w:rPr>
            </w:pPr>
            <w:r w:rsidRPr="002325F6">
              <w:rPr>
                <w:bCs/>
                <w:color w:val="000000"/>
              </w:rPr>
              <w:t>Colac Otway Shire Council</w:t>
            </w:r>
          </w:p>
        </w:tc>
        <w:tc>
          <w:tcPr>
            <w:tcW w:w="1187" w:type="dxa"/>
            <w:noWrap/>
          </w:tcPr>
          <w:p w14:paraId="559B0B87"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496EA7CF" w14:textId="77777777" w:rsidTr="00DB5974">
        <w:tc>
          <w:tcPr>
            <w:tcW w:w="3402" w:type="dxa"/>
            <w:noWrap/>
          </w:tcPr>
          <w:p w14:paraId="460D8858" w14:textId="77777777" w:rsidR="0050196F" w:rsidRPr="002325F6" w:rsidRDefault="0050196F" w:rsidP="00B21BD0">
            <w:pPr>
              <w:pStyle w:val="ARGrantstabletext"/>
              <w:rPr>
                <w:bCs/>
                <w:color w:val="000000"/>
              </w:rPr>
            </w:pPr>
            <w:r w:rsidRPr="002325F6">
              <w:rPr>
                <w:bCs/>
                <w:color w:val="000000"/>
              </w:rPr>
              <w:t>Colac Secondary College</w:t>
            </w:r>
          </w:p>
        </w:tc>
        <w:tc>
          <w:tcPr>
            <w:tcW w:w="1187" w:type="dxa"/>
            <w:noWrap/>
          </w:tcPr>
          <w:p w14:paraId="1034821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CA610C5" w14:textId="77777777" w:rsidTr="00DB5974">
        <w:tc>
          <w:tcPr>
            <w:tcW w:w="3402" w:type="dxa"/>
            <w:noWrap/>
          </w:tcPr>
          <w:p w14:paraId="35287DAD" w14:textId="77777777" w:rsidR="0050196F" w:rsidRPr="002325F6" w:rsidRDefault="0050196F" w:rsidP="00B21BD0">
            <w:pPr>
              <w:pStyle w:val="ARGrantstabletext"/>
              <w:rPr>
                <w:bCs/>
                <w:color w:val="000000"/>
              </w:rPr>
            </w:pPr>
            <w:r w:rsidRPr="002325F6">
              <w:rPr>
                <w:bCs/>
                <w:color w:val="000000"/>
              </w:rPr>
              <w:t>Colac Specialist School</w:t>
            </w:r>
          </w:p>
        </w:tc>
        <w:tc>
          <w:tcPr>
            <w:tcW w:w="1187" w:type="dxa"/>
            <w:noWrap/>
          </w:tcPr>
          <w:p w14:paraId="6D6A28A4"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C25F8B4" w14:textId="77777777" w:rsidTr="00DB5974">
        <w:tc>
          <w:tcPr>
            <w:tcW w:w="3402" w:type="dxa"/>
            <w:noWrap/>
          </w:tcPr>
          <w:p w14:paraId="29DE0C57" w14:textId="0C60FC74" w:rsidR="0050196F" w:rsidRPr="002325F6" w:rsidRDefault="0050196F" w:rsidP="00B21BD0">
            <w:pPr>
              <w:pStyle w:val="ARGrantstabletext"/>
              <w:rPr>
                <w:bCs/>
                <w:color w:val="000000"/>
              </w:rPr>
            </w:pPr>
            <w:r w:rsidRPr="002325F6">
              <w:rPr>
                <w:bCs/>
                <w:color w:val="000000"/>
              </w:rPr>
              <w:t>Collingwood College (Collingwood Alternative</w:t>
            </w:r>
            <w:r w:rsidR="00EA2AB7">
              <w:rPr>
                <w:bCs/>
                <w:color w:val="000000"/>
              </w:rPr>
              <w:t> </w:t>
            </w:r>
            <w:r w:rsidRPr="002325F6">
              <w:rPr>
                <w:bCs/>
                <w:color w:val="000000"/>
              </w:rPr>
              <w:t>School)</w:t>
            </w:r>
          </w:p>
        </w:tc>
        <w:tc>
          <w:tcPr>
            <w:tcW w:w="1187" w:type="dxa"/>
            <w:noWrap/>
          </w:tcPr>
          <w:p w14:paraId="468C36F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09BE813" w14:textId="77777777" w:rsidTr="00DB5974">
        <w:tc>
          <w:tcPr>
            <w:tcW w:w="3402" w:type="dxa"/>
            <w:noWrap/>
          </w:tcPr>
          <w:p w14:paraId="27C2C9BD" w14:textId="7BC4EA3D" w:rsidR="0050196F" w:rsidRPr="002325F6" w:rsidRDefault="0050196F" w:rsidP="00B21BD0">
            <w:pPr>
              <w:pStyle w:val="ARGrantstabletext"/>
              <w:rPr>
                <w:bCs/>
                <w:color w:val="000000"/>
              </w:rPr>
            </w:pPr>
            <w:r w:rsidRPr="002325F6">
              <w:rPr>
                <w:bCs/>
                <w:color w:val="000000"/>
              </w:rPr>
              <w:t xml:space="preserve">Community Health Advancement and Student Engagement </w:t>
            </w:r>
            <w:r w:rsidR="003B5B30">
              <w:rPr>
                <w:bCs/>
                <w:color w:val="000000"/>
              </w:rPr>
              <w:t>Inc</w:t>
            </w:r>
          </w:p>
        </w:tc>
        <w:tc>
          <w:tcPr>
            <w:tcW w:w="1187" w:type="dxa"/>
            <w:noWrap/>
          </w:tcPr>
          <w:p w14:paraId="76C221E9"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20A70F3B" w14:textId="77777777" w:rsidTr="00DB5974">
        <w:tc>
          <w:tcPr>
            <w:tcW w:w="3402" w:type="dxa"/>
            <w:noWrap/>
          </w:tcPr>
          <w:p w14:paraId="4822E144" w14:textId="77777777" w:rsidR="0050196F" w:rsidRPr="002325F6" w:rsidRDefault="0050196F" w:rsidP="00B21BD0">
            <w:pPr>
              <w:pStyle w:val="ARGrantstabletext"/>
              <w:rPr>
                <w:bCs/>
                <w:color w:val="000000"/>
              </w:rPr>
            </w:pPr>
            <w:r w:rsidRPr="002325F6">
              <w:rPr>
                <w:bCs/>
                <w:color w:val="000000"/>
              </w:rPr>
              <w:t>Copperfield College</w:t>
            </w:r>
          </w:p>
        </w:tc>
        <w:tc>
          <w:tcPr>
            <w:tcW w:w="1187" w:type="dxa"/>
            <w:noWrap/>
          </w:tcPr>
          <w:p w14:paraId="7D28C8A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77B2C9B" w14:textId="77777777" w:rsidTr="00DB5974">
        <w:tc>
          <w:tcPr>
            <w:tcW w:w="3402" w:type="dxa"/>
            <w:noWrap/>
          </w:tcPr>
          <w:p w14:paraId="44000C72" w14:textId="77777777" w:rsidR="0050196F" w:rsidRPr="002325F6" w:rsidRDefault="0050196F" w:rsidP="00B21BD0">
            <w:pPr>
              <w:pStyle w:val="ARGrantstabletext"/>
              <w:rPr>
                <w:bCs/>
                <w:color w:val="000000"/>
              </w:rPr>
            </w:pPr>
            <w:r w:rsidRPr="002325F6">
              <w:rPr>
                <w:bCs/>
                <w:color w:val="000000"/>
              </w:rPr>
              <w:t>Corangamite Shire Council</w:t>
            </w:r>
          </w:p>
        </w:tc>
        <w:tc>
          <w:tcPr>
            <w:tcW w:w="1187" w:type="dxa"/>
            <w:noWrap/>
          </w:tcPr>
          <w:p w14:paraId="50EA4C3A" w14:textId="77777777" w:rsidR="0050196F" w:rsidRPr="002325F6" w:rsidRDefault="0050196F" w:rsidP="00B21BD0">
            <w:pPr>
              <w:pStyle w:val="ARGrantstabletextright"/>
              <w:rPr>
                <w:bCs/>
                <w:color w:val="000000"/>
              </w:rPr>
            </w:pPr>
            <w:r w:rsidRPr="002325F6">
              <w:rPr>
                <w:bCs/>
                <w:color w:val="000000"/>
              </w:rPr>
              <w:t>76,550</w:t>
            </w:r>
          </w:p>
        </w:tc>
      </w:tr>
      <w:tr w:rsidR="0050196F" w:rsidRPr="00B6199F" w14:paraId="6AADD58F" w14:textId="77777777" w:rsidTr="00DB5974">
        <w:tc>
          <w:tcPr>
            <w:tcW w:w="3402" w:type="dxa"/>
            <w:noWrap/>
          </w:tcPr>
          <w:p w14:paraId="5B6B007C" w14:textId="77777777" w:rsidR="0050196F" w:rsidRPr="002325F6" w:rsidRDefault="0050196F" w:rsidP="00B21BD0">
            <w:pPr>
              <w:pStyle w:val="ARGrantstabletext"/>
              <w:rPr>
                <w:bCs/>
                <w:color w:val="000000"/>
              </w:rPr>
            </w:pPr>
            <w:r w:rsidRPr="002325F6">
              <w:rPr>
                <w:bCs/>
                <w:color w:val="000000"/>
              </w:rPr>
              <w:t>Corryong Neighbourhood House Inc</w:t>
            </w:r>
          </w:p>
        </w:tc>
        <w:tc>
          <w:tcPr>
            <w:tcW w:w="1187" w:type="dxa"/>
            <w:noWrap/>
          </w:tcPr>
          <w:p w14:paraId="32FE8E82"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23AD30BE" w14:textId="77777777" w:rsidTr="00DB5974">
        <w:tc>
          <w:tcPr>
            <w:tcW w:w="3402" w:type="dxa"/>
            <w:noWrap/>
          </w:tcPr>
          <w:p w14:paraId="29E6C1F7" w14:textId="77777777" w:rsidR="0050196F" w:rsidRPr="002325F6" w:rsidRDefault="0050196F" w:rsidP="00B21BD0">
            <w:pPr>
              <w:pStyle w:val="ARGrantstabletext"/>
              <w:rPr>
                <w:bCs/>
                <w:color w:val="000000"/>
              </w:rPr>
            </w:pPr>
            <w:r w:rsidRPr="002325F6">
              <w:rPr>
                <w:bCs/>
                <w:color w:val="000000"/>
              </w:rPr>
              <w:t>Cranbourne Secondary College</w:t>
            </w:r>
          </w:p>
        </w:tc>
        <w:tc>
          <w:tcPr>
            <w:tcW w:w="1187" w:type="dxa"/>
            <w:noWrap/>
          </w:tcPr>
          <w:p w14:paraId="14ABF39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55E6094" w14:textId="77777777" w:rsidTr="00DB5974">
        <w:tc>
          <w:tcPr>
            <w:tcW w:w="3402" w:type="dxa"/>
            <w:noWrap/>
          </w:tcPr>
          <w:p w14:paraId="46339BAD" w14:textId="77777777" w:rsidR="0050196F" w:rsidRPr="002325F6" w:rsidRDefault="0050196F" w:rsidP="00B21BD0">
            <w:pPr>
              <w:pStyle w:val="ARGrantstabletext"/>
              <w:rPr>
                <w:bCs/>
                <w:color w:val="000000"/>
              </w:rPr>
            </w:pPr>
            <w:r w:rsidRPr="002325F6">
              <w:rPr>
                <w:bCs/>
                <w:color w:val="000000"/>
              </w:rPr>
              <w:t>Croydon Special Developmental School</w:t>
            </w:r>
          </w:p>
        </w:tc>
        <w:tc>
          <w:tcPr>
            <w:tcW w:w="1187" w:type="dxa"/>
            <w:noWrap/>
          </w:tcPr>
          <w:p w14:paraId="44E80D9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4ACF78A" w14:textId="77777777" w:rsidTr="00DB5974">
        <w:tc>
          <w:tcPr>
            <w:tcW w:w="3402" w:type="dxa"/>
            <w:noWrap/>
          </w:tcPr>
          <w:p w14:paraId="60ABD7DE" w14:textId="77777777" w:rsidR="0050196F" w:rsidRPr="002325F6" w:rsidRDefault="0050196F" w:rsidP="00B21BD0">
            <w:pPr>
              <w:pStyle w:val="ARGrantstabletext"/>
              <w:rPr>
                <w:bCs/>
                <w:color w:val="000000"/>
              </w:rPr>
            </w:pPr>
            <w:r w:rsidRPr="002325F6">
              <w:rPr>
                <w:bCs/>
                <w:color w:val="000000"/>
              </w:rPr>
              <w:t>Cultural Infusion Foundation Ltd</w:t>
            </w:r>
          </w:p>
        </w:tc>
        <w:tc>
          <w:tcPr>
            <w:tcW w:w="1187" w:type="dxa"/>
            <w:noWrap/>
          </w:tcPr>
          <w:p w14:paraId="3B855224"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7D0E5138" w14:textId="77777777" w:rsidTr="00DB5974">
        <w:tc>
          <w:tcPr>
            <w:tcW w:w="3402" w:type="dxa"/>
            <w:noWrap/>
          </w:tcPr>
          <w:p w14:paraId="7AA10F0B" w14:textId="77777777" w:rsidR="0050196F" w:rsidRPr="002325F6" w:rsidRDefault="0050196F" w:rsidP="00B21BD0">
            <w:pPr>
              <w:pStyle w:val="ARGrantstabletext"/>
              <w:rPr>
                <w:bCs/>
                <w:color w:val="000000"/>
              </w:rPr>
            </w:pPr>
            <w:r w:rsidRPr="002325F6">
              <w:rPr>
                <w:bCs/>
                <w:color w:val="000000"/>
              </w:rPr>
              <w:t>Dallas Neighbourhood House Inc</w:t>
            </w:r>
          </w:p>
        </w:tc>
        <w:tc>
          <w:tcPr>
            <w:tcW w:w="1187" w:type="dxa"/>
            <w:noWrap/>
          </w:tcPr>
          <w:p w14:paraId="0FCB15C1"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168D0391" w14:textId="77777777" w:rsidTr="00DB5974">
        <w:tc>
          <w:tcPr>
            <w:tcW w:w="3402" w:type="dxa"/>
            <w:noWrap/>
          </w:tcPr>
          <w:p w14:paraId="294ED5D2" w14:textId="77777777" w:rsidR="0050196F" w:rsidRPr="002325F6" w:rsidRDefault="0050196F" w:rsidP="00B21BD0">
            <w:pPr>
              <w:pStyle w:val="ARGrantstabletext"/>
              <w:rPr>
                <w:bCs/>
                <w:color w:val="000000"/>
              </w:rPr>
            </w:pPr>
            <w:r w:rsidRPr="002325F6">
              <w:rPr>
                <w:bCs/>
                <w:color w:val="000000"/>
              </w:rPr>
              <w:t>Dandenong High School</w:t>
            </w:r>
          </w:p>
        </w:tc>
        <w:tc>
          <w:tcPr>
            <w:tcW w:w="1187" w:type="dxa"/>
            <w:noWrap/>
          </w:tcPr>
          <w:p w14:paraId="506D922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523A949" w14:textId="77777777" w:rsidTr="00DB5974">
        <w:tc>
          <w:tcPr>
            <w:tcW w:w="3402" w:type="dxa"/>
            <w:noWrap/>
          </w:tcPr>
          <w:p w14:paraId="3ACE8EE5" w14:textId="42F77558" w:rsidR="0050196F" w:rsidRPr="002325F6" w:rsidRDefault="0050196F" w:rsidP="00B21BD0">
            <w:pPr>
              <w:pStyle w:val="ARGrantstabletext"/>
              <w:rPr>
                <w:bCs/>
                <w:color w:val="000000"/>
              </w:rPr>
            </w:pPr>
            <w:r w:rsidRPr="002325F6">
              <w:rPr>
                <w:bCs/>
                <w:color w:val="000000"/>
              </w:rPr>
              <w:t>Dandenong Valley Special Developmental</w:t>
            </w:r>
            <w:r w:rsidR="00EA2AB7">
              <w:rPr>
                <w:bCs/>
                <w:color w:val="000000"/>
              </w:rPr>
              <w:t> </w:t>
            </w:r>
            <w:r w:rsidRPr="002325F6">
              <w:rPr>
                <w:bCs/>
                <w:color w:val="000000"/>
              </w:rPr>
              <w:t>School</w:t>
            </w:r>
          </w:p>
        </w:tc>
        <w:tc>
          <w:tcPr>
            <w:tcW w:w="1187" w:type="dxa"/>
            <w:noWrap/>
          </w:tcPr>
          <w:p w14:paraId="214CAA0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3C5D7F3" w14:textId="77777777" w:rsidTr="00DB5974">
        <w:tc>
          <w:tcPr>
            <w:tcW w:w="3402" w:type="dxa"/>
            <w:noWrap/>
          </w:tcPr>
          <w:p w14:paraId="142207B9" w14:textId="77777777" w:rsidR="0050196F" w:rsidRPr="002325F6" w:rsidRDefault="0050196F" w:rsidP="00B21BD0">
            <w:pPr>
              <w:pStyle w:val="ARGrantstabletext"/>
              <w:rPr>
                <w:bCs/>
                <w:color w:val="000000"/>
              </w:rPr>
            </w:pPr>
            <w:r w:rsidRPr="002325F6">
              <w:rPr>
                <w:bCs/>
                <w:color w:val="000000"/>
              </w:rPr>
              <w:t>Darebin City Council</w:t>
            </w:r>
          </w:p>
        </w:tc>
        <w:tc>
          <w:tcPr>
            <w:tcW w:w="1187" w:type="dxa"/>
            <w:noWrap/>
          </w:tcPr>
          <w:p w14:paraId="788F1281"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0D011BD3" w14:textId="77777777" w:rsidTr="00DB5974">
        <w:tc>
          <w:tcPr>
            <w:tcW w:w="3402" w:type="dxa"/>
            <w:noWrap/>
          </w:tcPr>
          <w:p w14:paraId="77FA4D21" w14:textId="77777777" w:rsidR="0050196F" w:rsidRPr="002325F6" w:rsidRDefault="0050196F" w:rsidP="00B21BD0">
            <w:pPr>
              <w:pStyle w:val="ARGrantstabletext"/>
              <w:rPr>
                <w:bCs/>
                <w:color w:val="000000"/>
              </w:rPr>
            </w:pPr>
            <w:r w:rsidRPr="002325F6">
              <w:rPr>
                <w:bCs/>
                <w:color w:val="000000"/>
              </w:rPr>
              <w:t>Daylesford Secondary College</w:t>
            </w:r>
          </w:p>
        </w:tc>
        <w:tc>
          <w:tcPr>
            <w:tcW w:w="1187" w:type="dxa"/>
            <w:noWrap/>
          </w:tcPr>
          <w:p w14:paraId="586DF29B"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391DF2B7" w14:textId="77777777" w:rsidTr="00DB5974">
        <w:tc>
          <w:tcPr>
            <w:tcW w:w="3402" w:type="dxa"/>
            <w:noWrap/>
          </w:tcPr>
          <w:p w14:paraId="7E951643" w14:textId="77777777" w:rsidR="0050196F" w:rsidRPr="002325F6" w:rsidRDefault="0050196F" w:rsidP="00B21BD0">
            <w:pPr>
              <w:pStyle w:val="ARGrantstabletext"/>
              <w:rPr>
                <w:bCs/>
                <w:color w:val="000000"/>
              </w:rPr>
            </w:pPr>
            <w:r w:rsidRPr="002325F6">
              <w:rPr>
                <w:bCs/>
                <w:color w:val="000000"/>
              </w:rPr>
              <w:t>Deaf Australia Incorporated</w:t>
            </w:r>
          </w:p>
        </w:tc>
        <w:tc>
          <w:tcPr>
            <w:tcW w:w="1187" w:type="dxa"/>
            <w:noWrap/>
          </w:tcPr>
          <w:p w14:paraId="3883F36A"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788E4752" w14:textId="77777777" w:rsidTr="00DB5974">
        <w:tc>
          <w:tcPr>
            <w:tcW w:w="3402" w:type="dxa"/>
            <w:noWrap/>
          </w:tcPr>
          <w:p w14:paraId="4CF51BB7" w14:textId="77777777" w:rsidR="0050196F" w:rsidRPr="002325F6" w:rsidRDefault="0050196F" w:rsidP="00B21BD0">
            <w:pPr>
              <w:pStyle w:val="ARGrantstabletext"/>
              <w:rPr>
                <w:bCs/>
                <w:color w:val="000000"/>
              </w:rPr>
            </w:pPr>
            <w:r w:rsidRPr="002325F6">
              <w:rPr>
                <w:bCs/>
                <w:color w:val="000000"/>
              </w:rPr>
              <w:t>Different Journeys</w:t>
            </w:r>
          </w:p>
        </w:tc>
        <w:tc>
          <w:tcPr>
            <w:tcW w:w="1187" w:type="dxa"/>
            <w:noWrap/>
          </w:tcPr>
          <w:p w14:paraId="72350F06"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6C47BD4C" w14:textId="77777777" w:rsidTr="00DB5974">
        <w:tc>
          <w:tcPr>
            <w:tcW w:w="3402" w:type="dxa"/>
            <w:noWrap/>
          </w:tcPr>
          <w:p w14:paraId="05531598" w14:textId="77777777" w:rsidR="0050196F" w:rsidRPr="002325F6" w:rsidRDefault="0050196F" w:rsidP="00B21BD0">
            <w:pPr>
              <w:pStyle w:val="ARGrantstabletext"/>
              <w:rPr>
                <w:bCs/>
                <w:color w:val="000000"/>
              </w:rPr>
            </w:pPr>
            <w:r w:rsidRPr="002325F6">
              <w:rPr>
                <w:bCs/>
                <w:color w:val="000000"/>
              </w:rPr>
              <w:t>Dimboola Memorial Secondary College</w:t>
            </w:r>
          </w:p>
        </w:tc>
        <w:tc>
          <w:tcPr>
            <w:tcW w:w="1187" w:type="dxa"/>
            <w:noWrap/>
          </w:tcPr>
          <w:p w14:paraId="5F7024F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B2ABAA5" w14:textId="77777777" w:rsidTr="00DB5974">
        <w:tc>
          <w:tcPr>
            <w:tcW w:w="3402" w:type="dxa"/>
            <w:noWrap/>
          </w:tcPr>
          <w:p w14:paraId="17360014" w14:textId="77777777" w:rsidR="0050196F" w:rsidRPr="002325F6" w:rsidRDefault="0050196F" w:rsidP="00B21BD0">
            <w:pPr>
              <w:pStyle w:val="ARGrantstabletext"/>
              <w:rPr>
                <w:bCs/>
                <w:color w:val="000000"/>
              </w:rPr>
            </w:pPr>
            <w:r w:rsidRPr="002325F6">
              <w:rPr>
                <w:bCs/>
                <w:color w:val="000000"/>
              </w:rPr>
              <w:t>Drummond Street Services Inc</w:t>
            </w:r>
          </w:p>
        </w:tc>
        <w:tc>
          <w:tcPr>
            <w:tcW w:w="1187" w:type="dxa"/>
            <w:noWrap/>
          </w:tcPr>
          <w:p w14:paraId="0DADAF4C" w14:textId="77777777" w:rsidR="0050196F" w:rsidRPr="002325F6" w:rsidRDefault="0050196F" w:rsidP="00B21BD0">
            <w:pPr>
              <w:pStyle w:val="ARGrantstabletextright"/>
              <w:rPr>
                <w:bCs/>
                <w:color w:val="000000"/>
              </w:rPr>
            </w:pPr>
            <w:r w:rsidRPr="002325F6">
              <w:rPr>
                <w:bCs/>
                <w:color w:val="000000"/>
              </w:rPr>
              <w:t>82,000</w:t>
            </w:r>
          </w:p>
        </w:tc>
      </w:tr>
      <w:tr w:rsidR="0050196F" w:rsidRPr="00B6199F" w14:paraId="03E6FAD8" w14:textId="77777777" w:rsidTr="00DB5974">
        <w:tc>
          <w:tcPr>
            <w:tcW w:w="3402" w:type="dxa"/>
            <w:noWrap/>
          </w:tcPr>
          <w:p w14:paraId="11472316" w14:textId="77777777" w:rsidR="0050196F" w:rsidRPr="002325F6" w:rsidRDefault="0050196F" w:rsidP="00B21BD0">
            <w:pPr>
              <w:pStyle w:val="ARGrantstabletext"/>
              <w:rPr>
                <w:bCs/>
                <w:color w:val="000000"/>
              </w:rPr>
            </w:pPr>
            <w:r w:rsidRPr="002325F6">
              <w:rPr>
                <w:bCs/>
                <w:color w:val="000000"/>
              </w:rPr>
              <w:t>EACH</w:t>
            </w:r>
          </w:p>
        </w:tc>
        <w:tc>
          <w:tcPr>
            <w:tcW w:w="1187" w:type="dxa"/>
            <w:noWrap/>
          </w:tcPr>
          <w:p w14:paraId="7119BFFB" w14:textId="77777777" w:rsidR="0050196F" w:rsidRPr="002325F6" w:rsidRDefault="0050196F" w:rsidP="00B21BD0">
            <w:pPr>
              <w:pStyle w:val="ARGrantstabletextright"/>
              <w:rPr>
                <w:bCs/>
                <w:color w:val="000000"/>
              </w:rPr>
            </w:pPr>
            <w:r w:rsidRPr="002325F6">
              <w:rPr>
                <w:bCs/>
                <w:color w:val="000000"/>
              </w:rPr>
              <w:t>62,000</w:t>
            </w:r>
          </w:p>
        </w:tc>
      </w:tr>
      <w:tr w:rsidR="0050196F" w:rsidRPr="00B6199F" w14:paraId="51CDD06B" w14:textId="77777777" w:rsidTr="00DB5974">
        <w:tc>
          <w:tcPr>
            <w:tcW w:w="3402" w:type="dxa"/>
            <w:noWrap/>
          </w:tcPr>
          <w:p w14:paraId="4F31F148" w14:textId="77777777" w:rsidR="0050196F" w:rsidRPr="002325F6" w:rsidRDefault="0050196F" w:rsidP="00B21BD0">
            <w:pPr>
              <w:pStyle w:val="ARGrantstabletext"/>
              <w:rPr>
                <w:bCs/>
                <w:color w:val="000000"/>
              </w:rPr>
            </w:pPr>
            <w:r w:rsidRPr="002325F6">
              <w:rPr>
                <w:bCs/>
                <w:color w:val="000000"/>
              </w:rPr>
              <w:t>Eaglehawk Secondary College</w:t>
            </w:r>
          </w:p>
        </w:tc>
        <w:tc>
          <w:tcPr>
            <w:tcW w:w="1187" w:type="dxa"/>
            <w:noWrap/>
          </w:tcPr>
          <w:p w14:paraId="4A023591"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9883965" w14:textId="77777777" w:rsidTr="00DB5974">
        <w:tc>
          <w:tcPr>
            <w:tcW w:w="3402" w:type="dxa"/>
            <w:noWrap/>
          </w:tcPr>
          <w:p w14:paraId="5FC1836B" w14:textId="77777777" w:rsidR="0050196F" w:rsidRPr="002325F6" w:rsidRDefault="0050196F" w:rsidP="00B21BD0">
            <w:pPr>
              <w:pStyle w:val="ARGrantstabletext"/>
              <w:rPr>
                <w:bCs/>
                <w:color w:val="000000"/>
              </w:rPr>
            </w:pPr>
            <w:r w:rsidRPr="002325F6">
              <w:rPr>
                <w:bCs/>
                <w:color w:val="000000"/>
              </w:rPr>
              <w:t>East Gippsland Shire Council</w:t>
            </w:r>
          </w:p>
        </w:tc>
        <w:tc>
          <w:tcPr>
            <w:tcW w:w="1187" w:type="dxa"/>
            <w:noWrap/>
          </w:tcPr>
          <w:p w14:paraId="1DDB84F4" w14:textId="77777777" w:rsidR="0050196F" w:rsidRPr="002325F6" w:rsidRDefault="0050196F" w:rsidP="00B21BD0">
            <w:pPr>
              <w:pStyle w:val="ARGrantstabletextright"/>
              <w:rPr>
                <w:bCs/>
                <w:color w:val="000000"/>
              </w:rPr>
            </w:pPr>
            <w:r w:rsidRPr="002325F6">
              <w:rPr>
                <w:bCs/>
                <w:color w:val="000000"/>
              </w:rPr>
              <w:t>37,500</w:t>
            </w:r>
          </w:p>
        </w:tc>
      </w:tr>
      <w:tr w:rsidR="0050196F" w:rsidRPr="00B6199F" w14:paraId="527917A2" w14:textId="77777777" w:rsidTr="00DB5974">
        <w:tc>
          <w:tcPr>
            <w:tcW w:w="3402" w:type="dxa"/>
            <w:noWrap/>
          </w:tcPr>
          <w:p w14:paraId="4A0E865F" w14:textId="77777777" w:rsidR="0050196F" w:rsidRPr="002325F6" w:rsidRDefault="0050196F" w:rsidP="00B21BD0">
            <w:pPr>
              <w:pStyle w:val="ARGrantstabletext"/>
              <w:rPr>
                <w:bCs/>
                <w:color w:val="000000"/>
              </w:rPr>
            </w:pPr>
            <w:r w:rsidRPr="002325F6">
              <w:rPr>
                <w:bCs/>
                <w:color w:val="000000"/>
              </w:rPr>
              <w:t>East Gippsland Specialist School</w:t>
            </w:r>
          </w:p>
        </w:tc>
        <w:tc>
          <w:tcPr>
            <w:tcW w:w="1187" w:type="dxa"/>
            <w:noWrap/>
          </w:tcPr>
          <w:p w14:paraId="2A45CA9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3AFA5CE" w14:textId="77777777" w:rsidTr="00DB5974">
        <w:tc>
          <w:tcPr>
            <w:tcW w:w="3402" w:type="dxa"/>
            <w:noWrap/>
          </w:tcPr>
          <w:p w14:paraId="0A8C7E77" w14:textId="77777777" w:rsidR="0050196F" w:rsidRPr="002325F6" w:rsidRDefault="0050196F" w:rsidP="00B21BD0">
            <w:pPr>
              <w:pStyle w:val="ARGrantstabletext"/>
              <w:rPr>
                <w:bCs/>
                <w:color w:val="000000"/>
              </w:rPr>
            </w:pPr>
            <w:r w:rsidRPr="002325F6">
              <w:rPr>
                <w:bCs/>
                <w:color w:val="000000"/>
              </w:rPr>
              <w:t>Echuca Twin Rivers Specialist School</w:t>
            </w:r>
          </w:p>
        </w:tc>
        <w:tc>
          <w:tcPr>
            <w:tcW w:w="1187" w:type="dxa"/>
            <w:noWrap/>
          </w:tcPr>
          <w:p w14:paraId="4ADC623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6561F68" w14:textId="77777777" w:rsidTr="00DB5974">
        <w:tc>
          <w:tcPr>
            <w:tcW w:w="3402" w:type="dxa"/>
            <w:noWrap/>
          </w:tcPr>
          <w:p w14:paraId="04788590" w14:textId="5AC432EB" w:rsidR="0050196F" w:rsidRPr="002325F6" w:rsidRDefault="0050196F" w:rsidP="00B21BD0">
            <w:pPr>
              <w:pStyle w:val="ARGrantstabletext"/>
              <w:rPr>
                <w:bCs/>
                <w:color w:val="000000"/>
              </w:rPr>
            </w:pPr>
            <w:r w:rsidRPr="002325F6">
              <w:rPr>
                <w:bCs/>
                <w:color w:val="000000"/>
              </w:rPr>
              <w:t>Emerald Centre for Hope and Outreach</w:t>
            </w:r>
            <w:r w:rsidR="00083017">
              <w:rPr>
                <w:bCs/>
                <w:color w:val="000000"/>
              </w:rPr>
              <w:t> </w:t>
            </w:r>
            <w:r w:rsidRPr="002325F6">
              <w:rPr>
                <w:bCs/>
                <w:color w:val="000000"/>
              </w:rPr>
              <w:t>Incorporated</w:t>
            </w:r>
          </w:p>
        </w:tc>
        <w:tc>
          <w:tcPr>
            <w:tcW w:w="1187" w:type="dxa"/>
            <w:noWrap/>
          </w:tcPr>
          <w:p w14:paraId="1EA8A1DB"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0DB81D57" w14:textId="77777777" w:rsidTr="00DB5974">
        <w:tc>
          <w:tcPr>
            <w:tcW w:w="3402" w:type="dxa"/>
            <w:noWrap/>
          </w:tcPr>
          <w:p w14:paraId="70FFB23E" w14:textId="77777777" w:rsidR="0050196F" w:rsidRPr="002325F6" w:rsidRDefault="0050196F" w:rsidP="00B21BD0">
            <w:pPr>
              <w:pStyle w:val="ARGrantstabletext"/>
              <w:rPr>
                <w:bCs/>
                <w:color w:val="000000"/>
              </w:rPr>
            </w:pPr>
            <w:r w:rsidRPr="002325F6">
              <w:rPr>
                <w:bCs/>
                <w:color w:val="000000"/>
              </w:rPr>
              <w:t>Emerson School</w:t>
            </w:r>
          </w:p>
        </w:tc>
        <w:tc>
          <w:tcPr>
            <w:tcW w:w="1187" w:type="dxa"/>
            <w:noWrap/>
          </w:tcPr>
          <w:p w14:paraId="1C65F015"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1A017F4" w14:textId="77777777" w:rsidTr="00DB5974">
        <w:tc>
          <w:tcPr>
            <w:tcW w:w="3402" w:type="dxa"/>
            <w:noWrap/>
          </w:tcPr>
          <w:p w14:paraId="6B4A3F8F" w14:textId="77777777" w:rsidR="0050196F" w:rsidRPr="002325F6" w:rsidRDefault="0050196F" w:rsidP="00B21BD0">
            <w:pPr>
              <w:pStyle w:val="ARGrantstabletext"/>
              <w:rPr>
                <w:bCs/>
                <w:color w:val="000000"/>
              </w:rPr>
            </w:pPr>
            <w:r w:rsidRPr="002325F6">
              <w:rPr>
                <w:bCs/>
                <w:color w:val="000000"/>
              </w:rPr>
              <w:t>Epping Secondary College</w:t>
            </w:r>
          </w:p>
        </w:tc>
        <w:tc>
          <w:tcPr>
            <w:tcW w:w="1187" w:type="dxa"/>
            <w:noWrap/>
          </w:tcPr>
          <w:p w14:paraId="1A75508E"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C67D5CA" w14:textId="77777777" w:rsidTr="00DB5974">
        <w:tc>
          <w:tcPr>
            <w:tcW w:w="3402" w:type="dxa"/>
            <w:noWrap/>
          </w:tcPr>
          <w:p w14:paraId="15C3A03E" w14:textId="77777777" w:rsidR="0050196F" w:rsidRPr="002325F6" w:rsidRDefault="0050196F" w:rsidP="00B21BD0">
            <w:pPr>
              <w:pStyle w:val="ARGrantstabletext"/>
              <w:rPr>
                <w:bCs/>
                <w:color w:val="000000"/>
              </w:rPr>
            </w:pPr>
            <w:r w:rsidRPr="002325F6">
              <w:rPr>
                <w:bCs/>
                <w:color w:val="000000"/>
              </w:rPr>
              <w:t>Fitzroy Learning Network</w:t>
            </w:r>
          </w:p>
        </w:tc>
        <w:tc>
          <w:tcPr>
            <w:tcW w:w="1187" w:type="dxa"/>
            <w:noWrap/>
          </w:tcPr>
          <w:p w14:paraId="0CE731A2"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EB23760" w14:textId="77777777" w:rsidTr="00DB5974">
        <w:tc>
          <w:tcPr>
            <w:tcW w:w="3402" w:type="dxa"/>
            <w:noWrap/>
          </w:tcPr>
          <w:p w14:paraId="56817A3A" w14:textId="4C5B12BB" w:rsidR="0050196F" w:rsidRPr="002325F6" w:rsidRDefault="0050196F" w:rsidP="00B21BD0">
            <w:pPr>
              <w:pStyle w:val="ARGrantstabletext"/>
              <w:rPr>
                <w:bCs/>
                <w:color w:val="000000"/>
              </w:rPr>
            </w:pPr>
            <w:r w:rsidRPr="002325F6">
              <w:rPr>
                <w:bCs/>
                <w:color w:val="000000"/>
              </w:rPr>
              <w:t xml:space="preserve">Food Is Free </w:t>
            </w:r>
            <w:r w:rsidR="003B5B30">
              <w:rPr>
                <w:bCs/>
                <w:color w:val="000000"/>
              </w:rPr>
              <w:t>Inc</w:t>
            </w:r>
          </w:p>
        </w:tc>
        <w:tc>
          <w:tcPr>
            <w:tcW w:w="1187" w:type="dxa"/>
            <w:noWrap/>
          </w:tcPr>
          <w:p w14:paraId="403AE6BA"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D329D43" w14:textId="77777777" w:rsidTr="00DB5974">
        <w:tc>
          <w:tcPr>
            <w:tcW w:w="3402" w:type="dxa"/>
            <w:noWrap/>
          </w:tcPr>
          <w:p w14:paraId="0603347F" w14:textId="77777777" w:rsidR="0050196F" w:rsidRPr="002325F6" w:rsidRDefault="0050196F" w:rsidP="00B21BD0">
            <w:pPr>
              <w:pStyle w:val="ARGrantstabletext"/>
              <w:rPr>
                <w:bCs/>
                <w:color w:val="000000"/>
              </w:rPr>
            </w:pPr>
            <w:r w:rsidRPr="002325F6">
              <w:rPr>
                <w:bCs/>
                <w:color w:val="000000"/>
              </w:rPr>
              <w:t>Frankston City Council</w:t>
            </w:r>
          </w:p>
        </w:tc>
        <w:tc>
          <w:tcPr>
            <w:tcW w:w="1187" w:type="dxa"/>
            <w:noWrap/>
          </w:tcPr>
          <w:p w14:paraId="44019EB7" w14:textId="77777777" w:rsidR="0050196F" w:rsidRPr="002325F6" w:rsidRDefault="0050196F" w:rsidP="00B21BD0">
            <w:pPr>
              <w:pStyle w:val="ARGrantstabletextright"/>
              <w:rPr>
                <w:bCs/>
                <w:color w:val="000000"/>
              </w:rPr>
            </w:pPr>
            <w:r w:rsidRPr="002325F6">
              <w:rPr>
                <w:bCs/>
                <w:color w:val="000000"/>
              </w:rPr>
              <w:t>82,000</w:t>
            </w:r>
          </w:p>
        </w:tc>
      </w:tr>
      <w:tr w:rsidR="0050196F" w:rsidRPr="00B6199F" w14:paraId="7775B071" w14:textId="77777777" w:rsidTr="00DB5974">
        <w:tc>
          <w:tcPr>
            <w:tcW w:w="3402" w:type="dxa"/>
            <w:noWrap/>
          </w:tcPr>
          <w:p w14:paraId="69C7D174" w14:textId="37821733" w:rsidR="0050196F" w:rsidRPr="002325F6" w:rsidRDefault="0050196F" w:rsidP="00B21BD0">
            <w:pPr>
              <w:pStyle w:val="ARGrantstabletext"/>
              <w:rPr>
                <w:bCs/>
                <w:color w:val="000000"/>
              </w:rPr>
            </w:pPr>
            <w:r w:rsidRPr="002325F6">
              <w:rPr>
                <w:bCs/>
                <w:color w:val="000000"/>
              </w:rPr>
              <w:t>Frankston Special Developmental</w:t>
            </w:r>
            <w:r w:rsidR="00DB5974">
              <w:rPr>
                <w:bCs/>
                <w:color w:val="000000"/>
              </w:rPr>
              <w:t> </w:t>
            </w:r>
            <w:r w:rsidRPr="002325F6">
              <w:rPr>
                <w:bCs/>
                <w:color w:val="000000"/>
              </w:rPr>
              <w:t>School</w:t>
            </w:r>
          </w:p>
        </w:tc>
        <w:tc>
          <w:tcPr>
            <w:tcW w:w="1187" w:type="dxa"/>
            <w:noWrap/>
          </w:tcPr>
          <w:p w14:paraId="31BB3F3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D1D5D06" w14:textId="77777777" w:rsidTr="00DB5974">
        <w:tc>
          <w:tcPr>
            <w:tcW w:w="3402" w:type="dxa"/>
            <w:noWrap/>
          </w:tcPr>
          <w:p w14:paraId="78FEE279" w14:textId="77777777" w:rsidR="0050196F" w:rsidRPr="002325F6" w:rsidRDefault="0050196F" w:rsidP="00B21BD0">
            <w:pPr>
              <w:pStyle w:val="ARGrantstabletext"/>
              <w:rPr>
                <w:bCs/>
                <w:color w:val="000000"/>
              </w:rPr>
            </w:pPr>
            <w:r w:rsidRPr="002325F6">
              <w:rPr>
                <w:bCs/>
                <w:color w:val="000000"/>
              </w:rPr>
              <w:t>Fusion Australia</w:t>
            </w:r>
          </w:p>
        </w:tc>
        <w:tc>
          <w:tcPr>
            <w:tcW w:w="1187" w:type="dxa"/>
            <w:noWrap/>
          </w:tcPr>
          <w:p w14:paraId="65432CDF"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062D9C1A" w14:textId="77777777" w:rsidTr="00DB5974">
        <w:tc>
          <w:tcPr>
            <w:tcW w:w="3402" w:type="dxa"/>
            <w:noWrap/>
          </w:tcPr>
          <w:p w14:paraId="4A868C3E" w14:textId="77777777" w:rsidR="0050196F" w:rsidRPr="002325F6" w:rsidRDefault="0050196F" w:rsidP="00B21BD0">
            <w:pPr>
              <w:pStyle w:val="ARGrantstabletext"/>
              <w:rPr>
                <w:bCs/>
                <w:color w:val="000000"/>
              </w:rPr>
            </w:pPr>
            <w:r w:rsidRPr="002325F6">
              <w:rPr>
                <w:bCs/>
                <w:color w:val="000000"/>
              </w:rPr>
              <w:t>Gippsland East Local Learning and Employment Network Inc</w:t>
            </w:r>
          </w:p>
        </w:tc>
        <w:tc>
          <w:tcPr>
            <w:tcW w:w="1187" w:type="dxa"/>
            <w:noWrap/>
          </w:tcPr>
          <w:p w14:paraId="26BEF0EE" w14:textId="77777777" w:rsidR="0050196F" w:rsidRPr="002325F6" w:rsidRDefault="0050196F" w:rsidP="00B21BD0">
            <w:pPr>
              <w:pStyle w:val="ARGrantstabletextright"/>
              <w:rPr>
                <w:bCs/>
                <w:color w:val="000000"/>
              </w:rPr>
            </w:pPr>
            <w:r w:rsidRPr="002325F6">
              <w:rPr>
                <w:bCs/>
                <w:color w:val="000000"/>
              </w:rPr>
              <w:t>60,000</w:t>
            </w:r>
          </w:p>
        </w:tc>
      </w:tr>
      <w:tr w:rsidR="0050196F" w:rsidRPr="00B6199F" w14:paraId="381BB79C" w14:textId="77777777" w:rsidTr="00DB5974">
        <w:tc>
          <w:tcPr>
            <w:tcW w:w="3402" w:type="dxa"/>
            <w:noWrap/>
          </w:tcPr>
          <w:p w14:paraId="1ECA496B" w14:textId="77777777" w:rsidR="0050196F" w:rsidRPr="002325F6" w:rsidRDefault="0050196F" w:rsidP="00B21BD0">
            <w:pPr>
              <w:pStyle w:val="ARGrantstabletext"/>
              <w:rPr>
                <w:bCs/>
                <w:color w:val="000000"/>
              </w:rPr>
            </w:pPr>
            <w:r w:rsidRPr="002325F6">
              <w:rPr>
                <w:bCs/>
                <w:color w:val="000000"/>
              </w:rPr>
              <w:t>Gippsland Youth Spaces Incorporated</w:t>
            </w:r>
          </w:p>
        </w:tc>
        <w:tc>
          <w:tcPr>
            <w:tcW w:w="1187" w:type="dxa"/>
            <w:noWrap/>
          </w:tcPr>
          <w:p w14:paraId="516F5BA5"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59AC1E1" w14:textId="77777777" w:rsidTr="00DB5974">
        <w:tc>
          <w:tcPr>
            <w:tcW w:w="3402" w:type="dxa"/>
            <w:noWrap/>
          </w:tcPr>
          <w:p w14:paraId="1A5FC061" w14:textId="77777777" w:rsidR="0050196F" w:rsidRPr="002325F6" w:rsidRDefault="0050196F" w:rsidP="00B21BD0">
            <w:pPr>
              <w:pStyle w:val="ARGrantstabletext"/>
              <w:rPr>
                <w:bCs/>
                <w:color w:val="000000"/>
              </w:rPr>
            </w:pPr>
            <w:r w:rsidRPr="002325F6">
              <w:rPr>
                <w:bCs/>
                <w:color w:val="000000"/>
              </w:rPr>
              <w:t>Girl Guides Association of Victoria</w:t>
            </w:r>
          </w:p>
        </w:tc>
        <w:tc>
          <w:tcPr>
            <w:tcW w:w="1187" w:type="dxa"/>
            <w:noWrap/>
          </w:tcPr>
          <w:p w14:paraId="66640182" w14:textId="77777777" w:rsidR="0050196F" w:rsidRPr="002325F6" w:rsidRDefault="0050196F" w:rsidP="00B21BD0">
            <w:pPr>
              <w:pStyle w:val="ARGrantstabletextright"/>
              <w:rPr>
                <w:bCs/>
                <w:color w:val="000000"/>
              </w:rPr>
            </w:pPr>
            <w:r w:rsidRPr="002325F6">
              <w:rPr>
                <w:bCs/>
                <w:color w:val="000000"/>
              </w:rPr>
              <w:t>250,000</w:t>
            </w:r>
          </w:p>
        </w:tc>
      </w:tr>
      <w:tr w:rsidR="0050196F" w:rsidRPr="00B6199F" w14:paraId="353918B8" w14:textId="77777777" w:rsidTr="00DB5974">
        <w:tc>
          <w:tcPr>
            <w:tcW w:w="3402" w:type="dxa"/>
            <w:noWrap/>
          </w:tcPr>
          <w:p w14:paraId="3D0C8C8F" w14:textId="77777777" w:rsidR="0050196F" w:rsidRPr="002325F6" w:rsidRDefault="0050196F" w:rsidP="00B21BD0">
            <w:pPr>
              <w:pStyle w:val="ARGrantstabletext"/>
              <w:rPr>
                <w:bCs/>
                <w:color w:val="000000"/>
              </w:rPr>
            </w:pPr>
            <w:r w:rsidRPr="002325F6">
              <w:rPr>
                <w:bCs/>
                <w:color w:val="000000"/>
              </w:rPr>
              <w:t>Glen Eira City Council</w:t>
            </w:r>
          </w:p>
        </w:tc>
        <w:tc>
          <w:tcPr>
            <w:tcW w:w="1187" w:type="dxa"/>
            <w:noWrap/>
          </w:tcPr>
          <w:p w14:paraId="25793027" w14:textId="77777777" w:rsidR="0050196F" w:rsidRPr="002325F6" w:rsidRDefault="0050196F" w:rsidP="00B21BD0">
            <w:pPr>
              <w:pStyle w:val="ARGrantstabletextright"/>
              <w:rPr>
                <w:bCs/>
                <w:color w:val="000000"/>
              </w:rPr>
            </w:pPr>
            <w:r w:rsidRPr="002325F6">
              <w:rPr>
                <w:bCs/>
                <w:color w:val="000000"/>
              </w:rPr>
              <w:t>47,000</w:t>
            </w:r>
          </w:p>
        </w:tc>
      </w:tr>
      <w:tr w:rsidR="0050196F" w:rsidRPr="00B6199F" w14:paraId="098B9C80" w14:textId="77777777" w:rsidTr="00DB5974">
        <w:tc>
          <w:tcPr>
            <w:tcW w:w="3402" w:type="dxa"/>
            <w:noWrap/>
          </w:tcPr>
          <w:p w14:paraId="6A76086F" w14:textId="77777777" w:rsidR="0050196F" w:rsidRPr="002325F6" w:rsidRDefault="0050196F" w:rsidP="00B21BD0">
            <w:pPr>
              <w:pStyle w:val="ARGrantstabletext"/>
              <w:rPr>
                <w:bCs/>
                <w:color w:val="000000"/>
              </w:rPr>
            </w:pPr>
            <w:r w:rsidRPr="002325F6">
              <w:rPr>
                <w:bCs/>
                <w:color w:val="000000"/>
              </w:rPr>
              <w:t>Gleneagles Secondary College</w:t>
            </w:r>
          </w:p>
        </w:tc>
        <w:tc>
          <w:tcPr>
            <w:tcW w:w="1187" w:type="dxa"/>
            <w:noWrap/>
          </w:tcPr>
          <w:p w14:paraId="4D2E700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F05E749" w14:textId="77777777" w:rsidTr="00DB5974">
        <w:tc>
          <w:tcPr>
            <w:tcW w:w="3402" w:type="dxa"/>
            <w:noWrap/>
          </w:tcPr>
          <w:p w14:paraId="4BFF8E93" w14:textId="77777777" w:rsidR="0050196F" w:rsidRPr="002325F6" w:rsidRDefault="0050196F" w:rsidP="00B21BD0">
            <w:pPr>
              <w:pStyle w:val="ARGrantstabletext"/>
              <w:rPr>
                <w:bCs/>
                <w:color w:val="000000"/>
              </w:rPr>
            </w:pPr>
            <w:r w:rsidRPr="002325F6">
              <w:rPr>
                <w:bCs/>
                <w:color w:val="000000"/>
              </w:rPr>
              <w:t>Glenelg Shire Council</w:t>
            </w:r>
          </w:p>
        </w:tc>
        <w:tc>
          <w:tcPr>
            <w:tcW w:w="1187" w:type="dxa"/>
            <w:noWrap/>
          </w:tcPr>
          <w:p w14:paraId="260D8076"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225414B4" w14:textId="77777777" w:rsidTr="00DB5974">
        <w:tc>
          <w:tcPr>
            <w:tcW w:w="3402" w:type="dxa"/>
            <w:noWrap/>
          </w:tcPr>
          <w:p w14:paraId="5086D31B" w14:textId="77777777" w:rsidR="0050196F" w:rsidRPr="002325F6" w:rsidRDefault="0050196F" w:rsidP="00B21BD0">
            <w:pPr>
              <w:pStyle w:val="ARGrantstabletext"/>
              <w:rPr>
                <w:bCs/>
                <w:color w:val="000000"/>
              </w:rPr>
            </w:pPr>
            <w:r w:rsidRPr="002325F6">
              <w:rPr>
                <w:bCs/>
                <w:color w:val="000000"/>
              </w:rPr>
              <w:t>Glenroy Secondary College</w:t>
            </w:r>
          </w:p>
        </w:tc>
        <w:tc>
          <w:tcPr>
            <w:tcW w:w="1187" w:type="dxa"/>
            <w:noWrap/>
          </w:tcPr>
          <w:p w14:paraId="5F5D88C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E5F2D09" w14:textId="77777777" w:rsidTr="00DB5974">
        <w:tc>
          <w:tcPr>
            <w:tcW w:w="3402" w:type="dxa"/>
            <w:noWrap/>
          </w:tcPr>
          <w:p w14:paraId="0EAB06E6" w14:textId="77777777" w:rsidR="0050196F" w:rsidRPr="002325F6" w:rsidRDefault="0050196F" w:rsidP="00B21BD0">
            <w:pPr>
              <w:pStyle w:val="ARGrantstabletext"/>
              <w:rPr>
                <w:bCs/>
                <w:color w:val="000000"/>
              </w:rPr>
            </w:pPr>
            <w:r w:rsidRPr="002325F6">
              <w:rPr>
                <w:bCs/>
                <w:color w:val="000000"/>
              </w:rPr>
              <w:t>Golden Plains Shire Council</w:t>
            </w:r>
          </w:p>
        </w:tc>
        <w:tc>
          <w:tcPr>
            <w:tcW w:w="1187" w:type="dxa"/>
            <w:noWrap/>
          </w:tcPr>
          <w:p w14:paraId="5234604C"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34D4D106" w14:textId="77777777" w:rsidTr="00DB5974">
        <w:tc>
          <w:tcPr>
            <w:tcW w:w="3402" w:type="dxa"/>
            <w:noWrap/>
          </w:tcPr>
          <w:p w14:paraId="644F7B8C" w14:textId="77777777" w:rsidR="0050196F" w:rsidRPr="002325F6" w:rsidRDefault="0050196F" w:rsidP="00B21BD0">
            <w:pPr>
              <w:pStyle w:val="ARGrantstabletext"/>
              <w:rPr>
                <w:bCs/>
                <w:color w:val="000000"/>
              </w:rPr>
            </w:pPr>
            <w:r w:rsidRPr="002325F6">
              <w:rPr>
                <w:bCs/>
                <w:color w:val="000000"/>
              </w:rPr>
              <w:t>Grampians Community Health</w:t>
            </w:r>
          </w:p>
        </w:tc>
        <w:tc>
          <w:tcPr>
            <w:tcW w:w="1187" w:type="dxa"/>
            <w:noWrap/>
          </w:tcPr>
          <w:p w14:paraId="58439C6C"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7CA5789A" w14:textId="77777777" w:rsidTr="00DB5974">
        <w:tc>
          <w:tcPr>
            <w:tcW w:w="3402" w:type="dxa"/>
            <w:noWrap/>
          </w:tcPr>
          <w:p w14:paraId="63639B55" w14:textId="77777777" w:rsidR="0050196F" w:rsidRPr="002325F6" w:rsidRDefault="0050196F" w:rsidP="00B21BD0">
            <w:pPr>
              <w:pStyle w:val="ARGrantstabletext"/>
              <w:rPr>
                <w:bCs/>
                <w:color w:val="000000"/>
              </w:rPr>
            </w:pPr>
            <w:r w:rsidRPr="002325F6">
              <w:rPr>
                <w:bCs/>
                <w:color w:val="000000"/>
              </w:rPr>
              <w:t>Greater Shepparton City Council</w:t>
            </w:r>
          </w:p>
        </w:tc>
        <w:tc>
          <w:tcPr>
            <w:tcW w:w="1187" w:type="dxa"/>
            <w:noWrap/>
          </w:tcPr>
          <w:p w14:paraId="7F4B0901" w14:textId="77777777" w:rsidR="0050196F" w:rsidRPr="002325F6" w:rsidRDefault="0050196F" w:rsidP="00B21BD0">
            <w:pPr>
              <w:pStyle w:val="ARGrantstabletextright"/>
              <w:rPr>
                <w:bCs/>
                <w:color w:val="000000"/>
              </w:rPr>
            </w:pPr>
            <w:r w:rsidRPr="002325F6">
              <w:rPr>
                <w:bCs/>
                <w:color w:val="000000"/>
              </w:rPr>
              <w:t>82,500</w:t>
            </w:r>
          </w:p>
        </w:tc>
      </w:tr>
      <w:tr w:rsidR="0050196F" w:rsidRPr="00B6199F" w14:paraId="221C6A8D" w14:textId="77777777" w:rsidTr="00DB5974">
        <w:tc>
          <w:tcPr>
            <w:tcW w:w="3402" w:type="dxa"/>
            <w:noWrap/>
          </w:tcPr>
          <w:p w14:paraId="731094EB" w14:textId="77777777" w:rsidR="0050196F" w:rsidRPr="002325F6" w:rsidRDefault="0050196F" w:rsidP="00B21BD0">
            <w:pPr>
              <w:pStyle w:val="ARGrantstabletext"/>
              <w:rPr>
                <w:bCs/>
                <w:color w:val="000000"/>
              </w:rPr>
            </w:pPr>
            <w:r w:rsidRPr="002325F6">
              <w:rPr>
                <w:bCs/>
                <w:color w:val="000000"/>
              </w:rPr>
              <w:t>Greater Shepparton Secondary College</w:t>
            </w:r>
          </w:p>
        </w:tc>
        <w:tc>
          <w:tcPr>
            <w:tcW w:w="1187" w:type="dxa"/>
            <w:noWrap/>
          </w:tcPr>
          <w:p w14:paraId="5E2DE7A4"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8235EC3" w14:textId="77777777" w:rsidTr="00DB5974">
        <w:tc>
          <w:tcPr>
            <w:tcW w:w="3402" w:type="dxa"/>
            <w:noWrap/>
          </w:tcPr>
          <w:p w14:paraId="3730733F" w14:textId="77777777" w:rsidR="0050196F" w:rsidRPr="002325F6" w:rsidRDefault="0050196F" w:rsidP="00B21BD0">
            <w:pPr>
              <w:pStyle w:val="ARGrantstabletext"/>
              <w:rPr>
                <w:bCs/>
                <w:color w:val="000000"/>
              </w:rPr>
            </w:pPr>
            <w:r w:rsidRPr="002325F6">
              <w:rPr>
                <w:bCs/>
                <w:color w:val="000000"/>
              </w:rPr>
              <w:t>Green Citizens Australia Network</w:t>
            </w:r>
          </w:p>
        </w:tc>
        <w:tc>
          <w:tcPr>
            <w:tcW w:w="1187" w:type="dxa"/>
            <w:noWrap/>
          </w:tcPr>
          <w:p w14:paraId="58C2116D"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15A34014" w14:textId="77777777" w:rsidTr="00DB5974">
        <w:tc>
          <w:tcPr>
            <w:tcW w:w="3402" w:type="dxa"/>
            <w:noWrap/>
          </w:tcPr>
          <w:p w14:paraId="6FF72259" w14:textId="77777777" w:rsidR="0050196F" w:rsidRPr="002325F6" w:rsidRDefault="0050196F" w:rsidP="00B21BD0">
            <w:pPr>
              <w:pStyle w:val="ARGrantstabletext"/>
              <w:rPr>
                <w:bCs/>
                <w:color w:val="000000"/>
              </w:rPr>
            </w:pPr>
            <w:r w:rsidRPr="002325F6">
              <w:rPr>
                <w:bCs/>
                <w:color w:val="000000"/>
              </w:rPr>
              <w:t>Hamlyn Views School</w:t>
            </w:r>
          </w:p>
        </w:tc>
        <w:tc>
          <w:tcPr>
            <w:tcW w:w="1187" w:type="dxa"/>
            <w:noWrap/>
          </w:tcPr>
          <w:p w14:paraId="76EDA36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E5BBDDC" w14:textId="77777777" w:rsidTr="00DB5974">
        <w:tc>
          <w:tcPr>
            <w:tcW w:w="3402" w:type="dxa"/>
            <w:noWrap/>
          </w:tcPr>
          <w:p w14:paraId="32DDEAA6" w14:textId="77777777" w:rsidR="0050196F" w:rsidRPr="002325F6" w:rsidRDefault="0050196F" w:rsidP="00B21BD0">
            <w:pPr>
              <w:pStyle w:val="ARGrantstabletext"/>
              <w:rPr>
                <w:bCs/>
                <w:color w:val="000000"/>
              </w:rPr>
            </w:pPr>
            <w:r w:rsidRPr="002325F6">
              <w:rPr>
                <w:bCs/>
                <w:color w:val="000000"/>
              </w:rPr>
              <w:t>Hampton Park Secondary College</w:t>
            </w:r>
          </w:p>
        </w:tc>
        <w:tc>
          <w:tcPr>
            <w:tcW w:w="1187" w:type="dxa"/>
            <w:noWrap/>
          </w:tcPr>
          <w:p w14:paraId="067FC2A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318FD02" w14:textId="77777777" w:rsidTr="00DB5974">
        <w:tc>
          <w:tcPr>
            <w:tcW w:w="3402" w:type="dxa"/>
            <w:noWrap/>
          </w:tcPr>
          <w:p w14:paraId="508F9369" w14:textId="77777777" w:rsidR="0050196F" w:rsidRPr="002325F6" w:rsidRDefault="0050196F" w:rsidP="00B21BD0">
            <w:pPr>
              <w:pStyle w:val="ARGrantstabletext"/>
              <w:rPr>
                <w:bCs/>
                <w:color w:val="000000"/>
              </w:rPr>
            </w:pPr>
            <w:r w:rsidRPr="002325F6">
              <w:rPr>
                <w:bCs/>
                <w:color w:val="000000"/>
              </w:rPr>
              <w:t>headspace Bairnsdale</w:t>
            </w:r>
          </w:p>
        </w:tc>
        <w:tc>
          <w:tcPr>
            <w:tcW w:w="1187" w:type="dxa"/>
            <w:noWrap/>
          </w:tcPr>
          <w:p w14:paraId="2F1711F7"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4F4DCBC0" w14:textId="77777777" w:rsidTr="00DB5974">
        <w:tc>
          <w:tcPr>
            <w:tcW w:w="3402" w:type="dxa"/>
            <w:noWrap/>
          </w:tcPr>
          <w:p w14:paraId="10AF0C1F" w14:textId="77777777" w:rsidR="0050196F" w:rsidRPr="002325F6" w:rsidRDefault="0050196F" w:rsidP="00B21BD0">
            <w:pPr>
              <w:pStyle w:val="ARGrantstabletext"/>
              <w:rPr>
                <w:bCs/>
                <w:color w:val="000000"/>
              </w:rPr>
            </w:pPr>
            <w:r w:rsidRPr="002325F6">
              <w:rPr>
                <w:bCs/>
                <w:color w:val="000000"/>
              </w:rPr>
              <w:t>Healesville High School</w:t>
            </w:r>
          </w:p>
        </w:tc>
        <w:tc>
          <w:tcPr>
            <w:tcW w:w="1187" w:type="dxa"/>
            <w:noWrap/>
          </w:tcPr>
          <w:p w14:paraId="2670C54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209D49F" w14:textId="77777777" w:rsidTr="00DB5974">
        <w:tc>
          <w:tcPr>
            <w:tcW w:w="3402" w:type="dxa"/>
            <w:noWrap/>
          </w:tcPr>
          <w:p w14:paraId="768E681A" w14:textId="77777777" w:rsidR="0050196F" w:rsidRPr="002325F6" w:rsidRDefault="0050196F" w:rsidP="00B21BD0">
            <w:pPr>
              <w:pStyle w:val="ARGrantstabletext"/>
              <w:rPr>
                <w:bCs/>
                <w:color w:val="000000"/>
              </w:rPr>
            </w:pPr>
            <w:r w:rsidRPr="002325F6">
              <w:rPr>
                <w:bCs/>
                <w:color w:val="000000"/>
              </w:rPr>
              <w:t>Heatherwood School</w:t>
            </w:r>
          </w:p>
        </w:tc>
        <w:tc>
          <w:tcPr>
            <w:tcW w:w="1187" w:type="dxa"/>
            <w:noWrap/>
          </w:tcPr>
          <w:p w14:paraId="503CA81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C49EC1E" w14:textId="77777777" w:rsidTr="00DB5974">
        <w:tc>
          <w:tcPr>
            <w:tcW w:w="3402" w:type="dxa"/>
            <w:noWrap/>
          </w:tcPr>
          <w:p w14:paraId="0E2EB62D" w14:textId="77777777" w:rsidR="0050196F" w:rsidRPr="002325F6" w:rsidRDefault="0050196F" w:rsidP="00B21BD0">
            <w:pPr>
              <w:pStyle w:val="ARGrantstabletext"/>
              <w:rPr>
                <w:bCs/>
                <w:color w:val="000000"/>
              </w:rPr>
            </w:pPr>
            <w:r w:rsidRPr="002325F6">
              <w:rPr>
                <w:bCs/>
                <w:color w:val="000000"/>
              </w:rPr>
              <w:t>Hepburn Shire Council</w:t>
            </w:r>
          </w:p>
        </w:tc>
        <w:tc>
          <w:tcPr>
            <w:tcW w:w="1187" w:type="dxa"/>
            <w:noWrap/>
          </w:tcPr>
          <w:p w14:paraId="310F8ABB"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5A0D69DE" w14:textId="77777777" w:rsidTr="00DB5974">
        <w:tc>
          <w:tcPr>
            <w:tcW w:w="3402" w:type="dxa"/>
            <w:noWrap/>
          </w:tcPr>
          <w:p w14:paraId="7AF41FF9" w14:textId="77777777" w:rsidR="0050196F" w:rsidRPr="002325F6" w:rsidRDefault="0050196F" w:rsidP="00B21BD0">
            <w:pPr>
              <w:pStyle w:val="ARGrantstabletext"/>
              <w:rPr>
                <w:bCs/>
                <w:color w:val="000000"/>
              </w:rPr>
            </w:pPr>
            <w:r w:rsidRPr="002325F6">
              <w:rPr>
                <w:bCs/>
                <w:color w:val="000000"/>
              </w:rPr>
              <w:t>Heywood and District Secondary College</w:t>
            </w:r>
          </w:p>
        </w:tc>
        <w:tc>
          <w:tcPr>
            <w:tcW w:w="1187" w:type="dxa"/>
            <w:noWrap/>
          </w:tcPr>
          <w:p w14:paraId="027B94F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561A03D" w14:textId="77777777" w:rsidTr="00DB5974">
        <w:tc>
          <w:tcPr>
            <w:tcW w:w="3402" w:type="dxa"/>
            <w:noWrap/>
          </w:tcPr>
          <w:p w14:paraId="4FA349B5" w14:textId="77777777" w:rsidR="0050196F" w:rsidRPr="002325F6" w:rsidRDefault="0050196F" w:rsidP="00B21BD0">
            <w:pPr>
              <w:pStyle w:val="ARGrantstabletext"/>
              <w:rPr>
                <w:bCs/>
                <w:color w:val="000000"/>
              </w:rPr>
            </w:pPr>
            <w:r w:rsidRPr="002325F6">
              <w:rPr>
                <w:bCs/>
                <w:color w:val="000000"/>
              </w:rPr>
              <w:t>Hindmarsh Shire Council</w:t>
            </w:r>
          </w:p>
        </w:tc>
        <w:tc>
          <w:tcPr>
            <w:tcW w:w="1187" w:type="dxa"/>
            <w:noWrap/>
          </w:tcPr>
          <w:p w14:paraId="464F905A"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0516F2FD" w14:textId="77777777" w:rsidTr="00DB5974">
        <w:tc>
          <w:tcPr>
            <w:tcW w:w="3402" w:type="dxa"/>
            <w:noWrap/>
          </w:tcPr>
          <w:p w14:paraId="3D4D324E" w14:textId="77777777" w:rsidR="0050196F" w:rsidRPr="002325F6" w:rsidRDefault="0050196F" w:rsidP="00B21BD0">
            <w:pPr>
              <w:pStyle w:val="ARGrantstabletext"/>
              <w:rPr>
                <w:bCs/>
                <w:color w:val="000000"/>
              </w:rPr>
            </w:pPr>
            <w:r w:rsidRPr="002325F6">
              <w:rPr>
                <w:bCs/>
                <w:color w:val="000000"/>
              </w:rPr>
              <w:t>HipHopportunities for Youth Inc</w:t>
            </w:r>
          </w:p>
        </w:tc>
        <w:tc>
          <w:tcPr>
            <w:tcW w:w="1187" w:type="dxa"/>
            <w:noWrap/>
          </w:tcPr>
          <w:p w14:paraId="558FB4C6" w14:textId="77777777" w:rsidR="0050196F" w:rsidRPr="002325F6" w:rsidRDefault="0050196F" w:rsidP="00B21BD0">
            <w:pPr>
              <w:pStyle w:val="ARGrantstabletextright"/>
              <w:rPr>
                <w:bCs/>
                <w:color w:val="000000"/>
              </w:rPr>
            </w:pPr>
            <w:r w:rsidRPr="002325F6">
              <w:rPr>
                <w:bCs/>
                <w:color w:val="000000"/>
              </w:rPr>
              <w:t>62,750</w:t>
            </w:r>
          </w:p>
        </w:tc>
      </w:tr>
      <w:tr w:rsidR="0050196F" w:rsidRPr="00B6199F" w14:paraId="554B3D63" w14:textId="77777777" w:rsidTr="00DB5974">
        <w:tc>
          <w:tcPr>
            <w:tcW w:w="3402" w:type="dxa"/>
            <w:noWrap/>
          </w:tcPr>
          <w:p w14:paraId="5C748C54" w14:textId="77777777" w:rsidR="0050196F" w:rsidRPr="002325F6" w:rsidRDefault="0050196F" w:rsidP="00B21BD0">
            <w:pPr>
              <w:pStyle w:val="ARGrantstabletext"/>
              <w:rPr>
                <w:bCs/>
                <w:color w:val="000000"/>
              </w:rPr>
            </w:pPr>
            <w:r w:rsidRPr="002325F6">
              <w:rPr>
                <w:bCs/>
                <w:color w:val="000000"/>
              </w:rPr>
              <w:t>Hobsons Bay City Council</w:t>
            </w:r>
          </w:p>
        </w:tc>
        <w:tc>
          <w:tcPr>
            <w:tcW w:w="1187" w:type="dxa"/>
            <w:noWrap/>
          </w:tcPr>
          <w:p w14:paraId="7E386A19" w14:textId="77777777" w:rsidR="0050196F" w:rsidRPr="002325F6" w:rsidRDefault="0050196F" w:rsidP="00B21BD0">
            <w:pPr>
              <w:pStyle w:val="ARGrantstabletextright"/>
              <w:rPr>
                <w:bCs/>
                <w:color w:val="000000"/>
              </w:rPr>
            </w:pPr>
            <w:r w:rsidRPr="002325F6">
              <w:rPr>
                <w:bCs/>
                <w:color w:val="000000"/>
              </w:rPr>
              <w:t>64,500</w:t>
            </w:r>
          </w:p>
        </w:tc>
      </w:tr>
      <w:tr w:rsidR="0050196F" w:rsidRPr="00B6199F" w14:paraId="4997A95F" w14:textId="77777777" w:rsidTr="00DB5974">
        <w:tc>
          <w:tcPr>
            <w:tcW w:w="3402" w:type="dxa"/>
            <w:noWrap/>
          </w:tcPr>
          <w:p w14:paraId="427EE5FE" w14:textId="77777777" w:rsidR="0050196F" w:rsidRPr="002325F6" w:rsidRDefault="0050196F" w:rsidP="00B21BD0">
            <w:pPr>
              <w:pStyle w:val="ARGrantstabletext"/>
              <w:rPr>
                <w:bCs/>
                <w:color w:val="000000"/>
              </w:rPr>
            </w:pPr>
            <w:r w:rsidRPr="002325F6">
              <w:rPr>
                <w:bCs/>
                <w:color w:val="000000"/>
              </w:rPr>
              <w:t>Hopetoun P-12 College</w:t>
            </w:r>
          </w:p>
        </w:tc>
        <w:tc>
          <w:tcPr>
            <w:tcW w:w="1187" w:type="dxa"/>
            <w:noWrap/>
          </w:tcPr>
          <w:p w14:paraId="194A11C0" w14:textId="77777777" w:rsidR="0050196F" w:rsidRPr="002325F6" w:rsidRDefault="0050196F" w:rsidP="00B21BD0">
            <w:pPr>
              <w:pStyle w:val="ARGrantstabletextright"/>
              <w:rPr>
                <w:bCs/>
                <w:color w:val="000000"/>
              </w:rPr>
            </w:pPr>
            <w:r w:rsidRPr="002325F6">
              <w:rPr>
                <w:bCs/>
                <w:color w:val="000000"/>
              </w:rPr>
              <w:t>7,800</w:t>
            </w:r>
          </w:p>
        </w:tc>
      </w:tr>
      <w:tr w:rsidR="0050196F" w:rsidRPr="00B6199F" w14:paraId="0453F341" w14:textId="77777777" w:rsidTr="00DB5974">
        <w:tc>
          <w:tcPr>
            <w:tcW w:w="3402" w:type="dxa"/>
            <w:noWrap/>
          </w:tcPr>
          <w:p w14:paraId="5A498B4F" w14:textId="77777777" w:rsidR="0050196F" w:rsidRPr="002325F6" w:rsidRDefault="0050196F" w:rsidP="00B21BD0">
            <w:pPr>
              <w:pStyle w:val="ARGrantstabletext"/>
              <w:rPr>
                <w:bCs/>
                <w:color w:val="000000"/>
              </w:rPr>
            </w:pPr>
            <w:r w:rsidRPr="002325F6">
              <w:rPr>
                <w:bCs/>
                <w:color w:val="000000"/>
              </w:rPr>
              <w:t>Hoppers Crossing Secondary College</w:t>
            </w:r>
          </w:p>
        </w:tc>
        <w:tc>
          <w:tcPr>
            <w:tcW w:w="1187" w:type="dxa"/>
            <w:noWrap/>
          </w:tcPr>
          <w:p w14:paraId="527241D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83AEA65" w14:textId="77777777" w:rsidTr="00DB5974">
        <w:tc>
          <w:tcPr>
            <w:tcW w:w="3402" w:type="dxa"/>
            <w:noWrap/>
          </w:tcPr>
          <w:p w14:paraId="23A7AF8D" w14:textId="77777777" w:rsidR="0050196F" w:rsidRPr="002325F6" w:rsidRDefault="0050196F" w:rsidP="00B21BD0">
            <w:pPr>
              <w:pStyle w:val="ARGrantstabletext"/>
              <w:rPr>
                <w:bCs/>
                <w:color w:val="000000"/>
              </w:rPr>
            </w:pPr>
            <w:r w:rsidRPr="002325F6">
              <w:rPr>
                <w:bCs/>
                <w:color w:val="000000"/>
              </w:rPr>
              <w:t>Horsham Rural City Council</w:t>
            </w:r>
          </w:p>
        </w:tc>
        <w:tc>
          <w:tcPr>
            <w:tcW w:w="1187" w:type="dxa"/>
            <w:noWrap/>
          </w:tcPr>
          <w:p w14:paraId="73066AC5" w14:textId="77777777" w:rsidR="0050196F" w:rsidRPr="002325F6" w:rsidRDefault="0050196F" w:rsidP="00B21BD0">
            <w:pPr>
              <w:pStyle w:val="ARGrantstabletextright"/>
              <w:rPr>
                <w:bCs/>
                <w:color w:val="000000"/>
              </w:rPr>
            </w:pPr>
            <w:r w:rsidRPr="002325F6">
              <w:rPr>
                <w:bCs/>
                <w:color w:val="000000"/>
              </w:rPr>
              <w:t>80,500</w:t>
            </w:r>
          </w:p>
        </w:tc>
      </w:tr>
      <w:tr w:rsidR="0050196F" w:rsidRPr="00B6199F" w14:paraId="3230E4DB" w14:textId="77777777" w:rsidTr="00DB5974">
        <w:tc>
          <w:tcPr>
            <w:tcW w:w="3402" w:type="dxa"/>
            <w:noWrap/>
          </w:tcPr>
          <w:p w14:paraId="673F1502" w14:textId="77777777" w:rsidR="0050196F" w:rsidRPr="002325F6" w:rsidRDefault="0050196F" w:rsidP="00B21BD0">
            <w:pPr>
              <w:pStyle w:val="ARGrantstabletext"/>
              <w:rPr>
                <w:bCs/>
                <w:color w:val="000000"/>
              </w:rPr>
            </w:pPr>
            <w:r w:rsidRPr="002325F6">
              <w:rPr>
                <w:bCs/>
                <w:color w:val="000000"/>
              </w:rPr>
              <w:t>Horsham Special School</w:t>
            </w:r>
          </w:p>
        </w:tc>
        <w:tc>
          <w:tcPr>
            <w:tcW w:w="1187" w:type="dxa"/>
            <w:noWrap/>
          </w:tcPr>
          <w:p w14:paraId="7A15D24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4264ABD" w14:textId="77777777" w:rsidTr="00DB5974">
        <w:tc>
          <w:tcPr>
            <w:tcW w:w="3402" w:type="dxa"/>
            <w:noWrap/>
          </w:tcPr>
          <w:p w14:paraId="18C8712A" w14:textId="77777777" w:rsidR="0050196F" w:rsidRPr="002325F6" w:rsidRDefault="0050196F" w:rsidP="00B21BD0">
            <w:pPr>
              <w:pStyle w:val="ARGrantstabletext"/>
              <w:rPr>
                <w:bCs/>
                <w:color w:val="000000"/>
              </w:rPr>
            </w:pPr>
            <w:r w:rsidRPr="002325F6">
              <w:rPr>
                <w:bCs/>
                <w:color w:val="000000"/>
              </w:rPr>
              <w:t>Hume Central Secondary College</w:t>
            </w:r>
          </w:p>
        </w:tc>
        <w:tc>
          <w:tcPr>
            <w:tcW w:w="1187" w:type="dxa"/>
            <w:noWrap/>
          </w:tcPr>
          <w:p w14:paraId="5CAA164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DF72636" w14:textId="77777777" w:rsidTr="00DB5974">
        <w:tc>
          <w:tcPr>
            <w:tcW w:w="3402" w:type="dxa"/>
            <w:noWrap/>
          </w:tcPr>
          <w:p w14:paraId="4C0DE211" w14:textId="77777777" w:rsidR="0050196F" w:rsidRPr="002325F6" w:rsidRDefault="0050196F" w:rsidP="00B21BD0">
            <w:pPr>
              <w:pStyle w:val="ARGrantstabletext"/>
              <w:rPr>
                <w:bCs/>
                <w:color w:val="000000"/>
              </w:rPr>
            </w:pPr>
            <w:r w:rsidRPr="002325F6">
              <w:rPr>
                <w:bCs/>
                <w:color w:val="000000"/>
              </w:rPr>
              <w:t>Hume City Council</w:t>
            </w:r>
          </w:p>
        </w:tc>
        <w:tc>
          <w:tcPr>
            <w:tcW w:w="1187" w:type="dxa"/>
            <w:noWrap/>
          </w:tcPr>
          <w:p w14:paraId="4BA682DD" w14:textId="77777777" w:rsidR="0050196F" w:rsidRPr="002325F6" w:rsidRDefault="0050196F" w:rsidP="00B21BD0">
            <w:pPr>
              <w:pStyle w:val="ARGrantstabletextright"/>
              <w:rPr>
                <w:bCs/>
                <w:color w:val="000000"/>
              </w:rPr>
            </w:pPr>
            <w:r w:rsidRPr="002325F6">
              <w:rPr>
                <w:bCs/>
                <w:color w:val="000000"/>
              </w:rPr>
              <w:t>87,000</w:t>
            </w:r>
          </w:p>
        </w:tc>
      </w:tr>
      <w:tr w:rsidR="0050196F" w:rsidRPr="00B6199F" w14:paraId="3F2465FC" w14:textId="77777777" w:rsidTr="00DB5974">
        <w:tc>
          <w:tcPr>
            <w:tcW w:w="3402" w:type="dxa"/>
            <w:noWrap/>
          </w:tcPr>
          <w:p w14:paraId="1D81BBDD" w14:textId="77777777" w:rsidR="0050196F" w:rsidRPr="002325F6" w:rsidRDefault="0050196F" w:rsidP="00B21BD0">
            <w:pPr>
              <w:pStyle w:val="ARGrantstabletext"/>
              <w:rPr>
                <w:bCs/>
                <w:color w:val="000000"/>
              </w:rPr>
            </w:pPr>
            <w:r w:rsidRPr="002325F6">
              <w:rPr>
                <w:bCs/>
                <w:color w:val="000000"/>
              </w:rPr>
              <w:t>Hume Valley School</w:t>
            </w:r>
          </w:p>
        </w:tc>
        <w:tc>
          <w:tcPr>
            <w:tcW w:w="1187" w:type="dxa"/>
            <w:noWrap/>
          </w:tcPr>
          <w:p w14:paraId="1510C363" w14:textId="77777777" w:rsidR="0050196F" w:rsidRPr="002325F6" w:rsidRDefault="0050196F" w:rsidP="00B21BD0">
            <w:pPr>
              <w:pStyle w:val="ARGrantstabletextright"/>
              <w:rPr>
                <w:bCs/>
                <w:color w:val="000000"/>
              </w:rPr>
            </w:pPr>
            <w:r w:rsidRPr="002325F6">
              <w:rPr>
                <w:bCs/>
                <w:color w:val="000000"/>
              </w:rPr>
              <w:t>11,800</w:t>
            </w:r>
          </w:p>
        </w:tc>
      </w:tr>
      <w:tr w:rsidR="0050196F" w:rsidRPr="00B6199F" w14:paraId="3A6D94E3" w14:textId="77777777" w:rsidTr="00DB5974">
        <w:tc>
          <w:tcPr>
            <w:tcW w:w="3402" w:type="dxa"/>
            <w:noWrap/>
          </w:tcPr>
          <w:p w14:paraId="72695726" w14:textId="77777777" w:rsidR="0050196F" w:rsidRPr="002325F6" w:rsidRDefault="0050196F" w:rsidP="00B21BD0">
            <w:pPr>
              <w:pStyle w:val="ARGrantstabletext"/>
              <w:rPr>
                <w:bCs/>
                <w:color w:val="000000"/>
              </w:rPr>
            </w:pPr>
            <w:r w:rsidRPr="002325F6">
              <w:rPr>
                <w:bCs/>
                <w:color w:val="000000"/>
              </w:rPr>
              <w:t>Indian Cultural Association Of Australia</w:t>
            </w:r>
          </w:p>
        </w:tc>
        <w:tc>
          <w:tcPr>
            <w:tcW w:w="1187" w:type="dxa"/>
            <w:noWrap/>
          </w:tcPr>
          <w:p w14:paraId="4E414E81"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2BD1EEA" w14:textId="77777777" w:rsidTr="00DB5974">
        <w:tc>
          <w:tcPr>
            <w:tcW w:w="3402" w:type="dxa"/>
            <w:noWrap/>
          </w:tcPr>
          <w:p w14:paraId="18F5A321" w14:textId="77777777" w:rsidR="0050196F" w:rsidRPr="002325F6" w:rsidRDefault="0050196F" w:rsidP="00B21BD0">
            <w:pPr>
              <w:pStyle w:val="ARGrantstabletext"/>
              <w:rPr>
                <w:bCs/>
                <w:color w:val="000000"/>
              </w:rPr>
            </w:pPr>
            <w:r w:rsidRPr="002325F6">
              <w:rPr>
                <w:bCs/>
                <w:color w:val="000000"/>
              </w:rPr>
              <w:t>Indigo Shire Council</w:t>
            </w:r>
          </w:p>
        </w:tc>
        <w:tc>
          <w:tcPr>
            <w:tcW w:w="1187" w:type="dxa"/>
            <w:noWrap/>
          </w:tcPr>
          <w:p w14:paraId="227FFA96"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175D5F30" w14:textId="77777777" w:rsidTr="00DB5974">
        <w:tc>
          <w:tcPr>
            <w:tcW w:w="3402" w:type="dxa"/>
            <w:noWrap/>
          </w:tcPr>
          <w:p w14:paraId="4C57C95B" w14:textId="6EF29CB2" w:rsidR="0050196F" w:rsidRPr="002325F6" w:rsidRDefault="0050196F" w:rsidP="00B21BD0">
            <w:pPr>
              <w:pStyle w:val="ARGrantstabletext"/>
              <w:rPr>
                <w:bCs/>
                <w:color w:val="000000"/>
              </w:rPr>
            </w:pPr>
            <w:r w:rsidRPr="002325F6">
              <w:rPr>
                <w:bCs/>
                <w:color w:val="000000"/>
              </w:rPr>
              <w:t>Inglewood Community Neighbourhood</w:t>
            </w:r>
            <w:r w:rsidR="009378B2">
              <w:rPr>
                <w:bCs/>
                <w:color w:val="000000"/>
              </w:rPr>
              <w:t> </w:t>
            </w:r>
            <w:r w:rsidRPr="002325F6">
              <w:rPr>
                <w:bCs/>
                <w:color w:val="000000"/>
              </w:rPr>
              <w:t>House</w:t>
            </w:r>
          </w:p>
        </w:tc>
        <w:tc>
          <w:tcPr>
            <w:tcW w:w="1187" w:type="dxa"/>
            <w:noWrap/>
          </w:tcPr>
          <w:p w14:paraId="5ED4736F"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4C938754" w14:textId="77777777" w:rsidTr="00DB5974">
        <w:tc>
          <w:tcPr>
            <w:tcW w:w="3402" w:type="dxa"/>
            <w:noWrap/>
          </w:tcPr>
          <w:p w14:paraId="7419838F" w14:textId="77777777" w:rsidR="0050196F" w:rsidRPr="002325F6" w:rsidRDefault="0050196F" w:rsidP="00B21BD0">
            <w:pPr>
              <w:pStyle w:val="ARGrantstabletext"/>
              <w:rPr>
                <w:bCs/>
                <w:color w:val="000000"/>
              </w:rPr>
            </w:pPr>
            <w:r w:rsidRPr="002325F6">
              <w:rPr>
                <w:bCs/>
                <w:color w:val="000000"/>
              </w:rPr>
              <w:t>Jacana School for Autism</w:t>
            </w:r>
          </w:p>
        </w:tc>
        <w:tc>
          <w:tcPr>
            <w:tcW w:w="1187" w:type="dxa"/>
            <w:noWrap/>
          </w:tcPr>
          <w:p w14:paraId="11D8FDF6" w14:textId="77777777" w:rsidR="0050196F" w:rsidRPr="002325F6" w:rsidRDefault="0050196F" w:rsidP="00B21BD0">
            <w:pPr>
              <w:pStyle w:val="ARGrantstabletextright"/>
              <w:rPr>
                <w:bCs/>
                <w:color w:val="000000"/>
              </w:rPr>
            </w:pPr>
            <w:r w:rsidRPr="002325F6">
              <w:rPr>
                <w:bCs/>
                <w:color w:val="000000"/>
              </w:rPr>
              <w:t>6,800</w:t>
            </w:r>
          </w:p>
        </w:tc>
      </w:tr>
      <w:tr w:rsidR="0050196F" w:rsidRPr="00B6199F" w14:paraId="6AEFC151" w14:textId="77777777" w:rsidTr="00DB5974">
        <w:tc>
          <w:tcPr>
            <w:tcW w:w="3402" w:type="dxa"/>
            <w:noWrap/>
          </w:tcPr>
          <w:p w14:paraId="52BB8DDC" w14:textId="77777777" w:rsidR="0050196F" w:rsidRPr="002325F6" w:rsidRDefault="0050196F" w:rsidP="00B21BD0">
            <w:pPr>
              <w:pStyle w:val="ARGrantstabletext"/>
              <w:rPr>
                <w:bCs/>
                <w:color w:val="000000"/>
              </w:rPr>
            </w:pPr>
            <w:r w:rsidRPr="002325F6">
              <w:rPr>
                <w:bCs/>
                <w:color w:val="000000"/>
              </w:rPr>
              <w:t>Jackson School</w:t>
            </w:r>
          </w:p>
        </w:tc>
        <w:tc>
          <w:tcPr>
            <w:tcW w:w="1187" w:type="dxa"/>
            <w:noWrap/>
          </w:tcPr>
          <w:p w14:paraId="003E23C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333512E" w14:textId="77777777" w:rsidTr="00DB5974">
        <w:tc>
          <w:tcPr>
            <w:tcW w:w="3402" w:type="dxa"/>
            <w:noWrap/>
          </w:tcPr>
          <w:p w14:paraId="0AD81E77" w14:textId="77777777" w:rsidR="0050196F" w:rsidRPr="002325F6" w:rsidRDefault="0050196F" w:rsidP="00B21BD0">
            <w:pPr>
              <w:pStyle w:val="ARGrantstabletext"/>
              <w:rPr>
                <w:bCs/>
                <w:color w:val="000000"/>
              </w:rPr>
            </w:pPr>
            <w:r w:rsidRPr="002325F6">
              <w:rPr>
                <w:bCs/>
                <w:color w:val="000000"/>
              </w:rPr>
              <w:t>John Fawkner College</w:t>
            </w:r>
          </w:p>
        </w:tc>
        <w:tc>
          <w:tcPr>
            <w:tcW w:w="1187" w:type="dxa"/>
            <w:noWrap/>
          </w:tcPr>
          <w:p w14:paraId="20157B9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E9216CF" w14:textId="77777777" w:rsidTr="00DB5974">
        <w:tc>
          <w:tcPr>
            <w:tcW w:w="3402" w:type="dxa"/>
            <w:noWrap/>
          </w:tcPr>
          <w:p w14:paraId="12BE3F2F" w14:textId="77777777" w:rsidR="0050196F" w:rsidRPr="002325F6" w:rsidRDefault="0050196F" w:rsidP="00B21BD0">
            <w:pPr>
              <w:pStyle w:val="ARGrantstabletext"/>
              <w:rPr>
                <w:bCs/>
                <w:color w:val="000000"/>
              </w:rPr>
            </w:pPr>
            <w:r w:rsidRPr="002325F6">
              <w:rPr>
                <w:bCs/>
                <w:color w:val="000000"/>
              </w:rPr>
              <w:t>Junction Support Services LTD</w:t>
            </w:r>
          </w:p>
        </w:tc>
        <w:tc>
          <w:tcPr>
            <w:tcW w:w="1187" w:type="dxa"/>
            <w:noWrap/>
          </w:tcPr>
          <w:p w14:paraId="278AB016"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65852365" w14:textId="77777777" w:rsidTr="00DB5974">
        <w:tc>
          <w:tcPr>
            <w:tcW w:w="3402" w:type="dxa"/>
            <w:noWrap/>
          </w:tcPr>
          <w:p w14:paraId="1581BC5F" w14:textId="77777777" w:rsidR="0050196F" w:rsidRPr="002325F6" w:rsidRDefault="0050196F" w:rsidP="00B21BD0">
            <w:pPr>
              <w:pStyle w:val="ARGrantstabletext"/>
              <w:rPr>
                <w:bCs/>
                <w:color w:val="000000"/>
              </w:rPr>
            </w:pPr>
            <w:r w:rsidRPr="002325F6">
              <w:rPr>
                <w:bCs/>
                <w:color w:val="000000"/>
              </w:rPr>
              <w:t>Kalianna School</w:t>
            </w:r>
          </w:p>
        </w:tc>
        <w:tc>
          <w:tcPr>
            <w:tcW w:w="1187" w:type="dxa"/>
            <w:noWrap/>
          </w:tcPr>
          <w:p w14:paraId="2D2452B1"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D8AFC0F" w14:textId="77777777" w:rsidTr="00DB5974">
        <w:tc>
          <w:tcPr>
            <w:tcW w:w="3402" w:type="dxa"/>
            <w:noWrap/>
          </w:tcPr>
          <w:p w14:paraId="3FABC464" w14:textId="77777777" w:rsidR="0050196F" w:rsidRPr="002325F6" w:rsidRDefault="0050196F" w:rsidP="00B21BD0">
            <w:pPr>
              <w:pStyle w:val="ARGrantstabletext"/>
              <w:rPr>
                <w:bCs/>
                <w:color w:val="000000"/>
              </w:rPr>
            </w:pPr>
            <w:r w:rsidRPr="002325F6">
              <w:rPr>
                <w:bCs/>
                <w:color w:val="000000"/>
              </w:rPr>
              <w:t>Keysborough Secondary College</w:t>
            </w:r>
          </w:p>
        </w:tc>
        <w:tc>
          <w:tcPr>
            <w:tcW w:w="1187" w:type="dxa"/>
            <w:noWrap/>
          </w:tcPr>
          <w:p w14:paraId="3B99FCF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779D7DD" w14:textId="77777777" w:rsidTr="00DB5974">
        <w:tc>
          <w:tcPr>
            <w:tcW w:w="3402" w:type="dxa"/>
            <w:noWrap/>
          </w:tcPr>
          <w:p w14:paraId="77F47AE0" w14:textId="77777777" w:rsidR="0050196F" w:rsidRPr="002325F6" w:rsidRDefault="0050196F" w:rsidP="00B21BD0">
            <w:pPr>
              <w:pStyle w:val="ARGrantstabletext"/>
              <w:rPr>
                <w:bCs/>
                <w:color w:val="000000"/>
              </w:rPr>
            </w:pPr>
            <w:r w:rsidRPr="002325F6">
              <w:rPr>
                <w:bCs/>
                <w:color w:val="000000"/>
              </w:rPr>
              <w:t>Kingston City Council</w:t>
            </w:r>
          </w:p>
        </w:tc>
        <w:tc>
          <w:tcPr>
            <w:tcW w:w="1187" w:type="dxa"/>
            <w:noWrap/>
          </w:tcPr>
          <w:p w14:paraId="791AE2C0" w14:textId="77777777" w:rsidR="0050196F" w:rsidRPr="002325F6" w:rsidRDefault="0050196F" w:rsidP="00B21BD0">
            <w:pPr>
              <w:pStyle w:val="ARGrantstabletextright"/>
              <w:rPr>
                <w:bCs/>
                <w:color w:val="000000"/>
              </w:rPr>
            </w:pPr>
            <w:r w:rsidRPr="002325F6">
              <w:rPr>
                <w:bCs/>
                <w:color w:val="000000"/>
              </w:rPr>
              <w:t>80,000</w:t>
            </w:r>
          </w:p>
        </w:tc>
      </w:tr>
      <w:tr w:rsidR="0050196F" w:rsidRPr="00B6199F" w14:paraId="12B5CF5C" w14:textId="77777777" w:rsidTr="00DB5974">
        <w:tc>
          <w:tcPr>
            <w:tcW w:w="3402" w:type="dxa"/>
            <w:noWrap/>
          </w:tcPr>
          <w:p w14:paraId="385AF35B" w14:textId="77777777" w:rsidR="0050196F" w:rsidRPr="002325F6" w:rsidRDefault="0050196F" w:rsidP="00B21BD0">
            <w:pPr>
              <w:pStyle w:val="ARGrantstabletext"/>
              <w:rPr>
                <w:bCs/>
                <w:color w:val="000000"/>
              </w:rPr>
            </w:pPr>
            <w:r w:rsidRPr="002325F6">
              <w:rPr>
                <w:bCs/>
                <w:color w:val="000000"/>
              </w:rPr>
              <w:t>Know Your Roots</w:t>
            </w:r>
          </w:p>
        </w:tc>
        <w:tc>
          <w:tcPr>
            <w:tcW w:w="1187" w:type="dxa"/>
            <w:noWrap/>
          </w:tcPr>
          <w:p w14:paraId="1436BB22"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2219594D" w14:textId="77777777" w:rsidTr="00DB5974">
        <w:tc>
          <w:tcPr>
            <w:tcW w:w="3402" w:type="dxa"/>
            <w:noWrap/>
          </w:tcPr>
          <w:p w14:paraId="63E0C540" w14:textId="77777777" w:rsidR="0050196F" w:rsidRPr="002325F6" w:rsidRDefault="0050196F" w:rsidP="00B21BD0">
            <w:pPr>
              <w:pStyle w:val="ARGrantstabletext"/>
              <w:rPr>
                <w:bCs/>
                <w:color w:val="000000"/>
              </w:rPr>
            </w:pPr>
            <w:r w:rsidRPr="002325F6">
              <w:rPr>
                <w:bCs/>
                <w:color w:val="000000"/>
              </w:rPr>
              <w:t>Knox City Council</w:t>
            </w:r>
          </w:p>
        </w:tc>
        <w:tc>
          <w:tcPr>
            <w:tcW w:w="1187" w:type="dxa"/>
            <w:noWrap/>
          </w:tcPr>
          <w:p w14:paraId="40FC175E" w14:textId="77777777" w:rsidR="0050196F" w:rsidRPr="002325F6" w:rsidRDefault="0050196F" w:rsidP="00B21BD0">
            <w:pPr>
              <w:pStyle w:val="ARGrantstabletextright"/>
              <w:rPr>
                <w:bCs/>
                <w:color w:val="000000"/>
              </w:rPr>
            </w:pPr>
            <w:r w:rsidRPr="002325F6">
              <w:rPr>
                <w:bCs/>
                <w:color w:val="000000"/>
              </w:rPr>
              <w:t>17,500</w:t>
            </w:r>
          </w:p>
        </w:tc>
      </w:tr>
      <w:tr w:rsidR="0050196F" w:rsidRPr="00B6199F" w14:paraId="63B83145" w14:textId="77777777" w:rsidTr="00DB5974">
        <w:tc>
          <w:tcPr>
            <w:tcW w:w="3402" w:type="dxa"/>
            <w:noWrap/>
          </w:tcPr>
          <w:p w14:paraId="4183A4E2" w14:textId="3D197334" w:rsidR="0050196F" w:rsidRPr="002325F6" w:rsidRDefault="0050196F" w:rsidP="00B21BD0">
            <w:pPr>
              <w:pStyle w:val="ARGrantstabletext"/>
              <w:rPr>
                <w:bCs/>
                <w:color w:val="000000"/>
              </w:rPr>
            </w:pPr>
            <w:r w:rsidRPr="002325F6">
              <w:rPr>
                <w:bCs/>
                <w:color w:val="000000"/>
              </w:rPr>
              <w:t xml:space="preserve">Knox City Council </w:t>
            </w:r>
            <w:r w:rsidR="00604894">
              <w:rPr>
                <w:bCs/>
                <w:color w:val="000000"/>
              </w:rPr>
              <w:t>–</w:t>
            </w:r>
            <w:r w:rsidRPr="002325F6">
              <w:rPr>
                <w:bCs/>
                <w:color w:val="000000"/>
              </w:rPr>
              <w:t xml:space="preserve"> Youth Services</w:t>
            </w:r>
          </w:p>
        </w:tc>
        <w:tc>
          <w:tcPr>
            <w:tcW w:w="1187" w:type="dxa"/>
            <w:noWrap/>
          </w:tcPr>
          <w:p w14:paraId="725937A2" w14:textId="77777777" w:rsidR="0050196F" w:rsidRPr="002325F6" w:rsidRDefault="0050196F" w:rsidP="00B21BD0">
            <w:pPr>
              <w:pStyle w:val="ARGrantstabletextright"/>
              <w:rPr>
                <w:bCs/>
                <w:color w:val="000000"/>
              </w:rPr>
            </w:pPr>
            <w:r w:rsidRPr="002325F6">
              <w:rPr>
                <w:bCs/>
                <w:color w:val="000000"/>
              </w:rPr>
              <w:t>52,000</w:t>
            </w:r>
          </w:p>
        </w:tc>
      </w:tr>
      <w:tr w:rsidR="0050196F" w:rsidRPr="00B6199F" w14:paraId="616BB258" w14:textId="77777777" w:rsidTr="00DB5974">
        <w:tc>
          <w:tcPr>
            <w:tcW w:w="3402" w:type="dxa"/>
            <w:noWrap/>
          </w:tcPr>
          <w:p w14:paraId="2C4701CE" w14:textId="77777777" w:rsidR="0050196F" w:rsidRPr="002325F6" w:rsidRDefault="0050196F" w:rsidP="00B21BD0">
            <w:pPr>
              <w:pStyle w:val="ARGrantstabletext"/>
              <w:rPr>
                <w:bCs/>
                <w:color w:val="000000"/>
              </w:rPr>
            </w:pPr>
            <w:r w:rsidRPr="002325F6">
              <w:rPr>
                <w:bCs/>
                <w:color w:val="000000"/>
              </w:rPr>
              <w:t>Kurnai College</w:t>
            </w:r>
          </w:p>
        </w:tc>
        <w:tc>
          <w:tcPr>
            <w:tcW w:w="1187" w:type="dxa"/>
            <w:noWrap/>
          </w:tcPr>
          <w:p w14:paraId="3B1CF83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E00FBFF" w14:textId="77777777" w:rsidTr="00DB5974">
        <w:tc>
          <w:tcPr>
            <w:tcW w:w="3402" w:type="dxa"/>
            <w:noWrap/>
          </w:tcPr>
          <w:p w14:paraId="7BA5BBAC" w14:textId="77777777" w:rsidR="0050196F" w:rsidRPr="002325F6" w:rsidRDefault="0050196F" w:rsidP="00B21BD0">
            <w:pPr>
              <w:pStyle w:val="ARGrantstabletext"/>
              <w:rPr>
                <w:bCs/>
                <w:color w:val="000000"/>
              </w:rPr>
            </w:pPr>
            <w:r w:rsidRPr="002325F6">
              <w:rPr>
                <w:bCs/>
                <w:color w:val="000000"/>
              </w:rPr>
              <w:t>Kurunjang Secondary College</w:t>
            </w:r>
          </w:p>
        </w:tc>
        <w:tc>
          <w:tcPr>
            <w:tcW w:w="1187" w:type="dxa"/>
            <w:noWrap/>
          </w:tcPr>
          <w:p w14:paraId="201DB04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0BF3119" w14:textId="77777777" w:rsidTr="00DB5974">
        <w:tc>
          <w:tcPr>
            <w:tcW w:w="3402" w:type="dxa"/>
            <w:noWrap/>
          </w:tcPr>
          <w:p w14:paraId="76D03BCD" w14:textId="77777777" w:rsidR="0050196F" w:rsidRPr="002325F6" w:rsidRDefault="0050196F" w:rsidP="00B21BD0">
            <w:pPr>
              <w:pStyle w:val="ARGrantstabletext"/>
              <w:rPr>
                <w:bCs/>
                <w:color w:val="000000"/>
              </w:rPr>
            </w:pPr>
            <w:r w:rsidRPr="002325F6">
              <w:rPr>
                <w:bCs/>
                <w:color w:val="000000"/>
              </w:rPr>
              <w:t>Kyabram P-12 College</w:t>
            </w:r>
          </w:p>
        </w:tc>
        <w:tc>
          <w:tcPr>
            <w:tcW w:w="1187" w:type="dxa"/>
            <w:noWrap/>
          </w:tcPr>
          <w:p w14:paraId="2D932355"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169DE34" w14:textId="77777777" w:rsidTr="00DB5974">
        <w:tc>
          <w:tcPr>
            <w:tcW w:w="3402" w:type="dxa"/>
            <w:noWrap/>
          </w:tcPr>
          <w:p w14:paraId="41CB4EEB" w14:textId="77777777" w:rsidR="0050196F" w:rsidRPr="002325F6" w:rsidRDefault="0050196F" w:rsidP="00B21BD0">
            <w:pPr>
              <w:pStyle w:val="ARGrantstabletext"/>
              <w:rPr>
                <w:bCs/>
                <w:color w:val="000000"/>
              </w:rPr>
            </w:pPr>
            <w:r w:rsidRPr="002325F6">
              <w:rPr>
                <w:bCs/>
                <w:color w:val="000000"/>
              </w:rPr>
              <w:t>Kyneton Community House</w:t>
            </w:r>
          </w:p>
        </w:tc>
        <w:tc>
          <w:tcPr>
            <w:tcW w:w="1187" w:type="dxa"/>
            <w:noWrap/>
          </w:tcPr>
          <w:p w14:paraId="2F9F681D" w14:textId="77777777" w:rsidR="0050196F" w:rsidRPr="002325F6" w:rsidRDefault="0050196F" w:rsidP="00B21BD0">
            <w:pPr>
              <w:pStyle w:val="ARGrantstabletextright"/>
              <w:rPr>
                <w:bCs/>
                <w:color w:val="000000"/>
              </w:rPr>
            </w:pPr>
            <w:r w:rsidRPr="002325F6">
              <w:rPr>
                <w:bCs/>
                <w:color w:val="000000"/>
              </w:rPr>
              <w:t>52,000</w:t>
            </w:r>
          </w:p>
        </w:tc>
      </w:tr>
      <w:tr w:rsidR="0050196F" w:rsidRPr="00B6199F" w14:paraId="7DE4533B" w14:textId="77777777" w:rsidTr="00DB5974">
        <w:tc>
          <w:tcPr>
            <w:tcW w:w="3402" w:type="dxa"/>
            <w:noWrap/>
          </w:tcPr>
          <w:p w14:paraId="257E372D" w14:textId="77777777" w:rsidR="0050196F" w:rsidRPr="002325F6" w:rsidRDefault="0050196F" w:rsidP="00B21BD0">
            <w:pPr>
              <w:pStyle w:val="ARGrantstabletext"/>
              <w:rPr>
                <w:bCs/>
                <w:color w:val="000000"/>
              </w:rPr>
            </w:pPr>
            <w:r w:rsidRPr="002325F6">
              <w:rPr>
                <w:bCs/>
                <w:color w:val="000000"/>
              </w:rPr>
              <w:t>Lake Bolac College</w:t>
            </w:r>
          </w:p>
        </w:tc>
        <w:tc>
          <w:tcPr>
            <w:tcW w:w="1187" w:type="dxa"/>
            <w:noWrap/>
          </w:tcPr>
          <w:p w14:paraId="76177B5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803216A" w14:textId="77777777" w:rsidTr="00DB5974">
        <w:tc>
          <w:tcPr>
            <w:tcW w:w="3402" w:type="dxa"/>
            <w:noWrap/>
          </w:tcPr>
          <w:p w14:paraId="3B5A0455" w14:textId="77777777" w:rsidR="0050196F" w:rsidRPr="002325F6" w:rsidRDefault="0050196F" w:rsidP="00B21BD0">
            <w:pPr>
              <w:pStyle w:val="ARGrantstabletext"/>
              <w:rPr>
                <w:bCs/>
                <w:color w:val="000000"/>
              </w:rPr>
            </w:pPr>
            <w:r w:rsidRPr="002325F6">
              <w:rPr>
                <w:bCs/>
                <w:color w:val="000000"/>
              </w:rPr>
              <w:t>Lalor Secondary College</w:t>
            </w:r>
          </w:p>
        </w:tc>
        <w:tc>
          <w:tcPr>
            <w:tcW w:w="1187" w:type="dxa"/>
            <w:noWrap/>
          </w:tcPr>
          <w:p w14:paraId="0764FB23"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1731A2A" w14:textId="77777777" w:rsidTr="00DB5974">
        <w:tc>
          <w:tcPr>
            <w:tcW w:w="3402" w:type="dxa"/>
            <w:noWrap/>
          </w:tcPr>
          <w:p w14:paraId="3B25C616" w14:textId="77777777" w:rsidR="0050196F" w:rsidRPr="002325F6" w:rsidRDefault="0050196F" w:rsidP="00B21BD0">
            <w:pPr>
              <w:pStyle w:val="ARGrantstabletext"/>
              <w:rPr>
                <w:bCs/>
                <w:color w:val="000000"/>
              </w:rPr>
            </w:pPr>
            <w:r w:rsidRPr="002325F6">
              <w:rPr>
                <w:bCs/>
                <w:color w:val="000000"/>
              </w:rPr>
              <w:t>Latrobe Special Developmental School</w:t>
            </w:r>
          </w:p>
        </w:tc>
        <w:tc>
          <w:tcPr>
            <w:tcW w:w="1187" w:type="dxa"/>
            <w:noWrap/>
          </w:tcPr>
          <w:p w14:paraId="332D0705" w14:textId="77777777" w:rsidR="0050196F" w:rsidRPr="002325F6" w:rsidRDefault="0050196F" w:rsidP="00B21BD0">
            <w:pPr>
              <w:pStyle w:val="ARGrantstabletextright"/>
              <w:rPr>
                <w:bCs/>
                <w:color w:val="000000"/>
              </w:rPr>
            </w:pPr>
            <w:r w:rsidRPr="002325F6">
              <w:rPr>
                <w:bCs/>
                <w:color w:val="000000"/>
              </w:rPr>
              <w:t>6,300</w:t>
            </w:r>
          </w:p>
        </w:tc>
      </w:tr>
      <w:tr w:rsidR="0050196F" w:rsidRPr="00B6199F" w14:paraId="7ACC567E" w14:textId="77777777" w:rsidTr="00DB5974">
        <w:tc>
          <w:tcPr>
            <w:tcW w:w="3402" w:type="dxa"/>
            <w:noWrap/>
          </w:tcPr>
          <w:p w14:paraId="17BFA4D0" w14:textId="77777777" w:rsidR="0050196F" w:rsidRPr="002325F6" w:rsidRDefault="0050196F" w:rsidP="00B21BD0">
            <w:pPr>
              <w:pStyle w:val="ARGrantstabletext"/>
              <w:rPr>
                <w:bCs/>
                <w:color w:val="000000"/>
              </w:rPr>
            </w:pPr>
            <w:r w:rsidRPr="002325F6">
              <w:rPr>
                <w:bCs/>
                <w:color w:val="000000"/>
              </w:rPr>
              <w:t>Latrobe Youth Space Inc</w:t>
            </w:r>
          </w:p>
        </w:tc>
        <w:tc>
          <w:tcPr>
            <w:tcW w:w="1187" w:type="dxa"/>
            <w:noWrap/>
          </w:tcPr>
          <w:p w14:paraId="2E227417" w14:textId="77777777" w:rsidR="0050196F" w:rsidRPr="002325F6" w:rsidRDefault="0050196F" w:rsidP="00B21BD0">
            <w:pPr>
              <w:pStyle w:val="ARGrantstabletextright"/>
              <w:rPr>
                <w:bCs/>
                <w:color w:val="000000"/>
              </w:rPr>
            </w:pPr>
            <w:r w:rsidRPr="002325F6">
              <w:rPr>
                <w:bCs/>
                <w:color w:val="000000"/>
              </w:rPr>
              <w:t>250,000</w:t>
            </w:r>
          </w:p>
        </w:tc>
      </w:tr>
      <w:tr w:rsidR="0050196F" w:rsidRPr="00B6199F" w14:paraId="59CBE6E6" w14:textId="77777777" w:rsidTr="00DB5974">
        <w:tc>
          <w:tcPr>
            <w:tcW w:w="3402" w:type="dxa"/>
            <w:noWrap/>
          </w:tcPr>
          <w:p w14:paraId="0C1F0C33" w14:textId="77777777" w:rsidR="0050196F" w:rsidRPr="002325F6" w:rsidRDefault="0050196F" w:rsidP="00B21BD0">
            <w:pPr>
              <w:pStyle w:val="ARGrantstabletext"/>
              <w:rPr>
                <w:bCs/>
                <w:color w:val="000000"/>
              </w:rPr>
            </w:pPr>
            <w:r w:rsidRPr="002325F6">
              <w:rPr>
                <w:bCs/>
                <w:color w:val="000000"/>
              </w:rPr>
              <w:t>Lavers Hill P-12 College (Goals Campus)</w:t>
            </w:r>
          </w:p>
        </w:tc>
        <w:tc>
          <w:tcPr>
            <w:tcW w:w="1187" w:type="dxa"/>
            <w:noWrap/>
          </w:tcPr>
          <w:p w14:paraId="1E23ADB6" w14:textId="77777777" w:rsidR="0050196F" w:rsidRPr="002325F6" w:rsidRDefault="0050196F" w:rsidP="00B21BD0">
            <w:pPr>
              <w:pStyle w:val="ARGrantstabletextright"/>
              <w:rPr>
                <w:bCs/>
                <w:color w:val="000000"/>
              </w:rPr>
            </w:pPr>
            <w:r w:rsidRPr="002325F6">
              <w:rPr>
                <w:bCs/>
                <w:color w:val="000000"/>
              </w:rPr>
              <w:t>5,300</w:t>
            </w:r>
          </w:p>
        </w:tc>
      </w:tr>
      <w:tr w:rsidR="0050196F" w:rsidRPr="00B6199F" w14:paraId="04BFFF86" w14:textId="77777777" w:rsidTr="00DB5974">
        <w:tc>
          <w:tcPr>
            <w:tcW w:w="3402" w:type="dxa"/>
            <w:noWrap/>
          </w:tcPr>
          <w:p w14:paraId="7E65DFD7" w14:textId="77777777" w:rsidR="0050196F" w:rsidRPr="002325F6" w:rsidRDefault="0050196F" w:rsidP="00B21BD0">
            <w:pPr>
              <w:pStyle w:val="ARGrantstabletext"/>
              <w:rPr>
                <w:bCs/>
                <w:color w:val="000000"/>
              </w:rPr>
            </w:pPr>
            <w:r w:rsidRPr="002325F6">
              <w:rPr>
                <w:bCs/>
                <w:color w:val="000000"/>
              </w:rPr>
              <w:t>Laverton P-12 College</w:t>
            </w:r>
          </w:p>
        </w:tc>
        <w:tc>
          <w:tcPr>
            <w:tcW w:w="1187" w:type="dxa"/>
            <w:noWrap/>
          </w:tcPr>
          <w:p w14:paraId="2549369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FC582F2" w14:textId="77777777" w:rsidTr="00DB5974">
        <w:tc>
          <w:tcPr>
            <w:tcW w:w="3402" w:type="dxa"/>
            <w:noWrap/>
          </w:tcPr>
          <w:p w14:paraId="54BA61CA" w14:textId="77777777" w:rsidR="0050196F" w:rsidRPr="002325F6" w:rsidRDefault="0050196F" w:rsidP="00B21BD0">
            <w:pPr>
              <w:pStyle w:val="ARGrantstabletext"/>
              <w:rPr>
                <w:bCs/>
                <w:color w:val="000000"/>
              </w:rPr>
            </w:pPr>
            <w:r w:rsidRPr="002325F6">
              <w:rPr>
                <w:bCs/>
                <w:color w:val="000000"/>
              </w:rPr>
              <w:t>Liberty Unity Organisation Life Global Foundation Australia</w:t>
            </w:r>
          </w:p>
        </w:tc>
        <w:tc>
          <w:tcPr>
            <w:tcW w:w="1187" w:type="dxa"/>
            <w:noWrap/>
          </w:tcPr>
          <w:p w14:paraId="0D465F5F"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57E3DDBB" w14:textId="77777777" w:rsidTr="00DB5974">
        <w:tc>
          <w:tcPr>
            <w:tcW w:w="3402" w:type="dxa"/>
            <w:noWrap/>
          </w:tcPr>
          <w:p w14:paraId="373D6A09" w14:textId="77777777" w:rsidR="0050196F" w:rsidRPr="002325F6" w:rsidRDefault="0050196F" w:rsidP="00B21BD0">
            <w:pPr>
              <w:pStyle w:val="ARGrantstabletext"/>
              <w:rPr>
                <w:bCs/>
                <w:color w:val="000000"/>
              </w:rPr>
            </w:pPr>
            <w:r w:rsidRPr="002325F6">
              <w:rPr>
                <w:bCs/>
                <w:color w:val="000000"/>
              </w:rPr>
              <w:t>Lowanna College</w:t>
            </w:r>
          </w:p>
        </w:tc>
        <w:tc>
          <w:tcPr>
            <w:tcW w:w="1187" w:type="dxa"/>
            <w:noWrap/>
          </w:tcPr>
          <w:p w14:paraId="4A19B93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53DB3DA" w14:textId="77777777" w:rsidTr="00DB5974">
        <w:tc>
          <w:tcPr>
            <w:tcW w:w="3402" w:type="dxa"/>
            <w:noWrap/>
          </w:tcPr>
          <w:p w14:paraId="5BBE2BD8" w14:textId="0D9E0366" w:rsidR="0050196F" w:rsidRPr="002325F6" w:rsidRDefault="0050196F" w:rsidP="00B21BD0">
            <w:pPr>
              <w:pStyle w:val="ARGrantstabletext"/>
              <w:rPr>
                <w:bCs/>
                <w:color w:val="000000"/>
              </w:rPr>
            </w:pPr>
            <w:r w:rsidRPr="002325F6">
              <w:rPr>
                <w:bCs/>
                <w:color w:val="000000"/>
              </w:rPr>
              <w:t>Lynall Hall Community School (Main</w:t>
            </w:r>
            <w:r w:rsidR="00083017">
              <w:rPr>
                <w:bCs/>
                <w:color w:val="000000"/>
              </w:rPr>
              <w:t> </w:t>
            </w:r>
            <w:r w:rsidRPr="002325F6">
              <w:rPr>
                <w:bCs/>
                <w:color w:val="000000"/>
              </w:rPr>
              <w:t>Campus)</w:t>
            </w:r>
          </w:p>
        </w:tc>
        <w:tc>
          <w:tcPr>
            <w:tcW w:w="1187" w:type="dxa"/>
            <w:noWrap/>
          </w:tcPr>
          <w:p w14:paraId="29A4E04D"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74DD37A" w14:textId="77777777" w:rsidTr="00DB5974">
        <w:tc>
          <w:tcPr>
            <w:tcW w:w="3402" w:type="dxa"/>
            <w:noWrap/>
          </w:tcPr>
          <w:p w14:paraId="1B298FC9" w14:textId="77777777" w:rsidR="0050196F" w:rsidRPr="002325F6" w:rsidRDefault="0050196F" w:rsidP="00B21BD0">
            <w:pPr>
              <w:pStyle w:val="ARGrantstabletext"/>
              <w:rPr>
                <w:bCs/>
                <w:color w:val="000000"/>
              </w:rPr>
            </w:pPr>
            <w:r w:rsidRPr="002325F6">
              <w:rPr>
                <w:bCs/>
                <w:color w:val="000000"/>
              </w:rPr>
              <w:t>Lyndale Secondary College</w:t>
            </w:r>
          </w:p>
        </w:tc>
        <w:tc>
          <w:tcPr>
            <w:tcW w:w="1187" w:type="dxa"/>
            <w:noWrap/>
          </w:tcPr>
          <w:p w14:paraId="247DC07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0C046A9" w14:textId="77777777" w:rsidTr="00DB5974">
        <w:tc>
          <w:tcPr>
            <w:tcW w:w="3402" w:type="dxa"/>
            <w:noWrap/>
          </w:tcPr>
          <w:p w14:paraId="4FB6A9EA" w14:textId="77777777" w:rsidR="0050196F" w:rsidRPr="002325F6" w:rsidRDefault="0050196F" w:rsidP="00B21BD0">
            <w:pPr>
              <w:pStyle w:val="ARGrantstabletext"/>
              <w:rPr>
                <w:bCs/>
                <w:color w:val="000000"/>
              </w:rPr>
            </w:pPr>
            <w:r w:rsidRPr="002325F6">
              <w:rPr>
                <w:bCs/>
                <w:color w:val="000000"/>
              </w:rPr>
              <w:t>Lyndhurst Secondary College</w:t>
            </w:r>
          </w:p>
        </w:tc>
        <w:tc>
          <w:tcPr>
            <w:tcW w:w="1187" w:type="dxa"/>
            <w:noWrap/>
          </w:tcPr>
          <w:p w14:paraId="2DA1517F"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9994FFB" w14:textId="77777777" w:rsidTr="00DB5974">
        <w:tc>
          <w:tcPr>
            <w:tcW w:w="3402" w:type="dxa"/>
            <w:noWrap/>
          </w:tcPr>
          <w:p w14:paraId="0B638CDA" w14:textId="77777777" w:rsidR="0050196F" w:rsidRPr="002325F6" w:rsidRDefault="0050196F" w:rsidP="00B21BD0">
            <w:pPr>
              <w:pStyle w:val="ARGrantstabletext"/>
              <w:rPr>
                <w:bCs/>
                <w:color w:val="000000"/>
              </w:rPr>
            </w:pPr>
            <w:r w:rsidRPr="002325F6">
              <w:rPr>
                <w:bCs/>
                <w:color w:val="000000"/>
              </w:rPr>
              <w:t>Macedon Ranges Shire Council</w:t>
            </w:r>
          </w:p>
        </w:tc>
        <w:tc>
          <w:tcPr>
            <w:tcW w:w="1187" w:type="dxa"/>
            <w:noWrap/>
          </w:tcPr>
          <w:p w14:paraId="051F374E"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00A88D85" w14:textId="77777777" w:rsidTr="00DB5974">
        <w:tc>
          <w:tcPr>
            <w:tcW w:w="3402" w:type="dxa"/>
            <w:noWrap/>
          </w:tcPr>
          <w:p w14:paraId="299DFCD8" w14:textId="77777777" w:rsidR="0050196F" w:rsidRPr="002325F6" w:rsidRDefault="0050196F" w:rsidP="00B21BD0">
            <w:pPr>
              <w:pStyle w:val="ARGrantstabletext"/>
              <w:rPr>
                <w:bCs/>
                <w:color w:val="000000"/>
              </w:rPr>
            </w:pPr>
            <w:r w:rsidRPr="002325F6">
              <w:rPr>
                <w:bCs/>
                <w:color w:val="000000"/>
              </w:rPr>
              <w:t>Maffra Secondary College</w:t>
            </w:r>
          </w:p>
        </w:tc>
        <w:tc>
          <w:tcPr>
            <w:tcW w:w="1187" w:type="dxa"/>
            <w:noWrap/>
          </w:tcPr>
          <w:p w14:paraId="2CF9A7D6"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8D9B771" w14:textId="77777777" w:rsidTr="00DB5974">
        <w:tc>
          <w:tcPr>
            <w:tcW w:w="3402" w:type="dxa"/>
            <w:noWrap/>
          </w:tcPr>
          <w:p w14:paraId="5D49D373" w14:textId="77777777" w:rsidR="0050196F" w:rsidRPr="002325F6" w:rsidRDefault="0050196F" w:rsidP="00B21BD0">
            <w:pPr>
              <w:pStyle w:val="ARGrantstabletext"/>
              <w:rPr>
                <w:bCs/>
                <w:color w:val="000000"/>
              </w:rPr>
            </w:pPr>
            <w:r w:rsidRPr="002325F6">
              <w:rPr>
                <w:bCs/>
                <w:color w:val="000000"/>
              </w:rPr>
              <w:t>Manangatang P-12 College</w:t>
            </w:r>
          </w:p>
        </w:tc>
        <w:tc>
          <w:tcPr>
            <w:tcW w:w="1187" w:type="dxa"/>
            <w:noWrap/>
          </w:tcPr>
          <w:p w14:paraId="7441BC17"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79D8E947" w14:textId="77777777" w:rsidTr="00DB5974">
        <w:tc>
          <w:tcPr>
            <w:tcW w:w="3402" w:type="dxa"/>
            <w:noWrap/>
          </w:tcPr>
          <w:p w14:paraId="735F31E7" w14:textId="77777777" w:rsidR="0050196F" w:rsidRPr="002325F6" w:rsidRDefault="0050196F" w:rsidP="00B21BD0">
            <w:pPr>
              <w:pStyle w:val="ARGrantstabletext"/>
              <w:rPr>
                <w:bCs/>
                <w:color w:val="000000"/>
              </w:rPr>
            </w:pPr>
            <w:r w:rsidRPr="002325F6">
              <w:rPr>
                <w:bCs/>
                <w:color w:val="000000"/>
              </w:rPr>
              <w:t>Mansfield Shire Council</w:t>
            </w:r>
          </w:p>
        </w:tc>
        <w:tc>
          <w:tcPr>
            <w:tcW w:w="1187" w:type="dxa"/>
            <w:noWrap/>
          </w:tcPr>
          <w:p w14:paraId="260A728A"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5220E5AF" w14:textId="77777777" w:rsidTr="00DB5974">
        <w:tc>
          <w:tcPr>
            <w:tcW w:w="3402" w:type="dxa"/>
            <w:noWrap/>
          </w:tcPr>
          <w:p w14:paraId="117A3E22" w14:textId="77777777" w:rsidR="0050196F" w:rsidRPr="002325F6" w:rsidRDefault="0050196F" w:rsidP="00B21BD0">
            <w:pPr>
              <w:pStyle w:val="ARGrantstabletext"/>
              <w:rPr>
                <w:bCs/>
                <w:color w:val="000000"/>
              </w:rPr>
            </w:pPr>
            <w:r w:rsidRPr="002325F6">
              <w:rPr>
                <w:bCs/>
                <w:color w:val="000000"/>
              </w:rPr>
              <w:t>Maribyrnong &amp; Moonee Valley Local Learning and Employment Network Inc</w:t>
            </w:r>
          </w:p>
        </w:tc>
        <w:tc>
          <w:tcPr>
            <w:tcW w:w="1187" w:type="dxa"/>
            <w:noWrap/>
          </w:tcPr>
          <w:p w14:paraId="19AE6337"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40D49662" w14:textId="77777777" w:rsidTr="00DB5974">
        <w:tc>
          <w:tcPr>
            <w:tcW w:w="3402" w:type="dxa"/>
            <w:noWrap/>
          </w:tcPr>
          <w:p w14:paraId="531846F6" w14:textId="77777777" w:rsidR="0050196F" w:rsidRPr="002325F6" w:rsidRDefault="0050196F" w:rsidP="00B21BD0">
            <w:pPr>
              <w:pStyle w:val="ARGrantstabletext"/>
              <w:rPr>
                <w:bCs/>
                <w:color w:val="000000"/>
              </w:rPr>
            </w:pPr>
            <w:r w:rsidRPr="002325F6">
              <w:rPr>
                <w:bCs/>
                <w:color w:val="000000"/>
              </w:rPr>
              <w:t>Maribyrnong City Council</w:t>
            </w:r>
          </w:p>
        </w:tc>
        <w:tc>
          <w:tcPr>
            <w:tcW w:w="1187" w:type="dxa"/>
            <w:noWrap/>
          </w:tcPr>
          <w:p w14:paraId="656723C8" w14:textId="77777777" w:rsidR="0050196F" w:rsidRPr="002325F6" w:rsidRDefault="0050196F" w:rsidP="00B21BD0">
            <w:pPr>
              <w:pStyle w:val="ARGrantstabletextright"/>
              <w:rPr>
                <w:bCs/>
                <w:color w:val="000000"/>
              </w:rPr>
            </w:pPr>
            <w:r w:rsidRPr="002325F6">
              <w:rPr>
                <w:bCs/>
                <w:color w:val="000000"/>
              </w:rPr>
              <w:t>87,000</w:t>
            </w:r>
          </w:p>
        </w:tc>
      </w:tr>
      <w:tr w:rsidR="0050196F" w:rsidRPr="00B6199F" w14:paraId="24B205F5" w14:textId="77777777" w:rsidTr="00DB5974">
        <w:tc>
          <w:tcPr>
            <w:tcW w:w="3402" w:type="dxa"/>
            <w:noWrap/>
          </w:tcPr>
          <w:p w14:paraId="369A0891" w14:textId="77777777" w:rsidR="0050196F" w:rsidRPr="002325F6" w:rsidRDefault="0050196F" w:rsidP="00B21BD0">
            <w:pPr>
              <w:pStyle w:val="ARGrantstabletext"/>
              <w:rPr>
                <w:bCs/>
                <w:color w:val="000000"/>
              </w:rPr>
            </w:pPr>
            <w:r w:rsidRPr="002325F6">
              <w:rPr>
                <w:bCs/>
                <w:color w:val="000000"/>
              </w:rPr>
              <w:t>Marnebek School Cranbourne</w:t>
            </w:r>
          </w:p>
        </w:tc>
        <w:tc>
          <w:tcPr>
            <w:tcW w:w="1187" w:type="dxa"/>
            <w:noWrap/>
          </w:tcPr>
          <w:p w14:paraId="4E4769C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537C038" w14:textId="77777777" w:rsidTr="00DB5974">
        <w:tc>
          <w:tcPr>
            <w:tcW w:w="3402" w:type="dxa"/>
            <w:noWrap/>
          </w:tcPr>
          <w:p w14:paraId="5C9B5BD9" w14:textId="77777777" w:rsidR="0050196F" w:rsidRPr="002325F6" w:rsidRDefault="0050196F" w:rsidP="00B21BD0">
            <w:pPr>
              <w:pStyle w:val="ARGrantstabletext"/>
              <w:rPr>
                <w:bCs/>
                <w:color w:val="000000"/>
              </w:rPr>
            </w:pPr>
            <w:r w:rsidRPr="002325F6">
              <w:rPr>
                <w:bCs/>
                <w:color w:val="000000"/>
              </w:rPr>
              <w:t>Maroondah City Council</w:t>
            </w:r>
          </w:p>
        </w:tc>
        <w:tc>
          <w:tcPr>
            <w:tcW w:w="1187" w:type="dxa"/>
            <w:noWrap/>
          </w:tcPr>
          <w:p w14:paraId="4F1F777C" w14:textId="77777777" w:rsidR="0050196F" w:rsidRPr="002325F6" w:rsidRDefault="0050196F" w:rsidP="00B21BD0">
            <w:pPr>
              <w:pStyle w:val="ARGrantstabletextright"/>
              <w:rPr>
                <w:bCs/>
                <w:color w:val="000000"/>
              </w:rPr>
            </w:pPr>
            <w:r w:rsidRPr="002325F6">
              <w:rPr>
                <w:bCs/>
                <w:color w:val="000000"/>
              </w:rPr>
              <w:t>85,000</w:t>
            </w:r>
          </w:p>
        </w:tc>
      </w:tr>
      <w:tr w:rsidR="0050196F" w:rsidRPr="00B6199F" w14:paraId="6DEB4175" w14:textId="77777777" w:rsidTr="00DB5974">
        <w:tc>
          <w:tcPr>
            <w:tcW w:w="3402" w:type="dxa"/>
            <w:noWrap/>
          </w:tcPr>
          <w:p w14:paraId="46D5D499" w14:textId="77777777" w:rsidR="0050196F" w:rsidRPr="002325F6" w:rsidRDefault="0050196F" w:rsidP="00B21BD0">
            <w:pPr>
              <w:pStyle w:val="ARGrantstabletext"/>
              <w:rPr>
                <w:bCs/>
                <w:color w:val="000000"/>
              </w:rPr>
            </w:pPr>
            <w:r w:rsidRPr="002325F6">
              <w:rPr>
                <w:bCs/>
                <w:color w:val="000000"/>
              </w:rPr>
              <w:t>Maryborough Education Centre</w:t>
            </w:r>
          </w:p>
        </w:tc>
        <w:tc>
          <w:tcPr>
            <w:tcW w:w="1187" w:type="dxa"/>
            <w:noWrap/>
          </w:tcPr>
          <w:p w14:paraId="1449CA86" w14:textId="77777777" w:rsidR="0050196F" w:rsidRPr="002325F6" w:rsidRDefault="0050196F" w:rsidP="00B21BD0">
            <w:pPr>
              <w:pStyle w:val="ARGrantstabletextright"/>
              <w:rPr>
                <w:bCs/>
                <w:color w:val="000000"/>
              </w:rPr>
            </w:pPr>
            <w:r w:rsidRPr="002325F6">
              <w:rPr>
                <w:bCs/>
                <w:color w:val="000000"/>
              </w:rPr>
              <w:t>7,800</w:t>
            </w:r>
          </w:p>
        </w:tc>
      </w:tr>
      <w:tr w:rsidR="0050196F" w:rsidRPr="00B6199F" w14:paraId="55649D63" w14:textId="77777777" w:rsidTr="00DB5974">
        <w:tc>
          <w:tcPr>
            <w:tcW w:w="3402" w:type="dxa"/>
            <w:noWrap/>
          </w:tcPr>
          <w:p w14:paraId="753B09FB" w14:textId="77777777" w:rsidR="0050196F" w:rsidRPr="002325F6" w:rsidRDefault="0050196F" w:rsidP="00B21BD0">
            <w:pPr>
              <w:pStyle w:val="ARGrantstabletext"/>
              <w:rPr>
                <w:bCs/>
                <w:color w:val="000000"/>
              </w:rPr>
            </w:pPr>
            <w:r w:rsidRPr="002325F6">
              <w:rPr>
                <w:bCs/>
                <w:color w:val="000000"/>
              </w:rPr>
              <w:t>McClelland College</w:t>
            </w:r>
          </w:p>
        </w:tc>
        <w:tc>
          <w:tcPr>
            <w:tcW w:w="1187" w:type="dxa"/>
            <w:noWrap/>
          </w:tcPr>
          <w:p w14:paraId="74FAD25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F3BA7A7" w14:textId="77777777" w:rsidTr="00DB5974">
        <w:tc>
          <w:tcPr>
            <w:tcW w:w="3402" w:type="dxa"/>
            <w:noWrap/>
          </w:tcPr>
          <w:p w14:paraId="0FF6BEF4" w14:textId="77777777" w:rsidR="0050196F" w:rsidRPr="002325F6" w:rsidRDefault="0050196F" w:rsidP="00B21BD0">
            <w:pPr>
              <w:pStyle w:val="ARGrantstabletext"/>
              <w:rPr>
                <w:bCs/>
                <w:color w:val="000000"/>
              </w:rPr>
            </w:pPr>
            <w:r w:rsidRPr="002325F6">
              <w:rPr>
                <w:bCs/>
                <w:color w:val="000000"/>
              </w:rPr>
              <w:t>Melba Secondary College</w:t>
            </w:r>
          </w:p>
        </w:tc>
        <w:tc>
          <w:tcPr>
            <w:tcW w:w="1187" w:type="dxa"/>
            <w:noWrap/>
          </w:tcPr>
          <w:p w14:paraId="08083DE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F41C21E" w14:textId="77777777" w:rsidTr="00DB5974">
        <w:tc>
          <w:tcPr>
            <w:tcW w:w="3402" w:type="dxa"/>
            <w:noWrap/>
          </w:tcPr>
          <w:p w14:paraId="6E9B783F" w14:textId="77777777" w:rsidR="0050196F" w:rsidRPr="002325F6" w:rsidRDefault="0050196F" w:rsidP="00B21BD0">
            <w:pPr>
              <w:pStyle w:val="ARGrantstabletext"/>
              <w:rPr>
                <w:bCs/>
                <w:color w:val="000000"/>
              </w:rPr>
            </w:pPr>
            <w:r w:rsidRPr="002325F6">
              <w:rPr>
                <w:bCs/>
                <w:color w:val="000000"/>
              </w:rPr>
              <w:t>Melbourne Konkan Community Inc</w:t>
            </w:r>
          </w:p>
        </w:tc>
        <w:tc>
          <w:tcPr>
            <w:tcW w:w="1187" w:type="dxa"/>
            <w:noWrap/>
          </w:tcPr>
          <w:p w14:paraId="5D610D22"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6CEB99B" w14:textId="77777777" w:rsidTr="00DB5974">
        <w:tc>
          <w:tcPr>
            <w:tcW w:w="3402" w:type="dxa"/>
            <w:noWrap/>
          </w:tcPr>
          <w:p w14:paraId="48C0E0E6" w14:textId="77777777" w:rsidR="0050196F" w:rsidRPr="002325F6" w:rsidRDefault="0050196F" w:rsidP="00B21BD0">
            <w:pPr>
              <w:pStyle w:val="ARGrantstabletext"/>
              <w:rPr>
                <w:bCs/>
                <w:color w:val="000000"/>
              </w:rPr>
            </w:pPr>
            <w:r w:rsidRPr="002325F6">
              <w:rPr>
                <w:bCs/>
                <w:color w:val="000000"/>
              </w:rPr>
              <w:t>Melton City Council</w:t>
            </w:r>
          </w:p>
        </w:tc>
        <w:tc>
          <w:tcPr>
            <w:tcW w:w="1187" w:type="dxa"/>
            <w:noWrap/>
          </w:tcPr>
          <w:p w14:paraId="2A80B5E4" w14:textId="77777777" w:rsidR="0050196F" w:rsidRPr="002325F6" w:rsidRDefault="0050196F" w:rsidP="00B21BD0">
            <w:pPr>
              <w:pStyle w:val="ARGrantstabletextright"/>
              <w:rPr>
                <w:bCs/>
                <w:color w:val="000000"/>
              </w:rPr>
            </w:pPr>
            <w:r w:rsidRPr="002325F6">
              <w:rPr>
                <w:bCs/>
                <w:color w:val="000000"/>
              </w:rPr>
              <w:t>37,000</w:t>
            </w:r>
          </w:p>
        </w:tc>
      </w:tr>
      <w:tr w:rsidR="0050196F" w:rsidRPr="00B6199F" w14:paraId="7F973F4B" w14:textId="77777777" w:rsidTr="00DB5974">
        <w:tc>
          <w:tcPr>
            <w:tcW w:w="3402" w:type="dxa"/>
            <w:noWrap/>
          </w:tcPr>
          <w:p w14:paraId="63B3379D" w14:textId="77777777" w:rsidR="0050196F" w:rsidRPr="002325F6" w:rsidRDefault="0050196F" w:rsidP="00B21BD0">
            <w:pPr>
              <w:pStyle w:val="ARGrantstabletext"/>
              <w:rPr>
                <w:bCs/>
                <w:color w:val="000000"/>
              </w:rPr>
            </w:pPr>
            <w:r w:rsidRPr="002325F6">
              <w:rPr>
                <w:bCs/>
                <w:color w:val="000000"/>
              </w:rPr>
              <w:t>Melton City Libraries</w:t>
            </w:r>
          </w:p>
        </w:tc>
        <w:tc>
          <w:tcPr>
            <w:tcW w:w="1187" w:type="dxa"/>
            <w:noWrap/>
          </w:tcPr>
          <w:p w14:paraId="6D6966BD"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72B2B6D6" w14:textId="77777777" w:rsidTr="00DB5974">
        <w:tc>
          <w:tcPr>
            <w:tcW w:w="3402" w:type="dxa"/>
            <w:noWrap/>
          </w:tcPr>
          <w:p w14:paraId="686409F8" w14:textId="77777777" w:rsidR="0050196F" w:rsidRPr="002325F6" w:rsidRDefault="0050196F" w:rsidP="00B21BD0">
            <w:pPr>
              <w:pStyle w:val="ARGrantstabletext"/>
              <w:rPr>
                <w:bCs/>
                <w:color w:val="000000"/>
              </w:rPr>
            </w:pPr>
            <w:r w:rsidRPr="002325F6">
              <w:rPr>
                <w:bCs/>
                <w:color w:val="000000"/>
              </w:rPr>
              <w:t>Melton Secondary College</w:t>
            </w:r>
          </w:p>
        </w:tc>
        <w:tc>
          <w:tcPr>
            <w:tcW w:w="1187" w:type="dxa"/>
            <w:noWrap/>
          </w:tcPr>
          <w:p w14:paraId="60DF545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9D9C2C6" w14:textId="77777777" w:rsidTr="00DB5974">
        <w:tc>
          <w:tcPr>
            <w:tcW w:w="3402" w:type="dxa"/>
            <w:noWrap/>
          </w:tcPr>
          <w:p w14:paraId="4D1D22E8" w14:textId="77777777" w:rsidR="0050196F" w:rsidRPr="002325F6" w:rsidRDefault="0050196F" w:rsidP="00B21BD0">
            <w:pPr>
              <w:pStyle w:val="ARGrantstabletext"/>
              <w:rPr>
                <w:bCs/>
                <w:color w:val="000000"/>
              </w:rPr>
            </w:pPr>
            <w:r w:rsidRPr="002325F6">
              <w:rPr>
                <w:bCs/>
                <w:color w:val="000000"/>
              </w:rPr>
              <w:t>Melton Specialist School (Tarneit Secondary)</w:t>
            </w:r>
          </w:p>
        </w:tc>
        <w:tc>
          <w:tcPr>
            <w:tcW w:w="1187" w:type="dxa"/>
            <w:noWrap/>
          </w:tcPr>
          <w:p w14:paraId="71D0FF2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A354D91" w14:textId="77777777" w:rsidTr="00DB5974">
        <w:tc>
          <w:tcPr>
            <w:tcW w:w="3402" w:type="dxa"/>
            <w:noWrap/>
          </w:tcPr>
          <w:p w14:paraId="321221F0" w14:textId="77777777" w:rsidR="0050196F" w:rsidRPr="002325F6" w:rsidRDefault="0050196F" w:rsidP="00B21BD0">
            <w:pPr>
              <w:pStyle w:val="ARGrantstabletext"/>
              <w:rPr>
                <w:bCs/>
                <w:color w:val="000000"/>
              </w:rPr>
            </w:pPr>
            <w:r w:rsidRPr="002325F6">
              <w:rPr>
                <w:bCs/>
                <w:color w:val="000000"/>
              </w:rPr>
              <w:t>Merri River School</w:t>
            </w:r>
          </w:p>
        </w:tc>
        <w:tc>
          <w:tcPr>
            <w:tcW w:w="1187" w:type="dxa"/>
            <w:noWrap/>
          </w:tcPr>
          <w:p w14:paraId="7CACBF56"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61542DF" w14:textId="77777777" w:rsidTr="00DB5974">
        <w:tc>
          <w:tcPr>
            <w:tcW w:w="3402" w:type="dxa"/>
            <w:noWrap/>
          </w:tcPr>
          <w:p w14:paraId="39ED68F3" w14:textId="77777777" w:rsidR="0050196F" w:rsidRPr="002325F6" w:rsidRDefault="0050196F" w:rsidP="00B21BD0">
            <w:pPr>
              <w:pStyle w:val="ARGrantstabletext"/>
              <w:rPr>
                <w:bCs/>
                <w:color w:val="000000"/>
              </w:rPr>
            </w:pPr>
            <w:r w:rsidRPr="002325F6">
              <w:rPr>
                <w:bCs/>
                <w:color w:val="000000"/>
              </w:rPr>
              <w:t>Merriang Special Developmental School (Middle and Later Years Campus)</w:t>
            </w:r>
          </w:p>
        </w:tc>
        <w:tc>
          <w:tcPr>
            <w:tcW w:w="1187" w:type="dxa"/>
            <w:noWrap/>
          </w:tcPr>
          <w:p w14:paraId="63E011B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2FD5DDE" w14:textId="77777777" w:rsidTr="00DB5974">
        <w:tc>
          <w:tcPr>
            <w:tcW w:w="3402" w:type="dxa"/>
            <w:noWrap/>
          </w:tcPr>
          <w:p w14:paraId="18B33C3B" w14:textId="3248B696" w:rsidR="0050196F" w:rsidRPr="002325F6" w:rsidRDefault="0050196F" w:rsidP="00B21BD0">
            <w:pPr>
              <w:pStyle w:val="ARGrantstabletext"/>
              <w:rPr>
                <w:bCs/>
                <w:color w:val="000000"/>
              </w:rPr>
            </w:pPr>
            <w:r w:rsidRPr="002325F6">
              <w:rPr>
                <w:bCs/>
                <w:color w:val="000000"/>
              </w:rPr>
              <w:t>Migrant Information Centre (Eastern</w:t>
            </w:r>
            <w:r w:rsidR="00083017">
              <w:rPr>
                <w:bCs/>
                <w:color w:val="000000"/>
              </w:rPr>
              <w:t> </w:t>
            </w:r>
            <w:r w:rsidRPr="002325F6">
              <w:rPr>
                <w:bCs/>
                <w:color w:val="000000"/>
              </w:rPr>
              <w:t>Melbourne)</w:t>
            </w:r>
          </w:p>
        </w:tc>
        <w:tc>
          <w:tcPr>
            <w:tcW w:w="1187" w:type="dxa"/>
            <w:noWrap/>
          </w:tcPr>
          <w:p w14:paraId="2F1A6765"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9A6171A" w14:textId="77777777" w:rsidTr="00DB5974">
        <w:tc>
          <w:tcPr>
            <w:tcW w:w="3402" w:type="dxa"/>
            <w:noWrap/>
          </w:tcPr>
          <w:p w14:paraId="6D06CEC2" w14:textId="77777777" w:rsidR="0050196F" w:rsidRPr="002325F6" w:rsidRDefault="0050196F" w:rsidP="00B21BD0">
            <w:pPr>
              <w:pStyle w:val="ARGrantstabletext"/>
              <w:rPr>
                <w:bCs/>
                <w:color w:val="000000"/>
              </w:rPr>
            </w:pPr>
            <w:r w:rsidRPr="002325F6">
              <w:rPr>
                <w:bCs/>
                <w:color w:val="000000"/>
              </w:rPr>
              <w:t>Mildura Rural City Council</w:t>
            </w:r>
          </w:p>
        </w:tc>
        <w:tc>
          <w:tcPr>
            <w:tcW w:w="1187" w:type="dxa"/>
            <w:noWrap/>
          </w:tcPr>
          <w:p w14:paraId="3936E2C3" w14:textId="77777777" w:rsidR="0050196F" w:rsidRPr="002325F6" w:rsidRDefault="0050196F" w:rsidP="00B21BD0">
            <w:pPr>
              <w:pStyle w:val="ARGrantstabletextright"/>
              <w:rPr>
                <w:bCs/>
                <w:color w:val="000000"/>
              </w:rPr>
            </w:pPr>
            <w:r w:rsidRPr="002325F6">
              <w:rPr>
                <w:bCs/>
                <w:color w:val="000000"/>
              </w:rPr>
              <w:t>82,500</w:t>
            </w:r>
          </w:p>
        </w:tc>
      </w:tr>
      <w:tr w:rsidR="0050196F" w:rsidRPr="00B6199F" w14:paraId="1EE3D09B" w14:textId="77777777" w:rsidTr="00DB5974">
        <w:tc>
          <w:tcPr>
            <w:tcW w:w="3402" w:type="dxa"/>
            <w:noWrap/>
          </w:tcPr>
          <w:p w14:paraId="43D10621" w14:textId="77777777" w:rsidR="0050196F" w:rsidRPr="002325F6" w:rsidRDefault="0050196F" w:rsidP="00B21BD0">
            <w:pPr>
              <w:pStyle w:val="ARGrantstabletext"/>
              <w:rPr>
                <w:bCs/>
                <w:color w:val="000000"/>
              </w:rPr>
            </w:pPr>
            <w:r w:rsidRPr="002325F6">
              <w:rPr>
                <w:bCs/>
                <w:color w:val="000000"/>
              </w:rPr>
              <w:t>Mildura Senior College</w:t>
            </w:r>
          </w:p>
        </w:tc>
        <w:tc>
          <w:tcPr>
            <w:tcW w:w="1187" w:type="dxa"/>
            <w:noWrap/>
          </w:tcPr>
          <w:p w14:paraId="44E4F6F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86898C2" w14:textId="77777777" w:rsidTr="00DB5974">
        <w:tc>
          <w:tcPr>
            <w:tcW w:w="3402" w:type="dxa"/>
            <w:noWrap/>
          </w:tcPr>
          <w:p w14:paraId="24C6807C" w14:textId="5CEA716A" w:rsidR="0050196F" w:rsidRPr="002325F6" w:rsidRDefault="0050196F" w:rsidP="00B21BD0">
            <w:pPr>
              <w:pStyle w:val="ARGrantstabletext"/>
              <w:rPr>
                <w:bCs/>
                <w:color w:val="000000"/>
              </w:rPr>
            </w:pPr>
            <w:r w:rsidRPr="002325F6">
              <w:rPr>
                <w:bCs/>
                <w:color w:val="000000"/>
              </w:rPr>
              <w:t xml:space="preserve">Minus18 Foundation </w:t>
            </w:r>
            <w:r w:rsidR="003B5B30">
              <w:rPr>
                <w:bCs/>
                <w:color w:val="000000"/>
              </w:rPr>
              <w:t>Inc</w:t>
            </w:r>
          </w:p>
        </w:tc>
        <w:tc>
          <w:tcPr>
            <w:tcW w:w="1187" w:type="dxa"/>
            <w:noWrap/>
          </w:tcPr>
          <w:p w14:paraId="6E3BD508" w14:textId="77777777" w:rsidR="0050196F" w:rsidRPr="002325F6" w:rsidRDefault="0050196F" w:rsidP="00B21BD0">
            <w:pPr>
              <w:pStyle w:val="ARGrantstabletextright"/>
              <w:rPr>
                <w:bCs/>
                <w:color w:val="000000"/>
              </w:rPr>
            </w:pPr>
            <w:r w:rsidRPr="002325F6">
              <w:rPr>
                <w:bCs/>
                <w:color w:val="000000"/>
              </w:rPr>
              <w:t>85,000</w:t>
            </w:r>
          </w:p>
        </w:tc>
      </w:tr>
      <w:tr w:rsidR="0050196F" w:rsidRPr="00B6199F" w14:paraId="51C3D69C" w14:textId="77777777" w:rsidTr="00DB5974">
        <w:tc>
          <w:tcPr>
            <w:tcW w:w="3402" w:type="dxa"/>
            <w:noWrap/>
          </w:tcPr>
          <w:p w14:paraId="2FB8FFE7" w14:textId="77777777" w:rsidR="0050196F" w:rsidRPr="002325F6" w:rsidRDefault="0050196F" w:rsidP="00B21BD0">
            <w:pPr>
              <w:pStyle w:val="ARGrantstabletext"/>
              <w:rPr>
                <w:bCs/>
                <w:color w:val="000000"/>
              </w:rPr>
            </w:pPr>
            <w:r w:rsidRPr="002325F6">
              <w:rPr>
                <w:bCs/>
                <w:color w:val="000000"/>
              </w:rPr>
              <w:t>Mitchell Shire Council</w:t>
            </w:r>
          </w:p>
        </w:tc>
        <w:tc>
          <w:tcPr>
            <w:tcW w:w="1187" w:type="dxa"/>
            <w:noWrap/>
          </w:tcPr>
          <w:p w14:paraId="673E07F3"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50590B76" w14:textId="77777777" w:rsidTr="00DB5974">
        <w:tc>
          <w:tcPr>
            <w:tcW w:w="3402" w:type="dxa"/>
            <w:noWrap/>
          </w:tcPr>
          <w:p w14:paraId="610CF6A3" w14:textId="77777777" w:rsidR="0050196F" w:rsidRPr="002325F6" w:rsidRDefault="0050196F" w:rsidP="00B21BD0">
            <w:pPr>
              <w:pStyle w:val="ARGrantstabletext"/>
              <w:rPr>
                <w:bCs/>
                <w:color w:val="000000"/>
              </w:rPr>
            </w:pPr>
            <w:r w:rsidRPr="002325F6">
              <w:rPr>
                <w:bCs/>
                <w:color w:val="000000"/>
              </w:rPr>
              <w:t>Moira Shire Council</w:t>
            </w:r>
          </w:p>
        </w:tc>
        <w:tc>
          <w:tcPr>
            <w:tcW w:w="1187" w:type="dxa"/>
            <w:noWrap/>
          </w:tcPr>
          <w:p w14:paraId="495EAE7F"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56EBB19F" w14:textId="77777777" w:rsidTr="00DB5974">
        <w:tc>
          <w:tcPr>
            <w:tcW w:w="3402" w:type="dxa"/>
            <w:noWrap/>
          </w:tcPr>
          <w:p w14:paraId="03199918" w14:textId="77777777" w:rsidR="0050196F" w:rsidRPr="002325F6" w:rsidRDefault="0050196F" w:rsidP="00B21BD0">
            <w:pPr>
              <w:pStyle w:val="ARGrantstabletext"/>
              <w:rPr>
                <w:bCs/>
                <w:color w:val="000000"/>
              </w:rPr>
            </w:pPr>
            <w:r w:rsidRPr="002325F6">
              <w:rPr>
                <w:bCs/>
                <w:color w:val="000000"/>
              </w:rPr>
              <w:t>Monbulk College</w:t>
            </w:r>
          </w:p>
        </w:tc>
        <w:tc>
          <w:tcPr>
            <w:tcW w:w="1187" w:type="dxa"/>
            <w:noWrap/>
          </w:tcPr>
          <w:p w14:paraId="0812DE6D" w14:textId="77777777" w:rsidR="0050196F" w:rsidRPr="002325F6" w:rsidRDefault="0050196F" w:rsidP="00B21BD0">
            <w:pPr>
              <w:pStyle w:val="ARGrantstabletextright"/>
              <w:rPr>
                <w:bCs/>
                <w:color w:val="000000"/>
              </w:rPr>
            </w:pPr>
            <w:r w:rsidRPr="002325F6">
              <w:rPr>
                <w:bCs/>
                <w:color w:val="000000"/>
              </w:rPr>
              <w:t>1,998</w:t>
            </w:r>
          </w:p>
        </w:tc>
      </w:tr>
      <w:tr w:rsidR="0050196F" w:rsidRPr="00B6199F" w14:paraId="7B01411C" w14:textId="77777777" w:rsidTr="00DB5974">
        <w:tc>
          <w:tcPr>
            <w:tcW w:w="3402" w:type="dxa"/>
            <w:noWrap/>
          </w:tcPr>
          <w:p w14:paraId="2B0A102C" w14:textId="77777777" w:rsidR="0050196F" w:rsidRPr="002325F6" w:rsidRDefault="0050196F" w:rsidP="00B21BD0">
            <w:pPr>
              <w:pStyle w:val="ARGrantstabletext"/>
              <w:rPr>
                <w:bCs/>
                <w:color w:val="000000"/>
              </w:rPr>
            </w:pPr>
            <w:r w:rsidRPr="002325F6">
              <w:rPr>
                <w:bCs/>
                <w:color w:val="000000"/>
              </w:rPr>
              <w:t>Monterey Secondary College</w:t>
            </w:r>
          </w:p>
        </w:tc>
        <w:tc>
          <w:tcPr>
            <w:tcW w:w="1187" w:type="dxa"/>
            <w:noWrap/>
          </w:tcPr>
          <w:p w14:paraId="3C1B365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FD03995" w14:textId="77777777" w:rsidTr="00DB5974">
        <w:tc>
          <w:tcPr>
            <w:tcW w:w="3402" w:type="dxa"/>
            <w:noWrap/>
          </w:tcPr>
          <w:p w14:paraId="7A2BB944" w14:textId="77777777" w:rsidR="0050196F" w:rsidRPr="002325F6" w:rsidRDefault="0050196F" w:rsidP="00B21BD0">
            <w:pPr>
              <w:pStyle w:val="ARGrantstabletext"/>
              <w:rPr>
                <w:bCs/>
                <w:color w:val="000000"/>
              </w:rPr>
            </w:pPr>
            <w:r w:rsidRPr="002325F6">
              <w:rPr>
                <w:bCs/>
                <w:color w:val="000000"/>
              </w:rPr>
              <w:t>Moonee Valley City Council</w:t>
            </w:r>
          </w:p>
        </w:tc>
        <w:tc>
          <w:tcPr>
            <w:tcW w:w="1187" w:type="dxa"/>
            <w:noWrap/>
          </w:tcPr>
          <w:p w14:paraId="7A6F6DB2" w14:textId="77777777" w:rsidR="0050196F" w:rsidRPr="002325F6" w:rsidRDefault="0050196F" w:rsidP="00B21BD0">
            <w:pPr>
              <w:pStyle w:val="ARGrantstabletextright"/>
              <w:rPr>
                <w:bCs/>
                <w:color w:val="000000"/>
              </w:rPr>
            </w:pPr>
            <w:r w:rsidRPr="002325F6">
              <w:rPr>
                <w:bCs/>
                <w:color w:val="000000"/>
              </w:rPr>
              <w:t>87,000</w:t>
            </w:r>
          </w:p>
        </w:tc>
      </w:tr>
      <w:tr w:rsidR="0050196F" w:rsidRPr="00B6199F" w14:paraId="7B311192" w14:textId="77777777" w:rsidTr="00DB5974">
        <w:tc>
          <w:tcPr>
            <w:tcW w:w="3402" w:type="dxa"/>
            <w:noWrap/>
          </w:tcPr>
          <w:p w14:paraId="123DBC9C" w14:textId="77777777" w:rsidR="0050196F" w:rsidRPr="002325F6" w:rsidRDefault="0050196F" w:rsidP="00B21BD0">
            <w:pPr>
              <w:pStyle w:val="ARGrantstabletext"/>
              <w:rPr>
                <w:bCs/>
                <w:color w:val="000000"/>
              </w:rPr>
            </w:pPr>
            <w:r w:rsidRPr="002325F6">
              <w:rPr>
                <w:bCs/>
                <w:color w:val="000000"/>
              </w:rPr>
              <w:t>Moorabool Shire Council</w:t>
            </w:r>
          </w:p>
        </w:tc>
        <w:tc>
          <w:tcPr>
            <w:tcW w:w="1187" w:type="dxa"/>
            <w:noWrap/>
          </w:tcPr>
          <w:p w14:paraId="657957FA"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235F6481" w14:textId="77777777" w:rsidTr="00DB5974">
        <w:tc>
          <w:tcPr>
            <w:tcW w:w="3402" w:type="dxa"/>
            <w:noWrap/>
          </w:tcPr>
          <w:p w14:paraId="247C02A1" w14:textId="77777777" w:rsidR="0050196F" w:rsidRPr="002325F6" w:rsidRDefault="0050196F" w:rsidP="00B21BD0">
            <w:pPr>
              <w:pStyle w:val="ARGrantstabletext"/>
              <w:rPr>
                <w:bCs/>
                <w:color w:val="000000"/>
              </w:rPr>
            </w:pPr>
            <w:r w:rsidRPr="002325F6">
              <w:rPr>
                <w:bCs/>
                <w:color w:val="000000"/>
              </w:rPr>
              <w:t>Moorabool Shire Council, Darley</w:t>
            </w:r>
          </w:p>
        </w:tc>
        <w:tc>
          <w:tcPr>
            <w:tcW w:w="1187" w:type="dxa"/>
            <w:noWrap/>
          </w:tcPr>
          <w:p w14:paraId="447DA63E" w14:textId="77777777" w:rsidR="0050196F" w:rsidRPr="002325F6" w:rsidRDefault="0050196F" w:rsidP="00B21BD0">
            <w:pPr>
              <w:pStyle w:val="ARGrantstabletextright"/>
              <w:rPr>
                <w:bCs/>
                <w:color w:val="000000"/>
              </w:rPr>
            </w:pPr>
            <w:r w:rsidRPr="002325F6">
              <w:rPr>
                <w:bCs/>
                <w:color w:val="000000"/>
              </w:rPr>
              <w:t>120,686</w:t>
            </w:r>
          </w:p>
        </w:tc>
      </w:tr>
      <w:tr w:rsidR="0050196F" w:rsidRPr="00B6199F" w14:paraId="54E429E7" w14:textId="77777777" w:rsidTr="00DB5974">
        <w:tc>
          <w:tcPr>
            <w:tcW w:w="3402" w:type="dxa"/>
            <w:noWrap/>
          </w:tcPr>
          <w:p w14:paraId="1D9F6362" w14:textId="77777777" w:rsidR="0050196F" w:rsidRPr="002325F6" w:rsidRDefault="0050196F" w:rsidP="00B21BD0">
            <w:pPr>
              <w:pStyle w:val="ARGrantstabletext"/>
              <w:rPr>
                <w:bCs/>
                <w:color w:val="000000"/>
              </w:rPr>
            </w:pPr>
            <w:r w:rsidRPr="002325F6">
              <w:rPr>
                <w:bCs/>
                <w:color w:val="000000"/>
              </w:rPr>
              <w:t>Moreland City Council</w:t>
            </w:r>
          </w:p>
        </w:tc>
        <w:tc>
          <w:tcPr>
            <w:tcW w:w="1187" w:type="dxa"/>
            <w:noWrap/>
          </w:tcPr>
          <w:p w14:paraId="06B47B20"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4162E6C1" w14:textId="77777777" w:rsidTr="00DB5974">
        <w:tc>
          <w:tcPr>
            <w:tcW w:w="3402" w:type="dxa"/>
            <w:noWrap/>
          </w:tcPr>
          <w:p w14:paraId="5028745C" w14:textId="77777777" w:rsidR="0050196F" w:rsidRPr="002325F6" w:rsidRDefault="0050196F" w:rsidP="00B21BD0">
            <w:pPr>
              <w:pStyle w:val="ARGrantstabletext"/>
              <w:rPr>
                <w:bCs/>
                <w:color w:val="000000"/>
              </w:rPr>
            </w:pPr>
            <w:r w:rsidRPr="002325F6">
              <w:rPr>
                <w:bCs/>
                <w:color w:val="000000"/>
              </w:rPr>
              <w:t>Mornington Peninsula Shire Council</w:t>
            </w:r>
          </w:p>
        </w:tc>
        <w:tc>
          <w:tcPr>
            <w:tcW w:w="1187" w:type="dxa"/>
            <w:noWrap/>
          </w:tcPr>
          <w:p w14:paraId="3B04C769" w14:textId="77777777" w:rsidR="0050196F" w:rsidRPr="002325F6" w:rsidRDefault="0050196F" w:rsidP="00B21BD0">
            <w:pPr>
              <w:pStyle w:val="ARGrantstabletextright"/>
              <w:rPr>
                <w:bCs/>
                <w:color w:val="000000"/>
              </w:rPr>
            </w:pPr>
            <w:r w:rsidRPr="002325F6">
              <w:rPr>
                <w:bCs/>
                <w:color w:val="000000"/>
              </w:rPr>
              <w:t>28,900</w:t>
            </w:r>
          </w:p>
        </w:tc>
      </w:tr>
      <w:tr w:rsidR="0050196F" w:rsidRPr="00B6199F" w14:paraId="1A88A023" w14:textId="77777777" w:rsidTr="00DB5974">
        <w:tc>
          <w:tcPr>
            <w:tcW w:w="3402" w:type="dxa"/>
            <w:noWrap/>
          </w:tcPr>
          <w:p w14:paraId="0A3B4B44" w14:textId="77777777" w:rsidR="0050196F" w:rsidRPr="002325F6" w:rsidRDefault="0050196F" w:rsidP="00B21BD0">
            <w:pPr>
              <w:pStyle w:val="ARGrantstabletext"/>
              <w:rPr>
                <w:bCs/>
                <w:color w:val="000000"/>
              </w:rPr>
            </w:pPr>
            <w:r w:rsidRPr="002325F6">
              <w:rPr>
                <w:bCs/>
                <w:color w:val="000000"/>
              </w:rPr>
              <w:t>Mount Alexander Shire Council</w:t>
            </w:r>
          </w:p>
        </w:tc>
        <w:tc>
          <w:tcPr>
            <w:tcW w:w="1187" w:type="dxa"/>
            <w:noWrap/>
          </w:tcPr>
          <w:p w14:paraId="1FC31851" w14:textId="77777777" w:rsidR="0050196F" w:rsidRPr="002325F6" w:rsidRDefault="0050196F" w:rsidP="00B21BD0">
            <w:pPr>
              <w:pStyle w:val="ARGrantstabletextright"/>
              <w:rPr>
                <w:bCs/>
                <w:color w:val="000000"/>
              </w:rPr>
            </w:pPr>
            <w:r w:rsidRPr="002325F6">
              <w:rPr>
                <w:bCs/>
                <w:color w:val="000000"/>
              </w:rPr>
              <w:t>97,500</w:t>
            </w:r>
          </w:p>
        </w:tc>
      </w:tr>
      <w:tr w:rsidR="0050196F" w:rsidRPr="00B6199F" w14:paraId="1D718CC0" w14:textId="77777777" w:rsidTr="00DB5974">
        <w:tc>
          <w:tcPr>
            <w:tcW w:w="3402" w:type="dxa"/>
            <w:noWrap/>
          </w:tcPr>
          <w:p w14:paraId="067427D9" w14:textId="77777777" w:rsidR="0050196F" w:rsidRPr="002325F6" w:rsidRDefault="0050196F" w:rsidP="00B21BD0">
            <w:pPr>
              <w:pStyle w:val="ARGrantstabletext"/>
              <w:rPr>
                <w:bCs/>
                <w:color w:val="000000"/>
              </w:rPr>
            </w:pPr>
            <w:r w:rsidRPr="002325F6">
              <w:rPr>
                <w:bCs/>
                <w:color w:val="000000"/>
              </w:rPr>
              <w:t>Mount Ridley P-12 College</w:t>
            </w:r>
          </w:p>
        </w:tc>
        <w:tc>
          <w:tcPr>
            <w:tcW w:w="1187" w:type="dxa"/>
            <w:noWrap/>
          </w:tcPr>
          <w:p w14:paraId="31296E1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DEC5055" w14:textId="77777777" w:rsidTr="00DB5974">
        <w:tc>
          <w:tcPr>
            <w:tcW w:w="3402" w:type="dxa"/>
            <w:noWrap/>
          </w:tcPr>
          <w:p w14:paraId="28316929" w14:textId="77777777" w:rsidR="0050196F" w:rsidRPr="002325F6" w:rsidRDefault="0050196F" w:rsidP="00B21BD0">
            <w:pPr>
              <w:pStyle w:val="ARGrantstabletext"/>
              <w:rPr>
                <w:bCs/>
                <w:color w:val="000000"/>
              </w:rPr>
            </w:pPr>
            <w:r w:rsidRPr="002325F6">
              <w:rPr>
                <w:bCs/>
                <w:color w:val="000000"/>
              </w:rPr>
              <w:t>Mount Rowan Secondary College</w:t>
            </w:r>
          </w:p>
        </w:tc>
        <w:tc>
          <w:tcPr>
            <w:tcW w:w="1187" w:type="dxa"/>
            <w:noWrap/>
          </w:tcPr>
          <w:p w14:paraId="0A9C015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F4BF8D1" w14:textId="77777777" w:rsidTr="00DB5974">
        <w:tc>
          <w:tcPr>
            <w:tcW w:w="3402" w:type="dxa"/>
            <w:noWrap/>
          </w:tcPr>
          <w:p w14:paraId="0DD28BAC" w14:textId="77777777" w:rsidR="0050196F" w:rsidRPr="002325F6" w:rsidRDefault="0050196F" w:rsidP="00B21BD0">
            <w:pPr>
              <w:pStyle w:val="ARGrantstabletext"/>
              <w:rPr>
                <w:bCs/>
                <w:color w:val="000000"/>
              </w:rPr>
            </w:pPr>
            <w:r w:rsidRPr="002325F6">
              <w:rPr>
                <w:bCs/>
                <w:color w:val="000000"/>
              </w:rPr>
              <w:t>Moyne Shire Council</w:t>
            </w:r>
          </w:p>
        </w:tc>
        <w:tc>
          <w:tcPr>
            <w:tcW w:w="1187" w:type="dxa"/>
            <w:noWrap/>
          </w:tcPr>
          <w:p w14:paraId="61450133"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4CAB141F" w14:textId="77777777" w:rsidTr="00DB5974">
        <w:tc>
          <w:tcPr>
            <w:tcW w:w="3402" w:type="dxa"/>
            <w:noWrap/>
          </w:tcPr>
          <w:p w14:paraId="10952400" w14:textId="77777777" w:rsidR="0050196F" w:rsidRPr="002325F6" w:rsidRDefault="0050196F" w:rsidP="00B21BD0">
            <w:pPr>
              <w:pStyle w:val="ARGrantstabletext"/>
              <w:rPr>
                <w:bCs/>
                <w:color w:val="000000"/>
              </w:rPr>
            </w:pPr>
            <w:r w:rsidRPr="002325F6">
              <w:rPr>
                <w:bCs/>
                <w:color w:val="000000"/>
              </w:rPr>
              <w:t>Mullum Mullum Indigenous Gathering Place Ltd</w:t>
            </w:r>
          </w:p>
        </w:tc>
        <w:tc>
          <w:tcPr>
            <w:tcW w:w="1187" w:type="dxa"/>
            <w:noWrap/>
          </w:tcPr>
          <w:p w14:paraId="4492BEB6" w14:textId="77777777" w:rsidR="0050196F" w:rsidRPr="002325F6" w:rsidRDefault="0050196F" w:rsidP="00B21BD0">
            <w:pPr>
              <w:pStyle w:val="ARGrantstabletextright"/>
              <w:rPr>
                <w:bCs/>
                <w:color w:val="000000"/>
              </w:rPr>
            </w:pPr>
            <w:r w:rsidRPr="002325F6">
              <w:rPr>
                <w:bCs/>
                <w:color w:val="000000"/>
              </w:rPr>
              <w:t>53,400</w:t>
            </w:r>
          </w:p>
        </w:tc>
      </w:tr>
      <w:tr w:rsidR="0050196F" w:rsidRPr="00B6199F" w14:paraId="3F28D121" w14:textId="77777777" w:rsidTr="00DB5974">
        <w:tc>
          <w:tcPr>
            <w:tcW w:w="3402" w:type="dxa"/>
            <w:noWrap/>
          </w:tcPr>
          <w:p w14:paraId="5A2FD874" w14:textId="77777777" w:rsidR="0050196F" w:rsidRPr="002325F6" w:rsidRDefault="0050196F" w:rsidP="00B21BD0">
            <w:pPr>
              <w:pStyle w:val="ARGrantstabletext"/>
              <w:rPr>
                <w:bCs/>
                <w:color w:val="000000"/>
              </w:rPr>
            </w:pPr>
            <w:r w:rsidRPr="002325F6">
              <w:rPr>
                <w:bCs/>
                <w:color w:val="000000"/>
              </w:rPr>
              <w:t>Murrindindi Shire Council</w:t>
            </w:r>
          </w:p>
        </w:tc>
        <w:tc>
          <w:tcPr>
            <w:tcW w:w="1187" w:type="dxa"/>
            <w:noWrap/>
          </w:tcPr>
          <w:p w14:paraId="788FC942" w14:textId="77777777" w:rsidR="0050196F" w:rsidRPr="002325F6" w:rsidRDefault="0050196F" w:rsidP="00B21BD0">
            <w:pPr>
              <w:pStyle w:val="ARGrantstabletextright"/>
              <w:rPr>
                <w:bCs/>
                <w:color w:val="000000"/>
              </w:rPr>
            </w:pPr>
            <w:r w:rsidRPr="002325F6">
              <w:rPr>
                <w:bCs/>
                <w:color w:val="000000"/>
              </w:rPr>
              <w:t>95,500</w:t>
            </w:r>
          </w:p>
        </w:tc>
      </w:tr>
      <w:tr w:rsidR="0050196F" w:rsidRPr="00B6199F" w14:paraId="1AEBFC32" w14:textId="77777777" w:rsidTr="00DB5974">
        <w:tc>
          <w:tcPr>
            <w:tcW w:w="3402" w:type="dxa"/>
            <w:noWrap/>
          </w:tcPr>
          <w:p w14:paraId="1BEBA50C" w14:textId="77777777" w:rsidR="0050196F" w:rsidRPr="002325F6" w:rsidRDefault="0050196F" w:rsidP="00B21BD0">
            <w:pPr>
              <w:pStyle w:val="ARGrantstabletext"/>
              <w:rPr>
                <w:bCs/>
                <w:color w:val="000000"/>
              </w:rPr>
            </w:pPr>
            <w:r w:rsidRPr="002325F6">
              <w:rPr>
                <w:bCs/>
                <w:color w:val="000000"/>
              </w:rPr>
              <w:t>Murtoa College</w:t>
            </w:r>
          </w:p>
        </w:tc>
        <w:tc>
          <w:tcPr>
            <w:tcW w:w="1187" w:type="dxa"/>
            <w:noWrap/>
          </w:tcPr>
          <w:p w14:paraId="3A2790D5"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CF4C1F9" w14:textId="77777777" w:rsidTr="00DB5974">
        <w:tc>
          <w:tcPr>
            <w:tcW w:w="3402" w:type="dxa"/>
            <w:noWrap/>
          </w:tcPr>
          <w:p w14:paraId="6A36C235" w14:textId="13894399" w:rsidR="0050196F" w:rsidRPr="002325F6" w:rsidRDefault="0050196F" w:rsidP="00B21BD0">
            <w:pPr>
              <w:pStyle w:val="ARGrantstabletext"/>
              <w:rPr>
                <w:bCs/>
                <w:color w:val="000000"/>
              </w:rPr>
            </w:pPr>
            <w:r w:rsidRPr="002325F6">
              <w:rPr>
                <w:bCs/>
                <w:color w:val="000000"/>
              </w:rPr>
              <w:t xml:space="preserve">MYLI </w:t>
            </w:r>
            <w:r w:rsidR="00604894">
              <w:rPr>
                <w:bCs/>
                <w:color w:val="000000"/>
              </w:rPr>
              <w:t>–</w:t>
            </w:r>
            <w:r w:rsidRPr="002325F6">
              <w:rPr>
                <w:bCs/>
                <w:color w:val="000000"/>
              </w:rPr>
              <w:t xml:space="preserve"> My Community Library</w:t>
            </w:r>
          </w:p>
        </w:tc>
        <w:tc>
          <w:tcPr>
            <w:tcW w:w="1187" w:type="dxa"/>
            <w:noWrap/>
          </w:tcPr>
          <w:p w14:paraId="51C5665C"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F23E721" w14:textId="77777777" w:rsidTr="00DB5974">
        <w:tc>
          <w:tcPr>
            <w:tcW w:w="3402" w:type="dxa"/>
            <w:noWrap/>
          </w:tcPr>
          <w:p w14:paraId="74C22C2B" w14:textId="77777777" w:rsidR="0050196F" w:rsidRPr="002325F6" w:rsidRDefault="0050196F" w:rsidP="00B21BD0">
            <w:pPr>
              <w:pStyle w:val="ARGrantstabletext"/>
              <w:rPr>
                <w:bCs/>
                <w:color w:val="000000"/>
              </w:rPr>
            </w:pPr>
            <w:r w:rsidRPr="002325F6">
              <w:rPr>
                <w:bCs/>
                <w:color w:val="000000"/>
              </w:rPr>
              <w:t>Naranga School</w:t>
            </w:r>
          </w:p>
        </w:tc>
        <w:tc>
          <w:tcPr>
            <w:tcW w:w="1187" w:type="dxa"/>
            <w:noWrap/>
          </w:tcPr>
          <w:p w14:paraId="58256F1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2A12A3D" w14:textId="77777777" w:rsidTr="00DB5974">
        <w:tc>
          <w:tcPr>
            <w:tcW w:w="3402" w:type="dxa"/>
            <w:noWrap/>
          </w:tcPr>
          <w:p w14:paraId="0F6696B0" w14:textId="77777777" w:rsidR="0050196F" w:rsidRPr="002325F6" w:rsidRDefault="0050196F" w:rsidP="00B21BD0">
            <w:pPr>
              <w:pStyle w:val="ARGrantstabletext"/>
              <w:rPr>
                <w:bCs/>
                <w:color w:val="000000"/>
              </w:rPr>
            </w:pPr>
            <w:r w:rsidRPr="002325F6">
              <w:rPr>
                <w:bCs/>
                <w:color w:val="000000"/>
              </w:rPr>
              <w:t>Narre Warren South P-12 College</w:t>
            </w:r>
          </w:p>
        </w:tc>
        <w:tc>
          <w:tcPr>
            <w:tcW w:w="1187" w:type="dxa"/>
            <w:noWrap/>
          </w:tcPr>
          <w:p w14:paraId="6DAF8C2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270DF7C" w14:textId="77777777" w:rsidTr="00DB5974">
        <w:tc>
          <w:tcPr>
            <w:tcW w:w="3402" w:type="dxa"/>
            <w:noWrap/>
          </w:tcPr>
          <w:p w14:paraId="7BDE06C0" w14:textId="77777777" w:rsidR="0050196F" w:rsidRPr="002325F6" w:rsidRDefault="0050196F" w:rsidP="00B21BD0">
            <w:pPr>
              <w:pStyle w:val="ARGrantstabletext"/>
              <w:rPr>
                <w:bCs/>
                <w:color w:val="000000"/>
              </w:rPr>
            </w:pPr>
            <w:r w:rsidRPr="002325F6">
              <w:rPr>
                <w:bCs/>
                <w:color w:val="000000"/>
              </w:rPr>
              <w:t>Neerim District Secondary College</w:t>
            </w:r>
          </w:p>
        </w:tc>
        <w:tc>
          <w:tcPr>
            <w:tcW w:w="1187" w:type="dxa"/>
            <w:noWrap/>
          </w:tcPr>
          <w:p w14:paraId="0FB5F47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7BE06F0" w14:textId="77777777" w:rsidTr="00DB5974">
        <w:tc>
          <w:tcPr>
            <w:tcW w:w="3402" w:type="dxa"/>
            <w:noWrap/>
          </w:tcPr>
          <w:p w14:paraId="4F3A78DB" w14:textId="77777777" w:rsidR="0050196F" w:rsidRPr="002325F6" w:rsidRDefault="0050196F" w:rsidP="00B21BD0">
            <w:pPr>
              <w:pStyle w:val="ARGrantstabletext"/>
              <w:rPr>
                <w:bCs/>
                <w:color w:val="000000"/>
              </w:rPr>
            </w:pPr>
            <w:r w:rsidRPr="002325F6">
              <w:rPr>
                <w:bCs/>
                <w:color w:val="000000"/>
              </w:rPr>
              <w:t>Nelson Park School</w:t>
            </w:r>
          </w:p>
        </w:tc>
        <w:tc>
          <w:tcPr>
            <w:tcW w:w="1187" w:type="dxa"/>
            <w:noWrap/>
          </w:tcPr>
          <w:p w14:paraId="113B371D"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A8A6674" w14:textId="77777777" w:rsidTr="00DB5974">
        <w:tc>
          <w:tcPr>
            <w:tcW w:w="3402" w:type="dxa"/>
            <w:noWrap/>
          </w:tcPr>
          <w:p w14:paraId="401CEFE4" w14:textId="77777777" w:rsidR="0050196F" w:rsidRPr="002325F6" w:rsidRDefault="0050196F" w:rsidP="00B21BD0">
            <w:pPr>
              <w:pStyle w:val="ARGrantstabletext"/>
              <w:rPr>
                <w:bCs/>
                <w:color w:val="000000"/>
              </w:rPr>
            </w:pPr>
            <w:r w:rsidRPr="002325F6">
              <w:rPr>
                <w:bCs/>
                <w:color w:val="000000"/>
              </w:rPr>
              <w:t>Newcomb Secondary College</w:t>
            </w:r>
          </w:p>
        </w:tc>
        <w:tc>
          <w:tcPr>
            <w:tcW w:w="1187" w:type="dxa"/>
            <w:noWrap/>
          </w:tcPr>
          <w:p w14:paraId="312BDB5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0942721" w14:textId="77777777" w:rsidTr="00DB5974">
        <w:tc>
          <w:tcPr>
            <w:tcW w:w="3402" w:type="dxa"/>
            <w:noWrap/>
          </w:tcPr>
          <w:p w14:paraId="2A8965C8" w14:textId="77777777" w:rsidR="0050196F" w:rsidRPr="002325F6" w:rsidRDefault="0050196F" w:rsidP="00B21BD0">
            <w:pPr>
              <w:pStyle w:val="ARGrantstabletext"/>
              <w:rPr>
                <w:bCs/>
                <w:color w:val="000000"/>
              </w:rPr>
            </w:pPr>
            <w:r w:rsidRPr="002325F6">
              <w:rPr>
                <w:bCs/>
                <w:color w:val="000000"/>
              </w:rPr>
              <w:t>Nhill College</w:t>
            </w:r>
          </w:p>
        </w:tc>
        <w:tc>
          <w:tcPr>
            <w:tcW w:w="1187" w:type="dxa"/>
            <w:noWrap/>
          </w:tcPr>
          <w:p w14:paraId="74126406"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A654AA5" w14:textId="77777777" w:rsidTr="00DB5974">
        <w:tc>
          <w:tcPr>
            <w:tcW w:w="3402" w:type="dxa"/>
            <w:noWrap/>
          </w:tcPr>
          <w:p w14:paraId="4EADD4A9" w14:textId="77777777" w:rsidR="0050196F" w:rsidRPr="002325F6" w:rsidRDefault="0050196F" w:rsidP="00B21BD0">
            <w:pPr>
              <w:pStyle w:val="ARGrantstabletext"/>
              <w:rPr>
                <w:bCs/>
                <w:color w:val="000000"/>
              </w:rPr>
            </w:pPr>
            <w:r w:rsidRPr="002325F6">
              <w:rPr>
                <w:bCs/>
                <w:color w:val="000000"/>
              </w:rPr>
              <w:t>Nillumbik Shire Council</w:t>
            </w:r>
          </w:p>
        </w:tc>
        <w:tc>
          <w:tcPr>
            <w:tcW w:w="1187" w:type="dxa"/>
            <w:noWrap/>
          </w:tcPr>
          <w:p w14:paraId="7DC42FA8" w14:textId="77777777" w:rsidR="0050196F" w:rsidRPr="002325F6" w:rsidRDefault="0050196F" w:rsidP="00B21BD0">
            <w:pPr>
              <w:pStyle w:val="ARGrantstabletextright"/>
              <w:rPr>
                <w:bCs/>
                <w:color w:val="000000"/>
              </w:rPr>
            </w:pPr>
            <w:r w:rsidRPr="002325F6">
              <w:rPr>
                <w:bCs/>
                <w:color w:val="000000"/>
              </w:rPr>
              <w:t>87,000</w:t>
            </w:r>
          </w:p>
        </w:tc>
      </w:tr>
      <w:tr w:rsidR="0050196F" w:rsidRPr="00B6199F" w14:paraId="6CC6BCBC" w14:textId="77777777" w:rsidTr="00DB5974">
        <w:tc>
          <w:tcPr>
            <w:tcW w:w="3402" w:type="dxa"/>
            <w:noWrap/>
          </w:tcPr>
          <w:p w14:paraId="4AED9DA4" w14:textId="77777777" w:rsidR="0050196F" w:rsidRPr="002325F6" w:rsidRDefault="0050196F" w:rsidP="00B21BD0">
            <w:pPr>
              <w:pStyle w:val="ARGrantstabletext"/>
              <w:rPr>
                <w:bCs/>
                <w:color w:val="000000"/>
              </w:rPr>
            </w:pPr>
            <w:r w:rsidRPr="002325F6">
              <w:rPr>
                <w:bCs/>
                <w:color w:val="000000"/>
              </w:rPr>
              <w:t>Noble Park English Language</w:t>
            </w:r>
          </w:p>
        </w:tc>
        <w:tc>
          <w:tcPr>
            <w:tcW w:w="1187" w:type="dxa"/>
            <w:noWrap/>
          </w:tcPr>
          <w:p w14:paraId="18C5868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823E963" w14:textId="77777777" w:rsidTr="00DB5974">
        <w:tc>
          <w:tcPr>
            <w:tcW w:w="3402" w:type="dxa"/>
            <w:noWrap/>
          </w:tcPr>
          <w:p w14:paraId="1F437461" w14:textId="77777777" w:rsidR="0050196F" w:rsidRPr="002325F6" w:rsidRDefault="0050196F" w:rsidP="00B21BD0">
            <w:pPr>
              <w:pStyle w:val="ARGrantstabletext"/>
              <w:rPr>
                <w:bCs/>
                <w:color w:val="000000"/>
              </w:rPr>
            </w:pPr>
            <w:r w:rsidRPr="002325F6">
              <w:rPr>
                <w:bCs/>
                <w:color w:val="000000"/>
              </w:rPr>
              <w:t>Noble Park Secondary College</w:t>
            </w:r>
          </w:p>
        </w:tc>
        <w:tc>
          <w:tcPr>
            <w:tcW w:w="1187" w:type="dxa"/>
            <w:noWrap/>
          </w:tcPr>
          <w:p w14:paraId="79D47F4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0E4F76F" w14:textId="77777777" w:rsidTr="00DB5974">
        <w:tc>
          <w:tcPr>
            <w:tcW w:w="3402" w:type="dxa"/>
            <w:noWrap/>
          </w:tcPr>
          <w:p w14:paraId="44BD5B19" w14:textId="63F8DDF8" w:rsidR="0050196F" w:rsidRPr="002325F6" w:rsidRDefault="0050196F" w:rsidP="00B21BD0">
            <w:pPr>
              <w:pStyle w:val="ARGrantstabletext"/>
              <w:rPr>
                <w:bCs/>
                <w:color w:val="000000"/>
              </w:rPr>
            </w:pPr>
            <w:r w:rsidRPr="002325F6">
              <w:rPr>
                <w:bCs/>
                <w:color w:val="000000"/>
              </w:rPr>
              <w:t>North Central Local Learning &amp; Employment</w:t>
            </w:r>
            <w:r w:rsidR="00EA2AB7">
              <w:rPr>
                <w:bCs/>
                <w:color w:val="000000"/>
              </w:rPr>
              <w:t> </w:t>
            </w:r>
            <w:r w:rsidRPr="002325F6">
              <w:rPr>
                <w:bCs/>
                <w:color w:val="000000"/>
              </w:rPr>
              <w:t>Network</w:t>
            </w:r>
          </w:p>
        </w:tc>
        <w:tc>
          <w:tcPr>
            <w:tcW w:w="1187" w:type="dxa"/>
            <w:noWrap/>
          </w:tcPr>
          <w:p w14:paraId="2F5CA9A5" w14:textId="77777777" w:rsidR="0050196F" w:rsidRPr="002325F6" w:rsidRDefault="0050196F" w:rsidP="00B21BD0">
            <w:pPr>
              <w:pStyle w:val="ARGrantstabletextright"/>
              <w:rPr>
                <w:bCs/>
                <w:color w:val="000000"/>
              </w:rPr>
            </w:pPr>
            <w:r w:rsidRPr="002325F6">
              <w:rPr>
                <w:bCs/>
                <w:color w:val="000000"/>
              </w:rPr>
              <w:t>100,000</w:t>
            </w:r>
          </w:p>
        </w:tc>
      </w:tr>
      <w:tr w:rsidR="0050196F" w:rsidRPr="00B6199F" w14:paraId="3E7CB3DB" w14:textId="77777777" w:rsidTr="00DB5974">
        <w:tc>
          <w:tcPr>
            <w:tcW w:w="3402" w:type="dxa"/>
            <w:noWrap/>
          </w:tcPr>
          <w:p w14:paraId="3AF524A8" w14:textId="77777777" w:rsidR="0050196F" w:rsidRPr="002325F6" w:rsidRDefault="0050196F" w:rsidP="00B21BD0">
            <w:pPr>
              <w:pStyle w:val="ARGrantstabletext"/>
              <w:rPr>
                <w:bCs/>
                <w:color w:val="000000"/>
              </w:rPr>
            </w:pPr>
            <w:r w:rsidRPr="002325F6">
              <w:rPr>
                <w:bCs/>
                <w:color w:val="000000"/>
              </w:rPr>
              <w:t>North Geelong Secondary College</w:t>
            </w:r>
          </w:p>
        </w:tc>
        <w:tc>
          <w:tcPr>
            <w:tcW w:w="1187" w:type="dxa"/>
            <w:noWrap/>
          </w:tcPr>
          <w:p w14:paraId="698C17DF"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4C450FF" w14:textId="77777777" w:rsidTr="00DB5974">
        <w:tc>
          <w:tcPr>
            <w:tcW w:w="3402" w:type="dxa"/>
            <w:noWrap/>
          </w:tcPr>
          <w:p w14:paraId="510CBD56" w14:textId="77777777" w:rsidR="0050196F" w:rsidRPr="002325F6" w:rsidRDefault="0050196F" w:rsidP="00B21BD0">
            <w:pPr>
              <w:pStyle w:val="ARGrantstabletext"/>
              <w:rPr>
                <w:bCs/>
                <w:color w:val="000000"/>
              </w:rPr>
            </w:pPr>
            <w:r w:rsidRPr="002325F6">
              <w:rPr>
                <w:bCs/>
                <w:color w:val="000000"/>
              </w:rPr>
              <w:t>Northern Bay P-12 College</w:t>
            </w:r>
          </w:p>
        </w:tc>
        <w:tc>
          <w:tcPr>
            <w:tcW w:w="1187" w:type="dxa"/>
            <w:noWrap/>
          </w:tcPr>
          <w:p w14:paraId="70C871D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90C97AB" w14:textId="77777777" w:rsidTr="00DB5974">
        <w:tc>
          <w:tcPr>
            <w:tcW w:w="3402" w:type="dxa"/>
            <w:noWrap/>
          </w:tcPr>
          <w:p w14:paraId="0A642546" w14:textId="77777777" w:rsidR="0050196F" w:rsidRPr="002325F6" w:rsidRDefault="0050196F" w:rsidP="00B21BD0">
            <w:pPr>
              <w:pStyle w:val="ARGrantstabletext"/>
              <w:rPr>
                <w:bCs/>
                <w:color w:val="000000"/>
              </w:rPr>
            </w:pPr>
            <w:r w:rsidRPr="002325F6">
              <w:rPr>
                <w:bCs/>
                <w:color w:val="000000"/>
              </w:rPr>
              <w:t>Northern District Community Health</w:t>
            </w:r>
          </w:p>
        </w:tc>
        <w:tc>
          <w:tcPr>
            <w:tcW w:w="1187" w:type="dxa"/>
            <w:noWrap/>
          </w:tcPr>
          <w:p w14:paraId="3EF6B1B7" w14:textId="77777777" w:rsidR="0050196F" w:rsidRPr="002325F6" w:rsidRDefault="0050196F" w:rsidP="00B21BD0">
            <w:pPr>
              <w:pStyle w:val="ARGrantstabletextright"/>
              <w:rPr>
                <w:bCs/>
                <w:color w:val="000000"/>
              </w:rPr>
            </w:pPr>
            <w:r w:rsidRPr="002325F6">
              <w:rPr>
                <w:bCs/>
                <w:color w:val="000000"/>
              </w:rPr>
              <w:t>125,000</w:t>
            </w:r>
          </w:p>
        </w:tc>
      </w:tr>
      <w:tr w:rsidR="0050196F" w:rsidRPr="00B6199F" w14:paraId="2A6457F7" w14:textId="77777777" w:rsidTr="00DB5974">
        <w:tc>
          <w:tcPr>
            <w:tcW w:w="3402" w:type="dxa"/>
            <w:noWrap/>
          </w:tcPr>
          <w:p w14:paraId="13233AF7" w14:textId="77777777" w:rsidR="0050196F" w:rsidRPr="002325F6" w:rsidRDefault="0050196F" w:rsidP="00B21BD0">
            <w:pPr>
              <w:pStyle w:val="ARGrantstabletext"/>
              <w:rPr>
                <w:bCs/>
                <w:color w:val="000000"/>
              </w:rPr>
            </w:pPr>
            <w:r w:rsidRPr="002325F6">
              <w:rPr>
                <w:bCs/>
                <w:color w:val="000000"/>
              </w:rPr>
              <w:t>Numurkah Secondary College</w:t>
            </w:r>
          </w:p>
        </w:tc>
        <w:tc>
          <w:tcPr>
            <w:tcW w:w="1187" w:type="dxa"/>
            <w:noWrap/>
          </w:tcPr>
          <w:p w14:paraId="4999BFE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A0D9437" w14:textId="77777777" w:rsidTr="00DB5974">
        <w:tc>
          <w:tcPr>
            <w:tcW w:w="3402" w:type="dxa"/>
            <w:noWrap/>
          </w:tcPr>
          <w:p w14:paraId="668F5E0B" w14:textId="77777777" w:rsidR="0050196F" w:rsidRPr="002325F6" w:rsidRDefault="0050196F" w:rsidP="00B21BD0">
            <w:pPr>
              <w:pStyle w:val="ARGrantstabletext"/>
              <w:rPr>
                <w:bCs/>
                <w:color w:val="000000"/>
              </w:rPr>
            </w:pPr>
            <w:r w:rsidRPr="002325F6">
              <w:rPr>
                <w:bCs/>
                <w:color w:val="000000"/>
              </w:rPr>
              <w:t>Oberon High School</w:t>
            </w:r>
          </w:p>
        </w:tc>
        <w:tc>
          <w:tcPr>
            <w:tcW w:w="1187" w:type="dxa"/>
            <w:noWrap/>
          </w:tcPr>
          <w:p w14:paraId="2517B87F"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48D474B" w14:textId="77777777" w:rsidTr="00DB5974">
        <w:tc>
          <w:tcPr>
            <w:tcW w:w="3402" w:type="dxa"/>
            <w:noWrap/>
          </w:tcPr>
          <w:p w14:paraId="15FBBEAD" w14:textId="295D69BC" w:rsidR="0050196F" w:rsidRPr="002325F6" w:rsidRDefault="0050196F" w:rsidP="00B21BD0">
            <w:pPr>
              <w:pStyle w:val="ARGrantstabletext"/>
              <w:rPr>
                <w:bCs/>
                <w:color w:val="000000"/>
              </w:rPr>
            </w:pPr>
            <w:r w:rsidRPr="002325F6">
              <w:rPr>
                <w:bCs/>
                <w:color w:val="000000"/>
              </w:rPr>
              <w:t>Open House Christian Involvement</w:t>
            </w:r>
            <w:r w:rsidR="00083017">
              <w:rPr>
                <w:bCs/>
                <w:color w:val="000000"/>
              </w:rPr>
              <w:t> </w:t>
            </w:r>
            <w:r w:rsidRPr="002325F6">
              <w:rPr>
                <w:bCs/>
                <w:color w:val="000000"/>
              </w:rPr>
              <w:t>Centres</w:t>
            </w:r>
          </w:p>
        </w:tc>
        <w:tc>
          <w:tcPr>
            <w:tcW w:w="1187" w:type="dxa"/>
            <w:noWrap/>
          </w:tcPr>
          <w:p w14:paraId="75CEAB44"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644D03D0" w14:textId="77777777" w:rsidTr="00DB5974">
        <w:tc>
          <w:tcPr>
            <w:tcW w:w="3402" w:type="dxa"/>
            <w:noWrap/>
          </w:tcPr>
          <w:p w14:paraId="0AF4B7D4" w14:textId="77777777" w:rsidR="0050196F" w:rsidRPr="002325F6" w:rsidRDefault="0050196F" w:rsidP="00B21BD0">
            <w:pPr>
              <w:pStyle w:val="ARGrantstabletext"/>
              <w:rPr>
                <w:bCs/>
                <w:color w:val="000000"/>
              </w:rPr>
            </w:pPr>
            <w:r w:rsidRPr="002325F6">
              <w:rPr>
                <w:bCs/>
                <w:color w:val="000000"/>
              </w:rPr>
              <w:t>Operation Newstart Inc</w:t>
            </w:r>
          </w:p>
        </w:tc>
        <w:tc>
          <w:tcPr>
            <w:tcW w:w="1187" w:type="dxa"/>
            <w:noWrap/>
          </w:tcPr>
          <w:p w14:paraId="693D009A"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17C20438" w14:textId="77777777" w:rsidTr="00DB5974">
        <w:tc>
          <w:tcPr>
            <w:tcW w:w="3402" w:type="dxa"/>
            <w:noWrap/>
          </w:tcPr>
          <w:p w14:paraId="799823AB" w14:textId="77777777" w:rsidR="0050196F" w:rsidRPr="002325F6" w:rsidRDefault="0050196F" w:rsidP="00B21BD0">
            <w:pPr>
              <w:pStyle w:val="ARGrantstabletext"/>
              <w:rPr>
                <w:bCs/>
                <w:color w:val="000000"/>
              </w:rPr>
            </w:pPr>
            <w:r w:rsidRPr="002325F6">
              <w:rPr>
                <w:bCs/>
                <w:color w:val="000000"/>
              </w:rPr>
              <w:t>Orygen</w:t>
            </w:r>
          </w:p>
        </w:tc>
        <w:tc>
          <w:tcPr>
            <w:tcW w:w="1187" w:type="dxa"/>
            <w:noWrap/>
          </w:tcPr>
          <w:p w14:paraId="5C9D408B"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0B178E7E" w14:textId="77777777" w:rsidTr="00DB5974">
        <w:tc>
          <w:tcPr>
            <w:tcW w:w="3402" w:type="dxa"/>
            <w:noWrap/>
          </w:tcPr>
          <w:p w14:paraId="09288528" w14:textId="6C457C0F" w:rsidR="0050196F" w:rsidRPr="002325F6" w:rsidRDefault="0050196F" w:rsidP="00B21BD0">
            <w:pPr>
              <w:pStyle w:val="ARGrantstabletext"/>
              <w:rPr>
                <w:bCs/>
                <w:color w:val="000000"/>
              </w:rPr>
            </w:pPr>
            <w:r w:rsidRPr="002325F6">
              <w:rPr>
                <w:bCs/>
                <w:color w:val="000000"/>
              </w:rPr>
              <w:t xml:space="preserve">Orygen </w:t>
            </w:r>
            <w:r w:rsidR="00604894">
              <w:rPr>
                <w:bCs/>
                <w:color w:val="000000"/>
              </w:rPr>
              <w:t>–</w:t>
            </w:r>
            <w:r w:rsidRPr="002325F6">
              <w:rPr>
                <w:bCs/>
                <w:color w:val="000000"/>
              </w:rPr>
              <w:t xml:space="preserve"> Melton</w:t>
            </w:r>
          </w:p>
        </w:tc>
        <w:tc>
          <w:tcPr>
            <w:tcW w:w="1187" w:type="dxa"/>
            <w:noWrap/>
          </w:tcPr>
          <w:p w14:paraId="7288F478"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4DC25BBF" w14:textId="77777777" w:rsidTr="00DB5974">
        <w:tc>
          <w:tcPr>
            <w:tcW w:w="3402" w:type="dxa"/>
            <w:noWrap/>
          </w:tcPr>
          <w:p w14:paraId="21C224A8" w14:textId="01307087" w:rsidR="0050196F" w:rsidRPr="002325F6" w:rsidRDefault="0050196F" w:rsidP="00B21BD0">
            <w:pPr>
              <w:pStyle w:val="ARGrantstabletext"/>
              <w:rPr>
                <w:bCs/>
                <w:color w:val="000000"/>
              </w:rPr>
            </w:pPr>
            <w:r w:rsidRPr="002325F6">
              <w:rPr>
                <w:bCs/>
                <w:color w:val="000000"/>
              </w:rPr>
              <w:t xml:space="preserve">Orygen </w:t>
            </w:r>
            <w:r w:rsidR="00604894">
              <w:rPr>
                <w:bCs/>
                <w:color w:val="000000"/>
              </w:rPr>
              <w:t>–</w:t>
            </w:r>
            <w:r w:rsidRPr="002325F6">
              <w:rPr>
                <w:bCs/>
                <w:color w:val="000000"/>
              </w:rPr>
              <w:t xml:space="preserve"> Werribee</w:t>
            </w:r>
          </w:p>
        </w:tc>
        <w:tc>
          <w:tcPr>
            <w:tcW w:w="1187" w:type="dxa"/>
            <w:noWrap/>
          </w:tcPr>
          <w:p w14:paraId="3005134E"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7839FF7C" w14:textId="77777777" w:rsidTr="00DB5974">
        <w:tc>
          <w:tcPr>
            <w:tcW w:w="3402" w:type="dxa"/>
            <w:noWrap/>
          </w:tcPr>
          <w:p w14:paraId="34468202" w14:textId="77777777" w:rsidR="0050196F" w:rsidRPr="002325F6" w:rsidRDefault="0050196F" w:rsidP="00B21BD0">
            <w:pPr>
              <w:pStyle w:val="ARGrantstabletext"/>
              <w:rPr>
                <w:bCs/>
                <w:color w:val="000000"/>
              </w:rPr>
            </w:pPr>
            <w:r w:rsidRPr="002325F6">
              <w:rPr>
                <w:bCs/>
                <w:color w:val="000000"/>
              </w:rPr>
              <w:t>Ouyen P-12 College</w:t>
            </w:r>
          </w:p>
        </w:tc>
        <w:tc>
          <w:tcPr>
            <w:tcW w:w="1187" w:type="dxa"/>
            <w:noWrap/>
          </w:tcPr>
          <w:p w14:paraId="0FF6557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6F9D956" w14:textId="77777777" w:rsidTr="00DB5974">
        <w:tc>
          <w:tcPr>
            <w:tcW w:w="3402" w:type="dxa"/>
            <w:noWrap/>
          </w:tcPr>
          <w:p w14:paraId="640B33E7" w14:textId="77777777" w:rsidR="0050196F" w:rsidRPr="002325F6" w:rsidRDefault="0050196F" w:rsidP="00B21BD0">
            <w:pPr>
              <w:pStyle w:val="ARGrantstabletext"/>
              <w:rPr>
                <w:bCs/>
                <w:color w:val="000000"/>
              </w:rPr>
            </w:pPr>
            <w:r w:rsidRPr="002325F6">
              <w:rPr>
                <w:bCs/>
                <w:color w:val="000000"/>
              </w:rPr>
              <w:t>Pakenham Secondary College</w:t>
            </w:r>
          </w:p>
        </w:tc>
        <w:tc>
          <w:tcPr>
            <w:tcW w:w="1187" w:type="dxa"/>
            <w:noWrap/>
          </w:tcPr>
          <w:p w14:paraId="1CD3088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403B70D" w14:textId="77777777" w:rsidTr="00DB5974">
        <w:tc>
          <w:tcPr>
            <w:tcW w:w="3402" w:type="dxa"/>
            <w:noWrap/>
          </w:tcPr>
          <w:p w14:paraId="1A1392FC" w14:textId="77777777" w:rsidR="0050196F" w:rsidRPr="002325F6" w:rsidRDefault="0050196F" w:rsidP="00B21BD0">
            <w:pPr>
              <w:pStyle w:val="ARGrantstabletext"/>
              <w:rPr>
                <w:bCs/>
                <w:color w:val="000000"/>
              </w:rPr>
            </w:pPr>
            <w:r w:rsidRPr="002325F6">
              <w:rPr>
                <w:bCs/>
                <w:color w:val="000000"/>
              </w:rPr>
              <w:t>Parkdale Secondary College</w:t>
            </w:r>
          </w:p>
        </w:tc>
        <w:tc>
          <w:tcPr>
            <w:tcW w:w="1187" w:type="dxa"/>
            <w:noWrap/>
          </w:tcPr>
          <w:p w14:paraId="7BFA7FBF"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53192B37" w14:textId="77777777" w:rsidTr="00DB5974">
        <w:tc>
          <w:tcPr>
            <w:tcW w:w="3402" w:type="dxa"/>
            <w:noWrap/>
          </w:tcPr>
          <w:p w14:paraId="2D924085" w14:textId="77777777" w:rsidR="0050196F" w:rsidRPr="002325F6" w:rsidRDefault="0050196F" w:rsidP="00B21BD0">
            <w:pPr>
              <w:pStyle w:val="ARGrantstabletext"/>
              <w:rPr>
                <w:bCs/>
                <w:color w:val="000000"/>
              </w:rPr>
            </w:pPr>
            <w:r w:rsidRPr="002325F6">
              <w:rPr>
                <w:bCs/>
                <w:color w:val="000000"/>
              </w:rPr>
              <w:t>Pascoe Vale Girls College</w:t>
            </w:r>
          </w:p>
        </w:tc>
        <w:tc>
          <w:tcPr>
            <w:tcW w:w="1187" w:type="dxa"/>
            <w:noWrap/>
          </w:tcPr>
          <w:p w14:paraId="5EC1FD24"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8A9641D" w14:textId="77777777" w:rsidTr="00DB5974">
        <w:tc>
          <w:tcPr>
            <w:tcW w:w="3402" w:type="dxa"/>
            <w:noWrap/>
          </w:tcPr>
          <w:p w14:paraId="079BAE5B" w14:textId="77777777" w:rsidR="0050196F" w:rsidRPr="002325F6" w:rsidRDefault="0050196F" w:rsidP="00B21BD0">
            <w:pPr>
              <w:pStyle w:val="ARGrantstabletext"/>
              <w:rPr>
                <w:bCs/>
                <w:color w:val="000000"/>
              </w:rPr>
            </w:pPr>
            <w:r w:rsidRPr="002325F6">
              <w:rPr>
                <w:bCs/>
                <w:color w:val="000000"/>
              </w:rPr>
              <w:t>Peter Lalor Secondary College</w:t>
            </w:r>
          </w:p>
        </w:tc>
        <w:tc>
          <w:tcPr>
            <w:tcW w:w="1187" w:type="dxa"/>
            <w:noWrap/>
          </w:tcPr>
          <w:p w14:paraId="7A7C969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25EE4FD" w14:textId="77777777" w:rsidTr="00DB5974">
        <w:tc>
          <w:tcPr>
            <w:tcW w:w="3402" w:type="dxa"/>
            <w:noWrap/>
          </w:tcPr>
          <w:p w14:paraId="357276CA" w14:textId="77777777" w:rsidR="0050196F" w:rsidRPr="002325F6" w:rsidRDefault="0050196F" w:rsidP="00B21BD0">
            <w:pPr>
              <w:pStyle w:val="ARGrantstabletext"/>
              <w:rPr>
                <w:bCs/>
                <w:color w:val="000000"/>
              </w:rPr>
            </w:pPr>
            <w:r w:rsidRPr="002325F6">
              <w:rPr>
                <w:bCs/>
                <w:color w:val="000000"/>
              </w:rPr>
              <w:t>Phoenix P-12 Community College</w:t>
            </w:r>
          </w:p>
        </w:tc>
        <w:tc>
          <w:tcPr>
            <w:tcW w:w="1187" w:type="dxa"/>
            <w:noWrap/>
          </w:tcPr>
          <w:p w14:paraId="0343FD73"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8ACF7C9" w14:textId="77777777" w:rsidTr="00DB5974">
        <w:tc>
          <w:tcPr>
            <w:tcW w:w="3402" w:type="dxa"/>
            <w:noWrap/>
          </w:tcPr>
          <w:p w14:paraId="6D83B14D" w14:textId="77777777" w:rsidR="0050196F" w:rsidRPr="002325F6" w:rsidRDefault="0050196F" w:rsidP="00B21BD0">
            <w:pPr>
              <w:pStyle w:val="ARGrantstabletext"/>
              <w:rPr>
                <w:bCs/>
                <w:color w:val="000000"/>
              </w:rPr>
            </w:pPr>
            <w:r w:rsidRPr="002325F6">
              <w:rPr>
                <w:bCs/>
                <w:color w:val="000000"/>
              </w:rPr>
              <w:t>Portland Bay School</w:t>
            </w:r>
          </w:p>
        </w:tc>
        <w:tc>
          <w:tcPr>
            <w:tcW w:w="1187" w:type="dxa"/>
            <w:noWrap/>
          </w:tcPr>
          <w:p w14:paraId="7035BD5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018E195" w14:textId="77777777" w:rsidTr="00DB5974">
        <w:tc>
          <w:tcPr>
            <w:tcW w:w="3402" w:type="dxa"/>
            <w:noWrap/>
          </w:tcPr>
          <w:p w14:paraId="7EAAC3BD" w14:textId="77777777" w:rsidR="0050196F" w:rsidRPr="002325F6" w:rsidRDefault="0050196F" w:rsidP="00B21BD0">
            <w:pPr>
              <w:pStyle w:val="ARGrantstabletext"/>
              <w:rPr>
                <w:bCs/>
                <w:color w:val="000000"/>
              </w:rPr>
            </w:pPr>
            <w:r w:rsidRPr="002325F6">
              <w:rPr>
                <w:bCs/>
                <w:color w:val="000000"/>
              </w:rPr>
              <w:t>Portland Secondary College</w:t>
            </w:r>
          </w:p>
        </w:tc>
        <w:tc>
          <w:tcPr>
            <w:tcW w:w="1187" w:type="dxa"/>
            <w:noWrap/>
          </w:tcPr>
          <w:p w14:paraId="7824352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2907A4B" w14:textId="77777777" w:rsidTr="00DB5974">
        <w:tc>
          <w:tcPr>
            <w:tcW w:w="3402" w:type="dxa"/>
            <w:noWrap/>
          </w:tcPr>
          <w:p w14:paraId="7592C9B2" w14:textId="77777777" w:rsidR="0050196F" w:rsidRPr="002325F6" w:rsidRDefault="0050196F" w:rsidP="00B21BD0">
            <w:pPr>
              <w:pStyle w:val="ARGrantstabletext"/>
              <w:rPr>
                <w:bCs/>
                <w:color w:val="000000"/>
              </w:rPr>
            </w:pPr>
            <w:r w:rsidRPr="002325F6">
              <w:rPr>
                <w:bCs/>
                <w:color w:val="000000"/>
              </w:rPr>
              <w:t>Preston Neighbourhood House</w:t>
            </w:r>
          </w:p>
        </w:tc>
        <w:tc>
          <w:tcPr>
            <w:tcW w:w="1187" w:type="dxa"/>
            <w:noWrap/>
          </w:tcPr>
          <w:p w14:paraId="1B50B730" w14:textId="77777777" w:rsidR="0050196F" w:rsidRPr="002325F6" w:rsidRDefault="0050196F" w:rsidP="00B21BD0">
            <w:pPr>
              <w:pStyle w:val="ARGrantstabletextright"/>
              <w:rPr>
                <w:bCs/>
                <w:color w:val="000000"/>
              </w:rPr>
            </w:pPr>
            <w:r w:rsidRPr="002325F6">
              <w:rPr>
                <w:bCs/>
                <w:color w:val="000000"/>
              </w:rPr>
              <w:t>62,000</w:t>
            </w:r>
          </w:p>
        </w:tc>
      </w:tr>
      <w:tr w:rsidR="0050196F" w:rsidRPr="00B6199F" w14:paraId="3CBA498C" w14:textId="77777777" w:rsidTr="00DB5974">
        <w:tc>
          <w:tcPr>
            <w:tcW w:w="3402" w:type="dxa"/>
            <w:noWrap/>
          </w:tcPr>
          <w:p w14:paraId="7BB03827" w14:textId="77777777" w:rsidR="0050196F" w:rsidRPr="002325F6" w:rsidRDefault="0050196F" w:rsidP="00B21BD0">
            <w:pPr>
              <w:pStyle w:val="ARGrantstabletext"/>
              <w:rPr>
                <w:bCs/>
                <w:color w:val="000000"/>
              </w:rPr>
            </w:pPr>
            <w:r w:rsidRPr="002325F6">
              <w:rPr>
                <w:bCs/>
                <w:color w:val="000000"/>
              </w:rPr>
              <w:t>Pyrenees Shire Council</w:t>
            </w:r>
          </w:p>
        </w:tc>
        <w:tc>
          <w:tcPr>
            <w:tcW w:w="1187" w:type="dxa"/>
            <w:noWrap/>
          </w:tcPr>
          <w:p w14:paraId="3267371E" w14:textId="77777777" w:rsidR="0050196F" w:rsidRPr="002325F6" w:rsidRDefault="0050196F" w:rsidP="00B21BD0">
            <w:pPr>
              <w:pStyle w:val="ARGrantstabletextright"/>
              <w:rPr>
                <w:bCs/>
                <w:color w:val="000000"/>
              </w:rPr>
            </w:pPr>
            <w:r w:rsidRPr="002325F6">
              <w:rPr>
                <w:bCs/>
                <w:color w:val="000000"/>
              </w:rPr>
              <w:t>47,000</w:t>
            </w:r>
          </w:p>
        </w:tc>
      </w:tr>
      <w:tr w:rsidR="0050196F" w:rsidRPr="00B6199F" w14:paraId="3778EAB7" w14:textId="77777777" w:rsidTr="00DB5974">
        <w:tc>
          <w:tcPr>
            <w:tcW w:w="3402" w:type="dxa"/>
            <w:noWrap/>
          </w:tcPr>
          <w:p w14:paraId="51A45CEB" w14:textId="77777777" w:rsidR="0050196F" w:rsidRPr="002325F6" w:rsidRDefault="0050196F" w:rsidP="00B21BD0">
            <w:pPr>
              <w:pStyle w:val="ARGrantstabletext"/>
              <w:rPr>
                <w:bCs/>
                <w:color w:val="000000"/>
              </w:rPr>
            </w:pPr>
            <w:r w:rsidRPr="002325F6">
              <w:rPr>
                <w:bCs/>
                <w:color w:val="000000"/>
              </w:rPr>
              <w:t>Queenscliff Music Festival Inc</w:t>
            </w:r>
          </w:p>
        </w:tc>
        <w:tc>
          <w:tcPr>
            <w:tcW w:w="1187" w:type="dxa"/>
            <w:noWrap/>
          </w:tcPr>
          <w:p w14:paraId="298D9424"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3839B0B2" w14:textId="77777777" w:rsidTr="00DB5974">
        <w:tc>
          <w:tcPr>
            <w:tcW w:w="3402" w:type="dxa"/>
            <w:noWrap/>
          </w:tcPr>
          <w:p w14:paraId="34D14CD1" w14:textId="77777777" w:rsidR="0050196F" w:rsidRPr="002325F6" w:rsidRDefault="0050196F" w:rsidP="00B21BD0">
            <w:pPr>
              <w:pStyle w:val="ARGrantstabletext"/>
              <w:rPr>
                <w:bCs/>
                <w:color w:val="000000"/>
              </w:rPr>
            </w:pPr>
            <w:r w:rsidRPr="002325F6">
              <w:rPr>
                <w:bCs/>
                <w:color w:val="000000"/>
              </w:rPr>
              <w:t>Ranges Academy of Performing Arts (RAPA) Inc</w:t>
            </w:r>
          </w:p>
        </w:tc>
        <w:tc>
          <w:tcPr>
            <w:tcW w:w="1187" w:type="dxa"/>
            <w:noWrap/>
          </w:tcPr>
          <w:p w14:paraId="5C7CBBB3" w14:textId="77777777" w:rsidR="0050196F" w:rsidRPr="002325F6" w:rsidRDefault="0050196F" w:rsidP="00B21BD0">
            <w:pPr>
              <w:pStyle w:val="ARGrantstabletextright"/>
              <w:rPr>
                <w:bCs/>
                <w:color w:val="000000"/>
              </w:rPr>
            </w:pPr>
            <w:r w:rsidRPr="002325F6">
              <w:rPr>
                <w:bCs/>
                <w:color w:val="000000"/>
              </w:rPr>
              <w:t>17,500</w:t>
            </w:r>
          </w:p>
        </w:tc>
      </w:tr>
      <w:tr w:rsidR="0050196F" w:rsidRPr="00B6199F" w14:paraId="65EBCF4E" w14:textId="77777777" w:rsidTr="00DB5974">
        <w:tc>
          <w:tcPr>
            <w:tcW w:w="3402" w:type="dxa"/>
            <w:noWrap/>
          </w:tcPr>
          <w:p w14:paraId="183C815F" w14:textId="77777777" w:rsidR="0050196F" w:rsidRPr="002325F6" w:rsidRDefault="0050196F" w:rsidP="00B21BD0">
            <w:pPr>
              <w:pStyle w:val="ARGrantstabletext"/>
              <w:rPr>
                <w:bCs/>
                <w:color w:val="000000"/>
              </w:rPr>
            </w:pPr>
            <w:r w:rsidRPr="002325F6">
              <w:rPr>
                <w:bCs/>
                <w:color w:val="000000"/>
              </w:rPr>
              <w:t>Reach Community Church Incorporated</w:t>
            </w:r>
          </w:p>
        </w:tc>
        <w:tc>
          <w:tcPr>
            <w:tcW w:w="1187" w:type="dxa"/>
            <w:noWrap/>
          </w:tcPr>
          <w:p w14:paraId="643BD1C8"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2F64BDE" w14:textId="77777777" w:rsidTr="00DB5974">
        <w:tc>
          <w:tcPr>
            <w:tcW w:w="3402" w:type="dxa"/>
            <w:noWrap/>
          </w:tcPr>
          <w:p w14:paraId="227CC186" w14:textId="77777777" w:rsidR="0050196F" w:rsidRPr="002325F6" w:rsidRDefault="0050196F" w:rsidP="00B21BD0">
            <w:pPr>
              <w:pStyle w:val="ARGrantstabletext"/>
              <w:rPr>
                <w:bCs/>
                <w:color w:val="000000"/>
              </w:rPr>
            </w:pPr>
            <w:r w:rsidRPr="002325F6">
              <w:rPr>
                <w:bCs/>
                <w:color w:val="000000"/>
              </w:rPr>
              <w:t>Red Cliffs Secondary College</w:t>
            </w:r>
          </w:p>
        </w:tc>
        <w:tc>
          <w:tcPr>
            <w:tcW w:w="1187" w:type="dxa"/>
            <w:noWrap/>
          </w:tcPr>
          <w:p w14:paraId="2718F185"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E85633E" w14:textId="77777777" w:rsidTr="00DB5974">
        <w:tc>
          <w:tcPr>
            <w:tcW w:w="3402" w:type="dxa"/>
            <w:noWrap/>
          </w:tcPr>
          <w:p w14:paraId="3DC9413D" w14:textId="77777777" w:rsidR="0050196F" w:rsidRPr="002325F6" w:rsidRDefault="0050196F" w:rsidP="00B21BD0">
            <w:pPr>
              <w:pStyle w:val="ARGrantstabletext"/>
              <w:rPr>
                <w:bCs/>
                <w:color w:val="000000"/>
              </w:rPr>
            </w:pPr>
            <w:r w:rsidRPr="002325F6">
              <w:rPr>
                <w:bCs/>
                <w:color w:val="000000"/>
              </w:rPr>
              <w:t>Reservoir High School</w:t>
            </w:r>
          </w:p>
        </w:tc>
        <w:tc>
          <w:tcPr>
            <w:tcW w:w="1187" w:type="dxa"/>
            <w:noWrap/>
          </w:tcPr>
          <w:p w14:paraId="6CD8A6D6"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D975E49" w14:textId="77777777" w:rsidTr="00DB5974">
        <w:tc>
          <w:tcPr>
            <w:tcW w:w="3402" w:type="dxa"/>
            <w:noWrap/>
          </w:tcPr>
          <w:p w14:paraId="6E3D12F8" w14:textId="77777777" w:rsidR="0050196F" w:rsidRPr="002325F6" w:rsidRDefault="0050196F" w:rsidP="00B21BD0">
            <w:pPr>
              <w:pStyle w:val="ARGrantstabletext"/>
              <w:rPr>
                <w:bCs/>
                <w:color w:val="000000"/>
              </w:rPr>
            </w:pPr>
            <w:r w:rsidRPr="002325F6">
              <w:rPr>
                <w:bCs/>
                <w:color w:val="000000"/>
              </w:rPr>
              <w:t>Roxburgh College</w:t>
            </w:r>
          </w:p>
        </w:tc>
        <w:tc>
          <w:tcPr>
            <w:tcW w:w="1187" w:type="dxa"/>
            <w:noWrap/>
          </w:tcPr>
          <w:p w14:paraId="380D9EF1"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C1DB0BA" w14:textId="77777777" w:rsidTr="00DB5974">
        <w:tc>
          <w:tcPr>
            <w:tcW w:w="3402" w:type="dxa"/>
            <w:noWrap/>
          </w:tcPr>
          <w:p w14:paraId="33091573" w14:textId="77777777" w:rsidR="0050196F" w:rsidRPr="002325F6" w:rsidRDefault="0050196F" w:rsidP="00B21BD0">
            <w:pPr>
              <w:pStyle w:val="ARGrantstabletext"/>
              <w:rPr>
                <w:bCs/>
                <w:color w:val="000000"/>
              </w:rPr>
            </w:pPr>
            <w:r w:rsidRPr="002325F6">
              <w:rPr>
                <w:bCs/>
                <w:color w:val="000000"/>
              </w:rPr>
              <w:t>Rumbalara Football and Netball Club Inc</w:t>
            </w:r>
          </w:p>
        </w:tc>
        <w:tc>
          <w:tcPr>
            <w:tcW w:w="1187" w:type="dxa"/>
            <w:noWrap/>
          </w:tcPr>
          <w:p w14:paraId="7E88AB39" w14:textId="77777777" w:rsidR="0050196F" w:rsidRPr="002325F6" w:rsidRDefault="0050196F" w:rsidP="00B21BD0">
            <w:pPr>
              <w:pStyle w:val="ARGrantstabletextright"/>
              <w:rPr>
                <w:bCs/>
                <w:color w:val="000000"/>
              </w:rPr>
            </w:pPr>
            <w:r w:rsidRPr="002325F6">
              <w:rPr>
                <w:bCs/>
                <w:color w:val="000000"/>
              </w:rPr>
              <w:t>53,400</w:t>
            </w:r>
          </w:p>
        </w:tc>
      </w:tr>
      <w:tr w:rsidR="0050196F" w:rsidRPr="00B6199F" w14:paraId="4F37EB89" w14:textId="77777777" w:rsidTr="00DB5974">
        <w:tc>
          <w:tcPr>
            <w:tcW w:w="3402" w:type="dxa"/>
            <w:noWrap/>
          </w:tcPr>
          <w:p w14:paraId="7A11B5B2" w14:textId="77777777" w:rsidR="0050196F" w:rsidRPr="002325F6" w:rsidRDefault="0050196F" w:rsidP="00B21BD0">
            <w:pPr>
              <w:pStyle w:val="ARGrantstabletext"/>
              <w:rPr>
                <w:bCs/>
                <w:color w:val="000000"/>
              </w:rPr>
            </w:pPr>
            <w:r w:rsidRPr="002325F6">
              <w:rPr>
                <w:bCs/>
                <w:color w:val="000000"/>
              </w:rPr>
              <w:t>Rural City of Wangaratta</w:t>
            </w:r>
          </w:p>
        </w:tc>
        <w:tc>
          <w:tcPr>
            <w:tcW w:w="1187" w:type="dxa"/>
            <w:noWrap/>
          </w:tcPr>
          <w:p w14:paraId="14745D9C" w14:textId="77777777" w:rsidR="0050196F" w:rsidRPr="002325F6" w:rsidRDefault="0050196F" w:rsidP="00B21BD0">
            <w:pPr>
              <w:pStyle w:val="ARGrantstabletextright"/>
              <w:rPr>
                <w:bCs/>
                <w:color w:val="000000"/>
              </w:rPr>
            </w:pPr>
            <w:r w:rsidRPr="002325F6">
              <w:rPr>
                <w:bCs/>
                <w:color w:val="000000"/>
              </w:rPr>
              <w:t>82,500</w:t>
            </w:r>
          </w:p>
        </w:tc>
      </w:tr>
      <w:tr w:rsidR="0050196F" w:rsidRPr="00B6199F" w14:paraId="0E986447" w14:textId="77777777" w:rsidTr="00DB5974">
        <w:tc>
          <w:tcPr>
            <w:tcW w:w="3402" w:type="dxa"/>
            <w:noWrap/>
          </w:tcPr>
          <w:p w14:paraId="2F53B3A6" w14:textId="77777777" w:rsidR="0050196F" w:rsidRPr="002325F6" w:rsidRDefault="0050196F" w:rsidP="00B21BD0">
            <w:pPr>
              <w:pStyle w:val="ARGrantstabletext"/>
              <w:rPr>
                <w:bCs/>
                <w:color w:val="000000"/>
              </w:rPr>
            </w:pPr>
            <w:r w:rsidRPr="002325F6">
              <w:rPr>
                <w:bCs/>
                <w:color w:val="000000"/>
              </w:rPr>
              <w:t>Rushworth P-12 College</w:t>
            </w:r>
          </w:p>
        </w:tc>
        <w:tc>
          <w:tcPr>
            <w:tcW w:w="1187" w:type="dxa"/>
            <w:noWrap/>
          </w:tcPr>
          <w:p w14:paraId="391FA8B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8449E9D" w14:textId="77777777" w:rsidTr="00DB5974">
        <w:tc>
          <w:tcPr>
            <w:tcW w:w="3402" w:type="dxa"/>
            <w:noWrap/>
          </w:tcPr>
          <w:p w14:paraId="074BAB92" w14:textId="77777777" w:rsidR="0050196F" w:rsidRPr="002325F6" w:rsidRDefault="0050196F" w:rsidP="00B21BD0">
            <w:pPr>
              <w:pStyle w:val="ARGrantstabletext"/>
              <w:rPr>
                <w:bCs/>
                <w:color w:val="000000"/>
              </w:rPr>
            </w:pPr>
            <w:r w:rsidRPr="002325F6">
              <w:rPr>
                <w:bCs/>
                <w:color w:val="000000"/>
              </w:rPr>
              <w:t>Salamfest</w:t>
            </w:r>
          </w:p>
        </w:tc>
        <w:tc>
          <w:tcPr>
            <w:tcW w:w="1187" w:type="dxa"/>
            <w:noWrap/>
          </w:tcPr>
          <w:p w14:paraId="7D01C738"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DF5A567" w14:textId="77777777" w:rsidTr="00DB5974">
        <w:tc>
          <w:tcPr>
            <w:tcW w:w="3402" w:type="dxa"/>
            <w:noWrap/>
          </w:tcPr>
          <w:p w14:paraId="0B85BCD6" w14:textId="77777777" w:rsidR="0050196F" w:rsidRPr="002325F6" w:rsidRDefault="0050196F" w:rsidP="00B21BD0">
            <w:pPr>
              <w:pStyle w:val="ARGrantstabletext"/>
              <w:rPr>
                <w:bCs/>
                <w:color w:val="000000"/>
              </w:rPr>
            </w:pPr>
            <w:r w:rsidRPr="002325F6">
              <w:rPr>
                <w:bCs/>
                <w:color w:val="000000"/>
              </w:rPr>
              <w:t>Sale &amp; District Specialist School</w:t>
            </w:r>
          </w:p>
        </w:tc>
        <w:tc>
          <w:tcPr>
            <w:tcW w:w="1187" w:type="dxa"/>
            <w:noWrap/>
          </w:tcPr>
          <w:p w14:paraId="24AA2261"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CFA8CEA" w14:textId="77777777" w:rsidTr="00DB5974">
        <w:tc>
          <w:tcPr>
            <w:tcW w:w="3402" w:type="dxa"/>
            <w:noWrap/>
          </w:tcPr>
          <w:p w14:paraId="43D722CE" w14:textId="77777777" w:rsidR="0050196F" w:rsidRPr="002325F6" w:rsidRDefault="0050196F" w:rsidP="00B21BD0">
            <w:pPr>
              <w:pStyle w:val="ARGrantstabletext"/>
              <w:rPr>
                <w:bCs/>
                <w:color w:val="000000"/>
              </w:rPr>
            </w:pPr>
            <w:r w:rsidRPr="002325F6">
              <w:rPr>
                <w:bCs/>
                <w:color w:val="000000"/>
              </w:rPr>
              <w:t>Sale College</w:t>
            </w:r>
          </w:p>
        </w:tc>
        <w:tc>
          <w:tcPr>
            <w:tcW w:w="1187" w:type="dxa"/>
            <w:noWrap/>
          </w:tcPr>
          <w:p w14:paraId="2F5F1021"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03C6E44" w14:textId="77777777" w:rsidTr="00DB5974">
        <w:tc>
          <w:tcPr>
            <w:tcW w:w="3402" w:type="dxa"/>
            <w:noWrap/>
          </w:tcPr>
          <w:p w14:paraId="62FCDF6C" w14:textId="77777777" w:rsidR="0050196F" w:rsidRPr="002325F6" w:rsidRDefault="0050196F" w:rsidP="00B21BD0">
            <w:pPr>
              <w:pStyle w:val="ARGrantstabletext"/>
              <w:rPr>
                <w:bCs/>
                <w:color w:val="000000"/>
              </w:rPr>
            </w:pPr>
            <w:r w:rsidRPr="002325F6">
              <w:rPr>
                <w:bCs/>
                <w:color w:val="000000"/>
              </w:rPr>
              <w:t>Selby Community House</w:t>
            </w:r>
          </w:p>
        </w:tc>
        <w:tc>
          <w:tcPr>
            <w:tcW w:w="1187" w:type="dxa"/>
            <w:noWrap/>
          </w:tcPr>
          <w:p w14:paraId="1A141A2A"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D8BF895" w14:textId="77777777" w:rsidTr="00DB5974">
        <w:tc>
          <w:tcPr>
            <w:tcW w:w="3402" w:type="dxa"/>
            <w:noWrap/>
          </w:tcPr>
          <w:p w14:paraId="795ED23C" w14:textId="77777777" w:rsidR="0050196F" w:rsidRPr="002325F6" w:rsidRDefault="0050196F" w:rsidP="00B21BD0">
            <w:pPr>
              <w:pStyle w:val="ARGrantstabletext"/>
              <w:rPr>
                <w:bCs/>
                <w:color w:val="000000"/>
              </w:rPr>
            </w:pPr>
            <w:r w:rsidRPr="002325F6">
              <w:rPr>
                <w:bCs/>
                <w:color w:val="000000"/>
              </w:rPr>
              <w:t>Seymour College (Inclusive Education)</w:t>
            </w:r>
          </w:p>
        </w:tc>
        <w:tc>
          <w:tcPr>
            <w:tcW w:w="1187" w:type="dxa"/>
            <w:noWrap/>
          </w:tcPr>
          <w:p w14:paraId="45B4361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1520595" w14:textId="77777777" w:rsidTr="00DB5974">
        <w:tc>
          <w:tcPr>
            <w:tcW w:w="3402" w:type="dxa"/>
            <w:noWrap/>
          </w:tcPr>
          <w:p w14:paraId="6DCC3901" w14:textId="77777777" w:rsidR="0050196F" w:rsidRPr="002325F6" w:rsidRDefault="0050196F" w:rsidP="00B21BD0">
            <w:pPr>
              <w:pStyle w:val="ARGrantstabletext"/>
              <w:rPr>
                <w:bCs/>
                <w:color w:val="000000"/>
              </w:rPr>
            </w:pPr>
            <w:r w:rsidRPr="002325F6">
              <w:rPr>
                <w:bCs/>
                <w:color w:val="000000"/>
              </w:rPr>
              <w:t>Skene Street Specialist School</w:t>
            </w:r>
          </w:p>
        </w:tc>
        <w:tc>
          <w:tcPr>
            <w:tcW w:w="1187" w:type="dxa"/>
            <w:noWrap/>
          </w:tcPr>
          <w:p w14:paraId="4EB3C323" w14:textId="77777777" w:rsidR="0050196F" w:rsidRPr="002325F6" w:rsidRDefault="0050196F" w:rsidP="00B21BD0">
            <w:pPr>
              <w:pStyle w:val="ARGrantstabletextright"/>
              <w:rPr>
                <w:bCs/>
                <w:color w:val="000000"/>
              </w:rPr>
            </w:pPr>
            <w:r w:rsidRPr="002325F6">
              <w:rPr>
                <w:bCs/>
                <w:color w:val="000000"/>
              </w:rPr>
              <w:t>5,800</w:t>
            </w:r>
          </w:p>
        </w:tc>
      </w:tr>
      <w:tr w:rsidR="0050196F" w:rsidRPr="00B6199F" w14:paraId="239BF4FD" w14:textId="77777777" w:rsidTr="00DB5974">
        <w:tc>
          <w:tcPr>
            <w:tcW w:w="3402" w:type="dxa"/>
            <w:noWrap/>
          </w:tcPr>
          <w:p w14:paraId="22AD063D" w14:textId="77777777" w:rsidR="0050196F" w:rsidRPr="002325F6" w:rsidRDefault="0050196F" w:rsidP="00B21BD0">
            <w:pPr>
              <w:pStyle w:val="ARGrantstabletext"/>
              <w:rPr>
                <w:bCs/>
                <w:color w:val="000000"/>
              </w:rPr>
            </w:pPr>
            <w:r w:rsidRPr="002325F6">
              <w:rPr>
                <w:bCs/>
                <w:color w:val="000000"/>
              </w:rPr>
              <w:t>South East Community Links</w:t>
            </w:r>
          </w:p>
        </w:tc>
        <w:tc>
          <w:tcPr>
            <w:tcW w:w="1187" w:type="dxa"/>
            <w:noWrap/>
          </w:tcPr>
          <w:p w14:paraId="62D51538" w14:textId="77777777" w:rsidR="0050196F" w:rsidRPr="002325F6" w:rsidRDefault="0050196F" w:rsidP="00B21BD0">
            <w:pPr>
              <w:pStyle w:val="ARGrantstabletextright"/>
              <w:rPr>
                <w:bCs/>
                <w:color w:val="000000"/>
              </w:rPr>
            </w:pPr>
            <w:r w:rsidRPr="002325F6">
              <w:rPr>
                <w:bCs/>
                <w:color w:val="000000"/>
              </w:rPr>
              <w:t>208,063</w:t>
            </w:r>
          </w:p>
        </w:tc>
      </w:tr>
      <w:tr w:rsidR="0050196F" w:rsidRPr="00B6199F" w14:paraId="36117A86" w14:textId="77777777" w:rsidTr="00DB5974">
        <w:tc>
          <w:tcPr>
            <w:tcW w:w="3402" w:type="dxa"/>
            <w:noWrap/>
          </w:tcPr>
          <w:p w14:paraId="31125A1D" w14:textId="77777777" w:rsidR="0050196F" w:rsidRPr="002325F6" w:rsidRDefault="0050196F" w:rsidP="00B21BD0">
            <w:pPr>
              <w:pStyle w:val="ARGrantstabletext"/>
              <w:rPr>
                <w:bCs/>
                <w:color w:val="000000"/>
              </w:rPr>
            </w:pPr>
            <w:r w:rsidRPr="002325F6">
              <w:rPr>
                <w:bCs/>
                <w:color w:val="000000"/>
              </w:rPr>
              <w:t>South Gippsland Shire Council</w:t>
            </w:r>
          </w:p>
        </w:tc>
        <w:tc>
          <w:tcPr>
            <w:tcW w:w="1187" w:type="dxa"/>
            <w:noWrap/>
          </w:tcPr>
          <w:p w14:paraId="2817D9F6" w14:textId="77777777" w:rsidR="0050196F" w:rsidRPr="002325F6" w:rsidRDefault="0050196F" w:rsidP="00B21BD0">
            <w:pPr>
              <w:pStyle w:val="ARGrantstabletextright"/>
              <w:rPr>
                <w:bCs/>
                <w:color w:val="000000"/>
              </w:rPr>
            </w:pPr>
            <w:r w:rsidRPr="002325F6">
              <w:rPr>
                <w:bCs/>
                <w:color w:val="000000"/>
              </w:rPr>
              <w:t>80,500</w:t>
            </w:r>
          </w:p>
        </w:tc>
      </w:tr>
      <w:tr w:rsidR="0050196F" w:rsidRPr="00B6199F" w14:paraId="1B6370C9" w14:textId="77777777" w:rsidTr="00DB5974">
        <w:tc>
          <w:tcPr>
            <w:tcW w:w="3402" w:type="dxa"/>
            <w:noWrap/>
          </w:tcPr>
          <w:p w14:paraId="57963D72" w14:textId="77777777" w:rsidR="0050196F" w:rsidRPr="002325F6" w:rsidRDefault="0050196F" w:rsidP="00B21BD0">
            <w:pPr>
              <w:pStyle w:val="ARGrantstabletext"/>
              <w:rPr>
                <w:bCs/>
                <w:color w:val="000000"/>
              </w:rPr>
            </w:pPr>
            <w:r w:rsidRPr="002325F6">
              <w:rPr>
                <w:bCs/>
                <w:color w:val="000000"/>
              </w:rPr>
              <w:t>South Gippsland Specialist School</w:t>
            </w:r>
          </w:p>
        </w:tc>
        <w:tc>
          <w:tcPr>
            <w:tcW w:w="1187" w:type="dxa"/>
            <w:noWrap/>
          </w:tcPr>
          <w:p w14:paraId="39C0254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1DCA4F8" w14:textId="77777777" w:rsidTr="00DB5974">
        <w:tc>
          <w:tcPr>
            <w:tcW w:w="3402" w:type="dxa"/>
            <w:noWrap/>
          </w:tcPr>
          <w:p w14:paraId="50EA8DE2" w14:textId="77777777" w:rsidR="0050196F" w:rsidRPr="002325F6" w:rsidRDefault="0050196F" w:rsidP="00B21BD0">
            <w:pPr>
              <w:pStyle w:val="ARGrantstabletext"/>
              <w:rPr>
                <w:bCs/>
                <w:color w:val="000000"/>
              </w:rPr>
            </w:pPr>
            <w:r w:rsidRPr="002325F6">
              <w:rPr>
                <w:bCs/>
                <w:color w:val="000000"/>
              </w:rPr>
              <w:t>Southern Grampians Shire Council</w:t>
            </w:r>
          </w:p>
        </w:tc>
        <w:tc>
          <w:tcPr>
            <w:tcW w:w="1187" w:type="dxa"/>
            <w:noWrap/>
          </w:tcPr>
          <w:p w14:paraId="51520026"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6C55C25B" w14:textId="77777777" w:rsidTr="00DB5974">
        <w:tc>
          <w:tcPr>
            <w:tcW w:w="3402" w:type="dxa"/>
            <w:noWrap/>
          </w:tcPr>
          <w:p w14:paraId="18B19EE7" w14:textId="4D505E14" w:rsidR="0050196F" w:rsidRPr="002325F6" w:rsidRDefault="0050196F" w:rsidP="00B21BD0">
            <w:pPr>
              <w:pStyle w:val="ARGrantstabletext"/>
              <w:rPr>
                <w:bCs/>
                <w:color w:val="000000"/>
              </w:rPr>
            </w:pPr>
            <w:r w:rsidRPr="002325F6">
              <w:rPr>
                <w:bCs/>
                <w:color w:val="000000"/>
              </w:rPr>
              <w:t>Springvale Park Special Developmental</w:t>
            </w:r>
            <w:r w:rsidR="00083017">
              <w:rPr>
                <w:bCs/>
                <w:color w:val="000000"/>
              </w:rPr>
              <w:t> </w:t>
            </w:r>
            <w:r w:rsidRPr="002325F6">
              <w:rPr>
                <w:bCs/>
                <w:color w:val="000000"/>
              </w:rPr>
              <w:t>School</w:t>
            </w:r>
          </w:p>
        </w:tc>
        <w:tc>
          <w:tcPr>
            <w:tcW w:w="1187" w:type="dxa"/>
            <w:noWrap/>
          </w:tcPr>
          <w:p w14:paraId="7129D17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2812338" w14:textId="77777777" w:rsidTr="00DB5974">
        <w:tc>
          <w:tcPr>
            <w:tcW w:w="3402" w:type="dxa"/>
            <w:noWrap/>
          </w:tcPr>
          <w:p w14:paraId="310E0E47" w14:textId="77777777" w:rsidR="0050196F" w:rsidRPr="002325F6" w:rsidRDefault="0050196F" w:rsidP="00B21BD0">
            <w:pPr>
              <w:pStyle w:val="ARGrantstabletext"/>
              <w:rPr>
                <w:bCs/>
                <w:color w:val="000000"/>
              </w:rPr>
            </w:pPr>
            <w:r w:rsidRPr="002325F6">
              <w:rPr>
                <w:bCs/>
                <w:color w:val="000000"/>
              </w:rPr>
              <w:t>St Albans Secondary College</w:t>
            </w:r>
          </w:p>
        </w:tc>
        <w:tc>
          <w:tcPr>
            <w:tcW w:w="1187" w:type="dxa"/>
            <w:noWrap/>
          </w:tcPr>
          <w:p w14:paraId="03467EF5"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5A34A7D" w14:textId="77777777" w:rsidTr="00DB5974">
        <w:tc>
          <w:tcPr>
            <w:tcW w:w="3402" w:type="dxa"/>
            <w:noWrap/>
          </w:tcPr>
          <w:p w14:paraId="6F30E73F" w14:textId="290DD569" w:rsidR="0050196F" w:rsidRPr="00EA2AB7" w:rsidRDefault="0050196F" w:rsidP="00B21BD0">
            <w:pPr>
              <w:pStyle w:val="ARGrantstabletext"/>
              <w:rPr>
                <w:bCs/>
                <w:color w:val="000000"/>
                <w:spacing w:val="-4"/>
              </w:rPr>
            </w:pPr>
            <w:r w:rsidRPr="00EA2AB7">
              <w:rPr>
                <w:bCs/>
                <w:color w:val="000000"/>
                <w:spacing w:val="-4"/>
              </w:rPr>
              <w:t>St Margaret</w:t>
            </w:r>
            <w:r w:rsidR="00711AE6">
              <w:rPr>
                <w:bCs/>
                <w:color w:val="000000"/>
                <w:spacing w:val="-4"/>
              </w:rPr>
              <w:t>’</w:t>
            </w:r>
            <w:r w:rsidRPr="00EA2AB7">
              <w:rPr>
                <w:bCs/>
                <w:color w:val="000000"/>
                <w:spacing w:val="-4"/>
              </w:rPr>
              <w:t>s Berwick Grammar INTERACT</w:t>
            </w:r>
            <w:r w:rsidR="00083017">
              <w:rPr>
                <w:bCs/>
                <w:color w:val="000000"/>
                <w:spacing w:val="-4"/>
              </w:rPr>
              <w:t> </w:t>
            </w:r>
            <w:r w:rsidRPr="00EA2AB7">
              <w:rPr>
                <w:bCs/>
                <w:color w:val="000000"/>
                <w:spacing w:val="-4"/>
              </w:rPr>
              <w:t>Club</w:t>
            </w:r>
          </w:p>
        </w:tc>
        <w:tc>
          <w:tcPr>
            <w:tcW w:w="1187" w:type="dxa"/>
            <w:noWrap/>
          </w:tcPr>
          <w:p w14:paraId="42244CCE" w14:textId="77777777" w:rsidR="0050196F" w:rsidRPr="002325F6" w:rsidRDefault="0050196F" w:rsidP="00B21BD0">
            <w:pPr>
              <w:pStyle w:val="ARGrantstabletextright"/>
              <w:rPr>
                <w:bCs/>
                <w:color w:val="000000"/>
              </w:rPr>
            </w:pPr>
            <w:r w:rsidRPr="002325F6">
              <w:rPr>
                <w:bCs/>
                <w:color w:val="000000"/>
              </w:rPr>
              <w:t>1,700</w:t>
            </w:r>
          </w:p>
        </w:tc>
      </w:tr>
      <w:tr w:rsidR="0050196F" w:rsidRPr="00B6199F" w14:paraId="32916F67" w14:textId="77777777" w:rsidTr="00DB5974">
        <w:tc>
          <w:tcPr>
            <w:tcW w:w="3402" w:type="dxa"/>
            <w:noWrap/>
          </w:tcPr>
          <w:p w14:paraId="646D541B" w14:textId="12C0F82F" w:rsidR="0050196F" w:rsidRPr="002325F6" w:rsidRDefault="0050196F" w:rsidP="00B21BD0">
            <w:pPr>
              <w:pStyle w:val="ARGrantstabletext"/>
              <w:rPr>
                <w:bCs/>
                <w:color w:val="000000"/>
              </w:rPr>
            </w:pPr>
            <w:r w:rsidRPr="002325F6">
              <w:rPr>
                <w:bCs/>
                <w:color w:val="000000"/>
              </w:rPr>
              <w:t>St Mary</w:t>
            </w:r>
            <w:r w:rsidR="00711AE6">
              <w:rPr>
                <w:bCs/>
                <w:color w:val="000000"/>
              </w:rPr>
              <w:t>’</w:t>
            </w:r>
            <w:r w:rsidRPr="002325F6">
              <w:rPr>
                <w:bCs/>
                <w:color w:val="000000"/>
              </w:rPr>
              <w:t>s Syro-Malabar Parish Melbourne</w:t>
            </w:r>
            <w:r w:rsidR="00083017">
              <w:rPr>
                <w:bCs/>
                <w:color w:val="000000"/>
              </w:rPr>
              <w:t> </w:t>
            </w:r>
            <w:r w:rsidRPr="002325F6">
              <w:rPr>
                <w:bCs/>
                <w:color w:val="000000"/>
              </w:rPr>
              <w:t>West</w:t>
            </w:r>
          </w:p>
        </w:tc>
        <w:tc>
          <w:tcPr>
            <w:tcW w:w="1187" w:type="dxa"/>
            <w:noWrap/>
          </w:tcPr>
          <w:p w14:paraId="51408093"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646DC822" w14:textId="77777777" w:rsidTr="00DB5974">
        <w:tc>
          <w:tcPr>
            <w:tcW w:w="3402" w:type="dxa"/>
            <w:noWrap/>
          </w:tcPr>
          <w:p w14:paraId="106BA0C2" w14:textId="77777777" w:rsidR="0050196F" w:rsidRPr="002325F6" w:rsidRDefault="0050196F" w:rsidP="00B21BD0">
            <w:pPr>
              <w:pStyle w:val="ARGrantstabletext"/>
              <w:rPr>
                <w:bCs/>
                <w:color w:val="000000"/>
              </w:rPr>
            </w:pPr>
            <w:r w:rsidRPr="002325F6">
              <w:rPr>
                <w:bCs/>
                <w:color w:val="000000"/>
              </w:rPr>
              <w:t>Staughton College</w:t>
            </w:r>
          </w:p>
        </w:tc>
        <w:tc>
          <w:tcPr>
            <w:tcW w:w="1187" w:type="dxa"/>
            <w:noWrap/>
          </w:tcPr>
          <w:p w14:paraId="0C02D9E4"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68FC47F" w14:textId="77777777" w:rsidTr="00DB5974">
        <w:tc>
          <w:tcPr>
            <w:tcW w:w="3402" w:type="dxa"/>
            <w:noWrap/>
          </w:tcPr>
          <w:p w14:paraId="62A3A50E" w14:textId="77777777" w:rsidR="0050196F" w:rsidRPr="002325F6" w:rsidRDefault="0050196F" w:rsidP="00B21BD0">
            <w:pPr>
              <w:pStyle w:val="ARGrantstabletext"/>
              <w:rPr>
                <w:bCs/>
                <w:color w:val="000000"/>
              </w:rPr>
            </w:pPr>
            <w:r w:rsidRPr="002325F6">
              <w:rPr>
                <w:bCs/>
                <w:color w:val="000000"/>
              </w:rPr>
              <w:t>Stonnington City Council</w:t>
            </w:r>
          </w:p>
        </w:tc>
        <w:tc>
          <w:tcPr>
            <w:tcW w:w="1187" w:type="dxa"/>
            <w:noWrap/>
          </w:tcPr>
          <w:p w14:paraId="3AFFE8B9" w14:textId="77777777" w:rsidR="0050196F" w:rsidRPr="002325F6" w:rsidRDefault="0050196F" w:rsidP="00B21BD0">
            <w:pPr>
              <w:pStyle w:val="ARGrantstabletextright"/>
              <w:rPr>
                <w:bCs/>
                <w:color w:val="000000"/>
              </w:rPr>
            </w:pPr>
            <w:r w:rsidRPr="002325F6">
              <w:rPr>
                <w:bCs/>
                <w:color w:val="000000"/>
              </w:rPr>
              <w:t>64,500</w:t>
            </w:r>
          </w:p>
        </w:tc>
      </w:tr>
      <w:tr w:rsidR="0050196F" w:rsidRPr="00B6199F" w14:paraId="144795CE" w14:textId="77777777" w:rsidTr="00DB5974">
        <w:tc>
          <w:tcPr>
            <w:tcW w:w="3402" w:type="dxa"/>
            <w:noWrap/>
          </w:tcPr>
          <w:p w14:paraId="5471F3F5" w14:textId="77777777" w:rsidR="0050196F" w:rsidRPr="002325F6" w:rsidRDefault="0050196F" w:rsidP="00B21BD0">
            <w:pPr>
              <w:pStyle w:val="ARGrantstabletext"/>
              <w:rPr>
                <w:bCs/>
                <w:color w:val="000000"/>
              </w:rPr>
            </w:pPr>
            <w:r w:rsidRPr="002325F6">
              <w:rPr>
                <w:bCs/>
                <w:color w:val="000000"/>
              </w:rPr>
              <w:t>Strathbogie Shire Council</w:t>
            </w:r>
          </w:p>
        </w:tc>
        <w:tc>
          <w:tcPr>
            <w:tcW w:w="1187" w:type="dxa"/>
            <w:noWrap/>
          </w:tcPr>
          <w:p w14:paraId="32A8E435"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57AF3DED" w14:textId="77777777" w:rsidTr="00DB5974">
        <w:tc>
          <w:tcPr>
            <w:tcW w:w="3402" w:type="dxa"/>
            <w:noWrap/>
          </w:tcPr>
          <w:p w14:paraId="194ABD6E" w14:textId="77777777" w:rsidR="0050196F" w:rsidRPr="002325F6" w:rsidRDefault="0050196F" w:rsidP="00B21BD0">
            <w:pPr>
              <w:pStyle w:val="ARGrantstabletext"/>
              <w:rPr>
                <w:bCs/>
                <w:color w:val="000000"/>
              </w:rPr>
            </w:pPr>
            <w:r w:rsidRPr="002325F6">
              <w:rPr>
                <w:bCs/>
                <w:color w:val="000000"/>
              </w:rPr>
              <w:t>Stride Mental Health</w:t>
            </w:r>
          </w:p>
        </w:tc>
        <w:tc>
          <w:tcPr>
            <w:tcW w:w="1187" w:type="dxa"/>
            <w:noWrap/>
          </w:tcPr>
          <w:p w14:paraId="6351E446"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17FFE97" w14:textId="77777777" w:rsidTr="00DB5974">
        <w:tc>
          <w:tcPr>
            <w:tcW w:w="3402" w:type="dxa"/>
            <w:noWrap/>
          </w:tcPr>
          <w:p w14:paraId="78E78788" w14:textId="0FFDF127" w:rsidR="0050196F" w:rsidRPr="002325F6" w:rsidRDefault="0050196F" w:rsidP="00B21BD0">
            <w:pPr>
              <w:pStyle w:val="ARGrantstabletext"/>
              <w:rPr>
                <w:bCs/>
                <w:color w:val="000000"/>
              </w:rPr>
            </w:pPr>
            <w:r w:rsidRPr="002325F6">
              <w:rPr>
                <w:bCs/>
                <w:color w:val="000000"/>
              </w:rPr>
              <w:t xml:space="preserve">Student Youth Network </w:t>
            </w:r>
            <w:r w:rsidR="003B5B30">
              <w:rPr>
                <w:bCs/>
                <w:color w:val="000000"/>
              </w:rPr>
              <w:t>Inc</w:t>
            </w:r>
          </w:p>
        </w:tc>
        <w:tc>
          <w:tcPr>
            <w:tcW w:w="1187" w:type="dxa"/>
            <w:noWrap/>
          </w:tcPr>
          <w:p w14:paraId="654775D3" w14:textId="77777777" w:rsidR="0050196F" w:rsidRPr="002325F6" w:rsidRDefault="0050196F" w:rsidP="00B21BD0">
            <w:pPr>
              <w:pStyle w:val="ARGrantstabletextright"/>
              <w:rPr>
                <w:bCs/>
                <w:color w:val="000000"/>
              </w:rPr>
            </w:pPr>
            <w:r w:rsidRPr="002325F6">
              <w:rPr>
                <w:bCs/>
                <w:color w:val="000000"/>
              </w:rPr>
              <w:t>100,000</w:t>
            </w:r>
          </w:p>
        </w:tc>
      </w:tr>
      <w:tr w:rsidR="0050196F" w:rsidRPr="00B6199F" w14:paraId="43B6E45A" w14:textId="77777777" w:rsidTr="00DB5974">
        <w:tc>
          <w:tcPr>
            <w:tcW w:w="3402" w:type="dxa"/>
            <w:noWrap/>
          </w:tcPr>
          <w:p w14:paraId="26569FA7" w14:textId="77777777" w:rsidR="0050196F" w:rsidRPr="002325F6" w:rsidRDefault="0050196F" w:rsidP="00B21BD0">
            <w:pPr>
              <w:pStyle w:val="ARGrantstabletext"/>
              <w:rPr>
                <w:bCs/>
                <w:color w:val="000000"/>
              </w:rPr>
            </w:pPr>
            <w:r w:rsidRPr="002325F6">
              <w:rPr>
                <w:bCs/>
                <w:color w:val="000000"/>
              </w:rPr>
              <w:t>Sunraysia Community Health Services</w:t>
            </w:r>
          </w:p>
        </w:tc>
        <w:tc>
          <w:tcPr>
            <w:tcW w:w="1187" w:type="dxa"/>
            <w:noWrap/>
          </w:tcPr>
          <w:p w14:paraId="6437975E"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0720B23D" w14:textId="77777777" w:rsidTr="00DB5974">
        <w:tc>
          <w:tcPr>
            <w:tcW w:w="3402" w:type="dxa"/>
            <w:noWrap/>
          </w:tcPr>
          <w:p w14:paraId="5A6321C4" w14:textId="77777777" w:rsidR="0050196F" w:rsidRPr="002325F6" w:rsidRDefault="0050196F" w:rsidP="00B21BD0">
            <w:pPr>
              <w:pStyle w:val="ARGrantstabletext"/>
              <w:rPr>
                <w:bCs/>
                <w:color w:val="000000"/>
              </w:rPr>
            </w:pPr>
            <w:r w:rsidRPr="002325F6">
              <w:rPr>
                <w:bCs/>
                <w:color w:val="000000"/>
              </w:rPr>
              <w:t>Sunshine College (Senior Campus)</w:t>
            </w:r>
          </w:p>
        </w:tc>
        <w:tc>
          <w:tcPr>
            <w:tcW w:w="1187" w:type="dxa"/>
            <w:noWrap/>
          </w:tcPr>
          <w:p w14:paraId="28134A93"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9C85DC8" w14:textId="77777777" w:rsidTr="00DB5974">
        <w:tc>
          <w:tcPr>
            <w:tcW w:w="3402" w:type="dxa"/>
            <w:noWrap/>
          </w:tcPr>
          <w:p w14:paraId="0C62708E" w14:textId="77777777" w:rsidR="0050196F" w:rsidRPr="002325F6" w:rsidRDefault="0050196F" w:rsidP="00B21BD0">
            <w:pPr>
              <w:pStyle w:val="ARGrantstabletext"/>
              <w:rPr>
                <w:bCs/>
                <w:color w:val="000000"/>
              </w:rPr>
            </w:pPr>
            <w:r w:rsidRPr="002325F6">
              <w:rPr>
                <w:bCs/>
                <w:color w:val="000000"/>
              </w:rPr>
              <w:t>Sunshine Special Developmental School</w:t>
            </w:r>
          </w:p>
        </w:tc>
        <w:tc>
          <w:tcPr>
            <w:tcW w:w="1187" w:type="dxa"/>
            <w:noWrap/>
          </w:tcPr>
          <w:p w14:paraId="3784B96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078163D" w14:textId="77777777" w:rsidTr="00DB5974">
        <w:tc>
          <w:tcPr>
            <w:tcW w:w="3402" w:type="dxa"/>
            <w:noWrap/>
          </w:tcPr>
          <w:p w14:paraId="16C2AD8E" w14:textId="77777777" w:rsidR="0050196F" w:rsidRPr="002325F6" w:rsidRDefault="0050196F" w:rsidP="00B21BD0">
            <w:pPr>
              <w:pStyle w:val="ARGrantstabletext"/>
              <w:rPr>
                <w:bCs/>
                <w:color w:val="000000"/>
              </w:rPr>
            </w:pPr>
            <w:r w:rsidRPr="002325F6">
              <w:rPr>
                <w:bCs/>
                <w:color w:val="000000"/>
              </w:rPr>
              <w:t>Surf Coast Shire Council</w:t>
            </w:r>
          </w:p>
        </w:tc>
        <w:tc>
          <w:tcPr>
            <w:tcW w:w="1187" w:type="dxa"/>
            <w:noWrap/>
          </w:tcPr>
          <w:p w14:paraId="4588E9A4" w14:textId="77777777" w:rsidR="0050196F" w:rsidRPr="002325F6" w:rsidRDefault="0050196F" w:rsidP="00B21BD0">
            <w:pPr>
              <w:pStyle w:val="ARGrantstabletextright"/>
              <w:rPr>
                <w:bCs/>
                <w:color w:val="000000"/>
              </w:rPr>
            </w:pPr>
            <w:r w:rsidRPr="002325F6">
              <w:rPr>
                <w:bCs/>
                <w:color w:val="000000"/>
              </w:rPr>
              <w:t>117,500</w:t>
            </w:r>
          </w:p>
        </w:tc>
      </w:tr>
      <w:tr w:rsidR="0050196F" w:rsidRPr="00B6199F" w14:paraId="714E2A07" w14:textId="77777777" w:rsidTr="00DB5974">
        <w:tc>
          <w:tcPr>
            <w:tcW w:w="3402" w:type="dxa"/>
            <w:noWrap/>
          </w:tcPr>
          <w:p w14:paraId="09F9FDF3" w14:textId="77777777" w:rsidR="0050196F" w:rsidRPr="002325F6" w:rsidRDefault="0050196F" w:rsidP="00B21BD0">
            <w:pPr>
              <w:pStyle w:val="ARGrantstabletext"/>
              <w:rPr>
                <w:bCs/>
                <w:color w:val="000000"/>
              </w:rPr>
            </w:pPr>
            <w:r w:rsidRPr="002325F6">
              <w:rPr>
                <w:bCs/>
                <w:color w:val="000000"/>
              </w:rPr>
              <w:t>Sussex Neighbourhood House</w:t>
            </w:r>
          </w:p>
        </w:tc>
        <w:tc>
          <w:tcPr>
            <w:tcW w:w="1187" w:type="dxa"/>
            <w:noWrap/>
          </w:tcPr>
          <w:p w14:paraId="56901A4F" w14:textId="77777777" w:rsidR="0050196F" w:rsidRPr="002325F6" w:rsidRDefault="0050196F" w:rsidP="00B21BD0">
            <w:pPr>
              <w:pStyle w:val="ARGrantstabletextright"/>
              <w:rPr>
                <w:bCs/>
                <w:color w:val="000000"/>
              </w:rPr>
            </w:pPr>
            <w:r w:rsidRPr="002325F6">
              <w:rPr>
                <w:bCs/>
                <w:color w:val="000000"/>
              </w:rPr>
              <w:t>47,000</w:t>
            </w:r>
          </w:p>
        </w:tc>
      </w:tr>
      <w:tr w:rsidR="0050196F" w:rsidRPr="00B6199F" w14:paraId="5142CC50" w14:textId="77777777" w:rsidTr="00DB5974">
        <w:tc>
          <w:tcPr>
            <w:tcW w:w="3402" w:type="dxa"/>
            <w:noWrap/>
          </w:tcPr>
          <w:p w14:paraId="5EAF4CDF" w14:textId="77777777" w:rsidR="0050196F" w:rsidRPr="002325F6" w:rsidRDefault="0050196F" w:rsidP="00B21BD0">
            <w:pPr>
              <w:pStyle w:val="ARGrantstabletext"/>
              <w:rPr>
                <w:bCs/>
                <w:color w:val="000000"/>
              </w:rPr>
            </w:pPr>
            <w:r w:rsidRPr="002325F6">
              <w:rPr>
                <w:bCs/>
                <w:color w:val="000000"/>
              </w:rPr>
              <w:t>Swan Hill College</w:t>
            </w:r>
          </w:p>
        </w:tc>
        <w:tc>
          <w:tcPr>
            <w:tcW w:w="1187" w:type="dxa"/>
            <w:noWrap/>
          </w:tcPr>
          <w:p w14:paraId="0624EA7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39345E8" w14:textId="77777777" w:rsidTr="00DB5974">
        <w:tc>
          <w:tcPr>
            <w:tcW w:w="3402" w:type="dxa"/>
            <w:noWrap/>
          </w:tcPr>
          <w:p w14:paraId="0AA4FC0C" w14:textId="77777777" w:rsidR="0050196F" w:rsidRPr="002325F6" w:rsidRDefault="0050196F" w:rsidP="00B21BD0">
            <w:pPr>
              <w:pStyle w:val="ARGrantstabletext"/>
              <w:rPr>
                <w:bCs/>
                <w:color w:val="000000"/>
              </w:rPr>
            </w:pPr>
            <w:r w:rsidRPr="002325F6">
              <w:rPr>
                <w:bCs/>
                <w:color w:val="000000"/>
              </w:rPr>
              <w:t>Swan Hill Rural City Council</w:t>
            </w:r>
          </w:p>
        </w:tc>
        <w:tc>
          <w:tcPr>
            <w:tcW w:w="1187" w:type="dxa"/>
            <w:noWrap/>
          </w:tcPr>
          <w:p w14:paraId="766609CF" w14:textId="77777777" w:rsidR="0050196F" w:rsidRPr="002325F6" w:rsidRDefault="0050196F" w:rsidP="00B21BD0">
            <w:pPr>
              <w:pStyle w:val="ARGrantstabletextright"/>
              <w:rPr>
                <w:bCs/>
                <w:color w:val="000000"/>
              </w:rPr>
            </w:pPr>
            <w:r w:rsidRPr="002325F6">
              <w:rPr>
                <w:bCs/>
                <w:color w:val="000000"/>
              </w:rPr>
              <w:t>241,563</w:t>
            </w:r>
          </w:p>
        </w:tc>
      </w:tr>
      <w:tr w:rsidR="0050196F" w:rsidRPr="00B6199F" w14:paraId="0976C557" w14:textId="77777777" w:rsidTr="00DB5974">
        <w:tc>
          <w:tcPr>
            <w:tcW w:w="3402" w:type="dxa"/>
            <w:noWrap/>
          </w:tcPr>
          <w:p w14:paraId="03EDAAEE" w14:textId="77777777" w:rsidR="0050196F" w:rsidRPr="002325F6" w:rsidRDefault="0050196F" w:rsidP="00B21BD0">
            <w:pPr>
              <w:pStyle w:val="ARGrantstabletext"/>
              <w:rPr>
                <w:bCs/>
                <w:color w:val="000000"/>
              </w:rPr>
            </w:pPr>
            <w:r w:rsidRPr="002325F6">
              <w:rPr>
                <w:bCs/>
                <w:color w:val="000000"/>
              </w:rPr>
              <w:t>Swan Hill Specialist School</w:t>
            </w:r>
          </w:p>
        </w:tc>
        <w:tc>
          <w:tcPr>
            <w:tcW w:w="1187" w:type="dxa"/>
            <w:noWrap/>
          </w:tcPr>
          <w:p w14:paraId="4FC3112D"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CB535F2" w14:textId="77777777" w:rsidTr="00DB5974">
        <w:tc>
          <w:tcPr>
            <w:tcW w:w="3402" w:type="dxa"/>
            <w:noWrap/>
          </w:tcPr>
          <w:p w14:paraId="2C7D53DA" w14:textId="77777777" w:rsidR="0050196F" w:rsidRPr="002325F6" w:rsidRDefault="0050196F" w:rsidP="00B21BD0">
            <w:pPr>
              <w:pStyle w:val="ARGrantstabletext"/>
              <w:rPr>
                <w:bCs/>
                <w:color w:val="000000"/>
              </w:rPr>
            </w:pPr>
            <w:r w:rsidRPr="002325F6">
              <w:rPr>
                <w:bCs/>
                <w:color w:val="000000"/>
              </w:rPr>
              <w:t>Sydney Road Community School</w:t>
            </w:r>
          </w:p>
        </w:tc>
        <w:tc>
          <w:tcPr>
            <w:tcW w:w="1187" w:type="dxa"/>
            <w:noWrap/>
          </w:tcPr>
          <w:p w14:paraId="5F06A35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0BCCA3E" w14:textId="77777777" w:rsidTr="00DB5974">
        <w:tc>
          <w:tcPr>
            <w:tcW w:w="3402" w:type="dxa"/>
            <w:noWrap/>
          </w:tcPr>
          <w:p w14:paraId="6EE3499F" w14:textId="77777777" w:rsidR="0050196F" w:rsidRPr="002325F6" w:rsidRDefault="0050196F" w:rsidP="00B21BD0">
            <w:pPr>
              <w:pStyle w:val="ARGrantstabletext"/>
              <w:rPr>
                <w:bCs/>
                <w:color w:val="000000"/>
              </w:rPr>
            </w:pPr>
            <w:r w:rsidRPr="002325F6">
              <w:rPr>
                <w:bCs/>
                <w:color w:val="000000"/>
              </w:rPr>
              <w:t>Tarneit Senior College</w:t>
            </w:r>
          </w:p>
        </w:tc>
        <w:tc>
          <w:tcPr>
            <w:tcW w:w="1187" w:type="dxa"/>
            <w:noWrap/>
          </w:tcPr>
          <w:p w14:paraId="208C484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6F8B611" w14:textId="77777777" w:rsidTr="00DB5974">
        <w:tc>
          <w:tcPr>
            <w:tcW w:w="3402" w:type="dxa"/>
            <w:noWrap/>
          </w:tcPr>
          <w:p w14:paraId="25A78431" w14:textId="77777777" w:rsidR="0050196F" w:rsidRPr="002325F6" w:rsidRDefault="0050196F" w:rsidP="00B21BD0">
            <w:pPr>
              <w:pStyle w:val="ARGrantstabletext"/>
              <w:rPr>
                <w:bCs/>
                <w:color w:val="000000"/>
              </w:rPr>
            </w:pPr>
            <w:r w:rsidRPr="002325F6">
              <w:rPr>
                <w:bCs/>
                <w:color w:val="000000"/>
              </w:rPr>
              <w:t>Templestowe College</w:t>
            </w:r>
          </w:p>
        </w:tc>
        <w:tc>
          <w:tcPr>
            <w:tcW w:w="1187" w:type="dxa"/>
            <w:noWrap/>
          </w:tcPr>
          <w:p w14:paraId="26871336"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7CC010D0" w14:textId="77777777" w:rsidTr="00DB5974">
        <w:tc>
          <w:tcPr>
            <w:tcW w:w="3402" w:type="dxa"/>
            <w:noWrap/>
          </w:tcPr>
          <w:p w14:paraId="2E6D6D8A" w14:textId="44C1A3EF" w:rsidR="0050196F" w:rsidRPr="002325F6" w:rsidRDefault="0050196F" w:rsidP="00B21BD0">
            <w:pPr>
              <w:pStyle w:val="ARGrantstabletext"/>
              <w:rPr>
                <w:bCs/>
                <w:color w:val="000000"/>
              </w:rPr>
            </w:pPr>
            <w:r w:rsidRPr="002325F6">
              <w:rPr>
                <w:bCs/>
                <w:color w:val="000000"/>
              </w:rPr>
              <w:t>The Dandenong Ranges Music Council</w:t>
            </w:r>
            <w:r w:rsidR="00DB5974">
              <w:rPr>
                <w:bCs/>
                <w:color w:val="000000"/>
              </w:rPr>
              <w:t> </w:t>
            </w:r>
            <w:r w:rsidRPr="002325F6">
              <w:rPr>
                <w:bCs/>
                <w:color w:val="000000"/>
              </w:rPr>
              <w:t>Inc</w:t>
            </w:r>
          </w:p>
        </w:tc>
        <w:tc>
          <w:tcPr>
            <w:tcW w:w="1187" w:type="dxa"/>
            <w:noWrap/>
          </w:tcPr>
          <w:p w14:paraId="371005EC"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C93B4DA" w14:textId="77777777" w:rsidTr="00DB5974">
        <w:tc>
          <w:tcPr>
            <w:tcW w:w="3402" w:type="dxa"/>
            <w:noWrap/>
          </w:tcPr>
          <w:p w14:paraId="6F51F2D9" w14:textId="77777777" w:rsidR="0050196F" w:rsidRPr="002325F6" w:rsidRDefault="0050196F" w:rsidP="00B21BD0">
            <w:pPr>
              <w:pStyle w:val="ARGrantstabletext"/>
              <w:rPr>
                <w:bCs/>
                <w:color w:val="000000"/>
              </w:rPr>
            </w:pPr>
            <w:r w:rsidRPr="002325F6">
              <w:rPr>
                <w:bCs/>
                <w:color w:val="000000"/>
              </w:rPr>
              <w:t>The Foundation for Young Australians</w:t>
            </w:r>
          </w:p>
        </w:tc>
        <w:tc>
          <w:tcPr>
            <w:tcW w:w="1187" w:type="dxa"/>
            <w:noWrap/>
          </w:tcPr>
          <w:p w14:paraId="35DE4F44"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60212FCB" w14:textId="77777777" w:rsidTr="00DB5974">
        <w:tc>
          <w:tcPr>
            <w:tcW w:w="3402" w:type="dxa"/>
            <w:noWrap/>
          </w:tcPr>
          <w:p w14:paraId="398DDE2C" w14:textId="77777777" w:rsidR="0050196F" w:rsidRPr="002325F6" w:rsidRDefault="0050196F" w:rsidP="00B21BD0">
            <w:pPr>
              <w:pStyle w:val="ARGrantstabletext"/>
              <w:rPr>
                <w:bCs/>
                <w:color w:val="000000"/>
              </w:rPr>
            </w:pPr>
            <w:r w:rsidRPr="002325F6">
              <w:rPr>
                <w:bCs/>
                <w:color w:val="000000"/>
              </w:rPr>
              <w:t>The G</w:t>
            </w:r>
            <w:r>
              <w:rPr>
                <w:bCs/>
                <w:color w:val="000000"/>
              </w:rPr>
              <w:t>R</w:t>
            </w:r>
            <w:r w:rsidRPr="002325F6">
              <w:rPr>
                <w:bCs/>
                <w:color w:val="000000"/>
              </w:rPr>
              <w:t>8 M8</w:t>
            </w:r>
            <w:r>
              <w:rPr>
                <w:bCs/>
                <w:color w:val="000000"/>
              </w:rPr>
              <w:t>S</w:t>
            </w:r>
            <w:r w:rsidRPr="002325F6">
              <w:rPr>
                <w:bCs/>
                <w:color w:val="000000"/>
              </w:rPr>
              <w:t xml:space="preserve"> Foundation</w:t>
            </w:r>
          </w:p>
        </w:tc>
        <w:tc>
          <w:tcPr>
            <w:tcW w:w="1187" w:type="dxa"/>
            <w:noWrap/>
          </w:tcPr>
          <w:p w14:paraId="129102B2"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811690E" w14:textId="77777777" w:rsidTr="00DB5974">
        <w:tc>
          <w:tcPr>
            <w:tcW w:w="3402" w:type="dxa"/>
            <w:noWrap/>
          </w:tcPr>
          <w:p w14:paraId="7433635F" w14:textId="77777777" w:rsidR="0050196F" w:rsidRPr="002325F6" w:rsidRDefault="0050196F" w:rsidP="00B21BD0">
            <w:pPr>
              <w:pStyle w:val="ARGrantstabletext"/>
              <w:rPr>
                <w:bCs/>
                <w:color w:val="000000"/>
              </w:rPr>
            </w:pPr>
            <w:r w:rsidRPr="002325F6">
              <w:rPr>
                <w:bCs/>
                <w:color w:val="000000"/>
              </w:rPr>
              <w:t>The Grange P-12 College</w:t>
            </w:r>
          </w:p>
        </w:tc>
        <w:tc>
          <w:tcPr>
            <w:tcW w:w="1187" w:type="dxa"/>
            <w:noWrap/>
          </w:tcPr>
          <w:p w14:paraId="7278318A"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04BCCB3" w14:textId="77777777" w:rsidTr="00DB5974">
        <w:tc>
          <w:tcPr>
            <w:tcW w:w="3402" w:type="dxa"/>
            <w:noWrap/>
          </w:tcPr>
          <w:p w14:paraId="1EF8038C" w14:textId="77777777" w:rsidR="0050196F" w:rsidRPr="002325F6" w:rsidRDefault="0050196F" w:rsidP="00B21BD0">
            <w:pPr>
              <w:pStyle w:val="ARGrantstabletext"/>
              <w:rPr>
                <w:bCs/>
                <w:color w:val="000000"/>
              </w:rPr>
            </w:pPr>
            <w:r w:rsidRPr="002325F6">
              <w:rPr>
                <w:bCs/>
                <w:color w:val="000000"/>
              </w:rPr>
              <w:t>The Kevin Heinze Garden Centre Inc</w:t>
            </w:r>
          </w:p>
        </w:tc>
        <w:tc>
          <w:tcPr>
            <w:tcW w:w="1187" w:type="dxa"/>
            <w:noWrap/>
          </w:tcPr>
          <w:p w14:paraId="2BACD3F3" w14:textId="77777777" w:rsidR="0050196F" w:rsidRPr="002325F6" w:rsidRDefault="0050196F" w:rsidP="00B21BD0">
            <w:pPr>
              <w:pStyle w:val="ARGrantstabletextright"/>
              <w:rPr>
                <w:bCs/>
                <w:color w:val="000000"/>
              </w:rPr>
            </w:pPr>
            <w:r w:rsidRPr="002325F6">
              <w:rPr>
                <w:bCs/>
                <w:color w:val="000000"/>
              </w:rPr>
              <w:t>17,500</w:t>
            </w:r>
          </w:p>
        </w:tc>
      </w:tr>
      <w:tr w:rsidR="0050196F" w:rsidRPr="00B6199F" w14:paraId="3E0B10DD" w14:textId="77777777" w:rsidTr="00DB5974">
        <w:tc>
          <w:tcPr>
            <w:tcW w:w="3402" w:type="dxa"/>
            <w:noWrap/>
          </w:tcPr>
          <w:p w14:paraId="16F8A414" w14:textId="529F8617" w:rsidR="0050196F" w:rsidRPr="002325F6" w:rsidRDefault="0050196F" w:rsidP="00B21BD0">
            <w:pPr>
              <w:pStyle w:val="ARGrantstabletext"/>
              <w:rPr>
                <w:bCs/>
                <w:color w:val="000000"/>
              </w:rPr>
            </w:pPr>
            <w:r w:rsidRPr="002325F6">
              <w:rPr>
                <w:bCs/>
                <w:color w:val="000000"/>
              </w:rPr>
              <w:t>The Learning and Life Centre (Huddle)</w:t>
            </w:r>
            <w:r w:rsidR="00DB5974">
              <w:rPr>
                <w:bCs/>
                <w:color w:val="000000"/>
              </w:rPr>
              <w:t> </w:t>
            </w:r>
            <w:r w:rsidRPr="002325F6">
              <w:rPr>
                <w:bCs/>
                <w:color w:val="000000"/>
              </w:rPr>
              <w:t>LTD</w:t>
            </w:r>
          </w:p>
        </w:tc>
        <w:tc>
          <w:tcPr>
            <w:tcW w:w="1187" w:type="dxa"/>
            <w:noWrap/>
          </w:tcPr>
          <w:p w14:paraId="5BBB5DD1" w14:textId="77777777" w:rsidR="0050196F" w:rsidRPr="002325F6" w:rsidRDefault="0050196F" w:rsidP="00B21BD0">
            <w:pPr>
              <w:pStyle w:val="ARGrantstabletextright"/>
              <w:rPr>
                <w:bCs/>
                <w:color w:val="000000"/>
              </w:rPr>
            </w:pPr>
            <w:r w:rsidRPr="002325F6">
              <w:rPr>
                <w:bCs/>
                <w:color w:val="000000"/>
              </w:rPr>
              <w:t>556,000</w:t>
            </w:r>
          </w:p>
        </w:tc>
      </w:tr>
      <w:tr w:rsidR="0050196F" w:rsidRPr="00B6199F" w14:paraId="5DF29F77" w14:textId="77777777" w:rsidTr="00DB5974">
        <w:tc>
          <w:tcPr>
            <w:tcW w:w="3402" w:type="dxa"/>
            <w:noWrap/>
          </w:tcPr>
          <w:p w14:paraId="4992C461" w14:textId="4324B1AC" w:rsidR="0050196F" w:rsidRPr="002325F6" w:rsidRDefault="0050196F" w:rsidP="00B21BD0">
            <w:pPr>
              <w:pStyle w:val="ARGrantstabletext"/>
              <w:rPr>
                <w:bCs/>
                <w:color w:val="000000"/>
              </w:rPr>
            </w:pPr>
            <w:r w:rsidRPr="002325F6">
              <w:rPr>
                <w:bCs/>
                <w:color w:val="000000"/>
              </w:rPr>
              <w:t>The Push Youth Music Organisation LTD</w:t>
            </w:r>
          </w:p>
        </w:tc>
        <w:tc>
          <w:tcPr>
            <w:tcW w:w="1187" w:type="dxa"/>
            <w:noWrap/>
          </w:tcPr>
          <w:p w14:paraId="1E848BC4" w14:textId="77777777" w:rsidR="0050196F" w:rsidRPr="002325F6" w:rsidRDefault="0050196F" w:rsidP="00B21BD0">
            <w:pPr>
              <w:pStyle w:val="ARGrantstabletextright"/>
              <w:rPr>
                <w:bCs/>
                <w:color w:val="000000"/>
              </w:rPr>
            </w:pPr>
            <w:r w:rsidRPr="002325F6">
              <w:rPr>
                <w:bCs/>
                <w:color w:val="000000"/>
              </w:rPr>
              <w:t>225,000</w:t>
            </w:r>
          </w:p>
        </w:tc>
      </w:tr>
      <w:tr w:rsidR="0050196F" w:rsidRPr="00B6199F" w14:paraId="46FDA94F" w14:textId="77777777" w:rsidTr="00DB5974">
        <w:tc>
          <w:tcPr>
            <w:tcW w:w="3402" w:type="dxa"/>
            <w:noWrap/>
          </w:tcPr>
          <w:p w14:paraId="3FDC7A16" w14:textId="1C1922FD" w:rsidR="0050196F" w:rsidRPr="002325F6" w:rsidRDefault="0050196F" w:rsidP="00B21BD0">
            <w:pPr>
              <w:pStyle w:val="ARGrantstabletext"/>
              <w:rPr>
                <w:bCs/>
                <w:color w:val="000000"/>
              </w:rPr>
            </w:pPr>
            <w:r w:rsidRPr="002325F6">
              <w:rPr>
                <w:bCs/>
                <w:color w:val="000000"/>
              </w:rPr>
              <w:t xml:space="preserve">The Push </w:t>
            </w:r>
            <w:r w:rsidR="003B5B30">
              <w:rPr>
                <w:bCs/>
                <w:color w:val="000000"/>
              </w:rPr>
              <w:t>Inc</w:t>
            </w:r>
          </w:p>
        </w:tc>
        <w:tc>
          <w:tcPr>
            <w:tcW w:w="1187" w:type="dxa"/>
            <w:noWrap/>
          </w:tcPr>
          <w:p w14:paraId="08448060" w14:textId="77777777" w:rsidR="0050196F" w:rsidRPr="002325F6" w:rsidRDefault="0050196F" w:rsidP="00B21BD0">
            <w:pPr>
              <w:pStyle w:val="ARGrantstabletextright"/>
              <w:rPr>
                <w:bCs/>
                <w:color w:val="000000"/>
              </w:rPr>
            </w:pPr>
            <w:r w:rsidRPr="002325F6">
              <w:rPr>
                <w:bCs/>
                <w:color w:val="000000"/>
              </w:rPr>
              <w:t>225,000</w:t>
            </w:r>
          </w:p>
        </w:tc>
      </w:tr>
      <w:tr w:rsidR="0050196F" w:rsidRPr="00B6199F" w14:paraId="3D30BEA9" w14:textId="77777777" w:rsidTr="00DB5974">
        <w:tc>
          <w:tcPr>
            <w:tcW w:w="3402" w:type="dxa"/>
            <w:noWrap/>
          </w:tcPr>
          <w:p w14:paraId="0C550BA7" w14:textId="77777777" w:rsidR="0050196F" w:rsidRPr="002325F6" w:rsidRDefault="0050196F" w:rsidP="00B21BD0">
            <w:pPr>
              <w:pStyle w:val="ARGrantstabletext"/>
              <w:rPr>
                <w:bCs/>
                <w:color w:val="000000"/>
              </w:rPr>
            </w:pPr>
            <w:r w:rsidRPr="002325F6">
              <w:rPr>
                <w:bCs/>
                <w:color w:val="000000"/>
              </w:rPr>
              <w:t>The Reach Foundation</w:t>
            </w:r>
          </w:p>
        </w:tc>
        <w:tc>
          <w:tcPr>
            <w:tcW w:w="1187" w:type="dxa"/>
            <w:noWrap/>
          </w:tcPr>
          <w:p w14:paraId="35ACB1E0"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1D03BE1D" w14:textId="77777777" w:rsidTr="00DB5974">
        <w:tc>
          <w:tcPr>
            <w:tcW w:w="3402" w:type="dxa"/>
            <w:noWrap/>
          </w:tcPr>
          <w:p w14:paraId="120F1C89" w14:textId="77777777" w:rsidR="0050196F" w:rsidRPr="002325F6" w:rsidRDefault="0050196F" w:rsidP="00B21BD0">
            <w:pPr>
              <w:pStyle w:val="ARGrantstabletext"/>
              <w:rPr>
                <w:bCs/>
                <w:color w:val="000000"/>
              </w:rPr>
            </w:pPr>
            <w:r w:rsidRPr="002325F6">
              <w:rPr>
                <w:bCs/>
                <w:color w:val="000000"/>
              </w:rPr>
              <w:t>The Rural Foundation Ltd (t/a Youthrive Victoria)</w:t>
            </w:r>
          </w:p>
        </w:tc>
        <w:tc>
          <w:tcPr>
            <w:tcW w:w="1187" w:type="dxa"/>
            <w:noWrap/>
          </w:tcPr>
          <w:p w14:paraId="68C65DA7"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1CCD42E7" w14:textId="77777777" w:rsidTr="00DB5974">
        <w:tc>
          <w:tcPr>
            <w:tcW w:w="3402" w:type="dxa"/>
            <w:noWrap/>
          </w:tcPr>
          <w:p w14:paraId="33A12E56" w14:textId="774FAAD8" w:rsidR="0050196F" w:rsidRPr="002325F6" w:rsidRDefault="0050196F" w:rsidP="00B21BD0">
            <w:pPr>
              <w:pStyle w:val="ARGrantstabletext"/>
              <w:rPr>
                <w:bCs/>
                <w:color w:val="000000"/>
              </w:rPr>
            </w:pPr>
            <w:r w:rsidRPr="002325F6">
              <w:rPr>
                <w:bCs/>
                <w:color w:val="000000"/>
              </w:rPr>
              <w:t>The Salvation Army Victoria Property</w:t>
            </w:r>
            <w:r w:rsidR="009378B2">
              <w:rPr>
                <w:bCs/>
                <w:color w:val="000000"/>
              </w:rPr>
              <w:t> </w:t>
            </w:r>
            <w:r w:rsidRPr="002325F6">
              <w:rPr>
                <w:bCs/>
                <w:color w:val="000000"/>
              </w:rPr>
              <w:t>Trust</w:t>
            </w:r>
          </w:p>
        </w:tc>
        <w:tc>
          <w:tcPr>
            <w:tcW w:w="1187" w:type="dxa"/>
            <w:noWrap/>
          </w:tcPr>
          <w:p w14:paraId="497B5DE0" w14:textId="77777777" w:rsidR="0050196F" w:rsidRPr="002325F6" w:rsidRDefault="0050196F" w:rsidP="00B21BD0">
            <w:pPr>
              <w:pStyle w:val="ARGrantstabletextright"/>
              <w:rPr>
                <w:bCs/>
                <w:color w:val="000000"/>
              </w:rPr>
            </w:pPr>
            <w:r w:rsidRPr="002325F6">
              <w:rPr>
                <w:bCs/>
                <w:color w:val="000000"/>
              </w:rPr>
              <w:t>25,000</w:t>
            </w:r>
          </w:p>
        </w:tc>
      </w:tr>
      <w:tr w:rsidR="0050196F" w:rsidRPr="00B6199F" w14:paraId="5ABCA06A" w14:textId="77777777" w:rsidTr="00DB5974">
        <w:tc>
          <w:tcPr>
            <w:tcW w:w="3402" w:type="dxa"/>
            <w:noWrap/>
          </w:tcPr>
          <w:p w14:paraId="098C5A4F" w14:textId="6224E696" w:rsidR="0050196F" w:rsidRPr="002325F6" w:rsidRDefault="0050196F" w:rsidP="00B21BD0">
            <w:pPr>
              <w:pStyle w:val="ARGrantstabletext"/>
              <w:rPr>
                <w:bCs/>
                <w:color w:val="000000"/>
              </w:rPr>
            </w:pPr>
            <w:r w:rsidRPr="002325F6">
              <w:rPr>
                <w:bCs/>
                <w:color w:val="000000"/>
              </w:rPr>
              <w:t>The Scout Association of Australia Victorian</w:t>
            </w:r>
            <w:r w:rsidR="00EA2AB7">
              <w:rPr>
                <w:bCs/>
                <w:color w:val="000000"/>
              </w:rPr>
              <w:t> </w:t>
            </w:r>
            <w:r w:rsidRPr="002325F6">
              <w:rPr>
                <w:bCs/>
                <w:color w:val="000000"/>
              </w:rPr>
              <w:t>Branch</w:t>
            </w:r>
          </w:p>
        </w:tc>
        <w:tc>
          <w:tcPr>
            <w:tcW w:w="1187" w:type="dxa"/>
            <w:noWrap/>
          </w:tcPr>
          <w:p w14:paraId="687139A0" w14:textId="77777777" w:rsidR="0050196F" w:rsidRPr="002325F6" w:rsidRDefault="0050196F" w:rsidP="00B21BD0">
            <w:pPr>
              <w:pStyle w:val="ARGrantstabletextright"/>
              <w:rPr>
                <w:bCs/>
                <w:color w:val="000000"/>
              </w:rPr>
            </w:pPr>
            <w:r w:rsidRPr="002325F6">
              <w:rPr>
                <w:bCs/>
                <w:color w:val="000000"/>
              </w:rPr>
              <w:t>715,000</w:t>
            </w:r>
          </w:p>
        </w:tc>
      </w:tr>
      <w:tr w:rsidR="0050196F" w:rsidRPr="00B6199F" w14:paraId="66BFEFE3" w14:textId="77777777" w:rsidTr="00DB5974">
        <w:tc>
          <w:tcPr>
            <w:tcW w:w="3402" w:type="dxa"/>
            <w:noWrap/>
          </w:tcPr>
          <w:p w14:paraId="1162F4ED" w14:textId="77777777" w:rsidR="0050196F" w:rsidRPr="002325F6" w:rsidRDefault="0050196F" w:rsidP="00B21BD0">
            <w:pPr>
              <w:pStyle w:val="ARGrantstabletext"/>
              <w:rPr>
                <w:bCs/>
                <w:color w:val="000000"/>
              </w:rPr>
            </w:pPr>
            <w:r w:rsidRPr="002325F6">
              <w:rPr>
                <w:bCs/>
                <w:color w:val="000000"/>
              </w:rPr>
              <w:t>The Wirrpanda Foundation Limited</w:t>
            </w:r>
          </w:p>
        </w:tc>
        <w:tc>
          <w:tcPr>
            <w:tcW w:w="1187" w:type="dxa"/>
            <w:noWrap/>
          </w:tcPr>
          <w:p w14:paraId="1C5AE996"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303708CA" w14:textId="77777777" w:rsidTr="00DB5974">
        <w:tc>
          <w:tcPr>
            <w:tcW w:w="3402" w:type="dxa"/>
            <w:noWrap/>
          </w:tcPr>
          <w:p w14:paraId="6C62D3D8" w14:textId="77777777" w:rsidR="0050196F" w:rsidRPr="002325F6" w:rsidRDefault="0050196F" w:rsidP="00B21BD0">
            <w:pPr>
              <w:pStyle w:val="ARGrantstabletext"/>
              <w:rPr>
                <w:bCs/>
                <w:color w:val="000000"/>
              </w:rPr>
            </w:pPr>
            <w:r w:rsidRPr="002325F6">
              <w:rPr>
                <w:bCs/>
                <w:color w:val="000000"/>
              </w:rPr>
              <w:t>Towong Shire Council</w:t>
            </w:r>
          </w:p>
        </w:tc>
        <w:tc>
          <w:tcPr>
            <w:tcW w:w="1187" w:type="dxa"/>
            <w:noWrap/>
          </w:tcPr>
          <w:p w14:paraId="2665F364" w14:textId="77777777" w:rsidR="0050196F" w:rsidRPr="002325F6" w:rsidRDefault="0050196F" w:rsidP="00B21BD0">
            <w:pPr>
              <w:pStyle w:val="ARGrantstabletextright"/>
              <w:rPr>
                <w:bCs/>
                <w:color w:val="000000"/>
              </w:rPr>
            </w:pPr>
            <w:r w:rsidRPr="002325F6">
              <w:rPr>
                <w:bCs/>
                <w:color w:val="000000"/>
              </w:rPr>
              <w:t>14,775</w:t>
            </w:r>
          </w:p>
        </w:tc>
      </w:tr>
      <w:tr w:rsidR="0050196F" w:rsidRPr="00B6199F" w14:paraId="63662E49" w14:textId="77777777" w:rsidTr="00DB5974">
        <w:tc>
          <w:tcPr>
            <w:tcW w:w="3402" w:type="dxa"/>
            <w:noWrap/>
          </w:tcPr>
          <w:p w14:paraId="4A58EF78" w14:textId="0984C52B" w:rsidR="0050196F" w:rsidRPr="002325F6" w:rsidRDefault="0050196F" w:rsidP="00B21BD0">
            <w:pPr>
              <w:pStyle w:val="ARGrantstabletext"/>
              <w:rPr>
                <w:bCs/>
                <w:color w:val="000000"/>
              </w:rPr>
            </w:pPr>
            <w:r w:rsidRPr="002325F6">
              <w:rPr>
                <w:bCs/>
                <w:color w:val="000000"/>
              </w:rPr>
              <w:t>Travancore School (Parkville Education</w:t>
            </w:r>
            <w:r w:rsidR="009378B2">
              <w:rPr>
                <w:bCs/>
                <w:color w:val="000000"/>
              </w:rPr>
              <w:t> </w:t>
            </w:r>
            <w:r w:rsidRPr="002325F6">
              <w:rPr>
                <w:bCs/>
                <w:color w:val="000000"/>
              </w:rPr>
              <w:t>Unit)</w:t>
            </w:r>
          </w:p>
        </w:tc>
        <w:tc>
          <w:tcPr>
            <w:tcW w:w="1187" w:type="dxa"/>
            <w:noWrap/>
          </w:tcPr>
          <w:p w14:paraId="50E7B06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E32A76F" w14:textId="77777777" w:rsidTr="00DB5974">
        <w:tc>
          <w:tcPr>
            <w:tcW w:w="3402" w:type="dxa"/>
            <w:noWrap/>
          </w:tcPr>
          <w:p w14:paraId="620A976F" w14:textId="77777777" w:rsidR="0050196F" w:rsidRPr="002325F6" w:rsidRDefault="0050196F" w:rsidP="00B21BD0">
            <w:pPr>
              <w:pStyle w:val="ARGrantstabletext"/>
              <w:rPr>
                <w:bCs/>
                <w:color w:val="000000"/>
              </w:rPr>
            </w:pPr>
            <w:r w:rsidRPr="002325F6">
              <w:rPr>
                <w:bCs/>
                <w:color w:val="000000"/>
              </w:rPr>
              <w:t>Tyrrell College</w:t>
            </w:r>
          </w:p>
        </w:tc>
        <w:tc>
          <w:tcPr>
            <w:tcW w:w="1187" w:type="dxa"/>
            <w:noWrap/>
          </w:tcPr>
          <w:p w14:paraId="4B607343"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CE8D95D" w14:textId="77777777" w:rsidTr="00DB5974">
        <w:tc>
          <w:tcPr>
            <w:tcW w:w="3402" w:type="dxa"/>
            <w:noWrap/>
          </w:tcPr>
          <w:p w14:paraId="084E1BDA" w14:textId="77777777" w:rsidR="0050196F" w:rsidRPr="002325F6" w:rsidRDefault="0050196F" w:rsidP="00B21BD0">
            <w:pPr>
              <w:pStyle w:val="ARGrantstabletext"/>
              <w:rPr>
                <w:bCs/>
                <w:color w:val="000000"/>
              </w:rPr>
            </w:pPr>
            <w:r w:rsidRPr="002325F6">
              <w:rPr>
                <w:bCs/>
                <w:color w:val="000000"/>
              </w:rPr>
              <w:t>Umeed Psychology</w:t>
            </w:r>
          </w:p>
        </w:tc>
        <w:tc>
          <w:tcPr>
            <w:tcW w:w="1187" w:type="dxa"/>
            <w:noWrap/>
          </w:tcPr>
          <w:p w14:paraId="378F3B75"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6B39805" w14:textId="77777777" w:rsidTr="00DB5974">
        <w:tc>
          <w:tcPr>
            <w:tcW w:w="3402" w:type="dxa"/>
            <w:noWrap/>
          </w:tcPr>
          <w:p w14:paraId="5BE780CD" w14:textId="77777777" w:rsidR="0050196F" w:rsidRPr="002325F6" w:rsidRDefault="0050196F" w:rsidP="00B21BD0">
            <w:pPr>
              <w:pStyle w:val="ARGrantstabletext"/>
              <w:rPr>
                <w:bCs/>
                <w:color w:val="000000"/>
              </w:rPr>
            </w:pPr>
            <w:r w:rsidRPr="002325F6">
              <w:rPr>
                <w:bCs/>
                <w:color w:val="000000"/>
              </w:rPr>
              <w:t>Uniting (Victoria &amp; Tasmania)</w:t>
            </w:r>
          </w:p>
        </w:tc>
        <w:tc>
          <w:tcPr>
            <w:tcW w:w="1187" w:type="dxa"/>
            <w:noWrap/>
          </w:tcPr>
          <w:p w14:paraId="5B452544" w14:textId="77777777" w:rsidR="0050196F" w:rsidRPr="002325F6" w:rsidRDefault="0050196F" w:rsidP="00B21BD0">
            <w:pPr>
              <w:pStyle w:val="ARGrantstabletextright"/>
              <w:rPr>
                <w:bCs/>
                <w:color w:val="000000"/>
              </w:rPr>
            </w:pPr>
            <w:r w:rsidRPr="002325F6">
              <w:rPr>
                <w:bCs/>
                <w:color w:val="000000"/>
              </w:rPr>
              <w:t>1,995</w:t>
            </w:r>
          </w:p>
        </w:tc>
      </w:tr>
      <w:tr w:rsidR="0050196F" w:rsidRPr="00B6199F" w14:paraId="6D0B4A5D" w14:textId="77777777" w:rsidTr="00DB5974">
        <w:tc>
          <w:tcPr>
            <w:tcW w:w="3402" w:type="dxa"/>
            <w:noWrap/>
          </w:tcPr>
          <w:p w14:paraId="32DBA406" w14:textId="77777777" w:rsidR="0050196F" w:rsidRPr="002325F6" w:rsidRDefault="0050196F" w:rsidP="00B21BD0">
            <w:pPr>
              <w:pStyle w:val="ARGrantstabletext"/>
              <w:rPr>
                <w:bCs/>
                <w:color w:val="000000"/>
              </w:rPr>
            </w:pPr>
            <w:r w:rsidRPr="002325F6">
              <w:rPr>
                <w:bCs/>
                <w:color w:val="000000"/>
              </w:rPr>
              <w:t>Uniting (Victoria and Tasmania) Ltd</w:t>
            </w:r>
          </w:p>
        </w:tc>
        <w:tc>
          <w:tcPr>
            <w:tcW w:w="1187" w:type="dxa"/>
            <w:noWrap/>
          </w:tcPr>
          <w:p w14:paraId="2F305A77" w14:textId="77777777" w:rsidR="0050196F" w:rsidRPr="002325F6" w:rsidRDefault="0050196F" w:rsidP="00B21BD0">
            <w:pPr>
              <w:pStyle w:val="ARGrantstabletextright"/>
              <w:rPr>
                <w:bCs/>
                <w:color w:val="000000"/>
              </w:rPr>
            </w:pPr>
            <w:r w:rsidRPr="002325F6">
              <w:rPr>
                <w:bCs/>
                <w:color w:val="000000"/>
              </w:rPr>
              <w:t>556,000</w:t>
            </w:r>
          </w:p>
        </w:tc>
      </w:tr>
      <w:tr w:rsidR="0050196F" w:rsidRPr="00B6199F" w14:paraId="4DC22362" w14:textId="77777777" w:rsidTr="00DB5974">
        <w:tc>
          <w:tcPr>
            <w:tcW w:w="3402" w:type="dxa"/>
            <w:noWrap/>
          </w:tcPr>
          <w:p w14:paraId="6530C865" w14:textId="77777777" w:rsidR="0050196F" w:rsidRPr="002325F6" w:rsidRDefault="0050196F" w:rsidP="00B21BD0">
            <w:pPr>
              <w:pStyle w:val="ARGrantstabletext"/>
              <w:rPr>
                <w:bCs/>
                <w:color w:val="000000"/>
              </w:rPr>
            </w:pPr>
            <w:r w:rsidRPr="002325F6">
              <w:rPr>
                <w:bCs/>
                <w:color w:val="000000"/>
              </w:rPr>
              <w:t>Uniting Wimmera</w:t>
            </w:r>
          </w:p>
        </w:tc>
        <w:tc>
          <w:tcPr>
            <w:tcW w:w="1187" w:type="dxa"/>
            <w:noWrap/>
          </w:tcPr>
          <w:p w14:paraId="1B84B937"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30398B93" w14:textId="77777777" w:rsidTr="00DB5974">
        <w:tc>
          <w:tcPr>
            <w:tcW w:w="3402" w:type="dxa"/>
            <w:noWrap/>
          </w:tcPr>
          <w:p w14:paraId="2BD44D7B" w14:textId="77777777" w:rsidR="0050196F" w:rsidRPr="002325F6" w:rsidRDefault="0050196F" w:rsidP="00B21BD0">
            <w:pPr>
              <w:pStyle w:val="ARGrantstabletext"/>
              <w:rPr>
                <w:bCs/>
                <w:color w:val="000000"/>
              </w:rPr>
            </w:pPr>
            <w:r w:rsidRPr="002325F6">
              <w:rPr>
                <w:bCs/>
                <w:color w:val="000000"/>
              </w:rPr>
              <w:t>Upper Yarra Secondary College</w:t>
            </w:r>
          </w:p>
        </w:tc>
        <w:tc>
          <w:tcPr>
            <w:tcW w:w="1187" w:type="dxa"/>
            <w:noWrap/>
          </w:tcPr>
          <w:p w14:paraId="0AAD2A3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37E1358" w14:textId="77777777" w:rsidTr="00DB5974">
        <w:tc>
          <w:tcPr>
            <w:tcW w:w="3402" w:type="dxa"/>
            <w:noWrap/>
          </w:tcPr>
          <w:p w14:paraId="2AAC4917" w14:textId="77777777" w:rsidR="0050196F" w:rsidRPr="002325F6" w:rsidRDefault="0050196F" w:rsidP="00B21BD0">
            <w:pPr>
              <w:pStyle w:val="ARGrantstabletext"/>
              <w:rPr>
                <w:bCs/>
                <w:color w:val="000000"/>
              </w:rPr>
            </w:pPr>
            <w:r w:rsidRPr="002325F6">
              <w:rPr>
                <w:bCs/>
                <w:color w:val="000000"/>
              </w:rPr>
              <w:t>Verney Road School</w:t>
            </w:r>
          </w:p>
        </w:tc>
        <w:tc>
          <w:tcPr>
            <w:tcW w:w="1187" w:type="dxa"/>
            <w:noWrap/>
          </w:tcPr>
          <w:p w14:paraId="2E7CC42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A53D450" w14:textId="77777777" w:rsidTr="00DB5974">
        <w:tc>
          <w:tcPr>
            <w:tcW w:w="3402" w:type="dxa"/>
            <w:noWrap/>
          </w:tcPr>
          <w:p w14:paraId="16B8BE29" w14:textId="77777777" w:rsidR="0050196F" w:rsidRPr="002325F6" w:rsidRDefault="0050196F" w:rsidP="00B21BD0">
            <w:pPr>
              <w:pStyle w:val="ARGrantstabletext"/>
              <w:rPr>
                <w:bCs/>
                <w:color w:val="000000"/>
              </w:rPr>
            </w:pPr>
            <w:r w:rsidRPr="002325F6">
              <w:rPr>
                <w:bCs/>
                <w:color w:val="000000"/>
              </w:rPr>
              <w:t>VICSEG New Futures</w:t>
            </w:r>
          </w:p>
        </w:tc>
        <w:tc>
          <w:tcPr>
            <w:tcW w:w="1187" w:type="dxa"/>
            <w:noWrap/>
          </w:tcPr>
          <w:p w14:paraId="4863DE4C"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45143BE3" w14:textId="77777777" w:rsidTr="00DB5974">
        <w:tc>
          <w:tcPr>
            <w:tcW w:w="3402" w:type="dxa"/>
            <w:noWrap/>
          </w:tcPr>
          <w:p w14:paraId="3D04DE93" w14:textId="77777777" w:rsidR="0050196F" w:rsidRPr="002325F6" w:rsidRDefault="0050196F" w:rsidP="00B21BD0">
            <w:pPr>
              <w:pStyle w:val="ARGrantstabletext"/>
              <w:rPr>
                <w:bCs/>
                <w:color w:val="000000"/>
              </w:rPr>
            </w:pPr>
            <w:r w:rsidRPr="002325F6">
              <w:rPr>
                <w:bCs/>
                <w:color w:val="000000"/>
              </w:rPr>
              <w:t>Victoria University Secondary College</w:t>
            </w:r>
          </w:p>
        </w:tc>
        <w:tc>
          <w:tcPr>
            <w:tcW w:w="1187" w:type="dxa"/>
            <w:noWrap/>
          </w:tcPr>
          <w:p w14:paraId="7EDB7B4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13BDE30F" w14:textId="77777777" w:rsidTr="00DB5974">
        <w:tc>
          <w:tcPr>
            <w:tcW w:w="3402" w:type="dxa"/>
            <w:noWrap/>
          </w:tcPr>
          <w:p w14:paraId="344A5433" w14:textId="77777777" w:rsidR="0050196F" w:rsidRPr="002325F6" w:rsidRDefault="0050196F" w:rsidP="00B21BD0">
            <w:pPr>
              <w:pStyle w:val="ARGrantstabletext"/>
              <w:rPr>
                <w:bCs/>
                <w:color w:val="000000"/>
              </w:rPr>
            </w:pPr>
            <w:r w:rsidRPr="002325F6">
              <w:rPr>
                <w:bCs/>
                <w:color w:val="000000"/>
              </w:rPr>
              <w:t>Victorian Aboriginal Child Care Agency Co-operative Limited</w:t>
            </w:r>
          </w:p>
        </w:tc>
        <w:tc>
          <w:tcPr>
            <w:tcW w:w="1187" w:type="dxa"/>
            <w:noWrap/>
          </w:tcPr>
          <w:p w14:paraId="228CEF1D"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34AED9AF" w14:textId="77777777" w:rsidTr="00DB5974">
        <w:tc>
          <w:tcPr>
            <w:tcW w:w="3402" w:type="dxa"/>
            <w:noWrap/>
          </w:tcPr>
          <w:p w14:paraId="76BC80C6" w14:textId="77777777" w:rsidR="0050196F" w:rsidRPr="002325F6" w:rsidRDefault="0050196F" w:rsidP="00B21BD0">
            <w:pPr>
              <w:pStyle w:val="ARGrantstabletext"/>
              <w:rPr>
                <w:bCs/>
                <w:color w:val="000000"/>
              </w:rPr>
            </w:pPr>
            <w:r w:rsidRPr="002325F6">
              <w:rPr>
                <w:bCs/>
                <w:color w:val="000000"/>
              </w:rPr>
              <w:t>Victorian Aboriginal Health Service</w:t>
            </w:r>
          </w:p>
        </w:tc>
        <w:tc>
          <w:tcPr>
            <w:tcW w:w="1187" w:type="dxa"/>
            <w:noWrap/>
          </w:tcPr>
          <w:p w14:paraId="38A53353" w14:textId="77777777" w:rsidR="0050196F" w:rsidRPr="002325F6" w:rsidRDefault="0050196F" w:rsidP="00B21BD0">
            <w:pPr>
              <w:pStyle w:val="ARGrantstabletextright"/>
              <w:rPr>
                <w:bCs/>
                <w:color w:val="000000"/>
              </w:rPr>
            </w:pPr>
            <w:r w:rsidRPr="002325F6">
              <w:rPr>
                <w:bCs/>
                <w:color w:val="000000"/>
              </w:rPr>
              <w:t>53,400</w:t>
            </w:r>
          </w:p>
        </w:tc>
      </w:tr>
      <w:tr w:rsidR="0050196F" w:rsidRPr="00B6199F" w14:paraId="18CC1816" w14:textId="77777777" w:rsidTr="00DB5974">
        <w:tc>
          <w:tcPr>
            <w:tcW w:w="3402" w:type="dxa"/>
            <w:noWrap/>
          </w:tcPr>
          <w:p w14:paraId="32E1E2F2" w14:textId="77777777" w:rsidR="0050196F" w:rsidRPr="002325F6" w:rsidRDefault="0050196F" w:rsidP="00B21BD0">
            <w:pPr>
              <w:pStyle w:val="ARGrantstabletext"/>
              <w:rPr>
                <w:bCs/>
                <w:color w:val="000000"/>
              </w:rPr>
            </w:pPr>
            <w:r w:rsidRPr="002325F6">
              <w:rPr>
                <w:bCs/>
                <w:color w:val="000000"/>
              </w:rPr>
              <w:t>Victorian Aboriginal Legal Service</w:t>
            </w:r>
          </w:p>
        </w:tc>
        <w:tc>
          <w:tcPr>
            <w:tcW w:w="1187" w:type="dxa"/>
            <w:noWrap/>
          </w:tcPr>
          <w:p w14:paraId="1ECC259F" w14:textId="77777777" w:rsidR="0050196F" w:rsidRPr="002325F6" w:rsidRDefault="0050196F" w:rsidP="00B21BD0">
            <w:pPr>
              <w:pStyle w:val="ARGrantstabletextright"/>
              <w:rPr>
                <w:bCs/>
                <w:color w:val="000000"/>
              </w:rPr>
            </w:pPr>
            <w:r w:rsidRPr="002325F6">
              <w:rPr>
                <w:bCs/>
                <w:color w:val="000000"/>
              </w:rPr>
              <w:t>217,000</w:t>
            </w:r>
          </w:p>
        </w:tc>
      </w:tr>
      <w:tr w:rsidR="0050196F" w:rsidRPr="00B6199F" w14:paraId="1C10E2F8" w14:textId="77777777" w:rsidTr="00DB5974">
        <w:tc>
          <w:tcPr>
            <w:tcW w:w="3402" w:type="dxa"/>
            <w:noWrap/>
          </w:tcPr>
          <w:p w14:paraId="68C4B6DE" w14:textId="77777777" w:rsidR="0050196F" w:rsidRPr="002325F6" w:rsidRDefault="0050196F" w:rsidP="00B21BD0">
            <w:pPr>
              <w:pStyle w:val="ARGrantstabletext"/>
              <w:rPr>
                <w:bCs/>
                <w:color w:val="000000"/>
              </w:rPr>
            </w:pPr>
            <w:r w:rsidRPr="002325F6">
              <w:rPr>
                <w:bCs/>
                <w:color w:val="000000"/>
              </w:rPr>
              <w:t>Victorian Afghan Students Association Incorporated</w:t>
            </w:r>
          </w:p>
        </w:tc>
        <w:tc>
          <w:tcPr>
            <w:tcW w:w="1187" w:type="dxa"/>
            <w:noWrap/>
          </w:tcPr>
          <w:p w14:paraId="5DA8494C"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3A93D7D9" w14:textId="77777777" w:rsidTr="00DB5974">
        <w:tc>
          <w:tcPr>
            <w:tcW w:w="3402" w:type="dxa"/>
            <w:noWrap/>
          </w:tcPr>
          <w:p w14:paraId="4EE00F52" w14:textId="77777777" w:rsidR="0050196F" w:rsidRPr="002325F6" w:rsidRDefault="0050196F" w:rsidP="00B21BD0">
            <w:pPr>
              <w:pStyle w:val="ARGrantstabletext"/>
              <w:rPr>
                <w:bCs/>
                <w:color w:val="000000"/>
              </w:rPr>
            </w:pPr>
            <w:r w:rsidRPr="002325F6">
              <w:rPr>
                <w:bCs/>
                <w:color w:val="000000"/>
              </w:rPr>
              <w:t>Victorian College for the Deaf</w:t>
            </w:r>
          </w:p>
        </w:tc>
        <w:tc>
          <w:tcPr>
            <w:tcW w:w="1187" w:type="dxa"/>
            <w:noWrap/>
          </w:tcPr>
          <w:p w14:paraId="04B8A4B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A603882" w14:textId="77777777" w:rsidTr="00DB5974">
        <w:tc>
          <w:tcPr>
            <w:tcW w:w="3402" w:type="dxa"/>
            <w:noWrap/>
          </w:tcPr>
          <w:p w14:paraId="54CC71BA" w14:textId="77777777" w:rsidR="0050196F" w:rsidRPr="00EA2AB7" w:rsidRDefault="0050196F" w:rsidP="00B21BD0">
            <w:pPr>
              <w:pStyle w:val="ARGrantstabletext"/>
              <w:rPr>
                <w:bCs/>
                <w:color w:val="000000"/>
                <w:spacing w:val="-4"/>
              </w:rPr>
            </w:pPr>
            <w:r w:rsidRPr="00EA2AB7">
              <w:rPr>
                <w:bCs/>
                <w:color w:val="000000"/>
                <w:spacing w:val="-4"/>
              </w:rPr>
              <w:t>Victorian YMCA Community Programming Pty Ltd</w:t>
            </w:r>
          </w:p>
        </w:tc>
        <w:tc>
          <w:tcPr>
            <w:tcW w:w="1187" w:type="dxa"/>
            <w:noWrap/>
          </w:tcPr>
          <w:p w14:paraId="4233DADD"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6C933527" w14:textId="77777777" w:rsidTr="00DB5974">
        <w:tc>
          <w:tcPr>
            <w:tcW w:w="3402" w:type="dxa"/>
            <w:noWrap/>
          </w:tcPr>
          <w:p w14:paraId="3864C678" w14:textId="0B5FF1C5" w:rsidR="0050196F" w:rsidRPr="002325F6" w:rsidRDefault="0050196F" w:rsidP="00B21BD0">
            <w:pPr>
              <w:pStyle w:val="ARGrantstabletext"/>
              <w:rPr>
                <w:bCs/>
                <w:color w:val="000000"/>
              </w:rPr>
            </w:pPr>
            <w:r w:rsidRPr="002325F6">
              <w:rPr>
                <w:bCs/>
                <w:color w:val="000000"/>
              </w:rPr>
              <w:t>Victorian YMCA</w:t>
            </w:r>
            <w:r w:rsidR="00711AE6">
              <w:rPr>
                <w:bCs/>
                <w:color w:val="000000"/>
              </w:rPr>
              <w:t>’</w:t>
            </w:r>
            <w:r w:rsidRPr="002325F6">
              <w:rPr>
                <w:bCs/>
                <w:color w:val="000000"/>
              </w:rPr>
              <w:t>s Youth and Community</w:t>
            </w:r>
            <w:r w:rsidR="00EA2AB7">
              <w:rPr>
                <w:bCs/>
                <w:color w:val="000000"/>
              </w:rPr>
              <w:t> </w:t>
            </w:r>
            <w:r w:rsidRPr="002325F6">
              <w:rPr>
                <w:bCs/>
                <w:color w:val="000000"/>
              </w:rPr>
              <w:t>Services</w:t>
            </w:r>
          </w:p>
        </w:tc>
        <w:tc>
          <w:tcPr>
            <w:tcW w:w="1187" w:type="dxa"/>
            <w:noWrap/>
          </w:tcPr>
          <w:p w14:paraId="0D1EAB02" w14:textId="77777777" w:rsidR="0050196F" w:rsidRPr="002325F6" w:rsidRDefault="0050196F" w:rsidP="00B21BD0">
            <w:pPr>
              <w:pStyle w:val="ARGrantstabletextright"/>
              <w:rPr>
                <w:bCs/>
                <w:color w:val="000000"/>
              </w:rPr>
            </w:pPr>
            <w:r w:rsidRPr="002325F6">
              <w:rPr>
                <w:bCs/>
                <w:color w:val="000000"/>
              </w:rPr>
              <w:t>163,379</w:t>
            </w:r>
          </w:p>
        </w:tc>
      </w:tr>
      <w:tr w:rsidR="0050196F" w:rsidRPr="00B6199F" w14:paraId="53A422E5" w14:textId="77777777" w:rsidTr="00DB5974">
        <w:tc>
          <w:tcPr>
            <w:tcW w:w="3402" w:type="dxa"/>
            <w:noWrap/>
          </w:tcPr>
          <w:p w14:paraId="666B19AB" w14:textId="77777777" w:rsidR="0050196F" w:rsidRPr="002325F6" w:rsidRDefault="0050196F" w:rsidP="00B21BD0">
            <w:pPr>
              <w:pStyle w:val="ARGrantstabletext"/>
              <w:rPr>
                <w:bCs/>
                <w:color w:val="000000"/>
              </w:rPr>
            </w:pPr>
            <w:r w:rsidRPr="002325F6">
              <w:rPr>
                <w:bCs/>
                <w:color w:val="000000"/>
              </w:rPr>
              <w:t>Virtual School Victoria</w:t>
            </w:r>
          </w:p>
        </w:tc>
        <w:tc>
          <w:tcPr>
            <w:tcW w:w="1187" w:type="dxa"/>
            <w:noWrap/>
          </w:tcPr>
          <w:p w14:paraId="35C4A2BE" w14:textId="77777777" w:rsidR="0050196F" w:rsidRPr="002325F6" w:rsidRDefault="0050196F" w:rsidP="00B21BD0">
            <w:pPr>
              <w:pStyle w:val="ARGrantstabletextright"/>
              <w:rPr>
                <w:bCs/>
                <w:color w:val="000000"/>
              </w:rPr>
            </w:pPr>
            <w:r w:rsidRPr="002325F6">
              <w:rPr>
                <w:bCs/>
                <w:color w:val="000000"/>
              </w:rPr>
              <w:t>7,800</w:t>
            </w:r>
          </w:p>
        </w:tc>
      </w:tr>
      <w:tr w:rsidR="0050196F" w:rsidRPr="00B6199F" w14:paraId="5AF018F3" w14:textId="77777777" w:rsidTr="00DB5974">
        <w:tc>
          <w:tcPr>
            <w:tcW w:w="3402" w:type="dxa"/>
            <w:noWrap/>
          </w:tcPr>
          <w:p w14:paraId="5ADB9D28" w14:textId="77777777" w:rsidR="0050196F" w:rsidRPr="002325F6" w:rsidRDefault="0050196F" w:rsidP="00B21BD0">
            <w:pPr>
              <w:pStyle w:val="ARGrantstabletext"/>
              <w:rPr>
                <w:bCs/>
                <w:color w:val="000000"/>
              </w:rPr>
            </w:pPr>
            <w:r w:rsidRPr="002325F6">
              <w:rPr>
                <w:bCs/>
                <w:color w:val="000000"/>
              </w:rPr>
              <w:t>Vision Hub Australia Inco</w:t>
            </w:r>
            <w:r>
              <w:rPr>
                <w:bCs/>
                <w:color w:val="000000"/>
              </w:rPr>
              <w:t>r</w:t>
            </w:r>
            <w:r w:rsidRPr="002325F6">
              <w:rPr>
                <w:bCs/>
                <w:color w:val="000000"/>
              </w:rPr>
              <w:t>porated</w:t>
            </w:r>
          </w:p>
        </w:tc>
        <w:tc>
          <w:tcPr>
            <w:tcW w:w="1187" w:type="dxa"/>
            <w:noWrap/>
          </w:tcPr>
          <w:p w14:paraId="3628EBF0"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34582549" w14:textId="77777777" w:rsidTr="00DB5974">
        <w:tc>
          <w:tcPr>
            <w:tcW w:w="3402" w:type="dxa"/>
            <w:noWrap/>
          </w:tcPr>
          <w:p w14:paraId="47F9F60C" w14:textId="77777777" w:rsidR="0050196F" w:rsidRPr="002325F6" w:rsidRDefault="0050196F" w:rsidP="00B21BD0">
            <w:pPr>
              <w:pStyle w:val="ARGrantstabletext"/>
              <w:rPr>
                <w:bCs/>
                <w:color w:val="000000"/>
              </w:rPr>
            </w:pPr>
            <w:r w:rsidRPr="002325F6">
              <w:rPr>
                <w:bCs/>
                <w:color w:val="000000"/>
              </w:rPr>
              <w:t>Viva a Vida Foundation</w:t>
            </w:r>
          </w:p>
        </w:tc>
        <w:tc>
          <w:tcPr>
            <w:tcW w:w="1187" w:type="dxa"/>
            <w:noWrap/>
          </w:tcPr>
          <w:p w14:paraId="5B61070B"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26F9395C" w14:textId="77777777" w:rsidTr="00DB5974">
        <w:tc>
          <w:tcPr>
            <w:tcW w:w="3402" w:type="dxa"/>
            <w:noWrap/>
          </w:tcPr>
          <w:p w14:paraId="349B37C3" w14:textId="77777777" w:rsidR="0050196F" w:rsidRPr="002325F6" w:rsidRDefault="0050196F" w:rsidP="00B21BD0">
            <w:pPr>
              <w:pStyle w:val="ARGrantstabletext"/>
              <w:rPr>
                <w:bCs/>
                <w:color w:val="000000"/>
              </w:rPr>
            </w:pPr>
            <w:r w:rsidRPr="002325F6">
              <w:rPr>
                <w:bCs/>
                <w:color w:val="000000"/>
              </w:rPr>
              <w:t>Waratah Special Developmental School</w:t>
            </w:r>
          </w:p>
        </w:tc>
        <w:tc>
          <w:tcPr>
            <w:tcW w:w="1187" w:type="dxa"/>
            <w:noWrap/>
          </w:tcPr>
          <w:p w14:paraId="41B7104D"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204EDAB" w14:textId="77777777" w:rsidTr="00DB5974">
        <w:tc>
          <w:tcPr>
            <w:tcW w:w="3402" w:type="dxa"/>
            <w:noWrap/>
          </w:tcPr>
          <w:p w14:paraId="421A3AAA" w14:textId="77777777" w:rsidR="0050196F" w:rsidRPr="002325F6" w:rsidRDefault="0050196F" w:rsidP="00B21BD0">
            <w:pPr>
              <w:pStyle w:val="ARGrantstabletext"/>
              <w:rPr>
                <w:bCs/>
                <w:color w:val="000000"/>
              </w:rPr>
            </w:pPr>
            <w:r w:rsidRPr="002325F6">
              <w:rPr>
                <w:bCs/>
                <w:color w:val="000000"/>
              </w:rPr>
              <w:t>Warracknabeal Secondary College</w:t>
            </w:r>
          </w:p>
        </w:tc>
        <w:tc>
          <w:tcPr>
            <w:tcW w:w="1187" w:type="dxa"/>
            <w:noWrap/>
          </w:tcPr>
          <w:p w14:paraId="03496719"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6C41B4A" w14:textId="77777777" w:rsidTr="00DB5974">
        <w:tc>
          <w:tcPr>
            <w:tcW w:w="3402" w:type="dxa"/>
            <w:noWrap/>
          </w:tcPr>
          <w:p w14:paraId="021E8CD3" w14:textId="750FC5E9" w:rsidR="0050196F" w:rsidRPr="002325F6" w:rsidRDefault="0050196F" w:rsidP="00B21BD0">
            <w:pPr>
              <w:pStyle w:val="ARGrantstabletext"/>
              <w:rPr>
                <w:bCs/>
                <w:color w:val="000000"/>
              </w:rPr>
            </w:pPr>
            <w:r w:rsidRPr="002325F6">
              <w:rPr>
                <w:bCs/>
                <w:color w:val="000000"/>
              </w:rPr>
              <w:t>Warracknabeal Special Developmental</w:t>
            </w:r>
            <w:r w:rsidR="00083017">
              <w:rPr>
                <w:bCs/>
                <w:color w:val="000000"/>
              </w:rPr>
              <w:t> </w:t>
            </w:r>
            <w:r w:rsidRPr="002325F6">
              <w:rPr>
                <w:bCs/>
                <w:color w:val="000000"/>
              </w:rPr>
              <w:t>School</w:t>
            </w:r>
          </w:p>
        </w:tc>
        <w:tc>
          <w:tcPr>
            <w:tcW w:w="1187" w:type="dxa"/>
            <w:noWrap/>
          </w:tcPr>
          <w:p w14:paraId="690D1AA5" w14:textId="77777777" w:rsidR="0050196F" w:rsidRPr="002325F6" w:rsidRDefault="0050196F" w:rsidP="00B21BD0">
            <w:pPr>
              <w:pStyle w:val="ARGrantstabletextright"/>
              <w:rPr>
                <w:bCs/>
                <w:color w:val="000000"/>
              </w:rPr>
            </w:pPr>
            <w:r w:rsidRPr="002325F6">
              <w:rPr>
                <w:bCs/>
                <w:color w:val="000000"/>
              </w:rPr>
              <w:t>9,300</w:t>
            </w:r>
          </w:p>
        </w:tc>
      </w:tr>
      <w:tr w:rsidR="0050196F" w:rsidRPr="00B6199F" w14:paraId="215C7F23" w14:textId="77777777" w:rsidTr="00DB5974">
        <w:tc>
          <w:tcPr>
            <w:tcW w:w="3402" w:type="dxa"/>
            <w:noWrap/>
          </w:tcPr>
          <w:p w14:paraId="1C57AD38" w14:textId="77777777" w:rsidR="0050196F" w:rsidRPr="002325F6" w:rsidRDefault="0050196F" w:rsidP="00B21BD0">
            <w:pPr>
              <w:pStyle w:val="ARGrantstabletext"/>
              <w:rPr>
                <w:bCs/>
                <w:color w:val="000000"/>
              </w:rPr>
            </w:pPr>
            <w:r w:rsidRPr="002325F6">
              <w:rPr>
                <w:bCs/>
                <w:color w:val="000000"/>
              </w:rPr>
              <w:t>Warragul &amp; District Specialist School</w:t>
            </w:r>
          </w:p>
        </w:tc>
        <w:tc>
          <w:tcPr>
            <w:tcW w:w="1187" w:type="dxa"/>
            <w:noWrap/>
          </w:tcPr>
          <w:p w14:paraId="6A9CEDD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977C161" w14:textId="77777777" w:rsidTr="00DB5974">
        <w:tc>
          <w:tcPr>
            <w:tcW w:w="3402" w:type="dxa"/>
            <w:noWrap/>
          </w:tcPr>
          <w:p w14:paraId="74862021" w14:textId="77777777" w:rsidR="0050196F" w:rsidRPr="002325F6" w:rsidRDefault="0050196F" w:rsidP="00B21BD0">
            <w:pPr>
              <w:pStyle w:val="ARGrantstabletext"/>
              <w:rPr>
                <w:bCs/>
                <w:color w:val="000000"/>
              </w:rPr>
            </w:pPr>
            <w:r w:rsidRPr="002325F6">
              <w:rPr>
                <w:bCs/>
                <w:color w:val="000000"/>
              </w:rPr>
              <w:t>Warringa Park School</w:t>
            </w:r>
          </w:p>
        </w:tc>
        <w:tc>
          <w:tcPr>
            <w:tcW w:w="1187" w:type="dxa"/>
            <w:noWrap/>
          </w:tcPr>
          <w:p w14:paraId="588B779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7B37773" w14:textId="77777777" w:rsidTr="00DB5974">
        <w:tc>
          <w:tcPr>
            <w:tcW w:w="3402" w:type="dxa"/>
            <w:noWrap/>
          </w:tcPr>
          <w:p w14:paraId="0242AB2A" w14:textId="77777777" w:rsidR="0050196F" w:rsidRPr="002325F6" w:rsidRDefault="0050196F" w:rsidP="00B21BD0">
            <w:pPr>
              <w:pStyle w:val="ARGrantstabletext"/>
              <w:rPr>
                <w:bCs/>
                <w:color w:val="000000"/>
              </w:rPr>
            </w:pPr>
            <w:r w:rsidRPr="002325F6">
              <w:rPr>
                <w:bCs/>
                <w:color w:val="000000"/>
              </w:rPr>
              <w:t>Warrnambool City Council</w:t>
            </w:r>
          </w:p>
        </w:tc>
        <w:tc>
          <w:tcPr>
            <w:tcW w:w="1187" w:type="dxa"/>
            <w:noWrap/>
          </w:tcPr>
          <w:p w14:paraId="52AD26B9" w14:textId="77777777" w:rsidR="0050196F" w:rsidRPr="002325F6" w:rsidRDefault="0050196F" w:rsidP="00B21BD0">
            <w:pPr>
              <w:pStyle w:val="ARGrantstabletextright"/>
              <w:rPr>
                <w:bCs/>
                <w:color w:val="000000"/>
              </w:rPr>
            </w:pPr>
            <w:r w:rsidRPr="002325F6">
              <w:rPr>
                <w:bCs/>
                <w:color w:val="000000"/>
              </w:rPr>
              <w:t>87,500</w:t>
            </w:r>
          </w:p>
        </w:tc>
      </w:tr>
      <w:tr w:rsidR="0050196F" w:rsidRPr="00B6199F" w14:paraId="55F629E5" w14:textId="77777777" w:rsidTr="00DB5974">
        <w:tc>
          <w:tcPr>
            <w:tcW w:w="3402" w:type="dxa"/>
            <w:noWrap/>
          </w:tcPr>
          <w:p w14:paraId="1AFA6B5E" w14:textId="77777777" w:rsidR="0050196F" w:rsidRPr="002325F6" w:rsidRDefault="0050196F" w:rsidP="00B21BD0">
            <w:pPr>
              <w:pStyle w:val="ARGrantstabletext"/>
              <w:rPr>
                <w:bCs/>
                <w:color w:val="000000"/>
              </w:rPr>
            </w:pPr>
            <w:r w:rsidRPr="002325F6">
              <w:rPr>
                <w:bCs/>
                <w:color w:val="000000"/>
              </w:rPr>
              <w:t>Wedderburn College</w:t>
            </w:r>
          </w:p>
        </w:tc>
        <w:tc>
          <w:tcPr>
            <w:tcW w:w="1187" w:type="dxa"/>
            <w:noWrap/>
          </w:tcPr>
          <w:p w14:paraId="13F5C0E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0A4BECE2" w14:textId="77777777" w:rsidTr="00DB5974">
        <w:tc>
          <w:tcPr>
            <w:tcW w:w="3402" w:type="dxa"/>
            <w:noWrap/>
          </w:tcPr>
          <w:p w14:paraId="5FB21712" w14:textId="77777777" w:rsidR="0050196F" w:rsidRPr="002325F6" w:rsidRDefault="0050196F" w:rsidP="00B21BD0">
            <w:pPr>
              <w:pStyle w:val="ARGrantstabletext"/>
              <w:rPr>
                <w:bCs/>
                <w:color w:val="000000"/>
              </w:rPr>
            </w:pPr>
            <w:r w:rsidRPr="002325F6">
              <w:rPr>
                <w:bCs/>
                <w:color w:val="000000"/>
              </w:rPr>
              <w:t>Weenthunga Health Network</w:t>
            </w:r>
          </w:p>
        </w:tc>
        <w:tc>
          <w:tcPr>
            <w:tcW w:w="1187" w:type="dxa"/>
            <w:noWrap/>
          </w:tcPr>
          <w:p w14:paraId="4E2C086C" w14:textId="77777777" w:rsidR="0050196F" w:rsidRPr="002325F6" w:rsidRDefault="0050196F" w:rsidP="00B21BD0">
            <w:pPr>
              <w:pStyle w:val="ARGrantstabletextright"/>
              <w:rPr>
                <w:bCs/>
                <w:color w:val="000000"/>
              </w:rPr>
            </w:pPr>
            <w:r w:rsidRPr="002325F6">
              <w:rPr>
                <w:bCs/>
                <w:color w:val="000000"/>
              </w:rPr>
              <w:t>101,200</w:t>
            </w:r>
          </w:p>
        </w:tc>
      </w:tr>
      <w:tr w:rsidR="0050196F" w:rsidRPr="00B6199F" w14:paraId="3BF73D9E" w14:textId="77777777" w:rsidTr="00DB5974">
        <w:tc>
          <w:tcPr>
            <w:tcW w:w="3402" w:type="dxa"/>
            <w:noWrap/>
          </w:tcPr>
          <w:p w14:paraId="1DCB3ED2" w14:textId="77777777" w:rsidR="0050196F" w:rsidRPr="002325F6" w:rsidRDefault="0050196F" w:rsidP="00B21BD0">
            <w:pPr>
              <w:pStyle w:val="ARGrantstabletext"/>
              <w:rPr>
                <w:bCs/>
                <w:color w:val="000000"/>
              </w:rPr>
            </w:pPr>
            <w:r w:rsidRPr="002325F6">
              <w:rPr>
                <w:bCs/>
                <w:color w:val="000000"/>
              </w:rPr>
              <w:t>Weeroona College Bendigo</w:t>
            </w:r>
          </w:p>
        </w:tc>
        <w:tc>
          <w:tcPr>
            <w:tcW w:w="1187" w:type="dxa"/>
            <w:noWrap/>
          </w:tcPr>
          <w:p w14:paraId="1935B1EB"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771FA73" w14:textId="77777777" w:rsidTr="00DB5974">
        <w:tc>
          <w:tcPr>
            <w:tcW w:w="3402" w:type="dxa"/>
            <w:noWrap/>
          </w:tcPr>
          <w:p w14:paraId="1703A78C" w14:textId="77777777" w:rsidR="0050196F" w:rsidRPr="002325F6" w:rsidRDefault="0050196F" w:rsidP="00B21BD0">
            <w:pPr>
              <w:pStyle w:val="ARGrantstabletext"/>
              <w:rPr>
                <w:bCs/>
                <w:color w:val="000000"/>
              </w:rPr>
            </w:pPr>
            <w:r w:rsidRPr="002325F6">
              <w:rPr>
                <w:bCs/>
                <w:color w:val="000000"/>
              </w:rPr>
              <w:t>Wellington Secondary College</w:t>
            </w:r>
          </w:p>
        </w:tc>
        <w:tc>
          <w:tcPr>
            <w:tcW w:w="1187" w:type="dxa"/>
            <w:noWrap/>
          </w:tcPr>
          <w:p w14:paraId="023F74D7"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5CC510A0" w14:textId="77777777" w:rsidTr="00DB5974">
        <w:tc>
          <w:tcPr>
            <w:tcW w:w="3402" w:type="dxa"/>
            <w:noWrap/>
          </w:tcPr>
          <w:p w14:paraId="4AA1FD46" w14:textId="77777777" w:rsidR="0050196F" w:rsidRPr="002325F6" w:rsidRDefault="0050196F" w:rsidP="00B21BD0">
            <w:pPr>
              <w:pStyle w:val="ARGrantstabletext"/>
              <w:rPr>
                <w:bCs/>
                <w:color w:val="000000"/>
              </w:rPr>
            </w:pPr>
            <w:r w:rsidRPr="002325F6">
              <w:rPr>
                <w:bCs/>
                <w:color w:val="000000"/>
              </w:rPr>
              <w:t>Wellington Shire Council</w:t>
            </w:r>
          </w:p>
        </w:tc>
        <w:tc>
          <w:tcPr>
            <w:tcW w:w="1187" w:type="dxa"/>
            <w:noWrap/>
          </w:tcPr>
          <w:p w14:paraId="437E3BB3" w14:textId="77777777" w:rsidR="0050196F" w:rsidRPr="002325F6" w:rsidRDefault="0050196F" w:rsidP="00B21BD0">
            <w:pPr>
              <w:pStyle w:val="ARGrantstabletextright"/>
              <w:rPr>
                <w:bCs/>
                <w:color w:val="000000"/>
              </w:rPr>
            </w:pPr>
            <w:r w:rsidRPr="002325F6">
              <w:rPr>
                <w:bCs/>
                <w:color w:val="000000"/>
              </w:rPr>
              <w:t>37,500</w:t>
            </w:r>
          </w:p>
        </w:tc>
      </w:tr>
      <w:tr w:rsidR="0050196F" w:rsidRPr="00B6199F" w14:paraId="150F3886" w14:textId="77777777" w:rsidTr="00DB5974">
        <w:tc>
          <w:tcPr>
            <w:tcW w:w="3402" w:type="dxa"/>
            <w:noWrap/>
          </w:tcPr>
          <w:p w14:paraId="0F1BB8B9" w14:textId="77777777" w:rsidR="0050196F" w:rsidRPr="002325F6" w:rsidRDefault="0050196F" w:rsidP="00B21BD0">
            <w:pPr>
              <w:pStyle w:val="ARGrantstabletext"/>
              <w:rPr>
                <w:bCs/>
                <w:color w:val="000000"/>
              </w:rPr>
            </w:pPr>
            <w:r w:rsidRPr="002325F6">
              <w:rPr>
                <w:bCs/>
                <w:color w:val="000000"/>
              </w:rPr>
              <w:t>Werrimull P-12 School</w:t>
            </w:r>
          </w:p>
        </w:tc>
        <w:tc>
          <w:tcPr>
            <w:tcW w:w="1187" w:type="dxa"/>
            <w:noWrap/>
          </w:tcPr>
          <w:p w14:paraId="358A4894" w14:textId="77777777" w:rsidR="0050196F" w:rsidRPr="002325F6" w:rsidRDefault="0050196F" w:rsidP="00B21BD0">
            <w:pPr>
              <w:pStyle w:val="ARGrantstabletextright"/>
              <w:rPr>
                <w:bCs/>
                <w:color w:val="000000"/>
              </w:rPr>
            </w:pPr>
            <w:r w:rsidRPr="002325F6">
              <w:rPr>
                <w:bCs/>
                <w:color w:val="000000"/>
              </w:rPr>
              <w:t>7,800</w:t>
            </w:r>
          </w:p>
        </w:tc>
      </w:tr>
      <w:tr w:rsidR="0050196F" w:rsidRPr="00B6199F" w14:paraId="25E489C2" w14:textId="77777777" w:rsidTr="00DB5974">
        <w:tc>
          <w:tcPr>
            <w:tcW w:w="3402" w:type="dxa"/>
            <w:noWrap/>
          </w:tcPr>
          <w:p w14:paraId="03F82F98" w14:textId="77777777" w:rsidR="0050196F" w:rsidRPr="002325F6" w:rsidRDefault="0050196F" w:rsidP="00B21BD0">
            <w:pPr>
              <w:pStyle w:val="ARGrantstabletext"/>
              <w:rPr>
                <w:bCs/>
                <w:color w:val="000000"/>
              </w:rPr>
            </w:pPr>
            <w:r w:rsidRPr="002325F6">
              <w:rPr>
                <w:bCs/>
                <w:color w:val="000000"/>
              </w:rPr>
              <w:t>West Wimmera Shire Council</w:t>
            </w:r>
          </w:p>
        </w:tc>
        <w:tc>
          <w:tcPr>
            <w:tcW w:w="1187" w:type="dxa"/>
            <w:noWrap/>
          </w:tcPr>
          <w:p w14:paraId="6346958F" w14:textId="77777777" w:rsidR="0050196F" w:rsidRPr="002325F6" w:rsidRDefault="0050196F" w:rsidP="00B21BD0">
            <w:pPr>
              <w:pStyle w:val="ARGrantstabletextright"/>
              <w:rPr>
                <w:bCs/>
                <w:color w:val="000000"/>
              </w:rPr>
            </w:pPr>
            <w:r w:rsidRPr="002325F6">
              <w:rPr>
                <w:bCs/>
                <w:color w:val="000000"/>
              </w:rPr>
              <w:t>85,500</w:t>
            </w:r>
          </w:p>
        </w:tc>
      </w:tr>
      <w:tr w:rsidR="0050196F" w:rsidRPr="00B6199F" w14:paraId="0728F0C4" w14:textId="77777777" w:rsidTr="00DB5974">
        <w:tc>
          <w:tcPr>
            <w:tcW w:w="3402" w:type="dxa"/>
            <w:noWrap/>
          </w:tcPr>
          <w:p w14:paraId="4B85A627" w14:textId="77777777" w:rsidR="0050196F" w:rsidRPr="002325F6" w:rsidRDefault="0050196F" w:rsidP="00B21BD0">
            <w:pPr>
              <w:pStyle w:val="ARGrantstabletext"/>
              <w:rPr>
                <w:bCs/>
                <w:color w:val="000000"/>
              </w:rPr>
            </w:pPr>
            <w:r w:rsidRPr="002325F6">
              <w:rPr>
                <w:bCs/>
                <w:color w:val="000000"/>
              </w:rPr>
              <w:t>Westall Secondary College</w:t>
            </w:r>
          </w:p>
        </w:tc>
        <w:tc>
          <w:tcPr>
            <w:tcW w:w="1187" w:type="dxa"/>
            <w:noWrap/>
          </w:tcPr>
          <w:p w14:paraId="6143F55E"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8E1A7EE" w14:textId="77777777" w:rsidTr="00DB5974">
        <w:tc>
          <w:tcPr>
            <w:tcW w:w="3402" w:type="dxa"/>
            <w:noWrap/>
          </w:tcPr>
          <w:p w14:paraId="48A94BF8" w14:textId="77777777" w:rsidR="0050196F" w:rsidRPr="002325F6" w:rsidRDefault="0050196F" w:rsidP="00B21BD0">
            <w:pPr>
              <w:pStyle w:val="ARGrantstabletext"/>
              <w:rPr>
                <w:bCs/>
                <w:color w:val="000000"/>
              </w:rPr>
            </w:pPr>
            <w:r w:rsidRPr="002325F6">
              <w:rPr>
                <w:bCs/>
                <w:color w:val="000000"/>
              </w:rPr>
              <w:t>Western District Health Service</w:t>
            </w:r>
          </w:p>
        </w:tc>
        <w:tc>
          <w:tcPr>
            <w:tcW w:w="1187" w:type="dxa"/>
            <w:noWrap/>
          </w:tcPr>
          <w:p w14:paraId="21D44ED9"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00D2E07E" w14:textId="77777777" w:rsidTr="00DB5974">
        <w:tc>
          <w:tcPr>
            <w:tcW w:w="3402" w:type="dxa"/>
            <w:noWrap/>
          </w:tcPr>
          <w:p w14:paraId="33F45225" w14:textId="03D50474" w:rsidR="0050196F" w:rsidRPr="002325F6" w:rsidRDefault="0050196F" w:rsidP="00B21BD0">
            <w:pPr>
              <w:pStyle w:val="ARGrantstabletext"/>
              <w:rPr>
                <w:bCs/>
                <w:color w:val="000000"/>
              </w:rPr>
            </w:pPr>
            <w:r w:rsidRPr="002325F6">
              <w:rPr>
                <w:bCs/>
                <w:color w:val="000000"/>
              </w:rPr>
              <w:t>Western English Language School (Wyndham</w:t>
            </w:r>
            <w:r w:rsidR="00EA2AB7">
              <w:rPr>
                <w:bCs/>
                <w:color w:val="000000"/>
              </w:rPr>
              <w:t> </w:t>
            </w:r>
            <w:r w:rsidRPr="002325F6">
              <w:rPr>
                <w:bCs/>
                <w:color w:val="000000"/>
              </w:rPr>
              <w:t>Campus)</w:t>
            </w:r>
          </w:p>
        </w:tc>
        <w:tc>
          <w:tcPr>
            <w:tcW w:w="1187" w:type="dxa"/>
            <w:noWrap/>
          </w:tcPr>
          <w:p w14:paraId="3F001282"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7E3DDE48" w14:textId="77777777" w:rsidTr="00DB5974">
        <w:tc>
          <w:tcPr>
            <w:tcW w:w="3402" w:type="dxa"/>
            <w:noWrap/>
          </w:tcPr>
          <w:p w14:paraId="34FAFE64" w14:textId="77777777" w:rsidR="0050196F" w:rsidRPr="002325F6" w:rsidRDefault="0050196F" w:rsidP="00B21BD0">
            <w:pPr>
              <w:pStyle w:val="ARGrantstabletext"/>
              <w:rPr>
                <w:bCs/>
                <w:color w:val="000000"/>
              </w:rPr>
            </w:pPr>
            <w:r w:rsidRPr="002325F6">
              <w:rPr>
                <w:bCs/>
                <w:color w:val="000000"/>
              </w:rPr>
              <w:t>Western Heights Secondary College</w:t>
            </w:r>
          </w:p>
        </w:tc>
        <w:tc>
          <w:tcPr>
            <w:tcW w:w="1187" w:type="dxa"/>
            <w:noWrap/>
          </w:tcPr>
          <w:p w14:paraId="1BFE1A26"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24B6AE6" w14:textId="77777777" w:rsidTr="00DB5974">
        <w:tc>
          <w:tcPr>
            <w:tcW w:w="3402" w:type="dxa"/>
            <w:noWrap/>
          </w:tcPr>
          <w:p w14:paraId="26857ABD" w14:textId="77777777" w:rsidR="0050196F" w:rsidRPr="002325F6" w:rsidRDefault="0050196F" w:rsidP="00B21BD0">
            <w:pPr>
              <w:pStyle w:val="ARGrantstabletext"/>
              <w:rPr>
                <w:bCs/>
                <w:color w:val="000000"/>
              </w:rPr>
            </w:pPr>
            <w:r w:rsidRPr="002325F6">
              <w:rPr>
                <w:bCs/>
                <w:color w:val="000000"/>
              </w:rPr>
              <w:t>Western Port Secondary College</w:t>
            </w:r>
          </w:p>
        </w:tc>
        <w:tc>
          <w:tcPr>
            <w:tcW w:w="1187" w:type="dxa"/>
            <w:noWrap/>
          </w:tcPr>
          <w:p w14:paraId="69C26938"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E942867" w14:textId="77777777" w:rsidTr="00DB5974">
        <w:tc>
          <w:tcPr>
            <w:tcW w:w="3402" w:type="dxa"/>
            <w:noWrap/>
          </w:tcPr>
          <w:p w14:paraId="0250E66E" w14:textId="77777777" w:rsidR="0050196F" w:rsidRPr="002325F6" w:rsidRDefault="0050196F" w:rsidP="00B21BD0">
            <w:pPr>
              <w:pStyle w:val="ARGrantstabletext"/>
              <w:rPr>
                <w:bCs/>
                <w:color w:val="000000"/>
              </w:rPr>
            </w:pPr>
            <w:r w:rsidRPr="002325F6">
              <w:rPr>
                <w:bCs/>
                <w:color w:val="000000"/>
              </w:rPr>
              <w:t>Whitehorse City Council</w:t>
            </w:r>
          </w:p>
        </w:tc>
        <w:tc>
          <w:tcPr>
            <w:tcW w:w="1187" w:type="dxa"/>
            <w:noWrap/>
          </w:tcPr>
          <w:p w14:paraId="74A4BA83" w14:textId="77777777" w:rsidR="0050196F" w:rsidRPr="002325F6" w:rsidRDefault="0050196F" w:rsidP="00B21BD0">
            <w:pPr>
              <w:pStyle w:val="ARGrantstabletextright"/>
              <w:rPr>
                <w:bCs/>
                <w:color w:val="000000"/>
              </w:rPr>
            </w:pPr>
            <w:r w:rsidRPr="002325F6">
              <w:rPr>
                <w:bCs/>
                <w:color w:val="000000"/>
              </w:rPr>
              <w:t>35,000</w:t>
            </w:r>
          </w:p>
        </w:tc>
      </w:tr>
      <w:tr w:rsidR="0050196F" w:rsidRPr="00B6199F" w14:paraId="44FE140C" w14:textId="77777777" w:rsidTr="00DB5974">
        <w:tc>
          <w:tcPr>
            <w:tcW w:w="3402" w:type="dxa"/>
            <w:noWrap/>
          </w:tcPr>
          <w:p w14:paraId="44DEEF14" w14:textId="77777777" w:rsidR="0050196F" w:rsidRPr="002325F6" w:rsidRDefault="0050196F" w:rsidP="00B21BD0">
            <w:pPr>
              <w:pStyle w:val="ARGrantstabletext"/>
              <w:rPr>
                <w:bCs/>
                <w:color w:val="000000"/>
              </w:rPr>
            </w:pPr>
            <w:r w:rsidRPr="002325F6">
              <w:rPr>
                <w:bCs/>
                <w:color w:val="000000"/>
              </w:rPr>
              <w:t>Whittlesea Community Connections</w:t>
            </w:r>
          </w:p>
        </w:tc>
        <w:tc>
          <w:tcPr>
            <w:tcW w:w="1187" w:type="dxa"/>
            <w:noWrap/>
          </w:tcPr>
          <w:p w14:paraId="3786AF41" w14:textId="77777777" w:rsidR="0050196F" w:rsidRPr="002325F6" w:rsidRDefault="0050196F" w:rsidP="00B21BD0">
            <w:pPr>
              <w:pStyle w:val="ARGrantstabletextright"/>
              <w:rPr>
                <w:bCs/>
                <w:color w:val="000000"/>
              </w:rPr>
            </w:pPr>
            <w:r w:rsidRPr="002325F6">
              <w:rPr>
                <w:bCs/>
                <w:color w:val="000000"/>
              </w:rPr>
              <w:t>136,563</w:t>
            </w:r>
          </w:p>
        </w:tc>
      </w:tr>
      <w:tr w:rsidR="0050196F" w:rsidRPr="00B6199F" w14:paraId="53C9033D" w14:textId="77777777" w:rsidTr="00DB5974">
        <w:tc>
          <w:tcPr>
            <w:tcW w:w="3402" w:type="dxa"/>
            <w:noWrap/>
          </w:tcPr>
          <w:p w14:paraId="6253FC7B" w14:textId="77777777" w:rsidR="0050196F" w:rsidRPr="002325F6" w:rsidRDefault="0050196F" w:rsidP="00B21BD0">
            <w:pPr>
              <w:pStyle w:val="ARGrantstabletext"/>
              <w:rPr>
                <w:bCs/>
                <w:color w:val="000000"/>
              </w:rPr>
            </w:pPr>
            <w:r w:rsidRPr="002325F6">
              <w:rPr>
                <w:bCs/>
                <w:color w:val="000000"/>
              </w:rPr>
              <w:t>Whittlesea Secondary College</w:t>
            </w:r>
          </w:p>
        </w:tc>
        <w:tc>
          <w:tcPr>
            <w:tcW w:w="1187" w:type="dxa"/>
            <w:noWrap/>
          </w:tcPr>
          <w:p w14:paraId="4B09D8A5"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82AFF65" w14:textId="77777777" w:rsidTr="00DB5974">
        <w:tc>
          <w:tcPr>
            <w:tcW w:w="3402" w:type="dxa"/>
            <w:noWrap/>
          </w:tcPr>
          <w:p w14:paraId="618E1812" w14:textId="77777777" w:rsidR="0050196F" w:rsidRPr="002325F6" w:rsidRDefault="0050196F" w:rsidP="00B21BD0">
            <w:pPr>
              <w:pStyle w:val="ARGrantstabletext"/>
              <w:rPr>
                <w:bCs/>
                <w:color w:val="000000"/>
              </w:rPr>
            </w:pPr>
            <w:r w:rsidRPr="002325F6">
              <w:rPr>
                <w:bCs/>
                <w:color w:val="000000"/>
              </w:rPr>
              <w:t>Winda-Mara Aboriginal Corporation</w:t>
            </w:r>
          </w:p>
        </w:tc>
        <w:tc>
          <w:tcPr>
            <w:tcW w:w="1187" w:type="dxa"/>
            <w:noWrap/>
          </w:tcPr>
          <w:p w14:paraId="233E4D5F" w14:textId="77777777" w:rsidR="0050196F" w:rsidRPr="002325F6" w:rsidRDefault="0050196F" w:rsidP="00B21BD0">
            <w:pPr>
              <w:pStyle w:val="ARGrantstabletextright"/>
              <w:rPr>
                <w:bCs/>
                <w:color w:val="000000"/>
              </w:rPr>
            </w:pPr>
            <w:r w:rsidRPr="002325F6">
              <w:rPr>
                <w:bCs/>
                <w:color w:val="000000"/>
              </w:rPr>
              <w:t>101,200</w:t>
            </w:r>
          </w:p>
        </w:tc>
      </w:tr>
      <w:tr w:rsidR="0050196F" w:rsidRPr="00B6199F" w14:paraId="63B21D2B" w14:textId="77777777" w:rsidTr="00DB5974">
        <w:tc>
          <w:tcPr>
            <w:tcW w:w="3402" w:type="dxa"/>
            <w:noWrap/>
          </w:tcPr>
          <w:p w14:paraId="14947CEB" w14:textId="77777777" w:rsidR="0050196F" w:rsidRPr="002325F6" w:rsidRDefault="0050196F" w:rsidP="00B21BD0">
            <w:pPr>
              <w:pStyle w:val="ARGrantstabletext"/>
              <w:rPr>
                <w:bCs/>
                <w:color w:val="000000"/>
              </w:rPr>
            </w:pPr>
            <w:r w:rsidRPr="002325F6">
              <w:rPr>
                <w:bCs/>
                <w:color w:val="000000"/>
              </w:rPr>
              <w:t>Wodonga City Council</w:t>
            </w:r>
          </w:p>
        </w:tc>
        <w:tc>
          <w:tcPr>
            <w:tcW w:w="1187" w:type="dxa"/>
            <w:noWrap/>
          </w:tcPr>
          <w:p w14:paraId="1F88F1D4"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5DFEC722" w14:textId="77777777" w:rsidTr="00DB5974">
        <w:tc>
          <w:tcPr>
            <w:tcW w:w="3402" w:type="dxa"/>
            <w:noWrap/>
          </w:tcPr>
          <w:p w14:paraId="4315DB94" w14:textId="77777777" w:rsidR="0050196F" w:rsidRPr="002325F6" w:rsidRDefault="0050196F" w:rsidP="00B21BD0">
            <w:pPr>
              <w:pStyle w:val="ARGrantstabletext"/>
              <w:rPr>
                <w:bCs/>
                <w:color w:val="000000"/>
              </w:rPr>
            </w:pPr>
            <w:r w:rsidRPr="002325F6">
              <w:rPr>
                <w:bCs/>
                <w:color w:val="000000"/>
              </w:rPr>
              <w:t>Wodonga Middle Years College</w:t>
            </w:r>
          </w:p>
        </w:tc>
        <w:tc>
          <w:tcPr>
            <w:tcW w:w="1187" w:type="dxa"/>
            <w:noWrap/>
          </w:tcPr>
          <w:p w14:paraId="38959841"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CBF225C" w14:textId="77777777" w:rsidTr="00DB5974">
        <w:tc>
          <w:tcPr>
            <w:tcW w:w="3402" w:type="dxa"/>
            <w:noWrap/>
          </w:tcPr>
          <w:p w14:paraId="122A552C" w14:textId="77777777" w:rsidR="0050196F" w:rsidRPr="002325F6" w:rsidRDefault="0050196F" w:rsidP="00B21BD0">
            <w:pPr>
              <w:pStyle w:val="ARGrantstabletext"/>
              <w:rPr>
                <w:bCs/>
                <w:color w:val="000000"/>
              </w:rPr>
            </w:pPr>
            <w:r w:rsidRPr="002325F6">
              <w:rPr>
                <w:bCs/>
                <w:color w:val="000000"/>
              </w:rPr>
              <w:t>Wodonga Senior Secondary College</w:t>
            </w:r>
          </w:p>
        </w:tc>
        <w:tc>
          <w:tcPr>
            <w:tcW w:w="1187" w:type="dxa"/>
            <w:noWrap/>
          </w:tcPr>
          <w:p w14:paraId="7D122916"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9CEA352" w14:textId="77777777" w:rsidTr="00DB5974">
        <w:tc>
          <w:tcPr>
            <w:tcW w:w="3402" w:type="dxa"/>
            <w:noWrap/>
          </w:tcPr>
          <w:p w14:paraId="0B95F685" w14:textId="77777777" w:rsidR="0050196F" w:rsidRPr="002325F6" w:rsidRDefault="0050196F" w:rsidP="00B21BD0">
            <w:pPr>
              <w:pStyle w:val="ARGrantstabletext"/>
              <w:rPr>
                <w:bCs/>
                <w:color w:val="000000"/>
              </w:rPr>
            </w:pPr>
            <w:r w:rsidRPr="002325F6">
              <w:rPr>
                <w:bCs/>
                <w:color w:val="000000"/>
              </w:rPr>
              <w:t>Wodonga Senior Secondary College (Shepparton Flexible Learning Centre)</w:t>
            </w:r>
          </w:p>
        </w:tc>
        <w:tc>
          <w:tcPr>
            <w:tcW w:w="1187" w:type="dxa"/>
            <w:noWrap/>
          </w:tcPr>
          <w:p w14:paraId="131F10A7"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6FCB1A86" w14:textId="77777777" w:rsidTr="00DB5974">
        <w:tc>
          <w:tcPr>
            <w:tcW w:w="3402" w:type="dxa"/>
            <w:noWrap/>
          </w:tcPr>
          <w:p w14:paraId="775C53A8" w14:textId="77777777" w:rsidR="0050196F" w:rsidRPr="002325F6" w:rsidRDefault="0050196F" w:rsidP="00B21BD0">
            <w:pPr>
              <w:pStyle w:val="ARGrantstabletext"/>
              <w:rPr>
                <w:bCs/>
                <w:color w:val="000000"/>
              </w:rPr>
            </w:pPr>
            <w:r w:rsidRPr="002325F6">
              <w:rPr>
                <w:bCs/>
                <w:color w:val="000000"/>
              </w:rPr>
              <w:t>Woodmans Hill Secondary College</w:t>
            </w:r>
          </w:p>
        </w:tc>
        <w:tc>
          <w:tcPr>
            <w:tcW w:w="1187" w:type="dxa"/>
            <w:noWrap/>
          </w:tcPr>
          <w:p w14:paraId="2C02503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60FE19F5" w14:textId="77777777" w:rsidTr="00DB5974">
        <w:tc>
          <w:tcPr>
            <w:tcW w:w="3402" w:type="dxa"/>
            <w:noWrap/>
          </w:tcPr>
          <w:p w14:paraId="5DC585C2" w14:textId="77777777" w:rsidR="0050196F" w:rsidRPr="002325F6" w:rsidRDefault="0050196F" w:rsidP="00B21BD0">
            <w:pPr>
              <w:pStyle w:val="ARGrantstabletext"/>
              <w:rPr>
                <w:bCs/>
                <w:color w:val="000000"/>
              </w:rPr>
            </w:pPr>
            <w:r w:rsidRPr="002325F6">
              <w:rPr>
                <w:bCs/>
                <w:color w:val="000000"/>
              </w:rPr>
              <w:t>Workways Australia Limited</w:t>
            </w:r>
          </w:p>
        </w:tc>
        <w:tc>
          <w:tcPr>
            <w:tcW w:w="1187" w:type="dxa"/>
            <w:noWrap/>
          </w:tcPr>
          <w:p w14:paraId="7DA93FB6"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6A72B46A" w14:textId="77777777" w:rsidTr="00DB5974">
        <w:tc>
          <w:tcPr>
            <w:tcW w:w="3402" w:type="dxa"/>
            <w:noWrap/>
          </w:tcPr>
          <w:p w14:paraId="0F36BB20" w14:textId="77777777" w:rsidR="0050196F" w:rsidRPr="002325F6" w:rsidRDefault="0050196F" w:rsidP="00B21BD0">
            <w:pPr>
              <w:pStyle w:val="ARGrantstabletext"/>
              <w:rPr>
                <w:bCs/>
                <w:color w:val="000000"/>
              </w:rPr>
            </w:pPr>
            <w:r w:rsidRPr="002325F6">
              <w:rPr>
                <w:bCs/>
                <w:color w:val="000000"/>
              </w:rPr>
              <w:t>Wrangler Studios Melbourne Inc</w:t>
            </w:r>
          </w:p>
        </w:tc>
        <w:tc>
          <w:tcPr>
            <w:tcW w:w="1187" w:type="dxa"/>
            <w:noWrap/>
          </w:tcPr>
          <w:p w14:paraId="41B57C6A" w14:textId="77777777" w:rsidR="0050196F" w:rsidRPr="002325F6" w:rsidRDefault="0050196F" w:rsidP="00B21BD0">
            <w:pPr>
              <w:pStyle w:val="ARGrantstabletextright"/>
              <w:rPr>
                <w:bCs/>
                <w:color w:val="000000"/>
              </w:rPr>
            </w:pPr>
            <w:r w:rsidRPr="002325F6">
              <w:rPr>
                <w:bCs/>
                <w:color w:val="000000"/>
              </w:rPr>
              <w:t>17,500</w:t>
            </w:r>
          </w:p>
        </w:tc>
      </w:tr>
      <w:tr w:rsidR="0050196F" w:rsidRPr="00B6199F" w14:paraId="77005766" w14:textId="77777777" w:rsidTr="00DB5974">
        <w:tc>
          <w:tcPr>
            <w:tcW w:w="3402" w:type="dxa"/>
            <w:noWrap/>
          </w:tcPr>
          <w:p w14:paraId="4D803267" w14:textId="77777777" w:rsidR="0050196F" w:rsidRPr="002325F6" w:rsidRDefault="0050196F" w:rsidP="00B21BD0">
            <w:pPr>
              <w:pStyle w:val="ARGrantstabletext"/>
              <w:rPr>
                <w:bCs/>
                <w:color w:val="000000"/>
              </w:rPr>
            </w:pPr>
            <w:r w:rsidRPr="002325F6">
              <w:rPr>
                <w:bCs/>
                <w:color w:val="000000"/>
              </w:rPr>
              <w:t>Wyndham City Council</w:t>
            </w:r>
          </w:p>
        </w:tc>
        <w:tc>
          <w:tcPr>
            <w:tcW w:w="1187" w:type="dxa"/>
            <w:noWrap/>
          </w:tcPr>
          <w:p w14:paraId="4A1A88D6" w14:textId="77777777" w:rsidR="0050196F" w:rsidRPr="002325F6" w:rsidRDefault="0050196F" w:rsidP="00B21BD0">
            <w:pPr>
              <w:pStyle w:val="ARGrantstabletextright"/>
              <w:rPr>
                <w:bCs/>
                <w:color w:val="000000"/>
              </w:rPr>
            </w:pPr>
            <w:r w:rsidRPr="002325F6">
              <w:rPr>
                <w:bCs/>
                <w:color w:val="000000"/>
              </w:rPr>
              <w:t>80,000</w:t>
            </w:r>
          </w:p>
        </w:tc>
      </w:tr>
      <w:tr w:rsidR="0050196F" w:rsidRPr="00B6199F" w14:paraId="72811FB8" w14:textId="77777777" w:rsidTr="00DB5974">
        <w:tc>
          <w:tcPr>
            <w:tcW w:w="3402" w:type="dxa"/>
            <w:noWrap/>
          </w:tcPr>
          <w:p w14:paraId="6325E634" w14:textId="77777777" w:rsidR="0050196F" w:rsidRPr="002325F6" w:rsidRDefault="0050196F" w:rsidP="00B21BD0">
            <w:pPr>
              <w:pStyle w:val="ARGrantstabletext"/>
              <w:rPr>
                <w:bCs/>
                <w:color w:val="000000"/>
              </w:rPr>
            </w:pPr>
            <w:r w:rsidRPr="002325F6">
              <w:rPr>
                <w:bCs/>
                <w:color w:val="000000"/>
              </w:rPr>
              <w:t>Wyndham City Council Youth Services</w:t>
            </w:r>
          </w:p>
        </w:tc>
        <w:tc>
          <w:tcPr>
            <w:tcW w:w="1187" w:type="dxa"/>
            <w:noWrap/>
          </w:tcPr>
          <w:p w14:paraId="3FFD465C"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42F340EA" w14:textId="77777777" w:rsidTr="00DB5974">
        <w:tc>
          <w:tcPr>
            <w:tcW w:w="3402" w:type="dxa"/>
            <w:noWrap/>
          </w:tcPr>
          <w:p w14:paraId="5EAAD00D" w14:textId="77777777" w:rsidR="0050196F" w:rsidRPr="002325F6" w:rsidRDefault="0050196F" w:rsidP="00B21BD0">
            <w:pPr>
              <w:pStyle w:val="ARGrantstabletext"/>
              <w:rPr>
                <w:bCs/>
                <w:color w:val="000000"/>
              </w:rPr>
            </w:pPr>
            <w:r w:rsidRPr="002325F6">
              <w:rPr>
                <w:bCs/>
                <w:color w:val="000000"/>
              </w:rPr>
              <w:t>Wyndham Community and Education Centre Inc</w:t>
            </w:r>
          </w:p>
        </w:tc>
        <w:tc>
          <w:tcPr>
            <w:tcW w:w="1187" w:type="dxa"/>
            <w:noWrap/>
          </w:tcPr>
          <w:p w14:paraId="59FC6673" w14:textId="77777777" w:rsidR="0050196F" w:rsidRPr="002325F6" w:rsidRDefault="0050196F" w:rsidP="00B21BD0">
            <w:pPr>
              <w:pStyle w:val="ARGrantstabletextright"/>
              <w:rPr>
                <w:bCs/>
                <w:color w:val="000000"/>
              </w:rPr>
            </w:pPr>
            <w:r w:rsidRPr="002325F6">
              <w:rPr>
                <w:bCs/>
                <w:color w:val="000000"/>
              </w:rPr>
              <w:t>1,226,000</w:t>
            </w:r>
          </w:p>
        </w:tc>
      </w:tr>
      <w:tr w:rsidR="0050196F" w:rsidRPr="00B6199F" w14:paraId="6588DCF7" w14:textId="77777777" w:rsidTr="00DB5974">
        <w:tc>
          <w:tcPr>
            <w:tcW w:w="3402" w:type="dxa"/>
            <w:noWrap/>
          </w:tcPr>
          <w:p w14:paraId="090E2382" w14:textId="77777777" w:rsidR="0050196F" w:rsidRPr="002325F6" w:rsidRDefault="0050196F" w:rsidP="00B21BD0">
            <w:pPr>
              <w:pStyle w:val="ARGrantstabletext"/>
              <w:rPr>
                <w:bCs/>
                <w:color w:val="000000"/>
              </w:rPr>
            </w:pPr>
            <w:r w:rsidRPr="002325F6">
              <w:rPr>
                <w:bCs/>
                <w:color w:val="000000"/>
              </w:rPr>
              <w:t>Yarra City Council</w:t>
            </w:r>
          </w:p>
        </w:tc>
        <w:tc>
          <w:tcPr>
            <w:tcW w:w="1187" w:type="dxa"/>
            <w:noWrap/>
          </w:tcPr>
          <w:p w14:paraId="7E74E52D" w14:textId="77777777" w:rsidR="0050196F" w:rsidRPr="002325F6" w:rsidRDefault="0050196F" w:rsidP="00B21BD0">
            <w:pPr>
              <w:pStyle w:val="ARGrantstabletextright"/>
              <w:rPr>
                <w:bCs/>
                <w:color w:val="000000"/>
              </w:rPr>
            </w:pPr>
            <w:r w:rsidRPr="002325F6">
              <w:rPr>
                <w:bCs/>
                <w:color w:val="000000"/>
              </w:rPr>
              <w:t>85,000</w:t>
            </w:r>
          </w:p>
        </w:tc>
      </w:tr>
      <w:tr w:rsidR="0050196F" w:rsidRPr="00B6199F" w14:paraId="168FC8F6" w14:textId="77777777" w:rsidTr="00DB5974">
        <w:tc>
          <w:tcPr>
            <w:tcW w:w="3402" w:type="dxa"/>
            <w:noWrap/>
          </w:tcPr>
          <w:p w14:paraId="4E91E60B" w14:textId="2F6CB82C" w:rsidR="0050196F" w:rsidRPr="002325F6" w:rsidRDefault="0050196F" w:rsidP="00B21BD0">
            <w:pPr>
              <w:pStyle w:val="ARGrantstabletext"/>
              <w:rPr>
                <w:bCs/>
                <w:color w:val="000000"/>
              </w:rPr>
            </w:pPr>
            <w:r w:rsidRPr="002325F6">
              <w:rPr>
                <w:bCs/>
                <w:color w:val="000000"/>
              </w:rPr>
              <w:t>Yarra Hills Secondary College (Mooroolbark</w:t>
            </w:r>
            <w:r w:rsidR="00EA2AB7">
              <w:rPr>
                <w:bCs/>
                <w:color w:val="000000"/>
              </w:rPr>
              <w:t> </w:t>
            </w:r>
            <w:r w:rsidRPr="002325F6">
              <w:rPr>
                <w:bCs/>
                <w:color w:val="000000"/>
              </w:rPr>
              <w:t>Campus)</w:t>
            </w:r>
          </w:p>
        </w:tc>
        <w:tc>
          <w:tcPr>
            <w:tcW w:w="1187" w:type="dxa"/>
            <w:noWrap/>
          </w:tcPr>
          <w:p w14:paraId="4E330691"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3562199E" w14:textId="77777777" w:rsidTr="00DB5974">
        <w:tc>
          <w:tcPr>
            <w:tcW w:w="3402" w:type="dxa"/>
            <w:noWrap/>
          </w:tcPr>
          <w:p w14:paraId="251D4881" w14:textId="77777777" w:rsidR="0050196F" w:rsidRPr="002325F6" w:rsidRDefault="0050196F" w:rsidP="00B21BD0">
            <w:pPr>
              <w:pStyle w:val="ARGrantstabletext"/>
              <w:rPr>
                <w:bCs/>
                <w:color w:val="000000"/>
              </w:rPr>
            </w:pPr>
            <w:r w:rsidRPr="002325F6">
              <w:rPr>
                <w:bCs/>
                <w:color w:val="000000"/>
              </w:rPr>
              <w:t>Yarra Ranges Shire Council</w:t>
            </w:r>
          </w:p>
        </w:tc>
        <w:tc>
          <w:tcPr>
            <w:tcW w:w="1187" w:type="dxa"/>
            <w:noWrap/>
          </w:tcPr>
          <w:p w14:paraId="6F734D1C" w14:textId="77777777" w:rsidR="0050196F" w:rsidRPr="002325F6" w:rsidRDefault="0050196F" w:rsidP="00B21BD0">
            <w:pPr>
              <w:pStyle w:val="ARGrantstabletextright"/>
              <w:rPr>
                <w:bCs/>
                <w:color w:val="000000"/>
              </w:rPr>
            </w:pPr>
            <w:r w:rsidRPr="002325F6">
              <w:rPr>
                <w:bCs/>
                <w:color w:val="000000"/>
              </w:rPr>
              <w:t>74,166</w:t>
            </w:r>
          </w:p>
        </w:tc>
      </w:tr>
      <w:tr w:rsidR="0050196F" w:rsidRPr="00B6199F" w14:paraId="2201A834" w14:textId="77777777" w:rsidTr="00DB5974">
        <w:tc>
          <w:tcPr>
            <w:tcW w:w="3402" w:type="dxa"/>
            <w:noWrap/>
          </w:tcPr>
          <w:p w14:paraId="0F7D925A" w14:textId="77777777" w:rsidR="0050196F" w:rsidRPr="002325F6" w:rsidRDefault="0050196F" w:rsidP="00B21BD0">
            <w:pPr>
              <w:pStyle w:val="ARGrantstabletext"/>
              <w:rPr>
                <w:bCs/>
                <w:color w:val="000000"/>
              </w:rPr>
            </w:pPr>
            <w:r w:rsidRPr="002325F6">
              <w:rPr>
                <w:bCs/>
                <w:color w:val="000000"/>
              </w:rPr>
              <w:t>Yarra Valley ECOSS</w:t>
            </w:r>
          </w:p>
        </w:tc>
        <w:tc>
          <w:tcPr>
            <w:tcW w:w="1187" w:type="dxa"/>
            <w:noWrap/>
          </w:tcPr>
          <w:p w14:paraId="5F6432E7"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4D1DE5D4" w14:textId="77777777" w:rsidTr="00DB5974">
        <w:tc>
          <w:tcPr>
            <w:tcW w:w="3402" w:type="dxa"/>
            <w:noWrap/>
          </w:tcPr>
          <w:p w14:paraId="349E9607" w14:textId="77777777" w:rsidR="0050196F" w:rsidRPr="002325F6" w:rsidRDefault="0050196F" w:rsidP="00B21BD0">
            <w:pPr>
              <w:pStyle w:val="ARGrantstabletext"/>
              <w:rPr>
                <w:bCs/>
                <w:color w:val="000000"/>
              </w:rPr>
            </w:pPr>
            <w:r w:rsidRPr="002325F6">
              <w:rPr>
                <w:bCs/>
                <w:color w:val="000000"/>
              </w:rPr>
              <w:t>Yarram and District Health Service</w:t>
            </w:r>
          </w:p>
        </w:tc>
        <w:tc>
          <w:tcPr>
            <w:tcW w:w="1187" w:type="dxa"/>
            <w:noWrap/>
          </w:tcPr>
          <w:p w14:paraId="42EE5ACB"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4C2C0179" w14:textId="77777777" w:rsidTr="00DB5974">
        <w:tc>
          <w:tcPr>
            <w:tcW w:w="3402" w:type="dxa"/>
            <w:noWrap/>
          </w:tcPr>
          <w:p w14:paraId="0F06C5D1" w14:textId="77777777" w:rsidR="0050196F" w:rsidRPr="002325F6" w:rsidRDefault="0050196F" w:rsidP="00B21BD0">
            <w:pPr>
              <w:pStyle w:val="ARGrantstabletext"/>
              <w:rPr>
                <w:bCs/>
                <w:color w:val="000000"/>
              </w:rPr>
            </w:pPr>
            <w:r w:rsidRPr="002325F6">
              <w:rPr>
                <w:bCs/>
                <w:color w:val="000000"/>
              </w:rPr>
              <w:t>Yarram Secondary College</w:t>
            </w:r>
          </w:p>
        </w:tc>
        <w:tc>
          <w:tcPr>
            <w:tcW w:w="1187" w:type="dxa"/>
            <w:noWrap/>
          </w:tcPr>
          <w:p w14:paraId="11DFA790"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3A2314A" w14:textId="77777777" w:rsidTr="00DB5974">
        <w:tc>
          <w:tcPr>
            <w:tcW w:w="3402" w:type="dxa"/>
            <w:noWrap/>
          </w:tcPr>
          <w:p w14:paraId="4F4167B5" w14:textId="77777777" w:rsidR="0050196F" w:rsidRPr="002325F6" w:rsidRDefault="0050196F" w:rsidP="00B21BD0">
            <w:pPr>
              <w:pStyle w:val="ARGrantstabletext"/>
              <w:rPr>
                <w:bCs/>
                <w:color w:val="000000"/>
              </w:rPr>
            </w:pPr>
            <w:r w:rsidRPr="002325F6">
              <w:rPr>
                <w:bCs/>
                <w:color w:val="000000"/>
              </w:rPr>
              <w:t>Yarraville Special Developmental School</w:t>
            </w:r>
          </w:p>
        </w:tc>
        <w:tc>
          <w:tcPr>
            <w:tcW w:w="1187" w:type="dxa"/>
            <w:noWrap/>
          </w:tcPr>
          <w:p w14:paraId="1B34620C"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2836FC3F" w14:textId="77777777" w:rsidTr="00DB5974">
        <w:tc>
          <w:tcPr>
            <w:tcW w:w="3402" w:type="dxa"/>
            <w:noWrap/>
          </w:tcPr>
          <w:p w14:paraId="4049AFEF" w14:textId="77777777" w:rsidR="0050196F" w:rsidRPr="002325F6" w:rsidRDefault="0050196F" w:rsidP="00B21BD0">
            <w:pPr>
              <w:pStyle w:val="ARGrantstabletext"/>
              <w:rPr>
                <w:bCs/>
                <w:color w:val="000000"/>
              </w:rPr>
            </w:pPr>
            <w:r w:rsidRPr="002325F6">
              <w:rPr>
                <w:bCs/>
                <w:color w:val="000000"/>
              </w:rPr>
              <w:t>Yarriambiack Shire Council</w:t>
            </w:r>
          </w:p>
        </w:tc>
        <w:tc>
          <w:tcPr>
            <w:tcW w:w="1187" w:type="dxa"/>
            <w:noWrap/>
          </w:tcPr>
          <w:p w14:paraId="65EF4BAC" w14:textId="77777777" w:rsidR="0050196F" w:rsidRPr="002325F6" w:rsidRDefault="0050196F" w:rsidP="00B21BD0">
            <w:pPr>
              <w:pStyle w:val="ARGrantstabletextright"/>
              <w:rPr>
                <w:bCs/>
                <w:color w:val="000000"/>
              </w:rPr>
            </w:pPr>
            <w:r w:rsidRPr="002325F6">
              <w:rPr>
                <w:bCs/>
                <w:color w:val="000000"/>
              </w:rPr>
              <w:t>35,500</w:t>
            </w:r>
          </w:p>
        </w:tc>
      </w:tr>
      <w:tr w:rsidR="0050196F" w:rsidRPr="00B6199F" w14:paraId="6C325E7D" w14:textId="77777777" w:rsidTr="00DB5974">
        <w:trPr>
          <w:trHeight w:val="43"/>
        </w:trPr>
        <w:tc>
          <w:tcPr>
            <w:tcW w:w="3402" w:type="dxa"/>
            <w:noWrap/>
          </w:tcPr>
          <w:p w14:paraId="6077D2E7" w14:textId="77777777" w:rsidR="0050196F" w:rsidRPr="002325F6" w:rsidRDefault="0050196F" w:rsidP="00B21BD0">
            <w:pPr>
              <w:pStyle w:val="ARGrantstabletext"/>
              <w:rPr>
                <w:bCs/>
                <w:color w:val="000000"/>
              </w:rPr>
            </w:pPr>
            <w:r w:rsidRPr="002325F6">
              <w:rPr>
                <w:bCs/>
                <w:color w:val="000000"/>
              </w:rPr>
              <w:t>YMCA Victoria</w:t>
            </w:r>
          </w:p>
        </w:tc>
        <w:tc>
          <w:tcPr>
            <w:tcW w:w="1187" w:type="dxa"/>
            <w:noWrap/>
          </w:tcPr>
          <w:p w14:paraId="6FE2D5D6"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4A9AB6A0" w14:textId="77777777" w:rsidTr="00DB5974">
        <w:tc>
          <w:tcPr>
            <w:tcW w:w="3402" w:type="dxa"/>
            <w:noWrap/>
          </w:tcPr>
          <w:p w14:paraId="635FC30A" w14:textId="77777777" w:rsidR="0050196F" w:rsidRPr="002325F6" w:rsidRDefault="0050196F" w:rsidP="00B21BD0">
            <w:pPr>
              <w:pStyle w:val="ARGrantstabletext"/>
              <w:rPr>
                <w:bCs/>
                <w:color w:val="000000"/>
              </w:rPr>
            </w:pPr>
            <w:r w:rsidRPr="002325F6">
              <w:rPr>
                <w:bCs/>
                <w:color w:val="000000"/>
              </w:rPr>
              <w:t>Young Change Agents Limited</w:t>
            </w:r>
          </w:p>
        </w:tc>
        <w:tc>
          <w:tcPr>
            <w:tcW w:w="1187" w:type="dxa"/>
            <w:noWrap/>
          </w:tcPr>
          <w:p w14:paraId="6BCA4A8B"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7CB828AC" w14:textId="77777777" w:rsidTr="00DB5974">
        <w:tc>
          <w:tcPr>
            <w:tcW w:w="3402" w:type="dxa"/>
            <w:noWrap/>
          </w:tcPr>
          <w:p w14:paraId="2C5CE2FB" w14:textId="7ACACC55" w:rsidR="0050196F" w:rsidRPr="002325F6" w:rsidRDefault="0050196F" w:rsidP="00B21BD0">
            <w:pPr>
              <w:pStyle w:val="ARGrantstabletext"/>
              <w:rPr>
                <w:bCs/>
                <w:color w:val="000000"/>
              </w:rPr>
            </w:pPr>
            <w:r w:rsidRPr="002325F6">
              <w:rPr>
                <w:bCs/>
                <w:color w:val="000000"/>
              </w:rPr>
              <w:t>Young Men</w:t>
            </w:r>
            <w:r w:rsidR="00711AE6">
              <w:rPr>
                <w:bCs/>
                <w:color w:val="000000"/>
              </w:rPr>
              <w:t>’</w:t>
            </w:r>
            <w:r w:rsidRPr="002325F6">
              <w:rPr>
                <w:bCs/>
                <w:color w:val="000000"/>
              </w:rPr>
              <w:t>s Christian Association of Ballarat Youth Services INC</w:t>
            </w:r>
          </w:p>
        </w:tc>
        <w:tc>
          <w:tcPr>
            <w:tcW w:w="1187" w:type="dxa"/>
            <w:noWrap/>
          </w:tcPr>
          <w:p w14:paraId="027C7C46" w14:textId="77777777" w:rsidR="0050196F" w:rsidRPr="002325F6" w:rsidRDefault="0050196F" w:rsidP="00B21BD0">
            <w:pPr>
              <w:pStyle w:val="ARGrantstabletextright"/>
              <w:rPr>
                <w:bCs/>
                <w:color w:val="000000"/>
              </w:rPr>
            </w:pPr>
            <w:r w:rsidRPr="002325F6">
              <w:rPr>
                <w:bCs/>
                <w:color w:val="000000"/>
              </w:rPr>
              <w:t>50,000</w:t>
            </w:r>
          </w:p>
        </w:tc>
      </w:tr>
      <w:tr w:rsidR="0050196F" w:rsidRPr="00B6199F" w14:paraId="518C6D8D" w14:textId="77777777" w:rsidTr="00DB5974">
        <w:tc>
          <w:tcPr>
            <w:tcW w:w="3402" w:type="dxa"/>
            <w:noWrap/>
          </w:tcPr>
          <w:p w14:paraId="3FFD44E0" w14:textId="77777777" w:rsidR="0050196F" w:rsidRPr="002325F6" w:rsidRDefault="0050196F" w:rsidP="00B21BD0">
            <w:pPr>
              <w:pStyle w:val="ARGrantstabletext"/>
              <w:rPr>
                <w:bCs/>
                <w:color w:val="000000"/>
              </w:rPr>
            </w:pPr>
            <w:r w:rsidRPr="002325F6">
              <w:rPr>
                <w:bCs/>
                <w:color w:val="000000"/>
              </w:rPr>
              <w:t>Young Workers Centre</w:t>
            </w:r>
          </w:p>
        </w:tc>
        <w:tc>
          <w:tcPr>
            <w:tcW w:w="1187" w:type="dxa"/>
            <w:noWrap/>
          </w:tcPr>
          <w:p w14:paraId="72480FA0"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1602C2A2" w14:textId="77777777" w:rsidTr="00DB5974">
        <w:tc>
          <w:tcPr>
            <w:tcW w:w="3402" w:type="dxa"/>
            <w:noWrap/>
          </w:tcPr>
          <w:p w14:paraId="1353A0F4" w14:textId="77777777" w:rsidR="0050196F" w:rsidRPr="002325F6" w:rsidRDefault="0050196F" w:rsidP="00B21BD0">
            <w:pPr>
              <w:pStyle w:val="ARGrantstabletext"/>
              <w:rPr>
                <w:bCs/>
                <w:color w:val="000000"/>
              </w:rPr>
            </w:pPr>
            <w:r w:rsidRPr="002325F6">
              <w:rPr>
                <w:bCs/>
                <w:color w:val="000000"/>
              </w:rPr>
              <w:t>Youth Affairs Council of Victoria Inc</w:t>
            </w:r>
          </w:p>
        </w:tc>
        <w:tc>
          <w:tcPr>
            <w:tcW w:w="1187" w:type="dxa"/>
            <w:noWrap/>
          </w:tcPr>
          <w:p w14:paraId="0A52653E" w14:textId="77777777" w:rsidR="0050196F" w:rsidRPr="002325F6" w:rsidRDefault="0050196F" w:rsidP="00B21BD0">
            <w:pPr>
              <w:pStyle w:val="ARGrantstabletextright"/>
              <w:rPr>
                <w:bCs/>
                <w:color w:val="000000"/>
              </w:rPr>
            </w:pPr>
            <w:r w:rsidRPr="002325F6">
              <w:rPr>
                <w:bCs/>
                <w:color w:val="000000"/>
              </w:rPr>
              <w:t>1,112,819</w:t>
            </w:r>
          </w:p>
        </w:tc>
      </w:tr>
      <w:tr w:rsidR="0050196F" w:rsidRPr="00B6199F" w14:paraId="7A0CBBB9" w14:textId="77777777" w:rsidTr="00DB5974">
        <w:tc>
          <w:tcPr>
            <w:tcW w:w="3402" w:type="dxa"/>
            <w:noWrap/>
          </w:tcPr>
          <w:p w14:paraId="02F182CB" w14:textId="77777777" w:rsidR="0050196F" w:rsidRPr="002325F6" w:rsidRDefault="0050196F" w:rsidP="00B21BD0">
            <w:pPr>
              <w:pStyle w:val="ARGrantstabletext"/>
              <w:rPr>
                <w:bCs/>
                <w:color w:val="000000"/>
              </w:rPr>
            </w:pPr>
            <w:r w:rsidRPr="002325F6">
              <w:rPr>
                <w:bCs/>
                <w:color w:val="000000"/>
              </w:rPr>
              <w:t>Youth Albury Wodonga Inc</w:t>
            </w:r>
          </w:p>
        </w:tc>
        <w:tc>
          <w:tcPr>
            <w:tcW w:w="1187" w:type="dxa"/>
            <w:noWrap/>
          </w:tcPr>
          <w:p w14:paraId="0633533B" w14:textId="77777777" w:rsidR="0050196F" w:rsidRPr="002325F6" w:rsidRDefault="0050196F" w:rsidP="00B21BD0">
            <w:pPr>
              <w:pStyle w:val="ARGrantstabletextright"/>
              <w:rPr>
                <w:bCs/>
                <w:color w:val="000000"/>
              </w:rPr>
            </w:pPr>
            <w:r w:rsidRPr="002325F6">
              <w:rPr>
                <w:bCs/>
                <w:color w:val="000000"/>
              </w:rPr>
              <w:t>60,000</w:t>
            </w:r>
          </w:p>
        </w:tc>
      </w:tr>
      <w:tr w:rsidR="0050196F" w:rsidRPr="00B6199F" w14:paraId="132FA2B4" w14:textId="77777777" w:rsidTr="00DB5974">
        <w:tc>
          <w:tcPr>
            <w:tcW w:w="3402" w:type="dxa"/>
            <w:noWrap/>
          </w:tcPr>
          <w:p w14:paraId="558AAF5E" w14:textId="77777777" w:rsidR="0050196F" w:rsidRPr="002325F6" w:rsidRDefault="0050196F" w:rsidP="00B21BD0">
            <w:pPr>
              <w:pStyle w:val="ARGrantstabletext"/>
              <w:rPr>
                <w:bCs/>
                <w:color w:val="000000"/>
              </w:rPr>
            </w:pPr>
            <w:r w:rsidRPr="002325F6">
              <w:rPr>
                <w:bCs/>
                <w:color w:val="000000"/>
              </w:rPr>
              <w:t>Youth Insearch Foundation (Aust) Inc</w:t>
            </w:r>
          </w:p>
        </w:tc>
        <w:tc>
          <w:tcPr>
            <w:tcW w:w="1187" w:type="dxa"/>
            <w:noWrap/>
          </w:tcPr>
          <w:p w14:paraId="44768DED" w14:textId="77777777" w:rsidR="0050196F" w:rsidRPr="002325F6" w:rsidRDefault="0050196F" w:rsidP="00B21BD0">
            <w:pPr>
              <w:pStyle w:val="ARGrantstabletextright"/>
              <w:rPr>
                <w:bCs/>
                <w:color w:val="000000"/>
              </w:rPr>
            </w:pPr>
            <w:r w:rsidRPr="002325F6">
              <w:rPr>
                <w:bCs/>
                <w:color w:val="000000"/>
              </w:rPr>
              <w:t>22,500</w:t>
            </w:r>
          </w:p>
        </w:tc>
      </w:tr>
      <w:tr w:rsidR="0050196F" w:rsidRPr="00B6199F" w14:paraId="11A3DE20" w14:textId="77777777" w:rsidTr="00DB5974">
        <w:tc>
          <w:tcPr>
            <w:tcW w:w="3402" w:type="dxa"/>
            <w:noWrap/>
          </w:tcPr>
          <w:p w14:paraId="2581928F" w14:textId="77777777" w:rsidR="0050196F" w:rsidRPr="002325F6" w:rsidRDefault="0050196F" w:rsidP="00B21BD0">
            <w:pPr>
              <w:pStyle w:val="ARGrantstabletext"/>
              <w:rPr>
                <w:bCs/>
                <w:color w:val="000000"/>
              </w:rPr>
            </w:pPr>
            <w:r w:rsidRPr="002325F6">
              <w:rPr>
                <w:bCs/>
                <w:color w:val="000000"/>
              </w:rPr>
              <w:t>Youth Projects Limited</w:t>
            </w:r>
          </w:p>
        </w:tc>
        <w:tc>
          <w:tcPr>
            <w:tcW w:w="1187" w:type="dxa"/>
            <w:noWrap/>
          </w:tcPr>
          <w:p w14:paraId="76E03024" w14:textId="77777777" w:rsidR="0050196F" w:rsidRPr="002325F6" w:rsidRDefault="0050196F" w:rsidP="00B21BD0">
            <w:pPr>
              <w:pStyle w:val="ARGrantstabletextright"/>
              <w:rPr>
                <w:bCs/>
                <w:color w:val="000000"/>
              </w:rPr>
            </w:pPr>
            <w:r w:rsidRPr="002325F6">
              <w:rPr>
                <w:bCs/>
                <w:color w:val="000000"/>
              </w:rPr>
              <w:t>45,000</w:t>
            </w:r>
          </w:p>
        </w:tc>
      </w:tr>
      <w:tr w:rsidR="0050196F" w:rsidRPr="00B6199F" w14:paraId="4ACC07D3" w14:textId="77777777" w:rsidTr="00DB5974">
        <w:tc>
          <w:tcPr>
            <w:tcW w:w="3402" w:type="dxa"/>
            <w:noWrap/>
          </w:tcPr>
          <w:p w14:paraId="568D2DA4" w14:textId="77777777" w:rsidR="0050196F" w:rsidRPr="002325F6" w:rsidRDefault="0050196F" w:rsidP="00B21BD0">
            <w:pPr>
              <w:pStyle w:val="ARGrantstabletext"/>
              <w:rPr>
                <w:bCs/>
                <w:color w:val="000000"/>
              </w:rPr>
            </w:pPr>
            <w:r w:rsidRPr="002325F6">
              <w:rPr>
                <w:bCs/>
                <w:color w:val="000000"/>
              </w:rPr>
              <w:t>Youth Projects Ltd</w:t>
            </w:r>
          </w:p>
        </w:tc>
        <w:tc>
          <w:tcPr>
            <w:tcW w:w="1187" w:type="dxa"/>
            <w:noWrap/>
          </w:tcPr>
          <w:p w14:paraId="011CD961"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3633FDA0" w14:textId="77777777" w:rsidTr="00DB5974">
        <w:tc>
          <w:tcPr>
            <w:tcW w:w="3402" w:type="dxa"/>
            <w:noWrap/>
          </w:tcPr>
          <w:p w14:paraId="1054FC3A" w14:textId="2F075C91" w:rsidR="0050196F" w:rsidRPr="002325F6" w:rsidRDefault="0050196F" w:rsidP="00B21BD0">
            <w:pPr>
              <w:pStyle w:val="ARGrantstabletext"/>
              <w:rPr>
                <w:bCs/>
                <w:color w:val="000000"/>
              </w:rPr>
            </w:pPr>
            <w:r w:rsidRPr="002325F6">
              <w:rPr>
                <w:bCs/>
                <w:color w:val="000000"/>
              </w:rPr>
              <w:t>Yuille Park P-8 Community College (Young</w:t>
            </w:r>
            <w:r w:rsidR="00EA2AB7">
              <w:rPr>
                <w:bCs/>
                <w:color w:val="000000"/>
              </w:rPr>
              <w:t> </w:t>
            </w:r>
            <w:r w:rsidRPr="002325F6">
              <w:rPr>
                <w:bCs/>
                <w:color w:val="000000"/>
              </w:rPr>
              <w:t>Parents Campus)</w:t>
            </w:r>
          </w:p>
        </w:tc>
        <w:tc>
          <w:tcPr>
            <w:tcW w:w="1187" w:type="dxa"/>
            <w:noWrap/>
          </w:tcPr>
          <w:p w14:paraId="275D0275" w14:textId="77777777" w:rsidR="0050196F" w:rsidRPr="002325F6" w:rsidRDefault="0050196F" w:rsidP="00B21BD0">
            <w:pPr>
              <w:pStyle w:val="ARGrantstabletextright"/>
              <w:rPr>
                <w:bCs/>
                <w:color w:val="000000"/>
              </w:rPr>
            </w:pPr>
            <w:r w:rsidRPr="002325F6">
              <w:rPr>
                <w:bCs/>
                <w:color w:val="000000"/>
              </w:rPr>
              <w:t>9,800</w:t>
            </w:r>
          </w:p>
        </w:tc>
      </w:tr>
      <w:tr w:rsidR="0050196F" w:rsidRPr="00B6199F" w14:paraId="4FA6162F" w14:textId="77777777" w:rsidTr="00DB5974">
        <w:tc>
          <w:tcPr>
            <w:tcW w:w="3402" w:type="dxa"/>
            <w:noWrap/>
          </w:tcPr>
          <w:p w14:paraId="0395A2AB" w14:textId="792868A9" w:rsidR="0050196F" w:rsidRPr="002325F6" w:rsidRDefault="0050196F" w:rsidP="00B21BD0">
            <w:pPr>
              <w:pStyle w:val="ARGrantstabletext"/>
              <w:rPr>
                <w:bCs/>
                <w:color w:val="000000"/>
              </w:rPr>
            </w:pPr>
            <w:r w:rsidRPr="002325F6">
              <w:rPr>
                <w:bCs/>
                <w:color w:val="000000"/>
              </w:rPr>
              <w:t xml:space="preserve">Zimbabwean Community in </w:t>
            </w:r>
            <w:r w:rsidR="00083017">
              <w:rPr>
                <w:bCs/>
                <w:color w:val="000000"/>
              </w:rPr>
              <w:br/>
            </w:r>
            <w:r w:rsidRPr="002325F6">
              <w:rPr>
                <w:bCs/>
                <w:color w:val="000000"/>
              </w:rPr>
              <w:t xml:space="preserve">Australia </w:t>
            </w:r>
            <w:r w:rsidR="00604894">
              <w:rPr>
                <w:bCs/>
                <w:color w:val="000000"/>
              </w:rPr>
              <w:t>–</w:t>
            </w:r>
            <w:r w:rsidRPr="002325F6">
              <w:rPr>
                <w:bCs/>
                <w:color w:val="000000"/>
              </w:rPr>
              <w:t xml:space="preserve"> Victoria</w:t>
            </w:r>
          </w:p>
        </w:tc>
        <w:tc>
          <w:tcPr>
            <w:tcW w:w="1187" w:type="dxa"/>
            <w:noWrap/>
          </w:tcPr>
          <w:p w14:paraId="1E8E2ECC" w14:textId="77777777" w:rsidR="0050196F" w:rsidRPr="002325F6" w:rsidRDefault="0050196F" w:rsidP="00B21BD0">
            <w:pPr>
              <w:pStyle w:val="ARGrantstabletextright"/>
              <w:rPr>
                <w:bCs/>
                <w:color w:val="000000"/>
              </w:rPr>
            </w:pPr>
            <w:r w:rsidRPr="002325F6">
              <w:rPr>
                <w:bCs/>
                <w:color w:val="000000"/>
              </w:rPr>
              <w:t>2,000</w:t>
            </w:r>
          </w:p>
        </w:tc>
      </w:tr>
      <w:tr w:rsidR="0050196F" w:rsidRPr="00B6199F" w14:paraId="086D8D84" w14:textId="77777777" w:rsidTr="00DB5974">
        <w:tc>
          <w:tcPr>
            <w:tcW w:w="3402" w:type="dxa"/>
            <w:noWrap/>
          </w:tcPr>
          <w:p w14:paraId="31ADED41" w14:textId="77777777" w:rsidR="0050196F" w:rsidRPr="00FC2CF6" w:rsidRDefault="0050196F" w:rsidP="00B21BD0">
            <w:pPr>
              <w:pStyle w:val="ARGrantstabletextbold"/>
            </w:pPr>
            <w:r w:rsidRPr="00FC2CF6">
              <w:t>Total</w:t>
            </w:r>
          </w:p>
        </w:tc>
        <w:tc>
          <w:tcPr>
            <w:tcW w:w="1187" w:type="dxa"/>
            <w:noWrap/>
          </w:tcPr>
          <w:p w14:paraId="7873AAD4" w14:textId="77777777" w:rsidR="0050196F" w:rsidRPr="00FC2CF6" w:rsidRDefault="0050196F" w:rsidP="00B21BD0">
            <w:pPr>
              <w:pStyle w:val="ARGrantstabletextrightbold"/>
            </w:pPr>
            <w:r w:rsidRPr="00FC2CF6">
              <w:t>22,011,171</w:t>
            </w:r>
          </w:p>
        </w:tc>
      </w:tr>
      <w:bookmarkEnd w:id="300"/>
      <w:bookmarkEnd w:id="301"/>
    </w:tbl>
    <w:p w14:paraId="0FCB3BF3" w14:textId="77777777" w:rsidR="00DB5974" w:rsidRDefault="00DB5974" w:rsidP="00EA2AB7">
      <w:pPr>
        <w:pStyle w:val="ARbody"/>
        <w:rPr>
          <w:highlight w:val="green"/>
        </w:rPr>
        <w:sectPr w:rsidR="00DB5974" w:rsidSect="005936D2">
          <w:footnotePr>
            <w:numFmt w:val="lowerRoman"/>
            <w:numRestart w:val="eachPage"/>
          </w:footnotePr>
          <w:endnotePr>
            <w:numFmt w:val="decimal"/>
          </w:endnotePr>
          <w:type w:val="continuous"/>
          <w:pgSz w:w="11900" w:h="16840" w:code="9"/>
          <w:pgMar w:top="1701" w:right="1134" w:bottom="851" w:left="1134" w:header="510" w:footer="340" w:gutter="0"/>
          <w:cols w:num="2" w:space="454"/>
          <w:docGrid w:linePitch="299"/>
        </w:sectPr>
      </w:pPr>
    </w:p>
    <w:p w14:paraId="2BB4494E" w14:textId="703344F8" w:rsidR="0081234A" w:rsidRPr="00BA7805" w:rsidRDefault="0081234A" w:rsidP="0081234A">
      <w:pPr>
        <w:pStyle w:val="Heading2"/>
        <w:rPr>
          <w:highlight w:val="green"/>
        </w:rPr>
      </w:pPr>
      <w:bookmarkStart w:id="313" w:name="_Toc82006220"/>
      <w:bookmarkStart w:id="314" w:name="_Ref85113909"/>
      <w:bookmarkStart w:id="315" w:name="_Toc110778206"/>
      <w:bookmarkStart w:id="316" w:name="_Toc110855620"/>
      <w:bookmarkStart w:id="317" w:name="_Toc114491224"/>
      <w:bookmarkStart w:id="318" w:name="_Toc144218682"/>
      <w:bookmarkStart w:id="319" w:name="_Ref178180915"/>
      <w:bookmarkStart w:id="320" w:name="_Ref178238850"/>
      <w:bookmarkStart w:id="321" w:name="_Toc181101535"/>
      <w:r w:rsidRPr="00AA126F">
        <w:t>Additional departmental information available on request</w:t>
      </w:r>
      <w:bookmarkEnd w:id="313"/>
      <w:bookmarkEnd w:id="314"/>
      <w:bookmarkEnd w:id="315"/>
      <w:bookmarkEnd w:id="316"/>
      <w:bookmarkEnd w:id="317"/>
      <w:bookmarkEnd w:id="318"/>
      <w:bookmarkEnd w:id="319"/>
      <w:bookmarkEnd w:id="320"/>
      <w:bookmarkEnd w:id="321"/>
    </w:p>
    <w:p w14:paraId="27B4F756" w14:textId="29571BC9" w:rsidR="00CE4711" w:rsidRPr="00F965E9" w:rsidRDefault="00CE4711" w:rsidP="00CE4711">
      <w:pPr>
        <w:pStyle w:val="ARbody"/>
      </w:pPr>
      <w:r w:rsidRPr="00F965E9">
        <w:t xml:space="preserve">In compliance with the requirements of the Standing Directions 2018 under the </w:t>
      </w:r>
      <w:r w:rsidRPr="007803CC">
        <w:rPr>
          <w:rStyle w:val="Emphasis"/>
        </w:rPr>
        <w:t>Financial Management Act 1994</w:t>
      </w:r>
      <w:r w:rsidRPr="00F965E9">
        <w:t xml:space="preserve">, details in respect of the items listed below have been retained by the department and are available on request, subject to the provisions of the </w:t>
      </w:r>
      <w:r w:rsidRPr="007803CC">
        <w:rPr>
          <w:rStyle w:val="Emphasis"/>
        </w:rPr>
        <w:t>Freedom of Information Act 1982</w:t>
      </w:r>
      <w:r w:rsidR="00981E3A">
        <w:t>:</w:t>
      </w:r>
    </w:p>
    <w:p w14:paraId="648171C9" w14:textId="77777777" w:rsidR="00CE4711" w:rsidRPr="00F965E9" w:rsidRDefault="00CE4711" w:rsidP="00CE4711">
      <w:pPr>
        <w:pStyle w:val="ARbullet1"/>
      </w:pPr>
      <w:r w:rsidRPr="00F965E9">
        <w:t>a statement that declarations of pecuniary interests have been duly completed by all relevant officers</w:t>
      </w:r>
    </w:p>
    <w:p w14:paraId="54F71A2A" w14:textId="77777777" w:rsidR="00CE4711" w:rsidRPr="00F965E9" w:rsidRDefault="00CE4711" w:rsidP="00CE4711">
      <w:pPr>
        <w:pStyle w:val="ARbullet1"/>
      </w:pPr>
      <w:r w:rsidRPr="00F965E9">
        <w:t>details of shares held by a senior officer as nominee or held beneficially in a statutory authority or subsidiary</w:t>
      </w:r>
    </w:p>
    <w:p w14:paraId="26B3978C" w14:textId="77777777" w:rsidR="00CE4711" w:rsidRPr="00F965E9" w:rsidRDefault="00CE4711" w:rsidP="00CE4711">
      <w:pPr>
        <w:pStyle w:val="ARbullet1"/>
      </w:pPr>
      <w:r w:rsidRPr="00F965E9">
        <w:t>details of publications produced by the entity about itself, and how these can be obtained</w:t>
      </w:r>
    </w:p>
    <w:p w14:paraId="52C9AAFA" w14:textId="77777777" w:rsidR="00CE4711" w:rsidRPr="00F965E9" w:rsidRDefault="00CE4711" w:rsidP="00CE4711">
      <w:pPr>
        <w:pStyle w:val="ARbullet1"/>
      </w:pPr>
      <w:r w:rsidRPr="00F965E9">
        <w:t>details of changes in prices, fees, charges, rates and levies charged by the entity</w:t>
      </w:r>
    </w:p>
    <w:p w14:paraId="1DB11FD9" w14:textId="77777777" w:rsidR="00CE4711" w:rsidRPr="00F965E9" w:rsidRDefault="00CE4711" w:rsidP="00CE4711">
      <w:pPr>
        <w:pStyle w:val="ARbullet1"/>
      </w:pPr>
      <w:r w:rsidRPr="00F965E9">
        <w:t>details of any major external reviews carried out on the entity</w:t>
      </w:r>
    </w:p>
    <w:p w14:paraId="2F1F984E" w14:textId="77777777" w:rsidR="00CE4711" w:rsidRPr="00F965E9" w:rsidRDefault="00CE4711" w:rsidP="00CE4711">
      <w:pPr>
        <w:pStyle w:val="ARbullet1"/>
      </w:pPr>
      <w:r w:rsidRPr="00F965E9">
        <w:t>details of major research and development activities undertaken by the entity</w:t>
      </w:r>
    </w:p>
    <w:p w14:paraId="6A22C552" w14:textId="77777777" w:rsidR="00CE4711" w:rsidRPr="00F965E9" w:rsidRDefault="00CE4711" w:rsidP="00CE4711">
      <w:pPr>
        <w:pStyle w:val="ARbullet1"/>
      </w:pPr>
      <w:r w:rsidRPr="00F965E9">
        <w:t>details of overseas visits undertaken including a summary of the objectives and outcomes of each visit</w:t>
      </w:r>
    </w:p>
    <w:p w14:paraId="52F8C496" w14:textId="77777777" w:rsidR="00CE4711" w:rsidRPr="00F965E9" w:rsidRDefault="00CE4711" w:rsidP="00CE4711">
      <w:pPr>
        <w:pStyle w:val="ARbullet1"/>
      </w:pPr>
      <w:r w:rsidRPr="00F965E9">
        <w:t>details of major promotional, public relations and marketing activities undertaken by the entity to develop community awareness of the entity and its services</w:t>
      </w:r>
    </w:p>
    <w:p w14:paraId="2C9A9A9D" w14:textId="77777777" w:rsidR="00CE4711" w:rsidRPr="00F965E9" w:rsidRDefault="00CE4711" w:rsidP="00CE4711">
      <w:pPr>
        <w:pStyle w:val="ARbullet1"/>
      </w:pPr>
      <w:r w:rsidRPr="00F965E9">
        <w:t>details of assessments and measures undertaken to improve the occupational health and safety of employees</w:t>
      </w:r>
    </w:p>
    <w:p w14:paraId="422A56FF" w14:textId="77777777" w:rsidR="00CE4711" w:rsidRPr="00F965E9" w:rsidRDefault="00CE4711" w:rsidP="00CE4711">
      <w:pPr>
        <w:pStyle w:val="ARbullet1"/>
      </w:pPr>
      <w:r w:rsidRPr="00F965E9">
        <w:t>a general statement on industrial relations within the entity and details of time lost through industrial accidents and disputes</w:t>
      </w:r>
    </w:p>
    <w:p w14:paraId="6D5845EE" w14:textId="77777777" w:rsidR="00CE4711" w:rsidRPr="00F965E9" w:rsidRDefault="00CE4711" w:rsidP="00CE4711">
      <w:pPr>
        <w:pStyle w:val="ARbullet1"/>
      </w:pPr>
      <w:r w:rsidRPr="00F965E9">
        <w:t>a list of major committees sponsored by the entity, the purposes of each committee and the extent to which the purposes have been achieved</w:t>
      </w:r>
    </w:p>
    <w:p w14:paraId="6E7FBEBC" w14:textId="77777777" w:rsidR="00CE4711" w:rsidRPr="00F965E9" w:rsidRDefault="00CE4711" w:rsidP="00CE4711">
      <w:pPr>
        <w:pStyle w:val="ARbullet1"/>
      </w:pPr>
      <w:r w:rsidRPr="00F965E9">
        <w:t>details of all consultancies and contractors including consultants/contractors engaged; services provided; and expenditure committed to for each engagement.</w:t>
      </w:r>
    </w:p>
    <w:p w14:paraId="35C51521" w14:textId="77777777" w:rsidR="00CE4711" w:rsidRPr="00F965E9" w:rsidRDefault="00CE4711" w:rsidP="00CE4711">
      <w:pPr>
        <w:pStyle w:val="ARbodyafterbullets"/>
      </w:pPr>
      <w:r w:rsidRPr="00F965E9">
        <w:t>Requests for additional information may be made in writing to the following:</w:t>
      </w:r>
    </w:p>
    <w:p w14:paraId="64C85CF1" w14:textId="77777777" w:rsidR="00CE4711" w:rsidRPr="00F965E9" w:rsidRDefault="00CE4711" w:rsidP="00CE4711">
      <w:pPr>
        <w:pStyle w:val="ARbody"/>
      </w:pPr>
      <w:r w:rsidRPr="00F965E9">
        <w:t xml:space="preserve">Executive Director, </w:t>
      </w:r>
      <w:r>
        <w:t>Strategy and Reform</w:t>
      </w:r>
      <w:r w:rsidRPr="00F965E9">
        <w:br/>
        <w:t>GPO Box 1774 Melbourne Vic 3001</w:t>
      </w:r>
    </w:p>
    <w:p w14:paraId="2F61388D" w14:textId="426E02E5" w:rsidR="00092B43" w:rsidRPr="00BA7805" w:rsidRDefault="00CE4711" w:rsidP="00CE4711">
      <w:pPr>
        <w:pStyle w:val="ARbody"/>
        <w:rPr>
          <w:highlight w:val="green"/>
        </w:rPr>
      </w:pPr>
      <w:hyperlink r:id="rId153" w:history="1">
        <w:r>
          <w:rPr>
            <w:rStyle w:val="Hyperlink"/>
          </w:rPr>
          <w:t>Email Executive Director, Strategy and Reform</w:t>
        </w:r>
      </w:hyperlink>
      <w:r w:rsidRPr="00F965E9">
        <w:rPr>
          <w:rStyle w:val="Hyperlink"/>
        </w:rPr>
        <w:t xml:space="preserve"> </w:t>
      </w:r>
      <w:r w:rsidRPr="00F965E9">
        <w:t>&lt;DFFHcorporate.reporting@dffh.vic.gov.au&gt;</w:t>
      </w:r>
    </w:p>
    <w:p w14:paraId="2787AD2A" w14:textId="77777777" w:rsidR="009F6BF7" w:rsidRPr="00BA7805" w:rsidRDefault="009F6BF7" w:rsidP="009F6BF7">
      <w:pPr>
        <w:pStyle w:val="ARbody"/>
        <w:rPr>
          <w:highlight w:val="green"/>
        </w:rPr>
      </w:pPr>
      <w:bookmarkStart w:id="322" w:name="_Toc110855621"/>
      <w:bookmarkStart w:id="323" w:name="_Toc114491225"/>
      <w:bookmarkStart w:id="324" w:name="_Toc144218683"/>
      <w:r w:rsidRPr="00BA7805">
        <w:rPr>
          <w:highlight w:val="green"/>
        </w:rPr>
        <w:br w:type="page"/>
      </w:r>
    </w:p>
    <w:p w14:paraId="6C738852" w14:textId="77777777" w:rsidR="00182A82" w:rsidRPr="00532DAE" w:rsidRDefault="00182A82" w:rsidP="0028555E">
      <w:pPr>
        <w:pStyle w:val="Heading2"/>
      </w:pPr>
      <w:bookmarkStart w:id="325" w:name="_Toc149587074"/>
      <w:bookmarkStart w:id="326" w:name="_Ref178174002"/>
      <w:bookmarkStart w:id="327" w:name="_Ref178616121"/>
      <w:bookmarkStart w:id="328" w:name="_Toc181101536"/>
      <w:bookmarkStart w:id="329" w:name="_Ref146703652"/>
      <w:r w:rsidRPr="00532DAE">
        <w:t>Disclosure index</w:t>
      </w:r>
      <w:bookmarkEnd w:id="325"/>
      <w:bookmarkEnd w:id="326"/>
      <w:bookmarkEnd w:id="327"/>
      <w:bookmarkEnd w:id="328"/>
    </w:p>
    <w:p w14:paraId="2741B152" w14:textId="0DD1A625" w:rsidR="00182A82" w:rsidRPr="00182A82" w:rsidRDefault="00182A82" w:rsidP="00314E1D">
      <w:pPr>
        <w:pStyle w:val="ARbody"/>
      </w:pPr>
      <w:r w:rsidRPr="00182A82">
        <w:t>The annual report of the Department of Families, Fairness and Housing is prepared in accordance with all</w:t>
      </w:r>
      <w:r w:rsidR="00B21943">
        <w:t> </w:t>
      </w:r>
      <w:r w:rsidRPr="00182A82">
        <w:t>relevant Victorian legislation. This index has been prepared to facilitate identification of the department</w:t>
      </w:r>
      <w:r w:rsidR="00711AE6">
        <w:t>’</w:t>
      </w:r>
      <w:r w:rsidRPr="00182A82">
        <w:t>s compliance with statutory disclosure requirements (FRD 10A).</w:t>
      </w:r>
    </w:p>
    <w:p w14:paraId="1E3C5043" w14:textId="19BAB67C" w:rsidR="00182A82" w:rsidRPr="00182A82" w:rsidRDefault="00182A82" w:rsidP="00182A82">
      <w:pPr>
        <w:pStyle w:val="ARbody"/>
      </w:pPr>
      <w:r w:rsidRPr="00182A82">
        <w:t>Click on the page number (Ctrl</w:t>
      </w:r>
      <w:r w:rsidR="00981E3A">
        <w:t xml:space="preserve"> </w:t>
      </w:r>
      <w:r w:rsidRPr="00182A82">
        <w:t>+</w:t>
      </w:r>
      <w:r w:rsidR="00981E3A">
        <w:t xml:space="preserve"> </w:t>
      </w:r>
      <w:r w:rsidRPr="00182A82">
        <w:t>click in Microsoft Word) to refer to the relevant requirements for the corresponding disclosure requirements, or alternatively, refer to the corresponding page references.</w:t>
      </w:r>
    </w:p>
    <w:p w14:paraId="0ADFDA08" w14:textId="77777777" w:rsidR="00182A82" w:rsidRPr="00182A82" w:rsidRDefault="00182A82" w:rsidP="00182A82">
      <w:pPr>
        <w:pStyle w:val="Heading3"/>
      </w:pPr>
      <w:r w:rsidRPr="00182A82">
        <w:t>Report of operations</w:t>
      </w:r>
    </w:p>
    <w:tbl>
      <w:tblPr>
        <w:tblW w:w="9634"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985"/>
        <w:gridCol w:w="6520"/>
        <w:gridCol w:w="1129"/>
      </w:tblGrid>
      <w:tr w:rsidR="00182A82" w:rsidRPr="00182A82" w14:paraId="7FE38E8B" w14:textId="77777777" w:rsidTr="002542E1">
        <w:trPr>
          <w:cantSplit/>
          <w:tblHeader/>
        </w:trPr>
        <w:tc>
          <w:tcPr>
            <w:tcW w:w="1985" w:type="dxa"/>
            <w:tcBorders>
              <w:top w:val="nil"/>
            </w:tcBorders>
            <w:shd w:val="clear" w:color="auto" w:fill="auto"/>
            <w:vAlign w:val="bottom"/>
          </w:tcPr>
          <w:p w14:paraId="48BC2784" w14:textId="77777777" w:rsidR="00182A82" w:rsidRPr="00182A82" w:rsidRDefault="00182A82" w:rsidP="00A475ED">
            <w:pPr>
              <w:pStyle w:val="ARtablecolhead"/>
            </w:pPr>
            <w:r w:rsidRPr="00182A82">
              <w:t>Legislation</w:t>
            </w:r>
          </w:p>
        </w:tc>
        <w:tc>
          <w:tcPr>
            <w:tcW w:w="6520" w:type="dxa"/>
            <w:tcBorders>
              <w:top w:val="nil"/>
            </w:tcBorders>
            <w:shd w:val="clear" w:color="auto" w:fill="auto"/>
            <w:vAlign w:val="bottom"/>
          </w:tcPr>
          <w:p w14:paraId="7544DF26" w14:textId="77777777" w:rsidR="00182A82" w:rsidRPr="00182A82" w:rsidRDefault="00182A82" w:rsidP="00A475ED">
            <w:pPr>
              <w:pStyle w:val="ARtablecolhead"/>
            </w:pPr>
            <w:r w:rsidRPr="00182A82">
              <w:t>Requirement</w:t>
            </w:r>
          </w:p>
        </w:tc>
        <w:tc>
          <w:tcPr>
            <w:tcW w:w="1129" w:type="dxa"/>
            <w:tcBorders>
              <w:top w:val="nil"/>
            </w:tcBorders>
            <w:shd w:val="clear" w:color="auto" w:fill="auto"/>
            <w:vAlign w:val="bottom"/>
          </w:tcPr>
          <w:p w14:paraId="6E3199BB" w14:textId="77777777" w:rsidR="00182A82" w:rsidRPr="00182A82" w:rsidRDefault="00182A82" w:rsidP="00A475ED">
            <w:pPr>
              <w:pStyle w:val="ARtablecolheadright"/>
            </w:pPr>
            <w:r w:rsidRPr="00182A82">
              <w:t>Page reference</w:t>
            </w:r>
          </w:p>
        </w:tc>
      </w:tr>
      <w:tr w:rsidR="00182A82" w:rsidRPr="00182A82" w14:paraId="6CE042FA" w14:textId="77777777" w:rsidTr="002542E1">
        <w:trPr>
          <w:cantSplit/>
        </w:trPr>
        <w:tc>
          <w:tcPr>
            <w:tcW w:w="8505" w:type="dxa"/>
            <w:gridSpan w:val="2"/>
            <w:tcBorders>
              <w:bottom w:val="nil"/>
            </w:tcBorders>
            <w:shd w:val="clear" w:color="auto" w:fill="auto"/>
          </w:tcPr>
          <w:p w14:paraId="57E07530" w14:textId="77777777" w:rsidR="00182A82" w:rsidRPr="00182A82" w:rsidRDefault="00182A82" w:rsidP="00182A82">
            <w:pPr>
              <w:pStyle w:val="ARtabletextbold"/>
            </w:pPr>
            <w:r w:rsidRPr="00182A82">
              <w:t>Charter and purpose</w:t>
            </w:r>
          </w:p>
        </w:tc>
        <w:tc>
          <w:tcPr>
            <w:tcW w:w="1129" w:type="dxa"/>
            <w:tcBorders>
              <w:bottom w:val="nil"/>
            </w:tcBorders>
            <w:shd w:val="clear" w:color="auto" w:fill="auto"/>
          </w:tcPr>
          <w:p w14:paraId="58FC94AB" w14:textId="77777777" w:rsidR="00182A82" w:rsidRPr="00182A82" w:rsidRDefault="00182A82" w:rsidP="00450525">
            <w:pPr>
              <w:pStyle w:val="ARtabletextright"/>
            </w:pPr>
          </w:p>
        </w:tc>
      </w:tr>
      <w:tr w:rsidR="00182A82" w:rsidRPr="00182A82" w14:paraId="30768605" w14:textId="77777777" w:rsidTr="002542E1">
        <w:trPr>
          <w:cantSplit/>
        </w:trPr>
        <w:tc>
          <w:tcPr>
            <w:tcW w:w="1985" w:type="dxa"/>
            <w:tcBorders>
              <w:top w:val="nil"/>
            </w:tcBorders>
            <w:shd w:val="clear" w:color="auto" w:fill="auto"/>
          </w:tcPr>
          <w:p w14:paraId="72766F5F" w14:textId="77777777" w:rsidR="00182A82" w:rsidRPr="00182A82" w:rsidRDefault="00182A82" w:rsidP="00182A82">
            <w:pPr>
              <w:pStyle w:val="ARtabletext"/>
            </w:pPr>
            <w:r w:rsidRPr="00182A82">
              <w:t>FRD 22H</w:t>
            </w:r>
          </w:p>
        </w:tc>
        <w:tc>
          <w:tcPr>
            <w:tcW w:w="6520" w:type="dxa"/>
            <w:tcBorders>
              <w:top w:val="nil"/>
            </w:tcBorders>
            <w:shd w:val="clear" w:color="auto" w:fill="auto"/>
          </w:tcPr>
          <w:p w14:paraId="449B87C6" w14:textId="77777777" w:rsidR="00182A82" w:rsidRPr="00182A82" w:rsidRDefault="00182A82" w:rsidP="00A475ED">
            <w:pPr>
              <w:pStyle w:val="ARtabletext"/>
            </w:pPr>
            <w:r w:rsidRPr="00182A82">
              <w:t>Manner of establishment and the relevant Ministers</w:t>
            </w:r>
          </w:p>
        </w:tc>
        <w:tc>
          <w:tcPr>
            <w:tcW w:w="1129" w:type="dxa"/>
            <w:tcBorders>
              <w:top w:val="nil"/>
            </w:tcBorders>
            <w:shd w:val="clear" w:color="auto" w:fill="auto"/>
          </w:tcPr>
          <w:p w14:paraId="1DB47EF0" w14:textId="1F1D64D6" w:rsidR="00182A82" w:rsidRPr="00182A82" w:rsidRDefault="009317D4" w:rsidP="00A475ED">
            <w:pPr>
              <w:pStyle w:val="ARtabletextright"/>
            </w:pPr>
            <w:r>
              <w:fldChar w:fldCharType="begin"/>
            </w:r>
            <w:r>
              <w:instrText xml:space="preserve"> PAGEREF _Ref178615097 \h </w:instrText>
            </w:r>
            <w:r>
              <w:fldChar w:fldCharType="separate"/>
            </w:r>
            <w:r w:rsidR="002F3676">
              <w:rPr>
                <w:noProof/>
              </w:rPr>
              <w:t>14</w:t>
            </w:r>
            <w:r>
              <w:fldChar w:fldCharType="end"/>
            </w:r>
            <w:r w:rsidRPr="00182A82">
              <w:t>–</w:t>
            </w:r>
            <w:r w:rsidR="00686BA2">
              <w:fldChar w:fldCharType="begin"/>
            </w:r>
            <w:r w:rsidR="00686BA2">
              <w:instrText xml:space="preserve"> PAGEREF VickiWardMP \h </w:instrText>
            </w:r>
            <w:r w:rsidR="00686BA2">
              <w:fldChar w:fldCharType="separate"/>
            </w:r>
            <w:r w:rsidR="002F3676">
              <w:rPr>
                <w:noProof/>
              </w:rPr>
              <w:t>15</w:t>
            </w:r>
            <w:r w:rsidR="00686BA2">
              <w:fldChar w:fldCharType="end"/>
            </w:r>
          </w:p>
        </w:tc>
      </w:tr>
      <w:tr w:rsidR="00182A82" w:rsidRPr="00182A82" w14:paraId="13AA73BB" w14:textId="77777777" w:rsidTr="002542E1">
        <w:trPr>
          <w:cantSplit/>
        </w:trPr>
        <w:tc>
          <w:tcPr>
            <w:tcW w:w="1985" w:type="dxa"/>
            <w:shd w:val="clear" w:color="auto" w:fill="auto"/>
          </w:tcPr>
          <w:p w14:paraId="4E003692" w14:textId="77777777" w:rsidR="00182A82" w:rsidRPr="00182A82" w:rsidRDefault="00182A82" w:rsidP="00A475ED">
            <w:pPr>
              <w:pStyle w:val="ARtabletext"/>
            </w:pPr>
            <w:r w:rsidRPr="00182A82">
              <w:t>FRD 22H</w:t>
            </w:r>
          </w:p>
        </w:tc>
        <w:tc>
          <w:tcPr>
            <w:tcW w:w="6520" w:type="dxa"/>
            <w:shd w:val="clear" w:color="auto" w:fill="auto"/>
          </w:tcPr>
          <w:p w14:paraId="793A6730" w14:textId="77777777" w:rsidR="00182A82" w:rsidRPr="00182A82" w:rsidRDefault="00182A82" w:rsidP="00182A82">
            <w:pPr>
              <w:pStyle w:val="ARtabletext"/>
            </w:pPr>
            <w:r w:rsidRPr="00182A82">
              <w:t>Purpose, functions, powers and duties</w:t>
            </w:r>
          </w:p>
        </w:tc>
        <w:tc>
          <w:tcPr>
            <w:tcW w:w="1129" w:type="dxa"/>
            <w:shd w:val="clear" w:color="auto" w:fill="auto"/>
          </w:tcPr>
          <w:p w14:paraId="509588B5" w14:textId="737D0C5D" w:rsidR="00182A82" w:rsidRPr="00182A82" w:rsidRDefault="008E6DDE" w:rsidP="00A475ED">
            <w:pPr>
              <w:pStyle w:val="ARtabletextright"/>
            </w:pPr>
            <w:r>
              <w:fldChar w:fldCharType="begin"/>
            </w:r>
            <w:r>
              <w:instrText xml:space="preserve"> PAGEREF _Ref85025311 \h </w:instrText>
            </w:r>
            <w:r>
              <w:fldChar w:fldCharType="separate"/>
            </w:r>
            <w:r w:rsidR="002F3676">
              <w:rPr>
                <w:noProof/>
              </w:rPr>
              <w:t>10</w:t>
            </w:r>
            <w:r>
              <w:fldChar w:fldCharType="end"/>
            </w:r>
            <w:r w:rsidRPr="00182A82">
              <w:t>–</w:t>
            </w:r>
            <w:r w:rsidR="004539EA">
              <w:fldChar w:fldCharType="begin"/>
            </w:r>
            <w:r w:rsidR="004539EA">
              <w:instrText xml:space="preserve"> PAGEREF _Ref178615708 \h </w:instrText>
            </w:r>
            <w:r w:rsidR="004539EA">
              <w:fldChar w:fldCharType="separate"/>
            </w:r>
            <w:r w:rsidR="002F3676">
              <w:rPr>
                <w:noProof/>
              </w:rPr>
              <w:t>13</w:t>
            </w:r>
            <w:r w:rsidR="004539EA">
              <w:fldChar w:fldCharType="end"/>
            </w:r>
          </w:p>
        </w:tc>
      </w:tr>
      <w:tr w:rsidR="00182A82" w:rsidRPr="00182A82" w14:paraId="3EBDBB17" w14:textId="77777777" w:rsidTr="002542E1">
        <w:trPr>
          <w:cantSplit/>
        </w:trPr>
        <w:tc>
          <w:tcPr>
            <w:tcW w:w="1985" w:type="dxa"/>
            <w:shd w:val="clear" w:color="auto" w:fill="auto"/>
          </w:tcPr>
          <w:p w14:paraId="0D267699" w14:textId="77777777" w:rsidR="00182A82" w:rsidRPr="00182A82" w:rsidRDefault="00182A82" w:rsidP="00A475ED">
            <w:pPr>
              <w:pStyle w:val="ARtabletext"/>
            </w:pPr>
            <w:r w:rsidRPr="00182A82">
              <w:t>FRD 8D</w:t>
            </w:r>
          </w:p>
        </w:tc>
        <w:tc>
          <w:tcPr>
            <w:tcW w:w="6520" w:type="dxa"/>
            <w:shd w:val="clear" w:color="auto" w:fill="auto"/>
          </w:tcPr>
          <w:p w14:paraId="17A07EC3" w14:textId="77777777" w:rsidR="00182A82" w:rsidRPr="00182A82" w:rsidRDefault="00182A82" w:rsidP="00A475ED">
            <w:pPr>
              <w:pStyle w:val="ARtabletext"/>
            </w:pPr>
            <w:r w:rsidRPr="00182A82">
              <w:t>Departmental objectives, indicators and outputs</w:t>
            </w:r>
          </w:p>
        </w:tc>
        <w:tc>
          <w:tcPr>
            <w:tcW w:w="1129" w:type="dxa"/>
            <w:shd w:val="clear" w:color="auto" w:fill="auto"/>
          </w:tcPr>
          <w:p w14:paraId="032BB4A4" w14:textId="66211EFF" w:rsidR="00182A82" w:rsidRPr="00182A82" w:rsidRDefault="0028555E" w:rsidP="00182A82">
            <w:pPr>
              <w:pStyle w:val="ARtabletextright"/>
            </w:pPr>
            <w:r>
              <w:fldChar w:fldCharType="begin"/>
            </w:r>
            <w:r>
              <w:instrText xml:space="preserve"> PAGEREF _Ref178173218 \h </w:instrText>
            </w:r>
            <w:r>
              <w:fldChar w:fldCharType="separate"/>
            </w:r>
            <w:r w:rsidR="002F3676">
              <w:rPr>
                <w:noProof/>
              </w:rPr>
              <w:t>23</w:t>
            </w:r>
            <w:r>
              <w:fldChar w:fldCharType="end"/>
            </w:r>
          </w:p>
        </w:tc>
      </w:tr>
      <w:tr w:rsidR="00182A82" w:rsidRPr="00182A82" w14:paraId="2AA49C87" w14:textId="77777777" w:rsidTr="002542E1">
        <w:trPr>
          <w:cantSplit/>
        </w:trPr>
        <w:tc>
          <w:tcPr>
            <w:tcW w:w="1985" w:type="dxa"/>
            <w:tcBorders>
              <w:top w:val="nil"/>
            </w:tcBorders>
            <w:shd w:val="clear" w:color="auto" w:fill="auto"/>
          </w:tcPr>
          <w:p w14:paraId="0FBF2E16" w14:textId="77777777" w:rsidR="00182A82" w:rsidRPr="00182A82" w:rsidRDefault="00182A82" w:rsidP="00A475ED">
            <w:pPr>
              <w:pStyle w:val="ARtabletext"/>
            </w:pPr>
            <w:r w:rsidRPr="00182A82">
              <w:t>FRD 22H</w:t>
            </w:r>
          </w:p>
        </w:tc>
        <w:tc>
          <w:tcPr>
            <w:tcW w:w="6520" w:type="dxa"/>
            <w:tcBorders>
              <w:top w:val="nil"/>
            </w:tcBorders>
            <w:shd w:val="clear" w:color="auto" w:fill="auto"/>
          </w:tcPr>
          <w:p w14:paraId="3457CC79" w14:textId="77777777" w:rsidR="00182A82" w:rsidRPr="00182A82" w:rsidRDefault="00182A82" w:rsidP="00A475ED">
            <w:pPr>
              <w:pStyle w:val="ARtabletext"/>
            </w:pPr>
            <w:r w:rsidRPr="00182A82">
              <w:t>Key initiatives and projects</w:t>
            </w:r>
          </w:p>
        </w:tc>
        <w:tc>
          <w:tcPr>
            <w:tcW w:w="1129" w:type="dxa"/>
            <w:tcBorders>
              <w:top w:val="nil"/>
            </w:tcBorders>
            <w:shd w:val="clear" w:color="auto" w:fill="auto"/>
          </w:tcPr>
          <w:p w14:paraId="274C0690" w14:textId="6D89290D" w:rsidR="00182A82" w:rsidRPr="00182A82" w:rsidRDefault="0028555E" w:rsidP="00A475ED">
            <w:pPr>
              <w:pStyle w:val="ARtabletextright"/>
            </w:pPr>
            <w:r>
              <w:fldChar w:fldCharType="begin"/>
            </w:r>
            <w:r>
              <w:instrText xml:space="preserve"> PAGEREF _Ref178173301 \h </w:instrText>
            </w:r>
            <w:r>
              <w:fldChar w:fldCharType="separate"/>
            </w:r>
            <w:r w:rsidR="002F3676">
              <w:rPr>
                <w:noProof/>
              </w:rPr>
              <w:t>25</w:t>
            </w:r>
            <w:r>
              <w:fldChar w:fldCharType="end"/>
            </w:r>
            <w:r w:rsidR="008E0A46" w:rsidRPr="00182A82">
              <w:t>–</w:t>
            </w:r>
            <w:r w:rsidR="008E0A46">
              <w:fldChar w:fldCharType="begin"/>
            </w:r>
            <w:r w:rsidR="008E0A46">
              <w:instrText xml:space="preserve"> PAGEREF _Ref178615860 \h </w:instrText>
            </w:r>
            <w:r w:rsidR="008E0A46">
              <w:fldChar w:fldCharType="separate"/>
            </w:r>
            <w:r w:rsidR="002F3676">
              <w:rPr>
                <w:noProof/>
              </w:rPr>
              <w:t>49</w:t>
            </w:r>
            <w:r w:rsidR="008E0A46">
              <w:fldChar w:fldCharType="end"/>
            </w:r>
          </w:p>
        </w:tc>
      </w:tr>
      <w:tr w:rsidR="00182A82" w:rsidRPr="00182A82" w14:paraId="0D0FB063" w14:textId="77777777" w:rsidTr="002542E1">
        <w:trPr>
          <w:cantSplit/>
        </w:trPr>
        <w:tc>
          <w:tcPr>
            <w:tcW w:w="1985" w:type="dxa"/>
            <w:tcBorders>
              <w:top w:val="nil"/>
            </w:tcBorders>
            <w:shd w:val="clear" w:color="auto" w:fill="auto"/>
          </w:tcPr>
          <w:p w14:paraId="0815B532" w14:textId="77777777" w:rsidR="00182A82" w:rsidRPr="00182A82" w:rsidRDefault="00182A82" w:rsidP="00A475ED">
            <w:pPr>
              <w:pStyle w:val="ARtabletext"/>
            </w:pPr>
            <w:r w:rsidRPr="00182A82">
              <w:t>FRD 22H</w:t>
            </w:r>
          </w:p>
        </w:tc>
        <w:tc>
          <w:tcPr>
            <w:tcW w:w="6520" w:type="dxa"/>
            <w:tcBorders>
              <w:top w:val="nil"/>
            </w:tcBorders>
            <w:shd w:val="clear" w:color="auto" w:fill="auto"/>
          </w:tcPr>
          <w:p w14:paraId="43D503F3" w14:textId="77777777" w:rsidR="00182A82" w:rsidRPr="00182A82" w:rsidRDefault="00182A82" w:rsidP="00A475ED">
            <w:pPr>
              <w:pStyle w:val="ARtabletext"/>
            </w:pPr>
            <w:r w:rsidRPr="00182A82">
              <w:t>Nature and range of services provided</w:t>
            </w:r>
          </w:p>
        </w:tc>
        <w:tc>
          <w:tcPr>
            <w:tcW w:w="1129" w:type="dxa"/>
            <w:tcBorders>
              <w:top w:val="nil"/>
            </w:tcBorders>
            <w:shd w:val="clear" w:color="auto" w:fill="auto"/>
          </w:tcPr>
          <w:p w14:paraId="5E055160" w14:textId="2A01EB0D" w:rsidR="00182A82" w:rsidRPr="00182A82" w:rsidRDefault="008E0A46" w:rsidP="00A475ED">
            <w:pPr>
              <w:pStyle w:val="ARtabletextright"/>
            </w:pPr>
            <w:r>
              <w:fldChar w:fldCharType="begin"/>
            </w:r>
            <w:r>
              <w:instrText xml:space="preserve"> PAGEREF _Ref85025311 \h </w:instrText>
            </w:r>
            <w:r>
              <w:fldChar w:fldCharType="separate"/>
            </w:r>
            <w:r w:rsidR="002F3676">
              <w:rPr>
                <w:noProof/>
              </w:rPr>
              <w:t>10</w:t>
            </w:r>
            <w:r>
              <w:fldChar w:fldCharType="end"/>
            </w:r>
            <w:r w:rsidRPr="00182A82">
              <w:t>–</w:t>
            </w:r>
            <w:r>
              <w:fldChar w:fldCharType="begin"/>
            </w:r>
            <w:r>
              <w:instrText xml:space="preserve"> PAGEREF _Ref178615708 \h </w:instrText>
            </w:r>
            <w:r>
              <w:fldChar w:fldCharType="separate"/>
            </w:r>
            <w:r w:rsidR="002F3676">
              <w:rPr>
                <w:noProof/>
              </w:rPr>
              <w:t>13</w:t>
            </w:r>
            <w:r>
              <w:fldChar w:fldCharType="end"/>
            </w:r>
          </w:p>
        </w:tc>
      </w:tr>
      <w:tr w:rsidR="00182A82" w:rsidRPr="00182A82" w14:paraId="3070B8D4" w14:textId="77777777" w:rsidTr="002542E1">
        <w:trPr>
          <w:cantSplit/>
        </w:trPr>
        <w:tc>
          <w:tcPr>
            <w:tcW w:w="9634" w:type="dxa"/>
            <w:gridSpan w:val="3"/>
            <w:tcBorders>
              <w:bottom w:val="nil"/>
            </w:tcBorders>
            <w:shd w:val="clear" w:color="auto" w:fill="auto"/>
          </w:tcPr>
          <w:p w14:paraId="2DEE77A5" w14:textId="77777777" w:rsidR="00182A82" w:rsidRPr="00182A82" w:rsidRDefault="00182A82" w:rsidP="00A475ED">
            <w:pPr>
              <w:pStyle w:val="ARtabletextbold"/>
            </w:pPr>
            <w:r w:rsidRPr="00182A82">
              <w:t>Management and structure</w:t>
            </w:r>
          </w:p>
        </w:tc>
      </w:tr>
      <w:tr w:rsidR="00182A82" w:rsidRPr="00182A82" w14:paraId="768918DC" w14:textId="77777777" w:rsidTr="002542E1">
        <w:trPr>
          <w:cantSplit/>
        </w:trPr>
        <w:tc>
          <w:tcPr>
            <w:tcW w:w="1985" w:type="dxa"/>
            <w:tcBorders>
              <w:top w:val="nil"/>
            </w:tcBorders>
            <w:shd w:val="clear" w:color="auto" w:fill="auto"/>
          </w:tcPr>
          <w:p w14:paraId="6F6F6638" w14:textId="77777777" w:rsidR="00182A82" w:rsidRPr="00182A82" w:rsidRDefault="00182A82" w:rsidP="00A475ED">
            <w:pPr>
              <w:pStyle w:val="ARtabletext"/>
            </w:pPr>
            <w:r w:rsidRPr="00182A82">
              <w:t>FRD 22H</w:t>
            </w:r>
          </w:p>
        </w:tc>
        <w:tc>
          <w:tcPr>
            <w:tcW w:w="6520" w:type="dxa"/>
            <w:tcBorders>
              <w:top w:val="nil"/>
            </w:tcBorders>
            <w:shd w:val="clear" w:color="auto" w:fill="auto"/>
          </w:tcPr>
          <w:p w14:paraId="1FB15DF1" w14:textId="77777777" w:rsidR="00182A82" w:rsidRPr="00182A82" w:rsidRDefault="00182A82" w:rsidP="00A475ED">
            <w:pPr>
              <w:pStyle w:val="ARtabletext"/>
            </w:pPr>
            <w:r w:rsidRPr="00182A82">
              <w:t>Organisational structure</w:t>
            </w:r>
          </w:p>
        </w:tc>
        <w:tc>
          <w:tcPr>
            <w:tcW w:w="1129" w:type="dxa"/>
            <w:tcBorders>
              <w:top w:val="nil"/>
            </w:tcBorders>
            <w:shd w:val="clear" w:color="auto" w:fill="auto"/>
          </w:tcPr>
          <w:p w14:paraId="726DBA18" w14:textId="222A9CA9" w:rsidR="00182A82" w:rsidRPr="00182A82" w:rsidRDefault="00F73D8F" w:rsidP="00A475ED">
            <w:pPr>
              <w:pStyle w:val="ARtabletextright"/>
            </w:pPr>
            <w:r>
              <w:fldChar w:fldCharType="begin"/>
            </w:r>
            <w:r>
              <w:instrText xml:space="preserve"> PAGEREF _Ref178173537 \h </w:instrText>
            </w:r>
            <w:r>
              <w:fldChar w:fldCharType="separate"/>
            </w:r>
            <w:r w:rsidR="002F3676">
              <w:rPr>
                <w:noProof/>
              </w:rPr>
              <w:t>20</w:t>
            </w:r>
            <w:r>
              <w:fldChar w:fldCharType="end"/>
            </w:r>
            <w:r w:rsidR="008E0A46" w:rsidRPr="00182A82">
              <w:t>–</w:t>
            </w:r>
            <w:r w:rsidR="003208E8">
              <w:fldChar w:fldCharType="begin"/>
            </w:r>
            <w:r w:rsidR="003208E8">
              <w:instrText xml:space="preserve"> PAGEREF  orgchart2 \h </w:instrText>
            </w:r>
            <w:r w:rsidR="003208E8">
              <w:fldChar w:fldCharType="separate"/>
            </w:r>
            <w:r w:rsidR="002F3676">
              <w:rPr>
                <w:noProof/>
              </w:rPr>
              <w:t>21</w:t>
            </w:r>
            <w:r w:rsidR="003208E8">
              <w:fldChar w:fldCharType="end"/>
            </w:r>
          </w:p>
        </w:tc>
      </w:tr>
      <w:tr w:rsidR="00182A82" w:rsidRPr="00182A82" w14:paraId="7E078C55" w14:textId="77777777" w:rsidTr="002542E1">
        <w:trPr>
          <w:cantSplit/>
          <w:trHeight w:val="70"/>
        </w:trPr>
        <w:tc>
          <w:tcPr>
            <w:tcW w:w="9634" w:type="dxa"/>
            <w:gridSpan w:val="3"/>
            <w:tcBorders>
              <w:bottom w:val="nil"/>
            </w:tcBorders>
            <w:shd w:val="clear" w:color="auto" w:fill="auto"/>
          </w:tcPr>
          <w:p w14:paraId="048BB0BA" w14:textId="77777777" w:rsidR="00182A82" w:rsidRPr="00182A82" w:rsidRDefault="00182A82" w:rsidP="00A475ED">
            <w:pPr>
              <w:pStyle w:val="ARtabletextbold"/>
            </w:pPr>
            <w:r w:rsidRPr="00182A82">
              <w:t>Financial and other information</w:t>
            </w:r>
          </w:p>
        </w:tc>
      </w:tr>
      <w:tr w:rsidR="00182A82" w:rsidRPr="00182A82" w14:paraId="24255C09" w14:textId="77777777" w:rsidTr="002542E1">
        <w:trPr>
          <w:cantSplit/>
        </w:trPr>
        <w:tc>
          <w:tcPr>
            <w:tcW w:w="1985" w:type="dxa"/>
            <w:tcBorders>
              <w:top w:val="nil"/>
            </w:tcBorders>
            <w:shd w:val="clear" w:color="auto" w:fill="auto"/>
          </w:tcPr>
          <w:p w14:paraId="029FA500" w14:textId="77777777" w:rsidR="00182A82" w:rsidRPr="00182A82" w:rsidRDefault="00182A82" w:rsidP="00A475ED">
            <w:pPr>
              <w:pStyle w:val="ARtabletext"/>
            </w:pPr>
            <w:r w:rsidRPr="00182A82">
              <w:t>FRD 8D</w:t>
            </w:r>
          </w:p>
        </w:tc>
        <w:tc>
          <w:tcPr>
            <w:tcW w:w="6520" w:type="dxa"/>
            <w:tcBorders>
              <w:top w:val="nil"/>
            </w:tcBorders>
            <w:shd w:val="clear" w:color="auto" w:fill="auto"/>
          </w:tcPr>
          <w:p w14:paraId="418997E3" w14:textId="77777777" w:rsidR="00182A82" w:rsidRPr="00182A82" w:rsidRDefault="00182A82" w:rsidP="00A475ED">
            <w:pPr>
              <w:pStyle w:val="ARtabletext"/>
            </w:pPr>
            <w:r w:rsidRPr="00182A82">
              <w:t>Performance against output performance measures</w:t>
            </w:r>
          </w:p>
        </w:tc>
        <w:tc>
          <w:tcPr>
            <w:tcW w:w="1129" w:type="dxa"/>
            <w:tcBorders>
              <w:top w:val="nil"/>
            </w:tcBorders>
            <w:shd w:val="clear" w:color="auto" w:fill="auto"/>
          </w:tcPr>
          <w:p w14:paraId="5694C3B8" w14:textId="48756AAD" w:rsidR="00182A82" w:rsidRPr="00182A82" w:rsidRDefault="009F5601" w:rsidP="00751999">
            <w:pPr>
              <w:pStyle w:val="ARtabletextright"/>
            </w:pPr>
            <w:r>
              <w:fldChar w:fldCharType="begin"/>
            </w:r>
            <w:r>
              <w:instrText xml:space="preserve"> PAGEREF _Ref178176961 \h </w:instrText>
            </w:r>
            <w:r>
              <w:fldChar w:fldCharType="separate"/>
            </w:r>
            <w:r w:rsidR="002F3676">
              <w:rPr>
                <w:noProof/>
              </w:rPr>
              <w:t>57</w:t>
            </w:r>
            <w:r>
              <w:fldChar w:fldCharType="end"/>
            </w:r>
            <w:r w:rsidR="008E0A46" w:rsidRPr="00182A82">
              <w:t>–</w:t>
            </w:r>
            <w:r w:rsidR="008E0A46">
              <w:fldChar w:fldCharType="begin"/>
            </w:r>
            <w:r w:rsidR="008E0A46">
              <w:instrText xml:space="preserve"> PAGEREF _Ref178616046 \h </w:instrText>
            </w:r>
            <w:r w:rsidR="008E0A46">
              <w:fldChar w:fldCharType="separate"/>
            </w:r>
            <w:r w:rsidR="002F3676">
              <w:rPr>
                <w:noProof/>
              </w:rPr>
              <w:t>69</w:t>
            </w:r>
            <w:r w:rsidR="008E0A46">
              <w:fldChar w:fldCharType="end"/>
            </w:r>
          </w:p>
        </w:tc>
      </w:tr>
      <w:tr w:rsidR="00182A82" w:rsidRPr="00182A82" w14:paraId="408D647E" w14:textId="77777777" w:rsidTr="002542E1">
        <w:trPr>
          <w:cantSplit/>
        </w:trPr>
        <w:tc>
          <w:tcPr>
            <w:tcW w:w="1985" w:type="dxa"/>
            <w:shd w:val="clear" w:color="auto" w:fill="auto"/>
          </w:tcPr>
          <w:p w14:paraId="48489837" w14:textId="77777777" w:rsidR="00182A82" w:rsidRPr="00182A82" w:rsidRDefault="00182A82" w:rsidP="00A475ED">
            <w:pPr>
              <w:pStyle w:val="ARtabletext"/>
            </w:pPr>
            <w:r w:rsidRPr="00182A82">
              <w:t>FRD 8D</w:t>
            </w:r>
          </w:p>
        </w:tc>
        <w:tc>
          <w:tcPr>
            <w:tcW w:w="6520" w:type="dxa"/>
            <w:shd w:val="clear" w:color="auto" w:fill="auto"/>
          </w:tcPr>
          <w:p w14:paraId="240452BE" w14:textId="77777777" w:rsidR="00182A82" w:rsidRPr="00182A82" w:rsidRDefault="00182A82" w:rsidP="00A475ED">
            <w:pPr>
              <w:pStyle w:val="ARtabletext"/>
            </w:pPr>
            <w:r w:rsidRPr="00182A82">
              <w:t>Budget portfolio outcomes</w:t>
            </w:r>
          </w:p>
        </w:tc>
        <w:tc>
          <w:tcPr>
            <w:tcW w:w="1129" w:type="dxa"/>
            <w:shd w:val="clear" w:color="auto" w:fill="auto"/>
          </w:tcPr>
          <w:p w14:paraId="54E717EB" w14:textId="61448E6E" w:rsidR="00182A82" w:rsidRPr="00182A82" w:rsidRDefault="0089291D" w:rsidP="00A475ED">
            <w:pPr>
              <w:pStyle w:val="ARtabletextright"/>
            </w:pPr>
            <w:r>
              <w:fldChar w:fldCharType="begin"/>
            </w:r>
            <w:r>
              <w:instrText xml:space="preserve"> PAGEREF _Ref178177099 \h </w:instrText>
            </w:r>
            <w:r>
              <w:fldChar w:fldCharType="separate"/>
            </w:r>
            <w:r w:rsidR="002F3676">
              <w:rPr>
                <w:noProof/>
              </w:rPr>
              <w:t>72</w:t>
            </w:r>
            <w:r>
              <w:fldChar w:fldCharType="end"/>
            </w:r>
          </w:p>
        </w:tc>
      </w:tr>
      <w:tr w:rsidR="00182A82" w:rsidRPr="00182A82" w14:paraId="415CB9C7" w14:textId="77777777" w:rsidTr="002542E1">
        <w:trPr>
          <w:cantSplit/>
        </w:trPr>
        <w:tc>
          <w:tcPr>
            <w:tcW w:w="1985" w:type="dxa"/>
            <w:shd w:val="clear" w:color="auto" w:fill="auto"/>
          </w:tcPr>
          <w:p w14:paraId="0B55129D" w14:textId="77777777" w:rsidR="00182A82" w:rsidRPr="00182A82" w:rsidRDefault="00182A82" w:rsidP="00A475ED">
            <w:pPr>
              <w:pStyle w:val="ARtabletext"/>
            </w:pPr>
            <w:r w:rsidRPr="00182A82">
              <w:t>FRD 10A</w:t>
            </w:r>
          </w:p>
        </w:tc>
        <w:tc>
          <w:tcPr>
            <w:tcW w:w="6520" w:type="dxa"/>
            <w:shd w:val="clear" w:color="auto" w:fill="auto"/>
          </w:tcPr>
          <w:p w14:paraId="59B7C688" w14:textId="77777777" w:rsidR="00182A82" w:rsidRPr="00182A82" w:rsidRDefault="00182A82" w:rsidP="00A475ED">
            <w:pPr>
              <w:pStyle w:val="ARtabletext"/>
            </w:pPr>
            <w:r w:rsidRPr="00182A82">
              <w:t>Disclosure index</w:t>
            </w:r>
          </w:p>
        </w:tc>
        <w:tc>
          <w:tcPr>
            <w:tcW w:w="1129" w:type="dxa"/>
            <w:shd w:val="clear" w:color="auto" w:fill="auto"/>
          </w:tcPr>
          <w:p w14:paraId="7A4843C4" w14:textId="3EBBB665" w:rsidR="00182A82" w:rsidRPr="00182A82" w:rsidRDefault="008E0A46" w:rsidP="00A475ED">
            <w:pPr>
              <w:pStyle w:val="ARtabletextright"/>
            </w:pPr>
            <w:r>
              <w:fldChar w:fldCharType="begin"/>
            </w:r>
            <w:r>
              <w:instrText xml:space="preserve"> PAGEREF _Ref178616121 \h </w:instrText>
            </w:r>
            <w:r>
              <w:fldChar w:fldCharType="separate"/>
            </w:r>
            <w:r w:rsidR="002F3676">
              <w:rPr>
                <w:noProof/>
              </w:rPr>
              <w:t>236</w:t>
            </w:r>
            <w:r>
              <w:fldChar w:fldCharType="end"/>
            </w:r>
          </w:p>
        </w:tc>
      </w:tr>
      <w:tr w:rsidR="00182A82" w:rsidRPr="00182A82" w14:paraId="35AEED36" w14:textId="77777777" w:rsidTr="002542E1">
        <w:trPr>
          <w:cantSplit/>
        </w:trPr>
        <w:tc>
          <w:tcPr>
            <w:tcW w:w="1985" w:type="dxa"/>
            <w:shd w:val="clear" w:color="auto" w:fill="auto"/>
          </w:tcPr>
          <w:p w14:paraId="1D4FDFA3" w14:textId="77777777" w:rsidR="00182A82" w:rsidRPr="00182A82" w:rsidRDefault="00182A82" w:rsidP="00A475ED">
            <w:pPr>
              <w:pStyle w:val="ARtabletext"/>
            </w:pPr>
            <w:r w:rsidRPr="00182A82">
              <w:t>FRD 12B</w:t>
            </w:r>
          </w:p>
        </w:tc>
        <w:tc>
          <w:tcPr>
            <w:tcW w:w="6520" w:type="dxa"/>
            <w:shd w:val="clear" w:color="auto" w:fill="auto"/>
          </w:tcPr>
          <w:p w14:paraId="1C43299D" w14:textId="77777777" w:rsidR="00182A82" w:rsidRPr="00182A82" w:rsidRDefault="00182A82" w:rsidP="00A475ED">
            <w:pPr>
              <w:pStyle w:val="ARtabletext"/>
            </w:pPr>
            <w:r w:rsidRPr="00182A82">
              <w:t>Disclosure of major contracts</w:t>
            </w:r>
          </w:p>
        </w:tc>
        <w:tc>
          <w:tcPr>
            <w:tcW w:w="1129" w:type="dxa"/>
            <w:shd w:val="clear" w:color="auto" w:fill="auto"/>
          </w:tcPr>
          <w:p w14:paraId="57A024C1" w14:textId="39126C02" w:rsidR="00182A82" w:rsidRPr="00E7314F" w:rsidRDefault="00AF12C1" w:rsidP="00E7314F">
            <w:pPr>
              <w:pStyle w:val="ARtabletextright"/>
            </w:pPr>
            <w:r>
              <w:fldChar w:fldCharType="begin"/>
            </w:r>
            <w:r>
              <w:instrText xml:space="preserve"> PAGEREF _Ref178174436 \h </w:instrText>
            </w:r>
            <w:r>
              <w:fldChar w:fldCharType="separate"/>
            </w:r>
            <w:r w:rsidR="002F3676">
              <w:rPr>
                <w:noProof/>
              </w:rPr>
              <w:t>114</w:t>
            </w:r>
            <w:r>
              <w:fldChar w:fldCharType="end"/>
            </w:r>
          </w:p>
        </w:tc>
      </w:tr>
      <w:tr w:rsidR="00182A82" w:rsidRPr="00182A82" w14:paraId="0DBDA0BC" w14:textId="77777777" w:rsidTr="002542E1">
        <w:trPr>
          <w:cantSplit/>
        </w:trPr>
        <w:tc>
          <w:tcPr>
            <w:tcW w:w="1985" w:type="dxa"/>
            <w:shd w:val="clear" w:color="auto" w:fill="auto"/>
          </w:tcPr>
          <w:p w14:paraId="12CEF614" w14:textId="77777777" w:rsidR="00182A82" w:rsidRPr="00182A82" w:rsidRDefault="00182A82" w:rsidP="00A475ED">
            <w:pPr>
              <w:pStyle w:val="ARtabletext"/>
            </w:pPr>
            <w:r w:rsidRPr="00182A82">
              <w:t>FRD 15E</w:t>
            </w:r>
          </w:p>
        </w:tc>
        <w:tc>
          <w:tcPr>
            <w:tcW w:w="6520" w:type="dxa"/>
            <w:shd w:val="clear" w:color="auto" w:fill="auto"/>
          </w:tcPr>
          <w:p w14:paraId="28C31F5B" w14:textId="77777777" w:rsidR="00182A82" w:rsidRPr="00182A82" w:rsidRDefault="00182A82" w:rsidP="00A475ED">
            <w:pPr>
              <w:pStyle w:val="ARtabletext"/>
            </w:pPr>
            <w:r w:rsidRPr="00182A82">
              <w:t>Executive officer disclosures</w:t>
            </w:r>
          </w:p>
        </w:tc>
        <w:tc>
          <w:tcPr>
            <w:tcW w:w="1129" w:type="dxa"/>
            <w:shd w:val="clear" w:color="auto" w:fill="auto"/>
          </w:tcPr>
          <w:p w14:paraId="6096A17A" w14:textId="4220BA13" w:rsidR="00182A82" w:rsidRPr="00182A82" w:rsidRDefault="006D711A" w:rsidP="00A475ED">
            <w:pPr>
              <w:pStyle w:val="ARtabletextright"/>
            </w:pPr>
            <w:r>
              <w:fldChar w:fldCharType="begin"/>
            </w:r>
            <w:r>
              <w:instrText xml:space="preserve"> PAGEREF _Ref178175161 \h </w:instrText>
            </w:r>
            <w:r>
              <w:fldChar w:fldCharType="separate"/>
            </w:r>
            <w:r w:rsidR="002F3676">
              <w:rPr>
                <w:noProof/>
              </w:rPr>
              <w:t>87</w:t>
            </w:r>
            <w:r>
              <w:fldChar w:fldCharType="end"/>
            </w:r>
            <w:r w:rsidRPr="00182A82">
              <w:t>–</w:t>
            </w:r>
            <w:r w:rsidR="004E6E11">
              <w:fldChar w:fldCharType="begin"/>
            </w:r>
            <w:r w:rsidR="004E6E11">
              <w:instrText xml:space="preserve"> PAGEREF Table5 \h </w:instrText>
            </w:r>
            <w:r w:rsidR="004E6E11">
              <w:fldChar w:fldCharType="separate"/>
            </w:r>
            <w:r w:rsidR="002F3676">
              <w:rPr>
                <w:noProof/>
              </w:rPr>
              <w:t>88</w:t>
            </w:r>
            <w:r w:rsidR="004E6E11">
              <w:fldChar w:fldCharType="end"/>
            </w:r>
          </w:p>
        </w:tc>
      </w:tr>
      <w:tr w:rsidR="00182A82" w:rsidRPr="00182A82" w14:paraId="7FFE68EA" w14:textId="77777777" w:rsidTr="002542E1">
        <w:trPr>
          <w:cantSplit/>
        </w:trPr>
        <w:tc>
          <w:tcPr>
            <w:tcW w:w="1985" w:type="dxa"/>
            <w:shd w:val="clear" w:color="auto" w:fill="auto"/>
          </w:tcPr>
          <w:p w14:paraId="3ECC16DA" w14:textId="77777777" w:rsidR="00182A82" w:rsidRPr="00182A82" w:rsidRDefault="00182A82" w:rsidP="00A475ED">
            <w:pPr>
              <w:pStyle w:val="ARtabletext"/>
            </w:pPr>
            <w:r w:rsidRPr="00182A82">
              <w:t>FRD 22H</w:t>
            </w:r>
          </w:p>
        </w:tc>
        <w:tc>
          <w:tcPr>
            <w:tcW w:w="6520" w:type="dxa"/>
            <w:shd w:val="clear" w:color="auto" w:fill="auto"/>
          </w:tcPr>
          <w:p w14:paraId="369578C5" w14:textId="77777777" w:rsidR="00182A82" w:rsidRPr="00182A82" w:rsidRDefault="00182A82" w:rsidP="00A475ED">
            <w:pPr>
              <w:pStyle w:val="ARtabletext"/>
            </w:pPr>
            <w:r w:rsidRPr="00182A82">
              <w:t>Employment and conduct principles</w:t>
            </w:r>
          </w:p>
        </w:tc>
        <w:tc>
          <w:tcPr>
            <w:tcW w:w="1129" w:type="dxa"/>
            <w:shd w:val="clear" w:color="auto" w:fill="auto"/>
          </w:tcPr>
          <w:p w14:paraId="1F46F3A9" w14:textId="632DEE2F" w:rsidR="00182A82" w:rsidRPr="00182A82" w:rsidRDefault="009F56BC" w:rsidP="00A475ED">
            <w:pPr>
              <w:pStyle w:val="ARtabletextright"/>
            </w:pPr>
            <w:r>
              <w:fldChar w:fldCharType="begin"/>
            </w:r>
            <w:r>
              <w:instrText xml:space="preserve"> PAGEREF _Ref178175981 \h </w:instrText>
            </w:r>
            <w:r>
              <w:fldChar w:fldCharType="separate"/>
            </w:r>
            <w:r w:rsidR="002F3676">
              <w:rPr>
                <w:noProof/>
              </w:rPr>
              <w:t>74</w:t>
            </w:r>
            <w:r>
              <w:fldChar w:fldCharType="end"/>
            </w:r>
            <w:r w:rsidR="006D711A" w:rsidRPr="00182A82">
              <w:t>–</w:t>
            </w:r>
            <w:r w:rsidR="006D711A">
              <w:fldChar w:fldCharType="begin"/>
            </w:r>
            <w:r w:rsidR="006D711A">
              <w:instrText xml:space="preserve"> PAGEREF Table5 \h </w:instrText>
            </w:r>
            <w:r w:rsidR="006D711A">
              <w:fldChar w:fldCharType="separate"/>
            </w:r>
            <w:r w:rsidR="002F3676">
              <w:rPr>
                <w:noProof/>
              </w:rPr>
              <w:t>88</w:t>
            </w:r>
            <w:r w:rsidR="006D711A">
              <w:fldChar w:fldCharType="end"/>
            </w:r>
          </w:p>
        </w:tc>
      </w:tr>
      <w:tr w:rsidR="00182A82" w:rsidRPr="00182A82" w14:paraId="4ABCB8DB" w14:textId="77777777" w:rsidTr="002542E1">
        <w:trPr>
          <w:cantSplit/>
        </w:trPr>
        <w:tc>
          <w:tcPr>
            <w:tcW w:w="1985" w:type="dxa"/>
            <w:shd w:val="clear" w:color="auto" w:fill="auto"/>
          </w:tcPr>
          <w:p w14:paraId="5E0BE6FF" w14:textId="77777777" w:rsidR="00182A82" w:rsidRPr="00182A82" w:rsidRDefault="00182A82" w:rsidP="00A475ED">
            <w:pPr>
              <w:pStyle w:val="ARtabletext"/>
            </w:pPr>
            <w:r w:rsidRPr="00182A82">
              <w:t>FRD 22H</w:t>
            </w:r>
          </w:p>
        </w:tc>
        <w:tc>
          <w:tcPr>
            <w:tcW w:w="6520" w:type="dxa"/>
            <w:shd w:val="clear" w:color="auto" w:fill="auto"/>
          </w:tcPr>
          <w:p w14:paraId="09A9A692" w14:textId="77777777" w:rsidR="00182A82" w:rsidRPr="00182A82" w:rsidRDefault="00182A82" w:rsidP="00A475ED">
            <w:pPr>
              <w:pStyle w:val="ARtabletext"/>
            </w:pPr>
            <w:r w:rsidRPr="00182A82">
              <w:t>Occupational health and safety policy</w:t>
            </w:r>
          </w:p>
        </w:tc>
        <w:tc>
          <w:tcPr>
            <w:tcW w:w="1129" w:type="dxa"/>
            <w:shd w:val="clear" w:color="auto" w:fill="auto"/>
          </w:tcPr>
          <w:p w14:paraId="4C67F206" w14:textId="42DC7924" w:rsidR="00182A82" w:rsidRPr="00182A82" w:rsidRDefault="00652E0D" w:rsidP="00182A82">
            <w:pPr>
              <w:pStyle w:val="ARtabletextright"/>
            </w:pPr>
            <w:r>
              <w:fldChar w:fldCharType="begin"/>
            </w:r>
            <w:r>
              <w:instrText xml:space="preserve"> PAGEREF _Ref178176139 \h </w:instrText>
            </w:r>
            <w:r>
              <w:fldChar w:fldCharType="separate"/>
            </w:r>
            <w:r w:rsidR="002F3676">
              <w:rPr>
                <w:noProof/>
              </w:rPr>
              <w:t>89</w:t>
            </w:r>
            <w:r>
              <w:fldChar w:fldCharType="end"/>
            </w:r>
            <w:r w:rsidR="006D711A" w:rsidRPr="00182A82">
              <w:t>–</w:t>
            </w:r>
            <w:r w:rsidR="006D711A">
              <w:fldChar w:fldCharType="begin"/>
            </w:r>
            <w:r w:rsidR="006D711A">
              <w:instrText xml:space="preserve"> PAGEREF Table6 \h </w:instrText>
            </w:r>
            <w:r w:rsidR="006D711A">
              <w:fldChar w:fldCharType="separate"/>
            </w:r>
            <w:r w:rsidR="002F3676">
              <w:rPr>
                <w:noProof/>
              </w:rPr>
              <w:t>91</w:t>
            </w:r>
            <w:r w:rsidR="006D711A">
              <w:fldChar w:fldCharType="end"/>
            </w:r>
          </w:p>
        </w:tc>
      </w:tr>
      <w:tr w:rsidR="00182A82" w:rsidRPr="00182A82" w14:paraId="6849B2D7" w14:textId="77777777" w:rsidTr="002542E1">
        <w:trPr>
          <w:cantSplit/>
        </w:trPr>
        <w:tc>
          <w:tcPr>
            <w:tcW w:w="1985" w:type="dxa"/>
            <w:shd w:val="clear" w:color="auto" w:fill="auto"/>
          </w:tcPr>
          <w:p w14:paraId="450C79E2" w14:textId="77777777" w:rsidR="00182A82" w:rsidRPr="00182A82" w:rsidRDefault="00182A82" w:rsidP="00A475ED">
            <w:pPr>
              <w:pStyle w:val="ARtabletext"/>
            </w:pPr>
            <w:r w:rsidRPr="00182A82">
              <w:t>FRD 22H</w:t>
            </w:r>
          </w:p>
        </w:tc>
        <w:tc>
          <w:tcPr>
            <w:tcW w:w="6520" w:type="dxa"/>
            <w:shd w:val="clear" w:color="auto" w:fill="auto"/>
          </w:tcPr>
          <w:p w14:paraId="0AACA228" w14:textId="77777777" w:rsidR="00182A82" w:rsidRPr="00182A82" w:rsidRDefault="00182A82" w:rsidP="00A475ED">
            <w:pPr>
              <w:pStyle w:val="ARtabletext"/>
            </w:pPr>
            <w:r w:rsidRPr="00182A82">
              <w:t>Summary of the financial results for the year</w:t>
            </w:r>
          </w:p>
        </w:tc>
        <w:tc>
          <w:tcPr>
            <w:tcW w:w="1129" w:type="dxa"/>
            <w:shd w:val="clear" w:color="auto" w:fill="auto"/>
          </w:tcPr>
          <w:p w14:paraId="1BD57DD9" w14:textId="2E9A70E5" w:rsidR="00182A82" w:rsidRPr="00182A82" w:rsidRDefault="00590108" w:rsidP="00A475ED">
            <w:pPr>
              <w:pStyle w:val="ARtabletextright"/>
            </w:pPr>
            <w:r>
              <w:fldChar w:fldCharType="begin"/>
            </w:r>
            <w:r>
              <w:instrText xml:space="preserve"> PAGEREF _Ref178660519 \h </w:instrText>
            </w:r>
            <w:r>
              <w:fldChar w:fldCharType="separate"/>
            </w:r>
            <w:r w:rsidR="002F3676">
              <w:rPr>
                <w:noProof/>
              </w:rPr>
              <w:t>70</w:t>
            </w:r>
            <w:r>
              <w:fldChar w:fldCharType="end"/>
            </w:r>
          </w:p>
        </w:tc>
      </w:tr>
      <w:tr w:rsidR="00182A82" w:rsidRPr="00182A82" w14:paraId="2CBF8569" w14:textId="77777777" w:rsidTr="002542E1">
        <w:trPr>
          <w:cantSplit/>
        </w:trPr>
        <w:tc>
          <w:tcPr>
            <w:tcW w:w="1985" w:type="dxa"/>
            <w:shd w:val="clear" w:color="auto" w:fill="auto"/>
          </w:tcPr>
          <w:p w14:paraId="6E5EC71B" w14:textId="77777777" w:rsidR="00182A82" w:rsidRPr="00182A82" w:rsidRDefault="00182A82" w:rsidP="00A475ED">
            <w:pPr>
              <w:pStyle w:val="ARtabletext"/>
            </w:pPr>
            <w:r w:rsidRPr="00182A82">
              <w:t>FRD 22H</w:t>
            </w:r>
          </w:p>
        </w:tc>
        <w:tc>
          <w:tcPr>
            <w:tcW w:w="6520" w:type="dxa"/>
            <w:shd w:val="clear" w:color="auto" w:fill="auto"/>
          </w:tcPr>
          <w:p w14:paraId="45095151" w14:textId="77777777" w:rsidR="00182A82" w:rsidRPr="00182A82" w:rsidRDefault="00182A82" w:rsidP="00A475ED">
            <w:pPr>
              <w:pStyle w:val="ARtabletext"/>
            </w:pPr>
            <w:r w:rsidRPr="00182A82">
              <w:t>Significant changes in financial position during the year</w:t>
            </w:r>
          </w:p>
        </w:tc>
        <w:tc>
          <w:tcPr>
            <w:tcW w:w="1129" w:type="dxa"/>
            <w:shd w:val="clear" w:color="auto" w:fill="auto"/>
          </w:tcPr>
          <w:p w14:paraId="118169AB" w14:textId="7395F711" w:rsidR="00182A82" w:rsidRPr="00182A82" w:rsidRDefault="0045558C" w:rsidP="00A475ED">
            <w:pPr>
              <w:pStyle w:val="ARtabletextright"/>
            </w:pPr>
            <w:r>
              <w:fldChar w:fldCharType="begin"/>
            </w:r>
            <w:r>
              <w:instrText xml:space="preserve"> PAGEREF _Ref178660604 \h </w:instrText>
            </w:r>
            <w:r>
              <w:fldChar w:fldCharType="separate"/>
            </w:r>
            <w:r w:rsidR="002F3676">
              <w:rPr>
                <w:noProof/>
              </w:rPr>
              <w:t>70</w:t>
            </w:r>
            <w:r>
              <w:fldChar w:fldCharType="end"/>
            </w:r>
            <w:r w:rsidRPr="00182A82">
              <w:t>–</w:t>
            </w:r>
            <w:r w:rsidR="002048C2">
              <w:fldChar w:fldCharType="begin"/>
            </w:r>
            <w:r w:rsidR="002048C2">
              <w:instrText xml:space="preserve"> PAGEREF _Ref178176395 \h </w:instrText>
            </w:r>
            <w:r w:rsidR="002048C2">
              <w:fldChar w:fldCharType="separate"/>
            </w:r>
            <w:r w:rsidR="002F3676">
              <w:rPr>
                <w:noProof/>
              </w:rPr>
              <w:t>72</w:t>
            </w:r>
            <w:r w:rsidR="002048C2">
              <w:fldChar w:fldCharType="end"/>
            </w:r>
          </w:p>
        </w:tc>
      </w:tr>
      <w:tr w:rsidR="00182A82" w:rsidRPr="00182A82" w14:paraId="573B2EC8" w14:textId="77777777" w:rsidTr="002542E1">
        <w:trPr>
          <w:cantSplit/>
        </w:trPr>
        <w:tc>
          <w:tcPr>
            <w:tcW w:w="1985" w:type="dxa"/>
            <w:shd w:val="clear" w:color="auto" w:fill="auto"/>
          </w:tcPr>
          <w:p w14:paraId="4A6DE124" w14:textId="77777777" w:rsidR="00182A82" w:rsidRPr="00182A82" w:rsidRDefault="00182A82" w:rsidP="00A475ED">
            <w:pPr>
              <w:pStyle w:val="ARtabletext"/>
            </w:pPr>
            <w:r w:rsidRPr="00182A82">
              <w:t>FRD 22H</w:t>
            </w:r>
          </w:p>
        </w:tc>
        <w:tc>
          <w:tcPr>
            <w:tcW w:w="6520" w:type="dxa"/>
            <w:shd w:val="clear" w:color="auto" w:fill="auto"/>
          </w:tcPr>
          <w:p w14:paraId="7462ED4E" w14:textId="77777777" w:rsidR="00182A82" w:rsidRPr="00182A82" w:rsidRDefault="00182A82" w:rsidP="00A475ED">
            <w:pPr>
              <w:pStyle w:val="ARtabletext"/>
            </w:pPr>
            <w:r w:rsidRPr="00182A82">
              <w:t>Major changes or factors affecting performance</w:t>
            </w:r>
          </w:p>
        </w:tc>
        <w:tc>
          <w:tcPr>
            <w:tcW w:w="1129" w:type="dxa"/>
            <w:shd w:val="clear" w:color="auto" w:fill="auto"/>
          </w:tcPr>
          <w:p w14:paraId="1236B144" w14:textId="6902455E" w:rsidR="00182A82" w:rsidRPr="00182A82" w:rsidRDefault="0016377C" w:rsidP="00A475ED">
            <w:pPr>
              <w:pStyle w:val="ARtabletextright"/>
            </w:pPr>
            <w:r>
              <w:fldChar w:fldCharType="begin"/>
            </w:r>
            <w:r>
              <w:instrText xml:space="preserve"> PAGEREF _Ref178176961 \h </w:instrText>
            </w:r>
            <w:r>
              <w:fldChar w:fldCharType="separate"/>
            </w:r>
            <w:r w:rsidR="002F3676">
              <w:rPr>
                <w:noProof/>
              </w:rPr>
              <w:t>57</w:t>
            </w:r>
            <w:r>
              <w:fldChar w:fldCharType="end"/>
            </w:r>
            <w:r w:rsidR="008A5FAA" w:rsidRPr="00182A82">
              <w:t>–</w:t>
            </w:r>
            <w:r w:rsidR="008F722D">
              <w:fldChar w:fldCharType="begin"/>
            </w:r>
            <w:r w:rsidR="008F722D">
              <w:instrText xml:space="preserve"> PAGEREF _Ref178660604 \h </w:instrText>
            </w:r>
            <w:r w:rsidR="008F722D">
              <w:fldChar w:fldCharType="separate"/>
            </w:r>
            <w:r w:rsidR="002F3676">
              <w:rPr>
                <w:noProof/>
              </w:rPr>
              <w:t>70</w:t>
            </w:r>
            <w:r w:rsidR="008F722D">
              <w:fldChar w:fldCharType="end"/>
            </w:r>
          </w:p>
        </w:tc>
      </w:tr>
      <w:tr w:rsidR="00182A82" w:rsidRPr="00182A82" w14:paraId="61160B71" w14:textId="77777777" w:rsidTr="002542E1">
        <w:trPr>
          <w:cantSplit/>
        </w:trPr>
        <w:tc>
          <w:tcPr>
            <w:tcW w:w="1985" w:type="dxa"/>
            <w:shd w:val="clear" w:color="auto" w:fill="auto"/>
          </w:tcPr>
          <w:p w14:paraId="147E8786" w14:textId="77777777" w:rsidR="00182A82" w:rsidRPr="00182A82" w:rsidRDefault="00182A82" w:rsidP="00A475ED">
            <w:pPr>
              <w:pStyle w:val="ARtabletext"/>
            </w:pPr>
            <w:r w:rsidRPr="00182A82">
              <w:t>FRD 22H</w:t>
            </w:r>
          </w:p>
        </w:tc>
        <w:tc>
          <w:tcPr>
            <w:tcW w:w="6520" w:type="dxa"/>
            <w:shd w:val="clear" w:color="auto" w:fill="auto"/>
          </w:tcPr>
          <w:p w14:paraId="5521E37D" w14:textId="77777777" w:rsidR="00182A82" w:rsidRPr="00182A82" w:rsidRDefault="00182A82" w:rsidP="00A475ED">
            <w:pPr>
              <w:pStyle w:val="ARtabletext"/>
            </w:pPr>
            <w:r w:rsidRPr="00182A82">
              <w:t>Subsequent events</w:t>
            </w:r>
          </w:p>
        </w:tc>
        <w:tc>
          <w:tcPr>
            <w:tcW w:w="1129" w:type="dxa"/>
            <w:shd w:val="clear" w:color="auto" w:fill="auto"/>
          </w:tcPr>
          <w:p w14:paraId="10211B03" w14:textId="140E17F3" w:rsidR="00182A82" w:rsidRPr="00182A82" w:rsidRDefault="008A5FAA" w:rsidP="00A475ED">
            <w:pPr>
              <w:pStyle w:val="ARtabletextright"/>
            </w:pPr>
            <w:r>
              <w:fldChar w:fldCharType="begin"/>
            </w:r>
            <w:r>
              <w:instrText xml:space="preserve"> PAGEREF _Ref178660962 \h </w:instrText>
            </w:r>
            <w:r>
              <w:fldChar w:fldCharType="separate"/>
            </w:r>
            <w:r w:rsidR="002F3676">
              <w:rPr>
                <w:noProof/>
              </w:rPr>
              <w:t>24</w:t>
            </w:r>
            <w:r>
              <w:fldChar w:fldCharType="end"/>
            </w:r>
          </w:p>
        </w:tc>
      </w:tr>
      <w:tr w:rsidR="00182A82" w:rsidRPr="00182A82" w14:paraId="5B24C8D2" w14:textId="77777777" w:rsidTr="002542E1">
        <w:trPr>
          <w:cantSplit/>
        </w:trPr>
        <w:tc>
          <w:tcPr>
            <w:tcW w:w="1985" w:type="dxa"/>
            <w:shd w:val="clear" w:color="auto" w:fill="auto"/>
          </w:tcPr>
          <w:p w14:paraId="25C1E796" w14:textId="77777777" w:rsidR="00182A82" w:rsidRPr="00182A82" w:rsidRDefault="00182A82" w:rsidP="00A475ED">
            <w:pPr>
              <w:pStyle w:val="ARtabletext"/>
            </w:pPr>
            <w:r w:rsidRPr="00182A82">
              <w:t>FRD 22H</w:t>
            </w:r>
          </w:p>
        </w:tc>
        <w:tc>
          <w:tcPr>
            <w:tcW w:w="6520" w:type="dxa"/>
            <w:shd w:val="clear" w:color="auto" w:fill="auto"/>
          </w:tcPr>
          <w:p w14:paraId="1ADE30CC" w14:textId="77777777" w:rsidR="00182A82" w:rsidRPr="00182A82" w:rsidRDefault="00182A82" w:rsidP="00A475ED">
            <w:pPr>
              <w:pStyle w:val="ARtabletext"/>
            </w:pPr>
            <w:r w:rsidRPr="00182A82">
              <w:t xml:space="preserve">Application and operation of </w:t>
            </w:r>
            <w:r w:rsidRPr="00182A82">
              <w:rPr>
                <w:i/>
                <w:iCs/>
              </w:rPr>
              <w:t>Freedom of Information Act 1982</w:t>
            </w:r>
          </w:p>
        </w:tc>
        <w:tc>
          <w:tcPr>
            <w:tcW w:w="1129" w:type="dxa"/>
            <w:shd w:val="clear" w:color="auto" w:fill="auto"/>
          </w:tcPr>
          <w:p w14:paraId="5902CAA4" w14:textId="73B63B2A" w:rsidR="00182A82" w:rsidRPr="00182A82" w:rsidRDefault="00921111" w:rsidP="00A475ED">
            <w:pPr>
              <w:pStyle w:val="ARtabletextright"/>
            </w:pPr>
            <w:r>
              <w:fldChar w:fldCharType="begin"/>
            </w:r>
            <w:r>
              <w:instrText xml:space="preserve"> PAGEREF _Ref178179109 \h </w:instrText>
            </w:r>
            <w:r>
              <w:fldChar w:fldCharType="separate"/>
            </w:r>
            <w:r w:rsidR="002F3676">
              <w:rPr>
                <w:noProof/>
              </w:rPr>
              <w:t>121</w:t>
            </w:r>
            <w:r>
              <w:fldChar w:fldCharType="end"/>
            </w:r>
            <w:r w:rsidR="00506C49" w:rsidRPr="00182A82">
              <w:t>–</w:t>
            </w:r>
            <w:r w:rsidR="00506C49">
              <w:fldChar w:fldCharType="begin"/>
            </w:r>
            <w:r w:rsidR="00506C49">
              <w:instrText xml:space="preserve"> PAGEREF _Ref178661069 \h </w:instrText>
            </w:r>
            <w:r w:rsidR="00506C49">
              <w:fldChar w:fldCharType="separate"/>
            </w:r>
            <w:r w:rsidR="002F3676">
              <w:rPr>
                <w:noProof/>
              </w:rPr>
              <w:t>122</w:t>
            </w:r>
            <w:r w:rsidR="00506C49">
              <w:fldChar w:fldCharType="end"/>
            </w:r>
          </w:p>
        </w:tc>
      </w:tr>
      <w:tr w:rsidR="00182A82" w:rsidRPr="00182A82" w14:paraId="3C6BA996" w14:textId="77777777" w:rsidTr="002542E1">
        <w:trPr>
          <w:cantSplit/>
        </w:trPr>
        <w:tc>
          <w:tcPr>
            <w:tcW w:w="1985" w:type="dxa"/>
            <w:shd w:val="clear" w:color="auto" w:fill="auto"/>
          </w:tcPr>
          <w:p w14:paraId="2D3918ED" w14:textId="77777777" w:rsidR="00182A82" w:rsidRPr="00182A82" w:rsidRDefault="00182A82" w:rsidP="00A475ED">
            <w:pPr>
              <w:pStyle w:val="ARtabletext"/>
            </w:pPr>
            <w:r w:rsidRPr="00182A82">
              <w:t>FRD 22H</w:t>
            </w:r>
          </w:p>
        </w:tc>
        <w:tc>
          <w:tcPr>
            <w:tcW w:w="6520" w:type="dxa"/>
            <w:shd w:val="clear" w:color="auto" w:fill="auto"/>
          </w:tcPr>
          <w:p w14:paraId="027E0083" w14:textId="77777777" w:rsidR="00182A82" w:rsidRPr="00182A82" w:rsidRDefault="00182A82" w:rsidP="00A475ED">
            <w:pPr>
              <w:pStyle w:val="ARtabletext"/>
            </w:pPr>
            <w:r w:rsidRPr="00182A82">
              <w:t xml:space="preserve">Compliance with building and maintenance provisions of </w:t>
            </w:r>
            <w:r w:rsidRPr="00182A82">
              <w:br/>
            </w:r>
            <w:r w:rsidRPr="00182A82">
              <w:rPr>
                <w:i/>
                <w:iCs/>
              </w:rPr>
              <w:t>Building Act 1993</w:t>
            </w:r>
          </w:p>
        </w:tc>
        <w:tc>
          <w:tcPr>
            <w:tcW w:w="1129" w:type="dxa"/>
            <w:shd w:val="clear" w:color="auto" w:fill="auto"/>
          </w:tcPr>
          <w:p w14:paraId="36E64ED9" w14:textId="358771A6" w:rsidR="00182A82" w:rsidRPr="00182A82" w:rsidRDefault="00320AB9" w:rsidP="00A475ED">
            <w:pPr>
              <w:pStyle w:val="ARtabletextright"/>
            </w:pPr>
            <w:r>
              <w:fldChar w:fldCharType="begin"/>
            </w:r>
            <w:r>
              <w:instrText xml:space="preserve"> PAGEREF _Ref178179328 \h </w:instrText>
            </w:r>
            <w:r>
              <w:fldChar w:fldCharType="separate"/>
            </w:r>
            <w:r w:rsidR="002F3676">
              <w:rPr>
                <w:noProof/>
              </w:rPr>
              <w:t>115</w:t>
            </w:r>
            <w:r>
              <w:fldChar w:fldCharType="end"/>
            </w:r>
            <w:r w:rsidR="00506C49" w:rsidRPr="00182A82">
              <w:t>–</w:t>
            </w:r>
            <w:r w:rsidR="00FE78F8">
              <w:fldChar w:fldCharType="begin"/>
            </w:r>
            <w:r w:rsidR="00FE78F8">
              <w:instrText xml:space="preserve"> PAGEREF _Ref178179701 \h </w:instrText>
            </w:r>
            <w:r w:rsidR="00FE78F8">
              <w:fldChar w:fldCharType="separate"/>
            </w:r>
            <w:r w:rsidR="002F3676">
              <w:rPr>
                <w:noProof/>
              </w:rPr>
              <w:t>116</w:t>
            </w:r>
            <w:r w:rsidR="00FE78F8">
              <w:fldChar w:fldCharType="end"/>
            </w:r>
          </w:p>
        </w:tc>
      </w:tr>
      <w:tr w:rsidR="00182A82" w:rsidRPr="00182A82" w14:paraId="74FBAEC1" w14:textId="77777777" w:rsidTr="002542E1">
        <w:trPr>
          <w:cantSplit/>
        </w:trPr>
        <w:tc>
          <w:tcPr>
            <w:tcW w:w="1985" w:type="dxa"/>
            <w:shd w:val="clear" w:color="auto" w:fill="auto"/>
          </w:tcPr>
          <w:p w14:paraId="0955A64E" w14:textId="77777777" w:rsidR="00182A82" w:rsidRPr="00182A82" w:rsidRDefault="00182A82" w:rsidP="00A475ED">
            <w:pPr>
              <w:pStyle w:val="ARtabletext"/>
            </w:pPr>
            <w:r w:rsidRPr="00182A82">
              <w:t>FRD 22H</w:t>
            </w:r>
          </w:p>
        </w:tc>
        <w:tc>
          <w:tcPr>
            <w:tcW w:w="6520" w:type="dxa"/>
            <w:shd w:val="clear" w:color="auto" w:fill="auto"/>
          </w:tcPr>
          <w:p w14:paraId="35D9A467" w14:textId="77777777" w:rsidR="00182A82" w:rsidRPr="00182A82" w:rsidRDefault="00182A82" w:rsidP="00A475ED">
            <w:pPr>
              <w:pStyle w:val="ARtabletext"/>
            </w:pPr>
            <w:r w:rsidRPr="00182A82">
              <w:t>Statement on Competitive Neutrality Policy</w:t>
            </w:r>
          </w:p>
        </w:tc>
        <w:tc>
          <w:tcPr>
            <w:tcW w:w="1129" w:type="dxa"/>
            <w:shd w:val="clear" w:color="auto" w:fill="auto"/>
          </w:tcPr>
          <w:p w14:paraId="7984C161" w14:textId="651C5423" w:rsidR="00182A82" w:rsidRPr="00182A82" w:rsidRDefault="00621ABF" w:rsidP="00A475ED">
            <w:pPr>
              <w:pStyle w:val="ARtabletextright"/>
            </w:pPr>
            <w:r>
              <w:fldChar w:fldCharType="begin"/>
            </w:r>
            <w:r>
              <w:instrText xml:space="preserve"> PAGEREF _Ref178179558 \h </w:instrText>
            </w:r>
            <w:r>
              <w:fldChar w:fldCharType="separate"/>
            </w:r>
            <w:r w:rsidR="002F3676">
              <w:rPr>
                <w:noProof/>
              </w:rPr>
              <w:t>94</w:t>
            </w:r>
            <w:r>
              <w:fldChar w:fldCharType="end"/>
            </w:r>
          </w:p>
        </w:tc>
      </w:tr>
      <w:tr w:rsidR="00182A82" w:rsidRPr="00182A82" w14:paraId="54FDF414" w14:textId="77777777" w:rsidTr="002542E1">
        <w:trPr>
          <w:cantSplit/>
        </w:trPr>
        <w:tc>
          <w:tcPr>
            <w:tcW w:w="1985" w:type="dxa"/>
            <w:shd w:val="clear" w:color="auto" w:fill="auto"/>
          </w:tcPr>
          <w:p w14:paraId="766C2084" w14:textId="77777777" w:rsidR="00182A82" w:rsidRPr="00182A82" w:rsidRDefault="00182A82" w:rsidP="00A475ED">
            <w:pPr>
              <w:pStyle w:val="ARtabletext"/>
            </w:pPr>
            <w:r w:rsidRPr="00182A82">
              <w:t>FRD 22H</w:t>
            </w:r>
          </w:p>
        </w:tc>
        <w:tc>
          <w:tcPr>
            <w:tcW w:w="6520" w:type="dxa"/>
            <w:shd w:val="clear" w:color="auto" w:fill="auto"/>
          </w:tcPr>
          <w:p w14:paraId="2D285247" w14:textId="77777777" w:rsidR="00182A82" w:rsidRPr="00182A82" w:rsidRDefault="00182A82" w:rsidP="00A475ED">
            <w:pPr>
              <w:pStyle w:val="ARtabletext"/>
            </w:pPr>
            <w:r w:rsidRPr="00182A82">
              <w:t>Application and operation of the</w:t>
            </w:r>
            <w:r w:rsidRPr="00182A82">
              <w:rPr>
                <w:i/>
              </w:rPr>
              <w:t xml:space="preserve"> Public Interest Disclosures Act 2012</w:t>
            </w:r>
          </w:p>
        </w:tc>
        <w:tc>
          <w:tcPr>
            <w:tcW w:w="1129" w:type="dxa"/>
            <w:shd w:val="clear" w:color="auto" w:fill="auto"/>
          </w:tcPr>
          <w:p w14:paraId="7EE93E0A" w14:textId="4C062FF6" w:rsidR="00182A82" w:rsidRPr="00182A82" w:rsidRDefault="00153E0A" w:rsidP="00A475ED">
            <w:pPr>
              <w:pStyle w:val="ARtabletextright"/>
            </w:pPr>
            <w:r>
              <w:fldChar w:fldCharType="begin"/>
            </w:r>
            <w:r>
              <w:instrText xml:space="preserve"> PAGEREF _Ref178179701 \h </w:instrText>
            </w:r>
            <w:r>
              <w:fldChar w:fldCharType="separate"/>
            </w:r>
            <w:r w:rsidR="002F3676">
              <w:rPr>
                <w:noProof/>
              </w:rPr>
              <w:t>116</w:t>
            </w:r>
            <w:r>
              <w:fldChar w:fldCharType="end"/>
            </w:r>
            <w:r w:rsidR="00B55E4C" w:rsidRPr="00182A82">
              <w:t>–</w:t>
            </w:r>
            <w:r w:rsidR="00B55E4C">
              <w:fldChar w:fldCharType="begin"/>
            </w:r>
            <w:r w:rsidR="00B55E4C">
              <w:instrText xml:space="preserve"> PAGEREF _Ref178179717 \h </w:instrText>
            </w:r>
            <w:r w:rsidR="00B55E4C">
              <w:fldChar w:fldCharType="separate"/>
            </w:r>
            <w:r w:rsidR="002F3676">
              <w:rPr>
                <w:noProof/>
              </w:rPr>
              <w:t>117</w:t>
            </w:r>
            <w:r w:rsidR="00B55E4C">
              <w:fldChar w:fldCharType="end"/>
            </w:r>
          </w:p>
        </w:tc>
      </w:tr>
      <w:tr w:rsidR="00182A82" w:rsidRPr="00182A82" w14:paraId="51816A5D" w14:textId="77777777" w:rsidTr="002542E1">
        <w:trPr>
          <w:cantSplit/>
        </w:trPr>
        <w:tc>
          <w:tcPr>
            <w:tcW w:w="1985" w:type="dxa"/>
            <w:shd w:val="clear" w:color="auto" w:fill="auto"/>
          </w:tcPr>
          <w:p w14:paraId="2D897337" w14:textId="77777777" w:rsidR="00182A82" w:rsidRPr="00182A82" w:rsidRDefault="00182A82" w:rsidP="00A475ED">
            <w:pPr>
              <w:pStyle w:val="ARtabletext"/>
            </w:pPr>
            <w:r w:rsidRPr="00182A82">
              <w:t>FRD 22H</w:t>
            </w:r>
          </w:p>
        </w:tc>
        <w:tc>
          <w:tcPr>
            <w:tcW w:w="6520" w:type="dxa"/>
            <w:shd w:val="clear" w:color="auto" w:fill="auto"/>
          </w:tcPr>
          <w:p w14:paraId="0D15D78E" w14:textId="77777777" w:rsidR="00182A82" w:rsidRPr="00182A82" w:rsidRDefault="00182A82" w:rsidP="00A475ED">
            <w:pPr>
              <w:pStyle w:val="ARtabletext"/>
            </w:pPr>
            <w:r w:rsidRPr="00182A82">
              <w:t xml:space="preserve">Application and operation of the </w:t>
            </w:r>
            <w:r w:rsidRPr="00182A82">
              <w:rPr>
                <w:i/>
              </w:rPr>
              <w:t>Carers Recognition Act 2012</w:t>
            </w:r>
          </w:p>
        </w:tc>
        <w:tc>
          <w:tcPr>
            <w:tcW w:w="1129" w:type="dxa"/>
            <w:shd w:val="clear" w:color="auto" w:fill="auto"/>
          </w:tcPr>
          <w:p w14:paraId="19FB1C82" w14:textId="445E4187" w:rsidR="00182A82" w:rsidRPr="00182A82" w:rsidRDefault="00153E0A" w:rsidP="00A475ED">
            <w:pPr>
              <w:pStyle w:val="ARtabletextright"/>
            </w:pPr>
            <w:r>
              <w:fldChar w:fldCharType="begin"/>
            </w:r>
            <w:r>
              <w:instrText xml:space="preserve"> PAGEREF _Ref178179717 \h </w:instrText>
            </w:r>
            <w:r>
              <w:fldChar w:fldCharType="separate"/>
            </w:r>
            <w:r w:rsidR="002F3676">
              <w:rPr>
                <w:noProof/>
              </w:rPr>
              <w:t>117</w:t>
            </w:r>
            <w:r>
              <w:fldChar w:fldCharType="end"/>
            </w:r>
            <w:r w:rsidR="00B55E4C" w:rsidRPr="00182A82">
              <w:t>–</w:t>
            </w:r>
            <w:r w:rsidR="00B55E4C">
              <w:fldChar w:fldCharType="begin"/>
            </w:r>
            <w:r w:rsidR="00B55E4C">
              <w:instrText xml:space="preserve"> PAGEREF _Ref178240396 \h </w:instrText>
            </w:r>
            <w:r w:rsidR="00B55E4C">
              <w:fldChar w:fldCharType="separate"/>
            </w:r>
            <w:r w:rsidR="002F3676">
              <w:rPr>
                <w:noProof/>
              </w:rPr>
              <w:t>118</w:t>
            </w:r>
            <w:r w:rsidR="00B55E4C">
              <w:fldChar w:fldCharType="end"/>
            </w:r>
          </w:p>
        </w:tc>
      </w:tr>
      <w:tr w:rsidR="00182A82" w:rsidRPr="00182A82" w14:paraId="30435B83" w14:textId="77777777" w:rsidTr="002542E1">
        <w:trPr>
          <w:cantSplit/>
        </w:trPr>
        <w:tc>
          <w:tcPr>
            <w:tcW w:w="1985" w:type="dxa"/>
            <w:shd w:val="clear" w:color="auto" w:fill="auto"/>
          </w:tcPr>
          <w:p w14:paraId="6CDA4208" w14:textId="77777777" w:rsidR="00182A82" w:rsidRPr="00182A82" w:rsidRDefault="00182A82" w:rsidP="00A475ED">
            <w:pPr>
              <w:pStyle w:val="ARtabletext"/>
            </w:pPr>
            <w:r w:rsidRPr="00182A82">
              <w:t>FRD 22H</w:t>
            </w:r>
          </w:p>
        </w:tc>
        <w:tc>
          <w:tcPr>
            <w:tcW w:w="6520" w:type="dxa"/>
            <w:shd w:val="clear" w:color="auto" w:fill="auto"/>
          </w:tcPr>
          <w:p w14:paraId="0C241B5B" w14:textId="77777777" w:rsidR="00182A82" w:rsidRPr="00182A82" w:rsidRDefault="00182A82" w:rsidP="00A475ED">
            <w:pPr>
              <w:pStyle w:val="ARtabletext"/>
            </w:pPr>
            <w:r w:rsidRPr="00182A82">
              <w:t>Details of consultancies over $10,000</w:t>
            </w:r>
          </w:p>
        </w:tc>
        <w:tc>
          <w:tcPr>
            <w:tcW w:w="1129" w:type="dxa"/>
            <w:shd w:val="clear" w:color="auto" w:fill="auto"/>
          </w:tcPr>
          <w:p w14:paraId="603A1BA4" w14:textId="3A6761B2" w:rsidR="00182A82" w:rsidRPr="00182A82" w:rsidRDefault="00555E97" w:rsidP="00A475ED">
            <w:pPr>
              <w:pStyle w:val="ARtabletextright"/>
            </w:pPr>
            <w:r>
              <w:fldChar w:fldCharType="begin"/>
            </w:r>
            <w:r>
              <w:instrText xml:space="preserve"> PAGEREF _Ref178179920 \h </w:instrText>
            </w:r>
            <w:r>
              <w:fldChar w:fldCharType="separate"/>
            </w:r>
            <w:r w:rsidR="002F3676">
              <w:rPr>
                <w:noProof/>
              </w:rPr>
              <w:t>96</w:t>
            </w:r>
            <w:r>
              <w:fldChar w:fldCharType="end"/>
            </w:r>
            <w:r w:rsidR="00B55E4C" w:rsidRPr="00182A82">
              <w:t>–</w:t>
            </w:r>
            <w:r w:rsidR="00B55E4C">
              <w:fldChar w:fldCharType="begin"/>
            </w:r>
            <w:r w:rsidR="00B55E4C">
              <w:instrText xml:space="preserve"> PAGEREF MonashUniversitypg100 \h </w:instrText>
            </w:r>
            <w:r w:rsidR="00B55E4C">
              <w:fldChar w:fldCharType="separate"/>
            </w:r>
            <w:r w:rsidR="002F3676">
              <w:rPr>
                <w:noProof/>
              </w:rPr>
              <w:t>99</w:t>
            </w:r>
            <w:r w:rsidR="00B55E4C">
              <w:fldChar w:fldCharType="end"/>
            </w:r>
          </w:p>
        </w:tc>
      </w:tr>
      <w:tr w:rsidR="00182A82" w:rsidRPr="00182A82" w14:paraId="1E24D130" w14:textId="77777777" w:rsidTr="002542E1">
        <w:trPr>
          <w:cantSplit/>
        </w:trPr>
        <w:tc>
          <w:tcPr>
            <w:tcW w:w="1985" w:type="dxa"/>
            <w:shd w:val="clear" w:color="auto" w:fill="auto"/>
          </w:tcPr>
          <w:p w14:paraId="231A90E0" w14:textId="77777777" w:rsidR="00182A82" w:rsidRPr="00182A82" w:rsidRDefault="00182A82" w:rsidP="00A475ED">
            <w:pPr>
              <w:pStyle w:val="ARtabletext"/>
            </w:pPr>
            <w:r w:rsidRPr="00182A82">
              <w:t>FRD 22H</w:t>
            </w:r>
          </w:p>
        </w:tc>
        <w:tc>
          <w:tcPr>
            <w:tcW w:w="6520" w:type="dxa"/>
            <w:shd w:val="clear" w:color="auto" w:fill="auto"/>
          </w:tcPr>
          <w:p w14:paraId="4D34A483" w14:textId="77777777" w:rsidR="00182A82" w:rsidRPr="00182A82" w:rsidRDefault="00182A82" w:rsidP="00A475ED">
            <w:pPr>
              <w:pStyle w:val="ARtabletext"/>
            </w:pPr>
            <w:r w:rsidRPr="00182A82">
              <w:t>Details of consultancies under $10,000</w:t>
            </w:r>
          </w:p>
        </w:tc>
        <w:tc>
          <w:tcPr>
            <w:tcW w:w="1129" w:type="dxa"/>
            <w:shd w:val="clear" w:color="auto" w:fill="auto"/>
          </w:tcPr>
          <w:p w14:paraId="779805D6" w14:textId="6486ADC1" w:rsidR="00182A82" w:rsidRPr="00182A82" w:rsidRDefault="00272E6F" w:rsidP="00A475ED">
            <w:pPr>
              <w:pStyle w:val="ARtabletextright"/>
            </w:pPr>
            <w:r>
              <w:fldChar w:fldCharType="begin"/>
            </w:r>
            <w:r>
              <w:instrText xml:space="preserve"> PAGEREF _Ref178180184 \h </w:instrText>
            </w:r>
            <w:r>
              <w:fldChar w:fldCharType="separate"/>
            </w:r>
            <w:r w:rsidR="002F3676">
              <w:rPr>
                <w:noProof/>
              </w:rPr>
              <w:t>100</w:t>
            </w:r>
            <w:r>
              <w:fldChar w:fldCharType="end"/>
            </w:r>
          </w:p>
        </w:tc>
      </w:tr>
      <w:tr w:rsidR="00182A82" w:rsidRPr="00182A82" w14:paraId="7EB23238" w14:textId="77777777" w:rsidTr="002542E1">
        <w:trPr>
          <w:cantSplit/>
        </w:trPr>
        <w:tc>
          <w:tcPr>
            <w:tcW w:w="1985" w:type="dxa"/>
            <w:shd w:val="clear" w:color="auto" w:fill="auto"/>
          </w:tcPr>
          <w:p w14:paraId="0579EE64" w14:textId="77777777" w:rsidR="00182A82" w:rsidRPr="00182A82" w:rsidRDefault="00182A82" w:rsidP="00A475ED">
            <w:pPr>
              <w:pStyle w:val="ARtabletext"/>
            </w:pPr>
            <w:r w:rsidRPr="00182A82">
              <w:t>FRD 22H</w:t>
            </w:r>
          </w:p>
        </w:tc>
        <w:tc>
          <w:tcPr>
            <w:tcW w:w="6520" w:type="dxa"/>
            <w:shd w:val="clear" w:color="auto" w:fill="auto"/>
          </w:tcPr>
          <w:p w14:paraId="31BB1E89" w14:textId="77777777" w:rsidR="00182A82" w:rsidRPr="00182A82" w:rsidRDefault="00182A82" w:rsidP="00A475ED">
            <w:pPr>
              <w:pStyle w:val="ARtabletext"/>
            </w:pPr>
            <w:r w:rsidRPr="00182A82">
              <w:t>Disclosure of government advertising expenditure</w:t>
            </w:r>
          </w:p>
        </w:tc>
        <w:tc>
          <w:tcPr>
            <w:tcW w:w="1129" w:type="dxa"/>
            <w:shd w:val="clear" w:color="auto" w:fill="auto"/>
          </w:tcPr>
          <w:p w14:paraId="728F4E0D" w14:textId="20260DDC" w:rsidR="00182A82" w:rsidRPr="00182A82" w:rsidRDefault="00C8043A" w:rsidP="00A475ED">
            <w:pPr>
              <w:pStyle w:val="ARtabletextright"/>
            </w:pPr>
            <w:r>
              <w:fldChar w:fldCharType="begin"/>
            </w:r>
            <w:r>
              <w:instrText xml:space="preserve"> PAGEREF _Ref178180479 \h </w:instrText>
            </w:r>
            <w:r>
              <w:fldChar w:fldCharType="separate"/>
            </w:r>
            <w:r w:rsidR="002F3676">
              <w:rPr>
                <w:noProof/>
              </w:rPr>
              <w:t>95</w:t>
            </w:r>
            <w:r>
              <w:fldChar w:fldCharType="end"/>
            </w:r>
          </w:p>
        </w:tc>
      </w:tr>
      <w:tr w:rsidR="00182A82" w:rsidRPr="00182A82" w14:paraId="2D40B46C" w14:textId="77777777" w:rsidTr="002542E1">
        <w:trPr>
          <w:cantSplit/>
        </w:trPr>
        <w:tc>
          <w:tcPr>
            <w:tcW w:w="1985" w:type="dxa"/>
            <w:shd w:val="clear" w:color="auto" w:fill="auto"/>
          </w:tcPr>
          <w:p w14:paraId="153D84F5" w14:textId="77777777" w:rsidR="00182A82" w:rsidRPr="00182A82" w:rsidRDefault="00182A82" w:rsidP="00A475ED">
            <w:pPr>
              <w:pStyle w:val="ARtabletext"/>
            </w:pPr>
            <w:r w:rsidRPr="00182A82">
              <w:t>FRD 22H</w:t>
            </w:r>
          </w:p>
        </w:tc>
        <w:tc>
          <w:tcPr>
            <w:tcW w:w="6520" w:type="dxa"/>
            <w:shd w:val="clear" w:color="auto" w:fill="auto"/>
          </w:tcPr>
          <w:p w14:paraId="74227328" w14:textId="77777777" w:rsidR="00182A82" w:rsidRPr="00182A82" w:rsidRDefault="00182A82" w:rsidP="00A475ED">
            <w:pPr>
              <w:pStyle w:val="ARtabletext"/>
            </w:pPr>
            <w:r w:rsidRPr="00182A82">
              <w:t>Disclosure of ICT expenditure</w:t>
            </w:r>
          </w:p>
        </w:tc>
        <w:tc>
          <w:tcPr>
            <w:tcW w:w="1129" w:type="dxa"/>
            <w:shd w:val="clear" w:color="auto" w:fill="auto"/>
          </w:tcPr>
          <w:p w14:paraId="68A8C2A9" w14:textId="4D0C9204" w:rsidR="00182A82" w:rsidRPr="00182A82" w:rsidRDefault="00E06887" w:rsidP="00A475ED">
            <w:pPr>
              <w:pStyle w:val="ARtabletextright"/>
            </w:pPr>
            <w:r>
              <w:fldChar w:fldCharType="begin"/>
            </w:r>
            <w:r>
              <w:instrText xml:space="preserve"> PAGEREF _Ref178171382 \h </w:instrText>
            </w:r>
            <w:r>
              <w:fldChar w:fldCharType="separate"/>
            </w:r>
            <w:r w:rsidR="002F3676">
              <w:rPr>
                <w:noProof/>
              </w:rPr>
              <w:t>100</w:t>
            </w:r>
            <w:r>
              <w:fldChar w:fldCharType="end"/>
            </w:r>
          </w:p>
        </w:tc>
      </w:tr>
      <w:tr w:rsidR="00182A82" w:rsidRPr="00182A82" w14:paraId="497A0BA0" w14:textId="77777777" w:rsidTr="002542E1">
        <w:trPr>
          <w:cantSplit/>
        </w:trPr>
        <w:tc>
          <w:tcPr>
            <w:tcW w:w="1985" w:type="dxa"/>
            <w:shd w:val="clear" w:color="auto" w:fill="auto"/>
          </w:tcPr>
          <w:p w14:paraId="265663B6" w14:textId="77777777" w:rsidR="00182A82" w:rsidRPr="00182A82" w:rsidRDefault="00182A82" w:rsidP="00A475ED">
            <w:pPr>
              <w:pStyle w:val="ARtabletext"/>
            </w:pPr>
            <w:r w:rsidRPr="00182A82">
              <w:t>FRD 22H</w:t>
            </w:r>
          </w:p>
        </w:tc>
        <w:tc>
          <w:tcPr>
            <w:tcW w:w="6520" w:type="dxa"/>
            <w:shd w:val="clear" w:color="auto" w:fill="auto"/>
          </w:tcPr>
          <w:p w14:paraId="5B3BF3BD" w14:textId="77777777" w:rsidR="00182A82" w:rsidRPr="00182A82" w:rsidRDefault="00182A82" w:rsidP="00A475ED">
            <w:pPr>
              <w:pStyle w:val="ARtabletext"/>
            </w:pPr>
            <w:r w:rsidRPr="00182A82">
              <w:t>Statement of availability of other information</w:t>
            </w:r>
          </w:p>
        </w:tc>
        <w:tc>
          <w:tcPr>
            <w:tcW w:w="1129" w:type="dxa"/>
            <w:shd w:val="clear" w:color="auto" w:fill="auto"/>
          </w:tcPr>
          <w:p w14:paraId="26028376" w14:textId="23846E9C" w:rsidR="00182A82" w:rsidRPr="00182A82" w:rsidRDefault="00656FB8" w:rsidP="00A475ED">
            <w:pPr>
              <w:pStyle w:val="ARtabletextright"/>
            </w:pPr>
            <w:r>
              <w:fldChar w:fldCharType="begin"/>
            </w:r>
            <w:r>
              <w:instrText xml:space="preserve"> PAGEREF _Ref178180915 \h </w:instrText>
            </w:r>
            <w:r>
              <w:fldChar w:fldCharType="separate"/>
            </w:r>
            <w:r w:rsidR="002F3676">
              <w:rPr>
                <w:noProof/>
              </w:rPr>
              <w:t>235</w:t>
            </w:r>
            <w:r>
              <w:fldChar w:fldCharType="end"/>
            </w:r>
          </w:p>
        </w:tc>
      </w:tr>
      <w:tr w:rsidR="00182A82" w:rsidRPr="00182A82" w14:paraId="18888D94" w14:textId="77777777" w:rsidTr="002542E1">
        <w:trPr>
          <w:cantSplit/>
        </w:trPr>
        <w:tc>
          <w:tcPr>
            <w:tcW w:w="1985" w:type="dxa"/>
            <w:shd w:val="clear" w:color="auto" w:fill="auto"/>
          </w:tcPr>
          <w:p w14:paraId="6A1CD715" w14:textId="77777777" w:rsidR="00182A82" w:rsidRPr="00182A82" w:rsidRDefault="00182A82" w:rsidP="00A475ED">
            <w:pPr>
              <w:pStyle w:val="ARtabletext"/>
            </w:pPr>
            <w:r w:rsidRPr="00182A82">
              <w:t>FRD 24D</w:t>
            </w:r>
          </w:p>
        </w:tc>
        <w:tc>
          <w:tcPr>
            <w:tcW w:w="6520" w:type="dxa"/>
            <w:shd w:val="clear" w:color="auto" w:fill="auto"/>
          </w:tcPr>
          <w:p w14:paraId="6F743849" w14:textId="77777777" w:rsidR="00182A82" w:rsidRPr="00182A82" w:rsidRDefault="00182A82" w:rsidP="00A475ED">
            <w:pPr>
              <w:pStyle w:val="ARtabletext"/>
            </w:pPr>
            <w:r w:rsidRPr="00182A82">
              <w:t>Reporting of office-based environmental impacts</w:t>
            </w:r>
          </w:p>
        </w:tc>
        <w:tc>
          <w:tcPr>
            <w:tcW w:w="1129" w:type="dxa"/>
            <w:shd w:val="clear" w:color="auto" w:fill="auto"/>
          </w:tcPr>
          <w:p w14:paraId="58A04BCB" w14:textId="2BAA791C" w:rsidR="00182A82" w:rsidRPr="00182A82" w:rsidRDefault="00355721" w:rsidP="00A475ED">
            <w:pPr>
              <w:pStyle w:val="ARtabletextright"/>
            </w:pPr>
            <w:r>
              <w:fldChar w:fldCharType="begin"/>
            </w:r>
            <w:r>
              <w:instrText xml:space="preserve"> PAGEREF _Ref178663877 \h </w:instrText>
            </w:r>
            <w:r>
              <w:fldChar w:fldCharType="separate"/>
            </w:r>
            <w:r w:rsidR="002F3676">
              <w:rPr>
                <w:noProof/>
              </w:rPr>
              <w:t>124</w:t>
            </w:r>
            <w:r>
              <w:fldChar w:fldCharType="end"/>
            </w:r>
            <w:r w:rsidRPr="00182A82">
              <w:t>–</w:t>
            </w:r>
            <w:r>
              <w:fldChar w:fldCharType="begin"/>
            </w:r>
            <w:r>
              <w:instrText xml:space="preserve"> PAGEREF _Ref178663942 \h </w:instrText>
            </w:r>
            <w:r>
              <w:fldChar w:fldCharType="separate"/>
            </w:r>
            <w:r w:rsidR="002F3676">
              <w:rPr>
                <w:noProof/>
              </w:rPr>
              <w:t>135</w:t>
            </w:r>
            <w:r>
              <w:fldChar w:fldCharType="end"/>
            </w:r>
          </w:p>
        </w:tc>
      </w:tr>
      <w:tr w:rsidR="00182A82" w:rsidRPr="00182A82" w14:paraId="1E45DB71" w14:textId="77777777" w:rsidTr="002542E1">
        <w:trPr>
          <w:cantSplit/>
        </w:trPr>
        <w:tc>
          <w:tcPr>
            <w:tcW w:w="1985" w:type="dxa"/>
            <w:shd w:val="clear" w:color="auto" w:fill="auto"/>
          </w:tcPr>
          <w:p w14:paraId="49AC30A5" w14:textId="77777777" w:rsidR="00182A82" w:rsidRPr="00182A82" w:rsidRDefault="00182A82" w:rsidP="00A475ED">
            <w:pPr>
              <w:pStyle w:val="ARtabletext"/>
            </w:pPr>
            <w:r w:rsidRPr="00182A82">
              <w:t>FRD 25D</w:t>
            </w:r>
          </w:p>
        </w:tc>
        <w:tc>
          <w:tcPr>
            <w:tcW w:w="6520" w:type="dxa"/>
            <w:shd w:val="clear" w:color="auto" w:fill="auto"/>
          </w:tcPr>
          <w:p w14:paraId="6DD30786" w14:textId="77777777" w:rsidR="00182A82" w:rsidRPr="00182A82" w:rsidRDefault="00182A82" w:rsidP="00A475ED">
            <w:pPr>
              <w:pStyle w:val="ARtabletext"/>
            </w:pPr>
            <w:r w:rsidRPr="00182A82">
              <w:t>Local Jobs First</w:t>
            </w:r>
          </w:p>
        </w:tc>
        <w:tc>
          <w:tcPr>
            <w:tcW w:w="1129" w:type="dxa"/>
            <w:shd w:val="clear" w:color="auto" w:fill="auto"/>
          </w:tcPr>
          <w:p w14:paraId="53D49ADC" w14:textId="644BE65F" w:rsidR="00182A82" w:rsidRPr="00182A82" w:rsidRDefault="00423730" w:rsidP="00A475ED">
            <w:pPr>
              <w:pStyle w:val="ARtabletextright"/>
            </w:pPr>
            <w:r>
              <w:fldChar w:fldCharType="begin"/>
            </w:r>
            <w:r>
              <w:instrText xml:space="preserve"> PAGEREF _Ref178181257 \h </w:instrText>
            </w:r>
            <w:r>
              <w:fldChar w:fldCharType="separate"/>
            </w:r>
            <w:r w:rsidR="002F3676">
              <w:rPr>
                <w:noProof/>
              </w:rPr>
              <w:t>93</w:t>
            </w:r>
            <w:r>
              <w:fldChar w:fldCharType="end"/>
            </w:r>
            <w:r w:rsidR="00D10E6A" w:rsidRPr="00182A82">
              <w:t>–</w:t>
            </w:r>
            <w:r w:rsidR="00D10E6A">
              <w:fldChar w:fldCharType="begin"/>
            </w:r>
            <w:r w:rsidR="00D10E6A">
              <w:instrText xml:space="preserve"> PAGEREF _Ref178664015 \h </w:instrText>
            </w:r>
            <w:r w:rsidR="00D10E6A">
              <w:fldChar w:fldCharType="separate"/>
            </w:r>
            <w:r w:rsidR="002F3676">
              <w:rPr>
                <w:noProof/>
              </w:rPr>
              <w:t>94</w:t>
            </w:r>
            <w:r w:rsidR="00D10E6A">
              <w:fldChar w:fldCharType="end"/>
            </w:r>
          </w:p>
        </w:tc>
      </w:tr>
      <w:tr w:rsidR="00182A82" w:rsidRPr="00182A82" w14:paraId="39794E5F" w14:textId="77777777" w:rsidTr="002542E1">
        <w:trPr>
          <w:cantSplit/>
        </w:trPr>
        <w:tc>
          <w:tcPr>
            <w:tcW w:w="1985" w:type="dxa"/>
            <w:shd w:val="clear" w:color="auto" w:fill="auto"/>
          </w:tcPr>
          <w:p w14:paraId="790038A4" w14:textId="77777777" w:rsidR="00182A82" w:rsidRPr="00182A82" w:rsidRDefault="00182A82" w:rsidP="00A475ED">
            <w:pPr>
              <w:pStyle w:val="ARtabletext"/>
            </w:pPr>
            <w:r w:rsidRPr="00182A82">
              <w:t>FRD 29C</w:t>
            </w:r>
          </w:p>
        </w:tc>
        <w:tc>
          <w:tcPr>
            <w:tcW w:w="6520" w:type="dxa"/>
            <w:shd w:val="clear" w:color="auto" w:fill="auto"/>
          </w:tcPr>
          <w:p w14:paraId="1889ED6E" w14:textId="77777777" w:rsidR="00182A82" w:rsidRPr="00182A82" w:rsidRDefault="00182A82" w:rsidP="00A475ED">
            <w:pPr>
              <w:pStyle w:val="ARtabletext"/>
            </w:pPr>
            <w:r w:rsidRPr="00182A82">
              <w:t>Workforce data disclosures</w:t>
            </w:r>
          </w:p>
        </w:tc>
        <w:tc>
          <w:tcPr>
            <w:tcW w:w="1129" w:type="dxa"/>
            <w:shd w:val="clear" w:color="auto" w:fill="auto"/>
          </w:tcPr>
          <w:p w14:paraId="7E66668E" w14:textId="77A9AAB8" w:rsidR="00182A82" w:rsidRPr="00182A82" w:rsidRDefault="002C2D59" w:rsidP="00A475ED">
            <w:pPr>
              <w:pStyle w:val="ARtabletextright"/>
            </w:pPr>
            <w:r>
              <w:fldChar w:fldCharType="begin"/>
            </w:r>
            <w:r>
              <w:instrText xml:space="preserve"> PAGEREF _Ref178181983 \h </w:instrText>
            </w:r>
            <w:r>
              <w:fldChar w:fldCharType="separate"/>
            </w:r>
            <w:r w:rsidR="002F3676">
              <w:rPr>
                <w:noProof/>
              </w:rPr>
              <w:t>82</w:t>
            </w:r>
            <w:r>
              <w:fldChar w:fldCharType="end"/>
            </w:r>
            <w:r w:rsidR="00D10E6A" w:rsidRPr="00182A82">
              <w:t>–</w:t>
            </w:r>
            <w:r w:rsidR="00D10E6A">
              <w:fldChar w:fldCharType="begin"/>
            </w:r>
            <w:r w:rsidR="00D10E6A">
              <w:instrText xml:space="preserve"> PAGEREF _Ref178174129 \h </w:instrText>
            </w:r>
            <w:r w:rsidR="00D10E6A">
              <w:fldChar w:fldCharType="separate"/>
            </w:r>
            <w:r w:rsidR="002F3676">
              <w:rPr>
                <w:noProof/>
              </w:rPr>
              <w:t>86</w:t>
            </w:r>
            <w:r w:rsidR="00D10E6A">
              <w:fldChar w:fldCharType="end"/>
            </w:r>
          </w:p>
        </w:tc>
      </w:tr>
      <w:tr w:rsidR="00182A82" w:rsidRPr="00182A82" w14:paraId="5BFA14D2" w14:textId="77777777" w:rsidTr="002542E1">
        <w:trPr>
          <w:cantSplit/>
        </w:trPr>
        <w:tc>
          <w:tcPr>
            <w:tcW w:w="1985" w:type="dxa"/>
            <w:shd w:val="clear" w:color="auto" w:fill="auto"/>
          </w:tcPr>
          <w:p w14:paraId="7DC064DB" w14:textId="77777777" w:rsidR="00182A82" w:rsidRPr="00182A82" w:rsidRDefault="00182A82" w:rsidP="00A475ED">
            <w:pPr>
              <w:pStyle w:val="ARtabletext"/>
            </w:pPr>
            <w:r w:rsidRPr="00182A82">
              <w:t>SD 5.2</w:t>
            </w:r>
          </w:p>
        </w:tc>
        <w:tc>
          <w:tcPr>
            <w:tcW w:w="6520" w:type="dxa"/>
            <w:shd w:val="clear" w:color="auto" w:fill="auto"/>
          </w:tcPr>
          <w:p w14:paraId="58EA174C" w14:textId="77777777" w:rsidR="00182A82" w:rsidRPr="00182A82" w:rsidRDefault="00182A82" w:rsidP="00A475ED">
            <w:pPr>
              <w:pStyle w:val="ARtabletext"/>
            </w:pPr>
            <w:r w:rsidRPr="00182A82">
              <w:t>Specific requirements under Standing Direction 5.2</w:t>
            </w:r>
          </w:p>
        </w:tc>
        <w:tc>
          <w:tcPr>
            <w:tcW w:w="1129" w:type="dxa"/>
            <w:shd w:val="clear" w:color="auto" w:fill="auto"/>
          </w:tcPr>
          <w:p w14:paraId="278CB4A0" w14:textId="0ACC8551" w:rsidR="00182A82" w:rsidRPr="00182A82" w:rsidRDefault="00D10E6A" w:rsidP="00A475ED">
            <w:pPr>
              <w:pStyle w:val="ARtabletextright"/>
            </w:pPr>
            <w:r>
              <w:fldChar w:fldCharType="begin"/>
            </w:r>
            <w:r>
              <w:instrText xml:space="preserve"> PAGEREF Page2 \h </w:instrText>
            </w:r>
            <w:r>
              <w:fldChar w:fldCharType="separate"/>
            </w:r>
            <w:r w:rsidR="002F3676">
              <w:rPr>
                <w:noProof/>
              </w:rPr>
              <w:t>2</w:t>
            </w:r>
            <w:r>
              <w:fldChar w:fldCharType="end"/>
            </w:r>
          </w:p>
        </w:tc>
      </w:tr>
      <w:tr w:rsidR="00182A82" w:rsidRPr="00182A82" w14:paraId="55E4DA16" w14:textId="77777777" w:rsidTr="002542E1">
        <w:trPr>
          <w:cantSplit/>
        </w:trPr>
        <w:tc>
          <w:tcPr>
            <w:tcW w:w="9634" w:type="dxa"/>
            <w:gridSpan w:val="3"/>
            <w:tcBorders>
              <w:bottom w:val="nil"/>
            </w:tcBorders>
            <w:shd w:val="clear" w:color="auto" w:fill="auto"/>
          </w:tcPr>
          <w:p w14:paraId="23FDAD0F" w14:textId="77777777" w:rsidR="00182A82" w:rsidRPr="00182A82" w:rsidRDefault="00182A82" w:rsidP="00A475ED">
            <w:pPr>
              <w:pStyle w:val="ARtabletextbold"/>
            </w:pPr>
            <w:r w:rsidRPr="00182A82">
              <w:t>Compliance attestation and declaration</w:t>
            </w:r>
          </w:p>
        </w:tc>
      </w:tr>
      <w:tr w:rsidR="00182A82" w:rsidRPr="00182A82" w14:paraId="5F0A26ED" w14:textId="77777777" w:rsidTr="002542E1">
        <w:trPr>
          <w:cantSplit/>
        </w:trPr>
        <w:tc>
          <w:tcPr>
            <w:tcW w:w="1985" w:type="dxa"/>
            <w:tcBorders>
              <w:top w:val="nil"/>
            </w:tcBorders>
            <w:shd w:val="clear" w:color="auto" w:fill="auto"/>
          </w:tcPr>
          <w:p w14:paraId="478F5C54" w14:textId="77777777" w:rsidR="00182A82" w:rsidRPr="00182A82" w:rsidRDefault="00182A82" w:rsidP="00A475ED">
            <w:pPr>
              <w:pStyle w:val="ARtabletext"/>
            </w:pPr>
            <w:r w:rsidRPr="00182A82">
              <w:t>SD 5.4.1</w:t>
            </w:r>
          </w:p>
        </w:tc>
        <w:tc>
          <w:tcPr>
            <w:tcW w:w="6520" w:type="dxa"/>
            <w:tcBorders>
              <w:top w:val="nil"/>
            </w:tcBorders>
            <w:shd w:val="clear" w:color="auto" w:fill="auto"/>
          </w:tcPr>
          <w:p w14:paraId="61D5D04A" w14:textId="77777777" w:rsidR="00182A82" w:rsidRPr="00182A82" w:rsidRDefault="00182A82" w:rsidP="00A475ED">
            <w:pPr>
              <w:pStyle w:val="ARtabletext"/>
            </w:pPr>
            <w:r w:rsidRPr="00182A82">
              <w:t>Attestation for compliance with Ministerial Standing Direction</w:t>
            </w:r>
          </w:p>
        </w:tc>
        <w:tc>
          <w:tcPr>
            <w:tcW w:w="1129" w:type="dxa"/>
            <w:tcBorders>
              <w:top w:val="nil"/>
            </w:tcBorders>
            <w:shd w:val="clear" w:color="auto" w:fill="auto"/>
          </w:tcPr>
          <w:p w14:paraId="62A4958D" w14:textId="589EA4FE" w:rsidR="00182A82" w:rsidRPr="00182A82" w:rsidRDefault="005D4937" w:rsidP="00A475ED">
            <w:pPr>
              <w:pStyle w:val="ARtabletextright"/>
            </w:pPr>
            <w:r>
              <w:fldChar w:fldCharType="begin"/>
            </w:r>
            <w:r>
              <w:instrText xml:space="preserve"> PAGEREF _Ref178240537 \h </w:instrText>
            </w:r>
            <w:r>
              <w:fldChar w:fldCharType="separate"/>
            </w:r>
            <w:r w:rsidR="002F3676">
              <w:rPr>
                <w:noProof/>
              </w:rPr>
              <w:t>136</w:t>
            </w:r>
            <w:r>
              <w:fldChar w:fldCharType="end"/>
            </w:r>
            <w:r w:rsidR="00AD3199" w:rsidRPr="00182A82">
              <w:t xml:space="preserve"> </w:t>
            </w:r>
          </w:p>
        </w:tc>
      </w:tr>
      <w:tr w:rsidR="00182A82" w:rsidRPr="00182A82" w14:paraId="13F9A445" w14:textId="77777777" w:rsidTr="002542E1">
        <w:trPr>
          <w:cantSplit/>
        </w:trPr>
        <w:tc>
          <w:tcPr>
            <w:tcW w:w="1985" w:type="dxa"/>
            <w:shd w:val="clear" w:color="auto" w:fill="auto"/>
          </w:tcPr>
          <w:p w14:paraId="238430BC" w14:textId="77777777" w:rsidR="00182A82" w:rsidRPr="00182A82" w:rsidRDefault="00182A82" w:rsidP="00A475ED">
            <w:pPr>
              <w:pStyle w:val="ARtabletext"/>
            </w:pPr>
            <w:r w:rsidRPr="00182A82">
              <w:t>SD 5.2.3</w:t>
            </w:r>
          </w:p>
        </w:tc>
        <w:tc>
          <w:tcPr>
            <w:tcW w:w="6520" w:type="dxa"/>
            <w:shd w:val="clear" w:color="auto" w:fill="auto"/>
          </w:tcPr>
          <w:p w14:paraId="214E5F96" w14:textId="77777777" w:rsidR="00182A82" w:rsidRPr="00182A82" w:rsidRDefault="00182A82" w:rsidP="00A475ED">
            <w:pPr>
              <w:pStyle w:val="ARtabletext"/>
            </w:pPr>
            <w:r w:rsidRPr="00182A82">
              <w:t>Declaration in report of operations</w:t>
            </w:r>
          </w:p>
        </w:tc>
        <w:tc>
          <w:tcPr>
            <w:tcW w:w="1129" w:type="dxa"/>
            <w:shd w:val="clear" w:color="auto" w:fill="auto"/>
          </w:tcPr>
          <w:p w14:paraId="56B5B550" w14:textId="1B36CCFA" w:rsidR="00182A82" w:rsidRPr="00182A82" w:rsidRDefault="005D4937" w:rsidP="00A475ED">
            <w:pPr>
              <w:pStyle w:val="ARtabletextright"/>
            </w:pPr>
            <w:r>
              <w:fldChar w:fldCharType="begin"/>
            </w:r>
            <w:r>
              <w:instrText xml:space="preserve"> PAGEREF _Ref178664362 \h </w:instrText>
            </w:r>
            <w:r>
              <w:fldChar w:fldCharType="separate"/>
            </w:r>
            <w:r w:rsidR="002F3676">
              <w:rPr>
                <w:noProof/>
              </w:rPr>
              <w:t>3</w:t>
            </w:r>
            <w:r>
              <w:fldChar w:fldCharType="end"/>
            </w:r>
          </w:p>
        </w:tc>
      </w:tr>
    </w:tbl>
    <w:p w14:paraId="6B1F9540" w14:textId="77777777" w:rsidR="00182A82" w:rsidRPr="00182A82" w:rsidRDefault="00182A82" w:rsidP="00182A82">
      <w:pPr>
        <w:pStyle w:val="Heading3"/>
      </w:pPr>
      <w:bookmarkStart w:id="330" w:name="_Toc462577211"/>
      <w:bookmarkStart w:id="331" w:name="_Toc520974735"/>
      <w:bookmarkStart w:id="332" w:name="_Toc50998473"/>
      <w:bookmarkStart w:id="333" w:name="_Ref52282887"/>
      <w:bookmarkStart w:id="334" w:name="_Toc110778209"/>
      <w:r w:rsidRPr="00182A82">
        <w:t>Financial report</w:t>
      </w:r>
      <w:bookmarkEnd w:id="330"/>
      <w:bookmarkEnd w:id="331"/>
      <w:bookmarkEnd w:id="332"/>
      <w:bookmarkEnd w:id="333"/>
      <w:bookmarkEnd w:id="334"/>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985"/>
        <w:gridCol w:w="6374"/>
        <w:gridCol w:w="1280"/>
      </w:tblGrid>
      <w:tr w:rsidR="00182A82" w:rsidRPr="00182A82" w14:paraId="13732D35" w14:textId="77777777" w:rsidTr="00DC7991">
        <w:trPr>
          <w:cantSplit/>
          <w:tblHeader/>
        </w:trPr>
        <w:tc>
          <w:tcPr>
            <w:tcW w:w="1985" w:type="dxa"/>
            <w:tcBorders>
              <w:top w:val="nil"/>
            </w:tcBorders>
            <w:shd w:val="clear" w:color="auto" w:fill="auto"/>
            <w:vAlign w:val="bottom"/>
          </w:tcPr>
          <w:p w14:paraId="35AD9C35" w14:textId="77777777" w:rsidR="00182A82" w:rsidRPr="00182A82" w:rsidRDefault="00182A82" w:rsidP="00182A82">
            <w:pPr>
              <w:pStyle w:val="ARtablecolhead"/>
            </w:pPr>
            <w:r w:rsidRPr="00182A82">
              <w:t>Ministerial directions</w:t>
            </w:r>
          </w:p>
        </w:tc>
        <w:tc>
          <w:tcPr>
            <w:tcW w:w="6374" w:type="dxa"/>
            <w:tcBorders>
              <w:top w:val="nil"/>
            </w:tcBorders>
            <w:shd w:val="clear" w:color="auto" w:fill="auto"/>
            <w:vAlign w:val="bottom"/>
          </w:tcPr>
          <w:p w14:paraId="604E5CB7" w14:textId="77777777" w:rsidR="00182A82" w:rsidRPr="00182A82" w:rsidRDefault="00182A82" w:rsidP="00A475ED">
            <w:pPr>
              <w:pStyle w:val="ARtablecolhead"/>
            </w:pPr>
            <w:r w:rsidRPr="00182A82">
              <w:t>Requirement</w:t>
            </w:r>
          </w:p>
        </w:tc>
        <w:tc>
          <w:tcPr>
            <w:tcW w:w="1280" w:type="dxa"/>
            <w:tcBorders>
              <w:top w:val="nil"/>
            </w:tcBorders>
            <w:shd w:val="clear" w:color="auto" w:fill="auto"/>
            <w:vAlign w:val="bottom"/>
          </w:tcPr>
          <w:p w14:paraId="3947D2EA" w14:textId="77777777" w:rsidR="00182A82" w:rsidRPr="00182A82" w:rsidRDefault="00182A82" w:rsidP="00A475ED">
            <w:pPr>
              <w:pStyle w:val="ARtablecolheadright"/>
            </w:pPr>
            <w:r w:rsidRPr="00182A82">
              <w:t>Page</w:t>
            </w:r>
          </w:p>
        </w:tc>
      </w:tr>
      <w:tr w:rsidR="00182A82" w:rsidRPr="00182A82" w14:paraId="64260F67" w14:textId="77777777" w:rsidTr="00DC7991">
        <w:tc>
          <w:tcPr>
            <w:tcW w:w="9639" w:type="dxa"/>
            <w:gridSpan w:val="3"/>
            <w:tcBorders>
              <w:bottom w:val="nil"/>
            </w:tcBorders>
            <w:shd w:val="clear" w:color="auto" w:fill="auto"/>
          </w:tcPr>
          <w:p w14:paraId="449A07B2" w14:textId="77777777" w:rsidR="00182A82" w:rsidRPr="00182A82" w:rsidRDefault="00182A82" w:rsidP="00A475ED">
            <w:pPr>
              <w:pStyle w:val="ARtabletextbold"/>
            </w:pPr>
            <w:r w:rsidRPr="00182A82">
              <w:t>Declaration</w:t>
            </w:r>
          </w:p>
        </w:tc>
      </w:tr>
      <w:tr w:rsidR="00182A82" w:rsidRPr="00182A82" w14:paraId="037BF1B0" w14:textId="77777777" w:rsidTr="00DC7991">
        <w:tc>
          <w:tcPr>
            <w:tcW w:w="1985" w:type="dxa"/>
            <w:tcBorders>
              <w:top w:val="nil"/>
              <w:bottom w:val="single" w:sz="4" w:space="0" w:color="auto"/>
            </w:tcBorders>
            <w:shd w:val="clear" w:color="auto" w:fill="auto"/>
          </w:tcPr>
          <w:p w14:paraId="2329D729" w14:textId="77777777" w:rsidR="00182A82" w:rsidRPr="00182A82" w:rsidRDefault="00182A82" w:rsidP="00A475ED">
            <w:pPr>
              <w:pStyle w:val="ARtabletext"/>
            </w:pPr>
            <w:r w:rsidRPr="00182A82">
              <w:t>SD 5.2.2</w:t>
            </w:r>
          </w:p>
        </w:tc>
        <w:tc>
          <w:tcPr>
            <w:tcW w:w="6374" w:type="dxa"/>
            <w:tcBorders>
              <w:top w:val="nil"/>
              <w:bottom w:val="single" w:sz="4" w:space="0" w:color="auto"/>
            </w:tcBorders>
            <w:shd w:val="clear" w:color="auto" w:fill="auto"/>
          </w:tcPr>
          <w:p w14:paraId="172FF339" w14:textId="77777777" w:rsidR="00182A82" w:rsidRPr="00182A82" w:rsidRDefault="00182A82" w:rsidP="00A475ED">
            <w:pPr>
              <w:pStyle w:val="ARtabletext"/>
            </w:pPr>
            <w:r w:rsidRPr="00182A82">
              <w:t>Declaration in financial statements</w:t>
            </w:r>
          </w:p>
        </w:tc>
        <w:tc>
          <w:tcPr>
            <w:tcW w:w="1280" w:type="dxa"/>
            <w:tcBorders>
              <w:top w:val="nil"/>
              <w:bottom w:val="single" w:sz="4" w:space="0" w:color="auto"/>
            </w:tcBorders>
            <w:shd w:val="clear" w:color="auto" w:fill="auto"/>
          </w:tcPr>
          <w:p w14:paraId="25929572" w14:textId="76ED2F3C" w:rsidR="00182A82" w:rsidRPr="00182A82" w:rsidRDefault="00A141B9" w:rsidP="00A475ED">
            <w:pPr>
              <w:pStyle w:val="ARtabletextright"/>
            </w:pPr>
            <w:r>
              <w:fldChar w:fldCharType="begin"/>
            </w:r>
            <w:r>
              <w:instrText xml:space="preserve"> PAGEREF Declarationinthefinancialstatements \h </w:instrText>
            </w:r>
            <w:r>
              <w:fldChar w:fldCharType="separate"/>
            </w:r>
            <w:r w:rsidR="002F3676">
              <w:rPr>
                <w:noProof/>
              </w:rPr>
              <w:t>138</w:t>
            </w:r>
            <w:r>
              <w:fldChar w:fldCharType="end"/>
            </w:r>
          </w:p>
        </w:tc>
      </w:tr>
      <w:tr w:rsidR="00182A82" w:rsidRPr="00182A82" w14:paraId="4F838985" w14:textId="77777777" w:rsidTr="00DC7991">
        <w:tc>
          <w:tcPr>
            <w:tcW w:w="9639" w:type="dxa"/>
            <w:gridSpan w:val="3"/>
            <w:tcBorders>
              <w:top w:val="single" w:sz="4" w:space="0" w:color="auto"/>
              <w:bottom w:val="nil"/>
            </w:tcBorders>
            <w:shd w:val="clear" w:color="auto" w:fill="auto"/>
          </w:tcPr>
          <w:p w14:paraId="44F3940D" w14:textId="77777777" w:rsidR="00182A82" w:rsidRPr="00182A82" w:rsidRDefault="00182A82" w:rsidP="00A475ED">
            <w:pPr>
              <w:pStyle w:val="ARtabletextbold"/>
            </w:pPr>
            <w:r w:rsidRPr="00182A82">
              <w:t>Other requirements under Standing Directions 5.2</w:t>
            </w:r>
          </w:p>
        </w:tc>
      </w:tr>
      <w:tr w:rsidR="00182A82" w:rsidRPr="00182A82" w14:paraId="64D82F93" w14:textId="77777777" w:rsidTr="00DC7991">
        <w:tc>
          <w:tcPr>
            <w:tcW w:w="1985" w:type="dxa"/>
            <w:tcBorders>
              <w:top w:val="nil"/>
            </w:tcBorders>
            <w:shd w:val="clear" w:color="auto" w:fill="auto"/>
          </w:tcPr>
          <w:p w14:paraId="043F8225" w14:textId="77777777" w:rsidR="00182A82" w:rsidRPr="00182A82" w:rsidRDefault="00182A82" w:rsidP="00A475ED">
            <w:pPr>
              <w:pStyle w:val="ARtabletext"/>
            </w:pPr>
            <w:r w:rsidRPr="00182A82">
              <w:t>SD 5.2.1(a)</w:t>
            </w:r>
          </w:p>
        </w:tc>
        <w:tc>
          <w:tcPr>
            <w:tcW w:w="6374" w:type="dxa"/>
            <w:tcBorders>
              <w:top w:val="nil"/>
            </w:tcBorders>
            <w:shd w:val="clear" w:color="auto" w:fill="auto"/>
          </w:tcPr>
          <w:p w14:paraId="13707C38" w14:textId="12E3D6F4" w:rsidR="00182A82" w:rsidRPr="00182A82" w:rsidRDefault="00182A82" w:rsidP="00A475ED">
            <w:pPr>
              <w:pStyle w:val="ARtabletext"/>
            </w:pPr>
            <w:r w:rsidRPr="00182A82">
              <w:t>Compliance with Australian accounting standards and other authoritative</w:t>
            </w:r>
            <w:r w:rsidR="004C1C08">
              <w:t> </w:t>
            </w:r>
            <w:r w:rsidRPr="00182A82">
              <w:t>pronouncements</w:t>
            </w:r>
          </w:p>
        </w:tc>
        <w:tc>
          <w:tcPr>
            <w:tcW w:w="1280" w:type="dxa"/>
            <w:tcBorders>
              <w:top w:val="nil"/>
            </w:tcBorders>
            <w:shd w:val="clear" w:color="auto" w:fill="auto"/>
          </w:tcPr>
          <w:p w14:paraId="5D5A1B5A" w14:textId="3EDC8A84" w:rsidR="00182A82" w:rsidRPr="00182A82" w:rsidRDefault="00A141B9" w:rsidP="00A475ED">
            <w:pPr>
              <w:pStyle w:val="ARtabletextright"/>
            </w:pPr>
            <w:r>
              <w:fldChar w:fldCharType="begin"/>
            </w:r>
            <w:r>
              <w:instrText xml:space="preserve"> PAGEREF Declarationinthefinancialstatements \h </w:instrText>
            </w:r>
            <w:r>
              <w:fldChar w:fldCharType="separate"/>
            </w:r>
            <w:r w:rsidR="002F3676">
              <w:rPr>
                <w:noProof/>
              </w:rPr>
              <w:t>138</w:t>
            </w:r>
            <w:r>
              <w:fldChar w:fldCharType="end"/>
            </w:r>
          </w:p>
        </w:tc>
      </w:tr>
      <w:tr w:rsidR="00182A82" w:rsidRPr="00182A82" w14:paraId="31B5CE24" w14:textId="77777777" w:rsidTr="00DC7991">
        <w:tc>
          <w:tcPr>
            <w:tcW w:w="1985" w:type="dxa"/>
            <w:shd w:val="clear" w:color="auto" w:fill="auto"/>
          </w:tcPr>
          <w:p w14:paraId="54A5F91C" w14:textId="77777777" w:rsidR="00182A82" w:rsidRPr="00182A82" w:rsidRDefault="00182A82" w:rsidP="00A475ED">
            <w:pPr>
              <w:pStyle w:val="ARtabletext"/>
            </w:pPr>
            <w:r w:rsidRPr="00182A82">
              <w:t>SD 5.2.1(a)</w:t>
            </w:r>
          </w:p>
        </w:tc>
        <w:tc>
          <w:tcPr>
            <w:tcW w:w="6374" w:type="dxa"/>
            <w:shd w:val="clear" w:color="auto" w:fill="auto"/>
          </w:tcPr>
          <w:p w14:paraId="7E5297C9" w14:textId="77777777" w:rsidR="00182A82" w:rsidRPr="00182A82" w:rsidRDefault="00182A82" w:rsidP="00A475ED">
            <w:pPr>
              <w:pStyle w:val="ARtabletext"/>
            </w:pPr>
            <w:r w:rsidRPr="00182A82">
              <w:t>Compliance with Standing Directions</w:t>
            </w:r>
          </w:p>
        </w:tc>
        <w:tc>
          <w:tcPr>
            <w:tcW w:w="1280" w:type="dxa"/>
            <w:shd w:val="clear" w:color="auto" w:fill="auto"/>
          </w:tcPr>
          <w:p w14:paraId="4195FA72" w14:textId="6D895BDC" w:rsidR="00182A82" w:rsidRPr="00182A82" w:rsidRDefault="002F1ED0" w:rsidP="00A475ED">
            <w:pPr>
              <w:pStyle w:val="ARtabletextright"/>
            </w:pPr>
            <w:r>
              <w:fldChar w:fldCharType="begin"/>
            </w:r>
            <w:r>
              <w:instrText xml:space="preserve"> PAGEREF Declarationinthefinancialstatements \h </w:instrText>
            </w:r>
            <w:r>
              <w:fldChar w:fldCharType="separate"/>
            </w:r>
            <w:r w:rsidR="002F3676">
              <w:rPr>
                <w:noProof/>
              </w:rPr>
              <w:t>138</w:t>
            </w:r>
            <w:r>
              <w:fldChar w:fldCharType="end"/>
            </w:r>
          </w:p>
        </w:tc>
      </w:tr>
      <w:tr w:rsidR="00182A82" w:rsidRPr="00182A82" w14:paraId="2B28EF3C" w14:textId="77777777" w:rsidTr="00DC7991">
        <w:tc>
          <w:tcPr>
            <w:tcW w:w="1985" w:type="dxa"/>
            <w:tcBorders>
              <w:bottom w:val="single" w:sz="4" w:space="0" w:color="auto"/>
            </w:tcBorders>
            <w:shd w:val="clear" w:color="auto" w:fill="auto"/>
          </w:tcPr>
          <w:p w14:paraId="26B2160B" w14:textId="77777777" w:rsidR="00182A82" w:rsidRPr="00182A82" w:rsidRDefault="00182A82" w:rsidP="00A475ED">
            <w:pPr>
              <w:pStyle w:val="ARtabletext"/>
            </w:pPr>
            <w:r w:rsidRPr="00182A82">
              <w:t>SD 5.2.1(b)</w:t>
            </w:r>
          </w:p>
        </w:tc>
        <w:tc>
          <w:tcPr>
            <w:tcW w:w="6374" w:type="dxa"/>
            <w:tcBorders>
              <w:bottom w:val="single" w:sz="4" w:space="0" w:color="auto"/>
            </w:tcBorders>
            <w:shd w:val="clear" w:color="auto" w:fill="auto"/>
          </w:tcPr>
          <w:p w14:paraId="19046B1B" w14:textId="77777777" w:rsidR="00182A82" w:rsidRPr="00182A82" w:rsidRDefault="00182A82" w:rsidP="00A475ED">
            <w:pPr>
              <w:pStyle w:val="ARtabletext"/>
            </w:pPr>
            <w:r w:rsidRPr="00182A82">
              <w:t>Compliance with Model Financial Report</w:t>
            </w:r>
          </w:p>
        </w:tc>
        <w:tc>
          <w:tcPr>
            <w:tcW w:w="1280" w:type="dxa"/>
            <w:tcBorders>
              <w:bottom w:val="single" w:sz="4" w:space="0" w:color="auto"/>
            </w:tcBorders>
            <w:shd w:val="clear" w:color="auto" w:fill="auto"/>
          </w:tcPr>
          <w:p w14:paraId="598DACBF" w14:textId="1A2F18B9" w:rsidR="00182A82" w:rsidRPr="00182A82" w:rsidRDefault="002F1ED0" w:rsidP="00A475ED">
            <w:pPr>
              <w:pStyle w:val="ARtabletextright"/>
            </w:pPr>
            <w:r>
              <w:fldChar w:fldCharType="begin"/>
            </w:r>
            <w:r>
              <w:instrText xml:space="preserve"> PAGEREF Declarationinthefinancialstatements \h </w:instrText>
            </w:r>
            <w:r>
              <w:fldChar w:fldCharType="separate"/>
            </w:r>
            <w:r w:rsidR="002F3676">
              <w:rPr>
                <w:noProof/>
              </w:rPr>
              <w:t>138</w:t>
            </w:r>
            <w:r>
              <w:fldChar w:fldCharType="end"/>
            </w:r>
          </w:p>
        </w:tc>
      </w:tr>
      <w:tr w:rsidR="00182A82" w:rsidRPr="00182A82" w14:paraId="184DD22A" w14:textId="77777777" w:rsidTr="00DC7991">
        <w:tc>
          <w:tcPr>
            <w:tcW w:w="9639" w:type="dxa"/>
            <w:gridSpan w:val="3"/>
            <w:tcBorders>
              <w:top w:val="single" w:sz="4" w:space="0" w:color="auto"/>
              <w:bottom w:val="nil"/>
            </w:tcBorders>
            <w:shd w:val="clear" w:color="auto" w:fill="auto"/>
          </w:tcPr>
          <w:p w14:paraId="5C6E8E16" w14:textId="77777777" w:rsidR="00182A82" w:rsidRPr="00182A82" w:rsidRDefault="00182A82" w:rsidP="00A475ED">
            <w:pPr>
              <w:pStyle w:val="ARtabletextbold"/>
            </w:pPr>
            <w:r w:rsidRPr="00182A82">
              <w:t xml:space="preserve">Other requirements as required by FRDs in notes to the financial statements </w:t>
            </w:r>
            <w:r w:rsidRPr="00182A82">
              <w:rPr>
                <w:rStyle w:val="FootnoteReference"/>
              </w:rPr>
              <w:footnoteReference w:id="28"/>
            </w:r>
          </w:p>
        </w:tc>
      </w:tr>
      <w:tr w:rsidR="00182A82" w:rsidRPr="00182A82" w14:paraId="52BAEE7F" w14:textId="77777777" w:rsidTr="00DC7991">
        <w:tc>
          <w:tcPr>
            <w:tcW w:w="1985" w:type="dxa"/>
            <w:tcBorders>
              <w:top w:val="nil"/>
            </w:tcBorders>
            <w:shd w:val="clear" w:color="auto" w:fill="auto"/>
          </w:tcPr>
          <w:p w14:paraId="7C844582" w14:textId="77777777" w:rsidR="00182A82" w:rsidRPr="00182A82" w:rsidRDefault="00182A82" w:rsidP="00A475ED">
            <w:pPr>
              <w:pStyle w:val="ARtabletext"/>
            </w:pPr>
            <w:r w:rsidRPr="00182A82">
              <w:t>FRD 9B</w:t>
            </w:r>
          </w:p>
        </w:tc>
        <w:tc>
          <w:tcPr>
            <w:tcW w:w="6374" w:type="dxa"/>
            <w:tcBorders>
              <w:top w:val="nil"/>
            </w:tcBorders>
            <w:shd w:val="clear" w:color="auto" w:fill="auto"/>
          </w:tcPr>
          <w:p w14:paraId="796B8B87" w14:textId="77777777" w:rsidR="00182A82" w:rsidRPr="00182A82" w:rsidRDefault="00182A82" w:rsidP="00A475ED">
            <w:pPr>
              <w:pStyle w:val="ARtabletext"/>
            </w:pPr>
            <w:r w:rsidRPr="00182A82">
              <w:t>Departmental disclosure of administered assets and liabilities by activity</w:t>
            </w:r>
          </w:p>
        </w:tc>
        <w:tc>
          <w:tcPr>
            <w:tcW w:w="1280" w:type="dxa"/>
            <w:tcBorders>
              <w:top w:val="nil"/>
            </w:tcBorders>
            <w:shd w:val="clear" w:color="auto" w:fill="auto"/>
          </w:tcPr>
          <w:p w14:paraId="2DD4AB43" w14:textId="38309579" w:rsidR="00182A82" w:rsidRPr="00182A82" w:rsidRDefault="002F1ED0" w:rsidP="00A475ED">
            <w:pPr>
              <w:pStyle w:val="ARtabletextright"/>
            </w:pPr>
            <w:r>
              <w:fldChar w:fldCharType="begin"/>
            </w:r>
            <w:r>
              <w:instrText xml:space="preserve"> PAGEREF _Ref178664838 \h </w:instrText>
            </w:r>
            <w:r>
              <w:fldChar w:fldCharType="separate"/>
            </w:r>
            <w:r w:rsidR="002F3676">
              <w:rPr>
                <w:noProof/>
              </w:rPr>
              <w:t>147</w:t>
            </w:r>
            <w:r>
              <w:fldChar w:fldCharType="end"/>
            </w:r>
          </w:p>
        </w:tc>
      </w:tr>
      <w:tr w:rsidR="00182A82" w:rsidRPr="00182A82" w14:paraId="10A1376A" w14:textId="77777777" w:rsidTr="00DC7991">
        <w:trPr>
          <w:trHeight w:val="239"/>
        </w:trPr>
        <w:tc>
          <w:tcPr>
            <w:tcW w:w="1985" w:type="dxa"/>
            <w:shd w:val="clear" w:color="auto" w:fill="auto"/>
          </w:tcPr>
          <w:p w14:paraId="685C7113" w14:textId="77777777" w:rsidR="00182A82" w:rsidRPr="00182A82" w:rsidRDefault="00182A82" w:rsidP="00A475ED">
            <w:pPr>
              <w:pStyle w:val="ARtabletext"/>
            </w:pPr>
            <w:r w:rsidRPr="00182A82">
              <w:t>FRD 11A</w:t>
            </w:r>
          </w:p>
        </w:tc>
        <w:tc>
          <w:tcPr>
            <w:tcW w:w="6374" w:type="dxa"/>
            <w:shd w:val="clear" w:color="auto" w:fill="auto"/>
          </w:tcPr>
          <w:p w14:paraId="3D6AD82B" w14:textId="77777777" w:rsidR="00182A82" w:rsidRPr="00182A82" w:rsidRDefault="00182A82" w:rsidP="00A475ED">
            <w:pPr>
              <w:pStyle w:val="ARtabletext"/>
            </w:pPr>
            <w:r w:rsidRPr="00182A82">
              <w:t>Disclosure of ex gratia expenses</w:t>
            </w:r>
          </w:p>
        </w:tc>
        <w:tc>
          <w:tcPr>
            <w:tcW w:w="1280" w:type="dxa"/>
            <w:shd w:val="clear" w:color="auto" w:fill="auto"/>
          </w:tcPr>
          <w:p w14:paraId="46F3C389" w14:textId="3780DC83" w:rsidR="00182A82" w:rsidRPr="00182A82" w:rsidRDefault="004060D7" w:rsidP="00A475ED">
            <w:pPr>
              <w:pStyle w:val="ARtabletextright"/>
            </w:pPr>
            <w:r>
              <w:fldChar w:fldCharType="begin"/>
            </w:r>
            <w:r>
              <w:instrText xml:space="preserve"> PAGEREF _Ref178239140 \h </w:instrText>
            </w:r>
            <w:r>
              <w:fldChar w:fldCharType="separate"/>
            </w:r>
            <w:r w:rsidR="002F3676">
              <w:rPr>
                <w:noProof/>
              </w:rPr>
              <w:t>202</w:t>
            </w:r>
            <w:r>
              <w:fldChar w:fldCharType="end"/>
            </w:r>
          </w:p>
        </w:tc>
      </w:tr>
      <w:tr w:rsidR="00182A82" w:rsidRPr="00182A82" w14:paraId="292CD428" w14:textId="77777777" w:rsidTr="00DC7991">
        <w:tc>
          <w:tcPr>
            <w:tcW w:w="1985" w:type="dxa"/>
            <w:shd w:val="clear" w:color="auto" w:fill="auto"/>
          </w:tcPr>
          <w:p w14:paraId="13D78C6A" w14:textId="77777777" w:rsidR="00182A82" w:rsidRPr="00182A82" w:rsidRDefault="00182A82" w:rsidP="00A475ED">
            <w:pPr>
              <w:pStyle w:val="ARtabletext"/>
            </w:pPr>
            <w:r w:rsidRPr="00182A82">
              <w:t>FRD 13</w:t>
            </w:r>
          </w:p>
        </w:tc>
        <w:tc>
          <w:tcPr>
            <w:tcW w:w="6374" w:type="dxa"/>
            <w:shd w:val="clear" w:color="auto" w:fill="auto"/>
          </w:tcPr>
          <w:p w14:paraId="4F328D1B" w14:textId="6D4720D0" w:rsidR="00182A82" w:rsidRPr="00182A82" w:rsidRDefault="00182A82" w:rsidP="00A475ED">
            <w:pPr>
              <w:pStyle w:val="ARtabletext"/>
            </w:pPr>
            <w:r w:rsidRPr="00182A82">
              <w:t>Disclosure of parliamentary appropriations</w:t>
            </w:r>
            <w:r w:rsidR="00E72A7F">
              <w:t xml:space="preserve"> </w:t>
            </w:r>
          </w:p>
        </w:tc>
        <w:tc>
          <w:tcPr>
            <w:tcW w:w="1280" w:type="dxa"/>
            <w:shd w:val="clear" w:color="auto" w:fill="auto"/>
          </w:tcPr>
          <w:p w14:paraId="615C3367" w14:textId="22AAD9CC" w:rsidR="00182A82" w:rsidRPr="00182A82" w:rsidRDefault="003B05E1" w:rsidP="00A475ED">
            <w:pPr>
              <w:pStyle w:val="ARtabletextright"/>
            </w:pPr>
            <w:r>
              <w:fldChar w:fldCharType="begin"/>
            </w:r>
            <w:r>
              <w:instrText xml:space="preserve"> PAGEREF _Ref178239280 \h </w:instrText>
            </w:r>
            <w:r>
              <w:fldChar w:fldCharType="separate"/>
            </w:r>
            <w:r w:rsidR="002F3676">
              <w:rPr>
                <w:noProof/>
              </w:rPr>
              <w:t>150</w:t>
            </w:r>
            <w:r>
              <w:fldChar w:fldCharType="end"/>
            </w:r>
          </w:p>
        </w:tc>
      </w:tr>
      <w:tr w:rsidR="00182A82" w:rsidRPr="00182A82" w14:paraId="77A0A1C4" w14:textId="77777777" w:rsidTr="00DC7991">
        <w:tc>
          <w:tcPr>
            <w:tcW w:w="1985" w:type="dxa"/>
            <w:shd w:val="clear" w:color="auto" w:fill="auto"/>
          </w:tcPr>
          <w:p w14:paraId="37D3BEED" w14:textId="77777777" w:rsidR="00182A82" w:rsidRPr="00182A82" w:rsidRDefault="00182A82" w:rsidP="00A475ED">
            <w:pPr>
              <w:pStyle w:val="ARtabletext"/>
            </w:pPr>
            <w:r w:rsidRPr="00182A82">
              <w:t>FRD 21C</w:t>
            </w:r>
          </w:p>
        </w:tc>
        <w:tc>
          <w:tcPr>
            <w:tcW w:w="6374" w:type="dxa"/>
            <w:shd w:val="clear" w:color="auto" w:fill="auto"/>
          </w:tcPr>
          <w:p w14:paraId="51504D02" w14:textId="77777777" w:rsidR="00182A82" w:rsidRPr="00182A82" w:rsidRDefault="00182A82" w:rsidP="00A475ED">
            <w:pPr>
              <w:pStyle w:val="ARtabletext"/>
            </w:pPr>
            <w:r w:rsidRPr="00182A82">
              <w:t>Disclosures of responsible persons, executive officers and other personnel (contractors with significant management responsibilities) in the financial report</w:t>
            </w:r>
          </w:p>
        </w:tc>
        <w:tc>
          <w:tcPr>
            <w:tcW w:w="1280" w:type="dxa"/>
            <w:shd w:val="clear" w:color="auto" w:fill="auto"/>
          </w:tcPr>
          <w:p w14:paraId="10A72770" w14:textId="2CF05EED" w:rsidR="00182A82" w:rsidRPr="00182A82" w:rsidRDefault="00523095" w:rsidP="00A475ED">
            <w:pPr>
              <w:pStyle w:val="ARtabletextright"/>
            </w:pPr>
            <w:r>
              <w:fldChar w:fldCharType="begin"/>
            </w:r>
            <w:r>
              <w:instrText xml:space="preserve"> PAGEREF _Ref178239453 \h </w:instrText>
            </w:r>
            <w:r>
              <w:fldChar w:fldCharType="separate"/>
            </w:r>
            <w:r w:rsidR="002F3676">
              <w:rPr>
                <w:noProof/>
              </w:rPr>
              <w:t>205</w:t>
            </w:r>
            <w:r>
              <w:fldChar w:fldCharType="end"/>
            </w:r>
          </w:p>
        </w:tc>
      </w:tr>
      <w:tr w:rsidR="00182A82" w:rsidRPr="00182A82" w14:paraId="574EEF33" w14:textId="77777777" w:rsidTr="00DC7991">
        <w:tc>
          <w:tcPr>
            <w:tcW w:w="1985" w:type="dxa"/>
            <w:shd w:val="clear" w:color="auto" w:fill="auto"/>
          </w:tcPr>
          <w:p w14:paraId="686AD13D" w14:textId="77777777" w:rsidR="00182A82" w:rsidRPr="00182A82" w:rsidRDefault="00182A82" w:rsidP="00A475ED">
            <w:pPr>
              <w:pStyle w:val="ARtabletext"/>
            </w:pPr>
            <w:r w:rsidRPr="00182A82">
              <w:t>FRD 103H</w:t>
            </w:r>
          </w:p>
        </w:tc>
        <w:tc>
          <w:tcPr>
            <w:tcW w:w="6374" w:type="dxa"/>
            <w:shd w:val="clear" w:color="auto" w:fill="auto"/>
          </w:tcPr>
          <w:p w14:paraId="64EA06DF" w14:textId="77777777" w:rsidR="00182A82" w:rsidRPr="00182A82" w:rsidRDefault="00182A82" w:rsidP="00A475ED">
            <w:pPr>
              <w:pStyle w:val="ARtabletext"/>
            </w:pPr>
            <w:r w:rsidRPr="00182A82">
              <w:t>Non-financial physical assets</w:t>
            </w:r>
          </w:p>
        </w:tc>
        <w:tc>
          <w:tcPr>
            <w:tcW w:w="1280" w:type="dxa"/>
            <w:shd w:val="clear" w:color="auto" w:fill="auto"/>
          </w:tcPr>
          <w:p w14:paraId="01168091" w14:textId="7D354427" w:rsidR="00182A82" w:rsidRPr="00D738BD" w:rsidRDefault="00290A58" w:rsidP="00D738BD">
            <w:pPr>
              <w:pStyle w:val="ARtabletextright"/>
            </w:pPr>
            <w:r>
              <w:fldChar w:fldCharType="begin"/>
            </w:r>
            <w:r>
              <w:instrText xml:space="preserve"> PAGEREF _Ref178665052 \h </w:instrText>
            </w:r>
            <w:r>
              <w:fldChar w:fldCharType="separate"/>
            </w:r>
            <w:r w:rsidR="002F3676">
              <w:rPr>
                <w:noProof/>
              </w:rPr>
              <w:t>218</w:t>
            </w:r>
            <w:r>
              <w:fldChar w:fldCharType="end"/>
            </w:r>
            <w:r>
              <w:t xml:space="preserve">, </w:t>
            </w:r>
            <w:r w:rsidR="007E452A">
              <w:fldChar w:fldCharType="begin"/>
            </w:r>
            <w:r w:rsidR="007E452A">
              <w:instrText xml:space="preserve"> PAGEREF _Ref178665174 \h </w:instrText>
            </w:r>
            <w:r w:rsidR="007E452A">
              <w:fldChar w:fldCharType="separate"/>
            </w:r>
            <w:r w:rsidR="002F3676">
              <w:rPr>
                <w:noProof/>
              </w:rPr>
              <w:t>170</w:t>
            </w:r>
            <w:r w:rsidR="007E452A">
              <w:fldChar w:fldCharType="end"/>
            </w:r>
            <w:r w:rsidR="007E452A">
              <w:t xml:space="preserve">, </w:t>
            </w:r>
            <w:r w:rsidR="00BA6776">
              <w:fldChar w:fldCharType="begin"/>
            </w:r>
            <w:r w:rsidR="00BA6776">
              <w:instrText xml:space="preserve"> PAGEREF _Ref178239599 \h </w:instrText>
            </w:r>
            <w:r w:rsidR="00BA6776">
              <w:fldChar w:fldCharType="separate"/>
            </w:r>
            <w:r w:rsidR="002F3676">
              <w:rPr>
                <w:noProof/>
              </w:rPr>
              <w:t>203</w:t>
            </w:r>
            <w:r w:rsidR="00BA6776">
              <w:fldChar w:fldCharType="end"/>
            </w:r>
            <w:r w:rsidR="00574587" w:rsidRPr="00182A82">
              <w:t>–</w:t>
            </w:r>
            <w:r w:rsidR="00574587">
              <w:fldChar w:fldCharType="begin"/>
            </w:r>
            <w:r w:rsidR="00574587">
              <w:instrText xml:space="preserve"> PAGEREF _Ref178665294 \h </w:instrText>
            </w:r>
            <w:r w:rsidR="00574587">
              <w:fldChar w:fldCharType="separate"/>
            </w:r>
            <w:r w:rsidR="002F3676">
              <w:rPr>
                <w:noProof/>
              </w:rPr>
              <w:t>204</w:t>
            </w:r>
            <w:r w:rsidR="00574587">
              <w:fldChar w:fldCharType="end"/>
            </w:r>
            <w:r w:rsidR="007E452A">
              <w:t xml:space="preserve">, </w:t>
            </w:r>
            <w:r w:rsidR="00574587">
              <w:fldChar w:fldCharType="begin"/>
            </w:r>
            <w:r w:rsidR="00574587">
              <w:instrText xml:space="preserve"> PAGEREF _Ref178665052 \h </w:instrText>
            </w:r>
            <w:r w:rsidR="00574587">
              <w:fldChar w:fldCharType="separate"/>
            </w:r>
            <w:r w:rsidR="002F3676">
              <w:rPr>
                <w:noProof/>
              </w:rPr>
              <w:t>218</w:t>
            </w:r>
            <w:r w:rsidR="00574587">
              <w:fldChar w:fldCharType="end"/>
            </w:r>
          </w:p>
        </w:tc>
      </w:tr>
      <w:tr w:rsidR="00182A82" w:rsidRPr="00182A82" w14:paraId="6ED77DF9" w14:textId="77777777" w:rsidTr="00DC7991">
        <w:tc>
          <w:tcPr>
            <w:tcW w:w="1985" w:type="dxa"/>
            <w:shd w:val="clear" w:color="auto" w:fill="auto"/>
          </w:tcPr>
          <w:p w14:paraId="0A3B5E09" w14:textId="77777777" w:rsidR="00182A82" w:rsidRPr="00182A82" w:rsidRDefault="00182A82" w:rsidP="00A475ED">
            <w:pPr>
              <w:pStyle w:val="ARtabletext"/>
            </w:pPr>
            <w:r w:rsidRPr="00182A82">
              <w:t>FRD 110A</w:t>
            </w:r>
          </w:p>
        </w:tc>
        <w:tc>
          <w:tcPr>
            <w:tcW w:w="6374" w:type="dxa"/>
            <w:shd w:val="clear" w:color="auto" w:fill="auto"/>
          </w:tcPr>
          <w:p w14:paraId="22932A6E" w14:textId="77777777" w:rsidR="00182A82" w:rsidRPr="00182A82" w:rsidRDefault="00182A82" w:rsidP="00A475ED">
            <w:pPr>
              <w:pStyle w:val="ARtabletext"/>
            </w:pPr>
            <w:r w:rsidRPr="00182A82">
              <w:t>Cash flow statements</w:t>
            </w:r>
          </w:p>
        </w:tc>
        <w:tc>
          <w:tcPr>
            <w:tcW w:w="1280" w:type="dxa"/>
            <w:shd w:val="clear" w:color="auto" w:fill="auto"/>
          </w:tcPr>
          <w:p w14:paraId="02CF896B" w14:textId="7F4933EA" w:rsidR="00182A82" w:rsidRPr="00182A82" w:rsidRDefault="00574587" w:rsidP="00A475ED">
            <w:pPr>
              <w:pStyle w:val="ARtabletextright"/>
            </w:pPr>
            <w:r>
              <w:fldChar w:fldCharType="begin"/>
            </w:r>
            <w:r>
              <w:instrText xml:space="preserve"> PAGEREF _Ref178665431 \h </w:instrText>
            </w:r>
            <w:r>
              <w:fldChar w:fldCharType="separate"/>
            </w:r>
            <w:r w:rsidR="002F3676">
              <w:rPr>
                <w:noProof/>
              </w:rPr>
              <w:t>180</w:t>
            </w:r>
            <w:r>
              <w:fldChar w:fldCharType="end"/>
            </w:r>
            <w:r w:rsidR="00182A82" w:rsidRPr="00182A82">
              <w:t>,</w:t>
            </w:r>
            <w:r w:rsidR="00E76F27">
              <w:t xml:space="preserve"> </w:t>
            </w:r>
            <w:r w:rsidR="0038703B">
              <w:fldChar w:fldCharType="begin"/>
            </w:r>
            <w:r w:rsidR="0038703B">
              <w:instrText xml:space="preserve"> PAGEREF _Ref178239821 \h </w:instrText>
            </w:r>
            <w:r w:rsidR="0038703B">
              <w:fldChar w:fldCharType="separate"/>
            </w:r>
            <w:r w:rsidR="002F3676">
              <w:rPr>
                <w:noProof/>
              </w:rPr>
              <w:t>224</w:t>
            </w:r>
            <w:r w:rsidR="0038703B">
              <w:fldChar w:fldCharType="end"/>
            </w:r>
            <w:r w:rsidR="00182A82" w:rsidRPr="00182A82">
              <w:t xml:space="preserve"> </w:t>
            </w:r>
          </w:p>
        </w:tc>
      </w:tr>
      <w:tr w:rsidR="00182A82" w:rsidRPr="00182A82" w14:paraId="171AD831" w14:textId="77777777" w:rsidTr="00DC7991">
        <w:tc>
          <w:tcPr>
            <w:tcW w:w="1985" w:type="dxa"/>
            <w:shd w:val="clear" w:color="auto" w:fill="auto"/>
          </w:tcPr>
          <w:p w14:paraId="5C08AAD3" w14:textId="77777777" w:rsidR="00182A82" w:rsidRPr="00182A82" w:rsidRDefault="00182A82" w:rsidP="00A475ED">
            <w:pPr>
              <w:pStyle w:val="ARtabletext"/>
            </w:pPr>
            <w:r w:rsidRPr="00182A82">
              <w:t>FRD 112D</w:t>
            </w:r>
          </w:p>
        </w:tc>
        <w:tc>
          <w:tcPr>
            <w:tcW w:w="6374" w:type="dxa"/>
            <w:shd w:val="clear" w:color="auto" w:fill="auto"/>
          </w:tcPr>
          <w:p w14:paraId="538E4AAD" w14:textId="77777777" w:rsidR="00182A82" w:rsidRPr="00182A82" w:rsidRDefault="00182A82" w:rsidP="00A475ED">
            <w:pPr>
              <w:pStyle w:val="ARtabletext"/>
            </w:pPr>
            <w:r w:rsidRPr="00182A82">
              <w:t>Defined benefit superannuation obligations</w:t>
            </w:r>
          </w:p>
        </w:tc>
        <w:tc>
          <w:tcPr>
            <w:tcW w:w="1280" w:type="dxa"/>
            <w:shd w:val="clear" w:color="auto" w:fill="auto"/>
          </w:tcPr>
          <w:p w14:paraId="14D3A984" w14:textId="25456BF8" w:rsidR="00182A82" w:rsidRPr="00182A82" w:rsidRDefault="00841C9C" w:rsidP="00A475ED">
            <w:pPr>
              <w:pStyle w:val="ARtabletextright"/>
            </w:pPr>
            <w:r>
              <w:fldChar w:fldCharType="begin"/>
            </w:r>
            <w:r>
              <w:instrText xml:space="preserve"> PAGEREF _Ref178240011 \h </w:instrText>
            </w:r>
            <w:r>
              <w:fldChar w:fldCharType="separate"/>
            </w:r>
            <w:r w:rsidR="002F3676">
              <w:rPr>
                <w:noProof/>
              </w:rPr>
              <w:t>155</w:t>
            </w:r>
            <w:r>
              <w:fldChar w:fldCharType="end"/>
            </w:r>
          </w:p>
        </w:tc>
      </w:tr>
      <w:tr w:rsidR="00182A82" w:rsidRPr="00182A82" w14:paraId="09381FCA" w14:textId="77777777" w:rsidTr="00DC7991">
        <w:tc>
          <w:tcPr>
            <w:tcW w:w="1985" w:type="dxa"/>
            <w:shd w:val="clear" w:color="auto" w:fill="auto"/>
          </w:tcPr>
          <w:p w14:paraId="7BE47BDB" w14:textId="77777777" w:rsidR="00182A82" w:rsidRPr="00182A82" w:rsidRDefault="00182A82" w:rsidP="00A475ED">
            <w:pPr>
              <w:pStyle w:val="ARtabletext"/>
            </w:pPr>
            <w:r w:rsidRPr="00182A82">
              <w:t>FRD 114C</w:t>
            </w:r>
          </w:p>
        </w:tc>
        <w:tc>
          <w:tcPr>
            <w:tcW w:w="6374" w:type="dxa"/>
            <w:shd w:val="clear" w:color="auto" w:fill="auto"/>
          </w:tcPr>
          <w:p w14:paraId="07707946" w14:textId="77777777" w:rsidR="00182A82" w:rsidRPr="00182A82" w:rsidRDefault="00182A82" w:rsidP="00A475ED">
            <w:pPr>
              <w:pStyle w:val="ARtabletext"/>
            </w:pPr>
            <w:r w:rsidRPr="00182A82">
              <w:t xml:space="preserve">Financial instruments – general government entities and public </w:t>
            </w:r>
            <w:r w:rsidRPr="00182A82">
              <w:br/>
              <w:t>non-financial corporations</w:t>
            </w:r>
          </w:p>
        </w:tc>
        <w:tc>
          <w:tcPr>
            <w:tcW w:w="1280" w:type="dxa"/>
            <w:shd w:val="clear" w:color="auto" w:fill="auto"/>
          </w:tcPr>
          <w:p w14:paraId="00E91786" w14:textId="7AABCFE8" w:rsidR="00182A82" w:rsidRPr="00182A82" w:rsidRDefault="001F46CE" w:rsidP="00A475ED">
            <w:pPr>
              <w:pStyle w:val="ARtabletextright"/>
            </w:pPr>
            <w:r>
              <w:fldChar w:fldCharType="begin"/>
            </w:r>
            <w:r>
              <w:instrText xml:space="preserve"> PAGEREF _Ref178665586 \h </w:instrText>
            </w:r>
            <w:r>
              <w:fldChar w:fldCharType="separate"/>
            </w:r>
            <w:r w:rsidR="002F3676">
              <w:rPr>
                <w:noProof/>
              </w:rPr>
              <w:t>189</w:t>
            </w:r>
            <w:r>
              <w:fldChar w:fldCharType="end"/>
            </w:r>
            <w:r w:rsidR="00517E50" w:rsidRPr="00182A82">
              <w:t>–</w:t>
            </w:r>
            <w:r w:rsidR="00517E50">
              <w:fldChar w:fldCharType="begin"/>
            </w:r>
            <w:r w:rsidR="00517E50">
              <w:instrText xml:space="preserve"> PAGEREF _Ref178665665 \h </w:instrText>
            </w:r>
            <w:r w:rsidR="00517E50">
              <w:fldChar w:fldCharType="separate"/>
            </w:r>
            <w:r w:rsidR="002F3676">
              <w:rPr>
                <w:noProof/>
              </w:rPr>
              <w:t>191</w:t>
            </w:r>
            <w:r w:rsidR="00517E50">
              <w:fldChar w:fldCharType="end"/>
            </w:r>
          </w:p>
        </w:tc>
      </w:tr>
    </w:tbl>
    <w:p w14:paraId="49282D06" w14:textId="77777777" w:rsidR="00182A82" w:rsidRPr="00182A82" w:rsidRDefault="00182A82" w:rsidP="00182A82">
      <w:pPr>
        <w:pStyle w:val="ARtablefootnote"/>
      </w:pPr>
      <w:r w:rsidRPr="00182A82">
        <w:t>Note: FRD = Financial Reporting Direction; SD = Standing Direction</w:t>
      </w:r>
    </w:p>
    <w:p w14:paraId="25541DB4" w14:textId="77777777" w:rsidR="00182A82" w:rsidRPr="00182A82" w:rsidRDefault="00182A82" w:rsidP="005C7C7D">
      <w:pPr>
        <w:pStyle w:val="ARbody"/>
      </w:pPr>
      <w:bookmarkStart w:id="335" w:name="_Toc462577212"/>
      <w:bookmarkStart w:id="336" w:name="_Ref492894563"/>
      <w:bookmarkStart w:id="337" w:name="_Toc520974736"/>
      <w:bookmarkStart w:id="338" w:name="_Ref525048716"/>
      <w:bookmarkStart w:id="339" w:name="_Ref21862086"/>
      <w:bookmarkStart w:id="340" w:name="_Toc50998474"/>
      <w:bookmarkStart w:id="341" w:name="_Toc110778210"/>
      <w:r w:rsidRPr="00182A82">
        <w:br w:type="page"/>
      </w:r>
    </w:p>
    <w:p w14:paraId="27044E5F" w14:textId="77777777" w:rsidR="00182A82" w:rsidRPr="00182A82" w:rsidRDefault="00182A82" w:rsidP="00182A82">
      <w:pPr>
        <w:pStyle w:val="Heading3"/>
      </w:pPr>
      <w:r w:rsidRPr="00182A82">
        <w:t>Full report</w:t>
      </w:r>
      <w:bookmarkEnd w:id="335"/>
      <w:bookmarkEnd w:id="336"/>
      <w:bookmarkEnd w:id="337"/>
      <w:bookmarkEnd w:id="338"/>
      <w:bookmarkEnd w:id="339"/>
      <w:bookmarkEnd w:id="340"/>
      <w:bookmarkEnd w:id="341"/>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8217"/>
        <w:gridCol w:w="1422"/>
      </w:tblGrid>
      <w:tr w:rsidR="00182A82" w:rsidRPr="00182A82" w14:paraId="67CC2B3D" w14:textId="77777777" w:rsidTr="00E46AFB">
        <w:trPr>
          <w:cantSplit/>
          <w:tblHeader/>
        </w:trPr>
        <w:tc>
          <w:tcPr>
            <w:tcW w:w="8217" w:type="dxa"/>
            <w:tcBorders>
              <w:top w:val="nil"/>
            </w:tcBorders>
            <w:shd w:val="clear" w:color="auto" w:fill="auto"/>
          </w:tcPr>
          <w:p w14:paraId="6B3F4D07" w14:textId="77777777" w:rsidR="00182A82" w:rsidRPr="00182A82" w:rsidRDefault="00182A82" w:rsidP="00645583">
            <w:pPr>
              <w:pStyle w:val="ARtablecolhead"/>
            </w:pPr>
            <w:r w:rsidRPr="00182A82">
              <w:t>Legislation</w:t>
            </w:r>
          </w:p>
        </w:tc>
        <w:tc>
          <w:tcPr>
            <w:tcW w:w="1422" w:type="dxa"/>
            <w:tcBorders>
              <w:top w:val="nil"/>
            </w:tcBorders>
            <w:shd w:val="clear" w:color="auto" w:fill="auto"/>
          </w:tcPr>
          <w:p w14:paraId="767B006C" w14:textId="77777777" w:rsidR="00182A82" w:rsidRPr="00182A82" w:rsidRDefault="00182A82" w:rsidP="00A475ED">
            <w:pPr>
              <w:pStyle w:val="ARtablecolheadright"/>
            </w:pPr>
            <w:r w:rsidRPr="00182A82">
              <w:t>Page</w:t>
            </w:r>
          </w:p>
        </w:tc>
      </w:tr>
      <w:tr w:rsidR="00182A82" w:rsidRPr="00182A82" w14:paraId="711E8752" w14:textId="77777777" w:rsidTr="00E46AFB">
        <w:trPr>
          <w:cantSplit/>
        </w:trPr>
        <w:tc>
          <w:tcPr>
            <w:tcW w:w="8217" w:type="dxa"/>
            <w:shd w:val="clear" w:color="auto" w:fill="auto"/>
          </w:tcPr>
          <w:p w14:paraId="1EA3B4AE" w14:textId="77777777" w:rsidR="00182A82" w:rsidRPr="00182A82" w:rsidRDefault="00182A82" w:rsidP="00A475ED">
            <w:pPr>
              <w:pStyle w:val="ARtabletext"/>
              <w:rPr>
                <w:rStyle w:val="Emphasis"/>
              </w:rPr>
            </w:pPr>
            <w:r w:rsidRPr="00182A82">
              <w:rPr>
                <w:rStyle w:val="Emphasis"/>
              </w:rPr>
              <w:t>Building Act 1993</w:t>
            </w:r>
          </w:p>
        </w:tc>
        <w:tc>
          <w:tcPr>
            <w:tcW w:w="1422" w:type="dxa"/>
            <w:shd w:val="clear" w:color="auto" w:fill="auto"/>
          </w:tcPr>
          <w:p w14:paraId="095731CF" w14:textId="299E0093" w:rsidR="00182A82" w:rsidRPr="00182A82" w:rsidRDefault="001152ED" w:rsidP="00A475ED">
            <w:pPr>
              <w:pStyle w:val="ARtabletextright"/>
            </w:pPr>
            <w:r>
              <w:fldChar w:fldCharType="begin"/>
            </w:r>
            <w:r>
              <w:instrText xml:space="preserve"> PAGEREF _Ref178240270 \h </w:instrText>
            </w:r>
            <w:r>
              <w:fldChar w:fldCharType="separate"/>
            </w:r>
            <w:r w:rsidR="002F3676">
              <w:rPr>
                <w:noProof/>
              </w:rPr>
              <w:t>115</w:t>
            </w:r>
            <w:r>
              <w:fldChar w:fldCharType="end"/>
            </w:r>
          </w:p>
        </w:tc>
      </w:tr>
      <w:tr w:rsidR="00182A82" w:rsidRPr="00182A82" w14:paraId="765AE470" w14:textId="77777777" w:rsidTr="00E46AFB">
        <w:trPr>
          <w:cantSplit/>
        </w:trPr>
        <w:tc>
          <w:tcPr>
            <w:tcW w:w="8217" w:type="dxa"/>
            <w:shd w:val="clear" w:color="auto" w:fill="auto"/>
          </w:tcPr>
          <w:p w14:paraId="3B3A4CAD" w14:textId="77777777" w:rsidR="00182A82" w:rsidRPr="00182A82" w:rsidRDefault="00182A82" w:rsidP="00A475ED">
            <w:pPr>
              <w:pStyle w:val="ARtabletext"/>
              <w:rPr>
                <w:rStyle w:val="Emphasis"/>
              </w:rPr>
            </w:pPr>
            <w:r w:rsidRPr="00182A82">
              <w:rPr>
                <w:rStyle w:val="Emphasis"/>
              </w:rPr>
              <w:t>Carers Recognition Act 2012</w:t>
            </w:r>
          </w:p>
        </w:tc>
        <w:tc>
          <w:tcPr>
            <w:tcW w:w="1422" w:type="dxa"/>
            <w:shd w:val="clear" w:color="auto" w:fill="auto"/>
          </w:tcPr>
          <w:p w14:paraId="469C544D" w14:textId="75B1CAA7" w:rsidR="00182A82" w:rsidRPr="00182A82" w:rsidRDefault="0036084D" w:rsidP="00A475ED">
            <w:pPr>
              <w:pStyle w:val="ARtabletextright"/>
            </w:pPr>
            <w:r>
              <w:fldChar w:fldCharType="begin"/>
            </w:r>
            <w:r>
              <w:instrText xml:space="preserve"> PAGEREF _Ref178240317 \h </w:instrText>
            </w:r>
            <w:r>
              <w:fldChar w:fldCharType="separate"/>
            </w:r>
            <w:r w:rsidR="002F3676">
              <w:rPr>
                <w:noProof/>
              </w:rPr>
              <w:t>117</w:t>
            </w:r>
            <w:r>
              <w:fldChar w:fldCharType="end"/>
            </w:r>
          </w:p>
        </w:tc>
      </w:tr>
      <w:tr w:rsidR="00182A82" w:rsidRPr="00182A82" w14:paraId="67170968" w14:textId="77777777" w:rsidTr="00E46AFB">
        <w:trPr>
          <w:cantSplit/>
        </w:trPr>
        <w:tc>
          <w:tcPr>
            <w:tcW w:w="8217" w:type="dxa"/>
            <w:shd w:val="clear" w:color="auto" w:fill="auto"/>
          </w:tcPr>
          <w:p w14:paraId="17FA8E0F" w14:textId="77777777" w:rsidR="00182A82" w:rsidRPr="00182A82" w:rsidRDefault="00182A82" w:rsidP="00A475ED">
            <w:pPr>
              <w:pStyle w:val="ARtabletext"/>
              <w:rPr>
                <w:rStyle w:val="Emphasis"/>
              </w:rPr>
            </w:pPr>
            <w:r w:rsidRPr="00182A82">
              <w:rPr>
                <w:rStyle w:val="Emphasis"/>
              </w:rPr>
              <w:t>Children, Youth and Families Act 2005</w:t>
            </w:r>
          </w:p>
        </w:tc>
        <w:tc>
          <w:tcPr>
            <w:tcW w:w="1422" w:type="dxa"/>
            <w:shd w:val="clear" w:color="auto" w:fill="auto"/>
          </w:tcPr>
          <w:p w14:paraId="0228822F" w14:textId="7AADC696" w:rsidR="00182A82" w:rsidRPr="00182A82" w:rsidRDefault="001F68BA" w:rsidP="00A475ED">
            <w:pPr>
              <w:pStyle w:val="ARtabletextright"/>
            </w:pPr>
            <w:r>
              <w:fldChar w:fldCharType="begin"/>
            </w:r>
            <w:r>
              <w:instrText xml:space="preserve"> PAGEREF _Ref525207598 \h </w:instrText>
            </w:r>
            <w:r>
              <w:fldChar w:fldCharType="separate"/>
            </w:r>
            <w:r w:rsidR="002F3676">
              <w:rPr>
                <w:noProof/>
              </w:rPr>
              <w:t>119</w:t>
            </w:r>
            <w:r>
              <w:fldChar w:fldCharType="end"/>
            </w:r>
          </w:p>
        </w:tc>
      </w:tr>
      <w:tr w:rsidR="00182A82" w:rsidRPr="00182A82" w14:paraId="2D8A345A" w14:textId="77777777" w:rsidTr="00E46AFB">
        <w:trPr>
          <w:cantSplit/>
        </w:trPr>
        <w:tc>
          <w:tcPr>
            <w:tcW w:w="8217" w:type="dxa"/>
            <w:shd w:val="clear" w:color="auto" w:fill="auto"/>
          </w:tcPr>
          <w:p w14:paraId="79D0CDCC" w14:textId="77777777" w:rsidR="00182A82" w:rsidRPr="00182A82" w:rsidRDefault="00182A82" w:rsidP="00A475ED">
            <w:pPr>
              <w:pStyle w:val="ARtabletext"/>
              <w:rPr>
                <w:rStyle w:val="Emphasis"/>
              </w:rPr>
            </w:pPr>
            <w:r w:rsidRPr="00182A82">
              <w:rPr>
                <w:rStyle w:val="Emphasis"/>
              </w:rPr>
              <w:t>Disability Act 2006</w:t>
            </w:r>
          </w:p>
        </w:tc>
        <w:tc>
          <w:tcPr>
            <w:tcW w:w="1422" w:type="dxa"/>
            <w:shd w:val="clear" w:color="auto" w:fill="auto"/>
          </w:tcPr>
          <w:p w14:paraId="5A73F4FB" w14:textId="0F418EF8" w:rsidR="00182A82" w:rsidRPr="00182A82" w:rsidRDefault="001F68BA" w:rsidP="00A475ED">
            <w:pPr>
              <w:pStyle w:val="ARtabletextright"/>
            </w:pPr>
            <w:r>
              <w:fldChar w:fldCharType="begin"/>
            </w:r>
            <w:r>
              <w:instrText xml:space="preserve"> PAGEREF _Ref178240396 \h </w:instrText>
            </w:r>
            <w:r>
              <w:fldChar w:fldCharType="separate"/>
            </w:r>
            <w:r w:rsidR="002F3676">
              <w:rPr>
                <w:noProof/>
              </w:rPr>
              <w:t>118</w:t>
            </w:r>
            <w:r>
              <w:fldChar w:fldCharType="end"/>
            </w:r>
          </w:p>
        </w:tc>
      </w:tr>
      <w:tr w:rsidR="00182A82" w:rsidRPr="00182A82" w14:paraId="07B05742" w14:textId="77777777" w:rsidTr="00E46AFB">
        <w:trPr>
          <w:cantSplit/>
        </w:trPr>
        <w:tc>
          <w:tcPr>
            <w:tcW w:w="8217" w:type="dxa"/>
            <w:shd w:val="clear" w:color="auto" w:fill="auto"/>
          </w:tcPr>
          <w:p w14:paraId="2A071B24" w14:textId="77777777" w:rsidR="00182A82" w:rsidRPr="00182A82" w:rsidRDefault="00182A82" w:rsidP="00A475ED">
            <w:pPr>
              <w:pStyle w:val="ARtabletext"/>
              <w:rPr>
                <w:rStyle w:val="Emphasis"/>
              </w:rPr>
            </w:pPr>
            <w:r w:rsidRPr="00182A82">
              <w:rPr>
                <w:rStyle w:val="Emphasis"/>
              </w:rPr>
              <w:t>Financial Management Act 1994</w:t>
            </w:r>
          </w:p>
        </w:tc>
        <w:tc>
          <w:tcPr>
            <w:tcW w:w="1422" w:type="dxa"/>
            <w:shd w:val="clear" w:color="auto" w:fill="auto"/>
          </w:tcPr>
          <w:p w14:paraId="6DA901A0" w14:textId="3539FB44" w:rsidR="00182A82" w:rsidRPr="00182A82" w:rsidRDefault="00BF1D92" w:rsidP="00A475ED">
            <w:pPr>
              <w:pStyle w:val="ARtabletextright"/>
            </w:pPr>
            <w:r>
              <w:fldChar w:fldCharType="begin"/>
            </w:r>
            <w:r>
              <w:instrText xml:space="preserve"> PAGEREF _Ref178240537 \h </w:instrText>
            </w:r>
            <w:r>
              <w:fldChar w:fldCharType="separate"/>
            </w:r>
            <w:r w:rsidR="002F3676">
              <w:rPr>
                <w:noProof/>
              </w:rPr>
              <w:t>136</w:t>
            </w:r>
            <w:r>
              <w:fldChar w:fldCharType="end"/>
            </w:r>
          </w:p>
        </w:tc>
      </w:tr>
      <w:tr w:rsidR="00182A82" w:rsidRPr="00182A82" w14:paraId="045513D3" w14:textId="77777777" w:rsidTr="00E46AFB">
        <w:trPr>
          <w:cantSplit/>
        </w:trPr>
        <w:tc>
          <w:tcPr>
            <w:tcW w:w="8217" w:type="dxa"/>
            <w:shd w:val="clear" w:color="auto" w:fill="auto"/>
          </w:tcPr>
          <w:p w14:paraId="13102378" w14:textId="77777777" w:rsidR="00182A82" w:rsidRPr="00182A82" w:rsidRDefault="00182A82" w:rsidP="00A475ED">
            <w:pPr>
              <w:pStyle w:val="ARtabletext"/>
              <w:rPr>
                <w:rStyle w:val="Emphasis"/>
              </w:rPr>
            </w:pPr>
            <w:r w:rsidRPr="00182A82">
              <w:rPr>
                <w:rStyle w:val="Emphasis"/>
              </w:rPr>
              <w:t>Freedom of Information Act 1982</w:t>
            </w:r>
          </w:p>
        </w:tc>
        <w:tc>
          <w:tcPr>
            <w:tcW w:w="1422" w:type="dxa"/>
            <w:shd w:val="clear" w:color="auto" w:fill="auto"/>
          </w:tcPr>
          <w:p w14:paraId="6D2D77AD" w14:textId="37A9CB05" w:rsidR="00182A82" w:rsidRPr="00182A82" w:rsidRDefault="00962559" w:rsidP="00A475ED">
            <w:pPr>
              <w:pStyle w:val="ARtabletextright"/>
            </w:pPr>
            <w:r>
              <w:fldChar w:fldCharType="begin"/>
            </w:r>
            <w:r>
              <w:instrText xml:space="preserve"> PAGEREF _Ref178240587 \h </w:instrText>
            </w:r>
            <w:r>
              <w:fldChar w:fldCharType="separate"/>
            </w:r>
            <w:r w:rsidR="002F3676">
              <w:rPr>
                <w:noProof/>
              </w:rPr>
              <w:t>121</w:t>
            </w:r>
            <w:r>
              <w:fldChar w:fldCharType="end"/>
            </w:r>
          </w:p>
        </w:tc>
      </w:tr>
      <w:tr w:rsidR="00182A82" w:rsidRPr="00182A82" w14:paraId="05A1FF00" w14:textId="77777777" w:rsidTr="00E46AFB">
        <w:trPr>
          <w:cantSplit/>
        </w:trPr>
        <w:tc>
          <w:tcPr>
            <w:tcW w:w="8217" w:type="dxa"/>
            <w:shd w:val="clear" w:color="auto" w:fill="auto"/>
          </w:tcPr>
          <w:p w14:paraId="4EE62F63" w14:textId="77777777" w:rsidR="00182A82" w:rsidRPr="00182A82" w:rsidRDefault="00182A82" w:rsidP="00A475ED">
            <w:pPr>
              <w:pStyle w:val="ARtabletext"/>
              <w:rPr>
                <w:rStyle w:val="Emphasis"/>
              </w:rPr>
            </w:pPr>
            <w:r w:rsidRPr="00182A82">
              <w:rPr>
                <w:rStyle w:val="Emphasis"/>
              </w:rPr>
              <w:t>Local Jobs Act 2003</w:t>
            </w:r>
          </w:p>
        </w:tc>
        <w:tc>
          <w:tcPr>
            <w:tcW w:w="1422" w:type="dxa"/>
            <w:shd w:val="clear" w:color="auto" w:fill="auto"/>
          </w:tcPr>
          <w:p w14:paraId="6FB4C978" w14:textId="7675084A" w:rsidR="00182A82" w:rsidRPr="00182A82" w:rsidRDefault="002651DA" w:rsidP="00A475ED">
            <w:pPr>
              <w:pStyle w:val="ARtabletextright"/>
            </w:pPr>
            <w:r>
              <w:fldChar w:fldCharType="begin"/>
            </w:r>
            <w:r>
              <w:instrText xml:space="preserve"> PAGEREF _Ref178240705 \h </w:instrText>
            </w:r>
            <w:r>
              <w:fldChar w:fldCharType="separate"/>
            </w:r>
            <w:r w:rsidR="002F3676">
              <w:rPr>
                <w:noProof/>
              </w:rPr>
              <w:t>93</w:t>
            </w:r>
            <w:r>
              <w:fldChar w:fldCharType="end"/>
            </w:r>
          </w:p>
        </w:tc>
      </w:tr>
      <w:tr w:rsidR="00182A82" w:rsidRPr="00182A82" w14:paraId="5A39849C" w14:textId="77777777" w:rsidTr="00E46AFB">
        <w:trPr>
          <w:cantSplit/>
        </w:trPr>
        <w:tc>
          <w:tcPr>
            <w:tcW w:w="8217" w:type="dxa"/>
            <w:shd w:val="clear" w:color="auto" w:fill="auto"/>
          </w:tcPr>
          <w:p w14:paraId="32C066F6" w14:textId="77777777" w:rsidR="00182A82" w:rsidRPr="00182A82" w:rsidRDefault="00182A82" w:rsidP="00A475ED">
            <w:pPr>
              <w:pStyle w:val="ARtabletext"/>
              <w:rPr>
                <w:rStyle w:val="Emphasis"/>
              </w:rPr>
            </w:pPr>
            <w:r w:rsidRPr="00182A82">
              <w:rPr>
                <w:rStyle w:val="Emphasis"/>
              </w:rPr>
              <w:t>Protected Disclosure Act 2012</w:t>
            </w:r>
          </w:p>
        </w:tc>
        <w:tc>
          <w:tcPr>
            <w:tcW w:w="1422" w:type="dxa"/>
            <w:shd w:val="clear" w:color="auto" w:fill="auto"/>
          </w:tcPr>
          <w:p w14:paraId="1A3ABB8B" w14:textId="64B59B61" w:rsidR="00182A82" w:rsidRPr="00182A82" w:rsidRDefault="003E7980" w:rsidP="00A475ED">
            <w:pPr>
              <w:pStyle w:val="ARtabletextright"/>
            </w:pPr>
            <w:r>
              <w:fldChar w:fldCharType="begin"/>
            </w:r>
            <w:r>
              <w:instrText xml:space="preserve"> PAGEREF _Ref178179701 \h </w:instrText>
            </w:r>
            <w:r>
              <w:fldChar w:fldCharType="separate"/>
            </w:r>
            <w:r w:rsidR="002F3676">
              <w:rPr>
                <w:noProof/>
              </w:rPr>
              <w:t>116</w:t>
            </w:r>
            <w:r>
              <w:fldChar w:fldCharType="end"/>
            </w:r>
          </w:p>
        </w:tc>
      </w:tr>
      <w:tr w:rsidR="00182A82" w:rsidRPr="00182A82" w14:paraId="11BB1B72" w14:textId="77777777" w:rsidTr="00E46AFB">
        <w:trPr>
          <w:cantSplit/>
        </w:trPr>
        <w:tc>
          <w:tcPr>
            <w:tcW w:w="8217" w:type="dxa"/>
            <w:shd w:val="clear" w:color="auto" w:fill="auto"/>
          </w:tcPr>
          <w:p w14:paraId="6BA12897" w14:textId="1A2BDCF2" w:rsidR="00182A82" w:rsidRPr="00182A82" w:rsidRDefault="00182A82" w:rsidP="00A475ED">
            <w:pPr>
              <w:pStyle w:val="ARtabletext"/>
              <w:rPr>
                <w:rStyle w:val="Emphasis"/>
              </w:rPr>
            </w:pPr>
            <w:r w:rsidRPr="00182A82">
              <w:rPr>
                <w:rStyle w:val="Emphasis"/>
              </w:rPr>
              <w:t>Public Administration Act 2004</w:t>
            </w:r>
          </w:p>
        </w:tc>
        <w:tc>
          <w:tcPr>
            <w:tcW w:w="1422" w:type="dxa"/>
            <w:shd w:val="clear" w:color="auto" w:fill="auto"/>
          </w:tcPr>
          <w:p w14:paraId="209F137B" w14:textId="2F077D71" w:rsidR="00182A82" w:rsidRPr="00182A82" w:rsidRDefault="004F4726" w:rsidP="00A475ED">
            <w:pPr>
              <w:pStyle w:val="ARtabletextright"/>
            </w:pPr>
            <w:r>
              <w:fldChar w:fldCharType="begin"/>
            </w:r>
            <w:r>
              <w:instrText xml:space="preserve"> PAGEREF _Ref178240819 \h </w:instrText>
            </w:r>
            <w:r>
              <w:fldChar w:fldCharType="separate"/>
            </w:r>
            <w:r w:rsidR="002F3676">
              <w:rPr>
                <w:noProof/>
              </w:rPr>
              <w:t>74</w:t>
            </w:r>
            <w:r>
              <w:fldChar w:fldCharType="end"/>
            </w:r>
            <w:r w:rsidR="00182A82" w:rsidRPr="00182A82">
              <w:t>,</w:t>
            </w:r>
            <w:r w:rsidR="003E7980">
              <w:t xml:space="preserve"> </w:t>
            </w:r>
            <w:r w:rsidR="003E7980">
              <w:fldChar w:fldCharType="begin"/>
            </w:r>
            <w:r w:rsidR="003E7980">
              <w:instrText xml:space="preserve"> PAGEREF _Ref178175161 \h </w:instrText>
            </w:r>
            <w:r w:rsidR="003E7980">
              <w:fldChar w:fldCharType="separate"/>
            </w:r>
            <w:r w:rsidR="002F3676">
              <w:rPr>
                <w:noProof/>
              </w:rPr>
              <w:t>87</w:t>
            </w:r>
            <w:r w:rsidR="003E7980">
              <w:fldChar w:fldCharType="end"/>
            </w:r>
            <w:r w:rsidR="003E7980">
              <w:t>,</w:t>
            </w:r>
            <w:r w:rsidR="008B2A0D">
              <w:t xml:space="preserve"> </w:t>
            </w:r>
            <w:r w:rsidR="00B25556">
              <w:fldChar w:fldCharType="begin"/>
            </w:r>
            <w:r w:rsidR="00B25556">
              <w:instrText xml:space="preserve"> PAGEREF _Ref178241003 \h </w:instrText>
            </w:r>
            <w:r w:rsidR="00B25556">
              <w:fldChar w:fldCharType="separate"/>
            </w:r>
            <w:r w:rsidR="002F3676">
              <w:rPr>
                <w:noProof/>
              </w:rPr>
              <w:t>147</w:t>
            </w:r>
            <w:r w:rsidR="00B25556">
              <w:fldChar w:fldCharType="end"/>
            </w:r>
            <w:r w:rsidR="002C7950">
              <w:t>,</w:t>
            </w:r>
            <w:r w:rsidR="00182A82" w:rsidRPr="00182A82">
              <w:t xml:space="preserve"> </w:t>
            </w:r>
            <w:r w:rsidR="002E5358">
              <w:fldChar w:fldCharType="begin"/>
            </w:r>
            <w:r w:rsidR="002E5358">
              <w:instrText xml:space="preserve"> PAGEREF _Ref178666064 \h </w:instrText>
            </w:r>
            <w:r w:rsidR="002E5358">
              <w:fldChar w:fldCharType="separate"/>
            </w:r>
            <w:r w:rsidR="002F3676">
              <w:rPr>
                <w:noProof/>
              </w:rPr>
              <w:t>211</w:t>
            </w:r>
            <w:r w:rsidR="002E5358">
              <w:fldChar w:fldCharType="end"/>
            </w:r>
          </w:p>
        </w:tc>
      </w:tr>
      <w:tr w:rsidR="00182A82" w:rsidRPr="00182A82" w14:paraId="6B83E2E0" w14:textId="77777777" w:rsidTr="00E46AFB">
        <w:trPr>
          <w:cantSplit/>
        </w:trPr>
        <w:tc>
          <w:tcPr>
            <w:tcW w:w="8217" w:type="dxa"/>
            <w:shd w:val="clear" w:color="auto" w:fill="auto"/>
          </w:tcPr>
          <w:p w14:paraId="52189C03" w14:textId="1FC7E3B1" w:rsidR="00182A82" w:rsidRPr="00182A82" w:rsidRDefault="00182A82" w:rsidP="00A475ED">
            <w:pPr>
              <w:pStyle w:val="ARtabletext"/>
              <w:rPr>
                <w:rStyle w:val="Emphasis"/>
              </w:rPr>
            </w:pPr>
            <w:r w:rsidRPr="00182A82">
              <w:rPr>
                <w:rStyle w:val="Emphasis"/>
              </w:rPr>
              <w:t>Public Interest Disclosure Act 2012</w:t>
            </w:r>
          </w:p>
        </w:tc>
        <w:tc>
          <w:tcPr>
            <w:tcW w:w="1422" w:type="dxa"/>
            <w:shd w:val="clear" w:color="auto" w:fill="auto"/>
          </w:tcPr>
          <w:p w14:paraId="1525F064" w14:textId="17289185" w:rsidR="00182A82" w:rsidRPr="00182A82" w:rsidRDefault="0037061F" w:rsidP="00A475ED">
            <w:pPr>
              <w:pStyle w:val="ARtabletextright"/>
            </w:pPr>
            <w:r>
              <w:fldChar w:fldCharType="begin"/>
            </w:r>
            <w:r>
              <w:instrText xml:space="preserve"> PAGEREF _Ref178241128 \h </w:instrText>
            </w:r>
            <w:r>
              <w:fldChar w:fldCharType="separate"/>
            </w:r>
            <w:r w:rsidR="002F3676">
              <w:rPr>
                <w:noProof/>
              </w:rPr>
              <w:t>117</w:t>
            </w:r>
            <w:r>
              <w:fldChar w:fldCharType="end"/>
            </w:r>
          </w:p>
        </w:tc>
      </w:tr>
      <w:tr w:rsidR="00182A82" w:rsidRPr="00532DAE" w14:paraId="1C9F42CF" w14:textId="77777777" w:rsidTr="00E46AFB">
        <w:trPr>
          <w:cantSplit/>
        </w:trPr>
        <w:tc>
          <w:tcPr>
            <w:tcW w:w="8217" w:type="dxa"/>
            <w:shd w:val="clear" w:color="auto" w:fill="auto"/>
          </w:tcPr>
          <w:p w14:paraId="3DA38E35" w14:textId="1347A586" w:rsidR="00182A82" w:rsidRPr="00182A82" w:rsidRDefault="00182A82" w:rsidP="00A475ED">
            <w:pPr>
              <w:pStyle w:val="ARtabletext"/>
              <w:rPr>
                <w:rStyle w:val="Emphasis"/>
              </w:rPr>
            </w:pPr>
            <w:r w:rsidRPr="00182A82">
              <w:rPr>
                <w:rStyle w:val="Emphasis"/>
              </w:rPr>
              <w:t>Victorian Industry Participation Policy Act 2003</w:t>
            </w:r>
          </w:p>
        </w:tc>
        <w:tc>
          <w:tcPr>
            <w:tcW w:w="1422" w:type="dxa"/>
            <w:shd w:val="clear" w:color="auto" w:fill="auto"/>
          </w:tcPr>
          <w:p w14:paraId="46935135" w14:textId="228CE87C" w:rsidR="00182A82" w:rsidRPr="00532DAE" w:rsidRDefault="002207E2" w:rsidP="00A475ED">
            <w:pPr>
              <w:pStyle w:val="ARtabletextright"/>
            </w:pPr>
            <w:r>
              <w:fldChar w:fldCharType="begin"/>
            </w:r>
            <w:r>
              <w:instrText xml:space="preserve"> PAGEREF _Ref178241225 \h </w:instrText>
            </w:r>
            <w:r>
              <w:fldChar w:fldCharType="separate"/>
            </w:r>
            <w:r w:rsidR="002F3676">
              <w:rPr>
                <w:noProof/>
              </w:rPr>
              <w:t>93</w:t>
            </w:r>
            <w:r>
              <w:fldChar w:fldCharType="end"/>
            </w:r>
          </w:p>
        </w:tc>
      </w:tr>
      <w:bookmarkEnd w:id="322"/>
      <w:bookmarkEnd w:id="323"/>
      <w:bookmarkEnd w:id="324"/>
      <w:bookmarkEnd w:id="329"/>
    </w:tbl>
    <w:p w14:paraId="3E737A2D" w14:textId="77777777" w:rsidR="009855A3" w:rsidRPr="00182A82" w:rsidRDefault="009855A3" w:rsidP="00182A82">
      <w:pPr>
        <w:pStyle w:val="ARbody"/>
        <w:rPr>
          <w:highlight w:val="green"/>
        </w:rPr>
      </w:pPr>
    </w:p>
    <w:p w14:paraId="78348531" w14:textId="77777777" w:rsidR="0081234A" w:rsidRPr="00BA7805" w:rsidRDefault="0081234A" w:rsidP="0081234A">
      <w:pPr>
        <w:pStyle w:val="ARbody"/>
        <w:rPr>
          <w:highlight w:val="green"/>
        </w:rPr>
        <w:sectPr w:rsidR="0081234A" w:rsidRPr="00BA7805" w:rsidSect="005936D2">
          <w:headerReference w:type="even" r:id="rId154"/>
          <w:footerReference w:type="even" r:id="rId155"/>
          <w:headerReference w:type="first" r:id="rId156"/>
          <w:footerReference w:type="first" r:id="rId157"/>
          <w:footnotePr>
            <w:numFmt w:val="lowerRoman"/>
            <w:numRestart w:val="eachPage"/>
          </w:footnotePr>
          <w:endnotePr>
            <w:numFmt w:val="decimal"/>
          </w:endnotePr>
          <w:type w:val="continuous"/>
          <w:pgSz w:w="11900" w:h="16840" w:code="9"/>
          <w:pgMar w:top="1701" w:right="1134" w:bottom="851" w:left="1134" w:header="510" w:footer="340" w:gutter="0"/>
          <w:cols w:space="454"/>
          <w:docGrid w:linePitch="299"/>
        </w:sectPr>
      </w:pPr>
      <w:bookmarkStart w:id="342" w:name="_Ref85056078"/>
      <w:bookmarkStart w:id="343" w:name="_Toc110778055"/>
      <w:bookmarkStart w:id="344" w:name="_Toc110855617"/>
      <w:bookmarkStart w:id="345" w:name="Appendices"/>
    </w:p>
    <w:bookmarkEnd w:id="342"/>
    <w:bookmarkEnd w:id="343"/>
    <w:bookmarkEnd w:id="344"/>
    <w:bookmarkEnd w:id="345"/>
    <w:p w14:paraId="15962E6C" w14:textId="58ACD570" w:rsidR="0081234A" w:rsidRPr="00BA7805" w:rsidRDefault="009855A3" w:rsidP="00D37BCF">
      <w:pPr>
        <w:pStyle w:val="ARbody"/>
        <w:rPr>
          <w:highlight w:val="green"/>
        </w:rPr>
      </w:pPr>
      <w:r>
        <w:rPr>
          <w:noProof/>
        </w:rPr>
        <w:drawing>
          <wp:anchor distT="0" distB="0" distL="114300" distR="114300" simplePos="0" relativeHeight="251658240" behindDoc="0" locked="1" layoutInCell="1" allowOverlap="1" wp14:anchorId="79850C37" wp14:editId="216908F3">
            <wp:simplePos x="0" y="0"/>
            <wp:positionH relativeFrom="page">
              <wp:align>left</wp:align>
            </wp:positionH>
            <wp:positionV relativeFrom="page">
              <wp:align>top</wp:align>
            </wp:positionV>
            <wp:extent cx="7560000" cy="10688400"/>
            <wp:effectExtent l="0" t="0" r="3175" b="0"/>
            <wp:wrapNone/>
            <wp:docPr id="145696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64917" name="Picture 3">
                      <a:extLst>
                        <a:ext uri="{C183D7F6-B498-43B3-948B-1728B52AA6E4}">
                          <adec:decorative xmlns:adec="http://schemas.microsoft.com/office/drawing/2017/decorative" val="1"/>
                        </a:ext>
                      </a:extLst>
                    </pic:cNvPr>
                    <pic:cNvPicPr/>
                  </pic:nvPicPr>
                  <pic:blipFill>
                    <a:blip r:embed="rId158">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sectPr w:rsidR="0081234A" w:rsidRPr="00BA7805" w:rsidSect="005936D2">
      <w:pgSz w:w="11906" w:h="16838"/>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2B53D" w14:textId="77777777" w:rsidR="003C1DF5" w:rsidRDefault="003C1DF5" w:rsidP="0081234A">
      <w:pPr>
        <w:spacing w:after="0" w:line="240" w:lineRule="auto"/>
      </w:pPr>
      <w:r>
        <w:separator/>
      </w:r>
    </w:p>
    <w:p w14:paraId="2A5FCE49" w14:textId="77777777" w:rsidR="003C1DF5" w:rsidRDefault="003C1DF5"/>
    <w:p w14:paraId="38799A5D" w14:textId="77777777" w:rsidR="003C1DF5" w:rsidRDefault="003C1DF5"/>
  </w:endnote>
  <w:endnote w:type="continuationSeparator" w:id="0">
    <w:p w14:paraId="735A49DA" w14:textId="77777777" w:rsidR="003C1DF5" w:rsidRDefault="003C1DF5" w:rsidP="0081234A">
      <w:pPr>
        <w:spacing w:after="0" w:line="240" w:lineRule="auto"/>
      </w:pPr>
      <w:r>
        <w:continuationSeparator/>
      </w:r>
    </w:p>
    <w:p w14:paraId="69D02D2C" w14:textId="77777777" w:rsidR="003C1DF5" w:rsidRDefault="003C1DF5"/>
    <w:p w14:paraId="7261F049" w14:textId="77777777" w:rsidR="003C1DF5" w:rsidRDefault="003C1DF5"/>
  </w:endnote>
  <w:endnote w:type="continuationNotice" w:id="1">
    <w:p w14:paraId="2B4E6506" w14:textId="77777777" w:rsidR="003C1DF5" w:rsidRDefault="003C1DF5">
      <w:pPr>
        <w:spacing w:after="0" w:line="240" w:lineRule="auto"/>
      </w:pPr>
    </w:p>
    <w:p w14:paraId="79866ED8" w14:textId="77777777" w:rsidR="003C1DF5" w:rsidRDefault="003C1DF5"/>
    <w:p w14:paraId="3557423D" w14:textId="77777777" w:rsidR="003C1DF5" w:rsidRDefault="003C1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lano Grotesque">
    <w:panose1 w:val="000005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auto"/>
    <w:notTrueType/>
    <w:pitch w:val="variable"/>
    <w:sig w:usb0="00000003" w:usb1="00000000" w:usb2="00000000" w:usb3="00000000" w:csb0="00000001" w:csb1="00000000"/>
  </w:font>
  <w:font w:name="ArialMT">
    <w:altName w:val="Klee One"/>
    <w:panose1 w:val="00000000000000000000"/>
    <w:charset w:val="4D"/>
    <w:family w:val="auto"/>
    <w:notTrueType/>
    <w:pitch w:val="default"/>
    <w:sig w:usb0="00000003" w:usb1="00000000" w:usb2="00000000" w:usb3="00000000" w:csb0="00000001" w:csb1="00000000"/>
  </w:font>
  <w:font w:name="Arial-BoldMT">
    <w:altName w:val="Calibri"/>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VIC">
    <w:panose1 w:val="00000500000000000000"/>
    <w:charset w:val="00"/>
    <w:family w:val="modern"/>
    <w:notTrueType/>
    <w:pitch w:val="variable"/>
    <w:sig w:usb0="00000007" w:usb1="00000000" w:usb2="00000000" w:usb3="00000000" w:csb0="00000093"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Neu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39041" w14:textId="77777777" w:rsidR="00AD7FE0" w:rsidRDefault="00AD7FE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49ED6" w14:textId="77777777" w:rsidR="00AD7FE0" w:rsidRDefault="00AD7FE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03B96" w14:textId="77777777" w:rsidR="00AD7FE0" w:rsidRDefault="00AD7FE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E2DC6" w14:textId="77777777" w:rsidR="0081234A" w:rsidRDefault="0081234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4408B" w14:textId="512BFD10" w:rsidR="0081234A" w:rsidRDefault="0081234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63CC" w14:textId="34B77F34" w:rsidR="0081234A" w:rsidRDefault="0081234A">
    <w:pPr>
      <w:pStyle w:val="Footer"/>
    </w:pPr>
    <w:r>
      <w:rPr>
        <w:noProof/>
      </w:rPr>
      <mc:AlternateContent>
        <mc:Choice Requires="wps">
          <w:drawing>
            <wp:inline distT="0" distB="0" distL="0" distR="0" wp14:anchorId="7E97BB23" wp14:editId="3C615BF5">
              <wp:extent cx="7772400" cy="502285"/>
              <wp:effectExtent l="0" t="0" r="0" b="12065"/>
              <wp:docPr id="19" name="Text Box 19" descr="{&quot;HashCode&quot;:327967821,&quot;Height&quot;:9999999.0,&quot;Width&quot;:9999999.0,&quot;Placement&quot;:&quot;Footer&quot;,&quot;Index&quot;:&quot;FirstPage&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4057EE" w14:textId="168A1A1A" w:rsidR="0081234A" w:rsidRPr="0081234A" w:rsidRDefault="0081234A" w:rsidP="0081234A">
                          <w:pPr>
                            <w:spacing w:after="0"/>
                            <w:jc w:val="center"/>
                            <w:rPr>
                              <w:rFonts w:ascii="Arial Black" w:hAnsi="Arial Black"/>
                              <w:color w:val="E4100E"/>
                              <w:sz w:val="20"/>
                            </w:rPr>
                          </w:pPr>
                          <w:r w:rsidRPr="0081234A">
                            <w:rPr>
                              <w:rFonts w:ascii="Arial Black" w:hAnsi="Arial Black"/>
                              <w:color w:val="E4100E"/>
                              <w:sz w:val="20"/>
                            </w:rPr>
                            <w:t>PROTECTED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type w14:anchorId="7E97BB23" id="_x0000_t202" coordsize="21600,21600" o:spt="202" path="m,l,21600r21600,l21600,xe">
              <v:stroke joinstyle="miter"/>
              <v:path gradientshapeok="t" o:connecttype="rect"/>
            </v:shapetype>
            <v:shape id="Text Box 19" o:spid="_x0000_s1026" type="#_x0000_t202" alt="{&quot;HashCode&quot;:327967821,&quot;Height&quot;:9999999.0,&quot;Width&quot;:9999999.0,&quot;Placement&quot;:&quot;Footer&quot;,&quot;Index&quot;:&quot;FirstPage&quot;,&quot;Section&quot;:16,&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filled="f" stroked="f" strokeweight=".5pt">
              <v:textbox inset=",0,,0">
                <w:txbxContent>
                  <w:p w14:paraId="1C4057EE" w14:textId="168A1A1A" w:rsidR="0081234A" w:rsidRPr="0081234A" w:rsidRDefault="0081234A" w:rsidP="0081234A">
                    <w:pPr>
                      <w:spacing w:after="0"/>
                      <w:jc w:val="center"/>
                      <w:rPr>
                        <w:rFonts w:ascii="Arial Black" w:hAnsi="Arial Black"/>
                        <w:color w:val="E4100E"/>
                        <w:sz w:val="20"/>
                      </w:rPr>
                    </w:pPr>
                    <w:r w:rsidRPr="0081234A">
                      <w:rPr>
                        <w:rFonts w:ascii="Arial Black" w:hAnsi="Arial Black"/>
                        <w:color w:val="E4100E"/>
                        <w:sz w:val="20"/>
                      </w:rPr>
                      <w:t>PROTECTED</w:t>
                    </w:r>
                  </w:p>
                </w:txbxContent>
              </v:textbox>
              <w10:anchorlock/>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97215" w14:textId="77777777" w:rsidR="000E38BD" w:rsidRDefault="000E38B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5C7CA" w14:textId="77777777" w:rsidR="000E38BD" w:rsidRDefault="000E38B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BB873" w14:textId="77777777" w:rsidR="000E38BD" w:rsidRDefault="000E38B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C067A" w14:textId="77777777" w:rsidR="000E38BD" w:rsidRDefault="000E38B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B9BD5" w14:textId="77777777" w:rsidR="000E38BD" w:rsidRDefault="000E3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ADD1" w14:textId="77777777" w:rsidR="00AD7FE0" w:rsidRDefault="00AD7FE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6F831" w14:textId="77777777" w:rsidR="000E38BD" w:rsidRDefault="000E38B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016ED" w14:textId="77777777" w:rsidR="000E38BD" w:rsidRDefault="000E38B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C817B" w14:textId="77777777" w:rsidR="000E38BD" w:rsidRDefault="000E38B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BA3FA" w14:textId="77777777" w:rsidR="000E38BD" w:rsidRDefault="000E38B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CCCA1" w14:textId="77777777" w:rsidR="000E38BD" w:rsidRDefault="000E38B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3FAED" w14:textId="32978316" w:rsidR="007D61FB" w:rsidRPr="0054696F" w:rsidRDefault="007D61FB" w:rsidP="0054696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647C6" w14:textId="77777777" w:rsidR="0081234A" w:rsidRDefault="0081234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2E4B5" w14:textId="3F3BBADB" w:rsidR="0081234A" w:rsidRDefault="0081234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12F8D" w14:textId="77777777" w:rsidR="0081234A" w:rsidRDefault="0081234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D92AF" w14:textId="77777777" w:rsidR="004F7554" w:rsidRDefault="004F7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2BABA" w14:textId="77777777" w:rsidR="00AD7FE0" w:rsidRDefault="00AD7FE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C119C" w14:textId="77777777" w:rsidR="004F7554" w:rsidRDefault="004F755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326D0" w14:textId="77777777" w:rsidR="004F7554" w:rsidRDefault="004F755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8A025" w14:textId="77777777" w:rsidR="004F7554" w:rsidRDefault="004F755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63368" w14:textId="77777777" w:rsidR="004F7554" w:rsidRDefault="004F755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84320" w14:textId="77777777" w:rsidR="004F7554" w:rsidRDefault="004F755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9F7B4" w14:textId="77777777" w:rsidR="004F7554" w:rsidRDefault="004F755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FE4D1" w14:textId="77777777" w:rsidR="004F7554" w:rsidRDefault="004F755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A6742" w14:textId="77777777" w:rsidR="004F7554" w:rsidRDefault="004F755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2F098" w14:textId="77777777" w:rsidR="005B131E" w:rsidRDefault="005B131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BEC9D" w14:textId="77777777" w:rsidR="005B131E" w:rsidRDefault="005B13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CC263" w14:textId="77777777" w:rsidR="00AD7FE0" w:rsidRDefault="00AD7FE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EE68A" w14:textId="77777777" w:rsidR="005B131E" w:rsidRDefault="005B131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19256" w14:textId="77777777" w:rsidR="005B131E" w:rsidRPr="00DA017A" w:rsidRDefault="005B131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2B752" w14:textId="77777777" w:rsidR="005B131E" w:rsidRPr="00DA017A" w:rsidRDefault="005B131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313F4" w14:textId="77777777" w:rsidR="005B131E" w:rsidRPr="00DA017A" w:rsidRDefault="005B131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7F1B1" w14:textId="77777777" w:rsidR="005B131E" w:rsidRPr="005A66F9" w:rsidRDefault="005B131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8E206" w14:textId="77777777" w:rsidR="005B131E" w:rsidRPr="005A66F9" w:rsidRDefault="005B131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0824" w14:textId="77777777" w:rsidR="00B04B53" w:rsidRPr="005A66F9" w:rsidRDefault="00B04B5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2FCE8" w14:textId="77777777" w:rsidR="0081234A" w:rsidRDefault="0081234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E56B9" w14:textId="77777777" w:rsidR="0081234A" w:rsidRDefault="008123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62EE1" w14:textId="77777777" w:rsidR="00AD7FE0" w:rsidRDefault="00AD7F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44A47" w14:textId="77777777" w:rsidR="00AD7FE0" w:rsidRDefault="00AD7F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58908" w14:textId="77777777" w:rsidR="00AD7FE0" w:rsidRDefault="00AD7F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D4D65" w14:textId="77777777" w:rsidR="00AD7FE0" w:rsidRDefault="00AD7FE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2BF13" w14:textId="77777777" w:rsidR="00AD7FE0" w:rsidRDefault="00AD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E44A20" w14:textId="77777777" w:rsidR="003C1DF5" w:rsidRDefault="003C1DF5" w:rsidP="0081234A">
      <w:pPr>
        <w:spacing w:after="0" w:line="240" w:lineRule="auto"/>
      </w:pPr>
      <w:r>
        <w:separator/>
      </w:r>
    </w:p>
  </w:footnote>
  <w:footnote w:type="continuationSeparator" w:id="0">
    <w:p w14:paraId="464B26ED" w14:textId="77777777" w:rsidR="003C1DF5" w:rsidRDefault="003C1DF5" w:rsidP="0081234A">
      <w:pPr>
        <w:spacing w:after="0" w:line="240" w:lineRule="auto"/>
      </w:pPr>
      <w:r>
        <w:continuationSeparator/>
      </w:r>
    </w:p>
    <w:p w14:paraId="4C212D23" w14:textId="77777777" w:rsidR="003C1DF5" w:rsidRDefault="003C1DF5"/>
    <w:p w14:paraId="2FCD65CB" w14:textId="77777777" w:rsidR="003C1DF5" w:rsidRDefault="003C1DF5"/>
  </w:footnote>
  <w:footnote w:type="continuationNotice" w:id="1">
    <w:p w14:paraId="68BB9A88" w14:textId="77777777" w:rsidR="003C1DF5" w:rsidRDefault="003C1DF5">
      <w:pPr>
        <w:spacing w:after="0" w:line="240" w:lineRule="auto"/>
      </w:pPr>
    </w:p>
    <w:p w14:paraId="0024338B" w14:textId="77777777" w:rsidR="003C1DF5" w:rsidRDefault="003C1DF5"/>
    <w:p w14:paraId="07DA10B3" w14:textId="77777777" w:rsidR="003C1DF5" w:rsidRDefault="003C1DF5"/>
  </w:footnote>
  <w:footnote w:id="2">
    <w:p w14:paraId="0F510F4D" w14:textId="2E960281" w:rsidR="000E38BD" w:rsidRPr="007A1B47" w:rsidRDefault="000E38BD">
      <w:pPr>
        <w:pStyle w:val="FootnoteText"/>
        <w:rPr>
          <w:lang w:val="en-AU"/>
        </w:rPr>
      </w:pPr>
      <w:r w:rsidRPr="00107A36" w:rsidDel="007A1B47">
        <w:footnoteRef/>
      </w:r>
      <w:r w:rsidRPr="00107A36">
        <w:t xml:space="preserve"> </w:t>
      </w:r>
      <w:r w:rsidR="00107A36">
        <w:tab/>
      </w:r>
      <w:r>
        <w:rPr>
          <w:iCs/>
        </w:rPr>
        <w:t>Department of Treasury and Finance</w:t>
      </w:r>
      <w:r w:rsidRPr="00DC1D06">
        <w:rPr>
          <w:i/>
        </w:rPr>
        <w:t xml:space="preserve"> </w:t>
      </w:r>
      <w:r>
        <w:rPr>
          <w:iCs/>
        </w:rPr>
        <w:t xml:space="preserve">(2024) </w:t>
      </w:r>
      <w:r w:rsidRPr="00007894">
        <w:rPr>
          <w:rStyle w:val="Emphasis"/>
        </w:rPr>
        <w:t>Budget Paper No. 3: Service delivery</w:t>
      </w:r>
      <w:r>
        <w:rPr>
          <w:iCs/>
        </w:rPr>
        <w:t>, State of Victoria, Melbourne.</w:t>
      </w:r>
    </w:p>
  </w:footnote>
  <w:footnote w:id="3">
    <w:p w14:paraId="493D3E07" w14:textId="7C87714E" w:rsidR="007D61FB" w:rsidRPr="00FF691B" w:rsidRDefault="007D61FB">
      <w:pPr>
        <w:pStyle w:val="FootnoteText"/>
        <w:spacing w:before="0" w:after="0"/>
        <w:rPr>
          <w:lang w:val="en-AU"/>
        </w:rPr>
      </w:pPr>
      <w:r w:rsidRPr="006A26E7">
        <w:footnoteRef/>
      </w:r>
      <w:r w:rsidRPr="006A26E7">
        <w:t xml:space="preserve"> </w:t>
      </w:r>
      <w:r w:rsidR="006A26E7" w:rsidRPr="006A26E7">
        <w:tab/>
      </w:r>
      <w:r w:rsidRPr="006A26E7">
        <w:t>There</w:t>
      </w:r>
      <w:r>
        <w:rPr>
          <w:lang w:val="en-AU"/>
        </w:rPr>
        <w:t xml:space="preserve"> are </w:t>
      </w:r>
      <w:r w:rsidR="00F95AC7">
        <w:rPr>
          <w:lang w:val="en-AU"/>
        </w:rPr>
        <w:t>3</w:t>
      </w:r>
      <w:r>
        <w:rPr>
          <w:lang w:val="en-AU"/>
        </w:rPr>
        <w:t xml:space="preserve"> VPS6 employees acting as executives under long-term acting arrangements</w:t>
      </w:r>
    </w:p>
  </w:footnote>
  <w:footnote w:id="4">
    <w:p w14:paraId="4D81748C" w14:textId="77777777" w:rsidR="007D61FB" w:rsidRPr="000D7454" w:rsidRDefault="007D61FB">
      <w:pPr>
        <w:pStyle w:val="ARtablefootnote"/>
      </w:pPr>
      <w:r w:rsidRPr="000D7454">
        <w:t>Rounding errors may be present in FTE tables due to data being formatted to one decimal place.</w:t>
      </w:r>
    </w:p>
    <w:p w14:paraId="7A610F2C" w14:textId="1F45A756" w:rsidR="007D61FB" w:rsidRPr="00A50707" w:rsidRDefault="007D61FB">
      <w:pPr>
        <w:pStyle w:val="FootnoteText"/>
        <w:rPr>
          <w:lang w:val="en-AU"/>
        </w:rPr>
      </w:pPr>
      <w:r w:rsidRPr="00202B17">
        <w:footnoteRef/>
      </w:r>
      <w:r w:rsidRPr="00202B17">
        <w:t xml:space="preserve"> </w:t>
      </w:r>
      <w:r w:rsidR="00DF377B">
        <w:tab/>
      </w:r>
      <w:r>
        <w:t xml:space="preserve">This </w:t>
      </w:r>
      <w:r w:rsidRPr="000A10F0">
        <w:t xml:space="preserve">classification group </w:t>
      </w:r>
      <w:r>
        <w:t xml:space="preserve">primarily includes </w:t>
      </w:r>
      <w:r w:rsidRPr="000A10F0">
        <w:t>solicitors</w:t>
      </w:r>
      <w:r>
        <w:t>.</w:t>
      </w:r>
    </w:p>
  </w:footnote>
  <w:footnote w:id="5">
    <w:p w14:paraId="789015E6" w14:textId="60514779" w:rsidR="007D61FB" w:rsidRPr="00543433" w:rsidRDefault="007D61FB">
      <w:pPr>
        <w:pStyle w:val="FootnoteText"/>
        <w:rPr>
          <w:color w:val="000000" w:themeColor="text1"/>
        </w:rPr>
      </w:pPr>
      <w:r w:rsidRPr="00202B17">
        <w:footnoteRef/>
      </w:r>
      <w:r w:rsidRPr="00202B17">
        <w:t xml:space="preserve"> </w:t>
      </w:r>
      <w:r w:rsidR="00202B17">
        <w:tab/>
      </w:r>
      <w:r w:rsidRPr="00480387">
        <w:rPr>
          <w:color w:val="000000" w:themeColor="text1"/>
        </w:rPr>
        <w:t>Executive</w:t>
      </w:r>
      <w:r w:rsidRPr="00480387">
        <w:rPr>
          <w:color w:val="000000" w:themeColor="text1"/>
          <w:lang w:val="en-AU"/>
        </w:rPr>
        <w:t>s</w:t>
      </w:r>
      <w:r w:rsidRPr="00480387">
        <w:rPr>
          <w:color w:val="000000" w:themeColor="text1"/>
        </w:rPr>
        <w:t xml:space="preserve"> include Senior Executive Service (SES) staff and Accountable Officers.</w:t>
      </w:r>
    </w:p>
  </w:footnote>
  <w:footnote w:id="6">
    <w:p w14:paraId="4AA50FC4" w14:textId="24BF7752" w:rsidR="007D61FB" w:rsidRPr="00E448B9" w:rsidRDefault="007D61FB">
      <w:pPr>
        <w:pStyle w:val="FootnoteText"/>
        <w:rPr>
          <w:lang w:val="en-AU"/>
        </w:rPr>
      </w:pPr>
      <w:r w:rsidRPr="00202B17">
        <w:footnoteRef/>
      </w:r>
      <w:r w:rsidRPr="00202B17">
        <w:t xml:space="preserve"> </w:t>
      </w:r>
      <w:r w:rsidR="00202B17">
        <w:tab/>
      </w:r>
      <w:r w:rsidRPr="00480387">
        <w:rPr>
          <w:color w:val="000000" w:themeColor="text1"/>
        </w:rPr>
        <w:t>STS: Senior Technical Specialist.</w:t>
      </w:r>
    </w:p>
  </w:footnote>
  <w:footnote w:id="7">
    <w:p w14:paraId="395AABBE" w14:textId="4B3AAB03" w:rsidR="007D61FB" w:rsidRPr="004132E7" w:rsidRDefault="007D61FB">
      <w:pPr>
        <w:pStyle w:val="FootnoteText"/>
        <w:rPr>
          <w:color w:val="000000" w:themeColor="text1"/>
          <w:lang w:val="en-US"/>
        </w:rPr>
      </w:pPr>
      <w:r w:rsidRPr="00202B17">
        <w:footnoteRef/>
      </w:r>
      <w:r w:rsidRPr="00202B17">
        <w:t xml:space="preserve"> </w:t>
      </w:r>
      <w:r w:rsidR="00202B17" w:rsidRPr="00202B17">
        <w:tab/>
      </w:r>
      <w:r w:rsidRPr="00480387">
        <w:rPr>
          <w:color w:val="000000" w:themeColor="text1"/>
        </w:rPr>
        <w:t>SMA: Senior Medical Adviser.</w:t>
      </w:r>
    </w:p>
  </w:footnote>
  <w:footnote w:id="8">
    <w:p w14:paraId="667B742F" w14:textId="48549E66" w:rsidR="007D61FB" w:rsidRPr="00480387" w:rsidRDefault="007D61FB">
      <w:pPr>
        <w:pStyle w:val="FootnoteText"/>
        <w:spacing w:after="40"/>
        <w:rPr>
          <w:color w:val="000000" w:themeColor="text1"/>
        </w:rPr>
      </w:pPr>
      <w:r w:rsidRPr="00202B17">
        <w:footnoteRef/>
      </w:r>
      <w:r>
        <w:t xml:space="preserve"> </w:t>
      </w:r>
      <w:r w:rsidR="00202B17">
        <w:tab/>
      </w:r>
      <w:r w:rsidRPr="00480387">
        <w:rPr>
          <w:color w:val="000000" w:themeColor="text1"/>
          <w:lang w:val="en-AU"/>
        </w:rPr>
        <w:t>N</w:t>
      </w:r>
      <w:r w:rsidRPr="00480387">
        <w:rPr>
          <w:color w:val="000000" w:themeColor="text1"/>
        </w:rPr>
        <w:t>otable changes in 202</w:t>
      </w:r>
      <w:r>
        <w:rPr>
          <w:color w:val="000000" w:themeColor="text1"/>
          <w:lang w:val="en-AU"/>
        </w:rPr>
        <w:t>4</w:t>
      </w:r>
      <w:r w:rsidRPr="00480387">
        <w:rPr>
          <w:color w:val="000000" w:themeColor="text1"/>
        </w:rPr>
        <w:t xml:space="preserve"> employee numbers are:</w:t>
      </w:r>
    </w:p>
    <w:p w14:paraId="292518F3" w14:textId="77777777" w:rsidR="007D61FB" w:rsidRPr="004132E7" w:rsidRDefault="007D61FB" w:rsidP="00233E8B">
      <w:pPr>
        <w:pStyle w:val="FootnoteText"/>
        <w:numPr>
          <w:ilvl w:val="0"/>
          <w:numId w:val="16"/>
        </w:numPr>
        <w:ind w:left="426" w:hanging="142"/>
        <w:rPr>
          <w:lang w:val="en-AU"/>
        </w:rPr>
      </w:pPr>
      <w:r w:rsidRPr="00480387">
        <w:t>Child Protection Practitioners (+</w:t>
      </w:r>
      <w:r>
        <w:t>240</w:t>
      </w:r>
      <w:r w:rsidRPr="00480387">
        <w:t xml:space="preserve">) due to </w:t>
      </w:r>
      <w:r>
        <w:t>ongoing recruitment campaigns to fill funded vacancies</w:t>
      </w:r>
      <w:r w:rsidRPr="00480387">
        <w:t>.</w:t>
      </w:r>
    </w:p>
  </w:footnote>
  <w:footnote w:id="9">
    <w:p w14:paraId="25B8FB9E" w14:textId="212176D9" w:rsidR="007D61FB" w:rsidRPr="00A7011C" w:rsidRDefault="007D61FB">
      <w:pPr>
        <w:pStyle w:val="FootnoteText"/>
        <w:rPr>
          <w:lang w:val="en-AU"/>
        </w:rPr>
      </w:pPr>
      <w:r w:rsidRPr="00C07E65">
        <w:footnoteRef/>
      </w:r>
      <w:r w:rsidRPr="00C07E65">
        <w:t xml:space="preserve"> </w:t>
      </w:r>
      <w:r w:rsidR="00B029C3">
        <w:tab/>
      </w:r>
      <w:r>
        <w:rPr>
          <w:lang w:val="en-AU"/>
        </w:rPr>
        <w:t>Excludes Accountable Officers</w:t>
      </w:r>
    </w:p>
  </w:footnote>
  <w:footnote w:id="10">
    <w:p w14:paraId="4499A827" w14:textId="5DF0DFD2" w:rsidR="007D61FB" w:rsidRPr="00345D14" w:rsidRDefault="007D61FB">
      <w:pPr>
        <w:pStyle w:val="FootnoteText"/>
        <w:rPr>
          <w:lang w:val="en-AU"/>
        </w:rPr>
      </w:pPr>
      <w:r w:rsidRPr="009A0965">
        <w:footnoteRef/>
      </w:r>
      <w:r w:rsidRPr="009A0965">
        <w:t xml:space="preserve"> </w:t>
      </w:r>
      <w:r>
        <w:tab/>
      </w:r>
      <w:r w:rsidR="00E32984">
        <w:rPr>
          <w:lang w:val="en-AU"/>
        </w:rPr>
        <w:t xml:space="preserve">The department </w:t>
      </w:r>
      <w:r>
        <w:rPr>
          <w:lang w:val="en-AU"/>
        </w:rPr>
        <w:t xml:space="preserve">has refined its approach to defining and collating incidents </w:t>
      </w:r>
      <w:r w:rsidRPr="007D36B4">
        <w:t>requiring first aid and/or further medical treatment</w:t>
      </w:r>
      <w:r>
        <w:t>. Revised results applying revised methodology are included for prior years for comparison; and reported results are included in</w:t>
      </w:r>
      <w:r w:rsidR="007B5D8B">
        <w:t> </w:t>
      </w:r>
      <w:r>
        <w:t>brackets.</w:t>
      </w:r>
      <w:r w:rsidR="00E570E2">
        <w:t xml:space="preserve"> </w:t>
      </w:r>
    </w:p>
  </w:footnote>
  <w:footnote w:id="11">
    <w:p w14:paraId="55D4AC25" w14:textId="77777777" w:rsidR="007D61FB" w:rsidRPr="00AB32F2" w:rsidRDefault="007D61FB">
      <w:pPr>
        <w:pStyle w:val="FootnoteText"/>
      </w:pPr>
      <w:r w:rsidRPr="009A0965">
        <w:footnoteRef/>
      </w:r>
      <w:r w:rsidRPr="00AB32F2">
        <w:tab/>
      </w:r>
      <w:r>
        <w:t>Claims that have:</w:t>
      </w:r>
      <w:r>
        <w:rPr>
          <w:lang w:val="en-AU"/>
        </w:rPr>
        <w:t xml:space="preserve"> </w:t>
      </w:r>
      <w:r>
        <w:t>exceeded the employer excess (days or dollars), or</w:t>
      </w:r>
      <w:r>
        <w:rPr>
          <w:lang w:val="en-AU"/>
        </w:rPr>
        <w:t xml:space="preserve"> </w:t>
      </w:r>
      <w:r>
        <w:t>are open claims that have been received but have no</w:t>
      </w:r>
      <w:r>
        <w:rPr>
          <w:lang w:val="en-US"/>
        </w:rPr>
        <w:t> </w:t>
      </w:r>
      <w:r>
        <w:t>payments to date and may be rejected.</w:t>
      </w:r>
    </w:p>
  </w:footnote>
  <w:footnote w:id="12">
    <w:p w14:paraId="5ADCE853" w14:textId="77777777" w:rsidR="007D61FB" w:rsidRPr="00AB32F2" w:rsidRDefault="007D61FB">
      <w:pPr>
        <w:pStyle w:val="FootnoteText"/>
      </w:pPr>
      <w:r w:rsidRPr="009A0965">
        <w:footnoteRef/>
      </w:r>
      <w:r w:rsidRPr="00AB32F2">
        <w:tab/>
      </w:r>
      <w:r w:rsidRPr="003B6A36">
        <w:t>Claims that involve more than 13 weeks of weekly benefits paid.</w:t>
      </w:r>
    </w:p>
  </w:footnote>
  <w:footnote w:id="13">
    <w:p w14:paraId="67C98CAB" w14:textId="77777777" w:rsidR="007D61FB" w:rsidRPr="00F052CD" w:rsidRDefault="007D61FB">
      <w:pPr>
        <w:pStyle w:val="FootnoteText"/>
        <w:rPr>
          <w:lang w:val="en-AU"/>
        </w:rPr>
      </w:pPr>
      <w:r w:rsidRPr="009A0965">
        <w:footnoteRef/>
      </w:r>
      <w:r>
        <w:rPr>
          <w:lang w:val="en-AU"/>
        </w:rPr>
        <w:tab/>
        <w:t>Data based on total number of sick leave hours recorded by employees.</w:t>
      </w:r>
    </w:p>
  </w:footnote>
  <w:footnote w:id="14">
    <w:p w14:paraId="3A267821" w14:textId="77777777" w:rsidR="007D61FB" w:rsidRPr="00AB32F2" w:rsidRDefault="007D61FB">
      <w:pPr>
        <w:pStyle w:val="FootnoteText"/>
      </w:pPr>
      <w:r w:rsidRPr="009A0965">
        <w:footnoteRef/>
      </w:r>
      <w:r w:rsidRPr="00AB32F2">
        <w:tab/>
        <w:t>Refers to health, safety and wellbeing prosecutions.</w:t>
      </w:r>
    </w:p>
  </w:footnote>
  <w:footnote w:id="15">
    <w:p w14:paraId="70DB5510" w14:textId="76A1CD70" w:rsidR="007D61FB" w:rsidRPr="00AB32F2" w:rsidRDefault="007D61FB">
      <w:pPr>
        <w:pStyle w:val="FootnoteText"/>
      </w:pPr>
      <w:r w:rsidRPr="009A0965">
        <w:footnoteRef/>
      </w:r>
      <w:r w:rsidRPr="00AB32F2">
        <w:tab/>
      </w:r>
      <w:r w:rsidRPr="00CB6147">
        <w:t>Estimated average cost per standardised claim, incorporating payments to date and estimated future payments</w:t>
      </w:r>
      <w:r>
        <w:t xml:space="preserve"> for period </w:t>
      </w:r>
      <w:r w:rsidR="007B5D8B">
        <w:br/>
      </w:r>
      <w:r>
        <w:t>1 April to 30 March</w:t>
      </w:r>
      <w:r w:rsidRPr="00CB6147">
        <w:t>.</w:t>
      </w:r>
      <w:r>
        <w:t xml:space="preserve"> As at extraction date 29 July 2024 the average cost per standard claim for 2021</w:t>
      </w:r>
      <w:r w:rsidR="004154E7">
        <w:t>–</w:t>
      </w:r>
      <w:r>
        <w:t xml:space="preserve">22 is $308,647 and for </w:t>
      </w:r>
      <w:r w:rsidR="006A6FD8">
        <w:br/>
      </w:r>
      <w:r w:rsidRPr="006A6FD8">
        <w:t>2022</w:t>
      </w:r>
      <w:r w:rsidR="006A6FD8">
        <w:t>–</w:t>
      </w:r>
      <w:r w:rsidR="00A652FE" w:rsidRPr="006A6FD8">
        <w:t>2</w:t>
      </w:r>
      <w:r w:rsidRPr="006A6FD8">
        <w:t>023</w:t>
      </w:r>
      <w:r>
        <w:t xml:space="preserve"> is $259,619.</w:t>
      </w:r>
      <w:r w:rsidR="00E570E2">
        <w:t xml:space="preserve"> </w:t>
      </w:r>
    </w:p>
  </w:footnote>
  <w:footnote w:id="16">
    <w:p w14:paraId="295B472B" w14:textId="236DE92A" w:rsidR="007D61FB" w:rsidRPr="0056384B" w:rsidRDefault="007D61FB">
      <w:pPr>
        <w:pStyle w:val="FootnoteText"/>
        <w:rPr>
          <w:lang w:val="en-AU"/>
        </w:rPr>
      </w:pPr>
      <w:r w:rsidRPr="009A0965">
        <w:footnoteRef/>
      </w:r>
      <w:r w:rsidRPr="009A0965">
        <w:t xml:space="preserve"> </w:t>
      </w:r>
      <w:r>
        <w:tab/>
        <w:t>2023</w:t>
      </w:r>
      <w:r w:rsidR="004154E7">
        <w:t>–</w:t>
      </w:r>
      <w:r>
        <w:t>24 is first year this measures is reported</w:t>
      </w:r>
    </w:p>
  </w:footnote>
  <w:footnote w:id="17">
    <w:p w14:paraId="2DC5F5F1" w14:textId="36C88EC2" w:rsidR="007D61FB" w:rsidRPr="00B6094F" w:rsidRDefault="007D61FB">
      <w:pPr>
        <w:pStyle w:val="FootnoteText"/>
        <w:rPr>
          <w:lang w:val="en-AU"/>
        </w:rPr>
      </w:pPr>
      <w:r w:rsidRPr="009A0965">
        <w:footnoteRef/>
      </w:r>
      <w:r w:rsidRPr="009A0965">
        <w:t xml:space="preserve"> </w:t>
      </w:r>
      <w:r>
        <w:tab/>
        <w:t>2023</w:t>
      </w:r>
      <w:r w:rsidR="004154E7">
        <w:t>–</w:t>
      </w:r>
      <w:r>
        <w:t>24 is first year this measures is reported</w:t>
      </w:r>
    </w:p>
  </w:footnote>
  <w:footnote w:id="18">
    <w:p w14:paraId="033CEB8A" w14:textId="77777777" w:rsidR="00714CD7" w:rsidRPr="00053EE8" w:rsidRDefault="00714CD7" w:rsidP="00714CD7">
      <w:pPr>
        <w:pStyle w:val="FootnoteText"/>
        <w:rPr>
          <w:lang w:val="en-US"/>
        </w:rPr>
      </w:pPr>
      <w:r w:rsidRPr="00D11AB2">
        <w:footnoteRef/>
      </w:r>
      <w:r w:rsidRPr="00D11AB2">
        <w:tab/>
      </w:r>
      <w:r>
        <w:t>Calculated using total passenger kilometres (T4) and the average emissions factor of 1.43198 x 10</w:t>
      </w:r>
      <w:r>
        <w:rPr>
          <w:vertAlign w:val="superscript"/>
        </w:rPr>
        <w:t>-4</w:t>
      </w:r>
      <w:r>
        <w:t xml:space="preserve"> tonnes/passengerkm</w:t>
      </w:r>
      <w:r>
        <w:rPr>
          <w:vertAlign w:val="superscript"/>
        </w:rPr>
        <w:t>27</w:t>
      </w:r>
      <w:r>
        <w:t xml:space="preserve"> for domestic aviation.</w:t>
      </w:r>
    </w:p>
  </w:footnote>
  <w:footnote w:id="19">
    <w:p w14:paraId="79E60AFB" w14:textId="77777777" w:rsidR="006901EA" w:rsidRPr="00FE68CC" w:rsidRDefault="006901EA" w:rsidP="006901EA">
      <w:pPr>
        <w:pStyle w:val="FootnoteText"/>
        <w:rPr>
          <w:lang w:val="en-US"/>
        </w:rPr>
      </w:pPr>
      <w:r w:rsidRPr="00D11AB2">
        <w:footnoteRef/>
      </w:r>
      <w:r w:rsidRPr="00D11AB2">
        <w:tab/>
        <w:t>100% Greenpower is used in Ballarat and Geelong.</w:t>
      </w:r>
    </w:p>
  </w:footnote>
  <w:footnote w:id="20">
    <w:p w14:paraId="09403367" w14:textId="77777777" w:rsidR="006901EA" w:rsidRPr="00D92CE4" w:rsidRDefault="006901EA" w:rsidP="006901EA">
      <w:pPr>
        <w:pStyle w:val="FootnoteText"/>
        <w:rPr>
          <w:highlight w:val="cyan"/>
          <w:lang w:val="en-US"/>
        </w:rPr>
      </w:pPr>
      <w:r w:rsidRPr="000570D3">
        <w:footnoteRef/>
      </w:r>
      <w:r w:rsidRPr="000570D3">
        <w:tab/>
        <w:t>Self-generated electricity</w:t>
      </w:r>
      <w:r w:rsidRPr="00220647">
        <w:t xml:space="preserve"> and exports</w:t>
      </w:r>
      <w:r w:rsidRPr="000570D3">
        <w:t xml:space="preserve"> have been under represented in this report due </w:t>
      </w:r>
      <w:r>
        <w:t xml:space="preserve">to </w:t>
      </w:r>
      <w:r w:rsidRPr="000570D3">
        <w:t>unavailable data</w:t>
      </w:r>
      <w:r>
        <w:t xml:space="preserve"> at the time of reporting</w:t>
      </w:r>
      <w:r w:rsidRPr="000570D3">
        <w:t>.</w:t>
      </w:r>
    </w:p>
  </w:footnote>
  <w:footnote w:id="21">
    <w:p w14:paraId="7F009F66" w14:textId="415BEA6C" w:rsidR="006901EA" w:rsidRPr="00FE68CC" w:rsidRDefault="006901EA" w:rsidP="006901EA">
      <w:pPr>
        <w:pStyle w:val="FootnoteText"/>
        <w:rPr>
          <w:lang w:val="en-US"/>
        </w:rPr>
      </w:pPr>
      <w:r w:rsidRPr="00DD315D">
        <w:footnoteRef/>
      </w:r>
      <w:r w:rsidRPr="00DD315D">
        <w:rPr>
          <w:lang w:val="en-US"/>
        </w:rPr>
        <w:tab/>
      </w:r>
      <w:r w:rsidRPr="00DD315D">
        <w:t>Solar PV consumption behind-the-meter and Greenpower electricity offsets include a small proportion of electricity consumed in residential tenancies outside the department</w:t>
      </w:r>
      <w:r w:rsidR="00711AE6">
        <w:t>’</w:t>
      </w:r>
      <w:r w:rsidRPr="00DD315D">
        <w:t xml:space="preserve">s organisational boundary. This is attributable to new apartment building developments with shared on-site solar generation </w:t>
      </w:r>
      <w:r w:rsidRPr="00DD315D">
        <w:rPr>
          <w:lang w:val="en-AU"/>
        </w:rPr>
        <w:t>that</w:t>
      </w:r>
      <w:r w:rsidRPr="00DD315D">
        <w:t xml:space="preserve"> opened late in the reporting period and will be properly accounted for</w:t>
      </w:r>
      <w:r w:rsidRPr="00DD315D">
        <w:rPr>
          <w:lang w:val="en-US"/>
        </w:rPr>
        <w:t> </w:t>
      </w:r>
      <w:r w:rsidRPr="00DD315D">
        <w:t>in subsequent periods.</w:t>
      </w:r>
    </w:p>
  </w:footnote>
  <w:footnote w:id="22">
    <w:p w14:paraId="61EA2867" w14:textId="28C7634C" w:rsidR="008C19F3" w:rsidRPr="001F478C" w:rsidRDefault="008C19F3" w:rsidP="008C19F3">
      <w:pPr>
        <w:pStyle w:val="FootnoteText"/>
        <w:rPr>
          <w:lang w:val="en-US"/>
        </w:rPr>
      </w:pPr>
      <w:r w:rsidRPr="000570D3">
        <w:footnoteRef/>
      </w:r>
      <w:r w:rsidRPr="000570D3">
        <w:tab/>
      </w:r>
      <w:r>
        <w:t>Figures for 2022</w:t>
      </w:r>
      <w:r w:rsidR="00A06508" w:rsidRPr="00A06508">
        <w:t>–</w:t>
      </w:r>
      <w:r>
        <w:t>23 and 2021</w:t>
      </w:r>
      <w:r w:rsidR="00A06508" w:rsidRPr="00A06508">
        <w:t>–</w:t>
      </w:r>
      <w:r>
        <w:t>22 have been revised with the use of DEECA approved calculation methodology.</w:t>
      </w:r>
    </w:p>
  </w:footnote>
  <w:footnote w:id="23">
    <w:p w14:paraId="6F1CE75C" w14:textId="0B135559" w:rsidR="008C19F3" w:rsidRPr="001F478C" w:rsidRDefault="008C19F3" w:rsidP="008C19F3">
      <w:pPr>
        <w:pStyle w:val="FootnoteText"/>
        <w:rPr>
          <w:lang w:val="en-US"/>
        </w:rPr>
      </w:pPr>
      <w:r w:rsidRPr="000570D3">
        <w:footnoteRef/>
      </w:r>
      <w:r w:rsidRPr="000570D3">
        <w:tab/>
        <w:t>Natural gas includes a 19</w:t>
      </w:r>
      <w:r w:rsidR="00F95AC7">
        <w:t>%</w:t>
      </w:r>
      <w:r w:rsidRPr="000570D3">
        <w:t xml:space="preserve"> estimate in 20232–24 due to some data being unavailable from energy retailers at the time of</w:t>
      </w:r>
      <w:r w:rsidRPr="000570D3">
        <w:rPr>
          <w:lang w:val="en-US"/>
        </w:rPr>
        <w:t> </w:t>
      </w:r>
      <w:r w:rsidRPr="000570D3">
        <w:t>reporting.</w:t>
      </w:r>
    </w:p>
  </w:footnote>
  <w:footnote w:id="24">
    <w:p w14:paraId="7F13B5DB" w14:textId="77777777" w:rsidR="008644DA" w:rsidRPr="001F478C" w:rsidRDefault="008644DA" w:rsidP="008644DA">
      <w:pPr>
        <w:pStyle w:val="FootnoteText"/>
        <w:rPr>
          <w:lang w:val="en-US"/>
        </w:rPr>
      </w:pPr>
      <w:r w:rsidRPr="000570D3">
        <w:footnoteRef/>
      </w:r>
      <w:r w:rsidRPr="000570D3">
        <w:tab/>
      </w:r>
      <w:r>
        <w:t>Increased confidential paper waste is due to significant efforts to digitise records.</w:t>
      </w:r>
    </w:p>
  </w:footnote>
  <w:footnote w:id="25">
    <w:p w14:paraId="32347C95" w14:textId="16C6A79E" w:rsidR="008644DA" w:rsidRPr="001F478C" w:rsidRDefault="008644DA" w:rsidP="008644DA">
      <w:pPr>
        <w:pStyle w:val="FootnoteText"/>
        <w:rPr>
          <w:lang w:val="en-US"/>
        </w:rPr>
      </w:pPr>
      <w:r w:rsidRPr="000570D3">
        <w:footnoteRef/>
      </w:r>
      <w:r w:rsidRPr="00D11AB2">
        <w:rPr>
          <w:lang w:val="en-US"/>
        </w:rPr>
        <w:tab/>
      </w:r>
      <w:r>
        <w:t>Information unavailable for period 2023</w:t>
      </w:r>
      <w:r w:rsidR="00A06508" w:rsidRPr="00A06508">
        <w:t>–</w:t>
      </w:r>
      <w:r>
        <w:t>24.</w:t>
      </w:r>
    </w:p>
  </w:footnote>
  <w:footnote w:id="26">
    <w:p w14:paraId="229C3ADF" w14:textId="77777777" w:rsidR="008644DA" w:rsidRPr="002570D1" w:rsidRDefault="008644DA" w:rsidP="008644DA">
      <w:pPr>
        <w:pStyle w:val="FootnoteText"/>
        <w:rPr>
          <w:lang w:val="en-US"/>
        </w:rPr>
      </w:pPr>
      <w:r w:rsidRPr="00D11AB2">
        <w:footnoteRef/>
      </w:r>
      <w:r w:rsidRPr="00D11AB2">
        <w:rPr>
          <w:lang w:val="en-US"/>
        </w:rPr>
        <w:tab/>
        <w:t>Supported by department staff who move e-waste from smaller offices and more remote offices to larger central locations for collection.</w:t>
      </w:r>
    </w:p>
  </w:footnote>
  <w:footnote w:id="27">
    <w:p w14:paraId="5E8B2F36" w14:textId="33C41790" w:rsidR="008644DA" w:rsidRPr="002570D1" w:rsidRDefault="008644DA" w:rsidP="008644DA">
      <w:pPr>
        <w:pStyle w:val="FootnoteText"/>
        <w:rPr>
          <w:lang w:val="en-US"/>
        </w:rPr>
      </w:pPr>
      <w:r w:rsidRPr="00D11AB2">
        <w:footnoteRef/>
      </w:r>
      <w:r w:rsidRPr="00D11AB2">
        <w:rPr>
          <w:lang w:val="en-US"/>
        </w:rPr>
        <w:tab/>
      </w:r>
      <w:r>
        <w:rPr>
          <w:lang w:val="en-US"/>
        </w:rPr>
        <w:t>Methodology for calculation of greenhouse gas emissions vary between 2023</w:t>
      </w:r>
      <w:r w:rsidR="00F07D7B">
        <w:rPr>
          <w:lang w:val="en-US"/>
        </w:rPr>
        <w:t>–</w:t>
      </w:r>
      <w:r>
        <w:rPr>
          <w:lang w:val="en-US"/>
        </w:rPr>
        <w:t>24 and prior reporting years.</w:t>
      </w:r>
    </w:p>
  </w:footnote>
  <w:footnote w:id="28">
    <w:p w14:paraId="2F83F2C7" w14:textId="77777777" w:rsidR="00182A82" w:rsidRPr="00182A82" w:rsidRDefault="00182A82" w:rsidP="00182A82">
      <w:pPr>
        <w:pStyle w:val="FootnoteText"/>
      </w:pPr>
      <w:r w:rsidRPr="009169F8">
        <w:footnoteRef/>
      </w:r>
      <w:r>
        <w:tab/>
        <w:t xml:space="preserve">References to FRDs have been removed from the </w:t>
      </w:r>
      <w:r>
        <w:rPr>
          <w:lang w:val="en-AU"/>
        </w:rPr>
        <w:t>d</w:t>
      </w:r>
      <w:r>
        <w:t xml:space="preserve">isclosure </w:t>
      </w:r>
      <w:r>
        <w:rPr>
          <w:lang w:val="en-AU"/>
        </w:rPr>
        <w:t>i</w:t>
      </w:r>
      <w:r>
        <w:t>ndex if the specific FRDs do not contain requirements that are in the nature of disclosure.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B2301" w14:textId="7FA9BB63" w:rsidR="0081234A" w:rsidRPr="000000D1" w:rsidRDefault="0081234A" w:rsidP="00D6635B">
    <w:pPr>
      <w:pStyle w:val="ARheader"/>
    </w:pPr>
    <w:r>
      <w:t>Department of Families, Fairness and Housing Annual Report 202</w:t>
    </w:r>
    <w:r w:rsidR="00060CE0">
      <w:t>3</w:t>
    </w:r>
    <w:r>
      <w:t>–2</w:t>
    </w:r>
    <w:r w:rsidR="00060CE0">
      <w:t>4</w:t>
    </w:r>
    <w:r w:rsidRPr="000000D1">
      <w:ptab w:relativeTo="margin" w:alignment="right" w:leader="none"/>
    </w:r>
    <w:r w:rsidRPr="000000D1">
      <w:fldChar w:fldCharType="begin"/>
    </w:r>
    <w:r w:rsidRPr="000000D1">
      <w:instrText xml:space="preserve"> PAGE </w:instrText>
    </w:r>
    <w:r w:rsidRPr="000000D1">
      <w:fldChar w:fldCharType="separate"/>
    </w:r>
    <w:r w:rsidRPr="000000D1">
      <w:t>1</w:t>
    </w:r>
    <w:r w:rsidRPr="000000D1">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2D0EF" w14:textId="77777777" w:rsidR="00AD7FE0" w:rsidRDefault="00AD7FE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C92CC" w14:textId="77777777" w:rsidR="00AD7FE0" w:rsidRDefault="00AD7FE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9E037" w14:textId="77777777" w:rsidR="0081234A" w:rsidRDefault="0081234A" w:rsidP="0054696F">
    <w:pPr>
      <w:pStyle w:val="AR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EF618" w14:textId="77777777" w:rsidR="0081234A" w:rsidRDefault="0081234A" w:rsidP="0054696F">
    <w:pPr>
      <w:pStyle w:val="AR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A80F0" w14:textId="77777777" w:rsidR="000E38BD" w:rsidRDefault="000E38BD" w:rsidP="0054696F">
    <w:pPr>
      <w:pStyle w:val="AR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46B84" w14:textId="77777777" w:rsidR="000E38BD" w:rsidRDefault="000E38BD" w:rsidP="0054696F">
    <w:pPr>
      <w:pStyle w:val="AR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8AD09" w14:textId="35235937" w:rsidR="000E38BD" w:rsidRPr="009620D6" w:rsidRDefault="009620D6" w:rsidP="009620D6">
    <w:pPr>
      <w:pStyle w:val="ARheader"/>
    </w:pPr>
    <w:r>
      <w:ptab w:relativeTo="margin" w:alignment="left" w:leader="none"/>
    </w:r>
    <w:r>
      <w:t>Department of Families, Fairness and Housing Annual Report 2023</w:t>
    </w:r>
    <w:r w:rsidR="002F7C3E" w:rsidRPr="002F7C3E">
      <w:t>–</w:t>
    </w:r>
    <w:r>
      <w:t>24</w:t>
    </w:r>
    <w:r>
      <w:ptab w:relativeTo="margin" w:alignment="right" w:leader="none"/>
    </w:r>
    <w:r>
      <w:fldChar w:fldCharType="begin"/>
    </w:r>
    <w:r>
      <w:instrText xml:space="preserve"> PAGE   \* MERGEFORMAT </w:instrText>
    </w:r>
    <w:r>
      <w:fldChar w:fldCharType="separate"/>
    </w:r>
    <w:r>
      <w:t>29</w:t>
    </w:r>
    <w:r>
      <w:rPr>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CE097" w14:textId="77777777" w:rsidR="000E38BD" w:rsidRDefault="000E38BD" w:rsidP="0054696F">
    <w:pPr>
      <w:pStyle w:val="AR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CD53B" w14:textId="77777777" w:rsidR="000E38BD" w:rsidRDefault="000E38BD" w:rsidP="0054696F">
    <w:pPr>
      <w:pStyle w:val="AR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0D565" w14:textId="77777777" w:rsidR="000E38BD" w:rsidRPr="001E18EE" w:rsidRDefault="000E38BD">
    <w:pPr>
      <w:pStyle w:val="A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A91DC" w14:textId="77777777" w:rsidR="00AD7FE0" w:rsidRDefault="00AD7FE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9C2FF" w14:textId="77777777" w:rsidR="000E38BD" w:rsidRDefault="000E38BD" w:rsidP="0054696F">
    <w:pPr>
      <w:pStyle w:val="AR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E596D" w14:textId="77777777" w:rsidR="000E38BD" w:rsidRPr="001E18EE" w:rsidRDefault="000E38BD">
    <w:pPr>
      <w:pStyle w:val="AR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CEB8E" w14:textId="77777777" w:rsidR="000E38BD" w:rsidRPr="0054696F" w:rsidRDefault="000E38BD" w:rsidP="0054696F">
    <w:pPr>
      <w:pStyle w:val="AR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B50B3" w14:textId="6A0A8A65" w:rsidR="000E38BD" w:rsidRPr="007D4E43" w:rsidRDefault="007D4E43" w:rsidP="007D4E43">
    <w:pPr>
      <w:pStyle w:val="ARheader"/>
    </w:pPr>
    <w:r>
      <w:ptab w:relativeTo="margin" w:alignment="left" w:leader="none"/>
    </w:r>
    <w:r>
      <w:t>Department of Families, Fairness and Housing Annual Report 2023</w:t>
    </w:r>
    <w:r w:rsidR="002F7C3E" w:rsidRPr="002F7C3E">
      <w:t>–</w:t>
    </w:r>
    <w:r>
      <w:t>24</w:t>
    </w:r>
    <w:r>
      <w:ptab w:relativeTo="margin" w:alignment="right" w:leader="none"/>
    </w:r>
    <w:r>
      <w:fldChar w:fldCharType="begin"/>
    </w:r>
    <w:r>
      <w:instrText xml:space="preserve"> PAGE   \* MERGEFORMAT </w:instrText>
    </w:r>
    <w:r>
      <w:fldChar w:fldCharType="separate"/>
    </w:r>
    <w:r>
      <w:t>79</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D8DE" w14:textId="6824D808" w:rsidR="007D61FB" w:rsidRPr="007D61FB" w:rsidRDefault="007D61FB" w:rsidP="007D61FB">
    <w:pPr>
      <w:pStyle w:val="ARheader"/>
    </w:pPr>
    <w:r>
      <w:ptab w:relativeTo="margin" w:alignment="left" w:leader="none"/>
    </w:r>
    <w:r>
      <w:t>Department of Families, Fairness and Housing Annual Report 2023</w:t>
    </w:r>
    <w:r w:rsidR="002F7C3E" w:rsidRPr="002F7C3E">
      <w:t>–</w:t>
    </w:r>
    <w:r>
      <w:t>24</w:t>
    </w:r>
    <w:r>
      <w:ptab w:relativeTo="margin" w:alignment="right" w:leader="none"/>
    </w:r>
    <w:r>
      <w:fldChar w:fldCharType="begin"/>
    </w:r>
    <w:r>
      <w:instrText xml:space="preserve"> PAGE   \* MERGEFORMAT </w:instrText>
    </w:r>
    <w:r>
      <w:fldChar w:fldCharType="separate"/>
    </w:r>
    <w:r>
      <w:t>85</w:t>
    </w:r>
    <w:r>
      <w:rPr>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A9EAE" w14:textId="77777777" w:rsidR="0081234A" w:rsidRDefault="0081234A" w:rsidP="0054696F">
    <w:pPr>
      <w:pStyle w:val="AR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B5D95" w14:textId="77777777" w:rsidR="0081234A" w:rsidRDefault="0081234A"/>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35117" w14:textId="77777777" w:rsidR="004F7554" w:rsidRDefault="004F7554"/>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21EB5" w14:textId="77777777" w:rsidR="004F7554" w:rsidRDefault="004F7554"/>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F6A9E" w14:textId="77777777" w:rsidR="004F7554" w:rsidRDefault="004F75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6C915" w14:textId="77777777" w:rsidR="00AD7FE0" w:rsidRDefault="00AD7FE0"/>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3009" w14:textId="77777777" w:rsidR="004F7554" w:rsidRDefault="004F7554"/>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03E2C" w14:textId="77777777" w:rsidR="004F7554" w:rsidRDefault="004F7554"/>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4CBE9" w14:textId="436102A8" w:rsidR="004F7554" w:rsidRDefault="0004596B" w:rsidP="0004596B">
    <w:pPr>
      <w:pStyle w:val="ARheader"/>
    </w:pPr>
    <w:r>
      <w:ptab w:relativeTo="margin" w:alignment="left" w:leader="none"/>
    </w:r>
    <w:r>
      <w:t>Department of Families, Fairness and Housing Annual Report 2023</w:t>
    </w:r>
    <w:r w:rsidR="00CA090F" w:rsidRPr="00CA090F">
      <w:t>–</w:t>
    </w:r>
    <w:r>
      <w:t>24</w:t>
    </w:r>
    <w:r>
      <w:ptab w:relativeTo="margin" w:alignment="right" w:leader="none"/>
    </w:r>
    <w:r>
      <w:fldChar w:fldCharType="begin"/>
    </w:r>
    <w:r>
      <w:instrText xml:space="preserve"> PAGE   \* MERGEFORMAT </w:instrText>
    </w:r>
    <w:r>
      <w:fldChar w:fldCharType="separate"/>
    </w:r>
    <w:r>
      <w:t>105</w:t>
    </w:r>
    <w:r>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51D56" w14:textId="77777777" w:rsidR="004F7554" w:rsidRDefault="004F7554"/>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DA751" w14:textId="01589AEC" w:rsidR="004F7554" w:rsidRPr="00CA090F" w:rsidRDefault="00CA090F" w:rsidP="00CA090F">
    <w:pPr>
      <w:pStyle w:val="ARheader"/>
    </w:pPr>
    <w:r>
      <w:ptab w:relativeTo="margin" w:alignment="left" w:leader="none"/>
    </w:r>
    <w:r>
      <w:t>Department of Families, Fairness and Housing Annual Report 2023</w:t>
    </w:r>
    <w:r w:rsidRPr="00CA090F">
      <w:t>–</w:t>
    </w:r>
    <w:r>
      <w:t>24</w:t>
    </w:r>
    <w:r>
      <w:ptab w:relativeTo="margin" w:alignment="right" w:leader="none"/>
    </w:r>
    <w:r>
      <w:fldChar w:fldCharType="begin"/>
    </w:r>
    <w:r>
      <w:instrText xml:space="preserve"> PAGE   \* MERGEFORMAT </w:instrText>
    </w:r>
    <w:r>
      <w:fldChar w:fldCharType="separate"/>
    </w:r>
    <w:r>
      <w:t>111</w:t>
    </w:r>
    <w:r>
      <w:rPr>
        <w:noProof/>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2EAFE" w14:textId="4F4AFB46" w:rsidR="004F7554" w:rsidRDefault="00CA090F" w:rsidP="00CA090F">
    <w:pPr>
      <w:pStyle w:val="ARheader"/>
    </w:pPr>
    <w:r>
      <w:ptab w:relativeTo="margin" w:alignment="left" w:leader="none"/>
    </w:r>
    <w:r>
      <w:t>Department of Families, Fairness and Housing Annual Report 2023</w:t>
    </w:r>
    <w:r w:rsidRPr="00CA090F">
      <w:t>–</w:t>
    </w:r>
    <w:r>
      <w:t>24</w:t>
    </w:r>
    <w:r>
      <w:ptab w:relativeTo="margin" w:alignment="right" w:leader="none"/>
    </w:r>
    <w:r>
      <w:fldChar w:fldCharType="begin"/>
    </w:r>
    <w:r>
      <w:instrText xml:space="preserve"> PAGE   \* MERGEFORMAT </w:instrText>
    </w:r>
    <w:r>
      <w:fldChar w:fldCharType="separate"/>
    </w:r>
    <w:r>
      <w:t>117</w:t>
    </w:r>
    <w:r>
      <w:rPr>
        <w:noProof/>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48F5E" w14:textId="77777777" w:rsidR="005B131E" w:rsidRDefault="005B131E"/>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0E5C" w14:textId="77777777" w:rsidR="005B131E" w:rsidRDefault="005B131E"/>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F0CD1" w14:textId="77777777" w:rsidR="00083017" w:rsidRDefault="00083017"/>
  <w:p w14:paraId="388B8631" w14:textId="77777777" w:rsidR="00083017" w:rsidRDefault="0008301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32A0F" w14:textId="77777777" w:rsidR="00083017" w:rsidRPr="000000D1" w:rsidRDefault="00083017" w:rsidP="0013600A">
    <w:pPr>
      <w:pStyle w:val="ARheader"/>
    </w:pPr>
    <w:r>
      <w:t>Department of Families, Fairness and Housing Annual Report 2023–24</w:t>
    </w:r>
    <w:r w:rsidRPr="000000D1">
      <w:ptab w:relativeTo="margin" w:alignment="right" w:leader="none"/>
    </w:r>
    <w:r w:rsidRPr="000000D1">
      <w:fldChar w:fldCharType="begin"/>
    </w:r>
    <w:r w:rsidRPr="000000D1">
      <w:instrText xml:space="preserve"> PAGE </w:instrText>
    </w:r>
    <w:r w:rsidRPr="000000D1">
      <w:fldChar w:fldCharType="separate"/>
    </w:r>
    <w:r w:rsidRPr="000000D1">
      <w:t>1</w:t>
    </w:r>
    <w:r w:rsidRPr="000000D1">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D8A8C" w14:textId="77777777" w:rsidR="00AD7FE0" w:rsidRDefault="00AD7FE0"/>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02D13" w14:textId="77777777" w:rsidR="0081234A" w:rsidRDefault="0081234A"/>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0E874" w14:textId="77777777" w:rsidR="0081234A" w:rsidRDefault="0081234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50DFC" w14:textId="77777777" w:rsidR="00AD7FE0" w:rsidRDefault="00AD7FE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9F079" w14:textId="0DDA6EA9" w:rsidR="00AD7FE0" w:rsidRDefault="00AD7FE0" w:rsidP="0013600A">
    <w:pPr>
      <w:pStyle w:val="ARheader"/>
    </w:pPr>
    <w:r>
      <w:ptab w:relativeTo="margin" w:alignment="left" w:leader="none"/>
    </w:r>
    <w:r>
      <w:t>Department of Families, Fairness and Housing Annual Report 2023</w:t>
    </w:r>
    <w:r w:rsidR="0061384A" w:rsidRPr="0061384A">
      <w:t>–</w:t>
    </w:r>
    <w:r>
      <w:t>24</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AE8FF" w14:textId="77777777" w:rsidR="00AD7FE0" w:rsidRDefault="00AD7FE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EE21F" w14:textId="77777777" w:rsidR="00AD7FE0" w:rsidRDefault="00AD7FE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01938" w14:textId="7697416D" w:rsidR="00AD7FE0" w:rsidRDefault="00AD7FE0" w:rsidP="0013600A">
    <w:pPr>
      <w:pStyle w:val="ARheader"/>
    </w:pPr>
    <w:r>
      <w:ptab w:relativeTo="margin" w:alignment="left" w:leader="none"/>
    </w:r>
    <w:r>
      <w:t>Department of Families, Fairness and Housing Annual Report 2023</w:t>
    </w:r>
    <w:r w:rsidR="00CC5902" w:rsidRPr="00CC5902">
      <w:t>–</w:t>
    </w:r>
    <w:r>
      <w:t>24</w:t>
    </w:r>
    <w:r>
      <w:ptab w:relativeTo="margin" w:alignment="right" w:leader="none"/>
    </w:r>
    <w:r>
      <w:fldChar w:fldCharType="begin"/>
    </w:r>
    <w:r>
      <w:instrText xml:space="preserve"> PAGE   \* MERGEFORMAT </w:instrText>
    </w:r>
    <w:r>
      <w:fldChar w:fldCharType="separate"/>
    </w:r>
    <w:r>
      <w:t>21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4BE88EA2"/>
    <w:lvl w:ilvl="0">
      <w:start w:val="1"/>
      <w:numFmt w:val="decimal"/>
      <w:pStyle w:val="ListNumber2"/>
      <w:lvlText w:val="%1."/>
      <w:lvlJc w:val="left"/>
      <w:pPr>
        <w:tabs>
          <w:tab w:val="num" w:pos="643"/>
        </w:tabs>
        <w:ind w:left="643" w:hanging="360"/>
      </w:pPr>
    </w:lvl>
  </w:abstractNum>
  <w:abstractNum w:abstractNumId="1" w15:restartNumberingAfterBreak="0">
    <w:nsid w:val="02F2323C"/>
    <w:multiLevelType w:val="hybridMultilevel"/>
    <w:tmpl w:val="A61C06F4"/>
    <w:lvl w:ilvl="0" w:tplc="24BCA682">
      <w:start w:val="1"/>
      <w:numFmt w:val="bullet"/>
      <w:pStyle w:val="ListBullet"/>
      <w:lvlText w:val=""/>
      <w:lvlJc w:val="left"/>
      <w:pPr>
        <w:ind w:left="284" w:hanging="284"/>
      </w:pPr>
      <w:rPr>
        <w:rFonts w:ascii="Symbol" w:hAnsi="Symbol" w:hint="default"/>
      </w:rPr>
    </w:lvl>
    <w:lvl w:ilvl="1" w:tplc="62942078">
      <w:start w:val="1"/>
      <w:numFmt w:val="bullet"/>
      <w:pStyle w:val="ListBullet2"/>
      <w:lvlText w:val="–"/>
      <w:lvlJc w:val="left"/>
      <w:pPr>
        <w:ind w:left="568" w:hanging="284"/>
      </w:pPr>
      <w:rPr>
        <w:rFonts w:ascii="Arial" w:hAnsi="Arial" w:hint="default"/>
      </w:rPr>
    </w:lvl>
    <w:lvl w:ilvl="2" w:tplc="DE587716">
      <w:start w:val="1"/>
      <w:numFmt w:val="bullet"/>
      <w:pStyle w:val="ListBullet3"/>
      <w:lvlText w:val=""/>
      <w:lvlJc w:val="left"/>
      <w:pPr>
        <w:ind w:left="852" w:hanging="284"/>
      </w:pPr>
      <w:rPr>
        <w:rFonts w:ascii="Symbol" w:hAnsi="Symbol" w:hint="default"/>
      </w:rPr>
    </w:lvl>
    <w:lvl w:ilvl="3" w:tplc="0584F940">
      <w:start w:val="1"/>
      <w:numFmt w:val="decimal"/>
      <w:lvlText w:val="(%4)"/>
      <w:lvlJc w:val="left"/>
      <w:pPr>
        <w:ind w:left="1136" w:hanging="284"/>
      </w:pPr>
      <w:rPr>
        <w:rFonts w:hint="default"/>
      </w:rPr>
    </w:lvl>
    <w:lvl w:ilvl="4" w:tplc="B0960C8E">
      <w:start w:val="1"/>
      <w:numFmt w:val="lowerLetter"/>
      <w:lvlText w:val="(%5)"/>
      <w:lvlJc w:val="left"/>
      <w:pPr>
        <w:ind w:left="1420" w:hanging="284"/>
      </w:pPr>
      <w:rPr>
        <w:rFonts w:hint="default"/>
      </w:rPr>
    </w:lvl>
    <w:lvl w:ilvl="5" w:tplc="24E03318">
      <w:start w:val="1"/>
      <w:numFmt w:val="lowerRoman"/>
      <w:lvlText w:val="(%6)"/>
      <w:lvlJc w:val="left"/>
      <w:pPr>
        <w:ind w:left="1704" w:hanging="284"/>
      </w:pPr>
      <w:rPr>
        <w:rFonts w:hint="default"/>
      </w:rPr>
    </w:lvl>
    <w:lvl w:ilvl="6" w:tplc="A5705250">
      <w:start w:val="1"/>
      <w:numFmt w:val="decimal"/>
      <w:lvlText w:val="%7."/>
      <w:lvlJc w:val="left"/>
      <w:pPr>
        <w:ind w:left="1988" w:hanging="284"/>
      </w:pPr>
      <w:rPr>
        <w:rFonts w:hint="default"/>
      </w:rPr>
    </w:lvl>
    <w:lvl w:ilvl="7" w:tplc="4274CDDC">
      <w:start w:val="1"/>
      <w:numFmt w:val="lowerLetter"/>
      <w:lvlText w:val="%8."/>
      <w:lvlJc w:val="left"/>
      <w:pPr>
        <w:ind w:left="2272" w:hanging="284"/>
      </w:pPr>
      <w:rPr>
        <w:rFonts w:hint="default"/>
      </w:rPr>
    </w:lvl>
    <w:lvl w:ilvl="8" w:tplc="0A50ECDE">
      <w:start w:val="1"/>
      <w:numFmt w:val="lowerRoman"/>
      <w:lvlText w:val="%9."/>
      <w:lvlJc w:val="left"/>
      <w:pPr>
        <w:ind w:left="2556" w:hanging="284"/>
      </w:pPr>
      <w:rPr>
        <w:rFonts w:hint="default"/>
      </w:rPr>
    </w:lvl>
  </w:abstractNum>
  <w:abstractNum w:abstractNumId="2" w15:restartNumberingAfterBreak="0">
    <w:nsid w:val="10193262"/>
    <w:multiLevelType w:val="multilevel"/>
    <w:tmpl w:val="EEC8F62A"/>
    <w:lvl w:ilvl="0">
      <w:start w:val="1"/>
      <w:numFmt w:val="bullet"/>
      <w:pStyle w:val="ARfinbullet1"/>
      <w:lvlText w:val="•"/>
      <w:lvlJc w:val="left"/>
      <w:pPr>
        <w:ind w:left="284" w:hanging="284"/>
      </w:pPr>
      <w:rPr>
        <w:rFonts w:ascii="Calibri" w:hAnsi="Calibri" w:hint="default"/>
      </w:rPr>
    </w:lvl>
    <w:lvl w:ilvl="1">
      <w:start w:val="1"/>
      <w:numFmt w:val="bullet"/>
      <w:lvlRestart w:val="0"/>
      <w:pStyle w:val="ARfinbullet2"/>
      <w:lvlText w:val="–"/>
      <w:lvlJc w:val="left"/>
      <w:pPr>
        <w:tabs>
          <w:tab w:val="num" w:pos="284"/>
        </w:tabs>
        <w:ind w:left="567" w:hanging="283"/>
      </w:pPr>
      <w:rPr>
        <w:rFonts w:ascii="Calibri" w:hAnsi="Calibri" w:hint="default"/>
      </w:rPr>
    </w:lvl>
    <w:lvl w:ilvl="2">
      <w:start w:val="1"/>
      <w:numFmt w:val="bullet"/>
      <w:lvlRestart w:val="0"/>
      <w:pStyle w:val="ARfinbullet1afterdigitoralpha"/>
      <w:lvlText w:val="•"/>
      <w:lvlJc w:val="left"/>
      <w:pPr>
        <w:tabs>
          <w:tab w:val="num" w:pos="284"/>
        </w:tabs>
        <w:ind w:left="510" w:hanging="226"/>
      </w:pPr>
      <w:rPr>
        <w:rFonts w:ascii="Calibri" w:hAnsi="Calibri"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0460543"/>
    <w:multiLevelType w:val="hybridMultilevel"/>
    <w:tmpl w:val="6F9067C6"/>
    <w:lvl w:ilvl="0" w:tplc="EC8EA568">
      <w:start w:val="1"/>
      <w:numFmt w:val="bullet"/>
      <w:pStyle w:val="ARtablebullet1"/>
      <w:lvlText w:val="•"/>
      <w:lvlJc w:val="left"/>
      <w:pPr>
        <w:ind w:left="227" w:hanging="227"/>
      </w:pPr>
      <w:rPr>
        <w:rFonts w:ascii="Calibri" w:hAnsi="Calibri" w:hint="default"/>
      </w:rPr>
    </w:lvl>
    <w:lvl w:ilvl="1" w:tplc="1BB2CB32">
      <w:start w:val="1"/>
      <w:numFmt w:val="bullet"/>
      <w:lvlRestart w:val="0"/>
      <w:pStyle w:val="ARtablebullet2"/>
      <w:lvlText w:val="–"/>
      <w:lvlJc w:val="left"/>
      <w:pPr>
        <w:ind w:left="454" w:hanging="227"/>
      </w:pPr>
      <w:rPr>
        <w:rFonts w:ascii="Calibri" w:hAnsi="Calibri" w:hint="default"/>
      </w:rPr>
    </w:lvl>
    <w:lvl w:ilvl="2" w:tplc="DBB69344">
      <w:start w:val="1"/>
      <w:numFmt w:val="none"/>
      <w:lvlRestart w:val="0"/>
      <w:lvlText w:val=""/>
      <w:lvlJc w:val="left"/>
      <w:pPr>
        <w:ind w:left="0" w:firstLine="0"/>
      </w:pPr>
      <w:rPr>
        <w:rFonts w:hint="default"/>
      </w:rPr>
    </w:lvl>
    <w:lvl w:ilvl="3" w:tplc="3EA6E694">
      <w:start w:val="1"/>
      <w:numFmt w:val="none"/>
      <w:lvlRestart w:val="0"/>
      <w:lvlText w:val=""/>
      <w:lvlJc w:val="left"/>
      <w:pPr>
        <w:ind w:left="0" w:firstLine="0"/>
      </w:pPr>
      <w:rPr>
        <w:rFonts w:hint="default"/>
      </w:rPr>
    </w:lvl>
    <w:lvl w:ilvl="4" w:tplc="4B767A1A">
      <w:start w:val="1"/>
      <w:numFmt w:val="none"/>
      <w:lvlRestart w:val="0"/>
      <w:lvlText w:val=""/>
      <w:lvlJc w:val="left"/>
      <w:pPr>
        <w:ind w:left="0" w:firstLine="0"/>
      </w:pPr>
      <w:rPr>
        <w:rFonts w:hint="default"/>
      </w:rPr>
    </w:lvl>
    <w:lvl w:ilvl="5" w:tplc="CA76A10E">
      <w:start w:val="1"/>
      <w:numFmt w:val="none"/>
      <w:lvlRestart w:val="0"/>
      <w:lvlText w:val=""/>
      <w:lvlJc w:val="left"/>
      <w:pPr>
        <w:ind w:left="0" w:firstLine="0"/>
      </w:pPr>
      <w:rPr>
        <w:rFonts w:hint="default"/>
      </w:rPr>
    </w:lvl>
    <w:lvl w:ilvl="6" w:tplc="01D0E186">
      <w:start w:val="1"/>
      <w:numFmt w:val="none"/>
      <w:lvlRestart w:val="0"/>
      <w:lvlText w:val=""/>
      <w:lvlJc w:val="left"/>
      <w:pPr>
        <w:ind w:left="0" w:firstLine="0"/>
      </w:pPr>
      <w:rPr>
        <w:rFonts w:hint="default"/>
      </w:rPr>
    </w:lvl>
    <w:lvl w:ilvl="7" w:tplc="8BDC2024">
      <w:start w:val="1"/>
      <w:numFmt w:val="none"/>
      <w:lvlRestart w:val="0"/>
      <w:lvlText w:val=""/>
      <w:lvlJc w:val="left"/>
      <w:pPr>
        <w:ind w:left="0" w:firstLine="0"/>
      </w:pPr>
      <w:rPr>
        <w:rFonts w:hint="default"/>
      </w:rPr>
    </w:lvl>
    <w:lvl w:ilvl="8" w:tplc="4FA0FEFC">
      <w:start w:val="1"/>
      <w:numFmt w:val="none"/>
      <w:lvlRestart w:val="0"/>
      <w:lvlText w:val=""/>
      <w:lvlJc w:val="left"/>
      <w:pPr>
        <w:ind w:left="0" w:firstLine="0"/>
      </w:pPr>
      <w:rPr>
        <w:rFonts w:hint="default"/>
      </w:rPr>
    </w:lvl>
  </w:abstractNum>
  <w:abstractNum w:abstractNumId="4" w15:restartNumberingAfterBreak="0">
    <w:nsid w:val="12F62030"/>
    <w:multiLevelType w:val="hybridMultilevel"/>
    <w:tmpl w:val="1CD805AE"/>
    <w:lvl w:ilvl="0" w:tplc="07D60942">
      <w:start w:val="1"/>
      <w:numFmt w:val="bullet"/>
      <w:lvlText w:val="•"/>
      <w:lvlJc w:val="left"/>
      <w:pPr>
        <w:ind w:left="720" w:hanging="360"/>
      </w:pPr>
      <w:rPr>
        <w:rFonts w:ascii="Galano Grotesque" w:hAnsi="Galano Grotesq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07F30"/>
    <w:multiLevelType w:val="hybridMultilevel"/>
    <w:tmpl w:val="517A3424"/>
    <w:lvl w:ilvl="0" w:tplc="D046BE34">
      <w:start w:val="1"/>
      <w:numFmt w:val="bullet"/>
      <w:pStyle w:val="ARfootnotebullet"/>
      <w:lvlText w:val="•"/>
      <w:lvlJc w:val="left"/>
      <w:pPr>
        <w:ind w:left="1080" w:hanging="360"/>
      </w:pPr>
      <w:rPr>
        <w:rFonts w:ascii="Galano Grotesque" w:hAnsi="Galano Grotesqu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D95887"/>
    <w:multiLevelType w:val="hybridMultilevel"/>
    <w:tmpl w:val="564299E6"/>
    <w:styleLink w:val="Tablefootnotes"/>
    <w:lvl w:ilvl="0" w:tplc="915E6960">
      <w:start w:val="1"/>
      <w:numFmt w:val="none"/>
      <w:suff w:val="nothing"/>
      <w:lvlText w:val=""/>
      <w:lvlJc w:val="left"/>
      <w:pPr>
        <w:ind w:left="0" w:firstLine="0"/>
      </w:pPr>
      <w:rPr>
        <w:rFonts w:hint="default"/>
      </w:rPr>
    </w:lvl>
    <w:lvl w:ilvl="1" w:tplc="1F32490C">
      <w:start w:val="1"/>
      <w:numFmt w:val="lowerRoman"/>
      <w:lvlText w:val="(%2)"/>
      <w:lvlJc w:val="left"/>
      <w:pPr>
        <w:tabs>
          <w:tab w:val="num" w:pos="284"/>
        </w:tabs>
        <w:ind w:left="284" w:hanging="284"/>
      </w:pPr>
      <w:rPr>
        <w:rFonts w:hint="default"/>
      </w:rPr>
    </w:lvl>
    <w:lvl w:ilvl="2" w:tplc="C0064F14">
      <w:start w:val="1"/>
      <w:numFmt w:val="bullet"/>
      <w:lvlRestart w:val="0"/>
      <w:lvlText w:val="•"/>
      <w:lvlJc w:val="left"/>
      <w:pPr>
        <w:ind w:left="510" w:hanging="226"/>
      </w:pPr>
      <w:rPr>
        <w:rFonts w:ascii="Calibri" w:hAnsi="Calibri" w:hint="default"/>
        <w:color w:val="auto"/>
      </w:rPr>
    </w:lvl>
    <w:lvl w:ilvl="3" w:tplc="279AC4D6">
      <w:start w:val="1"/>
      <w:numFmt w:val="decimal"/>
      <w:lvlText w:val="(%4)"/>
      <w:lvlJc w:val="left"/>
      <w:pPr>
        <w:ind w:left="1440" w:hanging="360"/>
      </w:pPr>
      <w:rPr>
        <w:rFonts w:hint="default"/>
      </w:rPr>
    </w:lvl>
    <w:lvl w:ilvl="4" w:tplc="E4505786">
      <w:start w:val="1"/>
      <w:numFmt w:val="lowerLetter"/>
      <w:lvlText w:val="(%5)"/>
      <w:lvlJc w:val="left"/>
      <w:pPr>
        <w:ind w:left="1800" w:hanging="360"/>
      </w:pPr>
      <w:rPr>
        <w:rFonts w:hint="default"/>
      </w:rPr>
    </w:lvl>
    <w:lvl w:ilvl="5" w:tplc="492EE5F8">
      <w:start w:val="1"/>
      <w:numFmt w:val="lowerRoman"/>
      <w:lvlText w:val="(%6)"/>
      <w:lvlJc w:val="left"/>
      <w:pPr>
        <w:ind w:left="2160" w:hanging="360"/>
      </w:pPr>
      <w:rPr>
        <w:rFonts w:hint="default"/>
      </w:rPr>
    </w:lvl>
    <w:lvl w:ilvl="6" w:tplc="ECF407E6">
      <w:start w:val="1"/>
      <w:numFmt w:val="decimal"/>
      <w:lvlText w:val="%7."/>
      <w:lvlJc w:val="left"/>
      <w:pPr>
        <w:ind w:left="2520" w:hanging="360"/>
      </w:pPr>
      <w:rPr>
        <w:rFonts w:hint="default"/>
      </w:rPr>
    </w:lvl>
    <w:lvl w:ilvl="7" w:tplc="630E965C">
      <w:start w:val="1"/>
      <w:numFmt w:val="lowerLetter"/>
      <w:lvlText w:val="%8."/>
      <w:lvlJc w:val="left"/>
      <w:pPr>
        <w:ind w:left="2880" w:hanging="360"/>
      </w:pPr>
      <w:rPr>
        <w:rFonts w:hint="default"/>
      </w:rPr>
    </w:lvl>
    <w:lvl w:ilvl="8" w:tplc="F6F0DF1A">
      <w:start w:val="1"/>
      <w:numFmt w:val="lowerRoman"/>
      <w:lvlText w:val="%9."/>
      <w:lvlJc w:val="left"/>
      <w:pPr>
        <w:ind w:left="3240" w:hanging="360"/>
      </w:pPr>
      <w:rPr>
        <w:rFonts w:hint="default"/>
      </w:rPr>
    </w:lvl>
  </w:abstractNum>
  <w:abstractNum w:abstractNumId="7" w15:restartNumberingAfterBreak="0">
    <w:nsid w:val="21FD1567"/>
    <w:multiLevelType w:val="hybridMultilevel"/>
    <w:tmpl w:val="76B68A5C"/>
    <w:styleLink w:val="Style2"/>
    <w:lvl w:ilvl="0" w:tplc="0FB88C0A">
      <w:start w:val="1"/>
      <w:numFmt w:val="lowerRoman"/>
      <w:pStyle w:val="ARtablefootnoteroman"/>
      <w:lvlText w:val="(%1)"/>
      <w:lvlJc w:val="left"/>
      <w:pPr>
        <w:tabs>
          <w:tab w:val="num" w:pos="284"/>
        </w:tabs>
        <w:ind w:left="284" w:hanging="284"/>
      </w:pPr>
      <w:rPr>
        <w:rFonts w:hint="default"/>
      </w:rPr>
    </w:lvl>
    <w:lvl w:ilvl="1" w:tplc="BEDCA2C6">
      <w:start w:val="1"/>
      <w:numFmt w:val="none"/>
      <w:lvlRestart w:val="0"/>
      <w:lvlText w:val=""/>
      <w:lvlJc w:val="left"/>
      <w:pPr>
        <w:ind w:left="0" w:firstLine="0"/>
      </w:pPr>
      <w:rPr>
        <w:rFonts w:hint="default"/>
      </w:rPr>
    </w:lvl>
    <w:lvl w:ilvl="2" w:tplc="1410005C">
      <w:start w:val="1"/>
      <w:numFmt w:val="none"/>
      <w:lvlRestart w:val="0"/>
      <w:lvlText w:val=""/>
      <w:lvlJc w:val="left"/>
      <w:pPr>
        <w:ind w:left="0" w:firstLine="0"/>
      </w:pPr>
      <w:rPr>
        <w:rFonts w:hint="default"/>
      </w:rPr>
    </w:lvl>
    <w:lvl w:ilvl="3" w:tplc="25523A14">
      <w:start w:val="1"/>
      <w:numFmt w:val="none"/>
      <w:lvlRestart w:val="0"/>
      <w:lvlText w:val=""/>
      <w:lvlJc w:val="left"/>
      <w:pPr>
        <w:ind w:left="0" w:firstLine="0"/>
      </w:pPr>
      <w:rPr>
        <w:rFonts w:hint="default"/>
      </w:rPr>
    </w:lvl>
    <w:lvl w:ilvl="4" w:tplc="6BE47768">
      <w:start w:val="1"/>
      <w:numFmt w:val="none"/>
      <w:lvlRestart w:val="0"/>
      <w:lvlText w:val=""/>
      <w:lvlJc w:val="left"/>
      <w:pPr>
        <w:ind w:left="0" w:firstLine="0"/>
      </w:pPr>
      <w:rPr>
        <w:rFonts w:hint="default"/>
      </w:rPr>
    </w:lvl>
    <w:lvl w:ilvl="5" w:tplc="663ECBFC">
      <w:start w:val="1"/>
      <w:numFmt w:val="none"/>
      <w:lvlRestart w:val="0"/>
      <w:lvlText w:val=""/>
      <w:lvlJc w:val="left"/>
      <w:pPr>
        <w:ind w:left="0" w:firstLine="0"/>
      </w:pPr>
      <w:rPr>
        <w:rFonts w:hint="default"/>
      </w:rPr>
    </w:lvl>
    <w:lvl w:ilvl="6" w:tplc="2A7896FE">
      <w:start w:val="1"/>
      <w:numFmt w:val="none"/>
      <w:lvlRestart w:val="0"/>
      <w:lvlText w:val=""/>
      <w:lvlJc w:val="left"/>
      <w:pPr>
        <w:ind w:left="0" w:firstLine="0"/>
      </w:pPr>
      <w:rPr>
        <w:rFonts w:hint="default"/>
      </w:rPr>
    </w:lvl>
    <w:lvl w:ilvl="7" w:tplc="27926564">
      <w:start w:val="1"/>
      <w:numFmt w:val="none"/>
      <w:lvlRestart w:val="0"/>
      <w:lvlText w:val=""/>
      <w:lvlJc w:val="left"/>
      <w:pPr>
        <w:ind w:left="0" w:firstLine="0"/>
      </w:pPr>
      <w:rPr>
        <w:rFonts w:hint="default"/>
      </w:rPr>
    </w:lvl>
    <w:lvl w:ilvl="8" w:tplc="386034F4">
      <w:start w:val="1"/>
      <w:numFmt w:val="none"/>
      <w:lvlRestart w:val="0"/>
      <w:lvlText w:val=""/>
      <w:lvlJc w:val="left"/>
      <w:pPr>
        <w:ind w:left="0" w:firstLine="0"/>
      </w:pPr>
      <w:rPr>
        <w:rFonts w:hint="default"/>
      </w:rPr>
    </w:lvl>
  </w:abstractNum>
  <w:abstractNum w:abstractNumId="8" w15:restartNumberingAfterBreak="0">
    <w:nsid w:val="23B20CBB"/>
    <w:multiLevelType w:val="hybridMultilevel"/>
    <w:tmpl w:val="E46CA4EA"/>
    <w:lvl w:ilvl="0" w:tplc="BF12C23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EC4788"/>
    <w:multiLevelType w:val="multilevel"/>
    <w:tmpl w:val="1EB4669C"/>
    <w:lvl w:ilvl="0">
      <w:start w:val="1"/>
      <w:numFmt w:val="lowerLetter"/>
      <w:pStyle w:val="ARfinnumberalpha1"/>
      <w:lvlText w:val="(%1)"/>
      <w:lvlJc w:val="left"/>
      <w:pPr>
        <w:ind w:left="284" w:hanging="284"/>
      </w:pPr>
      <w:rPr>
        <w:rFonts w:hint="default"/>
      </w:rPr>
    </w:lvl>
    <w:lvl w:ilvl="1">
      <w:start w:val="1"/>
      <w:numFmt w:val="none"/>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3CE84DF4"/>
    <w:multiLevelType w:val="hybridMultilevel"/>
    <w:tmpl w:val="088668C0"/>
    <w:lvl w:ilvl="0" w:tplc="BEF8B0D6">
      <w:start w:val="1"/>
      <w:numFmt w:val="lowerLetter"/>
      <w:lvlText w:val="(%1)"/>
      <w:lvlJc w:val="left"/>
      <w:pPr>
        <w:tabs>
          <w:tab w:val="num" w:pos="397"/>
        </w:tabs>
        <w:ind w:left="397" w:hanging="397"/>
      </w:pPr>
      <w:rPr>
        <w:rFonts w:cs="Times New Roman" w:hint="default"/>
      </w:rPr>
    </w:lvl>
    <w:lvl w:ilvl="1" w:tplc="95649E28">
      <w:start w:val="1"/>
      <w:numFmt w:val="lowerLetter"/>
      <w:lvlRestart w:val="0"/>
      <w:lvlText w:val="(%2)"/>
      <w:lvlJc w:val="left"/>
      <w:pPr>
        <w:tabs>
          <w:tab w:val="num" w:pos="680"/>
        </w:tabs>
        <w:ind w:left="680" w:hanging="396"/>
      </w:pPr>
      <w:rPr>
        <w:rFonts w:cs="Times New Roman" w:hint="default"/>
      </w:rPr>
    </w:lvl>
    <w:lvl w:ilvl="2" w:tplc="16704DEC">
      <w:start w:val="1"/>
      <w:numFmt w:val="lowerRoman"/>
      <w:lvlRestart w:val="0"/>
      <w:lvlText w:val="(%3)"/>
      <w:lvlJc w:val="left"/>
      <w:pPr>
        <w:tabs>
          <w:tab w:val="num" w:pos="794"/>
        </w:tabs>
        <w:ind w:left="794" w:hanging="397"/>
      </w:pPr>
      <w:rPr>
        <w:rFonts w:cs="Times New Roman" w:hint="default"/>
      </w:rPr>
    </w:lvl>
    <w:lvl w:ilvl="3" w:tplc="AE940E46">
      <w:start w:val="1"/>
      <w:numFmt w:val="bullet"/>
      <w:lvlText w:val=""/>
      <w:lvlJc w:val="left"/>
      <w:pPr>
        <w:tabs>
          <w:tab w:val="num" w:pos="2880"/>
        </w:tabs>
        <w:ind w:left="2880" w:hanging="360"/>
      </w:pPr>
      <w:rPr>
        <w:rFonts w:ascii="Symbol" w:hAnsi="Symbol" w:hint="default"/>
      </w:rPr>
    </w:lvl>
    <w:lvl w:ilvl="4" w:tplc="FCF6EC3A">
      <w:start w:val="1"/>
      <w:numFmt w:val="bullet"/>
      <w:lvlText w:val="o"/>
      <w:lvlJc w:val="left"/>
      <w:pPr>
        <w:tabs>
          <w:tab w:val="num" w:pos="3600"/>
        </w:tabs>
        <w:ind w:left="3600" w:hanging="360"/>
      </w:pPr>
      <w:rPr>
        <w:rFonts w:ascii="Courier New" w:hAnsi="Courier New" w:hint="default"/>
      </w:rPr>
    </w:lvl>
    <w:lvl w:ilvl="5" w:tplc="22707CF6">
      <w:start w:val="1"/>
      <w:numFmt w:val="bullet"/>
      <w:lvlText w:val=""/>
      <w:lvlJc w:val="left"/>
      <w:pPr>
        <w:tabs>
          <w:tab w:val="num" w:pos="4320"/>
        </w:tabs>
        <w:ind w:left="4320" w:hanging="360"/>
      </w:pPr>
      <w:rPr>
        <w:rFonts w:ascii="Wingdings" w:hAnsi="Wingdings" w:hint="default"/>
      </w:rPr>
    </w:lvl>
    <w:lvl w:ilvl="6" w:tplc="5F942530">
      <w:start w:val="1"/>
      <w:numFmt w:val="bullet"/>
      <w:lvlText w:val=""/>
      <w:lvlJc w:val="left"/>
      <w:pPr>
        <w:tabs>
          <w:tab w:val="num" w:pos="5040"/>
        </w:tabs>
        <w:ind w:left="5040" w:hanging="360"/>
      </w:pPr>
      <w:rPr>
        <w:rFonts w:ascii="Symbol" w:hAnsi="Symbol" w:hint="default"/>
      </w:rPr>
    </w:lvl>
    <w:lvl w:ilvl="7" w:tplc="F0F46D92">
      <w:start w:val="1"/>
      <w:numFmt w:val="bullet"/>
      <w:lvlText w:val="o"/>
      <w:lvlJc w:val="left"/>
      <w:pPr>
        <w:tabs>
          <w:tab w:val="num" w:pos="5760"/>
        </w:tabs>
        <w:ind w:left="5760" w:hanging="360"/>
      </w:pPr>
      <w:rPr>
        <w:rFonts w:ascii="Courier New" w:hAnsi="Courier New" w:hint="default"/>
      </w:rPr>
    </w:lvl>
    <w:lvl w:ilvl="8" w:tplc="DC94D42C">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6C68D4"/>
    <w:multiLevelType w:val="multilevel"/>
    <w:tmpl w:val="F206941E"/>
    <w:styleLink w:val="ZZTablefootnotenumbers"/>
    <w:lvl w:ilvl="0">
      <w:start w:val="1"/>
      <w:numFmt w:val="decimal"/>
      <w:pStyle w:val="ARnumberdigit"/>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425B52EE"/>
    <w:multiLevelType w:val="hybridMultilevel"/>
    <w:tmpl w:val="67246752"/>
    <w:lvl w:ilvl="0" w:tplc="D21876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2C0A9D"/>
    <w:multiLevelType w:val="multilevel"/>
    <w:tmpl w:val="82462BA6"/>
    <w:lvl w:ilvl="0">
      <w:start w:val="1"/>
      <w:numFmt w:val="bullet"/>
      <w:pStyle w:val="ARbullet1"/>
      <w:lvlText w:val="&gt;"/>
      <w:lvlJc w:val="left"/>
      <w:pPr>
        <w:ind w:left="284" w:hanging="284"/>
      </w:pPr>
      <w:rPr>
        <w:rFonts w:ascii="Calibri" w:hAnsi="Calibri" w:hint="default"/>
        <w:color w:val="005D8F" w:themeColor="text2"/>
        <w:sz w:val="22"/>
      </w:rPr>
    </w:lvl>
    <w:lvl w:ilvl="1">
      <w:start w:val="1"/>
      <w:numFmt w:val="bullet"/>
      <w:lvlRestart w:val="0"/>
      <w:pStyle w:val="ARbullet2"/>
      <w:lvlText w:val="–"/>
      <w:lvlJc w:val="left"/>
      <w:pPr>
        <w:ind w:left="567" w:hanging="283"/>
      </w:pPr>
      <w:rPr>
        <w:rFonts w:ascii="Calibri" w:hAnsi="Calibri" w:hint="default"/>
        <w:color w:val="auto"/>
      </w:rPr>
    </w:lvl>
    <w:lvl w:ilvl="2">
      <w:start w:val="1"/>
      <w:numFmt w:val="bullet"/>
      <w:lvlRestart w:val="0"/>
      <w:pStyle w:val="ARbullet3"/>
      <w:lvlText w:val="▪"/>
      <w:lvlJc w:val="left"/>
      <w:pPr>
        <w:ind w:left="851" w:hanging="284"/>
      </w:pPr>
      <w:rPr>
        <w:rFonts w:ascii="Calibri" w:hAnsi="Calibri"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0D66A14"/>
    <w:multiLevelType w:val="hybridMultilevel"/>
    <w:tmpl w:val="8190EB30"/>
    <w:lvl w:ilvl="0" w:tplc="025A8F12">
      <w:start w:val="1"/>
      <w:numFmt w:val="bullet"/>
      <w:pStyle w:val="ARfintablefootnoteindentbullet1"/>
      <w:lvlText w:val="•"/>
      <w:lvlJc w:val="left"/>
      <w:pPr>
        <w:ind w:left="720" w:hanging="360"/>
      </w:pPr>
      <w:rPr>
        <w:rFonts w:ascii="Galano Grotesque" w:hAnsi="Galano Grotesq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364E9D"/>
    <w:multiLevelType w:val="multilevel"/>
    <w:tmpl w:val="A67C8CAE"/>
    <w:styleLink w:val="ARnumberedparas"/>
    <w:lvl w:ilvl="0">
      <w:start w:val="1"/>
      <w:numFmt w:val="decimal"/>
      <w:pStyle w:val="ARtablefootnotenumbered"/>
      <w:lvlText w:val="%1."/>
      <w:lvlJc w:val="left"/>
      <w:pPr>
        <w:tabs>
          <w:tab w:val="num" w:pos="284"/>
        </w:tabs>
        <w:ind w:left="284" w:hanging="284"/>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72707A71"/>
    <w:multiLevelType w:val="multilevel"/>
    <w:tmpl w:val="CF2A3AE8"/>
    <w:styleLink w:val="ZZTablefootnotebullets"/>
    <w:lvl w:ilvl="0">
      <w:numFmt w:val="bullet"/>
      <w:pStyle w:val="ARtablefootnotebullet"/>
      <w:lvlText w:val="•"/>
      <w:lvlJc w:val="left"/>
      <w:pPr>
        <w:ind w:left="284" w:hanging="284"/>
      </w:pPr>
      <w:rPr>
        <w:rFonts w:ascii="Calibri" w:hAnsi="Calibri" w:hint="default"/>
        <w:color w:va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76237389"/>
    <w:multiLevelType w:val="hybridMultilevel"/>
    <w:tmpl w:val="21A62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F750547"/>
    <w:multiLevelType w:val="hybridMultilevel"/>
    <w:tmpl w:val="BAFCC746"/>
    <w:lvl w:ilvl="0" w:tplc="618EF63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26807472">
    <w:abstractNumId w:val="1"/>
  </w:num>
  <w:num w:numId="2" w16cid:durableId="1869100726">
    <w:abstractNumId w:val="0"/>
  </w:num>
  <w:num w:numId="3" w16cid:durableId="908424734">
    <w:abstractNumId w:val="3"/>
  </w:num>
  <w:num w:numId="4" w16cid:durableId="459227521">
    <w:abstractNumId w:val="13"/>
  </w:num>
  <w:num w:numId="5" w16cid:durableId="1103917619">
    <w:abstractNumId w:val="2"/>
  </w:num>
  <w:num w:numId="6" w16cid:durableId="1284311954">
    <w:abstractNumId w:val="9"/>
  </w:num>
  <w:num w:numId="7" w16cid:durableId="460657803">
    <w:abstractNumId w:val="11"/>
  </w:num>
  <w:num w:numId="8" w16cid:durableId="274604891">
    <w:abstractNumId w:val="15"/>
  </w:num>
  <w:num w:numId="9" w16cid:durableId="170411068">
    <w:abstractNumId w:val="10"/>
  </w:num>
  <w:num w:numId="10" w16cid:durableId="506292126">
    <w:abstractNumId w:val="16"/>
  </w:num>
  <w:num w:numId="11" w16cid:durableId="198015211">
    <w:abstractNumId w:val="7"/>
  </w:num>
  <w:num w:numId="12" w16cid:durableId="828905072">
    <w:abstractNumId w:val="6"/>
  </w:num>
  <w:num w:numId="13" w16cid:durableId="57218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2751604">
    <w:abstractNumId w:val="17"/>
  </w:num>
  <w:num w:numId="15" w16cid:durableId="1333099491">
    <w:abstractNumId w:val="5"/>
  </w:num>
  <w:num w:numId="16" w16cid:durableId="640230495">
    <w:abstractNumId w:val="4"/>
  </w:num>
  <w:num w:numId="17" w16cid:durableId="334116809">
    <w:abstractNumId w:val="14"/>
  </w:num>
  <w:num w:numId="18" w16cid:durableId="624048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6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1792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12637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38989">
    <w:abstractNumId w:val="18"/>
  </w:num>
  <w:num w:numId="23" w16cid:durableId="2175828">
    <w:abstractNumId w:val="12"/>
  </w:num>
  <w:num w:numId="24" w16cid:durableId="49226265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activeWritingStyle w:appName="MSWord" w:lang="en-AU" w:vendorID="64" w:dllVersion="0" w:nlCheck="1" w:checkStyle="0"/>
  <w:activeWritingStyle w:appName="MSWord" w:lang="en-US" w:vendorID="64" w:dllVersion="0" w:nlCheck="1" w:checkStyle="0"/>
  <w:stylePaneSortMethod w:val="0000"/>
  <w:defaultTabStop w:val="720"/>
  <w:characterSpacingControl w:val="doNotCompress"/>
  <w:savePreviewPicture/>
  <w:hdrShapeDefaults>
    <o:shapedefaults v:ext="edit" spidmax="2050"/>
  </w:hdrShapeDefaults>
  <w:footnotePr>
    <w:numFmt w:val="lowerRoman"/>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4A"/>
    <w:rsid w:val="0000062B"/>
    <w:rsid w:val="00000E23"/>
    <w:rsid w:val="00000FA0"/>
    <w:rsid w:val="00001133"/>
    <w:rsid w:val="000018E0"/>
    <w:rsid w:val="00001BE5"/>
    <w:rsid w:val="00001D9E"/>
    <w:rsid w:val="000021B3"/>
    <w:rsid w:val="000028B2"/>
    <w:rsid w:val="000029A1"/>
    <w:rsid w:val="000037EE"/>
    <w:rsid w:val="00003ADA"/>
    <w:rsid w:val="000044E3"/>
    <w:rsid w:val="00005B09"/>
    <w:rsid w:val="00005EA7"/>
    <w:rsid w:val="0000616C"/>
    <w:rsid w:val="00006F43"/>
    <w:rsid w:val="00007325"/>
    <w:rsid w:val="00007406"/>
    <w:rsid w:val="0000767A"/>
    <w:rsid w:val="00007894"/>
    <w:rsid w:val="0001030A"/>
    <w:rsid w:val="00010444"/>
    <w:rsid w:val="000107CB"/>
    <w:rsid w:val="00010D92"/>
    <w:rsid w:val="0001283F"/>
    <w:rsid w:val="00012C59"/>
    <w:rsid w:val="00012CC0"/>
    <w:rsid w:val="0001363F"/>
    <w:rsid w:val="00014126"/>
    <w:rsid w:val="000148E8"/>
    <w:rsid w:val="00014DE0"/>
    <w:rsid w:val="0001503E"/>
    <w:rsid w:val="000153FF"/>
    <w:rsid w:val="000157EA"/>
    <w:rsid w:val="00016CA9"/>
    <w:rsid w:val="00016F8C"/>
    <w:rsid w:val="00020036"/>
    <w:rsid w:val="00020913"/>
    <w:rsid w:val="00020CD2"/>
    <w:rsid w:val="000222B1"/>
    <w:rsid w:val="0002291C"/>
    <w:rsid w:val="0002294F"/>
    <w:rsid w:val="00022DA5"/>
    <w:rsid w:val="00023DD0"/>
    <w:rsid w:val="00023EED"/>
    <w:rsid w:val="0002448F"/>
    <w:rsid w:val="0002460C"/>
    <w:rsid w:val="000251A9"/>
    <w:rsid w:val="00025582"/>
    <w:rsid w:val="000258A0"/>
    <w:rsid w:val="00025907"/>
    <w:rsid w:val="000266FB"/>
    <w:rsid w:val="0002694E"/>
    <w:rsid w:val="00026EEE"/>
    <w:rsid w:val="00026EF5"/>
    <w:rsid w:val="00030022"/>
    <w:rsid w:val="00030E92"/>
    <w:rsid w:val="0003193A"/>
    <w:rsid w:val="00031FA9"/>
    <w:rsid w:val="000322CA"/>
    <w:rsid w:val="000324E3"/>
    <w:rsid w:val="00032ABF"/>
    <w:rsid w:val="00033123"/>
    <w:rsid w:val="00033E97"/>
    <w:rsid w:val="00033FCE"/>
    <w:rsid w:val="00034691"/>
    <w:rsid w:val="00035367"/>
    <w:rsid w:val="000358A2"/>
    <w:rsid w:val="00035FFD"/>
    <w:rsid w:val="00036B4C"/>
    <w:rsid w:val="00036C59"/>
    <w:rsid w:val="00037876"/>
    <w:rsid w:val="000417AF"/>
    <w:rsid w:val="000417C0"/>
    <w:rsid w:val="00041C4D"/>
    <w:rsid w:val="000428F7"/>
    <w:rsid w:val="000429F7"/>
    <w:rsid w:val="00042BA6"/>
    <w:rsid w:val="00042D02"/>
    <w:rsid w:val="00042DA5"/>
    <w:rsid w:val="00042EB0"/>
    <w:rsid w:val="00043E7E"/>
    <w:rsid w:val="00044316"/>
    <w:rsid w:val="00044466"/>
    <w:rsid w:val="00044AF1"/>
    <w:rsid w:val="0004596B"/>
    <w:rsid w:val="000461AE"/>
    <w:rsid w:val="000476D8"/>
    <w:rsid w:val="0004771B"/>
    <w:rsid w:val="00047B0B"/>
    <w:rsid w:val="00050482"/>
    <w:rsid w:val="00050A55"/>
    <w:rsid w:val="000511EC"/>
    <w:rsid w:val="00051781"/>
    <w:rsid w:val="00051E78"/>
    <w:rsid w:val="00051FC9"/>
    <w:rsid w:val="0005229B"/>
    <w:rsid w:val="000522D0"/>
    <w:rsid w:val="00052BF6"/>
    <w:rsid w:val="00053BFA"/>
    <w:rsid w:val="00053D25"/>
    <w:rsid w:val="0005481D"/>
    <w:rsid w:val="00054895"/>
    <w:rsid w:val="0005518C"/>
    <w:rsid w:val="0005549D"/>
    <w:rsid w:val="00055D1C"/>
    <w:rsid w:val="00057335"/>
    <w:rsid w:val="000579DB"/>
    <w:rsid w:val="0006019B"/>
    <w:rsid w:val="00060AD4"/>
    <w:rsid w:val="00060CE0"/>
    <w:rsid w:val="00061A39"/>
    <w:rsid w:val="000621CE"/>
    <w:rsid w:val="000626D6"/>
    <w:rsid w:val="00063542"/>
    <w:rsid w:val="00064093"/>
    <w:rsid w:val="00064138"/>
    <w:rsid w:val="000651BD"/>
    <w:rsid w:val="00065378"/>
    <w:rsid w:val="00065385"/>
    <w:rsid w:val="00065AA6"/>
    <w:rsid w:val="00065E58"/>
    <w:rsid w:val="0006664D"/>
    <w:rsid w:val="000668E0"/>
    <w:rsid w:val="0006753F"/>
    <w:rsid w:val="00067B24"/>
    <w:rsid w:val="00067C8D"/>
    <w:rsid w:val="00067F9F"/>
    <w:rsid w:val="0007117D"/>
    <w:rsid w:val="0007180E"/>
    <w:rsid w:val="00071A18"/>
    <w:rsid w:val="00071B26"/>
    <w:rsid w:val="00071DB1"/>
    <w:rsid w:val="00072AF0"/>
    <w:rsid w:val="00072B63"/>
    <w:rsid w:val="000735DC"/>
    <w:rsid w:val="00073641"/>
    <w:rsid w:val="0007395B"/>
    <w:rsid w:val="0007452B"/>
    <w:rsid w:val="00074A4D"/>
    <w:rsid w:val="00074E6D"/>
    <w:rsid w:val="00075F2C"/>
    <w:rsid w:val="00076509"/>
    <w:rsid w:val="00076E70"/>
    <w:rsid w:val="00076F41"/>
    <w:rsid w:val="00076FFC"/>
    <w:rsid w:val="00077A27"/>
    <w:rsid w:val="00077DD0"/>
    <w:rsid w:val="00080825"/>
    <w:rsid w:val="00081F66"/>
    <w:rsid w:val="00081F91"/>
    <w:rsid w:val="000824BB"/>
    <w:rsid w:val="00082599"/>
    <w:rsid w:val="00083017"/>
    <w:rsid w:val="000834F8"/>
    <w:rsid w:val="00083E77"/>
    <w:rsid w:val="00084594"/>
    <w:rsid w:val="00084AAA"/>
    <w:rsid w:val="00084D7A"/>
    <w:rsid w:val="0008513E"/>
    <w:rsid w:val="000858CA"/>
    <w:rsid w:val="000859E5"/>
    <w:rsid w:val="00085DAF"/>
    <w:rsid w:val="00086359"/>
    <w:rsid w:val="00086A5B"/>
    <w:rsid w:val="00087328"/>
    <w:rsid w:val="00087BFA"/>
    <w:rsid w:val="00090A89"/>
    <w:rsid w:val="00090E11"/>
    <w:rsid w:val="00092375"/>
    <w:rsid w:val="0009250D"/>
    <w:rsid w:val="00092B43"/>
    <w:rsid w:val="00092EE3"/>
    <w:rsid w:val="000933B0"/>
    <w:rsid w:val="000939B4"/>
    <w:rsid w:val="000940F1"/>
    <w:rsid w:val="0009422C"/>
    <w:rsid w:val="0009569C"/>
    <w:rsid w:val="000957B3"/>
    <w:rsid w:val="00095E09"/>
    <w:rsid w:val="000961CF"/>
    <w:rsid w:val="00096286"/>
    <w:rsid w:val="00096423"/>
    <w:rsid w:val="0009687C"/>
    <w:rsid w:val="000975DE"/>
    <w:rsid w:val="0009770E"/>
    <w:rsid w:val="00097801"/>
    <w:rsid w:val="000979C3"/>
    <w:rsid w:val="00097FC8"/>
    <w:rsid w:val="00097FD9"/>
    <w:rsid w:val="000A039E"/>
    <w:rsid w:val="000A0A5F"/>
    <w:rsid w:val="000A13F0"/>
    <w:rsid w:val="000A21F7"/>
    <w:rsid w:val="000A2237"/>
    <w:rsid w:val="000A250E"/>
    <w:rsid w:val="000A2547"/>
    <w:rsid w:val="000A2CB9"/>
    <w:rsid w:val="000A379F"/>
    <w:rsid w:val="000A3B89"/>
    <w:rsid w:val="000A3C79"/>
    <w:rsid w:val="000A3EA1"/>
    <w:rsid w:val="000A3FE1"/>
    <w:rsid w:val="000A46DF"/>
    <w:rsid w:val="000A51C9"/>
    <w:rsid w:val="000A579D"/>
    <w:rsid w:val="000A5FF0"/>
    <w:rsid w:val="000A61CB"/>
    <w:rsid w:val="000A6353"/>
    <w:rsid w:val="000A67F7"/>
    <w:rsid w:val="000A6914"/>
    <w:rsid w:val="000A7A1A"/>
    <w:rsid w:val="000A7B35"/>
    <w:rsid w:val="000B0056"/>
    <w:rsid w:val="000B05C3"/>
    <w:rsid w:val="000B1887"/>
    <w:rsid w:val="000B240F"/>
    <w:rsid w:val="000B290D"/>
    <w:rsid w:val="000B2A19"/>
    <w:rsid w:val="000B33C2"/>
    <w:rsid w:val="000B4444"/>
    <w:rsid w:val="000B550C"/>
    <w:rsid w:val="000B58AC"/>
    <w:rsid w:val="000B6925"/>
    <w:rsid w:val="000B6C5C"/>
    <w:rsid w:val="000B72C7"/>
    <w:rsid w:val="000B72FF"/>
    <w:rsid w:val="000B7C46"/>
    <w:rsid w:val="000B7CB8"/>
    <w:rsid w:val="000B7E9B"/>
    <w:rsid w:val="000C0235"/>
    <w:rsid w:val="000C0334"/>
    <w:rsid w:val="000C0A18"/>
    <w:rsid w:val="000C0B3B"/>
    <w:rsid w:val="000C1181"/>
    <w:rsid w:val="000C180A"/>
    <w:rsid w:val="000C18AA"/>
    <w:rsid w:val="000C263B"/>
    <w:rsid w:val="000C2723"/>
    <w:rsid w:val="000C2A2C"/>
    <w:rsid w:val="000C2D5D"/>
    <w:rsid w:val="000C2D9C"/>
    <w:rsid w:val="000C2DF4"/>
    <w:rsid w:val="000C32DE"/>
    <w:rsid w:val="000C4430"/>
    <w:rsid w:val="000C557A"/>
    <w:rsid w:val="000C562C"/>
    <w:rsid w:val="000C5A5C"/>
    <w:rsid w:val="000C6213"/>
    <w:rsid w:val="000C638F"/>
    <w:rsid w:val="000C6BBA"/>
    <w:rsid w:val="000C6BC9"/>
    <w:rsid w:val="000C6DC7"/>
    <w:rsid w:val="000C6FB5"/>
    <w:rsid w:val="000C7308"/>
    <w:rsid w:val="000C74A2"/>
    <w:rsid w:val="000D0351"/>
    <w:rsid w:val="000D0BD1"/>
    <w:rsid w:val="000D253F"/>
    <w:rsid w:val="000D2C86"/>
    <w:rsid w:val="000D2E16"/>
    <w:rsid w:val="000D3F61"/>
    <w:rsid w:val="000D5BC1"/>
    <w:rsid w:val="000D5EA1"/>
    <w:rsid w:val="000D638F"/>
    <w:rsid w:val="000D6495"/>
    <w:rsid w:val="000D6611"/>
    <w:rsid w:val="000D7278"/>
    <w:rsid w:val="000D7866"/>
    <w:rsid w:val="000D79F6"/>
    <w:rsid w:val="000D7C9A"/>
    <w:rsid w:val="000E0660"/>
    <w:rsid w:val="000E0BC5"/>
    <w:rsid w:val="000E1327"/>
    <w:rsid w:val="000E158A"/>
    <w:rsid w:val="000E165A"/>
    <w:rsid w:val="000E22FE"/>
    <w:rsid w:val="000E3409"/>
    <w:rsid w:val="000E341A"/>
    <w:rsid w:val="000E3641"/>
    <w:rsid w:val="000E38BD"/>
    <w:rsid w:val="000E392F"/>
    <w:rsid w:val="000E3C44"/>
    <w:rsid w:val="000E3CA4"/>
    <w:rsid w:val="000E4B9B"/>
    <w:rsid w:val="000E4C42"/>
    <w:rsid w:val="000E4CE7"/>
    <w:rsid w:val="000E594E"/>
    <w:rsid w:val="000E5FAC"/>
    <w:rsid w:val="000E605B"/>
    <w:rsid w:val="000E6A68"/>
    <w:rsid w:val="000E720F"/>
    <w:rsid w:val="000E74F6"/>
    <w:rsid w:val="000E7663"/>
    <w:rsid w:val="000F00BE"/>
    <w:rsid w:val="000F03FF"/>
    <w:rsid w:val="000F0599"/>
    <w:rsid w:val="000F05BD"/>
    <w:rsid w:val="000F09A8"/>
    <w:rsid w:val="000F2EE3"/>
    <w:rsid w:val="000F30D4"/>
    <w:rsid w:val="000F41D1"/>
    <w:rsid w:val="000F4484"/>
    <w:rsid w:val="000F4B6B"/>
    <w:rsid w:val="000F4CAF"/>
    <w:rsid w:val="000F527C"/>
    <w:rsid w:val="000F53FA"/>
    <w:rsid w:val="000F5C4A"/>
    <w:rsid w:val="000F69DE"/>
    <w:rsid w:val="000F7452"/>
    <w:rsid w:val="000F748E"/>
    <w:rsid w:val="00100C3A"/>
    <w:rsid w:val="00100ED7"/>
    <w:rsid w:val="00101267"/>
    <w:rsid w:val="001015A9"/>
    <w:rsid w:val="00101A68"/>
    <w:rsid w:val="00101ED0"/>
    <w:rsid w:val="001022AB"/>
    <w:rsid w:val="001024D6"/>
    <w:rsid w:val="00103BF7"/>
    <w:rsid w:val="0010458D"/>
    <w:rsid w:val="001048A6"/>
    <w:rsid w:val="001048C7"/>
    <w:rsid w:val="00104E68"/>
    <w:rsid w:val="001051D7"/>
    <w:rsid w:val="00105453"/>
    <w:rsid w:val="00106129"/>
    <w:rsid w:val="00106EA8"/>
    <w:rsid w:val="00107080"/>
    <w:rsid w:val="00107A36"/>
    <w:rsid w:val="00111BCF"/>
    <w:rsid w:val="00111FC4"/>
    <w:rsid w:val="00112329"/>
    <w:rsid w:val="00112513"/>
    <w:rsid w:val="0011284C"/>
    <w:rsid w:val="00112C5A"/>
    <w:rsid w:val="001130EE"/>
    <w:rsid w:val="00113823"/>
    <w:rsid w:val="0011443A"/>
    <w:rsid w:val="00114558"/>
    <w:rsid w:val="00114978"/>
    <w:rsid w:val="00114EEE"/>
    <w:rsid w:val="001152ED"/>
    <w:rsid w:val="001155B2"/>
    <w:rsid w:val="00115969"/>
    <w:rsid w:val="00116445"/>
    <w:rsid w:val="0011743A"/>
    <w:rsid w:val="001178AF"/>
    <w:rsid w:val="00117DE3"/>
    <w:rsid w:val="00120540"/>
    <w:rsid w:val="001208B4"/>
    <w:rsid w:val="00120E6B"/>
    <w:rsid w:val="00121CEF"/>
    <w:rsid w:val="0012287A"/>
    <w:rsid w:val="001239E0"/>
    <w:rsid w:val="00123FC4"/>
    <w:rsid w:val="001245F5"/>
    <w:rsid w:val="00124A8B"/>
    <w:rsid w:val="00124B01"/>
    <w:rsid w:val="00125049"/>
    <w:rsid w:val="001255B8"/>
    <w:rsid w:val="00125979"/>
    <w:rsid w:val="001259C6"/>
    <w:rsid w:val="00126606"/>
    <w:rsid w:val="001268AE"/>
    <w:rsid w:val="00126F8C"/>
    <w:rsid w:val="00127478"/>
    <w:rsid w:val="001301C2"/>
    <w:rsid w:val="00130483"/>
    <w:rsid w:val="00130DD3"/>
    <w:rsid w:val="001313B8"/>
    <w:rsid w:val="0013156D"/>
    <w:rsid w:val="00131C57"/>
    <w:rsid w:val="001323CE"/>
    <w:rsid w:val="00132B64"/>
    <w:rsid w:val="00132F21"/>
    <w:rsid w:val="00133337"/>
    <w:rsid w:val="001337CA"/>
    <w:rsid w:val="00134810"/>
    <w:rsid w:val="00134DDE"/>
    <w:rsid w:val="0013519F"/>
    <w:rsid w:val="001357FA"/>
    <w:rsid w:val="00135B5B"/>
    <w:rsid w:val="00135F31"/>
    <w:rsid w:val="0013600A"/>
    <w:rsid w:val="00136D81"/>
    <w:rsid w:val="0013759E"/>
    <w:rsid w:val="001413BF"/>
    <w:rsid w:val="00141857"/>
    <w:rsid w:val="001418BB"/>
    <w:rsid w:val="00141CD8"/>
    <w:rsid w:val="00141D5C"/>
    <w:rsid w:val="00141DDB"/>
    <w:rsid w:val="00142AF5"/>
    <w:rsid w:val="001438DE"/>
    <w:rsid w:val="00144146"/>
    <w:rsid w:val="00144729"/>
    <w:rsid w:val="001453EF"/>
    <w:rsid w:val="001453F8"/>
    <w:rsid w:val="00145559"/>
    <w:rsid w:val="00146188"/>
    <w:rsid w:val="001469D8"/>
    <w:rsid w:val="0014704F"/>
    <w:rsid w:val="001475B9"/>
    <w:rsid w:val="001478D0"/>
    <w:rsid w:val="00150380"/>
    <w:rsid w:val="00151820"/>
    <w:rsid w:val="00151E0B"/>
    <w:rsid w:val="00151F29"/>
    <w:rsid w:val="00152281"/>
    <w:rsid w:val="0015228D"/>
    <w:rsid w:val="0015244F"/>
    <w:rsid w:val="001524C0"/>
    <w:rsid w:val="00152F1D"/>
    <w:rsid w:val="001532E8"/>
    <w:rsid w:val="0015353B"/>
    <w:rsid w:val="00153E0A"/>
    <w:rsid w:val="00154355"/>
    <w:rsid w:val="00154402"/>
    <w:rsid w:val="0015444F"/>
    <w:rsid w:val="00154F4B"/>
    <w:rsid w:val="001550E7"/>
    <w:rsid w:val="00155172"/>
    <w:rsid w:val="00155467"/>
    <w:rsid w:val="00155853"/>
    <w:rsid w:val="001568E5"/>
    <w:rsid w:val="001579F2"/>
    <w:rsid w:val="00157CC6"/>
    <w:rsid w:val="0016028D"/>
    <w:rsid w:val="001603EA"/>
    <w:rsid w:val="00160477"/>
    <w:rsid w:val="00160489"/>
    <w:rsid w:val="0016084F"/>
    <w:rsid w:val="001609DF"/>
    <w:rsid w:val="0016101E"/>
    <w:rsid w:val="00161767"/>
    <w:rsid w:val="00161A79"/>
    <w:rsid w:val="00161D92"/>
    <w:rsid w:val="00162279"/>
    <w:rsid w:val="001625B9"/>
    <w:rsid w:val="00162E76"/>
    <w:rsid w:val="001631DF"/>
    <w:rsid w:val="00163341"/>
    <w:rsid w:val="0016377C"/>
    <w:rsid w:val="00163F33"/>
    <w:rsid w:val="00164B89"/>
    <w:rsid w:val="001654BE"/>
    <w:rsid w:val="0016559B"/>
    <w:rsid w:val="00165F0D"/>
    <w:rsid w:val="00166103"/>
    <w:rsid w:val="001662C8"/>
    <w:rsid w:val="00166837"/>
    <w:rsid w:val="00166D69"/>
    <w:rsid w:val="001673DA"/>
    <w:rsid w:val="0016748D"/>
    <w:rsid w:val="00167964"/>
    <w:rsid w:val="00167CD0"/>
    <w:rsid w:val="00170A10"/>
    <w:rsid w:val="00170FC4"/>
    <w:rsid w:val="001722EB"/>
    <w:rsid w:val="00172752"/>
    <w:rsid w:val="00172F58"/>
    <w:rsid w:val="00172FB0"/>
    <w:rsid w:val="00173618"/>
    <w:rsid w:val="00174619"/>
    <w:rsid w:val="00174691"/>
    <w:rsid w:val="00175014"/>
    <w:rsid w:val="00175C62"/>
    <w:rsid w:val="00175E91"/>
    <w:rsid w:val="00176050"/>
    <w:rsid w:val="001763EE"/>
    <w:rsid w:val="00180E69"/>
    <w:rsid w:val="00181810"/>
    <w:rsid w:val="001823DF"/>
    <w:rsid w:val="0018274E"/>
    <w:rsid w:val="00182812"/>
    <w:rsid w:val="00182833"/>
    <w:rsid w:val="00182A82"/>
    <w:rsid w:val="00182BB6"/>
    <w:rsid w:val="00182E43"/>
    <w:rsid w:val="00183775"/>
    <w:rsid w:val="00183D4A"/>
    <w:rsid w:val="00183DB5"/>
    <w:rsid w:val="001843CF"/>
    <w:rsid w:val="00184C9D"/>
    <w:rsid w:val="00185759"/>
    <w:rsid w:val="0018586F"/>
    <w:rsid w:val="0018601F"/>
    <w:rsid w:val="00186098"/>
    <w:rsid w:val="0018619C"/>
    <w:rsid w:val="00186A61"/>
    <w:rsid w:val="001870D1"/>
    <w:rsid w:val="00187BB8"/>
    <w:rsid w:val="0019019D"/>
    <w:rsid w:val="001903A3"/>
    <w:rsid w:val="0019081E"/>
    <w:rsid w:val="001909CB"/>
    <w:rsid w:val="00190B3A"/>
    <w:rsid w:val="00190EB8"/>
    <w:rsid w:val="001914B7"/>
    <w:rsid w:val="00191E1A"/>
    <w:rsid w:val="001923C6"/>
    <w:rsid w:val="00192758"/>
    <w:rsid w:val="00192B8A"/>
    <w:rsid w:val="00192C11"/>
    <w:rsid w:val="0019307E"/>
    <w:rsid w:val="00193136"/>
    <w:rsid w:val="00193235"/>
    <w:rsid w:val="0019328E"/>
    <w:rsid w:val="001936E3"/>
    <w:rsid w:val="0019461B"/>
    <w:rsid w:val="00194E2A"/>
    <w:rsid w:val="00195274"/>
    <w:rsid w:val="001952DB"/>
    <w:rsid w:val="0019539B"/>
    <w:rsid w:val="001955A2"/>
    <w:rsid w:val="00196103"/>
    <w:rsid w:val="0019645F"/>
    <w:rsid w:val="00196ABB"/>
    <w:rsid w:val="00196C08"/>
    <w:rsid w:val="00197768"/>
    <w:rsid w:val="00197D16"/>
    <w:rsid w:val="00197E9A"/>
    <w:rsid w:val="001A02DF"/>
    <w:rsid w:val="001A043C"/>
    <w:rsid w:val="001A0A81"/>
    <w:rsid w:val="001A1505"/>
    <w:rsid w:val="001A1D3D"/>
    <w:rsid w:val="001A2D39"/>
    <w:rsid w:val="001A320A"/>
    <w:rsid w:val="001A3451"/>
    <w:rsid w:val="001A36DB"/>
    <w:rsid w:val="001A3D35"/>
    <w:rsid w:val="001A5955"/>
    <w:rsid w:val="001A6189"/>
    <w:rsid w:val="001A6CAA"/>
    <w:rsid w:val="001A720E"/>
    <w:rsid w:val="001B0218"/>
    <w:rsid w:val="001B05C0"/>
    <w:rsid w:val="001B087F"/>
    <w:rsid w:val="001B0C07"/>
    <w:rsid w:val="001B1A12"/>
    <w:rsid w:val="001B1B14"/>
    <w:rsid w:val="001B205F"/>
    <w:rsid w:val="001B21BC"/>
    <w:rsid w:val="001B2916"/>
    <w:rsid w:val="001B372A"/>
    <w:rsid w:val="001B5603"/>
    <w:rsid w:val="001B5820"/>
    <w:rsid w:val="001B5A46"/>
    <w:rsid w:val="001B5D6D"/>
    <w:rsid w:val="001B61B5"/>
    <w:rsid w:val="001B693E"/>
    <w:rsid w:val="001B6AE2"/>
    <w:rsid w:val="001B7020"/>
    <w:rsid w:val="001B70A2"/>
    <w:rsid w:val="001B70D6"/>
    <w:rsid w:val="001B71A5"/>
    <w:rsid w:val="001B7580"/>
    <w:rsid w:val="001C0569"/>
    <w:rsid w:val="001C0A11"/>
    <w:rsid w:val="001C0D90"/>
    <w:rsid w:val="001C0E8F"/>
    <w:rsid w:val="001C1CDD"/>
    <w:rsid w:val="001C1F90"/>
    <w:rsid w:val="001C2837"/>
    <w:rsid w:val="001C316E"/>
    <w:rsid w:val="001C37AA"/>
    <w:rsid w:val="001C3E80"/>
    <w:rsid w:val="001C4471"/>
    <w:rsid w:val="001C45BE"/>
    <w:rsid w:val="001C47F8"/>
    <w:rsid w:val="001C5495"/>
    <w:rsid w:val="001C56FA"/>
    <w:rsid w:val="001C5A6D"/>
    <w:rsid w:val="001C605A"/>
    <w:rsid w:val="001C6282"/>
    <w:rsid w:val="001C6670"/>
    <w:rsid w:val="001C7981"/>
    <w:rsid w:val="001D049B"/>
    <w:rsid w:val="001D0977"/>
    <w:rsid w:val="001D13C4"/>
    <w:rsid w:val="001D1768"/>
    <w:rsid w:val="001D280D"/>
    <w:rsid w:val="001D29EB"/>
    <w:rsid w:val="001D2FA0"/>
    <w:rsid w:val="001D3419"/>
    <w:rsid w:val="001D446B"/>
    <w:rsid w:val="001D4E54"/>
    <w:rsid w:val="001D5AA9"/>
    <w:rsid w:val="001D5E21"/>
    <w:rsid w:val="001D6B26"/>
    <w:rsid w:val="001D6CA7"/>
    <w:rsid w:val="001D7087"/>
    <w:rsid w:val="001D731D"/>
    <w:rsid w:val="001D7429"/>
    <w:rsid w:val="001D7AE5"/>
    <w:rsid w:val="001D7FA8"/>
    <w:rsid w:val="001E0299"/>
    <w:rsid w:val="001E0E2E"/>
    <w:rsid w:val="001E114D"/>
    <w:rsid w:val="001E11E6"/>
    <w:rsid w:val="001E24E5"/>
    <w:rsid w:val="001E2BF2"/>
    <w:rsid w:val="001E3723"/>
    <w:rsid w:val="001E3966"/>
    <w:rsid w:val="001E3EAC"/>
    <w:rsid w:val="001E43CE"/>
    <w:rsid w:val="001E4563"/>
    <w:rsid w:val="001E47EF"/>
    <w:rsid w:val="001E4CF5"/>
    <w:rsid w:val="001E4EB9"/>
    <w:rsid w:val="001E50EC"/>
    <w:rsid w:val="001E57D6"/>
    <w:rsid w:val="001E642A"/>
    <w:rsid w:val="001E648B"/>
    <w:rsid w:val="001E6848"/>
    <w:rsid w:val="001E6FE5"/>
    <w:rsid w:val="001E70CB"/>
    <w:rsid w:val="001E7617"/>
    <w:rsid w:val="001E78B5"/>
    <w:rsid w:val="001E7C93"/>
    <w:rsid w:val="001F066C"/>
    <w:rsid w:val="001F08B5"/>
    <w:rsid w:val="001F0ED3"/>
    <w:rsid w:val="001F179E"/>
    <w:rsid w:val="001F263A"/>
    <w:rsid w:val="001F32A3"/>
    <w:rsid w:val="001F3F26"/>
    <w:rsid w:val="001F41FA"/>
    <w:rsid w:val="001F4237"/>
    <w:rsid w:val="001F46CE"/>
    <w:rsid w:val="001F478C"/>
    <w:rsid w:val="001F48D1"/>
    <w:rsid w:val="001F4923"/>
    <w:rsid w:val="001F4D6E"/>
    <w:rsid w:val="001F4DA6"/>
    <w:rsid w:val="001F5457"/>
    <w:rsid w:val="001F59EA"/>
    <w:rsid w:val="001F68B2"/>
    <w:rsid w:val="001F68BA"/>
    <w:rsid w:val="001F6F3E"/>
    <w:rsid w:val="001F764A"/>
    <w:rsid w:val="002002EF"/>
    <w:rsid w:val="0020061F"/>
    <w:rsid w:val="00200869"/>
    <w:rsid w:val="0020160D"/>
    <w:rsid w:val="00201B4C"/>
    <w:rsid w:val="00202B17"/>
    <w:rsid w:val="00202B77"/>
    <w:rsid w:val="00202FF6"/>
    <w:rsid w:val="002035AB"/>
    <w:rsid w:val="00203A5B"/>
    <w:rsid w:val="00203B8A"/>
    <w:rsid w:val="002048C2"/>
    <w:rsid w:val="00204967"/>
    <w:rsid w:val="00204D30"/>
    <w:rsid w:val="00205128"/>
    <w:rsid w:val="002067DC"/>
    <w:rsid w:val="00206E3E"/>
    <w:rsid w:val="002070B9"/>
    <w:rsid w:val="0020714A"/>
    <w:rsid w:val="002071D0"/>
    <w:rsid w:val="0020738B"/>
    <w:rsid w:val="00207450"/>
    <w:rsid w:val="00207577"/>
    <w:rsid w:val="00207901"/>
    <w:rsid w:val="00207F13"/>
    <w:rsid w:val="00210431"/>
    <w:rsid w:val="00210A8F"/>
    <w:rsid w:val="00210C17"/>
    <w:rsid w:val="002117E5"/>
    <w:rsid w:val="00211BB8"/>
    <w:rsid w:val="0021208E"/>
    <w:rsid w:val="00212403"/>
    <w:rsid w:val="002129BA"/>
    <w:rsid w:val="00213322"/>
    <w:rsid w:val="002137E4"/>
    <w:rsid w:val="00213F29"/>
    <w:rsid w:val="00214006"/>
    <w:rsid w:val="00214966"/>
    <w:rsid w:val="00214D9C"/>
    <w:rsid w:val="00215193"/>
    <w:rsid w:val="0021563D"/>
    <w:rsid w:val="00215C83"/>
    <w:rsid w:val="00215F4B"/>
    <w:rsid w:val="0021631D"/>
    <w:rsid w:val="00216367"/>
    <w:rsid w:val="002163E8"/>
    <w:rsid w:val="00216803"/>
    <w:rsid w:val="002172FD"/>
    <w:rsid w:val="002175CA"/>
    <w:rsid w:val="00217741"/>
    <w:rsid w:val="002179E6"/>
    <w:rsid w:val="00217BBD"/>
    <w:rsid w:val="00217FF4"/>
    <w:rsid w:val="00220121"/>
    <w:rsid w:val="002203E6"/>
    <w:rsid w:val="0022079F"/>
    <w:rsid w:val="002207E2"/>
    <w:rsid w:val="00220DE3"/>
    <w:rsid w:val="00220EB2"/>
    <w:rsid w:val="002216A3"/>
    <w:rsid w:val="002225C7"/>
    <w:rsid w:val="002232D6"/>
    <w:rsid w:val="00224153"/>
    <w:rsid w:val="002244D9"/>
    <w:rsid w:val="00224C20"/>
    <w:rsid w:val="00224F55"/>
    <w:rsid w:val="002254F6"/>
    <w:rsid w:val="002266A0"/>
    <w:rsid w:val="0022690F"/>
    <w:rsid w:val="00226999"/>
    <w:rsid w:val="0022787D"/>
    <w:rsid w:val="00227BDC"/>
    <w:rsid w:val="00230255"/>
    <w:rsid w:val="002315DD"/>
    <w:rsid w:val="002316B2"/>
    <w:rsid w:val="00231C2A"/>
    <w:rsid w:val="0023209B"/>
    <w:rsid w:val="002325BE"/>
    <w:rsid w:val="00233486"/>
    <w:rsid w:val="002337F9"/>
    <w:rsid w:val="00233E8B"/>
    <w:rsid w:val="002345F9"/>
    <w:rsid w:val="0023469C"/>
    <w:rsid w:val="00235210"/>
    <w:rsid w:val="00235367"/>
    <w:rsid w:val="002355A7"/>
    <w:rsid w:val="00235993"/>
    <w:rsid w:val="00235CFF"/>
    <w:rsid w:val="00236437"/>
    <w:rsid w:val="00236F10"/>
    <w:rsid w:val="002376A1"/>
    <w:rsid w:val="002376C9"/>
    <w:rsid w:val="0023775F"/>
    <w:rsid w:val="00237D69"/>
    <w:rsid w:val="002411C7"/>
    <w:rsid w:val="00241D68"/>
    <w:rsid w:val="0024266A"/>
    <w:rsid w:val="00242849"/>
    <w:rsid w:val="00242F20"/>
    <w:rsid w:val="00243174"/>
    <w:rsid w:val="0024475C"/>
    <w:rsid w:val="0024495A"/>
    <w:rsid w:val="00244C14"/>
    <w:rsid w:val="00244DAB"/>
    <w:rsid w:val="0024557C"/>
    <w:rsid w:val="0024584D"/>
    <w:rsid w:val="00246251"/>
    <w:rsid w:val="0024649A"/>
    <w:rsid w:val="00246A01"/>
    <w:rsid w:val="00246AD5"/>
    <w:rsid w:val="00246AE7"/>
    <w:rsid w:val="00246C3A"/>
    <w:rsid w:val="00246F69"/>
    <w:rsid w:val="0024735B"/>
    <w:rsid w:val="00250AAA"/>
    <w:rsid w:val="00250C48"/>
    <w:rsid w:val="00250DE0"/>
    <w:rsid w:val="00251456"/>
    <w:rsid w:val="002518D0"/>
    <w:rsid w:val="00251B0D"/>
    <w:rsid w:val="00251CA5"/>
    <w:rsid w:val="00251DD7"/>
    <w:rsid w:val="00252168"/>
    <w:rsid w:val="00252586"/>
    <w:rsid w:val="00252B11"/>
    <w:rsid w:val="00252F63"/>
    <w:rsid w:val="00253189"/>
    <w:rsid w:val="00253B2E"/>
    <w:rsid w:val="00253E73"/>
    <w:rsid w:val="002540D9"/>
    <w:rsid w:val="002542E1"/>
    <w:rsid w:val="002544EA"/>
    <w:rsid w:val="00254B46"/>
    <w:rsid w:val="00254BFF"/>
    <w:rsid w:val="00255173"/>
    <w:rsid w:val="00255EC3"/>
    <w:rsid w:val="00255EEC"/>
    <w:rsid w:val="00255FC4"/>
    <w:rsid w:val="002562ED"/>
    <w:rsid w:val="0025637B"/>
    <w:rsid w:val="00256617"/>
    <w:rsid w:val="00256A13"/>
    <w:rsid w:val="00256DE0"/>
    <w:rsid w:val="002570D1"/>
    <w:rsid w:val="002608FF"/>
    <w:rsid w:val="00261DF0"/>
    <w:rsid w:val="002624A4"/>
    <w:rsid w:val="00262C61"/>
    <w:rsid w:val="0026348D"/>
    <w:rsid w:val="00264973"/>
    <w:rsid w:val="00264CFC"/>
    <w:rsid w:val="002651DA"/>
    <w:rsid w:val="00266152"/>
    <w:rsid w:val="002673B6"/>
    <w:rsid w:val="0026798F"/>
    <w:rsid w:val="00267B0D"/>
    <w:rsid w:val="00267FF2"/>
    <w:rsid w:val="002700C3"/>
    <w:rsid w:val="00270BE0"/>
    <w:rsid w:val="00270FDD"/>
    <w:rsid w:val="00272D63"/>
    <w:rsid w:val="00272E6F"/>
    <w:rsid w:val="002735AC"/>
    <w:rsid w:val="002740F1"/>
    <w:rsid w:val="00275309"/>
    <w:rsid w:val="00275EF6"/>
    <w:rsid w:val="00276BD7"/>
    <w:rsid w:val="00276FB2"/>
    <w:rsid w:val="00277397"/>
    <w:rsid w:val="002775BE"/>
    <w:rsid w:val="0027763E"/>
    <w:rsid w:val="002800C9"/>
    <w:rsid w:val="00280C18"/>
    <w:rsid w:val="00280DCF"/>
    <w:rsid w:val="00280E6D"/>
    <w:rsid w:val="00281261"/>
    <w:rsid w:val="0028211B"/>
    <w:rsid w:val="002824D4"/>
    <w:rsid w:val="002832E1"/>
    <w:rsid w:val="00283E27"/>
    <w:rsid w:val="002843D7"/>
    <w:rsid w:val="00284738"/>
    <w:rsid w:val="00284B73"/>
    <w:rsid w:val="00284E8A"/>
    <w:rsid w:val="002850DB"/>
    <w:rsid w:val="00285216"/>
    <w:rsid w:val="0028555E"/>
    <w:rsid w:val="00285EAF"/>
    <w:rsid w:val="002863FC"/>
    <w:rsid w:val="00286FA2"/>
    <w:rsid w:val="00287047"/>
    <w:rsid w:val="002873E8"/>
    <w:rsid w:val="00287419"/>
    <w:rsid w:val="00290897"/>
    <w:rsid w:val="00290A58"/>
    <w:rsid w:val="00291577"/>
    <w:rsid w:val="00292878"/>
    <w:rsid w:val="00293C12"/>
    <w:rsid w:val="0029435B"/>
    <w:rsid w:val="00294CD0"/>
    <w:rsid w:val="00296EA2"/>
    <w:rsid w:val="00296F50"/>
    <w:rsid w:val="00297558"/>
    <w:rsid w:val="00297ADB"/>
    <w:rsid w:val="002A0152"/>
    <w:rsid w:val="002A06A8"/>
    <w:rsid w:val="002A08ED"/>
    <w:rsid w:val="002A1083"/>
    <w:rsid w:val="002A12CA"/>
    <w:rsid w:val="002A1448"/>
    <w:rsid w:val="002A18E8"/>
    <w:rsid w:val="002A1F9E"/>
    <w:rsid w:val="002A283F"/>
    <w:rsid w:val="002A3B26"/>
    <w:rsid w:val="002A4164"/>
    <w:rsid w:val="002A5D54"/>
    <w:rsid w:val="002A5F47"/>
    <w:rsid w:val="002A6070"/>
    <w:rsid w:val="002A6083"/>
    <w:rsid w:val="002A6775"/>
    <w:rsid w:val="002A69AC"/>
    <w:rsid w:val="002A6B1D"/>
    <w:rsid w:val="002A6C84"/>
    <w:rsid w:val="002A6D21"/>
    <w:rsid w:val="002A7BA0"/>
    <w:rsid w:val="002B0465"/>
    <w:rsid w:val="002B07F4"/>
    <w:rsid w:val="002B0D2E"/>
    <w:rsid w:val="002B0EB8"/>
    <w:rsid w:val="002B135C"/>
    <w:rsid w:val="002B1608"/>
    <w:rsid w:val="002B1C0E"/>
    <w:rsid w:val="002B23B6"/>
    <w:rsid w:val="002B40C5"/>
    <w:rsid w:val="002B4497"/>
    <w:rsid w:val="002B49EB"/>
    <w:rsid w:val="002B52D4"/>
    <w:rsid w:val="002B5363"/>
    <w:rsid w:val="002B5EDC"/>
    <w:rsid w:val="002B60A5"/>
    <w:rsid w:val="002B63BD"/>
    <w:rsid w:val="002B6940"/>
    <w:rsid w:val="002B69C5"/>
    <w:rsid w:val="002B69E5"/>
    <w:rsid w:val="002B7096"/>
    <w:rsid w:val="002B7628"/>
    <w:rsid w:val="002C0DC8"/>
    <w:rsid w:val="002C11E5"/>
    <w:rsid w:val="002C1E8B"/>
    <w:rsid w:val="002C1FC8"/>
    <w:rsid w:val="002C28F1"/>
    <w:rsid w:val="002C2CCF"/>
    <w:rsid w:val="002C2D59"/>
    <w:rsid w:val="002C3095"/>
    <w:rsid w:val="002C3B78"/>
    <w:rsid w:val="002C3BAA"/>
    <w:rsid w:val="002C4588"/>
    <w:rsid w:val="002C463B"/>
    <w:rsid w:val="002C49D5"/>
    <w:rsid w:val="002C5CA9"/>
    <w:rsid w:val="002C6560"/>
    <w:rsid w:val="002C7950"/>
    <w:rsid w:val="002C7A9D"/>
    <w:rsid w:val="002C7B1D"/>
    <w:rsid w:val="002D00C0"/>
    <w:rsid w:val="002D09BA"/>
    <w:rsid w:val="002D0AB6"/>
    <w:rsid w:val="002D12E3"/>
    <w:rsid w:val="002D14D9"/>
    <w:rsid w:val="002D14FE"/>
    <w:rsid w:val="002D1607"/>
    <w:rsid w:val="002D1F88"/>
    <w:rsid w:val="002D2086"/>
    <w:rsid w:val="002D2537"/>
    <w:rsid w:val="002D2AF6"/>
    <w:rsid w:val="002D2F3F"/>
    <w:rsid w:val="002D37CD"/>
    <w:rsid w:val="002D3995"/>
    <w:rsid w:val="002D39AD"/>
    <w:rsid w:val="002D460B"/>
    <w:rsid w:val="002D4F2E"/>
    <w:rsid w:val="002D5B9F"/>
    <w:rsid w:val="002D5BED"/>
    <w:rsid w:val="002D5E39"/>
    <w:rsid w:val="002D62CB"/>
    <w:rsid w:val="002D6FB5"/>
    <w:rsid w:val="002D7087"/>
    <w:rsid w:val="002D7F88"/>
    <w:rsid w:val="002E1CC5"/>
    <w:rsid w:val="002E1F80"/>
    <w:rsid w:val="002E24E5"/>
    <w:rsid w:val="002E318E"/>
    <w:rsid w:val="002E36A6"/>
    <w:rsid w:val="002E38A3"/>
    <w:rsid w:val="002E38FA"/>
    <w:rsid w:val="002E3A1F"/>
    <w:rsid w:val="002E43AD"/>
    <w:rsid w:val="002E4FFE"/>
    <w:rsid w:val="002E5259"/>
    <w:rsid w:val="002E525E"/>
    <w:rsid w:val="002E5358"/>
    <w:rsid w:val="002E5616"/>
    <w:rsid w:val="002E59CE"/>
    <w:rsid w:val="002E59EB"/>
    <w:rsid w:val="002E687C"/>
    <w:rsid w:val="002E789A"/>
    <w:rsid w:val="002F10B5"/>
    <w:rsid w:val="002F1166"/>
    <w:rsid w:val="002F1364"/>
    <w:rsid w:val="002F17DA"/>
    <w:rsid w:val="002F1ED0"/>
    <w:rsid w:val="002F1EF2"/>
    <w:rsid w:val="002F23D0"/>
    <w:rsid w:val="002F2F5E"/>
    <w:rsid w:val="002F3037"/>
    <w:rsid w:val="002F3259"/>
    <w:rsid w:val="002F3676"/>
    <w:rsid w:val="002F371F"/>
    <w:rsid w:val="002F39FF"/>
    <w:rsid w:val="002F3CDF"/>
    <w:rsid w:val="002F41F0"/>
    <w:rsid w:val="002F464D"/>
    <w:rsid w:val="002F6103"/>
    <w:rsid w:val="002F6838"/>
    <w:rsid w:val="002F6B5C"/>
    <w:rsid w:val="002F754A"/>
    <w:rsid w:val="002F7C3E"/>
    <w:rsid w:val="002F7D0A"/>
    <w:rsid w:val="00300429"/>
    <w:rsid w:val="003008D8"/>
    <w:rsid w:val="00301460"/>
    <w:rsid w:val="00301B55"/>
    <w:rsid w:val="00302272"/>
    <w:rsid w:val="00305163"/>
    <w:rsid w:val="0030581A"/>
    <w:rsid w:val="00305D39"/>
    <w:rsid w:val="0030635B"/>
    <w:rsid w:val="003067E9"/>
    <w:rsid w:val="00306DAF"/>
    <w:rsid w:val="00307882"/>
    <w:rsid w:val="0031012B"/>
    <w:rsid w:val="00310F89"/>
    <w:rsid w:val="00311D78"/>
    <w:rsid w:val="00312453"/>
    <w:rsid w:val="00312584"/>
    <w:rsid w:val="00312590"/>
    <w:rsid w:val="0031399E"/>
    <w:rsid w:val="00314E1D"/>
    <w:rsid w:val="00315215"/>
    <w:rsid w:val="003157D8"/>
    <w:rsid w:val="00316AB4"/>
    <w:rsid w:val="00316B60"/>
    <w:rsid w:val="00317596"/>
    <w:rsid w:val="00317686"/>
    <w:rsid w:val="00317896"/>
    <w:rsid w:val="00317EF8"/>
    <w:rsid w:val="00320833"/>
    <w:rsid w:val="003208E8"/>
    <w:rsid w:val="00320AB9"/>
    <w:rsid w:val="00321980"/>
    <w:rsid w:val="00321A67"/>
    <w:rsid w:val="00321C98"/>
    <w:rsid w:val="00321E48"/>
    <w:rsid w:val="00321ED7"/>
    <w:rsid w:val="00322C46"/>
    <w:rsid w:val="00323261"/>
    <w:rsid w:val="00323489"/>
    <w:rsid w:val="00323BF1"/>
    <w:rsid w:val="00324883"/>
    <w:rsid w:val="00324FFD"/>
    <w:rsid w:val="003253B3"/>
    <w:rsid w:val="0032559E"/>
    <w:rsid w:val="00325A69"/>
    <w:rsid w:val="00325A95"/>
    <w:rsid w:val="003271E1"/>
    <w:rsid w:val="00331C37"/>
    <w:rsid w:val="003322FA"/>
    <w:rsid w:val="003329BE"/>
    <w:rsid w:val="00332C56"/>
    <w:rsid w:val="00333335"/>
    <w:rsid w:val="00333387"/>
    <w:rsid w:val="00335409"/>
    <w:rsid w:val="0033759A"/>
    <w:rsid w:val="00337C55"/>
    <w:rsid w:val="00337DA7"/>
    <w:rsid w:val="0034005D"/>
    <w:rsid w:val="003406D9"/>
    <w:rsid w:val="0034081D"/>
    <w:rsid w:val="0034382E"/>
    <w:rsid w:val="003438D1"/>
    <w:rsid w:val="00344331"/>
    <w:rsid w:val="00344683"/>
    <w:rsid w:val="003446F6"/>
    <w:rsid w:val="00344732"/>
    <w:rsid w:val="00344AF5"/>
    <w:rsid w:val="00344B20"/>
    <w:rsid w:val="003450F9"/>
    <w:rsid w:val="00345732"/>
    <w:rsid w:val="00345CF8"/>
    <w:rsid w:val="003467EA"/>
    <w:rsid w:val="0034749A"/>
    <w:rsid w:val="00347B2F"/>
    <w:rsid w:val="00350B83"/>
    <w:rsid w:val="00351043"/>
    <w:rsid w:val="0035199D"/>
    <w:rsid w:val="003527F2"/>
    <w:rsid w:val="00352E9D"/>
    <w:rsid w:val="0035340D"/>
    <w:rsid w:val="0035360E"/>
    <w:rsid w:val="00353B36"/>
    <w:rsid w:val="00353B46"/>
    <w:rsid w:val="00353BC8"/>
    <w:rsid w:val="00354620"/>
    <w:rsid w:val="003546E3"/>
    <w:rsid w:val="00354EA0"/>
    <w:rsid w:val="00355391"/>
    <w:rsid w:val="00355721"/>
    <w:rsid w:val="003557B4"/>
    <w:rsid w:val="00356190"/>
    <w:rsid w:val="00356E79"/>
    <w:rsid w:val="0035735B"/>
    <w:rsid w:val="003574B3"/>
    <w:rsid w:val="003577EF"/>
    <w:rsid w:val="00357845"/>
    <w:rsid w:val="00360416"/>
    <w:rsid w:val="0036084D"/>
    <w:rsid w:val="00360EEA"/>
    <w:rsid w:val="003610ED"/>
    <w:rsid w:val="00361455"/>
    <w:rsid w:val="003617C3"/>
    <w:rsid w:val="00361B42"/>
    <w:rsid w:val="00361BAF"/>
    <w:rsid w:val="0036209B"/>
    <w:rsid w:val="00362741"/>
    <w:rsid w:val="003629E1"/>
    <w:rsid w:val="00362D01"/>
    <w:rsid w:val="00362EA0"/>
    <w:rsid w:val="00362EFD"/>
    <w:rsid w:val="003635F0"/>
    <w:rsid w:val="00363CF3"/>
    <w:rsid w:val="00363E8E"/>
    <w:rsid w:val="00363F85"/>
    <w:rsid w:val="00364250"/>
    <w:rsid w:val="0036433B"/>
    <w:rsid w:val="00364EF6"/>
    <w:rsid w:val="003655C0"/>
    <w:rsid w:val="00365951"/>
    <w:rsid w:val="00365A17"/>
    <w:rsid w:val="003662FD"/>
    <w:rsid w:val="00366324"/>
    <w:rsid w:val="003668DD"/>
    <w:rsid w:val="00366A44"/>
    <w:rsid w:val="00367B0B"/>
    <w:rsid w:val="00367B98"/>
    <w:rsid w:val="0037061F"/>
    <w:rsid w:val="003710CC"/>
    <w:rsid w:val="00371D46"/>
    <w:rsid w:val="00371F47"/>
    <w:rsid w:val="003727CA"/>
    <w:rsid w:val="00372DAD"/>
    <w:rsid w:val="0037304D"/>
    <w:rsid w:val="0037321D"/>
    <w:rsid w:val="003732BA"/>
    <w:rsid w:val="003736AD"/>
    <w:rsid w:val="00373FEC"/>
    <w:rsid w:val="0037452C"/>
    <w:rsid w:val="00374AC2"/>
    <w:rsid w:val="00375C5D"/>
    <w:rsid w:val="00375E50"/>
    <w:rsid w:val="003761E2"/>
    <w:rsid w:val="00376653"/>
    <w:rsid w:val="00376BD1"/>
    <w:rsid w:val="0037797E"/>
    <w:rsid w:val="00377A34"/>
    <w:rsid w:val="00377C29"/>
    <w:rsid w:val="003800E0"/>
    <w:rsid w:val="00380785"/>
    <w:rsid w:val="00380A3B"/>
    <w:rsid w:val="00381E8E"/>
    <w:rsid w:val="00382542"/>
    <w:rsid w:val="0038275E"/>
    <w:rsid w:val="00382EF6"/>
    <w:rsid w:val="00383DEE"/>
    <w:rsid w:val="00383E60"/>
    <w:rsid w:val="0038484D"/>
    <w:rsid w:val="00384B0B"/>
    <w:rsid w:val="003867B5"/>
    <w:rsid w:val="0038703B"/>
    <w:rsid w:val="0038704E"/>
    <w:rsid w:val="003870AC"/>
    <w:rsid w:val="0038713B"/>
    <w:rsid w:val="00387B9D"/>
    <w:rsid w:val="0039054C"/>
    <w:rsid w:val="003908AD"/>
    <w:rsid w:val="00391058"/>
    <w:rsid w:val="00391784"/>
    <w:rsid w:val="0039181A"/>
    <w:rsid w:val="00391ACF"/>
    <w:rsid w:val="00391FBE"/>
    <w:rsid w:val="00392854"/>
    <w:rsid w:val="00392BE7"/>
    <w:rsid w:val="00392CF3"/>
    <w:rsid w:val="00392ED7"/>
    <w:rsid w:val="00393A8C"/>
    <w:rsid w:val="00393B71"/>
    <w:rsid w:val="00394B87"/>
    <w:rsid w:val="00395CAB"/>
    <w:rsid w:val="00396139"/>
    <w:rsid w:val="0039633A"/>
    <w:rsid w:val="00396ED1"/>
    <w:rsid w:val="00397C43"/>
    <w:rsid w:val="003A019F"/>
    <w:rsid w:val="003A07BF"/>
    <w:rsid w:val="003A0DF7"/>
    <w:rsid w:val="003A1564"/>
    <w:rsid w:val="003A1A8F"/>
    <w:rsid w:val="003A1BCE"/>
    <w:rsid w:val="003A1FC8"/>
    <w:rsid w:val="003A2D1C"/>
    <w:rsid w:val="003A342B"/>
    <w:rsid w:val="003A41B3"/>
    <w:rsid w:val="003A41CA"/>
    <w:rsid w:val="003A49C4"/>
    <w:rsid w:val="003A5341"/>
    <w:rsid w:val="003A5931"/>
    <w:rsid w:val="003A5B0F"/>
    <w:rsid w:val="003A5B60"/>
    <w:rsid w:val="003A5F4D"/>
    <w:rsid w:val="003A6453"/>
    <w:rsid w:val="003A663A"/>
    <w:rsid w:val="003A6E10"/>
    <w:rsid w:val="003A708B"/>
    <w:rsid w:val="003A744D"/>
    <w:rsid w:val="003A769F"/>
    <w:rsid w:val="003A778F"/>
    <w:rsid w:val="003B017C"/>
    <w:rsid w:val="003B05E1"/>
    <w:rsid w:val="003B3A15"/>
    <w:rsid w:val="003B3A7D"/>
    <w:rsid w:val="003B3D82"/>
    <w:rsid w:val="003B3E71"/>
    <w:rsid w:val="003B419B"/>
    <w:rsid w:val="003B515F"/>
    <w:rsid w:val="003B576C"/>
    <w:rsid w:val="003B5B30"/>
    <w:rsid w:val="003B5D89"/>
    <w:rsid w:val="003B5DC1"/>
    <w:rsid w:val="003B5E3F"/>
    <w:rsid w:val="003B5E51"/>
    <w:rsid w:val="003B5F04"/>
    <w:rsid w:val="003B60DE"/>
    <w:rsid w:val="003B6924"/>
    <w:rsid w:val="003B778A"/>
    <w:rsid w:val="003B7BE2"/>
    <w:rsid w:val="003B7D3F"/>
    <w:rsid w:val="003C002E"/>
    <w:rsid w:val="003C0896"/>
    <w:rsid w:val="003C104E"/>
    <w:rsid w:val="003C1889"/>
    <w:rsid w:val="003C1DF5"/>
    <w:rsid w:val="003C299A"/>
    <w:rsid w:val="003C3093"/>
    <w:rsid w:val="003C4DC3"/>
    <w:rsid w:val="003C5F34"/>
    <w:rsid w:val="003C6301"/>
    <w:rsid w:val="003C69BD"/>
    <w:rsid w:val="003C6B91"/>
    <w:rsid w:val="003C71FF"/>
    <w:rsid w:val="003C7266"/>
    <w:rsid w:val="003D02B9"/>
    <w:rsid w:val="003D03A7"/>
    <w:rsid w:val="003D0B5B"/>
    <w:rsid w:val="003D0DA9"/>
    <w:rsid w:val="003D0F56"/>
    <w:rsid w:val="003D14FF"/>
    <w:rsid w:val="003D1512"/>
    <w:rsid w:val="003D1738"/>
    <w:rsid w:val="003D1A8A"/>
    <w:rsid w:val="003D1E1D"/>
    <w:rsid w:val="003D2307"/>
    <w:rsid w:val="003D2815"/>
    <w:rsid w:val="003D28E2"/>
    <w:rsid w:val="003D2A77"/>
    <w:rsid w:val="003D3110"/>
    <w:rsid w:val="003D38DB"/>
    <w:rsid w:val="003D3AB1"/>
    <w:rsid w:val="003D456E"/>
    <w:rsid w:val="003D46A2"/>
    <w:rsid w:val="003D4FC6"/>
    <w:rsid w:val="003D532E"/>
    <w:rsid w:val="003D63E7"/>
    <w:rsid w:val="003D660E"/>
    <w:rsid w:val="003D6DE3"/>
    <w:rsid w:val="003D771C"/>
    <w:rsid w:val="003D7792"/>
    <w:rsid w:val="003D7AC8"/>
    <w:rsid w:val="003E0707"/>
    <w:rsid w:val="003E1549"/>
    <w:rsid w:val="003E163A"/>
    <w:rsid w:val="003E1C2B"/>
    <w:rsid w:val="003E248C"/>
    <w:rsid w:val="003E273E"/>
    <w:rsid w:val="003E33E4"/>
    <w:rsid w:val="003E3DAC"/>
    <w:rsid w:val="003E47A8"/>
    <w:rsid w:val="003E4A15"/>
    <w:rsid w:val="003E4E4D"/>
    <w:rsid w:val="003E56D1"/>
    <w:rsid w:val="003E5BFD"/>
    <w:rsid w:val="003E6368"/>
    <w:rsid w:val="003E6377"/>
    <w:rsid w:val="003E6409"/>
    <w:rsid w:val="003E65DB"/>
    <w:rsid w:val="003E6EE0"/>
    <w:rsid w:val="003E6F35"/>
    <w:rsid w:val="003E77DA"/>
    <w:rsid w:val="003E7980"/>
    <w:rsid w:val="003F16A2"/>
    <w:rsid w:val="003F1B8F"/>
    <w:rsid w:val="003F1E01"/>
    <w:rsid w:val="003F278A"/>
    <w:rsid w:val="003F33EE"/>
    <w:rsid w:val="003F37C5"/>
    <w:rsid w:val="003F3C02"/>
    <w:rsid w:val="003F4B76"/>
    <w:rsid w:val="003F4F13"/>
    <w:rsid w:val="003F50E8"/>
    <w:rsid w:val="003F5494"/>
    <w:rsid w:val="003F707C"/>
    <w:rsid w:val="003F7C4C"/>
    <w:rsid w:val="003F7DFF"/>
    <w:rsid w:val="003F7ED5"/>
    <w:rsid w:val="004001AB"/>
    <w:rsid w:val="0040028C"/>
    <w:rsid w:val="0040032F"/>
    <w:rsid w:val="004011FF"/>
    <w:rsid w:val="0040126C"/>
    <w:rsid w:val="00401831"/>
    <w:rsid w:val="004024EC"/>
    <w:rsid w:val="00404FAE"/>
    <w:rsid w:val="0040506C"/>
    <w:rsid w:val="004053C2"/>
    <w:rsid w:val="00405649"/>
    <w:rsid w:val="004059FB"/>
    <w:rsid w:val="004060D7"/>
    <w:rsid w:val="00406260"/>
    <w:rsid w:val="0040643F"/>
    <w:rsid w:val="0040677D"/>
    <w:rsid w:val="00406B60"/>
    <w:rsid w:val="0041007A"/>
    <w:rsid w:val="00410903"/>
    <w:rsid w:val="00410CB6"/>
    <w:rsid w:val="00410F41"/>
    <w:rsid w:val="00411292"/>
    <w:rsid w:val="0041175F"/>
    <w:rsid w:val="00411C5B"/>
    <w:rsid w:val="00412061"/>
    <w:rsid w:val="0041247E"/>
    <w:rsid w:val="004124DD"/>
    <w:rsid w:val="0041268A"/>
    <w:rsid w:val="0041271B"/>
    <w:rsid w:val="00412AEC"/>
    <w:rsid w:val="00413127"/>
    <w:rsid w:val="004132FA"/>
    <w:rsid w:val="00413A72"/>
    <w:rsid w:val="00414519"/>
    <w:rsid w:val="004148D8"/>
    <w:rsid w:val="00415228"/>
    <w:rsid w:val="004154E7"/>
    <w:rsid w:val="00415B08"/>
    <w:rsid w:val="00415B74"/>
    <w:rsid w:val="00415D99"/>
    <w:rsid w:val="00417A2D"/>
    <w:rsid w:val="00417ECF"/>
    <w:rsid w:val="00417ED8"/>
    <w:rsid w:val="004204F4"/>
    <w:rsid w:val="004208C2"/>
    <w:rsid w:val="00421794"/>
    <w:rsid w:val="00421F1F"/>
    <w:rsid w:val="0042274E"/>
    <w:rsid w:val="00423730"/>
    <w:rsid w:val="0042381A"/>
    <w:rsid w:val="00424550"/>
    <w:rsid w:val="00424947"/>
    <w:rsid w:val="00425640"/>
    <w:rsid w:val="004256AA"/>
    <w:rsid w:val="00425F1D"/>
    <w:rsid w:val="00425F9E"/>
    <w:rsid w:val="00430100"/>
    <w:rsid w:val="00430F4B"/>
    <w:rsid w:val="0043125A"/>
    <w:rsid w:val="00431901"/>
    <w:rsid w:val="00431AA0"/>
    <w:rsid w:val="00433041"/>
    <w:rsid w:val="00433DE5"/>
    <w:rsid w:val="00433FA3"/>
    <w:rsid w:val="00434821"/>
    <w:rsid w:val="004355B7"/>
    <w:rsid w:val="00435E6A"/>
    <w:rsid w:val="0043605B"/>
    <w:rsid w:val="00436336"/>
    <w:rsid w:val="00436A17"/>
    <w:rsid w:val="00437223"/>
    <w:rsid w:val="0043783A"/>
    <w:rsid w:val="00437D04"/>
    <w:rsid w:val="00440F34"/>
    <w:rsid w:val="00441061"/>
    <w:rsid w:val="00441097"/>
    <w:rsid w:val="004411B1"/>
    <w:rsid w:val="00441750"/>
    <w:rsid w:val="0044231D"/>
    <w:rsid w:val="00442FB1"/>
    <w:rsid w:val="004433D7"/>
    <w:rsid w:val="00443808"/>
    <w:rsid w:val="0044391F"/>
    <w:rsid w:val="00443F75"/>
    <w:rsid w:val="00444A85"/>
    <w:rsid w:val="00445355"/>
    <w:rsid w:val="004456D5"/>
    <w:rsid w:val="00445C52"/>
    <w:rsid w:val="00445EA1"/>
    <w:rsid w:val="00445FB1"/>
    <w:rsid w:val="00446100"/>
    <w:rsid w:val="00446457"/>
    <w:rsid w:val="004465CB"/>
    <w:rsid w:val="004469E4"/>
    <w:rsid w:val="00446EF9"/>
    <w:rsid w:val="004474BB"/>
    <w:rsid w:val="0044767F"/>
    <w:rsid w:val="00447DF9"/>
    <w:rsid w:val="004501F9"/>
    <w:rsid w:val="00450525"/>
    <w:rsid w:val="00450BB3"/>
    <w:rsid w:val="00450BFF"/>
    <w:rsid w:val="00450D68"/>
    <w:rsid w:val="00451A79"/>
    <w:rsid w:val="00451DF1"/>
    <w:rsid w:val="00452162"/>
    <w:rsid w:val="004525F5"/>
    <w:rsid w:val="00452D2A"/>
    <w:rsid w:val="004539EA"/>
    <w:rsid w:val="00453A65"/>
    <w:rsid w:val="00454ADE"/>
    <w:rsid w:val="0045558C"/>
    <w:rsid w:val="004559F1"/>
    <w:rsid w:val="00456B0F"/>
    <w:rsid w:val="004618CF"/>
    <w:rsid w:val="00461AE2"/>
    <w:rsid w:val="00463DA6"/>
    <w:rsid w:val="00463F5B"/>
    <w:rsid w:val="00463F5D"/>
    <w:rsid w:val="00463F67"/>
    <w:rsid w:val="0046490F"/>
    <w:rsid w:val="00465F7F"/>
    <w:rsid w:val="00466E8E"/>
    <w:rsid w:val="00466F2D"/>
    <w:rsid w:val="00466F79"/>
    <w:rsid w:val="004672B4"/>
    <w:rsid w:val="004676AE"/>
    <w:rsid w:val="00467797"/>
    <w:rsid w:val="0046788C"/>
    <w:rsid w:val="00467B39"/>
    <w:rsid w:val="00470AF7"/>
    <w:rsid w:val="004712ED"/>
    <w:rsid w:val="00471554"/>
    <w:rsid w:val="00471DF2"/>
    <w:rsid w:val="004725D0"/>
    <w:rsid w:val="004727D3"/>
    <w:rsid w:val="004728DB"/>
    <w:rsid w:val="00472D31"/>
    <w:rsid w:val="00473371"/>
    <w:rsid w:val="00473780"/>
    <w:rsid w:val="0047489C"/>
    <w:rsid w:val="00474ED7"/>
    <w:rsid w:val="00475107"/>
    <w:rsid w:val="004754C5"/>
    <w:rsid w:val="004754EC"/>
    <w:rsid w:val="0047562E"/>
    <w:rsid w:val="00475955"/>
    <w:rsid w:val="00475C65"/>
    <w:rsid w:val="00475E13"/>
    <w:rsid w:val="004765F8"/>
    <w:rsid w:val="00476B8A"/>
    <w:rsid w:val="00476E7D"/>
    <w:rsid w:val="00476F58"/>
    <w:rsid w:val="0048159C"/>
    <w:rsid w:val="004817D7"/>
    <w:rsid w:val="004830D9"/>
    <w:rsid w:val="0048349F"/>
    <w:rsid w:val="0048360D"/>
    <w:rsid w:val="004841EA"/>
    <w:rsid w:val="004843AC"/>
    <w:rsid w:val="00485205"/>
    <w:rsid w:val="0048559E"/>
    <w:rsid w:val="00485847"/>
    <w:rsid w:val="0048781C"/>
    <w:rsid w:val="00487BB5"/>
    <w:rsid w:val="00487BB7"/>
    <w:rsid w:val="00487E11"/>
    <w:rsid w:val="0049005B"/>
    <w:rsid w:val="0049012B"/>
    <w:rsid w:val="0049017B"/>
    <w:rsid w:val="00491121"/>
    <w:rsid w:val="00492464"/>
    <w:rsid w:val="00492B22"/>
    <w:rsid w:val="00493636"/>
    <w:rsid w:val="00494F5E"/>
    <w:rsid w:val="00495783"/>
    <w:rsid w:val="00495FB4"/>
    <w:rsid w:val="00496218"/>
    <w:rsid w:val="00497022"/>
    <w:rsid w:val="00497030"/>
    <w:rsid w:val="004977C5"/>
    <w:rsid w:val="00497999"/>
    <w:rsid w:val="004A0D74"/>
    <w:rsid w:val="004A13DB"/>
    <w:rsid w:val="004A1DC0"/>
    <w:rsid w:val="004A275E"/>
    <w:rsid w:val="004A29A0"/>
    <w:rsid w:val="004A2EFE"/>
    <w:rsid w:val="004A33A9"/>
    <w:rsid w:val="004A3B37"/>
    <w:rsid w:val="004A3D1C"/>
    <w:rsid w:val="004A471E"/>
    <w:rsid w:val="004A4B26"/>
    <w:rsid w:val="004A7723"/>
    <w:rsid w:val="004A7E06"/>
    <w:rsid w:val="004A7E51"/>
    <w:rsid w:val="004B0CC4"/>
    <w:rsid w:val="004B11B4"/>
    <w:rsid w:val="004B16C0"/>
    <w:rsid w:val="004B1745"/>
    <w:rsid w:val="004B2A97"/>
    <w:rsid w:val="004B3DD5"/>
    <w:rsid w:val="004B4454"/>
    <w:rsid w:val="004B46AD"/>
    <w:rsid w:val="004B475D"/>
    <w:rsid w:val="004B5B43"/>
    <w:rsid w:val="004B5C68"/>
    <w:rsid w:val="004B61C4"/>
    <w:rsid w:val="004B64F8"/>
    <w:rsid w:val="004B6DDA"/>
    <w:rsid w:val="004B6E36"/>
    <w:rsid w:val="004B71C9"/>
    <w:rsid w:val="004B752E"/>
    <w:rsid w:val="004B7D1B"/>
    <w:rsid w:val="004B7FF4"/>
    <w:rsid w:val="004C00BC"/>
    <w:rsid w:val="004C0169"/>
    <w:rsid w:val="004C01A9"/>
    <w:rsid w:val="004C0F16"/>
    <w:rsid w:val="004C0F26"/>
    <w:rsid w:val="004C1012"/>
    <w:rsid w:val="004C1C08"/>
    <w:rsid w:val="004C23DF"/>
    <w:rsid w:val="004C2777"/>
    <w:rsid w:val="004C2ED8"/>
    <w:rsid w:val="004C3250"/>
    <w:rsid w:val="004C3C78"/>
    <w:rsid w:val="004C415E"/>
    <w:rsid w:val="004C4435"/>
    <w:rsid w:val="004C454A"/>
    <w:rsid w:val="004C4598"/>
    <w:rsid w:val="004C5525"/>
    <w:rsid w:val="004C5B44"/>
    <w:rsid w:val="004C5C1F"/>
    <w:rsid w:val="004C7802"/>
    <w:rsid w:val="004C7985"/>
    <w:rsid w:val="004D0AAA"/>
    <w:rsid w:val="004D0FF1"/>
    <w:rsid w:val="004D1369"/>
    <w:rsid w:val="004D1479"/>
    <w:rsid w:val="004D14AF"/>
    <w:rsid w:val="004D197C"/>
    <w:rsid w:val="004D1C31"/>
    <w:rsid w:val="004D28F3"/>
    <w:rsid w:val="004D3C8D"/>
    <w:rsid w:val="004D3D1F"/>
    <w:rsid w:val="004D4049"/>
    <w:rsid w:val="004D48C3"/>
    <w:rsid w:val="004D4AAE"/>
    <w:rsid w:val="004D4C85"/>
    <w:rsid w:val="004D5196"/>
    <w:rsid w:val="004D5575"/>
    <w:rsid w:val="004D589C"/>
    <w:rsid w:val="004D5A83"/>
    <w:rsid w:val="004D5CAD"/>
    <w:rsid w:val="004D5E68"/>
    <w:rsid w:val="004D5E82"/>
    <w:rsid w:val="004D7675"/>
    <w:rsid w:val="004D7B37"/>
    <w:rsid w:val="004E00AA"/>
    <w:rsid w:val="004E0951"/>
    <w:rsid w:val="004E162B"/>
    <w:rsid w:val="004E1B7F"/>
    <w:rsid w:val="004E1EAE"/>
    <w:rsid w:val="004E2111"/>
    <w:rsid w:val="004E25DD"/>
    <w:rsid w:val="004E4BE8"/>
    <w:rsid w:val="004E4D8A"/>
    <w:rsid w:val="004E4E06"/>
    <w:rsid w:val="004E56BD"/>
    <w:rsid w:val="004E5A4B"/>
    <w:rsid w:val="004E5B69"/>
    <w:rsid w:val="004E5BBD"/>
    <w:rsid w:val="004E5DE3"/>
    <w:rsid w:val="004E5E29"/>
    <w:rsid w:val="004E5EA7"/>
    <w:rsid w:val="004E6B8B"/>
    <w:rsid w:val="004E6C6E"/>
    <w:rsid w:val="004E6CBF"/>
    <w:rsid w:val="004E6E11"/>
    <w:rsid w:val="004F0022"/>
    <w:rsid w:val="004F10A6"/>
    <w:rsid w:val="004F17AA"/>
    <w:rsid w:val="004F1878"/>
    <w:rsid w:val="004F1C9E"/>
    <w:rsid w:val="004F1FC4"/>
    <w:rsid w:val="004F285D"/>
    <w:rsid w:val="004F29BA"/>
    <w:rsid w:val="004F29E7"/>
    <w:rsid w:val="004F2AA9"/>
    <w:rsid w:val="004F3720"/>
    <w:rsid w:val="004F3B69"/>
    <w:rsid w:val="004F4726"/>
    <w:rsid w:val="004F4A58"/>
    <w:rsid w:val="004F5224"/>
    <w:rsid w:val="004F5351"/>
    <w:rsid w:val="004F561D"/>
    <w:rsid w:val="004F5C5E"/>
    <w:rsid w:val="004F61A0"/>
    <w:rsid w:val="004F61CC"/>
    <w:rsid w:val="004F6374"/>
    <w:rsid w:val="004F71C5"/>
    <w:rsid w:val="004F7554"/>
    <w:rsid w:val="004F7B75"/>
    <w:rsid w:val="00500AEA"/>
    <w:rsid w:val="00500D22"/>
    <w:rsid w:val="00501341"/>
    <w:rsid w:val="005013DA"/>
    <w:rsid w:val="0050196F"/>
    <w:rsid w:val="00501E83"/>
    <w:rsid w:val="00501F27"/>
    <w:rsid w:val="00502085"/>
    <w:rsid w:val="00502771"/>
    <w:rsid w:val="00502F1D"/>
    <w:rsid w:val="005030B5"/>
    <w:rsid w:val="0050320E"/>
    <w:rsid w:val="00503A3E"/>
    <w:rsid w:val="005042D5"/>
    <w:rsid w:val="005047A5"/>
    <w:rsid w:val="0050661E"/>
    <w:rsid w:val="0050686E"/>
    <w:rsid w:val="00506C49"/>
    <w:rsid w:val="005072BE"/>
    <w:rsid w:val="00507937"/>
    <w:rsid w:val="00507F6F"/>
    <w:rsid w:val="0051046A"/>
    <w:rsid w:val="00510515"/>
    <w:rsid w:val="005105AF"/>
    <w:rsid w:val="00510738"/>
    <w:rsid w:val="00511429"/>
    <w:rsid w:val="005114E7"/>
    <w:rsid w:val="00511BE7"/>
    <w:rsid w:val="00511C2C"/>
    <w:rsid w:val="00511CA6"/>
    <w:rsid w:val="005126ED"/>
    <w:rsid w:val="00512900"/>
    <w:rsid w:val="0051311D"/>
    <w:rsid w:val="00513812"/>
    <w:rsid w:val="0051413D"/>
    <w:rsid w:val="005141ED"/>
    <w:rsid w:val="00514419"/>
    <w:rsid w:val="005145C4"/>
    <w:rsid w:val="00514696"/>
    <w:rsid w:val="00514D71"/>
    <w:rsid w:val="005152BE"/>
    <w:rsid w:val="00515B47"/>
    <w:rsid w:val="00515D6B"/>
    <w:rsid w:val="00517B9B"/>
    <w:rsid w:val="00517BA0"/>
    <w:rsid w:val="00517E50"/>
    <w:rsid w:val="00520859"/>
    <w:rsid w:val="00520CC2"/>
    <w:rsid w:val="0052191D"/>
    <w:rsid w:val="00521BE3"/>
    <w:rsid w:val="00521DE4"/>
    <w:rsid w:val="00521F73"/>
    <w:rsid w:val="0052219A"/>
    <w:rsid w:val="00522275"/>
    <w:rsid w:val="0052277A"/>
    <w:rsid w:val="00523095"/>
    <w:rsid w:val="00523224"/>
    <w:rsid w:val="0052342F"/>
    <w:rsid w:val="005238BC"/>
    <w:rsid w:val="00523C63"/>
    <w:rsid w:val="00523F13"/>
    <w:rsid w:val="0052424B"/>
    <w:rsid w:val="005247A9"/>
    <w:rsid w:val="0052489D"/>
    <w:rsid w:val="00524989"/>
    <w:rsid w:val="00525503"/>
    <w:rsid w:val="0052595C"/>
    <w:rsid w:val="00526172"/>
    <w:rsid w:val="00526A0B"/>
    <w:rsid w:val="005270AA"/>
    <w:rsid w:val="005275A8"/>
    <w:rsid w:val="0053046A"/>
    <w:rsid w:val="00531ADB"/>
    <w:rsid w:val="00531EE2"/>
    <w:rsid w:val="00532113"/>
    <w:rsid w:val="00532502"/>
    <w:rsid w:val="00532DAE"/>
    <w:rsid w:val="00533378"/>
    <w:rsid w:val="00533850"/>
    <w:rsid w:val="005358DC"/>
    <w:rsid w:val="00535AEE"/>
    <w:rsid w:val="00536EEA"/>
    <w:rsid w:val="005373FF"/>
    <w:rsid w:val="00540848"/>
    <w:rsid w:val="00540855"/>
    <w:rsid w:val="00540861"/>
    <w:rsid w:val="00540E2C"/>
    <w:rsid w:val="00540F2B"/>
    <w:rsid w:val="00540FCB"/>
    <w:rsid w:val="00541020"/>
    <w:rsid w:val="00541327"/>
    <w:rsid w:val="0054182B"/>
    <w:rsid w:val="00541A8A"/>
    <w:rsid w:val="00542803"/>
    <w:rsid w:val="00543B1F"/>
    <w:rsid w:val="00543DA4"/>
    <w:rsid w:val="0054419E"/>
    <w:rsid w:val="00544A98"/>
    <w:rsid w:val="00545027"/>
    <w:rsid w:val="00545F6E"/>
    <w:rsid w:val="005460BE"/>
    <w:rsid w:val="00546364"/>
    <w:rsid w:val="0054643F"/>
    <w:rsid w:val="0054696F"/>
    <w:rsid w:val="00546D18"/>
    <w:rsid w:val="0054705D"/>
    <w:rsid w:val="00547152"/>
    <w:rsid w:val="0055051C"/>
    <w:rsid w:val="00550918"/>
    <w:rsid w:val="0055093D"/>
    <w:rsid w:val="00550D43"/>
    <w:rsid w:val="005511C8"/>
    <w:rsid w:val="00551FCB"/>
    <w:rsid w:val="00552411"/>
    <w:rsid w:val="005528BA"/>
    <w:rsid w:val="00552CD7"/>
    <w:rsid w:val="00553A08"/>
    <w:rsid w:val="005540D3"/>
    <w:rsid w:val="005544AB"/>
    <w:rsid w:val="00554C82"/>
    <w:rsid w:val="005552DD"/>
    <w:rsid w:val="005552F3"/>
    <w:rsid w:val="005555D8"/>
    <w:rsid w:val="0055591B"/>
    <w:rsid w:val="00555C2A"/>
    <w:rsid w:val="00555E97"/>
    <w:rsid w:val="0055751D"/>
    <w:rsid w:val="00557A47"/>
    <w:rsid w:val="005603C0"/>
    <w:rsid w:val="00561913"/>
    <w:rsid w:val="00563078"/>
    <w:rsid w:val="00564BDA"/>
    <w:rsid w:val="0056517B"/>
    <w:rsid w:val="005654B3"/>
    <w:rsid w:val="00566847"/>
    <w:rsid w:val="00566AB7"/>
    <w:rsid w:val="00566DAA"/>
    <w:rsid w:val="005673C6"/>
    <w:rsid w:val="00567A1C"/>
    <w:rsid w:val="00567C13"/>
    <w:rsid w:val="005707E5"/>
    <w:rsid w:val="00570F9C"/>
    <w:rsid w:val="00571DA3"/>
    <w:rsid w:val="00571DF7"/>
    <w:rsid w:val="0057215A"/>
    <w:rsid w:val="005729AD"/>
    <w:rsid w:val="00572E08"/>
    <w:rsid w:val="00574447"/>
    <w:rsid w:val="00574587"/>
    <w:rsid w:val="005746CF"/>
    <w:rsid w:val="00574704"/>
    <w:rsid w:val="00574970"/>
    <w:rsid w:val="005750E4"/>
    <w:rsid w:val="00575C4D"/>
    <w:rsid w:val="00575FEA"/>
    <w:rsid w:val="00576BE5"/>
    <w:rsid w:val="00576F5D"/>
    <w:rsid w:val="00576FC6"/>
    <w:rsid w:val="00577253"/>
    <w:rsid w:val="0057733B"/>
    <w:rsid w:val="00577B66"/>
    <w:rsid w:val="00577FAA"/>
    <w:rsid w:val="00580325"/>
    <w:rsid w:val="00580852"/>
    <w:rsid w:val="00580BF0"/>
    <w:rsid w:val="00580ECD"/>
    <w:rsid w:val="005828AD"/>
    <w:rsid w:val="00582B91"/>
    <w:rsid w:val="00582F6A"/>
    <w:rsid w:val="005831FB"/>
    <w:rsid w:val="00583993"/>
    <w:rsid w:val="00584C58"/>
    <w:rsid w:val="005859AE"/>
    <w:rsid w:val="00585B50"/>
    <w:rsid w:val="00585D49"/>
    <w:rsid w:val="005861AC"/>
    <w:rsid w:val="00587367"/>
    <w:rsid w:val="00587395"/>
    <w:rsid w:val="00587618"/>
    <w:rsid w:val="0058787D"/>
    <w:rsid w:val="0059001A"/>
    <w:rsid w:val="0059005D"/>
    <w:rsid w:val="00590108"/>
    <w:rsid w:val="005906BB"/>
    <w:rsid w:val="005906DA"/>
    <w:rsid w:val="00590A4F"/>
    <w:rsid w:val="00591405"/>
    <w:rsid w:val="005916D4"/>
    <w:rsid w:val="005936D2"/>
    <w:rsid w:val="005939B4"/>
    <w:rsid w:val="0059433A"/>
    <w:rsid w:val="00594BA3"/>
    <w:rsid w:val="00595291"/>
    <w:rsid w:val="00595740"/>
    <w:rsid w:val="00595CC6"/>
    <w:rsid w:val="00595F8D"/>
    <w:rsid w:val="00597F8D"/>
    <w:rsid w:val="005A00D1"/>
    <w:rsid w:val="005A0443"/>
    <w:rsid w:val="005A07E0"/>
    <w:rsid w:val="005A1475"/>
    <w:rsid w:val="005A1730"/>
    <w:rsid w:val="005A18D6"/>
    <w:rsid w:val="005A21F1"/>
    <w:rsid w:val="005A2507"/>
    <w:rsid w:val="005A2756"/>
    <w:rsid w:val="005A2944"/>
    <w:rsid w:val="005A2C60"/>
    <w:rsid w:val="005A5404"/>
    <w:rsid w:val="005A58C0"/>
    <w:rsid w:val="005A5DC2"/>
    <w:rsid w:val="005A6001"/>
    <w:rsid w:val="005A7EBD"/>
    <w:rsid w:val="005B01B5"/>
    <w:rsid w:val="005B03C6"/>
    <w:rsid w:val="005B0D3E"/>
    <w:rsid w:val="005B131E"/>
    <w:rsid w:val="005B1785"/>
    <w:rsid w:val="005B183A"/>
    <w:rsid w:val="005B1947"/>
    <w:rsid w:val="005B2AB9"/>
    <w:rsid w:val="005B2C8A"/>
    <w:rsid w:val="005B3038"/>
    <w:rsid w:val="005B39AF"/>
    <w:rsid w:val="005B3D58"/>
    <w:rsid w:val="005B4E2A"/>
    <w:rsid w:val="005B4FF5"/>
    <w:rsid w:val="005B51BB"/>
    <w:rsid w:val="005B6321"/>
    <w:rsid w:val="005B66FF"/>
    <w:rsid w:val="005B6810"/>
    <w:rsid w:val="005B72B1"/>
    <w:rsid w:val="005B7534"/>
    <w:rsid w:val="005B7759"/>
    <w:rsid w:val="005B7C9B"/>
    <w:rsid w:val="005B7D75"/>
    <w:rsid w:val="005C0095"/>
    <w:rsid w:val="005C01DC"/>
    <w:rsid w:val="005C094D"/>
    <w:rsid w:val="005C1B42"/>
    <w:rsid w:val="005C1FB5"/>
    <w:rsid w:val="005C2082"/>
    <w:rsid w:val="005C20F9"/>
    <w:rsid w:val="005C2492"/>
    <w:rsid w:val="005C2E80"/>
    <w:rsid w:val="005C3065"/>
    <w:rsid w:val="005C382C"/>
    <w:rsid w:val="005C3E64"/>
    <w:rsid w:val="005C4730"/>
    <w:rsid w:val="005C493B"/>
    <w:rsid w:val="005C599A"/>
    <w:rsid w:val="005C6463"/>
    <w:rsid w:val="005C660E"/>
    <w:rsid w:val="005C7158"/>
    <w:rsid w:val="005C7839"/>
    <w:rsid w:val="005C7C7D"/>
    <w:rsid w:val="005D0813"/>
    <w:rsid w:val="005D1019"/>
    <w:rsid w:val="005D1618"/>
    <w:rsid w:val="005D1F84"/>
    <w:rsid w:val="005D24FE"/>
    <w:rsid w:val="005D3030"/>
    <w:rsid w:val="005D325C"/>
    <w:rsid w:val="005D41C5"/>
    <w:rsid w:val="005D44F5"/>
    <w:rsid w:val="005D4937"/>
    <w:rsid w:val="005D4D74"/>
    <w:rsid w:val="005D586C"/>
    <w:rsid w:val="005D5BD7"/>
    <w:rsid w:val="005D5F0F"/>
    <w:rsid w:val="005D6022"/>
    <w:rsid w:val="005D6193"/>
    <w:rsid w:val="005D69E7"/>
    <w:rsid w:val="005D7F57"/>
    <w:rsid w:val="005E02C7"/>
    <w:rsid w:val="005E1ACB"/>
    <w:rsid w:val="005E1C61"/>
    <w:rsid w:val="005E37A0"/>
    <w:rsid w:val="005E5907"/>
    <w:rsid w:val="005E5B81"/>
    <w:rsid w:val="005E6A7B"/>
    <w:rsid w:val="005E71A3"/>
    <w:rsid w:val="005F0213"/>
    <w:rsid w:val="005F0831"/>
    <w:rsid w:val="005F10F9"/>
    <w:rsid w:val="005F13D3"/>
    <w:rsid w:val="005F144B"/>
    <w:rsid w:val="005F1920"/>
    <w:rsid w:val="005F2416"/>
    <w:rsid w:val="005F24FE"/>
    <w:rsid w:val="005F3A34"/>
    <w:rsid w:val="005F3A4A"/>
    <w:rsid w:val="005F3F18"/>
    <w:rsid w:val="005F3F4F"/>
    <w:rsid w:val="005F3F57"/>
    <w:rsid w:val="005F4057"/>
    <w:rsid w:val="005F445C"/>
    <w:rsid w:val="005F4649"/>
    <w:rsid w:val="005F4CC9"/>
    <w:rsid w:val="005F5204"/>
    <w:rsid w:val="005F5421"/>
    <w:rsid w:val="005F55FB"/>
    <w:rsid w:val="005F63B6"/>
    <w:rsid w:val="005F6731"/>
    <w:rsid w:val="005F6A6B"/>
    <w:rsid w:val="005F772C"/>
    <w:rsid w:val="005F7ED3"/>
    <w:rsid w:val="00600577"/>
    <w:rsid w:val="00600E99"/>
    <w:rsid w:val="00600EAB"/>
    <w:rsid w:val="00601078"/>
    <w:rsid w:val="00602AD6"/>
    <w:rsid w:val="006039AD"/>
    <w:rsid w:val="00603C1F"/>
    <w:rsid w:val="0060488B"/>
    <w:rsid w:val="00604894"/>
    <w:rsid w:val="00604960"/>
    <w:rsid w:val="00604FC9"/>
    <w:rsid w:val="006054FD"/>
    <w:rsid w:val="00605E41"/>
    <w:rsid w:val="00605ED8"/>
    <w:rsid w:val="006066D1"/>
    <w:rsid w:val="00606AAA"/>
    <w:rsid w:val="00606C9E"/>
    <w:rsid w:val="0060765F"/>
    <w:rsid w:val="00607BA5"/>
    <w:rsid w:val="00610514"/>
    <w:rsid w:val="00610AB1"/>
    <w:rsid w:val="00610D99"/>
    <w:rsid w:val="00610DDB"/>
    <w:rsid w:val="006116A1"/>
    <w:rsid w:val="00611B73"/>
    <w:rsid w:val="00611BC7"/>
    <w:rsid w:val="00612008"/>
    <w:rsid w:val="0061220E"/>
    <w:rsid w:val="006125F5"/>
    <w:rsid w:val="00612877"/>
    <w:rsid w:val="0061384A"/>
    <w:rsid w:val="00614956"/>
    <w:rsid w:val="00614F89"/>
    <w:rsid w:val="00614FA2"/>
    <w:rsid w:val="00615852"/>
    <w:rsid w:val="00616E10"/>
    <w:rsid w:val="0061705D"/>
    <w:rsid w:val="006178B4"/>
    <w:rsid w:val="006178F8"/>
    <w:rsid w:val="00617FCC"/>
    <w:rsid w:val="00620F2C"/>
    <w:rsid w:val="00621010"/>
    <w:rsid w:val="006211A1"/>
    <w:rsid w:val="0062182D"/>
    <w:rsid w:val="00621983"/>
    <w:rsid w:val="00621ABF"/>
    <w:rsid w:val="006222C5"/>
    <w:rsid w:val="00623F2D"/>
    <w:rsid w:val="00624192"/>
    <w:rsid w:val="00624526"/>
    <w:rsid w:val="0062484A"/>
    <w:rsid w:val="00624D5D"/>
    <w:rsid w:val="00625ABB"/>
    <w:rsid w:val="00625D67"/>
    <w:rsid w:val="00625EF8"/>
    <w:rsid w:val="00626DF5"/>
    <w:rsid w:val="00627088"/>
    <w:rsid w:val="00627749"/>
    <w:rsid w:val="00627948"/>
    <w:rsid w:val="00630151"/>
    <w:rsid w:val="0063068A"/>
    <w:rsid w:val="006309F3"/>
    <w:rsid w:val="00630B72"/>
    <w:rsid w:val="006310A8"/>
    <w:rsid w:val="0063170E"/>
    <w:rsid w:val="00631CC1"/>
    <w:rsid w:val="006320EA"/>
    <w:rsid w:val="00632A9F"/>
    <w:rsid w:val="00632BF9"/>
    <w:rsid w:val="006333E6"/>
    <w:rsid w:val="006336E7"/>
    <w:rsid w:val="0063378E"/>
    <w:rsid w:val="00633B9E"/>
    <w:rsid w:val="00634207"/>
    <w:rsid w:val="00635155"/>
    <w:rsid w:val="006351BB"/>
    <w:rsid w:val="00635910"/>
    <w:rsid w:val="00635A41"/>
    <w:rsid w:val="00635AAF"/>
    <w:rsid w:val="00637B10"/>
    <w:rsid w:val="00637FF6"/>
    <w:rsid w:val="006408BA"/>
    <w:rsid w:val="00640AEF"/>
    <w:rsid w:val="00640E5C"/>
    <w:rsid w:val="0064121A"/>
    <w:rsid w:val="0064167F"/>
    <w:rsid w:val="006422F4"/>
    <w:rsid w:val="006426EE"/>
    <w:rsid w:val="00642719"/>
    <w:rsid w:val="00642C98"/>
    <w:rsid w:val="00643101"/>
    <w:rsid w:val="00643135"/>
    <w:rsid w:val="0064339B"/>
    <w:rsid w:val="006439F4"/>
    <w:rsid w:val="00643F0E"/>
    <w:rsid w:val="006444C4"/>
    <w:rsid w:val="0064467C"/>
    <w:rsid w:val="00644C6A"/>
    <w:rsid w:val="00645583"/>
    <w:rsid w:val="00645AD0"/>
    <w:rsid w:val="00645D26"/>
    <w:rsid w:val="006465A0"/>
    <w:rsid w:val="00646A51"/>
    <w:rsid w:val="00646E0E"/>
    <w:rsid w:val="00646F59"/>
    <w:rsid w:val="0064760C"/>
    <w:rsid w:val="00650790"/>
    <w:rsid w:val="00651059"/>
    <w:rsid w:val="00651385"/>
    <w:rsid w:val="00651566"/>
    <w:rsid w:val="006519CD"/>
    <w:rsid w:val="00651E21"/>
    <w:rsid w:val="00652014"/>
    <w:rsid w:val="00652E0D"/>
    <w:rsid w:val="00652FD0"/>
    <w:rsid w:val="006531A5"/>
    <w:rsid w:val="0065381E"/>
    <w:rsid w:val="0065423C"/>
    <w:rsid w:val="00655192"/>
    <w:rsid w:val="00655289"/>
    <w:rsid w:val="00656019"/>
    <w:rsid w:val="006569E6"/>
    <w:rsid w:val="00656FB8"/>
    <w:rsid w:val="006571BD"/>
    <w:rsid w:val="00660476"/>
    <w:rsid w:val="006608F0"/>
    <w:rsid w:val="00660C03"/>
    <w:rsid w:val="006610AD"/>
    <w:rsid w:val="006611E2"/>
    <w:rsid w:val="00661485"/>
    <w:rsid w:val="00661B33"/>
    <w:rsid w:val="00661E18"/>
    <w:rsid w:val="0066216A"/>
    <w:rsid w:val="006623D5"/>
    <w:rsid w:val="00662EF1"/>
    <w:rsid w:val="006632E2"/>
    <w:rsid w:val="006633D1"/>
    <w:rsid w:val="0066379B"/>
    <w:rsid w:val="00664146"/>
    <w:rsid w:val="0066415D"/>
    <w:rsid w:val="006643AE"/>
    <w:rsid w:val="00664827"/>
    <w:rsid w:val="00664AF1"/>
    <w:rsid w:val="00664DDB"/>
    <w:rsid w:val="00665017"/>
    <w:rsid w:val="006652EF"/>
    <w:rsid w:val="00665815"/>
    <w:rsid w:val="00665E8A"/>
    <w:rsid w:val="00666286"/>
    <w:rsid w:val="00666417"/>
    <w:rsid w:val="006668E8"/>
    <w:rsid w:val="00666935"/>
    <w:rsid w:val="00667157"/>
    <w:rsid w:val="006672B3"/>
    <w:rsid w:val="00667AF6"/>
    <w:rsid w:val="00667E66"/>
    <w:rsid w:val="00670AD7"/>
    <w:rsid w:val="00670F05"/>
    <w:rsid w:val="0067164A"/>
    <w:rsid w:val="006716F2"/>
    <w:rsid w:val="006718E6"/>
    <w:rsid w:val="006720C8"/>
    <w:rsid w:val="0067218D"/>
    <w:rsid w:val="0067231C"/>
    <w:rsid w:val="00672CAE"/>
    <w:rsid w:val="006734B7"/>
    <w:rsid w:val="00673B9B"/>
    <w:rsid w:val="00673CA5"/>
    <w:rsid w:val="0067404F"/>
    <w:rsid w:val="006742E1"/>
    <w:rsid w:val="006753E0"/>
    <w:rsid w:val="00675620"/>
    <w:rsid w:val="0067613C"/>
    <w:rsid w:val="0067690C"/>
    <w:rsid w:val="006773BE"/>
    <w:rsid w:val="00677497"/>
    <w:rsid w:val="006805C6"/>
    <w:rsid w:val="0068091E"/>
    <w:rsid w:val="00681830"/>
    <w:rsid w:val="00681FFE"/>
    <w:rsid w:val="00683A56"/>
    <w:rsid w:val="00683DEA"/>
    <w:rsid w:val="00684A2B"/>
    <w:rsid w:val="006854EC"/>
    <w:rsid w:val="006857D3"/>
    <w:rsid w:val="00685F8A"/>
    <w:rsid w:val="0068678F"/>
    <w:rsid w:val="00686899"/>
    <w:rsid w:val="006869FE"/>
    <w:rsid w:val="00686BA2"/>
    <w:rsid w:val="006870E6"/>
    <w:rsid w:val="0068740C"/>
    <w:rsid w:val="006879C3"/>
    <w:rsid w:val="00687A0A"/>
    <w:rsid w:val="006901EA"/>
    <w:rsid w:val="00690207"/>
    <w:rsid w:val="00690A79"/>
    <w:rsid w:val="00690C26"/>
    <w:rsid w:val="00691535"/>
    <w:rsid w:val="00692949"/>
    <w:rsid w:val="006934AF"/>
    <w:rsid w:val="0069358F"/>
    <w:rsid w:val="00693809"/>
    <w:rsid w:val="00693892"/>
    <w:rsid w:val="006943E3"/>
    <w:rsid w:val="006949CF"/>
    <w:rsid w:val="00695205"/>
    <w:rsid w:val="00695590"/>
    <w:rsid w:val="00695731"/>
    <w:rsid w:val="0069592E"/>
    <w:rsid w:val="00696098"/>
    <w:rsid w:val="006961BE"/>
    <w:rsid w:val="006962B7"/>
    <w:rsid w:val="00696610"/>
    <w:rsid w:val="00696743"/>
    <w:rsid w:val="006969BE"/>
    <w:rsid w:val="006979DB"/>
    <w:rsid w:val="00697CEB"/>
    <w:rsid w:val="006A01E8"/>
    <w:rsid w:val="006A0891"/>
    <w:rsid w:val="006A0E1B"/>
    <w:rsid w:val="006A1424"/>
    <w:rsid w:val="006A15A9"/>
    <w:rsid w:val="006A1F80"/>
    <w:rsid w:val="006A26E7"/>
    <w:rsid w:val="006A3D90"/>
    <w:rsid w:val="006A3E38"/>
    <w:rsid w:val="006A5BC8"/>
    <w:rsid w:val="006A5BDD"/>
    <w:rsid w:val="006A5D71"/>
    <w:rsid w:val="006A6741"/>
    <w:rsid w:val="006A6AD8"/>
    <w:rsid w:val="006A6FD8"/>
    <w:rsid w:val="006A7CC2"/>
    <w:rsid w:val="006B03E7"/>
    <w:rsid w:val="006B0439"/>
    <w:rsid w:val="006B0ABD"/>
    <w:rsid w:val="006B122D"/>
    <w:rsid w:val="006B1E32"/>
    <w:rsid w:val="006B2499"/>
    <w:rsid w:val="006B2EA1"/>
    <w:rsid w:val="006B2F4F"/>
    <w:rsid w:val="006B302C"/>
    <w:rsid w:val="006B322B"/>
    <w:rsid w:val="006B428F"/>
    <w:rsid w:val="006B4F00"/>
    <w:rsid w:val="006B5416"/>
    <w:rsid w:val="006B5B18"/>
    <w:rsid w:val="006B61C3"/>
    <w:rsid w:val="006B7406"/>
    <w:rsid w:val="006B798B"/>
    <w:rsid w:val="006B7EC0"/>
    <w:rsid w:val="006B7F9F"/>
    <w:rsid w:val="006C0ED5"/>
    <w:rsid w:val="006C10C4"/>
    <w:rsid w:val="006C1EBE"/>
    <w:rsid w:val="006C1FCE"/>
    <w:rsid w:val="006C2E37"/>
    <w:rsid w:val="006C2FA1"/>
    <w:rsid w:val="006C3412"/>
    <w:rsid w:val="006C357A"/>
    <w:rsid w:val="006C3CCE"/>
    <w:rsid w:val="006C4405"/>
    <w:rsid w:val="006C4A27"/>
    <w:rsid w:val="006C4C38"/>
    <w:rsid w:val="006C4DAD"/>
    <w:rsid w:val="006C58C4"/>
    <w:rsid w:val="006C5C8D"/>
    <w:rsid w:val="006C65CC"/>
    <w:rsid w:val="006C6C4C"/>
    <w:rsid w:val="006C6E65"/>
    <w:rsid w:val="006C6E9C"/>
    <w:rsid w:val="006C7374"/>
    <w:rsid w:val="006C7512"/>
    <w:rsid w:val="006D0898"/>
    <w:rsid w:val="006D09E7"/>
    <w:rsid w:val="006D0D35"/>
    <w:rsid w:val="006D1D3A"/>
    <w:rsid w:val="006D2661"/>
    <w:rsid w:val="006D26FC"/>
    <w:rsid w:val="006D3C30"/>
    <w:rsid w:val="006D426C"/>
    <w:rsid w:val="006D4416"/>
    <w:rsid w:val="006D489D"/>
    <w:rsid w:val="006D5306"/>
    <w:rsid w:val="006D6681"/>
    <w:rsid w:val="006D69B9"/>
    <w:rsid w:val="006D69EE"/>
    <w:rsid w:val="006D70CF"/>
    <w:rsid w:val="006D711A"/>
    <w:rsid w:val="006D7717"/>
    <w:rsid w:val="006D77AA"/>
    <w:rsid w:val="006D7C8B"/>
    <w:rsid w:val="006E02E0"/>
    <w:rsid w:val="006E089B"/>
    <w:rsid w:val="006E0A5B"/>
    <w:rsid w:val="006E0B16"/>
    <w:rsid w:val="006E10FB"/>
    <w:rsid w:val="006E2BB4"/>
    <w:rsid w:val="006E2F2E"/>
    <w:rsid w:val="006E369C"/>
    <w:rsid w:val="006E3C9F"/>
    <w:rsid w:val="006E4707"/>
    <w:rsid w:val="006E49AB"/>
    <w:rsid w:val="006E4E51"/>
    <w:rsid w:val="006E53F2"/>
    <w:rsid w:val="006E636E"/>
    <w:rsid w:val="006E63AC"/>
    <w:rsid w:val="006E6A83"/>
    <w:rsid w:val="006E7AB0"/>
    <w:rsid w:val="006E7EA7"/>
    <w:rsid w:val="006F0BD4"/>
    <w:rsid w:val="006F1457"/>
    <w:rsid w:val="006F17E7"/>
    <w:rsid w:val="006F1E19"/>
    <w:rsid w:val="006F28E0"/>
    <w:rsid w:val="006F46A3"/>
    <w:rsid w:val="006F4EF0"/>
    <w:rsid w:val="006F5189"/>
    <w:rsid w:val="006F521F"/>
    <w:rsid w:val="006F55D9"/>
    <w:rsid w:val="006F58B9"/>
    <w:rsid w:val="006F5B48"/>
    <w:rsid w:val="006F6309"/>
    <w:rsid w:val="006F722A"/>
    <w:rsid w:val="006F7262"/>
    <w:rsid w:val="006F77C6"/>
    <w:rsid w:val="006F7A66"/>
    <w:rsid w:val="0070063F"/>
    <w:rsid w:val="00700FE7"/>
    <w:rsid w:val="00701455"/>
    <w:rsid w:val="00702C20"/>
    <w:rsid w:val="00703078"/>
    <w:rsid w:val="0070315F"/>
    <w:rsid w:val="00703452"/>
    <w:rsid w:val="007035FC"/>
    <w:rsid w:val="00703782"/>
    <w:rsid w:val="007037A2"/>
    <w:rsid w:val="00703D04"/>
    <w:rsid w:val="00703EBE"/>
    <w:rsid w:val="00703ED2"/>
    <w:rsid w:val="00704478"/>
    <w:rsid w:val="00704A12"/>
    <w:rsid w:val="00705165"/>
    <w:rsid w:val="0070543B"/>
    <w:rsid w:val="00705DEA"/>
    <w:rsid w:val="007066BE"/>
    <w:rsid w:val="007066C6"/>
    <w:rsid w:val="00706713"/>
    <w:rsid w:val="007067DC"/>
    <w:rsid w:val="0070789E"/>
    <w:rsid w:val="00707D34"/>
    <w:rsid w:val="007105C8"/>
    <w:rsid w:val="007106F8"/>
    <w:rsid w:val="00711082"/>
    <w:rsid w:val="00711182"/>
    <w:rsid w:val="0071161C"/>
    <w:rsid w:val="00711AE6"/>
    <w:rsid w:val="0071215A"/>
    <w:rsid w:val="0071300B"/>
    <w:rsid w:val="00713CB3"/>
    <w:rsid w:val="00714317"/>
    <w:rsid w:val="00714CD7"/>
    <w:rsid w:val="00714E0C"/>
    <w:rsid w:val="00714EE6"/>
    <w:rsid w:val="00715768"/>
    <w:rsid w:val="00715B09"/>
    <w:rsid w:val="00715D15"/>
    <w:rsid w:val="0071625A"/>
    <w:rsid w:val="00716E6B"/>
    <w:rsid w:val="0071747C"/>
    <w:rsid w:val="007179AA"/>
    <w:rsid w:val="00717F8D"/>
    <w:rsid w:val="00720B62"/>
    <w:rsid w:val="00721149"/>
    <w:rsid w:val="007214AC"/>
    <w:rsid w:val="007215DB"/>
    <w:rsid w:val="007215E5"/>
    <w:rsid w:val="00721A82"/>
    <w:rsid w:val="00721E20"/>
    <w:rsid w:val="00721FA5"/>
    <w:rsid w:val="007220CB"/>
    <w:rsid w:val="007227F8"/>
    <w:rsid w:val="00722F67"/>
    <w:rsid w:val="0072309A"/>
    <w:rsid w:val="00723FF9"/>
    <w:rsid w:val="00724610"/>
    <w:rsid w:val="00724E17"/>
    <w:rsid w:val="0072541E"/>
    <w:rsid w:val="00725C98"/>
    <w:rsid w:val="00725D5B"/>
    <w:rsid w:val="00726E7D"/>
    <w:rsid w:val="007271B2"/>
    <w:rsid w:val="00727254"/>
    <w:rsid w:val="0072738A"/>
    <w:rsid w:val="007273D5"/>
    <w:rsid w:val="00730016"/>
    <w:rsid w:val="00730669"/>
    <w:rsid w:val="00731252"/>
    <w:rsid w:val="00732621"/>
    <w:rsid w:val="00733A7D"/>
    <w:rsid w:val="007342F8"/>
    <w:rsid w:val="00734C01"/>
    <w:rsid w:val="007375C3"/>
    <w:rsid w:val="00737B06"/>
    <w:rsid w:val="007400DE"/>
    <w:rsid w:val="0074012F"/>
    <w:rsid w:val="007401BD"/>
    <w:rsid w:val="007406BA"/>
    <w:rsid w:val="00741F1F"/>
    <w:rsid w:val="00742159"/>
    <w:rsid w:val="00743406"/>
    <w:rsid w:val="0074406F"/>
    <w:rsid w:val="00744934"/>
    <w:rsid w:val="00745515"/>
    <w:rsid w:val="00745652"/>
    <w:rsid w:val="00745B8D"/>
    <w:rsid w:val="00745BAE"/>
    <w:rsid w:val="007467C6"/>
    <w:rsid w:val="00746D1F"/>
    <w:rsid w:val="00747182"/>
    <w:rsid w:val="007473E9"/>
    <w:rsid w:val="00750104"/>
    <w:rsid w:val="00750221"/>
    <w:rsid w:val="00750E3B"/>
    <w:rsid w:val="00751999"/>
    <w:rsid w:val="00751E27"/>
    <w:rsid w:val="007520E0"/>
    <w:rsid w:val="007532B4"/>
    <w:rsid w:val="0075381F"/>
    <w:rsid w:val="00753FB6"/>
    <w:rsid w:val="00754F85"/>
    <w:rsid w:val="00755197"/>
    <w:rsid w:val="00755A0E"/>
    <w:rsid w:val="00756120"/>
    <w:rsid w:val="00756E67"/>
    <w:rsid w:val="00756EB6"/>
    <w:rsid w:val="007603AD"/>
    <w:rsid w:val="00760B56"/>
    <w:rsid w:val="007611EA"/>
    <w:rsid w:val="007618DF"/>
    <w:rsid w:val="00761C7C"/>
    <w:rsid w:val="007621EB"/>
    <w:rsid w:val="0076283E"/>
    <w:rsid w:val="00762B44"/>
    <w:rsid w:val="00763036"/>
    <w:rsid w:val="0076307E"/>
    <w:rsid w:val="007631D4"/>
    <w:rsid w:val="00763D8B"/>
    <w:rsid w:val="00764459"/>
    <w:rsid w:val="007644CF"/>
    <w:rsid w:val="0076475D"/>
    <w:rsid w:val="00764A4C"/>
    <w:rsid w:val="0076585D"/>
    <w:rsid w:val="00765C00"/>
    <w:rsid w:val="0076635B"/>
    <w:rsid w:val="00766FCE"/>
    <w:rsid w:val="00767791"/>
    <w:rsid w:val="00767946"/>
    <w:rsid w:val="00770421"/>
    <w:rsid w:val="00770D8B"/>
    <w:rsid w:val="00770F96"/>
    <w:rsid w:val="0077126C"/>
    <w:rsid w:val="00771BA6"/>
    <w:rsid w:val="00772580"/>
    <w:rsid w:val="0077261E"/>
    <w:rsid w:val="00772769"/>
    <w:rsid w:val="00772DF2"/>
    <w:rsid w:val="007734C8"/>
    <w:rsid w:val="00773DBC"/>
    <w:rsid w:val="007746AA"/>
    <w:rsid w:val="00774801"/>
    <w:rsid w:val="00775C31"/>
    <w:rsid w:val="0077644B"/>
    <w:rsid w:val="00776883"/>
    <w:rsid w:val="00776DD1"/>
    <w:rsid w:val="00777369"/>
    <w:rsid w:val="007803CC"/>
    <w:rsid w:val="0078068D"/>
    <w:rsid w:val="00780D16"/>
    <w:rsid w:val="00781382"/>
    <w:rsid w:val="00781639"/>
    <w:rsid w:val="00782C02"/>
    <w:rsid w:val="00783297"/>
    <w:rsid w:val="00783587"/>
    <w:rsid w:val="00783E1C"/>
    <w:rsid w:val="00783ED7"/>
    <w:rsid w:val="007840CF"/>
    <w:rsid w:val="00784365"/>
    <w:rsid w:val="007843EE"/>
    <w:rsid w:val="00784DD2"/>
    <w:rsid w:val="00785A92"/>
    <w:rsid w:val="00785CEE"/>
    <w:rsid w:val="0078638F"/>
    <w:rsid w:val="00786654"/>
    <w:rsid w:val="00787795"/>
    <w:rsid w:val="00787B75"/>
    <w:rsid w:val="00790E2D"/>
    <w:rsid w:val="0079150E"/>
    <w:rsid w:val="007920F8"/>
    <w:rsid w:val="0079272C"/>
    <w:rsid w:val="00792E14"/>
    <w:rsid w:val="00792E60"/>
    <w:rsid w:val="007935D4"/>
    <w:rsid w:val="00794FAF"/>
    <w:rsid w:val="00795FB8"/>
    <w:rsid w:val="00796A9B"/>
    <w:rsid w:val="00796DB8"/>
    <w:rsid w:val="007970EA"/>
    <w:rsid w:val="00797C52"/>
    <w:rsid w:val="007A0022"/>
    <w:rsid w:val="007A0740"/>
    <w:rsid w:val="007A1653"/>
    <w:rsid w:val="007A19E4"/>
    <w:rsid w:val="007A2164"/>
    <w:rsid w:val="007A2C5F"/>
    <w:rsid w:val="007A3722"/>
    <w:rsid w:val="007A3854"/>
    <w:rsid w:val="007A4326"/>
    <w:rsid w:val="007A43CB"/>
    <w:rsid w:val="007A53EF"/>
    <w:rsid w:val="007A574A"/>
    <w:rsid w:val="007A6D87"/>
    <w:rsid w:val="007A78FB"/>
    <w:rsid w:val="007A7A37"/>
    <w:rsid w:val="007B00ED"/>
    <w:rsid w:val="007B104C"/>
    <w:rsid w:val="007B18BC"/>
    <w:rsid w:val="007B18DC"/>
    <w:rsid w:val="007B3347"/>
    <w:rsid w:val="007B3E7F"/>
    <w:rsid w:val="007B3FA5"/>
    <w:rsid w:val="007B4337"/>
    <w:rsid w:val="007B44BA"/>
    <w:rsid w:val="007B4AA1"/>
    <w:rsid w:val="007B523B"/>
    <w:rsid w:val="007B5622"/>
    <w:rsid w:val="007B5823"/>
    <w:rsid w:val="007B59C8"/>
    <w:rsid w:val="007B5D8B"/>
    <w:rsid w:val="007B62BA"/>
    <w:rsid w:val="007B6439"/>
    <w:rsid w:val="007B6551"/>
    <w:rsid w:val="007B6C2F"/>
    <w:rsid w:val="007B758A"/>
    <w:rsid w:val="007B79CF"/>
    <w:rsid w:val="007B7CB3"/>
    <w:rsid w:val="007C0103"/>
    <w:rsid w:val="007C0948"/>
    <w:rsid w:val="007C0BDD"/>
    <w:rsid w:val="007C0C7C"/>
    <w:rsid w:val="007C18CD"/>
    <w:rsid w:val="007C18EC"/>
    <w:rsid w:val="007C2425"/>
    <w:rsid w:val="007C27D8"/>
    <w:rsid w:val="007C3026"/>
    <w:rsid w:val="007C3485"/>
    <w:rsid w:val="007C48FC"/>
    <w:rsid w:val="007C5C6D"/>
    <w:rsid w:val="007C5DFF"/>
    <w:rsid w:val="007C5E0E"/>
    <w:rsid w:val="007C67FF"/>
    <w:rsid w:val="007C6E82"/>
    <w:rsid w:val="007C7132"/>
    <w:rsid w:val="007C7216"/>
    <w:rsid w:val="007C738C"/>
    <w:rsid w:val="007C7A9E"/>
    <w:rsid w:val="007C7C09"/>
    <w:rsid w:val="007C7C61"/>
    <w:rsid w:val="007D04F4"/>
    <w:rsid w:val="007D0728"/>
    <w:rsid w:val="007D0824"/>
    <w:rsid w:val="007D15F1"/>
    <w:rsid w:val="007D16D0"/>
    <w:rsid w:val="007D1BA5"/>
    <w:rsid w:val="007D1E27"/>
    <w:rsid w:val="007D276B"/>
    <w:rsid w:val="007D3C66"/>
    <w:rsid w:val="007D3CAC"/>
    <w:rsid w:val="007D4208"/>
    <w:rsid w:val="007D42AF"/>
    <w:rsid w:val="007D442D"/>
    <w:rsid w:val="007D47A8"/>
    <w:rsid w:val="007D4A7D"/>
    <w:rsid w:val="007D4BC0"/>
    <w:rsid w:val="007D4DB2"/>
    <w:rsid w:val="007D4E43"/>
    <w:rsid w:val="007D4FB6"/>
    <w:rsid w:val="007D5469"/>
    <w:rsid w:val="007D546F"/>
    <w:rsid w:val="007D61FB"/>
    <w:rsid w:val="007D67F4"/>
    <w:rsid w:val="007D6EE3"/>
    <w:rsid w:val="007D78E2"/>
    <w:rsid w:val="007E025A"/>
    <w:rsid w:val="007E0BB1"/>
    <w:rsid w:val="007E0BFC"/>
    <w:rsid w:val="007E15FF"/>
    <w:rsid w:val="007E207B"/>
    <w:rsid w:val="007E20E8"/>
    <w:rsid w:val="007E223C"/>
    <w:rsid w:val="007E24EA"/>
    <w:rsid w:val="007E2E2E"/>
    <w:rsid w:val="007E3501"/>
    <w:rsid w:val="007E3A48"/>
    <w:rsid w:val="007E3C0D"/>
    <w:rsid w:val="007E452A"/>
    <w:rsid w:val="007E49EB"/>
    <w:rsid w:val="007E558D"/>
    <w:rsid w:val="007E5ECB"/>
    <w:rsid w:val="007E6375"/>
    <w:rsid w:val="007E7563"/>
    <w:rsid w:val="007E7947"/>
    <w:rsid w:val="007F0875"/>
    <w:rsid w:val="007F0ADA"/>
    <w:rsid w:val="007F1911"/>
    <w:rsid w:val="007F22AE"/>
    <w:rsid w:val="007F3248"/>
    <w:rsid w:val="007F382F"/>
    <w:rsid w:val="007F42B0"/>
    <w:rsid w:val="007F503A"/>
    <w:rsid w:val="007F6058"/>
    <w:rsid w:val="007F63E0"/>
    <w:rsid w:val="007F6A6E"/>
    <w:rsid w:val="007F7E54"/>
    <w:rsid w:val="007F7EDE"/>
    <w:rsid w:val="00800CE0"/>
    <w:rsid w:val="00801249"/>
    <w:rsid w:val="00801686"/>
    <w:rsid w:val="00801838"/>
    <w:rsid w:val="00801997"/>
    <w:rsid w:val="0080200F"/>
    <w:rsid w:val="008021E9"/>
    <w:rsid w:val="00802321"/>
    <w:rsid w:val="00802442"/>
    <w:rsid w:val="008029C7"/>
    <w:rsid w:val="00802AFC"/>
    <w:rsid w:val="00802E1A"/>
    <w:rsid w:val="00803C35"/>
    <w:rsid w:val="00804488"/>
    <w:rsid w:val="00804524"/>
    <w:rsid w:val="00805ABC"/>
    <w:rsid w:val="008060B1"/>
    <w:rsid w:val="008066C8"/>
    <w:rsid w:val="00806FE0"/>
    <w:rsid w:val="00807519"/>
    <w:rsid w:val="00807DE1"/>
    <w:rsid w:val="00811374"/>
    <w:rsid w:val="0081234A"/>
    <w:rsid w:val="008125ED"/>
    <w:rsid w:val="00812770"/>
    <w:rsid w:val="00812854"/>
    <w:rsid w:val="00812C8E"/>
    <w:rsid w:val="0081479E"/>
    <w:rsid w:val="008147EE"/>
    <w:rsid w:val="008151D8"/>
    <w:rsid w:val="00815380"/>
    <w:rsid w:val="0081571F"/>
    <w:rsid w:val="008157F4"/>
    <w:rsid w:val="00815D69"/>
    <w:rsid w:val="0081605A"/>
    <w:rsid w:val="00816E69"/>
    <w:rsid w:val="00817024"/>
    <w:rsid w:val="00817295"/>
    <w:rsid w:val="00817C23"/>
    <w:rsid w:val="00817D1D"/>
    <w:rsid w:val="008201A9"/>
    <w:rsid w:val="008205A5"/>
    <w:rsid w:val="008211DD"/>
    <w:rsid w:val="00821219"/>
    <w:rsid w:val="00821A06"/>
    <w:rsid w:val="0082213B"/>
    <w:rsid w:val="008229B6"/>
    <w:rsid w:val="008232D2"/>
    <w:rsid w:val="00823A4F"/>
    <w:rsid w:val="00823DAF"/>
    <w:rsid w:val="00824706"/>
    <w:rsid w:val="00825067"/>
    <w:rsid w:val="008254D5"/>
    <w:rsid w:val="00825816"/>
    <w:rsid w:val="00825FFC"/>
    <w:rsid w:val="008268FD"/>
    <w:rsid w:val="00827557"/>
    <w:rsid w:val="00827745"/>
    <w:rsid w:val="008277BD"/>
    <w:rsid w:val="0082791B"/>
    <w:rsid w:val="00827B0D"/>
    <w:rsid w:val="00827FCF"/>
    <w:rsid w:val="008308D5"/>
    <w:rsid w:val="008309D8"/>
    <w:rsid w:val="008316D3"/>
    <w:rsid w:val="00831A54"/>
    <w:rsid w:val="00833418"/>
    <w:rsid w:val="00833450"/>
    <w:rsid w:val="0083354F"/>
    <w:rsid w:val="008348D0"/>
    <w:rsid w:val="00834B8A"/>
    <w:rsid w:val="00835402"/>
    <w:rsid w:val="00835983"/>
    <w:rsid w:val="00836383"/>
    <w:rsid w:val="00836A6C"/>
    <w:rsid w:val="00836CE1"/>
    <w:rsid w:val="00836F29"/>
    <w:rsid w:val="00837626"/>
    <w:rsid w:val="00837B0B"/>
    <w:rsid w:val="00837D18"/>
    <w:rsid w:val="0084049E"/>
    <w:rsid w:val="00840595"/>
    <w:rsid w:val="008408F2"/>
    <w:rsid w:val="00840ED4"/>
    <w:rsid w:val="00841A0A"/>
    <w:rsid w:val="00841C9C"/>
    <w:rsid w:val="00841CAA"/>
    <w:rsid w:val="0084298D"/>
    <w:rsid w:val="00842A6C"/>
    <w:rsid w:val="00842BD4"/>
    <w:rsid w:val="008433BD"/>
    <w:rsid w:val="008438E6"/>
    <w:rsid w:val="00843C1E"/>
    <w:rsid w:val="00843EED"/>
    <w:rsid w:val="0084417B"/>
    <w:rsid w:val="008446EB"/>
    <w:rsid w:val="0084473A"/>
    <w:rsid w:val="00844883"/>
    <w:rsid w:val="008448F5"/>
    <w:rsid w:val="008457D3"/>
    <w:rsid w:val="008467F1"/>
    <w:rsid w:val="008475B2"/>
    <w:rsid w:val="00850121"/>
    <w:rsid w:val="00850AA0"/>
    <w:rsid w:val="0085173D"/>
    <w:rsid w:val="00851763"/>
    <w:rsid w:val="00851CDA"/>
    <w:rsid w:val="0085202B"/>
    <w:rsid w:val="008523D3"/>
    <w:rsid w:val="008527A3"/>
    <w:rsid w:val="00852B1C"/>
    <w:rsid w:val="00852B35"/>
    <w:rsid w:val="00852BCC"/>
    <w:rsid w:val="00853067"/>
    <w:rsid w:val="008532C6"/>
    <w:rsid w:val="00853CDA"/>
    <w:rsid w:val="00853E74"/>
    <w:rsid w:val="008544FB"/>
    <w:rsid w:val="0085545B"/>
    <w:rsid w:val="0085578B"/>
    <w:rsid w:val="008568A4"/>
    <w:rsid w:val="0085749C"/>
    <w:rsid w:val="00857CF0"/>
    <w:rsid w:val="008608DD"/>
    <w:rsid w:val="008609B6"/>
    <w:rsid w:val="00860B54"/>
    <w:rsid w:val="00861B43"/>
    <w:rsid w:val="00861CB9"/>
    <w:rsid w:val="008630B2"/>
    <w:rsid w:val="008639D0"/>
    <w:rsid w:val="0086418E"/>
    <w:rsid w:val="008644CD"/>
    <w:rsid w:val="008644DA"/>
    <w:rsid w:val="00864DD2"/>
    <w:rsid w:val="00865323"/>
    <w:rsid w:val="00865516"/>
    <w:rsid w:val="00865962"/>
    <w:rsid w:val="008662AF"/>
    <w:rsid w:val="008662B8"/>
    <w:rsid w:val="008667A2"/>
    <w:rsid w:val="008667CD"/>
    <w:rsid w:val="008667D3"/>
    <w:rsid w:val="008670B3"/>
    <w:rsid w:val="008673E0"/>
    <w:rsid w:val="00870126"/>
    <w:rsid w:val="00870E73"/>
    <w:rsid w:val="00871769"/>
    <w:rsid w:val="00871D86"/>
    <w:rsid w:val="00871E5E"/>
    <w:rsid w:val="008720BC"/>
    <w:rsid w:val="00872BD9"/>
    <w:rsid w:val="008735DE"/>
    <w:rsid w:val="00873C05"/>
    <w:rsid w:val="00874002"/>
    <w:rsid w:val="00874BED"/>
    <w:rsid w:val="008752DD"/>
    <w:rsid w:val="00875CBF"/>
    <w:rsid w:val="00875DF5"/>
    <w:rsid w:val="008763DC"/>
    <w:rsid w:val="008768E4"/>
    <w:rsid w:val="00876F8E"/>
    <w:rsid w:val="008805E8"/>
    <w:rsid w:val="00880D1F"/>
    <w:rsid w:val="00880E53"/>
    <w:rsid w:val="0088213D"/>
    <w:rsid w:val="0088384E"/>
    <w:rsid w:val="008838D6"/>
    <w:rsid w:val="00883CDC"/>
    <w:rsid w:val="0088420A"/>
    <w:rsid w:val="0088425A"/>
    <w:rsid w:val="00884580"/>
    <w:rsid w:val="0088479C"/>
    <w:rsid w:val="00885014"/>
    <w:rsid w:val="00885948"/>
    <w:rsid w:val="0088621E"/>
    <w:rsid w:val="008867D8"/>
    <w:rsid w:val="0089087F"/>
    <w:rsid w:val="00890992"/>
    <w:rsid w:val="00890C7A"/>
    <w:rsid w:val="00890D48"/>
    <w:rsid w:val="0089291D"/>
    <w:rsid w:val="00892E0C"/>
    <w:rsid w:val="00893244"/>
    <w:rsid w:val="00893BF8"/>
    <w:rsid w:val="00894B64"/>
    <w:rsid w:val="00895059"/>
    <w:rsid w:val="00895560"/>
    <w:rsid w:val="0089558E"/>
    <w:rsid w:val="008955B0"/>
    <w:rsid w:val="00895977"/>
    <w:rsid w:val="008959DD"/>
    <w:rsid w:val="00895A37"/>
    <w:rsid w:val="00896248"/>
    <w:rsid w:val="00896E36"/>
    <w:rsid w:val="00897095"/>
    <w:rsid w:val="00897135"/>
    <w:rsid w:val="00897526"/>
    <w:rsid w:val="0089768E"/>
    <w:rsid w:val="008A03AE"/>
    <w:rsid w:val="008A0593"/>
    <w:rsid w:val="008A0717"/>
    <w:rsid w:val="008A07EC"/>
    <w:rsid w:val="008A231C"/>
    <w:rsid w:val="008A2739"/>
    <w:rsid w:val="008A2886"/>
    <w:rsid w:val="008A299A"/>
    <w:rsid w:val="008A2A00"/>
    <w:rsid w:val="008A3047"/>
    <w:rsid w:val="008A31A3"/>
    <w:rsid w:val="008A3FF1"/>
    <w:rsid w:val="008A4C82"/>
    <w:rsid w:val="008A4D32"/>
    <w:rsid w:val="008A4DB8"/>
    <w:rsid w:val="008A55A6"/>
    <w:rsid w:val="008A55B9"/>
    <w:rsid w:val="008A5912"/>
    <w:rsid w:val="008A5FAA"/>
    <w:rsid w:val="008A6917"/>
    <w:rsid w:val="008A7168"/>
    <w:rsid w:val="008A72D5"/>
    <w:rsid w:val="008A77FC"/>
    <w:rsid w:val="008A7A11"/>
    <w:rsid w:val="008B0347"/>
    <w:rsid w:val="008B0700"/>
    <w:rsid w:val="008B0B66"/>
    <w:rsid w:val="008B1BB3"/>
    <w:rsid w:val="008B2342"/>
    <w:rsid w:val="008B29CE"/>
    <w:rsid w:val="008B2A0D"/>
    <w:rsid w:val="008B326F"/>
    <w:rsid w:val="008B3B0C"/>
    <w:rsid w:val="008B4851"/>
    <w:rsid w:val="008B4B93"/>
    <w:rsid w:val="008B51D5"/>
    <w:rsid w:val="008B5222"/>
    <w:rsid w:val="008B5278"/>
    <w:rsid w:val="008B54BB"/>
    <w:rsid w:val="008B55D4"/>
    <w:rsid w:val="008B55F8"/>
    <w:rsid w:val="008B5AB3"/>
    <w:rsid w:val="008B692E"/>
    <w:rsid w:val="008B6D52"/>
    <w:rsid w:val="008B71B2"/>
    <w:rsid w:val="008B7236"/>
    <w:rsid w:val="008B7495"/>
    <w:rsid w:val="008B74AD"/>
    <w:rsid w:val="008B767E"/>
    <w:rsid w:val="008B78F1"/>
    <w:rsid w:val="008C00DC"/>
    <w:rsid w:val="008C040C"/>
    <w:rsid w:val="008C16EB"/>
    <w:rsid w:val="008C19F3"/>
    <w:rsid w:val="008C2388"/>
    <w:rsid w:val="008C25CA"/>
    <w:rsid w:val="008C2EC9"/>
    <w:rsid w:val="008C41B8"/>
    <w:rsid w:val="008C445E"/>
    <w:rsid w:val="008C448A"/>
    <w:rsid w:val="008C46D8"/>
    <w:rsid w:val="008C49B0"/>
    <w:rsid w:val="008C4F66"/>
    <w:rsid w:val="008C56FC"/>
    <w:rsid w:val="008C5D99"/>
    <w:rsid w:val="008C62FB"/>
    <w:rsid w:val="008C6A0C"/>
    <w:rsid w:val="008C6BC5"/>
    <w:rsid w:val="008C70B8"/>
    <w:rsid w:val="008C743D"/>
    <w:rsid w:val="008C7661"/>
    <w:rsid w:val="008C76A3"/>
    <w:rsid w:val="008C7C9E"/>
    <w:rsid w:val="008D0B62"/>
    <w:rsid w:val="008D121B"/>
    <w:rsid w:val="008D1F1D"/>
    <w:rsid w:val="008D25F5"/>
    <w:rsid w:val="008D2667"/>
    <w:rsid w:val="008D4649"/>
    <w:rsid w:val="008D4CAA"/>
    <w:rsid w:val="008D57B5"/>
    <w:rsid w:val="008D5FBB"/>
    <w:rsid w:val="008D66DE"/>
    <w:rsid w:val="008D6776"/>
    <w:rsid w:val="008D6B86"/>
    <w:rsid w:val="008D72AC"/>
    <w:rsid w:val="008D7855"/>
    <w:rsid w:val="008E0A46"/>
    <w:rsid w:val="008E0BC7"/>
    <w:rsid w:val="008E11B6"/>
    <w:rsid w:val="008E14CA"/>
    <w:rsid w:val="008E1EAF"/>
    <w:rsid w:val="008E1EC5"/>
    <w:rsid w:val="008E24DF"/>
    <w:rsid w:val="008E27C2"/>
    <w:rsid w:val="008E3013"/>
    <w:rsid w:val="008E339E"/>
    <w:rsid w:val="008E35FC"/>
    <w:rsid w:val="008E360C"/>
    <w:rsid w:val="008E42B2"/>
    <w:rsid w:val="008E44BC"/>
    <w:rsid w:val="008E4668"/>
    <w:rsid w:val="008E49CD"/>
    <w:rsid w:val="008E5144"/>
    <w:rsid w:val="008E571B"/>
    <w:rsid w:val="008E6DDE"/>
    <w:rsid w:val="008E74A4"/>
    <w:rsid w:val="008E74CE"/>
    <w:rsid w:val="008F06E9"/>
    <w:rsid w:val="008F091B"/>
    <w:rsid w:val="008F12B2"/>
    <w:rsid w:val="008F16D2"/>
    <w:rsid w:val="008F19C4"/>
    <w:rsid w:val="008F1CC2"/>
    <w:rsid w:val="008F1D04"/>
    <w:rsid w:val="008F2BA3"/>
    <w:rsid w:val="008F2C2D"/>
    <w:rsid w:val="008F2F3B"/>
    <w:rsid w:val="008F3B0F"/>
    <w:rsid w:val="008F3B45"/>
    <w:rsid w:val="008F54A0"/>
    <w:rsid w:val="008F5669"/>
    <w:rsid w:val="008F5D05"/>
    <w:rsid w:val="008F5E39"/>
    <w:rsid w:val="008F620D"/>
    <w:rsid w:val="008F63C4"/>
    <w:rsid w:val="008F6E90"/>
    <w:rsid w:val="008F722D"/>
    <w:rsid w:val="008F7464"/>
    <w:rsid w:val="008F74B3"/>
    <w:rsid w:val="009001A8"/>
    <w:rsid w:val="0090155C"/>
    <w:rsid w:val="00902DC6"/>
    <w:rsid w:val="00903592"/>
    <w:rsid w:val="00904ADC"/>
    <w:rsid w:val="00904DFE"/>
    <w:rsid w:val="009054EB"/>
    <w:rsid w:val="00906603"/>
    <w:rsid w:val="00906A44"/>
    <w:rsid w:val="009072CB"/>
    <w:rsid w:val="00907338"/>
    <w:rsid w:val="00910BAB"/>
    <w:rsid w:val="009117B6"/>
    <w:rsid w:val="0091377E"/>
    <w:rsid w:val="009141A7"/>
    <w:rsid w:val="00914987"/>
    <w:rsid w:val="00914CD9"/>
    <w:rsid w:val="00915253"/>
    <w:rsid w:val="0091548B"/>
    <w:rsid w:val="00915FD8"/>
    <w:rsid w:val="00916392"/>
    <w:rsid w:val="009165C7"/>
    <w:rsid w:val="00916792"/>
    <w:rsid w:val="00916E14"/>
    <w:rsid w:val="00916FCC"/>
    <w:rsid w:val="00917058"/>
    <w:rsid w:val="00920103"/>
    <w:rsid w:val="00920572"/>
    <w:rsid w:val="0092067D"/>
    <w:rsid w:val="0092089E"/>
    <w:rsid w:val="00921111"/>
    <w:rsid w:val="00921C6B"/>
    <w:rsid w:val="00922768"/>
    <w:rsid w:val="00922F86"/>
    <w:rsid w:val="00923012"/>
    <w:rsid w:val="009238F1"/>
    <w:rsid w:val="00923BCB"/>
    <w:rsid w:val="00924959"/>
    <w:rsid w:val="009254AC"/>
    <w:rsid w:val="009257E1"/>
    <w:rsid w:val="0092592F"/>
    <w:rsid w:val="009259D6"/>
    <w:rsid w:val="009259E2"/>
    <w:rsid w:val="00925CCC"/>
    <w:rsid w:val="00926221"/>
    <w:rsid w:val="00926EB6"/>
    <w:rsid w:val="009274FD"/>
    <w:rsid w:val="0092762E"/>
    <w:rsid w:val="00930472"/>
    <w:rsid w:val="00931479"/>
    <w:rsid w:val="009317D4"/>
    <w:rsid w:val="009327FC"/>
    <w:rsid w:val="009329ED"/>
    <w:rsid w:val="0093313A"/>
    <w:rsid w:val="00933CAF"/>
    <w:rsid w:val="00933E88"/>
    <w:rsid w:val="00934252"/>
    <w:rsid w:val="00934E12"/>
    <w:rsid w:val="00935761"/>
    <w:rsid w:val="00935934"/>
    <w:rsid w:val="00936027"/>
    <w:rsid w:val="009365B9"/>
    <w:rsid w:val="00936812"/>
    <w:rsid w:val="00937018"/>
    <w:rsid w:val="009370C0"/>
    <w:rsid w:val="0093786C"/>
    <w:rsid w:val="009378B2"/>
    <w:rsid w:val="00940701"/>
    <w:rsid w:val="0094070F"/>
    <w:rsid w:val="0094071A"/>
    <w:rsid w:val="009407D5"/>
    <w:rsid w:val="00941607"/>
    <w:rsid w:val="00941F2B"/>
    <w:rsid w:val="00941FD3"/>
    <w:rsid w:val="00942260"/>
    <w:rsid w:val="0094228D"/>
    <w:rsid w:val="009427DF"/>
    <w:rsid w:val="00942F24"/>
    <w:rsid w:val="0094304E"/>
    <w:rsid w:val="00943335"/>
    <w:rsid w:val="0094363F"/>
    <w:rsid w:val="009437D6"/>
    <w:rsid w:val="00944080"/>
    <w:rsid w:val="00944260"/>
    <w:rsid w:val="00944C55"/>
    <w:rsid w:val="00944D9B"/>
    <w:rsid w:val="009453A8"/>
    <w:rsid w:val="00945F4E"/>
    <w:rsid w:val="009465AA"/>
    <w:rsid w:val="00946725"/>
    <w:rsid w:val="00946991"/>
    <w:rsid w:val="00946C84"/>
    <w:rsid w:val="00946D6B"/>
    <w:rsid w:val="0094711F"/>
    <w:rsid w:val="009500EF"/>
    <w:rsid w:val="00950398"/>
    <w:rsid w:val="0095055B"/>
    <w:rsid w:val="0095094E"/>
    <w:rsid w:val="00950D59"/>
    <w:rsid w:val="00950FB9"/>
    <w:rsid w:val="0095180B"/>
    <w:rsid w:val="00951DF5"/>
    <w:rsid w:val="00951F93"/>
    <w:rsid w:val="00951FF9"/>
    <w:rsid w:val="00953321"/>
    <w:rsid w:val="00953BEB"/>
    <w:rsid w:val="0095464C"/>
    <w:rsid w:val="00954CDB"/>
    <w:rsid w:val="009553BA"/>
    <w:rsid w:val="00955A88"/>
    <w:rsid w:val="00955F85"/>
    <w:rsid w:val="00955F94"/>
    <w:rsid w:val="00956198"/>
    <w:rsid w:val="00956293"/>
    <w:rsid w:val="00956576"/>
    <w:rsid w:val="009574B3"/>
    <w:rsid w:val="00957C04"/>
    <w:rsid w:val="009606F0"/>
    <w:rsid w:val="00960B08"/>
    <w:rsid w:val="009620D6"/>
    <w:rsid w:val="00962559"/>
    <w:rsid w:val="009628CE"/>
    <w:rsid w:val="009629E4"/>
    <w:rsid w:val="009637EF"/>
    <w:rsid w:val="009637FE"/>
    <w:rsid w:val="0096382D"/>
    <w:rsid w:val="00963D33"/>
    <w:rsid w:val="00963D82"/>
    <w:rsid w:val="00964816"/>
    <w:rsid w:val="00964AAA"/>
    <w:rsid w:val="00964B7E"/>
    <w:rsid w:val="00964FE2"/>
    <w:rsid w:val="0096504F"/>
    <w:rsid w:val="00965077"/>
    <w:rsid w:val="0096514B"/>
    <w:rsid w:val="0096522C"/>
    <w:rsid w:val="00966059"/>
    <w:rsid w:val="009662A6"/>
    <w:rsid w:val="00966464"/>
    <w:rsid w:val="00966A2B"/>
    <w:rsid w:val="00966C8B"/>
    <w:rsid w:val="00966CF2"/>
    <w:rsid w:val="00966D20"/>
    <w:rsid w:val="00966E2C"/>
    <w:rsid w:val="0096716C"/>
    <w:rsid w:val="009707FF"/>
    <w:rsid w:val="00970B35"/>
    <w:rsid w:val="00970C6B"/>
    <w:rsid w:val="00970D68"/>
    <w:rsid w:val="0097130A"/>
    <w:rsid w:val="00971C4D"/>
    <w:rsid w:val="00973971"/>
    <w:rsid w:val="00973D95"/>
    <w:rsid w:val="009745E1"/>
    <w:rsid w:val="0097499E"/>
    <w:rsid w:val="00974B16"/>
    <w:rsid w:val="009751E8"/>
    <w:rsid w:val="00975A2B"/>
    <w:rsid w:val="00975EA5"/>
    <w:rsid w:val="009764FC"/>
    <w:rsid w:val="009767D4"/>
    <w:rsid w:val="00976A39"/>
    <w:rsid w:val="00976BEB"/>
    <w:rsid w:val="009803D7"/>
    <w:rsid w:val="00980435"/>
    <w:rsid w:val="0098077B"/>
    <w:rsid w:val="00980DEB"/>
    <w:rsid w:val="009811F4"/>
    <w:rsid w:val="009812C9"/>
    <w:rsid w:val="00981D51"/>
    <w:rsid w:val="00981E3A"/>
    <w:rsid w:val="0098259C"/>
    <w:rsid w:val="009837EC"/>
    <w:rsid w:val="0098468E"/>
    <w:rsid w:val="009848AF"/>
    <w:rsid w:val="00984C18"/>
    <w:rsid w:val="009852C7"/>
    <w:rsid w:val="009855A3"/>
    <w:rsid w:val="00985933"/>
    <w:rsid w:val="00987014"/>
    <w:rsid w:val="0098764F"/>
    <w:rsid w:val="00991327"/>
    <w:rsid w:val="0099166E"/>
    <w:rsid w:val="009917FF"/>
    <w:rsid w:val="00991829"/>
    <w:rsid w:val="00991E8D"/>
    <w:rsid w:val="00992801"/>
    <w:rsid w:val="00992BEC"/>
    <w:rsid w:val="00993063"/>
    <w:rsid w:val="0099306C"/>
    <w:rsid w:val="009933BA"/>
    <w:rsid w:val="00993F0D"/>
    <w:rsid w:val="00994A2A"/>
    <w:rsid w:val="00994BF3"/>
    <w:rsid w:val="0099658E"/>
    <w:rsid w:val="009970BD"/>
    <w:rsid w:val="0099718A"/>
    <w:rsid w:val="009A0965"/>
    <w:rsid w:val="009A0D1E"/>
    <w:rsid w:val="009A0E25"/>
    <w:rsid w:val="009A0F38"/>
    <w:rsid w:val="009A1034"/>
    <w:rsid w:val="009A1380"/>
    <w:rsid w:val="009A1481"/>
    <w:rsid w:val="009A1698"/>
    <w:rsid w:val="009A1962"/>
    <w:rsid w:val="009A29B7"/>
    <w:rsid w:val="009A3E51"/>
    <w:rsid w:val="009A4165"/>
    <w:rsid w:val="009A469E"/>
    <w:rsid w:val="009A4705"/>
    <w:rsid w:val="009A4F47"/>
    <w:rsid w:val="009A51BC"/>
    <w:rsid w:val="009A563C"/>
    <w:rsid w:val="009A5C87"/>
    <w:rsid w:val="009A627D"/>
    <w:rsid w:val="009A6A1C"/>
    <w:rsid w:val="009A736F"/>
    <w:rsid w:val="009B0440"/>
    <w:rsid w:val="009B0AE7"/>
    <w:rsid w:val="009B0C8B"/>
    <w:rsid w:val="009B0CBE"/>
    <w:rsid w:val="009B2406"/>
    <w:rsid w:val="009B279C"/>
    <w:rsid w:val="009B2A4C"/>
    <w:rsid w:val="009B327B"/>
    <w:rsid w:val="009B3C48"/>
    <w:rsid w:val="009B42BD"/>
    <w:rsid w:val="009B4623"/>
    <w:rsid w:val="009B4E37"/>
    <w:rsid w:val="009B62B0"/>
    <w:rsid w:val="009B64E6"/>
    <w:rsid w:val="009B6A86"/>
    <w:rsid w:val="009B6F22"/>
    <w:rsid w:val="009B7154"/>
    <w:rsid w:val="009B7634"/>
    <w:rsid w:val="009B76BF"/>
    <w:rsid w:val="009B7F89"/>
    <w:rsid w:val="009C0862"/>
    <w:rsid w:val="009C13AA"/>
    <w:rsid w:val="009C1950"/>
    <w:rsid w:val="009C1CB4"/>
    <w:rsid w:val="009C20B2"/>
    <w:rsid w:val="009C266E"/>
    <w:rsid w:val="009C28D0"/>
    <w:rsid w:val="009C2A31"/>
    <w:rsid w:val="009C2E09"/>
    <w:rsid w:val="009C3815"/>
    <w:rsid w:val="009C411B"/>
    <w:rsid w:val="009C4691"/>
    <w:rsid w:val="009C588F"/>
    <w:rsid w:val="009C5FDF"/>
    <w:rsid w:val="009C67A9"/>
    <w:rsid w:val="009C6847"/>
    <w:rsid w:val="009C742A"/>
    <w:rsid w:val="009C7A2C"/>
    <w:rsid w:val="009C7E2B"/>
    <w:rsid w:val="009D052A"/>
    <w:rsid w:val="009D085C"/>
    <w:rsid w:val="009D2AD6"/>
    <w:rsid w:val="009D311D"/>
    <w:rsid w:val="009D45D0"/>
    <w:rsid w:val="009D500E"/>
    <w:rsid w:val="009D556E"/>
    <w:rsid w:val="009D58CC"/>
    <w:rsid w:val="009D5E07"/>
    <w:rsid w:val="009D641C"/>
    <w:rsid w:val="009D661E"/>
    <w:rsid w:val="009D6E53"/>
    <w:rsid w:val="009D6F5C"/>
    <w:rsid w:val="009D6FB2"/>
    <w:rsid w:val="009D7395"/>
    <w:rsid w:val="009D73E2"/>
    <w:rsid w:val="009D7BA7"/>
    <w:rsid w:val="009E00AD"/>
    <w:rsid w:val="009E03C9"/>
    <w:rsid w:val="009E0554"/>
    <w:rsid w:val="009E0911"/>
    <w:rsid w:val="009E0F67"/>
    <w:rsid w:val="009E25AC"/>
    <w:rsid w:val="009E2800"/>
    <w:rsid w:val="009E29FB"/>
    <w:rsid w:val="009E2BE7"/>
    <w:rsid w:val="009E2D02"/>
    <w:rsid w:val="009E2DA3"/>
    <w:rsid w:val="009E2F12"/>
    <w:rsid w:val="009E30AD"/>
    <w:rsid w:val="009E3730"/>
    <w:rsid w:val="009E3A77"/>
    <w:rsid w:val="009E429E"/>
    <w:rsid w:val="009E42B0"/>
    <w:rsid w:val="009E4541"/>
    <w:rsid w:val="009E4558"/>
    <w:rsid w:val="009E4680"/>
    <w:rsid w:val="009E4E88"/>
    <w:rsid w:val="009E5D55"/>
    <w:rsid w:val="009E5D70"/>
    <w:rsid w:val="009E623F"/>
    <w:rsid w:val="009E68A0"/>
    <w:rsid w:val="009E6A44"/>
    <w:rsid w:val="009E6C8C"/>
    <w:rsid w:val="009E6CA8"/>
    <w:rsid w:val="009E6CC0"/>
    <w:rsid w:val="009E6FED"/>
    <w:rsid w:val="009E7F0F"/>
    <w:rsid w:val="009F0563"/>
    <w:rsid w:val="009F085C"/>
    <w:rsid w:val="009F199B"/>
    <w:rsid w:val="009F1FCB"/>
    <w:rsid w:val="009F29EE"/>
    <w:rsid w:val="009F3569"/>
    <w:rsid w:val="009F369F"/>
    <w:rsid w:val="009F404D"/>
    <w:rsid w:val="009F4276"/>
    <w:rsid w:val="009F4A5B"/>
    <w:rsid w:val="009F4C47"/>
    <w:rsid w:val="009F515E"/>
    <w:rsid w:val="009F5601"/>
    <w:rsid w:val="009F56BC"/>
    <w:rsid w:val="009F56FE"/>
    <w:rsid w:val="009F5C70"/>
    <w:rsid w:val="009F6674"/>
    <w:rsid w:val="009F6A13"/>
    <w:rsid w:val="009F6BF7"/>
    <w:rsid w:val="009F799A"/>
    <w:rsid w:val="009F7C3D"/>
    <w:rsid w:val="00A00582"/>
    <w:rsid w:val="00A0068B"/>
    <w:rsid w:val="00A008BE"/>
    <w:rsid w:val="00A00992"/>
    <w:rsid w:val="00A00DCF"/>
    <w:rsid w:val="00A019D9"/>
    <w:rsid w:val="00A035C9"/>
    <w:rsid w:val="00A037DF"/>
    <w:rsid w:val="00A03B29"/>
    <w:rsid w:val="00A03B63"/>
    <w:rsid w:val="00A03DE2"/>
    <w:rsid w:val="00A04339"/>
    <w:rsid w:val="00A04DD8"/>
    <w:rsid w:val="00A0574D"/>
    <w:rsid w:val="00A05CE9"/>
    <w:rsid w:val="00A05D6E"/>
    <w:rsid w:val="00A05FE6"/>
    <w:rsid w:val="00A06508"/>
    <w:rsid w:val="00A0668F"/>
    <w:rsid w:val="00A0691A"/>
    <w:rsid w:val="00A06CDD"/>
    <w:rsid w:val="00A06CF3"/>
    <w:rsid w:val="00A07A7A"/>
    <w:rsid w:val="00A1084E"/>
    <w:rsid w:val="00A10AEE"/>
    <w:rsid w:val="00A111CF"/>
    <w:rsid w:val="00A116EB"/>
    <w:rsid w:val="00A12068"/>
    <w:rsid w:val="00A122EB"/>
    <w:rsid w:val="00A124DE"/>
    <w:rsid w:val="00A13235"/>
    <w:rsid w:val="00A13ECD"/>
    <w:rsid w:val="00A13F76"/>
    <w:rsid w:val="00A141B9"/>
    <w:rsid w:val="00A14BBF"/>
    <w:rsid w:val="00A154B3"/>
    <w:rsid w:val="00A154B8"/>
    <w:rsid w:val="00A15A92"/>
    <w:rsid w:val="00A16458"/>
    <w:rsid w:val="00A16612"/>
    <w:rsid w:val="00A16C14"/>
    <w:rsid w:val="00A17C2E"/>
    <w:rsid w:val="00A17E94"/>
    <w:rsid w:val="00A17F24"/>
    <w:rsid w:val="00A2017F"/>
    <w:rsid w:val="00A203BA"/>
    <w:rsid w:val="00A206BC"/>
    <w:rsid w:val="00A20C11"/>
    <w:rsid w:val="00A20FB1"/>
    <w:rsid w:val="00A210AA"/>
    <w:rsid w:val="00A21886"/>
    <w:rsid w:val="00A227A2"/>
    <w:rsid w:val="00A23599"/>
    <w:rsid w:val="00A236E8"/>
    <w:rsid w:val="00A23B1A"/>
    <w:rsid w:val="00A24A97"/>
    <w:rsid w:val="00A250F4"/>
    <w:rsid w:val="00A256A0"/>
    <w:rsid w:val="00A25787"/>
    <w:rsid w:val="00A26930"/>
    <w:rsid w:val="00A26B3E"/>
    <w:rsid w:val="00A274A7"/>
    <w:rsid w:val="00A27FEE"/>
    <w:rsid w:val="00A30114"/>
    <w:rsid w:val="00A306CE"/>
    <w:rsid w:val="00A30768"/>
    <w:rsid w:val="00A31824"/>
    <w:rsid w:val="00A31EB8"/>
    <w:rsid w:val="00A32061"/>
    <w:rsid w:val="00A320D6"/>
    <w:rsid w:val="00A320FC"/>
    <w:rsid w:val="00A3248B"/>
    <w:rsid w:val="00A329D6"/>
    <w:rsid w:val="00A32AA5"/>
    <w:rsid w:val="00A32BB2"/>
    <w:rsid w:val="00A32F27"/>
    <w:rsid w:val="00A34016"/>
    <w:rsid w:val="00A3414C"/>
    <w:rsid w:val="00A35C8C"/>
    <w:rsid w:val="00A364D8"/>
    <w:rsid w:val="00A36E74"/>
    <w:rsid w:val="00A37C1C"/>
    <w:rsid w:val="00A40A68"/>
    <w:rsid w:val="00A42D40"/>
    <w:rsid w:val="00A44BBB"/>
    <w:rsid w:val="00A45BD0"/>
    <w:rsid w:val="00A45EEE"/>
    <w:rsid w:val="00A4610F"/>
    <w:rsid w:val="00A4620D"/>
    <w:rsid w:val="00A46E89"/>
    <w:rsid w:val="00A4712E"/>
    <w:rsid w:val="00A475ED"/>
    <w:rsid w:val="00A47915"/>
    <w:rsid w:val="00A47EB2"/>
    <w:rsid w:val="00A502F6"/>
    <w:rsid w:val="00A504F2"/>
    <w:rsid w:val="00A51062"/>
    <w:rsid w:val="00A5126B"/>
    <w:rsid w:val="00A51AD0"/>
    <w:rsid w:val="00A51C00"/>
    <w:rsid w:val="00A51E7D"/>
    <w:rsid w:val="00A51F81"/>
    <w:rsid w:val="00A52388"/>
    <w:rsid w:val="00A52781"/>
    <w:rsid w:val="00A527BE"/>
    <w:rsid w:val="00A52DDF"/>
    <w:rsid w:val="00A53398"/>
    <w:rsid w:val="00A5344B"/>
    <w:rsid w:val="00A5366E"/>
    <w:rsid w:val="00A53EC2"/>
    <w:rsid w:val="00A54AB6"/>
    <w:rsid w:val="00A55182"/>
    <w:rsid w:val="00A55481"/>
    <w:rsid w:val="00A56629"/>
    <w:rsid w:val="00A566AA"/>
    <w:rsid w:val="00A5732B"/>
    <w:rsid w:val="00A577C4"/>
    <w:rsid w:val="00A5784E"/>
    <w:rsid w:val="00A57CEA"/>
    <w:rsid w:val="00A60A63"/>
    <w:rsid w:val="00A60C31"/>
    <w:rsid w:val="00A616EA"/>
    <w:rsid w:val="00A62289"/>
    <w:rsid w:val="00A6279D"/>
    <w:rsid w:val="00A63099"/>
    <w:rsid w:val="00A63A0B"/>
    <w:rsid w:val="00A63E41"/>
    <w:rsid w:val="00A64F67"/>
    <w:rsid w:val="00A652CB"/>
    <w:rsid w:val="00A652FE"/>
    <w:rsid w:val="00A65B58"/>
    <w:rsid w:val="00A65E83"/>
    <w:rsid w:val="00A668EC"/>
    <w:rsid w:val="00A67256"/>
    <w:rsid w:val="00A67D2F"/>
    <w:rsid w:val="00A70815"/>
    <w:rsid w:val="00A70EC2"/>
    <w:rsid w:val="00A72D4E"/>
    <w:rsid w:val="00A72EC8"/>
    <w:rsid w:val="00A7316B"/>
    <w:rsid w:val="00A7341B"/>
    <w:rsid w:val="00A73990"/>
    <w:rsid w:val="00A74142"/>
    <w:rsid w:val="00A742C2"/>
    <w:rsid w:val="00A745CA"/>
    <w:rsid w:val="00A74616"/>
    <w:rsid w:val="00A746DD"/>
    <w:rsid w:val="00A75BAC"/>
    <w:rsid w:val="00A7618D"/>
    <w:rsid w:val="00A766D7"/>
    <w:rsid w:val="00A769A4"/>
    <w:rsid w:val="00A76A42"/>
    <w:rsid w:val="00A77466"/>
    <w:rsid w:val="00A77D48"/>
    <w:rsid w:val="00A805FD"/>
    <w:rsid w:val="00A80B38"/>
    <w:rsid w:val="00A82566"/>
    <w:rsid w:val="00A82851"/>
    <w:rsid w:val="00A83412"/>
    <w:rsid w:val="00A835AF"/>
    <w:rsid w:val="00A83766"/>
    <w:rsid w:val="00A84DE6"/>
    <w:rsid w:val="00A85C1F"/>
    <w:rsid w:val="00A87A06"/>
    <w:rsid w:val="00A900F6"/>
    <w:rsid w:val="00A903C3"/>
    <w:rsid w:val="00A90AAB"/>
    <w:rsid w:val="00A9144A"/>
    <w:rsid w:val="00A91471"/>
    <w:rsid w:val="00A91B5C"/>
    <w:rsid w:val="00A91F02"/>
    <w:rsid w:val="00A92400"/>
    <w:rsid w:val="00A924D4"/>
    <w:rsid w:val="00A92573"/>
    <w:rsid w:val="00A92F2B"/>
    <w:rsid w:val="00A9327E"/>
    <w:rsid w:val="00A93669"/>
    <w:rsid w:val="00A93AC9"/>
    <w:rsid w:val="00A93D8A"/>
    <w:rsid w:val="00A9473B"/>
    <w:rsid w:val="00A94822"/>
    <w:rsid w:val="00A949A0"/>
    <w:rsid w:val="00A94B63"/>
    <w:rsid w:val="00A9524D"/>
    <w:rsid w:val="00A95A18"/>
    <w:rsid w:val="00A95E16"/>
    <w:rsid w:val="00A95F3C"/>
    <w:rsid w:val="00A96747"/>
    <w:rsid w:val="00A96D63"/>
    <w:rsid w:val="00A96EF1"/>
    <w:rsid w:val="00A97369"/>
    <w:rsid w:val="00A97423"/>
    <w:rsid w:val="00A975C0"/>
    <w:rsid w:val="00A97682"/>
    <w:rsid w:val="00A979F7"/>
    <w:rsid w:val="00A97A6B"/>
    <w:rsid w:val="00AA0826"/>
    <w:rsid w:val="00AA0C5A"/>
    <w:rsid w:val="00AA126F"/>
    <w:rsid w:val="00AA1C27"/>
    <w:rsid w:val="00AA1CAF"/>
    <w:rsid w:val="00AA311E"/>
    <w:rsid w:val="00AA3E8C"/>
    <w:rsid w:val="00AA3FCC"/>
    <w:rsid w:val="00AA3FD2"/>
    <w:rsid w:val="00AA45F0"/>
    <w:rsid w:val="00AA49E9"/>
    <w:rsid w:val="00AA4CDA"/>
    <w:rsid w:val="00AA4E5E"/>
    <w:rsid w:val="00AA5AF4"/>
    <w:rsid w:val="00AA61CC"/>
    <w:rsid w:val="00AA6684"/>
    <w:rsid w:val="00AA6C71"/>
    <w:rsid w:val="00AA6DB4"/>
    <w:rsid w:val="00AA6DCF"/>
    <w:rsid w:val="00AA6F4B"/>
    <w:rsid w:val="00AA7418"/>
    <w:rsid w:val="00AA78AA"/>
    <w:rsid w:val="00AA78D3"/>
    <w:rsid w:val="00AA7FF1"/>
    <w:rsid w:val="00AB04F9"/>
    <w:rsid w:val="00AB1046"/>
    <w:rsid w:val="00AB1991"/>
    <w:rsid w:val="00AB1B29"/>
    <w:rsid w:val="00AB1C26"/>
    <w:rsid w:val="00AB2B38"/>
    <w:rsid w:val="00AB2C2A"/>
    <w:rsid w:val="00AB356F"/>
    <w:rsid w:val="00AB372E"/>
    <w:rsid w:val="00AB3D24"/>
    <w:rsid w:val="00AB4292"/>
    <w:rsid w:val="00AB54CD"/>
    <w:rsid w:val="00AB74B3"/>
    <w:rsid w:val="00AB768C"/>
    <w:rsid w:val="00AC0160"/>
    <w:rsid w:val="00AC07F3"/>
    <w:rsid w:val="00AC0AE0"/>
    <w:rsid w:val="00AC0CB0"/>
    <w:rsid w:val="00AC0CC6"/>
    <w:rsid w:val="00AC0F09"/>
    <w:rsid w:val="00AC135C"/>
    <w:rsid w:val="00AC16F6"/>
    <w:rsid w:val="00AC26CB"/>
    <w:rsid w:val="00AC29F2"/>
    <w:rsid w:val="00AC2A81"/>
    <w:rsid w:val="00AC307B"/>
    <w:rsid w:val="00AC3976"/>
    <w:rsid w:val="00AC3C41"/>
    <w:rsid w:val="00AC442E"/>
    <w:rsid w:val="00AC4CAE"/>
    <w:rsid w:val="00AC4FD9"/>
    <w:rsid w:val="00AC5DF5"/>
    <w:rsid w:val="00AC620E"/>
    <w:rsid w:val="00AC6634"/>
    <w:rsid w:val="00AC6C75"/>
    <w:rsid w:val="00AC6DBC"/>
    <w:rsid w:val="00AC72B2"/>
    <w:rsid w:val="00AC776B"/>
    <w:rsid w:val="00AC77CC"/>
    <w:rsid w:val="00AC790A"/>
    <w:rsid w:val="00AC7A79"/>
    <w:rsid w:val="00AC7B19"/>
    <w:rsid w:val="00AC7C61"/>
    <w:rsid w:val="00AC7F65"/>
    <w:rsid w:val="00AD0358"/>
    <w:rsid w:val="00AD1F8E"/>
    <w:rsid w:val="00AD2060"/>
    <w:rsid w:val="00AD2472"/>
    <w:rsid w:val="00AD28A2"/>
    <w:rsid w:val="00AD2B68"/>
    <w:rsid w:val="00AD3038"/>
    <w:rsid w:val="00AD3199"/>
    <w:rsid w:val="00AD3964"/>
    <w:rsid w:val="00AD4D9F"/>
    <w:rsid w:val="00AD5038"/>
    <w:rsid w:val="00AD5CD2"/>
    <w:rsid w:val="00AD6669"/>
    <w:rsid w:val="00AD74C5"/>
    <w:rsid w:val="00AD75ED"/>
    <w:rsid w:val="00AD7FE0"/>
    <w:rsid w:val="00AE0FBE"/>
    <w:rsid w:val="00AE119E"/>
    <w:rsid w:val="00AE161C"/>
    <w:rsid w:val="00AE19A6"/>
    <w:rsid w:val="00AE2779"/>
    <w:rsid w:val="00AE291D"/>
    <w:rsid w:val="00AE29EA"/>
    <w:rsid w:val="00AE346A"/>
    <w:rsid w:val="00AE35B6"/>
    <w:rsid w:val="00AE3BB6"/>
    <w:rsid w:val="00AE461A"/>
    <w:rsid w:val="00AE4BB4"/>
    <w:rsid w:val="00AE4D0F"/>
    <w:rsid w:val="00AE576E"/>
    <w:rsid w:val="00AE5CAB"/>
    <w:rsid w:val="00AE5F6F"/>
    <w:rsid w:val="00AE643C"/>
    <w:rsid w:val="00AE785E"/>
    <w:rsid w:val="00AE7AF0"/>
    <w:rsid w:val="00AE7DF5"/>
    <w:rsid w:val="00AF12C1"/>
    <w:rsid w:val="00AF153A"/>
    <w:rsid w:val="00AF1DFE"/>
    <w:rsid w:val="00AF21B1"/>
    <w:rsid w:val="00AF22A5"/>
    <w:rsid w:val="00AF282E"/>
    <w:rsid w:val="00AF2C9D"/>
    <w:rsid w:val="00AF38B6"/>
    <w:rsid w:val="00AF39A0"/>
    <w:rsid w:val="00AF4144"/>
    <w:rsid w:val="00AF47CC"/>
    <w:rsid w:val="00AF4FDE"/>
    <w:rsid w:val="00AF523F"/>
    <w:rsid w:val="00AF5FB9"/>
    <w:rsid w:val="00AF614E"/>
    <w:rsid w:val="00AF6CD6"/>
    <w:rsid w:val="00AF6F94"/>
    <w:rsid w:val="00AF7064"/>
    <w:rsid w:val="00AF70D2"/>
    <w:rsid w:val="00AF73EC"/>
    <w:rsid w:val="00AF7DDE"/>
    <w:rsid w:val="00B006A7"/>
    <w:rsid w:val="00B00884"/>
    <w:rsid w:val="00B01371"/>
    <w:rsid w:val="00B01984"/>
    <w:rsid w:val="00B01A46"/>
    <w:rsid w:val="00B01F3C"/>
    <w:rsid w:val="00B02301"/>
    <w:rsid w:val="00B02833"/>
    <w:rsid w:val="00B029C3"/>
    <w:rsid w:val="00B0358E"/>
    <w:rsid w:val="00B038F2"/>
    <w:rsid w:val="00B04B53"/>
    <w:rsid w:val="00B04C06"/>
    <w:rsid w:val="00B053BE"/>
    <w:rsid w:val="00B05759"/>
    <w:rsid w:val="00B05B5B"/>
    <w:rsid w:val="00B06694"/>
    <w:rsid w:val="00B06DDD"/>
    <w:rsid w:val="00B07B7F"/>
    <w:rsid w:val="00B07DC3"/>
    <w:rsid w:val="00B07F98"/>
    <w:rsid w:val="00B10579"/>
    <w:rsid w:val="00B10790"/>
    <w:rsid w:val="00B1171E"/>
    <w:rsid w:val="00B11A72"/>
    <w:rsid w:val="00B11AD9"/>
    <w:rsid w:val="00B11EA1"/>
    <w:rsid w:val="00B120A2"/>
    <w:rsid w:val="00B13841"/>
    <w:rsid w:val="00B14E89"/>
    <w:rsid w:val="00B14ED7"/>
    <w:rsid w:val="00B15189"/>
    <w:rsid w:val="00B16E90"/>
    <w:rsid w:val="00B16FC6"/>
    <w:rsid w:val="00B17383"/>
    <w:rsid w:val="00B17BB6"/>
    <w:rsid w:val="00B17C05"/>
    <w:rsid w:val="00B17DF5"/>
    <w:rsid w:val="00B2007B"/>
    <w:rsid w:val="00B20159"/>
    <w:rsid w:val="00B2035D"/>
    <w:rsid w:val="00B20382"/>
    <w:rsid w:val="00B20621"/>
    <w:rsid w:val="00B20C2B"/>
    <w:rsid w:val="00B20CE2"/>
    <w:rsid w:val="00B21943"/>
    <w:rsid w:val="00B21BD0"/>
    <w:rsid w:val="00B22BCA"/>
    <w:rsid w:val="00B23080"/>
    <w:rsid w:val="00B2339F"/>
    <w:rsid w:val="00B23DA5"/>
    <w:rsid w:val="00B23DFD"/>
    <w:rsid w:val="00B2472E"/>
    <w:rsid w:val="00B24995"/>
    <w:rsid w:val="00B24A19"/>
    <w:rsid w:val="00B2532A"/>
    <w:rsid w:val="00B25556"/>
    <w:rsid w:val="00B27324"/>
    <w:rsid w:val="00B27406"/>
    <w:rsid w:val="00B3051F"/>
    <w:rsid w:val="00B31395"/>
    <w:rsid w:val="00B31DF7"/>
    <w:rsid w:val="00B31F1A"/>
    <w:rsid w:val="00B31FDB"/>
    <w:rsid w:val="00B32CC7"/>
    <w:rsid w:val="00B331F0"/>
    <w:rsid w:val="00B333AE"/>
    <w:rsid w:val="00B34354"/>
    <w:rsid w:val="00B345FB"/>
    <w:rsid w:val="00B351AB"/>
    <w:rsid w:val="00B35A5E"/>
    <w:rsid w:val="00B35B3F"/>
    <w:rsid w:val="00B363A1"/>
    <w:rsid w:val="00B36DA5"/>
    <w:rsid w:val="00B3725D"/>
    <w:rsid w:val="00B37384"/>
    <w:rsid w:val="00B3744A"/>
    <w:rsid w:val="00B37517"/>
    <w:rsid w:val="00B37973"/>
    <w:rsid w:val="00B410AD"/>
    <w:rsid w:val="00B41651"/>
    <w:rsid w:val="00B41D9B"/>
    <w:rsid w:val="00B42AD2"/>
    <w:rsid w:val="00B42BE6"/>
    <w:rsid w:val="00B430BB"/>
    <w:rsid w:val="00B43901"/>
    <w:rsid w:val="00B43F59"/>
    <w:rsid w:val="00B45135"/>
    <w:rsid w:val="00B45288"/>
    <w:rsid w:val="00B45735"/>
    <w:rsid w:val="00B45A17"/>
    <w:rsid w:val="00B45AF0"/>
    <w:rsid w:val="00B46263"/>
    <w:rsid w:val="00B4685D"/>
    <w:rsid w:val="00B46D07"/>
    <w:rsid w:val="00B505EF"/>
    <w:rsid w:val="00B51309"/>
    <w:rsid w:val="00B5131C"/>
    <w:rsid w:val="00B5160B"/>
    <w:rsid w:val="00B52670"/>
    <w:rsid w:val="00B53093"/>
    <w:rsid w:val="00B533BC"/>
    <w:rsid w:val="00B5347D"/>
    <w:rsid w:val="00B53A32"/>
    <w:rsid w:val="00B5402B"/>
    <w:rsid w:val="00B54D77"/>
    <w:rsid w:val="00B5548D"/>
    <w:rsid w:val="00B55B63"/>
    <w:rsid w:val="00B55E4C"/>
    <w:rsid w:val="00B55E7F"/>
    <w:rsid w:val="00B56223"/>
    <w:rsid w:val="00B564AC"/>
    <w:rsid w:val="00B579DE"/>
    <w:rsid w:val="00B57F3F"/>
    <w:rsid w:val="00B600FD"/>
    <w:rsid w:val="00B6093B"/>
    <w:rsid w:val="00B60CB6"/>
    <w:rsid w:val="00B60D16"/>
    <w:rsid w:val="00B60F95"/>
    <w:rsid w:val="00B6105D"/>
    <w:rsid w:val="00B6150E"/>
    <w:rsid w:val="00B616DA"/>
    <w:rsid w:val="00B625A3"/>
    <w:rsid w:val="00B62C9A"/>
    <w:rsid w:val="00B62D0D"/>
    <w:rsid w:val="00B6322D"/>
    <w:rsid w:val="00B63650"/>
    <w:rsid w:val="00B6392C"/>
    <w:rsid w:val="00B63B1B"/>
    <w:rsid w:val="00B63C85"/>
    <w:rsid w:val="00B6408C"/>
    <w:rsid w:val="00B645AB"/>
    <w:rsid w:val="00B64F68"/>
    <w:rsid w:val="00B6635D"/>
    <w:rsid w:val="00B6677A"/>
    <w:rsid w:val="00B66C39"/>
    <w:rsid w:val="00B66E8C"/>
    <w:rsid w:val="00B67293"/>
    <w:rsid w:val="00B6740D"/>
    <w:rsid w:val="00B67574"/>
    <w:rsid w:val="00B678F3"/>
    <w:rsid w:val="00B67DDD"/>
    <w:rsid w:val="00B7085D"/>
    <w:rsid w:val="00B70C8E"/>
    <w:rsid w:val="00B71CEA"/>
    <w:rsid w:val="00B7268B"/>
    <w:rsid w:val="00B72BCD"/>
    <w:rsid w:val="00B72CCA"/>
    <w:rsid w:val="00B7459E"/>
    <w:rsid w:val="00B75002"/>
    <w:rsid w:val="00B75567"/>
    <w:rsid w:val="00B75760"/>
    <w:rsid w:val="00B75A5B"/>
    <w:rsid w:val="00B7637C"/>
    <w:rsid w:val="00B768C2"/>
    <w:rsid w:val="00B76AEE"/>
    <w:rsid w:val="00B77470"/>
    <w:rsid w:val="00B77492"/>
    <w:rsid w:val="00B77497"/>
    <w:rsid w:val="00B8079D"/>
    <w:rsid w:val="00B80E88"/>
    <w:rsid w:val="00B81691"/>
    <w:rsid w:val="00B818E1"/>
    <w:rsid w:val="00B8200F"/>
    <w:rsid w:val="00B8212F"/>
    <w:rsid w:val="00B832CF"/>
    <w:rsid w:val="00B84A49"/>
    <w:rsid w:val="00B84CA7"/>
    <w:rsid w:val="00B84FE6"/>
    <w:rsid w:val="00B86008"/>
    <w:rsid w:val="00B86C8E"/>
    <w:rsid w:val="00B86D8A"/>
    <w:rsid w:val="00B87571"/>
    <w:rsid w:val="00B902CD"/>
    <w:rsid w:val="00B90567"/>
    <w:rsid w:val="00B90B71"/>
    <w:rsid w:val="00B91090"/>
    <w:rsid w:val="00B91288"/>
    <w:rsid w:val="00B912AE"/>
    <w:rsid w:val="00B915B7"/>
    <w:rsid w:val="00B943F7"/>
    <w:rsid w:val="00B94926"/>
    <w:rsid w:val="00B94D41"/>
    <w:rsid w:val="00B94EA4"/>
    <w:rsid w:val="00B94F0C"/>
    <w:rsid w:val="00B951D6"/>
    <w:rsid w:val="00B96FBC"/>
    <w:rsid w:val="00B97A68"/>
    <w:rsid w:val="00B97AF6"/>
    <w:rsid w:val="00BA03EE"/>
    <w:rsid w:val="00BA06B6"/>
    <w:rsid w:val="00BA07F1"/>
    <w:rsid w:val="00BA13D5"/>
    <w:rsid w:val="00BA1A70"/>
    <w:rsid w:val="00BA2E53"/>
    <w:rsid w:val="00BA5B4C"/>
    <w:rsid w:val="00BA645E"/>
    <w:rsid w:val="00BA6631"/>
    <w:rsid w:val="00BA6776"/>
    <w:rsid w:val="00BA6961"/>
    <w:rsid w:val="00BA751F"/>
    <w:rsid w:val="00BA7805"/>
    <w:rsid w:val="00BA7DC3"/>
    <w:rsid w:val="00BB04B4"/>
    <w:rsid w:val="00BB0F63"/>
    <w:rsid w:val="00BB163A"/>
    <w:rsid w:val="00BB1898"/>
    <w:rsid w:val="00BB18CE"/>
    <w:rsid w:val="00BB1F29"/>
    <w:rsid w:val="00BB2240"/>
    <w:rsid w:val="00BB25EE"/>
    <w:rsid w:val="00BB2A0C"/>
    <w:rsid w:val="00BB2ABC"/>
    <w:rsid w:val="00BB372C"/>
    <w:rsid w:val="00BB3E12"/>
    <w:rsid w:val="00BB4167"/>
    <w:rsid w:val="00BB4BB1"/>
    <w:rsid w:val="00BB4FD4"/>
    <w:rsid w:val="00BB5A49"/>
    <w:rsid w:val="00BB5ED0"/>
    <w:rsid w:val="00BB712B"/>
    <w:rsid w:val="00BB7248"/>
    <w:rsid w:val="00BB73E1"/>
    <w:rsid w:val="00BB7663"/>
    <w:rsid w:val="00BB77EB"/>
    <w:rsid w:val="00BB7EE8"/>
    <w:rsid w:val="00BC00E6"/>
    <w:rsid w:val="00BC0E52"/>
    <w:rsid w:val="00BC20B4"/>
    <w:rsid w:val="00BC22C1"/>
    <w:rsid w:val="00BC2867"/>
    <w:rsid w:val="00BC2DFE"/>
    <w:rsid w:val="00BC2EA2"/>
    <w:rsid w:val="00BC3C84"/>
    <w:rsid w:val="00BC3E02"/>
    <w:rsid w:val="00BC415D"/>
    <w:rsid w:val="00BC551E"/>
    <w:rsid w:val="00BC5788"/>
    <w:rsid w:val="00BC5A1C"/>
    <w:rsid w:val="00BC5BD6"/>
    <w:rsid w:val="00BC5E2A"/>
    <w:rsid w:val="00BC60DE"/>
    <w:rsid w:val="00BC6371"/>
    <w:rsid w:val="00BC6461"/>
    <w:rsid w:val="00BC70C8"/>
    <w:rsid w:val="00BC7161"/>
    <w:rsid w:val="00BC78BB"/>
    <w:rsid w:val="00BC7A88"/>
    <w:rsid w:val="00BC7FD6"/>
    <w:rsid w:val="00BD039B"/>
    <w:rsid w:val="00BD0570"/>
    <w:rsid w:val="00BD0757"/>
    <w:rsid w:val="00BD087E"/>
    <w:rsid w:val="00BD0B0B"/>
    <w:rsid w:val="00BD0B2E"/>
    <w:rsid w:val="00BD0C92"/>
    <w:rsid w:val="00BD13AF"/>
    <w:rsid w:val="00BD1710"/>
    <w:rsid w:val="00BD1C5F"/>
    <w:rsid w:val="00BD2A2C"/>
    <w:rsid w:val="00BD2D6F"/>
    <w:rsid w:val="00BD305B"/>
    <w:rsid w:val="00BD3361"/>
    <w:rsid w:val="00BD33BB"/>
    <w:rsid w:val="00BD36E9"/>
    <w:rsid w:val="00BD3E7D"/>
    <w:rsid w:val="00BD43BC"/>
    <w:rsid w:val="00BD4540"/>
    <w:rsid w:val="00BD4796"/>
    <w:rsid w:val="00BD4BE2"/>
    <w:rsid w:val="00BD5951"/>
    <w:rsid w:val="00BD65F7"/>
    <w:rsid w:val="00BD65F8"/>
    <w:rsid w:val="00BD69DE"/>
    <w:rsid w:val="00BD6C36"/>
    <w:rsid w:val="00BD78D1"/>
    <w:rsid w:val="00BD7E32"/>
    <w:rsid w:val="00BE0CA8"/>
    <w:rsid w:val="00BE11FC"/>
    <w:rsid w:val="00BE1D05"/>
    <w:rsid w:val="00BE1D9C"/>
    <w:rsid w:val="00BE2832"/>
    <w:rsid w:val="00BE3A6A"/>
    <w:rsid w:val="00BE3CD1"/>
    <w:rsid w:val="00BE4143"/>
    <w:rsid w:val="00BE441D"/>
    <w:rsid w:val="00BE4680"/>
    <w:rsid w:val="00BE4872"/>
    <w:rsid w:val="00BE491C"/>
    <w:rsid w:val="00BE4E6C"/>
    <w:rsid w:val="00BE59FF"/>
    <w:rsid w:val="00BE688B"/>
    <w:rsid w:val="00BE6894"/>
    <w:rsid w:val="00BE693A"/>
    <w:rsid w:val="00BE69C4"/>
    <w:rsid w:val="00BE6DAA"/>
    <w:rsid w:val="00BE6F72"/>
    <w:rsid w:val="00BE76D2"/>
    <w:rsid w:val="00BE7855"/>
    <w:rsid w:val="00BF00A1"/>
    <w:rsid w:val="00BF0B68"/>
    <w:rsid w:val="00BF0C89"/>
    <w:rsid w:val="00BF0EF5"/>
    <w:rsid w:val="00BF1D92"/>
    <w:rsid w:val="00BF4096"/>
    <w:rsid w:val="00BF43B2"/>
    <w:rsid w:val="00BF5383"/>
    <w:rsid w:val="00BF557D"/>
    <w:rsid w:val="00BF583F"/>
    <w:rsid w:val="00BF5E23"/>
    <w:rsid w:val="00BF636B"/>
    <w:rsid w:val="00BF69C6"/>
    <w:rsid w:val="00BF6A06"/>
    <w:rsid w:val="00BF72EA"/>
    <w:rsid w:val="00BF7DBE"/>
    <w:rsid w:val="00C004FF"/>
    <w:rsid w:val="00C00567"/>
    <w:rsid w:val="00C01B11"/>
    <w:rsid w:val="00C02B8A"/>
    <w:rsid w:val="00C02CEC"/>
    <w:rsid w:val="00C02F1B"/>
    <w:rsid w:val="00C03C4B"/>
    <w:rsid w:val="00C03E3B"/>
    <w:rsid w:val="00C0415D"/>
    <w:rsid w:val="00C04699"/>
    <w:rsid w:val="00C04C92"/>
    <w:rsid w:val="00C04CD7"/>
    <w:rsid w:val="00C05197"/>
    <w:rsid w:val="00C05D2D"/>
    <w:rsid w:val="00C05EE4"/>
    <w:rsid w:val="00C060D7"/>
    <w:rsid w:val="00C067BD"/>
    <w:rsid w:val="00C06B21"/>
    <w:rsid w:val="00C07D88"/>
    <w:rsid w:val="00C07E65"/>
    <w:rsid w:val="00C10140"/>
    <w:rsid w:val="00C10194"/>
    <w:rsid w:val="00C11027"/>
    <w:rsid w:val="00C12A78"/>
    <w:rsid w:val="00C135DC"/>
    <w:rsid w:val="00C137F2"/>
    <w:rsid w:val="00C139E0"/>
    <w:rsid w:val="00C143FD"/>
    <w:rsid w:val="00C14952"/>
    <w:rsid w:val="00C155E7"/>
    <w:rsid w:val="00C159BC"/>
    <w:rsid w:val="00C165A2"/>
    <w:rsid w:val="00C1673D"/>
    <w:rsid w:val="00C16AF1"/>
    <w:rsid w:val="00C177A9"/>
    <w:rsid w:val="00C20405"/>
    <w:rsid w:val="00C20C9B"/>
    <w:rsid w:val="00C20F51"/>
    <w:rsid w:val="00C21009"/>
    <w:rsid w:val="00C212F8"/>
    <w:rsid w:val="00C218F1"/>
    <w:rsid w:val="00C21C5C"/>
    <w:rsid w:val="00C223EF"/>
    <w:rsid w:val="00C22BAA"/>
    <w:rsid w:val="00C22CA1"/>
    <w:rsid w:val="00C243C9"/>
    <w:rsid w:val="00C24625"/>
    <w:rsid w:val="00C2477D"/>
    <w:rsid w:val="00C24BF2"/>
    <w:rsid w:val="00C2537F"/>
    <w:rsid w:val="00C25806"/>
    <w:rsid w:val="00C25ABE"/>
    <w:rsid w:val="00C25D1E"/>
    <w:rsid w:val="00C25E6B"/>
    <w:rsid w:val="00C26275"/>
    <w:rsid w:val="00C266D9"/>
    <w:rsid w:val="00C26C6E"/>
    <w:rsid w:val="00C26DE6"/>
    <w:rsid w:val="00C27503"/>
    <w:rsid w:val="00C27BAE"/>
    <w:rsid w:val="00C27F2C"/>
    <w:rsid w:val="00C30F19"/>
    <w:rsid w:val="00C31F7D"/>
    <w:rsid w:val="00C3259E"/>
    <w:rsid w:val="00C32FD7"/>
    <w:rsid w:val="00C330BC"/>
    <w:rsid w:val="00C33299"/>
    <w:rsid w:val="00C3351D"/>
    <w:rsid w:val="00C33D1E"/>
    <w:rsid w:val="00C34017"/>
    <w:rsid w:val="00C347FD"/>
    <w:rsid w:val="00C34D9A"/>
    <w:rsid w:val="00C3502B"/>
    <w:rsid w:val="00C35B4B"/>
    <w:rsid w:val="00C35BAA"/>
    <w:rsid w:val="00C3722F"/>
    <w:rsid w:val="00C37D71"/>
    <w:rsid w:val="00C40311"/>
    <w:rsid w:val="00C40A20"/>
    <w:rsid w:val="00C40DC0"/>
    <w:rsid w:val="00C4161B"/>
    <w:rsid w:val="00C417F4"/>
    <w:rsid w:val="00C41E2B"/>
    <w:rsid w:val="00C42700"/>
    <w:rsid w:val="00C429E5"/>
    <w:rsid w:val="00C42B97"/>
    <w:rsid w:val="00C43673"/>
    <w:rsid w:val="00C43A25"/>
    <w:rsid w:val="00C43BD3"/>
    <w:rsid w:val="00C43D4E"/>
    <w:rsid w:val="00C4504F"/>
    <w:rsid w:val="00C4520C"/>
    <w:rsid w:val="00C45733"/>
    <w:rsid w:val="00C457A1"/>
    <w:rsid w:val="00C4675F"/>
    <w:rsid w:val="00C46890"/>
    <w:rsid w:val="00C46C67"/>
    <w:rsid w:val="00C4700F"/>
    <w:rsid w:val="00C51A78"/>
    <w:rsid w:val="00C51F35"/>
    <w:rsid w:val="00C52F23"/>
    <w:rsid w:val="00C54054"/>
    <w:rsid w:val="00C5428C"/>
    <w:rsid w:val="00C54412"/>
    <w:rsid w:val="00C54546"/>
    <w:rsid w:val="00C54A63"/>
    <w:rsid w:val="00C54C85"/>
    <w:rsid w:val="00C5557F"/>
    <w:rsid w:val="00C5590F"/>
    <w:rsid w:val="00C56D3D"/>
    <w:rsid w:val="00C5703C"/>
    <w:rsid w:val="00C57EA7"/>
    <w:rsid w:val="00C6043A"/>
    <w:rsid w:val="00C60F05"/>
    <w:rsid w:val="00C6120C"/>
    <w:rsid w:val="00C61417"/>
    <w:rsid w:val="00C61465"/>
    <w:rsid w:val="00C623FC"/>
    <w:rsid w:val="00C626CA"/>
    <w:rsid w:val="00C629FC"/>
    <w:rsid w:val="00C62A29"/>
    <w:rsid w:val="00C62D30"/>
    <w:rsid w:val="00C62D7E"/>
    <w:rsid w:val="00C632BF"/>
    <w:rsid w:val="00C63807"/>
    <w:rsid w:val="00C63F73"/>
    <w:rsid w:val="00C647AA"/>
    <w:rsid w:val="00C64C50"/>
    <w:rsid w:val="00C654FF"/>
    <w:rsid w:val="00C6581C"/>
    <w:rsid w:val="00C6589C"/>
    <w:rsid w:val="00C65DE7"/>
    <w:rsid w:val="00C65FD7"/>
    <w:rsid w:val="00C67CE2"/>
    <w:rsid w:val="00C67F0D"/>
    <w:rsid w:val="00C70720"/>
    <w:rsid w:val="00C70721"/>
    <w:rsid w:val="00C7128A"/>
    <w:rsid w:val="00C71614"/>
    <w:rsid w:val="00C71869"/>
    <w:rsid w:val="00C71D5F"/>
    <w:rsid w:val="00C72D9D"/>
    <w:rsid w:val="00C73993"/>
    <w:rsid w:val="00C73FC0"/>
    <w:rsid w:val="00C743C9"/>
    <w:rsid w:val="00C747CB"/>
    <w:rsid w:val="00C74E9D"/>
    <w:rsid w:val="00C75C44"/>
    <w:rsid w:val="00C75FC6"/>
    <w:rsid w:val="00C77431"/>
    <w:rsid w:val="00C7767E"/>
    <w:rsid w:val="00C77AA3"/>
    <w:rsid w:val="00C80091"/>
    <w:rsid w:val="00C8043A"/>
    <w:rsid w:val="00C804B3"/>
    <w:rsid w:val="00C80A45"/>
    <w:rsid w:val="00C80BCE"/>
    <w:rsid w:val="00C80CF3"/>
    <w:rsid w:val="00C81621"/>
    <w:rsid w:val="00C81818"/>
    <w:rsid w:val="00C82316"/>
    <w:rsid w:val="00C825B4"/>
    <w:rsid w:val="00C82D35"/>
    <w:rsid w:val="00C83028"/>
    <w:rsid w:val="00C83913"/>
    <w:rsid w:val="00C83DDA"/>
    <w:rsid w:val="00C84983"/>
    <w:rsid w:val="00C84EB6"/>
    <w:rsid w:val="00C84FD2"/>
    <w:rsid w:val="00C856C4"/>
    <w:rsid w:val="00C86A79"/>
    <w:rsid w:val="00C86DE1"/>
    <w:rsid w:val="00C86F88"/>
    <w:rsid w:val="00C8759D"/>
    <w:rsid w:val="00C87AD2"/>
    <w:rsid w:val="00C87AFC"/>
    <w:rsid w:val="00C90964"/>
    <w:rsid w:val="00C90BCA"/>
    <w:rsid w:val="00C90F9A"/>
    <w:rsid w:val="00C9122F"/>
    <w:rsid w:val="00C91449"/>
    <w:rsid w:val="00C917AB"/>
    <w:rsid w:val="00C91B7E"/>
    <w:rsid w:val="00C91E9E"/>
    <w:rsid w:val="00C93036"/>
    <w:rsid w:val="00C93FFD"/>
    <w:rsid w:val="00C941C3"/>
    <w:rsid w:val="00C941FC"/>
    <w:rsid w:val="00C95239"/>
    <w:rsid w:val="00C959B7"/>
    <w:rsid w:val="00C95F20"/>
    <w:rsid w:val="00C9697C"/>
    <w:rsid w:val="00C97752"/>
    <w:rsid w:val="00C9777E"/>
    <w:rsid w:val="00C97789"/>
    <w:rsid w:val="00C97F98"/>
    <w:rsid w:val="00CA090F"/>
    <w:rsid w:val="00CA0AA2"/>
    <w:rsid w:val="00CA1C0F"/>
    <w:rsid w:val="00CA214C"/>
    <w:rsid w:val="00CA246D"/>
    <w:rsid w:val="00CA2678"/>
    <w:rsid w:val="00CA2ED0"/>
    <w:rsid w:val="00CA3C32"/>
    <w:rsid w:val="00CA4573"/>
    <w:rsid w:val="00CA46CB"/>
    <w:rsid w:val="00CA4968"/>
    <w:rsid w:val="00CA49C1"/>
    <w:rsid w:val="00CA5FED"/>
    <w:rsid w:val="00CA6557"/>
    <w:rsid w:val="00CA695B"/>
    <w:rsid w:val="00CA69D1"/>
    <w:rsid w:val="00CA6F71"/>
    <w:rsid w:val="00CA6FE3"/>
    <w:rsid w:val="00CA71B9"/>
    <w:rsid w:val="00CA7959"/>
    <w:rsid w:val="00CB08C1"/>
    <w:rsid w:val="00CB1F7A"/>
    <w:rsid w:val="00CB1FF3"/>
    <w:rsid w:val="00CB2330"/>
    <w:rsid w:val="00CB259B"/>
    <w:rsid w:val="00CB29D4"/>
    <w:rsid w:val="00CB2A88"/>
    <w:rsid w:val="00CB35DC"/>
    <w:rsid w:val="00CB3A6E"/>
    <w:rsid w:val="00CB494F"/>
    <w:rsid w:val="00CB587D"/>
    <w:rsid w:val="00CB5EC0"/>
    <w:rsid w:val="00CB65B5"/>
    <w:rsid w:val="00CB66B2"/>
    <w:rsid w:val="00CB6A28"/>
    <w:rsid w:val="00CB70E4"/>
    <w:rsid w:val="00CB736C"/>
    <w:rsid w:val="00CB74BA"/>
    <w:rsid w:val="00CB76F6"/>
    <w:rsid w:val="00CB7E30"/>
    <w:rsid w:val="00CC03DE"/>
    <w:rsid w:val="00CC07E7"/>
    <w:rsid w:val="00CC0810"/>
    <w:rsid w:val="00CC1C4D"/>
    <w:rsid w:val="00CC1FCE"/>
    <w:rsid w:val="00CC2143"/>
    <w:rsid w:val="00CC282F"/>
    <w:rsid w:val="00CC3A40"/>
    <w:rsid w:val="00CC3AEB"/>
    <w:rsid w:val="00CC476F"/>
    <w:rsid w:val="00CC4994"/>
    <w:rsid w:val="00CC4E4F"/>
    <w:rsid w:val="00CC54C7"/>
    <w:rsid w:val="00CC5902"/>
    <w:rsid w:val="00CC5CB4"/>
    <w:rsid w:val="00CC6BAF"/>
    <w:rsid w:val="00CC6C46"/>
    <w:rsid w:val="00CC6CE6"/>
    <w:rsid w:val="00CC6E18"/>
    <w:rsid w:val="00CC7120"/>
    <w:rsid w:val="00CC73BD"/>
    <w:rsid w:val="00CC7846"/>
    <w:rsid w:val="00CD0406"/>
    <w:rsid w:val="00CD06F4"/>
    <w:rsid w:val="00CD1B0E"/>
    <w:rsid w:val="00CD2825"/>
    <w:rsid w:val="00CD308C"/>
    <w:rsid w:val="00CD3BB5"/>
    <w:rsid w:val="00CD416D"/>
    <w:rsid w:val="00CD4425"/>
    <w:rsid w:val="00CD44D3"/>
    <w:rsid w:val="00CD46BA"/>
    <w:rsid w:val="00CD5019"/>
    <w:rsid w:val="00CD52C7"/>
    <w:rsid w:val="00CD59E9"/>
    <w:rsid w:val="00CD5CED"/>
    <w:rsid w:val="00CD61BD"/>
    <w:rsid w:val="00CD70B2"/>
    <w:rsid w:val="00CD7520"/>
    <w:rsid w:val="00CD76A0"/>
    <w:rsid w:val="00CD785A"/>
    <w:rsid w:val="00CD7B1F"/>
    <w:rsid w:val="00CE17B5"/>
    <w:rsid w:val="00CE1E0F"/>
    <w:rsid w:val="00CE2040"/>
    <w:rsid w:val="00CE4711"/>
    <w:rsid w:val="00CE4E54"/>
    <w:rsid w:val="00CE4F4B"/>
    <w:rsid w:val="00CE550C"/>
    <w:rsid w:val="00CE55BE"/>
    <w:rsid w:val="00CE62A0"/>
    <w:rsid w:val="00CE6F12"/>
    <w:rsid w:val="00CE7615"/>
    <w:rsid w:val="00CF0679"/>
    <w:rsid w:val="00CF16E3"/>
    <w:rsid w:val="00CF224C"/>
    <w:rsid w:val="00CF2BCC"/>
    <w:rsid w:val="00CF2CB2"/>
    <w:rsid w:val="00CF2F46"/>
    <w:rsid w:val="00CF34C5"/>
    <w:rsid w:val="00CF35F6"/>
    <w:rsid w:val="00CF3E1C"/>
    <w:rsid w:val="00CF6A3A"/>
    <w:rsid w:val="00CF7230"/>
    <w:rsid w:val="00CF7971"/>
    <w:rsid w:val="00CF7CBD"/>
    <w:rsid w:val="00D00135"/>
    <w:rsid w:val="00D002D3"/>
    <w:rsid w:val="00D00981"/>
    <w:rsid w:val="00D00DC3"/>
    <w:rsid w:val="00D01256"/>
    <w:rsid w:val="00D01FE0"/>
    <w:rsid w:val="00D022A3"/>
    <w:rsid w:val="00D02912"/>
    <w:rsid w:val="00D02D27"/>
    <w:rsid w:val="00D03B54"/>
    <w:rsid w:val="00D048E8"/>
    <w:rsid w:val="00D050FE"/>
    <w:rsid w:val="00D05131"/>
    <w:rsid w:val="00D05457"/>
    <w:rsid w:val="00D05920"/>
    <w:rsid w:val="00D059E2"/>
    <w:rsid w:val="00D05ACC"/>
    <w:rsid w:val="00D05CA8"/>
    <w:rsid w:val="00D05DB1"/>
    <w:rsid w:val="00D060EC"/>
    <w:rsid w:val="00D0613D"/>
    <w:rsid w:val="00D06957"/>
    <w:rsid w:val="00D069BE"/>
    <w:rsid w:val="00D077AE"/>
    <w:rsid w:val="00D07866"/>
    <w:rsid w:val="00D10B4A"/>
    <w:rsid w:val="00D10E6A"/>
    <w:rsid w:val="00D10FAA"/>
    <w:rsid w:val="00D11A56"/>
    <w:rsid w:val="00D11E3B"/>
    <w:rsid w:val="00D11F8F"/>
    <w:rsid w:val="00D1243F"/>
    <w:rsid w:val="00D12F99"/>
    <w:rsid w:val="00D131A5"/>
    <w:rsid w:val="00D1438F"/>
    <w:rsid w:val="00D145D8"/>
    <w:rsid w:val="00D149B8"/>
    <w:rsid w:val="00D14C09"/>
    <w:rsid w:val="00D14D0E"/>
    <w:rsid w:val="00D152ED"/>
    <w:rsid w:val="00D1581C"/>
    <w:rsid w:val="00D15B15"/>
    <w:rsid w:val="00D16506"/>
    <w:rsid w:val="00D16F07"/>
    <w:rsid w:val="00D16F66"/>
    <w:rsid w:val="00D17094"/>
    <w:rsid w:val="00D17683"/>
    <w:rsid w:val="00D17BA2"/>
    <w:rsid w:val="00D21498"/>
    <w:rsid w:val="00D21E6D"/>
    <w:rsid w:val="00D21FD2"/>
    <w:rsid w:val="00D220E5"/>
    <w:rsid w:val="00D22460"/>
    <w:rsid w:val="00D228CD"/>
    <w:rsid w:val="00D238ED"/>
    <w:rsid w:val="00D23CE4"/>
    <w:rsid w:val="00D23DA1"/>
    <w:rsid w:val="00D24269"/>
    <w:rsid w:val="00D24D1E"/>
    <w:rsid w:val="00D24DA7"/>
    <w:rsid w:val="00D24DEA"/>
    <w:rsid w:val="00D25337"/>
    <w:rsid w:val="00D25A3D"/>
    <w:rsid w:val="00D25BAE"/>
    <w:rsid w:val="00D2645A"/>
    <w:rsid w:val="00D26619"/>
    <w:rsid w:val="00D26760"/>
    <w:rsid w:val="00D26CB0"/>
    <w:rsid w:val="00D273A8"/>
    <w:rsid w:val="00D27600"/>
    <w:rsid w:val="00D27C64"/>
    <w:rsid w:val="00D30C12"/>
    <w:rsid w:val="00D30FF4"/>
    <w:rsid w:val="00D311BB"/>
    <w:rsid w:val="00D318D0"/>
    <w:rsid w:val="00D31D9B"/>
    <w:rsid w:val="00D32570"/>
    <w:rsid w:val="00D325E7"/>
    <w:rsid w:val="00D32D0A"/>
    <w:rsid w:val="00D330F3"/>
    <w:rsid w:val="00D335BF"/>
    <w:rsid w:val="00D33B4B"/>
    <w:rsid w:val="00D3436D"/>
    <w:rsid w:val="00D34B71"/>
    <w:rsid w:val="00D34CAF"/>
    <w:rsid w:val="00D35234"/>
    <w:rsid w:val="00D36684"/>
    <w:rsid w:val="00D36ACF"/>
    <w:rsid w:val="00D37BCF"/>
    <w:rsid w:val="00D400D5"/>
    <w:rsid w:val="00D40A79"/>
    <w:rsid w:val="00D41AFE"/>
    <w:rsid w:val="00D42DE1"/>
    <w:rsid w:val="00D43785"/>
    <w:rsid w:val="00D43C5C"/>
    <w:rsid w:val="00D4471F"/>
    <w:rsid w:val="00D44951"/>
    <w:rsid w:val="00D44BE5"/>
    <w:rsid w:val="00D44FD1"/>
    <w:rsid w:val="00D45318"/>
    <w:rsid w:val="00D45C95"/>
    <w:rsid w:val="00D45D92"/>
    <w:rsid w:val="00D4708E"/>
    <w:rsid w:val="00D4716C"/>
    <w:rsid w:val="00D473C0"/>
    <w:rsid w:val="00D50437"/>
    <w:rsid w:val="00D50D9D"/>
    <w:rsid w:val="00D513A3"/>
    <w:rsid w:val="00D5150A"/>
    <w:rsid w:val="00D51901"/>
    <w:rsid w:val="00D51DB3"/>
    <w:rsid w:val="00D531F2"/>
    <w:rsid w:val="00D5325D"/>
    <w:rsid w:val="00D53AF2"/>
    <w:rsid w:val="00D54D42"/>
    <w:rsid w:val="00D55CC2"/>
    <w:rsid w:val="00D567AF"/>
    <w:rsid w:val="00D56ABA"/>
    <w:rsid w:val="00D56F09"/>
    <w:rsid w:val="00D56FB3"/>
    <w:rsid w:val="00D56FE7"/>
    <w:rsid w:val="00D579E4"/>
    <w:rsid w:val="00D57B10"/>
    <w:rsid w:val="00D6025F"/>
    <w:rsid w:val="00D60B6D"/>
    <w:rsid w:val="00D60D7E"/>
    <w:rsid w:val="00D60DD6"/>
    <w:rsid w:val="00D6119E"/>
    <w:rsid w:val="00D62409"/>
    <w:rsid w:val="00D63225"/>
    <w:rsid w:val="00D64373"/>
    <w:rsid w:val="00D65127"/>
    <w:rsid w:val="00D653B8"/>
    <w:rsid w:val="00D6635B"/>
    <w:rsid w:val="00D6773A"/>
    <w:rsid w:val="00D67C7A"/>
    <w:rsid w:val="00D67E3C"/>
    <w:rsid w:val="00D7134E"/>
    <w:rsid w:val="00D715C4"/>
    <w:rsid w:val="00D72788"/>
    <w:rsid w:val="00D7292C"/>
    <w:rsid w:val="00D72CDE"/>
    <w:rsid w:val="00D72D1E"/>
    <w:rsid w:val="00D72E9D"/>
    <w:rsid w:val="00D73808"/>
    <w:rsid w:val="00D738BD"/>
    <w:rsid w:val="00D73B19"/>
    <w:rsid w:val="00D73C41"/>
    <w:rsid w:val="00D73C5A"/>
    <w:rsid w:val="00D744D0"/>
    <w:rsid w:val="00D745B8"/>
    <w:rsid w:val="00D74E64"/>
    <w:rsid w:val="00D74FDB"/>
    <w:rsid w:val="00D750EF"/>
    <w:rsid w:val="00D75352"/>
    <w:rsid w:val="00D756BF"/>
    <w:rsid w:val="00D75856"/>
    <w:rsid w:val="00D770EB"/>
    <w:rsid w:val="00D77720"/>
    <w:rsid w:val="00D77ED8"/>
    <w:rsid w:val="00D815E9"/>
    <w:rsid w:val="00D819E6"/>
    <w:rsid w:val="00D81B8F"/>
    <w:rsid w:val="00D8290A"/>
    <w:rsid w:val="00D82999"/>
    <w:rsid w:val="00D82A61"/>
    <w:rsid w:val="00D837DD"/>
    <w:rsid w:val="00D839C0"/>
    <w:rsid w:val="00D842AB"/>
    <w:rsid w:val="00D84385"/>
    <w:rsid w:val="00D84C1E"/>
    <w:rsid w:val="00D850C9"/>
    <w:rsid w:val="00D85280"/>
    <w:rsid w:val="00D85477"/>
    <w:rsid w:val="00D85D02"/>
    <w:rsid w:val="00D8727C"/>
    <w:rsid w:val="00D9008F"/>
    <w:rsid w:val="00D90552"/>
    <w:rsid w:val="00D90B6B"/>
    <w:rsid w:val="00D91DEE"/>
    <w:rsid w:val="00D924DD"/>
    <w:rsid w:val="00D9285C"/>
    <w:rsid w:val="00D92FD4"/>
    <w:rsid w:val="00D9482A"/>
    <w:rsid w:val="00D94A4C"/>
    <w:rsid w:val="00D94ADB"/>
    <w:rsid w:val="00D94E56"/>
    <w:rsid w:val="00D95775"/>
    <w:rsid w:val="00D9593F"/>
    <w:rsid w:val="00D96A6A"/>
    <w:rsid w:val="00D9743A"/>
    <w:rsid w:val="00D977E3"/>
    <w:rsid w:val="00DA0430"/>
    <w:rsid w:val="00DA1CD5"/>
    <w:rsid w:val="00DA1D27"/>
    <w:rsid w:val="00DA3A14"/>
    <w:rsid w:val="00DA3D9E"/>
    <w:rsid w:val="00DA424A"/>
    <w:rsid w:val="00DA45CF"/>
    <w:rsid w:val="00DA4B92"/>
    <w:rsid w:val="00DA4E15"/>
    <w:rsid w:val="00DA6019"/>
    <w:rsid w:val="00DA7477"/>
    <w:rsid w:val="00DB00AF"/>
    <w:rsid w:val="00DB047E"/>
    <w:rsid w:val="00DB0991"/>
    <w:rsid w:val="00DB0E77"/>
    <w:rsid w:val="00DB16C2"/>
    <w:rsid w:val="00DB2251"/>
    <w:rsid w:val="00DB2686"/>
    <w:rsid w:val="00DB2AF7"/>
    <w:rsid w:val="00DB3608"/>
    <w:rsid w:val="00DB363E"/>
    <w:rsid w:val="00DB37B7"/>
    <w:rsid w:val="00DB39A9"/>
    <w:rsid w:val="00DB4563"/>
    <w:rsid w:val="00DB4F75"/>
    <w:rsid w:val="00DB537E"/>
    <w:rsid w:val="00DB577D"/>
    <w:rsid w:val="00DB5974"/>
    <w:rsid w:val="00DB5EB7"/>
    <w:rsid w:val="00DB6FB2"/>
    <w:rsid w:val="00DB76A5"/>
    <w:rsid w:val="00DC1CCE"/>
    <w:rsid w:val="00DC1E02"/>
    <w:rsid w:val="00DC20F9"/>
    <w:rsid w:val="00DC2236"/>
    <w:rsid w:val="00DC2D9C"/>
    <w:rsid w:val="00DC3282"/>
    <w:rsid w:val="00DC3C82"/>
    <w:rsid w:val="00DC40BF"/>
    <w:rsid w:val="00DC4713"/>
    <w:rsid w:val="00DC4A12"/>
    <w:rsid w:val="00DC4C6B"/>
    <w:rsid w:val="00DC4EAE"/>
    <w:rsid w:val="00DC5449"/>
    <w:rsid w:val="00DC575D"/>
    <w:rsid w:val="00DC6147"/>
    <w:rsid w:val="00DC61E5"/>
    <w:rsid w:val="00DC6759"/>
    <w:rsid w:val="00DC6EFF"/>
    <w:rsid w:val="00DC716A"/>
    <w:rsid w:val="00DC7991"/>
    <w:rsid w:val="00DC79AE"/>
    <w:rsid w:val="00DD020D"/>
    <w:rsid w:val="00DD037C"/>
    <w:rsid w:val="00DD06C0"/>
    <w:rsid w:val="00DD1399"/>
    <w:rsid w:val="00DD1499"/>
    <w:rsid w:val="00DD171B"/>
    <w:rsid w:val="00DD1767"/>
    <w:rsid w:val="00DD17E8"/>
    <w:rsid w:val="00DD1BE4"/>
    <w:rsid w:val="00DD2336"/>
    <w:rsid w:val="00DD2E11"/>
    <w:rsid w:val="00DD3AB8"/>
    <w:rsid w:val="00DD3FD3"/>
    <w:rsid w:val="00DD57AF"/>
    <w:rsid w:val="00DD6540"/>
    <w:rsid w:val="00DD6A4F"/>
    <w:rsid w:val="00DD733C"/>
    <w:rsid w:val="00DD775F"/>
    <w:rsid w:val="00DD78E6"/>
    <w:rsid w:val="00DE00C6"/>
    <w:rsid w:val="00DE0F37"/>
    <w:rsid w:val="00DE10D9"/>
    <w:rsid w:val="00DE160C"/>
    <w:rsid w:val="00DE1A62"/>
    <w:rsid w:val="00DE1A65"/>
    <w:rsid w:val="00DE1B5A"/>
    <w:rsid w:val="00DE29CB"/>
    <w:rsid w:val="00DE2C25"/>
    <w:rsid w:val="00DE367D"/>
    <w:rsid w:val="00DE38EF"/>
    <w:rsid w:val="00DE3C71"/>
    <w:rsid w:val="00DE3F66"/>
    <w:rsid w:val="00DE40C6"/>
    <w:rsid w:val="00DE41B5"/>
    <w:rsid w:val="00DE499F"/>
    <w:rsid w:val="00DE5118"/>
    <w:rsid w:val="00DE5877"/>
    <w:rsid w:val="00DE5C9A"/>
    <w:rsid w:val="00DE5DB8"/>
    <w:rsid w:val="00DE6387"/>
    <w:rsid w:val="00DE6583"/>
    <w:rsid w:val="00DE68A3"/>
    <w:rsid w:val="00DE70BB"/>
    <w:rsid w:val="00DE777A"/>
    <w:rsid w:val="00DE7DA3"/>
    <w:rsid w:val="00DF0098"/>
    <w:rsid w:val="00DF0EE3"/>
    <w:rsid w:val="00DF2279"/>
    <w:rsid w:val="00DF29F0"/>
    <w:rsid w:val="00DF2B7E"/>
    <w:rsid w:val="00DF2C78"/>
    <w:rsid w:val="00DF3252"/>
    <w:rsid w:val="00DF377B"/>
    <w:rsid w:val="00DF39D9"/>
    <w:rsid w:val="00DF4018"/>
    <w:rsid w:val="00DF4369"/>
    <w:rsid w:val="00DF4616"/>
    <w:rsid w:val="00DF478E"/>
    <w:rsid w:val="00DF53DC"/>
    <w:rsid w:val="00DF55DB"/>
    <w:rsid w:val="00DF571D"/>
    <w:rsid w:val="00DF5BF1"/>
    <w:rsid w:val="00DF606F"/>
    <w:rsid w:val="00DF64C8"/>
    <w:rsid w:val="00DF6931"/>
    <w:rsid w:val="00DF7B2C"/>
    <w:rsid w:val="00E0026F"/>
    <w:rsid w:val="00E00B1F"/>
    <w:rsid w:val="00E0103B"/>
    <w:rsid w:val="00E0155D"/>
    <w:rsid w:val="00E02AB2"/>
    <w:rsid w:val="00E02ED7"/>
    <w:rsid w:val="00E0445C"/>
    <w:rsid w:val="00E04803"/>
    <w:rsid w:val="00E05115"/>
    <w:rsid w:val="00E0536D"/>
    <w:rsid w:val="00E057F5"/>
    <w:rsid w:val="00E05801"/>
    <w:rsid w:val="00E05FC4"/>
    <w:rsid w:val="00E0681A"/>
    <w:rsid w:val="00E06887"/>
    <w:rsid w:val="00E0707A"/>
    <w:rsid w:val="00E072CF"/>
    <w:rsid w:val="00E07658"/>
    <w:rsid w:val="00E07717"/>
    <w:rsid w:val="00E07893"/>
    <w:rsid w:val="00E07AD4"/>
    <w:rsid w:val="00E106F1"/>
    <w:rsid w:val="00E109D3"/>
    <w:rsid w:val="00E111F5"/>
    <w:rsid w:val="00E11224"/>
    <w:rsid w:val="00E11BD9"/>
    <w:rsid w:val="00E11F44"/>
    <w:rsid w:val="00E12F14"/>
    <w:rsid w:val="00E13185"/>
    <w:rsid w:val="00E132D7"/>
    <w:rsid w:val="00E1341E"/>
    <w:rsid w:val="00E13B9B"/>
    <w:rsid w:val="00E13CAE"/>
    <w:rsid w:val="00E141E3"/>
    <w:rsid w:val="00E1461F"/>
    <w:rsid w:val="00E147D0"/>
    <w:rsid w:val="00E14A6A"/>
    <w:rsid w:val="00E14C10"/>
    <w:rsid w:val="00E15413"/>
    <w:rsid w:val="00E1592B"/>
    <w:rsid w:val="00E164DE"/>
    <w:rsid w:val="00E16F1F"/>
    <w:rsid w:val="00E16F37"/>
    <w:rsid w:val="00E17444"/>
    <w:rsid w:val="00E17B09"/>
    <w:rsid w:val="00E20EC6"/>
    <w:rsid w:val="00E2148C"/>
    <w:rsid w:val="00E21546"/>
    <w:rsid w:val="00E2277F"/>
    <w:rsid w:val="00E22A42"/>
    <w:rsid w:val="00E22BCE"/>
    <w:rsid w:val="00E2350B"/>
    <w:rsid w:val="00E239CB"/>
    <w:rsid w:val="00E2466F"/>
    <w:rsid w:val="00E246A9"/>
    <w:rsid w:val="00E255FB"/>
    <w:rsid w:val="00E25C38"/>
    <w:rsid w:val="00E264DE"/>
    <w:rsid w:val="00E26842"/>
    <w:rsid w:val="00E26A6B"/>
    <w:rsid w:val="00E27A6E"/>
    <w:rsid w:val="00E27DA6"/>
    <w:rsid w:val="00E30107"/>
    <w:rsid w:val="00E3063A"/>
    <w:rsid w:val="00E30671"/>
    <w:rsid w:val="00E30D2F"/>
    <w:rsid w:val="00E312E2"/>
    <w:rsid w:val="00E31708"/>
    <w:rsid w:val="00E31F53"/>
    <w:rsid w:val="00E32250"/>
    <w:rsid w:val="00E32304"/>
    <w:rsid w:val="00E32984"/>
    <w:rsid w:val="00E32ECD"/>
    <w:rsid w:val="00E33045"/>
    <w:rsid w:val="00E3343D"/>
    <w:rsid w:val="00E33A01"/>
    <w:rsid w:val="00E342B6"/>
    <w:rsid w:val="00E34457"/>
    <w:rsid w:val="00E34B03"/>
    <w:rsid w:val="00E35817"/>
    <w:rsid w:val="00E36031"/>
    <w:rsid w:val="00E360C4"/>
    <w:rsid w:val="00E36447"/>
    <w:rsid w:val="00E365AC"/>
    <w:rsid w:val="00E407B7"/>
    <w:rsid w:val="00E40A9D"/>
    <w:rsid w:val="00E40B41"/>
    <w:rsid w:val="00E40B6D"/>
    <w:rsid w:val="00E411D6"/>
    <w:rsid w:val="00E41283"/>
    <w:rsid w:val="00E42B22"/>
    <w:rsid w:val="00E43890"/>
    <w:rsid w:val="00E43A48"/>
    <w:rsid w:val="00E441F3"/>
    <w:rsid w:val="00E451F1"/>
    <w:rsid w:val="00E45AD9"/>
    <w:rsid w:val="00E45CAA"/>
    <w:rsid w:val="00E461BE"/>
    <w:rsid w:val="00E466CA"/>
    <w:rsid w:val="00E466F7"/>
    <w:rsid w:val="00E46AFB"/>
    <w:rsid w:val="00E47F1D"/>
    <w:rsid w:val="00E50135"/>
    <w:rsid w:val="00E503FB"/>
    <w:rsid w:val="00E512D1"/>
    <w:rsid w:val="00E51CC9"/>
    <w:rsid w:val="00E51ECF"/>
    <w:rsid w:val="00E520F5"/>
    <w:rsid w:val="00E52171"/>
    <w:rsid w:val="00E527E9"/>
    <w:rsid w:val="00E53BC0"/>
    <w:rsid w:val="00E54DE9"/>
    <w:rsid w:val="00E556FC"/>
    <w:rsid w:val="00E5582D"/>
    <w:rsid w:val="00E55940"/>
    <w:rsid w:val="00E564D8"/>
    <w:rsid w:val="00E56C73"/>
    <w:rsid w:val="00E570E2"/>
    <w:rsid w:val="00E5770E"/>
    <w:rsid w:val="00E57B09"/>
    <w:rsid w:val="00E57B4C"/>
    <w:rsid w:val="00E57BB6"/>
    <w:rsid w:val="00E57D5B"/>
    <w:rsid w:val="00E600BD"/>
    <w:rsid w:val="00E60868"/>
    <w:rsid w:val="00E60D8D"/>
    <w:rsid w:val="00E61056"/>
    <w:rsid w:val="00E61382"/>
    <w:rsid w:val="00E61603"/>
    <w:rsid w:val="00E61692"/>
    <w:rsid w:val="00E61DE9"/>
    <w:rsid w:val="00E62F56"/>
    <w:rsid w:val="00E639FD"/>
    <w:rsid w:val="00E64C24"/>
    <w:rsid w:val="00E65183"/>
    <w:rsid w:val="00E65656"/>
    <w:rsid w:val="00E65886"/>
    <w:rsid w:val="00E6676D"/>
    <w:rsid w:val="00E675F0"/>
    <w:rsid w:val="00E6791D"/>
    <w:rsid w:val="00E67CF2"/>
    <w:rsid w:val="00E67E20"/>
    <w:rsid w:val="00E70587"/>
    <w:rsid w:val="00E70647"/>
    <w:rsid w:val="00E70AC4"/>
    <w:rsid w:val="00E710ED"/>
    <w:rsid w:val="00E716BA"/>
    <w:rsid w:val="00E729CE"/>
    <w:rsid w:val="00E72A7F"/>
    <w:rsid w:val="00E730BD"/>
    <w:rsid w:val="00E7314F"/>
    <w:rsid w:val="00E73C16"/>
    <w:rsid w:val="00E73D75"/>
    <w:rsid w:val="00E7593D"/>
    <w:rsid w:val="00E766E7"/>
    <w:rsid w:val="00E769CE"/>
    <w:rsid w:val="00E76F27"/>
    <w:rsid w:val="00E76FC7"/>
    <w:rsid w:val="00E772BC"/>
    <w:rsid w:val="00E8020C"/>
    <w:rsid w:val="00E80F04"/>
    <w:rsid w:val="00E811ED"/>
    <w:rsid w:val="00E8145B"/>
    <w:rsid w:val="00E81D8F"/>
    <w:rsid w:val="00E820D5"/>
    <w:rsid w:val="00E82ED4"/>
    <w:rsid w:val="00E8343C"/>
    <w:rsid w:val="00E83607"/>
    <w:rsid w:val="00E837F9"/>
    <w:rsid w:val="00E83846"/>
    <w:rsid w:val="00E83959"/>
    <w:rsid w:val="00E83BA2"/>
    <w:rsid w:val="00E83D3D"/>
    <w:rsid w:val="00E84179"/>
    <w:rsid w:val="00E84C0C"/>
    <w:rsid w:val="00E84FB5"/>
    <w:rsid w:val="00E85149"/>
    <w:rsid w:val="00E85173"/>
    <w:rsid w:val="00E85E23"/>
    <w:rsid w:val="00E86081"/>
    <w:rsid w:val="00E86683"/>
    <w:rsid w:val="00E86A70"/>
    <w:rsid w:val="00E86FF0"/>
    <w:rsid w:val="00E8760D"/>
    <w:rsid w:val="00E87635"/>
    <w:rsid w:val="00E9007A"/>
    <w:rsid w:val="00E9007C"/>
    <w:rsid w:val="00E9054A"/>
    <w:rsid w:val="00E90B26"/>
    <w:rsid w:val="00E91000"/>
    <w:rsid w:val="00E915A6"/>
    <w:rsid w:val="00E9208D"/>
    <w:rsid w:val="00E92834"/>
    <w:rsid w:val="00E92CB4"/>
    <w:rsid w:val="00E934EB"/>
    <w:rsid w:val="00E93C24"/>
    <w:rsid w:val="00E942B3"/>
    <w:rsid w:val="00E9476A"/>
    <w:rsid w:val="00E947E9"/>
    <w:rsid w:val="00E95A6A"/>
    <w:rsid w:val="00E96013"/>
    <w:rsid w:val="00E96152"/>
    <w:rsid w:val="00E96A1A"/>
    <w:rsid w:val="00E97FE9"/>
    <w:rsid w:val="00EA1072"/>
    <w:rsid w:val="00EA1212"/>
    <w:rsid w:val="00EA1263"/>
    <w:rsid w:val="00EA18D7"/>
    <w:rsid w:val="00EA234E"/>
    <w:rsid w:val="00EA2953"/>
    <w:rsid w:val="00EA2AB7"/>
    <w:rsid w:val="00EA2C23"/>
    <w:rsid w:val="00EA2C5A"/>
    <w:rsid w:val="00EA3147"/>
    <w:rsid w:val="00EA31CB"/>
    <w:rsid w:val="00EA37EA"/>
    <w:rsid w:val="00EA4AAB"/>
    <w:rsid w:val="00EA5687"/>
    <w:rsid w:val="00EA5869"/>
    <w:rsid w:val="00EA670A"/>
    <w:rsid w:val="00EA6A54"/>
    <w:rsid w:val="00EA7558"/>
    <w:rsid w:val="00EA7B97"/>
    <w:rsid w:val="00EA7FC8"/>
    <w:rsid w:val="00EB1291"/>
    <w:rsid w:val="00EB1B28"/>
    <w:rsid w:val="00EB1F83"/>
    <w:rsid w:val="00EB2D8C"/>
    <w:rsid w:val="00EB4A04"/>
    <w:rsid w:val="00EB588B"/>
    <w:rsid w:val="00EB5C1E"/>
    <w:rsid w:val="00EB6195"/>
    <w:rsid w:val="00EB6C2B"/>
    <w:rsid w:val="00EB6DAC"/>
    <w:rsid w:val="00EB6E24"/>
    <w:rsid w:val="00EB772E"/>
    <w:rsid w:val="00EB7D88"/>
    <w:rsid w:val="00EB7F76"/>
    <w:rsid w:val="00EC0526"/>
    <w:rsid w:val="00EC055F"/>
    <w:rsid w:val="00EC0765"/>
    <w:rsid w:val="00EC0DA3"/>
    <w:rsid w:val="00EC0E71"/>
    <w:rsid w:val="00EC13CC"/>
    <w:rsid w:val="00EC14EA"/>
    <w:rsid w:val="00EC3876"/>
    <w:rsid w:val="00EC39E2"/>
    <w:rsid w:val="00EC5080"/>
    <w:rsid w:val="00EC51ED"/>
    <w:rsid w:val="00EC57FC"/>
    <w:rsid w:val="00EC5927"/>
    <w:rsid w:val="00EC59B8"/>
    <w:rsid w:val="00EC5E92"/>
    <w:rsid w:val="00EC617C"/>
    <w:rsid w:val="00EC6D2B"/>
    <w:rsid w:val="00EC765B"/>
    <w:rsid w:val="00EC7922"/>
    <w:rsid w:val="00EC7AF7"/>
    <w:rsid w:val="00ED0326"/>
    <w:rsid w:val="00ED100D"/>
    <w:rsid w:val="00ED16C2"/>
    <w:rsid w:val="00ED24F0"/>
    <w:rsid w:val="00ED252C"/>
    <w:rsid w:val="00ED2554"/>
    <w:rsid w:val="00ED282B"/>
    <w:rsid w:val="00ED2E20"/>
    <w:rsid w:val="00ED385F"/>
    <w:rsid w:val="00ED5984"/>
    <w:rsid w:val="00ED6522"/>
    <w:rsid w:val="00ED6694"/>
    <w:rsid w:val="00ED70B7"/>
    <w:rsid w:val="00ED71CF"/>
    <w:rsid w:val="00ED74B1"/>
    <w:rsid w:val="00ED7936"/>
    <w:rsid w:val="00ED7E6E"/>
    <w:rsid w:val="00EE0F55"/>
    <w:rsid w:val="00EE1199"/>
    <w:rsid w:val="00EE1832"/>
    <w:rsid w:val="00EE1A8F"/>
    <w:rsid w:val="00EE243D"/>
    <w:rsid w:val="00EE41E5"/>
    <w:rsid w:val="00EE475E"/>
    <w:rsid w:val="00EE47B2"/>
    <w:rsid w:val="00EE49B8"/>
    <w:rsid w:val="00EE4FDC"/>
    <w:rsid w:val="00EE67F2"/>
    <w:rsid w:val="00EE6CEE"/>
    <w:rsid w:val="00EE6D57"/>
    <w:rsid w:val="00EE7119"/>
    <w:rsid w:val="00EE7849"/>
    <w:rsid w:val="00EE7878"/>
    <w:rsid w:val="00EE7A00"/>
    <w:rsid w:val="00EE7CC1"/>
    <w:rsid w:val="00EF0500"/>
    <w:rsid w:val="00EF058F"/>
    <w:rsid w:val="00EF0CB1"/>
    <w:rsid w:val="00EF0D34"/>
    <w:rsid w:val="00EF0E24"/>
    <w:rsid w:val="00EF0F59"/>
    <w:rsid w:val="00EF20A6"/>
    <w:rsid w:val="00EF3125"/>
    <w:rsid w:val="00EF36DD"/>
    <w:rsid w:val="00EF421F"/>
    <w:rsid w:val="00EF442B"/>
    <w:rsid w:val="00EF4712"/>
    <w:rsid w:val="00EF4B04"/>
    <w:rsid w:val="00EF4E10"/>
    <w:rsid w:val="00EF5B50"/>
    <w:rsid w:val="00EF630D"/>
    <w:rsid w:val="00EF6B79"/>
    <w:rsid w:val="00EF7D99"/>
    <w:rsid w:val="00F0003C"/>
    <w:rsid w:val="00F00212"/>
    <w:rsid w:val="00F0094E"/>
    <w:rsid w:val="00F01AB5"/>
    <w:rsid w:val="00F02B30"/>
    <w:rsid w:val="00F02F49"/>
    <w:rsid w:val="00F030D4"/>
    <w:rsid w:val="00F03443"/>
    <w:rsid w:val="00F042F4"/>
    <w:rsid w:val="00F047EB"/>
    <w:rsid w:val="00F04854"/>
    <w:rsid w:val="00F051FC"/>
    <w:rsid w:val="00F0534C"/>
    <w:rsid w:val="00F05782"/>
    <w:rsid w:val="00F057C9"/>
    <w:rsid w:val="00F057DE"/>
    <w:rsid w:val="00F05CE8"/>
    <w:rsid w:val="00F06A0B"/>
    <w:rsid w:val="00F0719E"/>
    <w:rsid w:val="00F07D7B"/>
    <w:rsid w:val="00F106D9"/>
    <w:rsid w:val="00F10EC5"/>
    <w:rsid w:val="00F12B15"/>
    <w:rsid w:val="00F12C54"/>
    <w:rsid w:val="00F12F60"/>
    <w:rsid w:val="00F1327D"/>
    <w:rsid w:val="00F139AE"/>
    <w:rsid w:val="00F13A75"/>
    <w:rsid w:val="00F13ADA"/>
    <w:rsid w:val="00F14913"/>
    <w:rsid w:val="00F14B74"/>
    <w:rsid w:val="00F154B9"/>
    <w:rsid w:val="00F15B89"/>
    <w:rsid w:val="00F15C5C"/>
    <w:rsid w:val="00F16183"/>
    <w:rsid w:val="00F16D80"/>
    <w:rsid w:val="00F1788F"/>
    <w:rsid w:val="00F20018"/>
    <w:rsid w:val="00F20832"/>
    <w:rsid w:val="00F2099C"/>
    <w:rsid w:val="00F20C2D"/>
    <w:rsid w:val="00F22444"/>
    <w:rsid w:val="00F2332C"/>
    <w:rsid w:val="00F237D1"/>
    <w:rsid w:val="00F23FF9"/>
    <w:rsid w:val="00F240B3"/>
    <w:rsid w:val="00F25582"/>
    <w:rsid w:val="00F26FB8"/>
    <w:rsid w:val="00F278C9"/>
    <w:rsid w:val="00F27B11"/>
    <w:rsid w:val="00F3004F"/>
    <w:rsid w:val="00F308CC"/>
    <w:rsid w:val="00F3152E"/>
    <w:rsid w:val="00F31580"/>
    <w:rsid w:val="00F31D5A"/>
    <w:rsid w:val="00F31D9A"/>
    <w:rsid w:val="00F32A39"/>
    <w:rsid w:val="00F32B6F"/>
    <w:rsid w:val="00F32BB8"/>
    <w:rsid w:val="00F34CAC"/>
    <w:rsid w:val="00F35334"/>
    <w:rsid w:val="00F3540F"/>
    <w:rsid w:val="00F35D86"/>
    <w:rsid w:val="00F364B6"/>
    <w:rsid w:val="00F366BB"/>
    <w:rsid w:val="00F369AC"/>
    <w:rsid w:val="00F36C4B"/>
    <w:rsid w:val="00F37666"/>
    <w:rsid w:val="00F37E44"/>
    <w:rsid w:val="00F4010D"/>
    <w:rsid w:val="00F406A0"/>
    <w:rsid w:val="00F40710"/>
    <w:rsid w:val="00F40CAE"/>
    <w:rsid w:val="00F4119E"/>
    <w:rsid w:val="00F41238"/>
    <w:rsid w:val="00F4140F"/>
    <w:rsid w:val="00F4269A"/>
    <w:rsid w:val="00F4406B"/>
    <w:rsid w:val="00F442D6"/>
    <w:rsid w:val="00F452E9"/>
    <w:rsid w:val="00F4583F"/>
    <w:rsid w:val="00F45E2C"/>
    <w:rsid w:val="00F46670"/>
    <w:rsid w:val="00F466EE"/>
    <w:rsid w:val="00F47A6A"/>
    <w:rsid w:val="00F50492"/>
    <w:rsid w:val="00F50887"/>
    <w:rsid w:val="00F51A1D"/>
    <w:rsid w:val="00F520E2"/>
    <w:rsid w:val="00F523C7"/>
    <w:rsid w:val="00F5266D"/>
    <w:rsid w:val="00F5325B"/>
    <w:rsid w:val="00F53518"/>
    <w:rsid w:val="00F536E0"/>
    <w:rsid w:val="00F5412E"/>
    <w:rsid w:val="00F542D5"/>
    <w:rsid w:val="00F549D2"/>
    <w:rsid w:val="00F54DDC"/>
    <w:rsid w:val="00F55315"/>
    <w:rsid w:val="00F554D4"/>
    <w:rsid w:val="00F5656B"/>
    <w:rsid w:val="00F56A47"/>
    <w:rsid w:val="00F5713C"/>
    <w:rsid w:val="00F571E2"/>
    <w:rsid w:val="00F57B97"/>
    <w:rsid w:val="00F57DB1"/>
    <w:rsid w:val="00F6030B"/>
    <w:rsid w:val="00F61F58"/>
    <w:rsid w:val="00F62336"/>
    <w:rsid w:val="00F62551"/>
    <w:rsid w:val="00F63032"/>
    <w:rsid w:val="00F63C5F"/>
    <w:rsid w:val="00F6470D"/>
    <w:rsid w:val="00F6491C"/>
    <w:rsid w:val="00F649BB"/>
    <w:rsid w:val="00F64CA6"/>
    <w:rsid w:val="00F64CF1"/>
    <w:rsid w:val="00F64DA8"/>
    <w:rsid w:val="00F65C7A"/>
    <w:rsid w:val="00F6683B"/>
    <w:rsid w:val="00F66AB4"/>
    <w:rsid w:val="00F673DD"/>
    <w:rsid w:val="00F6765F"/>
    <w:rsid w:val="00F703ED"/>
    <w:rsid w:val="00F70466"/>
    <w:rsid w:val="00F70761"/>
    <w:rsid w:val="00F708E8"/>
    <w:rsid w:val="00F70BA4"/>
    <w:rsid w:val="00F70DBC"/>
    <w:rsid w:val="00F70F5E"/>
    <w:rsid w:val="00F71D9E"/>
    <w:rsid w:val="00F71F13"/>
    <w:rsid w:val="00F7277E"/>
    <w:rsid w:val="00F72C6B"/>
    <w:rsid w:val="00F73BD4"/>
    <w:rsid w:val="00F73D8F"/>
    <w:rsid w:val="00F73E5D"/>
    <w:rsid w:val="00F749D7"/>
    <w:rsid w:val="00F7687F"/>
    <w:rsid w:val="00F76DED"/>
    <w:rsid w:val="00F77119"/>
    <w:rsid w:val="00F77517"/>
    <w:rsid w:val="00F80762"/>
    <w:rsid w:val="00F8076E"/>
    <w:rsid w:val="00F8084B"/>
    <w:rsid w:val="00F808C7"/>
    <w:rsid w:val="00F81AFB"/>
    <w:rsid w:val="00F81B75"/>
    <w:rsid w:val="00F81D7D"/>
    <w:rsid w:val="00F82833"/>
    <w:rsid w:val="00F830BE"/>
    <w:rsid w:val="00F833AC"/>
    <w:rsid w:val="00F833FD"/>
    <w:rsid w:val="00F838B6"/>
    <w:rsid w:val="00F83B7E"/>
    <w:rsid w:val="00F83E1D"/>
    <w:rsid w:val="00F846E1"/>
    <w:rsid w:val="00F846E5"/>
    <w:rsid w:val="00F85F30"/>
    <w:rsid w:val="00F86990"/>
    <w:rsid w:val="00F86B32"/>
    <w:rsid w:val="00F871E2"/>
    <w:rsid w:val="00F874B3"/>
    <w:rsid w:val="00F87C85"/>
    <w:rsid w:val="00F87E38"/>
    <w:rsid w:val="00F901E3"/>
    <w:rsid w:val="00F902FB"/>
    <w:rsid w:val="00F905CB"/>
    <w:rsid w:val="00F90849"/>
    <w:rsid w:val="00F91D98"/>
    <w:rsid w:val="00F91DB1"/>
    <w:rsid w:val="00F91E45"/>
    <w:rsid w:val="00F91E6E"/>
    <w:rsid w:val="00F92581"/>
    <w:rsid w:val="00F92762"/>
    <w:rsid w:val="00F92FB8"/>
    <w:rsid w:val="00F93466"/>
    <w:rsid w:val="00F93946"/>
    <w:rsid w:val="00F94474"/>
    <w:rsid w:val="00F94BD9"/>
    <w:rsid w:val="00F94E04"/>
    <w:rsid w:val="00F95182"/>
    <w:rsid w:val="00F95AC7"/>
    <w:rsid w:val="00F96017"/>
    <w:rsid w:val="00F967CA"/>
    <w:rsid w:val="00F96A86"/>
    <w:rsid w:val="00F96AA8"/>
    <w:rsid w:val="00F96F26"/>
    <w:rsid w:val="00F975DE"/>
    <w:rsid w:val="00F9790A"/>
    <w:rsid w:val="00F97E5B"/>
    <w:rsid w:val="00F97EAE"/>
    <w:rsid w:val="00FA044A"/>
    <w:rsid w:val="00FA19C5"/>
    <w:rsid w:val="00FA1D62"/>
    <w:rsid w:val="00FA1DE9"/>
    <w:rsid w:val="00FA2559"/>
    <w:rsid w:val="00FA298F"/>
    <w:rsid w:val="00FA3195"/>
    <w:rsid w:val="00FA31AB"/>
    <w:rsid w:val="00FA5397"/>
    <w:rsid w:val="00FA5B26"/>
    <w:rsid w:val="00FA6E61"/>
    <w:rsid w:val="00FA7520"/>
    <w:rsid w:val="00FA777F"/>
    <w:rsid w:val="00FA7A2E"/>
    <w:rsid w:val="00FA7A4B"/>
    <w:rsid w:val="00FA7AF0"/>
    <w:rsid w:val="00FB080C"/>
    <w:rsid w:val="00FB128B"/>
    <w:rsid w:val="00FB1A59"/>
    <w:rsid w:val="00FB1BC9"/>
    <w:rsid w:val="00FB1D2A"/>
    <w:rsid w:val="00FB22C4"/>
    <w:rsid w:val="00FB24F3"/>
    <w:rsid w:val="00FB2637"/>
    <w:rsid w:val="00FB2779"/>
    <w:rsid w:val="00FB292D"/>
    <w:rsid w:val="00FB2973"/>
    <w:rsid w:val="00FB3189"/>
    <w:rsid w:val="00FB34DC"/>
    <w:rsid w:val="00FB4558"/>
    <w:rsid w:val="00FB4A9E"/>
    <w:rsid w:val="00FB6097"/>
    <w:rsid w:val="00FB6574"/>
    <w:rsid w:val="00FB66BA"/>
    <w:rsid w:val="00FB7197"/>
    <w:rsid w:val="00FB7653"/>
    <w:rsid w:val="00FB7812"/>
    <w:rsid w:val="00FB78D4"/>
    <w:rsid w:val="00FB7B46"/>
    <w:rsid w:val="00FC0370"/>
    <w:rsid w:val="00FC0D61"/>
    <w:rsid w:val="00FC1717"/>
    <w:rsid w:val="00FC1C3D"/>
    <w:rsid w:val="00FC27AA"/>
    <w:rsid w:val="00FC3855"/>
    <w:rsid w:val="00FC3DED"/>
    <w:rsid w:val="00FC477C"/>
    <w:rsid w:val="00FC4900"/>
    <w:rsid w:val="00FC500C"/>
    <w:rsid w:val="00FC535C"/>
    <w:rsid w:val="00FC6434"/>
    <w:rsid w:val="00FC683A"/>
    <w:rsid w:val="00FC6F53"/>
    <w:rsid w:val="00FC741B"/>
    <w:rsid w:val="00FC77E6"/>
    <w:rsid w:val="00FC7DF7"/>
    <w:rsid w:val="00FD0A27"/>
    <w:rsid w:val="00FD0E25"/>
    <w:rsid w:val="00FD1300"/>
    <w:rsid w:val="00FD1B09"/>
    <w:rsid w:val="00FD21CD"/>
    <w:rsid w:val="00FD2860"/>
    <w:rsid w:val="00FD3986"/>
    <w:rsid w:val="00FD4256"/>
    <w:rsid w:val="00FD5D62"/>
    <w:rsid w:val="00FD6050"/>
    <w:rsid w:val="00FD6539"/>
    <w:rsid w:val="00FD6EA7"/>
    <w:rsid w:val="00FD7D12"/>
    <w:rsid w:val="00FE0640"/>
    <w:rsid w:val="00FE065A"/>
    <w:rsid w:val="00FE108A"/>
    <w:rsid w:val="00FE1D1D"/>
    <w:rsid w:val="00FE2DD0"/>
    <w:rsid w:val="00FE2E45"/>
    <w:rsid w:val="00FE2FAC"/>
    <w:rsid w:val="00FE3023"/>
    <w:rsid w:val="00FE302C"/>
    <w:rsid w:val="00FE30F5"/>
    <w:rsid w:val="00FE332E"/>
    <w:rsid w:val="00FE33C3"/>
    <w:rsid w:val="00FE4541"/>
    <w:rsid w:val="00FE5738"/>
    <w:rsid w:val="00FE5799"/>
    <w:rsid w:val="00FE5E59"/>
    <w:rsid w:val="00FE5F48"/>
    <w:rsid w:val="00FE62E0"/>
    <w:rsid w:val="00FE66FF"/>
    <w:rsid w:val="00FE68CC"/>
    <w:rsid w:val="00FE6DD0"/>
    <w:rsid w:val="00FE762D"/>
    <w:rsid w:val="00FE7846"/>
    <w:rsid w:val="00FE78F8"/>
    <w:rsid w:val="00FF0ABF"/>
    <w:rsid w:val="00FF0D21"/>
    <w:rsid w:val="00FF1903"/>
    <w:rsid w:val="00FF3883"/>
    <w:rsid w:val="00FF3C01"/>
    <w:rsid w:val="00FF3D34"/>
    <w:rsid w:val="00FF431E"/>
    <w:rsid w:val="00FF4E32"/>
    <w:rsid w:val="00FF605A"/>
    <w:rsid w:val="00FF650D"/>
    <w:rsid w:val="00FF6FAB"/>
    <w:rsid w:val="00FF714F"/>
    <w:rsid w:val="00FF7662"/>
    <w:rsid w:val="107FB1FC"/>
    <w:rsid w:val="1FC852BA"/>
    <w:rsid w:val="1FE4DEB3"/>
    <w:rsid w:val="261272E4"/>
    <w:rsid w:val="4037C74A"/>
    <w:rsid w:val="5325CD0D"/>
    <w:rsid w:val="57931E52"/>
    <w:rsid w:val="619A3C95"/>
    <w:rsid w:val="653A650F"/>
    <w:rsid w:val="73E94847"/>
    <w:rsid w:val="74F33312"/>
    <w:rsid w:val="7B817B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D9E3D"/>
  <w15:chartTrackingRefBased/>
  <w15:docId w15:val="{B1B7999F-00DD-4D0D-A902-7D3C04D3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2" w:unhideWhenUsed="1" w:qFormat="1"/>
    <w:lsdException w:name="heading 3" w:semiHidden="1" w:uiPriority="2"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iPriority="98"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unhideWhenUsed="1" w:qFormat="1"/>
    <w:lsdException w:name="table of figures" w:semiHidden="1" w:uiPriority="98"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iPriority="14" w:unhideWhenUsed="1"/>
    <w:lsdException w:name="endnote reference" w:semiHidden="1" w:unhideWhenUsed="1"/>
    <w:lsdException w:name="endnote text" w:semiHidden="1" w:uiPriority="98"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98" w:unhideWhenUsed="1" w:qFormat="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iPriority="1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8" w:unhideWhenUsed="1"/>
    <w:lsdException w:name="Plain Text" w:semiHidden="1" w:uiPriority="98"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98"/>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98"/>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051F"/>
  </w:style>
  <w:style w:type="paragraph" w:styleId="Heading1">
    <w:name w:val="heading 1"/>
    <w:next w:val="ARbody"/>
    <w:link w:val="Heading1Char"/>
    <w:uiPriority w:val="4"/>
    <w:qFormat/>
    <w:rsid w:val="00A742C2"/>
    <w:pPr>
      <w:keepNext/>
      <w:keepLines/>
      <w:spacing w:after="480" w:line="480" w:lineRule="atLeast"/>
      <w:outlineLvl w:val="0"/>
    </w:pPr>
    <w:rPr>
      <w:rFonts w:ascii="Arial" w:eastAsia="MS Gothic" w:hAnsi="Arial" w:cs="Times New Roman"/>
      <w:bCs/>
      <w:color w:val="005D8F" w:themeColor="text2"/>
      <w:kern w:val="32"/>
      <w:sz w:val="48"/>
      <w:szCs w:val="64"/>
    </w:rPr>
  </w:style>
  <w:style w:type="paragraph" w:styleId="Heading2">
    <w:name w:val="heading 2"/>
    <w:next w:val="ARbody"/>
    <w:link w:val="Heading2Char"/>
    <w:uiPriority w:val="2"/>
    <w:qFormat/>
    <w:rsid w:val="00ED74B1"/>
    <w:pPr>
      <w:keepNext/>
      <w:keepLines/>
      <w:spacing w:after="240" w:line="480" w:lineRule="atLeast"/>
      <w:outlineLvl w:val="1"/>
    </w:pPr>
    <w:rPr>
      <w:rFonts w:ascii="Arial" w:eastAsia="MS Gothic" w:hAnsi="Arial" w:cs="Times New Roman"/>
      <w:bCs/>
      <w:iCs/>
      <w:color w:val="53565A" w:themeColor="accent2"/>
      <w:sz w:val="44"/>
      <w:szCs w:val="40"/>
    </w:rPr>
  </w:style>
  <w:style w:type="paragraph" w:styleId="Heading3">
    <w:name w:val="heading 3"/>
    <w:next w:val="ARbody"/>
    <w:link w:val="Heading3Char"/>
    <w:uiPriority w:val="2"/>
    <w:qFormat/>
    <w:rsid w:val="003D14FF"/>
    <w:pPr>
      <w:keepNext/>
      <w:keepLines/>
      <w:spacing w:before="280" w:after="80" w:line="280" w:lineRule="atLeast"/>
      <w:outlineLvl w:val="2"/>
    </w:pPr>
    <w:rPr>
      <w:rFonts w:ascii="Arial" w:eastAsia="MS Gothic" w:hAnsi="Arial" w:cs="Times New Roman"/>
      <w:bCs/>
      <w:color w:val="005D8F" w:themeColor="text2"/>
      <w:sz w:val="32"/>
      <w:szCs w:val="24"/>
      <w:lang w:eastAsia="en-AU"/>
    </w:rPr>
  </w:style>
  <w:style w:type="paragraph" w:styleId="Heading4">
    <w:name w:val="heading 4"/>
    <w:next w:val="ARbody"/>
    <w:link w:val="Heading4Char"/>
    <w:uiPriority w:val="4"/>
    <w:qFormat/>
    <w:rsid w:val="00410CB6"/>
    <w:pPr>
      <w:keepNext/>
      <w:keepLines/>
      <w:spacing w:before="200" w:after="80" w:line="240" w:lineRule="atLeast"/>
      <w:outlineLvl w:val="3"/>
    </w:pPr>
    <w:rPr>
      <w:rFonts w:ascii="Arial" w:eastAsia="MS Mincho" w:hAnsi="Arial" w:cs="Arial"/>
      <w:b/>
      <w:bCs/>
      <w:color w:val="53565A" w:themeColor="accent2"/>
      <w:sz w:val="24"/>
      <w:szCs w:val="24"/>
    </w:rPr>
  </w:style>
  <w:style w:type="paragraph" w:styleId="Heading5">
    <w:name w:val="heading 5"/>
    <w:next w:val="ARbody"/>
    <w:link w:val="Heading5Char"/>
    <w:uiPriority w:val="4"/>
    <w:qFormat/>
    <w:rsid w:val="005B39AF"/>
    <w:pPr>
      <w:keepNext/>
      <w:keepLines/>
      <w:spacing w:before="240" w:after="80" w:line="260" w:lineRule="atLeast"/>
      <w:outlineLvl w:val="4"/>
    </w:pPr>
    <w:rPr>
      <w:rFonts w:ascii="Arial" w:eastAsia="Times New Roman" w:hAnsi="Arial" w:cs="Times New Roman"/>
      <w:b/>
      <w:color w:val="005D8F" w:themeColor="text2"/>
      <w:szCs w:val="24"/>
    </w:rPr>
  </w:style>
  <w:style w:type="paragraph" w:styleId="Heading6">
    <w:name w:val="heading 6"/>
    <w:basedOn w:val="Normal"/>
    <w:next w:val="Normal"/>
    <w:link w:val="Heading6Char"/>
    <w:uiPriority w:val="4"/>
    <w:qFormat/>
    <w:rsid w:val="0081234A"/>
    <w:pPr>
      <w:keepNext/>
      <w:keepLines/>
      <w:overflowPunct w:val="0"/>
      <w:autoSpaceDE w:val="0"/>
      <w:autoSpaceDN w:val="0"/>
      <w:adjustRightInd w:val="0"/>
      <w:spacing w:before="240" w:after="80" w:line="240" w:lineRule="auto"/>
      <w:textAlignment w:val="baseline"/>
      <w:outlineLvl w:val="5"/>
    </w:pPr>
    <w:rPr>
      <w:rFonts w:ascii="Arial" w:eastAsia="Times New Roman" w:hAnsi="Arial" w:cs="Times New Roman"/>
      <w:b/>
      <w:bCs/>
      <w:sz w:val="20"/>
      <w:szCs w:val="24"/>
      <w:lang w:val="x-none"/>
    </w:rPr>
  </w:style>
  <w:style w:type="paragraph" w:styleId="Heading7">
    <w:name w:val="heading 7"/>
    <w:basedOn w:val="Normal"/>
    <w:next w:val="Normal"/>
    <w:link w:val="Heading7Char"/>
    <w:uiPriority w:val="4"/>
    <w:qFormat/>
    <w:rsid w:val="0081234A"/>
    <w:pPr>
      <w:keepNext/>
      <w:keepLines/>
      <w:spacing w:before="180" w:after="60" w:line="240" w:lineRule="auto"/>
      <w:outlineLvl w:val="6"/>
    </w:pPr>
    <w:rPr>
      <w:rFonts w:ascii="Arial" w:eastAsiaTheme="majorEastAsia" w:hAnsi="Arial" w:cstheme="majorBidi"/>
      <w:b/>
      <w:iCs/>
      <w:color w:val="53565A"/>
      <w:sz w:val="20"/>
      <w:szCs w:val="21"/>
      <w:lang w:eastAsia="en-AU"/>
    </w:rPr>
  </w:style>
  <w:style w:type="paragraph" w:styleId="Heading8">
    <w:name w:val="heading 8"/>
    <w:basedOn w:val="Normal"/>
    <w:next w:val="Normal"/>
    <w:link w:val="Heading8Char"/>
    <w:uiPriority w:val="4"/>
    <w:qFormat/>
    <w:rsid w:val="0081234A"/>
    <w:pPr>
      <w:keepNext/>
      <w:keepLines/>
      <w:spacing w:before="40" w:after="0" w:line="264" w:lineRule="auto"/>
      <w:outlineLvl w:val="7"/>
    </w:pPr>
    <w:rPr>
      <w:rFonts w:asciiTheme="majorHAnsi" w:eastAsiaTheme="majorEastAsia" w:hAnsiTheme="majorHAnsi" w:cstheme="majorBidi"/>
      <w:b/>
      <w:bCs/>
      <w:color w:val="005D8F" w:themeColor="text2"/>
      <w:sz w:val="20"/>
      <w:szCs w:val="20"/>
      <w:lang w:eastAsia="en-AU"/>
    </w:rPr>
  </w:style>
  <w:style w:type="paragraph" w:styleId="Heading9">
    <w:name w:val="heading 9"/>
    <w:basedOn w:val="Normal"/>
    <w:next w:val="Normal"/>
    <w:link w:val="Heading9Char"/>
    <w:uiPriority w:val="4"/>
    <w:qFormat/>
    <w:rsid w:val="0081234A"/>
    <w:pPr>
      <w:keepNext/>
      <w:keepLines/>
      <w:spacing w:before="40" w:after="0" w:line="264" w:lineRule="auto"/>
      <w:outlineLvl w:val="8"/>
    </w:pPr>
    <w:rPr>
      <w:rFonts w:asciiTheme="majorHAnsi" w:eastAsiaTheme="majorEastAsia" w:hAnsiTheme="majorHAnsi" w:cstheme="majorBidi"/>
      <w:b/>
      <w:bCs/>
      <w:i/>
      <w:iCs/>
      <w:color w:val="005D8F" w:themeColor="text2"/>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2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34A"/>
  </w:style>
  <w:style w:type="paragraph" w:customStyle="1" w:styleId="ARheader">
    <w:name w:val="AR header"/>
    <w:basedOn w:val="Normal"/>
    <w:rsid w:val="0013600A"/>
    <w:pPr>
      <w:spacing w:after="0" w:line="264" w:lineRule="auto"/>
    </w:pPr>
    <w:rPr>
      <w:rFonts w:ascii="Arial" w:eastAsiaTheme="minorEastAsia" w:hAnsi="Arial"/>
      <w:b/>
      <w:bCs/>
      <w:color w:val="53565A"/>
      <w:sz w:val="18"/>
      <w:szCs w:val="24"/>
    </w:rPr>
  </w:style>
  <w:style w:type="character" w:customStyle="1" w:styleId="Heading1Char">
    <w:name w:val="Heading 1 Char"/>
    <w:basedOn w:val="DefaultParagraphFont"/>
    <w:link w:val="Heading1"/>
    <w:uiPriority w:val="4"/>
    <w:rsid w:val="00A742C2"/>
    <w:rPr>
      <w:rFonts w:ascii="Arial" w:eastAsia="MS Gothic" w:hAnsi="Arial" w:cs="Times New Roman"/>
      <w:bCs/>
      <w:color w:val="005D8F" w:themeColor="text2"/>
      <w:kern w:val="32"/>
      <w:sz w:val="48"/>
      <w:szCs w:val="64"/>
    </w:rPr>
  </w:style>
  <w:style w:type="character" w:customStyle="1" w:styleId="Heading2Char">
    <w:name w:val="Heading 2 Char"/>
    <w:basedOn w:val="DefaultParagraphFont"/>
    <w:link w:val="Heading2"/>
    <w:uiPriority w:val="2"/>
    <w:rsid w:val="00C43BD3"/>
    <w:rPr>
      <w:rFonts w:ascii="Arial" w:eastAsia="MS Gothic" w:hAnsi="Arial" w:cs="Times New Roman"/>
      <w:bCs/>
      <w:iCs/>
      <w:color w:val="53565A" w:themeColor="accent2"/>
      <w:sz w:val="44"/>
      <w:szCs w:val="40"/>
    </w:rPr>
  </w:style>
  <w:style w:type="character" w:customStyle="1" w:styleId="Heading3Char">
    <w:name w:val="Heading 3 Char"/>
    <w:basedOn w:val="DefaultParagraphFont"/>
    <w:link w:val="Heading3"/>
    <w:uiPriority w:val="2"/>
    <w:rsid w:val="003D14FF"/>
    <w:rPr>
      <w:rFonts w:ascii="Arial" w:eastAsia="MS Gothic" w:hAnsi="Arial" w:cs="Times New Roman"/>
      <w:bCs/>
      <w:color w:val="005D8F" w:themeColor="text2"/>
      <w:sz w:val="32"/>
      <w:szCs w:val="24"/>
      <w:lang w:eastAsia="en-AU"/>
    </w:rPr>
  </w:style>
  <w:style w:type="character" w:customStyle="1" w:styleId="Heading4Char">
    <w:name w:val="Heading 4 Char"/>
    <w:basedOn w:val="DefaultParagraphFont"/>
    <w:link w:val="Heading4"/>
    <w:uiPriority w:val="4"/>
    <w:rsid w:val="00C43BD3"/>
    <w:rPr>
      <w:rFonts w:ascii="Arial" w:eastAsia="MS Mincho" w:hAnsi="Arial" w:cs="Arial"/>
      <w:b/>
      <w:bCs/>
      <w:color w:val="53565A" w:themeColor="accent2"/>
      <w:sz w:val="24"/>
      <w:szCs w:val="24"/>
    </w:rPr>
  </w:style>
  <w:style w:type="character" w:customStyle="1" w:styleId="Heading5Char">
    <w:name w:val="Heading 5 Char"/>
    <w:basedOn w:val="DefaultParagraphFont"/>
    <w:link w:val="Heading5"/>
    <w:uiPriority w:val="4"/>
    <w:rsid w:val="005B39AF"/>
    <w:rPr>
      <w:rFonts w:ascii="Arial" w:eastAsia="Times New Roman" w:hAnsi="Arial" w:cs="Times New Roman"/>
      <w:b/>
      <w:color w:val="005D8F" w:themeColor="text2"/>
      <w:szCs w:val="24"/>
    </w:rPr>
  </w:style>
  <w:style w:type="character" w:customStyle="1" w:styleId="Heading6Char">
    <w:name w:val="Heading 6 Char"/>
    <w:basedOn w:val="DefaultParagraphFont"/>
    <w:link w:val="Heading6"/>
    <w:uiPriority w:val="4"/>
    <w:rsid w:val="00C43BD3"/>
    <w:rPr>
      <w:rFonts w:ascii="Arial" w:eastAsia="Times New Roman" w:hAnsi="Arial" w:cs="Times New Roman"/>
      <w:b/>
      <w:bCs/>
      <w:sz w:val="20"/>
      <w:szCs w:val="24"/>
      <w:lang w:val="x-none"/>
    </w:rPr>
  </w:style>
  <w:style w:type="character" w:customStyle="1" w:styleId="Heading7Char">
    <w:name w:val="Heading 7 Char"/>
    <w:basedOn w:val="DefaultParagraphFont"/>
    <w:link w:val="Heading7"/>
    <w:uiPriority w:val="4"/>
    <w:rsid w:val="00C43BD3"/>
    <w:rPr>
      <w:rFonts w:ascii="Arial" w:eastAsiaTheme="majorEastAsia" w:hAnsi="Arial" w:cstheme="majorBidi"/>
      <w:b/>
      <w:iCs/>
      <w:color w:val="53565A"/>
      <w:sz w:val="20"/>
      <w:szCs w:val="21"/>
      <w:lang w:eastAsia="en-AU"/>
    </w:rPr>
  </w:style>
  <w:style w:type="character" w:customStyle="1" w:styleId="Heading8Char">
    <w:name w:val="Heading 8 Char"/>
    <w:basedOn w:val="DefaultParagraphFont"/>
    <w:link w:val="Heading8"/>
    <w:uiPriority w:val="4"/>
    <w:rsid w:val="007F7E54"/>
    <w:rPr>
      <w:rFonts w:asciiTheme="majorHAnsi" w:eastAsiaTheme="majorEastAsia" w:hAnsiTheme="majorHAnsi" w:cstheme="majorBidi"/>
      <w:b/>
      <w:bCs/>
      <w:color w:val="005D8F" w:themeColor="text2"/>
      <w:sz w:val="20"/>
      <w:szCs w:val="20"/>
      <w:lang w:eastAsia="en-AU"/>
    </w:rPr>
  </w:style>
  <w:style w:type="character" w:customStyle="1" w:styleId="Heading9Char">
    <w:name w:val="Heading 9 Char"/>
    <w:basedOn w:val="DefaultParagraphFont"/>
    <w:link w:val="Heading9"/>
    <w:uiPriority w:val="4"/>
    <w:rsid w:val="007F7E54"/>
    <w:rPr>
      <w:rFonts w:asciiTheme="majorHAnsi" w:eastAsiaTheme="majorEastAsia" w:hAnsiTheme="majorHAnsi" w:cstheme="majorBidi"/>
      <w:b/>
      <w:bCs/>
      <w:i/>
      <w:iCs/>
      <w:color w:val="005D8F" w:themeColor="text2"/>
      <w:sz w:val="20"/>
      <w:szCs w:val="20"/>
      <w:lang w:eastAsia="en-AU"/>
    </w:rPr>
  </w:style>
  <w:style w:type="character" w:styleId="Hyperlink">
    <w:name w:val="Hyperlink"/>
    <w:uiPriority w:val="99"/>
    <w:rsid w:val="0081234A"/>
    <w:rPr>
      <w:color w:val="0072CE"/>
      <w:u w:val="dotted"/>
    </w:rPr>
  </w:style>
  <w:style w:type="paragraph" w:customStyle="1" w:styleId="ARaccessibilitypara">
    <w:name w:val="AR accessibility para"/>
    <w:uiPriority w:val="3"/>
    <w:rsid w:val="0081234A"/>
    <w:pPr>
      <w:spacing w:after="200" w:line="300" w:lineRule="atLeast"/>
    </w:pPr>
    <w:rPr>
      <w:rFonts w:ascii="Arial" w:eastAsia="Times" w:hAnsi="Arial"/>
      <w:sz w:val="24"/>
      <w:szCs w:val="19"/>
    </w:rPr>
  </w:style>
  <w:style w:type="paragraph" w:customStyle="1" w:styleId="ARbody">
    <w:name w:val="AR body"/>
    <w:uiPriority w:val="99"/>
    <w:qFormat/>
    <w:rsid w:val="0081234A"/>
    <w:pPr>
      <w:spacing w:after="120" w:line="260" w:lineRule="atLeast"/>
    </w:pPr>
    <w:rPr>
      <w:rFonts w:ascii="Arial" w:eastAsia="Times" w:hAnsi="Arial" w:cs="Arial"/>
      <w:sz w:val="20"/>
      <w:szCs w:val="24"/>
    </w:rPr>
  </w:style>
  <w:style w:type="character" w:styleId="Strong">
    <w:name w:val="Strong"/>
    <w:basedOn w:val="DefaultParagraphFont"/>
    <w:uiPriority w:val="22"/>
    <w:qFormat/>
    <w:rsid w:val="0081234A"/>
    <w:rPr>
      <w:b/>
      <w:bCs/>
    </w:rPr>
  </w:style>
  <w:style w:type="paragraph" w:styleId="BalloonText">
    <w:name w:val="Balloon Text"/>
    <w:basedOn w:val="Normal"/>
    <w:link w:val="BalloonTextChar"/>
    <w:uiPriority w:val="98"/>
    <w:semiHidden/>
    <w:rsid w:val="00812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8"/>
    <w:semiHidden/>
    <w:rsid w:val="0081234A"/>
    <w:rPr>
      <w:rFonts w:ascii="Segoe UI" w:hAnsi="Segoe UI" w:cs="Segoe UI"/>
      <w:sz w:val="18"/>
      <w:szCs w:val="18"/>
    </w:rPr>
  </w:style>
  <w:style w:type="paragraph" w:customStyle="1" w:styleId="ARbodynospace">
    <w:name w:val="AR body no space"/>
    <w:basedOn w:val="ARbody"/>
    <w:qFormat/>
    <w:rsid w:val="0081234A"/>
    <w:pPr>
      <w:spacing w:after="0"/>
    </w:pPr>
  </w:style>
  <w:style w:type="paragraph" w:customStyle="1" w:styleId="ARbodyaftertable">
    <w:name w:val="AR body after table"/>
    <w:basedOn w:val="ARbody"/>
    <w:qFormat/>
    <w:rsid w:val="0081234A"/>
    <w:pPr>
      <w:spacing w:before="240"/>
    </w:pPr>
  </w:style>
  <w:style w:type="paragraph" w:styleId="TOC1">
    <w:name w:val="toc 1"/>
    <w:uiPriority w:val="39"/>
    <w:qFormat/>
    <w:rsid w:val="00C86F88"/>
    <w:pPr>
      <w:pBdr>
        <w:bottom w:val="single" w:sz="4" w:space="3" w:color="005D8F" w:themeColor="text2"/>
        <w:between w:val="single" w:sz="4" w:space="1" w:color="005D8F" w:themeColor="text2"/>
      </w:pBdr>
      <w:tabs>
        <w:tab w:val="right" w:pos="9639"/>
      </w:tabs>
      <w:spacing w:before="120" w:after="40" w:line="264" w:lineRule="auto"/>
    </w:pPr>
    <w:rPr>
      <w:rFonts w:ascii="Arial" w:eastAsiaTheme="minorEastAsia" w:hAnsi="Arial"/>
      <w:noProof/>
      <w:sz w:val="20"/>
      <w:szCs w:val="20"/>
      <w:u w:color="D50032"/>
    </w:rPr>
  </w:style>
  <w:style w:type="paragraph" w:customStyle="1" w:styleId="ARTOCheading">
    <w:name w:val="AR TOC heading"/>
    <w:basedOn w:val="Heading1"/>
    <w:next w:val="ARbody"/>
    <w:link w:val="ARTOCheadingChar"/>
    <w:uiPriority w:val="3"/>
    <w:qFormat/>
    <w:rsid w:val="0081234A"/>
    <w:pPr>
      <w:outlineLvl w:val="9"/>
    </w:pPr>
    <w:rPr>
      <w:lang w:val="x-none" w:eastAsia="x-none"/>
    </w:rPr>
  </w:style>
  <w:style w:type="character" w:customStyle="1" w:styleId="ARTOCheadingChar">
    <w:name w:val="AR TOC heading Char"/>
    <w:link w:val="ARTOCheading"/>
    <w:uiPriority w:val="3"/>
    <w:rsid w:val="004F7554"/>
    <w:rPr>
      <w:rFonts w:ascii="Arial" w:eastAsia="MS Gothic" w:hAnsi="Arial" w:cs="Times New Roman"/>
      <w:bCs/>
      <w:color w:val="005D8F" w:themeColor="text2"/>
      <w:kern w:val="32"/>
      <w:sz w:val="48"/>
      <w:szCs w:val="64"/>
      <w:lang w:val="x-none" w:eastAsia="x-none"/>
    </w:rPr>
  </w:style>
  <w:style w:type="paragraph" w:customStyle="1" w:styleId="ARbodyafterbullets">
    <w:name w:val="AR body after bullets"/>
    <w:basedOn w:val="ARbody"/>
    <w:uiPriority w:val="3"/>
    <w:qFormat/>
    <w:rsid w:val="0081234A"/>
    <w:pPr>
      <w:spacing w:before="120"/>
    </w:pPr>
  </w:style>
  <w:style w:type="character" w:styleId="PageNumber">
    <w:name w:val="page number"/>
    <w:basedOn w:val="DefaultParagraphFont"/>
    <w:uiPriority w:val="14"/>
    <w:semiHidden/>
    <w:rsid w:val="0081234A"/>
    <w:rPr>
      <w:rFonts w:cs="Arial"/>
      <w:b w:val="0"/>
      <w:color w:val="53565A"/>
    </w:rPr>
  </w:style>
  <w:style w:type="paragraph" w:customStyle="1" w:styleId="ARbullet1">
    <w:name w:val="AR bullet 1"/>
    <w:basedOn w:val="Normal"/>
    <w:qFormat/>
    <w:rsid w:val="001D049B"/>
    <w:pPr>
      <w:numPr>
        <w:numId w:val="4"/>
      </w:numPr>
      <w:spacing w:after="40" w:line="260" w:lineRule="atLeast"/>
    </w:pPr>
    <w:rPr>
      <w:rFonts w:ascii="Arial" w:eastAsia="Times" w:hAnsi="Arial" w:cs="Arial"/>
      <w:sz w:val="20"/>
      <w:szCs w:val="24"/>
    </w:rPr>
  </w:style>
  <w:style w:type="paragraph" w:customStyle="1" w:styleId="ARbullet2">
    <w:name w:val="AR bullet 2"/>
    <w:basedOn w:val="Normal"/>
    <w:qFormat/>
    <w:rsid w:val="001D049B"/>
    <w:pPr>
      <w:numPr>
        <w:ilvl w:val="1"/>
        <w:numId w:val="4"/>
      </w:numPr>
      <w:spacing w:after="40" w:line="260" w:lineRule="atLeast"/>
    </w:pPr>
    <w:rPr>
      <w:rFonts w:ascii="Arial" w:eastAsia="Times" w:hAnsi="Arial" w:cs="Arial"/>
      <w:sz w:val="20"/>
      <w:szCs w:val="24"/>
    </w:rPr>
  </w:style>
  <w:style w:type="table" w:styleId="TableGrid">
    <w:name w:val="Table Grid"/>
    <w:basedOn w:val="TableNormal"/>
    <w:rsid w:val="0081234A"/>
    <w:pPr>
      <w:spacing w:after="120" w:line="264" w:lineRule="auto"/>
    </w:pPr>
    <w:rPr>
      <w:rFonts w:eastAsiaTheme="minorEastAsia"/>
      <w:sz w:val="20"/>
      <w:szCs w:val="20"/>
      <w:lang w:eastAsia="en-AU"/>
    </w:rPr>
    <w:tblPr>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Pr>
    <w:trPr>
      <w:cantSplit/>
    </w:trPr>
    <w:tblStylePr w:type="firstRow">
      <w:tblPr/>
      <w:trPr>
        <w:cantSplit w:val="0"/>
      </w:trPr>
      <w:tcPr>
        <w:vAlign w:val="bottom"/>
      </w:tcPr>
    </w:tblStylePr>
  </w:style>
  <w:style w:type="character" w:styleId="CommentReference">
    <w:name w:val="annotation reference"/>
    <w:uiPriority w:val="99"/>
    <w:semiHidden/>
    <w:unhideWhenUsed/>
    <w:rsid w:val="0081234A"/>
    <w:rPr>
      <w:sz w:val="16"/>
      <w:szCs w:val="16"/>
    </w:rPr>
  </w:style>
  <w:style w:type="paragraph" w:customStyle="1" w:styleId="ARnumberdigit">
    <w:name w:val="AR number digit"/>
    <w:basedOn w:val="Normal"/>
    <w:uiPriority w:val="2"/>
    <w:rsid w:val="001D049B"/>
    <w:pPr>
      <w:numPr>
        <w:numId w:val="7"/>
      </w:numPr>
      <w:tabs>
        <w:tab w:val="clear" w:pos="397"/>
        <w:tab w:val="num" w:pos="284"/>
      </w:tabs>
      <w:spacing w:after="60" w:line="260" w:lineRule="atLeast"/>
      <w:ind w:left="284" w:hanging="284"/>
    </w:pPr>
    <w:rPr>
      <w:rFonts w:ascii="Arial" w:eastAsia="Times" w:hAnsi="Arial"/>
      <w:sz w:val="20"/>
      <w:szCs w:val="20"/>
      <w:lang w:eastAsia="en-AU"/>
    </w:rPr>
  </w:style>
  <w:style w:type="paragraph" w:customStyle="1" w:styleId="ARtabletext">
    <w:name w:val="AR table text"/>
    <w:uiPriority w:val="99"/>
    <w:qFormat/>
    <w:rsid w:val="0081234A"/>
    <w:pPr>
      <w:spacing w:before="80" w:after="60" w:line="264" w:lineRule="auto"/>
    </w:pPr>
    <w:rPr>
      <w:rFonts w:ascii="Arial" w:eastAsia="Times" w:hAnsi="Arial" w:cs="Arial"/>
      <w:sz w:val="18"/>
      <w:szCs w:val="18"/>
      <w:lang w:eastAsia="en-AU"/>
    </w:rPr>
  </w:style>
  <w:style w:type="paragraph" w:customStyle="1" w:styleId="ARtablecolhead">
    <w:name w:val="AR table col head"/>
    <w:uiPriority w:val="99"/>
    <w:qFormat/>
    <w:rsid w:val="0081234A"/>
    <w:pPr>
      <w:spacing w:before="80" w:after="60" w:line="216" w:lineRule="auto"/>
    </w:pPr>
    <w:rPr>
      <w:rFonts w:ascii="Arial" w:eastAsia="Times" w:hAnsi="Arial" w:cs="Arial"/>
      <w:b/>
      <w:sz w:val="18"/>
      <w:szCs w:val="18"/>
    </w:rPr>
  </w:style>
  <w:style w:type="paragraph" w:customStyle="1" w:styleId="ARtablefootnote">
    <w:name w:val="AR table footnote"/>
    <w:uiPriority w:val="99"/>
    <w:qFormat/>
    <w:rsid w:val="0081234A"/>
    <w:pPr>
      <w:spacing w:before="40" w:after="20" w:line="264" w:lineRule="auto"/>
    </w:pPr>
    <w:rPr>
      <w:rFonts w:ascii="Arial" w:eastAsiaTheme="minorEastAsia" w:hAnsi="Arial"/>
      <w:sz w:val="16"/>
      <w:szCs w:val="16"/>
    </w:rPr>
  </w:style>
  <w:style w:type="paragraph" w:styleId="ListBullet2">
    <w:name w:val="List Bullet 2"/>
    <w:basedOn w:val="ListBullet"/>
    <w:uiPriority w:val="98"/>
    <w:semiHidden/>
    <w:rsid w:val="0081234A"/>
    <w:pPr>
      <w:numPr>
        <w:ilvl w:val="1"/>
      </w:numPr>
      <w:tabs>
        <w:tab w:val="num" w:pos="284"/>
        <w:tab w:val="num" w:pos="360"/>
        <w:tab w:val="num" w:pos="680"/>
      </w:tabs>
    </w:pPr>
  </w:style>
  <w:style w:type="paragraph" w:styleId="ListBullet">
    <w:name w:val="List Bullet"/>
    <w:basedOn w:val="Normal"/>
    <w:link w:val="ListBulletChar"/>
    <w:uiPriority w:val="98"/>
    <w:semiHidden/>
    <w:qFormat/>
    <w:rsid w:val="0081234A"/>
    <w:pPr>
      <w:keepLines/>
      <w:numPr>
        <w:numId w:val="1"/>
      </w:numPr>
      <w:tabs>
        <w:tab w:val="num" w:pos="397"/>
      </w:tabs>
      <w:spacing w:before="60" w:after="120" w:line="264" w:lineRule="auto"/>
      <w:contextualSpacing/>
    </w:pPr>
    <w:rPr>
      <w:spacing w:val="2"/>
      <w:sz w:val="18"/>
      <w:szCs w:val="18"/>
      <w:lang w:eastAsia="en-AU"/>
    </w:rPr>
  </w:style>
  <w:style w:type="paragraph" w:styleId="ListBullet3">
    <w:name w:val="List Bullet 3"/>
    <w:basedOn w:val="ListBullet2"/>
    <w:uiPriority w:val="19"/>
    <w:semiHidden/>
    <w:rsid w:val="0081234A"/>
    <w:pPr>
      <w:numPr>
        <w:ilvl w:val="2"/>
      </w:numPr>
      <w:tabs>
        <w:tab w:val="num" w:pos="360"/>
        <w:tab w:val="num" w:pos="794"/>
      </w:tabs>
    </w:pPr>
  </w:style>
  <w:style w:type="paragraph" w:styleId="FootnoteText">
    <w:name w:val="footnote text"/>
    <w:basedOn w:val="ARbody"/>
    <w:link w:val="FootnoteTextChar"/>
    <w:uiPriority w:val="9"/>
    <w:qFormat/>
    <w:rsid w:val="007F7E54"/>
    <w:pPr>
      <w:spacing w:before="80" w:after="80" w:line="240" w:lineRule="auto"/>
      <w:ind w:left="284" w:hanging="284"/>
    </w:pPr>
    <w:rPr>
      <w:rFonts w:cs="Times New Roman"/>
      <w:sz w:val="16"/>
      <w:szCs w:val="18"/>
      <w:lang w:val="x-none"/>
    </w:rPr>
  </w:style>
  <w:style w:type="character" w:customStyle="1" w:styleId="FootnoteTextChar">
    <w:name w:val="Footnote Text Char"/>
    <w:basedOn w:val="DefaultParagraphFont"/>
    <w:link w:val="FootnoteText"/>
    <w:uiPriority w:val="9"/>
    <w:rsid w:val="0081234A"/>
    <w:rPr>
      <w:rFonts w:ascii="Arial" w:eastAsia="Times" w:hAnsi="Arial" w:cs="Times New Roman"/>
      <w:sz w:val="16"/>
      <w:szCs w:val="18"/>
      <w:lang w:val="x-none"/>
    </w:rPr>
  </w:style>
  <w:style w:type="character" w:styleId="FootnoteReference">
    <w:name w:val="footnote reference"/>
    <w:uiPriority w:val="11"/>
    <w:rsid w:val="0081234A"/>
    <w:rPr>
      <w:vertAlign w:val="superscript"/>
    </w:rPr>
  </w:style>
  <w:style w:type="paragraph" w:customStyle="1" w:styleId="ARtabletextright">
    <w:name w:val="AR table text right"/>
    <w:basedOn w:val="ARtabletext"/>
    <w:uiPriority w:val="99"/>
    <w:qFormat/>
    <w:rsid w:val="0081234A"/>
    <w:pPr>
      <w:jc w:val="right"/>
    </w:pPr>
  </w:style>
  <w:style w:type="paragraph" w:customStyle="1" w:styleId="ARbodybeforetable">
    <w:name w:val="AR body before table"/>
    <w:basedOn w:val="ARbody"/>
    <w:qFormat/>
    <w:rsid w:val="0081234A"/>
    <w:pPr>
      <w:spacing w:after="240"/>
    </w:pPr>
    <w:rPr>
      <w:lang w:eastAsia="en-AU"/>
    </w:rPr>
  </w:style>
  <w:style w:type="paragraph" w:customStyle="1" w:styleId="LightList-Accent31">
    <w:name w:val="Light List - Accent 31"/>
    <w:hidden/>
    <w:uiPriority w:val="99"/>
    <w:semiHidden/>
    <w:rsid w:val="0081234A"/>
    <w:pPr>
      <w:spacing w:after="120" w:line="264" w:lineRule="auto"/>
    </w:pPr>
    <w:rPr>
      <w:rFonts w:ascii="Arial" w:eastAsiaTheme="minorEastAsia" w:hAnsi="Arial"/>
      <w:sz w:val="24"/>
      <w:szCs w:val="24"/>
    </w:rPr>
  </w:style>
  <w:style w:type="paragraph" w:styleId="TOC5">
    <w:name w:val="toc 5"/>
    <w:basedOn w:val="Normal"/>
    <w:next w:val="Normal"/>
    <w:autoRedefine/>
    <w:uiPriority w:val="39"/>
    <w:semiHidden/>
    <w:rsid w:val="0081234A"/>
    <w:pPr>
      <w:spacing w:after="120" w:line="264" w:lineRule="auto"/>
      <w:ind w:left="800"/>
    </w:pPr>
    <w:rPr>
      <w:rFonts w:eastAsiaTheme="minorEastAsia"/>
      <w:sz w:val="20"/>
      <w:szCs w:val="20"/>
      <w:lang w:eastAsia="en-AU"/>
    </w:rPr>
  </w:style>
  <w:style w:type="paragraph" w:customStyle="1" w:styleId="ARtablecolheadcentre">
    <w:name w:val="AR table col head centre"/>
    <w:basedOn w:val="ARtablecolheadright"/>
    <w:uiPriority w:val="3"/>
    <w:qFormat/>
    <w:rsid w:val="0081234A"/>
    <w:pPr>
      <w:jc w:val="center"/>
    </w:pPr>
  </w:style>
  <w:style w:type="paragraph" w:customStyle="1" w:styleId="ARtablecaption">
    <w:name w:val="AR table caption"/>
    <w:uiPriority w:val="3"/>
    <w:qFormat/>
    <w:rsid w:val="00A95A18"/>
    <w:pPr>
      <w:keepNext/>
      <w:keepLines/>
      <w:spacing w:before="160" w:after="80" w:line="264" w:lineRule="auto"/>
    </w:pPr>
    <w:rPr>
      <w:rFonts w:ascii="Arial" w:eastAsiaTheme="minorEastAsia" w:hAnsi="Arial" w:cs="Arial"/>
      <w:b/>
      <w:bCs/>
      <w:color w:val="005D8F" w:themeColor="text2"/>
      <w:sz w:val="20"/>
      <w:szCs w:val="17"/>
    </w:rPr>
  </w:style>
  <w:style w:type="paragraph" w:styleId="TOC2">
    <w:name w:val="toc 2"/>
    <w:basedOn w:val="TOC1"/>
    <w:uiPriority w:val="39"/>
    <w:qFormat/>
    <w:rsid w:val="0081234A"/>
    <w:pPr>
      <w:ind w:left="284"/>
    </w:pPr>
    <w:rPr>
      <w:szCs w:val="24"/>
    </w:rPr>
  </w:style>
  <w:style w:type="paragraph" w:styleId="DocumentMap">
    <w:name w:val="Document Map"/>
    <w:basedOn w:val="Normal"/>
    <w:link w:val="DocumentMapChar"/>
    <w:uiPriority w:val="98"/>
    <w:semiHidden/>
    <w:rsid w:val="0081234A"/>
    <w:pPr>
      <w:spacing w:after="120" w:line="264" w:lineRule="auto"/>
    </w:pPr>
    <w:rPr>
      <w:rFonts w:ascii="Lucida Grande" w:eastAsiaTheme="minorEastAsia" w:hAnsi="Lucida Grande"/>
      <w:sz w:val="20"/>
      <w:szCs w:val="20"/>
      <w:lang w:val="x-none" w:eastAsia="en-AU"/>
    </w:rPr>
  </w:style>
  <w:style w:type="character" w:customStyle="1" w:styleId="DocumentMapChar">
    <w:name w:val="Document Map Char"/>
    <w:basedOn w:val="DefaultParagraphFont"/>
    <w:link w:val="DocumentMap"/>
    <w:uiPriority w:val="98"/>
    <w:semiHidden/>
    <w:rsid w:val="0081234A"/>
    <w:rPr>
      <w:rFonts w:ascii="Lucida Grande" w:eastAsiaTheme="minorEastAsia" w:hAnsi="Lucida Grande"/>
      <w:sz w:val="20"/>
      <w:szCs w:val="20"/>
      <w:lang w:val="x-none" w:eastAsia="en-AU"/>
    </w:rPr>
  </w:style>
  <w:style w:type="paragraph" w:styleId="TOC3">
    <w:name w:val="toc 3"/>
    <w:basedOn w:val="TOC2"/>
    <w:uiPriority w:val="39"/>
    <w:qFormat/>
    <w:rsid w:val="0081234A"/>
  </w:style>
  <w:style w:type="paragraph" w:styleId="TOC4">
    <w:name w:val="toc 4"/>
    <w:basedOn w:val="TOC3"/>
    <w:uiPriority w:val="39"/>
    <w:rsid w:val="0081234A"/>
    <w:pPr>
      <w:ind w:left="567"/>
    </w:pPr>
  </w:style>
  <w:style w:type="paragraph" w:styleId="TOC6">
    <w:name w:val="toc 6"/>
    <w:basedOn w:val="Normal"/>
    <w:next w:val="Normal"/>
    <w:autoRedefine/>
    <w:uiPriority w:val="39"/>
    <w:semiHidden/>
    <w:rsid w:val="0081234A"/>
    <w:pPr>
      <w:spacing w:after="120" w:line="264" w:lineRule="auto"/>
      <w:ind w:left="1000"/>
    </w:pPr>
    <w:rPr>
      <w:rFonts w:eastAsiaTheme="minorEastAsia"/>
      <w:sz w:val="20"/>
      <w:szCs w:val="20"/>
      <w:lang w:eastAsia="en-AU"/>
    </w:rPr>
  </w:style>
  <w:style w:type="paragraph" w:styleId="TOC7">
    <w:name w:val="toc 7"/>
    <w:basedOn w:val="Normal"/>
    <w:next w:val="Normal"/>
    <w:autoRedefine/>
    <w:uiPriority w:val="39"/>
    <w:semiHidden/>
    <w:rsid w:val="0081234A"/>
    <w:pPr>
      <w:spacing w:after="120" w:line="264" w:lineRule="auto"/>
      <w:ind w:left="1200"/>
    </w:pPr>
    <w:rPr>
      <w:rFonts w:eastAsiaTheme="minorEastAsia"/>
      <w:sz w:val="20"/>
      <w:szCs w:val="20"/>
      <w:lang w:eastAsia="en-AU"/>
    </w:rPr>
  </w:style>
  <w:style w:type="paragraph" w:styleId="TOC8">
    <w:name w:val="toc 8"/>
    <w:basedOn w:val="Normal"/>
    <w:next w:val="Normal"/>
    <w:autoRedefine/>
    <w:uiPriority w:val="39"/>
    <w:semiHidden/>
    <w:rsid w:val="0081234A"/>
    <w:pPr>
      <w:spacing w:after="120" w:line="264" w:lineRule="auto"/>
      <w:ind w:left="1400"/>
    </w:pPr>
    <w:rPr>
      <w:rFonts w:eastAsiaTheme="minorEastAsia"/>
      <w:sz w:val="20"/>
      <w:szCs w:val="20"/>
      <w:lang w:eastAsia="en-AU"/>
    </w:rPr>
  </w:style>
  <w:style w:type="paragraph" w:styleId="TOC9">
    <w:name w:val="toc 9"/>
    <w:basedOn w:val="Normal"/>
    <w:next w:val="Normal"/>
    <w:autoRedefine/>
    <w:uiPriority w:val="39"/>
    <w:semiHidden/>
    <w:rsid w:val="0081234A"/>
    <w:pPr>
      <w:spacing w:after="120" w:line="264" w:lineRule="auto"/>
      <w:ind w:left="1600"/>
    </w:pPr>
    <w:rPr>
      <w:rFonts w:eastAsiaTheme="minorEastAsia"/>
      <w:sz w:val="20"/>
      <w:szCs w:val="20"/>
      <w:lang w:eastAsia="en-AU"/>
    </w:rPr>
  </w:style>
  <w:style w:type="character" w:styleId="EndnoteReference">
    <w:name w:val="endnote reference"/>
    <w:uiPriority w:val="99"/>
    <w:semiHidden/>
    <w:rsid w:val="0081234A"/>
    <w:rPr>
      <w:vertAlign w:val="superscript"/>
    </w:rPr>
  </w:style>
  <w:style w:type="paragraph" w:customStyle="1" w:styleId="ARpublicationtitle">
    <w:name w:val="AR publication title"/>
    <w:link w:val="ARpublicationtitleChar"/>
    <w:uiPriority w:val="3"/>
    <w:qFormat/>
    <w:rsid w:val="00754F85"/>
    <w:pPr>
      <w:spacing w:before="240" w:after="200" w:line="264" w:lineRule="auto"/>
    </w:pPr>
    <w:rPr>
      <w:rFonts w:ascii="Arial" w:eastAsia="MS Mincho" w:hAnsi="Arial"/>
      <w:color w:val="000000" w:themeColor="text1"/>
      <w:sz w:val="50"/>
      <w:szCs w:val="50"/>
    </w:rPr>
  </w:style>
  <w:style w:type="character" w:customStyle="1" w:styleId="ARpublicationtitleChar">
    <w:name w:val="AR publication title Char"/>
    <w:link w:val="ARpublicationtitle"/>
    <w:uiPriority w:val="3"/>
    <w:rsid w:val="00754F85"/>
    <w:rPr>
      <w:rFonts w:ascii="Arial" w:eastAsia="MS Mincho" w:hAnsi="Arial"/>
      <w:color w:val="000000" w:themeColor="text1"/>
      <w:sz w:val="50"/>
      <w:szCs w:val="50"/>
    </w:rPr>
  </w:style>
  <w:style w:type="paragraph" w:styleId="Caption">
    <w:name w:val="caption"/>
    <w:basedOn w:val="Normal"/>
    <w:next w:val="Normal"/>
    <w:uiPriority w:val="98"/>
    <w:semiHidden/>
    <w:unhideWhenUsed/>
    <w:qFormat/>
    <w:rsid w:val="0081234A"/>
    <w:pPr>
      <w:spacing w:after="120" w:line="240" w:lineRule="auto"/>
    </w:pPr>
    <w:rPr>
      <w:rFonts w:eastAsiaTheme="minorEastAsia"/>
      <w:b/>
      <w:bCs/>
      <w:smallCaps/>
      <w:color w:val="595959" w:themeColor="text1" w:themeTint="A6"/>
      <w:spacing w:val="6"/>
      <w:sz w:val="20"/>
      <w:szCs w:val="20"/>
      <w:lang w:eastAsia="en-AU"/>
    </w:rPr>
  </w:style>
  <w:style w:type="paragraph" w:customStyle="1" w:styleId="ARtablenoteindent">
    <w:name w:val="AR table note indent"/>
    <w:link w:val="ARtablenoteindentChar"/>
    <w:uiPriority w:val="3"/>
    <w:qFormat/>
    <w:rsid w:val="0081234A"/>
    <w:pPr>
      <w:spacing w:after="80" w:line="264" w:lineRule="auto"/>
      <w:ind w:left="454"/>
    </w:pPr>
    <w:rPr>
      <w:rFonts w:ascii="Arial" w:eastAsia="Times" w:hAnsi="Arial"/>
      <w:iCs/>
      <w:sz w:val="16"/>
      <w:szCs w:val="18"/>
      <w:lang w:eastAsia="en-AU"/>
    </w:rPr>
  </w:style>
  <w:style w:type="character" w:customStyle="1" w:styleId="ARtablenoteindentChar">
    <w:name w:val="AR table note indent Char"/>
    <w:link w:val="ARtablenoteindent"/>
    <w:uiPriority w:val="3"/>
    <w:rsid w:val="0081234A"/>
    <w:rPr>
      <w:rFonts w:ascii="Arial" w:eastAsia="Times" w:hAnsi="Arial"/>
      <w:iCs/>
      <w:sz w:val="16"/>
      <w:szCs w:val="18"/>
      <w:lang w:eastAsia="en-AU"/>
    </w:rPr>
  </w:style>
  <w:style w:type="paragraph" w:customStyle="1" w:styleId="ARtabletextrightbold">
    <w:name w:val="AR table text right bold"/>
    <w:basedOn w:val="ARtabletextright"/>
    <w:uiPriority w:val="3"/>
    <w:qFormat/>
    <w:rsid w:val="0081234A"/>
    <w:rPr>
      <w:b/>
    </w:rPr>
  </w:style>
  <w:style w:type="paragraph" w:customStyle="1" w:styleId="LightList-Accent311">
    <w:name w:val="Light List - Accent 311"/>
    <w:hidden/>
    <w:uiPriority w:val="99"/>
    <w:semiHidden/>
    <w:rsid w:val="0081234A"/>
    <w:pPr>
      <w:spacing w:after="120" w:line="264" w:lineRule="auto"/>
    </w:pPr>
    <w:rPr>
      <w:rFonts w:ascii="Arial" w:eastAsiaTheme="minorEastAsia" w:hAnsi="Arial"/>
      <w:sz w:val="24"/>
      <w:szCs w:val="24"/>
    </w:rPr>
  </w:style>
  <w:style w:type="character" w:styleId="FollowedHyperlink">
    <w:name w:val="FollowedHyperlink"/>
    <w:uiPriority w:val="99"/>
    <w:rsid w:val="0081234A"/>
    <w:rPr>
      <w:color w:val="500778"/>
      <w:u w:val="dotted"/>
    </w:rPr>
  </w:style>
  <w:style w:type="paragraph" w:styleId="CommentSubject">
    <w:name w:val="annotation subject"/>
    <w:basedOn w:val="Normal"/>
    <w:next w:val="Normal"/>
    <w:link w:val="CommentSubjectChar"/>
    <w:uiPriority w:val="98"/>
    <w:semiHidden/>
    <w:unhideWhenUsed/>
    <w:rsid w:val="008D6776"/>
    <w:rPr>
      <w:b/>
      <w:bCs/>
    </w:rPr>
  </w:style>
  <w:style w:type="character" w:customStyle="1" w:styleId="CommentSubjectChar">
    <w:name w:val="Comment Subject Char"/>
    <w:basedOn w:val="DefaultParagraphFont"/>
    <w:link w:val="CommentSubject"/>
    <w:uiPriority w:val="98"/>
    <w:semiHidden/>
    <w:rsid w:val="008D6776"/>
    <w:rPr>
      <w:rFonts w:eastAsiaTheme="minorEastAsia"/>
      <w:b/>
      <w:bCs/>
      <w:sz w:val="20"/>
      <w:szCs w:val="20"/>
      <w:lang w:val="x-none" w:eastAsia="en-AU"/>
    </w:rPr>
  </w:style>
  <w:style w:type="paragraph" w:styleId="EndnoteText">
    <w:name w:val="endnote text"/>
    <w:basedOn w:val="Normal"/>
    <w:link w:val="EndnoteTextChar"/>
    <w:uiPriority w:val="98"/>
    <w:semiHidden/>
    <w:unhideWhenUsed/>
    <w:rsid w:val="0081234A"/>
    <w:pPr>
      <w:spacing w:after="120" w:line="264" w:lineRule="auto"/>
    </w:pPr>
    <w:rPr>
      <w:rFonts w:eastAsiaTheme="minorEastAsia"/>
      <w:sz w:val="20"/>
      <w:szCs w:val="20"/>
      <w:lang w:val="x-none" w:eastAsia="en-AU"/>
    </w:rPr>
  </w:style>
  <w:style w:type="character" w:customStyle="1" w:styleId="EndnoteTextChar">
    <w:name w:val="Endnote Text Char"/>
    <w:basedOn w:val="DefaultParagraphFont"/>
    <w:link w:val="EndnoteText"/>
    <w:uiPriority w:val="98"/>
    <w:semiHidden/>
    <w:rsid w:val="0081234A"/>
    <w:rPr>
      <w:rFonts w:eastAsiaTheme="minorEastAsia"/>
      <w:sz w:val="20"/>
      <w:szCs w:val="20"/>
      <w:lang w:val="x-none" w:eastAsia="en-AU"/>
    </w:rPr>
  </w:style>
  <w:style w:type="paragraph" w:customStyle="1" w:styleId="ARtablecolheadright">
    <w:name w:val="AR table col head right"/>
    <w:basedOn w:val="ARtablecolhead"/>
    <w:uiPriority w:val="99"/>
    <w:qFormat/>
    <w:rsid w:val="0081234A"/>
    <w:pPr>
      <w:jc w:val="right"/>
    </w:pPr>
  </w:style>
  <w:style w:type="paragraph" w:customStyle="1" w:styleId="ARtabletextbold">
    <w:name w:val="AR table text bold"/>
    <w:basedOn w:val="ARtabletext"/>
    <w:uiPriority w:val="3"/>
    <w:qFormat/>
    <w:rsid w:val="0081234A"/>
    <w:rPr>
      <w:b/>
    </w:rPr>
  </w:style>
  <w:style w:type="paragraph" w:customStyle="1" w:styleId="ARtableperformancesymbol">
    <w:name w:val="AR table performance symbol"/>
    <w:basedOn w:val="Normal"/>
    <w:link w:val="ARtableperformancesymbolChar"/>
    <w:uiPriority w:val="3"/>
    <w:qFormat/>
    <w:rsid w:val="008457D3"/>
    <w:pPr>
      <w:spacing w:before="80" w:after="120" w:line="264" w:lineRule="auto"/>
      <w:jc w:val="right"/>
    </w:pPr>
    <w:rPr>
      <w:rFonts w:ascii="Wingdings" w:eastAsiaTheme="minorEastAsia" w:hAnsi="Wingdings"/>
      <w:sz w:val="18"/>
      <w:szCs w:val="18"/>
      <w:lang w:val="x-none" w:eastAsia="x-none"/>
    </w:rPr>
  </w:style>
  <w:style w:type="character" w:customStyle="1" w:styleId="ARtableperformancesymbolChar">
    <w:name w:val="AR table performance symbol Char"/>
    <w:link w:val="ARtableperformancesymbol"/>
    <w:uiPriority w:val="3"/>
    <w:rsid w:val="004F7554"/>
    <w:rPr>
      <w:rFonts w:ascii="Wingdings" w:eastAsiaTheme="minorEastAsia" w:hAnsi="Wingdings"/>
      <w:sz w:val="18"/>
      <w:szCs w:val="18"/>
      <w:lang w:val="x-none" w:eastAsia="x-none"/>
    </w:rPr>
  </w:style>
  <w:style w:type="paragraph" w:customStyle="1" w:styleId="MediumList2-Accent21">
    <w:name w:val="Medium List 2 - Accent 21"/>
    <w:hidden/>
    <w:uiPriority w:val="99"/>
    <w:semiHidden/>
    <w:rsid w:val="0081234A"/>
    <w:pPr>
      <w:spacing w:after="120" w:line="264" w:lineRule="auto"/>
    </w:pPr>
    <w:rPr>
      <w:rFonts w:ascii="Arial" w:eastAsiaTheme="minorEastAsia" w:hAnsi="Arial"/>
      <w:sz w:val="24"/>
      <w:szCs w:val="24"/>
    </w:rPr>
  </w:style>
  <w:style w:type="character" w:styleId="Emphasis">
    <w:name w:val="Emphasis"/>
    <w:basedOn w:val="DefaultParagraphFont"/>
    <w:uiPriority w:val="20"/>
    <w:qFormat/>
    <w:rsid w:val="0081234A"/>
    <w:rPr>
      <w:i/>
      <w:iCs/>
    </w:rPr>
  </w:style>
  <w:style w:type="paragraph" w:styleId="ListNumber">
    <w:name w:val="List Number"/>
    <w:basedOn w:val="Normal"/>
    <w:uiPriority w:val="98"/>
    <w:semiHidden/>
    <w:rsid w:val="0081234A"/>
    <w:pPr>
      <w:spacing w:after="120" w:line="264" w:lineRule="auto"/>
      <w:ind w:left="720" w:hanging="720"/>
    </w:pPr>
    <w:rPr>
      <w:rFonts w:ascii="Verdana" w:eastAsiaTheme="minorEastAsia" w:hAnsi="Verdana"/>
      <w:sz w:val="20"/>
      <w:szCs w:val="20"/>
      <w:lang w:eastAsia="en-AU"/>
    </w:rPr>
  </w:style>
  <w:style w:type="paragraph" w:customStyle="1" w:styleId="MediumList2-Accent22">
    <w:name w:val="Medium List 2 - Accent 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
    <w:name w:val="Colorful Shading - Accent 11"/>
    <w:hidden/>
    <w:uiPriority w:val="99"/>
    <w:unhideWhenUsed/>
    <w:rsid w:val="0081234A"/>
    <w:pPr>
      <w:spacing w:after="120" w:line="264" w:lineRule="auto"/>
    </w:pPr>
    <w:rPr>
      <w:rFonts w:ascii="Arial" w:eastAsiaTheme="minorEastAsia" w:hAnsi="Arial"/>
      <w:sz w:val="24"/>
      <w:szCs w:val="24"/>
    </w:rPr>
  </w:style>
  <w:style w:type="paragraph" w:styleId="Revision">
    <w:name w:val="Revision"/>
    <w:hidden/>
    <w:uiPriority w:val="62"/>
    <w:rsid w:val="0081234A"/>
    <w:pPr>
      <w:spacing w:after="120" w:line="264" w:lineRule="auto"/>
    </w:pPr>
    <w:rPr>
      <w:rFonts w:ascii="Arial" w:eastAsiaTheme="minorEastAsia" w:hAnsi="Arial"/>
      <w:sz w:val="20"/>
      <w:szCs w:val="20"/>
    </w:rPr>
  </w:style>
  <w:style w:type="character" w:customStyle="1" w:styleId="ListBulletChar">
    <w:name w:val="List Bullet Char"/>
    <w:basedOn w:val="DefaultParagraphFont"/>
    <w:link w:val="ListBullet"/>
    <w:uiPriority w:val="98"/>
    <w:semiHidden/>
    <w:rsid w:val="0081234A"/>
    <w:rPr>
      <w:spacing w:val="2"/>
      <w:sz w:val="18"/>
      <w:szCs w:val="18"/>
      <w:lang w:eastAsia="en-AU"/>
    </w:rPr>
  </w:style>
  <w:style w:type="paragraph" w:styleId="TableofFigures">
    <w:name w:val="table of figures"/>
    <w:basedOn w:val="Normal"/>
    <w:next w:val="Normal"/>
    <w:uiPriority w:val="98"/>
    <w:semiHidden/>
    <w:rsid w:val="0081234A"/>
    <w:pPr>
      <w:spacing w:after="120" w:line="264" w:lineRule="auto"/>
      <w:jc w:val="right"/>
    </w:pPr>
    <w:rPr>
      <w:rFonts w:ascii="AvantGarde Bk BT" w:eastAsiaTheme="minorEastAsia" w:hAnsi="AvantGarde Bk BT"/>
      <w:sz w:val="18"/>
      <w:szCs w:val="18"/>
      <w:lang w:eastAsia="en-AU"/>
    </w:rPr>
  </w:style>
  <w:style w:type="paragraph" w:customStyle="1" w:styleId="ColorfulShading-Accent12">
    <w:name w:val="Colorful Shading - Accent 12"/>
    <w:hidden/>
    <w:uiPriority w:val="99"/>
    <w:semiHidden/>
    <w:rsid w:val="0081234A"/>
    <w:pPr>
      <w:spacing w:after="120" w:line="264" w:lineRule="auto"/>
    </w:pPr>
    <w:rPr>
      <w:rFonts w:ascii="Verdana" w:eastAsiaTheme="minorEastAsia" w:hAnsi="Verdana"/>
      <w:sz w:val="20"/>
      <w:szCs w:val="20"/>
    </w:rPr>
  </w:style>
  <w:style w:type="character" w:customStyle="1" w:styleId="Superscript">
    <w:name w:val="Superscript"/>
    <w:uiPriority w:val="99"/>
    <w:rsid w:val="0081234A"/>
    <w:rPr>
      <w:vertAlign w:val="superscript"/>
    </w:rPr>
  </w:style>
  <w:style w:type="paragraph" w:styleId="Subtitle">
    <w:name w:val="Subtitle"/>
    <w:basedOn w:val="Normal"/>
    <w:next w:val="Normal"/>
    <w:link w:val="SubtitleChar"/>
    <w:uiPriority w:val="11"/>
    <w:qFormat/>
    <w:rsid w:val="0081234A"/>
    <w:pPr>
      <w:numPr>
        <w:ilvl w:val="1"/>
      </w:numPr>
      <w:spacing w:after="120" w:line="240" w:lineRule="auto"/>
    </w:pPr>
    <w:rPr>
      <w:rFonts w:asciiTheme="majorHAnsi" w:eastAsiaTheme="majorEastAsia" w:hAnsiTheme="majorHAnsi" w:cstheme="majorBidi"/>
      <w:sz w:val="24"/>
      <w:szCs w:val="24"/>
      <w:lang w:eastAsia="en-AU"/>
    </w:rPr>
  </w:style>
  <w:style w:type="character" w:customStyle="1" w:styleId="SubtitleChar">
    <w:name w:val="Subtitle Char"/>
    <w:basedOn w:val="DefaultParagraphFont"/>
    <w:link w:val="Subtitle"/>
    <w:uiPriority w:val="11"/>
    <w:rsid w:val="00CD1B0E"/>
    <w:rPr>
      <w:rFonts w:asciiTheme="majorHAnsi" w:eastAsiaTheme="majorEastAsia" w:hAnsiTheme="majorHAnsi" w:cstheme="majorBidi"/>
      <w:sz w:val="24"/>
      <w:szCs w:val="24"/>
      <w:lang w:eastAsia="en-AU"/>
    </w:rPr>
  </w:style>
  <w:style w:type="paragraph" w:styleId="IntenseQuote">
    <w:name w:val="Intense Quote"/>
    <w:basedOn w:val="Normal"/>
    <w:next w:val="Normal"/>
    <w:link w:val="IntenseQuoteChar"/>
    <w:uiPriority w:val="30"/>
    <w:qFormat/>
    <w:rsid w:val="0081234A"/>
    <w:pPr>
      <w:pBdr>
        <w:left w:val="single" w:sz="18" w:space="12" w:color="007CBC" w:themeColor="accent1"/>
      </w:pBdr>
      <w:spacing w:before="100" w:beforeAutospacing="1" w:after="120" w:line="300" w:lineRule="auto"/>
      <w:ind w:left="1224" w:right="1224"/>
    </w:pPr>
    <w:rPr>
      <w:rFonts w:asciiTheme="majorHAnsi" w:eastAsiaTheme="majorEastAsia" w:hAnsiTheme="majorHAnsi" w:cstheme="majorBidi"/>
      <w:color w:val="007CBC" w:themeColor="accent1"/>
      <w:sz w:val="28"/>
      <w:szCs w:val="28"/>
      <w:lang w:eastAsia="en-AU"/>
    </w:rPr>
  </w:style>
  <w:style w:type="character" w:customStyle="1" w:styleId="IntenseQuoteChar">
    <w:name w:val="Intense Quote Char"/>
    <w:basedOn w:val="DefaultParagraphFont"/>
    <w:link w:val="IntenseQuote"/>
    <w:uiPriority w:val="30"/>
    <w:rsid w:val="00CD1B0E"/>
    <w:rPr>
      <w:rFonts w:asciiTheme="majorHAnsi" w:eastAsiaTheme="majorEastAsia" w:hAnsiTheme="majorHAnsi" w:cstheme="majorBidi"/>
      <w:color w:val="007CBC" w:themeColor="accent1"/>
      <w:sz w:val="28"/>
      <w:szCs w:val="28"/>
      <w:lang w:eastAsia="en-AU"/>
    </w:rPr>
  </w:style>
  <w:style w:type="character" w:styleId="SubtleEmphasis">
    <w:name w:val="Subtle Emphasis"/>
    <w:basedOn w:val="DefaultParagraphFont"/>
    <w:uiPriority w:val="19"/>
    <w:qFormat/>
    <w:rsid w:val="0081234A"/>
    <w:rPr>
      <w:i/>
      <w:iCs/>
      <w:color w:val="404040" w:themeColor="text1" w:themeTint="BF"/>
    </w:rPr>
  </w:style>
  <w:style w:type="character" w:styleId="IntenseEmphasis">
    <w:name w:val="Intense Emphasis"/>
    <w:basedOn w:val="DefaultParagraphFont"/>
    <w:uiPriority w:val="21"/>
    <w:qFormat/>
    <w:rsid w:val="0081234A"/>
    <w:rPr>
      <w:b/>
      <w:bCs/>
      <w:i/>
      <w:iCs/>
    </w:rPr>
  </w:style>
  <w:style w:type="paragraph" w:customStyle="1" w:styleId="ARtablegreybold">
    <w:name w:val="AR table grey bold"/>
    <w:basedOn w:val="ARtabletext"/>
    <w:rsid w:val="0081234A"/>
    <w:pPr>
      <w:spacing w:line="240" w:lineRule="auto"/>
    </w:pPr>
    <w:rPr>
      <w:rFonts w:eastAsia="Calibri"/>
      <w:b/>
      <w:color w:val="53565A"/>
    </w:rPr>
  </w:style>
  <w:style w:type="paragraph" w:customStyle="1" w:styleId="LightList-Accent312">
    <w:name w:val="Light List - Accent 312"/>
    <w:hidden/>
    <w:uiPriority w:val="99"/>
    <w:semiHidden/>
    <w:rsid w:val="0081234A"/>
    <w:pPr>
      <w:spacing w:after="120" w:line="264" w:lineRule="auto"/>
    </w:pPr>
    <w:rPr>
      <w:rFonts w:ascii="Arial" w:eastAsiaTheme="minorEastAsia" w:hAnsi="Arial"/>
      <w:sz w:val="24"/>
      <w:szCs w:val="24"/>
    </w:rPr>
  </w:style>
  <w:style w:type="paragraph" w:customStyle="1" w:styleId="LightList-Accent3111">
    <w:name w:val="Light List - Accent 3111"/>
    <w:hidden/>
    <w:uiPriority w:val="99"/>
    <w:semiHidden/>
    <w:rsid w:val="0081234A"/>
    <w:pPr>
      <w:spacing w:after="120" w:line="264" w:lineRule="auto"/>
    </w:pPr>
    <w:rPr>
      <w:rFonts w:ascii="Arial" w:eastAsiaTheme="minorEastAsia" w:hAnsi="Arial"/>
      <w:sz w:val="24"/>
      <w:szCs w:val="24"/>
    </w:rPr>
  </w:style>
  <w:style w:type="paragraph" w:customStyle="1" w:styleId="MediumList2-Accent211">
    <w:name w:val="Medium List 2 - Accent 211"/>
    <w:hidden/>
    <w:uiPriority w:val="99"/>
    <w:semiHidden/>
    <w:rsid w:val="0081234A"/>
    <w:pPr>
      <w:spacing w:after="120" w:line="264" w:lineRule="auto"/>
    </w:pPr>
    <w:rPr>
      <w:rFonts w:ascii="Arial" w:eastAsiaTheme="minorEastAsia" w:hAnsi="Arial"/>
      <w:sz w:val="24"/>
      <w:szCs w:val="24"/>
    </w:rPr>
  </w:style>
  <w:style w:type="paragraph" w:customStyle="1" w:styleId="MediumList2-Accent221">
    <w:name w:val="Medium List 2 - Accent 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
    <w:name w:val="Colorful Shading - Accent 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
    <w:name w:val="Colorful Shading - Accent 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
    <w:name w:val="Light List - Accent 313"/>
    <w:hidden/>
    <w:uiPriority w:val="99"/>
    <w:semiHidden/>
    <w:rsid w:val="0081234A"/>
    <w:pPr>
      <w:spacing w:after="120" w:line="264" w:lineRule="auto"/>
    </w:pPr>
    <w:rPr>
      <w:rFonts w:ascii="Arial" w:eastAsiaTheme="minorEastAsia" w:hAnsi="Arial"/>
      <w:sz w:val="24"/>
      <w:szCs w:val="24"/>
    </w:rPr>
  </w:style>
  <w:style w:type="paragraph" w:customStyle="1" w:styleId="LightList-Accent3112">
    <w:name w:val="Light List - Accent 3112"/>
    <w:hidden/>
    <w:uiPriority w:val="99"/>
    <w:semiHidden/>
    <w:rsid w:val="0081234A"/>
    <w:pPr>
      <w:spacing w:after="120" w:line="264" w:lineRule="auto"/>
    </w:pPr>
    <w:rPr>
      <w:rFonts w:ascii="Arial" w:eastAsiaTheme="minorEastAsia" w:hAnsi="Arial"/>
      <w:sz w:val="24"/>
      <w:szCs w:val="24"/>
    </w:rPr>
  </w:style>
  <w:style w:type="paragraph" w:customStyle="1" w:styleId="MediumList2-Accent212">
    <w:name w:val="Medium List 2 - Accent 212"/>
    <w:hidden/>
    <w:uiPriority w:val="99"/>
    <w:semiHidden/>
    <w:rsid w:val="0081234A"/>
    <w:pPr>
      <w:spacing w:after="120" w:line="264" w:lineRule="auto"/>
    </w:pPr>
    <w:rPr>
      <w:rFonts w:ascii="Arial" w:eastAsiaTheme="minorEastAsia" w:hAnsi="Arial"/>
      <w:sz w:val="24"/>
      <w:szCs w:val="24"/>
    </w:rPr>
  </w:style>
  <w:style w:type="paragraph" w:customStyle="1" w:styleId="MediumList2-Accent222">
    <w:name w:val="Medium List 2 - Accent 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
    <w:name w:val="Colorful Shading - Accent 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
    <w:name w:val="Colorful Shading - Accent 1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
    <w:name w:val="Light List - Accent 3121"/>
    <w:hidden/>
    <w:uiPriority w:val="99"/>
    <w:semiHidden/>
    <w:rsid w:val="0081234A"/>
    <w:pPr>
      <w:spacing w:after="120" w:line="264" w:lineRule="auto"/>
    </w:pPr>
    <w:rPr>
      <w:rFonts w:ascii="Arial" w:eastAsiaTheme="minorEastAsia" w:hAnsi="Arial"/>
      <w:sz w:val="24"/>
      <w:szCs w:val="24"/>
    </w:rPr>
  </w:style>
  <w:style w:type="paragraph" w:customStyle="1" w:styleId="LightList-Accent31111">
    <w:name w:val="Light List - Accent 3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
    <w:name w:val="Medium List 2 - Accent 2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
    <w:name w:val="Medium List 2 - Accent 22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
    <w:name w:val="Colorful Shading - Accent 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
    <w:name w:val="Colorful Shading - Accent 12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
    <w:name w:val="Light List - Accent 3131"/>
    <w:hidden/>
    <w:uiPriority w:val="99"/>
    <w:semiHidden/>
    <w:rsid w:val="0081234A"/>
    <w:pPr>
      <w:spacing w:after="120" w:line="264" w:lineRule="auto"/>
    </w:pPr>
    <w:rPr>
      <w:rFonts w:ascii="Arial" w:eastAsiaTheme="minorEastAsia" w:hAnsi="Arial"/>
      <w:sz w:val="24"/>
      <w:szCs w:val="24"/>
    </w:rPr>
  </w:style>
  <w:style w:type="paragraph" w:customStyle="1" w:styleId="LightList-Accent31121">
    <w:name w:val="Light List - Accent 31121"/>
    <w:hidden/>
    <w:uiPriority w:val="99"/>
    <w:semiHidden/>
    <w:rsid w:val="0081234A"/>
    <w:pPr>
      <w:spacing w:after="120" w:line="264" w:lineRule="auto"/>
    </w:pPr>
    <w:rPr>
      <w:rFonts w:ascii="Arial" w:eastAsiaTheme="minorEastAsia" w:hAnsi="Arial"/>
      <w:sz w:val="24"/>
      <w:szCs w:val="24"/>
    </w:rPr>
  </w:style>
  <w:style w:type="paragraph" w:customStyle="1" w:styleId="MediumList2-Accent2121">
    <w:name w:val="Medium List 2 - Accent 2121"/>
    <w:hidden/>
    <w:uiPriority w:val="99"/>
    <w:semiHidden/>
    <w:rsid w:val="0081234A"/>
    <w:pPr>
      <w:spacing w:after="120" w:line="264" w:lineRule="auto"/>
    </w:pPr>
    <w:rPr>
      <w:rFonts w:ascii="Arial" w:eastAsiaTheme="minorEastAsia" w:hAnsi="Arial"/>
      <w:sz w:val="24"/>
      <w:szCs w:val="24"/>
    </w:rPr>
  </w:style>
  <w:style w:type="paragraph" w:customStyle="1" w:styleId="MediumList2-Accent2221">
    <w:name w:val="Medium List 2 - Accent 2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
    <w:name w:val="Colorful Shading - Accent 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
    <w:name w:val="Colorful Shading - Accent 1221"/>
    <w:hidden/>
    <w:uiPriority w:val="99"/>
    <w:semiHidden/>
    <w:rsid w:val="0081234A"/>
    <w:pPr>
      <w:spacing w:after="120" w:line="264" w:lineRule="auto"/>
    </w:pPr>
    <w:rPr>
      <w:rFonts w:ascii="Verdana" w:eastAsiaTheme="minorEastAsia" w:hAnsi="Verdana"/>
      <w:sz w:val="20"/>
      <w:szCs w:val="20"/>
    </w:rPr>
  </w:style>
  <w:style w:type="paragraph" w:styleId="MacroText">
    <w:name w:val="macro"/>
    <w:link w:val="MacroTextChar"/>
    <w:semiHidden/>
    <w:rsid w:val="0081234A"/>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81234A"/>
    <w:rPr>
      <w:rFonts w:ascii="Courier New" w:eastAsia="Times New Roman" w:hAnsi="Courier New" w:cs="Courier New"/>
      <w:sz w:val="18"/>
      <w:szCs w:val="20"/>
      <w:lang w:val="en-GB"/>
    </w:rPr>
  </w:style>
  <w:style w:type="paragraph" w:styleId="z-BottomofForm">
    <w:name w:val="HTML Bottom of Form"/>
    <w:basedOn w:val="Normal"/>
    <w:next w:val="Normal"/>
    <w:link w:val="z-BottomofFormChar"/>
    <w:hidden/>
    <w:rsid w:val="0081234A"/>
    <w:pPr>
      <w:pBdr>
        <w:top w:val="single" w:sz="6" w:space="1" w:color="auto"/>
      </w:pBdr>
      <w:spacing w:after="0" w:line="260" w:lineRule="atLeast"/>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81234A"/>
    <w:rPr>
      <w:rFonts w:ascii="Arial" w:eastAsia="Times New Roman" w:hAnsi="Arial" w:cs="Arial"/>
      <w:vanish/>
      <w:sz w:val="16"/>
      <w:szCs w:val="16"/>
    </w:rPr>
  </w:style>
  <w:style w:type="paragraph" w:styleId="z-TopofForm">
    <w:name w:val="HTML Top of Form"/>
    <w:basedOn w:val="Normal"/>
    <w:next w:val="Normal"/>
    <w:link w:val="z-TopofFormChar"/>
    <w:hidden/>
    <w:rsid w:val="0081234A"/>
    <w:pPr>
      <w:pBdr>
        <w:bottom w:val="single" w:sz="6" w:space="1" w:color="auto"/>
      </w:pBdr>
      <w:spacing w:after="0" w:line="260" w:lineRule="atLeast"/>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81234A"/>
    <w:rPr>
      <w:rFonts w:ascii="Arial" w:eastAsia="Times New Roman" w:hAnsi="Arial" w:cs="Arial"/>
      <w:vanish/>
      <w:sz w:val="16"/>
      <w:szCs w:val="16"/>
    </w:rPr>
  </w:style>
  <w:style w:type="paragraph" w:customStyle="1" w:styleId="LightList-Accent314">
    <w:name w:val="Light List - Accent 314"/>
    <w:hidden/>
    <w:uiPriority w:val="99"/>
    <w:semiHidden/>
    <w:rsid w:val="0081234A"/>
    <w:pPr>
      <w:spacing w:after="120" w:line="264" w:lineRule="auto"/>
    </w:pPr>
    <w:rPr>
      <w:rFonts w:ascii="Arial" w:eastAsiaTheme="minorEastAsia" w:hAnsi="Arial"/>
      <w:sz w:val="24"/>
      <w:szCs w:val="24"/>
    </w:rPr>
  </w:style>
  <w:style w:type="paragraph" w:customStyle="1" w:styleId="LightList-Accent3113">
    <w:name w:val="Light List - Accent 3113"/>
    <w:hidden/>
    <w:uiPriority w:val="99"/>
    <w:semiHidden/>
    <w:rsid w:val="0081234A"/>
    <w:pPr>
      <w:spacing w:after="120" w:line="264" w:lineRule="auto"/>
    </w:pPr>
    <w:rPr>
      <w:rFonts w:ascii="Arial" w:eastAsiaTheme="minorEastAsia" w:hAnsi="Arial"/>
      <w:sz w:val="24"/>
      <w:szCs w:val="24"/>
    </w:rPr>
  </w:style>
  <w:style w:type="paragraph" w:customStyle="1" w:styleId="MediumList2-Accent213">
    <w:name w:val="Medium List 2 - Accent 213"/>
    <w:hidden/>
    <w:uiPriority w:val="99"/>
    <w:semiHidden/>
    <w:rsid w:val="0081234A"/>
    <w:pPr>
      <w:spacing w:after="120" w:line="264" w:lineRule="auto"/>
    </w:pPr>
    <w:rPr>
      <w:rFonts w:ascii="Arial" w:eastAsiaTheme="minorEastAsia" w:hAnsi="Arial"/>
      <w:sz w:val="24"/>
      <w:szCs w:val="24"/>
    </w:rPr>
  </w:style>
  <w:style w:type="paragraph" w:customStyle="1" w:styleId="MediumList2-Accent223">
    <w:name w:val="Medium List 2 - Accent 22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
    <w:name w:val="Colorful Shading - Accent 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
    <w:name w:val="Colorful Shading - Accent 123"/>
    <w:hidden/>
    <w:uiPriority w:val="99"/>
    <w:semiHidden/>
    <w:rsid w:val="0081234A"/>
    <w:pPr>
      <w:spacing w:after="120" w:line="264" w:lineRule="auto"/>
    </w:pPr>
    <w:rPr>
      <w:rFonts w:ascii="Verdana" w:eastAsiaTheme="minorEastAsia" w:hAnsi="Verdana"/>
      <w:sz w:val="20"/>
      <w:szCs w:val="20"/>
    </w:rPr>
  </w:style>
  <w:style w:type="paragraph" w:customStyle="1" w:styleId="LightList-Accent315">
    <w:name w:val="Light List - Accent 315"/>
    <w:hidden/>
    <w:uiPriority w:val="99"/>
    <w:semiHidden/>
    <w:rsid w:val="0081234A"/>
    <w:pPr>
      <w:spacing w:after="120" w:line="264" w:lineRule="auto"/>
    </w:pPr>
    <w:rPr>
      <w:rFonts w:ascii="Arial" w:eastAsiaTheme="minorEastAsia" w:hAnsi="Arial"/>
      <w:sz w:val="24"/>
      <w:szCs w:val="24"/>
    </w:rPr>
  </w:style>
  <w:style w:type="paragraph" w:customStyle="1" w:styleId="LightList-Accent3114">
    <w:name w:val="Light List - Accent 3114"/>
    <w:hidden/>
    <w:uiPriority w:val="99"/>
    <w:semiHidden/>
    <w:rsid w:val="0081234A"/>
    <w:pPr>
      <w:spacing w:after="120" w:line="264" w:lineRule="auto"/>
    </w:pPr>
    <w:rPr>
      <w:rFonts w:ascii="Arial" w:eastAsiaTheme="minorEastAsia" w:hAnsi="Arial"/>
      <w:sz w:val="24"/>
      <w:szCs w:val="24"/>
    </w:rPr>
  </w:style>
  <w:style w:type="paragraph" w:customStyle="1" w:styleId="MediumList2-Accent214">
    <w:name w:val="Medium List 2 - Accent 214"/>
    <w:hidden/>
    <w:uiPriority w:val="99"/>
    <w:semiHidden/>
    <w:rsid w:val="0081234A"/>
    <w:pPr>
      <w:spacing w:after="120" w:line="264" w:lineRule="auto"/>
    </w:pPr>
    <w:rPr>
      <w:rFonts w:ascii="Arial" w:eastAsiaTheme="minorEastAsia" w:hAnsi="Arial"/>
      <w:sz w:val="24"/>
      <w:szCs w:val="24"/>
    </w:rPr>
  </w:style>
  <w:style w:type="paragraph" w:customStyle="1" w:styleId="MediumList2-Accent224">
    <w:name w:val="Medium List 2 - Accent 22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
    <w:name w:val="Colorful Shading - Accent 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
    <w:name w:val="Colorful Shading - Accent 124"/>
    <w:hidden/>
    <w:uiPriority w:val="99"/>
    <w:semiHidden/>
    <w:rsid w:val="0081234A"/>
    <w:pPr>
      <w:spacing w:after="120" w:line="264" w:lineRule="auto"/>
    </w:pPr>
    <w:rPr>
      <w:rFonts w:ascii="Verdana" w:eastAsiaTheme="minorEastAsia" w:hAnsi="Verdana"/>
      <w:sz w:val="20"/>
      <w:szCs w:val="20"/>
    </w:rPr>
  </w:style>
  <w:style w:type="paragraph" w:styleId="NormalIndent">
    <w:name w:val="Normal Indent"/>
    <w:basedOn w:val="Normal"/>
    <w:uiPriority w:val="4"/>
    <w:semiHidden/>
    <w:unhideWhenUsed/>
    <w:rsid w:val="0081234A"/>
    <w:pPr>
      <w:spacing w:after="120" w:line="264" w:lineRule="auto"/>
      <w:ind w:left="720"/>
    </w:pPr>
    <w:rPr>
      <w:rFonts w:eastAsiaTheme="minorEastAsia"/>
      <w:sz w:val="20"/>
      <w:szCs w:val="20"/>
      <w:lang w:eastAsia="en-AU"/>
    </w:rPr>
  </w:style>
  <w:style w:type="paragraph" w:customStyle="1" w:styleId="Heading4Grants">
    <w:name w:val="Heading 4 Grants"/>
    <w:basedOn w:val="Heading5"/>
    <w:uiPriority w:val="4"/>
    <w:qFormat/>
    <w:rsid w:val="00A30114"/>
    <w:pPr>
      <w:outlineLvl w:val="3"/>
    </w:pPr>
    <w:rPr>
      <w:color w:val="53565A"/>
    </w:rPr>
  </w:style>
  <w:style w:type="paragraph" w:styleId="Quote">
    <w:name w:val="Quote"/>
    <w:basedOn w:val="Normal"/>
    <w:next w:val="Normal"/>
    <w:link w:val="QuoteChar"/>
    <w:uiPriority w:val="29"/>
    <w:qFormat/>
    <w:rsid w:val="0081234A"/>
    <w:pPr>
      <w:spacing w:before="160" w:after="120" w:line="264" w:lineRule="auto"/>
      <w:ind w:left="720" w:right="720"/>
    </w:pPr>
    <w:rPr>
      <w:rFonts w:eastAsiaTheme="minorEastAsia"/>
      <w:i/>
      <w:iCs/>
      <w:color w:val="404040" w:themeColor="text1" w:themeTint="BF"/>
      <w:sz w:val="20"/>
      <w:szCs w:val="20"/>
      <w:lang w:eastAsia="en-AU"/>
    </w:rPr>
  </w:style>
  <w:style w:type="character" w:customStyle="1" w:styleId="QuoteChar">
    <w:name w:val="Quote Char"/>
    <w:basedOn w:val="DefaultParagraphFont"/>
    <w:link w:val="Quote"/>
    <w:uiPriority w:val="29"/>
    <w:rsid w:val="00CD1B0E"/>
    <w:rPr>
      <w:rFonts w:eastAsiaTheme="minorEastAsia"/>
      <w:i/>
      <w:iCs/>
      <w:color w:val="404040" w:themeColor="text1" w:themeTint="BF"/>
      <w:sz w:val="20"/>
      <w:szCs w:val="20"/>
      <w:lang w:eastAsia="en-AU"/>
    </w:rPr>
  </w:style>
  <w:style w:type="table" w:styleId="ColorfulList">
    <w:name w:val="Colorful List"/>
    <w:basedOn w:val="TableNormal"/>
    <w:uiPriority w:val="98"/>
    <w:rsid w:val="0081234A"/>
    <w:pPr>
      <w:spacing w:after="0" w:line="240" w:lineRule="auto"/>
    </w:pPr>
    <w:rPr>
      <w:rFonts w:ascii="Times New Roman" w:eastAsia="MS Mincho"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Rfinbody">
    <w:name w:val="AR fin body"/>
    <w:basedOn w:val="Normal"/>
    <w:uiPriority w:val="2"/>
    <w:qFormat/>
    <w:rsid w:val="0081234A"/>
    <w:pPr>
      <w:suppressAutoHyphens/>
      <w:autoSpaceDE w:val="0"/>
      <w:autoSpaceDN w:val="0"/>
      <w:adjustRightInd w:val="0"/>
      <w:spacing w:after="60" w:line="264" w:lineRule="auto"/>
      <w:textAlignment w:val="center"/>
    </w:pPr>
    <w:rPr>
      <w:rFonts w:ascii="Arial" w:eastAsiaTheme="minorEastAsia" w:hAnsi="Arial" w:cs="ArialMT"/>
      <w:color w:val="000000"/>
      <w:sz w:val="18"/>
      <w:szCs w:val="16"/>
      <w:lang w:eastAsia="en-AU"/>
    </w:rPr>
  </w:style>
  <w:style w:type="paragraph" w:customStyle="1" w:styleId="ARtabletextcentre">
    <w:name w:val="AR table text centre"/>
    <w:basedOn w:val="ARtabletext"/>
    <w:rsid w:val="0081234A"/>
    <w:pPr>
      <w:jc w:val="center"/>
    </w:pPr>
  </w:style>
  <w:style w:type="paragraph" w:customStyle="1" w:styleId="ARfinbullet2">
    <w:name w:val="AR fin bullet 2"/>
    <w:basedOn w:val="ARfinbody"/>
    <w:uiPriority w:val="3"/>
    <w:qFormat/>
    <w:rsid w:val="001D049B"/>
    <w:pPr>
      <w:numPr>
        <w:ilvl w:val="1"/>
        <w:numId w:val="5"/>
      </w:numPr>
    </w:pPr>
  </w:style>
  <w:style w:type="paragraph" w:customStyle="1" w:styleId="ARfintablecolheadcentre">
    <w:name w:val="AR fin table col head centre"/>
    <w:basedOn w:val="Normal"/>
    <w:uiPriority w:val="3"/>
    <w:qFormat/>
    <w:rsid w:val="0081234A"/>
    <w:pPr>
      <w:spacing w:before="40" w:after="40" w:line="240" w:lineRule="auto"/>
      <w:jc w:val="center"/>
    </w:pPr>
    <w:rPr>
      <w:rFonts w:ascii="Arial" w:eastAsiaTheme="minorEastAsia" w:hAnsi="Arial"/>
      <w:b/>
      <w:sz w:val="18"/>
      <w:szCs w:val="16"/>
      <w:lang w:eastAsia="en-AU"/>
    </w:rPr>
  </w:style>
  <w:style w:type="paragraph" w:customStyle="1" w:styleId="ARfintablebodyindent">
    <w:name w:val="AR fin table body indent"/>
    <w:basedOn w:val="ARfintablebody"/>
    <w:uiPriority w:val="3"/>
    <w:rsid w:val="0081234A"/>
    <w:pPr>
      <w:ind w:left="227"/>
    </w:pPr>
  </w:style>
  <w:style w:type="paragraph" w:customStyle="1" w:styleId="ARfintablecolhead">
    <w:name w:val="AR fin table col head"/>
    <w:basedOn w:val="ARfintablecolheadright"/>
    <w:uiPriority w:val="1"/>
    <w:qFormat/>
    <w:rsid w:val="0081234A"/>
    <w:pPr>
      <w:jc w:val="left"/>
    </w:pPr>
  </w:style>
  <w:style w:type="paragraph" w:customStyle="1" w:styleId="ARfintablebody">
    <w:name w:val="AR fin table body"/>
    <w:uiPriority w:val="3"/>
    <w:qFormat/>
    <w:rsid w:val="0081234A"/>
    <w:pPr>
      <w:suppressAutoHyphens/>
      <w:spacing w:before="40" w:after="20" w:line="264" w:lineRule="auto"/>
      <w:ind w:right="113"/>
    </w:pPr>
    <w:rPr>
      <w:rFonts w:ascii="Arial" w:eastAsia="MS Mincho" w:hAnsi="Arial" w:cs="Arial"/>
      <w:color w:val="000000"/>
      <w:sz w:val="18"/>
      <w:szCs w:val="16"/>
      <w:lang w:eastAsia="en-AU"/>
    </w:rPr>
  </w:style>
  <w:style w:type="paragraph" w:customStyle="1" w:styleId="ARfintablebodybold">
    <w:name w:val="AR fin table body bold"/>
    <w:basedOn w:val="ARfintablebody"/>
    <w:uiPriority w:val="3"/>
    <w:rsid w:val="0081234A"/>
    <w:rPr>
      <w:rFonts w:cs="Arial-BoldMT"/>
      <w:b/>
      <w:bCs/>
    </w:rPr>
  </w:style>
  <w:style w:type="paragraph" w:customStyle="1" w:styleId="ARfintablefootnote">
    <w:name w:val="AR fin table footnote"/>
    <w:basedOn w:val="Normal"/>
    <w:uiPriority w:val="3"/>
    <w:qFormat/>
    <w:rsid w:val="0081234A"/>
    <w:pPr>
      <w:spacing w:before="60" w:after="60" w:line="180" w:lineRule="atLeast"/>
    </w:pPr>
    <w:rPr>
      <w:rFonts w:ascii="Arial" w:eastAsia="Times New Roman" w:hAnsi="Arial" w:cs="Times New Roman"/>
      <w:color w:val="000000"/>
      <w:sz w:val="16"/>
      <w:szCs w:val="14"/>
    </w:rPr>
  </w:style>
  <w:style w:type="paragraph" w:customStyle="1" w:styleId="ARfintablebodyright">
    <w:name w:val="AR fin table body right"/>
    <w:basedOn w:val="ARfintablebody"/>
    <w:uiPriority w:val="3"/>
    <w:qFormat/>
    <w:rsid w:val="0081234A"/>
    <w:pPr>
      <w:jc w:val="right"/>
    </w:pPr>
  </w:style>
  <w:style w:type="paragraph" w:customStyle="1" w:styleId="ARfintablecolheadright">
    <w:name w:val="AR fin table col head right"/>
    <w:basedOn w:val="Normal"/>
    <w:uiPriority w:val="1"/>
    <w:qFormat/>
    <w:rsid w:val="0081234A"/>
    <w:pPr>
      <w:spacing w:before="40" w:after="40" w:line="240" w:lineRule="auto"/>
      <w:ind w:right="113"/>
      <w:jc w:val="right"/>
    </w:pPr>
    <w:rPr>
      <w:rFonts w:ascii="Arial" w:eastAsiaTheme="minorEastAsia" w:hAnsi="Arial"/>
      <w:b/>
      <w:sz w:val="18"/>
      <w:szCs w:val="16"/>
      <w:lang w:eastAsia="en-AU"/>
    </w:rPr>
  </w:style>
  <w:style w:type="paragraph" w:customStyle="1" w:styleId="ARfintablefootnoteindent">
    <w:name w:val="AR fin table footnote indent"/>
    <w:link w:val="ARfintablefootnoteindentChar"/>
    <w:qFormat/>
    <w:rsid w:val="0081234A"/>
    <w:pPr>
      <w:spacing w:before="40" w:after="40" w:line="180" w:lineRule="atLeast"/>
      <w:ind w:left="284" w:hanging="284"/>
    </w:pPr>
    <w:rPr>
      <w:rFonts w:ascii="Arial" w:eastAsiaTheme="minorEastAsia" w:hAnsi="Arial"/>
      <w:color w:val="000000"/>
      <w:sz w:val="16"/>
      <w:szCs w:val="14"/>
      <w:lang w:eastAsia="en-AU"/>
    </w:rPr>
  </w:style>
  <w:style w:type="character" w:customStyle="1" w:styleId="ARfintablefootnoteindentChar">
    <w:name w:val="AR fin table footnote indent Char"/>
    <w:link w:val="ARfintablefootnoteindent"/>
    <w:rsid w:val="00536EEA"/>
    <w:rPr>
      <w:rFonts w:ascii="Arial" w:eastAsiaTheme="minorEastAsia" w:hAnsi="Arial"/>
      <w:color w:val="000000"/>
      <w:sz w:val="16"/>
      <w:szCs w:val="14"/>
      <w:lang w:eastAsia="en-AU"/>
    </w:rPr>
  </w:style>
  <w:style w:type="paragraph" w:customStyle="1" w:styleId="ARfinbullet1">
    <w:name w:val="AR fin bullet 1"/>
    <w:basedOn w:val="ARfinbody"/>
    <w:uiPriority w:val="2"/>
    <w:qFormat/>
    <w:rsid w:val="001D049B"/>
    <w:pPr>
      <w:numPr>
        <w:numId w:val="5"/>
      </w:numPr>
    </w:pPr>
    <w:rPr>
      <w:rFonts w:eastAsia="Verdana"/>
    </w:rPr>
  </w:style>
  <w:style w:type="paragraph" w:customStyle="1" w:styleId="ARfinbodyaftertable">
    <w:name w:val="AR fin body after table"/>
    <w:basedOn w:val="ARfintablebody"/>
    <w:uiPriority w:val="3"/>
    <w:qFormat/>
    <w:rsid w:val="0081234A"/>
    <w:pPr>
      <w:spacing w:before="160" w:after="60"/>
    </w:pPr>
  </w:style>
  <w:style w:type="paragraph" w:customStyle="1" w:styleId="ARfinstructure1">
    <w:name w:val="AR fin structure 1"/>
    <w:basedOn w:val="ARfinbody"/>
    <w:uiPriority w:val="3"/>
    <w:qFormat/>
    <w:rsid w:val="0081234A"/>
    <w:pPr>
      <w:spacing w:after="40"/>
      <w:ind w:left="567" w:hanging="567"/>
    </w:pPr>
  </w:style>
  <w:style w:type="paragraph" w:customStyle="1" w:styleId="ARfinstructure2">
    <w:name w:val="AR fin structure 2"/>
    <w:basedOn w:val="ARfinbody"/>
    <w:uiPriority w:val="3"/>
    <w:qFormat/>
    <w:rsid w:val="0081234A"/>
    <w:pPr>
      <w:spacing w:after="40"/>
      <w:ind w:left="1247" w:hanging="680"/>
    </w:pPr>
  </w:style>
  <w:style w:type="paragraph" w:customStyle="1" w:styleId="ARfintablebullet1">
    <w:name w:val="AR fin table bullet 1"/>
    <w:basedOn w:val="ARfintablebody"/>
    <w:uiPriority w:val="3"/>
    <w:rsid w:val="0081234A"/>
    <w:pPr>
      <w:ind w:left="170" w:hanging="170"/>
    </w:pPr>
  </w:style>
  <w:style w:type="paragraph" w:customStyle="1" w:styleId="ARfintablebullet2">
    <w:name w:val="AR fin table bullet 2"/>
    <w:basedOn w:val="Normal"/>
    <w:uiPriority w:val="3"/>
    <w:rsid w:val="0081234A"/>
    <w:pPr>
      <w:tabs>
        <w:tab w:val="num" w:pos="170"/>
      </w:tabs>
      <w:suppressAutoHyphens/>
      <w:spacing w:before="40" w:after="20" w:line="264" w:lineRule="auto"/>
      <w:ind w:left="340" w:right="113" w:hanging="170"/>
    </w:pPr>
    <w:rPr>
      <w:rFonts w:eastAsia="MS Mincho" w:cs="Arial"/>
      <w:color w:val="000000"/>
      <w:sz w:val="16"/>
      <w:szCs w:val="16"/>
      <w:lang w:eastAsia="en-AU"/>
    </w:rPr>
  </w:style>
  <w:style w:type="paragraph" w:customStyle="1" w:styleId="ARfintablebodyrightbold">
    <w:name w:val="AR fin table body right bold"/>
    <w:basedOn w:val="ARfintablebodyright"/>
    <w:uiPriority w:val="3"/>
    <w:rsid w:val="0081234A"/>
    <w:rPr>
      <w:b/>
    </w:rPr>
  </w:style>
  <w:style w:type="paragraph" w:customStyle="1" w:styleId="ARfinbodylargespace">
    <w:name w:val="AR fin body large space"/>
    <w:basedOn w:val="ARfinbody"/>
    <w:uiPriority w:val="3"/>
    <w:qFormat/>
    <w:rsid w:val="0081234A"/>
    <w:pPr>
      <w:spacing w:after="160"/>
    </w:pPr>
    <w:rPr>
      <w:rFonts w:cs="Arial"/>
    </w:rPr>
  </w:style>
  <w:style w:type="paragraph" w:customStyle="1" w:styleId="ARfintablebodycentre">
    <w:name w:val="AR fin table body centre"/>
    <w:basedOn w:val="ARfintablebody"/>
    <w:uiPriority w:val="3"/>
    <w:rsid w:val="0081234A"/>
    <w:pPr>
      <w:ind w:right="0"/>
      <w:jc w:val="center"/>
    </w:pPr>
  </w:style>
  <w:style w:type="character" w:customStyle="1" w:styleId="Subscript">
    <w:name w:val="Subscript"/>
    <w:basedOn w:val="DefaultParagraphFont"/>
    <w:uiPriority w:val="1"/>
    <w:rsid w:val="0081234A"/>
    <w:rPr>
      <w:vertAlign w:val="subscript"/>
    </w:rPr>
  </w:style>
  <w:style w:type="paragraph" w:customStyle="1" w:styleId="Heading2Financials">
    <w:name w:val="Heading 2 Financials"/>
    <w:basedOn w:val="Heading2"/>
    <w:uiPriority w:val="4"/>
    <w:rsid w:val="0081234A"/>
  </w:style>
  <w:style w:type="paragraph" w:customStyle="1" w:styleId="ARfintablebodycentrebold">
    <w:name w:val="AR fin table body centre bold"/>
    <w:basedOn w:val="ARfintablebodybold"/>
    <w:uiPriority w:val="3"/>
    <w:rsid w:val="0081234A"/>
    <w:pPr>
      <w:ind w:right="0"/>
      <w:jc w:val="center"/>
    </w:pPr>
  </w:style>
  <w:style w:type="character" w:customStyle="1" w:styleId="ARraisedby10pt">
    <w:name w:val="AR raised by 10pt"/>
    <w:basedOn w:val="DefaultParagraphFont"/>
    <w:uiPriority w:val="1"/>
    <w:rsid w:val="00E1592B"/>
    <w:rPr>
      <w:b w:val="0"/>
      <w:bCs/>
      <w:color w:val="005D8F" w:themeColor="text2"/>
      <w:position w:val="20"/>
    </w:rPr>
  </w:style>
  <w:style w:type="paragraph" w:customStyle="1" w:styleId="Heading3Values">
    <w:name w:val="Heading 3 Values"/>
    <w:uiPriority w:val="4"/>
    <w:rsid w:val="00E1592B"/>
    <w:pPr>
      <w:keepNext/>
      <w:keepLines/>
      <w:spacing w:before="240" w:after="60" w:line="240" w:lineRule="auto"/>
      <w:outlineLvl w:val="2"/>
    </w:pPr>
    <w:rPr>
      <w:rFonts w:ascii="Arial" w:eastAsia="Times" w:hAnsi="Arial" w:cs="Arial"/>
      <w:b/>
      <w:color w:val="005D8F" w:themeColor="text2"/>
      <w:szCs w:val="24"/>
    </w:rPr>
  </w:style>
  <w:style w:type="paragraph" w:customStyle="1" w:styleId="ARfinnumberalpha1">
    <w:name w:val="AR fin number alpha 1"/>
    <w:basedOn w:val="ARfinbody"/>
    <w:uiPriority w:val="3"/>
    <w:rsid w:val="001D049B"/>
    <w:pPr>
      <w:numPr>
        <w:numId w:val="6"/>
      </w:numPr>
    </w:pPr>
  </w:style>
  <w:style w:type="paragraph" w:customStyle="1" w:styleId="Heading3Grants">
    <w:name w:val="Heading 3 Grants"/>
    <w:uiPriority w:val="4"/>
    <w:rsid w:val="00E1592B"/>
    <w:pPr>
      <w:keepNext/>
      <w:keepLines/>
      <w:spacing w:before="320" w:after="120" w:line="240" w:lineRule="auto"/>
      <w:outlineLvl w:val="2"/>
    </w:pPr>
    <w:rPr>
      <w:rFonts w:ascii="Arial" w:eastAsia="Times" w:hAnsi="Arial" w:cs="Arial"/>
      <w:b/>
      <w:color w:val="005D8F" w:themeColor="text2"/>
      <w:sz w:val="24"/>
      <w:szCs w:val="24"/>
      <w:lang w:eastAsia="en-AU"/>
    </w:rPr>
  </w:style>
  <w:style w:type="paragraph" w:customStyle="1" w:styleId="ARfintableboldsubhead">
    <w:name w:val="AR fin table bold subhead"/>
    <w:basedOn w:val="ARfintablebody"/>
    <w:uiPriority w:val="3"/>
    <w:rsid w:val="0081234A"/>
    <w:pPr>
      <w:spacing w:before="160"/>
    </w:pPr>
    <w:rPr>
      <w:b/>
      <w:szCs w:val="18"/>
    </w:rPr>
  </w:style>
  <w:style w:type="paragraph" w:customStyle="1" w:styleId="ARfinbodyindent">
    <w:name w:val="AR fin body indent"/>
    <w:basedOn w:val="ARfinbody"/>
    <w:uiPriority w:val="2"/>
    <w:rsid w:val="0081234A"/>
    <w:pPr>
      <w:ind w:left="284"/>
    </w:pPr>
  </w:style>
  <w:style w:type="paragraph" w:styleId="ListNumber2">
    <w:name w:val="List Number 2"/>
    <w:basedOn w:val="Normal"/>
    <w:uiPriority w:val="99"/>
    <w:semiHidden/>
    <w:unhideWhenUsed/>
    <w:rsid w:val="0081234A"/>
    <w:pPr>
      <w:numPr>
        <w:numId w:val="2"/>
      </w:numPr>
      <w:contextualSpacing/>
    </w:pPr>
  </w:style>
  <w:style w:type="paragraph" w:customStyle="1" w:styleId="Heading3Ministers">
    <w:name w:val="Heading 3 Ministers"/>
    <w:basedOn w:val="Heading5"/>
    <w:uiPriority w:val="4"/>
    <w:rsid w:val="00D815E9"/>
    <w:pPr>
      <w:outlineLvl w:val="2"/>
    </w:pPr>
  </w:style>
  <w:style w:type="paragraph" w:customStyle="1" w:styleId="ARfooter">
    <w:name w:val="AR footer"/>
    <w:uiPriority w:val="3"/>
    <w:qFormat/>
    <w:rsid w:val="00FA5B26"/>
    <w:pPr>
      <w:spacing w:after="0" w:line="264" w:lineRule="auto"/>
    </w:pPr>
    <w:rPr>
      <w:rFonts w:ascii="Arial" w:eastAsiaTheme="minorEastAsia" w:hAnsi="Arial"/>
      <w:sz w:val="18"/>
      <w:szCs w:val="24"/>
    </w:rPr>
  </w:style>
  <w:style w:type="paragraph" w:customStyle="1" w:styleId="ARtablebullet2">
    <w:name w:val="AR table bullet 2"/>
    <w:basedOn w:val="ARtablebullet1"/>
    <w:uiPriority w:val="3"/>
    <w:qFormat/>
    <w:rsid w:val="0081234A"/>
    <w:pPr>
      <w:numPr>
        <w:ilvl w:val="1"/>
      </w:numPr>
    </w:pPr>
  </w:style>
  <w:style w:type="paragraph" w:customStyle="1" w:styleId="ARtablebullet1">
    <w:name w:val="AR table bullet 1"/>
    <w:basedOn w:val="ARtabletext"/>
    <w:uiPriority w:val="3"/>
    <w:qFormat/>
    <w:rsid w:val="0081234A"/>
    <w:pPr>
      <w:numPr>
        <w:numId w:val="3"/>
      </w:numPr>
      <w:spacing w:line="240" w:lineRule="auto"/>
    </w:pPr>
  </w:style>
  <w:style w:type="paragraph" w:customStyle="1" w:styleId="ARtablebluebold">
    <w:name w:val="AR table blue bold"/>
    <w:basedOn w:val="ARtabletext"/>
    <w:uiPriority w:val="3"/>
    <w:qFormat/>
    <w:rsid w:val="00E1592B"/>
    <w:pPr>
      <w:spacing w:line="240" w:lineRule="auto"/>
    </w:pPr>
    <w:rPr>
      <w:b/>
      <w:color w:val="005D8F" w:themeColor="text2"/>
    </w:rPr>
  </w:style>
  <w:style w:type="paragraph" w:customStyle="1" w:styleId="LightList-Accent316">
    <w:name w:val="Light List - Accent 316"/>
    <w:hidden/>
    <w:uiPriority w:val="99"/>
    <w:semiHidden/>
    <w:rsid w:val="0081234A"/>
    <w:pPr>
      <w:spacing w:after="120" w:line="264" w:lineRule="auto"/>
    </w:pPr>
    <w:rPr>
      <w:rFonts w:ascii="Arial" w:eastAsiaTheme="minorEastAsia" w:hAnsi="Arial"/>
      <w:sz w:val="24"/>
      <w:szCs w:val="24"/>
    </w:rPr>
  </w:style>
  <w:style w:type="paragraph" w:customStyle="1" w:styleId="LightList-Accent3115">
    <w:name w:val="Light List - Accent 3115"/>
    <w:hidden/>
    <w:uiPriority w:val="99"/>
    <w:semiHidden/>
    <w:rsid w:val="0081234A"/>
    <w:pPr>
      <w:spacing w:after="120" w:line="264" w:lineRule="auto"/>
    </w:pPr>
    <w:rPr>
      <w:rFonts w:ascii="Arial" w:eastAsiaTheme="minorEastAsia" w:hAnsi="Arial"/>
      <w:sz w:val="24"/>
      <w:szCs w:val="24"/>
    </w:rPr>
  </w:style>
  <w:style w:type="paragraph" w:customStyle="1" w:styleId="MediumList2-Accent215">
    <w:name w:val="Medium List 2 - Accent 215"/>
    <w:hidden/>
    <w:uiPriority w:val="99"/>
    <w:semiHidden/>
    <w:rsid w:val="0081234A"/>
    <w:pPr>
      <w:spacing w:after="120" w:line="264" w:lineRule="auto"/>
    </w:pPr>
    <w:rPr>
      <w:rFonts w:ascii="Arial" w:eastAsiaTheme="minorEastAsia" w:hAnsi="Arial"/>
      <w:sz w:val="24"/>
      <w:szCs w:val="24"/>
    </w:rPr>
  </w:style>
  <w:style w:type="paragraph" w:customStyle="1" w:styleId="MediumList2-Accent225">
    <w:name w:val="Medium List 2 - Accent 22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
    <w:name w:val="Colorful Shading - Accent 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
    <w:name w:val="Colorful Shading - Accent 125"/>
    <w:hidden/>
    <w:uiPriority w:val="99"/>
    <w:semiHidden/>
    <w:rsid w:val="0081234A"/>
    <w:pPr>
      <w:spacing w:after="120" w:line="264" w:lineRule="auto"/>
    </w:pPr>
    <w:rPr>
      <w:rFonts w:ascii="Verdana" w:eastAsiaTheme="minorEastAsia" w:hAnsi="Verdana"/>
      <w:sz w:val="20"/>
      <w:szCs w:val="20"/>
    </w:rPr>
  </w:style>
  <w:style w:type="paragraph" w:customStyle="1" w:styleId="LightList-Accent3122">
    <w:name w:val="Light List - Accent 3122"/>
    <w:hidden/>
    <w:uiPriority w:val="99"/>
    <w:semiHidden/>
    <w:rsid w:val="0081234A"/>
    <w:pPr>
      <w:spacing w:after="120" w:line="264" w:lineRule="auto"/>
    </w:pPr>
    <w:rPr>
      <w:rFonts w:ascii="Arial" w:eastAsiaTheme="minorEastAsia" w:hAnsi="Arial"/>
      <w:sz w:val="24"/>
      <w:szCs w:val="24"/>
    </w:rPr>
  </w:style>
  <w:style w:type="paragraph" w:customStyle="1" w:styleId="LightList-Accent31112">
    <w:name w:val="Light List - Accent 3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2">
    <w:name w:val="Medium List 2 - Accent 2112"/>
    <w:hidden/>
    <w:uiPriority w:val="99"/>
    <w:semiHidden/>
    <w:rsid w:val="0081234A"/>
    <w:pPr>
      <w:spacing w:after="120" w:line="264" w:lineRule="auto"/>
    </w:pPr>
    <w:rPr>
      <w:rFonts w:ascii="Arial" w:eastAsiaTheme="minorEastAsia" w:hAnsi="Arial"/>
      <w:sz w:val="24"/>
      <w:szCs w:val="24"/>
    </w:rPr>
  </w:style>
  <w:style w:type="paragraph" w:customStyle="1" w:styleId="MediumList2-Accent2212">
    <w:name w:val="Medium List 2 - Accent 22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
    <w:name w:val="Colorful Shading - Accent 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
    <w:name w:val="Colorful Shading - Accent 12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2">
    <w:name w:val="Light List - Accent 3132"/>
    <w:hidden/>
    <w:uiPriority w:val="99"/>
    <w:semiHidden/>
    <w:rsid w:val="0081234A"/>
    <w:pPr>
      <w:spacing w:after="120" w:line="264" w:lineRule="auto"/>
    </w:pPr>
    <w:rPr>
      <w:rFonts w:ascii="Arial" w:eastAsiaTheme="minorEastAsia" w:hAnsi="Arial"/>
      <w:sz w:val="24"/>
      <w:szCs w:val="24"/>
    </w:rPr>
  </w:style>
  <w:style w:type="paragraph" w:customStyle="1" w:styleId="LightList-Accent31122">
    <w:name w:val="Light List - Accent 31122"/>
    <w:hidden/>
    <w:uiPriority w:val="99"/>
    <w:semiHidden/>
    <w:rsid w:val="0081234A"/>
    <w:pPr>
      <w:spacing w:after="120" w:line="264" w:lineRule="auto"/>
    </w:pPr>
    <w:rPr>
      <w:rFonts w:ascii="Arial" w:eastAsiaTheme="minorEastAsia" w:hAnsi="Arial"/>
      <w:sz w:val="24"/>
      <w:szCs w:val="24"/>
    </w:rPr>
  </w:style>
  <w:style w:type="paragraph" w:customStyle="1" w:styleId="MediumList2-Accent2122">
    <w:name w:val="Medium List 2 - Accent 2122"/>
    <w:hidden/>
    <w:uiPriority w:val="99"/>
    <w:semiHidden/>
    <w:rsid w:val="0081234A"/>
    <w:pPr>
      <w:spacing w:after="120" w:line="264" w:lineRule="auto"/>
    </w:pPr>
    <w:rPr>
      <w:rFonts w:ascii="Arial" w:eastAsiaTheme="minorEastAsia" w:hAnsi="Arial"/>
      <w:sz w:val="24"/>
      <w:szCs w:val="24"/>
    </w:rPr>
  </w:style>
  <w:style w:type="paragraph" w:customStyle="1" w:styleId="MediumList2-Accent2222">
    <w:name w:val="Medium List 2 - Accent 2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
    <w:name w:val="Colorful Shading - Accent 11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
    <w:name w:val="Colorful Shading - Accent 12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
    <w:name w:val="Light List - Accent 31211"/>
    <w:hidden/>
    <w:uiPriority w:val="99"/>
    <w:semiHidden/>
    <w:rsid w:val="0081234A"/>
    <w:pPr>
      <w:spacing w:after="120" w:line="264" w:lineRule="auto"/>
    </w:pPr>
    <w:rPr>
      <w:rFonts w:ascii="Arial" w:eastAsiaTheme="minorEastAsia" w:hAnsi="Arial"/>
      <w:sz w:val="24"/>
      <w:szCs w:val="24"/>
    </w:rPr>
  </w:style>
  <w:style w:type="paragraph" w:customStyle="1" w:styleId="LightList-Accent311111">
    <w:name w:val="Light List - Accent 31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1">
    <w:name w:val="Medium List 2 - Accent 21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1">
    <w:name w:val="Medium List 2 - Accent 22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
    <w:name w:val="Colorful Shading - Accent 1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
    <w:name w:val="Colorful Shading - Accent 12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
    <w:name w:val="Light List - Accent 31311"/>
    <w:hidden/>
    <w:uiPriority w:val="99"/>
    <w:semiHidden/>
    <w:rsid w:val="0081234A"/>
    <w:pPr>
      <w:spacing w:after="120" w:line="264" w:lineRule="auto"/>
    </w:pPr>
    <w:rPr>
      <w:rFonts w:ascii="Arial" w:eastAsiaTheme="minorEastAsia" w:hAnsi="Arial"/>
      <w:sz w:val="24"/>
      <w:szCs w:val="24"/>
    </w:rPr>
  </w:style>
  <w:style w:type="paragraph" w:customStyle="1" w:styleId="LightList-Accent311211">
    <w:name w:val="Light List - Accent 311211"/>
    <w:hidden/>
    <w:uiPriority w:val="99"/>
    <w:semiHidden/>
    <w:rsid w:val="0081234A"/>
    <w:pPr>
      <w:spacing w:after="120" w:line="264" w:lineRule="auto"/>
    </w:pPr>
    <w:rPr>
      <w:rFonts w:ascii="Arial" w:eastAsiaTheme="minorEastAsia" w:hAnsi="Arial"/>
      <w:sz w:val="24"/>
      <w:szCs w:val="24"/>
    </w:rPr>
  </w:style>
  <w:style w:type="paragraph" w:customStyle="1" w:styleId="MediumList2-Accent21211">
    <w:name w:val="Medium List 2 - Accent 21211"/>
    <w:hidden/>
    <w:uiPriority w:val="99"/>
    <w:semiHidden/>
    <w:rsid w:val="0081234A"/>
    <w:pPr>
      <w:spacing w:after="120" w:line="264" w:lineRule="auto"/>
    </w:pPr>
    <w:rPr>
      <w:rFonts w:ascii="Arial" w:eastAsiaTheme="minorEastAsia" w:hAnsi="Arial"/>
      <w:sz w:val="24"/>
      <w:szCs w:val="24"/>
    </w:rPr>
  </w:style>
  <w:style w:type="paragraph" w:customStyle="1" w:styleId="MediumList2-Accent22211">
    <w:name w:val="Medium List 2 - Accent 222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
    <w:name w:val="Colorful Shading - Accent 112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
    <w:name w:val="Colorful Shading - Accent 12211"/>
    <w:hidden/>
    <w:uiPriority w:val="99"/>
    <w:semiHidden/>
    <w:rsid w:val="0081234A"/>
    <w:pPr>
      <w:spacing w:after="120" w:line="264" w:lineRule="auto"/>
    </w:pPr>
    <w:rPr>
      <w:rFonts w:ascii="Verdana" w:eastAsiaTheme="minorEastAsia" w:hAnsi="Verdana"/>
      <w:sz w:val="20"/>
      <w:szCs w:val="20"/>
    </w:rPr>
  </w:style>
  <w:style w:type="paragraph" w:customStyle="1" w:styleId="LightList-Accent3141">
    <w:name w:val="Light List - Accent 3141"/>
    <w:hidden/>
    <w:uiPriority w:val="99"/>
    <w:semiHidden/>
    <w:rsid w:val="0081234A"/>
    <w:pPr>
      <w:spacing w:after="120" w:line="264" w:lineRule="auto"/>
    </w:pPr>
    <w:rPr>
      <w:rFonts w:ascii="Arial" w:eastAsiaTheme="minorEastAsia" w:hAnsi="Arial"/>
      <w:sz w:val="24"/>
      <w:szCs w:val="24"/>
    </w:rPr>
  </w:style>
  <w:style w:type="paragraph" w:customStyle="1" w:styleId="LightList-Accent31131">
    <w:name w:val="Light List - Accent 31131"/>
    <w:hidden/>
    <w:uiPriority w:val="99"/>
    <w:semiHidden/>
    <w:rsid w:val="0081234A"/>
    <w:pPr>
      <w:spacing w:after="120" w:line="264" w:lineRule="auto"/>
    </w:pPr>
    <w:rPr>
      <w:rFonts w:ascii="Arial" w:eastAsiaTheme="minorEastAsia" w:hAnsi="Arial"/>
      <w:sz w:val="24"/>
      <w:szCs w:val="24"/>
    </w:rPr>
  </w:style>
  <w:style w:type="paragraph" w:customStyle="1" w:styleId="MediumList2-Accent2131">
    <w:name w:val="Medium List 2 - Accent 2131"/>
    <w:hidden/>
    <w:uiPriority w:val="99"/>
    <w:semiHidden/>
    <w:rsid w:val="0081234A"/>
    <w:pPr>
      <w:spacing w:after="120" w:line="264" w:lineRule="auto"/>
    </w:pPr>
    <w:rPr>
      <w:rFonts w:ascii="Arial" w:eastAsiaTheme="minorEastAsia" w:hAnsi="Arial"/>
      <w:sz w:val="24"/>
      <w:szCs w:val="24"/>
    </w:rPr>
  </w:style>
  <w:style w:type="paragraph" w:customStyle="1" w:styleId="MediumList2-Accent2231">
    <w:name w:val="Medium List 2 - Accent 22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
    <w:name w:val="Colorful Shading - Accent 11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
    <w:name w:val="Colorful Shading - Accent 1231"/>
    <w:hidden/>
    <w:uiPriority w:val="99"/>
    <w:semiHidden/>
    <w:rsid w:val="0081234A"/>
    <w:pPr>
      <w:spacing w:after="120" w:line="264" w:lineRule="auto"/>
    </w:pPr>
    <w:rPr>
      <w:rFonts w:ascii="Verdana" w:eastAsiaTheme="minorEastAsia" w:hAnsi="Verdana"/>
      <w:sz w:val="20"/>
      <w:szCs w:val="20"/>
    </w:rPr>
  </w:style>
  <w:style w:type="paragraph" w:customStyle="1" w:styleId="LightList-Accent3151">
    <w:name w:val="Light List - Accent 3151"/>
    <w:hidden/>
    <w:uiPriority w:val="99"/>
    <w:semiHidden/>
    <w:rsid w:val="0081234A"/>
    <w:pPr>
      <w:spacing w:after="120" w:line="264" w:lineRule="auto"/>
    </w:pPr>
    <w:rPr>
      <w:rFonts w:ascii="Arial" w:eastAsiaTheme="minorEastAsia" w:hAnsi="Arial"/>
      <w:sz w:val="24"/>
      <w:szCs w:val="24"/>
    </w:rPr>
  </w:style>
  <w:style w:type="paragraph" w:customStyle="1" w:styleId="LightList-Accent31141">
    <w:name w:val="Light List - Accent 31141"/>
    <w:hidden/>
    <w:uiPriority w:val="99"/>
    <w:semiHidden/>
    <w:rsid w:val="0081234A"/>
    <w:pPr>
      <w:spacing w:after="120" w:line="264" w:lineRule="auto"/>
    </w:pPr>
    <w:rPr>
      <w:rFonts w:ascii="Arial" w:eastAsiaTheme="minorEastAsia" w:hAnsi="Arial"/>
      <w:sz w:val="24"/>
      <w:szCs w:val="24"/>
    </w:rPr>
  </w:style>
  <w:style w:type="paragraph" w:customStyle="1" w:styleId="MediumList2-Accent2141">
    <w:name w:val="Medium List 2 - Accent 2141"/>
    <w:hidden/>
    <w:uiPriority w:val="99"/>
    <w:semiHidden/>
    <w:rsid w:val="0081234A"/>
    <w:pPr>
      <w:spacing w:after="120" w:line="264" w:lineRule="auto"/>
    </w:pPr>
    <w:rPr>
      <w:rFonts w:ascii="Arial" w:eastAsiaTheme="minorEastAsia" w:hAnsi="Arial"/>
      <w:sz w:val="24"/>
      <w:szCs w:val="24"/>
    </w:rPr>
  </w:style>
  <w:style w:type="paragraph" w:customStyle="1" w:styleId="MediumList2-Accent2241">
    <w:name w:val="Medium List 2 - Accent 224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
    <w:name w:val="Colorful Shading - Accent 114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
    <w:name w:val="Colorful Shading - Accent 1241"/>
    <w:hidden/>
    <w:uiPriority w:val="99"/>
    <w:semiHidden/>
    <w:rsid w:val="0081234A"/>
    <w:pPr>
      <w:spacing w:after="120" w:line="264" w:lineRule="auto"/>
    </w:pPr>
    <w:rPr>
      <w:rFonts w:ascii="Verdana" w:eastAsiaTheme="minorEastAsia" w:hAnsi="Verdana"/>
      <w:sz w:val="20"/>
      <w:szCs w:val="20"/>
    </w:rPr>
  </w:style>
  <w:style w:type="paragraph" w:customStyle="1" w:styleId="LightList-Accent317">
    <w:name w:val="Light List - Accent 317"/>
    <w:hidden/>
    <w:uiPriority w:val="99"/>
    <w:semiHidden/>
    <w:rsid w:val="0081234A"/>
    <w:pPr>
      <w:spacing w:after="120" w:line="264" w:lineRule="auto"/>
    </w:pPr>
    <w:rPr>
      <w:rFonts w:ascii="Arial" w:eastAsiaTheme="minorEastAsia" w:hAnsi="Arial"/>
      <w:sz w:val="24"/>
      <w:szCs w:val="24"/>
    </w:rPr>
  </w:style>
  <w:style w:type="paragraph" w:customStyle="1" w:styleId="LightList-Accent3116">
    <w:name w:val="Light List - Accent 3116"/>
    <w:hidden/>
    <w:uiPriority w:val="99"/>
    <w:semiHidden/>
    <w:rsid w:val="0081234A"/>
    <w:pPr>
      <w:spacing w:after="120" w:line="264" w:lineRule="auto"/>
    </w:pPr>
    <w:rPr>
      <w:rFonts w:ascii="Arial" w:eastAsiaTheme="minorEastAsia" w:hAnsi="Arial"/>
      <w:sz w:val="24"/>
      <w:szCs w:val="24"/>
    </w:rPr>
  </w:style>
  <w:style w:type="paragraph" w:customStyle="1" w:styleId="MediumList2-Accent216">
    <w:name w:val="Medium List 2 - Accent 216"/>
    <w:hidden/>
    <w:uiPriority w:val="99"/>
    <w:semiHidden/>
    <w:rsid w:val="0081234A"/>
    <w:pPr>
      <w:spacing w:after="120" w:line="264" w:lineRule="auto"/>
    </w:pPr>
    <w:rPr>
      <w:rFonts w:ascii="Arial" w:eastAsiaTheme="minorEastAsia" w:hAnsi="Arial"/>
      <w:sz w:val="24"/>
      <w:szCs w:val="24"/>
    </w:rPr>
  </w:style>
  <w:style w:type="paragraph" w:customStyle="1" w:styleId="MediumList2-Accent226">
    <w:name w:val="Medium List 2 - Accent 22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6">
    <w:name w:val="Colorful Shading - Accent 11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6">
    <w:name w:val="Colorful Shading - Accent 126"/>
    <w:hidden/>
    <w:uiPriority w:val="99"/>
    <w:semiHidden/>
    <w:rsid w:val="0081234A"/>
    <w:pPr>
      <w:spacing w:after="120" w:line="264" w:lineRule="auto"/>
    </w:pPr>
    <w:rPr>
      <w:rFonts w:ascii="Verdana" w:eastAsiaTheme="minorEastAsia" w:hAnsi="Verdana"/>
      <w:sz w:val="20"/>
      <w:szCs w:val="20"/>
    </w:rPr>
  </w:style>
  <w:style w:type="paragraph" w:customStyle="1" w:styleId="LightList-Accent3123">
    <w:name w:val="Light List - Accent 3123"/>
    <w:hidden/>
    <w:uiPriority w:val="99"/>
    <w:semiHidden/>
    <w:rsid w:val="0081234A"/>
    <w:pPr>
      <w:spacing w:after="120" w:line="264" w:lineRule="auto"/>
    </w:pPr>
    <w:rPr>
      <w:rFonts w:ascii="Arial" w:eastAsiaTheme="minorEastAsia" w:hAnsi="Arial"/>
      <w:sz w:val="24"/>
      <w:szCs w:val="24"/>
    </w:rPr>
  </w:style>
  <w:style w:type="paragraph" w:customStyle="1" w:styleId="LightList-Accent31113">
    <w:name w:val="Light List - Accent 31113"/>
    <w:hidden/>
    <w:uiPriority w:val="99"/>
    <w:semiHidden/>
    <w:rsid w:val="0081234A"/>
    <w:pPr>
      <w:spacing w:after="120" w:line="264" w:lineRule="auto"/>
    </w:pPr>
    <w:rPr>
      <w:rFonts w:ascii="Arial" w:eastAsiaTheme="minorEastAsia" w:hAnsi="Arial"/>
      <w:sz w:val="24"/>
      <w:szCs w:val="24"/>
    </w:rPr>
  </w:style>
  <w:style w:type="paragraph" w:customStyle="1" w:styleId="MediumList2-Accent2113">
    <w:name w:val="Medium List 2 - Accent 2113"/>
    <w:hidden/>
    <w:uiPriority w:val="99"/>
    <w:semiHidden/>
    <w:rsid w:val="0081234A"/>
    <w:pPr>
      <w:spacing w:after="120" w:line="264" w:lineRule="auto"/>
    </w:pPr>
    <w:rPr>
      <w:rFonts w:ascii="Arial" w:eastAsiaTheme="minorEastAsia" w:hAnsi="Arial"/>
      <w:sz w:val="24"/>
      <w:szCs w:val="24"/>
    </w:rPr>
  </w:style>
  <w:style w:type="paragraph" w:customStyle="1" w:styleId="MediumList2-Accent2213">
    <w:name w:val="Medium List 2 - Accent 22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3">
    <w:name w:val="Colorful Shading - Accent 1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3">
    <w:name w:val="Colorful Shading - Accent 1213"/>
    <w:hidden/>
    <w:uiPriority w:val="99"/>
    <w:semiHidden/>
    <w:rsid w:val="0081234A"/>
    <w:pPr>
      <w:spacing w:after="120" w:line="264" w:lineRule="auto"/>
    </w:pPr>
    <w:rPr>
      <w:rFonts w:ascii="Verdana" w:eastAsiaTheme="minorEastAsia" w:hAnsi="Verdana"/>
      <w:sz w:val="20"/>
      <w:szCs w:val="20"/>
    </w:rPr>
  </w:style>
  <w:style w:type="paragraph" w:customStyle="1" w:styleId="LightList-Accent3133">
    <w:name w:val="Light List - Accent 3133"/>
    <w:hidden/>
    <w:uiPriority w:val="99"/>
    <w:semiHidden/>
    <w:rsid w:val="0081234A"/>
    <w:pPr>
      <w:spacing w:after="120" w:line="264" w:lineRule="auto"/>
    </w:pPr>
    <w:rPr>
      <w:rFonts w:ascii="Arial" w:eastAsiaTheme="minorEastAsia" w:hAnsi="Arial"/>
      <w:sz w:val="24"/>
      <w:szCs w:val="24"/>
    </w:rPr>
  </w:style>
  <w:style w:type="paragraph" w:customStyle="1" w:styleId="LightList-Accent31123">
    <w:name w:val="Light List - Accent 31123"/>
    <w:hidden/>
    <w:uiPriority w:val="99"/>
    <w:semiHidden/>
    <w:rsid w:val="0081234A"/>
    <w:pPr>
      <w:spacing w:after="120" w:line="264" w:lineRule="auto"/>
    </w:pPr>
    <w:rPr>
      <w:rFonts w:ascii="Arial" w:eastAsiaTheme="minorEastAsia" w:hAnsi="Arial"/>
      <w:sz w:val="24"/>
      <w:szCs w:val="24"/>
    </w:rPr>
  </w:style>
  <w:style w:type="paragraph" w:customStyle="1" w:styleId="MediumList2-Accent2123">
    <w:name w:val="Medium List 2 - Accent 2123"/>
    <w:hidden/>
    <w:uiPriority w:val="99"/>
    <w:semiHidden/>
    <w:rsid w:val="0081234A"/>
    <w:pPr>
      <w:spacing w:after="120" w:line="264" w:lineRule="auto"/>
    </w:pPr>
    <w:rPr>
      <w:rFonts w:ascii="Arial" w:eastAsiaTheme="minorEastAsia" w:hAnsi="Arial"/>
      <w:sz w:val="24"/>
      <w:szCs w:val="24"/>
    </w:rPr>
  </w:style>
  <w:style w:type="paragraph" w:customStyle="1" w:styleId="MediumList2-Accent2223">
    <w:name w:val="Medium List 2 - Accent 222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3">
    <w:name w:val="Colorful Shading - Accent 112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3">
    <w:name w:val="Colorful Shading - Accent 1223"/>
    <w:hidden/>
    <w:uiPriority w:val="99"/>
    <w:semiHidden/>
    <w:rsid w:val="0081234A"/>
    <w:pPr>
      <w:spacing w:after="120" w:line="264" w:lineRule="auto"/>
    </w:pPr>
    <w:rPr>
      <w:rFonts w:ascii="Verdana" w:eastAsiaTheme="minorEastAsia" w:hAnsi="Verdana"/>
      <w:sz w:val="20"/>
      <w:szCs w:val="20"/>
    </w:rPr>
  </w:style>
  <w:style w:type="paragraph" w:customStyle="1" w:styleId="LightList-Accent31212">
    <w:name w:val="Light List - Accent 31212"/>
    <w:hidden/>
    <w:uiPriority w:val="99"/>
    <w:semiHidden/>
    <w:rsid w:val="0081234A"/>
    <w:pPr>
      <w:spacing w:after="120" w:line="264" w:lineRule="auto"/>
    </w:pPr>
    <w:rPr>
      <w:rFonts w:ascii="Arial" w:eastAsiaTheme="minorEastAsia" w:hAnsi="Arial"/>
      <w:sz w:val="24"/>
      <w:szCs w:val="24"/>
    </w:rPr>
  </w:style>
  <w:style w:type="paragraph" w:customStyle="1" w:styleId="LightList-Accent311112">
    <w:name w:val="Light List - Accent 31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12">
    <w:name w:val="Medium List 2 - Accent 21112"/>
    <w:hidden/>
    <w:uiPriority w:val="99"/>
    <w:semiHidden/>
    <w:rsid w:val="0081234A"/>
    <w:pPr>
      <w:spacing w:after="120" w:line="264" w:lineRule="auto"/>
    </w:pPr>
    <w:rPr>
      <w:rFonts w:ascii="Arial" w:eastAsiaTheme="minorEastAsia" w:hAnsi="Arial"/>
      <w:sz w:val="24"/>
      <w:szCs w:val="24"/>
    </w:rPr>
  </w:style>
  <w:style w:type="paragraph" w:customStyle="1" w:styleId="MediumList2-Accent22112">
    <w:name w:val="Medium List 2 - Accent 22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2">
    <w:name w:val="Colorful Shading - Accent 1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2">
    <w:name w:val="Colorful Shading - Accent 12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12">
    <w:name w:val="Light List - Accent 31312"/>
    <w:hidden/>
    <w:uiPriority w:val="99"/>
    <w:semiHidden/>
    <w:rsid w:val="0081234A"/>
    <w:pPr>
      <w:spacing w:after="120" w:line="264" w:lineRule="auto"/>
    </w:pPr>
    <w:rPr>
      <w:rFonts w:ascii="Arial" w:eastAsiaTheme="minorEastAsia" w:hAnsi="Arial"/>
      <w:sz w:val="24"/>
      <w:szCs w:val="24"/>
    </w:rPr>
  </w:style>
  <w:style w:type="paragraph" w:customStyle="1" w:styleId="LightList-Accent311212">
    <w:name w:val="Light List - Accent 311212"/>
    <w:hidden/>
    <w:uiPriority w:val="99"/>
    <w:semiHidden/>
    <w:rsid w:val="0081234A"/>
    <w:pPr>
      <w:spacing w:after="120" w:line="264" w:lineRule="auto"/>
    </w:pPr>
    <w:rPr>
      <w:rFonts w:ascii="Arial" w:eastAsiaTheme="minorEastAsia" w:hAnsi="Arial"/>
      <w:sz w:val="24"/>
      <w:szCs w:val="24"/>
    </w:rPr>
  </w:style>
  <w:style w:type="paragraph" w:customStyle="1" w:styleId="MediumList2-Accent21212">
    <w:name w:val="Medium List 2 - Accent 21212"/>
    <w:hidden/>
    <w:uiPriority w:val="99"/>
    <w:semiHidden/>
    <w:rsid w:val="0081234A"/>
    <w:pPr>
      <w:spacing w:after="120" w:line="264" w:lineRule="auto"/>
    </w:pPr>
    <w:rPr>
      <w:rFonts w:ascii="Arial" w:eastAsiaTheme="minorEastAsia" w:hAnsi="Arial"/>
      <w:sz w:val="24"/>
      <w:szCs w:val="24"/>
    </w:rPr>
  </w:style>
  <w:style w:type="paragraph" w:customStyle="1" w:styleId="MediumList2-Accent22212">
    <w:name w:val="Medium List 2 - Accent 222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2">
    <w:name w:val="Colorful Shading - Accent 112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2">
    <w:name w:val="Colorful Shading - Accent 12212"/>
    <w:hidden/>
    <w:uiPriority w:val="99"/>
    <w:semiHidden/>
    <w:rsid w:val="0081234A"/>
    <w:pPr>
      <w:spacing w:after="120" w:line="264" w:lineRule="auto"/>
    </w:pPr>
    <w:rPr>
      <w:rFonts w:ascii="Verdana" w:eastAsiaTheme="minorEastAsia" w:hAnsi="Verdana"/>
      <w:sz w:val="20"/>
      <w:szCs w:val="20"/>
    </w:rPr>
  </w:style>
  <w:style w:type="paragraph" w:customStyle="1" w:styleId="LightList-Accent3142">
    <w:name w:val="Light List - Accent 3142"/>
    <w:hidden/>
    <w:uiPriority w:val="99"/>
    <w:semiHidden/>
    <w:rsid w:val="0081234A"/>
    <w:pPr>
      <w:spacing w:after="120" w:line="264" w:lineRule="auto"/>
    </w:pPr>
    <w:rPr>
      <w:rFonts w:ascii="Arial" w:eastAsiaTheme="minorEastAsia" w:hAnsi="Arial"/>
      <w:sz w:val="24"/>
      <w:szCs w:val="24"/>
    </w:rPr>
  </w:style>
  <w:style w:type="paragraph" w:customStyle="1" w:styleId="LightList-Accent31132">
    <w:name w:val="Light List - Accent 31132"/>
    <w:hidden/>
    <w:uiPriority w:val="99"/>
    <w:semiHidden/>
    <w:rsid w:val="0081234A"/>
    <w:pPr>
      <w:spacing w:after="120" w:line="264" w:lineRule="auto"/>
    </w:pPr>
    <w:rPr>
      <w:rFonts w:ascii="Arial" w:eastAsiaTheme="minorEastAsia" w:hAnsi="Arial"/>
      <w:sz w:val="24"/>
      <w:szCs w:val="24"/>
    </w:rPr>
  </w:style>
  <w:style w:type="paragraph" w:customStyle="1" w:styleId="MediumList2-Accent2132">
    <w:name w:val="Medium List 2 - Accent 2132"/>
    <w:hidden/>
    <w:uiPriority w:val="99"/>
    <w:semiHidden/>
    <w:rsid w:val="0081234A"/>
    <w:pPr>
      <w:spacing w:after="120" w:line="264" w:lineRule="auto"/>
    </w:pPr>
    <w:rPr>
      <w:rFonts w:ascii="Arial" w:eastAsiaTheme="minorEastAsia" w:hAnsi="Arial"/>
      <w:sz w:val="24"/>
      <w:szCs w:val="24"/>
    </w:rPr>
  </w:style>
  <w:style w:type="paragraph" w:customStyle="1" w:styleId="MediumList2-Accent2232">
    <w:name w:val="Medium List 2 - Accent 223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2">
    <w:name w:val="Colorful Shading - Accent 113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2">
    <w:name w:val="Colorful Shading - Accent 1232"/>
    <w:hidden/>
    <w:uiPriority w:val="99"/>
    <w:semiHidden/>
    <w:rsid w:val="0081234A"/>
    <w:pPr>
      <w:spacing w:after="120" w:line="264" w:lineRule="auto"/>
    </w:pPr>
    <w:rPr>
      <w:rFonts w:ascii="Verdana" w:eastAsiaTheme="minorEastAsia" w:hAnsi="Verdana"/>
      <w:sz w:val="20"/>
      <w:szCs w:val="20"/>
    </w:rPr>
  </w:style>
  <w:style w:type="paragraph" w:customStyle="1" w:styleId="LightList-Accent3152">
    <w:name w:val="Light List - Accent 3152"/>
    <w:hidden/>
    <w:uiPriority w:val="99"/>
    <w:semiHidden/>
    <w:rsid w:val="0081234A"/>
    <w:pPr>
      <w:spacing w:after="120" w:line="264" w:lineRule="auto"/>
    </w:pPr>
    <w:rPr>
      <w:rFonts w:ascii="Arial" w:eastAsiaTheme="minorEastAsia" w:hAnsi="Arial"/>
      <w:sz w:val="24"/>
      <w:szCs w:val="24"/>
    </w:rPr>
  </w:style>
  <w:style w:type="paragraph" w:customStyle="1" w:styleId="LightList-Accent31142">
    <w:name w:val="Light List - Accent 31142"/>
    <w:hidden/>
    <w:uiPriority w:val="99"/>
    <w:semiHidden/>
    <w:rsid w:val="0081234A"/>
    <w:pPr>
      <w:spacing w:after="120" w:line="264" w:lineRule="auto"/>
    </w:pPr>
    <w:rPr>
      <w:rFonts w:ascii="Arial" w:eastAsiaTheme="minorEastAsia" w:hAnsi="Arial"/>
      <w:sz w:val="24"/>
      <w:szCs w:val="24"/>
    </w:rPr>
  </w:style>
  <w:style w:type="paragraph" w:customStyle="1" w:styleId="MediumList2-Accent2142">
    <w:name w:val="Medium List 2 - Accent 2142"/>
    <w:hidden/>
    <w:uiPriority w:val="99"/>
    <w:semiHidden/>
    <w:rsid w:val="0081234A"/>
    <w:pPr>
      <w:spacing w:after="120" w:line="264" w:lineRule="auto"/>
    </w:pPr>
    <w:rPr>
      <w:rFonts w:ascii="Arial" w:eastAsiaTheme="minorEastAsia" w:hAnsi="Arial"/>
      <w:sz w:val="24"/>
      <w:szCs w:val="24"/>
    </w:rPr>
  </w:style>
  <w:style w:type="paragraph" w:customStyle="1" w:styleId="MediumList2-Accent2242">
    <w:name w:val="Medium List 2 - Accent 224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2">
    <w:name w:val="Colorful Shading - Accent 114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2">
    <w:name w:val="Colorful Shading - Accent 1242"/>
    <w:hidden/>
    <w:uiPriority w:val="99"/>
    <w:semiHidden/>
    <w:rsid w:val="0081234A"/>
    <w:pPr>
      <w:spacing w:after="120" w:line="264" w:lineRule="auto"/>
    </w:pPr>
    <w:rPr>
      <w:rFonts w:ascii="Verdana" w:eastAsiaTheme="minorEastAsia" w:hAnsi="Verdana"/>
      <w:sz w:val="20"/>
      <w:szCs w:val="20"/>
    </w:rPr>
  </w:style>
  <w:style w:type="paragraph" w:customStyle="1" w:styleId="LightList-Accent318">
    <w:name w:val="Light List - Accent 318"/>
    <w:hidden/>
    <w:uiPriority w:val="99"/>
    <w:semiHidden/>
    <w:rsid w:val="0081234A"/>
    <w:pPr>
      <w:spacing w:after="120" w:line="264" w:lineRule="auto"/>
    </w:pPr>
    <w:rPr>
      <w:rFonts w:ascii="Arial" w:eastAsiaTheme="minorEastAsia" w:hAnsi="Arial"/>
      <w:sz w:val="24"/>
      <w:szCs w:val="24"/>
    </w:rPr>
  </w:style>
  <w:style w:type="paragraph" w:customStyle="1" w:styleId="LightList-Accent3117">
    <w:name w:val="Light List - Accent 3117"/>
    <w:hidden/>
    <w:uiPriority w:val="99"/>
    <w:semiHidden/>
    <w:rsid w:val="0081234A"/>
    <w:pPr>
      <w:spacing w:after="120" w:line="264" w:lineRule="auto"/>
    </w:pPr>
    <w:rPr>
      <w:rFonts w:ascii="Arial" w:eastAsiaTheme="minorEastAsia" w:hAnsi="Arial"/>
      <w:sz w:val="24"/>
      <w:szCs w:val="24"/>
    </w:rPr>
  </w:style>
  <w:style w:type="paragraph" w:customStyle="1" w:styleId="MediumList2-Accent217">
    <w:name w:val="Medium List 2 - Accent 217"/>
    <w:hidden/>
    <w:uiPriority w:val="99"/>
    <w:semiHidden/>
    <w:rsid w:val="0081234A"/>
    <w:pPr>
      <w:spacing w:after="120" w:line="264" w:lineRule="auto"/>
    </w:pPr>
    <w:rPr>
      <w:rFonts w:ascii="Arial" w:eastAsiaTheme="minorEastAsia" w:hAnsi="Arial"/>
      <w:sz w:val="24"/>
      <w:szCs w:val="24"/>
    </w:rPr>
  </w:style>
  <w:style w:type="paragraph" w:customStyle="1" w:styleId="MediumList2-Accent227">
    <w:name w:val="Medium List 2 - Accent 227"/>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7">
    <w:name w:val="Colorful Shading - Accent 117"/>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7">
    <w:name w:val="Colorful Shading - Accent 127"/>
    <w:hidden/>
    <w:uiPriority w:val="99"/>
    <w:semiHidden/>
    <w:rsid w:val="0081234A"/>
    <w:pPr>
      <w:spacing w:after="120" w:line="264" w:lineRule="auto"/>
    </w:pPr>
    <w:rPr>
      <w:rFonts w:ascii="Verdana" w:eastAsiaTheme="minorEastAsia" w:hAnsi="Verdana"/>
      <w:sz w:val="20"/>
      <w:szCs w:val="20"/>
    </w:rPr>
  </w:style>
  <w:style w:type="paragraph" w:customStyle="1" w:styleId="LightList-Accent3124">
    <w:name w:val="Light List - Accent 3124"/>
    <w:hidden/>
    <w:uiPriority w:val="99"/>
    <w:semiHidden/>
    <w:rsid w:val="0081234A"/>
    <w:pPr>
      <w:spacing w:after="120" w:line="264" w:lineRule="auto"/>
    </w:pPr>
    <w:rPr>
      <w:rFonts w:ascii="Arial" w:eastAsiaTheme="minorEastAsia" w:hAnsi="Arial"/>
      <w:sz w:val="24"/>
      <w:szCs w:val="24"/>
    </w:rPr>
  </w:style>
  <w:style w:type="paragraph" w:customStyle="1" w:styleId="LightList-Accent31114">
    <w:name w:val="Light List - Accent 31114"/>
    <w:hidden/>
    <w:uiPriority w:val="99"/>
    <w:semiHidden/>
    <w:rsid w:val="0081234A"/>
    <w:pPr>
      <w:spacing w:after="120" w:line="264" w:lineRule="auto"/>
    </w:pPr>
    <w:rPr>
      <w:rFonts w:ascii="Arial" w:eastAsiaTheme="minorEastAsia" w:hAnsi="Arial"/>
      <w:sz w:val="24"/>
      <w:szCs w:val="24"/>
    </w:rPr>
  </w:style>
  <w:style w:type="paragraph" w:customStyle="1" w:styleId="MediumList2-Accent2114">
    <w:name w:val="Medium List 2 - Accent 2114"/>
    <w:hidden/>
    <w:uiPriority w:val="99"/>
    <w:semiHidden/>
    <w:rsid w:val="0081234A"/>
    <w:pPr>
      <w:spacing w:after="120" w:line="264" w:lineRule="auto"/>
    </w:pPr>
    <w:rPr>
      <w:rFonts w:ascii="Arial" w:eastAsiaTheme="minorEastAsia" w:hAnsi="Arial"/>
      <w:sz w:val="24"/>
      <w:szCs w:val="24"/>
    </w:rPr>
  </w:style>
  <w:style w:type="paragraph" w:customStyle="1" w:styleId="MediumList2-Accent2214">
    <w:name w:val="Medium List 2 - Accent 22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4">
    <w:name w:val="Colorful Shading - Accent 1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4">
    <w:name w:val="Colorful Shading - Accent 1214"/>
    <w:hidden/>
    <w:uiPriority w:val="99"/>
    <w:semiHidden/>
    <w:rsid w:val="0081234A"/>
    <w:pPr>
      <w:spacing w:after="120" w:line="264" w:lineRule="auto"/>
    </w:pPr>
    <w:rPr>
      <w:rFonts w:ascii="Verdana" w:eastAsiaTheme="minorEastAsia" w:hAnsi="Verdana"/>
      <w:sz w:val="20"/>
      <w:szCs w:val="20"/>
    </w:rPr>
  </w:style>
  <w:style w:type="paragraph" w:customStyle="1" w:styleId="LightList-Accent3134">
    <w:name w:val="Light List - Accent 3134"/>
    <w:hidden/>
    <w:uiPriority w:val="99"/>
    <w:semiHidden/>
    <w:rsid w:val="0081234A"/>
    <w:pPr>
      <w:spacing w:after="120" w:line="264" w:lineRule="auto"/>
    </w:pPr>
    <w:rPr>
      <w:rFonts w:ascii="Arial" w:eastAsiaTheme="minorEastAsia" w:hAnsi="Arial"/>
      <w:sz w:val="24"/>
      <w:szCs w:val="24"/>
    </w:rPr>
  </w:style>
  <w:style w:type="paragraph" w:customStyle="1" w:styleId="LightList-Accent31124">
    <w:name w:val="Light List - Accent 31124"/>
    <w:hidden/>
    <w:uiPriority w:val="99"/>
    <w:semiHidden/>
    <w:rsid w:val="0081234A"/>
    <w:pPr>
      <w:spacing w:after="120" w:line="264" w:lineRule="auto"/>
    </w:pPr>
    <w:rPr>
      <w:rFonts w:ascii="Arial" w:eastAsiaTheme="minorEastAsia" w:hAnsi="Arial"/>
      <w:sz w:val="24"/>
      <w:szCs w:val="24"/>
    </w:rPr>
  </w:style>
  <w:style w:type="paragraph" w:customStyle="1" w:styleId="MediumList2-Accent2124">
    <w:name w:val="Medium List 2 - Accent 2124"/>
    <w:hidden/>
    <w:uiPriority w:val="99"/>
    <w:semiHidden/>
    <w:rsid w:val="0081234A"/>
    <w:pPr>
      <w:spacing w:after="120" w:line="264" w:lineRule="auto"/>
    </w:pPr>
    <w:rPr>
      <w:rFonts w:ascii="Arial" w:eastAsiaTheme="minorEastAsia" w:hAnsi="Arial"/>
      <w:sz w:val="24"/>
      <w:szCs w:val="24"/>
    </w:rPr>
  </w:style>
  <w:style w:type="paragraph" w:customStyle="1" w:styleId="MediumList2-Accent2224">
    <w:name w:val="Medium List 2 - Accent 222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4">
    <w:name w:val="Colorful Shading - Accent 112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4">
    <w:name w:val="Colorful Shading - Accent 1224"/>
    <w:hidden/>
    <w:uiPriority w:val="99"/>
    <w:semiHidden/>
    <w:rsid w:val="0081234A"/>
    <w:pPr>
      <w:spacing w:after="120" w:line="264" w:lineRule="auto"/>
    </w:pPr>
    <w:rPr>
      <w:rFonts w:ascii="Verdana" w:eastAsiaTheme="minorEastAsia" w:hAnsi="Verdana"/>
      <w:sz w:val="20"/>
      <w:szCs w:val="20"/>
    </w:rPr>
  </w:style>
  <w:style w:type="paragraph" w:customStyle="1" w:styleId="LightList-Accent31213">
    <w:name w:val="Light List - Accent 31213"/>
    <w:hidden/>
    <w:uiPriority w:val="99"/>
    <w:semiHidden/>
    <w:rsid w:val="0081234A"/>
    <w:pPr>
      <w:spacing w:after="120" w:line="264" w:lineRule="auto"/>
    </w:pPr>
    <w:rPr>
      <w:rFonts w:ascii="Arial" w:eastAsiaTheme="minorEastAsia" w:hAnsi="Arial"/>
      <w:sz w:val="24"/>
      <w:szCs w:val="24"/>
    </w:rPr>
  </w:style>
  <w:style w:type="paragraph" w:customStyle="1" w:styleId="LightList-Accent311113">
    <w:name w:val="Light List - Accent 311113"/>
    <w:hidden/>
    <w:uiPriority w:val="99"/>
    <w:semiHidden/>
    <w:rsid w:val="0081234A"/>
    <w:pPr>
      <w:spacing w:after="120" w:line="264" w:lineRule="auto"/>
    </w:pPr>
    <w:rPr>
      <w:rFonts w:ascii="Arial" w:eastAsiaTheme="minorEastAsia" w:hAnsi="Arial"/>
      <w:sz w:val="24"/>
      <w:szCs w:val="24"/>
    </w:rPr>
  </w:style>
  <w:style w:type="paragraph" w:customStyle="1" w:styleId="MediumList2-Accent21113">
    <w:name w:val="Medium List 2 - Accent 21113"/>
    <w:hidden/>
    <w:uiPriority w:val="99"/>
    <w:semiHidden/>
    <w:rsid w:val="0081234A"/>
    <w:pPr>
      <w:spacing w:after="120" w:line="264" w:lineRule="auto"/>
    </w:pPr>
    <w:rPr>
      <w:rFonts w:ascii="Arial" w:eastAsiaTheme="minorEastAsia" w:hAnsi="Arial"/>
      <w:sz w:val="24"/>
      <w:szCs w:val="24"/>
    </w:rPr>
  </w:style>
  <w:style w:type="paragraph" w:customStyle="1" w:styleId="MediumList2-Accent22113">
    <w:name w:val="Medium List 2 - Accent 221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3">
    <w:name w:val="Colorful Shading - Accent 11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3">
    <w:name w:val="Colorful Shading - Accent 12113"/>
    <w:hidden/>
    <w:uiPriority w:val="99"/>
    <w:semiHidden/>
    <w:rsid w:val="0081234A"/>
    <w:pPr>
      <w:spacing w:after="120" w:line="264" w:lineRule="auto"/>
    </w:pPr>
    <w:rPr>
      <w:rFonts w:ascii="Verdana" w:eastAsiaTheme="minorEastAsia" w:hAnsi="Verdana"/>
      <w:sz w:val="20"/>
      <w:szCs w:val="20"/>
    </w:rPr>
  </w:style>
  <w:style w:type="paragraph" w:customStyle="1" w:styleId="LightList-Accent31313">
    <w:name w:val="Light List - Accent 31313"/>
    <w:hidden/>
    <w:uiPriority w:val="99"/>
    <w:semiHidden/>
    <w:rsid w:val="0081234A"/>
    <w:pPr>
      <w:spacing w:after="120" w:line="264" w:lineRule="auto"/>
    </w:pPr>
    <w:rPr>
      <w:rFonts w:ascii="Arial" w:eastAsiaTheme="minorEastAsia" w:hAnsi="Arial"/>
      <w:sz w:val="24"/>
      <w:szCs w:val="24"/>
    </w:rPr>
  </w:style>
  <w:style w:type="paragraph" w:customStyle="1" w:styleId="LightList-Accent311213">
    <w:name w:val="Light List - Accent 311213"/>
    <w:hidden/>
    <w:uiPriority w:val="99"/>
    <w:semiHidden/>
    <w:rsid w:val="0081234A"/>
    <w:pPr>
      <w:spacing w:after="120" w:line="264" w:lineRule="auto"/>
    </w:pPr>
    <w:rPr>
      <w:rFonts w:ascii="Arial" w:eastAsiaTheme="minorEastAsia" w:hAnsi="Arial"/>
      <w:sz w:val="24"/>
      <w:szCs w:val="24"/>
    </w:rPr>
  </w:style>
  <w:style w:type="paragraph" w:customStyle="1" w:styleId="MediumList2-Accent21213">
    <w:name w:val="Medium List 2 - Accent 21213"/>
    <w:hidden/>
    <w:uiPriority w:val="99"/>
    <w:semiHidden/>
    <w:rsid w:val="0081234A"/>
    <w:pPr>
      <w:spacing w:after="120" w:line="264" w:lineRule="auto"/>
    </w:pPr>
    <w:rPr>
      <w:rFonts w:ascii="Arial" w:eastAsiaTheme="minorEastAsia" w:hAnsi="Arial"/>
      <w:sz w:val="24"/>
      <w:szCs w:val="24"/>
    </w:rPr>
  </w:style>
  <w:style w:type="paragraph" w:customStyle="1" w:styleId="MediumList2-Accent22213">
    <w:name w:val="Medium List 2 - Accent 222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3">
    <w:name w:val="Colorful Shading - Accent 112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3">
    <w:name w:val="Colorful Shading - Accent 12213"/>
    <w:hidden/>
    <w:uiPriority w:val="99"/>
    <w:semiHidden/>
    <w:rsid w:val="0081234A"/>
    <w:pPr>
      <w:spacing w:after="120" w:line="264" w:lineRule="auto"/>
    </w:pPr>
    <w:rPr>
      <w:rFonts w:ascii="Verdana" w:eastAsiaTheme="minorEastAsia" w:hAnsi="Verdana"/>
      <w:sz w:val="20"/>
      <w:szCs w:val="20"/>
    </w:rPr>
  </w:style>
  <w:style w:type="paragraph" w:customStyle="1" w:styleId="LightList-Accent3143">
    <w:name w:val="Light List - Accent 3143"/>
    <w:hidden/>
    <w:uiPriority w:val="99"/>
    <w:semiHidden/>
    <w:rsid w:val="0081234A"/>
    <w:pPr>
      <w:spacing w:after="120" w:line="264" w:lineRule="auto"/>
    </w:pPr>
    <w:rPr>
      <w:rFonts w:ascii="Arial" w:eastAsiaTheme="minorEastAsia" w:hAnsi="Arial"/>
      <w:sz w:val="24"/>
      <w:szCs w:val="24"/>
    </w:rPr>
  </w:style>
  <w:style w:type="paragraph" w:customStyle="1" w:styleId="LightList-Accent31133">
    <w:name w:val="Light List - Accent 31133"/>
    <w:hidden/>
    <w:uiPriority w:val="99"/>
    <w:semiHidden/>
    <w:rsid w:val="0081234A"/>
    <w:pPr>
      <w:spacing w:after="120" w:line="264" w:lineRule="auto"/>
    </w:pPr>
    <w:rPr>
      <w:rFonts w:ascii="Arial" w:eastAsiaTheme="minorEastAsia" w:hAnsi="Arial"/>
      <w:sz w:val="24"/>
      <w:szCs w:val="24"/>
    </w:rPr>
  </w:style>
  <w:style w:type="paragraph" w:customStyle="1" w:styleId="MediumList2-Accent2133">
    <w:name w:val="Medium List 2 - Accent 2133"/>
    <w:hidden/>
    <w:uiPriority w:val="99"/>
    <w:semiHidden/>
    <w:rsid w:val="0081234A"/>
    <w:pPr>
      <w:spacing w:after="120" w:line="264" w:lineRule="auto"/>
    </w:pPr>
    <w:rPr>
      <w:rFonts w:ascii="Arial" w:eastAsiaTheme="minorEastAsia" w:hAnsi="Arial"/>
      <w:sz w:val="24"/>
      <w:szCs w:val="24"/>
    </w:rPr>
  </w:style>
  <w:style w:type="paragraph" w:customStyle="1" w:styleId="MediumList2-Accent2233">
    <w:name w:val="Medium List 2 - Accent 223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3">
    <w:name w:val="Colorful Shading - Accent 113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3">
    <w:name w:val="Colorful Shading - Accent 1233"/>
    <w:hidden/>
    <w:uiPriority w:val="99"/>
    <w:semiHidden/>
    <w:rsid w:val="0081234A"/>
    <w:pPr>
      <w:spacing w:after="120" w:line="264" w:lineRule="auto"/>
    </w:pPr>
    <w:rPr>
      <w:rFonts w:ascii="Verdana" w:eastAsiaTheme="minorEastAsia" w:hAnsi="Verdana"/>
      <w:sz w:val="20"/>
      <w:szCs w:val="20"/>
    </w:rPr>
  </w:style>
  <w:style w:type="paragraph" w:customStyle="1" w:styleId="LightList-Accent3153">
    <w:name w:val="Light List - Accent 3153"/>
    <w:hidden/>
    <w:uiPriority w:val="99"/>
    <w:semiHidden/>
    <w:rsid w:val="0081234A"/>
    <w:pPr>
      <w:spacing w:after="120" w:line="264" w:lineRule="auto"/>
    </w:pPr>
    <w:rPr>
      <w:rFonts w:ascii="Arial" w:eastAsiaTheme="minorEastAsia" w:hAnsi="Arial"/>
      <w:sz w:val="24"/>
      <w:szCs w:val="24"/>
    </w:rPr>
  </w:style>
  <w:style w:type="paragraph" w:customStyle="1" w:styleId="LightList-Accent31143">
    <w:name w:val="Light List - Accent 31143"/>
    <w:hidden/>
    <w:uiPriority w:val="99"/>
    <w:semiHidden/>
    <w:rsid w:val="0081234A"/>
    <w:pPr>
      <w:spacing w:after="120" w:line="264" w:lineRule="auto"/>
    </w:pPr>
    <w:rPr>
      <w:rFonts w:ascii="Arial" w:eastAsiaTheme="minorEastAsia" w:hAnsi="Arial"/>
      <w:sz w:val="24"/>
      <w:szCs w:val="24"/>
    </w:rPr>
  </w:style>
  <w:style w:type="paragraph" w:customStyle="1" w:styleId="MediumList2-Accent2143">
    <w:name w:val="Medium List 2 - Accent 2143"/>
    <w:hidden/>
    <w:uiPriority w:val="99"/>
    <w:semiHidden/>
    <w:rsid w:val="0081234A"/>
    <w:pPr>
      <w:spacing w:after="120" w:line="264" w:lineRule="auto"/>
    </w:pPr>
    <w:rPr>
      <w:rFonts w:ascii="Arial" w:eastAsiaTheme="minorEastAsia" w:hAnsi="Arial"/>
      <w:sz w:val="24"/>
      <w:szCs w:val="24"/>
    </w:rPr>
  </w:style>
  <w:style w:type="paragraph" w:customStyle="1" w:styleId="MediumList2-Accent2243">
    <w:name w:val="Medium List 2 - Accent 224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3">
    <w:name w:val="Colorful Shading - Accent 114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3">
    <w:name w:val="Colorful Shading - Accent 1243"/>
    <w:hidden/>
    <w:uiPriority w:val="99"/>
    <w:semiHidden/>
    <w:rsid w:val="0081234A"/>
    <w:pPr>
      <w:spacing w:after="120" w:line="264" w:lineRule="auto"/>
    </w:pPr>
    <w:rPr>
      <w:rFonts w:ascii="Verdana" w:eastAsiaTheme="minorEastAsia" w:hAnsi="Verdana"/>
      <w:sz w:val="20"/>
      <w:szCs w:val="20"/>
    </w:rPr>
  </w:style>
  <w:style w:type="paragraph" w:customStyle="1" w:styleId="LightList-Accent3161">
    <w:name w:val="Light List - Accent 3161"/>
    <w:hidden/>
    <w:uiPriority w:val="99"/>
    <w:semiHidden/>
    <w:rsid w:val="0081234A"/>
    <w:pPr>
      <w:spacing w:after="120" w:line="264" w:lineRule="auto"/>
    </w:pPr>
    <w:rPr>
      <w:rFonts w:ascii="Arial" w:eastAsiaTheme="minorEastAsia" w:hAnsi="Arial"/>
      <w:sz w:val="24"/>
      <w:szCs w:val="24"/>
    </w:rPr>
  </w:style>
  <w:style w:type="paragraph" w:customStyle="1" w:styleId="LightList-Accent31151">
    <w:name w:val="Light List - Accent 31151"/>
    <w:hidden/>
    <w:uiPriority w:val="99"/>
    <w:semiHidden/>
    <w:rsid w:val="0081234A"/>
    <w:pPr>
      <w:spacing w:after="120" w:line="264" w:lineRule="auto"/>
    </w:pPr>
    <w:rPr>
      <w:rFonts w:ascii="Arial" w:eastAsiaTheme="minorEastAsia" w:hAnsi="Arial"/>
      <w:sz w:val="24"/>
      <w:szCs w:val="24"/>
    </w:rPr>
  </w:style>
  <w:style w:type="paragraph" w:customStyle="1" w:styleId="MediumList2-Accent2151">
    <w:name w:val="Medium List 2 - Accent 2151"/>
    <w:hidden/>
    <w:uiPriority w:val="99"/>
    <w:semiHidden/>
    <w:rsid w:val="0081234A"/>
    <w:pPr>
      <w:spacing w:after="120" w:line="264" w:lineRule="auto"/>
    </w:pPr>
    <w:rPr>
      <w:rFonts w:ascii="Arial" w:eastAsiaTheme="minorEastAsia" w:hAnsi="Arial"/>
      <w:sz w:val="24"/>
      <w:szCs w:val="24"/>
    </w:rPr>
  </w:style>
  <w:style w:type="paragraph" w:customStyle="1" w:styleId="MediumList2-Accent2251">
    <w:name w:val="Medium List 2 - Accent 225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1">
    <w:name w:val="Colorful Shading - Accent 115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1">
    <w:name w:val="Colorful Shading - Accent 1251"/>
    <w:hidden/>
    <w:uiPriority w:val="99"/>
    <w:semiHidden/>
    <w:rsid w:val="0081234A"/>
    <w:pPr>
      <w:spacing w:after="120" w:line="264" w:lineRule="auto"/>
    </w:pPr>
    <w:rPr>
      <w:rFonts w:ascii="Verdana" w:eastAsiaTheme="minorEastAsia" w:hAnsi="Verdana"/>
      <w:sz w:val="20"/>
      <w:szCs w:val="20"/>
    </w:rPr>
  </w:style>
  <w:style w:type="paragraph" w:customStyle="1" w:styleId="LightList-Accent31221">
    <w:name w:val="Light List - Accent 31221"/>
    <w:hidden/>
    <w:uiPriority w:val="99"/>
    <w:semiHidden/>
    <w:rsid w:val="0081234A"/>
    <w:pPr>
      <w:spacing w:after="120" w:line="264" w:lineRule="auto"/>
    </w:pPr>
    <w:rPr>
      <w:rFonts w:ascii="Arial" w:eastAsiaTheme="minorEastAsia" w:hAnsi="Arial"/>
      <w:sz w:val="24"/>
      <w:szCs w:val="24"/>
    </w:rPr>
  </w:style>
  <w:style w:type="paragraph" w:customStyle="1" w:styleId="LightList-Accent311121">
    <w:name w:val="Light List - Accent 311121"/>
    <w:hidden/>
    <w:uiPriority w:val="99"/>
    <w:semiHidden/>
    <w:rsid w:val="0081234A"/>
    <w:pPr>
      <w:spacing w:after="120" w:line="264" w:lineRule="auto"/>
    </w:pPr>
    <w:rPr>
      <w:rFonts w:ascii="Arial" w:eastAsiaTheme="minorEastAsia" w:hAnsi="Arial"/>
      <w:sz w:val="24"/>
      <w:szCs w:val="24"/>
    </w:rPr>
  </w:style>
  <w:style w:type="paragraph" w:customStyle="1" w:styleId="MediumList2-Accent21121">
    <w:name w:val="Medium List 2 - Accent 21121"/>
    <w:hidden/>
    <w:uiPriority w:val="99"/>
    <w:semiHidden/>
    <w:rsid w:val="0081234A"/>
    <w:pPr>
      <w:spacing w:after="120" w:line="264" w:lineRule="auto"/>
    </w:pPr>
    <w:rPr>
      <w:rFonts w:ascii="Arial" w:eastAsiaTheme="minorEastAsia" w:hAnsi="Arial"/>
      <w:sz w:val="24"/>
      <w:szCs w:val="24"/>
    </w:rPr>
  </w:style>
  <w:style w:type="paragraph" w:customStyle="1" w:styleId="MediumList2-Accent22121">
    <w:name w:val="Medium List 2 - Accent 22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1">
    <w:name w:val="Colorful Shading - Accent 1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1">
    <w:name w:val="Colorful Shading - Accent 12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21">
    <w:name w:val="Light List - Accent 31321"/>
    <w:hidden/>
    <w:uiPriority w:val="99"/>
    <w:semiHidden/>
    <w:rsid w:val="0081234A"/>
    <w:pPr>
      <w:spacing w:after="120" w:line="264" w:lineRule="auto"/>
    </w:pPr>
    <w:rPr>
      <w:rFonts w:ascii="Arial" w:eastAsiaTheme="minorEastAsia" w:hAnsi="Arial"/>
      <w:sz w:val="24"/>
      <w:szCs w:val="24"/>
    </w:rPr>
  </w:style>
  <w:style w:type="paragraph" w:customStyle="1" w:styleId="LightList-Accent311221">
    <w:name w:val="Light List - Accent 311221"/>
    <w:hidden/>
    <w:uiPriority w:val="99"/>
    <w:semiHidden/>
    <w:rsid w:val="0081234A"/>
    <w:pPr>
      <w:spacing w:after="120" w:line="264" w:lineRule="auto"/>
    </w:pPr>
    <w:rPr>
      <w:rFonts w:ascii="Arial" w:eastAsiaTheme="minorEastAsia" w:hAnsi="Arial"/>
      <w:sz w:val="24"/>
      <w:szCs w:val="24"/>
    </w:rPr>
  </w:style>
  <w:style w:type="paragraph" w:customStyle="1" w:styleId="MediumList2-Accent21221">
    <w:name w:val="Medium List 2 - Accent 21221"/>
    <w:hidden/>
    <w:uiPriority w:val="99"/>
    <w:semiHidden/>
    <w:rsid w:val="0081234A"/>
    <w:pPr>
      <w:spacing w:after="120" w:line="264" w:lineRule="auto"/>
    </w:pPr>
    <w:rPr>
      <w:rFonts w:ascii="Arial" w:eastAsiaTheme="minorEastAsia" w:hAnsi="Arial"/>
      <w:sz w:val="24"/>
      <w:szCs w:val="24"/>
    </w:rPr>
  </w:style>
  <w:style w:type="paragraph" w:customStyle="1" w:styleId="MediumList2-Accent22221">
    <w:name w:val="Medium List 2 - Accent 22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1">
    <w:name w:val="Colorful Shading - Accent 112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1">
    <w:name w:val="Colorful Shading - Accent 12221"/>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1">
    <w:name w:val="Light List - Accent 312111"/>
    <w:hidden/>
    <w:uiPriority w:val="99"/>
    <w:semiHidden/>
    <w:rsid w:val="0081234A"/>
    <w:pPr>
      <w:spacing w:after="120" w:line="264" w:lineRule="auto"/>
    </w:pPr>
    <w:rPr>
      <w:rFonts w:ascii="Arial" w:eastAsiaTheme="minorEastAsia" w:hAnsi="Arial"/>
      <w:sz w:val="24"/>
      <w:szCs w:val="24"/>
    </w:rPr>
  </w:style>
  <w:style w:type="paragraph" w:customStyle="1" w:styleId="LightList-Accent3111111">
    <w:name w:val="Light List - Accent 311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11">
    <w:name w:val="Medium List 2 - Accent 211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11">
    <w:name w:val="Medium List 2 - Accent 221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1">
    <w:name w:val="Colorful Shading - Accent 11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1">
    <w:name w:val="Colorful Shading - Accent 121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1">
    <w:name w:val="Light List - Accent 313111"/>
    <w:hidden/>
    <w:uiPriority w:val="99"/>
    <w:semiHidden/>
    <w:rsid w:val="0081234A"/>
    <w:pPr>
      <w:spacing w:after="120" w:line="264" w:lineRule="auto"/>
    </w:pPr>
    <w:rPr>
      <w:rFonts w:ascii="Arial" w:eastAsiaTheme="minorEastAsia" w:hAnsi="Arial"/>
      <w:sz w:val="24"/>
      <w:szCs w:val="24"/>
    </w:rPr>
  </w:style>
  <w:style w:type="paragraph" w:customStyle="1" w:styleId="LightList-Accent3112111">
    <w:name w:val="Light List - Accent 3112111"/>
    <w:hidden/>
    <w:uiPriority w:val="99"/>
    <w:semiHidden/>
    <w:rsid w:val="0081234A"/>
    <w:pPr>
      <w:spacing w:after="120" w:line="264" w:lineRule="auto"/>
    </w:pPr>
    <w:rPr>
      <w:rFonts w:ascii="Arial" w:eastAsiaTheme="minorEastAsia" w:hAnsi="Arial"/>
      <w:sz w:val="24"/>
      <w:szCs w:val="24"/>
    </w:rPr>
  </w:style>
  <w:style w:type="paragraph" w:customStyle="1" w:styleId="MediumList2-Accent212111">
    <w:name w:val="Medium List 2 - Accent 212111"/>
    <w:hidden/>
    <w:uiPriority w:val="99"/>
    <w:semiHidden/>
    <w:rsid w:val="0081234A"/>
    <w:pPr>
      <w:spacing w:after="120" w:line="264" w:lineRule="auto"/>
    </w:pPr>
    <w:rPr>
      <w:rFonts w:ascii="Arial" w:eastAsiaTheme="minorEastAsia" w:hAnsi="Arial"/>
      <w:sz w:val="24"/>
      <w:szCs w:val="24"/>
    </w:rPr>
  </w:style>
  <w:style w:type="paragraph" w:customStyle="1" w:styleId="MediumList2-Accent222111">
    <w:name w:val="Medium List 2 - Accent 222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1">
    <w:name w:val="Colorful Shading - Accent 112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1">
    <w:name w:val="Colorful Shading - Accent 122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411">
    <w:name w:val="Light List - Accent 31411"/>
    <w:hidden/>
    <w:uiPriority w:val="99"/>
    <w:semiHidden/>
    <w:rsid w:val="0081234A"/>
    <w:pPr>
      <w:spacing w:after="120" w:line="264" w:lineRule="auto"/>
    </w:pPr>
    <w:rPr>
      <w:rFonts w:ascii="Arial" w:eastAsiaTheme="minorEastAsia" w:hAnsi="Arial"/>
      <w:sz w:val="24"/>
      <w:szCs w:val="24"/>
    </w:rPr>
  </w:style>
  <w:style w:type="paragraph" w:customStyle="1" w:styleId="LightList-Accent311311">
    <w:name w:val="Light List - Accent 311311"/>
    <w:hidden/>
    <w:uiPriority w:val="99"/>
    <w:semiHidden/>
    <w:rsid w:val="0081234A"/>
    <w:pPr>
      <w:spacing w:after="120" w:line="264" w:lineRule="auto"/>
    </w:pPr>
    <w:rPr>
      <w:rFonts w:ascii="Arial" w:eastAsiaTheme="minorEastAsia" w:hAnsi="Arial"/>
      <w:sz w:val="24"/>
      <w:szCs w:val="24"/>
    </w:rPr>
  </w:style>
  <w:style w:type="paragraph" w:customStyle="1" w:styleId="MediumList2-Accent21311">
    <w:name w:val="Medium List 2 - Accent 21311"/>
    <w:hidden/>
    <w:uiPriority w:val="99"/>
    <w:semiHidden/>
    <w:rsid w:val="0081234A"/>
    <w:pPr>
      <w:spacing w:after="120" w:line="264" w:lineRule="auto"/>
    </w:pPr>
    <w:rPr>
      <w:rFonts w:ascii="Arial" w:eastAsiaTheme="minorEastAsia" w:hAnsi="Arial"/>
      <w:sz w:val="24"/>
      <w:szCs w:val="24"/>
    </w:rPr>
  </w:style>
  <w:style w:type="paragraph" w:customStyle="1" w:styleId="MediumList2-Accent22311">
    <w:name w:val="Medium List 2 - Accent 223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1">
    <w:name w:val="Colorful Shading - Accent 113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1">
    <w:name w:val="Colorful Shading - Accent 12311"/>
    <w:hidden/>
    <w:uiPriority w:val="99"/>
    <w:semiHidden/>
    <w:rsid w:val="0081234A"/>
    <w:pPr>
      <w:spacing w:after="120" w:line="264" w:lineRule="auto"/>
    </w:pPr>
    <w:rPr>
      <w:rFonts w:ascii="Verdana" w:eastAsiaTheme="minorEastAsia" w:hAnsi="Verdana"/>
      <w:sz w:val="20"/>
      <w:szCs w:val="20"/>
    </w:rPr>
  </w:style>
  <w:style w:type="paragraph" w:customStyle="1" w:styleId="LightList-Accent31511">
    <w:name w:val="Light List - Accent 31511"/>
    <w:hidden/>
    <w:uiPriority w:val="99"/>
    <w:semiHidden/>
    <w:rsid w:val="0081234A"/>
    <w:pPr>
      <w:spacing w:after="120" w:line="264" w:lineRule="auto"/>
    </w:pPr>
    <w:rPr>
      <w:rFonts w:ascii="Arial" w:eastAsiaTheme="minorEastAsia" w:hAnsi="Arial"/>
      <w:sz w:val="24"/>
      <w:szCs w:val="24"/>
    </w:rPr>
  </w:style>
  <w:style w:type="paragraph" w:customStyle="1" w:styleId="LightList-Accent311411">
    <w:name w:val="Light List - Accent 311411"/>
    <w:hidden/>
    <w:uiPriority w:val="99"/>
    <w:semiHidden/>
    <w:rsid w:val="0081234A"/>
    <w:pPr>
      <w:spacing w:after="120" w:line="264" w:lineRule="auto"/>
    </w:pPr>
    <w:rPr>
      <w:rFonts w:ascii="Arial" w:eastAsiaTheme="minorEastAsia" w:hAnsi="Arial"/>
      <w:sz w:val="24"/>
      <w:szCs w:val="24"/>
    </w:rPr>
  </w:style>
  <w:style w:type="paragraph" w:customStyle="1" w:styleId="MediumList2-Accent21411">
    <w:name w:val="Medium List 2 - Accent 21411"/>
    <w:hidden/>
    <w:uiPriority w:val="99"/>
    <w:semiHidden/>
    <w:rsid w:val="0081234A"/>
    <w:pPr>
      <w:spacing w:after="120" w:line="264" w:lineRule="auto"/>
    </w:pPr>
    <w:rPr>
      <w:rFonts w:ascii="Arial" w:eastAsiaTheme="minorEastAsia" w:hAnsi="Arial"/>
      <w:sz w:val="24"/>
      <w:szCs w:val="24"/>
    </w:rPr>
  </w:style>
  <w:style w:type="paragraph" w:customStyle="1" w:styleId="MediumList2-Accent22411">
    <w:name w:val="Medium List 2 - Accent 224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1">
    <w:name w:val="Colorful Shading - Accent 114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1">
    <w:name w:val="Colorful Shading - Accent 12411"/>
    <w:hidden/>
    <w:uiPriority w:val="99"/>
    <w:semiHidden/>
    <w:rsid w:val="0081234A"/>
    <w:pPr>
      <w:spacing w:after="120" w:line="264" w:lineRule="auto"/>
    </w:pPr>
    <w:rPr>
      <w:rFonts w:ascii="Verdana" w:eastAsiaTheme="minorEastAsia" w:hAnsi="Verdana"/>
      <w:sz w:val="20"/>
      <w:szCs w:val="20"/>
    </w:rPr>
  </w:style>
  <w:style w:type="paragraph" w:customStyle="1" w:styleId="LightList-Accent319">
    <w:name w:val="Light List - Accent 319"/>
    <w:hidden/>
    <w:uiPriority w:val="99"/>
    <w:semiHidden/>
    <w:rsid w:val="0081234A"/>
    <w:pPr>
      <w:spacing w:after="120" w:line="264" w:lineRule="auto"/>
    </w:pPr>
    <w:rPr>
      <w:rFonts w:ascii="Arial" w:eastAsiaTheme="minorEastAsia" w:hAnsi="Arial"/>
      <w:sz w:val="24"/>
      <w:szCs w:val="24"/>
    </w:rPr>
  </w:style>
  <w:style w:type="paragraph" w:customStyle="1" w:styleId="LightList-Accent3118">
    <w:name w:val="Light List - Accent 3118"/>
    <w:hidden/>
    <w:uiPriority w:val="99"/>
    <w:semiHidden/>
    <w:rsid w:val="0081234A"/>
    <w:pPr>
      <w:spacing w:after="120" w:line="264" w:lineRule="auto"/>
    </w:pPr>
    <w:rPr>
      <w:rFonts w:ascii="Arial" w:eastAsiaTheme="minorEastAsia" w:hAnsi="Arial"/>
      <w:sz w:val="24"/>
      <w:szCs w:val="24"/>
    </w:rPr>
  </w:style>
  <w:style w:type="paragraph" w:customStyle="1" w:styleId="MediumList2-Accent218">
    <w:name w:val="Medium List 2 - Accent 218"/>
    <w:hidden/>
    <w:uiPriority w:val="99"/>
    <w:semiHidden/>
    <w:rsid w:val="0081234A"/>
    <w:pPr>
      <w:spacing w:after="120" w:line="264" w:lineRule="auto"/>
    </w:pPr>
    <w:rPr>
      <w:rFonts w:ascii="Arial" w:eastAsiaTheme="minorEastAsia" w:hAnsi="Arial"/>
      <w:sz w:val="24"/>
      <w:szCs w:val="24"/>
    </w:rPr>
  </w:style>
  <w:style w:type="paragraph" w:customStyle="1" w:styleId="MediumList2-Accent228">
    <w:name w:val="Medium List 2 - Accent 228"/>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8">
    <w:name w:val="Colorful Shading - Accent 118"/>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8">
    <w:name w:val="Colorful Shading - Accent 128"/>
    <w:hidden/>
    <w:uiPriority w:val="99"/>
    <w:semiHidden/>
    <w:rsid w:val="0081234A"/>
    <w:pPr>
      <w:spacing w:after="120" w:line="264" w:lineRule="auto"/>
    </w:pPr>
    <w:rPr>
      <w:rFonts w:ascii="Verdana" w:eastAsiaTheme="minorEastAsia" w:hAnsi="Verdana"/>
      <w:sz w:val="20"/>
      <w:szCs w:val="20"/>
    </w:rPr>
  </w:style>
  <w:style w:type="paragraph" w:customStyle="1" w:styleId="LightList-Accent3125">
    <w:name w:val="Light List - Accent 3125"/>
    <w:hidden/>
    <w:uiPriority w:val="99"/>
    <w:semiHidden/>
    <w:rsid w:val="0081234A"/>
    <w:pPr>
      <w:spacing w:after="120" w:line="264" w:lineRule="auto"/>
    </w:pPr>
    <w:rPr>
      <w:rFonts w:ascii="Arial" w:eastAsiaTheme="minorEastAsia" w:hAnsi="Arial"/>
      <w:sz w:val="24"/>
      <w:szCs w:val="24"/>
    </w:rPr>
  </w:style>
  <w:style w:type="paragraph" w:customStyle="1" w:styleId="LightList-Accent31115">
    <w:name w:val="Light List - Accent 31115"/>
    <w:hidden/>
    <w:uiPriority w:val="99"/>
    <w:semiHidden/>
    <w:rsid w:val="0081234A"/>
    <w:pPr>
      <w:spacing w:after="120" w:line="264" w:lineRule="auto"/>
    </w:pPr>
    <w:rPr>
      <w:rFonts w:ascii="Arial" w:eastAsiaTheme="minorEastAsia" w:hAnsi="Arial"/>
      <w:sz w:val="24"/>
      <w:szCs w:val="24"/>
    </w:rPr>
  </w:style>
  <w:style w:type="paragraph" w:customStyle="1" w:styleId="MediumList2-Accent2115">
    <w:name w:val="Medium List 2 - Accent 2115"/>
    <w:hidden/>
    <w:uiPriority w:val="99"/>
    <w:semiHidden/>
    <w:rsid w:val="0081234A"/>
    <w:pPr>
      <w:spacing w:after="120" w:line="264" w:lineRule="auto"/>
    </w:pPr>
    <w:rPr>
      <w:rFonts w:ascii="Arial" w:eastAsiaTheme="minorEastAsia" w:hAnsi="Arial"/>
      <w:sz w:val="24"/>
      <w:szCs w:val="24"/>
    </w:rPr>
  </w:style>
  <w:style w:type="paragraph" w:customStyle="1" w:styleId="MediumList2-Accent2215">
    <w:name w:val="Medium List 2 - Accent 22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5">
    <w:name w:val="Colorful Shading - Accent 1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5">
    <w:name w:val="Colorful Shading - Accent 1215"/>
    <w:hidden/>
    <w:uiPriority w:val="99"/>
    <w:semiHidden/>
    <w:rsid w:val="0081234A"/>
    <w:pPr>
      <w:spacing w:after="120" w:line="264" w:lineRule="auto"/>
    </w:pPr>
    <w:rPr>
      <w:rFonts w:ascii="Verdana" w:eastAsiaTheme="minorEastAsia" w:hAnsi="Verdana"/>
      <w:sz w:val="20"/>
      <w:szCs w:val="20"/>
    </w:rPr>
  </w:style>
  <w:style w:type="paragraph" w:customStyle="1" w:styleId="LightList-Accent3135">
    <w:name w:val="Light List - Accent 3135"/>
    <w:hidden/>
    <w:uiPriority w:val="99"/>
    <w:semiHidden/>
    <w:rsid w:val="0081234A"/>
    <w:pPr>
      <w:spacing w:after="120" w:line="264" w:lineRule="auto"/>
    </w:pPr>
    <w:rPr>
      <w:rFonts w:ascii="Arial" w:eastAsiaTheme="minorEastAsia" w:hAnsi="Arial"/>
      <w:sz w:val="24"/>
      <w:szCs w:val="24"/>
    </w:rPr>
  </w:style>
  <w:style w:type="paragraph" w:customStyle="1" w:styleId="LightList-Accent31125">
    <w:name w:val="Light List - Accent 31125"/>
    <w:hidden/>
    <w:uiPriority w:val="99"/>
    <w:semiHidden/>
    <w:rsid w:val="0081234A"/>
    <w:pPr>
      <w:spacing w:after="120" w:line="264" w:lineRule="auto"/>
    </w:pPr>
    <w:rPr>
      <w:rFonts w:ascii="Arial" w:eastAsiaTheme="minorEastAsia" w:hAnsi="Arial"/>
      <w:sz w:val="24"/>
      <w:szCs w:val="24"/>
    </w:rPr>
  </w:style>
  <w:style w:type="paragraph" w:customStyle="1" w:styleId="MediumList2-Accent2125">
    <w:name w:val="Medium List 2 - Accent 2125"/>
    <w:hidden/>
    <w:uiPriority w:val="99"/>
    <w:semiHidden/>
    <w:rsid w:val="0081234A"/>
    <w:pPr>
      <w:spacing w:after="120" w:line="264" w:lineRule="auto"/>
    </w:pPr>
    <w:rPr>
      <w:rFonts w:ascii="Arial" w:eastAsiaTheme="minorEastAsia" w:hAnsi="Arial"/>
      <w:sz w:val="24"/>
      <w:szCs w:val="24"/>
    </w:rPr>
  </w:style>
  <w:style w:type="paragraph" w:customStyle="1" w:styleId="MediumList2-Accent2225">
    <w:name w:val="Medium List 2 - Accent 222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5">
    <w:name w:val="Colorful Shading - Accent 112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5">
    <w:name w:val="Colorful Shading - Accent 1225"/>
    <w:hidden/>
    <w:uiPriority w:val="99"/>
    <w:semiHidden/>
    <w:rsid w:val="0081234A"/>
    <w:pPr>
      <w:spacing w:after="120" w:line="264" w:lineRule="auto"/>
    </w:pPr>
    <w:rPr>
      <w:rFonts w:ascii="Verdana" w:eastAsiaTheme="minorEastAsia" w:hAnsi="Verdana"/>
      <w:sz w:val="20"/>
      <w:szCs w:val="20"/>
    </w:rPr>
  </w:style>
  <w:style w:type="paragraph" w:customStyle="1" w:styleId="LightList-Accent31214">
    <w:name w:val="Light List - Accent 31214"/>
    <w:hidden/>
    <w:uiPriority w:val="99"/>
    <w:semiHidden/>
    <w:rsid w:val="0081234A"/>
    <w:pPr>
      <w:spacing w:after="120" w:line="264" w:lineRule="auto"/>
    </w:pPr>
    <w:rPr>
      <w:rFonts w:ascii="Arial" w:eastAsiaTheme="minorEastAsia" w:hAnsi="Arial"/>
      <w:sz w:val="24"/>
      <w:szCs w:val="24"/>
    </w:rPr>
  </w:style>
  <w:style w:type="paragraph" w:customStyle="1" w:styleId="LightList-Accent311114">
    <w:name w:val="Light List - Accent 311114"/>
    <w:hidden/>
    <w:uiPriority w:val="99"/>
    <w:semiHidden/>
    <w:rsid w:val="0081234A"/>
    <w:pPr>
      <w:spacing w:after="120" w:line="264" w:lineRule="auto"/>
    </w:pPr>
    <w:rPr>
      <w:rFonts w:ascii="Arial" w:eastAsiaTheme="minorEastAsia" w:hAnsi="Arial"/>
      <w:sz w:val="24"/>
      <w:szCs w:val="24"/>
    </w:rPr>
  </w:style>
  <w:style w:type="paragraph" w:customStyle="1" w:styleId="MediumList2-Accent21114">
    <w:name w:val="Medium List 2 - Accent 21114"/>
    <w:hidden/>
    <w:uiPriority w:val="99"/>
    <w:semiHidden/>
    <w:rsid w:val="0081234A"/>
    <w:pPr>
      <w:spacing w:after="120" w:line="264" w:lineRule="auto"/>
    </w:pPr>
    <w:rPr>
      <w:rFonts w:ascii="Arial" w:eastAsiaTheme="minorEastAsia" w:hAnsi="Arial"/>
      <w:sz w:val="24"/>
      <w:szCs w:val="24"/>
    </w:rPr>
  </w:style>
  <w:style w:type="paragraph" w:customStyle="1" w:styleId="MediumList2-Accent22114">
    <w:name w:val="Medium List 2 - Accent 221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4">
    <w:name w:val="Colorful Shading - Accent 11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4">
    <w:name w:val="Colorful Shading - Accent 12114"/>
    <w:hidden/>
    <w:uiPriority w:val="99"/>
    <w:semiHidden/>
    <w:rsid w:val="0081234A"/>
    <w:pPr>
      <w:spacing w:after="120" w:line="264" w:lineRule="auto"/>
    </w:pPr>
    <w:rPr>
      <w:rFonts w:ascii="Verdana" w:eastAsiaTheme="minorEastAsia" w:hAnsi="Verdana"/>
      <w:sz w:val="20"/>
      <w:szCs w:val="20"/>
    </w:rPr>
  </w:style>
  <w:style w:type="paragraph" w:customStyle="1" w:styleId="LightList-Accent31314">
    <w:name w:val="Light List - Accent 31314"/>
    <w:hidden/>
    <w:uiPriority w:val="99"/>
    <w:semiHidden/>
    <w:rsid w:val="0081234A"/>
    <w:pPr>
      <w:spacing w:after="120" w:line="264" w:lineRule="auto"/>
    </w:pPr>
    <w:rPr>
      <w:rFonts w:ascii="Arial" w:eastAsiaTheme="minorEastAsia" w:hAnsi="Arial"/>
      <w:sz w:val="24"/>
      <w:szCs w:val="24"/>
    </w:rPr>
  </w:style>
  <w:style w:type="paragraph" w:customStyle="1" w:styleId="LightList-Accent311214">
    <w:name w:val="Light List - Accent 311214"/>
    <w:hidden/>
    <w:uiPriority w:val="99"/>
    <w:semiHidden/>
    <w:rsid w:val="0081234A"/>
    <w:pPr>
      <w:spacing w:after="120" w:line="264" w:lineRule="auto"/>
    </w:pPr>
    <w:rPr>
      <w:rFonts w:ascii="Arial" w:eastAsiaTheme="minorEastAsia" w:hAnsi="Arial"/>
      <w:sz w:val="24"/>
      <w:szCs w:val="24"/>
    </w:rPr>
  </w:style>
  <w:style w:type="paragraph" w:customStyle="1" w:styleId="MediumList2-Accent21214">
    <w:name w:val="Medium List 2 - Accent 21214"/>
    <w:hidden/>
    <w:uiPriority w:val="99"/>
    <w:semiHidden/>
    <w:rsid w:val="0081234A"/>
    <w:pPr>
      <w:spacing w:after="120" w:line="264" w:lineRule="auto"/>
    </w:pPr>
    <w:rPr>
      <w:rFonts w:ascii="Arial" w:eastAsiaTheme="minorEastAsia" w:hAnsi="Arial"/>
      <w:sz w:val="24"/>
      <w:szCs w:val="24"/>
    </w:rPr>
  </w:style>
  <w:style w:type="paragraph" w:customStyle="1" w:styleId="MediumList2-Accent22214">
    <w:name w:val="Medium List 2 - Accent 222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4">
    <w:name w:val="Colorful Shading - Accent 112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4">
    <w:name w:val="Colorful Shading - Accent 12214"/>
    <w:hidden/>
    <w:uiPriority w:val="99"/>
    <w:semiHidden/>
    <w:rsid w:val="0081234A"/>
    <w:pPr>
      <w:spacing w:after="120" w:line="264" w:lineRule="auto"/>
    </w:pPr>
    <w:rPr>
      <w:rFonts w:ascii="Verdana" w:eastAsiaTheme="minorEastAsia" w:hAnsi="Verdana"/>
      <w:sz w:val="20"/>
      <w:szCs w:val="20"/>
    </w:rPr>
  </w:style>
  <w:style w:type="paragraph" w:customStyle="1" w:styleId="LightList-Accent3144">
    <w:name w:val="Light List - Accent 3144"/>
    <w:hidden/>
    <w:uiPriority w:val="99"/>
    <w:semiHidden/>
    <w:rsid w:val="0081234A"/>
    <w:pPr>
      <w:spacing w:after="120" w:line="264" w:lineRule="auto"/>
    </w:pPr>
    <w:rPr>
      <w:rFonts w:ascii="Arial" w:eastAsiaTheme="minorEastAsia" w:hAnsi="Arial"/>
      <w:sz w:val="24"/>
      <w:szCs w:val="24"/>
    </w:rPr>
  </w:style>
  <w:style w:type="paragraph" w:customStyle="1" w:styleId="LightList-Accent31134">
    <w:name w:val="Light List - Accent 31134"/>
    <w:hidden/>
    <w:uiPriority w:val="99"/>
    <w:semiHidden/>
    <w:rsid w:val="0081234A"/>
    <w:pPr>
      <w:spacing w:after="120" w:line="264" w:lineRule="auto"/>
    </w:pPr>
    <w:rPr>
      <w:rFonts w:ascii="Arial" w:eastAsiaTheme="minorEastAsia" w:hAnsi="Arial"/>
      <w:sz w:val="24"/>
      <w:szCs w:val="24"/>
    </w:rPr>
  </w:style>
  <w:style w:type="paragraph" w:customStyle="1" w:styleId="MediumList2-Accent2134">
    <w:name w:val="Medium List 2 - Accent 2134"/>
    <w:hidden/>
    <w:uiPriority w:val="99"/>
    <w:semiHidden/>
    <w:rsid w:val="0081234A"/>
    <w:pPr>
      <w:spacing w:after="120" w:line="264" w:lineRule="auto"/>
    </w:pPr>
    <w:rPr>
      <w:rFonts w:ascii="Arial" w:eastAsiaTheme="minorEastAsia" w:hAnsi="Arial"/>
      <w:sz w:val="24"/>
      <w:szCs w:val="24"/>
    </w:rPr>
  </w:style>
  <w:style w:type="paragraph" w:customStyle="1" w:styleId="MediumList2-Accent2234">
    <w:name w:val="Medium List 2 - Accent 223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4">
    <w:name w:val="Colorful Shading - Accent 113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4">
    <w:name w:val="Colorful Shading - Accent 1234"/>
    <w:hidden/>
    <w:uiPriority w:val="99"/>
    <w:semiHidden/>
    <w:rsid w:val="0081234A"/>
    <w:pPr>
      <w:spacing w:after="120" w:line="264" w:lineRule="auto"/>
    </w:pPr>
    <w:rPr>
      <w:rFonts w:ascii="Verdana" w:eastAsiaTheme="minorEastAsia" w:hAnsi="Verdana"/>
      <w:sz w:val="20"/>
      <w:szCs w:val="20"/>
    </w:rPr>
  </w:style>
  <w:style w:type="paragraph" w:customStyle="1" w:styleId="LightList-Accent3154">
    <w:name w:val="Light List - Accent 3154"/>
    <w:hidden/>
    <w:uiPriority w:val="99"/>
    <w:semiHidden/>
    <w:rsid w:val="0081234A"/>
    <w:pPr>
      <w:spacing w:after="120" w:line="264" w:lineRule="auto"/>
    </w:pPr>
    <w:rPr>
      <w:rFonts w:ascii="Arial" w:eastAsiaTheme="minorEastAsia" w:hAnsi="Arial"/>
      <w:sz w:val="24"/>
      <w:szCs w:val="24"/>
    </w:rPr>
  </w:style>
  <w:style w:type="paragraph" w:customStyle="1" w:styleId="LightList-Accent31144">
    <w:name w:val="Light List - Accent 31144"/>
    <w:hidden/>
    <w:uiPriority w:val="99"/>
    <w:semiHidden/>
    <w:rsid w:val="0081234A"/>
    <w:pPr>
      <w:spacing w:after="120" w:line="264" w:lineRule="auto"/>
    </w:pPr>
    <w:rPr>
      <w:rFonts w:ascii="Arial" w:eastAsiaTheme="minorEastAsia" w:hAnsi="Arial"/>
      <w:sz w:val="24"/>
      <w:szCs w:val="24"/>
    </w:rPr>
  </w:style>
  <w:style w:type="paragraph" w:customStyle="1" w:styleId="MediumList2-Accent2144">
    <w:name w:val="Medium List 2 - Accent 2144"/>
    <w:hidden/>
    <w:uiPriority w:val="99"/>
    <w:semiHidden/>
    <w:rsid w:val="0081234A"/>
    <w:pPr>
      <w:spacing w:after="120" w:line="264" w:lineRule="auto"/>
    </w:pPr>
    <w:rPr>
      <w:rFonts w:ascii="Arial" w:eastAsiaTheme="minorEastAsia" w:hAnsi="Arial"/>
      <w:sz w:val="24"/>
      <w:szCs w:val="24"/>
    </w:rPr>
  </w:style>
  <w:style w:type="paragraph" w:customStyle="1" w:styleId="MediumList2-Accent2244">
    <w:name w:val="Medium List 2 - Accent 224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4">
    <w:name w:val="Colorful Shading - Accent 114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4">
    <w:name w:val="Colorful Shading - Accent 1244"/>
    <w:hidden/>
    <w:uiPriority w:val="99"/>
    <w:semiHidden/>
    <w:rsid w:val="0081234A"/>
    <w:pPr>
      <w:spacing w:after="120" w:line="264" w:lineRule="auto"/>
    </w:pPr>
    <w:rPr>
      <w:rFonts w:ascii="Verdana" w:eastAsiaTheme="minorEastAsia" w:hAnsi="Verdana"/>
      <w:sz w:val="20"/>
      <w:szCs w:val="20"/>
    </w:rPr>
  </w:style>
  <w:style w:type="paragraph" w:customStyle="1" w:styleId="LightList-Accent3162">
    <w:name w:val="Light List - Accent 3162"/>
    <w:hidden/>
    <w:uiPriority w:val="99"/>
    <w:semiHidden/>
    <w:rsid w:val="0081234A"/>
    <w:pPr>
      <w:spacing w:after="120" w:line="264" w:lineRule="auto"/>
    </w:pPr>
    <w:rPr>
      <w:rFonts w:ascii="Arial" w:eastAsiaTheme="minorEastAsia" w:hAnsi="Arial"/>
      <w:sz w:val="24"/>
      <w:szCs w:val="24"/>
    </w:rPr>
  </w:style>
  <w:style w:type="paragraph" w:customStyle="1" w:styleId="LightList-Accent31152">
    <w:name w:val="Light List - Accent 31152"/>
    <w:hidden/>
    <w:uiPriority w:val="99"/>
    <w:semiHidden/>
    <w:rsid w:val="0081234A"/>
    <w:pPr>
      <w:spacing w:after="120" w:line="264" w:lineRule="auto"/>
    </w:pPr>
    <w:rPr>
      <w:rFonts w:ascii="Arial" w:eastAsiaTheme="minorEastAsia" w:hAnsi="Arial"/>
      <w:sz w:val="24"/>
      <w:szCs w:val="24"/>
    </w:rPr>
  </w:style>
  <w:style w:type="paragraph" w:customStyle="1" w:styleId="MediumList2-Accent2152">
    <w:name w:val="Medium List 2 - Accent 2152"/>
    <w:hidden/>
    <w:uiPriority w:val="99"/>
    <w:semiHidden/>
    <w:rsid w:val="0081234A"/>
    <w:pPr>
      <w:spacing w:after="120" w:line="264" w:lineRule="auto"/>
    </w:pPr>
    <w:rPr>
      <w:rFonts w:ascii="Arial" w:eastAsiaTheme="minorEastAsia" w:hAnsi="Arial"/>
      <w:sz w:val="24"/>
      <w:szCs w:val="24"/>
    </w:rPr>
  </w:style>
  <w:style w:type="paragraph" w:customStyle="1" w:styleId="MediumList2-Accent2252">
    <w:name w:val="Medium List 2 - Accent 225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2">
    <w:name w:val="Colorful Shading - Accent 115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2">
    <w:name w:val="Colorful Shading - Accent 1252"/>
    <w:hidden/>
    <w:uiPriority w:val="99"/>
    <w:semiHidden/>
    <w:rsid w:val="0081234A"/>
    <w:pPr>
      <w:spacing w:after="120" w:line="264" w:lineRule="auto"/>
    </w:pPr>
    <w:rPr>
      <w:rFonts w:ascii="Verdana" w:eastAsiaTheme="minorEastAsia" w:hAnsi="Verdana"/>
      <w:sz w:val="20"/>
      <w:szCs w:val="20"/>
    </w:rPr>
  </w:style>
  <w:style w:type="paragraph" w:customStyle="1" w:styleId="LightList-Accent31222">
    <w:name w:val="Light List - Accent 31222"/>
    <w:hidden/>
    <w:uiPriority w:val="99"/>
    <w:semiHidden/>
    <w:rsid w:val="0081234A"/>
    <w:pPr>
      <w:spacing w:after="120" w:line="264" w:lineRule="auto"/>
    </w:pPr>
    <w:rPr>
      <w:rFonts w:ascii="Arial" w:eastAsiaTheme="minorEastAsia" w:hAnsi="Arial"/>
      <w:sz w:val="24"/>
      <w:szCs w:val="24"/>
    </w:rPr>
  </w:style>
  <w:style w:type="paragraph" w:customStyle="1" w:styleId="LightList-Accent311122">
    <w:name w:val="Light List - Accent 311122"/>
    <w:hidden/>
    <w:uiPriority w:val="99"/>
    <w:semiHidden/>
    <w:rsid w:val="0081234A"/>
    <w:pPr>
      <w:spacing w:after="120" w:line="264" w:lineRule="auto"/>
    </w:pPr>
    <w:rPr>
      <w:rFonts w:ascii="Arial" w:eastAsiaTheme="minorEastAsia" w:hAnsi="Arial"/>
      <w:sz w:val="24"/>
      <w:szCs w:val="24"/>
    </w:rPr>
  </w:style>
  <w:style w:type="paragraph" w:customStyle="1" w:styleId="MediumList2-Accent21122">
    <w:name w:val="Medium List 2 - Accent 21122"/>
    <w:hidden/>
    <w:uiPriority w:val="99"/>
    <w:semiHidden/>
    <w:rsid w:val="0081234A"/>
    <w:pPr>
      <w:spacing w:after="120" w:line="264" w:lineRule="auto"/>
    </w:pPr>
    <w:rPr>
      <w:rFonts w:ascii="Arial" w:eastAsiaTheme="minorEastAsia" w:hAnsi="Arial"/>
      <w:sz w:val="24"/>
      <w:szCs w:val="24"/>
    </w:rPr>
  </w:style>
  <w:style w:type="paragraph" w:customStyle="1" w:styleId="MediumList2-Accent22122">
    <w:name w:val="Medium List 2 - Accent 221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2">
    <w:name w:val="Colorful Shading - Accent 111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2">
    <w:name w:val="Colorful Shading - Accent 12122"/>
    <w:hidden/>
    <w:uiPriority w:val="99"/>
    <w:semiHidden/>
    <w:rsid w:val="0081234A"/>
    <w:pPr>
      <w:spacing w:after="120" w:line="264" w:lineRule="auto"/>
    </w:pPr>
    <w:rPr>
      <w:rFonts w:ascii="Verdana" w:eastAsiaTheme="minorEastAsia" w:hAnsi="Verdana"/>
      <w:sz w:val="20"/>
      <w:szCs w:val="20"/>
    </w:rPr>
  </w:style>
  <w:style w:type="paragraph" w:customStyle="1" w:styleId="LightList-Accent31322">
    <w:name w:val="Light List - Accent 31322"/>
    <w:hidden/>
    <w:uiPriority w:val="99"/>
    <w:semiHidden/>
    <w:rsid w:val="0081234A"/>
    <w:pPr>
      <w:spacing w:after="120" w:line="264" w:lineRule="auto"/>
    </w:pPr>
    <w:rPr>
      <w:rFonts w:ascii="Arial" w:eastAsiaTheme="minorEastAsia" w:hAnsi="Arial"/>
      <w:sz w:val="24"/>
      <w:szCs w:val="24"/>
    </w:rPr>
  </w:style>
  <w:style w:type="paragraph" w:customStyle="1" w:styleId="LightList-Accent311222">
    <w:name w:val="Light List - Accent 311222"/>
    <w:hidden/>
    <w:uiPriority w:val="99"/>
    <w:semiHidden/>
    <w:rsid w:val="0081234A"/>
    <w:pPr>
      <w:spacing w:after="120" w:line="264" w:lineRule="auto"/>
    </w:pPr>
    <w:rPr>
      <w:rFonts w:ascii="Arial" w:eastAsiaTheme="minorEastAsia" w:hAnsi="Arial"/>
      <w:sz w:val="24"/>
      <w:szCs w:val="24"/>
    </w:rPr>
  </w:style>
  <w:style w:type="paragraph" w:customStyle="1" w:styleId="MediumList2-Accent21222">
    <w:name w:val="Medium List 2 - Accent 21222"/>
    <w:hidden/>
    <w:uiPriority w:val="99"/>
    <w:semiHidden/>
    <w:rsid w:val="0081234A"/>
    <w:pPr>
      <w:spacing w:after="120" w:line="264" w:lineRule="auto"/>
    </w:pPr>
    <w:rPr>
      <w:rFonts w:ascii="Arial" w:eastAsiaTheme="minorEastAsia" w:hAnsi="Arial"/>
      <w:sz w:val="24"/>
      <w:szCs w:val="24"/>
    </w:rPr>
  </w:style>
  <w:style w:type="paragraph" w:customStyle="1" w:styleId="MediumList2-Accent22222">
    <w:name w:val="Medium List 2 - Accent 22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2">
    <w:name w:val="Colorful Shading - Accent 112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2">
    <w:name w:val="Colorful Shading - Accent 122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2">
    <w:name w:val="Light List - Accent 312112"/>
    <w:hidden/>
    <w:uiPriority w:val="99"/>
    <w:semiHidden/>
    <w:rsid w:val="0081234A"/>
    <w:pPr>
      <w:spacing w:after="120" w:line="264" w:lineRule="auto"/>
    </w:pPr>
    <w:rPr>
      <w:rFonts w:ascii="Arial" w:eastAsiaTheme="minorEastAsia" w:hAnsi="Arial"/>
      <w:sz w:val="24"/>
      <w:szCs w:val="24"/>
    </w:rPr>
  </w:style>
  <w:style w:type="paragraph" w:customStyle="1" w:styleId="LightList-Accent3111112">
    <w:name w:val="Light List - Accent 311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112">
    <w:name w:val="Medium List 2 - Accent 211112"/>
    <w:hidden/>
    <w:uiPriority w:val="99"/>
    <w:semiHidden/>
    <w:rsid w:val="0081234A"/>
    <w:pPr>
      <w:spacing w:after="120" w:line="264" w:lineRule="auto"/>
    </w:pPr>
    <w:rPr>
      <w:rFonts w:ascii="Arial" w:eastAsiaTheme="minorEastAsia" w:hAnsi="Arial"/>
      <w:sz w:val="24"/>
      <w:szCs w:val="24"/>
    </w:rPr>
  </w:style>
  <w:style w:type="paragraph" w:customStyle="1" w:styleId="MediumList2-Accent221112">
    <w:name w:val="Medium List 2 - Accent 221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2">
    <w:name w:val="Colorful Shading - Accent 11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2">
    <w:name w:val="Colorful Shading - Accent 121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2">
    <w:name w:val="Light List - Accent 313112"/>
    <w:hidden/>
    <w:uiPriority w:val="99"/>
    <w:semiHidden/>
    <w:rsid w:val="0081234A"/>
    <w:pPr>
      <w:spacing w:after="120" w:line="264" w:lineRule="auto"/>
    </w:pPr>
    <w:rPr>
      <w:rFonts w:ascii="Arial" w:eastAsiaTheme="minorEastAsia" w:hAnsi="Arial"/>
      <w:sz w:val="24"/>
      <w:szCs w:val="24"/>
    </w:rPr>
  </w:style>
  <w:style w:type="paragraph" w:customStyle="1" w:styleId="LightList-Accent3112112">
    <w:name w:val="Light List - Accent 3112112"/>
    <w:hidden/>
    <w:uiPriority w:val="99"/>
    <w:semiHidden/>
    <w:rsid w:val="0081234A"/>
    <w:pPr>
      <w:spacing w:after="120" w:line="264" w:lineRule="auto"/>
    </w:pPr>
    <w:rPr>
      <w:rFonts w:ascii="Arial" w:eastAsiaTheme="minorEastAsia" w:hAnsi="Arial"/>
      <w:sz w:val="24"/>
      <w:szCs w:val="24"/>
    </w:rPr>
  </w:style>
  <w:style w:type="paragraph" w:customStyle="1" w:styleId="MediumList2-Accent212112">
    <w:name w:val="Medium List 2 - Accent 212112"/>
    <w:hidden/>
    <w:uiPriority w:val="99"/>
    <w:semiHidden/>
    <w:rsid w:val="0081234A"/>
    <w:pPr>
      <w:spacing w:after="120" w:line="264" w:lineRule="auto"/>
    </w:pPr>
    <w:rPr>
      <w:rFonts w:ascii="Arial" w:eastAsiaTheme="minorEastAsia" w:hAnsi="Arial"/>
      <w:sz w:val="24"/>
      <w:szCs w:val="24"/>
    </w:rPr>
  </w:style>
  <w:style w:type="paragraph" w:customStyle="1" w:styleId="MediumList2-Accent222112">
    <w:name w:val="Medium List 2 - Accent 222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2">
    <w:name w:val="Colorful Shading - Accent 112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2">
    <w:name w:val="Colorful Shading - Accent 122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412">
    <w:name w:val="Light List - Accent 31412"/>
    <w:hidden/>
    <w:uiPriority w:val="99"/>
    <w:semiHidden/>
    <w:rsid w:val="0081234A"/>
    <w:pPr>
      <w:spacing w:after="120" w:line="264" w:lineRule="auto"/>
    </w:pPr>
    <w:rPr>
      <w:rFonts w:ascii="Arial" w:eastAsiaTheme="minorEastAsia" w:hAnsi="Arial"/>
      <w:sz w:val="24"/>
      <w:szCs w:val="24"/>
    </w:rPr>
  </w:style>
  <w:style w:type="paragraph" w:customStyle="1" w:styleId="LightList-Accent311312">
    <w:name w:val="Light List - Accent 311312"/>
    <w:hidden/>
    <w:uiPriority w:val="99"/>
    <w:semiHidden/>
    <w:rsid w:val="0081234A"/>
    <w:pPr>
      <w:spacing w:after="120" w:line="264" w:lineRule="auto"/>
    </w:pPr>
    <w:rPr>
      <w:rFonts w:ascii="Arial" w:eastAsiaTheme="minorEastAsia" w:hAnsi="Arial"/>
      <w:sz w:val="24"/>
      <w:szCs w:val="24"/>
    </w:rPr>
  </w:style>
  <w:style w:type="paragraph" w:customStyle="1" w:styleId="MediumList2-Accent21312">
    <w:name w:val="Medium List 2 - Accent 21312"/>
    <w:hidden/>
    <w:uiPriority w:val="99"/>
    <w:semiHidden/>
    <w:rsid w:val="0081234A"/>
    <w:pPr>
      <w:spacing w:after="120" w:line="264" w:lineRule="auto"/>
    </w:pPr>
    <w:rPr>
      <w:rFonts w:ascii="Arial" w:eastAsiaTheme="minorEastAsia" w:hAnsi="Arial"/>
      <w:sz w:val="24"/>
      <w:szCs w:val="24"/>
    </w:rPr>
  </w:style>
  <w:style w:type="paragraph" w:customStyle="1" w:styleId="MediumList2-Accent22312">
    <w:name w:val="Medium List 2 - Accent 223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2">
    <w:name w:val="Colorful Shading - Accent 113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2">
    <w:name w:val="Colorful Shading - Accent 12312"/>
    <w:hidden/>
    <w:uiPriority w:val="99"/>
    <w:semiHidden/>
    <w:rsid w:val="0081234A"/>
    <w:pPr>
      <w:spacing w:after="120" w:line="264" w:lineRule="auto"/>
    </w:pPr>
    <w:rPr>
      <w:rFonts w:ascii="Verdana" w:eastAsiaTheme="minorEastAsia" w:hAnsi="Verdana"/>
      <w:sz w:val="20"/>
      <w:szCs w:val="20"/>
    </w:rPr>
  </w:style>
  <w:style w:type="paragraph" w:customStyle="1" w:styleId="LightList-Accent31512">
    <w:name w:val="Light List - Accent 31512"/>
    <w:hidden/>
    <w:uiPriority w:val="99"/>
    <w:semiHidden/>
    <w:rsid w:val="0081234A"/>
    <w:pPr>
      <w:spacing w:after="120" w:line="264" w:lineRule="auto"/>
    </w:pPr>
    <w:rPr>
      <w:rFonts w:ascii="Arial" w:eastAsiaTheme="minorEastAsia" w:hAnsi="Arial"/>
      <w:sz w:val="24"/>
      <w:szCs w:val="24"/>
    </w:rPr>
  </w:style>
  <w:style w:type="paragraph" w:customStyle="1" w:styleId="LightList-Accent311412">
    <w:name w:val="Light List - Accent 311412"/>
    <w:hidden/>
    <w:uiPriority w:val="99"/>
    <w:semiHidden/>
    <w:rsid w:val="0081234A"/>
    <w:pPr>
      <w:spacing w:after="120" w:line="264" w:lineRule="auto"/>
    </w:pPr>
    <w:rPr>
      <w:rFonts w:ascii="Arial" w:eastAsiaTheme="minorEastAsia" w:hAnsi="Arial"/>
      <w:sz w:val="24"/>
      <w:szCs w:val="24"/>
    </w:rPr>
  </w:style>
  <w:style w:type="paragraph" w:customStyle="1" w:styleId="MediumList2-Accent21412">
    <w:name w:val="Medium List 2 - Accent 21412"/>
    <w:hidden/>
    <w:uiPriority w:val="99"/>
    <w:semiHidden/>
    <w:rsid w:val="0081234A"/>
    <w:pPr>
      <w:spacing w:after="120" w:line="264" w:lineRule="auto"/>
    </w:pPr>
    <w:rPr>
      <w:rFonts w:ascii="Arial" w:eastAsiaTheme="minorEastAsia" w:hAnsi="Arial"/>
      <w:sz w:val="24"/>
      <w:szCs w:val="24"/>
    </w:rPr>
  </w:style>
  <w:style w:type="paragraph" w:customStyle="1" w:styleId="MediumList2-Accent22412">
    <w:name w:val="Medium List 2 - Accent 224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2">
    <w:name w:val="Colorful Shading - Accent 114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2">
    <w:name w:val="Colorful Shading - Accent 12412"/>
    <w:hidden/>
    <w:uiPriority w:val="99"/>
    <w:semiHidden/>
    <w:rsid w:val="0081234A"/>
    <w:pPr>
      <w:spacing w:after="120" w:line="264" w:lineRule="auto"/>
    </w:pPr>
    <w:rPr>
      <w:rFonts w:ascii="Verdana" w:eastAsiaTheme="minorEastAsia" w:hAnsi="Verdana"/>
      <w:sz w:val="20"/>
      <w:szCs w:val="20"/>
    </w:rPr>
  </w:style>
  <w:style w:type="paragraph" w:customStyle="1" w:styleId="LightList-Accent3171">
    <w:name w:val="Light List - Accent 3171"/>
    <w:hidden/>
    <w:uiPriority w:val="99"/>
    <w:semiHidden/>
    <w:rsid w:val="0081234A"/>
    <w:pPr>
      <w:spacing w:after="120" w:line="264" w:lineRule="auto"/>
    </w:pPr>
    <w:rPr>
      <w:rFonts w:ascii="Arial" w:eastAsiaTheme="minorEastAsia" w:hAnsi="Arial"/>
      <w:sz w:val="24"/>
      <w:szCs w:val="24"/>
    </w:rPr>
  </w:style>
  <w:style w:type="paragraph" w:customStyle="1" w:styleId="LightList-Accent31161">
    <w:name w:val="Light List - Accent 31161"/>
    <w:hidden/>
    <w:uiPriority w:val="99"/>
    <w:semiHidden/>
    <w:rsid w:val="0081234A"/>
    <w:pPr>
      <w:spacing w:after="120" w:line="264" w:lineRule="auto"/>
    </w:pPr>
    <w:rPr>
      <w:rFonts w:ascii="Arial" w:eastAsiaTheme="minorEastAsia" w:hAnsi="Arial"/>
      <w:sz w:val="24"/>
      <w:szCs w:val="24"/>
    </w:rPr>
  </w:style>
  <w:style w:type="paragraph" w:customStyle="1" w:styleId="MediumList2-Accent2161">
    <w:name w:val="Medium List 2 - Accent 2161"/>
    <w:hidden/>
    <w:uiPriority w:val="99"/>
    <w:semiHidden/>
    <w:rsid w:val="0081234A"/>
    <w:pPr>
      <w:spacing w:after="120" w:line="264" w:lineRule="auto"/>
    </w:pPr>
    <w:rPr>
      <w:rFonts w:ascii="Arial" w:eastAsiaTheme="minorEastAsia" w:hAnsi="Arial"/>
      <w:sz w:val="24"/>
      <w:szCs w:val="24"/>
    </w:rPr>
  </w:style>
  <w:style w:type="paragraph" w:customStyle="1" w:styleId="MediumList2-Accent2261">
    <w:name w:val="Medium List 2 - Accent 226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61">
    <w:name w:val="Colorful Shading - Accent 116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61">
    <w:name w:val="Colorful Shading - Accent 1261"/>
    <w:hidden/>
    <w:uiPriority w:val="99"/>
    <w:semiHidden/>
    <w:rsid w:val="0081234A"/>
    <w:pPr>
      <w:spacing w:after="120" w:line="264" w:lineRule="auto"/>
    </w:pPr>
    <w:rPr>
      <w:rFonts w:ascii="Verdana" w:eastAsiaTheme="minorEastAsia" w:hAnsi="Verdana"/>
      <w:sz w:val="20"/>
      <w:szCs w:val="20"/>
    </w:rPr>
  </w:style>
  <w:style w:type="paragraph" w:customStyle="1" w:styleId="LightList-Accent31231">
    <w:name w:val="Light List - Accent 31231"/>
    <w:hidden/>
    <w:uiPriority w:val="99"/>
    <w:semiHidden/>
    <w:rsid w:val="0081234A"/>
    <w:pPr>
      <w:spacing w:after="120" w:line="264" w:lineRule="auto"/>
    </w:pPr>
    <w:rPr>
      <w:rFonts w:ascii="Arial" w:eastAsiaTheme="minorEastAsia" w:hAnsi="Arial"/>
      <w:sz w:val="24"/>
      <w:szCs w:val="24"/>
    </w:rPr>
  </w:style>
  <w:style w:type="paragraph" w:customStyle="1" w:styleId="LightList-Accent311131">
    <w:name w:val="Light List - Accent 311131"/>
    <w:hidden/>
    <w:uiPriority w:val="99"/>
    <w:semiHidden/>
    <w:rsid w:val="0081234A"/>
    <w:pPr>
      <w:spacing w:after="120" w:line="264" w:lineRule="auto"/>
    </w:pPr>
    <w:rPr>
      <w:rFonts w:ascii="Arial" w:eastAsiaTheme="minorEastAsia" w:hAnsi="Arial"/>
      <w:sz w:val="24"/>
      <w:szCs w:val="24"/>
    </w:rPr>
  </w:style>
  <w:style w:type="paragraph" w:customStyle="1" w:styleId="MediumList2-Accent21131">
    <w:name w:val="Medium List 2 - Accent 21131"/>
    <w:hidden/>
    <w:uiPriority w:val="99"/>
    <w:semiHidden/>
    <w:rsid w:val="0081234A"/>
    <w:pPr>
      <w:spacing w:after="120" w:line="264" w:lineRule="auto"/>
    </w:pPr>
    <w:rPr>
      <w:rFonts w:ascii="Arial" w:eastAsiaTheme="minorEastAsia" w:hAnsi="Arial"/>
      <w:sz w:val="24"/>
      <w:szCs w:val="24"/>
    </w:rPr>
  </w:style>
  <w:style w:type="paragraph" w:customStyle="1" w:styleId="MediumList2-Accent22131">
    <w:name w:val="Medium List 2 - Accent 221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31">
    <w:name w:val="Colorful Shading - Accent 111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31">
    <w:name w:val="Colorful Shading - Accent 12131"/>
    <w:hidden/>
    <w:uiPriority w:val="99"/>
    <w:semiHidden/>
    <w:rsid w:val="0081234A"/>
    <w:pPr>
      <w:spacing w:after="120" w:line="264" w:lineRule="auto"/>
    </w:pPr>
    <w:rPr>
      <w:rFonts w:ascii="Verdana" w:eastAsiaTheme="minorEastAsia" w:hAnsi="Verdana"/>
      <w:sz w:val="20"/>
      <w:szCs w:val="20"/>
    </w:rPr>
  </w:style>
  <w:style w:type="paragraph" w:customStyle="1" w:styleId="LightList-Accent31331">
    <w:name w:val="Light List - Accent 31331"/>
    <w:hidden/>
    <w:uiPriority w:val="99"/>
    <w:semiHidden/>
    <w:rsid w:val="0081234A"/>
    <w:pPr>
      <w:spacing w:after="120" w:line="264" w:lineRule="auto"/>
    </w:pPr>
    <w:rPr>
      <w:rFonts w:ascii="Arial" w:eastAsiaTheme="minorEastAsia" w:hAnsi="Arial"/>
      <w:sz w:val="24"/>
      <w:szCs w:val="24"/>
    </w:rPr>
  </w:style>
  <w:style w:type="paragraph" w:customStyle="1" w:styleId="LightList-Accent311231">
    <w:name w:val="Light List - Accent 311231"/>
    <w:hidden/>
    <w:uiPriority w:val="99"/>
    <w:semiHidden/>
    <w:rsid w:val="0081234A"/>
    <w:pPr>
      <w:spacing w:after="120" w:line="264" w:lineRule="auto"/>
    </w:pPr>
    <w:rPr>
      <w:rFonts w:ascii="Arial" w:eastAsiaTheme="minorEastAsia" w:hAnsi="Arial"/>
      <w:sz w:val="24"/>
      <w:szCs w:val="24"/>
    </w:rPr>
  </w:style>
  <w:style w:type="paragraph" w:customStyle="1" w:styleId="MediumList2-Accent21231">
    <w:name w:val="Medium List 2 - Accent 21231"/>
    <w:hidden/>
    <w:uiPriority w:val="99"/>
    <w:semiHidden/>
    <w:rsid w:val="0081234A"/>
    <w:pPr>
      <w:spacing w:after="120" w:line="264" w:lineRule="auto"/>
    </w:pPr>
    <w:rPr>
      <w:rFonts w:ascii="Arial" w:eastAsiaTheme="minorEastAsia" w:hAnsi="Arial"/>
      <w:sz w:val="24"/>
      <w:szCs w:val="24"/>
    </w:rPr>
  </w:style>
  <w:style w:type="paragraph" w:customStyle="1" w:styleId="MediumList2-Accent22231">
    <w:name w:val="Medium List 2 - Accent 222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31">
    <w:name w:val="Colorful Shading - Accent 112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31">
    <w:name w:val="Colorful Shading - Accent 12231"/>
    <w:hidden/>
    <w:uiPriority w:val="99"/>
    <w:semiHidden/>
    <w:rsid w:val="0081234A"/>
    <w:pPr>
      <w:spacing w:after="120" w:line="264" w:lineRule="auto"/>
    </w:pPr>
    <w:rPr>
      <w:rFonts w:ascii="Verdana" w:eastAsiaTheme="minorEastAsia" w:hAnsi="Verdana"/>
      <w:sz w:val="20"/>
      <w:szCs w:val="20"/>
    </w:rPr>
  </w:style>
  <w:style w:type="paragraph" w:customStyle="1" w:styleId="LightList-Accent312121">
    <w:name w:val="Light List - Accent 312121"/>
    <w:hidden/>
    <w:uiPriority w:val="99"/>
    <w:semiHidden/>
    <w:rsid w:val="0081234A"/>
    <w:pPr>
      <w:spacing w:after="120" w:line="264" w:lineRule="auto"/>
    </w:pPr>
    <w:rPr>
      <w:rFonts w:ascii="Arial" w:eastAsiaTheme="minorEastAsia" w:hAnsi="Arial"/>
      <w:sz w:val="24"/>
      <w:szCs w:val="24"/>
    </w:rPr>
  </w:style>
  <w:style w:type="paragraph" w:customStyle="1" w:styleId="LightList-Accent3111121">
    <w:name w:val="Light List - Accent 3111121"/>
    <w:hidden/>
    <w:uiPriority w:val="99"/>
    <w:semiHidden/>
    <w:rsid w:val="0081234A"/>
    <w:pPr>
      <w:spacing w:after="120" w:line="264" w:lineRule="auto"/>
    </w:pPr>
    <w:rPr>
      <w:rFonts w:ascii="Arial" w:eastAsiaTheme="minorEastAsia" w:hAnsi="Arial"/>
      <w:sz w:val="24"/>
      <w:szCs w:val="24"/>
    </w:rPr>
  </w:style>
  <w:style w:type="paragraph" w:customStyle="1" w:styleId="MediumList2-Accent211121">
    <w:name w:val="Medium List 2 - Accent 211121"/>
    <w:hidden/>
    <w:uiPriority w:val="99"/>
    <w:semiHidden/>
    <w:rsid w:val="0081234A"/>
    <w:pPr>
      <w:spacing w:after="120" w:line="264" w:lineRule="auto"/>
    </w:pPr>
    <w:rPr>
      <w:rFonts w:ascii="Arial" w:eastAsiaTheme="minorEastAsia" w:hAnsi="Arial"/>
      <w:sz w:val="24"/>
      <w:szCs w:val="24"/>
    </w:rPr>
  </w:style>
  <w:style w:type="paragraph" w:customStyle="1" w:styleId="MediumList2-Accent221121">
    <w:name w:val="Medium List 2 - Accent 221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21">
    <w:name w:val="Colorful Shading - Accent 11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21">
    <w:name w:val="Colorful Shading - Accent 121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21">
    <w:name w:val="Light List - Accent 313121"/>
    <w:hidden/>
    <w:uiPriority w:val="99"/>
    <w:semiHidden/>
    <w:rsid w:val="0081234A"/>
    <w:pPr>
      <w:spacing w:after="120" w:line="264" w:lineRule="auto"/>
    </w:pPr>
    <w:rPr>
      <w:rFonts w:ascii="Arial" w:eastAsiaTheme="minorEastAsia" w:hAnsi="Arial"/>
      <w:sz w:val="24"/>
      <w:szCs w:val="24"/>
    </w:rPr>
  </w:style>
  <w:style w:type="paragraph" w:customStyle="1" w:styleId="LightList-Accent3112121">
    <w:name w:val="Light List - Accent 3112121"/>
    <w:hidden/>
    <w:uiPriority w:val="99"/>
    <w:semiHidden/>
    <w:rsid w:val="0081234A"/>
    <w:pPr>
      <w:spacing w:after="120" w:line="264" w:lineRule="auto"/>
    </w:pPr>
    <w:rPr>
      <w:rFonts w:ascii="Arial" w:eastAsiaTheme="minorEastAsia" w:hAnsi="Arial"/>
      <w:sz w:val="24"/>
      <w:szCs w:val="24"/>
    </w:rPr>
  </w:style>
  <w:style w:type="paragraph" w:customStyle="1" w:styleId="MediumList2-Accent212121">
    <w:name w:val="Medium List 2 - Accent 212121"/>
    <w:hidden/>
    <w:uiPriority w:val="99"/>
    <w:semiHidden/>
    <w:rsid w:val="0081234A"/>
    <w:pPr>
      <w:spacing w:after="120" w:line="264" w:lineRule="auto"/>
    </w:pPr>
    <w:rPr>
      <w:rFonts w:ascii="Arial" w:eastAsiaTheme="minorEastAsia" w:hAnsi="Arial"/>
      <w:sz w:val="24"/>
      <w:szCs w:val="24"/>
    </w:rPr>
  </w:style>
  <w:style w:type="paragraph" w:customStyle="1" w:styleId="MediumList2-Accent222121">
    <w:name w:val="Medium List 2 - Accent 222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21">
    <w:name w:val="Colorful Shading - Accent 112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21">
    <w:name w:val="Colorful Shading - Accent 122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421">
    <w:name w:val="Light List - Accent 31421"/>
    <w:hidden/>
    <w:uiPriority w:val="99"/>
    <w:semiHidden/>
    <w:rsid w:val="0081234A"/>
    <w:pPr>
      <w:spacing w:after="120" w:line="264" w:lineRule="auto"/>
    </w:pPr>
    <w:rPr>
      <w:rFonts w:ascii="Arial" w:eastAsiaTheme="minorEastAsia" w:hAnsi="Arial"/>
      <w:sz w:val="24"/>
      <w:szCs w:val="24"/>
    </w:rPr>
  </w:style>
  <w:style w:type="paragraph" w:customStyle="1" w:styleId="LightList-Accent311321">
    <w:name w:val="Light List - Accent 311321"/>
    <w:hidden/>
    <w:uiPriority w:val="99"/>
    <w:semiHidden/>
    <w:rsid w:val="0081234A"/>
    <w:pPr>
      <w:spacing w:after="120" w:line="264" w:lineRule="auto"/>
    </w:pPr>
    <w:rPr>
      <w:rFonts w:ascii="Arial" w:eastAsiaTheme="minorEastAsia" w:hAnsi="Arial"/>
      <w:sz w:val="24"/>
      <w:szCs w:val="24"/>
    </w:rPr>
  </w:style>
  <w:style w:type="paragraph" w:customStyle="1" w:styleId="MediumList2-Accent21321">
    <w:name w:val="Medium List 2 - Accent 21321"/>
    <w:hidden/>
    <w:uiPriority w:val="99"/>
    <w:semiHidden/>
    <w:rsid w:val="0081234A"/>
    <w:pPr>
      <w:spacing w:after="120" w:line="264" w:lineRule="auto"/>
    </w:pPr>
    <w:rPr>
      <w:rFonts w:ascii="Arial" w:eastAsiaTheme="minorEastAsia" w:hAnsi="Arial"/>
      <w:sz w:val="24"/>
      <w:szCs w:val="24"/>
    </w:rPr>
  </w:style>
  <w:style w:type="paragraph" w:customStyle="1" w:styleId="MediumList2-Accent22321">
    <w:name w:val="Medium List 2 - Accent 223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21">
    <w:name w:val="Colorful Shading - Accent 113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21">
    <w:name w:val="Colorful Shading - Accent 12321"/>
    <w:hidden/>
    <w:uiPriority w:val="99"/>
    <w:semiHidden/>
    <w:rsid w:val="0081234A"/>
    <w:pPr>
      <w:spacing w:after="120" w:line="264" w:lineRule="auto"/>
    </w:pPr>
    <w:rPr>
      <w:rFonts w:ascii="Verdana" w:eastAsiaTheme="minorEastAsia" w:hAnsi="Verdana"/>
      <w:sz w:val="20"/>
      <w:szCs w:val="20"/>
    </w:rPr>
  </w:style>
  <w:style w:type="paragraph" w:customStyle="1" w:styleId="LightList-Accent31521">
    <w:name w:val="Light List - Accent 31521"/>
    <w:hidden/>
    <w:uiPriority w:val="99"/>
    <w:semiHidden/>
    <w:rsid w:val="0081234A"/>
    <w:pPr>
      <w:spacing w:after="120" w:line="264" w:lineRule="auto"/>
    </w:pPr>
    <w:rPr>
      <w:rFonts w:ascii="Arial" w:eastAsiaTheme="minorEastAsia" w:hAnsi="Arial"/>
      <w:sz w:val="24"/>
      <w:szCs w:val="24"/>
    </w:rPr>
  </w:style>
  <w:style w:type="paragraph" w:customStyle="1" w:styleId="LightList-Accent311421">
    <w:name w:val="Light List - Accent 311421"/>
    <w:hidden/>
    <w:uiPriority w:val="99"/>
    <w:semiHidden/>
    <w:rsid w:val="0081234A"/>
    <w:pPr>
      <w:spacing w:after="120" w:line="264" w:lineRule="auto"/>
    </w:pPr>
    <w:rPr>
      <w:rFonts w:ascii="Arial" w:eastAsiaTheme="minorEastAsia" w:hAnsi="Arial"/>
      <w:sz w:val="24"/>
      <w:szCs w:val="24"/>
    </w:rPr>
  </w:style>
  <w:style w:type="paragraph" w:customStyle="1" w:styleId="MediumList2-Accent21421">
    <w:name w:val="Medium List 2 - Accent 21421"/>
    <w:hidden/>
    <w:uiPriority w:val="99"/>
    <w:semiHidden/>
    <w:rsid w:val="0081234A"/>
    <w:pPr>
      <w:spacing w:after="120" w:line="264" w:lineRule="auto"/>
    </w:pPr>
    <w:rPr>
      <w:rFonts w:ascii="Arial" w:eastAsiaTheme="minorEastAsia" w:hAnsi="Arial"/>
      <w:sz w:val="24"/>
      <w:szCs w:val="24"/>
    </w:rPr>
  </w:style>
  <w:style w:type="paragraph" w:customStyle="1" w:styleId="MediumList2-Accent22421">
    <w:name w:val="Medium List 2 - Accent 224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21">
    <w:name w:val="Colorful Shading - Accent 114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21">
    <w:name w:val="Colorful Shading - Accent 12421"/>
    <w:hidden/>
    <w:uiPriority w:val="99"/>
    <w:semiHidden/>
    <w:rsid w:val="0081234A"/>
    <w:pPr>
      <w:spacing w:after="120" w:line="264" w:lineRule="auto"/>
    </w:pPr>
    <w:rPr>
      <w:rFonts w:ascii="Verdana" w:eastAsiaTheme="minorEastAsia" w:hAnsi="Verdana"/>
      <w:sz w:val="20"/>
      <w:szCs w:val="20"/>
    </w:rPr>
  </w:style>
  <w:style w:type="paragraph" w:customStyle="1" w:styleId="LightList-Accent3110">
    <w:name w:val="Light List - Accent 3110"/>
    <w:hidden/>
    <w:uiPriority w:val="99"/>
    <w:semiHidden/>
    <w:rsid w:val="0081234A"/>
    <w:pPr>
      <w:spacing w:after="120" w:line="264" w:lineRule="auto"/>
    </w:pPr>
    <w:rPr>
      <w:rFonts w:ascii="Arial" w:eastAsiaTheme="minorEastAsia" w:hAnsi="Arial"/>
      <w:sz w:val="24"/>
      <w:szCs w:val="24"/>
    </w:rPr>
  </w:style>
  <w:style w:type="paragraph" w:customStyle="1" w:styleId="LightList-Accent3119">
    <w:name w:val="Light List - Accent 3119"/>
    <w:hidden/>
    <w:uiPriority w:val="99"/>
    <w:semiHidden/>
    <w:rsid w:val="0081234A"/>
    <w:pPr>
      <w:spacing w:after="120" w:line="264" w:lineRule="auto"/>
    </w:pPr>
    <w:rPr>
      <w:rFonts w:ascii="Arial" w:eastAsiaTheme="minorEastAsia" w:hAnsi="Arial"/>
      <w:sz w:val="24"/>
      <w:szCs w:val="24"/>
    </w:rPr>
  </w:style>
  <w:style w:type="paragraph" w:customStyle="1" w:styleId="MediumList2-Accent219">
    <w:name w:val="Medium List 2 - Accent 219"/>
    <w:hidden/>
    <w:uiPriority w:val="99"/>
    <w:semiHidden/>
    <w:rsid w:val="0081234A"/>
    <w:pPr>
      <w:spacing w:after="120" w:line="264" w:lineRule="auto"/>
    </w:pPr>
    <w:rPr>
      <w:rFonts w:ascii="Arial" w:eastAsiaTheme="minorEastAsia" w:hAnsi="Arial"/>
      <w:sz w:val="24"/>
      <w:szCs w:val="24"/>
    </w:rPr>
  </w:style>
  <w:style w:type="paragraph" w:customStyle="1" w:styleId="MediumList2-Accent229">
    <w:name w:val="Medium List 2 - Accent 229"/>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9">
    <w:name w:val="Colorful Shading - Accent 119"/>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9">
    <w:name w:val="Colorful Shading - Accent 129"/>
    <w:hidden/>
    <w:uiPriority w:val="99"/>
    <w:semiHidden/>
    <w:rsid w:val="0081234A"/>
    <w:pPr>
      <w:spacing w:after="120" w:line="264" w:lineRule="auto"/>
    </w:pPr>
    <w:rPr>
      <w:rFonts w:ascii="Verdana" w:eastAsiaTheme="minorEastAsia" w:hAnsi="Verdana"/>
      <w:sz w:val="20"/>
      <w:szCs w:val="20"/>
    </w:rPr>
  </w:style>
  <w:style w:type="paragraph" w:customStyle="1" w:styleId="LightList-Accent3126">
    <w:name w:val="Light List - Accent 3126"/>
    <w:hidden/>
    <w:uiPriority w:val="99"/>
    <w:semiHidden/>
    <w:rsid w:val="0081234A"/>
    <w:pPr>
      <w:spacing w:after="120" w:line="264" w:lineRule="auto"/>
    </w:pPr>
    <w:rPr>
      <w:rFonts w:ascii="Arial" w:eastAsiaTheme="minorEastAsia" w:hAnsi="Arial"/>
      <w:sz w:val="24"/>
      <w:szCs w:val="24"/>
    </w:rPr>
  </w:style>
  <w:style w:type="paragraph" w:customStyle="1" w:styleId="LightList-Accent31116">
    <w:name w:val="Light List - Accent 31116"/>
    <w:hidden/>
    <w:uiPriority w:val="99"/>
    <w:semiHidden/>
    <w:rsid w:val="0081234A"/>
    <w:pPr>
      <w:spacing w:after="120" w:line="264" w:lineRule="auto"/>
    </w:pPr>
    <w:rPr>
      <w:rFonts w:ascii="Arial" w:eastAsiaTheme="minorEastAsia" w:hAnsi="Arial"/>
      <w:sz w:val="24"/>
      <w:szCs w:val="24"/>
    </w:rPr>
  </w:style>
  <w:style w:type="paragraph" w:customStyle="1" w:styleId="MediumList2-Accent2116">
    <w:name w:val="Medium List 2 - Accent 2116"/>
    <w:hidden/>
    <w:uiPriority w:val="99"/>
    <w:semiHidden/>
    <w:rsid w:val="0081234A"/>
    <w:pPr>
      <w:spacing w:after="120" w:line="264" w:lineRule="auto"/>
    </w:pPr>
    <w:rPr>
      <w:rFonts w:ascii="Arial" w:eastAsiaTheme="minorEastAsia" w:hAnsi="Arial"/>
      <w:sz w:val="24"/>
      <w:szCs w:val="24"/>
    </w:rPr>
  </w:style>
  <w:style w:type="paragraph" w:customStyle="1" w:styleId="MediumList2-Accent2216">
    <w:name w:val="Medium List 2 - Accent 221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6">
    <w:name w:val="Colorful Shading - Accent 111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6">
    <w:name w:val="Colorful Shading - Accent 1216"/>
    <w:hidden/>
    <w:uiPriority w:val="99"/>
    <w:semiHidden/>
    <w:rsid w:val="0081234A"/>
    <w:pPr>
      <w:spacing w:after="120" w:line="264" w:lineRule="auto"/>
    </w:pPr>
    <w:rPr>
      <w:rFonts w:ascii="Verdana" w:eastAsiaTheme="minorEastAsia" w:hAnsi="Verdana"/>
      <w:sz w:val="20"/>
      <w:szCs w:val="20"/>
    </w:rPr>
  </w:style>
  <w:style w:type="paragraph" w:customStyle="1" w:styleId="LightList-Accent3136">
    <w:name w:val="Light List - Accent 3136"/>
    <w:hidden/>
    <w:uiPriority w:val="99"/>
    <w:semiHidden/>
    <w:rsid w:val="0081234A"/>
    <w:pPr>
      <w:spacing w:after="120" w:line="264" w:lineRule="auto"/>
    </w:pPr>
    <w:rPr>
      <w:rFonts w:ascii="Arial" w:eastAsiaTheme="minorEastAsia" w:hAnsi="Arial"/>
      <w:sz w:val="24"/>
      <w:szCs w:val="24"/>
    </w:rPr>
  </w:style>
  <w:style w:type="paragraph" w:customStyle="1" w:styleId="LightList-Accent31126">
    <w:name w:val="Light List - Accent 31126"/>
    <w:hidden/>
    <w:uiPriority w:val="99"/>
    <w:semiHidden/>
    <w:rsid w:val="0081234A"/>
    <w:pPr>
      <w:spacing w:after="120" w:line="264" w:lineRule="auto"/>
    </w:pPr>
    <w:rPr>
      <w:rFonts w:ascii="Arial" w:eastAsiaTheme="minorEastAsia" w:hAnsi="Arial"/>
      <w:sz w:val="24"/>
      <w:szCs w:val="24"/>
    </w:rPr>
  </w:style>
  <w:style w:type="paragraph" w:customStyle="1" w:styleId="MediumList2-Accent2126">
    <w:name w:val="Medium List 2 - Accent 2126"/>
    <w:hidden/>
    <w:uiPriority w:val="99"/>
    <w:semiHidden/>
    <w:rsid w:val="0081234A"/>
    <w:pPr>
      <w:spacing w:after="120" w:line="264" w:lineRule="auto"/>
    </w:pPr>
    <w:rPr>
      <w:rFonts w:ascii="Arial" w:eastAsiaTheme="minorEastAsia" w:hAnsi="Arial"/>
      <w:sz w:val="24"/>
      <w:szCs w:val="24"/>
    </w:rPr>
  </w:style>
  <w:style w:type="paragraph" w:customStyle="1" w:styleId="MediumList2-Accent2226">
    <w:name w:val="Medium List 2 - Accent 222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6">
    <w:name w:val="Colorful Shading - Accent 112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6">
    <w:name w:val="Colorful Shading - Accent 1226"/>
    <w:hidden/>
    <w:uiPriority w:val="99"/>
    <w:semiHidden/>
    <w:rsid w:val="0081234A"/>
    <w:pPr>
      <w:spacing w:after="120" w:line="264" w:lineRule="auto"/>
    </w:pPr>
    <w:rPr>
      <w:rFonts w:ascii="Verdana" w:eastAsiaTheme="minorEastAsia" w:hAnsi="Verdana"/>
      <w:sz w:val="20"/>
      <w:szCs w:val="20"/>
    </w:rPr>
  </w:style>
  <w:style w:type="paragraph" w:customStyle="1" w:styleId="LightList-Accent31215">
    <w:name w:val="Light List - Accent 31215"/>
    <w:hidden/>
    <w:uiPriority w:val="99"/>
    <w:semiHidden/>
    <w:rsid w:val="0081234A"/>
    <w:pPr>
      <w:spacing w:after="120" w:line="264" w:lineRule="auto"/>
    </w:pPr>
    <w:rPr>
      <w:rFonts w:ascii="Arial" w:eastAsiaTheme="minorEastAsia" w:hAnsi="Arial"/>
      <w:sz w:val="24"/>
      <w:szCs w:val="24"/>
    </w:rPr>
  </w:style>
  <w:style w:type="paragraph" w:customStyle="1" w:styleId="LightList-Accent311115">
    <w:name w:val="Light List - Accent 311115"/>
    <w:hidden/>
    <w:uiPriority w:val="99"/>
    <w:semiHidden/>
    <w:rsid w:val="0081234A"/>
    <w:pPr>
      <w:spacing w:after="120" w:line="264" w:lineRule="auto"/>
    </w:pPr>
    <w:rPr>
      <w:rFonts w:ascii="Arial" w:eastAsiaTheme="minorEastAsia" w:hAnsi="Arial"/>
      <w:sz w:val="24"/>
      <w:szCs w:val="24"/>
    </w:rPr>
  </w:style>
  <w:style w:type="paragraph" w:customStyle="1" w:styleId="MediumList2-Accent21115">
    <w:name w:val="Medium List 2 - Accent 21115"/>
    <w:hidden/>
    <w:uiPriority w:val="99"/>
    <w:semiHidden/>
    <w:rsid w:val="0081234A"/>
    <w:pPr>
      <w:spacing w:after="120" w:line="264" w:lineRule="auto"/>
    </w:pPr>
    <w:rPr>
      <w:rFonts w:ascii="Arial" w:eastAsiaTheme="minorEastAsia" w:hAnsi="Arial"/>
      <w:sz w:val="24"/>
      <w:szCs w:val="24"/>
    </w:rPr>
  </w:style>
  <w:style w:type="paragraph" w:customStyle="1" w:styleId="MediumList2-Accent22115">
    <w:name w:val="Medium List 2 - Accent 221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5">
    <w:name w:val="Colorful Shading - Accent 11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5">
    <w:name w:val="Colorful Shading - Accent 12115"/>
    <w:hidden/>
    <w:uiPriority w:val="99"/>
    <w:semiHidden/>
    <w:rsid w:val="0081234A"/>
    <w:pPr>
      <w:spacing w:after="120" w:line="264" w:lineRule="auto"/>
    </w:pPr>
    <w:rPr>
      <w:rFonts w:ascii="Verdana" w:eastAsiaTheme="minorEastAsia" w:hAnsi="Verdana"/>
      <w:sz w:val="20"/>
      <w:szCs w:val="20"/>
    </w:rPr>
  </w:style>
  <w:style w:type="paragraph" w:customStyle="1" w:styleId="LightList-Accent31315">
    <w:name w:val="Light List - Accent 31315"/>
    <w:hidden/>
    <w:uiPriority w:val="99"/>
    <w:semiHidden/>
    <w:rsid w:val="0081234A"/>
    <w:pPr>
      <w:spacing w:after="120" w:line="264" w:lineRule="auto"/>
    </w:pPr>
    <w:rPr>
      <w:rFonts w:ascii="Arial" w:eastAsiaTheme="minorEastAsia" w:hAnsi="Arial"/>
      <w:sz w:val="24"/>
      <w:szCs w:val="24"/>
    </w:rPr>
  </w:style>
  <w:style w:type="paragraph" w:customStyle="1" w:styleId="LightList-Accent311215">
    <w:name w:val="Light List - Accent 311215"/>
    <w:hidden/>
    <w:uiPriority w:val="99"/>
    <w:semiHidden/>
    <w:rsid w:val="0081234A"/>
    <w:pPr>
      <w:spacing w:after="120" w:line="264" w:lineRule="auto"/>
    </w:pPr>
    <w:rPr>
      <w:rFonts w:ascii="Arial" w:eastAsiaTheme="minorEastAsia" w:hAnsi="Arial"/>
      <w:sz w:val="24"/>
      <w:szCs w:val="24"/>
    </w:rPr>
  </w:style>
  <w:style w:type="paragraph" w:customStyle="1" w:styleId="MediumList2-Accent21215">
    <w:name w:val="Medium List 2 - Accent 21215"/>
    <w:hidden/>
    <w:uiPriority w:val="99"/>
    <w:semiHidden/>
    <w:rsid w:val="0081234A"/>
    <w:pPr>
      <w:spacing w:after="120" w:line="264" w:lineRule="auto"/>
    </w:pPr>
    <w:rPr>
      <w:rFonts w:ascii="Arial" w:eastAsiaTheme="minorEastAsia" w:hAnsi="Arial"/>
      <w:sz w:val="24"/>
      <w:szCs w:val="24"/>
    </w:rPr>
  </w:style>
  <w:style w:type="paragraph" w:customStyle="1" w:styleId="MediumList2-Accent22215">
    <w:name w:val="Medium List 2 - Accent 222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5">
    <w:name w:val="Colorful Shading - Accent 112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5">
    <w:name w:val="Colorful Shading - Accent 12215"/>
    <w:hidden/>
    <w:uiPriority w:val="99"/>
    <w:semiHidden/>
    <w:rsid w:val="0081234A"/>
    <w:pPr>
      <w:spacing w:after="120" w:line="264" w:lineRule="auto"/>
    </w:pPr>
    <w:rPr>
      <w:rFonts w:ascii="Verdana" w:eastAsiaTheme="minorEastAsia" w:hAnsi="Verdana"/>
      <w:sz w:val="20"/>
      <w:szCs w:val="20"/>
    </w:rPr>
  </w:style>
  <w:style w:type="paragraph" w:customStyle="1" w:styleId="LightList-Accent3145">
    <w:name w:val="Light List - Accent 3145"/>
    <w:hidden/>
    <w:uiPriority w:val="99"/>
    <w:semiHidden/>
    <w:rsid w:val="0081234A"/>
    <w:pPr>
      <w:spacing w:after="120" w:line="264" w:lineRule="auto"/>
    </w:pPr>
    <w:rPr>
      <w:rFonts w:ascii="Arial" w:eastAsiaTheme="minorEastAsia" w:hAnsi="Arial"/>
      <w:sz w:val="24"/>
      <w:szCs w:val="24"/>
    </w:rPr>
  </w:style>
  <w:style w:type="paragraph" w:customStyle="1" w:styleId="LightList-Accent31135">
    <w:name w:val="Light List - Accent 31135"/>
    <w:hidden/>
    <w:uiPriority w:val="99"/>
    <w:semiHidden/>
    <w:rsid w:val="0081234A"/>
    <w:pPr>
      <w:spacing w:after="120" w:line="264" w:lineRule="auto"/>
    </w:pPr>
    <w:rPr>
      <w:rFonts w:ascii="Arial" w:eastAsiaTheme="minorEastAsia" w:hAnsi="Arial"/>
      <w:sz w:val="24"/>
      <w:szCs w:val="24"/>
    </w:rPr>
  </w:style>
  <w:style w:type="paragraph" w:customStyle="1" w:styleId="MediumList2-Accent2135">
    <w:name w:val="Medium List 2 - Accent 2135"/>
    <w:hidden/>
    <w:uiPriority w:val="99"/>
    <w:semiHidden/>
    <w:rsid w:val="0081234A"/>
    <w:pPr>
      <w:spacing w:after="120" w:line="264" w:lineRule="auto"/>
    </w:pPr>
    <w:rPr>
      <w:rFonts w:ascii="Arial" w:eastAsiaTheme="minorEastAsia" w:hAnsi="Arial"/>
      <w:sz w:val="24"/>
      <w:szCs w:val="24"/>
    </w:rPr>
  </w:style>
  <w:style w:type="paragraph" w:customStyle="1" w:styleId="MediumList2-Accent2235">
    <w:name w:val="Medium List 2 - Accent 223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5">
    <w:name w:val="Colorful Shading - Accent 113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5">
    <w:name w:val="Colorful Shading - Accent 1235"/>
    <w:hidden/>
    <w:uiPriority w:val="99"/>
    <w:semiHidden/>
    <w:rsid w:val="0081234A"/>
    <w:pPr>
      <w:spacing w:after="120" w:line="264" w:lineRule="auto"/>
    </w:pPr>
    <w:rPr>
      <w:rFonts w:ascii="Verdana" w:eastAsiaTheme="minorEastAsia" w:hAnsi="Verdana"/>
      <w:sz w:val="20"/>
      <w:szCs w:val="20"/>
    </w:rPr>
  </w:style>
  <w:style w:type="paragraph" w:customStyle="1" w:styleId="LightList-Accent3155">
    <w:name w:val="Light List - Accent 3155"/>
    <w:hidden/>
    <w:uiPriority w:val="99"/>
    <w:semiHidden/>
    <w:rsid w:val="0081234A"/>
    <w:pPr>
      <w:spacing w:after="120" w:line="264" w:lineRule="auto"/>
    </w:pPr>
    <w:rPr>
      <w:rFonts w:ascii="Arial" w:eastAsiaTheme="minorEastAsia" w:hAnsi="Arial"/>
      <w:sz w:val="24"/>
      <w:szCs w:val="24"/>
    </w:rPr>
  </w:style>
  <w:style w:type="paragraph" w:customStyle="1" w:styleId="LightList-Accent31145">
    <w:name w:val="Light List - Accent 31145"/>
    <w:hidden/>
    <w:uiPriority w:val="99"/>
    <w:semiHidden/>
    <w:rsid w:val="0081234A"/>
    <w:pPr>
      <w:spacing w:after="120" w:line="264" w:lineRule="auto"/>
    </w:pPr>
    <w:rPr>
      <w:rFonts w:ascii="Arial" w:eastAsiaTheme="minorEastAsia" w:hAnsi="Arial"/>
      <w:sz w:val="24"/>
      <w:szCs w:val="24"/>
    </w:rPr>
  </w:style>
  <w:style w:type="paragraph" w:customStyle="1" w:styleId="MediumList2-Accent2145">
    <w:name w:val="Medium List 2 - Accent 2145"/>
    <w:hidden/>
    <w:uiPriority w:val="99"/>
    <w:semiHidden/>
    <w:rsid w:val="0081234A"/>
    <w:pPr>
      <w:spacing w:after="120" w:line="264" w:lineRule="auto"/>
    </w:pPr>
    <w:rPr>
      <w:rFonts w:ascii="Arial" w:eastAsiaTheme="minorEastAsia" w:hAnsi="Arial"/>
      <w:sz w:val="24"/>
      <w:szCs w:val="24"/>
    </w:rPr>
  </w:style>
  <w:style w:type="paragraph" w:customStyle="1" w:styleId="MediumList2-Accent2245">
    <w:name w:val="Medium List 2 - Accent 224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5">
    <w:name w:val="Colorful Shading - Accent 114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5">
    <w:name w:val="Colorful Shading - Accent 1245"/>
    <w:hidden/>
    <w:uiPriority w:val="99"/>
    <w:semiHidden/>
    <w:rsid w:val="0081234A"/>
    <w:pPr>
      <w:spacing w:after="120" w:line="264" w:lineRule="auto"/>
    </w:pPr>
    <w:rPr>
      <w:rFonts w:ascii="Verdana" w:eastAsiaTheme="minorEastAsia" w:hAnsi="Verdana"/>
      <w:sz w:val="20"/>
      <w:szCs w:val="20"/>
    </w:rPr>
  </w:style>
  <w:style w:type="paragraph" w:customStyle="1" w:styleId="ARbullet3">
    <w:name w:val="AR bullet 3"/>
    <w:basedOn w:val="Normal"/>
    <w:rsid w:val="001D049B"/>
    <w:pPr>
      <w:numPr>
        <w:ilvl w:val="2"/>
        <w:numId w:val="4"/>
      </w:numPr>
      <w:tabs>
        <w:tab w:val="num" w:pos="284"/>
      </w:tabs>
      <w:spacing w:after="40" w:line="260" w:lineRule="atLeast"/>
      <w:ind w:left="510" w:hanging="226"/>
    </w:pPr>
    <w:rPr>
      <w:rFonts w:ascii="Arial" w:eastAsia="Times" w:hAnsi="Arial" w:cs="Arial"/>
      <w:sz w:val="20"/>
      <w:szCs w:val="24"/>
    </w:rPr>
  </w:style>
  <w:style w:type="table" w:styleId="TableGrid1">
    <w:name w:val="Table Grid 1"/>
    <w:basedOn w:val="TableNormal"/>
    <w:rsid w:val="000476D8"/>
    <w:pPr>
      <w:spacing w:after="120" w:line="264" w:lineRule="auto"/>
    </w:pPr>
    <w:rPr>
      <w:rFonts w:eastAsiaTheme="minorEastAsia"/>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List">
    <w:name w:val="Light List"/>
    <w:basedOn w:val="TableNormal"/>
    <w:uiPriority w:val="61"/>
    <w:rsid w:val="000476D8"/>
    <w:pPr>
      <w:spacing w:after="120" w:line="264" w:lineRule="auto"/>
    </w:pPr>
    <w:rPr>
      <w:rFonts w:eastAsiaTheme="minorEastAsia"/>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8"/>
    <w:semiHidden/>
    <w:rsid w:val="000476D8"/>
    <w:pPr>
      <w:spacing w:after="120" w:line="264"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8"/>
    <w:semiHidden/>
    <w:rsid w:val="000476D8"/>
    <w:rPr>
      <w:rFonts w:ascii="Consolas" w:eastAsia="Calibri" w:hAnsi="Consolas"/>
      <w:sz w:val="21"/>
      <w:szCs w:val="21"/>
      <w:lang w:val="x-none" w:eastAsia="x-none"/>
    </w:rPr>
  </w:style>
  <w:style w:type="numbering" w:customStyle="1" w:styleId="ARnumberedparas">
    <w:name w:val="AR numbered paras"/>
    <w:rsid w:val="000476D8"/>
    <w:pPr>
      <w:numPr>
        <w:numId w:val="8"/>
      </w:numPr>
    </w:pPr>
  </w:style>
  <w:style w:type="table" w:styleId="TableElegant">
    <w:name w:val="Table Elegant"/>
    <w:basedOn w:val="TableNormal"/>
    <w:uiPriority w:val="99"/>
    <w:rsid w:val="000476D8"/>
    <w:pPr>
      <w:spacing w:after="120" w:line="264" w:lineRule="auto"/>
    </w:pPr>
    <w:rPr>
      <w:rFonts w:eastAsiaTheme="minorEastAsia"/>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5">
    <w:name w:val="Table Grid 5"/>
    <w:basedOn w:val="TableNormal"/>
    <w:rsid w:val="000476D8"/>
    <w:pPr>
      <w:spacing w:after="120" w:line="264" w:lineRule="auto"/>
    </w:pPr>
    <w:rPr>
      <w:rFonts w:eastAsiaTheme="minorEastAsia"/>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ightShading-Accent2">
    <w:name w:val="Light Shading Accent 2"/>
    <w:basedOn w:val="TableNormal"/>
    <w:uiPriority w:val="60"/>
    <w:rsid w:val="000476D8"/>
    <w:pPr>
      <w:spacing w:before="120" w:after="0" w:line="240" w:lineRule="auto"/>
    </w:pPr>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table" w:customStyle="1" w:styleId="TableGrid10">
    <w:name w:val="Table Grid1"/>
    <w:basedOn w:val="TableNormal"/>
    <w:next w:val="TableGrid"/>
    <w:rsid w:val="000476D8"/>
    <w:pPr>
      <w:spacing w:after="120" w:line="264"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476D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0476D8"/>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476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0476D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1">
    <w:name w:val="index 1"/>
    <w:basedOn w:val="Normal"/>
    <w:next w:val="Normal"/>
    <w:autoRedefine/>
    <w:uiPriority w:val="98"/>
    <w:semiHidden/>
    <w:rsid w:val="000476D8"/>
    <w:pPr>
      <w:spacing w:after="120" w:line="264" w:lineRule="auto"/>
      <w:ind w:left="180" w:hanging="180"/>
    </w:pPr>
    <w:rPr>
      <w:rFonts w:ascii="Times New Roman" w:eastAsiaTheme="minorEastAsia" w:hAnsi="Times New Roman"/>
      <w:b/>
      <w:sz w:val="18"/>
      <w:szCs w:val="18"/>
      <w:lang w:eastAsia="en-AU"/>
    </w:rPr>
  </w:style>
  <w:style w:type="table" w:customStyle="1" w:styleId="TableGrid3">
    <w:name w:val="Table Grid3"/>
    <w:basedOn w:val="TableNormal"/>
    <w:next w:val="TableGrid"/>
    <w:uiPriority w:val="59"/>
    <w:rsid w:val="0004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3">
    <w:name w:val="Medium Shading 2 Accent 3"/>
    <w:basedOn w:val="TableNormal"/>
    <w:uiPriority w:val="98"/>
    <w:rsid w:val="000476D8"/>
    <w:pPr>
      <w:spacing w:after="0" w:line="240" w:lineRule="auto"/>
    </w:pPr>
    <w:rPr>
      <w:rFonts w:ascii="Times New Roman" w:eastAsia="MS Mincho"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3520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5205" w:themeFill="accent3"/>
      </w:tcPr>
    </w:tblStylePr>
    <w:tblStylePr w:type="lastCol">
      <w:rPr>
        <w:b/>
        <w:bCs/>
        <w:color w:val="FFFFFF" w:themeColor="background1"/>
      </w:rPr>
      <w:tblPr/>
      <w:tcPr>
        <w:tcBorders>
          <w:left w:val="nil"/>
          <w:right w:val="nil"/>
          <w:insideH w:val="nil"/>
          <w:insideV w:val="nil"/>
        </w:tcBorders>
        <w:shd w:val="clear" w:color="auto" w:fill="E3520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4">
    <w:name w:val="Plain Table 4"/>
    <w:basedOn w:val="TableNormal"/>
    <w:uiPriority w:val="44"/>
    <w:rsid w:val="000476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4">
    <w:name w:val="Table Grid4"/>
    <w:basedOn w:val="TableNormal"/>
    <w:next w:val="TableGrid"/>
    <w:uiPriority w:val="59"/>
    <w:rsid w:val="0004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476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Tablefootnotes">
    <w:name w:val="Table footnotes"/>
    <w:uiPriority w:val="99"/>
    <w:rsid w:val="000476D8"/>
    <w:pPr>
      <w:numPr>
        <w:numId w:val="12"/>
      </w:numPr>
    </w:pPr>
  </w:style>
  <w:style w:type="numbering" w:customStyle="1" w:styleId="Style2">
    <w:name w:val="Style2"/>
    <w:rsid w:val="000476D8"/>
    <w:pPr>
      <w:numPr>
        <w:numId w:val="11"/>
      </w:numPr>
    </w:pPr>
  </w:style>
  <w:style w:type="numbering" w:customStyle="1" w:styleId="ZZBullets">
    <w:name w:val="ZZ Bullets"/>
    <w:rsid w:val="00E1592B"/>
  </w:style>
  <w:style w:type="numbering" w:customStyle="1" w:styleId="ZZNumbersdigit">
    <w:name w:val="ZZ Numbers digit"/>
    <w:rsid w:val="000E38BD"/>
  </w:style>
  <w:style w:type="paragraph" w:customStyle="1" w:styleId="ARtablefootnotebullet">
    <w:name w:val="AR table footnote bullet"/>
    <w:basedOn w:val="ARtablefootnote"/>
    <w:link w:val="ARtablefootnotebulletChar"/>
    <w:uiPriority w:val="3"/>
    <w:qFormat/>
    <w:rsid w:val="000E38BD"/>
    <w:pPr>
      <w:numPr>
        <w:numId w:val="10"/>
      </w:numPr>
      <w:tabs>
        <w:tab w:val="num" w:pos="284"/>
        <w:tab w:val="num" w:pos="643"/>
      </w:tabs>
      <w:ind w:left="643" w:hanging="360"/>
    </w:pPr>
  </w:style>
  <w:style w:type="paragraph" w:customStyle="1" w:styleId="ARtablefootnotenumbered">
    <w:name w:val="AR table footnote numbered"/>
    <w:basedOn w:val="ARtablefootnote"/>
    <w:link w:val="ARtablefootnotenumberedChar"/>
    <w:uiPriority w:val="3"/>
    <w:qFormat/>
    <w:rsid w:val="000E38BD"/>
    <w:pPr>
      <w:numPr>
        <w:numId w:val="8"/>
      </w:numPr>
      <w:ind w:left="1080" w:hanging="360"/>
    </w:pPr>
    <w:rPr>
      <w:color w:val="000000" w:themeColor="text1"/>
    </w:rPr>
  </w:style>
  <w:style w:type="paragraph" w:customStyle="1" w:styleId="ARfootnotebullet">
    <w:name w:val="AR footnote bullet"/>
    <w:basedOn w:val="Normal"/>
    <w:link w:val="ARfootnotebulletChar"/>
    <w:qFormat/>
    <w:rsid w:val="00BA1A70"/>
    <w:pPr>
      <w:numPr>
        <w:numId w:val="15"/>
      </w:numPr>
      <w:spacing w:after="60" w:line="200" w:lineRule="atLeast"/>
      <w:ind w:left="284" w:hanging="284"/>
    </w:pPr>
    <w:rPr>
      <w:rFonts w:ascii="Arial" w:eastAsiaTheme="minorEastAsia" w:hAnsi="Arial"/>
      <w:color w:val="000000"/>
      <w:sz w:val="16"/>
      <w:szCs w:val="20"/>
      <w:lang w:eastAsia="en-AU"/>
    </w:rPr>
  </w:style>
  <w:style w:type="character" w:customStyle="1" w:styleId="ARfootnotebulletChar">
    <w:name w:val="AR footnote bullet Char"/>
    <w:link w:val="ARfootnotebullet"/>
    <w:rsid w:val="00BA1A70"/>
    <w:rPr>
      <w:rFonts w:ascii="Arial" w:eastAsiaTheme="minorEastAsia" w:hAnsi="Arial"/>
      <w:color w:val="000000"/>
      <w:sz w:val="16"/>
      <w:szCs w:val="20"/>
      <w:lang w:eastAsia="en-AU"/>
    </w:rPr>
  </w:style>
  <w:style w:type="character" w:customStyle="1" w:styleId="ARtablefootnotebulletChar">
    <w:name w:val="AR table footnote bullet Char"/>
    <w:link w:val="ARtablefootnotebullet"/>
    <w:uiPriority w:val="3"/>
    <w:rsid w:val="00FA298F"/>
    <w:rPr>
      <w:rFonts w:ascii="Arial" w:eastAsiaTheme="minorEastAsia" w:hAnsi="Arial"/>
      <w:sz w:val="16"/>
      <w:szCs w:val="16"/>
    </w:rPr>
  </w:style>
  <w:style w:type="numbering" w:customStyle="1" w:styleId="ZZFinbullets">
    <w:name w:val="ZZ Fin bullets"/>
    <w:basedOn w:val="NoList"/>
    <w:rsid w:val="000E38BD"/>
  </w:style>
  <w:style w:type="character" w:customStyle="1" w:styleId="ARtablefootnotenumberedChar">
    <w:name w:val="AR table footnote numbered Char"/>
    <w:link w:val="ARtablefootnotenumbered"/>
    <w:uiPriority w:val="3"/>
    <w:rsid w:val="00FA298F"/>
    <w:rPr>
      <w:rFonts w:ascii="Arial" w:eastAsiaTheme="minorEastAsia" w:hAnsi="Arial"/>
      <w:color w:val="000000" w:themeColor="text1"/>
      <w:sz w:val="16"/>
      <w:szCs w:val="16"/>
    </w:rPr>
  </w:style>
  <w:style w:type="numbering" w:customStyle="1" w:styleId="ZZTablefootnotenumbers">
    <w:name w:val="ZZ Table footnote numbers"/>
    <w:basedOn w:val="NoList"/>
    <w:uiPriority w:val="99"/>
    <w:rsid w:val="000E38BD"/>
    <w:pPr>
      <w:numPr>
        <w:numId w:val="7"/>
      </w:numPr>
    </w:pPr>
  </w:style>
  <w:style w:type="paragraph" w:styleId="TOCHeading">
    <w:name w:val="TOC Heading"/>
    <w:basedOn w:val="Heading1"/>
    <w:next w:val="Normal"/>
    <w:uiPriority w:val="39"/>
    <w:qFormat/>
    <w:rsid w:val="008D6776"/>
    <w:pPr>
      <w:outlineLvl w:val="9"/>
    </w:pPr>
  </w:style>
  <w:style w:type="numbering" w:customStyle="1" w:styleId="ZZTablefootnotebullets">
    <w:name w:val="ZZ Table footnote bullets"/>
    <w:basedOn w:val="NoList"/>
    <w:uiPriority w:val="99"/>
    <w:rsid w:val="000E38BD"/>
    <w:pPr>
      <w:numPr>
        <w:numId w:val="10"/>
      </w:numPr>
    </w:pPr>
  </w:style>
  <w:style w:type="numbering" w:customStyle="1" w:styleId="ZZFinnumbersalpha1">
    <w:name w:val="ZZ Fin numbers alpha 1"/>
    <w:basedOn w:val="NoList"/>
    <w:uiPriority w:val="99"/>
    <w:rsid w:val="000E38BD"/>
  </w:style>
  <w:style w:type="paragraph" w:customStyle="1" w:styleId="ARtablefootnoteroman">
    <w:name w:val="AR table footnote roman"/>
    <w:basedOn w:val="ARtablefootnote"/>
    <w:uiPriority w:val="3"/>
    <w:rsid w:val="000E38BD"/>
    <w:pPr>
      <w:numPr>
        <w:numId w:val="11"/>
      </w:numPr>
      <w:tabs>
        <w:tab w:val="clear" w:pos="284"/>
        <w:tab w:val="num" w:pos="992"/>
      </w:tabs>
      <w:ind w:left="992" w:hanging="992"/>
    </w:pPr>
    <w:rPr>
      <w:lang w:eastAsia="en-AU"/>
    </w:rPr>
  </w:style>
  <w:style w:type="paragraph" w:customStyle="1" w:styleId="ARboxednote">
    <w:name w:val="AR boxed note"/>
    <w:basedOn w:val="Normal"/>
    <w:rsid w:val="000E38BD"/>
    <w:pPr>
      <w:pBdr>
        <w:top w:val="single" w:sz="4" w:space="4" w:color="D9D9D9" w:themeColor="background1" w:themeShade="D9"/>
        <w:left w:val="single" w:sz="4" w:space="8" w:color="D9D9D9" w:themeColor="background1" w:themeShade="D9"/>
        <w:bottom w:val="single" w:sz="4" w:space="4" w:color="D9D9D9" w:themeColor="background1" w:themeShade="D9"/>
        <w:right w:val="single" w:sz="4" w:space="8" w:color="D9D9D9" w:themeColor="background1" w:themeShade="D9"/>
      </w:pBdr>
      <w:shd w:val="pct10" w:color="auto" w:fill="auto"/>
      <w:spacing w:before="120" w:after="120" w:line="264" w:lineRule="auto"/>
      <w:ind w:left="181" w:right="181"/>
    </w:pPr>
    <w:rPr>
      <w:rFonts w:ascii="Arial" w:eastAsia="Times" w:hAnsi="Arial" w:cs="Arial"/>
      <w:sz w:val="20"/>
      <w:szCs w:val="24"/>
    </w:rPr>
  </w:style>
  <w:style w:type="paragraph" w:customStyle="1" w:styleId="Heading3forTOC">
    <w:name w:val="Heading 3 for TOC"/>
    <w:basedOn w:val="Heading3"/>
    <w:uiPriority w:val="4"/>
    <w:rsid w:val="006F5B48"/>
    <w:pPr>
      <w:spacing w:before="0"/>
    </w:pPr>
  </w:style>
  <w:style w:type="paragraph" w:customStyle="1" w:styleId="Heading4Small">
    <w:name w:val="Heading 4 Small"/>
    <w:basedOn w:val="Heading6"/>
    <w:uiPriority w:val="4"/>
    <w:rsid w:val="000E38BD"/>
    <w:pPr>
      <w:outlineLvl w:val="3"/>
    </w:pPr>
    <w:rPr>
      <w:rFonts w:eastAsia="Yu Mincho" w:cs="ArialMT"/>
      <w:color w:val="000000" w:themeColor="text1"/>
      <w:sz w:val="18"/>
      <w:szCs w:val="18"/>
    </w:rPr>
  </w:style>
  <w:style w:type="paragraph" w:customStyle="1" w:styleId="ARfintablefootnotetabindent">
    <w:name w:val="AR fin table footnote tab indent"/>
    <w:link w:val="ARfintablefootnotetabindentChar"/>
    <w:uiPriority w:val="3"/>
    <w:qFormat/>
    <w:rsid w:val="00B04B53"/>
    <w:pPr>
      <w:spacing w:before="40" w:after="40" w:line="180" w:lineRule="atLeast"/>
      <w:ind w:left="284" w:hanging="284"/>
    </w:pPr>
    <w:rPr>
      <w:rFonts w:ascii="Arial" w:eastAsiaTheme="minorEastAsia" w:hAnsi="Arial"/>
      <w:color w:val="000000"/>
      <w:sz w:val="16"/>
      <w:szCs w:val="14"/>
      <w:lang w:eastAsia="en-AU"/>
    </w:rPr>
  </w:style>
  <w:style w:type="paragraph" w:styleId="Header">
    <w:name w:val="header"/>
    <w:basedOn w:val="Normal"/>
    <w:link w:val="HeaderChar"/>
    <w:uiPriority w:val="99"/>
    <w:unhideWhenUsed/>
    <w:rsid w:val="00613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84A"/>
  </w:style>
  <w:style w:type="paragraph" w:styleId="Title">
    <w:name w:val="Title"/>
    <w:basedOn w:val="Normal"/>
    <w:next w:val="Normal"/>
    <w:link w:val="TitleChar"/>
    <w:uiPriority w:val="98"/>
    <w:qFormat/>
    <w:rsid w:val="007D61F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8"/>
    <w:rsid w:val="007D61FB"/>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link w:val="ListParagraphChar"/>
    <w:uiPriority w:val="34"/>
    <w:qFormat/>
    <w:rsid w:val="007D61FB"/>
    <w:pPr>
      <w:ind w:left="720"/>
      <w:contextualSpacing/>
    </w:pPr>
    <w:rPr>
      <w:kern w:val="2"/>
      <w14:ligatures w14:val="standardContextual"/>
    </w:rPr>
  </w:style>
  <w:style w:type="character" w:styleId="IntenseReference">
    <w:name w:val="Intense Reference"/>
    <w:basedOn w:val="DefaultParagraphFont"/>
    <w:uiPriority w:val="32"/>
    <w:qFormat/>
    <w:rsid w:val="007D61FB"/>
    <w:rPr>
      <w:b/>
      <w:bCs/>
      <w:smallCaps/>
      <w:color w:val="005C8C" w:themeColor="accent1" w:themeShade="BF"/>
      <w:spacing w:val="5"/>
    </w:rPr>
  </w:style>
  <w:style w:type="paragraph" w:customStyle="1" w:styleId="ARbodybold">
    <w:name w:val="AR body bold"/>
    <w:basedOn w:val="ARbody"/>
    <w:rsid w:val="00B029C3"/>
    <w:rPr>
      <w:b/>
    </w:rPr>
  </w:style>
  <w:style w:type="paragraph" w:styleId="NoSpacing">
    <w:name w:val="No Spacing"/>
    <w:uiPriority w:val="98"/>
    <w:qFormat/>
    <w:rsid w:val="007D61FB"/>
    <w:pPr>
      <w:spacing w:after="0" w:line="240" w:lineRule="auto"/>
    </w:pPr>
    <w:rPr>
      <w:rFonts w:eastAsiaTheme="minorEastAsia"/>
      <w:sz w:val="20"/>
      <w:szCs w:val="20"/>
      <w:lang w:eastAsia="en-AU"/>
    </w:rPr>
  </w:style>
  <w:style w:type="character" w:styleId="SubtleReference">
    <w:name w:val="Subtle Reference"/>
    <w:basedOn w:val="DefaultParagraphFont"/>
    <w:uiPriority w:val="31"/>
    <w:qFormat/>
    <w:rsid w:val="007D61FB"/>
    <w:rPr>
      <w:smallCaps/>
      <w:color w:val="404040" w:themeColor="text1" w:themeTint="BF"/>
      <w:u w:val="single" w:color="7F7F7F" w:themeColor="text1" w:themeTint="80"/>
    </w:rPr>
  </w:style>
  <w:style w:type="character" w:customStyle="1" w:styleId="ListParagraphChar">
    <w:name w:val="List Paragraph Char"/>
    <w:link w:val="ListParagraph"/>
    <w:uiPriority w:val="34"/>
    <w:locked/>
    <w:rsid w:val="007D61FB"/>
    <w:rPr>
      <w:kern w:val="2"/>
      <w14:ligatures w14:val="standardContextual"/>
    </w:rPr>
  </w:style>
  <w:style w:type="character" w:customStyle="1" w:styleId="ARfintablefootnotetabindentChar">
    <w:name w:val="AR fin table footnote tab indent Char"/>
    <w:link w:val="ARfintablefootnotetabindent"/>
    <w:uiPriority w:val="3"/>
    <w:rsid w:val="00B04B53"/>
    <w:rPr>
      <w:rFonts w:ascii="Arial" w:eastAsiaTheme="minorEastAsia" w:hAnsi="Arial"/>
      <w:color w:val="000000"/>
      <w:sz w:val="16"/>
      <w:szCs w:val="14"/>
      <w:lang w:eastAsia="en-AU"/>
    </w:rPr>
  </w:style>
  <w:style w:type="character" w:styleId="Mention">
    <w:name w:val="Mention"/>
    <w:basedOn w:val="DefaultParagraphFont"/>
    <w:uiPriority w:val="99"/>
    <w:unhideWhenUsed/>
    <w:rsid w:val="007D61FB"/>
    <w:rPr>
      <w:color w:val="2B579A"/>
      <w:shd w:val="clear" w:color="auto" w:fill="E1DFDD"/>
    </w:rPr>
  </w:style>
  <w:style w:type="paragraph" w:customStyle="1" w:styleId="ARfinbodyafterandbeforetable">
    <w:name w:val="AR fin body after and before table"/>
    <w:basedOn w:val="ARfinbodyaftertable"/>
    <w:uiPriority w:val="3"/>
    <w:rsid w:val="00B04B53"/>
    <w:pPr>
      <w:spacing w:after="160"/>
    </w:pPr>
  </w:style>
  <w:style w:type="paragraph" w:customStyle="1" w:styleId="ARfinbullet1afterdigitoralpha">
    <w:name w:val="AR fin bullet 1 after digit or alpha"/>
    <w:basedOn w:val="ARfinbullet1"/>
    <w:uiPriority w:val="3"/>
    <w:rsid w:val="00B04B53"/>
    <w:pPr>
      <w:numPr>
        <w:ilvl w:val="2"/>
      </w:numPr>
    </w:pPr>
  </w:style>
  <w:style w:type="character" w:styleId="UnresolvedMention">
    <w:name w:val="Unresolved Mention"/>
    <w:basedOn w:val="DefaultParagraphFont"/>
    <w:uiPriority w:val="99"/>
    <w:semiHidden/>
    <w:unhideWhenUsed/>
    <w:rsid w:val="00FB2779"/>
    <w:rPr>
      <w:color w:val="605E5C"/>
      <w:shd w:val="clear" w:color="auto" w:fill="E1DFDD"/>
    </w:rPr>
  </w:style>
  <w:style w:type="paragraph" w:customStyle="1" w:styleId="ARtablefootnotelargespacebefore">
    <w:name w:val="AR table footnote large space before"/>
    <w:basedOn w:val="ARtablefootnote"/>
    <w:rsid w:val="00645AD0"/>
    <w:pPr>
      <w:spacing w:before="160"/>
    </w:pPr>
  </w:style>
  <w:style w:type="paragraph" w:customStyle="1" w:styleId="ARfintablerightforreplace">
    <w:name w:val="AR fin table right for replace"/>
    <w:basedOn w:val="ARfintablebodyright"/>
    <w:rsid w:val="00F32A39"/>
  </w:style>
  <w:style w:type="paragraph" w:customStyle="1" w:styleId="ARfinbodynospace">
    <w:name w:val="AR fin body no space"/>
    <w:basedOn w:val="ARfinbody"/>
    <w:uiPriority w:val="2"/>
    <w:rsid w:val="00B04B53"/>
    <w:pPr>
      <w:spacing w:after="0"/>
    </w:pPr>
  </w:style>
  <w:style w:type="paragraph" w:customStyle="1" w:styleId="ARfintablebodybold8pt">
    <w:name w:val="AR fin table body bold 8 pt"/>
    <w:basedOn w:val="ARfintablebodybold"/>
    <w:uiPriority w:val="3"/>
    <w:rsid w:val="00B04B53"/>
    <w:pPr>
      <w:spacing w:before="16" w:after="10" w:line="228" w:lineRule="auto"/>
      <w:ind w:right="0"/>
    </w:pPr>
    <w:rPr>
      <w:sz w:val="16"/>
    </w:rPr>
  </w:style>
  <w:style w:type="paragraph" w:customStyle="1" w:styleId="ARfintablefootnoteindentbullet1">
    <w:name w:val="AR fin table footnote indent bullet 1"/>
    <w:basedOn w:val="ARfintablefootnotetabindent"/>
    <w:uiPriority w:val="3"/>
    <w:rsid w:val="00B04B53"/>
    <w:pPr>
      <w:numPr>
        <w:numId w:val="17"/>
      </w:numPr>
      <w:tabs>
        <w:tab w:val="num" w:pos="360"/>
        <w:tab w:val="num" w:pos="397"/>
      </w:tabs>
      <w:ind w:left="568" w:hanging="284"/>
    </w:pPr>
  </w:style>
  <w:style w:type="paragraph" w:customStyle="1" w:styleId="ARfintablecolhead8">
    <w:name w:val="AR fin table col head 8"/>
    <w:basedOn w:val="ARfintablecolhead"/>
    <w:uiPriority w:val="3"/>
    <w:rsid w:val="00B04B53"/>
    <w:pPr>
      <w:spacing w:before="16" w:after="10" w:line="228" w:lineRule="auto"/>
      <w:ind w:right="0"/>
    </w:pPr>
    <w:rPr>
      <w:rFonts w:cs="Arial"/>
      <w:sz w:val="16"/>
      <w:szCs w:val="15"/>
    </w:rPr>
  </w:style>
  <w:style w:type="paragraph" w:customStyle="1" w:styleId="ARfintablecolheadright8">
    <w:name w:val="AR fin table col head right 8"/>
    <w:basedOn w:val="ARfintablecolheadright"/>
    <w:uiPriority w:val="3"/>
    <w:rsid w:val="00B04B53"/>
    <w:pPr>
      <w:spacing w:before="16" w:after="10" w:line="228" w:lineRule="auto"/>
      <w:ind w:right="0"/>
    </w:pPr>
    <w:rPr>
      <w:rFonts w:cs="Arial"/>
      <w:sz w:val="16"/>
      <w:szCs w:val="15"/>
    </w:rPr>
  </w:style>
  <w:style w:type="paragraph" w:customStyle="1" w:styleId="ARfintablebody8pt">
    <w:name w:val="AR fin table body 8 pt"/>
    <w:basedOn w:val="ARfintablebody"/>
    <w:uiPriority w:val="3"/>
    <w:rsid w:val="00B04B53"/>
    <w:pPr>
      <w:spacing w:before="16" w:after="10" w:line="228" w:lineRule="auto"/>
      <w:ind w:right="0"/>
    </w:pPr>
    <w:rPr>
      <w:sz w:val="16"/>
      <w:szCs w:val="15"/>
    </w:rPr>
  </w:style>
  <w:style w:type="paragraph" w:customStyle="1" w:styleId="ARfintablebodyright8pt">
    <w:name w:val="AR fin table body right 8 pt"/>
    <w:basedOn w:val="ARfintablebodyright"/>
    <w:uiPriority w:val="3"/>
    <w:rsid w:val="00B04B53"/>
    <w:pPr>
      <w:spacing w:before="16" w:after="10" w:line="228" w:lineRule="auto"/>
      <w:ind w:right="0"/>
    </w:pPr>
    <w:rPr>
      <w:sz w:val="16"/>
    </w:rPr>
  </w:style>
  <w:style w:type="paragraph" w:customStyle="1" w:styleId="ARfintablebodyrightbold8pt">
    <w:name w:val="AR fin table body right bold 8pt"/>
    <w:basedOn w:val="ARfintablebodyrightbold"/>
    <w:uiPriority w:val="3"/>
    <w:rsid w:val="00B04B53"/>
    <w:pPr>
      <w:spacing w:before="16" w:after="10" w:line="228" w:lineRule="auto"/>
      <w:ind w:right="0"/>
    </w:pPr>
    <w:rPr>
      <w:sz w:val="16"/>
    </w:rPr>
  </w:style>
  <w:style w:type="table" w:styleId="TableGridLight">
    <w:name w:val="Grid Table Light"/>
    <w:basedOn w:val="TableNormal"/>
    <w:uiPriority w:val="40"/>
    <w:rsid w:val="005019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ARGrantstabletext">
    <w:name w:val="AR Grants table text"/>
    <w:basedOn w:val="ARtabletext"/>
    <w:rsid w:val="00083017"/>
    <w:pPr>
      <w:spacing w:before="40" w:after="30" w:line="210" w:lineRule="atLeast"/>
    </w:pPr>
  </w:style>
  <w:style w:type="paragraph" w:customStyle="1" w:styleId="ARGrantstabletextright">
    <w:name w:val="AR Grants table text right"/>
    <w:basedOn w:val="ARGrantstabletext"/>
    <w:rsid w:val="003A6453"/>
    <w:pPr>
      <w:jc w:val="right"/>
    </w:pPr>
  </w:style>
  <w:style w:type="paragraph" w:customStyle="1" w:styleId="ARGrantstabletextbold">
    <w:name w:val="AR Grants table text bold"/>
    <w:basedOn w:val="ARGrantstabletext"/>
    <w:rsid w:val="00EB1291"/>
    <w:rPr>
      <w:b/>
    </w:rPr>
  </w:style>
  <w:style w:type="paragraph" w:customStyle="1" w:styleId="ARGrantstabletextrightbold">
    <w:name w:val="AR Grants table text right bold"/>
    <w:basedOn w:val="ARGrantstabletextright"/>
    <w:rsid w:val="00DB5974"/>
    <w:rPr>
      <w:b/>
    </w:rPr>
  </w:style>
  <w:style w:type="paragraph" w:customStyle="1" w:styleId="ARGrantstablecolhead">
    <w:name w:val="AR Grants table col head"/>
    <w:basedOn w:val="ARtablecolhead"/>
    <w:rsid w:val="00DB5974"/>
    <w:pPr>
      <w:spacing w:before="40" w:after="40" w:line="200" w:lineRule="atLeast"/>
    </w:pPr>
    <w:rPr>
      <w:lang w:eastAsia="en-AU"/>
    </w:rPr>
  </w:style>
  <w:style w:type="paragraph" w:customStyle="1" w:styleId="ARGrantstablecolheadright">
    <w:name w:val="AR Grants table col head right"/>
    <w:basedOn w:val="ARGrantstablecolhead"/>
    <w:rsid w:val="00DB5974"/>
    <w:pPr>
      <w:jc w:val="right"/>
    </w:pPr>
  </w:style>
  <w:style w:type="table" w:customStyle="1" w:styleId="DHARGrantstable">
    <w:name w:val="DH AR Grants table"/>
    <w:basedOn w:val="TableNormal"/>
    <w:uiPriority w:val="99"/>
    <w:rsid w:val="00B21BD0"/>
    <w:pPr>
      <w:spacing w:after="0" w:line="240" w:lineRule="auto"/>
    </w:pPr>
    <w:tblPr>
      <w:tblBorders>
        <w:bottom w:val="single" w:sz="4" w:space="0" w:color="000000" w:themeColor="text1"/>
        <w:insideH w:val="single" w:sz="4" w:space="0" w:color="000000" w:themeColor="text1"/>
      </w:tblBorders>
      <w:tblCellMar>
        <w:left w:w="0" w:type="dxa"/>
      </w:tblCellMar>
    </w:tblPr>
    <w:tblStylePr w:type="firstRow">
      <w:tblPr/>
      <w:trPr>
        <w:cantSplit/>
        <w:tblHeader/>
      </w:trPr>
      <w:tcPr>
        <w:tcBorders>
          <w:bottom w:val="nil"/>
        </w:tcBorders>
      </w:tcPr>
    </w:tblStylePr>
  </w:style>
  <w:style w:type="paragraph" w:customStyle="1" w:styleId="ARTabletextlessleading">
    <w:name w:val="AR Table text less leading"/>
    <w:basedOn w:val="ARtabletext"/>
    <w:rsid w:val="00A60C31"/>
    <w:pPr>
      <w:spacing w:line="216" w:lineRule="exact"/>
    </w:pPr>
  </w:style>
  <w:style w:type="paragraph" w:customStyle="1" w:styleId="ARTabletextrightlessleading">
    <w:name w:val="AR Table text right less leading"/>
    <w:basedOn w:val="ARtabletextright"/>
    <w:rsid w:val="00A60C31"/>
    <w:pPr>
      <w:spacing w:line="216" w:lineRule="exact"/>
    </w:pPr>
    <w:rPr>
      <w:color w:val="000000"/>
    </w:rPr>
  </w:style>
  <w:style w:type="character" w:customStyle="1" w:styleId="superscript0">
    <w:name w:val="superscript"/>
    <w:basedOn w:val="DefaultParagraphFont"/>
    <w:rsid w:val="00371F47"/>
  </w:style>
  <w:style w:type="paragraph" w:customStyle="1" w:styleId="ARbodyforsignatures">
    <w:name w:val="AR body for signatures"/>
    <w:basedOn w:val="ARbodyaftertable"/>
    <w:rsid w:val="005B131E"/>
    <w:pPr>
      <w:spacing w:before="8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7625">
      <w:bodyDiv w:val="1"/>
      <w:marLeft w:val="0"/>
      <w:marRight w:val="0"/>
      <w:marTop w:val="0"/>
      <w:marBottom w:val="0"/>
      <w:divBdr>
        <w:top w:val="none" w:sz="0" w:space="0" w:color="auto"/>
        <w:left w:val="none" w:sz="0" w:space="0" w:color="auto"/>
        <w:bottom w:val="none" w:sz="0" w:space="0" w:color="auto"/>
        <w:right w:val="none" w:sz="0" w:space="0" w:color="auto"/>
      </w:divBdr>
    </w:div>
    <w:div w:id="54865770">
      <w:bodyDiv w:val="1"/>
      <w:marLeft w:val="0"/>
      <w:marRight w:val="0"/>
      <w:marTop w:val="0"/>
      <w:marBottom w:val="0"/>
      <w:divBdr>
        <w:top w:val="none" w:sz="0" w:space="0" w:color="auto"/>
        <w:left w:val="none" w:sz="0" w:space="0" w:color="auto"/>
        <w:bottom w:val="none" w:sz="0" w:space="0" w:color="auto"/>
        <w:right w:val="none" w:sz="0" w:space="0" w:color="auto"/>
      </w:divBdr>
    </w:div>
    <w:div w:id="255789226">
      <w:bodyDiv w:val="1"/>
      <w:marLeft w:val="0"/>
      <w:marRight w:val="0"/>
      <w:marTop w:val="0"/>
      <w:marBottom w:val="0"/>
      <w:divBdr>
        <w:top w:val="none" w:sz="0" w:space="0" w:color="auto"/>
        <w:left w:val="none" w:sz="0" w:space="0" w:color="auto"/>
        <w:bottom w:val="none" w:sz="0" w:space="0" w:color="auto"/>
        <w:right w:val="none" w:sz="0" w:space="0" w:color="auto"/>
      </w:divBdr>
    </w:div>
    <w:div w:id="343093948">
      <w:bodyDiv w:val="1"/>
      <w:marLeft w:val="0"/>
      <w:marRight w:val="0"/>
      <w:marTop w:val="0"/>
      <w:marBottom w:val="0"/>
      <w:divBdr>
        <w:top w:val="none" w:sz="0" w:space="0" w:color="auto"/>
        <w:left w:val="none" w:sz="0" w:space="0" w:color="auto"/>
        <w:bottom w:val="none" w:sz="0" w:space="0" w:color="auto"/>
        <w:right w:val="none" w:sz="0" w:space="0" w:color="auto"/>
      </w:divBdr>
    </w:div>
    <w:div w:id="349646053">
      <w:bodyDiv w:val="1"/>
      <w:marLeft w:val="0"/>
      <w:marRight w:val="0"/>
      <w:marTop w:val="0"/>
      <w:marBottom w:val="0"/>
      <w:divBdr>
        <w:top w:val="none" w:sz="0" w:space="0" w:color="auto"/>
        <w:left w:val="none" w:sz="0" w:space="0" w:color="auto"/>
        <w:bottom w:val="none" w:sz="0" w:space="0" w:color="auto"/>
        <w:right w:val="none" w:sz="0" w:space="0" w:color="auto"/>
      </w:divBdr>
    </w:div>
    <w:div w:id="428963015">
      <w:bodyDiv w:val="1"/>
      <w:marLeft w:val="0"/>
      <w:marRight w:val="0"/>
      <w:marTop w:val="0"/>
      <w:marBottom w:val="0"/>
      <w:divBdr>
        <w:top w:val="none" w:sz="0" w:space="0" w:color="auto"/>
        <w:left w:val="none" w:sz="0" w:space="0" w:color="auto"/>
        <w:bottom w:val="none" w:sz="0" w:space="0" w:color="auto"/>
        <w:right w:val="none" w:sz="0" w:space="0" w:color="auto"/>
      </w:divBdr>
    </w:div>
    <w:div w:id="539167631">
      <w:bodyDiv w:val="1"/>
      <w:marLeft w:val="0"/>
      <w:marRight w:val="0"/>
      <w:marTop w:val="0"/>
      <w:marBottom w:val="0"/>
      <w:divBdr>
        <w:top w:val="none" w:sz="0" w:space="0" w:color="auto"/>
        <w:left w:val="none" w:sz="0" w:space="0" w:color="auto"/>
        <w:bottom w:val="none" w:sz="0" w:space="0" w:color="auto"/>
        <w:right w:val="none" w:sz="0" w:space="0" w:color="auto"/>
      </w:divBdr>
    </w:div>
    <w:div w:id="631522863">
      <w:bodyDiv w:val="1"/>
      <w:marLeft w:val="0"/>
      <w:marRight w:val="0"/>
      <w:marTop w:val="0"/>
      <w:marBottom w:val="0"/>
      <w:divBdr>
        <w:top w:val="none" w:sz="0" w:space="0" w:color="auto"/>
        <w:left w:val="none" w:sz="0" w:space="0" w:color="auto"/>
        <w:bottom w:val="none" w:sz="0" w:space="0" w:color="auto"/>
        <w:right w:val="none" w:sz="0" w:space="0" w:color="auto"/>
      </w:divBdr>
    </w:div>
    <w:div w:id="723479943">
      <w:bodyDiv w:val="1"/>
      <w:marLeft w:val="0"/>
      <w:marRight w:val="0"/>
      <w:marTop w:val="0"/>
      <w:marBottom w:val="0"/>
      <w:divBdr>
        <w:top w:val="none" w:sz="0" w:space="0" w:color="auto"/>
        <w:left w:val="none" w:sz="0" w:space="0" w:color="auto"/>
        <w:bottom w:val="none" w:sz="0" w:space="0" w:color="auto"/>
        <w:right w:val="none" w:sz="0" w:space="0" w:color="auto"/>
      </w:divBdr>
    </w:div>
    <w:div w:id="1131484354">
      <w:bodyDiv w:val="1"/>
      <w:marLeft w:val="0"/>
      <w:marRight w:val="0"/>
      <w:marTop w:val="0"/>
      <w:marBottom w:val="0"/>
      <w:divBdr>
        <w:top w:val="none" w:sz="0" w:space="0" w:color="auto"/>
        <w:left w:val="none" w:sz="0" w:space="0" w:color="auto"/>
        <w:bottom w:val="none" w:sz="0" w:space="0" w:color="auto"/>
        <w:right w:val="none" w:sz="0" w:space="0" w:color="auto"/>
      </w:divBdr>
    </w:div>
    <w:div w:id="1280144695">
      <w:bodyDiv w:val="1"/>
      <w:marLeft w:val="0"/>
      <w:marRight w:val="0"/>
      <w:marTop w:val="0"/>
      <w:marBottom w:val="0"/>
      <w:divBdr>
        <w:top w:val="none" w:sz="0" w:space="0" w:color="auto"/>
        <w:left w:val="none" w:sz="0" w:space="0" w:color="auto"/>
        <w:bottom w:val="none" w:sz="0" w:space="0" w:color="auto"/>
        <w:right w:val="none" w:sz="0" w:space="0" w:color="auto"/>
      </w:divBdr>
      <w:divsChild>
        <w:div w:id="804355827">
          <w:marLeft w:val="0"/>
          <w:marRight w:val="0"/>
          <w:marTop w:val="0"/>
          <w:marBottom w:val="0"/>
          <w:divBdr>
            <w:top w:val="none" w:sz="0" w:space="0" w:color="auto"/>
            <w:left w:val="none" w:sz="0" w:space="0" w:color="auto"/>
            <w:bottom w:val="single" w:sz="8" w:space="1" w:color="auto"/>
            <w:right w:val="none" w:sz="0" w:space="0" w:color="auto"/>
          </w:divBdr>
        </w:div>
      </w:divsChild>
    </w:div>
    <w:div w:id="1479298703">
      <w:bodyDiv w:val="1"/>
      <w:marLeft w:val="0"/>
      <w:marRight w:val="0"/>
      <w:marTop w:val="0"/>
      <w:marBottom w:val="0"/>
      <w:divBdr>
        <w:top w:val="none" w:sz="0" w:space="0" w:color="auto"/>
        <w:left w:val="none" w:sz="0" w:space="0" w:color="auto"/>
        <w:bottom w:val="none" w:sz="0" w:space="0" w:color="auto"/>
        <w:right w:val="none" w:sz="0" w:space="0" w:color="auto"/>
      </w:divBdr>
    </w:div>
    <w:div w:id="1666395902">
      <w:bodyDiv w:val="1"/>
      <w:marLeft w:val="0"/>
      <w:marRight w:val="0"/>
      <w:marTop w:val="0"/>
      <w:marBottom w:val="0"/>
      <w:divBdr>
        <w:top w:val="none" w:sz="0" w:space="0" w:color="auto"/>
        <w:left w:val="none" w:sz="0" w:space="0" w:color="auto"/>
        <w:bottom w:val="none" w:sz="0" w:space="0" w:color="auto"/>
        <w:right w:val="none" w:sz="0" w:space="0" w:color="auto"/>
      </w:divBdr>
    </w:div>
    <w:div w:id="1712874674">
      <w:bodyDiv w:val="1"/>
      <w:marLeft w:val="0"/>
      <w:marRight w:val="0"/>
      <w:marTop w:val="0"/>
      <w:marBottom w:val="0"/>
      <w:divBdr>
        <w:top w:val="none" w:sz="0" w:space="0" w:color="auto"/>
        <w:left w:val="none" w:sz="0" w:space="0" w:color="auto"/>
        <w:bottom w:val="none" w:sz="0" w:space="0" w:color="auto"/>
        <w:right w:val="none" w:sz="0" w:space="0" w:color="auto"/>
      </w:divBdr>
    </w:div>
    <w:div w:id="191242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rvices.dffh.vic.gov.au/2023-census-supported-residential-services-full-report" TargetMode="External"/><Relationship Id="rId21" Type="http://schemas.openxmlformats.org/officeDocument/2006/relationships/footer" Target="footer1.xml"/><Relationship Id="rId42" Type="http://schemas.openxmlformats.org/officeDocument/2006/relationships/image" Target="media/image15.png"/><Relationship Id="rId63" Type="http://schemas.openxmlformats.org/officeDocument/2006/relationships/footer" Target="footer12.xml"/><Relationship Id="rId84" Type="http://schemas.openxmlformats.org/officeDocument/2006/relationships/footer" Target="footer23.xml"/><Relationship Id="rId138" Type="http://schemas.openxmlformats.org/officeDocument/2006/relationships/image" Target="media/image22.jpeg"/><Relationship Id="rId159" Type="http://schemas.openxmlformats.org/officeDocument/2006/relationships/fontTable" Target="fontTable.xml"/><Relationship Id="rId107" Type="http://schemas.openxmlformats.org/officeDocument/2006/relationships/footer" Target="footer35.xml"/><Relationship Id="rId11" Type="http://schemas.openxmlformats.org/officeDocument/2006/relationships/image" Target="media/image1.png"/><Relationship Id="rId32" Type="http://schemas.openxmlformats.org/officeDocument/2006/relationships/image" Target="media/image7.png"/><Relationship Id="rId53" Type="http://schemas.openxmlformats.org/officeDocument/2006/relationships/footer" Target="footer9.xml"/><Relationship Id="rId74" Type="http://schemas.openxmlformats.org/officeDocument/2006/relationships/header" Target="header17.xml"/><Relationship Id="rId128" Type="http://schemas.openxmlformats.org/officeDocument/2006/relationships/hyperlink" Target="https://www.data.vic.gov.au" TargetMode="External"/><Relationship Id="rId149" Type="http://schemas.openxmlformats.org/officeDocument/2006/relationships/image" Target="media/image28.png"/><Relationship Id="rId5" Type="http://schemas.openxmlformats.org/officeDocument/2006/relationships/numbering" Target="numbering.xml"/><Relationship Id="rId95" Type="http://schemas.openxmlformats.org/officeDocument/2006/relationships/header" Target="header27.xml"/><Relationship Id="rId160" Type="http://schemas.openxmlformats.org/officeDocument/2006/relationships/theme" Target="theme/theme1.xml"/><Relationship Id="rId22" Type="http://schemas.openxmlformats.org/officeDocument/2006/relationships/footer" Target="footer2.xml"/><Relationship Id="rId43" Type="http://schemas.microsoft.com/office/2007/relationships/hdphoto" Target="media/hdphoto3.wdp"/><Relationship Id="rId64" Type="http://schemas.openxmlformats.org/officeDocument/2006/relationships/footer" Target="footer13.xml"/><Relationship Id="rId118" Type="http://schemas.openxmlformats.org/officeDocument/2006/relationships/hyperlink" Target="https://www.homes.vic.gov.au/homelessness-home-program-evaluation" TargetMode="External"/><Relationship Id="rId139" Type="http://schemas.openxmlformats.org/officeDocument/2006/relationships/image" Target="media/image23.jpeg"/><Relationship Id="rId80" Type="http://schemas.openxmlformats.org/officeDocument/2006/relationships/footer" Target="footer21.xml"/><Relationship Id="rId85" Type="http://schemas.openxmlformats.org/officeDocument/2006/relationships/header" Target="header22.xml"/><Relationship Id="rId150" Type="http://schemas.openxmlformats.org/officeDocument/2006/relationships/header" Target="header38.xml"/><Relationship Id="rId155" Type="http://schemas.openxmlformats.org/officeDocument/2006/relationships/footer" Target="footer47.xml"/><Relationship Id="rId12" Type="http://schemas.openxmlformats.org/officeDocument/2006/relationships/hyperlink" Target="mailto:DFFHcorporate.reporting@dffh.vic.gov.au" TargetMode="External"/><Relationship Id="rId17" Type="http://schemas.openxmlformats.org/officeDocument/2006/relationships/image" Target="media/image3.emf"/><Relationship Id="rId33" Type="http://schemas.openxmlformats.org/officeDocument/2006/relationships/image" Target="media/image8.png"/><Relationship Id="rId38" Type="http://schemas.openxmlformats.org/officeDocument/2006/relationships/image" Target="media/image12.jpeg"/><Relationship Id="rId59" Type="http://schemas.openxmlformats.org/officeDocument/2006/relationships/footer" Target="footer10.xml"/><Relationship Id="rId103" Type="http://schemas.openxmlformats.org/officeDocument/2006/relationships/header" Target="header30.xml"/><Relationship Id="rId108" Type="http://schemas.openxmlformats.org/officeDocument/2006/relationships/footer" Target="footer36.xml"/><Relationship Id="rId124" Type="http://schemas.openxmlformats.org/officeDocument/2006/relationships/hyperlink" Target="http://www.ibac.vic.gov.au" TargetMode="External"/><Relationship Id="rId129" Type="http://schemas.openxmlformats.org/officeDocument/2006/relationships/hyperlink" Target="https://www.dffh.vic.gov.au/publications/annual-reports-department-families-fairness-housing" TargetMode="External"/><Relationship Id="rId54" Type="http://schemas.openxmlformats.org/officeDocument/2006/relationships/hyperlink" Target="https://www.dffh.vic.gov.au/our-leadership-charter" TargetMode="External"/><Relationship Id="rId70" Type="http://schemas.openxmlformats.org/officeDocument/2006/relationships/header" Target="header15.xml"/><Relationship Id="rId75" Type="http://schemas.openxmlformats.org/officeDocument/2006/relationships/footer" Target="footer18.xml"/><Relationship Id="rId91" Type="http://schemas.openxmlformats.org/officeDocument/2006/relationships/footer" Target="footer26.xml"/><Relationship Id="rId96" Type="http://schemas.openxmlformats.org/officeDocument/2006/relationships/footer" Target="footer29.xml"/><Relationship Id="rId140" Type="http://schemas.openxmlformats.org/officeDocument/2006/relationships/image" Target="media/image24.png"/><Relationship Id="rId145"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3.xml"/><Relationship Id="rId28" Type="http://schemas.openxmlformats.org/officeDocument/2006/relationships/header" Target="header5.xml"/><Relationship Id="rId49" Type="http://schemas.openxmlformats.org/officeDocument/2006/relationships/header" Target="header7.xml"/><Relationship Id="rId114" Type="http://schemas.openxmlformats.org/officeDocument/2006/relationships/hyperlink" Target="https://www.latrobe.edu.au/arcshs/work/catalysts-of-change" TargetMode="External"/><Relationship Id="rId119" Type="http://schemas.openxmlformats.org/officeDocument/2006/relationships/hyperlink" Target="https://www.parliament.vic.gov.au/parliamentary-activity/tabled-documents-database/tabled-document-details/8310" TargetMode="External"/><Relationship Id="rId44" Type="http://schemas.openxmlformats.org/officeDocument/2006/relationships/image" Target="media/image16.png"/><Relationship Id="rId60" Type="http://schemas.openxmlformats.org/officeDocument/2006/relationships/header" Target="header11.xml"/><Relationship Id="rId65" Type="http://schemas.openxmlformats.org/officeDocument/2006/relationships/header" Target="header13.xml"/><Relationship Id="rId81" Type="http://schemas.openxmlformats.org/officeDocument/2006/relationships/header" Target="header20.xml"/><Relationship Id="rId86" Type="http://schemas.openxmlformats.org/officeDocument/2006/relationships/footer" Target="footer24.xml"/><Relationship Id="rId130" Type="http://schemas.openxmlformats.org/officeDocument/2006/relationships/hyperlink" Target="https://ovic.vic.gov.au" TargetMode="External"/><Relationship Id="rId135" Type="http://schemas.openxmlformats.org/officeDocument/2006/relationships/footer" Target="footer39.xml"/><Relationship Id="rId151" Type="http://schemas.openxmlformats.org/officeDocument/2006/relationships/header" Target="header39.xml"/><Relationship Id="rId156" Type="http://schemas.openxmlformats.org/officeDocument/2006/relationships/header" Target="header41.xml"/><Relationship Id="rId13" Type="http://schemas.openxmlformats.org/officeDocument/2006/relationships/image" Target="media/image2.png"/><Relationship Id="rId18" Type="http://schemas.openxmlformats.org/officeDocument/2006/relationships/image" Target="media/image4.png"/><Relationship Id="rId39" Type="http://schemas.openxmlformats.org/officeDocument/2006/relationships/image" Target="media/image13.png"/><Relationship Id="rId109" Type="http://schemas.openxmlformats.org/officeDocument/2006/relationships/header" Target="header33.xml"/><Relationship Id="rId34" Type="http://schemas.openxmlformats.org/officeDocument/2006/relationships/image" Target="media/image9.png"/><Relationship Id="rId50" Type="http://schemas.openxmlformats.org/officeDocument/2006/relationships/footer" Target="footer7.xml"/><Relationship Id="rId55" Type="http://schemas.openxmlformats.org/officeDocument/2006/relationships/header" Target="header9.xml"/><Relationship Id="rId76" Type="http://schemas.openxmlformats.org/officeDocument/2006/relationships/footer" Target="footer19.xml"/><Relationship Id="rId97" Type="http://schemas.openxmlformats.org/officeDocument/2006/relationships/footer" Target="footer30.xml"/><Relationship Id="rId104" Type="http://schemas.openxmlformats.org/officeDocument/2006/relationships/footer" Target="footer34.xml"/><Relationship Id="rId120" Type="http://schemas.openxmlformats.org/officeDocument/2006/relationships/hyperlink" Target="https://www.parliament.vic.gov.au/parliamentary-activity/tabled-documents-database/tabled-document-details/8310" TargetMode="External"/><Relationship Id="rId125" Type="http://schemas.openxmlformats.org/officeDocument/2006/relationships/hyperlink" Target="https://www.dffh.vic.gov.au/public-interest-disclosure" TargetMode="External"/><Relationship Id="rId141" Type="http://schemas.openxmlformats.org/officeDocument/2006/relationships/image" Target="media/image25.png"/><Relationship Id="rId146" Type="http://schemas.openxmlformats.org/officeDocument/2006/relationships/footer" Target="footer43.xml"/><Relationship Id="rId7" Type="http://schemas.openxmlformats.org/officeDocument/2006/relationships/settings" Target="settings.xml"/><Relationship Id="rId71" Type="http://schemas.openxmlformats.org/officeDocument/2006/relationships/footer" Target="footer17.xml"/><Relationship Id="rId92" Type="http://schemas.openxmlformats.org/officeDocument/2006/relationships/footer" Target="footer27.xml"/><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footer" Target="footer3.xml"/><Relationship Id="rId40" Type="http://schemas.microsoft.com/office/2007/relationships/hdphoto" Target="media/hdphoto2.wdp"/><Relationship Id="rId45" Type="http://schemas.microsoft.com/office/2007/relationships/hdphoto" Target="media/hdphoto4.wdp"/><Relationship Id="rId66" Type="http://schemas.openxmlformats.org/officeDocument/2006/relationships/footer" Target="footer14.xml"/><Relationship Id="rId87" Type="http://schemas.openxmlformats.org/officeDocument/2006/relationships/header" Target="header23.xml"/><Relationship Id="rId110" Type="http://schemas.openxmlformats.org/officeDocument/2006/relationships/footer" Target="footer37.xml"/><Relationship Id="rId115" Type="http://schemas.openxmlformats.org/officeDocument/2006/relationships/hyperlink" Target="https://events.bouverie.org.au/Bouverie-Centre-From-Research-to-Action-0624" TargetMode="External"/><Relationship Id="rId131" Type="http://schemas.openxmlformats.org/officeDocument/2006/relationships/hyperlink" Target="https://www.dtf.vic.gov.au/infrastructure-investment/asset-management-accountability-framework" TargetMode="External"/><Relationship Id="rId136" Type="http://schemas.openxmlformats.org/officeDocument/2006/relationships/header" Target="header37.xml"/><Relationship Id="rId157" Type="http://schemas.openxmlformats.org/officeDocument/2006/relationships/footer" Target="footer48.xml"/><Relationship Id="rId61" Type="http://schemas.openxmlformats.org/officeDocument/2006/relationships/footer" Target="footer11.xml"/><Relationship Id="rId82" Type="http://schemas.openxmlformats.org/officeDocument/2006/relationships/footer" Target="footer22.xml"/><Relationship Id="rId152" Type="http://schemas.openxmlformats.org/officeDocument/2006/relationships/footer" Target="footer46.xml"/><Relationship Id="rId19" Type="http://schemas.microsoft.com/office/2007/relationships/hdphoto" Target="media/hdphoto1.wdp"/><Relationship Id="rId14" Type="http://schemas.openxmlformats.org/officeDocument/2006/relationships/hyperlink" Target="https://creativecommons.org/licenses/by/4.0/legalcode" TargetMode="External"/><Relationship Id="rId30" Type="http://schemas.openxmlformats.org/officeDocument/2006/relationships/image" Target="media/image5.png"/><Relationship Id="rId35" Type="http://schemas.openxmlformats.org/officeDocument/2006/relationships/image" Target="media/image10.png"/><Relationship Id="rId56" Type="http://schemas.openxmlformats.org/officeDocument/2006/relationships/image" Target="media/image19.png"/><Relationship Id="rId77" Type="http://schemas.openxmlformats.org/officeDocument/2006/relationships/header" Target="header18.xml"/><Relationship Id="rId100" Type="http://schemas.openxmlformats.org/officeDocument/2006/relationships/header" Target="header29.xml"/><Relationship Id="rId105" Type="http://schemas.openxmlformats.org/officeDocument/2006/relationships/header" Target="header31.xml"/><Relationship Id="rId126" Type="http://schemas.openxmlformats.org/officeDocument/2006/relationships/hyperlink" Target="mailto:public.interest.disclosures@dffh.vic.gov.au" TargetMode="External"/><Relationship Id="rId147" Type="http://schemas.openxmlformats.org/officeDocument/2006/relationships/footer" Target="footer44.xml"/><Relationship Id="rId8" Type="http://schemas.openxmlformats.org/officeDocument/2006/relationships/webSettings" Target="webSettings.xml"/><Relationship Id="rId51" Type="http://schemas.openxmlformats.org/officeDocument/2006/relationships/footer" Target="footer8.xml"/><Relationship Id="rId72" Type="http://schemas.openxmlformats.org/officeDocument/2006/relationships/header" Target="header16.xml"/><Relationship Id="rId93" Type="http://schemas.openxmlformats.org/officeDocument/2006/relationships/header" Target="header26.xml"/><Relationship Id="rId98" Type="http://schemas.openxmlformats.org/officeDocument/2006/relationships/header" Target="header28.xml"/><Relationship Id="rId121" Type="http://schemas.openxmlformats.org/officeDocument/2006/relationships/hyperlink" Target="https://www.vic.gov.au/maram-framework-5-year-evidence-review" TargetMode="External"/><Relationship Id="rId142" Type="http://schemas.openxmlformats.org/officeDocument/2006/relationships/image" Target="media/image26.png"/><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image" Target="media/image17.png"/><Relationship Id="rId67" Type="http://schemas.openxmlformats.org/officeDocument/2006/relationships/header" Target="header14.xml"/><Relationship Id="rId116" Type="http://schemas.openxmlformats.org/officeDocument/2006/relationships/hyperlink" Target="https://www.familylife.com.au/news/windows-of-opportunity-research-report" TargetMode="External"/><Relationship Id="rId137" Type="http://schemas.openxmlformats.org/officeDocument/2006/relationships/footer" Target="footer40.xml"/><Relationship Id="rId158" Type="http://schemas.openxmlformats.org/officeDocument/2006/relationships/image" Target="media/image29.png"/><Relationship Id="rId20" Type="http://schemas.openxmlformats.org/officeDocument/2006/relationships/header" Target="header2.xml"/><Relationship Id="rId41" Type="http://schemas.openxmlformats.org/officeDocument/2006/relationships/image" Target="media/image14.png"/><Relationship Id="rId62" Type="http://schemas.openxmlformats.org/officeDocument/2006/relationships/header" Target="header12.xml"/><Relationship Id="rId83" Type="http://schemas.openxmlformats.org/officeDocument/2006/relationships/header" Target="header21.xml"/><Relationship Id="rId88" Type="http://schemas.openxmlformats.org/officeDocument/2006/relationships/footer" Target="footer25.xml"/><Relationship Id="rId111" Type="http://schemas.openxmlformats.org/officeDocument/2006/relationships/hyperlink" Target="https://www.parliament.vic.gov.au/parliamentary-activity/tabled-documents-database/tabled-document-details/8192" TargetMode="External"/><Relationship Id="rId132" Type="http://schemas.openxmlformats.org/officeDocument/2006/relationships/image" Target="media/image21.png"/><Relationship Id="rId153" Type="http://schemas.openxmlformats.org/officeDocument/2006/relationships/hyperlink" Target="mailto:DFFHcorporate.reporting@dffh.vic.gov.au" TargetMode="External"/><Relationship Id="rId15" Type="http://schemas.openxmlformats.org/officeDocument/2006/relationships/hyperlink" Target="https://www.dffh.vic.gov.au/publications/annual-reports-department-families-fairness-housing" TargetMode="External"/><Relationship Id="rId36" Type="http://schemas.openxmlformats.org/officeDocument/2006/relationships/image" Target="media/image11.png"/><Relationship Id="rId57" Type="http://schemas.openxmlformats.org/officeDocument/2006/relationships/image" Target="media/image20.png"/><Relationship Id="rId106" Type="http://schemas.openxmlformats.org/officeDocument/2006/relationships/header" Target="header32.xml"/><Relationship Id="rId127" Type="http://schemas.openxmlformats.org/officeDocument/2006/relationships/header" Target="header35.xml"/><Relationship Id="rId10" Type="http://schemas.openxmlformats.org/officeDocument/2006/relationships/endnotes" Target="endnotes.xml"/><Relationship Id="rId31" Type="http://schemas.openxmlformats.org/officeDocument/2006/relationships/image" Target="media/image6.png"/><Relationship Id="rId52" Type="http://schemas.openxmlformats.org/officeDocument/2006/relationships/header" Target="header8.xml"/><Relationship Id="rId73" Type="http://schemas.openxmlformats.org/officeDocument/2006/relationships/hyperlink" Target="mailto:https://menu.dffh.vic.gov.au" TargetMode="External"/><Relationship Id="rId78" Type="http://schemas.openxmlformats.org/officeDocument/2006/relationships/footer" Target="footer20.xml"/><Relationship Id="rId94" Type="http://schemas.openxmlformats.org/officeDocument/2006/relationships/footer" Target="footer28.xml"/><Relationship Id="rId99" Type="http://schemas.openxmlformats.org/officeDocument/2006/relationships/footer" Target="footer31.xml"/><Relationship Id="rId101" Type="http://schemas.openxmlformats.org/officeDocument/2006/relationships/footer" Target="footer32.xml"/><Relationship Id="rId122" Type="http://schemas.openxmlformats.org/officeDocument/2006/relationships/hyperlink" Target="https://www.tenders.vic.gov.au/" TargetMode="External"/><Relationship Id="rId143" Type="http://schemas.openxmlformats.org/officeDocument/2006/relationships/image" Target="media/image27.png"/><Relationship Id="rId148" Type="http://schemas.openxmlformats.org/officeDocument/2006/relationships/footer" Target="footer45.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4.xml"/><Relationship Id="rId47" Type="http://schemas.microsoft.com/office/2007/relationships/hdphoto" Target="media/hdphoto5.wdp"/><Relationship Id="rId68" Type="http://schemas.openxmlformats.org/officeDocument/2006/relationships/footer" Target="footer15.xml"/><Relationship Id="rId89" Type="http://schemas.openxmlformats.org/officeDocument/2006/relationships/header" Target="header24.xml"/><Relationship Id="rId112" Type="http://schemas.openxmlformats.org/officeDocument/2006/relationships/hyperlink" Target="https://rmit.figshare.com/articles/report/Family_Violence_and_Sexual_Harm/24208758/1" TargetMode="External"/><Relationship Id="rId133" Type="http://schemas.openxmlformats.org/officeDocument/2006/relationships/header" Target="header36.xml"/><Relationship Id="rId154" Type="http://schemas.openxmlformats.org/officeDocument/2006/relationships/header" Target="header40.xml"/><Relationship Id="rId16" Type="http://schemas.openxmlformats.org/officeDocument/2006/relationships/header" Target="header1.xml"/><Relationship Id="rId37" Type="http://schemas.openxmlformats.org/officeDocument/2006/relationships/header" Target="header6.xml"/><Relationship Id="rId58" Type="http://schemas.openxmlformats.org/officeDocument/2006/relationships/header" Target="header10.xml"/><Relationship Id="rId79" Type="http://schemas.openxmlformats.org/officeDocument/2006/relationships/header" Target="header19.xml"/><Relationship Id="rId102" Type="http://schemas.openxmlformats.org/officeDocument/2006/relationships/footer" Target="footer33.xml"/><Relationship Id="rId123" Type="http://schemas.openxmlformats.org/officeDocument/2006/relationships/header" Target="header34.xml"/><Relationship Id="rId144" Type="http://schemas.openxmlformats.org/officeDocument/2006/relationships/footer" Target="footer41.xml"/><Relationship Id="rId90" Type="http://schemas.openxmlformats.org/officeDocument/2006/relationships/header" Target="header25.xml"/><Relationship Id="rId27" Type="http://schemas.openxmlformats.org/officeDocument/2006/relationships/footer" Target="footer5.xml"/><Relationship Id="rId48" Type="http://schemas.openxmlformats.org/officeDocument/2006/relationships/image" Target="media/image18.jpeg"/><Relationship Id="rId69" Type="http://schemas.openxmlformats.org/officeDocument/2006/relationships/footer" Target="footer16.xml"/><Relationship Id="rId113" Type="http://schemas.openxmlformats.org/officeDocument/2006/relationships/hyperlink" Target="https://www.sasvic.org.au/reach" TargetMode="External"/><Relationship Id="rId134" Type="http://schemas.openxmlformats.org/officeDocument/2006/relationships/footer" Target="footer38.xml"/></Relationships>
</file>

<file path=word/theme/theme1.xml><?xml version="1.0" encoding="utf-8"?>
<a:theme xmlns:a="http://schemas.openxmlformats.org/drawingml/2006/main" name="Office Theme">
  <a:themeElements>
    <a:clrScheme name="DFFH AR 2023-24">
      <a:dk1>
        <a:sysClr val="windowText" lastClr="000000"/>
      </a:dk1>
      <a:lt1>
        <a:sysClr val="window" lastClr="FFFFFF"/>
      </a:lt1>
      <a:dk2>
        <a:srgbClr val="005D8F"/>
      </a:dk2>
      <a:lt2>
        <a:srgbClr val="D9D9D6"/>
      </a:lt2>
      <a:accent1>
        <a:srgbClr val="007CBC"/>
      </a:accent1>
      <a:accent2>
        <a:srgbClr val="53565A"/>
      </a:accent2>
      <a:accent3>
        <a:srgbClr val="E35205"/>
      </a:accent3>
      <a:accent4>
        <a:srgbClr val="E7E6E6"/>
      </a:accent4>
      <a:accent5>
        <a:srgbClr val="A6A6A6"/>
      </a:accent5>
      <a:accent6>
        <a:srgbClr val="005D8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5E208E7C630D49B873969F57466C32" ma:contentTypeVersion="4" ma:contentTypeDescription="Create a new document." ma:contentTypeScope="" ma:versionID="f3b7a2648eee86c2ee005fe290921d5e">
  <xsd:schema xmlns:xsd="http://www.w3.org/2001/XMLSchema" xmlns:xs="http://www.w3.org/2001/XMLSchema" xmlns:p="http://schemas.microsoft.com/office/2006/metadata/properties" xmlns:ns2="331fca69-a545-4e23-a3be-754a2da2614f" targetNamespace="http://schemas.microsoft.com/office/2006/metadata/properties" ma:root="true" ma:fieldsID="c549782d22a2c7cdbe8cb53aee166fe1" ns2:_="">
    <xsd:import namespace="331fca69-a545-4e23-a3be-754a2da261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fca69-a545-4e23-a3be-754a2da26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E5232-B6F5-406C-9DAD-9B9D8C502C78}">
  <ds:schemaRefs>
    <ds:schemaRef ds:uri="http://schemas.microsoft.com/sharepoint/v3/contenttype/forms"/>
  </ds:schemaRefs>
</ds:datastoreItem>
</file>

<file path=customXml/itemProps2.xml><?xml version="1.0" encoding="utf-8"?>
<ds:datastoreItem xmlns:ds="http://schemas.openxmlformats.org/officeDocument/2006/customXml" ds:itemID="{9593278F-D7FB-4301-97F2-B62C2730DFF2}">
  <ds:schemaRefs>
    <ds:schemaRef ds:uri="http://schemas.openxmlformats.org/officeDocument/2006/bibliography"/>
  </ds:schemaRefs>
</ds:datastoreItem>
</file>

<file path=customXml/itemProps3.xml><?xml version="1.0" encoding="utf-8"?>
<ds:datastoreItem xmlns:ds="http://schemas.openxmlformats.org/officeDocument/2006/customXml" ds:itemID="{512C64F1-63F2-40D2-AC79-3030A43B5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fca69-a545-4e23-a3be-754a2da26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0139E9-BAC8-4CD3-95C4-6A0642C774C9}">
  <ds:schemaRefs>
    <ds:schemaRef ds:uri="http://schemas.openxmlformats.org/package/2006/metadata/core-properties"/>
    <ds:schemaRef ds:uri="http://purl.org/dc/dcmitype/"/>
    <ds:schemaRef ds:uri="331fca69-a545-4e23-a3be-754a2da2614f"/>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79</Pages>
  <Words>91525</Words>
  <Characters>521693</Characters>
  <Application>Microsoft Office Word</Application>
  <DocSecurity>0</DocSecurity>
  <Lines>4347</Lines>
  <Paragraphs>1223</Paragraphs>
  <ScaleCrop>false</ScaleCrop>
  <HeadingPairs>
    <vt:vector size="4" baseType="variant">
      <vt:variant>
        <vt:lpstr>Title</vt:lpstr>
      </vt:variant>
      <vt:variant>
        <vt:i4>1</vt:i4>
      </vt:variant>
      <vt:variant>
        <vt:lpstr>Headings</vt:lpstr>
      </vt:variant>
      <vt:variant>
        <vt:i4>63</vt:i4>
      </vt:variant>
    </vt:vector>
  </HeadingPairs>
  <TitlesOfParts>
    <vt:vector size="64" baseType="lpstr">
      <vt:lpstr>Department of  Families, Fairness and Housing annual report 2023–24</vt:lpstr>
      <vt:lpstr>Responsible body’s declaration</vt:lpstr>
      <vt:lpstr>Section 1: About the department</vt:lpstr>
      <vt:lpstr>    Secretary’s foreword</vt:lpstr>
      <vt:lpstr>    Acknowledgement of First Peoples</vt:lpstr>
      <vt:lpstr>        Commitment to  self-determination</vt:lpstr>
      <vt:lpstr>        Aboriginal voice</vt:lpstr>
      <vt:lpstr>        Closing the gap</vt:lpstr>
      <vt:lpstr>        Cultural Safety</vt:lpstr>
      <vt:lpstr>    Our vision</vt:lpstr>
      <vt:lpstr>    How we will achieve it</vt:lpstr>
      <vt:lpstr>    Our outcomes</vt:lpstr>
      <vt:lpstr>    Our values</vt:lpstr>
      <vt:lpstr>        /	We are responsive</vt:lpstr>
      <vt:lpstr>        /	We have integrity</vt:lpstr>
      <vt:lpstr>        /	We are impartial</vt:lpstr>
      <vt:lpstr>        /	We show respect</vt:lpstr>
      <vt:lpstr>        /	We are accountable</vt:lpstr>
      <vt:lpstr>        /	We lead</vt:lpstr>
      <vt:lpstr>        /	We respect human rights</vt:lpstr>
      <vt:lpstr>    Purpose and functions</vt:lpstr>
      <vt:lpstr>        Our purpose</vt:lpstr>
      <vt:lpstr>    The department’s ministers </vt:lpstr>
      <vt:lpstr>    </vt:lpstr>
      <vt:lpstr>        Hon Lizzie Blandthorn MP</vt:lpstr>
      <vt:lpstr>        Ingrid Stitt MP</vt:lpstr>
      <vt:lpstr>        The Hon Ros Spence MP</vt:lpstr>
      <vt:lpstr>        The Hon Harriet Shing MP</vt:lpstr>
      <vt:lpstr>        The Hon Vicki Ward MP</vt:lpstr>
      <vt:lpstr>        The Hon Natalie Hutchins MP</vt:lpstr>
      <vt:lpstr>        The Hon Natalie Suleyman</vt:lpstr>
      <vt:lpstr>    The department’s senior executives</vt:lpstr>
      <vt:lpstr>        </vt:lpstr>
      <vt:lpstr>        Peta McCammon</vt:lpstr>
      <vt:lpstr>        Raylene Harradine</vt:lpstr>
      <vt:lpstr>        Annette Lancy</vt:lpstr>
      <vt:lpstr>        Danny O’Kelly</vt:lpstr>
      <vt:lpstr>        Anne Congleton</vt:lpstr>
      <vt:lpstr>        Kathleen Alonso</vt:lpstr>
      <vt:lpstr>        Jenny Litsas</vt:lpstr>
      <vt:lpstr>        Kelly Stanton</vt:lpstr>
      <vt:lpstr>        Nicola Quin</vt:lpstr>
      <vt:lpstr>        Argiri Alisandratos</vt:lpstr>
      <vt:lpstr>        Louise Perry</vt:lpstr>
      <vt:lpstr>        Dr Melanie Heenan</vt:lpstr>
      <vt:lpstr>        Simon Newport</vt:lpstr>
      <vt:lpstr>        Dannii de Kretser</vt:lpstr>
      <vt:lpstr>        Drew Warne-Smith</vt:lpstr>
      <vt:lpstr>    Leadership charter</vt:lpstr>
      <vt:lpstr>    Organisational structure as at 30 June 2024</vt:lpstr>
      <vt:lpstr>    Committee structure</vt:lpstr>
      <vt:lpstr>        Executive Directions Board</vt:lpstr>
      <vt:lpstr>        Board of Management</vt:lpstr>
      <vt:lpstr>        Subcommittees</vt:lpstr>
      <vt:lpstr>        Statutory committees</vt:lpstr>
      <vt:lpstr>Section 2: Year in review</vt:lpstr>
      <vt:lpstr>    Departmental objectives, outputs and indicators</vt:lpstr>
      <vt:lpstr>    Changes to the department during 2023–24</vt:lpstr>
      <vt:lpstr>        Subsequent events</vt:lpstr>
      <vt:lpstr>    Direct costs attributable to Machinery of Government changes</vt:lpstr>
      <vt:lpstr>    Progress towards achieving departmental objectives</vt:lpstr>
      <vt:lpstr>    Departmental objectives, indicators and outputs </vt:lpstr>
      <vt:lpstr>        Objective – Children, young people and families are safe, strong and supported</vt:lpstr>
      <vt:lpstr>        Objective – Victorian communities are safe, fair, inclusive and resilient</vt:lpstr>
    </vt:vector>
  </TitlesOfParts>
  <Manager/>
  <Company>State of Victoria</Company>
  <LinksUpToDate>false</LinksUpToDate>
  <CharactersWithSpaces>611995</CharactersWithSpaces>
  <SharedDoc>false</SharedDoc>
  <HyperlinkBase/>
  <HLinks>
    <vt:vector size="654" baseType="variant">
      <vt:variant>
        <vt:i4>3866696</vt:i4>
      </vt:variant>
      <vt:variant>
        <vt:i4>561</vt:i4>
      </vt:variant>
      <vt:variant>
        <vt:i4>0</vt:i4>
      </vt:variant>
      <vt:variant>
        <vt:i4>5</vt:i4>
      </vt:variant>
      <vt:variant>
        <vt:lpwstr>mailto:DFFHcorporate.reporting@dffh.vic.gov.au</vt:lpwstr>
      </vt:variant>
      <vt:variant>
        <vt:lpwstr/>
      </vt:variant>
      <vt:variant>
        <vt:i4>1441848</vt:i4>
      </vt:variant>
      <vt:variant>
        <vt:i4>554</vt:i4>
      </vt:variant>
      <vt:variant>
        <vt:i4>0</vt:i4>
      </vt:variant>
      <vt:variant>
        <vt:i4>5</vt:i4>
      </vt:variant>
      <vt:variant>
        <vt:lpwstr/>
      </vt:variant>
      <vt:variant>
        <vt:lpwstr>_Toc179460622</vt:lpwstr>
      </vt:variant>
      <vt:variant>
        <vt:i4>1441848</vt:i4>
      </vt:variant>
      <vt:variant>
        <vt:i4>548</vt:i4>
      </vt:variant>
      <vt:variant>
        <vt:i4>0</vt:i4>
      </vt:variant>
      <vt:variant>
        <vt:i4>5</vt:i4>
      </vt:variant>
      <vt:variant>
        <vt:lpwstr/>
      </vt:variant>
      <vt:variant>
        <vt:lpwstr>_Toc179460621</vt:lpwstr>
      </vt:variant>
      <vt:variant>
        <vt:i4>1441848</vt:i4>
      </vt:variant>
      <vt:variant>
        <vt:i4>542</vt:i4>
      </vt:variant>
      <vt:variant>
        <vt:i4>0</vt:i4>
      </vt:variant>
      <vt:variant>
        <vt:i4>5</vt:i4>
      </vt:variant>
      <vt:variant>
        <vt:lpwstr/>
      </vt:variant>
      <vt:variant>
        <vt:lpwstr>_Toc179460620</vt:lpwstr>
      </vt:variant>
      <vt:variant>
        <vt:i4>1376312</vt:i4>
      </vt:variant>
      <vt:variant>
        <vt:i4>536</vt:i4>
      </vt:variant>
      <vt:variant>
        <vt:i4>0</vt:i4>
      </vt:variant>
      <vt:variant>
        <vt:i4>5</vt:i4>
      </vt:variant>
      <vt:variant>
        <vt:lpwstr/>
      </vt:variant>
      <vt:variant>
        <vt:lpwstr>_Toc179460619</vt:lpwstr>
      </vt:variant>
      <vt:variant>
        <vt:i4>1376312</vt:i4>
      </vt:variant>
      <vt:variant>
        <vt:i4>530</vt:i4>
      </vt:variant>
      <vt:variant>
        <vt:i4>0</vt:i4>
      </vt:variant>
      <vt:variant>
        <vt:i4>5</vt:i4>
      </vt:variant>
      <vt:variant>
        <vt:lpwstr/>
      </vt:variant>
      <vt:variant>
        <vt:lpwstr>_Toc179460618</vt:lpwstr>
      </vt:variant>
      <vt:variant>
        <vt:i4>1376312</vt:i4>
      </vt:variant>
      <vt:variant>
        <vt:i4>524</vt:i4>
      </vt:variant>
      <vt:variant>
        <vt:i4>0</vt:i4>
      </vt:variant>
      <vt:variant>
        <vt:i4>5</vt:i4>
      </vt:variant>
      <vt:variant>
        <vt:lpwstr/>
      </vt:variant>
      <vt:variant>
        <vt:lpwstr>_Toc179460617</vt:lpwstr>
      </vt:variant>
      <vt:variant>
        <vt:i4>1376312</vt:i4>
      </vt:variant>
      <vt:variant>
        <vt:i4>518</vt:i4>
      </vt:variant>
      <vt:variant>
        <vt:i4>0</vt:i4>
      </vt:variant>
      <vt:variant>
        <vt:i4>5</vt:i4>
      </vt:variant>
      <vt:variant>
        <vt:lpwstr/>
      </vt:variant>
      <vt:variant>
        <vt:lpwstr>_Toc179460616</vt:lpwstr>
      </vt:variant>
      <vt:variant>
        <vt:i4>1376312</vt:i4>
      </vt:variant>
      <vt:variant>
        <vt:i4>512</vt:i4>
      </vt:variant>
      <vt:variant>
        <vt:i4>0</vt:i4>
      </vt:variant>
      <vt:variant>
        <vt:i4>5</vt:i4>
      </vt:variant>
      <vt:variant>
        <vt:lpwstr/>
      </vt:variant>
      <vt:variant>
        <vt:lpwstr>_Toc179460615</vt:lpwstr>
      </vt:variant>
      <vt:variant>
        <vt:i4>1376312</vt:i4>
      </vt:variant>
      <vt:variant>
        <vt:i4>506</vt:i4>
      </vt:variant>
      <vt:variant>
        <vt:i4>0</vt:i4>
      </vt:variant>
      <vt:variant>
        <vt:i4>5</vt:i4>
      </vt:variant>
      <vt:variant>
        <vt:lpwstr/>
      </vt:variant>
      <vt:variant>
        <vt:lpwstr>_Toc179460614</vt:lpwstr>
      </vt:variant>
      <vt:variant>
        <vt:i4>1376312</vt:i4>
      </vt:variant>
      <vt:variant>
        <vt:i4>500</vt:i4>
      </vt:variant>
      <vt:variant>
        <vt:i4>0</vt:i4>
      </vt:variant>
      <vt:variant>
        <vt:i4>5</vt:i4>
      </vt:variant>
      <vt:variant>
        <vt:lpwstr/>
      </vt:variant>
      <vt:variant>
        <vt:lpwstr>_Toc179460613</vt:lpwstr>
      </vt:variant>
      <vt:variant>
        <vt:i4>1376312</vt:i4>
      </vt:variant>
      <vt:variant>
        <vt:i4>494</vt:i4>
      </vt:variant>
      <vt:variant>
        <vt:i4>0</vt:i4>
      </vt:variant>
      <vt:variant>
        <vt:i4>5</vt:i4>
      </vt:variant>
      <vt:variant>
        <vt:lpwstr/>
      </vt:variant>
      <vt:variant>
        <vt:lpwstr>_Toc179460612</vt:lpwstr>
      </vt:variant>
      <vt:variant>
        <vt:i4>1376312</vt:i4>
      </vt:variant>
      <vt:variant>
        <vt:i4>488</vt:i4>
      </vt:variant>
      <vt:variant>
        <vt:i4>0</vt:i4>
      </vt:variant>
      <vt:variant>
        <vt:i4>5</vt:i4>
      </vt:variant>
      <vt:variant>
        <vt:lpwstr/>
      </vt:variant>
      <vt:variant>
        <vt:lpwstr>_Toc179460611</vt:lpwstr>
      </vt:variant>
      <vt:variant>
        <vt:i4>1376312</vt:i4>
      </vt:variant>
      <vt:variant>
        <vt:i4>482</vt:i4>
      </vt:variant>
      <vt:variant>
        <vt:i4>0</vt:i4>
      </vt:variant>
      <vt:variant>
        <vt:i4>5</vt:i4>
      </vt:variant>
      <vt:variant>
        <vt:lpwstr/>
      </vt:variant>
      <vt:variant>
        <vt:lpwstr>_Toc179460610</vt:lpwstr>
      </vt:variant>
      <vt:variant>
        <vt:i4>1310776</vt:i4>
      </vt:variant>
      <vt:variant>
        <vt:i4>476</vt:i4>
      </vt:variant>
      <vt:variant>
        <vt:i4>0</vt:i4>
      </vt:variant>
      <vt:variant>
        <vt:i4>5</vt:i4>
      </vt:variant>
      <vt:variant>
        <vt:lpwstr/>
      </vt:variant>
      <vt:variant>
        <vt:lpwstr>_Toc179460609</vt:lpwstr>
      </vt:variant>
      <vt:variant>
        <vt:i4>1310776</vt:i4>
      </vt:variant>
      <vt:variant>
        <vt:i4>470</vt:i4>
      </vt:variant>
      <vt:variant>
        <vt:i4>0</vt:i4>
      </vt:variant>
      <vt:variant>
        <vt:i4>5</vt:i4>
      </vt:variant>
      <vt:variant>
        <vt:lpwstr/>
      </vt:variant>
      <vt:variant>
        <vt:lpwstr>_Toc179460608</vt:lpwstr>
      </vt:variant>
      <vt:variant>
        <vt:i4>1310776</vt:i4>
      </vt:variant>
      <vt:variant>
        <vt:i4>464</vt:i4>
      </vt:variant>
      <vt:variant>
        <vt:i4>0</vt:i4>
      </vt:variant>
      <vt:variant>
        <vt:i4>5</vt:i4>
      </vt:variant>
      <vt:variant>
        <vt:lpwstr/>
      </vt:variant>
      <vt:variant>
        <vt:lpwstr>_Toc179460607</vt:lpwstr>
      </vt:variant>
      <vt:variant>
        <vt:i4>8060967</vt:i4>
      </vt:variant>
      <vt:variant>
        <vt:i4>459</vt:i4>
      </vt:variant>
      <vt:variant>
        <vt:i4>0</vt:i4>
      </vt:variant>
      <vt:variant>
        <vt:i4>5</vt:i4>
      </vt:variant>
      <vt:variant>
        <vt:lpwstr>https://www.dtf.vic.gov.au/infrastructure-investment/asset-management-accountability-framework</vt:lpwstr>
      </vt:variant>
      <vt:variant>
        <vt:lpwstr/>
      </vt:variant>
      <vt:variant>
        <vt:i4>5111835</vt:i4>
      </vt:variant>
      <vt:variant>
        <vt:i4>456</vt:i4>
      </vt:variant>
      <vt:variant>
        <vt:i4>0</vt:i4>
      </vt:variant>
      <vt:variant>
        <vt:i4>5</vt:i4>
      </vt:variant>
      <vt:variant>
        <vt:lpwstr>https://ovic.vic.gov.au/</vt:lpwstr>
      </vt:variant>
      <vt:variant>
        <vt:lpwstr/>
      </vt:variant>
      <vt:variant>
        <vt:i4>5636174</vt:i4>
      </vt:variant>
      <vt:variant>
        <vt:i4>453</vt:i4>
      </vt:variant>
      <vt:variant>
        <vt:i4>0</vt:i4>
      </vt:variant>
      <vt:variant>
        <vt:i4>5</vt:i4>
      </vt:variant>
      <vt:variant>
        <vt:lpwstr>https://www.dffh.vic.gov.au/publications/annual-reports-department-families-fairness-housing</vt:lpwstr>
      </vt:variant>
      <vt:variant>
        <vt:lpwstr/>
      </vt:variant>
      <vt:variant>
        <vt:i4>131085</vt:i4>
      </vt:variant>
      <vt:variant>
        <vt:i4>450</vt:i4>
      </vt:variant>
      <vt:variant>
        <vt:i4>0</vt:i4>
      </vt:variant>
      <vt:variant>
        <vt:i4>5</vt:i4>
      </vt:variant>
      <vt:variant>
        <vt:lpwstr>https://www.data.vic.gov.au/</vt:lpwstr>
      </vt:variant>
      <vt:variant>
        <vt:lpwstr/>
      </vt:variant>
      <vt:variant>
        <vt:i4>8061020</vt:i4>
      </vt:variant>
      <vt:variant>
        <vt:i4>447</vt:i4>
      </vt:variant>
      <vt:variant>
        <vt:i4>0</vt:i4>
      </vt:variant>
      <vt:variant>
        <vt:i4>5</vt:i4>
      </vt:variant>
      <vt:variant>
        <vt:lpwstr>mailto:public.interest.disclosures@dffh.vic.gov.au</vt:lpwstr>
      </vt:variant>
      <vt:variant>
        <vt:lpwstr/>
      </vt:variant>
      <vt:variant>
        <vt:i4>3276841</vt:i4>
      </vt:variant>
      <vt:variant>
        <vt:i4>444</vt:i4>
      </vt:variant>
      <vt:variant>
        <vt:i4>0</vt:i4>
      </vt:variant>
      <vt:variant>
        <vt:i4>5</vt:i4>
      </vt:variant>
      <vt:variant>
        <vt:lpwstr>https://www.dffh.vic.gov.au/public-interest-disclosure</vt:lpwstr>
      </vt:variant>
      <vt:variant>
        <vt:lpwstr/>
      </vt:variant>
      <vt:variant>
        <vt:i4>8257588</vt:i4>
      </vt:variant>
      <vt:variant>
        <vt:i4>441</vt:i4>
      </vt:variant>
      <vt:variant>
        <vt:i4>0</vt:i4>
      </vt:variant>
      <vt:variant>
        <vt:i4>5</vt:i4>
      </vt:variant>
      <vt:variant>
        <vt:lpwstr>http://www.ibac.vic.gov.au/</vt:lpwstr>
      </vt:variant>
      <vt:variant>
        <vt:lpwstr/>
      </vt:variant>
      <vt:variant>
        <vt:i4>6684713</vt:i4>
      </vt:variant>
      <vt:variant>
        <vt:i4>438</vt:i4>
      </vt:variant>
      <vt:variant>
        <vt:i4>0</vt:i4>
      </vt:variant>
      <vt:variant>
        <vt:i4>5</vt:i4>
      </vt:variant>
      <vt:variant>
        <vt:lpwstr>https://www.tenders.vic.gov.au/</vt:lpwstr>
      </vt:variant>
      <vt:variant>
        <vt:lpwstr/>
      </vt:variant>
      <vt:variant>
        <vt:i4>5701633</vt:i4>
      </vt:variant>
      <vt:variant>
        <vt:i4>435</vt:i4>
      </vt:variant>
      <vt:variant>
        <vt:i4>0</vt:i4>
      </vt:variant>
      <vt:variant>
        <vt:i4>5</vt:i4>
      </vt:variant>
      <vt:variant>
        <vt:lpwstr>https://www.vic.gov.au/maram-framework-5-year-evidence-review</vt:lpwstr>
      </vt:variant>
      <vt:variant>
        <vt:lpwstr/>
      </vt:variant>
      <vt:variant>
        <vt:i4>7143481</vt:i4>
      </vt:variant>
      <vt:variant>
        <vt:i4>432</vt:i4>
      </vt:variant>
      <vt:variant>
        <vt:i4>0</vt:i4>
      </vt:variant>
      <vt:variant>
        <vt:i4>5</vt:i4>
      </vt:variant>
      <vt:variant>
        <vt:lpwstr>https://www.parliament.vic.gov.au/parliamentary-activity/tabled-documents-database/tabled-document-details/8310</vt:lpwstr>
      </vt:variant>
      <vt:variant>
        <vt:lpwstr/>
      </vt:variant>
      <vt:variant>
        <vt:i4>7143481</vt:i4>
      </vt:variant>
      <vt:variant>
        <vt:i4>429</vt:i4>
      </vt:variant>
      <vt:variant>
        <vt:i4>0</vt:i4>
      </vt:variant>
      <vt:variant>
        <vt:i4>5</vt:i4>
      </vt:variant>
      <vt:variant>
        <vt:lpwstr>https://www.parliament.vic.gov.au/parliamentary-activity/tabled-documents-database/tabled-document-details/8310</vt:lpwstr>
      </vt:variant>
      <vt:variant>
        <vt:lpwstr/>
      </vt:variant>
      <vt:variant>
        <vt:i4>5570581</vt:i4>
      </vt:variant>
      <vt:variant>
        <vt:i4>426</vt:i4>
      </vt:variant>
      <vt:variant>
        <vt:i4>0</vt:i4>
      </vt:variant>
      <vt:variant>
        <vt:i4>5</vt:i4>
      </vt:variant>
      <vt:variant>
        <vt:lpwstr>https://www.homes.vic.gov.au/homelessness-home-program-evaluation</vt:lpwstr>
      </vt:variant>
      <vt:variant>
        <vt:lpwstr/>
      </vt:variant>
      <vt:variant>
        <vt:i4>4063281</vt:i4>
      </vt:variant>
      <vt:variant>
        <vt:i4>423</vt:i4>
      </vt:variant>
      <vt:variant>
        <vt:i4>0</vt:i4>
      </vt:variant>
      <vt:variant>
        <vt:i4>5</vt:i4>
      </vt:variant>
      <vt:variant>
        <vt:lpwstr>https://services.dffh.vic.gov.au/2023-census-supported-residential-services-full-report</vt:lpwstr>
      </vt:variant>
      <vt:variant>
        <vt:lpwstr/>
      </vt:variant>
      <vt:variant>
        <vt:i4>1179676</vt:i4>
      </vt:variant>
      <vt:variant>
        <vt:i4>420</vt:i4>
      </vt:variant>
      <vt:variant>
        <vt:i4>0</vt:i4>
      </vt:variant>
      <vt:variant>
        <vt:i4>5</vt:i4>
      </vt:variant>
      <vt:variant>
        <vt:lpwstr>https://www.familylife.com.au/news/windows-of-opportunity-research-report</vt:lpwstr>
      </vt:variant>
      <vt:variant>
        <vt:lpwstr/>
      </vt:variant>
      <vt:variant>
        <vt:i4>2424881</vt:i4>
      </vt:variant>
      <vt:variant>
        <vt:i4>417</vt:i4>
      </vt:variant>
      <vt:variant>
        <vt:i4>0</vt:i4>
      </vt:variant>
      <vt:variant>
        <vt:i4>5</vt:i4>
      </vt:variant>
      <vt:variant>
        <vt:lpwstr>https://events.bouverie.org.au/Bouverie-Centre-From-Research-to-Action-0624</vt:lpwstr>
      </vt:variant>
      <vt:variant>
        <vt:lpwstr/>
      </vt:variant>
      <vt:variant>
        <vt:i4>3342455</vt:i4>
      </vt:variant>
      <vt:variant>
        <vt:i4>414</vt:i4>
      </vt:variant>
      <vt:variant>
        <vt:i4>0</vt:i4>
      </vt:variant>
      <vt:variant>
        <vt:i4>5</vt:i4>
      </vt:variant>
      <vt:variant>
        <vt:lpwstr>https://www.latrobe.edu.au/arcshs/work/catalysts-of-change</vt:lpwstr>
      </vt:variant>
      <vt:variant>
        <vt:lpwstr/>
      </vt:variant>
      <vt:variant>
        <vt:i4>8126525</vt:i4>
      </vt:variant>
      <vt:variant>
        <vt:i4>411</vt:i4>
      </vt:variant>
      <vt:variant>
        <vt:i4>0</vt:i4>
      </vt:variant>
      <vt:variant>
        <vt:i4>5</vt:i4>
      </vt:variant>
      <vt:variant>
        <vt:lpwstr>https://www.sasvic.org.au/reach</vt:lpwstr>
      </vt:variant>
      <vt:variant>
        <vt:lpwstr/>
      </vt:variant>
      <vt:variant>
        <vt:i4>5570575</vt:i4>
      </vt:variant>
      <vt:variant>
        <vt:i4>408</vt:i4>
      </vt:variant>
      <vt:variant>
        <vt:i4>0</vt:i4>
      </vt:variant>
      <vt:variant>
        <vt:i4>5</vt:i4>
      </vt:variant>
      <vt:variant>
        <vt:lpwstr>https://rmit.figshare.com/articles/report/Family_Violence_and_Sexual_Harm/24208758/1</vt:lpwstr>
      </vt:variant>
      <vt:variant>
        <vt:lpwstr/>
      </vt:variant>
      <vt:variant>
        <vt:i4>6619195</vt:i4>
      </vt:variant>
      <vt:variant>
        <vt:i4>405</vt:i4>
      </vt:variant>
      <vt:variant>
        <vt:i4>0</vt:i4>
      </vt:variant>
      <vt:variant>
        <vt:i4>5</vt:i4>
      </vt:variant>
      <vt:variant>
        <vt:lpwstr>https://www.parliament.vic.gov.au/parliamentary-activity/tabled-documents-database/tabled-document-details/8192</vt:lpwstr>
      </vt:variant>
      <vt:variant>
        <vt:lpwstr/>
      </vt:variant>
      <vt:variant>
        <vt:i4>327762</vt:i4>
      </vt:variant>
      <vt:variant>
        <vt:i4>402</vt:i4>
      </vt:variant>
      <vt:variant>
        <vt:i4>0</vt:i4>
      </vt:variant>
      <vt:variant>
        <vt:i4>5</vt:i4>
      </vt:variant>
      <vt:variant>
        <vt:lpwstr>C:\Users\vidckqs\Downloads\data (73).xlsx</vt:lpwstr>
      </vt:variant>
      <vt:variant>
        <vt:lpwstr>RANGE!A9</vt:lpwstr>
      </vt:variant>
      <vt:variant>
        <vt:i4>327762</vt:i4>
      </vt:variant>
      <vt:variant>
        <vt:i4>399</vt:i4>
      </vt:variant>
      <vt:variant>
        <vt:i4>0</vt:i4>
      </vt:variant>
      <vt:variant>
        <vt:i4>5</vt:i4>
      </vt:variant>
      <vt:variant>
        <vt:lpwstr>C:\Users\vidckqs\Downloads\data (73).xlsx</vt:lpwstr>
      </vt:variant>
      <vt:variant>
        <vt:lpwstr>RANGE!A9</vt:lpwstr>
      </vt:variant>
      <vt:variant>
        <vt:i4>327762</vt:i4>
      </vt:variant>
      <vt:variant>
        <vt:i4>396</vt:i4>
      </vt:variant>
      <vt:variant>
        <vt:i4>0</vt:i4>
      </vt:variant>
      <vt:variant>
        <vt:i4>5</vt:i4>
      </vt:variant>
      <vt:variant>
        <vt:lpwstr>C:\Users\vidckqs\Downloads\data (73).xlsx</vt:lpwstr>
      </vt:variant>
      <vt:variant>
        <vt:lpwstr>RANGE!A9</vt:lpwstr>
      </vt:variant>
      <vt:variant>
        <vt:i4>327762</vt:i4>
      </vt:variant>
      <vt:variant>
        <vt:i4>393</vt:i4>
      </vt:variant>
      <vt:variant>
        <vt:i4>0</vt:i4>
      </vt:variant>
      <vt:variant>
        <vt:i4>5</vt:i4>
      </vt:variant>
      <vt:variant>
        <vt:lpwstr>C:\Users\vidckqs\Downloads\data (73).xlsx</vt:lpwstr>
      </vt:variant>
      <vt:variant>
        <vt:lpwstr>RANGE!A9</vt:lpwstr>
      </vt:variant>
      <vt:variant>
        <vt:i4>327762</vt:i4>
      </vt:variant>
      <vt:variant>
        <vt:i4>390</vt:i4>
      </vt:variant>
      <vt:variant>
        <vt:i4>0</vt:i4>
      </vt:variant>
      <vt:variant>
        <vt:i4>5</vt:i4>
      </vt:variant>
      <vt:variant>
        <vt:lpwstr>C:\Users\vidckqs\Downloads\data (73).xlsx</vt:lpwstr>
      </vt:variant>
      <vt:variant>
        <vt:lpwstr>RANGE!A9</vt:lpwstr>
      </vt:variant>
      <vt:variant>
        <vt:i4>327762</vt:i4>
      </vt:variant>
      <vt:variant>
        <vt:i4>387</vt:i4>
      </vt:variant>
      <vt:variant>
        <vt:i4>0</vt:i4>
      </vt:variant>
      <vt:variant>
        <vt:i4>5</vt:i4>
      </vt:variant>
      <vt:variant>
        <vt:lpwstr>C:\Users\vidckqs\Downloads\data (73).xlsx</vt:lpwstr>
      </vt:variant>
      <vt:variant>
        <vt:lpwstr>RANGE!A9</vt:lpwstr>
      </vt:variant>
      <vt:variant>
        <vt:i4>327762</vt:i4>
      </vt:variant>
      <vt:variant>
        <vt:i4>384</vt:i4>
      </vt:variant>
      <vt:variant>
        <vt:i4>0</vt:i4>
      </vt:variant>
      <vt:variant>
        <vt:i4>5</vt:i4>
      </vt:variant>
      <vt:variant>
        <vt:lpwstr>C:\Users\vidckqs\Downloads\data (73).xlsx</vt:lpwstr>
      </vt:variant>
      <vt:variant>
        <vt:lpwstr>RANGE!A9</vt:lpwstr>
      </vt:variant>
      <vt:variant>
        <vt:i4>6553697</vt:i4>
      </vt:variant>
      <vt:variant>
        <vt:i4>381</vt:i4>
      </vt:variant>
      <vt:variant>
        <vt:i4>0</vt:i4>
      </vt:variant>
      <vt:variant>
        <vt:i4>5</vt:i4>
      </vt:variant>
      <vt:variant>
        <vt:lpwstr>mailto:https://menu.dffh.vic.gov.au</vt:lpwstr>
      </vt:variant>
      <vt:variant>
        <vt:lpwstr/>
      </vt:variant>
      <vt:variant>
        <vt:i4>3866658</vt:i4>
      </vt:variant>
      <vt:variant>
        <vt:i4>378</vt:i4>
      </vt:variant>
      <vt:variant>
        <vt:i4>0</vt:i4>
      </vt:variant>
      <vt:variant>
        <vt:i4>5</vt:i4>
      </vt:variant>
      <vt:variant>
        <vt:lpwstr>https://www.dffh.vic.gov.au/our-leadership-charter</vt:lpwstr>
      </vt:variant>
      <vt:variant>
        <vt:lpwstr/>
      </vt:variant>
      <vt:variant>
        <vt:i4>1310776</vt:i4>
      </vt:variant>
      <vt:variant>
        <vt:i4>371</vt:i4>
      </vt:variant>
      <vt:variant>
        <vt:i4>0</vt:i4>
      </vt:variant>
      <vt:variant>
        <vt:i4>5</vt:i4>
      </vt:variant>
      <vt:variant>
        <vt:lpwstr/>
      </vt:variant>
      <vt:variant>
        <vt:lpwstr>_Toc179460606</vt:lpwstr>
      </vt:variant>
      <vt:variant>
        <vt:i4>1310776</vt:i4>
      </vt:variant>
      <vt:variant>
        <vt:i4>365</vt:i4>
      </vt:variant>
      <vt:variant>
        <vt:i4>0</vt:i4>
      </vt:variant>
      <vt:variant>
        <vt:i4>5</vt:i4>
      </vt:variant>
      <vt:variant>
        <vt:lpwstr/>
      </vt:variant>
      <vt:variant>
        <vt:lpwstr>_Toc179460605</vt:lpwstr>
      </vt:variant>
      <vt:variant>
        <vt:i4>1310776</vt:i4>
      </vt:variant>
      <vt:variant>
        <vt:i4>359</vt:i4>
      </vt:variant>
      <vt:variant>
        <vt:i4>0</vt:i4>
      </vt:variant>
      <vt:variant>
        <vt:i4>5</vt:i4>
      </vt:variant>
      <vt:variant>
        <vt:lpwstr/>
      </vt:variant>
      <vt:variant>
        <vt:lpwstr>_Toc179460604</vt:lpwstr>
      </vt:variant>
      <vt:variant>
        <vt:i4>1310776</vt:i4>
      </vt:variant>
      <vt:variant>
        <vt:i4>353</vt:i4>
      </vt:variant>
      <vt:variant>
        <vt:i4>0</vt:i4>
      </vt:variant>
      <vt:variant>
        <vt:i4>5</vt:i4>
      </vt:variant>
      <vt:variant>
        <vt:lpwstr/>
      </vt:variant>
      <vt:variant>
        <vt:lpwstr>_Toc179460603</vt:lpwstr>
      </vt:variant>
      <vt:variant>
        <vt:i4>1310776</vt:i4>
      </vt:variant>
      <vt:variant>
        <vt:i4>347</vt:i4>
      </vt:variant>
      <vt:variant>
        <vt:i4>0</vt:i4>
      </vt:variant>
      <vt:variant>
        <vt:i4>5</vt:i4>
      </vt:variant>
      <vt:variant>
        <vt:lpwstr/>
      </vt:variant>
      <vt:variant>
        <vt:lpwstr>_Toc179460602</vt:lpwstr>
      </vt:variant>
      <vt:variant>
        <vt:i4>1310776</vt:i4>
      </vt:variant>
      <vt:variant>
        <vt:i4>341</vt:i4>
      </vt:variant>
      <vt:variant>
        <vt:i4>0</vt:i4>
      </vt:variant>
      <vt:variant>
        <vt:i4>5</vt:i4>
      </vt:variant>
      <vt:variant>
        <vt:lpwstr/>
      </vt:variant>
      <vt:variant>
        <vt:lpwstr>_Toc179460601</vt:lpwstr>
      </vt:variant>
      <vt:variant>
        <vt:i4>1310776</vt:i4>
      </vt:variant>
      <vt:variant>
        <vt:i4>335</vt:i4>
      </vt:variant>
      <vt:variant>
        <vt:i4>0</vt:i4>
      </vt:variant>
      <vt:variant>
        <vt:i4>5</vt:i4>
      </vt:variant>
      <vt:variant>
        <vt:lpwstr/>
      </vt:variant>
      <vt:variant>
        <vt:lpwstr>_Toc179460600</vt:lpwstr>
      </vt:variant>
      <vt:variant>
        <vt:i4>1900603</vt:i4>
      </vt:variant>
      <vt:variant>
        <vt:i4>329</vt:i4>
      </vt:variant>
      <vt:variant>
        <vt:i4>0</vt:i4>
      </vt:variant>
      <vt:variant>
        <vt:i4>5</vt:i4>
      </vt:variant>
      <vt:variant>
        <vt:lpwstr/>
      </vt:variant>
      <vt:variant>
        <vt:lpwstr>_Toc179460599</vt:lpwstr>
      </vt:variant>
      <vt:variant>
        <vt:i4>1900603</vt:i4>
      </vt:variant>
      <vt:variant>
        <vt:i4>323</vt:i4>
      </vt:variant>
      <vt:variant>
        <vt:i4>0</vt:i4>
      </vt:variant>
      <vt:variant>
        <vt:i4>5</vt:i4>
      </vt:variant>
      <vt:variant>
        <vt:lpwstr/>
      </vt:variant>
      <vt:variant>
        <vt:lpwstr>_Toc179460598</vt:lpwstr>
      </vt:variant>
      <vt:variant>
        <vt:i4>1900603</vt:i4>
      </vt:variant>
      <vt:variant>
        <vt:i4>317</vt:i4>
      </vt:variant>
      <vt:variant>
        <vt:i4>0</vt:i4>
      </vt:variant>
      <vt:variant>
        <vt:i4>5</vt:i4>
      </vt:variant>
      <vt:variant>
        <vt:lpwstr/>
      </vt:variant>
      <vt:variant>
        <vt:lpwstr>_Toc179460597</vt:lpwstr>
      </vt:variant>
      <vt:variant>
        <vt:i4>1900603</vt:i4>
      </vt:variant>
      <vt:variant>
        <vt:i4>311</vt:i4>
      </vt:variant>
      <vt:variant>
        <vt:i4>0</vt:i4>
      </vt:variant>
      <vt:variant>
        <vt:i4>5</vt:i4>
      </vt:variant>
      <vt:variant>
        <vt:lpwstr/>
      </vt:variant>
      <vt:variant>
        <vt:lpwstr>_Toc179460596</vt:lpwstr>
      </vt:variant>
      <vt:variant>
        <vt:i4>1900603</vt:i4>
      </vt:variant>
      <vt:variant>
        <vt:i4>305</vt:i4>
      </vt:variant>
      <vt:variant>
        <vt:i4>0</vt:i4>
      </vt:variant>
      <vt:variant>
        <vt:i4>5</vt:i4>
      </vt:variant>
      <vt:variant>
        <vt:lpwstr/>
      </vt:variant>
      <vt:variant>
        <vt:lpwstr>_Toc179460595</vt:lpwstr>
      </vt:variant>
      <vt:variant>
        <vt:i4>1900603</vt:i4>
      </vt:variant>
      <vt:variant>
        <vt:i4>299</vt:i4>
      </vt:variant>
      <vt:variant>
        <vt:i4>0</vt:i4>
      </vt:variant>
      <vt:variant>
        <vt:i4>5</vt:i4>
      </vt:variant>
      <vt:variant>
        <vt:lpwstr/>
      </vt:variant>
      <vt:variant>
        <vt:lpwstr>_Toc179460594</vt:lpwstr>
      </vt:variant>
      <vt:variant>
        <vt:i4>1900603</vt:i4>
      </vt:variant>
      <vt:variant>
        <vt:i4>293</vt:i4>
      </vt:variant>
      <vt:variant>
        <vt:i4>0</vt:i4>
      </vt:variant>
      <vt:variant>
        <vt:i4>5</vt:i4>
      </vt:variant>
      <vt:variant>
        <vt:lpwstr/>
      </vt:variant>
      <vt:variant>
        <vt:lpwstr>_Toc179460593</vt:lpwstr>
      </vt:variant>
      <vt:variant>
        <vt:i4>1900603</vt:i4>
      </vt:variant>
      <vt:variant>
        <vt:i4>287</vt:i4>
      </vt:variant>
      <vt:variant>
        <vt:i4>0</vt:i4>
      </vt:variant>
      <vt:variant>
        <vt:i4>5</vt:i4>
      </vt:variant>
      <vt:variant>
        <vt:lpwstr/>
      </vt:variant>
      <vt:variant>
        <vt:lpwstr>_Toc179460592</vt:lpwstr>
      </vt:variant>
      <vt:variant>
        <vt:i4>1900603</vt:i4>
      </vt:variant>
      <vt:variant>
        <vt:i4>281</vt:i4>
      </vt:variant>
      <vt:variant>
        <vt:i4>0</vt:i4>
      </vt:variant>
      <vt:variant>
        <vt:i4>5</vt:i4>
      </vt:variant>
      <vt:variant>
        <vt:lpwstr/>
      </vt:variant>
      <vt:variant>
        <vt:lpwstr>_Toc179460591</vt:lpwstr>
      </vt:variant>
      <vt:variant>
        <vt:i4>1900603</vt:i4>
      </vt:variant>
      <vt:variant>
        <vt:i4>275</vt:i4>
      </vt:variant>
      <vt:variant>
        <vt:i4>0</vt:i4>
      </vt:variant>
      <vt:variant>
        <vt:i4>5</vt:i4>
      </vt:variant>
      <vt:variant>
        <vt:lpwstr/>
      </vt:variant>
      <vt:variant>
        <vt:lpwstr>_Toc179460590</vt:lpwstr>
      </vt:variant>
      <vt:variant>
        <vt:i4>1835067</vt:i4>
      </vt:variant>
      <vt:variant>
        <vt:i4>269</vt:i4>
      </vt:variant>
      <vt:variant>
        <vt:i4>0</vt:i4>
      </vt:variant>
      <vt:variant>
        <vt:i4>5</vt:i4>
      </vt:variant>
      <vt:variant>
        <vt:lpwstr/>
      </vt:variant>
      <vt:variant>
        <vt:lpwstr>_Toc179460589</vt:lpwstr>
      </vt:variant>
      <vt:variant>
        <vt:i4>1835067</vt:i4>
      </vt:variant>
      <vt:variant>
        <vt:i4>263</vt:i4>
      </vt:variant>
      <vt:variant>
        <vt:i4>0</vt:i4>
      </vt:variant>
      <vt:variant>
        <vt:i4>5</vt:i4>
      </vt:variant>
      <vt:variant>
        <vt:lpwstr/>
      </vt:variant>
      <vt:variant>
        <vt:lpwstr>_Toc179460588</vt:lpwstr>
      </vt:variant>
      <vt:variant>
        <vt:i4>1835067</vt:i4>
      </vt:variant>
      <vt:variant>
        <vt:i4>257</vt:i4>
      </vt:variant>
      <vt:variant>
        <vt:i4>0</vt:i4>
      </vt:variant>
      <vt:variant>
        <vt:i4>5</vt:i4>
      </vt:variant>
      <vt:variant>
        <vt:lpwstr/>
      </vt:variant>
      <vt:variant>
        <vt:lpwstr>_Toc179460587</vt:lpwstr>
      </vt:variant>
      <vt:variant>
        <vt:i4>1835067</vt:i4>
      </vt:variant>
      <vt:variant>
        <vt:i4>251</vt:i4>
      </vt:variant>
      <vt:variant>
        <vt:i4>0</vt:i4>
      </vt:variant>
      <vt:variant>
        <vt:i4>5</vt:i4>
      </vt:variant>
      <vt:variant>
        <vt:lpwstr/>
      </vt:variant>
      <vt:variant>
        <vt:lpwstr>_Toc179460586</vt:lpwstr>
      </vt:variant>
      <vt:variant>
        <vt:i4>1835067</vt:i4>
      </vt:variant>
      <vt:variant>
        <vt:i4>245</vt:i4>
      </vt:variant>
      <vt:variant>
        <vt:i4>0</vt:i4>
      </vt:variant>
      <vt:variant>
        <vt:i4>5</vt:i4>
      </vt:variant>
      <vt:variant>
        <vt:lpwstr/>
      </vt:variant>
      <vt:variant>
        <vt:lpwstr>_Toc179460585</vt:lpwstr>
      </vt:variant>
      <vt:variant>
        <vt:i4>1835067</vt:i4>
      </vt:variant>
      <vt:variant>
        <vt:i4>239</vt:i4>
      </vt:variant>
      <vt:variant>
        <vt:i4>0</vt:i4>
      </vt:variant>
      <vt:variant>
        <vt:i4>5</vt:i4>
      </vt:variant>
      <vt:variant>
        <vt:lpwstr/>
      </vt:variant>
      <vt:variant>
        <vt:lpwstr>_Toc179460584</vt:lpwstr>
      </vt:variant>
      <vt:variant>
        <vt:i4>1835067</vt:i4>
      </vt:variant>
      <vt:variant>
        <vt:i4>233</vt:i4>
      </vt:variant>
      <vt:variant>
        <vt:i4>0</vt:i4>
      </vt:variant>
      <vt:variant>
        <vt:i4>5</vt:i4>
      </vt:variant>
      <vt:variant>
        <vt:lpwstr/>
      </vt:variant>
      <vt:variant>
        <vt:lpwstr>_Toc179460583</vt:lpwstr>
      </vt:variant>
      <vt:variant>
        <vt:i4>1835067</vt:i4>
      </vt:variant>
      <vt:variant>
        <vt:i4>227</vt:i4>
      </vt:variant>
      <vt:variant>
        <vt:i4>0</vt:i4>
      </vt:variant>
      <vt:variant>
        <vt:i4>5</vt:i4>
      </vt:variant>
      <vt:variant>
        <vt:lpwstr/>
      </vt:variant>
      <vt:variant>
        <vt:lpwstr>_Toc179460582</vt:lpwstr>
      </vt:variant>
      <vt:variant>
        <vt:i4>1835067</vt:i4>
      </vt:variant>
      <vt:variant>
        <vt:i4>221</vt:i4>
      </vt:variant>
      <vt:variant>
        <vt:i4>0</vt:i4>
      </vt:variant>
      <vt:variant>
        <vt:i4>5</vt:i4>
      </vt:variant>
      <vt:variant>
        <vt:lpwstr/>
      </vt:variant>
      <vt:variant>
        <vt:lpwstr>_Toc179460581</vt:lpwstr>
      </vt:variant>
      <vt:variant>
        <vt:i4>1835067</vt:i4>
      </vt:variant>
      <vt:variant>
        <vt:i4>215</vt:i4>
      </vt:variant>
      <vt:variant>
        <vt:i4>0</vt:i4>
      </vt:variant>
      <vt:variant>
        <vt:i4>5</vt:i4>
      </vt:variant>
      <vt:variant>
        <vt:lpwstr/>
      </vt:variant>
      <vt:variant>
        <vt:lpwstr>_Toc179460580</vt:lpwstr>
      </vt:variant>
      <vt:variant>
        <vt:i4>1245243</vt:i4>
      </vt:variant>
      <vt:variant>
        <vt:i4>209</vt:i4>
      </vt:variant>
      <vt:variant>
        <vt:i4>0</vt:i4>
      </vt:variant>
      <vt:variant>
        <vt:i4>5</vt:i4>
      </vt:variant>
      <vt:variant>
        <vt:lpwstr/>
      </vt:variant>
      <vt:variant>
        <vt:lpwstr>_Toc179460579</vt:lpwstr>
      </vt:variant>
      <vt:variant>
        <vt:i4>1245243</vt:i4>
      </vt:variant>
      <vt:variant>
        <vt:i4>203</vt:i4>
      </vt:variant>
      <vt:variant>
        <vt:i4>0</vt:i4>
      </vt:variant>
      <vt:variant>
        <vt:i4>5</vt:i4>
      </vt:variant>
      <vt:variant>
        <vt:lpwstr/>
      </vt:variant>
      <vt:variant>
        <vt:lpwstr>_Toc179460578</vt:lpwstr>
      </vt:variant>
      <vt:variant>
        <vt:i4>1245243</vt:i4>
      </vt:variant>
      <vt:variant>
        <vt:i4>197</vt:i4>
      </vt:variant>
      <vt:variant>
        <vt:i4>0</vt:i4>
      </vt:variant>
      <vt:variant>
        <vt:i4>5</vt:i4>
      </vt:variant>
      <vt:variant>
        <vt:lpwstr/>
      </vt:variant>
      <vt:variant>
        <vt:lpwstr>_Toc179460577</vt:lpwstr>
      </vt:variant>
      <vt:variant>
        <vt:i4>1245243</vt:i4>
      </vt:variant>
      <vt:variant>
        <vt:i4>191</vt:i4>
      </vt:variant>
      <vt:variant>
        <vt:i4>0</vt:i4>
      </vt:variant>
      <vt:variant>
        <vt:i4>5</vt:i4>
      </vt:variant>
      <vt:variant>
        <vt:lpwstr/>
      </vt:variant>
      <vt:variant>
        <vt:lpwstr>_Toc179460576</vt:lpwstr>
      </vt:variant>
      <vt:variant>
        <vt:i4>1245243</vt:i4>
      </vt:variant>
      <vt:variant>
        <vt:i4>185</vt:i4>
      </vt:variant>
      <vt:variant>
        <vt:i4>0</vt:i4>
      </vt:variant>
      <vt:variant>
        <vt:i4>5</vt:i4>
      </vt:variant>
      <vt:variant>
        <vt:lpwstr/>
      </vt:variant>
      <vt:variant>
        <vt:lpwstr>_Toc179460575</vt:lpwstr>
      </vt:variant>
      <vt:variant>
        <vt:i4>1245243</vt:i4>
      </vt:variant>
      <vt:variant>
        <vt:i4>179</vt:i4>
      </vt:variant>
      <vt:variant>
        <vt:i4>0</vt:i4>
      </vt:variant>
      <vt:variant>
        <vt:i4>5</vt:i4>
      </vt:variant>
      <vt:variant>
        <vt:lpwstr/>
      </vt:variant>
      <vt:variant>
        <vt:lpwstr>_Toc179460574</vt:lpwstr>
      </vt:variant>
      <vt:variant>
        <vt:i4>1245243</vt:i4>
      </vt:variant>
      <vt:variant>
        <vt:i4>173</vt:i4>
      </vt:variant>
      <vt:variant>
        <vt:i4>0</vt:i4>
      </vt:variant>
      <vt:variant>
        <vt:i4>5</vt:i4>
      </vt:variant>
      <vt:variant>
        <vt:lpwstr/>
      </vt:variant>
      <vt:variant>
        <vt:lpwstr>_Toc179460573</vt:lpwstr>
      </vt:variant>
      <vt:variant>
        <vt:i4>1245243</vt:i4>
      </vt:variant>
      <vt:variant>
        <vt:i4>167</vt:i4>
      </vt:variant>
      <vt:variant>
        <vt:i4>0</vt:i4>
      </vt:variant>
      <vt:variant>
        <vt:i4>5</vt:i4>
      </vt:variant>
      <vt:variant>
        <vt:lpwstr/>
      </vt:variant>
      <vt:variant>
        <vt:lpwstr>_Toc179460572</vt:lpwstr>
      </vt:variant>
      <vt:variant>
        <vt:i4>1245243</vt:i4>
      </vt:variant>
      <vt:variant>
        <vt:i4>161</vt:i4>
      </vt:variant>
      <vt:variant>
        <vt:i4>0</vt:i4>
      </vt:variant>
      <vt:variant>
        <vt:i4>5</vt:i4>
      </vt:variant>
      <vt:variant>
        <vt:lpwstr/>
      </vt:variant>
      <vt:variant>
        <vt:lpwstr>_Toc179460571</vt:lpwstr>
      </vt:variant>
      <vt:variant>
        <vt:i4>1245243</vt:i4>
      </vt:variant>
      <vt:variant>
        <vt:i4>155</vt:i4>
      </vt:variant>
      <vt:variant>
        <vt:i4>0</vt:i4>
      </vt:variant>
      <vt:variant>
        <vt:i4>5</vt:i4>
      </vt:variant>
      <vt:variant>
        <vt:lpwstr/>
      </vt:variant>
      <vt:variant>
        <vt:lpwstr>_Toc179460570</vt:lpwstr>
      </vt:variant>
      <vt:variant>
        <vt:i4>1179707</vt:i4>
      </vt:variant>
      <vt:variant>
        <vt:i4>149</vt:i4>
      </vt:variant>
      <vt:variant>
        <vt:i4>0</vt:i4>
      </vt:variant>
      <vt:variant>
        <vt:i4>5</vt:i4>
      </vt:variant>
      <vt:variant>
        <vt:lpwstr/>
      </vt:variant>
      <vt:variant>
        <vt:lpwstr>_Toc179460569</vt:lpwstr>
      </vt:variant>
      <vt:variant>
        <vt:i4>1179707</vt:i4>
      </vt:variant>
      <vt:variant>
        <vt:i4>143</vt:i4>
      </vt:variant>
      <vt:variant>
        <vt:i4>0</vt:i4>
      </vt:variant>
      <vt:variant>
        <vt:i4>5</vt:i4>
      </vt:variant>
      <vt:variant>
        <vt:lpwstr/>
      </vt:variant>
      <vt:variant>
        <vt:lpwstr>_Toc179460568</vt:lpwstr>
      </vt:variant>
      <vt:variant>
        <vt:i4>1179707</vt:i4>
      </vt:variant>
      <vt:variant>
        <vt:i4>137</vt:i4>
      </vt:variant>
      <vt:variant>
        <vt:i4>0</vt:i4>
      </vt:variant>
      <vt:variant>
        <vt:i4>5</vt:i4>
      </vt:variant>
      <vt:variant>
        <vt:lpwstr/>
      </vt:variant>
      <vt:variant>
        <vt:lpwstr>_Toc179460567</vt:lpwstr>
      </vt:variant>
      <vt:variant>
        <vt:i4>1179707</vt:i4>
      </vt:variant>
      <vt:variant>
        <vt:i4>131</vt:i4>
      </vt:variant>
      <vt:variant>
        <vt:i4>0</vt:i4>
      </vt:variant>
      <vt:variant>
        <vt:i4>5</vt:i4>
      </vt:variant>
      <vt:variant>
        <vt:lpwstr/>
      </vt:variant>
      <vt:variant>
        <vt:lpwstr>_Toc179460566</vt:lpwstr>
      </vt:variant>
      <vt:variant>
        <vt:i4>1179707</vt:i4>
      </vt:variant>
      <vt:variant>
        <vt:i4>125</vt:i4>
      </vt:variant>
      <vt:variant>
        <vt:i4>0</vt:i4>
      </vt:variant>
      <vt:variant>
        <vt:i4>5</vt:i4>
      </vt:variant>
      <vt:variant>
        <vt:lpwstr/>
      </vt:variant>
      <vt:variant>
        <vt:lpwstr>_Toc179460565</vt:lpwstr>
      </vt:variant>
      <vt:variant>
        <vt:i4>1179707</vt:i4>
      </vt:variant>
      <vt:variant>
        <vt:i4>119</vt:i4>
      </vt:variant>
      <vt:variant>
        <vt:i4>0</vt:i4>
      </vt:variant>
      <vt:variant>
        <vt:i4>5</vt:i4>
      </vt:variant>
      <vt:variant>
        <vt:lpwstr/>
      </vt:variant>
      <vt:variant>
        <vt:lpwstr>_Toc179460564</vt:lpwstr>
      </vt:variant>
      <vt:variant>
        <vt:i4>1179707</vt:i4>
      </vt:variant>
      <vt:variant>
        <vt:i4>113</vt:i4>
      </vt:variant>
      <vt:variant>
        <vt:i4>0</vt:i4>
      </vt:variant>
      <vt:variant>
        <vt:i4>5</vt:i4>
      </vt:variant>
      <vt:variant>
        <vt:lpwstr/>
      </vt:variant>
      <vt:variant>
        <vt:lpwstr>_Toc179460563</vt:lpwstr>
      </vt:variant>
      <vt:variant>
        <vt:i4>1179707</vt:i4>
      </vt:variant>
      <vt:variant>
        <vt:i4>107</vt:i4>
      </vt:variant>
      <vt:variant>
        <vt:i4>0</vt:i4>
      </vt:variant>
      <vt:variant>
        <vt:i4>5</vt:i4>
      </vt:variant>
      <vt:variant>
        <vt:lpwstr/>
      </vt:variant>
      <vt:variant>
        <vt:lpwstr>_Toc179460562</vt:lpwstr>
      </vt:variant>
      <vt:variant>
        <vt:i4>1179707</vt:i4>
      </vt:variant>
      <vt:variant>
        <vt:i4>101</vt:i4>
      </vt:variant>
      <vt:variant>
        <vt:i4>0</vt:i4>
      </vt:variant>
      <vt:variant>
        <vt:i4>5</vt:i4>
      </vt:variant>
      <vt:variant>
        <vt:lpwstr/>
      </vt:variant>
      <vt:variant>
        <vt:lpwstr>_Toc179460561</vt:lpwstr>
      </vt:variant>
      <vt:variant>
        <vt:i4>1179707</vt:i4>
      </vt:variant>
      <vt:variant>
        <vt:i4>95</vt:i4>
      </vt:variant>
      <vt:variant>
        <vt:i4>0</vt:i4>
      </vt:variant>
      <vt:variant>
        <vt:i4>5</vt:i4>
      </vt:variant>
      <vt:variant>
        <vt:lpwstr/>
      </vt:variant>
      <vt:variant>
        <vt:lpwstr>_Toc179460560</vt:lpwstr>
      </vt:variant>
      <vt:variant>
        <vt:i4>1114171</vt:i4>
      </vt:variant>
      <vt:variant>
        <vt:i4>89</vt:i4>
      </vt:variant>
      <vt:variant>
        <vt:i4>0</vt:i4>
      </vt:variant>
      <vt:variant>
        <vt:i4>5</vt:i4>
      </vt:variant>
      <vt:variant>
        <vt:lpwstr/>
      </vt:variant>
      <vt:variant>
        <vt:lpwstr>_Toc179460559</vt:lpwstr>
      </vt:variant>
      <vt:variant>
        <vt:i4>1114171</vt:i4>
      </vt:variant>
      <vt:variant>
        <vt:i4>83</vt:i4>
      </vt:variant>
      <vt:variant>
        <vt:i4>0</vt:i4>
      </vt:variant>
      <vt:variant>
        <vt:i4>5</vt:i4>
      </vt:variant>
      <vt:variant>
        <vt:lpwstr/>
      </vt:variant>
      <vt:variant>
        <vt:lpwstr>_Toc179460558</vt:lpwstr>
      </vt:variant>
      <vt:variant>
        <vt:i4>1114171</vt:i4>
      </vt:variant>
      <vt:variant>
        <vt:i4>77</vt:i4>
      </vt:variant>
      <vt:variant>
        <vt:i4>0</vt:i4>
      </vt:variant>
      <vt:variant>
        <vt:i4>5</vt:i4>
      </vt:variant>
      <vt:variant>
        <vt:lpwstr/>
      </vt:variant>
      <vt:variant>
        <vt:lpwstr>_Toc179460557</vt:lpwstr>
      </vt:variant>
      <vt:variant>
        <vt:i4>1114171</vt:i4>
      </vt:variant>
      <vt:variant>
        <vt:i4>71</vt:i4>
      </vt:variant>
      <vt:variant>
        <vt:i4>0</vt:i4>
      </vt:variant>
      <vt:variant>
        <vt:i4>5</vt:i4>
      </vt:variant>
      <vt:variant>
        <vt:lpwstr/>
      </vt:variant>
      <vt:variant>
        <vt:lpwstr>_Toc179460556</vt:lpwstr>
      </vt:variant>
      <vt:variant>
        <vt:i4>1114171</vt:i4>
      </vt:variant>
      <vt:variant>
        <vt:i4>65</vt:i4>
      </vt:variant>
      <vt:variant>
        <vt:i4>0</vt:i4>
      </vt:variant>
      <vt:variant>
        <vt:i4>5</vt:i4>
      </vt:variant>
      <vt:variant>
        <vt:lpwstr/>
      </vt:variant>
      <vt:variant>
        <vt:lpwstr>_Toc179460555</vt:lpwstr>
      </vt:variant>
      <vt:variant>
        <vt:i4>1114171</vt:i4>
      </vt:variant>
      <vt:variant>
        <vt:i4>59</vt:i4>
      </vt:variant>
      <vt:variant>
        <vt:i4>0</vt:i4>
      </vt:variant>
      <vt:variant>
        <vt:i4>5</vt:i4>
      </vt:variant>
      <vt:variant>
        <vt:lpwstr/>
      </vt:variant>
      <vt:variant>
        <vt:lpwstr>_Toc179460554</vt:lpwstr>
      </vt:variant>
      <vt:variant>
        <vt:i4>1114171</vt:i4>
      </vt:variant>
      <vt:variant>
        <vt:i4>53</vt:i4>
      </vt:variant>
      <vt:variant>
        <vt:i4>0</vt:i4>
      </vt:variant>
      <vt:variant>
        <vt:i4>5</vt:i4>
      </vt:variant>
      <vt:variant>
        <vt:lpwstr/>
      </vt:variant>
      <vt:variant>
        <vt:lpwstr>_Toc179460553</vt:lpwstr>
      </vt:variant>
      <vt:variant>
        <vt:i4>1114171</vt:i4>
      </vt:variant>
      <vt:variant>
        <vt:i4>47</vt:i4>
      </vt:variant>
      <vt:variant>
        <vt:i4>0</vt:i4>
      </vt:variant>
      <vt:variant>
        <vt:i4>5</vt:i4>
      </vt:variant>
      <vt:variant>
        <vt:lpwstr/>
      </vt:variant>
      <vt:variant>
        <vt:lpwstr>_Toc179460552</vt:lpwstr>
      </vt:variant>
      <vt:variant>
        <vt:i4>1114171</vt:i4>
      </vt:variant>
      <vt:variant>
        <vt:i4>41</vt:i4>
      </vt:variant>
      <vt:variant>
        <vt:i4>0</vt:i4>
      </vt:variant>
      <vt:variant>
        <vt:i4>5</vt:i4>
      </vt:variant>
      <vt:variant>
        <vt:lpwstr/>
      </vt:variant>
      <vt:variant>
        <vt:lpwstr>_Toc179460551</vt:lpwstr>
      </vt:variant>
      <vt:variant>
        <vt:i4>1114171</vt:i4>
      </vt:variant>
      <vt:variant>
        <vt:i4>35</vt:i4>
      </vt:variant>
      <vt:variant>
        <vt:i4>0</vt:i4>
      </vt:variant>
      <vt:variant>
        <vt:i4>5</vt:i4>
      </vt:variant>
      <vt:variant>
        <vt:lpwstr/>
      </vt:variant>
      <vt:variant>
        <vt:lpwstr>_Toc179460550</vt:lpwstr>
      </vt:variant>
      <vt:variant>
        <vt:i4>1048635</vt:i4>
      </vt:variant>
      <vt:variant>
        <vt:i4>29</vt:i4>
      </vt:variant>
      <vt:variant>
        <vt:i4>0</vt:i4>
      </vt:variant>
      <vt:variant>
        <vt:i4>5</vt:i4>
      </vt:variant>
      <vt:variant>
        <vt:lpwstr/>
      </vt:variant>
      <vt:variant>
        <vt:lpwstr>_Toc179460549</vt:lpwstr>
      </vt:variant>
      <vt:variant>
        <vt:i4>1048635</vt:i4>
      </vt:variant>
      <vt:variant>
        <vt:i4>23</vt:i4>
      </vt:variant>
      <vt:variant>
        <vt:i4>0</vt:i4>
      </vt:variant>
      <vt:variant>
        <vt:i4>5</vt:i4>
      </vt:variant>
      <vt:variant>
        <vt:lpwstr/>
      </vt:variant>
      <vt:variant>
        <vt:lpwstr>_Toc179460548</vt:lpwstr>
      </vt:variant>
      <vt:variant>
        <vt:i4>1048635</vt:i4>
      </vt:variant>
      <vt:variant>
        <vt:i4>17</vt:i4>
      </vt:variant>
      <vt:variant>
        <vt:i4>0</vt:i4>
      </vt:variant>
      <vt:variant>
        <vt:i4>5</vt:i4>
      </vt:variant>
      <vt:variant>
        <vt:lpwstr/>
      </vt:variant>
      <vt:variant>
        <vt:lpwstr>_Toc179460547</vt:lpwstr>
      </vt:variant>
      <vt:variant>
        <vt:i4>1048635</vt:i4>
      </vt:variant>
      <vt:variant>
        <vt:i4>11</vt:i4>
      </vt:variant>
      <vt:variant>
        <vt:i4>0</vt:i4>
      </vt:variant>
      <vt:variant>
        <vt:i4>5</vt:i4>
      </vt:variant>
      <vt:variant>
        <vt:lpwstr/>
      </vt:variant>
      <vt:variant>
        <vt:lpwstr>_Toc179460546</vt:lpwstr>
      </vt:variant>
      <vt:variant>
        <vt:i4>5636174</vt:i4>
      </vt:variant>
      <vt:variant>
        <vt:i4>6</vt:i4>
      </vt:variant>
      <vt:variant>
        <vt:i4>0</vt:i4>
      </vt:variant>
      <vt:variant>
        <vt:i4>5</vt:i4>
      </vt:variant>
      <vt:variant>
        <vt:lpwstr>https://www.dffh.vic.gov.au/publications/annual-reports-department-families-fairness-housing</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3866696</vt:i4>
      </vt:variant>
      <vt:variant>
        <vt:i4>0</vt:i4>
      </vt:variant>
      <vt:variant>
        <vt:i4>0</vt:i4>
      </vt:variant>
      <vt:variant>
        <vt:i4>5</vt:i4>
      </vt:variant>
      <vt:variant>
        <vt:lpwstr>mailto:DFFHcorporate.reporting@dffh.vic.gov.au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annual report 2023–24</dc:title>
  <dc:subject>Annual report of the Victorian Department of Families, Fairness and Housing</dc:subject>
  <dc:creator>Department of Families, Fairness and Housing</dc:creator>
  <cp:keywords>corporate reporting, annual report 2023–24</cp:keywords>
  <dc:description/>
  <cp:lastPrinted>2024-10-29T05:53:00Z</cp:lastPrinted>
  <dcterms:created xsi:type="dcterms:W3CDTF">2024-10-25T05:56:00Z</dcterms:created>
  <dcterms:modified xsi:type="dcterms:W3CDTF">2024-10-29T21:34:00Z</dcterms:modified>
  <cp:category>annual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0x0101006E5E208E7C630D49B873969F57466C32</vt:lpwstr>
  </property>
  <property fmtid="{D5CDD505-2E9C-101B-9397-08002B2CF9AE}" pid="3" name="MediaServiceImageTags">
    <vt:lpwstr/>
  </property>
  <property fmtid="{D5CDD505-2E9C-101B-9397-08002B2CF9AE}" pid="4" name="MSIP_Label_efdf5488-3066-4b6c-8fea-9472b8a1f34c_Enabled">
    <vt:lpwstr>true</vt:lpwstr>
  </property>
  <property fmtid="{D5CDD505-2E9C-101B-9397-08002B2CF9AE}" pid="5" name="MSIP_Label_efdf5488-3066-4b6c-8fea-9472b8a1f34c_SetDate">
    <vt:lpwstr>2023-10-30T04:25:38Z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f7f92b01-01dc-41bd-8d88-719b11a2949a</vt:lpwstr>
  </property>
  <property fmtid="{D5CDD505-2E9C-101B-9397-08002B2CF9AE}" pid="10" name="MSIP_Label_efdf5488-3066-4b6c-8fea-9472b8a1f34c_ContentBits">
    <vt:lpwstr>0</vt:lpwstr>
  </property>
  <property fmtid="{D5CDD505-2E9C-101B-9397-08002B2CF9AE}" pid="11" name="lcf76f155ced4ddcb4097134ff3c332f">
    <vt:lpwstr/>
  </property>
  <property fmtid="{D5CDD505-2E9C-101B-9397-08002B2CF9AE}" pid="12" name="Language">
    <vt:lpwstr>English</vt:lpwstr>
  </property>
</Properties>
</file>